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7744" w14:textId="77777777" w:rsidR="00DB6E1F" w:rsidRDefault="00F666A6">
      <w:pPr>
        <w:pStyle w:val="BodyText"/>
        <w:rPr>
          <w:rFonts w:ascii="Times New Roman"/>
          <w:sz w:val="20"/>
        </w:rPr>
      </w:pPr>
      <w:r>
        <w:rPr>
          <w:noProof/>
        </w:rPr>
        <w:drawing>
          <wp:anchor distT="0" distB="0" distL="0" distR="0" simplePos="0" relativeHeight="15728640" behindDoc="0" locked="0" layoutInCell="1" allowOverlap="1" wp14:anchorId="2B53E5BF" wp14:editId="4CA197DE">
            <wp:simplePos x="0" y="0"/>
            <wp:positionH relativeFrom="page">
              <wp:posOffset>0</wp:posOffset>
            </wp:positionH>
            <wp:positionV relativeFrom="page">
              <wp:posOffset>0</wp:posOffset>
            </wp:positionV>
            <wp:extent cx="7772400" cy="8922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2400" cy="892203"/>
                    </a:xfrm>
                    <a:prstGeom prst="rect">
                      <a:avLst/>
                    </a:prstGeom>
                  </pic:spPr>
                </pic:pic>
              </a:graphicData>
            </a:graphic>
          </wp:anchor>
        </w:drawing>
      </w:r>
    </w:p>
    <w:p w14:paraId="317E59B3" w14:textId="77777777" w:rsidR="00DB6E1F" w:rsidRDefault="00DB6E1F">
      <w:pPr>
        <w:pStyle w:val="BodyText"/>
        <w:rPr>
          <w:rFonts w:ascii="Times New Roman"/>
          <w:sz w:val="20"/>
        </w:rPr>
      </w:pPr>
    </w:p>
    <w:p w14:paraId="5743F461" w14:textId="77777777" w:rsidR="00DB6E1F" w:rsidRDefault="00DB6E1F">
      <w:pPr>
        <w:pStyle w:val="BodyText"/>
        <w:rPr>
          <w:rFonts w:ascii="Times New Roman"/>
          <w:sz w:val="20"/>
        </w:rPr>
      </w:pPr>
    </w:p>
    <w:p w14:paraId="65030A99" w14:textId="77777777" w:rsidR="00DB6E1F" w:rsidRDefault="00DB6E1F">
      <w:pPr>
        <w:pStyle w:val="BodyText"/>
        <w:rPr>
          <w:rFonts w:ascii="Times New Roman"/>
          <w:sz w:val="20"/>
        </w:rPr>
      </w:pPr>
    </w:p>
    <w:p w14:paraId="40BA75DC" w14:textId="77777777" w:rsidR="00DB6E1F" w:rsidRDefault="00DB6E1F">
      <w:pPr>
        <w:pStyle w:val="BodyText"/>
        <w:rPr>
          <w:rFonts w:ascii="Times New Roman"/>
          <w:sz w:val="20"/>
        </w:rPr>
      </w:pPr>
    </w:p>
    <w:p w14:paraId="4C485070" w14:textId="77777777" w:rsidR="00DB6E1F" w:rsidRDefault="00DB6E1F">
      <w:pPr>
        <w:pStyle w:val="BodyText"/>
        <w:rPr>
          <w:rFonts w:ascii="Times New Roman"/>
          <w:sz w:val="20"/>
        </w:rPr>
      </w:pPr>
    </w:p>
    <w:p w14:paraId="0D42B886" w14:textId="77777777" w:rsidR="00DB6E1F" w:rsidRDefault="00DB6E1F">
      <w:pPr>
        <w:pStyle w:val="BodyText"/>
        <w:rPr>
          <w:rFonts w:ascii="Times New Roman"/>
          <w:sz w:val="20"/>
        </w:rPr>
      </w:pPr>
    </w:p>
    <w:p w14:paraId="53ADAC5E" w14:textId="77777777" w:rsidR="00DB6E1F" w:rsidRDefault="00DB6E1F">
      <w:pPr>
        <w:pStyle w:val="BodyText"/>
        <w:spacing w:before="4"/>
        <w:rPr>
          <w:rFonts w:ascii="Times New Roman"/>
          <w:sz w:val="24"/>
        </w:rPr>
      </w:pPr>
    </w:p>
    <w:p w14:paraId="48BA7B1F" w14:textId="77777777" w:rsidR="00DB6E1F" w:rsidRDefault="00F666A6">
      <w:pPr>
        <w:pStyle w:val="Title"/>
        <w:spacing w:line="256" w:lineRule="auto"/>
      </w:pPr>
      <w:r>
        <w:rPr>
          <w:color w:val="010103"/>
          <w:w w:val="115"/>
        </w:rPr>
        <w:t>Enhancing Motivation</w:t>
      </w:r>
      <w:r>
        <w:rPr>
          <w:color w:val="010103"/>
          <w:spacing w:val="-16"/>
          <w:w w:val="115"/>
        </w:rPr>
        <w:t xml:space="preserve"> </w:t>
      </w:r>
      <w:r>
        <w:rPr>
          <w:color w:val="010103"/>
          <w:w w:val="115"/>
        </w:rPr>
        <w:t>for Change</w:t>
      </w:r>
      <w:r>
        <w:rPr>
          <w:color w:val="010103"/>
          <w:spacing w:val="-12"/>
          <w:w w:val="115"/>
        </w:rPr>
        <w:t xml:space="preserve"> </w:t>
      </w:r>
      <w:r>
        <w:rPr>
          <w:color w:val="010103"/>
          <w:w w:val="115"/>
        </w:rPr>
        <w:t>in Substance</w:t>
      </w:r>
      <w:r>
        <w:rPr>
          <w:color w:val="010103"/>
          <w:spacing w:val="-2"/>
          <w:w w:val="115"/>
        </w:rPr>
        <w:t xml:space="preserve"> </w:t>
      </w:r>
      <w:r>
        <w:rPr>
          <w:color w:val="010103"/>
          <w:w w:val="115"/>
        </w:rPr>
        <w:t>Use</w:t>
      </w:r>
      <w:r>
        <w:rPr>
          <w:color w:val="010103"/>
          <w:spacing w:val="-37"/>
          <w:w w:val="115"/>
        </w:rPr>
        <w:t xml:space="preserve"> </w:t>
      </w:r>
      <w:r>
        <w:rPr>
          <w:color w:val="010103"/>
          <w:w w:val="115"/>
        </w:rPr>
        <w:t>Disorder</w:t>
      </w:r>
      <w:r>
        <w:rPr>
          <w:color w:val="010103"/>
          <w:spacing w:val="-25"/>
          <w:w w:val="115"/>
        </w:rPr>
        <w:t xml:space="preserve"> </w:t>
      </w:r>
      <w:r>
        <w:rPr>
          <w:color w:val="010103"/>
          <w:w w:val="115"/>
        </w:rPr>
        <w:t>Treatment</w:t>
      </w:r>
    </w:p>
    <w:p w14:paraId="35124076" w14:textId="77777777" w:rsidR="00DB6E1F" w:rsidRDefault="00F666A6">
      <w:pPr>
        <w:spacing w:before="207"/>
        <w:ind w:left="1444" w:right="1396"/>
        <w:jc w:val="center"/>
        <w:rPr>
          <w:rFonts w:ascii="Arial"/>
          <w:i/>
          <w:sz w:val="26"/>
        </w:rPr>
      </w:pPr>
      <w:r>
        <w:rPr>
          <w:noProof/>
        </w:rPr>
        <w:drawing>
          <wp:anchor distT="0" distB="0" distL="0" distR="0" simplePos="0" relativeHeight="15729152" behindDoc="0" locked="0" layoutInCell="1" allowOverlap="1" wp14:anchorId="6E4C046D" wp14:editId="7552AF33">
            <wp:simplePos x="0" y="0"/>
            <wp:positionH relativeFrom="page">
              <wp:posOffset>0</wp:posOffset>
            </wp:positionH>
            <wp:positionV relativeFrom="paragraph">
              <wp:posOffset>714046</wp:posOffset>
            </wp:positionV>
            <wp:extent cx="7772400" cy="727769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772400" cy="7277699"/>
                    </a:xfrm>
                    <a:prstGeom prst="rect">
                      <a:avLst/>
                    </a:prstGeom>
                  </pic:spPr>
                </pic:pic>
              </a:graphicData>
            </a:graphic>
          </wp:anchor>
        </w:drawing>
      </w:r>
      <w:r>
        <w:rPr>
          <w:rFonts w:ascii="Arial"/>
          <w:i/>
          <w:color w:val="3B3D41"/>
          <w:spacing w:val="-2"/>
          <w:sz w:val="26"/>
        </w:rPr>
        <w:t>UPDATED</w:t>
      </w:r>
      <w:r>
        <w:rPr>
          <w:rFonts w:ascii="Arial"/>
          <w:i/>
          <w:color w:val="3B3D41"/>
          <w:spacing w:val="-10"/>
          <w:sz w:val="26"/>
        </w:rPr>
        <w:t xml:space="preserve"> </w:t>
      </w:r>
      <w:r>
        <w:rPr>
          <w:rFonts w:ascii="Arial"/>
          <w:i/>
          <w:color w:val="3B3D41"/>
          <w:spacing w:val="-4"/>
          <w:w w:val="105"/>
          <w:sz w:val="26"/>
        </w:rPr>
        <w:t>2019</w:t>
      </w:r>
    </w:p>
    <w:p w14:paraId="183FAD6F" w14:textId="77777777" w:rsidR="00DB6E1F" w:rsidRDefault="00DB6E1F">
      <w:pPr>
        <w:jc w:val="center"/>
        <w:rPr>
          <w:rFonts w:ascii="Arial"/>
          <w:sz w:val="26"/>
        </w:rPr>
        <w:sectPr w:rsidR="00DB6E1F">
          <w:type w:val="continuous"/>
          <w:pgSz w:w="12240" w:h="15840"/>
          <w:pgMar w:top="0" w:right="0" w:bottom="0" w:left="0" w:header="720" w:footer="720" w:gutter="0"/>
          <w:cols w:space="720"/>
        </w:sectPr>
      </w:pPr>
    </w:p>
    <w:p w14:paraId="5DED4880" w14:textId="77777777" w:rsidR="00DB6E1F" w:rsidRDefault="00F666A6">
      <w:pPr>
        <w:pStyle w:val="BodyText"/>
        <w:spacing w:before="39"/>
        <w:ind w:left="1440" w:right="1491"/>
      </w:pPr>
      <w:r>
        <w:lastRenderedPageBreak/>
        <w:t>Please</w:t>
      </w:r>
      <w:r>
        <w:rPr>
          <w:spacing w:val="-2"/>
        </w:rPr>
        <w:t xml:space="preserve"> </w:t>
      </w:r>
      <w:r>
        <w:t>share</w:t>
      </w:r>
      <w:r>
        <w:rPr>
          <w:spacing w:val="-5"/>
        </w:rPr>
        <w:t xml:space="preserve"> </w:t>
      </w:r>
      <w:r>
        <w:t>your</w:t>
      </w:r>
      <w:r>
        <w:rPr>
          <w:spacing w:val="-3"/>
        </w:rPr>
        <w:t xml:space="preserve"> </w:t>
      </w:r>
      <w:r>
        <w:t>thoughts</w:t>
      </w:r>
      <w:r>
        <w:rPr>
          <w:spacing w:val="-5"/>
        </w:rPr>
        <w:t xml:space="preserve"> </w:t>
      </w:r>
      <w:r>
        <w:t>about</w:t>
      </w:r>
      <w:r>
        <w:rPr>
          <w:spacing w:val="-5"/>
        </w:rPr>
        <w:t xml:space="preserve"> </w:t>
      </w:r>
      <w:r>
        <w:t>this</w:t>
      </w:r>
      <w:r>
        <w:rPr>
          <w:spacing w:val="-3"/>
        </w:rPr>
        <w:t xml:space="preserve"> </w:t>
      </w:r>
      <w:r>
        <w:t>publication</w:t>
      </w:r>
      <w:r>
        <w:rPr>
          <w:spacing w:val="-5"/>
        </w:rPr>
        <w:t xml:space="preserve"> </w:t>
      </w:r>
      <w:r>
        <w:t>by</w:t>
      </w:r>
      <w:r>
        <w:rPr>
          <w:spacing w:val="-2"/>
        </w:rPr>
        <w:t xml:space="preserve"> </w:t>
      </w:r>
      <w:r>
        <w:t>completing</w:t>
      </w:r>
      <w:r>
        <w:rPr>
          <w:spacing w:val="-4"/>
        </w:rPr>
        <w:t xml:space="preserve"> </w:t>
      </w:r>
      <w:r>
        <w:t>a</w:t>
      </w:r>
      <w:r>
        <w:rPr>
          <w:spacing w:val="-3"/>
        </w:rPr>
        <w:t xml:space="preserve"> </w:t>
      </w:r>
      <w:r>
        <w:t>brief</w:t>
      </w:r>
      <w:r>
        <w:rPr>
          <w:spacing w:val="-5"/>
        </w:rPr>
        <w:t xml:space="preserve"> </w:t>
      </w:r>
      <w:r>
        <w:t>online</w:t>
      </w:r>
      <w:r>
        <w:rPr>
          <w:spacing w:val="-5"/>
        </w:rPr>
        <w:t xml:space="preserve"> </w:t>
      </w:r>
      <w:r>
        <w:t>survey</w:t>
      </w:r>
      <w:r>
        <w:rPr>
          <w:spacing w:val="-2"/>
        </w:rPr>
        <w:t xml:space="preserve"> </w:t>
      </w:r>
      <w:r>
        <w:t xml:space="preserve">at </w:t>
      </w:r>
      <w:hyperlink r:id="rId9">
        <w:r>
          <w:rPr>
            <w:color w:val="0563C1"/>
            <w:spacing w:val="-2"/>
            <w:u w:val="single" w:color="0563C1"/>
          </w:rPr>
          <w:t>www.surveymonkey.com/r/KAPPFS</w:t>
        </w:r>
      </w:hyperlink>
      <w:r>
        <w:rPr>
          <w:spacing w:val="-2"/>
        </w:rPr>
        <w:t>.</w:t>
      </w:r>
    </w:p>
    <w:p w14:paraId="730333C8" w14:textId="77777777" w:rsidR="00DB6E1F" w:rsidRDefault="00F666A6">
      <w:pPr>
        <w:pStyle w:val="BodyText"/>
        <w:spacing w:before="159"/>
        <w:ind w:left="1440" w:right="1491"/>
      </w:pPr>
      <w:r>
        <w:t>The</w:t>
      </w:r>
      <w:r>
        <w:rPr>
          <w:spacing w:val="-1"/>
        </w:rPr>
        <w:t xml:space="preserve"> </w:t>
      </w:r>
      <w:r>
        <w:t>survey</w:t>
      </w:r>
      <w:r>
        <w:rPr>
          <w:spacing w:val="-3"/>
        </w:rPr>
        <w:t xml:space="preserve"> </w:t>
      </w:r>
      <w:r>
        <w:t>takes</w:t>
      </w:r>
      <w:r>
        <w:rPr>
          <w:spacing w:val="-2"/>
        </w:rPr>
        <w:t xml:space="preserve"> </w:t>
      </w:r>
      <w:r>
        <w:t>about</w:t>
      </w:r>
      <w:r>
        <w:rPr>
          <w:spacing w:val="-4"/>
        </w:rPr>
        <w:t xml:space="preserve"> </w:t>
      </w:r>
      <w:r>
        <w:t>7</w:t>
      </w:r>
      <w:r>
        <w:rPr>
          <w:spacing w:val="-3"/>
        </w:rPr>
        <w:t xml:space="preserve"> </w:t>
      </w:r>
      <w:r>
        <w:t>minutes</w:t>
      </w:r>
      <w:r>
        <w:rPr>
          <w:spacing w:val="-2"/>
        </w:rPr>
        <w:t xml:space="preserve"> </w:t>
      </w:r>
      <w:r>
        <w:t>to</w:t>
      </w:r>
      <w:r>
        <w:rPr>
          <w:spacing w:val="-1"/>
        </w:rPr>
        <w:t xml:space="preserve"> </w:t>
      </w:r>
      <w:r>
        <w:t>complete</w:t>
      </w:r>
      <w:r>
        <w:rPr>
          <w:spacing w:val="-4"/>
        </w:rPr>
        <w:t xml:space="preserve"> </w:t>
      </w:r>
      <w:r>
        <w:t>and</w:t>
      </w:r>
      <w:r>
        <w:rPr>
          <w:spacing w:val="-3"/>
        </w:rPr>
        <w:t xml:space="preserve"> </w:t>
      </w:r>
      <w:r>
        <w:t>is</w:t>
      </w:r>
      <w:r>
        <w:rPr>
          <w:spacing w:val="-2"/>
        </w:rPr>
        <w:t xml:space="preserve"> </w:t>
      </w:r>
      <w:r>
        <w:t>anonymous.</w:t>
      </w:r>
      <w:r>
        <w:rPr>
          <w:spacing w:val="-5"/>
        </w:rPr>
        <w:t xml:space="preserve"> </w:t>
      </w:r>
      <w:r>
        <w:t>Your</w:t>
      </w:r>
      <w:r>
        <w:rPr>
          <w:spacing w:val="-4"/>
        </w:rPr>
        <w:t xml:space="preserve"> </w:t>
      </w:r>
      <w:r>
        <w:t>feedback</w:t>
      </w:r>
      <w:r>
        <w:rPr>
          <w:spacing w:val="-4"/>
        </w:rPr>
        <w:t xml:space="preserve"> </w:t>
      </w:r>
      <w:r>
        <w:t>will</w:t>
      </w:r>
      <w:r>
        <w:rPr>
          <w:spacing w:val="-2"/>
        </w:rPr>
        <w:t xml:space="preserve"> </w:t>
      </w:r>
      <w:r>
        <w:t>help</w:t>
      </w:r>
      <w:r>
        <w:rPr>
          <w:spacing w:val="-3"/>
        </w:rPr>
        <w:t xml:space="preserve"> </w:t>
      </w:r>
      <w:r>
        <w:t>SAMHSA develop future products.</w:t>
      </w:r>
    </w:p>
    <w:p w14:paraId="5CE68554" w14:textId="77777777" w:rsidR="00DB6E1F" w:rsidRDefault="00DB6E1F">
      <w:pPr>
        <w:sectPr w:rsidR="00DB6E1F">
          <w:pgSz w:w="12240" w:h="15840"/>
          <w:pgMar w:top="1400" w:right="0" w:bottom="280" w:left="0" w:header="720" w:footer="720" w:gutter="0"/>
          <w:cols w:space="720"/>
        </w:sectPr>
      </w:pPr>
    </w:p>
    <w:p w14:paraId="1295C328" w14:textId="77777777" w:rsidR="00DB6E1F" w:rsidRDefault="00DB6E1F">
      <w:pPr>
        <w:pStyle w:val="BodyText"/>
        <w:rPr>
          <w:sz w:val="20"/>
        </w:rPr>
      </w:pPr>
    </w:p>
    <w:p w14:paraId="166C8EA1" w14:textId="77777777" w:rsidR="00DB6E1F" w:rsidRDefault="00DB6E1F">
      <w:pPr>
        <w:pStyle w:val="BodyText"/>
        <w:rPr>
          <w:sz w:val="20"/>
        </w:rPr>
      </w:pPr>
    </w:p>
    <w:p w14:paraId="5DA879B3" w14:textId="77777777" w:rsidR="00DB6E1F" w:rsidRDefault="00DB6E1F">
      <w:pPr>
        <w:pStyle w:val="BodyText"/>
        <w:rPr>
          <w:sz w:val="20"/>
        </w:rPr>
      </w:pPr>
    </w:p>
    <w:p w14:paraId="23519F3F" w14:textId="77777777" w:rsidR="00DB6E1F" w:rsidRDefault="00DB6E1F">
      <w:pPr>
        <w:pStyle w:val="BodyText"/>
        <w:spacing w:before="2"/>
        <w:rPr>
          <w:sz w:val="18"/>
        </w:rPr>
      </w:pPr>
    </w:p>
    <w:p w14:paraId="0D56F7DA" w14:textId="77777777" w:rsidR="00DB6E1F" w:rsidRDefault="00F666A6">
      <w:pPr>
        <w:spacing w:before="35"/>
        <w:ind w:left="1440"/>
        <w:rPr>
          <w:rFonts w:ascii="Calibri Light"/>
          <w:sz w:val="32"/>
        </w:rPr>
      </w:pPr>
      <w:r>
        <w:rPr>
          <w:rFonts w:ascii="Calibri Light"/>
          <w:color w:val="2F5496"/>
          <w:spacing w:val="-2"/>
          <w:sz w:val="32"/>
        </w:rPr>
        <w:t>Contents</w:t>
      </w:r>
    </w:p>
    <w:p w14:paraId="5C6F1001" w14:textId="77777777" w:rsidR="00DB6E1F" w:rsidRDefault="00DB6E1F">
      <w:pPr>
        <w:rPr>
          <w:rFonts w:ascii="Calibri Light"/>
          <w:sz w:val="32"/>
        </w:rPr>
        <w:sectPr w:rsidR="00DB6E1F">
          <w:headerReference w:type="default" r:id="rId10"/>
          <w:footerReference w:type="default" r:id="rId11"/>
          <w:pgSz w:w="12240" w:h="15840"/>
          <w:pgMar w:top="960" w:right="0" w:bottom="1485" w:left="0" w:header="762" w:footer="602" w:gutter="0"/>
          <w:pgNumType w:start="1"/>
          <w:cols w:space="720"/>
        </w:sectPr>
      </w:pPr>
    </w:p>
    <w:sdt>
      <w:sdtPr>
        <w:id w:val="2053117234"/>
        <w:docPartObj>
          <w:docPartGallery w:val="Table of Contents"/>
          <w:docPartUnique/>
        </w:docPartObj>
      </w:sdtPr>
      <w:sdtEndPr/>
      <w:sdtContent>
        <w:p w14:paraId="2BC5DDD7" w14:textId="77777777" w:rsidR="00DB6E1F" w:rsidRDefault="00F666A6">
          <w:pPr>
            <w:pStyle w:val="TOC1"/>
            <w:tabs>
              <w:tab w:val="right" w:leader="dot" w:pos="10791"/>
            </w:tabs>
            <w:spacing w:before="29"/>
          </w:pPr>
          <w:hyperlink w:anchor="_bookmark0" w:history="1">
            <w:r>
              <w:rPr>
                <w:spacing w:val="-2"/>
              </w:rPr>
              <w:t>Foreword</w:t>
            </w:r>
            <w:r>
              <w:rPr>
                <w:rFonts w:ascii="Times New Roman"/>
              </w:rPr>
              <w:tab/>
            </w:r>
            <w:r>
              <w:rPr>
                <w:spacing w:val="-10"/>
              </w:rPr>
              <w:t>v</w:t>
            </w:r>
          </w:hyperlink>
        </w:p>
        <w:p w14:paraId="60DC5506" w14:textId="77777777" w:rsidR="00DB6E1F" w:rsidRDefault="00F666A6">
          <w:pPr>
            <w:pStyle w:val="TOC1"/>
            <w:tabs>
              <w:tab w:val="right" w:leader="dot" w:pos="10794"/>
            </w:tabs>
            <w:spacing w:before="122"/>
          </w:pPr>
          <w:hyperlink w:anchor="_bookmark1" w:history="1">
            <w:r>
              <w:t>Executive</w:t>
            </w:r>
            <w:r>
              <w:rPr>
                <w:spacing w:val="-6"/>
              </w:rPr>
              <w:t xml:space="preserve"> </w:t>
            </w:r>
            <w:r>
              <w:rPr>
                <w:spacing w:val="-2"/>
              </w:rPr>
              <w:t>Summary</w:t>
            </w:r>
            <w:r>
              <w:rPr>
                <w:rFonts w:ascii="Times New Roman"/>
              </w:rPr>
              <w:tab/>
            </w:r>
            <w:r>
              <w:rPr>
                <w:spacing w:val="-5"/>
              </w:rPr>
              <w:t>vi</w:t>
            </w:r>
          </w:hyperlink>
        </w:p>
        <w:p w14:paraId="7FB6B1CD" w14:textId="77777777" w:rsidR="00DB6E1F" w:rsidRDefault="00F666A6">
          <w:pPr>
            <w:pStyle w:val="TOC1"/>
            <w:tabs>
              <w:tab w:val="right" w:leader="dot" w:pos="10790"/>
            </w:tabs>
            <w:spacing w:before="121"/>
          </w:pPr>
          <w:hyperlink w:anchor="_bookmark2" w:history="1">
            <w:r>
              <w:t>TIP</w:t>
            </w:r>
            <w:r>
              <w:rPr>
                <w:spacing w:val="-5"/>
              </w:rPr>
              <w:t xml:space="preserve"> </w:t>
            </w:r>
            <w:r>
              <w:t>Development</w:t>
            </w:r>
            <w:r>
              <w:rPr>
                <w:spacing w:val="-5"/>
              </w:rPr>
              <w:t xml:space="preserve"> </w:t>
            </w:r>
            <w:r>
              <w:rPr>
                <w:spacing w:val="-2"/>
              </w:rPr>
              <w:t>Participants</w:t>
            </w:r>
            <w:r>
              <w:rPr>
                <w:rFonts w:ascii="Times New Roman"/>
              </w:rPr>
              <w:tab/>
            </w:r>
            <w:r>
              <w:rPr>
                <w:spacing w:val="-4"/>
              </w:rPr>
              <w:t>xiii</w:t>
            </w:r>
          </w:hyperlink>
        </w:p>
        <w:p w14:paraId="1ECFF186" w14:textId="77777777" w:rsidR="00DB6E1F" w:rsidRDefault="00F666A6">
          <w:pPr>
            <w:pStyle w:val="TOC1"/>
            <w:tabs>
              <w:tab w:val="right" w:leader="dot" w:pos="10790"/>
            </w:tabs>
            <w:spacing w:before="122"/>
          </w:pPr>
          <w:hyperlink w:anchor="_bookmark4" w:history="1">
            <w:r>
              <w:t>Publication</w:t>
            </w:r>
            <w:r>
              <w:rPr>
                <w:spacing w:val="-7"/>
              </w:rPr>
              <w:t xml:space="preserve"> </w:t>
            </w:r>
            <w:r>
              <w:rPr>
                <w:spacing w:val="-2"/>
              </w:rPr>
              <w:t>Information</w:t>
            </w:r>
            <w:r>
              <w:rPr>
                <w:rFonts w:ascii="Times New Roman"/>
              </w:rPr>
              <w:tab/>
            </w:r>
            <w:r>
              <w:rPr>
                <w:spacing w:val="-2"/>
              </w:rPr>
              <w:t>xxiii</w:t>
            </w:r>
          </w:hyperlink>
        </w:p>
        <w:p w14:paraId="2A715276" w14:textId="77777777" w:rsidR="00DB6E1F" w:rsidRDefault="00F666A6">
          <w:pPr>
            <w:pStyle w:val="TOC1"/>
            <w:tabs>
              <w:tab w:val="right" w:leader="dot" w:pos="10792"/>
            </w:tabs>
            <w:spacing w:before="121"/>
          </w:pPr>
          <w:hyperlink w:anchor="_bookmark5" w:history="1">
            <w:r>
              <w:t>Chapter</w:t>
            </w:r>
            <w:r>
              <w:rPr>
                <w:spacing w:val="-2"/>
              </w:rPr>
              <w:t xml:space="preserve"> </w:t>
            </w:r>
            <w:r>
              <w:t>1—A</w:t>
            </w:r>
            <w:r>
              <w:rPr>
                <w:spacing w:val="-5"/>
              </w:rPr>
              <w:t xml:space="preserve"> </w:t>
            </w:r>
            <w:r>
              <w:t>New</w:t>
            </w:r>
            <w:r>
              <w:rPr>
                <w:spacing w:val="-4"/>
              </w:rPr>
              <w:t xml:space="preserve"> </w:t>
            </w:r>
            <w:r>
              <w:t>Look</w:t>
            </w:r>
            <w:r>
              <w:rPr>
                <w:spacing w:val="-1"/>
              </w:rPr>
              <w:t xml:space="preserve"> </w:t>
            </w:r>
            <w:r>
              <w:t>at</w:t>
            </w:r>
            <w:r>
              <w:rPr>
                <w:spacing w:val="-5"/>
              </w:rPr>
              <w:t xml:space="preserve"> </w:t>
            </w:r>
            <w:r>
              <w:rPr>
                <w:spacing w:val="-2"/>
              </w:rPr>
              <w:t>Motivation</w:t>
            </w:r>
            <w:r>
              <w:rPr>
                <w:rFonts w:ascii="Times New Roman" w:hAnsi="Times New Roman"/>
              </w:rPr>
              <w:tab/>
            </w:r>
            <w:r>
              <w:rPr>
                <w:spacing w:val="-10"/>
              </w:rPr>
              <w:t>1</w:t>
            </w:r>
          </w:hyperlink>
        </w:p>
        <w:p w14:paraId="587535DC" w14:textId="77777777" w:rsidR="00DB6E1F" w:rsidRDefault="00F666A6">
          <w:pPr>
            <w:pStyle w:val="TOC3"/>
            <w:tabs>
              <w:tab w:val="right" w:leader="dot" w:pos="10792"/>
            </w:tabs>
            <w:spacing w:before="122"/>
          </w:pPr>
          <w:hyperlink w:anchor="_bookmark6" w:history="1">
            <w:r>
              <w:t>Motivation</w:t>
            </w:r>
            <w:r>
              <w:rPr>
                <w:spacing w:val="-8"/>
              </w:rPr>
              <w:t xml:space="preserve"> </w:t>
            </w:r>
            <w:r>
              <w:t>and</w:t>
            </w:r>
            <w:r>
              <w:rPr>
                <w:spacing w:val="-5"/>
              </w:rPr>
              <w:t xml:space="preserve"> </w:t>
            </w:r>
            <w:r>
              <w:t>Behavior</w:t>
            </w:r>
            <w:r>
              <w:rPr>
                <w:spacing w:val="-4"/>
              </w:rPr>
              <w:t xml:space="preserve"> </w:t>
            </w:r>
            <w:r>
              <w:rPr>
                <w:spacing w:val="-2"/>
              </w:rPr>
              <w:t>Change</w:t>
            </w:r>
            <w:r>
              <w:rPr>
                <w:rFonts w:ascii="Times New Roman"/>
              </w:rPr>
              <w:tab/>
            </w:r>
            <w:r>
              <w:rPr>
                <w:spacing w:val="-10"/>
              </w:rPr>
              <w:t>3</w:t>
            </w:r>
          </w:hyperlink>
        </w:p>
        <w:p w14:paraId="23A00D38" w14:textId="77777777" w:rsidR="00DB6E1F" w:rsidRDefault="00F666A6">
          <w:pPr>
            <w:pStyle w:val="TOC3"/>
            <w:tabs>
              <w:tab w:val="right" w:leader="dot" w:pos="10792"/>
            </w:tabs>
            <w:spacing w:before="121"/>
          </w:pPr>
          <w:hyperlink w:anchor="_bookmark7" w:history="1">
            <w:r>
              <w:t>Changing</w:t>
            </w:r>
            <w:r>
              <w:rPr>
                <w:spacing w:val="-5"/>
              </w:rPr>
              <w:t xml:space="preserve"> </w:t>
            </w:r>
            <w:r>
              <w:t>Perspectives</w:t>
            </w:r>
            <w:r>
              <w:rPr>
                <w:spacing w:val="-6"/>
              </w:rPr>
              <w:t xml:space="preserve"> </w:t>
            </w:r>
            <w:r>
              <w:t>on</w:t>
            </w:r>
            <w:r>
              <w:rPr>
                <w:spacing w:val="-7"/>
              </w:rPr>
              <w:t xml:space="preserve"> </w:t>
            </w:r>
            <w:r>
              <w:t>Addiction</w:t>
            </w:r>
            <w:r>
              <w:rPr>
                <w:spacing w:val="-5"/>
              </w:rPr>
              <w:t xml:space="preserve"> </w:t>
            </w:r>
            <w:r>
              <w:t>and</w:t>
            </w:r>
            <w:r>
              <w:rPr>
                <w:spacing w:val="-4"/>
              </w:rPr>
              <w:t xml:space="preserve"> </w:t>
            </w:r>
            <w:r>
              <w:rPr>
                <w:spacing w:val="-2"/>
              </w:rPr>
              <w:t>Treatment</w:t>
            </w:r>
            <w:r>
              <w:rPr>
                <w:rFonts w:ascii="Times New Roman"/>
              </w:rPr>
              <w:tab/>
            </w:r>
            <w:r>
              <w:rPr>
                <w:spacing w:val="-10"/>
              </w:rPr>
              <w:t>6</w:t>
            </w:r>
          </w:hyperlink>
        </w:p>
        <w:p w14:paraId="4E27DE15" w14:textId="77777777" w:rsidR="00DB6E1F" w:rsidRDefault="00F666A6">
          <w:pPr>
            <w:pStyle w:val="TOC3"/>
            <w:tabs>
              <w:tab w:val="right" w:leader="dot" w:pos="10793"/>
            </w:tabs>
          </w:pPr>
          <w:hyperlink w:anchor="_bookmark8" w:history="1">
            <w:r>
              <w:t>TTM</w:t>
            </w:r>
            <w:r>
              <w:rPr>
                <w:spacing w:val="-1"/>
              </w:rPr>
              <w:t xml:space="preserve"> </w:t>
            </w:r>
            <w:r>
              <w:t>of</w:t>
            </w:r>
            <w:r>
              <w:rPr>
                <w:spacing w:val="-3"/>
              </w:rPr>
              <w:t xml:space="preserve"> </w:t>
            </w:r>
            <w:r>
              <w:t>the</w:t>
            </w:r>
            <w:r>
              <w:rPr>
                <w:spacing w:val="1"/>
              </w:rPr>
              <w:t xml:space="preserve"> </w:t>
            </w:r>
            <w:r>
              <w:rPr>
                <w:spacing w:val="-5"/>
              </w:rPr>
              <w:t>SOC</w:t>
            </w:r>
            <w:r>
              <w:rPr>
                <w:rFonts w:ascii="Times New Roman"/>
              </w:rPr>
              <w:tab/>
            </w:r>
            <w:r>
              <w:rPr>
                <w:spacing w:val="-7"/>
              </w:rPr>
              <w:t>12</w:t>
            </w:r>
          </w:hyperlink>
        </w:p>
        <w:p w14:paraId="6A7FA311" w14:textId="77777777" w:rsidR="00DB6E1F" w:rsidRDefault="00F666A6">
          <w:pPr>
            <w:pStyle w:val="TOC3"/>
            <w:tabs>
              <w:tab w:val="right" w:leader="dot" w:pos="10793"/>
            </w:tabs>
            <w:spacing w:before="123"/>
          </w:pPr>
          <w:hyperlink w:anchor="_bookmark9" w:history="1">
            <w:r>
              <w:rPr>
                <w:spacing w:val="-2"/>
              </w:rPr>
              <w:t>Conclusion</w:t>
            </w:r>
            <w:r>
              <w:rPr>
                <w:rFonts w:ascii="Times New Roman"/>
              </w:rPr>
              <w:tab/>
            </w:r>
            <w:r>
              <w:rPr>
                <w:spacing w:val="-5"/>
              </w:rPr>
              <w:t>15</w:t>
            </w:r>
          </w:hyperlink>
        </w:p>
        <w:p w14:paraId="3D9FC268" w14:textId="77777777" w:rsidR="00DB6E1F" w:rsidRDefault="00F666A6">
          <w:pPr>
            <w:pStyle w:val="TOC1"/>
            <w:tabs>
              <w:tab w:val="right" w:leader="dot" w:pos="10793"/>
            </w:tabs>
          </w:pPr>
          <w:hyperlink w:anchor="_bookmark10" w:history="1">
            <w:r>
              <w:t>Chapter</w:t>
            </w:r>
            <w:r>
              <w:rPr>
                <w:spacing w:val="-6"/>
              </w:rPr>
              <w:t xml:space="preserve"> </w:t>
            </w:r>
            <w:r>
              <w:t>2—Motivational</w:t>
            </w:r>
            <w:r>
              <w:rPr>
                <w:spacing w:val="-6"/>
              </w:rPr>
              <w:t xml:space="preserve"> </w:t>
            </w:r>
            <w:r>
              <w:t>Counseling</w:t>
            </w:r>
            <w:r>
              <w:rPr>
                <w:spacing w:val="-6"/>
              </w:rPr>
              <w:t xml:space="preserve"> </w:t>
            </w:r>
            <w:r>
              <w:t>and</w:t>
            </w:r>
            <w:r>
              <w:rPr>
                <w:spacing w:val="-6"/>
              </w:rPr>
              <w:t xml:space="preserve"> </w:t>
            </w:r>
            <w:r>
              <w:t>Brief</w:t>
            </w:r>
            <w:r>
              <w:rPr>
                <w:spacing w:val="-8"/>
              </w:rPr>
              <w:t xml:space="preserve"> </w:t>
            </w:r>
            <w:r>
              <w:rPr>
                <w:spacing w:val="-2"/>
              </w:rPr>
              <w:t>Intervention</w:t>
            </w:r>
            <w:r>
              <w:rPr>
                <w:rFonts w:ascii="Times New Roman" w:hAnsi="Times New Roman"/>
              </w:rPr>
              <w:tab/>
            </w:r>
            <w:r>
              <w:rPr>
                <w:spacing w:val="-5"/>
              </w:rPr>
              <w:t>17</w:t>
            </w:r>
          </w:hyperlink>
        </w:p>
        <w:p w14:paraId="34F1D398" w14:textId="77777777" w:rsidR="00DB6E1F" w:rsidRDefault="00F666A6">
          <w:pPr>
            <w:pStyle w:val="TOC3"/>
            <w:tabs>
              <w:tab w:val="right" w:leader="dot" w:pos="10793"/>
            </w:tabs>
            <w:spacing w:before="123"/>
          </w:pPr>
          <w:hyperlink w:anchor="_bookmark11" w:history="1">
            <w:r>
              <w:t>Elements</w:t>
            </w:r>
            <w:r>
              <w:rPr>
                <w:spacing w:val="-8"/>
              </w:rPr>
              <w:t xml:space="preserve"> </w:t>
            </w:r>
            <w:r>
              <w:t>of</w:t>
            </w:r>
            <w:r>
              <w:rPr>
                <w:spacing w:val="-5"/>
              </w:rPr>
              <w:t xml:space="preserve"> </w:t>
            </w:r>
            <w:r>
              <w:t>Effective</w:t>
            </w:r>
            <w:r>
              <w:rPr>
                <w:spacing w:val="-8"/>
              </w:rPr>
              <w:t xml:space="preserve"> </w:t>
            </w:r>
            <w:r>
              <w:t>Motivational</w:t>
            </w:r>
            <w:r>
              <w:rPr>
                <w:spacing w:val="-5"/>
              </w:rPr>
              <w:t xml:space="preserve"> </w:t>
            </w:r>
            <w:r>
              <w:t>Counseling</w:t>
            </w:r>
            <w:r>
              <w:rPr>
                <w:spacing w:val="-6"/>
              </w:rPr>
              <w:t xml:space="preserve"> </w:t>
            </w:r>
            <w:r>
              <w:rPr>
                <w:spacing w:val="-2"/>
              </w:rPr>
              <w:t>Approaches</w:t>
            </w:r>
            <w:r>
              <w:rPr>
                <w:rFonts w:ascii="Times New Roman"/>
              </w:rPr>
              <w:tab/>
            </w:r>
            <w:r>
              <w:rPr>
                <w:spacing w:val="-5"/>
              </w:rPr>
              <w:t>17</w:t>
            </w:r>
          </w:hyperlink>
        </w:p>
        <w:p w14:paraId="3C4F3075" w14:textId="77777777" w:rsidR="00DB6E1F" w:rsidRDefault="00F666A6">
          <w:pPr>
            <w:pStyle w:val="TOC3"/>
            <w:tabs>
              <w:tab w:val="right" w:leader="dot" w:pos="10793"/>
            </w:tabs>
          </w:pPr>
          <w:hyperlink w:anchor="_bookmark12" w:history="1">
            <w:r>
              <w:t>Motivational</w:t>
            </w:r>
            <w:r>
              <w:rPr>
                <w:spacing w:val="-6"/>
              </w:rPr>
              <w:t xml:space="preserve"> </w:t>
            </w:r>
            <w:r>
              <w:t>Counseling</w:t>
            </w:r>
            <w:r>
              <w:rPr>
                <w:spacing w:val="-5"/>
              </w:rPr>
              <w:t xml:space="preserve"> </w:t>
            </w:r>
            <w:r>
              <w:t>and</w:t>
            </w:r>
            <w:r>
              <w:rPr>
                <w:spacing w:val="-6"/>
              </w:rPr>
              <w:t xml:space="preserve"> </w:t>
            </w:r>
            <w:r>
              <w:t>the</w:t>
            </w:r>
            <w:r>
              <w:rPr>
                <w:spacing w:val="-4"/>
              </w:rPr>
              <w:t xml:space="preserve"> </w:t>
            </w:r>
            <w:r>
              <w:rPr>
                <w:spacing w:val="-5"/>
              </w:rPr>
              <w:t>SOC</w:t>
            </w:r>
            <w:r>
              <w:rPr>
                <w:rFonts w:ascii="Times New Roman"/>
              </w:rPr>
              <w:tab/>
            </w:r>
            <w:r>
              <w:rPr>
                <w:spacing w:val="-7"/>
              </w:rPr>
              <w:t>24</w:t>
            </w:r>
          </w:hyperlink>
        </w:p>
        <w:p w14:paraId="4502C1DC" w14:textId="77777777" w:rsidR="00DB6E1F" w:rsidRDefault="00F666A6">
          <w:pPr>
            <w:pStyle w:val="TOC3"/>
            <w:tabs>
              <w:tab w:val="right" w:leader="dot" w:pos="10793"/>
            </w:tabs>
          </w:pPr>
          <w:hyperlink w:anchor="_bookmark13" w:history="1">
            <w:r>
              <w:t>Special</w:t>
            </w:r>
            <w:r>
              <w:rPr>
                <w:spacing w:val="-5"/>
              </w:rPr>
              <w:t xml:space="preserve"> </w:t>
            </w:r>
            <w:r>
              <w:t>Applications</w:t>
            </w:r>
            <w:r>
              <w:rPr>
                <w:spacing w:val="-6"/>
              </w:rPr>
              <w:t xml:space="preserve"> </w:t>
            </w:r>
            <w:r>
              <w:t>of</w:t>
            </w:r>
            <w:r>
              <w:rPr>
                <w:spacing w:val="-7"/>
              </w:rPr>
              <w:t xml:space="preserve"> </w:t>
            </w:r>
            <w:r>
              <w:t>Motivational</w:t>
            </w:r>
            <w:r>
              <w:rPr>
                <w:spacing w:val="-4"/>
              </w:rPr>
              <w:t xml:space="preserve"> </w:t>
            </w:r>
            <w:r>
              <w:rPr>
                <w:spacing w:val="-2"/>
              </w:rPr>
              <w:t>Interventio</w:t>
            </w:r>
            <w:r>
              <w:rPr>
                <w:spacing w:val="-2"/>
              </w:rPr>
              <w:t>ns</w:t>
            </w:r>
            <w:r>
              <w:rPr>
                <w:rFonts w:ascii="Times New Roman"/>
              </w:rPr>
              <w:tab/>
            </w:r>
            <w:r>
              <w:rPr>
                <w:spacing w:val="-5"/>
              </w:rPr>
              <w:t>25</w:t>
            </w:r>
          </w:hyperlink>
        </w:p>
        <w:p w14:paraId="15D3E818" w14:textId="77777777" w:rsidR="00DB6E1F" w:rsidRDefault="00F666A6">
          <w:pPr>
            <w:pStyle w:val="TOC3"/>
            <w:tabs>
              <w:tab w:val="right" w:leader="dot" w:pos="10793"/>
            </w:tabs>
            <w:spacing w:before="123"/>
          </w:pPr>
          <w:hyperlink w:anchor="_bookmark14" w:history="1">
            <w:r>
              <w:t>Brief</w:t>
            </w:r>
            <w:r>
              <w:rPr>
                <w:spacing w:val="-6"/>
              </w:rPr>
              <w:t xml:space="preserve"> </w:t>
            </w:r>
            <w:r>
              <w:t>Motivational</w:t>
            </w:r>
            <w:r>
              <w:rPr>
                <w:spacing w:val="-5"/>
              </w:rPr>
              <w:t xml:space="preserve"> </w:t>
            </w:r>
            <w:r>
              <w:rPr>
                <w:spacing w:val="-2"/>
                <w:w w:val="95"/>
              </w:rPr>
              <w:t>Interventions</w:t>
            </w:r>
            <w:r>
              <w:rPr>
                <w:rFonts w:ascii="Times New Roman"/>
              </w:rPr>
              <w:tab/>
            </w:r>
            <w:r>
              <w:rPr>
                <w:spacing w:val="-5"/>
              </w:rPr>
              <w:t>30</w:t>
            </w:r>
          </w:hyperlink>
        </w:p>
        <w:p w14:paraId="7D7BAC05" w14:textId="77777777" w:rsidR="00DB6E1F" w:rsidRDefault="00F666A6">
          <w:pPr>
            <w:pStyle w:val="TOC3"/>
            <w:tabs>
              <w:tab w:val="right" w:leader="dot" w:pos="10793"/>
            </w:tabs>
          </w:pPr>
          <w:hyperlink w:anchor="_bookmark15" w:history="1">
            <w:r>
              <w:t>Screening,</w:t>
            </w:r>
            <w:r>
              <w:rPr>
                <w:spacing w:val="-5"/>
              </w:rPr>
              <w:t xml:space="preserve"> </w:t>
            </w:r>
            <w:r>
              <w:t>Brief</w:t>
            </w:r>
            <w:r>
              <w:rPr>
                <w:spacing w:val="-7"/>
              </w:rPr>
              <w:t xml:space="preserve"> </w:t>
            </w:r>
            <w:r>
              <w:t>Intervention,</w:t>
            </w:r>
            <w:r>
              <w:rPr>
                <w:spacing w:val="-5"/>
              </w:rPr>
              <w:t xml:space="preserve"> </w:t>
            </w:r>
            <w:r>
              <w:t>and</w:t>
            </w:r>
            <w:r>
              <w:rPr>
                <w:spacing w:val="-5"/>
              </w:rPr>
              <w:t xml:space="preserve"> </w:t>
            </w:r>
            <w:r>
              <w:t>Referral</w:t>
            </w:r>
            <w:r>
              <w:rPr>
                <w:spacing w:val="-8"/>
              </w:rPr>
              <w:t xml:space="preserve"> </w:t>
            </w:r>
            <w:r>
              <w:t>to</w:t>
            </w:r>
            <w:r>
              <w:rPr>
                <w:spacing w:val="-3"/>
              </w:rPr>
              <w:t xml:space="preserve"> </w:t>
            </w:r>
            <w:r>
              <w:rPr>
                <w:spacing w:val="-2"/>
              </w:rPr>
              <w:t>Treatment</w:t>
            </w:r>
            <w:r>
              <w:rPr>
                <w:rFonts w:ascii="Times New Roman"/>
              </w:rPr>
              <w:tab/>
            </w:r>
            <w:r>
              <w:rPr>
                <w:spacing w:val="-5"/>
              </w:rPr>
              <w:t>31</w:t>
            </w:r>
          </w:hyperlink>
        </w:p>
        <w:p w14:paraId="0C832AB7" w14:textId="77777777" w:rsidR="00DB6E1F" w:rsidRDefault="00F666A6">
          <w:pPr>
            <w:pStyle w:val="TOC3"/>
            <w:tabs>
              <w:tab w:val="right" w:leader="dot" w:pos="10793"/>
            </w:tabs>
            <w:spacing w:before="123"/>
          </w:pPr>
          <w:hyperlink w:anchor="_bookmark16" w:history="1">
            <w:r>
              <w:rPr>
                <w:spacing w:val="-2"/>
              </w:rPr>
              <w:t>Conclusion</w:t>
            </w:r>
            <w:r>
              <w:rPr>
                <w:rFonts w:ascii="Times New Roman"/>
              </w:rPr>
              <w:tab/>
            </w:r>
            <w:r>
              <w:rPr>
                <w:spacing w:val="-5"/>
              </w:rPr>
              <w:t>32</w:t>
            </w:r>
          </w:hyperlink>
        </w:p>
        <w:p w14:paraId="1F0A5B5D" w14:textId="77777777" w:rsidR="00DB6E1F" w:rsidRDefault="00F666A6">
          <w:pPr>
            <w:pStyle w:val="TOC1"/>
            <w:tabs>
              <w:tab w:val="right" w:leader="dot" w:pos="10793"/>
            </w:tabs>
          </w:pPr>
          <w:hyperlink w:anchor="_bookmark17" w:history="1">
            <w:r>
              <w:t>Chapter</w:t>
            </w:r>
            <w:r>
              <w:rPr>
                <w:spacing w:val="-8"/>
              </w:rPr>
              <w:t xml:space="preserve"> </w:t>
            </w:r>
            <w:r>
              <w:t>3—Motivational</w:t>
            </w:r>
            <w:r>
              <w:rPr>
                <w:spacing w:val="-5"/>
              </w:rPr>
              <w:t xml:space="preserve"> </w:t>
            </w:r>
            <w:r>
              <w:t>Interviewing</w:t>
            </w:r>
            <w:r>
              <w:rPr>
                <w:spacing w:val="-6"/>
              </w:rPr>
              <w:t xml:space="preserve"> </w:t>
            </w:r>
            <w:r>
              <w:t>as</w:t>
            </w:r>
            <w:r>
              <w:rPr>
                <w:spacing w:val="-7"/>
              </w:rPr>
              <w:t xml:space="preserve"> </w:t>
            </w:r>
            <w:r>
              <w:t>a</w:t>
            </w:r>
            <w:r>
              <w:rPr>
                <w:spacing w:val="-5"/>
              </w:rPr>
              <w:t xml:space="preserve"> </w:t>
            </w:r>
            <w:r>
              <w:t>Counseling</w:t>
            </w:r>
            <w:r>
              <w:rPr>
                <w:spacing w:val="-7"/>
              </w:rPr>
              <w:t xml:space="preserve"> </w:t>
            </w:r>
            <w:r>
              <w:rPr>
                <w:spacing w:val="-2"/>
              </w:rPr>
              <w:t>Style</w:t>
            </w:r>
            <w:r>
              <w:rPr>
                <w:rFonts w:ascii="Times New Roman" w:hAnsi="Times New Roman"/>
              </w:rPr>
              <w:tab/>
            </w:r>
            <w:r>
              <w:rPr>
                <w:spacing w:val="-5"/>
              </w:rPr>
              <w:t>33</w:t>
            </w:r>
          </w:hyperlink>
        </w:p>
        <w:p w14:paraId="6B5FD10E" w14:textId="77777777" w:rsidR="00DB6E1F" w:rsidRDefault="00F666A6">
          <w:pPr>
            <w:pStyle w:val="TOC3"/>
            <w:tabs>
              <w:tab w:val="right" w:leader="dot" w:pos="10793"/>
            </w:tabs>
            <w:spacing w:before="123"/>
          </w:pPr>
          <w:hyperlink w:anchor="_bookmark18" w:history="1">
            <w:r>
              <w:t>Introduction</w:t>
            </w:r>
            <w:r>
              <w:rPr>
                <w:spacing w:val="-5"/>
              </w:rPr>
              <w:t xml:space="preserve"> </w:t>
            </w:r>
            <w:r>
              <w:t>to</w:t>
            </w:r>
            <w:r>
              <w:rPr>
                <w:spacing w:val="-3"/>
              </w:rPr>
              <w:t xml:space="preserve"> </w:t>
            </w:r>
            <w:r>
              <w:rPr>
                <w:spacing w:val="-5"/>
              </w:rPr>
              <w:t>MI</w:t>
            </w:r>
            <w:r>
              <w:rPr>
                <w:rFonts w:ascii="Times New Roman"/>
              </w:rPr>
              <w:tab/>
            </w:r>
            <w:r>
              <w:rPr>
                <w:spacing w:val="-5"/>
              </w:rPr>
              <w:t>33</w:t>
            </w:r>
          </w:hyperlink>
        </w:p>
        <w:p w14:paraId="55E3F0DC" w14:textId="77777777" w:rsidR="00DB6E1F" w:rsidRDefault="00F666A6">
          <w:pPr>
            <w:pStyle w:val="TOC3"/>
            <w:tabs>
              <w:tab w:val="right" w:leader="dot" w:pos="10793"/>
            </w:tabs>
          </w:pPr>
          <w:hyperlink w:anchor="_bookmark19" w:history="1">
            <w:r>
              <w:t>What</w:t>
            </w:r>
            <w:r>
              <w:rPr>
                <w:spacing w:val="-3"/>
              </w:rPr>
              <w:t xml:space="preserve"> </w:t>
            </w:r>
            <w:r>
              <w:t>Is</w:t>
            </w:r>
            <w:r>
              <w:rPr>
                <w:spacing w:val="-2"/>
              </w:rPr>
              <w:t xml:space="preserve"> </w:t>
            </w:r>
            <w:r>
              <w:t>New</w:t>
            </w:r>
            <w:r>
              <w:rPr>
                <w:spacing w:val="-1"/>
              </w:rPr>
              <w:t xml:space="preserve"> </w:t>
            </w:r>
            <w:r>
              <w:t>in</w:t>
            </w:r>
            <w:r>
              <w:rPr>
                <w:spacing w:val="-4"/>
              </w:rPr>
              <w:t xml:space="preserve"> </w:t>
            </w:r>
            <w:r>
              <w:rPr>
                <w:spacing w:val="-5"/>
              </w:rPr>
              <w:t>MI</w:t>
            </w:r>
            <w:r>
              <w:rPr>
                <w:rFonts w:ascii="Times New Roman"/>
              </w:rPr>
              <w:tab/>
            </w:r>
            <w:r>
              <w:rPr>
                <w:spacing w:val="-5"/>
                <w:w w:val="95"/>
              </w:rPr>
              <w:t>35</w:t>
            </w:r>
          </w:hyperlink>
        </w:p>
        <w:p w14:paraId="249BFB9E" w14:textId="77777777" w:rsidR="00DB6E1F" w:rsidRDefault="00F666A6">
          <w:pPr>
            <w:pStyle w:val="TOC3"/>
            <w:tabs>
              <w:tab w:val="right" w:leader="dot" w:pos="10793"/>
            </w:tabs>
          </w:pPr>
          <w:hyperlink w:anchor="_bookmark20" w:history="1">
            <w:r>
              <w:rPr>
                <w:spacing w:val="-2"/>
              </w:rPr>
              <w:t>Ambivalence</w:t>
            </w:r>
            <w:r>
              <w:rPr>
                <w:rFonts w:ascii="Times New Roman"/>
              </w:rPr>
              <w:tab/>
            </w:r>
            <w:r>
              <w:rPr>
                <w:spacing w:val="-5"/>
              </w:rPr>
              <w:t>36</w:t>
            </w:r>
          </w:hyperlink>
        </w:p>
        <w:p w14:paraId="0F10B21F" w14:textId="77777777" w:rsidR="00DB6E1F" w:rsidRDefault="00F666A6">
          <w:pPr>
            <w:pStyle w:val="TOC3"/>
            <w:tabs>
              <w:tab w:val="right" w:leader="dot" w:pos="10793"/>
            </w:tabs>
            <w:spacing w:before="123"/>
          </w:pPr>
          <w:hyperlink w:anchor="_bookmark21" w:history="1">
            <w:r>
              <w:t>Core</w:t>
            </w:r>
            <w:r>
              <w:rPr>
                <w:spacing w:val="-2"/>
              </w:rPr>
              <w:t xml:space="preserve"> </w:t>
            </w:r>
            <w:r>
              <w:t>Skills</w:t>
            </w:r>
            <w:r>
              <w:rPr>
                <w:spacing w:val="-4"/>
              </w:rPr>
              <w:t xml:space="preserve"> </w:t>
            </w:r>
            <w:r>
              <w:t>of</w:t>
            </w:r>
            <w:r>
              <w:rPr>
                <w:spacing w:val="-5"/>
              </w:rPr>
              <w:t xml:space="preserve"> </w:t>
            </w:r>
            <w:r>
              <w:t>MI:</w:t>
            </w:r>
            <w:r>
              <w:rPr>
                <w:spacing w:val="-3"/>
              </w:rPr>
              <w:t xml:space="preserve"> </w:t>
            </w:r>
            <w:r>
              <w:rPr>
                <w:spacing w:val="-4"/>
              </w:rPr>
              <w:t>OARS</w:t>
            </w:r>
            <w:r>
              <w:rPr>
                <w:rFonts w:ascii="Times New Roman"/>
              </w:rPr>
              <w:tab/>
            </w:r>
            <w:r>
              <w:rPr>
                <w:spacing w:val="-5"/>
              </w:rPr>
              <w:t>38</w:t>
            </w:r>
          </w:hyperlink>
        </w:p>
        <w:p w14:paraId="0E8DFAF3" w14:textId="77777777" w:rsidR="00DB6E1F" w:rsidRDefault="00F666A6">
          <w:pPr>
            <w:pStyle w:val="TOC3"/>
            <w:tabs>
              <w:tab w:val="right" w:leader="dot" w:pos="10793"/>
            </w:tabs>
          </w:pPr>
          <w:hyperlink w:anchor="_bookmark22" w:history="1">
            <w:r>
              <w:t>Four</w:t>
            </w:r>
            <w:r>
              <w:rPr>
                <w:spacing w:val="-2"/>
              </w:rPr>
              <w:t xml:space="preserve"> </w:t>
            </w:r>
            <w:r>
              <w:t>Processes</w:t>
            </w:r>
            <w:r>
              <w:rPr>
                <w:spacing w:val="-3"/>
              </w:rPr>
              <w:t xml:space="preserve"> </w:t>
            </w:r>
            <w:r>
              <w:t>of</w:t>
            </w:r>
            <w:r>
              <w:rPr>
                <w:spacing w:val="-3"/>
              </w:rPr>
              <w:t xml:space="preserve"> </w:t>
            </w:r>
            <w:r>
              <w:rPr>
                <w:spacing w:val="-5"/>
              </w:rPr>
              <w:t>MI</w:t>
            </w:r>
            <w:r>
              <w:rPr>
                <w:rFonts w:ascii="Times New Roman"/>
              </w:rPr>
              <w:tab/>
            </w:r>
            <w:r>
              <w:rPr>
                <w:spacing w:val="-5"/>
              </w:rPr>
              <w:t>45</w:t>
            </w:r>
          </w:hyperlink>
        </w:p>
        <w:p w14:paraId="77E0EBC7" w14:textId="77777777" w:rsidR="00DB6E1F" w:rsidRDefault="00F666A6">
          <w:pPr>
            <w:pStyle w:val="TOC3"/>
            <w:tabs>
              <w:tab w:val="right" w:leader="dot" w:pos="10793"/>
            </w:tabs>
            <w:spacing w:before="123"/>
          </w:pPr>
          <w:hyperlink w:anchor="_bookmark23" w:history="1">
            <w:r>
              <w:t>Benefits</w:t>
            </w:r>
            <w:r>
              <w:rPr>
                <w:spacing w:val="-4"/>
              </w:rPr>
              <w:t xml:space="preserve"> </w:t>
            </w:r>
            <w:r>
              <w:t>of</w:t>
            </w:r>
            <w:r>
              <w:rPr>
                <w:spacing w:val="-5"/>
              </w:rPr>
              <w:t xml:space="preserve"> </w:t>
            </w:r>
            <w:r>
              <w:t>MI</w:t>
            </w:r>
            <w:r>
              <w:rPr>
                <w:spacing w:val="-1"/>
              </w:rPr>
              <w:t xml:space="preserve"> </w:t>
            </w:r>
            <w:r>
              <w:t>in</w:t>
            </w:r>
            <w:r>
              <w:rPr>
                <w:spacing w:val="-5"/>
              </w:rPr>
              <w:t xml:space="preserve"> </w:t>
            </w:r>
            <w:r>
              <w:t>Treating</w:t>
            </w:r>
            <w:r>
              <w:rPr>
                <w:spacing w:val="-2"/>
              </w:rPr>
              <w:t xml:space="preserve"> </w:t>
            </w:r>
            <w:r>
              <w:rPr>
                <w:spacing w:val="-4"/>
              </w:rPr>
              <w:t>SUDs</w:t>
            </w:r>
            <w:r>
              <w:rPr>
                <w:rFonts w:ascii="Times New Roman"/>
              </w:rPr>
              <w:tab/>
            </w:r>
            <w:r>
              <w:rPr>
                <w:spacing w:val="-5"/>
              </w:rPr>
              <w:t>60</w:t>
            </w:r>
          </w:hyperlink>
        </w:p>
        <w:p w14:paraId="0AC237A5" w14:textId="77777777" w:rsidR="00DB6E1F" w:rsidRDefault="00F666A6">
          <w:pPr>
            <w:pStyle w:val="TOC3"/>
            <w:tabs>
              <w:tab w:val="right" w:leader="dot" w:pos="10793"/>
            </w:tabs>
          </w:pPr>
          <w:hyperlink w:anchor="_bookmark24" w:history="1">
            <w:r>
              <w:rPr>
                <w:spacing w:val="-2"/>
              </w:rPr>
              <w:t>Conclusion</w:t>
            </w:r>
            <w:r>
              <w:rPr>
                <w:rFonts w:ascii="Times New Roman"/>
              </w:rPr>
              <w:tab/>
            </w:r>
            <w:r>
              <w:rPr>
                <w:spacing w:val="-5"/>
              </w:rPr>
              <w:t>61</w:t>
            </w:r>
          </w:hyperlink>
        </w:p>
        <w:p w14:paraId="57DD5C47" w14:textId="77777777" w:rsidR="00DB6E1F" w:rsidRDefault="00F666A6">
          <w:pPr>
            <w:pStyle w:val="TOC1"/>
            <w:tabs>
              <w:tab w:val="right" w:leader="dot" w:pos="10793"/>
            </w:tabs>
            <w:spacing w:before="123"/>
          </w:pPr>
          <w:hyperlink w:anchor="_bookmark25" w:history="1">
            <w:r>
              <w:t>Chapter</w:t>
            </w:r>
            <w:r>
              <w:rPr>
                <w:spacing w:val="-8"/>
              </w:rPr>
              <w:t xml:space="preserve"> </w:t>
            </w:r>
            <w:r>
              <w:t>4—From</w:t>
            </w:r>
            <w:r>
              <w:rPr>
                <w:spacing w:val="-8"/>
              </w:rPr>
              <w:t xml:space="preserve"> </w:t>
            </w:r>
            <w:r>
              <w:t>Precontemplation</w:t>
            </w:r>
            <w:r>
              <w:rPr>
                <w:spacing w:val="-8"/>
              </w:rPr>
              <w:t xml:space="preserve"> </w:t>
            </w:r>
            <w:r>
              <w:t>to</w:t>
            </w:r>
            <w:r>
              <w:rPr>
                <w:spacing w:val="-7"/>
              </w:rPr>
              <w:t xml:space="preserve"> </w:t>
            </w:r>
            <w:r>
              <w:t>Contemplation:</w:t>
            </w:r>
            <w:r>
              <w:rPr>
                <w:spacing w:val="-6"/>
              </w:rPr>
              <w:t xml:space="preserve"> </w:t>
            </w:r>
            <w:r>
              <w:t>Building</w:t>
            </w:r>
            <w:r>
              <w:rPr>
                <w:spacing w:val="-8"/>
              </w:rPr>
              <w:t xml:space="preserve"> </w:t>
            </w:r>
            <w:r>
              <w:rPr>
                <w:spacing w:val="-2"/>
              </w:rPr>
              <w:t>Readiness</w:t>
            </w:r>
            <w:r>
              <w:rPr>
                <w:rFonts w:ascii="Times New Roman" w:hAnsi="Times New Roman"/>
              </w:rPr>
              <w:tab/>
            </w:r>
            <w:r>
              <w:rPr>
                <w:spacing w:val="-5"/>
              </w:rPr>
              <w:t>63</w:t>
            </w:r>
          </w:hyperlink>
        </w:p>
        <w:p w14:paraId="6229F77E" w14:textId="77777777" w:rsidR="00DB6E1F" w:rsidRDefault="00F666A6">
          <w:pPr>
            <w:pStyle w:val="TOC3"/>
            <w:tabs>
              <w:tab w:val="right" w:leader="dot" w:pos="10793"/>
            </w:tabs>
          </w:pPr>
          <w:hyperlink w:anchor="_bookmark26" w:history="1">
            <w:r>
              <w:t>Develop</w:t>
            </w:r>
            <w:r>
              <w:rPr>
                <w:spacing w:val="-5"/>
              </w:rPr>
              <w:t xml:space="preserve"> </w:t>
            </w:r>
            <w:r>
              <w:t>Rapport</w:t>
            </w:r>
            <w:r>
              <w:rPr>
                <w:spacing w:val="-4"/>
              </w:rPr>
              <w:t xml:space="preserve"> </w:t>
            </w:r>
            <w:r>
              <w:t>and</w:t>
            </w:r>
            <w:r>
              <w:rPr>
                <w:spacing w:val="-5"/>
              </w:rPr>
              <w:t xml:space="preserve"> </w:t>
            </w:r>
            <w:r>
              <w:t>Build</w:t>
            </w:r>
            <w:r>
              <w:rPr>
                <w:spacing w:val="-6"/>
              </w:rPr>
              <w:t xml:space="preserve"> </w:t>
            </w:r>
            <w:r>
              <w:rPr>
                <w:spacing w:val="-4"/>
              </w:rPr>
              <w:t>Trust</w:t>
            </w:r>
            <w:r>
              <w:rPr>
                <w:rFonts w:ascii="Times New Roman"/>
              </w:rPr>
              <w:tab/>
            </w:r>
            <w:r>
              <w:rPr>
                <w:spacing w:val="-5"/>
              </w:rPr>
              <w:t>64</w:t>
            </w:r>
          </w:hyperlink>
        </w:p>
        <w:p w14:paraId="7F088598" w14:textId="77777777" w:rsidR="00DB6E1F" w:rsidRDefault="00F666A6">
          <w:pPr>
            <w:pStyle w:val="TOC3"/>
            <w:tabs>
              <w:tab w:val="right" w:leader="dot" w:pos="10793"/>
            </w:tabs>
          </w:pPr>
          <w:hyperlink w:anchor="_bookmark27" w:history="1">
            <w:r>
              <w:t>Raise</w:t>
            </w:r>
            <w:r>
              <w:rPr>
                <w:spacing w:val="-6"/>
              </w:rPr>
              <w:t xml:space="preserve"> </w:t>
            </w:r>
            <w:r>
              <w:t>Doubts</w:t>
            </w:r>
            <w:r>
              <w:rPr>
                <w:spacing w:val="-6"/>
              </w:rPr>
              <w:t xml:space="preserve"> </w:t>
            </w:r>
            <w:r>
              <w:t>and</w:t>
            </w:r>
            <w:r>
              <w:rPr>
                <w:spacing w:val="-5"/>
              </w:rPr>
              <w:t xml:space="preserve"> </w:t>
            </w:r>
            <w:r>
              <w:t>Concerns</w:t>
            </w:r>
            <w:r>
              <w:rPr>
                <w:spacing w:val="-6"/>
              </w:rPr>
              <w:t xml:space="preserve"> </w:t>
            </w:r>
            <w:r>
              <w:t>About</w:t>
            </w:r>
            <w:r>
              <w:rPr>
                <w:spacing w:val="-4"/>
              </w:rPr>
              <w:t xml:space="preserve"> </w:t>
            </w:r>
            <w:r>
              <w:t>the</w:t>
            </w:r>
            <w:r>
              <w:rPr>
                <w:spacing w:val="-3"/>
              </w:rPr>
              <w:t xml:space="preserve"> </w:t>
            </w:r>
            <w:r>
              <w:t>Client’s</w:t>
            </w:r>
            <w:r>
              <w:rPr>
                <w:spacing w:val="-3"/>
              </w:rPr>
              <w:t xml:space="preserve"> </w:t>
            </w:r>
            <w:r>
              <w:t>Substance</w:t>
            </w:r>
            <w:r>
              <w:rPr>
                <w:spacing w:val="-3"/>
              </w:rPr>
              <w:t xml:space="preserve"> </w:t>
            </w:r>
            <w:r>
              <w:rPr>
                <w:spacing w:val="-5"/>
              </w:rPr>
              <w:t>Use</w:t>
            </w:r>
            <w:r>
              <w:rPr>
                <w:rFonts w:ascii="Times New Roman" w:hAnsi="Times New Roman"/>
              </w:rPr>
              <w:tab/>
            </w:r>
            <w:r>
              <w:rPr>
                <w:spacing w:val="-5"/>
              </w:rPr>
              <w:t>69</w:t>
            </w:r>
          </w:hyperlink>
        </w:p>
        <w:p w14:paraId="04FA1CD9" w14:textId="77777777" w:rsidR="00DB6E1F" w:rsidRDefault="00F666A6">
          <w:pPr>
            <w:pStyle w:val="TOC3"/>
            <w:tabs>
              <w:tab w:val="right" w:leader="dot" w:pos="10793"/>
            </w:tabs>
            <w:spacing w:before="123"/>
          </w:pPr>
          <w:hyperlink w:anchor="_bookmark28" w:history="1">
            <w:r>
              <w:t>Understand</w:t>
            </w:r>
            <w:r>
              <w:rPr>
                <w:spacing w:val="-9"/>
              </w:rPr>
              <w:t xml:space="preserve"> </w:t>
            </w:r>
            <w:r>
              <w:t>Special</w:t>
            </w:r>
            <w:r>
              <w:rPr>
                <w:spacing w:val="-9"/>
              </w:rPr>
              <w:t xml:space="preserve"> </w:t>
            </w:r>
            <w:r>
              <w:t>Motivational</w:t>
            </w:r>
            <w:r>
              <w:rPr>
                <w:spacing w:val="-6"/>
              </w:rPr>
              <w:t xml:space="preserve"> </w:t>
            </w:r>
            <w:r>
              <w:t>Counseling</w:t>
            </w:r>
            <w:r>
              <w:rPr>
                <w:spacing w:val="-6"/>
              </w:rPr>
              <w:t xml:space="preserve"> </w:t>
            </w:r>
            <w:r>
              <w:t>Considerations</w:t>
            </w:r>
            <w:r>
              <w:rPr>
                <w:spacing w:val="-6"/>
              </w:rPr>
              <w:t xml:space="preserve"> </w:t>
            </w:r>
            <w:r>
              <w:t>for</w:t>
            </w:r>
            <w:r>
              <w:rPr>
                <w:spacing w:val="-6"/>
              </w:rPr>
              <w:t xml:space="preserve"> </w:t>
            </w:r>
            <w:r>
              <w:t>Clients</w:t>
            </w:r>
            <w:r>
              <w:rPr>
                <w:spacing w:val="-8"/>
              </w:rPr>
              <w:t xml:space="preserve"> </w:t>
            </w:r>
            <w:r>
              <w:t>Mandated</w:t>
            </w:r>
            <w:r>
              <w:rPr>
                <w:spacing w:val="-7"/>
              </w:rPr>
              <w:t xml:space="preserve"> </w:t>
            </w:r>
            <w:r>
              <w:t>to</w:t>
            </w:r>
            <w:r>
              <w:rPr>
                <w:spacing w:val="-6"/>
              </w:rPr>
              <w:t xml:space="preserve"> </w:t>
            </w:r>
            <w:r>
              <w:rPr>
                <w:spacing w:val="-2"/>
              </w:rPr>
              <w:t>Treatment</w:t>
            </w:r>
            <w:r>
              <w:rPr>
                <w:rFonts w:ascii="Times New Roman"/>
              </w:rPr>
              <w:tab/>
            </w:r>
            <w:r>
              <w:rPr>
                <w:spacing w:val="-5"/>
              </w:rPr>
              <w:t>75</w:t>
            </w:r>
          </w:hyperlink>
        </w:p>
        <w:p w14:paraId="0A31516E" w14:textId="77777777" w:rsidR="00DB6E1F" w:rsidRDefault="00F666A6">
          <w:pPr>
            <w:pStyle w:val="TOC3"/>
            <w:tabs>
              <w:tab w:val="right" w:leader="dot" w:pos="10793"/>
            </w:tabs>
          </w:pPr>
          <w:hyperlink w:anchor="_bookmark29" w:history="1">
            <w:r>
              <w:rPr>
                <w:spacing w:val="-2"/>
              </w:rPr>
              <w:t>Conclusion</w:t>
            </w:r>
            <w:r>
              <w:rPr>
                <w:rFonts w:ascii="Times New Roman"/>
              </w:rPr>
              <w:tab/>
            </w:r>
            <w:r>
              <w:rPr>
                <w:spacing w:val="-5"/>
              </w:rPr>
              <w:t>78</w:t>
            </w:r>
          </w:hyperlink>
        </w:p>
        <w:p w14:paraId="210D9CF7" w14:textId="77777777" w:rsidR="00DB6E1F" w:rsidRDefault="00F666A6">
          <w:pPr>
            <w:pStyle w:val="TOC1"/>
            <w:tabs>
              <w:tab w:val="right" w:leader="dot" w:pos="10792"/>
            </w:tabs>
            <w:spacing w:before="122"/>
          </w:pPr>
          <w:hyperlink w:anchor="_bookmark30" w:history="1">
            <w:r>
              <w:t>Chapter</w:t>
            </w:r>
            <w:r>
              <w:rPr>
                <w:spacing w:val="-9"/>
              </w:rPr>
              <w:t xml:space="preserve"> </w:t>
            </w:r>
            <w:r>
              <w:t>5—From</w:t>
            </w:r>
            <w:r>
              <w:rPr>
                <w:spacing w:val="-6"/>
              </w:rPr>
              <w:t xml:space="preserve"> </w:t>
            </w:r>
            <w:r>
              <w:t>Contemplation</w:t>
            </w:r>
            <w:r>
              <w:rPr>
                <w:spacing w:val="-7"/>
              </w:rPr>
              <w:t xml:space="preserve"> </w:t>
            </w:r>
            <w:r>
              <w:t>to</w:t>
            </w:r>
            <w:r>
              <w:rPr>
                <w:spacing w:val="-8"/>
              </w:rPr>
              <w:t xml:space="preserve"> </w:t>
            </w:r>
            <w:r>
              <w:t>Prepa</w:t>
            </w:r>
            <w:r>
              <w:t>ration:</w:t>
            </w:r>
            <w:r>
              <w:rPr>
                <w:spacing w:val="-6"/>
              </w:rPr>
              <w:t xml:space="preserve"> </w:t>
            </w:r>
            <w:r>
              <w:t>Increasing</w:t>
            </w:r>
            <w:r>
              <w:rPr>
                <w:spacing w:val="-6"/>
              </w:rPr>
              <w:t xml:space="preserve"> </w:t>
            </w:r>
            <w:r>
              <w:rPr>
                <w:spacing w:val="-2"/>
              </w:rPr>
              <w:t>Commitment</w:t>
            </w:r>
            <w:r>
              <w:rPr>
                <w:rFonts w:ascii="Times New Roman" w:hAnsi="Times New Roman"/>
              </w:rPr>
              <w:tab/>
            </w:r>
            <w:r>
              <w:rPr>
                <w:spacing w:val="-5"/>
              </w:rPr>
              <w:t>79</w:t>
            </w:r>
          </w:hyperlink>
        </w:p>
        <w:p w14:paraId="224B6575" w14:textId="77777777" w:rsidR="00DB6E1F" w:rsidRDefault="00F666A6">
          <w:pPr>
            <w:pStyle w:val="TOC3"/>
            <w:tabs>
              <w:tab w:val="right" w:leader="dot" w:pos="10792"/>
            </w:tabs>
            <w:spacing w:after="20"/>
            <w:ind w:left="1660"/>
          </w:pPr>
          <w:hyperlink w:anchor="_bookmark31" w:history="1">
            <w:r>
              <w:t>Normalize</w:t>
            </w:r>
            <w:r>
              <w:rPr>
                <w:spacing w:val="-5"/>
              </w:rPr>
              <w:t xml:space="preserve"> </w:t>
            </w:r>
            <w:r>
              <w:t>and</w:t>
            </w:r>
            <w:r>
              <w:rPr>
                <w:spacing w:val="-4"/>
              </w:rPr>
              <w:t xml:space="preserve"> </w:t>
            </w:r>
            <w:r>
              <w:t>Resolve</w:t>
            </w:r>
            <w:r>
              <w:rPr>
                <w:spacing w:val="-2"/>
              </w:rPr>
              <w:t xml:space="preserve"> Ambivalence</w:t>
            </w:r>
            <w:r>
              <w:rPr>
                <w:rFonts w:ascii="Times New Roman"/>
              </w:rPr>
              <w:tab/>
            </w:r>
            <w:r>
              <w:rPr>
                <w:spacing w:val="-5"/>
              </w:rPr>
              <w:t>80</w:t>
            </w:r>
          </w:hyperlink>
        </w:p>
        <w:p w14:paraId="417FF60C" w14:textId="77777777" w:rsidR="00DB6E1F" w:rsidRDefault="00F666A6">
          <w:pPr>
            <w:pStyle w:val="TOC3"/>
            <w:tabs>
              <w:tab w:val="right" w:leader="dot" w:pos="10792"/>
            </w:tabs>
            <w:spacing w:before="475"/>
            <w:ind w:left="1660"/>
          </w:pPr>
          <w:hyperlink w:anchor="_bookmark32" w:history="1">
            <w:r>
              <w:t>Help</w:t>
            </w:r>
            <w:r>
              <w:rPr>
                <w:spacing w:val="-5"/>
              </w:rPr>
              <w:t xml:space="preserve"> </w:t>
            </w:r>
            <w:r>
              <w:t>Tip</w:t>
            </w:r>
            <w:r>
              <w:rPr>
                <w:spacing w:val="-4"/>
              </w:rPr>
              <w:t xml:space="preserve"> </w:t>
            </w:r>
            <w:r>
              <w:t>the</w:t>
            </w:r>
            <w:r>
              <w:rPr>
                <w:spacing w:val="-5"/>
              </w:rPr>
              <w:t xml:space="preserve"> </w:t>
            </w:r>
            <w:r>
              <w:t>Decisional</w:t>
            </w:r>
            <w:r>
              <w:rPr>
                <w:spacing w:val="-6"/>
              </w:rPr>
              <w:t xml:space="preserve"> </w:t>
            </w:r>
            <w:r>
              <w:t>Balance</w:t>
            </w:r>
            <w:r>
              <w:rPr>
                <w:spacing w:val="-3"/>
              </w:rPr>
              <w:t xml:space="preserve"> </w:t>
            </w:r>
            <w:r>
              <w:t>Toward</w:t>
            </w:r>
            <w:r>
              <w:rPr>
                <w:spacing w:val="-6"/>
              </w:rPr>
              <w:t xml:space="preserve"> </w:t>
            </w:r>
            <w:r>
              <w:rPr>
                <w:spacing w:val="-2"/>
                <w:w w:val="95"/>
              </w:rPr>
              <w:t>Change</w:t>
            </w:r>
            <w:r>
              <w:rPr>
                <w:rFonts w:ascii="Times New Roman"/>
              </w:rPr>
              <w:tab/>
            </w:r>
            <w:r>
              <w:rPr>
                <w:spacing w:val="-5"/>
              </w:rPr>
              <w:t>82</w:t>
            </w:r>
          </w:hyperlink>
        </w:p>
        <w:p w14:paraId="650EFB34" w14:textId="77777777" w:rsidR="00DB6E1F" w:rsidRDefault="00F666A6">
          <w:pPr>
            <w:pStyle w:val="TOC3"/>
            <w:tabs>
              <w:tab w:val="right" w:leader="dot" w:pos="10792"/>
            </w:tabs>
            <w:ind w:left="1660"/>
          </w:pPr>
          <w:hyperlink w:anchor="_bookmark33" w:history="1">
            <w:r>
              <w:rPr>
                <w:spacing w:val="-2"/>
              </w:rPr>
              <w:t>Conclusion</w:t>
            </w:r>
            <w:r>
              <w:rPr>
                <w:rFonts w:ascii="Times New Roman"/>
              </w:rPr>
              <w:tab/>
            </w:r>
            <w:r>
              <w:rPr>
                <w:spacing w:val="-5"/>
              </w:rPr>
              <w:t>88</w:t>
            </w:r>
          </w:hyperlink>
        </w:p>
        <w:p w14:paraId="0AC7F9B9" w14:textId="77777777" w:rsidR="00DB6E1F" w:rsidRDefault="00F666A6">
          <w:pPr>
            <w:pStyle w:val="TOC1"/>
            <w:tabs>
              <w:tab w:val="right" w:leader="dot" w:pos="10792"/>
            </w:tabs>
            <w:spacing w:before="123"/>
          </w:pPr>
          <w:hyperlink w:anchor="_bookmark34" w:history="1">
            <w:r>
              <w:t>Chapter</w:t>
            </w:r>
            <w:r>
              <w:rPr>
                <w:spacing w:val="-5"/>
              </w:rPr>
              <w:t xml:space="preserve"> </w:t>
            </w:r>
            <w:r>
              <w:t>6—From</w:t>
            </w:r>
            <w:r>
              <w:rPr>
                <w:spacing w:val="-6"/>
              </w:rPr>
              <w:t xml:space="preserve"> </w:t>
            </w:r>
            <w:r>
              <w:t>Preparation</w:t>
            </w:r>
            <w:r>
              <w:rPr>
                <w:spacing w:val="-6"/>
              </w:rPr>
              <w:t xml:space="preserve"> </w:t>
            </w:r>
            <w:r>
              <w:t>to</w:t>
            </w:r>
            <w:r>
              <w:rPr>
                <w:spacing w:val="-4"/>
              </w:rPr>
              <w:t xml:space="preserve"> </w:t>
            </w:r>
            <w:r>
              <w:t>Action:</w:t>
            </w:r>
            <w:r>
              <w:rPr>
                <w:spacing w:val="-6"/>
              </w:rPr>
              <w:t xml:space="preserve"> </w:t>
            </w:r>
            <w:r>
              <w:t>Initiating</w:t>
            </w:r>
            <w:r>
              <w:rPr>
                <w:spacing w:val="-4"/>
              </w:rPr>
              <w:t xml:space="preserve"> </w:t>
            </w:r>
            <w:r>
              <w:rPr>
                <w:spacing w:val="-2"/>
              </w:rPr>
              <w:t>Change</w:t>
            </w:r>
            <w:r>
              <w:rPr>
                <w:rFonts w:ascii="Times New Roman" w:hAnsi="Times New Roman"/>
              </w:rPr>
              <w:tab/>
            </w:r>
            <w:r>
              <w:rPr>
                <w:spacing w:val="-5"/>
              </w:rPr>
              <w:t>89</w:t>
            </w:r>
          </w:hyperlink>
        </w:p>
        <w:p w14:paraId="34C3DD0A" w14:textId="77777777" w:rsidR="00DB6E1F" w:rsidRDefault="00F666A6">
          <w:pPr>
            <w:pStyle w:val="TOC3"/>
            <w:tabs>
              <w:tab w:val="right" w:leader="dot" w:pos="10792"/>
            </w:tabs>
            <w:ind w:left="1660"/>
          </w:pPr>
          <w:hyperlink w:anchor="_bookmark35" w:history="1">
            <w:r>
              <w:t>Explore</w:t>
            </w:r>
            <w:r>
              <w:rPr>
                <w:spacing w:val="-8"/>
              </w:rPr>
              <w:t xml:space="preserve"> </w:t>
            </w:r>
            <w:r>
              <w:t>Client</w:t>
            </w:r>
            <w:r>
              <w:rPr>
                <w:spacing w:val="-6"/>
              </w:rPr>
              <w:t xml:space="preserve"> </w:t>
            </w:r>
            <w:r>
              <w:t>Change</w:t>
            </w:r>
            <w:r>
              <w:rPr>
                <w:spacing w:val="-2"/>
              </w:rPr>
              <w:t xml:space="preserve"> </w:t>
            </w:r>
            <w:r>
              <w:rPr>
                <w:spacing w:val="-4"/>
                <w:w w:val="95"/>
              </w:rPr>
              <w:t>Goals</w:t>
            </w:r>
            <w:r>
              <w:rPr>
                <w:rFonts w:ascii="Times New Roman"/>
              </w:rPr>
              <w:tab/>
            </w:r>
            <w:r>
              <w:rPr>
                <w:spacing w:val="-5"/>
              </w:rPr>
              <w:t>90</w:t>
            </w:r>
          </w:hyperlink>
        </w:p>
        <w:p w14:paraId="59039043" w14:textId="77777777" w:rsidR="00DB6E1F" w:rsidRDefault="00F666A6">
          <w:pPr>
            <w:pStyle w:val="TOC3"/>
            <w:tabs>
              <w:tab w:val="right" w:leader="dot" w:pos="10792"/>
            </w:tabs>
            <w:spacing w:before="123"/>
            <w:ind w:left="1660"/>
          </w:pPr>
          <w:hyperlink w:anchor="_bookmark36" w:history="1">
            <w:r>
              <w:t>Develop</w:t>
            </w:r>
            <w:r>
              <w:rPr>
                <w:spacing w:val="-4"/>
              </w:rPr>
              <w:t xml:space="preserve"> </w:t>
            </w:r>
            <w:r>
              <w:t>a</w:t>
            </w:r>
            <w:r>
              <w:rPr>
                <w:spacing w:val="-4"/>
              </w:rPr>
              <w:t xml:space="preserve"> </w:t>
            </w:r>
            <w:r>
              <w:t>Change</w:t>
            </w:r>
            <w:r>
              <w:rPr>
                <w:spacing w:val="-4"/>
              </w:rPr>
              <w:t xml:space="preserve"> Plan</w:t>
            </w:r>
            <w:r>
              <w:rPr>
                <w:rFonts w:ascii="Times New Roman"/>
              </w:rPr>
              <w:tab/>
            </w:r>
            <w:r>
              <w:rPr>
                <w:spacing w:val="-5"/>
              </w:rPr>
              <w:t>92</w:t>
            </w:r>
          </w:hyperlink>
        </w:p>
        <w:p w14:paraId="78C24D0D" w14:textId="77777777" w:rsidR="00DB6E1F" w:rsidRDefault="00F666A6">
          <w:pPr>
            <w:pStyle w:val="TOC3"/>
            <w:tabs>
              <w:tab w:val="right" w:leader="dot" w:pos="10792"/>
            </w:tabs>
            <w:ind w:left="1660"/>
          </w:pPr>
          <w:hyperlink w:anchor="_bookmark37" w:history="1">
            <w:r>
              <w:t>Support</w:t>
            </w:r>
            <w:r>
              <w:rPr>
                <w:spacing w:val="-3"/>
              </w:rPr>
              <w:t xml:space="preserve"> </w:t>
            </w:r>
            <w:r>
              <w:t>the</w:t>
            </w:r>
            <w:r>
              <w:rPr>
                <w:spacing w:val="-5"/>
              </w:rPr>
              <w:t xml:space="preserve"> </w:t>
            </w:r>
            <w:r>
              <w:t>Client’s</w:t>
            </w:r>
            <w:r>
              <w:rPr>
                <w:spacing w:val="-5"/>
              </w:rPr>
              <w:t xml:space="preserve"> </w:t>
            </w:r>
            <w:r>
              <w:t>Action</w:t>
            </w:r>
            <w:r>
              <w:rPr>
                <w:spacing w:val="-5"/>
              </w:rPr>
              <w:t xml:space="preserve"> </w:t>
            </w:r>
            <w:r>
              <w:rPr>
                <w:spacing w:val="-2"/>
                <w:w w:val="95"/>
              </w:rPr>
              <w:t>Steps</w:t>
            </w:r>
            <w:r>
              <w:rPr>
                <w:rFonts w:ascii="Times New Roman" w:hAnsi="Times New Roman"/>
              </w:rPr>
              <w:tab/>
            </w:r>
            <w:r>
              <w:rPr>
                <w:spacing w:val="-5"/>
              </w:rPr>
              <w:t>100</w:t>
            </w:r>
          </w:hyperlink>
        </w:p>
        <w:p w14:paraId="5112EF72" w14:textId="77777777" w:rsidR="00DB6E1F" w:rsidRDefault="00F666A6">
          <w:pPr>
            <w:pStyle w:val="TOC3"/>
            <w:tabs>
              <w:tab w:val="right" w:leader="dot" w:pos="10792"/>
            </w:tabs>
            <w:spacing w:before="123"/>
          </w:pPr>
          <w:hyperlink w:anchor="_bookmark38" w:history="1">
            <w:r>
              <w:t>Evaluate</w:t>
            </w:r>
            <w:r>
              <w:rPr>
                <w:spacing w:val="-8"/>
              </w:rPr>
              <w:t xml:space="preserve"> </w:t>
            </w:r>
            <w:r>
              <w:t>the</w:t>
            </w:r>
            <w:r>
              <w:rPr>
                <w:spacing w:val="-5"/>
              </w:rPr>
              <w:t xml:space="preserve"> </w:t>
            </w:r>
            <w:r>
              <w:t>Change</w:t>
            </w:r>
            <w:r>
              <w:rPr>
                <w:spacing w:val="-5"/>
              </w:rPr>
              <w:t xml:space="preserve"> </w:t>
            </w:r>
            <w:r>
              <w:rPr>
                <w:spacing w:val="-4"/>
              </w:rPr>
              <w:t>Plan</w:t>
            </w:r>
            <w:r>
              <w:rPr>
                <w:rFonts w:ascii="Times New Roman"/>
              </w:rPr>
              <w:tab/>
            </w:r>
            <w:r>
              <w:rPr>
                <w:spacing w:val="-5"/>
              </w:rPr>
              <w:t>100</w:t>
            </w:r>
          </w:hyperlink>
        </w:p>
        <w:p w14:paraId="5E78CED7" w14:textId="77777777" w:rsidR="00DB6E1F" w:rsidRDefault="00F666A6">
          <w:pPr>
            <w:pStyle w:val="TOC3"/>
            <w:tabs>
              <w:tab w:val="right" w:leader="dot" w:pos="10792"/>
            </w:tabs>
          </w:pPr>
          <w:hyperlink w:anchor="_bookmark39" w:history="1">
            <w:r>
              <w:rPr>
                <w:spacing w:val="-2"/>
              </w:rPr>
              <w:t>Conclusion</w:t>
            </w:r>
            <w:r>
              <w:rPr>
                <w:rFonts w:ascii="Times New Roman"/>
              </w:rPr>
              <w:tab/>
            </w:r>
            <w:r>
              <w:rPr>
                <w:spacing w:val="-5"/>
              </w:rPr>
              <w:t>101</w:t>
            </w:r>
          </w:hyperlink>
        </w:p>
        <w:p w14:paraId="5BA3F38F" w14:textId="77777777" w:rsidR="00DB6E1F" w:rsidRDefault="00F666A6">
          <w:pPr>
            <w:pStyle w:val="TOC1"/>
            <w:tabs>
              <w:tab w:val="right" w:leader="dot" w:pos="10792"/>
            </w:tabs>
          </w:pPr>
          <w:hyperlink w:anchor="_bookmark40" w:history="1">
            <w:r>
              <w:t>Chapter</w:t>
            </w:r>
            <w:r>
              <w:rPr>
                <w:spacing w:val="-8"/>
              </w:rPr>
              <w:t xml:space="preserve"> </w:t>
            </w:r>
            <w:r>
              <w:t>7—From</w:t>
            </w:r>
            <w:r>
              <w:rPr>
                <w:spacing w:val="-4"/>
              </w:rPr>
              <w:t xml:space="preserve"> </w:t>
            </w:r>
            <w:r>
              <w:t>Action</w:t>
            </w:r>
            <w:r>
              <w:rPr>
                <w:spacing w:val="-8"/>
              </w:rPr>
              <w:t xml:space="preserve"> </w:t>
            </w:r>
            <w:r>
              <w:t>to</w:t>
            </w:r>
            <w:r>
              <w:rPr>
                <w:spacing w:val="-7"/>
              </w:rPr>
              <w:t xml:space="preserve"> </w:t>
            </w:r>
            <w:r>
              <w:t>Maintenance:</w:t>
            </w:r>
            <w:r>
              <w:rPr>
                <w:spacing w:val="-6"/>
              </w:rPr>
              <w:t xml:space="preserve"> </w:t>
            </w:r>
            <w:r>
              <w:t>Stabilizing</w:t>
            </w:r>
            <w:r>
              <w:rPr>
                <w:spacing w:val="-5"/>
              </w:rPr>
              <w:t xml:space="preserve"> </w:t>
            </w:r>
            <w:r>
              <w:rPr>
                <w:spacing w:val="-2"/>
              </w:rPr>
              <w:t>Change</w:t>
            </w:r>
            <w:r>
              <w:rPr>
                <w:rFonts w:ascii="Times New Roman" w:hAnsi="Times New Roman"/>
              </w:rPr>
              <w:tab/>
            </w:r>
            <w:r>
              <w:rPr>
                <w:spacing w:val="-5"/>
              </w:rPr>
              <w:t>103</w:t>
            </w:r>
          </w:hyperlink>
        </w:p>
        <w:p w14:paraId="3BC38C8A" w14:textId="77777777" w:rsidR="00DB6E1F" w:rsidRDefault="00F666A6">
          <w:pPr>
            <w:pStyle w:val="TOC3"/>
            <w:tabs>
              <w:tab w:val="right" w:leader="dot" w:pos="10792"/>
            </w:tabs>
            <w:spacing w:before="123"/>
          </w:pPr>
          <w:hyperlink w:anchor="_bookmark41" w:history="1">
            <w:r>
              <w:t>Stabilize</w:t>
            </w:r>
            <w:r>
              <w:rPr>
                <w:spacing w:val="-5"/>
              </w:rPr>
              <w:t xml:space="preserve"> </w:t>
            </w:r>
            <w:r>
              <w:t>Client</w:t>
            </w:r>
            <w:r>
              <w:rPr>
                <w:spacing w:val="-4"/>
              </w:rPr>
              <w:t xml:space="preserve"> </w:t>
            </w:r>
            <w:r>
              <w:rPr>
                <w:spacing w:val="-2"/>
              </w:rPr>
              <w:t>Change</w:t>
            </w:r>
            <w:r>
              <w:rPr>
                <w:rFonts w:ascii="Times New Roman"/>
              </w:rPr>
              <w:tab/>
            </w:r>
            <w:r>
              <w:rPr>
                <w:spacing w:val="-5"/>
              </w:rPr>
              <w:t>104</w:t>
            </w:r>
          </w:hyperlink>
        </w:p>
        <w:p w14:paraId="57F370EF" w14:textId="77777777" w:rsidR="00DB6E1F" w:rsidRDefault="00F666A6">
          <w:pPr>
            <w:pStyle w:val="TOC3"/>
            <w:tabs>
              <w:tab w:val="right" w:leader="dot" w:pos="10792"/>
            </w:tabs>
          </w:pPr>
          <w:hyperlink w:anchor="_bookmark42" w:history="1">
            <w:r>
              <w:t>Support</w:t>
            </w:r>
            <w:r>
              <w:rPr>
                <w:spacing w:val="-4"/>
              </w:rPr>
              <w:t xml:space="preserve"> </w:t>
            </w:r>
            <w:r>
              <w:t>the</w:t>
            </w:r>
            <w:r>
              <w:rPr>
                <w:spacing w:val="-5"/>
              </w:rPr>
              <w:t xml:space="preserve"> </w:t>
            </w:r>
            <w:r>
              <w:t>Client’s</w:t>
            </w:r>
            <w:r>
              <w:rPr>
                <w:spacing w:val="-6"/>
              </w:rPr>
              <w:t xml:space="preserve"> </w:t>
            </w:r>
            <w:r>
              <w:t>Lifestyle</w:t>
            </w:r>
            <w:r>
              <w:rPr>
                <w:spacing w:val="-3"/>
              </w:rPr>
              <w:t xml:space="preserve"> </w:t>
            </w:r>
            <w:r>
              <w:rPr>
                <w:spacing w:val="-2"/>
              </w:rPr>
              <w:t>Changes</w:t>
            </w:r>
            <w:r>
              <w:rPr>
                <w:rFonts w:ascii="Times New Roman" w:hAnsi="Times New Roman"/>
              </w:rPr>
              <w:tab/>
            </w:r>
            <w:r>
              <w:rPr>
                <w:spacing w:val="-5"/>
              </w:rPr>
              <w:t>111</w:t>
            </w:r>
          </w:hyperlink>
        </w:p>
        <w:p w14:paraId="314062C2" w14:textId="77777777" w:rsidR="00DB6E1F" w:rsidRDefault="00F666A6">
          <w:pPr>
            <w:pStyle w:val="TOC3"/>
            <w:tabs>
              <w:tab w:val="right" w:leader="dot" w:pos="10792"/>
            </w:tabs>
            <w:spacing w:before="123"/>
          </w:pPr>
          <w:hyperlink w:anchor="_bookmark43" w:history="1">
            <w:r>
              <w:t>Help</w:t>
            </w:r>
            <w:r>
              <w:rPr>
                <w:spacing w:val="-5"/>
              </w:rPr>
              <w:t xml:space="preserve"> </w:t>
            </w:r>
            <w:r>
              <w:t>the</w:t>
            </w:r>
            <w:r>
              <w:rPr>
                <w:spacing w:val="-3"/>
              </w:rPr>
              <w:t xml:space="preserve"> </w:t>
            </w:r>
            <w:r>
              <w:t>Client</w:t>
            </w:r>
            <w:r>
              <w:rPr>
                <w:spacing w:val="-4"/>
              </w:rPr>
              <w:t xml:space="preserve"> </w:t>
            </w:r>
            <w:r>
              <w:t>Reenter</w:t>
            </w:r>
            <w:r>
              <w:rPr>
                <w:spacing w:val="-4"/>
              </w:rPr>
              <w:t xml:space="preserve"> </w:t>
            </w:r>
            <w:r>
              <w:t>the</w:t>
            </w:r>
            <w:r>
              <w:rPr>
                <w:spacing w:val="-5"/>
              </w:rPr>
              <w:t xml:space="preserve"> </w:t>
            </w:r>
            <w:r>
              <w:t>Change</w:t>
            </w:r>
            <w:r>
              <w:rPr>
                <w:spacing w:val="-3"/>
              </w:rPr>
              <w:t xml:space="preserve"> </w:t>
            </w:r>
            <w:r>
              <w:rPr>
                <w:spacing w:val="-4"/>
              </w:rPr>
              <w:t>Cycle</w:t>
            </w:r>
            <w:r>
              <w:rPr>
                <w:rFonts w:ascii="Times New Roman"/>
              </w:rPr>
              <w:tab/>
            </w:r>
            <w:r>
              <w:rPr>
                <w:spacing w:val="-5"/>
              </w:rPr>
              <w:t>113</w:t>
            </w:r>
          </w:hyperlink>
        </w:p>
        <w:p w14:paraId="0E196F77" w14:textId="77777777" w:rsidR="00DB6E1F" w:rsidRDefault="00F666A6">
          <w:pPr>
            <w:pStyle w:val="TOC3"/>
            <w:tabs>
              <w:tab w:val="right" w:leader="dot" w:pos="10792"/>
            </w:tabs>
          </w:pPr>
          <w:hyperlink w:anchor="_bookmark44" w:history="1">
            <w:r>
              <w:rPr>
                <w:spacing w:val="-2"/>
              </w:rPr>
              <w:t>Conclusion</w:t>
            </w:r>
            <w:r>
              <w:rPr>
                <w:rFonts w:ascii="Times New Roman"/>
              </w:rPr>
              <w:tab/>
            </w:r>
            <w:r>
              <w:rPr>
                <w:spacing w:val="-5"/>
              </w:rPr>
              <w:t>118</w:t>
            </w:r>
          </w:hyperlink>
        </w:p>
        <w:p w14:paraId="00D5EA8C" w14:textId="77777777" w:rsidR="00DB6E1F" w:rsidRDefault="00F666A6">
          <w:pPr>
            <w:pStyle w:val="TOC1"/>
            <w:tabs>
              <w:tab w:val="right" w:leader="dot" w:pos="10792"/>
            </w:tabs>
            <w:spacing w:before="121"/>
          </w:pPr>
          <w:hyperlink w:anchor="_bookmark45" w:history="1">
            <w:r>
              <w:t>Chapter</w:t>
            </w:r>
            <w:r>
              <w:rPr>
                <w:spacing w:val="-8"/>
              </w:rPr>
              <w:t xml:space="preserve"> </w:t>
            </w:r>
            <w:r>
              <w:t>8—Integrating</w:t>
            </w:r>
            <w:r>
              <w:rPr>
                <w:spacing w:val="-8"/>
              </w:rPr>
              <w:t xml:space="preserve"> </w:t>
            </w:r>
            <w:r>
              <w:t>Motivational</w:t>
            </w:r>
            <w:r>
              <w:rPr>
                <w:spacing w:val="-6"/>
              </w:rPr>
              <w:t xml:space="preserve"> </w:t>
            </w:r>
            <w:r>
              <w:t>Approaches</w:t>
            </w:r>
            <w:r>
              <w:rPr>
                <w:spacing w:val="-6"/>
              </w:rPr>
              <w:t xml:space="preserve"> </w:t>
            </w:r>
            <w:r>
              <w:t>in</w:t>
            </w:r>
            <w:r>
              <w:rPr>
                <w:spacing w:val="-6"/>
              </w:rPr>
              <w:t xml:space="preserve"> </w:t>
            </w:r>
            <w:r>
              <w:t>SUD</w:t>
            </w:r>
            <w:r>
              <w:rPr>
                <w:spacing w:val="-5"/>
              </w:rPr>
              <w:t xml:space="preserve"> </w:t>
            </w:r>
            <w:r>
              <w:t>Treatment</w:t>
            </w:r>
            <w:r>
              <w:rPr>
                <w:spacing w:val="-7"/>
              </w:rPr>
              <w:t xml:space="preserve"> </w:t>
            </w:r>
            <w:r>
              <w:rPr>
                <w:spacing w:val="-2"/>
              </w:rPr>
              <w:t>Settings</w:t>
            </w:r>
            <w:r>
              <w:rPr>
                <w:rFonts w:ascii="Times New Roman" w:hAnsi="Times New Roman"/>
              </w:rPr>
              <w:tab/>
            </w:r>
            <w:r>
              <w:rPr>
                <w:spacing w:val="-5"/>
              </w:rPr>
              <w:t>121</w:t>
            </w:r>
          </w:hyperlink>
        </w:p>
        <w:p w14:paraId="2993A6D2" w14:textId="77777777" w:rsidR="00DB6E1F" w:rsidRDefault="00F666A6">
          <w:pPr>
            <w:pStyle w:val="TOC3"/>
            <w:tabs>
              <w:tab w:val="right" w:leader="dot" w:pos="10792"/>
            </w:tabs>
            <w:spacing w:before="122"/>
          </w:pPr>
          <w:hyperlink w:anchor="_bookmark46" w:history="1">
            <w:r>
              <w:t>Adaptations</w:t>
            </w:r>
            <w:r>
              <w:rPr>
                <w:spacing w:val="-8"/>
              </w:rPr>
              <w:t xml:space="preserve"> </w:t>
            </w:r>
            <w:r>
              <w:t>of</w:t>
            </w:r>
            <w:r>
              <w:rPr>
                <w:spacing w:val="-8"/>
              </w:rPr>
              <w:t xml:space="preserve"> </w:t>
            </w:r>
            <w:r>
              <w:t>Motivational</w:t>
            </w:r>
            <w:r>
              <w:rPr>
                <w:spacing w:val="-5"/>
              </w:rPr>
              <w:t xml:space="preserve"> </w:t>
            </w:r>
            <w:r>
              <w:t>Counseling</w:t>
            </w:r>
            <w:r>
              <w:rPr>
                <w:spacing w:val="-6"/>
              </w:rPr>
              <w:t xml:space="preserve"> </w:t>
            </w:r>
            <w:r>
              <w:rPr>
                <w:spacing w:val="-2"/>
              </w:rPr>
              <w:t>Approaches</w:t>
            </w:r>
            <w:r>
              <w:rPr>
                <w:rFonts w:ascii="Times New Roman"/>
              </w:rPr>
              <w:tab/>
            </w:r>
            <w:r>
              <w:rPr>
                <w:spacing w:val="-5"/>
              </w:rPr>
              <w:t>121</w:t>
            </w:r>
          </w:hyperlink>
        </w:p>
        <w:p w14:paraId="20739558" w14:textId="77777777" w:rsidR="00DB6E1F" w:rsidRDefault="00F666A6">
          <w:pPr>
            <w:pStyle w:val="TOC3"/>
            <w:tabs>
              <w:tab w:val="right" w:leader="dot" w:pos="10792"/>
            </w:tabs>
            <w:spacing w:before="121"/>
          </w:pPr>
          <w:hyperlink w:anchor="_bookmark47" w:history="1">
            <w:r>
              <w:t>Workforce</w:t>
            </w:r>
            <w:r>
              <w:rPr>
                <w:spacing w:val="-8"/>
              </w:rPr>
              <w:t xml:space="preserve"> </w:t>
            </w:r>
            <w:r>
              <w:rPr>
                <w:spacing w:val="-2"/>
              </w:rPr>
              <w:t>Development</w:t>
            </w:r>
            <w:r>
              <w:rPr>
                <w:rFonts w:ascii="Times New Roman"/>
              </w:rPr>
              <w:tab/>
            </w:r>
            <w:r>
              <w:rPr>
                <w:spacing w:val="-5"/>
              </w:rPr>
              <w:t>127</w:t>
            </w:r>
          </w:hyperlink>
        </w:p>
        <w:p w14:paraId="0D3501CA" w14:textId="77777777" w:rsidR="00DB6E1F" w:rsidRDefault="00F666A6">
          <w:pPr>
            <w:pStyle w:val="TOC3"/>
            <w:tabs>
              <w:tab w:val="right" w:leader="dot" w:pos="10792"/>
            </w:tabs>
            <w:spacing w:before="122"/>
          </w:pPr>
          <w:hyperlink w:anchor="_bookmark48" w:history="1">
            <w:r>
              <w:rPr>
                <w:spacing w:val="-2"/>
              </w:rPr>
              <w:t>Conclusion</w:t>
            </w:r>
            <w:r>
              <w:rPr>
                <w:rFonts w:ascii="Times New Roman"/>
              </w:rPr>
              <w:tab/>
            </w:r>
            <w:r>
              <w:rPr>
                <w:spacing w:val="-5"/>
              </w:rPr>
              <w:t>131</w:t>
            </w:r>
          </w:hyperlink>
        </w:p>
        <w:p w14:paraId="45924FAD" w14:textId="77777777" w:rsidR="00DB6E1F" w:rsidRDefault="00F666A6">
          <w:pPr>
            <w:pStyle w:val="TOC1"/>
            <w:tabs>
              <w:tab w:val="right" w:leader="dot" w:pos="10792"/>
            </w:tabs>
          </w:pPr>
          <w:hyperlink w:anchor="_bookmark49" w:history="1">
            <w:r>
              <w:t>Appendix</w:t>
            </w:r>
            <w:r>
              <w:rPr>
                <w:spacing w:val="-8"/>
              </w:rPr>
              <w:t xml:space="preserve"> </w:t>
            </w:r>
            <w:r>
              <w:t>A—</w:t>
            </w:r>
            <w:r>
              <w:rPr>
                <w:spacing w:val="-2"/>
              </w:rPr>
              <w:t>Bibliography</w:t>
            </w:r>
            <w:r>
              <w:rPr>
                <w:rFonts w:ascii="Times New Roman" w:hAnsi="Times New Roman"/>
              </w:rPr>
              <w:tab/>
            </w:r>
            <w:r>
              <w:rPr>
                <w:spacing w:val="-5"/>
              </w:rPr>
              <w:t>133</w:t>
            </w:r>
          </w:hyperlink>
        </w:p>
        <w:p w14:paraId="19078544" w14:textId="77777777" w:rsidR="00DB6E1F" w:rsidRDefault="00F666A6">
          <w:pPr>
            <w:pStyle w:val="TOC1"/>
            <w:tabs>
              <w:tab w:val="right" w:leader="dot" w:pos="10792"/>
            </w:tabs>
            <w:spacing w:before="123"/>
          </w:pPr>
          <w:hyperlink w:anchor="_bookmark50" w:history="1">
            <w:r>
              <w:t>Appendix</w:t>
            </w:r>
            <w:r>
              <w:rPr>
                <w:spacing w:val="-5"/>
              </w:rPr>
              <w:t xml:space="preserve"> </w:t>
            </w:r>
            <w:r>
              <w:t>B—Screening</w:t>
            </w:r>
            <w:r>
              <w:rPr>
                <w:spacing w:val="-7"/>
              </w:rPr>
              <w:t xml:space="preserve"> </w:t>
            </w:r>
            <w:r>
              <w:t>and</w:t>
            </w:r>
            <w:r>
              <w:rPr>
                <w:spacing w:val="-6"/>
              </w:rPr>
              <w:t xml:space="preserve"> </w:t>
            </w:r>
            <w:r>
              <w:t>Assessment</w:t>
            </w:r>
            <w:r>
              <w:rPr>
                <w:spacing w:val="-7"/>
              </w:rPr>
              <w:t xml:space="preserve"> </w:t>
            </w:r>
            <w:r>
              <w:rPr>
                <w:spacing w:val="-2"/>
              </w:rPr>
              <w:t>Instruments</w:t>
            </w:r>
            <w:r>
              <w:rPr>
                <w:rFonts w:ascii="Times New Roman" w:hAnsi="Times New Roman"/>
              </w:rPr>
              <w:tab/>
            </w:r>
            <w:r>
              <w:rPr>
                <w:spacing w:val="-5"/>
              </w:rPr>
              <w:t>148</w:t>
            </w:r>
          </w:hyperlink>
        </w:p>
        <w:p w14:paraId="50904297" w14:textId="77777777" w:rsidR="00DB6E1F" w:rsidRDefault="00F666A6">
          <w:pPr>
            <w:pStyle w:val="TOC3"/>
            <w:numPr>
              <w:ilvl w:val="0"/>
              <w:numId w:val="93"/>
            </w:numPr>
            <w:tabs>
              <w:tab w:val="left" w:pos="1880"/>
              <w:tab w:val="right" w:leader="dot" w:pos="10792"/>
            </w:tabs>
          </w:pPr>
          <w:hyperlink w:anchor="_bookmark51" w:history="1">
            <w:r>
              <w:t>U.S.</w:t>
            </w:r>
            <w:r>
              <w:rPr>
                <w:spacing w:val="-8"/>
              </w:rPr>
              <w:t xml:space="preserve"> </w:t>
            </w:r>
            <w:r>
              <w:t>Alcohol</w:t>
            </w:r>
            <w:r>
              <w:rPr>
                <w:spacing w:val="-5"/>
              </w:rPr>
              <w:t xml:space="preserve"> </w:t>
            </w:r>
            <w:r>
              <w:t>Use</w:t>
            </w:r>
            <w:r>
              <w:rPr>
                <w:spacing w:val="-7"/>
              </w:rPr>
              <w:t xml:space="preserve"> </w:t>
            </w:r>
            <w:r>
              <w:t>Disorders</w:t>
            </w:r>
            <w:r>
              <w:rPr>
                <w:spacing w:val="-5"/>
              </w:rPr>
              <w:t xml:space="preserve"> </w:t>
            </w:r>
            <w:r>
              <w:t>Identification</w:t>
            </w:r>
            <w:r>
              <w:rPr>
                <w:spacing w:val="-6"/>
              </w:rPr>
              <w:t xml:space="preserve"> </w:t>
            </w:r>
            <w:r>
              <w:t>Test</w:t>
            </w:r>
            <w:r>
              <w:rPr>
                <w:spacing w:val="-5"/>
              </w:rPr>
              <w:t xml:space="preserve"> </w:t>
            </w:r>
            <w:r>
              <w:rPr>
                <w:spacing w:val="-2"/>
              </w:rPr>
              <w:t>(AUDIT)</w:t>
            </w:r>
            <w:r>
              <w:rPr>
                <w:rFonts w:ascii="Times New Roman"/>
              </w:rPr>
              <w:tab/>
            </w:r>
            <w:r>
              <w:rPr>
                <w:spacing w:val="-5"/>
              </w:rPr>
              <w:t>149</w:t>
            </w:r>
          </w:hyperlink>
        </w:p>
        <w:p w14:paraId="4957803C" w14:textId="77777777" w:rsidR="00DB6E1F" w:rsidRDefault="00F666A6">
          <w:pPr>
            <w:pStyle w:val="TOC3"/>
            <w:numPr>
              <w:ilvl w:val="0"/>
              <w:numId w:val="93"/>
            </w:numPr>
            <w:tabs>
              <w:tab w:val="left" w:pos="1880"/>
              <w:tab w:val="right" w:leader="dot" w:pos="10792"/>
            </w:tabs>
            <w:spacing w:before="121"/>
          </w:pPr>
          <w:hyperlink w:anchor="_bookmark52" w:history="1">
            <w:r>
              <w:t>Drug</w:t>
            </w:r>
            <w:r>
              <w:rPr>
                <w:spacing w:val="-6"/>
              </w:rPr>
              <w:t xml:space="preserve"> </w:t>
            </w:r>
            <w:r>
              <w:t>Abuse</w:t>
            </w:r>
            <w:r>
              <w:rPr>
                <w:spacing w:val="-7"/>
              </w:rPr>
              <w:t xml:space="preserve"> </w:t>
            </w:r>
            <w:r>
              <w:t>Screening</w:t>
            </w:r>
            <w:r>
              <w:rPr>
                <w:spacing w:val="-6"/>
              </w:rPr>
              <w:t xml:space="preserve"> </w:t>
            </w:r>
            <w:r>
              <w:t>Test</w:t>
            </w:r>
            <w:r>
              <w:rPr>
                <w:spacing w:val="-4"/>
              </w:rPr>
              <w:t xml:space="preserve"> </w:t>
            </w:r>
            <w:r>
              <w:t>(DAST-</w:t>
            </w:r>
            <w:r>
              <w:rPr>
                <w:spacing w:val="-5"/>
              </w:rPr>
              <w:t>10)</w:t>
            </w:r>
            <w:r>
              <w:rPr>
                <w:rFonts w:ascii="Times New Roman"/>
              </w:rPr>
              <w:tab/>
            </w:r>
            <w:r>
              <w:rPr>
                <w:spacing w:val="-5"/>
              </w:rPr>
              <w:t>151</w:t>
            </w:r>
          </w:hyperlink>
        </w:p>
        <w:p w14:paraId="3CDF4E6C" w14:textId="77777777" w:rsidR="00DB6E1F" w:rsidRDefault="00F666A6">
          <w:pPr>
            <w:pStyle w:val="TOC3"/>
            <w:numPr>
              <w:ilvl w:val="0"/>
              <w:numId w:val="93"/>
            </w:numPr>
            <w:tabs>
              <w:tab w:val="left" w:pos="1880"/>
              <w:tab w:val="right" w:leader="dot" w:pos="10792"/>
            </w:tabs>
            <w:spacing w:before="122"/>
          </w:pPr>
          <w:hyperlink w:anchor="_bookmark53" w:history="1">
            <w:r>
              <w:t>Drinker</w:t>
            </w:r>
            <w:r>
              <w:rPr>
                <w:spacing w:val="-5"/>
              </w:rPr>
              <w:t xml:space="preserve"> </w:t>
            </w:r>
            <w:r>
              <w:t>Inventory</w:t>
            </w:r>
            <w:r>
              <w:rPr>
                <w:spacing w:val="-5"/>
              </w:rPr>
              <w:t xml:space="preserve"> </w:t>
            </w:r>
            <w:r>
              <w:t>of</w:t>
            </w:r>
            <w:r>
              <w:rPr>
                <w:spacing w:val="-7"/>
              </w:rPr>
              <w:t xml:space="preserve"> </w:t>
            </w:r>
            <w:r>
              <w:t>Consequences</w:t>
            </w:r>
            <w:r>
              <w:rPr>
                <w:spacing w:val="-6"/>
              </w:rPr>
              <w:t xml:space="preserve"> </w:t>
            </w:r>
            <w:r>
              <w:t>(DrInC)</w:t>
            </w:r>
            <w:r>
              <w:rPr>
                <w:spacing w:val="-6"/>
              </w:rPr>
              <w:t xml:space="preserve"> </w:t>
            </w:r>
            <w:r>
              <w:rPr>
                <w:spacing w:val="-2"/>
              </w:rPr>
              <w:t>(Lifetime)</w:t>
            </w:r>
            <w:r>
              <w:rPr>
                <w:rFonts w:ascii="Times New Roman"/>
              </w:rPr>
              <w:tab/>
            </w:r>
            <w:r>
              <w:rPr>
                <w:spacing w:val="-5"/>
              </w:rPr>
              <w:t>153</w:t>
            </w:r>
          </w:hyperlink>
        </w:p>
        <w:p w14:paraId="5DD049CB" w14:textId="77777777" w:rsidR="00DB6E1F" w:rsidRDefault="00F666A6">
          <w:pPr>
            <w:pStyle w:val="TOC3"/>
            <w:numPr>
              <w:ilvl w:val="0"/>
              <w:numId w:val="93"/>
            </w:numPr>
            <w:tabs>
              <w:tab w:val="left" w:pos="1881"/>
              <w:tab w:val="right" w:leader="dot" w:pos="10792"/>
            </w:tabs>
            <w:spacing w:before="121"/>
            <w:ind w:left="1880" w:hanging="220"/>
          </w:pPr>
          <w:hyperlink w:anchor="_bookmark54" w:history="1">
            <w:r>
              <w:t>What</w:t>
            </w:r>
            <w:r>
              <w:rPr>
                <w:spacing w:val="-5"/>
              </w:rPr>
              <w:t xml:space="preserve"> </w:t>
            </w:r>
            <w:r>
              <w:t>I</w:t>
            </w:r>
            <w:r>
              <w:rPr>
                <w:spacing w:val="-2"/>
              </w:rPr>
              <w:t xml:space="preserve"> </w:t>
            </w:r>
            <w:r>
              <w:t>Want</w:t>
            </w:r>
            <w:r>
              <w:rPr>
                <w:spacing w:val="-5"/>
              </w:rPr>
              <w:t xml:space="preserve"> </w:t>
            </w:r>
            <w:r>
              <w:t>From</w:t>
            </w:r>
            <w:r>
              <w:rPr>
                <w:spacing w:val="-2"/>
              </w:rPr>
              <w:t xml:space="preserve"> </w:t>
            </w:r>
            <w:r>
              <w:t>Treatment</w:t>
            </w:r>
            <w:r>
              <w:rPr>
                <w:spacing w:val="-4"/>
              </w:rPr>
              <w:t xml:space="preserve"> (2.0)</w:t>
            </w:r>
            <w:r>
              <w:rPr>
                <w:rFonts w:ascii="Times New Roman"/>
              </w:rPr>
              <w:tab/>
            </w:r>
            <w:r>
              <w:rPr>
                <w:spacing w:val="-5"/>
              </w:rPr>
              <w:t>156</w:t>
            </w:r>
          </w:hyperlink>
        </w:p>
        <w:p w14:paraId="1AABD24E" w14:textId="77777777" w:rsidR="00DB6E1F" w:rsidRDefault="00F666A6">
          <w:pPr>
            <w:pStyle w:val="TOC3"/>
            <w:numPr>
              <w:ilvl w:val="0"/>
              <w:numId w:val="93"/>
            </w:numPr>
            <w:tabs>
              <w:tab w:val="left" w:pos="1881"/>
              <w:tab w:val="right" w:leader="dot" w:pos="10792"/>
            </w:tabs>
            <w:spacing w:before="122"/>
            <w:ind w:left="1880" w:hanging="220"/>
          </w:pPr>
          <w:hyperlink w:anchor="_bookmark55" w:history="1">
            <w:r>
              <w:t>Readiness</w:t>
            </w:r>
            <w:r>
              <w:rPr>
                <w:spacing w:val="-9"/>
              </w:rPr>
              <w:t xml:space="preserve"> </w:t>
            </w:r>
            <w:r>
              <w:t>to</w:t>
            </w:r>
            <w:r>
              <w:rPr>
                <w:spacing w:val="-5"/>
              </w:rPr>
              <w:t xml:space="preserve"> </w:t>
            </w:r>
            <w:r>
              <w:t>Change</w:t>
            </w:r>
            <w:r>
              <w:rPr>
                <w:spacing w:val="-8"/>
              </w:rPr>
              <w:t xml:space="preserve"> </w:t>
            </w:r>
            <w:r>
              <w:t>Questionnaire</w:t>
            </w:r>
            <w:r>
              <w:rPr>
                <w:spacing w:val="-5"/>
              </w:rPr>
              <w:t xml:space="preserve"> </w:t>
            </w:r>
            <w:r>
              <w:t>(Treatment</w:t>
            </w:r>
            <w:r>
              <w:rPr>
                <w:spacing w:val="-8"/>
              </w:rPr>
              <w:t xml:space="preserve"> </w:t>
            </w:r>
            <w:r>
              <w:t>Version)</w:t>
            </w:r>
            <w:r>
              <w:rPr>
                <w:spacing w:val="-7"/>
              </w:rPr>
              <w:t xml:space="preserve"> </w:t>
            </w:r>
            <w:r>
              <w:t>(RCQ-TV)</w:t>
            </w:r>
            <w:r>
              <w:rPr>
                <w:spacing w:val="-7"/>
              </w:rPr>
              <w:t xml:space="preserve"> </w:t>
            </w:r>
            <w:r>
              <w:rPr>
                <w:spacing w:val="-2"/>
              </w:rPr>
              <w:t>(Revised)</w:t>
            </w:r>
            <w:r>
              <w:rPr>
                <w:rFonts w:ascii="Times New Roman"/>
              </w:rPr>
              <w:tab/>
            </w:r>
            <w:r>
              <w:rPr>
                <w:spacing w:val="-5"/>
              </w:rPr>
              <w:t>159</w:t>
            </w:r>
          </w:hyperlink>
        </w:p>
        <w:p w14:paraId="4CAFC0D8" w14:textId="77777777" w:rsidR="00DB6E1F" w:rsidRDefault="00F666A6">
          <w:pPr>
            <w:pStyle w:val="TOC3"/>
            <w:numPr>
              <w:ilvl w:val="0"/>
              <w:numId w:val="93"/>
            </w:numPr>
            <w:tabs>
              <w:tab w:val="left" w:pos="1880"/>
              <w:tab w:val="right" w:leader="dot" w:pos="10792"/>
            </w:tabs>
            <w:spacing w:before="121"/>
          </w:pPr>
          <w:hyperlink w:anchor="_bookmark56" w:history="1">
            <w:r>
              <w:t>Stages</w:t>
            </w:r>
            <w:r>
              <w:rPr>
                <w:spacing w:val="-10"/>
              </w:rPr>
              <w:t xml:space="preserve"> </w:t>
            </w:r>
            <w:r>
              <w:t>of</w:t>
            </w:r>
            <w:r>
              <w:rPr>
                <w:spacing w:val="-7"/>
              </w:rPr>
              <w:t xml:space="preserve"> </w:t>
            </w:r>
            <w:r>
              <w:t>Change</w:t>
            </w:r>
            <w:r>
              <w:rPr>
                <w:spacing w:val="-5"/>
              </w:rPr>
              <w:t xml:space="preserve"> </w:t>
            </w:r>
            <w:r>
              <w:t>Readiness</w:t>
            </w:r>
            <w:r>
              <w:rPr>
                <w:spacing w:val="-6"/>
              </w:rPr>
              <w:t xml:space="preserve"> </w:t>
            </w:r>
            <w:r>
              <w:t>and</w:t>
            </w:r>
            <w:r>
              <w:rPr>
                <w:spacing w:val="-6"/>
              </w:rPr>
              <w:t xml:space="preserve"> </w:t>
            </w:r>
            <w:r>
              <w:t>Treatment</w:t>
            </w:r>
            <w:r>
              <w:rPr>
                <w:spacing w:val="-8"/>
              </w:rPr>
              <w:t xml:space="preserve"> </w:t>
            </w:r>
            <w:r>
              <w:t>Eagerness</w:t>
            </w:r>
            <w:r>
              <w:rPr>
                <w:spacing w:val="-5"/>
              </w:rPr>
              <w:t xml:space="preserve"> </w:t>
            </w:r>
            <w:r>
              <w:t>Scale‒Alcohol</w:t>
            </w:r>
            <w:r>
              <w:rPr>
                <w:spacing w:val="-6"/>
              </w:rPr>
              <w:t xml:space="preserve"> </w:t>
            </w:r>
            <w:r>
              <w:t>(SOCRATES</w:t>
            </w:r>
            <w:r>
              <w:rPr>
                <w:spacing w:val="-5"/>
              </w:rPr>
              <w:t xml:space="preserve"> 8A)</w:t>
            </w:r>
            <w:r>
              <w:rPr>
                <w:rFonts w:ascii="Times New Roman" w:hAnsi="Times New Roman"/>
              </w:rPr>
              <w:tab/>
            </w:r>
            <w:r>
              <w:rPr>
                <w:spacing w:val="-5"/>
              </w:rPr>
              <w:t>161</w:t>
            </w:r>
          </w:hyperlink>
        </w:p>
        <w:p w14:paraId="0D85F564" w14:textId="77777777" w:rsidR="00DB6E1F" w:rsidRDefault="00F666A6">
          <w:pPr>
            <w:pStyle w:val="TOC3"/>
            <w:numPr>
              <w:ilvl w:val="0"/>
              <w:numId w:val="93"/>
            </w:numPr>
            <w:tabs>
              <w:tab w:val="left" w:pos="1880"/>
              <w:tab w:val="right" w:leader="dot" w:pos="10792"/>
            </w:tabs>
            <w:spacing w:before="122"/>
          </w:pPr>
          <w:hyperlink w:anchor="_bookmark57" w:history="1">
            <w:r>
              <w:t>Stages</w:t>
            </w:r>
            <w:r>
              <w:rPr>
                <w:spacing w:val="-9"/>
              </w:rPr>
              <w:t xml:space="preserve"> </w:t>
            </w:r>
            <w:r>
              <w:t>of</w:t>
            </w:r>
            <w:r>
              <w:rPr>
                <w:spacing w:val="-7"/>
              </w:rPr>
              <w:t xml:space="preserve"> </w:t>
            </w:r>
            <w:r>
              <w:t>Change</w:t>
            </w:r>
            <w:r>
              <w:rPr>
                <w:spacing w:val="-4"/>
              </w:rPr>
              <w:t xml:space="preserve"> </w:t>
            </w:r>
            <w:r>
              <w:t>Readiness</w:t>
            </w:r>
            <w:r>
              <w:rPr>
                <w:spacing w:val="-5"/>
              </w:rPr>
              <w:t xml:space="preserve"> </w:t>
            </w:r>
            <w:r>
              <w:t>and</w:t>
            </w:r>
            <w:r>
              <w:rPr>
                <w:spacing w:val="-6"/>
              </w:rPr>
              <w:t xml:space="preserve"> </w:t>
            </w:r>
            <w:r>
              <w:t>Treatment</w:t>
            </w:r>
            <w:r>
              <w:rPr>
                <w:spacing w:val="-7"/>
              </w:rPr>
              <w:t xml:space="preserve"> </w:t>
            </w:r>
            <w:r>
              <w:t>Eagerness</w:t>
            </w:r>
            <w:r>
              <w:rPr>
                <w:spacing w:val="-5"/>
              </w:rPr>
              <w:t xml:space="preserve"> </w:t>
            </w:r>
            <w:r>
              <w:t>Scale‒Drug</w:t>
            </w:r>
            <w:r>
              <w:rPr>
                <w:spacing w:val="-6"/>
              </w:rPr>
              <w:t xml:space="preserve"> </w:t>
            </w:r>
            <w:r>
              <w:t>(SOCRATES</w:t>
            </w:r>
            <w:r>
              <w:rPr>
                <w:spacing w:val="-7"/>
              </w:rPr>
              <w:t xml:space="preserve"> </w:t>
            </w:r>
            <w:r>
              <w:rPr>
                <w:spacing w:val="-5"/>
              </w:rPr>
              <w:t>8D)</w:t>
            </w:r>
            <w:r>
              <w:rPr>
                <w:rFonts w:ascii="Times New Roman" w:hAnsi="Times New Roman"/>
              </w:rPr>
              <w:tab/>
            </w:r>
            <w:r>
              <w:rPr>
                <w:spacing w:val="-5"/>
              </w:rPr>
              <w:t>162</w:t>
            </w:r>
          </w:hyperlink>
        </w:p>
        <w:p w14:paraId="6723A56A" w14:textId="77777777" w:rsidR="00DB6E1F" w:rsidRDefault="00F666A6">
          <w:pPr>
            <w:pStyle w:val="TOC3"/>
            <w:numPr>
              <w:ilvl w:val="0"/>
              <w:numId w:val="93"/>
            </w:numPr>
            <w:tabs>
              <w:tab w:val="left" w:pos="1880"/>
              <w:tab w:val="right" w:leader="dot" w:pos="10792"/>
            </w:tabs>
            <w:spacing w:before="121"/>
          </w:pPr>
          <w:hyperlink w:anchor="_bookmark58" w:history="1">
            <w:r>
              <w:t>University</w:t>
            </w:r>
            <w:r>
              <w:rPr>
                <w:spacing w:val="-9"/>
              </w:rPr>
              <w:t xml:space="preserve"> </w:t>
            </w:r>
            <w:r>
              <w:t>of</w:t>
            </w:r>
            <w:r>
              <w:rPr>
                <w:spacing w:val="-5"/>
              </w:rPr>
              <w:t xml:space="preserve"> </w:t>
            </w:r>
            <w:r>
              <w:t>Rhode</w:t>
            </w:r>
            <w:r>
              <w:rPr>
                <w:spacing w:val="-6"/>
              </w:rPr>
              <w:t xml:space="preserve"> </w:t>
            </w:r>
            <w:r>
              <w:t>Island</w:t>
            </w:r>
            <w:r>
              <w:rPr>
                <w:spacing w:val="-6"/>
              </w:rPr>
              <w:t xml:space="preserve"> </w:t>
            </w:r>
            <w:r>
              <w:t>Change</w:t>
            </w:r>
            <w:r>
              <w:rPr>
                <w:spacing w:val="-5"/>
              </w:rPr>
              <w:t xml:space="preserve"> </w:t>
            </w:r>
            <w:r>
              <w:t>Assessment</w:t>
            </w:r>
            <w:r>
              <w:rPr>
                <w:spacing w:val="-6"/>
              </w:rPr>
              <w:t xml:space="preserve"> </w:t>
            </w:r>
            <w:r>
              <w:t>(URICA)</w:t>
            </w:r>
            <w:r>
              <w:rPr>
                <w:spacing w:val="-4"/>
              </w:rPr>
              <w:t xml:space="preserve"> </w:t>
            </w:r>
            <w:r>
              <w:rPr>
                <w:spacing w:val="-2"/>
              </w:rPr>
              <w:t>Scale</w:t>
            </w:r>
            <w:r>
              <w:rPr>
                <w:rFonts w:ascii="Times New Roman"/>
              </w:rPr>
              <w:tab/>
            </w:r>
            <w:r>
              <w:rPr>
                <w:spacing w:val="-5"/>
              </w:rPr>
              <w:t>165</w:t>
            </w:r>
          </w:hyperlink>
        </w:p>
        <w:p w14:paraId="5D8DB42A" w14:textId="77777777" w:rsidR="00DB6E1F" w:rsidRDefault="00F666A6">
          <w:pPr>
            <w:pStyle w:val="TOC3"/>
            <w:numPr>
              <w:ilvl w:val="0"/>
              <w:numId w:val="93"/>
            </w:numPr>
            <w:tabs>
              <w:tab w:val="left" w:pos="1880"/>
              <w:tab w:val="right" w:leader="dot" w:pos="10792"/>
            </w:tabs>
          </w:pPr>
          <w:hyperlink w:anchor="_bookmark59" w:history="1">
            <w:r>
              <w:t>Alcohol</w:t>
            </w:r>
            <w:r>
              <w:rPr>
                <w:spacing w:val="-8"/>
              </w:rPr>
              <w:t xml:space="preserve"> </w:t>
            </w:r>
            <w:r>
              <w:t>and</w:t>
            </w:r>
            <w:r>
              <w:rPr>
                <w:spacing w:val="-8"/>
              </w:rPr>
              <w:t xml:space="preserve"> </w:t>
            </w:r>
            <w:r>
              <w:t>Drug</w:t>
            </w:r>
            <w:r>
              <w:rPr>
                <w:spacing w:val="-6"/>
              </w:rPr>
              <w:t xml:space="preserve"> </w:t>
            </w:r>
            <w:r>
              <w:t>Consequences</w:t>
            </w:r>
            <w:r>
              <w:rPr>
                <w:spacing w:val="-6"/>
              </w:rPr>
              <w:t xml:space="preserve"> </w:t>
            </w:r>
            <w:r>
              <w:t>Questionnaire</w:t>
            </w:r>
            <w:r>
              <w:rPr>
                <w:spacing w:val="-4"/>
              </w:rPr>
              <w:t xml:space="preserve"> </w:t>
            </w:r>
            <w:r>
              <w:rPr>
                <w:spacing w:val="-2"/>
              </w:rPr>
              <w:t>(ADCQ)</w:t>
            </w:r>
            <w:r>
              <w:rPr>
                <w:rFonts w:ascii="Times New Roman"/>
              </w:rPr>
              <w:tab/>
            </w:r>
            <w:r>
              <w:rPr>
                <w:spacing w:val="-5"/>
              </w:rPr>
              <w:t>168</w:t>
            </w:r>
          </w:hyperlink>
        </w:p>
        <w:p w14:paraId="2045953D" w14:textId="77777777" w:rsidR="00DB6E1F" w:rsidRDefault="00F666A6">
          <w:pPr>
            <w:pStyle w:val="TOC3"/>
            <w:numPr>
              <w:ilvl w:val="0"/>
              <w:numId w:val="93"/>
            </w:numPr>
            <w:tabs>
              <w:tab w:val="left" w:pos="1993"/>
              <w:tab w:val="right" w:leader="dot" w:pos="10792"/>
            </w:tabs>
            <w:spacing w:before="123"/>
            <w:ind w:left="1992" w:hanging="332"/>
          </w:pPr>
          <w:hyperlink w:anchor="_bookmark60" w:history="1">
            <w:r>
              <w:t>Alcohol</w:t>
            </w:r>
            <w:r>
              <w:rPr>
                <w:spacing w:val="-8"/>
              </w:rPr>
              <w:t xml:space="preserve"> </w:t>
            </w:r>
            <w:r>
              <w:t>Decisional</w:t>
            </w:r>
            <w:r>
              <w:rPr>
                <w:spacing w:val="-7"/>
              </w:rPr>
              <w:t xml:space="preserve"> </w:t>
            </w:r>
            <w:r>
              <w:t>Balance</w:t>
            </w:r>
            <w:r>
              <w:rPr>
                <w:spacing w:val="-6"/>
              </w:rPr>
              <w:t xml:space="preserve"> </w:t>
            </w:r>
            <w:r>
              <w:rPr>
                <w:spacing w:val="-4"/>
              </w:rPr>
              <w:t>Scale</w:t>
            </w:r>
            <w:r>
              <w:rPr>
                <w:rFonts w:ascii="Times New Roman"/>
              </w:rPr>
              <w:tab/>
            </w:r>
            <w:r>
              <w:rPr>
                <w:spacing w:val="-5"/>
              </w:rPr>
              <w:t>170</w:t>
            </w:r>
          </w:hyperlink>
        </w:p>
        <w:p w14:paraId="287B00CE" w14:textId="77777777" w:rsidR="00DB6E1F" w:rsidRDefault="00F666A6">
          <w:pPr>
            <w:pStyle w:val="TOC3"/>
            <w:numPr>
              <w:ilvl w:val="0"/>
              <w:numId w:val="93"/>
            </w:numPr>
            <w:tabs>
              <w:tab w:val="left" w:pos="1991"/>
              <w:tab w:val="right" w:leader="dot" w:pos="10792"/>
            </w:tabs>
            <w:ind w:left="1990" w:hanging="330"/>
          </w:pPr>
          <w:hyperlink w:anchor="_bookmark61" w:history="1">
            <w:r>
              <w:t>Drug</w:t>
            </w:r>
            <w:r>
              <w:rPr>
                <w:spacing w:val="-6"/>
              </w:rPr>
              <w:t xml:space="preserve"> </w:t>
            </w:r>
            <w:r>
              <w:t>Use</w:t>
            </w:r>
            <w:r>
              <w:rPr>
                <w:spacing w:val="-4"/>
              </w:rPr>
              <w:t xml:space="preserve"> </w:t>
            </w:r>
            <w:r>
              <w:t>Decisional</w:t>
            </w:r>
            <w:r>
              <w:rPr>
                <w:spacing w:val="-5"/>
              </w:rPr>
              <w:t xml:space="preserve"> </w:t>
            </w:r>
            <w:r>
              <w:t>Balance</w:t>
            </w:r>
            <w:r>
              <w:rPr>
                <w:spacing w:val="-4"/>
              </w:rPr>
              <w:t xml:space="preserve"> </w:t>
            </w:r>
            <w:r>
              <w:rPr>
                <w:spacing w:val="-2"/>
              </w:rPr>
              <w:t>Scale</w:t>
            </w:r>
            <w:r>
              <w:rPr>
                <w:rFonts w:ascii="Times New Roman"/>
              </w:rPr>
              <w:tab/>
            </w:r>
            <w:r>
              <w:rPr>
                <w:spacing w:val="-5"/>
              </w:rPr>
              <w:t>172</w:t>
            </w:r>
          </w:hyperlink>
        </w:p>
        <w:p w14:paraId="11DAA8CB" w14:textId="77777777" w:rsidR="00DB6E1F" w:rsidRDefault="00F666A6">
          <w:pPr>
            <w:pStyle w:val="TOC3"/>
            <w:numPr>
              <w:ilvl w:val="0"/>
              <w:numId w:val="93"/>
            </w:numPr>
            <w:tabs>
              <w:tab w:val="left" w:pos="1992"/>
              <w:tab w:val="right" w:leader="dot" w:pos="10791"/>
            </w:tabs>
            <w:spacing w:before="121"/>
            <w:ind w:left="1992" w:hanging="332"/>
          </w:pPr>
          <w:hyperlink w:anchor="_bookmark62" w:history="1">
            <w:r>
              <w:t>Brie</w:t>
            </w:r>
            <w:r>
              <w:t>f</w:t>
            </w:r>
            <w:r>
              <w:rPr>
                <w:spacing w:val="-9"/>
              </w:rPr>
              <w:t xml:space="preserve"> </w:t>
            </w:r>
            <w:r>
              <w:t>Situational</w:t>
            </w:r>
            <w:r>
              <w:rPr>
                <w:spacing w:val="-9"/>
              </w:rPr>
              <w:t xml:space="preserve"> </w:t>
            </w:r>
            <w:r>
              <w:t>Confidence</w:t>
            </w:r>
            <w:r>
              <w:rPr>
                <w:spacing w:val="-8"/>
              </w:rPr>
              <w:t xml:space="preserve"> </w:t>
            </w:r>
            <w:r>
              <w:t>Questionnaire</w:t>
            </w:r>
            <w:r>
              <w:rPr>
                <w:spacing w:val="-7"/>
              </w:rPr>
              <w:t xml:space="preserve"> </w:t>
            </w:r>
            <w:r>
              <w:rPr>
                <w:spacing w:val="-2"/>
              </w:rPr>
              <w:t>(BSCQ)</w:t>
            </w:r>
            <w:r>
              <w:rPr>
                <w:rFonts w:ascii="Times New Roman"/>
              </w:rPr>
              <w:tab/>
            </w:r>
            <w:r>
              <w:rPr>
                <w:spacing w:val="-5"/>
              </w:rPr>
              <w:t>174</w:t>
            </w:r>
          </w:hyperlink>
        </w:p>
        <w:p w14:paraId="0C8A31F1" w14:textId="77777777" w:rsidR="00DB6E1F" w:rsidRDefault="00F666A6">
          <w:pPr>
            <w:pStyle w:val="TOC2"/>
            <w:numPr>
              <w:ilvl w:val="0"/>
              <w:numId w:val="93"/>
            </w:numPr>
            <w:tabs>
              <w:tab w:val="left" w:pos="1993"/>
              <w:tab w:val="right" w:leader="dot" w:pos="10791"/>
            </w:tabs>
            <w:ind w:left="1992" w:hanging="333"/>
          </w:pPr>
          <w:hyperlink w:anchor="_bookmark63" w:history="1">
            <w:r>
              <w:t>Alcohol</w:t>
            </w:r>
            <w:r>
              <w:rPr>
                <w:spacing w:val="-8"/>
              </w:rPr>
              <w:t xml:space="preserve"> </w:t>
            </w:r>
            <w:r>
              <w:t>Abstinence</w:t>
            </w:r>
            <w:r>
              <w:rPr>
                <w:spacing w:val="-6"/>
              </w:rPr>
              <w:t xml:space="preserve"> </w:t>
            </w:r>
            <w:r>
              <w:t>Self-Efficacy</w:t>
            </w:r>
            <w:r>
              <w:rPr>
                <w:spacing w:val="-8"/>
              </w:rPr>
              <w:t xml:space="preserve"> </w:t>
            </w:r>
            <w:r>
              <w:t>Scale</w:t>
            </w:r>
            <w:r>
              <w:rPr>
                <w:spacing w:val="-9"/>
              </w:rPr>
              <w:t xml:space="preserve"> </w:t>
            </w:r>
            <w:r>
              <w:rPr>
                <w:spacing w:val="-2"/>
              </w:rPr>
              <w:t>(AASES)</w:t>
            </w:r>
            <w:r>
              <w:rPr>
                <w:rFonts w:ascii="Times New Roman"/>
              </w:rPr>
              <w:tab/>
            </w:r>
            <w:r>
              <w:rPr>
                <w:spacing w:val="-5"/>
              </w:rPr>
              <w:t>176</w:t>
            </w:r>
          </w:hyperlink>
        </w:p>
        <w:p w14:paraId="2CAA94E3" w14:textId="77777777" w:rsidR="00DB6E1F" w:rsidRDefault="00F666A6">
          <w:pPr>
            <w:pStyle w:val="TOC2"/>
            <w:numPr>
              <w:ilvl w:val="0"/>
              <w:numId w:val="93"/>
            </w:numPr>
            <w:tabs>
              <w:tab w:val="left" w:pos="1990"/>
              <w:tab w:val="right" w:leader="dot" w:pos="10792"/>
            </w:tabs>
            <w:spacing w:before="122" w:after="173"/>
            <w:ind w:left="1989" w:hanging="330"/>
          </w:pPr>
          <w:hyperlink w:anchor="_bookmark64" w:history="1">
            <w:r>
              <w:t>Motivational</w:t>
            </w:r>
            <w:r>
              <w:rPr>
                <w:spacing w:val="-8"/>
              </w:rPr>
              <w:t xml:space="preserve"> </w:t>
            </w:r>
            <w:r>
              <w:t>Interviewing</w:t>
            </w:r>
            <w:r>
              <w:rPr>
                <w:spacing w:val="-9"/>
              </w:rPr>
              <w:t xml:space="preserve"> </w:t>
            </w:r>
            <w:r>
              <w:t>Knowledge</w:t>
            </w:r>
            <w:r>
              <w:rPr>
                <w:spacing w:val="-7"/>
              </w:rPr>
              <w:t xml:space="preserve"> </w:t>
            </w:r>
            <w:r>
              <w:rPr>
                <w:spacing w:val="-4"/>
              </w:rPr>
              <w:t>Test</w:t>
            </w:r>
            <w:r>
              <w:rPr>
                <w:rFonts w:ascii="Times New Roman"/>
              </w:rPr>
              <w:tab/>
            </w:r>
            <w:r>
              <w:rPr>
                <w:spacing w:val="-5"/>
              </w:rPr>
              <w:t>178</w:t>
            </w:r>
          </w:hyperlink>
        </w:p>
        <w:p w14:paraId="271E93FF" w14:textId="77777777" w:rsidR="00DB6E1F" w:rsidRDefault="00F666A6">
          <w:pPr>
            <w:pStyle w:val="TOC1"/>
            <w:tabs>
              <w:tab w:val="right" w:leader="dot" w:pos="10791"/>
            </w:tabs>
            <w:spacing w:before="475"/>
          </w:pPr>
          <w:hyperlink w:anchor="_bookmark65" w:history="1">
            <w:r>
              <w:t>Appendix</w:t>
            </w:r>
            <w:r>
              <w:rPr>
                <w:spacing w:val="-7"/>
              </w:rPr>
              <w:t xml:space="preserve"> </w:t>
            </w:r>
            <w:r>
              <w:t>C—</w:t>
            </w:r>
            <w:r>
              <w:rPr>
                <w:spacing w:val="-2"/>
              </w:rPr>
              <w:t>Resources</w:t>
            </w:r>
            <w:r>
              <w:rPr>
                <w:rFonts w:ascii="Times New Roman" w:hAnsi="Times New Roman"/>
              </w:rPr>
              <w:tab/>
            </w:r>
            <w:r>
              <w:rPr>
                <w:spacing w:val="-5"/>
              </w:rPr>
              <w:t>182</w:t>
            </w:r>
          </w:hyperlink>
        </w:p>
        <w:p w14:paraId="5B2054B5" w14:textId="77777777" w:rsidR="00DB6E1F" w:rsidRDefault="00F666A6">
          <w:pPr>
            <w:pStyle w:val="TOC3"/>
            <w:tabs>
              <w:tab w:val="right" w:leader="dot" w:pos="10791"/>
            </w:tabs>
            <w:ind w:left="1660"/>
          </w:pPr>
          <w:hyperlink w:anchor="_bookmark66" w:history="1">
            <w:r>
              <w:t>Motivational</w:t>
            </w:r>
            <w:r>
              <w:rPr>
                <w:spacing w:val="-9"/>
              </w:rPr>
              <w:t xml:space="preserve"> </w:t>
            </w:r>
            <w:r>
              <w:t>Interviewing</w:t>
            </w:r>
            <w:r>
              <w:rPr>
                <w:spacing w:val="-9"/>
              </w:rPr>
              <w:t xml:space="preserve"> </w:t>
            </w:r>
            <w:r>
              <w:t>and</w:t>
            </w:r>
            <w:r>
              <w:rPr>
                <w:spacing w:val="-7"/>
              </w:rPr>
              <w:t xml:space="preserve"> </w:t>
            </w:r>
            <w:r>
              <w:t>Motivational</w:t>
            </w:r>
            <w:r>
              <w:rPr>
                <w:spacing w:val="-9"/>
              </w:rPr>
              <w:t xml:space="preserve"> </w:t>
            </w:r>
            <w:r>
              <w:t>Enhancement</w:t>
            </w:r>
            <w:r>
              <w:rPr>
                <w:spacing w:val="-8"/>
              </w:rPr>
              <w:t xml:space="preserve"> </w:t>
            </w:r>
            <w:r>
              <w:rPr>
                <w:spacing w:val="-2"/>
              </w:rPr>
              <w:t>Therapy</w:t>
            </w:r>
            <w:r>
              <w:rPr>
                <w:rFonts w:ascii="Times New Roman"/>
              </w:rPr>
              <w:tab/>
            </w:r>
            <w:r>
              <w:rPr>
                <w:spacing w:val="-5"/>
              </w:rPr>
              <w:t>182</w:t>
            </w:r>
          </w:hyperlink>
        </w:p>
        <w:p w14:paraId="025E9101" w14:textId="77777777" w:rsidR="00DB6E1F" w:rsidRDefault="00F666A6">
          <w:pPr>
            <w:pStyle w:val="TOC3"/>
            <w:tabs>
              <w:tab w:val="right" w:leader="dot" w:pos="10791"/>
            </w:tabs>
            <w:spacing w:before="123"/>
            <w:ind w:left="1660"/>
          </w:pPr>
          <w:hyperlink w:anchor="_bookmark67" w:history="1">
            <w:r>
              <w:t>Stages</w:t>
            </w:r>
            <w:r>
              <w:rPr>
                <w:spacing w:val="-5"/>
              </w:rPr>
              <w:t xml:space="preserve"> </w:t>
            </w:r>
            <w:r>
              <w:t>of</w:t>
            </w:r>
            <w:r>
              <w:rPr>
                <w:spacing w:val="-1"/>
              </w:rPr>
              <w:t xml:space="preserve"> </w:t>
            </w:r>
            <w:r>
              <w:rPr>
                <w:spacing w:val="-2"/>
                <w:w w:val="95"/>
              </w:rPr>
              <w:t>Change</w:t>
            </w:r>
            <w:r>
              <w:rPr>
                <w:rFonts w:ascii="Times New Roman"/>
              </w:rPr>
              <w:tab/>
            </w:r>
            <w:r>
              <w:rPr>
                <w:spacing w:val="-5"/>
              </w:rPr>
              <w:t>182</w:t>
            </w:r>
          </w:hyperlink>
        </w:p>
        <w:p w14:paraId="00ED8066" w14:textId="77777777" w:rsidR="00DB6E1F" w:rsidRDefault="00F666A6">
          <w:pPr>
            <w:pStyle w:val="TOC3"/>
            <w:tabs>
              <w:tab w:val="right" w:leader="dot" w:pos="10792"/>
            </w:tabs>
            <w:ind w:left="1660"/>
          </w:pPr>
          <w:hyperlink w:anchor="_bookmark68" w:history="1">
            <w:r>
              <w:t>Training</w:t>
            </w:r>
            <w:r>
              <w:rPr>
                <w:spacing w:val="-5"/>
              </w:rPr>
              <w:t xml:space="preserve"> </w:t>
            </w:r>
            <w:r>
              <w:t>and</w:t>
            </w:r>
            <w:r>
              <w:rPr>
                <w:spacing w:val="-5"/>
              </w:rPr>
              <w:t xml:space="preserve"> </w:t>
            </w:r>
            <w:r>
              <w:rPr>
                <w:spacing w:val="-2"/>
              </w:rPr>
              <w:t>Supervis</w:t>
            </w:r>
            <w:r>
              <w:rPr>
                <w:spacing w:val="-2"/>
              </w:rPr>
              <w:t>ion</w:t>
            </w:r>
            <w:r>
              <w:rPr>
                <w:rFonts w:ascii="Times New Roman"/>
              </w:rPr>
              <w:tab/>
            </w:r>
            <w:r>
              <w:rPr>
                <w:spacing w:val="-5"/>
              </w:rPr>
              <w:t>182</w:t>
            </w:r>
          </w:hyperlink>
        </w:p>
        <w:p w14:paraId="326382E7" w14:textId="77777777" w:rsidR="00DB6E1F" w:rsidRDefault="00F666A6">
          <w:pPr>
            <w:pStyle w:val="TOC3"/>
            <w:tabs>
              <w:tab w:val="right" w:leader="dot" w:pos="10792"/>
            </w:tabs>
            <w:spacing w:before="123"/>
          </w:pPr>
          <w:hyperlink w:anchor="_bookmark69" w:history="1">
            <w:r>
              <w:t>Substance</w:t>
            </w:r>
            <w:r>
              <w:rPr>
                <w:spacing w:val="-4"/>
              </w:rPr>
              <w:t xml:space="preserve"> </w:t>
            </w:r>
            <w:r>
              <w:t>Abuse</w:t>
            </w:r>
            <w:r>
              <w:rPr>
                <w:spacing w:val="-3"/>
              </w:rPr>
              <w:t xml:space="preserve"> </w:t>
            </w:r>
            <w:r>
              <w:t>and</w:t>
            </w:r>
            <w:r>
              <w:rPr>
                <w:spacing w:val="-7"/>
              </w:rPr>
              <w:t xml:space="preserve"> </w:t>
            </w:r>
            <w:r>
              <w:t>Mental</w:t>
            </w:r>
            <w:r>
              <w:rPr>
                <w:spacing w:val="-4"/>
              </w:rPr>
              <w:t xml:space="preserve"> </w:t>
            </w:r>
            <w:r>
              <w:t>Health</w:t>
            </w:r>
            <w:r>
              <w:rPr>
                <w:spacing w:val="-5"/>
              </w:rPr>
              <w:t xml:space="preserve"> </w:t>
            </w:r>
            <w:r>
              <w:t>Services</w:t>
            </w:r>
            <w:r>
              <w:rPr>
                <w:spacing w:val="-4"/>
              </w:rPr>
              <w:t xml:space="preserve"> </w:t>
            </w:r>
            <w:r>
              <w:rPr>
                <w:spacing w:val="-2"/>
              </w:rPr>
              <w:t>Administration</w:t>
            </w:r>
            <w:r>
              <w:rPr>
                <w:rFonts w:ascii="Times New Roman"/>
              </w:rPr>
              <w:tab/>
            </w:r>
            <w:r>
              <w:rPr>
                <w:spacing w:val="-5"/>
              </w:rPr>
              <w:t>183</w:t>
            </w:r>
          </w:hyperlink>
        </w:p>
      </w:sdtContent>
    </w:sdt>
    <w:p w14:paraId="2EA1AB15" w14:textId="77777777" w:rsidR="00DB6E1F" w:rsidRDefault="00DB6E1F">
      <w:pPr>
        <w:sectPr w:rsidR="00DB6E1F">
          <w:type w:val="continuous"/>
          <w:pgSz w:w="12240" w:h="15840"/>
          <w:pgMar w:top="961" w:right="0" w:bottom="1485" w:left="0" w:header="762" w:footer="602" w:gutter="0"/>
          <w:cols w:space="720"/>
        </w:sectPr>
      </w:pPr>
    </w:p>
    <w:p w14:paraId="0B2D2328" w14:textId="77777777" w:rsidR="00DB6E1F" w:rsidRDefault="00DB6E1F">
      <w:pPr>
        <w:pStyle w:val="BodyText"/>
        <w:rPr>
          <w:sz w:val="24"/>
        </w:rPr>
      </w:pPr>
    </w:p>
    <w:p w14:paraId="5DAA5B2E" w14:textId="77777777" w:rsidR="00DB6E1F" w:rsidRDefault="00DB6E1F">
      <w:pPr>
        <w:pStyle w:val="BodyText"/>
        <w:spacing w:before="6"/>
        <w:rPr>
          <w:sz w:val="29"/>
        </w:rPr>
      </w:pPr>
    </w:p>
    <w:p w14:paraId="6B78EB42" w14:textId="77777777" w:rsidR="00DB6E1F" w:rsidRDefault="00F666A6">
      <w:pPr>
        <w:ind w:left="1440"/>
        <w:rPr>
          <w:rFonts w:ascii="Calibri Light"/>
          <w:sz w:val="32"/>
        </w:rPr>
      </w:pPr>
      <w:r>
        <w:rPr>
          <w:rFonts w:ascii="Calibri Light"/>
          <w:color w:val="2F5496"/>
          <w:spacing w:val="-2"/>
          <w:sz w:val="32"/>
        </w:rPr>
        <w:t>Exhibits</w:t>
      </w:r>
    </w:p>
    <w:p w14:paraId="18E62895" w14:textId="77777777" w:rsidR="00DB6E1F" w:rsidRDefault="00F666A6">
      <w:pPr>
        <w:pStyle w:val="BodyText"/>
        <w:tabs>
          <w:tab w:val="left" w:leader="dot" w:pos="10689"/>
        </w:tabs>
        <w:spacing w:before="91"/>
        <w:ind w:left="1440"/>
      </w:pPr>
      <w:r>
        <w:t>Exhibit</w:t>
      </w:r>
      <w:r>
        <w:rPr>
          <w:spacing w:val="-2"/>
        </w:rPr>
        <w:t xml:space="preserve"> </w:t>
      </w:r>
      <w:r>
        <w:t>1.1.</w:t>
      </w:r>
      <w:r>
        <w:rPr>
          <w:spacing w:val="-2"/>
        </w:rPr>
        <w:t xml:space="preserve"> </w:t>
      </w:r>
      <w:r>
        <w:t>Models</w:t>
      </w:r>
      <w:r>
        <w:rPr>
          <w:spacing w:val="-4"/>
        </w:rPr>
        <w:t xml:space="preserve"> </w:t>
      </w:r>
      <w:r>
        <w:t>of</w:t>
      </w:r>
      <w:r>
        <w:rPr>
          <w:spacing w:val="-5"/>
        </w:rPr>
        <w:t xml:space="preserve"> </w:t>
      </w:r>
      <w:r>
        <w:rPr>
          <w:spacing w:val="-2"/>
        </w:rPr>
        <w:t>Addiction</w:t>
      </w:r>
      <w:r>
        <w:rPr>
          <w:rFonts w:ascii="Times New Roman"/>
        </w:rPr>
        <w:tab/>
      </w:r>
      <w:r>
        <w:rPr>
          <w:spacing w:val="-10"/>
        </w:rPr>
        <w:t>6</w:t>
      </w:r>
    </w:p>
    <w:p w14:paraId="50AF9B4B" w14:textId="77777777" w:rsidR="00DB6E1F" w:rsidRDefault="00F666A6">
      <w:pPr>
        <w:pStyle w:val="BodyText"/>
        <w:tabs>
          <w:tab w:val="left" w:leader="dot" w:pos="10576"/>
        </w:tabs>
        <w:spacing w:before="80"/>
        <w:ind w:left="1440"/>
      </w:pPr>
      <w:r>
        <w:t>Exhibit</w:t>
      </w:r>
      <w:r>
        <w:rPr>
          <w:spacing w:val="-4"/>
        </w:rPr>
        <w:t xml:space="preserve"> </w:t>
      </w:r>
      <w:r>
        <w:t>1.2.</w:t>
      </w:r>
      <w:r>
        <w:rPr>
          <w:spacing w:val="-3"/>
        </w:rPr>
        <w:t xml:space="preserve"> </w:t>
      </w:r>
      <w:r>
        <w:t>Examples</w:t>
      </w:r>
      <w:r>
        <w:rPr>
          <w:spacing w:val="-6"/>
        </w:rPr>
        <w:t xml:space="preserve"> </w:t>
      </w:r>
      <w:r>
        <w:t>of</w:t>
      </w:r>
      <w:r>
        <w:rPr>
          <w:spacing w:val="-6"/>
        </w:rPr>
        <w:t xml:space="preserve"> </w:t>
      </w:r>
      <w:r>
        <w:t>Natural</w:t>
      </w:r>
      <w:r>
        <w:rPr>
          <w:spacing w:val="-3"/>
        </w:rPr>
        <w:t xml:space="preserve"> </w:t>
      </w:r>
      <w:r>
        <w:rPr>
          <w:spacing w:val="-2"/>
        </w:rPr>
        <w:t>Changes</w:t>
      </w:r>
      <w:r>
        <w:rPr>
          <w:rFonts w:ascii="Times New Roman"/>
        </w:rPr>
        <w:tab/>
      </w:r>
      <w:r>
        <w:rPr>
          <w:spacing w:val="-5"/>
        </w:rPr>
        <w:t>12</w:t>
      </w:r>
    </w:p>
    <w:p w14:paraId="7BE56ACD" w14:textId="77777777" w:rsidR="00DB6E1F" w:rsidRDefault="00F666A6">
      <w:pPr>
        <w:pStyle w:val="BodyText"/>
        <w:tabs>
          <w:tab w:val="right" w:leader="dot" w:pos="10802"/>
        </w:tabs>
        <w:spacing w:before="82"/>
        <w:ind w:left="1440"/>
      </w:pPr>
      <w:r>
        <w:t>Exhibit</w:t>
      </w:r>
      <w:r>
        <w:rPr>
          <w:spacing w:val="-2"/>
        </w:rPr>
        <w:t xml:space="preserve"> </w:t>
      </w:r>
      <w:r>
        <w:t>1.3.</w:t>
      </w:r>
      <w:r>
        <w:rPr>
          <w:spacing w:val="-2"/>
        </w:rPr>
        <w:t xml:space="preserve"> </w:t>
      </w:r>
      <w:r>
        <w:t>The</w:t>
      </w:r>
      <w:r>
        <w:rPr>
          <w:spacing w:val="-4"/>
        </w:rPr>
        <w:t xml:space="preserve"> </w:t>
      </w:r>
      <w:r>
        <w:t>Five</w:t>
      </w:r>
      <w:r>
        <w:rPr>
          <w:spacing w:val="-4"/>
        </w:rPr>
        <w:t xml:space="preserve"> </w:t>
      </w:r>
      <w:r>
        <w:t>Stages</w:t>
      </w:r>
      <w:r>
        <w:rPr>
          <w:spacing w:val="-3"/>
        </w:rPr>
        <w:t xml:space="preserve"> </w:t>
      </w:r>
      <w:r>
        <w:t>in</w:t>
      </w:r>
      <w:r>
        <w:rPr>
          <w:spacing w:val="-3"/>
        </w:rPr>
        <w:t xml:space="preserve"> </w:t>
      </w:r>
      <w:r>
        <w:t>the</w:t>
      </w:r>
      <w:r>
        <w:rPr>
          <w:spacing w:val="-1"/>
        </w:rPr>
        <w:t xml:space="preserve"> </w:t>
      </w:r>
      <w:r>
        <w:t>SOC</w:t>
      </w:r>
      <w:r>
        <w:rPr>
          <w:spacing w:val="-4"/>
        </w:rPr>
        <w:t xml:space="preserve"> </w:t>
      </w:r>
      <w:r>
        <w:t>in</w:t>
      </w:r>
      <w:r>
        <w:rPr>
          <w:spacing w:val="-3"/>
        </w:rPr>
        <w:t xml:space="preserve"> </w:t>
      </w:r>
      <w:r>
        <w:t>the</w:t>
      </w:r>
      <w:r>
        <w:rPr>
          <w:spacing w:val="-3"/>
        </w:rPr>
        <w:t xml:space="preserve"> </w:t>
      </w:r>
      <w:r>
        <w:rPr>
          <w:spacing w:val="-5"/>
        </w:rPr>
        <w:t>TTM</w:t>
      </w:r>
      <w:r>
        <w:rPr>
          <w:rFonts w:ascii="Times New Roman"/>
        </w:rPr>
        <w:tab/>
      </w:r>
      <w:r>
        <w:rPr>
          <w:spacing w:val="-5"/>
        </w:rPr>
        <w:t>13</w:t>
      </w:r>
    </w:p>
    <w:p w14:paraId="2B3F4385" w14:textId="77777777" w:rsidR="00DB6E1F" w:rsidRDefault="00F666A6">
      <w:pPr>
        <w:pStyle w:val="BodyText"/>
        <w:tabs>
          <w:tab w:val="right" w:leader="dot" w:pos="10802"/>
        </w:tabs>
        <w:spacing w:before="82"/>
        <w:ind w:left="1440"/>
      </w:pPr>
      <w:r>
        <w:t>Exhibit</w:t>
      </w:r>
      <w:r>
        <w:rPr>
          <w:spacing w:val="-3"/>
        </w:rPr>
        <w:t xml:space="preserve"> </w:t>
      </w:r>
      <w:r>
        <w:t>2.1.</w:t>
      </w:r>
      <w:r>
        <w:rPr>
          <w:spacing w:val="-4"/>
        </w:rPr>
        <w:t xml:space="preserve"> </w:t>
      </w:r>
      <w:r>
        <w:t>The</w:t>
      </w:r>
      <w:r>
        <w:rPr>
          <w:spacing w:val="-5"/>
        </w:rPr>
        <w:t xml:space="preserve"> </w:t>
      </w:r>
      <w:r>
        <w:t>Drinker’s</w:t>
      </w:r>
      <w:r>
        <w:rPr>
          <w:spacing w:val="-6"/>
        </w:rPr>
        <w:t xml:space="preserve"> </w:t>
      </w:r>
      <w:r>
        <w:t>Pyramid</w:t>
      </w:r>
      <w:r>
        <w:rPr>
          <w:spacing w:val="-4"/>
        </w:rPr>
        <w:t xml:space="preserve"> </w:t>
      </w:r>
      <w:r>
        <w:rPr>
          <w:spacing w:val="-2"/>
        </w:rPr>
        <w:t>Feedback</w:t>
      </w:r>
      <w:r>
        <w:rPr>
          <w:rFonts w:ascii="Times New Roman" w:hAnsi="Times New Roman"/>
        </w:rPr>
        <w:tab/>
      </w:r>
      <w:r>
        <w:rPr>
          <w:spacing w:val="-5"/>
        </w:rPr>
        <w:t>19</w:t>
      </w:r>
    </w:p>
    <w:p w14:paraId="350E0156" w14:textId="77777777" w:rsidR="00DB6E1F" w:rsidRDefault="00F666A6">
      <w:pPr>
        <w:pStyle w:val="BodyText"/>
        <w:tabs>
          <w:tab w:val="right" w:leader="dot" w:pos="10802"/>
        </w:tabs>
        <w:spacing w:before="81"/>
        <w:ind w:left="1440"/>
      </w:pPr>
      <w:r>
        <w:t>Exhibit</w:t>
      </w:r>
      <w:r>
        <w:rPr>
          <w:spacing w:val="-4"/>
        </w:rPr>
        <w:t xml:space="preserve"> </w:t>
      </w:r>
      <w:r>
        <w:t>2.2.</w:t>
      </w:r>
      <w:r>
        <w:rPr>
          <w:spacing w:val="-3"/>
        </w:rPr>
        <w:t xml:space="preserve"> </w:t>
      </w:r>
      <w:r>
        <w:t>Catalysts</w:t>
      </w:r>
      <w:r>
        <w:rPr>
          <w:spacing w:val="-5"/>
        </w:rPr>
        <w:t xml:space="preserve"> </w:t>
      </w:r>
      <w:r>
        <w:t>for</w:t>
      </w:r>
      <w:r>
        <w:rPr>
          <w:spacing w:val="-6"/>
        </w:rPr>
        <w:t xml:space="preserve"> </w:t>
      </w:r>
      <w:r>
        <w:rPr>
          <w:spacing w:val="-2"/>
        </w:rPr>
        <w:t>Change</w:t>
      </w:r>
      <w:r>
        <w:rPr>
          <w:rFonts w:ascii="Times New Roman"/>
        </w:rPr>
        <w:tab/>
      </w:r>
      <w:r>
        <w:rPr>
          <w:spacing w:val="-5"/>
        </w:rPr>
        <w:t>24</w:t>
      </w:r>
    </w:p>
    <w:p w14:paraId="755606AC" w14:textId="77777777" w:rsidR="00DB6E1F" w:rsidRDefault="00F666A6">
      <w:pPr>
        <w:pStyle w:val="BodyText"/>
        <w:tabs>
          <w:tab w:val="right" w:leader="dot" w:pos="10802"/>
        </w:tabs>
        <w:spacing w:before="80"/>
        <w:ind w:left="1440"/>
      </w:pPr>
      <w:r>
        <w:t>Exhibit</w:t>
      </w:r>
      <w:r>
        <w:rPr>
          <w:spacing w:val="-5"/>
        </w:rPr>
        <w:t xml:space="preserve"> </w:t>
      </w:r>
      <w:r>
        <w:t>2.3.</w:t>
      </w:r>
      <w:r>
        <w:rPr>
          <w:spacing w:val="-3"/>
        </w:rPr>
        <w:t xml:space="preserve"> </w:t>
      </w:r>
      <w:r>
        <w:t>Counselor</w:t>
      </w:r>
      <w:r>
        <w:rPr>
          <w:spacing w:val="-6"/>
        </w:rPr>
        <w:t xml:space="preserve"> </w:t>
      </w:r>
      <w:r>
        <w:t>Focus</w:t>
      </w:r>
      <w:r>
        <w:rPr>
          <w:spacing w:val="-3"/>
        </w:rPr>
        <w:t xml:space="preserve"> </w:t>
      </w:r>
      <w:r>
        <w:t>in</w:t>
      </w:r>
      <w:r>
        <w:rPr>
          <w:spacing w:val="-4"/>
        </w:rPr>
        <w:t xml:space="preserve"> </w:t>
      </w:r>
      <w:r>
        <w:t>the</w:t>
      </w:r>
      <w:r>
        <w:rPr>
          <w:spacing w:val="-1"/>
        </w:rPr>
        <w:t xml:space="preserve"> </w:t>
      </w:r>
      <w:r>
        <w:rPr>
          <w:spacing w:val="-5"/>
        </w:rPr>
        <w:t>SOC</w:t>
      </w:r>
      <w:r>
        <w:rPr>
          <w:rFonts w:ascii="Times New Roman"/>
        </w:rPr>
        <w:tab/>
      </w:r>
      <w:r>
        <w:rPr>
          <w:spacing w:val="-5"/>
        </w:rPr>
        <w:t>25</w:t>
      </w:r>
    </w:p>
    <w:p w14:paraId="004AEACD" w14:textId="77777777" w:rsidR="00DB6E1F" w:rsidRDefault="00F666A6">
      <w:pPr>
        <w:pStyle w:val="BodyText"/>
        <w:tabs>
          <w:tab w:val="right" w:leader="dot" w:pos="10802"/>
        </w:tabs>
        <w:spacing w:before="82"/>
        <w:ind w:left="1440"/>
      </w:pPr>
      <w:r>
        <w:t>Exhibit</w:t>
      </w:r>
      <w:r>
        <w:rPr>
          <w:spacing w:val="-5"/>
        </w:rPr>
        <w:t xml:space="preserve"> </w:t>
      </w:r>
      <w:r>
        <w:t>2.4.</w:t>
      </w:r>
      <w:r>
        <w:rPr>
          <w:spacing w:val="-4"/>
        </w:rPr>
        <w:t xml:space="preserve"> </w:t>
      </w:r>
      <w:r>
        <w:t>RESPECT:</w:t>
      </w:r>
      <w:r>
        <w:rPr>
          <w:spacing w:val="-3"/>
        </w:rPr>
        <w:t xml:space="preserve"> </w:t>
      </w:r>
      <w:r>
        <w:t>A</w:t>
      </w:r>
      <w:r>
        <w:rPr>
          <w:spacing w:val="-6"/>
        </w:rPr>
        <w:t xml:space="preserve"> </w:t>
      </w:r>
      <w:r>
        <w:t>Mnemonic</w:t>
      </w:r>
      <w:r>
        <w:rPr>
          <w:spacing w:val="-4"/>
        </w:rPr>
        <w:t xml:space="preserve"> </w:t>
      </w:r>
      <w:r>
        <w:t>for</w:t>
      </w:r>
      <w:r>
        <w:rPr>
          <w:spacing w:val="-4"/>
        </w:rPr>
        <w:t xml:space="preserve"> </w:t>
      </w:r>
      <w:r>
        <w:t>Cultural</w:t>
      </w:r>
      <w:r>
        <w:rPr>
          <w:spacing w:val="-5"/>
        </w:rPr>
        <w:t xml:space="preserve"> </w:t>
      </w:r>
      <w:r>
        <w:rPr>
          <w:spacing w:val="-2"/>
          <w:w w:val="95"/>
        </w:rPr>
        <w:t>Responsiveness</w:t>
      </w:r>
      <w:r>
        <w:rPr>
          <w:rFonts w:ascii="Times New Roman"/>
        </w:rPr>
        <w:tab/>
      </w:r>
      <w:r>
        <w:rPr>
          <w:spacing w:val="-5"/>
        </w:rPr>
        <w:t>27</w:t>
      </w:r>
    </w:p>
    <w:p w14:paraId="551E66C1" w14:textId="77777777" w:rsidR="00DB6E1F" w:rsidRDefault="00F666A6">
      <w:pPr>
        <w:pStyle w:val="BodyText"/>
        <w:tabs>
          <w:tab w:val="right" w:leader="dot" w:pos="10802"/>
        </w:tabs>
        <w:spacing w:before="82"/>
        <w:ind w:left="1440"/>
      </w:pPr>
      <w:r>
        <w:t>Exhibit</w:t>
      </w:r>
      <w:r>
        <w:rPr>
          <w:spacing w:val="-4"/>
        </w:rPr>
        <w:t xml:space="preserve"> </w:t>
      </w:r>
      <w:r>
        <w:t>3.1.</w:t>
      </w:r>
      <w:r>
        <w:rPr>
          <w:spacing w:val="-3"/>
        </w:rPr>
        <w:t xml:space="preserve"> </w:t>
      </w:r>
      <w:r>
        <w:t>A</w:t>
      </w:r>
      <w:r>
        <w:rPr>
          <w:spacing w:val="-3"/>
        </w:rPr>
        <w:t xml:space="preserve"> </w:t>
      </w:r>
      <w:r>
        <w:t>Comparison</w:t>
      </w:r>
      <w:r>
        <w:rPr>
          <w:spacing w:val="-6"/>
        </w:rPr>
        <w:t xml:space="preserve"> </w:t>
      </w:r>
      <w:r>
        <w:t>of</w:t>
      </w:r>
      <w:r>
        <w:rPr>
          <w:spacing w:val="-3"/>
        </w:rPr>
        <w:t xml:space="preserve"> </w:t>
      </w:r>
      <w:r>
        <w:t>Original</w:t>
      </w:r>
      <w:r>
        <w:rPr>
          <w:spacing w:val="-3"/>
        </w:rPr>
        <w:t xml:space="preserve"> </w:t>
      </w:r>
      <w:r>
        <w:t>and</w:t>
      </w:r>
      <w:r>
        <w:rPr>
          <w:spacing w:val="-4"/>
        </w:rPr>
        <w:t xml:space="preserve"> </w:t>
      </w:r>
      <w:r>
        <w:t>Updated</w:t>
      </w:r>
      <w:r>
        <w:rPr>
          <w:spacing w:val="-4"/>
        </w:rPr>
        <w:t xml:space="preserve"> </w:t>
      </w:r>
      <w:r>
        <w:t>Versions</w:t>
      </w:r>
      <w:r>
        <w:rPr>
          <w:spacing w:val="-6"/>
        </w:rPr>
        <w:t xml:space="preserve"> </w:t>
      </w:r>
      <w:r>
        <w:t>of</w:t>
      </w:r>
      <w:r>
        <w:rPr>
          <w:spacing w:val="-5"/>
        </w:rPr>
        <w:t xml:space="preserve"> MI</w:t>
      </w:r>
      <w:r>
        <w:rPr>
          <w:rFonts w:ascii="Times New Roman"/>
        </w:rPr>
        <w:tab/>
      </w:r>
      <w:r>
        <w:rPr>
          <w:spacing w:val="-5"/>
        </w:rPr>
        <w:t>35</w:t>
      </w:r>
    </w:p>
    <w:p w14:paraId="0A58E15F" w14:textId="77777777" w:rsidR="00DB6E1F" w:rsidRDefault="00F666A6">
      <w:pPr>
        <w:pStyle w:val="BodyText"/>
        <w:tabs>
          <w:tab w:val="right" w:leader="dot" w:pos="10802"/>
        </w:tabs>
        <w:spacing w:before="81"/>
        <w:ind w:left="1440"/>
      </w:pPr>
      <w:r>
        <w:t>Exhibit</w:t>
      </w:r>
      <w:r>
        <w:rPr>
          <w:spacing w:val="-7"/>
        </w:rPr>
        <w:t xml:space="preserve"> </w:t>
      </w:r>
      <w:r>
        <w:t>3.2.</w:t>
      </w:r>
      <w:r>
        <w:rPr>
          <w:spacing w:val="-6"/>
        </w:rPr>
        <w:t xml:space="preserve"> </w:t>
      </w:r>
      <w:r>
        <w:t>Misconceptions</w:t>
      </w:r>
      <w:r>
        <w:rPr>
          <w:spacing w:val="-7"/>
        </w:rPr>
        <w:t xml:space="preserve"> </w:t>
      </w:r>
      <w:r>
        <w:t>and</w:t>
      </w:r>
      <w:r>
        <w:rPr>
          <w:spacing w:val="-7"/>
        </w:rPr>
        <w:t xml:space="preserve"> </w:t>
      </w:r>
      <w:r>
        <w:t>Clarifications</w:t>
      </w:r>
      <w:r>
        <w:rPr>
          <w:spacing w:val="-6"/>
        </w:rPr>
        <w:t xml:space="preserve"> </w:t>
      </w:r>
      <w:r>
        <w:t>About</w:t>
      </w:r>
      <w:r>
        <w:rPr>
          <w:spacing w:val="-5"/>
        </w:rPr>
        <w:t xml:space="preserve"> MI</w:t>
      </w:r>
      <w:r>
        <w:rPr>
          <w:rFonts w:ascii="Times New Roman"/>
        </w:rPr>
        <w:tab/>
      </w:r>
      <w:r>
        <w:rPr>
          <w:spacing w:val="-5"/>
        </w:rPr>
        <w:t>36</w:t>
      </w:r>
    </w:p>
    <w:p w14:paraId="0ECAA08D" w14:textId="77777777" w:rsidR="00DB6E1F" w:rsidRDefault="00F666A6">
      <w:pPr>
        <w:pStyle w:val="BodyText"/>
        <w:tabs>
          <w:tab w:val="right" w:leader="dot" w:pos="10802"/>
        </w:tabs>
        <w:spacing w:before="80"/>
        <w:ind w:left="1440"/>
      </w:pPr>
      <w:r>
        <w:t>Exhibit</w:t>
      </w:r>
      <w:r>
        <w:rPr>
          <w:spacing w:val="-4"/>
        </w:rPr>
        <w:t xml:space="preserve"> </w:t>
      </w:r>
      <w:r>
        <w:t>3.3.</w:t>
      </w:r>
      <w:r>
        <w:rPr>
          <w:spacing w:val="-4"/>
        </w:rPr>
        <w:t xml:space="preserve"> </w:t>
      </w:r>
      <w:r>
        <w:t>Examples</w:t>
      </w:r>
      <w:r>
        <w:rPr>
          <w:spacing w:val="-5"/>
        </w:rPr>
        <w:t xml:space="preserve"> </w:t>
      </w:r>
      <w:r>
        <w:t>of</w:t>
      </w:r>
      <w:r>
        <w:rPr>
          <w:spacing w:val="-7"/>
        </w:rPr>
        <w:t xml:space="preserve"> </w:t>
      </w:r>
      <w:r>
        <w:t>Change</w:t>
      </w:r>
      <w:r>
        <w:rPr>
          <w:spacing w:val="-3"/>
        </w:rPr>
        <w:t xml:space="preserve"> </w:t>
      </w:r>
      <w:r>
        <w:t>Talk</w:t>
      </w:r>
      <w:r>
        <w:rPr>
          <w:spacing w:val="-2"/>
        </w:rPr>
        <w:t xml:space="preserve"> </w:t>
      </w:r>
      <w:r>
        <w:t>and</w:t>
      </w:r>
      <w:r>
        <w:rPr>
          <w:spacing w:val="-5"/>
        </w:rPr>
        <w:t xml:space="preserve"> </w:t>
      </w:r>
      <w:r>
        <w:t>Sustain</w:t>
      </w:r>
      <w:r>
        <w:rPr>
          <w:spacing w:val="-4"/>
        </w:rPr>
        <w:t xml:space="preserve"> Talk</w:t>
      </w:r>
      <w:r>
        <w:rPr>
          <w:rFonts w:ascii="Times New Roman"/>
        </w:rPr>
        <w:tab/>
      </w:r>
      <w:r>
        <w:rPr>
          <w:spacing w:val="-5"/>
        </w:rPr>
        <w:t>37</w:t>
      </w:r>
    </w:p>
    <w:p w14:paraId="0E7E0D0E" w14:textId="77777777" w:rsidR="00DB6E1F" w:rsidRDefault="00F666A6">
      <w:pPr>
        <w:pStyle w:val="BodyText"/>
        <w:tabs>
          <w:tab w:val="right" w:leader="dot" w:pos="10802"/>
        </w:tabs>
        <w:spacing w:before="82"/>
        <w:ind w:left="1440"/>
      </w:pPr>
      <w:r>
        <w:t>Exhibit</w:t>
      </w:r>
      <w:r>
        <w:rPr>
          <w:spacing w:val="-3"/>
        </w:rPr>
        <w:t xml:space="preserve"> </w:t>
      </w:r>
      <w:r>
        <w:t>3.4.</w:t>
      </w:r>
      <w:r>
        <w:rPr>
          <w:spacing w:val="-4"/>
        </w:rPr>
        <w:t xml:space="preserve"> </w:t>
      </w:r>
      <w:r>
        <w:t>Closed</w:t>
      </w:r>
      <w:r>
        <w:rPr>
          <w:spacing w:val="-5"/>
        </w:rPr>
        <w:t xml:space="preserve"> </w:t>
      </w:r>
      <w:r>
        <w:t>and</w:t>
      </w:r>
      <w:r>
        <w:rPr>
          <w:spacing w:val="-5"/>
        </w:rPr>
        <w:t xml:space="preserve"> </w:t>
      </w:r>
      <w:r>
        <w:t>Open</w:t>
      </w:r>
      <w:r>
        <w:rPr>
          <w:spacing w:val="-4"/>
        </w:rPr>
        <w:t xml:space="preserve"> </w:t>
      </w:r>
      <w:r>
        <w:rPr>
          <w:spacing w:val="-2"/>
        </w:rPr>
        <w:t>Questions</w:t>
      </w:r>
      <w:r>
        <w:rPr>
          <w:rFonts w:ascii="Times New Roman"/>
        </w:rPr>
        <w:tab/>
      </w:r>
      <w:r>
        <w:rPr>
          <w:spacing w:val="-5"/>
        </w:rPr>
        <w:t>39</w:t>
      </w:r>
    </w:p>
    <w:p w14:paraId="14C77EAC" w14:textId="77777777" w:rsidR="00DB6E1F" w:rsidRDefault="00F666A6">
      <w:pPr>
        <w:pStyle w:val="BodyText"/>
        <w:tabs>
          <w:tab w:val="right" w:leader="dot" w:pos="10802"/>
        </w:tabs>
        <w:spacing w:before="82"/>
        <w:ind w:left="1440"/>
      </w:pPr>
      <w:r>
        <w:t>Exhibit</w:t>
      </w:r>
      <w:r>
        <w:rPr>
          <w:spacing w:val="-3"/>
        </w:rPr>
        <w:t xml:space="preserve"> </w:t>
      </w:r>
      <w:r>
        <w:t>3.5.</w:t>
      </w:r>
      <w:r>
        <w:rPr>
          <w:spacing w:val="-4"/>
        </w:rPr>
        <w:t xml:space="preserve"> </w:t>
      </w:r>
      <w:r>
        <w:t>Gordon’s</w:t>
      </w:r>
      <w:r>
        <w:rPr>
          <w:spacing w:val="-5"/>
        </w:rPr>
        <w:t xml:space="preserve"> </w:t>
      </w:r>
      <w:r>
        <w:t>12</w:t>
      </w:r>
      <w:r>
        <w:rPr>
          <w:spacing w:val="-2"/>
        </w:rPr>
        <w:t xml:space="preserve"> </w:t>
      </w:r>
      <w:r>
        <w:t>Roadblocks</w:t>
      </w:r>
      <w:r>
        <w:rPr>
          <w:spacing w:val="-6"/>
        </w:rPr>
        <w:t xml:space="preserve"> </w:t>
      </w:r>
      <w:r>
        <w:t>to</w:t>
      </w:r>
      <w:r>
        <w:rPr>
          <w:spacing w:val="-4"/>
        </w:rPr>
        <w:t xml:space="preserve"> </w:t>
      </w:r>
      <w:r>
        <w:t>Active</w:t>
      </w:r>
      <w:r>
        <w:rPr>
          <w:spacing w:val="-5"/>
        </w:rPr>
        <w:t xml:space="preserve"> </w:t>
      </w:r>
      <w:r>
        <w:rPr>
          <w:spacing w:val="-2"/>
        </w:rPr>
        <w:t>Listening</w:t>
      </w:r>
      <w:r>
        <w:rPr>
          <w:rFonts w:ascii="Times New Roman" w:hAnsi="Times New Roman"/>
        </w:rPr>
        <w:tab/>
      </w:r>
      <w:r>
        <w:rPr>
          <w:spacing w:val="-5"/>
        </w:rPr>
        <w:t>42</w:t>
      </w:r>
    </w:p>
    <w:p w14:paraId="445342E2" w14:textId="77777777" w:rsidR="00DB6E1F" w:rsidRDefault="00F666A6">
      <w:pPr>
        <w:pStyle w:val="BodyText"/>
        <w:tabs>
          <w:tab w:val="right" w:leader="dot" w:pos="10802"/>
        </w:tabs>
        <w:spacing w:before="81"/>
        <w:ind w:left="1440"/>
      </w:pPr>
      <w:r>
        <w:t>Exhibit</w:t>
      </w:r>
      <w:r>
        <w:rPr>
          <w:spacing w:val="-5"/>
        </w:rPr>
        <w:t xml:space="preserve"> </w:t>
      </w:r>
      <w:r>
        <w:t>3.6.</w:t>
      </w:r>
      <w:r>
        <w:rPr>
          <w:spacing w:val="-4"/>
        </w:rPr>
        <w:t xml:space="preserve"> </w:t>
      </w:r>
      <w:r>
        <w:t>Types</w:t>
      </w:r>
      <w:r>
        <w:rPr>
          <w:spacing w:val="-6"/>
        </w:rPr>
        <w:t xml:space="preserve"> </w:t>
      </w:r>
      <w:r>
        <w:t>of</w:t>
      </w:r>
      <w:r>
        <w:rPr>
          <w:spacing w:val="-4"/>
        </w:rPr>
        <w:t xml:space="preserve"> </w:t>
      </w:r>
      <w:r>
        <w:t>Reflective</w:t>
      </w:r>
      <w:r>
        <w:rPr>
          <w:spacing w:val="-6"/>
        </w:rPr>
        <w:t xml:space="preserve"> </w:t>
      </w:r>
      <w:r>
        <w:t>Listening</w:t>
      </w:r>
      <w:r>
        <w:rPr>
          <w:spacing w:val="-4"/>
        </w:rPr>
        <w:t xml:space="preserve"> </w:t>
      </w:r>
      <w:r>
        <w:rPr>
          <w:spacing w:val="-2"/>
        </w:rPr>
        <w:t>Responses</w:t>
      </w:r>
      <w:r>
        <w:rPr>
          <w:rFonts w:ascii="Times New Roman"/>
        </w:rPr>
        <w:tab/>
      </w:r>
      <w:r>
        <w:rPr>
          <w:spacing w:val="-5"/>
        </w:rPr>
        <w:t>43</w:t>
      </w:r>
    </w:p>
    <w:p w14:paraId="4939ACFF" w14:textId="77777777" w:rsidR="00DB6E1F" w:rsidRDefault="00F666A6">
      <w:pPr>
        <w:pStyle w:val="BodyText"/>
        <w:tabs>
          <w:tab w:val="right" w:leader="dot" w:pos="10802"/>
        </w:tabs>
        <w:spacing w:before="80"/>
        <w:ind w:left="1440"/>
      </w:pPr>
      <w:r>
        <w:t>Exhibit</w:t>
      </w:r>
      <w:r>
        <w:rPr>
          <w:spacing w:val="-3"/>
        </w:rPr>
        <w:t xml:space="preserve"> </w:t>
      </w:r>
      <w:r>
        <w:t>3.7.</w:t>
      </w:r>
      <w:r>
        <w:rPr>
          <w:spacing w:val="-3"/>
        </w:rPr>
        <w:t xml:space="preserve"> </w:t>
      </w:r>
      <w:r>
        <w:t>Components</w:t>
      </w:r>
      <w:r>
        <w:rPr>
          <w:spacing w:val="-5"/>
        </w:rPr>
        <w:t xml:space="preserve"> </w:t>
      </w:r>
      <w:r>
        <w:t>in</w:t>
      </w:r>
      <w:r>
        <w:rPr>
          <w:spacing w:val="-5"/>
        </w:rPr>
        <w:t xml:space="preserve"> </w:t>
      </w:r>
      <w:r>
        <w:t>a</w:t>
      </w:r>
      <w:r>
        <w:rPr>
          <w:spacing w:val="-4"/>
        </w:rPr>
        <w:t xml:space="preserve"> </w:t>
      </w:r>
      <w:r>
        <w:t>Sample</w:t>
      </w:r>
      <w:r>
        <w:rPr>
          <w:spacing w:val="-4"/>
        </w:rPr>
        <w:t xml:space="preserve"> </w:t>
      </w:r>
      <w:r>
        <w:t>Agenda</w:t>
      </w:r>
      <w:r>
        <w:rPr>
          <w:spacing w:val="-3"/>
        </w:rPr>
        <w:t xml:space="preserve"> </w:t>
      </w:r>
      <w:r>
        <w:rPr>
          <w:spacing w:val="-5"/>
        </w:rPr>
        <w:t>Map</w:t>
      </w:r>
      <w:r>
        <w:rPr>
          <w:rFonts w:ascii="Times New Roman"/>
        </w:rPr>
        <w:tab/>
      </w:r>
      <w:r>
        <w:rPr>
          <w:spacing w:val="-5"/>
        </w:rPr>
        <w:t>48</w:t>
      </w:r>
    </w:p>
    <w:p w14:paraId="44AE84C2" w14:textId="77777777" w:rsidR="00DB6E1F" w:rsidRDefault="00F666A6">
      <w:pPr>
        <w:pStyle w:val="BodyText"/>
        <w:tabs>
          <w:tab w:val="right" w:leader="dot" w:pos="10802"/>
        </w:tabs>
        <w:spacing w:before="82"/>
        <w:ind w:left="1440"/>
      </w:pPr>
      <w:r>
        <w:t>Exhibit</w:t>
      </w:r>
      <w:r>
        <w:rPr>
          <w:spacing w:val="-3"/>
        </w:rPr>
        <w:t xml:space="preserve"> </w:t>
      </w:r>
      <w:r>
        <w:t>3.8.</w:t>
      </w:r>
      <w:r>
        <w:rPr>
          <w:spacing w:val="-3"/>
        </w:rPr>
        <w:t xml:space="preserve"> </w:t>
      </w:r>
      <w:r>
        <w:t>Examples</w:t>
      </w:r>
      <w:r>
        <w:rPr>
          <w:spacing w:val="-5"/>
        </w:rPr>
        <w:t xml:space="preserve"> </w:t>
      </w:r>
      <w:r>
        <w:t>of</w:t>
      </w:r>
      <w:r>
        <w:rPr>
          <w:spacing w:val="-6"/>
        </w:rPr>
        <w:t xml:space="preserve"> </w:t>
      </w:r>
      <w:r>
        <w:t>Open</w:t>
      </w:r>
      <w:r>
        <w:rPr>
          <w:spacing w:val="-4"/>
        </w:rPr>
        <w:t xml:space="preserve"> </w:t>
      </w:r>
      <w:r>
        <w:t>Questions</w:t>
      </w:r>
      <w:r>
        <w:rPr>
          <w:spacing w:val="-5"/>
        </w:rPr>
        <w:t xml:space="preserve"> </w:t>
      </w:r>
      <w:r>
        <w:t>to</w:t>
      </w:r>
      <w:r>
        <w:rPr>
          <w:spacing w:val="-5"/>
        </w:rPr>
        <w:t xml:space="preserve"> </w:t>
      </w:r>
      <w:r>
        <w:t>Evoke</w:t>
      </w:r>
      <w:r>
        <w:rPr>
          <w:spacing w:val="-2"/>
        </w:rPr>
        <w:t xml:space="preserve"> </w:t>
      </w:r>
      <w:r>
        <w:t>Change</w:t>
      </w:r>
      <w:r>
        <w:rPr>
          <w:spacing w:val="-2"/>
        </w:rPr>
        <w:t xml:space="preserve"> </w:t>
      </w:r>
      <w:r>
        <w:t>Talk</w:t>
      </w:r>
      <w:r>
        <w:rPr>
          <w:spacing w:val="-5"/>
        </w:rPr>
        <w:t xml:space="preserve"> </w:t>
      </w:r>
      <w:r>
        <w:t>Using</w:t>
      </w:r>
      <w:r>
        <w:rPr>
          <w:spacing w:val="-4"/>
        </w:rPr>
        <w:t xml:space="preserve"> DARN</w:t>
      </w:r>
      <w:r>
        <w:rPr>
          <w:rFonts w:ascii="Times New Roman"/>
        </w:rPr>
        <w:tab/>
      </w:r>
      <w:r>
        <w:rPr>
          <w:spacing w:val="-5"/>
        </w:rPr>
        <w:t>50</w:t>
      </w:r>
    </w:p>
    <w:p w14:paraId="7627E34F" w14:textId="77777777" w:rsidR="00DB6E1F" w:rsidRDefault="00F666A6">
      <w:pPr>
        <w:pStyle w:val="BodyText"/>
        <w:tabs>
          <w:tab w:val="right" w:leader="dot" w:pos="10802"/>
        </w:tabs>
        <w:spacing w:before="82"/>
        <w:ind w:left="1440"/>
      </w:pPr>
      <w:r>
        <w:t>Exhibit</w:t>
      </w:r>
      <w:r>
        <w:rPr>
          <w:spacing w:val="-4"/>
        </w:rPr>
        <w:t xml:space="preserve"> </w:t>
      </w:r>
      <w:r>
        <w:t>3.9.</w:t>
      </w:r>
      <w:r>
        <w:rPr>
          <w:spacing w:val="-4"/>
        </w:rPr>
        <w:t xml:space="preserve"> </w:t>
      </w:r>
      <w:r>
        <w:t>The</w:t>
      </w:r>
      <w:r>
        <w:rPr>
          <w:spacing w:val="-6"/>
        </w:rPr>
        <w:t xml:space="preserve"> </w:t>
      </w:r>
      <w:r>
        <w:t>Importance</w:t>
      </w:r>
      <w:r>
        <w:rPr>
          <w:spacing w:val="-3"/>
        </w:rPr>
        <w:t xml:space="preserve"> </w:t>
      </w:r>
      <w:r>
        <w:rPr>
          <w:spacing w:val="-4"/>
        </w:rPr>
        <w:t>Ruler</w:t>
      </w:r>
      <w:r>
        <w:rPr>
          <w:rFonts w:ascii="Times New Roman"/>
        </w:rPr>
        <w:tab/>
      </w:r>
      <w:r>
        <w:rPr>
          <w:spacing w:val="-5"/>
        </w:rPr>
        <w:t>51</w:t>
      </w:r>
    </w:p>
    <w:p w14:paraId="73484FEC" w14:textId="77777777" w:rsidR="00DB6E1F" w:rsidRDefault="00F666A6">
      <w:pPr>
        <w:pStyle w:val="BodyText"/>
        <w:tabs>
          <w:tab w:val="right" w:leader="dot" w:pos="10802"/>
        </w:tabs>
        <w:spacing w:before="81"/>
        <w:ind w:left="1439"/>
      </w:pPr>
      <w:r>
        <w:t>Exhibit</w:t>
      </w:r>
      <w:r>
        <w:rPr>
          <w:spacing w:val="-7"/>
        </w:rPr>
        <w:t xml:space="preserve"> </w:t>
      </w:r>
      <w:r>
        <w:t>3.10.</w:t>
      </w:r>
      <w:r>
        <w:rPr>
          <w:spacing w:val="-7"/>
        </w:rPr>
        <w:t xml:space="preserve"> </w:t>
      </w:r>
      <w:r>
        <w:t>The</w:t>
      </w:r>
      <w:r>
        <w:rPr>
          <w:spacing w:val="-4"/>
        </w:rPr>
        <w:t xml:space="preserve"> </w:t>
      </w:r>
      <w:r>
        <w:t>Confidence</w:t>
      </w:r>
      <w:r>
        <w:rPr>
          <w:spacing w:val="-3"/>
        </w:rPr>
        <w:t xml:space="preserve"> </w:t>
      </w:r>
      <w:r>
        <w:rPr>
          <w:spacing w:val="-4"/>
        </w:rPr>
        <w:t>Ruler</w:t>
      </w:r>
      <w:r>
        <w:rPr>
          <w:rFonts w:ascii="Times New Roman"/>
        </w:rPr>
        <w:tab/>
      </w:r>
      <w:r>
        <w:rPr>
          <w:spacing w:val="-5"/>
        </w:rPr>
        <w:t>56</w:t>
      </w:r>
    </w:p>
    <w:p w14:paraId="382F0540" w14:textId="77777777" w:rsidR="00DB6E1F" w:rsidRDefault="00F666A6">
      <w:pPr>
        <w:pStyle w:val="BodyText"/>
        <w:tabs>
          <w:tab w:val="right" w:leader="dot" w:pos="10800"/>
        </w:tabs>
        <w:spacing w:before="80"/>
        <w:ind w:left="1439"/>
      </w:pPr>
      <w:r>
        <w:t>Exhibit</w:t>
      </w:r>
      <w:r>
        <w:rPr>
          <w:spacing w:val="-4"/>
        </w:rPr>
        <w:t xml:space="preserve"> </w:t>
      </w:r>
      <w:r>
        <w:t>4.1.</w:t>
      </w:r>
      <w:r>
        <w:rPr>
          <w:spacing w:val="-5"/>
        </w:rPr>
        <w:t xml:space="preserve"> </w:t>
      </w:r>
      <w:r>
        <w:t>Counseling</w:t>
      </w:r>
      <w:r>
        <w:rPr>
          <w:spacing w:val="-5"/>
        </w:rPr>
        <w:t xml:space="preserve"> </w:t>
      </w:r>
      <w:r>
        <w:t>Strategies</w:t>
      </w:r>
      <w:r>
        <w:rPr>
          <w:spacing w:val="-5"/>
        </w:rPr>
        <w:t xml:space="preserve"> </w:t>
      </w:r>
      <w:r>
        <w:t>for</w:t>
      </w:r>
      <w:r>
        <w:rPr>
          <w:spacing w:val="-6"/>
        </w:rPr>
        <w:t xml:space="preserve"> </w:t>
      </w:r>
      <w:r>
        <w:rPr>
          <w:spacing w:val="-2"/>
        </w:rPr>
        <w:t>Precontemplation</w:t>
      </w:r>
      <w:r>
        <w:rPr>
          <w:rFonts w:ascii="Times New Roman"/>
        </w:rPr>
        <w:tab/>
      </w:r>
      <w:r>
        <w:rPr>
          <w:spacing w:val="-7"/>
        </w:rPr>
        <w:t>64</w:t>
      </w:r>
    </w:p>
    <w:p w14:paraId="7EE92D1B" w14:textId="77777777" w:rsidR="00DB6E1F" w:rsidRDefault="00F666A6">
      <w:pPr>
        <w:pStyle w:val="BodyText"/>
        <w:tabs>
          <w:tab w:val="right" w:leader="dot" w:pos="10800"/>
        </w:tabs>
        <w:spacing w:before="82"/>
        <w:ind w:left="1439"/>
      </w:pPr>
      <w:r>
        <w:t>Exhibit</w:t>
      </w:r>
      <w:r>
        <w:rPr>
          <w:spacing w:val="-5"/>
        </w:rPr>
        <w:t xml:space="preserve"> </w:t>
      </w:r>
      <w:r>
        <w:t>4.2.</w:t>
      </w:r>
      <w:r>
        <w:rPr>
          <w:spacing w:val="-5"/>
        </w:rPr>
        <w:t xml:space="preserve"> </w:t>
      </w:r>
      <w:r>
        <w:t>Styles</w:t>
      </w:r>
      <w:r>
        <w:rPr>
          <w:spacing w:val="-5"/>
        </w:rPr>
        <w:t xml:space="preserve"> </w:t>
      </w:r>
      <w:r>
        <w:t>of</w:t>
      </w:r>
      <w:r>
        <w:rPr>
          <w:spacing w:val="-4"/>
        </w:rPr>
        <w:t xml:space="preserve"> </w:t>
      </w:r>
      <w:r>
        <w:t>Expression</w:t>
      </w:r>
      <w:r>
        <w:rPr>
          <w:spacing w:val="-5"/>
        </w:rPr>
        <w:t xml:space="preserve"> </w:t>
      </w:r>
      <w:r>
        <w:t>in</w:t>
      </w:r>
      <w:r>
        <w:rPr>
          <w:spacing w:val="-4"/>
        </w:rPr>
        <w:t xml:space="preserve"> </w:t>
      </w:r>
      <w:r>
        <w:t>the</w:t>
      </w:r>
      <w:r>
        <w:rPr>
          <w:spacing w:val="-5"/>
        </w:rPr>
        <w:t xml:space="preserve"> </w:t>
      </w:r>
      <w:r>
        <w:t>Precontemplation</w:t>
      </w:r>
      <w:r>
        <w:rPr>
          <w:spacing w:val="-3"/>
        </w:rPr>
        <w:t xml:space="preserve"> </w:t>
      </w:r>
      <w:r>
        <w:t>Stage:</w:t>
      </w:r>
      <w:r>
        <w:rPr>
          <w:spacing w:val="-3"/>
        </w:rPr>
        <w:t xml:space="preserve"> </w:t>
      </w:r>
      <w:r>
        <w:t>The</w:t>
      </w:r>
      <w:r>
        <w:rPr>
          <w:spacing w:val="-3"/>
        </w:rPr>
        <w:t xml:space="preserve"> </w:t>
      </w:r>
      <w:r>
        <w:t>5</w:t>
      </w:r>
      <w:r>
        <w:rPr>
          <w:spacing w:val="-5"/>
        </w:rPr>
        <w:t xml:space="preserve"> Rs</w:t>
      </w:r>
      <w:r>
        <w:rPr>
          <w:rFonts w:ascii="Times New Roman"/>
        </w:rPr>
        <w:tab/>
      </w:r>
      <w:r>
        <w:rPr>
          <w:spacing w:val="-5"/>
        </w:rPr>
        <w:t>67</w:t>
      </w:r>
    </w:p>
    <w:p w14:paraId="5274623D" w14:textId="77777777" w:rsidR="00DB6E1F" w:rsidRDefault="00F666A6">
      <w:pPr>
        <w:pStyle w:val="BodyText"/>
        <w:spacing w:before="82"/>
        <w:ind w:left="1439"/>
      </w:pPr>
      <w:r>
        <w:t>Exhibit</w:t>
      </w:r>
      <w:r>
        <w:rPr>
          <w:spacing w:val="-2"/>
        </w:rPr>
        <w:t xml:space="preserve"> </w:t>
      </w:r>
      <w:r>
        <w:t>4.3.</w:t>
      </w:r>
      <w:r>
        <w:rPr>
          <w:spacing w:val="-4"/>
        </w:rPr>
        <w:t xml:space="preserve"> </w:t>
      </w:r>
      <w:r>
        <w:t>An</w:t>
      </w:r>
      <w:r>
        <w:rPr>
          <w:spacing w:val="-3"/>
        </w:rPr>
        <w:t xml:space="preserve"> </w:t>
      </w:r>
      <w:r>
        <w:t>Opening</w:t>
      </w:r>
      <w:r>
        <w:rPr>
          <w:spacing w:val="-5"/>
        </w:rPr>
        <w:t xml:space="preserve"> </w:t>
      </w:r>
      <w:r>
        <w:t>Dialog</w:t>
      </w:r>
      <w:r>
        <w:rPr>
          <w:spacing w:val="-4"/>
        </w:rPr>
        <w:t xml:space="preserve"> </w:t>
      </w:r>
      <w:r>
        <w:t>With</w:t>
      </w:r>
      <w:r>
        <w:rPr>
          <w:spacing w:val="-6"/>
        </w:rPr>
        <w:t xml:space="preserve"> </w:t>
      </w:r>
      <w:r>
        <w:t>a</w:t>
      </w:r>
      <w:r>
        <w:rPr>
          <w:spacing w:val="-2"/>
        </w:rPr>
        <w:t xml:space="preserve"> </w:t>
      </w:r>
      <w:r>
        <w:t>Client</w:t>
      </w:r>
      <w:r>
        <w:rPr>
          <w:spacing w:val="-5"/>
        </w:rPr>
        <w:t xml:space="preserve"> </w:t>
      </w:r>
      <w:r>
        <w:t>Who</w:t>
      </w:r>
      <w:r>
        <w:rPr>
          <w:spacing w:val="-2"/>
        </w:rPr>
        <w:t xml:space="preserve"> </w:t>
      </w:r>
      <w:r>
        <w:t>Has</w:t>
      </w:r>
      <w:r>
        <w:rPr>
          <w:spacing w:val="-4"/>
        </w:rPr>
        <w:t xml:space="preserve"> Been</w:t>
      </w:r>
    </w:p>
    <w:p w14:paraId="55E99AB2" w14:textId="77777777" w:rsidR="00DB6E1F" w:rsidRDefault="00F666A6">
      <w:pPr>
        <w:pStyle w:val="BodyText"/>
        <w:tabs>
          <w:tab w:val="right" w:leader="dot" w:pos="10800"/>
        </w:tabs>
        <w:spacing w:before="21"/>
        <w:ind w:left="1619"/>
      </w:pPr>
      <w:r>
        <w:t>Mandated</w:t>
      </w:r>
      <w:r>
        <w:rPr>
          <w:spacing w:val="-5"/>
        </w:rPr>
        <w:t xml:space="preserve"> </w:t>
      </w:r>
      <w:r>
        <w:t>to</w:t>
      </w:r>
      <w:r>
        <w:rPr>
          <w:spacing w:val="-3"/>
        </w:rPr>
        <w:t xml:space="preserve"> </w:t>
      </w:r>
      <w:r>
        <w:rPr>
          <w:spacing w:val="-2"/>
        </w:rPr>
        <w:t>Treatment</w:t>
      </w:r>
      <w:r>
        <w:rPr>
          <w:rFonts w:ascii="Times New Roman"/>
        </w:rPr>
        <w:tab/>
      </w:r>
      <w:r>
        <w:rPr>
          <w:spacing w:val="-7"/>
        </w:rPr>
        <w:t>76</w:t>
      </w:r>
    </w:p>
    <w:p w14:paraId="7DE08503" w14:textId="77777777" w:rsidR="00DB6E1F" w:rsidRDefault="00F666A6">
      <w:pPr>
        <w:pStyle w:val="BodyText"/>
        <w:tabs>
          <w:tab w:val="right" w:leader="dot" w:pos="10801"/>
        </w:tabs>
        <w:spacing w:before="80"/>
        <w:ind w:left="1439"/>
      </w:pPr>
      <w:r>
        <w:t>Exhibit</w:t>
      </w:r>
      <w:r>
        <w:rPr>
          <w:spacing w:val="-4"/>
        </w:rPr>
        <w:t xml:space="preserve"> </w:t>
      </w:r>
      <w:r>
        <w:t>5.1.</w:t>
      </w:r>
      <w:r>
        <w:rPr>
          <w:spacing w:val="-6"/>
        </w:rPr>
        <w:t xml:space="preserve"> </w:t>
      </w:r>
      <w:r>
        <w:t>Counseling</w:t>
      </w:r>
      <w:r>
        <w:rPr>
          <w:spacing w:val="-5"/>
        </w:rPr>
        <w:t xml:space="preserve"> </w:t>
      </w:r>
      <w:r>
        <w:t>Strategies</w:t>
      </w:r>
      <w:r>
        <w:rPr>
          <w:spacing w:val="-5"/>
        </w:rPr>
        <w:t xml:space="preserve"> </w:t>
      </w:r>
      <w:r>
        <w:t>for</w:t>
      </w:r>
      <w:r>
        <w:rPr>
          <w:spacing w:val="-4"/>
        </w:rPr>
        <w:t xml:space="preserve"> </w:t>
      </w:r>
      <w:r>
        <w:rPr>
          <w:spacing w:val="-2"/>
        </w:rPr>
        <w:t>Contemplation</w:t>
      </w:r>
      <w:r>
        <w:rPr>
          <w:rFonts w:ascii="Times New Roman"/>
        </w:rPr>
        <w:tab/>
      </w:r>
      <w:r>
        <w:rPr>
          <w:spacing w:val="-5"/>
        </w:rPr>
        <w:t>79</w:t>
      </w:r>
    </w:p>
    <w:p w14:paraId="295BC8F0" w14:textId="77777777" w:rsidR="00DB6E1F" w:rsidRDefault="00F666A6">
      <w:pPr>
        <w:pStyle w:val="BodyText"/>
        <w:tabs>
          <w:tab w:val="right" w:leader="dot" w:pos="10801"/>
        </w:tabs>
        <w:spacing w:before="82"/>
        <w:ind w:left="1439"/>
      </w:pPr>
      <w:r>
        <w:t>Exhibit</w:t>
      </w:r>
      <w:r>
        <w:rPr>
          <w:spacing w:val="-6"/>
        </w:rPr>
        <w:t xml:space="preserve"> </w:t>
      </w:r>
      <w:r>
        <w:t>5.2.</w:t>
      </w:r>
      <w:r>
        <w:rPr>
          <w:spacing w:val="-4"/>
        </w:rPr>
        <w:t xml:space="preserve"> </w:t>
      </w:r>
      <w:r>
        <w:t>The</w:t>
      </w:r>
      <w:r>
        <w:rPr>
          <w:spacing w:val="-6"/>
        </w:rPr>
        <w:t xml:space="preserve"> </w:t>
      </w:r>
      <w:r>
        <w:t>Motivational</w:t>
      </w:r>
      <w:r>
        <w:rPr>
          <w:spacing w:val="-5"/>
        </w:rPr>
        <w:t xml:space="preserve"> </w:t>
      </w:r>
      <w:r>
        <w:t>Interviewing</w:t>
      </w:r>
      <w:r>
        <w:rPr>
          <w:spacing w:val="-5"/>
        </w:rPr>
        <w:t xml:space="preserve"> </w:t>
      </w:r>
      <w:r>
        <w:t>(MI)</w:t>
      </w:r>
      <w:r>
        <w:rPr>
          <w:spacing w:val="-4"/>
        </w:rPr>
        <w:t xml:space="preserve"> </w:t>
      </w:r>
      <w:r>
        <w:t>Hill</w:t>
      </w:r>
      <w:r>
        <w:rPr>
          <w:spacing w:val="-7"/>
        </w:rPr>
        <w:t xml:space="preserve"> </w:t>
      </w:r>
      <w:r>
        <w:t>of</w:t>
      </w:r>
      <w:r>
        <w:rPr>
          <w:spacing w:val="-7"/>
        </w:rPr>
        <w:t xml:space="preserve"> </w:t>
      </w:r>
      <w:r>
        <w:rPr>
          <w:spacing w:val="-2"/>
        </w:rPr>
        <w:t>Ambivalence</w:t>
      </w:r>
      <w:r>
        <w:rPr>
          <w:rFonts w:ascii="Times New Roman"/>
        </w:rPr>
        <w:tab/>
      </w:r>
      <w:r>
        <w:rPr>
          <w:spacing w:val="-5"/>
        </w:rPr>
        <w:t>80</w:t>
      </w:r>
    </w:p>
    <w:p w14:paraId="41387AFA" w14:textId="77777777" w:rsidR="00DB6E1F" w:rsidRDefault="00F666A6">
      <w:pPr>
        <w:pStyle w:val="BodyText"/>
        <w:tabs>
          <w:tab w:val="right" w:leader="dot" w:pos="10801"/>
        </w:tabs>
        <w:spacing w:before="81"/>
        <w:ind w:left="1439"/>
      </w:pPr>
      <w:r>
        <w:t>Exhibit</w:t>
      </w:r>
      <w:r>
        <w:rPr>
          <w:spacing w:val="-4"/>
        </w:rPr>
        <w:t xml:space="preserve"> </w:t>
      </w:r>
      <w:r>
        <w:t>5.3.</w:t>
      </w:r>
      <w:r>
        <w:rPr>
          <w:spacing w:val="-5"/>
        </w:rPr>
        <w:t xml:space="preserve"> </w:t>
      </w:r>
      <w:r>
        <w:t>Decisional</w:t>
      </w:r>
      <w:r>
        <w:rPr>
          <w:spacing w:val="-5"/>
        </w:rPr>
        <w:t xml:space="preserve"> </w:t>
      </w:r>
      <w:r>
        <w:t>Balance</w:t>
      </w:r>
      <w:r>
        <w:rPr>
          <w:spacing w:val="-4"/>
        </w:rPr>
        <w:t xml:space="preserve"> </w:t>
      </w:r>
      <w:r>
        <w:t>Sheet</w:t>
      </w:r>
      <w:r>
        <w:rPr>
          <w:spacing w:val="-4"/>
        </w:rPr>
        <w:t xml:space="preserve"> </w:t>
      </w:r>
      <w:r>
        <w:t>for</w:t>
      </w:r>
      <w:r>
        <w:rPr>
          <w:spacing w:val="-5"/>
        </w:rPr>
        <w:t xml:space="preserve"> </w:t>
      </w:r>
      <w:r>
        <w:t>Substance</w:t>
      </w:r>
      <w:r>
        <w:rPr>
          <w:spacing w:val="-6"/>
        </w:rPr>
        <w:t xml:space="preserve"> </w:t>
      </w:r>
      <w:r>
        <w:rPr>
          <w:spacing w:val="-5"/>
        </w:rPr>
        <w:t>Use</w:t>
      </w:r>
      <w:r>
        <w:rPr>
          <w:rFonts w:ascii="Times New Roman"/>
        </w:rPr>
        <w:tab/>
      </w:r>
      <w:r>
        <w:rPr>
          <w:spacing w:val="-5"/>
        </w:rPr>
        <w:t>83</w:t>
      </w:r>
    </w:p>
    <w:p w14:paraId="2ED28FDB" w14:textId="77777777" w:rsidR="00DB6E1F" w:rsidRDefault="00F666A6">
      <w:pPr>
        <w:pStyle w:val="BodyText"/>
        <w:tabs>
          <w:tab w:val="right" w:leader="dot" w:pos="10802"/>
        </w:tabs>
        <w:spacing w:before="82"/>
        <w:ind w:left="1439"/>
      </w:pPr>
      <w:r>
        <w:t>Exhibit</w:t>
      </w:r>
      <w:r>
        <w:rPr>
          <w:spacing w:val="-3"/>
        </w:rPr>
        <w:t xml:space="preserve"> </w:t>
      </w:r>
      <w:r>
        <w:t>5.4.</w:t>
      </w:r>
      <w:r>
        <w:rPr>
          <w:spacing w:val="-4"/>
        </w:rPr>
        <w:t xml:space="preserve"> </w:t>
      </w:r>
      <w:r>
        <w:t>Other</w:t>
      </w:r>
      <w:r>
        <w:rPr>
          <w:spacing w:val="-3"/>
        </w:rPr>
        <w:t xml:space="preserve"> </w:t>
      </w:r>
      <w:r>
        <w:t>Issues</w:t>
      </w:r>
      <w:r>
        <w:rPr>
          <w:spacing w:val="-5"/>
        </w:rPr>
        <w:t xml:space="preserve"> </w:t>
      </w:r>
      <w:r>
        <w:t>in</w:t>
      </w:r>
      <w:r>
        <w:rPr>
          <w:spacing w:val="-6"/>
        </w:rPr>
        <w:t xml:space="preserve"> </w:t>
      </w:r>
      <w:r>
        <w:t>Decisional</w:t>
      </w:r>
      <w:r>
        <w:rPr>
          <w:spacing w:val="-3"/>
        </w:rPr>
        <w:t xml:space="preserve"> </w:t>
      </w:r>
      <w:r>
        <w:rPr>
          <w:spacing w:val="-2"/>
        </w:rPr>
        <w:t>Balance</w:t>
      </w:r>
      <w:r>
        <w:rPr>
          <w:rFonts w:ascii="Times New Roman"/>
        </w:rPr>
        <w:tab/>
      </w:r>
      <w:r>
        <w:rPr>
          <w:spacing w:val="-5"/>
        </w:rPr>
        <w:t>84</w:t>
      </w:r>
    </w:p>
    <w:p w14:paraId="5EE57F87" w14:textId="77777777" w:rsidR="00DB6E1F" w:rsidRDefault="00F666A6">
      <w:pPr>
        <w:pStyle w:val="BodyText"/>
        <w:tabs>
          <w:tab w:val="right" w:leader="dot" w:pos="10802"/>
        </w:tabs>
        <w:spacing w:before="80"/>
        <w:ind w:left="1439"/>
      </w:pPr>
      <w:r>
        <w:t>Exhibit</w:t>
      </w:r>
      <w:r>
        <w:rPr>
          <w:spacing w:val="-5"/>
        </w:rPr>
        <w:t xml:space="preserve"> </w:t>
      </w:r>
      <w:r>
        <w:t>5.5.</w:t>
      </w:r>
      <w:r>
        <w:rPr>
          <w:spacing w:val="-7"/>
        </w:rPr>
        <w:t xml:space="preserve"> </w:t>
      </w:r>
      <w:r>
        <w:t>Recapitulation</w:t>
      </w:r>
      <w:r>
        <w:rPr>
          <w:spacing w:val="-7"/>
        </w:rPr>
        <w:t xml:space="preserve"> </w:t>
      </w:r>
      <w:r>
        <w:rPr>
          <w:spacing w:val="-2"/>
        </w:rPr>
        <w:t>Summary</w:t>
      </w:r>
      <w:r>
        <w:rPr>
          <w:rFonts w:ascii="Times New Roman"/>
        </w:rPr>
        <w:tab/>
      </w:r>
      <w:r>
        <w:rPr>
          <w:spacing w:val="-5"/>
        </w:rPr>
        <w:t>87</w:t>
      </w:r>
    </w:p>
    <w:p w14:paraId="255A3603" w14:textId="77777777" w:rsidR="00DB6E1F" w:rsidRDefault="00F666A6">
      <w:pPr>
        <w:pStyle w:val="BodyText"/>
        <w:tabs>
          <w:tab w:val="right" w:leader="dot" w:pos="10802"/>
        </w:tabs>
        <w:spacing w:before="82"/>
        <w:ind w:left="1439"/>
      </w:pPr>
      <w:r>
        <w:t>Exhibit</w:t>
      </w:r>
      <w:r>
        <w:rPr>
          <w:spacing w:val="-4"/>
        </w:rPr>
        <w:t xml:space="preserve"> </w:t>
      </w:r>
      <w:r>
        <w:t>6.1.</w:t>
      </w:r>
      <w:r>
        <w:rPr>
          <w:spacing w:val="-6"/>
        </w:rPr>
        <w:t xml:space="preserve"> </w:t>
      </w:r>
      <w:r>
        <w:t>Counseling</w:t>
      </w:r>
      <w:r>
        <w:rPr>
          <w:spacing w:val="-5"/>
        </w:rPr>
        <w:t xml:space="preserve"> </w:t>
      </w:r>
      <w:r>
        <w:t>Strategies</w:t>
      </w:r>
      <w:r>
        <w:rPr>
          <w:spacing w:val="-4"/>
        </w:rPr>
        <w:t xml:space="preserve"> </w:t>
      </w:r>
      <w:r>
        <w:t>for</w:t>
      </w:r>
      <w:r>
        <w:rPr>
          <w:spacing w:val="-7"/>
        </w:rPr>
        <w:t xml:space="preserve"> </w:t>
      </w:r>
      <w:r>
        <w:t>Preparation</w:t>
      </w:r>
      <w:r>
        <w:rPr>
          <w:spacing w:val="-7"/>
        </w:rPr>
        <w:t xml:space="preserve"> </w:t>
      </w:r>
      <w:r>
        <w:t>and</w:t>
      </w:r>
      <w:r>
        <w:rPr>
          <w:spacing w:val="-5"/>
        </w:rPr>
        <w:t xml:space="preserve"> </w:t>
      </w:r>
      <w:r>
        <w:rPr>
          <w:spacing w:val="-2"/>
        </w:rPr>
        <w:t>Action</w:t>
      </w:r>
      <w:r>
        <w:rPr>
          <w:rFonts w:ascii="Times New Roman"/>
        </w:rPr>
        <w:tab/>
      </w:r>
      <w:r>
        <w:rPr>
          <w:spacing w:val="-5"/>
        </w:rPr>
        <w:t>89</w:t>
      </w:r>
    </w:p>
    <w:p w14:paraId="10D6CE02" w14:textId="77777777" w:rsidR="00DB6E1F" w:rsidRDefault="00F666A6">
      <w:pPr>
        <w:pStyle w:val="BodyText"/>
        <w:tabs>
          <w:tab w:val="right" w:leader="dot" w:pos="10802"/>
        </w:tabs>
        <w:spacing w:before="81"/>
        <w:ind w:left="1439"/>
      </w:pPr>
      <w:r>
        <w:t>Exhibit</w:t>
      </w:r>
      <w:r>
        <w:rPr>
          <w:spacing w:val="-3"/>
        </w:rPr>
        <w:t xml:space="preserve"> </w:t>
      </w:r>
      <w:r>
        <w:t>6.2.</w:t>
      </w:r>
      <w:r>
        <w:rPr>
          <w:spacing w:val="-5"/>
        </w:rPr>
        <w:t xml:space="preserve"> </w:t>
      </w:r>
      <w:r>
        <w:t>When</w:t>
      </w:r>
      <w:r>
        <w:rPr>
          <w:spacing w:val="-7"/>
        </w:rPr>
        <w:t xml:space="preserve"> </w:t>
      </w:r>
      <w:r>
        <w:t>Treatment</w:t>
      </w:r>
      <w:r>
        <w:rPr>
          <w:spacing w:val="-3"/>
        </w:rPr>
        <w:t xml:space="preserve"> </w:t>
      </w:r>
      <w:r>
        <w:t>Goals</w:t>
      </w:r>
      <w:r>
        <w:rPr>
          <w:spacing w:val="-5"/>
        </w:rPr>
        <w:t xml:space="preserve"> </w:t>
      </w:r>
      <w:r>
        <w:rPr>
          <w:spacing w:val="-2"/>
        </w:rPr>
        <w:t>Differ</w:t>
      </w:r>
      <w:r>
        <w:rPr>
          <w:rFonts w:ascii="Times New Roman"/>
        </w:rPr>
        <w:tab/>
      </w:r>
      <w:r>
        <w:rPr>
          <w:spacing w:val="-5"/>
        </w:rPr>
        <w:t>91</w:t>
      </w:r>
    </w:p>
    <w:p w14:paraId="1BA9F00E" w14:textId="77777777" w:rsidR="00DB6E1F" w:rsidRDefault="00DB6E1F">
      <w:pPr>
        <w:sectPr w:rsidR="00DB6E1F">
          <w:type w:val="continuous"/>
          <w:pgSz w:w="12240" w:h="15840"/>
          <w:pgMar w:top="960" w:right="0" w:bottom="940" w:left="0" w:header="762" w:footer="602" w:gutter="0"/>
          <w:cols w:space="720"/>
        </w:sectPr>
      </w:pPr>
    </w:p>
    <w:p w14:paraId="616B0DF1" w14:textId="77777777" w:rsidR="00DB6E1F" w:rsidRDefault="00F666A6">
      <w:pPr>
        <w:pStyle w:val="BodyText"/>
        <w:tabs>
          <w:tab w:val="right" w:leader="dot" w:pos="10802"/>
        </w:tabs>
        <w:spacing w:before="477"/>
        <w:ind w:left="1440"/>
      </w:pPr>
      <w:r>
        <w:lastRenderedPageBreak/>
        <w:t>Exhibit</w:t>
      </w:r>
      <w:r>
        <w:rPr>
          <w:spacing w:val="-3"/>
        </w:rPr>
        <w:t xml:space="preserve"> </w:t>
      </w:r>
      <w:r>
        <w:t>6.3.</w:t>
      </w:r>
      <w:r>
        <w:rPr>
          <w:spacing w:val="-4"/>
        </w:rPr>
        <w:t xml:space="preserve"> </w:t>
      </w:r>
      <w:r>
        <w:t>Change</w:t>
      </w:r>
      <w:r>
        <w:rPr>
          <w:spacing w:val="-5"/>
        </w:rPr>
        <w:t xml:space="preserve"> </w:t>
      </w:r>
      <w:r>
        <w:t>Plan</w:t>
      </w:r>
      <w:r>
        <w:rPr>
          <w:spacing w:val="-4"/>
        </w:rPr>
        <w:t xml:space="preserve"> </w:t>
      </w:r>
      <w:r>
        <w:rPr>
          <w:spacing w:val="-2"/>
        </w:rPr>
        <w:t>Worksheet</w:t>
      </w:r>
      <w:r>
        <w:rPr>
          <w:rFonts w:ascii="Times New Roman"/>
        </w:rPr>
        <w:tab/>
      </w:r>
      <w:r>
        <w:rPr>
          <w:spacing w:val="-5"/>
        </w:rPr>
        <w:t>93</w:t>
      </w:r>
    </w:p>
    <w:p w14:paraId="6302D3FB" w14:textId="77777777" w:rsidR="00DB6E1F" w:rsidRDefault="00F666A6">
      <w:pPr>
        <w:pStyle w:val="BodyText"/>
        <w:tabs>
          <w:tab w:val="right" w:leader="dot" w:pos="10802"/>
        </w:tabs>
        <w:spacing w:before="82"/>
        <w:ind w:left="1440"/>
      </w:pPr>
      <w:r>
        <w:t>Exhibit</w:t>
      </w:r>
      <w:r>
        <w:rPr>
          <w:spacing w:val="-4"/>
        </w:rPr>
        <w:t xml:space="preserve"> </w:t>
      </w:r>
      <w:r>
        <w:t>6.4.</w:t>
      </w:r>
      <w:r>
        <w:rPr>
          <w:spacing w:val="-4"/>
        </w:rPr>
        <w:t xml:space="preserve"> </w:t>
      </w:r>
      <w:r>
        <w:t>Mapping</w:t>
      </w:r>
      <w:r>
        <w:rPr>
          <w:spacing w:val="-4"/>
        </w:rPr>
        <w:t xml:space="preserve"> </w:t>
      </w:r>
      <w:r>
        <w:t>a</w:t>
      </w:r>
      <w:r>
        <w:rPr>
          <w:spacing w:val="-5"/>
        </w:rPr>
        <w:t xml:space="preserve"> </w:t>
      </w:r>
      <w:r>
        <w:t>Path</w:t>
      </w:r>
      <w:r>
        <w:rPr>
          <w:spacing w:val="-6"/>
        </w:rPr>
        <w:t xml:space="preserve"> </w:t>
      </w:r>
      <w:r>
        <w:t>for</w:t>
      </w:r>
      <w:r>
        <w:rPr>
          <w:spacing w:val="-2"/>
        </w:rPr>
        <w:t xml:space="preserve"> </w:t>
      </w:r>
      <w:r>
        <w:t>Change</w:t>
      </w:r>
      <w:r>
        <w:rPr>
          <w:spacing w:val="-5"/>
        </w:rPr>
        <w:t xml:space="preserve"> </w:t>
      </w:r>
      <w:r>
        <w:t>When</w:t>
      </w:r>
      <w:r>
        <w:rPr>
          <w:spacing w:val="-6"/>
        </w:rPr>
        <w:t xml:space="preserve"> </w:t>
      </w:r>
      <w:r>
        <w:t>There</w:t>
      </w:r>
      <w:r>
        <w:rPr>
          <w:spacing w:val="-5"/>
        </w:rPr>
        <w:t xml:space="preserve"> </w:t>
      </w:r>
      <w:r>
        <w:t>Are</w:t>
      </w:r>
      <w:r>
        <w:rPr>
          <w:spacing w:val="-2"/>
        </w:rPr>
        <w:t xml:space="preserve"> </w:t>
      </w:r>
      <w:r>
        <w:t>Multiple</w:t>
      </w:r>
      <w:r>
        <w:rPr>
          <w:spacing w:val="-1"/>
        </w:rPr>
        <w:t xml:space="preserve"> </w:t>
      </w:r>
      <w:r>
        <w:rPr>
          <w:spacing w:val="-2"/>
        </w:rPr>
        <w:t>Options</w:t>
      </w:r>
      <w:r>
        <w:rPr>
          <w:rFonts w:ascii="Times New Roman"/>
        </w:rPr>
        <w:tab/>
      </w:r>
      <w:r>
        <w:rPr>
          <w:spacing w:val="-5"/>
        </w:rPr>
        <w:t>96</w:t>
      </w:r>
    </w:p>
    <w:p w14:paraId="7E8B2091" w14:textId="77777777" w:rsidR="00DB6E1F" w:rsidRDefault="00F666A6">
      <w:pPr>
        <w:pStyle w:val="BodyText"/>
        <w:tabs>
          <w:tab w:val="right" w:leader="dot" w:pos="10801"/>
        </w:tabs>
        <w:spacing w:before="82"/>
        <w:ind w:left="1440"/>
      </w:pPr>
      <w:r>
        <w:t>Exhibit</w:t>
      </w:r>
      <w:r>
        <w:rPr>
          <w:spacing w:val="-6"/>
        </w:rPr>
        <w:t xml:space="preserve"> </w:t>
      </w:r>
      <w:r>
        <w:t>7.1.</w:t>
      </w:r>
      <w:r>
        <w:rPr>
          <w:spacing w:val="-5"/>
        </w:rPr>
        <w:t xml:space="preserve"> </w:t>
      </w:r>
      <w:r>
        <w:t>Counseling</w:t>
      </w:r>
      <w:r>
        <w:rPr>
          <w:spacing w:val="-5"/>
        </w:rPr>
        <w:t xml:space="preserve"> </w:t>
      </w:r>
      <w:r>
        <w:t>Strategies</w:t>
      </w:r>
      <w:r>
        <w:rPr>
          <w:spacing w:val="-4"/>
        </w:rPr>
        <w:t xml:space="preserve"> </w:t>
      </w:r>
      <w:r>
        <w:t>for</w:t>
      </w:r>
      <w:r>
        <w:rPr>
          <w:spacing w:val="-4"/>
        </w:rPr>
        <w:t xml:space="preserve"> </w:t>
      </w:r>
      <w:r>
        <w:t>Action</w:t>
      </w:r>
      <w:r>
        <w:rPr>
          <w:spacing w:val="-7"/>
        </w:rPr>
        <w:t xml:space="preserve"> </w:t>
      </w:r>
      <w:r>
        <w:t>and</w:t>
      </w:r>
      <w:r>
        <w:rPr>
          <w:spacing w:val="-5"/>
        </w:rPr>
        <w:t xml:space="preserve"> </w:t>
      </w:r>
      <w:r>
        <w:rPr>
          <w:spacing w:val="-2"/>
          <w:w w:val="95"/>
        </w:rPr>
        <w:t>Relapse</w:t>
      </w:r>
      <w:r>
        <w:rPr>
          <w:rFonts w:ascii="Times New Roman"/>
        </w:rPr>
        <w:tab/>
      </w:r>
      <w:r>
        <w:rPr>
          <w:spacing w:val="-5"/>
        </w:rPr>
        <w:t>103</w:t>
      </w:r>
    </w:p>
    <w:p w14:paraId="3A6D5975" w14:textId="77777777" w:rsidR="00DB6E1F" w:rsidRDefault="00F666A6">
      <w:pPr>
        <w:pStyle w:val="BodyText"/>
        <w:tabs>
          <w:tab w:val="right" w:leader="dot" w:pos="10801"/>
        </w:tabs>
        <w:spacing w:before="79"/>
        <w:ind w:left="1440"/>
      </w:pPr>
      <w:r>
        <w:t>Exhibit</w:t>
      </w:r>
      <w:r>
        <w:rPr>
          <w:spacing w:val="-5"/>
        </w:rPr>
        <w:t xml:space="preserve"> </w:t>
      </w:r>
      <w:r>
        <w:t>7.2.</w:t>
      </w:r>
      <w:r>
        <w:rPr>
          <w:spacing w:val="-4"/>
        </w:rPr>
        <w:t xml:space="preserve"> </w:t>
      </w:r>
      <w:r>
        <w:t>Options</w:t>
      </w:r>
      <w:r>
        <w:rPr>
          <w:spacing w:val="-4"/>
        </w:rPr>
        <w:t xml:space="preserve"> </w:t>
      </w:r>
      <w:r>
        <w:t>for</w:t>
      </w:r>
      <w:r>
        <w:rPr>
          <w:spacing w:val="-3"/>
        </w:rPr>
        <w:t xml:space="preserve"> </w:t>
      </w:r>
      <w:r>
        <w:t>Responding</w:t>
      </w:r>
      <w:r>
        <w:rPr>
          <w:spacing w:val="-4"/>
        </w:rPr>
        <w:t xml:space="preserve"> </w:t>
      </w:r>
      <w:r>
        <w:t>to</w:t>
      </w:r>
      <w:r>
        <w:rPr>
          <w:spacing w:val="-3"/>
        </w:rPr>
        <w:t xml:space="preserve"> </w:t>
      </w:r>
      <w:r>
        <w:t>a</w:t>
      </w:r>
      <w:r>
        <w:rPr>
          <w:spacing w:val="-5"/>
        </w:rPr>
        <w:t xml:space="preserve"> </w:t>
      </w:r>
      <w:r>
        <w:t>Missed</w:t>
      </w:r>
      <w:r>
        <w:rPr>
          <w:spacing w:val="-4"/>
        </w:rPr>
        <w:t xml:space="preserve"> </w:t>
      </w:r>
      <w:r>
        <w:rPr>
          <w:spacing w:val="-2"/>
        </w:rPr>
        <w:t>Appointment</w:t>
      </w:r>
      <w:r>
        <w:rPr>
          <w:rFonts w:ascii="Times New Roman"/>
        </w:rPr>
        <w:tab/>
      </w:r>
      <w:r>
        <w:rPr>
          <w:spacing w:val="-5"/>
        </w:rPr>
        <w:t>107</w:t>
      </w:r>
    </w:p>
    <w:p w14:paraId="100D9DDF" w14:textId="77777777" w:rsidR="00DB6E1F" w:rsidRDefault="00F666A6">
      <w:pPr>
        <w:pStyle w:val="BodyText"/>
        <w:tabs>
          <w:tab w:val="right" w:leader="dot" w:pos="10801"/>
        </w:tabs>
        <w:spacing w:before="82"/>
        <w:ind w:left="1440"/>
      </w:pPr>
      <w:r>
        <w:t>Exhibit</w:t>
      </w:r>
      <w:r>
        <w:rPr>
          <w:spacing w:val="-4"/>
        </w:rPr>
        <w:t xml:space="preserve"> </w:t>
      </w:r>
      <w:r>
        <w:t>7.3.</w:t>
      </w:r>
      <w:r>
        <w:rPr>
          <w:spacing w:val="-4"/>
        </w:rPr>
        <w:t xml:space="preserve"> </w:t>
      </w:r>
      <w:r>
        <w:t>Triggers</w:t>
      </w:r>
      <w:r>
        <w:rPr>
          <w:spacing w:val="-6"/>
        </w:rPr>
        <w:t xml:space="preserve"> </w:t>
      </w:r>
      <w:r>
        <w:t>and</w:t>
      </w:r>
      <w:r>
        <w:rPr>
          <w:spacing w:val="-5"/>
        </w:rPr>
        <w:t xml:space="preserve"> </w:t>
      </w:r>
      <w:r>
        <w:t>Coping</w:t>
      </w:r>
      <w:r>
        <w:rPr>
          <w:spacing w:val="-4"/>
        </w:rPr>
        <w:t xml:space="preserve"> </w:t>
      </w:r>
      <w:r>
        <w:rPr>
          <w:spacing w:val="-2"/>
        </w:rPr>
        <w:t>Strategies</w:t>
      </w:r>
      <w:r>
        <w:rPr>
          <w:rFonts w:ascii="Times New Roman"/>
        </w:rPr>
        <w:tab/>
      </w:r>
      <w:r>
        <w:rPr>
          <w:spacing w:val="-5"/>
        </w:rPr>
        <w:t>110</w:t>
      </w:r>
    </w:p>
    <w:p w14:paraId="756E289C" w14:textId="77777777" w:rsidR="00DB6E1F" w:rsidRDefault="00F666A6">
      <w:pPr>
        <w:pStyle w:val="BodyText"/>
        <w:tabs>
          <w:tab w:val="right" w:leader="dot" w:pos="10801"/>
        </w:tabs>
        <w:spacing w:before="82"/>
        <w:ind w:left="1440"/>
      </w:pPr>
      <w:r>
        <w:t>Exhibit</w:t>
      </w:r>
      <w:r>
        <w:rPr>
          <w:spacing w:val="-2"/>
        </w:rPr>
        <w:t xml:space="preserve"> </w:t>
      </w:r>
      <w:r>
        <w:t>7.4.</w:t>
      </w:r>
      <w:r>
        <w:rPr>
          <w:spacing w:val="-2"/>
        </w:rPr>
        <w:t xml:space="preserve"> </w:t>
      </w:r>
      <w:r>
        <w:t>A</w:t>
      </w:r>
      <w:r>
        <w:rPr>
          <w:spacing w:val="-5"/>
        </w:rPr>
        <w:t xml:space="preserve"> </w:t>
      </w:r>
      <w:r>
        <w:t>Menu</w:t>
      </w:r>
      <w:r>
        <w:rPr>
          <w:spacing w:val="-4"/>
        </w:rPr>
        <w:t xml:space="preserve"> </w:t>
      </w:r>
      <w:r>
        <w:t>of</w:t>
      </w:r>
      <w:r>
        <w:rPr>
          <w:spacing w:val="-2"/>
        </w:rPr>
        <w:t xml:space="preserve"> </w:t>
      </w:r>
      <w:r>
        <w:t>Coping</w:t>
      </w:r>
      <w:r>
        <w:rPr>
          <w:spacing w:val="-3"/>
        </w:rPr>
        <w:t xml:space="preserve"> </w:t>
      </w:r>
      <w:r>
        <w:rPr>
          <w:spacing w:val="-2"/>
        </w:rPr>
        <w:t>Strategies</w:t>
      </w:r>
      <w:r>
        <w:rPr>
          <w:rFonts w:ascii="Times New Roman"/>
        </w:rPr>
        <w:tab/>
      </w:r>
      <w:r>
        <w:rPr>
          <w:spacing w:val="-5"/>
        </w:rPr>
        <w:t>110</w:t>
      </w:r>
    </w:p>
    <w:p w14:paraId="1E18D625" w14:textId="77777777" w:rsidR="00DB6E1F" w:rsidRDefault="00F666A6">
      <w:pPr>
        <w:pStyle w:val="BodyText"/>
        <w:tabs>
          <w:tab w:val="right" w:leader="dot" w:pos="10801"/>
        </w:tabs>
        <w:spacing w:before="82"/>
        <w:ind w:left="1440"/>
      </w:pPr>
      <w:r>
        <w:t>Exhibit</w:t>
      </w:r>
      <w:r>
        <w:rPr>
          <w:spacing w:val="-3"/>
        </w:rPr>
        <w:t xml:space="preserve"> </w:t>
      </w:r>
      <w:r>
        <w:t>7.5.</w:t>
      </w:r>
      <w:r>
        <w:rPr>
          <w:spacing w:val="-4"/>
        </w:rPr>
        <w:t xml:space="preserve"> </w:t>
      </w:r>
      <w:r>
        <w:t>Susan’s</w:t>
      </w:r>
      <w:r>
        <w:rPr>
          <w:spacing w:val="-3"/>
        </w:rPr>
        <w:t xml:space="preserve"> </w:t>
      </w:r>
      <w:r>
        <w:t>Story:</w:t>
      </w:r>
      <w:r>
        <w:rPr>
          <w:spacing w:val="-5"/>
        </w:rPr>
        <w:t xml:space="preserve"> </w:t>
      </w:r>
      <w:r>
        <w:t>A</w:t>
      </w:r>
      <w:r>
        <w:rPr>
          <w:spacing w:val="-3"/>
        </w:rPr>
        <w:t xml:space="preserve"> </w:t>
      </w:r>
      <w:r>
        <w:t>Client</w:t>
      </w:r>
      <w:r>
        <w:rPr>
          <w:spacing w:val="-6"/>
        </w:rPr>
        <w:t xml:space="preserve"> </w:t>
      </w:r>
      <w:r>
        <w:t>Lacking</w:t>
      </w:r>
      <w:r>
        <w:rPr>
          <w:spacing w:val="-4"/>
        </w:rPr>
        <w:t xml:space="preserve"> </w:t>
      </w:r>
      <w:r>
        <w:t>Social</w:t>
      </w:r>
      <w:r>
        <w:rPr>
          <w:spacing w:val="-3"/>
        </w:rPr>
        <w:t xml:space="preserve"> </w:t>
      </w:r>
      <w:r>
        <w:rPr>
          <w:spacing w:val="-2"/>
        </w:rPr>
        <w:t>Support</w:t>
      </w:r>
      <w:r>
        <w:rPr>
          <w:rFonts w:ascii="Times New Roman" w:hAnsi="Times New Roman"/>
        </w:rPr>
        <w:tab/>
      </w:r>
      <w:r>
        <w:rPr>
          <w:spacing w:val="-5"/>
        </w:rPr>
        <w:t>113</w:t>
      </w:r>
    </w:p>
    <w:p w14:paraId="39DC0B74" w14:textId="77777777" w:rsidR="00DB6E1F" w:rsidRDefault="00F666A6">
      <w:pPr>
        <w:pStyle w:val="BodyText"/>
        <w:tabs>
          <w:tab w:val="right" w:leader="dot" w:pos="10802"/>
        </w:tabs>
        <w:spacing w:before="79"/>
        <w:ind w:left="1440"/>
      </w:pPr>
      <w:r>
        <w:t>Exhibit</w:t>
      </w:r>
      <w:r>
        <w:rPr>
          <w:spacing w:val="-3"/>
        </w:rPr>
        <w:t xml:space="preserve"> </w:t>
      </w:r>
      <w:r>
        <w:t>7.6.</w:t>
      </w:r>
      <w:r>
        <w:rPr>
          <w:spacing w:val="-4"/>
        </w:rPr>
        <w:t xml:space="preserve"> </w:t>
      </w:r>
      <w:r>
        <w:t>Marlatt’s</w:t>
      </w:r>
      <w:r>
        <w:rPr>
          <w:spacing w:val="-6"/>
        </w:rPr>
        <w:t xml:space="preserve"> </w:t>
      </w:r>
      <w:r>
        <w:t>RPC</w:t>
      </w:r>
      <w:r>
        <w:rPr>
          <w:spacing w:val="-5"/>
        </w:rPr>
        <w:t xml:space="preserve"> </w:t>
      </w:r>
      <w:r>
        <w:rPr>
          <w:spacing w:val="-2"/>
        </w:rPr>
        <w:t>Process</w:t>
      </w:r>
      <w:r>
        <w:rPr>
          <w:rFonts w:ascii="Times New Roman" w:hAnsi="Times New Roman"/>
        </w:rPr>
        <w:tab/>
      </w:r>
      <w:r>
        <w:rPr>
          <w:spacing w:val="-5"/>
        </w:rPr>
        <w:t>115</w:t>
      </w:r>
    </w:p>
    <w:p w14:paraId="49B03BF4" w14:textId="77777777" w:rsidR="00DB6E1F" w:rsidRDefault="00F666A6">
      <w:pPr>
        <w:pStyle w:val="BodyText"/>
        <w:tabs>
          <w:tab w:val="right" w:leader="dot" w:pos="10801"/>
        </w:tabs>
        <w:spacing w:before="82"/>
        <w:ind w:left="1440"/>
      </w:pPr>
      <w:r>
        <w:t>Exhibit</w:t>
      </w:r>
      <w:r>
        <w:rPr>
          <w:spacing w:val="-2"/>
        </w:rPr>
        <w:t xml:space="preserve"> </w:t>
      </w:r>
      <w:r>
        <w:t>8.1.</w:t>
      </w:r>
      <w:r>
        <w:rPr>
          <w:spacing w:val="-2"/>
        </w:rPr>
        <w:t xml:space="preserve"> </w:t>
      </w:r>
      <w:r>
        <w:t>Blending</w:t>
      </w:r>
      <w:r>
        <w:rPr>
          <w:spacing w:val="-4"/>
        </w:rPr>
        <w:t xml:space="preserve"> </w:t>
      </w:r>
      <w:r>
        <w:t>the</w:t>
      </w:r>
      <w:r>
        <w:rPr>
          <w:spacing w:val="-4"/>
        </w:rPr>
        <w:t xml:space="preserve"> </w:t>
      </w:r>
      <w:r>
        <w:t>Spirit</w:t>
      </w:r>
      <w:r>
        <w:rPr>
          <w:spacing w:val="-2"/>
        </w:rPr>
        <w:t xml:space="preserve"> </w:t>
      </w:r>
      <w:r>
        <w:t>of</w:t>
      </w:r>
      <w:r>
        <w:rPr>
          <w:spacing w:val="-5"/>
        </w:rPr>
        <w:t xml:space="preserve"> </w:t>
      </w:r>
      <w:r>
        <w:t>MI</w:t>
      </w:r>
      <w:r>
        <w:rPr>
          <w:spacing w:val="-5"/>
        </w:rPr>
        <w:t xml:space="preserve"> </w:t>
      </w:r>
      <w:r>
        <w:t>With</w:t>
      </w:r>
      <w:r>
        <w:rPr>
          <w:spacing w:val="-3"/>
        </w:rPr>
        <w:t xml:space="preserve"> </w:t>
      </w:r>
      <w:r>
        <w:rPr>
          <w:spacing w:val="-5"/>
        </w:rPr>
        <w:t>CBT</w:t>
      </w:r>
      <w:r>
        <w:rPr>
          <w:rFonts w:ascii="Times New Roman"/>
        </w:rPr>
        <w:tab/>
      </w:r>
      <w:r>
        <w:rPr>
          <w:spacing w:val="-5"/>
        </w:rPr>
        <w:t>125</w:t>
      </w:r>
    </w:p>
    <w:p w14:paraId="08F8DF2E" w14:textId="77777777" w:rsidR="00DB6E1F" w:rsidRDefault="00DB6E1F">
      <w:pPr>
        <w:sectPr w:rsidR="00DB6E1F">
          <w:pgSz w:w="12240" w:h="15840"/>
          <w:pgMar w:top="960" w:right="0" w:bottom="940" w:left="0" w:header="762" w:footer="602" w:gutter="0"/>
          <w:cols w:space="720"/>
        </w:sectPr>
      </w:pPr>
    </w:p>
    <w:p w14:paraId="4E968B87" w14:textId="77777777" w:rsidR="00DB6E1F" w:rsidRDefault="00DB6E1F">
      <w:pPr>
        <w:pStyle w:val="BodyText"/>
        <w:spacing w:before="1"/>
        <w:rPr>
          <w:sz w:val="39"/>
        </w:rPr>
      </w:pPr>
    </w:p>
    <w:p w14:paraId="00738D25" w14:textId="77777777" w:rsidR="00DB6E1F" w:rsidRDefault="00F666A6">
      <w:pPr>
        <w:pStyle w:val="Heading1"/>
        <w:spacing w:before="0"/>
        <w:ind w:right="1442"/>
      </w:pPr>
      <w:bookmarkStart w:id="0" w:name="Foreword"/>
      <w:bookmarkStart w:id="1" w:name="_bookmark0"/>
      <w:bookmarkEnd w:id="0"/>
      <w:bookmarkEnd w:id="1"/>
      <w:r>
        <w:rPr>
          <w:spacing w:val="-2"/>
        </w:rPr>
        <w:t>Foreword</w:t>
      </w:r>
    </w:p>
    <w:p w14:paraId="6BFA6269" w14:textId="77777777" w:rsidR="00DB6E1F" w:rsidRDefault="00DB6E1F">
      <w:pPr>
        <w:pStyle w:val="BodyText"/>
        <w:rPr>
          <w:b/>
          <w:sz w:val="43"/>
        </w:rPr>
      </w:pPr>
    </w:p>
    <w:p w14:paraId="7F9E4928" w14:textId="77777777" w:rsidR="00DB6E1F" w:rsidRDefault="00F666A6">
      <w:pPr>
        <w:pStyle w:val="BodyText"/>
        <w:spacing w:before="1"/>
        <w:ind w:left="1440" w:right="1491"/>
      </w:pPr>
      <w:r>
        <w:t>The Substance Abuse and Mental Health Services Administration (SAMHSA) is the U.S. Department of Health and Human Services agency that leads public health efforts to reduce the impact of substance abuse and mental illness on America’s communities. An impor</w:t>
      </w:r>
      <w:r>
        <w:t>tant component of SAMHSA’s work is focused</w:t>
      </w:r>
      <w:r>
        <w:rPr>
          <w:spacing w:val="-5"/>
        </w:rPr>
        <w:t xml:space="preserve"> </w:t>
      </w:r>
      <w:r>
        <w:t>on</w:t>
      </w:r>
      <w:r>
        <w:rPr>
          <w:spacing w:val="-3"/>
        </w:rPr>
        <w:t xml:space="preserve"> </w:t>
      </w:r>
      <w:r>
        <w:t>dissemination</w:t>
      </w:r>
      <w:r>
        <w:rPr>
          <w:spacing w:val="-5"/>
        </w:rPr>
        <w:t xml:space="preserve"> </w:t>
      </w:r>
      <w:r>
        <w:t>of</w:t>
      </w:r>
      <w:r>
        <w:rPr>
          <w:spacing w:val="-2"/>
        </w:rPr>
        <w:t xml:space="preserve"> </w:t>
      </w:r>
      <w:r>
        <w:t>evidence-based</w:t>
      </w:r>
      <w:r>
        <w:rPr>
          <w:spacing w:val="-3"/>
        </w:rPr>
        <w:t xml:space="preserve"> </w:t>
      </w:r>
      <w:r>
        <w:t>practices</w:t>
      </w:r>
      <w:r>
        <w:rPr>
          <w:spacing w:val="-4"/>
        </w:rPr>
        <w:t xml:space="preserve"> </w:t>
      </w:r>
      <w:r>
        <w:t>and</w:t>
      </w:r>
      <w:r>
        <w:rPr>
          <w:spacing w:val="-3"/>
        </w:rPr>
        <w:t xml:space="preserve"> </w:t>
      </w:r>
      <w:r>
        <w:t>providing</w:t>
      </w:r>
      <w:r>
        <w:rPr>
          <w:spacing w:val="-3"/>
        </w:rPr>
        <w:t xml:space="preserve"> </w:t>
      </w:r>
      <w:r>
        <w:t>training</w:t>
      </w:r>
      <w:r>
        <w:rPr>
          <w:spacing w:val="-3"/>
        </w:rPr>
        <w:t xml:space="preserve"> </w:t>
      </w:r>
      <w:r>
        <w:t>and</w:t>
      </w:r>
      <w:r>
        <w:rPr>
          <w:spacing w:val="-5"/>
        </w:rPr>
        <w:t xml:space="preserve"> </w:t>
      </w:r>
      <w:r>
        <w:t>technical</w:t>
      </w:r>
      <w:r>
        <w:rPr>
          <w:spacing w:val="-2"/>
        </w:rPr>
        <w:t xml:space="preserve"> </w:t>
      </w:r>
      <w:r>
        <w:t>assistance</w:t>
      </w:r>
      <w:r>
        <w:rPr>
          <w:spacing w:val="-4"/>
        </w:rPr>
        <w:t xml:space="preserve"> </w:t>
      </w:r>
      <w:r>
        <w:t>to healthcare practitioners on implementation of these best practices.</w:t>
      </w:r>
    </w:p>
    <w:p w14:paraId="76698860" w14:textId="77777777" w:rsidR="00DB6E1F" w:rsidRDefault="00F666A6">
      <w:pPr>
        <w:pStyle w:val="BodyText"/>
        <w:spacing w:before="161"/>
        <w:ind w:left="1439" w:right="1491"/>
      </w:pPr>
      <w:r>
        <w:t>The Treatment Improvement Protocol (TIP) series c</w:t>
      </w:r>
      <w:r>
        <w:t>ontributes to SAMHSA’s mission by providing science-based,</w:t>
      </w:r>
      <w:r>
        <w:rPr>
          <w:spacing w:val="-3"/>
        </w:rPr>
        <w:t xml:space="preserve"> </w:t>
      </w:r>
      <w:r>
        <w:t>best-practice</w:t>
      </w:r>
      <w:r>
        <w:rPr>
          <w:spacing w:val="-2"/>
        </w:rPr>
        <w:t xml:space="preserve"> </w:t>
      </w:r>
      <w:r>
        <w:t>guidance</w:t>
      </w:r>
      <w:r>
        <w:rPr>
          <w:spacing w:val="-2"/>
        </w:rPr>
        <w:t xml:space="preserve"> </w:t>
      </w:r>
      <w:r>
        <w:t>to</w:t>
      </w:r>
      <w:r>
        <w:rPr>
          <w:spacing w:val="-2"/>
        </w:rPr>
        <w:t xml:space="preserve"> </w:t>
      </w:r>
      <w:r>
        <w:t>the</w:t>
      </w:r>
      <w:r>
        <w:rPr>
          <w:spacing w:val="-2"/>
        </w:rPr>
        <w:t xml:space="preserve"> </w:t>
      </w:r>
      <w:r>
        <w:t>behavioral</w:t>
      </w:r>
      <w:r>
        <w:rPr>
          <w:spacing w:val="-3"/>
        </w:rPr>
        <w:t xml:space="preserve"> </w:t>
      </w:r>
      <w:r>
        <w:t>health</w:t>
      </w:r>
      <w:r>
        <w:rPr>
          <w:spacing w:val="-4"/>
        </w:rPr>
        <w:t xml:space="preserve"> </w:t>
      </w:r>
      <w:r>
        <w:t>field.</w:t>
      </w:r>
      <w:r>
        <w:rPr>
          <w:spacing w:val="-6"/>
        </w:rPr>
        <w:t xml:space="preserve"> </w:t>
      </w:r>
      <w:r>
        <w:t>TIPs</w:t>
      </w:r>
      <w:r>
        <w:rPr>
          <w:spacing w:val="-5"/>
        </w:rPr>
        <w:t xml:space="preserve"> </w:t>
      </w:r>
      <w:r>
        <w:t>reflect</w:t>
      </w:r>
      <w:r>
        <w:rPr>
          <w:spacing w:val="-5"/>
        </w:rPr>
        <w:t xml:space="preserve"> </w:t>
      </w:r>
      <w:r>
        <w:t>careful</w:t>
      </w:r>
      <w:r>
        <w:rPr>
          <w:spacing w:val="-3"/>
        </w:rPr>
        <w:t xml:space="preserve"> </w:t>
      </w:r>
      <w:r>
        <w:t>consideration</w:t>
      </w:r>
      <w:r>
        <w:rPr>
          <w:spacing w:val="-6"/>
        </w:rPr>
        <w:t xml:space="preserve"> </w:t>
      </w:r>
      <w:r>
        <w:t>of all relevant clinical and health service research, demonstrated experience, and implementation requireme</w:t>
      </w:r>
      <w:r>
        <w:t>nts. Select nonfederal clinical researchers, service providers, program administrators, and patient advocates comprising each TIP’s consensus panel discuss these factors, offering input on the TIP’s</w:t>
      </w:r>
      <w:r>
        <w:rPr>
          <w:spacing w:val="-3"/>
        </w:rPr>
        <w:t xml:space="preserve"> </w:t>
      </w:r>
      <w:r>
        <w:t>specific</w:t>
      </w:r>
      <w:r>
        <w:rPr>
          <w:spacing w:val="-3"/>
        </w:rPr>
        <w:t xml:space="preserve"> </w:t>
      </w:r>
      <w:r>
        <w:t>topics</w:t>
      </w:r>
      <w:r>
        <w:rPr>
          <w:spacing w:val="-1"/>
        </w:rPr>
        <w:t xml:space="preserve"> </w:t>
      </w:r>
      <w:r>
        <w:t>in</w:t>
      </w:r>
      <w:r>
        <w:rPr>
          <w:spacing w:val="-2"/>
        </w:rPr>
        <w:t xml:space="preserve"> </w:t>
      </w:r>
      <w:r>
        <w:t>their</w:t>
      </w:r>
      <w:r>
        <w:rPr>
          <w:spacing w:val="-3"/>
        </w:rPr>
        <w:t xml:space="preserve"> </w:t>
      </w:r>
      <w:r>
        <w:t>areas</w:t>
      </w:r>
      <w:r>
        <w:rPr>
          <w:spacing w:val="-3"/>
        </w:rPr>
        <w:t xml:space="preserve"> </w:t>
      </w:r>
      <w:r>
        <w:t>of</w:t>
      </w:r>
      <w:r>
        <w:rPr>
          <w:spacing w:val="-3"/>
        </w:rPr>
        <w:t xml:space="preserve"> </w:t>
      </w:r>
      <w:r>
        <w:t>expertise</w:t>
      </w:r>
      <w:r>
        <w:rPr>
          <w:spacing w:val="-3"/>
        </w:rPr>
        <w:t xml:space="preserve"> </w:t>
      </w:r>
      <w:r>
        <w:t>to</w:t>
      </w:r>
      <w:r>
        <w:rPr>
          <w:spacing w:val="-2"/>
        </w:rPr>
        <w:t xml:space="preserve"> </w:t>
      </w:r>
      <w:r>
        <w:t>reach</w:t>
      </w:r>
      <w:r>
        <w:rPr>
          <w:spacing w:val="-4"/>
        </w:rPr>
        <w:t xml:space="preserve"> </w:t>
      </w:r>
      <w:r>
        <w:t>cons</w:t>
      </w:r>
      <w:r>
        <w:t>ensus</w:t>
      </w:r>
      <w:r>
        <w:rPr>
          <w:spacing w:val="-1"/>
        </w:rPr>
        <w:t xml:space="preserve"> </w:t>
      </w:r>
      <w:r>
        <w:t>on</w:t>
      </w:r>
      <w:r>
        <w:rPr>
          <w:spacing w:val="-4"/>
        </w:rPr>
        <w:t xml:space="preserve"> </w:t>
      </w:r>
      <w:r>
        <w:t>best practices.</w:t>
      </w:r>
      <w:r>
        <w:rPr>
          <w:spacing w:val="-1"/>
        </w:rPr>
        <w:t xml:space="preserve"> </w:t>
      </w:r>
      <w:r>
        <w:t>Field</w:t>
      </w:r>
      <w:r>
        <w:rPr>
          <w:spacing w:val="-2"/>
        </w:rPr>
        <w:t xml:space="preserve"> </w:t>
      </w:r>
      <w:r>
        <w:t>reviewers</w:t>
      </w:r>
      <w:r>
        <w:rPr>
          <w:spacing w:val="-3"/>
        </w:rPr>
        <w:t xml:space="preserve"> </w:t>
      </w:r>
      <w:r>
        <w:t>then assess draft content and the TIP is finalized.</w:t>
      </w:r>
    </w:p>
    <w:p w14:paraId="49A1CD06" w14:textId="77777777" w:rsidR="00DB6E1F" w:rsidRDefault="00F666A6">
      <w:pPr>
        <w:pStyle w:val="BodyText"/>
        <w:spacing w:before="158"/>
        <w:ind w:left="1439" w:right="1444"/>
      </w:pPr>
      <w:r>
        <w:t>The talent, dedication, and hard work that TIP panelists and reviewers bring to this highly participatory process have helped bridge the gap between the promise of research and the needs of practicing clinicians</w:t>
      </w:r>
      <w:r>
        <w:rPr>
          <w:spacing w:val="-2"/>
        </w:rPr>
        <w:t xml:space="preserve"> </w:t>
      </w:r>
      <w:r>
        <w:t>and</w:t>
      </w:r>
      <w:r>
        <w:rPr>
          <w:spacing w:val="-3"/>
        </w:rPr>
        <w:t xml:space="preserve"> </w:t>
      </w:r>
      <w:r>
        <w:t>administrators</w:t>
      </w:r>
      <w:r>
        <w:rPr>
          <w:spacing w:val="-2"/>
        </w:rPr>
        <w:t xml:space="preserve"> </w:t>
      </w:r>
      <w:r>
        <w:t>to</w:t>
      </w:r>
      <w:r>
        <w:rPr>
          <w:spacing w:val="-3"/>
        </w:rPr>
        <w:t xml:space="preserve"> </w:t>
      </w:r>
      <w:r>
        <w:t>serve,</w:t>
      </w:r>
      <w:r>
        <w:rPr>
          <w:spacing w:val="-4"/>
        </w:rPr>
        <w:t xml:space="preserve"> </w:t>
      </w:r>
      <w:r>
        <w:t>in</w:t>
      </w:r>
      <w:r>
        <w:rPr>
          <w:spacing w:val="-3"/>
        </w:rPr>
        <w:t xml:space="preserve"> </w:t>
      </w:r>
      <w:r>
        <w:t>the</w:t>
      </w:r>
      <w:r>
        <w:rPr>
          <w:spacing w:val="-4"/>
        </w:rPr>
        <w:t xml:space="preserve"> </w:t>
      </w:r>
      <w:r>
        <w:t>most</w:t>
      </w:r>
      <w:r>
        <w:rPr>
          <w:spacing w:val="-4"/>
        </w:rPr>
        <w:t xml:space="preserve"> </w:t>
      </w:r>
      <w:r>
        <w:t>sci</w:t>
      </w:r>
      <w:r>
        <w:t>entifically</w:t>
      </w:r>
      <w:r>
        <w:rPr>
          <w:spacing w:val="-1"/>
        </w:rPr>
        <w:t xml:space="preserve"> </w:t>
      </w:r>
      <w:r>
        <w:t>sound</w:t>
      </w:r>
      <w:r>
        <w:rPr>
          <w:spacing w:val="-3"/>
        </w:rPr>
        <w:t xml:space="preserve"> </w:t>
      </w:r>
      <w:r>
        <w:t>and</w:t>
      </w:r>
      <w:r>
        <w:rPr>
          <w:spacing w:val="-3"/>
        </w:rPr>
        <w:t xml:space="preserve"> </w:t>
      </w:r>
      <w:r>
        <w:t>effective</w:t>
      </w:r>
      <w:r>
        <w:rPr>
          <w:spacing w:val="-4"/>
        </w:rPr>
        <w:t xml:space="preserve"> </w:t>
      </w:r>
      <w:r>
        <w:t>ways,</w:t>
      </w:r>
      <w:r>
        <w:rPr>
          <w:spacing w:val="-2"/>
        </w:rPr>
        <w:t xml:space="preserve"> </w:t>
      </w:r>
      <w:r>
        <w:t>people</w:t>
      </w:r>
      <w:r>
        <w:rPr>
          <w:spacing w:val="-1"/>
        </w:rPr>
        <w:t xml:space="preserve"> </w:t>
      </w:r>
      <w:r>
        <w:t>in</w:t>
      </w:r>
      <w:r>
        <w:rPr>
          <w:spacing w:val="-3"/>
        </w:rPr>
        <w:t xml:space="preserve"> </w:t>
      </w:r>
      <w:r>
        <w:t>need of care and treatment of mental and substance use disorders. My sincere thanks to all who have contributed</w:t>
      </w:r>
      <w:r>
        <w:rPr>
          <w:spacing w:val="-2"/>
        </w:rPr>
        <w:t xml:space="preserve"> </w:t>
      </w:r>
      <w:r>
        <w:t>their</w:t>
      </w:r>
      <w:r>
        <w:rPr>
          <w:spacing w:val="-1"/>
        </w:rPr>
        <w:t xml:space="preserve"> </w:t>
      </w:r>
      <w:r>
        <w:t>time and</w:t>
      </w:r>
      <w:r>
        <w:rPr>
          <w:spacing w:val="-2"/>
        </w:rPr>
        <w:t xml:space="preserve"> </w:t>
      </w:r>
      <w:r>
        <w:t>expertise to the development of</w:t>
      </w:r>
      <w:r>
        <w:rPr>
          <w:spacing w:val="-1"/>
        </w:rPr>
        <w:t xml:space="preserve"> </w:t>
      </w:r>
      <w:r>
        <w:t>this</w:t>
      </w:r>
      <w:r>
        <w:rPr>
          <w:spacing w:val="-1"/>
        </w:rPr>
        <w:t xml:space="preserve"> </w:t>
      </w:r>
      <w:r>
        <w:t>TIP. It</w:t>
      </w:r>
      <w:r>
        <w:rPr>
          <w:spacing w:val="-1"/>
        </w:rPr>
        <w:t xml:space="preserve"> </w:t>
      </w:r>
      <w:r>
        <w:t>is</w:t>
      </w:r>
      <w:r>
        <w:rPr>
          <w:spacing w:val="-1"/>
        </w:rPr>
        <w:t xml:space="preserve"> </w:t>
      </w:r>
      <w:r>
        <w:t>my hope that</w:t>
      </w:r>
      <w:r>
        <w:rPr>
          <w:spacing w:val="-1"/>
        </w:rPr>
        <w:t xml:space="preserve"> </w:t>
      </w:r>
      <w:r>
        <w:t>clinicians will</w:t>
      </w:r>
      <w:r>
        <w:rPr>
          <w:spacing w:val="-2"/>
        </w:rPr>
        <w:t xml:space="preserve"> </w:t>
      </w:r>
      <w:r>
        <w:t>find</w:t>
      </w:r>
      <w:r>
        <w:t xml:space="preserve"> it useful and informative to their work.</w:t>
      </w:r>
    </w:p>
    <w:p w14:paraId="5F434CA6" w14:textId="77777777" w:rsidR="00DB6E1F" w:rsidRDefault="00F666A6">
      <w:pPr>
        <w:pStyle w:val="Heading5"/>
        <w:spacing w:before="162" w:line="268" w:lineRule="exact"/>
        <w:ind w:left="1439"/>
      </w:pPr>
      <w:r>
        <w:t>Elinore</w:t>
      </w:r>
      <w:r>
        <w:rPr>
          <w:spacing w:val="-6"/>
        </w:rPr>
        <w:t xml:space="preserve"> </w:t>
      </w:r>
      <w:r>
        <w:t>F.</w:t>
      </w:r>
      <w:r>
        <w:rPr>
          <w:spacing w:val="-4"/>
        </w:rPr>
        <w:t xml:space="preserve"> </w:t>
      </w:r>
      <w:r>
        <w:t>McCance-Katz,</w:t>
      </w:r>
      <w:r>
        <w:rPr>
          <w:spacing w:val="-7"/>
        </w:rPr>
        <w:t xml:space="preserve"> </w:t>
      </w:r>
      <w:r>
        <w:t>M.D.,</w:t>
      </w:r>
      <w:r>
        <w:rPr>
          <w:spacing w:val="-6"/>
        </w:rPr>
        <w:t xml:space="preserve"> </w:t>
      </w:r>
      <w:r>
        <w:rPr>
          <w:spacing w:val="-4"/>
        </w:rPr>
        <w:t>Ph.D.</w:t>
      </w:r>
    </w:p>
    <w:p w14:paraId="33E0649B" w14:textId="77777777" w:rsidR="00DB6E1F" w:rsidRDefault="00F666A6">
      <w:pPr>
        <w:pStyle w:val="BodyText"/>
        <w:spacing w:line="268" w:lineRule="exact"/>
        <w:ind w:left="1439"/>
      </w:pPr>
      <w:r>
        <w:t>Assistant</w:t>
      </w:r>
      <w:r>
        <w:rPr>
          <w:spacing w:val="-5"/>
        </w:rPr>
        <w:t xml:space="preserve"> </w:t>
      </w:r>
      <w:r>
        <w:t>Secretary</w:t>
      </w:r>
      <w:r>
        <w:rPr>
          <w:spacing w:val="-4"/>
        </w:rPr>
        <w:t xml:space="preserve"> </w:t>
      </w:r>
      <w:r>
        <w:t>for</w:t>
      </w:r>
      <w:r>
        <w:rPr>
          <w:spacing w:val="-7"/>
        </w:rPr>
        <w:t xml:space="preserve"> </w:t>
      </w:r>
      <w:r>
        <w:t>Mental</w:t>
      </w:r>
      <w:r>
        <w:rPr>
          <w:spacing w:val="-5"/>
        </w:rPr>
        <w:t xml:space="preserve"> </w:t>
      </w:r>
      <w:r>
        <w:t>Health</w:t>
      </w:r>
      <w:r>
        <w:rPr>
          <w:spacing w:val="-6"/>
        </w:rPr>
        <w:t xml:space="preserve"> </w:t>
      </w:r>
      <w:r>
        <w:t>and</w:t>
      </w:r>
      <w:r>
        <w:rPr>
          <w:spacing w:val="-6"/>
        </w:rPr>
        <w:t xml:space="preserve"> </w:t>
      </w:r>
      <w:r>
        <w:t>Substance</w:t>
      </w:r>
      <w:r>
        <w:rPr>
          <w:spacing w:val="-6"/>
        </w:rPr>
        <w:t xml:space="preserve"> </w:t>
      </w:r>
      <w:r>
        <w:rPr>
          <w:spacing w:val="-5"/>
        </w:rPr>
        <w:t>Use</w:t>
      </w:r>
    </w:p>
    <w:p w14:paraId="42806227" w14:textId="77777777" w:rsidR="00DB6E1F" w:rsidRDefault="00F666A6">
      <w:pPr>
        <w:pStyle w:val="BodyText"/>
        <w:ind w:left="1439"/>
      </w:pPr>
      <w:r>
        <w:t>U.S.</w:t>
      </w:r>
      <w:r>
        <w:rPr>
          <w:spacing w:val="-3"/>
        </w:rPr>
        <w:t xml:space="preserve"> </w:t>
      </w:r>
      <w:r>
        <w:t>Department</w:t>
      </w:r>
      <w:r>
        <w:rPr>
          <w:spacing w:val="-5"/>
        </w:rPr>
        <w:t xml:space="preserve"> </w:t>
      </w:r>
      <w:r>
        <w:t>of</w:t>
      </w:r>
      <w:r>
        <w:rPr>
          <w:spacing w:val="-3"/>
        </w:rPr>
        <w:t xml:space="preserve"> </w:t>
      </w:r>
      <w:r>
        <w:t>Health</w:t>
      </w:r>
      <w:r>
        <w:rPr>
          <w:spacing w:val="-7"/>
        </w:rPr>
        <w:t xml:space="preserve"> </w:t>
      </w:r>
      <w:r>
        <w:t>and</w:t>
      </w:r>
      <w:r>
        <w:rPr>
          <w:spacing w:val="-4"/>
        </w:rPr>
        <w:t xml:space="preserve"> </w:t>
      </w:r>
      <w:r>
        <w:t>Human</w:t>
      </w:r>
      <w:r>
        <w:rPr>
          <w:spacing w:val="-3"/>
        </w:rPr>
        <w:t xml:space="preserve"> </w:t>
      </w:r>
      <w:r>
        <w:rPr>
          <w:spacing w:val="-2"/>
        </w:rPr>
        <w:t>Services</w:t>
      </w:r>
    </w:p>
    <w:p w14:paraId="524255D2" w14:textId="77777777" w:rsidR="00DB6E1F" w:rsidRDefault="00F666A6">
      <w:pPr>
        <w:pStyle w:val="BodyText"/>
        <w:ind w:left="1439"/>
      </w:pPr>
      <w:r>
        <w:t>Substance</w:t>
      </w:r>
      <w:r>
        <w:rPr>
          <w:spacing w:val="-6"/>
        </w:rPr>
        <w:t xml:space="preserve"> </w:t>
      </w:r>
      <w:r>
        <w:t>Abuse</w:t>
      </w:r>
      <w:r>
        <w:rPr>
          <w:spacing w:val="-3"/>
        </w:rPr>
        <w:t xml:space="preserve"> </w:t>
      </w:r>
      <w:r>
        <w:t>and</w:t>
      </w:r>
      <w:r>
        <w:rPr>
          <w:spacing w:val="-6"/>
        </w:rPr>
        <w:t xml:space="preserve"> </w:t>
      </w:r>
      <w:r>
        <w:t>Mental</w:t>
      </w:r>
      <w:r>
        <w:rPr>
          <w:spacing w:val="-5"/>
        </w:rPr>
        <w:t xml:space="preserve"> </w:t>
      </w:r>
      <w:r>
        <w:t>Health</w:t>
      </w:r>
      <w:r>
        <w:rPr>
          <w:spacing w:val="-4"/>
        </w:rPr>
        <w:t xml:space="preserve"> </w:t>
      </w:r>
      <w:r>
        <w:t>Services</w:t>
      </w:r>
      <w:r>
        <w:rPr>
          <w:spacing w:val="-4"/>
        </w:rPr>
        <w:t xml:space="preserve"> </w:t>
      </w:r>
      <w:r>
        <w:rPr>
          <w:spacing w:val="-2"/>
        </w:rPr>
        <w:t>Administration</w:t>
      </w:r>
    </w:p>
    <w:p w14:paraId="55E34975" w14:textId="77777777" w:rsidR="00DB6E1F" w:rsidRDefault="00DB6E1F">
      <w:pPr>
        <w:sectPr w:rsidR="00DB6E1F">
          <w:pgSz w:w="12240" w:h="15840"/>
          <w:pgMar w:top="960" w:right="0" w:bottom="940" w:left="0" w:header="762" w:footer="602" w:gutter="0"/>
          <w:cols w:space="720"/>
        </w:sectPr>
      </w:pPr>
    </w:p>
    <w:p w14:paraId="0B85E420" w14:textId="77777777" w:rsidR="00DB6E1F" w:rsidRDefault="00DB6E1F">
      <w:pPr>
        <w:pStyle w:val="BodyText"/>
        <w:rPr>
          <w:sz w:val="20"/>
        </w:rPr>
      </w:pPr>
    </w:p>
    <w:p w14:paraId="2A8D5234" w14:textId="77777777" w:rsidR="00DB6E1F" w:rsidRDefault="00DB6E1F">
      <w:pPr>
        <w:pStyle w:val="BodyText"/>
        <w:spacing w:before="10"/>
        <w:rPr>
          <w:sz w:val="18"/>
        </w:rPr>
      </w:pPr>
    </w:p>
    <w:p w14:paraId="0A975FAC" w14:textId="77777777" w:rsidR="00DB6E1F" w:rsidRDefault="00F666A6">
      <w:pPr>
        <w:pStyle w:val="Heading1"/>
        <w:ind w:right="1443"/>
      </w:pPr>
      <w:bookmarkStart w:id="2" w:name="Executive_Summary"/>
      <w:bookmarkStart w:id="3" w:name="_bookmark1"/>
      <w:bookmarkEnd w:id="2"/>
      <w:bookmarkEnd w:id="3"/>
      <w:r>
        <w:t>Executive</w:t>
      </w:r>
      <w:r>
        <w:rPr>
          <w:spacing w:val="-2"/>
        </w:rPr>
        <w:t xml:space="preserve"> Summary</w:t>
      </w:r>
    </w:p>
    <w:p w14:paraId="6C3E0799" w14:textId="77777777" w:rsidR="00DB6E1F" w:rsidRDefault="00DB6E1F">
      <w:pPr>
        <w:pStyle w:val="BodyText"/>
        <w:spacing w:before="1"/>
        <w:rPr>
          <w:b/>
          <w:sz w:val="43"/>
        </w:rPr>
      </w:pPr>
    </w:p>
    <w:p w14:paraId="22B668AD" w14:textId="77777777" w:rsidR="00DB6E1F" w:rsidRDefault="00F666A6">
      <w:pPr>
        <w:pStyle w:val="BodyText"/>
        <w:ind w:left="1439" w:right="1419"/>
        <w:jc w:val="both"/>
      </w:pPr>
      <w:r>
        <w:t>Motivation</w:t>
      </w:r>
      <w:r>
        <w:rPr>
          <w:spacing w:val="-2"/>
        </w:rPr>
        <w:t xml:space="preserve"> </w:t>
      </w:r>
      <w:r>
        <w:t>for</w:t>
      </w:r>
      <w:r>
        <w:rPr>
          <w:spacing w:val="-1"/>
        </w:rPr>
        <w:t xml:space="preserve"> </w:t>
      </w:r>
      <w:r>
        <w:t>change</w:t>
      </w:r>
      <w:r>
        <w:rPr>
          <w:spacing w:val="-3"/>
        </w:rPr>
        <w:t xml:space="preserve"> </w:t>
      </w:r>
      <w:r>
        <w:t>is</w:t>
      </w:r>
      <w:r>
        <w:rPr>
          <w:spacing w:val="-1"/>
        </w:rPr>
        <w:t xml:space="preserve"> </w:t>
      </w:r>
      <w:r>
        <w:t>a</w:t>
      </w:r>
      <w:r>
        <w:rPr>
          <w:spacing w:val="-3"/>
        </w:rPr>
        <w:t xml:space="preserve"> </w:t>
      </w:r>
      <w:r>
        <w:t>key</w:t>
      </w:r>
      <w:r>
        <w:rPr>
          <w:spacing w:val="-2"/>
        </w:rPr>
        <w:t xml:space="preserve"> </w:t>
      </w:r>
      <w:r>
        <w:t>component in</w:t>
      </w:r>
      <w:r>
        <w:rPr>
          <w:spacing w:val="-2"/>
        </w:rPr>
        <w:t xml:space="preserve"> </w:t>
      </w:r>
      <w:r>
        <w:t>addressing</w:t>
      </w:r>
      <w:r>
        <w:rPr>
          <w:spacing w:val="-1"/>
        </w:rPr>
        <w:t xml:space="preserve"> </w:t>
      </w:r>
      <w:r>
        <w:t>substance</w:t>
      </w:r>
      <w:r>
        <w:rPr>
          <w:spacing w:val="-3"/>
        </w:rPr>
        <w:t xml:space="preserve"> </w:t>
      </w:r>
      <w:r>
        <w:t>misuse.</w:t>
      </w:r>
      <w:r>
        <w:rPr>
          <w:spacing w:val="-4"/>
        </w:rPr>
        <w:t xml:space="preserve"> </w:t>
      </w:r>
      <w:r>
        <w:t>This</w:t>
      </w:r>
      <w:r>
        <w:rPr>
          <w:spacing w:val="-3"/>
        </w:rPr>
        <w:t xml:space="preserve"> </w:t>
      </w:r>
      <w:r>
        <w:t>Treatment</w:t>
      </w:r>
      <w:r>
        <w:rPr>
          <w:spacing w:val="-3"/>
        </w:rPr>
        <w:t xml:space="preserve"> </w:t>
      </w:r>
      <w:r>
        <w:t>Improvement Protocol</w:t>
      </w:r>
      <w:r>
        <w:rPr>
          <w:spacing w:val="-3"/>
        </w:rPr>
        <w:t xml:space="preserve"> </w:t>
      </w:r>
      <w:r>
        <w:t>(TIP) reflects</w:t>
      </w:r>
      <w:r>
        <w:rPr>
          <w:spacing w:val="-2"/>
        </w:rPr>
        <w:t xml:space="preserve"> </w:t>
      </w:r>
      <w:r>
        <w:t>a fundamental</w:t>
      </w:r>
      <w:r>
        <w:rPr>
          <w:spacing w:val="-3"/>
        </w:rPr>
        <w:t xml:space="preserve"> </w:t>
      </w:r>
      <w:r>
        <w:t>rethinking</w:t>
      </w:r>
      <w:r>
        <w:rPr>
          <w:spacing w:val="-3"/>
        </w:rPr>
        <w:t xml:space="preserve"> </w:t>
      </w:r>
      <w:r>
        <w:t>of the</w:t>
      </w:r>
      <w:r>
        <w:rPr>
          <w:spacing w:val="-2"/>
        </w:rPr>
        <w:t xml:space="preserve"> </w:t>
      </w:r>
      <w:r>
        <w:t>concept</w:t>
      </w:r>
      <w:r>
        <w:rPr>
          <w:spacing w:val="-2"/>
        </w:rPr>
        <w:t xml:space="preserve"> </w:t>
      </w:r>
      <w:r>
        <w:t>of</w:t>
      </w:r>
      <w:r>
        <w:rPr>
          <w:spacing w:val="-2"/>
        </w:rPr>
        <w:t xml:space="preserve"> </w:t>
      </w:r>
      <w:r>
        <w:t>motivation</w:t>
      </w:r>
      <w:r>
        <w:rPr>
          <w:spacing w:val="-1"/>
        </w:rPr>
        <w:t xml:space="preserve"> </w:t>
      </w:r>
      <w:r>
        <w:t>as</w:t>
      </w:r>
      <w:r>
        <w:rPr>
          <w:spacing w:val="-2"/>
        </w:rPr>
        <w:t xml:space="preserve"> </w:t>
      </w:r>
      <w:r>
        <w:t>a</w:t>
      </w:r>
      <w:r>
        <w:rPr>
          <w:spacing w:val="-2"/>
        </w:rPr>
        <w:t xml:space="preserve"> </w:t>
      </w:r>
      <w:r>
        <w:t>dynamic</w:t>
      </w:r>
      <w:r>
        <w:rPr>
          <w:spacing w:val="-2"/>
        </w:rPr>
        <w:t xml:space="preserve"> </w:t>
      </w:r>
      <w:r>
        <w:t>process, not a static</w:t>
      </w:r>
      <w:r>
        <w:rPr>
          <w:spacing w:val="-4"/>
        </w:rPr>
        <w:t xml:space="preserve"> </w:t>
      </w:r>
      <w:r>
        <w:t>client</w:t>
      </w:r>
      <w:r>
        <w:rPr>
          <w:spacing w:val="-4"/>
        </w:rPr>
        <w:t xml:space="preserve"> </w:t>
      </w:r>
      <w:r>
        <w:t>trait.</w:t>
      </w:r>
      <w:r>
        <w:rPr>
          <w:spacing w:val="-5"/>
        </w:rPr>
        <w:t xml:space="preserve"> </w:t>
      </w:r>
      <w:r>
        <w:t>Motivation</w:t>
      </w:r>
      <w:r>
        <w:rPr>
          <w:spacing w:val="-3"/>
        </w:rPr>
        <w:t xml:space="preserve"> </w:t>
      </w:r>
      <w:r>
        <w:t>relates</w:t>
      </w:r>
      <w:r>
        <w:rPr>
          <w:spacing w:val="-4"/>
        </w:rPr>
        <w:t xml:space="preserve"> </w:t>
      </w:r>
      <w:r>
        <w:t>to the</w:t>
      </w:r>
      <w:r>
        <w:rPr>
          <w:spacing w:val="-4"/>
        </w:rPr>
        <w:t xml:space="preserve"> </w:t>
      </w:r>
      <w:r>
        <w:t>probability</w:t>
      </w:r>
      <w:r>
        <w:rPr>
          <w:spacing w:val="-3"/>
        </w:rPr>
        <w:t xml:space="preserve"> </w:t>
      </w:r>
      <w:r>
        <w:t>that</w:t>
      </w:r>
      <w:r>
        <w:rPr>
          <w:spacing w:val="-1"/>
        </w:rPr>
        <w:t xml:space="preserve"> </w:t>
      </w:r>
      <w:r>
        <w:t>a</w:t>
      </w:r>
      <w:r>
        <w:rPr>
          <w:spacing w:val="-2"/>
        </w:rPr>
        <w:t xml:space="preserve"> </w:t>
      </w:r>
      <w:r>
        <w:t>person</w:t>
      </w:r>
      <w:r>
        <w:rPr>
          <w:spacing w:val="-5"/>
        </w:rPr>
        <w:t xml:space="preserve"> </w:t>
      </w:r>
      <w:r>
        <w:t>will</w:t>
      </w:r>
      <w:r>
        <w:rPr>
          <w:spacing w:val="-2"/>
        </w:rPr>
        <w:t xml:space="preserve"> </w:t>
      </w:r>
      <w:r>
        <w:t>enter</w:t>
      </w:r>
      <w:r>
        <w:rPr>
          <w:spacing w:val="-2"/>
        </w:rPr>
        <w:t xml:space="preserve"> </w:t>
      </w:r>
      <w:r>
        <w:t>into,</w:t>
      </w:r>
      <w:r>
        <w:rPr>
          <w:spacing w:val="-2"/>
        </w:rPr>
        <w:t xml:space="preserve"> </w:t>
      </w:r>
      <w:r>
        <w:t>continue,</w:t>
      </w:r>
      <w:r>
        <w:rPr>
          <w:spacing w:val="-4"/>
        </w:rPr>
        <w:t xml:space="preserve"> </w:t>
      </w:r>
      <w:r>
        <w:t>and</w:t>
      </w:r>
      <w:r>
        <w:rPr>
          <w:spacing w:val="-3"/>
        </w:rPr>
        <w:t xml:space="preserve"> </w:t>
      </w:r>
      <w:r>
        <w:t>adhere to a specific change strategy.</w:t>
      </w:r>
    </w:p>
    <w:p w14:paraId="4ADA847F" w14:textId="77777777" w:rsidR="00DB6E1F" w:rsidRDefault="00F666A6">
      <w:pPr>
        <w:pStyle w:val="BodyText"/>
        <w:spacing w:before="161"/>
        <w:ind w:left="1439" w:right="1491"/>
      </w:pPr>
      <w:r>
        <w:t>Although much progress has been made in identifying people who misuse substances and who have substance</w:t>
      </w:r>
      <w:r>
        <w:rPr>
          <w:spacing w:val="-1"/>
        </w:rPr>
        <w:t xml:space="preserve"> </w:t>
      </w:r>
      <w:r>
        <w:t>use</w:t>
      </w:r>
      <w:r>
        <w:rPr>
          <w:spacing w:val="-4"/>
        </w:rPr>
        <w:t xml:space="preserve"> </w:t>
      </w:r>
      <w:r>
        <w:t>disorders</w:t>
      </w:r>
      <w:r>
        <w:rPr>
          <w:spacing w:val="-2"/>
        </w:rPr>
        <w:t xml:space="preserve"> </w:t>
      </w:r>
      <w:r>
        <w:t>(SUDs)</w:t>
      </w:r>
      <w:r>
        <w:rPr>
          <w:spacing w:val="-2"/>
        </w:rPr>
        <w:t xml:space="preserve"> </w:t>
      </w:r>
      <w:r>
        <w:t>as</w:t>
      </w:r>
      <w:r>
        <w:rPr>
          <w:spacing w:val="-2"/>
        </w:rPr>
        <w:t xml:space="preserve"> </w:t>
      </w:r>
      <w:r>
        <w:t>well</w:t>
      </w:r>
      <w:r>
        <w:rPr>
          <w:spacing w:val="-2"/>
        </w:rPr>
        <w:t xml:space="preserve"> </w:t>
      </w:r>
      <w:r>
        <w:t>as</w:t>
      </w:r>
      <w:r>
        <w:rPr>
          <w:spacing w:val="-2"/>
        </w:rPr>
        <w:t xml:space="preserve"> </w:t>
      </w:r>
      <w:r>
        <w:t>in</w:t>
      </w:r>
      <w:r>
        <w:rPr>
          <w:spacing w:val="-5"/>
        </w:rPr>
        <w:t xml:space="preserve"> </w:t>
      </w:r>
      <w:r>
        <w:t>using</w:t>
      </w:r>
      <w:r>
        <w:rPr>
          <w:spacing w:val="-3"/>
        </w:rPr>
        <w:t xml:space="preserve"> </w:t>
      </w:r>
      <w:r>
        <w:t>science-informed</w:t>
      </w:r>
      <w:r>
        <w:rPr>
          <w:spacing w:val="-3"/>
        </w:rPr>
        <w:t xml:space="preserve"> </w:t>
      </w:r>
      <w:r>
        <w:t>interventions</w:t>
      </w:r>
      <w:r>
        <w:rPr>
          <w:spacing w:val="-4"/>
        </w:rPr>
        <w:t xml:space="preserve"> </w:t>
      </w:r>
      <w:r>
        <w:t>such</w:t>
      </w:r>
      <w:r>
        <w:rPr>
          <w:spacing w:val="-3"/>
        </w:rPr>
        <w:t xml:space="preserve"> </w:t>
      </w:r>
      <w:r>
        <w:t>as</w:t>
      </w:r>
      <w:r>
        <w:rPr>
          <w:spacing w:val="-4"/>
        </w:rPr>
        <w:t xml:space="preserve"> </w:t>
      </w:r>
      <w:r>
        <w:t>motivational counseling approaches to treat them, the United States stil</w:t>
      </w:r>
      <w:r>
        <w:t>l faces many SUD challenges. For example, the National Survey on Drug Use and Health (Substance Abuse and Mental Health Services Administration, 2018) reports that, in 2017, approximately:</w:t>
      </w:r>
    </w:p>
    <w:p w14:paraId="3C19D933" w14:textId="77777777" w:rsidR="00DB6E1F" w:rsidRDefault="00F666A6">
      <w:pPr>
        <w:pStyle w:val="ListParagraph"/>
        <w:numPr>
          <w:ilvl w:val="0"/>
          <w:numId w:val="92"/>
        </w:numPr>
        <w:tabs>
          <w:tab w:val="left" w:pos="1798"/>
          <w:tab w:val="left" w:pos="1799"/>
        </w:tabs>
        <w:spacing w:before="59"/>
        <w:ind w:right="1438" w:hanging="360"/>
        <w:rPr>
          <w:rFonts w:ascii="Symbol" w:hAnsi="Symbol"/>
        </w:rPr>
      </w:pPr>
      <w:r>
        <w:t>140.6 million Americans ages 12 and older currently consumed alcoho</w:t>
      </w:r>
      <w:r>
        <w:t>l, 66.6 million reported at</w:t>
      </w:r>
      <w:r>
        <w:rPr>
          <w:spacing w:val="40"/>
        </w:rPr>
        <w:t xml:space="preserve"> </w:t>
      </w:r>
      <w:r>
        <w:t>least 1 episode of past-month binge drinking (defined as 5 or more drinks on the same occasion on at least 1 day in the past 30 days for men and 4 or more drinks on the same occasion on at least 1 day</w:t>
      </w:r>
      <w:r>
        <w:rPr>
          <w:spacing w:val="-1"/>
        </w:rPr>
        <w:t xml:space="preserve"> </w:t>
      </w:r>
      <w:r>
        <w:t>in</w:t>
      </w:r>
      <w:r>
        <w:rPr>
          <w:spacing w:val="-3"/>
        </w:rPr>
        <w:t xml:space="preserve"> </w:t>
      </w:r>
      <w:r>
        <w:t>the</w:t>
      </w:r>
      <w:r>
        <w:rPr>
          <w:spacing w:val="-4"/>
        </w:rPr>
        <w:t xml:space="preserve"> </w:t>
      </w:r>
      <w:r>
        <w:t>past</w:t>
      </w:r>
      <w:r>
        <w:rPr>
          <w:spacing w:val="-4"/>
        </w:rPr>
        <w:t xml:space="preserve"> </w:t>
      </w:r>
      <w:r>
        <w:t>30</w:t>
      </w:r>
      <w:r>
        <w:rPr>
          <w:spacing w:val="-4"/>
        </w:rPr>
        <w:t xml:space="preserve"> </w:t>
      </w:r>
      <w:r>
        <w:t>days</w:t>
      </w:r>
      <w:r>
        <w:rPr>
          <w:spacing w:val="-1"/>
        </w:rPr>
        <w:t xml:space="preserve"> </w:t>
      </w:r>
      <w:r>
        <w:t>for</w:t>
      </w:r>
      <w:r>
        <w:rPr>
          <w:spacing w:val="-4"/>
        </w:rPr>
        <w:t xml:space="preserve"> </w:t>
      </w:r>
      <w:r>
        <w:t>wom</w:t>
      </w:r>
      <w:r>
        <w:t>en),</w:t>
      </w:r>
      <w:r>
        <w:rPr>
          <w:spacing w:val="-4"/>
        </w:rPr>
        <w:t xml:space="preserve"> </w:t>
      </w:r>
      <w:r>
        <w:t>and</w:t>
      </w:r>
      <w:r>
        <w:rPr>
          <w:spacing w:val="-3"/>
        </w:rPr>
        <w:t xml:space="preserve"> </w:t>
      </w:r>
      <w:r>
        <w:t>16.7</w:t>
      </w:r>
      <w:r>
        <w:rPr>
          <w:spacing w:val="-3"/>
        </w:rPr>
        <w:t xml:space="preserve"> </w:t>
      </w:r>
      <w:r>
        <w:t>million</w:t>
      </w:r>
      <w:r>
        <w:rPr>
          <w:spacing w:val="-3"/>
        </w:rPr>
        <w:t xml:space="preserve"> </w:t>
      </w:r>
      <w:r>
        <w:t>drank</w:t>
      </w:r>
      <w:r>
        <w:rPr>
          <w:spacing w:val="-1"/>
        </w:rPr>
        <w:t xml:space="preserve"> </w:t>
      </w:r>
      <w:r>
        <w:t>heavily</w:t>
      </w:r>
      <w:r>
        <w:rPr>
          <w:spacing w:val="-1"/>
        </w:rPr>
        <w:t xml:space="preserve"> </w:t>
      </w:r>
      <w:r>
        <w:t>in</w:t>
      </w:r>
      <w:r>
        <w:rPr>
          <w:spacing w:val="-5"/>
        </w:rPr>
        <w:t xml:space="preserve"> </w:t>
      </w:r>
      <w:r>
        <w:t>the</w:t>
      </w:r>
      <w:r>
        <w:rPr>
          <w:spacing w:val="-1"/>
        </w:rPr>
        <w:t xml:space="preserve"> </w:t>
      </w:r>
      <w:r>
        <w:t>previous</w:t>
      </w:r>
      <w:r>
        <w:rPr>
          <w:spacing w:val="-2"/>
        </w:rPr>
        <w:t xml:space="preserve"> </w:t>
      </w:r>
      <w:r>
        <w:t>month</w:t>
      </w:r>
      <w:r>
        <w:rPr>
          <w:spacing w:val="-3"/>
        </w:rPr>
        <w:t xml:space="preserve"> </w:t>
      </w:r>
      <w:r>
        <w:t>(defined</w:t>
      </w:r>
      <w:r>
        <w:rPr>
          <w:spacing w:val="-3"/>
        </w:rPr>
        <w:t xml:space="preserve"> </w:t>
      </w:r>
      <w:r>
        <w:t>as binge drinking on 5 or more days in the past 30 days).</w:t>
      </w:r>
    </w:p>
    <w:p w14:paraId="46AE43EE" w14:textId="77777777" w:rsidR="00DB6E1F" w:rsidRDefault="00F666A6">
      <w:pPr>
        <w:pStyle w:val="ListParagraph"/>
        <w:numPr>
          <w:ilvl w:val="0"/>
          <w:numId w:val="92"/>
        </w:numPr>
        <w:tabs>
          <w:tab w:val="left" w:pos="1797"/>
          <w:tab w:val="left" w:pos="1798"/>
        </w:tabs>
        <w:spacing w:before="61"/>
        <w:rPr>
          <w:rFonts w:ascii="Symbol" w:hAnsi="Symbol"/>
        </w:rPr>
      </w:pPr>
      <w:r>
        <w:t>30.5</w:t>
      </w:r>
      <w:r>
        <w:rPr>
          <w:spacing w:val="-9"/>
        </w:rPr>
        <w:t xml:space="preserve"> </w:t>
      </w:r>
      <w:r>
        <w:t>million</w:t>
      </w:r>
      <w:r>
        <w:rPr>
          <w:spacing w:val="-3"/>
        </w:rPr>
        <w:t xml:space="preserve"> </w:t>
      </w:r>
      <w:r>
        <w:t>people</w:t>
      </w:r>
      <w:r>
        <w:rPr>
          <w:spacing w:val="-4"/>
        </w:rPr>
        <w:t xml:space="preserve"> </w:t>
      </w:r>
      <w:r>
        <w:t>ages</w:t>
      </w:r>
      <w:r>
        <w:rPr>
          <w:spacing w:val="-4"/>
        </w:rPr>
        <w:t xml:space="preserve"> </w:t>
      </w:r>
      <w:r>
        <w:t>12</w:t>
      </w:r>
      <w:r>
        <w:rPr>
          <w:spacing w:val="-3"/>
        </w:rPr>
        <w:t xml:space="preserve"> </w:t>
      </w:r>
      <w:r>
        <w:t>and</w:t>
      </w:r>
      <w:r>
        <w:rPr>
          <w:spacing w:val="-4"/>
        </w:rPr>
        <w:t xml:space="preserve"> </w:t>
      </w:r>
      <w:r>
        <w:t>older</w:t>
      </w:r>
      <w:r>
        <w:rPr>
          <w:spacing w:val="-2"/>
        </w:rPr>
        <w:t xml:space="preserve"> </w:t>
      </w:r>
      <w:r>
        <w:t>had</w:t>
      </w:r>
      <w:r>
        <w:rPr>
          <w:spacing w:val="-3"/>
        </w:rPr>
        <w:t xml:space="preserve"> </w:t>
      </w:r>
      <w:r>
        <w:t>used</w:t>
      </w:r>
      <w:r>
        <w:rPr>
          <w:spacing w:val="-3"/>
        </w:rPr>
        <w:t xml:space="preserve"> </w:t>
      </w:r>
      <w:r>
        <w:t>illicit</w:t>
      </w:r>
      <w:r>
        <w:rPr>
          <w:spacing w:val="-4"/>
        </w:rPr>
        <w:t xml:space="preserve"> </w:t>
      </w:r>
      <w:r>
        <w:t>drugs</w:t>
      </w:r>
      <w:r>
        <w:rPr>
          <w:spacing w:val="-3"/>
        </w:rPr>
        <w:t xml:space="preserve"> </w:t>
      </w:r>
      <w:r>
        <w:t>in</w:t>
      </w:r>
      <w:r>
        <w:rPr>
          <w:spacing w:val="-3"/>
        </w:rPr>
        <w:t xml:space="preserve"> </w:t>
      </w:r>
      <w:r>
        <w:t>the past</w:t>
      </w:r>
      <w:r>
        <w:rPr>
          <w:spacing w:val="-3"/>
        </w:rPr>
        <w:t xml:space="preserve"> </w:t>
      </w:r>
      <w:r>
        <w:rPr>
          <w:spacing w:val="-2"/>
        </w:rPr>
        <w:t>month.</w:t>
      </w:r>
    </w:p>
    <w:p w14:paraId="2670E977" w14:textId="77777777" w:rsidR="00DB6E1F" w:rsidRDefault="00F666A6">
      <w:pPr>
        <w:pStyle w:val="ListParagraph"/>
        <w:numPr>
          <w:ilvl w:val="0"/>
          <w:numId w:val="92"/>
        </w:numPr>
        <w:tabs>
          <w:tab w:val="left" w:pos="1797"/>
          <w:tab w:val="left" w:pos="1798"/>
        </w:tabs>
        <w:spacing w:before="58"/>
        <w:ind w:right="1591" w:hanging="360"/>
        <w:rPr>
          <w:rFonts w:ascii="Symbol" w:hAnsi="Symbol"/>
        </w:rPr>
      </w:pPr>
      <w:r>
        <w:t>11.4</w:t>
      </w:r>
      <w:r>
        <w:rPr>
          <w:spacing w:val="-5"/>
        </w:rPr>
        <w:t xml:space="preserve"> </w:t>
      </w:r>
      <w:r>
        <w:t>million</w:t>
      </w:r>
      <w:r>
        <w:rPr>
          <w:spacing w:val="-3"/>
        </w:rPr>
        <w:t xml:space="preserve"> </w:t>
      </w:r>
      <w:r>
        <w:t>people</w:t>
      </w:r>
      <w:r>
        <w:rPr>
          <w:spacing w:val="-3"/>
        </w:rPr>
        <w:t xml:space="preserve"> </w:t>
      </w:r>
      <w:r>
        <w:t>ages</w:t>
      </w:r>
      <w:r>
        <w:rPr>
          <w:spacing w:val="-4"/>
        </w:rPr>
        <w:t xml:space="preserve"> </w:t>
      </w:r>
      <w:r>
        <w:t>12</w:t>
      </w:r>
      <w:r>
        <w:rPr>
          <w:spacing w:val="-3"/>
        </w:rPr>
        <w:t xml:space="preserve"> </w:t>
      </w:r>
      <w:r>
        <w:t>and</w:t>
      </w:r>
      <w:r>
        <w:rPr>
          <w:spacing w:val="-3"/>
        </w:rPr>
        <w:t xml:space="preserve"> </w:t>
      </w:r>
      <w:r>
        <w:t>older</w:t>
      </w:r>
      <w:r>
        <w:rPr>
          <w:spacing w:val="-3"/>
        </w:rPr>
        <w:t xml:space="preserve"> </w:t>
      </w:r>
      <w:r>
        <w:t>misused</w:t>
      </w:r>
      <w:r>
        <w:rPr>
          <w:spacing w:val="-3"/>
        </w:rPr>
        <w:t xml:space="preserve"> </w:t>
      </w:r>
      <w:r>
        <w:t>opioids</w:t>
      </w:r>
      <w:r>
        <w:rPr>
          <w:spacing w:val="-3"/>
        </w:rPr>
        <w:t xml:space="preserve"> </w:t>
      </w:r>
      <w:r>
        <w:t>(defined</w:t>
      </w:r>
      <w:r>
        <w:rPr>
          <w:spacing w:val="-3"/>
        </w:rPr>
        <w:t xml:space="preserve"> </w:t>
      </w:r>
      <w:r>
        <w:t>as</w:t>
      </w:r>
      <w:r>
        <w:rPr>
          <w:spacing w:val="-2"/>
        </w:rPr>
        <w:t xml:space="preserve"> </w:t>
      </w:r>
      <w:r>
        <w:t>prescription</w:t>
      </w:r>
      <w:r>
        <w:rPr>
          <w:spacing w:val="-3"/>
        </w:rPr>
        <w:t xml:space="preserve"> </w:t>
      </w:r>
      <w:r>
        <w:t>pain</w:t>
      </w:r>
      <w:r>
        <w:rPr>
          <w:spacing w:val="-3"/>
        </w:rPr>
        <w:t xml:space="preserve"> </w:t>
      </w:r>
      <w:r>
        <w:t>reliever</w:t>
      </w:r>
      <w:r>
        <w:rPr>
          <w:spacing w:val="-3"/>
        </w:rPr>
        <w:t xml:space="preserve"> </w:t>
      </w:r>
      <w:r>
        <w:t>misuse or heroin use) in the past year.</w:t>
      </w:r>
    </w:p>
    <w:p w14:paraId="54B93233" w14:textId="77777777" w:rsidR="00DB6E1F" w:rsidRDefault="00F666A6">
      <w:pPr>
        <w:pStyle w:val="ListParagraph"/>
        <w:numPr>
          <w:ilvl w:val="0"/>
          <w:numId w:val="92"/>
        </w:numPr>
        <w:tabs>
          <w:tab w:val="left" w:pos="1797"/>
          <w:tab w:val="left" w:pos="1798"/>
        </w:tabs>
        <w:spacing w:before="61"/>
        <w:ind w:right="1880" w:hanging="360"/>
        <w:rPr>
          <w:rFonts w:ascii="Symbol" w:hAnsi="Symbol"/>
        </w:rPr>
      </w:pPr>
      <w:r>
        <w:t>8.5</w:t>
      </w:r>
      <w:r>
        <w:rPr>
          <w:spacing w:val="-2"/>
        </w:rPr>
        <w:t xml:space="preserve"> </w:t>
      </w:r>
      <w:r>
        <w:t>million</w:t>
      </w:r>
      <w:r>
        <w:rPr>
          <w:spacing w:val="-4"/>
        </w:rPr>
        <w:t xml:space="preserve"> </w:t>
      </w:r>
      <w:r>
        <w:t>adults</w:t>
      </w:r>
      <w:r>
        <w:rPr>
          <w:spacing w:val="-1"/>
        </w:rPr>
        <w:t xml:space="preserve"> </w:t>
      </w:r>
      <w:r>
        <w:t>ages</w:t>
      </w:r>
      <w:r>
        <w:rPr>
          <w:spacing w:val="-3"/>
        </w:rPr>
        <w:t xml:space="preserve"> </w:t>
      </w:r>
      <w:r>
        <w:t>18 and</w:t>
      </w:r>
      <w:r>
        <w:rPr>
          <w:spacing w:val="-2"/>
        </w:rPr>
        <w:t xml:space="preserve"> </w:t>
      </w:r>
      <w:r>
        <w:t>older</w:t>
      </w:r>
      <w:r>
        <w:rPr>
          <w:spacing w:val="-1"/>
        </w:rPr>
        <w:t xml:space="preserve"> </w:t>
      </w:r>
      <w:r>
        <w:t>(3.4</w:t>
      </w:r>
      <w:r>
        <w:rPr>
          <w:spacing w:val="-3"/>
        </w:rPr>
        <w:t xml:space="preserve"> </w:t>
      </w:r>
      <w:r>
        <w:t>percent</w:t>
      </w:r>
      <w:r>
        <w:rPr>
          <w:spacing w:val="-1"/>
        </w:rPr>
        <w:t xml:space="preserve"> </w:t>
      </w:r>
      <w:r>
        <w:t>of</w:t>
      </w:r>
      <w:r>
        <w:rPr>
          <w:spacing w:val="-4"/>
        </w:rPr>
        <w:t xml:space="preserve"> </w:t>
      </w:r>
      <w:r>
        <w:t>all</w:t>
      </w:r>
      <w:r>
        <w:rPr>
          <w:spacing w:val="-4"/>
        </w:rPr>
        <w:t xml:space="preserve"> </w:t>
      </w:r>
      <w:r>
        <w:t>adults)</w:t>
      </w:r>
      <w:r>
        <w:rPr>
          <w:spacing w:val="-1"/>
        </w:rPr>
        <w:t xml:space="preserve"> </w:t>
      </w:r>
      <w:r>
        <w:t>had both</w:t>
      </w:r>
      <w:r>
        <w:rPr>
          <w:spacing w:val="-3"/>
        </w:rPr>
        <w:t xml:space="preserve"> </w:t>
      </w:r>
      <w:r>
        <w:t>a</w:t>
      </w:r>
      <w:r>
        <w:rPr>
          <w:spacing w:val="-4"/>
        </w:rPr>
        <w:t xml:space="preserve"> </w:t>
      </w:r>
      <w:r>
        <w:t>mental</w:t>
      </w:r>
      <w:r>
        <w:rPr>
          <w:spacing w:val="-6"/>
        </w:rPr>
        <w:t xml:space="preserve"> </w:t>
      </w:r>
      <w:r>
        <w:t>disorder</w:t>
      </w:r>
      <w:r>
        <w:rPr>
          <w:spacing w:val="-1"/>
        </w:rPr>
        <w:t xml:space="preserve"> </w:t>
      </w:r>
      <w:r>
        <w:t>and</w:t>
      </w:r>
      <w:r>
        <w:rPr>
          <w:spacing w:val="-2"/>
        </w:rPr>
        <w:t xml:space="preserve"> </w:t>
      </w:r>
      <w:r>
        <w:t>at least 1 past-year SUD.</w:t>
      </w:r>
    </w:p>
    <w:p w14:paraId="5FC7C2AA" w14:textId="77777777" w:rsidR="00DB6E1F" w:rsidRDefault="00F666A6">
      <w:pPr>
        <w:pStyle w:val="ListParagraph"/>
        <w:numPr>
          <w:ilvl w:val="0"/>
          <w:numId w:val="92"/>
        </w:numPr>
        <w:tabs>
          <w:tab w:val="left" w:pos="1797"/>
          <w:tab w:val="left" w:pos="1798"/>
        </w:tabs>
        <w:spacing w:before="61"/>
        <w:rPr>
          <w:rFonts w:ascii="Symbol" w:hAnsi="Symbol"/>
        </w:rPr>
      </w:pPr>
      <w:r>
        <w:t>18.2</w:t>
      </w:r>
      <w:r>
        <w:rPr>
          <w:spacing w:val="-10"/>
        </w:rPr>
        <w:t xml:space="preserve"> </w:t>
      </w:r>
      <w:r>
        <w:t>million</w:t>
      </w:r>
      <w:r>
        <w:rPr>
          <w:spacing w:val="-5"/>
        </w:rPr>
        <w:t xml:space="preserve"> </w:t>
      </w:r>
      <w:r>
        <w:t>people</w:t>
      </w:r>
      <w:r>
        <w:rPr>
          <w:spacing w:val="-5"/>
        </w:rPr>
        <w:t xml:space="preserve"> </w:t>
      </w:r>
      <w:r>
        <w:t>who</w:t>
      </w:r>
      <w:r>
        <w:rPr>
          <w:spacing w:val="-5"/>
        </w:rPr>
        <w:t xml:space="preserve"> </w:t>
      </w:r>
      <w:r>
        <w:t>needed</w:t>
      </w:r>
      <w:r>
        <w:rPr>
          <w:spacing w:val="-4"/>
        </w:rPr>
        <w:t xml:space="preserve"> </w:t>
      </w:r>
      <w:r>
        <w:t>SUD</w:t>
      </w:r>
      <w:r>
        <w:rPr>
          <w:spacing w:val="-5"/>
        </w:rPr>
        <w:t xml:space="preserve"> </w:t>
      </w:r>
      <w:r>
        <w:t>treatment</w:t>
      </w:r>
      <w:r>
        <w:rPr>
          <w:spacing w:val="-2"/>
        </w:rPr>
        <w:t xml:space="preserve"> </w:t>
      </w:r>
      <w:r>
        <w:t>did</w:t>
      </w:r>
      <w:r>
        <w:rPr>
          <w:spacing w:val="-5"/>
        </w:rPr>
        <w:t xml:space="preserve"> </w:t>
      </w:r>
      <w:r>
        <w:t>not</w:t>
      </w:r>
      <w:r>
        <w:rPr>
          <w:spacing w:val="-3"/>
        </w:rPr>
        <w:t xml:space="preserve"> </w:t>
      </w:r>
      <w:r>
        <w:t>receive</w:t>
      </w:r>
      <w:r>
        <w:rPr>
          <w:spacing w:val="-3"/>
        </w:rPr>
        <w:t xml:space="preserve"> </w:t>
      </w:r>
      <w:r>
        <w:t>specialty</w:t>
      </w:r>
      <w:r>
        <w:rPr>
          <w:spacing w:val="-4"/>
        </w:rPr>
        <w:t xml:space="preserve"> </w:t>
      </w:r>
      <w:r>
        <w:rPr>
          <w:spacing w:val="-2"/>
        </w:rPr>
        <w:t>treatment.</w:t>
      </w:r>
    </w:p>
    <w:p w14:paraId="0D83E26E" w14:textId="77777777" w:rsidR="00DB6E1F" w:rsidRDefault="00F666A6">
      <w:pPr>
        <w:pStyle w:val="ListParagraph"/>
        <w:numPr>
          <w:ilvl w:val="0"/>
          <w:numId w:val="92"/>
        </w:numPr>
        <w:tabs>
          <w:tab w:val="left" w:pos="1797"/>
          <w:tab w:val="left" w:pos="1798"/>
        </w:tabs>
        <w:spacing w:before="58"/>
        <w:ind w:right="1702"/>
        <w:rPr>
          <w:rFonts w:ascii="Symbol" w:hAnsi="Symbol"/>
        </w:rPr>
      </w:pPr>
      <w:r>
        <w:t>One</w:t>
      </w:r>
      <w:r>
        <w:rPr>
          <w:spacing w:val="-1"/>
        </w:rPr>
        <w:t xml:space="preserve"> </w:t>
      </w:r>
      <w:r>
        <w:t>in</w:t>
      </w:r>
      <w:r>
        <w:rPr>
          <w:spacing w:val="-3"/>
        </w:rPr>
        <w:t xml:space="preserve"> </w:t>
      </w:r>
      <w:r>
        <w:t>three</w:t>
      </w:r>
      <w:r>
        <w:rPr>
          <w:spacing w:val="-1"/>
        </w:rPr>
        <w:t xml:space="preserve"> </w:t>
      </w:r>
      <w:r>
        <w:t>people</w:t>
      </w:r>
      <w:r>
        <w:rPr>
          <w:spacing w:val="-4"/>
        </w:rPr>
        <w:t xml:space="preserve"> </w:t>
      </w:r>
      <w:r>
        <w:t>who</w:t>
      </w:r>
      <w:r>
        <w:rPr>
          <w:spacing w:val="-3"/>
        </w:rPr>
        <w:t xml:space="preserve"> </w:t>
      </w:r>
      <w:r>
        <w:t>perceived</w:t>
      </w:r>
      <w:r>
        <w:rPr>
          <w:spacing w:val="-3"/>
        </w:rPr>
        <w:t xml:space="preserve"> </w:t>
      </w:r>
      <w:r>
        <w:t>a</w:t>
      </w:r>
      <w:r>
        <w:rPr>
          <w:spacing w:val="-2"/>
        </w:rPr>
        <w:t xml:space="preserve"> </w:t>
      </w:r>
      <w:r>
        <w:t>need</w:t>
      </w:r>
      <w:r>
        <w:rPr>
          <w:spacing w:val="-3"/>
        </w:rPr>
        <w:t xml:space="preserve"> </w:t>
      </w:r>
      <w:r>
        <w:t>for</w:t>
      </w:r>
      <w:r>
        <w:rPr>
          <w:spacing w:val="-1"/>
        </w:rPr>
        <w:t xml:space="preserve"> </w:t>
      </w:r>
      <w:r>
        <w:t>substance</w:t>
      </w:r>
      <w:r>
        <w:rPr>
          <w:spacing w:val="-1"/>
        </w:rPr>
        <w:t xml:space="preserve"> </w:t>
      </w:r>
      <w:r>
        <w:t>use</w:t>
      </w:r>
      <w:r>
        <w:rPr>
          <w:spacing w:val="-3"/>
        </w:rPr>
        <w:t xml:space="preserve"> </w:t>
      </w:r>
      <w:r>
        <w:t>treatment</w:t>
      </w:r>
      <w:r>
        <w:rPr>
          <w:spacing w:val="-1"/>
        </w:rPr>
        <w:t xml:space="preserve"> </w:t>
      </w:r>
      <w:r>
        <w:t>did</w:t>
      </w:r>
      <w:r>
        <w:rPr>
          <w:spacing w:val="-3"/>
        </w:rPr>
        <w:t xml:space="preserve"> </w:t>
      </w:r>
      <w:r>
        <w:t>not</w:t>
      </w:r>
      <w:r>
        <w:rPr>
          <w:spacing w:val="-1"/>
        </w:rPr>
        <w:t xml:space="preserve"> </w:t>
      </w:r>
      <w:r>
        <w:t>receive</w:t>
      </w:r>
      <w:r>
        <w:rPr>
          <w:spacing w:val="-2"/>
        </w:rPr>
        <w:t xml:space="preserve"> </w:t>
      </w:r>
      <w:r>
        <w:t>it</w:t>
      </w:r>
      <w:r>
        <w:rPr>
          <w:spacing w:val="-4"/>
        </w:rPr>
        <w:t xml:space="preserve"> </w:t>
      </w:r>
      <w:r>
        <w:t>because they lacked healthcare coverage and could not afford treatment.</w:t>
      </w:r>
    </w:p>
    <w:p w14:paraId="1792544E" w14:textId="77777777" w:rsidR="00DB6E1F" w:rsidRDefault="00F666A6">
      <w:pPr>
        <w:pStyle w:val="ListParagraph"/>
        <w:numPr>
          <w:ilvl w:val="0"/>
          <w:numId w:val="92"/>
        </w:numPr>
        <w:tabs>
          <w:tab w:val="left" w:pos="1797"/>
          <w:tab w:val="left" w:pos="1798"/>
        </w:tabs>
        <w:ind w:right="1828" w:hanging="360"/>
        <w:rPr>
          <w:rFonts w:ascii="Symbol" w:hAnsi="Symbol"/>
        </w:rPr>
      </w:pPr>
      <w:r>
        <w:t>Two</w:t>
      </w:r>
      <w:r>
        <w:rPr>
          <w:spacing w:val="-3"/>
        </w:rPr>
        <w:t xml:space="preserve"> </w:t>
      </w:r>
      <w:r>
        <w:t>in</w:t>
      </w:r>
      <w:r>
        <w:rPr>
          <w:spacing w:val="-3"/>
        </w:rPr>
        <w:t xml:space="preserve"> </w:t>
      </w:r>
      <w:r>
        <w:t>five</w:t>
      </w:r>
      <w:r>
        <w:rPr>
          <w:spacing w:val="-1"/>
        </w:rPr>
        <w:t xml:space="preserve"> </w:t>
      </w:r>
      <w:r>
        <w:t>people</w:t>
      </w:r>
      <w:r>
        <w:rPr>
          <w:spacing w:val="-4"/>
        </w:rPr>
        <w:t xml:space="preserve"> </w:t>
      </w:r>
      <w:r>
        <w:t>who</w:t>
      </w:r>
      <w:r>
        <w:rPr>
          <w:spacing w:val="-3"/>
        </w:rPr>
        <w:t xml:space="preserve"> </w:t>
      </w:r>
      <w:r>
        <w:t>perceived</w:t>
      </w:r>
      <w:r>
        <w:rPr>
          <w:spacing w:val="-3"/>
        </w:rPr>
        <w:t xml:space="preserve"> </w:t>
      </w:r>
      <w:r>
        <w:t>a</w:t>
      </w:r>
      <w:r>
        <w:rPr>
          <w:spacing w:val="-2"/>
        </w:rPr>
        <w:t xml:space="preserve"> </w:t>
      </w:r>
      <w:r>
        <w:t>need</w:t>
      </w:r>
      <w:r>
        <w:rPr>
          <w:spacing w:val="-3"/>
        </w:rPr>
        <w:t xml:space="preserve"> </w:t>
      </w:r>
      <w:r>
        <w:t>for</w:t>
      </w:r>
      <w:r>
        <w:rPr>
          <w:spacing w:val="-3"/>
        </w:rPr>
        <w:t xml:space="preserve"> </w:t>
      </w:r>
      <w:r>
        <w:t>addiction</w:t>
      </w:r>
      <w:r>
        <w:rPr>
          <w:spacing w:val="-2"/>
        </w:rPr>
        <w:t xml:space="preserve"> </w:t>
      </w:r>
      <w:r>
        <w:t>treatment</w:t>
      </w:r>
      <w:r>
        <w:rPr>
          <w:spacing w:val="-1"/>
        </w:rPr>
        <w:t xml:space="preserve"> </w:t>
      </w:r>
      <w:r>
        <w:t>did</w:t>
      </w:r>
      <w:r>
        <w:rPr>
          <w:spacing w:val="-3"/>
        </w:rPr>
        <w:t xml:space="preserve"> </w:t>
      </w:r>
      <w:r>
        <w:t>not</w:t>
      </w:r>
      <w:r>
        <w:rPr>
          <w:spacing w:val="-1"/>
        </w:rPr>
        <w:t xml:space="preserve"> </w:t>
      </w:r>
      <w:r>
        <w:t>receive</w:t>
      </w:r>
      <w:r>
        <w:rPr>
          <w:spacing w:val="-2"/>
        </w:rPr>
        <w:t xml:space="preserve"> </w:t>
      </w:r>
      <w:r>
        <w:t>it</w:t>
      </w:r>
      <w:r>
        <w:rPr>
          <w:spacing w:val="-1"/>
        </w:rPr>
        <w:t xml:space="preserve"> </w:t>
      </w:r>
      <w:r>
        <w:t>because</w:t>
      </w:r>
      <w:r>
        <w:rPr>
          <w:spacing w:val="-4"/>
        </w:rPr>
        <w:t xml:space="preserve"> </w:t>
      </w:r>
      <w:r>
        <w:t>they were not ready to stop using substances.</w:t>
      </w:r>
    </w:p>
    <w:p w14:paraId="63B8EC9B" w14:textId="77777777" w:rsidR="00DB6E1F" w:rsidRDefault="00F666A6">
      <w:pPr>
        <w:pStyle w:val="BodyText"/>
        <w:spacing w:before="159"/>
        <w:ind w:left="1437" w:right="1491"/>
      </w:pPr>
      <w:r>
        <w:t>Millions</w:t>
      </w:r>
      <w:r>
        <w:rPr>
          <w:spacing w:val="-4"/>
        </w:rPr>
        <w:t xml:space="preserve"> </w:t>
      </w:r>
      <w:r>
        <w:t>of</w:t>
      </w:r>
      <w:r>
        <w:rPr>
          <w:spacing w:val="-2"/>
        </w:rPr>
        <w:t xml:space="preserve"> </w:t>
      </w:r>
      <w:r>
        <w:t>people</w:t>
      </w:r>
      <w:r>
        <w:rPr>
          <w:spacing w:val="-4"/>
        </w:rPr>
        <w:t xml:space="preserve"> </w:t>
      </w:r>
      <w:r>
        <w:t>in</w:t>
      </w:r>
      <w:r>
        <w:rPr>
          <w:spacing w:val="-3"/>
        </w:rPr>
        <w:t xml:space="preserve"> </w:t>
      </w:r>
      <w:r>
        <w:t>the</w:t>
      </w:r>
      <w:r>
        <w:rPr>
          <w:spacing w:val="-4"/>
        </w:rPr>
        <w:t xml:space="preserve"> </w:t>
      </w:r>
      <w:r>
        <w:t>United</w:t>
      </w:r>
      <w:r>
        <w:rPr>
          <w:spacing w:val="-3"/>
        </w:rPr>
        <w:t xml:space="preserve"> </w:t>
      </w:r>
      <w:r>
        <w:t>States</w:t>
      </w:r>
      <w:r>
        <w:rPr>
          <w:spacing w:val="-2"/>
        </w:rPr>
        <w:t xml:space="preserve"> </w:t>
      </w:r>
      <w:r>
        <w:t>with</w:t>
      </w:r>
      <w:r>
        <w:rPr>
          <w:spacing w:val="-3"/>
        </w:rPr>
        <w:t xml:space="preserve"> </w:t>
      </w:r>
      <w:r>
        <w:t>SUDs</w:t>
      </w:r>
      <w:r>
        <w:rPr>
          <w:spacing w:val="-2"/>
        </w:rPr>
        <w:t xml:space="preserve"> </w:t>
      </w:r>
      <w:r>
        <w:t>are</w:t>
      </w:r>
      <w:r>
        <w:rPr>
          <w:spacing w:val="-6"/>
        </w:rPr>
        <w:t xml:space="preserve"> </w:t>
      </w:r>
      <w:r>
        <w:t>not</w:t>
      </w:r>
      <w:r>
        <w:rPr>
          <w:spacing w:val="-1"/>
        </w:rPr>
        <w:t xml:space="preserve"> </w:t>
      </w:r>
      <w:r>
        <w:t>receiving</w:t>
      </w:r>
      <w:r>
        <w:rPr>
          <w:spacing w:val="-3"/>
        </w:rPr>
        <w:t xml:space="preserve"> </w:t>
      </w:r>
      <w:r>
        <w:t>treatment.</w:t>
      </w:r>
      <w:r>
        <w:rPr>
          <w:spacing w:val="-5"/>
        </w:rPr>
        <w:t xml:space="preserve"> </w:t>
      </w:r>
      <w:r>
        <w:t>Many</w:t>
      </w:r>
      <w:r>
        <w:rPr>
          <w:spacing w:val="-1"/>
        </w:rPr>
        <w:t xml:space="preserve"> </w:t>
      </w:r>
      <w:r>
        <w:t>are</w:t>
      </w:r>
      <w:r>
        <w:rPr>
          <w:spacing w:val="-1"/>
        </w:rPr>
        <w:t xml:space="preserve"> </w:t>
      </w:r>
      <w:r>
        <w:t>not</w:t>
      </w:r>
      <w:r>
        <w:rPr>
          <w:spacing w:val="-4"/>
        </w:rPr>
        <w:t xml:space="preserve"> </w:t>
      </w:r>
      <w:r>
        <w:t>seeking treatment because their motivation to change their substance us</w:t>
      </w:r>
      <w:r>
        <w:t>e behaviors is low.</w:t>
      </w:r>
    </w:p>
    <w:p w14:paraId="4859DFF5" w14:textId="77777777" w:rsidR="00DB6E1F" w:rsidRDefault="00F666A6">
      <w:pPr>
        <w:pStyle w:val="BodyText"/>
        <w:spacing w:before="162"/>
        <w:ind w:left="1436" w:right="1491"/>
      </w:pPr>
      <w:r>
        <w:t>The</w:t>
      </w:r>
      <w:r>
        <w:rPr>
          <w:spacing w:val="-5"/>
        </w:rPr>
        <w:t xml:space="preserve"> </w:t>
      </w:r>
      <w:r>
        <w:t>motivation-enhancing</w:t>
      </w:r>
      <w:r>
        <w:rPr>
          <w:spacing w:val="-5"/>
        </w:rPr>
        <w:t xml:space="preserve"> </w:t>
      </w:r>
      <w:r>
        <w:t>approaches</w:t>
      </w:r>
      <w:r>
        <w:rPr>
          <w:spacing w:val="-5"/>
        </w:rPr>
        <w:t xml:space="preserve"> </w:t>
      </w:r>
      <w:r>
        <w:t>and</w:t>
      </w:r>
      <w:r>
        <w:rPr>
          <w:spacing w:val="-4"/>
        </w:rPr>
        <w:t xml:space="preserve"> </w:t>
      </w:r>
      <w:r>
        <w:t>strategies</w:t>
      </w:r>
      <w:r>
        <w:rPr>
          <w:spacing w:val="-5"/>
        </w:rPr>
        <w:t xml:space="preserve"> </w:t>
      </w:r>
      <w:r>
        <w:t>this</w:t>
      </w:r>
      <w:r>
        <w:rPr>
          <w:spacing w:val="-3"/>
        </w:rPr>
        <w:t xml:space="preserve"> </w:t>
      </w:r>
      <w:r>
        <w:t>TIP</w:t>
      </w:r>
      <w:r>
        <w:rPr>
          <w:spacing w:val="-4"/>
        </w:rPr>
        <w:t xml:space="preserve"> </w:t>
      </w:r>
      <w:r>
        <w:t>describes</w:t>
      </w:r>
      <w:r>
        <w:rPr>
          <w:spacing w:val="-3"/>
        </w:rPr>
        <w:t xml:space="preserve"> </w:t>
      </w:r>
      <w:r>
        <w:t>can</w:t>
      </w:r>
      <w:r>
        <w:rPr>
          <w:spacing w:val="-4"/>
        </w:rPr>
        <w:t xml:space="preserve"> </w:t>
      </w:r>
      <w:r>
        <w:t>increase</w:t>
      </w:r>
      <w:r>
        <w:rPr>
          <w:spacing w:val="-2"/>
        </w:rPr>
        <w:t xml:space="preserve"> </w:t>
      </w:r>
      <w:r>
        <w:t>participation</w:t>
      </w:r>
      <w:r>
        <w:rPr>
          <w:spacing w:val="-4"/>
        </w:rPr>
        <w:t xml:space="preserve"> </w:t>
      </w:r>
      <w:r>
        <w:t>and retention in SUD treatment and positive treatment outcomes, including:</w:t>
      </w:r>
    </w:p>
    <w:p w14:paraId="3AF19830" w14:textId="77777777" w:rsidR="00DB6E1F" w:rsidRDefault="00F666A6">
      <w:pPr>
        <w:pStyle w:val="ListParagraph"/>
        <w:numPr>
          <w:ilvl w:val="0"/>
          <w:numId w:val="92"/>
        </w:numPr>
        <w:tabs>
          <w:tab w:val="left" w:pos="1797"/>
          <w:tab w:val="left" w:pos="1798"/>
        </w:tabs>
        <w:rPr>
          <w:rFonts w:ascii="Symbol" w:hAnsi="Symbol"/>
        </w:rPr>
      </w:pPr>
      <w:r>
        <w:t>Reductions</w:t>
      </w:r>
      <w:r>
        <w:rPr>
          <w:spacing w:val="-5"/>
        </w:rPr>
        <w:t xml:space="preserve"> </w:t>
      </w:r>
      <w:r>
        <w:t>in</w:t>
      </w:r>
      <w:r>
        <w:rPr>
          <w:spacing w:val="-4"/>
        </w:rPr>
        <w:t xml:space="preserve"> </w:t>
      </w:r>
      <w:r>
        <w:t>alcohol</w:t>
      </w:r>
      <w:r>
        <w:rPr>
          <w:spacing w:val="-5"/>
        </w:rPr>
        <w:t xml:space="preserve"> </w:t>
      </w:r>
      <w:r>
        <w:t>and</w:t>
      </w:r>
      <w:r>
        <w:rPr>
          <w:spacing w:val="-4"/>
        </w:rPr>
        <w:t xml:space="preserve"> </w:t>
      </w:r>
      <w:r>
        <w:t>drug</w:t>
      </w:r>
      <w:r>
        <w:rPr>
          <w:spacing w:val="-3"/>
        </w:rPr>
        <w:t xml:space="preserve"> </w:t>
      </w:r>
      <w:r>
        <w:rPr>
          <w:spacing w:val="-4"/>
        </w:rPr>
        <w:t>use.</w:t>
      </w:r>
    </w:p>
    <w:p w14:paraId="61684FA3" w14:textId="77777777" w:rsidR="00DB6E1F" w:rsidRDefault="00F666A6">
      <w:pPr>
        <w:pStyle w:val="ListParagraph"/>
        <w:numPr>
          <w:ilvl w:val="0"/>
          <w:numId w:val="92"/>
        </w:numPr>
        <w:tabs>
          <w:tab w:val="left" w:pos="1797"/>
          <w:tab w:val="left" w:pos="1798"/>
        </w:tabs>
        <w:spacing w:before="61"/>
        <w:rPr>
          <w:rFonts w:ascii="Symbol" w:hAnsi="Symbol"/>
        </w:rPr>
      </w:pPr>
      <w:r>
        <w:t>Higher</w:t>
      </w:r>
      <w:r>
        <w:rPr>
          <w:spacing w:val="-6"/>
        </w:rPr>
        <w:t xml:space="preserve"> </w:t>
      </w:r>
      <w:r>
        <w:t>abstinence</w:t>
      </w:r>
      <w:r>
        <w:rPr>
          <w:spacing w:val="-6"/>
        </w:rPr>
        <w:t xml:space="preserve"> </w:t>
      </w:r>
      <w:r>
        <w:rPr>
          <w:spacing w:val="-2"/>
        </w:rPr>
        <w:t>rates.</w:t>
      </w:r>
    </w:p>
    <w:p w14:paraId="79C4171F" w14:textId="77777777" w:rsidR="00DB6E1F" w:rsidRDefault="00F666A6">
      <w:pPr>
        <w:pStyle w:val="ListParagraph"/>
        <w:numPr>
          <w:ilvl w:val="0"/>
          <w:numId w:val="92"/>
        </w:numPr>
        <w:tabs>
          <w:tab w:val="left" w:pos="1797"/>
          <w:tab w:val="left" w:pos="1798"/>
        </w:tabs>
        <w:spacing w:before="55"/>
        <w:rPr>
          <w:rFonts w:ascii="Symbol" w:hAnsi="Symbol"/>
        </w:rPr>
      </w:pPr>
      <w:r>
        <w:t>Successful</w:t>
      </w:r>
      <w:r>
        <w:rPr>
          <w:spacing w:val="-4"/>
        </w:rPr>
        <w:t xml:space="preserve"> </w:t>
      </w:r>
      <w:r>
        <w:t>referrals</w:t>
      </w:r>
      <w:r>
        <w:rPr>
          <w:spacing w:val="-6"/>
        </w:rPr>
        <w:t xml:space="preserve"> </w:t>
      </w:r>
      <w:r>
        <w:t>to</w:t>
      </w:r>
      <w:r>
        <w:rPr>
          <w:spacing w:val="-4"/>
        </w:rPr>
        <w:t xml:space="preserve"> </w:t>
      </w:r>
      <w:r>
        <w:rPr>
          <w:spacing w:val="-2"/>
        </w:rPr>
        <w:t>treatment.</w:t>
      </w:r>
    </w:p>
    <w:p w14:paraId="72B80A94" w14:textId="77777777" w:rsidR="00DB6E1F" w:rsidRDefault="00F666A6">
      <w:pPr>
        <w:pStyle w:val="BodyText"/>
        <w:spacing w:before="164"/>
        <w:ind w:left="1437" w:right="1491"/>
      </w:pPr>
      <w:r>
        <w:t>This</w:t>
      </w:r>
      <w:r>
        <w:rPr>
          <w:spacing w:val="-3"/>
        </w:rPr>
        <w:t xml:space="preserve"> </w:t>
      </w:r>
      <w:r>
        <w:t>TIP</w:t>
      </w:r>
      <w:r>
        <w:rPr>
          <w:spacing w:val="-4"/>
        </w:rPr>
        <w:t xml:space="preserve"> </w:t>
      </w:r>
      <w:r>
        <w:t>shows</w:t>
      </w:r>
      <w:r>
        <w:rPr>
          <w:spacing w:val="-3"/>
        </w:rPr>
        <w:t xml:space="preserve"> </w:t>
      </w:r>
      <w:r>
        <w:t>how</w:t>
      </w:r>
      <w:r>
        <w:rPr>
          <w:spacing w:val="-2"/>
        </w:rPr>
        <w:t xml:space="preserve"> </w:t>
      </w:r>
      <w:r>
        <w:t>SUD</w:t>
      </w:r>
      <w:r>
        <w:rPr>
          <w:spacing w:val="-4"/>
        </w:rPr>
        <w:t xml:space="preserve"> </w:t>
      </w:r>
      <w:r>
        <w:t>treatment</w:t>
      </w:r>
      <w:r>
        <w:rPr>
          <w:spacing w:val="-5"/>
        </w:rPr>
        <w:t xml:space="preserve"> </w:t>
      </w:r>
      <w:r>
        <w:t>counselors</w:t>
      </w:r>
      <w:r>
        <w:rPr>
          <w:spacing w:val="-5"/>
        </w:rPr>
        <w:t xml:space="preserve"> </w:t>
      </w:r>
      <w:r>
        <w:t>can</w:t>
      </w:r>
      <w:r>
        <w:rPr>
          <w:spacing w:val="-4"/>
        </w:rPr>
        <w:t xml:space="preserve"> </w:t>
      </w:r>
      <w:r>
        <w:t>influence</w:t>
      </w:r>
      <w:r>
        <w:rPr>
          <w:spacing w:val="-2"/>
        </w:rPr>
        <w:t xml:space="preserve"> </w:t>
      </w:r>
      <w:r>
        <w:t>positive</w:t>
      </w:r>
      <w:r>
        <w:rPr>
          <w:spacing w:val="-2"/>
        </w:rPr>
        <w:t xml:space="preserve"> </w:t>
      </w:r>
      <w:r>
        <w:t>behavior</w:t>
      </w:r>
      <w:r>
        <w:rPr>
          <w:spacing w:val="-5"/>
        </w:rPr>
        <w:t xml:space="preserve"> </w:t>
      </w:r>
      <w:r>
        <w:t>change</w:t>
      </w:r>
      <w:r>
        <w:rPr>
          <w:spacing w:val="-2"/>
        </w:rPr>
        <w:t xml:space="preserve"> </w:t>
      </w:r>
      <w:r>
        <w:t>by</w:t>
      </w:r>
      <w:r>
        <w:rPr>
          <w:spacing w:val="-2"/>
        </w:rPr>
        <w:t xml:space="preserve"> </w:t>
      </w:r>
      <w:r>
        <w:t>developing</w:t>
      </w:r>
      <w:r>
        <w:rPr>
          <w:spacing w:val="-4"/>
        </w:rPr>
        <w:t xml:space="preserve"> </w:t>
      </w:r>
      <w:r>
        <w:t>a therapeutic relationship that respects and builds on the client’s autonomy. Through motivational enhancement, counselors become partners in the client’s change process.</w:t>
      </w:r>
    </w:p>
    <w:p w14:paraId="197AB599" w14:textId="77777777" w:rsidR="00DB6E1F" w:rsidRDefault="00F666A6">
      <w:pPr>
        <w:pStyle w:val="BodyText"/>
        <w:spacing w:before="159"/>
        <w:ind w:left="1437" w:right="1491"/>
      </w:pPr>
      <w:r>
        <w:t>The</w:t>
      </w:r>
      <w:r>
        <w:rPr>
          <w:spacing w:val="-2"/>
        </w:rPr>
        <w:t xml:space="preserve"> </w:t>
      </w:r>
      <w:r>
        <w:t>TIP</w:t>
      </w:r>
      <w:r>
        <w:rPr>
          <w:spacing w:val="-2"/>
        </w:rPr>
        <w:t xml:space="preserve"> </w:t>
      </w:r>
      <w:r>
        <w:t>also</w:t>
      </w:r>
      <w:r>
        <w:rPr>
          <w:spacing w:val="-2"/>
        </w:rPr>
        <w:t xml:space="preserve"> </w:t>
      </w:r>
      <w:r>
        <w:t>describes</w:t>
      </w:r>
      <w:r>
        <w:rPr>
          <w:spacing w:val="-3"/>
        </w:rPr>
        <w:t xml:space="preserve"> </w:t>
      </w:r>
      <w:r>
        <w:t>different</w:t>
      </w:r>
      <w:r>
        <w:rPr>
          <w:spacing w:val="-4"/>
        </w:rPr>
        <w:t xml:space="preserve"> </w:t>
      </w:r>
      <w:r>
        <w:t>motivational</w:t>
      </w:r>
      <w:r>
        <w:rPr>
          <w:spacing w:val="-3"/>
        </w:rPr>
        <w:t xml:space="preserve"> </w:t>
      </w:r>
      <w:r>
        <w:t>interventions</w:t>
      </w:r>
      <w:r>
        <w:rPr>
          <w:spacing w:val="-3"/>
        </w:rPr>
        <w:t xml:space="preserve"> </w:t>
      </w:r>
      <w:r>
        <w:t>coun</w:t>
      </w:r>
      <w:r>
        <w:t>selors</w:t>
      </w:r>
      <w:r>
        <w:rPr>
          <w:spacing w:val="-3"/>
        </w:rPr>
        <w:t xml:space="preserve"> </w:t>
      </w:r>
      <w:r>
        <w:t>can</w:t>
      </w:r>
      <w:r>
        <w:rPr>
          <w:spacing w:val="-5"/>
        </w:rPr>
        <w:t xml:space="preserve"> </w:t>
      </w:r>
      <w:r>
        <w:t>apply</w:t>
      </w:r>
      <w:r>
        <w:rPr>
          <w:spacing w:val="-1"/>
        </w:rPr>
        <w:t xml:space="preserve"> </w:t>
      </w:r>
      <w:r>
        <w:t>to</w:t>
      </w:r>
      <w:r>
        <w:rPr>
          <w:spacing w:val="-2"/>
        </w:rPr>
        <w:t xml:space="preserve"> </w:t>
      </w:r>
      <w:r>
        <w:t>all</w:t>
      </w:r>
      <w:r>
        <w:rPr>
          <w:spacing w:val="-5"/>
        </w:rPr>
        <w:t xml:space="preserve"> </w:t>
      </w:r>
      <w:r>
        <w:t>the</w:t>
      </w:r>
      <w:r>
        <w:rPr>
          <w:spacing w:val="-2"/>
        </w:rPr>
        <w:t xml:space="preserve"> </w:t>
      </w:r>
      <w:r>
        <w:t>stages</w:t>
      </w:r>
      <w:r>
        <w:rPr>
          <w:spacing w:val="-3"/>
        </w:rPr>
        <w:t xml:space="preserve"> </w:t>
      </w:r>
      <w:r>
        <w:t>in</w:t>
      </w:r>
      <w:r>
        <w:rPr>
          <w:spacing w:val="-5"/>
        </w:rPr>
        <w:t xml:space="preserve"> </w:t>
      </w:r>
      <w:r>
        <w:t>the Stages of Change (SOC) model related to substance misuse and recovery from addiction.</w:t>
      </w:r>
    </w:p>
    <w:p w14:paraId="13955C5E" w14:textId="77777777" w:rsidR="00DB6E1F" w:rsidRDefault="00F666A6">
      <w:pPr>
        <w:pStyle w:val="BodyText"/>
        <w:spacing w:before="159"/>
        <w:ind w:left="1437"/>
      </w:pPr>
      <w:r>
        <w:t>A</w:t>
      </w:r>
      <w:r>
        <w:rPr>
          <w:spacing w:val="-5"/>
        </w:rPr>
        <w:t xml:space="preserve"> </w:t>
      </w:r>
      <w:r>
        <w:t>consensus</w:t>
      </w:r>
      <w:r>
        <w:rPr>
          <w:spacing w:val="-5"/>
        </w:rPr>
        <w:t xml:space="preserve"> </w:t>
      </w:r>
      <w:r>
        <w:t>panel</w:t>
      </w:r>
      <w:r>
        <w:rPr>
          <w:spacing w:val="-3"/>
        </w:rPr>
        <w:t xml:space="preserve"> </w:t>
      </w:r>
      <w:r>
        <w:t>developed</w:t>
      </w:r>
      <w:r>
        <w:rPr>
          <w:spacing w:val="-3"/>
        </w:rPr>
        <w:t xml:space="preserve"> </w:t>
      </w:r>
      <w:r>
        <w:t>this</w:t>
      </w:r>
      <w:r>
        <w:rPr>
          <w:spacing w:val="-3"/>
        </w:rPr>
        <w:t xml:space="preserve"> </w:t>
      </w:r>
      <w:r>
        <w:t>TIP’s</w:t>
      </w:r>
      <w:r>
        <w:rPr>
          <w:spacing w:val="-5"/>
        </w:rPr>
        <w:t xml:space="preserve"> </w:t>
      </w:r>
      <w:r>
        <w:t>content</w:t>
      </w:r>
      <w:r>
        <w:rPr>
          <w:spacing w:val="-1"/>
        </w:rPr>
        <w:t xml:space="preserve"> </w:t>
      </w:r>
      <w:r>
        <w:t>based</w:t>
      </w:r>
      <w:r>
        <w:rPr>
          <w:spacing w:val="-6"/>
        </w:rPr>
        <w:t xml:space="preserve"> </w:t>
      </w:r>
      <w:r>
        <w:t>on</w:t>
      </w:r>
      <w:r>
        <w:rPr>
          <w:spacing w:val="-4"/>
        </w:rPr>
        <w:t xml:space="preserve"> </w:t>
      </w:r>
      <w:r>
        <w:t>a</w:t>
      </w:r>
      <w:r>
        <w:rPr>
          <w:spacing w:val="-2"/>
        </w:rPr>
        <w:t xml:space="preserve"> </w:t>
      </w:r>
      <w:r>
        <w:t>review</w:t>
      </w:r>
      <w:r>
        <w:rPr>
          <w:spacing w:val="-5"/>
        </w:rPr>
        <w:t xml:space="preserve"> </w:t>
      </w:r>
      <w:r>
        <w:t>of</w:t>
      </w:r>
      <w:r>
        <w:rPr>
          <w:spacing w:val="-3"/>
        </w:rPr>
        <w:t xml:space="preserve"> </w:t>
      </w:r>
      <w:r>
        <w:t>the</w:t>
      </w:r>
      <w:r>
        <w:rPr>
          <w:spacing w:val="-1"/>
        </w:rPr>
        <w:t xml:space="preserve"> </w:t>
      </w:r>
      <w:r>
        <w:t>literature</w:t>
      </w:r>
      <w:r>
        <w:rPr>
          <w:spacing w:val="-2"/>
        </w:rPr>
        <w:t xml:space="preserve"> </w:t>
      </w:r>
      <w:r>
        <w:t>and</w:t>
      </w:r>
      <w:r>
        <w:rPr>
          <w:spacing w:val="-4"/>
        </w:rPr>
        <w:t xml:space="preserve"> </w:t>
      </w:r>
      <w:r>
        <w:t>on</w:t>
      </w:r>
      <w:r>
        <w:rPr>
          <w:spacing w:val="-3"/>
        </w:rPr>
        <w:t xml:space="preserve"> </w:t>
      </w:r>
      <w:r>
        <w:rPr>
          <w:spacing w:val="-2"/>
        </w:rPr>
        <w:t>panel</w:t>
      </w:r>
    </w:p>
    <w:p w14:paraId="640534F3" w14:textId="77777777" w:rsidR="00DB6E1F" w:rsidRDefault="00DB6E1F">
      <w:pPr>
        <w:sectPr w:rsidR="00DB6E1F">
          <w:pgSz w:w="12240" w:h="15840"/>
          <w:pgMar w:top="960" w:right="0" w:bottom="940" w:left="0" w:header="762" w:footer="602" w:gutter="0"/>
          <w:cols w:space="720"/>
        </w:sectPr>
      </w:pPr>
    </w:p>
    <w:p w14:paraId="36CD2DF6" w14:textId="77777777" w:rsidR="00DB6E1F" w:rsidRDefault="00DB6E1F">
      <w:pPr>
        <w:pStyle w:val="BodyText"/>
        <w:rPr>
          <w:sz w:val="20"/>
        </w:rPr>
      </w:pPr>
    </w:p>
    <w:p w14:paraId="78690E7B" w14:textId="77777777" w:rsidR="00DB6E1F" w:rsidRDefault="00DB6E1F">
      <w:pPr>
        <w:pStyle w:val="BodyText"/>
        <w:spacing w:before="1"/>
        <w:rPr>
          <w:sz w:val="19"/>
        </w:rPr>
      </w:pPr>
    </w:p>
    <w:p w14:paraId="715D75E6" w14:textId="77777777" w:rsidR="00DB6E1F" w:rsidRDefault="00F666A6">
      <w:pPr>
        <w:pStyle w:val="BodyText"/>
        <w:ind w:left="1440" w:right="1491"/>
      </w:pPr>
      <w:r>
        <w:t>members’</w:t>
      </w:r>
      <w:r>
        <w:rPr>
          <w:spacing w:val="-4"/>
        </w:rPr>
        <w:t xml:space="preserve"> </w:t>
      </w:r>
      <w:r>
        <w:t>extensive</w:t>
      </w:r>
      <w:r>
        <w:rPr>
          <w:spacing w:val="-4"/>
        </w:rPr>
        <w:t xml:space="preserve"> </w:t>
      </w:r>
      <w:r>
        <w:t>experience</w:t>
      </w:r>
      <w:r>
        <w:rPr>
          <w:spacing w:val="-1"/>
        </w:rPr>
        <w:t xml:space="preserve"> </w:t>
      </w:r>
      <w:r>
        <w:t>in</w:t>
      </w:r>
      <w:r>
        <w:rPr>
          <w:spacing w:val="-3"/>
        </w:rPr>
        <w:t xml:space="preserve"> </w:t>
      </w:r>
      <w:r>
        <w:t>the</w:t>
      </w:r>
      <w:r>
        <w:rPr>
          <w:spacing w:val="-1"/>
        </w:rPr>
        <w:t xml:space="preserve"> </w:t>
      </w:r>
      <w:r>
        <w:t>field</w:t>
      </w:r>
      <w:r>
        <w:rPr>
          <w:spacing w:val="-5"/>
        </w:rPr>
        <w:t xml:space="preserve"> </w:t>
      </w:r>
      <w:r>
        <w:t>of</w:t>
      </w:r>
      <w:r>
        <w:rPr>
          <w:spacing w:val="-2"/>
        </w:rPr>
        <w:t xml:space="preserve"> </w:t>
      </w:r>
      <w:r>
        <w:t>addiction</w:t>
      </w:r>
      <w:r>
        <w:rPr>
          <w:spacing w:val="-3"/>
        </w:rPr>
        <w:t xml:space="preserve"> </w:t>
      </w:r>
      <w:r>
        <w:t>treatment.</w:t>
      </w:r>
      <w:r>
        <w:rPr>
          <w:spacing w:val="-5"/>
        </w:rPr>
        <w:t xml:space="preserve"> </w:t>
      </w:r>
      <w:r>
        <w:t>Other</w:t>
      </w:r>
      <w:r>
        <w:rPr>
          <w:spacing w:val="-4"/>
        </w:rPr>
        <w:t xml:space="preserve"> </w:t>
      </w:r>
      <w:r>
        <w:t>professionals</w:t>
      </w:r>
      <w:r>
        <w:rPr>
          <w:spacing w:val="-2"/>
        </w:rPr>
        <w:t xml:space="preserve"> </w:t>
      </w:r>
      <w:r>
        <w:t>also</w:t>
      </w:r>
      <w:r>
        <w:rPr>
          <w:spacing w:val="-1"/>
        </w:rPr>
        <w:t xml:space="preserve"> </w:t>
      </w:r>
      <w:r>
        <w:t>generously contributed their time and commitment to this project.</w:t>
      </w:r>
    </w:p>
    <w:p w14:paraId="2980E414" w14:textId="77777777" w:rsidR="00DB6E1F" w:rsidRDefault="00F666A6">
      <w:pPr>
        <w:pStyle w:val="Heading2"/>
        <w:spacing w:before="163"/>
      </w:pPr>
      <w:bookmarkStart w:id="4" w:name="Intended_Audience"/>
      <w:bookmarkEnd w:id="4"/>
      <w:r>
        <w:t xml:space="preserve">Intended </w:t>
      </w:r>
      <w:r>
        <w:rPr>
          <w:spacing w:val="-2"/>
        </w:rPr>
        <w:t>Audience</w:t>
      </w:r>
    </w:p>
    <w:p w14:paraId="50BA9FEB" w14:textId="77777777" w:rsidR="00DB6E1F" w:rsidRDefault="00F666A6">
      <w:pPr>
        <w:pStyle w:val="BodyText"/>
        <w:spacing w:before="152"/>
        <w:ind w:left="1440"/>
      </w:pPr>
      <w:r>
        <w:t>The</w:t>
      </w:r>
      <w:r>
        <w:rPr>
          <w:spacing w:val="-5"/>
        </w:rPr>
        <w:t xml:space="preserve"> </w:t>
      </w:r>
      <w:r>
        <w:t>primary</w:t>
      </w:r>
      <w:r>
        <w:rPr>
          <w:spacing w:val="-2"/>
        </w:rPr>
        <w:t xml:space="preserve"> </w:t>
      </w:r>
      <w:r>
        <w:t>audiences</w:t>
      </w:r>
      <w:r>
        <w:rPr>
          <w:spacing w:val="-4"/>
        </w:rPr>
        <w:t xml:space="preserve"> </w:t>
      </w:r>
      <w:r>
        <w:t>for</w:t>
      </w:r>
      <w:r>
        <w:rPr>
          <w:spacing w:val="-5"/>
        </w:rPr>
        <w:t xml:space="preserve"> </w:t>
      </w:r>
      <w:r>
        <w:t>this</w:t>
      </w:r>
      <w:r>
        <w:rPr>
          <w:spacing w:val="-3"/>
        </w:rPr>
        <w:t xml:space="preserve"> </w:t>
      </w:r>
      <w:r>
        <w:t>TIP</w:t>
      </w:r>
      <w:r>
        <w:rPr>
          <w:spacing w:val="-4"/>
        </w:rPr>
        <w:t xml:space="preserve"> are:</w:t>
      </w:r>
    </w:p>
    <w:p w14:paraId="2295CD3E" w14:textId="77777777" w:rsidR="00DB6E1F" w:rsidRDefault="00F666A6">
      <w:pPr>
        <w:pStyle w:val="ListParagraph"/>
        <w:numPr>
          <w:ilvl w:val="0"/>
          <w:numId w:val="92"/>
        </w:numPr>
        <w:tabs>
          <w:tab w:val="left" w:pos="1800"/>
          <w:tab w:val="left" w:pos="1801"/>
        </w:tabs>
        <w:ind w:left="1800"/>
        <w:rPr>
          <w:rFonts w:ascii="Symbol" w:hAnsi="Symbol"/>
        </w:rPr>
      </w:pPr>
      <w:r>
        <w:t>Drug</w:t>
      </w:r>
      <w:r>
        <w:rPr>
          <w:spacing w:val="-5"/>
        </w:rPr>
        <w:t xml:space="preserve"> </w:t>
      </w:r>
      <w:r>
        <w:t>and</w:t>
      </w:r>
      <w:r>
        <w:rPr>
          <w:spacing w:val="-5"/>
        </w:rPr>
        <w:t xml:space="preserve"> </w:t>
      </w:r>
      <w:r>
        <w:t>alcohol</w:t>
      </w:r>
      <w:r>
        <w:rPr>
          <w:spacing w:val="-7"/>
        </w:rPr>
        <w:t xml:space="preserve"> </w:t>
      </w:r>
      <w:r>
        <w:t>treatment</w:t>
      </w:r>
      <w:r>
        <w:rPr>
          <w:spacing w:val="-4"/>
        </w:rPr>
        <w:t xml:space="preserve"> </w:t>
      </w:r>
      <w:r>
        <w:t>service</w:t>
      </w:r>
      <w:r>
        <w:rPr>
          <w:spacing w:val="-5"/>
        </w:rPr>
        <w:t xml:space="preserve"> </w:t>
      </w:r>
      <w:r>
        <w:rPr>
          <w:spacing w:val="-2"/>
        </w:rPr>
        <w:t>providers.</w:t>
      </w:r>
    </w:p>
    <w:p w14:paraId="67EF9950" w14:textId="77777777" w:rsidR="00DB6E1F" w:rsidRDefault="00F666A6">
      <w:pPr>
        <w:pStyle w:val="ListParagraph"/>
        <w:numPr>
          <w:ilvl w:val="0"/>
          <w:numId w:val="92"/>
        </w:numPr>
        <w:tabs>
          <w:tab w:val="left" w:pos="1800"/>
          <w:tab w:val="left" w:pos="1801"/>
        </w:tabs>
        <w:spacing w:before="61"/>
        <w:ind w:left="1800" w:right="2344"/>
        <w:rPr>
          <w:rFonts w:ascii="Symbol" w:hAnsi="Symbol"/>
        </w:rPr>
      </w:pPr>
      <w:r>
        <w:t>Mental</w:t>
      </w:r>
      <w:r>
        <w:rPr>
          <w:spacing w:val="-2"/>
        </w:rPr>
        <w:t xml:space="preserve"> </w:t>
      </w:r>
      <w:r>
        <w:t>health</w:t>
      </w:r>
      <w:r>
        <w:rPr>
          <w:spacing w:val="-3"/>
        </w:rPr>
        <w:t xml:space="preserve"> </w:t>
      </w:r>
      <w:r>
        <w:t>service</w:t>
      </w:r>
      <w:r>
        <w:rPr>
          <w:spacing w:val="-2"/>
        </w:rPr>
        <w:t xml:space="preserve"> </w:t>
      </w:r>
      <w:r>
        <w:t>providers,</w:t>
      </w:r>
      <w:r>
        <w:rPr>
          <w:spacing w:val="-2"/>
        </w:rPr>
        <w:t xml:space="preserve"> </w:t>
      </w:r>
      <w:r>
        <w:t>such</w:t>
      </w:r>
      <w:r>
        <w:rPr>
          <w:spacing w:val="-3"/>
        </w:rPr>
        <w:t xml:space="preserve"> </w:t>
      </w:r>
      <w:r>
        <w:t>as</w:t>
      </w:r>
      <w:r>
        <w:rPr>
          <w:spacing w:val="-4"/>
        </w:rPr>
        <w:t xml:space="preserve"> </w:t>
      </w:r>
      <w:r>
        <w:t>psychologists,</w:t>
      </w:r>
      <w:r>
        <w:rPr>
          <w:spacing w:val="-4"/>
        </w:rPr>
        <w:t xml:space="preserve"> </w:t>
      </w:r>
      <w:r>
        <w:t>licensed</w:t>
      </w:r>
      <w:r>
        <w:rPr>
          <w:spacing w:val="-5"/>
        </w:rPr>
        <w:t xml:space="preserve"> </w:t>
      </w:r>
      <w:r>
        <w:t>clinical</w:t>
      </w:r>
      <w:r>
        <w:rPr>
          <w:spacing w:val="-2"/>
        </w:rPr>
        <w:t xml:space="preserve"> </w:t>
      </w:r>
      <w:r>
        <w:t>social</w:t>
      </w:r>
      <w:r>
        <w:rPr>
          <w:spacing w:val="-5"/>
        </w:rPr>
        <w:t xml:space="preserve"> </w:t>
      </w:r>
      <w:r>
        <w:t>workers,</w:t>
      </w:r>
      <w:r>
        <w:rPr>
          <w:spacing w:val="-2"/>
        </w:rPr>
        <w:t xml:space="preserve"> </w:t>
      </w:r>
      <w:r>
        <w:t>and psychiatric/mental health nurses.</w:t>
      </w:r>
    </w:p>
    <w:p w14:paraId="6DD99170" w14:textId="77777777" w:rsidR="00DB6E1F" w:rsidRDefault="00F666A6">
      <w:pPr>
        <w:pStyle w:val="ListParagraph"/>
        <w:numPr>
          <w:ilvl w:val="0"/>
          <w:numId w:val="92"/>
        </w:numPr>
        <w:tabs>
          <w:tab w:val="left" w:pos="1800"/>
          <w:tab w:val="left" w:pos="1801"/>
        </w:tabs>
        <w:spacing w:before="58"/>
        <w:ind w:left="1800"/>
        <w:rPr>
          <w:rFonts w:ascii="Symbol" w:hAnsi="Symbol"/>
        </w:rPr>
      </w:pPr>
      <w:r>
        <w:t>Peer</w:t>
      </w:r>
      <w:r>
        <w:rPr>
          <w:spacing w:val="-6"/>
        </w:rPr>
        <w:t xml:space="preserve"> </w:t>
      </w:r>
      <w:r>
        <w:t>recovery</w:t>
      </w:r>
      <w:r>
        <w:rPr>
          <w:spacing w:val="-2"/>
        </w:rPr>
        <w:t xml:space="preserve"> </w:t>
      </w:r>
      <w:r>
        <w:t>support</w:t>
      </w:r>
      <w:r>
        <w:rPr>
          <w:spacing w:val="-5"/>
        </w:rPr>
        <w:t xml:space="preserve"> </w:t>
      </w:r>
      <w:r>
        <w:rPr>
          <w:spacing w:val="-2"/>
        </w:rPr>
        <w:t>specialists.</w:t>
      </w:r>
    </w:p>
    <w:p w14:paraId="4EAD6DCC" w14:textId="77777777" w:rsidR="00DB6E1F" w:rsidRDefault="00F666A6">
      <w:pPr>
        <w:pStyle w:val="ListParagraph"/>
        <w:numPr>
          <w:ilvl w:val="0"/>
          <w:numId w:val="92"/>
        </w:numPr>
        <w:tabs>
          <w:tab w:val="left" w:pos="1800"/>
          <w:tab w:val="left" w:pos="1801"/>
        </w:tabs>
        <w:ind w:left="1800"/>
        <w:rPr>
          <w:rFonts w:ascii="Symbol" w:hAnsi="Symbol"/>
        </w:rPr>
      </w:pPr>
      <w:r>
        <w:t>Behavioral</w:t>
      </w:r>
      <w:r>
        <w:rPr>
          <w:spacing w:val="-7"/>
        </w:rPr>
        <w:t xml:space="preserve"> </w:t>
      </w:r>
      <w:r>
        <w:t>health</w:t>
      </w:r>
      <w:r>
        <w:rPr>
          <w:spacing w:val="-6"/>
        </w:rPr>
        <w:t xml:space="preserve"> </w:t>
      </w:r>
      <w:r>
        <w:t>program</w:t>
      </w:r>
      <w:r>
        <w:rPr>
          <w:spacing w:val="-6"/>
        </w:rPr>
        <w:t xml:space="preserve"> </w:t>
      </w:r>
      <w:r>
        <w:t>managers,</w:t>
      </w:r>
      <w:r>
        <w:rPr>
          <w:spacing w:val="-6"/>
        </w:rPr>
        <w:t xml:space="preserve"> </w:t>
      </w:r>
      <w:r>
        <w:t>directors,</w:t>
      </w:r>
      <w:r>
        <w:rPr>
          <w:spacing w:val="-7"/>
        </w:rPr>
        <w:t xml:space="preserve"> </w:t>
      </w:r>
      <w:r>
        <w:t>and</w:t>
      </w:r>
      <w:r>
        <w:rPr>
          <w:spacing w:val="-5"/>
        </w:rPr>
        <w:t xml:space="preserve"> </w:t>
      </w:r>
      <w:r>
        <w:rPr>
          <w:spacing w:val="-2"/>
        </w:rPr>
        <w:t>administrators.</w:t>
      </w:r>
    </w:p>
    <w:p w14:paraId="6E5A0B8A" w14:textId="77777777" w:rsidR="00DB6E1F" w:rsidRDefault="00F666A6">
      <w:pPr>
        <w:pStyle w:val="ListParagraph"/>
        <w:numPr>
          <w:ilvl w:val="0"/>
          <w:numId w:val="92"/>
        </w:numPr>
        <w:tabs>
          <w:tab w:val="left" w:pos="1800"/>
          <w:tab w:val="left" w:pos="1801"/>
        </w:tabs>
        <w:spacing w:before="59"/>
        <w:ind w:left="1800"/>
        <w:rPr>
          <w:rFonts w:ascii="Symbol" w:hAnsi="Symbol"/>
        </w:rPr>
      </w:pPr>
      <w:r>
        <w:t>Clinical</w:t>
      </w:r>
      <w:r>
        <w:rPr>
          <w:spacing w:val="-6"/>
        </w:rPr>
        <w:t xml:space="preserve"> </w:t>
      </w:r>
      <w:r>
        <w:rPr>
          <w:spacing w:val="-2"/>
        </w:rPr>
        <w:t>supervisors.</w:t>
      </w:r>
    </w:p>
    <w:p w14:paraId="0F79A492" w14:textId="77777777" w:rsidR="00DB6E1F" w:rsidRDefault="00F666A6">
      <w:pPr>
        <w:pStyle w:val="ListParagraph"/>
        <w:numPr>
          <w:ilvl w:val="0"/>
          <w:numId w:val="92"/>
        </w:numPr>
        <w:tabs>
          <w:tab w:val="left" w:pos="1801"/>
        </w:tabs>
        <w:spacing w:before="41"/>
        <w:ind w:left="1801" w:right="1517"/>
        <w:jc w:val="both"/>
        <w:rPr>
          <w:rFonts w:ascii="Symbol" w:hAnsi="Symbol"/>
        </w:rPr>
      </w:pPr>
      <w:r>
        <w:t>Healthcare providers, such</w:t>
      </w:r>
      <w:r>
        <w:rPr>
          <w:spacing w:val="-1"/>
        </w:rPr>
        <w:t xml:space="preserve"> </w:t>
      </w:r>
      <w:r>
        <w:t>as primary care physicians, nurse practitioners, general/family medicine practitioners,</w:t>
      </w:r>
      <w:r>
        <w:rPr>
          <w:spacing w:val="-2"/>
        </w:rPr>
        <w:t xml:space="preserve"> </w:t>
      </w:r>
      <w:r>
        <w:t>registered</w:t>
      </w:r>
      <w:r>
        <w:rPr>
          <w:spacing w:val="-3"/>
        </w:rPr>
        <w:t xml:space="preserve"> </w:t>
      </w:r>
      <w:r>
        <w:t>nurses,</w:t>
      </w:r>
      <w:r>
        <w:rPr>
          <w:spacing w:val="-2"/>
        </w:rPr>
        <w:t xml:space="preserve"> </w:t>
      </w:r>
      <w:r>
        <w:t>internal</w:t>
      </w:r>
      <w:r>
        <w:rPr>
          <w:spacing w:val="-5"/>
        </w:rPr>
        <w:t xml:space="preserve"> </w:t>
      </w:r>
      <w:r>
        <w:t>medicine</w:t>
      </w:r>
      <w:r>
        <w:rPr>
          <w:spacing w:val="-4"/>
        </w:rPr>
        <w:t xml:space="preserve"> </w:t>
      </w:r>
      <w:r>
        <w:t>specialists,</w:t>
      </w:r>
      <w:r>
        <w:rPr>
          <w:spacing w:val="-2"/>
        </w:rPr>
        <w:t xml:space="preserve"> </w:t>
      </w:r>
      <w:r>
        <w:t>and</w:t>
      </w:r>
      <w:r>
        <w:rPr>
          <w:spacing w:val="-5"/>
        </w:rPr>
        <w:t xml:space="preserve"> </w:t>
      </w:r>
      <w:r>
        <w:t>others</w:t>
      </w:r>
      <w:r>
        <w:rPr>
          <w:spacing w:val="-2"/>
        </w:rPr>
        <w:t xml:space="preserve"> </w:t>
      </w:r>
      <w:r>
        <w:t>who</w:t>
      </w:r>
      <w:r>
        <w:rPr>
          <w:spacing w:val="-3"/>
        </w:rPr>
        <w:t xml:space="preserve"> </w:t>
      </w:r>
      <w:r>
        <w:t>may</w:t>
      </w:r>
      <w:r>
        <w:rPr>
          <w:spacing w:val="-1"/>
        </w:rPr>
        <w:t xml:space="preserve"> </w:t>
      </w:r>
      <w:r>
        <w:t>need</w:t>
      </w:r>
      <w:r>
        <w:rPr>
          <w:spacing w:val="-5"/>
        </w:rPr>
        <w:t xml:space="preserve"> </w:t>
      </w:r>
      <w:r>
        <w:t>to</w:t>
      </w:r>
      <w:r>
        <w:rPr>
          <w:spacing w:val="-3"/>
        </w:rPr>
        <w:t xml:space="preserve"> </w:t>
      </w:r>
      <w:r>
        <w:t>enhance motivation to address substance misuse in their patients.</w:t>
      </w:r>
    </w:p>
    <w:p w14:paraId="48AB3D32" w14:textId="77777777" w:rsidR="00DB6E1F" w:rsidRDefault="00F666A6">
      <w:pPr>
        <w:pStyle w:val="BodyText"/>
        <w:spacing w:before="162"/>
        <w:ind w:left="1440" w:right="1444"/>
      </w:pPr>
      <w:r>
        <w:t>Secondary</w:t>
      </w:r>
      <w:r>
        <w:rPr>
          <w:spacing w:val="-4"/>
        </w:rPr>
        <w:t xml:space="preserve"> </w:t>
      </w:r>
      <w:r>
        <w:t>audiences</w:t>
      </w:r>
      <w:r>
        <w:rPr>
          <w:spacing w:val="-5"/>
        </w:rPr>
        <w:t xml:space="preserve"> </w:t>
      </w:r>
      <w:r>
        <w:t>include</w:t>
      </w:r>
      <w:r>
        <w:rPr>
          <w:spacing w:val="-2"/>
        </w:rPr>
        <w:t xml:space="preserve"> </w:t>
      </w:r>
      <w:r>
        <w:t>prevention</w:t>
      </w:r>
      <w:r>
        <w:rPr>
          <w:spacing w:val="-6"/>
        </w:rPr>
        <w:t xml:space="preserve"> </w:t>
      </w:r>
      <w:r>
        <w:t>specialists,</w:t>
      </w:r>
      <w:r>
        <w:rPr>
          <w:spacing w:val="-5"/>
        </w:rPr>
        <w:t xml:space="preserve"> </w:t>
      </w:r>
      <w:r>
        <w:t>educators,</w:t>
      </w:r>
      <w:r>
        <w:rPr>
          <w:spacing w:val="-5"/>
        </w:rPr>
        <w:t xml:space="preserve"> </w:t>
      </w:r>
      <w:r>
        <w:t>and</w:t>
      </w:r>
      <w:r>
        <w:rPr>
          <w:spacing w:val="-4"/>
        </w:rPr>
        <w:t xml:space="preserve"> </w:t>
      </w:r>
      <w:r>
        <w:t>policymakers</w:t>
      </w:r>
      <w:r>
        <w:rPr>
          <w:spacing w:val="-5"/>
        </w:rPr>
        <w:t xml:space="preserve"> </w:t>
      </w:r>
      <w:r>
        <w:t>for</w:t>
      </w:r>
      <w:r>
        <w:rPr>
          <w:spacing w:val="-3"/>
        </w:rPr>
        <w:t xml:space="preserve"> </w:t>
      </w:r>
      <w:r>
        <w:t>SUD</w:t>
      </w:r>
      <w:r>
        <w:rPr>
          <w:spacing w:val="-2"/>
        </w:rPr>
        <w:t xml:space="preserve"> </w:t>
      </w:r>
      <w:r>
        <w:t>treatment</w:t>
      </w:r>
      <w:r>
        <w:rPr>
          <w:spacing w:val="-2"/>
        </w:rPr>
        <w:t xml:space="preserve"> </w:t>
      </w:r>
      <w:r>
        <w:t>and related services.</w:t>
      </w:r>
    </w:p>
    <w:p w14:paraId="6C577DEE" w14:textId="77777777" w:rsidR="00DB6E1F" w:rsidRDefault="00F666A6">
      <w:pPr>
        <w:pStyle w:val="Heading2"/>
        <w:spacing w:before="162"/>
      </w:pPr>
      <w:bookmarkStart w:id="5" w:name="Overall_Key_Messages"/>
      <w:bookmarkEnd w:id="5"/>
      <w:r>
        <w:t>Overall</w:t>
      </w:r>
      <w:r>
        <w:rPr>
          <w:spacing w:val="-2"/>
        </w:rPr>
        <w:t xml:space="preserve"> </w:t>
      </w:r>
      <w:r>
        <w:t>Key</w:t>
      </w:r>
      <w:r>
        <w:rPr>
          <w:spacing w:val="-2"/>
        </w:rPr>
        <w:t xml:space="preserve"> Messages</w:t>
      </w:r>
    </w:p>
    <w:p w14:paraId="7386FA56" w14:textId="77777777" w:rsidR="00DB6E1F" w:rsidRDefault="00F666A6">
      <w:pPr>
        <w:spacing w:before="152"/>
        <w:ind w:left="1440" w:right="1444"/>
      </w:pPr>
      <w:r>
        <w:rPr>
          <w:b/>
        </w:rPr>
        <w:t>Motivation</w:t>
      </w:r>
      <w:r>
        <w:rPr>
          <w:b/>
          <w:spacing w:val="-5"/>
        </w:rPr>
        <w:t xml:space="preserve"> </w:t>
      </w:r>
      <w:r>
        <w:rPr>
          <w:b/>
        </w:rPr>
        <w:t>is</w:t>
      </w:r>
      <w:r>
        <w:rPr>
          <w:b/>
          <w:spacing w:val="-1"/>
        </w:rPr>
        <w:t xml:space="preserve"> </w:t>
      </w:r>
      <w:r>
        <w:rPr>
          <w:b/>
        </w:rPr>
        <w:t>key</w:t>
      </w:r>
      <w:r>
        <w:rPr>
          <w:b/>
          <w:spacing w:val="-1"/>
        </w:rPr>
        <w:t xml:space="preserve"> </w:t>
      </w:r>
      <w:r>
        <w:rPr>
          <w:b/>
        </w:rPr>
        <w:t>to</w:t>
      </w:r>
      <w:r>
        <w:rPr>
          <w:b/>
          <w:spacing w:val="-5"/>
        </w:rPr>
        <w:t xml:space="preserve"> </w:t>
      </w:r>
      <w:r>
        <w:rPr>
          <w:b/>
        </w:rPr>
        <w:t>substance</w:t>
      </w:r>
      <w:r>
        <w:rPr>
          <w:b/>
          <w:spacing w:val="-3"/>
        </w:rPr>
        <w:t xml:space="preserve"> </w:t>
      </w:r>
      <w:r>
        <w:rPr>
          <w:b/>
        </w:rPr>
        <w:t>use</w:t>
      </w:r>
      <w:r>
        <w:rPr>
          <w:b/>
          <w:spacing w:val="-3"/>
        </w:rPr>
        <w:t xml:space="preserve"> </w:t>
      </w:r>
      <w:r>
        <w:rPr>
          <w:b/>
        </w:rPr>
        <w:t>behavior</w:t>
      </w:r>
      <w:r>
        <w:rPr>
          <w:b/>
          <w:spacing w:val="-4"/>
        </w:rPr>
        <w:t xml:space="preserve"> </w:t>
      </w:r>
      <w:r>
        <w:rPr>
          <w:b/>
        </w:rPr>
        <w:t>chang</w:t>
      </w:r>
      <w:r>
        <w:rPr>
          <w:b/>
        </w:rPr>
        <w:t>e.</w:t>
      </w:r>
      <w:r>
        <w:rPr>
          <w:b/>
          <w:spacing w:val="-3"/>
        </w:rPr>
        <w:t xml:space="preserve"> </w:t>
      </w:r>
      <w:r>
        <w:t>Counselors</w:t>
      </w:r>
      <w:r>
        <w:rPr>
          <w:spacing w:val="-4"/>
        </w:rPr>
        <w:t xml:space="preserve"> </w:t>
      </w:r>
      <w:r>
        <w:t>can</w:t>
      </w:r>
      <w:r>
        <w:rPr>
          <w:spacing w:val="-2"/>
        </w:rPr>
        <w:t xml:space="preserve"> </w:t>
      </w:r>
      <w:r>
        <w:t>support</w:t>
      </w:r>
      <w:r>
        <w:rPr>
          <w:spacing w:val="-4"/>
        </w:rPr>
        <w:t xml:space="preserve"> </w:t>
      </w:r>
      <w:r>
        <w:t>clients’</w:t>
      </w:r>
      <w:r>
        <w:rPr>
          <w:spacing w:val="-4"/>
        </w:rPr>
        <w:t xml:space="preserve"> </w:t>
      </w:r>
      <w:r>
        <w:t>movement</w:t>
      </w:r>
      <w:r>
        <w:rPr>
          <w:spacing w:val="-1"/>
        </w:rPr>
        <w:t xml:space="preserve"> </w:t>
      </w:r>
      <w:r>
        <w:t>toward positive changes in their substance use by identifying and enhancing motivation that already exists.</w:t>
      </w:r>
    </w:p>
    <w:p w14:paraId="1C3E9E38" w14:textId="77777777" w:rsidR="00DB6E1F" w:rsidRDefault="00F666A6">
      <w:pPr>
        <w:spacing w:before="159"/>
        <w:ind w:left="1440" w:right="1491"/>
      </w:pPr>
      <w:r>
        <w:rPr>
          <w:b/>
        </w:rPr>
        <w:t xml:space="preserve">Motivational approaches are based on the principles of person-centered counseling. </w:t>
      </w:r>
      <w:r>
        <w:t>Counselors’ use of em</w:t>
      </w:r>
      <w:r>
        <w:t>pathy, not authority and power, is key to enhancing clients’ motivation to change. Clients are experts</w:t>
      </w:r>
      <w:r>
        <w:rPr>
          <w:spacing w:val="-4"/>
        </w:rPr>
        <w:t xml:space="preserve"> </w:t>
      </w:r>
      <w:r>
        <w:t>in</w:t>
      </w:r>
      <w:r>
        <w:rPr>
          <w:spacing w:val="-3"/>
        </w:rPr>
        <w:t xml:space="preserve"> </w:t>
      </w:r>
      <w:r>
        <w:t>their</w:t>
      </w:r>
      <w:r>
        <w:rPr>
          <w:spacing w:val="-4"/>
        </w:rPr>
        <w:t xml:space="preserve"> </w:t>
      </w:r>
      <w:r>
        <w:t>own</w:t>
      </w:r>
      <w:r>
        <w:rPr>
          <w:spacing w:val="-3"/>
        </w:rPr>
        <w:t xml:space="preserve"> </w:t>
      </w:r>
      <w:r>
        <w:t>recovery</w:t>
      </w:r>
      <w:r>
        <w:rPr>
          <w:spacing w:val="-1"/>
        </w:rPr>
        <w:t xml:space="preserve"> </w:t>
      </w:r>
      <w:r>
        <w:t>from</w:t>
      </w:r>
      <w:r>
        <w:rPr>
          <w:spacing w:val="-3"/>
        </w:rPr>
        <w:t xml:space="preserve"> </w:t>
      </w:r>
      <w:r>
        <w:t>SUDs.</w:t>
      </w:r>
      <w:r>
        <w:rPr>
          <w:spacing w:val="-5"/>
        </w:rPr>
        <w:t xml:space="preserve"> </w:t>
      </w:r>
      <w:r>
        <w:t>Counselors</w:t>
      </w:r>
      <w:r>
        <w:rPr>
          <w:spacing w:val="-4"/>
        </w:rPr>
        <w:t xml:space="preserve"> </w:t>
      </w:r>
      <w:r>
        <w:t>should</w:t>
      </w:r>
      <w:r>
        <w:rPr>
          <w:spacing w:val="-3"/>
        </w:rPr>
        <w:t xml:space="preserve"> </w:t>
      </w:r>
      <w:r>
        <w:t>engage</w:t>
      </w:r>
      <w:r>
        <w:rPr>
          <w:spacing w:val="-2"/>
        </w:rPr>
        <w:t xml:space="preserve"> </w:t>
      </w:r>
      <w:r>
        <w:t>them</w:t>
      </w:r>
      <w:r>
        <w:rPr>
          <w:spacing w:val="-3"/>
        </w:rPr>
        <w:t xml:space="preserve"> </w:t>
      </w:r>
      <w:r>
        <w:t>in</w:t>
      </w:r>
      <w:r>
        <w:rPr>
          <w:spacing w:val="-3"/>
        </w:rPr>
        <w:t xml:space="preserve"> </w:t>
      </w:r>
      <w:r>
        <w:t>collaborative</w:t>
      </w:r>
      <w:r>
        <w:rPr>
          <w:spacing w:val="-2"/>
        </w:rPr>
        <w:t xml:space="preserve"> </w:t>
      </w:r>
      <w:r>
        <w:t>partnerships.</w:t>
      </w:r>
    </w:p>
    <w:p w14:paraId="29489041" w14:textId="77777777" w:rsidR="00DB6E1F" w:rsidRDefault="00F666A6">
      <w:pPr>
        <w:pStyle w:val="BodyText"/>
        <w:spacing w:before="159"/>
        <w:ind w:left="1440" w:right="1555"/>
      </w:pPr>
      <w:r>
        <w:rPr>
          <w:b/>
        </w:rPr>
        <w:t xml:space="preserve">Ambivalence about change is normal. </w:t>
      </w:r>
      <w:r>
        <w:t>Resistance to change is an expression of ambivalence about change,</w:t>
      </w:r>
      <w:r>
        <w:rPr>
          <w:spacing w:val="-3"/>
        </w:rPr>
        <w:t xml:space="preserve"> </w:t>
      </w:r>
      <w:r>
        <w:t>not</w:t>
      </w:r>
      <w:r>
        <w:rPr>
          <w:spacing w:val="-5"/>
        </w:rPr>
        <w:t xml:space="preserve"> </w:t>
      </w:r>
      <w:r>
        <w:t>a</w:t>
      </w:r>
      <w:r>
        <w:rPr>
          <w:spacing w:val="-3"/>
        </w:rPr>
        <w:t xml:space="preserve"> </w:t>
      </w:r>
      <w:r>
        <w:t>client</w:t>
      </w:r>
      <w:r>
        <w:rPr>
          <w:spacing w:val="-2"/>
        </w:rPr>
        <w:t xml:space="preserve"> </w:t>
      </w:r>
      <w:r>
        <w:t>trait</w:t>
      </w:r>
      <w:r>
        <w:rPr>
          <w:spacing w:val="-5"/>
        </w:rPr>
        <w:t xml:space="preserve"> </w:t>
      </w:r>
      <w:r>
        <w:t>or</w:t>
      </w:r>
      <w:r>
        <w:rPr>
          <w:spacing w:val="-5"/>
        </w:rPr>
        <w:t xml:space="preserve"> </w:t>
      </w:r>
      <w:r>
        <w:t>characteristic.</w:t>
      </w:r>
      <w:r>
        <w:rPr>
          <w:spacing w:val="-3"/>
        </w:rPr>
        <w:t xml:space="preserve"> </w:t>
      </w:r>
      <w:r>
        <w:t>Confrontational</w:t>
      </w:r>
      <w:r>
        <w:rPr>
          <w:spacing w:val="-3"/>
        </w:rPr>
        <w:t xml:space="preserve"> </w:t>
      </w:r>
      <w:r>
        <w:t>approaches</w:t>
      </w:r>
      <w:r>
        <w:rPr>
          <w:spacing w:val="-3"/>
        </w:rPr>
        <w:t xml:space="preserve"> </w:t>
      </w:r>
      <w:r>
        <w:t>increase</w:t>
      </w:r>
      <w:r>
        <w:rPr>
          <w:spacing w:val="-5"/>
        </w:rPr>
        <w:t xml:space="preserve"> </w:t>
      </w:r>
      <w:r>
        <w:t>client</w:t>
      </w:r>
      <w:r>
        <w:rPr>
          <w:spacing w:val="-2"/>
        </w:rPr>
        <w:t xml:space="preserve"> </w:t>
      </w:r>
      <w:r>
        <w:t>resistance</w:t>
      </w:r>
      <w:r>
        <w:rPr>
          <w:spacing w:val="-5"/>
        </w:rPr>
        <w:t xml:space="preserve"> </w:t>
      </w:r>
      <w:r>
        <w:t>and discord in the counseling relationship. Motivational appr</w:t>
      </w:r>
      <w:r>
        <w:t>oaches explore ambivalence in a nonjudgmental and compassionate way.</w:t>
      </w:r>
    </w:p>
    <w:p w14:paraId="5FD2D325" w14:textId="77777777" w:rsidR="00DB6E1F" w:rsidRDefault="00F666A6">
      <w:pPr>
        <w:spacing w:before="162"/>
        <w:ind w:left="1440" w:right="1491"/>
      </w:pPr>
      <w:r>
        <w:rPr>
          <w:b/>
        </w:rPr>
        <w:t xml:space="preserve">The Transtheoretical Model (TTM) of the SOC approach is an overarching framework that helps counselors tailor specific counseling strategies to different stages. </w:t>
      </w:r>
      <w:r>
        <w:t>Motivational counseling s</w:t>
      </w:r>
      <w:r>
        <w:t>trategies should</w:t>
      </w:r>
      <w:r>
        <w:rPr>
          <w:spacing w:val="-2"/>
        </w:rPr>
        <w:t xml:space="preserve"> </w:t>
      </w:r>
      <w:r>
        <w:t>be</w:t>
      </w:r>
      <w:r>
        <w:rPr>
          <w:spacing w:val="-1"/>
        </w:rPr>
        <w:t xml:space="preserve"> </w:t>
      </w:r>
      <w:r>
        <w:t>tailored</w:t>
      </w:r>
      <w:r>
        <w:rPr>
          <w:spacing w:val="-4"/>
        </w:rPr>
        <w:t xml:space="preserve"> </w:t>
      </w:r>
      <w:r>
        <w:t>to</w:t>
      </w:r>
      <w:r>
        <w:rPr>
          <w:spacing w:val="-2"/>
        </w:rPr>
        <w:t xml:space="preserve"> </w:t>
      </w:r>
      <w:r>
        <w:t>clients’</w:t>
      </w:r>
      <w:r>
        <w:rPr>
          <w:spacing w:val="-2"/>
        </w:rPr>
        <w:t xml:space="preserve"> </w:t>
      </w:r>
      <w:r>
        <w:t>level</w:t>
      </w:r>
      <w:r>
        <w:rPr>
          <w:spacing w:val="-4"/>
        </w:rPr>
        <w:t xml:space="preserve"> </w:t>
      </w:r>
      <w:r>
        <w:t>of</w:t>
      </w:r>
      <w:r>
        <w:rPr>
          <w:spacing w:val="-4"/>
        </w:rPr>
        <w:t xml:space="preserve"> </w:t>
      </w:r>
      <w:r>
        <w:t>motivation</w:t>
      </w:r>
      <w:r>
        <w:rPr>
          <w:spacing w:val="-4"/>
        </w:rPr>
        <w:t xml:space="preserve"> </w:t>
      </w:r>
      <w:r>
        <w:t>to</w:t>
      </w:r>
      <w:r>
        <w:rPr>
          <w:spacing w:val="-2"/>
        </w:rPr>
        <w:t xml:space="preserve"> </w:t>
      </w:r>
      <w:r>
        <w:t>change</w:t>
      </w:r>
      <w:r>
        <w:rPr>
          <w:spacing w:val="-1"/>
        </w:rPr>
        <w:t xml:space="preserve"> </w:t>
      </w:r>
      <w:r>
        <w:t>their</w:t>
      </w:r>
      <w:r>
        <w:rPr>
          <w:spacing w:val="-2"/>
        </w:rPr>
        <w:t xml:space="preserve"> </w:t>
      </w:r>
      <w:r>
        <w:t>substance</w:t>
      </w:r>
      <w:r>
        <w:rPr>
          <w:spacing w:val="-1"/>
        </w:rPr>
        <w:t xml:space="preserve"> </w:t>
      </w:r>
      <w:r>
        <w:t>use</w:t>
      </w:r>
      <w:r>
        <w:rPr>
          <w:spacing w:val="-1"/>
        </w:rPr>
        <w:t xml:space="preserve"> </w:t>
      </w:r>
      <w:r>
        <w:t>behaviors</w:t>
      </w:r>
      <w:r>
        <w:rPr>
          <w:spacing w:val="-2"/>
        </w:rPr>
        <w:t xml:space="preserve"> </w:t>
      </w:r>
      <w:r>
        <w:t>at</w:t>
      </w:r>
      <w:r>
        <w:rPr>
          <w:spacing w:val="-3"/>
        </w:rPr>
        <w:t xml:space="preserve"> </w:t>
      </w:r>
      <w:r>
        <w:t>each</w:t>
      </w:r>
      <w:r>
        <w:rPr>
          <w:spacing w:val="-4"/>
        </w:rPr>
        <w:t xml:space="preserve"> </w:t>
      </w:r>
      <w:r>
        <w:t>of</w:t>
      </w:r>
      <w:r>
        <w:rPr>
          <w:spacing w:val="-4"/>
        </w:rPr>
        <w:t xml:space="preserve"> </w:t>
      </w:r>
      <w:r>
        <w:t>the five stages of the SOC:</w:t>
      </w:r>
    </w:p>
    <w:p w14:paraId="35FB21DC" w14:textId="77777777" w:rsidR="00DB6E1F" w:rsidRDefault="00F666A6">
      <w:pPr>
        <w:pStyle w:val="ListParagraph"/>
        <w:numPr>
          <w:ilvl w:val="0"/>
          <w:numId w:val="92"/>
        </w:numPr>
        <w:tabs>
          <w:tab w:val="left" w:pos="1799"/>
          <w:tab w:val="left" w:pos="1800"/>
        </w:tabs>
        <w:spacing w:before="59"/>
        <w:ind w:left="1799"/>
        <w:rPr>
          <w:rFonts w:ascii="Symbol" w:hAnsi="Symbol"/>
        </w:rPr>
      </w:pPr>
      <w:r>
        <w:rPr>
          <w:spacing w:val="-2"/>
        </w:rPr>
        <w:t>Precontemplation</w:t>
      </w:r>
    </w:p>
    <w:p w14:paraId="7E4ED294" w14:textId="77777777" w:rsidR="00DB6E1F" w:rsidRDefault="00F666A6">
      <w:pPr>
        <w:pStyle w:val="ListParagraph"/>
        <w:numPr>
          <w:ilvl w:val="0"/>
          <w:numId w:val="92"/>
        </w:numPr>
        <w:tabs>
          <w:tab w:val="left" w:pos="1800"/>
          <w:tab w:val="left" w:pos="1801"/>
        </w:tabs>
        <w:ind w:left="1800"/>
        <w:rPr>
          <w:rFonts w:ascii="Symbol" w:hAnsi="Symbol"/>
        </w:rPr>
      </w:pPr>
      <w:r>
        <w:rPr>
          <w:spacing w:val="-2"/>
        </w:rPr>
        <w:t>Contemplation</w:t>
      </w:r>
    </w:p>
    <w:p w14:paraId="30F179EB" w14:textId="77777777" w:rsidR="00DB6E1F" w:rsidRDefault="00F666A6">
      <w:pPr>
        <w:pStyle w:val="ListParagraph"/>
        <w:numPr>
          <w:ilvl w:val="0"/>
          <w:numId w:val="92"/>
        </w:numPr>
        <w:tabs>
          <w:tab w:val="left" w:pos="1800"/>
          <w:tab w:val="left" w:pos="1801"/>
        </w:tabs>
        <w:ind w:left="1800"/>
        <w:rPr>
          <w:rFonts w:ascii="Symbol" w:hAnsi="Symbol"/>
        </w:rPr>
      </w:pPr>
      <w:r>
        <w:rPr>
          <w:spacing w:val="-2"/>
        </w:rPr>
        <w:t>Preparation</w:t>
      </w:r>
    </w:p>
    <w:p w14:paraId="3ADEF37B" w14:textId="77777777" w:rsidR="00DB6E1F" w:rsidRDefault="00F666A6">
      <w:pPr>
        <w:pStyle w:val="ListParagraph"/>
        <w:numPr>
          <w:ilvl w:val="0"/>
          <w:numId w:val="92"/>
        </w:numPr>
        <w:tabs>
          <w:tab w:val="left" w:pos="1800"/>
          <w:tab w:val="left" w:pos="1801"/>
        </w:tabs>
        <w:spacing w:before="61"/>
        <w:ind w:left="1800"/>
        <w:rPr>
          <w:rFonts w:ascii="Symbol" w:hAnsi="Symbol"/>
        </w:rPr>
      </w:pPr>
      <w:r>
        <w:rPr>
          <w:spacing w:val="-2"/>
        </w:rPr>
        <w:t>Action</w:t>
      </w:r>
    </w:p>
    <w:p w14:paraId="162F77A0" w14:textId="77777777" w:rsidR="00DB6E1F" w:rsidRDefault="00F666A6">
      <w:pPr>
        <w:pStyle w:val="ListParagraph"/>
        <w:numPr>
          <w:ilvl w:val="0"/>
          <w:numId w:val="92"/>
        </w:numPr>
        <w:tabs>
          <w:tab w:val="left" w:pos="1800"/>
          <w:tab w:val="left" w:pos="1801"/>
        </w:tabs>
        <w:spacing w:before="56"/>
        <w:ind w:left="1800"/>
        <w:rPr>
          <w:rFonts w:ascii="Symbol" w:hAnsi="Symbol"/>
        </w:rPr>
      </w:pPr>
      <w:r>
        <w:rPr>
          <w:spacing w:val="-2"/>
        </w:rPr>
        <w:t>Maintenance</w:t>
      </w:r>
    </w:p>
    <w:p w14:paraId="360CE29B" w14:textId="77777777" w:rsidR="00DB6E1F" w:rsidRDefault="00F666A6">
      <w:pPr>
        <w:pStyle w:val="BodyText"/>
        <w:spacing w:before="163"/>
        <w:ind w:left="1440" w:right="1491"/>
      </w:pPr>
      <w:r>
        <w:rPr>
          <w:b/>
        </w:rPr>
        <w:t>Effective</w:t>
      </w:r>
      <w:r>
        <w:rPr>
          <w:b/>
          <w:spacing w:val="-5"/>
        </w:rPr>
        <w:t xml:space="preserve"> </w:t>
      </w:r>
      <w:r>
        <w:rPr>
          <w:b/>
        </w:rPr>
        <w:t>motivational</w:t>
      </w:r>
      <w:r>
        <w:rPr>
          <w:b/>
          <w:spacing w:val="-3"/>
        </w:rPr>
        <w:t xml:space="preserve"> </w:t>
      </w:r>
      <w:r>
        <w:rPr>
          <w:b/>
        </w:rPr>
        <w:t>counseling</w:t>
      </w:r>
      <w:r>
        <w:rPr>
          <w:b/>
          <w:spacing w:val="-3"/>
        </w:rPr>
        <w:t xml:space="preserve"> </w:t>
      </w:r>
      <w:r>
        <w:rPr>
          <w:b/>
        </w:rPr>
        <w:t>approaches</w:t>
      </w:r>
      <w:r>
        <w:rPr>
          <w:b/>
          <w:spacing w:val="-4"/>
        </w:rPr>
        <w:t xml:space="preserve"> </w:t>
      </w:r>
      <w:r>
        <w:rPr>
          <w:b/>
        </w:rPr>
        <w:t>can</w:t>
      </w:r>
      <w:r>
        <w:rPr>
          <w:b/>
          <w:spacing w:val="-3"/>
        </w:rPr>
        <w:t xml:space="preserve"> </w:t>
      </w:r>
      <w:r>
        <w:rPr>
          <w:b/>
        </w:rPr>
        <w:t>be</w:t>
      </w:r>
      <w:r>
        <w:rPr>
          <w:b/>
          <w:spacing w:val="-3"/>
        </w:rPr>
        <w:t xml:space="preserve"> </w:t>
      </w:r>
      <w:r>
        <w:rPr>
          <w:b/>
        </w:rPr>
        <w:t>brief.</w:t>
      </w:r>
      <w:r>
        <w:rPr>
          <w:b/>
          <w:spacing w:val="-1"/>
        </w:rPr>
        <w:t xml:space="preserve"> </w:t>
      </w:r>
      <w:r>
        <w:t>A</w:t>
      </w:r>
      <w:r>
        <w:rPr>
          <w:spacing w:val="-5"/>
        </w:rPr>
        <w:t xml:space="preserve"> </w:t>
      </w:r>
      <w:r>
        <w:t>growing</w:t>
      </w:r>
      <w:r>
        <w:rPr>
          <w:spacing w:val="-3"/>
        </w:rPr>
        <w:t xml:space="preserve"> </w:t>
      </w:r>
      <w:r>
        <w:t>body</w:t>
      </w:r>
      <w:r>
        <w:rPr>
          <w:spacing w:val="-3"/>
        </w:rPr>
        <w:t xml:space="preserve"> </w:t>
      </w:r>
      <w:r>
        <w:t>of</w:t>
      </w:r>
      <w:r>
        <w:rPr>
          <w:spacing w:val="-4"/>
        </w:rPr>
        <w:t xml:space="preserve"> </w:t>
      </w:r>
      <w:r>
        <w:t>evidence</w:t>
      </w:r>
      <w:r>
        <w:rPr>
          <w:spacing w:val="-1"/>
        </w:rPr>
        <w:t xml:space="preserve"> </w:t>
      </w:r>
      <w:r>
        <w:t>indicates</w:t>
      </w:r>
      <w:r>
        <w:rPr>
          <w:spacing w:val="-2"/>
        </w:rPr>
        <w:t xml:space="preserve"> </w:t>
      </w:r>
      <w:r>
        <w:t>that early and brief interventions demonstrate positive treatment outcomes in a wide variety of settings including specialty SUD treatment programs, primary care offices, and emergency departments. Brief interven</w:t>
      </w:r>
      <w:r>
        <w:t>tions emphasize reducing the health-related risk of a person’s substance use and decreasing</w:t>
      </w:r>
    </w:p>
    <w:p w14:paraId="275E37F7" w14:textId="77777777" w:rsidR="00DB6E1F" w:rsidRDefault="00DB6E1F">
      <w:pPr>
        <w:sectPr w:rsidR="00DB6E1F">
          <w:pgSz w:w="12240" w:h="15840"/>
          <w:pgMar w:top="960" w:right="0" w:bottom="940" w:left="0" w:header="762" w:footer="602" w:gutter="0"/>
          <w:cols w:space="720"/>
        </w:sectPr>
      </w:pPr>
    </w:p>
    <w:p w14:paraId="6495C888" w14:textId="77777777" w:rsidR="00DB6E1F" w:rsidRDefault="00DB6E1F">
      <w:pPr>
        <w:pStyle w:val="BodyText"/>
        <w:rPr>
          <w:sz w:val="20"/>
        </w:rPr>
      </w:pPr>
    </w:p>
    <w:p w14:paraId="613B0663" w14:textId="77777777" w:rsidR="00DB6E1F" w:rsidRDefault="00DB6E1F">
      <w:pPr>
        <w:pStyle w:val="BodyText"/>
        <w:spacing w:before="1"/>
        <w:rPr>
          <w:sz w:val="19"/>
        </w:rPr>
      </w:pPr>
    </w:p>
    <w:p w14:paraId="3070DCE8" w14:textId="77777777" w:rsidR="00DB6E1F" w:rsidRDefault="00F666A6">
      <w:pPr>
        <w:pStyle w:val="BodyText"/>
        <w:ind w:left="1440"/>
      </w:pPr>
      <w:r>
        <w:t>consumption</w:t>
      </w:r>
      <w:r>
        <w:rPr>
          <w:spacing w:val="-6"/>
        </w:rPr>
        <w:t xml:space="preserve"> </w:t>
      </w:r>
      <w:r>
        <w:t>as</w:t>
      </w:r>
      <w:r>
        <w:rPr>
          <w:spacing w:val="-6"/>
        </w:rPr>
        <w:t xml:space="preserve"> </w:t>
      </w:r>
      <w:r>
        <w:t>an</w:t>
      </w:r>
      <w:r>
        <w:rPr>
          <w:spacing w:val="-5"/>
        </w:rPr>
        <w:t xml:space="preserve"> </w:t>
      </w:r>
      <w:r>
        <w:t>important</w:t>
      </w:r>
      <w:r>
        <w:rPr>
          <w:spacing w:val="-5"/>
        </w:rPr>
        <w:t xml:space="preserve"> </w:t>
      </w:r>
      <w:r>
        <w:t>treatment</w:t>
      </w:r>
      <w:r>
        <w:rPr>
          <w:spacing w:val="-6"/>
        </w:rPr>
        <w:t xml:space="preserve"> </w:t>
      </w:r>
      <w:r>
        <w:rPr>
          <w:spacing w:val="-2"/>
        </w:rPr>
        <w:t>outcome.</w:t>
      </w:r>
    </w:p>
    <w:p w14:paraId="74D77B0F" w14:textId="77777777" w:rsidR="00DB6E1F" w:rsidRDefault="00F666A6">
      <w:pPr>
        <w:spacing w:before="159"/>
        <w:ind w:left="1440" w:right="1491"/>
      </w:pPr>
      <w:r>
        <w:rPr>
          <w:b/>
        </w:rPr>
        <w:t>Motivational interviewing (MI) and other motivational counseling approaches like motivational enhance</w:t>
      </w:r>
      <w:r>
        <w:rPr>
          <w:b/>
        </w:rPr>
        <w:t xml:space="preserve">ment therapy are effective ways to enhance motivation throughout the SOC. </w:t>
      </w:r>
      <w:r>
        <w:t>Motivational counseling</w:t>
      </w:r>
      <w:r>
        <w:rPr>
          <w:spacing w:val="-3"/>
        </w:rPr>
        <w:t xml:space="preserve"> </w:t>
      </w:r>
      <w:r>
        <w:t>approaches</w:t>
      </w:r>
      <w:r>
        <w:rPr>
          <w:spacing w:val="-2"/>
        </w:rPr>
        <w:t xml:space="preserve"> </w:t>
      </w:r>
      <w:r>
        <w:t>are</w:t>
      </w:r>
      <w:r>
        <w:rPr>
          <w:spacing w:val="-4"/>
        </w:rPr>
        <w:t xml:space="preserve"> </w:t>
      </w:r>
      <w:r>
        <w:t>based</w:t>
      </w:r>
      <w:r>
        <w:rPr>
          <w:spacing w:val="-3"/>
        </w:rPr>
        <w:t xml:space="preserve"> </w:t>
      </w:r>
      <w:r>
        <w:t>on</w:t>
      </w:r>
      <w:r>
        <w:rPr>
          <w:spacing w:val="-3"/>
        </w:rPr>
        <w:t xml:space="preserve"> </w:t>
      </w:r>
      <w:r>
        <w:t>person-centered</w:t>
      </w:r>
      <w:r>
        <w:rPr>
          <w:spacing w:val="-5"/>
        </w:rPr>
        <w:t xml:space="preserve"> </w:t>
      </w:r>
      <w:r>
        <w:t>counseling</w:t>
      </w:r>
      <w:r>
        <w:rPr>
          <w:spacing w:val="-3"/>
        </w:rPr>
        <w:t xml:space="preserve"> </w:t>
      </w:r>
      <w:r>
        <w:t>principles</w:t>
      </w:r>
      <w:r>
        <w:rPr>
          <w:spacing w:val="-4"/>
        </w:rPr>
        <w:t xml:space="preserve"> </w:t>
      </w:r>
      <w:r>
        <w:t>that</w:t>
      </w:r>
      <w:r>
        <w:rPr>
          <w:spacing w:val="-1"/>
        </w:rPr>
        <w:t xml:space="preserve"> </w:t>
      </w:r>
      <w:r>
        <w:t>focus</w:t>
      </w:r>
      <w:r>
        <w:rPr>
          <w:spacing w:val="-4"/>
        </w:rPr>
        <w:t xml:space="preserve"> </w:t>
      </w:r>
      <w:r>
        <w:t>on</w:t>
      </w:r>
      <w:r>
        <w:rPr>
          <w:spacing w:val="-3"/>
        </w:rPr>
        <w:t xml:space="preserve"> </w:t>
      </w:r>
      <w:r>
        <w:t>helping</w:t>
      </w:r>
      <w:r>
        <w:rPr>
          <w:spacing w:val="-2"/>
        </w:rPr>
        <w:t xml:space="preserve"> </w:t>
      </w:r>
      <w:r>
        <w:t>clients resolve ambivalence about changing their substance use and other health-risk behaviors.</w:t>
      </w:r>
    </w:p>
    <w:p w14:paraId="0998D2EF" w14:textId="77777777" w:rsidR="00DB6E1F" w:rsidRDefault="00F666A6">
      <w:pPr>
        <w:spacing w:before="161"/>
        <w:ind w:left="1439" w:right="1491"/>
      </w:pPr>
      <w:r>
        <w:rPr>
          <w:b/>
        </w:rPr>
        <w:t>MI is the most widely researched and disseminated motivational counseling approach in SUD treatment.</w:t>
      </w:r>
      <w:r>
        <w:rPr>
          <w:b/>
          <w:spacing w:val="-4"/>
        </w:rPr>
        <w:t xml:space="preserve"> </w:t>
      </w:r>
      <w:r>
        <w:t>The</w:t>
      </w:r>
      <w:r>
        <w:rPr>
          <w:spacing w:val="-4"/>
        </w:rPr>
        <w:t xml:space="preserve"> </w:t>
      </w:r>
      <w:r>
        <w:t>spirit</w:t>
      </w:r>
      <w:r>
        <w:rPr>
          <w:spacing w:val="-4"/>
        </w:rPr>
        <w:t xml:space="preserve"> </w:t>
      </w:r>
      <w:r>
        <w:t>of</w:t>
      </w:r>
      <w:r>
        <w:rPr>
          <w:spacing w:val="-2"/>
        </w:rPr>
        <w:t xml:space="preserve"> </w:t>
      </w:r>
      <w:r>
        <w:t>MI</w:t>
      </w:r>
      <w:r>
        <w:rPr>
          <w:spacing w:val="-7"/>
        </w:rPr>
        <w:t xml:space="preserve"> </w:t>
      </w:r>
      <w:r>
        <w:t>(i.e.,</w:t>
      </w:r>
      <w:r>
        <w:rPr>
          <w:spacing w:val="-2"/>
        </w:rPr>
        <w:t xml:space="preserve"> </w:t>
      </w:r>
      <w:r>
        <w:t>partnership,</w:t>
      </w:r>
      <w:r>
        <w:rPr>
          <w:spacing w:val="-2"/>
        </w:rPr>
        <w:t xml:space="preserve"> </w:t>
      </w:r>
      <w:r>
        <w:t>acceptance,</w:t>
      </w:r>
      <w:r>
        <w:rPr>
          <w:spacing w:val="-2"/>
        </w:rPr>
        <w:t xml:space="preserve"> </w:t>
      </w:r>
      <w:r>
        <w:t>compassion</w:t>
      </w:r>
      <w:r>
        <w:t>,</w:t>
      </w:r>
      <w:r>
        <w:rPr>
          <w:spacing w:val="-2"/>
        </w:rPr>
        <w:t xml:space="preserve"> </w:t>
      </w:r>
      <w:r>
        <w:t>and</w:t>
      </w:r>
      <w:r>
        <w:rPr>
          <w:spacing w:val="-3"/>
        </w:rPr>
        <w:t xml:space="preserve"> </w:t>
      </w:r>
      <w:r>
        <w:t>evocation)</w:t>
      </w:r>
      <w:r>
        <w:rPr>
          <w:spacing w:val="-2"/>
        </w:rPr>
        <w:t xml:space="preserve"> </w:t>
      </w:r>
      <w:r>
        <w:t>is</w:t>
      </w:r>
      <w:r>
        <w:rPr>
          <w:spacing w:val="-4"/>
        </w:rPr>
        <w:t xml:space="preserve"> </w:t>
      </w:r>
      <w:r>
        <w:t>the</w:t>
      </w:r>
      <w:r>
        <w:rPr>
          <w:spacing w:val="-1"/>
        </w:rPr>
        <w:t xml:space="preserve"> </w:t>
      </w:r>
      <w:r>
        <w:t>foundation of the core counseling skills required for enhancing clients’ motivation to change. The core counseling skills of MI are described in the acronym OARS (</w:t>
      </w:r>
      <w:r>
        <w:rPr>
          <w:b/>
        </w:rPr>
        <w:t>O</w:t>
      </w:r>
      <w:r>
        <w:t xml:space="preserve">pen questions, </w:t>
      </w:r>
      <w:r>
        <w:rPr>
          <w:b/>
        </w:rPr>
        <w:t>A</w:t>
      </w:r>
      <w:r>
        <w:t xml:space="preserve">ffirmations, </w:t>
      </w:r>
      <w:r>
        <w:rPr>
          <w:b/>
        </w:rPr>
        <w:t>R</w:t>
      </w:r>
      <w:r>
        <w:t xml:space="preserve">eflective listening, and </w:t>
      </w:r>
      <w:r>
        <w:rPr>
          <w:b/>
          <w:spacing w:val="-2"/>
        </w:rPr>
        <w:t>S</w:t>
      </w:r>
      <w:r>
        <w:rPr>
          <w:spacing w:val="-2"/>
        </w:rPr>
        <w:t>ummarization</w:t>
      </w:r>
      <w:r>
        <w:rPr>
          <w:spacing w:val="-2"/>
        </w:rPr>
        <w:t>).</w:t>
      </w:r>
    </w:p>
    <w:p w14:paraId="46E0BE44" w14:textId="77777777" w:rsidR="00DB6E1F" w:rsidRDefault="00F666A6">
      <w:pPr>
        <w:spacing w:before="160"/>
        <w:ind w:left="1439" w:right="1491"/>
      </w:pPr>
      <w:r>
        <w:rPr>
          <w:b/>
        </w:rPr>
        <w:t>Counselor</w:t>
      </w:r>
      <w:r>
        <w:rPr>
          <w:b/>
          <w:spacing w:val="-2"/>
        </w:rPr>
        <w:t xml:space="preserve"> </w:t>
      </w:r>
      <w:r>
        <w:rPr>
          <w:b/>
        </w:rPr>
        <w:t>empathy,</w:t>
      </w:r>
      <w:r>
        <w:rPr>
          <w:b/>
          <w:spacing w:val="-2"/>
        </w:rPr>
        <w:t xml:space="preserve"> </w:t>
      </w:r>
      <w:r>
        <w:rPr>
          <w:b/>
        </w:rPr>
        <w:t>as</w:t>
      </w:r>
      <w:r>
        <w:rPr>
          <w:b/>
          <w:spacing w:val="-2"/>
        </w:rPr>
        <w:t xml:space="preserve"> </w:t>
      </w:r>
      <w:r>
        <w:rPr>
          <w:b/>
        </w:rPr>
        <w:t>expressed</w:t>
      </w:r>
      <w:r>
        <w:rPr>
          <w:b/>
          <w:spacing w:val="-3"/>
        </w:rPr>
        <w:t xml:space="preserve"> </w:t>
      </w:r>
      <w:r>
        <w:rPr>
          <w:b/>
        </w:rPr>
        <w:t>through</w:t>
      </w:r>
      <w:r>
        <w:rPr>
          <w:b/>
          <w:spacing w:val="-5"/>
        </w:rPr>
        <w:t xml:space="preserve"> </w:t>
      </w:r>
      <w:r>
        <w:rPr>
          <w:b/>
        </w:rPr>
        <w:t>reflective</w:t>
      </w:r>
      <w:r>
        <w:rPr>
          <w:b/>
          <w:spacing w:val="-5"/>
        </w:rPr>
        <w:t xml:space="preserve"> </w:t>
      </w:r>
      <w:r>
        <w:rPr>
          <w:b/>
        </w:rPr>
        <w:t>listening,</w:t>
      </w:r>
      <w:r>
        <w:rPr>
          <w:b/>
          <w:spacing w:val="-4"/>
        </w:rPr>
        <w:t xml:space="preserve"> </w:t>
      </w:r>
      <w:r>
        <w:rPr>
          <w:b/>
        </w:rPr>
        <w:t>is</w:t>
      </w:r>
      <w:r>
        <w:rPr>
          <w:b/>
          <w:spacing w:val="-2"/>
        </w:rPr>
        <w:t xml:space="preserve"> </w:t>
      </w:r>
      <w:r>
        <w:rPr>
          <w:b/>
        </w:rPr>
        <w:t>fundamental</w:t>
      </w:r>
      <w:r>
        <w:rPr>
          <w:b/>
          <w:spacing w:val="-2"/>
        </w:rPr>
        <w:t xml:space="preserve"> </w:t>
      </w:r>
      <w:r>
        <w:rPr>
          <w:b/>
        </w:rPr>
        <w:t>to</w:t>
      </w:r>
      <w:r>
        <w:rPr>
          <w:b/>
          <w:spacing w:val="-3"/>
        </w:rPr>
        <w:t xml:space="preserve"> </w:t>
      </w:r>
      <w:r>
        <w:rPr>
          <w:b/>
        </w:rPr>
        <w:t>MI.</w:t>
      </w:r>
      <w:r>
        <w:rPr>
          <w:b/>
          <w:spacing w:val="-2"/>
        </w:rPr>
        <w:t xml:space="preserve"> </w:t>
      </w:r>
      <w:r>
        <w:t>Use</w:t>
      </w:r>
      <w:r>
        <w:rPr>
          <w:spacing w:val="-4"/>
        </w:rPr>
        <w:t xml:space="preserve"> </w:t>
      </w:r>
      <w:r>
        <w:t>of</w:t>
      </w:r>
      <w:r>
        <w:rPr>
          <w:spacing w:val="-4"/>
        </w:rPr>
        <w:t xml:space="preserve"> </w:t>
      </w:r>
      <w:r>
        <w:t>empathy, rather than power and authoritative approaches, is critical for helping clients achieve and maintain lasting behavior change.</w:t>
      </w:r>
    </w:p>
    <w:p w14:paraId="36F00D52" w14:textId="77777777" w:rsidR="00DB6E1F" w:rsidRDefault="00F666A6">
      <w:pPr>
        <w:spacing w:before="159"/>
        <w:ind w:left="1439" w:right="1491"/>
      </w:pPr>
      <w:r>
        <w:rPr>
          <w:b/>
        </w:rPr>
        <w:t xml:space="preserve">Adaptations of MI enhance the implementation and integration of motivational interventions into standard treatment methods. </w:t>
      </w:r>
      <w:r>
        <w:t>Training, ongoing supervision, and coaching of counselors are essential for</w:t>
      </w:r>
      <w:r>
        <w:rPr>
          <w:spacing w:val="-3"/>
        </w:rPr>
        <w:t xml:space="preserve"> </w:t>
      </w:r>
      <w:r>
        <w:t>workforce</w:t>
      </w:r>
      <w:r>
        <w:rPr>
          <w:spacing w:val="-2"/>
        </w:rPr>
        <w:t xml:space="preserve"> </w:t>
      </w:r>
      <w:r>
        <w:t>development</w:t>
      </w:r>
      <w:r>
        <w:rPr>
          <w:spacing w:val="-2"/>
        </w:rPr>
        <w:t xml:space="preserve"> </w:t>
      </w:r>
      <w:r>
        <w:t>and</w:t>
      </w:r>
      <w:r>
        <w:rPr>
          <w:spacing w:val="-4"/>
        </w:rPr>
        <w:t xml:space="preserve"> </w:t>
      </w:r>
      <w:r>
        <w:t>integration</w:t>
      </w:r>
      <w:r>
        <w:rPr>
          <w:spacing w:val="-6"/>
        </w:rPr>
        <w:t xml:space="preserve"> </w:t>
      </w:r>
      <w:r>
        <w:t>of</w:t>
      </w:r>
      <w:r>
        <w:rPr>
          <w:spacing w:val="-5"/>
        </w:rPr>
        <w:t xml:space="preserve"> </w:t>
      </w:r>
      <w:r>
        <w:t>motivational</w:t>
      </w:r>
      <w:r>
        <w:rPr>
          <w:spacing w:val="-3"/>
        </w:rPr>
        <w:t xml:space="preserve"> </w:t>
      </w:r>
      <w:r>
        <w:t>co</w:t>
      </w:r>
      <w:r>
        <w:t>unseling</w:t>
      </w:r>
      <w:r>
        <w:rPr>
          <w:spacing w:val="-3"/>
        </w:rPr>
        <w:t xml:space="preserve"> </w:t>
      </w:r>
      <w:r>
        <w:t>approaches</w:t>
      </w:r>
      <w:r>
        <w:rPr>
          <w:spacing w:val="-3"/>
        </w:rPr>
        <w:t xml:space="preserve"> </w:t>
      </w:r>
      <w:r>
        <w:t>into</w:t>
      </w:r>
      <w:r>
        <w:rPr>
          <w:spacing w:val="-2"/>
        </w:rPr>
        <w:t xml:space="preserve"> </w:t>
      </w:r>
      <w:r>
        <w:t>SUD</w:t>
      </w:r>
      <w:r>
        <w:rPr>
          <w:spacing w:val="-4"/>
        </w:rPr>
        <w:t xml:space="preserve"> </w:t>
      </w:r>
      <w:r>
        <w:t>treatment.</w:t>
      </w:r>
    </w:p>
    <w:p w14:paraId="323BDBBB" w14:textId="77777777" w:rsidR="00DB6E1F" w:rsidRDefault="00F666A6">
      <w:pPr>
        <w:pStyle w:val="Heading2"/>
        <w:spacing w:before="165"/>
      </w:pPr>
      <w:bookmarkStart w:id="6" w:name="Content_Overview"/>
      <w:bookmarkEnd w:id="6"/>
      <w:r>
        <w:t>Content</w:t>
      </w:r>
      <w:r>
        <w:rPr>
          <w:spacing w:val="-1"/>
        </w:rPr>
        <w:t xml:space="preserve"> </w:t>
      </w:r>
      <w:r>
        <w:rPr>
          <w:spacing w:val="-2"/>
        </w:rPr>
        <w:t>Overview</w:t>
      </w:r>
    </w:p>
    <w:p w14:paraId="3D695FB6" w14:textId="77777777" w:rsidR="00DB6E1F" w:rsidRDefault="00F666A6">
      <w:pPr>
        <w:pStyle w:val="Heading3"/>
        <w:spacing w:before="153"/>
      </w:pPr>
      <w:r>
        <w:t>Chapter</w:t>
      </w:r>
      <w:r>
        <w:rPr>
          <w:spacing w:val="-7"/>
        </w:rPr>
        <w:t xml:space="preserve"> </w:t>
      </w:r>
      <w:r>
        <w:t>1—A</w:t>
      </w:r>
      <w:r>
        <w:rPr>
          <w:spacing w:val="-4"/>
        </w:rPr>
        <w:t xml:space="preserve"> </w:t>
      </w:r>
      <w:r>
        <w:t>New</w:t>
      </w:r>
      <w:r>
        <w:rPr>
          <w:spacing w:val="-6"/>
        </w:rPr>
        <w:t xml:space="preserve"> </w:t>
      </w:r>
      <w:r>
        <w:t>Look</w:t>
      </w:r>
      <w:r>
        <w:rPr>
          <w:spacing w:val="-5"/>
        </w:rPr>
        <w:t xml:space="preserve"> </w:t>
      </w:r>
      <w:r>
        <w:t>at</w:t>
      </w:r>
      <w:r>
        <w:rPr>
          <w:spacing w:val="-4"/>
        </w:rPr>
        <w:t xml:space="preserve"> </w:t>
      </w:r>
      <w:r>
        <w:rPr>
          <w:spacing w:val="-2"/>
        </w:rPr>
        <w:t>Motivation</w:t>
      </w:r>
    </w:p>
    <w:p w14:paraId="0E89AD99" w14:textId="77777777" w:rsidR="00DB6E1F" w:rsidRDefault="00F666A6">
      <w:pPr>
        <w:pStyle w:val="BodyText"/>
        <w:spacing w:before="143"/>
        <w:ind w:left="1440" w:right="1491"/>
      </w:pPr>
      <w:r>
        <w:t>This chapter lays the groundwork for understanding treatment concepts discussed later in the TIP. It is an overview of the nature of motivation and its link to chan</w:t>
      </w:r>
      <w:r>
        <w:t>ging substance use behaviors. The chapter describes</w:t>
      </w:r>
      <w:r>
        <w:rPr>
          <w:spacing w:val="-2"/>
        </w:rPr>
        <w:t xml:space="preserve"> </w:t>
      </w:r>
      <w:r>
        <w:t>changing</w:t>
      </w:r>
      <w:r>
        <w:rPr>
          <w:spacing w:val="-3"/>
        </w:rPr>
        <w:t xml:space="preserve"> </w:t>
      </w:r>
      <w:r>
        <w:t>perspectives</w:t>
      </w:r>
      <w:r>
        <w:rPr>
          <w:spacing w:val="-4"/>
        </w:rPr>
        <w:t xml:space="preserve"> </w:t>
      </w:r>
      <w:r>
        <w:t>on</w:t>
      </w:r>
      <w:r>
        <w:rPr>
          <w:spacing w:val="-5"/>
        </w:rPr>
        <w:t xml:space="preserve"> </w:t>
      </w:r>
      <w:r>
        <w:t>addiction</w:t>
      </w:r>
      <w:r>
        <w:rPr>
          <w:spacing w:val="-3"/>
        </w:rPr>
        <w:t xml:space="preserve"> </w:t>
      </w:r>
      <w:r>
        <w:t>and</w:t>
      </w:r>
      <w:r>
        <w:rPr>
          <w:spacing w:val="-5"/>
        </w:rPr>
        <w:t xml:space="preserve"> </w:t>
      </w:r>
      <w:r>
        <w:t>addiction</w:t>
      </w:r>
      <w:r>
        <w:rPr>
          <w:spacing w:val="-5"/>
        </w:rPr>
        <w:t xml:space="preserve"> </w:t>
      </w:r>
      <w:r>
        <w:t>treatment</w:t>
      </w:r>
      <w:r>
        <w:rPr>
          <w:spacing w:val="-2"/>
        </w:rPr>
        <w:t xml:space="preserve"> </w:t>
      </w:r>
      <w:r>
        <w:t>in</w:t>
      </w:r>
      <w:r>
        <w:rPr>
          <w:spacing w:val="-3"/>
        </w:rPr>
        <w:t xml:space="preserve"> </w:t>
      </w:r>
      <w:r>
        <w:t>the</w:t>
      </w:r>
      <w:r>
        <w:rPr>
          <w:spacing w:val="-1"/>
        </w:rPr>
        <w:t xml:space="preserve"> </w:t>
      </w:r>
      <w:r>
        <w:t>United</w:t>
      </w:r>
      <w:r>
        <w:rPr>
          <w:spacing w:val="-3"/>
        </w:rPr>
        <w:t xml:space="preserve"> </w:t>
      </w:r>
      <w:r>
        <w:t>States</w:t>
      </w:r>
      <w:r>
        <w:rPr>
          <w:spacing w:val="-2"/>
        </w:rPr>
        <w:t xml:space="preserve"> </w:t>
      </w:r>
      <w:r>
        <w:t>and</w:t>
      </w:r>
      <w:r>
        <w:rPr>
          <w:spacing w:val="-3"/>
        </w:rPr>
        <w:t xml:space="preserve"> </w:t>
      </w:r>
      <w:r>
        <w:t>uses</w:t>
      </w:r>
      <w:r>
        <w:rPr>
          <w:spacing w:val="-4"/>
        </w:rPr>
        <w:t xml:space="preserve"> </w:t>
      </w:r>
      <w:r>
        <w:t>the TTM of the SOC approach as an overarching framework to understand how people change their substance use behavio</w:t>
      </w:r>
      <w:r>
        <w:t>rs.</w:t>
      </w:r>
    </w:p>
    <w:p w14:paraId="52D59050" w14:textId="77777777" w:rsidR="00DB6E1F" w:rsidRDefault="00F666A6">
      <w:pPr>
        <w:pStyle w:val="BodyText"/>
        <w:spacing w:before="159"/>
        <w:ind w:left="1440"/>
      </w:pPr>
      <w:r>
        <w:t>In</w:t>
      </w:r>
      <w:r>
        <w:rPr>
          <w:spacing w:val="-5"/>
        </w:rPr>
        <w:t xml:space="preserve"> </w:t>
      </w:r>
      <w:r>
        <w:t>Chapter</w:t>
      </w:r>
      <w:r>
        <w:rPr>
          <w:spacing w:val="-4"/>
        </w:rPr>
        <w:t xml:space="preserve"> </w:t>
      </w:r>
      <w:r>
        <w:t>1,</w:t>
      </w:r>
      <w:r>
        <w:rPr>
          <w:spacing w:val="-3"/>
        </w:rPr>
        <w:t xml:space="preserve"> </w:t>
      </w:r>
      <w:r>
        <w:t>readers</w:t>
      </w:r>
      <w:r>
        <w:rPr>
          <w:spacing w:val="-4"/>
        </w:rPr>
        <w:t xml:space="preserve"> </w:t>
      </w:r>
      <w:r>
        <w:t>will</w:t>
      </w:r>
      <w:r>
        <w:rPr>
          <w:spacing w:val="-6"/>
        </w:rPr>
        <w:t xml:space="preserve"> </w:t>
      </w:r>
      <w:r>
        <w:t>learn</w:t>
      </w:r>
      <w:r>
        <w:rPr>
          <w:spacing w:val="-4"/>
        </w:rPr>
        <w:t xml:space="preserve"> that:</w:t>
      </w:r>
    </w:p>
    <w:p w14:paraId="660E1CB6" w14:textId="77777777" w:rsidR="00DB6E1F" w:rsidRDefault="00F666A6">
      <w:pPr>
        <w:pStyle w:val="ListParagraph"/>
        <w:numPr>
          <w:ilvl w:val="0"/>
          <w:numId w:val="92"/>
        </w:numPr>
        <w:tabs>
          <w:tab w:val="left" w:pos="1800"/>
          <w:tab w:val="left" w:pos="1801"/>
        </w:tabs>
        <w:spacing w:before="61"/>
        <w:ind w:left="1800" w:right="2010"/>
        <w:rPr>
          <w:rFonts w:ascii="Symbol" w:hAnsi="Symbol"/>
        </w:rPr>
      </w:pPr>
      <w:r>
        <w:t>Motivation</w:t>
      </w:r>
      <w:r>
        <w:rPr>
          <w:spacing w:val="-4"/>
        </w:rPr>
        <w:t xml:space="preserve"> </w:t>
      </w:r>
      <w:r>
        <w:t>is</w:t>
      </w:r>
      <w:r>
        <w:rPr>
          <w:spacing w:val="-5"/>
        </w:rPr>
        <w:t xml:space="preserve"> </w:t>
      </w:r>
      <w:r>
        <w:t>essential</w:t>
      </w:r>
      <w:r>
        <w:rPr>
          <w:spacing w:val="-3"/>
        </w:rPr>
        <w:t xml:space="preserve"> </w:t>
      </w:r>
      <w:r>
        <w:t>to</w:t>
      </w:r>
      <w:r>
        <w:rPr>
          <w:spacing w:val="-2"/>
        </w:rPr>
        <w:t xml:space="preserve"> </w:t>
      </w:r>
      <w:r>
        <w:t>substance</w:t>
      </w:r>
      <w:r>
        <w:rPr>
          <w:spacing w:val="-2"/>
        </w:rPr>
        <w:t xml:space="preserve"> </w:t>
      </w:r>
      <w:r>
        <w:t>use</w:t>
      </w:r>
      <w:r>
        <w:rPr>
          <w:spacing w:val="-5"/>
        </w:rPr>
        <w:t xml:space="preserve"> </w:t>
      </w:r>
      <w:r>
        <w:t>behavior</w:t>
      </w:r>
      <w:r>
        <w:rPr>
          <w:spacing w:val="-3"/>
        </w:rPr>
        <w:t xml:space="preserve"> </w:t>
      </w:r>
      <w:r>
        <w:t>change.</w:t>
      </w:r>
      <w:r>
        <w:rPr>
          <w:spacing w:val="-3"/>
        </w:rPr>
        <w:t xml:space="preserve"> </w:t>
      </w:r>
      <w:r>
        <w:t>It</w:t>
      </w:r>
      <w:r>
        <w:rPr>
          <w:spacing w:val="-2"/>
        </w:rPr>
        <w:t xml:space="preserve"> </w:t>
      </w:r>
      <w:r>
        <w:t>is</w:t>
      </w:r>
      <w:r>
        <w:rPr>
          <w:spacing w:val="-5"/>
        </w:rPr>
        <w:t xml:space="preserve"> </w:t>
      </w:r>
      <w:r>
        <w:t>multidimensional,</w:t>
      </w:r>
      <w:r>
        <w:rPr>
          <w:spacing w:val="-5"/>
        </w:rPr>
        <w:t xml:space="preserve"> </w:t>
      </w:r>
      <w:r>
        <w:t>dynamic,</w:t>
      </w:r>
      <w:r>
        <w:rPr>
          <w:spacing w:val="-3"/>
        </w:rPr>
        <w:t xml:space="preserve"> </w:t>
      </w:r>
      <w:r>
        <w:t>and fluctuating; can be enhanced; and is influenced by the counselor’s style.</w:t>
      </w:r>
    </w:p>
    <w:p w14:paraId="46704F2E" w14:textId="77777777" w:rsidR="00DB6E1F" w:rsidRDefault="00F666A6">
      <w:pPr>
        <w:pStyle w:val="ListParagraph"/>
        <w:numPr>
          <w:ilvl w:val="0"/>
          <w:numId w:val="92"/>
        </w:numPr>
        <w:tabs>
          <w:tab w:val="left" w:pos="1800"/>
          <w:tab w:val="left" w:pos="1801"/>
        </w:tabs>
        <w:ind w:left="1800" w:right="1593"/>
        <w:rPr>
          <w:rFonts w:ascii="Symbol" w:hAnsi="Symbol"/>
        </w:rPr>
      </w:pPr>
      <w:r>
        <w:t>Benefits of using motivational counseling approaches include clients’ enhancing motivation to change,</w:t>
      </w:r>
      <w:r>
        <w:rPr>
          <w:spacing w:val="-2"/>
        </w:rPr>
        <w:t xml:space="preserve"> </w:t>
      </w:r>
      <w:r>
        <w:t>preparing</w:t>
      </w:r>
      <w:r>
        <w:rPr>
          <w:spacing w:val="-3"/>
        </w:rPr>
        <w:t xml:space="preserve"> </w:t>
      </w:r>
      <w:r>
        <w:t>them</w:t>
      </w:r>
      <w:r>
        <w:rPr>
          <w:spacing w:val="-3"/>
        </w:rPr>
        <w:t xml:space="preserve"> </w:t>
      </w:r>
      <w:r>
        <w:t>to</w:t>
      </w:r>
      <w:r>
        <w:rPr>
          <w:spacing w:val="-6"/>
        </w:rPr>
        <w:t xml:space="preserve"> </w:t>
      </w:r>
      <w:r>
        <w:t>enter</w:t>
      </w:r>
      <w:r>
        <w:rPr>
          <w:spacing w:val="-4"/>
        </w:rPr>
        <w:t xml:space="preserve"> </w:t>
      </w:r>
      <w:r>
        <w:t>treatment,</w:t>
      </w:r>
      <w:r>
        <w:rPr>
          <w:spacing w:val="-2"/>
        </w:rPr>
        <w:t xml:space="preserve"> </w:t>
      </w:r>
      <w:r>
        <w:t>engaging</w:t>
      </w:r>
      <w:r>
        <w:rPr>
          <w:spacing w:val="-5"/>
        </w:rPr>
        <w:t xml:space="preserve"> </w:t>
      </w:r>
      <w:r>
        <w:t>and</w:t>
      </w:r>
      <w:r>
        <w:rPr>
          <w:spacing w:val="-3"/>
        </w:rPr>
        <w:t xml:space="preserve"> </w:t>
      </w:r>
      <w:r>
        <w:t>retaining</w:t>
      </w:r>
      <w:r>
        <w:rPr>
          <w:spacing w:val="-3"/>
        </w:rPr>
        <w:t xml:space="preserve"> </w:t>
      </w:r>
      <w:r>
        <w:t>clients</w:t>
      </w:r>
      <w:r>
        <w:rPr>
          <w:spacing w:val="-4"/>
        </w:rPr>
        <w:t xml:space="preserve"> </w:t>
      </w:r>
      <w:r>
        <w:t>in</w:t>
      </w:r>
      <w:r>
        <w:rPr>
          <w:spacing w:val="-3"/>
        </w:rPr>
        <w:t xml:space="preserve"> </w:t>
      </w:r>
      <w:r>
        <w:t>treatme</w:t>
      </w:r>
      <w:r>
        <w:t>nt,</w:t>
      </w:r>
      <w:r>
        <w:rPr>
          <w:spacing w:val="-2"/>
        </w:rPr>
        <w:t xml:space="preserve"> </w:t>
      </w:r>
      <w:r>
        <w:t>increasing their participation and involvement in treatment, improving their treatment outcomes, and encouraging a rapid return to treatment if they start misusing substances again.</w:t>
      </w:r>
    </w:p>
    <w:p w14:paraId="5D9A621D" w14:textId="77777777" w:rsidR="00DB6E1F" w:rsidRDefault="00F666A6">
      <w:pPr>
        <w:pStyle w:val="ListParagraph"/>
        <w:numPr>
          <w:ilvl w:val="0"/>
          <w:numId w:val="92"/>
        </w:numPr>
        <w:tabs>
          <w:tab w:val="left" w:pos="1800"/>
          <w:tab w:val="left" w:pos="1801"/>
        </w:tabs>
        <w:spacing w:before="59"/>
        <w:ind w:left="1800" w:right="1524" w:hanging="360"/>
        <w:rPr>
          <w:rFonts w:ascii="Symbol" w:hAnsi="Symbol"/>
        </w:rPr>
      </w:pPr>
      <w:r>
        <w:t>New perspectives on addiction treatment include focusing on clients’ s</w:t>
      </w:r>
      <w:r>
        <w:t>trengths instead of deficits, offering</w:t>
      </w:r>
      <w:r>
        <w:rPr>
          <w:spacing w:val="-3"/>
        </w:rPr>
        <w:t xml:space="preserve"> </w:t>
      </w:r>
      <w:r>
        <w:t>person-centered</w:t>
      </w:r>
      <w:r>
        <w:rPr>
          <w:spacing w:val="-6"/>
        </w:rPr>
        <w:t xml:space="preserve"> </w:t>
      </w:r>
      <w:r>
        <w:t>treatment,</w:t>
      </w:r>
      <w:r>
        <w:rPr>
          <w:spacing w:val="-5"/>
        </w:rPr>
        <w:t xml:space="preserve"> </w:t>
      </w:r>
      <w:r>
        <w:t>shifting</w:t>
      </w:r>
      <w:r>
        <w:rPr>
          <w:spacing w:val="-4"/>
        </w:rPr>
        <w:t xml:space="preserve"> </w:t>
      </w:r>
      <w:r>
        <w:t>away</w:t>
      </w:r>
      <w:r>
        <w:rPr>
          <w:spacing w:val="-2"/>
        </w:rPr>
        <w:t xml:space="preserve"> </w:t>
      </w:r>
      <w:r>
        <w:t>from</w:t>
      </w:r>
      <w:r>
        <w:rPr>
          <w:spacing w:val="-2"/>
        </w:rPr>
        <w:t xml:space="preserve"> </w:t>
      </w:r>
      <w:r>
        <w:t>labeling</w:t>
      </w:r>
      <w:r>
        <w:rPr>
          <w:spacing w:val="-4"/>
        </w:rPr>
        <w:t xml:space="preserve"> </w:t>
      </w:r>
      <w:r>
        <w:t>clients,</w:t>
      </w:r>
      <w:r>
        <w:rPr>
          <w:spacing w:val="-3"/>
        </w:rPr>
        <w:t xml:space="preserve"> </w:t>
      </w:r>
      <w:r>
        <w:t>using</w:t>
      </w:r>
      <w:r>
        <w:rPr>
          <w:spacing w:val="-6"/>
        </w:rPr>
        <w:t xml:space="preserve"> </w:t>
      </w:r>
      <w:r>
        <w:t>empathy,</w:t>
      </w:r>
      <w:r>
        <w:rPr>
          <w:spacing w:val="-5"/>
        </w:rPr>
        <w:t xml:space="preserve"> </w:t>
      </w:r>
      <w:r>
        <w:t>focusing</w:t>
      </w:r>
      <w:r>
        <w:rPr>
          <w:spacing w:val="-4"/>
        </w:rPr>
        <w:t xml:space="preserve"> </w:t>
      </w:r>
      <w:r>
        <w:t>on early and brief interventions, recognizing that there is a range of severity of substance misuse, accepting risk reduction as a legitimate treatment goal, and providing access to integrated care.</w:t>
      </w:r>
    </w:p>
    <w:p w14:paraId="06B2DA8A" w14:textId="77777777" w:rsidR="00DB6E1F" w:rsidRDefault="00F666A6">
      <w:pPr>
        <w:pStyle w:val="ListParagraph"/>
        <w:numPr>
          <w:ilvl w:val="0"/>
          <w:numId w:val="92"/>
        </w:numPr>
        <w:tabs>
          <w:tab w:val="left" w:pos="1800"/>
          <w:tab w:val="left" w:pos="1801"/>
        </w:tabs>
        <w:spacing w:before="61"/>
        <w:ind w:left="1800"/>
        <w:rPr>
          <w:rFonts w:ascii="Symbol" w:hAnsi="Symbol"/>
        </w:rPr>
      </w:pPr>
      <w:r>
        <w:t>People</w:t>
      </w:r>
      <w:r>
        <w:rPr>
          <w:spacing w:val="-4"/>
        </w:rPr>
        <w:t xml:space="preserve"> </w:t>
      </w:r>
      <w:r>
        <w:t>go</w:t>
      </w:r>
      <w:r>
        <w:rPr>
          <w:spacing w:val="-2"/>
        </w:rPr>
        <w:t xml:space="preserve"> </w:t>
      </w:r>
      <w:r>
        <w:t>through</w:t>
      </w:r>
      <w:r>
        <w:rPr>
          <w:spacing w:val="-4"/>
        </w:rPr>
        <w:t xml:space="preserve"> </w:t>
      </w:r>
      <w:r>
        <w:t>stages</w:t>
      </w:r>
      <w:r>
        <w:rPr>
          <w:spacing w:val="-4"/>
        </w:rPr>
        <w:t xml:space="preserve"> </w:t>
      </w:r>
      <w:r>
        <w:t>in</w:t>
      </w:r>
      <w:r>
        <w:rPr>
          <w:spacing w:val="-4"/>
        </w:rPr>
        <w:t xml:space="preserve"> </w:t>
      </w:r>
      <w:r>
        <w:t>the</w:t>
      </w:r>
      <w:r>
        <w:rPr>
          <w:spacing w:val="-1"/>
        </w:rPr>
        <w:t xml:space="preserve"> </w:t>
      </w:r>
      <w:r>
        <w:t>SOC</w:t>
      </w:r>
      <w:r>
        <w:rPr>
          <w:spacing w:val="-5"/>
        </w:rPr>
        <w:t xml:space="preserve"> </w:t>
      </w:r>
      <w:r>
        <w:t>approach;</w:t>
      </w:r>
      <w:r>
        <w:rPr>
          <w:spacing w:val="-2"/>
        </w:rPr>
        <w:t xml:space="preserve"> </w:t>
      </w:r>
      <w:r>
        <w:t>this</w:t>
      </w:r>
      <w:r>
        <w:rPr>
          <w:spacing w:val="-4"/>
        </w:rPr>
        <w:t xml:space="preserve"> </w:t>
      </w:r>
      <w:r>
        <w:t>concep</w:t>
      </w:r>
      <w:r>
        <w:t>t</w:t>
      </w:r>
      <w:r>
        <w:rPr>
          <w:spacing w:val="-5"/>
        </w:rPr>
        <w:t xml:space="preserve"> </w:t>
      </w:r>
      <w:r>
        <w:t>is</w:t>
      </w:r>
      <w:r>
        <w:rPr>
          <w:spacing w:val="-2"/>
        </w:rPr>
        <w:t xml:space="preserve"> </w:t>
      </w:r>
      <w:r>
        <w:t>known</w:t>
      </w:r>
      <w:r>
        <w:rPr>
          <w:spacing w:val="-4"/>
        </w:rPr>
        <w:t xml:space="preserve"> </w:t>
      </w:r>
      <w:r>
        <w:t>as</w:t>
      </w:r>
      <w:r>
        <w:rPr>
          <w:spacing w:val="-3"/>
        </w:rPr>
        <w:t xml:space="preserve"> </w:t>
      </w:r>
      <w:r>
        <w:t>the</w:t>
      </w:r>
      <w:r>
        <w:rPr>
          <w:spacing w:val="-4"/>
        </w:rPr>
        <w:t xml:space="preserve"> </w:t>
      </w:r>
      <w:r>
        <w:t>TTM</w:t>
      </w:r>
      <w:r>
        <w:rPr>
          <w:spacing w:val="-4"/>
        </w:rPr>
        <w:t xml:space="preserve"> </w:t>
      </w:r>
      <w:r>
        <w:t>of</w:t>
      </w:r>
      <w:r>
        <w:rPr>
          <w:spacing w:val="-2"/>
        </w:rPr>
        <w:t xml:space="preserve"> change.</w:t>
      </w:r>
    </w:p>
    <w:p w14:paraId="1676981B" w14:textId="77777777" w:rsidR="00DB6E1F" w:rsidRDefault="00F666A6">
      <w:pPr>
        <w:pStyle w:val="ListParagraph"/>
        <w:numPr>
          <w:ilvl w:val="0"/>
          <w:numId w:val="92"/>
        </w:numPr>
        <w:tabs>
          <w:tab w:val="left" w:pos="1800"/>
          <w:tab w:val="left" w:pos="1801"/>
        </w:tabs>
        <w:spacing w:before="58"/>
        <w:ind w:left="1800"/>
        <w:rPr>
          <w:rFonts w:ascii="Symbol" w:hAnsi="Symbol"/>
        </w:rPr>
      </w:pPr>
      <w:r>
        <w:t>The</w:t>
      </w:r>
      <w:r>
        <w:rPr>
          <w:spacing w:val="-2"/>
        </w:rPr>
        <w:t xml:space="preserve"> </w:t>
      </w:r>
      <w:r>
        <w:t>stages</w:t>
      </w:r>
      <w:r>
        <w:rPr>
          <w:spacing w:val="-3"/>
        </w:rPr>
        <w:t xml:space="preserve"> </w:t>
      </w:r>
      <w:r>
        <w:t>in</w:t>
      </w:r>
      <w:r>
        <w:rPr>
          <w:spacing w:val="-4"/>
        </w:rPr>
        <w:t xml:space="preserve"> </w:t>
      </w:r>
      <w:r>
        <w:t>the</w:t>
      </w:r>
      <w:r>
        <w:rPr>
          <w:spacing w:val="-3"/>
        </w:rPr>
        <w:t xml:space="preserve"> </w:t>
      </w:r>
      <w:r>
        <w:t>SOC</w:t>
      </w:r>
      <w:r>
        <w:rPr>
          <w:spacing w:val="-5"/>
        </w:rPr>
        <w:t xml:space="preserve"> </w:t>
      </w:r>
      <w:r>
        <w:t>model</w:t>
      </w:r>
      <w:r>
        <w:rPr>
          <w:spacing w:val="-2"/>
        </w:rPr>
        <w:t xml:space="preserve"> </w:t>
      </w:r>
      <w:r>
        <w:rPr>
          <w:spacing w:val="-4"/>
        </w:rPr>
        <w:t>are:</w:t>
      </w:r>
    </w:p>
    <w:p w14:paraId="5EB61195" w14:textId="77777777" w:rsidR="00DB6E1F" w:rsidRDefault="00F666A6">
      <w:pPr>
        <w:pStyle w:val="ListParagraph"/>
        <w:numPr>
          <w:ilvl w:val="1"/>
          <w:numId w:val="92"/>
        </w:numPr>
        <w:tabs>
          <w:tab w:val="left" w:pos="2159"/>
          <w:tab w:val="left" w:pos="2160"/>
        </w:tabs>
        <w:ind w:hanging="361"/>
      </w:pPr>
      <w:r>
        <w:t>Precontemplation,</w:t>
      </w:r>
      <w:r>
        <w:rPr>
          <w:spacing w:val="-7"/>
        </w:rPr>
        <w:t xml:space="preserve"> </w:t>
      </w:r>
      <w:r>
        <w:t>in</w:t>
      </w:r>
      <w:r>
        <w:rPr>
          <w:spacing w:val="-7"/>
        </w:rPr>
        <w:t xml:space="preserve"> </w:t>
      </w:r>
      <w:r>
        <w:t>which</w:t>
      </w:r>
      <w:r>
        <w:rPr>
          <w:spacing w:val="-4"/>
        </w:rPr>
        <w:t xml:space="preserve"> </w:t>
      </w:r>
      <w:r>
        <w:t>people</w:t>
      </w:r>
      <w:r>
        <w:rPr>
          <w:spacing w:val="-6"/>
        </w:rPr>
        <w:t xml:space="preserve"> </w:t>
      </w:r>
      <w:r>
        <w:t>are</w:t>
      </w:r>
      <w:r>
        <w:rPr>
          <w:spacing w:val="-3"/>
        </w:rPr>
        <w:t xml:space="preserve"> </w:t>
      </w:r>
      <w:r>
        <w:t>not</w:t>
      </w:r>
      <w:r>
        <w:rPr>
          <w:spacing w:val="-6"/>
        </w:rPr>
        <w:t xml:space="preserve"> </w:t>
      </w:r>
      <w:r>
        <w:t>considering</w:t>
      </w:r>
      <w:r>
        <w:rPr>
          <w:spacing w:val="-5"/>
        </w:rPr>
        <w:t xml:space="preserve"> </w:t>
      </w:r>
      <w:r>
        <w:rPr>
          <w:spacing w:val="-2"/>
        </w:rPr>
        <w:t>change.</w:t>
      </w:r>
    </w:p>
    <w:p w14:paraId="09CD6FCD" w14:textId="77777777" w:rsidR="00DB6E1F" w:rsidRDefault="00F666A6">
      <w:pPr>
        <w:pStyle w:val="ListParagraph"/>
        <w:numPr>
          <w:ilvl w:val="1"/>
          <w:numId w:val="92"/>
        </w:numPr>
        <w:tabs>
          <w:tab w:val="left" w:pos="2159"/>
          <w:tab w:val="left" w:pos="2160"/>
        </w:tabs>
        <w:spacing w:before="61"/>
        <w:ind w:hanging="361"/>
      </w:pPr>
      <w:r>
        <w:t>Contemplation,</w:t>
      </w:r>
      <w:r>
        <w:rPr>
          <w:spacing w:val="-6"/>
        </w:rPr>
        <w:t xml:space="preserve"> </w:t>
      </w:r>
      <w:r>
        <w:t>in</w:t>
      </w:r>
      <w:r>
        <w:rPr>
          <w:spacing w:val="-6"/>
        </w:rPr>
        <w:t xml:space="preserve"> </w:t>
      </w:r>
      <w:r>
        <w:t>which</w:t>
      </w:r>
      <w:r>
        <w:rPr>
          <w:spacing w:val="-4"/>
        </w:rPr>
        <w:t xml:space="preserve"> </w:t>
      </w:r>
      <w:r>
        <w:t>people</w:t>
      </w:r>
      <w:r>
        <w:rPr>
          <w:spacing w:val="-5"/>
        </w:rPr>
        <w:t xml:space="preserve"> </w:t>
      </w:r>
      <w:r>
        <w:t>are</w:t>
      </w:r>
      <w:r>
        <w:rPr>
          <w:spacing w:val="-6"/>
        </w:rPr>
        <w:t xml:space="preserve"> </w:t>
      </w:r>
      <w:r>
        <w:t>considering</w:t>
      </w:r>
      <w:r>
        <w:rPr>
          <w:spacing w:val="-6"/>
        </w:rPr>
        <w:t xml:space="preserve"> </w:t>
      </w:r>
      <w:r>
        <w:t>change</w:t>
      </w:r>
      <w:r>
        <w:rPr>
          <w:spacing w:val="-3"/>
        </w:rPr>
        <w:t xml:space="preserve"> </w:t>
      </w:r>
      <w:r>
        <w:t>but</w:t>
      </w:r>
      <w:r>
        <w:rPr>
          <w:spacing w:val="-1"/>
        </w:rPr>
        <w:t xml:space="preserve"> </w:t>
      </w:r>
      <w:r>
        <w:t>are</w:t>
      </w:r>
      <w:r>
        <w:rPr>
          <w:spacing w:val="-6"/>
        </w:rPr>
        <w:t xml:space="preserve"> </w:t>
      </w:r>
      <w:r>
        <w:t>unsure</w:t>
      </w:r>
      <w:r>
        <w:rPr>
          <w:spacing w:val="-2"/>
        </w:rPr>
        <w:t xml:space="preserve"> </w:t>
      </w:r>
      <w:r>
        <w:t>how</w:t>
      </w:r>
      <w:r>
        <w:rPr>
          <w:spacing w:val="-3"/>
        </w:rPr>
        <w:t xml:space="preserve"> </w:t>
      </w:r>
      <w:r>
        <w:t>to</w:t>
      </w:r>
      <w:r>
        <w:rPr>
          <w:spacing w:val="-4"/>
        </w:rPr>
        <w:t xml:space="preserve"> </w:t>
      </w:r>
      <w:r>
        <w:rPr>
          <w:spacing w:val="-2"/>
        </w:rPr>
        <w:t>change.</w:t>
      </w:r>
    </w:p>
    <w:p w14:paraId="2946C9D1" w14:textId="77777777" w:rsidR="00DB6E1F" w:rsidRDefault="00F666A6">
      <w:pPr>
        <w:pStyle w:val="ListParagraph"/>
        <w:numPr>
          <w:ilvl w:val="1"/>
          <w:numId w:val="92"/>
        </w:numPr>
        <w:tabs>
          <w:tab w:val="left" w:pos="2159"/>
          <w:tab w:val="left" w:pos="2160"/>
        </w:tabs>
        <w:ind w:hanging="361"/>
      </w:pPr>
      <w:r>
        <w:t>Preparation,</w:t>
      </w:r>
      <w:r>
        <w:rPr>
          <w:spacing w:val="-5"/>
        </w:rPr>
        <w:t xml:space="preserve"> </w:t>
      </w:r>
      <w:r>
        <w:t>in</w:t>
      </w:r>
      <w:r>
        <w:rPr>
          <w:spacing w:val="-6"/>
        </w:rPr>
        <w:t xml:space="preserve"> </w:t>
      </w:r>
      <w:r>
        <w:t>which</w:t>
      </w:r>
      <w:r>
        <w:rPr>
          <w:spacing w:val="-4"/>
        </w:rPr>
        <w:t xml:space="preserve"> </w:t>
      </w:r>
      <w:r>
        <w:t>people</w:t>
      </w:r>
      <w:r>
        <w:rPr>
          <w:spacing w:val="-2"/>
        </w:rPr>
        <w:t xml:space="preserve"> </w:t>
      </w:r>
      <w:r>
        <w:t>have</w:t>
      </w:r>
      <w:r>
        <w:rPr>
          <w:spacing w:val="-2"/>
        </w:rPr>
        <w:t xml:space="preserve"> </w:t>
      </w:r>
      <w:r>
        <w:t>identified</w:t>
      </w:r>
      <w:r>
        <w:rPr>
          <w:spacing w:val="-6"/>
        </w:rPr>
        <w:t xml:space="preserve"> </w:t>
      </w:r>
      <w:r>
        <w:t>a</w:t>
      </w:r>
      <w:r>
        <w:rPr>
          <w:spacing w:val="-3"/>
        </w:rPr>
        <w:t xml:space="preserve"> </w:t>
      </w:r>
      <w:r>
        <w:t>change</w:t>
      </w:r>
      <w:r>
        <w:rPr>
          <w:spacing w:val="-5"/>
        </w:rPr>
        <w:t xml:space="preserve"> </w:t>
      </w:r>
      <w:r>
        <w:t>goal</w:t>
      </w:r>
      <w:r>
        <w:rPr>
          <w:spacing w:val="-3"/>
        </w:rPr>
        <w:t xml:space="preserve"> </w:t>
      </w:r>
      <w:r>
        <w:t>and</w:t>
      </w:r>
      <w:r>
        <w:rPr>
          <w:spacing w:val="-4"/>
        </w:rPr>
        <w:t xml:space="preserve"> </w:t>
      </w:r>
      <w:r>
        <w:t>are</w:t>
      </w:r>
      <w:r>
        <w:rPr>
          <w:spacing w:val="-3"/>
        </w:rPr>
        <w:t xml:space="preserve"> </w:t>
      </w:r>
      <w:r>
        <w:t>forming</w:t>
      </w:r>
      <w:r>
        <w:rPr>
          <w:spacing w:val="-3"/>
        </w:rPr>
        <w:t xml:space="preserve"> </w:t>
      </w:r>
      <w:r>
        <w:t>a</w:t>
      </w:r>
      <w:r>
        <w:rPr>
          <w:spacing w:val="-3"/>
        </w:rPr>
        <w:t xml:space="preserve"> </w:t>
      </w:r>
      <w:r>
        <w:t>plan</w:t>
      </w:r>
      <w:r>
        <w:rPr>
          <w:spacing w:val="-6"/>
        </w:rPr>
        <w:t xml:space="preserve"> </w:t>
      </w:r>
      <w:r>
        <w:t>to</w:t>
      </w:r>
      <w:r>
        <w:rPr>
          <w:spacing w:val="-3"/>
        </w:rPr>
        <w:t xml:space="preserve"> </w:t>
      </w:r>
      <w:r>
        <w:rPr>
          <w:spacing w:val="-2"/>
        </w:rPr>
        <w:t>change.</w:t>
      </w:r>
    </w:p>
    <w:p w14:paraId="1BB90F33" w14:textId="77777777" w:rsidR="00DB6E1F" w:rsidRDefault="00F666A6">
      <w:pPr>
        <w:pStyle w:val="ListParagraph"/>
        <w:numPr>
          <w:ilvl w:val="1"/>
          <w:numId w:val="92"/>
        </w:numPr>
        <w:tabs>
          <w:tab w:val="left" w:pos="2159"/>
          <w:tab w:val="left" w:pos="2160"/>
        </w:tabs>
        <w:ind w:hanging="361"/>
      </w:pPr>
      <w:r>
        <w:t>Action,</w:t>
      </w:r>
      <w:r>
        <w:rPr>
          <w:spacing w:val="-4"/>
        </w:rPr>
        <w:t xml:space="preserve"> </w:t>
      </w:r>
      <w:r>
        <w:t>in</w:t>
      </w:r>
      <w:r>
        <w:rPr>
          <w:spacing w:val="-5"/>
        </w:rPr>
        <w:t xml:space="preserve"> </w:t>
      </w:r>
      <w:r>
        <w:t>which</w:t>
      </w:r>
      <w:r>
        <w:rPr>
          <w:spacing w:val="-4"/>
        </w:rPr>
        <w:t xml:space="preserve"> </w:t>
      </w:r>
      <w:r>
        <w:t>people</w:t>
      </w:r>
      <w:r>
        <w:rPr>
          <w:spacing w:val="-2"/>
        </w:rPr>
        <w:t xml:space="preserve"> </w:t>
      </w:r>
      <w:r>
        <w:t>are</w:t>
      </w:r>
      <w:r>
        <w:rPr>
          <w:spacing w:val="-5"/>
        </w:rPr>
        <w:t xml:space="preserve"> </w:t>
      </w:r>
      <w:r>
        <w:t>taking</w:t>
      </w:r>
      <w:r>
        <w:rPr>
          <w:spacing w:val="-4"/>
        </w:rPr>
        <w:t xml:space="preserve"> </w:t>
      </w:r>
      <w:r>
        <w:t>steps</w:t>
      </w:r>
      <w:r>
        <w:rPr>
          <w:spacing w:val="-3"/>
        </w:rPr>
        <w:t xml:space="preserve"> </w:t>
      </w:r>
      <w:r>
        <w:t>to</w:t>
      </w:r>
      <w:r>
        <w:rPr>
          <w:spacing w:val="-2"/>
        </w:rPr>
        <w:t xml:space="preserve"> change.</w:t>
      </w:r>
    </w:p>
    <w:p w14:paraId="2588DAD1" w14:textId="77777777" w:rsidR="00DB6E1F" w:rsidRDefault="00DB6E1F">
      <w:pPr>
        <w:sectPr w:rsidR="00DB6E1F">
          <w:pgSz w:w="12240" w:h="15840"/>
          <w:pgMar w:top="960" w:right="0" w:bottom="940" w:left="0" w:header="762" w:footer="602" w:gutter="0"/>
          <w:cols w:space="720"/>
        </w:sectPr>
      </w:pPr>
    </w:p>
    <w:p w14:paraId="0E3F3BC0" w14:textId="77777777" w:rsidR="00DB6E1F" w:rsidRDefault="00DB6E1F">
      <w:pPr>
        <w:pStyle w:val="BodyText"/>
        <w:rPr>
          <w:sz w:val="20"/>
        </w:rPr>
      </w:pPr>
    </w:p>
    <w:p w14:paraId="2AE3F497" w14:textId="77777777" w:rsidR="00DB6E1F" w:rsidRDefault="00DB6E1F">
      <w:pPr>
        <w:pStyle w:val="BodyText"/>
        <w:spacing w:before="11"/>
        <w:rPr>
          <w:sz w:val="18"/>
        </w:rPr>
      </w:pPr>
    </w:p>
    <w:p w14:paraId="062B1568" w14:textId="77777777" w:rsidR="00DB6E1F" w:rsidRDefault="00F666A6">
      <w:pPr>
        <w:pStyle w:val="BodyText"/>
        <w:tabs>
          <w:tab w:val="left" w:pos="2159"/>
        </w:tabs>
        <w:ind w:left="1800"/>
      </w:pPr>
      <w:r>
        <w:rPr>
          <w:spacing w:val="-10"/>
        </w:rPr>
        <w:t>‒</w:t>
      </w:r>
      <w:r>
        <w:tab/>
        <w:t>Maintenance,</w:t>
      </w:r>
      <w:r>
        <w:rPr>
          <w:spacing w:val="-6"/>
        </w:rPr>
        <w:t xml:space="preserve"> </w:t>
      </w:r>
      <w:r>
        <w:t>in</w:t>
      </w:r>
      <w:r>
        <w:rPr>
          <w:spacing w:val="-5"/>
        </w:rPr>
        <w:t xml:space="preserve"> </w:t>
      </w:r>
      <w:r>
        <w:t>which</w:t>
      </w:r>
      <w:r>
        <w:rPr>
          <w:spacing w:val="-4"/>
        </w:rPr>
        <w:t xml:space="preserve"> </w:t>
      </w:r>
      <w:r>
        <w:t>people</w:t>
      </w:r>
      <w:r>
        <w:rPr>
          <w:spacing w:val="-3"/>
        </w:rPr>
        <w:t xml:space="preserve"> </w:t>
      </w:r>
      <w:r>
        <w:t>have</w:t>
      </w:r>
      <w:r>
        <w:rPr>
          <w:spacing w:val="-4"/>
        </w:rPr>
        <w:t xml:space="preserve"> </w:t>
      </w:r>
      <w:r>
        <w:t>met</w:t>
      </w:r>
      <w:r>
        <w:rPr>
          <w:spacing w:val="-4"/>
        </w:rPr>
        <w:t xml:space="preserve"> </w:t>
      </w:r>
      <w:r>
        <w:t>their</w:t>
      </w:r>
      <w:r>
        <w:rPr>
          <w:spacing w:val="-4"/>
        </w:rPr>
        <w:t xml:space="preserve"> </w:t>
      </w:r>
      <w:r>
        <w:t>change</w:t>
      </w:r>
      <w:r>
        <w:rPr>
          <w:spacing w:val="-6"/>
        </w:rPr>
        <w:t xml:space="preserve"> </w:t>
      </w:r>
      <w:r>
        <w:t>goal</w:t>
      </w:r>
      <w:r>
        <w:rPr>
          <w:spacing w:val="-3"/>
        </w:rPr>
        <w:t xml:space="preserve"> </w:t>
      </w:r>
      <w:r>
        <w:t>and</w:t>
      </w:r>
      <w:r>
        <w:rPr>
          <w:spacing w:val="-4"/>
        </w:rPr>
        <w:t xml:space="preserve"> </w:t>
      </w:r>
      <w:r>
        <w:t>the</w:t>
      </w:r>
      <w:r>
        <w:rPr>
          <w:spacing w:val="-5"/>
        </w:rPr>
        <w:t xml:space="preserve"> </w:t>
      </w:r>
      <w:r>
        <w:t>behavior</w:t>
      </w:r>
      <w:r>
        <w:rPr>
          <w:spacing w:val="-5"/>
        </w:rPr>
        <w:t xml:space="preserve"> </w:t>
      </w:r>
      <w:r>
        <w:t>change</w:t>
      </w:r>
      <w:r>
        <w:rPr>
          <w:spacing w:val="-2"/>
        </w:rPr>
        <w:t xml:space="preserve"> </w:t>
      </w:r>
      <w:r>
        <w:t>is</w:t>
      </w:r>
      <w:r>
        <w:rPr>
          <w:spacing w:val="-3"/>
        </w:rPr>
        <w:t xml:space="preserve"> </w:t>
      </w:r>
      <w:r>
        <w:rPr>
          <w:spacing w:val="-2"/>
        </w:rPr>
        <w:t>stable.</w:t>
      </w:r>
    </w:p>
    <w:p w14:paraId="3DE0F45F" w14:textId="77777777" w:rsidR="00DB6E1F" w:rsidRDefault="00F666A6">
      <w:pPr>
        <w:pStyle w:val="Heading3"/>
        <w:spacing w:before="185"/>
      </w:pPr>
      <w:r>
        <w:t>Chapter</w:t>
      </w:r>
      <w:r>
        <w:rPr>
          <w:spacing w:val="-12"/>
        </w:rPr>
        <w:t xml:space="preserve"> </w:t>
      </w:r>
      <w:r>
        <w:t>2—Motivational</w:t>
      </w:r>
      <w:r>
        <w:rPr>
          <w:spacing w:val="-11"/>
        </w:rPr>
        <w:t xml:space="preserve"> </w:t>
      </w:r>
      <w:r>
        <w:t>Counseling</w:t>
      </w:r>
      <w:r>
        <w:rPr>
          <w:spacing w:val="-9"/>
        </w:rPr>
        <w:t xml:space="preserve"> </w:t>
      </w:r>
      <w:r>
        <w:t>and</w:t>
      </w:r>
      <w:r>
        <w:rPr>
          <w:spacing w:val="-9"/>
        </w:rPr>
        <w:t xml:space="preserve"> </w:t>
      </w:r>
      <w:r>
        <w:t>Brief</w:t>
      </w:r>
      <w:r>
        <w:rPr>
          <w:spacing w:val="-11"/>
        </w:rPr>
        <w:t xml:space="preserve"> </w:t>
      </w:r>
      <w:r>
        <w:rPr>
          <w:spacing w:val="-2"/>
        </w:rPr>
        <w:t>Intervention</w:t>
      </w:r>
    </w:p>
    <w:p w14:paraId="7A0BC630" w14:textId="77777777" w:rsidR="00DB6E1F" w:rsidRDefault="00F666A6">
      <w:pPr>
        <w:pStyle w:val="BodyText"/>
        <w:spacing w:before="143"/>
        <w:ind w:left="1438" w:right="1286" w:firstLine="1"/>
      </w:pPr>
      <w:r>
        <w:t>This</w:t>
      </w:r>
      <w:r>
        <w:rPr>
          <w:spacing w:val="-2"/>
        </w:rPr>
        <w:t xml:space="preserve"> </w:t>
      </w:r>
      <w:r>
        <w:t>chapter</w:t>
      </w:r>
      <w:r>
        <w:rPr>
          <w:spacing w:val="-5"/>
        </w:rPr>
        <w:t xml:space="preserve"> </w:t>
      </w:r>
      <w:r>
        <w:t>is</w:t>
      </w:r>
      <w:r>
        <w:rPr>
          <w:spacing w:val="-2"/>
        </w:rPr>
        <w:t xml:space="preserve"> </w:t>
      </w:r>
      <w:r>
        <w:t>an</w:t>
      </w:r>
      <w:r>
        <w:rPr>
          <w:spacing w:val="-5"/>
        </w:rPr>
        <w:t xml:space="preserve"> </w:t>
      </w:r>
      <w:r>
        <w:t>overview</w:t>
      </w:r>
      <w:r>
        <w:rPr>
          <w:spacing w:val="-4"/>
        </w:rPr>
        <w:t xml:space="preserve"> </w:t>
      </w:r>
      <w:r>
        <w:t>of</w:t>
      </w:r>
      <w:r>
        <w:rPr>
          <w:spacing w:val="-5"/>
        </w:rPr>
        <w:t xml:space="preserve"> </w:t>
      </w:r>
      <w:r>
        <w:t>motivational</w:t>
      </w:r>
      <w:r>
        <w:rPr>
          <w:spacing w:val="-2"/>
        </w:rPr>
        <w:t xml:space="preserve"> </w:t>
      </w:r>
      <w:r>
        <w:t>counseling</w:t>
      </w:r>
      <w:r>
        <w:rPr>
          <w:spacing w:val="-3"/>
        </w:rPr>
        <w:t xml:space="preserve"> </w:t>
      </w:r>
      <w:r>
        <w:t>approaches,</w:t>
      </w:r>
      <w:r>
        <w:rPr>
          <w:spacing w:val="-2"/>
        </w:rPr>
        <w:t xml:space="preserve"> </w:t>
      </w:r>
      <w:r>
        <w:t>including</w:t>
      </w:r>
      <w:r>
        <w:rPr>
          <w:spacing w:val="-2"/>
        </w:rPr>
        <w:t xml:space="preserve"> </w:t>
      </w:r>
      <w:r>
        <w:t>screening,</w:t>
      </w:r>
      <w:r>
        <w:rPr>
          <w:spacing w:val="-2"/>
        </w:rPr>
        <w:t xml:space="preserve"> </w:t>
      </w:r>
      <w:r>
        <w:t>brief</w:t>
      </w:r>
      <w:r>
        <w:rPr>
          <w:spacing w:val="-2"/>
        </w:rPr>
        <w:t xml:space="preserve"> </w:t>
      </w:r>
      <w:r>
        <w:t>intervention, and referral to treatment (SBIRT). It describes elements of effective motivational counseling approaches, includin</w:t>
      </w:r>
      <w:r>
        <w:t>g FRAMES (</w:t>
      </w:r>
      <w:r>
        <w:rPr>
          <w:b/>
        </w:rPr>
        <w:t>F</w:t>
      </w:r>
      <w:r>
        <w:t xml:space="preserve">eedback, </w:t>
      </w:r>
      <w:r>
        <w:rPr>
          <w:b/>
        </w:rPr>
        <w:t>R</w:t>
      </w:r>
      <w:r>
        <w:t xml:space="preserve">esponsibility, </w:t>
      </w:r>
      <w:r>
        <w:rPr>
          <w:b/>
        </w:rPr>
        <w:t>A</w:t>
      </w:r>
      <w:r>
        <w:t xml:space="preserve">dvice, </w:t>
      </w:r>
      <w:r>
        <w:rPr>
          <w:b/>
        </w:rPr>
        <w:t>M</w:t>
      </w:r>
      <w:r>
        <w:t xml:space="preserve">enu of options, </w:t>
      </w:r>
      <w:r>
        <w:rPr>
          <w:b/>
        </w:rPr>
        <w:t>E</w:t>
      </w:r>
      <w:r>
        <w:t xml:space="preserve">mpathy, and </w:t>
      </w:r>
      <w:r>
        <w:rPr>
          <w:b/>
        </w:rPr>
        <w:t>S</w:t>
      </w:r>
      <w:r>
        <w:t xml:space="preserve">elf-efficacy), decisional balancing, discrepancy development, flexible pacing, and maintenance of contact with clients. The chapter describes counselors’ focus in each stage of the </w:t>
      </w:r>
      <w:r>
        <w:t>SOC model. It addresses special applications of motivational counseling with clients from diverse cultures and with clients who have co-occurring substance use and mental disorders (CODs).</w:t>
      </w:r>
    </w:p>
    <w:p w14:paraId="30BF0BEF" w14:textId="77777777" w:rsidR="00DB6E1F" w:rsidRDefault="00F666A6">
      <w:pPr>
        <w:pStyle w:val="BodyText"/>
        <w:spacing w:before="160"/>
        <w:ind w:left="1438"/>
      </w:pPr>
      <w:r>
        <w:t>In</w:t>
      </w:r>
      <w:r>
        <w:rPr>
          <w:spacing w:val="-5"/>
        </w:rPr>
        <w:t xml:space="preserve"> </w:t>
      </w:r>
      <w:r>
        <w:t>Chapter</w:t>
      </w:r>
      <w:r>
        <w:rPr>
          <w:spacing w:val="-4"/>
        </w:rPr>
        <w:t xml:space="preserve"> </w:t>
      </w:r>
      <w:r>
        <w:t>2,</w:t>
      </w:r>
      <w:r>
        <w:rPr>
          <w:spacing w:val="-3"/>
        </w:rPr>
        <w:t xml:space="preserve"> </w:t>
      </w:r>
      <w:r>
        <w:t>readers</w:t>
      </w:r>
      <w:r>
        <w:rPr>
          <w:spacing w:val="-4"/>
        </w:rPr>
        <w:t xml:space="preserve"> </w:t>
      </w:r>
      <w:r>
        <w:t>will</w:t>
      </w:r>
      <w:r>
        <w:rPr>
          <w:spacing w:val="-6"/>
        </w:rPr>
        <w:t xml:space="preserve"> </w:t>
      </w:r>
      <w:r>
        <w:t>learn</w:t>
      </w:r>
      <w:r>
        <w:rPr>
          <w:spacing w:val="-4"/>
        </w:rPr>
        <w:t xml:space="preserve"> that:</w:t>
      </w:r>
    </w:p>
    <w:p w14:paraId="2C39AA44" w14:textId="77777777" w:rsidR="00DB6E1F" w:rsidRDefault="00F666A6">
      <w:pPr>
        <w:pStyle w:val="ListParagraph"/>
        <w:numPr>
          <w:ilvl w:val="0"/>
          <w:numId w:val="92"/>
        </w:numPr>
        <w:tabs>
          <w:tab w:val="left" w:pos="1798"/>
          <w:tab w:val="left" w:pos="1800"/>
        </w:tabs>
        <w:spacing w:before="61"/>
        <w:ind w:left="1798" w:right="1874" w:hanging="360"/>
        <w:rPr>
          <w:rFonts w:ascii="Symbol" w:hAnsi="Symbol"/>
        </w:rPr>
      </w:pPr>
      <w:r>
        <w:t>Each</w:t>
      </w:r>
      <w:r>
        <w:rPr>
          <w:spacing w:val="-3"/>
        </w:rPr>
        <w:t xml:space="preserve"> </w:t>
      </w:r>
      <w:r>
        <w:t>stage</w:t>
      </w:r>
      <w:r>
        <w:rPr>
          <w:spacing w:val="-4"/>
        </w:rPr>
        <w:t xml:space="preserve"> </w:t>
      </w:r>
      <w:r>
        <w:t>in</w:t>
      </w:r>
      <w:r>
        <w:rPr>
          <w:spacing w:val="-3"/>
        </w:rPr>
        <w:t xml:space="preserve"> </w:t>
      </w:r>
      <w:r>
        <w:t>the</w:t>
      </w:r>
      <w:r>
        <w:rPr>
          <w:spacing w:val="-4"/>
        </w:rPr>
        <w:t xml:space="preserve"> </w:t>
      </w:r>
      <w:r>
        <w:t>SOC</w:t>
      </w:r>
      <w:r>
        <w:rPr>
          <w:spacing w:val="-2"/>
        </w:rPr>
        <w:t xml:space="preserve"> </w:t>
      </w:r>
      <w:r>
        <w:t>approach</w:t>
      </w:r>
      <w:r>
        <w:rPr>
          <w:spacing w:val="-3"/>
        </w:rPr>
        <w:t xml:space="preserve"> </w:t>
      </w:r>
      <w:r>
        <w:t>has</w:t>
      </w:r>
      <w:r>
        <w:rPr>
          <w:spacing w:val="-2"/>
        </w:rPr>
        <w:t xml:space="preserve"> </w:t>
      </w:r>
      <w:r>
        <w:t>predominant</w:t>
      </w:r>
      <w:r>
        <w:rPr>
          <w:spacing w:val="-4"/>
        </w:rPr>
        <w:t xml:space="preserve"> </w:t>
      </w:r>
      <w:r>
        <w:t>experiential</w:t>
      </w:r>
      <w:r>
        <w:rPr>
          <w:spacing w:val="-2"/>
        </w:rPr>
        <w:t xml:space="preserve"> </w:t>
      </w:r>
      <w:r>
        <w:t>and</w:t>
      </w:r>
      <w:r>
        <w:rPr>
          <w:spacing w:val="-3"/>
        </w:rPr>
        <w:t xml:space="preserve"> </w:t>
      </w:r>
      <w:r>
        <w:t>behavioral</w:t>
      </w:r>
      <w:r>
        <w:rPr>
          <w:spacing w:val="-2"/>
        </w:rPr>
        <w:t xml:space="preserve"> </w:t>
      </w:r>
      <w:r>
        <w:t>catalysts</w:t>
      </w:r>
      <w:r>
        <w:rPr>
          <w:spacing w:val="-2"/>
        </w:rPr>
        <w:t xml:space="preserve"> </w:t>
      </w:r>
      <w:r>
        <w:t>for</w:t>
      </w:r>
      <w:r>
        <w:rPr>
          <w:spacing w:val="-4"/>
        </w:rPr>
        <w:t xml:space="preserve"> </w:t>
      </w:r>
      <w:r>
        <w:t>client change on which counselors should focus.</w:t>
      </w:r>
    </w:p>
    <w:p w14:paraId="3B45AF65" w14:textId="77777777" w:rsidR="00DB6E1F" w:rsidRDefault="00F666A6">
      <w:pPr>
        <w:pStyle w:val="ListParagraph"/>
        <w:numPr>
          <w:ilvl w:val="0"/>
          <w:numId w:val="92"/>
        </w:numPr>
        <w:tabs>
          <w:tab w:val="left" w:pos="1798"/>
          <w:tab w:val="left" w:pos="1799"/>
        </w:tabs>
        <w:spacing w:before="58"/>
        <w:ind w:left="1798" w:right="2456"/>
        <w:rPr>
          <w:rFonts w:ascii="Symbol" w:hAnsi="Symbol"/>
        </w:rPr>
      </w:pPr>
      <w:r>
        <w:t>Counselors</w:t>
      </w:r>
      <w:r>
        <w:rPr>
          <w:spacing w:val="-3"/>
        </w:rPr>
        <w:t xml:space="preserve"> </w:t>
      </w:r>
      <w:r>
        <w:t>should</w:t>
      </w:r>
      <w:r>
        <w:rPr>
          <w:spacing w:val="-4"/>
        </w:rPr>
        <w:t xml:space="preserve"> </w:t>
      </w:r>
      <w:r>
        <w:t>adopt</w:t>
      </w:r>
      <w:r>
        <w:rPr>
          <w:spacing w:val="-5"/>
        </w:rPr>
        <w:t xml:space="preserve"> </w:t>
      </w:r>
      <w:r>
        <w:t>the</w:t>
      </w:r>
      <w:r>
        <w:rPr>
          <w:spacing w:val="-3"/>
        </w:rPr>
        <w:t xml:space="preserve"> </w:t>
      </w:r>
      <w:r>
        <w:t>principles</w:t>
      </w:r>
      <w:r>
        <w:rPr>
          <w:spacing w:val="-5"/>
        </w:rPr>
        <w:t xml:space="preserve"> </w:t>
      </w:r>
      <w:r>
        <w:t>of</w:t>
      </w:r>
      <w:r>
        <w:rPr>
          <w:spacing w:val="-3"/>
        </w:rPr>
        <w:t xml:space="preserve"> </w:t>
      </w:r>
      <w:r>
        <w:t>cultural</w:t>
      </w:r>
      <w:r>
        <w:rPr>
          <w:spacing w:val="-6"/>
        </w:rPr>
        <w:t xml:space="preserve"> </w:t>
      </w:r>
      <w:r>
        <w:t>responsiveness</w:t>
      </w:r>
      <w:r>
        <w:rPr>
          <w:spacing w:val="-3"/>
        </w:rPr>
        <w:t xml:space="preserve"> </w:t>
      </w:r>
      <w:r>
        <w:t>and</w:t>
      </w:r>
      <w:r>
        <w:rPr>
          <w:spacing w:val="-4"/>
        </w:rPr>
        <w:t xml:space="preserve"> </w:t>
      </w:r>
      <w:r>
        <w:t>adapt</w:t>
      </w:r>
      <w:r>
        <w:rPr>
          <w:spacing w:val="-5"/>
        </w:rPr>
        <w:t xml:space="preserve"> </w:t>
      </w:r>
      <w:r>
        <w:t>motivational interventions to those principles when treating clie</w:t>
      </w:r>
      <w:r>
        <w:t>nts from diverse backgrounds.</w:t>
      </w:r>
    </w:p>
    <w:p w14:paraId="7B669479" w14:textId="77777777" w:rsidR="00DB6E1F" w:rsidRDefault="00F666A6">
      <w:pPr>
        <w:pStyle w:val="ListParagraph"/>
        <w:numPr>
          <w:ilvl w:val="0"/>
          <w:numId w:val="92"/>
        </w:numPr>
        <w:tabs>
          <w:tab w:val="left" w:pos="1798"/>
          <w:tab w:val="left" w:pos="1799"/>
        </w:tabs>
        <w:ind w:left="1798" w:right="1200" w:hanging="360"/>
        <w:rPr>
          <w:rFonts w:ascii="Symbol" w:hAnsi="Symbol"/>
        </w:rPr>
      </w:pPr>
      <w:r>
        <w:t>Even</w:t>
      </w:r>
      <w:r>
        <w:rPr>
          <w:spacing w:val="-5"/>
        </w:rPr>
        <w:t xml:space="preserve"> </w:t>
      </w:r>
      <w:r>
        <w:t>mild</w:t>
      </w:r>
      <w:r>
        <w:rPr>
          <w:spacing w:val="-3"/>
        </w:rPr>
        <w:t xml:space="preserve"> </w:t>
      </w:r>
      <w:r>
        <w:t>substance</w:t>
      </w:r>
      <w:r>
        <w:rPr>
          <w:spacing w:val="-4"/>
        </w:rPr>
        <w:t xml:space="preserve"> </w:t>
      </w:r>
      <w:r>
        <w:t>misuse</w:t>
      </w:r>
      <w:r>
        <w:rPr>
          <w:spacing w:val="-1"/>
        </w:rPr>
        <w:t xml:space="preserve"> </w:t>
      </w:r>
      <w:r>
        <w:t>can</w:t>
      </w:r>
      <w:r>
        <w:rPr>
          <w:spacing w:val="-3"/>
        </w:rPr>
        <w:t xml:space="preserve"> </w:t>
      </w:r>
      <w:r>
        <w:t>impede</w:t>
      </w:r>
      <w:r>
        <w:rPr>
          <w:spacing w:val="-4"/>
        </w:rPr>
        <w:t xml:space="preserve"> </w:t>
      </w:r>
      <w:r>
        <w:t>functioning</w:t>
      </w:r>
      <w:r>
        <w:rPr>
          <w:spacing w:val="-2"/>
        </w:rPr>
        <w:t xml:space="preserve"> </w:t>
      </w:r>
      <w:r>
        <w:t>in</w:t>
      </w:r>
      <w:r>
        <w:rPr>
          <w:spacing w:val="-3"/>
        </w:rPr>
        <w:t xml:space="preserve"> </w:t>
      </w:r>
      <w:r>
        <w:t>people</w:t>
      </w:r>
      <w:r>
        <w:rPr>
          <w:spacing w:val="-4"/>
        </w:rPr>
        <w:t xml:space="preserve"> </w:t>
      </w:r>
      <w:r>
        <w:t>with</w:t>
      </w:r>
      <w:r>
        <w:rPr>
          <w:spacing w:val="-2"/>
        </w:rPr>
        <w:t xml:space="preserve"> </w:t>
      </w:r>
      <w:r>
        <w:t>CODs,</w:t>
      </w:r>
      <w:r>
        <w:rPr>
          <w:spacing w:val="-2"/>
        </w:rPr>
        <w:t xml:space="preserve"> </w:t>
      </w:r>
      <w:r>
        <w:t>including</w:t>
      </w:r>
      <w:r>
        <w:rPr>
          <w:spacing w:val="-3"/>
        </w:rPr>
        <w:t xml:space="preserve"> </w:t>
      </w:r>
      <w:r>
        <w:t>co-occurring</w:t>
      </w:r>
      <w:r>
        <w:rPr>
          <w:spacing w:val="-3"/>
        </w:rPr>
        <w:t xml:space="preserve"> </w:t>
      </w:r>
      <w:r>
        <w:t>severe mental illness. Counselors</w:t>
      </w:r>
      <w:r>
        <w:rPr>
          <w:spacing w:val="-2"/>
        </w:rPr>
        <w:t xml:space="preserve"> </w:t>
      </w:r>
      <w:r>
        <w:t>can</w:t>
      </w:r>
      <w:r>
        <w:rPr>
          <w:spacing w:val="-3"/>
        </w:rPr>
        <w:t xml:space="preserve"> </w:t>
      </w:r>
      <w:r>
        <w:t>adapt</w:t>
      </w:r>
      <w:r>
        <w:rPr>
          <w:spacing w:val="-1"/>
        </w:rPr>
        <w:t xml:space="preserve"> </w:t>
      </w:r>
      <w:r>
        <w:t>motivational</w:t>
      </w:r>
      <w:r>
        <w:rPr>
          <w:spacing w:val="-2"/>
        </w:rPr>
        <w:t xml:space="preserve"> </w:t>
      </w:r>
      <w:r>
        <w:t>interventions</w:t>
      </w:r>
      <w:r>
        <w:rPr>
          <w:spacing w:val="-2"/>
        </w:rPr>
        <w:t xml:space="preserve"> </w:t>
      </w:r>
      <w:r>
        <w:t>for</w:t>
      </w:r>
      <w:r>
        <w:rPr>
          <w:spacing w:val="-2"/>
        </w:rPr>
        <w:t xml:space="preserve"> </w:t>
      </w:r>
      <w:r>
        <w:t>these</w:t>
      </w:r>
      <w:r>
        <w:rPr>
          <w:spacing w:val="-1"/>
        </w:rPr>
        <w:t xml:space="preserve"> </w:t>
      </w:r>
      <w:r>
        <w:t>clients.</w:t>
      </w:r>
    </w:p>
    <w:p w14:paraId="295ADD8B" w14:textId="77777777" w:rsidR="00DB6E1F" w:rsidRDefault="00F666A6">
      <w:pPr>
        <w:pStyle w:val="ListParagraph"/>
        <w:numPr>
          <w:ilvl w:val="0"/>
          <w:numId w:val="92"/>
        </w:numPr>
        <w:tabs>
          <w:tab w:val="left" w:pos="1798"/>
          <w:tab w:val="left" w:pos="1799"/>
        </w:tabs>
        <w:spacing w:before="61"/>
        <w:ind w:left="1798" w:right="1673" w:hanging="360"/>
        <w:rPr>
          <w:rFonts w:ascii="Symbol" w:hAnsi="Symbol"/>
        </w:rPr>
      </w:pPr>
      <w:r>
        <w:t>Brief</w:t>
      </w:r>
      <w:r>
        <w:rPr>
          <w:spacing w:val="-6"/>
        </w:rPr>
        <w:t xml:space="preserve"> </w:t>
      </w:r>
      <w:r>
        <w:t>motivational</w:t>
      </w:r>
      <w:r>
        <w:rPr>
          <w:spacing w:val="-3"/>
        </w:rPr>
        <w:t xml:space="preserve"> </w:t>
      </w:r>
      <w:r>
        <w:t>interventions,</w:t>
      </w:r>
      <w:r>
        <w:rPr>
          <w:spacing w:val="-3"/>
        </w:rPr>
        <w:t xml:space="preserve"> </w:t>
      </w:r>
      <w:r>
        <w:t>including</w:t>
      </w:r>
      <w:r>
        <w:rPr>
          <w:spacing w:val="-3"/>
        </w:rPr>
        <w:t xml:space="preserve"> </w:t>
      </w:r>
      <w:r>
        <w:t>SBIRT,</w:t>
      </w:r>
      <w:r>
        <w:rPr>
          <w:spacing w:val="-5"/>
        </w:rPr>
        <w:t xml:space="preserve"> </w:t>
      </w:r>
      <w:r>
        <w:t>are</w:t>
      </w:r>
      <w:r>
        <w:rPr>
          <w:spacing w:val="-7"/>
        </w:rPr>
        <w:t xml:space="preserve"> </w:t>
      </w:r>
      <w:r>
        <w:t>effective</w:t>
      </w:r>
      <w:r>
        <w:rPr>
          <w:spacing w:val="-5"/>
        </w:rPr>
        <w:t xml:space="preserve"> </w:t>
      </w:r>
      <w:r>
        <w:t>in</w:t>
      </w:r>
      <w:r>
        <w:rPr>
          <w:spacing w:val="-4"/>
        </w:rPr>
        <w:t xml:space="preserve"> </w:t>
      </w:r>
      <w:r>
        <w:t>specialty</w:t>
      </w:r>
      <w:r>
        <w:rPr>
          <w:spacing w:val="-2"/>
        </w:rPr>
        <w:t xml:space="preserve"> </w:t>
      </w:r>
      <w:r>
        <w:t>SUD</w:t>
      </w:r>
      <w:r>
        <w:rPr>
          <w:spacing w:val="-4"/>
        </w:rPr>
        <w:t xml:space="preserve"> </w:t>
      </w:r>
      <w:r>
        <w:t>treatment</w:t>
      </w:r>
      <w:r>
        <w:rPr>
          <w:spacing w:val="-2"/>
        </w:rPr>
        <w:t xml:space="preserve"> </w:t>
      </w:r>
      <w:r>
        <w:t>facilities and opportunistic settings (e.g., primary care offices, emergency departments).</w:t>
      </w:r>
    </w:p>
    <w:p w14:paraId="1DF1F371" w14:textId="77777777" w:rsidR="00DB6E1F" w:rsidRDefault="00F666A6">
      <w:pPr>
        <w:pStyle w:val="ListParagraph"/>
        <w:numPr>
          <w:ilvl w:val="0"/>
          <w:numId w:val="92"/>
        </w:numPr>
        <w:tabs>
          <w:tab w:val="left" w:pos="1797"/>
          <w:tab w:val="left" w:pos="1798"/>
        </w:tabs>
        <w:spacing w:before="58"/>
        <w:rPr>
          <w:rFonts w:ascii="Symbol" w:hAnsi="Symbol"/>
        </w:rPr>
      </w:pPr>
      <w:r>
        <w:t>Brief</w:t>
      </w:r>
      <w:r>
        <w:rPr>
          <w:spacing w:val="-7"/>
        </w:rPr>
        <w:t xml:space="preserve"> </w:t>
      </w:r>
      <w:r>
        <w:t>interventions</w:t>
      </w:r>
      <w:r>
        <w:rPr>
          <w:spacing w:val="-7"/>
        </w:rPr>
        <w:t xml:space="preserve"> </w:t>
      </w:r>
      <w:r>
        <w:t>emphasize</w:t>
      </w:r>
      <w:r>
        <w:rPr>
          <w:spacing w:val="-4"/>
        </w:rPr>
        <w:t xml:space="preserve"> </w:t>
      </w:r>
      <w:r>
        <w:t>risk</w:t>
      </w:r>
      <w:r>
        <w:rPr>
          <w:spacing w:val="-3"/>
        </w:rPr>
        <w:t xml:space="preserve"> </w:t>
      </w:r>
      <w:r>
        <w:t>reduction</w:t>
      </w:r>
      <w:r>
        <w:rPr>
          <w:spacing w:val="-8"/>
        </w:rPr>
        <w:t xml:space="preserve"> </w:t>
      </w:r>
      <w:r>
        <w:t>and</w:t>
      </w:r>
      <w:r>
        <w:rPr>
          <w:spacing w:val="-5"/>
        </w:rPr>
        <w:t xml:space="preserve"> </w:t>
      </w:r>
      <w:r>
        <w:t>referral</w:t>
      </w:r>
      <w:r>
        <w:rPr>
          <w:spacing w:val="-5"/>
        </w:rPr>
        <w:t xml:space="preserve"> </w:t>
      </w:r>
      <w:r>
        <w:t>to</w:t>
      </w:r>
      <w:r>
        <w:rPr>
          <w:spacing w:val="-6"/>
        </w:rPr>
        <w:t xml:space="preserve"> </w:t>
      </w:r>
      <w:r>
        <w:t>specialty</w:t>
      </w:r>
      <w:r>
        <w:rPr>
          <w:spacing w:val="-4"/>
        </w:rPr>
        <w:t xml:space="preserve"> </w:t>
      </w:r>
      <w:r>
        <w:t>addiction</w:t>
      </w:r>
      <w:r>
        <w:rPr>
          <w:spacing w:val="-7"/>
        </w:rPr>
        <w:t xml:space="preserve"> </w:t>
      </w:r>
      <w:r>
        <w:t>treatment</w:t>
      </w:r>
      <w:r>
        <w:rPr>
          <w:spacing w:val="-5"/>
        </w:rPr>
        <w:t xml:space="preserve"> </w:t>
      </w:r>
      <w:r>
        <w:t>i</w:t>
      </w:r>
      <w:r>
        <w:t>f</w:t>
      </w:r>
      <w:r>
        <w:rPr>
          <w:spacing w:val="-5"/>
        </w:rPr>
        <w:t xml:space="preserve"> </w:t>
      </w:r>
      <w:r>
        <w:rPr>
          <w:spacing w:val="-2"/>
        </w:rPr>
        <w:t>needed.</w:t>
      </w:r>
    </w:p>
    <w:p w14:paraId="6614F6A3" w14:textId="77777777" w:rsidR="00DB6E1F" w:rsidRDefault="00F666A6">
      <w:pPr>
        <w:pStyle w:val="Heading3"/>
        <w:spacing w:before="165"/>
      </w:pPr>
      <w:r>
        <w:t>Chapter</w:t>
      </w:r>
      <w:r>
        <w:rPr>
          <w:spacing w:val="-12"/>
        </w:rPr>
        <w:t xml:space="preserve"> </w:t>
      </w:r>
      <w:r>
        <w:t>3—Motivational</w:t>
      </w:r>
      <w:r>
        <w:rPr>
          <w:spacing w:val="-10"/>
        </w:rPr>
        <w:t xml:space="preserve"> </w:t>
      </w:r>
      <w:r>
        <w:t>Interviewing</w:t>
      </w:r>
      <w:r>
        <w:rPr>
          <w:spacing w:val="-9"/>
        </w:rPr>
        <w:t xml:space="preserve"> </w:t>
      </w:r>
      <w:r>
        <w:t>as</w:t>
      </w:r>
      <w:r>
        <w:rPr>
          <w:spacing w:val="-9"/>
        </w:rPr>
        <w:t xml:space="preserve"> </w:t>
      </w:r>
      <w:r>
        <w:t>a</w:t>
      </w:r>
      <w:r>
        <w:rPr>
          <w:spacing w:val="-10"/>
        </w:rPr>
        <w:t xml:space="preserve"> </w:t>
      </w:r>
      <w:r>
        <w:t>Counseling</w:t>
      </w:r>
      <w:r>
        <w:rPr>
          <w:spacing w:val="-9"/>
        </w:rPr>
        <w:t xml:space="preserve"> </w:t>
      </w:r>
      <w:r>
        <w:rPr>
          <w:spacing w:val="-2"/>
        </w:rPr>
        <w:t>Style</w:t>
      </w:r>
    </w:p>
    <w:p w14:paraId="4D46BB15" w14:textId="77777777" w:rsidR="00DB6E1F" w:rsidRDefault="00F666A6">
      <w:pPr>
        <w:pStyle w:val="BodyText"/>
        <w:spacing w:before="143"/>
        <w:ind w:left="1440" w:right="1491"/>
      </w:pPr>
      <w:r>
        <w:t>This chapter provides an overview of the spirit of MI, the principles of person-centered counseling, the core</w:t>
      </w:r>
      <w:r>
        <w:rPr>
          <w:spacing w:val="-2"/>
        </w:rPr>
        <w:t xml:space="preserve"> </w:t>
      </w:r>
      <w:r>
        <w:t>counseling</w:t>
      </w:r>
      <w:r>
        <w:rPr>
          <w:spacing w:val="-1"/>
        </w:rPr>
        <w:t xml:space="preserve"> </w:t>
      </w:r>
      <w:r>
        <w:t>skills</w:t>
      </w:r>
      <w:r>
        <w:rPr>
          <w:spacing w:val="-2"/>
        </w:rPr>
        <w:t xml:space="preserve"> </w:t>
      </w:r>
      <w:r>
        <w:t>of</w:t>
      </w:r>
      <w:r>
        <w:rPr>
          <w:spacing w:val="-3"/>
        </w:rPr>
        <w:t xml:space="preserve"> </w:t>
      </w:r>
      <w:r>
        <w:t>MI</w:t>
      </w:r>
      <w:r>
        <w:rPr>
          <w:spacing w:val="-2"/>
        </w:rPr>
        <w:t xml:space="preserve"> </w:t>
      </w:r>
      <w:r>
        <w:t>(i.e. asking</w:t>
      </w:r>
      <w:r>
        <w:rPr>
          <w:spacing w:val="-3"/>
        </w:rPr>
        <w:t xml:space="preserve"> </w:t>
      </w:r>
      <w:r>
        <w:t>open</w:t>
      </w:r>
      <w:r>
        <w:rPr>
          <w:spacing w:val="-1"/>
        </w:rPr>
        <w:t xml:space="preserve"> </w:t>
      </w:r>
      <w:r>
        <w:t>questions,</w:t>
      </w:r>
      <w:r>
        <w:rPr>
          <w:spacing w:val="-2"/>
        </w:rPr>
        <w:t xml:space="preserve"> </w:t>
      </w:r>
      <w:r>
        <w:t>affirming, reflective</w:t>
      </w:r>
      <w:r>
        <w:rPr>
          <w:spacing w:val="-2"/>
        </w:rPr>
        <w:t xml:space="preserve"> </w:t>
      </w:r>
      <w:r>
        <w:t>listening, and</w:t>
      </w:r>
      <w:r>
        <w:rPr>
          <w:spacing w:val="-1"/>
        </w:rPr>
        <w:t xml:space="preserve"> </w:t>
      </w:r>
      <w:r>
        <w:t>summarizing), and</w:t>
      </w:r>
      <w:r>
        <w:rPr>
          <w:spacing w:val="-3"/>
        </w:rPr>
        <w:t xml:space="preserve"> </w:t>
      </w:r>
      <w:r>
        <w:t>the</w:t>
      </w:r>
      <w:r>
        <w:rPr>
          <w:spacing w:val="-1"/>
        </w:rPr>
        <w:t xml:space="preserve"> </w:t>
      </w:r>
      <w:r>
        <w:t>four</w:t>
      </w:r>
      <w:r>
        <w:rPr>
          <w:spacing w:val="-2"/>
        </w:rPr>
        <w:t xml:space="preserve"> </w:t>
      </w:r>
      <w:r>
        <w:t>processes</w:t>
      </w:r>
      <w:r>
        <w:rPr>
          <w:spacing w:val="-4"/>
        </w:rPr>
        <w:t xml:space="preserve"> </w:t>
      </w:r>
      <w:r>
        <w:t>of</w:t>
      </w:r>
      <w:r>
        <w:rPr>
          <w:spacing w:val="-5"/>
        </w:rPr>
        <w:t xml:space="preserve"> </w:t>
      </w:r>
      <w:r>
        <w:t>MI</w:t>
      </w:r>
      <w:r>
        <w:rPr>
          <w:spacing w:val="-2"/>
        </w:rPr>
        <w:t xml:space="preserve"> </w:t>
      </w:r>
      <w:r>
        <w:t>(i.e.,</w:t>
      </w:r>
      <w:r>
        <w:rPr>
          <w:spacing w:val="-4"/>
        </w:rPr>
        <w:t xml:space="preserve"> </w:t>
      </w:r>
      <w:r>
        <w:t>engaging,</w:t>
      </w:r>
      <w:r>
        <w:rPr>
          <w:spacing w:val="-2"/>
        </w:rPr>
        <w:t xml:space="preserve"> </w:t>
      </w:r>
      <w:r>
        <w:t>focusing,</w:t>
      </w:r>
      <w:r>
        <w:rPr>
          <w:spacing w:val="-4"/>
        </w:rPr>
        <w:t xml:space="preserve"> </w:t>
      </w:r>
      <w:r>
        <w:t>evoking,</w:t>
      </w:r>
      <w:r>
        <w:rPr>
          <w:spacing w:val="-2"/>
        </w:rPr>
        <w:t xml:space="preserve"> </w:t>
      </w:r>
      <w:r>
        <w:t>and</w:t>
      </w:r>
      <w:r>
        <w:rPr>
          <w:spacing w:val="-3"/>
        </w:rPr>
        <w:t xml:space="preserve"> </w:t>
      </w:r>
      <w:r>
        <w:t>planning).</w:t>
      </w:r>
      <w:r>
        <w:rPr>
          <w:spacing w:val="-3"/>
        </w:rPr>
        <w:t xml:space="preserve"> </w:t>
      </w:r>
      <w:r>
        <w:t>It</w:t>
      </w:r>
      <w:r>
        <w:rPr>
          <w:spacing w:val="-4"/>
        </w:rPr>
        <w:t xml:space="preserve"> </w:t>
      </w:r>
      <w:r>
        <w:t>describes</w:t>
      </w:r>
      <w:r>
        <w:rPr>
          <w:spacing w:val="-4"/>
        </w:rPr>
        <w:t xml:space="preserve"> </w:t>
      </w:r>
      <w:r>
        <w:t>what’s</w:t>
      </w:r>
      <w:r>
        <w:rPr>
          <w:spacing w:val="-2"/>
        </w:rPr>
        <w:t xml:space="preserve"> </w:t>
      </w:r>
      <w:r>
        <w:t>new</w:t>
      </w:r>
      <w:r>
        <w:rPr>
          <w:spacing w:val="-1"/>
        </w:rPr>
        <w:t xml:space="preserve"> </w:t>
      </w:r>
      <w:r>
        <w:t xml:space="preserve">in MI and dispels many misconceptions about MI. The chapter discusses the components that counselors </w:t>
      </w:r>
      <w:r>
        <w:t>use to help clients resolve ambivalence and move toward positive substance use behavior change.</w:t>
      </w:r>
    </w:p>
    <w:p w14:paraId="2D83F5BD" w14:textId="77777777" w:rsidR="00DB6E1F" w:rsidRDefault="00F666A6">
      <w:pPr>
        <w:pStyle w:val="BodyText"/>
        <w:spacing w:before="160"/>
        <w:ind w:left="1440"/>
      </w:pPr>
      <w:r>
        <w:t>In</w:t>
      </w:r>
      <w:r>
        <w:rPr>
          <w:spacing w:val="-5"/>
        </w:rPr>
        <w:t xml:space="preserve"> </w:t>
      </w:r>
      <w:r>
        <w:t>Chapter</w:t>
      </w:r>
      <w:r>
        <w:rPr>
          <w:spacing w:val="-4"/>
        </w:rPr>
        <w:t xml:space="preserve"> </w:t>
      </w:r>
      <w:r>
        <w:t>3,</w:t>
      </w:r>
      <w:r>
        <w:rPr>
          <w:spacing w:val="-3"/>
        </w:rPr>
        <w:t xml:space="preserve"> </w:t>
      </w:r>
      <w:r>
        <w:t>readers</w:t>
      </w:r>
      <w:r>
        <w:rPr>
          <w:spacing w:val="-4"/>
        </w:rPr>
        <w:t xml:space="preserve"> </w:t>
      </w:r>
      <w:r>
        <w:t>will</w:t>
      </w:r>
      <w:r>
        <w:rPr>
          <w:spacing w:val="-6"/>
        </w:rPr>
        <w:t xml:space="preserve"> </w:t>
      </w:r>
      <w:r>
        <w:t>learn</w:t>
      </w:r>
      <w:r>
        <w:rPr>
          <w:spacing w:val="-4"/>
        </w:rPr>
        <w:t xml:space="preserve"> that:</w:t>
      </w:r>
    </w:p>
    <w:p w14:paraId="3A7716B9" w14:textId="77777777" w:rsidR="00DB6E1F" w:rsidRDefault="00F666A6">
      <w:pPr>
        <w:pStyle w:val="ListParagraph"/>
        <w:numPr>
          <w:ilvl w:val="0"/>
          <w:numId w:val="92"/>
        </w:numPr>
        <w:tabs>
          <w:tab w:val="left" w:pos="1800"/>
          <w:tab w:val="left" w:pos="1801"/>
        </w:tabs>
        <w:ind w:left="1799" w:right="1510" w:hanging="360"/>
        <w:rPr>
          <w:rFonts w:ascii="Symbol" w:hAnsi="Symbol"/>
        </w:rPr>
      </w:pPr>
      <w:r>
        <w:t>Ambivalence</w:t>
      </w:r>
      <w:r>
        <w:rPr>
          <w:spacing w:val="-2"/>
        </w:rPr>
        <w:t xml:space="preserve"> </w:t>
      </w:r>
      <w:r>
        <w:t>about</w:t>
      </w:r>
      <w:r>
        <w:rPr>
          <w:spacing w:val="-2"/>
        </w:rPr>
        <w:t xml:space="preserve"> </w:t>
      </w:r>
      <w:r>
        <w:t>substance</w:t>
      </w:r>
      <w:r>
        <w:rPr>
          <w:spacing w:val="-2"/>
        </w:rPr>
        <w:t xml:space="preserve"> </w:t>
      </w:r>
      <w:r>
        <w:t>use</w:t>
      </w:r>
      <w:r>
        <w:rPr>
          <w:spacing w:val="-2"/>
        </w:rPr>
        <w:t xml:space="preserve"> </w:t>
      </w:r>
      <w:r>
        <w:t>and</w:t>
      </w:r>
      <w:r>
        <w:rPr>
          <w:spacing w:val="-6"/>
        </w:rPr>
        <w:t xml:space="preserve"> </w:t>
      </w:r>
      <w:r>
        <w:t>change</w:t>
      </w:r>
      <w:r>
        <w:rPr>
          <w:spacing w:val="-3"/>
        </w:rPr>
        <w:t xml:space="preserve"> </w:t>
      </w:r>
      <w:r>
        <w:t>is</w:t>
      </w:r>
      <w:r>
        <w:rPr>
          <w:spacing w:val="-3"/>
        </w:rPr>
        <w:t xml:space="preserve"> </w:t>
      </w:r>
      <w:r>
        <w:t>normal</w:t>
      </w:r>
      <w:r>
        <w:rPr>
          <w:spacing w:val="-3"/>
        </w:rPr>
        <w:t xml:space="preserve"> </w:t>
      </w:r>
      <w:r>
        <w:t>and</w:t>
      </w:r>
      <w:r>
        <w:rPr>
          <w:spacing w:val="-4"/>
        </w:rPr>
        <w:t xml:space="preserve"> </w:t>
      </w:r>
      <w:r>
        <w:t>a</w:t>
      </w:r>
      <w:r>
        <w:rPr>
          <w:spacing w:val="-5"/>
        </w:rPr>
        <w:t xml:space="preserve"> </w:t>
      </w:r>
      <w:r>
        <w:t>motivational</w:t>
      </w:r>
      <w:r>
        <w:rPr>
          <w:spacing w:val="-3"/>
        </w:rPr>
        <w:t xml:space="preserve"> </w:t>
      </w:r>
      <w:r>
        <w:t>barrier</w:t>
      </w:r>
      <w:r>
        <w:rPr>
          <w:spacing w:val="-3"/>
        </w:rPr>
        <w:t xml:space="preserve"> </w:t>
      </w:r>
      <w:r>
        <w:t>to</w:t>
      </w:r>
      <w:r>
        <w:rPr>
          <w:spacing w:val="-2"/>
        </w:rPr>
        <w:t xml:space="preserve"> </w:t>
      </w:r>
      <w:r>
        <w:t>substance</w:t>
      </w:r>
      <w:r>
        <w:rPr>
          <w:spacing w:val="-2"/>
        </w:rPr>
        <w:t xml:space="preserve"> </w:t>
      </w:r>
      <w:r>
        <w:t>use behavior change, if not explored.</w:t>
      </w:r>
    </w:p>
    <w:p w14:paraId="05AF807E" w14:textId="77777777" w:rsidR="00DB6E1F" w:rsidRDefault="00F666A6">
      <w:pPr>
        <w:pStyle w:val="ListParagraph"/>
        <w:numPr>
          <w:ilvl w:val="0"/>
          <w:numId w:val="92"/>
        </w:numPr>
        <w:tabs>
          <w:tab w:val="left" w:pos="1800"/>
          <w:tab w:val="left" w:pos="1801"/>
        </w:tabs>
        <w:spacing w:before="59"/>
        <w:ind w:left="1800" w:right="2189"/>
        <w:rPr>
          <w:rFonts w:ascii="Symbol" w:hAnsi="Symbol"/>
        </w:rPr>
      </w:pPr>
      <w:r>
        <w:t>The</w:t>
      </w:r>
      <w:r>
        <w:rPr>
          <w:spacing w:val="-1"/>
        </w:rPr>
        <w:t xml:space="preserve"> </w:t>
      </w:r>
      <w:r>
        <w:t>spirit</w:t>
      </w:r>
      <w:r>
        <w:rPr>
          <w:spacing w:val="-4"/>
        </w:rPr>
        <w:t xml:space="preserve"> </w:t>
      </w:r>
      <w:r>
        <w:t>of</w:t>
      </w:r>
      <w:r>
        <w:rPr>
          <w:spacing w:val="-5"/>
        </w:rPr>
        <w:t xml:space="preserve"> </w:t>
      </w:r>
      <w:r>
        <w:t>MI</w:t>
      </w:r>
      <w:r>
        <w:rPr>
          <w:spacing w:val="-2"/>
        </w:rPr>
        <w:t xml:space="preserve"> </w:t>
      </w:r>
      <w:r>
        <w:t>embodies</w:t>
      </w:r>
      <w:r>
        <w:rPr>
          <w:spacing w:val="-4"/>
        </w:rPr>
        <w:t xml:space="preserve"> </w:t>
      </w:r>
      <w:r>
        <w:t>the</w:t>
      </w:r>
      <w:r>
        <w:rPr>
          <w:spacing w:val="-1"/>
        </w:rPr>
        <w:t xml:space="preserve"> </w:t>
      </w:r>
      <w:r>
        <w:t>principles</w:t>
      </w:r>
      <w:r>
        <w:rPr>
          <w:spacing w:val="-4"/>
        </w:rPr>
        <w:t xml:space="preserve"> </w:t>
      </w:r>
      <w:r>
        <w:t>of</w:t>
      </w:r>
      <w:r>
        <w:rPr>
          <w:spacing w:val="-2"/>
        </w:rPr>
        <w:t xml:space="preserve"> </w:t>
      </w:r>
      <w:r>
        <w:t>person-centered</w:t>
      </w:r>
      <w:r>
        <w:rPr>
          <w:spacing w:val="-3"/>
        </w:rPr>
        <w:t xml:space="preserve"> </w:t>
      </w:r>
      <w:r>
        <w:t>counseling</w:t>
      </w:r>
      <w:r>
        <w:rPr>
          <w:spacing w:val="-3"/>
        </w:rPr>
        <w:t xml:space="preserve"> </w:t>
      </w:r>
      <w:r>
        <w:t>and</w:t>
      </w:r>
      <w:r>
        <w:rPr>
          <w:spacing w:val="-3"/>
        </w:rPr>
        <w:t xml:space="preserve"> </w:t>
      </w:r>
      <w:r>
        <w:t>is</w:t>
      </w:r>
      <w:r>
        <w:rPr>
          <w:spacing w:val="-4"/>
        </w:rPr>
        <w:t xml:space="preserve"> </w:t>
      </w:r>
      <w:r>
        <w:t>the</w:t>
      </w:r>
      <w:r>
        <w:rPr>
          <w:spacing w:val="-4"/>
        </w:rPr>
        <w:t xml:space="preserve"> </w:t>
      </w:r>
      <w:r>
        <w:t>basis</w:t>
      </w:r>
      <w:r>
        <w:rPr>
          <w:spacing w:val="-2"/>
        </w:rPr>
        <w:t xml:space="preserve"> </w:t>
      </w:r>
      <w:r>
        <w:t>of</w:t>
      </w:r>
      <w:r>
        <w:rPr>
          <w:spacing w:val="-4"/>
        </w:rPr>
        <w:t xml:space="preserve"> </w:t>
      </w:r>
      <w:r>
        <w:t>an empathetic, supportive counseling style.</w:t>
      </w:r>
    </w:p>
    <w:p w14:paraId="38E1079D" w14:textId="77777777" w:rsidR="00DB6E1F" w:rsidRDefault="00F666A6">
      <w:pPr>
        <w:pStyle w:val="ListParagraph"/>
        <w:numPr>
          <w:ilvl w:val="0"/>
          <w:numId w:val="92"/>
        </w:numPr>
        <w:tabs>
          <w:tab w:val="left" w:pos="1800"/>
          <w:tab w:val="left" w:pos="1801"/>
        </w:tabs>
        <w:ind w:left="1799" w:right="1452" w:hanging="360"/>
        <w:rPr>
          <w:rFonts w:ascii="Symbol" w:hAnsi="Symbol"/>
        </w:rPr>
      </w:pPr>
      <w:r>
        <w:t>Sustain talk is essentially statements the client makes for not changing (i.e., mai</w:t>
      </w:r>
      <w:r>
        <w:t>ntaining the status quo),</w:t>
      </w:r>
      <w:r>
        <w:rPr>
          <w:spacing w:val="-2"/>
        </w:rPr>
        <w:t xml:space="preserve"> </w:t>
      </w:r>
      <w:r>
        <w:t>and</w:t>
      </w:r>
      <w:r>
        <w:rPr>
          <w:spacing w:val="-3"/>
        </w:rPr>
        <w:t xml:space="preserve"> </w:t>
      </w:r>
      <w:r>
        <w:t>change</w:t>
      </w:r>
      <w:r>
        <w:rPr>
          <w:spacing w:val="-4"/>
        </w:rPr>
        <w:t xml:space="preserve"> </w:t>
      </w:r>
      <w:r>
        <w:t>talk</w:t>
      </w:r>
      <w:r>
        <w:rPr>
          <w:spacing w:val="-1"/>
        </w:rPr>
        <w:t xml:space="preserve"> </w:t>
      </w:r>
      <w:r>
        <w:t>is</w:t>
      </w:r>
      <w:r>
        <w:rPr>
          <w:spacing w:val="-2"/>
        </w:rPr>
        <w:t xml:space="preserve"> </w:t>
      </w:r>
      <w:r>
        <w:t>statements</w:t>
      </w:r>
      <w:r>
        <w:rPr>
          <w:spacing w:val="-5"/>
        </w:rPr>
        <w:t xml:space="preserve"> </w:t>
      </w:r>
      <w:r>
        <w:t>the</w:t>
      </w:r>
      <w:r>
        <w:rPr>
          <w:spacing w:val="-1"/>
        </w:rPr>
        <w:t xml:space="preserve"> </w:t>
      </w:r>
      <w:r>
        <w:t>client</w:t>
      </w:r>
      <w:r>
        <w:rPr>
          <w:spacing w:val="-4"/>
        </w:rPr>
        <w:t xml:space="preserve"> </w:t>
      </w:r>
      <w:r>
        <w:t>makes</w:t>
      </w:r>
      <w:r>
        <w:rPr>
          <w:spacing w:val="-2"/>
        </w:rPr>
        <w:t xml:space="preserve"> </w:t>
      </w:r>
      <w:r>
        <w:t>in</w:t>
      </w:r>
      <w:r>
        <w:rPr>
          <w:spacing w:val="-3"/>
        </w:rPr>
        <w:t xml:space="preserve"> </w:t>
      </w:r>
      <w:r>
        <w:t>favor</w:t>
      </w:r>
      <w:r>
        <w:rPr>
          <w:spacing w:val="-2"/>
        </w:rPr>
        <w:t xml:space="preserve"> </w:t>
      </w:r>
      <w:r>
        <w:t>of</w:t>
      </w:r>
      <w:r>
        <w:rPr>
          <w:spacing w:val="-4"/>
        </w:rPr>
        <w:t xml:space="preserve"> </w:t>
      </w:r>
      <w:r>
        <w:t>change.</w:t>
      </w:r>
      <w:r>
        <w:rPr>
          <w:spacing w:val="-2"/>
        </w:rPr>
        <w:t xml:space="preserve"> </w:t>
      </w:r>
      <w:r>
        <w:t>The</w:t>
      </w:r>
      <w:r>
        <w:rPr>
          <w:spacing w:val="-1"/>
        </w:rPr>
        <w:t xml:space="preserve"> </w:t>
      </w:r>
      <w:r>
        <w:t>key</w:t>
      </w:r>
      <w:r>
        <w:rPr>
          <w:spacing w:val="-3"/>
        </w:rPr>
        <w:t xml:space="preserve"> </w:t>
      </w:r>
      <w:r>
        <w:t>to</w:t>
      </w:r>
      <w:r>
        <w:rPr>
          <w:spacing w:val="-1"/>
        </w:rPr>
        <w:t xml:space="preserve"> </w:t>
      </w:r>
      <w:r>
        <w:t>helping</w:t>
      </w:r>
      <w:r>
        <w:rPr>
          <w:spacing w:val="-3"/>
        </w:rPr>
        <w:t xml:space="preserve"> </w:t>
      </w:r>
      <w:r>
        <w:t>the</w:t>
      </w:r>
      <w:r>
        <w:rPr>
          <w:spacing w:val="-1"/>
        </w:rPr>
        <w:t xml:space="preserve"> </w:t>
      </w:r>
      <w:r>
        <w:t>client move in the direction toward changing substance use behaviors is to evoke change talk and soften</w:t>
      </w:r>
      <w:r>
        <w:rPr>
          <w:spacing w:val="40"/>
        </w:rPr>
        <w:t xml:space="preserve"> </w:t>
      </w:r>
      <w:r>
        <w:t>or lessen the impact of sustain talk</w:t>
      </w:r>
      <w:r>
        <w:t xml:space="preserve"> on the client’s decision-making process.</w:t>
      </w:r>
    </w:p>
    <w:p w14:paraId="2BEDE176" w14:textId="77777777" w:rsidR="00DB6E1F" w:rsidRDefault="00F666A6">
      <w:pPr>
        <w:pStyle w:val="ListParagraph"/>
        <w:numPr>
          <w:ilvl w:val="0"/>
          <w:numId w:val="92"/>
        </w:numPr>
        <w:tabs>
          <w:tab w:val="left" w:pos="1799"/>
          <w:tab w:val="left" w:pos="1800"/>
        </w:tabs>
        <w:spacing w:before="61"/>
        <w:ind w:left="1799"/>
        <w:rPr>
          <w:rFonts w:ascii="Symbol" w:hAnsi="Symbol"/>
        </w:rPr>
      </w:pPr>
      <w:r>
        <w:t>The</w:t>
      </w:r>
      <w:r>
        <w:rPr>
          <w:spacing w:val="-3"/>
        </w:rPr>
        <w:t xml:space="preserve"> </w:t>
      </w:r>
      <w:r>
        <w:t>acronym</w:t>
      </w:r>
      <w:r>
        <w:rPr>
          <w:spacing w:val="-4"/>
        </w:rPr>
        <w:t xml:space="preserve"> </w:t>
      </w:r>
      <w:r>
        <w:t>OARS</w:t>
      </w:r>
      <w:r>
        <w:rPr>
          <w:spacing w:val="-4"/>
        </w:rPr>
        <w:t xml:space="preserve"> </w:t>
      </w:r>
      <w:r>
        <w:t>describes</w:t>
      </w:r>
      <w:r>
        <w:rPr>
          <w:spacing w:val="-3"/>
        </w:rPr>
        <w:t xml:space="preserve"> </w:t>
      </w:r>
      <w:r>
        <w:t>the</w:t>
      </w:r>
      <w:r>
        <w:rPr>
          <w:spacing w:val="-5"/>
        </w:rPr>
        <w:t xml:space="preserve"> </w:t>
      </w:r>
      <w:r>
        <w:t>core</w:t>
      </w:r>
      <w:r>
        <w:rPr>
          <w:spacing w:val="-2"/>
        </w:rPr>
        <w:t xml:space="preserve"> </w:t>
      </w:r>
      <w:r>
        <w:t>skills</w:t>
      </w:r>
      <w:r>
        <w:rPr>
          <w:spacing w:val="-5"/>
        </w:rPr>
        <w:t xml:space="preserve"> </w:t>
      </w:r>
      <w:r>
        <w:t>of</w:t>
      </w:r>
      <w:r>
        <w:rPr>
          <w:spacing w:val="-5"/>
        </w:rPr>
        <w:t xml:space="preserve"> MI:</w:t>
      </w:r>
    </w:p>
    <w:p w14:paraId="5FEF3406" w14:textId="77777777" w:rsidR="00DB6E1F" w:rsidRDefault="00F666A6">
      <w:pPr>
        <w:pStyle w:val="ListParagraph"/>
        <w:numPr>
          <w:ilvl w:val="1"/>
          <w:numId w:val="92"/>
        </w:numPr>
        <w:tabs>
          <w:tab w:val="left" w:pos="2159"/>
          <w:tab w:val="left" w:pos="2160"/>
        </w:tabs>
        <w:spacing w:before="58"/>
        <w:ind w:hanging="361"/>
      </w:pPr>
      <w:r>
        <w:t>Asking</w:t>
      </w:r>
      <w:r>
        <w:rPr>
          <w:spacing w:val="-4"/>
        </w:rPr>
        <w:t xml:space="preserve"> </w:t>
      </w:r>
      <w:r>
        <w:rPr>
          <w:b/>
        </w:rPr>
        <w:t>O</w:t>
      </w:r>
      <w:r>
        <w:t>pen</w:t>
      </w:r>
      <w:r>
        <w:rPr>
          <w:spacing w:val="-4"/>
        </w:rPr>
        <w:t xml:space="preserve"> </w:t>
      </w:r>
      <w:r>
        <w:rPr>
          <w:spacing w:val="-2"/>
        </w:rPr>
        <w:t>questions</w:t>
      </w:r>
    </w:p>
    <w:p w14:paraId="76ABA0F2" w14:textId="77777777" w:rsidR="00DB6E1F" w:rsidRDefault="00F666A6">
      <w:pPr>
        <w:pStyle w:val="ListParagraph"/>
        <w:numPr>
          <w:ilvl w:val="1"/>
          <w:numId w:val="92"/>
        </w:numPr>
        <w:tabs>
          <w:tab w:val="left" w:pos="2159"/>
          <w:tab w:val="left" w:pos="2160"/>
        </w:tabs>
        <w:ind w:hanging="361"/>
      </w:pPr>
      <w:r>
        <w:rPr>
          <w:b/>
        </w:rPr>
        <w:t>A</w:t>
      </w:r>
      <w:r>
        <w:t>ffirming</w:t>
      </w:r>
      <w:r>
        <w:rPr>
          <w:spacing w:val="-6"/>
        </w:rPr>
        <w:t xml:space="preserve"> </w:t>
      </w:r>
      <w:r>
        <w:t>the</w:t>
      </w:r>
      <w:r>
        <w:rPr>
          <w:spacing w:val="-4"/>
        </w:rPr>
        <w:t xml:space="preserve"> </w:t>
      </w:r>
      <w:r>
        <w:t>client’s</w:t>
      </w:r>
      <w:r>
        <w:rPr>
          <w:spacing w:val="-4"/>
        </w:rPr>
        <w:t xml:space="preserve"> </w:t>
      </w:r>
      <w:r>
        <w:rPr>
          <w:spacing w:val="-2"/>
        </w:rPr>
        <w:t>strengths</w:t>
      </w:r>
    </w:p>
    <w:p w14:paraId="314A4ACB" w14:textId="77777777" w:rsidR="00DB6E1F" w:rsidRDefault="00F666A6">
      <w:pPr>
        <w:pStyle w:val="ListParagraph"/>
        <w:numPr>
          <w:ilvl w:val="1"/>
          <w:numId w:val="92"/>
        </w:numPr>
        <w:tabs>
          <w:tab w:val="left" w:pos="2159"/>
          <w:tab w:val="left" w:pos="2160"/>
        </w:tabs>
        <w:ind w:hanging="361"/>
      </w:pPr>
      <w:r>
        <w:t>Using</w:t>
      </w:r>
      <w:r>
        <w:rPr>
          <w:spacing w:val="-6"/>
        </w:rPr>
        <w:t xml:space="preserve"> </w:t>
      </w:r>
      <w:r>
        <w:rPr>
          <w:b/>
        </w:rPr>
        <w:t>R</w:t>
      </w:r>
      <w:r>
        <w:t>eflective</w:t>
      </w:r>
      <w:r>
        <w:rPr>
          <w:spacing w:val="-4"/>
        </w:rPr>
        <w:t xml:space="preserve"> </w:t>
      </w:r>
      <w:r>
        <w:rPr>
          <w:spacing w:val="-2"/>
        </w:rPr>
        <w:t>listening</w:t>
      </w:r>
    </w:p>
    <w:p w14:paraId="0A24105C" w14:textId="77777777" w:rsidR="00DB6E1F" w:rsidRDefault="00F666A6">
      <w:pPr>
        <w:pStyle w:val="ListParagraph"/>
        <w:numPr>
          <w:ilvl w:val="1"/>
          <w:numId w:val="92"/>
        </w:numPr>
        <w:tabs>
          <w:tab w:val="left" w:pos="2159"/>
          <w:tab w:val="left" w:pos="2160"/>
        </w:tabs>
        <w:spacing w:before="61"/>
        <w:ind w:hanging="361"/>
      </w:pPr>
      <w:r>
        <w:rPr>
          <w:b/>
        </w:rPr>
        <w:t>S</w:t>
      </w:r>
      <w:r>
        <w:t>ummarizing</w:t>
      </w:r>
      <w:r>
        <w:rPr>
          <w:spacing w:val="-8"/>
        </w:rPr>
        <w:t xml:space="preserve"> </w:t>
      </w:r>
      <w:r>
        <w:t>client</w:t>
      </w:r>
      <w:r>
        <w:rPr>
          <w:spacing w:val="-6"/>
        </w:rPr>
        <w:t xml:space="preserve"> </w:t>
      </w:r>
      <w:r>
        <w:rPr>
          <w:spacing w:val="-2"/>
        </w:rPr>
        <w:t>statements</w:t>
      </w:r>
    </w:p>
    <w:p w14:paraId="24945F42" w14:textId="77777777" w:rsidR="00DB6E1F" w:rsidRDefault="00F666A6">
      <w:pPr>
        <w:pStyle w:val="ListParagraph"/>
        <w:numPr>
          <w:ilvl w:val="0"/>
          <w:numId w:val="92"/>
        </w:numPr>
        <w:tabs>
          <w:tab w:val="left" w:pos="1799"/>
          <w:tab w:val="left" w:pos="1800"/>
        </w:tabs>
        <w:ind w:left="1799"/>
        <w:rPr>
          <w:rFonts w:ascii="Symbol" w:hAnsi="Symbol"/>
        </w:rPr>
      </w:pPr>
      <w:r>
        <w:t>Reflective</w:t>
      </w:r>
      <w:r>
        <w:rPr>
          <w:spacing w:val="-8"/>
        </w:rPr>
        <w:t xml:space="preserve"> </w:t>
      </w:r>
      <w:r>
        <w:t>listening</w:t>
      </w:r>
      <w:r>
        <w:rPr>
          <w:spacing w:val="-4"/>
        </w:rPr>
        <w:t xml:space="preserve"> </w:t>
      </w:r>
      <w:r>
        <w:t>is</w:t>
      </w:r>
      <w:r>
        <w:rPr>
          <w:spacing w:val="-6"/>
        </w:rPr>
        <w:t xml:space="preserve"> </w:t>
      </w:r>
      <w:r>
        <w:t>fundamental</w:t>
      </w:r>
      <w:r>
        <w:rPr>
          <w:spacing w:val="-6"/>
        </w:rPr>
        <w:t xml:space="preserve"> </w:t>
      </w:r>
      <w:r>
        <w:t>to</w:t>
      </w:r>
      <w:r>
        <w:rPr>
          <w:spacing w:val="-3"/>
        </w:rPr>
        <w:t xml:space="preserve"> </w:t>
      </w:r>
      <w:r>
        <w:t>person-centered</w:t>
      </w:r>
      <w:r>
        <w:rPr>
          <w:spacing w:val="-7"/>
        </w:rPr>
        <w:t xml:space="preserve"> </w:t>
      </w:r>
      <w:r>
        <w:t>counseling</w:t>
      </w:r>
      <w:r>
        <w:rPr>
          <w:spacing w:val="-5"/>
        </w:rPr>
        <w:t xml:space="preserve"> </w:t>
      </w:r>
      <w:r>
        <w:t>in</w:t>
      </w:r>
      <w:r>
        <w:rPr>
          <w:spacing w:val="-5"/>
        </w:rPr>
        <w:t xml:space="preserve"> </w:t>
      </w:r>
      <w:r>
        <w:t>general</w:t>
      </w:r>
      <w:r>
        <w:rPr>
          <w:spacing w:val="-4"/>
        </w:rPr>
        <w:t xml:space="preserve"> </w:t>
      </w:r>
      <w:r>
        <w:t>and</w:t>
      </w:r>
      <w:r>
        <w:rPr>
          <w:spacing w:val="-7"/>
        </w:rPr>
        <w:t xml:space="preserve"> </w:t>
      </w:r>
      <w:r>
        <w:t>MI</w:t>
      </w:r>
      <w:r>
        <w:rPr>
          <w:spacing w:val="-4"/>
        </w:rPr>
        <w:t xml:space="preserve"> </w:t>
      </w:r>
      <w:r>
        <w:t>in</w:t>
      </w:r>
      <w:r>
        <w:rPr>
          <w:spacing w:val="-5"/>
        </w:rPr>
        <w:t xml:space="preserve"> </w:t>
      </w:r>
      <w:r>
        <w:t>particular</w:t>
      </w:r>
      <w:r>
        <w:rPr>
          <w:spacing w:val="-5"/>
        </w:rPr>
        <w:t xml:space="preserve"> and</w:t>
      </w:r>
    </w:p>
    <w:p w14:paraId="6B17258A" w14:textId="77777777" w:rsidR="00DB6E1F" w:rsidRDefault="00DB6E1F">
      <w:pPr>
        <w:rPr>
          <w:rFonts w:ascii="Symbol" w:hAnsi="Symbol"/>
        </w:rPr>
        <w:sectPr w:rsidR="00DB6E1F">
          <w:pgSz w:w="12240" w:h="15840"/>
          <w:pgMar w:top="960" w:right="0" w:bottom="940" w:left="0" w:header="762" w:footer="602" w:gutter="0"/>
          <w:cols w:space="720"/>
        </w:sectPr>
      </w:pPr>
    </w:p>
    <w:p w14:paraId="720812AB" w14:textId="77777777" w:rsidR="00DB6E1F" w:rsidRDefault="00DB6E1F">
      <w:pPr>
        <w:pStyle w:val="BodyText"/>
        <w:rPr>
          <w:sz w:val="20"/>
        </w:rPr>
      </w:pPr>
    </w:p>
    <w:p w14:paraId="3AC12DEC" w14:textId="77777777" w:rsidR="00DB6E1F" w:rsidRDefault="00DB6E1F">
      <w:pPr>
        <w:pStyle w:val="BodyText"/>
        <w:spacing w:before="1"/>
        <w:rPr>
          <w:sz w:val="19"/>
        </w:rPr>
      </w:pPr>
    </w:p>
    <w:p w14:paraId="200B7DB2" w14:textId="77777777" w:rsidR="00DB6E1F" w:rsidRDefault="00F666A6">
      <w:pPr>
        <w:pStyle w:val="BodyText"/>
        <w:ind w:left="1800"/>
      </w:pPr>
      <w:r>
        <w:t>is</w:t>
      </w:r>
      <w:r>
        <w:rPr>
          <w:spacing w:val="-4"/>
        </w:rPr>
        <w:t xml:space="preserve"> </w:t>
      </w:r>
      <w:r>
        <w:t>essential</w:t>
      </w:r>
      <w:r>
        <w:rPr>
          <w:spacing w:val="-4"/>
        </w:rPr>
        <w:t xml:space="preserve"> </w:t>
      </w:r>
      <w:r>
        <w:t>for</w:t>
      </w:r>
      <w:r>
        <w:rPr>
          <w:spacing w:val="-4"/>
        </w:rPr>
        <w:t xml:space="preserve"> </w:t>
      </w:r>
      <w:r>
        <w:t>expressing</w:t>
      </w:r>
      <w:r>
        <w:rPr>
          <w:spacing w:val="-4"/>
        </w:rPr>
        <w:t xml:space="preserve"> </w:t>
      </w:r>
      <w:r>
        <w:rPr>
          <w:spacing w:val="-2"/>
        </w:rPr>
        <w:t>empathy.</w:t>
      </w:r>
    </w:p>
    <w:p w14:paraId="73E1C9A9" w14:textId="77777777" w:rsidR="00DB6E1F" w:rsidRDefault="00F666A6">
      <w:pPr>
        <w:pStyle w:val="ListParagraph"/>
        <w:numPr>
          <w:ilvl w:val="0"/>
          <w:numId w:val="92"/>
        </w:numPr>
        <w:tabs>
          <w:tab w:val="left" w:pos="1800"/>
          <w:tab w:val="left" w:pos="1801"/>
        </w:tabs>
        <w:spacing w:before="61"/>
        <w:ind w:left="1800" w:right="1846"/>
        <w:rPr>
          <w:rFonts w:ascii="Symbol" w:hAnsi="Symbol"/>
        </w:rPr>
      </w:pPr>
      <w:r>
        <w:t>The</w:t>
      </w:r>
      <w:r>
        <w:rPr>
          <w:spacing w:val="-2"/>
        </w:rPr>
        <w:t xml:space="preserve"> </w:t>
      </w:r>
      <w:r>
        <w:t>four</w:t>
      </w:r>
      <w:r>
        <w:rPr>
          <w:spacing w:val="-3"/>
        </w:rPr>
        <w:t xml:space="preserve"> </w:t>
      </w:r>
      <w:r>
        <w:t>processes</w:t>
      </w:r>
      <w:r>
        <w:rPr>
          <w:spacing w:val="-3"/>
        </w:rPr>
        <w:t xml:space="preserve"> </w:t>
      </w:r>
      <w:r>
        <w:t>in</w:t>
      </w:r>
      <w:r>
        <w:rPr>
          <w:spacing w:val="-6"/>
        </w:rPr>
        <w:t xml:space="preserve"> </w:t>
      </w:r>
      <w:r>
        <w:t>MI</w:t>
      </w:r>
      <w:r>
        <w:rPr>
          <w:spacing w:val="-3"/>
        </w:rPr>
        <w:t xml:space="preserve"> </w:t>
      </w:r>
      <w:r>
        <w:t>(i.e.,</w:t>
      </w:r>
      <w:r>
        <w:rPr>
          <w:spacing w:val="-3"/>
        </w:rPr>
        <w:t xml:space="preserve"> </w:t>
      </w:r>
      <w:r>
        <w:t>engaging,</w:t>
      </w:r>
      <w:r>
        <w:rPr>
          <w:spacing w:val="-3"/>
        </w:rPr>
        <w:t xml:space="preserve"> </w:t>
      </w:r>
      <w:r>
        <w:t>focusing,</w:t>
      </w:r>
      <w:r>
        <w:rPr>
          <w:spacing w:val="-3"/>
        </w:rPr>
        <w:t xml:space="preserve"> </w:t>
      </w:r>
      <w:r>
        <w:t>evoking,</w:t>
      </w:r>
      <w:r>
        <w:rPr>
          <w:spacing w:val="-3"/>
        </w:rPr>
        <w:t xml:space="preserve"> </w:t>
      </w:r>
      <w:r>
        <w:t>and</w:t>
      </w:r>
      <w:r>
        <w:rPr>
          <w:spacing w:val="-4"/>
        </w:rPr>
        <w:t xml:space="preserve"> </w:t>
      </w:r>
      <w:r>
        <w:t>planning)</w:t>
      </w:r>
      <w:r>
        <w:rPr>
          <w:spacing w:val="-2"/>
        </w:rPr>
        <w:t xml:space="preserve"> </w:t>
      </w:r>
      <w:r>
        <w:t>provide</w:t>
      </w:r>
      <w:r>
        <w:rPr>
          <w:spacing w:val="-5"/>
        </w:rPr>
        <w:t xml:space="preserve"> </w:t>
      </w:r>
      <w:r>
        <w:t>an</w:t>
      </w:r>
      <w:r>
        <w:rPr>
          <w:spacing w:val="-4"/>
        </w:rPr>
        <w:t xml:space="preserve"> </w:t>
      </w:r>
      <w:r>
        <w:t>overarching framework for employing the core skills in conversations with a client.</w:t>
      </w:r>
    </w:p>
    <w:p w14:paraId="38025AD8" w14:textId="77777777" w:rsidR="00DB6E1F" w:rsidRDefault="00F666A6">
      <w:pPr>
        <w:pStyle w:val="ListParagraph"/>
        <w:numPr>
          <w:ilvl w:val="0"/>
          <w:numId w:val="92"/>
        </w:numPr>
        <w:tabs>
          <w:tab w:val="left" w:pos="1800"/>
          <w:tab w:val="left" w:pos="1801"/>
        </w:tabs>
        <w:spacing w:before="58"/>
        <w:ind w:left="1800" w:right="1553" w:hanging="360"/>
        <w:rPr>
          <w:rFonts w:ascii="Symbol" w:hAnsi="Symbol"/>
        </w:rPr>
      </w:pPr>
      <w:r>
        <w:t>The</w:t>
      </w:r>
      <w:r>
        <w:rPr>
          <w:spacing w:val="-1"/>
        </w:rPr>
        <w:t xml:space="preserve"> </w:t>
      </w:r>
      <w:r>
        <w:t>benefits</w:t>
      </w:r>
      <w:r>
        <w:rPr>
          <w:spacing w:val="-4"/>
        </w:rPr>
        <w:t xml:space="preserve"> </w:t>
      </w:r>
      <w:r>
        <w:t>of</w:t>
      </w:r>
      <w:r>
        <w:rPr>
          <w:spacing w:val="-5"/>
        </w:rPr>
        <w:t xml:space="preserve"> </w:t>
      </w:r>
      <w:r>
        <w:t>MI</w:t>
      </w:r>
      <w:r>
        <w:rPr>
          <w:spacing w:val="-2"/>
        </w:rPr>
        <w:t xml:space="preserve"> </w:t>
      </w:r>
      <w:r>
        <w:t>include</w:t>
      </w:r>
      <w:r>
        <w:rPr>
          <w:spacing w:val="-2"/>
        </w:rPr>
        <w:t xml:space="preserve"> </w:t>
      </w:r>
      <w:r>
        <w:t>its</w:t>
      </w:r>
      <w:r>
        <w:rPr>
          <w:spacing w:val="-2"/>
        </w:rPr>
        <w:t xml:space="preserve"> </w:t>
      </w:r>
      <w:r>
        <w:t>broad</w:t>
      </w:r>
      <w:r>
        <w:rPr>
          <w:spacing w:val="-5"/>
        </w:rPr>
        <w:t xml:space="preserve"> </w:t>
      </w:r>
      <w:r>
        <w:t>applicability</w:t>
      </w:r>
      <w:r>
        <w:rPr>
          <w:spacing w:val="-3"/>
        </w:rPr>
        <w:t xml:space="preserve"> </w:t>
      </w:r>
      <w:r>
        <w:t>to</w:t>
      </w:r>
      <w:r>
        <w:rPr>
          <w:spacing w:val="-1"/>
        </w:rPr>
        <w:t xml:space="preserve"> </w:t>
      </w:r>
      <w:r>
        <w:t>diverse</w:t>
      </w:r>
      <w:r>
        <w:rPr>
          <w:spacing w:val="-4"/>
        </w:rPr>
        <w:t xml:space="preserve"> </w:t>
      </w:r>
      <w:r>
        <w:t>medical</w:t>
      </w:r>
      <w:r>
        <w:rPr>
          <w:spacing w:val="-2"/>
        </w:rPr>
        <w:t xml:space="preserve"> </w:t>
      </w:r>
      <w:r>
        <w:t>and</w:t>
      </w:r>
      <w:r>
        <w:rPr>
          <w:spacing w:val="-3"/>
        </w:rPr>
        <w:t xml:space="preserve"> </w:t>
      </w:r>
      <w:r>
        <w:t>behavioral</w:t>
      </w:r>
      <w:r>
        <w:rPr>
          <w:spacing w:val="-2"/>
        </w:rPr>
        <w:t xml:space="preserve"> </w:t>
      </w:r>
      <w:r>
        <w:t>health</w:t>
      </w:r>
      <w:r>
        <w:rPr>
          <w:spacing w:val="-3"/>
        </w:rPr>
        <w:t xml:space="preserve"> </w:t>
      </w:r>
      <w:r>
        <w:t>problems and its capacity to complement other counseling approaches and to mobil</w:t>
      </w:r>
      <w:r>
        <w:t>ize client resources.</w:t>
      </w:r>
    </w:p>
    <w:p w14:paraId="4D63F373" w14:textId="77777777" w:rsidR="00DB6E1F" w:rsidRDefault="00F666A6">
      <w:pPr>
        <w:pStyle w:val="Heading3"/>
        <w:spacing w:before="63"/>
      </w:pPr>
      <w:r>
        <w:t>Chapter</w:t>
      </w:r>
      <w:r>
        <w:rPr>
          <w:spacing w:val="-14"/>
        </w:rPr>
        <w:t xml:space="preserve"> </w:t>
      </w:r>
      <w:r>
        <w:t>4—From</w:t>
      </w:r>
      <w:r>
        <w:rPr>
          <w:spacing w:val="-11"/>
        </w:rPr>
        <w:t xml:space="preserve"> </w:t>
      </w:r>
      <w:r>
        <w:t>Precontemplation</w:t>
      </w:r>
      <w:r>
        <w:rPr>
          <w:spacing w:val="-11"/>
        </w:rPr>
        <w:t xml:space="preserve"> </w:t>
      </w:r>
      <w:r>
        <w:t>to</w:t>
      </w:r>
      <w:r>
        <w:rPr>
          <w:spacing w:val="-10"/>
        </w:rPr>
        <w:t xml:space="preserve"> </w:t>
      </w:r>
      <w:r>
        <w:t>Contemplation:</w:t>
      </w:r>
      <w:r>
        <w:rPr>
          <w:spacing w:val="-11"/>
        </w:rPr>
        <w:t xml:space="preserve"> </w:t>
      </w:r>
      <w:r>
        <w:t>Building</w:t>
      </w:r>
      <w:r>
        <w:rPr>
          <w:spacing w:val="-13"/>
        </w:rPr>
        <w:t xml:space="preserve"> </w:t>
      </w:r>
      <w:r>
        <w:rPr>
          <w:spacing w:val="-2"/>
        </w:rPr>
        <w:t>Readiness</w:t>
      </w:r>
    </w:p>
    <w:p w14:paraId="0E7F5A99" w14:textId="77777777" w:rsidR="00DB6E1F" w:rsidRDefault="00F666A6">
      <w:pPr>
        <w:pStyle w:val="BodyText"/>
        <w:spacing w:before="143"/>
        <w:ind w:left="1440" w:right="1444"/>
      </w:pPr>
      <w:r>
        <w:t>This chapter discusses strategies counselors can use to help clients raise doubt and concern about their substance use and move toward contemplating the possibility of change. It emphasizes the importance of</w:t>
      </w:r>
      <w:r>
        <w:rPr>
          <w:spacing w:val="-1"/>
        </w:rPr>
        <w:t xml:space="preserve"> </w:t>
      </w:r>
      <w:r>
        <w:t>assessing</w:t>
      </w:r>
      <w:r>
        <w:rPr>
          <w:spacing w:val="-2"/>
        </w:rPr>
        <w:t xml:space="preserve"> </w:t>
      </w:r>
      <w:r>
        <w:t>clients’</w:t>
      </w:r>
      <w:r>
        <w:rPr>
          <w:spacing w:val="-1"/>
        </w:rPr>
        <w:t xml:space="preserve"> </w:t>
      </w:r>
      <w:r>
        <w:t>readiness</w:t>
      </w:r>
      <w:r>
        <w:rPr>
          <w:spacing w:val="-1"/>
        </w:rPr>
        <w:t xml:space="preserve"> </w:t>
      </w:r>
      <w:r>
        <w:t>to change,</w:t>
      </w:r>
      <w:r>
        <w:rPr>
          <w:spacing w:val="-1"/>
        </w:rPr>
        <w:t xml:space="preserve"> </w:t>
      </w:r>
      <w:r>
        <w:t>providin</w:t>
      </w:r>
      <w:r>
        <w:t>g</w:t>
      </w:r>
      <w:r>
        <w:rPr>
          <w:spacing w:val="-2"/>
        </w:rPr>
        <w:t xml:space="preserve"> </w:t>
      </w:r>
      <w:r>
        <w:t>personalized</w:t>
      </w:r>
      <w:r>
        <w:rPr>
          <w:spacing w:val="-2"/>
        </w:rPr>
        <w:t xml:space="preserve"> </w:t>
      </w:r>
      <w:r>
        <w:t>feedback</w:t>
      </w:r>
      <w:r>
        <w:rPr>
          <w:spacing w:val="-3"/>
        </w:rPr>
        <w:t xml:space="preserve"> </w:t>
      </w:r>
      <w:r>
        <w:t>to</w:t>
      </w:r>
      <w:r>
        <w:rPr>
          <w:spacing w:val="-2"/>
        </w:rPr>
        <w:t xml:space="preserve"> </w:t>
      </w:r>
      <w:r>
        <w:t>them about the effects</w:t>
      </w:r>
      <w:r>
        <w:rPr>
          <w:spacing w:val="-3"/>
        </w:rPr>
        <w:t xml:space="preserve"> </w:t>
      </w:r>
      <w:r>
        <w:t>and risks of substance misuse, involving their significant others in counseling to raise concern about clients’ substance</w:t>
      </w:r>
      <w:r>
        <w:rPr>
          <w:spacing w:val="-1"/>
        </w:rPr>
        <w:t xml:space="preserve"> </w:t>
      </w:r>
      <w:r>
        <w:t>use</w:t>
      </w:r>
      <w:r>
        <w:rPr>
          <w:spacing w:val="-4"/>
        </w:rPr>
        <w:t xml:space="preserve"> </w:t>
      </w:r>
      <w:r>
        <w:t>behaviors,</w:t>
      </w:r>
      <w:r>
        <w:rPr>
          <w:spacing w:val="-4"/>
        </w:rPr>
        <w:t xml:space="preserve"> </w:t>
      </w:r>
      <w:r>
        <w:t>and</w:t>
      </w:r>
      <w:r>
        <w:rPr>
          <w:spacing w:val="-2"/>
        </w:rPr>
        <w:t xml:space="preserve"> </w:t>
      </w:r>
      <w:r>
        <w:t>addressing</w:t>
      </w:r>
      <w:r>
        <w:rPr>
          <w:spacing w:val="-2"/>
        </w:rPr>
        <w:t xml:space="preserve"> </w:t>
      </w:r>
      <w:r>
        <w:t>special</w:t>
      </w:r>
      <w:r>
        <w:rPr>
          <w:spacing w:val="-2"/>
        </w:rPr>
        <w:t xml:space="preserve"> </w:t>
      </w:r>
      <w:r>
        <w:t>considerations</w:t>
      </w:r>
      <w:r>
        <w:rPr>
          <w:spacing w:val="-4"/>
        </w:rPr>
        <w:t xml:space="preserve"> </w:t>
      </w:r>
      <w:r>
        <w:t>for</w:t>
      </w:r>
      <w:r>
        <w:rPr>
          <w:spacing w:val="-4"/>
        </w:rPr>
        <w:t xml:space="preserve"> </w:t>
      </w:r>
      <w:r>
        <w:t>treating</w:t>
      </w:r>
      <w:r>
        <w:rPr>
          <w:spacing w:val="-3"/>
        </w:rPr>
        <w:t xml:space="preserve"> </w:t>
      </w:r>
      <w:r>
        <w:t>clients</w:t>
      </w:r>
      <w:r>
        <w:rPr>
          <w:spacing w:val="-2"/>
        </w:rPr>
        <w:t xml:space="preserve"> </w:t>
      </w:r>
      <w:r>
        <w:t>who</w:t>
      </w:r>
      <w:r>
        <w:rPr>
          <w:spacing w:val="-1"/>
        </w:rPr>
        <w:t xml:space="preserve"> </w:t>
      </w:r>
      <w:r>
        <w:t>are</w:t>
      </w:r>
      <w:r>
        <w:rPr>
          <w:spacing w:val="-6"/>
        </w:rPr>
        <w:t xml:space="preserve"> </w:t>
      </w:r>
      <w:r>
        <w:t>ma</w:t>
      </w:r>
      <w:r>
        <w:t>ndated</w:t>
      </w:r>
      <w:r>
        <w:rPr>
          <w:spacing w:val="-3"/>
        </w:rPr>
        <w:t xml:space="preserve"> </w:t>
      </w:r>
      <w:r>
        <w:t xml:space="preserve">to </w:t>
      </w:r>
      <w:r>
        <w:rPr>
          <w:spacing w:val="-2"/>
        </w:rPr>
        <w:t>treatment.</w:t>
      </w:r>
    </w:p>
    <w:p w14:paraId="46C34E90" w14:textId="77777777" w:rsidR="00DB6E1F" w:rsidRDefault="00F666A6">
      <w:pPr>
        <w:pStyle w:val="BodyText"/>
        <w:spacing w:before="160"/>
        <w:ind w:left="1440"/>
      </w:pPr>
      <w:r>
        <w:t>In</w:t>
      </w:r>
      <w:r>
        <w:rPr>
          <w:spacing w:val="-5"/>
        </w:rPr>
        <w:t xml:space="preserve"> </w:t>
      </w:r>
      <w:r>
        <w:t>Chapter</w:t>
      </w:r>
      <w:r>
        <w:rPr>
          <w:spacing w:val="-4"/>
        </w:rPr>
        <w:t xml:space="preserve"> </w:t>
      </w:r>
      <w:r>
        <w:t>4,</w:t>
      </w:r>
      <w:r>
        <w:rPr>
          <w:spacing w:val="-3"/>
        </w:rPr>
        <w:t xml:space="preserve"> </w:t>
      </w:r>
      <w:r>
        <w:t>readers</w:t>
      </w:r>
      <w:r>
        <w:rPr>
          <w:spacing w:val="-4"/>
        </w:rPr>
        <w:t xml:space="preserve"> </w:t>
      </w:r>
      <w:r>
        <w:t>will</w:t>
      </w:r>
      <w:r>
        <w:rPr>
          <w:spacing w:val="-6"/>
        </w:rPr>
        <w:t xml:space="preserve"> </w:t>
      </w:r>
      <w:r>
        <w:t>learn</w:t>
      </w:r>
      <w:r>
        <w:rPr>
          <w:spacing w:val="-4"/>
        </w:rPr>
        <w:t xml:space="preserve"> that:</w:t>
      </w:r>
    </w:p>
    <w:p w14:paraId="4DA9BFE1" w14:textId="77777777" w:rsidR="00DB6E1F" w:rsidRDefault="00F666A6">
      <w:pPr>
        <w:pStyle w:val="ListParagraph"/>
        <w:numPr>
          <w:ilvl w:val="0"/>
          <w:numId w:val="92"/>
        </w:numPr>
        <w:tabs>
          <w:tab w:val="left" w:pos="1800"/>
          <w:tab w:val="left" w:pos="1801"/>
        </w:tabs>
        <w:spacing w:before="61"/>
        <w:ind w:left="1799" w:right="1847" w:hanging="360"/>
        <w:rPr>
          <w:rFonts w:ascii="Symbol" w:hAnsi="Symbol"/>
        </w:rPr>
      </w:pPr>
      <w:r>
        <w:t>A</w:t>
      </w:r>
      <w:r>
        <w:rPr>
          <w:spacing w:val="-2"/>
        </w:rPr>
        <w:t xml:space="preserve"> </w:t>
      </w:r>
      <w:r>
        <w:t>client</w:t>
      </w:r>
      <w:r>
        <w:rPr>
          <w:spacing w:val="-1"/>
        </w:rPr>
        <w:t xml:space="preserve"> </w:t>
      </w:r>
      <w:r>
        <w:t>in</w:t>
      </w:r>
      <w:r>
        <w:rPr>
          <w:spacing w:val="-5"/>
        </w:rPr>
        <w:t xml:space="preserve"> </w:t>
      </w:r>
      <w:r>
        <w:t>the</w:t>
      </w:r>
      <w:r>
        <w:rPr>
          <w:spacing w:val="-4"/>
        </w:rPr>
        <w:t xml:space="preserve"> </w:t>
      </w:r>
      <w:r>
        <w:t>Precontemplation</w:t>
      </w:r>
      <w:r>
        <w:rPr>
          <w:spacing w:val="-3"/>
        </w:rPr>
        <w:t xml:space="preserve"> </w:t>
      </w:r>
      <w:r>
        <w:t>stage</w:t>
      </w:r>
      <w:r>
        <w:rPr>
          <w:spacing w:val="-1"/>
        </w:rPr>
        <w:t xml:space="preserve"> </w:t>
      </w:r>
      <w:r>
        <w:t>is</w:t>
      </w:r>
      <w:r>
        <w:rPr>
          <w:spacing w:val="-4"/>
        </w:rPr>
        <w:t xml:space="preserve"> </w:t>
      </w:r>
      <w:r>
        <w:t>unconcerned</w:t>
      </w:r>
      <w:r>
        <w:rPr>
          <w:spacing w:val="-5"/>
        </w:rPr>
        <w:t xml:space="preserve"> </w:t>
      </w:r>
      <w:r>
        <w:t>about</w:t>
      </w:r>
      <w:r>
        <w:rPr>
          <w:spacing w:val="-2"/>
        </w:rPr>
        <w:t xml:space="preserve"> </w:t>
      </w:r>
      <w:r>
        <w:t>substance</w:t>
      </w:r>
      <w:r>
        <w:rPr>
          <w:spacing w:val="-1"/>
        </w:rPr>
        <w:t xml:space="preserve"> </w:t>
      </w:r>
      <w:r>
        <w:t>use</w:t>
      </w:r>
      <w:r>
        <w:rPr>
          <w:spacing w:val="-4"/>
        </w:rPr>
        <w:t xml:space="preserve"> </w:t>
      </w:r>
      <w:r>
        <w:t>or</w:t>
      </w:r>
      <w:r>
        <w:rPr>
          <w:spacing w:val="-4"/>
        </w:rPr>
        <w:t xml:space="preserve"> </w:t>
      </w:r>
      <w:r>
        <w:t>is</w:t>
      </w:r>
      <w:r>
        <w:rPr>
          <w:spacing w:val="-2"/>
        </w:rPr>
        <w:t xml:space="preserve"> </w:t>
      </w:r>
      <w:r>
        <w:t>not</w:t>
      </w:r>
      <w:r>
        <w:rPr>
          <w:spacing w:val="-1"/>
        </w:rPr>
        <w:t xml:space="preserve"> </w:t>
      </w:r>
      <w:r>
        <w:t xml:space="preserve">considering </w:t>
      </w:r>
      <w:r>
        <w:rPr>
          <w:spacing w:val="-2"/>
        </w:rPr>
        <w:t>change.</w:t>
      </w:r>
    </w:p>
    <w:p w14:paraId="04330537" w14:textId="77777777" w:rsidR="00DB6E1F" w:rsidRDefault="00F666A6">
      <w:pPr>
        <w:pStyle w:val="ListParagraph"/>
        <w:numPr>
          <w:ilvl w:val="0"/>
          <w:numId w:val="92"/>
        </w:numPr>
        <w:tabs>
          <w:tab w:val="left" w:pos="1799"/>
          <w:tab w:val="left" w:pos="1800"/>
        </w:tabs>
        <w:spacing w:before="58"/>
        <w:ind w:left="1799" w:right="1639"/>
        <w:rPr>
          <w:rFonts w:ascii="Symbol" w:hAnsi="Symbol"/>
        </w:rPr>
      </w:pPr>
      <w:r>
        <w:t>The</w:t>
      </w:r>
      <w:r>
        <w:rPr>
          <w:spacing w:val="-2"/>
        </w:rPr>
        <w:t xml:space="preserve"> </w:t>
      </w:r>
      <w:r>
        <w:t>counselor’s</w:t>
      </w:r>
      <w:r>
        <w:rPr>
          <w:spacing w:val="-3"/>
        </w:rPr>
        <w:t xml:space="preserve"> </w:t>
      </w:r>
      <w:r>
        <w:t>focus</w:t>
      </w:r>
      <w:r>
        <w:rPr>
          <w:spacing w:val="-3"/>
        </w:rPr>
        <w:t xml:space="preserve"> </w:t>
      </w:r>
      <w:r>
        <w:t>in</w:t>
      </w:r>
      <w:r>
        <w:rPr>
          <w:spacing w:val="-5"/>
        </w:rPr>
        <w:t xml:space="preserve"> </w:t>
      </w:r>
      <w:r>
        <w:t>Precontemplation</w:t>
      </w:r>
      <w:r>
        <w:rPr>
          <w:spacing w:val="-4"/>
        </w:rPr>
        <w:t xml:space="preserve"> </w:t>
      </w:r>
      <w:r>
        <w:t>is</w:t>
      </w:r>
      <w:r>
        <w:rPr>
          <w:spacing w:val="-3"/>
        </w:rPr>
        <w:t xml:space="preserve"> </w:t>
      </w:r>
      <w:r>
        <w:t>to</w:t>
      </w:r>
      <w:r>
        <w:rPr>
          <w:spacing w:val="-2"/>
        </w:rPr>
        <w:t xml:space="preserve"> </w:t>
      </w:r>
      <w:r>
        <w:t>establish</w:t>
      </w:r>
      <w:r>
        <w:rPr>
          <w:spacing w:val="-4"/>
        </w:rPr>
        <w:t xml:space="preserve"> </w:t>
      </w:r>
      <w:r>
        <w:t>a</w:t>
      </w:r>
      <w:r>
        <w:rPr>
          <w:spacing w:val="-3"/>
        </w:rPr>
        <w:t xml:space="preserve"> </w:t>
      </w:r>
      <w:r>
        <w:t>strong</w:t>
      </w:r>
      <w:r>
        <w:rPr>
          <w:spacing w:val="-4"/>
        </w:rPr>
        <w:t xml:space="preserve"> </w:t>
      </w:r>
      <w:r>
        <w:t>counseling</w:t>
      </w:r>
      <w:r>
        <w:rPr>
          <w:spacing w:val="-4"/>
        </w:rPr>
        <w:t xml:space="preserve"> </w:t>
      </w:r>
      <w:r>
        <w:t>alliance</w:t>
      </w:r>
      <w:r>
        <w:rPr>
          <w:spacing w:val="-2"/>
        </w:rPr>
        <w:t xml:space="preserve"> </w:t>
      </w:r>
      <w:r>
        <w:t>and</w:t>
      </w:r>
      <w:r>
        <w:rPr>
          <w:spacing w:val="-4"/>
        </w:rPr>
        <w:t xml:space="preserve"> </w:t>
      </w:r>
      <w:r>
        <w:t>raise</w:t>
      </w:r>
      <w:r>
        <w:rPr>
          <w:spacing w:val="-5"/>
        </w:rPr>
        <w:t xml:space="preserve"> </w:t>
      </w:r>
      <w:r>
        <w:t>the client’s doubts and concerns about substance use.</w:t>
      </w:r>
    </w:p>
    <w:p w14:paraId="345BC6BA" w14:textId="77777777" w:rsidR="00DB6E1F" w:rsidRDefault="00F666A6">
      <w:pPr>
        <w:pStyle w:val="ListParagraph"/>
        <w:numPr>
          <w:ilvl w:val="0"/>
          <w:numId w:val="92"/>
        </w:numPr>
        <w:tabs>
          <w:tab w:val="left" w:pos="1799"/>
          <w:tab w:val="left" w:pos="1800"/>
        </w:tabs>
        <w:ind w:left="1799" w:right="1887" w:hanging="360"/>
        <w:rPr>
          <w:rFonts w:ascii="Symbol" w:hAnsi="Symbol"/>
        </w:rPr>
      </w:pPr>
      <w:r>
        <w:t>Key</w:t>
      </w:r>
      <w:r>
        <w:rPr>
          <w:spacing w:val="-3"/>
        </w:rPr>
        <w:t xml:space="preserve"> </w:t>
      </w:r>
      <w:r>
        <w:t>strategies</w:t>
      </w:r>
      <w:r>
        <w:rPr>
          <w:spacing w:val="-2"/>
        </w:rPr>
        <w:t xml:space="preserve"> </w:t>
      </w:r>
      <w:r>
        <w:t>in</w:t>
      </w:r>
      <w:r>
        <w:rPr>
          <w:spacing w:val="-5"/>
        </w:rPr>
        <w:t xml:space="preserve"> </w:t>
      </w:r>
      <w:r>
        <w:t>this</w:t>
      </w:r>
      <w:r>
        <w:rPr>
          <w:spacing w:val="-2"/>
        </w:rPr>
        <w:t xml:space="preserve"> </w:t>
      </w:r>
      <w:r>
        <w:t>stage</w:t>
      </w:r>
      <w:r>
        <w:rPr>
          <w:spacing w:val="-3"/>
        </w:rPr>
        <w:t xml:space="preserve"> </w:t>
      </w:r>
      <w:r>
        <w:t>include</w:t>
      </w:r>
      <w:r>
        <w:rPr>
          <w:spacing w:val="-1"/>
        </w:rPr>
        <w:t xml:space="preserve"> </w:t>
      </w:r>
      <w:r>
        <w:t>eliciting</w:t>
      </w:r>
      <w:r>
        <w:rPr>
          <w:spacing w:val="-3"/>
        </w:rPr>
        <w:t xml:space="preserve"> </w:t>
      </w:r>
      <w:r>
        <w:t>the</w:t>
      </w:r>
      <w:r>
        <w:rPr>
          <w:spacing w:val="-1"/>
        </w:rPr>
        <w:t xml:space="preserve"> </w:t>
      </w:r>
      <w:r>
        <w:t>client’s</w:t>
      </w:r>
      <w:r>
        <w:rPr>
          <w:spacing w:val="-4"/>
        </w:rPr>
        <w:t xml:space="preserve"> </w:t>
      </w:r>
      <w:r>
        <w:t>perception</w:t>
      </w:r>
      <w:r>
        <w:rPr>
          <w:spacing w:val="-5"/>
        </w:rPr>
        <w:t xml:space="preserve"> </w:t>
      </w:r>
      <w:r>
        <w:t>of</w:t>
      </w:r>
      <w:r>
        <w:rPr>
          <w:spacing w:val="-2"/>
        </w:rPr>
        <w:t xml:space="preserve"> </w:t>
      </w:r>
      <w:r>
        <w:t>the</w:t>
      </w:r>
      <w:r>
        <w:rPr>
          <w:spacing w:val="-4"/>
        </w:rPr>
        <w:t xml:space="preserve"> </w:t>
      </w:r>
      <w:r>
        <w:t>problem,</w:t>
      </w:r>
      <w:r>
        <w:rPr>
          <w:spacing w:val="-2"/>
        </w:rPr>
        <w:t xml:space="preserve"> </w:t>
      </w:r>
      <w:r>
        <w:t>exploring</w:t>
      </w:r>
      <w:r>
        <w:rPr>
          <w:spacing w:val="-3"/>
        </w:rPr>
        <w:t xml:space="preserve"> </w:t>
      </w:r>
      <w:r>
        <w:t>the events that led to entering treatment, and identifying the client’s style of Preco</w:t>
      </w:r>
      <w:r>
        <w:t>ntemplation.</w:t>
      </w:r>
    </w:p>
    <w:p w14:paraId="3FE3ACCE" w14:textId="77777777" w:rsidR="00DB6E1F" w:rsidRDefault="00F666A6">
      <w:pPr>
        <w:pStyle w:val="ListParagraph"/>
        <w:numPr>
          <w:ilvl w:val="0"/>
          <w:numId w:val="92"/>
        </w:numPr>
        <w:tabs>
          <w:tab w:val="left" w:pos="1799"/>
          <w:tab w:val="left" w:pos="1800"/>
        </w:tabs>
        <w:spacing w:before="61"/>
        <w:ind w:left="1799" w:right="1485" w:hanging="360"/>
        <w:rPr>
          <w:rFonts w:ascii="Symbol" w:hAnsi="Symbol"/>
        </w:rPr>
      </w:pPr>
      <w:r>
        <w:t>Providing</w:t>
      </w:r>
      <w:r>
        <w:rPr>
          <w:spacing w:val="-4"/>
        </w:rPr>
        <w:t xml:space="preserve"> </w:t>
      </w:r>
      <w:r>
        <w:t>personalized</w:t>
      </w:r>
      <w:r>
        <w:rPr>
          <w:spacing w:val="-4"/>
        </w:rPr>
        <w:t xml:space="preserve"> </w:t>
      </w:r>
      <w:r>
        <w:t>feedback</w:t>
      </w:r>
      <w:r>
        <w:rPr>
          <w:spacing w:val="-2"/>
        </w:rPr>
        <w:t xml:space="preserve"> </w:t>
      </w:r>
      <w:r>
        <w:t>on</w:t>
      </w:r>
      <w:r>
        <w:rPr>
          <w:spacing w:val="-4"/>
        </w:rPr>
        <w:t xml:space="preserve"> </w:t>
      </w:r>
      <w:r>
        <w:t>assessment</w:t>
      </w:r>
      <w:r>
        <w:rPr>
          <w:spacing w:val="-2"/>
        </w:rPr>
        <w:t xml:space="preserve"> </w:t>
      </w:r>
      <w:r>
        <w:t>results</w:t>
      </w:r>
      <w:r>
        <w:rPr>
          <w:spacing w:val="-3"/>
        </w:rPr>
        <w:t xml:space="preserve"> </w:t>
      </w:r>
      <w:r>
        <w:t>and</w:t>
      </w:r>
      <w:r>
        <w:rPr>
          <w:spacing w:val="-4"/>
        </w:rPr>
        <w:t xml:space="preserve"> </w:t>
      </w:r>
      <w:r>
        <w:t>involving</w:t>
      </w:r>
      <w:r>
        <w:rPr>
          <w:spacing w:val="-4"/>
        </w:rPr>
        <w:t xml:space="preserve"> </w:t>
      </w:r>
      <w:r>
        <w:t>significant</w:t>
      </w:r>
      <w:r>
        <w:rPr>
          <w:spacing w:val="-5"/>
        </w:rPr>
        <w:t xml:space="preserve"> </w:t>
      </w:r>
      <w:r>
        <w:t>others</w:t>
      </w:r>
      <w:r>
        <w:rPr>
          <w:spacing w:val="-3"/>
        </w:rPr>
        <w:t xml:space="preserve"> </w:t>
      </w:r>
      <w:r>
        <w:t>in</w:t>
      </w:r>
      <w:r>
        <w:rPr>
          <w:spacing w:val="-4"/>
        </w:rPr>
        <w:t xml:space="preserve"> </w:t>
      </w:r>
      <w:r>
        <w:t>counseling sessions are key strategies for raising concern and moving the client toward contemplating change.</w:t>
      </w:r>
    </w:p>
    <w:p w14:paraId="1C692F82" w14:textId="77777777" w:rsidR="00DB6E1F" w:rsidRDefault="00F666A6">
      <w:pPr>
        <w:pStyle w:val="ListParagraph"/>
        <w:numPr>
          <w:ilvl w:val="0"/>
          <w:numId w:val="92"/>
        </w:numPr>
        <w:tabs>
          <w:tab w:val="left" w:pos="1799"/>
          <w:tab w:val="left" w:pos="1800"/>
        </w:tabs>
        <w:spacing w:before="58"/>
        <w:ind w:left="1799" w:right="1851"/>
        <w:rPr>
          <w:rFonts w:ascii="Symbol" w:hAnsi="Symbol"/>
        </w:rPr>
      </w:pPr>
      <w:r>
        <w:t>Special</w:t>
      </w:r>
      <w:r>
        <w:rPr>
          <w:spacing w:val="-3"/>
        </w:rPr>
        <w:t xml:space="preserve"> </w:t>
      </w:r>
      <w:r>
        <w:t>considerations</w:t>
      </w:r>
      <w:r>
        <w:rPr>
          <w:spacing w:val="-3"/>
        </w:rPr>
        <w:t xml:space="preserve"> </w:t>
      </w:r>
      <w:r>
        <w:t>in</w:t>
      </w:r>
      <w:r>
        <w:rPr>
          <w:spacing w:val="-6"/>
        </w:rPr>
        <w:t xml:space="preserve"> </w:t>
      </w:r>
      <w:r>
        <w:t>motivational</w:t>
      </w:r>
      <w:r>
        <w:rPr>
          <w:spacing w:val="-3"/>
        </w:rPr>
        <w:t xml:space="preserve"> </w:t>
      </w:r>
      <w:r>
        <w:t>counseling</w:t>
      </w:r>
      <w:r>
        <w:rPr>
          <w:spacing w:val="-3"/>
        </w:rPr>
        <w:t xml:space="preserve"> </w:t>
      </w:r>
      <w:r>
        <w:t>approaches</w:t>
      </w:r>
      <w:r>
        <w:rPr>
          <w:spacing w:val="-5"/>
        </w:rPr>
        <w:t xml:space="preserve"> </w:t>
      </w:r>
      <w:r>
        <w:t>for</w:t>
      </w:r>
      <w:r>
        <w:rPr>
          <w:spacing w:val="-5"/>
        </w:rPr>
        <w:t xml:space="preserve"> </w:t>
      </w:r>
      <w:r>
        <w:t>clients</w:t>
      </w:r>
      <w:r>
        <w:rPr>
          <w:spacing w:val="-5"/>
        </w:rPr>
        <w:t xml:space="preserve"> </w:t>
      </w:r>
      <w:r>
        <w:t>mandated</w:t>
      </w:r>
      <w:r>
        <w:rPr>
          <w:spacing w:val="-4"/>
        </w:rPr>
        <w:t xml:space="preserve"> </w:t>
      </w:r>
      <w:r>
        <w:t>to</w:t>
      </w:r>
      <w:r>
        <w:rPr>
          <w:spacing w:val="-4"/>
        </w:rPr>
        <w:t xml:space="preserve"> </w:t>
      </w:r>
      <w:r>
        <w:t>treatment include acknowledging client ambivalence and emphas</w:t>
      </w:r>
      <w:r>
        <w:t>izing personal choice and responsibility.</w:t>
      </w:r>
    </w:p>
    <w:p w14:paraId="0A504B72" w14:textId="77777777" w:rsidR="00DB6E1F" w:rsidRDefault="00F666A6">
      <w:pPr>
        <w:pStyle w:val="Heading3"/>
        <w:spacing w:before="165"/>
      </w:pPr>
      <w:r>
        <w:t>Chapter</w:t>
      </w:r>
      <w:r>
        <w:rPr>
          <w:spacing w:val="-14"/>
        </w:rPr>
        <w:t xml:space="preserve"> </w:t>
      </w:r>
      <w:r>
        <w:t>5—From</w:t>
      </w:r>
      <w:r>
        <w:rPr>
          <w:spacing w:val="-10"/>
        </w:rPr>
        <w:t xml:space="preserve"> </w:t>
      </w:r>
      <w:r>
        <w:t>Contemplation</w:t>
      </w:r>
      <w:r>
        <w:rPr>
          <w:spacing w:val="-8"/>
        </w:rPr>
        <w:t xml:space="preserve"> </w:t>
      </w:r>
      <w:r>
        <w:t>to</w:t>
      </w:r>
      <w:r>
        <w:rPr>
          <w:spacing w:val="-11"/>
        </w:rPr>
        <w:t xml:space="preserve"> </w:t>
      </w:r>
      <w:r>
        <w:t>Preparation:</w:t>
      </w:r>
      <w:r>
        <w:rPr>
          <w:spacing w:val="-11"/>
        </w:rPr>
        <w:t xml:space="preserve"> </w:t>
      </w:r>
      <w:r>
        <w:t>Increasing</w:t>
      </w:r>
      <w:r>
        <w:rPr>
          <w:spacing w:val="-12"/>
        </w:rPr>
        <w:t xml:space="preserve"> </w:t>
      </w:r>
      <w:r>
        <w:rPr>
          <w:spacing w:val="-2"/>
        </w:rPr>
        <w:t>Commitment</w:t>
      </w:r>
    </w:p>
    <w:p w14:paraId="456B1740" w14:textId="77777777" w:rsidR="00DB6E1F" w:rsidRDefault="00F666A6">
      <w:pPr>
        <w:pStyle w:val="BodyText"/>
        <w:spacing w:before="143"/>
        <w:ind w:left="1439" w:right="1555"/>
      </w:pPr>
      <w:r>
        <w:t>This chapter describes strategies to increase clients’ commitment to change by normalizing and resolving ambivalence and enhancing their decision-m</w:t>
      </w:r>
      <w:r>
        <w:t>aking capabilities. It emphasizes decisional balancing</w:t>
      </w:r>
      <w:r>
        <w:rPr>
          <w:spacing w:val="-3"/>
        </w:rPr>
        <w:t xml:space="preserve"> </w:t>
      </w:r>
      <w:r>
        <w:t>and</w:t>
      </w:r>
      <w:r>
        <w:rPr>
          <w:spacing w:val="-3"/>
        </w:rPr>
        <w:t xml:space="preserve"> </w:t>
      </w:r>
      <w:r>
        <w:t>exploring</w:t>
      </w:r>
      <w:r>
        <w:rPr>
          <w:spacing w:val="-3"/>
        </w:rPr>
        <w:t xml:space="preserve"> </w:t>
      </w:r>
      <w:r>
        <w:t>clients’</w:t>
      </w:r>
      <w:r>
        <w:rPr>
          <w:spacing w:val="-2"/>
        </w:rPr>
        <w:t xml:space="preserve"> </w:t>
      </w:r>
      <w:r>
        <w:t>self-efficacy</w:t>
      </w:r>
      <w:r>
        <w:rPr>
          <w:spacing w:val="-1"/>
        </w:rPr>
        <w:t xml:space="preserve"> </w:t>
      </w:r>
      <w:r>
        <w:t>as</w:t>
      </w:r>
      <w:r>
        <w:rPr>
          <w:spacing w:val="-4"/>
        </w:rPr>
        <w:t xml:space="preserve"> </w:t>
      </w:r>
      <w:r>
        <w:t>important</w:t>
      </w:r>
      <w:r>
        <w:rPr>
          <w:spacing w:val="-1"/>
        </w:rPr>
        <w:t xml:space="preserve"> </w:t>
      </w:r>
      <w:r>
        <w:t>to</w:t>
      </w:r>
      <w:r>
        <w:rPr>
          <w:spacing w:val="-3"/>
        </w:rPr>
        <w:t xml:space="preserve"> </w:t>
      </w:r>
      <w:r>
        <w:t>moving</w:t>
      </w:r>
      <w:r>
        <w:rPr>
          <w:spacing w:val="-3"/>
        </w:rPr>
        <w:t xml:space="preserve"> </w:t>
      </w:r>
      <w:r>
        <w:t>clients</w:t>
      </w:r>
      <w:r>
        <w:rPr>
          <w:spacing w:val="-4"/>
        </w:rPr>
        <w:t xml:space="preserve"> </w:t>
      </w:r>
      <w:r>
        <w:t>toward</w:t>
      </w:r>
      <w:r>
        <w:rPr>
          <w:spacing w:val="-3"/>
        </w:rPr>
        <w:t xml:space="preserve"> </w:t>
      </w:r>
      <w:r>
        <w:t>preparing</w:t>
      </w:r>
      <w:r>
        <w:rPr>
          <w:spacing w:val="-3"/>
        </w:rPr>
        <w:t xml:space="preserve"> </w:t>
      </w:r>
      <w:r>
        <w:t>to</w:t>
      </w:r>
      <w:r>
        <w:rPr>
          <w:spacing w:val="-3"/>
        </w:rPr>
        <w:t xml:space="preserve"> </w:t>
      </w:r>
      <w:r>
        <w:t>change substance use behaviors. Summarizing change talk and exploring the client’s understanding of change prepare clients to take action.</w:t>
      </w:r>
    </w:p>
    <w:p w14:paraId="3867CCFD" w14:textId="77777777" w:rsidR="00DB6E1F" w:rsidRDefault="00F666A6">
      <w:pPr>
        <w:pStyle w:val="BodyText"/>
        <w:spacing w:before="160"/>
        <w:ind w:left="1439"/>
      </w:pPr>
      <w:r>
        <w:t>In</w:t>
      </w:r>
      <w:r>
        <w:rPr>
          <w:spacing w:val="-5"/>
        </w:rPr>
        <w:t xml:space="preserve"> </w:t>
      </w:r>
      <w:r>
        <w:t>Chapter</w:t>
      </w:r>
      <w:r>
        <w:rPr>
          <w:spacing w:val="-4"/>
        </w:rPr>
        <w:t xml:space="preserve"> </w:t>
      </w:r>
      <w:r>
        <w:t>5,</w:t>
      </w:r>
      <w:r>
        <w:rPr>
          <w:spacing w:val="-3"/>
        </w:rPr>
        <w:t xml:space="preserve"> </w:t>
      </w:r>
      <w:r>
        <w:t>readers</w:t>
      </w:r>
      <w:r>
        <w:rPr>
          <w:spacing w:val="-4"/>
        </w:rPr>
        <w:t xml:space="preserve"> </w:t>
      </w:r>
      <w:r>
        <w:t>will</w:t>
      </w:r>
      <w:r>
        <w:rPr>
          <w:spacing w:val="-6"/>
        </w:rPr>
        <w:t xml:space="preserve"> </w:t>
      </w:r>
      <w:r>
        <w:t>learn</w:t>
      </w:r>
      <w:r>
        <w:rPr>
          <w:spacing w:val="-4"/>
        </w:rPr>
        <w:t xml:space="preserve"> that:</w:t>
      </w:r>
    </w:p>
    <w:p w14:paraId="012FDE7B" w14:textId="77777777" w:rsidR="00DB6E1F" w:rsidRDefault="00F666A6">
      <w:pPr>
        <w:pStyle w:val="ListParagraph"/>
        <w:numPr>
          <w:ilvl w:val="0"/>
          <w:numId w:val="92"/>
        </w:numPr>
        <w:tabs>
          <w:tab w:val="left" w:pos="1799"/>
          <w:tab w:val="left" w:pos="1800"/>
        </w:tabs>
        <w:spacing w:before="58"/>
        <w:ind w:left="1799" w:right="2432" w:hanging="360"/>
        <w:rPr>
          <w:rFonts w:ascii="Symbol" w:hAnsi="Symbol"/>
        </w:rPr>
      </w:pPr>
      <w:r>
        <w:t>In</w:t>
      </w:r>
      <w:r>
        <w:rPr>
          <w:spacing w:val="-4"/>
        </w:rPr>
        <w:t xml:space="preserve"> </w:t>
      </w:r>
      <w:r>
        <w:t>the</w:t>
      </w:r>
      <w:r>
        <w:rPr>
          <w:spacing w:val="-2"/>
        </w:rPr>
        <w:t xml:space="preserve"> </w:t>
      </w:r>
      <w:r>
        <w:t>Contemplation</w:t>
      </w:r>
      <w:r>
        <w:rPr>
          <w:spacing w:val="-4"/>
        </w:rPr>
        <w:t xml:space="preserve"> </w:t>
      </w:r>
      <w:r>
        <w:t>stage,</w:t>
      </w:r>
      <w:r>
        <w:rPr>
          <w:spacing w:val="-3"/>
        </w:rPr>
        <w:t xml:space="preserve"> </w:t>
      </w:r>
      <w:r>
        <w:t>the</w:t>
      </w:r>
      <w:r>
        <w:rPr>
          <w:spacing w:val="-2"/>
        </w:rPr>
        <w:t xml:space="preserve"> </w:t>
      </w:r>
      <w:r>
        <w:t>client</w:t>
      </w:r>
      <w:r>
        <w:rPr>
          <w:spacing w:val="-3"/>
        </w:rPr>
        <w:t xml:space="preserve"> </w:t>
      </w:r>
      <w:r>
        <w:t>acknowledges</w:t>
      </w:r>
      <w:r>
        <w:rPr>
          <w:spacing w:val="-5"/>
        </w:rPr>
        <w:t xml:space="preserve"> </w:t>
      </w:r>
      <w:r>
        <w:t>concerns</w:t>
      </w:r>
      <w:r>
        <w:rPr>
          <w:spacing w:val="-3"/>
        </w:rPr>
        <w:t xml:space="preserve"> </w:t>
      </w:r>
      <w:r>
        <w:t>about</w:t>
      </w:r>
      <w:r>
        <w:rPr>
          <w:spacing w:val="-5"/>
        </w:rPr>
        <w:t xml:space="preserve"> </w:t>
      </w:r>
      <w:r>
        <w:t>substance</w:t>
      </w:r>
      <w:r>
        <w:rPr>
          <w:spacing w:val="-2"/>
        </w:rPr>
        <w:t xml:space="preserve"> </w:t>
      </w:r>
      <w:r>
        <w:t>use</w:t>
      </w:r>
      <w:r>
        <w:rPr>
          <w:spacing w:val="-2"/>
        </w:rPr>
        <w:t xml:space="preserve"> </w:t>
      </w:r>
      <w:r>
        <w:t>and</w:t>
      </w:r>
      <w:r>
        <w:rPr>
          <w:spacing w:val="-4"/>
        </w:rPr>
        <w:t xml:space="preserve"> </w:t>
      </w:r>
      <w:r>
        <w:t>is considering the possibility of change.</w:t>
      </w:r>
    </w:p>
    <w:p w14:paraId="2476BC9F" w14:textId="77777777" w:rsidR="00DB6E1F" w:rsidRDefault="00F666A6">
      <w:pPr>
        <w:pStyle w:val="ListParagraph"/>
        <w:numPr>
          <w:ilvl w:val="0"/>
          <w:numId w:val="92"/>
        </w:numPr>
        <w:tabs>
          <w:tab w:val="left" w:pos="1799"/>
          <w:tab w:val="left" w:pos="1800"/>
        </w:tabs>
        <w:spacing w:before="61"/>
        <w:ind w:left="1799" w:right="1561"/>
        <w:rPr>
          <w:rFonts w:ascii="Symbol" w:hAnsi="Symbol"/>
        </w:rPr>
      </w:pPr>
      <w:r>
        <w:t>The</w:t>
      </w:r>
      <w:r>
        <w:rPr>
          <w:spacing w:val="-2"/>
        </w:rPr>
        <w:t xml:space="preserve"> </w:t>
      </w:r>
      <w:r>
        <w:t>counselor’s</w:t>
      </w:r>
      <w:r>
        <w:rPr>
          <w:spacing w:val="-3"/>
        </w:rPr>
        <w:t xml:space="preserve"> </w:t>
      </w:r>
      <w:r>
        <w:t>focus</w:t>
      </w:r>
      <w:r>
        <w:rPr>
          <w:spacing w:val="-3"/>
        </w:rPr>
        <w:t xml:space="preserve"> </w:t>
      </w:r>
      <w:r>
        <w:t>in</w:t>
      </w:r>
      <w:r>
        <w:rPr>
          <w:spacing w:val="-4"/>
        </w:rPr>
        <w:t xml:space="preserve"> </w:t>
      </w:r>
      <w:r>
        <w:t>Contemplation</w:t>
      </w:r>
      <w:r>
        <w:rPr>
          <w:spacing w:val="-4"/>
        </w:rPr>
        <w:t xml:space="preserve"> </w:t>
      </w:r>
      <w:r>
        <w:t>is</w:t>
      </w:r>
      <w:r>
        <w:rPr>
          <w:spacing w:val="-5"/>
        </w:rPr>
        <w:t xml:space="preserve"> </w:t>
      </w:r>
      <w:r>
        <w:t>to</w:t>
      </w:r>
      <w:r>
        <w:rPr>
          <w:spacing w:val="-2"/>
        </w:rPr>
        <w:t xml:space="preserve"> </w:t>
      </w:r>
      <w:r>
        <w:t>normalize</w:t>
      </w:r>
      <w:r>
        <w:rPr>
          <w:spacing w:val="-2"/>
        </w:rPr>
        <w:t xml:space="preserve"> </w:t>
      </w:r>
      <w:r>
        <w:t>and</w:t>
      </w:r>
      <w:r>
        <w:rPr>
          <w:spacing w:val="-4"/>
        </w:rPr>
        <w:t xml:space="preserve"> </w:t>
      </w:r>
      <w:r>
        <w:t>resolve</w:t>
      </w:r>
      <w:r>
        <w:rPr>
          <w:spacing w:val="-2"/>
        </w:rPr>
        <w:t xml:space="preserve"> </w:t>
      </w:r>
      <w:r>
        <w:t>client</w:t>
      </w:r>
      <w:r>
        <w:rPr>
          <w:spacing w:val="-2"/>
        </w:rPr>
        <w:t xml:space="preserve"> </w:t>
      </w:r>
      <w:r>
        <w:t>ambivalence</w:t>
      </w:r>
      <w:r>
        <w:rPr>
          <w:spacing w:val="-2"/>
        </w:rPr>
        <w:t xml:space="preserve"> </w:t>
      </w:r>
      <w:r>
        <w:t>and</w:t>
      </w:r>
      <w:r>
        <w:rPr>
          <w:spacing w:val="-4"/>
        </w:rPr>
        <w:t xml:space="preserve"> </w:t>
      </w:r>
      <w:r>
        <w:t>help</w:t>
      </w:r>
      <w:r>
        <w:rPr>
          <w:spacing w:val="-6"/>
        </w:rPr>
        <w:t xml:space="preserve"> </w:t>
      </w:r>
      <w:r>
        <w:t>the client tip the decisional balance toward changing substance use behaviors.</w:t>
      </w:r>
    </w:p>
    <w:p w14:paraId="7A2EF27B" w14:textId="77777777" w:rsidR="00DB6E1F" w:rsidRDefault="00F666A6">
      <w:pPr>
        <w:pStyle w:val="ListParagraph"/>
        <w:numPr>
          <w:ilvl w:val="0"/>
          <w:numId w:val="92"/>
        </w:numPr>
        <w:tabs>
          <w:tab w:val="left" w:pos="1799"/>
          <w:tab w:val="left" w:pos="1800"/>
        </w:tabs>
        <w:ind w:left="1799" w:right="1669"/>
        <w:rPr>
          <w:rFonts w:ascii="Symbol" w:hAnsi="Symbol"/>
        </w:rPr>
      </w:pPr>
      <w:r>
        <w:t>Key</w:t>
      </w:r>
      <w:r>
        <w:rPr>
          <w:spacing w:val="-4"/>
        </w:rPr>
        <w:t xml:space="preserve"> </w:t>
      </w:r>
      <w:r>
        <w:t>motivational</w:t>
      </w:r>
      <w:r>
        <w:rPr>
          <w:spacing w:val="-3"/>
        </w:rPr>
        <w:t xml:space="preserve"> </w:t>
      </w:r>
      <w:r>
        <w:t>counseling</w:t>
      </w:r>
      <w:r>
        <w:rPr>
          <w:spacing w:val="-4"/>
        </w:rPr>
        <w:t xml:space="preserve"> </w:t>
      </w:r>
      <w:r>
        <w:t>strategies</w:t>
      </w:r>
      <w:r>
        <w:rPr>
          <w:spacing w:val="-3"/>
        </w:rPr>
        <w:t xml:space="preserve"> </w:t>
      </w:r>
      <w:r>
        <w:t>for</w:t>
      </w:r>
      <w:r>
        <w:rPr>
          <w:spacing w:val="-3"/>
        </w:rPr>
        <w:t xml:space="preserve"> </w:t>
      </w:r>
      <w:r>
        <w:t>resolving</w:t>
      </w:r>
      <w:r>
        <w:rPr>
          <w:spacing w:val="-4"/>
        </w:rPr>
        <w:t xml:space="preserve"> </w:t>
      </w:r>
      <w:r>
        <w:t>ambivalence</w:t>
      </w:r>
      <w:r>
        <w:rPr>
          <w:spacing w:val="-2"/>
        </w:rPr>
        <w:t xml:space="preserve"> </w:t>
      </w:r>
      <w:r>
        <w:t>include</w:t>
      </w:r>
      <w:r>
        <w:rPr>
          <w:spacing w:val="-5"/>
        </w:rPr>
        <w:t xml:space="preserve"> </w:t>
      </w:r>
      <w:r>
        <w:t>reassuring</w:t>
      </w:r>
      <w:r>
        <w:rPr>
          <w:spacing w:val="-3"/>
        </w:rPr>
        <w:t xml:space="preserve"> </w:t>
      </w:r>
      <w:r>
        <w:t>the</w:t>
      </w:r>
      <w:r>
        <w:rPr>
          <w:spacing w:val="-2"/>
        </w:rPr>
        <w:t xml:space="preserve"> </w:t>
      </w:r>
      <w:r>
        <w:t>client</w:t>
      </w:r>
      <w:r>
        <w:rPr>
          <w:spacing w:val="-5"/>
        </w:rPr>
        <w:t xml:space="preserve"> </w:t>
      </w:r>
      <w:r>
        <w:t>that ambivalence about change is normal; evoking DARN (</w:t>
      </w:r>
      <w:r>
        <w:rPr>
          <w:b/>
        </w:rPr>
        <w:t>D</w:t>
      </w:r>
      <w:r>
        <w:t xml:space="preserve">esire, </w:t>
      </w:r>
      <w:r>
        <w:rPr>
          <w:b/>
        </w:rPr>
        <w:t>A</w:t>
      </w:r>
      <w:r>
        <w:t xml:space="preserve">bility, </w:t>
      </w:r>
      <w:r>
        <w:rPr>
          <w:b/>
        </w:rPr>
        <w:t>R</w:t>
      </w:r>
      <w:r>
        <w:t xml:space="preserve">easons, and </w:t>
      </w:r>
      <w:r>
        <w:rPr>
          <w:b/>
        </w:rPr>
        <w:t>N</w:t>
      </w:r>
      <w:r>
        <w:t>eed) change talk; and summarizing the client’s concerns.</w:t>
      </w:r>
    </w:p>
    <w:p w14:paraId="76195267" w14:textId="77777777" w:rsidR="00DB6E1F" w:rsidRDefault="00F666A6">
      <w:pPr>
        <w:pStyle w:val="ListParagraph"/>
        <w:numPr>
          <w:ilvl w:val="0"/>
          <w:numId w:val="92"/>
        </w:numPr>
        <w:tabs>
          <w:tab w:val="left" w:pos="1800"/>
        </w:tabs>
        <w:spacing w:before="59"/>
        <w:ind w:left="1799" w:right="1683" w:hanging="360"/>
        <w:jc w:val="both"/>
        <w:rPr>
          <w:rFonts w:ascii="Symbol" w:hAnsi="Symbol"/>
        </w:rPr>
      </w:pPr>
      <w:r>
        <w:t>To</w:t>
      </w:r>
      <w:r>
        <w:rPr>
          <w:spacing w:val="-1"/>
        </w:rPr>
        <w:t xml:space="preserve"> </w:t>
      </w:r>
      <w:r>
        <w:t>reinforce</w:t>
      </w:r>
      <w:r>
        <w:rPr>
          <w:spacing w:val="-3"/>
        </w:rPr>
        <w:t xml:space="preserve"> </w:t>
      </w:r>
      <w:r>
        <w:t>movement</w:t>
      </w:r>
      <w:r>
        <w:rPr>
          <w:spacing w:val="-1"/>
        </w:rPr>
        <w:t xml:space="preserve"> </w:t>
      </w:r>
      <w:r>
        <w:t>toward</w:t>
      </w:r>
      <w:r>
        <w:rPr>
          <w:spacing w:val="-3"/>
        </w:rPr>
        <w:t xml:space="preserve"> </w:t>
      </w:r>
      <w:r>
        <w:t>change,</w:t>
      </w:r>
      <w:r>
        <w:rPr>
          <w:spacing w:val="-4"/>
        </w:rPr>
        <w:t xml:space="preserve"> </w:t>
      </w:r>
      <w:r>
        <w:t>the</w:t>
      </w:r>
      <w:r>
        <w:rPr>
          <w:spacing w:val="-2"/>
        </w:rPr>
        <w:t xml:space="preserve"> </w:t>
      </w:r>
      <w:r>
        <w:t>counselor</w:t>
      </w:r>
      <w:r>
        <w:rPr>
          <w:spacing w:val="-2"/>
        </w:rPr>
        <w:t xml:space="preserve"> </w:t>
      </w:r>
      <w:r>
        <w:t>reinforces</w:t>
      </w:r>
      <w:r>
        <w:rPr>
          <w:spacing w:val="-4"/>
        </w:rPr>
        <w:t xml:space="preserve"> </w:t>
      </w:r>
      <w:r>
        <w:t>the</w:t>
      </w:r>
      <w:r>
        <w:rPr>
          <w:spacing w:val="-1"/>
        </w:rPr>
        <w:t xml:space="preserve"> </w:t>
      </w:r>
      <w:r>
        <w:t>client’s</w:t>
      </w:r>
      <w:r>
        <w:rPr>
          <w:spacing w:val="-2"/>
        </w:rPr>
        <w:t xml:space="preserve"> </w:t>
      </w:r>
      <w:r>
        <w:t>understanding</w:t>
      </w:r>
      <w:r>
        <w:rPr>
          <w:spacing w:val="-3"/>
        </w:rPr>
        <w:t xml:space="preserve"> </w:t>
      </w:r>
      <w:r>
        <w:t>of</w:t>
      </w:r>
      <w:r>
        <w:rPr>
          <w:spacing w:val="-4"/>
        </w:rPr>
        <w:t xml:space="preserve"> </w:t>
      </w:r>
      <w:r>
        <w:t>the change</w:t>
      </w:r>
      <w:r>
        <w:rPr>
          <w:spacing w:val="-3"/>
        </w:rPr>
        <w:t xml:space="preserve"> </w:t>
      </w:r>
      <w:r>
        <w:t>process,</w:t>
      </w:r>
      <w:r>
        <w:rPr>
          <w:spacing w:val="-4"/>
        </w:rPr>
        <w:t xml:space="preserve"> </w:t>
      </w:r>
      <w:r>
        <w:t>reintroduces</w:t>
      </w:r>
      <w:r>
        <w:rPr>
          <w:spacing w:val="-4"/>
        </w:rPr>
        <w:t xml:space="preserve"> </w:t>
      </w:r>
      <w:r>
        <w:t>personalized</w:t>
      </w:r>
      <w:r>
        <w:rPr>
          <w:spacing w:val="-5"/>
        </w:rPr>
        <w:t xml:space="preserve"> </w:t>
      </w:r>
      <w:r>
        <w:t>feedback,</w:t>
      </w:r>
      <w:r>
        <w:rPr>
          <w:spacing w:val="-8"/>
        </w:rPr>
        <w:t xml:space="preserve"> </w:t>
      </w:r>
      <w:r>
        <w:t>explores</w:t>
      </w:r>
      <w:r>
        <w:rPr>
          <w:spacing w:val="-4"/>
        </w:rPr>
        <w:t xml:space="preserve"> </w:t>
      </w:r>
      <w:r>
        <w:t>client</w:t>
      </w:r>
      <w:r>
        <w:rPr>
          <w:spacing w:val="-3"/>
        </w:rPr>
        <w:t xml:space="preserve"> </w:t>
      </w:r>
      <w:r>
        <w:t>self-efficacy,</w:t>
      </w:r>
      <w:r>
        <w:rPr>
          <w:spacing w:val="-4"/>
        </w:rPr>
        <w:t xml:space="preserve"> </w:t>
      </w:r>
      <w:r>
        <w:t>and</w:t>
      </w:r>
      <w:r>
        <w:rPr>
          <w:spacing w:val="-5"/>
        </w:rPr>
        <w:t xml:space="preserve"> </w:t>
      </w:r>
      <w:r>
        <w:t>summarizes client change talk.</w:t>
      </w:r>
    </w:p>
    <w:p w14:paraId="447B2970" w14:textId="77777777" w:rsidR="00DB6E1F" w:rsidRDefault="00F666A6">
      <w:pPr>
        <w:pStyle w:val="ListParagraph"/>
        <w:numPr>
          <w:ilvl w:val="0"/>
          <w:numId w:val="92"/>
        </w:numPr>
        <w:tabs>
          <w:tab w:val="left" w:pos="1800"/>
        </w:tabs>
        <w:ind w:left="1799"/>
        <w:jc w:val="both"/>
        <w:rPr>
          <w:rFonts w:ascii="Symbol" w:hAnsi="Symbol"/>
        </w:rPr>
      </w:pPr>
      <w:r>
        <w:t>The</w:t>
      </w:r>
      <w:r>
        <w:rPr>
          <w:spacing w:val="-5"/>
        </w:rPr>
        <w:t xml:space="preserve"> </w:t>
      </w:r>
      <w:r>
        <w:t>counselor</w:t>
      </w:r>
      <w:r>
        <w:rPr>
          <w:spacing w:val="-4"/>
        </w:rPr>
        <w:t xml:space="preserve"> </w:t>
      </w:r>
      <w:r>
        <w:t>encourages</w:t>
      </w:r>
      <w:r>
        <w:rPr>
          <w:spacing w:val="-8"/>
        </w:rPr>
        <w:t xml:space="preserve"> </w:t>
      </w:r>
      <w:r>
        <w:t>the</w:t>
      </w:r>
      <w:r>
        <w:rPr>
          <w:spacing w:val="-3"/>
        </w:rPr>
        <w:t xml:space="preserve"> </w:t>
      </w:r>
      <w:r>
        <w:t>client</w:t>
      </w:r>
      <w:r>
        <w:rPr>
          <w:spacing w:val="-6"/>
        </w:rPr>
        <w:t xml:space="preserve"> </w:t>
      </w:r>
      <w:r>
        <w:t>to</w:t>
      </w:r>
      <w:r>
        <w:rPr>
          <w:spacing w:val="-2"/>
        </w:rPr>
        <w:t xml:space="preserve"> </w:t>
      </w:r>
      <w:r>
        <w:t>strengthen</w:t>
      </w:r>
      <w:r>
        <w:rPr>
          <w:spacing w:val="-5"/>
        </w:rPr>
        <w:t xml:space="preserve"> </w:t>
      </w:r>
      <w:r>
        <w:t>his</w:t>
      </w:r>
      <w:r>
        <w:rPr>
          <w:spacing w:val="-5"/>
        </w:rPr>
        <w:t xml:space="preserve"> </w:t>
      </w:r>
      <w:r>
        <w:t>or</w:t>
      </w:r>
      <w:r>
        <w:rPr>
          <w:spacing w:val="-4"/>
        </w:rPr>
        <w:t xml:space="preserve"> </w:t>
      </w:r>
      <w:r>
        <w:t>her</w:t>
      </w:r>
      <w:r>
        <w:rPr>
          <w:spacing w:val="-3"/>
        </w:rPr>
        <w:t xml:space="preserve"> </w:t>
      </w:r>
      <w:r>
        <w:t>commitment</w:t>
      </w:r>
      <w:r>
        <w:rPr>
          <w:spacing w:val="-3"/>
        </w:rPr>
        <w:t xml:space="preserve"> </w:t>
      </w:r>
      <w:r>
        <w:t>to</w:t>
      </w:r>
      <w:r>
        <w:rPr>
          <w:spacing w:val="-3"/>
        </w:rPr>
        <w:t xml:space="preserve"> </w:t>
      </w:r>
      <w:r>
        <w:t>change</w:t>
      </w:r>
      <w:r>
        <w:rPr>
          <w:spacing w:val="-2"/>
        </w:rPr>
        <w:t xml:space="preserve"> </w:t>
      </w:r>
      <w:r>
        <w:t>by</w:t>
      </w:r>
      <w:r>
        <w:rPr>
          <w:spacing w:val="-3"/>
        </w:rPr>
        <w:t xml:space="preserve"> </w:t>
      </w:r>
      <w:r>
        <w:t>taking</w:t>
      </w:r>
      <w:r>
        <w:rPr>
          <w:spacing w:val="-4"/>
        </w:rPr>
        <w:t xml:space="preserve"> </w:t>
      </w:r>
      <w:r>
        <w:rPr>
          <w:spacing w:val="-2"/>
        </w:rPr>
        <w:t>small</w:t>
      </w:r>
    </w:p>
    <w:p w14:paraId="43F17671" w14:textId="77777777" w:rsidR="00DB6E1F" w:rsidRDefault="00DB6E1F">
      <w:pPr>
        <w:jc w:val="both"/>
        <w:rPr>
          <w:rFonts w:ascii="Symbol" w:hAnsi="Symbol"/>
        </w:rPr>
        <w:sectPr w:rsidR="00DB6E1F">
          <w:pgSz w:w="12240" w:h="15840"/>
          <w:pgMar w:top="960" w:right="0" w:bottom="940" w:left="0" w:header="762" w:footer="602" w:gutter="0"/>
          <w:cols w:space="720"/>
        </w:sectPr>
      </w:pPr>
    </w:p>
    <w:p w14:paraId="2159B534" w14:textId="77777777" w:rsidR="00DB6E1F" w:rsidRDefault="00DB6E1F">
      <w:pPr>
        <w:pStyle w:val="BodyText"/>
        <w:rPr>
          <w:sz w:val="20"/>
        </w:rPr>
      </w:pPr>
    </w:p>
    <w:p w14:paraId="098951CD" w14:textId="77777777" w:rsidR="00DB6E1F" w:rsidRDefault="00DB6E1F">
      <w:pPr>
        <w:pStyle w:val="BodyText"/>
        <w:spacing w:before="1"/>
        <w:rPr>
          <w:sz w:val="19"/>
        </w:rPr>
      </w:pPr>
    </w:p>
    <w:p w14:paraId="7413EB01" w14:textId="77777777" w:rsidR="00DB6E1F" w:rsidRDefault="00F666A6">
      <w:pPr>
        <w:pStyle w:val="BodyText"/>
        <w:ind w:left="1800"/>
      </w:pPr>
      <w:r>
        <w:t>steps,</w:t>
      </w:r>
      <w:r>
        <w:rPr>
          <w:spacing w:val="-7"/>
        </w:rPr>
        <w:t xml:space="preserve"> </w:t>
      </w:r>
      <w:r>
        <w:t>going</w:t>
      </w:r>
      <w:r>
        <w:rPr>
          <w:spacing w:val="-5"/>
        </w:rPr>
        <w:t xml:space="preserve"> </w:t>
      </w:r>
      <w:r>
        <w:t>public,</w:t>
      </w:r>
      <w:r>
        <w:rPr>
          <w:spacing w:val="-4"/>
        </w:rPr>
        <w:t xml:space="preserve"> </w:t>
      </w:r>
      <w:r>
        <w:t>and</w:t>
      </w:r>
      <w:r>
        <w:rPr>
          <w:spacing w:val="-5"/>
        </w:rPr>
        <w:t xml:space="preserve"> </w:t>
      </w:r>
      <w:r>
        <w:t>envisioning</w:t>
      </w:r>
      <w:r>
        <w:rPr>
          <w:spacing w:val="-5"/>
        </w:rPr>
        <w:t xml:space="preserve"> </w:t>
      </w:r>
      <w:r>
        <w:t>life</w:t>
      </w:r>
      <w:r>
        <w:rPr>
          <w:spacing w:val="-6"/>
        </w:rPr>
        <w:t xml:space="preserve"> </w:t>
      </w:r>
      <w:r>
        <w:t>after</w:t>
      </w:r>
      <w:r>
        <w:rPr>
          <w:spacing w:val="-4"/>
        </w:rPr>
        <w:t xml:space="preserve"> </w:t>
      </w:r>
      <w:r>
        <w:t>changing</w:t>
      </w:r>
      <w:r>
        <w:rPr>
          <w:spacing w:val="-5"/>
        </w:rPr>
        <w:t xml:space="preserve"> </w:t>
      </w:r>
      <w:r>
        <w:t>substance</w:t>
      </w:r>
      <w:r>
        <w:rPr>
          <w:spacing w:val="-3"/>
        </w:rPr>
        <w:t xml:space="preserve"> </w:t>
      </w:r>
      <w:r>
        <w:t>use</w:t>
      </w:r>
      <w:r>
        <w:rPr>
          <w:spacing w:val="-3"/>
        </w:rPr>
        <w:t xml:space="preserve"> </w:t>
      </w:r>
      <w:r>
        <w:rPr>
          <w:spacing w:val="-2"/>
        </w:rPr>
        <w:t>behaviors.</w:t>
      </w:r>
    </w:p>
    <w:p w14:paraId="3B2B74C8" w14:textId="77777777" w:rsidR="00DB6E1F" w:rsidRDefault="00F666A6">
      <w:pPr>
        <w:pStyle w:val="Heading3"/>
        <w:spacing w:before="164"/>
      </w:pPr>
      <w:r>
        <w:t>Chapter</w:t>
      </w:r>
      <w:r>
        <w:rPr>
          <w:spacing w:val="-12"/>
        </w:rPr>
        <w:t xml:space="preserve"> </w:t>
      </w:r>
      <w:r>
        <w:t>6—From</w:t>
      </w:r>
      <w:r>
        <w:rPr>
          <w:spacing w:val="-7"/>
        </w:rPr>
        <w:t xml:space="preserve"> </w:t>
      </w:r>
      <w:r>
        <w:t>Preparation</w:t>
      </w:r>
      <w:r>
        <w:rPr>
          <w:spacing w:val="-8"/>
        </w:rPr>
        <w:t xml:space="preserve"> </w:t>
      </w:r>
      <w:r>
        <w:t>to</w:t>
      </w:r>
      <w:r>
        <w:rPr>
          <w:spacing w:val="-8"/>
        </w:rPr>
        <w:t xml:space="preserve"> </w:t>
      </w:r>
      <w:r>
        <w:t>Action:</w:t>
      </w:r>
      <w:r>
        <w:rPr>
          <w:spacing w:val="-7"/>
        </w:rPr>
        <w:t xml:space="preserve"> </w:t>
      </w:r>
      <w:r>
        <w:t>Initiating</w:t>
      </w:r>
      <w:r>
        <w:rPr>
          <w:spacing w:val="-9"/>
        </w:rPr>
        <w:t xml:space="preserve"> </w:t>
      </w:r>
      <w:r>
        <w:rPr>
          <w:spacing w:val="-2"/>
        </w:rPr>
        <w:t>Change</w:t>
      </w:r>
    </w:p>
    <w:p w14:paraId="0D2BFA65" w14:textId="77777777" w:rsidR="00DB6E1F" w:rsidRDefault="00F666A6">
      <w:pPr>
        <w:pStyle w:val="BodyText"/>
        <w:spacing w:before="141"/>
        <w:ind w:left="1440" w:right="1491"/>
      </w:pPr>
      <w:r>
        <w:t>This</w:t>
      </w:r>
      <w:r>
        <w:rPr>
          <w:spacing w:val="-2"/>
        </w:rPr>
        <w:t xml:space="preserve"> </w:t>
      </w:r>
      <w:r>
        <w:t>chapter</w:t>
      </w:r>
      <w:r>
        <w:rPr>
          <w:spacing w:val="-4"/>
        </w:rPr>
        <w:t xml:space="preserve"> </w:t>
      </w:r>
      <w:r>
        <w:t>describes</w:t>
      </w:r>
      <w:r>
        <w:rPr>
          <w:spacing w:val="-2"/>
        </w:rPr>
        <w:t xml:space="preserve"> </w:t>
      </w:r>
      <w:r>
        <w:t>the</w:t>
      </w:r>
      <w:r>
        <w:rPr>
          <w:spacing w:val="-6"/>
        </w:rPr>
        <w:t xml:space="preserve"> </w:t>
      </w:r>
      <w:r>
        <w:t>process</w:t>
      </w:r>
      <w:r>
        <w:rPr>
          <w:spacing w:val="-4"/>
        </w:rPr>
        <w:t xml:space="preserve"> </w:t>
      </w:r>
      <w:r>
        <w:t>of</w:t>
      </w:r>
      <w:r>
        <w:rPr>
          <w:spacing w:val="-5"/>
        </w:rPr>
        <w:t xml:space="preserve"> </w:t>
      </w:r>
      <w:r>
        <w:t>helping</w:t>
      </w:r>
      <w:r>
        <w:rPr>
          <w:spacing w:val="-3"/>
        </w:rPr>
        <w:t xml:space="preserve"> </w:t>
      </w:r>
      <w:r>
        <w:t>clients</w:t>
      </w:r>
      <w:r>
        <w:rPr>
          <w:spacing w:val="-4"/>
        </w:rPr>
        <w:t xml:space="preserve"> </w:t>
      </w:r>
      <w:r>
        <w:t>identify</w:t>
      </w:r>
      <w:r>
        <w:rPr>
          <w:spacing w:val="-1"/>
        </w:rPr>
        <w:t xml:space="preserve"> </w:t>
      </w:r>
      <w:r>
        <w:t>and</w:t>
      </w:r>
      <w:r>
        <w:rPr>
          <w:spacing w:val="-3"/>
        </w:rPr>
        <w:t xml:space="preserve"> </w:t>
      </w:r>
      <w:r>
        <w:t>clarify</w:t>
      </w:r>
      <w:r>
        <w:rPr>
          <w:spacing w:val="-2"/>
        </w:rPr>
        <w:t xml:space="preserve"> </w:t>
      </w:r>
      <w:r>
        <w:t>change</w:t>
      </w:r>
      <w:r>
        <w:rPr>
          <w:spacing w:val="-4"/>
        </w:rPr>
        <w:t xml:space="preserve"> </w:t>
      </w:r>
      <w:r>
        <w:t>goals.</w:t>
      </w:r>
      <w:r>
        <w:rPr>
          <w:spacing w:val="-2"/>
        </w:rPr>
        <w:t xml:space="preserve"> </w:t>
      </w:r>
      <w:r>
        <w:t>It</w:t>
      </w:r>
      <w:r>
        <w:rPr>
          <w:spacing w:val="-4"/>
        </w:rPr>
        <w:t xml:space="preserve"> </w:t>
      </w:r>
      <w:r>
        <w:t>also</w:t>
      </w:r>
      <w:r>
        <w:rPr>
          <w:spacing w:val="-3"/>
        </w:rPr>
        <w:t xml:space="preserve"> </w:t>
      </w:r>
      <w:r>
        <w:t>focuses</w:t>
      </w:r>
      <w:r>
        <w:rPr>
          <w:spacing w:val="-4"/>
        </w:rPr>
        <w:t xml:space="preserve"> </w:t>
      </w:r>
      <w:r>
        <w:t>on how and when to develop change plans with clients and suggests ways to ensure that plans are accessible, acceptable, and appropriate for clients.</w:t>
      </w:r>
    </w:p>
    <w:p w14:paraId="6B31B115" w14:textId="77777777" w:rsidR="00DB6E1F" w:rsidRDefault="00F666A6">
      <w:pPr>
        <w:pStyle w:val="BodyText"/>
        <w:spacing w:before="161"/>
        <w:ind w:left="1440"/>
      </w:pPr>
      <w:r>
        <w:t>In</w:t>
      </w:r>
      <w:r>
        <w:rPr>
          <w:spacing w:val="-5"/>
        </w:rPr>
        <w:t xml:space="preserve"> </w:t>
      </w:r>
      <w:r>
        <w:t>Chapter</w:t>
      </w:r>
      <w:r>
        <w:rPr>
          <w:spacing w:val="-4"/>
        </w:rPr>
        <w:t xml:space="preserve"> </w:t>
      </w:r>
      <w:r>
        <w:t>6,</w:t>
      </w:r>
      <w:r>
        <w:rPr>
          <w:spacing w:val="-3"/>
        </w:rPr>
        <w:t xml:space="preserve"> </w:t>
      </w:r>
      <w:r>
        <w:t>readers</w:t>
      </w:r>
      <w:r>
        <w:rPr>
          <w:spacing w:val="-4"/>
        </w:rPr>
        <w:t xml:space="preserve"> </w:t>
      </w:r>
      <w:r>
        <w:t>will</w:t>
      </w:r>
      <w:r>
        <w:rPr>
          <w:spacing w:val="-6"/>
        </w:rPr>
        <w:t xml:space="preserve"> </w:t>
      </w:r>
      <w:r>
        <w:t>learn</w:t>
      </w:r>
      <w:r>
        <w:rPr>
          <w:spacing w:val="-4"/>
        </w:rPr>
        <w:t xml:space="preserve"> that:</w:t>
      </w:r>
    </w:p>
    <w:p w14:paraId="6C635BE7" w14:textId="77777777" w:rsidR="00DB6E1F" w:rsidRDefault="00F666A6">
      <w:pPr>
        <w:pStyle w:val="ListParagraph"/>
        <w:numPr>
          <w:ilvl w:val="0"/>
          <w:numId w:val="92"/>
        </w:numPr>
        <w:tabs>
          <w:tab w:val="left" w:pos="1800"/>
          <w:tab w:val="left" w:pos="1801"/>
        </w:tabs>
        <w:spacing w:before="58"/>
        <w:ind w:left="1799" w:right="1484" w:hanging="360"/>
        <w:rPr>
          <w:rFonts w:ascii="Symbol" w:hAnsi="Symbol"/>
        </w:rPr>
      </w:pPr>
      <w:r>
        <w:t>In the Preparation stage, the client is committed and planning to make a change but is unsure of what</w:t>
      </w:r>
      <w:r>
        <w:rPr>
          <w:spacing w:val="-1"/>
        </w:rPr>
        <w:t xml:space="preserve"> </w:t>
      </w:r>
      <w:r>
        <w:t>to</w:t>
      </w:r>
      <w:r>
        <w:rPr>
          <w:spacing w:val="-1"/>
        </w:rPr>
        <w:t xml:space="preserve"> </w:t>
      </w:r>
      <w:r>
        <w:t>do</w:t>
      </w:r>
      <w:r>
        <w:rPr>
          <w:spacing w:val="-1"/>
        </w:rPr>
        <w:t xml:space="preserve"> </w:t>
      </w:r>
      <w:r>
        <w:t>next.</w:t>
      </w:r>
      <w:r>
        <w:rPr>
          <w:spacing w:val="-3"/>
        </w:rPr>
        <w:t xml:space="preserve"> </w:t>
      </w:r>
      <w:r>
        <w:t>In</w:t>
      </w:r>
      <w:r>
        <w:rPr>
          <w:spacing w:val="-3"/>
        </w:rPr>
        <w:t xml:space="preserve"> </w:t>
      </w:r>
      <w:r>
        <w:t>the</w:t>
      </w:r>
      <w:r>
        <w:rPr>
          <w:spacing w:val="-4"/>
        </w:rPr>
        <w:t xml:space="preserve"> </w:t>
      </w:r>
      <w:r>
        <w:t>Action</w:t>
      </w:r>
      <w:r>
        <w:rPr>
          <w:spacing w:val="-3"/>
        </w:rPr>
        <w:t xml:space="preserve"> </w:t>
      </w:r>
      <w:r>
        <w:t>stage,</w:t>
      </w:r>
      <w:r>
        <w:rPr>
          <w:spacing w:val="-2"/>
        </w:rPr>
        <w:t xml:space="preserve"> </w:t>
      </w:r>
      <w:r>
        <w:t>the</w:t>
      </w:r>
      <w:r>
        <w:rPr>
          <w:spacing w:val="-4"/>
        </w:rPr>
        <w:t xml:space="preserve"> </w:t>
      </w:r>
      <w:r>
        <w:t>client</w:t>
      </w:r>
      <w:r>
        <w:rPr>
          <w:spacing w:val="-4"/>
        </w:rPr>
        <w:t xml:space="preserve"> </w:t>
      </w:r>
      <w:r>
        <w:t>is</w:t>
      </w:r>
      <w:r>
        <w:rPr>
          <w:spacing w:val="-2"/>
        </w:rPr>
        <w:t xml:space="preserve"> </w:t>
      </w:r>
      <w:r>
        <w:t>actively</w:t>
      </w:r>
      <w:r>
        <w:rPr>
          <w:spacing w:val="-1"/>
        </w:rPr>
        <w:t xml:space="preserve"> </w:t>
      </w:r>
      <w:r>
        <w:t>taking</w:t>
      </w:r>
      <w:r>
        <w:rPr>
          <w:spacing w:val="-3"/>
        </w:rPr>
        <w:t xml:space="preserve"> </w:t>
      </w:r>
      <w:r>
        <w:t>steps</w:t>
      </w:r>
      <w:r>
        <w:rPr>
          <w:spacing w:val="-2"/>
        </w:rPr>
        <w:t xml:space="preserve"> </w:t>
      </w:r>
      <w:r>
        <w:t>to</w:t>
      </w:r>
      <w:r>
        <w:rPr>
          <w:spacing w:val="-1"/>
        </w:rPr>
        <w:t xml:space="preserve"> </w:t>
      </w:r>
      <w:r>
        <w:t>change</w:t>
      </w:r>
      <w:r>
        <w:rPr>
          <w:spacing w:val="-6"/>
        </w:rPr>
        <w:t xml:space="preserve"> </w:t>
      </w:r>
      <w:r>
        <w:t>but</w:t>
      </w:r>
      <w:r>
        <w:rPr>
          <w:spacing w:val="-1"/>
        </w:rPr>
        <w:t xml:space="preserve"> </w:t>
      </w:r>
      <w:r>
        <w:t>has</w:t>
      </w:r>
      <w:r>
        <w:rPr>
          <w:spacing w:val="-2"/>
        </w:rPr>
        <w:t xml:space="preserve"> </w:t>
      </w:r>
      <w:r>
        <w:t>not</w:t>
      </w:r>
      <w:r>
        <w:rPr>
          <w:spacing w:val="-4"/>
        </w:rPr>
        <w:t xml:space="preserve"> </w:t>
      </w:r>
      <w:r>
        <w:t>reached stable recovery.</w:t>
      </w:r>
    </w:p>
    <w:p w14:paraId="3AC98EB3" w14:textId="77777777" w:rsidR="00DB6E1F" w:rsidRDefault="00F666A6">
      <w:pPr>
        <w:pStyle w:val="ListParagraph"/>
        <w:numPr>
          <w:ilvl w:val="0"/>
          <w:numId w:val="92"/>
        </w:numPr>
        <w:tabs>
          <w:tab w:val="left" w:pos="1800"/>
          <w:tab w:val="left" w:pos="1801"/>
        </w:tabs>
        <w:spacing w:before="61"/>
        <w:ind w:left="1800" w:right="1442"/>
        <w:rPr>
          <w:rFonts w:ascii="Symbol" w:hAnsi="Symbol"/>
        </w:rPr>
      </w:pPr>
      <w:r>
        <w:t>In Preparation, the counselor focuses on helping the client explore change goals and develop a change</w:t>
      </w:r>
      <w:r>
        <w:rPr>
          <w:spacing w:val="-1"/>
        </w:rPr>
        <w:t xml:space="preserve"> </w:t>
      </w:r>
      <w:r>
        <w:t>plan.</w:t>
      </w:r>
      <w:r>
        <w:rPr>
          <w:spacing w:val="-2"/>
        </w:rPr>
        <w:t xml:space="preserve"> </w:t>
      </w:r>
      <w:r>
        <w:t>In</w:t>
      </w:r>
      <w:r>
        <w:rPr>
          <w:spacing w:val="-3"/>
        </w:rPr>
        <w:t xml:space="preserve"> </w:t>
      </w:r>
      <w:r>
        <w:t>Action,</w:t>
      </w:r>
      <w:r>
        <w:rPr>
          <w:spacing w:val="-4"/>
        </w:rPr>
        <w:t xml:space="preserve"> </w:t>
      </w:r>
      <w:r>
        <w:t>the</w:t>
      </w:r>
      <w:r>
        <w:rPr>
          <w:spacing w:val="-7"/>
        </w:rPr>
        <w:t xml:space="preserve"> </w:t>
      </w:r>
      <w:r>
        <w:t>counselor</w:t>
      </w:r>
      <w:r>
        <w:rPr>
          <w:spacing w:val="-2"/>
        </w:rPr>
        <w:t xml:space="preserve"> </w:t>
      </w:r>
      <w:r>
        <w:t>focuses</w:t>
      </w:r>
      <w:r>
        <w:rPr>
          <w:spacing w:val="-4"/>
        </w:rPr>
        <w:t xml:space="preserve"> </w:t>
      </w:r>
      <w:r>
        <w:t>on</w:t>
      </w:r>
      <w:r>
        <w:rPr>
          <w:spacing w:val="-5"/>
        </w:rPr>
        <w:t xml:space="preserve"> </w:t>
      </w:r>
      <w:r>
        <w:t>supporting</w:t>
      </w:r>
      <w:r>
        <w:rPr>
          <w:spacing w:val="-2"/>
        </w:rPr>
        <w:t xml:space="preserve"> </w:t>
      </w:r>
      <w:r>
        <w:t>client</w:t>
      </w:r>
      <w:r>
        <w:rPr>
          <w:spacing w:val="-1"/>
        </w:rPr>
        <w:t xml:space="preserve"> </w:t>
      </w:r>
      <w:r>
        <w:t>action</w:t>
      </w:r>
      <w:r>
        <w:rPr>
          <w:spacing w:val="-3"/>
        </w:rPr>
        <w:t xml:space="preserve"> </w:t>
      </w:r>
      <w:r>
        <w:t>steps</w:t>
      </w:r>
      <w:r>
        <w:rPr>
          <w:spacing w:val="-2"/>
        </w:rPr>
        <w:t xml:space="preserve"> </w:t>
      </w:r>
      <w:r>
        <w:t>and</w:t>
      </w:r>
      <w:r>
        <w:rPr>
          <w:spacing w:val="-3"/>
        </w:rPr>
        <w:t xml:space="preserve"> </w:t>
      </w:r>
      <w:r>
        <w:t>helping</w:t>
      </w:r>
      <w:r>
        <w:rPr>
          <w:spacing w:val="-2"/>
        </w:rPr>
        <w:t xml:space="preserve"> </w:t>
      </w:r>
      <w:r>
        <w:t>the</w:t>
      </w:r>
      <w:r>
        <w:rPr>
          <w:spacing w:val="-1"/>
        </w:rPr>
        <w:t xml:space="preserve"> </w:t>
      </w:r>
      <w:r>
        <w:t>client evaluate what is working and not working in the change pla</w:t>
      </w:r>
      <w:r>
        <w:t>n.</w:t>
      </w:r>
    </w:p>
    <w:p w14:paraId="61744483" w14:textId="77777777" w:rsidR="00DB6E1F" w:rsidRDefault="00F666A6">
      <w:pPr>
        <w:pStyle w:val="ListParagraph"/>
        <w:numPr>
          <w:ilvl w:val="0"/>
          <w:numId w:val="92"/>
        </w:numPr>
        <w:tabs>
          <w:tab w:val="left" w:pos="1800"/>
          <w:tab w:val="left" w:pos="1801"/>
        </w:tabs>
        <w:spacing w:before="59"/>
        <w:ind w:left="1800" w:right="1990" w:hanging="360"/>
        <w:rPr>
          <w:rFonts w:ascii="Symbol" w:hAnsi="Symbol"/>
        </w:rPr>
      </w:pPr>
      <w:r>
        <w:t>The</w:t>
      </w:r>
      <w:r>
        <w:rPr>
          <w:spacing w:val="-2"/>
        </w:rPr>
        <w:t xml:space="preserve"> </w:t>
      </w:r>
      <w:r>
        <w:t>client</w:t>
      </w:r>
      <w:r>
        <w:rPr>
          <w:spacing w:val="-5"/>
        </w:rPr>
        <w:t xml:space="preserve"> </w:t>
      </w:r>
      <w:r>
        <w:t>who</w:t>
      </w:r>
      <w:r>
        <w:rPr>
          <w:spacing w:val="-1"/>
        </w:rPr>
        <w:t xml:space="preserve"> </w:t>
      </w:r>
      <w:r>
        <w:t>is</w:t>
      </w:r>
      <w:r>
        <w:rPr>
          <w:spacing w:val="-5"/>
        </w:rPr>
        <w:t xml:space="preserve"> </w:t>
      </w:r>
      <w:r>
        <w:t>committed</w:t>
      </w:r>
      <w:r>
        <w:rPr>
          <w:spacing w:val="-4"/>
        </w:rPr>
        <w:t xml:space="preserve"> </w:t>
      </w:r>
      <w:r>
        <w:t>to</w:t>
      </w:r>
      <w:r>
        <w:rPr>
          <w:spacing w:val="-4"/>
        </w:rPr>
        <w:t xml:space="preserve"> </w:t>
      </w:r>
      <w:r>
        <w:t>change</w:t>
      </w:r>
      <w:r>
        <w:rPr>
          <w:spacing w:val="-2"/>
        </w:rPr>
        <w:t xml:space="preserve"> </w:t>
      </w:r>
      <w:r>
        <w:t>and</w:t>
      </w:r>
      <w:r>
        <w:rPr>
          <w:spacing w:val="-4"/>
        </w:rPr>
        <w:t xml:space="preserve"> </w:t>
      </w:r>
      <w:r>
        <w:t>who</w:t>
      </w:r>
      <w:r>
        <w:rPr>
          <w:spacing w:val="-2"/>
        </w:rPr>
        <w:t xml:space="preserve"> </w:t>
      </w:r>
      <w:r>
        <w:t>believes</w:t>
      </w:r>
      <w:r>
        <w:rPr>
          <w:spacing w:val="-5"/>
        </w:rPr>
        <w:t xml:space="preserve"> </w:t>
      </w:r>
      <w:r>
        <w:t>change</w:t>
      </w:r>
      <w:r>
        <w:rPr>
          <w:spacing w:val="-2"/>
        </w:rPr>
        <w:t xml:space="preserve"> </w:t>
      </w:r>
      <w:r>
        <w:t>is</w:t>
      </w:r>
      <w:r>
        <w:rPr>
          <w:spacing w:val="-3"/>
        </w:rPr>
        <w:t xml:space="preserve"> </w:t>
      </w:r>
      <w:r>
        <w:t>possible</w:t>
      </w:r>
      <w:r>
        <w:rPr>
          <w:spacing w:val="-2"/>
        </w:rPr>
        <w:t xml:space="preserve"> </w:t>
      </w:r>
      <w:r>
        <w:t>is</w:t>
      </w:r>
      <w:r>
        <w:rPr>
          <w:spacing w:val="-2"/>
        </w:rPr>
        <w:t xml:space="preserve"> </w:t>
      </w:r>
      <w:r>
        <w:t>prepared</w:t>
      </w:r>
      <w:r>
        <w:rPr>
          <w:spacing w:val="-4"/>
        </w:rPr>
        <w:t xml:space="preserve"> </w:t>
      </w:r>
      <w:r>
        <w:t>for</w:t>
      </w:r>
      <w:r>
        <w:rPr>
          <w:spacing w:val="-3"/>
        </w:rPr>
        <w:t xml:space="preserve"> </w:t>
      </w:r>
      <w:r>
        <w:t>the Action stage.</w:t>
      </w:r>
    </w:p>
    <w:p w14:paraId="44754D7A" w14:textId="77777777" w:rsidR="00DB6E1F" w:rsidRDefault="00F666A6">
      <w:pPr>
        <w:pStyle w:val="ListParagraph"/>
        <w:numPr>
          <w:ilvl w:val="0"/>
          <w:numId w:val="92"/>
        </w:numPr>
        <w:tabs>
          <w:tab w:val="left" w:pos="1800"/>
          <w:tab w:val="left" w:pos="1801"/>
        </w:tabs>
        <w:ind w:left="1800" w:right="1793"/>
        <w:rPr>
          <w:rFonts w:ascii="Symbol" w:hAnsi="Symbol"/>
        </w:rPr>
      </w:pPr>
      <w:r>
        <w:t>Sobriety</w:t>
      </w:r>
      <w:r>
        <w:rPr>
          <w:spacing w:val="-2"/>
        </w:rPr>
        <w:t xml:space="preserve"> </w:t>
      </w:r>
      <w:r>
        <w:t>sampling,</w:t>
      </w:r>
      <w:r>
        <w:rPr>
          <w:spacing w:val="-3"/>
        </w:rPr>
        <w:t xml:space="preserve"> </w:t>
      </w:r>
      <w:r>
        <w:t>tapering</w:t>
      </w:r>
      <w:r>
        <w:rPr>
          <w:spacing w:val="-5"/>
        </w:rPr>
        <w:t xml:space="preserve"> </w:t>
      </w:r>
      <w:r>
        <w:t>down,</w:t>
      </w:r>
      <w:r>
        <w:rPr>
          <w:spacing w:val="-4"/>
        </w:rPr>
        <w:t xml:space="preserve"> </w:t>
      </w:r>
      <w:r>
        <w:t>and</w:t>
      </w:r>
      <w:r>
        <w:rPr>
          <w:spacing w:val="-3"/>
        </w:rPr>
        <w:t xml:space="preserve"> </w:t>
      </w:r>
      <w:r>
        <w:t>trial</w:t>
      </w:r>
      <w:r>
        <w:rPr>
          <w:spacing w:val="-5"/>
        </w:rPr>
        <w:t xml:space="preserve"> </w:t>
      </w:r>
      <w:r>
        <w:t>moderation</w:t>
      </w:r>
      <w:r>
        <w:rPr>
          <w:spacing w:val="-3"/>
        </w:rPr>
        <w:t xml:space="preserve"> </w:t>
      </w:r>
      <w:r>
        <w:t>are</w:t>
      </w:r>
      <w:r>
        <w:rPr>
          <w:spacing w:val="-2"/>
        </w:rPr>
        <w:t xml:space="preserve"> </w:t>
      </w:r>
      <w:r>
        <w:t>goal-sampling</w:t>
      </w:r>
      <w:r>
        <w:rPr>
          <w:spacing w:val="-3"/>
        </w:rPr>
        <w:t xml:space="preserve"> </w:t>
      </w:r>
      <w:r>
        <w:t>strategies</w:t>
      </w:r>
      <w:r>
        <w:rPr>
          <w:spacing w:val="-3"/>
        </w:rPr>
        <w:t xml:space="preserve"> </w:t>
      </w:r>
      <w:r>
        <w:t>that</w:t>
      </w:r>
      <w:r>
        <w:rPr>
          <w:spacing w:val="-4"/>
        </w:rPr>
        <w:t xml:space="preserve"> </w:t>
      </w:r>
      <w:r>
        <w:t>may</w:t>
      </w:r>
      <w:r>
        <w:rPr>
          <w:spacing w:val="-2"/>
        </w:rPr>
        <w:t xml:space="preserve"> </w:t>
      </w:r>
      <w:r>
        <w:t>be helpful to the client who is not committed to abstinence as a change goal.</w:t>
      </w:r>
    </w:p>
    <w:p w14:paraId="632A0CC5" w14:textId="77777777" w:rsidR="00DB6E1F" w:rsidRDefault="00F666A6">
      <w:pPr>
        <w:pStyle w:val="ListParagraph"/>
        <w:numPr>
          <w:ilvl w:val="0"/>
          <w:numId w:val="92"/>
        </w:numPr>
        <w:tabs>
          <w:tab w:val="left" w:pos="1799"/>
          <w:tab w:val="left" w:pos="1800"/>
        </w:tabs>
        <w:spacing w:before="61"/>
        <w:ind w:left="1799" w:right="1526"/>
        <w:rPr>
          <w:rFonts w:ascii="Symbol" w:hAnsi="Symbol"/>
        </w:rPr>
      </w:pPr>
      <w:r>
        <w:t>Creating</w:t>
      </w:r>
      <w:r>
        <w:rPr>
          <w:spacing w:val="-3"/>
        </w:rPr>
        <w:t xml:space="preserve"> </w:t>
      </w:r>
      <w:r>
        <w:t>a</w:t>
      </w:r>
      <w:r>
        <w:rPr>
          <w:spacing w:val="-2"/>
        </w:rPr>
        <w:t xml:space="preserve"> </w:t>
      </w:r>
      <w:r>
        <w:t>change</w:t>
      </w:r>
      <w:r>
        <w:rPr>
          <w:spacing w:val="-4"/>
        </w:rPr>
        <w:t xml:space="preserve"> </w:t>
      </w:r>
      <w:r>
        <w:t>plan</w:t>
      </w:r>
      <w:r>
        <w:rPr>
          <w:spacing w:val="-3"/>
        </w:rPr>
        <w:t xml:space="preserve"> </w:t>
      </w:r>
      <w:r>
        <w:t>is</w:t>
      </w:r>
      <w:r>
        <w:rPr>
          <w:spacing w:val="-2"/>
        </w:rPr>
        <w:t xml:space="preserve"> </w:t>
      </w:r>
      <w:r>
        <w:t>an</w:t>
      </w:r>
      <w:r>
        <w:rPr>
          <w:spacing w:val="-3"/>
        </w:rPr>
        <w:t xml:space="preserve"> </w:t>
      </w:r>
      <w:r>
        <w:t>interactive</w:t>
      </w:r>
      <w:r>
        <w:rPr>
          <w:spacing w:val="-1"/>
        </w:rPr>
        <w:t xml:space="preserve"> </w:t>
      </w:r>
      <w:r>
        <w:t>process</w:t>
      </w:r>
      <w:r>
        <w:rPr>
          <w:spacing w:val="-2"/>
        </w:rPr>
        <w:t xml:space="preserve"> </w:t>
      </w:r>
      <w:r>
        <w:t>between</w:t>
      </w:r>
      <w:r>
        <w:rPr>
          <w:spacing w:val="-3"/>
        </w:rPr>
        <w:t xml:space="preserve"> </w:t>
      </w:r>
      <w:r>
        <w:t>the</w:t>
      </w:r>
      <w:r>
        <w:rPr>
          <w:spacing w:val="-4"/>
        </w:rPr>
        <w:t xml:space="preserve"> </w:t>
      </w:r>
      <w:r>
        <w:t>counselor</w:t>
      </w:r>
      <w:r>
        <w:rPr>
          <w:spacing w:val="-4"/>
        </w:rPr>
        <w:t xml:space="preserve"> </w:t>
      </w:r>
      <w:r>
        <w:t>and</w:t>
      </w:r>
      <w:r>
        <w:rPr>
          <w:spacing w:val="-3"/>
        </w:rPr>
        <w:t xml:space="preserve"> </w:t>
      </w:r>
      <w:r>
        <w:t>client.</w:t>
      </w:r>
      <w:r>
        <w:rPr>
          <w:spacing w:val="-3"/>
        </w:rPr>
        <w:t xml:space="preserve"> </w:t>
      </w:r>
      <w:r>
        <w:t>The</w:t>
      </w:r>
      <w:r>
        <w:rPr>
          <w:spacing w:val="-1"/>
        </w:rPr>
        <w:t xml:space="preserve"> </w:t>
      </w:r>
      <w:r>
        <w:t>client</w:t>
      </w:r>
      <w:r>
        <w:rPr>
          <w:spacing w:val="-1"/>
        </w:rPr>
        <w:t xml:space="preserve"> </w:t>
      </w:r>
      <w:r>
        <w:t>should determine and drive change goals.</w:t>
      </w:r>
    </w:p>
    <w:p w14:paraId="5F38DE65" w14:textId="77777777" w:rsidR="00DB6E1F" w:rsidRDefault="00F666A6">
      <w:pPr>
        <w:pStyle w:val="ListParagraph"/>
        <w:numPr>
          <w:ilvl w:val="0"/>
          <w:numId w:val="92"/>
        </w:numPr>
        <w:tabs>
          <w:tab w:val="left" w:pos="1799"/>
          <w:tab w:val="left" w:pos="1800"/>
        </w:tabs>
        <w:spacing w:before="58"/>
        <w:ind w:left="1799" w:right="1689"/>
        <w:rPr>
          <w:rFonts w:ascii="Symbol" w:hAnsi="Symbol"/>
        </w:rPr>
      </w:pPr>
      <w:r>
        <w:t>Identifying</w:t>
      </w:r>
      <w:r>
        <w:rPr>
          <w:spacing w:val="-3"/>
        </w:rPr>
        <w:t xml:space="preserve"> </w:t>
      </w:r>
      <w:r>
        <w:t>and</w:t>
      </w:r>
      <w:r>
        <w:rPr>
          <w:spacing w:val="-3"/>
        </w:rPr>
        <w:t xml:space="preserve"> </w:t>
      </w:r>
      <w:r>
        <w:t>helping</w:t>
      </w:r>
      <w:r>
        <w:rPr>
          <w:spacing w:val="-3"/>
        </w:rPr>
        <w:t xml:space="preserve"> </w:t>
      </w:r>
      <w:r>
        <w:t>the</w:t>
      </w:r>
      <w:r>
        <w:rPr>
          <w:spacing w:val="-3"/>
        </w:rPr>
        <w:t xml:space="preserve"> </w:t>
      </w:r>
      <w:r>
        <w:t>client</w:t>
      </w:r>
      <w:r>
        <w:rPr>
          <w:spacing w:val="-1"/>
        </w:rPr>
        <w:t xml:space="preserve"> </w:t>
      </w:r>
      <w:r>
        <w:t>reduce</w:t>
      </w:r>
      <w:r>
        <w:rPr>
          <w:spacing w:val="-1"/>
        </w:rPr>
        <w:t xml:space="preserve"> </w:t>
      </w:r>
      <w:r>
        <w:t>b</w:t>
      </w:r>
      <w:r>
        <w:t>arriers</w:t>
      </w:r>
      <w:r>
        <w:rPr>
          <w:spacing w:val="-4"/>
        </w:rPr>
        <w:t xml:space="preserve"> </w:t>
      </w:r>
      <w:r>
        <w:t>to the</w:t>
      </w:r>
      <w:r>
        <w:rPr>
          <w:spacing w:val="-1"/>
        </w:rPr>
        <w:t xml:space="preserve"> </w:t>
      </w:r>
      <w:r>
        <w:t>Action</w:t>
      </w:r>
      <w:r>
        <w:rPr>
          <w:spacing w:val="-3"/>
        </w:rPr>
        <w:t xml:space="preserve"> </w:t>
      </w:r>
      <w:r>
        <w:t>stage</w:t>
      </w:r>
      <w:r>
        <w:rPr>
          <w:spacing w:val="-1"/>
        </w:rPr>
        <w:t xml:space="preserve"> </w:t>
      </w:r>
      <w:r>
        <w:t>are</w:t>
      </w:r>
      <w:r>
        <w:rPr>
          <w:spacing w:val="-4"/>
        </w:rPr>
        <w:t xml:space="preserve"> </w:t>
      </w:r>
      <w:r>
        <w:t>important</w:t>
      </w:r>
      <w:r>
        <w:rPr>
          <w:spacing w:val="-1"/>
        </w:rPr>
        <w:t xml:space="preserve"> </w:t>
      </w:r>
      <w:r>
        <w:t>to</w:t>
      </w:r>
      <w:r>
        <w:rPr>
          <w:spacing w:val="-3"/>
        </w:rPr>
        <w:t xml:space="preserve"> </w:t>
      </w:r>
      <w:r>
        <w:t>the</w:t>
      </w:r>
      <w:r>
        <w:rPr>
          <w:spacing w:val="-4"/>
        </w:rPr>
        <w:t xml:space="preserve"> </w:t>
      </w:r>
      <w:r>
        <w:t>change- planning process.</w:t>
      </w:r>
    </w:p>
    <w:p w14:paraId="23B8BA0F" w14:textId="77777777" w:rsidR="00DB6E1F" w:rsidRDefault="00F666A6">
      <w:pPr>
        <w:pStyle w:val="ListParagraph"/>
        <w:numPr>
          <w:ilvl w:val="0"/>
          <w:numId w:val="92"/>
        </w:numPr>
        <w:tabs>
          <w:tab w:val="left" w:pos="1799"/>
          <w:tab w:val="left" w:pos="1800"/>
        </w:tabs>
        <w:spacing w:before="61"/>
        <w:ind w:left="1799" w:right="1549"/>
        <w:rPr>
          <w:rFonts w:ascii="Symbol" w:hAnsi="Symbol"/>
        </w:rPr>
      </w:pPr>
      <w:r>
        <w:t>Counselors</w:t>
      </w:r>
      <w:r>
        <w:rPr>
          <w:spacing w:val="-2"/>
        </w:rPr>
        <w:t xml:space="preserve"> </w:t>
      </w:r>
      <w:r>
        <w:t>can</w:t>
      </w:r>
      <w:r>
        <w:rPr>
          <w:spacing w:val="-5"/>
        </w:rPr>
        <w:t xml:space="preserve"> </w:t>
      </w:r>
      <w:r>
        <w:t>support</w:t>
      </w:r>
      <w:r>
        <w:rPr>
          <w:spacing w:val="-4"/>
        </w:rPr>
        <w:t xml:space="preserve"> </w:t>
      </w:r>
      <w:r>
        <w:t>client</w:t>
      </w:r>
      <w:r>
        <w:rPr>
          <w:spacing w:val="-2"/>
        </w:rPr>
        <w:t xml:space="preserve"> </w:t>
      </w:r>
      <w:r>
        <w:t>action</w:t>
      </w:r>
      <w:r>
        <w:rPr>
          <w:spacing w:val="-3"/>
        </w:rPr>
        <w:t xml:space="preserve"> </w:t>
      </w:r>
      <w:r>
        <w:t>by</w:t>
      </w:r>
      <w:r>
        <w:rPr>
          <w:spacing w:val="-1"/>
        </w:rPr>
        <w:t xml:space="preserve"> </w:t>
      </w:r>
      <w:r>
        <w:t>reinforcing</w:t>
      </w:r>
      <w:r>
        <w:rPr>
          <w:spacing w:val="-3"/>
        </w:rPr>
        <w:t xml:space="preserve"> </w:t>
      </w:r>
      <w:r>
        <w:t>client</w:t>
      </w:r>
      <w:r>
        <w:rPr>
          <w:spacing w:val="-1"/>
        </w:rPr>
        <w:t xml:space="preserve"> </w:t>
      </w:r>
      <w:r>
        <w:t>commitment</w:t>
      </w:r>
      <w:r>
        <w:rPr>
          <w:spacing w:val="-4"/>
        </w:rPr>
        <w:t xml:space="preserve"> </w:t>
      </w:r>
      <w:r>
        <w:t>and</w:t>
      </w:r>
      <w:r>
        <w:rPr>
          <w:spacing w:val="-3"/>
        </w:rPr>
        <w:t xml:space="preserve"> </w:t>
      </w:r>
      <w:r>
        <w:t>continuing</w:t>
      </w:r>
      <w:r>
        <w:rPr>
          <w:spacing w:val="-3"/>
        </w:rPr>
        <w:t xml:space="preserve"> </w:t>
      </w:r>
      <w:r>
        <w:t>to</w:t>
      </w:r>
      <w:r>
        <w:rPr>
          <w:spacing w:val="-1"/>
        </w:rPr>
        <w:t xml:space="preserve"> </w:t>
      </w:r>
      <w:r>
        <w:t>evoke</w:t>
      </w:r>
      <w:r>
        <w:rPr>
          <w:spacing w:val="-4"/>
        </w:rPr>
        <w:t xml:space="preserve"> </w:t>
      </w:r>
      <w:r>
        <w:t xml:space="preserve">and reflect CAT (i.e., </w:t>
      </w:r>
      <w:r>
        <w:rPr>
          <w:b/>
        </w:rPr>
        <w:t>C</w:t>
      </w:r>
      <w:r>
        <w:t xml:space="preserve">ommitment, </w:t>
      </w:r>
      <w:r>
        <w:rPr>
          <w:b/>
        </w:rPr>
        <w:t>A</w:t>
      </w:r>
      <w:r>
        <w:t xml:space="preserve">ctivation, and </w:t>
      </w:r>
      <w:r>
        <w:rPr>
          <w:b/>
        </w:rPr>
        <w:t>T</w:t>
      </w:r>
      <w:r>
        <w:t>aking steps) change talk in ongoing conversations.</w:t>
      </w:r>
    </w:p>
    <w:p w14:paraId="00C6A479" w14:textId="77777777" w:rsidR="00DB6E1F" w:rsidRDefault="00F666A6">
      <w:pPr>
        <w:pStyle w:val="Heading3"/>
        <w:spacing w:before="165"/>
      </w:pPr>
      <w:r>
        <w:t>Chapter</w:t>
      </w:r>
      <w:r>
        <w:rPr>
          <w:spacing w:val="-11"/>
        </w:rPr>
        <w:t xml:space="preserve"> </w:t>
      </w:r>
      <w:r>
        <w:t>7—From</w:t>
      </w:r>
      <w:r>
        <w:rPr>
          <w:spacing w:val="-8"/>
        </w:rPr>
        <w:t xml:space="preserve"> </w:t>
      </w:r>
      <w:r>
        <w:t>Action</w:t>
      </w:r>
      <w:r>
        <w:rPr>
          <w:spacing w:val="-10"/>
        </w:rPr>
        <w:t xml:space="preserve"> </w:t>
      </w:r>
      <w:r>
        <w:t>to</w:t>
      </w:r>
      <w:r>
        <w:rPr>
          <w:spacing w:val="-7"/>
        </w:rPr>
        <w:t xml:space="preserve"> </w:t>
      </w:r>
      <w:r>
        <w:t>Maintenance:</w:t>
      </w:r>
      <w:r>
        <w:rPr>
          <w:spacing w:val="-10"/>
        </w:rPr>
        <w:t xml:space="preserve"> </w:t>
      </w:r>
      <w:r>
        <w:t>Stabilizing</w:t>
      </w:r>
      <w:r>
        <w:rPr>
          <w:spacing w:val="-10"/>
        </w:rPr>
        <w:t xml:space="preserve"> </w:t>
      </w:r>
      <w:r>
        <w:rPr>
          <w:spacing w:val="-2"/>
        </w:rPr>
        <w:t>Change</w:t>
      </w:r>
    </w:p>
    <w:p w14:paraId="5FA07352" w14:textId="77777777" w:rsidR="00DB6E1F" w:rsidRDefault="00F666A6">
      <w:pPr>
        <w:pStyle w:val="BodyText"/>
        <w:spacing w:before="140"/>
        <w:ind w:left="1439" w:right="1563"/>
      </w:pPr>
      <w:r>
        <w:t>This chapter addresses ways in which motivational strategies can be used effectively to help clients maintain the gains they have made by stabilizing change, supporting lifestyle changes, managing setbacks</w:t>
      </w:r>
      <w:r>
        <w:rPr>
          <w:spacing w:val="-4"/>
        </w:rPr>
        <w:t xml:space="preserve"> </w:t>
      </w:r>
      <w:r>
        <w:t>during</w:t>
      </w:r>
      <w:r>
        <w:rPr>
          <w:spacing w:val="-2"/>
        </w:rPr>
        <w:t xml:space="preserve"> </w:t>
      </w:r>
      <w:r>
        <w:t>the</w:t>
      </w:r>
      <w:r>
        <w:rPr>
          <w:spacing w:val="-4"/>
        </w:rPr>
        <w:t xml:space="preserve"> </w:t>
      </w:r>
      <w:r>
        <w:t>Maintenance</w:t>
      </w:r>
      <w:r>
        <w:rPr>
          <w:spacing w:val="-1"/>
        </w:rPr>
        <w:t xml:space="preserve"> </w:t>
      </w:r>
      <w:r>
        <w:t>stage,</w:t>
      </w:r>
      <w:r>
        <w:rPr>
          <w:spacing w:val="-2"/>
        </w:rPr>
        <w:t xml:space="preserve"> </w:t>
      </w:r>
      <w:r>
        <w:t>and</w:t>
      </w:r>
      <w:r>
        <w:rPr>
          <w:spacing w:val="-3"/>
        </w:rPr>
        <w:t xml:space="preserve"> </w:t>
      </w:r>
      <w:r>
        <w:t>helping</w:t>
      </w:r>
      <w:r>
        <w:rPr>
          <w:spacing w:val="-3"/>
        </w:rPr>
        <w:t xml:space="preserve"> </w:t>
      </w:r>
      <w:r>
        <w:t>them ree</w:t>
      </w:r>
      <w:r>
        <w:t>nter</w:t>
      </w:r>
      <w:r>
        <w:rPr>
          <w:spacing w:val="-2"/>
        </w:rPr>
        <w:t xml:space="preserve"> </w:t>
      </w:r>
      <w:r>
        <w:t>the</w:t>
      </w:r>
      <w:r>
        <w:rPr>
          <w:spacing w:val="-4"/>
        </w:rPr>
        <w:t xml:space="preserve"> </w:t>
      </w:r>
      <w:r>
        <w:t>cycle</w:t>
      </w:r>
      <w:r>
        <w:rPr>
          <w:spacing w:val="-4"/>
        </w:rPr>
        <w:t xml:space="preserve"> </w:t>
      </w:r>
      <w:r>
        <w:t>of</w:t>
      </w:r>
      <w:r>
        <w:rPr>
          <w:spacing w:val="-2"/>
        </w:rPr>
        <w:t xml:space="preserve"> </w:t>
      </w:r>
      <w:r>
        <w:t>change</w:t>
      </w:r>
      <w:r>
        <w:rPr>
          <w:spacing w:val="-1"/>
        </w:rPr>
        <w:t xml:space="preserve"> </w:t>
      </w:r>
      <w:r>
        <w:t>if</w:t>
      </w:r>
      <w:r>
        <w:rPr>
          <w:spacing w:val="-2"/>
        </w:rPr>
        <w:t xml:space="preserve"> </w:t>
      </w:r>
      <w:r>
        <w:t>they</w:t>
      </w:r>
      <w:r>
        <w:rPr>
          <w:spacing w:val="-1"/>
        </w:rPr>
        <w:t xml:space="preserve"> </w:t>
      </w:r>
      <w:r>
        <w:t>relapse</w:t>
      </w:r>
      <w:r>
        <w:rPr>
          <w:spacing w:val="-4"/>
        </w:rPr>
        <w:t xml:space="preserve"> </w:t>
      </w:r>
      <w:r>
        <w:t>or return to substance misuse. It emphasizes creating a coping plan to reduce the risk of recurrence in high-risk situations, identifying new behaviors that reinforce change, and establishing relapse prevention stra</w:t>
      </w:r>
      <w:r>
        <w:t>tegies.</w:t>
      </w:r>
    </w:p>
    <w:p w14:paraId="297507EE" w14:textId="77777777" w:rsidR="00DB6E1F" w:rsidRDefault="00F666A6">
      <w:pPr>
        <w:pStyle w:val="BodyText"/>
        <w:spacing w:before="160"/>
        <w:ind w:left="1439"/>
      </w:pPr>
      <w:r>
        <w:t>In</w:t>
      </w:r>
      <w:r>
        <w:rPr>
          <w:spacing w:val="-5"/>
        </w:rPr>
        <w:t xml:space="preserve"> </w:t>
      </w:r>
      <w:r>
        <w:t>Chapter</w:t>
      </w:r>
      <w:r>
        <w:rPr>
          <w:spacing w:val="-4"/>
        </w:rPr>
        <w:t xml:space="preserve"> </w:t>
      </w:r>
      <w:r>
        <w:t>7,</w:t>
      </w:r>
      <w:r>
        <w:rPr>
          <w:spacing w:val="-3"/>
        </w:rPr>
        <w:t xml:space="preserve"> </w:t>
      </w:r>
      <w:r>
        <w:t>readers</w:t>
      </w:r>
      <w:r>
        <w:rPr>
          <w:spacing w:val="-4"/>
        </w:rPr>
        <w:t xml:space="preserve"> </w:t>
      </w:r>
      <w:r>
        <w:t>will</w:t>
      </w:r>
      <w:r>
        <w:rPr>
          <w:spacing w:val="-6"/>
        </w:rPr>
        <w:t xml:space="preserve"> </w:t>
      </w:r>
      <w:r>
        <w:t>learn</w:t>
      </w:r>
      <w:r>
        <w:rPr>
          <w:spacing w:val="-4"/>
        </w:rPr>
        <w:t xml:space="preserve"> that:</w:t>
      </w:r>
    </w:p>
    <w:p w14:paraId="09BDED10" w14:textId="77777777" w:rsidR="00DB6E1F" w:rsidRDefault="00F666A6">
      <w:pPr>
        <w:pStyle w:val="ListParagraph"/>
        <w:numPr>
          <w:ilvl w:val="0"/>
          <w:numId w:val="92"/>
        </w:numPr>
        <w:tabs>
          <w:tab w:val="left" w:pos="1799"/>
          <w:tab w:val="left" w:pos="1800"/>
        </w:tabs>
        <w:ind w:left="1799" w:right="1442"/>
        <w:rPr>
          <w:rFonts w:ascii="Symbol" w:hAnsi="Symbol"/>
        </w:rPr>
      </w:pPr>
      <w:r>
        <w:t>During</w:t>
      </w:r>
      <w:r>
        <w:rPr>
          <w:spacing w:val="-3"/>
        </w:rPr>
        <w:t xml:space="preserve"> </w:t>
      </w:r>
      <w:r>
        <w:t>the</w:t>
      </w:r>
      <w:r>
        <w:rPr>
          <w:spacing w:val="-4"/>
        </w:rPr>
        <w:t xml:space="preserve"> </w:t>
      </w:r>
      <w:r>
        <w:t>Maintenance</w:t>
      </w:r>
      <w:r>
        <w:rPr>
          <w:spacing w:val="-1"/>
        </w:rPr>
        <w:t xml:space="preserve"> </w:t>
      </w:r>
      <w:r>
        <w:t>stage,</w:t>
      </w:r>
      <w:r>
        <w:rPr>
          <w:spacing w:val="-2"/>
        </w:rPr>
        <w:t xml:space="preserve"> </w:t>
      </w:r>
      <w:r>
        <w:t>the</w:t>
      </w:r>
      <w:r>
        <w:rPr>
          <w:spacing w:val="-4"/>
        </w:rPr>
        <w:t xml:space="preserve"> </w:t>
      </w:r>
      <w:r>
        <w:t>client</w:t>
      </w:r>
      <w:r>
        <w:rPr>
          <w:spacing w:val="-1"/>
        </w:rPr>
        <w:t xml:space="preserve"> </w:t>
      </w:r>
      <w:r>
        <w:t>has</w:t>
      </w:r>
      <w:r>
        <w:rPr>
          <w:spacing w:val="-2"/>
        </w:rPr>
        <w:t xml:space="preserve"> </w:t>
      </w:r>
      <w:r>
        <w:t>achieved</w:t>
      </w:r>
      <w:r>
        <w:rPr>
          <w:spacing w:val="-3"/>
        </w:rPr>
        <w:t xml:space="preserve"> </w:t>
      </w:r>
      <w:r>
        <w:t>the</w:t>
      </w:r>
      <w:r>
        <w:rPr>
          <w:spacing w:val="-1"/>
        </w:rPr>
        <w:t xml:space="preserve"> </w:t>
      </w:r>
      <w:r>
        <w:t>initial</w:t>
      </w:r>
      <w:r>
        <w:rPr>
          <w:spacing w:val="-2"/>
        </w:rPr>
        <w:t xml:space="preserve"> </w:t>
      </w:r>
      <w:r>
        <w:t>change</w:t>
      </w:r>
      <w:r>
        <w:rPr>
          <w:spacing w:val="-4"/>
        </w:rPr>
        <w:t xml:space="preserve"> </w:t>
      </w:r>
      <w:r>
        <w:t>goals</w:t>
      </w:r>
      <w:r>
        <w:rPr>
          <w:spacing w:val="-4"/>
        </w:rPr>
        <w:t xml:space="preserve"> </w:t>
      </w:r>
      <w:r>
        <w:t>and</w:t>
      </w:r>
      <w:r>
        <w:rPr>
          <w:spacing w:val="-3"/>
        </w:rPr>
        <w:t xml:space="preserve"> </w:t>
      </w:r>
      <w:r>
        <w:t>is</w:t>
      </w:r>
      <w:r>
        <w:rPr>
          <w:spacing w:val="-2"/>
        </w:rPr>
        <w:t xml:space="preserve"> </w:t>
      </w:r>
      <w:r>
        <w:t>working</w:t>
      </w:r>
      <w:r>
        <w:rPr>
          <w:spacing w:val="-3"/>
        </w:rPr>
        <w:t xml:space="preserve"> </w:t>
      </w:r>
      <w:r>
        <w:t>toward maintaining those changes.</w:t>
      </w:r>
    </w:p>
    <w:p w14:paraId="563C29BF" w14:textId="77777777" w:rsidR="00DB6E1F" w:rsidRDefault="00F666A6">
      <w:pPr>
        <w:pStyle w:val="ListParagraph"/>
        <w:numPr>
          <w:ilvl w:val="0"/>
          <w:numId w:val="92"/>
        </w:numPr>
        <w:tabs>
          <w:tab w:val="left" w:pos="1799"/>
          <w:tab w:val="left" w:pos="1800"/>
        </w:tabs>
        <w:spacing w:before="61"/>
        <w:ind w:left="1799" w:right="2054"/>
        <w:rPr>
          <w:rFonts w:ascii="Symbol" w:hAnsi="Symbol"/>
        </w:rPr>
      </w:pPr>
      <w:r>
        <w:t>In</w:t>
      </w:r>
      <w:r>
        <w:rPr>
          <w:spacing w:val="-3"/>
        </w:rPr>
        <w:t xml:space="preserve"> </w:t>
      </w:r>
      <w:r>
        <w:t>Maintenance,</w:t>
      </w:r>
      <w:r>
        <w:rPr>
          <w:spacing w:val="-3"/>
        </w:rPr>
        <w:t xml:space="preserve"> </w:t>
      </w:r>
      <w:r>
        <w:t>the</w:t>
      </w:r>
      <w:r>
        <w:rPr>
          <w:spacing w:val="-4"/>
        </w:rPr>
        <w:t xml:space="preserve"> </w:t>
      </w:r>
      <w:r>
        <w:t>counselor</w:t>
      </w:r>
      <w:r>
        <w:rPr>
          <w:spacing w:val="-3"/>
        </w:rPr>
        <w:t xml:space="preserve"> </w:t>
      </w:r>
      <w:r>
        <w:t>focuses</w:t>
      </w:r>
      <w:r>
        <w:rPr>
          <w:spacing w:val="-4"/>
        </w:rPr>
        <w:t xml:space="preserve"> </w:t>
      </w:r>
      <w:r>
        <w:t>on</w:t>
      </w:r>
      <w:r>
        <w:rPr>
          <w:spacing w:val="-3"/>
        </w:rPr>
        <w:t xml:space="preserve"> </w:t>
      </w:r>
      <w:r>
        <w:t>helping</w:t>
      </w:r>
      <w:r>
        <w:rPr>
          <w:spacing w:val="-3"/>
        </w:rPr>
        <w:t xml:space="preserve"> </w:t>
      </w:r>
      <w:r>
        <w:t>the</w:t>
      </w:r>
      <w:r>
        <w:rPr>
          <w:spacing w:val="-4"/>
        </w:rPr>
        <w:t xml:space="preserve"> </w:t>
      </w:r>
      <w:r>
        <w:t>client</w:t>
      </w:r>
      <w:r>
        <w:rPr>
          <w:spacing w:val="-2"/>
        </w:rPr>
        <w:t xml:space="preserve"> </w:t>
      </w:r>
      <w:r>
        <w:t>stabilize</w:t>
      </w:r>
      <w:r>
        <w:rPr>
          <w:spacing w:val="-2"/>
        </w:rPr>
        <w:t xml:space="preserve"> </w:t>
      </w:r>
      <w:r>
        <w:t>change</w:t>
      </w:r>
      <w:r>
        <w:rPr>
          <w:spacing w:val="-4"/>
        </w:rPr>
        <w:t xml:space="preserve"> </w:t>
      </w:r>
      <w:r>
        <w:t>and</w:t>
      </w:r>
      <w:r>
        <w:rPr>
          <w:spacing w:val="-3"/>
        </w:rPr>
        <w:t xml:space="preserve"> </w:t>
      </w:r>
      <w:r>
        <w:t>supports</w:t>
      </w:r>
      <w:r>
        <w:rPr>
          <w:spacing w:val="-3"/>
        </w:rPr>
        <w:t xml:space="preserve"> </w:t>
      </w:r>
      <w:r>
        <w:t>the client’s lifestyle changes.</w:t>
      </w:r>
    </w:p>
    <w:p w14:paraId="5D1A614C" w14:textId="77777777" w:rsidR="00DB6E1F" w:rsidRDefault="00F666A6">
      <w:pPr>
        <w:pStyle w:val="ListParagraph"/>
        <w:numPr>
          <w:ilvl w:val="0"/>
          <w:numId w:val="92"/>
        </w:numPr>
        <w:tabs>
          <w:tab w:val="left" w:pos="1799"/>
          <w:tab w:val="left" w:pos="1800"/>
        </w:tabs>
        <w:ind w:left="1799" w:right="1444" w:hanging="360"/>
        <w:rPr>
          <w:rFonts w:ascii="Symbol" w:hAnsi="Symbol"/>
        </w:rPr>
      </w:pPr>
      <w:r>
        <w:t>During a relapse, the client returns to substance misuse and temporarily exits the change cycle. The counselor</w:t>
      </w:r>
      <w:r>
        <w:rPr>
          <w:spacing w:val="-2"/>
        </w:rPr>
        <w:t xml:space="preserve"> </w:t>
      </w:r>
      <w:r>
        <w:t>focuses</w:t>
      </w:r>
      <w:r>
        <w:rPr>
          <w:spacing w:val="-4"/>
        </w:rPr>
        <w:t xml:space="preserve"> </w:t>
      </w:r>
      <w:r>
        <w:t>on</w:t>
      </w:r>
      <w:r>
        <w:rPr>
          <w:spacing w:val="-3"/>
        </w:rPr>
        <w:t xml:space="preserve"> </w:t>
      </w:r>
      <w:r>
        <w:t>helping</w:t>
      </w:r>
      <w:r>
        <w:rPr>
          <w:spacing w:val="-2"/>
        </w:rPr>
        <w:t xml:space="preserve"> </w:t>
      </w:r>
      <w:r>
        <w:t>the</w:t>
      </w:r>
      <w:r>
        <w:rPr>
          <w:spacing w:val="-1"/>
        </w:rPr>
        <w:t xml:space="preserve"> </w:t>
      </w:r>
      <w:r>
        <w:t>client</w:t>
      </w:r>
      <w:r>
        <w:rPr>
          <w:spacing w:val="-4"/>
        </w:rPr>
        <w:t xml:space="preserve"> </w:t>
      </w:r>
      <w:r>
        <w:t>reenter</w:t>
      </w:r>
      <w:r>
        <w:rPr>
          <w:spacing w:val="-5"/>
        </w:rPr>
        <w:t xml:space="preserve"> </w:t>
      </w:r>
      <w:r>
        <w:t>the</w:t>
      </w:r>
      <w:r>
        <w:rPr>
          <w:spacing w:val="-1"/>
        </w:rPr>
        <w:t xml:space="preserve"> </w:t>
      </w:r>
      <w:r>
        <w:t>cycle</w:t>
      </w:r>
      <w:r>
        <w:rPr>
          <w:spacing w:val="-4"/>
        </w:rPr>
        <w:t xml:space="preserve"> </w:t>
      </w:r>
      <w:r>
        <w:t>of</w:t>
      </w:r>
      <w:r>
        <w:rPr>
          <w:spacing w:val="-2"/>
        </w:rPr>
        <w:t xml:space="preserve"> </w:t>
      </w:r>
      <w:r>
        <w:t>change</w:t>
      </w:r>
      <w:r>
        <w:rPr>
          <w:spacing w:val="-1"/>
        </w:rPr>
        <w:t xml:space="preserve"> </w:t>
      </w:r>
      <w:r>
        <w:t>and</w:t>
      </w:r>
      <w:r>
        <w:rPr>
          <w:spacing w:val="-3"/>
        </w:rPr>
        <w:t xml:space="preserve"> </w:t>
      </w:r>
      <w:r>
        <w:t>providing</w:t>
      </w:r>
      <w:r>
        <w:rPr>
          <w:spacing w:val="-3"/>
        </w:rPr>
        <w:t xml:space="preserve"> </w:t>
      </w:r>
      <w:r>
        <w:t>relapse</w:t>
      </w:r>
      <w:r>
        <w:rPr>
          <w:spacing w:val="-1"/>
        </w:rPr>
        <w:t xml:space="preserve"> </w:t>
      </w:r>
      <w:r>
        <w:t>prevention counseling in accordance with the principles of person-centered counseling.</w:t>
      </w:r>
    </w:p>
    <w:p w14:paraId="58138370" w14:textId="77777777" w:rsidR="00DB6E1F" w:rsidRDefault="00F666A6">
      <w:pPr>
        <w:pStyle w:val="ListParagraph"/>
        <w:numPr>
          <w:ilvl w:val="0"/>
          <w:numId w:val="92"/>
        </w:numPr>
        <w:tabs>
          <w:tab w:val="left" w:pos="1799"/>
          <w:tab w:val="left" w:pos="1800"/>
        </w:tabs>
        <w:spacing w:before="59"/>
        <w:ind w:left="1799" w:right="1502"/>
        <w:rPr>
          <w:rFonts w:ascii="Symbol" w:hAnsi="Symbol"/>
        </w:rPr>
      </w:pPr>
      <w:r>
        <w:t>Maintenance</w:t>
      </w:r>
      <w:r>
        <w:rPr>
          <w:spacing w:val="-1"/>
        </w:rPr>
        <w:t xml:space="preserve"> </w:t>
      </w:r>
      <w:r>
        <w:t>of</w:t>
      </w:r>
      <w:r>
        <w:rPr>
          <w:spacing w:val="-2"/>
        </w:rPr>
        <w:t xml:space="preserve"> </w:t>
      </w:r>
      <w:r>
        <w:t>substance</w:t>
      </w:r>
      <w:r>
        <w:rPr>
          <w:spacing w:val="-4"/>
        </w:rPr>
        <w:t xml:space="preserve"> </w:t>
      </w:r>
      <w:r>
        <w:t>use</w:t>
      </w:r>
      <w:r>
        <w:rPr>
          <w:spacing w:val="-1"/>
        </w:rPr>
        <w:t xml:space="preserve"> </w:t>
      </w:r>
      <w:r>
        <w:t>behavior</w:t>
      </w:r>
      <w:r>
        <w:rPr>
          <w:spacing w:val="-4"/>
        </w:rPr>
        <w:t xml:space="preserve"> </w:t>
      </w:r>
      <w:r>
        <w:t>change</w:t>
      </w:r>
      <w:r>
        <w:rPr>
          <w:spacing w:val="-1"/>
        </w:rPr>
        <w:t xml:space="preserve"> </w:t>
      </w:r>
      <w:r>
        <w:t>in</w:t>
      </w:r>
      <w:r>
        <w:rPr>
          <w:spacing w:val="-3"/>
        </w:rPr>
        <w:t xml:space="preserve"> </w:t>
      </w:r>
      <w:r>
        <w:t>the</w:t>
      </w:r>
      <w:r>
        <w:rPr>
          <w:spacing w:val="-6"/>
        </w:rPr>
        <w:t xml:space="preserve"> </w:t>
      </w:r>
      <w:r>
        <w:t>SOC</w:t>
      </w:r>
      <w:r>
        <w:rPr>
          <w:spacing w:val="-1"/>
        </w:rPr>
        <w:t xml:space="preserve"> </w:t>
      </w:r>
      <w:r>
        <w:t>model</w:t>
      </w:r>
      <w:r>
        <w:rPr>
          <w:spacing w:val="-4"/>
        </w:rPr>
        <w:t xml:space="preserve"> </w:t>
      </w:r>
      <w:r>
        <w:t>must</w:t>
      </w:r>
      <w:r>
        <w:rPr>
          <w:spacing w:val="-4"/>
        </w:rPr>
        <w:t xml:space="preserve"> </w:t>
      </w:r>
      <w:r>
        <w:t>address</w:t>
      </w:r>
      <w:r>
        <w:rPr>
          <w:spacing w:val="-4"/>
        </w:rPr>
        <w:t xml:space="preserve"> </w:t>
      </w:r>
      <w:r>
        <w:t>the</w:t>
      </w:r>
      <w:r>
        <w:rPr>
          <w:spacing w:val="-1"/>
        </w:rPr>
        <w:t xml:space="preserve"> </w:t>
      </w:r>
      <w:r>
        <w:t>issue</w:t>
      </w:r>
      <w:r>
        <w:rPr>
          <w:spacing w:val="-4"/>
        </w:rPr>
        <w:t xml:space="preserve"> </w:t>
      </w:r>
      <w:r>
        <w:t>of</w:t>
      </w:r>
      <w:r>
        <w:rPr>
          <w:spacing w:val="-2"/>
        </w:rPr>
        <w:t xml:space="preserve"> </w:t>
      </w:r>
      <w:r>
        <w:t>relapse. Relapse should be reconceptualized as a return to or recurrence of subst</w:t>
      </w:r>
      <w:r>
        <w:t>ance use behaviors and viewed as a common occurrence.</w:t>
      </w:r>
    </w:p>
    <w:p w14:paraId="7FA64FED" w14:textId="77777777" w:rsidR="00DB6E1F" w:rsidRDefault="00F666A6">
      <w:pPr>
        <w:pStyle w:val="ListParagraph"/>
        <w:numPr>
          <w:ilvl w:val="0"/>
          <w:numId w:val="92"/>
        </w:numPr>
        <w:tabs>
          <w:tab w:val="left" w:pos="1800"/>
          <w:tab w:val="left" w:pos="1801"/>
        </w:tabs>
        <w:spacing w:before="61"/>
        <w:ind w:left="1800"/>
        <w:rPr>
          <w:rFonts w:ascii="Symbol" w:hAnsi="Symbol"/>
        </w:rPr>
      </w:pPr>
      <w:r>
        <w:t>Relapse</w:t>
      </w:r>
      <w:r>
        <w:rPr>
          <w:spacing w:val="-6"/>
        </w:rPr>
        <w:t xml:space="preserve"> </w:t>
      </w:r>
      <w:r>
        <w:t>prevention</w:t>
      </w:r>
      <w:r>
        <w:rPr>
          <w:spacing w:val="-8"/>
        </w:rPr>
        <w:t xml:space="preserve"> </w:t>
      </w:r>
      <w:r>
        <w:t>counseling</w:t>
      </w:r>
      <w:r>
        <w:rPr>
          <w:spacing w:val="-6"/>
        </w:rPr>
        <w:t xml:space="preserve"> </w:t>
      </w:r>
      <w:r>
        <w:t>is</w:t>
      </w:r>
      <w:r>
        <w:rPr>
          <w:spacing w:val="-4"/>
        </w:rPr>
        <w:t xml:space="preserve"> </w:t>
      </w:r>
      <w:r>
        <w:t>a</w:t>
      </w:r>
      <w:r>
        <w:rPr>
          <w:spacing w:val="-5"/>
        </w:rPr>
        <w:t xml:space="preserve"> </w:t>
      </w:r>
      <w:r>
        <w:t>cognitive–behavioral</w:t>
      </w:r>
      <w:r>
        <w:rPr>
          <w:spacing w:val="-5"/>
        </w:rPr>
        <w:t xml:space="preserve"> </w:t>
      </w:r>
      <w:r>
        <w:t>therapy</w:t>
      </w:r>
      <w:r>
        <w:rPr>
          <w:spacing w:val="-6"/>
        </w:rPr>
        <w:t xml:space="preserve"> </w:t>
      </w:r>
      <w:r>
        <w:t>(CBT)</w:t>
      </w:r>
      <w:r>
        <w:rPr>
          <w:spacing w:val="-6"/>
        </w:rPr>
        <w:t xml:space="preserve"> </w:t>
      </w:r>
      <w:r>
        <w:t>method,</w:t>
      </w:r>
      <w:r>
        <w:rPr>
          <w:spacing w:val="-5"/>
        </w:rPr>
        <w:t xml:space="preserve"> </w:t>
      </w:r>
      <w:r>
        <w:t>but</w:t>
      </w:r>
      <w:r>
        <w:rPr>
          <w:spacing w:val="-5"/>
        </w:rPr>
        <w:t xml:space="preserve"> </w:t>
      </w:r>
      <w:r>
        <w:t>the</w:t>
      </w:r>
      <w:r>
        <w:rPr>
          <w:spacing w:val="-3"/>
        </w:rPr>
        <w:t xml:space="preserve"> </w:t>
      </w:r>
      <w:r>
        <w:rPr>
          <w:spacing w:val="-2"/>
        </w:rPr>
        <w:t>counselor</w:t>
      </w:r>
    </w:p>
    <w:p w14:paraId="2A553B0C" w14:textId="77777777" w:rsidR="00DB6E1F" w:rsidRDefault="00DB6E1F">
      <w:pPr>
        <w:rPr>
          <w:rFonts w:ascii="Symbol" w:hAnsi="Symbol"/>
        </w:rPr>
        <w:sectPr w:rsidR="00DB6E1F">
          <w:pgSz w:w="12240" w:h="15840"/>
          <w:pgMar w:top="960" w:right="0" w:bottom="940" w:left="0" w:header="762" w:footer="602" w:gutter="0"/>
          <w:cols w:space="720"/>
        </w:sectPr>
      </w:pPr>
    </w:p>
    <w:p w14:paraId="22C71041" w14:textId="77777777" w:rsidR="00DB6E1F" w:rsidRDefault="00DB6E1F">
      <w:pPr>
        <w:pStyle w:val="BodyText"/>
        <w:rPr>
          <w:sz w:val="20"/>
        </w:rPr>
      </w:pPr>
    </w:p>
    <w:p w14:paraId="49C75FBC" w14:textId="77777777" w:rsidR="00DB6E1F" w:rsidRDefault="00DB6E1F">
      <w:pPr>
        <w:pStyle w:val="BodyText"/>
        <w:spacing w:before="1"/>
        <w:rPr>
          <w:sz w:val="19"/>
        </w:rPr>
      </w:pPr>
    </w:p>
    <w:p w14:paraId="00B08C23" w14:textId="77777777" w:rsidR="00DB6E1F" w:rsidRDefault="00F666A6">
      <w:pPr>
        <w:pStyle w:val="BodyText"/>
        <w:ind w:left="1800" w:right="1491"/>
      </w:pPr>
      <w:r>
        <w:t>can</w:t>
      </w:r>
      <w:r>
        <w:rPr>
          <w:spacing w:val="-3"/>
        </w:rPr>
        <w:t xml:space="preserve"> </w:t>
      </w:r>
      <w:r>
        <w:t>use</w:t>
      </w:r>
      <w:r>
        <w:rPr>
          <w:spacing w:val="-4"/>
        </w:rPr>
        <w:t xml:space="preserve"> </w:t>
      </w:r>
      <w:r>
        <w:t>motivational</w:t>
      </w:r>
      <w:r>
        <w:rPr>
          <w:spacing w:val="-5"/>
        </w:rPr>
        <w:t xml:space="preserve"> </w:t>
      </w:r>
      <w:r>
        <w:t>counseling</w:t>
      </w:r>
      <w:r>
        <w:rPr>
          <w:spacing w:val="-3"/>
        </w:rPr>
        <w:t xml:space="preserve"> </w:t>
      </w:r>
      <w:r>
        <w:t>strategies</w:t>
      </w:r>
      <w:r>
        <w:rPr>
          <w:spacing w:val="-2"/>
        </w:rPr>
        <w:t xml:space="preserve"> </w:t>
      </w:r>
      <w:r>
        <w:t>to</w:t>
      </w:r>
      <w:r>
        <w:rPr>
          <w:spacing w:val="-3"/>
        </w:rPr>
        <w:t xml:space="preserve"> </w:t>
      </w:r>
      <w:r>
        <w:t>engage the</w:t>
      </w:r>
      <w:r>
        <w:rPr>
          <w:spacing w:val="-1"/>
        </w:rPr>
        <w:t xml:space="preserve"> </w:t>
      </w:r>
      <w:r>
        <w:t>client</w:t>
      </w:r>
      <w:r>
        <w:rPr>
          <w:spacing w:val="-1"/>
        </w:rPr>
        <w:t xml:space="preserve"> </w:t>
      </w:r>
      <w:r>
        <w:t>in</w:t>
      </w:r>
      <w:r>
        <w:rPr>
          <w:spacing w:val="-5"/>
        </w:rPr>
        <w:t xml:space="preserve"> </w:t>
      </w:r>
      <w:r>
        <w:t>the</w:t>
      </w:r>
      <w:r>
        <w:rPr>
          <w:spacing w:val="-1"/>
        </w:rPr>
        <w:t xml:space="preserve"> </w:t>
      </w:r>
      <w:r>
        <w:t>process</w:t>
      </w:r>
      <w:r>
        <w:rPr>
          <w:spacing w:val="-2"/>
        </w:rPr>
        <w:t xml:space="preserve"> </w:t>
      </w:r>
      <w:r>
        <w:t>and</w:t>
      </w:r>
      <w:r>
        <w:rPr>
          <w:spacing w:val="-5"/>
        </w:rPr>
        <w:t xml:space="preserve"> </w:t>
      </w:r>
      <w:r>
        <w:t>help</w:t>
      </w:r>
      <w:r>
        <w:rPr>
          <w:spacing w:val="-3"/>
        </w:rPr>
        <w:t xml:space="preserve"> </w:t>
      </w:r>
      <w:r>
        <w:t>the</w:t>
      </w:r>
      <w:r>
        <w:rPr>
          <w:spacing w:val="-3"/>
        </w:rPr>
        <w:t xml:space="preserve"> </w:t>
      </w:r>
      <w:r>
        <w:t>client resolve ambivalence about learning and practicing new coping skills.</w:t>
      </w:r>
    </w:p>
    <w:p w14:paraId="0FFCD038" w14:textId="77777777" w:rsidR="00DB6E1F" w:rsidRDefault="00F666A6">
      <w:pPr>
        <w:pStyle w:val="ListParagraph"/>
        <w:numPr>
          <w:ilvl w:val="0"/>
          <w:numId w:val="92"/>
        </w:numPr>
        <w:tabs>
          <w:tab w:val="left" w:pos="1800"/>
          <w:tab w:val="left" w:pos="1801"/>
        </w:tabs>
        <w:spacing w:before="61"/>
        <w:ind w:left="1799" w:right="1551" w:hanging="360"/>
        <w:rPr>
          <w:rFonts w:ascii="Symbol" w:hAnsi="Symbol"/>
        </w:rPr>
      </w:pPr>
      <w:r>
        <w:t>Strategies to help a client reenter the change cycle after a recurrence include affirming the client’s willingness</w:t>
      </w:r>
      <w:r>
        <w:rPr>
          <w:spacing w:val="-3"/>
        </w:rPr>
        <w:t xml:space="preserve"> </w:t>
      </w:r>
      <w:r>
        <w:t>to</w:t>
      </w:r>
      <w:r>
        <w:rPr>
          <w:spacing w:val="-2"/>
        </w:rPr>
        <w:t xml:space="preserve"> </w:t>
      </w:r>
      <w:r>
        <w:t>reconsider</w:t>
      </w:r>
      <w:r>
        <w:rPr>
          <w:spacing w:val="-3"/>
        </w:rPr>
        <w:t xml:space="preserve"> </w:t>
      </w:r>
      <w:r>
        <w:t>positive</w:t>
      </w:r>
      <w:r>
        <w:rPr>
          <w:spacing w:val="-4"/>
        </w:rPr>
        <w:t xml:space="preserve"> </w:t>
      </w:r>
      <w:r>
        <w:t>change,</w:t>
      </w:r>
      <w:r>
        <w:rPr>
          <w:spacing w:val="-3"/>
        </w:rPr>
        <w:t xml:space="preserve"> </w:t>
      </w:r>
      <w:r>
        <w:t>exploring</w:t>
      </w:r>
      <w:r>
        <w:rPr>
          <w:spacing w:val="-4"/>
        </w:rPr>
        <w:t xml:space="preserve"> </w:t>
      </w:r>
      <w:r>
        <w:t>reoccurrence</w:t>
      </w:r>
      <w:r>
        <w:rPr>
          <w:spacing w:val="-2"/>
        </w:rPr>
        <w:t xml:space="preserve"> </w:t>
      </w:r>
      <w:r>
        <w:t>as</w:t>
      </w:r>
      <w:r>
        <w:rPr>
          <w:spacing w:val="-5"/>
        </w:rPr>
        <w:t xml:space="preserve"> </w:t>
      </w:r>
      <w:r>
        <w:t>a</w:t>
      </w:r>
      <w:r>
        <w:rPr>
          <w:spacing w:val="-3"/>
        </w:rPr>
        <w:t xml:space="preserve"> </w:t>
      </w:r>
      <w:r>
        <w:t>learning</w:t>
      </w:r>
      <w:r>
        <w:rPr>
          <w:spacing w:val="-4"/>
        </w:rPr>
        <w:t xml:space="preserve"> </w:t>
      </w:r>
      <w:r>
        <w:t>opportunity,</w:t>
      </w:r>
      <w:r>
        <w:rPr>
          <w:spacing w:val="-5"/>
        </w:rPr>
        <w:t xml:space="preserve"> </w:t>
      </w:r>
      <w:r>
        <w:t>helping the client find alternative coping strategies, and m</w:t>
      </w:r>
      <w:r>
        <w:t>aintaining supportive contact with the client.</w:t>
      </w:r>
    </w:p>
    <w:p w14:paraId="70CC9BFB" w14:textId="77777777" w:rsidR="00DB6E1F" w:rsidRDefault="00F666A6">
      <w:pPr>
        <w:pStyle w:val="Heading3"/>
      </w:pPr>
      <w:r>
        <w:t>Chapter</w:t>
      </w:r>
      <w:r>
        <w:rPr>
          <w:spacing w:val="-13"/>
        </w:rPr>
        <w:t xml:space="preserve"> </w:t>
      </w:r>
      <w:r>
        <w:t>8—Integrating</w:t>
      </w:r>
      <w:r>
        <w:rPr>
          <w:spacing w:val="-10"/>
        </w:rPr>
        <w:t xml:space="preserve"> </w:t>
      </w:r>
      <w:r>
        <w:t>Motivational</w:t>
      </w:r>
      <w:r>
        <w:rPr>
          <w:spacing w:val="-8"/>
        </w:rPr>
        <w:t xml:space="preserve"> </w:t>
      </w:r>
      <w:r>
        <w:t>Approaches</w:t>
      </w:r>
      <w:r>
        <w:rPr>
          <w:spacing w:val="-10"/>
        </w:rPr>
        <w:t xml:space="preserve"> </w:t>
      </w:r>
      <w:r>
        <w:t>in</w:t>
      </w:r>
      <w:r>
        <w:rPr>
          <w:spacing w:val="-11"/>
        </w:rPr>
        <w:t xml:space="preserve"> </w:t>
      </w:r>
      <w:r>
        <w:t>SUD</w:t>
      </w:r>
      <w:r>
        <w:rPr>
          <w:spacing w:val="-10"/>
        </w:rPr>
        <w:t xml:space="preserve"> </w:t>
      </w:r>
      <w:r>
        <w:t>Treatment</w:t>
      </w:r>
      <w:r>
        <w:rPr>
          <w:spacing w:val="-12"/>
        </w:rPr>
        <w:t xml:space="preserve"> </w:t>
      </w:r>
      <w:r>
        <w:rPr>
          <w:spacing w:val="-2"/>
        </w:rPr>
        <w:t>Settings</w:t>
      </w:r>
    </w:p>
    <w:p w14:paraId="7488D4E5" w14:textId="77777777" w:rsidR="00DB6E1F" w:rsidRDefault="00F666A6">
      <w:pPr>
        <w:pStyle w:val="BodyText"/>
        <w:spacing w:before="143"/>
        <w:ind w:left="1440" w:right="1444"/>
      </w:pPr>
      <w:r>
        <w:t>This</w:t>
      </w:r>
      <w:r>
        <w:rPr>
          <w:spacing w:val="-2"/>
        </w:rPr>
        <w:t xml:space="preserve"> </w:t>
      </w:r>
      <w:r>
        <w:t>chapter</w:t>
      </w:r>
      <w:r>
        <w:rPr>
          <w:spacing w:val="-4"/>
        </w:rPr>
        <w:t xml:space="preserve"> </w:t>
      </w:r>
      <w:r>
        <w:t>discusses</w:t>
      </w:r>
      <w:r>
        <w:rPr>
          <w:spacing w:val="-4"/>
        </w:rPr>
        <w:t xml:space="preserve"> </w:t>
      </w:r>
      <w:r>
        <w:t>some</w:t>
      </w:r>
      <w:r>
        <w:rPr>
          <w:spacing w:val="-1"/>
        </w:rPr>
        <w:t xml:space="preserve"> </w:t>
      </w:r>
      <w:r>
        <w:t>of</w:t>
      </w:r>
      <w:r>
        <w:rPr>
          <w:spacing w:val="-5"/>
        </w:rPr>
        <w:t xml:space="preserve"> </w:t>
      </w:r>
      <w:r>
        <w:t>the</w:t>
      </w:r>
      <w:r>
        <w:rPr>
          <w:spacing w:val="-1"/>
        </w:rPr>
        <w:t xml:space="preserve"> </w:t>
      </w:r>
      <w:r>
        <w:t>adaptations</w:t>
      </w:r>
      <w:r>
        <w:rPr>
          <w:spacing w:val="-2"/>
        </w:rPr>
        <w:t xml:space="preserve"> </w:t>
      </w:r>
      <w:r>
        <w:t>of</w:t>
      </w:r>
      <w:r>
        <w:rPr>
          <w:spacing w:val="-7"/>
        </w:rPr>
        <w:t xml:space="preserve"> </w:t>
      </w:r>
      <w:r>
        <w:t>motivational</w:t>
      </w:r>
      <w:r>
        <w:rPr>
          <w:spacing w:val="-2"/>
        </w:rPr>
        <w:t xml:space="preserve"> </w:t>
      </w:r>
      <w:r>
        <w:t>counseling</w:t>
      </w:r>
      <w:r>
        <w:rPr>
          <w:spacing w:val="-3"/>
        </w:rPr>
        <w:t xml:space="preserve"> </w:t>
      </w:r>
      <w:r>
        <w:t>approaches</w:t>
      </w:r>
      <w:r>
        <w:rPr>
          <w:spacing w:val="-2"/>
        </w:rPr>
        <w:t xml:space="preserve"> </w:t>
      </w:r>
      <w:r>
        <w:t>applicable</w:t>
      </w:r>
      <w:r>
        <w:rPr>
          <w:spacing w:val="-4"/>
        </w:rPr>
        <w:t xml:space="preserve"> </w:t>
      </w:r>
      <w:r>
        <w:t>to</w:t>
      </w:r>
      <w:r>
        <w:rPr>
          <w:spacing w:val="-3"/>
        </w:rPr>
        <w:t xml:space="preserve"> </w:t>
      </w:r>
      <w:r>
        <w:t>SUD treatment</w:t>
      </w:r>
      <w:r>
        <w:rPr>
          <w:spacing w:val="-5"/>
        </w:rPr>
        <w:t xml:space="preserve"> </w:t>
      </w:r>
      <w:r>
        <w:t>programs</w:t>
      </w:r>
      <w:r>
        <w:rPr>
          <w:spacing w:val="-3"/>
        </w:rPr>
        <w:t xml:space="preserve"> </w:t>
      </w:r>
      <w:r>
        <w:t>and</w:t>
      </w:r>
      <w:r>
        <w:rPr>
          <w:spacing w:val="-5"/>
        </w:rPr>
        <w:t xml:space="preserve"> </w:t>
      </w:r>
      <w:r>
        <w:t>workforce</w:t>
      </w:r>
      <w:r>
        <w:rPr>
          <w:spacing w:val="-5"/>
        </w:rPr>
        <w:t xml:space="preserve"> </w:t>
      </w:r>
      <w:r>
        <w:t>development</w:t>
      </w:r>
      <w:r>
        <w:rPr>
          <w:spacing w:val="-2"/>
        </w:rPr>
        <w:t xml:space="preserve"> </w:t>
      </w:r>
      <w:r>
        <w:t>issues</w:t>
      </w:r>
      <w:r>
        <w:rPr>
          <w:spacing w:val="-3"/>
        </w:rPr>
        <w:t xml:space="preserve"> </w:t>
      </w:r>
      <w:r>
        <w:t>that</w:t>
      </w:r>
      <w:r>
        <w:rPr>
          <w:spacing w:val="-5"/>
        </w:rPr>
        <w:t xml:space="preserve"> </w:t>
      </w:r>
      <w:r>
        <w:t>treatment</w:t>
      </w:r>
      <w:r>
        <w:rPr>
          <w:spacing w:val="-2"/>
        </w:rPr>
        <w:t xml:space="preserve"> </w:t>
      </w:r>
      <w:r>
        <w:t>programs</w:t>
      </w:r>
      <w:r>
        <w:rPr>
          <w:spacing w:val="-3"/>
        </w:rPr>
        <w:t xml:space="preserve"> </w:t>
      </w:r>
      <w:r>
        <w:t>should</w:t>
      </w:r>
      <w:r>
        <w:rPr>
          <w:spacing w:val="-4"/>
        </w:rPr>
        <w:t xml:space="preserve"> </w:t>
      </w:r>
      <w:r>
        <w:t>address</w:t>
      </w:r>
      <w:r>
        <w:rPr>
          <w:spacing w:val="-5"/>
        </w:rPr>
        <w:t xml:space="preserve"> </w:t>
      </w:r>
      <w:r>
        <w:t>to</w:t>
      </w:r>
      <w:r>
        <w:rPr>
          <w:spacing w:val="-2"/>
        </w:rPr>
        <w:t xml:space="preserve"> </w:t>
      </w:r>
      <w:r>
        <w:t>fully integrate and sustain motivational counseling approaches. It emphasizes blending MI with other counseling approaches. It also explores ways in which ongoing training, supervision,</w:t>
      </w:r>
      <w:r>
        <w:t xml:space="preserve"> and coaching are essential to successful workforce development and integration.</w:t>
      </w:r>
    </w:p>
    <w:p w14:paraId="405C3C38" w14:textId="77777777" w:rsidR="00DB6E1F" w:rsidRDefault="00F666A6">
      <w:pPr>
        <w:pStyle w:val="BodyText"/>
        <w:spacing w:before="159"/>
        <w:ind w:left="1439"/>
      </w:pPr>
      <w:r>
        <w:t>In</w:t>
      </w:r>
      <w:r>
        <w:rPr>
          <w:spacing w:val="-5"/>
        </w:rPr>
        <w:t xml:space="preserve"> </w:t>
      </w:r>
      <w:r>
        <w:t>Chapter</w:t>
      </w:r>
      <w:r>
        <w:rPr>
          <w:spacing w:val="-4"/>
        </w:rPr>
        <w:t xml:space="preserve"> </w:t>
      </w:r>
      <w:r>
        <w:t>8,</w:t>
      </w:r>
      <w:r>
        <w:rPr>
          <w:spacing w:val="-3"/>
        </w:rPr>
        <w:t xml:space="preserve"> </w:t>
      </w:r>
      <w:r>
        <w:t>readers</w:t>
      </w:r>
      <w:r>
        <w:rPr>
          <w:spacing w:val="-4"/>
        </w:rPr>
        <w:t xml:space="preserve"> </w:t>
      </w:r>
      <w:r>
        <w:t>will</w:t>
      </w:r>
      <w:r>
        <w:rPr>
          <w:spacing w:val="-6"/>
        </w:rPr>
        <w:t xml:space="preserve"> </w:t>
      </w:r>
      <w:r>
        <w:t>learn</w:t>
      </w:r>
      <w:r>
        <w:rPr>
          <w:spacing w:val="-4"/>
        </w:rPr>
        <w:t xml:space="preserve"> that:</w:t>
      </w:r>
    </w:p>
    <w:p w14:paraId="2D7F00E5" w14:textId="77777777" w:rsidR="00DB6E1F" w:rsidRDefault="00F666A6">
      <w:pPr>
        <w:pStyle w:val="ListParagraph"/>
        <w:numPr>
          <w:ilvl w:val="0"/>
          <w:numId w:val="92"/>
        </w:numPr>
        <w:tabs>
          <w:tab w:val="left" w:pos="1799"/>
          <w:tab w:val="left" w:pos="1800"/>
        </w:tabs>
        <w:spacing w:before="61"/>
        <w:ind w:left="1799" w:right="2309"/>
        <w:rPr>
          <w:rFonts w:ascii="Symbol" w:hAnsi="Symbol"/>
        </w:rPr>
      </w:pPr>
      <w:r>
        <w:t>Integrating</w:t>
      </w:r>
      <w:r>
        <w:rPr>
          <w:spacing w:val="-4"/>
        </w:rPr>
        <w:t xml:space="preserve"> </w:t>
      </w:r>
      <w:r>
        <w:t>motivational</w:t>
      </w:r>
      <w:r>
        <w:rPr>
          <w:spacing w:val="-3"/>
        </w:rPr>
        <w:t xml:space="preserve"> </w:t>
      </w:r>
      <w:r>
        <w:t>counseling</w:t>
      </w:r>
      <w:r>
        <w:rPr>
          <w:spacing w:val="-4"/>
        </w:rPr>
        <w:t xml:space="preserve"> </w:t>
      </w:r>
      <w:r>
        <w:t>approaches</w:t>
      </w:r>
      <w:r>
        <w:rPr>
          <w:spacing w:val="-5"/>
        </w:rPr>
        <w:t xml:space="preserve"> </w:t>
      </w:r>
      <w:r>
        <w:t>into</w:t>
      </w:r>
      <w:r>
        <w:rPr>
          <w:spacing w:val="-4"/>
        </w:rPr>
        <w:t xml:space="preserve"> </w:t>
      </w:r>
      <w:r>
        <w:t>a</w:t>
      </w:r>
      <w:r>
        <w:rPr>
          <w:spacing w:val="-6"/>
        </w:rPr>
        <w:t xml:space="preserve"> </w:t>
      </w:r>
      <w:r>
        <w:t>treatment</w:t>
      </w:r>
      <w:r>
        <w:rPr>
          <w:spacing w:val="-5"/>
        </w:rPr>
        <w:t xml:space="preserve"> </w:t>
      </w:r>
      <w:r>
        <w:t>program</w:t>
      </w:r>
      <w:r>
        <w:rPr>
          <w:spacing w:val="-2"/>
        </w:rPr>
        <w:t xml:space="preserve"> </w:t>
      </w:r>
      <w:r>
        <w:t>requires</w:t>
      </w:r>
      <w:r>
        <w:rPr>
          <w:spacing w:val="-3"/>
        </w:rPr>
        <w:t xml:space="preserve"> </w:t>
      </w:r>
      <w:r>
        <w:t>a</w:t>
      </w:r>
      <w:r>
        <w:rPr>
          <w:spacing w:val="-3"/>
        </w:rPr>
        <w:t xml:space="preserve"> </w:t>
      </w:r>
      <w:r>
        <w:t>broad integration of the philosophy and underlying sp</w:t>
      </w:r>
      <w:r>
        <w:t>irit of MI throughout the organization.</w:t>
      </w:r>
    </w:p>
    <w:p w14:paraId="7C520EC7" w14:textId="77777777" w:rsidR="00DB6E1F" w:rsidRDefault="00F666A6">
      <w:pPr>
        <w:pStyle w:val="ListParagraph"/>
        <w:numPr>
          <w:ilvl w:val="0"/>
          <w:numId w:val="92"/>
        </w:numPr>
        <w:tabs>
          <w:tab w:val="left" w:pos="1800"/>
          <w:tab w:val="left" w:pos="1801"/>
        </w:tabs>
        <w:spacing w:before="58"/>
        <w:ind w:left="1800" w:right="1904"/>
        <w:rPr>
          <w:rFonts w:ascii="Symbol" w:hAnsi="Symbol"/>
        </w:rPr>
      </w:pPr>
      <w:r>
        <w:t>Adapted</w:t>
      </w:r>
      <w:r>
        <w:rPr>
          <w:spacing w:val="-4"/>
        </w:rPr>
        <w:t xml:space="preserve"> </w:t>
      </w:r>
      <w:r>
        <w:t>motivational</w:t>
      </w:r>
      <w:r>
        <w:rPr>
          <w:spacing w:val="-3"/>
        </w:rPr>
        <w:t xml:space="preserve"> </w:t>
      </w:r>
      <w:r>
        <w:t>interventions</w:t>
      </w:r>
      <w:r>
        <w:rPr>
          <w:spacing w:val="-5"/>
        </w:rPr>
        <w:t xml:space="preserve"> </w:t>
      </w:r>
      <w:r>
        <w:t>may</w:t>
      </w:r>
      <w:r>
        <w:rPr>
          <w:spacing w:val="-4"/>
        </w:rPr>
        <w:t xml:space="preserve"> </w:t>
      </w:r>
      <w:r>
        <w:t>be</w:t>
      </w:r>
      <w:r>
        <w:rPr>
          <w:spacing w:val="-5"/>
        </w:rPr>
        <w:t xml:space="preserve"> </w:t>
      </w:r>
      <w:r>
        <w:t>more</w:t>
      </w:r>
      <w:r>
        <w:rPr>
          <w:spacing w:val="-2"/>
        </w:rPr>
        <w:t xml:space="preserve"> </w:t>
      </w:r>
      <w:r>
        <w:t>cost</w:t>
      </w:r>
      <w:r>
        <w:rPr>
          <w:spacing w:val="-5"/>
        </w:rPr>
        <w:t xml:space="preserve"> </w:t>
      </w:r>
      <w:r>
        <w:t>effective,</w:t>
      </w:r>
      <w:r>
        <w:rPr>
          <w:spacing w:val="-3"/>
        </w:rPr>
        <w:t xml:space="preserve"> </w:t>
      </w:r>
      <w:r>
        <w:t>accessible</w:t>
      </w:r>
      <w:r>
        <w:rPr>
          <w:spacing w:val="-5"/>
        </w:rPr>
        <w:t xml:space="preserve"> </w:t>
      </w:r>
      <w:r>
        <w:t>to</w:t>
      </w:r>
      <w:r>
        <w:rPr>
          <w:spacing w:val="-2"/>
        </w:rPr>
        <w:t xml:space="preserve"> </w:t>
      </w:r>
      <w:r>
        <w:t>clients,</w:t>
      </w:r>
      <w:r>
        <w:rPr>
          <w:spacing w:val="-3"/>
        </w:rPr>
        <w:t xml:space="preserve"> </w:t>
      </w:r>
      <w:r>
        <w:t>and</w:t>
      </w:r>
      <w:r>
        <w:rPr>
          <w:spacing w:val="-4"/>
        </w:rPr>
        <w:t xml:space="preserve"> </w:t>
      </w:r>
      <w:r>
        <w:t>easily integrated into existing treatment approaches than expected and may ease some workload demands on counselors.</w:t>
      </w:r>
    </w:p>
    <w:p w14:paraId="730DF455" w14:textId="77777777" w:rsidR="00DB6E1F" w:rsidRDefault="00F666A6">
      <w:pPr>
        <w:pStyle w:val="ListParagraph"/>
        <w:numPr>
          <w:ilvl w:val="0"/>
          <w:numId w:val="92"/>
        </w:numPr>
        <w:tabs>
          <w:tab w:val="left" w:pos="1800"/>
          <w:tab w:val="left" w:pos="1801"/>
        </w:tabs>
        <w:spacing w:before="61"/>
        <w:ind w:left="1800" w:right="1677"/>
        <w:rPr>
          <w:rFonts w:ascii="Symbol" w:hAnsi="Symbol"/>
        </w:rPr>
      </w:pPr>
      <w:r>
        <w:t>Technology</w:t>
      </w:r>
      <w:r>
        <w:rPr>
          <w:spacing w:val="-6"/>
        </w:rPr>
        <w:t xml:space="preserve"> </w:t>
      </w:r>
      <w:r>
        <w:t>adaptations,</w:t>
      </w:r>
      <w:r>
        <w:rPr>
          <w:spacing w:val="-4"/>
        </w:rPr>
        <w:t xml:space="preserve"> </w:t>
      </w:r>
      <w:r>
        <w:t>including</w:t>
      </w:r>
      <w:r>
        <w:rPr>
          <w:spacing w:val="-5"/>
        </w:rPr>
        <w:t xml:space="preserve"> </w:t>
      </w:r>
      <w:r>
        <w:t>motivational</w:t>
      </w:r>
      <w:r>
        <w:rPr>
          <w:spacing w:val="-4"/>
        </w:rPr>
        <w:t xml:space="preserve"> </w:t>
      </w:r>
      <w:r>
        <w:t>counseling</w:t>
      </w:r>
      <w:r>
        <w:rPr>
          <w:spacing w:val="-5"/>
        </w:rPr>
        <w:t xml:space="preserve"> </w:t>
      </w:r>
      <w:r>
        <w:t>and</w:t>
      </w:r>
      <w:r>
        <w:rPr>
          <w:spacing w:val="-5"/>
        </w:rPr>
        <w:t xml:space="preserve"> </w:t>
      </w:r>
      <w:r>
        <w:t>brief</w:t>
      </w:r>
      <w:r>
        <w:rPr>
          <w:spacing w:val="-4"/>
        </w:rPr>
        <w:t xml:space="preserve"> </w:t>
      </w:r>
      <w:r>
        <w:t>interventions</w:t>
      </w:r>
      <w:r>
        <w:rPr>
          <w:spacing w:val="-4"/>
        </w:rPr>
        <w:t xml:space="preserve"> </w:t>
      </w:r>
      <w:r>
        <w:t>over</w:t>
      </w:r>
      <w:r>
        <w:rPr>
          <w:spacing w:val="-6"/>
        </w:rPr>
        <w:t xml:space="preserve"> </w:t>
      </w:r>
      <w:r>
        <w:t>the</w:t>
      </w:r>
      <w:r>
        <w:rPr>
          <w:spacing w:val="-3"/>
        </w:rPr>
        <w:t xml:space="preserve"> </w:t>
      </w:r>
      <w:r>
        <w:t>phone or via text messaging, are effective, cost</w:t>
      </w:r>
      <w:r>
        <w:t xml:space="preserve"> effective, and adaptable to different client populations.</w:t>
      </w:r>
    </w:p>
    <w:p w14:paraId="79634D72" w14:textId="77777777" w:rsidR="00DB6E1F" w:rsidRDefault="00F666A6">
      <w:pPr>
        <w:pStyle w:val="ListParagraph"/>
        <w:numPr>
          <w:ilvl w:val="0"/>
          <w:numId w:val="92"/>
        </w:numPr>
        <w:tabs>
          <w:tab w:val="left" w:pos="1800"/>
          <w:tab w:val="left" w:pos="1801"/>
        </w:tabs>
        <w:spacing w:before="58"/>
        <w:ind w:left="1800" w:right="1918"/>
        <w:rPr>
          <w:rFonts w:ascii="Symbol" w:hAnsi="Symbol"/>
        </w:rPr>
      </w:pPr>
      <w:r>
        <w:t>MI</w:t>
      </w:r>
      <w:r>
        <w:rPr>
          <w:spacing w:val="-2"/>
        </w:rPr>
        <w:t xml:space="preserve"> </w:t>
      </w:r>
      <w:r>
        <w:t>is</w:t>
      </w:r>
      <w:r>
        <w:rPr>
          <w:spacing w:val="-4"/>
        </w:rPr>
        <w:t xml:space="preserve"> </w:t>
      </w:r>
      <w:r>
        <w:t>effective</w:t>
      </w:r>
      <w:r>
        <w:rPr>
          <w:spacing w:val="-4"/>
        </w:rPr>
        <w:t xml:space="preserve"> </w:t>
      </w:r>
      <w:r>
        <w:t>when</w:t>
      </w:r>
      <w:r>
        <w:rPr>
          <w:spacing w:val="-5"/>
        </w:rPr>
        <w:t xml:space="preserve"> </w:t>
      </w:r>
      <w:r>
        <w:t>blended</w:t>
      </w:r>
      <w:r>
        <w:rPr>
          <w:spacing w:val="-3"/>
        </w:rPr>
        <w:t xml:space="preserve"> </w:t>
      </w:r>
      <w:r>
        <w:t>with</w:t>
      </w:r>
      <w:r>
        <w:rPr>
          <w:spacing w:val="-5"/>
        </w:rPr>
        <w:t xml:space="preserve"> </w:t>
      </w:r>
      <w:r>
        <w:t>other</w:t>
      </w:r>
      <w:r>
        <w:rPr>
          <w:spacing w:val="-2"/>
        </w:rPr>
        <w:t xml:space="preserve"> </w:t>
      </w:r>
      <w:r>
        <w:t>counseling</w:t>
      </w:r>
      <w:r>
        <w:rPr>
          <w:spacing w:val="-3"/>
        </w:rPr>
        <w:t xml:space="preserve"> </w:t>
      </w:r>
      <w:r>
        <w:t>approaches</w:t>
      </w:r>
      <w:r>
        <w:rPr>
          <w:spacing w:val="-2"/>
        </w:rPr>
        <w:t xml:space="preserve"> </w:t>
      </w:r>
      <w:r>
        <w:t>including</w:t>
      </w:r>
      <w:r>
        <w:rPr>
          <w:spacing w:val="-3"/>
        </w:rPr>
        <w:t xml:space="preserve"> </w:t>
      </w:r>
      <w:r>
        <w:t>group</w:t>
      </w:r>
      <w:r>
        <w:rPr>
          <w:spacing w:val="-5"/>
        </w:rPr>
        <w:t xml:space="preserve"> </w:t>
      </w:r>
      <w:r>
        <w:t>counseling,</w:t>
      </w:r>
      <w:r>
        <w:rPr>
          <w:spacing w:val="-2"/>
        </w:rPr>
        <w:t xml:space="preserve"> </w:t>
      </w:r>
      <w:r>
        <w:t>the motivational interviewing assessment, CBT, and recovery management checkups.</w:t>
      </w:r>
    </w:p>
    <w:p w14:paraId="719F1642" w14:textId="77777777" w:rsidR="00DB6E1F" w:rsidRDefault="00F666A6">
      <w:pPr>
        <w:pStyle w:val="ListParagraph"/>
        <w:numPr>
          <w:ilvl w:val="0"/>
          <w:numId w:val="92"/>
        </w:numPr>
        <w:tabs>
          <w:tab w:val="left" w:pos="1800"/>
          <w:tab w:val="left" w:pos="1801"/>
        </w:tabs>
        <w:spacing w:before="61"/>
        <w:ind w:left="1800" w:right="1558"/>
        <w:rPr>
          <w:rFonts w:ascii="Symbol" w:hAnsi="Symbol"/>
        </w:rPr>
      </w:pPr>
      <w:r>
        <w:t>The</w:t>
      </w:r>
      <w:r>
        <w:rPr>
          <w:spacing w:val="-1"/>
        </w:rPr>
        <w:t xml:space="preserve"> </w:t>
      </w:r>
      <w:r>
        <w:t>key</w:t>
      </w:r>
      <w:r>
        <w:rPr>
          <w:spacing w:val="-4"/>
        </w:rPr>
        <w:t xml:space="preserve"> </w:t>
      </w:r>
      <w:r>
        <w:t>to</w:t>
      </w:r>
      <w:r>
        <w:rPr>
          <w:spacing w:val="-3"/>
        </w:rPr>
        <w:t xml:space="preserve"> </w:t>
      </w:r>
      <w:r>
        <w:t>workforce</w:t>
      </w:r>
      <w:r>
        <w:rPr>
          <w:spacing w:val="-4"/>
        </w:rPr>
        <w:t xml:space="preserve"> </w:t>
      </w:r>
      <w:r>
        <w:t>devel</w:t>
      </w:r>
      <w:r>
        <w:t>opment</w:t>
      </w:r>
      <w:r>
        <w:rPr>
          <w:spacing w:val="-1"/>
        </w:rPr>
        <w:t xml:space="preserve"> </w:t>
      </w:r>
      <w:r>
        <w:t>is</w:t>
      </w:r>
      <w:r>
        <w:rPr>
          <w:spacing w:val="-4"/>
        </w:rPr>
        <w:t xml:space="preserve"> </w:t>
      </w:r>
      <w:r>
        <w:t>to</w:t>
      </w:r>
      <w:r>
        <w:rPr>
          <w:spacing w:val="-3"/>
        </w:rPr>
        <w:t xml:space="preserve"> </w:t>
      </w:r>
      <w:r>
        <w:t>train</w:t>
      </w:r>
      <w:r>
        <w:rPr>
          <w:spacing w:val="-3"/>
        </w:rPr>
        <w:t xml:space="preserve"> </w:t>
      </w:r>
      <w:r>
        <w:t>all</w:t>
      </w:r>
      <w:r>
        <w:rPr>
          <w:spacing w:val="-5"/>
        </w:rPr>
        <w:t xml:space="preserve"> </w:t>
      </w:r>
      <w:r>
        <w:t>clinical</w:t>
      </w:r>
      <w:r>
        <w:rPr>
          <w:spacing w:val="-2"/>
        </w:rPr>
        <w:t xml:space="preserve"> </w:t>
      </w:r>
      <w:r>
        <w:t>and</w:t>
      </w:r>
      <w:r>
        <w:rPr>
          <w:spacing w:val="-3"/>
        </w:rPr>
        <w:t xml:space="preserve"> </w:t>
      </w:r>
      <w:r>
        <w:t>support</w:t>
      </w:r>
      <w:r>
        <w:rPr>
          <w:spacing w:val="-1"/>
        </w:rPr>
        <w:t xml:space="preserve"> </w:t>
      </w:r>
      <w:r>
        <w:t>staffs in</w:t>
      </w:r>
      <w:r>
        <w:rPr>
          <w:spacing w:val="-5"/>
        </w:rPr>
        <w:t xml:space="preserve"> </w:t>
      </w:r>
      <w:r>
        <w:t>the</w:t>
      </w:r>
      <w:r>
        <w:rPr>
          <w:spacing w:val="-4"/>
        </w:rPr>
        <w:t xml:space="preserve"> </w:t>
      </w:r>
      <w:r>
        <w:t>spirit</w:t>
      </w:r>
      <w:r>
        <w:rPr>
          <w:spacing w:val="-1"/>
        </w:rPr>
        <w:t xml:space="preserve"> </w:t>
      </w:r>
      <w:r>
        <w:t>of</w:t>
      </w:r>
      <w:r>
        <w:rPr>
          <w:spacing w:val="-5"/>
        </w:rPr>
        <w:t xml:space="preserve"> </w:t>
      </w:r>
      <w:r>
        <w:t>MI</w:t>
      </w:r>
      <w:r>
        <w:rPr>
          <w:spacing w:val="-2"/>
        </w:rPr>
        <w:t xml:space="preserve"> </w:t>
      </w:r>
      <w:r>
        <w:t>so</w:t>
      </w:r>
      <w:r>
        <w:rPr>
          <w:spacing w:val="-3"/>
        </w:rPr>
        <w:t xml:space="preserve"> </w:t>
      </w:r>
      <w:r>
        <w:t>that the entire program’s philosophy is aligned with person-centered principles, like emphasizing client autonomy and choice.</w:t>
      </w:r>
    </w:p>
    <w:p w14:paraId="7F25C7F3" w14:textId="77777777" w:rsidR="00DB6E1F" w:rsidRDefault="00F666A6">
      <w:pPr>
        <w:pStyle w:val="ListParagraph"/>
        <w:numPr>
          <w:ilvl w:val="0"/>
          <w:numId w:val="92"/>
        </w:numPr>
        <w:tabs>
          <w:tab w:val="left" w:pos="1800"/>
          <w:tab w:val="left" w:pos="1801"/>
        </w:tabs>
        <w:spacing w:before="61"/>
        <w:ind w:left="1800" w:right="2023"/>
        <w:rPr>
          <w:rFonts w:ascii="Symbol" w:hAnsi="Symbol"/>
        </w:rPr>
      </w:pPr>
      <w:r>
        <w:t>Program</w:t>
      </w:r>
      <w:r>
        <w:rPr>
          <w:spacing w:val="-2"/>
        </w:rPr>
        <w:t xml:space="preserve"> </w:t>
      </w:r>
      <w:r>
        <w:t>administrators</w:t>
      </w:r>
      <w:r>
        <w:rPr>
          <w:spacing w:val="-3"/>
        </w:rPr>
        <w:t xml:space="preserve"> </w:t>
      </w:r>
      <w:r>
        <w:t>should</w:t>
      </w:r>
      <w:r>
        <w:rPr>
          <w:spacing w:val="-4"/>
        </w:rPr>
        <w:t xml:space="preserve"> </w:t>
      </w:r>
      <w:r>
        <w:t>assess</w:t>
      </w:r>
      <w:r>
        <w:rPr>
          <w:spacing w:val="-3"/>
        </w:rPr>
        <w:t xml:space="preserve"> </w:t>
      </w:r>
      <w:r>
        <w:t>the</w:t>
      </w:r>
      <w:r>
        <w:rPr>
          <w:spacing w:val="-5"/>
        </w:rPr>
        <w:t xml:space="preserve"> </w:t>
      </w:r>
      <w:r>
        <w:t>organization’s</w:t>
      </w:r>
      <w:r>
        <w:rPr>
          <w:spacing w:val="-3"/>
        </w:rPr>
        <w:t xml:space="preserve"> </w:t>
      </w:r>
      <w:r>
        <w:t>philosophy</w:t>
      </w:r>
      <w:r>
        <w:rPr>
          <w:spacing w:val="-2"/>
        </w:rPr>
        <w:t xml:space="preserve"> </w:t>
      </w:r>
      <w:r>
        <w:t>and</w:t>
      </w:r>
      <w:r>
        <w:rPr>
          <w:spacing w:val="-4"/>
        </w:rPr>
        <w:t xml:space="preserve"> </w:t>
      </w:r>
      <w:r>
        <w:t>where</w:t>
      </w:r>
      <w:r>
        <w:rPr>
          <w:spacing w:val="-2"/>
        </w:rPr>
        <w:t xml:space="preserve"> </w:t>
      </w:r>
      <w:r>
        <w:t>it</w:t>
      </w:r>
      <w:r>
        <w:rPr>
          <w:spacing w:val="-3"/>
        </w:rPr>
        <w:t xml:space="preserve"> </w:t>
      </w:r>
      <w:r>
        <w:t>is</w:t>
      </w:r>
      <w:r>
        <w:rPr>
          <w:spacing w:val="-3"/>
        </w:rPr>
        <w:t xml:space="preserve"> </w:t>
      </w:r>
      <w:r>
        <w:t>in</w:t>
      </w:r>
      <w:r>
        <w:rPr>
          <w:spacing w:val="-4"/>
        </w:rPr>
        <w:t xml:space="preserve"> </w:t>
      </w:r>
      <w:r>
        <w:t>the</w:t>
      </w:r>
      <w:r>
        <w:rPr>
          <w:spacing w:val="-2"/>
        </w:rPr>
        <w:t xml:space="preserve"> </w:t>
      </w:r>
      <w:r>
        <w:t>SOC model before implementing a training program.</w:t>
      </w:r>
    </w:p>
    <w:p w14:paraId="6774BDB8" w14:textId="77777777" w:rsidR="00DB6E1F" w:rsidRDefault="00F666A6">
      <w:pPr>
        <w:pStyle w:val="ListParagraph"/>
        <w:numPr>
          <w:ilvl w:val="0"/>
          <w:numId w:val="92"/>
        </w:numPr>
        <w:tabs>
          <w:tab w:val="left" w:pos="1800"/>
          <w:tab w:val="left" w:pos="1801"/>
        </w:tabs>
        <w:spacing w:before="58"/>
        <w:ind w:left="1800" w:right="2130"/>
        <w:rPr>
          <w:rFonts w:ascii="Symbol" w:hAnsi="Symbol"/>
        </w:rPr>
      </w:pPr>
      <w:r>
        <w:t>Training</w:t>
      </w:r>
      <w:r>
        <w:rPr>
          <w:spacing w:val="-2"/>
        </w:rPr>
        <w:t xml:space="preserve"> </w:t>
      </w:r>
      <w:r>
        <w:t>counseling</w:t>
      </w:r>
      <w:r>
        <w:rPr>
          <w:spacing w:val="-2"/>
        </w:rPr>
        <w:t xml:space="preserve"> </w:t>
      </w:r>
      <w:r>
        <w:t>staff</w:t>
      </w:r>
      <w:r>
        <w:rPr>
          <w:spacing w:val="-1"/>
        </w:rPr>
        <w:t xml:space="preserve"> </w:t>
      </w:r>
      <w:r>
        <w:t>in</w:t>
      </w:r>
      <w:r>
        <w:rPr>
          <w:spacing w:val="-4"/>
        </w:rPr>
        <w:t xml:space="preserve"> </w:t>
      </w:r>
      <w:r>
        <w:t>MI</w:t>
      </w:r>
      <w:r>
        <w:rPr>
          <w:spacing w:val="-1"/>
        </w:rPr>
        <w:t xml:space="preserve"> </w:t>
      </w:r>
      <w:r>
        <w:t>takes</w:t>
      </w:r>
      <w:r>
        <w:rPr>
          <w:spacing w:val="-3"/>
        </w:rPr>
        <w:t xml:space="preserve"> </w:t>
      </w:r>
      <w:r>
        <w:t>more</w:t>
      </w:r>
      <w:r>
        <w:rPr>
          <w:spacing w:val="-3"/>
        </w:rPr>
        <w:t xml:space="preserve"> </w:t>
      </w:r>
      <w:r>
        <w:t>than</w:t>
      </w:r>
      <w:r>
        <w:rPr>
          <w:spacing w:val="-2"/>
        </w:rPr>
        <w:t xml:space="preserve"> </w:t>
      </w:r>
      <w:r>
        <w:t>a</w:t>
      </w:r>
      <w:r>
        <w:rPr>
          <w:spacing w:val="-4"/>
        </w:rPr>
        <w:t xml:space="preserve"> </w:t>
      </w:r>
      <w:r>
        <w:t>1-</w:t>
      </w:r>
      <w:r>
        <w:rPr>
          <w:spacing w:val="-4"/>
        </w:rPr>
        <w:t xml:space="preserve"> </w:t>
      </w:r>
      <w:r>
        <w:t>or</w:t>
      </w:r>
      <w:r>
        <w:rPr>
          <w:spacing w:val="-3"/>
        </w:rPr>
        <w:t xml:space="preserve"> </w:t>
      </w:r>
      <w:r>
        <w:t>2-day</w:t>
      </w:r>
      <w:r>
        <w:rPr>
          <w:spacing w:val="-2"/>
        </w:rPr>
        <w:t xml:space="preserve"> </w:t>
      </w:r>
      <w:r>
        <w:t>workshop.</w:t>
      </w:r>
      <w:r>
        <w:rPr>
          <w:spacing w:val="-4"/>
        </w:rPr>
        <w:t xml:space="preserve"> </w:t>
      </w:r>
      <w:r>
        <w:t>Maintenance of</w:t>
      </w:r>
      <w:r>
        <w:rPr>
          <w:spacing w:val="-3"/>
        </w:rPr>
        <w:t xml:space="preserve"> </w:t>
      </w:r>
      <w:r>
        <w:t>skills requires ongoing training and supervision.</w:t>
      </w:r>
    </w:p>
    <w:p w14:paraId="049F3335" w14:textId="77777777" w:rsidR="00DB6E1F" w:rsidRDefault="00F666A6">
      <w:pPr>
        <w:pStyle w:val="ListParagraph"/>
        <w:numPr>
          <w:ilvl w:val="0"/>
          <w:numId w:val="92"/>
        </w:numPr>
        <w:tabs>
          <w:tab w:val="left" w:pos="1801"/>
        </w:tabs>
        <w:spacing w:before="61"/>
        <w:ind w:left="1800" w:right="2108" w:hanging="360"/>
        <w:jc w:val="both"/>
        <w:rPr>
          <w:rFonts w:ascii="Symbol" w:hAnsi="Symbol"/>
        </w:rPr>
      </w:pPr>
      <w:r>
        <w:t>Supervision</w:t>
      </w:r>
      <w:r>
        <w:rPr>
          <w:spacing w:val="-4"/>
        </w:rPr>
        <w:t xml:space="preserve"> </w:t>
      </w:r>
      <w:r>
        <w:t>and</w:t>
      </w:r>
      <w:r>
        <w:rPr>
          <w:spacing w:val="-5"/>
        </w:rPr>
        <w:t xml:space="preserve"> </w:t>
      </w:r>
      <w:r>
        <w:t>coaching</w:t>
      </w:r>
      <w:r>
        <w:rPr>
          <w:spacing w:val="-4"/>
        </w:rPr>
        <w:t xml:space="preserve"> </w:t>
      </w:r>
      <w:r>
        <w:t>in</w:t>
      </w:r>
      <w:r>
        <w:rPr>
          <w:spacing w:val="-4"/>
        </w:rPr>
        <w:t xml:space="preserve"> </w:t>
      </w:r>
      <w:r>
        <w:t>MI</w:t>
      </w:r>
      <w:r>
        <w:rPr>
          <w:spacing w:val="-3"/>
        </w:rPr>
        <w:t xml:space="preserve"> </w:t>
      </w:r>
      <w:r>
        <w:t>should</w:t>
      </w:r>
      <w:r>
        <w:rPr>
          <w:spacing w:val="-4"/>
        </w:rPr>
        <w:t xml:space="preserve"> </w:t>
      </w:r>
      <w:r>
        <w:t>be</w:t>
      </w:r>
      <w:r>
        <w:rPr>
          <w:spacing w:val="-2"/>
        </w:rPr>
        <w:t xml:space="preserve"> </w:t>
      </w:r>
      <w:r>
        <w:t>competency</w:t>
      </w:r>
      <w:r>
        <w:rPr>
          <w:spacing w:val="-2"/>
        </w:rPr>
        <w:t xml:space="preserve"> </w:t>
      </w:r>
      <w:r>
        <w:t>based.</w:t>
      </w:r>
      <w:r>
        <w:rPr>
          <w:spacing w:val="-5"/>
        </w:rPr>
        <w:t xml:space="preserve"> </w:t>
      </w:r>
      <w:r>
        <w:t>These</w:t>
      </w:r>
      <w:r>
        <w:rPr>
          <w:spacing w:val="-4"/>
        </w:rPr>
        <w:t xml:space="preserve"> </w:t>
      </w:r>
      <w:r>
        <w:t>activities</w:t>
      </w:r>
      <w:r>
        <w:rPr>
          <w:spacing w:val="-4"/>
        </w:rPr>
        <w:t xml:space="preserve"> </w:t>
      </w:r>
      <w:r>
        <w:t>require</w:t>
      </w:r>
      <w:r>
        <w:rPr>
          <w:spacing w:val="-3"/>
        </w:rPr>
        <w:t xml:space="preserve"> </w:t>
      </w:r>
      <w:r>
        <w:t>directly observing</w:t>
      </w:r>
      <w:r>
        <w:rPr>
          <w:spacing w:val="-3"/>
        </w:rPr>
        <w:t xml:space="preserve"> </w:t>
      </w:r>
      <w:r>
        <w:t>the</w:t>
      </w:r>
      <w:r>
        <w:rPr>
          <w:spacing w:val="-5"/>
        </w:rPr>
        <w:t xml:space="preserve"> </w:t>
      </w:r>
      <w:r>
        <w:t>counselor’s</w:t>
      </w:r>
      <w:r>
        <w:rPr>
          <w:spacing w:val="-5"/>
        </w:rPr>
        <w:t xml:space="preserve"> </w:t>
      </w:r>
      <w:r>
        <w:t>skill</w:t>
      </w:r>
      <w:r>
        <w:rPr>
          <w:spacing w:val="-3"/>
        </w:rPr>
        <w:t xml:space="preserve"> </w:t>
      </w:r>
      <w:r>
        <w:t>level</w:t>
      </w:r>
      <w:r>
        <w:rPr>
          <w:spacing w:val="-3"/>
        </w:rPr>
        <w:t xml:space="preserve"> </w:t>
      </w:r>
      <w:r>
        <w:t>and</w:t>
      </w:r>
      <w:r>
        <w:rPr>
          <w:spacing w:val="-4"/>
        </w:rPr>
        <w:t xml:space="preserve"> </w:t>
      </w:r>
      <w:r>
        <w:t>using</w:t>
      </w:r>
      <w:r>
        <w:rPr>
          <w:spacing w:val="-4"/>
        </w:rPr>
        <w:t xml:space="preserve"> </w:t>
      </w:r>
      <w:r>
        <w:t>coding</w:t>
      </w:r>
      <w:r>
        <w:rPr>
          <w:spacing w:val="-4"/>
        </w:rPr>
        <w:t xml:space="preserve"> </w:t>
      </w:r>
      <w:r>
        <w:t>instruments</w:t>
      </w:r>
      <w:r>
        <w:rPr>
          <w:spacing w:val="-3"/>
        </w:rPr>
        <w:t xml:space="preserve"> </w:t>
      </w:r>
      <w:r>
        <w:t>to</w:t>
      </w:r>
      <w:r>
        <w:rPr>
          <w:spacing w:val="-2"/>
        </w:rPr>
        <w:t xml:space="preserve"> </w:t>
      </w:r>
      <w:r>
        <w:t>assess</w:t>
      </w:r>
      <w:r>
        <w:rPr>
          <w:spacing w:val="-5"/>
        </w:rPr>
        <w:t xml:space="preserve"> </w:t>
      </w:r>
      <w:r>
        <w:t>counselor</w:t>
      </w:r>
      <w:r>
        <w:rPr>
          <w:spacing w:val="-3"/>
        </w:rPr>
        <w:t xml:space="preserve"> </w:t>
      </w:r>
      <w:r>
        <w:t>fidelity. Supervision should be performed in the spirit of MI.</w:t>
      </w:r>
    </w:p>
    <w:p w14:paraId="6A7C394A" w14:textId="77777777" w:rsidR="00DB6E1F" w:rsidRDefault="00F666A6">
      <w:pPr>
        <w:pStyle w:val="ListParagraph"/>
        <w:numPr>
          <w:ilvl w:val="0"/>
          <w:numId w:val="92"/>
        </w:numPr>
        <w:tabs>
          <w:tab w:val="left" w:pos="1800"/>
          <w:tab w:val="left" w:pos="1801"/>
        </w:tabs>
        <w:ind w:left="1800" w:right="1501"/>
        <w:rPr>
          <w:rFonts w:ascii="Symbol" w:hAnsi="Symbol"/>
        </w:rPr>
      </w:pPr>
      <w:r>
        <w:t>Administrators</w:t>
      </w:r>
      <w:r>
        <w:rPr>
          <w:spacing w:val="-3"/>
        </w:rPr>
        <w:t xml:space="preserve"> </w:t>
      </w:r>
      <w:r>
        <w:t>need</w:t>
      </w:r>
      <w:r>
        <w:rPr>
          <w:spacing w:val="-4"/>
        </w:rPr>
        <w:t xml:space="preserve"> </w:t>
      </w:r>
      <w:r>
        <w:t>to</w:t>
      </w:r>
      <w:r>
        <w:rPr>
          <w:spacing w:val="-2"/>
        </w:rPr>
        <w:t xml:space="preserve"> </w:t>
      </w:r>
      <w:r>
        <w:t>balance</w:t>
      </w:r>
      <w:r>
        <w:rPr>
          <w:spacing w:val="-2"/>
        </w:rPr>
        <w:t xml:space="preserve"> </w:t>
      </w:r>
      <w:r>
        <w:t>training,</w:t>
      </w:r>
      <w:r>
        <w:rPr>
          <w:spacing w:val="-3"/>
        </w:rPr>
        <w:t xml:space="preserve"> </w:t>
      </w:r>
      <w:r>
        <w:t>supervision,</w:t>
      </w:r>
      <w:r>
        <w:rPr>
          <w:spacing w:val="-5"/>
        </w:rPr>
        <w:t xml:space="preserve"> </w:t>
      </w:r>
      <w:r>
        <w:t>and</w:t>
      </w:r>
      <w:r>
        <w:rPr>
          <w:spacing w:val="-4"/>
        </w:rPr>
        <w:t xml:space="preserve"> </w:t>
      </w:r>
      <w:r>
        <w:t>strategies</w:t>
      </w:r>
      <w:r>
        <w:rPr>
          <w:spacing w:val="-3"/>
        </w:rPr>
        <w:t xml:space="preserve"> </w:t>
      </w:r>
      <w:r>
        <w:t>to</w:t>
      </w:r>
      <w:r>
        <w:rPr>
          <w:spacing w:val="-4"/>
        </w:rPr>
        <w:t xml:space="preserve"> </w:t>
      </w:r>
      <w:r>
        <w:t>enhanc</w:t>
      </w:r>
      <w:r>
        <w:t>e</w:t>
      </w:r>
      <w:r>
        <w:rPr>
          <w:spacing w:val="-5"/>
        </w:rPr>
        <w:t xml:space="preserve"> </w:t>
      </w:r>
      <w:r>
        <w:t>counselor</w:t>
      </w:r>
      <w:r>
        <w:rPr>
          <w:spacing w:val="-3"/>
        </w:rPr>
        <w:t xml:space="preserve"> </w:t>
      </w:r>
      <w:r>
        <w:t>fidelity</w:t>
      </w:r>
      <w:r>
        <w:rPr>
          <w:spacing w:val="-4"/>
        </w:rPr>
        <w:t xml:space="preserve"> </w:t>
      </w:r>
      <w:r>
        <w:t>to MI with costs, while partnering with counseling staff to integrate a motivational counseling approach throughout the organization.</w:t>
      </w:r>
    </w:p>
    <w:p w14:paraId="3AAEBF33" w14:textId="77777777" w:rsidR="00DB6E1F" w:rsidRDefault="00DB6E1F">
      <w:pPr>
        <w:rPr>
          <w:rFonts w:ascii="Symbol" w:hAnsi="Symbol"/>
        </w:rPr>
        <w:sectPr w:rsidR="00DB6E1F">
          <w:pgSz w:w="12240" w:h="15840"/>
          <w:pgMar w:top="960" w:right="0" w:bottom="940" w:left="0" w:header="762" w:footer="602" w:gutter="0"/>
          <w:cols w:space="720"/>
        </w:sectPr>
      </w:pPr>
    </w:p>
    <w:p w14:paraId="5CE9CFE8" w14:textId="77777777" w:rsidR="00DB6E1F" w:rsidRDefault="00DB6E1F">
      <w:pPr>
        <w:pStyle w:val="BodyText"/>
        <w:rPr>
          <w:sz w:val="20"/>
        </w:rPr>
      </w:pPr>
    </w:p>
    <w:p w14:paraId="10D9E2F5" w14:textId="77777777" w:rsidR="00DB6E1F" w:rsidRDefault="00DB6E1F">
      <w:pPr>
        <w:pStyle w:val="BodyText"/>
        <w:spacing w:before="1"/>
        <w:rPr>
          <w:sz w:val="16"/>
        </w:rPr>
      </w:pPr>
    </w:p>
    <w:p w14:paraId="11E48528" w14:textId="77777777" w:rsidR="00DB6E1F" w:rsidRDefault="00F666A6">
      <w:pPr>
        <w:pStyle w:val="Heading1"/>
        <w:spacing w:before="36"/>
        <w:ind w:right="1445"/>
      </w:pPr>
      <w:bookmarkStart w:id="7" w:name="TIP_Development_Participants0F"/>
      <w:bookmarkStart w:id="8" w:name="_bookmark2"/>
      <w:bookmarkEnd w:id="7"/>
      <w:bookmarkEnd w:id="8"/>
      <w:r>
        <w:t>TIP</w:t>
      </w:r>
      <w:r>
        <w:rPr>
          <w:spacing w:val="-7"/>
        </w:rPr>
        <w:t xml:space="preserve"> </w:t>
      </w:r>
      <w:r>
        <w:t>Development</w:t>
      </w:r>
      <w:r>
        <w:rPr>
          <w:spacing w:val="-5"/>
        </w:rPr>
        <w:t xml:space="preserve"> </w:t>
      </w:r>
      <w:r>
        <w:rPr>
          <w:spacing w:val="-2"/>
        </w:rPr>
        <w:t>Participants</w:t>
      </w:r>
      <w:hyperlink w:anchor="_bookmark3" w:history="1">
        <w:r>
          <w:rPr>
            <w:spacing w:val="-2"/>
            <w:vertAlign w:val="superscript"/>
          </w:rPr>
          <w:t>1</w:t>
        </w:r>
      </w:hyperlink>
    </w:p>
    <w:p w14:paraId="06D51332" w14:textId="77777777" w:rsidR="00DB6E1F" w:rsidRDefault="00F666A6">
      <w:pPr>
        <w:pStyle w:val="Heading2"/>
        <w:spacing w:before="290"/>
      </w:pPr>
      <w:bookmarkStart w:id="9" w:name="Consensus_Panel"/>
      <w:bookmarkEnd w:id="9"/>
      <w:r>
        <w:t>Consensus</w:t>
      </w:r>
      <w:r>
        <w:rPr>
          <w:spacing w:val="-5"/>
        </w:rPr>
        <w:t xml:space="preserve"> </w:t>
      </w:r>
      <w:r>
        <w:rPr>
          <w:spacing w:val="-4"/>
        </w:rPr>
        <w:t>Panel</w:t>
      </w:r>
    </w:p>
    <w:p w14:paraId="374E1977" w14:textId="77777777" w:rsidR="00DB6E1F" w:rsidRDefault="00F666A6">
      <w:pPr>
        <w:pStyle w:val="BodyText"/>
        <w:spacing w:before="152"/>
        <w:ind w:left="1438" w:right="1555" w:firstLine="1"/>
      </w:pPr>
      <w:r>
        <w:t>Each Treatment Improvement Protocol’s (TIP) consensus panel is a group of primarily nonfederal addiction-focused</w:t>
      </w:r>
      <w:r>
        <w:rPr>
          <w:spacing w:val="-4"/>
        </w:rPr>
        <w:t xml:space="preserve"> </w:t>
      </w:r>
      <w:r>
        <w:t>clinical,</w:t>
      </w:r>
      <w:r>
        <w:rPr>
          <w:spacing w:val="-5"/>
        </w:rPr>
        <w:t xml:space="preserve"> </w:t>
      </w:r>
      <w:r>
        <w:t>research,</w:t>
      </w:r>
      <w:r>
        <w:rPr>
          <w:spacing w:val="-5"/>
        </w:rPr>
        <w:t xml:space="preserve"> </w:t>
      </w:r>
      <w:r>
        <w:t>administrative,</w:t>
      </w:r>
      <w:r>
        <w:rPr>
          <w:spacing w:val="-3"/>
        </w:rPr>
        <w:t xml:space="preserve"> </w:t>
      </w:r>
      <w:r>
        <w:t>and</w:t>
      </w:r>
      <w:r>
        <w:rPr>
          <w:spacing w:val="-4"/>
        </w:rPr>
        <w:t xml:space="preserve"> </w:t>
      </w:r>
      <w:r>
        <w:t>recovery</w:t>
      </w:r>
      <w:r>
        <w:rPr>
          <w:spacing w:val="-2"/>
        </w:rPr>
        <w:t xml:space="preserve"> </w:t>
      </w:r>
      <w:r>
        <w:t>support</w:t>
      </w:r>
      <w:r>
        <w:rPr>
          <w:spacing w:val="-5"/>
        </w:rPr>
        <w:t xml:space="preserve"> </w:t>
      </w:r>
      <w:r>
        <w:t>experts</w:t>
      </w:r>
      <w:r>
        <w:rPr>
          <w:spacing w:val="-5"/>
        </w:rPr>
        <w:t xml:space="preserve"> </w:t>
      </w:r>
      <w:r>
        <w:t>with</w:t>
      </w:r>
      <w:r>
        <w:rPr>
          <w:spacing w:val="-4"/>
        </w:rPr>
        <w:t xml:space="preserve"> </w:t>
      </w:r>
      <w:r>
        <w:t>deep</w:t>
      </w:r>
      <w:r>
        <w:rPr>
          <w:spacing w:val="-4"/>
        </w:rPr>
        <w:t xml:space="preserve"> </w:t>
      </w:r>
      <w:r>
        <w:t>knowledge of the TIP’s topic. With the Substance Abuse and Mental He</w:t>
      </w:r>
      <w:r>
        <w:t>alth Services Administration’s Knowledge Application</w:t>
      </w:r>
      <w:r>
        <w:rPr>
          <w:spacing w:val="-1"/>
        </w:rPr>
        <w:t xml:space="preserve"> </w:t>
      </w:r>
      <w:r>
        <w:t>Program</w:t>
      </w:r>
      <w:r>
        <w:rPr>
          <w:spacing w:val="-3"/>
        </w:rPr>
        <w:t xml:space="preserve"> </w:t>
      </w:r>
      <w:r>
        <w:t>team,</w:t>
      </w:r>
      <w:r>
        <w:rPr>
          <w:spacing w:val="-7"/>
        </w:rPr>
        <w:t xml:space="preserve"> </w:t>
      </w:r>
      <w:r>
        <w:t>members</w:t>
      </w:r>
      <w:r>
        <w:rPr>
          <w:spacing w:val="-7"/>
        </w:rPr>
        <w:t xml:space="preserve"> </w:t>
      </w:r>
      <w:r>
        <w:t>of</w:t>
      </w:r>
      <w:r>
        <w:rPr>
          <w:spacing w:val="-5"/>
        </w:rPr>
        <w:t xml:space="preserve"> </w:t>
      </w:r>
      <w:r>
        <w:t>the</w:t>
      </w:r>
      <w:r>
        <w:rPr>
          <w:spacing w:val="-4"/>
        </w:rPr>
        <w:t xml:space="preserve"> </w:t>
      </w:r>
      <w:r>
        <w:t>consensus</w:t>
      </w:r>
      <w:r>
        <w:rPr>
          <w:spacing w:val="-7"/>
        </w:rPr>
        <w:t xml:space="preserve"> </w:t>
      </w:r>
      <w:r>
        <w:t>panel</w:t>
      </w:r>
      <w:r>
        <w:rPr>
          <w:spacing w:val="-5"/>
        </w:rPr>
        <w:t xml:space="preserve"> </w:t>
      </w:r>
      <w:r>
        <w:t>develop</w:t>
      </w:r>
      <w:r>
        <w:rPr>
          <w:spacing w:val="-6"/>
        </w:rPr>
        <w:t xml:space="preserve"> </w:t>
      </w:r>
      <w:r>
        <w:t>each</w:t>
      </w:r>
      <w:r>
        <w:rPr>
          <w:spacing w:val="-6"/>
        </w:rPr>
        <w:t xml:space="preserve"> </w:t>
      </w:r>
      <w:r>
        <w:t>TIP</w:t>
      </w:r>
      <w:r>
        <w:rPr>
          <w:spacing w:val="-4"/>
        </w:rPr>
        <w:t xml:space="preserve"> </w:t>
      </w:r>
      <w:r>
        <w:t>via</w:t>
      </w:r>
      <w:r>
        <w:rPr>
          <w:spacing w:val="-7"/>
        </w:rPr>
        <w:t xml:space="preserve"> </w:t>
      </w:r>
      <w:r>
        <w:t>a</w:t>
      </w:r>
      <w:r>
        <w:rPr>
          <w:spacing w:val="-5"/>
        </w:rPr>
        <w:t xml:space="preserve"> </w:t>
      </w:r>
      <w:r>
        <w:t xml:space="preserve">consensus-driven, </w:t>
      </w:r>
      <w:r>
        <w:rPr>
          <w:spacing w:val="-2"/>
        </w:rPr>
        <w:t>collaborative</w:t>
      </w:r>
      <w:r>
        <w:rPr>
          <w:spacing w:val="-3"/>
        </w:rPr>
        <w:t xml:space="preserve"> </w:t>
      </w:r>
      <w:r>
        <w:rPr>
          <w:spacing w:val="-2"/>
        </w:rPr>
        <w:t>process</w:t>
      </w:r>
      <w:r>
        <w:rPr>
          <w:spacing w:val="-4"/>
        </w:rPr>
        <w:t xml:space="preserve"> </w:t>
      </w:r>
      <w:r>
        <w:rPr>
          <w:spacing w:val="-2"/>
        </w:rPr>
        <w:t>that</w:t>
      </w:r>
      <w:r>
        <w:rPr>
          <w:spacing w:val="-3"/>
        </w:rPr>
        <w:t xml:space="preserve"> </w:t>
      </w:r>
      <w:r>
        <w:rPr>
          <w:spacing w:val="-2"/>
        </w:rPr>
        <w:t>blends</w:t>
      </w:r>
      <w:r>
        <w:rPr>
          <w:spacing w:val="-4"/>
        </w:rPr>
        <w:t xml:space="preserve"> </w:t>
      </w:r>
      <w:r>
        <w:rPr>
          <w:spacing w:val="-2"/>
        </w:rPr>
        <w:t>evidence-based,</w:t>
      </w:r>
      <w:r>
        <w:rPr>
          <w:spacing w:val="-4"/>
        </w:rPr>
        <w:t xml:space="preserve"> </w:t>
      </w:r>
      <w:r>
        <w:rPr>
          <w:spacing w:val="-2"/>
        </w:rPr>
        <w:t>best, and</w:t>
      </w:r>
      <w:r>
        <w:rPr>
          <w:spacing w:val="-4"/>
        </w:rPr>
        <w:t xml:space="preserve"> </w:t>
      </w:r>
      <w:r>
        <w:rPr>
          <w:spacing w:val="-2"/>
        </w:rPr>
        <w:t>promising</w:t>
      </w:r>
      <w:r>
        <w:rPr>
          <w:spacing w:val="-4"/>
        </w:rPr>
        <w:t xml:space="preserve"> </w:t>
      </w:r>
      <w:r>
        <w:rPr>
          <w:spacing w:val="-2"/>
        </w:rPr>
        <w:t>practices</w:t>
      </w:r>
      <w:r>
        <w:rPr>
          <w:spacing w:val="-4"/>
        </w:rPr>
        <w:t xml:space="preserve"> </w:t>
      </w:r>
      <w:r>
        <w:rPr>
          <w:spacing w:val="-2"/>
        </w:rPr>
        <w:t>with</w:t>
      </w:r>
      <w:r>
        <w:rPr>
          <w:spacing w:val="-4"/>
        </w:rPr>
        <w:t xml:space="preserve"> </w:t>
      </w:r>
      <w:r>
        <w:rPr>
          <w:spacing w:val="-2"/>
        </w:rPr>
        <w:t>the</w:t>
      </w:r>
      <w:r>
        <w:rPr>
          <w:spacing w:val="-3"/>
        </w:rPr>
        <w:t xml:space="preserve"> </w:t>
      </w:r>
      <w:r>
        <w:rPr>
          <w:spacing w:val="-2"/>
        </w:rPr>
        <w:t>panel</w:t>
      </w:r>
      <w:r>
        <w:rPr>
          <w:spacing w:val="-4"/>
        </w:rPr>
        <w:t xml:space="preserve"> </w:t>
      </w:r>
      <w:r>
        <w:rPr>
          <w:spacing w:val="-2"/>
        </w:rPr>
        <w:t xml:space="preserve">members’ </w:t>
      </w:r>
      <w:r>
        <w:t>expertise and</w:t>
      </w:r>
      <w:r>
        <w:t xml:space="preserve"> combined wealth of experience.</w:t>
      </w:r>
    </w:p>
    <w:p w14:paraId="4A33BBD4" w14:textId="77777777" w:rsidR="00DB6E1F" w:rsidRDefault="00F666A6">
      <w:pPr>
        <w:pStyle w:val="Heading3"/>
      </w:pPr>
      <w:bookmarkStart w:id="10" w:name="Chair"/>
      <w:bookmarkEnd w:id="10"/>
      <w:r>
        <w:rPr>
          <w:spacing w:val="-2"/>
        </w:rPr>
        <w:t>Chair</w:t>
      </w:r>
    </w:p>
    <w:p w14:paraId="3DB98670" w14:textId="77777777" w:rsidR="00DB6E1F" w:rsidRDefault="00F666A6">
      <w:pPr>
        <w:pStyle w:val="Heading5"/>
        <w:spacing w:before="143"/>
      </w:pPr>
      <w:r>
        <w:t>William</w:t>
      </w:r>
      <w:r>
        <w:rPr>
          <w:spacing w:val="-7"/>
        </w:rPr>
        <w:t xml:space="preserve"> </w:t>
      </w:r>
      <w:r>
        <w:t>R.</w:t>
      </w:r>
      <w:r>
        <w:rPr>
          <w:spacing w:val="-1"/>
        </w:rPr>
        <w:t xml:space="preserve"> </w:t>
      </w:r>
      <w:r>
        <w:t>Miller,</w:t>
      </w:r>
      <w:r>
        <w:rPr>
          <w:spacing w:val="-4"/>
        </w:rPr>
        <w:t xml:space="preserve"> Ph.D.</w:t>
      </w:r>
    </w:p>
    <w:p w14:paraId="11674909" w14:textId="77777777" w:rsidR="00DB6E1F" w:rsidRDefault="00F666A6">
      <w:pPr>
        <w:pStyle w:val="BodyText"/>
        <w:spacing w:before="1"/>
        <w:ind w:left="1440" w:right="5969"/>
      </w:pPr>
      <w:r>
        <w:t>Regents</w:t>
      </w:r>
      <w:r>
        <w:rPr>
          <w:spacing w:val="-8"/>
        </w:rPr>
        <w:t xml:space="preserve"> </w:t>
      </w:r>
      <w:r>
        <w:t>Professor</w:t>
      </w:r>
      <w:r>
        <w:rPr>
          <w:spacing w:val="-9"/>
        </w:rPr>
        <w:t xml:space="preserve"> </w:t>
      </w:r>
      <w:r>
        <w:t>of</w:t>
      </w:r>
      <w:r>
        <w:rPr>
          <w:spacing w:val="-9"/>
        </w:rPr>
        <w:t xml:space="preserve"> </w:t>
      </w:r>
      <w:r>
        <w:t>Psychology</w:t>
      </w:r>
      <w:r>
        <w:rPr>
          <w:spacing w:val="-5"/>
        </w:rPr>
        <w:t xml:space="preserve"> </w:t>
      </w:r>
      <w:r>
        <w:t>and</w:t>
      </w:r>
      <w:r>
        <w:rPr>
          <w:spacing w:val="-9"/>
        </w:rPr>
        <w:t xml:space="preserve"> </w:t>
      </w:r>
      <w:r>
        <w:t>Psychiatry Director of Research</w:t>
      </w:r>
    </w:p>
    <w:p w14:paraId="4269A9A6" w14:textId="77777777" w:rsidR="00DB6E1F" w:rsidRDefault="00F666A6">
      <w:pPr>
        <w:pStyle w:val="BodyText"/>
        <w:ind w:left="1440" w:right="5969"/>
      </w:pPr>
      <w:r>
        <w:rPr>
          <w:spacing w:val="-4"/>
        </w:rPr>
        <w:t>Center</w:t>
      </w:r>
      <w:r>
        <w:rPr>
          <w:spacing w:val="-10"/>
        </w:rPr>
        <w:t xml:space="preserve"> </w:t>
      </w:r>
      <w:r>
        <w:rPr>
          <w:spacing w:val="-4"/>
        </w:rPr>
        <w:t>on</w:t>
      </w:r>
      <w:r>
        <w:rPr>
          <w:spacing w:val="-9"/>
        </w:rPr>
        <w:t xml:space="preserve"> </w:t>
      </w:r>
      <w:r>
        <w:rPr>
          <w:spacing w:val="-4"/>
        </w:rPr>
        <w:t>Alcoholism,</w:t>
      </w:r>
      <w:r>
        <w:rPr>
          <w:spacing w:val="-9"/>
        </w:rPr>
        <w:t xml:space="preserve"> </w:t>
      </w:r>
      <w:r>
        <w:rPr>
          <w:spacing w:val="-4"/>
        </w:rPr>
        <w:t>Substance</w:t>
      </w:r>
      <w:r>
        <w:rPr>
          <w:spacing w:val="-9"/>
        </w:rPr>
        <w:t xml:space="preserve"> </w:t>
      </w:r>
      <w:r>
        <w:rPr>
          <w:spacing w:val="-4"/>
        </w:rPr>
        <w:t>Abuse,</w:t>
      </w:r>
      <w:r>
        <w:rPr>
          <w:spacing w:val="-9"/>
        </w:rPr>
        <w:t xml:space="preserve"> </w:t>
      </w:r>
      <w:r>
        <w:rPr>
          <w:spacing w:val="-4"/>
        </w:rPr>
        <w:t>and</w:t>
      </w:r>
      <w:r>
        <w:rPr>
          <w:spacing w:val="-10"/>
        </w:rPr>
        <w:t xml:space="preserve"> </w:t>
      </w:r>
      <w:r>
        <w:rPr>
          <w:spacing w:val="-4"/>
        </w:rPr>
        <w:t xml:space="preserve">Addictions </w:t>
      </w:r>
      <w:r>
        <w:t>Department of Psychology</w:t>
      </w:r>
    </w:p>
    <w:p w14:paraId="6A9E14CD" w14:textId="77777777" w:rsidR="00DB6E1F" w:rsidRDefault="00F666A6">
      <w:pPr>
        <w:pStyle w:val="BodyText"/>
        <w:ind w:left="1440" w:right="7429"/>
      </w:pPr>
      <w:r>
        <w:t>University of New Mexico Albuquerque,</w:t>
      </w:r>
      <w:r>
        <w:rPr>
          <w:spacing w:val="-13"/>
        </w:rPr>
        <w:t xml:space="preserve"> </w:t>
      </w:r>
      <w:r>
        <w:t>New</w:t>
      </w:r>
      <w:r>
        <w:rPr>
          <w:spacing w:val="-12"/>
        </w:rPr>
        <w:t xml:space="preserve"> </w:t>
      </w:r>
      <w:r>
        <w:t>Mexico</w:t>
      </w:r>
    </w:p>
    <w:p w14:paraId="4D90F1F6" w14:textId="77777777" w:rsidR="00DB6E1F" w:rsidRDefault="00F666A6">
      <w:pPr>
        <w:pStyle w:val="Heading3"/>
      </w:pPr>
      <w:bookmarkStart w:id="11" w:name="Workgroup_Leaders"/>
      <w:bookmarkEnd w:id="11"/>
      <w:r>
        <w:t>Workgroup</w:t>
      </w:r>
      <w:r>
        <w:rPr>
          <w:spacing w:val="-15"/>
        </w:rPr>
        <w:t xml:space="preserve"> </w:t>
      </w:r>
      <w:r>
        <w:rPr>
          <w:spacing w:val="-2"/>
        </w:rPr>
        <w:t>Leaders</w:t>
      </w:r>
    </w:p>
    <w:p w14:paraId="4C9F3D03" w14:textId="77777777" w:rsidR="00DB6E1F" w:rsidRDefault="00F666A6">
      <w:pPr>
        <w:spacing w:before="141"/>
        <w:ind w:left="1440" w:right="6821"/>
      </w:pPr>
      <w:r>
        <w:rPr>
          <w:b/>
        </w:rPr>
        <w:t xml:space="preserve">Edward Bernstein, M.D., F.A.C.E.P. </w:t>
      </w:r>
      <w:r>
        <w:t>Associate</w:t>
      </w:r>
      <w:r>
        <w:rPr>
          <w:spacing w:val="-10"/>
        </w:rPr>
        <w:t xml:space="preserve"> </w:t>
      </w:r>
      <w:r>
        <w:t>Professor</w:t>
      </w:r>
      <w:r>
        <w:rPr>
          <w:spacing w:val="-8"/>
        </w:rPr>
        <w:t xml:space="preserve"> </w:t>
      </w:r>
      <w:r>
        <w:t>and</w:t>
      </w:r>
      <w:r>
        <w:rPr>
          <w:spacing w:val="-9"/>
        </w:rPr>
        <w:t xml:space="preserve"> </w:t>
      </w:r>
      <w:r>
        <w:t>Academic</w:t>
      </w:r>
      <w:r>
        <w:rPr>
          <w:spacing w:val="-10"/>
        </w:rPr>
        <w:t xml:space="preserve"> </w:t>
      </w:r>
      <w:r>
        <w:t>Affairs Vice Chairman</w:t>
      </w:r>
    </w:p>
    <w:p w14:paraId="13F48358" w14:textId="77777777" w:rsidR="00DB6E1F" w:rsidRDefault="00F666A6">
      <w:pPr>
        <w:pStyle w:val="BodyText"/>
        <w:ind w:left="1440" w:right="7429"/>
      </w:pPr>
      <w:r>
        <w:t>Boston</w:t>
      </w:r>
      <w:r>
        <w:rPr>
          <w:spacing w:val="-9"/>
        </w:rPr>
        <w:t xml:space="preserve"> </w:t>
      </w:r>
      <w:r>
        <w:t>University</w:t>
      </w:r>
      <w:r>
        <w:rPr>
          <w:spacing w:val="-7"/>
        </w:rPr>
        <w:t xml:space="preserve"> </w:t>
      </w:r>
      <w:r>
        <w:t>School</w:t>
      </w:r>
      <w:r>
        <w:rPr>
          <w:spacing w:val="-10"/>
        </w:rPr>
        <w:t xml:space="preserve"> </w:t>
      </w:r>
      <w:r>
        <w:t>of</w:t>
      </w:r>
      <w:r>
        <w:rPr>
          <w:spacing w:val="-10"/>
        </w:rPr>
        <w:t xml:space="preserve"> </w:t>
      </w:r>
      <w:r>
        <w:t>Medicine Boston, Massachusetts</w:t>
      </w:r>
    </w:p>
    <w:p w14:paraId="265F85FC" w14:textId="77777777" w:rsidR="00DB6E1F" w:rsidRDefault="00F666A6">
      <w:pPr>
        <w:pStyle w:val="Heading5"/>
        <w:spacing w:before="162" w:line="268" w:lineRule="exact"/>
      </w:pPr>
      <w:r>
        <w:t>Suzanne</w:t>
      </w:r>
      <w:r>
        <w:rPr>
          <w:spacing w:val="-6"/>
        </w:rPr>
        <w:t xml:space="preserve"> </w:t>
      </w:r>
      <w:r>
        <w:t>M.</w:t>
      </w:r>
      <w:r>
        <w:rPr>
          <w:spacing w:val="-3"/>
        </w:rPr>
        <w:t xml:space="preserve"> </w:t>
      </w:r>
      <w:r>
        <w:t>Colby,</w:t>
      </w:r>
      <w:r>
        <w:rPr>
          <w:spacing w:val="-2"/>
        </w:rPr>
        <w:t xml:space="preserve"> </w:t>
      </w:r>
      <w:r>
        <w:rPr>
          <w:spacing w:val="-4"/>
        </w:rPr>
        <w:t>Ph.D.</w:t>
      </w:r>
    </w:p>
    <w:p w14:paraId="39A3E52C" w14:textId="77777777" w:rsidR="00DB6E1F" w:rsidRDefault="00F666A6">
      <w:pPr>
        <w:pStyle w:val="BodyText"/>
        <w:ind w:left="1440" w:right="5969"/>
      </w:pPr>
      <w:r>
        <w:t>Assistant</w:t>
      </w:r>
      <w:r>
        <w:rPr>
          <w:spacing w:val="-7"/>
        </w:rPr>
        <w:t xml:space="preserve"> </w:t>
      </w:r>
      <w:r>
        <w:t>Profes</w:t>
      </w:r>
      <w:r>
        <w:t>sor</w:t>
      </w:r>
      <w:r>
        <w:rPr>
          <w:spacing w:val="-7"/>
        </w:rPr>
        <w:t xml:space="preserve"> </w:t>
      </w:r>
      <w:r>
        <w:t>of</w:t>
      </w:r>
      <w:r>
        <w:rPr>
          <w:spacing w:val="-8"/>
        </w:rPr>
        <w:t xml:space="preserve"> </w:t>
      </w:r>
      <w:r>
        <w:t>Psychiatry</w:t>
      </w:r>
      <w:r>
        <w:rPr>
          <w:spacing w:val="-4"/>
        </w:rPr>
        <w:t xml:space="preserve"> </w:t>
      </w:r>
      <w:r>
        <w:t>and</w:t>
      </w:r>
      <w:r>
        <w:rPr>
          <w:spacing w:val="-6"/>
        </w:rPr>
        <w:t xml:space="preserve"> </w:t>
      </w:r>
      <w:r>
        <w:t>Human</w:t>
      </w:r>
      <w:r>
        <w:rPr>
          <w:spacing w:val="-6"/>
        </w:rPr>
        <w:t xml:space="preserve"> </w:t>
      </w:r>
      <w:r>
        <w:t>Behavior Center for Alcohol and Addiction Studies</w:t>
      </w:r>
    </w:p>
    <w:p w14:paraId="5F9B8D8B" w14:textId="77777777" w:rsidR="00DB6E1F" w:rsidRDefault="00F666A6">
      <w:pPr>
        <w:pStyle w:val="BodyText"/>
        <w:ind w:left="1440" w:right="8390"/>
      </w:pPr>
      <w:r>
        <w:t>Brown University Providence,</w:t>
      </w:r>
      <w:r>
        <w:rPr>
          <w:spacing w:val="-13"/>
        </w:rPr>
        <w:t xml:space="preserve"> </w:t>
      </w:r>
      <w:r>
        <w:t>Rhode</w:t>
      </w:r>
      <w:r>
        <w:rPr>
          <w:spacing w:val="-12"/>
        </w:rPr>
        <w:t xml:space="preserve"> </w:t>
      </w:r>
      <w:r>
        <w:t>Island</w:t>
      </w:r>
    </w:p>
    <w:p w14:paraId="6D91EF0D" w14:textId="77777777" w:rsidR="00DB6E1F" w:rsidRDefault="00F666A6">
      <w:pPr>
        <w:pStyle w:val="Heading5"/>
        <w:spacing w:before="160"/>
      </w:pPr>
      <w:r>
        <w:t>Carlo</w:t>
      </w:r>
      <w:r>
        <w:rPr>
          <w:spacing w:val="-6"/>
        </w:rPr>
        <w:t xml:space="preserve"> </w:t>
      </w:r>
      <w:r>
        <w:t>C.</w:t>
      </w:r>
      <w:r>
        <w:rPr>
          <w:spacing w:val="-4"/>
        </w:rPr>
        <w:t xml:space="preserve"> </w:t>
      </w:r>
      <w:r>
        <w:t>DiClemente,</w:t>
      </w:r>
      <w:r>
        <w:rPr>
          <w:spacing w:val="-4"/>
        </w:rPr>
        <w:t xml:space="preserve"> Ph.D.</w:t>
      </w:r>
    </w:p>
    <w:p w14:paraId="128CB299" w14:textId="77777777" w:rsidR="00DB6E1F" w:rsidRDefault="00F666A6">
      <w:pPr>
        <w:pStyle w:val="BodyText"/>
        <w:ind w:left="1439"/>
      </w:pPr>
      <w:r>
        <w:t>Department</w:t>
      </w:r>
      <w:r>
        <w:rPr>
          <w:spacing w:val="-5"/>
        </w:rPr>
        <w:t xml:space="preserve"> </w:t>
      </w:r>
      <w:r>
        <w:t>of</w:t>
      </w:r>
      <w:r>
        <w:rPr>
          <w:spacing w:val="-6"/>
        </w:rPr>
        <w:t xml:space="preserve"> </w:t>
      </w:r>
      <w:r>
        <w:rPr>
          <w:spacing w:val="-2"/>
        </w:rPr>
        <w:t>Psychology</w:t>
      </w:r>
    </w:p>
    <w:p w14:paraId="3AAC4836" w14:textId="77777777" w:rsidR="00DB6E1F" w:rsidRDefault="00F666A6">
      <w:pPr>
        <w:pStyle w:val="BodyText"/>
        <w:spacing w:before="1"/>
        <w:ind w:left="1439" w:right="6821"/>
      </w:pPr>
      <w:r>
        <w:t>University</w:t>
      </w:r>
      <w:r>
        <w:rPr>
          <w:spacing w:val="-10"/>
        </w:rPr>
        <w:t xml:space="preserve"> </w:t>
      </w:r>
      <w:r>
        <w:t>of</w:t>
      </w:r>
      <w:r>
        <w:rPr>
          <w:spacing w:val="-11"/>
        </w:rPr>
        <w:t xml:space="preserve"> </w:t>
      </w:r>
      <w:r>
        <w:t>Maryland,</w:t>
      </w:r>
      <w:r>
        <w:rPr>
          <w:spacing w:val="-10"/>
        </w:rPr>
        <w:t xml:space="preserve"> </w:t>
      </w:r>
      <w:r>
        <w:t>Baltimore</w:t>
      </w:r>
      <w:r>
        <w:rPr>
          <w:spacing w:val="-8"/>
        </w:rPr>
        <w:t xml:space="preserve"> </w:t>
      </w:r>
      <w:r>
        <w:t>County Baltimore, Maryland</w:t>
      </w:r>
    </w:p>
    <w:p w14:paraId="7E5B1508" w14:textId="77777777" w:rsidR="00DB6E1F" w:rsidRDefault="00F666A6">
      <w:pPr>
        <w:pStyle w:val="Heading5"/>
        <w:ind w:left="1439"/>
      </w:pPr>
      <w:r>
        <w:t>Robert</w:t>
      </w:r>
      <w:r>
        <w:rPr>
          <w:spacing w:val="-7"/>
        </w:rPr>
        <w:t xml:space="preserve"> </w:t>
      </w:r>
      <w:r>
        <w:t>J.</w:t>
      </w:r>
      <w:r>
        <w:rPr>
          <w:spacing w:val="-3"/>
        </w:rPr>
        <w:t xml:space="preserve"> </w:t>
      </w:r>
      <w:r>
        <w:t>Meyers,</w:t>
      </w:r>
      <w:r>
        <w:rPr>
          <w:spacing w:val="-5"/>
        </w:rPr>
        <w:t xml:space="preserve"> </w:t>
      </w:r>
      <w:r>
        <w:rPr>
          <w:spacing w:val="-4"/>
        </w:rPr>
        <w:t>M.A.</w:t>
      </w:r>
    </w:p>
    <w:p w14:paraId="0742D6CF" w14:textId="77777777" w:rsidR="00DB6E1F" w:rsidRDefault="00F666A6">
      <w:pPr>
        <w:pStyle w:val="BodyText"/>
        <w:ind w:left="1439" w:right="5069"/>
      </w:pPr>
      <w:r>
        <w:t>Center</w:t>
      </w:r>
      <w:r>
        <w:rPr>
          <w:spacing w:val="-7"/>
        </w:rPr>
        <w:t xml:space="preserve"> </w:t>
      </w:r>
      <w:r>
        <w:t>on</w:t>
      </w:r>
      <w:r>
        <w:rPr>
          <w:spacing w:val="-6"/>
        </w:rPr>
        <w:t xml:space="preserve"> </w:t>
      </w:r>
      <w:r>
        <w:t>Alcoholism,</w:t>
      </w:r>
      <w:r>
        <w:rPr>
          <w:spacing w:val="-7"/>
        </w:rPr>
        <w:t xml:space="preserve"> </w:t>
      </w:r>
      <w:r>
        <w:t>Substance</w:t>
      </w:r>
      <w:r>
        <w:rPr>
          <w:spacing w:val="-5"/>
        </w:rPr>
        <w:t xml:space="preserve"> </w:t>
      </w:r>
      <w:r>
        <w:t>Abuse,</w:t>
      </w:r>
      <w:r>
        <w:rPr>
          <w:spacing w:val="-7"/>
        </w:rPr>
        <w:t xml:space="preserve"> </w:t>
      </w:r>
      <w:r>
        <w:t>and</w:t>
      </w:r>
      <w:r>
        <w:rPr>
          <w:spacing w:val="-6"/>
        </w:rPr>
        <w:t xml:space="preserve"> </w:t>
      </w:r>
      <w:r>
        <w:t>Addictions University of New Mexico</w:t>
      </w:r>
    </w:p>
    <w:p w14:paraId="2A378344" w14:textId="77777777" w:rsidR="00DB6E1F" w:rsidRDefault="00F666A6">
      <w:pPr>
        <w:pStyle w:val="BodyText"/>
        <w:ind w:left="1439"/>
      </w:pPr>
      <w:r>
        <w:t>Albuquerque,</w:t>
      </w:r>
      <w:r>
        <w:rPr>
          <w:spacing w:val="-6"/>
        </w:rPr>
        <w:t xml:space="preserve"> </w:t>
      </w:r>
      <w:r>
        <w:t>New</w:t>
      </w:r>
      <w:r>
        <w:rPr>
          <w:spacing w:val="-6"/>
        </w:rPr>
        <w:t xml:space="preserve"> </w:t>
      </w:r>
      <w:r>
        <w:rPr>
          <w:spacing w:val="-2"/>
        </w:rPr>
        <w:t>Mexico</w:t>
      </w:r>
    </w:p>
    <w:p w14:paraId="2EB386CB" w14:textId="77777777" w:rsidR="00DB6E1F" w:rsidRDefault="00F666A6">
      <w:pPr>
        <w:pStyle w:val="Heading5"/>
        <w:ind w:left="1439"/>
      </w:pPr>
      <w:r>
        <w:t>Maxine</w:t>
      </w:r>
      <w:r>
        <w:rPr>
          <w:spacing w:val="-6"/>
        </w:rPr>
        <w:t xml:space="preserve"> </w:t>
      </w:r>
      <w:r>
        <w:t>L.</w:t>
      </w:r>
      <w:r>
        <w:rPr>
          <w:spacing w:val="-3"/>
        </w:rPr>
        <w:t xml:space="preserve"> </w:t>
      </w:r>
      <w:r>
        <w:t>Stitzer,</w:t>
      </w:r>
      <w:r>
        <w:rPr>
          <w:spacing w:val="-2"/>
        </w:rPr>
        <w:t xml:space="preserve"> </w:t>
      </w:r>
      <w:r>
        <w:rPr>
          <w:spacing w:val="-4"/>
        </w:rPr>
        <w:t>Ph.D.</w:t>
      </w:r>
    </w:p>
    <w:p w14:paraId="3846F157" w14:textId="77777777" w:rsidR="00DB6E1F" w:rsidRDefault="00DB6E1F">
      <w:pPr>
        <w:pStyle w:val="BodyText"/>
        <w:rPr>
          <w:b/>
          <w:sz w:val="20"/>
        </w:rPr>
      </w:pPr>
    </w:p>
    <w:p w14:paraId="14A5570C" w14:textId="77777777" w:rsidR="00DB6E1F" w:rsidRDefault="00F666A6">
      <w:pPr>
        <w:pStyle w:val="BodyText"/>
        <w:spacing w:before="12"/>
        <w:rPr>
          <w:b/>
          <w:sz w:val="11"/>
        </w:rPr>
      </w:pPr>
      <w:r>
        <w:pict w14:anchorId="00181D0F">
          <v:rect id="docshape4" o:spid="_x0000_s2266" style="position:absolute;margin-left:1in;margin-top:8.5pt;width:2in;height:.7pt;z-index:-15727616;mso-wrap-distance-left:0;mso-wrap-distance-right:0;mso-position-horizontal-relative:page" fillcolor="black" stroked="f">
            <w10:wrap type="topAndBottom" anchorx="page"/>
          </v:rect>
        </w:pict>
      </w:r>
    </w:p>
    <w:p w14:paraId="260922EE" w14:textId="77777777" w:rsidR="00DB6E1F" w:rsidRDefault="00F666A6">
      <w:pPr>
        <w:spacing w:before="100"/>
        <w:ind w:left="1440" w:right="1491" w:hanging="1"/>
        <w:rPr>
          <w:sz w:val="20"/>
        </w:rPr>
      </w:pPr>
      <w:bookmarkStart w:id="12" w:name="_bookmark3"/>
      <w:bookmarkEnd w:id="12"/>
      <w:r>
        <w:rPr>
          <w:sz w:val="20"/>
          <w:vertAlign w:val="superscript"/>
        </w:rPr>
        <w:t>1</w:t>
      </w:r>
      <w:r>
        <w:rPr>
          <w:spacing w:val="-4"/>
          <w:sz w:val="20"/>
        </w:rPr>
        <w:t xml:space="preserve"> </w:t>
      </w:r>
      <w:r>
        <w:rPr>
          <w:sz w:val="20"/>
        </w:rPr>
        <w:t>The</w:t>
      </w:r>
      <w:r>
        <w:rPr>
          <w:spacing w:val="-4"/>
          <w:sz w:val="20"/>
        </w:rPr>
        <w:t xml:space="preserve"> </w:t>
      </w:r>
      <w:r>
        <w:rPr>
          <w:sz w:val="20"/>
        </w:rPr>
        <w:t>information</w:t>
      </w:r>
      <w:r>
        <w:rPr>
          <w:spacing w:val="-2"/>
          <w:sz w:val="20"/>
        </w:rPr>
        <w:t xml:space="preserve"> </w:t>
      </w:r>
      <w:r>
        <w:rPr>
          <w:sz w:val="20"/>
        </w:rPr>
        <w:t>given</w:t>
      </w:r>
      <w:r>
        <w:rPr>
          <w:spacing w:val="-2"/>
          <w:sz w:val="20"/>
        </w:rPr>
        <w:t xml:space="preserve"> </w:t>
      </w:r>
      <w:r>
        <w:rPr>
          <w:sz w:val="20"/>
        </w:rPr>
        <w:t>indicates</w:t>
      </w:r>
      <w:r>
        <w:rPr>
          <w:spacing w:val="-4"/>
          <w:sz w:val="20"/>
        </w:rPr>
        <w:t xml:space="preserve"> </w:t>
      </w:r>
      <w:r>
        <w:rPr>
          <w:sz w:val="20"/>
        </w:rPr>
        <w:t>participants’</w:t>
      </w:r>
      <w:r>
        <w:rPr>
          <w:spacing w:val="-2"/>
          <w:sz w:val="20"/>
        </w:rPr>
        <w:t xml:space="preserve"> </w:t>
      </w:r>
      <w:r>
        <w:rPr>
          <w:sz w:val="20"/>
        </w:rPr>
        <w:t>affiliations</w:t>
      </w:r>
      <w:r>
        <w:rPr>
          <w:spacing w:val="-4"/>
          <w:sz w:val="20"/>
        </w:rPr>
        <w:t xml:space="preserve"> </w:t>
      </w:r>
      <w:r>
        <w:rPr>
          <w:sz w:val="20"/>
        </w:rPr>
        <w:t>at the</w:t>
      </w:r>
      <w:r>
        <w:rPr>
          <w:spacing w:val="-4"/>
          <w:sz w:val="20"/>
        </w:rPr>
        <w:t xml:space="preserve"> </w:t>
      </w:r>
      <w:r>
        <w:rPr>
          <w:sz w:val="20"/>
        </w:rPr>
        <w:t>time</w:t>
      </w:r>
      <w:r>
        <w:rPr>
          <w:spacing w:val="-4"/>
          <w:sz w:val="20"/>
        </w:rPr>
        <w:t xml:space="preserve"> </w:t>
      </w:r>
      <w:r>
        <w:rPr>
          <w:sz w:val="20"/>
        </w:rPr>
        <w:t>of</w:t>
      </w:r>
      <w:r>
        <w:rPr>
          <w:spacing w:val="-4"/>
          <w:sz w:val="20"/>
        </w:rPr>
        <w:t xml:space="preserve"> </w:t>
      </w:r>
      <w:r>
        <w:rPr>
          <w:sz w:val="20"/>
        </w:rPr>
        <w:t>their</w:t>
      </w:r>
      <w:r>
        <w:rPr>
          <w:spacing w:val="-3"/>
          <w:sz w:val="20"/>
        </w:rPr>
        <w:t xml:space="preserve"> </w:t>
      </w:r>
      <w:r>
        <w:rPr>
          <w:sz w:val="20"/>
        </w:rPr>
        <w:t>participation</w:t>
      </w:r>
      <w:r>
        <w:rPr>
          <w:spacing w:val="-2"/>
          <w:sz w:val="20"/>
        </w:rPr>
        <w:t xml:space="preserve"> </w:t>
      </w:r>
      <w:r>
        <w:rPr>
          <w:sz w:val="20"/>
        </w:rPr>
        <w:t>in</w:t>
      </w:r>
      <w:r>
        <w:rPr>
          <w:spacing w:val="-2"/>
          <w:sz w:val="20"/>
        </w:rPr>
        <w:t xml:space="preserve"> </w:t>
      </w:r>
      <w:r>
        <w:rPr>
          <w:sz w:val="20"/>
        </w:rPr>
        <w:t>this</w:t>
      </w:r>
      <w:r>
        <w:rPr>
          <w:spacing w:val="-4"/>
          <w:sz w:val="20"/>
        </w:rPr>
        <w:t xml:space="preserve"> </w:t>
      </w:r>
      <w:r>
        <w:rPr>
          <w:sz w:val="20"/>
        </w:rPr>
        <w:t>TIP’s</w:t>
      </w:r>
      <w:r>
        <w:rPr>
          <w:spacing w:val="-4"/>
          <w:sz w:val="20"/>
        </w:rPr>
        <w:t xml:space="preserve"> </w:t>
      </w:r>
      <w:r>
        <w:rPr>
          <w:sz w:val="20"/>
        </w:rPr>
        <w:t>original development and may no longer reflect their current affiliations.</w:t>
      </w:r>
    </w:p>
    <w:p w14:paraId="478DC772" w14:textId="77777777" w:rsidR="00DB6E1F" w:rsidRDefault="00DB6E1F">
      <w:pPr>
        <w:rPr>
          <w:sz w:val="20"/>
        </w:rPr>
        <w:sectPr w:rsidR="00DB6E1F">
          <w:pgSz w:w="12240" w:h="15840"/>
          <w:pgMar w:top="960" w:right="0" w:bottom="940" w:left="0" w:header="762" w:footer="602" w:gutter="0"/>
          <w:cols w:space="720"/>
        </w:sectPr>
      </w:pPr>
    </w:p>
    <w:p w14:paraId="25294917" w14:textId="77777777" w:rsidR="00DB6E1F" w:rsidRDefault="00DB6E1F">
      <w:pPr>
        <w:pStyle w:val="BodyText"/>
        <w:rPr>
          <w:sz w:val="20"/>
        </w:rPr>
      </w:pPr>
    </w:p>
    <w:p w14:paraId="3BE5C7AE" w14:textId="77777777" w:rsidR="00DB6E1F" w:rsidRDefault="00DB6E1F">
      <w:pPr>
        <w:pStyle w:val="BodyText"/>
        <w:spacing w:before="1"/>
        <w:rPr>
          <w:sz w:val="19"/>
        </w:rPr>
      </w:pPr>
    </w:p>
    <w:p w14:paraId="792A2D42" w14:textId="77777777" w:rsidR="00DB6E1F" w:rsidRDefault="00F666A6">
      <w:pPr>
        <w:pStyle w:val="BodyText"/>
        <w:ind w:left="1439" w:right="6223"/>
      </w:pPr>
      <w:r>
        <w:t>Professor</w:t>
      </w:r>
      <w:r>
        <w:rPr>
          <w:spacing w:val="-9"/>
        </w:rPr>
        <w:t xml:space="preserve"> </w:t>
      </w:r>
      <w:r>
        <w:t>of</w:t>
      </w:r>
      <w:r>
        <w:rPr>
          <w:spacing w:val="-9"/>
        </w:rPr>
        <w:t xml:space="preserve"> </w:t>
      </w:r>
      <w:r>
        <w:t>Psychiatry</w:t>
      </w:r>
      <w:r>
        <w:rPr>
          <w:spacing w:val="-7"/>
        </w:rPr>
        <w:t xml:space="preserve"> </w:t>
      </w:r>
      <w:r>
        <w:t>and</w:t>
      </w:r>
      <w:r>
        <w:rPr>
          <w:spacing w:val="-7"/>
        </w:rPr>
        <w:t xml:space="preserve"> </w:t>
      </w:r>
      <w:r>
        <w:t>Behavioral</w:t>
      </w:r>
      <w:r>
        <w:rPr>
          <w:spacing w:val="-6"/>
        </w:rPr>
        <w:t xml:space="preserve"> </w:t>
      </w:r>
      <w:r>
        <w:t>Biology Johns Hopkins University School of Medicine Baltimore, Maryland</w:t>
      </w:r>
    </w:p>
    <w:p w14:paraId="62172F04" w14:textId="77777777" w:rsidR="00DB6E1F" w:rsidRDefault="00F666A6">
      <w:pPr>
        <w:pStyle w:val="Heading5"/>
        <w:ind w:left="1439"/>
      </w:pPr>
      <w:r>
        <w:t>Allen</w:t>
      </w:r>
      <w:r>
        <w:rPr>
          <w:spacing w:val="-6"/>
        </w:rPr>
        <w:t xml:space="preserve"> </w:t>
      </w:r>
      <w:r>
        <w:t>Zweben</w:t>
      </w:r>
      <w:r>
        <w:t>,</w:t>
      </w:r>
      <w:r>
        <w:rPr>
          <w:spacing w:val="-1"/>
        </w:rPr>
        <w:t xml:space="preserve"> </w:t>
      </w:r>
      <w:r>
        <w:rPr>
          <w:spacing w:val="-2"/>
        </w:rPr>
        <w:t>D.S.W.</w:t>
      </w:r>
    </w:p>
    <w:p w14:paraId="2E7397FA" w14:textId="77777777" w:rsidR="00DB6E1F" w:rsidRDefault="00F666A6">
      <w:pPr>
        <w:pStyle w:val="BodyText"/>
        <w:ind w:left="1439" w:right="5969"/>
      </w:pPr>
      <w:r>
        <w:t>Director and Associate Professor of Social Work Center</w:t>
      </w:r>
      <w:r>
        <w:rPr>
          <w:spacing w:val="-6"/>
        </w:rPr>
        <w:t xml:space="preserve"> </w:t>
      </w:r>
      <w:r>
        <w:t>for</w:t>
      </w:r>
      <w:r>
        <w:rPr>
          <w:spacing w:val="-6"/>
        </w:rPr>
        <w:t xml:space="preserve"> </w:t>
      </w:r>
      <w:r>
        <w:t>Addiction</w:t>
      </w:r>
      <w:r>
        <w:rPr>
          <w:spacing w:val="-7"/>
        </w:rPr>
        <w:t xml:space="preserve"> </w:t>
      </w:r>
      <w:r>
        <w:t>and</w:t>
      </w:r>
      <w:r>
        <w:rPr>
          <w:spacing w:val="-7"/>
        </w:rPr>
        <w:t xml:space="preserve"> </w:t>
      </w:r>
      <w:r>
        <w:t>Behavioral</w:t>
      </w:r>
      <w:r>
        <w:rPr>
          <w:spacing w:val="-6"/>
        </w:rPr>
        <w:t xml:space="preserve"> </w:t>
      </w:r>
      <w:r>
        <w:t>Health</w:t>
      </w:r>
      <w:r>
        <w:rPr>
          <w:spacing w:val="-8"/>
        </w:rPr>
        <w:t xml:space="preserve"> </w:t>
      </w:r>
      <w:r>
        <w:t>Research University of Wisconsin at Milwaukee</w:t>
      </w:r>
    </w:p>
    <w:p w14:paraId="239A1E66" w14:textId="77777777" w:rsidR="00DB6E1F" w:rsidRDefault="00F666A6">
      <w:pPr>
        <w:pStyle w:val="BodyText"/>
        <w:spacing w:before="1"/>
        <w:ind w:left="1439"/>
      </w:pPr>
      <w:r>
        <w:t>Milwaukee,</w:t>
      </w:r>
      <w:r>
        <w:rPr>
          <w:spacing w:val="-8"/>
        </w:rPr>
        <w:t xml:space="preserve"> </w:t>
      </w:r>
      <w:r>
        <w:rPr>
          <w:spacing w:val="-2"/>
        </w:rPr>
        <w:t>Wisconsin</w:t>
      </w:r>
    </w:p>
    <w:p w14:paraId="6A8CFAF4" w14:textId="77777777" w:rsidR="00DB6E1F" w:rsidRDefault="00F666A6">
      <w:pPr>
        <w:pStyle w:val="Heading3"/>
        <w:spacing w:before="164"/>
      </w:pPr>
      <w:bookmarkStart w:id="13" w:name="Panelists"/>
      <w:bookmarkEnd w:id="13"/>
      <w:r>
        <w:rPr>
          <w:spacing w:val="-2"/>
        </w:rPr>
        <w:t>Panelists</w:t>
      </w:r>
    </w:p>
    <w:p w14:paraId="3D8462EB" w14:textId="77777777" w:rsidR="00DB6E1F" w:rsidRDefault="00F666A6">
      <w:pPr>
        <w:pStyle w:val="Heading5"/>
        <w:spacing w:before="141"/>
      </w:pPr>
      <w:r>
        <w:t>Ray</w:t>
      </w:r>
      <w:r>
        <w:rPr>
          <w:spacing w:val="-1"/>
        </w:rPr>
        <w:t xml:space="preserve"> </w:t>
      </w:r>
      <w:r>
        <w:rPr>
          <w:spacing w:val="-5"/>
        </w:rPr>
        <w:t>Daw</w:t>
      </w:r>
    </w:p>
    <w:p w14:paraId="1AD3AA04" w14:textId="77777777" w:rsidR="00DB6E1F" w:rsidRDefault="00F666A6">
      <w:pPr>
        <w:pStyle w:val="BodyText"/>
        <w:ind w:left="1440"/>
      </w:pPr>
      <w:r>
        <w:t>Executive</w:t>
      </w:r>
      <w:r>
        <w:rPr>
          <w:spacing w:val="-5"/>
        </w:rPr>
        <w:t xml:space="preserve"> </w:t>
      </w:r>
      <w:r>
        <w:rPr>
          <w:spacing w:val="-2"/>
        </w:rPr>
        <w:t>Director</w:t>
      </w:r>
    </w:p>
    <w:p w14:paraId="452E0A5C" w14:textId="77777777" w:rsidR="00DB6E1F" w:rsidRDefault="00F666A6">
      <w:pPr>
        <w:pStyle w:val="BodyText"/>
        <w:ind w:left="1440" w:right="6821"/>
      </w:pPr>
      <w:r>
        <w:t>Northwest</w:t>
      </w:r>
      <w:r>
        <w:rPr>
          <w:spacing w:val="-6"/>
        </w:rPr>
        <w:t xml:space="preserve"> </w:t>
      </w:r>
      <w:r>
        <w:t>New</w:t>
      </w:r>
      <w:r>
        <w:rPr>
          <w:spacing w:val="-9"/>
        </w:rPr>
        <w:t xml:space="preserve"> </w:t>
      </w:r>
      <w:r>
        <w:t>Mexico</w:t>
      </w:r>
      <w:r>
        <w:rPr>
          <w:spacing w:val="-8"/>
        </w:rPr>
        <w:t xml:space="preserve"> </w:t>
      </w:r>
      <w:r>
        <w:t>Fighting</w:t>
      </w:r>
      <w:r>
        <w:rPr>
          <w:spacing w:val="-8"/>
        </w:rPr>
        <w:t xml:space="preserve"> </w:t>
      </w:r>
      <w:r>
        <w:t>Back,</w:t>
      </w:r>
      <w:r>
        <w:rPr>
          <w:spacing w:val="-7"/>
        </w:rPr>
        <w:t xml:space="preserve"> </w:t>
      </w:r>
      <w:r>
        <w:t>Inc. Gallup, New Mexico</w:t>
      </w:r>
    </w:p>
    <w:p w14:paraId="12503A06" w14:textId="77777777" w:rsidR="00DB6E1F" w:rsidRDefault="00F666A6">
      <w:pPr>
        <w:pStyle w:val="Heading5"/>
      </w:pPr>
      <w:r>
        <w:t>Jeffrey</w:t>
      </w:r>
      <w:r>
        <w:rPr>
          <w:spacing w:val="-4"/>
        </w:rPr>
        <w:t xml:space="preserve"> </w:t>
      </w:r>
      <w:r>
        <w:t>M.</w:t>
      </w:r>
      <w:r>
        <w:rPr>
          <w:spacing w:val="-5"/>
        </w:rPr>
        <w:t xml:space="preserve"> </w:t>
      </w:r>
      <w:r>
        <w:t>Georgi,</w:t>
      </w:r>
      <w:r>
        <w:rPr>
          <w:spacing w:val="-3"/>
        </w:rPr>
        <w:t xml:space="preserve"> </w:t>
      </w:r>
      <w:r>
        <w:t>M.Div.,</w:t>
      </w:r>
      <w:r>
        <w:rPr>
          <w:spacing w:val="-6"/>
        </w:rPr>
        <w:t xml:space="preserve"> </w:t>
      </w:r>
      <w:r>
        <w:t>C.S.A.C.,</w:t>
      </w:r>
      <w:r>
        <w:rPr>
          <w:spacing w:val="-6"/>
        </w:rPr>
        <w:t xml:space="preserve"> </w:t>
      </w:r>
      <w:r>
        <w:rPr>
          <w:spacing w:val="-2"/>
        </w:rPr>
        <w:t>C.G.P.</w:t>
      </w:r>
    </w:p>
    <w:p w14:paraId="2ACEC06A" w14:textId="77777777" w:rsidR="00DB6E1F" w:rsidRDefault="00F666A6">
      <w:pPr>
        <w:pStyle w:val="BodyText"/>
        <w:ind w:left="1440"/>
      </w:pPr>
      <w:r>
        <w:t>Program</w:t>
      </w:r>
      <w:r>
        <w:rPr>
          <w:spacing w:val="-3"/>
        </w:rPr>
        <w:t xml:space="preserve"> </w:t>
      </w:r>
      <w:r>
        <w:rPr>
          <w:spacing w:val="-2"/>
        </w:rPr>
        <w:t>Coordinator</w:t>
      </w:r>
    </w:p>
    <w:p w14:paraId="58B859E1" w14:textId="77777777" w:rsidR="00DB6E1F" w:rsidRDefault="00F666A6">
      <w:pPr>
        <w:pStyle w:val="BodyText"/>
        <w:ind w:left="1439" w:right="6821"/>
      </w:pPr>
      <w:r>
        <w:t>Duke</w:t>
      </w:r>
      <w:r>
        <w:rPr>
          <w:spacing w:val="-9"/>
        </w:rPr>
        <w:t xml:space="preserve"> </w:t>
      </w:r>
      <w:r>
        <w:t>Alcoholism</w:t>
      </w:r>
      <w:r>
        <w:rPr>
          <w:spacing w:val="-8"/>
        </w:rPr>
        <w:t xml:space="preserve"> </w:t>
      </w:r>
      <w:r>
        <w:t>and</w:t>
      </w:r>
      <w:r>
        <w:rPr>
          <w:spacing w:val="-9"/>
        </w:rPr>
        <w:t xml:space="preserve"> </w:t>
      </w:r>
      <w:r>
        <w:t>Addictions</w:t>
      </w:r>
      <w:r>
        <w:rPr>
          <w:spacing w:val="-11"/>
        </w:rPr>
        <w:t xml:space="preserve"> </w:t>
      </w:r>
      <w:r>
        <w:t>Program Clinical Associate</w:t>
      </w:r>
    </w:p>
    <w:p w14:paraId="335CEF7F" w14:textId="77777777" w:rsidR="00DB6E1F" w:rsidRDefault="00F666A6">
      <w:pPr>
        <w:pStyle w:val="BodyText"/>
        <w:spacing w:before="1"/>
        <w:ind w:left="1439" w:right="6223"/>
      </w:pPr>
      <w:r>
        <w:t>Department</w:t>
      </w:r>
      <w:r>
        <w:rPr>
          <w:spacing w:val="-7"/>
        </w:rPr>
        <w:t xml:space="preserve"> </w:t>
      </w:r>
      <w:r>
        <w:t>of</w:t>
      </w:r>
      <w:r>
        <w:rPr>
          <w:spacing w:val="-10"/>
        </w:rPr>
        <w:t xml:space="preserve"> </w:t>
      </w:r>
      <w:r>
        <w:t>Psychiatry</w:t>
      </w:r>
      <w:r>
        <w:rPr>
          <w:spacing w:val="-6"/>
        </w:rPr>
        <w:t xml:space="preserve"> </w:t>
      </w:r>
      <w:r>
        <w:t>and</w:t>
      </w:r>
      <w:r>
        <w:rPr>
          <w:spacing w:val="-8"/>
        </w:rPr>
        <w:t xml:space="preserve"> </w:t>
      </w:r>
      <w:r>
        <w:t>Behavioral</w:t>
      </w:r>
      <w:r>
        <w:rPr>
          <w:spacing w:val="-7"/>
        </w:rPr>
        <w:t xml:space="preserve"> </w:t>
      </w:r>
      <w:r>
        <w:t>Science Duke University Medical Center</w:t>
      </w:r>
    </w:p>
    <w:p w14:paraId="0F5C9E0D" w14:textId="77777777" w:rsidR="00DB6E1F" w:rsidRDefault="00F666A6">
      <w:pPr>
        <w:pStyle w:val="BodyText"/>
        <w:ind w:left="1439"/>
      </w:pPr>
      <w:r>
        <w:t>Durham,</w:t>
      </w:r>
      <w:r>
        <w:rPr>
          <w:spacing w:val="-5"/>
        </w:rPr>
        <w:t xml:space="preserve"> </w:t>
      </w:r>
      <w:r>
        <w:t>North</w:t>
      </w:r>
      <w:r>
        <w:rPr>
          <w:spacing w:val="-4"/>
        </w:rPr>
        <w:t xml:space="preserve"> </w:t>
      </w:r>
      <w:r>
        <w:rPr>
          <w:spacing w:val="-2"/>
        </w:rPr>
        <w:t>Carolina</w:t>
      </w:r>
    </w:p>
    <w:p w14:paraId="6F281410" w14:textId="77777777" w:rsidR="00DB6E1F" w:rsidRDefault="00F666A6">
      <w:pPr>
        <w:spacing w:before="159"/>
        <w:ind w:left="1439" w:right="8032"/>
      </w:pPr>
      <w:r>
        <w:rPr>
          <w:b/>
        </w:rPr>
        <w:t xml:space="preserve">Cheryl Grills, Ph.D. </w:t>
      </w:r>
      <w:r>
        <w:t>Department of Psychology Loyola</w:t>
      </w:r>
      <w:r>
        <w:rPr>
          <w:spacing w:val="-13"/>
        </w:rPr>
        <w:t xml:space="preserve"> </w:t>
      </w:r>
      <w:r>
        <w:t>Marymount</w:t>
      </w:r>
      <w:r>
        <w:rPr>
          <w:spacing w:val="-12"/>
        </w:rPr>
        <w:t xml:space="preserve"> </w:t>
      </w:r>
      <w:r>
        <w:t>University Los Angeles, California</w:t>
      </w:r>
    </w:p>
    <w:p w14:paraId="6F96A49E" w14:textId="77777777" w:rsidR="00DB6E1F" w:rsidRDefault="00F666A6">
      <w:pPr>
        <w:pStyle w:val="Heading5"/>
        <w:spacing w:before="161" w:line="268" w:lineRule="exact"/>
        <w:ind w:left="1439"/>
      </w:pPr>
      <w:r>
        <w:t>Rosalyn</w:t>
      </w:r>
      <w:r>
        <w:rPr>
          <w:spacing w:val="-9"/>
        </w:rPr>
        <w:t xml:space="preserve"> </w:t>
      </w:r>
      <w:r>
        <w:t>Harris-Offutt,</w:t>
      </w:r>
      <w:r>
        <w:rPr>
          <w:spacing w:val="-5"/>
        </w:rPr>
        <w:t xml:space="preserve"> </w:t>
      </w:r>
      <w:r>
        <w:t>C.R.N.A.,</w:t>
      </w:r>
      <w:r>
        <w:rPr>
          <w:spacing w:val="-8"/>
        </w:rPr>
        <w:t xml:space="preserve"> </w:t>
      </w:r>
      <w:r>
        <w:t>L.P.C.,</w:t>
      </w:r>
      <w:r>
        <w:rPr>
          <w:spacing w:val="-5"/>
        </w:rPr>
        <w:t xml:space="preserve"> </w:t>
      </w:r>
      <w:r>
        <w:rPr>
          <w:spacing w:val="-2"/>
        </w:rPr>
        <w:t>A.D.S.</w:t>
      </w:r>
    </w:p>
    <w:p w14:paraId="01363684" w14:textId="77777777" w:rsidR="00DB6E1F" w:rsidRDefault="00F666A6">
      <w:pPr>
        <w:pStyle w:val="BodyText"/>
        <w:ind w:left="1439" w:right="7429"/>
      </w:pPr>
      <w:r>
        <w:t>UNA</w:t>
      </w:r>
      <w:r>
        <w:rPr>
          <w:spacing w:val="-13"/>
        </w:rPr>
        <w:t xml:space="preserve"> </w:t>
      </w:r>
      <w:r>
        <w:t>Psychological</w:t>
      </w:r>
      <w:r>
        <w:rPr>
          <w:spacing w:val="-12"/>
        </w:rPr>
        <w:t xml:space="preserve"> </w:t>
      </w:r>
      <w:r>
        <w:t>Associates Greensboro, North Carolina</w:t>
      </w:r>
    </w:p>
    <w:p w14:paraId="17D615D6" w14:textId="77777777" w:rsidR="00DB6E1F" w:rsidRDefault="00F666A6">
      <w:pPr>
        <w:pStyle w:val="Heading5"/>
        <w:spacing w:before="160"/>
        <w:ind w:left="1439"/>
      </w:pPr>
      <w:r>
        <w:t>Don</w:t>
      </w:r>
      <w:r>
        <w:rPr>
          <w:spacing w:val="-5"/>
        </w:rPr>
        <w:t xml:space="preserve"> </w:t>
      </w:r>
      <w:r>
        <w:t>M.</w:t>
      </w:r>
      <w:r>
        <w:rPr>
          <w:spacing w:val="-3"/>
        </w:rPr>
        <w:t xml:space="preserve"> </w:t>
      </w:r>
      <w:r>
        <w:t>Hashimoto,</w:t>
      </w:r>
      <w:r>
        <w:rPr>
          <w:spacing w:val="-3"/>
        </w:rPr>
        <w:t xml:space="preserve"> </w:t>
      </w:r>
      <w:r>
        <w:rPr>
          <w:spacing w:val="-2"/>
        </w:rPr>
        <w:t>Psy.D.</w:t>
      </w:r>
    </w:p>
    <w:p w14:paraId="0B1068D8" w14:textId="77777777" w:rsidR="00DB6E1F" w:rsidRDefault="00F666A6">
      <w:pPr>
        <w:pStyle w:val="BodyText"/>
        <w:spacing w:before="1"/>
        <w:ind w:left="1439"/>
      </w:pPr>
      <w:r>
        <w:t>Clinical</w:t>
      </w:r>
      <w:r>
        <w:rPr>
          <w:spacing w:val="-6"/>
        </w:rPr>
        <w:t xml:space="preserve"> </w:t>
      </w:r>
      <w:r>
        <w:rPr>
          <w:spacing w:val="-2"/>
        </w:rPr>
        <w:t>Director</w:t>
      </w:r>
    </w:p>
    <w:p w14:paraId="0F92EAFE" w14:textId="77777777" w:rsidR="00DB6E1F" w:rsidRDefault="00F666A6">
      <w:pPr>
        <w:pStyle w:val="BodyText"/>
        <w:ind w:left="1439" w:right="7808"/>
      </w:pPr>
      <w:r>
        <w:t>Ohana</w:t>
      </w:r>
      <w:r>
        <w:rPr>
          <w:spacing w:val="-12"/>
        </w:rPr>
        <w:t xml:space="preserve"> </w:t>
      </w:r>
      <w:r>
        <w:t>Counseling</w:t>
      </w:r>
      <w:r>
        <w:rPr>
          <w:spacing w:val="-12"/>
        </w:rPr>
        <w:t xml:space="preserve"> </w:t>
      </w:r>
      <w:r>
        <w:t>Services,</w:t>
      </w:r>
      <w:r>
        <w:rPr>
          <w:spacing w:val="-13"/>
        </w:rPr>
        <w:t xml:space="preserve"> </w:t>
      </w:r>
      <w:r>
        <w:t>Inc. Hilo, Hawaii</w:t>
      </w:r>
    </w:p>
    <w:p w14:paraId="124DDD2B" w14:textId="77777777" w:rsidR="00DB6E1F" w:rsidRDefault="00F666A6">
      <w:pPr>
        <w:spacing w:before="159"/>
        <w:ind w:left="1439" w:right="8390"/>
      </w:pPr>
      <w:r>
        <w:rPr>
          <w:b/>
        </w:rPr>
        <w:t xml:space="preserve">Dwight McCall, Ph.D. </w:t>
      </w:r>
      <w:r>
        <w:t>Evaluation Manager Substance</w:t>
      </w:r>
      <w:r>
        <w:rPr>
          <w:spacing w:val="-13"/>
        </w:rPr>
        <w:t xml:space="preserve"> </w:t>
      </w:r>
      <w:r>
        <w:t>Abuse</w:t>
      </w:r>
      <w:r>
        <w:rPr>
          <w:spacing w:val="-12"/>
        </w:rPr>
        <w:t xml:space="preserve"> </w:t>
      </w:r>
      <w:r>
        <w:t>Services</w:t>
      </w:r>
    </w:p>
    <w:p w14:paraId="502A7002" w14:textId="77777777" w:rsidR="00DB6E1F" w:rsidRDefault="00F666A6">
      <w:pPr>
        <w:pStyle w:val="BodyText"/>
        <w:ind w:left="1439" w:right="2579"/>
      </w:pPr>
      <w:r>
        <w:t>Virginia</w:t>
      </w:r>
      <w:r>
        <w:rPr>
          <w:spacing w:val="-3"/>
        </w:rPr>
        <w:t xml:space="preserve"> </w:t>
      </w:r>
      <w:r>
        <w:t>Department</w:t>
      </w:r>
      <w:r>
        <w:rPr>
          <w:spacing w:val="-5"/>
        </w:rPr>
        <w:t xml:space="preserve"> </w:t>
      </w:r>
      <w:r>
        <w:t>of</w:t>
      </w:r>
      <w:r>
        <w:rPr>
          <w:spacing w:val="-5"/>
        </w:rPr>
        <w:t xml:space="preserve"> </w:t>
      </w:r>
      <w:r>
        <w:t>Mental</w:t>
      </w:r>
      <w:r>
        <w:rPr>
          <w:spacing w:val="-3"/>
        </w:rPr>
        <w:t xml:space="preserve"> </w:t>
      </w:r>
      <w:r>
        <w:t>Health,</w:t>
      </w:r>
      <w:r>
        <w:rPr>
          <w:spacing w:val="-5"/>
        </w:rPr>
        <w:t xml:space="preserve"> </w:t>
      </w:r>
      <w:r>
        <w:t>Mental</w:t>
      </w:r>
      <w:r>
        <w:rPr>
          <w:spacing w:val="-3"/>
        </w:rPr>
        <w:t xml:space="preserve"> </w:t>
      </w:r>
      <w:r>
        <w:t>Retardation</w:t>
      </w:r>
      <w:r>
        <w:rPr>
          <w:spacing w:val="-4"/>
        </w:rPr>
        <w:t xml:space="preserve"> </w:t>
      </w:r>
      <w:r>
        <w:t>and</w:t>
      </w:r>
      <w:r>
        <w:rPr>
          <w:spacing w:val="-4"/>
        </w:rPr>
        <w:t xml:space="preserve"> </w:t>
      </w:r>
      <w:r>
        <w:t>Substance</w:t>
      </w:r>
      <w:r>
        <w:rPr>
          <w:spacing w:val="-2"/>
        </w:rPr>
        <w:t xml:space="preserve"> </w:t>
      </w:r>
      <w:r>
        <w:t>Abuse</w:t>
      </w:r>
      <w:r>
        <w:rPr>
          <w:spacing w:val="-5"/>
        </w:rPr>
        <w:t xml:space="preserve"> </w:t>
      </w:r>
      <w:r>
        <w:t>Services Richmond, Virginia</w:t>
      </w:r>
    </w:p>
    <w:p w14:paraId="0717D376" w14:textId="77777777" w:rsidR="00DB6E1F" w:rsidRDefault="00F666A6">
      <w:pPr>
        <w:spacing w:before="159"/>
        <w:ind w:left="1439" w:right="7808"/>
      </w:pPr>
      <w:r>
        <w:rPr>
          <w:b/>
        </w:rPr>
        <w:t>Jeanne</w:t>
      </w:r>
      <w:r>
        <w:rPr>
          <w:b/>
          <w:spacing w:val="-13"/>
        </w:rPr>
        <w:t xml:space="preserve"> </w:t>
      </w:r>
      <w:r>
        <w:rPr>
          <w:b/>
        </w:rPr>
        <w:t>Obert,</w:t>
      </w:r>
      <w:r>
        <w:rPr>
          <w:b/>
          <w:spacing w:val="-12"/>
        </w:rPr>
        <w:t xml:space="preserve"> </w:t>
      </w:r>
      <w:r>
        <w:rPr>
          <w:b/>
        </w:rPr>
        <w:t>M.F.C.C.,</w:t>
      </w:r>
      <w:r>
        <w:rPr>
          <w:b/>
          <w:spacing w:val="-12"/>
        </w:rPr>
        <w:t xml:space="preserve"> </w:t>
      </w:r>
      <w:r>
        <w:rPr>
          <w:b/>
        </w:rPr>
        <w:t xml:space="preserve">M.S.M. </w:t>
      </w:r>
      <w:r>
        <w:t>Director of Clin</w:t>
      </w:r>
      <w:r>
        <w:t>ical Services Matrix Center</w:t>
      </w:r>
    </w:p>
    <w:p w14:paraId="3817FFAE" w14:textId="77777777" w:rsidR="00DB6E1F" w:rsidRDefault="00F666A6">
      <w:pPr>
        <w:pStyle w:val="BodyText"/>
        <w:ind w:left="1439"/>
      </w:pPr>
      <w:r>
        <w:t>Los</w:t>
      </w:r>
      <w:r>
        <w:rPr>
          <w:spacing w:val="-4"/>
        </w:rPr>
        <w:t xml:space="preserve"> </w:t>
      </w:r>
      <w:r>
        <w:t>Angeles,</w:t>
      </w:r>
      <w:r>
        <w:rPr>
          <w:spacing w:val="-3"/>
        </w:rPr>
        <w:t xml:space="preserve"> </w:t>
      </w:r>
      <w:r>
        <w:rPr>
          <w:spacing w:val="-2"/>
        </w:rPr>
        <w:t>California</w:t>
      </w:r>
    </w:p>
    <w:p w14:paraId="0BB87754" w14:textId="77777777" w:rsidR="00DB6E1F" w:rsidRDefault="00F666A6">
      <w:pPr>
        <w:pStyle w:val="Heading5"/>
        <w:spacing w:before="162"/>
        <w:ind w:left="1439"/>
      </w:pPr>
      <w:r>
        <w:t>Carole</w:t>
      </w:r>
      <w:r>
        <w:rPr>
          <w:spacing w:val="-6"/>
        </w:rPr>
        <w:t xml:space="preserve"> </w:t>
      </w:r>
      <w:r>
        <w:t>Janis</w:t>
      </w:r>
      <w:r>
        <w:rPr>
          <w:spacing w:val="-4"/>
        </w:rPr>
        <w:t xml:space="preserve"> </w:t>
      </w:r>
      <w:r>
        <w:t>Otero,</w:t>
      </w:r>
      <w:r>
        <w:rPr>
          <w:spacing w:val="-4"/>
        </w:rPr>
        <w:t xml:space="preserve"> </w:t>
      </w:r>
      <w:r>
        <w:t>M.A.,</w:t>
      </w:r>
      <w:r>
        <w:rPr>
          <w:spacing w:val="-3"/>
        </w:rPr>
        <w:t xml:space="preserve"> </w:t>
      </w:r>
      <w:r>
        <w:rPr>
          <w:spacing w:val="-2"/>
        </w:rPr>
        <w:t>L.P.C.C.</w:t>
      </w:r>
    </w:p>
    <w:p w14:paraId="3EC67F13" w14:textId="77777777" w:rsidR="00DB6E1F" w:rsidRDefault="00F666A6">
      <w:pPr>
        <w:pStyle w:val="BodyText"/>
        <w:ind w:left="1439"/>
      </w:pPr>
      <w:r>
        <w:rPr>
          <w:spacing w:val="-2"/>
        </w:rPr>
        <w:t>Director</w:t>
      </w:r>
    </w:p>
    <w:p w14:paraId="6005C029" w14:textId="77777777" w:rsidR="00DB6E1F" w:rsidRDefault="00DB6E1F">
      <w:pPr>
        <w:sectPr w:rsidR="00DB6E1F">
          <w:pgSz w:w="12240" w:h="15840"/>
          <w:pgMar w:top="960" w:right="0" w:bottom="940" w:left="0" w:header="762" w:footer="602" w:gutter="0"/>
          <w:cols w:space="720"/>
        </w:sectPr>
      </w:pPr>
    </w:p>
    <w:p w14:paraId="57A9D0F1" w14:textId="77777777" w:rsidR="00DB6E1F" w:rsidRDefault="00DB6E1F">
      <w:pPr>
        <w:pStyle w:val="BodyText"/>
        <w:rPr>
          <w:sz w:val="20"/>
        </w:rPr>
      </w:pPr>
    </w:p>
    <w:p w14:paraId="28C1848B" w14:textId="77777777" w:rsidR="00DB6E1F" w:rsidRDefault="00DB6E1F">
      <w:pPr>
        <w:pStyle w:val="BodyText"/>
        <w:spacing w:before="1"/>
        <w:rPr>
          <w:sz w:val="19"/>
        </w:rPr>
      </w:pPr>
    </w:p>
    <w:p w14:paraId="23069DEB" w14:textId="77777777" w:rsidR="00DB6E1F" w:rsidRDefault="00F666A6">
      <w:pPr>
        <w:pStyle w:val="BodyText"/>
        <w:ind w:left="1440" w:right="5969"/>
      </w:pPr>
      <w:r>
        <w:t>Albuquerque</w:t>
      </w:r>
      <w:r>
        <w:rPr>
          <w:spacing w:val="-12"/>
        </w:rPr>
        <w:t xml:space="preserve"> </w:t>
      </w:r>
      <w:r>
        <w:t>Metropolitan</w:t>
      </w:r>
      <w:r>
        <w:rPr>
          <w:spacing w:val="-13"/>
        </w:rPr>
        <w:t xml:space="preserve"> </w:t>
      </w:r>
      <w:r>
        <w:t>Central</w:t>
      </w:r>
      <w:r>
        <w:rPr>
          <w:spacing w:val="-11"/>
        </w:rPr>
        <w:t xml:space="preserve"> </w:t>
      </w:r>
      <w:r>
        <w:t>Intake Albuquerque, New Mexico</w:t>
      </w:r>
    </w:p>
    <w:p w14:paraId="4FE4F68B" w14:textId="77777777" w:rsidR="00DB6E1F" w:rsidRDefault="00F666A6">
      <w:pPr>
        <w:spacing w:before="159"/>
        <w:ind w:left="1440" w:right="7472"/>
      </w:pPr>
      <w:r>
        <w:rPr>
          <w:b/>
        </w:rPr>
        <w:t>Roger A. Roffman, D.S.W.</w:t>
      </w:r>
      <w:r>
        <w:rPr>
          <w:b/>
          <w:spacing w:val="40"/>
        </w:rPr>
        <w:t xml:space="preserve"> </w:t>
      </w:r>
      <w:r>
        <w:t>Innovative</w:t>
      </w:r>
      <w:r>
        <w:rPr>
          <w:spacing w:val="-12"/>
        </w:rPr>
        <w:t xml:space="preserve"> </w:t>
      </w:r>
      <w:r>
        <w:t>Programs</w:t>
      </w:r>
      <w:r>
        <w:rPr>
          <w:spacing w:val="-11"/>
        </w:rPr>
        <w:t xml:space="preserve"> </w:t>
      </w:r>
      <w:r>
        <w:t>Research</w:t>
      </w:r>
      <w:r>
        <w:rPr>
          <w:spacing w:val="-12"/>
        </w:rPr>
        <w:t xml:space="preserve"> </w:t>
      </w:r>
      <w:r>
        <w:t>Group School of Social Work</w:t>
      </w:r>
    </w:p>
    <w:p w14:paraId="1DD318DA" w14:textId="77777777" w:rsidR="00DB6E1F" w:rsidRDefault="00F666A6">
      <w:pPr>
        <w:pStyle w:val="BodyText"/>
        <w:spacing w:before="1"/>
        <w:ind w:left="1440"/>
      </w:pPr>
      <w:r>
        <w:t>Seattle,</w:t>
      </w:r>
      <w:r>
        <w:rPr>
          <w:spacing w:val="-5"/>
        </w:rPr>
        <w:t xml:space="preserve"> </w:t>
      </w:r>
      <w:r>
        <w:rPr>
          <w:spacing w:val="-2"/>
        </w:rPr>
        <w:t>Washington</w:t>
      </w:r>
    </w:p>
    <w:p w14:paraId="466D1B51" w14:textId="77777777" w:rsidR="00DB6E1F" w:rsidRDefault="00F666A6">
      <w:pPr>
        <w:pStyle w:val="Heading5"/>
        <w:spacing w:before="161"/>
      </w:pPr>
      <w:r>
        <w:t>Linda</w:t>
      </w:r>
      <w:r>
        <w:rPr>
          <w:spacing w:val="-6"/>
        </w:rPr>
        <w:t xml:space="preserve"> </w:t>
      </w:r>
      <w:r>
        <w:t>C.</w:t>
      </w:r>
      <w:r>
        <w:rPr>
          <w:spacing w:val="-4"/>
        </w:rPr>
        <w:t xml:space="preserve"> </w:t>
      </w:r>
      <w:r>
        <w:t>Sobell,</w:t>
      </w:r>
      <w:r>
        <w:rPr>
          <w:spacing w:val="-1"/>
        </w:rPr>
        <w:t xml:space="preserve"> </w:t>
      </w:r>
      <w:r>
        <w:rPr>
          <w:spacing w:val="-4"/>
        </w:rPr>
        <w:t>Ph.D.</w:t>
      </w:r>
    </w:p>
    <w:p w14:paraId="62BDCE23" w14:textId="77777777" w:rsidR="00DB6E1F" w:rsidRDefault="00F666A6">
      <w:pPr>
        <w:pStyle w:val="BodyText"/>
        <w:spacing w:line="268" w:lineRule="exact"/>
        <w:ind w:left="1440"/>
      </w:pPr>
      <w:r>
        <w:rPr>
          <w:spacing w:val="-2"/>
        </w:rPr>
        <w:t>Professor</w:t>
      </w:r>
    </w:p>
    <w:p w14:paraId="2699FB25" w14:textId="77777777" w:rsidR="00DB6E1F" w:rsidRDefault="00F666A6">
      <w:pPr>
        <w:pStyle w:val="BodyText"/>
        <w:ind w:left="1440" w:right="8032"/>
      </w:pPr>
      <w:r>
        <w:t>NOVA</w:t>
      </w:r>
      <w:r>
        <w:rPr>
          <w:spacing w:val="-13"/>
        </w:rPr>
        <w:t xml:space="preserve"> </w:t>
      </w:r>
      <w:r>
        <w:t>Southeastern</w:t>
      </w:r>
      <w:r>
        <w:rPr>
          <w:spacing w:val="-12"/>
        </w:rPr>
        <w:t xml:space="preserve"> </w:t>
      </w:r>
      <w:r>
        <w:t>University Fort Lauderdale, Florida</w:t>
      </w:r>
    </w:p>
    <w:p w14:paraId="7C447987" w14:textId="77777777" w:rsidR="00DB6E1F" w:rsidRDefault="00F666A6">
      <w:pPr>
        <w:pStyle w:val="Heading2"/>
        <w:spacing w:before="164"/>
      </w:pPr>
      <w:bookmarkStart w:id="14" w:name="Field_Reviewers,_Resource_Panel,_and_Edi"/>
      <w:bookmarkEnd w:id="14"/>
      <w:r>
        <w:t>Field</w:t>
      </w:r>
      <w:r>
        <w:rPr>
          <w:spacing w:val="-4"/>
        </w:rPr>
        <w:t xml:space="preserve"> </w:t>
      </w:r>
      <w:r>
        <w:t>Reviewers,</w:t>
      </w:r>
      <w:r>
        <w:rPr>
          <w:spacing w:val="-4"/>
        </w:rPr>
        <w:t xml:space="preserve"> </w:t>
      </w:r>
      <w:r>
        <w:t>Resource</w:t>
      </w:r>
      <w:r>
        <w:rPr>
          <w:spacing w:val="-1"/>
        </w:rPr>
        <w:t xml:space="preserve"> </w:t>
      </w:r>
      <w:r>
        <w:t>Panel,</w:t>
      </w:r>
      <w:r>
        <w:rPr>
          <w:spacing w:val="-4"/>
        </w:rPr>
        <w:t xml:space="preserve"> </w:t>
      </w:r>
      <w:r>
        <w:t>and</w:t>
      </w:r>
      <w:r>
        <w:rPr>
          <w:spacing w:val="-1"/>
        </w:rPr>
        <w:t xml:space="preserve"> </w:t>
      </w:r>
      <w:r>
        <w:t>Editorial</w:t>
      </w:r>
      <w:r>
        <w:rPr>
          <w:spacing w:val="-2"/>
        </w:rPr>
        <w:t xml:space="preserve"> </w:t>
      </w:r>
      <w:r>
        <w:t>Advisory</w:t>
      </w:r>
      <w:r>
        <w:rPr>
          <w:spacing w:val="-2"/>
        </w:rPr>
        <w:t xml:space="preserve"> Board</w:t>
      </w:r>
    </w:p>
    <w:p w14:paraId="69F72DFF" w14:textId="77777777" w:rsidR="00DB6E1F" w:rsidRDefault="00F666A6">
      <w:pPr>
        <w:pStyle w:val="BodyText"/>
        <w:spacing w:before="150"/>
        <w:ind w:left="1439" w:right="1555"/>
      </w:pPr>
      <w:r>
        <w:t>Field</w:t>
      </w:r>
      <w:r>
        <w:rPr>
          <w:spacing w:val="-3"/>
        </w:rPr>
        <w:t xml:space="preserve"> </w:t>
      </w:r>
      <w:r>
        <w:t>reviewers</w:t>
      </w:r>
      <w:r>
        <w:rPr>
          <w:spacing w:val="-2"/>
        </w:rPr>
        <w:t xml:space="preserve"> </w:t>
      </w:r>
      <w:r>
        <w:t>represent</w:t>
      </w:r>
      <w:r>
        <w:rPr>
          <w:spacing w:val="-4"/>
        </w:rPr>
        <w:t xml:space="preserve"> </w:t>
      </w:r>
      <w:r>
        <w:t>each</w:t>
      </w:r>
      <w:r>
        <w:rPr>
          <w:spacing w:val="-3"/>
        </w:rPr>
        <w:t xml:space="preserve"> </w:t>
      </w:r>
      <w:r>
        <w:t>TIP’s</w:t>
      </w:r>
      <w:r>
        <w:rPr>
          <w:spacing w:val="-2"/>
        </w:rPr>
        <w:t xml:space="preserve"> </w:t>
      </w:r>
      <w:r>
        <w:t>intended</w:t>
      </w:r>
      <w:r>
        <w:rPr>
          <w:spacing w:val="-5"/>
        </w:rPr>
        <w:t xml:space="preserve"> </w:t>
      </w:r>
      <w:r>
        <w:t>target</w:t>
      </w:r>
      <w:r>
        <w:rPr>
          <w:spacing w:val="-4"/>
        </w:rPr>
        <w:t xml:space="preserve"> </w:t>
      </w:r>
      <w:r>
        <w:t>audien</w:t>
      </w:r>
      <w:r>
        <w:t>ces.</w:t>
      </w:r>
      <w:r>
        <w:rPr>
          <w:spacing w:val="-2"/>
        </w:rPr>
        <w:t xml:space="preserve"> </w:t>
      </w:r>
      <w:r>
        <w:t>They</w:t>
      </w:r>
      <w:r>
        <w:rPr>
          <w:spacing w:val="-3"/>
        </w:rPr>
        <w:t xml:space="preserve"> </w:t>
      </w:r>
      <w:r>
        <w:t>work</w:t>
      </w:r>
      <w:r>
        <w:rPr>
          <w:spacing w:val="-1"/>
        </w:rPr>
        <w:t xml:space="preserve"> </w:t>
      </w:r>
      <w:r>
        <w:t>in</w:t>
      </w:r>
      <w:r>
        <w:rPr>
          <w:spacing w:val="-3"/>
        </w:rPr>
        <w:t xml:space="preserve"> </w:t>
      </w:r>
      <w:r>
        <w:t>addiction,</w:t>
      </w:r>
      <w:r>
        <w:rPr>
          <w:spacing w:val="-4"/>
        </w:rPr>
        <w:t xml:space="preserve"> </w:t>
      </w:r>
      <w:r>
        <w:t>mental</w:t>
      </w:r>
      <w:r>
        <w:rPr>
          <w:spacing w:val="-2"/>
        </w:rPr>
        <w:t xml:space="preserve"> </w:t>
      </w:r>
      <w:r>
        <w:t xml:space="preserve">health, primary care, and adjacent fields. Their direct front-line experience related to the TIP’s topic allows them to provide valuable input on a TIP’s relevance, utility, accuracy, and accessibility. Additional advisors to this TIP include members of a </w:t>
      </w:r>
      <w:r>
        <w:t>resource panel and an editorial advisory board.</w:t>
      </w:r>
    </w:p>
    <w:p w14:paraId="4AAC7683" w14:textId="77777777" w:rsidR="00DB6E1F" w:rsidRDefault="00F666A6">
      <w:pPr>
        <w:pStyle w:val="Heading3"/>
        <w:spacing w:before="164"/>
      </w:pPr>
      <w:bookmarkStart w:id="15" w:name="Field_Reviewers"/>
      <w:bookmarkEnd w:id="15"/>
      <w:r>
        <w:t>Field</w:t>
      </w:r>
      <w:r>
        <w:rPr>
          <w:spacing w:val="-6"/>
        </w:rPr>
        <w:t xml:space="preserve"> </w:t>
      </w:r>
      <w:r>
        <w:rPr>
          <w:spacing w:val="-2"/>
        </w:rPr>
        <w:t>Reviewers</w:t>
      </w:r>
    </w:p>
    <w:p w14:paraId="554B687D" w14:textId="77777777" w:rsidR="00DB6E1F" w:rsidRDefault="00F666A6">
      <w:pPr>
        <w:spacing w:before="141"/>
        <w:ind w:left="1440" w:right="7429"/>
      </w:pPr>
      <w:r>
        <w:rPr>
          <w:b/>
        </w:rPr>
        <w:t>Noel</w:t>
      </w:r>
      <w:r>
        <w:rPr>
          <w:b/>
          <w:spacing w:val="-13"/>
        </w:rPr>
        <w:t xml:space="preserve"> </w:t>
      </w:r>
      <w:r>
        <w:rPr>
          <w:b/>
        </w:rPr>
        <w:t>Brankenhoff,</w:t>
      </w:r>
      <w:r>
        <w:rPr>
          <w:b/>
          <w:spacing w:val="-12"/>
        </w:rPr>
        <w:t xml:space="preserve"> </w:t>
      </w:r>
      <w:r>
        <w:rPr>
          <w:b/>
        </w:rPr>
        <w:t>L.M.F.T.,</w:t>
      </w:r>
      <w:r>
        <w:rPr>
          <w:b/>
          <w:spacing w:val="-11"/>
        </w:rPr>
        <w:t xml:space="preserve"> </w:t>
      </w:r>
      <w:r>
        <w:rPr>
          <w:b/>
        </w:rPr>
        <w:t xml:space="preserve">L.C.D.P. </w:t>
      </w:r>
      <w:r>
        <w:t>Child and Family Services Middletown, Rhode Island</w:t>
      </w:r>
    </w:p>
    <w:p w14:paraId="48F468A3" w14:textId="77777777" w:rsidR="00DB6E1F" w:rsidRDefault="00F666A6">
      <w:pPr>
        <w:pStyle w:val="Heading5"/>
        <w:spacing w:before="161"/>
      </w:pPr>
      <w:r>
        <w:t>Rodolfo</w:t>
      </w:r>
      <w:r>
        <w:rPr>
          <w:spacing w:val="-5"/>
        </w:rPr>
        <w:t xml:space="preserve"> </w:t>
      </w:r>
      <w:r>
        <w:t>Briseno,</w:t>
      </w:r>
      <w:r>
        <w:rPr>
          <w:spacing w:val="-2"/>
        </w:rPr>
        <w:t xml:space="preserve"> L.C.D.C.</w:t>
      </w:r>
    </w:p>
    <w:p w14:paraId="635F1E43" w14:textId="77777777" w:rsidR="00DB6E1F" w:rsidRDefault="00F666A6">
      <w:pPr>
        <w:pStyle w:val="BodyText"/>
        <w:ind w:left="1440" w:right="2579"/>
      </w:pPr>
      <w:r>
        <w:t>Coordinator</w:t>
      </w:r>
      <w:r>
        <w:rPr>
          <w:spacing w:val="-5"/>
        </w:rPr>
        <w:t xml:space="preserve"> </w:t>
      </w:r>
      <w:r>
        <w:t>for</w:t>
      </w:r>
      <w:r>
        <w:rPr>
          <w:spacing w:val="-6"/>
        </w:rPr>
        <w:t xml:space="preserve"> </w:t>
      </w:r>
      <w:r>
        <w:t>Cultural/Special</w:t>
      </w:r>
      <w:r>
        <w:rPr>
          <w:spacing w:val="-7"/>
        </w:rPr>
        <w:t xml:space="preserve"> </w:t>
      </w:r>
      <w:r>
        <w:t>Populations</w:t>
      </w:r>
      <w:r>
        <w:rPr>
          <w:spacing w:val="-5"/>
        </w:rPr>
        <w:t xml:space="preserve"> </w:t>
      </w:r>
      <w:r>
        <w:t>and</w:t>
      </w:r>
      <w:r>
        <w:rPr>
          <w:spacing w:val="-6"/>
        </w:rPr>
        <w:t xml:space="preserve"> </w:t>
      </w:r>
      <w:r>
        <w:t>Youth</w:t>
      </w:r>
      <w:r>
        <w:rPr>
          <w:spacing w:val="-6"/>
        </w:rPr>
        <w:t xml:space="preserve"> </w:t>
      </w:r>
      <w:r>
        <w:t>Treatment</w:t>
      </w:r>
      <w:r>
        <w:rPr>
          <w:spacing w:val="-5"/>
        </w:rPr>
        <w:t xml:space="preserve"> </w:t>
      </w:r>
      <w:r>
        <w:t>Program</w:t>
      </w:r>
      <w:r>
        <w:rPr>
          <w:spacing w:val="-4"/>
        </w:rPr>
        <w:t xml:space="preserve"> </w:t>
      </w:r>
      <w:r>
        <w:t>Servi</w:t>
      </w:r>
      <w:r>
        <w:t>ces Program Initiatives Texas Commission on Alcohol and Drug Abuse</w:t>
      </w:r>
    </w:p>
    <w:p w14:paraId="5318E381" w14:textId="77777777" w:rsidR="00DB6E1F" w:rsidRDefault="00F666A6">
      <w:pPr>
        <w:pStyle w:val="BodyText"/>
        <w:spacing w:before="1"/>
        <w:ind w:left="1440"/>
      </w:pPr>
      <w:r>
        <w:t>Austin,</w:t>
      </w:r>
      <w:r>
        <w:rPr>
          <w:spacing w:val="-6"/>
        </w:rPr>
        <w:t xml:space="preserve"> </w:t>
      </w:r>
      <w:r>
        <w:rPr>
          <w:spacing w:val="-2"/>
        </w:rPr>
        <w:t>Texas</w:t>
      </w:r>
    </w:p>
    <w:p w14:paraId="7CDCACAB" w14:textId="77777777" w:rsidR="00DB6E1F" w:rsidRDefault="00F666A6">
      <w:pPr>
        <w:spacing w:before="158"/>
        <w:ind w:left="1440" w:right="7960"/>
      </w:pPr>
      <w:r>
        <w:rPr>
          <w:b/>
        </w:rPr>
        <w:t>Richard</w:t>
      </w:r>
      <w:r>
        <w:rPr>
          <w:b/>
          <w:spacing w:val="-9"/>
        </w:rPr>
        <w:t xml:space="preserve"> </w:t>
      </w:r>
      <w:r>
        <w:rPr>
          <w:b/>
        </w:rPr>
        <w:t>L.</w:t>
      </w:r>
      <w:r>
        <w:rPr>
          <w:b/>
          <w:spacing w:val="-9"/>
        </w:rPr>
        <w:t xml:space="preserve"> </w:t>
      </w:r>
      <w:r>
        <w:rPr>
          <w:b/>
        </w:rPr>
        <w:t>Brown,</w:t>
      </w:r>
      <w:r>
        <w:rPr>
          <w:b/>
          <w:spacing w:val="-7"/>
        </w:rPr>
        <w:t xml:space="preserve"> </w:t>
      </w:r>
      <w:r>
        <w:rPr>
          <w:b/>
        </w:rPr>
        <w:t>M.D.,</w:t>
      </w:r>
      <w:r>
        <w:rPr>
          <w:b/>
          <w:spacing w:val="-7"/>
        </w:rPr>
        <w:t xml:space="preserve"> </w:t>
      </w:r>
      <w:r>
        <w:rPr>
          <w:b/>
        </w:rPr>
        <w:t xml:space="preserve">M.P.H. </w:t>
      </w:r>
      <w:r>
        <w:t>Associate Professor Department</w:t>
      </w:r>
      <w:r>
        <w:rPr>
          <w:spacing w:val="-13"/>
        </w:rPr>
        <w:t xml:space="preserve"> </w:t>
      </w:r>
      <w:r>
        <w:t>of</w:t>
      </w:r>
      <w:r>
        <w:rPr>
          <w:spacing w:val="-12"/>
        </w:rPr>
        <w:t xml:space="preserve"> </w:t>
      </w:r>
      <w:r>
        <w:t>Family</w:t>
      </w:r>
      <w:r>
        <w:rPr>
          <w:spacing w:val="-13"/>
        </w:rPr>
        <w:t xml:space="preserve"> </w:t>
      </w:r>
      <w:r>
        <w:t>Medicine</w:t>
      </w:r>
    </w:p>
    <w:p w14:paraId="38D91009" w14:textId="77777777" w:rsidR="00DB6E1F" w:rsidRDefault="00F666A6">
      <w:pPr>
        <w:pStyle w:val="BodyText"/>
        <w:spacing w:before="1"/>
        <w:ind w:left="1440" w:right="6821"/>
      </w:pPr>
      <w:r>
        <w:t>University</w:t>
      </w:r>
      <w:r>
        <w:rPr>
          <w:spacing w:val="-7"/>
        </w:rPr>
        <w:t xml:space="preserve"> </w:t>
      </w:r>
      <w:r>
        <w:t>of</w:t>
      </w:r>
      <w:r>
        <w:rPr>
          <w:spacing w:val="-9"/>
        </w:rPr>
        <w:t xml:space="preserve"> </w:t>
      </w:r>
      <w:r>
        <w:t>Wisconsin</w:t>
      </w:r>
      <w:r>
        <w:rPr>
          <w:spacing w:val="-7"/>
        </w:rPr>
        <w:t xml:space="preserve"> </w:t>
      </w:r>
      <w:r>
        <w:t>School</w:t>
      </w:r>
      <w:r>
        <w:rPr>
          <w:spacing w:val="-9"/>
        </w:rPr>
        <w:t xml:space="preserve"> </w:t>
      </w:r>
      <w:r>
        <w:t>of</w:t>
      </w:r>
      <w:r>
        <w:rPr>
          <w:spacing w:val="-9"/>
        </w:rPr>
        <w:t xml:space="preserve"> </w:t>
      </w:r>
      <w:r>
        <w:t>Medicine Madison, Wisconsin</w:t>
      </w:r>
    </w:p>
    <w:p w14:paraId="7A49031B" w14:textId="77777777" w:rsidR="00DB6E1F" w:rsidRDefault="00F666A6">
      <w:pPr>
        <w:pStyle w:val="Heading5"/>
      </w:pPr>
      <w:r>
        <w:t>Michael</w:t>
      </w:r>
      <w:r>
        <w:rPr>
          <w:spacing w:val="-5"/>
        </w:rPr>
        <w:t xml:space="preserve"> </w:t>
      </w:r>
      <w:r>
        <w:rPr>
          <w:spacing w:val="-2"/>
        </w:rPr>
        <w:t>Burke</w:t>
      </w:r>
    </w:p>
    <w:p w14:paraId="5E091AD8" w14:textId="77777777" w:rsidR="00DB6E1F" w:rsidRDefault="00F666A6">
      <w:pPr>
        <w:pStyle w:val="BodyText"/>
        <w:ind w:left="1440" w:right="7429"/>
      </w:pPr>
      <w:r>
        <w:t>Senior</w:t>
      </w:r>
      <w:r>
        <w:rPr>
          <w:spacing w:val="-13"/>
        </w:rPr>
        <w:t xml:space="preserve"> </w:t>
      </w:r>
      <w:r>
        <w:t>Substance</w:t>
      </w:r>
      <w:r>
        <w:rPr>
          <w:spacing w:val="-11"/>
        </w:rPr>
        <w:t xml:space="preserve"> </w:t>
      </w:r>
      <w:r>
        <w:t>Abuse</w:t>
      </w:r>
      <w:r>
        <w:rPr>
          <w:spacing w:val="-12"/>
        </w:rPr>
        <w:t xml:space="preserve"> </w:t>
      </w:r>
      <w:r>
        <w:t>Specialist Student Health</w:t>
      </w:r>
    </w:p>
    <w:p w14:paraId="1E57AA03" w14:textId="77777777" w:rsidR="00DB6E1F" w:rsidRDefault="00F666A6">
      <w:pPr>
        <w:pStyle w:val="BodyText"/>
        <w:ind w:left="1440"/>
      </w:pPr>
      <w:r>
        <w:t>Rutgers</w:t>
      </w:r>
      <w:r>
        <w:rPr>
          <w:spacing w:val="-3"/>
        </w:rPr>
        <w:t xml:space="preserve"> </w:t>
      </w:r>
      <w:r>
        <w:rPr>
          <w:spacing w:val="-2"/>
        </w:rPr>
        <w:t>University</w:t>
      </w:r>
    </w:p>
    <w:p w14:paraId="2421EAE4" w14:textId="77777777" w:rsidR="00DB6E1F" w:rsidRDefault="00F666A6">
      <w:pPr>
        <w:pStyle w:val="BodyText"/>
        <w:ind w:left="1440"/>
      </w:pPr>
      <w:r>
        <w:t>New</w:t>
      </w:r>
      <w:r>
        <w:rPr>
          <w:spacing w:val="-4"/>
        </w:rPr>
        <w:t xml:space="preserve"> </w:t>
      </w:r>
      <w:r>
        <w:t>Brunswick,</w:t>
      </w:r>
      <w:r>
        <w:rPr>
          <w:spacing w:val="-3"/>
        </w:rPr>
        <w:t xml:space="preserve"> </w:t>
      </w:r>
      <w:r>
        <w:t>New</w:t>
      </w:r>
      <w:r>
        <w:rPr>
          <w:spacing w:val="-3"/>
        </w:rPr>
        <w:t xml:space="preserve"> </w:t>
      </w:r>
      <w:r>
        <w:rPr>
          <w:spacing w:val="-2"/>
        </w:rPr>
        <w:t>Jersey</w:t>
      </w:r>
    </w:p>
    <w:p w14:paraId="443CF057" w14:textId="77777777" w:rsidR="00DB6E1F" w:rsidRDefault="00F666A6">
      <w:pPr>
        <w:pStyle w:val="BodyText"/>
        <w:spacing w:before="159"/>
        <w:ind w:left="1440" w:right="8390"/>
      </w:pPr>
      <w:r>
        <w:rPr>
          <w:b/>
        </w:rPr>
        <w:t xml:space="preserve">Kate Carey, Ph.D. </w:t>
      </w:r>
      <w:r>
        <w:t>Associate Professor Department</w:t>
      </w:r>
      <w:r>
        <w:rPr>
          <w:spacing w:val="-13"/>
        </w:rPr>
        <w:t xml:space="preserve"> </w:t>
      </w:r>
      <w:r>
        <w:t>of</w:t>
      </w:r>
      <w:r>
        <w:rPr>
          <w:spacing w:val="-12"/>
        </w:rPr>
        <w:t xml:space="preserve"> </w:t>
      </w:r>
      <w:r>
        <w:t>Psychology Syracuse University Syracuse, New York</w:t>
      </w:r>
    </w:p>
    <w:p w14:paraId="70DD0654" w14:textId="77777777" w:rsidR="00DB6E1F" w:rsidRDefault="00F666A6">
      <w:pPr>
        <w:pStyle w:val="Heading5"/>
        <w:spacing w:before="162" w:line="268" w:lineRule="exact"/>
      </w:pPr>
      <w:r>
        <w:t>Anthony</w:t>
      </w:r>
      <w:r>
        <w:rPr>
          <w:spacing w:val="-6"/>
        </w:rPr>
        <w:t xml:space="preserve"> </w:t>
      </w:r>
      <w:r>
        <w:t>J.</w:t>
      </w:r>
      <w:r>
        <w:rPr>
          <w:spacing w:val="-5"/>
        </w:rPr>
        <w:t xml:space="preserve"> </w:t>
      </w:r>
      <w:r>
        <w:t>Cellucci,</w:t>
      </w:r>
      <w:r>
        <w:rPr>
          <w:spacing w:val="-6"/>
        </w:rPr>
        <w:t xml:space="preserve"> </w:t>
      </w:r>
      <w:r>
        <w:rPr>
          <w:spacing w:val="-4"/>
        </w:rPr>
        <w:t>Ph.D.</w:t>
      </w:r>
    </w:p>
    <w:p w14:paraId="6A48C4B7" w14:textId="77777777" w:rsidR="00DB6E1F" w:rsidRDefault="00F666A6">
      <w:pPr>
        <w:pStyle w:val="BodyText"/>
        <w:spacing w:line="268" w:lineRule="exact"/>
        <w:ind w:left="1440"/>
      </w:pPr>
      <w:r>
        <w:t>Director</w:t>
      </w:r>
      <w:r>
        <w:rPr>
          <w:spacing w:val="-9"/>
        </w:rPr>
        <w:t xml:space="preserve"> </w:t>
      </w:r>
      <w:r>
        <w:t>of</w:t>
      </w:r>
      <w:r>
        <w:rPr>
          <w:spacing w:val="-5"/>
        </w:rPr>
        <w:t xml:space="preserve"> </w:t>
      </w:r>
      <w:r>
        <w:t>Idaho</w:t>
      </w:r>
      <w:r>
        <w:rPr>
          <w:spacing w:val="-3"/>
        </w:rPr>
        <w:t xml:space="preserve"> </w:t>
      </w:r>
      <w:r>
        <w:t>State</w:t>
      </w:r>
      <w:r>
        <w:rPr>
          <w:spacing w:val="-5"/>
        </w:rPr>
        <w:t xml:space="preserve"> </w:t>
      </w:r>
      <w:r>
        <w:t>University</w:t>
      </w:r>
      <w:r>
        <w:rPr>
          <w:spacing w:val="-3"/>
        </w:rPr>
        <w:t xml:space="preserve"> </w:t>
      </w:r>
      <w:r>
        <w:rPr>
          <w:spacing w:val="-2"/>
        </w:rPr>
        <w:t>Clini</w:t>
      </w:r>
      <w:r>
        <w:rPr>
          <w:spacing w:val="-2"/>
        </w:rPr>
        <w:t>c</w:t>
      </w:r>
    </w:p>
    <w:p w14:paraId="04AF9898" w14:textId="77777777" w:rsidR="00DB6E1F" w:rsidRDefault="00DB6E1F">
      <w:pPr>
        <w:spacing w:line="268" w:lineRule="exact"/>
        <w:sectPr w:rsidR="00DB6E1F">
          <w:pgSz w:w="12240" w:h="15840"/>
          <w:pgMar w:top="960" w:right="0" w:bottom="940" w:left="0" w:header="762" w:footer="602" w:gutter="0"/>
          <w:cols w:space="720"/>
        </w:sectPr>
      </w:pPr>
    </w:p>
    <w:p w14:paraId="5F7DB936" w14:textId="77777777" w:rsidR="00DB6E1F" w:rsidRDefault="00DB6E1F">
      <w:pPr>
        <w:pStyle w:val="BodyText"/>
        <w:rPr>
          <w:sz w:val="20"/>
        </w:rPr>
      </w:pPr>
    </w:p>
    <w:p w14:paraId="75373D15" w14:textId="77777777" w:rsidR="00DB6E1F" w:rsidRDefault="00DB6E1F">
      <w:pPr>
        <w:pStyle w:val="BodyText"/>
        <w:spacing w:before="1"/>
        <w:rPr>
          <w:sz w:val="19"/>
        </w:rPr>
      </w:pPr>
    </w:p>
    <w:p w14:paraId="632F411E" w14:textId="77777777" w:rsidR="00DB6E1F" w:rsidRDefault="00F666A6">
      <w:pPr>
        <w:pStyle w:val="BodyText"/>
        <w:ind w:left="1439" w:right="7429"/>
      </w:pPr>
      <w:r>
        <w:t>Associate</w:t>
      </w:r>
      <w:r>
        <w:rPr>
          <w:spacing w:val="-12"/>
        </w:rPr>
        <w:t xml:space="preserve"> </w:t>
      </w:r>
      <w:r>
        <w:t>Professor</w:t>
      </w:r>
      <w:r>
        <w:rPr>
          <w:spacing w:val="-12"/>
        </w:rPr>
        <w:t xml:space="preserve"> </w:t>
      </w:r>
      <w:r>
        <w:t>of</w:t>
      </w:r>
      <w:r>
        <w:rPr>
          <w:spacing w:val="-12"/>
        </w:rPr>
        <w:t xml:space="preserve"> </w:t>
      </w:r>
      <w:r>
        <w:t>Psychology Idaho State University</w:t>
      </w:r>
    </w:p>
    <w:p w14:paraId="26E20AB8" w14:textId="77777777" w:rsidR="00DB6E1F" w:rsidRDefault="00F666A6">
      <w:pPr>
        <w:pStyle w:val="BodyText"/>
        <w:ind w:left="1439"/>
      </w:pPr>
      <w:r>
        <w:t>Pocatello,</w:t>
      </w:r>
      <w:r>
        <w:rPr>
          <w:spacing w:val="-5"/>
        </w:rPr>
        <w:t xml:space="preserve"> </w:t>
      </w:r>
      <w:r>
        <w:rPr>
          <w:spacing w:val="-4"/>
        </w:rPr>
        <w:t>Idaho</w:t>
      </w:r>
    </w:p>
    <w:p w14:paraId="48C2011F" w14:textId="77777777" w:rsidR="00DB6E1F" w:rsidRDefault="00F666A6">
      <w:pPr>
        <w:pStyle w:val="Heading5"/>
        <w:ind w:left="1439"/>
      </w:pPr>
      <w:r>
        <w:t>Gerard</w:t>
      </w:r>
      <w:r>
        <w:rPr>
          <w:spacing w:val="-9"/>
        </w:rPr>
        <w:t xml:space="preserve"> </w:t>
      </w:r>
      <w:r>
        <w:t>Connors,</w:t>
      </w:r>
      <w:r>
        <w:rPr>
          <w:spacing w:val="-3"/>
        </w:rPr>
        <w:t xml:space="preserve"> </w:t>
      </w:r>
      <w:r>
        <w:rPr>
          <w:spacing w:val="-4"/>
        </w:rPr>
        <w:t>Ph.D.</w:t>
      </w:r>
    </w:p>
    <w:p w14:paraId="55B1D8A7" w14:textId="77777777" w:rsidR="00DB6E1F" w:rsidRDefault="00F666A6">
      <w:pPr>
        <w:pStyle w:val="BodyText"/>
        <w:ind w:left="1439" w:right="7429"/>
      </w:pPr>
      <w:r>
        <w:t>Research</w:t>
      </w:r>
      <w:r>
        <w:rPr>
          <w:spacing w:val="-12"/>
        </w:rPr>
        <w:t xml:space="preserve"> </w:t>
      </w:r>
      <w:r>
        <w:t>Institute</w:t>
      </w:r>
      <w:r>
        <w:rPr>
          <w:spacing w:val="-10"/>
        </w:rPr>
        <w:t xml:space="preserve"> </w:t>
      </w:r>
      <w:r>
        <w:t>on</w:t>
      </w:r>
      <w:r>
        <w:rPr>
          <w:spacing w:val="-13"/>
        </w:rPr>
        <w:t xml:space="preserve"> </w:t>
      </w:r>
      <w:r>
        <w:t>Alcoholism Buffalo, New York</w:t>
      </w:r>
    </w:p>
    <w:p w14:paraId="22D16911" w14:textId="77777777" w:rsidR="00DB6E1F" w:rsidRDefault="00F666A6">
      <w:pPr>
        <w:pStyle w:val="Heading5"/>
        <w:spacing w:before="162"/>
        <w:ind w:left="1439"/>
      </w:pPr>
      <w:r>
        <w:t>John</w:t>
      </w:r>
      <w:r>
        <w:rPr>
          <w:spacing w:val="-8"/>
        </w:rPr>
        <w:t xml:space="preserve"> </w:t>
      </w:r>
      <w:r>
        <w:t>Cunningham,</w:t>
      </w:r>
      <w:r>
        <w:rPr>
          <w:spacing w:val="-5"/>
        </w:rPr>
        <w:t xml:space="preserve"> </w:t>
      </w:r>
      <w:r>
        <w:rPr>
          <w:spacing w:val="-4"/>
        </w:rPr>
        <w:t>Ph.D.</w:t>
      </w:r>
    </w:p>
    <w:p w14:paraId="56B88851" w14:textId="77777777" w:rsidR="00DB6E1F" w:rsidRDefault="00F666A6">
      <w:pPr>
        <w:pStyle w:val="BodyText"/>
        <w:spacing w:line="268" w:lineRule="exact"/>
        <w:ind w:left="1439"/>
      </w:pPr>
      <w:r>
        <w:rPr>
          <w:spacing w:val="-2"/>
        </w:rPr>
        <w:t>Scientist</w:t>
      </w:r>
    </w:p>
    <w:p w14:paraId="00526EC9" w14:textId="77777777" w:rsidR="00DB6E1F" w:rsidRDefault="00F666A6">
      <w:pPr>
        <w:pStyle w:val="BodyText"/>
        <w:ind w:left="1439" w:right="7244"/>
        <w:jc w:val="both"/>
      </w:pPr>
      <w:r>
        <w:t>Addiction</w:t>
      </w:r>
      <w:r>
        <w:rPr>
          <w:spacing w:val="-11"/>
        </w:rPr>
        <w:t xml:space="preserve"> </w:t>
      </w:r>
      <w:r>
        <w:t>Research</w:t>
      </w:r>
      <w:r>
        <w:rPr>
          <w:spacing w:val="-11"/>
        </w:rPr>
        <w:t xml:space="preserve"> </w:t>
      </w:r>
      <w:r>
        <w:t>Foundation</w:t>
      </w:r>
      <w:r>
        <w:rPr>
          <w:spacing w:val="-13"/>
        </w:rPr>
        <w:t xml:space="preserve"> </w:t>
      </w:r>
      <w:r>
        <w:t>Division Centre</w:t>
      </w:r>
      <w:r>
        <w:rPr>
          <w:spacing w:val="-4"/>
        </w:rPr>
        <w:t xml:space="preserve"> </w:t>
      </w:r>
      <w:r>
        <w:t>for</w:t>
      </w:r>
      <w:r>
        <w:rPr>
          <w:spacing w:val="-4"/>
        </w:rPr>
        <w:t xml:space="preserve"> </w:t>
      </w:r>
      <w:r>
        <w:t>Addiction</w:t>
      </w:r>
      <w:r>
        <w:rPr>
          <w:spacing w:val="-5"/>
        </w:rPr>
        <w:t xml:space="preserve"> </w:t>
      </w:r>
      <w:r>
        <w:t>and</w:t>
      </w:r>
      <w:r>
        <w:rPr>
          <w:spacing w:val="-7"/>
        </w:rPr>
        <w:t xml:space="preserve"> </w:t>
      </w:r>
      <w:r>
        <w:t>Mental</w:t>
      </w:r>
      <w:r>
        <w:rPr>
          <w:spacing w:val="-4"/>
        </w:rPr>
        <w:t xml:space="preserve"> </w:t>
      </w:r>
      <w:r>
        <w:t>Health Toronto, Ontario</w:t>
      </w:r>
    </w:p>
    <w:p w14:paraId="7570C2F3" w14:textId="77777777" w:rsidR="00DB6E1F" w:rsidRDefault="00F666A6">
      <w:pPr>
        <w:pStyle w:val="Heading5"/>
        <w:spacing w:before="160"/>
        <w:ind w:left="1439"/>
      </w:pPr>
      <w:r>
        <w:t>Janie</w:t>
      </w:r>
      <w:r>
        <w:rPr>
          <w:spacing w:val="-5"/>
        </w:rPr>
        <w:t xml:space="preserve"> </w:t>
      </w:r>
      <w:r>
        <w:t>Dargan,</w:t>
      </w:r>
      <w:r>
        <w:rPr>
          <w:spacing w:val="-3"/>
        </w:rPr>
        <w:t xml:space="preserve"> </w:t>
      </w:r>
      <w:r>
        <w:rPr>
          <w:spacing w:val="-2"/>
        </w:rPr>
        <w:t>M.S.W.</w:t>
      </w:r>
    </w:p>
    <w:p w14:paraId="01F3CB62" w14:textId="77777777" w:rsidR="00DB6E1F" w:rsidRDefault="00F666A6">
      <w:pPr>
        <w:pStyle w:val="BodyText"/>
        <w:ind w:left="1439"/>
      </w:pPr>
      <w:r>
        <w:t>Senior</w:t>
      </w:r>
      <w:r>
        <w:rPr>
          <w:spacing w:val="-5"/>
        </w:rPr>
        <w:t xml:space="preserve"> </w:t>
      </w:r>
      <w:r>
        <w:t>Policy</w:t>
      </w:r>
      <w:r>
        <w:rPr>
          <w:spacing w:val="-1"/>
        </w:rPr>
        <w:t xml:space="preserve"> </w:t>
      </w:r>
      <w:r>
        <w:rPr>
          <w:spacing w:val="-2"/>
        </w:rPr>
        <w:t>Analyst</w:t>
      </w:r>
    </w:p>
    <w:p w14:paraId="00CE2E12" w14:textId="77777777" w:rsidR="00DB6E1F" w:rsidRDefault="00F666A6">
      <w:pPr>
        <w:pStyle w:val="BodyText"/>
        <w:spacing w:before="1"/>
        <w:ind w:left="1439" w:right="4074"/>
      </w:pPr>
      <w:r>
        <w:t>Office</w:t>
      </w:r>
      <w:r>
        <w:rPr>
          <w:spacing w:val="-4"/>
        </w:rPr>
        <w:t xml:space="preserve"> </w:t>
      </w:r>
      <w:r>
        <w:t>of</w:t>
      </w:r>
      <w:r>
        <w:rPr>
          <w:spacing w:val="-3"/>
        </w:rPr>
        <w:t xml:space="preserve"> </w:t>
      </w:r>
      <w:r>
        <w:t>National</w:t>
      </w:r>
      <w:r>
        <w:rPr>
          <w:spacing w:val="-5"/>
        </w:rPr>
        <w:t xml:space="preserve"> </w:t>
      </w:r>
      <w:r>
        <w:t>Drug</w:t>
      </w:r>
      <w:r>
        <w:rPr>
          <w:spacing w:val="-3"/>
        </w:rPr>
        <w:t xml:space="preserve"> </w:t>
      </w:r>
      <w:r>
        <w:t>Control</w:t>
      </w:r>
      <w:r>
        <w:rPr>
          <w:spacing w:val="-5"/>
        </w:rPr>
        <w:t xml:space="preserve"> </w:t>
      </w:r>
      <w:r>
        <w:t>Policy/Executive</w:t>
      </w:r>
      <w:r>
        <w:rPr>
          <w:spacing w:val="-3"/>
        </w:rPr>
        <w:t xml:space="preserve"> </w:t>
      </w:r>
      <w:r>
        <w:t>Office</w:t>
      </w:r>
      <w:r>
        <w:rPr>
          <w:spacing w:val="-4"/>
        </w:rPr>
        <w:t xml:space="preserve"> </w:t>
      </w:r>
      <w:r>
        <w:t>of</w:t>
      </w:r>
      <w:r>
        <w:rPr>
          <w:spacing w:val="-5"/>
        </w:rPr>
        <w:t xml:space="preserve"> </w:t>
      </w:r>
      <w:r>
        <w:t>the</w:t>
      </w:r>
      <w:r>
        <w:rPr>
          <w:spacing w:val="-4"/>
        </w:rPr>
        <w:t xml:space="preserve"> </w:t>
      </w:r>
      <w:r>
        <w:t>President Washington, D.C.</w:t>
      </w:r>
    </w:p>
    <w:p w14:paraId="00CA1640" w14:textId="77777777" w:rsidR="00DB6E1F" w:rsidRDefault="00F666A6">
      <w:pPr>
        <w:pStyle w:val="Heading5"/>
        <w:spacing w:before="158"/>
        <w:ind w:left="1439"/>
        <w:jc w:val="both"/>
      </w:pPr>
      <w:r>
        <w:t>George</w:t>
      </w:r>
      <w:r>
        <w:rPr>
          <w:spacing w:val="-5"/>
        </w:rPr>
        <w:t xml:space="preserve"> </w:t>
      </w:r>
      <w:r>
        <w:t>De</w:t>
      </w:r>
      <w:r>
        <w:rPr>
          <w:spacing w:val="-6"/>
        </w:rPr>
        <w:t xml:space="preserve"> </w:t>
      </w:r>
      <w:r>
        <w:t>Leon,</w:t>
      </w:r>
      <w:r>
        <w:rPr>
          <w:spacing w:val="-1"/>
        </w:rPr>
        <w:t xml:space="preserve"> </w:t>
      </w:r>
      <w:r>
        <w:rPr>
          <w:spacing w:val="-4"/>
        </w:rPr>
        <w:t>Ph.D.</w:t>
      </w:r>
    </w:p>
    <w:p w14:paraId="63C45814" w14:textId="77777777" w:rsidR="00DB6E1F" w:rsidRDefault="00F666A6">
      <w:pPr>
        <w:pStyle w:val="BodyText"/>
        <w:spacing w:before="1"/>
        <w:ind w:left="1439" w:right="6763"/>
      </w:pPr>
      <w:r>
        <w:t>Center</w:t>
      </w:r>
      <w:r>
        <w:rPr>
          <w:spacing w:val="-9"/>
        </w:rPr>
        <w:t xml:space="preserve"> </w:t>
      </w:r>
      <w:r>
        <w:t>for</w:t>
      </w:r>
      <w:r>
        <w:rPr>
          <w:spacing w:val="-11"/>
        </w:rPr>
        <w:t xml:space="preserve"> </w:t>
      </w:r>
      <w:r>
        <w:t>Therapeutic</w:t>
      </w:r>
      <w:r>
        <w:rPr>
          <w:spacing w:val="-9"/>
        </w:rPr>
        <w:t xml:space="preserve"> </w:t>
      </w:r>
      <w:r>
        <w:t>Community</w:t>
      </w:r>
      <w:r>
        <w:rPr>
          <w:spacing w:val="-8"/>
        </w:rPr>
        <w:t xml:space="preserve"> </w:t>
      </w:r>
      <w:r>
        <w:t>Res</w:t>
      </w:r>
      <w:r>
        <w:t>earch New York, New York</w:t>
      </w:r>
    </w:p>
    <w:p w14:paraId="7E73E53D" w14:textId="77777777" w:rsidR="00DB6E1F" w:rsidRDefault="00F666A6">
      <w:pPr>
        <w:pStyle w:val="Heading5"/>
        <w:spacing w:before="158"/>
        <w:ind w:left="1439"/>
      </w:pPr>
      <w:r>
        <w:t>Nereida</w:t>
      </w:r>
      <w:r>
        <w:rPr>
          <w:spacing w:val="-8"/>
        </w:rPr>
        <w:t xml:space="preserve"> </w:t>
      </w:r>
      <w:r>
        <w:t>Diaz-Rodriguez,</w:t>
      </w:r>
      <w:r>
        <w:rPr>
          <w:spacing w:val="-6"/>
        </w:rPr>
        <w:t xml:space="preserve"> </w:t>
      </w:r>
      <w:r>
        <w:t>L.L.M.,</w:t>
      </w:r>
      <w:r>
        <w:rPr>
          <w:spacing w:val="-6"/>
        </w:rPr>
        <w:t xml:space="preserve"> </w:t>
      </w:r>
      <w:r>
        <w:rPr>
          <w:spacing w:val="-4"/>
        </w:rPr>
        <w:t>J.D.</w:t>
      </w:r>
    </w:p>
    <w:p w14:paraId="3F2E4FBE" w14:textId="77777777" w:rsidR="00DB6E1F" w:rsidRDefault="00F666A6">
      <w:pPr>
        <w:pStyle w:val="BodyText"/>
        <w:spacing w:before="1"/>
        <w:ind w:left="1439"/>
      </w:pPr>
      <w:r>
        <w:t>Project</w:t>
      </w:r>
      <w:r>
        <w:rPr>
          <w:spacing w:val="-4"/>
        </w:rPr>
        <w:t xml:space="preserve"> </w:t>
      </w:r>
      <w:r>
        <w:rPr>
          <w:spacing w:val="-2"/>
        </w:rPr>
        <w:t>Director</w:t>
      </w:r>
    </w:p>
    <w:p w14:paraId="6EB60C27" w14:textId="77777777" w:rsidR="00DB6E1F" w:rsidRDefault="00F666A6">
      <w:pPr>
        <w:pStyle w:val="BodyText"/>
        <w:ind w:left="1439" w:right="5069"/>
      </w:pPr>
      <w:r>
        <w:t>Director</w:t>
      </w:r>
      <w:r>
        <w:rPr>
          <w:spacing w:val="-6"/>
        </w:rPr>
        <w:t xml:space="preserve"> </w:t>
      </w:r>
      <w:r>
        <w:t>to</w:t>
      </w:r>
      <w:r>
        <w:rPr>
          <w:spacing w:val="-5"/>
        </w:rPr>
        <w:t xml:space="preserve"> </w:t>
      </w:r>
      <w:r>
        <w:t>the</w:t>
      </w:r>
      <w:r>
        <w:rPr>
          <w:spacing w:val="-6"/>
        </w:rPr>
        <w:t xml:space="preserve"> </w:t>
      </w:r>
      <w:r>
        <w:t>Master</w:t>
      </w:r>
      <w:r>
        <w:rPr>
          <w:spacing w:val="-4"/>
        </w:rPr>
        <w:t xml:space="preserve"> </w:t>
      </w:r>
      <w:r>
        <w:t>in</w:t>
      </w:r>
      <w:r>
        <w:rPr>
          <w:spacing w:val="-5"/>
        </w:rPr>
        <w:t xml:space="preserve"> </w:t>
      </w:r>
      <w:r>
        <w:t>Health</w:t>
      </w:r>
      <w:r>
        <w:rPr>
          <w:spacing w:val="-5"/>
        </w:rPr>
        <w:t xml:space="preserve"> </w:t>
      </w:r>
      <w:r>
        <w:t>Science</w:t>
      </w:r>
      <w:r>
        <w:rPr>
          <w:spacing w:val="-4"/>
        </w:rPr>
        <w:t xml:space="preserve"> </w:t>
      </w:r>
      <w:r>
        <w:t>in</w:t>
      </w:r>
      <w:r>
        <w:rPr>
          <w:spacing w:val="-2"/>
        </w:rPr>
        <w:t xml:space="preserve"> </w:t>
      </w:r>
      <w:r>
        <w:t>Substance</w:t>
      </w:r>
      <w:r>
        <w:rPr>
          <w:spacing w:val="-6"/>
        </w:rPr>
        <w:t xml:space="preserve"> </w:t>
      </w:r>
      <w:r>
        <w:t>Abuse Centro de Entudion on Adiccion (Altos Salud Mental)</w:t>
      </w:r>
    </w:p>
    <w:p w14:paraId="58FD3618" w14:textId="77777777" w:rsidR="00DB6E1F" w:rsidRDefault="00F666A6">
      <w:pPr>
        <w:pStyle w:val="BodyText"/>
        <w:ind w:left="1440" w:right="7429"/>
      </w:pPr>
      <w:r>
        <w:t>Edif. Hosp. Regional de Bayamon Santa</w:t>
      </w:r>
      <w:r>
        <w:rPr>
          <w:spacing w:val="-9"/>
        </w:rPr>
        <w:t xml:space="preserve"> </w:t>
      </w:r>
      <w:r>
        <w:t>Juanita,</w:t>
      </w:r>
      <w:r>
        <w:rPr>
          <w:spacing w:val="-9"/>
        </w:rPr>
        <w:t xml:space="preserve"> </w:t>
      </w:r>
      <w:r>
        <w:t>Bayamon,</w:t>
      </w:r>
      <w:r>
        <w:rPr>
          <w:spacing w:val="-11"/>
        </w:rPr>
        <w:t xml:space="preserve"> </w:t>
      </w:r>
      <w:r>
        <w:t>Puerto</w:t>
      </w:r>
      <w:r>
        <w:rPr>
          <w:spacing w:val="-10"/>
        </w:rPr>
        <w:t xml:space="preserve"> </w:t>
      </w:r>
      <w:r>
        <w:t>Rico</w:t>
      </w:r>
    </w:p>
    <w:p w14:paraId="05110F5D" w14:textId="77777777" w:rsidR="00DB6E1F" w:rsidRDefault="00F666A6">
      <w:pPr>
        <w:spacing w:before="159"/>
        <w:ind w:left="1440" w:right="8948"/>
      </w:pPr>
      <w:r>
        <w:rPr>
          <w:b/>
        </w:rPr>
        <w:t xml:space="preserve">Thomas Diklich </w:t>
      </w:r>
      <w:r>
        <w:t>Portsmouth CSR Portsmouth,</w:t>
      </w:r>
      <w:r>
        <w:rPr>
          <w:spacing w:val="-13"/>
        </w:rPr>
        <w:t xml:space="preserve"> </w:t>
      </w:r>
      <w:r>
        <w:t>Virginia</w:t>
      </w:r>
    </w:p>
    <w:p w14:paraId="7A8711B0" w14:textId="77777777" w:rsidR="00DB6E1F" w:rsidRDefault="00F666A6">
      <w:pPr>
        <w:pStyle w:val="Heading5"/>
        <w:spacing w:before="161"/>
        <w:jc w:val="both"/>
      </w:pPr>
      <w:r>
        <w:t>Chris</w:t>
      </w:r>
      <w:r>
        <w:rPr>
          <w:spacing w:val="-4"/>
        </w:rPr>
        <w:t xml:space="preserve"> </w:t>
      </w:r>
      <w:r>
        <w:t>Dunn,</w:t>
      </w:r>
      <w:r>
        <w:rPr>
          <w:spacing w:val="-4"/>
        </w:rPr>
        <w:t xml:space="preserve"> </w:t>
      </w:r>
      <w:r>
        <w:t>Ph.D.,</w:t>
      </w:r>
      <w:r>
        <w:rPr>
          <w:spacing w:val="-4"/>
        </w:rPr>
        <w:t xml:space="preserve"> </w:t>
      </w:r>
      <w:r>
        <w:t>M.A.C.,</w:t>
      </w:r>
      <w:r>
        <w:rPr>
          <w:spacing w:val="-6"/>
        </w:rPr>
        <w:t xml:space="preserve"> </w:t>
      </w:r>
      <w:r>
        <w:rPr>
          <w:spacing w:val="-2"/>
        </w:rPr>
        <w:t>C.D.C.</w:t>
      </w:r>
    </w:p>
    <w:p w14:paraId="2ABE81E7" w14:textId="77777777" w:rsidR="00DB6E1F" w:rsidRDefault="00F666A6">
      <w:pPr>
        <w:pStyle w:val="BodyText"/>
        <w:ind w:left="1440"/>
      </w:pPr>
      <w:r>
        <w:rPr>
          <w:spacing w:val="-2"/>
        </w:rPr>
        <w:t>Psychologist</w:t>
      </w:r>
    </w:p>
    <w:p w14:paraId="698A4339" w14:textId="77777777" w:rsidR="00DB6E1F" w:rsidRDefault="00F666A6">
      <w:pPr>
        <w:pStyle w:val="BodyText"/>
        <w:spacing w:before="3" w:line="237" w:lineRule="auto"/>
        <w:ind w:left="1440" w:right="7429"/>
      </w:pPr>
      <w:r>
        <w:t>Psychiatry</w:t>
      </w:r>
      <w:r>
        <w:rPr>
          <w:spacing w:val="-11"/>
        </w:rPr>
        <w:t xml:space="preserve"> </w:t>
      </w:r>
      <w:r>
        <w:t>and</w:t>
      </w:r>
      <w:r>
        <w:rPr>
          <w:spacing w:val="-11"/>
        </w:rPr>
        <w:t xml:space="preserve"> </w:t>
      </w:r>
      <w:r>
        <w:t>Behavioral</w:t>
      </w:r>
      <w:r>
        <w:rPr>
          <w:spacing w:val="-13"/>
        </w:rPr>
        <w:t xml:space="preserve"> </w:t>
      </w:r>
      <w:r>
        <w:t>Science University of Washington</w:t>
      </w:r>
    </w:p>
    <w:p w14:paraId="7841C668" w14:textId="77777777" w:rsidR="00DB6E1F" w:rsidRDefault="00F666A6">
      <w:pPr>
        <w:pStyle w:val="BodyText"/>
        <w:spacing w:before="1"/>
        <w:ind w:left="1440"/>
      </w:pPr>
      <w:r>
        <w:t>Seattle,</w:t>
      </w:r>
      <w:r>
        <w:rPr>
          <w:spacing w:val="-5"/>
        </w:rPr>
        <w:t xml:space="preserve"> </w:t>
      </w:r>
      <w:r>
        <w:rPr>
          <w:spacing w:val="-2"/>
        </w:rPr>
        <w:t>Washington</w:t>
      </w:r>
    </w:p>
    <w:p w14:paraId="0E6588C8" w14:textId="77777777" w:rsidR="00DB6E1F" w:rsidRDefault="00F666A6">
      <w:pPr>
        <w:spacing w:before="161"/>
        <w:ind w:left="1440" w:right="8072"/>
      </w:pPr>
      <w:r>
        <w:rPr>
          <w:b/>
        </w:rPr>
        <w:t xml:space="preserve">Madeline Dupree, L.P.C. </w:t>
      </w:r>
      <w:r>
        <w:t>Harrisonburg-Rockingham</w:t>
      </w:r>
      <w:r>
        <w:rPr>
          <w:spacing w:val="-13"/>
        </w:rPr>
        <w:t xml:space="preserve"> </w:t>
      </w:r>
      <w:r>
        <w:t>CSB Harrisonburg, Virginia</w:t>
      </w:r>
    </w:p>
    <w:p w14:paraId="683D2404" w14:textId="77777777" w:rsidR="00DB6E1F" w:rsidRDefault="00F666A6">
      <w:pPr>
        <w:pStyle w:val="Heading5"/>
      </w:pPr>
      <w:r>
        <w:t>Gary</w:t>
      </w:r>
      <w:r>
        <w:rPr>
          <w:spacing w:val="-6"/>
        </w:rPr>
        <w:t xml:space="preserve"> </w:t>
      </w:r>
      <w:r>
        <w:t>L.</w:t>
      </w:r>
      <w:r>
        <w:rPr>
          <w:spacing w:val="-3"/>
        </w:rPr>
        <w:t xml:space="preserve"> </w:t>
      </w:r>
      <w:r>
        <w:t>Fisher,</w:t>
      </w:r>
      <w:r>
        <w:rPr>
          <w:spacing w:val="-1"/>
        </w:rPr>
        <w:t xml:space="preserve"> </w:t>
      </w:r>
      <w:r>
        <w:rPr>
          <w:spacing w:val="-4"/>
        </w:rPr>
        <w:t>Ph.D.</w:t>
      </w:r>
    </w:p>
    <w:p w14:paraId="0C9B929C" w14:textId="77777777" w:rsidR="00DB6E1F" w:rsidRDefault="00F666A6">
      <w:pPr>
        <w:pStyle w:val="BodyText"/>
        <w:ind w:left="1440" w:right="6223"/>
      </w:pPr>
      <w:r>
        <w:t>Nevada</w:t>
      </w:r>
      <w:r>
        <w:rPr>
          <w:spacing w:val="-8"/>
        </w:rPr>
        <w:t xml:space="preserve"> </w:t>
      </w:r>
      <w:r>
        <w:t>Addiction</w:t>
      </w:r>
      <w:r>
        <w:rPr>
          <w:spacing w:val="-9"/>
        </w:rPr>
        <w:t xml:space="preserve"> </w:t>
      </w:r>
      <w:r>
        <w:t>Technology</w:t>
      </w:r>
      <w:r>
        <w:rPr>
          <w:spacing w:val="-9"/>
        </w:rPr>
        <w:t xml:space="preserve"> </w:t>
      </w:r>
      <w:r>
        <w:t>Transfer</w:t>
      </w:r>
      <w:r>
        <w:rPr>
          <w:spacing w:val="-10"/>
        </w:rPr>
        <w:t xml:space="preserve"> </w:t>
      </w:r>
      <w:r>
        <w:t>Center College of Education</w:t>
      </w:r>
    </w:p>
    <w:p w14:paraId="47542664" w14:textId="77777777" w:rsidR="00DB6E1F" w:rsidRDefault="00F666A6">
      <w:pPr>
        <w:pStyle w:val="BodyText"/>
        <w:spacing w:before="1"/>
        <w:ind w:left="1440" w:right="8032"/>
      </w:pPr>
      <w:r>
        <w:t>University</w:t>
      </w:r>
      <w:r>
        <w:rPr>
          <w:spacing w:val="-10"/>
        </w:rPr>
        <w:t xml:space="preserve"> </w:t>
      </w:r>
      <w:r>
        <w:t>of</w:t>
      </w:r>
      <w:r>
        <w:rPr>
          <w:spacing w:val="-10"/>
        </w:rPr>
        <w:t xml:space="preserve"> </w:t>
      </w:r>
      <w:r>
        <w:t>Nevada</w:t>
      </w:r>
      <w:r>
        <w:rPr>
          <w:spacing w:val="-10"/>
        </w:rPr>
        <w:t xml:space="preserve"> </w:t>
      </w:r>
      <w:r>
        <w:t>at</w:t>
      </w:r>
      <w:r>
        <w:rPr>
          <w:spacing w:val="-9"/>
        </w:rPr>
        <w:t xml:space="preserve"> </w:t>
      </w:r>
      <w:r>
        <w:t>Reno Reno, Nevada</w:t>
      </w:r>
    </w:p>
    <w:p w14:paraId="02519B41" w14:textId="77777777" w:rsidR="00DB6E1F" w:rsidRDefault="00F666A6">
      <w:pPr>
        <w:pStyle w:val="Heading5"/>
        <w:jc w:val="both"/>
      </w:pPr>
      <w:r>
        <w:t>Cynthia</w:t>
      </w:r>
      <w:r>
        <w:rPr>
          <w:spacing w:val="-6"/>
        </w:rPr>
        <w:t xml:space="preserve"> </w:t>
      </w:r>
      <w:r>
        <w:t>Flackus,</w:t>
      </w:r>
      <w:r>
        <w:rPr>
          <w:spacing w:val="-4"/>
        </w:rPr>
        <w:t xml:space="preserve"> </w:t>
      </w:r>
      <w:r>
        <w:t>M.S.W.,</w:t>
      </w:r>
      <w:r>
        <w:rPr>
          <w:spacing w:val="-6"/>
        </w:rPr>
        <w:t xml:space="preserve"> </w:t>
      </w:r>
      <w:r>
        <w:rPr>
          <w:spacing w:val="-2"/>
        </w:rPr>
        <w:t>L.I.C.S.W.</w:t>
      </w:r>
    </w:p>
    <w:p w14:paraId="0FBDC6B0" w14:textId="77777777" w:rsidR="00DB6E1F" w:rsidRDefault="00F666A6">
      <w:pPr>
        <w:pStyle w:val="BodyText"/>
        <w:ind w:left="1440"/>
      </w:pPr>
      <w:r>
        <w:rPr>
          <w:spacing w:val="-2"/>
        </w:rPr>
        <w:t>Therapist</w:t>
      </w:r>
    </w:p>
    <w:p w14:paraId="7E7BF8A5" w14:textId="77777777" w:rsidR="00DB6E1F" w:rsidRDefault="00DB6E1F">
      <w:pPr>
        <w:sectPr w:rsidR="00DB6E1F">
          <w:pgSz w:w="12240" w:h="15840"/>
          <w:pgMar w:top="960" w:right="0" w:bottom="940" w:left="0" w:header="762" w:footer="602" w:gutter="0"/>
          <w:cols w:space="720"/>
        </w:sectPr>
      </w:pPr>
    </w:p>
    <w:p w14:paraId="74FED750" w14:textId="77777777" w:rsidR="00DB6E1F" w:rsidRDefault="00DB6E1F">
      <w:pPr>
        <w:pStyle w:val="BodyText"/>
        <w:rPr>
          <w:sz w:val="20"/>
        </w:rPr>
      </w:pPr>
    </w:p>
    <w:p w14:paraId="6F96FE30" w14:textId="77777777" w:rsidR="00DB6E1F" w:rsidRDefault="00DB6E1F">
      <w:pPr>
        <w:pStyle w:val="BodyText"/>
        <w:spacing w:before="1"/>
        <w:rPr>
          <w:sz w:val="19"/>
        </w:rPr>
      </w:pPr>
    </w:p>
    <w:p w14:paraId="0EA26775" w14:textId="77777777" w:rsidR="00DB6E1F" w:rsidRDefault="00F666A6">
      <w:pPr>
        <w:pStyle w:val="BodyText"/>
        <w:ind w:left="1440" w:right="8032"/>
      </w:pPr>
      <w:r>
        <w:t>Camp</w:t>
      </w:r>
      <w:r>
        <w:rPr>
          <w:spacing w:val="-13"/>
        </w:rPr>
        <w:t xml:space="preserve"> </w:t>
      </w:r>
      <w:r>
        <w:t>Share</w:t>
      </w:r>
      <w:r>
        <w:rPr>
          <w:spacing w:val="-12"/>
        </w:rPr>
        <w:t xml:space="preserve"> </w:t>
      </w:r>
      <w:r>
        <w:t>Renewal</w:t>
      </w:r>
      <w:r>
        <w:rPr>
          <w:spacing w:val="-12"/>
        </w:rPr>
        <w:t xml:space="preserve"> </w:t>
      </w:r>
      <w:r>
        <w:t>Center Walker, Minnesota</w:t>
      </w:r>
    </w:p>
    <w:p w14:paraId="0767BC43" w14:textId="77777777" w:rsidR="00DB6E1F" w:rsidRDefault="00F666A6">
      <w:pPr>
        <w:pStyle w:val="Heading5"/>
      </w:pPr>
      <w:r>
        <w:t>Stephen</w:t>
      </w:r>
      <w:r>
        <w:rPr>
          <w:spacing w:val="-7"/>
        </w:rPr>
        <w:t xml:space="preserve"> </w:t>
      </w:r>
      <w:r>
        <w:t>T.</w:t>
      </w:r>
      <w:r>
        <w:rPr>
          <w:spacing w:val="-2"/>
        </w:rPr>
        <w:t xml:space="preserve"> </w:t>
      </w:r>
      <w:r>
        <w:t>Higgins,</w:t>
      </w:r>
      <w:r>
        <w:rPr>
          <w:spacing w:val="-4"/>
        </w:rPr>
        <w:t xml:space="preserve"> Ph.D.</w:t>
      </w:r>
    </w:p>
    <w:p w14:paraId="31AE1821" w14:textId="77777777" w:rsidR="00DB6E1F" w:rsidRDefault="00F666A6">
      <w:pPr>
        <w:pStyle w:val="BodyText"/>
        <w:ind w:left="1440"/>
      </w:pPr>
      <w:r>
        <w:rPr>
          <w:spacing w:val="-2"/>
        </w:rPr>
        <w:t>Professor</w:t>
      </w:r>
    </w:p>
    <w:p w14:paraId="7EE06FE5" w14:textId="77777777" w:rsidR="00DB6E1F" w:rsidRDefault="00F666A6">
      <w:pPr>
        <w:pStyle w:val="BodyText"/>
        <w:ind w:left="1440" w:right="6821"/>
      </w:pPr>
      <w:r>
        <w:t>Departments</w:t>
      </w:r>
      <w:r>
        <w:rPr>
          <w:spacing w:val="-9"/>
        </w:rPr>
        <w:t xml:space="preserve"> </w:t>
      </w:r>
      <w:r>
        <w:t>of</w:t>
      </w:r>
      <w:r>
        <w:rPr>
          <w:spacing w:val="-10"/>
        </w:rPr>
        <w:t xml:space="preserve"> </w:t>
      </w:r>
      <w:r>
        <w:t>Psychiatry</w:t>
      </w:r>
      <w:r>
        <w:rPr>
          <w:spacing w:val="-9"/>
        </w:rPr>
        <w:t xml:space="preserve"> </w:t>
      </w:r>
      <w:r>
        <w:t>and</w:t>
      </w:r>
      <w:r>
        <w:rPr>
          <w:spacing w:val="-9"/>
        </w:rPr>
        <w:t xml:space="preserve"> </w:t>
      </w:r>
      <w:r>
        <w:t>Psychology University of Vermont</w:t>
      </w:r>
    </w:p>
    <w:p w14:paraId="03319018" w14:textId="77777777" w:rsidR="00DB6E1F" w:rsidRDefault="00F666A6">
      <w:pPr>
        <w:pStyle w:val="BodyText"/>
        <w:spacing w:before="1"/>
        <w:ind w:left="1440"/>
      </w:pPr>
      <w:r>
        <w:t>Burlington,</w:t>
      </w:r>
      <w:r>
        <w:rPr>
          <w:spacing w:val="-7"/>
        </w:rPr>
        <w:t xml:space="preserve"> </w:t>
      </w:r>
      <w:r>
        <w:rPr>
          <w:spacing w:val="-2"/>
        </w:rPr>
        <w:t>Vermont</w:t>
      </w:r>
    </w:p>
    <w:p w14:paraId="1F718B6A" w14:textId="77777777" w:rsidR="00DB6E1F" w:rsidRDefault="00F666A6">
      <w:pPr>
        <w:pStyle w:val="Heading5"/>
        <w:spacing w:before="161" w:line="268" w:lineRule="exact"/>
      </w:pPr>
      <w:r>
        <w:t>Col.</w:t>
      </w:r>
      <w:r>
        <w:rPr>
          <w:spacing w:val="-3"/>
        </w:rPr>
        <w:t xml:space="preserve"> </w:t>
      </w:r>
      <w:r>
        <w:t>Kenneth</w:t>
      </w:r>
      <w:r>
        <w:rPr>
          <w:spacing w:val="-4"/>
        </w:rPr>
        <w:t xml:space="preserve"> </w:t>
      </w:r>
      <w:r>
        <w:t>J.</w:t>
      </w:r>
      <w:r>
        <w:rPr>
          <w:spacing w:val="-4"/>
        </w:rPr>
        <w:t xml:space="preserve"> </w:t>
      </w:r>
      <w:r>
        <w:t>Hoffman,</w:t>
      </w:r>
      <w:r>
        <w:rPr>
          <w:spacing w:val="-5"/>
        </w:rPr>
        <w:t xml:space="preserve"> </w:t>
      </w:r>
      <w:r>
        <w:t>M.D.,</w:t>
      </w:r>
      <w:r>
        <w:rPr>
          <w:spacing w:val="-5"/>
        </w:rPr>
        <w:t xml:space="preserve"> </w:t>
      </w:r>
      <w:r>
        <w:t>M.P.H.,</w:t>
      </w:r>
      <w:r>
        <w:rPr>
          <w:spacing w:val="-2"/>
        </w:rPr>
        <w:t xml:space="preserve"> M.C.F.S.</w:t>
      </w:r>
    </w:p>
    <w:p w14:paraId="61FE18CE" w14:textId="77777777" w:rsidR="00DB6E1F" w:rsidRDefault="00F666A6">
      <w:pPr>
        <w:pStyle w:val="BodyText"/>
        <w:ind w:left="1440" w:right="7808"/>
      </w:pPr>
      <w:r>
        <w:t>Preventive</w:t>
      </w:r>
      <w:r>
        <w:rPr>
          <w:spacing w:val="-13"/>
        </w:rPr>
        <w:t xml:space="preserve"> </w:t>
      </w:r>
      <w:r>
        <w:t>Medicine</w:t>
      </w:r>
      <w:r>
        <w:rPr>
          <w:spacing w:val="-12"/>
        </w:rPr>
        <w:t xml:space="preserve"> </w:t>
      </w:r>
      <w:r>
        <w:t>Consultant HHC 18th Medical Command Seoul, South Korea</w:t>
      </w:r>
    </w:p>
    <w:p w14:paraId="6C0A89A0" w14:textId="77777777" w:rsidR="00DB6E1F" w:rsidRDefault="00F666A6">
      <w:pPr>
        <w:pStyle w:val="Heading5"/>
        <w:spacing w:before="160"/>
      </w:pPr>
      <w:r>
        <w:t>James</w:t>
      </w:r>
      <w:r>
        <w:rPr>
          <w:spacing w:val="-6"/>
        </w:rPr>
        <w:t xml:space="preserve"> </w:t>
      </w:r>
      <w:r>
        <w:t>Robert</w:t>
      </w:r>
      <w:r>
        <w:rPr>
          <w:spacing w:val="-5"/>
        </w:rPr>
        <w:t xml:space="preserve"> </w:t>
      </w:r>
      <w:r>
        <w:t>Holden,</w:t>
      </w:r>
      <w:r>
        <w:rPr>
          <w:spacing w:val="-6"/>
        </w:rPr>
        <w:t xml:space="preserve"> </w:t>
      </w:r>
      <w:r>
        <w:rPr>
          <w:spacing w:val="-4"/>
        </w:rPr>
        <w:t>M.A.</w:t>
      </w:r>
    </w:p>
    <w:p w14:paraId="6B4EA374" w14:textId="77777777" w:rsidR="00DB6E1F" w:rsidRDefault="00F666A6">
      <w:pPr>
        <w:pStyle w:val="BodyText"/>
        <w:ind w:left="1440"/>
      </w:pPr>
      <w:r>
        <w:t>Program</w:t>
      </w:r>
      <w:r>
        <w:rPr>
          <w:spacing w:val="-5"/>
        </w:rPr>
        <w:t xml:space="preserve"> </w:t>
      </w:r>
      <w:r>
        <w:rPr>
          <w:spacing w:val="-2"/>
        </w:rPr>
        <w:t>Director</w:t>
      </w:r>
    </w:p>
    <w:p w14:paraId="42E17B5F" w14:textId="77777777" w:rsidR="00DB6E1F" w:rsidRDefault="00F666A6">
      <w:pPr>
        <w:pStyle w:val="BodyText"/>
        <w:spacing w:before="1"/>
        <w:ind w:left="1440" w:right="5969"/>
      </w:pPr>
      <w:r>
        <w:t>Partners</w:t>
      </w:r>
      <w:r>
        <w:rPr>
          <w:spacing w:val="-9"/>
        </w:rPr>
        <w:t xml:space="preserve"> </w:t>
      </w:r>
      <w:r>
        <w:t>in</w:t>
      </w:r>
      <w:r>
        <w:rPr>
          <w:spacing w:val="-8"/>
        </w:rPr>
        <w:t xml:space="preserve"> </w:t>
      </w:r>
      <w:r>
        <w:t>Drug</w:t>
      </w:r>
      <w:r>
        <w:rPr>
          <w:spacing w:val="-8"/>
        </w:rPr>
        <w:t xml:space="preserve"> </w:t>
      </w:r>
      <w:r>
        <w:t>Abuse</w:t>
      </w:r>
      <w:r>
        <w:rPr>
          <w:spacing w:val="-6"/>
        </w:rPr>
        <w:t xml:space="preserve"> </w:t>
      </w:r>
      <w:r>
        <w:t>Rehabilitation</w:t>
      </w:r>
      <w:r>
        <w:rPr>
          <w:spacing w:val="-8"/>
        </w:rPr>
        <w:t xml:space="preserve"> </w:t>
      </w:r>
      <w:r>
        <w:t>Counseling Washington, D.C.</w:t>
      </w:r>
    </w:p>
    <w:p w14:paraId="5F46CA72" w14:textId="77777777" w:rsidR="00DB6E1F" w:rsidRDefault="00F666A6">
      <w:pPr>
        <w:pStyle w:val="Heading5"/>
        <w:spacing w:before="158"/>
      </w:pPr>
      <w:r>
        <w:t>Ron</w:t>
      </w:r>
      <w:r>
        <w:rPr>
          <w:spacing w:val="-5"/>
        </w:rPr>
        <w:t xml:space="preserve"> </w:t>
      </w:r>
      <w:r>
        <w:t>Jackson,</w:t>
      </w:r>
      <w:r>
        <w:rPr>
          <w:spacing w:val="-2"/>
        </w:rPr>
        <w:t xml:space="preserve"> M.S.W.</w:t>
      </w:r>
    </w:p>
    <w:p w14:paraId="39D15693" w14:textId="77777777" w:rsidR="00DB6E1F" w:rsidRDefault="00F666A6">
      <w:pPr>
        <w:pStyle w:val="BodyText"/>
        <w:spacing w:before="1"/>
        <w:ind w:left="1440"/>
      </w:pPr>
      <w:r>
        <w:t>Executive</w:t>
      </w:r>
      <w:r>
        <w:rPr>
          <w:spacing w:val="-5"/>
        </w:rPr>
        <w:t xml:space="preserve"> </w:t>
      </w:r>
      <w:r>
        <w:rPr>
          <w:spacing w:val="-2"/>
        </w:rPr>
        <w:t>Director</w:t>
      </w:r>
    </w:p>
    <w:p w14:paraId="2EF3131B" w14:textId="77777777" w:rsidR="00DB6E1F" w:rsidRDefault="00F666A6">
      <w:pPr>
        <w:pStyle w:val="BodyText"/>
        <w:ind w:left="1440" w:right="8032"/>
      </w:pPr>
      <w:r>
        <w:t>Evergreen</w:t>
      </w:r>
      <w:r>
        <w:rPr>
          <w:spacing w:val="-13"/>
        </w:rPr>
        <w:t xml:space="preserve"> </w:t>
      </w:r>
      <w:r>
        <w:t>Treatment</w:t>
      </w:r>
      <w:r>
        <w:rPr>
          <w:spacing w:val="-12"/>
        </w:rPr>
        <w:t xml:space="preserve"> </w:t>
      </w:r>
      <w:r>
        <w:t>Services Seattle, Washington</w:t>
      </w:r>
    </w:p>
    <w:p w14:paraId="3E30B426" w14:textId="77777777" w:rsidR="00DB6E1F" w:rsidRDefault="00F666A6">
      <w:pPr>
        <w:pStyle w:val="Heading5"/>
      </w:pPr>
      <w:r>
        <w:t>Linda</w:t>
      </w:r>
      <w:r>
        <w:rPr>
          <w:spacing w:val="-5"/>
        </w:rPr>
        <w:t xml:space="preserve"> </w:t>
      </w:r>
      <w:r>
        <w:rPr>
          <w:spacing w:val="-2"/>
        </w:rPr>
        <w:t>Kaplan</w:t>
      </w:r>
    </w:p>
    <w:p w14:paraId="6D7BD843" w14:textId="77777777" w:rsidR="00DB6E1F" w:rsidRDefault="00F666A6">
      <w:pPr>
        <w:pStyle w:val="BodyText"/>
        <w:ind w:left="1440"/>
      </w:pPr>
      <w:r>
        <w:t>Executive</w:t>
      </w:r>
      <w:r>
        <w:rPr>
          <w:spacing w:val="-5"/>
        </w:rPr>
        <w:t xml:space="preserve"> </w:t>
      </w:r>
      <w:r>
        <w:rPr>
          <w:spacing w:val="-2"/>
        </w:rPr>
        <w:t>Director</w:t>
      </w:r>
    </w:p>
    <w:p w14:paraId="432486F7" w14:textId="77777777" w:rsidR="00DB6E1F" w:rsidRDefault="00F666A6">
      <w:pPr>
        <w:pStyle w:val="BodyText"/>
        <w:ind w:left="1440" w:right="5069"/>
      </w:pPr>
      <w:r>
        <w:t>National</w:t>
      </w:r>
      <w:r>
        <w:rPr>
          <w:spacing w:val="-5"/>
        </w:rPr>
        <w:t xml:space="preserve"> </w:t>
      </w:r>
      <w:r>
        <w:t>Association</w:t>
      </w:r>
      <w:r>
        <w:rPr>
          <w:spacing w:val="-7"/>
        </w:rPr>
        <w:t xml:space="preserve"> </w:t>
      </w:r>
      <w:r>
        <w:t>of</w:t>
      </w:r>
      <w:r>
        <w:rPr>
          <w:spacing w:val="-5"/>
        </w:rPr>
        <w:t xml:space="preserve"> </w:t>
      </w:r>
      <w:r>
        <w:t>Alcoholism</w:t>
      </w:r>
      <w:r>
        <w:rPr>
          <w:spacing w:val="-4"/>
        </w:rPr>
        <w:t xml:space="preserve"> </w:t>
      </w:r>
      <w:r>
        <w:t>and</w:t>
      </w:r>
      <w:r>
        <w:rPr>
          <w:spacing w:val="-7"/>
        </w:rPr>
        <w:t xml:space="preserve"> </w:t>
      </w:r>
      <w:r>
        <w:t>Drug</w:t>
      </w:r>
      <w:r>
        <w:rPr>
          <w:spacing w:val="-5"/>
        </w:rPr>
        <w:t xml:space="preserve"> </w:t>
      </w:r>
      <w:r>
        <w:t>Abuse</w:t>
      </w:r>
      <w:r>
        <w:rPr>
          <w:spacing w:val="-5"/>
        </w:rPr>
        <w:t xml:space="preserve"> </w:t>
      </w:r>
      <w:r>
        <w:t>Counselors Arlington, Virginia</w:t>
      </w:r>
    </w:p>
    <w:p w14:paraId="6B5A78AF" w14:textId="77777777" w:rsidR="00DB6E1F" w:rsidRDefault="00F666A6">
      <w:pPr>
        <w:pStyle w:val="Heading5"/>
        <w:spacing w:before="161" w:line="268" w:lineRule="exact"/>
      </w:pPr>
      <w:r>
        <w:t>Matthew</w:t>
      </w:r>
      <w:r>
        <w:rPr>
          <w:spacing w:val="-6"/>
        </w:rPr>
        <w:t xml:space="preserve"> </w:t>
      </w:r>
      <w:r>
        <w:t>Kelly,</w:t>
      </w:r>
      <w:r>
        <w:rPr>
          <w:spacing w:val="-6"/>
        </w:rPr>
        <w:t xml:space="preserve"> </w:t>
      </w:r>
      <w:r>
        <w:rPr>
          <w:spacing w:val="-4"/>
        </w:rPr>
        <w:t>Ph.D.</w:t>
      </w:r>
    </w:p>
    <w:p w14:paraId="08D4D24E" w14:textId="77777777" w:rsidR="00DB6E1F" w:rsidRDefault="00F666A6">
      <w:pPr>
        <w:pStyle w:val="BodyText"/>
        <w:spacing w:line="268" w:lineRule="exact"/>
        <w:ind w:left="1440"/>
      </w:pPr>
      <w:r>
        <w:t>Clinical</w:t>
      </w:r>
      <w:r>
        <w:rPr>
          <w:spacing w:val="-6"/>
        </w:rPr>
        <w:t xml:space="preserve"> </w:t>
      </w:r>
      <w:r>
        <w:rPr>
          <w:spacing w:val="-2"/>
        </w:rPr>
        <w:t>Director</w:t>
      </w:r>
    </w:p>
    <w:p w14:paraId="6794B035" w14:textId="77777777" w:rsidR="00DB6E1F" w:rsidRDefault="00F666A6">
      <w:pPr>
        <w:pStyle w:val="BodyText"/>
        <w:ind w:left="1440" w:right="7429"/>
      </w:pPr>
      <w:r>
        <w:t>Robert Wood Johnson Foundation Northwest</w:t>
      </w:r>
      <w:r>
        <w:rPr>
          <w:spacing w:val="-10"/>
        </w:rPr>
        <w:t xml:space="preserve"> </w:t>
      </w:r>
      <w:r>
        <w:t>Mexico</w:t>
      </w:r>
      <w:r>
        <w:rPr>
          <w:spacing w:val="-9"/>
        </w:rPr>
        <w:t xml:space="preserve"> </w:t>
      </w:r>
      <w:r>
        <w:t>Fighting</w:t>
      </w:r>
      <w:r>
        <w:rPr>
          <w:spacing w:val="-9"/>
        </w:rPr>
        <w:t xml:space="preserve"> </w:t>
      </w:r>
      <w:r>
        <w:t>Back,</w:t>
      </w:r>
      <w:r>
        <w:rPr>
          <w:spacing w:val="-8"/>
        </w:rPr>
        <w:t xml:space="preserve"> </w:t>
      </w:r>
      <w:r>
        <w:t>Inc. Gallup,</w:t>
      </w:r>
      <w:r>
        <w:t xml:space="preserve"> New Mexico</w:t>
      </w:r>
    </w:p>
    <w:p w14:paraId="4E38D218" w14:textId="77777777" w:rsidR="00DB6E1F" w:rsidRDefault="00F666A6">
      <w:pPr>
        <w:pStyle w:val="Heading5"/>
        <w:spacing w:before="162"/>
      </w:pPr>
      <w:r>
        <w:t>Karen</w:t>
      </w:r>
      <w:r>
        <w:rPr>
          <w:spacing w:val="-7"/>
        </w:rPr>
        <w:t xml:space="preserve"> </w:t>
      </w:r>
      <w:r>
        <w:t>Kelly-Woodall,</w:t>
      </w:r>
      <w:r>
        <w:rPr>
          <w:spacing w:val="-7"/>
        </w:rPr>
        <w:t xml:space="preserve"> </w:t>
      </w:r>
      <w:r>
        <w:t>M.S.,</w:t>
      </w:r>
      <w:r>
        <w:rPr>
          <w:spacing w:val="-7"/>
        </w:rPr>
        <w:t xml:space="preserve"> </w:t>
      </w:r>
      <w:r>
        <w:t>M.A.C.,</w:t>
      </w:r>
      <w:r>
        <w:rPr>
          <w:spacing w:val="-7"/>
        </w:rPr>
        <w:t xml:space="preserve"> </w:t>
      </w:r>
      <w:r>
        <w:t>N.C.A.C.</w:t>
      </w:r>
      <w:r>
        <w:rPr>
          <w:spacing w:val="-6"/>
        </w:rPr>
        <w:t xml:space="preserve"> </w:t>
      </w:r>
      <w:r>
        <w:rPr>
          <w:spacing w:val="-5"/>
        </w:rPr>
        <w:t>II</w:t>
      </w:r>
    </w:p>
    <w:p w14:paraId="74E0D1AF" w14:textId="77777777" w:rsidR="00DB6E1F" w:rsidRDefault="00F666A6">
      <w:pPr>
        <w:pStyle w:val="BodyText"/>
        <w:spacing w:before="2" w:line="237" w:lineRule="auto"/>
        <w:ind w:left="1439" w:right="8032"/>
      </w:pPr>
      <w:r>
        <w:t>Criminal</w:t>
      </w:r>
      <w:r>
        <w:rPr>
          <w:spacing w:val="-13"/>
        </w:rPr>
        <w:t xml:space="preserve"> </w:t>
      </w:r>
      <w:r>
        <w:t>Justice</w:t>
      </w:r>
      <w:r>
        <w:rPr>
          <w:spacing w:val="-12"/>
        </w:rPr>
        <w:t xml:space="preserve"> </w:t>
      </w:r>
      <w:r>
        <w:t>Coordinator Cork Institute</w:t>
      </w:r>
    </w:p>
    <w:p w14:paraId="6FD92726" w14:textId="77777777" w:rsidR="00DB6E1F" w:rsidRDefault="00F666A6">
      <w:pPr>
        <w:pStyle w:val="BodyText"/>
        <w:spacing w:before="1"/>
        <w:ind w:left="1439" w:right="7429"/>
      </w:pPr>
      <w:r>
        <w:t>Morehouse</w:t>
      </w:r>
      <w:r>
        <w:rPr>
          <w:spacing w:val="-13"/>
        </w:rPr>
        <w:t xml:space="preserve"> </w:t>
      </w:r>
      <w:r>
        <w:t>School</w:t>
      </w:r>
      <w:r>
        <w:rPr>
          <w:spacing w:val="-12"/>
        </w:rPr>
        <w:t xml:space="preserve"> </w:t>
      </w:r>
      <w:r>
        <w:t>of</w:t>
      </w:r>
      <w:r>
        <w:rPr>
          <w:spacing w:val="-12"/>
        </w:rPr>
        <w:t xml:space="preserve"> </w:t>
      </w:r>
      <w:r>
        <w:t>Medicine Atlanta, Georgia</w:t>
      </w:r>
    </w:p>
    <w:p w14:paraId="78BFD151" w14:textId="77777777" w:rsidR="00DB6E1F" w:rsidRDefault="00F666A6">
      <w:pPr>
        <w:spacing w:before="162"/>
        <w:ind w:left="1439" w:right="8578"/>
      </w:pPr>
      <w:r>
        <w:rPr>
          <w:b/>
        </w:rPr>
        <w:t xml:space="preserve">Richard Laban, Ph.D. </w:t>
      </w:r>
      <w:r>
        <w:t>Laban’s Training Harrisburg,</w:t>
      </w:r>
      <w:r>
        <w:rPr>
          <w:spacing w:val="-13"/>
        </w:rPr>
        <w:t xml:space="preserve"> </w:t>
      </w:r>
      <w:r>
        <w:t>Pennsylvania</w:t>
      </w:r>
    </w:p>
    <w:p w14:paraId="71CDFBA5" w14:textId="77777777" w:rsidR="00DB6E1F" w:rsidRDefault="00F666A6">
      <w:pPr>
        <w:pStyle w:val="Heading5"/>
        <w:ind w:left="1439"/>
      </w:pPr>
      <w:r>
        <w:t>Lauren</w:t>
      </w:r>
      <w:r>
        <w:rPr>
          <w:spacing w:val="-9"/>
        </w:rPr>
        <w:t xml:space="preserve"> </w:t>
      </w:r>
      <w:r>
        <w:t>Lawendowski,</w:t>
      </w:r>
      <w:r>
        <w:rPr>
          <w:spacing w:val="-5"/>
        </w:rPr>
        <w:t xml:space="preserve"> </w:t>
      </w:r>
      <w:r>
        <w:rPr>
          <w:spacing w:val="-4"/>
        </w:rPr>
        <w:t>Ph.D.</w:t>
      </w:r>
    </w:p>
    <w:p w14:paraId="063BE673" w14:textId="77777777" w:rsidR="00DB6E1F" w:rsidRDefault="00F666A6">
      <w:pPr>
        <w:pStyle w:val="BodyText"/>
        <w:ind w:left="1439"/>
      </w:pPr>
      <w:r>
        <w:t>Acting</w:t>
      </w:r>
      <w:r>
        <w:rPr>
          <w:spacing w:val="-6"/>
        </w:rPr>
        <w:t xml:space="preserve"> </w:t>
      </w:r>
      <w:r>
        <w:t>Project</w:t>
      </w:r>
      <w:r>
        <w:rPr>
          <w:spacing w:val="-5"/>
        </w:rPr>
        <w:t xml:space="preserve"> </w:t>
      </w:r>
      <w:r>
        <w:rPr>
          <w:spacing w:val="-2"/>
        </w:rPr>
        <w:t>Director</w:t>
      </w:r>
    </w:p>
    <w:p w14:paraId="430486D8" w14:textId="77777777" w:rsidR="00DB6E1F" w:rsidRDefault="00F666A6">
      <w:pPr>
        <w:pStyle w:val="BodyText"/>
        <w:ind w:left="1439" w:right="5069"/>
      </w:pPr>
      <w:r>
        <w:t>Center</w:t>
      </w:r>
      <w:r>
        <w:rPr>
          <w:spacing w:val="-7"/>
        </w:rPr>
        <w:t xml:space="preserve"> </w:t>
      </w:r>
      <w:r>
        <w:t>on</w:t>
      </w:r>
      <w:r>
        <w:rPr>
          <w:spacing w:val="-6"/>
        </w:rPr>
        <w:t xml:space="preserve"> </w:t>
      </w:r>
      <w:r>
        <w:t>Alcoholism,</w:t>
      </w:r>
      <w:r>
        <w:rPr>
          <w:spacing w:val="-7"/>
        </w:rPr>
        <w:t xml:space="preserve"> </w:t>
      </w:r>
      <w:r>
        <w:t>Substance</w:t>
      </w:r>
      <w:r>
        <w:rPr>
          <w:spacing w:val="-5"/>
        </w:rPr>
        <w:t xml:space="preserve"> </w:t>
      </w:r>
      <w:r>
        <w:t>Abuse,</w:t>
      </w:r>
      <w:r>
        <w:rPr>
          <w:spacing w:val="-7"/>
        </w:rPr>
        <w:t xml:space="preserve"> </w:t>
      </w:r>
      <w:r>
        <w:t>and</w:t>
      </w:r>
      <w:r>
        <w:rPr>
          <w:spacing w:val="-6"/>
        </w:rPr>
        <w:t xml:space="preserve"> </w:t>
      </w:r>
      <w:r>
        <w:t>Addiction University of New Mexico</w:t>
      </w:r>
    </w:p>
    <w:p w14:paraId="1FB5E7BC" w14:textId="77777777" w:rsidR="00DB6E1F" w:rsidRDefault="00F666A6">
      <w:pPr>
        <w:pStyle w:val="BodyText"/>
        <w:ind w:left="1439"/>
      </w:pPr>
      <w:r>
        <w:t>Albuquerque,</w:t>
      </w:r>
      <w:r>
        <w:rPr>
          <w:spacing w:val="-6"/>
        </w:rPr>
        <w:t xml:space="preserve"> </w:t>
      </w:r>
      <w:r>
        <w:t>New</w:t>
      </w:r>
      <w:r>
        <w:rPr>
          <w:spacing w:val="-6"/>
        </w:rPr>
        <w:t xml:space="preserve"> </w:t>
      </w:r>
      <w:r>
        <w:rPr>
          <w:spacing w:val="-2"/>
        </w:rPr>
        <w:t>Mexico</w:t>
      </w:r>
    </w:p>
    <w:p w14:paraId="2087D3EB" w14:textId="77777777" w:rsidR="00DB6E1F" w:rsidRDefault="00F666A6">
      <w:pPr>
        <w:pStyle w:val="Heading5"/>
        <w:ind w:left="1439"/>
      </w:pPr>
      <w:r>
        <w:t>Bruce</w:t>
      </w:r>
      <w:r>
        <w:rPr>
          <w:spacing w:val="-6"/>
        </w:rPr>
        <w:t xml:space="preserve"> </w:t>
      </w:r>
      <w:r>
        <w:t>R.</w:t>
      </w:r>
      <w:r>
        <w:rPr>
          <w:spacing w:val="-3"/>
        </w:rPr>
        <w:t xml:space="preserve"> </w:t>
      </w:r>
      <w:r>
        <w:t>Lorenz,</w:t>
      </w:r>
      <w:r>
        <w:rPr>
          <w:spacing w:val="-5"/>
        </w:rPr>
        <w:t xml:space="preserve"> </w:t>
      </w:r>
      <w:r>
        <w:t>N.C.A.C.</w:t>
      </w:r>
      <w:r>
        <w:rPr>
          <w:spacing w:val="-3"/>
        </w:rPr>
        <w:t xml:space="preserve"> </w:t>
      </w:r>
      <w:r>
        <w:rPr>
          <w:spacing w:val="-5"/>
        </w:rPr>
        <w:t>II</w:t>
      </w:r>
    </w:p>
    <w:p w14:paraId="15D98FD4" w14:textId="77777777" w:rsidR="00DB6E1F" w:rsidRDefault="00DB6E1F">
      <w:pPr>
        <w:sectPr w:rsidR="00DB6E1F">
          <w:pgSz w:w="12240" w:h="15840"/>
          <w:pgMar w:top="960" w:right="0" w:bottom="940" w:left="0" w:header="762" w:footer="602" w:gutter="0"/>
          <w:cols w:space="720"/>
        </w:sectPr>
      </w:pPr>
    </w:p>
    <w:p w14:paraId="566F66FF" w14:textId="77777777" w:rsidR="00DB6E1F" w:rsidRDefault="00DB6E1F">
      <w:pPr>
        <w:pStyle w:val="BodyText"/>
        <w:rPr>
          <w:b/>
          <w:sz w:val="20"/>
        </w:rPr>
      </w:pPr>
    </w:p>
    <w:p w14:paraId="0ACF1A35" w14:textId="77777777" w:rsidR="00DB6E1F" w:rsidRDefault="00DB6E1F">
      <w:pPr>
        <w:pStyle w:val="BodyText"/>
        <w:spacing w:before="1"/>
        <w:rPr>
          <w:b/>
          <w:sz w:val="19"/>
        </w:rPr>
      </w:pPr>
    </w:p>
    <w:p w14:paraId="462D275D" w14:textId="77777777" w:rsidR="00DB6E1F" w:rsidRDefault="00F666A6">
      <w:pPr>
        <w:pStyle w:val="BodyText"/>
        <w:ind w:left="1439" w:right="9302"/>
      </w:pPr>
      <w:r>
        <w:rPr>
          <w:spacing w:val="-2"/>
        </w:rPr>
        <w:t xml:space="preserve">Director </w:t>
      </w:r>
      <w:r>
        <w:t>Thresholds, Inc. Dover,</w:t>
      </w:r>
      <w:r>
        <w:rPr>
          <w:spacing w:val="-13"/>
        </w:rPr>
        <w:t xml:space="preserve"> </w:t>
      </w:r>
      <w:r>
        <w:t>Delaware</w:t>
      </w:r>
    </w:p>
    <w:p w14:paraId="4D4BF8E5" w14:textId="77777777" w:rsidR="00DB6E1F" w:rsidRDefault="00F666A6">
      <w:pPr>
        <w:pStyle w:val="Heading5"/>
        <w:ind w:left="1439"/>
      </w:pPr>
      <w:r>
        <w:t>Russell</w:t>
      </w:r>
      <w:r>
        <w:rPr>
          <w:spacing w:val="-4"/>
        </w:rPr>
        <w:t xml:space="preserve"> </w:t>
      </w:r>
      <w:r>
        <w:t>P.</w:t>
      </w:r>
      <w:r>
        <w:rPr>
          <w:spacing w:val="-4"/>
        </w:rPr>
        <w:t xml:space="preserve"> </w:t>
      </w:r>
      <w:r>
        <w:t>MacPherson,</w:t>
      </w:r>
      <w:r>
        <w:rPr>
          <w:spacing w:val="-4"/>
        </w:rPr>
        <w:t xml:space="preserve"> </w:t>
      </w:r>
      <w:r>
        <w:t>Ph.D.,</w:t>
      </w:r>
      <w:r>
        <w:rPr>
          <w:spacing w:val="-6"/>
        </w:rPr>
        <w:t xml:space="preserve"> </w:t>
      </w:r>
      <w:r>
        <w:t>C.A.P.,</w:t>
      </w:r>
      <w:r>
        <w:rPr>
          <w:spacing w:val="-6"/>
        </w:rPr>
        <w:t xml:space="preserve"> </w:t>
      </w:r>
      <w:r>
        <w:t>C.A.P.P.,</w:t>
      </w:r>
      <w:r>
        <w:rPr>
          <w:spacing w:val="-7"/>
        </w:rPr>
        <w:t xml:space="preserve"> </w:t>
      </w:r>
      <w:r>
        <w:t>C.C.P.,</w:t>
      </w:r>
      <w:r>
        <w:rPr>
          <w:spacing w:val="-6"/>
        </w:rPr>
        <w:t xml:space="preserve"> </w:t>
      </w:r>
      <w:r>
        <w:t>D.A.C.,</w:t>
      </w:r>
      <w:r>
        <w:rPr>
          <w:spacing w:val="-6"/>
        </w:rPr>
        <w:t xml:space="preserve"> </w:t>
      </w:r>
      <w:r>
        <w:rPr>
          <w:spacing w:val="-2"/>
        </w:rPr>
        <w:t>D.V.C.</w:t>
      </w:r>
    </w:p>
    <w:p w14:paraId="7698486C" w14:textId="77777777" w:rsidR="00DB6E1F" w:rsidRDefault="00F666A6">
      <w:pPr>
        <w:pStyle w:val="BodyText"/>
        <w:ind w:left="1439"/>
      </w:pPr>
      <w:r>
        <w:rPr>
          <w:spacing w:val="-2"/>
        </w:rPr>
        <w:t>President</w:t>
      </w:r>
    </w:p>
    <w:p w14:paraId="4B1F5244" w14:textId="77777777" w:rsidR="00DB6E1F" w:rsidRDefault="00F666A6">
      <w:pPr>
        <w:pStyle w:val="BodyText"/>
        <w:spacing w:before="1"/>
        <w:ind w:left="1439" w:right="7429"/>
      </w:pPr>
      <w:r>
        <w:t>RPM</w:t>
      </w:r>
      <w:r>
        <w:rPr>
          <w:spacing w:val="-13"/>
        </w:rPr>
        <w:t xml:space="preserve"> </w:t>
      </w:r>
      <w:r>
        <w:t>Addiction</w:t>
      </w:r>
      <w:r>
        <w:rPr>
          <w:spacing w:val="-12"/>
        </w:rPr>
        <w:t xml:space="preserve"> </w:t>
      </w:r>
      <w:r>
        <w:t>Prevention</w:t>
      </w:r>
      <w:r>
        <w:rPr>
          <w:spacing w:val="-13"/>
        </w:rPr>
        <w:t xml:space="preserve"> </w:t>
      </w:r>
      <w:r>
        <w:t>Training Deland, Florida</w:t>
      </w:r>
    </w:p>
    <w:p w14:paraId="0BA3DE70" w14:textId="77777777" w:rsidR="00DB6E1F" w:rsidRDefault="00F666A6">
      <w:pPr>
        <w:pStyle w:val="Heading5"/>
        <w:spacing w:before="161"/>
        <w:ind w:left="1439"/>
      </w:pPr>
      <w:r>
        <w:t>George</w:t>
      </w:r>
      <w:r>
        <w:rPr>
          <w:spacing w:val="-9"/>
        </w:rPr>
        <w:t xml:space="preserve"> </w:t>
      </w:r>
      <w:r>
        <w:t>Medzerian,</w:t>
      </w:r>
      <w:r>
        <w:rPr>
          <w:spacing w:val="-5"/>
        </w:rPr>
        <w:t xml:space="preserve"> </w:t>
      </w:r>
      <w:r>
        <w:rPr>
          <w:spacing w:val="-4"/>
        </w:rPr>
        <w:t>Ph.D.</w:t>
      </w:r>
    </w:p>
    <w:p w14:paraId="28991919" w14:textId="77777777" w:rsidR="00DB6E1F" w:rsidRDefault="00F666A6">
      <w:pPr>
        <w:pStyle w:val="BodyText"/>
        <w:ind w:left="1439"/>
      </w:pPr>
      <w:r>
        <w:t>Pensacola,</w:t>
      </w:r>
      <w:r>
        <w:rPr>
          <w:spacing w:val="-7"/>
        </w:rPr>
        <w:t xml:space="preserve"> </w:t>
      </w:r>
      <w:r>
        <w:rPr>
          <w:spacing w:val="-2"/>
        </w:rPr>
        <w:t>Florida</w:t>
      </w:r>
    </w:p>
    <w:p w14:paraId="1464A695" w14:textId="77777777" w:rsidR="00DB6E1F" w:rsidRDefault="00F666A6">
      <w:pPr>
        <w:pStyle w:val="Heading5"/>
        <w:ind w:left="1439"/>
      </w:pPr>
      <w:r>
        <w:t>Lisa</w:t>
      </w:r>
      <w:r>
        <w:rPr>
          <w:spacing w:val="-9"/>
        </w:rPr>
        <w:t xml:space="preserve"> </w:t>
      </w:r>
      <w:r>
        <w:t>A.</w:t>
      </w:r>
      <w:r>
        <w:rPr>
          <w:spacing w:val="-2"/>
        </w:rPr>
        <w:t xml:space="preserve"> </w:t>
      </w:r>
      <w:r>
        <w:t>Melchior,</w:t>
      </w:r>
      <w:r>
        <w:rPr>
          <w:spacing w:val="-5"/>
        </w:rPr>
        <w:t xml:space="preserve"> </w:t>
      </w:r>
      <w:r>
        <w:rPr>
          <w:spacing w:val="-4"/>
        </w:rPr>
        <w:t>Ph.D.</w:t>
      </w:r>
    </w:p>
    <w:p w14:paraId="74575514" w14:textId="77777777" w:rsidR="00DB6E1F" w:rsidRDefault="00F666A6">
      <w:pPr>
        <w:pStyle w:val="BodyText"/>
        <w:ind w:left="1439"/>
      </w:pPr>
      <w:r>
        <w:t>Vice</w:t>
      </w:r>
      <w:r>
        <w:rPr>
          <w:spacing w:val="-3"/>
        </w:rPr>
        <w:t xml:space="preserve"> </w:t>
      </w:r>
      <w:r>
        <w:rPr>
          <w:spacing w:val="-2"/>
        </w:rPr>
        <w:t>President</w:t>
      </w:r>
    </w:p>
    <w:p w14:paraId="5567CDE2" w14:textId="77777777" w:rsidR="00DB6E1F" w:rsidRDefault="00F666A6">
      <w:pPr>
        <w:pStyle w:val="BodyText"/>
        <w:ind w:left="1439" w:right="8390"/>
      </w:pPr>
      <w:r>
        <w:t>The</w:t>
      </w:r>
      <w:r>
        <w:rPr>
          <w:spacing w:val="-13"/>
        </w:rPr>
        <w:t xml:space="preserve"> </w:t>
      </w:r>
      <w:r>
        <w:t>Measurement</w:t>
      </w:r>
      <w:r>
        <w:rPr>
          <w:spacing w:val="-12"/>
        </w:rPr>
        <w:t xml:space="preserve"> </w:t>
      </w:r>
      <w:r>
        <w:t>Group Culver City, California</w:t>
      </w:r>
    </w:p>
    <w:p w14:paraId="0A524D6B" w14:textId="77777777" w:rsidR="00DB6E1F" w:rsidRDefault="00F666A6">
      <w:pPr>
        <w:pStyle w:val="Heading5"/>
        <w:ind w:left="1439"/>
      </w:pPr>
      <w:r>
        <w:t>Paul</w:t>
      </w:r>
      <w:r>
        <w:rPr>
          <w:spacing w:val="-3"/>
        </w:rPr>
        <w:t xml:space="preserve"> </w:t>
      </w:r>
      <w:r>
        <w:t>Nagy,</w:t>
      </w:r>
      <w:r>
        <w:rPr>
          <w:spacing w:val="-4"/>
        </w:rPr>
        <w:t xml:space="preserve"> </w:t>
      </w:r>
      <w:r>
        <w:t>M.S.,</w:t>
      </w:r>
      <w:r>
        <w:rPr>
          <w:spacing w:val="-2"/>
        </w:rPr>
        <w:t xml:space="preserve"> C.S.A.C.</w:t>
      </w:r>
    </w:p>
    <w:p w14:paraId="1270AE15" w14:textId="77777777" w:rsidR="00DB6E1F" w:rsidRDefault="00F666A6">
      <w:pPr>
        <w:pStyle w:val="BodyText"/>
        <w:ind w:left="1439"/>
      </w:pPr>
      <w:r>
        <w:rPr>
          <w:spacing w:val="-2"/>
        </w:rPr>
        <w:t>Director</w:t>
      </w:r>
    </w:p>
    <w:p w14:paraId="07D3158D" w14:textId="77777777" w:rsidR="00DB6E1F" w:rsidRDefault="00F666A6">
      <w:pPr>
        <w:pStyle w:val="BodyText"/>
        <w:ind w:left="1439" w:right="6821"/>
      </w:pPr>
      <w:r>
        <w:t>Duke</w:t>
      </w:r>
      <w:r>
        <w:rPr>
          <w:spacing w:val="-9"/>
        </w:rPr>
        <w:t xml:space="preserve"> </w:t>
      </w:r>
      <w:r>
        <w:t>Alcoholism</w:t>
      </w:r>
      <w:r>
        <w:rPr>
          <w:spacing w:val="-8"/>
        </w:rPr>
        <w:t xml:space="preserve"> </w:t>
      </w:r>
      <w:r>
        <w:t>and</w:t>
      </w:r>
      <w:r>
        <w:rPr>
          <w:spacing w:val="-10"/>
        </w:rPr>
        <w:t xml:space="preserve"> </w:t>
      </w:r>
      <w:r>
        <w:t>Addictions</w:t>
      </w:r>
      <w:r>
        <w:rPr>
          <w:spacing w:val="-11"/>
        </w:rPr>
        <w:t xml:space="preserve"> </w:t>
      </w:r>
      <w:r>
        <w:t>Program Duke University Medical Center</w:t>
      </w:r>
    </w:p>
    <w:p w14:paraId="47EE855C" w14:textId="77777777" w:rsidR="00DB6E1F" w:rsidRDefault="00F666A6">
      <w:pPr>
        <w:pStyle w:val="BodyText"/>
        <w:ind w:left="1439"/>
      </w:pPr>
      <w:r>
        <w:t>Durham,</w:t>
      </w:r>
      <w:r>
        <w:rPr>
          <w:spacing w:val="-5"/>
        </w:rPr>
        <w:t xml:space="preserve"> </w:t>
      </w:r>
      <w:r>
        <w:t>North</w:t>
      </w:r>
      <w:r>
        <w:rPr>
          <w:spacing w:val="-4"/>
        </w:rPr>
        <w:t xml:space="preserve"> </w:t>
      </w:r>
      <w:r>
        <w:rPr>
          <w:spacing w:val="-2"/>
        </w:rPr>
        <w:t>Carolina</w:t>
      </w:r>
    </w:p>
    <w:p w14:paraId="247EEAAC" w14:textId="77777777" w:rsidR="00DB6E1F" w:rsidRDefault="00F666A6">
      <w:pPr>
        <w:pStyle w:val="Heading5"/>
        <w:ind w:left="1439"/>
      </w:pPr>
      <w:r>
        <w:t>Tracy</w:t>
      </w:r>
      <w:r>
        <w:rPr>
          <w:spacing w:val="-5"/>
        </w:rPr>
        <w:t xml:space="preserve"> </w:t>
      </w:r>
      <w:r>
        <w:t>A.</w:t>
      </w:r>
      <w:r>
        <w:rPr>
          <w:spacing w:val="-4"/>
        </w:rPr>
        <w:t xml:space="preserve"> </w:t>
      </w:r>
      <w:r>
        <w:t>O’Leary,</w:t>
      </w:r>
      <w:r>
        <w:rPr>
          <w:spacing w:val="-4"/>
        </w:rPr>
        <w:t xml:space="preserve"> Ph.D.</w:t>
      </w:r>
    </w:p>
    <w:p w14:paraId="33FD9091" w14:textId="77777777" w:rsidR="00DB6E1F" w:rsidRDefault="00F666A6">
      <w:pPr>
        <w:pStyle w:val="BodyText"/>
        <w:ind w:left="1439"/>
      </w:pPr>
      <w:r>
        <w:t>Clinical</w:t>
      </w:r>
      <w:r>
        <w:rPr>
          <w:spacing w:val="-6"/>
        </w:rPr>
        <w:t xml:space="preserve"> </w:t>
      </w:r>
      <w:r>
        <w:rPr>
          <w:spacing w:val="-2"/>
        </w:rPr>
        <w:t>Supervisor</w:t>
      </w:r>
    </w:p>
    <w:p w14:paraId="219FDA7A" w14:textId="77777777" w:rsidR="00DB6E1F" w:rsidRDefault="00F666A6">
      <w:pPr>
        <w:pStyle w:val="BodyText"/>
        <w:ind w:left="1439"/>
      </w:pPr>
      <w:r>
        <w:t>Assistant</w:t>
      </w:r>
      <w:r>
        <w:rPr>
          <w:spacing w:val="-6"/>
        </w:rPr>
        <w:t xml:space="preserve"> </w:t>
      </w:r>
      <w:r>
        <w:t>Project</w:t>
      </w:r>
      <w:r>
        <w:rPr>
          <w:spacing w:val="-5"/>
        </w:rPr>
        <w:t xml:space="preserve"> </w:t>
      </w:r>
      <w:r>
        <w:rPr>
          <w:spacing w:val="-2"/>
        </w:rPr>
        <w:t>Coordinator</w:t>
      </w:r>
    </w:p>
    <w:p w14:paraId="0C8D3EF5" w14:textId="77777777" w:rsidR="00DB6E1F" w:rsidRDefault="00F666A6">
      <w:pPr>
        <w:pStyle w:val="BodyText"/>
        <w:spacing w:before="1"/>
        <w:ind w:left="1439" w:right="6821"/>
      </w:pPr>
      <w:r>
        <w:t>Center</w:t>
      </w:r>
      <w:r>
        <w:rPr>
          <w:spacing w:val="-8"/>
        </w:rPr>
        <w:t xml:space="preserve"> </w:t>
      </w:r>
      <w:r>
        <w:t>for</w:t>
      </w:r>
      <w:r>
        <w:rPr>
          <w:spacing w:val="-8"/>
        </w:rPr>
        <w:t xml:space="preserve"> </w:t>
      </w:r>
      <w:r>
        <w:t>Alcohol</w:t>
      </w:r>
      <w:r>
        <w:rPr>
          <w:spacing w:val="-8"/>
        </w:rPr>
        <w:t xml:space="preserve"> </w:t>
      </w:r>
      <w:r>
        <w:t>and</w:t>
      </w:r>
      <w:r>
        <w:rPr>
          <w:spacing w:val="-9"/>
        </w:rPr>
        <w:t xml:space="preserve"> </w:t>
      </w:r>
      <w:r>
        <w:t>Addiction</w:t>
      </w:r>
      <w:r>
        <w:rPr>
          <w:spacing w:val="-9"/>
        </w:rPr>
        <w:t xml:space="preserve"> </w:t>
      </w:r>
      <w:r>
        <w:t>Studies Brown University</w:t>
      </w:r>
    </w:p>
    <w:p w14:paraId="21B4FF2B" w14:textId="77777777" w:rsidR="00DB6E1F" w:rsidRDefault="00F666A6">
      <w:pPr>
        <w:pStyle w:val="BodyText"/>
        <w:ind w:left="1439"/>
      </w:pPr>
      <w:r>
        <w:t>Providence,</w:t>
      </w:r>
      <w:r>
        <w:rPr>
          <w:spacing w:val="-6"/>
        </w:rPr>
        <w:t xml:space="preserve"> </w:t>
      </w:r>
      <w:r>
        <w:t>Rhode</w:t>
      </w:r>
      <w:r>
        <w:rPr>
          <w:spacing w:val="-4"/>
        </w:rPr>
        <w:t xml:space="preserve"> </w:t>
      </w:r>
      <w:r>
        <w:rPr>
          <w:spacing w:val="-2"/>
        </w:rPr>
        <w:t>Island</w:t>
      </w:r>
    </w:p>
    <w:p w14:paraId="37ADD702" w14:textId="77777777" w:rsidR="00DB6E1F" w:rsidRDefault="00F666A6">
      <w:pPr>
        <w:pStyle w:val="Heading5"/>
        <w:ind w:left="1439"/>
      </w:pPr>
      <w:r>
        <w:t>Gwen</w:t>
      </w:r>
      <w:r>
        <w:rPr>
          <w:spacing w:val="-6"/>
        </w:rPr>
        <w:t xml:space="preserve"> </w:t>
      </w:r>
      <w:r>
        <w:t>M.</w:t>
      </w:r>
      <w:r>
        <w:rPr>
          <w:spacing w:val="-2"/>
        </w:rPr>
        <w:t xml:space="preserve"> </w:t>
      </w:r>
      <w:r>
        <w:t>Olitsky,</w:t>
      </w:r>
      <w:r>
        <w:rPr>
          <w:spacing w:val="-3"/>
        </w:rPr>
        <w:t xml:space="preserve"> </w:t>
      </w:r>
      <w:r>
        <w:rPr>
          <w:spacing w:val="-4"/>
        </w:rPr>
        <w:t>M.S.</w:t>
      </w:r>
    </w:p>
    <w:p w14:paraId="231E3F05" w14:textId="77777777" w:rsidR="00DB6E1F" w:rsidRDefault="00F666A6">
      <w:pPr>
        <w:pStyle w:val="BodyText"/>
        <w:ind w:left="1439"/>
      </w:pPr>
      <w:r>
        <w:rPr>
          <w:spacing w:val="-5"/>
        </w:rPr>
        <w:t>CEO</w:t>
      </w:r>
    </w:p>
    <w:p w14:paraId="5A646DBE" w14:textId="77777777" w:rsidR="00DB6E1F" w:rsidRDefault="00F666A6">
      <w:pPr>
        <w:pStyle w:val="BodyText"/>
        <w:ind w:left="1439" w:right="5969"/>
      </w:pPr>
      <w:r>
        <w:t>The</w:t>
      </w:r>
      <w:r>
        <w:rPr>
          <w:spacing w:val="-5"/>
        </w:rPr>
        <w:t xml:space="preserve"> </w:t>
      </w:r>
      <w:r>
        <w:t>Self-Help</w:t>
      </w:r>
      <w:r>
        <w:rPr>
          <w:spacing w:val="-7"/>
        </w:rPr>
        <w:t xml:space="preserve"> </w:t>
      </w:r>
      <w:r>
        <w:t>Institute</w:t>
      </w:r>
      <w:r>
        <w:rPr>
          <w:spacing w:val="-8"/>
        </w:rPr>
        <w:t xml:space="preserve"> </w:t>
      </w:r>
      <w:r>
        <w:t>for</w:t>
      </w:r>
      <w:r>
        <w:rPr>
          <w:spacing w:val="-10"/>
        </w:rPr>
        <w:t xml:space="preserve"> </w:t>
      </w:r>
      <w:r>
        <w:t>Training</w:t>
      </w:r>
      <w:r>
        <w:rPr>
          <w:spacing w:val="-7"/>
        </w:rPr>
        <w:t xml:space="preserve"> </w:t>
      </w:r>
      <w:r>
        <w:t>and</w:t>
      </w:r>
      <w:r>
        <w:rPr>
          <w:spacing w:val="-7"/>
        </w:rPr>
        <w:t xml:space="preserve"> </w:t>
      </w:r>
      <w:r>
        <w:t>Therapy Lansdale, Pennsylvania</w:t>
      </w:r>
    </w:p>
    <w:p w14:paraId="59D30470" w14:textId="77777777" w:rsidR="00DB6E1F" w:rsidRDefault="00F666A6">
      <w:pPr>
        <w:pStyle w:val="Heading5"/>
        <w:spacing w:before="161"/>
        <w:ind w:left="1439"/>
      </w:pPr>
      <w:r>
        <w:t>Michele</w:t>
      </w:r>
      <w:r>
        <w:rPr>
          <w:spacing w:val="-6"/>
        </w:rPr>
        <w:t xml:space="preserve"> </w:t>
      </w:r>
      <w:r>
        <w:t>A.</w:t>
      </w:r>
      <w:r>
        <w:rPr>
          <w:spacing w:val="-3"/>
        </w:rPr>
        <w:t xml:space="preserve"> </w:t>
      </w:r>
      <w:r>
        <w:t>Packard,</w:t>
      </w:r>
      <w:r>
        <w:rPr>
          <w:spacing w:val="-4"/>
        </w:rPr>
        <w:t xml:space="preserve"> Ph.D.</w:t>
      </w:r>
    </w:p>
    <w:p w14:paraId="0F5E248B" w14:textId="77777777" w:rsidR="00DB6E1F" w:rsidRDefault="00F666A6">
      <w:pPr>
        <w:pStyle w:val="BodyText"/>
        <w:spacing w:line="268" w:lineRule="exact"/>
        <w:ind w:left="1439"/>
      </w:pPr>
      <w:r>
        <w:t>Executive</w:t>
      </w:r>
      <w:r>
        <w:rPr>
          <w:spacing w:val="-5"/>
        </w:rPr>
        <w:t xml:space="preserve"> </w:t>
      </w:r>
      <w:r>
        <w:rPr>
          <w:spacing w:val="-2"/>
        </w:rPr>
        <w:t>Director</w:t>
      </w:r>
    </w:p>
    <w:p w14:paraId="29AC9288" w14:textId="77777777" w:rsidR="00DB6E1F" w:rsidRDefault="00F666A6">
      <w:pPr>
        <w:pStyle w:val="BodyText"/>
        <w:ind w:left="1439" w:right="6821"/>
      </w:pPr>
      <w:r>
        <w:t>SAGE</w:t>
      </w:r>
      <w:r>
        <w:rPr>
          <w:spacing w:val="-8"/>
        </w:rPr>
        <w:t xml:space="preserve"> </w:t>
      </w:r>
      <w:r>
        <w:t>Institute</w:t>
      </w:r>
      <w:r>
        <w:rPr>
          <w:spacing w:val="-10"/>
        </w:rPr>
        <w:t xml:space="preserve"> </w:t>
      </w:r>
      <w:r>
        <w:t>Training</w:t>
      </w:r>
      <w:r>
        <w:rPr>
          <w:spacing w:val="-8"/>
        </w:rPr>
        <w:t xml:space="preserve"> </w:t>
      </w:r>
      <w:r>
        <w:t>and</w:t>
      </w:r>
      <w:r>
        <w:rPr>
          <w:spacing w:val="-11"/>
        </w:rPr>
        <w:t xml:space="preserve"> </w:t>
      </w:r>
      <w:r>
        <w:t>Consulting Boulder, California</w:t>
      </w:r>
    </w:p>
    <w:p w14:paraId="5C7E416C" w14:textId="77777777" w:rsidR="00DB6E1F" w:rsidRDefault="00F666A6">
      <w:pPr>
        <w:spacing w:before="161"/>
        <w:ind w:left="1439" w:right="8390"/>
      </w:pPr>
      <w:r>
        <w:rPr>
          <w:b/>
        </w:rPr>
        <w:t>Mich</w:t>
      </w:r>
      <w:r>
        <w:rPr>
          <w:b/>
        </w:rPr>
        <w:t>ael</w:t>
      </w:r>
      <w:r>
        <w:rPr>
          <w:b/>
          <w:spacing w:val="-13"/>
        </w:rPr>
        <w:t xml:space="preserve"> </w:t>
      </w:r>
      <w:r>
        <w:rPr>
          <w:b/>
        </w:rPr>
        <w:t>Pantalon,</w:t>
      </w:r>
      <w:r>
        <w:rPr>
          <w:b/>
          <w:spacing w:val="-12"/>
        </w:rPr>
        <w:t xml:space="preserve"> </w:t>
      </w:r>
      <w:r>
        <w:rPr>
          <w:b/>
        </w:rPr>
        <w:t xml:space="preserve">Ph.D. </w:t>
      </w:r>
      <w:r>
        <w:t>Yale School of Medicine New</w:t>
      </w:r>
      <w:r>
        <w:rPr>
          <w:spacing w:val="-13"/>
        </w:rPr>
        <w:t xml:space="preserve"> </w:t>
      </w:r>
      <w:r>
        <w:t>Haven,</w:t>
      </w:r>
      <w:r>
        <w:rPr>
          <w:spacing w:val="-12"/>
        </w:rPr>
        <w:t xml:space="preserve"> </w:t>
      </w:r>
      <w:r>
        <w:t>Connecticut</w:t>
      </w:r>
    </w:p>
    <w:p w14:paraId="72A0BA27" w14:textId="77777777" w:rsidR="00DB6E1F" w:rsidRDefault="00F666A6">
      <w:pPr>
        <w:pStyle w:val="Heading5"/>
        <w:ind w:left="1439"/>
      </w:pPr>
      <w:r>
        <w:t>Joe</w:t>
      </w:r>
      <w:r>
        <w:rPr>
          <w:spacing w:val="-6"/>
        </w:rPr>
        <w:t xml:space="preserve"> </w:t>
      </w:r>
      <w:r>
        <w:t>Pereira,</w:t>
      </w:r>
      <w:r>
        <w:rPr>
          <w:spacing w:val="-4"/>
        </w:rPr>
        <w:t xml:space="preserve"> </w:t>
      </w:r>
      <w:r>
        <w:t>L.I.C.S.W.,</w:t>
      </w:r>
      <w:r>
        <w:rPr>
          <w:spacing w:val="-6"/>
        </w:rPr>
        <w:t xml:space="preserve"> </w:t>
      </w:r>
      <w:r>
        <w:rPr>
          <w:spacing w:val="-2"/>
        </w:rPr>
        <w:t>C.A.S.</w:t>
      </w:r>
    </w:p>
    <w:p w14:paraId="1B1255EB" w14:textId="77777777" w:rsidR="00DB6E1F" w:rsidRDefault="00F666A6">
      <w:pPr>
        <w:pStyle w:val="BodyText"/>
        <w:ind w:left="1439" w:right="8576"/>
      </w:pPr>
      <w:r>
        <w:t>Recovery Strategies Medford,</w:t>
      </w:r>
      <w:r>
        <w:rPr>
          <w:spacing w:val="-13"/>
        </w:rPr>
        <w:t xml:space="preserve"> </w:t>
      </w:r>
      <w:r>
        <w:t>Massachusetts</w:t>
      </w:r>
    </w:p>
    <w:p w14:paraId="2976D3A4" w14:textId="77777777" w:rsidR="00DB6E1F" w:rsidRDefault="00F666A6">
      <w:pPr>
        <w:pStyle w:val="Heading5"/>
        <w:spacing w:before="161"/>
        <w:ind w:left="1439"/>
      </w:pPr>
      <w:r>
        <w:t>Harold</w:t>
      </w:r>
      <w:r>
        <w:rPr>
          <w:spacing w:val="-4"/>
        </w:rPr>
        <w:t xml:space="preserve"> </w:t>
      </w:r>
      <w:r>
        <w:t>Perl,</w:t>
      </w:r>
      <w:r>
        <w:rPr>
          <w:spacing w:val="-1"/>
        </w:rPr>
        <w:t xml:space="preserve"> </w:t>
      </w:r>
      <w:r>
        <w:rPr>
          <w:spacing w:val="-2"/>
        </w:rPr>
        <w:t>Ph.D.</w:t>
      </w:r>
    </w:p>
    <w:p w14:paraId="4EA2080E" w14:textId="77777777" w:rsidR="00DB6E1F" w:rsidRDefault="00F666A6">
      <w:pPr>
        <w:pStyle w:val="BodyText"/>
        <w:spacing w:line="268" w:lineRule="exact"/>
        <w:ind w:left="1439"/>
      </w:pPr>
      <w:r>
        <w:t>Public</w:t>
      </w:r>
      <w:r>
        <w:rPr>
          <w:spacing w:val="-4"/>
        </w:rPr>
        <w:t xml:space="preserve"> </w:t>
      </w:r>
      <w:r>
        <w:t>Health</w:t>
      </w:r>
      <w:r>
        <w:rPr>
          <w:spacing w:val="-3"/>
        </w:rPr>
        <w:t xml:space="preserve"> </w:t>
      </w:r>
      <w:r>
        <w:rPr>
          <w:spacing w:val="-2"/>
        </w:rPr>
        <w:t>Analyst</w:t>
      </w:r>
    </w:p>
    <w:p w14:paraId="391BD3E2" w14:textId="77777777" w:rsidR="00DB6E1F" w:rsidRDefault="00F666A6">
      <w:pPr>
        <w:pStyle w:val="BodyText"/>
        <w:ind w:left="1439" w:right="6161"/>
      </w:pPr>
      <w:r>
        <w:t>Division of Clinical and Prevention Research National</w:t>
      </w:r>
      <w:r>
        <w:rPr>
          <w:spacing w:val="-6"/>
        </w:rPr>
        <w:t xml:space="preserve"> </w:t>
      </w:r>
      <w:r>
        <w:t>Institute</w:t>
      </w:r>
      <w:r>
        <w:rPr>
          <w:spacing w:val="-7"/>
        </w:rPr>
        <w:t xml:space="preserve"> </w:t>
      </w:r>
      <w:r>
        <w:t>on</w:t>
      </w:r>
      <w:r>
        <w:rPr>
          <w:spacing w:val="-7"/>
        </w:rPr>
        <w:t xml:space="preserve"> </w:t>
      </w:r>
      <w:r>
        <w:t>Alcohol</w:t>
      </w:r>
      <w:r>
        <w:rPr>
          <w:spacing w:val="-6"/>
        </w:rPr>
        <w:t xml:space="preserve"> </w:t>
      </w:r>
      <w:r>
        <w:t>Abuse</w:t>
      </w:r>
      <w:r>
        <w:rPr>
          <w:spacing w:val="-5"/>
        </w:rPr>
        <w:t xml:space="preserve"> </w:t>
      </w:r>
      <w:r>
        <w:t>and</w:t>
      </w:r>
      <w:r>
        <w:rPr>
          <w:spacing w:val="-7"/>
        </w:rPr>
        <w:t xml:space="preserve"> </w:t>
      </w:r>
      <w:r>
        <w:t>Alcoholism</w:t>
      </w:r>
    </w:p>
    <w:p w14:paraId="7B9C53EC" w14:textId="77777777" w:rsidR="00DB6E1F" w:rsidRDefault="00DB6E1F">
      <w:pPr>
        <w:sectPr w:rsidR="00DB6E1F">
          <w:pgSz w:w="12240" w:h="15840"/>
          <w:pgMar w:top="960" w:right="0" w:bottom="940" w:left="0" w:header="762" w:footer="602" w:gutter="0"/>
          <w:cols w:space="720"/>
        </w:sectPr>
      </w:pPr>
    </w:p>
    <w:p w14:paraId="374C883C" w14:textId="77777777" w:rsidR="00DB6E1F" w:rsidRDefault="00DB6E1F">
      <w:pPr>
        <w:pStyle w:val="BodyText"/>
        <w:rPr>
          <w:sz w:val="20"/>
        </w:rPr>
      </w:pPr>
    </w:p>
    <w:p w14:paraId="0E13373F" w14:textId="77777777" w:rsidR="00DB6E1F" w:rsidRDefault="00DB6E1F">
      <w:pPr>
        <w:pStyle w:val="BodyText"/>
        <w:spacing w:before="1"/>
        <w:rPr>
          <w:sz w:val="19"/>
        </w:rPr>
      </w:pPr>
    </w:p>
    <w:p w14:paraId="123B3060" w14:textId="77777777" w:rsidR="00DB6E1F" w:rsidRDefault="00F666A6">
      <w:pPr>
        <w:pStyle w:val="BodyText"/>
        <w:ind w:left="1439"/>
      </w:pPr>
      <w:r>
        <w:t>Bethesda,</w:t>
      </w:r>
      <w:r>
        <w:rPr>
          <w:spacing w:val="-7"/>
        </w:rPr>
        <w:t xml:space="preserve"> </w:t>
      </w:r>
      <w:r>
        <w:rPr>
          <w:spacing w:val="-2"/>
        </w:rPr>
        <w:t>Maryland</w:t>
      </w:r>
    </w:p>
    <w:p w14:paraId="03BB871B" w14:textId="77777777" w:rsidR="00DB6E1F" w:rsidRDefault="00F666A6">
      <w:pPr>
        <w:pStyle w:val="Heading5"/>
        <w:ind w:left="1439"/>
      </w:pPr>
      <w:r>
        <w:t>Raul</w:t>
      </w:r>
      <w:r>
        <w:rPr>
          <w:spacing w:val="-6"/>
        </w:rPr>
        <w:t xml:space="preserve"> </w:t>
      </w:r>
      <w:r>
        <w:t>G.</w:t>
      </w:r>
      <w:r>
        <w:rPr>
          <w:spacing w:val="-3"/>
        </w:rPr>
        <w:t xml:space="preserve"> </w:t>
      </w:r>
      <w:r>
        <w:t>Rodriguez,</w:t>
      </w:r>
      <w:r>
        <w:rPr>
          <w:spacing w:val="-3"/>
        </w:rPr>
        <w:t xml:space="preserve"> </w:t>
      </w:r>
      <w:r>
        <w:rPr>
          <w:spacing w:val="-4"/>
        </w:rPr>
        <w:t>M.D.</w:t>
      </w:r>
    </w:p>
    <w:p w14:paraId="4C3ABB13" w14:textId="77777777" w:rsidR="00DB6E1F" w:rsidRDefault="00F666A6">
      <w:pPr>
        <w:pStyle w:val="BodyText"/>
        <w:ind w:left="1439"/>
      </w:pPr>
      <w:r>
        <w:t>Medical</w:t>
      </w:r>
      <w:r>
        <w:rPr>
          <w:spacing w:val="-6"/>
        </w:rPr>
        <w:t xml:space="preserve"> </w:t>
      </w:r>
      <w:r>
        <w:rPr>
          <w:spacing w:val="-2"/>
        </w:rPr>
        <w:t>Director</w:t>
      </w:r>
    </w:p>
    <w:p w14:paraId="04279E73" w14:textId="77777777" w:rsidR="00DB6E1F" w:rsidRDefault="00F666A6">
      <w:pPr>
        <w:pStyle w:val="BodyText"/>
        <w:ind w:left="1439" w:right="8032"/>
      </w:pPr>
      <w:r>
        <w:t>La</w:t>
      </w:r>
      <w:r>
        <w:rPr>
          <w:spacing w:val="-13"/>
        </w:rPr>
        <w:t xml:space="preserve"> </w:t>
      </w:r>
      <w:r>
        <w:t>Hacienda</w:t>
      </w:r>
      <w:r>
        <w:rPr>
          <w:spacing w:val="-12"/>
        </w:rPr>
        <w:t xml:space="preserve"> </w:t>
      </w:r>
      <w:r>
        <w:t>Treatment</w:t>
      </w:r>
      <w:r>
        <w:rPr>
          <w:spacing w:val="-12"/>
        </w:rPr>
        <w:t xml:space="preserve"> </w:t>
      </w:r>
      <w:r>
        <w:t>Center Hunt, Texas</w:t>
      </w:r>
    </w:p>
    <w:p w14:paraId="7EF64D62" w14:textId="77777777" w:rsidR="00DB6E1F" w:rsidRDefault="00F666A6">
      <w:pPr>
        <w:pStyle w:val="Heading5"/>
        <w:spacing w:before="161"/>
        <w:ind w:left="1439"/>
      </w:pPr>
      <w:r>
        <w:t>Richard</w:t>
      </w:r>
      <w:r>
        <w:rPr>
          <w:spacing w:val="-8"/>
        </w:rPr>
        <w:t xml:space="preserve"> </w:t>
      </w:r>
      <w:r>
        <w:t>T.</w:t>
      </w:r>
      <w:r>
        <w:rPr>
          <w:spacing w:val="-4"/>
        </w:rPr>
        <w:t xml:space="preserve"> </w:t>
      </w:r>
      <w:r>
        <w:t>Suchinsky,</w:t>
      </w:r>
      <w:r>
        <w:rPr>
          <w:spacing w:val="-3"/>
        </w:rPr>
        <w:t xml:space="preserve"> </w:t>
      </w:r>
      <w:r>
        <w:rPr>
          <w:spacing w:val="-4"/>
        </w:rPr>
        <w:t>M.D.</w:t>
      </w:r>
    </w:p>
    <w:p w14:paraId="4A039DDD" w14:textId="77777777" w:rsidR="00DB6E1F" w:rsidRDefault="00F666A6">
      <w:pPr>
        <w:pStyle w:val="BodyText"/>
        <w:spacing w:before="1"/>
        <w:ind w:left="1439" w:right="4074"/>
      </w:pPr>
      <w:r>
        <w:t>Associate</w:t>
      </w:r>
      <w:r>
        <w:rPr>
          <w:spacing w:val="-6"/>
        </w:rPr>
        <w:t xml:space="preserve"> </w:t>
      </w:r>
      <w:r>
        <w:t>Director</w:t>
      </w:r>
      <w:r>
        <w:rPr>
          <w:spacing w:val="-6"/>
        </w:rPr>
        <w:t xml:space="preserve"> </w:t>
      </w:r>
      <w:r>
        <w:t>for</w:t>
      </w:r>
      <w:r>
        <w:rPr>
          <w:spacing w:val="-6"/>
        </w:rPr>
        <w:t xml:space="preserve"> </w:t>
      </w:r>
      <w:r>
        <w:t>Addictive</w:t>
      </w:r>
      <w:r>
        <w:rPr>
          <w:spacing w:val="-6"/>
        </w:rPr>
        <w:t xml:space="preserve"> </w:t>
      </w:r>
      <w:r>
        <w:t>Disorders</w:t>
      </w:r>
      <w:r>
        <w:rPr>
          <w:spacing w:val="-4"/>
        </w:rPr>
        <w:t xml:space="preserve"> </w:t>
      </w:r>
      <w:r>
        <w:t>and</w:t>
      </w:r>
      <w:r>
        <w:rPr>
          <w:spacing w:val="-7"/>
        </w:rPr>
        <w:t xml:space="preserve"> </w:t>
      </w:r>
      <w:r>
        <w:t>Psychiatric</w:t>
      </w:r>
      <w:r>
        <w:rPr>
          <w:spacing w:val="-4"/>
        </w:rPr>
        <w:t xml:space="preserve"> </w:t>
      </w:r>
      <w:r>
        <w:t>Rehabilitation Mental Health and Behavioral Sciences Services</w:t>
      </w:r>
    </w:p>
    <w:p w14:paraId="07CC0B78" w14:textId="77777777" w:rsidR="00DB6E1F" w:rsidRDefault="00F666A6">
      <w:pPr>
        <w:pStyle w:val="BodyText"/>
        <w:ind w:left="1439" w:right="7429"/>
      </w:pPr>
      <w:r>
        <w:t>Department</w:t>
      </w:r>
      <w:r>
        <w:rPr>
          <w:spacing w:val="-13"/>
        </w:rPr>
        <w:t xml:space="preserve"> </w:t>
      </w:r>
      <w:r>
        <w:t>of</w:t>
      </w:r>
      <w:r>
        <w:rPr>
          <w:spacing w:val="-12"/>
        </w:rPr>
        <w:t xml:space="preserve"> </w:t>
      </w:r>
      <w:r>
        <w:t>Veterans</w:t>
      </w:r>
      <w:r>
        <w:rPr>
          <w:spacing w:val="-13"/>
        </w:rPr>
        <w:t xml:space="preserve"> </w:t>
      </w:r>
      <w:r>
        <w:t>Affairs Washington, D.C.</w:t>
      </w:r>
    </w:p>
    <w:p w14:paraId="39E0A873" w14:textId="77777777" w:rsidR="00DB6E1F" w:rsidRDefault="00F666A6">
      <w:pPr>
        <w:pStyle w:val="Heading5"/>
        <w:ind w:left="1439"/>
      </w:pPr>
      <w:r>
        <w:t>Suzan</w:t>
      </w:r>
      <w:r>
        <w:rPr>
          <w:spacing w:val="-6"/>
        </w:rPr>
        <w:t xml:space="preserve"> </w:t>
      </w:r>
      <w:r>
        <w:t>Swanton,</w:t>
      </w:r>
      <w:r>
        <w:rPr>
          <w:spacing w:val="-3"/>
        </w:rPr>
        <w:t xml:space="preserve"> </w:t>
      </w:r>
      <w:r>
        <w:rPr>
          <w:spacing w:val="-2"/>
        </w:rPr>
        <w:t>M.S.W.</w:t>
      </w:r>
    </w:p>
    <w:p w14:paraId="7AAB23E8" w14:textId="77777777" w:rsidR="00DB6E1F" w:rsidRDefault="00F666A6">
      <w:pPr>
        <w:pStyle w:val="BodyText"/>
        <w:ind w:left="1439"/>
      </w:pPr>
      <w:r>
        <w:t>Clinical</w:t>
      </w:r>
      <w:r>
        <w:rPr>
          <w:spacing w:val="-6"/>
        </w:rPr>
        <w:t xml:space="preserve"> </w:t>
      </w:r>
      <w:r>
        <w:rPr>
          <w:spacing w:val="-2"/>
        </w:rPr>
        <w:t>Director</w:t>
      </w:r>
    </w:p>
    <w:p w14:paraId="128D7D36" w14:textId="77777777" w:rsidR="00DB6E1F" w:rsidRDefault="00F666A6">
      <w:pPr>
        <w:pStyle w:val="BodyText"/>
        <w:ind w:left="1439" w:right="7429"/>
      </w:pPr>
      <w:r>
        <w:t>R.E.A.C.H.</w:t>
      </w:r>
      <w:r>
        <w:rPr>
          <w:spacing w:val="-11"/>
        </w:rPr>
        <w:t xml:space="preserve"> </w:t>
      </w:r>
      <w:r>
        <w:t>Mobile</w:t>
      </w:r>
      <w:r>
        <w:rPr>
          <w:spacing w:val="-12"/>
        </w:rPr>
        <w:t xml:space="preserve"> </w:t>
      </w:r>
      <w:r>
        <w:t>Home</w:t>
      </w:r>
      <w:r>
        <w:rPr>
          <w:spacing w:val="-12"/>
        </w:rPr>
        <w:t xml:space="preserve"> </w:t>
      </w:r>
      <w:r>
        <w:t>Services Baltimore, Maryland</w:t>
      </w:r>
    </w:p>
    <w:p w14:paraId="590932E5" w14:textId="77777777" w:rsidR="00DB6E1F" w:rsidRDefault="00F666A6">
      <w:pPr>
        <w:pStyle w:val="Heading5"/>
        <w:ind w:left="1439"/>
      </w:pPr>
      <w:r>
        <w:t>Micha</w:t>
      </w:r>
      <w:r>
        <w:t>el</w:t>
      </w:r>
      <w:r>
        <w:rPr>
          <w:spacing w:val="-4"/>
        </w:rPr>
        <w:t xml:space="preserve"> </w:t>
      </w:r>
      <w:r>
        <w:t>J.</w:t>
      </w:r>
      <w:r>
        <w:rPr>
          <w:spacing w:val="-5"/>
        </w:rPr>
        <w:t xml:space="preserve"> </w:t>
      </w:r>
      <w:r>
        <w:t>Taleff,</w:t>
      </w:r>
      <w:r>
        <w:rPr>
          <w:spacing w:val="-3"/>
        </w:rPr>
        <w:t xml:space="preserve"> </w:t>
      </w:r>
      <w:r>
        <w:t>Ph.D.,</w:t>
      </w:r>
      <w:r>
        <w:rPr>
          <w:spacing w:val="-3"/>
        </w:rPr>
        <w:t xml:space="preserve"> </w:t>
      </w:r>
      <w:r>
        <w:t>C.A.C.,</w:t>
      </w:r>
      <w:r>
        <w:rPr>
          <w:spacing w:val="-6"/>
        </w:rPr>
        <w:t xml:space="preserve"> </w:t>
      </w:r>
      <w:r>
        <w:t>M.A.C.,</w:t>
      </w:r>
      <w:r>
        <w:rPr>
          <w:spacing w:val="-5"/>
        </w:rPr>
        <w:t xml:space="preserve"> </w:t>
      </w:r>
      <w:r>
        <w:rPr>
          <w:spacing w:val="-2"/>
        </w:rPr>
        <w:t>N.C.A.C.II</w:t>
      </w:r>
    </w:p>
    <w:p w14:paraId="50F25076" w14:textId="77777777" w:rsidR="00DB6E1F" w:rsidRDefault="00F666A6">
      <w:pPr>
        <w:pStyle w:val="BodyText"/>
        <w:ind w:left="1439" w:right="6763"/>
      </w:pPr>
      <w:r>
        <w:t>Assistant Professor and Coordinator Graduate</w:t>
      </w:r>
      <w:r>
        <w:rPr>
          <w:spacing w:val="-9"/>
        </w:rPr>
        <w:t xml:space="preserve"> </w:t>
      </w:r>
      <w:r>
        <w:t>Programs</w:t>
      </w:r>
      <w:r>
        <w:rPr>
          <w:spacing w:val="-9"/>
        </w:rPr>
        <w:t xml:space="preserve"> </w:t>
      </w:r>
      <w:r>
        <w:t>in</w:t>
      </w:r>
      <w:r>
        <w:rPr>
          <w:spacing w:val="-8"/>
        </w:rPr>
        <w:t xml:space="preserve"> </w:t>
      </w:r>
      <w:r>
        <w:t>Chemical</w:t>
      </w:r>
      <w:r>
        <w:rPr>
          <w:spacing w:val="-10"/>
        </w:rPr>
        <w:t xml:space="preserve"> </w:t>
      </w:r>
      <w:r>
        <w:t>Dependency Department of Counselor Education</w:t>
      </w:r>
    </w:p>
    <w:p w14:paraId="7B058D77" w14:textId="77777777" w:rsidR="00DB6E1F" w:rsidRDefault="00F666A6">
      <w:pPr>
        <w:pStyle w:val="BodyText"/>
        <w:spacing w:before="1"/>
        <w:ind w:left="1439" w:right="5969"/>
      </w:pPr>
      <w:r>
        <w:t>Counseling</w:t>
      </w:r>
      <w:r>
        <w:rPr>
          <w:spacing w:val="-11"/>
        </w:rPr>
        <w:t xml:space="preserve"> </w:t>
      </w:r>
      <w:r>
        <w:t>Psychology</w:t>
      </w:r>
      <w:r>
        <w:rPr>
          <w:spacing w:val="-8"/>
        </w:rPr>
        <w:t xml:space="preserve"> </w:t>
      </w:r>
      <w:r>
        <w:t>and</w:t>
      </w:r>
      <w:r>
        <w:rPr>
          <w:spacing w:val="-11"/>
        </w:rPr>
        <w:t xml:space="preserve"> </w:t>
      </w:r>
      <w:r>
        <w:t>Rehabilitation</w:t>
      </w:r>
      <w:r>
        <w:rPr>
          <w:spacing w:val="-10"/>
        </w:rPr>
        <w:t xml:space="preserve"> </w:t>
      </w:r>
      <w:r>
        <w:t>Services Pennsylvania State University</w:t>
      </w:r>
    </w:p>
    <w:p w14:paraId="1F10FCD4" w14:textId="77777777" w:rsidR="00DB6E1F" w:rsidRDefault="00F666A6">
      <w:pPr>
        <w:pStyle w:val="BodyText"/>
        <w:ind w:left="1439"/>
      </w:pPr>
      <w:r>
        <w:t>University</w:t>
      </w:r>
      <w:r>
        <w:rPr>
          <w:spacing w:val="-5"/>
        </w:rPr>
        <w:t xml:space="preserve"> </w:t>
      </w:r>
      <w:r>
        <w:t>Park,</w:t>
      </w:r>
      <w:r>
        <w:rPr>
          <w:spacing w:val="-5"/>
        </w:rPr>
        <w:t xml:space="preserve"> </w:t>
      </w:r>
      <w:r>
        <w:rPr>
          <w:spacing w:val="-2"/>
        </w:rPr>
        <w:t>Pennsylvania</w:t>
      </w:r>
    </w:p>
    <w:p w14:paraId="69C00863" w14:textId="77777777" w:rsidR="00DB6E1F" w:rsidRDefault="00F666A6">
      <w:pPr>
        <w:pStyle w:val="Heading5"/>
        <w:ind w:left="1439"/>
      </w:pPr>
      <w:r>
        <w:t>Nola</w:t>
      </w:r>
      <w:r>
        <w:rPr>
          <w:spacing w:val="-6"/>
        </w:rPr>
        <w:t xml:space="preserve"> </w:t>
      </w:r>
      <w:r>
        <w:t>C.</w:t>
      </w:r>
      <w:r>
        <w:rPr>
          <w:spacing w:val="-3"/>
        </w:rPr>
        <w:t xml:space="preserve"> </w:t>
      </w:r>
      <w:r>
        <w:t>Veazie,</w:t>
      </w:r>
      <w:r>
        <w:rPr>
          <w:spacing w:val="-4"/>
        </w:rPr>
        <w:t xml:space="preserve"> </w:t>
      </w:r>
      <w:r>
        <w:t>Ph.D.,</w:t>
      </w:r>
      <w:r>
        <w:rPr>
          <w:spacing w:val="-3"/>
        </w:rPr>
        <w:t xml:space="preserve"> </w:t>
      </w:r>
      <w:r>
        <w:t>L.P.C.,</w:t>
      </w:r>
      <w:r>
        <w:rPr>
          <w:spacing w:val="-6"/>
        </w:rPr>
        <w:t xml:space="preserve"> </w:t>
      </w:r>
      <w:r>
        <w:rPr>
          <w:spacing w:val="-2"/>
        </w:rPr>
        <w:t>C.A.D.A.C.</w:t>
      </w:r>
    </w:p>
    <w:p w14:paraId="070EA0B9" w14:textId="77777777" w:rsidR="00DB6E1F" w:rsidRDefault="00F666A6">
      <w:pPr>
        <w:pStyle w:val="BodyText"/>
        <w:ind w:left="1439"/>
      </w:pPr>
      <w:r>
        <w:rPr>
          <w:spacing w:val="-2"/>
        </w:rPr>
        <w:t>Superintendent</w:t>
      </w:r>
    </w:p>
    <w:p w14:paraId="57389C1E" w14:textId="77777777" w:rsidR="00DB6E1F" w:rsidRDefault="00F666A6">
      <w:pPr>
        <w:pStyle w:val="BodyText"/>
        <w:ind w:left="1439" w:right="8032"/>
      </w:pPr>
      <w:r>
        <w:t>Medical</w:t>
      </w:r>
      <w:r>
        <w:rPr>
          <w:spacing w:val="-13"/>
        </w:rPr>
        <w:t xml:space="preserve"> </w:t>
      </w:r>
      <w:r>
        <w:t>Services</w:t>
      </w:r>
      <w:r>
        <w:rPr>
          <w:spacing w:val="-12"/>
        </w:rPr>
        <w:t xml:space="preserve"> </w:t>
      </w:r>
      <w:r>
        <w:t>Department United States Air Force</w:t>
      </w:r>
    </w:p>
    <w:p w14:paraId="31CA0C9B" w14:textId="77777777" w:rsidR="00DB6E1F" w:rsidRDefault="00F666A6">
      <w:pPr>
        <w:pStyle w:val="BodyText"/>
        <w:ind w:left="1439" w:right="6223"/>
      </w:pPr>
      <w:r>
        <w:t>Family</w:t>
      </w:r>
      <w:r>
        <w:rPr>
          <w:spacing w:val="-9"/>
        </w:rPr>
        <w:t xml:space="preserve"> </w:t>
      </w:r>
      <w:r>
        <w:t>Therapist/Drug</w:t>
      </w:r>
      <w:r>
        <w:rPr>
          <w:spacing w:val="-8"/>
        </w:rPr>
        <w:t xml:space="preserve"> </w:t>
      </w:r>
      <w:r>
        <w:t>and</w:t>
      </w:r>
      <w:r>
        <w:rPr>
          <w:spacing w:val="-10"/>
        </w:rPr>
        <w:t xml:space="preserve"> </w:t>
      </w:r>
      <w:r>
        <w:t>Alcohol</w:t>
      </w:r>
      <w:r>
        <w:rPr>
          <w:spacing w:val="-9"/>
        </w:rPr>
        <w:t xml:space="preserve"> </w:t>
      </w:r>
      <w:r>
        <w:t>Counselor Veazie Family Therapy</w:t>
      </w:r>
    </w:p>
    <w:p w14:paraId="2F526AC1" w14:textId="77777777" w:rsidR="00DB6E1F" w:rsidRDefault="00F666A6">
      <w:pPr>
        <w:pStyle w:val="BodyText"/>
        <w:spacing w:before="1"/>
        <w:ind w:left="1439"/>
      </w:pPr>
      <w:r>
        <w:t>Santa</w:t>
      </w:r>
      <w:r>
        <w:rPr>
          <w:spacing w:val="-4"/>
        </w:rPr>
        <w:t xml:space="preserve"> </w:t>
      </w:r>
      <w:r>
        <w:t>Maria,</w:t>
      </w:r>
      <w:r>
        <w:rPr>
          <w:spacing w:val="-5"/>
        </w:rPr>
        <w:t xml:space="preserve"> </w:t>
      </w:r>
      <w:r>
        <w:rPr>
          <w:spacing w:val="-2"/>
        </w:rPr>
        <w:t>California</w:t>
      </w:r>
    </w:p>
    <w:p w14:paraId="07D63CCB" w14:textId="77777777" w:rsidR="00DB6E1F" w:rsidRDefault="00F666A6">
      <w:pPr>
        <w:spacing w:before="158"/>
        <w:ind w:left="1439" w:right="8660"/>
      </w:pPr>
      <w:r>
        <w:rPr>
          <w:b/>
        </w:rPr>
        <w:t xml:space="preserve">Mary Velasquez, Ph.D. </w:t>
      </w:r>
      <w:r>
        <w:t>Psychology</w:t>
      </w:r>
      <w:r>
        <w:rPr>
          <w:spacing w:val="-13"/>
        </w:rPr>
        <w:t xml:space="preserve"> </w:t>
      </w:r>
      <w:r>
        <w:t>Department University of Houston Houston, Texas</w:t>
      </w:r>
    </w:p>
    <w:p w14:paraId="40E6E095" w14:textId="77777777" w:rsidR="00DB6E1F" w:rsidRDefault="00F666A6">
      <w:pPr>
        <w:pStyle w:val="Heading5"/>
        <w:spacing w:before="160"/>
        <w:ind w:left="1439"/>
      </w:pPr>
      <w:r>
        <w:t>Christopher</w:t>
      </w:r>
      <w:r>
        <w:rPr>
          <w:spacing w:val="-7"/>
        </w:rPr>
        <w:t xml:space="preserve"> </w:t>
      </w:r>
      <w:r>
        <w:t>Wagner,</w:t>
      </w:r>
      <w:r>
        <w:rPr>
          <w:spacing w:val="-9"/>
        </w:rPr>
        <w:t xml:space="preserve"> </w:t>
      </w:r>
      <w:r>
        <w:rPr>
          <w:spacing w:val="-4"/>
        </w:rPr>
        <w:t>Ph.D.</w:t>
      </w:r>
    </w:p>
    <w:p w14:paraId="74428DBE" w14:textId="77777777" w:rsidR="00DB6E1F" w:rsidRDefault="00F666A6">
      <w:pPr>
        <w:pStyle w:val="BodyText"/>
        <w:ind w:left="1439" w:right="6821"/>
      </w:pPr>
      <w:r>
        <w:t>Division</w:t>
      </w:r>
      <w:r>
        <w:rPr>
          <w:spacing w:val="-11"/>
        </w:rPr>
        <w:t xml:space="preserve"> </w:t>
      </w:r>
      <w:r>
        <w:t>of</w:t>
      </w:r>
      <w:r>
        <w:rPr>
          <w:spacing w:val="-9"/>
        </w:rPr>
        <w:t xml:space="preserve"> </w:t>
      </w:r>
      <w:r>
        <w:t>Substance</w:t>
      </w:r>
      <w:r>
        <w:rPr>
          <w:spacing w:val="-10"/>
        </w:rPr>
        <w:t xml:space="preserve"> </w:t>
      </w:r>
      <w:r>
        <w:t>Abuse</w:t>
      </w:r>
      <w:r>
        <w:rPr>
          <w:spacing w:val="-9"/>
        </w:rPr>
        <w:t xml:space="preserve"> </w:t>
      </w:r>
      <w:r>
        <w:t>Medicine Virginia Commonwealth University Richmond, Virginia</w:t>
      </w:r>
    </w:p>
    <w:p w14:paraId="38449528" w14:textId="77777777" w:rsidR="00DB6E1F" w:rsidRDefault="00F666A6">
      <w:pPr>
        <w:pStyle w:val="Heading3"/>
        <w:spacing w:before="166"/>
      </w:pPr>
      <w:bookmarkStart w:id="16" w:name="Resource_Panel"/>
      <w:bookmarkEnd w:id="16"/>
      <w:r>
        <w:t>Resource</w:t>
      </w:r>
      <w:r>
        <w:rPr>
          <w:spacing w:val="-11"/>
        </w:rPr>
        <w:t xml:space="preserve"> </w:t>
      </w:r>
      <w:r>
        <w:rPr>
          <w:spacing w:val="-4"/>
        </w:rPr>
        <w:t>Panel</w:t>
      </w:r>
    </w:p>
    <w:p w14:paraId="3A1ADEFF" w14:textId="77777777" w:rsidR="00DB6E1F" w:rsidRDefault="00F666A6">
      <w:pPr>
        <w:pStyle w:val="Heading5"/>
        <w:spacing w:before="140"/>
      </w:pPr>
      <w:r>
        <w:t>Peter</w:t>
      </w:r>
      <w:r>
        <w:rPr>
          <w:spacing w:val="-4"/>
        </w:rPr>
        <w:t xml:space="preserve"> </w:t>
      </w:r>
      <w:r>
        <w:t>J.</w:t>
      </w:r>
      <w:r>
        <w:rPr>
          <w:spacing w:val="-4"/>
        </w:rPr>
        <w:t xml:space="preserve"> </w:t>
      </w:r>
      <w:r>
        <w:t>Cohen,</w:t>
      </w:r>
      <w:r>
        <w:rPr>
          <w:spacing w:val="-2"/>
        </w:rPr>
        <w:t xml:space="preserve"> </w:t>
      </w:r>
      <w:r>
        <w:t>M.D.,</w:t>
      </w:r>
      <w:r>
        <w:rPr>
          <w:spacing w:val="-1"/>
        </w:rPr>
        <w:t xml:space="preserve"> </w:t>
      </w:r>
      <w:r>
        <w:rPr>
          <w:spacing w:val="-4"/>
        </w:rPr>
        <w:t>J.D.</w:t>
      </w:r>
    </w:p>
    <w:p w14:paraId="33E9B0B5" w14:textId="77777777" w:rsidR="00DB6E1F" w:rsidRDefault="00F666A6">
      <w:pPr>
        <w:pStyle w:val="BodyText"/>
        <w:spacing w:before="1"/>
        <w:ind w:left="1440" w:right="7628"/>
      </w:pPr>
      <w:r>
        <w:t>Adjunct Professor of Law Georgetown</w:t>
      </w:r>
      <w:r>
        <w:rPr>
          <w:spacing w:val="-13"/>
        </w:rPr>
        <w:t xml:space="preserve"> </w:t>
      </w:r>
      <w:r>
        <w:t>University</w:t>
      </w:r>
      <w:r>
        <w:rPr>
          <w:spacing w:val="-12"/>
        </w:rPr>
        <w:t xml:space="preserve"> </w:t>
      </w:r>
      <w:r>
        <w:t>Law</w:t>
      </w:r>
      <w:r>
        <w:rPr>
          <w:spacing w:val="-12"/>
        </w:rPr>
        <w:t xml:space="preserve"> </w:t>
      </w:r>
      <w:r>
        <w:t>Center Washington, D.C.</w:t>
      </w:r>
    </w:p>
    <w:p w14:paraId="272CE1F4" w14:textId="77777777" w:rsidR="00DB6E1F" w:rsidRDefault="00F666A6">
      <w:pPr>
        <w:pStyle w:val="Heading5"/>
        <w:spacing w:before="161"/>
      </w:pPr>
      <w:r>
        <w:t>Frances</w:t>
      </w:r>
      <w:r>
        <w:rPr>
          <w:spacing w:val="-5"/>
        </w:rPr>
        <w:t xml:space="preserve"> </w:t>
      </w:r>
      <w:r>
        <w:t>Cotter,</w:t>
      </w:r>
      <w:r>
        <w:rPr>
          <w:spacing w:val="-5"/>
        </w:rPr>
        <w:t xml:space="preserve"> </w:t>
      </w:r>
      <w:r>
        <w:t>M.A.,</w:t>
      </w:r>
      <w:r>
        <w:rPr>
          <w:spacing w:val="-4"/>
        </w:rPr>
        <w:t xml:space="preserve"> </w:t>
      </w:r>
      <w:r>
        <w:rPr>
          <w:spacing w:val="-2"/>
        </w:rPr>
        <w:t>M.P.H.</w:t>
      </w:r>
    </w:p>
    <w:p w14:paraId="7FE50B14" w14:textId="77777777" w:rsidR="00DB6E1F" w:rsidRDefault="00DB6E1F">
      <w:pPr>
        <w:sectPr w:rsidR="00DB6E1F">
          <w:pgSz w:w="12240" w:h="15840"/>
          <w:pgMar w:top="960" w:right="0" w:bottom="940" w:left="0" w:header="762" w:footer="602" w:gutter="0"/>
          <w:cols w:space="720"/>
        </w:sectPr>
      </w:pPr>
    </w:p>
    <w:p w14:paraId="10E6FC60" w14:textId="77777777" w:rsidR="00DB6E1F" w:rsidRDefault="00DB6E1F">
      <w:pPr>
        <w:pStyle w:val="BodyText"/>
        <w:rPr>
          <w:b/>
          <w:sz w:val="20"/>
        </w:rPr>
      </w:pPr>
    </w:p>
    <w:p w14:paraId="086C96F7" w14:textId="77777777" w:rsidR="00DB6E1F" w:rsidRDefault="00DB6E1F">
      <w:pPr>
        <w:pStyle w:val="BodyText"/>
        <w:spacing w:before="1"/>
        <w:rPr>
          <w:b/>
          <w:sz w:val="19"/>
        </w:rPr>
      </w:pPr>
    </w:p>
    <w:p w14:paraId="48E83C06" w14:textId="77777777" w:rsidR="00DB6E1F" w:rsidRDefault="00F666A6">
      <w:pPr>
        <w:pStyle w:val="BodyText"/>
        <w:ind w:left="1440" w:right="8032"/>
      </w:pPr>
      <w:r>
        <w:t>Senior</w:t>
      </w:r>
      <w:r>
        <w:rPr>
          <w:spacing w:val="-13"/>
        </w:rPr>
        <w:t xml:space="preserve"> </w:t>
      </w:r>
      <w:r>
        <w:t>Public</w:t>
      </w:r>
      <w:r>
        <w:rPr>
          <w:spacing w:val="-12"/>
        </w:rPr>
        <w:t xml:space="preserve"> </w:t>
      </w:r>
      <w:r>
        <w:t>Health</w:t>
      </w:r>
      <w:r>
        <w:rPr>
          <w:spacing w:val="-13"/>
        </w:rPr>
        <w:t xml:space="preserve"> </w:t>
      </w:r>
      <w:r>
        <w:t>Advisor Office of Managed Care</w:t>
      </w:r>
    </w:p>
    <w:p w14:paraId="10539829" w14:textId="77777777" w:rsidR="00DB6E1F" w:rsidRDefault="00F666A6">
      <w:pPr>
        <w:pStyle w:val="BodyText"/>
        <w:ind w:left="1440"/>
      </w:pPr>
      <w:r>
        <w:t>Center</w:t>
      </w:r>
      <w:r>
        <w:rPr>
          <w:spacing w:val="-5"/>
        </w:rPr>
        <w:t xml:space="preserve"> </w:t>
      </w:r>
      <w:r>
        <w:t>for</w:t>
      </w:r>
      <w:r>
        <w:rPr>
          <w:spacing w:val="-4"/>
        </w:rPr>
        <w:t xml:space="preserve"> </w:t>
      </w:r>
      <w:r>
        <w:t>Substance</w:t>
      </w:r>
      <w:r>
        <w:rPr>
          <w:spacing w:val="-5"/>
        </w:rPr>
        <w:t xml:space="preserve"> </w:t>
      </w:r>
      <w:r>
        <w:t>Abuse</w:t>
      </w:r>
      <w:r>
        <w:rPr>
          <w:spacing w:val="-4"/>
        </w:rPr>
        <w:t xml:space="preserve"> </w:t>
      </w:r>
      <w:r>
        <w:rPr>
          <w:spacing w:val="-2"/>
        </w:rPr>
        <w:t>Treatment</w:t>
      </w:r>
    </w:p>
    <w:p w14:paraId="72011889" w14:textId="77777777" w:rsidR="00DB6E1F" w:rsidRDefault="00F666A6">
      <w:pPr>
        <w:pStyle w:val="BodyText"/>
        <w:spacing w:before="1"/>
        <w:ind w:left="1440" w:right="5069"/>
      </w:pPr>
      <w:r>
        <w:t>Substance</w:t>
      </w:r>
      <w:r>
        <w:rPr>
          <w:spacing w:val="-5"/>
        </w:rPr>
        <w:t xml:space="preserve"> </w:t>
      </w:r>
      <w:r>
        <w:t>Abuse</w:t>
      </w:r>
      <w:r>
        <w:rPr>
          <w:spacing w:val="-5"/>
        </w:rPr>
        <w:t xml:space="preserve"> </w:t>
      </w:r>
      <w:r>
        <w:t>and</w:t>
      </w:r>
      <w:r>
        <w:rPr>
          <w:spacing w:val="-8"/>
        </w:rPr>
        <w:t xml:space="preserve"> </w:t>
      </w:r>
      <w:r>
        <w:t>Mental</w:t>
      </w:r>
      <w:r>
        <w:rPr>
          <w:spacing w:val="-6"/>
        </w:rPr>
        <w:t xml:space="preserve"> </w:t>
      </w:r>
      <w:r>
        <w:t>Health</w:t>
      </w:r>
      <w:r>
        <w:rPr>
          <w:spacing w:val="-6"/>
        </w:rPr>
        <w:t xml:space="preserve"> </w:t>
      </w:r>
      <w:r>
        <w:t>Services</w:t>
      </w:r>
      <w:r>
        <w:rPr>
          <w:spacing w:val="-6"/>
        </w:rPr>
        <w:t xml:space="preserve"> </w:t>
      </w:r>
      <w:r>
        <w:t>Administration Rockville, Maryland</w:t>
      </w:r>
    </w:p>
    <w:p w14:paraId="2F173017" w14:textId="77777777" w:rsidR="00DB6E1F" w:rsidRDefault="00F666A6">
      <w:pPr>
        <w:pStyle w:val="Heading5"/>
      </w:pPr>
      <w:r>
        <w:t>Dorynne</w:t>
      </w:r>
      <w:r>
        <w:rPr>
          <w:spacing w:val="-7"/>
        </w:rPr>
        <w:t xml:space="preserve"> </w:t>
      </w:r>
      <w:r>
        <w:t>Czechowicz,</w:t>
      </w:r>
      <w:r>
        <w:rPr>
          <w:spacing w:val="-5"/>
        </w:rPr>
        <w:t xml:space="preserve"> </w:t>
      </w:r>
      <w:r>
        <w:rPr>
          <w:spacing w:val="-4"/>
        </w:rPr>
        <w:t>M.D.</w:t>
      </w:r>
    </w:p>
    <w:p w14:paraId="279CA09F" w14:textId="77777777" w:rsidR="00DB6E1F" w:rsidRDefault="00F666A6">
      <w:pPr>
        <w:pStyle w:val="BodyText"/>
        <w:ind w:left="1440"/>
      </w:pPr>
      <w:r>
        <w:t>Associate</w:t>
      </w:r>
      <w:r>
        <w:rPr>
          <w:spacing w:val="-6"/>
        </w:rPr>
        <w:t xml:space="preserve"> </w:t>
      </w:r>
      <w:r>
        <w:rPr>
          <w:spacing w:val="-2"/>
        </w:rPr>
        <w:t>Director</w:t>
      </w:r>
    </w:p>
    <w:p w14:paraId="3ECACB6E" w14:textId="77777777" w:rsidR="00DB6E1F" w:rsidRDefault="00F666A6">
      <w:pPr>
        <w:pStyle w:val="BodyText"/>
        <w:ind w:left="1440" w:right="4074"/>
      </w:pPr>
      <w:r>
        <w:t>Division</w:t>
      </w:r>
      <w:r>
        <w:rPr>
          <w:spacing w:val="-7"/>
        </w:rPr>
        <w:t xml:space="preserve"> </w:t>
      </w:r>
      <w:r>
        <w:t>of</w:t>
      </w:r>
      <w:r>
        <w:rPr>
          <w:spacing w:val="-4"/>
        </w:rPr>
        <w:t xml:space="preserve"> </w:t>
      </w:r>
      <w:r>
        <w:t>Clinical</w:t>
      </w:r>
      <w:r>
        <w:rPr>
          <w:spacing w:val="-4"/>
        </w:rPr>
        <w:t xml:space="preserve"> </w:t>
      </w:r>
      <w:r>
        <w:t>and</w:t>
      </w:r>
      <w:r>
        <w:rPr>
          <w:spacing w:val="-5"/>
        </w:rPr>
        <w:t xml:space="preserve"> </w:t>
      </w:r>
      <w:r>
        <w:t>Services</w:t>
      </w:r>
      <w:r>
        <w:rPr>
          <w:spacing w:val="-4"/>
        </w:rPr>
        <w:t xml:space="preserve"> </w:t>
      </w:r>
      <w:r>
        <w:t>Research</w:t>
      </w:r>
      <w:r>
        <w:rPr>
          <w:spacing w:val="-5"/>
        </w:rPr>
        <w:t xml:space="preserve"> </w:t>
      </w:r>
      <w:r>
        <w:t>Treatment</w:t>
      </w:r>
      <w:r>
        <w:rPr>
          <w:spacing w:val="-6"/>
        </w:rPr>
        <w:t xml:space="preserve"> </w:t>
      </w:r>
      <w:r>
        <w:t>Research</w:t>
      </w:r>
      <w:r>
        <w:rPr>
          <w:spacing w:val="-7"/>
        </w:rPr>
        <w:t xml:space="preserve"> </w:t>
      </w:r>
      <w:r>
        <w:t>Branch National Institute on Drug Abuse</w:t>
      </w:r>
    </w:p>
    <w:p w14:paraId="04EB025F" w14:textId="77777777" w:rsidR="00DB6E1F" w:rsidRDefault="00F666A6">
      <w:pPr>
        <w:pStyle w:val="BodyText"/>
        <w:ind w:left="1440"/>
      </w:pPr>
      <w:r>
        <w:t>Bethesda,</w:t>
      </w:r>
      <w:r>
        <w:rPr>
          <w:spacing w:val="-7"/>
        </w:rPr>
        <w:t xml:space="preserve"> </w:t>
      </w:r>
      <w:r>
        <w:rPr>
          <w:spacing w:val="-2"/>
        </w:rPr>
        <w:t>Maryland</w:t>
      </w:r>
    </w:p>
    <w:p w14:paraId="46C6ADF5" w14:textId="77777777" w:rsidR="00DB6E1F" w:rsidRDefault="00F666A6">
      <w:pPr>
        <w:pStyle w:val="Heading5"/>
      </w:pPr>
      <w:r>
        <w:t>James</w:t>
      </w:r>
      <w:r>
        <w:rPr>
          <w:spacing w:val="-5"/>
        </w:rPr>
        <w:t xml:space="preserve"> </w:t>
      </w:r>
      <w:r>
        <w:t>G.</w:t>
      </w:r>
      <w:r>
        <w:rPr>
          <w:spacing w:val="-4"/>
        </w:rPr>
        <w:t xml:space="preserve"> </w:t>
      </w:r>
      <w:r>
        <w:t>(Gil)</w:t>
      </w:r>
      <w:r>
        <w:rPr>
          <w:spacing w:val="-4"/>
        </w:rPr>
        <w:t xml:space="preserve"> Hill</w:t>
      </w:r>
    </w:p>
    <w:p w14:paraId="4F0C79BA" w14:textId="77777777" w:rsidR="00DB6E1F" w:rsidRDefault="00F666A6">
      <w:pPr>
        <w:pStyle w:val="BodyText"/>
        <w:ind w:left="1440"/>
      </w:pPr>
      <w:r>
        <w:rPr>
          <w:spacing w:val="-2"/>
        </w:rPr>
        <w:t>Director</w:t>
      </w:r>
    </w:p>
    <w:p w14:paraId="2CA6B9BA" w14:textId="77777777" w:rsidR="00DB6E1F" w:rsidRDefault="00F666A6">
      <w:pPr>
        <w:pStyle w:val="BodyText"/>
        <w:ind w:left="1440" w:right="7628"/>
      </w:pPr>
      <w:r>
        <w:t>Office of Substance Abuse A</w:t>
      </w:r>
      <w:r>
        <w:t>merican</w:t>
      </w:r>
      <w:r>
        <w:rPr>
          <w:spacing w:val="-13"/>
        </w:rPr>
        <w:t xml:space="preserve"> </w:t>
      </w:r>
      <w:r>
        <w:t>Psychological</w:t>
      </w:r>
      <w:r>
        <w:rPr>
          <w:spacing w:val="-12"/>
        </w:rPr>
        <w:t xml:space="preserve"> </w:t>
      </w:r>
      <w:r>
        <w:t>Association Washington, D.C.</w:t>
      </w:r>
    </w:p>
    <w:p w14:paraId="132FD04B" w14:textId="77777777" w:rsidR="00DB6E1F" w:rsidRDefault="00F666A6">
      <w:pPr>
        <w:pStyle w:val="Heading5"/>
      </w:pPr>
      <w:r>
        <w:t>Linda</w:t>
      </w:r>
      <w:r>
        <w:rPr>
          <w:spacing w:val="-5"/>
        </w:rPr>
        <w:t xml:space="preserve"> </w:t>
      </w:r>
      <w:r>
        <w:rPr>
          <w:spacing w:val="-2"/>
        </w:rPr>
        <w:t>Kaplan</w:t>
      </w:r>
    </w:p>
    <w:p w14:paraId="2C5677CF" w14:textId="77777777" w:rsidR="00DB6E1F" w:rsidRDefault="00F666A6">
      <w:pPr>
        <w:pStyle w:val="BodyText"/>
        <w:ind w:left="1440"/>
      </w:pPr>
      <w:r>
        <w:t>Executive</w:t>
      </w:r>
      <w:r>
        <w:rPr>
          <w:spacing w:val="-6"/>
        </w:rPr>
        <w:t xml:space="preserve"> </w:t>
      </w:r>
      <w:r>
        <w:rPr>
          <w:spacing w:val="-2"/>
        </w:rPr>
        <w:t>Director</w:t>
      </w:r>
    </w:p>
    <w:p w14:paraId="0C3EFA46" w14:textId="77777777" w:rsidR="00DB6E1F" w:rsidRDefault="00F666A6">
      <w:pPr>
        <w:pStyle w:val="BodyText"/>
        <w:ind w:left="1440" w:right="5069"/>
      </w:pPr>
      <w:r>
        <w:t>National</w:t>
      </w:r>
      <w:r>
        <w:rPr>
          <w:spacing w:val="-5"/>
        </w:rPr>
        <w:t xml:space="preserve"> </w:t>
      </w:r>
      <w:r>
        <w:t>Association</w:t>
      </w:r>
      <w:r>
        <w:rPr>
          <w:spacing w:val="-7"/>
        </w:rPr>
        <w:t xml:space="preserve"> </w:t>
      </w:r>
      <w:r>
        <w:t>of</w:t>
      </w:r>
      <w:r>
        <w:rPr>
          <w:spacing w:val="-5"/>
        </w:rPr>
        <w:t xml:space="preserve"> </w:t>
      </w:r>
      <w:r>
        <w:t>Alcoholism</w:t>
      </w:r>
      <w:r>
        <w:rPr>
          <w:spacing w:val="-4"/>
        </w:rPr>
        <w:t xml:space="preserve"> </w:t>
      </w:r>
      <w:r>
        <w:t>and</w:t>
      </w:r>
      <w:r>
        <w:rPr>
          <w:spacing w:val="-7"/>
        </w:rPr>
        <w:t xml:space="preserve"> </w:t>
      </w:r>
      <w:r>
        <w:t>Drug</w:t>
      </w:r>
      <w:r>
        <w:rPr>
          <w:spacing w:val="-6"/>
        </w:rPr>
        <w:t xml:space="preserve"> </w:t>
      </w:r>
      <w:r>
        <w:t>Abuse</w:t>
      </w:r>
      <w:r>
        <w:rPr>
          <w:spacing w:val="-4"/>
        </w:rPr>
        <w:t xml:space="preserve"> </w:t>
      </w:r>
      <w:r>
        <w:t>Counselors Arlington, Virginia</w:t>
      </w:r>
    </w:p>
    <w:p w14:paraId="6713FA23" w14:textId="77777777" w:rsidR="00DB6E1F" w:rsidRDefault="00F666A6">
      <w:pPr>
        <w:pStyle w:val="Heading5"/>
        <w:spacing w:before="162"/>
      </w:pPr>
      <w:r>
        <w:t>Pedro</w:t>
      </w:r>
      <w:r>
        <w:rPr>
          <w:spacing w:val="-7"/>
        </w:rPr>
        <w:t xml:space="preserve"> </w:t>
      </w:r>
      <w:r>
        <w:t>Morales,</w:t>
      </w:r>
      <w:r>
        <w:rPr>
          <w:spacing w:val="-3"/>
        </w:rPr>
        <w:t xml:space="preserve"> </w:t>
      </w:r>
      <w:r>
        <w:rPr>
          <w:spacing w:val="-4"/>
        </w:rPr>
        <w:t>J.D.</w:t>
      </w:r>
    </w:p>
    <w:p w14:paraId="046FFF17" w14:textId="77777777" w:rsidR="00DB6E1F" w:rsidRDefault="00F666A6">
      <w:pPr>
        <w:pStyle w:val="BodyText"/>
        <w:spacing w:line="268" w:lineRule="exact"/>
        <w:ind w:left="1440"/>
      </w:pPr>
      <w:r>
        <w:rPr>
          <w:spacing w:val="-2"/>
        </w:rPr>
        <w:t>Director</w:t>
      </w:r>
    </w:p>
    <w:p w14:paraId="5799B7D2" w14:textId="77777777" w:rsidR="00DB6E1F" w:rsidRDefault="00F666A6">
      <w:pPr>
        <w:pStyle w:val="BodyText"/>
        <w:spacing w:line="268" w:lineRule="exact"/>
        <w:ind w:left="1440"/>
      </w:pPr>
      <w:r>
        <w:t>Equal</w:t>
      </w:r>
      <w:r>
        <w:rPr>
          <w:spacing w:val="-4"/>
        </w:rPr>
        <w:t xml:space="preserve"> </w:t>
      </w:r>
      <w:r>
        <w:t>Employment</w:t>
      </w:r>
      <w:r>
        <w:rPr>
          <w:spacing w:val="-5"/>
        </w:rPr>
        <w:t xml:space="preserve"> </w:t>
      </w:r>
      <w:r>
        <w:t>Civil</w:t>
      </w:r>
      <w:r>
        <w:rPr>
          <w:spacing w:val="-6"/>
        </w:rPr>
        <w:t xml:space="preserve"> </w:t>
      </w:r>
      <w:r>
        <w:rPr>
          <w:spacing w:val="-2"/>
        </w:rPr>
        <w:t>Rights</w:t>
      </w:r>
    </w:p>
    <w:p w14:paraId="3F2DE268" w14:textId="77777777" w:rsidR="00DB6E1F" w:rsidRDefault="00F666A6">
      <w:pPr>
        <w:pStyle w:val="BodyText"/>
        <w:ind w:left="1440" w:right="5069"/>
      </w:pPr>
      <w:r>
        <w:t>Substance</w:t>
      </w:r>
      <w:r>
        <w:rPr>
          <w:spacing w:val="-5"/>
        </w:rPr>
        <w:t xml:space="preserve"> </w:t>
      </w:r>
      <w:r>
        <w:t>Abuse</w:t>
      </w:r>
      <w:r>
        <w:rPr>
          <w:spacing w:val="-5"/>
        </w:rPr>
        <w:t xml:space="preserve"> </w:t>
      </w:r>
      <w:r>
        <w:t>and</w:t>
      </w:r>
      <w:r>
        <w:rPr>
          <w:spacing w:val="-8"/>
        </w:rPr>
        <w:t xml:space="preserve"> </w:t>
      </w:r>
      <w:r>
        <w:t>Mental</w:t>
      </w:r>
      <w:r>
        <w:rPr>
          <w:spacing w:val="-6"/>
        </w:rPr>
        <w:t xml:space="preserve"> </w:t>
      </w:r>
      <w:r>
        <w:t>Health</w:t>
      </w:r>
      <w:r>
        <w:rPr>
          <w:spacing w:val="-6"/>
        </w:rPr>
        <w:t xml:space="preserve"> </w:t>
      </w:r>
      <w:r>
        <w:t>Services</w:t>
      </w:r>
      <w:r>
        <w:rPr>
          <w:spacing w:val="-6"/>
        </w:rPr>
        <w:t xml:space="preserve"> </w:t>
      </w:r>
      <w:r>
        <w:t>Administration Rockville, Maryland</w:t>
      </w:r>
    </w:p>
    <w:p w14:paraId="5E5397EE" w14:textId="77777777" w:rsidR="00DB6E1F" w:rsidRDefault="00F666A6">
      <w:pPr>
        <w:pStyle w:val="Heading5"/>
        <w:spacing w:before="161"/>
      </w:pPr>
      <w:r>
        <w:t>Harold</w:t>
      </w:r>
      <w:r>
        <w:rPr>
          <w:spacing w:val="-6"/>
        </w:rPr>
        <w:t xml:space="preserve"> </w:t>
      </w:r>
      <w:r>
        <w:t>I.</w:t>
      </w:r>
      <w:r>
        <w:rPr>
          <w:spacing w:val="-1"/>
        </w:rPr>
        <w:t xml:space="preserve"> </w:t>
      </w:r>
      <w:r>
        <w:t>Perl,</w:t>
      </w:r>
      <w:r>
        <w:rPr>
          <w:spacing w:val="-3"/>
        </w:rPr>
        <w:t xml:space="preserve"> </w:t>
      </w:r>
      <w:r>
        <w:rPr>
          <w:spacing w:val="-4"/>
        </w:rPr>
        <w:t>Ph.D.</w:t>
      </w:r>
    </w:p>
    <w:p w14:paraId="47F871BB" w14:textId="77777777" w:rsidR="00DB6E1F" w:rsidRDefault="00F666A6">
      <w:pPr>
        <w:pStyle w:val="BodyText"/>
        <w:spacing w:before="1"/>
        <w:ind w:left="1440"/>
      </w:pPr>
      <w:r>
        <w:t>Public</w:t>
      </w:r>
      <w:r>
        <w:rPr>
          <w:spacing w:val="-4"/>
        </w:rPr>
        <w:t xml:space="preserve"> </w:t>
      </w:r>
      <w:r>
        <w:t>Health</w:t>
      </w:r>
      <w:r>
        <w:rPr>
          <w:spacing w:val="-4"/>
        </w:rPr>
        <w:t xml:space="preserve"> </w:t>
      </w:r>
      <w:r>
        <w:rPr>
          <w:spacing w:val="-2"/>
        </w:rPr>
        <w:t>Analyst</w:t>
      </w:r>
    </w:p>
    <w:p w14:paraId="212FFED5" w14:textId="77777777" w:rsidR="00DB6E1F" w:rsidRDefault="00F666A6">
      <w:pPr>
        <w:pStyle w:val="BodyText"/>
        <w:ind w:left="1440" w:right="6161"/>
      </w:pPr>
      <w:r>
        <w:t>Division of Clinical and Prevention Research National</w:t>
      </w:r>
      <w:r>
        <w:rPr>
          <w:spacing w:val="-6"/>
        </w:rPr>
        <w:t xml:space="preserve"> </w:t>
      </w:r>
      <w:r>
        <w:t>Institute</w:t>
      </w:r>
      <w:r>
        <w:rPr>
          <w:spacing w:val="-8"/>
        </w:rPr>
        <w:t xml:space="preserve"> </w:t>
      </w:r>
      <w:r>
        <w:t>on</w:t>
      </w:r>
      <w:r>
        <w:rPr>
          <w:spacing w:val="-7"/>
        </w:rPr>
        <w:t xml:space="preserve"> </w:t>
      </w:r>
      <w:r>
        <w:t>Alcohol</w:t>
      </w:r>
      <w:r>
        <w:rPr>
          <w:spacing w:val="-6"/>
        </w:rPr>
        <w:t xml:space="preserve"> </w:t>
      </w:r>
      <w:r>
        <w:t>Abuse</w:t>
      </w:r>
      <w:r>
        <w:rPr>
          <w:spacing w:val="-5"/>
        </w:rPr>
        <w:t xml:space="preserve"> </w:t>
      </w:r>
      <w:r>
        <w:t>and</w:t>
      </w:r>
      <w:r>
        <w:rPr>
          <w:spacing w:val="-7"/>
        </w:rPr>
        <w:t xml:space="preserve"> </w:t>
      </w:r>
      <w:r>
        <w:t>Alcoholism Bethesda, Maryland</w:t>
      </w:r>
    </w:p>
    <w:p w14:paraId="494FFA6F" w14:textId="77777777" w:rsidR="00DB6E1F" w:rsidRDefault="00F666A6">
      <w:pPr>
        <w:pStyle w:val="Heading5"/>
      </w:pPr>
      <w:r>
        <w:t>Barbara</w:t>
      </w:r>
      <w:r>
        <w:rPr>
          <w:spacing w:val="-7"/>
        </w:rPr>
        <w:t xml:space="preserve"> </w:t>
      </w:r>
      <w:r>
        <w:t>J.</w:t>
      </w:r>
      <w:r>
        <w:rPr>
          <w:spacing w:val="-2"/>
        </w:rPr>
        <w:t xml:space="preserve"> </w:t>
      </w:r>
      <w:r>
        <w:t>Silver,</w:t>
      </w:r>
      <w:r>
        <w:rPr>
          <w:spacing w:val="-5"/>
        </w:rPr>
        <w:t xml:space="preserve"> </w:t>
      </w:r>
      <w:r>
        <w:rPr>
          <w:spacing w:val="-4"/>
        </w:rPr>
        <w:t>Ph.D.</w:t>
      </w:r>
    </w:p>
    <w:p w14:paraId="1C4751FD" w14:textId="77777777" w:rsidR="00DB6E1F" w:rsidRDefault="00F666A6">
      <w:pPr>
        <w:pStyle w:val="BodyText"/>
        <w:ind w:left="1440"/>
      </w:pPr>
      <w:r>
        <w:t>Center</w:t>
      </w:r>
      <w:r>
        <w:rPr>
          <w:spacing w:val="-4"/>
        </w:rPr>
        <w:t xml:space="preserve"> </w:t>
      </w:r>
      <w:r>
        <w:t>for</w:t>
      </w:r>
      <w:r>
        <w:rPr>
          <w:spacing w:val="-5"/>
        </w:rPr>
        <w:t xml:space="preserve"> </w:t>
      </w:r>
      <w:r>
        <w:t>Mental</w:t>
      </w:r>
      <w:r>
        <w:rPr>
          <w:spacing w:val="-3"/>
        </w:rPr>
        <w:t xml:space="preserve"> </w:t>
      </w:r>
      <w:r>
        <w:t>Health</w:t>
      </w:r>
      <w:r>
        <w:rPr>
          <w:spacing w:val="-5"/>
        </w:rPr>
        <w:t xml:space="preserve"> </w:t>
      </w:r>
      <w:r>
        <w:rPr>
          <w:spacing w:val="-2"/>
        </w:rPr>
        <w:t>Services</w:t>
      </w:r>
    </w:p>
    <w:p w14:paraId="77210C55" w14:textId="77777777" w:rsidR="00DB6E1F" w:rsidRDefault="00F666A6">
      <w:pPr>
        <w:pStyle w:val="BodyText"/>
        <w:ind w:left="1440" w:right="5069"/>
      </w:pPr>
      <w:r>
        <w:t>Substance</w:t>
      </w:r>
      <w:r>
        <w:rPr>
          <w:spacing w:val="-5"/>
        </w:rPr>
        <w:t xml:space="preserve"> </w:t>
      </w:r>
      <w:r>
        <w:t>Abuse</w:t>
      </w:r>
      <w:r>
        <w:rPr>
          <w:spacing w:val="-5"/>
        </w:rPr>
        <w:t xml:space="preserve"> </w:t>
      </w:r>
      <w:r>
        <w:t>and</w:t>
      </w:r>
      <w:r>
        <w:rPr>
          <w:spacing w:val="-8"/>
        </w:rPr>
        <w:t xml:space="preserve"> </w:t>
      </w:r>
      <w:r>
        <w:t>Mental</w:t>
      </w:r>
      <w:r>
        <w:rPr>
          <w:spacing w:val="-6"/>
        </w:rPr>
        <w:t xml:space="preserve"> </w:t>
      </w:r>
      <w:r>
        <w:t>Health</w:t>
      </w:r>
      <w:r>
        <w:rPr>
          <w:spacing w:val="-6"/>
        </w:rPr>
        <w:t xml:space="preserve"> </w:t>
      </w:r>
      <w:r>
        <w:t>Services</w:t>
      </w:r>
      <w:r>
        <w:rPr>
          <w:spacing w:val="-6"/>
        </w:rPr>
        <w:t xml:space="preserve"> </w:t>
      </w:r>
      <w:r>
        <w:t>Administration Rockville, Maryland</w:t>
      </w:r>
    </w:p>
    <w:p w14:paraId="49E30646" w14:textId="77777777" w:rsidR="00DB6E1F" w:rsidRDefault="00F666A6">
      <w:pPr>
        <w:pStyle w:val="Heading5"/>
      </w:pPr>
      <w:r>
        <w:t>Lucretia</w:t>
      </w:r>
      <w:r>
        <w:rPr>
          <w:spacing w:val="-7"/>
        </w:rPr>
        <w:t xml:space="preserve"> </w:t>
      </w:r>
      <w:r>
        <w:rPr>
          <w:spacing w:val="-2"/>
        </w:rPr>
        <w:t>Vigil</w:t>
      </w:r>
    </w:p>
    <w:p w14:paraId="25748CC3" w14:textId="77777777" w:rsidR="00DB6E1F" w:rsidRDefault="00F666A6">
      <w:pPr>
        <w:pStyle w:val="BodyText"/>
        <w:ind w:left="1440"/>
      </w:pPr>
      <w:r>
        <w:t>Policy</w:t>
      </w:r>
      <w:r>
        <w:rPr>
          <w:spacing w:val="-2"/>
        </w:rPr>
        <w:t xml:space="preserve"> Advisor</w:t>
      </w:r>
    </w:p>
    <w:p w14:paraId="0348ECCF" w14:textId="77777777" w:rsidR="00DB6E1F" w:rsidRDefault="00F666A6">
      <w:pPr>
        <w:pStyle w:val="BodyText"/>
        <w:ind w:left="1440" w:right="4074"/>
      </w:pPr>
      <w:r>
        <w:t>National</w:t>
      </w:r>
      <w:r>
        <w:rPr>
          <w:spacing w:val="-4"/>
        </w:rPr>
        <w:t xml:space="preserve"> </w:t>
      </w:r>
      <w:r>
        <w:t>Coalition</w:t>
      </w:r>
      <w:r>
        <w:rPr>
          <w:spacing w:val="-5"/>
        </w:rPr>
        <w:t xml:space="preserve"> </w:t>
      </w:r>
      <w:r>
        <w:t>of</w:t>
      </w:r>
      <w:r>
        <w:rPr>
          <w:spacing w:val="-6"/>
        </w:rPr>
        <w:t xml:space="preserve"> </w:t>
      </w:r>
      <w:r>
        <w:t>Hispanic</w:t>
      </w:r>
      <w:r>
        <w:rPr>
          <w:spacing w:val="-4"/>
        </w:rPr>
        <w:t xml:space="preserve"> </w:t>
      </w:r>
      <w:r>
        <w:t>Health</w:t>
      </w:r>
      <w:r>
        <w:rPr>
          <w:spacing w:val="-5"/>
        </w:rPr>
        <w:t xml:space="preserve"> </w:t>
      </w:r>
      <w:r>
        <w:t>and</w:t>
      </w:r>
      <w:r>
        <w:rPr>
          <w:spacing w:val="-5"/>
        </w:rPr>
        <w:t xml:space="preserve"> </w:t>
      </w:r>
      <w:r>
        <w:t>Human</w:t>
      </w:r>
      <w:r>
        <w:rPr>
          <w:spacing w:val="-5"/>
        </w:rPr>
        <w:t xml:space="preserve"> </w:t>
      </w:r>
      <w:r>
        <w:t>Services</w:t>
      </w:r>
      <w:r>
        <w:rPr>
          <w:spacing w:val="-4"/>
        </w:rPr>
        <w:t xml:space="preserve"> </w:t>
      </w:r>
      <w:r>
        <w:t>Organization Washington, D.C.</w:t>
      </w:r>
    </w:p>
    <w:p w14:paraId="1FB17E1E" w14:textId="77777777" w:rsidR="00DB6E1F" w:rsidRDefault="00F666A6">
      <w:pPr>
        <w:pStyle w:val="Heading3"/>
        <w:spacing w:before="166"/>
      </w:pPr>
      <w:bookmarkStart w:id="17" w:name="Editorial_Advisory_Board"/>
      <w:bookmarkEnd w:id="17"/>
      <w:r>
        <w:t>Editorial</w:t>
      </w:r>
      <w:r>
        <w:rPr>
          <w:spacing w:val="-10"/>
        </w:rPr>
        <w:t xml:space="preserve"> </w:t>
      </w:r>
      <w:r>
        <w:t>Advisory</w:t>
      </w:r>
      <w:r>
        <w:rPr>
          <w:spacing w:val="-11"/>
        </w:rPr>
        <w:t xml:space="preserve"> </w:t>
      </w:r>
      <w:r>
        <w:rPr>
          <w:spacing w:val="-4"/>
        </w:rPr>
        <w:t>Board</w:t>
      </w:r>
    </w:p>
    <w:p w14:paraId="77401239" w14:textId="77777777" w:rsidR="00DB6E1F" w:rsidRDefault="00F666A6">
      <w:pPr>
        <w:pStyle w:val="Heading5"/>
        <w:spacing w:before="141"/>
      </w:pPr>
      <w:r>
        <w:t>Karen</w:t>
      </w:r>
      <w:r>
        <w:rPr>
          <w:spacing w:val="-4"/>
        </w:rPr>
        <w:t xml:space="preserve"> </w:t>
      </w:r>
      <w:r>
        <w:t>Allen,</w:t>
      </w:r>
      <w:r>
        <w:rPr>
          <w:spacing w:val="-5"/>
        </w:rPr>
        <w:t xml:space="preserve"> </w:t>
      </w:r>
      <w:r>
        <w:t>Ph.D.,</w:t>
      </w:r>
      <w:r>
        <w:rPr>
          <w:spacing w:val="-5"/>
        </w:rPr>
        <w:t xml:space="preserve"> </w:t>
      </w:r>
      <w:r>
        <w:t>R.N.,</w:t>
      </w:r>
      <w:r>
        <w:rPr>
          <w:spacing w:val="-3"/>
        </w:rPr>
        <w:t xml:space="preserve"> </w:t>
      </w:r>
      <w:r>
        <w:rPr>
          <w:spacing w:val="-2"/>
        </w:rPr>
        <w:t>C.A.R.N.</w:t>
      </w:r>
    </w:p>
    <w:p w14:paraId="700816EE" w14:textId="77777777" w:rsidR="00DB6E1F" w:rsidRDefault="00F666A6">
      <w:pPr>
        <w:pStyle w:val="BodyText"/>
        <w:ind w:left="1440" w:right="8390"/>
      </w:pPr>
      <w:r>
        <w:t>Professor and Chair Department</w:t>
      </w:r>
      <w:r>
        <w:rPr>
          <w:spacing w:val="-13"/>
        </w:rPr>
        <w:t xml:space="preserve"> </w:t>
      </w:r>
      <w:r>
        <w:t>of</w:t>
      </w:r>
      <w:r>
        <w:rPr>
          <w:spacing w:val="-12"/>
        </w:rPr>
        <w:t xml:space="preserve"> </w:t>
      </w:r>
      <w:r>
        <w:t>Nursing Andrews University</w:t>
      </w:r>
    </w:p>
    <w:p w14:paraId="01649CFB" w14:textId="77777777" w:rsidR="00DB6E1F" w:rsidRDefault="00DB6E1F">
      <w:pPr>
        <w:sectPr w:rsidR="00DB6E1F">
          <w:pgSz w:w="12240" w:h="15840"/>
          <w:pgMar w:top="960" w:right="0" w:bottom="940" w:left="0" w:header="762" w:footer="602" w:gutter="0"/>
          <w:cols w:space="720"/>
        </w:sectPr>
      </w:pPr>
    </w:p>
    <w:p w14:paraId="0BE6E7AF" w14:textId="77777777" w:rsidR="00DB6E1F" w:rsidRDefault="00DB6E1F">
      <w:pPr>
        <w:pStyle w:val="BodyText"/>
        <w:rPr>
          <w:sz w:val="20"/>
        </w:rPr>
      </w:pPr>
    </w:p>
    <w:p w14:paraId="3452D548" w14:textId="77777777" w:rsidR="00DB6E1F" w:rsidRDefault="00DB6E1F">
      <w:pPr>
        <w:pStyle w:val="BodyText"/>
        <w:spacing w:before="1"/>
        <w:rPr>
          <w:sz w:val="19"/>
        </w:rPr>
      </w:pPr>
    </w:p>
    <w:p w14:paraId="68CCECAE" w14:textId="77777777" w:rsidR="00DB6E1F" w:rsidRDefault="00F666A6">
      <w:pPr>
        <w:pStyle w:val="BodyText"/>
        <w:ind w:left="1439"/>
        <w:jc w:val="both"/>
      </w:pPr>
      <w:r>
        <w:t>Berrien</w:t>
      </w:r>
      <w:r>
        <w:rPr>
          <w:spacing w:val="-7"/>
        </w:rPr>
        <w:t xml:space="preserve"> </w:t>
      </w:r>
      <w:r>
        <w:t>Springs,</w:t>
      </w:r>
      <w:r>
        <w:rPr>
          <w:spacing w:val="-6"/>
        </w:rPr>
        <w:t xml:space="preserve"> </w:t>
      </w:r>
      <w:r>
        <w:rPr>
          <w:spacing w:val="-2"/>
        </w:rPr>
        <w:t>Michigan</w:t>
      </w:r>
    </w:p>
    <w:p w14:paraId="18A0B647" w14:textId="77777777" w:rsidR="00DB6E1F" w:rsidRDefault="00F666A6">
      <w:pPr>
        <w:spacing w:before="159"/>
        <w:ind w:left="1439" w:right="7961"/>
      </w:pPr>
      <w:r>
        <w:rPr>
          <w:b/>
        </w:rPr>
        <w:t>Richard</w:t>
      </w:r>
      <w:r>
        <w:rPr>
          <w:b/>
          <w:spacing w:val="-9"/>
        </w:rPr>
        <w:t xml:space="preserve"> </w:t>
      </w:r>
      <w:r>
        <w:rPr>
          <w:b/>
        </w:rPr>
        <w:t>L.</w:t>
      </w:r>
      <w:r>
        <w:rPr>
          <w:b/>
          <w:spacing w:val="-9"/>
        </w:rPr>
        <w:t xml:space="preserve"> </w:t>
      </w:r>
      <w:r>
        <w:rPr>
          <w:b/>
        </w:rPr>
        <w:t>Brown,</w:t>
      </w:r>
      <w:r>
        <w:rPr>
          <w:b/>
          <w:spacing w:val="-8"/>
        </w:rPr>
        <w:t xml:space="preserve"> </w:t>
      </w:r>
      <w:r>
        <w:rPr>
          <w:b/>
        </w:rPr>
        <w:t>M.D.,</w:t>
      </w:r>
      <w:r>
        <w:rPr>
          <w:b/>
          <w:spacing w:val="-8"/>
        </w:rPr>
        <w:t xml:space="preserve"> </w:t>
      </w:r>
      <w:r>
        <w:rPr>
          <w:b/>
        </w:rPr>
        <w:t xml:space="preserve">M.P.H. </w:t>
      </w:r>
      <w:r>
        <w:t>Associate Professor Department</w:t>
      </w:r>
      <w:r>
        <w:rPr>
          <w:spacing w:val="-13"/>
        </w:rPr>
        <w:t xml:space="preserve"> </w:t>
      </w:r>
      <w:r>
        <w:t>of</w:t>
      </w:r>
      <w:r>
        <w:rPr>
          <w:spacing w:val="-12"/>
        </w:rPr>
        <w:t xml:space="preserve"> </w:t>
      </w:r>
      <w:r>
        <w:t>Family</w:t>
      </w:r>
      <w:r>
        <w:rPr>
          <w:spacing w:val="-13"/>
        </w:rPr>
        <w:t xml:space="preserve"> </w:t>
      </w:r>
      <w:r>
        <w:t>Medicine</w:t>
      </w:r>
    </w:p>
    <w:p w14:paraId="687D8287" w14:textId="77777777" w:rsidR="00DB6E1F" w:rsidRDefault="00F666A6">
      <w:pPr>
        <w:pStyle w:val="BodyText"/>
        <w:ind w:left="1439" w:right="6821"/>
      </w:pPr>
      <w:r>
        <w:t>University</w:t>
      </w:r>
      <w:r>
        <w:rPr>
          <w:spacing w:val="-7"/>
        </w:rPr>
        <w:t xml:space="preserve"> </w:t>
      </w:r>
      <w:r>
        <w:t>of</w:t>
      </w:r>
      <w:r>
        <w:rPr>
          <w:spacing w:val="-9"/>
        </w:rPr>
        <w:t xml:space="preserve"> </w:t>
      </w:r>
      <w:r>
        <w:t>Wisconsin</w:t>
      </w:r>
      <w:r>
        <w:rPr>
          <w:spacing w:val="-7"/>
        </w:rPr>
        <w:t xml:space="preserve"> </w:t>
      </w:r>
      <w:r>
        <w:t>School</w:t>
      </w:r>
      <w:r>
        <w:rPr>
          <w:spacing w:val="-9"/>
        </w:rPr>
        <w:t xml:space="preserve"> </w:t>
      </w:r>
      <w:r>
        <w:t>of</w:t>
      </w:r>
      <w:r>
        <w:rPr>
          <w:spacing w:val="-9"/>
        </w:rPr>
        <w:t xml:space="preserve"> </w:t>
      </w:r>
      <w:r>
        <w:t>Medicine Madison, Wisconsin</w:t>
      </w:r>
    </w:p>
    <w:p w14:paraId="320572D9" w14:textId="77777777" w:rsidR="00DB6E1F" w:rsidRDefault="00F666A6">
      <w:pPr>
        <w:spacing w:before="162"/>
        <w:ind w:left="1439" w:right="8273"/>
      </w:pPr>
      <w:r>
        <w:rPr>
          <w:b/>
        </w:rPr>
        <w:t xml:space="preserve">Dorynne Czechowicz, M.D. </w:t>
      </w:r>
      <w:r>
        <w:t>Associate Director Medical/Professional</w:t>
      </w:r>
      <w:r>
        <w:rPr>
          <w:spacing w:val="-13"/>
        </w:rPr>
        <w:t xml:space="preserve"> </w:t>
      </w:r>
      <w:r>
        <w:t>Affairs Treatment</w:t>
      </w:r>
      <w:r>
        <w:rPr>
          <w:spacing w:val="-7"/>
        </w:rPr>
        <w:t xml:space="preserve"> </w:t>
      </w:r>
      <w:r>
        <w:t>Research</w:t>
      </w:r>
      <w:r>
        <w:rPr>
          <w:spacing w:val="-5"/>
        </w:rPr>
        <w:t xml:space="preserve"> </w:t>
      </w:r>
      <w:r>
        <w:rPr>
          <w:spacing w:val="-2"/>
        </w:rPr>
        <w:t>Branch</w:t>
      </w:r>
    </w:p>
    <w:p w14:paraId="1613C7B3" w14:textId="77777777" w:rsidR="00DB6E1F" w:rsidRDefault="00F666A6">
      <w:pPr>
        <w:pStyle w:val="BodyText"/>
        <w:ind w:left="1439" w:right="7048"/>
      </w:pPr>
      <w:r>
        <w:t>Division</w:t>
      </w:r>
      <w:r>
        <w:rPr>
          <w:spacing w:val="-10"/>
        </w:rPr>
        <w:t xml:space="preserve"> </w:t>
      </w:r>
      <w:r>
        <w:t>of</w:t>
      </w:r>
      <w:r>
        <w:rPr>
          <w:spacing w:val="-7"/>
        </w:rPr>
        <w:t xml:space="preserve"> </w:t>
      </w:r>
      <w:r>
        <w:t>Clinical</w:t>
      </w:r>
      <w:r>
        <w:rPr>
          <w:spacing w:val="-7"/>
        </w:rPr>
        <w:t xml:space="preserve"> </w:t>
      </w:r>
      <w:r>
        <w:t>and</w:t>
      </w:r>
      <w:r>
        <w:rPr>
          <w:spacing w:val="-8"/>
        </w:rPr>
        <w:t xml:space="preserve"> </w:t>
      </w:r>
      <w:r>
        <w:t>Services</w:t>
      </w:r>
      <w:r>
        <w:rPr>
          <w:spacing w:val="-7"/>
        </w:rPr>
        <w:t xml:space="preserve"> </w:t>
      </w:r>
      <w:r>
        <w:t>Research National Institute on Drug Abuse Rockville, Maryland</w:t>
      </w:r>
    </w:p>
    <w:p w14:paraId="0FE0E1D7" w14:textId="77777777" w:rsidR="00DB6E1F" w:rsidRDefault="00F666A6">
      <w:pPr>
        <w:pStyle w:val="Heading5"/>
        <w:spacing w:before="160" w:line="268" w:lineRule="exact"/>
        <w:ind w:left="1439"/>
      </w:pPr>
      <w:r>
        <w:t>Linda</w:t>
      </w:r>
      <w:r>
        <w:rPr>
          <w:spacing w:val="-7"/>
        </w:rPr>
        <w:t xml:space="preserve"> </w:t>
      </w:r>
      <w:r>
        <w:t>S.</w:t>
      </w:r>
      <w:r>
        <w:rPr>
          <w:spacing w:val="-2"/>
        </w:rPr>
        <w:t xml:space="preserve"> </w:t>
      </w:r>
      <w:r>
        <w:t>Foley,</w:t>
      </w:r>
      <w:r>
        <w:rPr>
          <w:spacing w:val="-2"/>
        </w:rPr>
        <w:t xml:space="preserve"> </w:t>
      </w:r>
      <w:r>
        <w:rPr>
          <w:spacing w:val="-4"/>
        </w:rPr>
        <w:t>M.A.</w:t>
      </w:r>
    </w:p>
    <w:p w14:paraId="4144B758" w14:textId="77777777" w:rsidR="00DB6E1F" w:rsidRDefault="00F666A6">
      <w:pPr>
        <w:pStyle w:val="BodyText"/>
        <w:spacing w:line="268" w:lineRule="exact"/>
        <w:ind w:left="1439"/>
      </w:pPr>
      <w:r>
        <w:t>Former</w:t>
      </w:r>
      <w:r>
        <w:rPr>
          <w:spacing w:val="-5"/>
        </w:rPr>
        <w:t xml:space="preserve"> </w:t>
      </w:r>
      <w:r>
        <w:rPr>
          <w:spacing w:val="-2"/>
        </w:rPr>
        <w:t>Director</w:t>
      </w:r>
    </w:p>
    <w:p w14:paraId="043A7454" w14:textId="77777777" w:rsidR="00DB6E1F" w:rsidRDefault="00F666A6">
      <w:pPr>
        <w:pStyle w:val="BodyText"/>
        <w:ind w:left="1439"/>
      </w:pPr>
      <w:r>
        <w:t>Project</w:t>
      </w:r>
      <w:r>
        <w:rPr>
          <w:spacing w:val="-5"/>
        </w:rPr>
        <w:t xml:space="preserve"> </w:t>
      </w:r>
      <w:r>
        <w:t>for</w:t>
      </w:r>
      <w:r>
        <w:rPr>
          <w:spacing w:val="-6"/>
        </w:rPr>
        <w:t xml:space="preserve"> </w:t>
      </w:r>
      <w:r>
        <w:t>Addiction</w:t>
      </w:r>
      <w:r>
        <w:rPr>
          <w:spacing w:val="-6"/>
        </w:rPr>
        <w:t xml:space="preserve"> </w:t>
      </w:r>
      <w:r>
        <w:t>Counselor</w:t>
      </w:r>
      <w:r>
        <w:rPr>
          <w:spacing w:val="-5"/>
        </w:rPr>
        <w:t xml:space="preserve"> </w:t>
      </w:r>
      <w:r>
        <w:rPr>
          <w:spacing w:val="-2"/>
        </w:rPr>
        <w:t>Training</w:t>
      </w:r>
    </w:p>
    <w:p w14:paraId="518D6752" w14:textId="77777777" w:rsidR="00DB6E1F" w:rsidRDefault="00F666A6">
      <w:pPr>
        <w:pStyle w:val="BodyText"/>
        <w:ind w:left="1439" w:right="5069"/>
      </w:pPr>
      <w:r>
        <w:t>National</w:t>
      </w:r>
      <w:r>
        <w:rPr>
          <w:spacing w:val="-3"/>
        </w:rPr>
        <w:t xml:space="preserve"> </w:t>
      </w:r>
      <w:r>
        <w:t>Association</w:t>
      </w:r>
      <w:r>
        <w:rPr>
          <w:spacing w:val="-6"/>
        </w:rPr>
        <w:t xml:space="preserve"> </w:t>
      </w:r>
      <w:r>
        <w:t>of</w:t>
      </w:r>
      <w:r>
        <w:rPr>
          <w:spacing w:val="-3"/>
        </w:rPr>
        <w:t xml:space="preserve"> </w:t>
      </w:r>
      <w:r>
        <w:t>State</w:t>
      </w:r>
      <w:r>
        <w:rPr>
          <w:spacing w:val="-2"/>
        </w:rPr>
        <w:t xml:space="preserve"> </w:t>
      </w:r>
      <w:r>
        <w:t>Alcohol</w:t>
      </w:r>
      <w:r>
        <w:rPr>
          <w:spacing w:val="-6"/>
        </w:rPr>
        <w:t xml:space="preserve"> </w:t>
      </w:r>
      <w:r>
        <w:t>and</w:t>
      </w:r>
      <w:r>
        <w:rPr>
          <w:spacing w:val="-4"/>
        </w:rPr>
        <w:t xml:space="preserve"> </w:t>
      </w:r>
      <w:r>
        <w:t>Drug</w:t>
      </w:r>
      <w:r>
        <w:rPr>
          <w:spacing w:val="-4"/>
        </w:rPr>
        <w:t xml:space="preserve"> </w:t>
      </w:r>
      <w:r>
        <w:t>Abuse</w:t>
      </w:r>
      <w:r>
        <w:rPr>
          <w:spacing w:val="-7"/>
        </w:rPr>
        <w:t xml:space="preserve"> </w:t>
      </w:r>
      <w:r>
        <w:t>Directors Washington, D.C.</w:t>
      </w:r>
    </w:p>
    <w:p w14:paraId="38C1A675" w14:textId="77777777" w:rsidR="00DB6E1F" w:rsidRDefault="00F666A6">
      <w:pPr>
        <w:pStyle w:val="Heading5"/>
        <w:spacing w:before="161"/>
        <w:ind w:left="1439"/>
      </w:pPr>
      <w:r>
        <w:t>Wayde</w:t>
      </w:r>
      <w:r>
        <w:rPr>
          <w:spacing w:val="-7"/>
        </w:rPr>
        <w:t xml:space="preserve"> </w:t>
      </w:r>
      <w:r>
        <w:t>A.</w:t>
      </w:r>
      <w:r>
        <w:rPr>
          <w:spacing w:val="-4"/>
        </w:rPr>
        <w:t xml:space="preserve"> </w:t>
      </w:r>
      <w:r>
        <w:t>Glover,</w:t>
      </w:r>
      <w:r>
        <w:rPr>
          <w:spacing w:val="-5"/>
        </w:rPr>
        <w:t xml:space="preserve"> </w:t>
      </w:r>
      <w:r>
        <w:t>M.I.S.,</w:t>
      </w:r>
      <w:r>
        <w:rPr>
          <w:spacing w:val="-5"/>
        </w:rPr>
        <w:t xml:space="preserve"> </w:t>
      </w:r>
      <w:r>
        <w:t>N.C.A.C.</w:t>
      </w:r>
      <w:r>
        <w:rPr>
          <w:spacing w:val="-4"/>
        </w:rPr>
        <w:t xml:space="preserve"> </w:t>
      </w:r>
      <w:r>
        <w:rPr>
          <w:spacing w:val="-5"/>
        </w:rPr>
        <w:t>II</w:t>
      </w:r>
    </w:p>
    <w:p w14:paraId="781B9F08" w14:textId="77777777" w:rsidR="00DB6E1F" w:rsidRDefault="00F666A6">
      <w:pPr>
        <w:pStyle w:val="BodyText"/>
        <w:ind w:left="1439"/>
      </w:pPr>
      <w:r>
        <w:rPr>
          <w:spacing w:val="-2"/>
        </w:rPr>
        <w:t>Director</w:t>
      </w:r>
    </w:p>
    <w:p w14:paraId="56B0EF84" w14:textId="77777777" w:rsidR="00DB6E1F" w:rsidRDefault="00F666A6">
      <w:pPr>
        <w:pStyle w:val="BodyText"/>
        <w:ind w:left="1439" w:right="5969"/>
      </w:pPr>
      <w:r>
        <w:t>Commonwealth</w:t>
      </w:r>
      <w:r>
        <w:rPr>
          <w:spacing w:val="-9"/>
        </w:rPr>
        <w:t xml:space="preserve"> </w:t>
      </w:r>
      <w:r>
        <w:t>Addictions</w:t>
      </w:r>
      <w:r>
        <w:rPr>
          <w:spacing w:val="-10"/>
        </w:rPr>
        <w:t xml:space="preserve"> </w:t>
      </w:r>
      <w:r>
        <w:t>Consultants</w:t>
      </w:r>
      <w:r>
        <w:rPr>
          <w:spacing w:val="-10"/>
        </w:rPr>
        <w:t xml:space="preserve"> </w:t>
      </w:r>
      <w:r>
        <w:t>and</w:t>
      </w:r>
      <w:r>
        <w:rPr>
          <w:spacing w:val="-9"/>
        </w:rPr>
        <w:t xml:space="preserve"> </w:t>
      </w:r>
      <w:r>
        <w:t>Trainers Richmond, Virginia</w:t>
      </w:r>
    </w:p>
    <w:p w14:paraId="5CE16D4C" w14:textId="77777777" w:rsidR="00DB6E1F" w:rsidRDefault="00F666A6">
      <w:pPr>
        <w:pStyle w:val="Heading5"/>
        <w:ind w:left="1439"/>
        <w:jc w:val="both"/>
      </w:pPr>
      <w:r>
        <w:t>Pedro</w:t>
      </w:r>
      <w:r>
        <w:rPr>
          <w:spacing w:val="-6"/>
        </w:rPr>
        <w:t xml:space="preserve"> </w:t>
      </w:r>
      <w:r>
        <w:t>J.</w:t>
      </w:r>
      <w:r>
        <w:rPr>
          <w:spacing w:val="-2"/>
        </w:rPr>
        <w:t xml:space="preserve"> </w:t>
      </w:r>
      <w:r>
        <w:t>Greer,</w:t>
      </w:r>
      <w:r>
        <w:rPr>
          <w:spacing w:val="-1"/>
        </w:rPr>
        <w:t xml:space="preserve"> </w:t>
      </w:r>
      <w:r>
        <w:rPr>
          <w:spacing w:val="-4"/>
        </w:rPr>
        <w:t>M.D.</w:t>
      </w:r>
    </w:p>
    <w:p w14:paraId="4F2AEE5A" w14:textId="77777777" w:rsidR="00DB6E1F" w:rsidRDefault="00F666A6">
      <w:pPr>
        <w:pStyle w:val="BodyText"/>
        <w:ind w:left="1439" w:right="7283"/>
        <w:jc w:val="both"/>
      </w:pPr>
      <w:r>
        <w:t>Assistant</w:t>
      </w:r>
      <w:r>
        <w:rPr>
          <w:spacing w:val="-5"/>
        </w:rPr>
        <w:t xml:space="preserve"> </w:t>
      </w:r>
      <w:r>
        <w:t>Dean</w:t>
      </w:r>
      <w:r>
        <w:rPr>
          <w:spacing w:val="-4"/>
        </w:rPr>
        <w:t xml:space="preserve"> </w:t>
      </w:r>
      <w:r>
        <w:t>for</w:t>
      </w:r>
      <w:r>
        <w:rPr>
          <w:spacing w:val="-3"/>
        </w:rPr>
        <w:t xml:space="preserve"> </w:t>
      </w:r>
      <w:r>
        <w:t>Homeless</w:t>
      </w:r>
      <w:r>
        <w:rPr>
          <w:spacing w:val="-3"/>
        </w:rPr>
        <w:t xml:space="preserve"> </w:t>
      </w:r>
      <w:r>
        <w:t>Education University</w:t>
      </w:r>
      <w:r>
        <w:rPr>
          <w:spacing w:val="-6"/>
        </w:rPr>
        <w:t xml:space="preserve"> </w:t>
      </w:r>
      <w:r>
        <w:t>of</w:t>
      </w:r>
      <w:r>
        <w:rPr>
          <w:spacing w:val="-8"/>
        </w:rPr>
        <w:t xml:space="preserve"> </w:t>
      </w:r>
      <w:r>
        <w:t>Miami</w:t>
      </w:r>
      <w:r>
        <w:rPr>
          <w:spacing w:val="-6"/>
        </w:rPr>
        <w:t xml:space="preserve"> </w:t>
      </w:r>
      <w:r>
        <w:t>School</w:t>
      </w:r>
      <w:r>
        <w:rPr>
          <w:spacing w:val="-8"/>
        </w:rPr>
        <w:t xml:space="preserve"> </w:t>
      </w:r>
      <w:r>
        <w:t>of</w:t>
      </w:r>
      <w:r>
        <w:rPr>
          <w:spacing w:val="-8"/>
        </w:rPr>
        <w:t xml:space="preserve"> </w:t>
      </w:r>
      <w:r>
        <w:t>Medicine Miami, Florida</w:t>
      </w:r>
    </w:p>
    <w:p w14:paraId="3D06C232" w14:textId="77777777" w:rsidR="00DB6E1F" w:rsidRDefault="00F666A6">
      <w:pPr>
        <w:spacing w:before="159"/>
        <w:ind w:left="1439" w:right="8390"/>
      </w:pPr>
      <w:r>
        <w:rPr>
          <w:b/>
        </w:rPr>
        <w:t xml:space="preserve">Thomas W. Hester, M.D. </w:t>
      </w:r>
      <w:r>
        <w:t>Former State Director Substance</w:t>
      </w:r>
      <w:r>
        <w:rPr>
          <w:spacing w:val="-13"/>
        </w:rPr>
        <w:t xml:space="preserve"> </w:t>
      </w:r>
      <w:r>
        <w:t>Abuse</w:t>
      </w:r>
      <w:r>
        <w:rPr>
          <w:spacing w:val="-12"/>
        </w:rPr>
        <w:t xml:space="preserve"> </w:t>
      </w:r>
      <w:r>
        <w:t>Services</w:t>
      </w:r>
    </w:p>
    <w:p w14:paraId="4754C74A" w14:textId="77777777" w:rsidR="00DB6E1F" w:rsidRDefault="00F666A6">
      <w:pPr>
        <w:pStyle w:val="BodyText"/>
        <w:spacing w:before="1"/>
        <w:ind w:left="1439" w:right="4074"/>
      </w:pPr>
      <w:r>
        <w:t>Division</w:t>
      </w:r>
      <w:r>
        <w:rPr>
          <w:spacing w:val="-6"/>
        </w:rPr>
        <w:t xml:space="preserve"> </w:t>
      </w:r>
      <w:r>
        <w:t>of</w:t>
      </w:r>
      <w:r>
        <w:rPr>
          <w:spacing w:val="-6"/>
        </w:rPr>
        <w:t xml:space="preserve"> </w:t>
      </w:r>
      <w:r>
        <w:t>Mental</w:t>
      </w:r>
      <w:r>
        <w:rPr>
          <w:spacing w:val="-3"/>
        </w:rPr>
        <w:t xml:space="preserve"> </w:t>
      </w:r>
      <w:r>
        <w:t>Health,</w:t>
      </w:r>
      <w:r>
        <w:rPr>
          <w:spacing w:val="-5"/>
        </w:rPr>
        <w:t xml:space="preserve"> </w:t>
      </w:r>
      <w:r>
        <w:t>Mental</w:t>
      </w:r>
      <w:r>
        <w:rPr>
          <w:spacing w:val="-6"/>
        </w:rPr>
        <w:t xml:space="preserve"> </w:t>
      </w:r>
      <w:r>
        <w:t>Retardation</w:t>
      </w:r>
      <w:r>
        <w:rPr>
          <w:spacing w:val="-6"/>
        </w:rPr>
        <w:t xml:space="preserve"> </w:t>
      </w:r>
      <w:r>
        <w:t>and</w:t>
      </w:r>
      <w:r>
        <w:rPr>
          <w:spacing w:val="-4"/>
        </w:rPr>
        <w:t xml:space="preserve"> </w:t>
      </w:r>
      <w:r>
        <w:t>Substance</w:t>
      </w:r>
      <w:r>
        <w:rPr>
          <w:spacing w:val="-2"/>
        </w:rPr>
        <w:t xml:space="preserve"> </w:t>
      </w:r>
      <w:r>
        <w:t>Abuse Georgia Department of Human Resources</w:t>
      </w:r>
    </w:p>
    <w:p w14:paraId="1A6E3488" w14:textId="77777777" w:rsidR="00DB6E1F" w:rsidRDefault="00F666A6">
      <w:pPr>
        <w:pStyle w:val="BodyText"/>
        <w:ind w:left="1439"/>
      </w:pPr>
      <w:r>
        <w:t>Atlanta,</w:t>
      </w:r>
      <w:r>
        <w:rPr>
          <w:spacing w:val="-7"/>
        </w:rPr>
        <w:t xml:space="preserve"> </w:t>
      </w:r>
      <w:r>
        <w:rPr>
          <w:spacing w:val="-2"/>
        </w:rPr>
        <w:t>Georgia</w:t>
      </w:r>
    </w:p>
    <w:p w14:paraId="10E2064C" w14:textId="77777777" w:rsidR="00DB6E1F" w:rsidRDefault="00F666A6">
      <w:pPr>
        <w:pStyle w:val="Heading5"/>
        <w:ind w:left="1439"/>
      </w:pPr>
      <w:r>
        <w:t>James</w:t>
      </w:r>
      <w:r>
        <w:rPr>
          <w:spacing w:val="-2"/>
        </w:rPr>
        <w:t xml:space="preserve"> </w:t>
      </w:r>
      <w:r>
        <w:t>G.</w:t>
      </w:r>
      <w:r>
        <w:rPr>
          <w:spacing w:val="-3"/>
        </w:rPr>
        <w:t xml:space="preserve"> </w:t>
      </w:r>
      <w:r>
        <w:t>(Gil)</w:t>
      </w:r>
      <w:r>
        <w:rPr>
          <w:spacing w:val="-4"/>
        </w:rPr>
        <w:t xml:space="preserve"> </w:t>
      </w:r>
      <w:r>
        <w:t>Hill,</w:t>
      </w:r>
      <w:r>
        <w:rPr>
          <w:spacing w:val="-4"/>
        </w:rPr>
        <w:t xml:space="preserve"> Ph.D.</w:t>
      </w:r>
    </w:p>
    <w:p w14:paraId="4A1850A0" w14:textId="77777777" w:rsidR="00DB6E1F" w:rsidRDefault="00F666A6">
      <w:pPr>
        <w:pStyle w:val="BodyText"/>
        <w:ind w:left="1439"/>
      </w:pPr>
      <w:r>
        <w:rPr>
          <w:spacing w:val="-2"/>
        </w:rPr>
        <w:t>Director</w:t>
      </w:r>
    </w:p>
    <w:p w14:paraId="21D9DAC0" w14:textId="77777777" w:rsidR="00DB6E1F" w:rsidRDefault="00F666A6">
      <w:pPr>
        <w:pStyle w:val="BodyText"/>
        <w:ind w:left="1439" w:right="7629"/>
      </w:pPr>
      <w:r>
        <w:t>Office of Substance Abuse American</w:t>
      </w:r>
      <w:r>
        <w:rPr>
          <w:spacing w:val="-13"/>
        </w:rPr>
        <w:t xml:space="preserve"> </w:t>
      </w:r>
      <w:r>
        <w:t>Psychological</w:t>
      </w:r>
      <w:r>
        <w:rPr>
          <w:spacing w:val="-12"/>
        </w:rPr>
        <w:t xml:space="preserve"> </w:t>
      </w:r>
      <w:r>
        <w:t>Association Washington, D.C.</w:t>
      </w:r>
    </w:p>
    <w:p w14:paraId="3DA9BC4F" w14:textId="77777777" w:rsidR="00DB6E1F" w:rsidRDefault="00F666A6">
      <w:pPr>
        <w:pStyle w:val="Heading5"/>
        <w:ind w:left="1439"/>
      </w:pPr>
      <w:r>
        <w:t>Douglas</w:t>
      </w:r>
      <w:r>
        <w:rPr>
          <w:spacing w:val="-5"/>
        </w:rPr>
        <w:t xml:space="preserve"> </w:t>
      </w:r>
      <w:r>
        <w:t>B.</w:t>
      </w:r>
      <w:r>
        <w:rPr>
          <w:spacing w:val="-4"/>
        </w:rPr>
        <w:t xml:space="preserve"> </w:t>
      </w:r>
      <w:r>
        <w:t>Kamerow,</w:t>
      </w:r>
      <w:r>
        <w:rPr>
          <w:spacing w:val="-3"/>
        </w:rPr>
        <w:t xml:space="preserve"> </w:t>
      </w:r>
      <w:r>
        <w:t>M.D.,</w:t>
      </w:r>
      <w:r>
        <w:rPr>
          <w:spacing w:val="-2"/>
        </w:rPr>
        <w:t xml:space="preserve"> M.P.H.</w:t>
      </w:r>
    </w:p>
    <w:p w14:paraId="33AA0442" w14:textId="77777777" w:rsidR="00DB6E1F" w:rsidRDefault="00F666A6">
      <w:pPr>
        <w:pStyle w:val="BodyText"/>
        <w:ind w:left="1439"/>
      </w:pPr>
      <w:r>
        <w:rPr>
          <w:spacing w:val="-2"/>
        </w:rPr>
        <w:t>Director</w:t>
      </w:r>
    </w:p>
    <w:p w14:paraId="1C721E7D" w14:textId="77777777" w:rsidR="00DB6E1F" w:rsidRDefault="00F666A6">
      <w:pPr>
        <w:pStyle w:val="BodyText"/>
        <w:spacing w:before="1"/>
        <w:ind w:left="1439" w:right="5069"/>
      </w:pPr>
      <w:r>
        <w:t>Office</w:t>
      </w:r>
      <w:r>
        <w:rPr>
          <w:spacing w:val="-5"/>
        </w:rPr>
        <w:t xml:space="preserve"> </w:t>
      </w:r>
      <w:r>
        <w:t>of</w:t>
      </w:r>
      <w:r>
        <w:rPr>
          <w:spacing w:val="-4"/>
        </w:rPr>
        <w:t xml:space="preserve"> </w:t>
      </w:r>
      <w:r>
        <w:t>the</w:t>
      </w:r>
      <w:r>
        <w:rPr>
          <w:spacing w:val="-3"/>
        </w:rPr>
        <w:t xml:space="preserve"> </w:t>
      </w:r>
      <w:r>
        <w:t>Forum</w:t>
      </w:r>
      <w:r>
        <w:rPr>
          <w:spacing w:val="-3"/>
        </w:rPr>
        <w:t xml:space="preserve"> </w:t>
      </w:r>
      <w:r>
        <w:t>for</w:t>
      </w:r>
      <w:r>
        <w:rPr>
          <w:spacing w:val="-5"/>
        </w:rPr>
        <w:t xml:space="preserve"> </w:t>
      </w:r>
      <w:r>
        <w:t>Quality</w:t>
      </w:r>
      <w:r>
        <w:rPr>
          <w:spacing w:val="-3"/>
        </w:rPr>
        <w:t xml:space="preserve"> </w:t>
      </w:r>
      <w:r>
        <w:t>and</w:t>
      </w:r>
      <w:r>
        <w:rPr>
          <w:spacing w:val="-5"/>
        </w:rPr>
        <w:t xml:space="preserve"> </w:t>
      </w:r>
      <w:r>
        <w:t>Effectiveness</w:t>
      </w:r>
      <w:r>
        <w:rPr>
          <w:spacing w:val="-4"/>
        </w:rPr>
        <w:t xml:space="preserve"> </w:t>
      </w:r>
      <w:r>
        <w:t>in</w:t>
      </w:r>
      <w:r>
        <w:rPr>
          <w:spacing w:val="-5"/>
        </w:rPr>
        <w:t xml:space="preserve"> </w:t>
      </w:r>
      <w:r>
        <w:t>Health</w:t>
      </w:r>
      <w:r>
        <w:rPr>
          <w:spacing w:val="-5"/>
        </w:rPr>
        <w:t xml:space="preserve"> </w:t>
      </w:r>
      <w:r>
        <w:t>Care Agency for Healthcare Research and Quality</w:t>
      </w:r>
    </w:p>
    <w:p w14:paraId="610851F6" w14:textId="77777777" w:rsidR="00DB6E1F" w:rsidRDefault="00F666A6">
      <w:pPr>
        <w:pStyle w:val="BodyText"/>
        <w:ind w:left="1439"/>
      </w:pPr>
      <w:r>
        <w:t>Rockville,</w:t>
      </w:r>
      <w:r>
        <w:rPr>
          <w:spacing w:val="-6"/>
        </w:rPr>
        <w:t xml:space="preserve"> </w:t>
      </w:r>
      <w:r>
        <w:rPr>
          <w:spacing w:val="-2"/>
        </w:rPr>
        <w:t>Maryland</w:t>
      </w:r>
    </w:p>
    <w:p w14:paraId="173D3F2F" w14:textId="77777777" w:rsidR="00DB6E1F" w:rsidRDefault="00DB6E1F">
      <w:pPr>
        <w:sectPr w:rsidR="00DB6E1F">
          <w:pgSz w:w="12240" w:h="15840"/>
          <w:pgMar w:top="960" w:right="0" w:bottom="940" w:left="0" w:header="762" w:footer="602" w:gutter="0"/>
          <w:cols w:space="720"/>
        </w:sectPr>
      </w:pPr>
    </w:p>
    <w:p w14:paraId="23ADA85F" w14:textId="77777777" w:rsidR="00DB6E1F" w:rsidRDefault="00DB6E1F">
      <w:pPr>
        <w:pStyle w:val="BodyText"/>
        <w:rPr>
          <w:sz w:val="20"/>
        </w:rPr>
      </w:pPr>
    </w:p>
    <w:p w14:paraId="58210420" w14:textId="77777777" w:rsidR="00DB6E1F" w:rsidRDefault="00DB6E1F">
      <w:pPr>
        <w:pStyle w:val="BodyText"/>
        <w:spacing w:before="1"/>
        <w:rPr>
          <w:sz w:val="19"/>
        </w:rPr>
      </w:pPr>
    </w:p>
    <w:p w14:paraId="05A821A3" w14:textId="77777777" w:rsidR="00DB6E1F" w:rsidRDefault="00F666A6">
      <w:pPr>
        <w:pStyle w:val="Heading5"/>
        <w:spacing w:before="0"/>
      </w:pPr>
      <w:r>
        <w:t>Stephen</w:t>
      </w:r>
      <w:r>
        <w:rPr>
          <w:spacing w:val="-5"/>
        </w:rPr>
        <w:t xml:space="preserve"> </w:t>
      </w:r>
      <w:r>
        <w:t>W.</w:t>
      </w:r>
      <w:r>
        <w:rPr>
          <w:spacing w:val="-2"/>
        </w:rPr>
        <w:t xml:space="preserve"> </w:t>
      </w:r>
      <w:r>
        <w:rPr>
          <w:spacing w:val="-4"/>
        </w:rPr>
        <w:t>Long</w:t>
      </w:r>
    </w:p>
    <w:p w14:paraId="1E1F0DCF" w14:textId="77777777" w:rsidR="00DB6E1F" w:rsidRDefault="00F666A6">
      <w:pPr>
        <w:pStyle w:val="BodyText"/>
        <w:ind w:left="1440"/>
      </w:pPr>
      <w:r>
        <w:rPr>
          <w:spacing w:val="-2"/>
        </w:rPr>
        <w:t>Director</w:t>
      </w:r>
    </w:p>
    <w:p w14:paraId="28617C64" w14:textId="77777777" w:rsidR="00DB6E1F" w:rsidRDefault="00F666A6">
      <w:pPr>
        <w:pStyle w:val="BodyText"/>
        <w:ind w:left="1440"/>
      </w:pPr>
      <w:r>
        <w:t>Office</w:t>
      </w:r>
      <w:r>
        <w:rPr>
          <w:spacing w:val="-4"/>
        </w:rPr>
        <w:t xml:space="preserve"> </w:t>
      </w:r>
      <w:r>
        <w:t>of</w:t>
      </w:r>
      <w:r>
        <w:rPr>
          <w:spacing w:val="-4"/>
        </w:rPr>
        <w:t xml:space="preserve"> </w:t>
      </w:r>
      <w:r>
        <w:t xml:space="preserve">Policy </w:t>
      </w:r>
      <w:r>
        <w:rPr>
          <w:spacing w:val="-2"/>
        </w:rPr>
        <w:t>Analysis</w:t>
      </w:r>
    </w:p>
    <w:p w14:paraId="3EEDD907" w14:textId="77777777" w:rsidR="00DB6E1F" w:rsidRDefault="00F666A6">
      <w:pPr>
        <w:pStyle w:val="BodyText"/>
        <w:spacing w:before="1"/>
        <w:ind w:left="1440" w:right="5969"/>
      </w:pPr>
      <w:r>
        <w:t>National</w:t>
      </w:r>
      <w:r>
        <w:rPr>
          <w:spacing w:val="-6"/>
        </w:rPr>
        <w:t xml:space="preserve"> </w:t>
      </w:r>
      <w:r>
        <w:t>Institute</w:t>
      </w:r>
      <w:r>
        <w:rPr>
          <w:spacing w:val="-8"/>
        </w:rPr>
        <w:t xml:space="preserve"> </w:t>
      </w:r>
      <w:r>
        <w:t>on</w:t>
      </w:r>
      <w:r>
        <w:rPr>
          <w:spacing w:val="-7"/>
        </w:rPr>
        <w:t xml:space="preserve"> </w:t>
      </w:r>
      <w:r>
        <w:t>Alcohol</w:t>
      </w:r>
      <w:r>
        <w:rPr>
          <w:spacing w:val="-6"/>
        </w:rPr>
        <w:t xml:space="preserve"> </w:t>
      </w:r>
      <w:r>
        <w:t>Abuse</w:t>
      </w:r>
      <w:r>
        <w:rPr>
          <w:spacing w:val="-5"/>
        </w:rPr>
        <w:t xml:space="preserve"> </w:t>
      </w:r>
      <w:r>
        <w:t>and</w:t>
      </w:r>
      <w:r>
        <w:rPr>
          <w:spacing w:val="-7"/>
        </w:rPr>
        <w:t xml:space="preserve"> </w:t>
      </w:r>
      <w:r>
        <w:t>Alcoholism Rockville, Maryland</w:t>
      </w:r>
    </w:p>
    <w:p w14:paraId="45ABAD12" w14:textId="77777777" w:rsidR="00DB6E1F" w:rsidRDefault="00F666A6">
      <w:pPr>
        <w:pStyle w:val="Heading5"/>
      </w:pPr>
      <w:r>
        <w:t>Richard</w:t>
      </w:r>
      <w:r>
        <w:rPr>
          <w:spacing w:val="-7"/>
        </w:rPr>
        <w:t xml:space="preserve"> </w:t>
      </w:r>
      <w:r>
        <w:t>A.</w:t>
      </w:r>
      <w:r>
        <w:rPr>
          <w:spacing w:val="-3"/>
        </w:rPr>
        <w:t xml:space="preserve"> </w:t>
      </w:r>
      <w:r>
        <w:t>Rawson,</w:t>
      </w:r>
      <w:r>
        <w:rPr>
          <w:spacing w:val="-2"/>
        </w:rPr>
        <w:t xml:space="preserve"> </w:t>
      </w:r>
      <w:r>
        <w:rPr>
          <w:spacing w:val="-4"/>
        </w:rPr>
        <w:t>Ph.D.</w:t>
      </w:r>
    </w:p>
    <w:p w14:paraId="661B68F9" w14:textId="77777777" w:rsidR="00DB6E1F" w:rsidRDefault="00F666A6">
      <w:pPr>
        <w:pStyle w:val="BodyText"/>
        <w:ind w:left="1440"/>
      </w:pPr>
      <w:r>
        <w:t>Executive</w:t>
      </w:r>
      <w:r>
        <w:rPr>
          <w:spacing w:val="-5"/>
        </w:rPr>
        <w:t xml:space="preserve"> </w:t>
      </w:r>
      <w:r>
        <w:rPr>
          <w:spacing w:val="-2"/>
        </w:rPr>
        <w:t>Director</w:t>
      </w:r>
    </w:p>
    <w:p w14:paraId="449705B4" w14:textId="77777777" w:rsidR="00DB6E1F" w:rsidRDefault="00F666A6">
      <w:pPr>
        <w:pStyle w:val="BodyText"/>
        <w:ind w:left="1440" w:right="5969"/>
      </w:pPr>
      <w:r>
        <w:t>Matrix</w:t>
      </w:r>
      <w:r>
        <w:rPr>
          <w:spacing w:val="-7"/>
        </w:rPr>
        <w:t xml:space="preserve"> </w:t>
      </w:r>
      <w:r>
        <w:t>Center</w:t>
      </w:r>
      <w:r>
        <w:rPr>
          <w:spacing w:val="-5"/>
        </w:rPr>
        <w:t xml:space="preserve"> </w:t>
      </w:r>
      <w:r>
        <w:t>and</w:t>
      </w:r>
      <w:r>
        <w:rPr>
          <w:spacing w:val="-8"/>
        </w:rPr>
        <w:t xml:space="preserve"> </w:t>
      </w:r>
      <w:r>
        <w:t>Matrix</w:t>
      </w:r>
      <w:r>
        <w:rPr>
          <w:spacing w:val="-7"/>
        </w:rPr>
        <w:t xml:space="preserve"> </w:t>
      </w:r>
      <w:r>
        <w:t>Institute</w:t>
      </w:r>
      <w:r>
        <w:rPr>
          <w:spacing w:val="-7"/>
        </w:rPr>
        <w:t xml:space="preserve"> </w:t>
      </w:r>
      <w:r>
        <w:t>on</w:t>
      </w:r>
      <w:r>
        <w:rPr>
          <w:spacing w:val="-6"/>
        </w:rPr>
        <w:t xml:space="preserve"> </w:t>
      </w:r>
      <w:r>
        <w:t>Addiction Deputy Director</w:t>
      </w:r>
    </w:p>
    <w:p w14:paraId="70C29DC8" w14:textId="77777777" w:rsidR="00DB6E1F" w:rsidRDefault="00F666A6">
      <w:pPr>
        <w:pStyle w:val="BodyText"/>
        <w:ind w:left="1440" w:right="7628"/>
      </w:pPr>
      <w:r>
        <w:t>UCLA</w:t>
      </w:r>
      <w:r>
        <w:rPr>
          <w:spacing w:val="-12"/>
        </w:rPr>
        <w:t xml:space="preserve"> </w:t>
      </w:r>
      <w:r>
        <w:t>Addiction</w:t>
      </w:r>
      <w:r>
        <w:rPr>
          <w:spacing w:val="-13"/>
        </w:rPr>
        <w:t xml:space="preserve"> </w:t>
      </w:r>
      <w:r>
        <w:t>Medicine</w:t>
      </w:r>
      <w:r>
        <w:rPr>
          <w:spacing w:val="-11"/>
        </w:rPr>
        <w:t xml:space="preserve"> </w:t>
      </w:r>
      <w:r>
        <w:t>Services Los Angeles, California</w:t>
      </w:r>
    </w:p>
    <w:p w14:paraId="752C0839" w14:textId="77777777" w:rsidR="00DB6E1F" w:rsidRDefault="00F666A6">
      <w:pPr>
        <w:pStyle w:val="Heading5"/>
      </w:pPr>
      <w:r>
        <w:t>Ellen</w:t>
      </w:r>
      <w:r>
        <w:rPr>
          <w:spacing w:val="-6"/>
        </w:rPr>
        <w:t xml:space="preserve"> </w:t>
      </w:r>
      <w:r>
        <w:t>A.</w:t>
      </w:r>
      <w:r>
        <w:rPr>
          <w:spacing w:val="-1"/>
        </w:rPr>
        <w:t xml:space="preserve"> </w:t>
      </w:r>
      <w:r>
        <w:t>Renz,</w:t>
      </w:r>
      <w:r>
        <w:rPr>
          <w:spacing w:val="-2"/>
        </w:rPr>
        <w:t xml:space="preserve"> </w:t>
      </w:r>
      <w:r>
        <w:rPr>
          <w:spacing w:val="-4"/>
        </w:rPr>
        <w:t>Ph.D.</w:t>
      </w:r>
    </w:p>
    <w:p w14:paraId="35447B9A" w14:textId="77777777" w:rsidR="00DB6E1F" w:rsidRDefault="00F666A6">
      <w:pPr>
        <w:pStyle w:val="BodyText"/>
        <w:ind w:left="1439" w:right="6821"/>
      </w:pPr>
      <w:r>
        <w:t>Former</w:t>
      </w:r>
      <w:r>
        <w:rPr>
          <w:spacing w:val="-6"/>
        </w:rPr>
        <w:t xml:space="preserve"> </w:t>
      </w:r>
      <w:r>
        <w:t>Vice</w:t>
      </w:r>
      <w:r>
        <w:rPr>
          <w:spacing w:val="-8"/>
        </w:rPr>
        <w:t xml:space="preserve"> </w:t>
      </w:r>
      <w:r>
        <w:t>President</w:t>
      </w:r>
      <w:r>
        <w:rPr>
          <w:spacing w:val="-8"/>
        </w:rPr>
        <w:t xml:space="preserve"> </w:t>
      </w:r>
      <w:r>
        <w:t>of</w:t>
      </w:r>
      <w:r>
        <w:rPr>
          <w:spacing w:val="-8"/>
        </w:rPr>
        <w:t xml:space="preserve"> </w:t>
      </w:r>
      <w:r>
        <w:t>Clinical</w:t>
      </w:r>
      <w:r>
        <w:rPr>
          <w:spacing w:val="-6"/>
        </w:rPr>
        <w:t xml:space="preserve"> </w:t>
      </w:r>
      <w:r>
        <w:t>Syste</w:t>
      </w:r>
      <w:r>
        <w:t>ms MEDCO Behavioral Care Corporation Kamuela, Hawaii</w:t>
      </w:r>
    </w:p>
    <w:p w14:paraId="1F469764" w14:textId="77777777" w:rsidR="00DB6E1F" w:rsidRDefault="00F666A6">
      <w:pPr>
        <w:pStyle w:val="Heading5"/>
        <w:ind w:left="1439"/>
      </w:pPr>
      <w:r>
        <w:t>Richard</w:t>
      </w:r>
      <w:r>
        <w:rPr>
          <w:spacing w:val="-6"/>
        </w:rPr>
        <w:t xml:space="preserve"> </w:t>
      </w:r>
      <w:r>
        <w:t>K.</w:t>
      </w:r>
      <w:r>
        <w:rPr>
          <w:spacing w:val="-3"/>
        </w:rPr>
        <w:t xml:space="preserve"> </w:t>
      </w:r>
      <w:r>
        <w:t>Ries,</w:t>
      </w:r>
      <w:r>
        <w:rPr>
          <w:spacing w:val="-1"/>
        </w:rPr>
        <w:t xml:space="preserve"> </w:t>
      </w:r>
      <w:r>
        <w:rPr>
          <w:spacing w:val="-4"/>
        </w:rPr>
        <w:t>M.D.</w:t>
      </w:r>
    </w:p>
    <w:p w14:paraId="722AA600" w14:textId="77777777" w:rsidR="00DB6E1F" w:rsidRDefault="00F666A6">
      <w:pPr>
        <w:pStyle w:val="BodyText"/>
        <w:ind w:left="1439"/>
      </w:pPr>
      <w:r>
        <w:t>Director</w:t>
      </w:r>
      <w:r>
        <w:rPr>
          <w:spacing w:val="-6"/>
        </w:rPr>
        <w:t xml:space="preserve"> </w:t>
      </w:r>
      <w:r>
        <w:t>and</w:t>
      </w:r>
      <w:r>
        <w:rPr>
          <w:spacing w:val="-5"/>
        </w:rPr>
        <w:t xml:space="preserve"> </w:t>
      </w:r>
      <w:r>
        <w:t>Associate</w:t>
      </w:r>
      <w:r>
        <w:rPr>
          <w:spacing w:val="-5"/>
        </w:rPr>
        <w:t xml:space="preserve"> </w:t>
      </w:r>
      <w:r>
        <w:rPr>
          <w:spacing w:val="-2"/>
        </w:rPr>
        <w:t>Professor</w:t>
      </w:r>
    </w:p>
    <w:p w14:paraId="692F438F" w14:textId="77777777" w:rsidR="00DB6E1F" w:rsidRDefault="00F666A6">
      <w:pPr>
        <w:pStyle w:val="BodyText"/>
        <w:ind w:left="1439" w:right="5069"/>
      </w:pPr>
      <w:r>
        <w:t>Outpatient</w:t>
      </w:r>
      <w:r>
        <w:rPr>
          <w:spacing w:val="-5"/>
        </w:rPr>
        <w:t xml:space="preserve"> </w:t>
      </w:r>
      <w:r>
        <w:t>Mental</w:t>
      </w:r>
      <w:r>
        <w:rPr>
          <w:spacing w:val="-4"/>
        </w:rPr>
        <w:t xml:space="preserve"> </w:t>
      </w:r>
      <w:r>
        <w:t>Health</w:t>
      </w:r>
      <w:r>
        <w:rPr>
          <w:spacing w:val="-8"/>
        </w:rPr>
        <w:t xml:space="preserve"> </w:t>
      </w:r>
      <w:r>
        <w:t>Services</w:t>
      </w:r>
      <w:r>
        <w:rPr>
          <w:spacing w:val="-4"/>
        </w:rPr>
        <w:t xml:space="preserve"> </w:t>
      </w:r>
      <w:r>
        <w:t>and</w:t>
      </w:r>
      <w:r>
        <w:rPr>
          <w:spacing w:val="-6"/>
        </w:rPr>
        <w:t xml:space="preserve"> </w:t>
      </w:r>
      <w:r>
        <w:t>Dual</w:t>
      </w:r>
      <w:r>
        <w:rPr>
          <w:spacing w:val="-4"/>
        </w:rPr>
        <w:t xml:space="preserve"> </w:t>
      </w:r>
      <w:r>
        <w:t>Disorder</w:t>
      </w:r>
      <w:r>
        <w:rPr>
          <w:spacing w:val="-8"/>
        </w:rPr>
        <w:t xml:space="preserve"> </w:t>
      </w:r>
      <w:r>
        <w:t>Programs Harborview Medical Center</w:t>
      </w:r>
    </w:p>
    <w:p w14:paraId="553FC500" w14:textId="77777777" w:rsidR="00DB6E1F" w:rsidRDefault="00F666A6">
      <w:pPr>
        <w:pStyle w:val="BodyText"/>
        <w:spacing w:before="1"/>
        <w:ind w:left="1439"/>
      </w:pPr>
      <w:r>
        <w:t>Seattle,</w:t>
      </w:r>
      <w:r>
        <w:rPr>
          <w:spacing w:val="-5"/>
        </w:rPr>
        <w:t xml:space="preserve"> </w:t>
      </w:r>
      <w:r>
        <w:rPr>
          <w:spacing w:val="-2"/>
        </w:rPr>
        <w:t>Washington</w:t>
      </w:r>
    </w:p>
    <w:p w14:paraId="0A757B1A" w14:textId="77777777" w:rsidR="00DB6E1F" w:rsidRDefault="00F666A6">
      <w:pPr>
        <w:pStyle w:val="Heading5"/>
        <w:spacing w:before="161" w:line="268" w:lineRule="exact"/>
        <w:ind w:left="1439"/>
      </w:pPr>
      <w:r>
        <w:t>Sidney</w:t>
      </w:r>
      <w:r>
        <w:rPr>
          <w:spacing w:val="-3"/>
        </w:rPr>
        <w:t xml:space="preserve"> </w:t>
      </w:r>
      <w:r>
        <w:t>H.</w:t>
      </w:r>
      <w:r>
        <w:rPr>
          <w:spacing w:val="-3"/>
        </w:rPr>
        <w:t xml:space="preserve"> </w:t>
      </w:r>
      <w:r>
        <w:t>Schnoll,</w:t>
      </w:r>
      <w:r>
        <w:rPr>
          <w:spacing w:val="-5"/>
        </w:rPr>
        <w:t xml:space="preserve"> </w:t>
      </w:r>
      <w:r>
        <w:t>M.D.,</w:t>
      </w:r>
      <w:r>
        <w:rPr>
          <w:spacing w:val="-5"/>
        </w:rPr>
        <w:t xml:space="preserve"> </w:t>
      </w:r>
      <w:r>
        <w:rPr>
          <w:spacing w:val="-2"/>
        </w:rPr>
        <w:t>Ph.D.</w:t>
      </w:r>
    </w:p>
    <w:p w14:paraId="58004FB6" w14:textId="77777777" w:rsidR="00DB6E1F" w:rsidRDefault="00F666A6">
      <w:pPr>
        <w:pStyle w:val="BodyText"/>
        <w:spacing w:line="268" w:lineRule="exact"/>
        <w:ind w:left="1439"/>
      </w:pPr>
      <w:r>
        <w:rPr>
          <w:spacing w:val="-2"/>
        </w:rPr>
        <w:t>Chairman</w:t>
      </w:r>
    </w:p>
    <w:p w14:paraId="1EFEECF5" w14:textId="77777777" w:rsidR="00DB6E1F" w:rsidRDefault="00F666A6">
      <w:pPr>
        <w:pStyle w:val="BodyText"/>
        <w:ind w:left="1439" w:right="6821"/>
      </w:pPr>
      <w:r>
        <w:t>Division</w:t>
      </w:r>
      <w:r>
        <w:rPr>
          <w:spacing w:val="-11"/>
        </w:rPr>
        <w:t xml:space="preserve"> </w:t>
      </w:r>
      <w:r>
        <w:t>of</w:t>
      </w:r>
      <w:r>
        <w:rPr>
          <w:spacing w:val="-9"/>
        </w:rPr>
        <w:t xml:space="preserve"> </w:t>
      </w:r>
      <w:r>
        <w:t>Substance</w:t>
      </w:r>
      <w:r>
        <w:rPr>
          <w:spacing w:val="-10"/>
        </w:rPr>
        <w:t xml:space="preserve"> </w:t>
      </w:r>
      <w:r>
        <w:t>Abuse</w:t>
      </w:r>
      <w:r>
        <w:rPr>
          <w:spacing w:val="-9"/>
        </w:rPr>
        <w:t xml:space="preserve"> </w:t>
      </w:r>
      <w:r>
        <w:t>Medicine Medical College of Virginia</w:t>
      </w:r>
    </w:p>
    <w:p w14:paraId="34D545CD" w14:textId="77777777" w:rsidR="00DB6E1F" w:rsidRDefault="00F666A6">
      <w:pPr>
        <w:pStyle w:val="BodyText"/>
        <w:ind w:left="1439"/>
      </w:pPr>
      <w:r>
        <w:t>Richmond,</w:t>
      </w:r>
      <w:r>
        <w:rPr>
          <w:spacing w:val="-5"/>
        </w:rPr>
        <w:t xml:space="preserve"> </w:t>
      </w:r>
      <w:r>
        <w:rPr>
          <w:spacing w:val="-2"/>
        </w:rPr>
        <w:t>Virginia</w:t>
      </w:r>
    </w:p>
    <w:p w14:paraId="74E3984B" w14:textId="77777777" w:rsidR="00DB6E1F" w:rsidRDefault="00DB6E1F">
      <w:pPr>
        <w:sectPr w:rsidR="00DB6E1F">
          <w:pgSz w:w="12240" w:h="15840"/>
          <w:pgMar w:top="960" w:right="0" w:bottom="940" w:left="0" w:header="762" w:footer="602" w:gutter="0"/>
          <w:cols w:space="720"/>
        </w:sectPr>
      </w:pPr>
    </w:p>
    <w:p w14:paraId="5A5678BE" w14:textId="77777777" w:rsidR="00DB6E1F" w:rsidRDefault="00DB6E1F">
      <w:pPr>
        <w:pStyle w:val="BodyText"/>
        <w:rPr>
          <w:sz w:val="20"/>
        </w:rPr>
      </w:pPr>
    </w:p>
    <w:p w14:paraId="426308D5" w14:textId="77777777" w:rsidR="00DB6E1F" w:rsidRDefault="00DB6E1F">
      <w:pPr>
        <w:pStyle w:val="BodyText"/>
        <w:spacing w:before="10"/>
        <w:rPr>
          <w:sz w:val="18"/>
        </w:rPr>
      </w:pPr>
    </w:p>
    <w:p w14:paraId="6C56BE39" w14:textId="77777777" w:rsidR="00DB6E1F" w:rsidRDefault="00F666A6">
      <w:pPr>
        <w:pStyle w:val="Heading1"/>
        <w:ind w:right="1445"/>
      </w:pPr>
      <w:bookmarkStart w:id="18" w:name="Publication_Information"/>
      <w:bookmarkStart w:id="19" w:name="_bookmark4"/>
      <w:bookmarkEnd w:id="18"/>
      <w:bookmarkEnd w:id="19"/>
      <w:r>
        <w:t>Publication</w:t>
      </w:r>
      <w:r>
        <w:rPr>
          <w:spacing w:val="-7"/>
        </w:rPr>
        <w:t xml:space="preserve"> </w:t>
      </w:r>
      <w:r>
        <w:rPr>
          <w:spacing w:val="-2"/>
        </w:rPr>
        <w:t>Information</w:t>
      </w:r>
    </w:p>
    <w:p w14:paraId="56CC91A8" w14:textId="77777777" w:rsidR="00DB6E1F" w:rsidRDefault="00F666A6">
      <w:pPr>
        <w:pStyle w:val="Heading3"/>
        <w:spacing w:before="207"/>
      </w:pPr>
      <w:bookmarkStart w:id="20" w:name="Acknowledgements"/>
      <w:bookmarkEnd w:id="20"/>
      <w:r>
        <w:rPr>
          <w:spacing w:val="-2"/>
        </w:rPr>
        <w:t>Acknowledgements</w:t>
      </w:r>
    </w:p>
    <w:p w14:paraId="00FCCB1A" w14:textId="77777777" w:rsidR="00DB6E1F" w:rsidRDefault="00F666A6">
      <w:pPr>
        <w:pStyle w:val="BodyText"/>
        <w:spacing w:before="25"/>
        <w:ind w:left="1439" w:right="1549"/>
      </w:pPr>
      <w:r>
        <w:t>This publication was prepared under contract numbers 270-95-0013, 270-14-0445, 270-19-0538, and 283-17-490</w:t>
      </w:r>
      <w:r>
        <w:t>1 by the Knowledge Application Program (KAP) for the Center for Substance Abuse Treatment,</w:t>
      </w:r>
      <w:r>
        <w:rPr>
          <w:spacing w:val="-3"/>
        </w:rPr>
        <w:t xml:space="preserve"> </w:t>
      </w:r>
      <w:r>
        <w:t>Substance</w:t>
      </w:r>
      <w:r>
        <w:rPr>
          <w:spacing w:val="-5"/>
        </w:rPr>
        <w:t xml:space="preserve"> </w:t>
      </w:r>
      <w:r>
        <w:t>Abuse</w:t>
      </w:r>
      <w:r>
        <w:rPr>
          <w:spacing w:val="-2"/>
        </w:rPr>
        <w:t xml:space="preserve"> </w:t>
      </w:r>
      <w:r>
        <w:t>and</w:t>
      </w:r>
      <w:r>
        <w:rPr>
          <w:spacing w:val="-4"/>
        </w:rPr>
        <w:t xml:space="preserve"> </w:t>
      </w:r>
      <w:r>
        <w:t>Mental</w:t>
      </w:r>
      <w:r>
        <w:rPr>
          <w:spacing w:val="-3"/>
        </w:rPr>
        <w:t xml:space="preserve"> </w:t>
      </w:r>
      <w:r>
        <w:t>Health</w:t>
      </w:r>
      <w:r>
        <w:rPr>
          <w:spacing w:val="-4"/>
        </w:rPr>
        <w:t xml:space="preserve"> </w:t>
      </w:r>
      <w:r>
        <w:t>Services</w:t>
      </w:r>
      <w:r>
        <w:rPr>
          <w:spacing w:val="-3"/>
        </w:rPr>
        <w:t xml:space="preserve"> </w:t>
      </w:r>
      <w:r>
        <w:t>Administration</w:t>
      </w:r>
      <w:r>
        <w:rPr>
          <w:spacing w:val="-4"/>
        </w:rPr>
        <w:t xml:space="preserve"> </w:t>
      </w:r>
      <w:r>
        <w:t>(SAMHSA),</w:t>
      </w:r>
      <w:r>
        <w:rPr>
          <w:spacing w:val="-3"/>
        </w:rPr>
        <w:t xml:space="preserve"> </w:t>
      </w:r>
      <w:r>
        <w:t>U.S.</w:t>
      </w:r>
      <w:r>
        <w:rPr>
          <w:spacing w:val="-3"/>
        </w:rPr>
        <w:t xml:space="preserve"> </w:t>
      </w:r>
      <w:r>
        <w:t>Department</w:t>
      </w:r>
      <w:r>
        <w:rPr>
          <w:spacing w:val="-5"/>
        </w:rPr>
        <w:t xml:space="preserve"> </w:t>
      </w:r>
      <w:r>
        <w:t>of Health and Human Services (HHS). Sandra Clunies, M.S., I.C.A.D.C., served as t</w:t>
      </w:r>
      <w:r>
        <w:t>he Contracting Officer’s Representative (COR) for initial Treatment Improvement Protocol (TIP) development. Suzanne Wise served as the COR; Candi Byrne as the Alternate COR; and Reed Forman, M.S.W., as the Project Champion for the TIP update.</w:t>
      </w:r>
    </w:p>
    <w:p w14:paraId="7D085B97" w14:textId="77777777" w:rsidR="00DB6E1F" w:rsidRDefault="00F666A6">
      <w:pPr>
        <w:pStyle w:val="Heading3"/>
        <w:spacing w:before="161"/>
      </w:pPr>
      <w:bookmarkStart w:id="21" w:name="Disclaimer"/>
      <w:bookmarkEnd w:id="21"/>
      <w:r>
        <w:rPr>
          <w:spacing w:val="-2"/>
        </w:rPr>
        <w:t>Disclaimer</w:t>
      </w:r>
    </w:p>
    <w:p w14:paraId="44AEA412" w14:textId="77777777" w:rsidR="00DB6E1F" w:rsidRDefault="00F666A6">
      <w:pPr>
        <w:pStyle w:val="BodyText"/>
        <w:spacing w:before="23"/>
        <w:ind w:left="1440" w:right="1491"/>
      </w:pPr>
      <w:r>
        <w:t>The</w:t>
      </w:r>
      <w:r>
        <w:rPr>
          <w:spacing w:val="-1"/>
        </w:rPr>
        <w:t xml:space="preserve"> </w:t>
      </w:r>
      <w:r>
        <w:t>views,</w:t>
      </w:r>
      <w:r>
        <w:rPr>
          <w:spacing w:val="-2"/>
        </w:rPr>
        <w:t xml:space="preserve"> </w:t>
      </w:r>
      <w:r>
        <w:t>opinions,</w:t>
      </w:r>
      <w:r>
        <w:rPr>
          <w:spacing w:val="-2"/>
        </w:rPr>
        <w:t xml:space="preserve"> </w:t>
      </w:r>
      <w:r>
        <w:t>and</w:t>
      </w:r>
      <w:r>
        <w:rPr>
          <w:spacing w:val="-3"/>
        </w:rPr>
        <w:t xml:space="preserve"> </w:t>
      </w:r>
      <w:r>
        <w:t>content</w:t>
      </w:r>
      <w:r>
        <w:rPr>
          <w:spacing w:val="-1"/>
        </w:rPr>
        <w:t xml:space="preserve"> </w:t>
      </w:r>
      <w:r>
        <w:t>expressed</w:t>
      </w:r>
      <w:r>
        <w:rPr>
          <w:spacing w:val="-3"/>
        </w:rPr>
        <w:t xml:space="preserve"> </w:t>
      </w:r>
      <w:r>
        <w:t>herein</w:t>
      </w:r>
      <w:r>
        <w:rPr>
          <w:spacing w:val="-3"/>
        </w:rPr>
        <w:t xml:space="preserve"> </w:t>
      </w:r>
      <w:r>
        <w:t>are</w:t>
      </w:r>
      <w:r>
        <w:rPr>
          <w:spacing w:val="-4"/>
        </w:rPr>
        <w:t xml:space="preserve"> </w:t>
      </w:r>
      <w:r>
        <w:t>the</w:t>
      </w:r>
      <w:r>
        <w:rPr>
          <w:spacing w:val="-4"/>
        </w:rPr>
        <w:t xml:space="preserve"> </w:t>
      </w:r>
      <w:r>
        <w:t>views</w:t>
      </w:r>
      <w:r>
        <w:rPr>
          <w:spacing w:val="-4"/>
        </w:rPr>
        <w:t xml:space="preserve"> </w:t>
      </w:r>
      <w:r>
        <w:t>of</w:t>
      </w:r>
      <w:r>
        <w:rPr>
          <w:spacing w:val="-2"/>
        </w:rPr>
        <w:t xml:space="preserve"> </w:t>
      </w:r>
      <w:r>
        <w:t>the</w:t>
      </w:r>
      <w:r>
        <w:rPr>
          <w:spacing w:val="-4"/>
        </w:rPr>
        <w:t xml:space="preserve"> </w:t>
      </w:r>
      <w:r>
        <w:t>consensus</w:t>
      </w:r>
      <w:r>
        <w:rPr>
          <w:spacing w:val="-4"/>
        </w:rPr>
        <w:t xml:space="preserve"> </w:t>
      </w:r>
      <w:r>
        <w:t>panel</w:t>
      </w:r>
      <w:r>
        <w:rPr>
          <w:spacing w:val="-2"/>
        </w:rPr>
        <w:t xml:space="preserve"> </w:t>
      </w:r>
      <w:r>
        <w:t>members</w:t>
      </w:r>
      <w:r>
        <w:rPr>
          <w:spacing w:val="-2"/>
        </w:rPr>
        <w:t xml:space="preserve"> </w:t>
      </w:r>
      <w:r>
        <w:t>and do not necessarily reflect the official position of SAMHSA. No official support of or endorsement by SAMHSA for these opinions or for the instruments or reso</w:t>
      </w:r>
      <w:r>
        <w:t>urces described is intended or should be inferred. The guidelines presented should not be considered substitutes for individualized client care and treatment decisions.</w:t>
      </w:r>
    </w:p>
    <w:p w14:paraId="7AD9216C" w14:textId="77777777" w:rsidR="00DB6E1F" w:rsidRDefault="00F666A6">
      <w:pPr>
        <w:pStyle w:val="Heading3"/>
        <w:spacing w:before="165"/>
      </w:pPr>
      <w:bookmarkStart w:id="22" w:name="Public_Domain_Notice"/>
      <w:bookmarkEnd w:id="22"/>
      <w:r>
        <w:t>Public</w:t>
      </w:r>
      <w:r>
        <w:rPr>
          <w:spacing w:val="-11"/>
        </w:rPr>
        <w:t xml:space="preserve"> </w:t>
      </w:r>
      <w:r>
        <w:t>Domain</w:t>
      </w:r>
      <w:r>
        <w:rPr>
          <w:spacing w:val="-6"/>
        </w:rPr>
        <w:t xml:space="preserve"> </w:t>
      </w:r>
      <w:r>
        <w:rPr>
          <w:spacing w:val="-2"/>
        </w:rPr>
        <w:t>Notice</w:t>
      </w:r>
    </w:p>
    <w:p w14:paraId="76E43919" w14:textId="77777777" w:rsidR="00DB6E1F" w:rsidRDefault="00F666A6">
      <w:pPr>
        <w:pStyle w:val="BodyText"/>
        <w:spacing w:before="20"/>
        <w:ind w:left="1440" w:right="1555"/>
      </w:pPr>
      <w:r>
        <w:t>All materials appearing in this publication except those taken dir</w:t>
      </w:r>
      <w:r>
        <w:t>ectly from copyrighted sources are in the</w:t>
      </w:r>
      <w:r>
        <w:rPr>
          <w:spacing w:val="-1"/>
        </w:rPr>
        <w:t xml:space="preserve"> </w:t>
      </w:r>
      <w:r>
        <w:t>public</w:t>
      </w:r>
      <w:r>
        <w:rPr>
          <w:spacing w:val="-2"/>
        </w:rPr>
        <w:t xml:space="preserve"> </w:t>
      </w:r>
      <w:r>
        <w:t>domain</w:t>
      </w:r>
      <w:r>
        <w:rPr>
          <w:spacing w:val="-3"/>
        </w:rPr>
        <w:t xml:space="preserve"> </w:t>
      </w:r>
      <w:r>
        <w:t>and</w:t>
      </w:r>
      <w:r>
        <w:rPr>
          <w:spacing w:val="-5"/>
        </w:rPr>
        <w:t xml:space="preserve"> </w:t>
      </w:r>
      <w:r>
        <w:t>may</w:t>
      </w:r>
      <w:r>
        <w:rPr>
          <w:spacing w:val="-3"/>
        </w:rPr>
        <w:t xml:space="preserve"> </w:t>
      </w:r>
      <w:r>
        <w:t>be</w:t>
      </w:r>
      <w:r>
        <w:rPr>
          <w:spacing w:val="-1"/>
        </w:rPr>
        <w:t xml:space="preserve"> </w:t>
      </w:r>
      <w:r>
        <w:t>reproduced</w:t>
      </w:r>
      <w:r>
        <w:rPr>
          <w:spacing w:val="-5"/>
        </w:rPr>
        <w:t xml:space="preserve"> </w:t>
      </w:r>
      <w:r>
        <w:t>or</w:t>
      </w:r>
      <w:r>
        <w:rPr>
          <w:spacing w:val="-2"/>
        </w:rPr>
        <w:t xml:space="preserve"> </w:t>
      </w:r>
      <w:r>
        <w:t>copied</w:t>
      </w:r>
      <w:r>
        <w:rPr>
          <w:spacing w:val="-5"/>
        </w:rPr>
        <w:t xml:space="preserve"> </w:t>
      </w:r>
      <w:r>
        <w:t>without</w:t>
      </w:r>
      <w:r>
        <w:rPr>
          <w:spacing w:val="-4"/>
        </w:rPr>
        <w:t xml:space="preserve"> </w:t>
      </w:r>
      <w:r>
        <w:t>permission</w:t>
      </w:r>
      <w:r>
        <w:rPr>
          <w:spacing w:val="-3"/>
        </w:rPr>
        <w:t xml:space="preserve"> </w:t>
      </w:r>
      <w:r>
        <w:t>from</w:t>
      </w:r>
      <w:r>
        <w:rPr>
          <w:spacing w:val="-1"/>
        </w:rPr>
        <w:t xml:space="preserve"> </w:t>
      </w:r>
      <w:r>
        <w:t>SAMHSA</w:t>
      </w:r>
      <w:r>
        <w:rPr>
          <w:spacing w:val="-3"/>
        </w:rPr>
        <w:t xml:space="preserve"> </w:t>
      </w:r>
      <w:r>
        <w:t>or</w:t>
      </w:r>
      <w:r>
        <w:rPr>
          <w:spacing w:val="-5"/>
        </w:rPr>
        <w:t xml:space="preserve"> </w:t>
      </w:r>
      <w:r>
        <w:t>the</w:t>
      </w:r>
      <w:r>
        <w:rPr>
          <w:spacing w:val="-2"/>
        </w:rPr>
        <w:t xml:space="preserve"> </w:t>
      </w:r>
      <w:r>
        <w:t>authors. Citation of the source is appreciated. However, this publication may not be reproduced or distributed for a fee without t</w:t>
      </w:r>
      <w:r>
        <w:t>he specific, written authorization of the Office of Communications, SAMHSA.</w:t>
      </w:r>
    </w:p>
    <w:p w14:paraId="2C6F6081" w14:textId="77777777" w:rsidR="00DB6E1F" w:rsidRDefault="00F666A6">
      <w:pPr>
        <w:pStyle w:val="Heading3"/>
        <w:spacing w:before="165"/>
      </w:pPr>
      <w:bookmarkStart w:id="23" w:name="Electronic_Access_and_Copies_of_Publicat"/>
      <w:bookmarkEnd w:id="23"/>
      <w:r>
        <w:t>Electronic</w:t>
      </w:r>
      <w:r>
        <w:rPr>
          <w:spacing w:val="-8"/>
        </w:rPr>
        <w:t xml:space="preserve"> </w:t>
      </w:r>
      <w:r>
        <w:t>Access</w:t>
      </w:r>
      <w:r>
        <w:rPr>
          <w:spacing w:val="-7"/>
        </w:rPr>
        <w:t xml:space="preserve"> </w:t>
      </w:r>
      <w:r>
        <w:t>and</w:t>
      </w:r>
      <w:r>
        <w:rPr>
          <w:spacing w:val="-7"/>
        </w:rPr>
        <w:t xml:space="preserve"> </w:t>
      </w:r>
      <w:r>
        <w:t>Copies</w:t>
      </w:r>
      <w:r>
        <w:rPr>
          <w:spacing w:val="-7"/>
        </w:rPr>
        <w:t xml:space="preserve"> </w:t>
      </w:r>
      <w:r>
        <w:t>of</w:t>
      </w:r>
      <w:r>
        <w:rPr>
          <w:spacing w:val="-8"/>
        </w:rPr>
        <w:t xml:space="preserve"> </w:t>
      </w:r>
      <w:r>
        <w:rPr>
          <w:spacing w:val="-2"/>
        </w:rPr>
        <w:t>Publication</w:t>
      </w:r>
    </w:p>
    <w:p w14:paraId="47D60868" w14:textId="77777777" w:rsidR="00DB6E1F" w:rsidRDefault="00F666A6">
      <w:pPr>
        <w:pStyle w:val="BodyText"/>
        <w:spacing w:before="20"/>
        <w:ind w:left="1440" w:right="1491"/>
      </w:pPr>
      <w:r>
        <w:t>This publication may be ordered or downloaded from SAMHSA’s Publications and Digital Products webpage</w:t>
      </w:r>
      <w:r>
        <w:rPr>
          <w:spacing w:val="-3"/>
        </w:rPr>
        <w:t xml:space="preserve"> </w:t>
      </w:r>
      <w:r>
        <w:t>at</w:t>
      </w:r>
      <w:r>
        <w:rPr>
          <w:spacing w:val="-3"/>
        </w:rPr>
        <w:t xml:space="preserve"> </w:t>
      </w:r>
      <w:r>
        <w:rPr>
          <w:color w:val="0563C1"/>
          <w:u w:val="single" w:color="0563C1"/>
        </w:rPr>
        <w:t>https://</w:t>
      </w:r>
      <w:hyperlink r:id="rId12">
        <w:r>
          <w:rPr>
            <w:color w:val="0563C1"/>
            <w:u w:val="single" w:color="0563C1"/>
          </w:rPr>
          <w:t>store.samhsa.gov</w:t>
        </w:r>
      </w:hyperlink>
      <w:r>
        <w:t>.</w:t>
      </w:r>
      <w:r>
        <w:rPr>
          <w:spacing w:val="-5"/>
        </w:rPr>
        <w:t xml:space="preserve"> </w:t>
      </w:r>
      <w:r>
        <w:t>Or,</w:t>
      </w:r>
      <w:r>
        <w:rPr>
          <w:spacing w:val="-6"/>
        </w:rPr>
        <w:t xml:space="preserve"> </w:t>
      </w:r>
      <w:r>
        <w:t>please</w:t>
      </w:r>
      <w:r>
        <w:rPr>
          <w:spacing w:val="-3"/>
        </w:rPr>
        <w:t xml:space="preserve"> </w:t>
      </w:r>
      <w:r>
        <w:t>call</w:t>
      </w:r>
      <w:r>
        <w:rPr>
          <w:spacing w:val="-7"/>
        </w:rPr>
        <w:t xml:space="preserve"> </w:t>
      </w:r>
      <w:r>
        <w:t>SAMHSA</w:t>
      </w:r>
      <w:r>
        <w:rPr>
          <w:spacing w:val="-4"/>
        </w:rPr>
        <w:t xml:space="preserve"> </w:t>
      </w:r>
      <w:r>
        <w:t>at</w:t>
      </w:r>
      <w:r>
        <w:rPr>
          <w:spacing w:val="-6"/>
        </w:rPr>
        <w:t xml:space="preserve"> </w:t>
      </w:r>
      <w:r>
        <w:t>1-877-SAMHSA-7</w:t>
      </w:r>
      <w:r>
        <w:rPr>
          <w:spacing w:val="-3"/>
        </w:rPr>
        <w:t xml:space="preserve"> </w:t>
      </w:r>
      <w:r>
        <w:t>(1-877-726-4727) (English and Español).</w:t>
      </w:r>
    </w:p>
    <w:p w14:paraId="790D6BEC" w14:textId="77777777" w:rsidR="00DB6E1F" w:rsidRDefault="00F666A6">
      <w:pPr>
        <w:pStyle w:val="Heading3"/>
        <w:spacing w:before="165"/>
      </w:pPr>
      <w:bookmarkStart w:id="24" w:name="Recommended_Citation"/>
      <w:bookmarkEnd w:id="24"/>
      <w:r>
        <w:rPr>
          <w:w w:val="95"/>
        </w:rPr>
        <w:t>Recommended</w:t>
      </w:r>
      <w:r>
        <w:rPr>
          <w:spacing w:val="65"/>
        </w:rPr>
        <w:t xml:space="preserve"> </w:t>
      </w:r>
      <w:r>
        <w:rPr>
          <w:spacing w:val="-2"/>
        </w:rPr>
        <w:t>Citation</w:t>
      </w:r>
    </w:p>
    <w:p w14:paraId="12F23D64" w14:textId="77777777" w:rsidR="00DB6E1F" w:rsidRDefault="00F666A6">
      <w:pPr>
        <w:spacing w:before="20"/>
        <w:ind w:left="1439" w:right="1491"/>
      </w:pPr>
      <w:r>
        <w:t>Substance Abuse and Mental Health Services Administration</w:t>
      </w:r>
      <w:r>
        <w:rPr>
          <w:i/>
        </w:rPr>
        <w:t>. Enhancing Motivation for Change in Substance</w:t>
      </w:r>
      <w:r>
        <w:rPr>
          <w:i/>
          <w:spacing w:val="-2"/>
        </w:rPr>
        <w:t xml:space="preserve"> </w:t>
      </w:r>
      <w:r>
        <w:rPr>
          <w:i/>
        </w:rPr>
        <w:t>Use</w:t>
      </w:r>
      <w:r>
        <w:rPr>
          <w:i/>
          <w:spacing w:val="-5"/>
        </w:rPr>
        <w:t xml:space="preserve"> </w:t>
      </w:r>
      <w:r>
        <w:rPr>
          <w:i/>
        </w:rPr>
        <w:t>Disorder</w:t>
      </w:r>
      <w:r>
        <w:rPr>
          <w:i/>
          <w:spacing w:val="-4"/>
        </w:rPr>
        <w:t xml:space="preserve"> </w:t>
      </w:r>
      <w:r>
        <w:rPr>
          <w:i/>
        </w:rPr>
        <w:t>Treatment.</w:t>
      </w:r>
      <w:r>
        <w:rPr>
          <w:i/>
          <w:spacing w:val="-3"/>
        </w:rPr>
        <w:t xml:space="preserve"> </w:t>
      </w:r>
      <w:r>
        <w:t>Treatment</w:t>
      </w:r>
      <w:r>
        <w:rPr>
          <w:spacing w:val="-2"/>
        </w:rPr>
        <w:t xml:space="preserve"> </w:t>
      </w:r>
      <w:r>
        <w:t>Improvement</w:t>
      </w:r>
      <w:r>
        <w:rPr>
          <w:spacing w:val="-5"/>
        </w:rPr>
        <w:t xml:space="preserve"> </w:t>
      </w:r>
      <w:r>
        <w:t>Protocol</w:t>
      </w:r>
      <w:r>
        <w:rPr>
          <w:spacing w:val="-5"/>
        </w:rPr>
        <w:t xml:space="preserve"> </w:t>
      </w:r>
      <w:r>
        <w:t>(TIP)</w:t>
      </w:r>
      <w:r>
        <w:rPr>
          <w:spacing w:val="-3"/>
        </w:rPr>
        <w:t xml:space="preserve"> </w:t>
      </w:r>
      <w:r>
        <w:t>Series</w:t>
      </w:r>
      <w:r>
        <w:rPr>
          <w:spacing w:val="-5"/>
        </w:rPr>
        <w:t xml:space="preserve"> </w:t>
      </w:r>
      <w:r>
        <w:t>No.</w:t>
      </w:r>
      <w:r>
        <w:rPr>
          <w:spacing w:val="-3"/>
        </w:rPr>
        <w:t xml:space="preserve"> </w:t>
      </w:r>
      <w:r>
        <w:t>35.</w:t>
      </w:r>
      <w:r>
        <w:rPr>
          <w:spacing w:val="-3"/>
        </w:rPr>
        <w:t xml:space="preserve"> </w:t>
      </w:r>
      <w:r>
        <w:t>SAMHSA Publicat</w:t>
      </w:r>
      <w:r>
        <w:t>ion No. PEP19-02-01-003. Rockville, MD: Substance Abuse and Mental Health Services Administration, 2019.</w:t>
      </w:r>
    </w:p>
    <w:p w14:paraId="7229D428" w14:textId="77777777" w:rsidR="00DB6E1F" w:rsidRDefault="00F666A6">
      <w:pPr>
        <w:pStyle w:val="Heading3"/>
        <w:spacing w:before="165"/>
      </w:pPr>
      <w:bookmarkStart w:id="25" w:name="Originating_Office"/>
      <w:bookmarkEnd w:id="25"/>
      <w:r>
        <w:rPr>
          <w:spacing w:val="-2"/>
        </w:rPr>
        <w:t>Originating</w:t>
      </w:r>
      <w:r>
        <w:rPr>
          <w:spacing w:val="6"/>
        </w:rPr>
        <w:t xml:space="preserve"> </w:t>
      </w:r>
      <w:r>
        <w:rPr>
          <w:spacing w:val="-2"/>
        </w:rPr>
        <w:t>Office</w:t>
      </w:r>
    </w:p>
    <w:p w14:paraId="49BCF087" w14:textId="77777777" w:rsidR="00DB6E1F" w:rsidRDefault="00F666A6">
      <w:pPr>
        <w:pStyle w:val="BodyText"/>
        <w:spacing w:before="21"/>
        <w:ind w:left="1440" w:right="1444"/>
      </w:pPr>
      <w:r>
        <w:t>Quality</w:t>
      </w:r>
      <w:r>
        <w:rPr>
          <w:spacing w:val="-2"/>
        </w:rPr>
        <w:t xml:space="preserve"> </w:t>
      </w:r>
      <w:r>
        <w:t>Improvement</w:t>
      </w:r>
      <w:r>
        <w:rPr>
          <w:spacing w:val="-2"/>
        </w:rPr>
        <w:t xml:space="preserve"> </w:t>
      </w:r>
      <w:r>
        <w:t>and</w:t>
      </w:r>
      <w:r>
        <w:rPr>
          <w:spacing w:val="-6"/>
        </w:rPr>
        <w:t xml:space="preserve"> </w:t>
      </w:r>
      <w:r>
        <w:t>Workforce</w:t>
      </w:r>
      <w:r>
        <w:rPr>
          <w:spacing w:val="-5"/>
        </w:rPr>
        <w:t xml:space="preserve"> </w:t>
      </w:r>
      <w:r>
        <w:t>Development</w:t>
      </w:r>
      <w:r>
        <w:rPr>
          <w:spacing w:val="-2"/>
        </w:rPr>
        <w:t xml:space="preserve"> </w:t>
      </w:r>
      <w:r>
        <w:t>Branch,</w:t>
      </w:r>
      <w:r>
        <w:rPr>
          <w:spacing w:val="-3"/>
        </w:rPr>
        <w:t xml:space="preserve"> </w:t>
      </w:r>
      <w:r>
        <w:t>Division</w:t>
      </w:r>
      <w:r>
        <w:rPr>
          <w:spacing w:val="-6"/>
        </w:rPr>
        <w:t xml:space="preserve"> </w:t>
      </w:r>
      <w:r>
        <w:t>of</w:t>
      </w:r>
      <w:r>
        <w:rPr>
          <w:spacing w:val="-3"/>
        </w:rPr>
        <w:t xml:space="preserve"> </w:t>
      </w:r>
      <w:r>
        <w:t>Services</w:t>
      </w:r>
      <w:r>
        <w:rPr>
          <w:spacing w:val="-3"/>
        </w:rPr>
        <w:t xml:space="preserve"> </w:t>
      </w:r>
      <w:r>
        <w:t>Improvement,</w:t>
      </w:r>
      <w:r>
        <w:rPr>
          <w:spacing w:val="-3"/>
        </w:rPr>
        <w:t xml:space="preserve"> </w:t>
      </w:r>
      <w:r>
        <w:t>Center</w:t>
      </w:r>
      <w:r>
        <w:rPr>
          <w:spacing w:val="-3"/>
        </w:rPr>
        <w:t xml:space="preserve"> </w:t>
      </w:r>
      <w:r>
        <w:t>for Substance Abuse Treatment, Substance Abuse and Mental Health Services Administration, 5600 Fishers Lane, Rockville, MD 20857.</w:t>
      </w:r>
    </w:p>
    <w:p w14:paraId="70643764" w14:textId="77777777" w:rsidR="00DB6E1F" w:rsidRDefault="00F666A6">
      <w:pPr>
        <w:pStyle w:val="Heading3"/>
        <w:spacing w:before="164"/>
      </w:pPr>
      <w:bookmarkStart w:id="26" w:name="Nondiscrimination_Notice"/>
      <w:bookmarkEnd w:id="26"/>
      <w:r>
        <w:rPr>
          <w:w w:val="95"/>
        </w:rPr>
        <w:t>Nondiscrimination</w:t>
      </w:r>
      <w:r>
        <w:rPr>
          <w:spacing w:val="77"/>
        </w:rPr>
        <w:t xml:space="preserve"> </w:t>
      </w:r>
      <w:r>
        <w:rPr>
          <w:spacing w:val="-2"/>
        </w:rPr>
        <w:t>Notice</w:t>
      </w:r>
    </w:p>
    <w:p w14:paraId="4FADFB0D" w14:textId="77777777" w:rsidR="00DB6E1F" w:rsidRDefault="00F666A6">
      <w:pPr>
        <w:pStyle w:val="BodyText"/>
        <w:spacing w:before="21"/>
        <w:ind w:left="1439" w:right="1444"/>
      </w:pPr>
      <w:r>
        <w:t>SAMHSA</w:t>
      </w:r>
      <w:r>
        <w:rPr>
          <w:spacing w:val="-2"/>
        </w:rPr>
        <w:t xml:space="preserve"> </w:t>
      </w:r>
      <w:r>
        <w:t>complies</w:t>
      </w:r>
      <w:r>
        <w:rPr>
          <w:spacing w:val="-4"/>
        </w:rPr>
        <w:t xml:space="preserve"> </w:t>
      </w:r>
      <w:r>
        <w:t>with</w:t>
      </w:r>
      <w:r>
        <w:rPr>
          <w:spacing w:val="-5"/>
        </w:rPr>
        <w:t xml:space="preserve"> </w:t>
      </w:r>
      <w:r>
        <w:t>applicable</w:t>
      </w:r>
      <w:r>
        <w:rPr>
          <w:spacing w:val="-1"/>
        </w:rPr>
        <w:t xml:space="preserve"> </w:t>
      </w:r>
      <w:r>
        <w:t>federal</w:t>
      </w:r>
      <w:r>
        <w:rPr>
          <w:spacing w:val="-5"/>
        </w:rPr>
        <w:t xml:space="preserve"> </w:t>
      </w:r>
      <w:r>
        <w:t>civil</w:t>
      </w:r>
      <w:r>
        <w:rPr>
          <w:spacing w:val="-5"/>
        </w:rPr>
        <w:t xml:space="preserve"> </w:t>
      </w:r>
      <w:r>
        <w:t>rights</w:t>
      </w:r>
      <w:r>
        <w:rPr>
          <w:spacing w:val="-2"/>
        </w:rPr>
        <w:t xml:space="preserve"> </w:t>
      </w:r>
      <w:r>
        <w:t>laws</w:t>
      </w:r>
      <w:r>
        <w:rPr>
          <w:spacing w:val="-2"/>
        </w:rPr>
        <w:t xml:space="preserve"> </w:t>
      </w:r>
      <w:r>
        <w:t>and</w:t>
      </w:r>
      <w:r>
        <w:rPr>
          <w:spacing w:val="-3"/>
        </w:rPr>
        <w:t xml:space="preserve"> </w:t>
      </w:r>
      <w:r>
        <w:t>does</w:t>
      </w:r>
      <w:r>
        <w:rPr>
          <w:spacing w:val="-2"/>
        </w:rPr>
        <w:t xml:space="preserve"> </w:t>
      </w:r>
      <w:r>
        <w:t>not</w:t>
      </w:r>
      <w:r>
        <w:rPr>
          <w:spacing w:val="-1"/>
        </w:rPr>
        <w:t xml:space="preserve"> </w:t>
      </w:r>
      <w:r>
        <w:t>discriminate</w:t>
      </w:r>
      <w:r>
        <w:rPr>
          <w:spacing w:val="-4"/>
        </w:rPr>
        <w:t xml:space="preserve"> </w:t>
      </w:r>
      <w:r>
        <w:t>on</w:t>
      </w:r>
      <w:r>
        <w:rPr>
          <w:spacing w:val="-3"/>
        </w:rPr>
        <w:t xml:space="preserve"> </w:t>
      </w:r>
      <w:r>
        <w:t>the</w:t>
      </w:r>
      <w:r>
        <w:rPr>
          <w:spacing w:val="-4"/>
        </w:rPr>
        <w:t xml:space="preserve"> </w:t>
      </w:r>
      <w:r>
        <w:t>basis</w:t>
      </w:r>
      <w:r>
        <w:rPr>
          <w:spacing w:val="-4"/>
        </w:rPr>
        <w:t xml:space="preserve"> </w:t>
      </w:r>
      <w:r>
        <w:t>of</w:t>
      </w:r>
      <w:r>
        <w:rPr>
          <w:spacing w:val="-2"/>
        </w:rPr>
        <w:t xml:space="preserve"> </w:t>
      </w:r>
      <w:r>
        <w:t>r</w:t>
      </w:r>
      <w:r>
        <w:t>ace, color, national origin, age, disability, or sex. SAMHSA cumple con las leyes federales de derechos civiles aplicables y no discrimina por motivos de raza, color, nacionalidad, edad, discapacidad, o sexo.</w:t>
      </w:r>
    </w:p>
    <w:p w14:paraId="60850826" w14:textId="77777777" w:rsidR="00DB6E1F" w:rsidRDefault="00F666A6">
      <w:pPr>
        <w:pStyle w:val="BodyText"/>
        <w:spacing w:before="161"/>
        <w:ind w:left="1439" w:right="6821"/>
      </w:pPr>
      <w:r>
        <w:t>SAMHSA</w:t>
      </w:r>
      <w:r>
        <w:rPr>
          <w:spacing w:val="-13"/>
        </w:rPr>
        <w:t xml:space="preserve"> </w:t>
      </w:r>
      <w:r>
        <w:t>Publication</w:t>
      </w:r>
      <w:r>
        <w:rPr>
          <w:spacing w:val="-12"/>
        </w:rPr>
        <w:t xml:space="preserve"> </w:t>
      </w:r>
      <w:r>
        <w:t>No.</w:t>
      </w:r>
      <w:r>
        <w:rPr>
          <w:spacing w:val="-13"/>
        </w:rPr>
        <w:t xml:space="preserve"> </w:t>
      </w:r>
      <w:r>
        <w:t>PEP19-02-01-003 First pr</w:t>
      </w:r>
      <w:r>
        <w:t>inted 1999</w:t>
      </w:r>
    </w:p>
    <w:p w14:paraId="6A967F41" w14:textId="77777777" w:rsidR="00DB6E1F" w:rsidRDefault="00F666A6">
      <w:pPr>
        <w:pStyle w:val="BodyText"/>
        <w:ind w:left="1439"/>
      </w:pPr>
      <w:r>
        <w:t>Updated</w:t>
      </w:r>
      <w:r>
        <w:rPr>
          <w:spacing w:val="-7"/>
        </w:rPr>
        <w:t xml:space="preserve"> </w:t>
      </w:r>
      <w:r>
        <w:rPr>
          <w:spacing w:val="-4"/>
        </w:rPr>
        <w:t>2019</w:t>
      </w:r>
    </w:p>
    <w:p w14:paraId="2A9CDE92" w14:textId="77777777" w:rsidR="00DB6E1F" w:rsidRDefault="00DB6E1F">
      <w:pPr>
        <w:sectPr w:rsidR="00DB6E1F">
          <w:pgSz w:w="12240" w:h="15840"/>
          <w:pgMar w:top="960" w:right="0" w:bottom="800" w:left="0" w:header="762" w:footer="602" w:gutter="0"/>
          <w:cols w:space="720"/>
        </w:sectPr>
      </w:pPr>
    </w:p>
    <w:p w14:paraId="5F13477A" w14:textId="77777777" w:rsidR="00DB6E1F" w:rsidRDefault="00DB6E1F">
      <w:pPr>
        <w:pStyle w:val="BodyText"/>
        <w:spacing w:before="12"/>
        <w:rPr>
          <w:sz w:val="18"/>
        </w:rPr>
      </w:pPr>
    </w:p>
    <w:p w14:paraId="01A9F541" w14:textId="77777777" w:rsidR="00DB6E1F" w:rsidRDefault="00F666A6">
      <w:pPr>
        <w:pStyle w:val="Heading1"/>
        <w:ind w:right="1445"/>
      </w:pPr>
      <w:bookmarkStart w:id="27" w:name="Chapter_1—A_New_Look_at_Motivation"/>
      <w:bookmarkStart w:id="28" w:name="_bookmark5"/>
      <w:bookmarkEnd w:id="27"/>
      <w:bookmarkEnd w:id="28"/>
      <w:r>
        <w:t>Chapter</w:t>
      </w:r>
      <w:r>
        <w:rPr>
          <w:spacing w:val="-1"/>
        </w:rPr>
        <w:t xml:space="preserve"> </w:t>
      </w:r>
      <w:r>
        <w:t>1—A</w:t>
      </w:r>
      <w:r>
        <w:rPr>
          <w:spacing w:val="-1"/>
        </w:rPr>
        <w:t xml:space="preserve"> </w:t>
      </w:r>
      <w:r>
        <w:t>New</w:t>
      </w:r>
      <w:r>
        <w:rPr>
          <w:spacing w:val="-1"/>
        </w:rPr>
        <w:t xml:space="preserve"> </w:t>
      </w:r>
      <w:r>
        <w:t>Look</w:t>
      </w:r>
      <w:r>
        <w:rPr>
          <w:spacing w:val="-3"/>
        </w:rPr>
        <w:t xml:space="preserve"> </w:t>
      </w:r>
      <w:r>
        <w:t>at</w:t>
      </w:r>
      <w:r>
        <w:rPr>
          <w:spacing w:val="-1"/>
        </w:rPr>
        <w:t xml:space="preserve"> </w:t>
      </w:r>
      <w:r>
        <w:rPr>
          <w:spacing w:val="-2"/>
        </w:rPr>
        <w:t>Motivation</w:t>
      </w:r>
    </w:p>
    <w:p w14:paraId="70328199" w14:textId="77777777" w:rsidR="00DB6E1F" w:rsidRDefault="00DB6E1F">
      <w:pPr>
        <w:pStyle w:val="BodyText"/>
        <w:spacing w:before="2"/>
        <w:rPr>
          <w:b/>
          <w:sz w:val="43"/>
        </w:rPr>
      </w:pPr>
    </w:p>
    <w:p w14:paraId="5CA2B342" w14:textId="77777777" w:rsidR="00DB6E1F" w:rsidRDefault="00F666A6">
      <w:pPr>
        <w:spacing w:before="1"/>
        <w:ind w:left="1440" w:right="1491"/>
        <w:rPr>
          <w:sz w:val="20"/>
        </w:rPr>
      </w:pPr>
      <w:r>
        <w:rPr>
          <w:sz w:val="20"/>
        </w:rPr>
        <w:t>“Motivation</w:t>
      </w:r>
      <w:r>
        <w:rPr>
          <w:spacing w:val="-2"/>
          <w:sz w:val="20"/>
        </w:rPr>
        <w:t xml:space="preserve"> </w:t>
      </w:r>
      <w:r>
        <w:rPr>
          <w:sz w:val="20"/>
        </w:rPr>
        <w:t>to</w:t>
      </w:r>
      <w:r>
        <w:rPr>
          <w:spacing w:val="-3"/>
          <w:sz w:val="20"/>
        </w:rPr>
        <w:t xml:space="preserve"> </w:t>
      </w:r>
      <w:r>
        <w:rPr>
          <w:sz w:val="20"/>
        </w:rPr>
        <w:t>initiate</w:t>
      </w:r>
      <w:r>
        <w:rPr>
          <w:spacing w:val="-4"/>
          <w:sz w:val="20"/>
        </w:rPr>
        <w:t xml:space="preserve"> </w:t>
      </w:r>
      <w:r>
        <w:rPr>
          <w:sz w:val="20"/>
        </w:rPr>
        <w:t>and</w:t>
      </w:r>
      <w:r>
        <w:rPr>
          <w:spacing w:val="-2"/>
          <w:sz w:val="20"/>
        </w:rPr>
        <w:t xml:space="preserve"> </w:t>
      </w:r>
      <w:r>
        <w:rPr>
          <w:sz w:val="20"/>
        </w:rPr>
        <w:t>persist</w:t>
      </w:r>
      <w:r>
        <w:rPr>
          <w:spacing w:val="-3"/>
          <w:sz w:val="20"/>
        </w:rPr>
        <w:t xml:space="preserve"> </w:t>
      </w:r>
      <w:r>
        <w:rPr>
          <w:sz w:val="20"/>
        </w:rPr>
        <w:t>in</w:t>
      </w:r>
      <w:r>
        <w:rPr>
          <w:spacing w:val="-2"/>
          <w:sz w:val="20"/>
        </w:rPr>
        <w:t xml:space="preserve"> </w:t>
      </w:r>
      <w:r>
        <w:rPr>
          <w:sz w:val="20"/>
        </w:rPr>
        <w:t>change</w:t>
      </w:r>
      <w:r>
        <w:rPr>
          <w:spacing w:val="-1"/>
          <w:sz w:val="20"/>
        </w:rPr>
        <w:t xml:space="preserve"> </w:t>
      </w:r>
      <w:r>
        <w:rPr>
          <w:sz w:val="20"/>
        </w:rPr>
        <w:t>fluctuates</w:t>
      </w:r>
      <w:r>
        <w:rPr>
          <w:spacing w:val="-4"/>
          <w:sz w:val="20"/>
        </w:rPr>
        <w:t xml:space="preserve"> </w:t>
      </w:r>
      <w:r>
        <w:rPr>
          <w:sz w:val="20"/>
        </w:rPr>
        <w:t>over</w:t>
      </w:r>
      <w:r>
        <w:rPr>
          <w:spacing w:val="-1"/>
          <w:sz w:val="20"/>
        </w:rPr>
        <w:t xml:space="preserve"> </w:t>
      </w:r>
      <w:r>
        <w:rPr>
          <w:sz w:val="20"/>
        </w:rPr>
        <w:t>time</w:t>
      </w:r>
      <w:r>
        <w:rPr>
          <w:spacing w:val="-4"/>
          <w:sz w:val="20"/>
        </w:rPr>
        <w:t xml:space="preserve"> </w:t>
      </w:r>
      <w:r>
        <w:rPr>
          <w:sz w:val="20"/>
        </w:rPr>
        <w:t>regardless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person’s</w:t>
      </w:r>
      <w:r>
        <w:rPr>
          <w:spacing w:val="-4"/>
          <w:sz w:val="20"/>
        </w:rPr>
        <w:t xml:space="preserve"> </w:t>
      </w:r>
      <w:r>
        <w:rPr>
          <w:sz w:val="20"/>
        </w:rPr>
        <w:t>stage</w:t>
      </w:r>
      <w:r>
        <w:rPr>
          <w:spacing w:val="-4"/>
          <w:sz w:val="20"/>
        </w:rPr>
        <w:t xml:space="preserve"> </w:t>
      </w:r>
      <w:r>
        <w:rPr>
          <w:sz w:val="20"/>
        </w:rPr>
        <w:t>of</w:t>
      </w:r>
      <w:r>
        <w:rPr>
          <w:spacing w:val="-4"/>
          <w:sz w:val="20"/>
        </w:rPr>
        <w:t xml:space="preserve"> </w:t>
      </w:r>
      <w:r>
        <w:rPr>
          <w:sz w:val="20"/>
        </w:rPr>
        <w:t>readiness. From the client’s perspective, a decision is just the beginning of change.”</w:t>
      </w:r>
    </w:p>
    <w:p w14:paraId="68C3C6E9" w14:textId="77777777" w:rsidR="00DB6E1F" w:rsidRDefault="00F666A6">
      <w:pPr>
        <w:spacing w:before="121"/>
        <w:ind w:left="1440"/>
        <w:rPr>
          <w:sz w:val="20"/>
        </w:rPr>
      </w:pPr>
      <w:r>
        <w:rPr>
          <w:sz w:val="20"/>
        </w:rPr>
        <w:t>Miller</w:t>
      </w:r>
      <w:r>
        <w:rPr>
          <w:spacing w:val="-6"/>
          <w:sz w:val="20"/>
        </w:rPr>
        <w:t xml:space="preserve"> </w:t>
      </w:r>
      <w:r>
        <w:rPr>
          <w:sz w:val="20"/>
        </w:rPr>
        <w:t>&amp;</w:t>
      </w:r>
      <w:r>
        <w:rPr>
          <w:spacing w:val="-5"/>
          <w:sz w:val="20"/>
        </w:rPr>
        <w:t xml:space="preserve"> </w:t>
      </w:r>
      <w:r>
        <w:rPr>
          <w:sz w:val="20"/>
        </w:rPr>
        <w:t>Rollnick,</w:t>
      </w:r>
      <w:r>
        <w:rPr>
          <w:spacing w:val="-5"/>
          <w:sz w:val="20"/>
        </w:rPr>
        <w:t xml:space="preserve"> </w:t>
      </w:r>
      <w:r>
        <w:rPr>
          <w:sz w:val="20"/>
        </w:rPr>
        <w:t>2013,</w:t>
      </w:r>
      <w:r>
        <w:rPr>
          <w:spacing w:val="-5"/>
          <w:sz w:val="20"/>
        </w:rPr>
        <w:t xml:space="preserve"> </w:t>
      </w:r>
      <w:r>
        <w:rPr>
          <w:sz w:val="20"/>
        </w:rPr>
        <w:t>p.</w:t>
      </w:r>
      <w:r>
        <w:rPr>
          <w:spacing w:val="-6"/>
          <w:sz w:val="20"/>
        </w:rPr>
        <w:t xml:space="preserve"> </w:t>
      </w:r>
      <w:r>
        <w:rPr>
          <w:spacing w:val="-5"/>
          <w:sz w:val="20"/>
        </w:rPr>
        <w:t>293</w:t>
      </w:r>
    </w:p>
    <w:p w14:paraId="39B2D3FA" w14:textId="77777777" w:rsidR="00DB6E1F" w:rsidRDefault="00DB6E1F">
      <w:pPr>
        <w:pStyle w:val="BodyText"/>
        <w:spacing w:before="9"/>
        <w:rPr>
          <w:sz w:val="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9B514FB" w14:textId="77777777">
        <w:trPr>
          <w:trHeight w:val="1492"/>
        </w:trPr>
        <w:tc>
          <w:tcPr>
            <w:tcW w:w="9350" w:type="dxa"/>
            <w:shd w:val="clear" w:color="auto" w:fill="E7E6E6"/>
          </w:tcPr>
          <w:p w14:paraId="1C7AF6EA" w14:textId="77777777" w:rsidR="00DB6E1F" w:rsidRDefault="00F666A6">
            <w:pPr>
              <w:pStyle w:val="TableParagraph"/>
              <w:rPr>
                <w:sz w:val="20"/>
              </w:rPr>
            </w:pPr>
            <w:r>
              <w:rPr>
                <w:sz w:val="20"/>
              </w:rPr>
              <w:t>Key</w:t>
            </w:r>
            <w:r>
              <w:rPr>
                <w:spacing w:val="-4"/>
                <w:sz w:val="20"/>
              </w:rPr>
              <w:t xml:space="preserve"> </w:t>
            </w:r>
            <w:r>
              <w:rPr>
                <w:spacing w:val="-2"/>
                <w:sz w:val="20"/>
              </w:rPr>
              <w:t>Messages</w:t>
            </w:r>
          </w:p>
          <w:p w14:paraId="345F215C" w14:textId="77777777" w:rsidR="00DB6E1F" w:rsidRDefault="00F666A6">
            <w:pPr>
              <w:pStyle w:val="TableParagraph"/>
              <w:numPr>
                <w:ilvl w:val="0"/>
                <w:numId w:val="91"/>
              </w:numPr>
              <w:tabs>
                <w:tab w:val="left" w:pos="467"/>
                <w:tab w:val="left" w:pos="468"/>
              </w:tabs>
              <w:spacing w:before="120"/>
              <w:ind w:hanging="361"/>
              <w:rPr>
                <w:sz w:val="20"/>
              </w:rPr>
            </w:pPr>
            <w:r>
              <w:rPr>
                <w:sz w:val="20"/>
              </w:rPr>
              <w:t>Motivation</w:t>
            </w:r>
            <w:r>
              <w:rPr>
                <w:spacing w:val="-5"/>
                <w:sz w:val="20"/>
              </w:rPr>
              <w:t xml:space="preserve"> </w:t>
            </w:r>
            <w:r>
              <w:rPr>
                <w:sz w:val="20"/>
              </w:rPr>
              <w:t>is</w:t>
            </w:r>
            <w:r>
              <w:rPr>
                <w:spacing w:val="-6"/>
                <w:sz w:val="20"/>
              </w:rPr>
              <w:t xml:space="preserve"> </w:t>
            </w:r>
            <w:r>
              <w:rPr>
                <w:sz w:val="20"/>
              </w:rPr>
              <w:t>the</w:t>
            </w:r>
            <w:r>
              <w:rPr>
                <w:spacing w:val="-6"/>
                <w:sz w:val="20"/>
              </w:rPr>
              <w:t xml:space="preserve"> </w:t>
            </w:r>
            <w:r>
              <w:rPr>
                <w:sz w:val="20"/>
              </w:rPr>
              <w:t>key</w:t>
            </w:r>
            <w:r>
              <w:rPr>
                <w:spacing w:val="-4"/>
                <w:sz w:val="20"/>
              </w:rPr>
              <w:t xml:space="preserve"> </w:t>
            </w:r>
            <w:r>
              <w:rPr>
                <w:sz w:val="20"/>
              </w:rPr>
              <w:t>to</w:t>
            </w:r>
            <w:r>
              <w:rPr>
                <w:spacing w:val="-4"/>
                <w:sz w:val="20"/>
              </w:rPr>
              <w:t xml:space="preserve"> </w:t>
            </w:r>
            <w:r>
              <w:rPr>
                <w:sz w:val="20"/>
              </w:rPr>
              <w:t>substance</w:t>
            </w:r>
            <w:r>
              <w:rPr>
                <w:spacing w:val="-6"/>
                <w:sz w:val="20"/>
              </w:rPr>
              <w:t xml:space="preserve"> </w:t>
            </w:r>
            <w:r>
              <w:rPr>
                <w:sz w:val="20"/>
              </w:rPr>
              <w:t>use</w:t>
            </w:r>
            <w:r>
              <w:rPr>
                <w:spacing w:val="-6"/>
                <w:sz w:val="20"/>
              </w:rPr>
              <w:t xml:space="preserve"> </w:t>
            </w:r>
            <w:r>
              <w:rPr>
                <w:sz w:val="20"/>
              </w:rPr>
              <w:t>behavior</w:t>
            </w:r>
            <w:r>
              <w:rPr>
                <w:spacing w:val="-5"/>
                <w:sz w:val="20"/>
              </w:rPr>
              <w:t xml:space="preserve"> </w:t>
            </w:r>
            <w:r>
              <w:rPr>
                <w:spacing w:val="-2"/>
                <w:sz w:val="20"/>
              </w:rPr>
              <w:t>change.</w:t>
            </w:r>
          </w:p>
          <w:p w14:paraId="408FA2A9" w14:textId="77777777" w:rsidR="00DB6E1F" w:rsidRDefault="00F666A6">
            <w:pPr>
              <w:pStyle w:val="TableParagraph"/>
              <w:numPr>
                <w:ilvl w:val="0"/>
                <w:numId w:val="91"/>
              </w:numPr>
              <w:tabs>
                <w:tab w:val="left" w:pos="467"/>
                <w:tab w:val="left" w:pos="468"/>
              </w:tabs>
              <w:spacing w:before="38"/>
              <w:ind w:hanging="361"/>
              <w:rPr>
                <w:sz w:val="20"/>
              </w:rPr>
            </w:pPr>
            <w:r>
              <w:rPr>
                <w:sz w:val="20"/>
              </w:rPr>
              <w:t>Counselor</w:t>
            </w:r>
            <w:r>
              <w:rPr>
                <w:spacing w:val="-7"/>
                <w:sz w:val="20"/>
              </w:rPr>
              <w:t xml:space="preserve"> </w:t>
            </w:r>
            <w:r>
              <w:rPr>
                <w:sz w:val="20"/>
              </w:rPr>
              <w:t>use</w:t>
            </w:r>
            <w:r>
              <w:rPr>
                <w:spacing w:val="-7"/>
                <w:sz w:val="20"/>
              </w:rPr>
              <w:t xml:space="preserve"> </w:t>
            </w:r>
            <w:r>
              <w:rPr>
                <w:sz w:val="20"/>
              </w:rPr>
              <w:t>of</w:t>
            </w:r>
            <w:r>
              <w:rPr>
                <w:spacing w:val="-7"/>
                <w:sz w:val="20"/>
              </w:rPr>
              <w:t xml:space="preserve"> </w:t>
            </w:r>
            <w:r>
              <w:rPr>
                <w:sz w:val="20"/>
              </w:rPr>
              <w:t>empathy,</w:t>
            </w:r>
            <w:r>
              <w:rPr>
                <w:spacing w:val="-6"/>
                <w:sz w:val="20"/>
              </w:rPr>
              <w:t xml:space="preserve"> </w:t>
            </w:r>
            <w:r>
              <w:rPr>
                <w:sz w:val="20"/>
              </w:rPr>
              <w:t>not</w:t>
            </w:r>
            <w:r>
              <w:rPr>
                <w:spacing w:val="-6"/>
                <w:sz w:val="20"/>
              </w:rPr>
              <w:t xml:space="preserve"> </w:t>
            </w:r>
            <w:r>
              <w:rPr>
                <w:sz w:val="20"/>
              </w:rPr>
              <w:t>authority</w:t>
            </w:r>
            <w:r>
              <w:rPr>
                <w:spacing w:val="-5"/>
                <w:sz w:val="20"/>
              </w:rPr>
              <w:t xml:space="preserve"> </w:t>
            </w:r>
            <w:r>
              <w:rPr>
                <w:sz w:val="20"/>
              </w:rPr>
              <w:t>and</w:t>
            </w:r>
            <w:r>
              <w:rPr>
                <w:spacing w:val="-5"/>
                <w:sz w:val="20"/>
              </w:rPr>
              <w:t xml:space="preserve"> </w:t>
            </w:r>
            <w:r>
              <w:rPr>
                <w:sz w:val="20"/>
              </w:rPr>
              <w:t>power,</w:t>
            </w:r>
            <w:r>
              <w:rPr>
                <w:spacing w:val="-6"/>
                <w:sz w:val="20"/>
              </w:rPr>
              <w:t xml:space="preserve"> </w:t>
            </w:r>
            <w:r>
              <w:rPr>
                <w:sz w:val="20"/>
              </w:rPr>
              <w:t>is</w:t>
            </w:r>
            <w:r>
              <w:rPr>
                <w:spacing w:val="-7"/>
                <w:sz w:val="20"/>
              </w:rPr>
              <w:t xml:space="preserve"> </w:t>
            </w:r>
            <w:r>
              <w:rPr>
                <w:sz w:val="20"/>
              </w:rPr>
              <w:t>essential</w:t>
            </w:r>
            <w:r>
              <w:rPr>
                <w:spacing w:val="-6"/>
                <w:sz w:val="20"/>
              </w:rPr>
              <w:t xml:space="preserve"> </w:t>
            </w:r>
            <w:r>
              <w:rPr>
                <w:sz w:val="20"/>
              </w:rPr>
              <w:t>to</w:t>
            </w:r>
            <w:r>
              <w:rPr>
                <w:spacing w:val="-5"/>
                <w:sz w:val="20"/>
              </w:rPr>
              <w:t xml:space="preserve"> </w:t>
            </w:r>
            <w:r>
              <w:rPr>
                <w:sz w:val="20"/>
              </w:rPr>
              <w:t>enhancing</w:t>
            </w:r>
            <w:r>
              <w:rPr>
                <w:spacing w:val="-6"/>
                <w:sz w:val="20"/>
              </w:rPr>
              <w:t xml:space="preserve"> </w:t>
            </w:r>
            <w:r>
              <w:rPr>
                <w:sz w:val="20"/>
              </w:rPr>
              <w:t>client</w:t>
            </w:r>
            <w:r>
              <w:rPr>
                <w:spacing w:val="-6"/>
                <w:sz w:val="20"/>
              </w:rPr>
              <w:t xml:space="preserve"> </w:t>
            </w:r>
            <w:r>
              <w:rPr>
                <w:sz w:val="20"/>
              </w:rPr>
              <w:t>motivation</w:t>
            </w:r>
            <w:r>
              <w:rPr>
                <w:spacing w:val="-5"/>
                <w:sz w:val="20"/>
              </w:rPr>
              <w:t xml:space="preserve"> </w:t>
            </w:r>
            <w:r>
              <w:rPr>
                <w:sz w:val="20"/>
              </w:rPr>
              <w:t>to</w:t>
            </w:r>
            <w:r>
              <w:rPr>
                <w:spacing w:val="-6"/>
                <w:sz w:val="20"/>
              </w:rPr>
              <w:t xml:space="preserve"> </w:t>
            </w:r>
            <w:r>
              <w:rPr>
                <w:spacing w:val="-2"/>
                <w:sz w:val="20"/>
              </w:rPr>
              <w:t>change.</w:t>
            </w:r>
          </w:p>
          <w:p w14:paraId="615FF7DF" w14:textId="77777777" w:rsidR="00DB6E1F" w:rsidRDefault="00F666A6">
            <w:pPr>
              <w:pStyle w:val="TableParagraph"/>
              <w:numPr>
                <w:ilvl w:val="0"/>
                <w:numId w:val="91"/>
              </w:numPr>
              <w:tabs>
                <w:tab w:val="left" w:pos="467"/>
                <w:tab w:val="left" w:pos="468"/>
              </w:tabs>
              <w:spacing w:before="40"/>
              <w:ind w:right="953"/>
              <w:rPr>
                <w:sz w:val="20"/>
              </w:rPr>
            </w:pPr>
            <w:r>
              <w:rPr>
                <w:sz w:val="20"/>
              </w:rPr>
              <w:t>The</w:t>
            </w:r>
            <w:r>
              <w:rPr>
                <w:spacing w:val="-4"/>
                <w:sz w:val="20"/>
              </w:rPr>
              <w:t xml:space="preserve"> </w:t>
            </w:r>
            <w:r>
              <w:rPr>
                <w:sz w:val="20"/>
              </w:rPr>
              <w:t>Transtheoretical</w:t>
            </w:r>
            <w:r>
              <w:rPr>
                <w:spacing w:val="-3"/>
                <w:sz w:val="20"/>
              </w:rPr>
              <w:t xml:space="preserve"> </w:t>
            </w:r>
            <w:r>
              <w:rPr>
                <w:sz w:val="20"/>
              </w:rPr>
              <w:t>Model</w:t>
            </w:r>
            <w:r>
              <w:rPr>
                <w:spacing w:val="-3"/>
                <w:sz w:val="20"/>
              </w:rPr>
              <w:t xml:space="preserve"> </w:t>
            </w:r>
            <w:r>
              <w:rPr>
                <w:sz w:val="20"/>
              </w:rPr>
              <w:t>(TTM)</w:t>
            </w:r>
            <w:r>
              <w:rPr>
                <w:spacing w:val="-3"/>
                <w:sz w:val="20"/>
              </w:rPr>
              <w:t xml:space="preserve"> </w:t>
            </w:r>
            <w:r>
              <w:rPr>
                <w:sz w:val="20"/>
              </w:rPr>
              <w:t>of</w:t>
            </w:r>
            <w:r>
              <w:rPr>
                <w:spacing w:val="-4"/>
                <w:sz w:val="20"/>
              </w:rPr>
              <w:t xml:space="preserve"> </w:t>
            </w:r>
            <w:r>
              <w:rPr>
                <w:sz w:val="20"/>
              </w:rPr>
              <w:t>the</w:t>
            </w:r>
            <w:r>
              <w:rPr>
                <w:spacing w:val="-1"/>
                <w:sz w:val="20"/>
              </w:rPr>
              <w:t xml:space="preserve"> </w:t>
            </w:r>
            <w:r>
              <w:rPr>
                <w:sz w:val="20"/>
              </w:rPr>
              <w:t>Stages</w:t>
            </w:r>
            <w:r>
              <w:rPr>
                <w:spacing w:val="-4"/>
                <w:sz w:val="20"/>
              </w:rPr>
              <w:t xml:space="preserve"> </w:t>
            </w:r>
            <w:r>
              <w:rPr>
                <w:sz w:val="20"/>
              </w:rPr>
              <w:t>of</w:t>
            </w:r>
            <w:r>
              <w:rPr>
                <w:spacing w:val="-4"/>
                <w:sz w:val="20"/>
              </w:rPr>
              <w:t xml:space="preserve"> </w:t>
            </w:r>
            <w:r>
              <w:rPr>
                <w:sz w:val="20"/>
              </w:rPr>
              <w:t>Change</w:t>
            </w:r>
            <w:r>
              <w:rPr>
                <w:spacing w:val="-4"/>
                <w:sz w:val="20"/>
              </w:rPr>
              <w:t xml:space="preserve"> </w:t>
            </w:r>
            <w:r>
              <w:rPr>
                <w:sz w:val="20"/>
              </w:rPr>
              <w:t>(SOC)</w:t>
            </w:r>
            <w:r>
              <w:rPr>
                <w:spacing w:val="-3"/>
                <w:sz w:val="20"/>
              </w:rPr>
              <w:t xml:space="preserve"> </w:t>
            </w:r>
            <w:r>
              <w:rPr>
                <w:sz w:val="20"/>
              </w:rPr>
              <w:t>approach</w:t>
            </w:r>
            <w:r>
              <w:rPr>
                <w:spacing w:val="-2"/>
                <w:sz w:val="20"/>
              </w:rPr>
              <w:t xml:space="preserve"> </w:t>
            </w:r>
            <w:r>
              <w:rPr>
                <w:sz w:val="20"/>
              </w:rPr>
              <w:t>is</w:t>
            </w:r>
            <w:r>
              <w:rPr>
                <w:spacing w:val="-4"/>
                <w:sz w:val="20"/>
              </w:rPr>
              <w:t xml:space="preserve"> </w:t>
            </w:r>
            <w:r>
              <w:rPr>
                <w:sz w:val="20"/>
              </w:rPr>
              <w:t>a</w:t>
            </w:r>
            <w:r>
              <w:rPr>
                <w:spacing w:val="-3"/>
                <w:sz w:val="20"/>
              </w:rPr>
              <w:t xml:space="preserve"> </w:t>
            </w:r>
            <w:r>
              <w:rPr>
                <w:sz w:val="20"/>
              </w:rPr>
              <w:t>useful</w:t>
            </w:r>
            <w:r>
              <w:rPr>
                <w:spacing w:val="-3"/>
                <w:sz w:val="20"/>
              </w:rPr>
              <w:t xml:space="preserve"> </w:t>
            </w:r>
            <w:r>
              <w:rPr>
                <w:sz w:val="20"/>
              </w:rPr>
              <w:t>overarching framework that can help you tailor specific counseling strategies to the different stages.</w:t>
            </w:r>
          </w:p>
        </w:tc>
      </w:tr>
    </w:tbl>
    <w:p w14:paraId="72F2BB65" w14:textId="77777777" w:rsidR="00DB6E1F" w:rsidRDefault="00F666A6">
      <w:pPr>
        <w:pStyle w:val="BodyText"/>
        <w:spacing w:before="157"/>
        <w:ind w:left="1439" w:right="1491"/>
      </w:pPr>
      <w:r>
        <w:t>Why do people ch</w:t>
      </w:r>
      <w:r>
        <w:t>ange? How is</w:t>
      </w:r>
      <w:r>
        <w:rPr>
          <w:spacing w:val="-2"/>
        </w:rPr>
        <w:t xml:space="preserve"> </w:t>
      </w:r>
      <w:r>
        <w:t>motivation</w:t>
      </w:r>
      <w:r>
        <w:rPr>
          <w:spacing w:val="-3"/>
        </w:rPr>
        <w:t xml:space="preserve"> </w:t>
      </w:r>
      <w:r>
        <w:t>linked</w:t>
      </w:r>
      <w:r>
        <w:rPr>
          <w:spacing w:val="-1"/>
        </w:rPr>
        <w:t xml:space="preserve"> </w:t>
      </w:r>
      <w:r>
        <w:t>to substance use</w:t>
      </w:r>
      <w:r>
        <w:rPr>
          <w:spacing w:val="-2"/>
        </w:rPr>
        <w:t xml:space="preserve"> </w:t>
      </w:r>
      <w:r>
        <w:t>behavior</w:t>
      </w:r>
      <w:r>
        <w:rPr>
          <w:spacing w:val="-3"/>
        </w:rPr>
        <w:t xml:space="preserve"> </w:t>
      </w:r>
      <w:r>
        <w:t>change? How</w:t>
      </w:r>
      <w:r>
        <w:rPr>
          <w:spacing w:val="-2"/>
        </w:rPr>
        <w:t xml:space="preserve"> </w:t>
      </w:r>
      <w:r>
        <w:t>can</w:t>
      </w:r>
      <w:r>
        <w:rPr>
          <w:spacing w:val="-1"/>
        </w:rPr>
        <w:t xml:space="preserve"> </w:t>
      </w:r>
      <w:r>
        <w:t>you help clients enhance their motivation to engage in substance use disorder (SUD) treatment and initiate recovery?</w:t>
      </w:r>
      <w:r>
        <w:rPr>
          <w:spacing w:val="-4"/>
        </w:rPr>
        <w:t xml:space="preserve"> </w:t>
      </w:r>
      <w:r>
        <w:t>This</w:t>
      </w:r>
      <w:r>
        <w:rPr>
          <w:spacing w:val="-5"/>
        </w:rPr>
        <w:t xml:space="preserve"> </w:t>
      </w:r>
      <w:r>
        <w:t>Treatment</w:t>
      </w:r>
      <w:r>
        <w:rPr>
          <w:spacing w:val="-2"/>
        </w:rPr>
        <w:t xml:space="preserve"> </w:t>
      </w:r>
      <w:r>
        <w:t>Improvement</w:t>
      </w:r>
      <w:r>
        <w:rPr>
          <w:spacing w:val="-2"/>
        </w:rPr>
        <w:t xml:space="preserve"> </w:t>
      </w:r>
      <w:r>
        <w:t>Protocol</w:t>
      </w:r>
      <w:r>
        <w:rPr>
          <w:spacing w:val="-3"/>
        </w:rPr>
        <w:t xml:space="preserve"> </w:t>
      </w:r>
      <w:r>
        <w:t>(TIP)</w:t>
      </w:r>
      <w:r>
        <w:rPr>
          <w:spacing w:val="-5"/>
        </w:rPr>
        <w:t xml:space="preserve"> </w:t>
      </w:r>
      <w:r>
        <w:t>will</w:t>
      </w:r>
      <w:r>
        <w:rPr>
          <w:spacing w:val="-3"/>
        </w:rPr>
        <w:t xml:space="preserve"> </w:t>
      </w:r>
      <w:r>
        <w:t>answer</w:t>
      </w:r>
      <w:r>
        <w:rPr>
          <w:spacing w:val="-3"/>
        </w:rPr>
        <w:t xml:space="preserve"> </w:t>
      </w:r>
      <w:r>
        <w:t>these</w:t>
      </w:r>
      <w:r>
        <w:rPr>
          <w:spacing w:val="-5"/>
        </w:rPr>
        <w:t xml:space="preserve"> </w:t>
      </w:r>
      <w:r>
        <w:t>and</w:t>
      </w:r>
      <w:r>
        <w:rPr>
          <w:spacing w:val="-4"/>
        </w:rPr>
        <w:t xml:space="preserve"> </w:t>
      </w:r>
      <w:r>
        <w:t>other</w:t>
      </w:r>
      <w:r>
        <w:rPr>
          <w:spacing w:val="-3"/>
        </w:rPr>
        <w:t xml:space="preserve"> </w:t>
      </w:r>
      <w:r>
        <w:t>important</w:t>
      </w:r>
      <w:r>
        <w:rPr>
          <w:spacing w:val="-2"/>
        </w:rPr>
        <w:t xml:space="preserve"> </w:t>
      </w:r>
      <w:r>
        <w:t>questions. Using</w:t>
      </w:r>
      <w:r>
        <w:rPr>
          <w:spacing w:val="-1"/>
        </w:rPr>
        <w:t xml:space="preserve"> </w:t>
      </w:r>
      <w:r>
        <w:t>the TTM</w:t>
      </w:r>
      <w:r>
        <w:rPr>
          <w:spacing w:val="-1"/>
        </w:rPr>
        <w:t xml:space="preserve"> </w:t>
      </w:r>
      <w:r>
        <w:t>of</w:t>
      </w:r>
      <w:r>
        <w:rPr>
          <w:spacing w:val="-2"/>
        </w:rPr>
        <w:t xml:space="preserve"> </w:t>
      </w:r>
      <w:r>
        <w:t>behavioral change as a</w:t>
      </w:r>
      <w:r>
        <w:rPr>
          <w:spacing w:val="-2"/>
        </w:rPr>
        <w:t xml:space="preserve"> </w:t>
      </w:r>
      <w:r>
        <w:t>foundation,</w:t>
      </w:r>
      <w:r>
        <w:rPr>
          <w:spacing w:val="-2"/>
        </w:rPr>
        <w:t xml:space="preserve"> </w:t>
      </w:r>
      <w:r>
        <w:t>Chapter 1</w:t>
      </w:r>
      <w:r>
        <w:rPr>
          <w:spacing w:val="-1"/>
        </w:rPr>
        <w:t xml:space="preserve"> </w:t>
      </w:r>
      <w:r>
        <w:t>lays</w:t>
      </w:r>
      <w:r>
        <w:rPr>
          <w:spacing w:val="-2"/>
        </w:rPr>
        <w:t xml:space="preserve"> </w:t>
      </w:r>
      <w:r>
        <w:t>the groundwork</w:t>
      </w:r>
      <w:r>
        <w:rPr>
          <w:spacing w:val="-2"/>
        </w:rPr>
        <w:t xml:space="preserve"> </w:t>
      </w:r>
      <w:r>
        <w:t>for</w:t>
      </w:r>
      <w:r>
        <w:rPr>
          <w:spacing w:val="-2"/>
        </w:rPr>
        <w:t xml:space="preserve"> </w:t>
      </w:r>
      <w:r>
        <w:t>answering</w:t>
      </w:r>
      <w:r>
        <w:rPr>
          <w:spacing w:val="-1"/>
        </w:rPr>
        <w:t xml:space="preserve"> </w:t>
      </w:r>
      <w:r>
        <w:t>such questions. It offers an overview of the nature of motivation and its link to changing substance use behaviors. It also addresses</w:t>
      </w:r>
      <w:r>
        <w:t xml:space="preserve"> the shift away from abstinence-only addiction treatment perspectives toward client-centered approaches that enhance motivation and reduce risk.</w:t>
      </w:r>
    </w:p>
    <w:p w14:paraId="650C0634" w14:textId="77777777" w:rsidR="00DB6E1F" w:rsidRDefault="00F666A6">
      <w:pPr>
        <w:pStyle w:val="BodyText"/>
        <w:spacing w:before="160"/>
        <w:ind w:left="1439" w:right="2000"/>
      </w:pPr>
      <w:r>
        <w:t>In the past three decades, the addiction treatment field has focused on discovering and applying science-inform</w:t>
      </w:r>
      <w:r>
        <w:t>ed</w:t>
      </w:r>
      <w:r>
        <w:rPr>
          <w:spacing w:val="-3"/>
        </w:rPr>
        <w:t xml:space="preserve"> </w:t>
      </w:r>
      <w:r>
        <w:t>practices</w:t>
      </w:r>
      <w:r>
        <w:rPr>
          <w:spacing w:val="-4"/>
        </w:rPr>
        <w:t xml:space="preserve"> </w:t>
      </w:r>
      <w:r>
        <w:t>that</w:t>
      </w:r>
      <w:r>
        <w:rPr>
          <w:spacing w:val="-1"/>
        </w:rPr>
        <w:t xml:space="preserve"> </w:t>
      </w:r>
      <w:r>
        <w:t>help</w:t>
      </w:r>
      <w:r>
        <w:rPr>
          <w:spacing w:val="-3"/>
        </w:rPr>
        <w:t xml:space="preserve"> </w:t>
      </w:r>
      <w:r>
        <w:t>people</w:t>
      </w:r>
      <w:r>
        <w:rPr>
          <w:spacing w:val="-4"/>
        </w:rPr>
        <w:t xml:space="preserve"> </w:t>
      </w:r>
      <w:r>
        <w:t>with</w:t>
      </w:r>
      <w:r>
        <w:rPr>
          <w:spacing w:val="-3"/>
        </w:rPr>
        <w:t xml:space="preserve"> </w:t>
      </w:r>
      <w:r>
        <w:t>SUDs</w:t>
      </w:r>
      <w:r>
        <w:rPr>
          <w:spacing w:val="-4"/>
        </w:rPr>
        <w:t xml:space="preserve"> </w:t>
      </w:r>
      <w:r>
        <w:t>enhance</w:t>
      </w:r>
      <w:r>
        <w:rPr>
          <w:spacing w:val="-1"/>
        </w:rPr>
        <w:t xml:space="preserve"> </w:t>
      </w:r>
      <w:r>
        <w:t>their</w:t>
      </w:r>
      <w:r>
        <w:rPr>
          <w:spacing w:val="-5"/>
        </w:rPr>
        <w:t xml:space="preserve"> </w:t>
      </w:r>
      <w:r>
        <w:t>motivation</w:t>
      </w:r>
      <w:r>
        <w:rPr>
          <w:spacing w:val="-5"/>
        </w:rPr>
        <w:t xml:space="preserve"> </w:t>
      </w:r>
      <w:r>
        <w:t>to</w:t>
      </w:r>
      <w:r>
        <w:rPr>
          <w:spacing w:val="-1"/>
        </w:rPr>
        <w:t xml:space="preserve"> </w:t>
      </w:r>
      <w:r>
        <w:t>stop</w:t>
      </w:r>
      <w:r>
        <w:rPr>
          <w:spacing w:val="-5"/>
        </w:rPr>
        <w:t xml:space="preserve"> </w:t>
      </w:r>
      <w:r>
        <w:t>or</w:t>
      </w:r>
      <w:r>
        <w:rPr>
          <w:spacing w:val="-2"/>
        </w:rPr>
        <w:t xml:space="preserve"> </w:t>
      </w:r>
      <w:r>
        <w:t>reduce</w:t>
      </w:r>
    </w:p>
    <w:p w14:paraId="1956E41E" w14:textId="77777777" w:rsidR="00DB6E1F" w:rsidRDefault="00F666A6">
      <w:pPr>
        <w:pStyle w:val="BodyText"/>
        <w:ind w:left="1439" w:right="1444"/>
      </w:pPr>
      <w:r>
        <w:t>alcohol,</w:t>
      </w:r>
      <w:r>
        <w:rPr>
          <w:spacing w:val="-2"/>
        </w:rPr>
        <w:t xml:space="preserve"> </w:t>
      </w:r>
      <w:r>
        <w:t>drug,</w:t>
      </w:r>
      <w:r>
        <w:rPr>
          <w:spacing w:val="-2"/>
        </w:rPr>
        <w:t xml:space="preserve"> </w:t>
      </w:r>
      <w:r>
        <w:t>and</w:t>
      </w:r>
      <w:r>
        <w:rPr>
          <w:spacing w:val="-3"/>
        </w:rPr>
        <w:t xml:space="preserve"> </w:t>
      </w:r>
      <w:r>
        <w:t>nicotine</w:t>
      </w:r>
      <w:r>
        <w:rPr>
          <w:spacing w:val="-4"/>
        </w:rPr>
        <w:t xml:space="preserve"> </w:t>
      </w:r>
      <w:r>
        <w:t>use.</w:t>
      </w:r>
      <w:r>
        <w:rPr>
          <w:spacing w:val="-3"/>
        </w:rPr>
        <w:t xml:space="preserve"> </w:t>
      </w:r>
      <w:r>
        <w:t>Research</w:t>
      </w:r>
      <w:r>
        <w:rPr>
          <w:spacing w:val="-3"/>
        </w:rPr>
        <w:t xml:space="preserve"> </w:t>
      </w:r>
      <w:r>
        <w:t>and</w:t>
      </w:r>
      <w:r>
        <w:rPr>
          <w:spacing w:val="-3"/>
        </w:rPr>
        <w:t xml:space="preserve"> </w:t>
      </w:r>
      <w:r>
        <w:t>clinical</w:t>
      </w:r>
      <w:r>
        <w:rPr>
          <w:spacing w:val="-5"/>
        </w:rPr>
        <w:t xml:space="preserve"> </w:t>
      </w:r>
      <w:r>
        <w:t>literature</w:t>
      </w:r>
      <w:r>
        <w:rPr>
          <w:spacing w:val="-4"/>
        </w:rPr>
        <w:t xml:space="preserve"> </w:t>
      </w:r>
      <w:r>
        <w:t>have</w:t>
      </w:r>
      <w:r>
        <w:rPr>
          <w:spacing w:val="-1"/>
        </w:rPr>
        <w:t xml:space="preserve"> </w:t>
      </w:r>
      <w:r>
        <w:t>explored</w:t>
      </w:r>
      <w:r>
        <w:rPr>
          <w:spacing w:val="-2"/>
        </w:rPr>
        <w:t xml:space="preserve"> </w:t>
      </w:r>
      <w:r>
        <w:t>how</w:t>
      </w:r>
      <w:r>
        <w:rPr>
          <w:spacing w:val="-1"/>
        </w:rPr>
        <w:t xml:space="preserve"> </w:t>
      </w:r>
      <w:r>
        <w:t>to</w:t>
      </w:r>
      <w:r>
        <w:rPr>
          <w:spacing w:val="-1"/>
        </w:rPr>
        <w:t xml:space="preserve"> </w:t>
      </w:r>
      <w:r>
        <w:t>help</w:t>
      </w:r>
      <w:r>
        <w:rPr>
          <w:spacing w:val="-3"/>
        </w:rPr>
        <w:t xml:space="preserve"> </w:t>
      </w:r>
      <w:r>
        <w:t>clients</w:t>
      </w:r>
      <w:r>
        <w:rPr>
          <w:spacing w:val="-2"/>
        </w:rPr>
        <w:t xml:space="preserve"> </w:t>
      </w:r>
      <w:r>
        <w:t>sustain behavior change in ongoing recovery. Such recovery support helps prevent or lessen the social, mental, and health problems that result from a recurrence of substance use or a relapse to previous levels of substance misuse.</w:t>
      </w:r>
    </w:p>
    <w:p w14:paraId="357A039A" w14:textId="77777777" w:rsidR="00DB6E1F" w:rsidRDefault="00F666A6">
      <w:pPr>
        <w:pStyle w:val="BodyText"/>
        <w:spacing w:before="160"/>
        <w:ind w:left="1439" w:right="1491"/>
      </w:pPr>
      <w:r>
        <w:t>This</w:t>
      </w:r>
      <w:r>
        <w:rPr>
          <w:spacing w:val="-3"/>
        </w:rPr>
        <w:t xml:space="preserve"> </w:t>
      </w:r>
      <w:r>
        <w:t>TIP</w:t>
      </w:r>
      <w:r>
        <w:rPr>
          <w:spacing w:val="-4"/>
        </w:rPr>
        <w:t xml:space="preserve"> </w:t>
      </w:r>
      <w:r>
        <w:t>examines</w:t>
      </w:r>
      <w:r>
        <w:rPr>
          <w:spacing w:val="-5"/>
        </w:rPr>
        <w:t xml:space="preserve"> </w:t>
      </w:r>
      <w:r>
        <w:t>motivational</w:t>
      </w:r>
      <w:r>
        <w:rPr>
          <w:spacing w:val="-3"/>
        </w:rPr>
        <w:t xml:space="preserve"> </w:t>
      </w:r>
      <w:r>
        <w:t>enhancement</w:t>
      </w:r>
      <w:r>
        <w:rPr>
          <w:spacing w:val="-2"/>
        </w:rPr>
        <w:t xml:space="preserve"> </w:t>
      </w:r>
      <w:r>
        <w:t>and</w:t>
      </w:r>
      <w:r>
        <w:rPr>
          <w:spacing w:val="-4"/>
        </w:rPr>
        <w:t xml:space="preserve"> </w:t>
      </w:r>
      <w:r>
        <w:t>substance</w:t>
      </w:r>
      <w:r>
        <w:rPr>
          <w:spacing w:val="-2"/>
        </w:rPr>
        <w:t xml:space="preserve"> </w:t>
      </w:r>
      <w:r>
        <w:t>use</w:t>
      </w:r>
      <w:r>
        <w:rPr>
          <w:spacing w:val="-2"/>
        </w:rPr>
        <w:t xml:space="preserve"> </w:t>
      </w:r>
      <w:r>
        <w:t>behavior</w:t>
      </w:r>
      <w:r>
        <w:rPr>
          <w:spacing w:val="-5"/>
        </w:rPr>
        <w:t xml:space="preserve"> </w:t>
      </w:r>
      <w:r>
        <w:t>change</w:t>
      </w:r>
      <w:r>
        <w:rPr>
          <w:spacing w:val="-4"/>
        </w:rPr>
        <w:t xml:space="preserve"> </w:t>
      </w:r>
      <w:r>
        <w:t>using</w:t>
      </w:r>
      <w:r>
        <w:rPr>
          <w:spacing w:val="-3"/>
        </w:rPr>
        <w:t xml:space="preserve"> </w:t>
      </w:r>
      <w:r>
        <w:t>two</w:t>
      </w:r>
      <w:r>
        <w:rPr>
          <w:spacing w:val="-2"/>
        </w:rPr>
        <w:t xml:space="preserve"> </w:t>
      </w:r>
      <w:r>
        <w:t>science- informed approaches (DiClemente, Corno, Graydon, Wiprovnick, &amp; Knobloch, 2017):</w:t>
      </w:r>
    </w:p>
    <w:p w14:paraId="24E90755" w14:textId="77777777" w:rsidR="00DB6E1F" w:rsidRDefault="00F666A6">
      <w:pPr>
        <w:pStyle w:val="ListParagraph"/>
        <w:numPr>
          <w:ilvl w:val="0"/>
          <w:numId w:val="90"/>
        </w:numPr>
        <w:tabs>
          <w:tab w:val="left" w:pos="1800"/>
        </w:tabs>
        <w:spacing w:line="259" w:lineRule="auto"/>
        <w:ind w:right="1539"/>
      </w:pPr>
      <w:r>
        <w:t>Motivational</w:t>
      </w:r>
      <w:r>
        <w:rPr>
          <w:spacing w:val="-2"/>
        </w:rPr>
        <w:t xml:space="preserve"> </w:t>
      </w:r>
      <w:r>
        <w:t>interviewing</w:t>
      </w:r>
      <w:r>
        <w:rPr>
          <w:spacing w:val="-2"/>
        </w:rPr>
        <w:t xml:space="preserve"> </w:t>
      </w:r>
      <w:r>
        <w:t>(MI),</w:t>
      </w:r>
      <w:r>
        <w:rPr>
          <w:spacing w:val="-4"/>
        </w:rPr>
        <w:t xml:space="preserve"> </w:t>
      </w:r>
      <w:r>
        <w:t>which</w:t>
      </w:r>
      <w:r>
        <w:rPr>
          <w:spacing w:val="-3"/>
        </w:rPr>
        <w:t xml:space="preserve"> </w:t>
      </w:r>
      <w:r>
        <w:t>is</w:t>
      </w:r>
      <w:r>
        <w:rPr>
          <w:spacing w:val="-2"/>
        </w:rPr>
        <w:t xml:space="preserve"> </w:t>
      </w:r>
      <w:r>
        <w:t>a</w:t>
      </w:r>
      <w:r>
        <w:rPr>
          <w:spacing w:val="-5"/>
        </w:rPr>
        <w:t xml:space="preserve"> </w:t>
      </w:r>
      <w:r>
        <w:t>respectful</w:t>
      </w:r>
      <w:r>
        <w:rPr>
          <w:spacing w:val="-2"/>
        </w:rPr>
        <w:t xml:space="preserve"> </w:t>
      </w:r>
      <w:r>
        <w:t>counseling</w:t>
      </w:r>
      <w:r>
        <w:rPr>
          <w:spacing w:val="-3"/>
        </w:rPr>
        <w:t xml:space="preserve"> </w:t>
      </w:r>
      <w:r>
        <w:t>style</w:t>
      </w:r>
      <w:r>
        <w:rPr>
          <w:spacing w:val="-3"/>
        </w:rPr>
        <w:t xml:space="preserve"> </w:t>
      </w:r>
      <w:r>
        <w:t>that</w:t>
      </w:r>
      <w:r>
        <w:rPr>
          <w:spacing w:val="-2"/>
        </w:rPr>
        <w:t xml:space="preserve"> </w:t>
      </w:r>
      <w:r>
        <w:t>focuses</w:t>
      </w:r>
      <w:r>
        <w:rPr>
          <w:spacing w:val="-2"/>
        </w:rPr>
        <w:t xml:space="preserve"> </w:t>
      </w:r>
      <w:r>
        <w:t>on</w:t>
      </w:r>
      <w:r>
        <w:rPr>
          <w:spacing w:val="-3"/>
        </w:rPr>
        <w:t xml:space="preserve"> </w:t>
      </w:r>
      <w:r>
        <w:t>helping</w:t>
      </w:r>
      <w:r>
        <w:rPr>
          <w:spacing w:val="-2"/>
        </w:rPr>
        <w:t xml:space="preserve"> </w:t>
      </w:r>
      <w:r>
        <w:t>cli</w:t>
      </w:r>
      <w:r>
        <w:t>ents resolve ambivalence about and enhance motivation to change health-risk behaviors, including substance misuse</w:t>
      </w:r>
    </w:p>
    <w:p w14:paraId="1ACB204C" w14:textId="77777777" w:rsidR="00DB6E1F" w:rsidRDefault="00F666A6">
      <w:pPr>
        <w:pStyle w:val="ListParagraph"/>
        <w:numPr>
          <w:ilvl w:val="0"/>
          <w:numId w:val="90"/>
        </w:numPr>
        <w:tabs>
          <w:tab w:val="left" w:pos="1800"/>
        </w:tabs>
        <w:spacing w:before="159" w:line="256" w:lineRule="auto"/>
        <w:ind w:right="2285" w:hanging="360"/>
      </w:pPr>
      <w:r>
        <w:t>The</w:t>
      </w:r>
      <w:r>
        <w:rPr>
          <w:spacing w:val="-1"/>
        </w:rPr>
        <w:t xml:space="preserve"> </w:t>
      </w:r>
      <w:r>
        <w:t>TTM</w:t>
      </w:r>
      <w:r>
        <w:rPr>
          <w:spacing w:val="-4"/>
        </w:rPr>
        <w:t xml:space="preserve"> </w:t>
      </w:r>
      <w:r>
        <w:t>of</w:t>
      </w:r>
      <w:r>
        <w:rPr>
          <w:spacing w:val="-4"/>
        </w:rPr>
        <w:t xml:space="preserve"> </w:t>
      </w:r>
      <w:r>
        <w:t>the</w:t>
      </w:r>
      <w:r>
        <w:rPr>
          <w:spacing w:val="-1"/>
        </w:rPr>
        <w:t xml:space="preserve"> </w:t>
      </w:r>
      <w:r>
        <w:t>SOC,</w:t>
      </w:r>
      <w:r>
        <w:rPr>
          <w:spacing w:val="-2"/>
        </w:rPr>
        <w:t xml:space="preserve"> </w:t>
      </w:r>
      <w:r>
        <w:t>which</w:t>
      </w:r>
      <w:r>
        <w:rPr>
          <w:spacing w:val="-5"/>
        </w:rPr>
        <w:t xml:space="preserve"> </w:t>
      </w:r>
      <w:r>
        <w:t>provides</w:t>
      </w:r>
      <w:r>
        <w:rPr>
          <w:spacing w:val="-2"/>
        </w:rPr>
        <w:t xml:space="preserve"> </w:t>
      </w:r>
      <w:r>
        <w:t>an</w:t>
      </w:r>
      <w:r>
        <w:rPr>
          <w:spacing w:val="-5"/>
        </w:rPr>
        <w:t xml:space="preserve"> </w:t>
      </w:r>
      <w:r>
        <w:t>overarching</w:t>
      </w:r>
      <w:r>
        <w:rPr>
          <w:spacing w:val="-3"/>
        </w:rPr>
        <w:t xml:space="preserve"> </w:t>
      </w:r>
      <w:r>
        <w:t>framework</w:t>
      </w:r>
      <w:r>
        <w:rPr>
          <w:spacing w:val="-1"/>
        </w:rPr>
        <w:t xml:space="preserve"> </w:t>
      </w:r>
      <w:r>
        <w:t>for</w:t>
      </w:r>
      <w:r>
        <w:rPr>
          <w:spacing w:val="-4"/>
        </w:rPr>
        <w:t xml:space="preserve"> </w:t>
      </w:r>
      <w:r>
        <w:t>motivational</w:t>
      </w:r>
      <w:r>
        <w:rPr>
          <w:spacing w:val="-5"/>
        </w:rPr>
        <w:t xml:space="preserve"> </w:t>
      </w:r>
      <w:r>
        <w:t>counseling approaches throughout all phases of addiction treatmen</w:t>
      </w:r>
      <w:r>
        <w:t>t</w:t>
      </w:r>
    </w:p>
    <w:p w14:paraId="7DA2C3F8" w14:textId="77777777" w:rsidR="00DB6E1F" w:rsidRDefault="00F666A6">
      <w:pPr>
        <w:pStyle w:val="BodyText"/>
        <w:spacing w:before="8"/>
        <w:rPr>
          <w:sz w:val="11"/>
        </w:rPr>
      </w:pPr>
      <w:r>
        <w:pict w14:anchorId="381F80B9">
          <v:shapetype id="_x0000_t202" coordsize="21600,21600" o:spt="202" path="m,l,21600r21600,l21600,xe">
            <v:stroke joinstyle="miter"/>
            <v:path gradientshapeok="t" o:connecttype="rect"/>
          </v:shapetype>
          <v:shape id="docshape8" o:spid="_x0000_s2265" type="#_x0000_t202" style="position:absolute;margin-left:1in;margin-top:8.55pt;width:473.4pt;height:140.4pt;z-index:-15727104;mso-wrap-distance-left:0;mso-wrap-distance-right:0;mso-position-horizontal-relative:page" fillcolor="#e7e6e6" strokeweight=".16969mm">
            <v:textbox inset="0,0,0,0">
              <w:txbxContent>
                <w:p w14:paraId="61EC8FE4" w14:textId="77777777" w:rsidR="00DB6E1F" w:rsidRDefault="00F666A6">
                  <w:pPr>
                    <w:spacing w:before="124"/>
                    <w:ind w:left="4295"/>
                    <w:rPr>
                      <w:b/>
                      <w:color w:val="000000"/>
                      <w:sz w:val="20"/>
                    </w:rPr>
                  </w:pPr>
                  <w:r>
                    <w:rPr>
                      <w:b/>
                      <w:color w:val="000000"/>
                      <w:sz w:val="20"/>
                    </w:rPr>
                    <w:t>Key</w:t>
                  </w:r>
                  <w:r>
                    <w:rPr>
                      <w:b/>
                      <w:color w:val="000000"/>
                      <w:spacing w:val="-6"/>
                      <w:sz w:val="20"/>
                    </w:rPr>
                    <w:t xml:space="preserve"> </w:t>
                  </w:r>
                  <w:r>
                    <w:rPr>
                      <w:b/>
                      <w:color w:val="000000"/>
                      <w:spacing w:val="-2"/>
                      <w:sz w:val="20"/>
                    </w:rPr>
                    <w:t>Terms</w:t>
                  </w:r>
                </w:p>
                <w:p w14:paraId="4B5908C0" w14:textId="77777777" w:rsidR="00DB6E1F" w:rsidRDefault="00F666A6">
                  <w:pPr>
                    <w:spacing w:before="118"/>
                    <w:ind w:left="103"/>
                    <w:rPr>
                      <w:color w:val="000000"/>
                      <w:sz w:val="20"/>
                    </w:rPr>
                  </w:pPr>
                  <w:r>
                    <w:rPr>
                      <w:b/>
                      <w:color w:val="000000"/>
                      <w:sz w:val="20"/>
                    </w:rPr>
                    <w:t xml:space="preserve">Addiction*: </w:t>
                  </w:r>
                  <w:r>
                    <w:rPr>
                      <w:color w:val="000000"/>
                      <w:sz w:val="20"/>
                    </w:rPr>
                    <w:t>The most severe form of SUD, associated with compulsive or uncontrolled use of one or more substances.</w:t>
                  </w:r>
                  <w:r>
                    <w:rPr>
                      <w:color w:val="000000"/>
                      <w:spacing w:val="-7"/>
                      <w:sz w:val="20"/>
                    </w:rPr>
                    <w:t xml:space="preserve"> </w:t>
                  </w:r>
                  <w:r>
                    <w:rPr>
                      <w:color w:val="000000"/>
                      <w:sz w:val="20"/>
                    </w:rPr>
                    <w:t>Addiction</w:t>
                  </w:r>
                  <w:r>
                    <w:rPr>
                      <w:color w:val="000000"/>
                      <w:spacing w:val="-5"/>
                      <w:sz w:val="20"/>
                    </w:rPr>
                    <w:t xml:space="preserve"> </w:t>
                  </w:r>
                  <w:r>
                    <w:rPr>
                      <w:color w:val="000000"/>
                      <w:sz w:val="20"/>
                    </w:rPr>
                    <w:t>is</w:t>
                  </w:r>
                  <w:r>
                    <w:rPr>
                      <w:color w:val="000000"/>
                      <w:spacing w:val="-8"/>
                      <w:sz w:val="20"/>
                    </w:rPr>
                    <w:t xml:space="preserve"> </w:t>
                  </w:r>
                  <w:r>
                    <w:rPr>
                      <w:color w:val="000000"/>
                      <w:sz w:val="20"/>
                    </w:rPr>
                    <w:t>a</w:t>
                  </w:r>
                  <w:r>
                    <w:rPr>
                      <w:color w:val="000000"/>
                      <w:spacing w:val="-6"/>
                      <w:sz w:val="20"/>
                    </w:rPr>
                    <w:t xml:space="preserve"> </w:t>
                  </w:r>
                  <w:r>
                    <w:rPr>
                      <w:color w:val="000000"/>
                      <w:sz w:val="20"/>
                    </w:rPr>
                    <w:t>chronic</w:t>
                  </w:r>
                  <w:r>
                    <w:rPr>
                      <w:color w:val="000000"/>
                      <w:spacing w:val="-6"/>
                      <w:sz w:val="20"/>
                    </w:rPr>
                    <w:t xml:space="preserve"> </w:t>
                  </w:r>
                  <w:r>
                    <w:rPr>
                      <w:color w:val="000000"/>
                      <w:sz w:val="20"/>
                    </w:rPr>
                    <w:t>brain</w:t>
                  </w:r>
                  <w:r>
                    <w:rPr>
                      <w:color w:val="000000"/>
                      <w:spacing w:val="-6"/>
                      <w:sz w:val="20"/>
                    </w:rPr>
                    <w:t xml:space="preserve"> </w:t>
                  </w:r>
                  <w:r>
                    <w:rPr>
                      <w:color w:val="000000"/>
                      <w:sz w:val="20"/>
                    </w:rPr>
                    <w:t>disease</w:t>
                  </w:r>
                  <w:r>
                    <w:rPr>
                      <w:color w:val="000000"/>
                      <w:spacing w:val="-7"/>
                      <w:sz w:val="20"/>
                    </w:rPr>
                    <w:t xml:space="preserve"> </w:t>
                  </w:r>
                  <w:r>
                    <w:rPr>
                      <w:color w:val="000000"/>
                      <w:sz w:val="20"/>
                    </w:rPr>
                    <w:t>that</w:t>
                  </w:r>
                  <w:r>
                    <w:rPr>
                      <w:color w:val="000000"/>
                      <w:spacing w:val="-7"/>
                      <w:sz w:val="20"/>
                    </w:rPr>
                    <w:t xml:space="preserve"> </w:t>
                  </w:r>
                  <w:r>
                    <w:rPr>
                      <w:color w:val="000000"/>
                      <w:sz w:val="20"/>
                    </w:rPr>
                    <w:t>has</w:t>
                  </w:r>
                  <w:r>
                    <w:rPr>
                      <w:color w:val="000000"/>
                      <w:spacing w:val="-7"/>
                      <w:sz w:val="20"/>
                    </w:rPr>
                    <w:t xml:space="preserve"> </w:t>
                  </w:r>
                  <w:r>
                    <w:rPr>
                      <w:color w:val="000000"/>
                      <w:sz w:val="20"/>
                    </w:rPr>
                    <w:t>the</w:t>
                  </w:r>
                  <w:r>
                    <w:rPr>
                      <w:color w:val="000000"/>
                      <w:spacing w:val="-7"/>
                      <w:sz w:val="20"/>
                    </w:rPr>
                    <w:t xml:space="preserve"> </w:t>
                  </w:r>
                  <w:r>
                    <w:rPr>
                      <w:color w:val="000000"/>
                      <w:sz w:val="20"/>
                    </w:rPr>
                    <w:t>potential</w:t>
                  </w:r>
                  <w:r>
                    <w:rPr>
                      <w:color w:val="000000"/>
                      <w:spacing w:val="-7"/>
                      <w:sz w:val="20"/>
                    </w:rPr>
                    <w:t xml:space="preserve"> </w:t>
                  </w:r>
                  <w:r>
                    <w:rPr>
                      <w:color w:val="000000"/>
                      <w:sz w:val="20"/>
                    </w:rPr>
                    <w:t>for</w:t>
                  </w:r>
                  <w:r>
                    <w:rPr>
                      <w:color w:val="000000"/>
                      <w:spacing w:val="-6"/>
                      <w:sz w:val="20"/>
                    </w:rPr>
                    <w:t xml:space="preserve"> </w:t>
                  </w:r>
                  <w:r>
                    <w:rPr>
                      <w:color w:val="000000"/>
                      <w:sz w:val="20"/>
                    </w:rPr>
                    <w:t>both</w:t>
                  </w:r>
                  <w:r>
                    <w:rPr>
                      <w:color w:val="000000"/>
                      <w:spacing w:val="-6"/>
                      <w:sz w:val="20"/>
                    </w:rPr>
                    <w:t xml:space="preserve"> </w:t>
                  </w:r>
                  <w:r>
                    <w:rPr>
                      <w:color w:val="000000"/>
                      <w:sz w:val="20"/>
                    </w:rPr>
                    <w:t>recurrence</w:t>
                  </w:r>
                  <w:r>
                    <w:rPr>
                      <w:color w:val="000000"/>
                      <w:spacing w:val="-7"/>
                      <w:sz w:val="20"/>
                    </w:rPr>
                    <w:t xml:space="preserve"> </w:t>
                  </w:r>
                  <w:r>
                    <w:rPr>
                      <w:color w:val="000000"/>
                      <w:sz w:val="20"/>
                    </w:rPr>
                    <w:t>(relapse)</w:t>
                  </w:r>
                  <w:r>
                    <w:rPr>
                      <w:color w:val="000000"/>
                      <w:spacing w:val="-6"/>
                      <w:sz w:val="20"/>
                    </w:rPr>
                    <w:t xml:space="preserve"> </w:t>
                  </w:r>
                  <w:r>
                    <w:rPr>
                      <w:color w:val="000000"/>
                      <w:sz w:val="20"/>
                    </w:rPr>
                    <w:t>and</w:t>
                  </w:r>
                  <w:r>
                    <w:rPr>
                      <w:color w:val="000000"/>
                      <w:spacing w:val="-6"/>
                      <w:sz w:val="20"/>
                    </w:rPr>
                    <w:t xml:space="preserve"> </w:t>
                  </w:r>
                  <w:r>
                    <w:rPr>
                      <w:color w:val="000000"/>
                      <w:spacing w:val="-2"/>
                      <w:sz w:val="20"/>
                    </w:rPr>
                    <w:t>recovery.</w:t>
                  </w:r>
                </w:p>
                <w:p w14:paraId="31B18F4F" w14:textId="77777777" w:rsidR="00DB6E1F" w:rsidRDefault="00F666A6">
                  <w:pPr>
                    <w:spacing w:before="121"/>
                    <w:ind w:left="103"/>
                    <w:rPr>
                      <w:color w:val="000000"/>
                      <w:sz w:val="20"/>
                    </w:rPr>
                  </w:pPr>
                  <w:r>
                    <w:rPr>
                      <w:b/>
                      <w:color w:val="000000"/>
                      <w:sz w:val="20"/>
                    </w:rPr>
                    <w:t>Alcohol</w:t>
                  </w:r>
                  <w:r>
                    <w:rPr>
                      <w:b/>
                      <w:color w:val="000000"/>
                      <w:spacing w:val="-7"/>
                      <w:sz w:val="20"/>
                    </w:rPr>
                    <w:t xml:space="preserve"> </w:t>
                  </w:r>
                  <w:r>
                    <w:rPr>
                      <w:b/>
                      <w:color w:val="000000"/>
                      <w:sz w:val="20"/>
                    </w:rPr>
                    <w:t>misuse:</w:t>
                  </w:r>
                  <w:r>
                    <w:rPr>
                      <w:b/>
                      <w:color w:val="000000"/>
                      <w:spacing w:val="-6"/>
                      <w:sz w:val="20"/>
                    </w:rPr>
                    <w:t xml:space="preserve"> </w:t>
                  </w:r>
                  <w:r>
                    <w:rPr>
                      <w:color w:val="000000"/>
                      <w:sz w:val="20"/>
                    </w:rPr>
                    <w:t>The</w:t>
                  </w:r>
                  <w:r>
                    <w:rPr>
                      <w:color w:val="000000"/>
                      <w:spacing w:val="-7"/>
                      <w:sz w:val="20"/>
                    </w:rPr>
                    <w:t xml:space="preserve"> </w:t>
                  </w:r>
                  <w:r>
                    <w:rPr>
                      <w:color w:val="000000"/>
                      <w:sz w:val="20"/>
                    </w:rPr>
                    <w:t>use</w:t>
                  </w:r>
                  <w:r>
                    <w:rPr>
                      <w:color w:val="000000"/>
                      <w:spacing w:val="-7"/>
                      <w:sz w:val="20"/>
                    </w:rPr>
                    <w:t xml:space="preserve"> </w:t>
                  </w:r>
                  <w:r>
                    <w:rPr>
                      <w:color w:val="000000"/>
                      <w:sz w:val="20"/>
                    </w:rPr>
                    <w:t>of</w:t>
                  </w:r>
                  <w:r>
                    <w:rPr>
                      <w:color w:val="000000"/>
                      <w:spacing w:val="-7"/>
                      <w:sz w:val="20"/>
                    </w:rPr>
                    <w:t xml:space="preserve"> </w:t>
                  </w:r>
                  <w:r>
                    <w:rPr>
                      <w:color w:val="000000"/>
                      <w:sz w:val="20"/>
                    </w:rPr>
                    <w:t>alcohol</w:t>
                  </w:r>
                  <w:r>
                    <w:rPr>
                      <w:color w:val="000000"/>
                      <w:spacing w:val="-6"/>
                      <w:sz w:val="20"/>
                    </w:rPr>
                    <w:t xml:space="preserve"> </w:t>
                  </w:r>
                  <w:r>
                    <w:rPr>
                      <w:color w:val="000000"/>
                      <w:sz w:val="20"/>
                    </w:rPr>
                    <w:t>in</w:t>
                  </w:r>
                  <w:r>
                    <w:rPr>
                      <w:color w:val="000000"/>
                      <w:spacing w:val="-5"/>
                      <w:sz w:val="20"/>
                    </w:rPr>
                    <w:t xml:space="preserve"> </w:t>
                  </w:r>
                  <w:r>
                    <w:rPr>
                      <w:color w:val="000000"/>
                      <w:sz w:val="20"/>
                    </w:rPr>
                    <w:t>any</w:t>
                  </w:r>
                  <w:r>
                    <w:rPr>
                      <w:color w:val="000000"/>
                      <w:spacing w:val="-5"/>
                      <w:sz w:val="20"/>
                    </w:rPr>
                    <w:t xml:space="preserve"> </w:t>
                  </w:r>
                  <w:r>
                    <w:rPr>
                      <w:color w:val="000000"/>
                      <w:sz w:val="20"/>
                    </w:rPr>
                    <w:t>harmful</w:t>
                  </w:r>
                  <w:r>
                    <w:rPr>
                      <w:color w:val="000000"/>
                      <w:spacing w:val="-6"/>
                      <w:sz w:val="20"/>
                    </w:rPr>
                    <w:t xml:space="preserve"> </w:t>
                  </w:r>
                  <w:r>
                    <w:rPr>
                      <w:color w:val="000000"/>
                      <w:sz w:val="20"/>
                    </w:rPr>
                    <w:t>way,</w:t>
                  </w:r>
                  <w:r>
                    <w:rPr>
                      <w:color w:val="000000"/>
                      <w:spacing w:val="-5"/>
                      <w:sz w:val="20"/>
                    </w:rPr>
                    <w:t xml:space="preserve"> </w:t>
                  </w:r>
                  <w:r>
                    <w:rPr>
                      <w:color w:val="000000"/>
                      <w:sz w:val="20"/>
                    </w:rPr>
                    <w:t>including</w:t>
                  </w:r>
                  <w:r>
                    <w:rPr>
                      <w:color w:val="000000"/>
                      <w:spacing w:val="-6"/>
                      <w:sz w:val="20"/>
                    </w:rPr>
                    <w:t xml:space="preserve"> </w:t>
                  </w:r>
                  <w:r>
                    <w:rPr>
                      <w:color w:val="000000"/>
                      <w:sz w:val="20"/>
                    </w:rPr>
                    <w:t>use</w:t>
                  </w:r>
                  <w:r>
                    <w:rPr>
                      <w:color w:val="000000"/>
                      <w:spacing w:val="-7"/>
                      <w:sz w:val="20"/>
                    </w:rPr>
                    <w:t xml:space="preserve"> </w:t>
                  </w:r>
                  <w:r>
                    <w:rPr>
                      <w:color w:val="000000"/>
                      <w:sz w:val="20"/>
                    </w:rPr>
                    <w:t>that</w:t>
                  </w:r>
                  <w:r>
                    <w:rPr>
                      <w:color w:val="000000"/>
                      <w:spacing w:val="-6"/>
                      <w:sz w:val="20"/>
                    </w:rPr>
                    <w:t xml:space="preserve"> </w:t>
                  </w:r>
                  <w:r>
                    <w:rPr>
                      <w:color w:val="000000"/>
                      <w:sz w:val="20"/>
                    </w:rPr>
                    <w:t>constitutes</w:t>
                  </w:r>
                  <w:r>
                    <w:rPr>
                      <w:color w:val="000000"/>
                      <w:spacing w:val="-6"/>
                      <w:sz w:val="20"/>
                    </w:rPr>
                    <w:t xml:space="preserve"> </w:t>
                  </w:r>
                  <w:r>
                    <w:rPr>
                      <w:color w:val="000000"/>
                      <w:sz w:val="20"/>
                    </w:rPr>
                    <w:t>alcohol</w:t>
                  </w:r>
                  <w:r>
                    <w:rPr>
                      <w:color w:val="000000"/>
                      <w:spacing w:val="-6"/>
                      <w:sz w:val="20"/>
                    </w:rPr>
                    <w:t xml:space="preserve"> </w:t>
                  </w:r>
                  <w:r>
                    <w:rPr>
                      <w:color w:val="000000"/>
                      <w:sz w:val="20"/>
                    </w:rPr>
                    <w:t>use</w:t>
                  </w:r>
                  <w:r>
                    <w:rPr>
                      <w:color w:val="000000"/>
                      <w:spacing w:val="-7"/>
                      <w:sz w:val="20"/>
                    </w:rPr>
                    <w:t xml:space="preserve"> </w:t>
                  </w:r>
                  <w:r>
                    <w:rPr>
                      <w:color w:val="000000"/>
                      <w:sz w:val="20"/>
                    </w:rPr>
                    <w:t>disorder</w:t>
                  </w:r>
                  <w:r>
                    <w:rPr>
                      <w:color w:val="000000"/>
                      <w:spacing w:val="-6"/>
                      <w:sz w:val="20"/>
                    </w:rPr>
                    <w:t xml:space="preserve"> </w:t>
                  </w:r>
                  <w:r>
                    <w:rPr>
                      <w:color w:val="000000"/>
                      <w:spacing w:val="-2"/>
                      <w:sz w:val="20"/>
                    </w:rPr>
                    <w:t>(AUD).</w:t>
                  </w:r>
                </w:p>
                <w:p w14:paraId="03D39036" w14:textId="77777777" w:rsidR="00DB6E1F" w:rsidRDefault="00F666A6">
                  <w:pPr>
                    <w:spacing w:before="118"/>
                    <w:ind w:left="103" w:right="87"/>
                    <w:rPr>
                      <w:color w:val="000000"/>
                      <w:sz w:val="20"/>
                    </w:rPr>
                  </w:pPr>
                  <w:r>
                    <w:rPr>
                      <w:b/>
                      <w:color w:val="000000"/>
                      <w:sz w:val="20"/>
                    </w:rPr>
                    <w:t xml:space="preserve">Alcohol use disorder: </w:t>
                  </w:r>
                  <w:r>
                    <w:rPr>
                      <w:color w:val="000000"/>
                      <w:sz w:val="20"/>
                    </w:rPr>
                    <w:t xml:space="preserve">Per the American Psychiatric Association’s (APA) </w:t>
                  </w:r>
                  <w:r>
                    <w:rPr>
                      <w:i/>
                      <w:color w:val="000000"/>
                      <w:sz w:val="20"/>
                    </w:rPr>
                    <w:t>Diagnostic and Statistical Manual of Mental Disorders</w:t>
                  </w:r>
                  <w:r>
                    <w:rPr>
                      <w:color w:val="000000"/>
                      <w:sz w:val="20"/>
                    </w:rPr>
                    <w:t>, Fifth Edition (DSM-5; APA, 2013), a diagnosis applicable to a person who uses alcohol and experiences at least 2 of the 11 symptoms in a 12-month period. Key aspects of AUD include loss of control, continued</w:t>
                  </w:r>
                  <w:r>
                    <w:rPr>
                      <w:color w:val="000000"/>
                      <w:spacing w:val="-2"/>
                      <w:sz w:val="20"/>
                    </w:rPr>
                    <w:t xml:space="preserve"> </w:t>
                  </w:r>
                  <w:r>
                    <w:rPr>
                      <w:color w:val="000000"/>
                      <w:sz w:val="20"/>
                    </w:rPr>
                    <w:t>use</w:t>
                  </w:r>
                  <w:r>
                    <w:rPr>
                      <w:color w:val="000000"/>
                      <w:spacing w:val="-4"/>
                      <w:sz w:val="20"/>
                    </w:rPr>
                    <w:t xml:space="preserve"> </w:t>
                  </w:r>
                  <w:r>
                    <w:rPr>
                      <w:color w:val="000000"/>
                      <w:sz w:val="20"/>
                    </w:rPr>
                    <w:t>despite</w:t>
                  </w:r>
                  <w:r>
                    <w:rPr>
                      <w:color w:val="000000"/>
                      <w:spacing w:val="-4"/>
                      <w:sz w:val="20"/>
                    </w:rPr>
                    <w:t xml:space="preserve"> </w:t>
                  </w:r>
                  <w:r>
                    <w:rPr>
                      <w:color w:val="000000"/>
                      <w:sz w:val="20"/>
                    </w:rPr>
                    <w:t>adverse</w:t>
                  </w:r>
                  <w:r>
                    <w:rPr>
                      <w:color w:val="000000"/>
                      <w:spacing w:val="-4"/>
                      <w:sz w:val="20"/>
                    </w:rPr>
                    <w:t xml:space="preserve"> </w:t>
                  </w:r>
                  <w:r>
                    <w:rPr>
                      <w:color w:val="000000"/>
                      <w:sz w:val="20"/>
                    </w:rPr>
                    <w:t>consequences,</w:t>
                  </w:r>
                  <w:r>
                    <w:rPr>
                      <w:color w:val="000000"/>
                      <w:spacing w:val="-3"/>
                      <w:sz w:val="20"/>
                    </w:rPr>
                    <w:t xml:space="preserve"> </w:t>
                  </w:r>
                  <w:r>
                    <w:rPr>
                      <w:color w:val="000000"/>
                      <w:sz w:val="20"/>
                    </w:rPr>
                    <w:t>tolerance,</w:t>
                  </w:r>
                  <w:r>
                    <w:rPr>
                      <w:color w:val="000000"/>
                      <w:spacing w:val="-3"/>
                      <w:sz w:val="20"/>
                    </w:rPr>
                    <w:t xml:space="preserve"> </w:t>
                  </w:r>
                  <w:r>
                    <w:rPr>
                      <w:color w:val="000000"/>
                      <w:sz w:val="20"/>
                    </w:rPr>
                    <w:t>a</w:t>
                  </w:r>
                  <w:r>
                    <w:rPr>
                      <w:color w:val="000000"/>
                      <w:sz w:val="20"/>
                    </w:rPr>
                    <w:t>nd</w:t>
                  </w:r>
                  <w:r>
                    <w:rPr>
                      <w:color w:val="000000"/>
                      <w:spacing w:val="-2"/>
                      <w:sz w:val="20"/>
                    </w:rPr>
                    <w:t xml:space="preserve"> </w:t>
                  </w:r>
                  <w:r>
                    <w:rPr>
                      <w:color w:val="000000"/>
                      <w:sz w:val="20"/>
                    </w:rPr>
                    <w:t>withdrawal.</w:t>
                  </w:r>
                  <w:r>
                    <w:rPr>
                      <w:color w:val="000000"/>
                      <w:spacing w:val="-3"/>
                      <w:sz w:val="20"/>
                    </w:rPr>
                    <w:t xml:space="preserve"> </w:t>
                  </w:r>
                  <w:r>
                    <w:rPr>
                      <w:color w:val="000000"/>
                      <w:sz w:val="20"/>
                    </w:rPr>
                    <w:t>AUD</w:t>
                  </w:r>
                  <w:r>
                    <w:rPr>
                      <w:color w:val="000000"/>
                      <w:spacing w:val="-3"/>
                      <w:sz w:val="20"/>
                    </w:rPr>
                    <w:t xml:space="preserve"> </w:t>
                  </w:r>
                  <w:r>
                    <w:rPr>
                      <w:color w:val="000000"/>
                      <w:sz w:val="20"/>
                    </w:rPr>
                    <w:t>covers</w:t>
                  </w:r>
                  <w:r>
                    <w:rPr>
                      <w:color w:val="000000"/>
                      <w:spacing w:val="-4"/>
                      <w:sz w:val="20"/>
                    </w:rPr>
                    <w:t xml:space="preserve"> </w:t>
                  </w:r>
                  <w:r>
                    <w:rPr>
                      <w:color w:val="000000"/>
                      <w:sz w:val="20"/>
                    </w:rPr>
                    <w:t>a</w:t>
                  </w:r>
                  <w:r>
                    <w:rPr>
                      <w:color w:val="000000"/>
                      <w:spacing w:val="-3"/>
                      <w:sz w:val="20"/>
                    </w:rPr>
                    <w:t xml:space="preserve"> </w:t>
                  </w:r>
                  <w:r>
                    <w:rPr>
                      <w:color w:val="000000"/>
                      <w:sz w:val="20"/>
                    </w:rPr>
                    <w:t>range</w:t>
                  </w:r>
                  <w:r>
                    <w:rPr>
                      <w:color w:val="000000"/>
                      <w:spacing w:val="-4"/>
                      <w:sz w:val="20"/>
                    </w:rPr>
                    <w:t xml:space="preserve"> </w:t>
                  </w:r>
                  <w:r>
                    <w:rPr>
                      <w:color w:val="000000"/>
                      <w:sz w:val="20"/>
                    </w:rPr>
                    <w:t>of</w:t>
                  </w:r>
                  <w:r>
                    <w:rPr>
                      <w:color w:val="000000"/>
                      <w:spacing w:val="-4"/>
                      <w:sz w:val="20"/>
                    </w:rPr>
                    <w:t xml:space="preserve"> </w:t>
                  </w:r>
                  <w:r>
                    <w:rPr>
                      <w:color w:val="000000"/>
                      <w:sz w:val="20"/>
                    </w:rPr>
                    <w:t>severity</w:t>
                  </w:r>
                  <w:r>
                    <w:rPr>
                      <w:color w:val="000000"/>
                      <w:spacing w:val="-2"/>
                      <w:sz w:val="20"/>
                    </w:rPr>
                    <w:t xml:space="preserve"> </w:t>
                  </w:r>
                  <w:r>
                    <w:rPr>
                      <w:color w:val="000000"/>
                      <w:sz w:val="20"/>
                    </w:rPr>
                    <w:t>and replaces what DSM-IV, termed “alcohol abuse” and “alcohol dependence” (APA, 1994).</w:t>
                  </w:r>
                </w:p>
              </w:txbxContent>
            </v:textbox>
            <w10:wrap type="topAndBottom" anchorx="page"/>
          </v:shape>
        </w:pict>
      </w:r>
    </w:p>
    <w:p w14:paraId="6845026B" w14:textId="77777777" w:rsidR="00DB6E1F" w:rsidRDefault="00DB6E1F">
      <w:pPr>
        <w:rPr>
          <w:sz w:val="11"/>
        </w:rPr>
        <w:sectPr w:rsidR="00DB6E1F">
          <w:headerReference w:type="default" r:id="rId13"/>
          <w:footerReference w:type="default" r:id="rId14"/>
          <w:pgSz w:w="12240" w:h="15840"/>
          <w:pgMar w:top="1200" w:right="0" w:bottom="780" w:left="0" w:header="763" w:footer="585" w:gutter="0"/>
          <w:pgNumType w:start="1"/>
          <w:cols w:space="720"/>
        </w:sectPr>
      </w:pPr>
    </w:p>
    <w:p w14:paraId="3A7AB07E" w14:textId="77777777" w:rsidR="00DB6E1F" w:rsidRDefault="00DB6E1F">
      <w:pPr>
        <w:pStyle w:val="BodyText"/>
        <w:spacing w:before="4"/>
        <w:rPr>
          <w:sz w:val="15"/>
        </w:rPr>
      </w:pPr>
    </w:p>
    <w:p w14:paraId="0FD1A1A6" w14:textId="77777777" w:rsidR="00DB6E1F" w:rsidRDefault="00F666A6">
      <w:pPr>
        <w:spacing w:before="60"/>
        <w:ind w:left="1548" w:right="1243"/>
        <w:rPr>
          <w:sz w:val="20"/>
        </w:rPr>
      </w:pPr>
      <w:r>
        <w:pict w14:anchorId="2B99FC7F">
          <v:group id="docshapegroup9" o:spid="_x0000_s2262" style="position:absolute;left:0;text-align:left;margin-left:71.75pt;margin-top:2.45pt;width:473.9pt;height:390.85pt;z-index:-21769728;mso-position-horizontal-relative:page" coordorigin="1435,49" coordsize="9478,7817">
            <v:rect id="docshape10" o:spid="_x0000_s2264" style="position:absolute;left:1444;top:58;width:9459;height:7796" fillcolor="#e7e6e6" stroked="f"/>
            <v:shape id="docshape11" o:spid="_x0000_s2263" style="position:absolute;left:1435;top:48;width:9478;height:7817" coordorigin="1435,49" coordsize="9478,7817" o:spt="100" adj="0,,0" path="m10903,49r-9458,l1445,49r-10,l1435,58r,7798l1435,7856r,10l1445,7866r,l10903,7866r,-10l1445,7856r,-7798l10903,58r,-9xm10913,49r-10,l10903,58r,7798l10903,7856r,10l10913,7866r,-10l10913,7856r,-7798l10913,49xe" fillcolor="black" stroked="f">
              <v:stroke joinstyle="round"/>
              <v:formulas/>
              <v:path arrowok="t" o:connecttype="segments"/>
            </v:shape>
            <w10:wrap anchorx="page"/>
          </v:group>
        </w:pict>
      </w:r>
      <w:r>
        <w:rPr>
          <w:b/>
          <w:sz w:val="20"/>
        </w:rPr>
        <w:t>Health-risk</w:t>
      </w:r>
      <w:r>
        <w:rPr>
          <w:b/>
          <w:spacing w:val="-4"/>
          <w:sz w:val="20"/>
        </w:rPr>
        <w:t xml:space="preserve"> </w:t>
      </w:r>
      <w:r>
        <w:rPr>
          <w:b/>
          <w:sz w:val="20"/>
        </w:rPr>
        <w:t>behavior:</w:t>
      </w:r>
      <w:r>
        <w:rPr>
          <w:b/>
          <w:spacing w:val="-4"/>
          <w:sz w:val="20"/>
        </w:rPr>
        <w:t xml:space="preserve"> </w:t>
      </w:r>
      <w:r>
        <w:rPr>
          <w:sz w:val="20"/>
        </w:rPr>
        <w:t>Any</w:t>
      </w:r>
      <w:r>
        <w:rPr>
          <w:spacing w:val="-3"/>
          <w:sz w:val="20"/>
        </w:rPr>
        <w:t xml:space="preserve"> </w:t>
      </w:r>
      <w:r>
        <w:rPr>
          <w:sz w:val="20"/>
        </w:rPr>
        <w:t>behavior</w:t>
      </w:r>
      <w:r>
        <w:rPr>
          <w:spacing w:val="-4"/>
          <w:sz w:val="20"/>
        </w:rPr>
        <w:t xml:space="preserve"> </w:t>
      </w:r>
      <w:r>
        <w:rPr>
          <w:sz w:val="20"/>
        </w:rPr>
        <w:t>(e.g.,</w:t>
      </w:r>
      <w:r>
        <w:rPr>
          <w:spacing w:val="-3"/>
          <w:sz w:val="20"/>
        </w:rPr>
        <w:t xml:space="preserve"> </w:t>
      </w:r>
      <w:r>
        <w:rPr>
          <w:sz w:val="20"/>
        </w:rPr>
        <w:t>tobacco</w:t>
      </w:r>
      <w:r>
        <w:rPr>
          <w:spacing w:val="-4"/>
          <w:sz w:val="20"/>
        </w:rPr>
        <w:t xml:space="preserve"> </w:t>
      </w:r>
      <w:r>
        <w:rPr>
          <w:sz w:val="20"/>
        </w:rPr>
        <w:t>or</w:t>
      </w:r>
      <w:r>
        <w:rPr>
          <w:spacing w:val="-4"/>
          <w:sz w:val="20"/>
        </w:rPr>
        <w:t xml:space="preserve"> </w:t>
      </w:r>
      <w:r>
        <w:rPr>
          <w:sz w:val="20"/>
        </w:rPr>
        <w:t>alcohol</w:t>
      </w:r>
      <w:r>
        <w:rPr>
          <w:spacing w:val="-4"/>
          <w:sz w:val="20"/>
        </w:rPr>
        <w:t xml:space="preserve"> </w:t>
      </w:r>
      <w:r>
        <w:rPr>
          <w:sz w:val="20"/>
        </w:rPr>
        <w:t>use,</w:t>
      </w:r>
      <w:r>
        <w:rPr>
          <w:spacing w:val="-3"/>
          <w:sz w:val="20"/>
        </w:rPr>
        <w:t xml:space="preserve"> </w:t>
      </w:r>
      <w:r>
        <w:rPr>
          <w:sz w:val="20"/>
        </w:rPr>
        <w:t>unsafe</w:t>
      </w:r>
      <w:r>
        <w:rPr>
          <w:spacing w:val="-2"/>
          <w:sz w:val="20"/>
        </w:rPr>
        <w:t xml:space="preserve"> </w:t>
      </w:r>
      <w:r>
        <w:rPr>
          <w:sz w:val="20"/>
        </w:rPr>
        <w:t>sexual</w:t>
      </w:r>
      <w:r>
        <w:rPr>
          <w:spacing w:val="-4"/>
          <w:sz w:val="20"/>
        </w:rPr>
        <w:t xml:space="preserve"> </w:t>
      </w:r>
      <w:r>
        <w:rPr>
          <w:sz w:val="20"/>
        </w:rPr>
        <w:t>practices,</w:t>
      </w:r>
      <w:r>
        <w:rPr>
          <w:spacing w:val="-3"/>
          <w:sz w:val="20"/>
        </w:rPr>
        <w:t xml:space="preserve"> </w:t>
      </w:r>
      <w:r>
        <w:rPr>
          <w:sz w:val="20"/>
        </w:rPr>
        <w:t>nonadherence</w:t>
      </w:r>
      <w:r>
        <w:rPr>
          <w:spacing w:val="-5"/>
          <w:sz w:val="20"/>
        </w:rPr>
        <w:t xml:space="preserve"> </w:t>
      </w:r>
      <w:r>
        <w:rPr>
          <w:sz w:val="20"/>
        </w:rPr>
        <w:t>to prescribed medication regimens) that increases the risk of disease or injury.</w:t>
      </w:r>
    </w:p>
    <w:p w14:paraId="783328E7" w14:textId="77777777" w:rsidR="00DB6E1F" w:rsidRDefault="00F666A6">
      <w:pPr>
        <w:spacing w:before="118"/>
        <w:ind w:left="1548" w:right="1491"/>
        <w:rPr>
          <w:sz w:val="20"/>
        </w:rPr>
      </w:pPr>
      <w:r>
        <w:rPr>
          <w:b/>
          <w:sz w:val="20"/>
        </w:rPr>
        <w:t>Recovery*:</w:t>
      </w:r>
      <w:r>
        <w:rPr>
          <w:b/>
          <w:spacing w:val="-3"/>
          <w:sz w:val="20"/>
        </w:rPr>
        <w:t xml:space="preserve"> </w:t>
      </w:r>
      <w:r>
        <w:rPr>
          <w:sz w:val="20"/>
        </w:rPr>
        <w:t>A</w:t>
      </w:r>
      <w:r>
        <w:rPr>
          <w:spacing w:val="-3"/>
          <w:sz w:val="20"/>
        </w:rPr>
        <w:t xml:space="preserve"> </w:t>
      </w:r>
      <w:r>
        <w:rPr>
          <w:sz w:val="20"/>
        </w:rPr>
        <w:t>process</w:t>
      </w:r>
      <w:r>
        <w:rPr>
          <w:spacing w:val="-4"/>
          <w:sz w:val="20"/>
        </w:rPr>
        <w:t xml:space="preserve"> </w:t>
      </w:r>
      <w:r>
        <w:rPr>
          <w:sz w:val="20"/>
        </w:rPr>
        <w:t>of</w:t>
      </w:r>
      <w:r>
        <w:rPr>
          <w:spacing w:val="-4"/>
          <w:sz w:val="20"/>
        </w:rPr>
        <w:t xml:space="preserve"> </w:t>
      </w:r>
      <w:r>
        <w:rPr>
          <w:sz w:val="20"/>
        </w:rPr>
        <w:t>change</w:t>
      </w:r>
      <w:r>
        <w:rPr>
          <w:spacing w:val="-4"/>
          <w:sz w:val="20"/>
        </w:rPr>
        <w:t xml:space="preserve"> </w:t>
      </w:r>
      <w:r>
        <w:rPr>
          <w:sz w:val="20"/>
        </w:rPr>
        <w:t>through</w:t>
      </w:r>
      <w:r>
        <w:rPr>
          <w:spacing w:val="-2"/>
          <w:sz w:val="20"/>
        </w:rPr>
        <w:t xml:space="preserve"> </w:t>
      </w:r>
      <w:r>
        <w:rPr>
          <w:sz w:val="20"/>
        </w:rPr>
        <w:t>which</w:t>
      </w:r>
      <w:r>
        <w:rPr>
          <w:spacing w:val="-2"/>
          <w:sz w:val="20"/>
        </w:rPr>
        <w:t xml:space="preserve"> </w:t>
      </w:r>
      <w:r>
        <w:rPr>
          <w:sz w:val="20"/>
        </w:rPr>
        <w:t>individuals</w:t>
      </w:r>
      <w:r>
        <w:rPr>
          <w:spacing w:val="-4"/>
          <w:sz w:val="20"/>
        </w:rPr>
        <w:t xml:space="preserve"> </w:t>
      </w:r>
      <w:r>
        <w:rPr>
          <w:sz w:val="20"/>
        </w:rPr>
        <w:t>improve</w:t>
      </w:r>
      <w:r>
        <w:rPr>
          <w:spacing w:val="-4"/>
          <w:sz w:val="20"/>
        </w:rPr>
        <w:t xml:space="preserve"> </w:t>
      </w:r>
      <w:r>
        <w:rPr>
          <w:sz w:val="20"/>
        </w:rPr>
        <w:t>their</w:t>
      </w:r>
      <w:r>
        <w:rPr>
          <w:spacing w:val="-3"/>
          <w:sz w:val="20"/>
        </w:rPr>
        <w:t xml:space="preserve"> </w:t>
      </w:r>
      <w:r>
        <w:rPr>
          <w:sz w:val="20"/>
        </w:rPr>
        <w:t>health</w:t>
      </w:r>
      <w:r>
        <w:rPr>
          <w:spacing w:val="-2"/>
          <w:sz w:val="20"/>
        </w:rPr>
        <w:t xml:space="preserve"> </w:t>
      </w:r>
      <w:r>
        <w:rPr>
          <w:sz w:val="20"/>
        </w:rPr>
        <w:t>and</w:t>
      </w:r>
      <w:r>
        <w:rPr>
          <w:spacing w:val="-2"/>
          <w:sz w:val="20"/>
        </w:rPr>
        <w:t xml:space="preserve"> </w:t>
      </w:r>
      <w:r>
        <w:rPr>
          <w:sz w:val="20"/>
        </w:rPr>
        <w:t>wellness,</w:t>
      </w:r>
      <w:r>
        <w:rPr>
          <w:spacing w:val="-2"/>
          <w:sz w:val="20"/>
        </w:rPr>
        <w:t xml:space="preserve"> </w:t>
      </w:r>
      <w:r>
        <w:rPr>
          <w:sz w:val="20"/>
        </w:rPr>
        <w:t>live</w:t>
      </w:r>
      <w:r>
        <w:rPr>
          <w:spacing w:val="-4"/>
          <w:sz w:val="20"/>
        </w:rPr>
        <w:t xml:space="preserve"> </w:t>
      </w:r>
      <w:r>
        <w:rPr>
          <w:sz w:val="20"/>
        </w:rPr>
        <w:t>a</w:t>
      </w:r>
      <w:r>
        <w:rPr>
          <w:spacing w:val="-1"/>
          <w:sz w:val="20"/>
        </w:rPr>
        <w:t xml:space="preserve"> </w:t>
      </w:r>
      <w:r>
        <w:rPr>
          <w:sz w:val="20"/>
        </w:rPr>
        <w:t>self-directed life, and strive to reach their full potential. Even individua</w:t>
      </w:r>
      <w:r>
        <w:rPr>
          <w:sz w:val="20"/>
        </w:rPr>
        <w:t>ls with severe and chronic SUDs can, with help, overcome their disorder and regain health and social function. This is called remission. When those positive changes and values become part of a voluntarily adopted lifestyle, that is called “being in recover</w:t>
      </w:r>
      <w:r>
        <w:rPr>
          <w:sz w:val="20"/>
        </w:rPr>
        <w:t>y.” Although abstinence from all substance misuse is a cardinal feature of a recovery lifestyle, it is not the only healthy, pro- social feature.</w:t>
      </w:r>
    </w:p>
    <w:p w14:paraId="5DB530AF" w14:textId="77777777" w:rsidR="00DB6E1F" w:rsidRDefault="00F666A6">
      <w:pPr>
        <w:spacing w:before="122"/>
        <w:ind w:left="1548" w:right="1578"/>
        <w:jc w:val="both"/>
        <w:rPr>
          <w:sz w:val="20"/>
        </w:rPr>
      </w:pPr>
      <w:r>
        <w:rPr>
          <w:b/>
          <w:sz w:val="20"/>
        </w:rPr>
        <w:t>Recurrence:</w:t>
      </w:r>
      <w:r>
        <w:rPr>
          <w:b/>
          <w:spacing w:val="-1"/>
          <w:sz w:val="20"/>
        </w:rPr>
        <w:t xml:space="preserve"> </w:t>
      </w:r>
      <w:r>
        <w:rPr>
          <w:sz w:val="20"/>
        </w:rPr>
        <w:t>An instance</w:t>
      </w:r>
      <w:r>
        <w:rPr>
          <w:spacing w:val="-2"/>
          <w:sz w:val="20"/>
        </w:rPr>
        <w:t xml:space="preserve"> </w:t>
      </w:r>
      <w:r>
        <w:rPr>
          <w:sz w:val="20"/>
        </w:rPr>
        <w:t>of</w:t>
      </w:r>
      <w:r>
        <w:rPr>
          <w:spacing w:val="-2"/>
          <w:sz w:val="20"/>
        </w:rPr>
        <w:t xml:space="preserve"> </w:t>
      </w:r>
      <w:r>
        <w:rPr>
          <w:sz w:val="20"/>
        </w:rPr>
        <w:t>substance</w:t>
      </w:r>
      <w:r>
        <w:rPr>
          <w:spacing w:val="-2"/>
          <w:sz w:val="20"/>
        </w:rPr>
        <w:t xml:space="preserve"> </w:t>
      </w:r>
      <w:r>
        <w:rPr>
          <w:sz w:val="20"/>
        </w:rPr>
        <w:t>use</w:t>
      </w:r>
      <w:r>
        <w:rPr>
          <w:spacing w:val="-2"/>
          <w:sz w:val="20"/>
        </w:rPr>
        <w:t xml:space="preserve"> </w:t>
      </w:r>
      <w:r>
        <w:rPr>
          <w:sz w:val="20"/>
        </w:rPr>
        <w:t>that</w:t>
      </w:r>
      <w:r>
        <w:rPr>
          <w:spacing w:val="-1"/>
          <w:sz w:val="20"/>
        </w:rPr>
        <w:t xml:space="preserve"> </w:t>
      </w:r>
      <w:r>
        <w:rPr>
          <w:sz w:val="20"/>
        </w:rPr>
        <w:t>occurs</w:t>
      </w:r>
      <w:r>
        <w:rPr>
          <w:spacing w:val="-2"/>
          <w:sz w:val="20"/>
        </w:rPr>
        <w:t xml:space="preserve"> </w:t>
      </w:r>
      <w:r>
        <w:rPr>
          <w:sz w:val="20"/>
        </w:rPr>
        <w:t>after a period of</w:t>
      </w:r>
      <w:r>
        <w:rPr>
          <w:spacing w:val="-2"/>
          <w:sz w:val="20"/>
        </w:rPr>
        <w:t xml:space="preserve"> </w:t>
      </w:r>
      <w:r>
        <w:rPr>
          <w:sz w:val="20"/>
        </w:rPr>
        <w:t>abstinence.</w:t>
      </w:r>
      <w:r>
        <w:rPr>
          <w:spacing w:val="-1"/>
          <w:sz w:val="20"/>
        </w:rPr>
        <w:t xml:space="preserve"> </w:t>
      </w:r>
      <w:r>
        <w:rPr>
          <w:sz w:val="20"/>
        </w:rPr>
        <w:t>Where</w:t>
      </w:r>
      <w:r>
        <w:rPr>
          <w:spacing w:val="-2"/>
          <w:sz w:val="20"/>
        </w:rPr>
        <w:t xml:space="preserve"> </w:t>
      </w:r>
      <w:r>
        <w:rPr>
          <w:sz w:val="20"/>
        </w:rPr>
        <w:t>possible, this</w:t>
      </w:r>
      <w:r>
        <w:rPr>
          <w:spacing w:val="-2"/>
          <w:sz w:val="20"/>
        </w:rPr>
        <w:t xml:space="preserve"> </w:t>
      </w:r>
      <w:r>
        <w:rPr>
          <w:sz w:val="20"/>
        </w:rPr>
        <w:t>TIP</w:t>
      </w:r>
      <w:r>
        <w:rPr>
          <w:spacing w:val="-1"/>
          <w:sz w:val="20"/>
        </w:rPr>
        <w:t xml:space="preserve"> </w:t>
      </w:r>
      <w:r>
        <w:rPr>
          <w:sz w:val="20"/>
        </w:rPr>
        <w:t>us</w:t>
      </w:r>
      <w:r>
        <w:rPr>
          <w:sz w:val="20"/>
        </w:rPr>
        <w:t>es the</w:t>
      </w:r>
      <w:r>
        <w:rPr>
          <w:spacing w:val="-4"/>
          <w:sz w:val="20"/>
        </w:rPr>
        <w:t xml:space="preserve"> </w:t>
      </w:r>
      <w:r>
        <w:rPr>
          <w:sz w:val="20"/>
        </w:rPr>
        <w:t>terms</w:t>
      </w:r>
      <w:r>
        <w:rPr>
          <w:spacing w:val="-4"/>
          <w:sz w:val="20"/>
        </w:rPr>
        <w:t xml:space="preserve"> </w:t>
      </w:r>
      <w:r>
        <w:rPr>
          <w:sz w:val="20"/>
        </w:rPr>
        <w:t>“recurrence”</w:t>
      </w:r>
      <w:r>
        <w:rPr>
          <w:spacing w:val="-3"/>
          <w:sz w:val="20"/>
        </w:rPr>
        <w:t xml:space="preserve"> </w:t>
      </w:r>
      <w:r>
        <w:rPr>
          <w:sz w:val="20"/>
        </w:rPr>
        <w:t>or</w:t>
      </w:r>
      <w:r>
        <w:rPr>
          <w:spacing w:val="-3"/>
          <w:sz w:val="20"/>
        </w:rPr>
        <w:t xml:space="preserve"> </w:t>
      </w:r>
      <w:r>
        <w:rPr>
          <w:sz w:val="20"/>
        </w:rPr>
        <w:t>“return</w:t>
      </w:r>
      <w:r>
        <w:rPr>
          <w:spacing w:val="-2"/>
          <w:sz w:val="20"/>
        </w:rPr>
        <w:t xml:space="preserve"> </w:t>
      </w:r>
      <w:r>
        <w:rPr>
          <w:sz w:val="20"/>
        </w:rPr>
        <w:t>to</w:t>
      </w:r>
      <w:r>
        <w:rPr>
          <w:spacing w:val="-3"/>
          <w:sz w:val="20"/>
        </w:rPr>
        <w:t xml:space="preserve"> </w:t>
      </w:r>
      <w:r>
        <w:rPr>
          <w:sz w:val="20"/>
        </w:rPr>
        <w:t>substance</w:t>
      </w:r>
      <w:r>
        <w:rPr>
          <w:spacing w:val="-4"/>
          <w:sz w:val="20"/>
        </w:rPr>
        <w:t xml:space="preserve"> </w:t>
      </w:r>
      <w:r>
        <w:rPr>
          <w:sz w:val="20"/>
        </w:rPr>
        <w:t>use”</w:t>
      </w:r>
      <w:r>
        <w:rPr>
          <w:spacing w:val="-3"/>
          <w:sz w:val="20"/>
        </w:rPr>
        <w:t xml:space="preserve"> </w:t>
      </w:r>
      <w:r>
        <w:rPr>
          <w:sz w:val="20"/>
        </w:rPr>
        <w:t>instead</w:t>
      </w:r>
      <w:r>
        <w:rPr>
          <w:spacing w:val="-2"/>
          <w:sz w:val="20"/>
        </w:rPr>
        <w:t xml:space="preserve"> </w:t>
      </w:r>
      <w:r>
        <w:rPr>
          <w:sz w:val="20"/>
        </w:rPr>
        <w:t>of</w:t>
      </w:r>
      <w:r>
        <w:rPr>
          <w:spacing w:val="-4"/>
          <w:sz w:val="20"/>
        </w:rPr>
        <w:t xml:space="preserve"> </w:t>
      </w:r>
      <w:r>
        <w:rPr>
          <w:sz w:val="20"/>
        </w:rPr>
        <w:t>“relapse,”</w:t>
      </w:r>
      <w:r>
        <w:rPr>
          <w:spacing w:val="-3"/>
          <w:sz w:val="20"/>
        </w:rPr>
        <w:t xml:space="preserve"> </w:t>
      </w:r>
      <w:r>
        <w:rPr>
          <w:sz w:val="20"/>
        </w:rPr>
        <w:t>which</w:t>
      </w:r>
      <w:r>
        <w:rPr>
          <w:spacing w:val="-2"/>
          <w:sz w:val="20"/>
        </w:rPr>
        <w:t xml:space="preserve"> </w:t>
      </w:r>
      <w:r>
        <w:rPr>
          <w:sz w:val="20"/>
        </w:rPr>
        <w:t>can</w:t>
      </w:r>
      <w:r>
        <w:rPr>
          <w:spacing w:val="-2"/>
          <w:sz w:val="20"/>
        </w:rPr>
        <w:t xml:space="preserve"> </w:t>
      </w:r>
      <w:r>
        <w:rPr>
          <w:sz w:val="20"/>
        </w:rPr>
        <w:t>have</w:t>
      </w:r>
      <w:r>
        <w:rPr>
          <w:spacing w:val="-4"/>
          <w:sz w:val="20"/>
        </w:rPr>
        <w:t xml:space="preserve"> </w:t>
      </w:r>
      <w:r>
        <w:rPr>
          <w:sz w:val="20"/>
        </w:rPr>
        <w:t>negative</w:t>
      </w:r>
      <w:r>
        <w:rPr>
          <w:spacing w:val="-4"/>
          <w:sz w:val="20"/>
        </w:rPr>
        <w:t xml:space="preserve"> </w:t>
      </w:r>
      <w:r>
        <w:rPr>
          <w:sz w:val="20"/>
        </w:rPr>
        <w:t>connotations (see entry below).</w:t>
      </w:r>
    </w:p>
    <w:p w14:paraId="0B1992B4" w14:textId="77777777" w:rsidR="00DB6E1F" w:rsidRDefault="00F666A6">
      <w:pPr>
        <w:spacing w:before="120"/>
        <w:ind w:left="1548"/>
        <w:jc w:val="both"/>
        <w:rPr>
          <w:sz w:val="20"/>
        </w:rPr>
      </w:pPr>
      <w:r>
        <w:rPr>
          <w:b/>
          <w:sz w:val="20"/>
        </w:rPr>
        <w:t>Relapse*:</w:t>
      </w:r>
      <w:r>
        <w:rPr>
          <w:b/>
          <w:spacing w:val="-6"/>
          <w:sz w:val="20"/>
        </w:rPr>
        <w:t xml:space="preserve"> </w:t>
      </w:r>
      <w:r>
        <w:rPr>
          <w:sz w:val="20"/>
        </w:rPr>
        <w:t>A</w:t>
      </w:r>
      <w:r>
        <w:rPr>
          <w:spacing w:val="-5"/>
          <w:sz w:val="20"/>
        </w:rPr>
        <w:t xml:space="preserve"> </w:t>
      </w:r>
      <w:r>
        <w:rPr>
          <w:sz w:val="20"/>
        </w:rPr>
        <w:t>return</w:t>
      </w:r>
      <w:r>
        <w:rPr>
          <w:spacing w:val="-4"/>
          <w:sz w:val="20"/>
        </w:rPr>
        <w:t xml:space="preserve"> </w:t>
      </w:r>
      <w:r>
        <w:rPr>
          <w:sz w:val="20"/>
        </w:rPr>
        <w:t>to</w:t>
      </w:r>
      <w:r>
        <w:rPr>
          <w:spacing w:val="-5"/>
          <w:sz w:val="20"/>
        </w:rPr>
        <w:t xml:space="preserve"> </w:t>
      </w:r>
      <w:r>
        <w:rPr>
          <w:sz w:val="20"/>
        </w:rPr>
        <w:t>substance</w:t>
      </w:r>
      <w:r>
        <w:rPr>
          <w:spacing w:val="-6"/>
          <w:sz w:val="20"/>
        </w:rPr>
        <w:t xml:space="preserve"> </w:t>
      </w:r>
      <w:r>
        <w:rPr>
          <w:sz w:val="20"/>
        </w:rPr>
        <w:t>use</w:t>
      </w:r>
      <w:r>
        <w:rPr>
          <w:spacing w:val="-6"/>
          <w:sz w:val="20"/>
        </w:rPr>
        <w:t xml:space="preserve"> </w:t>
      </w:r>
      <w:r>
        <w:rPr>
          <w:sz w:val="20"/>
        </w:rPr>
        <w:t>after</w:t>
      </w:r>
      <w:r>
        <w:rPr>
          <w:spacing w:val="-5"/>
          <w:sz w:val="20"/>
        </w:rPr>
        <w:t xml:space="preserve"> </w:t>
      </w:r>
      <w:r>
        <w:rPr>
          <w:sz w:val="20"/>
        </w:rPr>
        <w:t>a</w:t>
      </w:r>
      <w:r>
        <w:rPr>
          <w:spacing w:val="-4"/>
          <w:sz w:val="20"/>
        </w:rPr>
        <w:t xml:space="preserve"> </w:t>
      </w:r>
      <w:r>
        <w:rPr>
          <w:sz w:val="20"/>
        </w:rPr>
        <w:t>significant</w:t>
      </w:r>
      <w:r>
        <w:rPr>
          <w:spacing w:val="-5"/>
          <w:sz w:val="20"/>
        </w:rPr>
        <w:t xml:space="preserve"> </w:t>
      </w:r>
      <w:r>
        <w:rPr>
          <w:sz w:val="20"/>
        </w:rPr>
        <w:t>period</w:t>
      </w:r>
      <w:r>
        <w:rPr>
          <w:spacing w:val="-4"/>
          <w:sz w:val="20"/>
        </w:rPr>
        <w:t xml:space="preserve"> </w:t>
      </w:r>
      <w:r>
        <w:rPr>
          <w:sz w:val="20"/>
        </w:rPr>
        <w:t>of</w:t>
      </w:r>
      <w:r>
        <w:rPr>
          <w:spacing w:val="-6"/>
          <w:sz w:val="20"/>
        </w:rPr>
        <w:t xml:space="preserve"> </w:t>
      </w:r>
      <w:r>
        <w:rPr>
          <w:spacing w:val="-2"/>
          <w:sz w:val="20"/>
        </w:rPr>
        <w:t>abstinence.</w:t>
      </w:r>
    </w:p>
    <w:p w14:paraId="6F1DB0CB" w14:textId="77777777" w:rsidR="00DB6E1F" w:rsidRDefault="00F666A6">
      <w:pPr>
        <w:spacing w:before="120"/>
        <w:ind w:left="1548" w:right="1719"/>
        <w:jc w:val="both"/>
        <w:rPr>
          <w:sz w:val="20"/>
        </w:rPr>
      </w:pPr>
      <w:r>
        <w:rPr>
          <w:b/>
          <w:sz w:val="20"/>
        </w:rPr>
        <w:t>Substance*:</w:t>
      </w:r>
      <w:r>
        <w:rPr>
          <w:b/>
          <w:spacing w:val="-1"/>
          <w:sz w:val="20"/>
        </w:rPr>
        <w:t xml:space="preserve"> </w:t>
      </w:r>
      <w:r>
        <w:rPr>
          <w:sz w:val="20"/>
        </w:rPr>
        <w:t>A</w:t>
      </w:r>
      <w:r>
        <w:rPr>
          <w:spacing w:val="-1"/>
          <w:sz w:val="20"/>
        </w:rPr>
        <w:t xml:space="preserve"> </w:t>
      </w:r>
      <w:r>
        <w:rPr>
          <w:sz w:val="20"/>
        </w:rPr>
        <w:t>psychoactive compound with the</w:t>
      </w:r>
      <w:r>
        <w:rPr>
          <w:spacing w:val="-2"/>
          <w:sz w:val="20"/>
        </w:rPr>
        <w:t xml:space="preserve"> </w:t>
      </w:r>
      <w:r>
        <w:rPr>
          <w:sz w:val="20"/>
        </w:rPr>
        <w:t>potential</w:t>
      </w:r>
      <w:r>
        <w:rPr>
          <w:spacing w:val="-1"/>
          <w:sz w:val="20"/>
        </w:rPr>
        <w:t xml:space="preserve"> </w:t>
      </w:r>
      <w:r>
        <w:rPr>
          <w:sz w:val="20"/>
        </w:rPr>
        <w:t>to</w:t>
      </w:r>
      <w:r>
        <w:rPr>
          <w:spacing w:val="-2"/>
          <w:sz w:val="20"/>
        </w:rPr>
        <w:t xml:space="preserve"> </w:t>
      </w:r>
      <w:r>
        <w:rPr>
          <w:sz w:val="20"/>
        </w:rPr>
        <w:t>cause</w:t>
      </w:r>
      <w:r>
        <w:rPr>
          <w:spacing w:val="-2"/>
          <w:sz w:val="20"/>
        </w:rPr>
        <w:t xml:space="preserve"> </w:t>
      </w:r>
      <w:r>
        <w:rPr>
          <w:sz w:val="20"/>
        </w:rPr>
        <w:t>health and social</w:t>
      </w:r>
      <w:r>
        <w:rPr>
          <w:spacing w:val="-1"/>
          <w:sz w:val="20"/>
        </w:rPr>
        <w:t xml:space="preserve"> </w:t>
      </w:r>
      <w:r>
        <w:rPr>
          <w:sz w:val="20"/>
        </w:rPr>
        <w:t>problems, including</w:t>
      </w:r>
      <w:r>
        <w:rPr>
          <w:spacing w:val="-1"/>
          <w:sz w:val="20"/>
        </w:rPr>
        <w:t xml:space="preserve"> </w:t>
      </w:r>
      <w:r>
        <w:rPr>
          <w:sz w:val="20"/>
        </w:rPr>
        <w:t>SUDs (and</w:t>
      </w:r>
      <w:r>
        <w:rPr>
          <w:spacing w:val="-2"/>
          <w:sz w:val="20"/>
        </w:rPr>
        <w:t xml:space="preserve"> </w:t>
      </w:r>
      <w:r>
        <w:rPr>
          <w:sz w:val="20"/>
        </w:rPr>
        <w:t>their</w:t>
      </w:r>
      <w:r>
        <w:rPr>
          <w:spacing w:val="-3"/>
          <w:sz w:val="20"/>
        </w:rPr>
        <w:t xml:space="preserve"> </w:t>
      </w:r>
      <w:r>
        <w:rPr>
          <w:sz w:val="20"/>
        </w:rPr>
        <w:t>most</w:t>
      </w:r>
      <w:r>
        <w:rPr>
          <w:spacing w:val="-3"/>
          <w:sz w:val="20"/>
        </w:rPr>
        <w:t xml:space="preserve"> </w:t>
      </w:r>
      <w:r>
        <w:rPr>
          <w:sz w:val="20"/>
        </w:rPr>
        <w:t>severe</w:t>
      </w:r>
      <w:r>
        <w:rPr>
          <w:spacing w:val="-1"/>
          <w:sz w:val="20"/>
        </w:rPr>
        <w:t xml:space="preserve"> </w:t>
      </w:r>
      <w:r>
        <w:rPr>
          <w:sz w:val="20"/>
        </w:rPr>
        <w:t>manifestation,</w:t>
      </w:r>
      <w:r>
        <w:rPr>
          <w:spacing w:val="-2"/>
          <w:sz w:val="20"/>
        </w:rPr>
        <w:t xml:space="preserve"> </w:t>
      </w:r>
      <w:r>
        <w:rPr>
          <w:sz w:val="20"/>
        </w:rPr>
        <w:t>addiction).</w:t>
      </w:r>
      <w:r>
        <w:rPr>
          <w:spacing w:val="-4"/>
          <w:sz w:val="20"/>
        </w:rPr>
        <w:t xml:space="preserve"> </w:t>
      </w:r>
      <w:r>
        <w:rPr>
          <w:sz w:val="20"/>
        </w:rPr>
        <w:t>The</w:t>
      </w:r>
      <w:r>
        <w:rPr>
          <w:spacing w:val="-4"/>
          <w:sz w:val="20"/>
        </w:rPr>
        <w:t xml:space="preserve"> </w:t>
      </w:r>
      <w:r>
        <w:rPr>
          <w:sz w:val="20"/>
        </w:rPr>
        <w:t>table</w:t>
      </w:r>
      <w:r>
        <w:rPr>
          <w:spacing w:val="-4"/>
          <w:sz w:val="20"/>
        </w:rPr>
        <w:t xml:space="preserve"> </w:t>
      </w:r>
      <w:r>
        <w:rPr>
          <w:sz w:val="20"/>
        </w:rPr>
        <w:t>at</w:t>
      </w:r>
      <w:r>
        <w:rPr>
          <w:spacing w:val="-3"/>
          <w:sz w:val="20"/>
        </w:rPr>
        <w:t xml:space="preserve"> </w:t>
      </w:r>
      <w:r>
        <w:rPr>
          <w:sz w:val="20"/>
        </w:rPr>
        <w:t>the</w:t>
      </w:r>
      <w:r>
        <w:rPr>
          <w:spacing w:val="-4"/>
          <w:sz w:val="20"/>
        </w:rPr>
        <w:t xml:space="preserve"> </w:t>
      </w:r>
      <w:r>
        <w:rPr>
          <w:sz w:val="20"/>
        </w:rPr>
        <w:t>end</w:t>
      </w:r>
      <w:r>
        <w:rPr>
          <w:spacing w:val="-2"/>
          <w:sz w:val="20"/>
        </w:rPr>
        <w:t xml:space="preserve"> </w:t>
      </w:r>
      <w:r>
        <w:rPr>
          <w:sz w:val="20"/>
        </w:rPr>
        <w:t>of</w:t>
      </w:r>
      <w:r>
        <w:rPr>
          <w:spacing w:val="-4"/>
          <w:sz w:val="20"/>
        </w:rPr>
        <w:t xml:space="preserve"> </w:t>
      </w:r>
      <w:r>
        <w:rPr>
          <w:sz w:val="20"/>
        </w:rPr>
        <w:t>this</w:t>
      </w:r>
      <w:r>
        <w:rPr>
          <w:spacing w:val="-4"/>
          <w:sz w:val="20"/>
        </w:rPr>
        <w:t xml:space="preserve"> </w:t>
      </w:r>
      <w:r>
        <w:rPr>
          <w:sz w:val="20"/>
        </w:rPr>
        <w:t>exhibit</w:t>
      </w:r>
      <w:r>
        <w:rPr>
          <w:spacing w:val="-3"/>
          <w:sz w:val="20"/>
        </w:rPr>
        <w:t xml:space="preserve"> </w:t>
      </w:r>
      <w:r>
        <w:rPr>
          <w:sz w:val="20"/>
        </w:rPr>
        <w:t>lists</w:t>
      </w:r>
      <w:r>
        <w:rPr>
          <w:spacing w:val="-4"/>
          <w:sz w:val="20"/>
        </w:rPr>
        <w:t xml:space="preserve"> </w:t>
      </w:r>
      <w:r>
        <w:rPr>
          <w:sz w:val="20"/>
        </w:rPr>
        <w:t>common</w:t>
      </w:r>
      <w:r>
        <w:rPr>
          <w:spacing w:val="-2"/>
          <w:sz w:val="20"/>
        </w:rPr>
        <w:t xml:space="preserve"> </w:t>
      </w:r>
      <w:r>
        <w:rPr>
          <w:sz w:val="20"/>
        </w:rPr>
        <w:t>examples</w:t>
      </w:r>
      <w:r>
        <w:rPr>
          <w:spacing w:val="-4"/>
          <w:sz w:val="20"/>
        </w:rPr>
        <w:t xml:space="preserve"> </w:t>
      </w:r>
      <w:r>
        <w:rPr>
          <w:sz w:val="20"/>
        </w:rPr>
        <w:t>of such substances.</w:t>
      </w:r>
    </w:p>
    <w:p w14:paraId="61145ECB" w14:textId="77777777" w:rsidR="00DB6E1F" w:rsidRDefault="00F666A6">
      <w:pPr>
        <w:spacing w:before="120"/>
        <w:ind w:left="1548" w:right="1491"/>
        <w:rPr>
          <w:sz w:val="20"/>
        </w:rPr>
      </w:pPr>
      <w:r>
        <w:rPr>
          <w:b/>
          <w:sz w:val="20"/>
        </w:rPr>
        <w:t>Substance</w:t>
      </w:r>
      <w:r>
        <w:rPr>
          <w:b/>
          <w:spacing w:val="-3"/>
          <w:sz w:val="20"/>
        </w:rPr>
        <w:t xml:space="preserve"> </w:t>
      </w:r>
      <w:r>
        <w:rPr>
          <w:b/>
          <w:sz w:val="20"/>
        </w:rPr>
        <w:t>misuse*:</w:t>
      </w:r>
      <w:r>
        <w:rPr>
          <w:b/>
          <w:spacing w:val="-3"/>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any</w:t>
      </w:r>
      <w:r>
        <w:rPr>
          <w:spacing w:val="-2"/>
          <w:sz w:val="20"/>
        </w:rPr>
        <w:t xml:space="preserve"> </w:t>
      </w:r>
      <w:r>
        <w:rPr>
          <w:sz w:val="20"/>
        </w:rPr>
        <w:t>substance</w:t>
      </w:r>
      <w:r>
        <w:rPr>
          <w:spacing w:val="-4"/>
          <w:sz w:val="20"/>
        </w:rPr>
        <w:t xml:space="preserve"> </w:t>
      </w:r>
      <w:r>
        <w:rPr>
          <w:sz w:val="20"/>
        </w:rPr>
        <w:t>in</w:t>
      </w:r>
      <w:r>
        <w:rPr>
          <w:spacing w:val="-2"/>
          <w:sz w:val="20"/>
        </w:rPr>
        <w:t xml:space="preserve"> </w:t>
      </w:r>
      <w:r>
        <w:rPr>
          <w:sz w:val="20"/>
        </w:rPr>
        <w:t>a</w:t>
      </w:r>
      <w:r>
        <w:rPr>
          <w:spacing w:val="-3"/>
          <w:sz w:val="20"/>
        </w:rPr>
        <w:t xml:space="preserve"> </w:t>
      </w:r>
      <w:r>
        <w:rPr>
          <w:sz w:val="20"/>
        </w:rPr>
        <w:t>manner,</w:t>
      </w:r>
      <w:r>
        <w:rPr>
          <w:spacing w:val="-2"/>
          <w:sz w:val="20"/>
        </w:rPr>
        <w:t xml:space="preserve"> </w:t>
      </w:r>
      <w:r>
        <w:rPr>
          <w:sz w:val="20"/>
        </w:rPr>
        <w:t>situation,</w:t>
      </w:r>
      <w:r>
        <w:rPr>
          <w:spacing w:val="-2"/>
          <w:sz w:val="20"/>
        </w:rPr>
        <w:t xml:space="preserve"> </w:t>
      </w:r>
      <w:r>
        <w:rPr>
          <w:sz w:val="20"/>
        </w:rPr>
        <w:t>amount,</w:t>
      </w:r>
      <w:r>
        <w:rPr>
          <w:spacing w:val="-2"/>
          <w:sz w:val="20"/>
        </w:rPr>
        <w:t xml:space="preserve"> </w:t>
      </w:r>
      <w:r>
        <w:rPr>
          <w:sz w:val="20"/>
        </w:rPr>
        <w:t>or</w:t>
      </w:r>
      <w:r>
        <w:rPr>
          <w:spacing w:val="-3"/>
          <w:sz w:val="20"/>
        </w:rPr>
        <w:t xml:space="preserve"> </w:t>
      </w:r>
      <w:r>
        <w:rPr>
          <w:sz w:val="20"/>
        </w:rPr>
        <w:t>frequency</w:t>
      </w:r>
      <w:r>
        <w:rPr>
          <w:spacing w:val="-2"/>
          <w:sz w:val="20"/>
        </w:rPr>
        <w:t xml:space="preserve"> </w:t>
      </w:r>
      <w:r>
        <w:rPr>
          <w:sz w:val="20"/>
        </w:rPr>
        <w:t>that</w:t>
      </w:r>
      <w:r>
        <w:rPr>
          <w:spacing w:val="-3"/>
          <w:sz w:val="20"/>
        </w:rPr>
        <w:t xml:space="preserve"> </w:t>
      </w:r>
      <w:r>
        <w:rPr>
          <w:sz w:val="20"/>
        </w:rPr>
        <w:t>can</w:t>
      </w:r>
      <w:r>
        <w:rPr>
          <w:spacing w:val="-2"/>
          <w:sz w:val="20"/>
        </w:rPr>
        <w:t xml:space="preserve"> </w:t>
      </w:r>
      <w:r>
        <w:rPr>
          <w:sz w:val="20"/>
        </w:rPr>
        <w:t>cause</w:t>
      </w:r>
      <w:r>
        <w:rPr>
          <w:spacing w:val="-4"/>
          <w:sz w:val="20"/>
        </w:rPr>
        <w:t xml:space="preserve"> </w:t>
      </w:r>
      <w:r>
        <w:rPr>
          <w:sz w:val="20"/>
        </w:rPr>
        <w:t>harm to users or to those around them. For some substances or individuals, any use would constitute misuse (e.g., underage drinking, injection drug use).</w:t>
      </w:r>
    </w:p>
    <w:p w14:paraId="6585861C" w14:textId="77777777" w:rsidR="00DB6E1F" w:rsidRDefault="00F666A6">
      <w:pPr>
        <w:spacing w:before="119"/>
        <w:ind w:left="1548"/>
        <w:rPr>
          <w:sz w:val="20"/>
        </w:rPr>
      </w:pPr>
      <w:r>
        <w:rPr>
          <w:b/>
          <w:sz w:val="20"/>
        </w:rPr>
        <w:t>Substance</w:t>
      </w:r>
      <w:r>
        <w:rPr>
          <w:b/>
          <w:spacing w:val="-5"/>
          <w:sz w:val="20"/>
        </w:rPr>
        <w:t xml:space="preserve"> </w:t>
      </w:r>
      <w:r>
        <w:rPr>
          <w:b/>
          <w:sz w:val="20"/>
        </w:rPr>
        <w:t>use*:</w:t>
      </w:r>
      <w:r>
        <w:rPr>
          <w:b/>
          <w:spacing w:val="-5"/>
          <w:sz w:val="20"/>
        </w:rPr>
        <w:t xml:space="preserve"> </w:t>
      </w:r>
      <w:r>
        <w:rPr>
          <w:sz w:val="20"/>
        </w:rPr>
        <w:t>The</w:t>
      </w:r>
      <w:r>
        <w:rPr>
          <w:spacing w:val="-5"/>
          <w:sz w:val="20"/>
        </w:rPr>
        <w:t xml:space="preserve"> </w:t>
      </w:r>
      <w:r>
        <w:rPr>
          <w:sz w:val="20"/>
        </w:rPr>
        <w:t>use—even</w:t>
      </w:r>
      <w:r>
        <w:rPr>
          <w:spacing w:val="-4"/>
          <w:sz w:val="20"/>
        </w:rPr>
        <w:t xml:space="preserve"> </w:t>
      </w:r>
      <w:r>
        <w:rPr>
          <w:sz w:val="20"/>
        </w:rPr>
        <w:t>one</w:t>
      </w:r>
      <w:r>
        <w:rPr>
          <w:spacing w:val="-5"/>
          <w:sz w:val="20"/>
        </w:rPr>
        <w:t xml:space="preserve"> </w:t>
      </w:r>
      <w:r>
        <w:rPr>
          <w:sz w:val="20"/>
        </w:rPr>
        <w:t>time—of</w:t>
      </w:r>
      <w:r>
        <w:rPr>
          <w:spacing w:val="-6"/>
          <w:sz w:val="20"/>
        </w:rPr>
        <w:t xml:space="preserve"> </w:t>
      </w:r>
      <w:r>
        <w:rPr>
          <w:sz w:val="20"/>
        </w:rPr>
        <w:t>any</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substances</w:t>
      </w:r>
      <w:r>
        <w:rPr>
          <w:spacing w:val="-5"/>
          <w:sz w:val="20"/>
        </w:rPr>
        <w:t xml:space="preserve"> </w:t>
      </w:r>
      <w:r>
        <w:rPr>
          <w:sz w:val="20"/>
        </w:rPr>
        <w:t>listed</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table</w:t>
      </w:r>
      <w:r>
        <w:rPr>
          <w:spacing w:val="-6"/>
          <w:sz w:val="20"/>
        </w:rPr>
        <w:t xml:space="preserve"> </w:t>
      </w:r>
      <w:r>
        <w:rPr>
          <w:sz w:val="20"/>
        </w:rPr>
        <w:t>at</w:t>
      </w:r>
      <w:r>
        <w:rPr>
          <w:spacing w:val="-4"/>
          <w:sz w:val="20"/>
        </w:rPr>
        <w:t xml:space="preserve"> </w:t>
      </w:r>
      <w:r>
        <w:rPr>
          <w:sz w:val="20"/>
        </w:rPr>
        <w:t>the</w:t>
      </w:r>
      <w:r>
        <w:rPr>
          <w:spacing w:val="-6"/>
          <w:sz w:val="20"/>
        </w:rPr>
        <w:t xml:space="preserve"> </w:t>
      </w:r>
      <w:r>
        <w:rPr>
          <w:sz w:val="20"/>
        </w:rPr>
        <w:t>end</w:t>
      </w:r>
      <w:r>
        <w:rPr>
          <w:spacing w:val="-3"/>
          <w:sz w:val="20"/>
        </w:rPr>
        <w:t xml:space="preserve"> </w:t>
      </w:r>
      <w:r>
        <w:rPr>
          <w:sz w:val="20"/>
        </w:rPr>
        <w:t>of</w:t>
      </w:r>
      <w:r>
        <w:rPr>
          <w:spacing w:val="-6"/>
          <w:sz w:val="20"/>
        </w:rPr>
        <w:t xml:space="preserve"> </w:t>
      </w:r>
      <w:r>
        <w:rPr>
          <w:sz w:val="20"/>
        </w:rPr>
        <w:t>this</w:t>
      </w:r>
      <w:r>
        <w:rPr>
          <w:spacing w:val="-5"/>
          <w:sz w:val="20"/>
        </w:rPr>
        <w:t xml:space="preserve"> </w:t>
      </w:r>
      <w:r>
        <w:rPr>
          <w:spacing w:val="-2"/>
          <w:sz w:val="20"/>
        </w:rPr>
        <w:t>exhibit.</w:t>
      </w:r>
    </w:p>
    <w:p w14:paraId="4E76BD62" w14:textId="77777777" w:rsidR="00DB6E1F" w:rsidRDefault="00F666A6">
      <w:pPr>
        <w:spacing w:before="121"/>
        <w:ind w:left="1548" w:right="1474"/>
        <w:rPr>
          <w:sz w:val="20"/>
        </w:rPr>
      </w:pPr>
      <w:r>
        <w:rPr>
          <w:b/>
          <w:sz w:val="20"/>
        </w:rPr>
        <w:t>Substance</w:t>
      </w:r>
      <w:r>
        <w:rPr>
          <w:b/>
          <w:spacing w:val="-3"/>
          <w:sz w:val="20"/>
        </w:rPr>
        <w:t xml:space="preserve"> </w:t>
      </w:r>
      <w:r>
        <w:rPr>
          <w:b/>
          <w:sz w:val="20"/>
        </w:rPr>
        <w:t>use</w:t>
      </w:r>
      <w:r>
        <w:rPr>
          <w:b/>
          <w:spacing w:val="-3"/>
          <w:sz w:val="20"/>
        </w:rPr>
        <w:t xml:space="preserve"> </w:t>
      </w:r>
      <w:r>
        <w:rPr>
          <w:b/>
          <w:sz w:val="20"/>
        </w:rPr>
        <w:t>disorder*:</w:t>
      </w:r>
      <w:r>
        <w:rPr>
          <w:b/>
          <w:spacing w:val="-3"/>
          <w:sz w:val="20"/>
        </w:rPr>
        <w:t xml:space="preserve"> </w:t>
      </w:r>
      <w:r>
        <w:rPr>
          <w:sz w:val="20"/>
        </w:rPr>
        <w:t>A</w:t>
      </w:r>
      <w:r>
        <w:rPr>
          <w:spacing w:val="-3"/>
          <w:sz w:val="20"/>
        </w:rPr>
        <w:t xml:space="preserve"> </w:t>
      </w:r>
      <w:r>
        <w:rPr>
          <w:sz w:val="20"/>
        </w:rPr>
        <w:t>medical</w:t>
      </w:r>
      <w:r>
        <w:rPr>
          <w:spacing w:val="-3"/>
          <w:sz w:val="20"/>
        </w:rPr>
        <w:t xml:space="preserve"> </w:t>
      </w:r>
      <w:r>
        <w:rPr>
          <w:sz w:val="20"/>
        </w:rPr>
        <w:t>illness</w:t>
      </w:r>
      <w:r>
        <w:rPr>
          <w:spacing w:val="-4"/>
          <w:sz w:val="20"/>
        </w:rPr>
        <w:t xml:space="preserve"> </w:t>
      </w:r>
      <w:r>
        <w:rPr>
          <w:sz w:val="20"/>
        </w:rPr>
        <w:t>caused</w:t>
      </w:r>
      <w:r>
        <w:rPr>
          <w:spacing w:val="-2"/>
          <w:sz w:val="20"/>
        </w:rPr>
        <w:t xml:space="preserve"> </w:t>
      </w:r>
      <w:r>
        <w:rPr>
          <w:sz w:val="20"/>
        </w:rPr>
        <w:t>by</w:t>
      </w:r>
      <w:r>
        <w:rPr>
          <w:spacing w:val="-2"/>
          <w:sz w:val="20"/>
        </w:rPr>
        <w:t xml:space="preserve"> </w:t>
      </w:r>
      <w:r>
        <w:rPr>
          <w:sz w:val="20"/>
        </w:rPr>
        <w:t>repeated</w:t>
      </w:r>
      <w:r>
        <w:rPr>
          <w:spacing w:val="-2"/>
          <w:sz w:val="20"/>
        </w:rPr>
        <w:t xml:space="preserve"> </w:t>
      </w:r>
      <w:r>
        <w:rPr>
          <w:sz w:val="20"/>
        </w:rPr>
        <w:t>misuse</w:t>
      </w:r>
      <w:r>
        <w:rPr>
          <w:spacing w:val="-4"/>
          <w:sz w:val="20"/>
        </w:rPr>
        <w:t xml:space="preserve"> </w:t>
      </w:r>
      <w:r>
        <w:rPr>
          <w:sz w:val="20"/>
        </w:rPr>
        <w:t>of</w:t>
      </w:r>
      <w:r>
        <w:rPr>
          <w:spacing w:val="-4"/>
          <w:sz w:val="20"/>
        </w:rPr>
        <w:t xml:space="preserve"> </w:t>
      </w:r>
      <w:r>
        <w:rPr>
          <w:sz w:val="20"/>
        </w:rPr>
        <w:t>a substance</w:t>
      </w:r>
      <w:r>
        <w:rPr>
          <w:spacing w:val="-4"/>
          <w:sz w:val="20"/>
        </w:rPr>
        <w:t xml:space="preserve"> </w:t>
      </w:r>
      <w:r>
        <w:rPr>
          <w:sz w:val="20"/>
        </w:rPr>
        <w:t>or</w:t>
      </w:r>
      <w:r>
        <w:rPr>
          <w:spacing w:val="-3"/>
          <w:sz w:val="20"/>
        </w:rPr>
        <w:t xml:space="preserve"> </w:t>
      </w:r>
      <w:r>
        <w:rPr>
          <w:sz w:val="20"/>
        </w:rPr>
        <w:t>substances.</w:t>
      </w:r>
      <w:r>
        <w:rPr>
          <w:spacing w:val="-3"/>
          <w:sz w:val="20"/>
        </w:rPr>
        <w:t xml:space="preserve"> </w:t>
      </w:r>
      <w:r>
        <w:rPr>
          <w:sz w:val="20"/>
        </w:rPr>
        <w:t>According</w:t>
      </w:r>
      <w:r>
        <w:rPr>
          <w:spacing w:val="-3"/>
          <w:sz w:val="20"/>
        </w:rPr>
        <w:t xml:space="preserve"> </w:t>
      </w:r>
      <w:r>
        <w:rPr>
          <w:sz w:val="20"/>
        </w:rPr>
        <w:t>to DSM-5 (APA, 2013), SUDs are characterized by clinically significant impairments in health, social function, and impaired control over substance use and are diagnosed through assessing cognitive, behavioral, and psychological symptoms. SUDs range from mi</w:t>
      </w:r>
      <w:r>
        <w:rPr>
          <w:sz w:val="20"/>
        </w:rPr>
        <w:t xml:space="preserve">ld to severe and from temporary to chronic. They typically develop gradually over time with repeated misuse, leading to changes in brain circuits governing incentive salience (the ability of substance-associated cues to trigger substance seeking), reward, </w:t>
      </w:r>
      <w:r>
        <w:rPr>
          <w:sz w:val="20"/>
        </w:rPr>
        <w:t>stress, and executive functions like decision making and self-control. Multiple factors influence whether and how rapidly a person will develop an SUD. These factors include the substance itself; the genetic vulnerability of the user; and the amount, frequ</w:t>
      </w:r>
      <w:r>
        <w:rPr>
          <w:sz w:val="20"/>
        </w:rPr>
        <w:t>ency, and duration of the misuse. A severe SUD is commonly called an addiction.</w:t>
      </w:r>
    </w:p>
    <w:p w14:paraId="3C4C30F1" w14:textId="77777777" w:rsidR="00DB6E1F" w:rsidRDefault="00DB6E1F">
      <w:pPr>
        <w:rPr>
          <w:sz w:val="20"/>
        </w:rPr>
        <w:sectPr w:rsidR="00DB6E1F">
          <w:pgSz w:w="12240" w:h="15840"/>
          <w:pgMar w:top="1200" w:right="0" w:bottom="780" w:left="0" w:header="763" w:footer="585" w:gutter="0"/>
          <w:cols w:space="720"/>
        </w:sectPr>
      </w:pPr>
    </w:p>
    <w:p w14:paraId="51FE6D4F" w14:textId="77777777" w:rsidR="00DB6E1F" w:rsidRDefault="00DB6E1F">
      <w:pPr>
        <w:pStyle w:val="BodyText"/>
        <w:spacing w:before="3"/>
        <w:rPr>
          <w:sz w:val="19"/>
        </w:rPr>
      </w:pPr>
    </w:p>
    <w:p w14:paraId="28B44EC9" w14:textId="77777777" w:rsidR="00DB6E1F" w:rsidRDefault="00F666A6">
      <w:pPr>
        <w:pStyle w:val="BodyText"/>
        <w:ind w:left="1435"/>
        <w:rPr>
          <w:sz w:val="20"/>
        </w:rPr>
      </w:pPr>
      <w:r>
        <w:rPr>
          <w:sz w:val="20"/>
        </w:rPr>
      </w:r>
      <w:r>
        <w:rPr>
          <w:sz w:val="20"/>
        </w:rPr>
        <w:pict w14:anchorId="1D1204AC">
          <v:group id="docshapegroup12" o:spid="_x0000_s2257" style="width:473.9pt;height:381.25pt;mso-position-horizontal-relative:char;mso-position-vertical-relative:line" coordsize="9478,7625">
            <v:rect id="docshape13" o:spid="_x0000_s2261" style="position:absolute;left:9;top:9;width:9459;height:7606" fillcolor="#e7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2260" type="#_x0000_t75" style="position:absolute;left:112;top:10;width:9023;height:5294">
              <v:imagedata r:id="rId15" o:title=""/>
            </v:shape>
            <v:shape id="docshape15" o:spid="_x0000_s2259" type="#_x0000_t75" style="position:absolute;left:112;top:5424;width:9024;height:731">
              <v:imagedata r:id="rId16" o:title=""/>
            </v:shape>
            <v:shape id="docshape16" o:spid="_x0000_s2258" type="#_x0000_t202" style="position:absolute;left:4;top:4;width:9468;height:7616" filled="f" strokeweight=".16969mm">
              <v:textbox inset="0,0,0,0">
                <w:txbxContent>
                  <w:p w14:paraId="29BC1E70" w14:textId="77777777" w:rsidR="00DB6E1F" w:rsidRDefault="00DB6E1F">
                    <w:pPr>
                      <w:rPr>
                        <w:sz w:val="20"/>
                      </w:rPr>
                    </w:pPr>
                  </w:p>
                  <w:p w14:paraId="30E868FC" w14:textId="77777777" w:rsidR="00DB6E1F" w:rsidRDefault="00DB6E1F">
                    <w:pPr>
                      <w:rPr>
                        <w:sz w:val="20"/>
                      </w:rPr>
                    </w:pPr>
                  </w:p>
                  <w:p w14:paraId="5F104B29" w14:textId="77777777" w:rsidR="00DB6E1F" w:rsidRDefault="00DB6E1F">
                    <w:pPr>
                      <w:rPr>
                        <w:sz w:val="20"/>
                      </w:rPr>
                    </w:pPr>
                  </w:p>
                  <w:p w14:paraId="0F2045E7" w14:textId="77777777" w:rsidR="00DB6E1F" w:rsidRDefault="00DB6E1F">
                    <w:pPr>
                      <w:rPr>
                        <w:sz w:val="20"/>
                      </w:rPr>
                    </w:pPr>
                  </w:p>
                  <w:p w14:paraId="642678DF" w14:textId="77777777" w:rsidR="00DB6E1F" w:rsidRDefault="00DB6E1F">
                    <w:pPr>
                      <w:rPr>
                        <w:sz w:val="20"/>
                      </w:rPr>
                    </w:pPr>
                  </w:p>
                  <w:p w14:paraId="32F7E791" w14:textId="77777777" w:rsidR="00DB6E1F" w:rsidRDefault="00DB6E1F">
                    <w:pPr>
                      <w:rPr>
                        <w:sz w:val="20"/>
                      </w:rPr>
                    </w:pPr>
                  </w:p>
                  <w:p w14:paraId="6B7B765F" w14:textId="77777777" w:rsidR="00DB6E1F" w:rsidRDefault="00DB6E1F">
                    <w:pPr>
                      <w:rPr>
                        <w:sz w:val="20"/>
                      </w:rPr>
                    </w:pPr>
                  </w:p>
                  <w:p w14:paraId="7A790C66" w14:textId="77777777" w:rsidR="00DB6E1F" w:rsidRDefault="00DB6E1F">
                    <w:pPr>
                      <w:rPr>
                        <w:sz w:val="20"/>
                      </w:rPr>
                    </w:pPr>
                  </w:p>
                  <w:p w14:paraId="10DDA8DB" w14:textId="77777777" w:rsidR="00DB6E1F" w:rsidRDefault="00DB6E1F">
                    <w:pPr>
                      <w:rPr>
                        <w:sz w:val="20"/>
                      </w:rPr>
                    </w:pPr>
                  </w:p>
                  <w:p w14:paraId="22A3A085" w14:textId="77777777" w:rsidR="00DB6E1F" w:rsidRDefault="00DB6E1F">
                    <w:pPr>
                      <w:rPr>
                        <w:sz w:val="20"/>
                      </w:rPr>
                    </w:pPr>
                  </w:p>
                  <w:p w14:paraId="7A51C250" w14:textId="77777777" w:rsidR="00DB6E1F" w:rsidRDefault="00DB6E1F">
                    <w:pPr>
                      <w:rPr>
                        <w:sz w:val="20"/>
                      </w:rPr>
                    </w:pPr>
                  </w:p>
                  <w:p w14:paraId="2D987984" w14:textId="77777777" w:rsidR="00DB6E1F" w:rsidRDefault="00DB6E1F">
                    <w:pPr>
                      <w:rPr>
                        <w:sz w:val="20"/>
                      </w:rPr>
                    </w:pPr>
                  </w:p>
                  <w:p w14:paraId="4D7A7992" w14:textId="77777777" w:rsidR="00DB6E1F" w:rsidRDefault="00DB6E1F">
                    <w:pPr>
                      <w:rPr>
                        <w:sz w:val="20"/>
                      </w:rPr>
                    </w:pPr>
                  </w:p>
                  <w:p w14:paraId="6E96ADDA" w14:textId="77777777" w:rsidR="00DB6E1F" w:rsidRDefault="00DB6E1F">
                    <w:pPr>
                      <w:rPr>
                        <w:sz w:val="20"/>
                      </w:rPr>
                    </w:pPr>
                  </w:p>
                  <w:p w14:paraId="25987FE7" w14:textId="77777777" w:rsidR="00DB6E1F" w:rsidRDefault="00DB6E1F">
                    <w:pPr>
                      <w:rPr>
                        <w:sz w:val="20"/>
                      </w:rPr>
                    </w:pPr>
                  </w:p>
                  <w:p w14:paraId="666F968F" w14:textId="77777777" w:rsidR="00DB6E1F" w:rsidRDefault="00DB6E1F">
                    <w:pPr>
                      <w:rPr>
                        <w:sz w:val="20"/>
                      </w:rPr>
                    </w:pPr>
                  </w:p>
                  <w:p w14:paraId="61EFDD64" w14:textId="77777777" w:rsidR="00DB6E1F" w:rsidRDefault="00DB6E1F">
                    <w:pPr>
                      <w:rPr>
                        <w:sz w:val="20"/>
                      </w:rPr>
                    </w:pPr>
                  </w:p>
                  <w:p w14:paraId="4A0D1F51" w14:textId="77777777" w:rsidR="00DB6E1F" w:rsidRDefault="00DB6E1F">
                    <w:pPr>
                      <w:rPr>
                        <w:sz w:val="20"/>
                      </w:rPr>
                    </w:pPr>
                  </w:p>
                  <w:p w14:paraId="74774608" w14:textId="77777777" w:rsidR="00DB6E1F" w:rsidRDefault="00DB6E1F">
                    <w:pPr>
                      <w:rPr>
                        <w:sz w:val="20"/>
                      </w:rPr>
                    </w:pPr>
                  </w:p>
                  <w:p w14:paraId="1EC6986B" w14:textId="77777777" w:rsidR="00DB6E1F" w:rsidRDefault="00DB6E1F">
                    <w:pPr>
                      <w:rPr>
                        <w:sz w:val="20"/>
                      </w:rPr>
                    </w:pPr>
                  </w:p>
                  <w:p w14:paraId="43D20FEC" w14:textId="77777777" w:rsidR="00DB6E1F" w:rsidRDefault="00DB6E1F">
                    <w:pPr>
                      <w:rPr>
                        <w:sz w:val="20"/>
                      </w:rPr>
                    </w:pPr>
                  </w:p>
                  <w:p w14:paraId="6CB99C69" w14:textId="77777777" w:rsidR="00DB6E1F" w:rsidRDefault="00DB6E1F">
                    <w:pPr>
                      <w:rPr>
                        <w:sz w:val="20"/>
                      </w:rPr>
                    </w:pPr>
                  </w:p>
                  <w:p w14:paraId="27B25385" w14:textId="77777777" w:rsidR="00DB6E1F" w:rsidRDefault="00DB6E1F">
                    <w:pPr>
                      <w:rPr>
                        <w:sz w:val="20"/>
                      </w:rPr>
                    </w:pPr>
                  </w:p>
                  <w:p w14:paraId="7F3AD407" w14:textId="77777777" w:rsidR="00DB6E1F" w:rsidRDefault="00DB6E1F">
                    <w:pPr>
                      <w:rPr>
                        <w:sz w:val="20"/>
                      </w:rPr>
                    </w:pPr>
                  </w:p>
                  <w:p w14:paraId="0EE51206" w14:textId="77777777" w:rsidR="00DB6E1F" w:rsidRDefault="00DB6E1F">
                    <w:pPr>
                      <w:rPr>
                        <w:sz w:val="20"/>
                      </w:rPr>
                    </w:pPr>
                  </w:p>
                  <w:p w14:paraId="04F11EDD" w14:textId="77777777" w:rsidR="00DB6E1F" w:rsidRDefault="00F666A6">
                    <w:pPr>
                      <w:spacing w:before="162"/>
                      <w:ind w:left="103"/>
                      <w:rPr>
                        <w:sz w:val="20"/>
                      </w:rPr>
                    </w:pPr>
                    <w:r>
                      <w:rPr>
                        <w:sz w:val="20"/>
                      </w:rPr>
                      <w:t>*The definitions of all terms marked with an asterisk correspond closely to those given in Facing Addiction in America:</w:t>
                    </w:r>
                    <w:r>
                      <w:rPr>
                        <w:spacing w:val="-3"/>
                        <w:sz w:val="20"/>
                      </w:rPr>
                      <w:t xml:space="preserve"> </w:t>
                    </w:r>
                    <w:r>
                      <w:rPr>
                        <w:sz w:val="20"/>
                      </w:rPr>
                      <w:t>The</w:t>
                    </w:r>
                    <w:r>
                      <w:rPr>
                        <w:spacing w:val="-3"/>
                        <w:sz w:val="20"/>
                      </w:rPr>
                      <w:t xml:space="preserve"> </w:t>
                    </w:r>
                    <w:r>
                      <w:rPr>
                        <w:sz w:val="20"/>
                      </w:rPr>
                      <w:t>Surgeon</w:t>
                    </w:r>
                    <w:r>
                      <w:rPr>
                        <w:spacing w:val="-1"/>
                        <w:sz w:val="20"/>
                      </w:rPr>
                      <w:t xml:space="preserve"> </w:t>
                    </w:r>
                    <w:r>
                      <w:rPr>
                        <w:sz w:val="20"/>
                      </w:rPr>
                      <w:t>General’s</w:t>
                    </w:r>
                    <w:r>
                      <w:rPr>
                        <w:spacing w:val="-3"/>
                        <w:sz w:val="20"/>
                      </w:rPr>
                      <w:t xml:space="preserve"> </w:t>
                    </w:r>
                    <w:r>
                      <w:rPr>
                        <w:sz w:val="20"/>
                      </w:rPr>
                      <w:t>Report</w:t>
                    </w:r>
                    <w:r>
                      <w:rPr>
                        <w:spacing w:val="-2"/>
                        <w:sz w:val="20"/>
                      </w:rPr>
                      <w:t xml:space="preserve"> </w:t>
                    </w:r>
                    <w:r>
                      <w:rPr>
                        <w:sz w:val="20"/>
                      </w:rPr>
                      <w:t>on</w:t>
                    </w:r>
                    <w:r>
                      <w:rPr>
                        <w:spacing w:val="-1"/>
                        <w:sz w:val="20"/>
                      </w:rPr>
                      <w:t xml:space="preserve"> </w:t>
                    </w:r>
                    <w:r>
                      <w:rPr>
                        <w:sz w:val="20"/>
                      </w:rPr>
                      <w:t>Alcohol,</w:t>
                    </w:r>
                    <w:r>
                      <w:rPr>
                        <w:spacing w:val="-1"/>
                        <w:sz w:val="20"/>
                      </w:rPr>
                      <w:t xml:space="preserve"> </w:t>
                    </w:r>
                    <w:r>
                      <w:rPr>
                        <w:sz w:val="20"/>
                      </w:rPr>
                      <w:t>Drugs,</w:t>
                    </w:r>
                    <w:r>
                      <w:rPr>
                        <w:spacing w:val="-1"/>
                        <w:sz w:val="20"/>
                      </w:rPr>
                      <w:t xml:space="preserve"> </w:t>
                    </w:r>
                    <w:r>
                      <w:rPr>
                        <w:sz w:val="20"/>
                      </w:rPr>
                      <w:t>and</w:t>
                    </w:r>
                    <w:r>
                      <w:rPr>
                        <w:spacing w:val="-1"/>
                        <w:sz w:val="20"/>
                      </w:rPr>
                      <w:t xml:space="preserve"> </w:t>
                    </w:r>
                    <w:r>
                      <w:rPr>
                        <w:sz w:val="20"/>
                      </w:rPr>
                      <w:t>Health</w:t>
                    </w:r>
                    <w:r>
                      <w:rPr>
                        <w:spacing w:val="-1"/>
                        <w:sz w:val="20"/>
                      </w:rPr>
                      <w:t xml:space="preserve"> </w:t>
                    </w:r>
                    <w:r>
                      <w:rPr>
                        <w:sz w:val="20"/>
                      </w:rPr>
                      <w:t>(Office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Surgeon</w:t>
                    </w:r>
                    <w:r>
                      <w:rPr>
                        <w:spacing w:val="-1"/>
                        <w:sz w:val="20"/>
                      </w:rPr>
                      <w:t xml:space="preserve"> </w:t>
                    </w:r>
                    <w:r>
                      <w:rPr>
                        <w:sz w:val="20"/>
                      </w:rPr>
                      <w:t>General,</w:t>
                    </w:r>
                    <w:r>
                      <w:rPr>
                        <w:spacing w:val="-2"/>
                        <w:sz w:val="20"/>
                      </w:rPr>
                      <w:t xml:space="preserve"> </w:t>
                    </w:r>
                    <w:r>
                      <w:rPr>
                        <w:sz w:val="20"/>
                      </w:rPr>
                      <w:t>2016).</w:t>
                    </w:r>
                    <w:r>
                      <w:rPr>
                        <w:spacing w:val="-2"/>
                        <w:sz w:val="20"/>
                      </w:rPr>
                      <w:t xml:space="preserve"> </w:t>
                    </w:r>
                    <w:r>
                      <w:rPr>
                        <w:sz w:val="20"/>
                      </w:rPr>
                      <w:t>This resource</w:t>
                    </w:r>
                    <w:r>
                      <w:rPr>
                        <w:spacing w:val="-4"/>
                        <w:sz w:val="20"/>
                      </w:rPr>
                      <w:t xml:space="preserve"> </w:t>
                    </w:r>
                    <w:r>
                      <w:rPr>
                        <w:sz w:val="20"/>
                      </w:rPr>
                      <w:t>provides</w:t>
                    </w:r>
                    <w:r>
                      <w:rPr>
                        <w:spacing w:val="-4"/>
                        <w:sz w:val="20"/>
                      </w:rPr>
                      <w:t xml:space="preserve"> </w:t>
                    </w:r>
                    <w:r>
                      <w:rPr>
                        <w:sz w:val="20"/>
                      </w:rPr>
                      <w:t>a</w:t>
                    </w:r>
                    <w:r>
                      <w:rPr>
                        <w:spacing w:val="-2"/>
                        <w:sz w:val="20"/>
                      </w:rPr>
                      <w:t xml:space="preserve"> </w:t>
                    </w:r>
                    <w:r>
                      <w:rPr>
                        <w:sz w:val="20"/>
                      </w:rPr>
                      <w:t>great</w:t>
                    </w:r>
                    <w:r>
                      <w:rPr>
                        <w:spacing w:val="-3"/>
                        <w:sz w:val="20"/>
                      </w:rPr>
                      <w:t xml:space="preserve"> </w:t>
                    </w:r>
                    <w:r>
                      <w:rPr>
                        <w:sz w:val="20"/>
                      </w:rPr>
                      <w:t>deal</w:t>
                    </w:r>
                    <w:r>
                      <w:rPr>
                        <w:spacing w:val="-3"/>
                        <w:sz w:val="20"/>
                      </w:rPr>
                      <w:t xml:space="preserve"> </w:t>
                    </w:r>
                    <w:r>
                      <w:rPr>
                        <w:sz w:val="20"/>
                      </w:rPr>
                      <w:t>of</w:t>
                    </w:r>
                    <w:r>
                      <w:rPr>
                        <w:spacing w:val="-4"/>
                        <w:sz w:val="20"/>
                      </w:rPr>
                      <w:t xml:space="preserve"> </w:t>
                    </w:r>
                    <w:r>
                      <w:rPr>
                        <w:sz w:val="20"/>
                      </w:rPr>
                      <w:t>useful</w:t>
                    </w:r>
                    <w:r>
                      <w:rPr>
                        <w:spacing w:val="-3"/>
                        <w:sz w:val="20"/>
                      </w:rPr>
                      <w:t xml:space="preserve"> </w:t>
                    </w:r>
                    <w:r>
                      <w:rPr>
                        <w:sz w:val="20"/>
                      </w:rPr>
                      <w:t>information</w:t>
                    </w:r>
                    <w:r>
                      <w:rPr>
                        <w:spacing w:val="-2"/>
                        <w:sz w:val="20"/>
                      </w:rPr>
                      <w:t xml:space="preserve"> </w:t>
                    </w:r>
                    <w:r>
                      <w:rPr>
                        <w:sz w:val="20"/>
                      </w:rPr>
                      <w:t>about</w:t>
                    </w:r>
                    <w:r>
                      <w:rPr>
                        <w:spacing w:val="-3"/>
                        <w:sz w:val="20"/>
                      </w:rPr>
                      <w:t xml:space="preserve"> </w:t>
                    </w:r>
                    <w:r>
                      <w:rPr>
                        <w:sz w:val="20"/>
                      </w:rPr>
                      <w:t>substance</w:t>
                    </w:r>
                    <w:r>
                      <w:rPr>
                        <w:spacing w:val="-4"/>
                        <w:sz w:val="20"/>
                      </w:rPr>
                      <w:t xml:space="preserve"> </w:t>
                    </w:r>
                    <w:r>
                      <w:rPr>
                        <w:sz w:val="20"/>
                      </w:rPr>
                      <w:t>misuse</w:t>
                    </w:r>
                    <w:r>
                      <w:rPr>
                        <w:spacing w:val="-4"/>
                        <w:sz w:val="20"/>
                      </w:rPr>
                      <w:t xml:space="preserve"> </w:t>
                    </w:r>
                    <w:r>
                      <w:rPr>
                        <w:sz w:val="20"/>
                      </w:rPr>
                      <w:t>and</w:t>
                    </w:r>
                    <w:r>
                      <w:rPr>
                        <w:spacing w:val="-2"/>
                        <w:sz w:val="20"/>
                      </w:rPr>
                      <w:t xml:space="preserve"> </w:t>
                    </w:r>
                    <w:r>
                      <w:rPr>
                        <w:sz w:val="20"/>
                      </w:rPr>
                      <w:t>its</w:t>
                    </w:r>
                    <w:r>
                      <w:rPr>
                        <w:spacing w:val="-4"/>
                        <w:sz w:val="20"/>
                      </w:rPr>
                      <w:t xml:space="preserve"> </w:t>
                    </w:r>
                    <w:r>
                      <w:rPr>
                        <w:sz w:val="20"/>
                      </w:rPr>
                      <w:t>impact</w:t>
                    </w:r>
                    <w:r>
                      <w:rPr>
                        <w:spacing w:val="-3"/>
                        <w:sz w:val="20"/>
                      </w:rPr>
                      <w:t xml:space="preserve"> </w:t>
                    </w:r>
                    <w:r>
                      <w:rPr>
                        <w:sz w:val="20"/>
                      </w:rPr>
                      <w:t>on</w:t>
                    </w:r>
                    <w:r>
                      <w:rPr>
                        <w:spacing w:val="-2"/>
                        <w:sz w:val="20"/>
                      </w:rPr>
                      <w:t xml:space="preserve"> </w:t>
                    </w:r>
                    <w:r>
                      <w:rPr>
                        <w:sz w:val="20"/>
                      </w:rPr>
                      <w:t>U.S.</w:t>
                    </w:r>
                    <w:r>
                      <w:rPr>
                        <w:spacing w:val="-3"/>
                        <w:sz w:val="20"/>
                      </w:rPr>
                      <w:t xml:space="preserve"> </w:t>
                    </w:r>
                    <w:r>
                      <w:rPr>
                        <w:sz w:val="20"/>
                      </w:rPr>
                      <w:t>public</w:t>
                    </w:r>
                    <w:r>
                      <w:rPr>
                        <w:spacing w:val="-3"/>
                        <w:sz w:val="20"/>
                      </w:rPr>
                      <w:t xml:space="preserve"> </w:t>
                    </w:r>
                    <w:r>
                      <w:rPr>
                        <w:sz w:val="20"/>
                      </w:rPr>
                      <w:t>health. The report is available online (</w:t>
                    </w:r>
                    <w:hyperlink r:id="rId17">
                      <w:r>
                        <w:rPr>
                          <w:i/>
                          <w:color w:val="0563C1"/>
                          <w:sz w:val="20"/>
                          <w:u w:val="single" w:color="0563C1"/>
                        </w:rPr>
                        <w:t>https://addiction.surgeongeneral</w:t>
                      </w:r>
                      <w:r>
                        <w:rPr>
                          <w:i/>
                          <w:color w:val="0563C1"/>
                          <w:sz w:val="20"/>
                          <w:u w:val="single" w:color="0563C1"/>
                        </w:rPr>
                        <w:t>.gov/sites/default/files/surgeon-generals-</w:t>
                      </w:r>
                    </w:hyperlink>
                    <w:r>
                      <w:rPr>
                        <w:i/>
                        <w:color w:val="0563C1"/>
                        <w:sz w:val="20"/>
                      </w:rPr>
                      <w:t xml:space="preserve"> </w:t>
                    </w:r>
                    <w:hyperlink r:id="rId18">
                      <w:r>
                        <w:rPr>
                          <w:i/>
                          <w:color w:val="0563C1"/>
                          <w:spacing w:val="-2"/>
                          <w:sz w:val="20"/>
                          <w:u w:val="single" w:color="0563C1"/>
                        </w:rPr>
                        <w:t>report.pdf</w:t>
                      </w:r>
                    </w:hyperlink>
                    <w:r>
                      <w:rPr>
                        <w:spacing w:val="-2"/>
                        <w:sz w:val="20"/>
                      </w:rPr>
                      <w:t>).</w:t>
                    </w:r>
                  </w:p>
                </w:txbxContent>
              </v:textbox>
            </v:shape>
            <w10:anchorlock/>
          </v:group>
        </w:pict>
      </w:r>
    </w:p>
    <w:p w14:paraId="283F3BC1" w14:textId="77777777" w:rsidR="00DB6E1F" w:rsidRDefault="00F666A6">
      <w:pPr>
        <w:pStyle w:val="Heading2"/>
        <w:spacing w:before="0" w:line="407" w:lineRule="exact"/>
      </w:pPr>
      <w:bookmarkStart w:id="29" w:name="Motivation_and_Behavior_Change"/>
      <w:bookmarkStart w:id="30" w:name="_bookmark6"/>
      <w:bookmarkEnd w:id="29"/>
      <w:bookmarkEnd w:id="30"/>
      <w:r>
        <w:t>Motivation</w:t>
      </w:r>
      <w:r>
        <w:rPr>
          <w:spacing w:val="-3"/>
        </w:rPr>
        <w:t xml:space="preserve"> </w:t>
      </w:r>
      <w:r>
        <w:t>and</w:t>
      </w:r>
      <w:r>
        <w:rPr>
          <w:spacing w:val="-3"/>
        </w:rPr>
        <w:t xml:space="preserve"> </w:t>
      </w:r>
      <w:r>
        <w:t>Behavior</w:t>
      </w:r>
      <w:r>
        <w:rPr>
          <w:spacing w:val="-2"/>
        </w:rPr>
        <w:t xml:space="preserve"> Change</w:t>
      </w:r>
    </w:p>
    <w:p w14:paraId="1CE42093" w14:textId="77777777" w:rsidR="00DB6E1F" w:rsidRDefault="00F666A6">
      <w:pPr>
        <w:spacing w:before="152"/>
        <w:ind w:left="1439" w:right="1444"/>
        <w:rPr>
          <w:b/>
        </w:rPr>
      </w:pPr>
      <w:r>
        <w:rPr>
          <w:b/>
        </w:rPr>
        <w:t>M</w:t>
      </w:r>
      <w:r>
        <w:rPr>
          <w:b/>
        </w:rPr>
        <w:t>otivation</w:t>
      </w:r>
      <w:r>
        <w:rPr>
          <w:b/>
          <w:spacing w:val="-3"/>
        </w:rPr>
        <w:t xml:space="preserve"> </w:t>
      </w:r>
      <w:r>
        <w:rPr>
          <w:b/>
        </w:rPr>
        <w:t>is a</w:t>
      </w:r>
      <w:r>
        <w:rPr>
          <w:b/>
          <w:spacing w:val="-3"/>
        </w:rPr>
        <w:t xml:space="preserve"> </w:t>
      </w:r>
      <w:r>
        <w:rPr>
          <w:b/>
        </w:rPr>
        <w:t>critical</w:t>
      </w:r>
      <w:r>
        <w:rPr>
          <w:b/>
          <w:spacing w:val="-1"/>
        </w:rPr>
        <w:t xml:space="preserve"> </w:t>
      </w:r>
      <w:r>
        <w:rPr>
          <w:b/>
        </w:rPr>
        <w:t>element of behavior</w:t>
      </w:r>
      <w:r>
        <w:rPr>
          <w:b/>
          <w:spacing w:val="-2"/>
        </w:rPr>
        <w:t xml:space="preserve"> </w:t>
      </w:r>
      <w:r>
        <w:rPr>
          <w:b/>
        </w:rPr>
        <w:t>change</w:t>
      </w:r>
      <w:r>
        <w:rPr>
          <w:b/>
          <w:spacing w:val="-1"/>
        </w:rPr>
        <w:t xml:space="preserve"> </w:t>
      </w:r>
      <w:r>
        <w:t>(Flannery, 2017)</w:t>
      </w:r>
      <w:r>
        <w:rPr>
          <w:spacing w:val="-2"/>
        </w:rPr>
        <w:t xml:space="preserve"> </w:t>
      </w:r>
      <w:r>
        <w:t>that predicts client</w:t>
      </w:r>
      <w:r>
        <w:rPr>
          <w:spacing w:val="-2"/>
        </w:rPr>
        <w:t xml:space="preserve"> </w:t>
      </w:r>
      <w:r>
        <w:t>abstinence and reductions in substance use (DiClemente et al., 2017). You cannot give clients motivation, but you can help them identify their reasons and need for change and facilitate planning for change. Successful SUD treatment</w:t>
      </w:r>
      <w:r>
        <w:rPr>
          <w:spacing w:val="-4"/>
        </w:rPr>
        <w:t xml:space="preserve"> </w:t>
      </w:r>
      <w:r>
        <w:t>approaches</w:t>
      </w:r>
      <w:r>
        <w:rPr>
          <w:spacing w:val="-2"/>
        </w:rPr>
        <w:t xml:space="preserve"> </w:t>
      </w:r>
      <w:r>
        <w:rPr>
          <w:b/>
        </w:rPr>
        <w:t>acknowledge</w:t>
      </w:r>
      <w:r>
        <w:rPr>
          <w:b/>
          <w:spacing w:val="-3"/>
        </w:rPr>
        <w:t xml:space="preserve"> </w:t>
      </w:r>
      <w:r>
        <w:rPr>
          <w:b/>
        </w:rPr>
        <w:t>m</w:t>
      </w:r>
      <w:r>
        <w:rPr>
          <w:b/>
        </w:rPr>
        <w:t>otivation</w:t>
      </w:r>
      <w:r>
        <w:rPr>
          <w:b/>
          <w:spacing w:val="-3"/>
        </w:rPr>
        <w:t xml:space="preserve"> </w:t>
      </w:r>
      <w:r>
        <w:rPr>
          <w:b/>
        </w:rPr>
        <w:t>as</w:t>
      </w:r>
      <w:r>
        <w:rPr>
          <w:b/>
          <w:spacing w:val="-2"/>
        </w:rPr>
        <w:t xml:space="preserve"> </w:t>
      </w:r>
      <w:r>
        <w:rPr>
          <w:b/>
        </w:rPr>
        <w:t>a</w:t>
      </w:r>
      <w:r>
        <w:rPr>
          <w:b/>
          <w:spacing w:val="-5"/>
        </w:rPr>
        <w:t xml:space="preserve"> </w:t>
      </w:r>
      <w:r>
        <w:rPr>
          <w:b/>
        </w:rPr>
        <w:t>multidimensional,</w:t>
      </w:r>
      <w:r>
        <w:rPr>
          <w:b/>
          <w:spacing w:val="-2"/>
        </w:rPr>
        <w:t xml:space="preserve"> </w:t>
      </w:r>
      <w:r>
        <w:rPr>
          <w:b/>
        </w:rPr>
        <w:t>fluid</w:t>
      </w:r>
      <w:r>
        <w:rPr>
          <w:b/>
          <w:spacing w:val="-3"/>
        </w:rPr>
        <w:t xml:space="preserve"> </w:t>
      </w:r>
      <w:r>
        <w:rPr>
          <w:b/>
        </w:rPr>
        <w:t>state</w:t>
      </w:r>
      <w:r>
        <w:rPr>
          <w:b/>
          <w:spacing w:val="-3"/>
        </w:rPr>
        <w:t xml:space="preserve"> </w:t>
      </w:r>
      <w:r>
        <w:rPr>
          <w:b/>
        </w:rPr>
        <w:t>during</w:t>
      </w:r>
      <w:r>
        <w:rPr>
          <w:b/>
          <w:spacing w:val="-3"/>
        </w:rPr>
        <w:t xml:space="preserve"> </w:t>
      </w:r>
      <w:r>
        <w:rPr>
          <w:b/>
        </w:rPr>
        <w:t>which</w:t>
      </w:r>
      <w:r>
        <w:rPr>
          <w:b/>
          <w:spacing w:val="-3"/>
        </w:rPr>
        <w:t xml:space="preserve"> </w:t>
      </w:r>
      <w:r>
        <w:rPr>
          <w:b/>
        </w:rPr>
        <w:t>people make difficult changes to health-risk behaviors, like substance misuse.</w:t>
      </w:r>
    </w:p>
    <w:p w14:paraId="76C2697C" w14:textId="77777777" w:rsidR="00DB6E1F" w:rsidRDefault="00F666A6">
      <w:pPr>
        <w:pStyle w:val="Heading3"/>
      </w:pPr>
      <w:bookmarkStart w:id="31" w:name="The_Nature_of_Motivation"/>
      <w:bookmarkEnd w:id="31"/>
      <w:r>
        <w:t>The</w:t>
      </w:r>
      <w:r>
        <w:rPr>
          <w:spacing w:val="-6"/>
        </w:rPr>
        <w:t xml:space="preserve"> </w:t>
      </w:r>
      <w:r>
        <w:t>Nature</w:t>
      </w:r>
      <w:r>
        <w:rPr>
          <w:spacing w:val="-6"/>
        </w:rPr>
        <w:t xml:space="preserve"> </w:t>
      </w:r>
      <w:r>
        <w:t>of</w:t>
      </w:r>
      <w:r>
        <w:rPr>
          <w:spacing w:val="-3"/>
        </w:rPr>
        <w:t xml:space="preserve"> </w:t>
      </w:r>
      <w:r>
        <w:rPr>
          <w:spacing w:val="-2"/>
        </w:rPr>
        <w:t>Motivation</w:t>
      </w:r>
    </w:p>
    <w:p w14:paraId="1B55C232" w14:textId="77777777" w:rsidR="00DB6E1F" w:rsidRDefault="00F666A6">
      <w:pPr>
        <w:pStyle w:val="BodyText"/>
        <w:spacing w:before="143"/>
        <w:ind w:left="1440"/>
      </w:pPr>
      <w:r>
        <w:t>The</w:t>
      </w:r>
      <w:r>
        <w:rPr>
          <w:spacing w:val="-6"/>
        </w:rPr>
        <w:t xml:space="preserve"> </w:t>
      </w:r>
      <w:r>
        <w:t>following</w:t>
      </w:r>
      <w:r>
        <w:rPr>
          <w:spacing w:val="-5"/>
        </w:rPr>
        <w:t xml:space="preserve"> </w:t>
      </w:r>
      <w:r>
        <w:t>factors</w:t>
      </w:r>
      <w:r>
        <w:rPr>
          <w:spacing w:val="-5"/>
        </w:rPr>
        <w:t xml:space="preserve"> </w:t>
      </w:r>
      <w:r>
        <w:t>define</w:t>
      </w:r>
      <w:r>
        <w:rPr>
          <w:spacing w:val="-4"/>
        </w:rPr>
        <w:t xml:space="preserve"> </w:t>
      </w:r>
      <w:r>
        <w:t>motivation</w:t>
      </w:r>
      <w:r>
        <w:rPr>
          <w:spacing w:val="-5"/>
        </w:rPr>
        <w:t xml:space="preserve"> </w:t>
      </w:r>
      <w:r>
        <w:t>and</w:t>
      </w:r>
      <w:r>
        <w:rPr>
          <w:spacing w:val="-5"/>
        </w:rPr>
        <w:t xml:space="preserve"> </w:t>
      </w:r>
      <w:r>
        <w:t>its</w:t>
      </w:r>
      <w:r>
        <w:rPr>
          <w:spacing w:val="-7"/>
        </w:rPr>
        <w:t xml:space="preserve"> </w:t>
      </w:r>
      <w:r>
        <w:t>ability</w:t>
      </w:r>
      <w:r>
        <w:rPr>
          <w:spacing w:val="-8"/>
        </w:rPr>
        <w:t xml:space="preserve"> </w:t>
      </w:r>
      <w:r>
        <w:t>to</w:t>
      </w:r>
      <w:r>
        <w:rPr>
          <w:spacing w:val="-3"/>
        </w:rPr>
        <w:t xml:space="preserve"> </w:t>
      </w:r>
      <w:r>
        <w:t>help</w:t>
      </w:r>
      <w:r>
        <w:rPr>
          <w:spacing w:val="-8"/>
        </w:rPr>
        <w:t xml:space="preserve"> </w:t>
      </w:r>
      <w:r>
        <w:t>people</w:t>
      </w:r>
      <w:r>
        <w:rPr>
          <w:spacing w:val="-3"/>
        </w:rPr>
        <w:t xml:space="preserve"> </w:t>
      </w:r>
      <w:r>
        <w:t>change</w:t>
      </w:r>
      <w:r>
        <w:rPr>
          <w:spacing w:val="-4"/>
        </w:rPr>
        <w:t xml:space="preserve"> </w:t>
      </w:r>
      <w:r>
        <w:t>health-risk</w:t>
      </w:r>
      <w:r>
        <w:rPr>
          <w:spacing w:val="-3"/>
        </w:rPr>
        <w:t xml:space="preserve"> </w:t>
      </w:r>
      <w:r>
        <w:rPr>
          <w:spacing w:val="-2"/>
        </w:rPr>
        <w:t>beha</w:t>
      </w:r>
      <w:r>
        <w:rPr>
          <w:spacing w:val="-2"/>
        </w:rPr>
        <w:t>viors.</w:t>
      </w:r>
    </w:p>
    <w:p w14:paraId="4407AD4A" w14:textId="77777777" w:rsidR="00DB6E1F" w:rsidRDefault="00F666A6">
      <w:pPr>
        <w:pStyle w:val="ListParagraph"/>
        <w:numPr>
          <w:ilvl w:val="0"/>
          <w:numId w:val="92"/>
        </w:numPr>
        <w:tabs>
          <w:tab w:val="left" w:pos="1800"/>
          <w:tab w:val="left" w:pos="1801"/>
        </w:tabs>
        <w:spacing w:before="61"/>
        <w:ind w:left="1799" w:right="1531" w:hanging="360"/>
        <w:rPr>
          <w:rFonts w:ascii="Symbol" w:hAnsi="Symbol"/>
        </w:rPr>
      </w:pPr>
      <w:r>
        <w:rPr>
          <w:b/>
        </w:rPr>
        <w:t xml:space="preserve">Motivation is a key to substance use behavior change. </w:t>
      </w:r>
      <w:r>
        <w:t>Change, like motivation, is a complex construct with evolving</w:t>
      </w:r>
      <w:r>
        <w:rPr>
          <w:spacing w:val="-1"/>
        </w:rPr>
        <w:t xml:space="preserve"> </w:t>
      </w:r>
      <w:r>
        <w:t>meanings. One framework for</w:t>
      </w:r>
      <w:r>
        <w:rPr>
          <w:spacing w:val="-3"/>
        </w:rPr>
        <w:t xml:space="preserve"> </w:t>
      </w:r>
      <w:r>
        <w:t>understanding motivation</w:t>
      </w:r>
      <w:r>
        <w:rPr>
          <w:spacing w:val="-1"/>
        </w:rPr>
        <w:t xml:space="preserve"> </w:t>
      </w:r>
      <w:r>
        <w:t>and how it relates to behavior changes is the self-determination theory (SDT). SDT suggests that people inherently want</w:t>
      </w:r>
      <w:r>
        <w:rPr>
          <w:spacing w:val="-2"/>
        </w:rPr>
        <w:t xml:space="preserve"> </w:t>
      </w:r>
      <w:r>
        <w:t>to</w:t>
      </w:r>
      <w:r>
        <w:rPr>
          <w:spacing w:val="-4"/>
        </w:rPr>
        <w:t xml:space="preserve"> </w:t>
      </w:r>
      <w:r>
        <w:t>engage</w:t>
      </w:r>
      <w:r>
        <w:rPr>
          <w:spacing w:val="-2"/>
        </w:rPr>
        <w:t xml:space="preserve"> </w:t>
      </w:r>
      <w:r>
        <w:t>in</w:t>
      </w:r>
      <w:r>
        <w:rPr>
          <w:spacing w:val="-4"/>
        </w:rPr>
        <w:t xml:space="preserve"> </w:t>
      </w:r>
      <w:r>
        <w:t>activities</w:t>
      </w:r>
      <w:r>
        <w:rPr>
          <w:spacing w:val="-5"/>
        </w:rPr>
        <w:t xml:space="preserve"> </w:t>
      </w:r>
      <w:r>
        <w:t>that</w:t>
      </w:r>
      <w:r>
        <w:rPr>
          <w:spacing w:val="-5"/>
        </w:rPr>
        <w:t xml:space="preserve"> </w:t>
      </w:r>
      <w:r>
        <w:t>meet</w:t>
      </w:r>
      <w:r>
        <w:rPr>
          <w:spacing w:val="-2"/>
        </w:rPr>
        <w:t xml:space="preserve"> </w:t>
      </w:r>
      <w:r>
        <w:t>their</w:t>
      </w:r>
      <w:r>
        <w:rPr>
          <w:spacing w:val="-3"/>
        </w:rPr>
        <w:t xml:space="preserve"> </w:t>
      </w:r>
      <w:r>
        <w:t>need</w:t>
      </w:r>
      <w:r>
        <w:rPr>
          <w:spacing w:val="-4"/>
        </w:rPr>
        <w:t xml:space="preserve"> </w:t>
      </w:r>
      <w:r>
        <w:t>for</w:t>
      </w:r>
      <w:r>
        <w:rPr>
          <w:spacing w:val="-5"/>
        </w:rPr>
        <w:t xml:space="preserve"> </w:t>
      </w:r>
      <w:r>
        <w:t>autonomy,</w:t>
      </w:r>
      <w:r>
        <w:rPr>
          <w:spacing w:val="-3"/>
        </w:rPr>
        <w:t xml:space="preserve"> </w:t>
      </w:r>
      <w:r>
        <w:t>competency</w:t>
      </w:r>
      <w:r>
        <w:rPr>
          <w:spacing w:val="-4"/>
        </w:rPr>
        <w:t xml:space="preserve"> </w:t>
      </w:r>
      <w:r>
        <w:t>(i.e.,</w:t>
      </w:r>
      <w:r>
        <w:rPr>
          <w:spacing w:val="-3"/>
        </w:rPr>
        <w:t xml:space="preserve"> </w:t>
      </w:r>
      <w:r>
        <w:t>self-efficacy),</w:t>
      </w:r>
      <w:r>
        <w:rPr>
          <w:spacing w:val="-3"/>
        </w:rPr>
        <w:t xml:space="preserve"> </w:t>
      </w:r>
      <w:r>
        <w:t>and relatedness (i.e., having close persona</w:t>
      </w:r>
      <w:r>
        <w:t>l relationships) (Deci &amp; Ryan, 2012; Flannery, 2017). SDT describes two kinds of motivation:</w:t>
      </w:r>
    </w:p>
    <w:p w14:paraId="758FC167" w14:textId="77777777" w:rsidR="00DB6E1F" w:rsidRDefault="00F666A6">
      <w:pPr>
        <w:pStyle w:val="ListParagraph"/>
        <w:numPr>
          <w:ilvl w:val="1"/>
          <w:numId w:val="92"/>
        </w:numPr>
        <w:tabs>
          <w:tab w:val="left" w:pos="2158"/>
          <w:tab w:val="left" w:pos="2159"/>
        </w:tabs>
        <w:spacing w:before="59"/>
        <w:ind w:left="2158"/>
      </w:pPr>
      <w:r>
        <w:t>Intrinsic</w:t>
      </w:r>
      <w:r>
        <w:rPr>
          <w:spacing w:val="-8"/>
        </w:rPr>
        <w:t xml:space="preserve"> </w:t>
      </w:r>
      <w:r>
        <w:t>motivation</w:t>
      </w:r>
      <w:r>
        <w:rPr>
          <w:spacing w:val="-6"/>
        </w:rPr>
        <w:t xml:space="preserve"> </w:t>
      </w:r>
      <w:r>
        <w:t>(e.g.,</w:t>
      </w:r>
      <w:r>
        <w:rPr>
          <w:spacing w:val="-5"/>
        </w:rPr>
        <w:t xml:space="preserve"> </w:t>
      </w:r>
      <w:r>
        <w:t>desires,</w:t>
      </w:r>
      <w:r>
        <w:rPr>
          <w:spacing w:val="-5"/>
        </w:rPr>
        <w:t xml:space="preserve"> </w:t>
      </w:r>
      <w:r>
        <w:t>needs,</w:t>
      </w:r>
      <w:r>
        <w:rPr>
          <w:spacing w:val="-7"/>
        </w:rPr>
        <w:t xml:space="preserve"> </w:t>
      </w:r>
      <w:r>
        <w:t>values,</w:t>
      </w:r>
      <w:r>
        <w:rPr>
          <w:spacing w:val="-5"/>
        </w:rPr>
        <w:t xml:space="preserve"> </w:t>
      </w:r>
      <w:r>
        <w:rPr>
          <w:spacing w:val="-2"/>
        </w:rPr>
        <w:t>goals)</w:t>
      </w:r>
    </w:p>
    <w:p w14:paraId="26FB7E3C" w14:textId="77777777" w:rsidR="00DB6E1F" w:rsidRDefault="00F666A6">
      <w:pPr>
        <w:pStyle w:val="ListParagraph"/>
        <w:numPr>
          <w:ilvl w:val="1"/>
          <w:numId w:val="92"/>
        </w:numPr>
        <w:tabs>
          <w:tab w:val="left" w:pos="2158"/>
          <w:tab w:val="left" w:pos="2159"/>
        </w:tabs>
        <w:ind w:left="2158" w:hanging="361"/>
      </w:pPr>
      <w:r>
        <w:t>Extrinsic</w:t>
      </w:r>
      <w:r>
        <w:rPr>
          <w:spacing w:val="-10"/>
        </w:rPr>
        <w:t xml:space="preserve"> </w:t>
      </w:r>
      <w:r>
        <w:t>motivation</w:t>
      </w:r>
      <w:r>
        <w:rPr>
          <w:spacing w:val="-6"/>
        </w:rPr>
        <w:t xml:space="preserve"> </w:t>
      </w:r>
      <w:r>
        <w:t>(e.g.,</w:t>
      </w:r>
      <w:r>
        <w:rPr>
          <w:spacing w:val="-6"/>
        </w:rPr>
        <w:t xml:space="preserve"> </w:t>
      </w:r>
      <w:r>
        <w:t>social</w:t>
      </w:r>
      <w:r>
        <w:rPr>
          <w:spacing w:val="-5"/>
        </w:rPr>
        <w:t xml:space="preserve"> </w:t>
      </w:r>
      <w:r>
        <w:t>influences,</w:t>
      </w:r>
      <w:r>
        <w:rPr>
          <w:spacing w:val="-7"/>
        </w:rPr>
        <w:t xml:space="preserve"> </w:t>
      </w:r>
      <w:r>
        <w:t>external</w:t>
      </w:r>
      <w:r>
        <w:rPr>
          <w:spacing w:val="-6"/>
        </w:rPr>
        <w:t xml:space="preserve"> </w:t>
      </w:r>
      <w:r>
        <w:t>rewards,</w:t>
      </w:r>
      <w:r>
        <w:rPr>
          <w:spacing w:val="-5"/>
        </w:rPr>
        <w:t xml:space="preserve"> </w:t>
      </w:r>
      <w:r>
        <w:rPr>
          <w:spacing w:val="-2"/>
        </w:rPr>
        <w:t>consequences)</w:t>
      </w:r>
    </w:p>
    <w:p w14:paraId="19269A57" w14:textId="77777777" w:rsidR="00DB6E1F" w:rsidRDefault="00DB6E1F">
      <w:pPr>
        <w:sectPr w:rsidR="00DB6E1F">
          <w:pgSz w:w="12240" w:h="15840"/>
          <w:pgMar w:top="1200" w:right="0" w:bottom="780" w:left="0" w:header="763" w:footer="585" w:gutter="0"/>
          <w:cols w:space="720"/>
        </w:sectPr>
      </w:pPr>
    </w:p>
    <w:p w14:paraId="78FBCD93" w14:textId="77777777" w:rsidR="00DB6E1F" w:rsidRDefault="00DB6E1F">
      <w:pPr>
        <w:pStyle w:val="BodyText"/>
        <w:rPr>
          <w:sz w:val="11"/>
        </w:rPr>
      </w:pPr>
    </w:p>
    <w:p w14:paraId="6F0A75AA" w14:textId="77777777" w:rsidR="00DB6E1F" w:rsidRDefault="00F666A6">
      <w:pPr>
        <w:pStyle w:val="ListParagraph"/>
        <w:numPr>
          <w:ilvl w:val="0"/>
          <w:numId w:val="92"/>
        </w:numPr>
        <w:tabs>
          <w:tab w:val="left" w:pos="1800"/>
          <w:tab w:val="left" w:pos="1801"/>
        </w:tabs>
        <w:spacing w:before="101"/>
        <w:ind w:left="1800" w:right="1617" w:hanging="360"/>
        <w:rPr>
          <w:rFonts w:ascii="Symbol" w:hAnsi="Symbol"/>
        </w:rPr>
      </w:pPr>
      <w:r>
        <w:rPr>
          <w:b/>
        </w:rPr>
        <w:t xml:space="preserve">MI is a counseling approach that is consistent with SDT and emphasizes enhancing internal motivation to change. </w:t>
      </w:r>
      <w:r>
        <w:t>In the SDT framework, providing a supportive relational context that promotes</w:t>
      </w:r>
      <w:r>
        <w:rPr>
          <w:spacing w:val="-3"/>
        </w:rPr>
        <w:t xml:space="preserve"> </w:t>
      </w:r>
      <w:r>
        <w:t>client</w:t>
      </w:r>
      <w:r>
        <w:rPr>
          <w:spacing w:val="-3"/>
        </w:rPr>
        <w:t xml:space="preserve"> </w:t>
      </w:r>
      <w:r>
        <w:t>autonomy</w:t>
      </w:r>
      <w:r>
        <w:rPr>
          <w:spacing w:val="-4"/>
        </w:rPr>
        <w:t xml:space="preserve"> </w:t>
      </w:r>
      <w:r>
        <w:t>and</w:t>
      </w:r>
      <w:r>
        <w:rPr>
          <w:spacing w:val="-4"/>
        </w:rPr>
        <w:t xml:space="preserve"> </w:t>
      </w:r>
      <w:r>
        <w:t>competence</w:t>
      </w:r>
      <w:r>
        <w:rPr>
          <w:spacing w:val="-4"/>
        </w:rPr>
        <w:t xml:space="preserve"> </w:t>
      </w:r>
      <w:r>
        <w:t>enhances</w:t>
      </w:r>
      <w:r>
        <w:rPr>
          <w:spacing w:val="-6"/>
        </w:rPr>
        <w:t xml:space="preserve"> </w:t>
      </w:r>
      <w:r>
        <w:t>intrinsic</w:t>
      </w:r>
      <w:r>
        <w:rPr>
          <w:spacing w:val="-3"/>
        </w:rPr>
        <w:t xml:space="preserve"> </w:t>
      </w:r>
      <w:r>
        <w:t>motivation,</w:t>
      </w:r>
      <w:r>
        <w:rPr>
          <w:spacing w:val="-3"/>
        </w:rPr>
        <w:t xml:space="preserve"> </w:t>
      </w:r>
      <w:r>
        <w:t>helps</w:t>
      </w:r>
      <w:r>
        <w:rPr>
          <w:spacing w:val="-5"/>
        </w:rPr>
        <w:t xml:space="preserve"> </w:t>
      </w:r>
      <w:r>
        <w:t>clients</w:t>
      </w:r>
      <w:r>
        <w:rPr>
          <w:spacing w:val="-3"/>
        </w:rPr>
        <w:t xml:space="preserve"> </w:t>
      </w:r>
      <w:r>
        <w:t>internalize extrinsic motivational rewards, and supports behavior change (Flannery, 2017; Kwasnicka, Dombrowski, White, &amp; Sniehotta, 2016; Moyers, 2014).</w:t>
      </w:r>
    </w:p>
    <w:p w14:paraId="7F50DEEF" w14:textId="77777777" w:rsidR="00DB6E1F" w:rsidRDefault="00F666A6">
      <w:pPr>
        <w:pStyle w:val="ListParagraph"/>
        <w:numPr>
          <w:ilvl w:val="0"/>
          <w:numId w:val="92"/>
        </w:numPr>
        <w:tabs>
          <w:tab w:val="left" w:pos="1800"/>
          <w:tab w:val="left" w:pos="1801"/>
        </w:tabs>
        <w:spacing w:before="59"/>
        <w:ind w:left="1800" w:right="1630"/>
        <w:rPr>
          <w:rFonts w:ascii="Symbol" w:hAnsi="Symbol"/>
        </w:rPr>
      </w:pPr>
      <w:r>
        <w:rPr>
          <w:b/>
        </w:rPr>
        <w:t>Contingency</w:t>
      </w:r>
      <w:r>
        <w:rPr>
          <w:b/>
          <w:spacing w:val="-4"/>
        </w:rPr>
        <w:t xml:space="preserve"> </w:t>
      </w:r>
      <w:r>
        <w:rPr>
          <w:b/>
        </w:rPr>
        <w:t>management</w:t>
      </w:r>
      <w:r>
        <w:rPr>
          <w:b/>
          <w:spacing w:val="-5"/>
        </w:rPr>
        <w:t xml:space="preserve"> </w:t>
      </w:r>
      <w:r>
        <w:rPr>
          <w:b/>
        </w:rPr>
        <w:t>is</w:t>
      </w:r>
      <w:r>
        <w:rPr>
          <w:b/>
          <w:spacing w:val="-2"/>
        </w:rPr>
        <w:t xml:space="preserve"> </w:t>
      </w:r>
      <w:r>
        <w:rPr>
          <w:b/>
        </w:rPr>
        <w:t>a</w:t>
      </w:r>
      <w:r>
        <w:rPr>
          <w:b/>
          <w:spacing w:val="-6"/>
        </w:rPr>
        <w:t xml:space="preserve"> </w:t>
      </w:r>
      <w:r>
        <w:rPr>
          <w:b/>
        </w:rPr>
        <w:t>counseling</w:t>
      </w:r>
      <w:r>
        <w:rPr>
          <w:b/>
          <w:spacing w:val="-2"/>
        </w:rPr>
        <w:t xml:space="preserve"> </w:t>
      </w:r>
      <w:r>
        <w:rPr>
          <w:b/>
        </w:rPr>
        <w:t>strategy</w:t>
      </w:r>
      <w:r>
        <w:rPr>
          <w:b/>
          <w:spacing w:val="-4"/>
        </w:rPr>
        <w:t xml:space="preserve"> </w:t>
      </w:r>
      <w:r>
        <w:rPr>
          <w:b/>
        </w:rPr>
        <w:t>that</w:t>
      </w:r>
      <w:r>
        <w:rPr>
          <w:b/>
          <w:spacing w:val="-3"/>
        </w:rPr>
        <w:t xml:space="preserve"> </w:t>
      </w:r>
      <w:r>
        <w:rPr>
          <w:b/>
        </w:rPr>
        <w:t>can</w:t>
      </w:r>
      <w:r>
        <w:rPr>
          <w:b/>
          <w:spacing w:val="-4"/>
        </w:rPr>
        <w:t xml:space="preserve"> </w:t>
      </w:r>
      <w:r>
        <w:rPr>
          <w:b/>
        </w:rPr>
        <w:t>reinforce</w:t>
      </w:r>
      <w:r>
        <w:rPr>
          <w:b/>
          <w:spacing w:val="-4"/>
        </w:rPr>
        <w:t xml:space="preserve"> </w:t>
      </w:r>
      <w:r>
        <w:rPr>
          <w:b/>
        </w:rPr>
        <w:t>extrinsic</w:t>
      </w:r>
      <w:r>
        <w:rPr>
          <w:b/>
          <w:spacing w:val="-6"/>
        </w:rPr>
        <w:t xml:space="preserve"> </w:t>
      </w:r>
      <w:r>
        <w:rPr>
          <w:b/>
        </w:rPr>
        <w:t xml:space="preserve">motivation. </w:t>
      </w:r>
      <w:r>
        <w:t>It</w:t>
      </w:r>
      <w:r>
        <w:rPr>
          <w:spacing w:val="-5"/>
        </w:rPr>
        <w:t xml:space="preserve"> </w:t>
      </w:r>
      <w:r>
        <w:t>uses external motivators or reinforcers (e.g., expectation of a reward or negative consequence) to enhance behavior change (Sayegh, Huey, Zara, &amp; Jhaveri, 2017).</w:t>
      </w:r>
    </w:p>
    <w:p w14:paraId="5C85717B" w14:textId="77777777" w:rsidR="00DB6E1F" w:rsidRDefault="00F666A6">
      <w:pPr>
        <w:pStyle w:val="ListParagraph"/>
        <w:numPr>
          <w:ilvl w:val="0"/>
          <w:numId w:val="92"/>
        </w:numPr>
        <w:tabs>
          <w:tab w:val="left" w:pos="1800"/>
          <w:tab w:val="left" w:pos="1801"/>
        </w:tabs>
        <w:ind w:left="1799" w:right="1560" w:hanging="360"/>
        <w:rPr>
          <w:rFonts w:ascii="Symbol" w:hAnsi="Symbol"/>
        </w:rPr>
      </w:pPr>
      <w:r>
        <w:rPr>
          <w:b/>
        </w:rPr>
        <w:t>Motivation helps people resolve their ambivalence about making difficult lifes</w:t>
      </w:r>
      <w:r>
        <w:rPr>
          <w:b/>
        </w:rPr>
        <w:t xml:space="preserve">tyle changes. </w:t>
      </w:r>
      <w:r>
        <w:t>Helping clients strengthen their own motivation increases the likelihood that they will commit to a specific</w:t>
      </w:r>
      <w:r>
        <w:rPr>
          <w:spacing w:val="-2"/>
        </w:rPr>
        <w:t xml:space="preserve"> </w:t>
      </w:r>
      <w:r>
        <w:t>behavioral</w:t>
      </w:r>
      <w:r>
        <w:rPr>
          <w:spacing w:val="-2"/>
        </w:rPr>
        <w:t xml:space="preserve"> </w:t>
      </w:r>
      <w:r>
        <w:t>change</w:t>
      </w:r>
      <w:r>
        <w:rPr>
          <w:spacing w:val="-4"/>
        </w:rPr>
        <w:t xml:space="preserve"> </w:t>
      </w:r>
      <w:r>
        <w:t>plan</w:t>
      </w:r>
      <w:r>
        <w:rPr>
          <w:spacing w:val="-2"/>
        </w:rPr>
        <w:t xml:space="preserve"> </w:t>
      </w:r>
      <w:r>
        <w:t>(Miller</w:t>
      </w:r>
      <w:r>
        <w:rPr>
          <w:spacing w:val="-4"/>
        </w:rPr>
        <w:t xml:space="preserve"> </w:t>
      </w:r>
      <w:r>
        <w:t>&amp;</w:t>
      </w:r>
      <w:r>
        <w:rPr>
          <w:spacing w:val="-1"/>
        </w:rPr>
        <w:t xml:space="preserve"> </w:t>
      </w:r>
      <w:r>
        <w:t>Rollnick,</w:t>
      </w:r>
      <w:r>
        <w:rPr>
          <w:spacing w:val="-4"/>
        </w:rPr>
        <w:t xml:space="preserve"> </w:t>
      </w:r>
      <w:r>
        <w:t>2013).</w:t>
      </w:r>
      <w:r>
        <w:rPr>
          <w:spacing w:val="-3"/>
        </w:rPr>
        <w:t xml:space="preserve"> </w:t>
      </w:r>
      <w:r>
        <w:t>Research</w:t>
      </w:r>
      <w:r>
        <w:rPr>
          <w:spacing w:val="-5"/>
        </w:rPr>
        <w:t xml:space="preserve"> </w:t>
      </w:r>
      <w:r>
        <w:t>supports</w:t>
      </w:r>
      <w:r>
        <w:rPr>
          <w:spacing w:val="-4"/>
        </w:rPr>
        <w:t xml:space="preserve"> </w:t>
      </w:r>
      <w:r>
        <w:t>the</w:t>
      </w:r>
      <w:r>
        <w:rPr>
          <w:spacing w:val="-1"/>
        </w:rPr>
        <w:t xml:space="preserve"> </w:t>
      </w:r>
      <w:r>
        <w:t>importance</w:t>
      </w:r>
      <w:r>
        <w:rPr>
          <w:spacing w:val="-4"/>
        </w:rPr>
        <w:t xml:space="preserve"> </w:t>
      </w:r>
      <w:r>
        <w:t>of</w:t>
      </w:r>
      <w:r>
        <w:rPr>
          <w:spacing w:val="-1"/>
        </w:rPr>
        <w:t xml:space="preserve"> </w:t>
      </w:r>
      <w:r>
        <w:t>SDT- based client motivation in positive addiction treatment outcomes (Wild, Yuan, Rush, &amp; Urbanoski, 2016).</w:t>
      </w:r>
      <w:r>
        <w:rPr>
          <w:spacing w:val="-4"/>
        </w:rPr>
        <w:t xml:space="preserve"> </w:t>
      </w:r>
      <w:r>
        <w:t>Motivation</w:t>
      </w:r>
      <w:r>
        <w:rPr>
          <w:spacing w:val="-2"/>
        </w:rPr>
        <w:t xml:space="preserve"> </w:t>
      </w:r>
      <w:r>
        <w:t>and</w:t>
      </w:r>
      <w:r>
        <w:rPr>
          <w:spacing w:val="-2"/>
        </w:rPr>
        <w:t xml:space="preserve"> </w:t>
      </w:r>
      <w:r>
        <w:t>readiness</w:t>
      </w:r>
      <w:r>
        <w:rPr>
          <w:spacing w:val="-1"/>
        </w:rPr>
        <w:t xml:space="preserve"> </w:t>
      </w:r>
      <w:r>
        <w:t>to change</w:t>
      </w:r>
      <w:r>
        <w:rPr>
          <w:spacing w:val="-3"/>
        </w:rPr>
        <w:t xml:space="preserve"> </w:t>
      </w:r>
      <w:r>
        <w:t>are</w:t>
      </w:r>
      <w:r>
        <w:rPr>
          <w:spacing w:val="-3"/>
        </w:rPr>
        <w:t xml:space="preserve"> </w:t>
      </w:r>
      <w:r>
        <w:t>consistently associated</w:t>
      </w:r>
      <w:r>
        <w:rPr>
          <w:spacing w:val="-4"/>
        </w:rPr>
        <w:t xml:space="preserve"> </w:t>
      </w:r>
      <w:r>
        <w:t>with</w:t>
      </w:r>
      <w:r>
        <w:rPr>
          <w:spacing w:val="-2"/>
        </w:rPr>
        <w:t xml:space="preserve"> </w:t>
      </w:r>
      <w:r>
        <w:t>increased</w:t>
      </w:r>
      <w:r>
        <w:rPr>
          <w:spacing w:val="-2"/>
        </w:rPr>
        <w:t xml:space="preserve"> </w:t>
      </w:r>
      <w:r>
        <w:t>help</w:t>
      </w:r>
      <w:r>
        <w:rPr>
          <w:spacing w:val="-1"/>
        </w:rPr>
        <w:t xml:space="preserve"> </w:t>
      </w:r>
      <w:r>
        <w:t>seeking, treatment adherence and completion, and positive SUD tr</w:t>
      </w:r>
      <w:r>
        <w:t xml:space="preserve">eatment outcomes (Miller &amp; Moyers, </w:t>
      </w:r>
      <w:r>
        <w:rPr>
          <w:spacing w:val="-2"/>
        </w:rPr>
        <w:t>2015).</w:t>
      </w:r>
    </w:p>
    <w:p w14:paraId="065F62DD" w14:textId="77777777" w:rsidR="00DB6E1F" w:rsidRDefault="00F666A6">
      <w:pPr>
        <w:pStyle w:val="ListParagraph"/>
        <w:numPr>
          <w:ilvl w:val="0"/>
          <w:numId w:val="92"/>
        </w:numPr>
        <w:tabs>
          <w:tab w:val="left" w:pos="1798"/>
          <w:tab w:val="left" w:pos="1800"/>
        </w:tabs>
        <w:ind w:left="1798" w:right="1644" w:hanging="360"/>
        <w:rPr>
          <w:rFonts w:ascii="Symbol" w:hAnsi="Symbol"/>
        </w:rPr>
      </w:pPr>
      <w:r>
        <w:rPr>
          <w:b/>
        </w:rPr>
        <w:t>Motivation</w:t>
      </w:r>
      <w:r>
        <w:rPr>
          <w:b/>
          <w:spacing w:val="-5"/>
        </w:rPr>
        <w:t xml:space="preserve"> </w:t>
      </w:r>
      <w:r>
        <w:rPr>
          <w:b/>
        </w:rPr>
        <w:t>is</w:t>
      </w:r>
      <w:r>
        <w:rPr>
          <w:b/>
          <w:spacing w:val="-4"/>
        </w:rPr>
        <w:t xml:space="preserve"> </w:t>
      </w:r>
      <w:r>
        <w:rPr>
          <w:b/>
        </w:rPr>
        <w:t>multidimensional.</w:t>
      </w:r>
      <w:r>
        <w:rPr>
          <w:b/>
          <w:spacing w:val="-3"/>
        </w:rPr>
        <w:t xml:space="preserve"> </w:t>
      </w:r>
      <w:r>
        <w:t>Motivation</w:t>
      </w:r>
      <w:r>
        <w:rPr>
          <w:spacing w:val="-3"/>
        </w:rPr>
        <w:t xml:space="preserve"> </w:t>
      </w:r>
      <w:r>
        <w:t>includes</w:t>
      </w:r>
      <w:r>
        <w:rPr>
          <w:spacing w:val="-7"/>
        </w:rPr>
        <w:t xml:space="preserve"> </w:t>
      </w:r>
      <w:r>
        <w:t>clients’</w:t>
      </w:r>
      <w:r>
        <w:rPr>
          <w:spacing w:val="-2"/>
        </w:rPr>
        <w:t xml:space="preserve"> </w:t>
      </w:r>
      <w:r>
        <w:t>internal</w:t>
      </w:r>
      <w:r>
        <w:rPr>
          <w:spacing w:val="-2"/>
        </w:rPr>
        <w:t xml:space="preserve"> </w:t>
      </w:r>
      <w:r>
        <w:t>desires,</w:t>
      </w:r>
      <w:r>
        <w:rPr>
          <w:spacing w:val="-2"/>
        </w:rPr>
        <w:t xml:space="preserve"> </w:t>
      </w:r>
      <w:r>
        <w:t>needs,</w:t>
      </w:r>
      <w:r>
        <w:rPr>
          <w:spacing w:val="-2"/>
        </w:rPr>
        <w:t xml:space="preserve"> </w:t>
      </w:r>
      <w:r>
        <w:t>and</w:t>
      </w:r>
      <w:r>
        <w:rPr>
          <w:spacing w:val="-3"/>
        </w:rPr>
        <w:t xml:space="preserve"> </w:t>
      </w:r>
      <w:r>
        <w:t>values.</w:t>
      </w:r>
      <w:r>
        <w:rPr>
          <w:spacing w:val="-3"/>
        </w:rPr>
        <w:t xml:space="preserve"> </w:t>
      </w:r>
      <w:r>
        <w:t>It also includes external pressures, demands, and reinforcers (positive and negative) that influence clients and the</w:t>
      </w:r>
      <w:r>
        <w:t>ir perceptions about the risks and benefits of engaging in substance use behaviors. Two components of motivation predict good treatment outcomes (Miller &amp; Moyers, 2015):</w:t>
      </w:r>
    </w:p>
    <w:p w14:paraId="14607056" w14:textId="77777777" w:rsidR="00DB6E1F" w:rsidRDefault="00F666A6">
      <w:pPr>
        <w:pStyle w:val="ListParagraph"/>
        <w:numPr>
          <w:ilvl w:val="1"/>
          <w:numId w:val="92"/>
        </w:numPr>
        <w:tabs>
          <w:tab w:val="left" w:pos="2158"/>
          <w:tab w:val="left" w:pos="2159"/>
        </w:tabs>
        <w:ind w:left="2158" w:hanging="361"/>
      </w:pPr>
      <w:r>
        <w:t>The</w:t>
      </w:r>
      <w:r>
        <w:rPr>
          <w:spacing w:val="-7"/>
        </w:rPr>
        <w:t xml:space="preserve"> </w:t>
      </w:r>
      <w:r>
        <w:t>importance</w:t>
      </w:r>
      <w:r>
        <w:rPr>
          <w:spacing w:val="-4"/>
        </w:rPr>
        <w:t xml:space="preserve"> </w:t>
      </w:r>
      <w:r>
        <w:t>clients</w:t>
      </w:r>
      <w:r>
        <w:rPr>
          <w:spacing w:val="-5"/>
        </w:rPr>
        <w:t xml:space="preserve"> </w:t>
      </w:r>
      <w:r>
        <w:t>associate</w:t>
      </w:r>
      <w:r>
        <w:rPr>
          <w:spacing w:val="-4"/>
        </w:rPr>
        <w:t xml:space="preserve"> </w:t>
      </w:r>
      <w:r>
        <w:t>with</w:t>
      </w:r>
      <w:r>
        <w:rPr>
          <w:spacing w:val="-6"/>
        </w:rPr>
        <w:t xml:space="preserve"> </w:t>
      </w:r>
      <w:r>
        <w:rPr>
          <w:spacing w:val="-2"/>
        </w:rPr>
        <w:t>changes</w:t>
      </w:r>
    </w:p>
    <w:p w14:paraId="52C2419F" w14:textId="77777777" w:rsidR="00DB6E1F" w:rsidRDefault="00F666A6">
      <w:pPr>
        <w:pStyle w:val="ListParagraph"/>
        <w:numPr>
          <w:ilvl w:val="1"/>
          <w:numId w:val="92"/>
        </w:numPr>
        <w:tabs>
          <w:tab w:val="left" w:pos="2158"/>
          <w:tab w:val="left" w:pos="2159"/>
        </w:tabs>
        <w:spacing w:before="58"/>
        <w:ind w:left="2158" w:hanging="361"/>
      </w:pPr>
      <w:r>
        <w:t>Their</w:t>
      </w:r>
      <w:r>
        <w:rPr>
          <w:spacing w:val="-4"/>
        </w:rPr>
        <w:t xml:space="preserve"> </w:t>
      </w:r>
      <w:r>
        <w:t>confidence</w:t>
      </w:r>
      <w:r>
        <w:rPr>
          <w:spacing w:val="-2"/>
        </w:rPr>
        <w:t xml:space="preserve"> </w:t>
      </w:r>
      <w:r>
        <w:t>in</w:t>
      </w:r>
      <w:r>
        <w:rPr>
          <w:spacing w:val="-6"/>
        </w:rPr>
        <w:t xml:space="preserve"> </w:t>
      </w:r>
      <w:r>
        <w:t>their</w:t>
      </w:r>
      <w:r>
        <w:rPr>
          <w:spacing w:val="-4"/>
        </w:rPr>
        <w:t xml:space="preserve"> </w:t>
      </w:r>
      <w:r>
        <w:t>ability</w:t>
      </w:r>
      <w:r>
        <w:rPr>
          <w:spacing w:val="-2"/>
        </w:rPr>
        <w:t xml:space="preserve"> </w:t>
      </w:r>
      <w:r>
        <w:t>to</w:t>
      </w:r>
      <w:r>
        <w:rPr>
          <w:spacing w:val="-4"/>
        </w:rPr>
        <w:t xml:space="preserve"> </w:t>
      </w:r>
      <w:r>
        <w:t>mak</w:t>
      </w:r>
      <w:r>
        <w:t>e</w:t>
      </w:r>
      <w:r>
        <w:rPr>
          <w:spacing w:val="-2"/>
        </w:rPr>
        <w:t xml:space="preserve"> changes</w:t>
      </w:r>
    </w:p>
    <w:p w14:paraId="015C5B50" w14:textId="77777777" w:rsidR="00DB6E1F" w:rsidRDefault="00F666A6">
      <w:pPr>
        <w:pStyle w:val="ListParagraph"/>
        <w:numPr>
          <w:ilvl w:val="0"/>
          <w:numId w:val="92"/>
        </w:numPr>
        <w:tabs>
          <w:tab w:val="left" w:pos="1798"/>
          <w:tab w:val="left" w:pos="1799"/>
        </w:tabs>
        <w:spacing w:before="61"/>
        <w:ind w:left="1798" w:right="1477" w:hanging="360"/>
        <w:rPr>
          <w:rFonts w:ascii="Symbol" w:hAnsi="Symbol"/>
        </w:rPr>
      </w:pPr>
      <w:r>
        <w:rPr>
          <w:b/>
        </w:rPr>
        <w:t xml:space="preserve">Motivation is dynamic and fluctuates. </w:t>
      </w:r>
      <w:r>
        <w:t>Motivation is a dynamic process that responds to interpersonal influences, including feedback and an awareness of different available choices (Miller &amp; Rollnick, 2013). Motivation is a strong predictor of addiction treatment outcomes (Miller &amp; Moyers, 2015</w:t>
      </w:r>
      <w:r>
        <w:t>). Motivation can fluctuate over different stages of the SOC and varies in intensity. It can decrease when the client feels doubt or ambivalence about change and increase when reasons for</w:t>
      </w:r>
      <w:r>
        <w:rPr>
          <w:spacing w:val="-2"/>
        </w:rPr>
        <w:t xml:space="preserve"> </w:t>
      </w:r>
      <w:r>
        <w:t>change</w:t>
      </w:r>
      <w:r>
        <w:rPr>
          <w:spacing w:val="-4"/>
        </w:rPr>
        <w:t xml:space="preserve"> </w:t>
      </w:r>
      <w:r>
        <w:t>and</w:t>
      </w:r>
      <w:r>
        <w:rPr>
          <w:spacing w:val="-3"/>
        </w:rPr>
        <w:t xml:space="preserve"> </w:t>
      </w:r>
      <w:r>
        <w:t>specific</w:t>
      </w:r>
      <w:r>
        <w:rPr>
          <w:spacing w:val="-4"/>
        </w:rPr>
        <w:t xml:space="preserve"> </w:t>
      </w:r>
      <w:r>
        <w:t>goals</w:t>
      </w:r>
      <w:r>
        <w:rPr>
          <w:spacing w:val="-2"/>
        </w:rPr>
        <w:t xml:space="preserve"> </w:t>
      </w:r>
      <w:r>
        <w:t>become</w:t>
      </w:r>
      <w:r>
        <w:rPr>
          <w:spacing w:val="-1"/>
        </w:rPr>
        <w:t xml:space="preserve"> </w:t>
      </w:r>
      <w:r>
        <w:t>clear.</w:t>
      </w:r>
      <w:r>
        <w:rPr>
          <w:spacing w:val="-2"/>
        </w:rPr>
        <w:t xml:space="preserve"> </w:t>
      </w:r>
      <w:r>
        <w:t>In</w:t>
      </w:r>
      <w:r>
        <w:rPr>
          <w:spacing w:val="-3"/>
        </w:rPr>
        <w:t xml:space="preserve"> </w:t>
      </w:r>
      <w:r>
        <w:t>this</w:t>
      </w:r>
      <w:r>
        <w:rPr>
          <w:spacing w:val="-2"/>
        </w:rPr>
        <w:t xml:space="preserve"> </w:t>
      </w:r>
      <w:r>
        <w:t>sense,</w:t>
      </w:r>
      <w:r>
        <w:rPr>
          <w:spacing w:val="-4"/>
        </w:rPr>
        <w:t xml:space="preserve"> </w:t>
      </w:r>
      <w:r>
        <w:t>motivation</w:t>
      </w:r>
      <w:r>
        <w:rPr>
          <w:spacing w:val="-5"/>
        </w:rPr>
        <w:t xml:space="preserve"> </w:t>
      </w:r>
      <w:r>
        <w:t>ca</w:t>
      </w:r>
      <w:r>
        <w:t>n</w:t>
      </w:r>
      <w:r>
        <w:rPr>
          <w:spacing w:val="-3"/>
        </w:rPr>
        <w:t xml:space="preserve"> </w:t>
      </w:r>
      <w:r>
        <w:t>be</w:t>
      </w:r>
      <w:r>
        <w:rPr>
          <w:spacing w:val="-1"/>
        </w:rPr>
        <w:t xml:space="preserve"> </w:t>
      </w:r>
      <w:r>
        <w:t>an</w:t>
      </w:r>
      <w:r>
        <w:rPr>
          <w:spacing w:val="-5"/>
        </w:rPr>
        <w:t xml:space="preserve"> </w:t>
      </w:r>
      <w:r>
        <w:t>ambivalent</w:t>
      </w:r>
      <w:r>
        <w:rPr>
          <w:spacing w:val="-1"/>
        </w:rPr>
        <w:t xml:space="preserve"> </w:t>
      </w:r>
      <w:r>
        <w:t>state</w:t>
      </w:r>
      <w:r>
        <w:rPr>
          <w:spacing w:val="-4"/>
        </w:rPr>
        <w:t xml:space="preserve"> </w:t>
      </w:r>
      <w:r>
        <w:t>or</w:t>
      </w:r>
      <w:r>
        <w:rPr>
          <w:spacing w:val="-4"/>
        </w:rPr>
        <w:t xml:space="preserve"> </w:t>
      </w:r>
      <w:r>
        <w:t>a resolute commitment to act—or not to act.</w:t>
      </w:r>
    </w:p>
    <w:p w14:paraId="4F27CAC7" w14:textId="77777777" w:rsidR="00DB6E1F" w:rsidRDefault="00F666A6">
      <w:pPr>
        <w:pStyle w:val="ListParagraph"/>
        <w:numPr>
          <w:ilvl w:val="0"/>
          <w:numId w:val="92"/>
        </w:numPr>
        <w:tabs>
          <w:tab w:val="left" w:pos="1798"/>
          <w:tab w:val="left" w:pos="1799"/>
        </w:tabs>
        <w:spacing w:before="59"/>
        <w:ind w:right="1599" w:hanging="360"/>
        <w:rPr>
          <w:rFonts w:ascii="Symbol" w:hAnsi="Symbol"/>
        </w:rPr>
      </w:pPr>
      <w:r>
        <w:rPr>
          <w:b/>
        </w:rPr>
        <w:t xml:space="preserve">Motivation is influenced by social interactions. </w:t>
      </w:r>
      <w:r>
        <w:t>An individual’s motivation to change can be positively</w:t>
      </w:r>
      <w:r>
        <w:rPr>
          <w:spacing w:val="-4"/>
        </w:rPr>
        <w:t xml:space="preserve"> </w:t>
      </w:r>
      <w:r>
        <w:t>influenced</w:t>
      </w:r>
      <w:r>
        <w:rPr>
          <w:spacing w:val="-4"/>
        </w:rPr>
        <w:t xml:space="preserve"> </w:t>
      </w:r>
      <w:r>
        <w:t>by</w:t>
      </w:r>
      <w:r>
        <w:rPr>
          <w:spacing w:val="-4"/>
        </w:rPr>
        <w:t xml:space="preserve"> </w:t>
      </w:r>
      <w:r>
        <w:t>supportive</w:t>
      </w:r>
      <w:r>
        <w:rPr>
          <w:spacing w:val="-2"/>
        </w:rPr>
        <w:t xml:space="preserve"> </w:t>
      </w:r>
      <w:r>
        <w:t>family</w:t>
      </w:r>
      <w:r>
        <w:rPr>
          <w:spacing w:val="-4"/>
        </w:rPr>
        <w:t xml:space="preserve"> </w:t>
      </w:r>
      <w:r>
        <w:t>and</w:t>
      </w:r>
      <w:r>
        <w:rPr>
          <w:spacing w:val="-4"/>
        </w:rPr>
        <w:t xml:space="preserve"> </w:t>
      </w:r>
      <w:r>
        <w:t>friends</w:t>
      </w:r>
      <w:r>
        <w:rPr>
          <w:spacing w:val="-4"/>
        </w:rPr>
        <w:t xml:space="preserve"> </w:t>
      </w:r>
      <w:r>
        <w:t>as</w:t>
      </w:r>
      <w:r>
        <w:rPr>
          <w:spacing w:val="-3"/>
        </w:rPr>
        <w:t xml:space="preserve"> </w:t>
      </w:r>
      <w:r>
        <w:t>well</w:t>
      </w:r>
      <w:r>
        <w:rPr>
          <w:spacing w:val="-3"/>
        </w:rPr>
        <w:t xml:space="preserve"> </w:t>
      </w:r>
      <w:r>
        <w:t>as</w:t>
      </w:r>
      <w:r>
        <w:rPr>
          <w:spacing w:val="-4"/>
        </w:rPr>
        <w:t xml:space="preserve"> </w:t>
      </w:r>
      <w:r>
        <w:t>community</w:t>
      </w:r>
      <w:r>
        <w:rPr>
          <w:spacing w:val="-4"/>
        </w:rPr>
        <w:t xml:space="preserve"> </w:t>
      </w:r>
      <w:r>
        <w:t>support</w:t>
      </w:r>
      <w:r>
        <w:rPr>
          <w:spacing w:val="-2"/>
        </w:rPr>
        <w:t xml:space="preserve"> </w:t>
      </w:r>
      <w:r>
        <w:t>and</w:t>
      </w:r>
      <w:r>
        <w:rPr>
          <w:spacing w:val="-4"/>
        </w:rPr>
        <w:t xml:space="preserve"> </w:t>
      </w:r>
      <w:r>
        <w:t>negatively influenced by lack of social support, negative social support (e.g., a social network of friends and associates who misuse alcohol), and negative public perception of SUDs.</w:t>
      </w:r>
    </w:p>
    <w:p w14:paraId="449B0F68" w14:textId="77777777" w:rsidR="00DB6E1F" w:rsidRDefault="00F666A6">
      <w:pPr>
        <w:pStyle w:val="ListParagraph"/>
        <w:numPr>
          <w:ilvl w:val="0"/>
          <w:numId w:val="92"/>
        </w:numPr>
        <w:tabs>
          <w:tab w:val="left" w:pos="1798"/>
          <w:tab w:val="left" w:pos="1799"/>
        </w:tabs>
        <w:spacing w:before="61"/>
        <w:ind w:right="1520" w:hanging="360"/>
        <w:rPr>
          <w:rFonts w:ascii="Symbol" w:hAnsi="Symbol"/>
        </w:rPr>
      </w:pPr>
      <w:r>
        <w:rPr>
          <w:b/>
        </w:rPr>
        <w:t xml:space="preserve">Motivation can be enhanced. </w:t>
      </w:r>
      <w:r>
        <w:t>Motivation is a part of the human experience</w:t>
      </w:r>
      <w:r>
        <w:t>. No one is totally unmotivated</w:t>
      </w:r>
      <w:r>
        <w:rPr>
          <w:spacing w:val="-3"/>
        </w:rPr>
        <w:t xml:space="preserve"> </w:t>
      </w:r>
      <w:r>
        <w:t>(Miller</w:t>
      </w:r>
      <w:r>
        <w:rPr>
          <w:spacing w:val="-5"/>
        </w:rPr>
        <w:t xml:space="preserve"> </w:t>
      </w:r>
      <w:r>
        <w:t>&amp;</w:t>
      </w:r>
      <w:r>
        <w:rPr>
          <w:spacing w:val="-1"/>
        </w:rPr>
        <w:t xml:space="preserve"> </w:t>
      </w:r>
      <w:r>
        <w:t>Rollnick,</w:t>
      </w:r>
      <w:r>
        <w:rPr>
          <w:spacing w:val="-2"/>
        </w:rPr>
        <w:t xml:space="preserve"> </w:t>
      </w:r>
      <w:r>
        <w:t>2013).</w:t>
      </w:r>
      <w:r>
        <w:rPr>
          <w:spacing w:val="-5"/>
        </w:rPr>
        <w:t xml:space="preserve"> </w:t>
      </w:r>
      <w:r>
        <w:t>Motivation</w:t>
      </w:r>
      <w:r>
        <w:rPr>
          <w:spacing w:val="-3"/>
        </w:rPr>
        <w:t xml:space="preserve"> </w:t>
      </w:r>
      <w:r>
        <w:t>is</w:t>
      </w:r>
      <w:r>
        <w:rPr>
          <w:spacing w:val="-2"/>
        </w:rPr>
        <w:t xml:space="preserve"> </w:t>
      </w:r>
      <w:r>
        <w:t>accessible</w:t>
      </w:r>
      <w:r>
        <w:rPr>
          <w:spacing w:val="-4"/>
        </w:rPr>
        <w:t xml:space="preserve"> </w:t>
      </w:r>
      <w:r>
        <w:t>and</w:t>
      </w:r>
      <w:r>
        <w:rPr>
          <w:spacing w:val="-3"/>
        </w:rPr>
        <w:t xml:space="preserve"> </w:t>
      </w:r>
      <w:r>
        <w:t>can</w:t>
      </w:r>
      <w:r>
        <w:rPr>
          <w:spacing w:val="-3"/>
        </w:rPr>
        <w:t xml:space="preserve"> </w:t>
      </w:r>
      <w:r>
        <w:t>be</w:t>
      </w:r>
      <w:r>
        <w:rPr>
          <w:spacing w:val="-4"/>
        </w:rPr>
        <w:t xml:space="preserve"> </w:t>
      </w:r>
      <w:r>
        <w:t>enhanced</w:t>
      </w:r>
      <w:r>
        <w:rPr>
          <w:spacing w:val="-3"/>
        </w:rPr>
        <w:t xml:space="preserve"> </w:t>
      </w:r>
      <w:r>
        <w:t>at</w:t>
      </w:r>
      <w:r>
        <w:rPr>
          <w:spacing w:val="-4"/>
        </w:rPr>
        <w:t xml:space="preserve"> </w:t>
      </w:r>
      <w:r>
        <w:t>many</w:t>
      </w:r>
      <w:r>
        <w:rPr>
          <w:spacing w:val="-1"/>
        </w:rPr>
        <w:t xml:space="preserve"> </w:t>
      </w:r>
      <w:r>
        <w:t xml:space="preserve">points in the change process. Historically, in addiction treatment it was thought that clients had to “hit bottom” or experience terrible, irreparable consequences of their substance misuse to become ready to change. Research now shows that counselors can </w:t>
      </w:r>
      <w:r>
        <w:t>help clients identify and explore their desire, ability, reasons, and need to change substance use behaviors; this effort enhances motivation and facilitates movement toward change (Miller &amp; Rollnick, 2013).</w:t>
      </w:r>
    </w:p>
    <w:p w14:paraId="0BAAE94B" w14:textId="77777777" w:rsidR="00DB6E1F" w:rsidRDefault="00F666A6">
      <w:pPr>
        <w:pStyle w:val="ListParagraph"/>
        <w:numPr>
          <w:ilvl w:val="0"/>
          <w:numId w:val="92"/>
        </w:numPr>
        <w:tabs>
          <w:tab w:val="left" w:pos="1797"/>
          <w:tab w:val="left" w:pos="1798"/>
        </w:tabs>
        <w:spacing w:before="59"/>
        <w:ind w:right="1445" w:hanging="360"/>
        <w:rPr>
          <w:rFonts w:ascii="Symbol" w:hAnsi="Symbol"/>
        </w:rPr>
      </w:pPr>
      <w:r>
        <w:rPr>
          <w:b/>
        </w:rPr>
        <w:t>Motivation is influenced by the counselor’s styl</w:t>
      </w:r>
      <w:r>
        <w:rPr>
          <w:b/>
        </w:rPr>
        <w:t xml:space="preserve">e. </w:t>
      </w:r>
      <w:r>
        <w:t>The way you interact with clients impacts how they</w:t>
      </w:r>
      <w:r>
        <w:rPr>
          <w:spacing w:val="-1"/>
        </w:rPr>
        <w:t xml:space="preserve"> </w:t>
      </w:r>
      <w:r>
        <w:t>respond</w:t>
      </w:r>
      <w:r>
        <w:rPr>
          <w:spacing w:val="-3"/>
        </w:rPr>
        <w:t xml:space="preserve"> </w:t>
      </w:r>
      <w:r>
        <w:t>and</w:t>
      </w:r>
      <w:r>
        <w:rPr>
          <w:spacing w:val="-5"/>
        </w:rPr>
        <w:t xml:space="preserve"> </w:t>
      </w:r>
      <w:r>
        <w:t>whether</w:t>
      </w:r>
      <w:r>
        <w:rPr>
          <w:spacing w:val="-4"/>
        </w:rPr>
        <w:t xml:space="preserve"> </w:t>
      </w:r>
      <w:r>
        <w:t>treatment</w:t>
      </w:r>
      <w:r>
        <w:rPr>
          <w:spacing w:val="-4"/>
        </w:rPr>
        <w:t xml:space="preserve"> </w:t>
      </w:r>
      <w:r>
        <w:t>is</w:t>
      </w:r>
      <w:r>
        <w:rPr>
          <w:spacing w:val="-2"/>
        </w:rPr>
        <w:t xml:space="preserve"> </w:t>
      </w:r>
      <w:r>
        <w:t>successful.</w:t>
      </w:r>
      <w:r>
        <w:rPr>
          <w:spacing w:val="-3"/>
        </w:rPr>
        <w:t xml:space="preserve"> </w:t>
      </w:r>
      <w:r>
        <w:t>Counselor</w:t>
      </w:r>
      <w:r>
        <w:rPr>
          <w:spacing w:val="-2"/>
        </w:rPr>
        <w:t xml:space="preserve"> </w:t>
      </w:r>
      <w:r>
        <w:t>interpersonal</w:t>
      </w:r>
      <w:r>
        <w:rPr>
          <w:spacing w:val="-2"/>
        </w:rPr>
        <w:t xml:space="preserve"> </w:t>
      </w:r>
      <w:r>
        <w:t>skills</w:t>
      </w:r>
      <w:r>
        <w:rPr>
          <w:spacing w:val="-6"/>
        </w:rPr>
        <w:t xml:space="preserve"> </w:t>
      </w:r>
      <w:r>
        <w:t>are</w:t>
      </w:r>
      <w:r>
        <w:rPr>
          <w:spacing w:val="-1"/>
        </w:rPr>
        <w:t xml:space="preserve"> </w:t>
      </w:r>
      <w:r>
        <w:t>associated</w:t>
      </w:r>
      <w:r>
        <w:rPr>
          <w:spacing w:val="-3"/>
        </w:rPr>
        <w:t xml:space="preserve"> </w:t>
      </w:r>
      <w:r>
        <w:t>with better treatment outcomes. In particular, an empathetic counselor style predicts increased</w:t>
      </w:r>
      <w:r>
        <w:rPr>
          <w:spacing w:val="40"/>
        </w:rPr>
        <w:t xml:space="preserve"> </w:t>
      </w:r>
      <w:r>
        <w:t>retention in tr</w:t>
      </w:r>
      <w:r>
        <w:t>eatment and reduced substance use across a wide range of clinical settings and types of clients (Moyers &amp; Miller, 2013). The most desirable attributes for the counselor mirror those recommended</w:t>
      </w:r>
      <w:r>
        <w:rPr>
          <w:spacing w:val="-4"/>
        </w:rPr>
        <w:t xml:space="preserve"> </w:t>
      </w:r>
      <w:r>
        <w:t>in</w:t>
      </w:r>
      <w:r>
        <w:rPr>
          <w:spacing w:val="-6"/>
        </w:rPr>
        <w:t xml:space="preserve"> </w:t>
      </w:r>
      <w:r>
        <w:t>the</w:t>
      </w:r>
      <w:r>
        <w:rPr>
          <w:spacing w:val="-3"/>
        </w:rPr>
        <w:t xml:space="preserve"> </w:t>
      </w:r>
      <w:r>
        <w:t>general</w:t>
      </w:r>
      <w:r>
        <w:rPr>
          <w:spacing w:val="-4"/>
        </w:rPr>
        <w:t xml:space="preserve"> </w:t>
      </w:r>
      <w:r>
        <w:t>psychology</w:t>
      </w:r>
      <w:r>
        <w:rPr>
          <w:spacing w:val="-3"/>
        </w:rPr>
        <w:t xml:space="preserve"> </w:t>
      </w:r>
      <w:r>
        <w:t>literature</w:t>
      </w:r>
      <w:r>
        <w:rPr>
          <w:spacing w:val="-3"/>
        </w:rPr>
        <w:t xml:space="preserve"> </w:t>
      </w:r>
      <w:r>
        <w:t>and</w:t>
      </w:r>
      <w:r>
        <w:rPr>
          <w:spacing w:val="-4"/>
        </w:rPr>
        <w:t xml:space="preserve"> </w:t>
      </w:r>
      <w:r>
        <w:t>include</w:t>
      </w:r>
      <w:r>
        <w:rPr>
          <w:spacing w:val="-4"/>
        </w:rPr>
        <w:t xml:space="preserve"> </w:t>
      </w:r>
      <w:r>
        <w:t>nonpossessive</w:t>
      </w:r>
      <w:r>
        <w:rPr>
          <w:spacing w:val="-5"/>
        </w:rPr>
        <w:t xml:space="preserve"> </w:t>
      </w:r>
      <w:r>
        <w:t>warmth,</w:t>
      </w:r>
      <w:r>
        <w:rPr>
          <w:spacing w:val="-4"/>
        </w:rPr>
        <w:t xml:space="preserve"> </w:t>
      </w:r>
      <w:r>
        <w:t>genuineness,</w:t>
      </w:r>
    </w:p>
    <w:p w14:paraId="36C493ED" w14:textId="77777777" w:rsidR="00DB6E1F" w:rsidRDefault="00DB6E1F">
      <w:pPr>
        <w:rPr>
          <w:rFonts w:ascii="Symbol" w:hAnsi="Symbol"/>
        </w:rPr>
        <w:sectPr w:rsidR="00DB6E1F">
          <w:pgSz w:w="12240" w:h="15840"/>
          <w:pgMar w:top="1200" w:right="0" w:bottom="780" w:left="0" w:header="763" w:footer="585" w:gutter="0"/>
          <w:cols w:space="720"/>
        </w:sectPr>
      </w:pPr>
    </w:p>
    <w:p w14:paraId="2E6BAEFC" w14:textId="77777777" w:rsidR="00DB6E1F" w:rsidRDefault="00DB6E1F">
      <w:pPr>
        <w:pStyle w:val="BodyText"/>
        <w:spacing w:before="8"/>
        <w:rPr>
          <w:sz w:val="14"/>
        </w:rPr>
      </w:pPr>
    </w:p>
    <w:p w14:paraId="7424C2C0" w14:textId="77777777" w:rsidR="00DB6E1F" w:rsidRDefault="00F666A6">
      <w:pPr>
        <w:pStyle w:val="BodyText"/>
        <w:spacing w:before="56"/>
        <w:ind w:left="1799" w:right="1491"/>
      </w:pPr>
      <w:r>
        <w:t>respect, affirmation, and empathy. In contrast, an argumentative or confrontational style of counselor interaction with clients, such as challenging client defenses and arguing, tends to be counterproductive</w:t>
      </w:r>
      <w:r>
        <w:rPr>
          <w:spacing w:val="-3"/>
        </w:rPr>
        <w:t xml:space="preserve"> </w:t>
      </w:r>
      <w:r>
        <w:t>and</w:t>
      </w:r>
      <w:r>
        <w:rPr>
          <w:spacing w:val="-4"/>
        </w:rPr>
        <w:t xml:space="preserve"> </w:t>
      </w:r>
      <w:r>
        <w:t>is</w:t>
      </w:r>
      <w:r>
        <w:rPr>
          <w:spacing w:val="-5"/>
        </w:rPr>
        <w:t xml:space="preserve"> </w:t>
      </w:r>
      <w:r>
        <w:t>asso</w:t>
      </w:r>
      <w:r>
        <w:t>ciated</w:t>
      </w:r>
      <w:r>
        <w:rPr>
          <w:spacing w:val="-4"/>
        </w:rPr>
        <w:t xml:space="preserve"> </w:t>
      </w:r>
      <w:r>
        <w:t>with</w:t>
      </w:r>
      <w:r>
        <w:rPr>
          <w:spacing w:val="-4"/>
        </w:rPr>
        <w:t xml:space="preserve"> </w:t>
      </w:r>
      <w:r>
        <w:t>poorer</w:t>
      </w:r>
      <w:r>
        <w:rPr>
          <w:spacing w:val="-5"/>
        </w:rPr>
        <w:t xml:space="preserve"> </w:t>
      </w:r>
      <w:r>
        <w:t>outcomes</w:t>
      </w:r>
      <w:r>
        <w:rPr>
          <w:spacing w:val="-2"/>
        </w:rPr>
        <w:t xml:space="preserve"> </w:t>
      </w:r>
      <w:r>
        <w:t>for</w:t>
      </w:r>
      <w:r>
        <w:rPr>
          <w:spacing w:val="-3"/>
        </w:rPr>
        <w:t xml:space="preserve"> </w:t>
      </w:r>
      <w:r>
        <w:t>clients,</w:t>
      </w:r>
      <w:r>
        <w:rPr>
          <w:spacing w:val="-3"/>
        </w:rPr>
        <w:t xml:space="preserve"> </w:t>
      </w:r>
      <w:r>
        <w:t>particularly</w:t>
      </w:r>
      <w:r>
        <w:rPr>
          <w:spacing w:val="-1"/>
        </w:rPr>
        <w:t xml:space="preserve"> </w:t>
      </w:r>
      <w:r>
        <w:t>when</w:t>
      </w:r>
      <w:r>
        <w:rPr>
          <w:spacing w:val="-6"/>
        </w:rPr>
        <w:t xml:space="preserve"> </w:t>
      </w:r>
      <w:r>
        <w:t>counselors are less skilled (Polcin, Mulia, &amp; Jones, 2012; Roman &amp; Peters, 2016).</w:t>
      </w:r>
    </w:p>
    <w:p w14:paraId="41502B59" w14:textId="77777777" w:rsidR="00DB6E1F" w:rsidRDefault="00F666A6">
      <w:pPr>
        <w:pStyle w:val="ListParagraph"/>
        <w:numPr>
          <w:ilvl w:val="0"/>
          <w:numId w:val="92"/>
        </w:numPr>
        <w:tabs>
          <w:tab w:val="left" w:pos="1799"/>
          <w:tab w:val="left" w:pos="1800"/>
        </w:tabs>
        <w:spacing w:before="159"/>
        <w:ind w:left="1798" w:right="1438" w:hanging="360"/>
        <w:rPr>
          <w:rFonts w:ascii="Symbol" w:hAnsi="Symbol"/>
        </w:rPr>
      </w:pPr>
      <w:r>
        <w:rPr>
          <w:b/>
        </w:rPr>
        <w:t xml:space="preserve">Your task is to elicit and enhance motivation. </w:t>
      </w:r>
      <w:r>
        <w:t>Although change is the responsibility of clients and many people change substance use behaviors on their own without formal treatment (Kelly, Bergman, Hoeppner, Vilsaint, &amp; White, 2017), you can enhance clients’ motivation for positive change at each stage</w:t>
      </w:r>
      <w:r>
        <w:t xml:space="preserve"> of the SOC process. Your task is not to teach, instruct, or give unsolicited advice.</w:t>
      </w:r>
      <w:r>
        <w:rPr>
          <w:spacing w:val="-5"/>
        </w:rPr>
        <w:t xml:space="preserve"> </w:t>
      </w:r>
      <w:r>
        <w:t>Your</w:t>
      </w:r>
      <w:r>
        <w:rPr>
          <w:spacing w:val="-2"/>
        </w:rPr>
        <w:t xml:space="preserve"> </w:t>
      </w:r>
      <w:r>
        <w:t>role</w:t>
      </w:r>
      <w:r>
        <w:rPr>
          <w:spacing w:val="-4"/>
        </w:rPr>
        <w:t xml:space="preserve"> </w:t>
      </w:r>
      <w:r>
        <w:t>is</w:t>
      </w:r>
      <w:r>
        <w:rPr>
          <w:spacing w:val="-2"/>
        </w:rPr>
        <w:t xml:space="preserve"> </w:t>
      </w:r>
      <w:r>
        <w:t>to</w:t>
      </w:r>
      <w:r>
        <w:rPr>
          <w:spacing w:val="-1"/>
        </w:rPr>
        <w:t xml:space="preserve"> </w:t>
      </w:r>
      <w:r>
        <w:t>help</w:t>
      </w:r>
      <w:r>
        <w:rPr>
          <w:spacing w:val="-5"/>
        </w:rPr>
        <w:t xml:space="preserve"> </w:t>
      </w:r>
      <w:r>
        <w:t>clients</w:t>
      </w:r>
      <w:r>
        <w:rPr>
          <w:spacing w:val="-2"/>
        </w:rPr>
        <w:t xml:space="preserve"> </w:t>
      </w:r>
      <w:r>
        <w:t>recognize</w:t>
      </w:r>
      <w:r>
        <w:rPr>
          <w:spacing w:val="-4"/>
        </w:rPr>
        <w:t xml:space="preserve"> </w:t>
      </w:r>
      <w:r>
        <w:t>when</w:t>
      </w:r>
      <w:r>
        <w:rPr>
          <w:spacing w:val="-3"/>
        </w:rPr>
        <w:t xml:space="preserve"> </w:t>
      </w:r>
      <w:r>
        <w:t>a</w:t>
      </w:r>
      <w:r>
        <w:rPr>
          <w:spacing w:val="-5"/>
        </w:rPr>
        <w:t xml:space="preserve"> </w:t>
      </w:r>
      <w:r>
        <w:t>substance</w:t>
      </w:r>
      <w:r>
        <w:rPr>
          <w:spacing w:val="-1"/>
        </w:rPr>
        <w:t xml:space="preserve"> </w:t>
      </w:r>
      <w:r>
        <w:t>use</w:t>
      </w:r>
      <w:r>
        <w:rPr>
          <w:spacing w:val="-4"/>
        </w:rPr>
        <w:t xml:space="preserve"> </w:t>
      </w:r>
      <w:r>
        <w:t>behavior</w:t>
      </w:r>
      <w:r>
        <w:rPr>
          <w:spacing w:val="-2"/>
        </w:rPr>
        <w:t xml:space="preserve"> </w:t>
      </w:r>
      <w:r>
        <w:t>is</w:t>
      </w:r>
      <w:r>
        <w:rPr>
          <w:spacing w:val="-2"/>
        </w:rPr>
        <w:t xml:space="preserve"> </w:t>
      </w:r>
      <w:r>
        <w:t>inconsistent</w:t>
      </w:r>
      <w:r>
        <w:rPr>
          <w:spacing w:val="-1"/>
        </w:rPr>
        <w:t xml:space="preserve"> </w:t>
      </w:r>
      <w:r>
        <w:t>with</w:t>
      </w:r>
      <w:r>
        <w:rPr>
          <w:spacing w:val="-2"/>
        </w:rPr>
        <w:t xml:space="preserve"> </w:t>
      </w:r>
      <w:r>
        <w:t>their values or stated goals, regard positive change to be in</w:t>
      </w:r>
      <w:r>
        <w:rPr>
          <w:spacing w:val="-2"/>
        </w:rPr>
        <w:t xml:space="preserve"> </w:t>
      </w:r>
      <w:r>
        <w:t>their best interes</w:t>
      </w:r>
      <w:r>
        <w:t>t, feel competent to change, develop a plan for</w:t>
      </w:r>
      <w:r>
        <w:rPr>
          <w:spacing w:val="-1"/>
        </w:rPr>
        <w:t xml:space="preserve"> </w:t>
      </w:r>
      <w:r>
        <w:t>change,</w:t>
      </w:r>
      <w:r>
        <w:rPr>
          <w:spacing w:val="-1"/>
        </w:rPr>
        <w:t xml:space="preserve"> </w:t>
      </w:r>
      <w:r>
        <w:t>begin taking action, and</w:t>
      </w:r>
      <w:r>
        <w:rPr>
          <w:spacing w:val="-3"/>
        </w:rPr>
        <w:t xml:space="preserve"> </w:t>
      </w:r>
      <w:r>
        <w:t>continue using strategies that lessen</w:t>
      </w:r>
      <w:r>
        <w:rPr>
          <w:spacing w:val="-3"/>
        </w:rPr>
        <w:t xml:space="preserve"> </w:t>
      </w:r>
      <w:r>
        <w:t>the risk</w:t>
      </w:r>
      <w:r>
        <w:rPr>
          <w:spacing w:val="-1"/>
        </w:rPr>
        <w:t xml:space="preserve"> </w:t>
      </w:r>
      <w:r>
        <w:t>of a return to substance misuse (Miller &amp; Rollnick, 2013). Finally, you should be sensitive and responsive to cultural factors t</w:t>
      </w:r>
      <w:r>
        <w:t xml:space="preserve">hat may influence client motivation. For more information about enhancing cultural awareness and responsiveness, see TIP 59: </w:t>
      </w:r>
      <w:r>
        <w:rPr>
          <w:i/>
        </w:rPr>
        <w:t xml:space="preserve">Improving Cultural Competence </w:t>
      </w:r>
      <w:r>
        <w:t>(Substance Abuse and Mental Health Services Administration [SAMHSA], 2014a).</w:t>
      </w:r>
    </w:p>
    <w:p w14:paraId="3B9BC8E1" w14:textId="77777777" w:rsidR="00DB6E1F" w:rsidRDefault="00DB6E1F">
      <w:pPr>
        <w:pStyle w:val="BodyText"/>
        <w:spacing w:before="3" w:after="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56DD670" w14:textId="77777777">
        <w:trPr>
          <w:trHeight w:val="2584"/>
        </w:trPr>
        <w:tc>
          <w:tcPr>
            <w:tcW w:w="9350" w:type="dxa"/>
            <w:shd w:val="clear" w:color="auto" w:fill="E7E6E6"/>
          </w:tcPr>
          <w:p w14:paraId="62762785" w14:textId="77777777" w:rsidR="00DB6E1F" w:rsidRDefault="00F666A6">
            <w:pPr>
              <w:pStyle w:val="TableParagraph"/>
              <w:spacing w:before="121"/>
              <w:ind w:left="2570"/>
              <w:rPr>
                <w:b/>
                <w:sz w:val="20"/>
              </w:rPr>
            </w:pPr>
            <w:r>
              <w:rPr>
                <w:b/>
                <w:sz w:val="20"/>
              </w:rPr>
              <w:t>Counselor</w:t>
            </w:r>
            <w:r>
              <w:rPr>
                <w:b/>
                <w:spacing w:val="-5"/>
                <w:sz w:val="20"/>
              </w:rPr>
              <w:t xml:space="preserve"> </w:t>
            </w:r>
            <w:r>
              <w:rPr>
                <w:b/>
                <w:sz w:val="20"/>
              </w:rPr>
              <w:t>Note:</w:t>
            </w:r>
            <w:r>
              <w:rPr>
                <w:b/>
                <w:spacing w:val="-5"/>
                <w:sz w:val="20"/>
              </w:rPr>
              <w:t xml:space="preserve"> </w:t>
            </w:r>
            <w:r>
              <w:rPr>
                <w:b/>
                <w:sz w:val="20"/>
              </w:rPr>
              <w:t>Are</w:t>
            </w:r>
            <w:r>
              <w:rPr>
                <w:b/>
                <w:spacing w:val="-5"/>
                <w:sz w:val="20"/>
              </w:rPr>
              <w:t xml:space="preserve"> </w:t>
            </w:r>
            <w:r>
              <w:rPr>
                <w:b/>
                <w:sz w:val="20"/>
              </w:rPr>
              <w:t>You</w:t>
            </w:r>
            <w:r>
              <w:rPr>
                <w:b/>
                <w:spacing w:val="-5"/>
                <w:sz w:val="20"/>
              </w:rPr>
              <w:t xml:space="preserve"> </w:t>
            </w:r>
            <w:r>
              <w:rPr>
                <w:b/>
                <w:sz w:val="20"/>
              </w:rPr>
              <w:t>Ready,</w:t>
            </w:r>
            <w:r>
              <w:rPr>
                <w:b/>
                <w:spacing w:val="-6"/>
                <w:sz w:val="20"/>
              </w:rPr>
              <w:t xml:space="preserve"> </w:t>
            </w:r>
            <w:r>
              <w:rPr>
                <w:b/>
                <w:sz w:val="20"/>
              </w:rPr>
              <w:t>Willing,</w:t>
            </w:r>
            <w:r>
              <w:rPr>
                <w:b/>
                <w:spacing w:val="-6"/>
                <w:sz w:val="20"/>
              </w:rPr>
              <w:t xml:space="preserve"> </w:t>
            </w:r>
            <w:r>
              <w:rPr>
                <w:b/>
                <w:sz w:val="20"/>
              </w:rPr>
              <w:t>and</w:t>
            </w:r>
            <w:r>
              <w:rPr>
                <w:b/>
                <w:spacing w:val="-5"/>
                <w:sz w:val="20"/>
              </w:rPr>
              <w:t xml:space="preserve"> </w:t>
            </w:r>
            <w:r>
              <w:rPr>
                <w:b/>
                <w:spacing w:val="-4"/>
                <w:sz w:val="20"/>
              </w:rPr>
              <w:t>Able?</w:t>
            </w:r>
          </w:p>
          <w:p w14:paraId="69D6F39A" w14:textId="77777777" w:rsidR="00DB6E1F" w:rsidRDefault="00F666A6">
            <w:pPr>
              <w:pStyle w:val="TableParagraph"/>
              <w:spacing w:before="121"/>
              <w:rPr>
                <w:sz w:val="20"/>
              </w:rPr>
            </w:pPr>
            <w:r>
              <w:rPr>
                <w:sz w:val="20"/>
              </w:rPr>
              <w:t>Motivation</w:t>
            </w:r>
            <w:r>
              <w:rPr>
                <w:spacing w:val="-4"/>
                <w:sz w:val="20"/>
              </w:rPr>
              <w:t xml:space="preserve"> </w:t>
            </w:r>
            <w:r>
              <w:rPr>
                <w:sz w:val="20"/>
              </w:rPr>
              <w:t>is</w:t>
            </w:r>
            <w:r>
              <w:rPr>
                <w:spacing w:val="-6"/>
                <w:sz w:val="20"/>
              </w:rPr>
              <w:t xml:space="preserve"> </w:t>
            </w:r>
            <w:r>
              <w:rPr>
                <w:sz w:val="20"/>
              </w:rPr>
              <w:t>captured,</w:t>
            </w:r>
            <w:r>
              <w:rPr>
                <w:spacing w:val="-4"/>
                <w:sz w:val="20"/>
              </w:rPr>
              <w:t xml:space="preserve"> </w:t>
            </w:r>
            <w:r>
              <w:rPr>
                <w:sz w:val="20"/>
              </w:rPr>
              <w:t>in</w:t>
            </w:r>
            <w:r>
              <w:rPr>
                <w:spacing w:val="-4"/>
                <w:sz w:val="20"/>
              </w:rPr>
              <w:t xml:space="preserve"> </w:t>
            </w:r>
            <w:r>
              <w:rPr>
                <w:sz w:val="20"/>
              </w:rPr>
              <w:t>part,</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popular</w:t>
            </w:r>
            <w:r>
              <w:rPr>
                <w:spacing w:val="-7"/>
                <w:sz w:val="20"/>
              </w:rPr>
              <w:t xml:space="preserve"> </w:t>
            </w:r>
            <w:r>
              <w:rPr>
                <w:sz w:val="20"/>
              </w:rPr>
              <w:t>phrase</w:t>
            </w:r>
            <w:r>
              <w:rPr>
                <w:spacing w:val="-5"/>
                <w:sz w:val="20"/>
              </w:rPr>
              <w:t xml:space="preserve"> </w:t>
            </w:r>
            <w:r>
              <w:rPr>
                <w:sz w:val="20"/>
              </w:rPr>
              <w:t>that</w:t>
            </w:r>
            <w:r>
              <w:rPr>
                <w:spacing w:val="-5"/>
                <w:sz w:val="20"/>
              </w:rPr>
              <w:t xml:space="preserve"> </w:t>
            </w:r>
            <w:r>
              <w:rPr>
                <w:sz w:val="20"/>
              </w:rPr>
              <w:t>a</w:t>
            </w:r>
            <w:r>
              <w:rPr>
                <w:spacing w:val="-7"/>
                <w:sz w:val="20"/>
              </w:rPr>
              <w:t xml:space="preserve"> </w:t>
            </w:r>
            <w:r>
              <w:rPr>
                <w:sz w:val="20"/>
              </w:rPr>
              <w:t>person</w:t>
            </w:r>
            <w:r>
              <w:rPr>
                <w:spacing w:val="-4"/>
                <w:sz w:val="20"/>
              </w:rPr>
              <w:t xml:space="preserve"> </w:t>
            </w:r>
            <w:r>
              <w:rPr>
                <w:sz w:val="20"/>
              </w:rPr>
              <w:t>is</w:t>
            </w:r>
            <w:r>
              <w:rPr>
                <w:spacing w:val="-6"/>
                <w:sz w:val="20"/>
              </w:rPr>
              <w:t xml:space="preserve"> </w:t>
            </w:r>
            <w:r>
              <w:rPr>
                <w:sz w:val="20"/>
              </w:rPr>
              <w:t>ready,</w:t>
            </w:r>
            <w:r>
              <w:rPr>
                <w:spacing w:val="-4"/>
                <w:sz w:val="20"/>
              </w:rPr>
              <w:t xml:space="preserve"> </w:t>
            </w:r>
            <w:r>
              <w:rPr>
                <w:sz w:val="20"/>
              </w:rPr>
              <w:t>willing,</w:t>
            </w:r>
            <w:r>
              <w:rPr>
                <w:spacing w:val="-4"/>
                <w:sz w:val="20"/>
              </w:rPr>
              <w:t xml:space="preserve"> </w:t>
            </w:r>
            <w:r>
              <w:rPr>
                <w:sz w:val="20"/>
              </w:rPr>
              <w:t>and</w:t>
            </w:r>
            <w:r>
              <w:rPr>
                <w:spacing w:val="-4"/>
                <w:sz w:val="20"/>
              </w:rPr>
              <w:t xml:space="preserve"> </w:t>
            </w:r>
            <w:r>
              <w:rPr>
                <w:sz w:val="20"/>
              </w:rPr>
              <w:t>able</w:t>
            </w:r>
            <w:r>
              <w:rPr>
                <w:spacing w:val="-5"/>
                <w:sz w:val="20"/>
              </w:rPr>
              <w:t xml:space="preserve"> </w:t>
            </w:r>
            <w:r>
              <w:rPr>
                <w:sz w:val="20"/>
              </w:rPr>
              <w:t>to</w:t>
            </w:r>
            <w:r>
              <w:rPr>
                <w:spacing w:val="-4"/>
                <w:sz w:val="20"/>
              </w:rPr>
              <w:t xml:space="preserve"> </w:t>
            </w:r>
            <w:r>
              <w:rPr>
                <w:spacing w:val="-2"/>
                <w:sz w:val="20"/>
              </w:rPr>
              <w:t>change:</w:t>
            </w:r>
          </w:p>
          <w:p w14:paraId="764C566D" w14:textId="77777777" w:rsidR="00DB6E1F" w:rsidRDefault="00F666A6">
            <w:pPr>
              <w:pStyle w:val="TableParagraph"/>
              <w:numPr>
                <w:ilvl w:val="0"/>
                <w:numId w:val="89"/>
              </w:numPr>
              <w:tabs>
                <w:tab w:val="left" w:pos="467"/>
                <w:tab w:val="left" w:pos="468"/>
              </w:tabs>
              <w:spacing w:before="117"/>
              <w:ind w:right="210"/>
              <w:rPr>
                <w:sz w:val="20"/>
              </w:rPr>
            </w:pPr>
            <w:r>
              <w:rPr>
                <w:sz w:val="20"/>
              </w:rPr>
              <w:t>“Ability”</w:t>
            </w:r>
            <w:r>
              <w:rPr>
                <w:spacing w:val="-2"/>
                <w:sz w:val="20"/>
              </w:rPr>
              <w:t xml:space="preserve"> </w:t>
            </w:r>
            <w:r>
              <w:rPr>
                <w:sz w:val="20"/>
              </w:rPr>
              <w:t>refers</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extent</w:t>
            </w:r>
            <w:r>
              <w:rPr>
                <w:spacing w:val="-3"/>
                <w:sz w:val="20"/>
              </w:rPr>
              <w:t xml:space="preserve"> </w:t>
            </w:r>
            <w:r>
              <w:rPr>
                <w:sz w:val="20"/>
              </w:rPr>
              <w:t>to</w:t>
            </w:r>
            <w:r>
              <w:rPr>
                <w:spacing w:val="-3"/>
                <w:sz w:val="20"/>
              </w:rPr>
              <w:t xml:space="preserve"> </w:t>
            </w:r>
            <w:r>
              <w:rPr>
                <w:sz w:val="20"/>
              </w:rPr>
              <w:t>which</w:t>
            </w:r>
            <w:r>
              <w:rPr>
                <w:spacing w:val="-2"/>
                <w:sz w:val="20"/>
              </w:rPr>
              <w:t xml:space="preserve"> </w:t>
            </w:r>
            <w:r>
              <w:rPr>
                <w:sz w:val="20"/>
              </w:rPr>
              <w:t>a</w:t>
            </w:r>
            <w:r>
              <w:rPr>
                <w:spacing w:val="-3"/>
                <w:sz w:val="20"/>
              </w:rPr>
              <w:t xml:space="preserve"> </w:t>
            </w:r>
            <w:r>
              <w:rPr>
                <w:sz w:val="20"/>
              </w:rPr>
              <w:t>person</w:t>
            </w:r>
            <w:r>
              <w:rPr>
                <w:spacing w:val="-2"/>
                <w:sz w:val="20"/>
              </w:rPr>
              <w:t xml:space="preserve"> </w:t>
            </w:r>
            <w:r>
              <w:rPr>
                <w:sz w:val="20"/>
              </w:rPr>
              <w:t>has</w:t>
            </w:r>
            <w:r>
              <w:rPr>
                <w:spacing w:val="-4"/>
                <w:sz w:val="20"/>
              </w:rPr>
              <w:t xml:space="preserve"> </w:t>
            </w:r>
            <w:r>
              <w:rPr>
                <w:sz w:val="20"/>
              </w:rPr>
              <w:t>the</w:t>
            </w:r>
            <w:r>
              <w:rPr>
                <w:spacing w:val="-4"/>
                <w:sz w:val="20"/>
              </w:rPr>
              <w:t xml:space="preserve"> </w:t>
            </w:r>
            <w:r>
              <w:rPr>
                <w:sz w:val="20"/>
              </w:rPr>
              <w:t>necessary</w:t>
            </w:r>
            <w:r>
              <w:rPr>
                <w:spacing w:val="-2"/>
                <w:sz w:val="20"/>
              </w:rPr>
              <w:t xml:space="preserve"> </w:t>
            </w:r>
            <w:r>
              <w:rPr>
                <w:sz w:val="20"/>
              </w:rPr>
              <w:t>skills,</w:t>
            </w:r>
            <w:r>
              <w:rPr>
                <w:spacing w:val="-2"/>
                <w:sz w:val="20"/>
              </w:rPr>
              <w:t xml:space="preserve"> </w:t>
            </w:r>
            <w:r>
              <w:rPr>
                <w:sz w:val="20"/>
              </w:rPr>
              <w:t>resources,</w:t>
            </w:r>
            <w:r>
              <w:rPr>
                <w:spacing w:val="-2"/>
                <w:sz w:val="20"/>
              </w:rPr>
              <w:t xml:space="preserve"> </w:t>
            </w:r>
            <w:r>
              <w:rPr>
                <w:sz w:val="20"/>
              </w:rPr>
              <w:t>and</w:t>
            </w:r>
            <w:r>
              <w:rPr>
                <w:spacing w:val="-2"/>
                <w:sz w:val="20"/>
              </w:rPr>
              <w:t xml:space="preserve"> </w:t>
            </w:r>
            <w:r>
              <w:rPr>
                <w:sz w:val="20"/>
              </w:rPr>
              <w:t>confidence</w:t>
            </w:r>
            <w:r>
              <w:rPr>
                <w:spacing w:val="-4"/>
                <w:sz w:val="20"/>
              </w:rPr>
              <w:t xml:space="preserve"> </w:t>
            </w:r>
            <w:r>
              <w:rPr>
                <w:sz w:val="20"/>
              </w:rPr>
              <w:t>to</w:t>
            </w:r>
            <w:r>
              <w:rPr>
                <w:spacing w:val="-1"/>
                <w:sz w:val="20"/>
              </w:rPr>
              <w:t xml:space="preserve"> </w:t>
            </w:r>
            <w:r>
              <w:rPr>
                <w:sz w:val="20"/>
              </w:rPr>
              <w:t>make a change.</w:t>
            </w:r>
          </w:p>
          <w:p w14:paraId="699C7A9F" w14:textId="77777777" w:rsidR="00DB6E1F" w:rsidRDefault="00F666A6">
            <w:pPr>
              <w:pStyle w:val="TableParagraph"/>
              <w:numPr>
                <w:ilvl w:val="0"/>
                <w:numId w:val="89"/>
              </w:numPr>
              <w:tabs>
                <w:tab w:val="left" w:pos="467"/>
                <w:tab w:val="left" w:pos="468"/>
              </w:tabs>
              <w:spacing w:before="41"/>
              <w:ind w:right="370"/>
              <w:rPr>
                <w:sz w:val="20"/>
              </w:rPr>
            </w:pPr>
            <w:r>
              <w:rPr>
                <w:sz w:val="20"/>
              </w:rPr>
              <w:t>“Willingness”</w:t>
            </w:r>
            <w:r>
              <w:rPr>
                <w:spacing w:val="-2"/>
                <w:sz w:val="20"/>
              </w:rPr>
              <w:t xml:space="preserve"> </w:t>
            </w:r>
            <w:r>
              <w:rPr>
                <w:sz w:val="20"/>
              </w:rPr>
              <w:t>is</w:t>
            </w:r>
            <w:r>
              <w:rPr>
                <w:spacing w:val="-4"/>
                <w:sz w:val="20"/>
              </w:rPr>
              <w:t xml:space="preserve"> </w:t>
            </w:r>
            <w:r>
              <w:rPr>
                <w:sz w:val="20"/>
              </w:rPr>
              <w:t>linked</w:t>
            </w:r>
            <w:r>
              <w:rPr>
                <w:spacing w:val="-2"/>
                <w:sz w:val="20"/>
              </w:rPr>
              <w:t xml:space="preserve"> </w:t>
            </w:r>
            <w:r>
              <w:rPr>
                <w:sz w:val="20"/>
              </w:rPr>
              <w:t>to</w:t>
            </w:r>
            <w:r>
              <w:rPr>
                <w:spacing w:val="-2"/>
                <w:sz w:val="20"/>
              </w:rPr>
              <w:t xml:space="preserve"> </w:t>
            </w:r>
            <w:r>
              <w:rPr>
                <w:sz w:val="20"/>
              </w:rPr>
              <w:t>the</w:t>
            </w:r>
            <w:r>
              <w:rPr>
                <w:spacing w:val="-4"/>
                <w:sz w:val="20"/>
              </w:rPr>
              <w:t xml:space="preserve"> </w:t>
            </w:r>
            <w:r>
              <w:rPr>
                <w:sz w:val="20"/>
              </w:rPr>
              <w:t>importance</w:t>
            </w:r>
            <w:r>
              <w:rPr>
                <w:spacing w:val="-4"/>
                <w:sz w:val="20"/>
              </w:rPr>
              <w:t xml:space="preserve"> </w:t>
            </w:r>
            <w:r>
              <w:rPr>
                <w:sz w:val="20"/>
              </w:rPr>
              <w:t>a</w:t>
            </w:r>
            <w:r>
              <w:rPr>
                <w:spacing w:val="-2"/>
                <w:sz w:val="20"/>
              </w:rPr>
              <w:t xml:space="preserve"> </w:t>
            </w:r>
            <w:r>
              <w:rPr>
                <w:sz w:val="20"/>
              </w:rPr>
              <w:t>person</w:t>
            </w:r>
            <w:r>
              <w:rPr>
                <w:spacing w:val="-2"/>
                <w:sz w:val="20"/>
              </w:rPr>
              <w:t xml:space="preserve"> </w:t>
            </w:r>
            <w:r>
              <w:rPr>
                <w:sz w:val="20"/>
              </w:rPr>
              <w:t>places</w:t>
            </w:r>
            <w:r>
              <w:rPr>
                <w:spacing w:val="-4"/>
                <w:sz w:val="20"/>
              </w:rPr>
              <w:t xml:space="preserve"> </w:t>
            </w:r>
            <w:r>
              <w:rPr>
                <w:sz w:val="20"/>
              </w:rPr>
              <w:t>on</w:t>
            </w:r>
            <w:r>
              <w:rPr>
                <w:spacing w:val="-2"/>
                <w:sz w:val="20"/>
              </w:rPr>
              <w:t xml:space="preserve"> </w:t>
            </w:r>
            <w:r>
              <w:rPr>
                <w:sz w:val="20"/>
              </w:rPr>
              <w:t>changing—how</w:t>
            </w:r>
            <w:r>
              <w:rPr>
                <w:spacing w:val="-4"/>
                <w:sz w:val="20"/>
              </w:rPr>
              <w:t xml:space="preserve"> </w:t>
            </w:r>
            <w:r>
              <w:rPr>
                <w:sz w:val="20"/>
              </w:rPr>
              <w:t>much</w:t>
            </w:r>
            <w:r>
              <w:rPr>
                <w:spacing w:val="-2"/>
                <w:sz w:val="20"/>
              </w:rPr>
              <w:t xml:space="preserve"> </w:t>
            </w:r>
            <w:r>
              <w:rPr>
                <w:sz w:val="20"/>
              </w:rPr>
              <w:t>a</w:t>
            </w:r>
            <w:r>
              <w:rPr>
                <w:spacing w:val="-2"/>
                <w:sz w:val="20"/>
              </w:rPr>
              <w:t xml:space="preserve"> </w:t>
            </w:r>
            <w:r>
              <w:rPr>
                <w:sz w:val="20"/>
              </w:rPr>
              <w:t>change</w:t>
            </w:r>
            <w:r>
              <w:rPr>
                <w:spacing w:val="-4"/>
                <w:sz w:val="20"/>
              </w:rPr>
              <w:t xml:space="preserve"> </w:t>
            </w:r>
            <w:r>
              <w:rPr>
                <w:sz w:val="20"/>
              </w:rPr>
              <w:t>is</w:t>
            </w:r>
            <w:r>
              <w:rPr>
                <w:spacing w:val="-2"/>
                <w:sz w:val="20"/>
              </w:rPr>
              <w:t xml:space="preserve"> </w:t>
            </w:r>
            <w:r>
              <w:rPr>
                <w:sz w:val="20"/>
              </w:rPr>
              <w:t>wanted</w:t>
            </w:r>
            <w:r>
              <w:rPr>
                <w:spacing w:val="-2"/>
                <w:sz w:val="20"/>
              </w:rPr>
              <w:t xml:space="preserve"> </w:t>
            </w:r>
            <w:r>
              <w:rPr>
                <w:sz w:val="20"/>
              </w:rPr>
              <w:t>or desired. However, even willingness and ability are not always enough.</w:t>
            </w:r>
          </w:p>
          <w:p w14:paraId="33191CAD" w14:textId="77777777" w:rsidR="00DB6E1F" w:rsidRDefault="00F666A6">
            <w:pPr>
              <w:pStyle w:val="TableParagraph"/>
              <w:numPr>
                <w:ilvl w:val="0"/>
                <w:numId w:val="89"/>
              </w:numPr>
              <w:tabs>
                <w:tab w:val="left" w:pos="467"/>
                <w:tab w:val="left" w:pos="468"/>
              </w:tabs>
              <w:spacing w:before="39" w:line="278" w:lineRule="auto"/>
              <w:ind w:left="107" w:right="1046" w:firstLine="0"/>
              <w:rPr>
                <w:sz w:val="20"/>
              </w:rPr>
            </w:pPr>
            <w:r>
              <w:rPr>
                <w:sz w:val="20"/>
              </w:rPr>
              <w:t>“Ready”</w:t>
            </w:r>
            <w:r>
              <w:rPr>
                <w:spacing w:val="-2"/>
                <w:sz w:val="20"/>
              </w:rPr>
              <w:t xml:space="preserve"> </w:t>
            </w:r>
            <w:r>
              <w:rPr>
                <w:sz w:val="20"/>
              </w:rPr>
              <w:t>represents</w:t>
            </w:r>
            <w:r>
              <w:rPr>
                <w:spacing w:val="-4"/>
                <w:sz w:val="20"/>
              </w:rPr>
              <w:t xml:space="preserve"> </w:t>
            </w:r>
            <w:r>
              <w:rPr>
                <w:sz w:val="20"/>
              </w:rPr>
              <w:t>a</w:t>
            </w:r>
            <w:r>
              <w:rPr>
                <w:spacing w:val="-3"/>
                <w:sz w:val="20"/>
              </w:rPr>
              <w:t xml:space="preserve"> </w:t>
            </w:r>
            <w:r>
              <w:rPr>
                <w:sz w:val="20"/>
              </w:rPr>
              <w:t>final</w:t>
            </w:r>
            <w:r>
              <w:rPr>
                <w:spacing w:val="-3"/>
                <w:sz w:val="20"/>
              </w:rPr>
              <w:t xml:space="preserve"> </w:t>
            </w:r>
            <w:r>
              <w:rPr>
                <w:sz w:val="20"/>
              </w:rPr>
              <w:t>step</w:t>
            </w:r>
            <w:r>
              <w:rPr>
                <w:spacing w:val="-2"/>
                <w:sz w:val="20"/>
              </w:rPr>
              <w:t xml:space="preserve"> </w:t>
            </w:r>
            <w:r>
              <w:rPr>
                <w:sz w:val="20"/>
              </w:rPr>
              <w:t>in</w:t>
            </w:r>
            <w:r>
              <w:rPr>
                <w:spacing w:val="-2"/>
                <w:sz w:val="20"/>
              </w:rPr>
              <w:t xml:space="preserve"> </w:t>
            </w:r>
            <w:r>
              <w:rPr>
                <w:sz w:val="20"/>
              </w:rPr>
              <w:t>which</w:t>
            </w:r>
            <w:r>
              <w:rPr>
                <w:spacing w:val="-2"/>
                <w:sz w:val="20"/>
              </w:rPr>
              <w:t xml:space="preserve"> </w:t>
            </w:r>
            <w:r>
              <w:rPr>
                <w:sz w:val="20"/>
              </w:rPr>
              <w:t>a</w:t>
            </w:r>
            <w:r>
              <w:rPr>
                <w:spacing w:val="-2"/>
                <w:sz w:val="20"/>
              </w:rPr>
              <w:t xml:space="preserve"> </w:t>
            </w:r>
            <w:r>
              <w:rPr>
                <w:sz w:val="20"/>
              </w:rPr>
              <w:t>person</w:t>
            </w:r>
            <w:r>
              <w:rPr>
                <w:spacing w:val="-2"/>
                <w:sz w:val="20"/>
              </w:rPr>
              <w:t xml:space="preserve"> </w:t>
            </w:r>
            <w:r>
              <w:rPr>
                <w:sz w:val="20"/>
              </w:rPr>
              <w:t>finally</w:t>
            </w:r>
            <w:r>
              <w:rPr>
                <w:spacing w:val="-2"/>
                <w:sz w:val="20"/>
              </w:rPr>
              <w:t xml:space="preserve"> </w:t>
            </w:r>
            <w:r>
              <w:rPr>
                <w:sz w:val="20"/>
              </w:rPr>
              <w:t>decides</w:t>
            </w:r>
            <w:r>
              <w:rPr>
                <w:spacing w:val="-4"/>
                <w:sz w:val="20"/>
              </w:rPr>
              <w:t xml:space="preserve"> </w:t>
            </w:r>
            <w:r>
              <w:rPr>
                <w:sz w:val="20"/>
              </w:rPr>
              <w:t>to</w:t>
            </w:r>
            <w:r>
              <w:rPr>
                <w:spacing w:val="-3"/>
                <w:sz w:val="20"/>
              </w:rPr>
              <w:t xml:space="preserve"> </w:t>
            </w:r>
            <w:r>
              <w:rPr>
                <w:sz w:val="20"/>
              </w:rPr>
              <w:t>c</w:t>
            </w:r>
            <w:r>
              <w:rPr>
                <w:sz w:val="20"/>
              </w:rPr>
              <w:t>hange</w:t>
            </w:r>
            <w:r>
              <w:rPr>
                <w:spacing w:val="-4"/>
                <w:sz w:val="20"/>
              </w:rPr>
              <w:t xml:space="preserve"> </w:t>
            </w:r>
            <w:r>
              <w:rPr>
                <w:sz w:val="20"/>
              </w:rPr>
              <w:t>a</w:t>
            </w:r>
            <w:r>
              <w:rPr>
                <w:spacing w:val="-2"/>
                <w:sz w:val="20"/>
              </w:rPr>
              <w:t xml:space="preserve"> </w:t>
            </w:r>
            <w:r>
              <w:rPr>
                <w:sz w:val="20"/>
              </w:rPr>
              <w:t>particular</w:t>
            </w:r>
            <w:r>
              <w:rPr>
                <w:spacing w:val="-3"/>
                <w:sz w:val="20"/>
              </w:rPr>
              <w:t xml:space="preserve"> </w:t>
            </w:r>
            <w:r>
              <w:rPr>
                <w:sz w:val="20"/>
              </w:rPr>
              <w:t>behavior. Your task is to help the client become ready, willing, and able to change.</w:t>
            </w:r>
          </w:p>
        </w:tc>
      </w:tr>
    </w:tbl>
    <w:p w14:paraId="41C86C5E" w14:textId="77777777" w:rsidR="00DB6E1F" w:rsidRDefault="00F666A6">
      <w:pPr>
        <w:pStyle w:val="Heading3"/>
        <w:spacing w:before="2"/>
      </w:pPr>
      <w:bookmarkStart w:id="32" w:name="Why_Enhance_Motivation?"/>
      <w:bookmarkEnd w:id="32"/>
      <w:r>
        <w:t>Why</w:t>
      </w:r>
      <w:r>
        <w:rPr>
          <w:spacing w:val="-8"/>
        </w:rPr>
        <w:t xml:space="preserve"> </w:t>
      </w:r>
      <w:r>
        <w:t>Enhance</w:t>
      </w:r>
      <w:r>
        <w:rPr>
          <w:spacing w:val="-6"/>
        </w:rPr>
        <w:t xml:space="preserve"> </w:t>
      </w:r>
      <w:r>
        <w:rPr>
          <w:spacing w:val="-2"/>
        </w:rPr>
        <w:t>Motivation?</w:t>
      </w:r>
    </w:p>
    <w:p w14:paraId="40F21848" w14:textId="77777777" w:rsidR="00DB6E1F" w:rsidRDefault="00F666A6">
      <w:pPr>
        <w:pStyle w:val="BodyText"/>
        <w:spacing w:before="143"/>
        <w:ind w:left="1440" w:right="1555"/>
      </w:pPr>
      <w:r>
        <w:t>Although much progress has been made in identifying people who misuse substances and who have SUD and</w:t>
      </w:r>
      <w:r>
        <w:rPr>
          <w:spacing w:val="-2"/>
        </w:rPr>
        <w:t xml:space="preserve"> </w:t>
      </w:r>
      <w:r>
        <w:t>in</w:t>
      </w:r>
      <w:r>
        <w:rPr>
          <w:spacing w:val="-2"/>
        </w:rPr>
        <w:t xml:space="preserve"> </w:t>
      </w:r>
      <w:r>
        <w:t>using</w:t>
      </w:r>
      <w:r>
        <w:rPr>
          <w:spacing w:val="-2"/>
        </w:rPr>
        <w:t xml:space="preserve"> </w:t>
      </w:r>
      <w:r>
        <w:t>science-informed</w:t>
      </w:r>
      <w:r>
        <w:rPr>
          <w:spacing w:val="-2"/>
        </w:rPr>
        <w:t xml:space="preserve"> </w:t>
      </w:r>
      <w:r>
        <w:t>interventions</w:t>
      </w:r>
      <w:r>
        <w:rPr>
          <w:spacing w:val="-3"/>
        </w:rPr>
        <w:t xml:space="preserve"> </w:t>
      </w:r>
      <w:r>
        <w:t>such</w:t>
      </w:r>
      <w:r>
        <w:rPr>
          <w:spacing w:val="-4"/>
        </w:rPr>
        <w:t xml:space="preserve"> </w:t>
      </w:r>
      <w:r>
        <w:t>as</w:t>
      </w:r>
      <w:r>
        <w:rPr>
          <w:spacing w:val="-1"/>
        </w:rPr>
        <w:t xml:space="preserve"> </w:t>
      </w:r>
      <w:r>
        <w:t>motivational</w:t>
      </w:r>
      <w:r>
        <w:rPr>
          <w:spacing w:val="-1"/>
        </w:rPr>
        <w:t xml:space="preserve"> </w:t>
      </w:r>
      <w:r>
        <w:t>counseling</w:t>
      </w:r>
      <w:r>
        <w:rPr>
          <w:spacing w:val="-4"/>
        </w:rPr>
        <w:t xml:space="preserve"> </w:t>
      </w:r>
      <w:r>
        <w:t>approaches</w:t>
      </w:r>
      <w:r>
        <w:rPr>
          <w:spacing w:val="-3"/>
        </w:rPr>
        <w:t xml:space="preserve"> </w:t>
      </w:r>
      <w:r>
        <w:t>to</w:t>
      </w:r>
      <w:r>
        <w:rPr>
          <w:spacing w:val="-2"/>
        </w:rPr>
        <w:t xml:space="preserve"> </w:t>
      </w:r>
      <w:r>
        <w:t>treat them,</w:t>
      </w:r>
      <w:r>
        <w:rPr>
          <w:spacing w:val="-4"/>
        </w:rPr>
        <w:t xml:space="preserve"> </w:t>
      </w:r>
      <w:r>
        <w:t>the</w:t>
      </w:r>
      <w:r>
        <w:rPr>
          <w:spacing w:val="-4"/>
        </w:rPr>
        <w:t xml:space="preserve"> </w:t>
      </w:r>
      <w:r>
        <w:t>United</w:t>
      </w:r>
      <w:r>
        <w:rPr>
          <w:spacing w:val="-3"/>
        </w:rPr>
        <w:t xml:space="preserve"> </w:t>
      </w:r>
      <w:r>
        <w:t>States</w:t>
      </w:r>
      <w:r>
        <w:rPr>
          <w:spacing w:val="-4"/>
        </w:rPr>
        <w:t xml:space="preserve"> </w:t>
      </w:r>
      <w:r>
        <w:t>is</w:t>
      </w:r>
      <w:r>
        <w:rPr>
          <w:spacing w:val="-2"/>
        </w:rPr>
        <w:t xml:space="preserve"> </w:t>
      </w:r>
      <w:r>
        <w:t>still</w:t>
      </w:r>
      <w:r>
        <w:rPr>
          <w:spacing w:val="-2"/>
        </w:rPr>
        <w:t xml:space="preserve"> </w:t>
      </w:r>
      <w:r>
        <w:t>facing</w:t>
      </w:r>
      <w:r>
        <w:rPr>
          <w:spacing w:val="-3"/>
        </w:rPr>
        <w:t xml:space="preserve"> </w:t>
      </w:r>
      <w:r>
        <w:t>many</w:t>
      </w:r>
      <w:r>
        <w:rPr>
          <w:spacing w:val="-1"/>
        </w:rPr>
        <w:t xml:space="preserve"> </w:t>
      </w:r>
      <w:r>
        <w:t>SUD challenges.</w:t>
      </w:r>
      <w:r>
        <w:rPr>
          <w:spacing w:val="-2"/>
        </w:rPr>
        <w:t xml:space="preserve"> </w:t>
      </w:r>
      <w:r>
        <w:t>For</w:t>
      </w:r>
      <w:r>
        <w:rPr>
          <w:spacing w:val="-4"/>
        </w:rPr>
        <w:t xml:space="preserve"> </w:t>
      </w:r>
      <w:r>
        <w:t>example,</w:t>
      </w:r>
      <w:r>
        <w:rPr>
          <w:spacing w:val="-4"/>
        </w:rPr>
        <w:t xml:space="preserve"> </w:t>
      </w:r>
      <w:r>
        <w:t>the</w:t>
      </w:r>
      <w:r>
        <w:rPr>
          <w:spacing w:val="-1"/>
        </w:rPr>
        <w:t xml:space="preserve"> </w:t>
      </w:r>
      <w:r>
        <w:t>National</w:t>
      </w:r>
      <w:r>
        <w:rPr>
          <w:spacing w:val="-2"/>
        </w:rPr>
        <w:t xml:space="preserve"> </w:t>
      </w:r>
      <w:r>
        <w:t>Survey</w:t>
      </w:r>
      <w:r>
        <w:rPr>
          <w:spacing w:val="-3"/>
        </w:rPr>
        <w:t xml:space="preserve"> </w:t>
      </w:r>
      <w:r>
        <w:t>on</w:t>
      </w:r>
      <w:r>
        <w:rPr>
          <w:spacing w:val="-5"/>
        </w:rPr>
        <w:t xml:space="preserve"> </w:t>
      </w:r>
      <w:r>
        <w:t>Drug Use and Health (SAMHSA, 2018) reports that, in 2017, approximately:</w:t>
      </w:r>
    </w:p>
    <w:p w14:paraId="229A5C99" w14:textId="77777777" w:rsidR="00DB6E1F" w:rsidRDefault="00F666A6">
      <w:pPr>
        <w:pStyle w:val="ListParagraph"/>
        <w:numPr>
          <w:ilvl w:val="0"/>
          <w:numId w:val="92"/>
        </w:numPr>
        <w:tabs>
          <w:tab w:val="left" w:pos="1800"/>
          <w:tab w:val="left" w:pos="1801"/>
        </w:tabs>
        <w:spacing w:before="59"/>
        <w:ind w:left="1799" w:right="1439" w:hanging="360"/>
        <w:rPr>
          <w:rFonts w:ascii="Symbol" w:hAnsi="Symbol"/>
        </w:rPr>
      </w:pPr>
      <w:r>
        <w:t>140.6</w:t>
      </w:r>
      <w:r>
        <w:rPr>
          <w:spacing w:val="-3"/>
        </w:rPr>
        <w:t xml:space="preserve"> </w:t>
      </w:r>
      <w:r>
        <w:t>million</w:t>
      </w:r>
      <w:r>
        <w:rPr>
          <w:spacing w:val="-3"/>
        </w:rPr>
        <w:t xml:space="preserve"> </w:t>
      </w:r>
      <w:r>
        <w:t>Americans</w:t>
      </w:r>
      <w:r>
        <w:rPr>
          <w:spacing w:val="-2"/>
        </w:rPr>
        <w:t xml:space="preserve"> </w:t>
      </w:r>
      <w:r>
        <w:t>ages</w:t>
      </w:r>
      <w:r>
        <w:rPr>
          <w:spacing w:val="-2"/>
        </w:rPr>
        <w:t xml:space="preserve"> </w:t>
      </w:r>
      <w:r>
        <w:t>12</w:t>
      </w:r>
      <w:r>
        <w:rPr>
          <w:spacing w:val="-1"/>
        </w:rPr>
        <w:t xml:space="preserve"> </w:t>
      </w:r>
      <w:r>
        <w:t>and</w:t>
      </w:r>
      <w:r>
        <w:rPr>
          <w:spacing w:val="-5"/>
        </w:rPr>
        <w:t xml:space="preserve"> </w:t>
      </w:r>
      <w:r>
        <w:t>older</w:t>
      </w:r>
      <w:r>
        <w:rPr>
          <w:spacing w:val="-4"/>
        </w:rPr>
        <w:t xml:space="preserve"> </w:t>
      </w:r>
      <w:r>
        <w:t>currently</w:t>
      </w:r>
      <w:r>
        <w:rPr>
          <w:spacing w:val="-3"/>
        </w:rPr>
        <w:t xml:space="preserve"> </w:t>
      </w:r>
      <w:r>
        <w:t>consumed</w:t>
      </w:r>
      <w:r>
        <w:rPr>
          <w:spacing w:val="-3"/>
        </w:rPr>
        <w:t xml:space="preserve"> </w:t>
      </w:r>
      <w:r>
        <w:t>alcohol,</w:t>
      </w:r>
      <w:r>
        <w:rPr>
          <w:spacing w:val="-4"/>
        </w:rPr>
        <w:t xml:space="preserve"> </w:t>
      </w:r>
      <w:r>
        <w:t>66.6</w:t>
      </w:r>
      <w:r>
        <w:rPr>
          <w:spacing w:val="-3"/>
        </w:rPr>
        <w:t xml:space="preserve"> </w:t>
      </w:r>
      <w:r>
        <w:t>million</w:t>
      </w:r>
      <w:r>
        <w:rPr>
          <w:spacing w:val="-2"/>
        </w:rPr>
        <w:t xml:space="preserve"> </w:t>
      </w:r>
      <w:r>
        <w:t>engaged</w:t>
      </w:r>
      <w:r>
        <w:rPr>
          <w:spacing w:val="-2"/>
        </w:rPr>
        <w:t xml:space="preserve"> </w:t>
      </w:r>
      <w:r>
        <w:t>in</w:t>
      </w:r>
      <w:r>
        <w:rPr>
          <w:spacing w:val="-3"/>
        </w:rPr>
        <w:t xml:space="preserve"> </w:t>
      </w:r>
      <w:r>
        <w:t>past- month</w:t>
      </w:r>
      <w:r>
        <w:rPr>
          <w:spacing w:val="-1"/>
        </w:rPr>
        <w:t xml:space="preserve"> </w:t>
      </w:r>
      <w:r>
        <w:t>binge drinking</w:t>
      </w:r>
      <w:r>
        <w:rPr>
          <w:spacing w:val="-1"/>
        </w:rPr>
        <w:t xml:space="preserve"> </w:t>
      </w:r>
      <w:r>
        <w:t>(defined</w:t>
      </w:r>
      <w:r>
        <w:rPr>
          <w:spacing w:val="-1"/>
        </w:rPr>
        <w:t xml:space="preserve"> </w:t>
      </w:r>
      <w:r>
        <w:t>as 5</w:t>
      </w:r>
      <w:r>
        <w:rPr>
          <w:spacing w:val="-1"/>
        </w:rPr>
        <w:t xml:space="preserve"> </w:t>
      </w:r>
      <w:r>
        <w:t>or</w:t>
      </w:r>
      <w:r>
        <w:rPr>
          <w:spacing w:val="-3"/>
        </w:rPr>
        <w:t xml:space="preserve"> </w:t>
      </w:r>
      <w:r>
        <w:t>more</w:t>
      </w:r>
      <w:r>
        <w:rPr>
          <w:spacing w:val="-1"/>
        </w:rPr>
        <w:t xml:space="preserve"> </w:t>
      </w:r>
      <w:r>
        <w:t>drinks</w:t>
      </w:r>
      <w:r>
        <w:rPr>
          <w:spacing w:val="-2"/>
        </w:rPr>
        <w:t xml:space="preserve"> </w:t>
      </w:r>
      <w:r>
        <w:t>on</w:t>
      </w:r>
      <w:r>
        <w:rPr>
          <w:spacing w:val="-3"/>
        </w:rPr>
        <w:t xml:space="preserve"> </w:t>
      </w:r>
      <w:r>
        <w:t>the same</w:t>
      </w:r>
      <w:r>
        <w:rPr>
          <w:spacing w:val="-2"/>
        </w:rPr>
        <w:t xml:space="preserve"> </w:t>
      </w:r>
      <w:r>
        <w:t>occasion</w:t>
      </w:r>
      <w:r>
        <w:rPr>
          <w:spacing w:val="-3"/>
        </w:rPr>
        <w:t xml:space="preserve"> </w:t>
      </w:r>
      <w:r>
        <w:t>on</w:t>
      </w:r>
      <w:r>
        <w:rPr>
          <w:spacing w:val="-1"/>
        </w:rPr>
        <w:t xml:space="preserve"> </w:t>
      </w:r>
      <w:r>
        <w:t>at least 1</w:t>
      </w:r>
      <w:r>
        <w:rPr>
          <w:spacing w:val="-2"/>
        </w:rPr>
        <w:t xml:space="preserve"> </w:t>
      </w:r>
      <w:r>
        <w:t>day in</w:t>
      </w:r>
      <w:r>
        <w:rPr>
          <w:spacing w:val="-3"/>
        </w:rPr>
        <w:t xml:space="preserve"> </w:t>
      </w:r>
      <w:r>
        <w:t>the past 30 days for men and 4 or more drinks on the same occasion on at least 1 day in the past 30 days for women), and 16.7 million drank heavily in the past month (defined as binge drinking on 5 or more days in the past 30 days).</w:t>
      </w:r>
    </w:p>
    <w:p w14:paraId="16DF1647" w14:textId="77777777" w:rsidR="00DB6E1F" w:rsidRDefault="00F666A6">
      <w:pPr>
        <w:pStyle w:val="ListParagraph"/>
        <w:numPr>
          <w:ilvl w:val="0"/>
          <w:numId w:val="92"/>
        </w:numPr>
        <w:tabs>
          <w:tab w:val="left" w:pos="1799"/>
          <w:tab w:val="left" w:pos="1800"/>
        </w:tabs>
        <w:spacing w:before="61"/>
        <w:ind w:left="1799"/>
        <w:rPr>
          <w:rFonts w:ascii="Symbol" w:hAnsi="Symbol"/>
        </w:rPr>
      </w:pPr>
      <w:r>
        <w:t>30.5</w:t>
      </w:r>
      <w:r>
        <w:rPr>
          <w:spacing w:val="-9"/>
        </w:rPr>
        <w:t xml:space="preserve"> </w:t>
      </w:r>
      <w:r>
        <w:t>million</w:t>
      </w:r>
      <w:r>
        <w:rPr>
          <w:spacing w:val="-3"/>
        </w:rPr>
        <w:t xml:space="preserve"> </w:t>
      </w:r>
      <w:r>
        <w:t>people</w:t>
      </w:r>
      <w:r>
        <w:rPr>
          <w:spacing w:val="-5"/>
        </w:rPr>
        <w:t xml:space="preserve"> </w:t>
      </w:r>
      <w:r>
        <w:t>age</w:t>
      </w:r>
      <w:r>
        <w:t>s</w:t>
      </w:r>
      <w:r>
        <w:rPr>
          <w:spacing w:val="-4"/>
        </w:rPr>
        <w:t xml:space="preserve"> </w:t>
      </w:r>
      <w:r>
        <w:t>12</w:t>
      </w:r>
      <w:r>
        <w:rPr>
          <w:spacing w:val="-4"/>
        </w:rPr>
        <w:t xml:space="preserve"> </w:t>
      </w:r>
      <w:r>
        <w:t>and</w:t>
      </w:r>
      <w:r>
        <w:rPr>
          <w:spacing w:val="-4"/>
        </w:rPr>
        <w:t xml:space="preserve"> </w:t>
      </w:r>
      <w:r>
        <w:t>older</w:t>
      </w:r>
      <w:r>
        <w:rPr>
          <w:spacing w:val="-2"/>
        </w:rPr>
        <w:t xml:space="preserve"> </w:t>
      </w:r>
      <w:r>
        <w:t>had</w:t>
      </w:r>
      <w:r>
        <w:rPr>
          <w:spacing w:val="-4"/>
        </w:rPr>
        <w:t xml:space="preserve"> </w:t>
      </w:r>
      <w:r>
        <w:t>past-month</w:t>
      </w:r>
      <w:r>
        <w:rPr>
          <w:spacing w:val="-5"/>
        </w:rPr>
        <w:t xml:space="preserve"> </w:t>
      </w:r>
      <w:r>
        <w:t>illicit</w:t>
      </w:r>
      <w:r>
        <w:rPr>
          <w:spacing w:val="-2"/>
        </w:rPr>
        <w:t xml:space="preserve"> </w:t>
      </w:r>
      <w:r>
        <w:t>drug</w:t>
      </w:r>
      <w:r>
        <w:rPr>
          <w:spacing w:val="-3"/>
        </w:rPr>
        <w:t xml:space="preserve"> </w:t>
      </w:r>
      <w:r>
        <w:rPr>
          <w:spacing w:val="-4"/>
        </w:rPr>
        <w:t>use.</w:t>
      </w:r>
    </w:p>
    <w:p w14:paraId="07665A38" w14:textId="77777777" w:rsidR="00DB6E1F" w:rsidRDefault="00F666A6">
      <w:pPr>
        <w:pStyle w:val="ListParagraph"/>
        <w:numPr>
          <w:ilvl w:val="0"/>
          <w:numId w:val="92"/>
        </w:numPr>
        <w:tabs>
          <w:tab w:val="left" w:pos="1799"/>
          <w:tab w:val="left" w:pos="1800"/>
        </w:tabs>
        <w:spacing w:before="58"/>
        <w:ind w:left="1799" w:right="1699" w:hanging="360"/>
        <w:rPr>
          <w:rFonts w:ascii="Symbol" w:hAnsi="Symbol"/>
        </w:rPr>
      </w:pPr>
      <w:r>
        <w:t>11.4</w:t>
      </w:r>
      <w:r>
        <w:rPr>
          <w:spacing w:val="-6"/>
        </w:rPr>
        <w:t xml:space="preserve"> </w:t>
      </w:r>
      <w:r>
        <w:t>million</w:t>
      </w:r>
      <w:r>
        <w:rPr>
          <w:spacing w:val="-3"/>
        </w:rPr>
        <w:t xml:space="preserve"> </w:t>
      </w:r>
      <w:r>
        <w:t>people</w:t>
      </w:r>
      <w:r>
        <w:rPr>
          <w:spacing w:val="-3"/>
        </w:rPr>
        <w:t xml:space="preserve"> </w:t>
      </w:r>
      <w:r>
        <w:t>misused</w:t>
      </w:r>
      <w:r>
        <w:rPr>
          <w:spacing w:val="-3"/>
        </w:rPr>
        <w:t xml:space="preserve"> </w:t>
      </w:r>
      <w:r>
        <w:t>opioids</w:t>
      </w:r>
      <w:r>
        <w:rPr>
          <w:spacing w:val="-4"/>
        </w:rPr>
        <w:t xml:space="preserve"> </w:t>
      </w:r>
      <w:r>
        <w:t>(defined</w:t>
      </w:r>
      <w:r>
        <w:rPr>
          <w:spacing w:val="-3"/>
        </w:rPr>
        <w:t xml:space="preserve"> </w:t>
      </w:r>
      <w:r>
        <w:t>as</w:t>
      </w:r>
      <w:r>
        <w:rPr>
          <w:spacing w:val="-4"/>
        </w:rPr>
        <w:t xml:space="preserve"> </w:t>
      </w:r>
      <w:r>
        <w:t>prescription</w:t>
      </w:r>
      <w:r>
        <w:rPr>
          <w:spacing w:val="-2"/>
        </w:rPr>
        <w:t xml:space="preserve"> </w:t>
      </w:r>
      <w:r>
        <w:t>pain</w:t>
      </w:r>
      <w:r>
        <w:rPr>
          <w:spacing w:val="-3"/>
        </w:rPr>
        <w:t xml:space="preserve"> </w:t>
      </w:r>
      <w:r>
        <w:t>reliever</w:t>
      </w:r>
      <w:r>
        <w:rPr>
          <w:spacing w:val="-4"/>
        </w:rPr>
        <w:t xml:space="preserve"> </w:t>
      </w:r>
      <w:r>
        <w:t>misuse</w:t>
      </w:r>
      <w:r>
        <w:rPr>
          <w:spacing w:val="-4"/>
        </w:rPr>
        <w:t xml:space="preserve"> </w:t>
      </w:r>
      <w:r>
        <w:t>or</w:t>
      </w:r>
      <w:r>
        <w:rPr>
          <w:spacing w:val="-2"/>
        </w:rPr>
        <w:t xml:space="preserve"> </w:t>
      </w:r>
      <w:r>
        <w:t>heroin</w:t>
      </w:r>
      <w:r>
        <w:rPr>
          <w:spacing w:val="-2"/>
        </w:rPr>
        <w:t xml:space="preserve"> </w:t>
      </w:r>
      <w:r>
        <w:t>use)</w:t>
      </w:r>
      <w:r>
        <w:rPr>
          <w:spacing w:val="-2"/>
        </w:rPr>
        <w:t xml:space="preserve"> </w:t>
      </w:r>
      <w:r>
        <w:t>in the past year.</w:t>
      </w:r>
    </w:p>
    <w:p w14:paraId="7C9FC133" w14:textId="77777777" w:rsidR="00DB6E1F" w:rsidRDefault="00F666A6">
      <w:pPr>
        <w:pStyle w:val="ListParagraph"/>
        <w:numPr>
          <w:ilvl w:val="0"/>
          <w:numId w:val="92"/>
        </w:numPr>
        <w:tabs>
          <w:tab w:val="left" w:pos="1799"/>
          <w:tab w:val="left" w:pos="1800"/>
        </w:tabs>
        <w:ind w:left="1799" w:right="1403" w:hanging="360"/>
        <w:rPr>
          <w:rFonts w:ascii="Symbol" w:hAnsi="Symbol"/>
        </w:rPr>
      </w:pPr>
      <w:r>
        <w:t>8.5</w:t>
      </w:r>
      <w:r>
        <w:rPr>
          <w:spacing w:val="-2"/>
        </w:rPr>
        <w:t xml:space="preserve"> </w:t>
      </w:r>
      <w:r>
        <w:t>million</w:t>
      </w:r>
      <w:r>
        <w:rPr>
          <w:spacing w:val="-4"/>
        </w:rPr>
        <w:t xml:space="preserve"> </w:t>
      </w:r>
      <w:r>
        <w:t>adults</w:t>
      </w:r>
      <w:r>
        <w:rPr>
          <w:spacing w:val="-1"/>
        </w:rPr>
        <w:t xml:space="preserve"> </w:t>
      </w:r>
      <w:r>
        <w:t>ages</w:t>
      </w:r>
      <w:r>
        <w:rPr>
          <w:spacing w:val="-3"/>
        </w:rPr>
        <w:t xml:space="preserve"> </w:t>
      </w:r>
      <w:r>
        <w:t>18 and</w:t>
      </w:r>
      <w:r>
        <w:rPr>
          <w:spacing w:val="-2"/>
        </w:rPr>
        <w:t xml:space="preserve"> </w:t>
      </w:r>
      <w:r>
        <w:t>older</w:t>
      </w:r>
      <w:r>
        <w:rPr>
          <w:spacing w:val="-1"/>
        </w:rPr>
        <w:t xml:space="preserve"> </w:t>
      </w:r>
      <w:r>
        <w:t>(3.4</w:t>
      </w:r>
      <w:r>
        <w:rPr>
          <w:spacing w:val="-3"/>
        </w:rPr>
        <w:t xml:space="preserve"> </w:t>
      </w:r>
      <w:r>
        <w:t>percent</w:t>
      </w:r>
      <w:r>
        <w:rPr>
          <w:spacing w:val="-1"/>
        </w:rPr>
        <w:t xml:space="preserve"> </w:t>
      </w:r>
      <w:r>
        <w:t>of</w:t>
      </w:r>
      <w:r>
        <w:rPr>
          <w:spacing w:val="-4"/>
        </w:rPr>
        <w:t xml:space="preserve"> </w:t>
      </w:r>
      <w:r>
        <w:t>all</w:t>
      </w:r>
      <w:r>
        <w:rPr>
          <w:spacing w:val="-4"/>
        </w:rPr>
        <w:t xml:space="preserve"> </w:t>
      </w:r>
      <w:r>
        <w:t>adults)</w:t>
      </w:r>
      <w:r>
        <w:rPr>
          <w:spacing w:val="-1"/>
        </w:rPr>
        <w:t xml:space="preserve"> </w:t>
      </w:r>
      <w:r>
        <w:t>had both</w:t>
      </w:r>
      <w:r>
        <w:rPr>
          <w:spacing w:val="-3"/>
        </w:rPr>
        <w:t xml:space="preserve"> </w:t>
      </w:r>
      <w:r>
        <w:t>a</w:t>
      </w:r>
      <w:r>
        <w:rPr>
          <w:spacing w:val="-4"/>
        </w:rPr>
        <w:t xml:space="preserve"> </w:t>
      </w:r>
      <w:r>
        <w:t>mental</w:t>
      </w:r>
      <w:r>
        <w:rPr>
          <w:spacing w:val="-6"/>
        </w:rPr>
        <w:t xml:space="preserve"> </w:t>
      </w:r>
      <w:r>
        <w:t>disorder</w:t>
      </w:r>
      <w:r>
        <w:rPr>
          <w:spacing w:val="-1"/>
        </w:rPr>
        <w:t xml:space="preserve"> </w:t>
      </w:r>
      <w:r>
        <w:t>and</w:t>
      </w:r>
      <w:r>
        <w:rPr>
          <w:spacing w:val="-2"/>
        </w:rPr>
        <w:t xml:space="preserve"> </w:t>
      </w:r>
      <w:r>
        <w:t>at least one past-year SUD.</w:t>
      </w:r>
    </w:p>
    <w:p w14:paraId="17C3BDD6" w14:textId="77777777" w:rsidR="00DB6E1F" w:rsidRDefault="00F666A6">
      <w:pPr>
        <w:pStyle w:val="ListParagraph"/>
        <w:numPr>
          <w:ilvl w:val="0"/>
          <w:numId w:val="92"/>
        </w:numPr>
        <w:tabs>
          <w:tab w:val="left" w:pos="1798"/>
          <w:tab w:val="left" w:pos="1800"/>
        </w:tabs>
        <w:spacing w:before="61"/>
        <w:ind w:left="1799" w:hanging="362"/>
        <w:rPr>
          <w:rFonts w:ascii="Symbol" w:hAnsi="Symbol"/>
        </w:rPr>
      </w:pPr>
      <w:r>
        <w:t>18.2</w:t>
      </w:r>
      <w:r>
        <w:rPr>
          <w:spacing w:val="-10"/>
        </w:rPr>
        <w:t xml:space="preserve"> </w:t>
      </w:r>
      <w:r>
        <w:t>million</w:t>
      </w:r>
      <w:r>
        <w:rPr>
          <w:spacing w:val="-5"/>
        </w:rPr>
        <w:t xml:space="preserve"> </w:t>
      </w:r>
      <w:r>
        <w:t>people</w:t>
      </w:r>
      <w:r>
        <w:rPr>
          <w:spacing w:val="-5"/>
        </w:rPr>
        <w:t xml:space="preserve"> </w:t>
      </w:r>
      <w:r>
        <w:t>who</w:t>
      </w:r>
      <w:r>
        <w:rPr>
          <w:spacing w:val="-5"/>
        </w:rPr>
        <w:t xml:space="preserve"> </w:t>
      </w:r>
      <w:r>
        <w:t>needed</w:t>
      </w:r>
      <w:r>
        <w:rPr>
          <w:spacing w:val="-5"/>
        </w:rPr>
        <w:t xml:space="preserve"> </w:t>
      </w:r>
      <w:r>
        <w:t>SUD</w:t>
      </w:r>
      <w:r>
        <w:rPr>
          <w:spacing w:val="-5"/>
        </w:rPr>
        <w:t xml:space="preserve"> </w:t>
      </w:r>
      <w:r>
        <w:t>treatment</w:t>
      </w:r>
      <w:r>
        <w:rPr>
          <w:spacing w:val="-2"/>
        </w:rPr>
        <w:t xml:space="preserve"> </w:t>
      </w:r>
      <w:r>
        <w:t>did</w:t>
      </w:r>
      <w:r>
        <w:rPr>
          <w:spacing w:val="-5"/>
        </w:rPr>
        <w:t xml:space="preserve"> </w:t>
      </w:r>
      <w:r>
        <w:t>not</w:t>
      </w:r>
      <w:r>
        <w:rPr>
          <w:spacing w:val="-4"/>
        </w:rPr>
        <w:t xml:space="preserve"> </w:t>
      </w:r>
      <w:r>
        <w:t>receive</w:t>
      </w:r>
      <w:r>
        <w:rPr>
          <w:spacing w:val="-4"/>
        </w:rPr>
        <w:t xml:space="preserve"> </w:t>
      </w:r>
      <w:r>
        <w:t>specialty</w:t>
      </w:r>
      <w:r>
        <w:rPr>
          <w:spacing w:val="-4"/>
        </w:rPr>
        <w:t xml:space="preserve"> </w:t>
      </w:r>
      <w:r>
        <w:rPr>
          <w:spacing w:val="-2"/>
        </w:rPr>
        <w:t>treatment.</w:t>
      </w:r>
    </w:p>
    <w:p w14:paraId="4B567B68" w14:textId="77777777" w:rsidR="00DB6E1F" w:rsidRDefault="00F666A6">
      <w:pPr>
        <w:pStyle w:val="ListParagraph"/>
        <w:numPr>
          <w:ilvl w:val="0"/>
          <w:numId w:val="92"/>
        </w:numPr>
        <w:tabs>
          <w:tab w:val="left" w:pos="1798"/>
          <w:tab w:val="left" w:pos="1799"/>
        </w:tabs>
        <w:spacing w:before="58"/>
        <w:ind w:left="1798" w:right="1695"/>
        <w:rPr>
          <w:rFonts w:ascii="Symbol" w:hAnsi="Symbol"/>
        </w:rPr>
      </w:pPr>
      <w:r>
        <w:t>One-third</w:t>
      </w:r>
      <w:r>
        <w:rPr>
          <w:spacing w:val="-4"/>
        </w:rPr>
        <w:t xml:space="preserve"> </w:t>
      </w:r>
      <w:r>
        <w:t>of</w:t>
      </w:r>
      <w:r>
        <w:rPr>
          <w:spacing w:val="-6"/>
        </w:rPr>
        <w:t xml:space="preserve"> </w:t>
      </w:r>
      <w:r>
        <w:t>people</w:t>
      </w:r>
      <w:r>
        <w:rPr>
          <w:spacing w:val="-2"/>
        </w:rPr>
        <w:t xml:space="preserve"> </w:t>
      </w:r>
      <w:r>
        <w:t>who</w:t>
      </w:r>
      <w:r>
        <w:rPr>
          <w:spacing w:val="-2"/>
        </w:rPr>
        <w:t xml:space="preserve"> </w:t>
      </w:r>
      <w:r>
        <w:t>perceived</w:t>
      </w:r>
      <w:r>
        <w:rPr>
          <w:spacing w:val="-4"/>
        </w:rPr>
        <w:t xml:space="preserve"> </w:t>
      </w:r>
      <w:r>
        <w:t>a</w:t>
      </w:r>
      <w:r>
        <w:rPr>
          <w:spacing w:val="-3"/>
        </w:rPr>
        <w:t xml:space="preserve"> </w:t>
      </w:r>
      <w:r>
        <w:t>need</w:t>
      </w:r>
      <w:r>
        <w:rPr>
          <w:spacing w:val="-4"/>
        </w:rPr>
        <w:t xml:space="preserve"> </w:t>
      </w:r>
      <w:r>
        <w:t>for</w:t>
      </w:r>
      <w:r>
        <w:rPr>
          <w:spacing w:val="-3"/>
        </w:rPr>
        <w:t xml:space="preserve"> </w:t>
      </w:r>
      <w:r>
        <w:t>addiction</w:t>
      </w:r>
      <w:r>
        <w:rPr>
          <w:spacing w:val="-3"/>
        </w:rPr>
        <w:t xml:space="preserve"> </w:t>
      </w:r>
      <w:r>
        <w:t>treatment</w:t>
      </w:r>
      <w:r>
        <w:rPr>
          <w:spacing w:val="-2"/>
        </w:rPr>
        <w:t xml:space="preserve"> </w:t>
      </w:r>
      <w:r>
        <w:t>did</w:t>
      </w:r>
      <w:r>
        <w:rPr>
          <w:spacing w:val="-4"/>
        </w:rPr>
        <w:t xml:space="preserve"> </w:t>
      </w:r>
      <w:r>
        <w:t>not</w:t>
      </w:r>
      <w:r>
        <w:rPr>
          <w:spacing w:val="-2"/>
        </w:rPr>
        <w:t xml:space="preserve"> </w:t>
      </w:r>
      <w:r>
        <w:t>receive</w:t>
      </w:r>
      <w:r>
        <w:rPr>
          <w:spacing w:val="-3"/>
        </w:rPr>
        <w:t xml:space="preserve"> </w:t>
      </w:r>
      <w:r>
        <w:t>it</w:t>
      </w:r>
      <w:r>
        <w:rPr>
          <w:spacing w:val="-2"/>
        </w:rPr>
        <w:t xml:space="preserve"> </w:t>
      </w:r>
      <w:r>
        <w:t>because</w:t>
      </w:r>
      <w:r>
        <w:rPr>
          <w:spacing w:val="-2"/>
        </w:rPr>
        <w:t xml:space="preserve"> </w:t>
      </w:r>
      <w:r>
        <w:t>they lacked health insurance and could not pay for services.</w:t>
      </w:r>
    </w:p>
    <w:p w14:paraId="4FC91541" w14:textId="77777777" w:rsidR="00DB6E1F" w:rsidRDefault="00F666A6">
      <w:pPr>
        <w:spacing w:before="162"/>
        <w:ind w:left="1438"/>
      </w:pPr>
      <w:r>
        <w:rPr>
          <w:b/>
        </w:rPr>
        <w:t>Enhancing</w:t>
      </w:r>
      <w:r>
        <w:rPr>
          <w:b/>
          <w:spacing w:val="-7"/>
        </w:rPr>
        <w:t xml:space="preserve"> </w:t>
      </w:r>
      <w:r>
        <w:rPr>
          <w:b/>
        </w:rPr>
        <w:t>motivation</w:t>
      </w:r>
      <w:r>
        <w:rPr>
          <w:b/>
          <w:spacing w:val="-6"/>
        </w:rPr>
        <w:t xml:space="preserve"> </w:t>
      </w:r>
      <w:r>
        <w:rPr>
          <w:b/>
        </w:rPr>
        <w:t>can</w:t>
      </w:r>
      <w:r>
        <w:rPr>
          <w:b/>
          <w:spacing w:val="-5"/>
        </w:rPr>
        <w:t xml:space="preserve"> </w:t>
      </w:r>
      <w:r>
        <w:rPr>
          <w:b/>
        </w:rPr>
        <w:t>improve</w:t>
      </w:r>
      <w:r>
        <w:rPr>
          <w:b/>
          <w:spacing w:val="-6"/>
        </w:rPr>
        <w:t xml:space="preserve"> </w:t>
      </w:r>
      <w:r>
        <w:rPr>
          <w:b/>
        </w:rPr>
        <w:t>addiction</w:t>
      </w:r>
      <w:r>
        <w:rPr>
          <w:b/>
          <w:spacing w:val="-4"/>
        </w:rPr>
        <w:t xml:space="preserve"> </w:t>
      </w:r>
      <w:r>
        <w:rPr>
          <w:b/>
        </w:rPr>
        <w:t>treatment</w:t>
      </w:r>
      <w:r>
        <w:rPr>
          <w:b/>
          <w:spacing w:val="-4"/>
        </w:rPr>
        <w:t xml:space="preserve"> </w:t>
      </w:r>
      <w:r>
        <w:rPr>
          <w:b/>
        </w:rPr>
        <w:t>outcomes.</w:t>
      </w:r>
      <w:r>
        <w:rPr>
          <w:b/>
          <w:spacing w:val="-5"/>
        </w:rPr>
        <w:t xml:space="preserve"> </w:t>
      </w:r>
      <w:r>
        <w:t>In</w:t>
      </w:r>
      <w:r>
        <w:rPr>
          <w:spacing w:val="-5"/>
        </w:rPr>
        <w:t xml:space="preserve"> </w:t>
      </w:r>
      <w:r>
        <w:t>the</w:t>
      </w:r>
      <w:r>
        <w:rPr>
          <w:spacing w:val="-5"/>
        </w:rPr>
        <w:t xml:space="preserve"> </w:t>
      </w:r>
      <w:r>
        <w:t>United</w:t>
      </w:r>
      <w:r>
        <w:rPr>
          <w:spacing w:val="-5"/>
        </w:rPr>
        <w:t xml:space="preserve"> </w:t>
      </w:r>
      <w:r>
        <w:t>States,</w:t>
      </w:r>
      <w:r>
        <w:rPr>
          <w:spacing w:val="-5"/>
        </w:rPr>
        <w:t xml:space="preserve"> </w:t>
      </w:r>
      <w:r>
        <w:t>millions</w:t>
      </w:r>
      <w:r>
        <w:rPr>
          <w:spacing w:val="-5"/>
        </w:rPr>
        <w:t xml:space="preserve"> of</w:t>
      </w:r>
    </w:p>
    <w:p w14:paraId="70413B99" w14:textId="77777777" w:rsidR="00DB6E1F" w:rsidRDefault="00DB6E1F">
      <w:pPr>
        <w:sectPr w:rsidR="00DB6E1F">
          <w:pgSz w:w="12240" w:h="15840"/>
          <w:pgMar w:top="1200" w:right="0" w:bottom="780" w:left="0" w:header="763" w:footer="585" w:gutter="0"/>
          <w:cols w:space="720"/>
        </w:sectPr>
      </w:pPr>
    </w:p>
    <w:p w14:paraId="11984662" w14:textId="77777777" w:rsidR="00DB6E1F" w:rsidRDefault="00DB6E1F">
      <w:pPr>
        <w:pStyle w:val="BodyText"/>
        <w:spacing w:before="8"/>
        <w:rPr>
          <w:sz w:val="14"/>
        </w:rPr>
      </w:pPr>
    </w:p>
    <w:p w14:paraId="19D0E35D" w14:textId="77777777" w:rsidR="00DB6E1F" w:rsidRDefault="00F666A6">
      <w:pPr>
        <w:pStyle w:val="BodyText"/>
        <w:spacing w:before="56"/>
        <w:ind w:left="1439" w:right="1491"/>
      </w:pPr>
      <w:r>
        <w:t>people</w:t>
      </w:r>
      <w:r>
        <w:rPr>
          <w:spacing w:val="-4"/>
        </w:rPr>
        <w:t xml:space="preserve"> </w:t>
      </w:r>
      <w:r>
        <w:t>with</w:t>
      </w:r>
      <w:r>
        <w:rPr>
          <w:spacing w:val="-3"/>
        </w:rPr>
        <w:t xml:space="preserve"> </w:t>
      </w:r>
      <w:r>
        <w:t>SUDs</w:t>
      </w:r>
      <w:r>
        <w:rPr>
          <w:spacing w:val="-2"/>
        </w:rPr>
        <w:t xml:space="preserve"> </w:t>
      </w:r>
      <w:r>
        <w:t>are</w:t>
      </w:r>
      <w:r>
        <w:rPr>
          <w:spacing w:val="-1"/>
        </w:rPr>
        <w:t xml:space="preserve"> </w:t>
      </w:r>
      <w:r>
        <w:t>not</w:t>
      </w:r>
      <w:r>
        <w:rPr>
          <w:spacing w:val="-1"/>
        </w:rPr>
        <w:t xml:space="preserve"> </w:t>
      </w:r>
      <w:r>
        <w:t>receiving</w:t>
      </w:r>
      <w:r>
        <w:rPr>
          <w:spacing w:val="-3"/>
        </w:rPr>
        <w:t xml:space="preserve"> </w:t>
      </w:r>
      <w:r>
        <w:t>treatment.</w:t>
      </w:r>
      <w:r>
        <w:rPr>
          <w:spacing w:val="-5"/>
        </w:rPr>
        <w:t xml:space="preserve"> </w:t>
      </w:r>
      <w:r>
        <w:t>Many</w:t>
      </w:r>
      <w:r>
        <w:rPr>
          <w:spacing w:val="-4"/>
        </w:rPr>
        <w:t xml:space="preserve"> </w:t>
      </w:r>
      <w:r>
        <w:t>do</w:t>
      </w:r>
      <w:r>
        <w:rPr>
          <w:spacing w:val="-1"/>
        </w:rPr>
        <w:t xml:space="preserve"> </w:t>
      </w:r>
      <w:r>
        <w:t>not</w:t>
      </w:r>
      <w:r>
        <w:rPr>
          <w:spacing w:val="-1"/>
        </w:rPr>
        <w:t xml:space="preserve"> </w:t>
      </w:r>
      <w:r>
        <w:t>seek</w:t>
      </w:r>
      <w:r>
        <w:rPr>
          <w:spacing w:val="-4"/>
        </w:rPr>
        <w:t xml:space="preserve"> </w:t>
      </w:r>
      <w:r>
        <w:t>treatment</w:t>
      </w:r>
      <w:r>
        <w:rPr>
          <w:spacing w:val="-1"/>
        </w:rPr>
        <w:t xml:space="preserve"> </w:t>
      </w:r>
      <w:r>
        <w:t>because</w:t>
      </w:r>
      <w:r>
        <w:rPr>
          <w:spacing w:val="-1"/>
        </w:rPr>
        <w:t xml:space="preserve"> </w:t>
      </w:r>
      <w:r>
        <w:t>th</w:t>
      </w:r>
      <w:r>
        <w:t>eir</w:t>
      </w:r>
      <w:r>
        <w:rPr>
          <w:spacing w:val="-4"/>
        </w:rPr>
        <w:t xml:space="preserve"> </w:t>
      </w:r>
      <w:r>
        <w:t>motivation</w:t>
      </w:r>
      <w:r>
        <w:rPr>
          <w:spacing w:val="-3"/>
        </w:rPr>
        <w:t xml:space="preserve"> </w:t>
      </w:r>
      <w:r>
        <w:t>to change their substance use behaviors is low. Motivational counseling approaches are associated with greater participation in treatment and positive treatment outcomes. Such outcomes include increased motivation to change; reductions in co</w:t>
      </w:r>
      <w:r>
        <w:t>nsumption of alcohol, tobacco, cannabis, and other substances; increased abstinence rates; higher client confidence in ability to change behaviors; and greater treatment engagement (Copeland, McNamara, Kelson, &amp; Simpson, 2015; DiClemente et al., 2017; Lund</w:t>
      </w:r>
      <w:r>
        <w:t>ahl et al., 2013; Smedslund et al., 2011).</w:t>
      </w:r>
    </w:p>
    <w:p w14:paraId="7DAF1E61" w14:textId="77777777" w:rsidR="00DB6E1F" w:rsidRDefault="00F666A6">
      <w:pPr>
        <w:pStyle w:val="BodyText"/>
        <w:spacing w:before="160"/>
        <w:ind w:left="1439"/>
      </w:pPr>
      <w:r>
        <w:t>The</w:t>
      </w:r>
      <w:r>
        <w:rPr>
          <w:spacing w:val="-5"/>
        </w:rPr>
        <w:t xml:space="preserve"> </w:t>
      </w:r>
      <w:r>
        <w:t>benefits</w:t>
      </w:r>
      <w:r>
        <w:rPr>
          <w:spacing w:val="-6"/>
        </w:rPr>
        <w:t xml:space="preserve"> </w:t>
      </w:r>
      <w:r>
        <w:t>of</w:t>
      </w:r>
      <w:r>
        <w:rPr>
          <w:spacing w:val="-8"/>
        </w:rPr>
        <w:t xml:space="preserve"> </w:t>
      </w:r>
      <w:r>
        <w:t>motivational</w:t>
      </w:r>
      <w:r>
        <w:rPr>
          <w:spacing w:val="-5"/>
        </w:rPr>
        <w:t xml:space="preserve"> </w:t>
      </w:r>
      <w:r>
        <w:t>enhancement</w:t>
      </w:r>
      <w:r>
        <w:rPr>
          <w:spacing w:val="-7"/>
        </w:rPr>
        <w:t xml:space="preserve"> </w:t>
      </w:r>
      <w:r>
        <w:t>approaches</w:t>
      </w:r>
      <w:r>
        <w:rPr>
          <w:spacing w:val="-4"/>
        </w:rPr>
        <w:t xml:space="preserve"> </w:t>
      </w:r>
      <w:r>
        <w:rPr>
          <w:spacing w:val="-2"/>
        </w:rPr>
        <w:t>include:</w:t>
      </w:r>
    </w:p>
    <w:p w14:paraId="422D66E6" w14:textId="77777777" w:rsidR="00DB6E1F" w:rsidRDefault="00F666A6">
      <w:pPr>
        <w:pStyle w:val="ListParagraph"/>
        <w:numPr>
          <w:ilvl w:val="0"/>
          <w:numId w:val="92"/>
        </w:numPr>
        <w:tabs>
          <w:tab w:val="left" w:pos="1799"/>
          <w:tab w:val="left" w:pos="1800"/>
        </w:tabs>
        <w:ind w:left="1799"/>
        <w:rPr>
          <w:rFonts w:ascii="Symbol" w:hAnsi="Symbol"/>
        </w:rPr>
      </w:pPr>
      <w:r>
        <w:t>Enhancing</w:t>
      </w:r>
      <w:r>
        <w:rPr>
          <w:spacing w:val="-5"/>
        </w:rPr>
        <w:t xml:space="preserve"> </w:t>
      </w:r>
      <w:r>
        <w:t>motivation</w:t>
      </w:r>
      <w:r>
        <w:rPr>
          <w:spacing w:val="-6"/>
        </w:rPr>
        <w:t xml:space="preserve"> </w:t>
      </w:r>
      <w:r>
        <w:t>to</w:t>
      </w:r>
      <w:r>
        <w:rPr>
          <w:spacing w:val="-4"/>
        </w:rPr>
        <w:t xml:space="preserve"> </w:t>
      </w:r>
      <w:r>
        <w:rPr>
          <w:spacing w:val="-2"/>
        </w:rPr>
        <w:t>change.</w:t>
      </w:r>
    </w:p>
    <w:p w14:paraId="62D1628A" w14:textId="77777777" w:rsidR="00DB6E1F" w:rsidRDefault="00F666A6">
      <w:pPr>
        <w:pStyle w:val="ListParagraph"/>
        <w:numPr>
          <w:ilvl w:val="0"/>
          <w:numId w:val="92"/>
        </w:numPr>
        <w:tabs>
          <w:tab w:val="left" w:pos="1799"/>
          <w:tab w:val="left" w:pos="1800"/>
        </w:tabs>
        <w:spacing w:before="61"/>
        <w:ind w:left="1799"/>
        <w:rPr>
          <w:rFonts w:ascii="Symbol" w:hAnsi="Symbol"/>
        </w:rPr>
      </w:pPr>
      <w:r>
        <w:t>Preparing</w:t>
      </w:r>
      <w:r>
        <w:rPr>
          <w:spacing w:val="-5"/>
        </w:rPr>
        <w:t xml:space="preserve"> </w:t>
      </w:r>
      <w:r>
        <w:t>clients</w:t>
      </w:r>
      <w:r>
        <w:rPr>
          <w:spacing w:val="-4"/>
        </w:rPr>
        <w:t xml:space="preserve"> </w:t>
      </w:r>
      <w:r>
        <w:t>to</w:t>
      </w:r>
      <w:r>
        <w:rPr>
          <w:spacing w:val="-5"/>
        </w:rPr>
        <w:t xml:space="preserve"> </w:t>
      </w:r>
      <w:r>
        <w:t>enter</w:t>
      </w:r>
      <w:r>
        <w:rPr>
          <w:spacing w:val="-6"/>
        </w:rPr>
        <w:t xml:space="preserve"> </w:t>
      </w:r>
      <w:r>
        <w:rPr>
          <w:spacing w:val="-2"/>
        </w:rPr>
        <w:t>treatment.</w:t>
      </w:r>
    </w:p>
    <w:p w14:paraId="15BE31EF" w14:textId="77777777" w:rsidR="00DB6E1F" w:rsidRDefault="00F666A6">
      <w:pPr>
        <w:pStyle w:val="ListParagraph"/>
        <w:numPr>
          <w:ilvl w:val="0"/>
          <w:numId w:val="92"/>
        </w:numPr>
        <w:tabs>
          <w:tab w:val="left" w:pos="1799"/>
          <w:tab w:val="left" w:pos="1800"/>
        </w:tabs>
        <w:spacing w:before="58"/>
        <w:ind w:left="1799"/>
        <w:rPr>
          <w:rFonts w:ascii="Symbol" w:hAnsi="Symbol"/>
        </w:rPr>
      </w:pPr>
      <w:r>
        <w:t>Engaging</w:t>
      </w:r>
      <w:r>
        <w:rPr>
          <w:spacing w:val="-5"/>
        </w:rPr>
        <w:t xml:space="preserve"> </w:t>
      </w:r>
      <w:r>
        <w:t>and</w:t>
      </w:r>
      <w:r>
        <w:rPr>
          <w:spacing w:val="-5"/>
        </w:rPr>
        <w:t xml:space="preserve"> </w:t>
      </w:r>
      <w:r>
        <w:t>retaining</w:t>
      </w:r>
      <w:r>
        <w:rPr>
          <w:spacing w:val="-5"/>
        </w:rPr>
        <w:t xml:space="preserve"> </w:t>
      </w:r>
      <w:r>
        <w:t>clients</w:t>
      </w:r>
      <w:r>
        <w:rPr>
          <w:spacing w:val="-5"/>
        </w:rPr>
        <w:t xml:space="preserve"> </w:t>
      </w:r>
      <w:r>
        <w:t>in</w:t>
      </w:r>
      <w:r>
        <w:rPr>
          <w:spacing w:val="-4"/>
        </w:rPr>
        <w:t xml:space="preserve"> </w:t>
      </w:r>
      <w:r>
        <w:rPr>
          <w:spacing w:val="-2"/>
        </w:rPr>
        <w:t>treatment.</w:t>
      </w:r>
    </w:p>
    <w:p w14:paraId="3C8E6395" w14:textId="77777777" w:rsidR="00DB6E1F" w:rsidRDefault="00F666A6">
      <w:pPr>
        <w:pStyle w:val="ListParagraph"/>
        <w:numPr>
          <w:ilvl w:val="0"/>
          <w:numId w:val="92"/>
        </w:numPr>
        <w:tabs>
          <w:tab w:val="left" w:pos="1799"/>
          <w:tab w:val="left" w:pos="1800"/>
        </w:tabs>
        <w:ind w:left="1799"/>
        <w:rPr>
          <w:rFonts w:ascii="Symbol" w:hAnsi="Symbol"/>
        </w:rPr>
      </w:pPr>
      <w:r>
        <w:t>Increasing</w:t>
      </w:r>
      <w:r>
        <w:rPr>
          <w:spacing w:val="-8"/>
        </w:rPr>
        <w:t xml:space="preserve"> </w:t>
      </w:r>
      <w:r>
        <w:t>participation</w:t>
      </w:r>
      <w:r>
        <w:rPr>
          <w:spacing w:val="-8"/>
        </w:rPr>
        <w:t xml:space="preserve"> </w:t>
      </w:r>
      <w:r>
        <w:t>and</w:t>
      </w:r>
      <w:r>
        <w:rPr>
          <w:spacing w:val="-8"/>
        </w:rPr>
        <w:t xml:space="preserve"> </w:t>
      </w:r>
      <w:r>
        <w:rPr>
          <w:spacing w:val="-2"/>
        </w:rPr>
        <w:t>involvement.</w:t>
      </w:r>
    </w:p>
    <w:p w14:paraId="3D8F2917" w14:textId="77777777" w:rsidR="00DB6E1F" w:rsidRDefault="00F666A6">
      <w:pPr>
        <w:pStyle w:val="ListParagraph"/>
        <w:numPr>
          <w:ilvl w:val="0"/>
          <w:numId w:val="92"/>
        </w:numPr>
        <w:tabs>
          <w:tab w:val="left" w:pos="1799"/>
          <w:tab w:val="left" w:pos="1800"/>
        </w:tabs>
        <w:spacing w:before="61"/>
        <w:ind w:left="1799"/>
        <w:rPr>
          <w:rFonts w:ascii="Symbol" w:hAnsi="Symbol"/>
        </w:rPr>
      </w:pPr>
      <w:r>
        <w:t>Improving</w:t>
      </w:r>
      <w:r>
        <w:rPr>
          <w:spacing w:val="-7"/>
        </w:rPr>
        <w:t xml:space="preserve"> </w:t>
      </w:r>
      <w:r>
        <w:t>treatment</w:t>
      </w:r>
      <w:r>
        <w:rPr>
          <w:spacing w:val="-7"/>
        </w:rPr>
        <w:t xml:space="preserve"> </w:t>
      </w:r>
      <w:r>
        <w:rPr>
          <w:spacing w:val="-2"/>
        </w:rPr>
        <w:t>outcomes.</w:t>
      </w:r>
    </w:p>
    <w:p w14:paraId="382828A7" w14:textId="77777777" w:rsidR="00DB6E1F" w:rsidRDefault="00F666A6">
      <w:pPr>
        <w:pStyle w:val="ListParagraph"/>
        <w:numPr>
          <w:ilvl w:val="0"/>
          <w:numId w:val="92"/>
        </w:numPr>
        <w:tabs>
          <w:tab w:val="left" w:pos="1799"/>
          <w:tab w:val="left" w:pos="1800"/>
        </w:tabs>
        <w:spacing w:before="58"/>
        <w:ind w:left="1799"/>
        <w:rPr>
          <w:rFonts w:ascii="Symbol" w:hAnsi="Symbol"/>
        </w:rPr>
      </w:pPr>
      <w:r>
        <w:t>Encouraging</w:t>
      </w:r>
      <w:r>
        <w:rPr>
          <w:spacing w:val="-8"/>
        </w:rPr>
        <w:t xml:space="preserve"> </w:t>
      </w:r>
      <w:r>
        <w:t>rapid</w:t>
      </w:r>
      <w:r>
        <w:rPr>
          <w:spacing w:val="-5"/>
        </w:rPr>
        <w:t xml:space="preserve"> </w:t>
      </w:r>
      <w:r>
        <w:t>return</w:t>
      </w:r>
      <w:r>
        <w:rPr>
          <w:spacing w:val="-7"/>
        </w:rPr>
        <w:t xml:space="preserve"> </w:t>
      </w:r>
      <w:r>
        <w:t>to</w:t>
      </w:r>
      <w:r>
        <w:rPr>
          <w:spacing w:val="-3"/>
        </w:rPr>
        <w:t xml:space="preserve"> </w:t>
      </w:r>
      <w:r>
        <w:t>treatment</w:t>
      </w:r>
      <w:r>
        <w:rPr>
          <w:spacing w:val="-6"/>
        </w:rPr>
        <w:t xml:space="preserve"> </w:t>
      </w:r>
      <w:r>
        <w:t>if</w:t>
      </w:r>
      <w:r>
        <w:rPr>
          <w:spacing w:val="-6"/>
        </w:rPr>
        <w:t xml:space="preserve"> </w:t>
      </w:r>
      <w:r>
        <w:t>clients</w:t>
      </w:r>
      <w:r>
        <w:rPr>
          <w:spacing w:val="-4"/>
        </w:rPr>
        <w:t xml:space="preserve"> </w:t>
      </w:r>
      <w:r>
        <w:t>return</w:t>
      </w:r>
      <w:r>
        <w:rPr>
          <w:spacing w:val="-5"/>
        </w:rPr>
        <w:t xml:space="preserve"> </w:t>
      </w:r>
      <w:r>
        <w:t>to</w:t>
      </w:r>
      <w:r>
        <w:rPr>
          <w:spacing w:val="-3"/>
        </w:rPr>
        <w:t xml:space="preserve"> </w:t>
      </w:r>
      <w:r>
        <w:t>substance</w:t>
      </w:r>
      <w:r>
        <w:rPr>
          <w:spacing w:val="-6"/>
        </w:rPr>
        <w:t xml:space="preserve"> </w:t>
      </w:r>
      <w:r>
        <w:rPr>
          <w:spacing w:val="-2"/>
        </w:rPr>
        <w:t>misuse.</w:t>
      </w:r>
    </w:p>
    <w:p w14:paraId="77AC6B93" w14:textId="77777777" w:rsidR="00DB6E1F" w:rsidRDefault="00F666A6">
      <w:pPr>
        <w:pStyle w:val="Heading2"/>
        <w:spacing w:before="165"/>
      </w:pPr>
      <w:bookmarkStart w:id="33" w:name="Changing_Perspectives_on_Addiction_and_T"/>
      <w:bookmarkStart w:id="34" w:name="_bookmark7"/>
      <w:bookmarkEnd w:id="33"/>
      <w:bookmarkEnd w:id="34"/>
      <w:r>
        <w:t>Changing</w:t>
      </w:r>
      <w:r>
        <w:rPr>
          <w:spacing w:val="-2"/>
        </w:rPr>
        <w:t xml:space="preserve"> </w:t>
      </w:r>
      <w:r>
        <w:t>Perspectives</w:t>
      </w:r>
      <w:r>
        <w:rPr>
          <w:spacing w:val="-2"/>
        </w:rPr>
        <w:t xml:space="preserve"> </w:t>
      </w:r>
      <w:r>
        <w:t>on</w:t>
      </w:r>
      <w:r>
        <w:rPr>
          <w:spacing w:val="-3"/>
        </w:rPr>
        <w:t xml:space="preserve"> </w:t>
      </w:r>
      <w:r>
        <w:t>Addiction</w:t>
      </w:r>
      <w:r>
        <w:rPr>
          <w:spacing w:val="-1"/>
        </w:rPr>
        <w:t xml:space="preserve"> </w:t>
      </w:r>
      <w:r>
        <w:t>and</w:t>
      </w:r>
      <w:r>
        <w:rPr>
          <w:spacing w:val="-1"/>
        </w:rPr>
        <w:t xml:space="preserve"> </w:t>
      </w:r>
      <w:r>
        <w:rPr>
          <w:spacing w:val="-2"/>
        </w:rPr>
        <w:t>Treatment</w:t>
      </w:r>
    </w:p>
    <w:p w14:paraId="2CA7EF99" w14:textId="77777777" w:rsidR="00DB6E1F" w:rsidRDefault="00F666A6">
      <w:pPr>
        <w:pStyle w:val="BodyText"/>
        <w:spacing w:before="152"/>
        <w:ind w:left="1440" w:right="1491"/>
      </w:pPr>
      <w:r>
        <w:t>Historically, in the United States, different views about the nature of addiction and its causes have influenced the development of treatment approaches. For example, after the passage of the Harrison Narcotics Act in 1914, it was illegal for physicians to</w:t>
      </w:r>
      <w:r>
        <w:t xml:space="preserve"> treat people with drug addiction. The only options for people with alcohol or drug use disorders were inebriate homes and asylums. The underlying assumption</w:t>
      </w:r>
      <w:r>
        <w:rPr>
          <w:spacing w:val="-4"/>
        </w:rPr>
        <w:t xml:space="preserve"> </w:t>
      </w:r>
      <w:r>
        <w:t>pervading</w:t>
      </w:r>
      <w:r>
        <w:rPr>
          <w:spacing w:val="-4"/>
        </w:rPr>
        <w:t xml:space="preserve"> </w:t>
      </w:r>
      <w:r>
        <w:t>these</w:t>
      </w:r>
      <w:r>
        <w:rPr>
          <w:spacing w:val="-2"/>
        </w:rPr>
        <w:t xml:space="preserve"> </w:t>
      </w:r>
      <w:r>
        <w:t>early</w:t>
      </w:r>
      <w:r>
        <w:rPr>
          <w:spacing w:val="-2"/>
        </w:rPr>
        <w:t xml:space="preserve"> </w:t>
      </w:r>
      <w:r>
        <w:t>treatment</w:t>
      </w:r>
      <w:r>
        <w:rPr>
          <w:spacing w:val="-4"/>
        </w:rPr>
        <w:t xml:space="preserve"> </w:t>
      </w:r>
      <w:r>
        <w:t>approaches</w:t>
      </w:r>
      <w:r>
        <w:rPr>
          <w:spacing w:val="-3"/>
        </w:rPr>
        <w:t xml:space="preserve"> </w:t>
      </w:r>
      <w:r>
        <w:t>was</w:t>
      </w:r>
      <w:r>
        <w:rPr>
          <w:spacing w:val="-4"/>
        </w:rPr>
        <w:t xml:space="preserve"> </w:t>
      </w:r>
      <w:r>
        <w:t>that</w:t>
      </w:r>
      <w:r>
        <w:rPr>
          <w:spacing w:val="-2"/>
        </w:rPr>
        <w:t xml:space="preserve"> </w:t>
      </w:r>
      <w:r>
        <w:t>alcohol</w:t>
      </w:r>
      <w:r>
        <w:rPr>
          <w:spacing w:val="-3"/>
        </w:rPr>
        <w:t xml:space="preserve"> </w:t>
      </w:r>
      <w:r>
        <w:t>and</w:t>
      </w:r>
      <w:r>
        <w:rPr>
          <w:spacing w:val="-4"/>
        </w:rPr>
        <w:t xml:space="preserve"> </w:t>
      </w:r>
      <w:r>
        <w:t>drug</w:t>
      </w:r>
      <w:r>
        <w:rPr>
          <w:spacing w:val="-4"/>
        </w:rPr>
        <w:t xml:space="preserve"> </w:t>
      </w:r>
      <w:r>
        <w:t>addiction</w:t>
      </w:r>
      <w:r>
        <w:rPr>
          <w:spacing w:val="-4"/>
        </w:rPr>
        <w:t xml:space="preserve"> </w:t>
      </w:r>
      <w:r>
        <w:t>was</w:t>
      </w:r>
      <w:r>
        <w:rPr>
          <w:spacing w:val="-3"/>
        </w:rPr>
        <w:t xml:space="preserve"> </w:t>
      </w:r>
      <w:r>
        <w:t xml:space="preserve">either a moral </w:t>
      </w:r>
      <w:r>
        <w:t>failing or a pernicious disease (White, 2014).</w:t>
      </w:r>
    </w:p>
    <w:p w14:paraId="419F8A89" w14:textId="77777777" w:rsidR="00DB6E1F" w:rsidRDefault="00F666A6">
      <w:pPr>
        <w:pStyle w:val="BodyText"/>
        <w:spacing w:before="160"/>
        <w:ind w:left="1439" w:right="1491"/>
      </w:pPr>
      <w:r>
        <w:t>By</w:t>
      </w:r>
      <w:r>
        <w:rPr>
          <w:spacing w:val="-1"/>
        </w:rPr>
        <w:t xml:space="preserve"> </w:t>
      </w:r>
      <w:r>
        <w:t>the</w:t>
      </w:r>
      <w:r>
        <w:rPr>
          <w:spacing w:val="-4"/>
        </w:rPr>
        <w:t xml:space="preserve"> </w:t>
      </w:r>
      <w:r>
        <w:t>1920s,</w:t>
      </w:r>
      <w:r>
        <w:rPr>
          <w:spacing w:val="-4"/>
        </w:rPr>
        <w:t xml:space="preserve"> </w:t>
      </w:r>
      <w:r>
        <w:t>compassionate</w:t>
      </w:r>
      <w:r>
        <w:rPr>
          <w:spacing w:val="-1"/>
        </w:rPr>
        <w:t xml:space="preserve"> </w:t>
      </w:r>
      <w:r>
        <w:t>treatment</w:t>
      </w:r>
      <w:r>
        <w:rPr>
          <w:spacing w:val="-4"/>
        </w:rPr>
        <w:t xml:space="preserve"> </w:t>
      </w:r>
      <w:r>
        <w:t>of</w:t>
      </w:r>
      <w:r>
        <w:rPr>
          <w:spacing w:val="-4"/>
        </w:rPr>
        <w:t xml:space="preserve"> </w:t>
      </w:r>
      <w:r>
        <w:t>opioid</w:t>
      </w:r>
      <w:r>
        <w:rPr>
          <w:spacing w:val="-2"/>
        </w:rPr>
        <w:t xml:space="preserve"> </w:t>
      </w:r>
      <w:r>
        <w:t>addiction</w:t>
      </w:r>
      <w:r>
        <w:rPr>
          <w:spacing w:val="-5"/>
        </w:rPr>
        <w:t xml:space="preserve"> </w:t>
      </w:r>
      <w:r>
        <w:t>was</w:t>
      </w:r>
      <w:r>
        <w:rPr>
          <w:spacing w:val="-2"/>
        </w:rPr>
        <w:t xml:space="preserve"> </w:t>
      </w:r>
      <w:r>
        <w:t>available</w:t>
      </w:r>
      <w:r>
        <w:rPr>
          <w:spacing w:val="-1"/>
        </w:rPr>
        <w:t xml:space="preserve"> </w:t>
      </w:r>
      <w:r>
        <w:t>in</w:t>
      </w:r>
      <w:r>
        <w:rPr>
          <w:spacing w:val="-5"/>
        </w:rPr>
        <w:t xml:space="preserve"> </w:t>
      </w:r>
      <w:r>
        <w:t>medical</w:t>
      </w:r>
      <w:r>
        <w:rPr>
          <w:spacing w:val="-2"/>
        </w:rPr>
        <w:t xml:space="preserve"> </w:t>
      </w:r>
      <w:r>
        <w:t>clinics.</w:t>
      </w:r>
      <w:r>
        <w:rPr>
          <w:spacing w:val="-3"/>
        </w:rPr>
        <w:t xml:space="preserve"> </w:t>
      </w:r>
      <w:r>
        <w:t>At</w:t>
      </w:r>
      <w:r>
        <w:rPr>
          <w:spacing w:val="-4"/>
        </w:rPr>
        <w:t xml:space="preserve"> </w:t>
      </w:r>
      <w:r>
        <w:t>the</w:t>
      </w:r>
      <w:r>
        <w:rPr>
          <w:spacing w:val="-1"/>
        </w:rPr>
        <w:t xml:space="preserve"> </w:t>
      </w:r>
      <w:r>
        <w:t>same time, equally passionate support for the temperance movement, with its focus on drunkenness as a moral fa</w:t>
      </w:r>
      <w:r>
        <w:t>iling and abstinence as the only cure, was gaining momentum.</w:t>
      </w:r>
    </w:p>
    <w:p w14:paraId="20928E53" w14:textId="77777777" w:rsidR="00DB6E1F" w:rsidRDefault="00F666A6">
      <w:pPr>
        <w:pStyle w:val="BodyText"/>
        <w:spacing w:before="159"/>
        <w:ind w:left="1439" w:right="1491"/>
      </w:pPr>
      <w:r>
        <w:t>The</w:t>
      </w:r>
      <w:r>
        <w:rPr>
          <w:spacing w:val="-1"/>
        </w:rPr>
        <w:t xml:space="preserve"> </w:t>
      </w:r>
      <w:r>
        <w:t>development</w:t>
      </w:r>
      <w:r>
        <w:rPr>
          <w:spacing w:val="-4"/>
        </w:rPr>
        <w:t xml:space="preserve"> </w:t>
      </w:r>
      <w:r>
        <w:t>of</w:t>
      </w:r>
      <w:r>
        <w:rPr>
          <w:spacing w:val="-3"/>
        </w:rPr>
        <w:t xml:space="preserve"> </w:t>
      </w:r>
      <w:r>
        <w:t>the</w:t>
      </w:r>
      <w:r>
        <w:rPr>
          <w:spacing w:val="-4"/>
        </w:rPr>
        <w:t xml:space="preserve"> </w:t>
      </w:r>
      <w:r>
        <w:t>modern</w:t>
      </w:r>
      <w:r>
        <w:rPr>
          <w:spacing w:val="-3"/>
        </w:rPr>
        <w:t xml:space="preserve"> </w:t>
      </w:r>
      <w:r>
        <w:t>SUD</w:t>
      </w:r>
      <w:r>
        <w:rPr>
          <w:spacing w:val="-1"/>
        </w:rPr>
        <w:t xml:space="preserve"> </w:t>
      </w:r>
      <w:r>
        <w:t>treatment</w:t>
      </w:r>
      <w:r>
        <w:rPr>
          <w:spacing w:val="-4"/>
        </w:rPr>
        <w:t xml:space="preserve"> </w:t>
      </w:r>
      <w:r>
        <w:t>system</w:t>
      </w:r>
      <w:r>
        <w:rPr>
          <w:spacing w:val="-1"/>
        </w:rPr>
        <w:t xml:space="preserve"> </w:t>
      </w:r>
      <w:r>
        <w:t>dates</w:t>
      </w:r>
      <w:r>
        <w:rPr>
          <w:spacing w:val="-4"/>
        </w:rPr>
        <w:t xml:space="preserve"> </w:t>
      </w:r>
      <w:r>
        <w:t>only</w:t>
      </w:r>
      <w:r>
        <w:rPr>
          <w:spacing w:val="-1"/>
        </w:rPr>
        <w:t xml:space="preserve"> </w:t>
      </w:r>
      <w:r>
        <w:t>from</w:t>
      </w:r>
      <w:r>
        <w:rPr>
          <w:spacing w:val="-1"/>
        </w:rPr>
        <w:t xml:space="preserve"> </w:t>
      </w:r>
      <w:r>
        <w:t>the</w:t>
      </w:r>
      <w:r>
        <w:rPr>
          <w:spacing w:val="-1"/>
        </w:rPr>
        <w:t xml:space="preserve"> </w:t>
      </w:r>
      <w:r>
        <w:t>late</w:t>
      </w:r>
      <w:r>
        <w:rPr>
          <w:spacing w:val="-4"/>
        </w:rPr>
        <w:t xml:space="preserve"> </w:t>
      </w:r>
      <w:r>
        <w:t>1950s.</w:t>
      </w:r>
      <w:r>
        <w:rPr>
          <w:spacing w:val="-5"/>
        </w:rPr>
        <w:t xml:space="preserve"> </w:t>
      </w:r>
      <w:r>
        <w:t>Even</w:t>
      </w:r>
      <w:r>
        <w:rPr>
          <w:spacing w:val="-3"/>
        </w:rPr>
        <w:t xml:space="preserve"> </w:t>
      </w:r>
      <w:r>
        <w:t>“modern” addiction treatment has not always acknowledged counselors’ capacity to support client motivation.</w:t>
      </w:r>
    </w:p>
    <w:p w14:paraId="316AD6DA" w14:textId="77777777" w:rsidR="00DB6E1F" w:rsidRDefault="00F666A6">
      <w:pPr>
        <w:pStyle w:val="BodyText"/>
        <w:ind w:left="1439" w:right="1491"/>
      </w:pPr>
      <w:r>
        <w:t>Historically,</w:t>
      </w:r>
      <w:r>
        <w:rPr>
          <w:spacing w:val="-3"/>
        </w:rPr>
        <w:t xml:space="preserve"> </w:t>
      </w:r>
      <w:r>
        <w:t>motivation</w:t>
      </w:r>
      <w:r>
        <w:rPr>
          <w:spacing w:val="-4"/>
        </w:rPr>
        <w:t xml:space="preserve"> </w:t>
      </w:r>
      <w:r>
        <w:t>was</w:t>
      </w:r>
      <w:r>
        <w:rPr>
          <w:spacing w:val="-1"/>
        </w:rPr>
        <w:t xml:space="preserve"> </w:t>
      </w:r>
      <w:r>
        <w:t>considered</w:t>
      </w:r>
      <w:r>
        <w:rPr>
          <w:spacing w:val="-2"/>
        </w:rPr>
        <w:t xml:space="preserve"> </w:t>
      </w:r>
      <w:r>
        <w:t>a</w:t>
      </w:r>
      <w:r>
        <w:rPr>
          <w:spacing w:val="-4"/>
        </w:rPr>
        <w:t xml:space="preserve"> </w:t>
      </w:r>
      <w:r>
        <w:t>static</w:t>
      </w:r>
      <w:r>
        <w:rPr>
          <w:spacing w:val="-3"/>
        </w:rPr>
        <w:t xml:space="preserve"> </w:t>
      </w:r>
      <w:r>
        <w:t>client</w:t>
      </w:r>
      <w:r>
        <w:rPr>
          <w:spacing w:val="-5"/>
        </w:rPr>
        <w:t xml:space="preserve"> </w:t>
      </w:r>
      <w:r>
        <w:t>trait;</w:t>
      </w:r>
      <w:r>
        <w:rPr>
          <w:spacing w:val="-2"/>
        </w:rPr>
        <w:t xml:space="preserve"> </w:t>
      </w:r>
      <w:r>
        <w:t>the client</w:t>
      </w:r>
      <w:r>
        <w:rPr>
          <w:spacing w:val="-3"/>
        </w:rPr>
        <w:t xml:space="preserve"> </w:t>
      </w:r>
      <w:r>
        <w:t>either</w:t>
      </w:r>
      <w:r>
        <w:rPr>
          <w:spacing w:val="-1"/>
        </w:rPr>
        <w:t xml:space="preserve"> </w:t>
      </w:r>
      <w:r>
        <w:t>had</w:t>
      </w:r>
      <w:r>
        <w:rPr>
          <w:spacing w:val="-2"/>
        </w:rPr>
        <w:t xml:space="preserve"> </w:t>
      </w:r>
      <w:r>
        <w:t>it or</w:t>
      </w:r>
      <w:r>
        <w:rPr>
          <w:spacing w:val="-3"/>
        </w:rPr>
        <w:t xml:space="preserve"> </w:t>
      </w:r>
      <w:r>
        <w:t>did</w:t>
      </w:r>
      <w:r>
        <w:rPr>
          <w:spacing w:val="-2"/>
        </w:rPr>
        <w:t xml:space="preserve"> </w:t>
      </w:r>
      <w:r>
        <w:t>not</w:t>
      </w:r>
      <w:r>
        <w:rPr>
          <w:spacing w:val="-3"/>
        </w:rPr>
        <w:t xml:space="preserve"> </w:t>
      </w:r>
      <w:r>
        <w:t>have</w:t>
      </w:r>
      <w:r>
        <w:rPr>
          <w:spacing w:val="-3"/>
        </w:rPr>
        <w:t xml:space="preserve"> </w:t>
      </w:r>
      <w:r>
        <w:t>it,</w:t>
      </w:r>
      <w:r>
        <w:rPr>
          <w:spacing w:val="-1"/>
        </w:rPr>
        <w:t xml:space="preserve"> </w:t>
      </w:r>
      <w:r>
        <w:t xml:space="preserve">and there was nothing a counselor could </w:t>
      </w:r>
      <w:r>
        <w:t>do to influence it.</w:t>
      </w:r>
    </w:p>
    <w:p w14:paraId="6AC134B9" w14:textId="77777777" w:rsidR="00DB6E1F" w:rsidRDefault="00F666A6">
      <w:pPr>
        <w:pStyle w:val="BodyText"/>
        <w:spacing w:before="159"/>
        <w:ind w:left="1439" w:right="1445" w:hanging="1"/>
        <w:jc w:val="both"/>
      </w:pPr>
      <w:r>
        <w:t>This</w:t>
      </w:r>
      <w:r>
        <w:rPr>
          <w:spacing w:val="-1"/>
        </w:rPr>
        <w:t xml:space="preserve"> </w:t>
      </w:r>
      <w:r>
        <w:t>view</w:t>
      </w:r>
      <w:r>
        <w:rPr>
          <w:spacing w:val="-3"/>
        </w:rPr>
        <w:t xml:space="preserve"> </w:t>
      </w:r>
      <w:r>
        <w:t>of</w:t>
      </w:r>
      <w:r>
        <w:rPr>
          <w:spacing w:val="-3"/>
        </w:rPr>
        <w:t xml:space="preserve"> </w:t>
      </w:r>
      <w:r>
        <w:t>motivation</w:t>
      </w:r>
      <w:r>
        <w:rPr>
          <w:spacing w:val="-4"/>
        </w:rPr>
        <w:t xml:space="preserve"> </w:t>
      </w:r>
      <w:r>
        <w:t>as</w:t>
      </w:r>
      <w:r>
        <w:rPr>
          <w:spacing w:val="-3"/>
        </w:rPr>
        <w:t xml:space="preserve"> </w:t>
      </w:r>
      <w:r>
        <w:t>static</w:t>
      </w:r>
      <w:r>
        <w:rPr>
          <w:spacing w:val="-1"/>
        </w:rPr>
        <w:t xml:space="preserve"> </w:t>
      </w:r>
      <w:r>
        <w:t>led</w:t>
      </w:r>
      <w:r>
        <w:rPr>
          <w:spacing w:val="-2"/>
        </w:rPr>
        <w:t xml:space="preserve"> </w:t>
      </w:r>
      <w:r>
        <w:t>to blaming</w:t>
      </w:r>
      <w:r>
        <w:rPr>
          <w:spacing w:val="-2"/>
        </w:rPr>
        <w:t xml:space="preserve"> </w:t>
      </w:r>
      <w:r>
        <w:t>clients</w:t>
      </w:r>
      <w:r>
        <w:rPr>
          <w:spacing w:val="-3"/>
        </w:rPr>
        <w:t xml:space="preserve"> </w:t>
      </w:r>
      <w:r>
        <w:t>for</w:t>
      </w:r>
      <w:r>
        <w:rPr>
          <w:spacing w:val="-3"/>
        </w:rPr>
        <w:t xml:space="preserve"> </w:t>
      </w:r>
      <w:r>
        <w:t>tension</w:t>
      </w:r>
      <w:r>
        <w:rPr>
          <w:spacing w:val="-2"/>
        </w:rPr>
        <w:t xml:space="preserve"> </w:t>
      </w:r>
      <w:r>
        <w:t>or</w:t>
      </w:r>
      <w:r>
        <w:rPr>
          <w:spacing w:val="-3"/>
        </w:rPr>
        <w:t xml:space="preserve"> </w:t>
      </w:r>
      <w:r>
        <w:t>discord</w:t>
      </w:r>
      <w:r>
        <w:rPr>
          <w:spacing w:val="-2"/>
        </w:rPr>
        <w:t xml:space="preserve"> </w:t>
      </w:r>
      <w:r>
        <w:t>in</w:t>
      </w:r>
      <w:r>
        <w:rPr>
          <w:spacing w:val="-2"/>
        </w:rPr>
        <w:t xml:space="preserve"> </w:t>
      </w:r>
      <w:r>
        <w:t>therapeutic</w:t>
      </w:r>
      <w:r>
        <w:rPr>
          <w:spacing w:val="-1"/>
        </w:rPr>
        <w:t xml:space="preserve"> </w:t>
      </w:r>
      <w:r>
        <w:t>relationships. Clients</w:t>
      </w:r>
      <w:r>
        <w:rPr>
          <w:spacing w:val="-1"/>
        </w:rPr>
        <w:t xml:space="preserve"> </w:t>
      </w:r>
      <w:r>
        <w:t>who disagreed</w:t>
      </w:r>
      <w:r>
        <w:rPr>
          <w:spacing w:val="-2"/>
        </w:rPr>
        <w:t xml:space="preserve"> </w:t>
      </w:r>
      <w:r>
        <w:t>with</w:t>
      </w:r>
      <w:r>
        <w:rPr>
          <w:spacing w:val="-4"/>
        </w:rPr>
        <w:t xml:space="preserve"> </w:t>
      </w:r>
      <w:r>
        <w:t>diagnoses,</w:t>
      </w:r>
      <w:r>
        <w:rPr>
          <w:spacing w:val="-3"/>
        </w:rPr>
        <w:t xml:space="preserve"> </w:t>
      </w:r>
      <w:r>
        <w:t>did</w:t>
      </w:r>
      <w:r>
        <w:rPr>
          <w:spacing w:val="-2"/>
        </w:rPr>
        <w:t xml:space="preserve"> </w:t>
      </w:r>
      <w:r>
        <w:t>not</w:t>
      </w:r>
      <w:r>
        <w:rPr>
          <w:spacing w:val="-3"/>
        </w:rPr>
        <w:t xml:space="preserve"> </w:t>
      </w:r>
      <w:r>
        <w:t>adhere</w:t>
      </w:r>
      <w:r>
        <w:rPr>
          <w:spacing w:val="-3"/>
        </w:rPr>
        <w:t xml:space="preserve"> </w:t>
      </w:r>
      <w:r>
        <w:t>to</w:t>
      </w:r>
      <w:r>
        <w:rPr>
          <w:spacing w:val="-2"/>
        </w:rPr>
        <w:t xml:space="preserve"> </w:t>
      </w:r>
      <w:r>
        <w:t>treatment plans,</w:t>
      </w:r>
      <w:r>
        <w:rPr>
          <w:spacing w:val="-3"/>
        </w:rPr>
        <w:t xml:space="preserve"> </w:t>
      </w:r>
      <w:r>
        <w:t>or</w:t>
      </w:r>
      <w:r>
        <w:rPr>
          <w:spacing w:val="-1"/>
        </w:rPr>
        <w:t xml:space="preserve"> </w:t>
      </w:r>
      <w:r>
        <w:t>refused</w:t>
      </w:r>
      <w:r>
        <w:rPr>
          <w:spacing w:val="-2"/>
        </w:rPr>
        <w:t xml:space="preserve"> </w:t>
      </w:r>
      <w:r>
        <w:t>to accept labels</w:t>
      </w:r>
      <w:r>
        <w:rPr>
          <w:spacing w:val="-1"/>
        </w:rPr>
        <w:t xml:space="preserve"> </w:t>
      </w:r>
      <w:r>
        <w:t>like “alcoholic” or “drug addict” were seen as difficult or resistant (Miller &amp; Rollnick, 2013).</w:t>
      </w:r>
    </w:p>
    <w:p w14:paraId="11107AA5" w14:textId="77777777" w:rsidR="00DB6E1F" w:rsidRDefault="00F666A6">
      <w:pPr>
        <w:pStyle w:val="BodyText"/>
        <w:spacing w:before="162"/>
        <w:ind w:left="1439" w:right="1491"/>
      </w:pPr>
      <w:r>
        <w:t>SUD</w:t>
      </w:r>
      <w:r>
        <w:rPr>
          <w:spacing w:val="-1"/>
        </w:rPr>
        <w:t xml:space="preserve"> </w:t>
      </w:r>
      <w:r>
        <w:t>treatment</w:t>
      </w:r>
      <w:r>
        <w:rPr>
          <w:spacing w:val="-4"/>
        </w:rPr>
        <w:t xml:space="preserve"> </w:t>
      </w:r>
      <w:r>
        <w:t>has</w:t>
      </w:r>
      <w:r>
        <w:rPr>
          <w:spacing w:val="-2"/>
        </w:rPr>
        <w:t xml:space="preserve"> </w:t>
      </w:r>
      <w:r>
        <w:t>since</w:t>
      </w:r>
      <w:r>
        <w:rPr>
          <w:spacing w:val="-1"/>
        </w:rPr>
        <w:t xml:space="preserve"> </w:t>
      </w:r>
      <w:r>
        <w:t>evolved</w:t>
      </w:r>
      <w:r>
        <w:rPr>
          <w:spacing w:val="-3"/>
        </w:rPr>
        <w:t xml:space="preserve"> </w:t>
      </w:r>
      <w:r>
        <w:t>in</w:t>
      </w:r>
      <w:r>
        <w:rPr>
          <w:spacing w:val="-3"/>
        </w:rPr>
        <w:t xml:space="preserve"> </w:t>
      </w:r>
      <w:r>
        <w:t>response</w:t>
      </w:r>
      <w:r>
        <w:rPr>
          <w:spacing w:val="-1"/>
        </w:rPr>
        <w:t xml:space="preserve"> </w:t>
      </w:r>
      <w:r>
        <w:t>to</w:t>
      </w:r>
      <w:r>
        <w:rPr>
          <w:spacing w:val="-1"/>
        </w:rPr>
        <w:t xml:space="preserve"> </w:t>
      </w:r>
      <w:r>
        <w:t>new</w:t>
      </w:r>
      <w:r>
        <w:rPr>
          <w:spacing w:val="-4"/>
        </w:rPr>
        <w:t xml:space="preserve"> </w:t>
      </w:r>
      <w:r>
        <w:t>technologies,</w:t>
      </w:r>
      <w:r>
        <w:rPr>
          <w:spacing w:val="-4"/>
        </w:rPr>
        <w:t xml:space="preserve"> </w:t>
      </w:r>
      <w:r>
        <w:t>research,</w:t>
      </w:r>
      <w:r>
        <w:rPr>
          <w:spacing w:val="-2"/>
        </w:rPr>
        <w:t xml:space="preserve"> </w:t>
      </w:r>
      <w:r>
        <w:t>and</w:t>
      </w:r>
      <w:r>
        <w:rPr>
          <w:spacing w:val="-3"/>
        </w:rPr>
        <w:t xml:space="preserve"> </w:t>
      </w:r>
      <w:r>
        <w:t>theories</w:t>
      </w:r>
      <w:r>
        <w:rPr>
          <w:spacing w:val="-4"/>
        </w:rPr>
        <w:t xml:space="preserve"> </w:t>
      </w:r>
      <w:r>
        <w:t>of</w:t>
      </w:r>
      <w:r>
        <w:rPr>
          <w:spacing w:val="-2"/>
        </w:rPr>
        <w:t xml:space="preserve"> </w:t>
      </w:r>
      <w:r>
        <w:t>addiction with associated counseling approaches. Exhibit 1.1 summarizes some models of addiction that have influenced treatment methods in the United States (DiClemente, 2018).</w:t>
      </w:r>
    </w:p>
    <w:p w14:paraId="403DD2D3" w14:textId="77777777" w:rsidR="00DB6E1F" w:rsidRDefault="00DB6E1F">
      <w:pPr>
        <w:pStyle w:val="BodyText"/>
        <w:spacing w:before="8" w:after="1"/>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4048"/>
        <w:gridCol w:w="3954"/>
      </w:tblGrid>
      <w:tr w:rsidR="00DB6E1F" w14:paraId="55B3F891" w14:textId="77777777">
        <w:trPr>
          <w:trHeight w:val="547"/>
        </w:trPr>
        <w:tc>
          <w:tcPr>
            <w:tcW w:w="9348" w:type="dxa"/>
            <w:gridSpan w:val="3"/>
            <w:tcBorders>
              <w:top w:val="nil"/>
              <w:left w:val="nil"/>
              <w:bottom w:val="nil"/>
              <w:right w:val="nil"/>
            </w:tcBorders>
            <w:shd w:val="clear" w:color="auto" w:fill="000000"/>
          </w:tcPr>
          <w:p w14:paraId="1ECDBC0D" w14:textId="77777777" w:rsidR="00DB6E1F" w:rsidRDefault="00F666A6">
            <w:pPr>
              <w:pStyle w:val="TableParagraph"/>
              <w:spacing w:before="129"/>
              <w:ind w:left="215"/>
              <w:rPr>
                <w:sz w:val="24"/>
              </w:rPr>
            </w:pPr>
            <w:r>
              <w:rPr>
                <w:color w:val="FFFFFF"/>
                <w:sz w:val="24"/>
              </w:rPr>
              <w:t>Exhibit</w:t>
            </w:r>
            <w:r>
              <w:rPr>
                <w:color w:val="FFFFFF"/>
                <w:spacing w:val="-2"/>
                <w:sz w:val="24"/>
              </w:rPr>
              <w:t xml:space="preserve"> </w:t>
            </w:r>
            <w:r>
              <w:rPr>
                <w:color w:val="FFFFFF"/>
                <w:sz w:val="24"/>
              </w:rPr>
              <w:t>1.1.</w:t>
            </w:r>
            <w:r>
              <w:rPr>
                <w:color w:val="FFFFFF"/>
                <w:spacing w:val="-4"/>
                <w:sz w:val="24"/>
              </w:rPr>
              <w:t xml:space="preserve"> </w:t>
            </w:r>
            <w:r>
              <w:rPr>
                <w:color w:val="FFFFFF"/>
                <w:sz w:val="24"/>
              </w:rPr>
              <w:t>Models</w:t>
            </w:r>
            <w:r>
              <w:rPr>
                <w:color w:val="FFFFFF"/>
                <w:spacing w:val="-1"/>
                <w:sz w:val="24"/>
              </w:rPr>
              <w:t xml:space="preserve"> </w:t>
            </w:r>
            <w:r>
              <w:rPr>
                <w:color w:val="FFFFFF"/>
                <w:sz w:val="24"/>
              </w:rPr>
              <w:t>of</w:t>
            </w:r>
            <w:r>
              <w:rPr>
                <w:color w:val="FFFFFF"/>
                <w:spacing w:val="2"/>
                <w:sz w:val="24"/>
              </w:rPr>
              <w:t xml:space="preserve"> </w:t>
            </w:r>
            <w:r>
              <w:rPr>
                <w:color w:val="FFFFFF"/>
                <w:spacing w:val="-2"/>
                <w:sz w:val="24"/>
              </w:rPr>
              <w:t>Addiction</w:t>
            </w:r>
          </w:p>
        </w:tc>
      </w:tr>
      <w:tr w:rsidR="00DB6E1F" w14:paraId="59FCD170" w14:textId="77777777">
        <w:trPr>
          <w:trHeight w:val="359"/>
        </w:trPr>
        <w:tc>
          <w:tcPr>
            <w:tcW w:w="1346" w:type="dxa"/>
          </w:tcPr>
          <w:p w14:paraId="7453B534" w14:textId="77777777" w:rsidR="00DB6E1F" w:rsidRDefault="00F666A6">
            <w:pPr>
              <w:pStyle w:val="TableParagraph"/>
              <w:spacing w:before="0" w:line="243" w:lineRule="exact"/>
              <w:rPr>
                <w:sz w:val="20"/>
              </w:rPr>
            </w:pPr>
            <w:r>
              <w:rPr>
                <w:spacing w:val="-2"/>
                <w:sz w:val="20"/>
              </w:rPr>
              <w:t>Model</w:t>
            </w:r>
          </w:p>
        </w:tc>
        <w:tc>
          <w:tcPr>
            <w:tcW w:w="4048" w:type="dxa"/>
          </w:tcPr>
          <w:p w14:paraId="4A5B869F" w14:textId="77777777" w:rsidR="00DB6E1F" w:rsidRDefault="00F666A6">
            <w:pPr>
              <w:pStyle w:val="TableParagraph"/>
              <w:spacing w:before="0" w:line="243" w:lineRule="exact"/>
              <w:ind w:left="105"/>
              <w:rPr>
                <w:sz w:val="20"/>
              </w:rPr>
            </w:pPr>
            <w:r>
              <w:rPr>
                <w:spacing w:val="-2"/>
                <w:sz w:val="20"/>
              </w:rPr>
              <w:t>Underlying</w:t>
            </w:r>
            <w:r>
              <w:rPr>
                <w:spacing w:val="7"/>
                <w:sz w:val="20"/>
              </w:rPr>
              <w:t xml:space="preserve"> </w:t>
            </w:r>
            <w:r>
              <w:rPr>
                <w:spacing w:val="-2"/>
                <w:sz w:val="20"/>
              </w:rPr>
              <w:t>Assumptions</w:t>
            </w:r>
          </w:p>
        </w:tc>
        <w:tc>
          <w:tcPr>
            <w:tcW w:w="3954" w:type="dxa"/>
          </w:tcPr>
          <w:p w14:paraId="34486FFB" w14:textId="77777777" w:rsidR="00DB6E1F" w:rsidRDefault="00F666A6">
            <w:pPr>
              <w:pStyle w:val="TableParagraph"/>
              <w:spacing w:before="0" w:line="243" w:lineRule="exact"/>
              <w:ind w:left="108"/>
              <w:rPr>
                <w:sz w:val="20"/>
              </w:rPr>
            </w:pPr>
            <w:r>
              <w:rPr>
                <w:spacing w:val="-2"/>
                <w:sz w:val="20"/>
              </w:rPr>
              <w:t>Treatment</w:t>
            </w:r>
            <w:r>
              <w:rPr>
                <w:spacing w:val="6"/>
                <w:sz w:val="20"/>
              </w:rPr>
              <w:t xml:space="preserve"> </w:t>
            </w:r>
            <w:r>
              <w:rPr>
                <w:spacing w:val="-2"/>
                <w:sz w:val="20"/>
              </w:rPr>
              <w:t>Appro</w:t>
            </w:r>
            <w:r>
              <w:rPr>
                <w:spacing w:val="-2"/>
                <w:sz w:val="20"/>
              </w:rPr>
              <w:t>aches</w:t>
            </w:r>
          </w:p>
        </w:tc>
      </w:tr>
      <w:tr w:rsidR="00DB6E1F" w14:paraId="265F444D" w14:textId="77777777">
        <w:trPr>
          <w:trHeight w:val="973"/>
        </w:trPr>
        <w:tc>
          <w:tcPr>
            <w:tcW w:w="1346" w:type="dxa"/>
          </w:tcPr>
          <w:p w14:paraId="52FBAD0C" w14:textId="77777777" w:rsidR="00DB6E1F" w:rsidRDefault="00F666A6">
            <w:pPr>
              <w:pStyle w:val="TableParagraph"/>
              <w:rPr>
                <w:sz w:val="20"/>
              </w:rPr>
            </w:pPr>
            <w:r>
              <w:rPr>
                <w:spacing w:val="-2"/>
                <w:sz w:val="20"/>
              </w:rPr>
              <w:t>Moral/legal</w:t>
            </w:r>
          </w:p>
        </w:tc>
        <w:tc>
          <w:tcPr>
            <w:tcW w:w="4048" w:type="dxa"/>
          </w:tcPr>
          <w:p w14:paraId="1C2A8CC3" w14:textId="77777777" w:rsidR="00DB6E1F" w:rsidRDefault="00F666A6">
            <w:pPr>
              <w:pStyle w:val="TableParagraph"/>
              <w:ind w:left="105"/>
              <w:rPr>
                <w:sz w:val="20"/>
              </w:rPr>
            </w:pPr>
            <w:r>
              <w:rPr>
                <w:sz w:val="20"/>
              </w:rPr>
              <w:t>Addiction</w:t>
            </w:r>
            <w:r>
              <w:rPr>
                <w:spacing w:val="-5"/>
                <w:sz w:val="20"/>
              </w:rPr>
              <w:t xml:space="preserve"> </w:t>
            </w:r>
            <w:r>
              <w:rPr>
                <w:sz w:val="20"/>
              </w:rPr>
              <w:t>is</w:t>
            </w:r>
            <w:r>
              <w:rPr>
                <w:spacing w:val="-7"/>
                <w:sz w:val="20"/>
              </w:rPr>
              <w:t xml:space="preserve"> </w:t>
            </w:r>
            <w:r>
              <w:rPr>
                <w:sz w:val="20"/>
              </w:rPr>
              <w:t>a</w:t>
            </w:r>
            <w:r>
              <w:rPr>
                <w:spacing w:val="-5"/>
                <w:sz w:val="20"/>
              </w:rPr>
              <w:t xml:space="preserve"> </w:t>
            </w:r>
            <w:r>
              <w:rPr>
                <w:sz w:val="20"/>
              </w:rPr>
              <w:t>set</w:t>
            </w:r>
            <w:r>
              <w:rPr>
                <w:spacing w:val="-6"/>
                <w:sz w:val="20"/>
              </w:rPr>
              <w:t xml:space="preserve"> </w:t>
            </w:r>
            <w:r>
              <w:rPr>
                <w:sz w:val="20"/>
              </w:rPr>
              <w:t>of</w:t>
            </w:r>
            <w:r>
              <w:rPr>
                <w:spacing w:val="-7"/>
                <w:sz w:val="20"/>
              </w:rPr>
              <w:t xml:space="preserve"> </w:t>
            </w:r>
            <w:r>
              <w:rPr>
                <w:sz w:val="20"/>
              </w:rPr>
              <w:t>behaviors</w:t>
            </w:r>
            <w:r>
              <w:rPr>
                <w:spacing w:val="-5"/>
                <w:sz w:val="20"/>
              </w:rPr>
              <w:t xml:space="preserve"> </w:t>
            </w:r>
            <w:r>
              <w:rPr>
                <w:sz w:val="20"/>
              </w:rPr>
              <w:t>that</w:t>
            </w:r>
            <w:r>
              <w:rPr>
                <w:spacing w:val="-6"/>
                <w:sz w:val="20"/>
              </w:rPr>
              <w:t xml:space="preserve"> </w:t>
            </w:r>
            <w:r>
              <w:rPr>
                <w:sz w:val="20"/>
              </w:rPr>
              <w:t>violates religious, moral, or legal codes.</w:t>
            </w:r>
          </w:p>
        </w:tc>
        <w:tc>
          <w:tcPr>
            <w:tcW w:w="3954" w:type="dxa"/>
          </w:tcPr>
          <w:p w14:paraId="2766E1CB" w14:textId="77777777" w:rsidR="00DB6E1F" w:rsidRDefault="00F666A6">
            <w:pPr>
              <w:pStyle w:val="TableParagraph"/>
              <w:ind w:left="108"/>
              <w:rPr>
                <w:sz w:val="20"/>
              </w:rPr>
            </w:pPr>
            <w:r>
              <w:rPr>
                <w:sz w:val="20"/>
              </w:rPr>
              <w:t>Abstinence</w:t>
            </w:r>
            <w:r>
              <w:rPr>
                <w:spacing w:val="-7"/>
                <w:sz w:val="20"/>
              </w:rPr>
              <w:t xml:space="preserve"> </w:t>
            </w:r>
            <w:r>
              <w:rPr>
                <w:sz w:val="20"/>
              </w:rPr>
              <w:t>and</w:t>
            </w:r>
            <w:r>
              <w:rPr>
                <w:spacing w:val="-5"/>
                <w:sz w:val="20"/>
              </w:rPr>
              <w:t xml:space="preserve"> </w:t>
            </w:r>
            <w:r>
              <w:rPr>
                <w:sz w:val="20"/>
              </w:rPr>
              <w:t>use</w:t>
            </w:r>
            <w:r>
              <w:rPr>
                <w:spacing w:val="-7"/>
                <w:sz w:val="20"/>
              </w:rPr>
              <w:t xml:space="preserve"> </w:t>
            </w:r>
            <w:r>
              <w:rPr>
                <w:sz w:val="20"/>
              </w:rPr>
              <w:t>of</w:t>
            </w:r>
            <w:r>
              <w:rPr>
                <w:spacing w:val="-6"/>
                <w:sz w:val="20"/>
              </w:rPr>
              <w:t xml:space="preserve"> </w:t>
            </w:r>
            <w:r>
              <w:rPr>
                <w:spacing w:val="-2"/>
                <w:sz w:val="20"/>
              </w:rPr>
              <w:t>willpower</w:t>
            </w:r>
          </w:p>
          <w:p w14:paraId="30F0F121" w14:textId="77777777" w:rsidR="00DB6E1F" w:rsidRDefault="00F666A6">
            <w:pPr>
              <w:pStyle w:val="TableParagraph"/>
              <w:spacing w:before="121"/>
              <w:ind w:left="108"/>
              <w:rPr>
                <w:sz w:val="20"/>
              </w:rPr>
            </w:pPr>
            <w:r>
              <w:rPr>
                <w:sz w:val="20"/>
              </w:rPr>
              <w:t>External</w:t>
            </w:r>
            <w:r>
              <w:rPr>
                <w:spacing w:val="-10"/>
                <w:sz w:val="20"/>
              </w:rPr>
              <w:t xml:space="preserve"> </w:t>
            </w:r>
            <w:r>
              <w:rPr>
                <w:sz w:val="20"/>
              </w:rPr>
              <w:t>control</w:t>
            </w:r>
            <w:r>
              <w:rPr>
                <w:spacing w:val="-10"/>
                <w:sz w:val="20"/>
              </w:rPr>
              <w:t xml:space="preserve"> </w:t>
            </w:r>
            <w:r>
              <w:rPr>
                <w:sz w:val="20"/>
              </w:rPr>
              <w:t>through</w:t>
            </w:r>
            <w:r>
              <w:rPr>
                <w:spacing w:val="-9"/>
                <w:sz w:val="20"/>
              </w:rPr>
              <w:t xml:space="preserve"> </w:t>
            </w:r>
            <w:r>
              <w:rPr>
                <w:sz w:val="20"/>
              </w:rPr>
              <w:t>hospitalization</w:t>
            </w:r>
            <w:r>
              <w:rPr>
                <w:spacing w:val="-9"/>
                <w:sz w:val="20"/>
              </w:rPr>
              <w:t xml:space="preserve"> </w:t>
            </w:r>
            <w:r>
              <w:rPr>
                <w:sz w:val="20"/>
              </w:rPr>
              <w:t xml:space="preserve">or </w:t>
            </w:r>
            <w:r>
              <w:rPr>
                <w:spacing w:val="-2"/>
                <w:sz w:val="20"/>
              </w:rPr>
              <w:t>incarceration</w:t>
            </w:r>
          </w:p>
        </w:tc>
      </w:tr>
    </w:tbl>
    <w:p w14:paraId="2FCBF220" w14:textId="77777777" w:rsidR="00DB6E1F" w:rsidRDefault="00DB6E1F">
      <w:pPr>
        <w:rPr>
          <w:sz w:val="20"/>
        </w:rPr>
        <w:sectPr w:rsidR="00DB6E1F">
          <w:pgSz w:w="12240" w:h="15840"/>
          <w:pgMar w:top="1200" w:right="0" w:bottom="780" w:left="0" w:header="763" w:footer="585" w:gutter="0"/>
          <w:cols w:space="720"/>
        </w:sectPr>
      </w:pPr>
    </w:p>
    <w:p w14:paraId="3E147949"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4048"/>
        <w:gridCol w:w="3954"/>
      </w:tblGrid>
      <w:tr w:rsidR="00DB6E1F" w14:paraId="3D3D4AA1" w14:textId="77777777">
        <w:trPr>
          <w:trHeight w:val="609"/>
        </w:trPr>
        <w:tc>
          <w:tcPr>
            <w:tcW w:w="1346" w:type="dxa"/>
          </w:tcPr>
          <w:p w14:paraId="327DC02F" w14:textId="77777777" w:rsidR="00DB6E1F" w:rsidRDefault="00F666A6">
            <w:pPr>
              <w:pStyle w:val="TableParagraph"/>
              <w:rPr>
                <w:sz w:val="20"/>
              </w:rPr>
            </w:pPr>
            <w:r>
              <w:rPr>
                <w:spacing w:val="-2"/>
                <w:sz w:val="20"/>
              </w:rPr>
              <w:t>Psychological</w:t>
            </w:r>
          </w:p>
        </w:tc>
        <w:tc>
          <w:tcPr>
            <w:tcW w:w="4048" w:type="dxa"/>
          </w:tcPr>
          <w:p w14:paraId="1D429CAC" w14:textId="77777777" w:rsidR="00DB6E1F" w:rsidRDefault="00F666A6">
            <w:pPr>
              <w:pStyle w:val="TableParagraph"/>
              <w:ind w:left="105"/>
              <w:rPr>
                <w:sz w:val="20"/>
              </w:rPr>
            </w:pPr>
            <w:r>
              <w:rPr>
                <w:sz w:val="20"/>
              </w:rPr>
              <w:t>Addiction results from deficits in learning, emotional</w:t>
            </w:r>
            <w:r>
              <w:rPr>
                <w:spacing w:val="-12"/>
                <w:sz w:val="20"/>
              </w:rPr>
              <w:t xml:space="preserve"> </w:t>
            </w:r>
            <w:r>
              <w:rPr>
                <w:sz w:val="20"/>
              </w:rPr>
              <w:t>dysfunction,</w:t>
            </w:r>
            <w:r>
              <w:rPr>
                <w:spacing w:val="-11"/>
                <w:sz w:val="20"/>
              </w:rPr>
              <w:t xml:space="preserve"> </w:t>
            </w:r>
            <w:r>
              <w:rPr>
                <w:sz w:val="20"/>
              </w:rPr>
              <w:t>or</w:t>
            </w:r>
            <w:r>
              <w:rPr>
                <w:spacing w:val="-11"/>
                <w:sz w:val="20"/>
              </w:rPr>
              <w:t xml:space="preserve"> </w:t>
            </w:r>
            <w:r>
              <w:rPr>
                <w:sz w:val="20"/>
              </w:rPr>
              <w:t>psychopathology.</w:t>
            </w:r>
          </w:p>
        </w:tc>
        <w:tc>
          <w:tcPr>
            <w:tcW w:w="3954" w:type="dxa"/>
          </w:tcPr>
          <w:p w14:paraId="1F8144E8" w14:textId="77777777" w:rsidR="00DB6E1F" w:rsidRDefault="00F666A6">
            <w:pPr>
              <w:pStyle w:val="TableParagraph"/>
              <w:ind w:left="108"/>
              <w:rPr>
                <w:sz w:val="20"/>
              </w:rPr>
            </w:pPr>
            <w:r>
              <w:rPr>
                <w:sz w:val="20"/>
              </w:rPr>
              <w:t>Cognitive,</w:t>
            </w:r>
            <w:r>
              <w:rPr>
                <w:spacing w:val="-12"/>
                <w:sz w:val="20"/>
              </w:rPr>
              <w:t xml:space="preserve"> </w:t>
            </w:r>
            <w:r>
              <w:rPr>
                <w:sz w:val="20"/>
              </w:rPr>
              <w:t>behavioral,</w:t>
            </w:r>
            <w:r>
              <w:rPr>
                <w:spacing w:val="-11"/>
                <w:sz w:val="20"/>
              </w:rPr>
              <w:t xml:space="preserve"> </w:t>
            </w:r>
            <w:r>
              <w:rPr>
                <w:sz w:val="20"/>
              </w:rPr>
              <w:t>psychoanalytic,</w:t>
            </w:r>
            <w:r>
              <w:rPr>
                <w:spacing w:val="-11"/>
                <w:sz w:val="20"/>
              </w:rPr>
              <w:t xml:space="preserve"> </w:t>
            </w:r>
            <w:r>
              <w:rPr>
                <w:sz w:val="20"/>
              </w:rPr>
              <w:t>or psychodynamic psychotherapies</w:t>
            </w:r>
          </w:p>
        </w:tc>
      </w:tr>
      <w:tr w:rsidR="00DB6E1F" w14:paraId="6DD8E6D2" w14:textId="77777777">
        <w:trPr>
          <w:trHeight w:val="2680"/>
        </w:trPr>
        <w:tc>
          <w:tcPr>
            <w:tcW w:w="1346" w:type="dxa"/>
          </w:tcPr>
          <w:p w14:paraId="7364CDDD" w14:textId="77777777" w:rsidR="00DB6E1F" w:rsidRDefault="00F666A6">
            <w:pPr>
              <w:pStyle w:val="TableParagraph"/>
              <w:rPr>
                <w:sz w:val="20"/>
              </w:rPr>
            </w:pPr>
            <w:r>
              <w:rPr>
                <w:spacing w:val="-2"/>
                <w:sz w:val="20"/>
              </w:rPr>
              <w:t>Sociocultural</w:t>
            </w:r>
          </w:p>
        </w:tc>
        <w:tc>
          <w:tcPr>
            <w:tcW w:w="4048" w:type="dxa"/>
          </w:tcPr>
          <w:p w14:paraId="7D3A8D25" w14:textId="77777777" w:rsidR="00DB6E1F" w:rsidRDefault="00F666A6">
            <w:pPr>
              <w:pStyle w:val="TableParagraph"/>
              <w:ind w:left="105"/>
              <w:rPr>
                <w:sz w:val="20"/>
              </w:rPr>
            </w:pPr>
            <w:r>
              <w:rPr>
                <w:sz w:val="20"/>
              </w:rPr>
              <w:t>Addiction</w:t>
            </w:r>
            <w:r>
              <w:rPr>
                <w:spacing w:val="-10"/>
                <w:sz w:val="20"/>
              </w:rPr>
              <w:t xml:space="preserve"> </w:t>
            </w:r>
            <w:r>
              <w:rPr>
                <w:sz w:val="20"/>
              </w:rPr>
              <w:t>results</w:t>
            </w:r>
            <w:r>
              <w:rPr>
                <w:spacing w:val="-10"/>
                <w:sz w:val="20"/>
              </w:rPr>
              <w:t xml:space="preserve"> </w:t>
            </w:r>
            <w:r>
              <w:rPr>
                <w:sz w:val="20"/>
              </w:rPr>
              <w:t>from</w:t>
            </w:r>
            <w:r>
              <w:rPr>
                <w:spacing w:val="-9"/>
                <w:sz w:val="20"/>
              </w:rPr>
              <w:t xml:space="preserve"> </w:t>
            </w:r>
            <w:r>
              <w:rPr>
                <w:sz w:val="20"/>
              </w:rPr>
              <w:t>socialization</w:t>
            </w:r>
            <w:r>
              <w:rPr>
                <w:spacing w:val="-10"/>
                <w:sz w:val="20"/>
              </w:rPr>
              <w:t xml:space="preserve"> </w:t>
            </w:r>
            <w:r>
              <w:rPr>
                <w:sz w:val="20"/>
              </w:rPr>
              <w:t>and sociocultural factors.</w:t>
            </w:r>
          </w:p>
          <w:p w14:paraId="4A45BA01" w14:textId="77777777" w:rsidR="00DB6E1F" w:rsidRDefault="00F666A6">
            <w:pPr>
              <w:pStyle w:val="TableParagraph"/>
              <w:spacing w:before="119"/>
              <w:ind w:left="105" w:right="132"/>
              <w:rPr>
                <w:sz w:val="20"/>
              </w:rPr>
            </w:pPr>
            <w:r>
              <w:rPr>
                <w:sz w:val="20"/>
              </w:rPr>
              <w:t>Contributing factors include socioeconomic status, cultural and ethnic beliefs, availability of substances, laws and penalties regulating substance</w:t>
            </w:r>
            <w:r>
              <w:rPr>
                <w:spacing w:val="-7"/>
                <w:sz w:val="20"/>
              </w:rPr>
              <w:t xml:space="preserve"> </w:t>
            </w:r>
            <w:r>
              <w:rPr>
                <w:sz w:val="20"/>
              </w:rPr>
              <w:t>use,</w:t>
            </w:r>
            <w:r>
              <w:rPr>
                <w:spacing w:val="-5"/>
                <w:sz w:val="20"/>
              </w:rPr>
              <w:t xml:space="preserve"> </w:t>
            </w:r>
            <w:r>
              <w:rPr>
                <w:sz w:val="20"/>
              </w:rPr>
              <w:t>norms</w:t>
            </w:r>
            <w:r>
              <w:rPr>
                <w:spacing w:val="-7"/>
                <w:sz w:val="20"/>
              </w:rPr>
              <w:t xml:space="preserve"> </w:t>
            </w:r>
            <w:r>
              <w:rPr>
                <w:sz w:val="20"/>
              </w:rPr>
              <w:t>and</w:t>
            </w:r>
            <w:r>
              <w:rPr>
                <w:spacing w:val="-5"/>
                <w:sz w:val="20"/>
              </w:rPr>
              <w:t xml:space="preserve"> </w:t>
            </w:r>
            <w:r>
              <w:rPr>
                <w:sz w:val="20"/>
              </w:rPr>
              <w:t>rules</w:t>
            </w:r>
            <w:r>
              <w:rPr>
                <w:spacing w:val="-7"/>
                <w:sz w:val="20"/>
              </w:rPr>
              <w:t xml:space="preserve"> </w:t>
            </w:r>
            <w:r>
              <w:rPr>
                <w:sz w:val="20"/>
              </w:rPr>
              <w:t>of</w:t>
            </w:r>
            <w:r>
              <w:rPr>
                <w:spacing w:val="-5"/>
                <w:sz w:val="20"/>
              </w:rPr>
              <w:t xml:space="preserve"> </w:t>
            </w:r>
            <w:r>
              <w:rPr>
                <w:sz w:val="20"/>
              </w:rPr>
              <w:t>families</w:t>
            </w:r>
            <w:r>
              <w:rPr>
                <w:spacing w:val="-7"/>
                <w:sz w:val="20"/>
              </w:rPr>
              <w:t xml:space="preserve"> </w:t>
            </w:r>
            <w:r>
              <w:rPr>
                <w:sz w:val="20"/>
              </w:rPr>
              <w:t xml:space="preserve">and other social groups, parental and peer expectations, modeling of acceptable behaviors, and the presence or absence of </w:t>
            </w:r>
            <w:r>
              <w:rPr>
                <w:spacing w:val="-2"/>
                <w:sz w:val="20"/>
              </w:rPr>
              <w:t>reinforcers.</w:t>
            </w:r>
          </w:p>
        </w:tc>
        <w:tc>
          <w:tcPr>
            <w:tcW w:w="3954" w:type="dxa"/>
          </w:tcPr>
          <w:p w14:paraId="6FFD920D" w14:textId="77777777" w:rsidR="00DB6E1F" w:rsidRDefault="00F666A6">
            <w:pPr>
              <w:pStyle w:val="TableParagraph"/>
              <w:ind w:left="108" w:right="137"/>
              <w:rPr>
                <w:sz w:val="20"/>
              </w:rPr>
            </w:pPr>
            <w:r>
              <w:rPr>
                <w:sz w:val="20"/>
              </w:rPr>
              <w:t>Focus on building new social and family relationships,</w:t>
            </w:r>
            <w:r>
              <w:rPr>
                <w:spacing w:val="-12"/>
                <w:sz w:val="20"/>
              </w:rPr>
              <w:t xml:space="preserve"> </w:t>
            </w:r>
            <w:r>
              <w:rPr>
                <w:sz w:val="20"/>
              </w:rPr>
              <w:t>developing</w:t>
            </w:r>
            <w:r>
              <w:rPr>
                <w:spacing w:val="-11"/>
                <w:sz w:val="20"/>
              </w:rPr>
              <w:t xml:space="preserve"> </w:t>
            </w:r>
            <w:r>
              <w:rPr>
                <w:sz w:val="20"/>
              </w:rPr>
              <w:t>social</w:t>
            </w:r>
            <w:r>
              <w:rPr>
                <w:spacing w:val="-11"/>
                <w:sz w:val="20"/>
              </w:rPr>
              <w:t xml:space="preserve"> </w:t>
            </w:r>
            <w:r>
              <w:rPr>
                <w:sz w:val="20"/>
              </w:rPr>
              <w:t>competency and skills, and working within a clie</w:t>
            </w:r>
            <w:r>
              <w:rPr>
                <w:sz w:val="20"/>
              </w:rPr>
              <w:t xml:space="preserve">nt’s </w:t>
            </w:r>
            <w:r>
              <w:rPr>
                <w:spacing w:val="-2"/>
                <w:sz w:val="20"/>
              </w:rPr>
              <w:t>culture</w:t>
            </w:r>
          </w:p>
        </w:tc>
      </w:tr>
      <w:tr w:rsidR="00DB6E1F" w14:paraId="285CB532" w14:textId="77777777">
        <w:trPr>
          <w:trHeight w:val="1705"/>
        </w:trPr>
        <w:tc>
          <w:tcPr>
            <w:tcW w:w="1346" w:type="dxa"/>
          </w:tcPr>
          <w:p w14:paraId="351BE7EC" w14:textId="77777777" w:rsidR="00DB6E1F" w:rsidRDefault="00F666A6">
            <w:pPr>
              <w:pStyle w:val="TableParagraph"/>
              <w:rPr>
                <w:sz w:val="20"/>
              </w:rPr>
            </w:pPr>
            <w:r>
              <w:rPr>
                <w:spacing w:val="-2"/>
                <w:sz w:val="20"/>
              </w:rPr>
              <w:t>Spiritual</w:t>
            </w:r>
          </w:p>
        </w:tc>
        <w:tc>
          <w:tcPr>
            <w:tcW w:w="4048" w:type="dxa"/>
          </w:tcPr>
          <w:p w14:paraId="0A9D164A" w14:textId="77777777" w:rsidR="00DB6E1F" w:rsidRDefault="00F666A6">
            <w:pPr>
              <w:pStyle w:val="TableParagraph"/>
              <w:ind w:left="105"/>
              <w:rPr>
                <w:sz w:val="20"/>
              </w:rPr>
            </w:pPr>
            <w:r>
              <w:rPr>
                <w:sz w:val="20"/>
              </w:rPr>
              <w:t>Addiction</w:t>
            </w:r>
            <w:r>
              <w:rPr>
                <w:spacing w:val="-6"/>
                <w:sz w:val="20"/>
              </w:rPr>
              <w:t xml:space="preserve"> </w:t>
            </w:r>
            <w:r>
              <w:rPr>
                <w:sz w:val="20"/>
              </w:rPr>
              <w:t>is</w:t>
            </w:r>
            <w:r>
              <w:rPr>
                <w:spacing w:val="-7"/>
                <w:sz w:val="20"/>
              </w:rPr>
              <w:t xml:space="preserve"> </w:t>
            </w:r>
            <w:r>
              <w:rPr>
                <w:sz w:val="20"/>
              </w:rPr>
              <w:t>a</w:t>
            </w:r>
            <w:r>
              <w:rPr>
                <w:spacing w:val="-6"/>
                <w:sz w:val="20"/>
              </w:rPr>
              <w:t xml:space="preserve"> </w:t>
            </w:r>
            <w:r>
              <w:rPr>
                <w:sz w:val="20"/>
              </w:rPr>
              <w:t>spiritual</w:t>
            </w:r>
            <w:r>
              <w:rPr>
                <w:spacing w:val="-6"/>
                <w:sz w:val="20"/>
              </w:rPr>
              <w:t xml:space="preserve"> </w:t>
            </w:r>
            <w:r>
              <w:rPr>
                <w:spacing w:val="-2"/>
                <w:sz w:val="20"/>
              </w:rPr>
              <w:t>disease.</w:t>
            </w:r>
          </w:p>
          <w:p w14:paraId="476CC849" w14:textId="77777777" w:rsidR="00DB6E1F" w:rsidRDefault="00F666A6">
            <w:pPr>
              <w:pStyle w:val="TableParagraph"/>
              <w:spacing w:before="121"/>
              <w:ind w:left="105"/>
              <w:rPr>
                <w:sz w:val="20"/>
              </w:rPr>
            </w:pPr>
            <w:r>
              <w:rPr>
                <w:sz w:val="20"/>
              </w:rPr>
              <w:t>Recovery</w:t>
            </w:r>
            <w:r>
              <w:rPr>
                <w:spacing w:val="-5"/>
                <w:sz w:val="20"/>
              </w:rPr>
              <w:t xml:space="preserve"> </w:t>
            </w:r>
            <w:r>
              <w:rPr>
                <w:sz w:val="20"/>
              </w:rPr>
              <w:t>is</w:t>
            </w:r>
            <w:r>
              <w:rPr>
                <w:spacing w:val="-7"/>
                <w:sz w:val="20"/>
              </w:rPr>
              <w:t xml:space="preserve"> </w:t>
            </w:r>
            <w:r>
              <w:rPr>
                <w:sz w:val="20"/>
              </w:rPr>
              <w:t>predicated</w:t>
            </w:r>
            <w:r>
              <w:rPr>
                <w:spacing w:val="-5"/>
                <w:sz w:val="20"/>
              </w:rPr>
              <w:t xml:space="preserve"> </w:t>
            </w:r>
            <w:r>
              <w:rPr>
                <w:sz w:val="20"/>
              </w:rPr>
              <w:t>on</w:t>
            </w:r>
            <w:r>
              <w:rPr>
                <w:spacing w:val="-5"/>
                <w:sz w:val="20"/>
              </w:rPr>
              <w:t xml:space="preserve"> </w:t>
            </w:r>
            <w:r>
              <w:rPr>
                <w:sz w:val="20"/>
              </w:rPr>
              <w:t>a</w:t>
            </w:r>
            <w:r>
              <w:rPr>
                <w:spacing w:val="-5"/>
                <w:sz w:val="20"/>
              </w:rPr>
              <w:t xml:space="preserve"> </w:t>
            </w:r>
            <w:r>
              <w:rPr>
                <w:sz w:val="20"/>
              </w:rPr>
              <w:t>recognition</w:t>
            </w:r>
            <w:r>
              <w:rPr>
                <w:spacing w:val="-5"/>
                <w:sz w:val="20"/>
              </w:rPr>
              <w:t xml:space="preserve"> </w:t>
            </w:r>
            <w:r>
              <w:rPr>
                <w:sz w:val="20"/>
              </w:rPr>
              <w:t>of</w:t>
            </w:r>
            <w:r>
              <w:rPr>
                <w:spacing w:val="-7"/>
                <w:sz w:val="20"/>
              </w:rPr>
              <w:t xml:space="preserve"> </w:t>
            </w:r>
            <w:r>
              <w:rPr>
                <w:sz w:val="20"/>
              </w:rPr>
              <w:t>the limitations of the self and a desire to achieve health through a connection with that which transcends the individual.</w:t>
            </w:r>
          </w:p>
        </w:tc>
        <w:tc>
          <w:tcPr>
            <w:tcW w:w="3954" w:type="dxa"/>
          </w:tcPr>
          <w:p w14:paraId="334C6339" w14:textId="77777777" w:rsidR="00DB6E1F" w:rsidRDefault="00F666A6">
            <w:pPr>
              <w:pStyle w:val="TableParagraph"/>
              <w:ind w:left="108" w:right="37"/>
              <w:rPr>
                <w:sz w:val="20"/>
              </w:rPr>
            </w:pPr>
            <w:r>
              <w:rPr>
                <w:sz w:val="20"/>
              </w:rPr>
              <w:t>Integrating 12-Step recovery principles or other</w:t>
            </w:r>
            <w:r>
              <w:rPr>
                <w:spacing w:val="-9"/>
                <w:sz w:val="20"/>
              </w:rPr>
              <w:t xml:space="preserve"> </w:t>
            </w:r>
            <w:r>
              <w:rPr>
                <w:sz w:val="20"/>
              </w:rPr>
              <w:t>culturally</w:t>
            </w:r>
            <w:r>
              <w:rPr>
                <w:spacing w:val="-8"/>
                <w:sz w:val="20"/>
              </w:rPr>
              <w:t xml:space="preserve"> </w:t>
            </w:r>
            <w:r>
              <w:rPr>
                <w:sz w:val="20"/>
              </w:rPr>
              <w:t>based</w:t>
            </w:r>
            <w:r>
              <w:rPr>
                <w:spacing w:val="-8"/>
                <w:sz w:val="20"/>
              </w:rPr>
              <w:t xml:space="preserve"> </w:t>
            </w:r>
            <w:r>
              <w:rPr>
                <w:sz w:val="20"/>
              </w:rPr>
              <w:t>spiritual</w:t>
            </w:r>
            <w:r>
              <w:rPr>
                <w:spacing w:val="-9"/>
                <w:sz w:val="20"/>
              </w:rPr>
              <w:t xml:space="preserve"> </w:t>
            </w:r>
            <w:r>
              <w:rPr>
                <w:sz w:val="20"/>
              </w:rPr>
              <w:t>practices</w:t>
            </w:r>
            <w:r>
              <w:rPr>
                <w:spacing w:val="-10"/>
                <w:sz w:val="20"/>
              </w:rPr>
              <w:t xml:space="preserve"> </w:t>
            </w:r>
            <w:r>
              <w:rPr>
                <w:sz w:val="20"/>
              </w:rPr>
              <w:t>(e.g., American Indian Wellbriety principles) i</w:t>
            </w:r>
            <w:r>
              <w:rPr>
                <w:sz w:val="20"/>
              </w:rPr>
              <w:t>nto addiction treatment</w:t>
            </w:r>
          </w:p>
          <w:p w14:paraId="14875F38" w14:textId="77777777" w:rsidR="00DB6E1F" w:rsidRDefault="00F666A6">
            <w:pPr>
              <w:pStyle w:val="TableParagraph"/>
              <w:spacing w:before="120"/>
              <w:ind w:left="108"/>
              <w:rPr>
                <w:sz w:val="20"/>
              </w:rPr>
            </w:pPr>
            <w:r>
              <w:rPr>
                <w:sz w:val="20"/>
              </w:rPr>
              <w:t>Linking</w:t>
            </w:r>
            <w:r>
              <w:rPr>
                <w:spacing w:val="-7"/>
                <w:sz w:val="20"/>
              </w:rPr>
              <w:t xml:space="preserve"> </w:t>
            </w:r>
            <w:r>
              <w:rPr>
                <w:sz w:val="20"/>
              </w:rPr>
              <w:t>clients</w:t>
            </w:r>
            <w:r>
              <w:rPr>
                <w:spacing w:val="-7"/>
                <w:sz w:val="20"/>
              </w:rPr>
              <w:t xml:space="preserve"> </w:t>
            </w:r>
            <w:r>
              <w:rPr>
                <w:sz w:val="20"/>
              </w:rPr>
              <w:t>to</w:t>
            </w:r>
            <w:r>
              <w:rPr>
                <w:spacing w:val="-7"/>
                <w:sz w:val="20"/>
              </w:rPr>
              <w:t xml:space="preserve"> </w:t>
            </w:r>
            <w:r>
              <w:rPr>
                <w:sz w:val="20"/>
              </w:rPr>
              <w:t>12-Step,</w:t>
            </w:r>
            <w:r>
              <w:rPr>
                <w:spacing w:val="-6"/>
                <w:sz w:val="20"/>
              </w:rPr>
              <w:t xml:space="preserve"> </w:t>
            </w:r>
            <w:r>
              <w:rPr>
                <w:sz w:val="20"/>
              </w:rPr>
              <w:t>faith-</w:t>
            </w:r>
            <w:r>
              <w:rPr>
                <w:spacing w:val="-7"/>
                <w:sz w:val="20"/>
              </w:rPr>
              <w:t xml:space="preserve"> </w:t>
            </w:r>
            <w:r>
              <w:rPr>
                <w:sz w:val="20"/>
              </w:rPr>
              <w:t>and</w:t>
            </w:r>
            <w:r>
              <w:rPr>
                <w:spacing w:val="-6"/>
                <w:sz w:val="20"/>
              </w:rPr>
              <w:t xml:space="preserve"> </w:t>
            </w:r>
            <w:r>
              <w:rPr>
                <w:sz w:val="20"/>
              </w:rPr>
              <w:t>spiritual- based recovery, and other support groups</w:t>
            </w:r>
          </w:p>
        </w:tc>
      </w:tr>
      <w:tr w:rsidR="00DB6E1F" w14:paraId="5621808F" w14:textId="77777777">
        <w:trPr>
          <w:trHeight w:val="971"/>
        </w:trPr>
        <w:tc>
          <w:tcPr>
            <w:tcW w:w="1346" w:type="dxa"/>
          </w:tcPr>
          <w:p w14:paraId="07A00E71" w14:textId="77777777" w:rsidR="00DB6E1F" w:rsidRDefault="00F666A6">
            <w:pPr>
              <w:pStyle w:val="TableParagraph"/>
              <w:rPr>
                <w:sz w:val="20"/>
              </w:rPr>
            </w:pPr>
            <w:r>
              <w:rPr>
                <w:spacing w:val="-2"/>
                <w:sz w:val="20"/>
              </w:rPr>
              <w:t>Medical</w:t>
            </w:r>
          </w:p>
        </w:tc>
        <w:tc>
          <w:tcPr>
            <w:tcW w:w="4048" w:type="dxa"/>
          </w:tcPr>
          <w:p w14:paraId="2256BF46" w14:textId="77777777" w:rsidR="00DB6E1F" w:rsidRDefault="00F666A6">
            <w:pPr>
              <w:pStyle w:val="TableParagraph"/>
              <w:ind w:left="105"/>
              <w:rPr>
                <w:sz w:val="20"/>
              </w:rPr>
            </w:pPr>
            <w:r>
              <w:rPr>
                <w:sz w:val="20"/>
              </w:rPr>
              <w:t>Addiction</w:t>
            </w:r>
            <w:r>
              <w:rPr>
                <w:spacing w:val="-7"/>
                <w:sz w:val="20"/>
              </w:rPr>
              <w:t xml:space="preserve"> </w:t>
            </w:r>
            <w:r>
              <w:rPr>
                <w:sz w:val="20"/>
              </w:rPr>
              <w:t>is</w:t>
            </w:r>
            <w:r>
              <w:rPr>
                <w:spacing w:val="-8"/>
                <w:sz w:val="20"/>
              </w:rPr>
              <w:t xml:space="preserve"> </w:t>
            </w:r>
            <w:r>
              <w:rPr>
                <w:sz w:val="20"/>
              </w:rPr>
              <w:t>a</w:t>
            </w:r>
            <w:r>
              <w:rPr>
                <w:spacing w:val="-8"/>
                <w:sz w:val="20"/>
              </w:rPr>
              <w:t xml:space="preserve"> </w:t>
            </w:r>
            <w:r>
              <w:rPr>
                <w:sz w:val="20"/>
              </w:rPr>
              <w:t>chronic,</w:t>
            </w:r>
            <w:r>
              <w:rPr>
                <w:spacing w:val="-6"/>
                <w:sz w:val="20"/>
              </w:rPr>
              <w:t xml:space="preserve"> </w:t>
            </w:r>
            <w:r>
              <w:rPr>
                <w:sz w:val="20"/>
              </w:rPr>
              <w:t>progressive,</w:t>
            </w:r>
            <w:r>
              <w:rPr>
                <w:spacing w:val="-7"/>
                <w:sz w:val="20"/>
              </w:rPr>
              <w:t xml:space="preserve"> </w:t>
            </w:r>
            <w:r>
              <w:rPr>
                <w:spacing w:val="-2"/>
                <w:sz w:val="20"/>
              </w:rPr>
              <w:t>disease.</w:t>
            </w:r>
          </w:p>
          <w:p w14:paraId="74F49913" w14:textId="77777777" w:rsidR="00DB6E1F" w:rsidRDefault="00F666A6">
            <w:pPr>
              <w:pStyle w:val="TableParagraph"/>
              <w:spacing w:before="118"/>
              <w:ind w:left="105" w:right="132"/>
              <w:rPr>
                <w:sz w:val="20"/>
              </w:rPr>
            </w:pPr>
            <w:r>
              <w:rPr>
                <w:sz w:val="20"/>
              </w:rPr>
              <w:t>Genetic predisposition and neurochemical brain</w:t>
            </w:r>
            <w:r>
              <w:rPr>
                <w:spacing w:val="-7"/>
                <w:sz w:val="20"/>
              </w:rPr>
              <w:t xml:space="preserve"> </w:t>
            </w:r>
            <w:r>
              <w:rPr>
                <w:sz w:val="20"/>
              </w:rPr>
              <w:t>changes</w:t>
            </w:r>
            <w:r>
              <w:rPr>
                <w:spacing w:val="-9"/>
                <w:sz w:val="20"/>
              </w:rPr>
              <w:t xml:space="preserve"> </w:t>
            </w:r>
            <w:r>
              <w:rPr>
                <w:sz w:val="20"/>
              </w:rPr>
              <w:t>are</w:t>
            </w:r>
            <w:r>
              <w:rPr>
                <w:spacing w:val="-9"/>
                <w:sz w:val="20"/>
              </w:rPr>
              <w:t xml:space="preserve"> </w:t>
            </w:r>
            <w:r>
              <w:rPr>
                <w:sz w:val="20"/>
              </w:rPr>
              <w:t>primary</w:t>
            </w:r>
            <w:r>
              <w:rPr>
                <w:spacing w:val="-7"/>
                <w:sz w:val="20"/>
              </w:rPr>
              <w:t xml:space="preserve"> </w:t>
            </w:r>
            <w:r>
              <w:rPr>
                <w:sz w:val="20"/>
              </w:rPr>
              <w:t>etiological</w:t>
            </w:r>
            <w:r>
              <w:rPr>
                <w:spacing w:val="-8"/>
                <w:sz w:val="20"/>
              </w:rPr>
              <w:t xml:space="preserve"> </w:t>
            </w:r>
            <w:r>
              <w:rPr>
                <w:sz w:val="20"/>
              </w:rPr>
              <w:t>factors.</w:t>
            </w:r>
          </w:p>
        </w:tc>
        <w:tc>
          <w:tcPr>
            <w:tcW w:w="3954" w:type="dxa"/>
          </w:tcPr>
          <w:p w14:paraId="66A15407" w14:textId="77777777" w:rsidR="00DB6E1F" w:rsidRDefault="00F666A6">
            <w:pPr>
              <w:pStyle w:val="TableParagraph"/>
              <w:spacing w:before="0"/>
              <w:ind w:left="108" w:right="137"/>
              <w:rPr>
                <w:sz w:val="20"/>
              </w:rPr>
            </w:pPr>
            <w:r>
              <w:rPr>
                <w:sz w:val="20"/>
              </w:rPr>
              <w:t>Medical and behavioral interventions including</w:t>
            </w:r>
            <w:r>
              <w:rPr>
                <w:spacing w:val="-12"/>
                <w:sz w:val="20"/>
              </w:rPr>
              <w:t xml:space="preserve"> </w:t>
            </w:r>
            <w:r>
              <w:rPr>
                <w:sz w:val="20"/>
              </w:rPr>
              <w:t>pharmacotherapy,</w:t>
            </w:r>
            <w:r>
              <w:rPr>
                <w:spacing w:val="-11"/>
                <w:sz w:val="20"/>
              </w:rPr>
              <w:t xml:space="preserve"> </w:t>
            </w:r>
            <w:r>
              <w:rPr>
                <w:sz w:val="20"/>
              </w:rPr>
              <w:t>education,</w:t>
            </w:r>
            <w:r>
              <w:rPr>
                <w:spacing w:val="-11"/>
                <w:sz w:val="20"/>
              </w:rPr>
              <w:t xml:space="preserve"> </w:t>
            </w:r>
            <w:r>
              <w:rPr>
                <w:sz w:val="20"/>
              </w:rPr>
              <w:t>and behavioral change advice and monitoring</w:t>
            </w:r>
          </w:p>
        </w:tc>
      </w:tr>
      <w:tr w:rsidR="00DB6E1F" w14:paraId="3AA29BEE" w14:textId="77777777">
        <w:trPr>
          <w:trHeight w:val="1096"/>
        </w:trPr>
        <w:tc>
          <w:tcPr>
            <w:tcW w:w="1346" w:type="dxa"/>
          </w:tcPr>
          <w:p w14:paraId="5E4DDCFE" w14:textId="77777777" w:rsidR="00DB6E1F" w:rsidRDefault="00F666A6">
            <w:pPr>
              <w:pStyle w:val="TableParagraph"/>
              <w:rPr>
                <w:sz w:val="20"/>
              </w:rPr>
            </w:pPr>
            <w:r>
              <w:rPr>
                <w:spacing w:val="-2"/>
                <w:sz w:val="20"/>
              </w:rPr>
              <w:t>Integrated treatment</w:t>
            </w:r>
          </w:p>
        </w:tc>
        <w:tc>
          <w:tcPr>
            <w:tcW w:w="4048" w:type="dxa"/>
          </w:tcPr>
          <w:p w14:paraId="6C23DD74" w14:textId="77777777" w:rsidR="00DB6E1F" w:rsidRDefault="00F666A6">
            <w:pPr>
              <w:pStyle w:val="TableParagraph"/>
              <w:ind w:left="105" w:right="132"/>
              <w:rPr>
                <w:sz w:val="20"/>
              </w:rPr>
            </w:pPr>
            <w:r>
              <w:rPr>
                <w:sz w:val="20"/>
              </w:rPr>
              <w:t>Addiction is a chronic disease that is best treated by collaborative and comprehensive approaches</w:t>
            </w:r>
            <w:r>
              <w:rPr>
                <w:spacing w:val="-11"/>
                <w:sz w:val="20"/>
              </w:rPr>
              <w:t xml:space="preserve"> </w:t>
            </w:r>
            <w:r>
              <w:rPr>
                <w:sz w:val="20"/>
              </w:rPr>
              <w:t>that</w:t>
            </w:r>
            <w:r>
              <w:rPr>
                <w:spacing w:val="-10"/>
                <w:sz w:val="20"/>
              </w:rPr>
              <w:t xml:space="preserve"> </w:t>
            </w:r>
            <w:r>
              <w:rPr>
                <w:sz w:val="20"/>
              </w:rPr>
              <w:t>address</w:t>
            </w:r>
            <w:r>
              <w:rPr>
                <w:spacing w:val="-11"/>
                <w:sz w:val="20"/>
              </w:rPr>
              <w:t xml:space="preserve"> </w:t>
            </w:r>
            <w:r>
              <w:rPr>
                <w:sz w:val="20"/>
              </w:rPr>
              <w:t>biopsychosocial</w:t>
            </w:r>
            <w:r>
              <w:rPr>
                <w:spacing w:val="-10"/>
                <w:sz w:val="20"/>
              </w:rPr>
              <w:t xml:space="preserve"> </w:t>
            </w:r>
            <w:r>
              <w:rPr>
                <w:sz w:val="20"/>
              </w:rPr>
              <w:t>and spiritual components.</w:t>
            </w:r>
          </w:p>
        </w:tc>
        <w:tc>
          <w:tcPr>
            <w:tcW w:w="3954" w:type="dxa"/>
          </w:tcPr>
          <w:p w14:paraId="36F39B89" w14:textId="77777777" w:rsidR="00DB6E1F" w:rsidRDefault="00F666A6">
            <w:pPr>
              <w:pStyle w:val="TableParagraph"/>
              <w:ind w:left="108"/>
              <w:rPr>
                <w:sz w:val="20"/>
              </w:rPr>
            </w:pPr>
            <w:r>
              <w:rPr>
                <w:sz w:val="20"/>
              </w:rPr>
              <w:t>Integrated</w:t>
            </w:r>
            <w:r>
              <w:rPr>
                <w:spacing w:val="-8"/>
                <w:sz w:val="20"/>
              </w:rPr>
              <w:t xml:space="preserve"> </w:t>
            </w:r>
            <w:r>
              <w:rPr>
                <w:sz w:val="20"/>
              </w:rPr>
              <w:t>treatment</w:t>
            </w:r>
            <w:r>
              <w:rPr>
                <w:spacing w:val="-8"/>
                <w:sz w:val="20"/>
              </w:rPr>
              <w:t xml:space="preserve"> </w:t>
            </w:r>
            <w:r>
              <w:rPr>
                <w:sz w:val="20"/>
              </w:rPr>
              <w:t>with</w:t>
            </w:r>
            <w:r>
              <w:rPr>
                <w:spacing w:val="-8"/>
                <w:sz w:val="20"/>
              </w:rPr>
              <w:t xml:space="preserve"> </w:t>
            </w:r>
            <w:r>
              <w:rPr>
                <w:sz w:val="20"/>
              </w:rPr>
              <w:t>a</w:t>
            </w:r>
            <w:r>
              <w:rPr>
                <w:spacing w:val="-9"/>
                <w:sz w:val="20"/>
              </w:rPr>
              <w:t xml:space="preserve"> </w:t>
            </w:r>
            <w:r>
              <w:rPr>
                <w:sz w:val="20"/>
              </w:rPr>
              <w:t>recovery</w:t>
            </w:r>
            <w:r>
              <w:rPr>
                <w:spacing w:val="-8"/>
                <w:sz w:val="20"/>
              </w:rPr>
              <w:t xml:space="preserve"> </w:t>
            </w:r>
            <w:r>
              <w:rPr>
                <w:sz w:val="20"/>
              </w:rPr>
              <w:t>focus across treatment settings</w:t>
            </w:r>
          </w:p>
        </w:tc>
      </w:tr>
    </w:tbl>
    <w:p w14:paraId="0B44C60B" w14:textId="77777777" w:rsidR="00DB6E1F" w:rsidRDefault="00F666A6">
      <w:pPr>
        <w:pStyle w:val="Heading3"/>
        <w:spacing w:before="4"/>
      </w:pPr>
      <w:bookmarkStart w:id="35" w:name="Earlier_Perspectives"/>
      <w:bookmarkEnd w:id="35"/>
      <w:r>
        <w:t>Earlier</w:t>
      </w:r>
      <w:r>
        <w:rPr>
          <w:spacing w:val="-8"/>
        </w:rPr>
        <w:t xml:space="preserve"> </w:t>
      </w:r>
      <w:r>
        <w:rPr>
          <w:spacing w:val="-2"/>
        </w:rPr>
        <w:t>Perspectives</w:t>
      </w:r>
    </w:p>
    <w:p w14:paraId="686E3988" w14:textId="77777777" w:rsidR="00DB6E1F" w:rsidRDefault="00F666A6">
      <w:pPr>
        <w:pStyle w:val="BodyText"/>
        <w:spacing w:before="143"/>
        <w:ind w:left="1439" w:right="1491"/>
      </w:pPr>
      <w:r>
        <w:t xml:space="preserve">Although the field is evolving toward a more comprehensive understanding of SUD, </w:t>
      </w:r>
      <w:r>
        <w:rPr>
          <w:b/>
        </w:rPr>
        <w:t>earlier views of addiction</w:t>
      </w:r>
      <w:r>
        <w:rPr>
          <w:b/>
          <w:spacing w:val="-3"/>
        </w:rPr>
        <w:t xml:space="preserve"> </w:t>
      </w:r>
      <w:r>
        <w:rPr>
          <w:b/>
        </w:rPr>
        <w:t>still</w:t>
      </w:r>
      <w:r>
        <w:rPr>
          <w:b/>
          <w:spacing w:val="-1"/>
        </w:rPr>
        <w:t xml:space="preserve"> </w:t>
      </w:r>
      <w:r>
        <w:rPr>
          <w:b/>
        </w:rPr>
        <w:t>persist</w:t>
      </w:r>
      <w:r>
        <w:rPr>
          <w:b/>
          <w:spacing w:val="-4"/>
        </w:rPr>
        <w:t xml:space="preserve"> </w:t>
      </w:r>
      <w:r>
        <w:rPr>
          <w:b/>
        </w:rPr>
        <w:t>in</w:t>
      </w:r>
      <w:r>
        <w:rPr>
          <w:b/>
          <w:spacing w:val="-3"/>
        </w:rPr>
        <w:t xml:space="preserve"> </w:t>
      </w:r>
      <w:r>
        <w:rPr>
          <w:b/>
        </w:rPr>
        <w:t>parts</w:t>
      </w:r>
      <w:r>
        <w:rPr>
          <w:b/>
          <w:spacing w:val="-1"/>
        </w:rPr>
        <w:t xml:space="preserve"> </w:t>
      </w:r>
      <w:r>
        <w:rPr>
          <w:b/>
        </w:rPr>
        <w:t>of</w:t>
      </w:r>
      <w:r>
        <w:rPr>
          <w:b/>
          <w:spacing w:val="-5"/>
        </w:rPr>
        <w:t xml:space="preserve"> </w:t>
      </w:r>
      <w:r>
        <w:rPr>
          <w:b/>
        </w:rPr>
        <w:t>the</w:t>
      </w:r>
      <w:r>
        <w:rPr>
          <w:b/>
          <w:spacing w:val="-3"/>
        </w:rPr>
        <w:t xml:space="preserve"> </w:t>
      </w:r>
      <w:r>
        <w:rPr>
          <w:b/>
        </w:rPr>
        <w:t>U.S.</w:t>
      </w:r>
      <w:r>
        <w:rPr>
          <w:b/>
          <w:spacing w:val="-3"/>
        </w:rPr>
        <w:t xml:space="preserve"> </w:t>
      </w:r>
      <w:r>
        <w:rPr>
          <w:b/>
        </w:rPr>
        <w:t>addiction</w:t>
      </w:r>
      <w:r>
        <w:rPr>
          <w:b/>
          <w:spacing w:val="-3"/>
        </w:rPr>
        <w:t xml:space="preserve"> </w:t>
      </w:r>
      <w:r>
        <w:rPr>
          <w:b/>
        </w:rPr>
        <w:t>treatment</w:t>
      </w:r>
      <w:r>
        <w:rPr>
          <w:b/>
          <w:spacing w:val="-2"/>
        </w:rPr>
        <w:t xml:space="preserve"> </w:t>
      </w:r>
      <w:r>
        <w:rPr>
          <w:b/>
        </w:rPr>
        <w:t>system.</w:t>
      </w:r>
      <w:r>
        <w:rPr>
          <w:b/>
          <w:spacing w:val="-1"/>
        </w:rPr>
        <w:t xml:space="preserve"> </w:t>
      </w:r>
      <w:r>
        <w:t>For</w:t>
      </w:r>
      <w:r>
        <w:rPr>
          <w:spacing w:val="-2"/>
        </w:rPr>
        <w:t xml:space="preserve"> </w:t>
      </w:r>
      <w:r>
        <w:t>example,</w:t>
      </w:r>
      <w:r>
        <w:rPr>
          <w:spacing w:val="-2"/>
        </w:rPr>
        <w:t xml:space="preserve"> </w:t>
      </w:r>
      <w:r>
        <w:t>the</w:t>
      </w:r>
      <w:r>
        <w:rPr>
          <w:spacing w:val="-1"/>
        </w:rPr>
        <w:t xml:space="preserve"> </w:t>
      </w:r>
      <w:r>
        <w:t>psychological model of addiction treatment gave rise, in part, to the idea of an “addictive personality” and that psychological defenses (e.g., denial) need to be confronted. Remnants of earlier perspectives of addiction and their associated treatment appr</w:t>
      </w:r>
      <w:r>
        <w:t>oaches, which are not supported by research, include:</w:t>
      </w:r>
    </w:p>
    <w:p w14:paraId="67A216AE" w14:textId="77777777" w:rsidR="00DB6E1F" w:rsidRDefault="00F666A6">
      <w:pPr>
        <w:pStyle w:val="ListParagraph"/>
        <w:numPr>
          <w:ilvl w:val="0"/>
          <w:numId w:val="92"/>
        </w:numPr>
        <w:tabs>
          <w:tab w:val="left" w:pos="1799"/>
          <w:tab w:val="left" w:pos="1800"/>
        </w:tabs>
        <w:spacing w:before="59"/>
        <w:ind w:left="1799" w:right="1438" w:hanging="360"/>
        <w:rPr>
          <w:rFonts w:ascii="Symbol" w:hAnsi="Symbol"/>
        </w:rPr>
      </w:pPr>
      <w:r>
        <w:rPr>
          <w:b/>
        </w:rPr>
        <w:t xml:space="preserve">An addictive personality leads to SUDs. </w:t>
      </w:r>
      <w:r>
        <w:t>Although it is commonly believed that people with SUDs possess similar personality traits that make treatment difficult, no distinctive personality traits have be</w:t>
      </w:r>
      <w:r>
        <w:t>en found to predict that an individual will develop an SUD (Amodeo, 2015). The tendencies of an addictive</w:t>
      </w:r>
      <w:r>
        <w:rPr>
          <w:spacing w:val="-1"/>
        </w:rPr>
        <w:t xml:space="preserve"> </w:t>
      </w:r>
      <w:r>
        <w:t>personality</w:t>
      </w:r>
      <w:r>
        <w:rPr>
          <w:spacing w:val="-3"/>
        </w:rPr>
        <w:t xml:space="preserve"> </w:t>
      </w:r>
      <w:r>
        <w:t>most</w:t>
      </w:r>
      <w:r>
        <w:rPr>
          <w:spacing w:val="-6"/>
        </w:rPr>
        <w:t xml:space="preserve"> </w:t>
      </w:r>
      <w:r>
        <w:t>often</w:t>
      </w:r>
      <w:r>
        <w:rPr>
          <w:spacing w:val="-5"/>
        </w:rPr>
        <w:t xml:space="preserve"> </w:t>
      </w:r>
      <w:r>
        <w:t>cited</w:t>
      </w:r>
      <w:r>
        <w:rPr>
          <w:spacing w:val="-5"/>
        </w:rPr>
        <w:t xml:space="preserve"> </w:t>
      </w:r>
      <w:r>
        <w:t>are</w:t>
      </w:r>
      <w:r>
        <w:rPr>
          <w:spacing w:val="-1"/>
        </w:rPr>
        <w:t xml:space="preserve"> </w:t>
      </w:r>
      <w:r>
        <w:t>denial,</w:t>
      </w:r>
      <w:r>
        <w:rPr>
          <w:spacing w:val="-4"/>
        </w:rPr>
        <w:t xml:space="preserve"> </w:t>
      </w:r>
      <w:r>
        <w:t>projection,</w:t>
      </w:r>
      <w:r>
        <w:rPr>
          <w:spacing w:val="-2"/>
        </w:rPr>
        <w:t xml:space="preserve"> </w:t>
      </w:r>
      <w:r>
        <w:t>poor</w:t>
      </w:r>
      <w:r>
        <w:rPr>
          <w:spacing w:val="-2"/>
        </w:rPr>
        <w:t xml:space="preserve"> </w:t>
      </w:r>
      <w:r>
        <w:t>insight,</w:t>
      </w:r>
      <w:r>
        <w:rPr>
          <w:spacing w:val="-4"/>
        </w:rPr>
        <w:t xml:space="preserve"> </w:t>
      </w:r>
      <w:r>
        <w:t>and</w:t>
      </w:r>
      <w:r>
        <w:rPr>
          <w:spacing w:val="-3"/>
        </w:rPr>
        <w:t xml:space="preserve"> </w:t>
      </w:r>
      <w:r>
        <w:t>poor</w:t>
      </w:r>
      <w:r>
        <w:rPr>
          <w:spacing w:val="-2"/>
        </w:rPr>
        <w:t xml:space="preserve"> </w:t>
      </w:r>
      <w:r>
        <w:t>self-esteem.</w:t>
      </w:r>
      <w:r>
        <w:rPr>
          <w:spacing w:val="-2"/>
        </w:rPr>
        <w:t xml:space="preserve"> </w:t>
      </w:r>
      <w:r>
        <w:t>This idea is a deficit-based concept that can lead to counsel</w:t>
      </w:r>
      <w:r>
        <w:t>ors and clients viewing addiction as a fixed part of an underlying personality disorder and therefore difficult to treat (Amodeo, 2015).</w:t>
      </w:r>
    </w:p>
    <w:p w14:paraId="504D1037" w14:textId="77777777" w:rsidR="00DB6E1F" w:rsidRDefault="00F666A6">
      <w:pPr>
        <w:pStyle w:val="ListParagraph"/>
        <w:numPr>
          <w:ilvl w:val="0"/>
          <w:numId w:val="92"/>
        </w:numPr>
        <w:tabs>
          <w:tab w:val="left" w:pos="1799"/>
          <w:tab w:val="left" w:pos="1800"/>
        </w:tabs>
        <w:spacing w:before="59"/>
        <w:ind w:left="1798" w:right="1620" w:hanging="360"/>
        <w:rPr>
          <w:rFonts w:ascii="Symbol" w:hAnsi="Symbol"/>
        </w:rPr>
      </w:pPr>
      <w:r>
        <w:rPr>
          <w:b/>
        </w:rPr>
        <w:t xml:space="preserve">Rationalization and denial are characteristics of addiction. </w:t>
      </w:r>
      <w:r>
        <w:t>Another leftover from earlier psychological perspectives o</w:t>
      </w:r>
      <w:r>
        <w:t>n addiction is that people with SUDs have strong psychological defenses, such as denial and rationalization, which lead to challenging behaviors like evasiveness, manipulation,</w:t>
      </w:r>
      <w:r>
        <w:rPr>
          <w:spacing w:val="-5"/>
        </w:rPr>
        <w:t xml:space="preserve"> </w:t>
      </w:r>
      <w:r>
        <w:t>and</w:t>
      </w:r>
      <w:r>
        <w:rPr>
          <w:spacing w:val="-4"/>
        </w:rPr>
        <w:t xml:space="preserve"> </w:t>
      </w:r>
      <w:r>
        <w:t>resistance</w:t>
      </w:r>
      <w:r>
        <w:rPr>
          <w:spacing w:val="-2"/>
        </w:rPr>
        <w:t xml:space="preserve"> </w:t>
      </w:r>
      <w:r>
        <w:t>(Connors,</w:t>
      </w:r>
      <w:r>
        <w:rPr>
          <w:spacing w:val="-3"/>
        </w:rPr>
        <w:t xml:space="preserve"> </w:t>
      </w:r>
      <w:r>
        <w:t>DiClemente,</w:t>
      </w:r>
      <w:r>
        <w:rPr>
          <w:spacing w:val="-3"/>
        </w:rPr>
        <w:t xml:space="preserve"> </w:t>
      </w:r>
      <w:r>
        <w:t>Velasquez,</w:t>
      </w:r>
      <w:r>
        <w:rPr>
          <w:spacing w:val="-3"/>
        </w:rPr>
        <w:t xml:space="preserve"> </w:t>
      </w:r>
      <w:r>
        <w:t>&amp;</w:t>
      </w:r>
      <w:r>
        <w:rPr>
          <w:spacing w:val="-5"/>
        </w:rPr>
        <w:t xml:space="preserve"> </w:t>
      </w:r>
      <w:r>
        <w:t>Donovan,</w:t>
      </w:r>
      <w:r>
        <w:rPr>
          <w:spacing w:val="-5"/>
        </w:rPr>
        <w:t xml:space="preserve"> </w:t>
      </w:r>
      <w:r>
        <w:t>2013).</w:t>
      </w:r>
      <w:r>
        <w:rPr>
          <w:spacing w:val="-3"/>
        </w:rPr>
        <w:t xml:space="preserve"> </w:t>
      </w:r>
      <w:r>
        <w:t>The</w:t>
      </w:r>
      <w:r>
        <w:rPr>
          <w:spacing w:val="-2"/>
        </w:rPr>
        <w:t xml:space="preserve"> </w:t>
      </w:r>
      <w:r>
        <w:t>clinical</w:t>
      </w:r>
      <w:r>
        <w:rPr>
          <w:spacing w:val="-6"/>
        </w:rPr>
        <w:t xml:space="preserve"> </w:t>
      </w:r>
      <w:r>
        <w:t>and research literature does not support the belief that people with SUDs have more or stronger defenses than other clients (Connors et al., 2013).</w:t>
      </w:r>
    </w:p>
    <w:p w14:paraId="3773E340" w14:textId="77777777" w:rsidR="00DB6E1F" w:rsidRDefault="00F666A6">
      <w:pPr>
        <w:pStyle w:val="ListParagraph"/>
        <w:numPr>
          <w:ilvl w:val="0"/>
          <w:numId w:val="92"/>
        </w:numPr>
        <w:tabs>
          <w:tab w:val="left" w:pos="1798"/>
          <w:tab w:val="left" w:pos="1799"/>
        </w:tabs>
        <w:spacing w:before="61"/>
        <w:ind w:left="1798" w:right="1675" w:hanging="360"/>
        <w:rPr>
          <w:rFonts w:ascii="Symbol" w:hAnsi="Symbol"/>
        </w:rPr>
      </w:pPr>
      <w:r>
        <w:rPr>
          <w:b/>
        </w:rPr>
        <w:t xml:space="preserve">Resistance is a characteristic of “unmotivated” clients in addiction treatment </w:t>
      </w:r>
      <w:r>
        <w:t>(Connors et al., 2013).</w:t>
      </w:r>
      <w:r>
        <w:rPr>
          <w:spacing w:val="-5"/>
        </w:rPr>
        <w:t xml:space="preserve"> </w:t>
      </w:r>
      <w:r>
        <w:t>When</w:t>
      </w:r>
      <w:r>
        <w:rPr>
          <w:spacing w:val="-3"/>
        </w:rPr>
        <w:t xml:space="preserve"> </w:t>
      </w:r>
      <w:r>
        <w:t>clients</w:t>
      </w:r>
      <w:r>
        <w:rPr>
          <w:spacing w:val="-2"/>
        </w:rPr>
        <w:t xml:space="preserve"> </w:t>
      </w:r>
      <w:r>
        <w:t>are</w:t>
      </w:r>
      <w:r>
        <w:rPr>
          <w:spacing w:val="-1"/>
        </w:rPr>
        <w:t xml:space="preserve"> </w:t>
      </w:r>
      <w:r>
        <w:t>labeled</w:t>
      </w:r>
      <w:r>
        <w:rPr>
          <w:spacing w:val="-4"/>
        </w:rPr>
        <w:t xml:space="preserve"> </w:t>
      </w:r>
      <w:r>
        <w:t>as</w:t>
      </w:r>
      <w:r>
        <w:rPr>
          <w:spacing w:val="-4"/>
        </w:rPr>
        <w:t xml:space="preserve"> </w:t>
      </w:r>
      <w:r>
        <w:t>manipulative</w:t>
      </w:r>
      <w:r>
        <w:rPr>
          <w:spacing w:val="-4"/>
        </w:rPr>
        <w:t xml:space="preserve"> </w:t>
      </w:r>
      <w:r>
        <w:t>or</w:t>
      </w:r>
      <w:r>
        <w:rPr>
          <w:spacing w:val="-2"/>
        </w:rPr>
        <w:t xml:space="preserve"> </w:t>
      </w:r>
      <w:r>
        <w:t>resistant,</w:t>
      </w:r>
      <w:r>
        <w:rPr>
          <w:spacing w:val="-2"/>
        </w:rPr>
        <w:t xml:space="preserve"> </w:t>
      </w:r>
      <w:r>
        <w:t>given</w:t>
      </w:r>
      <w:r>
        <w:rPr>
          <w:spacing w:val="-3"/>
        </w:rPr>
        <w:t xml:space="preserve"> </w:t>
      </w:r>
      <w:r>
        <w:t>no</w:t>
      </w:r>
      <w:r>
        <w:rPr>
          <w:spacing w:val="-3"/>
        </w:rPr>
        <w:t xml:space="preserve"> </w:t>
      </w:r>
      <w:r>
        <w:t>voice</w:t>
      </w:r>
      <w:r>
        <w:rPr>
          <w:spacing w:val="-1"/>
        </w:rPr>
        <w:t xml:space="preserve"> </w:t>
      </w:r>
      <w:r>
        <w:t>in</w:t>
      </w:r>
      <w:r>
        <w:rPr>
          <w:spacing w:val="-3"/>
        </w:rPr>
        <w:t xml:space="preserve"> </w:t>
      </w:r>
      <w:r>
        <w:t>selecting</w:t>
      </w:r>
      <w:r>
        <w:rPr>
          <w:spacing w:val="-3"/>
        </w:rPr>
        <w:t xml:space="preserve"> </w:t>
      </w:r>
      <w:r>
        <w:t>treatment</w:t>
      </w:r>
    </w:p>
    <w:p w14:paraId="73E1DCD9" w14:textId="77777777" w:rsidR="00DB6E1F" w:rsidRDefault="00DB6E1F">
      <w:pPr>
        <w:rPr>
          <w:rFonts w:ascii="Symbol" w:hAnsi="Symbol"/>
        </w:rPr>
        <w:sectPr w:rsidR="00DB6E1F">
          <w:pgSz w:w="12240" w:h="15840"/>
          <w:pgMar w:top="1200" w:right="0" w:bottom="780" w:left="0" w:header="763" w:footer="585" w:gutter="0"/>
          <w:cols w:space="720"/>
        </w:sectPr>
      </w:pPr>
    </w:p>
    <w:p w14:paraId="3AE25F6D" w14:textId="77777777" w:rsidR="00DB6E1F" w:rsidRDefault="00DB6E1F">
      <w:pPr>
        <w:pStyle w:val="BodyText"/>
        <w:spacing w:before="8"/>
        <w:rPr>
          <w:sz w:val="14"/>
        </w:rPr>
      </w:pPr>
    </w:p>
    <w:p w14:paraId="1973B656" w14:textId="77777777" w:rsidR="00DB6E1F" w:rsidRDefault="00F666A6">
      <w:pPr>
        <w:pStyle w:val="BodyText"/>
        <w:spacing w:before="56"/>
        <w:ind w:left="1799" w:right="1555"/>
      </w:pPr>
      <w:r>
        <w:t>goals,</w:t>
      </w:r>
      <w:r>
        <w:rPr>
          <w:spacing w:val="-2"/>
        </w:rPr>
        <w:t xml:space="preserve"> </w:t>
      </w:r>
      <w:r>
        <w:t>or directed</w:t>
      </w:r>
      <w:r>
        <w:rPr>
          <w:spacing w:val="-1"/>
        </w:rPr>
        <w:t xml:space="preserve"> </w:t>
      </w:r>
      <w:r>
        <w:t>authoritatively to do</w:t>
      </w:r>
      <w:r>
        <w:rPr>
          <w:spacing w:val="-1"/>
        </w:rPr>
        <w:t xml:space="preserve"> </w:t>
      </w:r>
      <w:r>
        <w:t>or not to do something,</w:t>
      </w:r>
      <w:r>
        <w:rPr>
          <w:spacing w:val="-2"/>
        </w:rPr>
        <w:t xml:space="preserve"> </w:t>
      </w:r>
      <w:r>
        <w:t>the result is</w:t>
      </w:r>
      <w:r>
        <w:rPr>
          <w:spacing w:val="-2"/>
        </w:rPr>
        <w:t xml:space="preserve"> </w:t>
      </w:r>
      <w:r>
        <w:t>a predictable response of resistance or reactivity to the counselor’s</w:t>
      </w:r>
      <w:r>
        <w:t xml:space="preserve"> directives (Beutler, Harwood, Michelson, Song, &amp; Holman, 2011). Viewing resistance—along with rationalization and denial—as characteristic of addiction and making efforts to weaken these defenses actually strengthens them. This paradox seemed</w:t>
      </w:r>
      <w:r>
        <w:rPr>
          <w:spacing w:val="-4"/>
        </w:rPr>
        <w:t xml:space="preserve"> </w:t>
      </w:r>
      <w:r>
        <w:t>to</w:t>
      </w:r>
      <w:r>
        <w:rPr>
          <w:spacing w:val="-4"/>
        </w:rPr>
        <w:t xml:space="preserve"> </w:t>
      </w:r>
      <w:r>
        <w:t>confirm</w:t>
      </w:r>
      <w:r>
        <w:rPr>
          <w:spacing w:val="-2"/>
        </w:rPr>
        <w:t xml:space="preserve"> </w:t>
      </w:r>
      <w:r>
        <w:t>t</w:t>
      </w:r>
      <w:r>
        <w:t>he</w:t>
      </w:r>
      <w:r>
        <w:rPr>
          <w:spacing w:val="-2"/>
        </w:rPr>
        <w:t xml:space="preserve"> </w:t>
      </w:r>
      <w:r>
        <w:t>idea</w:t>
      </w:r>
      <w:r>
        <w:rPr>
          <w:spacing w:val="-3"/>
        </w:rPr>
        <w:t xml:space="preserve"> </w:t>
      </w:r>
      <w:r>
        <w:t>that</w:t>
      </w:r>
      <w:r>
        <w:rPr>
          <w:spacing w:val="-2"/>
        </w:rPr>
        <w:t xml:space="preserve"> </w:t>
      </w:r>
      <w:r>
        <w:t>resistance</w:t>
      </w:r>
      <w:r>
        <w:rPr>
          <w:spacing w:val="-2"/>
        </w:rPr>
        <w:t xml:space="preserve"> </w:t>
      </w:r>
      <w:r>
        <w:t>and</w:t>
      </w:r>
      <w:r>
        <w:rPr>
          <w:spacing w:val="-4"/>
        </w:rPr>
        <w:t xml:space="preserve"> </w:t>
      </w:r>
      <w:r>
        <w:t>denial</w:t>
      </w:r>
      <w:r>
        <w:rPr>
          <w:spacing w:val="-3"/>
        </w:rPr>
        <w:t xml:space="preserve"> </w:t>
      </w:r>
      <w:r>
        <w:t>were</w:t>
      </w:r>
      <w:r>
        <w:rPr>
          <w:spacing w:val="-2"/>
        </w:rPr>
        <w:t xml:space="preserve"> </w:t>
      </w:r>
      <w:r>
        <w:t>essential</w:t>
      </w:r>
      <w:r>
        <w:rPr>
          <w:spacing w:val="-6"/>
        </w:rPr>
        <w:t xml:space="preserve"> </w:t>
      </w:r>
      <w:r>
        <w:t>components</w:t>
      </w:r>
      <w:r>
        <w:rPr>
          <w:spacing w:val="-2"/>
        </w:rPr>
        <w:t xml:space="preserve"> </w:t>
      </w:r>
      <w:r>
        <w:t>of</w:t>
      </w:r>
      <w:r>
        <w:rPr>
          <w:spacing w:val="-6"/>
        </w:rPr>
        <w:t xml:space="preserve"> </w:t>
      </w:r>
      <w:r>
        <w:t>addiction</w:t>
      </w:r>
      <w:r>
        <w:rPr>
          <w:spacing w:val="-3"/>
        </w:rPr>
        <w:t xml:space="preserve"> </w:t>
      </w:r>
      <w:r>
        <w:t>and traits of clients.</w:t>
      </w:r>
    </w:p>
    <w:p w14:paraId="0726BDA3" w14:textId="77777777" w:rsidR="00DB6E1F" w:rsidRDefault="00F666A6">
      <w:pPr>
        <w:pStyle w:val="ListParagraph"/>
        <w:numPr>
          <w:ilvl w:val="0"/>
          <w:numId w:val="92"/>
        </w:numPr>
        <w:tabs>
          <w:tab w:val="left" w:pos="1799"/>
          <w:tab w:val="left" w:pos="1800"/>
        </w:tabs>
        <w:spacing w:before="59"/>
        <w:ind w:left="1798" w:right="1437" w:hanging="360"/>
        <w:rPr>
          <w:rFonts w:ascii="Symbol" w:hAnsi="Symbol"/>
        </w:rPr>
      </w:pPr>
      <w:r>
        <w:rPr>
          <w:b/>
        </w:rPr>
        <w:t>Confrontation</w:t>
      </w:r>
      <w:r>
        <w:rPr>
          <w:b/>
          <w:spacing w:val="-4"/>
        </w:rPr>
        <w:t xml:space="preserve"> </w:t>
      </w:r>
      <w:r>
        <w:rPr>
          <w:b/>
        </w:rPr>
        <w:t>of</w:t>
      </w:r>
      <w:r>
        <w:rPr>
          <w:b/>
          <w:spacing w:val="-3"/>
        </w:rPr>
        <w:t xml:space="preserve"> </w:t>
      </w:r>
      <w:r>
        <w:rPr>
          <w:b/>
        </w:rPr>
        <w:t>psychological</w:t>
      </w:r>
      <w:r>
        <w:rPr>
          <w:b/>
          <w:spacing w:val="-2"/>
        </w:rPr>
        <w:t xml:space="preserve"> </w:t>
      </w:r>
      <w:r>
        <w:rPr>
          <w:b/>
        </w:rPr>
        <w:t>defenses</w:t>
      </w:r>
      <w:r>
        <w:rPr>
          <w:b/>
          <w:spacing w:val="-2"/>
        </w:rPr>
        <w:t xml:space="preserve"> </w:t>
      </w:r>
      <w:r>
        <w:rPr>
          <w:b/>
        </w:rPr>
        <w:t>and</w:t>
      </w:r>
      <w:r>
        <w:rPr>
          <w:b/>
          <w:spacing w:val="-6"/>
        </w:rPr>
        <w:t xml:space="preserve"> </w:t>
      </w:r>
      <w:r>
        <w:rPr>
          <w:b/>
        </w:rPr>
        <w:t>substance</w:t>
      </w:r>
      <w:r>
        <w:rPr>
          <w:b/>
          <w:spacing w:val="-4"/>
        </w:rPr>
        <w:t xml:space="preserve"> </w:t>
      </w:r>
      <w:r>
        <w:rPr>
          <w:b/>
        </w:rPr>
        <w:t>misuse</w:t>
      </w:r>
      <w:r>
        <w:rPr>
          <w:b/>
          <w:spacing w:val="-4"/>
        </w:rPr>
        <w:t xml:space="preserve"> </w:t>
      </w:r>
      <w:r>
        <w:rPr>
          <w:b/>
        </w:rPr>
        <w:t>behaviors</w:t>
      </w:r>
      <w:r>
        <w:rPr>
          <w:b/>
          <w:spacing w:val="-5"/>
        </w:rPr>
        <w:t xml:space="preserve"> </w:t>
      </w:r>
      <w:r>
        <w:rPr>
          <w:b/>
        </w:rPr>
        <w:t>is</w:t>
      </w:r>
      <w:r>
        <w:rPr>
          <w:b/>
          <w:spacing w:val="-2"/>
        </w:rPr>
        <w:t xml:space="preserve"> </w:t>
      </w:r>
      <w:r>
        <w:rPr>
          <w:b/>
        </w:rPr>
        <w:t>an</w:t>
      </w:r>
      <w:r>
        <w:rPr>
          <w:b/>
          <w:spacing w:val="-6"/>
        </w:rPr>
        <w:t xml:space="preserve"> </w:t>
      </w:r>
      <w:r>
        <w:rPr>
          <w:b/>
        </w:rPr>
        <w:t>effective</w:t>
      </w:r>
      <w:r>
        <w:rPr>
          <w:b/>
          <w:spacing w:val="-4"/>
        </w:rPr>
        <w:t xml:space="preserve"> </w:t>
      </w:r>
      <w:r>
        <w:rPr>
          <w:b/>
        </w:rPr>
        <w:t xml:space="preserve">counseling approach. </w:t>
      </w:r>
      <w:r>
        <w:t>Historically, the idea that resistance and denial are characteristic of addiction led to the use of confrontation as a way to aggressively break down these defenses (White &amp; Miller, 2007). However, adversarial confrontation is one of the least effective me</w:t>
      </w:r>
      <w:r>
        <w:t>thods for helping clients change substance use behaviors, can paradoxically reduce motivation for beneficial change, and often contributes to poor outcomes (Bertholet, Palfai, Gaume, Daeppen, &amp; Saitz, 2013; Moos, 2012; Moyers &amp; Miller, 2013; Romano &amp; Peter</w:t>
      </w:r>
      <w:r>
        <w:t>s, 2016). Yet there is a constructive type of confrontation. This kind of confrontation must be done within the context of a trusting and respectful relationship and is delivered it in a supportive way that also elicits hope for change (Polcin et al., 2012</w:t>
      </w:r>
      <w:r>
        <w:t>).</w:t>
      </w:r>
    </w:p>
    <w:p w14:paraId="7445D91F" w14:textId="77777777" w:rsidR="00DB6E1F" w:rsidRDefault="00DB6E1F">
      <w:pPr>
        <w:pStyle w:val="BodyText"/>
        <w:spacing w:before="3"/>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533FCB52" w14:textId="77777777">
        <w:trPr>
          <w:trHeight w:val="503"/>
        </w:trPr>
        <w:tc>
          <w:tcPr>
            <w:tcW w:w="9350" w:type="dxa"/>
            <w:shd w:val="clear" w:color="auto" w:fill="050505"/>
          </w:tcPr>
          <w:p w14:paraId="36A78255" w14:textId="77777777" w:rsidR="00DB6E1F" w:rsidRDefault="00F666A6">
            <w:pPr>
              <w:pStyle w:val="TableParagraph"/>
              <w:spacing w:before="102"/>
              <w:ind w:left="114"/>
              <w:jc w:val="center"/>
              <w:rPr>
                <w:sz w:val="24"/>
              </w:rPr>
            </w:pPr>
            <w:r>
              <w:rPr>
                <w:color w:val="FFFFFF"/>
                <w:sz w:val="24"/>
              </w:rPr>
              <w:t>Expert</w:t>
            </w:r>
            <w:r>
              <w:rPr>
                <w:color w:val="FFFFFF"/>
                <w:spacing w:val="-3"/>
                <w:sz w:val="24"/>
              </w:rPr>
              <w:t xml:space="preserve"> </w:t>
            </w:r>
            <w:r>
              <w:rPr>
                <w:color w:val="FFFFFF"/>
                <w:sz w:val="24"/>
              </w:rPr>
              <w:t>Comment:</w:t>
            </w:r>
            <w:r>
              <w:rPr>
                <w:color w:val="FFFFFF"/>
                <w:spacing w:val="-4"/>
                <w:sz w:val="24"/>
              </w:rPr>
              <w:t xml:space="preserve"> </w:t>
            </w:r>
            <w:r>
              <w:rPr>
                <w:color w:val="FFFFFF"/>
                <w:sz w:val="24"/>
              </w:rPr>
              <w:t>A</w:t>
            </w:r>
            <w:r>
              <w:rPr>
                <w:color w:val="FFFFFF"/>
                <w:spacing w:val="-1"/>
                <w:sz w:val="24"/>
              </w:rPr>
              <w:t xml:space="preserve"> </w:t>
            </w:r>
            <w:r>
              <w:rPr>
                <w:color w:val="FFFFFF"/>
                <w:sz w:val="24"/>
              </w:rPr>
              <w:t>Brief</w:t>
            </w:r>
            <w:r>
              <w:rPr>
                <w:color w:val="FFFFFF"/>
                <w:spacing w:val="-3"/>
                <w:sz w:val="24"/>
              </w:rPr>
              <w:t xml:space="preserve"> </w:t>
            </w:r>
            <w:r>
              <w:rPr>
                <w:color w:val="FFFFFF"/>
                <w:sz w:val="24"/>
              </w:rPr>
              <w:t>History</w:t>
            </w:r>
            <w:r>
              <w:rPr>
                <w:color w:val="FFFFFF"/>
                <w:spacing w:val="-2"/>
                <w:sz w:val="24"/>
              </w:rPr>
              <w:t xml:space="preserve"> </w:t>
            </w:r>
            <w:r>
              <w:rPr>
                <w:color w:val="FFFFFF"/>
                <w:sz w:val="24"/>
              </w:rPr>
              <w:t>of Confrontation</w:t>
            </w:r>
            <w:r>
              <w:rPr>
                <w:color w:val="FFFFFF"/>
                <w:spacing w:val="-3"/>
                <w:sz w:val="24"/>
              </w:rPr>
              <w:t xml:space="preserve"> </w:t>
            </w:r>
            <w:r>
              <w:rPr>
                <w:color w:val="FFFFFF"/>
                <w:sz w:val="24"/>
              </w:rPr>
              <w:t>in Addiction</w:t>
            </w:r>
            <w:r>
              <w:rPr>
                <w:color w:val="FFFFFF"/>
                <w:spacing w:val="-2"/>
                <w:sz w:val="24"/>
              </w:rPr>
              <w:t xml:space="preserve"> Treatment</w:t>
            </w:r>
          </w:p>
        </w:tc>
      </w:tr>
      <w:tr w:rsidR="00DB6E1F" w14:paraId="172C720A" w14:textId="77777777">
        <w:trPr>
          <w:trHeight w:val="7562"/>
        </w:trPr>
        <w:tc>
          <w:tcPr>
            <w:tcW w:w="9350" w:type="dxa"/>
          </w:tcPr>
          <w:p w14:paraId="5167FDD4" w14:textId="77777777" w:rsidR="00DB6E1F" w:rsidRDefault="00F666A6">
            <w:pPr>
              <w:pStyle w:val="TableParagraph"/>
              <w:ind w:right="169"/>
              <w:rPr>
                <w:sz w:val="20"/>
              </w:rPr>
            </w:pPr>
            <w:r>
              <w:rPr>
                <w:sz w:val="20"/>
              </w:rPr>
              <w:t>For many reasons, the U.S. treatment field fell into some rather aggressive, argumentative, “denial-busting” methods for confronting people with alcohol and drug problems. This perspective was guided, in part, by the belief that substance misuse links to a</w:t>
            </w:r>
            <w:r>
              <w:rPr>
                <w:sz w:val="20"/>
              </w:rPr>
              <w:t xml:space="preserve"> particular personality pattern characterized by such rigid defense mechanisms as denial and rationalization. In this perspective, the counselor must take responsibility for impressing</w:t>
            </w:r>
            <w:r>
              <w:rPr>
                <w:spacing w:val="-3"/>
                <w:sz w:val="20"/>
              </w:rPr>
              <w:t xml:space="preserve"> </w:t>
            </w:r>
            <w:r>
              <w:rPr>
                <w:sz w:val="20"/>
              </w:rPr>
              <w:t>reality</w:t>
            </w:r>
            <w:r>
              <w:rPr>
                <w:spacing w:val="-2"/>
                <w:sz w:val="20"/>
              </w:rPr>
              <w:t xml:space="preserve"> </w:t>
            </w:r>
            <w:r>
              <w:rPr>
                <w:sz w:val="20"/>
              </w:rPr>
              <w:t>on</w:t>
            </w:r>
            <w:r>
              <w:rPr>
                <w:spacing w:val="-2"/>
                <w:sz w:val="20"/>
              </w:rPr>
              <w:t xml:space="preserve"> </w:t>
            </w:r>
            <w:r>
              <w:rPr>
                <w:sz w:val="20"/>
              </w:rPr>
              <w:t>clients, who</w:t>
            </w:r>
            <w:r>
              <w:rPr>
                <w:spacing w:val="-2"/>
                <w:sz w:val="20"/>
              </w:rPr>
              <w:t xml:space="preserve"> </w:t>
            </w:r>
            <w:r>
              <w:rPr>
                <w:sz w:val="20"/>
              </w:rPr>
              <w:t>cannot</w:t>
            </w:r>
            <w:r>
              <w:rPr>
                <w:spacing w:val="-3"/>
                <w:sz w:val="20"/>
              </w:rPr>
              <w:t xml:space="preserve"> </w:t>
            </w:r>
            <w:r>
              <w:rPr>
                <w:sz w:val="20"/>
              </w:rPr>
              <w:t>see</w:t>
            </w:r>
            <w:r>
              <w:rPr>
                <w:spacing w:val="-4"/>
                <w:sz w:val="20"/>
              </w:rPr>
              <w:t xml:space="preserve"> </w:t>
            </w:r>
            <w:r>
              <w:rPr>
                <w:sz w:val="20"/>
              </w:rPr>
              <w:t>it</w:t>
            </w:r>
            <w:r>
              <w:rPr>
                <w:spacing w:val="-3"/>
                <w:sz w:val="20"/>
              </w:rPr>
              <w:t xml:space="preserve"> </w:t>
            </w:r>
            <w:r>
              <w:rPr>
                <w:sz w:val="20"/>
              </w:rPr>
              <w:t>on</w:t>
            </w:r>
            <w:r>
              <w:rPr>
                <w:spacing w:val="-2"/>
                <w:sz w:val="20"/>
              </w:rPr>
              <w:t xml:space="preserve"> </w:t>
            </w:r>
            <w:r>
              <w:rPr>
                <w:sz w:val="20"/>
              </w:rPr>
              <w:t>their</w:t>
            </w:r>
            <w:r>
              <w:rPr>
                <w:spacing w:val="-3"/>
                <w:sz w:val="20"/>
              </w:rPr>
              <w:t xml:space="preserve"> </w:t>
            </w:r>
            <w:r>
              <w:rPr>
                <w:sz w:val="20"/>
              </w:rPr>
              <w:t>own.</w:t>
            </w:r>
            <w:r>
              <w:rPr>
                <w:spacing w:val="-3"/>
                <w:sz w:val="20"/>
              </w:rPr>
              <w:t xml:space="preserve"> </w:t>
            </w:r>
            <w:r>
              <w:rPr>
                <w:sz w:val="20"/>
              </w:rPr>
              <w:t>Such</w:t>
            </w:r>
            <w:r>
              <w:rPr>
                <w:spacing w:val="-2"/>
                <w:sz w:val="20"/>
              </w:rPr>
              <w:t xml:space="preserve"> </w:t>
            </w:r>
            <w:r>
              <w:rPr>
                <w:sz w:val="20"/>
              </w:rPr>
              <w:t>confrontation</w:t>
            </w:r>
            <w:r>
              <w:rPr>
                <w:spacing w:val="-2"/>
                <w:sz w:val="20"/>
              </w:rPr>
              <w:t xml:space="preserve"> </w:t>
            </w:r>
            <w:r>
              <w:rPr>
                <w:sz w:val="20"/>
              </w:rPr>
              <w:t>found</w:t>
            </w:r>
            <w:r>
              <w:rPr>
                <w:spacing w:val="-2"/>
                <w:sz w:val="20"/>
              </w:rPr>
              <w:t xml:space="preserve"> </w:t>
            </w:r>
            <w:r>
              <w:rPr>
                <w:sz w:val="20"/>
              </w:rPr>
              <w:t>its</w:t>
            </w:r>
            <w:r>
              <w:rPr>
                <w:spacing w:val="-4"/>
                <w:sz w:val="20"/>
              </w:rPr>
              <w:t xml:space="preserve"> </w:t>
            </w:r>
            <w:r>
              <w:rPr>
                <w:sz w:val="20"/>
              </w:rPr>
              <w:t>way</w:t>
            </w:r>
            <w:r>
              <w:rPr>
                <w:spacing w:val="-2"/>
                <w:sz w:val="20"/>
              </w:rPr>
              <w:t xml:space="preserve"> </w:t>
            </w:r>
            <w:r>
              <w:rPr>
                <w:sz w:val="20"/>
              </w:rPr>
              <w:t>into</w:t>
            </w:r>
            <w:r>
              <w:rPr>
                <w:spacing w:val="-3"/>
                <w:sz w:val="20"/>
              </w:rPr>
              <w:t xml:space="preserve"> </w:t>
            </w:r>
            <w:r>
              <w:rPr>
                <w:sz w:val="20"/>
              </w:rPr>
              <w:t>the</w:t>
            </w:r>
            <w:r>
              <w:rPr>
                <w:spacing w:val="-4"/>
                <w:sz w:val="20"/>
              </w:rPr>
              <w:t xml:space="preserve"> </w:t>
            </w:r>
            <w:r>
              <w:rPr>
                <w:sz w:val="20"/>
              </w:rPr>
              <w:t>popular Minnesota model of treatment and into Synanon (a drug treatment community known for group sessions in which participants verbally attacked each other) and other similar therapeutic community programs.</w:t>
            </w:r>
          </w:p>
          <w:p w14:paraId="1D817D38" w14:textId="77777777" w:rsidR="00DB6E1F" w:rsidRDefault="00F666A6">
            <w:pPr>
              <w:pStyle w:val="TableParagraph"/>
              <w:spacing w:before="120"/>
              <w:ind w:right="169"/>
              <w:rPr>
                <w:sz w:val="20"/>
              </w:rPr>
            </w:pPr>
            <w:r>
              <w:rPr>
                <w:sz w:val="20"/>
              </w:rPr>
              <w:t xml:space="preserve">After the </w:t>
            </w:r>
            <w:r>
              <w:rPr>
                <w:sz w:val="20"/>
              </w:rPr>
              <w:t>1970s, the treatment field began to move away from such methods. The Hazelden Foundation officially renounced the “tear them down to build them up” approach in 1985, expressing regret that such confrontational approaches had become associated with the Minn</w:t>
            </w:r>
            <w:r>
              <w:rPr>
                <w:sz w:val="20"/>
              </w:rPr>
              <w:t>esota model. Psychological studies have found no consistent pattern of personality or defense mechanisms associated with SUDs. Clinical studies have linked worse outcomes to more confrontational counselors, groups, and programs (Miller &amp; Wilbourne, 2002; M</w:t>
            </w:r>
            <w:r>
              <w:rPr>
                <w:sz w:val="20"/>
              </w:rPr>
              <w:t>oos, 2012; Romano &amp; Peters, 2016). Instead, successful outcomes (Moyers, Houck, Rice, Longabaugh, &amp; Miller,</w:t>
            </w:r>
            <w:r>
              <w:rPr>
                <w:spacing w:val="-2"/>
                <w:sz w:val="20"/>
              </w:rPr>
              <w:t xml:space="preserve"> </w:t>
            </w:r>
            <w:r>
              <w:rPr>
                <w:sz w:val="20"/>
              </w:rPr>
              <w:t>2016)</w:t>
            </w:r>
            <w:r>
              <w:rPr>
                <w:spacing w:val="-4"/>
                <w:sz w:val="20"/>
              </w:rPr>
              <w:t xml:space="preserve"> </w:t>
            </w:r>
            <w:r>
              <w:rPr>
                <w:sz w:val="20"/>
              </w:rPr>
              <w:t>generally</w:t>
            </w:r>
            <w:r>
              <w:rPr>
                <w:spacing w:val="-2"/>
                <w:sz w:val="20"/>
              </w:rPr>
              <w:t xml:space="preserve"> </w:t>
            </w:r>
            <w:r>
              <w:rPr>
                <w:sz w:val="20"/>
              </w:rPr>
              <w:t>have</w:t>
            </w:r>
            <w:r>
              <w:rPr>
                <w:spacing w:val="-4"/>
                <w:sz w:val="20"/>
              </w:rPr>
              <w:t xml:space="preserve"> </w:t>
            </w:r>
            <w:r>
              <w:rPr>
                <w:sz w:val="20"/>
              </w:rPr>
              <w:t>been</w:t>
            </w:r>
            <w:r>
              <w:rPr>
                <w:spacing w:val="-2"/>
                <w:sz w:val="20"/>
              </w:rPr>
              <w:t xml:space="preserve"> </w:t>
            </w:r>
            <w:r>
              <w:rPr>
                <w:sz w:val="20"/>
              </w:rPr>
              <w:t>associated</w:t>
            </w:r>
            <w:r>
              <w:rPr>
                <w:spacing w:val="-2"/>
                <w:sz w:val="20"/>
              </w:rPr>
              <w:t xml:space="preserve"> </w:t>
            </w:r>
            <w:r>
              <w:rPr>
                <w:sz w:val="20"/>
              </w:rPr>
              <w:t>with</w:t>
            </w:r>
            <w:r>
              <w:rPr>
                <w:spacing w:val="-2"/>
                <w:sz w:val="20"/>
              </w:rPr>
              <w:t xml:space="preserve"> </w:t>
            </w:r>
            <w:r>
              <w:rPr>
                <w:sz w:val="20"/>
              </w:rPr>
              <w:t>counselors</w:t>
            </w:r>
            <w:r>
              <w:rPr>
                <w:spacing w:val="-4"/>
                <w:sz w:val="20"/>
              </w:rPr>
              <w:t xml:space="preserve"> </w:t>
            </w:r>
            <w:r>
              <w:rPr>
                <w:sz w:val="20"/>
              </w:rPr>
              <w:t>showing</w:t>
            </w:r>
            <w:r>
              <w:rPr>
                <w:spacing w:val="-3"/>
                <w:sz w:val="20"/>
              </w:rPr>
              <w:t xml:space="preserve"> </w:t>
            </w:r>
            <w:r>
              <w:rPr>
                <w:sz w:val="20"/>
              </w:rPr>
              <w:t>high</w:t>
            </w:r>
            <w:r>
              <w:rPr>
                <w:spacing w:val="-2"/>
                <w:sz w:val="20"/>
              </w:rPr>
              <w:t xml:space="preserve"> </w:t>
            </w:r>
            <w:r>
              <w:rPr>
                <w:sz w:val="20"/>
              </w:rPr>
              <w:t>levels</w:t>
            </w:r>
            <w:r>
              <w:rPr>
                <w:spacing w:val="-4"/>
                <w:sz w:val="20"/>
              </w:rPr>
              <w:t xml:space="preserve"> </w:t>
            </w:r>
            <w:r>
              <w:rPr>
                <w:sz w:val="20"/>
              </w:rPr>
              <w:t>of</w:t>
            </w:r>
            <w:r>
              <w:rPr>
                <w:spacing w:val="-4"/>
                <w:sz w:val="20"/>
              </w:rPr>
              <w:t xml:space="preserve"> </w:t>
            </w:r>
            <w:r>
              <w:rPr>
                <w:sz w:val="20"/>
              </w:rPr>
              <w:t>empathy</w:t>
            </w:r>
            <w:r>
              <w:rPr>
                <w:spacing w:val="-1"/>
                <w:sz w:val="20"/>
              </w:rPr>
              <w:t xml:space="preserve"> </w:t>
            </w:r>
            <w:r>
              <w:rPr>
                <w:sz w:val="20"/>
              </w:rPr>
              <w:t>as</w:t>
            </w:r>
            <w:r>
              <w:rPr>
                <w:spacing w:val="-4"/>
                <w:sz w:val="20"/>
              </w:rPr>
              <w:t xml:space="preserve"> </w:t>
            </w:r>
            <w:r>
              <w:rPr>
                <w:sz w:val="20"/>
              </w:rPr>
              <w:t>defined</w:t>
            </w:r>
            <w:r>
              <w:rPr>
                <w:spacing w:val="-2"/>
                <w:sz w:val="20"/>
              </w:rPr>
              <w:t xml:space="preserve"> </w:t>
            </w:r>
            <w:r>
              <w:rPr>
                <w:sz w:val="20"/>
              </w:rPr>
              <w:t>by</w:t>
            </w:r>
            <w:r>
              <w:rPr>
                <w:spacing w:val="-2"/>
                <w:sz w:val="20"/>
              </w:rPr>
              <w:t xml:space="preserve"> </w:t>
            </w:r>
            <w:r>
              <w:rPr>
                <w:sz w:val="20"/>
              </w:rPr>
              <w:t>Carl Rogers (1980). The Johnson Institute now emph</w:t>
            </w:r>
            <w:r>
              <w:rPr>
                <w:sz w:val="20"/>
              </w:rPr>
              <w:t xml:space="preserve">asizes a supportive, compassionate style for conducting family </w:t>
            </w:r>
            <w:r>
              <w:rPr>
                <w:spacing w:val="-2"/>
                <w:sz w:val="20"/>
              </w:rPr>
              <w:t>interventions.</w:t>
            </w:r>
          </w:p>
          <w:p w14:paraId="0BAD8099" w14:textId="77777777" w:rsidR="00DB6E1F" w:rsidRDefault="00F666A6">
            <w:pPr>
              <w:pStyle w:val="TableParagraph"/>
              <w:spacing w:before="121"/>
              <w:ind w:right="169"/>
              <w:rPr>
                <w:sz w:val="20"/>
              </w:rPr>
            </w:pPr>
            <w:r>
              <w:rPr>
                <w:sz w:val="20"/>
              </w:rPr>
              <w:t>I was at first surprised when counselors attending my MI workshops and watching me demonstrate the style observed,</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different</w:t>
            </w:r>
            <w:r>
              <w:rPr>
                <w:spacing w:val="-1"/>
                <w:sz w:val="20"/>
              </w:rPr>
              <w:t xml:space="preserve"> </w:t>
            </w:r>
            <w:r>
              <w:rPr>
                <w:sz w:val="20"/>
              </w:rPr>
              <w:t>way,</w:t>
            </w:r>
            <w:r>
              <w:rPr>
                <w:spacing w:val="-2"/>
                <w:sz w:val="20"/>
              </w:rPr>
              <w:t xml:space="preserve"> </w:t>
            </w:r>
            <w:r>
              <w:rPr>
                <w:sz w:val="20"/>
              </w:rPr>
              <w:t>you’re</w:t>
            </w:r>
            <w:r>
              <w:rPr>
                <w:spacing w:val="-4"/>
                <w:sz w:val="20"/>
              </w:rPr>
              <w:t xml:space="preserve"> </w:t>
            </w:r>
            <w:r>
              <w:rPr>
                <w:sz w:val="20"/>
              </w:rPr>
              <w:t>very</w:t>
            </w:r>
            <w:r>
              <w:rPr>
                <w:spacing w:val="-2"/>
                <w:sz w:val="20"/>
              </w:rPr>
              <w:t xml:space="preserve"> </w:t>
            </w:r>
            <w:r>
              <w:rPr>
                <w:sz w:val="20"/>
              </w:rPr>
              <w:t>confrontational.”</w:t>
            </w:r>
            <w:r>
              <w:rPr>
                <w:spacing w:val="-3"/>
                <w:sz w:val="20"/>
              </w:rPr>
              <w:t xml:space="preserve"> </w:t>
            </w:r>
            <w:r>
              <w:rPr>
                <w:sz w:val="20"/>
              </w:rPr>
              <w:t>This</w:t>
            </w:r>
            <w:r>
              <w:rPr>
                <w:spacing w:val="-4"/>
                <w:sz w:val="20"/>
              </w:rPr>
              <w:t xml:space="preserve"> </w:t>
            </w:r>
            <w:r>
              <w:rPr>
                <w:sz w:val="20"/>
              </w:rPr>
              <w:t>comes</w:t>
            </w:r>
            <w:r>
              <w:rPr>
                <w:spacing w:val="-4"/>
                <w:sz w:val="20"/>
              </w:rPr>
              <w:t xml:space="preserve"> </w:t>
            </w:r>
            <w:r>
              <w:rPr>
                <w:sz w:val="20"/>
              </w:rPr>
              <w:t>u</w:t>
            </w:r>
            <w:r>
              <w:rPr>
                <w:sz w:val="20"/>
              </w:rPr>
              <w:t>p</w:t>
            </w:r>
            <w:r>
              <w:rPr>
                <w:spacing w:val="-2"/>
                <w:sz w:val="20"/>
              </w:rPr>
              <w:t xml:space="preserve"> </w:t>
            </w:r>
            <w:r>
              <w:rPr>
                <w:sz w:val="20"/>
              </w:rPr>
              <w:t>in</w:t>
            </w:r>
            <w:r>
              <w:rPr>
                <w:spacing w:val="-3"/>
                <w:sz w:val="20"/>
              </w:rPr>
              <w:t xml:space="preserve"> </w:t>
            </w:r>
            <w:r>
              <w:rPr>
                <w:sz w:val="20"/>
              </w:rPr>
              <w:t>almost</w:t>
            </w:r>
            <w:r>
              <w:rPr>
                <w:spacing w:val="-3"/>
                <w:sz w:val="20"/>
              </w:rPr>
              <w:t xml:space="preserve"> </w:t>
            </w:r>
            <w:r>
              <w:rPr>
                <w:sz w:val="20"/>
              </w:rPr>
              <w:t>every</w:t>
            </w:r>
            <w:r>
              <w:rPr>
                <w:spacing w:val="-1"/>
                <w:sz w:val="20"/>
              </w:rPr>
              <w:t xml:space="preserve"> </w:t>
            </w:r>
            <w:r>
              <w:rPr>
                <w:sz w:val="20"/>
              </w:rPr>
              <w:t>training</w:t>
            </w:r>
            <w:r>
              <w:rPr>
                <w:spacing w:val="-3"/>
                <w:sz w:val="20"/>
              </w:rPr>
              <w:t xml:space="preserve"> </w:t>
            </w:r>
            <w:r>
              <w:rPr>
                <w:sz w:val="20"/>
              </w:rPr>
              <w:t>now.</w:t>
            </w:r>
            <w:r>
              <w:rPr>
                <w:spacing w:val="-3"/>
                <w:sz w:val="20"/>
              </w:rPr>
              <w:t xml:space="preserve"> </w:t>
            </w:r>
            <w:r>
              <w:rPr>
                <w:sz w:val="20"/>
              </w:rPr>
              <w:t>Some call it “gentle confrontation.” This got me thinking about what confrontation really means.</w:t>
            </w:r>
          </w:p>
          <w:p w14:paraId="1A2B2A5A" w14:textId="77777777" w:rsidR="00DB6E1F" w:rsidRDefault="00F666A6">
            <w:pPr>
              <w:pStyle w:val="TableParagraph"/>
              <w:spacing w:before="120"/>
              <w:rPr>
                <w:sz w:val="20"/>
              </w:rPr>
            </w:pPr>
            <w:r>
              <w:rPr>
                <w:sz w:val="20"/>
              </w:rPr>
              <w:t>The linguistic roots of the verb “to confront” mean “to come face-to-face.” When you think about it that way, confrontation is precisely what we are trying to accomplish: to allow our clients to come face-to-face with a difficult</w:t>
            </w:r>
            <w:r>
              <w:rPr>
                <w:spacing w:val="-3"/>
                <w:sz w:val="20"/>
              </w:rPr>
              <w:t xml:space="preserve"> </w:t>
            </w:r>
            <w:r>
              <w:rPr>
                <w:sz w:val="20"/>
              </w:rPr>
              <w:t>and</w:t>
            </w:r>
            <w:r>
              <w:rPr>
                <w:spacing w:val="-2"/>
                <w:sz w:val="20"/>
              </w:rPr>
              <w:t xml:space="preserve"> </w:t>
            </w:r>
            <w:r>
              <w:rPr>
                <w:sz w:val="20"/>
              </w:rPr>
              <w:t>often</w:t>
            </w:r>
            <w:r>
              <w:rPr>
                <w:spacing w:val="-2"/>
                <w:sz w:val="20"/>
              </w:rPr>
              <w:t xml:space="preserve"> </w:t>
            </w:r>
            <w:r>
              <w:rPr>
                <w:sz w:val="20"/>
              </w:rPr>
              <w:t>threatening</w:t>
            </w:r>
            <w:r>
              <w:rPr>
                <w:spacing w:val="-1"/>
                <w:sz w:val="20"/>
              </w:rPr>
              <w:t xml:space="preserve"> </w:t>
            </w:r>
            <w:r>
              <w:rPr>
                <w:sz w:val="20"/>
              </w:rPr>
              <w:t>real</w:t>
            </w:r>
            <w:r>
              <w:rPr>
                <w:sz w:val="20"/>
              </w:rPr>
              <w:t>ity,</w:t>
            </w:r>
            <w:r>
              <w:rPr>
                <w:spacing w:val="-2"/>
                <w:sz w:val="20"/>
              </w:rPr>
              <w:t xml:space="preserve"> </w:t>
            </w:r>
            <w:r>
              <w:rPr>
                <w:sz w:val="20"/>
              </w:rPr>
              <w:t>to</w:t>
            </w:r>
            <w:r>
              <w:rPr>
                <w:spacing w:val="-3"/>
                <w:sz w:val="20"/>
              </w:rPr>
              <w:t xml:space="preserve"> </w:t>
            </w:r>
            <w:r>
              <w:rPr>
                <w:sz w:val="20"/>
              </w:rPr>
              <w:t>“let</w:t>
            </w:r>
            <w:r>
              <w:rPr>
                <w:spacing w:val="-3"/>
                <w:sz w:val="20"/>
              </w:rPr>
              <w:t xml:space="preserve"> </w:t>
            </w:r>
            <w:r>
              <w:rPr>
                <w:sz w:val="20"/>
              </w:rPr>
              <w:t>it</w:t>
            </w:r>
            <w:r>
              <w:rPr>
                <w:spacing w:val="-3"/>
                <w:sz w:val="20"/>
              </w:rPr>
              <w:t xml:space="preserve"> </w:t>
            </w:r>
            <w:r>
              <w:rPr>
                <w:sz w:val="20"/>
              </w:rPr>
              <w:t>in”</w:t>
            </w:r>
            <w:r>
              <w:rPr>
                <w:spacing w:val="-2"/>
                <w:sz w:val="20"/>
              </w:rPr>
              <w:t xml:space="preserve"> </w:t>
            </w:r>
            <w:r>
              <w:rPr>
                <w:sz w:val="20"/>
              </w:rPr>
              <w:t>rather</w:t>
            </w:r>
            <w:r>
              <w:rPr>
                <w:spacing w:val="-3"/>
                <w:sz w:val="20"/>
              </w:rPr>
              <w:t xml:space="preserve"> </w:t>
            </w:r>
            <w:r>
              <w:rPr>
                <w:sz w:val="20"/>
              </w:rPr>
              <w:t>than</w:t>
            </w:r>
            <w:r>
              <w:rPr>
                <w:spacing w:val="-2"/>
                <w:sz w:val="20"/>
              </w:rPr>
              <w:t xml:space="preserve"> </w:t>
            </w:r>
            <w:r>
              <w:rPr>
                <w:sz w:val="20"/>
              </w:rPr>
              <w:t>“block</w:t>
            </w:r>
            <w:r>
              <w:rPr>
                <w:spacing w:val="-2"/>
                <w:sz w:val="20"/>
              </w:rPr>
              <w:t xml:space="preserve"> </w:t>
            </w:r>
            <w:r>
              <w:rPr>
                <w:sz w:val="20"/>
              </w:rPr>
              <w:t>it</w:t>
            </w:r>
            <w:r>
              <w:rPr>
                <w:spacing w:val="-3"/>
                <w:sz w:val="20"/>
              </w:rPr>
              <w:t xml:space="preserve"> </w:t>
            </w:r>
            <w:r>
              <w:rPr>
                <w:sz w:val="20"/>
              </w:rPr>
              <w:t>out,”</w:t>
            </w:r>
            <w:r>
              <w:rPr>
                <w:spacing w:val="-2"/>
                <w:sz w:val="20"/>
              </w:rPr>
              <w:t xml:space="preserve"> </w:t>
            </w:r>
            <w:r>
              <w:rPr>
                <w:sz w:val="20"/>
              </w:rPr>
              <w:t>and</w:t>
            </w:r>
            <w:r>
              <w:rPr>
                <w:spacing w:val="-2"/>
                <w:sz w:val="20"/>
              </w:rPr>
              <w:t xml:space="preserve"> </w:t>
            </w:r>
            <w:r>
              <w:rPr>
                <w:sz w:val="20"/>
              </w:rPr>
              <w:t>to</w:t>
            </w:r>
            <w:r>
              <w:rPr>
                <w:spacing w:val="-3"/>
                <w:sz w:val="20"/>
              </w:rPr>
              <w:t xml:space="preserve"> </w:t>
            </w:r>
            <w:r>
              <w:rPr>
                <w:sz w:val="20"/>
              </w:rPr>
              <w:t>allow</w:t>
            </w:r>
            <w:r>
              <w:rPr>
                <w:spacing w:val="-4"/>
                <w:sz w:val="20"/>
              </w:rPr>
              <w:t xml:space="preserve"> </w:t>
            </w:r>
            <w:r>
              <w:rPr>
                <w:sz w:val="20"/>
              </w:rPr>
              <w:t>this</w:t>
            </w:r>
            <w:r>
              <w:rPr>
                <w:spacing w:val="-4"/>
                <w:sz w:val="20"/>
              </w:rPr>
              <w:t xml:space="preserve"> </w:t>
            </w:r>
            <w:r>
              <w:rPr>
                <w:sz w:val="20"/>
              </w:rPr>
              <w:t>reality</w:t>
            </w:r>
            <w:r>
              <w:rPr>
                <w:spacing w:val="-2"/>
                <w:sz w:val="20"/>
              </w:rPr>
              <w:t xml:space="preserve"> </w:t>
            </w:r>
            <w:r>
              <w:rPr>
                <w:sz w:val="20"/>
              </w:rPr>
              <w:t>to</w:t>
            </w:r>
            <w:r>
              <w:rPr>
                <w:spacing w:val="-3"/>
                <w:sz w:val="20"/>
              </w:rPr>
              <w:t xml:space="preserve"> </w:t>
            </w:r>
            <w:r>
              <w:rPr>
                <w:sz w:val="20"/>
              </w:rPr>
              <w:t xml:space="preserve">change them. That makes confrontation a </w:t>
            </w:r>
            <w:r>
              <w:rPr>
                <w:b/>
                <w:sz w:val="20"/>
              </w:rPr>
              <w:t xml:space="preserve">goal </w:t>
            </w:r>
            <w:r>
              <w:rPr>
                <w:sz w:val="20"/>
              </w:rPr>
              <w:t xml:space="preserve">of counseling rather than a particular </w:t>
            </w:r>
            <w:r>
              <w:rPr>
                <w:b/>
                <w:sz w:val="20"/>
              </w:rPr>
              <w:t xml:space="preserve">style </w:t>
            </w:r>
            <w:r>
              <w:rPr>
                <w:sz w:val="20"/>
              </w:rPr>
              <w:t xml:space="preserve">or </w:t>
            </w:r>
            <w:r>
              <w:rPr>
                <w:b/>
                <w:sz w:val="20"/>
              </w:rPr>
              <w:t>technique</w:t>
            </w:r>
            <w:r>
              <w:rPr>
                <w:sz w:val="20"/>
              </w:rPr>
              <w:t>.</w:t>
            </w:r>
          </w:p>
          <w:p w14:paraId="05047E17" w14:textId="77777777" w:rsidR="00DB6E1F" w:rsidRDefault="00F666A6">
            <w:pPr>
              <w:pStyle w:val="TableParagraph"/>
              <w:spacing w:before="120"/>
              <w:rPr>
                <w:sz w:val="20"/>
              </w:rPr>
            </w:pPr>
            <w:r>
              <w:rPr>
                <w:sz w:val="20"/>
              </w:rPr>
              <w:t>Once you see this—namely, that opening to new information, face-to-face, is</w:t>
            </w:r>
            <w:r>
              <w:rPr>
                <w:sz w:val="20"/>
              </w:rPr>
              <w:t xml:space="preserve"> a </w:t>
            </w:r>
            <w:r>
              <w:rPr>
                <w:b/>
                <w:sz w:val="20"/>
              </w:rPr>
              <w:t xml:space="preserve">goal </w:t>
            </w:r>
            <w:r>
              <w:rPr>
                <w:sz w:val="20"/>
              </w:rPr>
              <w:t>of counseling—then the question becomes, “What is the best way to achieve that goal?” Strong evidence suggests that direct, forceful, aggressive</w:t>
            </w:r>
            <w:r>
              <w:rPr>
                <w:spacing w:val="-4"/>
                <w:sz w:val="20"/>
              </w:rPr>
              <w:t xml:space="preserve"> </w:t>
            </w:r>
            <w:r>
              <w:rPr>
                <w:sz w:val="20"/>
              </w:rPr>
              <w:t>approaches</w:t>
            </w:r>
            <w:r>
              <w:rPr>
                <w:spacing w:val="-4"/>
                <w:sz w:val="20"/>
              </w:rPr>
              <w:t xml:space="preserve"> </w:t>
            </w:r>
            <w:r>
              <w:rPr>
                <w:sz w:val="20"/>
              </w:rPr>
              <w:t>are</w:t>
            </w:r>
            <w:r>
              <w:rPr>
                <w:spacing w:val="-4"/>
                <w:sz w:val="20"/>
              </w:rPr>
              <w:t xml:space="preserve"> </w:t>
            </w:r>
            <w:r>
              <w:rPr>
                <w:sz w:val="20"/>
              </w:rPr>
              <w:t>perhaps</w:t>
            </w:r>
            <w:r>
              <w:rPr>
                <w:spacing w:val="-4"/>
                <w:sz w:val="20"/>
              </w:rPr>
              <w:t xml:space="preserve"> </w:t>
            </w:r>
            <w:r>
              <w:rPr>
                <w:sz w:val="20"/>
              </w:rPr>
              <w:t>the</w:t>
            </w:r>
            <w:r>
              <w:rPr>
                <w:spacing w:val="-3"/>
                <w:sz w:val="20"/>
              </w:rPr>
              <w:t xml:space="preserve"> </w:t>
            </w:r>
            <w:r>
              <w:rPr>
                <w:b/>
                <w:sz w:val="20"/>
              </w:rPr>
              <w:t>least</w:t>
            </w:r>
            <w:r>
              <w:rPr>
                <w:b/>
                <w:spacing w:val="-3"/>
                <w:sz w:val="20"/>
              </w:rPr>
              <w:t xml:space="preserve"> </w:t>
            </w:r>
            <w:r>
              <w:rPr>
                <w:sz w:val="20"/>
              </w:rPr>
              <w:t>effective</w:t>
            </w:r>
            <w:r>
              <w:rPr>
                <w:spacing w:val="-4"/>
                <w:sz w:val="20"/>
              </w:rPr>
              <w:t xml:space="preserve"> </w:t>
            </w:r>
            <w:r>
              <w:rPr>
                <w:sz w:val="20"/>
              </w:rPr>
              <w:t>way</w:t>
            </w:r>
            <w:r>
              <w:rPr>
                <w:spacing w:val="-2"/>
                <w:sz w:val="20"/>
              </w:rPr>
              <w:t xml:space="preserve"> </w:t>
            </w:r>
            <w:r>
              <w:rPr>
                <w:sz w:val="20"/>
              </w:rPr>
              <w:t>to</w:t>
            </w:r>
            <w:r>
              <w:rPr>
                <w:spacing w:val="-3"/>
                <w:sz w:val="20"/>
              </w:rPr>
              <w:t xml:space="preserve"> </w:t>
            </w:r>
            <w:r>
              <w:rPr>
                <w:sz w:val="20"/>
              </w:rPr>
              <w:t>help</w:t>
            </w:r>
            <w:r>
              <w:rPr>
                <w:spacing w:val="-2"/>
                <w:sz w:val="20"/>
              </w:rPr>
              <w:t xml:space="preserve"> </w:t>
            </w:r>
            <w:r>
              <w:rPr>
                <w:sz w:val="20"/>
              </w:rPr>
              <w:t>people</w:t>
            </w:r>
            <w:r>
              <w:rPr>
                <w:spacing w:val="-4"/>
                <w:sz w:val="20"/>
              </w:rPr>
              <w:t xml:space="preserve"> </w:t>
            </w:r>
            <w:r>
              <w:rPr>
                <w:sz w:val="20"/>
              </w:rPr>
              <w:t>consider</w:t>
            </w:r>
            <w:r>
              <w:rPr>
                <w:spacing w:val="-3"/>
                <w:sz w:val="20"/>
              </w:rPr>
              <w:t xml:space="preserve"> </w:t>
            </w:r>
            <w:r>
              <w:rPr>
                <w:sz w:val="20"/>
              </w:rPr>
              <w:t>new</w:t>
            </w:r>
            <w:r>
              <w:rPr>
                <w:spacing w:val="-4"/>
                <w:sz w:val="20"/>
              </w:rPr>
              <w:t xml:space="preserve"> </w:t>
            </w:r>
            <w:r>
              <w:rPr>
                <w:sz w:val="20"/>
              </w:rPr>
              <w:t>information</w:t>
            </w:r>
            <w:r>
              <w:rPr>
                <w:spacing w:val="-2"/>
                <w:sz w:val="20"/>
              </w:rPr>
              <w:t xml:space="preserve"> </w:t>
            </w:r>
            <w:r>
              <w:rPr>
                <w:sz w:val="20"/>
              </w:rPr>
              <w:t>and</w:t>
            </w:r>
            <w:r>
              <w:rPr>
                <w:spacing w:val="-2"/>
                <w:sz w:val="20"/>
              </w:rPr>
              <w:t xml:space="preserve"> </w:t>
            </w:r>
            <w:r>
              <w:rPr>
                <w:sz w:val="20"/>
              </w:rPr>
              <w:t>change their</w:t>
            </w:r>
            <w:r>
              <w:rPr>
                <w:sz w:val="20"/>
              </w:rPr>
              <w:t xml:space="preserve"> perceptions. Such confrontation increases the very phenomenon it is supposed to overcome— defensiveness—and decreases clients’ likelihood of change (Miller, Benefield, &amp; Tonigan, 1993; Miller &amp;</w:t>
            </w:r>
          </w:p>
          <w:p w14:paraId="1865DF19" w14:textId="77777777" w:rsidR="00DB6E1F" w:rsidRDefault="00F666A6">
            <w:pPr>
              <w:pStyle w:val="TableParagraph"/>
              <w:spacing w:before="0" w:line="224" w:lineRule="exact"/>
              <w:rPr>
                <w:sz w:val="20"/>
              </w:rPr>
            </w:pPr>
            <w:r>
              <w:rPr>
                <w:sz w:val="20"/>
              </w:rPr>
              <w:t>Wilbourne,</w:t>
            </w:r>
            <w:r>
              <w:rPr>
                <w:spacing w:val="-7"/>
                <w:sz w:val="20"/>
              </w:rPr>
              <w:t xml:space="preserve"> </w:t>
            </w:r>
            <w:r>
              <w:rPr>
                <w:sz w:val="20"/>
              </w:rPr>
              <w:t>2002;</w:t>
            </w:r>
            <w:r>
              <w:rPr>
                <w:spacing w:val="-7"/>
                <w:sz w:val="20"/>
              </w:rPr>
              <w:t xml:space="preserve"> </w:t>
            </w:r>
            <w:r>
              <w:rPr>
                <w:sz w:val="20"/>
              </w:rPr>
              <w:t>Moos,</w:t>
            </w:r>
            <w:r>
              <w:rPr>
                <w:spacing w:val="-6"/>
                <w:sz w:val="20"/>
              </w:rPr>
              <w:t xml:space="preserve"> </w:t>
            </w:r>
            <w:r>
              <w:rPr>
                <w:sz w:val="20"/>
              </w:rPr>
              <w:t>2012;</w:t>
            </w:r>
            <w:r>
              <w:rPr>
                <w:spacing w:val="-6"/>
                <w:sz w:val="20"/>
              </w:rPr>
              <w:t xml:space="preserve"> </w:t>
            </w:r>
            <w:r>
              <w:rPr>
                <w:sz w:val="20"/>
              </w:rPr>
              <w:t>Romano</w:t>
            </w:r>
            <w:r>
              <w:rPr>
                <w:spacing w:val="-6"/>
                <w:sz w:val="20"/>
              </w:rPr>
              <w:t xml:space="preserve"> </w:t>
            </w:r>
            <w:r>
              <w:rPr>
                <w:sz w:val="20"/>
              </w:rPr>
              <w:t>&amp;</w:t>
            </w:r>
            <w:r>
              <w:rPr>
                <w:spacing w:val="-5"/>
                <w:sz w:val="20"/>
              </w:rPr>
              <w:t xml:space="preserve"> </w:t>
            </w:r>
            <w:r>
              <w:rPr>
                <w:sz w:val="20"/>
              </w:rPr>
              <w:t>Peters,</w:t>
            </w:r>
            <w:r>
              <w:rPr>
                <w:spacing w:val="-5"/>
                <w:sz w:val="20"/>
              </w:rPr>
              <w:t xml:space="preserve"> </w:t>
            </w:r>
            <w:r>
              <w:rPr>
                <w:sz w:val="20"/>
              </w:rPr>
              <w:t>2016).</w:t>
            </w:r>
            <w:r>
              <w:rPr>
                <w:spacing w:val="-6"/>
                <w:sz w:val="20"/>
              </w:rPr>
              <w:t xml:space="preserve"> </w:t>
            </w:r>
            <w:r>
              <w:rPr>
                <w:sz w:val="20"/>
              </w:rPr>
              <w:t>It</w:t>
            </w:r>
            <w:r>
              <w:rPr>
                <w:spacing w:val="-6"/>
                <w:sz w:val="20"/>
              </w:rPr>
              <w:t xml:space="preserve"> </w:t>
            </w:r>
            <w:r>
              <w:rPr>
                <w:sz w:val="20"/>
              </w:rPr>
              <w:t>is</w:t>
            </w:r>
            <w:r>
              <w:rPr>
                <w:spacing w:val="-7"/>
                <w:sz w:val="20"/>
              </w:rPr>
              <w:t xml:space="preserve"> </w:t>
            </w:r>
            <w:r>
              <w:rPr>
                <w:sz w:val="20"/>
              </w:rPr>
              <w:t>also</w:t>
            </w:r>
            <w:r>
              <w:rPr>
                <w:spacing w:val="-6"/>
                <w:sz w:val="20"/>
              </w:rPr>
              <w:t xml:space="preserve"> </w:t>
            </w:r>
            <w:r>
              <w:rPr>
                <w:sz w:val="20"/>
              </w:rPr>
              <w:t>inappropriate</w:t>
            </w:r>
            <w:r>
              <w:rPr>
                <w:spacing w:val="-7"/>
                <w:sz w:val="20"/>
              </w:rPr>
              <w:t xml:space="preserve"> </w:t>
            </w:r>
            <w:r>
              <w:rPr>
                <w:sz w:val="20"/>
              </w:rPr>
              <w:t>in</w:t>
            </w:r>
            <w:r>
              <w:rPr>
                <w:spacing w:val="-5"/>
                <w:sz w:val="20"/>
              </w:rPr>
              <w:t xml:space="preserve"> </w:t>
            </w:r>
            <w:r>
              <w:rPr>
                <w:sz w:val="20"/>
              </w:rPr>
              <w:t>many</w:t>
            </w:r>
            <w:r>
              <w:rPr>
                <w:spacing w:val="-5"/>
                <w:sz w:val="20"/>
              </w:rPr>
              <w:t xml:space="preserve"> </w:t>
            </w:r>
            <w:r>
              <w:rPr>
                <w:sz w:val="20"/>
              </w:rPr>
              <w:t>cultures.</w:t>
            </w:r>
            <w:r>
              <w:rPr>
                <w:spacing w:val="-6"/>
                <w:sz w:val="20"/>
              </w:rPr>
              <w:t xml:space="preserve"> </w:t>
            </w:r>
            <w:r>
              <w:rPr>
                <w:sz w:val="20"/>
              </w:rPr>
              <w:t>Getting</w:t>
            </w:r>
            <w:r>
              <w:rPr>
                <w:spacing w:val="-6"/>
                <w:sz w:val="20"/>
              </w:rPr>
              <w:t xml:space="preserve"> </w:t>
            </w:r>
            <w:r>
              <w:rPr>
                <w:sz w:val="20"/>
              </w:rPr>
              <w:t>in</w:t>
            </w:r>
            <w:r>
              <w:rPr>
                <w:spacing w:val="-5"/>
                <w:sz w:val="20"/>
              </w:rPr>
              <w:t xml:space="preserve"> </w:t>
            </w:r>
            <w:r>
              <w:rPr>
                <w:spacing w:val="-10"/>
                <w:sz w:val="20"/>
              </w:rPr>
              <w:t>a</w:t>
            </w:r>
          </w:p>
        </w:tc>
      </w:tr>
    </w:tbl>
    <w:p w14:paraId="1F1FA6B4" w14:textId="77777777" w:rsidR="00DB6E1F" w:rsidRDefault="00DB6E1F">
      <w:pPr>
        <w:spacing w:line="224" w:lineRule="exact"/>
        <w:rPr>
          <w:sz w:val="20"/>
        </w:rPr>
        <w:sectPr w:rsidR="00DB6E1F">
          <w:pgSz w:w="12240" w:h="15840"/>
          <w:pgMar w:top="1200" w:right="0" w:bottom="780" w:left="0" w:header="763" w:footer="585" w:gutter="0"/>
          <w:cols w:space="720"/>
        </w:sectPr>
      </w:pPr>
    </w:p>
    <w:p w14:paraId="1C4AFC4B"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34585C9" w14:textId="77777777">
        <w:trPr>
          <w:trHeight w:val="973"/>
        </w:trPr>
        <w:tc>
          <w:tcPr>
            <w:tcW w:w="9350" w:type="dxa"/>
          </w:tcPr>
          <w:p w14:paraId="03BD85DE" w14:textId="77777777" w:rsidR="00DB6E1F" w:rsidRDefault="00F666A6">
            <w:pPr>
              <w:pStyle w:val="TableParagraph"/>
              <w:rPr>
                <w:sz w:val="20"/>
              </w:rPr>
            </w:pPr>
            <w:r>
              <w:rPr>
                <w:sz w:val="20"/>
              </w:rPr>
              <w:t>client’s</w:t>
            </w:r>
            <w:r>
              <w:rPr>
                <w:spacing w:val="-3"/>
                <w:sz w:val="20"/>
              </w:rPr>
              <w:t xml:space="preserve"> </w:t>
            </w:r>
            <w:r>
              <w:rPr>
                <w:sz w:val="20"/>
              </w:rPr>
              <w:t>face</w:t>
            </w:r>
            <w:r>
              <w:rPr>
                <w:spacing w:val="-3"/>
                <w:sz w:val="20"/>
              </w:rPr>
              <w:t xml:space="preserve"> </w:t>
            </w:r>
            <w:r>
              <w:rPr>
                <w:sz w:val="20"/>
              </w:rPr>
              <w:t>may</w:t>
            </w:r>
            <w:r>
              <w:rPr>
                <w:spacing w:val="-1"/>
                <w:sz w:val="20"/>
              </w:rPr>
              <w:t xml:space="preserve"> </w:t>
            </w:r>
            <w:r>
              <w:rPr>
                <w:sz w:val="20"/>
              </w:rPr>
              <w:t>work for</w:t>
            </w:r>
            <w:r>
              <w:rPr>
                <w:spacing w:val="-2"/>
                <w:sz w:val="20"/>
              </w:rPr>
              <w:t xml:space="preserve"> </w:t>
            </w:r>
            <w:r>
              <w:rPr>
                <w:sz w:val="20"/>
              </w:rPr>
              <w:t>some,</w:t>
            </w:r>
            <w:r>
              <w:rPr>
                <w:spacing w:val="-2"/>
                <w:sz w:val="20"/>
              </w:rPr>
              <w:t xml:space="preserve"> </w:t>
            </w:r>
            <w:r>
              <w:rPr>
                <w:sz w:val="20"/>
              </w:rPr>
              <w:t>but</w:t>
            </w:r>
            <w:r>
              <w:rPr>
                <w:spacing w:val="-2"/>
                <w:sz w:val="20"/>
              </w:rPr>
              <w:t xml:space="preserve"> </w:t>
            </w:r>
            <w:r>
              <w:rPr>
                <w:sz w:val="20"/>
              </w:rPr>
              <w:t>for</w:t>
            </w:r>
            <w:r>
              <w:rPr>
                <w:spacing w:val="-2"/>
                <w:sz w:val="20"/>
              </w:rPr>
              <w:t xml:space="preserve"> </w:t>
            </w:r>
            <w:r>
              <w:rPr>
                <w:sz w:val="20"/>
              </w:rPr>
              <w:t>most,</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exactly the</w:t>
            </w:r>
            <w:r>
              <w:rPr>
                <w:spacing w:val="-3"/>
                <w:sz w:val="20"/>
              </w:rPr>
              <w:t xml:space="preserve"> </w:t>
            </w:r>
            <w:r>
              <w:rPr>
                <w:sz w:val="20"/>
              </w:rPr>
              <w:t>opposite</w:t>
            </w:r>
            <w:r>
              <w:rPr>
                <w:spacing w:val="-3"/>
                <w:sz w:val="20"/>
              </w:rPr>
              <w:t xml:space="preserve"> </w:t>
            </w:r>
            <w:r>
              <w:rPr>
                <w:sz w:val="20"/>
              </w:rPr>
              <w:t>of</w:t>
            </w:r>
            <w:r>
              <w:rPr>
                <w:spacing w:val="-3"/>
                <w:sz w:val="20"/>
              </w:rPr>
              <w:t xml:space="preserve"> </w:t>
            </w:r>
            <w:r>
              <w:rPr>
                <w:sz w:val="20"/>
              </w:rPr>
              <w:t>what</w:t>
            </w:r>
            <w:r>
              <w:rPr>
                <w:spacing w:val="-2"/>
                <w:sz w:val="20"/>
              </w:rPr>
              <w:t xml:space="preserve"> </w:t>
            </w:r>
            <w:r>
              <w:rPr>
                <w:sz w:val="20"/>
              </w:rPr>
              <w:t>is</w:t>
            </w:r>
            <w:r>
              <w:rPr>
                <w:spacing w:val="-3"/>
                <w:sz w:val="20"/>
              </w:rPr>
              <w:t xml:space="preserve"> </w:t>
            </w:r>
            <w:r>
              <w:rPr>
                <w:sz w:val="20"/>
              </w:rPr>
              <w:t>needed—to</w:t>
            </w:r>
            <w:r>
              <w:rPr>
                <w:spacing w:val="-1"/>
                <w:sz w:val="20"/>
              </w:rPr>
              <w:t xml:space="preserve"> </w:t>
            </w:r>
            <w:r>
              <w:rPr>
                <w:sz w:val="20"/>
              </w:rPr>
              <w:t>come</w:t>
            </w:r>
            <w:r>
              <w:rPr>
                <w:spacing w:val="-3"/>
                <w:sz w:val="20"/>
              </w:rPr>
              <w:t xml:space="preserve"> </w:t>
            </w:r>
            <w:r>
              <w:rPr>
                <w:sz w:val="20"/>
              </w:rPr>
              <w:t>face-to-face with painful reality and to change.</w:t>
            </w:r>
          </w:p>
          <w:p w14:paraId="18C5471B" w14:textId="77777777" w:rsidR="00DB6E1F" w:rsidRDefault="00F666A6">
            <w:pPr>
              <w:pStyle w:val="TableParagraph"/>
              <w:spacing w:before="121"/>
              <w:rPr>
                <w:sz w:val="20"/>
              </w:rPr>
            </w:pPr>
            <w:r>
              <w:rPr>
                <w:sz w:val="20"/>
              </w:rPr>
              <w:t>William</w:t>
            </w:r>
            <w:r>
              <w:rPr>
                <w:spacing w:val="-8"/>
                <w:sz w:val="20"/>
              </w:rPr>
              <w:t xml:space="preserve"> </w:t>
            </w:r>
            <w:r>
              <w:rPr>
                <w:sz w:val="20"/>
              </w:rPr>
              <w:t>R.</w:t>
            </w:r>
            <w:r>
              <w:rPr>
                <w:spacing w:val="-7"/>
                <w:sz w:val="20"/>
              </w:rPr>
              <w:t xml:space="preserve"> </w:t>
            </w:r>
            <w:r>
              <w:rPr>
                <w:sz w:val="20"/>
              </w:rPr>
              <w:t>Miller,</w:t>
            </w:r>
            <w:r>
              <w:rPr>
                <w:spacing w:val="-6"/>
                <w:sz w:val="20"/>
              </w:rPr>
              <w:t xml:space="preserve"> </w:t>
            </w:r>
            <w:r>
              <w:rPr>
                <w:sz w:val="20"/>
              </w:rPr>
              <w:t>Ph.D.,</w:t>
            </w:r>
            <w:r>
              <w:rPr>
                <w:spacing w:val="-7"/>
                <w:sz w:val="20"/>
              </w:rPr>
              <w:t xml:space="preserve"> </w:t>
            </w:r>
            <w:r>
              <w:rPr>
                <w:sz w:val="20"/>
              </w:rPr>
              <w:t>Consensus</w:t>
            </w:r>
            <w:r>
              <w:rPr>
                <w:spacing w:val="-7"/>
                <w:sz w:val="20"/>
              </w:rPr>
              <w:t xml:space="preserve"> </w:t>
            </w:r>
            <w:r>
              <w:rPr>
                <w:sz w:val="20"/>
              </w:rPr>
              <w:t>Panel</w:t>
            </w:r>
            <w:r>
              <w:rPr>
                <w:spacing w:val="-5"/>
                <w:sz w:val="20"/>
              </w:rPr>
              <w:t xml:space="preserve"> </w:t>
            </w:r>
            <w:r>
              <w:rPr>
                <w:spacing w:val="-4"/>
                <w:sz w:val="20"/>
              </w:rPr>
              <w:t>Chair</w:t>
            </w:r>
          </w:p>
        </w:tc>
      </w:tr>
    </w:tbl>
    <w:p w14:paraId="7D2A6BF3" w14:textId="77777777" w:rsidR="00DB6E1F" w:rsidRDefault="00F666A6">
      <w:pPr>
        <w:pStyle w:val="Heading3"/>
        <w:spacing w:before="2"/>
      </w:pPr>
      <w:bookmarkStart w:id="36" w:name="A_New_Perspective"/>
      <w:bookmarkEnd w:id="36"/>
      <w:r>
        <w:t>A</w:t>
      </w:r>
      <w:r>
        <w:rPr>
          <w:spacing w:val="-4"/>
        </w:rPr>
        <w:t xml:space="preserve"> </w:t>
      </w:r>
      <w:r>
        <w:t>New</w:t>
      </w:r>
      <w:r>
        <w:rPr>
          <w:spacing w:val="-3"/>
        </w:rPr>
        <w:t xml:space="preserve"> </w:t>
      </w:r>
      <w:r>
        <w:rPr>
          <w:spacing w:val="-2"/>
        </w:rPr>
        <w:t>Perspective</w:t>
      </w:r>
    </w:p>
    <w:p w14:paraId="5F7C33C0" w14:textId="77777777" w:rsidR="00DB6E1F" w:rsidRDefault="00F666A6">
      <w:pPr>
        <w:pStyle w:val="BodyText"/>
        <w:spacing w:before="141"/>
        <w:ind w:left="1439" w:right="1286"/>
      </w:pPr>
      <w:r>
        <w:t>As</w:t>
      </w:r>
      <w:r>
        <w:rPr>
          <w:spacing w:val="-2"/>
        </w:rPr>
        <w:t xml:space="preserve"> </w:t>
      </w:r>
      <w:r>
        <w:t>the</w:t>
      </w:r>
      <w:r>
        <w:rPr>
          <w:spacing w:val="-1"/>
        </w:rPr>
        <w:t xml:space="preserve"> </w:t>
      </w:r>
      <w:r>
        <w:t>addiction</w:t>
      </w:r>
      <w:r>
        <w:rPr>
          <w:spacing w:val="-3"/>
        </w:rPr>
        <w:t xml:space="preserve"> </w:t>
      </w:r>
      <w:r>
        <w:t>treatment</w:t>
      </w:r>
      <w:r>
        <w:rPr>
          <w:spacing w:val="-4"/>
        </w:rPr>
        <w:t xml:space="preserve"> </w:t>
      </w:r>
      <w:r>
        <w:t>field</w:t>
      </w:r>
      <w:r>
        <w:rPr>
          <w:spacing w:val="-3"/>
        </w:rPr>
        <w:t xml:space="preserve"> </w:t>
      </w:r>
      <w:r>
        <w:t>has</w:t>
      </w:r>
      <w:r>
        <w:rPr>
          <w:spacing w:val="-4"/>
        </w:rPr>
        <w:t xml:space="preserve"> </w:t>
      </w:r>
      <w:r>
        <w:t>matured,</w:t>
      </w:r>
      <w:r>
        <w:rPr>
          <w:spacing w:val="-4"/>
        </w:rPr>
        <w:t xml:space="preserve"> </w:t>
      </w:r>
      <w:r>
        <w:t>it</w:t>
      </w:r>
      <w:r>
        <w:rPr>
          <w:spacing w:val="-2"/>
        </w:rPr>
        <w:t xml:space="preserve"> </w:t>
      </w:r>
      <w:r>
        <w:t>has</w:t>
      </w:r>
      <w:r>
        <w:rPr>
          <w:spacing w:val="-4"/>
        </w:rPr>
        <w:t xml:space="preserve"> </w:t>
      </w:r>
      <w:r>
        <w:t>tried</w:t>
      </w:r>
      <w:r>
        <w:rPr>
          <w:spacing w:val="-3"/>
        </w:rPr>
        <w:t xml:space="preserve"> </w:t>
      </w:r>
      <w:r>
        <w:t>to</w:t>
      </w:r>
      <w:r>
        <w:rPr>
          <w:spacing w:val="-3"/>
        </w:rPr>
        <w:t xml:space="preserve"> </w:t>
      </w:r>
      <w:r>
        <w:t>integrate</w:t>
      </w:r>
      <w:r>
        <w:rPr>
          <w:spacing w:val="-1"/>
        </w:rPr>
        <w:t xml:space="preserve"> </w:t>
      </w:r>
      <w:r>
        <w:t>conflicting</w:t>
      </w:r>
      <w:r>
        <w:rPr>
          <w:spacing w:val="-4"/>
        </w:rPr>
        <w:t xml:space="preserve"> </w:t>
      </w:r>
      <w:r>
        <w:t>theories</w:t>
      </w:r>
      <w:r>
        <w:rPr>
          <w:spacing w:val="-2"/>
        </w:rPr>
        <w:t xml:space="preserve"> </w:t>
      </w:r>
      <w:r>
        <w:t>and</w:t>
      </w:r>
      <w:r>
        <w:rPr>
          <w:spacing w:val="-3"/>
        </w:rPr>
        <w:t xml:space="preserve"> </w:t>
      </w:r>
      <w:r>
        <w:t>approaches and to incorporate research findings into a comprehensive model. The following sections address recent changes in addiction treatment with important implications for applying motivational methods.</w:t>
      </w:r>
    </w:p>
    <w:p w14:paraId="3ADA2AEF" w14:textId="77777777" w:rsidR="00DB6E1F" w:rsidRDefault="00DB6E1F">
      <w:pPr>
        <w:pStyle w:val="BodyText"/>
        <w:spacing w:before="7"/>
        <w:rPr>
          <w:sz w:val="16"/>
        </w:rPr>
      </w:pPr>
    </w:p>
    <w:p w14:paraId="5EADF906" w14:textId="77777777" w:rsidR="00DB6E1F" w:rsidRDefault="00F666A6">
      <w:pPr>
        <w:pStyle w:val="Heading4"/>
      </w:pPr>
      <w:bookmarkStart w:id="37" w:name="Focus_on_client_strengths"/>
      <w:bookmarkEnd w:id="37"/>
      <w:r>
        <w:t>Focus</w:t>
      </w:r>
      <w:r>
        <w:rPr>
          <w:spacing w:val="-7"/>
        </w:rPr>
        <w:t xml:space="preserve"> </w:t>
      </w:r>
      <w:r>
        <w:t>on</w:t>
      </w:r>
      <w:r>
        <w:rPr>
          <w:spacing w:val="-4"/>
        </w:rPr>
        <w:t xml:space="preserve"> </w:t>
      </w:r>
      <w:r>
        <w:t>client</w:t>
      </w:r>
      <w:r>
        <w:rPr>
          <w:spacing w:val="-5"/>
        </w:rPr>
        <w:t xml:space="preserve"> </w:t>
      </w:r>
      <w:r>
        <w:rPr>
          <w:spacing w:val="-2"/>
        </w:rPr>
        <w:t>strengths</w:t>
      </w:r>
    </w:p>
    <w:p w14:paraId="53375217" w14:textId="77777777" w:rsidR="00DB6E1F" w:rsidRDefault="00F666A6">
      <w:pPr>
        <w:pStyle w:val="BodyText"/>
        <w:spacing w:before="83"/>
        <w:ind w:left="1439" w:right="1491"/>
      </w:pPr>
      <w:r>
        <w:t>Historically the treatment field has focused on the deficits and limitations of clients. Today, greater emphasis</w:t>
      </w:r>
      <w:r>
        <w:rPr>
          <w:spacing w:val="-2"/>
        </w:rPr>
        <w:t xml:space="preserve"> </w:t>
      </w:r>
      <w:r>
        <w:t>is</w:t>
      </w:r>
      <w:r>
        <w:rPr>
          <w:spacing w:val="-2"/>
        </w:rPr>
        <w:t xml:space="preserve"> </w:t>
      </w:r>
      <w:r>
        <w:t>placed</w:t>
      </w:r>
      <w:r>
        <w:rPr>
          <w:spacing w:val="-5"/>
        </w:rPr>
        <w:t xml:space="preserve"> </w:t>
      </w:r>
      <w:r>
        <w:t>on</w:t>
      </w:r>
      <w:r>
        <w:rPr>
          <w:spacing w:val="-5"/>
        </w:rPr>
        <w:t xml:space="preserve"> </w:t>
      </w:r>
      <w:r>
        <w:rPr>
          <w:b/>
        </w:rPr>
        <w:t>identifying,</w:t>
      </w:r>
      <w:r>
        <w:rPr>
          <w:b/>
          <w:spacing w:val="-4"/>
        </w:rPr>
        <w:t xml:space="preserve"> </w:t>
      </w:r>
      <w:r>
        <w:rPr>
          <w:b/>
        </w:rPr>
        <w:t>enhancing,</w:t>
      </w:r>
      <w:r>
        <w:rPr>
          <w:b/>
          <w:spacing w:val="-2"/>
        </w:rPr>
        <w:t xml:space="preserve"> </w:t>
      </w:r>
      <w:r>
        <w:rPr>
          <w:b/>
        </w:rPr>
        <w:t>and</w:t>
      </w:r>
      <w:r>
        <w:rPr>
          <w:b/>
          <w:spacing w:val="-3"/>
        </w:rPr>
        <w:t xml:space="preserve"> </w:t>
      </w:r>
      <w:r>
        <w:rPr>
          <w:b/>
        </w:rPr>
        <w:t>using</w:t>
      </w:r>
      <w:r>
        <w:rPr>
          <w:b/>
          <w:spacing w:val="-2"/>
        </w:rPr>
        <w:t xml:space="preserve"> </w:t>
      </w:r>
      <w:r>
        <w:rPr>
          <w:b/>
        </w:rPr>
        <w:t>clients’</w:t>
      </w:r>
      <w:r>
        <w:rPr>
          <w:b/>
          <w:spacing w:val="-4"/>
        </w:rPr>
        <w:t xml:space="preserve"> </w:t>
      </w:r>
      <w:r>
        <w:rPr>
          <w:b/>
        </w:rPr>
        <w:t>strengths,</w:t>
      </w:r>
      <w:r>
        <w:rPr>
          <w:b/>
          <w:spacing w:val="-4"/>
        </w:rPr>
        <w:t xml:space="preserve"> </w:t>
      </w:r>
      <w:r>
        <w:rPr>
          <w:b/>
        </w:rPr>
        <w:t>abilities,</w:t>
      </w:r>
      <w:r>
        <w:rPr>
          <w:b/>
          <w:spacing w:val="-2"/>
        </w:rPr>
        <w:t xml:space="preserve"> </w:t>
      </w:r>
      <w:r>
        <w:rPr>
          <w:b/>
        </w:rPr>
        <w:t>and</w:t>
      </w:r>
      <w:r>
        <w:rPr>
          <w:b/>
          <w:spacing w:val="-3"/>
        </w:rPr>
        <w:t xml:space="preserve"> </w:t>
      </w:r>
      <w:r>
        <w:rPr>
          <w:b/>
        </w:rPr>
        <w:t xml:space="preserve">competencies. </w:t>
      </w:r>
      <w:r>
        <w:t>This trend parallels the principles of motivational counseling, which affirm clients, emphasize personal autonomy, support and strengthen self-efficacy, and reinforce that change is possible (see Chapter 4). The responsibility for recovery rests with clien</w:t>
      </w:r>
      <w:r>
        <w:t>ts, and the judgmental tone, which is a remnant of the moral model of addiction, is eliminated.</w:t>
      </w:r>
    </w:p>
    <w:p w14:paraId="0C552050" w14:textId="77777777" w:rsidR="00DB6E1F" w:rsidRDefault="00DB6E1F">
      <w:pPr>
        <w:pStyle w:val="BodyText"/>
        <w:spacing w:before="6"/>
        <w:rPr>
          <w:sz w:val="16"/>
        </w:rPr>
      </w:pPr>
    </w:p>
    <w:p w14:paraId="38C55C61" w14:textId="77777777" w:rsidR="00DB6E1F" w:rsidRDefault="00F666A6">
      <w:pPr>
        <w:pStyle w:val="Heading4"/>
      </w:pPr>
      <w:bookmarkStart w:id="38" w:name="Individualized_and_person-centered_treat"/>
      <w:bookmarkEnd w:id="38"/>
      <w:r>
        <w:t>Individualized</w:t>
      </w:r>
      <w:r>
        <w:rPr>
          <w:spacing w:val="-15"/>
        </w:rPr>
        <w:t xml:space="preserve"> </w:t>
      </w:r>
      <w:r>
        <w:t>and</w:t>
      </w:r>
      <w:r>
        <w:rPr>
          <w:spacing w:val="-15"/>
        </w:rPr>
        <w:t xml:space="preserve"> </w:t>
      </w:r>
      <w:r>
        <w:t>person-centered</w:t>
      </w:r>
      <w:r>
        <w:rPr>
          <w:spacing w:val="-14"/>
        </w:rPr>
        <w:t xml:space="preserve"> </w:t>
      </w:r>
      <w:r>
        <w:rPr>
          <w:spacing w:val="-2"/>
        </w:rPr>
        <w:t>treatment</w:t>
      </w:r>
    </w:p>
    <w:p w14:paraId="0675BB60" w14:textId="77777777" w:rsidR="00DB6E1F" w:rsidRDefault="00F666A6">
      <w:pPr>
        <w:pStyle w:val="BodyText"/>
        <w:spacing w:before="83"/>
        <w:ind w:left="1439" w:right="1444"/>
      </w:pPr>
      <w:r>
        <w:t>In the past, clients frequently received standardized treatment, no matter what their problems or SUD severity. To</w:t>
      </w:r>
      <w:r>
        <w:t xml:space="preserve">day, </w:t>
      </w:r>
      <w:r>
        <w:rPr>
          <w:b/>
        </w:rPr>
        <w:t xml:space="preserve">treatment is increasingly based on clients’ individual needs, which are carefully and comprehensively assessed at intake. </w:t>
      </w:r>
      <w:r>
        <w:t>Positive outcomes such as higher levels of engagement in psychosocial</w:t>
      </w:r>
      <w:r>
        <w:rPr>
          <w:spacing w:val="-5"/>
        </w:rPr>
        <w:t xml:space="preserve"> </w:t>
      </w:r>
      <w:r>
        <w:t>treatments,</w:t>
      </w:r>
      <w:r>
        <w:rPr>
          <w:spacing w:val="-2"/>
        </w:rPr>
        <w:t xml:space="preserve"> </w:t>
      </w:r>
      <w:r>
        <w:t>decreased</w:t>
      </w:r>
      <w:r>
        <w:rPr>
          <w:spacing w:val="-3"/>
        </w:rPr>
        <w:t xml:space="preserve"> </w:t>
      </w:r>
      <w:r>
        <w:t>alcohol</w:t>
      </w:r>
      <w:r>
        <w:rPr>
          <w:spacing w:val="-2"/>
        </w:rPr>
        <w:t xml:space="preserve"> </w:t>
      </w:r>
      <w:r>
        <w:t>use,</w:t>
      </w:r>
      <w:r>
        <w:rPr>
          <w:spacing w:val="-2"/>
        </w:rPr>
        <w:t xml:space="preserve"> </w:t>
      </w:r>
      <w:r>
        <w:t>and</w:t>
      </w:r>
      <w:r>
        <w:rPr>
          <w:spacing w:val="-3"/>
        </w:rPr>
        <w:t xml:space="preserve"> </w:t>
      </w:r>
      <w:r>
        <w:t>improved</w:t>
      </w:r>
      <w:r>
        <w:rPr>
          <w:spacing w:val="-3"/>
        </w:rPr>
        <w:t xml:space="preserve"> </w:t>
      </w:r>
      <w:r>
        <w:t>quality</w:t>
      </w:r>
      <w:r>
        <w:rPr>
          <w:spacing w:val="-3"/>
        </w:rPr>
        <w:t xml:space="preserve"> </w:t>
      </w:r>
      <w:r>
        <w:t>of</w:t>
      </w:r>
      <w:r>
        <w:rPr>
          <w:spacing w:val="-2"/>
        </w:rPr>
        <w:t xml:space="preserve"> </w:t>
      </w:r>
      <w:r>
        <w:t>life</w:t>
      </w:r>
      <w:r>
        <w:rPr>
          <w:spacing w:val="-3"/>
        </w:rPr>
        <w:t xml:space="preserve"> </w:t>
      </w:r>
      <w:r>
        <w:t>are</w:t>
      </w:r>
      <w:r>
        <w:rPr>
          <w:spacing w:val="-4"/>
        </w:rPr>
        <w:t xml:space="preserve"> </w:t>
      </w:r>
      <w:r>
        <w:t>associated</w:t>
      </w:r>
      <w:r>
        <w:rPr>
          <w:spacing w:val="-5"/>
        </w:rPr>
        <w:t xml:space="preserve"> </w:t>
      </w:r>
      <w:r>
        <w:t>with</w:t>
      </w:r>
      <w:r>
        <w:rPr>
          <w:spacing w:val="-3"/>
        </w:rPr>
        <w:t xml:space="preserve"> </w:t>
      </w:r>
      <w:r>
        <w:t>person- centered care and a focus on individualized treatment (Barrio &amp; Gual, 2016; Bray et al., 2017; Jackson et al.,</w:t>
      </w:r>
      <w:r>
        <w:rPr>
          <w:spacing w:val="-1"/>
        </w:rPr>
        <w:t xml:space="preserve"> </w:t>
      </w:r>
      <w:r>
        <w:t>2014).</w:t>
      </w:r>
      <w:r>
        <w:rPr>
          <w:spacing w:val="-1"/>
        </w:rPr>
        <w:t xml:space="preserve"> </w:t>
      </w:r>
      <w:r>
        <w:t>In</w:t>
      </w:r>
      <w:r>
        <w:rPr>
          <w:spacing w:val="-2"/>
        </w:rPr>
        <w:t xml:space="preserve"> </w:t>
      </w:r>
      <w:r>
        <w:t>this</w:t>
      </w:r>
      <w:r>
        <w:rPr>
          <w:spacing w:val="-1"/>
        </w:rPr>
        <w:t xml:space="preserve"> </w:t>
      </w:r>
      <w:r>
        <w:t>perspective,</w:t>
      </w:r>
      <w:r>
        <w:rPr>
          <w:spacing w:val="-3"/>
        </w:rPr>
        <w:t xml:space="preserve"> </w:t>
      </w:r>
      <w:r>
        <w:t>clients have</w:t>
      </w:r>
      <w:r>
        <w:rPr>
          <w:spacing w:val="-2"/>
        </w:rPr>
        <w:t xml:space="preserve"> </w:t>
      </w:r>
      <w:r>
        <w:t>choices</w:t>
      </w:r>
      <w:r>
        <w:rPr>
          <w:spacing w:val="-1"/>
        </w:rPr>
        <w:t xml:space="preserve"> </w:t>
      </w:r>
      <w:r>
        <w:t>about desirable,</w:t>
      </w:r>
      <w:r>
        <w:rPr>
          <w:spacing w:val="-1"/>
        </w:rPr>
        <w:t xml:space="preserve"> </w:t>
      </w:r>
      <w:r>
        <w:t>suitable treatment</w:t>
      </w:r>
      <w:r>
        <w:rPr>
          <w:spacing w:val="-3"/>
        </w:rPr>
        <w:t xml:space="preserve"> </w:t>
      </w:r>
      <w:r>
        <w:t>options—they</w:t>
      </w:r>
      <w:r>
        <w:rPr>
          <w:spacing w:val="-2"/>
        </w:rPr>
        <w:t xml:space="preserve"> </w:t>
      </w:r>
      <w:r>
        <w:t>are not prescr</w:t>
      </w:r>
      <w:r>
        <w:t>ibed treatment. Motivational approaches emphasize choice by eliciting personal goals from clients and involving them in selecting the type of treatment needed or desired from a</w:t>
      </w:r>
      <w:r>
        <w:rPr>
          <w:spacing w:val="-1"/>
        </w:rPr>
        <w:t xml:space="preserve"> </w:t>
      </w:r>
      <w:r>
        <w:t>menu</w:t>
      </w:r>
      <w:r>
        <w:rPr>
          <w:spacing w:val="-1"/>
        </w:rPr>
        <w:t xml:space="preserve"> </w:t>
      </w:r>
      <w:r>
        <w:t>of options.</w:t>
      </w:r>
    </w:p>
    <w:p w14:paraId="6DA205F3" w14:textId="77777777" w:rsidR="00DB6E1F" w:rsidRDefault="00DB6E1F">
      <w:pPr>
        <w:pStyle w:val="BodyText"/>
        <w:spacing w:before="6"/>
        <w:rPr>
          <w:sz w:val="16"/>
        </w:rPr>
      </w:pPr>
    </w:p>
    <w:p w14:paraId="7BCB1E54" w14:textId="77777777" w:rsidR="00DB6E1F" w:rsidRDefault="00F666A6">
      <w:pPr>
        <w:pStyle w:val="Heading4"/>
      </w:pPr>
      <w:bookmarkStart w:id="39" w:name="A_shift_away_from_labeling"/>
      <w:bookmarkEnd w:id="39"/>
      <w:r>
        <w:t>A</w:t>
      </w:r>
      <w:r>
        <w:rPr>
          <w:spacing w:val="-8"/>
        </w:rPr>
        <w:t xml:space="preserve"> </w:t>
      </w:r>
      <w:r>
        <w:t>shift</w:t>
      </w:r>
      <w:r>
        <w:rPr>
          <w:spacing w:val="-5"/>
        </w:rPr>
        <w:t xml:space="preserve"> </w:t>
      </w:r>
      <w:r>
        <w:t>away</w:t>
      </w:r>
      <w:r>
        <w:rPr>
          <w:spacing w:val="-5"/>
        </w:rPr>
        <w:t xml:space="preserve"> </w:t>
      </w:r>
      <w:r>
        <w:t>from</w:t>
      </w:r>
      <w:r>
        <w:rPr>
          <w:spacing w:val="-4"/>
        </w:rPr>
        <w:t xml:space="preserve"> </w:t>
      </w:r>
      <w:r>
        <w:rPr>
          <w:spacing w:val="-2"/>
        </w:rPr>
        <w:t>labeling</w:t>
      </w:r>
    </w:p>
    <w:p w14:paraId="3A5781D0" w14:textId="77777777" w:rsidR="00DB6E1F" w:rsidRDefault="00F666A6">
      <w:pPr>
        <w:pStyle w:val="BodyText"/>
        <w:spacing w:before="86"/>
        <w:ind w:left="1439" w:right="1444"/>
      </w:pPr>
      <w:r>
        <w:t>Historically, a diagnosis or disease defined the client and became a dehumanizing attribute of the individual. Today, individuals with asthma or a psychosis are seldom referred to as “the asthmatic” or “the</w:t>
      </w:r>
      <w:r>
        <w:rPr>
          <w:spacing w:val="-1"/>
        </w:rPr>
        <w:t xml:space="preserve"> </w:t>
      </w:r>
      <w:r>
        <w:t>psychotic.”</w:t>
      </w:r>
      <w:r>
        <w:rPr>
          <w:spacing w:val="-1"/>
        </w:rPr>
        <w:t xml:space="preserve"> </w:t>
      </w:r>
      <w:r>
        <w:t>Similarly,</w:t>
      </w:r>
      <w:r>
        <w:rPr>
          <w:spacing w:val="-2"/>
        </w:rPr>
        <w:t xml:space="preserve"> </w:t>
      </w:r>
      <w:r>
        <w:t>in</w:t>
      </w:r>
      <w:r>
        <w:rPr>
          <w:spacing w:val="-3"/>
        </w:rPr>
        <w:t xml:space="preserve"> </w:t>
      </w:r>
      <w:r>
        <w:t>the</w:t>
      </w:r>
      <w:r>
        <w:rPr>
          <w:spacing w:val="-1"/>
        </w:rPr>
        <w:t xml:space="preserve"> </w:t>
      </w:r>
      <w:r>
        <w:t>addiction</w:t>
      </w:r>
      <w:r>
        <w:rPr>
          <w:spacing w:val="-3"/>
        </w:rPr>
        <w:t xml:space="preserve"> </w:t>
      </w:r>
      <w:r>
        <w:t>treatment</w:t>
      </w:r>
      <w:r>
        <w:rPr>
          <w:spacing w:val="-6"/>
        </w:rPr>
        <w:t xml:space="preserve"> </w:t>
      </w:r>
      <w:r>
        <w:t>arena,</w:t>
      </w:r>
      <w:r>
        <w:rPr>
          <w:spacing w:val="-2"/>
        </w:rPr>
        <w:t xml:space="preserve"> </w:t>
      </w:r>
      <w:r>
        <w:t>there</w:t>
      </w:r>
      <w:r>
        <w:rPr>
          <w:spacing w:val="-1"/>
        </w:rPr>
        <w:t xml:space="preserve"> </w:t>
      </w:r>
      <w:r>
        <w:t>is</w:t>
      </w:r>
      <w:r>
        <w:rPr>
          <w:spacing w:val="-4"/>
        </w:rPr>
        <w:t xml:space="preserve"> </w:t>
      </w:r>
      <w:r>
        <w:t>a</w:t>
      </w:r>
      <w:r>
        <w:rPr>
          <w:spacing w:val="-2"/>
        </w:rPr>
        <w:t xml:space="preserve"> </w:t>
      </w:r>
      <w:r>
        <w:t>trend</w:t>
      </w:r>
      <w:r>
        <w:rPr>
          <w:spacing w:val="-3"/>
        </w:rPr>
        <w:t xml:space="preserve"> </w:t>
      </w:r>
      <w:r>
        <w:t>to</w:t>
      </w:r>
      <w:r>
        <w:rPr>
          <w:spacing w:val="-3"/>
        </w:rPr>
        <w:t xml:space="preserve"> </w:t>
      </w:r>
      <w:r>
        <w:t>avoid</w:t>
      </w:r>
      <w:r>
        <w:rPr>
          <w:spacing w:val="-3"/>
        </w:rPr>
        <w:t xml:space="preserve"> </w:t>
      </w:r>
      <w:r>
        <w:t>labeling</w:t>
      </w:r>
      <w:r>
        <w:rPr>
          <w:spacing w:val="-3"/>
        </w:rPr>
        <w:t xml:space="preserve"> </w:t>
      </w:r>
      <w:r>
        <w:t>clients</w:t>
      </w:r>
      <w:r>
        <w:rPr>
          <w:spacing w:val="-3"/>
        </w:rPr>
        <w:t xml:space="preserve"> </w:t>
      </w:r>
      <w:r>
        <w:t xml:space="preserve">with SUDs as “addicts” or “alcoholics.” </w:t>
      </w:r>
      <w:r>
        <w:rPr>
          <w:b/>
        </w:rPr>
        <w:t xml:space="preserve">Using a motivational style will help you avoid labeling clients, </w:t>
      </w:r>
      <w:r>
        <w:t>especially those who may not agree with the diagnosis or do not see a particular behavior as problem</w:t>
      </w:r>
      <w:r>
        <w:t>atic. Person-first language (e.g., a person with an SUD) is the new standard; it reduces stigma, helps clients disentangle addiction from identity, and eliminates the judgmental tone left over from the moral model of addiction (SAMHSA, Center for the Appli</w:t>
      </w:r>
      <w:r>
        <w:t>cation of Prevention Technologies, 2017).</w:t>
      </w:r>
    </w:p>
    <w:p w14:paraId="4A1BE7CC" w14:textId="77777777" w:rsidR="00DB6E1F" w:rsidRDefault="00DB6E1F">
      <w:pPr>
        <w:pStyle w:val="BodyText"/>
        <w:spacing w:before="4"/>
        <w:rPr>
          <w:sz w:val="16"/>
        </w:rPr>
      </w:pPr>
    </w:p>
    <w:p w14:paraId="2B9851C8" w14:textId="77777777" w:rsidR="00DB6E1F" w:rsidRDefault="00F666A6">
      <w:pPr>
        <w:pStyle w:val="Heading4"/>
      </w:pPr>
      <w:bookmarkStart w:id="40" w:name="Therapeutic_partnerships_for_change"/>
      <w:bookmarkEnd w:id="40"/>
      <w:r>
        <w:t>Therapeutic</w:t>
      </w:r>
      <w:r>
        <w:rPr>
          <w:spacing w:val="-13"/>
        </w:rPr>
        <w:t xml:space="preserve"> </w:t>
      </w:r>
      <w:r>
        <w:t>partnerships</w:t>
      </w:r>
      <w:r>
        <w:rPr>
          <w:spacing w:val="-10"/>
        </w:rPr>
        <w:t xml:space="preserve"> </w:t>
      </w:r>
      <w:r>
        <w:t>for</w:t>
      </w:r>
      <w:r>
        <w:rPr>
          <w:spacing w:val="-9"/>
        </w:rPr>
        <w:t xml:space="preserve"> </w:t>
      </w:r>
      <w:r>
        <w:rPr>
          <w:spacing w:val="-2"/>
        </w:rPr>
        <w:t>change</w:t>
      </w:r>
    </w:p>
    <w:p w14:paraId="0D8622E0" w14:textId="77777777" w:rsidR="00DB6E1F" w:rsidRDefault="00F666A6">
      <w:pPr>
        <w:spacing w:before="85"/>
        <w:ind w:left="1440" w:right="1444"/>
      </w:pPr>
      <w:r>
        <w:t xml:space="preserve">In the past, especially in the medical model, the client passively </w:t>
      </w:r>
      <w:r>
        <w:rPr>
          <w:b/>
        </w:rPr>
        <w:t xml:space="preserve">received </w:t>
      </w:r>
      <w:r>
        <w:t xml:space="preserve">treatment. Today, treatment usually entails </w:t>
      </w:r>
      <w:r>
        <w:rPr>
          <w:b/>
        </w:rPr>
        <w:t>a partnership in which you and the client agree on treatm</w:t>
      </w:r>
      <w:r>
        <w:rPr>
          <w:b/>
        </w:rPr>
        <w:t>ent goals and together develop</w:t>
      </w:r>
      <w:r>
        <w:rPr>
          <w:b/>
          <w:spacing w:val="-3"/>
        </w:rPr>
        <w:t xml:space="preserve"> </w:t>
      </w:r>
      <w:r>
        <w:rPr>
          <w:b/>
        </w:rPr>
        <w:t>strategies</w:t>
      </w:r>
      <w:r>
        <w:rPr>
          <w:b/>
          <w:spacing w:val="-1"/>
        </w:rPr>
        <w:t xml:space="preserve"> </w:t>
      </w:r>
      <w:r>
        <w:rPr>
          <w:b/>
        </w:rPr>
        <w:t>to</w:t>
      </w:r>
      <w:r>
        <w:rPr>
          <w:b/>
          <w:spacing w:val="-3"/>
        </w:rPr>
        <w:t xml:space="preserve"> </w:t>
      </w:r>
      <w:r>
        <w:rPr>
          <w:b/>
        </w:rPr>
        <w:t>meet</w:t>
      </w:r>
      <w:r>
        <w:rPr>
          <w:b/>
          <w:spacing w:val="-4"/>
        </w:rPr>
        <w:t xml:space="preserve"> </w:t>
      </w:r>
      <w:r>
        <w:rPr>
          <w:b/>
        </w:rPr>
        <w:t>those</w:t>
      </w:r>
      <w:r>
        <w:rPr>
          <w:b/>
          <w:spacing w:val="-3"/>
        </w:rPr>
        <w:t xml:space="preserve"> </w:t>
      </w:r>
      <w:r>
        <w:rPr>
          <w:b/>
        </w:rPr>
        <w:t>goals.</w:t>
      </w:r>
      <w:r>
        <w:rPr>
          <w:b/>
          <w:spacing w:val="-3"/>
        </w:rPr>
        <w:t xml:space="preserve"> </w:t>
      </w:r>
      <w:r>
        <w:t>The</w:t>
      </w:r>
      <w:r>
        <w:rPr>
          <w:spacing w:val="-1"/>
        </w:rPr>
        <w:t xml:space="preserve"> </w:t>
      </w:r>
      <w:r>
        <w:t>client</w:t>
      </w:r>
      <w:r>
        <w:rPr>
          <w:spacing w:val="-1"/>
        </w:rPr>
        <w:t xml:space="preserve"> </w:t>
      </w:r>
      <w:r>
        <w:t>is</w:t>
      </w:r>
      <w:r>
        <w:rPr>
          <w:spacing w:val="-4"/>
        </w:rPr>
        <w:t xml:space="preserve"> </w:t>
      </w:r>
      <w:r>
        <w:t>seen</w:t>
      </w:r>
      <w:r>
        <w:rPr>
          <w:spacing w:val="-2"/>
        </w:rPr>
        <w:t xml:space="preserve"> </w:t>
      </w:r>
      <w:r>
        <w:t>as</w:t>
      </w:r>
      <w:r>
        <w:rPr>
          <w:spacing w:val="-2"/>
        </w:rPr>
        <w:t xml:space="preserve"> </w:t>
      </w:r>
      <w:r>
        <w:t>an</w:t>
      </w:r>
      <w:r>
        <w:rPr>
          <w:spacing w:val="-5"/>
        </w:rPr>
        <w:t xml:space="preserve"> </w:t>
      </w:r>
      <w:r>
        <w:t>active</w:t>
      </w:r>
      <w:r>
        <w:rPr>
          <w:spacing w:val="-1"/>
        </w:rPr>
        <w:t xml:space="preserve"> </w:t>
      </w:r>
      <w:r>
        <w:t>participant</w:t>
      </w:r>
      <w:r>
        <w:rPr>
          <w:spacing w:val="-4"/>
        </w:rPr>
        <w:t xml:space="preserve"> </w:t>
      </w:r>
      <w:r>
        <w:t>in</w:t>
      </w:r>
      <w:r>
        <w:rPr>
          <w:spacing w:val="-3"/>
        </w:rPr>
        <w:t xml:space="preserve"> </w:t>
      </w:r>
      <w:r>
        <w:t>treatment</w:t>
      </w:r>
      <w:r>
        <w:rPr>
          <w:spacing w:val="-1"/>
        </w:rPr>
        <w:t xml:space="preserve"> </w:t>
      </w:r>
      <w:r>
        <w:t>planning. Using motivational strategies fosters a therapeutic alliance with the client and elicits goals and change strategies from the client. The client has ultimate responsibility for making changes.</w:t>
      </w:r>
    </w:p>
    <w:p w14:paraId="6DF4AE35" w14:textId="77777777" w:rsidR="00DB6E1F" w:rsidRDefault="00DB6E1F">
      <w:pPr>
        <w:pStyle w:val="BodyText"/>
        <w:spacing w:before="5"/>
        <w:rPr>
          <w:sz w:val="16"/>
        </w:rPr>
      </w:pPr>
    </w:p>
    <w:p w14:paraId="5ECC285B" w14:textId="77777777" w:rsidR="00DB6E1F" w:rsidRDefault="00F666A6">
      <w:pPr>
        <w:pStyle w:val="Heading4"/>
        <w:spacing w:before="1"/>
      </w:pPr>
      <w:bookmarkStart w:id="41" w:name="Use_of_empathy,_not_authority_and_power"/>
      <w:bookmarkEnd w:id="41"/>
      <w:r>
        <w:t>Use</w:t>
      </w:r>
      <w:r>
        <w:rPr>
          <w:spacing w:val="-8"/>
        </w:rPr>
        <w:t xml:space="preserve"> </w:t>
      </w:r>
      <w:r>
        <w:t>of</w:t>
      </w:r>
      <w:r>
        <w:rPr>
          <w:spacing w:val="-7"/>
        </w:rPr>
        <w:t xml:space="preserve"> </w:t>
      </w:r>
      <w:r>
        <w:t>empathy,</w:t>
      </w:r>
      <w:r>
        <w:rPr>
          <w:spacing w:val="-5"/>
        </w:rPr>
        <w:t xml:space="preserve"> </w:t>
      </w:r>
      <w:r>
        <w:t>not</w:t>
      </w:r>
      <w:r>
        <w:rPr>
          <w:spacing w:val="-8"/>
        </w:rPr>
        <w:t xml:space="preserve"> </w:t>
      </w:r>
      <w:r>
        <w:t>authority</w:t>
      </w:r>
      <w:r>
        <w:rPr>
          <w:spacing w:val="-5"/>
        </w:rPr>
        <w:t xml:space="preserve"> </w:t>
      </w:r>
      <w:r>
        <w:t>and</w:t>
      </w:r>
      <w:r>
        <w:rPr>
          <w:spacing w:val="-5"/>
        </w:rPr>
        <w:t xml:space="preserve"> </w:t>
      </w:r>
      <w:r>
        <w:rPr>
          <w:spacing w:val="-4"/>
        </w:rPr>
        <w:t>power</w:t>
      </w:r>
    </w:p>
    <w:p w14:paraId="593503B3" w14:textId="77777777" w:rsidR="00DB6E1F" w:rsidRDefault="00F666A6">
      <w:pPr>
        <w:pStyle w:val="BodyText"/>
        <w:spacing w:before="83"/>
        <w:ind w:left="1440"/>
      </w:pPr>
      <w:r>
        <w:t>Historically</w:t>
      </w:r>
      <w:r>
        <w:t>,</w:t>
      </w:r>
      <w:r>
        <w:rPr>
          <w:spacing w:val="-6"/>
        </w:rPr>
        <w:t xml:space="preserve"> </w:t>
      </w:r>
      <w:r>
        <w:t>addiction</w:t>
      </w:r>
      <w:r>
        <w:rPr>
          <w:spacing w:val="-4"/>
        </w:rPr>
        <w:t xml:space="preserve"> </w:t>
      </w:r>
      <w:r>
        <w:t>treatment</w:t>
      </w:r>
      <w:r>
        <w:rPr>
          <w:spacing w:val="-5"/>
        </w:rPr>
        <w:t xml:space="preserve"> </w:t>
      </w:r>
      <w:r>
        <w:t>providers</w:t>
      </w:r>
      <w:r>
        <w:rPr>
          <w:spacing w:val="-6"/>
        </w:rPr>
        <w:t xml:space="preserve"> </w:t>
      </w:r>
      <w:r>
        <w:t>were</w:t>
      </w:r>
      <w:r>
        <w:rPr>
          <w:spacing w:val="-3"/>
        </w:rPr>
        <w:t xml:space="preserve"> </w:t>
      </w:r>
      <w:r>
        <w:t>placed</w:t>
      </w:r>
      <w:r>
        <w:rPr>
          <w:spacing w:val="-4"/>
        </w:rPr>
        <w:t xml:space="preserve"> </w:t>
      </w:r>
      <w:r>
        <w:t>in</w:t>
      </w:r>
      <w:r>
        <w:rPr>
          <w:spacing w:val="-5"/>
        </w:rPr>
        <w:t xml:space="preserve"> </w:t>
      </w:r>
      <w:r>
        <w:t>the</w:t>
      </w:r>
      <w:r>
        <w:rPr>
          <w:spacing w:val="-3"/>
        </w:rPr>
        <w:t xml:space="preserve"> </w:t>
      </w:r>
      <w:r>
        <w:t>position</w:t>
      </w:r>
      <w:r>
        <w:rPr>
          <w:spacing w:val="-6"/>
        </w:rPr>
        <w:t xml:space="preserve"> </w:t>
      </w:r>
      <w:r>
        <w:t>of</w:t>
      </w:r>
      <w:r>
        <w:rPr>
          <w:spacing w:val="-6"/>
        </w:rPr>
        <w:t xml:space="preserve"> </w:t>
      </w:r>
      <w:r>
        <w:t>an</w:t>
      </w:r>
      <w:r>
        <w:rPr>
          <w:spacing w:val="-5"/>
        </w:rPr>
        <w:t xml:space="preserve"> </w:t>
      </w:r>
      <w:r>
        <w:t>authority</w:t>
      </w:r>
      <w:r>
        <w:rPr>
          <w:spacing w:val="-6"/>
        </w:rPr>
        <w:t xml:space="preserve"> </w:t>
      </w:r>
      <w:r>
        <w:t>with</w:t>
      </w:r>
      <w:r>
        <w:rPr>
          <w:spacing w:val="-6"/>
        </w:rPr>
        <w:t xml:space="preserve"> </w:t>
      </w:r>
      <w:r>
        <w:t>the</w:t>
      </w:r>
      <w:r>
        <w:rPr>
          <w:spacing w:val="-3"/>
        </w:rPr>
        <w:t xml:space="preserve"> </w:t>
      </w:r>
      <w:r>
        <w:t>power</w:t>
      </w:r>
      <w:r>
        <w:rPr>
          <w:spacing w:val="-3"/>
        </w:rPr>
        <w:t xml:space="preserve"> </w:t>
      </w:r>
      <w:r>
        <w:rPr>
          <w:spacing w:val="-5"/>
        </w:rPr>
        <w:t>to</w:t>
      </w:r>
    </w:p>
    <w:p w14:paraId="61DBBF4B" w14:textId="77777777" w:rsidR="00DB6E1F" w:rsidRDefault="00DB6E1F">
      <w:pPr>
        <w:sectPr w:rsidR="00DB6E1F">
          <w:pgSz w:w="12240" w:h="15840"/>
          <w:pgMar w:top="1200" w:right="0" w:bottom="780" w:left="0" w:header="763" w:footer="585" w:gutter="0"/>
          <w:cols w:space="720"/>
        </w:sectPr>
      </w:pPr>
    </w:p>
    <w:p w14:paraId="46469536" w14:textId="77777777" w:rsidR="00DB6E1F" w:rsidRDefault="00DB6E1F">
      <w:pPr>
        <w:pStyle w:val="BodyText"/>
        <w:spacing w:before="8"/>
        <w:rPr>
          <w:sz w:val="14"/>
        </w:rPr>
      </w:pPr>
    </w:p>
    <w:p w14:paraId="1CD700DA" w14:textId="77777777" w:rsidR="00DB6E1F" w:rsidRDefault="00F666A6">
      <w:pPr>
        <w:spacing w:before="56"/>
        <w:ind w:left="1439" w:right="1487"/>
      </w:pPr>
      <w:r>
        <w:t xml:space="preserve">recommend client termination for rule infractions, penalties for positive urine drug screens, or promotion to a higher phase of treatment for successfully following direction. Research now demonstrates that </w:t>
      </w:r>
      <w:r>
        <w:rPr>
          <w:b/>
        </w:rPr>
        <w:t>counselors who operate from a more authority-driv</w:t>
      </w:r>
      <w:r>
        <w:rPr>
          <w:b/>
        </w:rPr>
        <w:t>en way of relating to clients, such</w:t>
      </w:r>
      <w:r>
        <w:rPr>
          <w:b/>
          <w:spacing w:val="-2"/>
        </w:rPr>
        <w:t xml:space="preserve"> </w:t>
      </w:r>
      <w:r>
        <w:rPr>
          <w:b/>
        </w:rPr>
        <w:t>as</w:t>
      </w:r>
      <w:r>
        <w:rPr>
          <w:b/>
          <w:spacing w:val="-3"/>
        </w:rPr>
        <w:t xml:space="preserve"> </w:t>
      </w:r>
      <w:r>
        <w:rPr>
          <w:b/>
        </w:rPr>
        <w:t>confronting</w:t>
      </w:r>
      <w:r>
        <w:rPr>
          <w:b/>
          <w:spacing w:val="-1"/>
        </w:rPr>
        <w:t xml:space="preserve"> </w:t>
      </w:r>
      <w:r>
        <w:rPr>
          <w:b/>
        </w:rPr>
        <w:t>or being overly</w:t>
      </w:r>
      <w:r>
        <w:rPr>
          <w:b/>
          <w:spacing w:val="-2"/>
        </w:rPr>
        <w:t xml:space="preserve"> </w:t>
      </w:r>
      <w:r>
        <w:rPr>
          <w:b/>
        </w:rPr>
        <w:t>directive,</w:t>
      </w:r>
      <w:r>
        <w:rPr>
          <w:b/>
          <w:spacing w:val="-3"/>
        </w:rPr>
        <w:t xml:space="preserve"> </w:t>
      </w:r>
      <w:r>
        <w:rPr>
          <w:b/>
        </w:rPr>
        <w:t>are</w:t>
      </w:r>
      <w:r>
        <w:rPr>
          <w:b/>
          <w:spacing w:val="-2"/>
        </w:rPr>
        <w:t xml:space="preserve"> </w:t>
      </w:r>
      <w:r>
        <w:rPr>
          <w:b/>
        </w:rPr>
        <w:t>less effective</w:t>
      </w:r>
      <w:r>
        <w:rPr>
          <w:b/>
          <w:spacing w:val="-4"/>
        </w:rPr>
        <w:t xml:space="preserve"> </w:t>
      </w:r>
      <w:r>
        <w:rPr>
          <w:b/>
        </w:rPr>
        <w:t>than</w:t>
      </w:r>
      <w:r>
        <w:rPr>
          <w:b/>
          <w:spacing w:val="-2"/>
        </w:rPr>
        <w:t xml:space="preserve"> </w:t>
      </w:r>
      <w:r>
        <w:rPr>
          <w:b/>
        </w:rPr>
        <w:t>counselors</w:t>
      </w:r>
      <w:r>
        <w:rPr>
          <w:b/>
          <w:spacing w:val="-3"/>
        </w:rPr>
        <w:t xml:space="preserve"> </w:t>
      </w:r>
      <w:r>
        <w:rPr>
          <w:b/>
        </w:rPr>
        <w:t>who</w:t>
      </w:r>
      <w:r>
        <w:rPr>
          <w:b/>
          <w:spacing w:val="-2"/>
        </w:rPr>
        <w:t xml:space="preserve"> </w:t>
      </w:r>
      <w:r>
        <w:rPr>
          <w:b/>
        </w:rPr>
        <w:t>employ empathy, understanding,</w:t>
      </w:r>
      <w:r>
        <w:rPr>
          <w:b/>
          <w:spacing w:val="-1"/>
        </w:rPr>
        <w:t xml:space="preserve"> </w:t>
      </w:r>
      <w:r>
        <w:rPr>
          <w:b/>
        </w:rPr>
        <w:t>and</w:t>
      </w:r>
      <w:r>
        <w:rPr>
          <w:b/>
          <w:spacing w:val="-3"/>
        </w:rPr>
        <w:t xml:space="preserve"> </w:t>
      </w:r>
      <w:r>
        <w:rPr>
          <w:b/>
        </w:rPr>
        <w:t>support</w:t>
      </w:r>
      <w:r>
        <w:rPr>
          <w:b/>
          <w:spacing w:val="-3"/>
        </w:rPr>
        <w:t xml:space="preserve"> </w:t>
      </w:r>
      <w:r>
        <w:t>with</w:t>
      </w:r>
      <w:r>
        <w:rPr>
          <w:spacing w:val="-3"/>
        </w:rPr>
        <w:t xml:space="preserve"> </w:t>
      </w:r>
      <w:r>
        <w:t>clients</w:t>
      </w:r>
      <w:r>
        <w:rPr>
          <w:spacing w:val="-2"/>
        </w:rPr>
        <w:t xml:space="preserve"> </w:t>
      </w:r>
      <w:r>
        <w:t>(Martin</w:t>
      </w:r>
      <w:r>
        <w:rPr>
          <w:spacing w:val="-5"/>
        </w:rPr>
        <w:t xml:space="preserve"> </w:t>
      </w:r>
      <w:r>
        <w:t>&amp;</w:t>
      </w:r>
      <w:r>
        <w:rPr>
          <w:spacing w:val="-1"/>
        </w:rPr>
        <w:t xml:space="preserve"> </w:t>
      </w:r>
      <w:r>
        <w:t>Rehm,</w:t>
      </w:r>
      <w:r>
        <w:rPr>
          <w:spacing w:val="-4"/>
        </w:rPr>
        <w:t xml:space="preserve"> </w:t>
      </w:r>
      <w:r>
        <w:t>2012).</w:t>
      </w:r>
      <w:r>
        <w:rPr>
          <w:spacing w:val="-4"/>
        </w:rPr>
        <w:t xml:space="preserve"> </w:t>
      </w:r>
      <w:r>
        <w:t>This</w:t>
      </w:r>
      <w:r>
        <w:rPr>
          <w:spacing w:val="-2"/>
        </w:rPr>
        <w:t xml:space="preserve"> </w:t>
      </w:r>
      <w:r>
        <w:t>style</w:t>
      </w:r>
      <w:r>
        <w:rPr>
          <w:spacing w:val="-4"/>
        </w:rPr>
        <w:t xml:space="preserve"> </w:t>
      </w:r>
      <w:r>
        <w:t>of</w:t>
      </w:r>
      <w:r>
        <w:rPr>
          <w:spacing w:val="-4"/>
        </w:rPr>
        <w:t xml:space="preserve"> </w:t>
      </w:r>
      <w:r>
        <w:t>counseling</w:t>
      </w:r>
      <w:r>
        <w:rPr>
          <w:spacing w:val="-3"/>
        </w:rPr>
        <w:t xml:space="preserve"> </w:t>
      </w:r>
      <w:r>
        <w:t>is</w:t>
      </w:r>
      <w:r>
        <w:rPr>
          <w:spacing w:val="-2"/>
        </w:rPr>
        <w:t xml:space="preserve"> </w:t>
      </w:r>
      <w:r>
        <w:t>a</w:t>
      </w:r>
      <w:r>
        <w:rPr>
          <w:spacing w:val="-2"/>
        </w:rPr>
        <w:t xml:space="preserve"> </w:t>
      </w:r>
      <w:r>
        <w:t>particularly poor match for cl</w:t>
      </w:r>
      <w:r>
        <w:t>ients who are angry or reactive to counselor direction (Beutler et al., 2011). Positive treatment outcomes, including decreased substance use, abstinence, and increased treatment retention, are associated with high levels of counselor empathy, good interpe</w:t>
      </w:r>
      <w:r>
        <w:t>rsonal skills, and a strong therapeutic alliance (Miller &amp; Moyers, 2015; Moyers &amp; Miller, 2013).</w:t>
      </w:r>
    </w:p>
    <w:p w14:paraId="7F486290" w14:textId="77777777" w:rsidR="00DB6E1F" w:rsidRDefault="00DB6E1F">
      <w:pPr>
        <w:pStyle w:val="BodyText"/>
        <w:spacing w:before="6"/>
        <w:rPr>
          <w:sz w:val="16"/>
        </w:rPr>
      </w:pPr>
    </w:p>
    <w:p w14:paraId="16FA376F" w14:textId="77777777" w:rsidR="00DB6E1F" w:rsidRDefault="00F666A6">
      <w:pPr>
        <w:pStyle w:val="Heading4"/>
      </w:pPr>
      <w:bookmarkStart w:id="42" w:name="Focus_on_early_and_brief_interventions"/>
      <w:bookmarkEnd w:id="42"/>
      <w:r>
        <w:t>Focus</w:t>
      </w:r>
      <w:r>
        <w:rPr>
          <w:spacing w:val="-6"/>
        </w:rPr>
        <w:t xml:space="preserve"> </w:t>
      </w:r>
      <w:r>
        <w:t>on</w:t>
      </w:r>
      <w:r>
        <w:rPr>
          <w:spacing w:val="-3"/>
        </w:rPr>
        <w:t xml:space="preserve"> </w:t>
      </w:r>
      <w:r>
        <w:t>early</w:t>
      </w:r>
      <w:r>
        <w:rPr>
          <w:spacing w:val="-5"/>
        </w:rPr>
        <w:t xml:space="preserve"> </w:t>
      </w:r>
      <w:r>
        <w:t>and</w:t>
      </w:r>
      <w:r>
        <w:rPr>
          <w:spacing w:val="-7"/>
        </w:rPr>
        <w:t xml:space="preserve"> </w:t>
      </w:r>
      <w:r>
        <w:t>brief</w:t>
      </w:r>
      <w:r>
        <w:rPr>
          <w:spacing w:val="-6"/>
        </w:rPr>
        <w:t xml:space="preserve"> </w:t>
      </w:r>
      <w:r>
        <w:rPr>
          <w:spacing w:val="-2"/>
        </w:rPr>
        <w:t>interventions</w:t>
      </w:r>
    </w:p>
    <w:p w14:paraId="182D6063" w14:textId="77777777" w:rsidR="00DB6E1F" w:rsidRDefault="00F666A6">
      <w:pPr>
        <w:pStyle w:val="BodyText"/>
        <w:spacing w:before="83"/>
        <w:ind w:left="1439" w:right="1444"/>
      </w:pPr>
      <w:r>
        <w:t>In the past, addiction treatment consisted of detoxification, inpatient rehabilitation, long-term rehabilitation</w:t>
      </w:r>
      <w:r>
        <w:rPr>
          <w:spacing w:val="-3"/>
        </w:rPr>
        <w:t xml:space="preserve"> </w:t>
      </w:r>
      <w:r>
        <w:t>in</w:t>
      </w:r>
      <w:r>
        <w:rPr>
          <w:spacing w:val="-5"/>
        </w:rPr>
        <w:t xml:space="preserve"> </w:t>
      </w:r>
      <w:r>
        <w:t>residential</w:t>
      </w:r>
      <w:r>
        <w:rPr>
          <w:spacing w:val="-5"/>
        </w:rPr>
        <w:t xml:space="preserve"> </w:t>
      </w:r>
      <w:r>
        <w:t>settings,</w:t>
      </w:r>
      <w:r>
        <w:rPr>
          <w:spacing w:val="-4"/>
        </w:rPr>
        <w:t xml:space="preserve"> </w:t>
      </w:r>
      <w:r>
        <w:t>and</w:t>
      </w:r>
      <w:r>
        <w:rPr>
          <w:spacing w:val="-3"/>
        </w:rPr>
        <w:t xml:space="preserve"> </w:t>
      </w:r>
      <w:r>
        <w:t>aftercare.</w:t>
      </w:r>
      <w:r>
        <w:rPr>
          <w:spacing w:val="-4"/>
        </w:rPr>
        <w:t xml:space="preserve"> </w:t>
      </w:r>
      <w:r>
        <w:t>When</w:t>
      </w:r>
      <w:r>
        <w:rPr>
          <w:spacing w:val="-3"/>
        </w:rPr>
        <w:t xml:space="preserve"> </w:t>
      </w:r>
      <w:r>
        <w:t>care</w:t>
      </w:r>
      <w:r>
        <w:rPr>
          <w:spacing w:val="-4"/>
        </w:rPr>
        <w:t xml:space="preserve"> </w:t>
      </w:r>
      <w:r>
        <w:t>was</w:t>
      </w:r>
      <w:r>
        <w:rPr>
          <w:spacing w:val="-2"/>
        </w:rPr>
        <w:t xml:space="preserve"> </w:t>
      </w:r>
      <w:r>
        <w:t>standardized,</w:t>
      </w:r>
      <w:r>
        <w:rPr>
          <w:spacing w:val="-4"/>
        </w:rPr>
        <w:t xml:space="preserve"> </w:t>
      </w:r>
      <w:r>
        <w:t>most</w:t>
      </w:r>
      <w:r>
        <w:rPr>
          <w:spacing w:val="-1"/>
        </w:rPr>
        <w:t xml:space="preserve"> </w:t>
      </w:r>
      <w:r>
        <w:t>programs</w:t>
      </w:r>
      <w:r>
        <w:rPr>
          <w:spacing w:val="-2"/>
        </w:rPr>
        <w:t xml:space="preserve"> </w:t>
      </w:r>
      <w:r>
        <w:t>had</w:t>
      </w:r>
      <w:r>
        <w:rPr>
          <w:spacing w:val="-3"/>
        </w:rPr>
        <w:t xml:space="preserve"> </w:t>
      </w:r>
      <w:r>
        <w:t xml:space="preserve">not only a routine protocol of services but also a fixed </w:t>
      </w:r>
      <w:r>
        <w:t>length of stay. Twenty-eight days was considered the proper length of time for successful inpatient (usually hospital-based) care in the popular Minnesota model of SUD treatment. Residential facilities and outpatient clinics also had standard courses of tr</w:t>
      </w:r>
      <w:r>
        <w:t>eatment. These services were geared to clients with chronic, severe SUDs. Addiction treatment was viewed as a discrete event instead of a range of services over a continuum of care as the treatment provided for other chronic diseases like heart disease (Mi</w:t>
      </w:r>
      <w:r>
        <w:t>ller, Forehimes, &amp; Zweben, 2011).</w:t>
      </w:r>
    </w:p>
    <w:p w14:paraId="1FD77F3F" w14:textId="77777777" w:rsidR="00DB6E1F" w:rsidRDefault="00F666A6">
      <w:pPr>
        <w:pStyle w:val="BodyText"/>
        <w:spacing w:before="160"/>
        <w:ind w:left="1438" w:right="1491"/>
      </w:pPr>
      <w:r>
        <w:t xml:space="preserve">Recently, with the shift to a continuum of care model, </w:t>
      </w:r>
      <w:r>
        <w:rPr>
          <w:b/>
        </w:rPr>
        <w:t xml:space="preserve">a variety of treatment programs have been established to intervene earlier </w:t>
      </w:r>
      <w:r>
        <w:t>with those whose drinking or drug use is causing social, financial, or legal problems or inc</w:t>
      </w:r>
      <w:r>
        <w:t>reases their risk of health-related harms. These early intervention efforts range from educational programs (e.g., sentencing review or reduction for people apprehended for driving while</w:t>
      </w:r>
      <w:r>
        <w:rPr>
          <w:spacing w:val="-1"/>
        </w:rPr>
        <w:t xml:space="preserve"> </w:t>
      </w:r>
      <w:r>
        <w:t>intoxicated</w:t>
      </w:r>
      <w:r>
        <w:rPr>
          <w:spacing w:val="-3"/>
        </w:rPr>
        <w:t xml:space="preserve"> </w:t>
      </w:r>
      <w:r>
        <w:t>who</w:t>
      </w:r>
      <w:r>
        <w:rPr>
          <w:spacing w:val="-1"/>
        </w:rPr>
        <w:t xml:space="preserve"> </w:t>
      </w:r>
      <w:r>
        <w:t>participate</w:t>
      </w:r>
      <w:r>
        <w:rPr>
          <w:spacing w:val="-1"/>
        </w:rPr>
        <w:t xml:space="preserve"> </w:t>
      </w:r>
      <w:r>
        <w:t>in</w:t>
      </w:r>
      <w:r>
        <w:rPr>
          <w:spacing w:val="-3"/>
        </w:rPr>
        <w:t xml:space="preserve"> </w:t>
      </w:r>
      <w:r>
        <w:t>such</w:t>
      </w:r>
      <w:r>
        <w:rPr>
          <w:spacing w:val="-3"/>
        </w:rPr>
        <w:t xml:space="preserve"> </w:t>
      </w:r>
      <w:r>
        <w:t>programs)</w:t>
      </w:r>
      <w:r>
        <w:rPr>
          <w:spacing w:val="-4"/>
        </w:rPr>
        <w:t xml:space="preserve"> </w:t>
      </w:r>
      <w:r>
        <w:t>to</w:t>
      </w:r>
      <w:r>
        <w:rPr>
          <w:spacing w:val="-3"/>
        </w:rPr>
        <w:t xml:space="preserve"> </w:t>
      </w:r>
      <w:r>
        <w:t>brief</w:t>
      </w:r>
      <w:r>
        <w:rPr>
          <w:spacing w:val="-2"/>
        </w:rPr>
        <w:t xml:space="preserve"> </w:t>
      </w:r>
      <w:r>
        <w:t>interventions</w:t>
      </w:r>
      <w:r>
        <w:rPr>
          <w:spacing w:val="-2"/>
        </w:rPr>
        <w:t xml:space="preserve"> </w:t>
      </w:r>
      <w:r>
        <w:t>in</w:t>
      </w:r>
      <w:r>
        <w:rPr>
          <w:spacing w:val="-5"/>
        </w:rPr>
        <w:t xml:space="preserve"> </w:t>
      </w:r>
      <w:r>
        <w:t>opportunistic</w:t>
      </w:r>
      <w:r>
        <w:rPr>
          <w:spacing w:val="-2"/>
        </w:rPr>
        <w:t xml:space="preserve"> </w:t>
      </w:r>
      <w:r>
        <w:t>settings</w:t>
      </w:r>
      <w:r>
        <w:rPr>
          <w:spacing w:val="-2"/>
        </w:rPr>
        <w:t xml:space="preserve"> </w:t>
      </w:r>
      <w:r>
        <w:t>such as general hospital units, emergency departments (EDs), clinics, and doctors’ offices that use motivational</w:t>
      </w:r>
      <w:r>
        <w:rPr>
          <w:spacing w:val="-1"/>
        </w:rPr>
        <w:t xml:space="preserve"> </w:t>
      </w:r>
      <w:r>
        <w:t>strategies</w:t>
      </w:r>
      <w:r>
        <w:rPr>
          <w:spacing w:val="-1"/>
        </w:rPr>
        <w:t xml:space="preserve"> </w:t>
      </w:r>
      <w:r>
        <w:t>to</w:t>
      </w:r>
      <w:r>
        <w:rPr>
          <w:spacing w:val="-3"/>
        </w:rPr>
        <w:t xml:space="preserve"> </w:t>
      </w:r>
      <w:r>
        <w:t>offer personalized</w:t>
      </w:r>
      <w:r>
        <w:rPr>
          <w:spacing w:val="-2"/>
        </w:rPr>
        <w:t xml:space="preserve"> </w:t>
      </w:r>
      <w:r>
        <w:t>feedback, point</w:t>
      </w:r>
      <w:r>
        <w:rPr>
          <w:spacing w:val="-1"/>
        </w:rPr>
        <w:t xml:space="preserve"> </w:t>
      </w:r>
      <w:r>
        <w:t>out</w:t>
      </w:r>
      <w:r>
        <w:rPr>
          <w:spacing w:val="-1"/>
        </w:rPr>
        <w:t xml:space="preserve"> </w:t>
      </w:r>
      <w:r>
        <w:t>the risks</w:t>
      </w:r>
      <w:r>
        <w:rPr>
          <w:spacing w:val="-1"/>
        </w:rPr>
        <w:t xml:space="preserve"> </w:t>
      </w:r>
      <w:r>
        <w:t>of substance use and</w:t>
      </w:r>
      <w:r>
        <w:rPr>
          <w:spacing w:val="-2"/>
        </w:rPr>
        <w:t xml:space="preserve"> </w:t>
      </w:r>
      <w:r>
        <w:t xml:space="preserve">misuse, suggest behavior change, </w:t>
      </w:r>
      <w:r>
        <w:t>and make referrals to formal treatment programs when necessary.</w:t>
      </w:r>
    </w:p>
    <w:p w14:paraId="29396017" w14:textId="77777777" w:rsidR="00DB6E1F" w:rsidRDefault="00F666A6">
      <w:pPr>
        <w:pStyle w:val="BodyText"/>
        <w:spacing w:before="160"/>
        <w:ind w:left="1438" w:right="1507"/>
      </w:pPr>
      <w:r>
        <w:t>Early</w:t>
      </w:r>
      <w:r>
        <w:rPr>
          <w:spacing w:val="-2"/>
        </w:rPr>
        <w:t xml:space="preserve"> </w:t>
      </w:r>
      <w:r>
        <w:t>and</w:t>
      </w:r>
      <w:r>
        <w:rPr>
          <w:spacing w:val="-4"/>
        </w:rPr>
        <w:t xml:space="preserve"> </w:t>
      </w:r>
      <w:r>
        <w:t>brief</w:t>
      </w:r>
      <w:r>
        <w:rPr>
          <w:spacing w:val="-5"/>
        </w:rPr>
        <w:t xml:space="preserve"> </w:t>
      </w:r>
      <w:r>
        <w:t>interventions</w:t>
      </w:r>
      <w:r>
        <w:rPr>
          <w:spacing w:val="-3"/>
        </w:rPr>
        <w:t xml:space="preserve"> </w:t>
      </w:r>
      <w:r>
        <w:t>demonstrate</w:t>
      </w:r>
      <w:r>
        <w:rPr>
          <w:spacing w:val="-2"/>
        </w:rPr>
        <w:t xml:space="preserve"> </w:t>
      </w:r>
      <w:r>
        <w:t>positive</w:t>
      </w:r>
      <w:r>
        <w:rPr>
          <w:spacing w:val="-5"/>
        </w:rPr>
        <w:t xml:space="preserve"> </w:t>
      </w:r>
      <w:r>
        <w:t>outcomes</w:t>
      </w:r>
      <w:r>
        <w:rPr>
          <w:spacing w:val="-5"/>
        </w:rPr>
        <w:t xml:space="preserve"> </w:t>
      </w:r>
      <w:r>
        <w:t>such</w:t>
      </w:r>
      <w:r>
        <w:rPr>
          <w:spacing w:val="-4"/>
        </w:rPr>
        <w:t xml:space="preserve"> </w:t>
      </w:r>
      <w:r>
        <w:t>as</w:t>
      </w:r>
      <w:r>
        <w:rPr>
          <w:spacing w:val="-3"/>
        </w:rPr>
        <w:t xml:space="preserve"> </w:t>
      </w:r>
      <w:r>
        <w:t>reductions</w:t>
      </w:r>
      <w:r>
        <w:rPr>
          <w:spacing w:val="-3"/>
        </w:rPr>
        <w:t xml:space="preserve"> </w:t>
      </w:r>
      <w:r>
        <w:t>in</w:t>
      </w:r>
      <w:r>
        <w:rPr>
          <w:spacing w:val="-4"/>
        </w:rPr>
        <w:t xml:space="preserve"> </w:t>
      </w:r>
      <w:r>
        <w:t>alcohol</w:t>
      </w:r>
      <w:r>
        <w:rPr>
          <w:spacing w:val="-3"/>
        </w:rPr>
        <w:t xml:space="preserve"> </w:t>
      </w:r>
      <w:r>
        <w:t>consumption and drug use, reductions in alcohol misuse, decreases in tobacco and cannabis use, lower mortality rates, reductions in alcohol-related injuries, and decreases in ED return visits (Barata et al., 2017; Blow et al., 2017; DiClemente et al., 2017</w:t>
      </w:r>
      <w:r>
        <w:t>; McQueen, Howe, Allan, Mains, &amp; Hardy, 2011).</w:t>
      </w:r>
    </w:p>
    <w:p w14:paraId="192821C8" w14:textId="77777777" w:rsidR="00DB6E1F" w:rsidRDefault="00DB6E1F">
      <w:pPr>
        <w:pStyle w:val="BodyText"/>
        <w:spacing w:before="6"/>
        <w:rPr>
          <w:sz w:val="16"/>
        </w:rPr>
      </w:pPr>
    </w:p>
    <w:p w14:paraId="33A4BDD0" w14:textId="77777777" w:rsidR="00DB6E1F" w:rsidRDefault="00F666A6">
      <w:pPr>
        <w:pStyle w:val="Heading4"/>
      </w:pPr>
      <w:bookmarkStart w:id="43" w:name="Recognition_of_a_continuum_of_substance_"/>
      <w:bookmarkEnd w:id="43"/>
      <w:r>
        <w:t>Recognition</w:t>
      </w:r>
      <w:r>
        <w:rPr>
          <w:spacing w:val="-7"/>
        </w:rPr>
        <w:t xml:space="preserve"> </w:t>
      </w:r>
      <w:r>
        <w:t>of</w:t>
      </w:r>
      <w:r>
        <w:rPr>
          <w:spacing w:val="-7"/>
        </w:rPr>
        <w:t xml:space="preserve"> </w:t>
      </w:r>
      <w:r>
        <w:t>a</w:t>
      </w:r>
      <w:r>
        <w:rPr>
          <w:spacing w:val="-7"/>
        </w:rPr>
        <w:t xml:space="preserve"> </w:t>
      </w:r>
      <w:r>
        <w:t>continuum</w:t>
      </w:r>
      <w:r>
        <w:rPr>
          <w:spacing w:val="-8"/>
        </w:rPr>
        <w:t xml:space="preserve"> </w:t>
      </w:r>
      <w:r>
        <w:t>of</w:t>
      </w:r>
      <w:r>
        <w:rPr>
          <w:spacing w:val="-7"/>
        </w:rPr>
        <w:t xml:space="preserve"> </w:t>
      </w:r>
      <w:r>
        <w:t>substance</w:t>
      </w:r>
      <w:r>
        <w:rPr>
          <w:spacing w:val="-7"/>
        </w:rPr>
        <w:t xml:space="preserve"> </w:t>
      </w:r>
      <w:r>
        <w:rPr>
          <w:spacing w:val="-2"/>
        </w:rPr>
        <w:t>misuse</w:t>
      </w:r>
    </w:p>
    <w:p w14:paraId="5212AB54" w14:textId="77777777" w:rsidR="00DB6E1F" w:rsidRDefault="00F666A6">
      <w:pPr>
        <w:pStyle w:val="BodyText"/>
        <w:spacing w:before="83"/>
        <w:ind w:left="1439" w:right="1444"/>
      </w:pPr>
      <w:r>
        <w:t>Formerly, substance misuse was viewed as a progressive condition that, if left untreated, would inevitably lead to full-blown dependence and, likely, early death</w:t>
      </w:r>
      <w:r>
        <w:t xml:space="preserve">. Today, the addiction treatment field recognizes that </w:t>
      </w:r>
      <w:r>
        <w:rPr>
          <w:b/>
        </w:rPr>
        <w:t xml:space="preserve">substance misuse exists along a continuum </w:t>
      </w:r>
      <w:r>
        <w:t>from misuse to an SUD that meets the diagnostic criteria in DSM-5 (APA, 2013). Not all SUDs increase in severity. Many individuals never progress</w:t>
      </w:r>
      <w:r>
        <w:rPr>
          <w:spacing w:val="-2"/>
        </w:rPr>
        <w:t xml:space="preserve"> </w:t>
      </w:r>
      <w:r>
        <w:t>beyond</w:t>
      </w:r>
      <w:r>
        <w:rPr>
          <w:spacing w:val="-2"/>
        </w:rPr>
        <w:t xml:space="preserve"> </w:t>
      </w:r>
      <w:r>
        <w:t>substa</w:t>
      </w:r>
      <w:r>
        <w:t>nce</w:t>
      </w:r>
      <w:r>
        <w:rPr>
          <w:spacing w:val="-4"/>
        </w:rPr>
        <w:t xml:space="preserve"> </w:t>
      </w:r>
      <w:r>
        <w:t>use</w:t>
      </w:r>
      <w:r>
        <w:rPr>
          <w:spacing w:val="-1"/>
        </w:rPr>
        <w:t xml:space="preserve"> </w:t>
      </w:r>
      <w:r>
        <w:t>that</w:t>
      </w:r>
      <w:r>
        <w:rPr>
          <w:spacing w:val="-4"/>
        </w:rPr>
        <w:t xml:space="preserve"> </w:t>
      </w:r>
      <w:r>
        <w:t>poses</w:t>
      </w:r>
      <w:r>
        <w:rPr>
          <w:spacing w:val="-2"/>
        </w:rPr>
        <w:t xml:space="preserve"> </w:t>
      </w:r>
      <w:r>
        <w:t>a</w:t>
      </w:r>
      <w:r>
        <w:rPr>
          <w:spacing w:val="-4"/>
        </w:rPr>
        <w:t xml:space="preserve"> </w:t>
      </w:r>
      <w:r>
        <w:t>health</w:t>
      </w:r>
      <w:r>
        <w:rPr>
          <w:spacing w:val="-3"/>
        </w:rPr>
        <w:t xml:space="preserve"> </w:t>
      </w:r>
      <w:r>
        <w:t>risk,</w:t>
      </w:r>
      <w:r>
        <w:rPr>
          <w:spacing w:val="-2"/>
        </w:rPr>
        <w:t xml:space="preserve"> </w:t>
      </w:r>
      <w:r>
        <w:t>and</w:t>
      </w:r>
      <w:r>
        <w:rPr>
          <w:spacing w:val="-3"/>
        </w:rPr>
        <w:t xml:space="preserve"> </w:t>
      </w:r>
      <w:r>
        <w:t>others</w:t>
      </w:r>
      <w:r>
        <w:rPr>
          <w:spacing w:val="-4"/>
        </w:rPr>
        <w:t xml:space="preserve"> </w:t>
      </w:r>
      <w:r>
        <w:t>cycle</w:t>
      </w:r>
      <w:r>
        <w:rPr>
          <w:spacing w:val="-1"/>
        </w:rPr>
        <w:t xml:space="preserve"> </w:t>
      </w:r>
      <w:r>
        <w:t>back</w:t>
      </w:r>
      <w:r>
        <w:rPr>
          <w:spacing w:val="-4"/>
        </w:rPr>
        <w:t xml:space="preserve"> </w:t>
      </w:r>
      <w:r>
        <w:t>and</w:t>
      </w:r>
      <w:r>
        <w:rPr>
          <w:spacing w:val="-3"/>
        </w:rPr>
        <w:t xml:space="preserve"> </w:t>
      </w:r>
      <w:r>
        <w:t>forth</w:t>
      </w:r>
      <w:r>
        <w:rPr>
          <w:spacing w:val="-5"/>
        </w:rPr>
        <w:t xml:space="preserve"> </w:t>
      </w:r>
      <w:r>
        <w:t>through</w:t>
      </w:r>
      <w:r>
        <w:rPr>
          <w:spacing w:val="-3"/>
        </w:rPr>
        <w:t xml:space="preserve"> </w:t>
      </w:r>
      <w:r>
        <w:t>periods of abstinence, substance misuse, and meeting criteria for SUD.</w:t>
      </w:r>
    </w:p>
    <w:p w14:paraId="31439C65" w14:textId="77777777" w:rsidR="00DB6E1F" w:rsidRDefault="00F666A6">
      <w:pPr>
        <w:pStyle w:val="BodyText"/>
        <w:spacing w:before="160"/>
        <w:ind w:left="1438" w:right="1444"/>
      </w:pPr>
      <w:r>
        <w:rPr>
          <w:b/>
        </w:rPr>
        <w:t xml:space="preserve">Recovery from SUDs is seen as a multidimensional process along a continuum </w:t>
      </w:r>
      <w:r>
        <w:t>(Office of the Surgeon General, 2016</w:t>
      </w:r>
      <w:r>
        <w:t>) that differs among people and changes over time within the individual. Motivational strategies</w:t>
      </w:r>
      <w:r>
        <w:rPr>
          <w:spacing w:val="-2"/>
        </w:rPr>
        <w:t xml:space="preserve"> </w:t>
      </w:r>
      <w:r>
        <w:t>can</w:t>
      </w:r>
      <w:r>
        <w:rPr>
          <w:spacing w:val="-3"/>
        </w:rPr>
        <w:t xml:space="preserve"> </w:t>
      </w:r>
      <w:r>
        <w:t>be</w:t>
      </w:r>
      <w:r>
        <w:rPr>
          <w:spacing w:val="-1"/>
        </w:rPr>
        <w:t xml:space="preserve"> </w:t>
      </w:r>
      <w:r>
        <w:t>effectively</w:t>
      </w:r>
      <w:r>
        <w:rPr>
          <w:spacing w:val="-1"/>
        </w:rPr>
        <w:t xml:space="preserve"> </w:t>
      </w:r>
      <w:r>
        <w:t>applied</w:t>
      </w:r>
      <w:r>
        <w:rPr>
          <w:spacing w:val="-3"/>
        </w:rPr>
        <w:t xml:space="preserve"> </w:t>
      </w:r>
      <w:r>
        <w:t>to</w:t>
      </w:r>
      <w:r>
        <w:rPr>
          <w:spacing w:val="-1"/>
        </w:rPr>
        <w:t xml:space="preserve"> </w:t>
      </w:r>
      <w:r>
        <w:t>a</w:t>
      </w:r>
      <w:r>
        <w:rPr>
          <w:spacing w:val="-4"/>
        </w:rPr>
        <w:t xml:space="preserve"> </w:t>
      </w:r>
      <w:r>
        <w:t>person</w:t>
      </w:r>
      <w:r>
        <w:rPr>
          <w:spacing w:val="-2"/>
        </w:rPr>
        <w:t xml:space="preserve"> </w:t>
      </w:r>
      <w:r>
        <w:t>throughout</w:t>
      </w:r>
      <w:r>
        <w:rPr>
          <w:spacing w:val="-1"/>
        </w:rPr>
        <w:t xml:space="preserve"> </w:t>
      </w:r>
      <w:r>
        <w:t>the</w:t>
      </w:r>
      <w:r>
        <w:rPr>
          <w:spacing w:val="-4"/>
        </w:rPr>
        <w:t xml:space="preserve"> </w:t>
      </w:r>
      <w:r>
        <w:t>addiction</w:t>
      </w:r>
      <w:r>
        <w:rPr>
          <w:spacing w:val="-5"/>
        </w:rPr>
        <w:t xml:space="preserve"> </w:t>
      </w:r>
      <w:r>
        <w:t>process.</w:t>
      </w:r>
      <w:r>
        <w:rPr>
          <w:spacing w:val="-3"/>
        </w:rPr>
        <w:t xml:space="preserve"> </w:t>
      </w:r>
      <w:r>
        <w:t>The</w:t>
      </w:r>
      <w:r>
        <w:rPr>
          <w:spacing w:val="-1"/>
        </w:rPr>
        <w:t xml:space="preserve"> </w:t>
      </w:r>
      <w:r>
        <w:t>crucial</w:t>
      </w:r>
      <w:r>
        <w:rPr>
          <w:spacing w:val="-5"/>
        </w:rPr>
        <w:t xml:space="preserve"> </w:t>
      </w:r>
      <w:r>
        <w:t>variable</w:t>
      </w:r>
      <w:r>
        <w:rPr>
          <w:spacing w:val="-1"/>
        </w:rPr>
        <w:t xml:space="preserve"> </w:t>
      </w:r>
      <w:r>
        <w:t>is not the severity of the substance use pattern but the client’s readiness for change.</w:t>
      </w:r>
    </w:p>
    <w:p w14:paraId="09D3913B" w14:textId="77777777" w:rsidR="00DB6E1F" w:rsidRDefault="00DB6E1F">
      <w:pPr>
        <w:pStyle w:val="BodyText"/>
        <w:spacing w:before="8"/>
        <w:rPr>
          <w:sz w:val="16"/>
        </w:rPr>
      </w:pPr>
    </w:p>
    <w:p w14:paraId="1477434D" w14:textId="77777777" w:rsidR="00DB6E1F" w:rsidRDefault="00F666A6">
      <w:pPr>
        <w:pStyle w:val="Heading4"/>
      </w:pPr>
      <w:bookmarkStart w:id="44" w:name="Recognition_of_multiple_SUDs"/>
      <w:bookmarkEnd w:id="44"/>
      <w:r>
        <w:t>Recognition</w:t>
      </w:r>
      <w:r>
        <w:rPr>
          <w:spacing w:val="-8"/>
        </w:rPr>
        <w:t xml:space="preserve"> </w:t>
      </w:r>
      <w:r>
        <w:t>of</w:t>
      </w:r>
      <w:r>
        <w:rPr>
          <w:spacing w:val="-9"/>
        </w:rPr>
        <w:t xml:space="preserve"> </w:t>
      </w:r>
      <w:r>
        <w:t>multiple</w:t>
      </w:r>
      <w:r>
        <w:rPr>
          <w:spacing w:val="-10"/>
        </w:rPr>
        <w:t xml:space="preserve"> </w:t>
      </w:r>
      <w:r>
        <w:rPr>
          <w:spacing w:val="-4"/>
        </w:rPr>
        <w:t>SUDs</w:t>
      </w:r>
    </w:p>
    <w:p w14:paraId="3E5DA3A9" w14:textId="77777777" w:rsidR="00DB6E1F" w:rsidRDefault="00DB6E1F">
      <w:pPr>
        <w:sectPr w:rsidR="00DB6E1F">
          <w:pgSz w:w="12240" w:h="15840"/>
          <w:pgMar w:top="1200" w:right="0" w:bottom="780" w:left="0" w:header="763" w:footer="585" w:gutter="0"/>
          <w:cols w:space="720"/>
        </w:sectPr>
      </w:pPr>
    </w:p>
    <w:p w14:paraId="295C5733" w14:textId="77777777" w:rsidR="00DB6E1F" w:rsidRDefault="00DB6E1F">
      <w:pPr>
        <w:pStyle w:val="BodyText"/>
        <w:spacing w:before="8"/>
        <w:rPr>
          <w:b/>
          <w:i/>
          <w:sz w:val="14"/>
        </w:rPr>
      </w:pPr>
    </w:p>
    <w:p w14:paraId="5689F9F8" w14:textId="77777777" w:rsidR="00DB6E1F" w:rsidRDefault="00F666A6">
      <w:pPr>
        <w:pStyle w:val="BodyText"/>
        <w:spacing w:before="56"/>
        <w:ind w:left="1439" w:right="1507"/>
      </w:pPr>
      <w:r>
        <w:t>Counselors</w:t>
      </w:r>
      <w:r>
        <w:rPr>
          <w:spacing w:val="-2"/>
        </w:rPr>
        <w:t xml:space="preserve"> </w:t>
      </w:r>
      <w:r>
        <w:t>have</w:t>
      </w:r>
      <w:r>
        <w:rPr>
          <w:spacing w:val="-1"/>
        </w:rPr>
        <w:t xml:space="preserve"> </w:t>
      </w:r>
      <w:r>
        <w:t>come</w:t>
      </w:r>
      <w:r>
        <w:rPr>
          <w:spacing w:val="-4"/>
        </w:rPr>
        <w:t xml:space="preserve"> </w:t>
      </w:r>
      <w:r>
        <w:t>to</w:t>
      </w:r>
      <w:r>
        <w:rPr>
          <w:spacing w:val="-1"/>
        </w:rPr>
        <w:t xml:space="preserve"> </w:t>
      </w:r>
      <w:r>
        <w:t>recognize</w:t>
      </w:r>
      <w:r>
        <w:rPr>
          <w:spacing w:val="-2"/>
        </w:rPr>
        <w:t xml:space="preserve"> </w:t>
      </w:r>
      <w:r>
        <w:t>not</w:t>
      </w:r>
      <w:r>
        <w:rPr>
          <w:spacing w:val="-4"/>
        </w:rPr>
        <w:t xml:space="preserve"> </w:t>
      </w:r>
      <w:r>
        <w:t>only</w:t>
      </w:r>
      <w:r>
        <w:rPr>
          <w:spacing w:val="-3"/>
        </w:rPr>
        <w:t xml:space="preserve"> </w:t>
      </w:r>
      <w:r>
        <w:t>that</w:t>
      </w:r>
      <w:r>
        <w:rPr>
          <w:spacing w:val="-1"/>
        </w:rPr>
        <w:t xml:space="preserve"> </w:t>
      </w:r>
      <w:r>
        <w:t>SUDs</w:t>
      </w:r>
      <w:r>
        <w:rPr>
          <w:spacing w:val="-1"/>
        </w:rPr>
        <w:t xml:space="preserve"> </w:t>
      </w:r>
      <w:r>
        <w:t>vary</w:t>
      </w:r>
      <w:r>
        <w:rPr>
          <w:spacing w:val="-1"/>
        </w:rPr>
        <w:t xml:space="preserve"> </w:t>
      </w:r>
      <w:r>
        <w:t>in</w:t>
      </w:r>
      <w:r>
        <w:rPr>
          <w:spacing w:val="-3"/>
        </w:rPr>
        <w:t xml:space="preserve"> </w:t>
      </w:r>
      <w:r>
        <w:t>intensity</w:t>
      </w:r>
      <w:r>
        <w:rPr>
          <w:spacing w:val="-1"/>
        </w:rPr>
        <w:t xml:space="preserve"> </w:t>
      </w:r>
      <w:r>
        <w:t>but</w:t>
      </w:r>
      <w:r>
        <w:rPr>
          <w:spacing w:val="-4"/>
        </w:rPr>
        <w:t xml:space="preserve"> </w:t>
      </w:r>
      <w:r>
        <w:t>also</w:t>
      </w:r>
      <w:r>
        <w:rPr>
          <w:spacing w:val="-1"/>
        </w:rPr>
        <w:t xml:space="preserve"> </w:t>
      </w:r>
      <w:r>
        <w:t>that</w:t>
      </w:r>
      <w:r>
        <w:rPr>
          <w:spacing w:val="-1"/>
        </w:rPr>
        <w:t xml:space="preserve"> </w:t>
      </w:r>
      <w:r>
        <w:rPr>
          <w:b/>
        </w:rPr>
        <w:t>most</w:t>
      </w:r>
      <w:r>
        <w:rPr>
          <w:b/>
          <w:spacing w:val="-4"/>
        </w:rPr>
        <w:t xml:space="preserve"> </w:t>
      </w:r>
      <w:r>
        <w:rPr>
          <w:b/>
        </w:rPr>
        <w:t>involve</w:t>
      </w:r>
      <w:r>
        <w:rPr>
          <w:b/>
          <w:spacing w:val="-5"/>
        </w:rPr>
        <w:t xml:space="preserve"> </w:t>
      </w:r>
      <w:r>
        <w:rPr>
          <w:b/>
        </w:rPr>
        <w:t xml:space="preserve">more than one substance. </w:t>
      </w:r>
      <w:r>
        <w:t>Formerly, alcohol and drug treatment programs were completely separated by ideology and policy, even though most individuals with SUDs also drink heavily and many people who misuse alcohol also experiment with other substances, including prescribed medicat</w:t>
      </w:r>
      <w:r>
        <w:t>ions that can be substituted for alcohol or that alleviate withdrawal symptoms. Although many treatment programs specialize in serving particular types of clients for whom their treatment approaches are appropriate (e.g., methadone maintenance programs for</w:t>
      </w:r>
      <w:r>
        <w:t xml:space="preserve"> clients with opioid use disorder [OUD]), most now also treat other SUDs, substance use, and psychological problems or at least identify these and make referrals as necessary. Some evidence shows that motivational counseling approaches (including individua</w:t>
      </w:r>
      <w:r>
        <w:t>l and group MI and brief interventions) demonstrate positive outcomes for clients who misuse alcohol and other substances (Klimas et al., 2014). Motivational counseling approaches with this client population should involve engaging clients and prioritizing</w:t>
      </w:r>
      <w:r>
        <w:t xml:space="preserve"> their change goals.</w:t>
      </w:r>
    </w:p>
    <w:p w14:paraId="06479303" w14:textId="77777777" w:rsidR="00DB6E1F" w:rsidRDefault="00DB6E1F">
      <w:pPr>
        <w:pStyle w:val="BodyText"/>
        <w:spacing w:before="4"/>
        <w:rPr>
          <w:sz w:val="16"/>
        </w:rPr>
      </w:pPr>
    </w:p>
    <w:p w14:paraId="02DF8D7F" w14:textId="77777777" w:rsidR="00DB6E1F" w:rsidRDefault="00F666A6">
      <w:pPr>
        <w:pStyle w:val="Heading4"/>
        <w:spacing w:before="1"/>
      </w:pPr>
      <w:bookmarkStart w:id="45" w:name="Acceptance_of_new_treatment_goals"/>
      <w:bookmarkEnd w:id="45"/>
      <w:r>
        <w:t>Acceptance</w:t>
      </w:r>
      <w:r>
        <w:rPr>
          <w:spacing w:val="-8"/>
        </w:rPr>
        <w:t xml:space="preserve"> </w:t>
      </w:r>
      <w:r>
        <w:t>of</w:t>
      </w:r>
      <w:r>
        <w:rPr>
          <w:spacing w:val="-9"/>
        </w:rPr>
        <w:t xml:space="preserve"> </w:t>
      </w:r>
      <w:r>
        <w:t>new</w:t>
      </w:r>
      <w:r>
        <w:rPr>
          <w:spacing w:val="-8"/>
        </w:rPr>
        <w:t xml:space="preserve"> </w:t>
      </w:r>
      <w:r>
        <w:t>treatment</w:t>
      </w:r>
      <w:r>
        <w:rPr>
          <w:spacing w:val="-11"/>
        </w:rPr>
        <w:t xml:space="preserve"> </w:t>
      </w:r>
      <w:r>
        <w:rPr>
          <w:spacing w:val="-4"/>
        </w:rPr>
        <w:t>goals</w:t>
      </w:r>
    </w:p>
    <w:p w14:paraId="5543E57A" w14:textId="77777777" w:rsidR="00DB6E1F" w:rsidRDefault="00F666A6">
      <w:pPr>
        <w:pStyle w:val="BodyText"/>
        <w:spacing w:before="85"/>
        <w:ind w:left="1439" w:right="1571"/>
        <w:rPr>
          <w:i/>
        </w:rPr>
      </w:pPr>
      <w:r>
        <w:t>In the past, addiction treatment, at least for clients having trouble with alcohol, was considered successful</w:t>
      </w:r>
      <w:r>
        <w:rPr>
          <w:spacing w:val="-5"/>
        </w:rPr>
        <w:t xml:space="preserve"> </w:t>
      </w:r>
      <w:r>
        <w:t>only</w:t>
      </w:r>
      <w:r>
        <w:rPr>
          <w:spacing w:val="-1"/>
        </w:rPr>
        <w:t xml:space="preserve"> </w:t>
      </w:r>
      <w:r>
        <w:t>if</w:t>
      </w:r>
      <w:r>
        <w:rPr>
          <w:spacing w:val="-4"/>
        </w:rPr>
        <w:t xml:space="preserve"> </w:t>
      </w:r>
      <w:r>
        <w:t>the</w:t>
      </w:r>
      <w:r>
        <w:rPr>
          <w:spacing w:val="-4"/>
        </w:rPr>
        <w:t xml:space="preserve"> </w:t>
      </w:r>
      <w:r>
        <w:t>client</w:t>
      </w:r>
      <w:r>
        <w:rPr>
          <w:spacing w:val="-4"/>
        </w:rPr>
        <w:t xml:space="preserve"> </w:t>
      </w:r>
      <w:r>
        <w:t>became</w:t>
      </w:r>
      <w:r>
        <w:rPr>
          <w:spacing w:val="-1"/>
        </w:rPr>
        <w:t xml:space="preserve"> </w:t>
      </w:r>
      <w:r>
        <w:t>abstinent</w:t>
      </w:r>
      <w:r>
        <w:rPr>
          <w:spacing w:val="-1"/>
        </w:rPr>
        <w:t xml:space="preserve"> </w:t>
      </w:r>
      <w:r>
        <w:t>and</w:t>
      </w:r>
      <w:r>
        <w:rPr>
          <w:spacing w:val="-3"/>
        </w:rPr>
        <w:t xml:space="preserve"> </w:t>
      </w:r>
      <w:r>
        <w:t>never</w:t>
      </w:r>
      <w:r>
        <w:rPr>
          <w:spacing w:val="-2"/>
        </w:rPr>
        <w:t xml:space="preserve"> </w:t>
      </w:r>
      <w:r>
        <w:t>returned</w:t>
      </w:r>
      <w:r>
        <w:rPr>
          <w:spacing w:val="-3"/>
        </w:rPr>
        <w:t xml:space="preserve"> </w:t>
      </w:r>
      <w:r>
        <w:t>to</w:t>
      </w:r>
      <w:r>
        <w:rPr>
          <w:spacing w:val="-1"/>
        </w:rPr>
        <w:t xml:space="preserve"> </w:t>
      </w:r>
      <w:r>
        <w:t>substance</w:t>
      </w:r>
      <w:r>
        <w:rPr>
          <w:spacing w:val="-1"/>
        </w:rPr>
        <w:t xml:space="preserve"> </w:t>
      </w:r>
      <w:r>
        <w:t>use</w:t>
      </w:r>
      <w:r>
        <w:rPr>
          <w:spacing w:val="-2"/>
        </w:rPr>
        <w:t xml:space="preserve"> </w:t>
      </w:r>
      <w:r>
        <w:t>following</w:t>
      </w:r>
      <w:r>
        <w:rPr>
          <w:spacing w:val="-3"/>
        </w:rPr>
        <w:t xml:space="preserve"> </w:t>
      </w:r>
      <w:r>
        <w:t>discharge. The focus</w:t>
      </w:r>
      <w:r>
        <w:rPr>
          <w:spacing w:val="-3"/>
        </w:rPr>
        <w:t xml:space="preserve"> </w:t>
      </w:r>
      <w:r>
        <w:t>of</w:t>
      </w:r>
      <w:r>
        <w:rPr>
          <w:spacing w:val="-1"/>
        </w:rPr>
        <w:t xml:space="preserve"> </w:t>
      </w:r>
      <w:r>
        <w:t>treatment</w:t>
      </w:r>
      <w:r>
        <w:rPr>
          <w:spacing w:val="-3"/>
        </w:rPr>
        <w:t xml:space="preserve"> </w:t>
      </w:r>
      <w:r>
        <w:t>was</w:t>
      </w:r>
      <w:r>
        <w:rPr>
          <w:spacing w:val="-3"/>
        </w:rPr>
        <w:t xml:space="preserve"> </w:t>
      </w:r>
      <w:r>
        <w:t>almost</w:t>
      </w:r>
      <w:r>
        <w:rPr>
          <w:spacing w:val="-3"/>
        </w:rPr>
        <w:t xml:space="preserve"> </w:t>
      </w:r>
      <w:r>
        <w:t>entirely to have</w:t>
      </w:r>
      <w:r>
        <w:rPr>
          <w:spacing w:val="-3"/>
        </w:rPr>
        <w:t xml:space="preserve"> </w:t>
      </w:r>
      <w:r>
        <w:t>the client</w:t>
      </w:r>
      <w:r>
        <w:rPr>
          <w:spacing w:val="-3"/>
        </w:rPr>
        <w:t xml:space="preserve"> </w:t>
      </w:r>
      <w:r>
        <w:t>stop</w:t>
      </w:r>
      <w:r>
        <w:rPr>
          <w:spacing w:val="-2"/>
        </w:rPr>
        <w:t xml:space="preserve"> </w:t>
      </w:r>
      <w:r>
        <w:t>using</w:t>
      </w:r>
      <w:r>
        <w:rPr>
          <w:spacing w:val="-2"/>
        </w:rPr>
        <w:t xml:space="preserve"> </w:t>
      </w:r>
      <w:r>
        <w:t>and</w:t>
      </w:r>
      <w:r>
        <w:rPr>
          <w:spacing w:val="-2"/>
        </w:rPr>
        <w:t xml:space="preserve"> </w:t>
      </w:r>
      <w:r>
        <w:t>to start understanding</w:t>
      </w:r>
      <w:r>
        <w:rPr>
          <w:spacing w:val="-2"/>
        </w:rPr>
        <w:t xml:space="preserve"> </w:t>
      </w:r>
      <w:r>
        <w:t xml:space="preserve">the nature of addiction. Today, </w:t>
      </w:r>
      <w:r>
        <w:rPr>
          <w:b/>
        </w:rPr>
        <w:t xml:space="preserve">treatment goals include a broad range of biopsychosocial measures, </w:t>
      </w:r>
      <w:r>
        <w:t>such as improved health and psychosocial funct</w:t>
      </w:r>
      <w:r>
        <w:t xml:space="preserve">ioning, improved employment stability, and reduction in crime. In addition, recent efforts have focused on trauma-informed care and treating co-occurring disorders in an integrated treatment setting, where client concerns are addressed simultaneously with </w:t>
      </w:r>
      <w:r>
        <w:t xml:space="preserve">SUDs. For more information on treating clients with trauma and co-occurring disorders, see TIP 57: </w:t>
      </w:r>
      <w:r>
        <w:rPr>
          <w:i/>
        </w:rPr>
        <w:t xml:space="preserve">Trauma-Informed Care in Behavioral Health Services </w:t>
      </w:r>
      <w:r>
        <w:t xml:space="preserve">(SAMHSA, 2014b) and TIP 42: </w:t>
      </w:r>
      <w:r>
        <w:rPr>
          <w:i/>
        </w:rPr>
        <w:t xml:space="preserve">Substance Abuse Treatment for Persons With Co-Occurring Disorders </w:t>
      </w:r>
      <w:r>
        <w:t>(SAMHSA, 201</w:t>
      </w:r>
      <w:r>
        <w:t>3), respectively</w:t>
      </w:r>
      <w:r>
        <w:rPr>
          <w:i/>
        </w:rPr>
        <w:t>.</w:t>
      </w:r>
    </w:p>
    <w:p w14:paraId="28C756D6" w14:textId="77777777" w:rsidR="00DB6E1F" w:rsidRDefault="00DB6E1F">
      <w:pPr>
        <w:pStyle w:val="BodyText"/>
        <w:spacing w:before="4"/>
        <w:rPr>
          <w:i/>
          <w:sz w:val="16"/>
        </w:rPr>
      </w:pPr>
    </w:p>
    <w:p w14:paraId="025B0E3D" w14:textId="77777777" w:rsidR="00DB6E1F" w:rsidRDefault="00F666A6">
      <w:pPr>
        <w:pStyle w:val="Heading4"/>
      </w:pPr>
      <w:bookmarkStart w:id="46" w:name="Focus_on_risk_reduction"/>
      <w:bookmarkEnd w:id="46"/>
      <w:r>
        <w:t>Focus</w:t>
      </w:r>
      <w:r>
        <w:rPr>
          <w:spacing w:val="-6"/>
        </w:rPr>
        <w:t xml:space="preserve"> </w:t>
      </w:r>
      <w:r>
        <w:t>on</w:t>
      </w:r>
      <w:r>
        <w:rPr>
          <w:spacing w:val="-3"/>
        </w:rPr>
        <w:t xml:space="preserve"> </w:t>
      </w:r>
      <w:r>
        <w:t>risk</w:t>
      </w:r>
      <w:r>
        <w:rPr>
          <w:spacing w:val="-5"/>
        </w:rPr>
        <w:t xml:space="preserve"> </w:t>
      </w:r>
      <w:r>
        <w:rPr>
          <w:spacing w:val="-2"/>
        </w:rPr>
        <w:t>reduction</w:t>
      </w:r>
    </w:p>
    <w:p w14:paraId="7A3DDA00" w14:textId="77777777" w:rsidR="00DB6E1F" w:rsidRDefault="00F666A6">
      <w:pPr>
        <w:pStyle w:val="BodyText"/>
        <w:spacing w:before="86"/>
        <w:ind w:left="1439" w:right="1491"/>
      </w:pPr>
      <w:r>
        <w:t>The field</w:t>
      </w:r>
      <w:r>
        <w:rPr>
          <w:spacing w:val="-2"/>
        </w:rPr>
        <w:t xml:space="preserve"> </w:t>
      </w:r>
      <w:r>
        <w:t>has</w:t>
      </w:r>
      <w:r>
        <w:rPr>
          <w:spacing w:val="-4"/>
        </w:rPr>
        <w:t xml:space="preserve"> </w:t>
      </w:r>
      <w:r>
        <w:rPr>
          <w:b/>
        </w:rPr>
        <w:t>expanded</w:t>
      </w:r>
      <w:r>
        <w:rPr>
          <w:b/>
          <w:spacing w:val="-2"/>
        </w:rPr>
        <w:t xml:space="preserve"> </w:t>
      </w:r>
      <w:r>
        <w:rPr>
          <w:b/>
        </w:rPr>
        <w:t>the definition</w:t>
      </w:r>
      <w:r>
        <w:rPr>
          <w:b/>
          <w:spacing w:val="-2"/>
        </w:rPr>
        <w:t xml:space="preserve"> </w:t>
      </w:r>
      <w:r>
        <w:rPr>
          <w:b/>
        </w:rPr>
        <w:t>of</w:t>
      </w:r>
      <w:r>
        <w:rPr>
          <w:b/>
          <w:spacing w:val="-1"/>
        </w:rPr>
        <w:t xml:space="preserve"> </w:t>
      </w:r>
      <w:r>
        <w:rPr>
          <w:b/>
        </w:rPr>
        <w:t>positive</w:t>
      </w:r>
      <w:r>
        <w:rPr>
          <w:b/>
          <w:spacing w:val="-2"/>
        </w:rPr>
        <w:t xml:space="preserve"> </w:t>
      </w:r>
      <w:r>
        <w:rPr>
          <w:b/>
        </w:rPr>
        <w:t>treatment</w:t>
      </w:r>
      <w:r>
        <w:rPr>
          <w:b/>
          <w:spacing w:val="-1"/>
        </w:rPr>
        <w:t xml:space="preserve"> </w:t>
      </w:r>
      <w:r>
        <w:rPr>
          <w:b/>
        </w:rPr>
        <w:t>outcomes</w:t>
      </w:r>
      <w:r>
        <w:rPr>
          <w:b/>
          <w:spacing w:val="-3"/>
        </w:rPr>
        <w:t xml:space="preserve"> </w:t>
      </w:r>
      <w:r>
        <w:rPr>
          <w:b/>
        </w:rPr>
        <w:t>to</w:t>
      </w:r>
      <w:r>
        <w:rPr>
          <w:b/>
          <w:spacing w:val="-2"/>
        </w:rPr>
        <w:t xml:space="preserve"> </w:t>
      </w:r>
      <w:r>
        <w:rPr>
          <w:b/>
        </w:rPr>
        <w:t>include</w:t>
      </w:r>
      <w:r>
        <w:rPr>
          <w:b/>
          <w:spacing w:val="-4"/>
        </w:rPr>
        <w:t xml:space="preserve"> </w:t>
      </w:r>
      <w:r>
        <w:rPr>
          <w:b/>
        </w:rPr>
        <w:t>intermediate</w:t>
      </w:r>
      <w:r>
        <w:rPr>
          <w:b/>
          <w:spacing w:val="-4"/>
        </w:rPr>
        <w:t xml:space="preserve"> </w:t>
      </w:r>
      <w:r>
        <w:rPr>
          <w:b/>
        </w:rPr>
        <w:t>goals</w:t>
      </w:r>
      <w:r>
        <w:rPr>
          <w:b/>
          <w:spacing w:val="-3"/>
        </w:rPr>
        <w:t xml:space="preserve"> </w:t>
      </w:r>
      <w:r>
        <w:rPr>
          <w:b/>
        </w:rPr>
        <w:t>of risk</w:t>
      </w:r>
      <w:r>
        <w:rPr>
          <w:b/>
          <w:spacing w:val="-4"/>
        </w:rPr>
        <w:t xml:space="preserve"> </w:t>
      </w:r>
      <w:r>
        <w:rPr>
          <w:b/>
        </w:rPr>
        <w:t>reduction.</w:t>
      </w:r>
      <w:r>
        <w:rPr>
          <w:b/>
          <w:spacing w:val="-1"/>
        </w:rPr>
        <w:t xml:space="preserve"> </w:t>
      </w:r>
      <w:r>
        <w:t>The</w:t>
      </w:r>
      <w:r>
        <w:rPr>
          <w:spacing w:val="-1"/>
        </w:rPr>
        <w:t xml:space="preserve"> </w:t>
      </w:r>
      <w:r>
        <w:t>goal</w:t>
      </w:r>
      <w:r>
        <w:rPr>
          <w:spacing w:val="-2"/>
        </w:rPr>
        <w:t xml:space="preserve"> </w:t>
      </w:r>
      <w:r>
        <w:t>of</w:t>
      </w:r>
      <w:r>
        <w:rPr>
          <w:spacing w:val="-6"/>
        </w:rPr>
        <w:t xml:space="preserve"> </w:t>
      </w:r>
      <w:r>
        <w:t>risk</w:t>
      </w:r>
      <w:r>
        <w:rPr>
          <w:spacing w:val="-1"/>
        </w:rPr>
        <w:t xml:space="preserve"> </w:t>
      </w:r>
      <w:r>
        <w:t>reduction</w:t>
      </w:r>
      <w:r>
        <w:rPr>
          <w:spacing w:val="-3"/>
        </w:rPr>
        <w:t xml:space="preserve"> </w:t>
      </w:r>
      <w:r>
        <w:t>is</w:t>
      </w:r>
      <w:r>
        <w:rPr>
          <w:spacing w:val="-3"/>
        </w:rPr>
        <w:t xml:space="preserve"> </w:t>
      </w:r>
      <w:r>
        <w:t>to</w:t>
      </w:r>
      <w:r>
        <w:rPr>
          <w:spacing w:val="-3"/>
        </w:rPr>
        <w:t xml:space="preserve"> </w:t>
      </w:r>
      <w:r>
        <w:t>decrease</w:t>
      </w:r>
      <w:r>
        <w:rPr>
          <w:spacing w:val="-1"/>
        </w:rPr>
        <w:t xml:space="preserve"> </w:t>
      </w:r>
      <w:r>
        <w:t>clients’</w:t>
      </w:r>
      <w:r>
        <w:rPr>
          <w:spacing w:val="-2"/>
        </w:rPr>
        <w:t xml:space="preserve"> </w:t>
      </w:r>
      <w:r>
        <w:t>risks</w:t>
      </w:r>
      <w:r>
        <w:rPr>
          <w:spacing w:val="-3"/>
        </w:rPr>
        <w:t xml:space="preserve"> </w:t>
      </w:r>
      <w:r>
        <w:t>for</w:t>
      </w:r>
      <w:r>
        <w:rPr>
          <w:spacing w:val="-4"/>
        </w:rPr>
        <w:t xml:space="preserve"> </w:t>
      </w:r>
      <w:r>
        <w:t>alcohol-</w:t>
      </w:r>
      <w:r>
        <w:rPr>
          <w:spacing w:val="-3"/>
        </w:rPr>
        <w:t xml:space="preserve"> </w:t>
      </w:r>
      <w:r>
        <w:t>and</w:t>
      </w:r>
      <w:r>
        <w:rPr>
          <w:spacing w:val="-3"/>
        </w:rPr>
        <w:t xml:space="preserve"> </w:t>
      </w:r>
      <w:r>
        <w:t>drug-related</w:t>
      </w:r>
      <w:r>
        <w:rPr>
          <w:spacing w:val="-3"/>
        </w:rPr>
        <w:t xml:space="preserve"> </w:t>
      </w:r>
      <w:r>
        <w:t>health risks, legal involvement, sexual behavior that can lead to sexually transmitted diseases, social and financial problems, ED visits, hospitalization and rehospitalization, and relapse of substance use and mental</w:t>
      </w:r>
      <w:r>
        <w:rPr>
          <w:spacing w:val="-2"/>
        </w:rPr>
        <w:t xml:space="preserve"> </w:t>
      </w:r>
      <w:r>
        <w:t>disorders. Risk-reduction</w:t>
      </w:r>
      <w:r>
        <w:rPr>
          <w:spacing w:val="-1"/>
        </w:rPr>
        <w:t xml:space="preserve"> </w:t>
      </w:r>
      <w:r>
        <w:t>interventions</w:t>
      </w:r>
      <w:r>
        <w:rPr>
          <w:spacing w:val="-2"/>
        </w:rPr>
        <w:t xml:space="preserve"> </w:t>
      </w:r>
      <w:r>
        <w:t>include medication-assisted</w:t>
      </w:r>
      <w:r>
        <w:rPr>
          <w:spacing w:val="-1"/>
        </w:rPr>
        <w:t xml:space="preserve"> </w:t>
      </w:r>
      <w:r>
        <w:t>treatment</w:t>
      </w:r>
      <w:r>
        <w:rPr>
          <w:spacing w:val="-2"/>
        </w:rPr>
        <w:t xml:space="preserve"> </w:t>
      </w:r>
      <w:r>
        <w:t>for</w:t>
      </w:r>
      <w:r>
        <w:rPr>
          <w:spacing w:val="-2"/>
        </w:rPr>
        <w:t xml:space="preserve"> </w:t>
      </w:r>
      <w:r>
        <w:t>AUD</w:t>
      </w:r>
      <w:r>
        <w:rPr>
          <w:spacing w:val="-1"/>
        </w:rPr>
        <w:t xml:space="preserve"> </w:t>
      </w:r>
      <w:r>
        <w:t>and</w:t>
      </w:r>
      <w:r>
        <w:rPr>
          <w:spacing w:val="-1"/>
        </w:rPr>
        <w:t xml:space="preserve"> </w:t>
      </w:r>
      <w:r>
        <w:t>OUD and</w:t>
      </w:r>
      <w:r>
        <w:rPr>
          <w:spacing w:val="-3"/>
        </w:rPr>
        <w:t xml:space="preserve"> </w:t>
      </w:r>
      <w:r>
        <w:t>reduction</w:t>
      </w:r>
      <w:r>
        <w:rPr>
          <w:spacing w:val="-3"/>
        </w:rPr>
        <w:t xml:space="preserve"> </w:t>
      </w:r>
      <w:r>
        <w:t>in</w:t>
      </w:r>
      <w:r>
        <w:rPr>
          <w:spacing w:val="-5"/>
        </w:rPr>
        <w:t xml:space="preserve"> </w:t>
      </w:r>
      <w:r>
        <w:t>substance</w:t>
      </w:r>
      <w:r>
        <w:rPr>
          <w:spacing w:val="-4"/>
        </w:rPr>
        <w:t xml:space="preserve"> </w:t>
      </w:r>
      <w:r>
        <w:t>use</w:t>
      </w:r>
      <w:r>
        <w:rPr>
          <w:spacing w:val="-1"/>
        </w:rPr>
        <w:t xml:space="preserve"> </w:t>
      </w:r>
      <w:r>
        <w:t>as</w:t>
      </w:r>
      <w:r>
        <w:rPr>
          <w:spacing w:val="-4"/>
        </w:rPr>
        <w:t xml:space="preserve"> </w:t>
      </w:r>
      <w:r>
        <w:t>an</w:t>
      </w:r>
      <w:r>
        <w:rPr>
          <w:spacing w:val="-3"/>
        </w:rPr>
        <w:t xml:space="preserve"> </w:t>
      </w:r>
      <w:r>
        <w:t>intermediate</w:t>
      </w:r>
      <w:r>
        <w:rPr>
          <w:spacing w:val="-1"/>
        </w:rPr>
        <w:t xml:space="preserve"> </w:t>
      </w:r>
      <w:r>
        <w:t>step</w:t>
      </w:r>
      <w:r>
        <w:rPr>
          <w:spacing w:val="-3"/>
        </w:rPr>
        <w:t xml:space="preserve"> </w:t>
      </w:r>
      <w:r>
        <w:t>toward</w:t>
      </w:r>
      <w:r>
        <w:rPr>
          <w:spacing w:val="-3"/>
        </w:rPr>
        <w:t xml:space="preserve"> </w:t>
      </w:r>
      <w:r>
        <w:t>abstinence</w:t>
      </w:r>
      <w:r>
        <w:rPr>
          <w:spacing w:val="-1"/>
        </w:rPr>
        <w:t xml:space="preserve"> </w:t>
      </w:r>
      <w:r>
        <w:t>for</w:t>
      </w:r>
      <w:r>
        <w:rPr>
          <w:spacing w:val="-2"/>
        </w:rPr>
        <w:t xml:space="preserve"> </w:t>
      </w:r>
      <w:r>
        <w:t>clients</w:t>
      </w:r>
      <w:r>
        <w:rPr>
          <w:spacing w:val="-2"/>
        </w:rPr>
        <w:t xml:space="preserve"> </w:t>
      </w:r>
      <w:r>
        <w:t>who</w:t>
      </w:r>
      <w:r>
        <w:rPr>
          <w:spacing w:val="-1"/>
        </w:rPr>
        <w:t xml:space="preserve"> </w:t>
      </w:r>
      <w:r>
        <w:t>are</w:t>
      </w:r>
      <w:r>
        <w:rPr>
          <w:spacing w:val="-1"/>
        </w:rPr>
        <w:t xml:space="preserve"> </w:t>
      </w:r>
      <w:r>
        <w:t>not</w:t>
      </w:r>
      <w:r>
        <w:rPr>
          <w:spacing w:val="-1"/>
        </w:rPr>
        <w:t xml:space="preserve"> </w:t>
      </w:r>
      <w:r>
        <w:t>ready or willing to commit to full abstinence. Risk-reduction strategies can be an important goal in early treatment and have demonstrated effectiveness in reducing substance-use–related consequences (Office of the Surgeon General, 2016).</w:t>
      </w:r>
    </w:p>
    <w:p w14:paraId="31E139C6" w14:textId="77777777" w:rsidR="00DB6E1F" w:rsidRDefault="00DB6E1F">
      <w:pPr>
        <w:pStyle w:val="BodyText"/>
        <w:spacing w:before="6"/>
        <w:rPr>
          <w:sz w:val="16"/>
        </w:rPr>
      </w:pPr>
    </w:p>
    <w:p w14:paraId="28723095" w14:textId="77777777" w:rsidR="00DB6E1F" w:rsidRDefault="00F666A6">
      <w:pPr>
        <w:pStyle w:val="Heading4"/>
      </w:pPr>
      <w:bookmarkStart w:id="47" w:name="Integration_of_addiction,_behavioral_hea"/>
      <w:bookmarkEnd w:id="47"/>
      <w:r>
        <w:t>Integration</w:t>
      </w:r>
      <w:r>
        <w:rPr>
          <w:spacing w:val="-12"/>
        </w:rPr>
        <w:t xml:space="preserve"> </w:t>
      </w:r>
      <w:r>
        <w:t>of</w:t>
      </w:r>
      <w:r>
        <w:rPr>
          <w:spacing w:val="-11"/>
        </w:rPr>
        <w:t xml:space="preserve"> </w:t>
      </w:r>
      <w:r>
        <w:t>a</w:t>
      </w:r>
      <w:r>
        <w:t>ddiction,</w:t>
      </w:r>
      <w:r>
        <w:rPr>
          <w:spacing w:val="-10"/>
        </w:rPr>
        <w:t xml:space="preserve"> </w:t>
      </w:r>
      <w:r>
        <w:t>behavioral</w:t>
      </w:r>
      <w:r>
        <w:rPr>
          <w:spacing w:val="-10"/>
        </w:rPr>
        <w:t xml:space="preserve"> </w:t>
      </w:r>
      <w:r>
        <w:t>health,</w:t>
      </w:r>
      <w:r>
        <w:rPr>
          <w:spacing w:val="-9"/>
        </w:rPr>
        <w:t xml:space="preserve"> </w:t>
      </w:r>
      <w:r>
        <w:t>and</w:t>
      </w:r>
      <w:r>
        <w:rPr>
          <w:spacing w:val="-10"/>
        </w:rPr>
        <w:t xml:space="preserve"> </w:t>
      </w:r>
      <w:r>
        <w:t>healthcare</w:t>
      </w:r>
      <w:r>
        <w:rPr>
          <w:spacing w:val="-11"/>
        </w:rPr>
        <w:t xml:space="preserve"> </w:t>
      </w:r>
      <w:r>
        <w:rPr>
          <w:spacing w:val="-2"/>
        </w:rPr>
        <w:t>services</w:t>
      </w:r>
    </w:p>
    <w:p w14:paraId="3FBE7AD4" w14:textId="77777777" w:rsidR="00DB6E1F" w:rsidRDefault="00F666A6">
      <w:pPr>
        <w:spacing w:before="83"/>
        <w:ind w:left="1439" w:right="1555"/>
      </w:pPr>
      <w:r>
        <w:t>Historically,</w:t>
      </w:r>
      <w:r>
        <w:rPr>
          <w:spacing w:val="-2"/>
        </w:rPr>
        <w:t xml:space="preserve"> </w:t>
      </w:r>
      <w:r>
        <w:t>the</w:t>
      </w:r>
      <w:r>
        <w:rPr>
          <w:spacing w:val="-1"/>
        </w:rPr>
        <w:t xml:space="preserve"> </w:t>
      </w:r>
      <w:r>
        <w:t>SUD treatment</w:t>
      </w:r>
      <w:r>
        <w:rPr>
          <w:spacing w:val="-4"/>
        </w:rPr>
        <w:t xml:space="preserve"> </w:t>
      </w:r>
      <w:r>
        <w:t>system</w:t>
      </w:r>
      <w:r>
        <w:rPr>
          <w:spacing w:val="-3"/>
        </w:rPr>
        <w:t xml:space="preserve"> </w:t>
      </w:r>
      <w:r>
        <w:t>was</w:t>
      </w:r>
      <w:r>
        <w:rPr>
          <w:spacing w:val="-2"/>
        </w:rPr>
        <w:t xml:space="preserve"> </w:t>
      </w:r>
      <w:r>
        <w:t>isolated</w:t>
      </w:r>
      <w:r>
        <w:rPr>
          <w:spacing w:val="-2"/>
        </w:rPr>
        <w:t xml:space="preserve"> </w:t>
      </w:r>
      <w:r>
        <w:t>from</w:t>
      </w:r>
      <w:r>
        <w:rPr>
          <w:spacing w:val="-6"/>
        </w:rPr>
        <w:t xml:space="preserve"> </w:t>
      </w:r>
      <w:r>
        <w:t>mainstream</w:t>
      </w:r>
      <w:r>
        <w:rPr>
          <w:spacing w:val="-1"/>
        </w:rPr>
        <w:t xml:space="preserve"> </w:t>
      </w:r>
      <w:r>
        <w:t>health</w:t>
      </w:r>
      <w:r>
        <w:rPr>
          <w:spacing w:val="-2"/>
        </w:rPr>
        <w:t xml:space="preserve"> </w:t>
      </w:r>
      <w:r>
        <w:t>care</w:t>
      </w:r>
      <w:r>
        <w:rPr>
          <w:spacing w:val="-1"/>
        </w:rPr>
        <w:t xml:space="preserve"> </w:t>
      </w:r>
      <w:r>
        <w:t>by</w:t>
      </w:r>
      <w:r>
        <w:rPr>
          <w:spacing w:val="-1"/>
        </w:rPr>
        <w:t xml:space="preserve"> </w:t>
      </w:r>
      <w:r>
        <w:t>different</w:t>
      </w:r>
      <w:r>
        <w:rPr>
          <w:spacing w:val="-2"/>
        </w:rPr>
        <w:t xml:space="preserve"> </w:t>
      </w:r>
      <w:r>
        <w:t>funding streams,</w:t>
      </w:r>
      <w:r>
        <w:rPr>
          <w:spacing w:val="-3"/>
        </w:rPr>
        <w:t xml:space="preserve"> </w:t>
      </w:r>
      <w:r>
        <w:t>health</w:t>
      </w:r>
      <w:r>
        <w:rPr>
          <w:spacing w:val="-4"/>
        </w:rPr>
        <w:t xml:space="preserve"> </w:t>
      </w:r>
      <w:r>
        <w:t>insurance</w:t>
      </w:r>
      <w:r>
        <w:rPr>
          <w:spacing w:val="-5"/>
        </w:rPr>
        <w:t xml:space="preserve"> </w:t>
      </w:r>
      <w:r>
        <w:t>restrictions,</w:t>
      </w:r>
      <w:r>
        <w:rPr>
          <w:spacing w:val="-3"/>
        </w:rPr>
        <w:t xml:space="preserve"> </w:t>
      </w:r>
      <w:r>
        <w:t>and</w:t>
      </w:r>
      <w:r>
        <w:rPr>
          <w:spacing w:val="-4"/>
        </w:rPr>
        <w:t xml:space="preserve"> </w:t>
      </w:r>
      <w:r>
        <w:t>lack</w:t>
      </w:r>
      <w:r>
        <w:rPr>
          <w:spacing w:val="-5"/>
        </w:rPr>
        <w:t xml:space="preserve"> </w:t>
      </w:r>
      <w:r>
        <w:t>of</w:t>
      </w:r>
      <w:r>
        <w:rPr>
          <w:spacing w:val="-3"/>
        </w:rPr>
        <w:t xml:space="preserve"> </w:t>
      </w:r>
      <w:r>
        <w:t>awareness</w:t>
      </w:r>
      <w:r>
        <w:rPr>
          <w:spacing w:val="-3"/>
        </w:rPr>
        <w:t xml:space="preserve"> </w:t>
      </w:r>
      <w:r>
        <w:t>and</w:t>
      </w:r>
      <w:r>
        <w:rPr>
          <w:spacing w:val="-6"/>
        </w:rPr>
        <w:t xml:space="preserve"> </w:t>
      </w:r>
      <w:r>
        <w:t>training</w:t>
      </w:r>
      <w:r>
        <w:rPr>
          <w:spacing w:val="-3"/>
        </w:rPr>
        <w:t xml:space="preserve"> </w:t>
      </w:r>
      <w:r>
        <w:t>among</w:t>
      </w:r>
      <w:r>
        <w:rPr>
          <w:spacing w:val="-6"/>
        </w:rPr>
        <w:t xml:space="preserve"> </w:t>
      </w:r>
      <w:r>
        <w:t>healthcare</w:t>
      </w:r>
      <w:r>
        <w:rPr>
          <w:spacing w:val="-2"/>
        </w:rPr>
        <w:t xml:space="preserve"> </w:t>
      </w:r>
      <w:r>
        <w:t xml:space="preserve">providers </w:t>
      </w:r>
      <w:r>
        <w:t xml:space="preserve">on recognizing, screening, assessing, and treating addiction as a chronic illness. Today, a concerted effort is under way to </w:t>
      </w:r>
      <w:r>
        <w:rPr>
          <w:b/>
        </w:rPr>
        <w:t xml:space="preserve">integrate addiction treatment with other behavioral health and primary care services </w:t>
      </w:r>
      <w:r>
        <w:t xml:space="preserve">to build a comprehensive healthcare delivery system. Key findings of </w:t>
      </w:r>
      <w:r>
        <w:rPr>
          <w:i/>
        </w:rPr>
        <w:t xml:space="preserve">Facing Addiction in America: The Surgeon General’s Report on Alcohol, Drugs, and Health </w:t>
      </w:r>
      <w:r>
        <w:t>(Office of the Surgeon General, 2016) include the following:</w:t>
      </w:r>
    </w:p>
    <w:p w14:paraId="097AE16C" w14:textId="77777777" w:rsidR="00DB6E1F" w:rsidRDefault="00F666A6">
      <w:pPr>
        <w:pStyle w:val="ListParagraph"/>
        <w:numPr>
          <w:ilvl w:val="0"/>
          <w:numId w:val="92"/>
        </w:numPr>
        <w:tabs>
          <w:tab w:val="left" w:pos="1799"/>
          <w:tab w:val="left" w:pos="1800"/>
        </w:tabs>
        <w:ind w:left="1799" w:right="1886"/>
        <w:rPr>
          <w:rFonts w:ascii="Symbol" w:hAnsi="Symbol"/>
        </w:rPr>
      </w:pPr>
      <w:r>
        <w:t>The</w:t>
      </w:r>
      <w:r>
        <w:rPr>
          <w:spacing w:val="-2"/>
        </w:rPr>
        <w:t xml:space="preserve"> </w:t>
      </w:r>
      <w:r>
        <w:t>separation</w:t>
      </w:r>
      <w:r>
        <w:rPr>
          <w:spacing w:val="-6"/>
        </w:rPr>
        <w:t xml:space="preserve"> </w:t>
      </w:r>
      <w:r>
        <w:t>of</w:t>
      </w:r>
      <w:r>
        <w:rPr>
          <w:spacing w:val="-3"/>
        </w:rPr>
        <w:t xml:space="preserve"> </w:t>
      </w:r>
      <w:r>
        <w:t>SUD</w:t>
      </w:r>
      <w:r>
        <w:rPr>
          <w:spacing w:val="-4"/>
        </w:rPr>
        <w:t xml:space="preserve"> </w:t>
      </w:r>
      <w:r>
        <w:t>treatment</w:t>
      </w:r>
      <w:r>
        <w:rPr>
          <w:spacing w:val="-2"/>
        </w:rPr>
        <w:t xml:space="preserve"> </w:t>
      </w:r>
      <w:r>
        <w:t>from</w:t>
      </w:r>
      <w:r>
        <w:rPr>
          <w:spacing w:val="-4"/>
        </w:rPr>
        <w:t xml:space="preserve"> </w:t>
      </w:r>
      <w:r>
        <w:t>m</w:t>
      </w:r>
      <w:r>
        <w:t>ainstream</w:t>
      </w:r>
      <w:r>
        <w:rPr>
          <w:spacing w:val="-2"/>
        </w:rPr>
        <w:t xml:space="preserve"> </w:t>
      </w:r>
      <w:r>
        <w:t>healthcare</w:t>
      </w:r>
      <w:r>
        <w:rPr>
          <w:spacing w:val="-2"/>
        </w:rPr>
        <w:t xml:space="preserve"> </w:t>
      </w:r>
      <w:r>
        <w:t>services</w:t>
      </w:r>
      <w:r>
        <w:rPr>
          <w:spacing w:val="-2"/>
        </w:rPr>
        <w:t xml:space="preserve"> </w:t>
      </w:r>
      <w:r>
        <w:t>has</w:t>
      </w:r>
      <w:r>
        <w:rPr>
          <w:spacing w:val="-5"/>
        </w:rPr>
        <w:t xml:space="preserve"> </w:t>
      </w:r>
      <w:r>
        <w:t>created</w:t>
      </w:r>
      <w:r>
        <w:rPr>
          <w:spacing w:val="-4"/>
        </w:rPr>
        <w:t xml:space="preserve"> </w:t>
      </w:r>
      <w:r>
        <w:t>obstacles</w:t>
      </w:r>
      <w:r>
        <w:rPr>
          <w:spacing w:val="-5"/>
        </w:rPr>
        <w:t xml:space="preserve"> </w:t>
      </w:r>
      <w:r>
        <w:t>to successful treatment and care coordination.</w:t>
      </w:r>
    </w:p>
    <w:p w14:paraId="4A26ADDF" w14:textId="77777777" w:rsidR="00DB6E1F" w:rsidRDefault="00DB6E1F">
      <w:pPr>
        <w:rPr>
          <w:rFonts w:ascii="Symbol" w:hAnsi="Symbol"/>
        </w:rPr>
        <w:sectPr w:rsidR="00DB6E1F">
          <w:pgSz w:w="12240" w:h="15840"/>
          <w:pgMar w:top="1200" w:right="0" w:bottom="780" w:left="0" w:header="763" w:footer="585" w:gutter="0"/>
          <w:cols w:space="720"/>
        </w:sectPr>
      </w:pPr>
    </w:p>
    <w:p w14:paraId="48E92259" w14:textId="77777777" w:rsidR="00DB6E1F" w:rsidRDefault="00DB6E1F">
      <w:pPr>
        <w:pStyle w:val="BodyText"/>
        <w:rPr>
          <w:sz w:val="11"/>
        </w:rPr>
      </w:pPr>
    </w:p>
    <w:p w14:paraId="32D77E1C" w14:textId="77777777" w:rsidR="00DB6E1F" w:rsidRDefault="00F666A6">
      <w:pPr>
        <w:pStyle w:val="ListParagraph"/>
        <w:numPr>
          <w:ilvl w:val="0"/>
          <w:numId w:val="92"/>
        </w:numPr>
        <w:tabs>
          <w:tab w:val="left" w:pos="1800"/>
          <w:tab w:val="left" w:pos="1801"/>
        </w:tabs>
        <w:spacing w:before="101"/>
        <w:ind w:left="1800" w:right="1560"/>
        <w:rPr>
          <w:rFonts w:ascii="Symbol" w:hAnsi="Symbol"/>
        </w:rPr>
      </w:pPr>
      <w:r>
        <w:t>SUDs</w:t>
      </w:r>
      <w:r>
        <w:rPr>
          <w:spacing w:val="-2"/>
        </w:rPr>
        <w:t xml:space="preserve"> </w:t>
      </w:r>
      <w:r>
        <w:t>are</w:t>
      </w:r>
      <w:r>
        <w:rPr>
          <w:spacing w:val="-5"/>
        </w:rPr>
        <w:t xml:space="preserve"> </w:t>
      </w:r>
      <w:r>
        <w:t>medical</w:t>
      </w:r>
      <w:r>
        <w:rPr>
          <w:spacing w:val="-6"/>
        </w:rPr>
        <w:t xml:space="preserve"> </w:t>
      </w:r>
      <w:r>
        <w:t>conditions.</w:t>
      </w:r>
      <w:r>
        <w:rPr>
          <w:spacing w:val="-3"/>
        </w:rPr>
        <w:t xml:space="preserve"> </w:t>
      </w:r>
      <w:r>
        <w:t>Integration</w:t>
      </w:r>
      <w:r>
        <w:rPr>
          <w:spacing w:val="-4"/>
        </w:rPr>
        <w:t xml:space="preserve"> </w:t>
      </w:r>
      <w:r>
        <w:t>helps</w:t>
      </w:r>
      <w:r>
        <w:rPr>
          <w:spacing w:val="-3"/>
        </w:rPr>
        <w:t xml:space="preserve"> </w:t>
      </w:r>
      <w:r>
        <w:t>address</w:t>
      </w:r>
      <w:r>
        <w:rPr>
          <w:spacing w:val="-3"/>
        </w:rPr>
        <w:t xml:space="preserve"> </w:t>
      </w:r>
      <w:r>
        <w:t>health</w:t>
      </w:r>
      <w:r>
        <w:rPr>
          <w:spacing w:val="-4"/>
        </w:rPr>
        <w:t xml:space="preserve"> </w:t>
      </w:r>
      <w:r>
        <w:t>disparities,</w:t>
      </w:r>
      <w:r>
        <w:rPr>
          <w:spacing w:val="-3"/>
        </w:rPr>
        <w:t xml:space="preserve"> </w:t>
      </w:r>
      <w:r>
        <w:t>reduces</w:t>
      </w:r>
      <w:r>
        <w:rPr>
          <w:spacing w:val="-3"/>
        </w:rPr>
        <w:t xml:space="preserve"> </w:t>
      </w:r>
      <w:r>
        <w:t>healthcare</w:t>
      </w:r>
      <w:r>
        <w:rPr>
          <w:spacing w:val="-2"/>
        </w:rPr>
        <w:t xml:space="preserve"> </w:t>
      </w:r>
      <w:r>
        <w:t>costs, and improves general health outcomes.</w:t>
      </w:r>
    </w:p>
    <w:p w14:paraId="100DC07B" w14:textId="77777777" w:rsidR="00DB6E1F" w:rsidRDefault="00F666A6">
      <w:pPr>
        <w:pStyle w:val="ListParagraph"/>
        <w:numPr>
          <w:ilvl w:val="0"/>
          <w:numId w:val="92"/>
        </w:numPr>
        <w:tabs>
          <w:tab w:val="left" w:pos="1800"/>
          <w:tab w:val="left" w:pos="1801"/>
        </w:tabs>
        <w:spacing w:before="58"/>
        <w:ind w:left="1799" w:right="1659" w:hanging="360"/>
        <w:rPr>
          <w:rFonts w:ascii="Symbol" w:hAnsi="Symbol"/>
        </w:rPr>
      </w:pPr>
      <w:r>
        <w:t>Man</w:t>
      </w:r>
      <w:r>
        <w:t>y people with SUDs do not seek specialty addiction treatment but often enter the healthcare system</w:t>
      </w:r>
      <w:r>
        <w:rPr>
          <w:spacing w:val="-3"/>
        </w:rPr>
        <w:t xml:space="preserve"> </w:t>
      </w:r>
      <w:r>
        <w:t>through</w:t>
      </w:r>
      <w:r>
        <w:rPr>
          <w:spacing w:val="-3"/>
        </w:rPr>
        <w:t xml:space="preserve"> </w:t>
      </w:r>
      <w:r>
        <w:t>general</w:t>
      </w:r>
      <w:r>
        <w:rPr>
          <w:spacing w:val="-5"/>
        </w:rPr>
        <w:t xml:space="preserve"> </w:t>
      </w:r>
      <w:r>
        <w:t>medical</w:t>
      </w:r>
      <w:r>
        <w:rPr>
          <w:spacing w:val="-2"/>
        </w:rPr>
        <w:t xml:space="preserve"> </w:t>
      </w:r>
      <w:r>
        <w:t>settings.</w:t>
      </w:r>
      <w:r>
        <w:rPr>
          <w:spacing w:val="-5"/>
        </w:rPr>
        <w:t xml:space="preserve"> </w:t>
      </w:r>
      <w:r>
        <w:t>This</w:t>
      </w:r>
      <w:r>
        <w:rPr>
          <w:spacing w:val="-2"/>
        </w:rPr>
        <w:t xml:space="preserve"> </w:t>
      </w:r>
      <w:r>
        <w:t>is</w:t>
      </w:r>
      <w:r>
        <w:rPr>
          <w:spacing w:val="-2"/>
        </w:rPr>
        <w:t xml:space="preserve"> </w:t>
      </w:r>
      <w:r>
        <w:t>an</w:t>
      </w:r>
      <w:r>
        <w:rPr>
          <w:spacing w:val="-5"/>
        </w:rPr>
        <w:t xml:space="preserve"> </w:t>
      </w:r>
      <w:r>
        <w:t>important</w:t>
      </w:r>
      <w:r>
        <w:rPr>
          <w:spacing w:val="-1"/>
        </w:rPr>
        <w:t xml:space="preserve"> </w:t>
      </w:r>
      <w:r>
        <w:t>but</w:t>
      </w:r>
      <w:r>
        <w:rPr>
          <w:spacing w:val="-4"/>
        </w:rPr>
        <w:t xml:space="preserve"> </w:t>
      </w:r>
      <w:r>
        <w:t>neglected</w:t>
      </w:r>
      <w:r>
        <w:rPr>
          <w:spacing w:val="-5"/>
        </w:rPr>
        <w:t xml:space="preserve"> </w:t>
      </w:r>
      <w:r>
        <w:t>opportunity</w:t>
      </w:r>
      <w:r>
        <w:rPr>
          <w:spacing w:val="-3"/>
        </w:rPr>
        <w:t xml:space="preserve"> </w:t>
      </w:r>
      <w:r>
        <w:t>to</w:t>
      </w:r>
      <w:r>
        <w:rPr>
          <w:spacing w:val="-1"/>
        </w:rPr>
        <w:t xml:space="preserve"> </w:t>
      </w:r>
      <w:r>
        <w:t>screen for substance misuse and provide brief interventions or referrals to specialty care.</w:t>
      </w:r>
    </w:p>
    <w:p w14:paraId="7A9DED05" w14:textId="77777777" w:rsidR="00DB6E1F" w:rsidRDefault="00F666A6">
      <w:pPr>
        <w:pStyle w:val="BodyText"/>
        <w:spacing w:before="162"/>
        <w:ind w:left="1439" w:right="1491"/>
      </w:pPr>
      <w:r>
        <w:t>Motivational enhancement strategies delivered in all settings can support client engagement in treatment and improve substance use outcomes, whether in EDs, primary</w:t>
      </w:r>
      <w:r>
        <w:t xml:space="preserve"> care offices, office-based opioid</w:t>
      </w:r>
      <w:r>
        <w:rPr>
          <w:spacing w:val="-4"/>
        </w:rPr>
        <w:t xml:space="preserve"> </w:t>
      </w:r>
      <w:r>
        <w:t>treatment</w:t>
      </w:r>
      <w:r>
        <w:rPr>
          <w:spacing w:val="-2"/>
        </w:rPr>
        <w:t xml:space="preserve"> </w:t>
      </w:r>
      <w:r>
        <w:t>programs,</w:t>
      </w:r>
      <w:r>
        <w:rPr>
          <w:spacing w:val="-3"/>
        </w:rPr>
        <w:t xml:space="preserve"> </w:t>
      </w:r>
      <w:r>
        <w:t>criminal</w:t>
      </w:r>
      <w:r>
        <w:rPr>
          <w:spacing w:val="-6"/>
        </w:rPr>
        <w:t xml:space="preserve"> </w:t>
      </w:r>
      <w:r>
        <w:t>justice</w:t>
      </w:r>
      <w:r>
        <w:rPr>
          <w:spacing w:val="-5"/>
        </w:rPr>
        <w:t xml:space="preserve"> </w:t>
      </w:r>
      <w:r>
        <w:t>settings,</w:t>
      </w:r>
      <w:r>
        <w:rPr>
          <w:spacing w:val="-1"/>
        </w:rPr>
        <w:t xml:space="preserve"> </w:t>
      </w:r>
      <w:r>
        <w:t>social</w:t>
      </w:r>
      <w:r>
        <w:rPr>
          <w:spacing w:val="-3"/>
        </w:rPr>
        <w:t xml:space="preserve"> </w:t>
      </w:r>
      <w:r>
        <w:t>service</w:t>
      </w:r>
      <w:r>
        <w:rPr>
          <w:spacing w:val="-2"/>
        </w:rPr>
        <w:t xml:space="preserve"> </w:t>
      </w:r>
      <w:r>
        <w:t>programs,</w:t>
      </w:r>
      <w:r>
        <w:rPr>
          <w:spacing w:val="-5"/>
        </w:rPr>
        <w:t xml:space="preserve"> </w:t>
      </w:r>
      <w:r>
        <w:t>or</w:t>
      </w:r>
      <w:r>
        <w:rPr>
          <w:spacing w:val="-3"/>
        </w:rPr>
        <w:t xml:space="preserve"> </w:t>
      </w:r>
      <w:r>
        <w:t>specialized</w:t>
      </w:r>
      <w:r>
        <w:rPr>
          <w:spacing w:val="-4"/>
        </w:rPr>
        <w:t xml:space="preserve"> </w:t>
      </w:r>
      <w:r>
        <w:t>addiction treatment programs. Screening, brief intervention, and referral to treatment (SBIRT), which includes motivational enhancemen</w:t>
      </w:r>
      <w:r>
        <w:t>t strategies, is an early intervention approach that can be a bridge from medical settings to specialty SUD treatment in an integrated healthcare system (McCance-Katz &amp; Satterfeld, 2012). Chapter 2 provides detailed information on SBIRT.</w:t>
      </w:r>
    </w:p>
    <w:p w14:paraId="179ADDD1" w14:textId="77777777" w:rsidR="00DB6E1F" w:rsidRDefault="00F666A6">
      <w:pPr>
        <w:pStyle w:val="Heading2"/>
        <w:spacing w:before="163"/>
      </w:pPr>
      <w:bookmarkStart w:id="48" w:name="TTM_of_the_SOC"/>
      <w:bookmarkStart w:id="49" w:name="_bookmark8"/>
      <w:bookmarkEnd w:id="48"/>
      <w:bookmarkEnd w:id="49"/>
      <w:r>
        <w:t>TTM</w:t>
      </w:r>
      <w:r>
        <w:rPr>
          <w:spacing w:val="-1"/>
        </w:rPr>
        <w:t xml:space="preserve"> </w:t>
      </w:r>
      <w:r>
        <w:t>of</w:t>
      </w:r>
      <w:r>
        <w:rPr>
          <w:spacing w:val="-1"/>
        </w:rPr>
        <w:t xml:space="preserve"> </w:t>
      </w:r>
      <w:r>
        <w:t xml:space="preserve">the </w:t>
      </w:r>
      <w:r>
        <w:rPr>
          <w:spacing w:val="-5"/>
        </w:rPr>
        <w:t>SOC</w:t>
      </w:r>
    </w:p>
    <w:p w14:paraId="2B3C5E4A" w14:textId="77777777" w:rsidR="00DB6E1F" w:rsidRDefault="00F666A6">
      <w:pPr>
        <w:pStyle w:val="BodyText"/>
        <w:spacing w:before="150"/>
        <w:ind w:left="1440" w:right="1491"/>
      </w:pPr>
      <w:r>
        <w:t>In</w:t>
      </w:r>
      <w:r>
        <w:rPr>
          <w:spacing w:val="-3"/>
        </w:rPr>
        <w:t xml:space="preserve"> </w:t>
      </w:r>
      <w:r>
        <w:t>developing</w:t>
      </w:r>
      <w:r>
        <w:rPr>
          <w:spacing w:val="-3"/>
        </w:rPr>
        <w:t xml:space="preserve"> </w:t>
      </w:r>
      <w:r>
        <w:t>a</w:t>
      </w:r>
      <w:r>
        <w:rPr>
          <w:spacing w:val="-2"/>
        </w:rPr>
        <w:t xml:space="preserve"> </w:t>
      </w:r>
      <w:r>
        <w:t>new</w:t>
      </w:r>
      <w:r>
        <w:rPr>
          <w:spacing w:val="-1"/>
        </w:rPr>
        <w:t xml:space="preserve"> </w:t>
      </w:r>
      <w:r>
        <w:t>understanding</w:t>
      </w:r>
      <w:r>
        <w:rPr>
          <w:spacing w:val="-3"/>
        </w:rPr>
        <w:t xml:space="preserve"> </w:t>
      </w:r>
      <w:r>
        <w:t>of</w:t>
      </w:r>
      <w:r>
        <w:rPr>
          <w:spacing w:val="-4"/>
        </w:rPr>
        <w:t xml:space="preserve"> </w:t>
      </w:r>
      <w:r>
        <w:t>motivation,</w:t>
      </w:r>
      <w:r>
        <w:rPr>
          <w:spacing w:val="-5"/>
        </w:rPr>
        <w:t xml:space="preserve"> </w:t>
      </w:r>
      <w:r>
        <w:t>substantial</w:t>
      </w:r>
      <w:r>
        <w:rPr>
          <w:spacing w:val="-2"/>
        </w:rPr>
        <w:t xml:space="preserve"> </w:t>
      </w:r>
      <w:r>
        <w:t>addiction</w:t>
      </w:r>
      <w:r>
        <w:rPr>
          <w:spacing w:val="-3"/>
        </w:rPr>
        <w:t xml:space="preserve"> </w:t>
      </w:r>
      <w:r>
        <w:t>research</w:t>
      </w:r>
      <w:r>
        <w:rPr>
          <w:spacing w:val="-5"/>
        </w:rPr>
        <w:t xml:space="preserve"> </w:t>
      </w:r>
      <w:r>
        <w:t>has</w:t>
      </w:r>
      <w:r>
        <w:rPr>
          <w:spacing w:val="-2"/>
        </w:rPr>
        <w:t xml:space="preserve"> </w:t>
      </w:r>
      <w:r>
        <w:t>focused</w:t>
      </w:r>
      <w:r>
        <w:rPr>
          <w:spacing w:val="-3"/>
        </w:rPr>
        <w:t xml:space="preserve"> </w:t>
      </w:r>
      <w:r>
        <w:t>on</w:t>
      </w:r>
      <w:r>
        <w:rPr>
          <w:spacing w:val="-5"/>
        </w:rPr>
        <w:t xml:space="preserve"> </w:t>
      </w:r>
      <w:r>
        <w:t xml:space="preserve">the determinants and mechanisms of change. By understanding better how people change without professional assistance, researchers and counselors have become better </w:t>
      </w:r>
      <w:r>
        <w:t>able to develop and apply interventions to facilitate changes in clients’ substance use behaviors.</w:t>
      </w:r>
    </w:p>
    <w:p w14:paraId="45F9FBAC" w14:textId="77777777" w:rsidR="00DB6E1F" w:rsidRDefault="00F666A6">
      <w:pPr>
        <w:pStyle w:val="Heading3"/>
        <w:spacing w:before="165"/>
      </w:pPr>
      <w:bookmarkStart w:id="50" w:name="Natural_Change"/>
      <w:bookmarkEnd w:id="50"/>
      <w:r>
        <w:t>Natural</w:t>
      </w:r>
      <w:r>
        <w:rPr>
          <w:spacing w:val="-11"/>
        </w:rPr>
        <w:t xml:space="preserve"> </w:t>
      </w:r>
      <w:r>
        <w:rPr>
          <w:spacing w:val="-2"/>
        </w:rPr>
        <w:t>Change</w:t>
      </w:r>
    </w:p>
    <w:p w14:paraId="2238D791" w14:textId="77777777" w:rsidR="00DB6E1F" w:rsidRDefault="00F666A6">
      <w:pPr>
        <w:pStyle w:val="BodyText"/>
        <w:spacing w:before="140"/>
        <w:ind w:left="1439" w:right="1491"/>
      </w:pPr>
      <w:r>
        <w:rPr>
          <w:b/>
        </w:rPr>
        <w:t xml:space="preserve">Many adults in the United States resolve an alcohol or drug use problem without assistance </w:t>
      </w:r>
      <w:r>
        <w:t>(Kelly et al., 2017). This is called “natural recovery.” Recovery from SUDs can happen with limited treatment or participation</w:t>
      </w:r>
      <w:r>
        <w:rPr>
          <w:spacing w:val="-3"/>
        </w:rPr>
        <w:t xml:space="preserve"> </w:t>
      </w:r>
      <w:r>
        <w:t>in</w:t>
      </w:r>
      <w:r>
        <w:rPr>
          <w:spacing w:val="-5"/>
        </w:rPr>
        <w:t xml:space="preserve"> </w:t>
      </w:r>
      <w:r>
        <w:t>mutual-aid</w:t>
      </w:r>
      <w:r>
        <w:rPr>
          <w:spacing w:val="-5"/>
        </w:rPr>
        <w:t xml:space="preserve"> </w:t>
      </w:r>
      <w:r>
        <w:t>support</w:t>
      </w:r>
      <w:r>
        <w:rPr>
          <w:spacing w:val="-1"/>
        </w:rPr>
        <w:t xml:space="preserve"> </w:t>
      </w:r>
      <w:r>
        <w:t>groups</w:t>
      </w:r>
      <w:r>
        <w:rPr>
          <w:spacing w:val="-4"/>
        </w:rPr>
        <w:t xml:space="preserve"> </w:t>
      </w:r>
      <w:r>
        <w:t>such</w:t>
      </w:r>
      <w:r>
        <w:rPr>
          <w:spacing w:val="-3"/>
        </w:rPr>
        <w:t xml:space="preserve"> </w:t>
      </w:r>
      <w:r>
        <w:t>as</w:t>
      </w:r>
      <w:r>
        <w:rPr>
          <w:spacing w:val="-2"/>
        </w:rPr>
        <w:t xml:space="preserve"> </w:t>
      </w:r>
      <w:r>
        <w:t>A</w:t>
      </w:r>
      <w:r>
        <w:t>lcoholics</w:t>
      </w:r>
      <w:r>
        <w:rPr>
          <w:spacing w:val="-4"/>
        </w:rPr>
        <w:t xml:space="preserve"> </w:t>
      </w:r>
      <w:r>
        <w:t>Anonymous</w:t>
      </w:r>
      <w:r>
        <w:rPr>
          <w:spacing w:val="-2"/>
        </w:rPr>
        <w:t xml:space="preserve"> </w:t>
      </w:r>
      <w:r>
        <w:t>and</w:t>
      </w:r>
      <w:r>
        <w:rPr>
          <w:spacing w:val="-2"/>
        </w:rPr>
        <w:t xml:space="preserve"> </w:t>
      </w:r>
      <w:r>
        <w:t>Narcotics</w:t>
      </w:r>
      <w:r>
        <w:rPr>
          <w:spacing w:val="-2"/>
        </w:rPr>
        <w:t xml:space="preserve"> </w:t>
      </w:r>
      <w:r>
        <w:t>Anonymous.</w:t>
      </w:r>
      <w:r>
        <w:rPr>
          <w:spacing w:val="-2"/>
        </w:rPr>
        <w:t xml:space="preserve"> </w:t>
      </w:r>
      <w:r>
        <w:t>As many as 45 percent of participants in the National Prevalence Survey resolved their substance use problems through participation in mutual-aid support programs (Kelly et al., 2017).</w:t>
      </w:r>
    </w:p>
    <w:p w14:paraId="79B2A698" w14:textId="77777777" w:rsidR="00DB6E1F" w:rsidRDefault="00F666A6">
      <w:pPr>
        <w:pStyle w:val="BodyText"/>
        <w:spacing w:before="160"/>
        <w:ind w:left="1439" w:right="1491"/>
      </w:pPr>
      <w:r>
        <w:t>Behavior change is a process that</w:t>
      </w:r>
      <w:r>
        <w:rPr>
          <w:spacing w:val="-2"/>
        </w:rPr>
        <w:t xml:space="preserve"> </w:t>
      </w:r>
      <w:r>
        <w:t>occurs</w:t>
      </w:r>
      <w:r>
        <w:rPr>
          <w:spacing w:val="-2"/>
        </w:rPr>
        <w:t xml:space="preserve"> </w:t>
      </w:r>
      <w:r>
        <w:t>over</w:t>
      </w:r>
      <w:r>
        <w:rPr>
          <w:spacing w:val="-2"/>
        </w:rPr>
        <w:t xml:space="preserve"> </w:t>
      </w:r>
      <w:r>
        <w:t>time; it</w:t>
      </w:r>
      <w:r>
        <w:rPr>
          <w:spacing w:val="-2"/>
        </w:rPr>
        <w:t xml:space="preserve"> </w:t>
      </w:r>
      <w:r>
        <w:t>is not</w:t>
      </w:r>
      <w:r>
        <w:rPr>
          <w:spacing w:val="-2"/>
        </w:rPr>
        <w:t xml:space="preserve"> </w:t>
      </w:r>
      <w:r>
        <w:t>an</w:t>
      </w:r>
      <w:r>
        <w:rPr>
          <w:spacing w:val="-1"/>
        </w:rPr>
        <w:t xml:space="preserve"> </w:t>
      </w:r>
      <w:r>
        <w:t>outcom</w:t>
      </w:r>
      <w:r>
        <w:t>e</w:t>
      </w:r>
      <w:r>
        <w:rPr>
          <w:spacing w:val="-1"/>
        </w:rPr>
        <w:t xml:space="preserve"> </w:t>
      </w:r>
      <w:r>
        <w:t>of</w:t>
      </w:r>
      <w:r>
        <w:rPr>
          <w:spacing w:val="-2"/>
        </w:rPr>
        <w:t xml:space="preserve"> </w:t>
      </w:r>
      <w:r>
        <w:t>any</w:t>
      </w:r>
      <w:r>
        <w:rPr>
          <w:spacing w:val="-2"/>
        </w:rPr>
        <w:t xml:space="preserve"> </w:t>
      </w:r>
      <w:r>
        <w:t>one treatment</w:t>
      </w:r>
      <w:r>
        <w:rPr>
          <w:spacing w:val="-2"/>
        </w:rPr>
        <w:t xml:space="preserve"> </w:t>
      </w:r>
      <w:r>
        <w:t>episode (Miller et al., 2011). Everyone must make decisions about important life changes, such as marriage or divorce or buying a house. Sometimes, individuals consult a counselor or other specialist to help with these ordinary decis</w:t>
      </w:r>
      <w:r>
        <w:t>ions, but usually people decide on such changes without professional assistance. Natural</w:t>
      </w:r>
      <w:r>
        <w:rPr>
          <w:spacing w:val="-2"/>
        </w:rPr>
        <w:t xml:space="preserve"> </w:t>
      </w:r>
      <w:r>
        <w:t>change</w:t>
      </w:r>
      <w:r>
        <w:rPr>
          <w:spacing w:val="-1"/>
        </w:rPr>
        <w:t xml:space="preserve"> </w:t>
      </w:r>
      <w:r>
        <w:t>related</w:t>
      </w:r>
      <w:r>
        <w:rPr>
          <w:spacing w:val="-3"/>
        </w:rPr>
        <w:t xml:space="preserve"> </w:t>
      </w:r>
      <w:r>
        <w:t>to</w:t>
      </w:r>
      <w:r>
        <w:rPr>
          <w:spacing w:val="-3"/>
        </w:rPr>
        <w:t xml:space="preserve"> </w:t>
      </w:r>
      <w:r>
        <w:t>substance</w:t>
      </w:r>
      <w:r>
        <w:rPr>
          <w:spacing w:val="-1"/>
        </w:rPr>
        <w:t xml:space="preserve"> </w:t>
      </w:r>
      <w:r>
        <w:t>use</w:t>
      </w:r>
      <w:r>
        <w:rPr>
          <w:spacing w:val="-4"/>
        </w:rPr>
        <w:t xml:space="preserve"> </w:t>
      </w:r>
      <w:r>
        <w:t>also</w:t>
      </w:r>
      <w:r>
        <w:rPr>
          <w:spacing w:val="-3"/>
        </w:rPr>
        <w:t xml:space="preserve"> </w:t>
      </w:r>
      <w:r>
        <w:t>entails</w:t>
      </w:r>
      <w:r>
        <w:rPr>
          <w:spacing w:val="-4"/>
        </w:rPr>
        <w:t xml:space="preserve"> </w:t>
      </w:r>
      <w:r>
        <w:t>decisions</w:t>
      </w:r>
      <w:r>
        <w:rPr>
          <w:spacing w:val="-4"/>
        </w:rPr>
        <w:t xml:space="preserve"> </w:t>
      </w:r>
      <w:r>
        <w:t>to</w:t>
      </w:r>
      <w:r>
        <w:rPr>
          <w:spacing w:val="-1"/>
        </w:rPr>
        <w:t xml:space="preserve"> </w:t>
      </w:r>
      <w:r>
        <w:t>increase,</w:t>
      </w:r>
      <w:r>
        <w:rPr>
          <w:spacing w:val="-2"/>
        </w:rPr>
        <w:t xml:space="preserve"> </w:t>
      </w:r>
      <w:r>
        <w:t>decrease,</w:t>
      </w:r>
      <w:r>
        <w:rPr>
          <w:spacing w:val="-4"/>
        </w:rPr>
        <w:t xml:space="preserve"> </w:t>
      </w:r>
      <w:r>
        <w:t>or</w:t>
      </w:r>
      <w:r>
        <w:rPr>
          <w:spacing w:val="-2"/>
        </w:rPr>
        <w:t xml:space="preserve"> </w:t>
      </w:r>
      <w:r>
        <w:t>stop</w:t>
      </w:r>
      <w:r>
        <w:rPr>
          <w:spacing w:val="-3"/>
        </w:rPr>
        <w:t xml:space="preserve"> </w:t>
      </w:r>
      <w:r>
        <w:t>substance use. Some decisions are responses to critical life events, others refle</w:t>
      </w:r>
      <w:r>
        <w:t>ct different kinds of external pressures, and still others are motivated by personal values.</w:t>
      </w:r>
    </w:p>
    <w:p w14:paraId="55AE1C04" w14:textId="77777777" w:rsidR="00DB6E1F" w:rsidRDefault="00F666A6">
      <w:pPr>
        <w:pStyle w:val="BodyText"/>
        <w:spacing w:before="159"/>
        <w:ind w:left="1439" w:right="1555"/>
      </w:pPr>
      <w:r>
        <w:t>Exhibit</w:t>
      </w:r>
      <w:r>
        <w:rPr>
          <w:spacing w:val="-3"/>
        </w:rPr>
        <w:t xml:space="preserve"> </w:t>
      </w:r>
      <w:r>
        <w:t>1.2</w:t>
      </w:r>
      <w:r>
        <w:rPr>
          <w:spacing w:val="-2"/>
        </w:rPr>
        <w:t xml:space="preserve"> </w:t>
      </w:r>
      <w:r>
        <w:t>illustrates</w:t>
      </w:r>
      <w:r>
        <w:rPr>
          <w:spacing w:val="-4"/>
        </w:rPr>
        <w:t xml:space="preserve"> </w:t>
      </w:r>
      <w:r>
        <w:t>two</w:t>
      </w:r>
      <w:r>
        <w:rPr>
          <w:spacing w:val="-2"/>
        </w:rPr>
        <w:t xml:space="preserve"> </w:t>
      </w:r>
      <w:r>
        <w:t>kinds</w:t>
      </w:r>
      <w:r>
        <w:rPr>
          <w:spacing w:val="-3"/>
        </w:rPr>
        <w:t xml:space="preserve"> </w:t>
      </w:r>
      <w:r>
        <w:t>of</w:t>
      </w:r>
      <w:r>
        <w:rPr>
          <w:spacing w:val="-3"/>
        </w:rPr>
        <w:t xml:space="preserve"> </w:t>
      </w:r>
      <w:r>
        <w:t>natural</w:t>
      </w:r>
      <w:r>
        <w:rPr>
          <w:spacing w:val="-4"/>
        </w:rPr>
        <w:t xml:space="preserve"> </w:t>
      </w:r>
      <w:r>
        <w:t>change.</w:t>
      </w:r>
      <w:r>
        <w:rPr>
          <w:spacing w:val="-3"/>
        </w:rPr>
        <w:t xml:space="preserve"> </w:t>
      </w:r>
      <w:r>
        <w:t>Natural</w:t>
      </w:r>
      <w:r>
        <w:rPr>
          <w:spacing w:val="-3"/>
        </w:rPr>
        <w:t xml:space="preserve"> </w:t>
      </w:r>
      <w:r>
        <w:t>changes</w:t>
      </w:r>
      <w:r>
        <w:rPr>
          <w:spacing w:val="-3"/>
        </w:rPr>
        <w:t xml:space="preserve"> </w:t>
      </w:r>
      <w:r>
        <w:t>related</w:t>
      </w:r>
      <w:r>
        <w:rPr>
          <w:spacing w:val="-3"/>
        </w:rPr>
        <w:t xml:space="preserve"> </w:t>
      </w:r>
      <w:r>
        <w:t>to</w:t>
      </w:r>
      <w:r>
        <w:rPr>
          <w:spacing w:val="-2"/>
        </w:rPr>
        <w:t xml:space="preserve"> </w:t>
      </w:r>
      <w:r>
        <w:t>substance</w:t>
      </w:r>
      <w:r>
        <w:rPr>
          <w:spacing w:val="-2"/>
        </w:rPr>
        <w:t xml:space="preserve"> </w:t>
      </w:r>
      <w:r>
        <w:t>use</w:t>
      </w:r>
      <w:r>
        <w:rPr>
          <w:spacing w:val="-2"/>
        </w:rPr>
        <w:t xml:space="preserve"> </w:t>
      </w:r>
      <w:r>
        <w:t>can</w:t>
      </w:r>
      <w:r>
        <w:rPr>
          <w:spacing w:val="-3"/>
        </w:rPr>
        <w:t xml:space="preserve"> </w:t>
      </w:r>
      <w:r>
        <w:t>go</w:t>
      </w:r>
      <w:r>
        <w:rPr>
          <w:spacing w:val="-2"/>
        </w:rPr>
        <w:t xml:space="preserve"> </w:t>
      </w:r>
      <w:r>
        <w:t>in either direction. In</w:t>
      </w:r>
      <w:r>
        <w:rPr>
          <w:spacing w:val="-1"/>
        </w:rPr>
        <w:t xml:space="preserve"> </w:t>
      </w:r>
      <w:r>
        <w:t>response to an</w:t>
      </w:r>
      <w:r>
        <w:rPr>
          <w:spacing w:val="-1"/>
        </w:rPr>
        <w:t xml:space="preserve"> </w:t>
      </w:r>
      <w:r>
        <w:t>impending</w:t>
      </w:r>
      <w:r>
        <w:rPr>
          <w:spacing w:val="-1"/>
        </w:rPr>
        <w:t xml:space="preserve"> </w:t>
      </w:r>
      <w:r>
        <w:t>divorce,</w:t>
      </w:r>
      <w:r>
        <w:rPr>
          <w:spacing w:val="-5"/>
        </w:rPr>
        <w:t xml:space="preserve"> </w:t>
      </w:r>
      <w:r>
        <w:t>for example,</w:t>
      </w:r>
      <w:r>
        <w:rPr>
          <w:spacing w:val="-2"/>
        </w:rPr>
        <w:t xml:space="preserve"> </w:t>
      </w:r>
      <w:r>
        <w:t>one individual</w:t>
      </w:r>
      <w:r>
        <w:rPr>
          <w:spacing w:val="-3"/>
        </w:rPr>
        <w:t xml:space="preserve"> </w:t>
      </w:r>
      <w:r>
        <w:t>may begin</w:t>
      </w:r>
      <w:r>
        <w:rPr>
          <w:spacing w:val="-1"/>
        </w:rPr>
        <w:t xml:space="preserve"> </w:t>
      </w:r>
      <w:r>
        <w:t>to drink heavily whereas another may reduce or stop using alcohol. Recognizing the processes involved in natural</w:t>
      </w:r>
      <w:r>
        <w:rPr>
          <w:spacing w:val="-2"/>
        </w:rPr>
        <w:t xml:space="preserve"> </w:t>
      </w:r>
      <w:r>
        <w:t>recovery</w:t>
      </w:r>
      <w:r>
        <w:rPr>
          <w:spacing w:val="-3"/>
        </w:rPr>
        <w:t xml:space="preserve"> </w:t>
      </w:r>
      <w:r>
        <w:t>and</w:t>
      </w:r>
      <w:r>
        <w:rPr>
          <w:spacing w:val="-3"/>
        </w:rPr>
        <w:t xml:space="preserve"> </w:t>
      </w:r>
      <w:r>
        <w:t>self-directed</w:t>
      </w:r>
      <w:r>
        <w:rPr>
          <w:spacing w:val="-5"/>
        </w:rPr>
        <w:t xml:space="preserve"> </w:t>
      </w:r>
      <w:r>
        <w:t>change</w:t>
      </w:r>
      <w:r>
        <w:rPr>
          <w:spacing w:val="-1"/>
        </w:rPr>
        <w:t xml:space="preserve"> </w:t>
      </w:r>
      <w:r>
        <w:t>illustrates</w:t>
      </w:r>
      <w:r>
        <w:rPr>
          <w:spacing w:val="-2"/>
        </w:rPr>
        <w:t xml:space="preserve"> </w:t>
      </w:r>
      <w:r>
        <w:t>how</w:t>
      </w:r>
      <w:r>
        <w:rPr>
          <w:spacing w:val="-4"/>
        </w:rPr>
        <w:t xml:space="preserve"> </w:t>
      </w:r>
      <w:r>
        <w:t>changes</w:t>
      </w:r>
      <w:r>
        <w:rPr>
          <w:spacing w:val="-2"/>
        </w:rPr>
        <w:t xml:space="preserve"> </w:t>
      </w:r>
      <w:r>
        <w:t>related</w:t>
      </w:r>
      <w:r>
        <w:rPr>
          <w:spacing w:val="-5"/>
        </w:rPr>
        <w:t xml:space="preserve"> </w:t>
      </w:r>
      <w:r>
        <w:t>to</w:t>
      </w:r>
      <w:r>
        <w:rPr>
          <w:spacing w:val="-3"/>
        </w:rPr>
        <w:t xml:space="preserve"> </w:t>
      </w:r>
      <w:r>
        <w:t>substance</w:t>
      </w:r>
      <w:r>
        <w:rPr>
          <w:spacing w:val="-1"/>
        </w:rPr>
        <w:t xml:space="preserve"> </w:t>
      </w:r>
      <w:r>
        <w:t>use</w:t>
      </w:r>
      <w:r>
        <w:rPr>
          <w:spacing w:val="-4"/>
        </w:rPr>
        <w:t xml:space="preserve"> </w:t>
      </w:r>
      <w:r>
        <w:t>behaviors can</w:t>
      </w:r>
      <w:r>
        <w:t xml:space="preserve"> be precipitated and stimulated by enhancing motivation.</w:t>
      </w:r>
    </w:p>
    <w:p w14:paraId="1375969A" w14:textId="77777777" w:rsidR="00DB6E1F" w:rsidRDefault="00DB6E1F">
      <w:pPr>
        <w:pStyle w:val="BodyText"/>
        <w:spacing w:before="5"/>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6"/>
        <w:gridCol w:w="6024"/>
      </w:tblGrid>
      <w:tr w:rsidR="00DB6E1F" w14:paraId="4BD60271" w14:textId="77777777">
        <w:trPr>
          <w:trHeight w:val="503"/>
        </w:trPr>
        <w:tc>
          <w:tcPr>
            <w:tcW w:w="9350" w:type="dxa"/>
            <w:gridSpan w:val="2"/>
            <w:shd w:val="clear" w:color="auto" w:fill="050505"/>
          </w:tcPr>
          <w:p w14:paraId="211F60EC" w14:textId="77777777" w:rsidR="00DB6E1F" w:rsidRDefault="00F666A6">
            <w:pPr>
              <w:pStyle w:val="TableParagraph"/>
              <w:spacing w:before="102"/>
              <w:ind w:left="210"/>
              <w:rPr>
                <w:sz w:val="24"/>
              </w:rPr>
            </w:pPr>
            <w:r>
              <w:rPr>
                <w:color w:val="FFFFFF"/>
                <w:sz w:val="24"/>
              </w:rPr>
              <w:t>Exhibit</w:t>
            </w:r>
            <w:r>
              <w:rPr>
                <w:color w:val="FFFFFF"/>
                <w:spacing w:val="-2"/>
                <w:sz w:val="24"/>
              </w:rPr>
              <w:t xml:space="preserve"> </w:t>
            </w:r>
            <w:r>
              <w:rPr>
                <w:color w:val="FFFFFF"/>
                <w:sz w:val="24"/>
              </w:rPr>
              <w:t>1.2.</w:t>
            </w:r>
            <w:r>
              <w:rPr>
                <w:color w:val="FFFFFF"/>
                <w:spacing w:val="-1"/>
                <w:sz w:val="24"/>
              </w:rPr>
              <w:t xml:space="preserve"> </w:t>
            </w:r>
            <w:r>
              <w:rPr>
                <w:color w:val="FFFFFF"/>
                <w:sz w:val="24"/>
              </w:rPr>
              <w:t>Examples</w:t>
            </w:r>
            <w:r>
              <w:rPr>
                <w:color w:val="FFFFFF"/>
                <w:spacing w:val="-2"/>
                <w:sz w:val="24"/>
              </w:rPr>
              <w:t xml:space="preserve"> </w:t>
            </w:r>
            <w:r>
              <w:rPr>
                <w:color w:val="FFFFFF"/>
                <w:sz w:val="24"/>
              </w:rPr>
              <w:t>of</w:t>
            </w:r>
            <w:r>
              <w:rPr>
                <w:color w:val="FFFFFF"/>
                <w:spacing w:val="-2"/>
                <w:sz w:val="24"/>
              </w:rPr>
              <w:t xml:space="preserve"> </w:t>
            </w:r>
            <w:r>
              <w:rPr>
                <w:color w:val="FFFFFF"/>
                <w:sz w:val="24"/>
              </w:rPr>
              <w:t>Natural</w:t>
            </w:r>
            <w:r>
              <w:rPr>
                <w:color w:val="FFFFFF"/>
                <w:spacing w:val="1"/>
                <w:sz w:val="24"/>
              </w:rPr>
              <w:t xml:space="preserve"> </w:t>
            </w:r>
            <w:r>
              <w:rPr>
                <w:color w:val="FFFFFF"/>
                <w:spacing w:val="-2"/>
                <w:sz w:val="24"/>
              </w:rPr>
              <w:t>Changes</w:t>
            </w:r>
          </w:p>
        </w:tc>
      </w:tr>
      <w:tr w:rsidR="00DB6E1F" w14:paraId="43DF305E" w14:textId="77777777">
        <w:trPr>
          <w:trHeight w:val="364"/>
        </w:trPr>
        <w:tc>
          <w:tcPr>
            <w:tcW w:w="3326" w:type="dxa"/>
          </w:tcPr>
          <w:p w14:paraId="6C28988B" w14:textId="77777777" w:rsidR="00DB6E1F" w:rsidRDefault="00F666A6">
            <w:pPr>
              <w:pStyle w:val="TableParagraph"/>
              <w:rPr>
                <w:sz w:val="20"/>
              </w:rPr>
            </w:pPr>
            <w:r>
              <w:rPr>
                <w:sz w:val="20"/>
              </w:rPr>
              <w:t>Common</w:t>
            </w:r>
            <w:r>
              <w:rPr>
                <w:spacing w:val="-6"/>
                <w:sz w:val="20"/>
              </w:rPr>
              <w:t xml:space="preserve"> </w:t>
            </w:r>
            <w:r>
              <w:rPr>
                <w:sz w:val="20"/>
              </w:rPr>
              <w:t>Natural</w:t>
            </w:r>
            <w:r>
              <w:rPr>
                <w:spacing w:val="-7"/>
                <w:sz w:val="20"/>
              </w:rPr>
              <w:t xml:space="preserve"> </w:t>
            </w:r>
            <w:r>
              <w:rPr>
                <w:spacing w:val="-2"/>
                <w:sz w:val="20"/>
              </w:rPr>
              <w:t>Changes</w:t>
            </w:r>
          </w:p>
        </w:tc>
        <w:tc>
          <w:tcPr>
            <w:tcW w:w="6024" w:type="dxa"/>
          </w:tcPr>
          <w:p w14:paraId="6C70F11F" w14:textId="77777777" w:rsidR="00DB6E1F" w:rsidRDefault="00F666A6">
            <w:pPr>
              <w:pStyle w:val="TableParagraph"/>
              <w:ind w:left="105"/>
              <w:rPr>
                <w:sz w:val="20"/>
              </w:rPr>
            </w:pPr>
            <w:r>
              <w:rPr>
                <w:sz w:val="20"/>
              </w:rPr>
              <w:t>Natural</w:t>
            </w:r>
            <w:r>
              <w:rPr>
                <w:spacing w:val="-8"/>
                <w:sz w:val="20"/>
              </w:rPr>
              <w:t xml:space="preserve"> </w:t>
            </w:r>
            <w:r>
              <w:rPr>
                <w:sz w:val="20"/>
              </w:rPr>
              <w:t>Changes</w:t>
            </w:r>
            <w:r>
              <w:rPr>
                <w:spacing w:val="-9"/>
                <w:sz w:val="20"/>
              </w:rPr>
              <w:t xml:space="preserve"> </w:t>
            </w:r>
            <w:r>
              <w:rPr>
                <w:sz w:val="20"/>
              </w:rPr>
              <w:t>in</w:t>
            </w:r>
            <w:r>
              <w:rPr>
                <w:spacing w:val="-6"/>
                <w:sz w:val="20"/>
              </w:rPr>
              <w:t xml:space="preserve"> </w:t>
            </w:r>
            <w:r>
              <w:rPr>
                <w:sz w:val="20"/>
              </w:rPr>
              <w:t>Substance</w:t>
            </w:r>
            <w:r>
              <w:rPr>
                <w:spacing w:val="-6"/>
                <w:sz w:val="20"/>
              </w:rPr>
              <w:t xml:space="preserve"> </w:t>
            </w:r>
            <w:r>
              <w:rPr>
                <w:spacing w:val="-5"/>
                <w:sz w:val="20"/>
              </w:rPr>
              <w:t>Use</w:t>
            </w:r>
          </w:p>
        </w:tc>
      </w:tr>
      <w:tr w:rsidR="00DB6E1F" w14:paraId="5BAFE079" w14:textId="77777777">
        <w:trPr>
          <w:trHeight w:val="923"/>
        </w:trPr>
        <w:tc>
          <w:tcPr>
            <w:tcW w:w="3326" w:type="dxa"/>
          </w:tcPr>
          <w:p w14:paraId="644F5499" w14:textId="77777777" w:rsidR="00DB6E1F" w:rsidRDefault="00F666A6">
            <w:pPr>
              <w:pStyle w:val="TableParagraph"/>
              <w:numPr>
                <w:ilvl w:val="0"/>
                <w:numId w:val="88"/>
              </w:numPr>
              <w:tabs>
                <w:tab w:val="left" w:pos="467"/>
                <w:tab w:val="left" w:pos="468"/>
              </w:tabs>
              <w:spacing w:before="38"/>
              <w:ind w:hanging="361"/>
              <w:rPr>
                <w:sz w:val="20"/>
              </w:rPr>
            </w:pPr>
            <w:r>
              <w:rPr>
                <w:sz w:val="20"/>
              </w:rPr>
              <w:t>Going</w:t>
            </w:r>
            <w:r>
              <w:rPr>
                <w:spacing w:val="-5"/>
                <w:sz w:val="20"/>
              </w:rPr>
              <w:t xml:space="preserve"> </w:t>
            </w:r>
            <w:r>
              <w:rPr>
                <w:sz w:val="20"/>
              </w:rPr>
              <w:t>to</w:t>
            </w:r>
            <w:r>
              <w:rPr>
                <w:spacing w:val="-4"/>
                <w:sz w:val="20"/>
              </w:rPr>
              <w:t xml:space="preserve"> </w:t>
            </w:r>
            <w:r>
              <w:rPr>
                <w:spacing w:val="-2"/>
                <w:sz w:val="20"/>
              </w:rPr>
              <w:t>college</w:t>
            </w:r>
          </w:p>
          <w:p w14:paraId="526D523D" w14:textId="77777777" w:rsidR="00DB6E1F" w:rsidRDefault="00F666A6">
            <w:pPr>
              <w:pStyle w:val="TableParagraph"/>
              <w:numPr>
                <w:ilvl w:val="0"/>
                <w:numId w:val="88"/>
              </w:numPr>
              <w:tabs>
                <w:tab w:val="left" w:pos="467"/>
                <w:tab w:val="left" w:pos="468"/>
              </w:tabs>
              <w:spacing w:before="41"/>
              <w:ind w:hanging="361"/>
              <w:rPr>
                <w:sz w:val="20"/>
              </w:rPr>
            </w:pPr>
            <w:r>
              <w:rPr>
                <w:sz w:val="20"/>
              </w:rPr>
              <w:t>Getting</w:t>
            </w:r>
            <w:r>
              <w:rPr>
                <w:spacing w:val="-9"/>
                <w:sz w:val="20"/>
              </w:rPr>
              <w:t xml:space="preserve"> </w:t>
            </w:r>
            <w:r>
              <w:rPr>
                <w:spacing w:val="-2"/>
                <w:sz w:val="20"/>
              </w:rPr>
              <w:t>married</w:t>
            </w:r>
          </w:p>
          <w:p w14:paraId="46F8D423" w14:textId="77777777" w:rsidR="00DB6E1F" w:rsidRDefault="00F666A6">
            <w:pPr>
              <w:pStyle w:val="TableParagraph"/>
              <w:numPr>
                <w:ilvl w:val="0"/>
                <w:numId w:val="88"/>
              </w:numPr>
              <w:tabs>
                <w:tab w:val="left" w:pos="467"/>
                <w:tab w:val="left" w:pos="468"/>
              </w:tabs>
              <w:spacing w:before="40"/>
              <w:ind w:hanging="361"/>
              <w:rPr>
                <w:sz w:val="20"/>
              </w:rPr>
            </w:pPr>
            <w:r>
              <w:rPr>
                <w:sz w:val="20"/>
              </w:rPr>
              <w:t>Getting</w:t>
            </w:r>
            <w:r>
              <w:rPr>
                <w:spacing w:val="-9"/>
                <w:sz w:val="20"/>
              </w:rPr>
              <w:t xml:space="preserve"> </w:t>
            </w:r>
            <w:r>
              <w:rPr>
                <w:spacing w:val="-2"/>
                <w:sz w:val="20"/>
              </w:rPr>
              <w:t>divorced</w:t>
            </w:r>
          </w:p>
        </w:tc>
        <w:tc>
          <w:tcPr>
            <w:tcW w:w="6024" w:type="dxa"/>
          </w:tcPr>
          <w:p w14:paraId="52EF24B8" w14:textId="77777777" w:rsidR="00DB6E1F" w:rsidRDefault="00F666A6">
            <w:pPr>
              <w:pStyle w:val="TableParagraph"/>
              <w:numPr>
                <w:ilvl w:val="0"/>
                <w:numId w:val="87"/>
              </w:numPr>
              <w:tabs>
                <w:tab w:val="left" w:pos="465"/>
                <w:tab w:val="left" w:pos="466"/>
              </w:tabs>
              <w:spacing w:before="38"/>
              <w:ind w:hanging="361"/>
              <w:rPr>
                <w:sz w:val="20"/>
              </w:rPr>
            </w:pPr>
            <w:r>
              <w:rPr>
                <w:sz w:val="20"/>
              </w:rPr>
              <w:t>Stopping</w:t>
            </w:r>
            <w:r>
              <w:rPr>
                <w:spacing w:val="-9"/>
                <w:sz w:val="20"/>
              </w:rPr>
              <w:t xml:space="preserve"> </w:t>
            </w:r>
            <w:r>
              <w:rPr>
                <w:sz w:val="20"/>
              </w:rPr>
              <w:t>drinking</w:t>
            </w:r>
            <w:r>
              <w:rPr>
                <w:spacing w:val="-8"/>
                <w:sz w:val="20"/>
              </w:rPr>
              <w:t xml:space="preserve"> </w:t>
            </w:r>
            <w:r>
              <w:rPr>
                <w:sz w:val="20"/>
              </w:rPr>
              <w:t>after</w:t>
            </w:r>
            <w:r>
              <w:rPr>
                <w:spacing w:val="-8"/>
                <w:sz w:val="20"/>
              </w:rPr>
              <w:t xml:space="preserve"> </w:t>
            </w:r>
            <w:r>
              <w:rPr>
                <w:sz w:val="20"/>
              </w:rPr>
              <w:t>an</w:t>
            </w:r>
            <w:r>
              <w:rPr>
                <w:spacing w:val="-7"/>
                <w:sz w:val="20"/>
              </w:rPr>
              <w:t xml:space="preserve"> </w:t>
            </w:r>
            <w:r>
              <w:rPr>
                <w:sz w:val="20"/>
              </w:rPr>
              <w:t>automobile</w:t>
            </w:r>
            <w:r>
              <w:rPr>
                <w:spacing w:val="-9"/>
                <w:sz w:val="20"/>
              </w:rPr>
              <w:t xml:space="preserve"> </w:t>
            </w:r>
            <w:r>
              <w:rPr>
                <w:spacing w:val="-2"/>
                <w:sz w:val="20"/>
              </w:rPr>
              <w:t>accident</w:t>
            </w:r>
          </w:p>
          <w:p w14:paraId="3B609729" w14:textId="77777777" w:rsidR="00DB6E1F" w:rsidRDefault="00F666A6">
            <w:pPr>
              <w:pStyle w:val="TableParagraph"/>
              <w:numPr>
                <w:ilvl w:val="0"/>
                <w:numId w:val="87"/>
              </w:numPr>
              <w:tabs>
                <w:tab w:val="left" w:pos="465"/>
                <w:tab w:val="left" w:pos="466"/>
              </w:tabs>
              <w:spacing w:before="41"/>
              <w:ind w:hanging="361"/>
              <w:rPr>
                <w:sz w:val="20"/>
              </w:rPr>
            </w:pPr>
            <w:r>
              <w:rPr>
                <w:sz w:val="20"/>
              </w:rPr>
              <w:t>Reducing</w:t>
            </w:r>
            <w:r>
              <w:rPr>
                <w:spacing w:val="-7"/>
                <w:sz w:val="20"/>
              </w:rPr>
              <w:t xml:space="preserve"> </w:t>
            </w:r>
            <w:r>
              <w:rPr>
                <w:sz w:val="20"/>
              </w:rPr>
              <w:t>alcohol</w:t>
            </w:r>
            <w:r>
              <w:rPr>
                <w:spacing w:val="-7"/>
                <w:sz w:val="20"/>
              </w:rPr>
              <w:t xml:space="preserve"> </w:t>
            </w:r>
            <w:r>
              <w:rPr>
                <w:sz w:val="20"/>
              </w:rPr>
              <w:t>use</w:t>
            </w:r>
            <w:r>
              <w:rPr>
                <w:spacing w:val="-8"/>
                <w:sz w:val="20"/>
              </w:rPr>
              <w:t xml:space="preserve"> </w:t>
            </w:r>
            <w:r>
              <w:rPr>
                <w:sz w:val="20"/>
              </w:rPr>
              <w:t>after</w:t>
            </w:r>
            <w:r>
              <w:rPr>
                <w:spacing w:val="-7"/>
                <w:sz w:val="20"/>
              </w:rPr>
              <w:t xml:space="preserve"> </w:t>
            </w:r>
            <w:r>
              <w:rPr>
                <w:spacing w:val="-2"/>
                <w:sz w:val="20"/>
              </w:rPr>
              <w:t>college</w:t>
            </w:r>
          </w:p>
          <w:p w14:paraId="0393E474" w14:textId="77777777" w:rsidR="00DB6E1F" w:rsidRDefault="00F666A6">
            <w:pPr>
              <w:pStyle w:val="TableParagraph"/>
              <w:numPr>
                <w:ilvl w:val="0"/>
                <w:numId w:val="87"/>
              </w:numPr>
              <w:tabs>
                <w:tab w:val="left" w:pos="465"/>
                <w:tab w:val="left" w:pos="466"/>
              </w:tabs>
              <w:spacing w:before="40"/>
              <w:ind w:hanging="361"/>
              <w:rPr>
                <w:sz w:val="20"/>
              </w:rPr>
            </w:pPr>
            <w:r>
              <w:rPr>
                <w:sz w:val="20"/>
              </w:rPr>
              <w:t>Stopping</w:t>
            </w:r>
            <w:r>
              <w:rPr>
                <w:spacing w:val="-8"/>
                <w:sz w:val="20"/>
              </w:rPr>
              <w:t xml:space="preserve"> </w:t>
            </w:r>
            <w:r>
              <w:rPr>
                <w:sz w:val="20"/>
              </w:rPr>
              <w:t>substance</w:t>
            </w:r>
            <w:r>
              <w:rPr>
                <w:spacing w:val="-8"/>
                <w:sz w:val="20"/>
              </w:rPr>
              <w:t xml:space="preserve"> </w:t>
            </w:r>
            <w:r>
              <w:rPr>
                <w:sz w:val="20"/>
              </w:rPr>
              <w:t>use</w:t>
            </w:r>
            <w:r>
              <w:rPr>
                <w:spacing w:val="-9"/>
                <w:sz w:val="20"/>
              </w:rPr>
              <w:t xml:space="preserve"> </w:t>
            </w:r>
            <w:r>
              <w:rPr>
                <w:sz w:val="20"/>
              </w:rPr>
              <w:t>before</w:t>
            </w:r>
            <w:r>
              <w:rPr>
                <w:spacing w:val="-8"/>
                <w:sz w:val="20"/>
              </w:rPr>
              <w:t xml:space="preserve"> </w:t>
            </w:r>
            <w:r>
              <w:rPr>
                <w:spacing w:val="-2"/>
                <w:sz w:val="20"/>
              </w:rPr>
              <w:t>pregnancy</w:t>
            </w:r>
          </w:p>
        </w:tc>
      </w:tr>
    </w:tbl>
    <w:p w14:paraId="054373DA" w14:textId="77777777" w:rsidR="00DB6E1F" w:rsidRDefault="00DB6E1F">
      <w:pPr>
        <w:rPr>
          <w:sz w:val="20"/>
        </w:rPr>
        <w:sectPr w:rsidR="00DB6E1F">
          <w:pgSz w:w="12240" w:h="15840"/>
          <w:pgMar w:top="1200" w:right="0" w:bottom="780" w:left="0" w:header="763" w:footer="585" w:gutter="0"/>
          <w:cols w:space="720"/>
        </w:sectPr>
      </w:pPr>
    </w:p>
    <w:p w14:paraId="07C02945"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6"/>
        <w:gridCol w:w="6024"/>
      </w:tblGrid>
      <w:tr w:rsidR="00DB6E1F" w14:paraId="7377FC2F" w14:textId="77777777">
        <w:trPr>
          <w:trHeight w:val="2063"/>
        </w:trPr>
        <w:tc>
          <w:tcPr>
            <w:tcW w:w="3326" w:type="dxa"/>
          </w:tcPr>
          <w:p w14:paraId="71FC02F2" w14:textId="77777777" w:rsidR="00DB6E1F" w:rsidRDefault="00F666A6">
            <w:pPr>
              <w:pStyle w:val="TableParagraph"/>
              <w:numPr>
                <w:ilvl w:val="0"/>
                <w:numId w:val="86"/>
              </w:numPr>
              <w:tabs>
                <w:tab w:val="left" w:pos="467"/>
                <w:tab w:val="left" w:pos="468"/>
              </w:tabs>
              <w:spacing w:before="0"/>
              <w:ind w:hanging="361"/>
              <w:rPr>
                <w:sz w:val="20"/>
              </w:rPr>
            </w:pPr>
            <w:r>
              <w:rPr>
                <w:sz w:val="20"/>
              </w:rPr>
              <w:t>Changing</w:t>
            </w:r>
            <w:r>
              <w:rPr>
                <w:spacing w:val="-11"/>
                <w:sz w:val="20"/>
              </w:rPr>
              <w:t xml:space="preserve"> </w:t>
            </w:r>
            <w:r>
              <w:rPr>
                <w:spacing w:val="-4"/>
                <w:sz w:val="20"/>
              </w:rPr>
              <w:t>jobs</w:t>
            </w:r>
          </w:p>
          <w:p w14:paraId="6C09F7AC" w14:textId="77777777" w:rsidR="00DB6E1F" w:rsidRDefault="00F666A6">
            <w:pPr>
              <w:pStyle w:val="TableParagraph"/>
              <w:numPr>
                <w:ilvl w:val="0"/>
                <w:numId w:val="86"/>
              </w:numPr>
              <w:tabs>
                <w:tab w:val="left" w:pos="467"/>
                <w:tab w:val="left" w:pos="468"/>
              </w:tabs>
              <w:spacing w:before="40"/>
              <w:ind w:hanging="361"/>
              <w:rPr>
                <w:sz w:val="20"/>
              </w:rPr>
            </w:pPr>
            <w:r>
              <w:rPr>
                <w:sz w:val="20"/>
              </w:rPr>
              <w:t>Joining</w:t>
            </w:r>
            <w:r>
              <w:rPr>
                <w:spacing w:val="-7"/>
                <w:sz w:val="20"/>
              </w:rPr>
              <w:t xml:space="preserve"> </w:t>
            </w:r>
            <w:r>
              <w:rPr>
                <w:sz w:val="20"/>
              </w:rPr>
              <w:t>the</w:t>
            </w:r>
            <w:r>
              <w:rPr>
                <w:spacing w:val="-7"/>
                <w:sz w:val="20"/>
              </w:rPr>
              <w:t xml:space="preserve"> </w:t>
            </w:r>
            <w:r>
              <w:rPr>
                <w:spacing w:val="-4"/>
                <w:sz w:val="20"/>
              </w:rPr>
              <w:t>Army</w:t>
            </w:r>
          </w:p>
          <w:p w14:paraId="556F61C4" w14:textId="77777777" w:rsidR="00DB6E1F" w:rsidRDefault="00F666A6">
            <w:pPr>
              <w:pStyle w:val="TableParagraph"/>
              <w:numPr>
                <w:ilvl w:val="0"/>
                <w:numId w:val="86"/>
              </w:numPr>
              <w:tabs>
                <w:tab w:val="left" w:pos="467"/>
                <w:tab w:val="left" w:pos="468"/>
              </w:tabs>
              <w:spacing w:before="41"/>
              <w:ind w:hanging="361"/>
              <w:rPr>
                <w:sz w:val="20"/>
              </w:rPr>
            </w:pPr>
            <w:r>
              <w:rPr>
                <w:sz w:val="20"/>
              </w:rPr>
              <w:t>Taking</w:t>
            </w:r>
            <w:r>
              <w:rPr>
                <w:spacing w:val="-5"/>
                <w:sz w:val="20"/>
              </w:rPr>
              <w:t xml:space="preserve"> </w:t>
            </w:r>
            <w:r>
              <w:rPr>
                <w:sz w:val="20"/>
              </w:rPr>
              <w:t>a</w:t>
            </w:r>
            <w:r>
              <w:rPr>
                <w:spacing w:val="-5"/>
                <w:sz w:val="20"/>
              </w:rPr>
              <w:t xml:space="preserve"> </w:t>
            </w:r>
            <w:r>
              <w:rPr>
                <w:spacing w:val="-2"/>
                <w:sz w:val="20"/>
              </w:rPr>
              <w:t>vacation</w:t>
            </w:r>
          </w:p>
          <w:p w14:paraId="2D0685C7" w14:textId="77777777" w:rsidR="00DB6E1F" w:rsidRDefault="00F666A6">
            <w:pPr>
              <w:pStyle w:val="TableParagraph"/>
              <w:numPr>
                <w:ilvl w:val="0"/>
                <w:numId w:val="86"/>
              </w:numPr>
              <w:tabs>
                <w:tab w:val="left" w:pos="467"/>
                <w:tab w:val="left" w:pos="468"/>
              </w:tabs>
              <w:spacing w:before="40"/>
              <w:ind w:hanging="361"/>
              <w:rPr>
                <w:sz w:val="20"/>
              </w:rPr>
            </w:pPr>
            <w:r>
              <w:rPr>
                <w:spacing w:val="-2"/>
                <w:sz w:val="20"/>
              </w:rPr>
              <w:t>Moving</w:t>
            </w:r>
          </w:p>
          <w:p w14:paraId="6E46FA82" w14:textId="77777777" w:rsidR="00DB6E1F" w:rsidRDefault="00F666A6">
            <w:pPr>
              <w:pStyle w:val="TableParagraph"/>
              <w:numPr>
                <w:ilvl w:val="0"/>
                <w:numId w:val="86"/>
              </w:numPr>
              <w:tabs>
                <w:tab w:val="left" w:pos="467"/>
                <w:tab w:val="left" w:pos="468"/>
              </w:tabs>
              <w:spacing w:before="38"/>
              <w:ind w:hanging="361"/>
              <w:rPr>
                <w:sz w:val="20"/>
              </w:rPr>
            </w:pPr>
            <w:r>
              <w:rPr>
                <w:sz w:val="20"/>
              </w:rPr>
              <w:t>Buying</w:t>
            </w:r>
            <w:r>
              <w:rPr>
                <w:spacing w:val="-4"/>
                <w:sz w:val="20"/>
              </w:rPr>
              <w:t xml:space="preserve"> </w:t>
            </w:r>
            <w:r>
              <w:rPr>
                <w:sz w:val="20"/>
              </w:rPr>
              <w:t>a</w:t>
            </w:r>
            <w:r>
              <w:rPr>
                <w:spacing w:val="-2"/>
                <w:sz w:val="20"/>
              </w:rPr>
              <w:t xml:space="preserve"> </w:t>
            </w:r>
            <w:r>
              <w:rPr>
                <w:spacing w:val="-4"/>
                <w:sz w:val="20"/>
              </w:rPr>
              <w:t>home</w:t>
            </w:r>
          </w:p>
          <w:p w14:paraId="3405378D" w14:textId="77777777" w:rsidR="00DB6E1F" w:rsidRDefault="00F666A6">
            <w:pPr>
              <w:pStyle w:val="TableParagraph"/>
              <w:numPr>
                <w:ilvl w:val="0"/>
                <w:numId w:val="86"/>
              </w:numPr>
              <w:tabs>
                <w:tab w:val="left" w:pos="467"/>
                <w:tab w:val="left" w:pos="468"/>
              </w:tabs>
              <w:spacing w:before="41"/>
              <w:ind w:hanging="361"/>
              <w:rPr>
                <w:sz w:val="20"/>
              </w:rPr>
            </w:pPr>
            <w:r>
              <w:rPr>
                <w:sz w:val="20"/>
              </w:rPr>
              <w:t>Having</w:t>
            </w:r>
            <w:r>
              <w:rPr>
                <w:spacing w:val="-5"/>
                <w:sz w:val="20"/>
              </w:rPr>
              <w:t xml:space="preserve"> </w:t>
            </w:r>
            <w:r>
              <w:rPr>
                <w:sz w:val="20"/>
              </w:rPr>
              <w:t>a</w:t>
            </w:r>
            <w:r>
              <w:rPr>
                <w:spacing w:val="-4"/>
                <w:sz w:val="20"/>
              </w:rPr>
              <w:t xml:space="preserve"> baby</w:t>
            </w:r>
          </w:p>
          <w:p w14:paraId="4730EC79" w14:textId="77777777" w:rsidR="00DB6E1F" w:rsidRDefault="00F666A6">
            <w:pPr>
              <w:pStyle w:val="TableParagraph"/>
              <w:numPr>
                <w:ilvl w:val="0"/>
                <w:numId w:val="86"/>
              </w:numPr>
              <w:tabs>
                <w:tab w:val="left" w:pos="467"/>
                <w:tab w:val="left" w:pos="468"/>
              </w:tabs>
              <w:spacing w:before="40"/>
              <w:ind w:hanging="361"/>
              <w:rPr>
                <w:sz w:val="20"/>
              </w:rPr>
            </w:pPr>
            <w:r>
              <w:rPr>
                <w:spacing w:val="-2"/>
                <w:sz w:val="20"/>
              </w:rPr>
              <w:t>Retiring</w:t>
            </w:r>
          </w:p>
        </w:tc>
        <w:tc>
          <w:tcPr>
            <w:tcW w:w="6024" w:type="dxa"/>
          </w:tcPr>
          <w:p w14:paraId="3AECA60A" w14:textId="77777777" w:rsidR="00DB6E1F" w:rsidRDefault="00F666A6">
            <w:pPr>
              <w:pStyle w:val="TableParagraph"/>
              <w:numPr>
                <w:ilvl w:val="0"/>
                <w:numId w:val="85"/>
              </w:numPr>
              <w:tabs>
                <w:tab w:val="left" w:pos="465"/>
                <w:tab w:val="left" w:pos="466"/>
              </w:tabs>
              <w:spacing w:before="0"/>
              <w:ind w:hanging="361"/>
              <w:rPr>
                <w:sz w:val="20"/>
              </w:rPr>
            </w:pPr>
            <w:r>
              <w:rPr>
                <w:sz w:val="20"/>
              </w:rPr>
              <w:t>Increasing</w:t>
            </w:r>
            <w:r>
              <w:rPr>
                <w:spacing w:val="-8"/>
                <w:sz w:val="20"/>
              </w:rPr>
              <w:t xml:space="preserve"> </w:t>
            </w:r>
            <w:r>
              <w:rPr>
                <w:sz w:val="20"/>
              </w:rPr>
              <w:t>alcohol</w:t>
            </w:r>
            <w:r>
              <w:rPr>
                <w:spacing w:val="-8"/>
                <w:sz w:val="20"/>
              </w:rPr>
              <w:t xml:space="preserve"> </w:t>
            </w:r>
            <w:r>
              <w:rPr>
                <w:sz w:val="20"/>
              </w:rPr>
              <w:t>use</w:t>
            </w:r>
            <w:r>
              <w:rPr>
                <w:spacing w:val="-9"/>
                <w:sz w:val="20"/>
              </w:rPr>
              <w:t xml:space="preserve"> </w:t>
            </w:r>
            <w:r>
              <w:rPr>
                <w:sz w:val="20"/>
              </w:rPr>
              <w:t>during</w:t>
            </w:r>
            <w:r>
              <w:rPr>
                <w:spacing w:val="-8"/>
                <w:sz w:val="20"/>
              </w:rPr>
              <w:t xml:space="preserve"> </w:t>
            </w:r>
            <w:r>
              <w:rPr>
                <w:sz w:val="20"/>
              </w:rPr>
              <w:t>stressful</w:t>
            </w:r>
            <w:r>
              <w:rPr>
                <w:spacing w:val="-8"/>
                <w:sz w:val="20"/>
              </w:rPr>
              <w:t xml:space="preserve"> </w:t>
            </w:r>
            <w:r>
              <w:rPr>
                <w:spacing w:val="-2"/>
                <w:sz w:val="20"/>
              </w:rPr>
              <w:t>periods</w:t>
            </w:r>
          </w:p>
          <w:p w14:paraId="23AA9D6F" w14:textId="77777777" w:rsidR="00DB6E1F" w:rsidRDefault="00F666A6">
            <w:pPr>
              <w:pStyle w:val="TableParagraph"/>
              <w:numPr>
                <w:ilvl w:val="0"/>
                <w:numId w:val="85"/>
              </w:numPr>
              <w:tabs>
                <w:tab w:val="left" w:pos="465"/>
                <w:tab w:val="left" w:pos="466"/>
              </w:tabs>
              <w:spacing w:before="40"/>
              <w:ind w:hanging="361"/>
              <w:rPr>
                <w:sz w:val="20"/>
              </w:rPr>
            </w:pPr>
            <w:r>
              <w:rPr>
                <w:sz w:val="20"/>
              </w:rPr>
              <w:t>Decreasing</w:t>
            </w:r>
            <w:r>
              <w:rPr>
                <w:spacing w:val="-6"/>
                <w:sz w:val="20"/>
              </w:rPr>
              <w:t xml:space="preserve"> </w:t>
            </w:r>
            <w:r>
              <w:rPr>
                <w:sz w:val="20"/>
              </w:rPr>
              <w:t>cigarette</w:t>
            </w:r>
            <w:r>
              <w:rPr>
                <w:spacing w:val="-7"/>
                <w:sz w:val="20"/>
              </w:rPr>
              <w:t xml:space="preserve"> </w:t>
            </w:r>
            <w:r>
              <w:rPr>
                <w:sz w:val="20"/>
              </w:rPr>
              <w:t>use</w:t>
            </w:r>
            <w:r>
              <w:rPr>
                <w:spacing w:val="-7"/>
                <w:sz w:val="20"/>
              </w:rPr>
              <w:t xml:space="preserve"> </w:t>
            </w:r>
            <w:r>
              <w:rPr>
                <w:sz w:val="20"/>
              </w:rPr>
              <w:t>after</w:t>
            </w:r>
            <w:r>
              <w:rPr>
                <w:spacing w:val="-4"/>
                <w:sz w:val="20"/>
              </w:rPr>
              <w:t xml:space="preserve"> </w:t>
            </w:r>
            <w:r>
              <w:rPr>
                <w:sz w:val="20"/>
              </w:rPr>
              <w:t>a</w:t>
            </w:r>
            <w:r>
              <w:rPr>
                <w:spacing w:val="-5"/>
                <w:sz w:val="20"/>
              </w:rPr>
              <w:t xml:space="preserve"> </w:t>
            </w:r>
            <w:r>
              <w:rPr>
                <w:sz w:val="20"/>
              </w:rPr>
              <w:t>price</w:t>
            </w:r>
            <w:r>
              <w:rPr>
                <w:spacing w:val="-6"/>
                <w:sz w:val="20"/>
              </w:rPr>
              <w:t xml:space="preserve"> </w:t>
            </w:r>
            <w:r>
              <w:rPr>
                <w:spacing w:val="-2"/>
                <w:sz w:val="20"/>
              </w:rPr>
              <w:t>increase</w:t>
            </w:r>
          </w:p>
          <w:p w14:paraId="63666FF5" w14:textId="77777777" w:rsidR="00DB6E1F" w:rsidRDefault="00F666A6">
            <w:pPr>
              <w:pStyle w:val="TableParagraph"/>
              <w:numPr>
                <w:ilvl w:val="0"/>
                <w:numId w:val="85"/>
              </w:numPr>
              <w:tabs>
                <w:tab w:val="left" w:pos="465"/>
                <w:tab w:val="left" w:pos="466"/>
              </w:tabs>
              <w:spacing w:before="41"/>
              <w:ind w:hanging="361"/>
              <w:rPr>
                <w:sz w:val="20"/>
              </w:rPr>
            </w:pPr>
            <w:r>
              <w:rPr>
                <w:sz w:val="20"/>
              </w:rPr>
              <w:t>Quitting</w:t>
            </w:r>
            <w:r>
              <w:rPr>
                <w:spacing w:val="-7"/>
                <w:sz w:val="20"/>
              </w:rPr>
              <w:t xml:space="preserve"> </w:t>
            </w:r>
            <w:r>
              <w:rPr>
                <w:sz w:val="20"/>
              </w:rPr>
              <w:t>cannabis</w:t>
            </w:r>
            <w:r>
              <w:rPr>
                <w:spacing w:val="-7"/>
                <w:sz w:val="20"/>
              </w:rPr>
              <w:t xml:space="preserve"> </w:t>
            </w:r>
            <w:r>
              <w:rPr>
                <w:sz w:val="20"/>
              </w:rPr>
              <w:t>use</w:t>
            </w:r>
            <w:r>
              <w:rPr>
                <w:spacing w:val="-7"/>
                <w:sz w:val="20"/>
              </w:rPr>
              <w:t xml:space="preserve"> </w:t>
            </w:r>
            <w:r>
              <w:rPr>
                <w:sz w:val="20"/>
              </w:rPr>
              <w:t>before</w:t>
            </w:r>
            <w:r>
              <w:rPr>
                <w:spacing w:val="-7"/>
                <w:sz w:val="20"/>
              </w:rPr>
              <w:t xml:space="preserve"> </w:t>
            </w:r>
            <w:r>
              <w:rPr>
                <w:sz w:val="20"/>
              </w:rPr>
              <w:t>looking</w:t>
            </w:r>
            <w:r>
              <w:rPr>
                <w:spacing w:val="-6"/>
                <w:sz w:val="20"/>
              </w:rPr>
              <w:t xml:space="preserve"> </w:t>
            </w:r>
            <w:r>
              <w:rPr>
                <w:sz w:val="20"/>
              </w:rPr>
              <w:t>for</w:t>
            </w:r>
            <w:r>
              <w:rPr>
                <w:spacing w:val="-6"/>
                <w:sz w:val="20"/>
              </w:rPr>
              <w:t xml:space="preserve"> </w:t>
            </w:r>
            <w:r>
              <w:rPr>
                <w:spacing w:val="-2"/>
                <w:sz w:val="20"/>
              </w:rPr>
              <w:t>employment</w:t>
            </w:r>
          </w:p>
          <w:p w14:paraId="6BE1F287" w14:textId="77777777" w:rsidR="00DB6E1F" w:rsidRDefault="00F666A6">
            <w:pPr>
              <w:pStyle w:val="TableParagraph"/>
              <w:numPr>
                <w:ilvl w:val="0"/>
                <w:numId w:val="85"/>
              </w:numPr>
              <w:tabs>
                <w:tab w:val="left" w:pos="465"/>
                <w:tab w:val="left" w:pos="466"/>
              </w:tabs>
              <w:spacing w:before="40"/>
              <w:ind w:hanging="361"/>
              <w:rPr>
                <w:sz w:val="20"/>
              </w:rPr>
            </w:pPr>
            <w:r>
              <w:rPr>
                <w:sz w:val="20"/>
              </w:rPr>
              <w:t>Refraining</w:t>
            </w:r>
            <w:r>
              <w:rPr>
                <w:spacing w:val="-8"/>
                <w:sz w:val="20"/>
              </w:rPr>
              <w:t xml:space="preserve"> </w:t>
            </w:r>
            <w:r>
              <w:rPr>
                <w:sz w:val="20"/>
              </w:rPr>
              <w:t>from</w:t>
            </w:r>
            <w:r>
              <w:rPr>
                <w:spacing w:val="-8"/>
                <w:sz w:val="20"/>
              </w:rPr>
              <w:t xml:space="preserve"> </w:t>
            </w:r>
            <w:r>
              <w:rPr>
                <w:sz w:val="20"/>
              </w:rPr>
              <w:t>drinking</w:t>
            </w:r>
            <w:r>
              <w:rPr>
                <w:spacing w:val="-7"/>
                <w:sz w:val="20"/>
              </w:rPr>
              <w:t xml:space="preserve"> </w:t>
            </w:r>
            <w:r>
              <w:rPr>
                <w:sz w:val="20"/>
              </w:rPr>
              <w:t>with</w:t>
            </w:r>
            <w:r>
              <w:rPr>
                <w:spacing w:val="-4"/>
                <w:sz w:val="20"/>
              </w:rPr>
              <w:t xml:space="preserve"> </w:t>
            </w:r>
            <w:r>
              <w:rPr>
                <w:sz w:val="20"/>
              </w:rPr>
              <w:t>some</w:t>
            </w:r>
            <w:r>
              <w:rPr>
                <w:spacing w:val="-8"/>
                <w:sz w:val="20"/>
              </w:rPr>
              <w:t xml:space="preserve"> </w:t>
            </w:r>
            <w:r>
              <w:rPr>
                <w:spacing w:val="-2"/>
                <w:sz w:val="20"/>
              </w:rPr>
              <w:t>friends</w:t>
            </w:r>
          </w:p>
          <w:p w14:paraId="56220DCB" w14:textId="77777777" w:rsidR="00DB6E1F" w:rsidRDefault="00F666A6">
            <w:pPr>
              <w:pStyle w:val="TableParagraph"/>
              <w:numPr>
                <w:ilvl w:val="0"/>
                <w:numId w:val="85"/>
              </w:numPr>
              <w:tabs>
                <w:tab w:val="left" w:pos="465"/>
                <w:tab w:val="left" w:pos="466"/>
              </w:tabs>
              <w:spacing w:before="38"/>
              <w:ind w:hanging="361"/>
              <w:rPr>
                <w:sz w:val="20"/>
              </w:rPr>
            </w:pPr>
            <w:r>
              <w:rPr>
                <w:sz w:val="20"/>
              </w:rPr>
              <w:t>Reducing</w:t>
            </w:r>
            <w:r>
              <w:rPr>
                <w:spacing w:val="-10"/>
                <w:sz w:val="20"/>
              </w:rPr>
              <w:t xml:space="preserve"> </w:t>
            </w:r>
            <w:r>
              <w:rPr>
                <w:sz w:val="20"/>
              </w:rPr>
              <w:t>consumption</w:t>
            </w:r>
            <w:r>
              <w:rPr>
                <w:spacing w:val="-9"/>
                <w:sz w:val="20"/>
              </w:rPr>
              <w:t xml:space="preserve"> </w:t>
            </w:r>
            <w:r>
              <w:rPr>
                <w:sz w:val="20"/>
              </w:rPr>
              <w:t>following</w:t>
            </w:r>
            <w:r>
              <w:rPr>
                <w:spacing w:val="-10"/>
                <w:sz w:val="20"/>
              </w:rPr>
              <w:t xml:space="preserve"> </w:t>
            </w:r>
            <w:r>
              <w:rPr>
                <w:sz w:val="20"/>
              </w:rPr>
              <w:t>a</w:t>
            </w:r>
            <w:r>
              <w:rPr>
                <w:spacing w:val="-10"/>
                <w:sz w:val="20"/>
              </w:rPr>
              <w:t xml:space="preserve"> </w:t>
            </w:r>
            <w:r>
              <w:rPr>
                <w:sz w:val="20"/>
              </w:rPr>
              <w:t>physician’s</w:t>
            </w:r>
            <w:r>
              <w:rPr>
                <w:spacing w:val="-11"/>
                <w:sz w:val="20"/>
              </w:rPr>
              <w:t xml:space="preserve"> </w:t>
            </w:r>
            <w:r>
              <w:rPr>
                <w:spacing w:val="-2"/>
                <w:sz w:val="20"/>
              </w:rPr>
              <w:t>advice</w:t>
            </w:r>
          </w:p>
        </w:tc>
      </w:tr>
    </w:tbl>
    <w:p w14:paraId="5D12964D" w14:textId="77777777" w:rsidR="00DB6E1F" w:rsidRDefault="00F666A6">
      <w:pPr>
        <w:pStyle w:val="Heading3"/>
        <w:spacing w:before="2"/>
      </w:pPr>
      <w:bookmarkStart w:id="51" w:name="SOC"/>
      <w:bookmarkEnd w:id="51"/>
      <w:r>
        <w:rPr>
          <w:spacing w:val="-5"/>
        </w:rPr>
        <w:t>SOC</w:t>
      </w:r>
    </w:p>
    <w:p w14:paraId="2D1CF24C" w14:textId="77777777" w:rsidR="00DB6E1F" w:rsidRDefault="00F666A6">
      <w:pPr>
        <w:pStyle w:val="BodyText"/>
        <w:spacing w:before="143"/>
        <w:ind w:left="1439" w:right="1507"/>
      </w:pPr>
      <w:r>
        <w:t>Prochaska and DiClemente (1984) theorized that the change process is a journey through stages in which people typically think about behavior change, initiate behavior change, and maintain new behaviors. This</w:t>
      </w:r>
      <w:r>
        <w:rPr>
          <w:spacing w:val="-1"/>
        </w:rPr>
        <w:t xml:space="preserve"> </w:t>
      </w:r>
      <w:r>
        <w:t>model emerged from an</w:t>
      </w:r>
      <w:r>
        <w:rPr>
          <w:spacing w:val="-2"/>
        </w:rPr>
        <w:t xml:space="preserve"> </w:t>
      </w:r>
      <w:r>
        <w:t>examination</w:t>
      </w:r>
      <w:r>
        <w:rPr>
          <w:spacing w:val="-2"/>
        </w:rPr>
        <w:t xml:space="preserve"> </w:t>
      </w:r>
      <w:r>
        <w:t>of 18 psychological</w:t>
      </w:r>
      <w:r>
        <w:rPr>
          <w:spacing w:val="-2"/>
        </w:rPr>
        <w:t xml:space="preserve"> </w:t>
      </w:r>
      <w:r>
        <w:t>and behavioral</w:t>
      </w:r>
      <w:r>
        <w:rPr>
          <w:spacing w:val="-2"/>
        </w:rPr>
        <w:t xml:space="preserve"> </w:t>
      </w:r>
      <w:r>
        <w:t>theories</w:t>
      </w:r>
      <w:r>
        <w:rPr>
          <w:spacing w:val="-1"/>
        </w:rPr>
        <w:t xml:space="preserve"> </w:t>
      </w:r>
      <w:r>
        <w:t>about how change occurs, including components that compose a biopsychosocial framework for understanding</w:t>
      </w:r>
      <w:r>
        <w:rPr>
          <w:spacing w:val="-3"/>
        </w:rPr>
        <w:t xml:space="preserve"> </w:t>
      </w:r>
      <w:r>
        <w:t>addiction.</w:t>
      </w:r>
      <w:r>
        <w:rPr>
          <w:spacing w:val="-2"/>
        </w:rPr>
        <w:t xml:space="preserve"> </w:t>
      </w:r>
      <w:r>
        <w:t>In</w:t>
      </w:r>
      <w:r>
        <w:rPr>
          <w:spacing w:val="-3"/>
        </w:rPr>
        <w:t xml:space="preserve"> </w:t>
      </w:r>
      <w:r>
        <w:t>this</w:t>
      </w:r>
      <w:r>
        <w:rPr>
          <w:spacing w:val="-2"/>
        </w:rPr>
        <w:t xml:space="preserve"> </w:t>
      </w:r>
      <w:r>
        <w:t>sense,</w:t>
      </w:r>
      <w:r>
        <w:rPr>
          <w:spacing w:val="-2"/>
        </w:rPr>
        <w:t xml:space="preserve"> </w:t>
      </w:r>
      <w:r>
        <w:t>the</w:t>
      </w:r>
      <w:r>
        <w:rPr>
          <w:spacing w:val="-4"/>
        </w:rPr>
        <w:t xml:space="preserve"> </w:t>
      </w:r>
      <w:r>
        <w:t>model</w:t>
      </w:r>
      <w:r>
        <w:rPr>
          <w:spacing w:val="-5"/>
        </w:rPr>
        <w:t xml:space="preserve"> </w:t>
      </w:r>
      <w:r>
        <w:t>is</w:t>
      </w:r>
      <w:r>
        <w:rPr>
          <w:spacing w:val="-4"/>
        </w:rPr>
        <w:t xml:space="preserve"> </w:t>
      </w:r>
      <w:r>
        <w:t>“transtheoretical”</w:t>
      </w:r>
      <w:r>
        <w:rPr>
          <w:spacing w:val="-3"/>
        </w:rPr>
        <w:t xml:space="preserve"> </w:t>
      </w:r>
      <w:r>
        <w:t>(Prochaska</w:t>
      </w:r>
      <w:r>
        <w:rPr>
          <w:spacing w:val="-2"/>
        </w:rPr>
        <w:t xml:space="preserve"> </w:t>
      </w:r>
      <w:r>
        <w:t>&amp;</w:t>
      </w:r>
      <w:r>
        <w:rPr>
          <w:spacing w:val="-4"/>
        </w:rPr>
        <w:t xml:space="preserve"> </w:t>
      </w:r>
      <w:r>
        <w:t>DiClemente,</w:t>
      </w:r>
      <w:r>
        <w:rPr>
          <w:spacing w:val="-4"/>
        </w:rPr>
        <w:t xml:space="preserve"> </w:t>
      </w:r>
      <w:r>
        <w:t>1984). This model has co</w:t>
      </w:r>
      <w:r>
        <w:t>me to be known as the TTM of the SOC. TTM is not the only SOC model, but it is the most widely researched (Connors et al., 2013).</w:t>
      </w:r>
    </w:p>
    <w:p w14:paraId="4A881DC8" w14:textId="77777777" w:rsidR="00DB6E1F" w:rsidRDefault="00F666A6">
      <w:pPr>
        <w:spacing w:before="160"/>
        <w:ind w:left="1438" w:right="1491" w:firstLine="1"/>
      </w:pPr>
      <w:r>
        <w:rPr>
          <w:b/>
        </w:rPr>
        <w:t xml:space="preserve">SOC is not a specific counseling method but a framework that can help you tailor specific counseling strategies to clients in </w:t>
      </w:r>
      <w:r>
        <w:rPr>
          <w:b/>
        </w:rPr>
        <w:t xml:space="preserve">different stages. </w:t>
      </w:r>
      <w:r>
        <w:t>Although results are mixed regarding its usefulness, in the past 30 years, TTM has demonstrated effectiveness in predicting positive</w:t>
      </w:r>
      <w:r>
        <w:rPr>
          <w:spacing w:val="-1"/>
        </w:rPr>
        <w:t xml:space="preserve"> </w:t>
      </w:r>
      <w:r>
        <w:t>addiction</w:t>
      </w:r>
      <w:r>
        <w:rPr>
          <w:spacing w:val="-2"/>
        </w:rPr>
        <w:t xml:space="preserve"> </w:t>
      </w:r>
      <w:r>
        <w:t>treatment</w:t>
      </w:r>
      <w:r>
        <w:rPr>
          <w:spacing w:val="-1"/>
        </w:rPr>
        <w:t xml:space="preserve"> </w:t>
      </w:r>
      <w:r>
        <w:t>outcomes and has shown value as an overarching theoretical framework for counseling (</w:t>
      </w:r>
      <w:r>
        <w:t>Harrell, Trenz, Scherer, Martins, &amp; Latimer, 2013; Norcross, Krebs, &amp; Prochaska, 2011). Exhibit 1.3 displays the relationship among</w:t>
      </w:r>
      <w:r>
        <w:rPr>
          <w:spacing w:val="-3"/>
        </w:rPr>
        <w:t xml:space="preserve"> </w:t>
      </w:r>
      <w:r>
        <w:t>the</w:t>
      </w:r>
      <w:r>
        <w:rPr>
          <w:spacing w:val="-2"/>
        </w:rPr>
        <w:t xml:space="preserve"> </w:t>
      </w:r>
      <w:r>
        <w:t>five</w:t>
      </w:r>
      <w:r>
        <w:rPr>
          <w:spacing w:val="-4"/>
        </w:rPr>
        <w:t xml:space="preserve"> </w:t>
      </w:r>
      <w:r>
        <w:t>stages</w:t>
      </w:r>
      <w:r>
        <w:rPr>
          <w:spacing w:val="-4"/>
        </w:rPr>
        <w:t xml:space="preserve"> </w:t>
      </w:r>
      <w:r>
        <w:t>(i.e.,</w:t>
      </w:r>
      <w:r>
        <w:rPr>
          <w:spacing w:val="-4"/>
        </w:rPr>
        <w:t xml:space="preserve"> </w:t>
      </w:r>
      <w:r>
        <w:t>Precontemplation,</w:t>
      </w:r>
      <w:r>
        <w:rPr>
          <w:spacing w:val="-2"/>
        </w:rPr>
        <w:t xml:space="preserve"> </w:t>
      </w:r>
      <w:r>
        <w:t>Contemplation,</w:t>
      </w:r>
      <w:r>
        <w:rPr>
          <w:spacing w:val="-4"/>
        </w:rPr>
        <w:t xml:space="preserve"> </w:t>
      </w:r>
      <w:r>
        <w:t>Preparation,</w:t>
      </w:r>
      <w:r>
        <w:rPr>
          <w:spacing w:val="-2"/>
        </w:rPr>
        <w:t xml:space="preserve"> </w:t>
      </w:r>
      <w:r>
        <w:t>Action,</w:t>
      </w:r>
      <w:r>
        <w:rPr>
          <w:spacing w:val="-2"/>
        </w:rPr>
        <w:t xml:space="preserve"> </w:t>
      </w:r>
      <w:r>
        <w:t>and</w:t>
      </w:r>
      <w:r>
        <w:rPr>
          <w:spacing w:val="-3"/>
        </w:rPr>
        <w:t xml:space="preserve"> </w:t>
      </w:r>
      <w:r>
        <w:t>Maintenance)</w:t>
      </w:r>
      <w:r>
        <w:rPr>
          <w:spacing w:val="-2"/>
        </w:rPr>
        <w:t xml:space="preserve"> </w:t>
      </w:r>
      <w:r>
        <w:t>in the SOC approach in the ori</w:t>
      </w:r>
      <w:r>
        <w:t>ginal TTM.</w:t>
      </w:r>
    </w:p>
    <w:p w14:paraId="62EB6921" w14:textId="77777777" w:rsidR="00DB6E1F" w:rsidRDefault="00DB6E1F">
      <w:pPr>
        <w:pStyle w:val="BodyText"/>
        <w:spacing w:before="2"/>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7FC6EB0" w14:textId="77777777">
        <w:trPr>
          <w:trHeight w:val="503"/>
        </w:trPr>
        <w:tc>
          <w:tcPr>
            <w:tcW w:w="9350" w:type="dxa"/>
            <w:shd w:val="clear" w:color="auto" w:fill="050505"/>
          </w:tcPr>
          <w:p w14:paraId="7C2D1145" w14:textId="77777777" w:rsidR="00DB6E1F" w:rsidRDefault="00F666A6">
            <w:pPr>
              <w:pStyle w:val="TableParagraph"/>
              <w:spacing w:before="102"/>
              <w:ind w:left="210"/>
              <w:rPr>
                <w:sz w:val="24"/>
              </w:rPr>
            </w:pPr>
            <w:r>
              <w:rPr>
                <w:color w:val="FFFFFF"/>
                <w:sz w:val="24"/>
              </w:rPr>
              <w:t>Exhibit</w:t>
            </w:r>
            <w:r>
              <w:rPr>
                <w:color w:val="FFFFFF"/>
                <w:spacing w:val="-2"/>
                <w:sz w:val="24"/>
              </w:rPr>
              <w:t xml:space="preserve"> </w:t>
            </w:r>
            <w:r>
              <w:rPr>
                <w:color w:val="FFFFFF"/>
                <w:sz w:val="24"/>
              </w:rPr>
              <w:t>1.3.</w:t>
            </w:r>
            <w:r>
              <w:rPr>
                <w:color w:val="FFFFFF"/>
                <w:spacing w:val="-4"/>
                <w:sz w:val="24"/>
              </w:rPr>
              <w:t xml:space="preserve"> </w:t>
            </w:r>
            <w:r>
              <w:rPr>
                <w:color w:val="FFFFFF"/>
                <w:sz w:val="24"/>
              </w:rPr>
              <w:t>The</w:t>
            </w:r>
            <w:r>
              <w:rPr>
                <w:color w:val="FFFFFF"/>
                <w:spacing w:val="-2"/>
                <w:sz w:val="24"/>
              </w:rPr>
              <w:t xml:space="preserve"> </w:t>
            </w:r>
            <w:r>
              <w:rPr>
                <w:color w:val="FFFFFF"/>
                <w:sz w:val="24"/>
              </w:rPr>
              <w:t>Five Stages in</w:t>
            </w:r>
            <w:r>
              <w:rPr>
                <w:color w:val="FFFFFF"/>
                <w:spacing w:val="-2"/>
                <w:sz w:val="24"/>
              </w:rPr>
              <w:t xml:space="preserve"> </w:t>
            </w:r>
            <w:r>
              <w:rPr>
                <w:color w:val="FFFFFF"/>
                <w:sz w:val="24"/>
              </w:rPr>
              <w:t>the SOC</w:t>
            </w:r>
            <w:r>
              <w:rPr>
                <w:color w:val="FFFFFF"/>
                <w:spacing w:val="-1"/>
                <w:sz w:val="24"/>
              </w:rPr>
              <w:t xml:space="preserve"> </w:t>
            </w:r>
            <w:r>
              <w:rPr>
                <w:color w:val="FFFFFF"/>
                <w:sz w:val="24"/>
              </w:rPr>
              <w:t>in</w:t>
            </w:r>
            <w:r>
              <w:rPr>
                <w:color w:val="FFFFFF"/>
                <w:spacing w:val="-2"/>
                <w:sz w:val="24"/>
              </w:rPr>
              <w:t xml:space="preserve"> </w:t>
            </w:r>
            <w:r>
              <w:rPr>
                <w:color w:val="FFFFFF"/>
                <w:sz w:val="24"/>
              </w:rPr>
              <w:t>the</w:t>
            </w:r>
            <w:r>
              <w:rPr>
                <w:color w:val="FFFFFF"/>
                <w:spacing w:val="-1"/>
                <w:sz w:val="24"/>
              </w:rPr>
              <w:t xml:space="preserve"> </w:t>
            </w:r>
            <w:r>
              <w:rPr>
                <w:color w:val="FFFFFF"/>
                <w:spacing w:val="-5"/>
                <w:sz w:val="24"/>
              </w:rPr>
              <w:t>TTM</w:t>
            </w:r>
          </w:p>
        </w:tc>
      </w:tr>
      <w:tr w:rsidR="00DB6E1F" w14:paraId="62061768" w14:textId="77777777">
        <w:trPr>
          <w:trHeight w:val="3412"/>
        </w:trPr>
        <w:tc>
          <w:tcPr>
            <w:tcW w:w="9350" w:type="dxa"/>
          </w:tcPr>
          <w:p w14:paraId="5A2F420F" w14:textId="77777777" w:rsidR="00DB6E1F" w:rsidRDefault="00F666A6">
            <w:pPr>
              <w:pStyle w:val="TableParagraph"/>
              <w:spacing w:before="0"/>
              <w:ind w:left="108"/>
              <w:rPr>
                <w:sz w:val="20"/>
              </w:rPr>
            </w:pPr>
            <w:r>
              <w:rPr>
                <w:sz w:val="20"/>
              </w:rPr>
            </w:r>
            <w:r>
              <w:rPr>
                <w:sz w:val="20"/>
              </w:rPr>
              <w:pict w14:anchorId="4B6B7A55">
                <v:group id="docshapegroup17" o:spid="_x0000_s2231" style="width:251pt;height:165.1pt;mso-position-horizontal-relative:char;mso-position-vertical-relative:line" coordsize="5020,3302">
                  <v:shape id="docshape18" o:spid="_x0000_s2256" style="position:absolute;left:839;top:162;width:3344;height:3030" coordorigin="840,162" coordsize="3344,3030" path="m2607,162r79,2l2764,170r77,8l2916,190r75,16l3064,224r71,22l3205,270r69,28l3340,328r65,34l3468,398r61,38l3588,477r57,44l3699,567r52,49l3800,666r47,53l3892,775r41,57l3972,891r36,61l4040,1015r30,64l4096,1146r23,68l4139,1283r16,71l4168,1427r9,73l4182,1575r1,76l4180,1728r-7,75l4162,1877r-16,73l4127,2021r-24,69l4077,2158r-31,66l4013,2289r-37,62l3937,2412r-43,59l3849,2528r-47,55l3752,2636r-52,51l3646,2736r-56,46l3533,2827r-59,42l3414,2909r-62,37l3289,2981r-63,32l3161,3043r-65,28l3031,3095r-66,22l2900,3137r-66,16l2768,3167r-65,11l2639,3185r-64,5l2512,3192r-65,-1l2381,3187r-66,-6l2248,3171r-67,-11l2114,3145r-68,-17l1979,3108r-66,-22l1847,3061r-66,-27l1717,3003r-64,-32l1591,2936r-61,-38l1470,2858r-58,-43l1356,2770r-54,-48l1250,2672r-49,-52l1153,2565r-44,-58l1067,2448r-39,-63l993,2321r-33,-67l932,2185r-26,-72l885,2039r-18,-76l854,1884r-9,-80l840,1721r,-100l846,1525r11,-92l873,1346r20,-83l918,1184r29,-75l980,1038r35,-68l1053,906r41,-60l1136,789r44,-53l1226,686r46,-46l1318,596r47,-40l1458,484r88,-61e" filled="f" strokecolor="#e9e9e9" strokeweight=".52647mm">
                    <v:path arrowok="t"/>
                  </v:shape>
                  <v:shape id="docshape19" o:spid="_x0000_s2255" style="position:absolute;top:1002;width:1601;height:701" coordorigin=",1003" coordsize="1601,701" path="m1484,1003r-1367,l71,1012r-37,25l9,1074,,1120r,467l9,1632r25,37l71,1694r46,10l1484,1704r45,-10l1566,1669r25,-37l1600,1587r,-467l1591,1074r-25,-37l1529,1012r-45,-9xe" fillcolor="#627283" stroked="f">
                    <v:path arrowok="t"/>
                  </v:shape>
                  <v:shape id="docshape20" o:spid="_x0000_s2254" type="#_x0000_t75" style="position:absolute;left:420;top:1145;width:759;height:404">
                    <v:imagedata r:id="rId19" o:title=""/>
                  </v:shape>
                  <v:shape id="docshape21" o:spid="_x0000_s2253" style="position:absolute;left:1899;top:1108;width:1233;height:887" coordorigin="1899,1108" coordsize="1233,887" path="m2984,1108r-937,l1990,1120r-47,32l1911,1199r-12,57l1899,1847r12,58l1943,1952r47,31l2047,1995r937,l3041,1983r47,-31l3120,1905r12,-58l3132,1256r-12,-57l3088,1152r-47,-32l2984,1108xe" fillcolor="#627283" stroked="f">
                    <v:path arrowok="t"/>
                  </v:shape>
                  <v:shape id="docshape22" o:spid="_x0000_s2252" type="#_x0000_t75" style="position:absolute;left:2084;top:1198;width:919;height:369">
                    <v:imagedata r:id="rId20" o:title=""/>
                  </v:shape>
                  <v:shape id="docshape23" o:spid="_x0000_s2251" type="#_x0000_t75" style="position:absolute;left:2335;top:1378;width:417;height:404">
                    <v:imagedata r:id="rId21" o:title=""/>
                  </v:shape>
                  <v:shape id="docshape24" o:spid="_x0000_s2250" type="#_x0000_t75" style="position:absolute;left:2084;top:1593;width:863;height:313">
                    <v:imagedata r:id="rId22" o:title=""/>
                  </v:shape>
                  <v:shape id="docshape25" o:spid="_x0000_s2249" style="position:absolute;left:1717;width:1602;height:701" coordorigin="1717" coordsize="1602,701" path="m3202,l1834,r-45,9l1751,34r-25,37l1717,117r,467l1726,629r25,37l1789,691r45,10l3202,701r46,-10l3285,666r25,-37l3319,584r,-467l3310,71,3285,34,3248,9,3202,xe" fillcolor="#627283" stroked="f">
                    <v:path arrowok="t"/>
                  </v:shape>
                  <v:shape id="docshape26" o:spid="_x0000_s2248" type="#_x0000_t75" style="position:absolute;left:1877;top:142;width:1281;height:404">
                    <v:imagedata r:id="rId23" o:title=""/>
                  </v:shape>
                  <v:shape id="docshape27" o:spid="_x0000_s2247" style="position:absolute;left:3417;top:1048;width:1602;height:701" coordorigin="3418,1049" coordsize="1602,701" path="m4903,1049r-1368,l3489,1058r-37,25l3427,1120r-9,46l3418,1633r9,45l3452,1715r37,25l3535,1749r1368,l4948,1740r37,-25l5010,1678r10,-45l5020,1166r-10,-46l4985,1083r-37,-25l4903,1049xe" fillcolor="#627283" stroked="f">
                    <v:path arrowok="t"/>
                  </v:shape>
                  <v:shape id="docshape28" o:spid="_x0000_s2246" type="#_x0000_t75" style="position:absolute;left:3458;top:1191;width:1523;height:404">
                    <v:imagedata r:id="rId24" o:title=""/>
                  </v:shape>
                  <v:shape id="docshape29" o:spid="_x0000_s2245" style="position:absolute;left:2809;top:2595;width:1602;height:700" coordorigin="2809,2596" coordsize="1602,700" path="m4294,2596r-1368,l2881,2605r-38,25l2818,2667r-9,45l2809,3178r9,46l2843,3261r38,25l2926,3295r1368,l4340,3286r37,-25l4402,3224r9,-46l4411,2712r-9,-45l4377,2630r-37,-25l4294,2596xe" fillcolor="#627283" stroked="f">
                    <v:path arrowok="t"/>
                  </v:shape>
                  <v:shape id="docshape30" o:spid="_x0000_s2244" type="#_x0000_t75" style="position:absolute;left:2884;top:2737;width:1452;height:404">
                    <v:imagedata r:id="rId25" o:title=""/>
                  </v:shape>
                  <v:shape id="docshape31" o:spid="_x0000_s2243" style="position:absolute;left:644;top:2601;width:1601;height:701" coordorigin="645,2601" coordsize="1601,701" path="m2128,2601r-1366,l716,2610r-37,25l654,2672r-9,46l645,3185r9,45l679,3267r37,25l762,3302r1366,l2174,3292r37,-25l2236,3230r9,-45l2245,2718r-9,-46l2211,2635r-37,-25l2128,2601xe" fillcolor="#627283" stroked="f">
                    <v:path arrowok="t"/>
                  </v:shape>
                  <v:shape id="docshape32" o:spid="_x0000_s2242" type="#_x0000_t75" style="position:absolute;left:847;top:2742;width:1195;height:404">
                    <v:imagedata r:id="rId26" o:title=""/>
                  </v:shape>
                  <v:shape id="docshape33" o:spid="_x0000_s2241" type="#_x0000_t75" style="position:absolute;left:1050;top:285;width:583;height:622">
                    <v:imagedata r:id="rId27" o:title=""/>
                  </v:shape>
                  <v:shape id="docshape34" o:spid="_x0000_s2240" type="#_x0000_t75" style="position:absolute;left:3575;top:469;width:361;height:383">
                    <v:imagedata r:id="rId28" o:title=""/>
                  </v:shape>
                  <v:shape id="docshape35" o:spid="_x0000_s2239" type="#_x0000_t75" style="position:absolute;left:3890;top:2024;width:254;height:450">
                    <v:imagedata r:id="rId29" o:title=""/>
                  </v:shape>
                  <v:shape id="docshape36" o:spid="_x0000_s2238" type="#_x0000_t75" style="position:absolute;left:851;top:1971;width:204;height:478">
                    <v:imagedata r:id="rId30" o:title=""/>
                  </v:shape>
                  <v:shape id="docshape37" o:spid="_x0000_s2237" style="position:absolute;left:2373;top:3176;width:284;height:10" coordorigin="2373,3176" coordsize="284,10" path="m2373,3181r71,4l2516,3186r71,-3l2657,3176e" filled="f" strokecolor="#327291" strokeweight=".31858mm">
                    <v:path arrowok="t"/>
                  </v:shape>
                  <v:shape id="docshape38" o:spid="_x0000_s2236" style="position:absolute;left:2315;top:3143;width:399;height:74" coordorigin="2316,3144" coordsize="399,74" o:spt="100" adj="0,,0" path="m2389,3148r-73,27l2381,3217r8,-69xm2714,3168r-74,-24l2650,3212r64,-44xe" fillcolor="#327291" stroked="f">
                    <v:stroke joinstyle="round"/>
                    <v:formulas/>
                    <v:path arrowok="t" o:connecttype="segments"/>
                  </v:shape>
                  <v:shape id="docshape39" o:spid="_x0000_s2235" style="position:absolute;left:3138;top:1078;width:196;height:996" coordorigin="3138,1079" coordsize="196,996" path="m3141,1079r48,59l3231,1200r35,65l3293,1333r21,69l3327,1473r7,71l3333,1616r-7,71l3312,1757r-21,68l3263,1892r-35,64l3186,2017r-48,57e" filled="f" strokecolor="#df836d" strokeweight=".5265mm">
                    <v:path arrowok="t"/>
                  </v:shape>
                  <v:shape id="docshape40" o:spid="_x0000_s2234" style="position:absolute;left:3061;top:2000;width:150;height:146" coordorigin="3061,2000" coordsize="150,146" path="m3116,2000r-55,146l3211,2102r-95,-102xe" fillcolor="#df836d" stroked="f">
                    <v:path arrowok="t"/>
                  </v:shape>
                  <v:shape id="docshape41" o:spid="_x0000_s2233" style="position:absolute;left:1697;top:1049;width:196;height:996" coordorigin="1698,1050" coordsize="196,996" path="m1890,2046r-48,-59l1800,1924r-34,-65l1738,1791r-20,-69l1704,1651r-6,-71l1698,1509r7,-72l1719,1367r22,-68l1768,1232r35,-64l1845,1107r48,-57e" filled="f" strokecolor="#df836d" strokeweight=".5265mm">
                    <v:path arrowok="t"/>
                  </v:shape>
                  <v:shape id="docshape42" o:spid="_x0000_s2232" style="position:absolute;left:1820;top:978;width:150;height:146" coordorigin="1821,979" coordsize="150,146" path="m1970,979r-149,43l1915,1124r55,-145xe" fillcolor="#df836d" stroked="f">
                    <v:path arrowok="t"/>
                  </v:shape>
                  <w10:wrap type="none"/>
                  <w10:anchorlock/>
                </v:group>
              </w:pict>
            </w:r>
          </w:p>
        </w:tc>
      </w:tr>
      <w:tr w:rsidR="00DB6E1F" w14:paraId="502E13F6" w14:textId="77777777">
        <w:trPr>
          <w:trHeight w:val="405"/>
        </w:trPr>
        <w:tc>
          <w:tcPr>
            <w:tcW w:w="9350" w:type="dxa"/>
          </w:tcPr>
          <w:p w14:paraId="1EBCE872" w14:textId="77777777" w:rsidR="00DB6E1F" w:rsidRDefault="00F666A6">
            <w:pPr>
              <w:pStyle w:val="TableParagraph"/>
              <w:spacing w:before="80"/>
              <w:rPr>
                <w:i/>
                <w:sz w:val="20"/>
              </w:rPr>
            </w:pPr>
            <w:r>
              <w:rPr>
                <w:i/>
                <w:sz w:val="20"/>
              </w:rPr>
              <w:t>Source:</w:t>
            </w:r>
            <w:r>
              <w:rPr>
                <w:i/>
                <w:spacing w:val="-11"/>
                <w:sz w:val="20"/>
              </w:rPr>
              <w:t xml:space="preserve"> </w:t>
            </w:r>
            <w:r>
              <w:rPr>
                <w:i/>
                <w:sz w:val="20"/>
              </w:rPr>
              <w:t>DiClemente,</w:t>
            </w:r>
            <w:r>
              <w:rPr>
                <w:i/>
                <w:spacing w:val="-9"/>
                <w:sz w:val="20"/>
              </w:rPr>
              <w:t xml:space="preserve"> </w:t>
            </w:r>
            <w:r>
              <w:rPr>
                <w:i/>
                <w:spacing w:val="-2"/>
                <w:sz w:val="20"/>
              </w:rPr>
              <w:t>2018.</w:t>
            </w:r>
          </w:p>
        </w:tc>
      </w:tr>
    </w:tbl>
    <w:p w14:paraId="12C0A733" w14:textId="77777777" w:rsidR="00DB6E1F" w:rsidRDefault="00F666A6">
      <w:pPr>
        <w:pStyle w:val="BodyText"/>
        <w:spacing w:before="161"/>
        <w:ind w:left="1440"/>
      </w:pPr>
      <w:r>
        <w:t>The</w:t>
      </w:r>
      <w:r>
        <w:rPr>
          <w:spacing w:val="-5"/>
        </w:rPr>
        <w:t xml:space="preserve"> </w:t>
      </w:r>
      <w:r>
        <w:t>associated</w:t>
      </w:r>
      <w:r>
        <w:rPr>
          <w:spacing w:val="-4"/>
        </w:rPr>
        <w:t xml:space="preserve"> </w:t>
      </w:r>
      <w:r>
        <w:t>features</w:t>
      </w:r>
      <w:r>
        <w:rPr>
          <w:spacing w:val="-6"/>
        </w:rPr>
        <w:t xml:space="preserve"> </w:t>
      </w:r>
      <w:r>
        <w:t>of</w:t>
      </w:r>
      <w:r>
        <w:rPr>
          <w:spacing w:val="-6"/>
        </w:rPr>
        <w:t xml:space="preserve"> </w:t>
      </w:r>
      <w:r>
        <w:t>the</w:t>
      </w:r>
      <w:r>
        <w:rPr>
          <w:spacing w:val="-3"/>
        </w:rPr>
        <w:t xml:space="preserve"> </w:t>
      </w:r>
      <w:r>
        <w:t>SOC</w:t>
      </w:r>
      <w:r>
        <w:rPr>
          <w:spacing w:val="-3"/>
        </w:rPr>
        <w:t xml:space="preserve"> </w:t>
      </w:r>
      <w:r>
        <w:t>approach</w:t>
      </w:r>
      <w:r>
        <w:rPr>
          <w:spacing w:val="-4"/>
        </w:rPr>
        <w:t xml:space="preserve"> </w:t>
      </w:r>
      <w:r>
        <w:t>are</w:t>
      </w:r>
      <w:r>
        <w:rPr>
          <w:spacing w:val="-2"/>
        </w:rPr>
        <w:t xml:space="preserve"> </w:t>
      </w:r>
      <w:r>
        <w:t>(Connors</w:t>
      </w:r>
      <w:r>
        <w:rPr>
          <w:spacing w:val="-3"/>
        </w:rPr>
        <w:t xml:space="preserve"> </w:t>
      </w:r>
      <w:r>
        <w:t>et</w:t>
      </w:r>
      <w:r>
        <w:rPr>
          <w:spacing w:val="-2"/>
        </w:rPr>
        <w:t xml:space="preserve"> </w:t>
      </w:r>
      <w:r>
        <w:t>al.,</w:t>
      </w:r>
      <w:r>
        <w:rPr>
          <w:spacing w:val="-5"/>
        </w:rPr>
        <w:t xml:space="preserve"> </w:t>
      </w:r>
      <w:r>
        <w:rPr>
          <w:spacing w:val="-2"/>
        </w:rPr>
        <w:t>2013):</w:t>
      </w:r>
    </w:p>
    <w:p w14:paraId="03DB1969" w14:textId="77777777" w:rsidR="00DB6E1F" w:rsidRDefault="00F666A6">
      <w:pPr>
        <w:pStyle w:val="ListParagraph"/>
        <w:numPr>
          <w:ilvl w:val="0"/>
          <w:numId w:val="92"/>
        </w:numPr>
        <w:tabs>
          <w:tab w:val="left" w:pos="1799"/>
          <w:tab w:val="left" w:pos="1800"/>
        </w:tabs>
        <w:spacing w:before="58"/>
        <w:ind w:left="1799" w:right="1515"/>
        <w:rPr>
          <w:rFonts w:ascii="Symbol" w:hAnsi="Symbol"/>
        </w:rPr>
      </w:pPr>
      <w:r>
        <w:rPr>
          <w:b/>
        </w:rPr>
        <w:t xml:space="preserve">Precontemplation: </w:t>
      </w:r>
      <w:r>
        <w:t>People who use substances are not considering change and do not intend to change in the foreseeable future. They may be partly or completely unaware that a problem exists, that</w:t>
      </w:r>
      <w:r>
        <w:rPr>
          <w:spacing w:val="-1"/>
        </w:rPr>
        <w:t xml:space="preserve"> </w:t>
      </w:r>
      <w:r>
        <w:t>they</w:t>
      </w:r>
      <w:r>
        <w:rPr>
          <w:spacing w:val="-1"/>
        </w:rPr>
        <w:t xml:space="preserve"> </w:t>
      </w:r>
      <w:r>
        <w:t>have</w:t>
      </w:r>
      <w:r>
        <w:rPr>
          <w:spacing w:val="-4"/>
        </w:rPr>
        <w:t xml:space="preserve"> </w:t>
      </w:r>
      <w:r>
        <w:t>to</w:t>
      </w:r>
      <w:r>
        <w:rPr>
          <w:spacing w:val="-3"/>
        </w:rPr>
        <w:t xml:space="preserve"> </w:t>
      </w:r>
      <w:r>
        <w:t>make</w:t>
      </w:r>
      <w:r>
        <w:rPr>
          <w:spacing w:val="-4"/>
        </w:rPr>
        <w:t xml:space="preserve"> </w:t>
      </w:r>
      <w:r>
        <w:t>changes,</w:t>
      </w:r>
      <w:r>
        <w:rPr>
          <w:spacing w:val="-2"/>
        </w:rPr>
        <w:t xml:space="preserve"> </w:t>
      </w:r>
      <w:r>
        <w:t>and</w:t>
      </w:r>
      <w:r>
        <w:rPr>
          <w:spacing w:val="-3"/>
        </w:rPr>
        <w:t xml:space="preserve"> </w:t>
      </w:r>
      <w:r>
        <w:t>that</w:t>
      </w:r>
      <w:r>
        <w:rPr>
          <w:spacing w:val="-4"/>
        </w:rPr>
        <w:t xml:space="preserve"> </w:t>
      </w:r>
      <w:r>
        <w:t>they</w:t>
      </w:r>
      <w:r>
        <w:rPr>
          <w:spacing w:val="-3"/>
        </w:rPr>
        <w:t xml:space="preserve"> </w:t>
      </w:r>
      <w:r>
        <w:t>may</w:t>
      </w:r>
      <w:r>
        <w:rPr>
          <w:spacing w:val="-1"/>
        </w:rPr>
        <w:t xml:space="preserve"> </w:t>
      </w:r>
      <w:r>
        <w:t>need</w:t>
      </w:r>
      <w:r>
        <w:rPr>
          <w:spacing w:val="-3"/>
        </w:rPr>
        <w:t xml:space="preserve"> </w:t>
      </w:r>
      <w:r>
        <w:t>help</w:t>
      </w:r>
      <w:r>
        <w:rPr>
          <w:spacing w:val="-3"/>
        </w:rPr>
        <w:t xml:space="preserve"> </w:t>
      </w:r>
      <w:r>
        <w:t>to</w:t>
      </w:r>
      <w:r>
        <w:rPr>
          <w:spacing w:val="-1"/>
        </w:rPr>
        <w:t xml:space="preserve"> </w:t>
      </w:r>
      <w:r>
        <w:t>change.</w:t>
      </w:r>
      <w:r>
        <w:rPr>
          <w:spacing w:val="-2"/>
        </w:rPr>
        <w:t xml:space="preserve"> </w:t>
      </w:r>
      <w:r>
        <w:t>Alternatively</w:t>
      </w:r>
      <w:r>
        <w:t>,</w:t>
      </w:r>
      <w:r>
        <w:rPr>
          <w:spacing w:val="-2"/>
        </w:rPr>
        <w:t xml:space="preserve"> </w:t>
      </w:r>
      <w:r>
        <w:t>they</w:t>
      </w:r>
      <w:r>
        <w:rPr>
          <w:spacing w:val="-3"/>
        </w:rPr>
        <w:t xml:space="preserve"> </w:t>
      </w:r>
      <w:r>
        <w:t>may</w:t>
      </w:r>
      <w:r>
        <w:rPr>
          <w:spacing w:val="-3"/>
        </w:rPr>
        <w:t xml:space="preserve"> </w:t>
      </w:r>
      <w:r>
        <w:t>be unwilling or too discouraged to change their behavior. Individuals in this stage often are not convinced that their pattern of use is problematic.</w:t>
      </w:r>
    </w:p>
    <w:p w14:paraId="076A885F" w14:textId="77777777" w:rsidR="00DB6E1F" w:rsidRDefault="00DB6E1F">
      <w:pPr>
        <w:rPr>
          <w:rFonts w:ascii="Symbol" w:hAnsi="Symbol"/>
        </w:rPr>
        <w:sectPr w:rsidR="00DB6E1F">
          <w:pgSz w:w="12240" w:h="15840"/>
          <w:pgMar w:top="1200" w:right="0" w:bottom="780" w:left="0" w:header="763" w:footer="585" w:gutter="0"/>
          <w:cols w:space="720"/>
        </w:sectPr>
      </w:pPr>
    </w:p>
    <w:p w14:paraId="1CFE52F8" w14:textId="77777777" w:rsidR="00DB6E1F" w:rsidRDefault="00DB6E1F">
      <w:pPr>
        <w:pStyle w:val="BodyText"/>
        <w:rPr>
          <w:sz w:val="11"/>
        </w:rPr>
      </w:pPr>
    </w:p>
    <w:p w14:paraId="63C1BF3F" w14:textId="77777777" w:rsidR="00DB6E1F" w:rsidRDefault="00F666A6">
      <w:pPr>
        <w:pStyle w:val="ListParagraph"/>
        <w:numPr>
          <w:ilvl w:val="0"/>
          <w:numId w:val="92"/>
        </w:numPr>
        <w:tabs>
          <w:tab w:val="left" w:pos="1800"/>
          <w:tab w:val="left" w:pos="1801"/>
        </w:tabs>
        <w:spacing w:before="101"/>
        <w:ind w:left="1800" w:right="1479" w:hanging="360"/>
        <w:rPr>
          <w:rFonts w:ascii="Symbol" w:hAnsi="Symbol"/>
        </w:rPr>
      </w:pPr>
      <w:r>
        <w:rPr>
          <w:b/>
        </w:rPr>
        <w:t xml:space="preserve">Contemplation: </w:t>
      </w:r>
      <w:r>
        <w:t>As these individuals become aware that a problem exists, they begin to perceive that there may be cause for concern and reasons to change. Typically, they are ambivalent, simultaneously</w:t>
      </w:r>
      <w:r>
        <w:rPr>
          <w:spacing w:val="-3"/>
        </w:rPr>
        <w:t xml:space="preserve"> </w:t>
      </w:r>
      <w:r>
        <w:t>seeing</w:t>
      </w:r>
      <w:r>
        <w:rPr>
          <w:spacing w:val="-3"/>
        </w:rPr>
        <w:t xml:space="preserve"> </w:t>
      </w:r>
      <w:r>
        <w:t>reasons</w:t>
      </w:r>
      <w:r>
        <w:rPr>
          <w:spacing w:val="-2"/>
        </w:rPr>
        <w:t xml:space="preserve"> </w:t>
      </w:r>
      <w:r>
        <w:t>to</w:t>
      </w:r>
      <w:r>
        <w:rPr>
          <w:spacing w:val="-1"/>
        </w:rPr>
        <w:t xml:space="preserve"> </w:t>
      </w:r>
      <w:r>
        <w:t>change</w:t>
      </w:r>
      <w:r>
        <w:rPr>
          <w:spacing w:val="-4"/>
        </w:rPr>
        <w:t xml:space="preserve"> </w:t>
      </w:r>
      <w:r>
        <w:t>and</w:t>
      </w:r>
      <w:r>
        <w:rPr>
          <w:spacing w:val="-3"/>
        </w:rPr>
        <w:t xml:space="preserve"> </w:t>
      </w:r>
      <w:r>
        <w:t>reasons</w:t>
      </w:r>
      <w:r>
        <w:rPr>
          <w:spacing w:val="-4"/>
        </w:rPr>
        <w:t xml:space="preserve"> </w:t>
      </w:r>
      <w:r>
        <w:t>not</w:t>
      </w:r>
      <w:r>
        <w:rPr>
          <w:spacing w:val="-2"/>
        </w:rPr>
        <w:t xml:space="preserve"> </w:t>
      </w:r>
      <w:r>
        <w:t>to</w:t>
      </w:r>
      <w:r>
        <w:rPr>
          <w:spacing w:val="-3"/>
        </w:rPr>
        <w:t xml:space="preserve"> </w:t>
      </w:r>
      <w:r>
        <w:t>change.</w:t>
      </w:r>
      <w:r>
        <w:rPr>
          <w:spacing w:val="-3"/>
        </w:rPr>
        <w:t xml:space="preserve"> </w:t>
      </w:r>
      <w:r>
        <w:t>Individuals</w:t>
      </w:r>
      <w:r>
        <w:rPr>
          <w:spacing w:val="-2"/>
        </w:rPr>
        <w:t xml:space="preserve"> </w:t>
      </w:r>
      <w:r>
        <w:t>in</w:t>
      </w:r>
      <w:r>
        <w:rPr>
          <w:spacing w:val="-3"/>
        </w:rPr>
        <w:t xml:space="preserve"> </w:t>
      </w:r>
      <w:r>
        <w:t>thi</w:t>
      </w:r>
      <w:r>
        <w:t>s</w:t>
      </w:r>
      <w:r>
        <w:rPr>
          <w:spacing w:val="-2"/>
        </w:rPr>
        <w:t xml:space="preserve"> </w:t>
      </w:r>
      <w:r>
        <w:t>stage</w:t>
      </w:r>
      <w:r>
        <w:rPr>
          <w:spacing w:val="-4"/>
        </w:rPr>
        <w:t xml:space="preserve"> </w:t>
      </w:r>
      <w:r>
        <w:t>are</w:t>
      </w:r>
      <w:r>
        <w:rPr>
          <w:spacing w:val="-4"/>
        </w:rPr>
        <w:t xml:space="preserve"> </w:t>
      </w:r>
      <w:r>
        <w:t>still using substances, but they are considering the possibility of stopping or cutting back in the near future. At this point, they may seek relevant information, reevaluate their substance use behavior, or seek help to support the possibility</w:t>
      </w:r>
      <w:r>
        <w:t xml:space="preserve"> of changing. They typically weigh the positive and negative aspects of making a change. It is not uncommon for individuals to remain in this stage for extended periods, often for years, vacillating between wanting and not wanting to change.</w:t>
      </w:r>
    </w:p>
    <w:p w14:paraId="1AD2B4D9" w14:textId="77777777" w:rsidR="00DB6E1F" w:rsidRDefault="00F666A6">
      <w:pPr>
        <w:pStyle w:val="ListParagraph"/>
        <w:numPr>
          <w:ilvl w:val="0"/>
          <w:numId w:val="92"/>
        </w:numPr>
        <w:tabs>
          <w:tab w:val="left" w:pos="1800"/>
          <w:tab w:val="left" w:pos="1801"/>
        </w:tabs>
        <w:spacing w:before="59"/>
        <w:ind w:left="1800" w:right="1471"/>
        <w:rPr>
          <w:rFonts w:ascii="Symbol" w:hAnsi="Symbol"/>
        </w:rPr>
      </w:pPr>
      <w:r>
        <w:rPr>
          <w:b/>
        </w:rPr>
        <w:t xml:space="preserve">Preparation: </w:t>
      </w:r>
      <w:r>
        <w:t>W</w:t>
      </w:r>
      <w:r>
        <w:t>hen individuals perceive that the envisioned advantages of change and adverse consequences of substance use outweigh the benefits of maintaining the status quo, the decisional balance tips in favor of change. Once initiation of change occurs, individuals e</w:t>
      </w:r>
      <w:r>
        <w:t>nter the Preparation stage</w:t>
      </w:r>
      <w:r>
        <w:rPr>
          <w:spacing w:val="-1"/>
        </w:rPr>
        <w:t xml:space="preserve"> </w:t>
      </w:r>
      <w:r>
        <w:t>and</w:t>
      </w:r>
      <w:r>
        <w:rPr>
          <w:spacing w:val="-3"/>
        </w:rPr>
        <w:t xml:space="preserve"> </w:t>
      </w:r>
      <w:r>
        <w:t>strengthen</w:t>
      </w:r>
      <w:r>
        <w:rPr>
          <w:spacing w:val="-5"/>
        </w:rPr>
        <w:t xml:space="preserve"> </w:t>
      </w:r>
      <w:r>
        <w:t>their</w:t>
      </w:r>
      <w:r>
        <w:rPr>
          <w:spacing w:val="-4"/>
        </w:rPr>
        <w:t xml:space="preserve"> </w:t>
      </w:r>
      <w:r>
        <w:t>commitment.</w:t>
      </w:r>
      <w:r>
        <w:rPr>
          <w:spacing w:val="-5"/>
        </w:rPr>
        <w:t xml:space="preserve"> </w:t>
      </w:r>
      <w:r>
        <w:t>Preparation</w:t>
      </w:r>
      <w:r>
        <w:rPr>
          <w:spacing w:val="-5"/>
        </w:rPr>
        <w:t xml:space="preserve"> </w:t>
      </w:r>
      <w:r>
        <w:t>entails</w:t>
      </w:r>
      <w:r>
        <w:rPr>
          <w:spacing w:val="-4"/>
        </w:rPr>
        <w:t xml:space="preserve"> </w:t>
      </w:r>
      <w:r>
        <w:t>more</w:t>
      </w:r>
      <w:r>
        <w:rPr>
          <w:spacing w:val="-1"/>
        </w:rPr>
        <w:t xml:space="preserve"> </w:t>
      </w:r>
      <w:r>
        <w:t>specific</w:t>
      </w:r>
      <w:r>
        <w:rPr>
          <w:spacing w:val="-2"/>
        </w:rPr>
        <w:t xml:space="preserve"> </w:t>
      </w:r>
      <w:r>
        <w:t>planning</w:t>
      </w:r>
      <w:r>
        <w:rPr>
          <w:spacing w:val="-3"/>
        </w:rPr>
        <w:t xml:space="preserve"> </w:t>
      </w:r>
      <w:r>
        <w:t>for</w:t>
      </w:r>
      <w:r>
        <w:rPr>
          <w:spacing w:val="-2"/>
        </w:rPr>
        <w:t xml:space="preserve"> </w:t>
      </w:r>
      <w:r>
        <w:t>change,</w:t>
      </w:r>
      <w:r>
        <w:rPr>
          <w:spacing w:val="-4"/>
        </w:rPr>
        <w:t xml:space="preserve"> </w:t>
      </w:r>
      <w:r>
        <w:t>such as making choices about</w:t>
      </w:r>
      <w:r>
        <w:rPr>
          <w:spacing w:val="-1"/>
        </w:rPr>
        <w:t xml:space="preserve"> </w:t>
      </w:r>
      <w:r>
        <w:t>whether treatment</w:t>
      </w:r>
      <w:r>
        <w:rPr>
          <w:spacing w:val="-1"/>
        </w:rPr>
        <w:t xml:space="preserve"> </w:t>
      </w:r>
      <w:r>
        <w:t>is needed and, if so,</w:t>
      </w:r>
      <w:r>
        <w:rPr>
          <w:spacing w:val="-1"/>
        </w:rPr>
        <w:t xml:space="preserve"> </w:t>
      </w:r>
      <w:r>
        <w:t>what</w:t>
      </w:r>
      <w:r>
        <w:rPr>
          <w:spacing w:val="-1"/>
        </w:rPr>
        <w:t xml:space="preserve"> </w:t>
      </w:r>
      <w:r>
        <w:t>kind. Preparation also entails examining</w:t>
      </w:r>
      <w:r>
        <w:rPr>
          <w:spacing w:val="-3"/>
        </w:rPr>
        <w:t xml:space="preserve"> </w:t>
      </w:r>
      <w:r>
        <w:t>clients’</w:t>
      </w:r>
      <w:r>
        <w:rPr>
          <w:spacing w:val="-4"/>
        </w:rPr>
        <w:t xml:space="preserve"> </w:t>
      </w:r>
      <w:r>
        <w:t>self-efficacy</w:t>
      </w:r>
      <w:r>
        <w:rPr>
          <w:spacing w:val="-3"/>
        </w:rPr>
        <w:t xml:space="preserve"> </w:t>
      </w:r>
      <w:r>
        <w:t>or</w:t>
      </w:r>
      <w:r>
        <w:rPr>
          <w:spacing w:val="-2"/>
        </w:rPr>
        <w:t xml:space="preserve"> </w:t>
      </w:r>
      <w:r>
        <w:t>confidence</w:t>
      </w:r>
      <w:r>
        <w:rPr>
          <w:spacing w:val="-4"/>
        </w:rPr>
        <w:t xml:space="preserve"> </w:t>
      </w:r>
      <w:r>
        <w:t>in</w:t>
      </w:r>
      <w:r>
        <w:rPr>
          <w:spacing w:val="-3"/>
        </w:rPr>
        <w:t xml:space="preserve"> </w:t>
      </w:r>
      <w:r>
        <w:t>their</w:t>
      </w:r>
      <w:r>
        <w:rPr>
          <w:spacing w:val="-5"/>
        </w:rPr>
        <w:t xml:space="preserve"> </w:t>
      </w:r>
      <w:r>
        <w:t>ability</w:t>
      </w:r>
      <w:r>
        <w:rPr>
          <w:spacing w:val="-1"/>
        </w:rPr>
        <w:t xml:space="preserve"> </w:t>
      </w:r>
      <w:r>
        <w:t>to change.</w:t>
      </w:r>
      <w:r>
        <w:rPr>
          <w:spacing w:val="-2"/>
        </w:rPr>
        <w:t xml:space="preserve"> </w:t>
      </w:r>
      <w:r>
        <w:t>Individuals</w:t>
      </w:r>
      <w:r>
        <w:rPr>
          <w:spacing w:val="-2"/>
        </w:rPr>
        <w:t xml:space="preserve"> </w:t>
      </w:r>
      <w:r>
        <w:t>in</w:t>
      </w:r>
      <w:r>
        <w:rPr>
          <w:spacing w:val="-3"/>
        </w:rPr>
        <w:t xml:space="preserve"> </w:t>
      </w:r>
      <w:r>
        <w:t>the</w:t>
      </w:r>
      <w:r>
        <w:rPr>
          <w:spacing w:val="-3"/>
        </w:rPr>
        <w:t xml:space="preserve"> </w:t>
      </w:r>
      <w:r>
        <w:t>Preparation stage are still using substances, but typically they intend to stop using very soon. They may already be making small c</w:t>
      </w:r>
      <w:r>
        <w:t>hanges, like cutting down on their substance use. They begin to set goals for themselves and make commitments to stop using, even telling close associates or significant others about their plans.</w:t>
      </w:r>
    </w:p>
    <w:p w14:paraId="20709DF5" w14:textId="77777777" w:rsidR="00DB6E1F" w:rsidRDefault="00F666A6">
      <w:pPr>
        <w:pStyle w:val="ListParagraph"/>
        <w:numPr>
          <w:ilvl w:val="0"/>
          <w:numId w:val="92"/>
        </w:numPr>
        <w:tabs>
          <w:tab w:val="left" w:pos="1800"/>
          <w:tab w:val="left" w:pos="1801"/>
        </w:tabs>
        <w:ind w:left="1799" w:right="1617" w:hanging="360"/>
        <w:rPr>
          <w:rFonts w:ascii="Symbol" w:hAnsi="Symbol"/>
        </w:rPr>
      </w:pPr>
      <w:r>
        <w:rPr>
          <w:b/>
        </w:rPr>
        <w:t xml:space="preserve">Action: </w:t>
      </w:r>
      <w:r>
        <w:t>Here, individuals choose a strategy for change and b</w:t>
      </w:r>
      <w:r>
        <w:t>egin to pursue it. Clients are actively engaged in changing substance use behaviors. They are making lifestyle changes and may face challenging situations (e.g., temptations to use, physiological effects of withdrawal). Clients may begin to reevaluate thei</w:t>
      </w:r>
      <w:r>
        <w:t>r self-image as they move from substance misuse to nonuse or safe use. Clients</w:t>
      </w:r>
      <w:r>
        <w:rPr>
          <w:spacing w:val="-2"/>
        </w:rPr>
        <w:t xml:space="preserve"> </w:t>
      </w:r>
      <w:r>
        <w:t>are</w:t>
      </w:r>
      <w:r>
        <w:rPr>
          <w:spacing w:val="-4"/>
        </w:rPr>
        <w:t xml:space="preserve"> </w:t>
      </w:r>
      <w:r>
        <w:t>committed</w:t>
      </w:r>
      <w:r>
        <w:rPr>
          <w:spacing w:val="-5"/>
        </w:rPr>
        <w:t xml:space="preserve"> </w:t>
      </w:r>
      <w:r>
        <w:t>to</w:t>
      </w:r>
      <w:r>
        <w:rPr>
          <w:spacing w:val="-3"/>
        </w:rPr>
        <w:t xml:space="preserve"> </w:t>
      </w:r>
      <w:r>
        <w:t>the</w:t>
      </w:r>
      <w:r>
        <w:rPr>
          <w:spacing w:val="-2"/>
        </w:rPr>
        <w:t xml:space="preserve"> </w:t>
      </w:r>
      <w:r>
        <w:t>change</w:t>
      </w:r>
      <w:r>
        <w:rPr>
          <w:spacing w:val="-2"/>
        </w:rPr>
        <w:t xml:space="preserve"> </w:t>
      </w:r>
      <w:r>
        <w:t>process</w:t>
      </w:r>
      <w:r>
        <w:rPr>
          <w:spacing w:val="-2"/>
        </w:rPr>
        <w:t xml:space="preserve"> </w:t>
      </w:r>
      <w:r>
        <w:t>and</w:t>
      </w:r>
      <w:r>
        <w:rPr>
          <w:spacing w:val="-3"/>
        </w:rPr>
        <w:t xml:space="preserve"> </w:t>
      </w:r>
      <w:r>
        <w:t>are</w:t>
      </w:r>
      <w:r>
        <w:rPr>
          <w:spacing w:val="-6"/>
        </w:rPr>
        <w:t xml:space="preserve"> </w:t>
      </w:r>
      <w:r>
        <w:t>willing</w:t>
      </w:r>
      <w:r>
        <w:rPr>
          <w:spacing w:val="-3"/>
        </w:rPr>
        <w:t xml:space="preserve"> </w:t>
      </w:r>
      <w:r>
        <w:t>to</w:t>
      </w:r>
      <w:r>
        <w:rPr>
          <w:spacing w:val="-3"/>
        </w:rPr>
        <w:t xml:space="preserve"> </w:t>
      </w:r>
      <w:r>
        <w:t>follow</w:t>
      </w:r>
      <w:r>
        <w:rPr>
          <w:spacing w:val="-4"/>
        </w:rPr>
        <w:t xml:space="preserve"> </w:t>
      </w:r>
      <w:r>
        <w:t>suggested</w:t>
      </w:r>
      <w:r>
        <w:rPr>
          <w:spacing w:val="-2"/>
        </w:rPr>
        <w:t xml:space="preserve"> </w:t>
      </w:r>
      <w:r>
        <w:t>change</w:t>
      </w:r>
      <w:r>
        <w:rPr>
          <w:spacing w:val="-1"/>
        </w:rPr>
        <w:t xml:space="preserve"> </w:t>
      </w:r>
      <w:r>
        <w:t>strategies.</w:t>
      </w:r>
    </w:p>
    <w:p w14:paraId="1B689187" w14:textId="77777777" w:rsidR="00DB6E1F" w:rsidRDefault="00F666A6">
      <w:pPr>
        <w:pStyle w:val="ListParagraph"/>
        <w:numPr>
          <w:ilvl w:val="0"/>
          <w:numId w:val="92"/>
        </w:numPr>
        <w:tabs>
          <w:tab w:val="left" w:pos="1799"/>
          <w:tab w:val="left" w:pos="1800"/>
        </w:tabs>
        <w:spacing w:before="59"/>
        <w:ind w:left="1799" w:right="1452" w:hanging="360"/>
        <w:rPr>
          <w:rFonts w:ascii="Symbol" w:hAnsi="Symbol"/>
        </w:rPr>
      </w:pPr>
      <w:r>
        <w:rPr>
          <w:b/>
        </w:rPr>
        <w:t>Maintenance:</w:t>
      </w:r>
      <w:r>
        <w:rPr>
          <w:b/>
          <w:spacing w:val="-3"/>
        </w:rPr>
        <w:t xml:space="preserve"> </w:t>
      </w:r>
      <w:r>
        <w:t>This</w:t>
      </w:r>
      <w:r>
        <w:rPr>
          <w:spacing w:val="-2"/>
        </w:rPr>
        <w:t xml:space="preserve"> </w:t>
      </w:r>
      <w:r>
        <w:t>stage</w:t>
      </w:r>
      <w:r>
        <w:rPr>
          <w:spacing w:val="-4"/>
        </w:rPr>
        <w:t xml:space="preserve"> </w:t>
      </w:r>
      <w:r>
        <w:t>entails</w:t>
      </w:r>
      <w:r>
        <w:rPr>
          <w:spacing w:val="-2"/>
        </w:rPr>
        <w:t xml:space="preserve"> </w:t>
      </w:r>
      <w:r>
        <w:t>efforts</w:t>
      </w:r>
      <w:r>
        <w:rPr>
          <w:spacing w:val="-4"/>
        </w:rPr>
        <w:t xml:space="preserve"> </w:t>
      </w:r>
      <w:r>
        <w:t>to</w:t>
      </w:r>
      <w:r>
        <w:rPr>
          <w:spacing w:val="-3"/>
        </w:rPr>
        <w:t xml:space="preserve"> </w:t>
      </w:r>
      <w:r>
        <w:t>sustain</w:t>
      </w:r>
      <w:r>
        <w:rPr>
          <w:spacing w:val="-3"/>
        </w:rPr>
        <w:t xml:space="preserve"> </w:t>
      </w:r>
      <w:r>
        <w:t>gains</w:t>
      </w:r>
      <w:r>
        <w:rPr>
          <w:spacing w:val="-2"/>
        </w:rPr>
        <w:t xml:space="preserve"> </w:t>
      </w:r>
      <w:r>
        <w:t>made</w:t>
      </w:r>
      <w:r>
        <w:rPr>
          <w:spacing w:val="-3"/>
        </w:rPr>
        <w:t xml:space="preserve"> </w:t>
      </w:r>
      <w:r>
        <w:t>during</w:t>
      </w:r>
      <w:r>
        <w:rPr>
          <w:spacing w:val="-3"/>
        </w:rPr>
        <w:t xml:space="preserve"> </w:t>
      </w:r>
      <w:r>
        <w:t>the</w:t>
      </w:r>
      <w:r>
        <w:rPr>
          <w:spacing w:val="-1"/>
        </w:rPr>
        <w:t xml:space="preserve"> </w:t>
      </w:r>
      <w:r>
        <w:t>Action</w:t>
      </w:r>
      <w:r>
        <w:rPr>
          <w:spacing w:val="-5"/>
        </w:rPr>
        <w:t xml:space="preserve"> </w:t>
      </w:r>
      <w:r>
        <w:t>stage</w:t>
      </w:r>
      <w:r>
        <w:rPr>
          <w:spacing w:val="-1"/>
        </w:rPr>
        <w:t xml:space="preserve"> </w:t>
      </w:r>
      <w:r>
        <w:t>and</w:t>
      </w:r>
      <w:r>
        <w:rPr>
          <w:spacing w:val="-2"/>
        </w:rPr>
        <w:t xml:space="preserve"> </w:t>
      </w:r>
      <w:r>
        <w:t>to</w:t>
      </w:r>
      <w:r>
        <w:rPr>
          <w:spacing w:val="-1"/>
        </w:rPr>
        <w:t xml:space="preserve"> </w:t>
      </w:r>
      <w:r>
        <w:t>prevent recurrence. Extra precautions may be necessary to keep from reverting to health-risk behaviors. Individuals</w:t>
      </w:r>
      <w:r>
        <w:rPr>
          <w:spacing w:val="-1"/>
        </w:rPr>
        <w:t xml:space="preserve"> </w:t>
      </w:r>
      <w:r>
        <w:t>learn</w:t>
      </w:r>
      <w:r>
        <w:rPr>
          <w:spacing w:val="-2"/>
        </w:rPr>
        <w:t xml:space="preserve"> </w:t>
      </w:r>
      <w:r>
        <w:t>to identify</w:t>
      </w:r>
      <w:r>
        <w:rPr>
          <w:spacing w:val="-2"/>
        </w:rPr>
        <w:t xml:space="preserve"> </w:t>
      </w:r>
      <w:r>
        <w:t>situations</w:t>
      </w:r>
      <w:r>
        <w:rPr>
          <w:spacing w:val="-1"/>
        </w:rPr>
        <w:t xml:space="preserve"> </w:t>
      </w:r>
      <w:r>
        <w:t>that</w:t>
      </w:r>
      <w:r>
        <w:rPr>
          <w:spacing w:val="-3"/>
        </w:rPr>
        <w:t xml:space="preserve"> </w:t>
      </w:r>
      <w:r>
        <w:t>may trigger</w:t>
      </w:r>
      <w:r>
        <w:rPr>
          <w:spacing w:val="-3"/>
        </w:rPr>
        <w:t xml:space="preserve"> </w:t>
      </w:r>
      <w:r>
        <w:t>a</w:t>
      </w:r>
      <w:r>
        <w:rPr>
          <w:spacing w:val="-1"/>
        </w:rPr>
        <w:t xml:space="preserve"> </w:t>
      </w:r>
      <w:r>
        <w:t>return</w:t>
      </w:r>
      <w:r>
        <w:rPr>
          <w:spacing w:val="-4"/>
        </w:rPr>
        <w:t xml:space="preserve"> </w:t>
      </w:r>
      <w:r>
        <w:t>to</w:t>
      </w:r>
      <w:r>
        <w:rPr>
          <w:spacing w:val="-2"/>
        </w:rPr>
        <w:t xml:space="preserve"> </w:t>
      </w:r>
      <w:r>
        <w:t>substance</w:t>
      </w:r>
      <w:r>
        <w:rPr>
          <w:spacing w:val="-3"/>
        </w:rPr>
        <w:t xml:space="preserve"> </w:t>
      </w:r>
      <w:r>
        <w:t>use</w:t>
      </w:r>
      <w:r>
        <w:rPr>
          <w:spacing w:val="-3"/>
        </w:rPr>
        <w:t xml:space="preserve"> </w:t>
      </w:r>
      <w:r>
        <w:t>and</w:t>
      </w:r>
      <w:r>
        <w:rPr>
          <w:spacing w:val="-2"/>
        </w:rPr>
        <w:t xml:space="preserve"> </w:t>
      </w:r>
      <w:r>
        <w:t>develop</w:t>
      </w:r>
      <w:r>
        <w:rPr>
          <w:spacing w:val="-1"/>
        </w:rPr>
        <w:t xml:space="preserve"> </w:t>
      </w:r>
      <w:r>
        <w:t>coping skills to manage such situations. Du</w:t>
      </w:r>
      <w:r>
        <w:t>ring Maintenance, clients are building a new lifestyle that no longer includes the old substance use behaviors.</w:t>
      </w:r>
    </w:p>
    <w:p w14:paraId="15A3B380" w14:textId="77777777" w:rsidR="00DB6E1F" w:rsidRDefault="00F666A6">
      <w:pPr>
        <w:pStyle w:val="BodyText"/>
        <w:spacing w:before="159"/>
        <w:ind w:left="1438" w:right="1480"/>
      </w:pPr>
      <w:r>
        <w:t>Most people who misuse substances progress through the stages in a circular or spiral pattern, not a linear one.</w:t>
      </w:r>
      <w:r>
        <w:rPr>
          <w:spacing w:val="-3"/>
        </w:rPr>
        <w:t xml:space="preserve"> </w:t>
      </w:r>
      <w:r>
        <w:t>Individuals typically</w:t>
      </w:r>
      <w:r>
        <w:rPr>
          <w:spacing w:val="-2"/>
        </w:rPr>
        <w:t xml:space="preserve"> </w:t>
      </w:r>
      <w:r>
        <w:t>move back</w:t>
      </w:r>
      <w:r>
        <w:t xml:space="preserve"> and</w:t>
      </w:r>
      <w:r>
        <w:rPr>
          <w:spacing w:val="-1"/>
        </w:rPr>
        <w:t xml:space="preserve"> </w:t>
      </w:r>
      <w:r>
        <w:t>forth</w:t>
      </w:r>
      <w:r>
        <w:rPr>
          <w:spacing w:val="-1"/>
        </w:rPr>
        <w:t xml:space="preserve"> </w:t>
      </w:r>
      <w:r>
        <w:t>between</w:t>
      </w:r>
      <w:r>
        <w:rPr>
          <w:spacing w:val="-1"/>
        </w:rPr>
        <w:t xml:space="preserve"> </w:t>
      </w:r>
      <w:r>
        <w:t>the stages and</w:t>
      </w:r>
      <w:r>
        <w:rPr>
          <w:spacing w:val="-1"/>
        </w:rPr>
        <w:t xml:space="preserve"> </w:t>
      </w:r>
      <w:r>
        <w:t>cycle through</w:t>
      </w:r>
      <w:r>
        <w:rPr>
          <w:spacing w:val="-3"/>
        </w:rPr>
        <w:t xml:space="preserve"> </w:t>
      </w:r>
      <w:r>
        <w:t>the stages at different rates, as shown in the bidirectional arrows in Exhibit 1.3. As clients progress through the stages,</w:t>
      </w:r>
      <w:r>
        <w:rPr>
          <w:spacing w:val="-4"/>
        </w:rPr>
        <w:t xml:space="preserve"> </w:t>
      </w:r>
      <w:r>
        <w:t>they</w:t>
      </w:r>
      <w:r>
        <w:rPr>
          <w:spacing w:val="-3"/>
        </w:rPr>
        <w:t xml:space="preserve"> </w:t>
      </w:r>
      <w:r>
        <w:t>often</w:t>
      </w:r>
      <w:r>
        <w:rPr>
          <w:spacing w:val="-3"/>
        </w:rPr>
        <w:t xml:space="preserve"> </w:t>
      </w:r>
      <w:r>
        <w:t>have</w:t>
      </w:r>
      <w:r>
        <w:rPr>
          <w:spacing w:val="-2"/>
        </w:rPr>
        <w:t xml:space="preserve"> </w:t>
      </w:r>
      <w:r>
        <w:t>setbacks.</w:t>
      </w:r>
      <w:r>
        <w:rPr>
          <w:spacing w:val="-2"/>
        </w:rPr>
        <w:t xml:space="preserve"> </w:t>
      </w:r>
      <w:r>
        <w:t>However,</w:t>
      </w:r>
      <w:r>
        <w:rPr>
          <w:spacing w:val="-4"/>
        </w:rPr>
        <w:t xml:space="preserve"> </w:t>
      </w:r>
      <w:r>
        <w:t>most</w:t>
      </w:r>
      <w:r>
        <w:rPr>
          <w:spacing w:val="-4"/>
        </w:rPr>
        <w:t xml:space="preserve"> </w:t>
      </w:r>
      <w:r>
        <w:t>people</w:t>
      </w:r>
      <w:r>
        <w:rPr>
          <w:spacing w:val="-2"/>
        </w:rPr>
        <w:t xml:space="preserve"> </w:t>
      </w:r>
      <w:r>
        <w:t>do</w:t>
      </w:r>
      <w:r>
        <w:rPr>
          <w:spacing w:val="-2"/>
        </w:rPr>
        <w:t xml:space="preserve"> </w:t>
      </w:r>
      <w:r>
        <w:t>not</w:t>
      </w:r>
      <w:r>
        <w:rPr>
          <w:spacing w:val="-4"/>
        </w:rPr>
        <w:t xml:space="preserve"> </w:t>
      </w:r>
      <w:r>
        <w:t>typically</w:t>
      </w:r>
      <w:r>
        <w:rPr>
          <w:spacing w:val="-2"/>
        </w:rPr>
        <w:t xml:space="preserve"> </w:t>
      </w:r>
      <w:r>
        <w:t>return</w:t>
      </w:r>
      <w:r>
        <w:rPr>
          <w:spacing w:val="-3"/>
        </w:rPr>
        <w:t xml:space="preserve"> </w:t>
      </w:r>
      <w:r>
        <w:t>to</w:t>
      </w:r>
      <w:r>
        <w:rPr>
          <w:spacing w:val="-2"/>
        </w:rPr>
        <w:t xml:space="preserve"> </w:t>
      </w:r>
      <w:r>
        <w:t>the</w:t>
      </w:r>
      <w:r>
        <w:rPr>
          <w:spacing w:val="-3"/>
        </w:rPr>
        <w:t xml:space="preserve"> </w:t>
      </w:r>
      <w:r>
        <w:t>Precontemplation stage to start over again (Connors et al., 2013) and are unlikely to move from Precontemplation back to Maintenance. This movement through the stages can vary in relation to different behaviors or</w:t>
      </w:r>
      <w:r>
        <w:rPr>
          <w:spacing w:val="40"/>
        </w:rPr>
        <w:t xml:space="preserve"> </w:t>
      </w:r>
      <w:r>
        <w:t>treatment goals. For example, a client mig</w:t>
      </w:r>
      <w:r>
        <w:t>ht be in the Action stage with regard to quitting drinking but be in Precontemplation regarding his or her use of cannabis.</w:t>
      </w:r>
    </w:p>
    <w:p w14:paraId="4429E59B" w14:textId="77777777" w:rsidR="00DB6E1F" w:rsidRDefault="00F666A6">
      <w:pPr>
        <w:pStyle w:val="BodyText"/>
        <w:spacing w:before="160"/>
        <w:ind w:left="1438" w:right="1491"/>
      </w:pPr>
      <w:r>
        <w:rPr>
          <w:b/>
        </w:rPr>
        <w:t xml:space="preserve">Relapse or recurrence of substance misuse is a common part of the process as people cycle through the different stages </w:t>
      </w:r>
      <w:r>
        <w:t>(note the cir</w:t>
      </w:r>
      <w:r>
        <w:t>cular movement of Relapse &amp; Recycle in Exhibit 1.3). Although clients might</w:t>
      </w:r>
      <w:r>
        <w:rPr>
          <w:spacing w:val="-1"/>
        </w:rPr>
        <w:t xml:space="preserve"> </w:t>
      </w:r>
      <w:r>
        <w:t>return</w:t>
      </w:r>
      <w:r>
        <w:rPr>
          <w:spacing w:val="-3"/>
        </w:rPr>
        <w:t xml:space="preserve"> </w:t>
      </w:r>
      <w:r>
        <w:t>to</w:t>
      </w:r>
      <w:r>
        <w:rPr>
          <w:spacing w:val="-1"/>
        </w:rPr>
        <w:t xml:space="preserve"> </w:t>
      </w:r>
      <w:r>
        <w:t>substance</w:t>
      </w:r>
      <w:r>
        <w:rPr>
          <w:spacing w:val="-4"/>
        </w:rPr>
        <w:t xml:space="preserve"> </w:t>
      </w:r>
      <w:r>
        <w:t>misuse</w:t>
      </w:r>
      <w:r>
        <w:rPr>
          <w:spacing w:val="-4"/>
        </w:rPr>
        <w:t xml:space="preserve"> </w:t>
      </w:r>
      <w:r>
        <w:t>during</w:t>
      </w:r>
      <w:r>
        <w:rPr>
          <w:spacing w:val="-3"/>
        </w:rPr>
        <w:t xml:space="preserve"> </w:t>
      </w:r>
      <w:r>
        <w:t>any</w:t>
      </w:r>
      <w:r>
        <w:rPr>
          <w:spacing w:val="-3"/>
        </w:rPr>
        <w:t xml:space="preserve"> </w:t>
      </w:r>
      <w:r>
        <w:t>of</w:t>
      </w:r>
      <w:r>
        <w:rPr>
          <w:spacing w:val="-2"/>
        </w:rPr>
        <w:t xml:space="preserve"> </w:t>
      </w:r>
      <w:r>
        <w:t>the</w:t>
      </w:r>
      <w:r>
        <w:rPr>
          <w:spacing w:val="-4"/>
        </w:rPr>
        <w:t xml:space="preserve"> </w:t>
      </w:r>
      <w:r>
        <w:t>stages,</w:t>
      </w:r>
      <w:r>
        <w:rPr>
          <w:spacing w:val="-2"/>
        </w:rPr>
        <w:t xml:space="preserve"> </w:t>
      </w:r>
      <w:r>
        <w:t>relapse</w:t>
      </w:r>
      <w:r>
        <w:rPr>
          <w:spacing w:val="-1"/>
        </w:rPr>
        <w:t xml:space="preserve"> </w:t>
      </w:r>
      <w:r>
        <w:t>is</w:t>
      </w:r>
      <w:r>
        <w:rPr>
          <w:spacing w:val="-4"/>
        </w:rPr>
        <w:t xml:space="preserve"> </w:t>
      </w:r>
      <w:r>
        <w:t>most</w:t>
      </w:r>
      <w:r>
        <w:rPr>
          <w:spacing w:val="-4"/>
        </w:rPr>
        <w:t xml:space="preserve"> </w:t>
      </w:r>
      <w:r>
        <w:t>often</w:t>
      </w:r>
      <w:r>
        <w:rPr>
          <w:spacing w:val="-5"/>
        </w:rPr>
        <w:t xml:space="preserve"> </w:t>
      </w:r>
      <w:r>
        <w:t>discussed</w:t>
      </w:r>
      <w:r>
        <w:rPr>
          <w:spacing w:val="-3"/>
        </w:rPr>
        <w:t xml:space="preserve"> </w:t>
      </w:r>
      <w:r>
        <w:t>as</w:t>
      </w:r>
      <w:r>
        <w:rPr>
          <w:spacing w:val="-2"/>
        </w:rPr>
        <w:t xml:space="preserve"> </w:t>
      </w:r>
      <w:r>
        <w:t>a</w:t>
      </w:r>
      <w:r>
        <w:rPr>
          <w:spacing w:val="-4"/>
        </w:rPr>
        <w:t xml:space="preserve"> </w:t>
      </w:r>
      <w:r>
        <w:t xml:space="preserve">setback during the Maintenance stage (Connors et al., 2013). In this model, recurrence is </w:t>
      </w:r>
      <w:r>
        <w:t>viewed as a normal (not pathological) event because many clients cycle through different stages several times before achieving stable change. Recurrence is not considered a failure but rather a learning opportunity.</w:t>
      </w:r>
    </w:p>
    <w:p w14:paraId="165A3651" w14:textId="77777777" w:rsidR="00DB6E1F" w:rsidRDefault="00F666A6">
      <w:pPr>
        <w:pStyle w:val="BodyText"/>
        <w:ind w:left="1438" w:right="1491"/>
      </w:pPr>
      <w:r>
        <w:t>Remember</w:t>
      </w:r>
      <w:r>
        <w:rPr>
          <w:spacing w:val="-2"/>
        </w:rPr>
        <w:t xml:space="preserve"> </w:t>
      </w:r>
      <w:r>
        <w:t>that</w:t>
      </w:r>
      <w:r>
        <w:rPr>
          <w:spacing w:val="-1"/>
        </w:rPr>
        <w:t xml:space="preserve"> </w:t>
      </w:r>
      <w:r>
        <w:t>each</w:t>
      </w:r>
      <w:r>
        <w:rPr>
          <w:spacing w:val="-3"/>
        </w:rPr>
        <w:t xml:space="preserve"> </w:t>
      </w:r>
      <w:r>
        <w:t>time</w:t>
      </w:r>
      <w:r>
        <w:rPr>
          <w:spacing w:val="-4"/>
        </w:rPr>
        <w:t xml:space="preserve"> </w:t>
      </w:r>
      <w:r>
        <w:t>clients</w:t>
      </w:r>
      <w:r>
        <w:rPr>
          <w:spacing w:val="-2"/>
        </w:rPr>
        <w:t xml:space="preserve"> </w:t>
      </w:r>
      <w:r>
        <w:t>have</w:t>
      </w:r>
      <w:r>
        <w:rPr>
          <w:spacing w:val="-1"/>
        </w:rPr>
        <w:t xml:space="preserve"> </w:t>
      </w:r>
      <w:r>
        <w:t>a</w:t>
      </w:r>
      <w:r>
        <w:rPr>
          <w:spacing w:val="-4"/>
        </w:rPr>
        <w:t xml:space="preserve"> </w:t>
      </w:r>
      <w:r>
        <w:t>s</w:t>
      </w:r>
      <w:r>
        <w:t>etback,</w:t>
      </w:r>
      <w:r>
        <w:rPr>
          <w:spacing w:val="-4"/>
        </w:rPr>
        <w:t xml:space="preserve"> </w:t>
      </w:r>
      <w:r>
        <w:t>they</w:t>
      </w:r>
      <w:r>
        <w:rPr>
          <w:spacing w:val="-3"/>
        </w:rPr>
        <w:t xml:space="preserve"> </w:t>
      </w:r>
      <w:r>
        <w:t>are</w:t>
      </w:r>
      <w:r>
        <w:rPr>
          <w:spacing w:val="-1"/>
        </w:rPr>
        <w:t xml:space="preserve"> </w:t>
      </w:r>
      <w:r>
        <w:t>learning</w:t>
      </w:r>
      <w:r>
        <w:rPr>
          <w:spacing w:val="-3"/>
        </w:rPr>
        <w:t xml:space="preserve"> </w:t>
      </w:r>
      <w:r>
        <w:t>from</w:t>
      </w:r>
      <w:r>
        <w:rPr>
          <w:spacing w:val="-1"/>
        </w:rPr>
        <w:t xml:space="preserve"> </w:t>
      </w:r>
      <w:r>
        <w:t>the</w:t>
      </w:r>
      <w:r>
        <w:rPr>
          <w:spacing w:val="-1"/>
        </w:rPr>
        <w:t xml:space="preserve"> </w:t>
      </w:r>
      <w:r>
        <w:t>experience</w:t>
      </w:r>
      <w:r>
        <w:rPr>
          <w:spacing w:val="-1"/>
        </w:rPr>
        <w:t xml:space="preserve"> </w:t>
      </w:r>
      <w:r>
        <w:t>and</w:t>
      </w:r>
      <w:r>
        <w:rPr>
          <w:spacing w:val="-3"/>
        </w:rPr>
        <w:t xml:space="preserve"> </w:t>
      </w:r>
      <w:r>
        <w:t>applying whatever skills or knowledge they have gained to move forward in the process with greater understanding and awareness.</w:t>
      </w:r>
    </w:p>
    <w:p w14:paraId="1DE26E16" w14:textId="77777777" w:rsidR="00DB6E1F" w:rsidRDefault="00DB6E1F">
      <w:pPr>
        <w:sectPr w:rsidR="00DB6E1F">
          <w:pgSz w:w="12240" w:h="15840"/>
          <w:pgMar w:top="1200" w:right="0" w:bottom="780" w:left="0" w:header="763" w:footer="585" w:gutter="0"/>
          <w:cols w:space="720"/>
        </w:sectPr>
      </w:pPr>
    </w:p>
    <w:p w14:paraId="12A5FF5D"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007221B7" w14:textId="77777777">
        <w:trPr>
          <w:trHeight w:val="1825"/>
        </w:trPr>
        <w:tc>
          <w:tcPr>
            <w:tcW w:w="9350" w:type="dxa"/>
            <w:shd w:val="clear" w:color="auto" w:fill="E7E6E6"/>
          </w:tcPr>
          <w:p w14:paraId="05423D33" w14:textId="77777777" w:rsidR="00DB6E1F" w:rsidRDefault="00F666A6">
            <w:pPr>
              <w:pStyle w:val="TableParagraph"/>
              <w:spacing w:before="121"/>
              <w:ind w:left="3254"/>
              <w:rPr>
                <w:b/>
                <w:sz w:val="20"/>
              </w:rPr>
            </w:pPr>
            <w:r>
              <w:rPr>
                <w:b/>
                <w:sz w:val="20"/>
              </w:rPr>
              <w:t>Counselor</w:t>
            </w:r>
            <w:r>
              <w:rPr>
                <w:b/>
                <w:spacing w:val="-6"/>
                <w:sz w:val="20"/>
              </w:rPr>
              <w:t xml:space="preserve"> </w:t>
            </w:r>
            <w:r>
              <w:rPr>
                <w:b/>
                <w:sz w:val="20"/>
              </w:rPr>
              <w:t>Note:</w:t>
            </w:r>
            <w:r>
              <w:rPr>
                <w:b/>
                <w:spacing w:val="-6"/>
                <w:sz w:val="20"/>
              </w:rPr>
              <w:t xml:space="preserve"> </w:t>
            </w:r>
            <w:r>
              <w:rPr>
                <w:b/>
                <w:sz w:val="20"/>
              </w:rPr>
              <w:t>Making</w:t>
            </w:r>
            <w:r>
              <w:rPr>
                <w:b/>
                <w:spacing w:val="-7"/>
                <w:sz w:val="20"/>
              </w:rPr>
              <w:t xml:space="preserve"> </w:t>
            </w:r>
            <w:r>
              <w:rPr>
                <w:b/>
                <w:spacing w:val="-2"/>
                <w:sz w:val="20"/>
              </w:rPr>
              <w:t>Decisions</w:t>
            </w:r>
          </w:p>
          <w:p w14:paraId="593279A9" w14:textId="77777777" w:rsidR="00DB6E1F" w:rsidRDefault="00F666A6">
            <w:pPr>
              <w:pStyle w:val="TableParagraph"/>
              <w:spacing w:before="121"/>
              <w:ind w:right="169"/>
              <w:rPr>
                <w:sz w:val="20"/>
              </w:rPr>
            </w:pPr>
            <w:r>
              <w:rPr>
                <w:sz w:val="20"/>
              </w:rPr>
              <w:t>People make decisions about important life changes by weighing potential gains and losses associated with making</w:t>
            </w:r>
            <w:r>
              <w:rPr>
                <w:spacing w:val="-2"/>
                <w:sz w:val="20"/>
              </w:rPr>
              <w:t xml:space="preserve"> </w:t>
            </w:r>
            <w:r>
              <w:rPr>
                <w:sz w:val="20"/>
              </w:rPr>
              <w:t>a</w:t>
            </w:r>
            <w:r>
              <w:rPr>
                <w:spacing w:val="-1"/>
                <w:sz w:val="20"/>
              </w:rPr>
              <w:t xml:space="preserve"> </w:t>
            </w:r>
            <w:r>
              <w:rPr>
                <w:sz w:val="20"/>
              </w:rPr>
              <w:t>choice</w:t>
            </w:r>
            <w:r>
              <w:rPr>
                <w:spacing w:val="-3"/>
                <w:sz w:val="20"/>
              </w:rPr>
              <w:t xml:space="preserve"> </w:t>
            </w:r>
            <w:r>
              <w:rPr>
                <w:sz w:val="20"/>
              </w:rPr>
              <w:t>(Janis</w:t>
            </w:r>
            <w:r>
              <w:rPr>
                <w:spacing w:val="-3"/>
                <w:sz w:val="20"/>
              </w:rPr>
              <w:t xml:space="preserve"> </w:t>
            </w:r>
            <w:r>
              <w:rPr>
                <w:sz w:val="20"/>
              </w:rPr>
              <w:t>&amp;</w:t>
            </w:r>
            <w:r>
              <w:rPr>
                <w:spacing w:val="-1"/>
                <w:sz w:val="20"/>
              </w:rPr>
              <w:t xml:space="preserve"> </w:t>
            </w:r>
            <w:r>
              <w:rPr>
                <w:sz w:val="20"/>
              </w:rPr>
              <w:t>Mann,</w:t>
            </w:r>
            <w:r>
              <w:rPr>
                <w:spacing w:val="-1"/>
                <w:sz w:val="20"/>
              </w:rPr>
              <w:t xml:space="preserve"> </w:t>
            </w:r>
            <w:r>
              <w:rPr>
                <w:sz w:val="20"/>
              </w:rPr>
              <w:t>1977).</w:t>
            </w:r>
            <w:r>
              <w:rPr>
                <w:spacing w:val="-3"/>
                <w:sz w:val="20"/>
              </w:rPr>
              <w:t xml:space="preserve"> </w:t>
            </w:r>
            <w:r>
              <w:rPr>
                <w:sz w:val="20"/>
              </w:rPr>
              <w:t>Weighing</w:t>
            </w:r>
            <w:r>
              <w:rPr>
                <w:spacing w:val="-2"/>
                <w:sz w:val="20"/>
              </w:rPr>
              <w:t xml:space="preserve"> </w:t>
            </w:r>
            <w:r>
              <w:rPr>
                <w:sz w:val="20"/>
              </w:rPr>
              <w:t>the</w:t>
            </w:r>
            <w:r>
              <w:rPr>
                <w:spacing w:val="-3"/>
                <w:sz w:val="20"/>
              </w:rPr>
              <w:t xml:space="preserve"> </w:t>
            </w:r>
            <w:r>
              <w:rPr>
                <w:sz w:val="20"/>
              </w:rPr>
              <w:t>pros</w:t>
            </w:r>
            <w:r>
              <w:rPr>
                <w:spacing w:val="-3"/>
                <w:sz w:val="20"/>
              </w:rPr>
              <w:t xml:space="preserve"> </w:t>
            </w:r>
            <w:r>
              <w:rPr>
                <w:sz w:val="20"/>
              </w:rPr>
              <w:t>and</w:t>
            </w:r>
            <w:r>
              <w:rPr>
                <w:spacing w:val="-1"/>
                <w:sz w:val="20"/>
              </w:rPr>
              <w:t xml:space="preserve"> </w:t>
            </w:r>
            <w:r>
              <w:rPr>
                <w:sz w:val="20"/>
              </w:rPr>
              <w:t>cons</w:t>
            </w:r>
            <w:r>
              <w:rPr>
                <w:spacing w:val="-3"/>
                <w:sz w:val="20"/>
              </w:rPr>
              <w:t xml:space="preserve"> </w:t>
            </w:r>
            <w:r>
              <w:rPr>
                <w:sz w:val="20"/>
              </w:rPr>
              <w:t>of</w:t>
            </w:r>
            <w:r>
              <w:rPr>
                <w:spacing w:val="-3"/>
                <w:sz w:val="20"/>
              </w:rPr>
              <w:t xml:space="preserve"> </w:t>
            </w:r>
            <w:r>
              <w:rPr>
                <w:sz w:val="20"/>
              </w:rPr>
              <w:t>continuing</w:t>
            </w:r>
            <w:r>
              <w:rPr>
                <w:spacing w:val="-2"/>
                <w:sz w:val="20"/>
              </w:rPr>
              <w:t xml:space="preserve"> </w:t>
            </w:r>
            <w:r>
              <w:rPr>
                <w:sz w:val="20"/>
              </w:rPr>
              <w:t>to</w:t>
            </w:r>
            <w:r>
              <w:rPr>
                <w:spacing w:val="-2"/>
                <w:sz w:val="20"/>
              </w:rPr>
              <w:t xml:space="preserve"> </w:t>
            </w:r>
            <w:r>
              <w:rPr>
                <w:sz w:val="20"/>
              </w:rPr>
              <w:t>use</w:t>
            </w:r>
            <w:r>
              <w:rPr>
                <w:spacing w:val="-3"/>
                <w:sz w:val="20"/>
              </w:rPr>
              <w:t xml:space="preserve"> </w:t>
            </w:r>
            <w:r>
              <w:rPr>
                <w:sz w:val="20"/>
              </w:rPr>
              <w:t>substances</w:t>
            </w:r>
            <w:r>
              <w:rPr>
                <w:spacing w:val="-3"/>
                <w:sz w:val="20"/>
              </w:rPr>
              <w:t xml:space="preserve"> </w:t>
            </w:r>
            <w:r>
              <w:rPr>
                <w:sz w:val="20"/>
              </w:rPr>
              <w:t>or</w:t>
            </w:r>
            <w:r>
              <w:rPr>
                <w:spacing w:val="-2"/>
                <w:sz w:val="20"/>
              </w:rPr>
              <w:t xml:space="preserve"> </w:t>
            </w:r>
            <w:r>
              <w:rPr>
                <w:sz w:val="20"/>
              </w:rPr>
              <w:t>changing substance use behaviors is a key counseli</w:t>
            </w:r>
            <w:r>
              <w:rPr>
                <w:sz w:val="20"/>
              </w:rPr>
              <w:t>ng strategy in the SOC model. During Contemplation, pros and cons tend to balance or cancel each other out. In Preparation, pros for changing substance use behavior outweigh cons. When the decisional balance tips toward commitment to change, clients are re</w:t>
            </w:r>
            <w:r>
              <w:rPr>
                <w:sz w:val="20"/>
              </w:rPr>
              <w:t>ady to take action.</w:t>
            </w:r>
          </w:p>
        </w:tc>
      </w:tr>
    </w:tbl>
    <w:p w14:paraId="35840A60" w14:textId="77777777" w:rsidR="00DB6E1F" w:rsidRDefault="00F666A6">
      <w:pPr>
        <w:pStyle w:val="Heading2"/>
        <w:spacing w:before="3"/>
      </w:pPr>
      <w:bookmarkStart w:id="52" w:name="_bookmark9"/>
      <w:bookmarkEnd w:id="52"/>
      <w:r>
        <w:rPr>
          <w:spacing w:val="-2"/>
        </w:rPr>
        <w:t>Conclusion</w:t>
      </w:r>
    </w:p>
    <w:p w14:paraId="258ED4C0" w14:textId="77777777" w:rsidR="00DB6E1F" w:rsidRDefault="00F666A6">
      <w:pPr>
        <w:pStyle w:val="BodyText"/>
        <w:spacing w:before="150"/>
        <w:ind w:left="1439" w:right="1456"/>
      </w:pPr>
      <w:r>
        <w:t>Recent understanding of the key role motivation plays in addiction treatment has led to the development of clinical interventions to increase client motivation to change their substance use behaviors (DiClemente et al., 2017</w:t>
      </w:r>
      <w:r>
        <w:t>). Linking this new view of motivation, the strategies found to</w:t>
      </w:r>
      <w:r>
        <w:rPr>
          <w:spacing w:val="40"/>
        </w:rPr>
        <w:t xml:space="preserve"> </w:t>
      </w:r>
      <w:r>
        <w:t>enhance</w:t>
      </w:r>
      <w:r>
        <w:rPr>
          <w:spacing w:val="-1"/>
        </w:rPr>
        <w:t xml:space="preserve"> </w:t>
      </w:r>
      <w:r>
        <w:t>it,</w:t>
      </w:r>
      <w:r>
        <w:rPr>
          <w:spacing w:val="-4"/>
        </w:rPr>
        <w:t xml:space="preserve"> </w:t>
      </w:r>
      <w:r>
        <w:t>and</w:t>
      </w:r>
      <w:r>
        <w:rPr>
          <w:spacing w:val="-3"/>
        </w:rPr>
        <w:t xml:space="preserve"> </w:t>
      </w:r>
      <w:r>
        <w:t>the</w:t>
      </w:r>
      <w:r>
        <w:rPr>
          <w:spacing w:val="-1"/>
        </w:rPr>
        <w:t xml:space="preserve"> </w:t>
      </w:r>
      <w:r>
        <w:t>SOC</w:t>
      </w:r>
      <w:r>
        <w:rPr>
          <w:spacing w:val="-4"/>
        </w:rPr>
        <w:t xml:space="preserve"> </w:t>
      </w:r>
      <w:r>
        <w:t>model,</w:t>
      </w:r>
      <w:r>
        <w:rPr>
          <w:spacing w:val="-2"/>
        </w:rPr>
        <w:t xml:space="preserve"> </w:t>
      </w:r>
      <w:r>
        <w:t>along</w:t>
      </w:r>
      <w:r>
        <w:rPr>
          <w:spacing w:val="-3"/>
        </w:rPr>
        <w:t xml:space="preserve"> </w:t>
      </w:r>
      <w:r>
        <w:t>with</w:t>
      </w:r>
      <w:r>
        <w:rPr>
          <w:spacing w:val="-3"/>
        </w:rPr>
        <w:t xml:space="preserve"> </w:t>
      </w:r>
      <w:r>
        <w:t>an</w:t>
      </w:r>
      <w:r>
        <w:rPr>
          <w:spacing w:val="-3"/>
        </w:rPr>
        <w:t xml:space="preserve"> </w:t>
      </w:r>
      <w:r>
        <w:t>understanding</w:t>
      </w:r>
      <w:r>
        <w:rPr>
          <w:spacing w:val="-3"/>
        </w:rPr>
        <w:t xml:space="preserve"> </w:t>
      </w:r>
      <w:r>
        <w:t>of</w:t>
      </w:r>
      <w:r>
        <w:rPr>
          <w:spacing w:val="-2"/>
        </w:rPr>
        <w:t xml:space="preserve"> </w:t>
      </w:r>
      <w:r>
        <w:t>what</w:t>
      </w:r>
      <w:r>
        <w:rPr>
          <w:spacing w:val="-4"/>
        </w:rPr>
        <w:t xml:space="preserve"> </w:t>
      </w:r>
      <w:r>
        <w:t>causes</w:t>
      </w:r>
      <w:r>
        <w:rPr>
          <w:spacing w:val="-4"/>
        </w:rPr>
        <w:t xml:space="preserve"> </w:t>
      </w:r>
      <w:r>
        <w:t>change,</w:t>
      </w:r>
      <w:r>
        <w:rPr>
          <w:spacing w:val="-2"/>
        </w:rPr>
        <w:t xml:space="preserve"> </w:t>
      </w:r>
      <w:r>
        <w:t>creates</w:t>
      </w:r>
      <w:r>
        <w:rPr>
          <w:spacing w:val="-2"/>
        </w:rPr>
        <w:t xml:space="preserve"> </w:t>
      </w:r>
      <w:r>
        <w:t>an</w:t>
      </w:r>
      <w:r>
        <w:rPr>
          <w:spacing w:val="-5"/>
        </w:rPr>
        <w:t xml:space="preserve"> </w:t>
      </w:r>
      <w:r>
        <w:t>effective motivational approach to helping clients with substance misuse and SUDs. This approach encourages clients to progress at their own pace toward deciding about, planning, making, and sustaining positive behavioral change.</w:t>
      </w:r>
    </w:p>
    <w:p w14:paraId="7384A0D0" w14:textId="77777777" w:rsidR="00DB6E1F" w:rsidRDefault="00F666A6">
      <w:pPr>
        <w:pStyle w:val="BodyText"/>
        <w:spacing w:before="160"/>
        <w:ind w:left="1438" w:right="1453" w:firstLine="1"/>
      </w:pPr>
      <w:r>
        <w:t>In</w:t>
      </w:r>
      <w:r>
        <w:rPr>
          <w:spacing w:val="-2"/>
        </w:rPr>
        <w:t xml:space="preserve"> </w:t>
      </w:r>
      <w:r>
        <w:t>this</w:t>
      </w:r>
      <w:r>
        <w:rPr>
          <w:spacing w:val="-1"/>
        </w:rPr>
        <w:t xml:space="preserve"> </w:t>
      </w:r>
      <w:r>
        <w:t>treatment approach</w:t>
      </w:r>
      <w:r>
        <w:t>,</w:t>
      </w:r>
      <w:r>
        <w:rPr>
          <w:spacing w:val="-1"/>
        </w:rPr>
        <w:t xml:space="preserve"> </w:t>
      </w:r>
      <w:r>
        <w:t>motivation</w:t>
      </w:r>
      <w:r>
        <w:rPr>
          <w:spacing w:val="-2"/>
        </w:rPr>
        <w:t xml:space="preserve"> </w:t>
      </w:r>
      <w:r>
        <w:t>for</w:t>
      </w:r>
      <w:r>
        <w:rPr>
          <w:spacing w:val="-1"/>
        </w:rPr>
        <w:t xml:space="preserve"> </w:t>
      </w:r>
      <w:r>
        <w:t>change</w:t>
      </w:r>
      <w:r>
        <w:rPr>
          <w:spacing w:val="-1"/>
        </w:rPr>
        <w:t xml:space="preserve"> </w:t>
      </w:r>
      <w:r>
        <w:t>is</w:t>
      </w:r>
      <w:r>
        <w:rPr>
          <w:spacing w:val="-3"/>
        </w:rPr>
        <w:t xml:space="preserve"> </w:t>
      </w:r>
      <w:r>
        <w:t>seen</w:t>
      </w:r>
      <w:r>
        <w:rPr>
          <w:spacing w:val="-2"/>
        </w:rPr>
        <w:t xml:space="preserve"> </w:t>
      </w:r>
      <w:r>
        <w:t>as</w:t>
      </w:r>
      <w:r>
        <w:rPr>
          <w:spacing w:val="-1"/>
        </w:rPr>
        <w:t xml:space="preserve"> </w:t>
      </w:r>
      <w:r>
        <w:t>a</w:t>
      </w:r>
      <w:r>
        <w:rPr>
          <w:spacing w:val="-4"/>
        </w:rPr>
        <w:t xml:space="preserve"> </w:t>
      </w:r>
      <w:r>
        <w:t>dynamic</w:t>
      </w:r>
      <w:r>
        <w:rPr>
          <w:spacing w:val="-1"/>
        </w:rPr>
        <w:t xml:space="preserve"> </w:t>
      </w:r>
      <w:r>
        <w:t>state</w:t>
      </w:r>
      <w:r>
        <w:rPr>
          <w:spacing w:val="-3"/>
        </w:rPr>
        <w:t xml:space="preserve"> </w:t>
      </w:r>
      <w:r>
        <w:t>that</w:t>
      </w:r>
      <w:r>
        <w:rPr>
          <w:spacing w:val="-2"/>
        </w:rPr>
        <w:t xml:space="preserve"> </w:t>
      </w:r>
      <w:r>
        <w:t>you</w:t>
      </w:r>
      <w:r>
        <w:rPr>
          <w:spacing w:val="-4"/>
        </w:rPr>
        <w:t xml:space="preserve"> </w:t>
      </w:r>
      <w:r>
        <w:t>can</w:t>
      </w:r>
      <w:r>
        <w:rPr>
          <w:spacing w:val="-2"/>
        </w:rPr>
        <w:t xml:space="preserve"> </w:t>
      </w:r>
      <w:r>
        <w:t>help</w:t>
      </w:r>
      <w:r>
        <w:rPr>
          <w:spacing w:val="-4"/>
        </w:rPr>
        <w:t xml:space="preserve"> </w:t>
      </w:r>
      <w:r>
        <w:t>the</w:t>
      </w:r>
      <w:r>
        <w:rPr>
          <w:spacing w:val="-1"/>
        </w:rPr>
        <w:t xml:space="preserve"> </w:t>
      </w:r>
      <w:r>
        <w:t>client enhance. Motivational enhancement has evolved, and various myths about clients and what constitutes effective counseling have been dispelled. The notion of the addictive person</w:t>
      </w:r>
      <w:r>
        <w:t>ality has lost credence, and</w:t>
      </w:r>
      <w:r>
        <w:rPr>
          <w:spacing w:val="40"/>
        </w:rPr>
        <w:t xml:space="preserve"> </w:t>
      </w:r>
      <w:r>
        <w:t>a confrontational style has been discarded or significantly modified. Other factors in contemporary counseling practices have encouraged the development and implementation of motivational interventions,</w:t>
      </w:r>
      <w:r>
        <w:rPr>
          <w:spacing w:val="-4"/>
        </w:rPr>
        <w:t xml:space="preserve"> </w:t>
      </w:r>
      <w:r>
        <w:t>which</w:t>
      </w:r>
      <w:r>
        <w:rPr>
          <w:spacing w:val="-3"/>
        </w:rPr>
        <w:t xml:space="preserve"> </w:t>
      </w:r>
      <w:r>
        <w:t>are</w:t>
      </w:r>
      <w:r>
        <w:rPr>
          <w:spacing w:val="-1"/>
        </w:rPr>
        <w:t xml:space="preserve"> </w:t>
      </w:r>
      <w:r>
        <w:t>client</w:t>
      </w:r>
      <w:r>
        <w:rPr>
          <w:spacing w:val="-2"/>
        </w:rPr>
        <w:t xml:space="preserve"> </w:t>
      </w:r>
      <w:r>
        <w:t>centere</w:t>
      </w:r>
      <w:r>
        <w:t>d</w:t>
      </w:r>
      <w:r>
        <w:rPr>
          <w:spacing w:val="-5"/>
        </w:rPr>
        <w:t xml:space="preserve"> </w:t>
      </w:r>
      <w:r>
        <w:t>and</w:t>
      </w:r>
      <w:r>
        <w:rPr>
          <w:spacing w:val="-3"/>
        </w:rPr>
        <w:t xml:space="preserve"> </w:t>
      </w:r>
      <w:r>
        <w:t>focus</w:t>
      </w:r>
      <w:r>
        <w:rPr>
          <w:spacing w:val="-4"/>
        </w:rPr>
        <w:t xml:space="preserve"> </w:t>
      </w:r>
      <w:r>
        <w:t>on</w:t>
      </w:r>
      <w:r>
        <w:rPr>
          <w:spacing w:val="-5"/>
        </w:rPr>
        <w:t xml:space="preserve"> </w:t>
      </w:r>
      <w:r>
        <w:t>client</w:t>
      </w:r>
      <w:r>
        <w:rPr>
          <w:spacing w:val="-1"/>
        </w:rPr>
        <w:t xml:space="preserve"> </w:t>
      </w:r>
      <w:r>
        <w:t>strengths.</w:t>
      </w:r>
      <w:r>
        <w:rPr>
          <w:spacing w:val="-3"/>
        </w:rPr>
        <w:t xml:space="preserve"> </w:t>
      </w:r>
      <w:r>
        <w:t>Counseling</w:t>
      </w:r>
      <w:r>
        <w:rPr>
          <w:spacing w:val="-3"/>
        </w:rPr>
        <w:t xml:space="preserve"> </w:t>
      </w:r>
      <w:r>
        <w:t>relationships</w:t>
      </w:r>
      <w:r>
        <w:rPr>
          <w:spacing w:val="-2"/>
        </w:rPr>
        <w:t xml:space="preserve"> </w:t>
      </w:r>
      <w:r>
        <w:t>are</w:t>
      </w:r>
      <w:r>
        <w:rPr>
          <w:spacing w:val="-4"/>
        </w:rPr>
        <w:t xml:space="preserve"> </w:t>
      </w:r>
      <w:r>
        <w:t>more likely to rely on empathy rather than authority and involve the client in all aspects of the treatment process. Less-intensive treatments have also become increasingly common.</w:t>
      </w:r>
    </w:p>
    <w:p w14:paraId="421A4E50" w14:textId="77777777" w:rsidR="00DB6E1F" w:rsidRDefault="00F666A6">
      <w:pPr>
        <w:pStyle w:val="BodyText"/>
        <w:spacing w:before="159"/>
        <w:ind w:left="1437" w:right="1491"/>
      </w:pPr>
      <w:r>
        <w:t>Motivation</w:t>
      </w:r>
      <w:r>
        <w:rPr>
          <w:spacing w:val="-2"/>
        </w:rPr>
        <w:t xml:space="preserve"> </w:t>
      </w:r>
      <w:r>
        <w:t>is</w:t>
      </w:r>
      <w:r>
        <w:rPr>
          <w:spacing w:val="-3"/>
        </w:rPr>
        <w:t xml:space="preserve"> </w:t>
      </w:r>
      <w:r>
        <w:t>what</w:t>
      </w:r>
      <w:r>
        <w:rPr>
          <w:spacing w:val="-3"/>
        </w:rPr>
        <w:t xml:space="preserve"> </w:t>
      </w:r>
      <w:r>
        <w:t>propels</w:t>
      </w:r>
      <w:r>
        <w:rPr>
          <w:spacing w:val="-5"/>
        </w:rPr>
        <w:t xml:space="preserve"> </w:t>
      </w:r>
      <w:r>
        <w:t>people</w:t>
      </w:r>
      <w:r>
        <w:rPr>
          <w:spacing w:val="-3"/>
        </w:rPr>
        <w:t xml:space="preserve"> </w:t>
      </w:r>
      <w:r>
        <w:t>with</w:t>
      </w:r>
      <w:r>
        <w:rPr>
          <w:spacing w:val="-2"/>
        </w:rPr>
        <w:t xml:space="preserve"> </w:t>
      </w:r>
      <w:r>
        <w:t>SUDs</w:t>
      </w:r>
      <w:r>
        <w:rPr>
          <w:spacing w:val="-3"/>
        </w:rPr>
        <w:t xml:space="preserve"> </w:t>
      </w:r>
      <w:r>
        <w:t>to</w:t>
      </w:r>
      <w:r>
        <w:rPr>
          <w:spacing w:val="-2"/>
        </w:rPr>
        <w:t xml:space="preserve"> </w:t>
      </w:r>
      <w:r>
        <w:t>make</w:t>
      </w:r>
      <w:r>
        <w:rPr>
          <w:spacing w:val="-3"/>
        </w:rPr>
        <w:t xml:space="preserve"> </w:t>
      </w:r>
      <w:r>
        <w:t>changes</w:t>
      </w:r>
      <w:r>
        <w:rPr>
          <w:spacing w:val="-1"/>
        </w:rPr>
        <w:t xml:space="preserve"> </w:t>
      </w:r>
      <w:r>
        <w:t>in</w:t>
      </w:r>
      <w:r>
        <w:rPr>
          <w:spacing w:val="-2"/>
        </w:rPr>
        <w:t xml:space="preserve"> </w:t>
      </w:r>
      <w:r>
        <w:t>their</w:t>
      </w:r>
      <w:r>
        <w:rPr>
          <w:spacing w:val="-3"/>
        </w:rPr>
        <w:t xml:space="preserve"> </w:t>
      </w:r>
      <w:r>
        <w:t>lives.</w:t>
      </w:r>
      <w:r>
        <w:rPr>
          <w:spacing w:val="-1"/>
        </w:rPr>
        <w:t xml:space="preserve"> </w:t>
      </w:r>
      <w:r>
        <w:t>It guides</w:t>
      </w:r>
      <w:r>
        <w:rPr>
          <w:spacing w:val="-1"/>
        </w:rPr>
        <w:t xml:space="preserve"> </w:t>
      </w:r>
      <w:r>
        <w:t>clients</w:t>
      </w:r>
      <w:r>
        <w:rPr>
          <w:spacing w:val="-3"/>
        </w:rPr>
        <w:t xml:space="preserve"> </w:t>
      </w:r>
      <w:r>
        <w:t>through several stages of the SOC that are typical of people thinking about, initiating, and maintaining new behaviors.</w:t>
      </w:r>
      <w:r>
        <w:rPr>
          <w:spacing w:val="-2"/>
        </w:rPr>
        <w:t xml:space="preserve"> </w:t>
      </w:r>
      <w:r>
        <w:t>The</w:t>
      </w:r>
      <w:r>
        <w:rPr>
          <w:spacing w:val="-4"/>
        </w:rPr>
        <w:t xml:space="preserve"> </w:t>
      </w:r>
      <w:r>
        <w:t>remainder</w:t>
      </w:r>
      <w:r>
        <w:rPr>
          <w:spacing w:val="-4"/>
        </w:rPr>
        <w:t xml:space="preserve"> </w:t>
      </w:r>
      <w:r>
        <w:t>of</w:t>
      </w:r>
      <w:r>
        <w:rPr>
          <w:spacing w:val="-2"/>
        </w:rPr>
        <w:t xml:space="preserve"> </w:t>
      </w:r>
      <w:r>
        <w:t>this</w:t>
      </w:r>
      <w:r>
        <w:rPr>
          <w:spacing w:val="-4"/>
        </w:rPr>
        <w:t xml:space="preserve"> </w:t>
      </w:r>
      <w:r>
        <w:t>TIP</w:t>
      </w:r>
      <w:r>
        <w:rPr>
          <w:spacing w:val="-3"/>
        </w:rPr>
        <w:t xml:space="preserve"> </w:t>
      </w:r>
      <w:r>
        <w:t>examines</w:t>
      </w:r>
      <w:r>
        <w:rPr>
          <w:spacing w:val="-4"/>
        </w:rPr>
        <w:t xml:space="preserve"> </w:t>
      </w:r>
      <w:r>
        <w:t>how</w:t>
      </w:r>
      <w:r>
        <w:rPr>
          <w:spacing w:val="-4"/>
        </w:rPr>
        <w:t xml:space="preserve"> </w:t>
      </w:r>
      <w:r>
        <w:t>motivational</w:t>
      </w:r>
      <w:r>
        <w:rPr>
          <w:spacing w:val="-2"/>
        </w:rPr>
        <w:t xml:space="preserve"> </w:t>
      </w:r>
      <w:r>
        <w:t>interventions,</w:t>
      </w:r>
      <w:r>
        <w:rPr>
          <w:spacing w:val="-4"/>
        </w:rPr>
        <w:t xml:space="preserve"> </w:t>
      </w:r>
      <w:r>
        <w:t>when</w:t>
      </w:r>
      <w:r>
        <w:rPr>
          <w:spacing w:val="-3"/>
        </w:rPr>
        <w:t xml:space="preserve"> </w:t>
      </w:r>
      <w:r>
        <w:t>applied</w:t>
      </w:r>
      <w:r>
        <w:rPr>
          <w:spacing w:val="-3"/>
        </w:rPr>
        <w:t xml:space="preserve"> </w:t>
      </w:r>
      <w:r>
        <w:t>to</w:t>
      </w:r>
      <w:r>
        <w:rPr>
          <w:spacing w:val="-1"/>
        </w:rPr>
        <w:t xml:space="preserve"> </w:t>
      </w:r>
      <w:r>
        <w:t>SUD treatment, can help</w:t>
      </w:r>
      <w:r>
        <w:rPr>
          <w:spacing w:val="-1"/>
        </w:rPr>
        <w:t xml:space="preserve"> </w:t>
      </w:r>
      <w:r>
        <w:t>clients</w:t>
      </w:r>
      <w:r>
        <w:rPr>
          <w:spacing w:val="-3"/>
        </w:rPr>
        <w:t xml:space="preserve"> </w:t>
      </w:r>
      <w:r>
        <w:t>move from not even co</w:t>
      </w:r>
      <w:r>
        <w:t>nsidering changing their behavior to being ready, willing, and able to do so.</w:t>
      </w:r>
    </w:p>
    <w:p w14:paraId="063B2B8F" w14:textId="77777777" w:rsidR="00DB6E1F" w:rsidRDefault="00DB6E1F">
      <w:pPr>
        <w:sectPr w:rsidR="00DB6E1F">
          <w:pgSz w:w="12240" w:h="15840"/>
          <w:pgMar w:top="1200" w:right="0" w:bottom="780" w:left="0" w:header="763" w:footer="585" w:gutter="0"/>
          <w:cols w:space="720"/>
        </w:sectPr>
      </w:pPr>
    </w:p>
    <w:p w14:paraId="2702ADEB" w14:textId="77777777" w:rsidR="00DB6E1F" w:rsidRDefault="00DB6E1F">
      <w:pPr>
        <w:pStyle w:val="BodyText"/>
        <w:rPr>
          <w:sz w:val="20"/>
        </w:rPr>
      </w:pPr>
    </w:p>
    <w:p w14:paraId="2CD6E737" w14:textId="77777777" w:rsidR="00DB6E1F" w:rsidRDefault="00DB6E1F">
      <w:pPr>
        <w:pStyle w:val="BodyText"/>
        <w:rPr>
          <w:sz w:val="20"/>
        </w:rPr>
      </w:pPr>
    </w:p>
    <w:p w14:paraId="4B70F076" w14:textId="77777777" w:rsidR="00DB6E1F" w:rsidRDefault="00DB6E1F">
      <w:pPr>
        <w:pStyle w:val="BodyText"/>
        <w:rPr>
          <w:sz w:val="20"/>
        </w:rPr>
      </w:pPr>
    </w:p>
    <w:p w14:paraId="46C5C3A5" w14:textId="77777777" w:rsidR="00DB6E1F" w:rsidRDefault="00DB6E1F">
      <w:pPr>
        <w:pStyle w:val="BodyText"/>
        <w:rPr>
          <w:sz w:val="20"/>
        </w:rPr>
      </w:pPr>
    </w:p>
    <w:p w14:paraId="2BEF768C" w14:textId="77777777" w:rsidR="00DB6E1F" w:rsidRDefault="00DB6E1F">
      <w:pPr>
        <w:pStyle w:val="BodyText"/>
        <w:rPr>
          <w:sz w:val="20"/>
        </w:rPr>
      </w:pPr>
    </w:p>
    <w:p w14:paraId="1CA39807" w14:textId="77777777" w:rsidR="00DB6E1F" w:rsidRDefault="00DB6E1F">
      <w:pPr>
        <w:pStyle w:val="BodyText"/>
        <w:rPr>
          <w:sz w:val="20"/>
        </w:rPr>
      </w:pPr>
    </w:p>
    <w:p w14:paraId="4B0BFCBD" w14:textId="77777777" w:rsidR="00DB6E1F" w:rsidRDefault="00DB6E1F">
      <w:pPr>
        <w:pStyle w:val="BodyText"/>
        <w:rPr>
          <w:sz w:val="20"/>
        </w:rPr>
      </w:pPr>
    </w:p>
    <w:p w14:paraId="25EBC158" w14:textId="77777777" w:rsidR="00DB6E1F" w:rsidRDefault="00DB6E1F">
      <w:pPr>
        <w:pStyle w:val="BodyText"/>
        <w:rPr>
          <w:sz w:val="20"/>
        </w:rPr>
      </w:pPr>
    </w:p>
    <w:p w14:paraId="606508E9" w14:textId="77777777" w:rsidR="00DB6E1F" w:rsidRDefault="00DB6E1F">
      <w:pPr>
        <w:pStyle w:val="BodyText"/>
        <w:rPr>
          <w:sz w:val="20"/>
        </w:rPr>
      </w:pPr>
    </w:p>
    <w:p w14:paraId="1F13B879" w14:textId="77777777" w:rsidR="00DB6E1F" w:rsidRDefault="00DB6E1F">
      <w:pPr>
        <w:pStyle w:val="BodyText"/>
        <w:rPr>
          <w:sz w:val="20"/>
        </w:rPr>
      </w:pPr>
    </w:p>
    <w:p w14:paraId="5298CE07" w14:textId="77777777" w:rsidR="00DB6E1F" w:rsidRDefault="00DB6E1F">
      <w:pPr>
        <w:pStyle w:val="BodyText"/>
        <w:rPr>
          <w:sz w:val="20"/>
        </w:rPr>
      </w:pPr>
    </w:p>
    <w:p w14:paraId="4B24B4BD" w14:textId="77777777" w:rsidR="00DB6E1F" w:rsidRDefault="00DB6E1F">
      <w:pPr>
        <w:pStyle w:val="BodyText"/>
        <w:rPr>
          <w:sz w:val="20"/>
        </w:rPr>
      </w:pPr>
    </w:p>
    <w:p w14:paraId="5A369A77" w14:textId="77777777" w:rsidR="00DB6E1F" w:rsidRDefault="00DB6E1F">
      <w:pPr>
        <w:pStyle w:val="BodyText"/>
        <w:rPr>
          <w:sz w:val="20"/>
        </w:rPr>
      </w:pPr>
    </w:p>
    <w:p w14:paraId="7BD09EF8" w14:textId="77777777" w:rsidR="00DB6E1F" w:rsidRDefault="00DB6E1F">
      <w:pPr>
        <w:pStyle w:val="BodyText"/>
        <w:rPr>
          <w:sz w:val="20"/>
        </w:rPr>
      </w:pPr>
    </w:p>
    <w:p w14:paraId="0D6F84D6" w14:textId="77777777" w:rsidR="00DB6E1F" w:rsidRDefault="00DB6E1F">
      <w:pPr>
        <w:pStyle w:val="BodyText"/>
        <w:rPr>
          <w:sz w:val="20"/>
        </w:rPr>
      </w:pPr>
    </w:p>
    <w:p w14:paraId="0A47B939" w14:textId="77777777" w:rsidR="00DB6E1F" w:rsidRDefault="00DB6E1F">
      <w:pPr>
        <w:pStyle w:val="BodyText"/>
        <w:rPr>
          <w:sz w:val="20"/>
        </w:rPr>
      </w:pPr>
    </w:p>
    <w:p w14:paraId="7C996B03" w14:textId="77777777" w:rsidR="00DB6E1F" w:rsidRDefault="00DB6E1F">
      <w:pPr>
        <w:pStyle w:val="BodyText"/>
        <w:rPr>
          <w:sz w:val="20"/>
        </w:rPr>
      </w:pPr>
    </w:p>
    <w:p w14:paraId="24AB51D8" w14:textId="77777777" w:rsidR="00DB6E1F" w:rsidRDefault="00DB6E1F">
      <w:pPr>
        <w:pStyle w:val="BodyText"/>
        <w:rPr>
          <w:sz w:val="20"/>
        </w:rPr>
      </w:pPr>
    </w:p>
    <w:p w14:paraId="5B6F99C4" w14:textId="77777777" w:rsidR="00DB6E1F" w:rsidRDefault="00DB6E1F">
      <w:pPr>
        <w:pStyle w:val="BodyText"/>
        <w:rPr>
          <w:sz w:val="20"/>
        </w:rPr>
      </w:pPr>
    </w:p>
    <w:p w14:paraId="636AED49" w14:textId="77777777" w:rsidR="00DB6E1F" w:rsidRDefault="00DB6E1F">
      <w:pPr>
        <w:pStyle w:val="BodyText"/>
        <w:rPr>
          <w:sz w:val="20"/>
        </w:rPr>
      </w:pPr>
    </w:p>
    <w:p w14:paraId="181DF7BE" w14:textId="77777777" w:rsidR="00DB6E1F" w:rsidRDefault="00DB6E1F">
      <w:pPr>
        <w:pStyle w:val="BodyText"/>
        <w:rPr>
          <w:sz w:val="20"/>
        </w:rPr>
      </w:pPr>
    </w:p>
    <w:p w14:paraId="50B5EEEB" w14:textId="77777777" w:rsidR="00DB6E1F" w:rsidRDefault="00DB6E1F">
      <w:pPr>
        <w:pStyle w:val="BodyText"/>
        <w:spacing w:before="10"/>
        <w:rPr>
          <w:sz w:val="15"/>
        </w:rPr>
      </w:pPr>
    </w:p>
    <w:p w14:paraId="6E9B7E5E" w14:textId="77777777" w:rsidR="00DB6E1F" w:rsidRDefault="00F666A6">
      <w:pPr>
        <w:pStyle w:val="BodyText"/>
        <w:spacing w:before="56"/>
        <w:ind w:left="1444" w:right="1444"/>
        <w:jc w:val="center"/>
      </w:pPr>
      <w:r>
        <w:t>This</w:t>
      </w:r>
      <w:r>
        <w:rPr>
          <w:spacing w:val="-5"/>
        </w:rPr>
        <w:t xml:space="preserve"> </w:t>
      </w:r>
      <w:r>
        <w:t>page</w:t>
      </w:r>
      <w:r>
        <w:rPr>
          <w:spacing w:val="-4"/>
        </w:rPr>
        <w:t xml:space="preserve"> </w:t>
      </w:r>
      <w:r>
        <w:t>intentionally</w:t>
      </w:r>
      <w:r>
        <w:rPr>
          <w:spacing w:val="-4"/>
        </w:rPr>
        <w:t xml:space="preserve"> </w:t>
      </w:r>
      <w:r>
        <w:t>left</w:t>
      </w:r>
      <w:r>
        <w:rPr>
          <w:spacing w:val="-8"/>
        </w:rPr>
        <w:t xml:space="preserve"> </w:t>
      </w:r>
      <w:r>
        <w:rPr>
          <w:spacing w:val="-2"/>
        </w:rPr>
        <w:t>blank.</w:t>
      </w:r>
    </w:p>
    <w:p w14:paraId="5E4BC38C" w14:textId="77777777" w:rsidR="00DB6E1F" w:rsidRDefault="00DB6E1F">
      <w:pPr>
        <w:jc w:val="center"/>
        <w:sectPr w:rsidR="00DB6E1F">
          <w:pgSz w:w="12240" w:h="15840"/>
          <w:pgMar w:top="1200" w:right="0" w:bottom="780" w:left="0" w:header="763" w:footer="585" w:gutter="0"/>
          <w:cols w:space="720"/>
        </w:sectPr>
      </w:pPr>
    </w:p>
    <w:p w14:paraId="1B99C52D" w14:textId="77777777" w:rsidR="00DB6E1F" w:rsidRDefault="00DB6E1F">
      <w:pPr>
        <w:pStyle w:val="BodyText"/>
        <w:spacing w:before="12"/>
        <w:rPr>
          <w:sz w:val="18"/>
        </w:rPr>
      </w:pPr>
    </w:p>
    <w:p w14:paraId="752E17BA" w14:textId="77777777" w:rsidR="00DB6E1F" w:rsidRDefault="00F666A6">
      <w:pPr>
        <w:pStyle w:val="Heading1"/>
        <w:spacing w:line="259" w:lineRule="auto"/>
        <w:ind w:left="4874" w:right="1491" w:hanging="3336"/>
        <w:jc w:val="left"/>
      </w:pPr>
      <w:bookmarkStart w:id="53" w:name="Chapter_2—Motivational_Counseling_and_Br"/>
      <w:bookmarkStart w:id="54" w:name="_bookmark10"/>
      <w:bookmarkEnd w:id="53"/>
      <w:bookmarkEnd w:id="54"/>
      <w:r>
        <w:t>Chapter</w:t>
      </w:r>
      <w:r>
        <w:rPr>
          <w:spacing w:val="-10"/>
        </w:rPr>
        <w:t xml:space="preserve"> </w:t>
      </w:r>
      <w:r>
        <w:t>2—Motivational</w:t>
      </w:r>
      <w:r>
        <w:rPr>
          <w:spacing w:val="-10"/>
        </w:rPr>
        <w:t xml:space="preserve"> </w:t>
      </w:r>
      <w:r>
        <w:t>Counseling</w:t>
      </w:r>
      <w:r>
        <w:rPr>
          <w:spacing w:val="-9"/>
        </w:rPr>
        <w:t xml:space="preserve"> </w:t>
      </w:r>
      <w:r>
        <w:t>and</w:t>
      </w:r>
      <w:r>
        <w:rPr>
          <w:spacing w:val="-11"/>
        </w:rPr>
        <w:t xml:space="preserve"> </w:t>
      </w:r>
      <w:r>
        <w:t xml:space="preserve">Brief </w:t>
      </w:r>
      <w:r>
        <w:rPr>
          <w:spacing w:val="-2"/>
        </w:rPr>
        <w:t>Intervention</w:t>
      </w:r>
    </w:p>
    <w:p w14:paraId="0451263F" w14:textId="77777777" w:rsidR="00DB6E1F" w:rsidRDefault="00DB6E1F">
      <w:pPr>
        <w:pStyle w:val="BodyText"/>
        <w:spacing w:before="5"/>
        <w:rPr>
          <w:b/>
          <w:sz w:val="39"/>
        </w:rPr>
      </w:pPr>
    </w:p>
    <w:p w14:paraId="3834F31D" w14:textId="77777777" w:rsidR="00DB6E1F" w:rsidRDefault="00F666A6">
      <w:pPr>
        <w:ind w:left="1440" w:right="1491"/>
        <w:rPr>
          <w:sz w:val="20"/>
        </w:rPr>
      </w:pPr>
      <w:r>
        <w:rPr>
          <w:sz w:val="20"/>
        </w:rPr>
        <w:t>“The prevalent clinical focus on denial and motivation as client traits was misguided. Indeed, client motivation clearly</w:t>
      </w:r>
      <w:r>
        <w:rPr>
          <w:spacing w:val="-2"/>
          <w:sz w:val="20"/>
        </w:rPr>
        <w:t xml:space="preserve"> </w:t>
      </w:r>
      <w:r>
        <w:rPr>
          <w:sz w:val="20"/>
        </w:rPr>
        <w:t>was</w:t>
      </w:r>
      <w:r>
        <w:rPr>
          <w:spacing w:val="-4"/>
          <w:sz w:val="20"/>
        </w:rPr>
        <w:t xml:space="preserve"> </w:t>
      </w:r>
      <w:r>
        <w:rPr>
          <w:sz w:val="20"/>
        </w:rPr>
        <w:t>a</w:t>
      </w:r>
      <w:r>
        <w:rPr>
          <w:spacing w:val="-2"/>
          <w:sz w:val="20"/>
        </w:rPr>
        <w:t xml:space="preserve"> </w:t>
      </w:r>
      <w:r>
        <w:rPr>
          <w:sz w:val="20"/>
        </w:rPr>
        <w:t>dynamic</w:t>
      </w:r>
      <w:r>
        <w:rPr>
          <w:spacing w:val="-3"/>
          <w:sz w:val="20"/>
        </w:rPr>
        <w:t xml:space="preserve"> </w:t>
      </w:r>
      <w:r>
        <w:rPr>
          <w:sz w:val="20"/>
        </w:rPr>
        <w:t>process</w:t>
      </w:r>
      <w:r>
        <w:rPr>
          <w:spacing w:val="-2"/>
          <w:sz w:val="20"/>
        </w:rPr>
        <w:t xml:space="preserve"> </w:t>
      </w:r>
      <w:r>
        <w:rPr>
          <w:sz w:val="20"/>
        </w:rPr>
        <w:t>responding</w:t>
      </w:r>
      <w:r>
        <w:rPr>
          <w:spacing w:val="-3"/>
          <w:sz w:val="20"/>
        </w:rPr>
        <w:t xml:space="preserve"> </w:t>
      </w:r>
      <w:r>
        <w:rPr>
          <w:sz w:val="20"/>
        </w:rPr>
        <w:t>to</w:t>
      </w:r>
      <w:r>
        <w:rPr>
          <w:spacing w:val="-3"/>
          <w:sz w:val="20"/>
        </w:rPr>
        <w:t xml:space="preserve"> </w:t>
      </w:r>
      <w:r>
        <w:rPr>
          <w:sz w:val="20"/>
        </w:rPr>
        <w:t>a</w:t>
      </w:r>
      <w:r>
        <w:rPr>
          <w:spacing w:val="-2"/>
          <w:sz w:val="20"/>
        </w:rPr>
        <w:t xml:space="preserve"> </w:t>
      </w:r>
      <w:r>
        <w:rPr>
          <w:sz w:val="20"/>
        </w:rPr>
        <w:t>variety</w:t>
      </w:r>
      <w:r>
        <w:rPr>
          <w:spacing w:val="-2"/>
          <w:sz w:val="20"/>
        </w:rPr>
        <w:t xml:space="preserve"> </w:t>
      </w:r>
      <w:r>
        <w:rPr>
          <w:sz w:val="20"/>
        </w:rPr>
        <w:t>of</w:t>
      </w:r>
      <w:r>
        <w:rPr>
          <w:spacing w:val="-4"/>
          <w:sz w:val="20"/>
        </w:rPr>
        <w:t xml:space="preserve"> </w:t>
      </w:r>
      <w:r>
        <w:rPr>
          <w:sz w:val="20"/>
        </w:rPr>
        <w:t>interpersonal</w:t>
      </w:r>
      <w:r>
        <w:rPr>
          <w:spacing w:val="-3"/>
          <w:sz w:val="20"/>
        </w:rPr>
        <w:t xml:space="preserve"> </w:t>
      </w:r>
      <w:r>
        <w:rPr>
          <w:sz w:val="20"/>
        </w:rPr>
        <w:t>influences</w:t>
      </w:r>
      <w:r>
        <w:rPr>
          <w:spacing w:val="-4"/>
          <w:sz w:val="20"/>
        </w:rPr>
        <w:t xml:space="preserve"> </w:t>
      </w:r>
      <w:r>
        <w:rPr>
          <w:sz w:val="20"/>
        </w:rPr>
        <w:t>including</w:t>
      </w:r>
      <w:r>
        <w:rPr>
          <w:spacing w:val="-3"/>
          <w:sz w:val="20"/>
        </w:rPr>
        <w:t xml:space="preserve"> </w:t>
      </w:r>
      <w:r>
        <w:rPr>
          <w:sz w:val="20"/>
        </w:rPr>
        <w:t>advice,</w:t>
      </w:r>
      <w:r>
        <w:rPr>
          <w:spacing w:val="-2"/>
          <w:sz w:val="20"/>
        </w:rPr>
        <w:t xml:space="preserve"> </w:t>
      </w:r>
      <w:r>
        <w:rPr>
          <w:sz w:val="20"/>
        </w:rPr>
        <w:t>feedback,</w:t>
      </w:r>
      <w:r>
        <w:rPr>
          <w:spacing w:val="-2"/>
          <w:sz w:val="20"/>
        </w:rPr>
        <w:t xml:space="preserve"> </w:t>
      </w:r>
      <w:r>
        <w:rPr>
          <w:sz w:val="20"/>
        </w:rPr>
        <w:t xml:space="preserve">goal setting, contingencies, and </w:t>
      </w:r>
      <w:r>
        <w:rPr>
          <w:sz w:val="20"/>
        </w:rPr>
        <w:t>perceived choice among alternatives.”</w:t>
      </w:r>
    </w:p>
    <w:p w14:paraId="625F6A29" w14:textId="77777777" w:rsidR="00DB6E1F" w:rsidRDefault="00F666A6">
      <w:pPr>
        <w:spacing w:before="120"/>
        <w:ind w:left="1440"/>
        <w:rPr>
          <w:sz w:val="20"/>
        </w:rPr>
      </w:pPr>
      <w:r>
        <w:rPr>
          <w:sz w:val="20"/>
        </w:rPr>
        <w:t>Miller</w:t>
      </w:r>
      <w:r>
        <w:rPr>
          <w:spacing w:val="-6"/>
          <w:sz w:val="20"/>
        </w:rPr>
        <w:t xml:space="preserve"> </w:t>
      </w:r>
      <w:r>
        <w:rPr>
          <w:sz w:val="20"/>
        </w:rPr>
        <w:t>&amp;</w:t>
      </w:r>
      <w:r>
        <w:rPr>
          <w:spacing w:val="-5"/>
          <w:sz w:val="20"/>
        </w:rPr>
        <w:t xml:space="preserve"> </w:t>
      </w:r>
      <w:r>
        <w:rPr>
          <w:sz w:val="20"/>
        </w:rPr>
        <w:t>Rollnick,</w:t>
      </w:r>
      <w:r>
        <w:rPr>
          <w:spacing w:val="-5"/>
          <w:sz w:val="20"/>
        </w:rPr>
        <w:t xml:space="preserve"> </w:t>
      </w:r>
      <w:r>
        <w:rPr>
          <w:sz w:val="20"/>
        </w:rPr>
        <w:t>2013,</w:t>
      </w:r>
      <w:r>
        <w:rPr>
          <w:spacing w:val="-5"/>
          <w:sz w:val="20"/>
        </w:rPr>
        <w:t xml:space="preserve"> </w:t>
      </w:r>
      <w:r>
        <w:rPr>
          <w:sz w:val="20"/>
        </w:rPr>
        <w:t>p.</w:t>
      </w:r>
      <w:r>
        <w:rPr>
          <w:spacing w:val="-6"/>
          <w:sz w:val="20"/>
        </w:rPr>
        <w:t xml:space="preserve"> </w:t>
      </w:r>
      <w:r>
        <w:rPr>
          <w:spacing w:val="-5"/>
          <w:sz w:val="20"/>
        </w:rPr>
        <w:t>374</w:t>
      </w:r>
    </w:p>
    <w:p w14:paraId="0178A3CE" w14:textId="77777777" w:rsidR="00DB6E1F" w:rsidRDefault="00DB6E1F">
      <w:pPr>
        <w:pStyle w:val="BodyText"/>
        <w:spacing w:before="3"/>
        <w:rPr>
          <w:sz w:val="5"/>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E6691B2" w14:textId="77777777">
        <w:trPr>
          <w:trHeight w:val="2344"/>
        </w:trPr>
        <w:tc>
          <w:tcPr>
            <w:tcW w:w="9350" w:type="dxa"/>
            <w:shd w:val="clear" w:color="auto" w:fill="E7E6E6"/>
          </w:tcPr>
          <w:p w14:paraId="0C30C173" w14:textId="77777777" w:rsidR="00DB6E1F" w:rsidRDefault="00F666A6">
            <w:pPr>
              <w:pStyle w:val="TableParagraph"/>
              <w:spacing w:before="121"/>
              <w:ind w:left="4094"/>
              <w:rPr>
                <w:b/>
                <w:sz w:val="20"/>
              </w:rPr>
            </w:pPr>
            <w:r>
              <w:rPr>
                <w:b/>
                <w:sz w:val="20"/>
              </w:rPr>
              <w:t>Key</w:t>
            </w:r>
            <w:r>
              <w:rPr>
                <w:b/>
                <w:spacing w:val="-6"/>
                <w:sz w:val="20"/>
              </w:rPr>
              <w:t xml:space="preserve"> </w:t>
            </w:r>
            <w:r>
              <w:rPr>
                <w:b/>
                <w:spacing w:val="-2"/>
                <w:sz w:val="20"/>
              </w:rPr>
              <w:t>Messages</w:t>
            </w:r>
          </w:p>
          <w:p w14:paraId="457A0151" w14:textId="77777777" w:rsidR="00DB6E1F" w:rsidRDefault="00F666A6">
            <w:pPr>
              <w:pStyle w:val="TableParagraph"/>
              <w:numPr>
                <w:ilvl w:val="0"/>
                <w:numId w:val="84"/>
              </w:numPr>
              <w:tabs>
                <w:tab w:val="left" w:pos="467"/>
                <w:tab w:val="left" w:pos="468"/>
              </w:tabs>
              <w:spacing w:before="120"/>
              <w:ind w:right="312"/>
              <w:rPr>
                <w:sz w:val="20"/>
              </w:rPr>
            </w:pPr>
            <w:r>
              <w:rPr>
                <w:sz w:val="20"/>
              </w:rPr>
              <w:t>Personalized feedback</w:t>
            </w:r>
            <w:r>
              <w:rPr>
                <w:spacing w:val="-2"/>
                <w:sz w:val="20"/>
              </w:rPr>
              <w:t xml:space="preserve"> </w:t>
            </w:r>
            <w:r>
              <w:rPr>
                <w:sz w:val="20"/>
              </w:rPr>
              <w:t>about</w:t>
            </w:r>
            <w:r>
              <w:rPr>
                <w:spacing w:val="-3"/>
                <w:sz w:val="20"/>
              </w:rPr>
              <w:t xml:space="preserve"> </w:t>
            </w:r>
            <w:r>
              <w:rPr>
                <w:sz w:val="20"/>
              </w:rPr>
              <w:t>a</w:t>
            </w:r>
            <w:r>
              <w:rPr>
                <w:spacing w:val="-2"/>
                <w:sz w:val="20"/>
              </w:rPr>
              <w:t xml:space="preserve"> </w:t>
            </w:r>
            <w:r>
              <w:rPr>
                <w:sz w:val="20"/>
              </w:rPr>
              <w:t>client’s</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substances</w:t>
            </w:r>
            <w:r>
              <w:rPr>
                <w:spacing w:val="-4"/>
                <w:sz w:val="20"/>
              </w:rPr>
              <w:t xml:space="preserve"> </w:t>
            </w:r>
            <w:r>
              <w:rPr>
                <w:sz w:val="20"/>
              </w:rPr>
              <w:t>relative</w:t>
            </w:r>
            <w:r>
              <w:rPr>
                <w:spacing w:val="-4"/>
                <w:sz w:val="20"/>
              </w:rPr>
              <w:t xml:space="preserve"> </w:t>
            </w:r>
            <w:r>
              <w:rPr>
                <w:sz w:val="20"/>
              </w:rPr>
              <w:t>to</w:t>
            </w:r>
            <w:r>
              <w:rPr>
                <w:spacing w:val="-3"/>
                <w:sz w:val="20"/>
              </w:rPr>
              <w:t xml:space="preserve"> </w:t>
            </w:r>
            <w:r>
              <w:rPr>
                <w:sz w:val="20"/>
              </w:rPr>
              <w:t>others</w:t>
            </w:r>
            <w:r>
              <w:rPr>
                <w:spacing w:val="-4"/>
                <w:sz w:val="20"/>
              </w:rPr>
              <w:t xml:space="preserve"> </w:t>
            </w:r>
            <w:r>
              <w:rPr>
                <w:sz w:val="20"/>
              </w:rPr>
              <w:t>and</w:t>
            </w:r>
            <w:r>
              <w:rPr>
                <w:spacing w:val="-2"/>
                <w:sz w:val="20"/>
              </w:rPr>
              <w:t xml:space="preserve"> </w:t>
            </w:r>
            <w:r>
              <w:rPr>
                <w:sz w:val="20"/>
              </w:rPr>
              <w:t>level</w:t>
            </w:r>
            <w:r>
              <w:rPr>
                <w:spacing w:val="-3"/>
                <w:sz w:val="20"/>
              </w:rPr>
              <w:t xml:space="preserve"> </w:t>
            </w:r>
            <w:r>
              <w:rPr>
                <w:sz w:val="20"/>
              </w:rPr>
              <w:t>of</w:t>
            </w:r>
            <w:r>
              <w:rPr>
                <w:spacing w:val="-4"/>
                <w:sz w:val="20"/>
              </w:rPr>
              <w:t xml:space="preserve"> </w:t>
            </w:r>
            <w:r>
              <w:rPr>
                <w:sz w:val="20"/>
              </w:rPr>
              <w:t>health-related</w:t>
            </w:r>
            <w:r>
              <w:rPr>
                <w:spacing w:val="-2"/>
                <w:sz w:val="20"/>
              </w:rPr>
              <w:t xml:space="preserve"> </w:t>
            </w:r>
            <w:r>
              <w:rPr>
                <w:sz w:val="20"/>
              </w:rPr>
              <w:t>risk can enhance client motivation to change substance use behaviors.</w:t>
            </w:r>
          </w:p>
          <w:p w14:paraId="749149AA" w14:textId="77777777" w:rsidR="00DB6E1F" w:rsidRDefault="00F666A6">
            <w:pPr>
              <w:pStyle w:val="TableParagraph"/>
              <w:numPr>
                <w:ilvl w:val="0"/>
                <w:numId w:val="84"/>
              </w:numPr>
              <w:tabs>
                <w:tab w:val="left" w:pos="467"/>
                <w:tab w:val="left" w:pos="468"/>
              </w:tabs>
              <w:spacing w:before="38"/>
              <w:ind w:right="229"/>
              <w:rPr>
                <w:sz w:val="20"/>
              </w:rPr>
            </w:pPr>
            <w:r>
              <w:rPr>
                <w:sz w:val="20"/>
              </w:rPr>
              <w:t>Counselor</w:t>
            </w:r>
            <w:r>
              <w:rPr>
                <w:spacing w:val="-3"/>
                <w:sz w:val="20"/>
              </w:rPr>
              <w:t xml:space="preserve"> </w:t>
            </w:r>
            <w:r>
              <w:rPr>
                <w:sz w:val="20"/>
              </w:rPr>
              <w:t>focus</w:t>
            </w:r>
            <w:r>
              <w:rPr>
                <w:spacing w:val="-4"/>
                <w:sz w:val="20"/>
              </w:rPr>
              <w:t xml:space="preserve"> </w:t>
            </w:r>
            <w:r>
              <w:rPr>
                <w:sz w:val="20"/>
              </w:rPr>
              <w:t>and</w:t>
            </w:r>
            <w:r>
              <w:rPr>
                <w:spacing w:val="-2"/>
                <w:sz w:val="20"/>
              </w:rPr>
              <w:t xml:space="preserve"> </w:t>
            </w:r>
            <w:r>
              <w:rPr>
                <w:sz w:val="20"/>
              </w:rPr>
              <w:t>motivational</w:t>
            </w:r>
            <w:r>
              <w:rPr>
                <w:spacing w:val="-3"/>
                <w:sz w:val="20"/>
              </w:rPr>
              <w:t xml:space="preserve"> </w:t>
            </w:r>
            <w:r>
              <w:rPr>
                <w:sz w:val="20"/>
              </w:rPr>
              <w:t>counseling</w:t>
            </w:r>
            <w:r>
              <w:rPr>
                <w:spacing w:val="-3"/>
                <w:sz w:val="20"/>
              </w:rPr>
              <w:t xml:space="preserve"> </w:t>
            </w:r>
            <w:r>
              <w:rPr>
                <w:sz w:val="20"/>
              </w:rPr>
              <w:t>strategies</w:t>
            </w:r>
            <w:r>
              <w:rPr>
                <w:spacing w:val="-4"/>
                <w:sz w:val="20"/>
              </w:rPr>
              <w:t xml:space="preserve"> </w:t>
            </w:r>
            <w:r>
              <w:rPr>
                <w:sz w:val="20"/>
              </w:rPr>
              <w:t>should</w:t>
            </w:r>
            <w:r>
              <w:rPr>
                <w:spacing w:val="-2"/>
                <w:sz w:val="20"/>
              </w:rPr>
              <w:t xml:space="preserve"> </w:t>
            </w:r>
            <w:r>
              <w:rPr>
                <w:sz w:val="20"/>
              </w:rPr>
              <w:t>be</w:t>
            </w:r>
            <w:r>
              <w:rPr>
                <w:spacing w:val="-4"/>
                <w:sz w:val="20"/>
              </w:rPr>
              <w:t xml:space="preserve"> </w:t>
            </w:r>
            <w:r>
              <w:rPr>
                <w:sz w:val="20"/>
              </w:rPr>
              <w:t>tailored</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client’s</w:t>
            </w:r>
            <w:r>
              <w:rPr>
                <w:spacing w:val="-4"/>
                <w:sz w:val="20"/>
              </w:rPr>
              <w:t xml:space="preserve"> </w:t>
            </w:r>
            <w:r>
              <w:rPr>
                <w:sz w:val="20"/>
              </w:rPr>
              <w:t>stage</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Stage of Change (SOC) model.</w:t>
            </w:r>
          </w:p>
          <w:p w14:paraId="04C400FD" w14:textId="77777777" w:rsidR="00DB6E1F" w:rsidRDefault="00F666A6">
            <w:pPr>
              <w:pStyle w:val="TableParagraph"/>
              <w:numPr>
                <w:ilvl w:val="0"/>
                <w:numId w:val="84"/>
              </w:numPr>
              <w:tabs>
                <w:tab w:val="left" w:pos="467"/>
                <w:tab w:val="left" w:pos="468"/>
              </w:tabs>
              <w:spacing w:before="41"/>
              <w:ind w:right="469"/>
              <w:rPr>
                <w:sz w:val="20"/>
              </w:rPr>
            </w:pPr>
            <w:r>
              <w:rPr>
                <w:sz w:val="20"/>
              </w:rPr>
              <w:t>Effective</w:t>
            </w:r>
            <w:r>
              <w:rPr>
                <w:spacing w:val="-1"/>
                <w:sz w:val="20"/>
              </w:rPr>
              <w:t xml:space="preserve"> </w:t>
            </w:r>
            <w:r>
              <w:rPr>
                <w:sz w:val="20"/>
              </w:rPr>
              <w:t>motivational</w:t>
            </w:r>
            <w:r>
              <w:rPr>
                <w:spacing w:val="-3"/>
                <w:sz w:val="20"/>
              </w:rPr>
              <w:t xml:space="preserve"> </w:t>
            </w:r>
            <w:r>
              <w:rPr>
                <w:sz w:val="20"/>
              </w:rPr>
              <w:t>counseling</w:t>
            </w:r>
            <w:r>
              <w:rPr>
                <w:spacing w:val="-3"/>
                <w:sz w:val="20"/>
              </w:rPr>
              <w:t xml:space="preserve"> </w:t>
            </w:r>
            <w:r>
              <w:rPr>
                <w:sz w:val="20"/>
              </w:rPr>
              <w:t>approaches</w:t>
            </w:r>
            <w:r>
              <w:rPr>
                <w:spacing w:val="-4"/>
                <w:sz w:val="20"/>
              </w:rPr>
              <w:t xml:space="preserve"> </w:t>
            </w:r>
            <w:r>
              <w:rPr>
                <w:sz w:val="20"/>
              </w:rPr>
              <w:t>can</w:t>
            </w:r>
            <w:r>
              <w:rPr>
                <w:spacing w:val="-2"/>
                <w:sz w:val="20"/>
              </w:rPr>
              <w:t xml:space="preserve"> </w:t>
            </w:r>
            <w:r>
              <w:rPr>
                <w:sz w:val="20"/>
              </w:rPr>
              <w:t>be</w:t>
            </w:r>
            <w:r>
              <w:rPr>
                <w:spacing w:val="-4"/>
                <w:sz w:val="20"/>
              </w:rPr>
              <w:t xml:space="preserve"> </w:t>
            </w:r>
            <w:r>
              <w:rPr>
                <w:sz w:val="20"/>
              </w:rPr>
              <w:t>br</w:t>
            </w:r>
            <w:r>
              <w:rPr>
                <w:sz w:val="20"/>
              </w:rPr>
              <w:t>ief</w:t>
            </w:r>
            <w:r>
              <w:rPr>
                <w:spacing w:val="-4"/>
                <w:sz w:val="20"/>
              </w:rPr>
              <w:t xml:space="preserve"> </w:t>
            </w:r>
            <w:r>
              <w:rPr>
                <w:sz w:val="20"/>
              </w:rPr>
              <w:t>and</w:t>
            </w:r>
            <w:r>
              <w:rPr>
                <w:spacing w:val="-2"/>
                <w:sz w:val="20"/>
              </w:rPr>
              <w:t xml:space="preserve"> </w:t>
            </w:r>
            <w:r>
              <w:rPr>
                <w:sz w:val="20"/>
              </w:rPr>
              <w:t>include</w:t>
            </w:r>
            <w:r>
              <w:rPr>
                <w:spacing w:val="-4"/>
                <w:sz w:val="20"/>
              </w:rPr>
              <w:t xml:space="preserve"> </w:t>
            </w:r>
            <w:r>
              <w:rPr>
                <w:sz w:val="20"/>
              </w:rPr>
              <w:t>a</w:t>
            </w:r>
            <w:r>
              <w:rPr>
                <w:spacing w:val="-2"/>
                <w:sz w:val="20"/>
              </w:rPr>
              <w:t xml:space="preserve"> </w:t>
            </w:r>
            <w:r>
              <w:rPr>
                <w:sz w:val="20"/>
              </w:rPr>
              <w:t>brief</w:t>
            </w:r>
            <w:r>
              <w:rPr>
                <w:spacing w:val="-4"/>
                <w:sz w:val="20"/>
              </w:rPr>
              <w:t xml:space="preserve"> </w:t>
            </w:r>
            <w:r>
              <w:rPr>
                <w:sz w:val="20"/>
              </w:rPr>
              <w:t>intervention</w:t>
            </w:r>
            <w:r>
              <w:rPr>
                <w:spacing w:val="-2"/>
                <w:sz w:val="20"/>
              </w:rPr>
              <w:t xml:space="preserve"> </w:t>
            </w:r>
            <w:r>
              <w:rPr>
                <w:sz w:val="20"/>
              </w:rPr>
              <w:t>(BI)</w:t>
            </w:r>
            <w:r>
              <w:rPr>
                <w:spacing w:val="-3"/>
                <w:sz w:val="20"/>
              </w:rPr>
              <w:t xml:space="preserve"> </w:t>
            </w:r>
            <w:r>
              <w:rPr>
                <w:sz w:val="20"/>
              </w:rPr>
              <w:t>and</w:t>
            </w:r>
            <w:r>
              <w:rPr>
                <w:spacing w:val="-2"/>
                <w:sz w:val="20"/>
              </w:rPr>
              <w:t xml:space="preserve"> </w:t>
            </w:r>
            <w:r>
              <w:rPr>
                <w:sz w:val="20"/>
              </w:rPr>
              <w:t xml:space="preserve">brief treatment (BT) or comprehensive and include screening, brief intervention, and referral to treatment </w:t>
            </w:r>
            <w:r>
              <w:rPr>
                <w:spacing w:val="-2"/>
                <w:sz w:val="20"/>
              </w:rPr>
              <w:t>(SBIRT).</w:t>
            </w:r>
          </w:p>
        </w:tc>
      </w:tr>
    </w:tbl>
    <w:p w14:paraId="6FF044CF" w14:textId="77777777" w:rsidR="00DB6E1F" w:rsidRDefault="00F666A6">
      <w:pPr>
        <w:pStyle w:val="BodyText"/>
        <w:spacing w:before="160"/>
        <w:ind w:left="1438" w:right="1444" w:firstLine="1"/>
      </w:pPr>
      <w:r>
        <w:t>Chapter</w:t>
      </w:r>
      <w:r>
        <w:rPr>
          <w:spacing w:val="-3"/>
        </w:rPr>
        <w:t xml:space="preserve"> </w:t>
      </w:r>
      <w:r>
        <w:t>2</w:t>
      </w:r>
      <w:r>
        <w:rPr>
          <w:spacing w:val="-4"/>
        </w:rPr>
        <w:t xml:space="preserve"> </w:t>
      </w:r>
      <w:r>
        <w:t>examines</w:t>
      </w:r>
      <w:r>
        <w:rPr>
          <w:spacing w:val="-3"/>
        </w:rPr>
        <w:t xml:space="preserve"> </w:t>
      </w:r>
      <w:r>
        <w:t>science-informed</w:t>
      </w:r>
      <w:r>
        <w:rPr>
          <w:spacing w:val="-4"/>
        </w:rPr>
        <w:t xml:space="preserve"> </w:t>
      </w:r>
      <w:r>
        <w:t>elements</w:t>
      </w:r>
      <w:r>
        <w:rPr>
          <w:spacing w:val="-5"/>
        </w:rPr>
        <w:t xml:space="preserve"> </w:t>
      </w:r>
      <w:r>
        <w:t>of</w:t>
      </w:r>
      <w:r>
        <w:rPr>
          <w:spacing w:val="-5"/>
        </w:rPr>
        <w:t xml:space="preserve"> </w:t>
      </w:r>
      <w:r>
        <w:t>motivational</w:t>
      </w:r>
      <w:r>
        <w:rPr>
          <w:spacing w:val="-3"/>
        </w:rPr>
        <w:t xml:space="preserve"> </w:t>
      </w:r>
      <w:r>
        <w:t>approaches</w:t>
      </w:r>
      <w:r>
        <w:rPr>
          <w:spacing w:val="-3"/>
        </w:rPr>
        <w:t xml:space="preserve"> </w:t>
      </w:r>
      <w:r>
        <w:t>that</w:t>
      </w:r>
      <w:r>
        <w:rPr>
          <w:spacing w:val="-2"/>
        </w:rPr>
        <w:t xml:space="preserve"> </w:t>
      </w:r>
      <w:r>
        <w:t>are</w:t>
      </w:r>
      <w:r>
        <w:rPr>
          <w:spacing w:val="-5"/>
        </w:rPr>
        <w:t xml:space="preserve"> </w:t>
      </w:r>
      <w:r>
        <w:t>effective</w:t>
      </w:r>
      <w:r>
        <w:rPr>
          <w:spacing w:val="-2"/>
        </w:rPr>
        <w:t xml:space="preserve"> </w:t>
      </w:r>
      <w:r>
        <w:t>in</w:t>
      </w:r>
      <w:r>
        <w:rPr>
          <w:spacing w:val="-4"/>
        </w:rPr>
        <w:t xml:space="preserve"> </w:t>
      </w:r>
      <w:r>
        <w:t>treating substance use disorders (SUDs). Any clinical strategy that enhances client motivation for change is a motivational intervention. Such interventions can include counseling, assessment, and feedback. They can occur over multiple session</w:t>
      </w:r>
      <w:r>
        <w:t>s or during one BI, and they can be used in specialty SUD treatment settings</w:t>
      </w:r>
      <w:r>
        <w:rPr>
          <w:spacing w:val="-2"/>
        </w:rPr>
        <w:t xml:space="preserve"> </w:t>
      </w:r>
      <w:r>
        <w:t>or</w:t>
      </w:r>
      <w:r>
        <w:rPr>
          <w:spacing w:val="-1"/>
        </w:rPr>
        <w:t xml:space="preserve"> </w:t>
      </w:r>
      <w:r>
        <w:t>in</w:t>
      </w:r>
      <w:r>
        <w:rPr>
          <w:spacing w:val="-3"/>
        </w:rPr>
        <w:t xml:space="preserve"> </w:t>
      </w:r>
      <w:r>
        <w:t>other</w:t>
      </w:r>
      <w:r>
        <w:rPr>
          <w:spacing w:val="-3"/>
        </w:rPr>
        <w:t xml:space="preserve"> </w:t>
      </w:r>
      <w:r>
        <w:t>healthcare settings. Chapter</w:t>
      </w:r>
      <w:r>
        <w:rPr>
          <w:spacing w:val="-4"/>
        </w:rPr>
        <w:t xml:space="preserve"> </w:t>
      </w:r>
      <w:r>
        <w:t>2</w:t>
      </w:r>
      <w:r>
        <w:rPr>
          <w:spacing w:val="-2"/>
        </w:rPr>
        <w:t xml:space="preserve"> </w:t>
      </w:r>
      <w:r>
        <w:t>also</w:t>
      </w:r>
      <w:r>
        <w:rPr>
          <w:spacing w:val="-2"/>
        </w:rPr>
        <w:t xml:space="preserve"> </w:t>
      </w:r>
      <w:r>
        <w:t>highlights what</w:t>
      </w:r>
      <w:r>
        <w:rPr>
          <w:spacing w:val="-3"/>
        </w:rPr>
        <w:t xml:space="preserve"> </w:t>
      </w:r>
      <w:r>
        <w:t>you</w:t>
      </w:r>
      <w:r>
        <w:rPr>
          <w:spacing w:val="-1"/>
        </w:rPr>
        <w:t xml:space="preserve"> </w:t>
      </w:r>
      <w:r>
        <w:t>should</w:t>
      </w:r>
      <w:r>
        <w:rPr>
          <w:spacing w:val="-4"/>
        </w:rPr>
        <w:t xml:space="preserve"> </w:t>
      </w:r>
      <w:r>
        <w:t>focus</w:t>
      </w:r>
      <w:r>
        <w:rPr>
          <w:spacing w:val="-2"/>
        </w:rPr>
        <w:t xml:space="preserve"> </w:t>
      </w:r>
      <w:r>
        <w:t>on</w:t>
      </w:r>
      <w:r>
        <w:rPr>
          <w:spacing w:val="-2"/>
        </w:rPr>
        <w:t xml:space="preserve"> </w:t>
      </w:r>
      <w:r>
        <w:t>in</w:t>
      </w:r>
      <w:r>
        <w:rPr>
          <w:spacing w:val="-3"/>
        </w:rPr>
        <w:t xml:space="preserve"> </w:t>
      </w:r>
      <w:r>
        <w:t>each</w:t>
      </w:r>
      <w:r>
        <w:rPr>
          <w:spacing w:val="-1"/>
        </w:rPr>
        <w:t xml:space="preserve"> </w:t>
      </w:r>
      <w:r>
        <w:t>stage of the SOC approach and discusses how to adapt motivational interventions to be c</w:t>
      </w:r>
      <w:r>
        <w:t>ulturally responsive and suitable for clients with co-occurring substance use and mental disorders (CODs).</w:t>
      </w:r>
    </w:p>
    <w:p w14:paraId="6F8CAFCF" w14:textId="77777777" w:rsidR="00DB6E1F" w:rsidRDefault="00F666A6">
      <w:pPr>
        <w:pStyle w:val="Heading2"/>
        <w:spacing w:before="164"/>
      </w:pPr>
      <w:bookmarkStart w:id="55" w:name="Elements_of_Effective_Motivational_Couns"/>
      <w:bookmarkStart w:id="56" w:name="_bookmark11"/>
      <w:bookmarkEnd w:id="55"/>
      <w:bookmarkEnd w:id="56"/>
      <w:r>
        <w:t>Elements</w:t>
      </w:r>
      <w:r>
        <w:rPr>
          <w:spacing w:val="-6"/>
        </w:rPr>
        <w:t xml:space="preserve"> </w:t>
      </w:r>
      <w:r>
        <w:t>of</w:t>
      </w:r>
      <w:r>
        <w:rPr>
          <w:spacing w:val="-5"/>
        </w:rPr>
        <w:t xml:space="preserve"> </w:t>
      </w:r>
      <w:r>
        <w:t>Effective</w:t>
      </w:r>
      <w:r>
        <w:rPr>
          <w:spacing w:val="-2"/>
        </w:rPr>
        <w:t xml:space="preserve"> </w:t>
      </w:r>
      <w:r>
        <w:t>Motivational</w:t>
      </w:r>
      <w:r>
        <w:rPr>
          <w:spacing w:val="-4"/>
        </w:rPr>
        <w:t xml:space="preserve"> </w:t>
      </w:r>
      <w:r>
        <w:t>Counseling</w:t>
      </w:r>
      <w:r>
        <w:rPr>
          <w:spacing w:val="-6"/>
        </w:rPr>
        <w:t xml:space="preserve"> </w:t>
      </w:r>
      <w:r>
        <w:rPr>
          <w:spacing w:val="-2"/>
        </w:rPr>
        <w:t>Approaches</w:t>
      </w:r>
    </w:p>
    <w:p w14:paraId="034186B9" w14:textId="77777777" w:rsidR="00DB6E1F" w:rsidRDefault="00F666A6">
      <w:pPr>
        <w:pStyle w:val="BodyText"/>
        <w:spacing w:before="149"/>
        <w:ind w:left="1440" w:right="1491"/>
      </w:pPr>
      <w:r>
        <w:t>Motivational</w:t>
      </w:r>
      <w:r>
        <w:rPr>
          <w:spacing w:val="-5"/>
        </w:rPr>
        <w:t xml:space="preserve"> </w:t>
      </w:r>
      <w:r>
        <w:t>counseling</w:t>
      </w:r>
      <w:r>
        <w:rPr>
          <w:spacing w:val="-3"/>
        </w:rPr>
        <w:t xml:space="preserve"> </w:t>
      </w:r>
      <w:r>
        <w:t>strategies</w:t>
      </w:r>
      <w:r>
        <w:rPr>
          <w:spacing w:val="-2"/>
        </w:rPr>
        <w:t xml:space="preserve"> </w:t>
      </w:r>
      <w:r>
        <w:t>have</w:t>
      </w:r>
      <w:r>
        <w:rPr>
          <w:spacing w:val="-4"/>
        </w:rPr>
        <w:t xml:space="preserve"> </w:t>
      </w:r>
      <w:r>
        <w:t>been</w:t>
      </w:r>
      <w:r>
        <w:rPr>
          <w:spacing w:val="-3"/>
        </w:rPr>
        <w:t xml:space="preserve"> </w:t>
      </w:r>
      <w:r>
        <w:t>used</w:t>
      </w:r>
      <w:r>
        <w:rPr>
          <w:spacing w:val="-3"/>
        </w:rPr>
        <w:t xml:space="preserve"> </w:t>
      </w:r>
      <w:r>
        <w:t>in</w:t>
      </w:r>
      <w:r>
        <w:rPr>
          <w:spacing w:val="-5"/>
        </w:rPr>
        <w:t xml:space="preserve"> </w:t>
      </w:r>
      <w:r>
        <w:t>a</w:t>
      </w:r>
      <w:r>
        <w:rPr>
          <w:spacing w:val="-2"/>
        </w:rPr>
        <w:t xml:space="preserve"> </w:t>
      </w:r>
      <w:r>
        <w:t>wide</w:t>
      </w:r>
      <w:r>
        <w:rPr>
          <w:spacing w:val="-4"/>
        </w:rPr>
        <w:t xml:space="preserve"> </w:t>
      </w:r>
      <w:r>
        <w:t>variety</w:t>
      </w:r>
      <w:r>
        <w:rPr>
          <w:spacing w:val="-3"/>
        </w:rPr>
        <w:t xml:space="preserve"> </w:t>
      </w:r>
      <w:r>
        <w:t>of</w:t>
      </w:r>
      <w:r>
        <w:rPr>
          <w:spacing w:val="-4"/>
        </w:rPr>
        <w:t xml:space="preserve"> </w:t>
      </w:r>
      <w:r>
        <w:t>settings</w:t>
      </w:r>
      <w:r>
        <w:rPr>
          <w:spacing w:val="-2"/>
        </w:rPr>
        <w:t xml:space="preserve"> </w:t>
      </w:r>
      <w:r>
        <w:t>and</w:t>
      </w:r>
      <w:r>
        <w:rPr>
          <w:spacing w:val="-3"/>
        </w:rPr>
        <w:t xml:space="preserve"> </w:t>
      </w:r>
      <w:r>
        <w:t>with</w:t>
      </w:r>
      <w:r>
        <w:rPr>
          <w:spacing w:val="-3"/>
        </w:rPr>
        <w:t xml:space="preserve"> </w:t>
      </w:r>
      <w:r>
        <w:t>div</w:t>
      </w:r>
      <w:r>
        <w:t>erse</w:t>
      </w:r>
      <w:r>
        <w:rPr>
          <w:spacing w:val="-4"/>
        </w:rPr>
        <w:t xml:space="preserve"> </w:t>
      </w:r>
      <w:r>
        <w:t>client populations to increase motivation to change substance use behaviors. The following elements are important parts of motivational counseling:</w:t>
      </w:r>
    </w:p>
    <w:p w14:paraId="03DA17B1" w14:textId="77777777" w:rsidR="00DB6E1F" w:rsidRDefault="00F666A6">
      <w:pPr>
        <w:pStyle w:val="ListParagraph"/>
        <w:numPr>
          <w:ilvl w:val="0"/>
          <w:numId w:val="92"/>
        </w:numPr>
        <w:tabs>
          <w:tab w:val="left" w:pos="1800"/>
          <w:tab w:val="left" w:pos="1801"/>
        </w:tabs>
        <w:spacing w:before="61"/>
        <w:ind w:left="1800"/>
        <w:rPr>
          <w:rFonts w:ascii="Symbol" w:hAnsi="Symbol"/>
        </w:rPr>
      </w:pPr>
      <w:r>
        <w:t>FRAMES</w:t>
      </w:r>
      <w:r>
        <w:rPr>
          <w:spacing w:val="-2"/>
        </w:rPr>
        <w:t xml:space="preserve"> approach</w:t>
      </w:r>
    </w:p>
    <w:p w14:paraId="60CB826B" w14:textId="77777777" w:rsidR="00DB6E1F" w:rsidRDefault="00F666A6">
      <w:pPr>
        <w:pStyle w:val="ListParagraph"/>
        <w:numPr>
          <w:ilvl w:val="0"/>
          <w:numId w:val="92"/>
        </w:numPr>
        <w:tabs>
          <w:tab w:val="left" w:pos="1800"/>
          <w:tab w:val="left" w:pos="1801"/>
        </w:tabs>
        <w:spacing w:before="61"/>
        <w:ind w:left="1800"/>
        <w:rPr>
          <w:rFonts w:ascii="Symbol" w:hAnsi="Symbol"/>
        </w:rPr>
      </w:pPr>
      <w:r>
        <w:t>Decisional</w:t>
      </w:r>
      <w:r>
        <w:rPr>
          <w:spacing w:val="-5"/>
        </w:rPr>
        <w:t xml:space="preserve"> </w:t>
      </w:r>
      <w:r>
        <w:rPr>
          <w:spacing w:val="-2"/>
        </w:rPr>
        <w:t>balancing</w:t>
      </w:r>
    </w:p>
    <w:p w14:paraId="7A573EA4" w14:textId="77777777" w:rsidR="00DB6E1F" w:rsidRDefault="00F666A6">
      <w:pPr>
        <w:pStyle w:val="ListParagraph"/>
        <w:numPr>
          <w:ilvl w:val="0"/>
          <w:numId w:val="92"/>
        </w:numPr>
        <w:tabs>
          <w:tab w:val="left" w:pos="1800"/>
          <w:tab w:val="left" w:pos="1801"/>
        </w:tabs>
        <w:ind w:left="1800"/>
        <w:rPr>
          <w:rFonts w:ascii="Symbol" w:hAnsi="Symbol"/>
        </w:rPr>
      </w:pPr>
      <w:r>
        <w:t>Developing</w:t>
      </w:r>
      <w:r>
        <w:rPr>
          <w:spacing w:val="-9"/>
        </w:rPr>
        <w:t xml:space="preserve"> </w:t>
      </w:r>
      <w:r>
        <w:t>discrepancy</w:t>
      </w:r>
      <w:r>
        <w:rPr>
          <w:spacing w:val="-6"/>
        </w:rPr>
        <w:t xml:space="preserve"> </w:t>
      </w:r>
      <w:r>
        <w:t>between</w:t>
      </w:r>
      <w:r>
        <w:rPr>
          <w:spacing w:val="-7"/>
        </w:rPr>
        <w:t xml:space="preserve"> </w:t>
      </w:r>
      <w:r>
        <w:t>personal</w:t>
      </w:r>
      <w:r>
        <w:rPr>
          <w:spacing w:val="-5"/>
        </w:rPr>
        <w:t xml:space="preserve"> </w:t>
      </w:r>
      <w:r>
        <w:t>goals</w:t>
      </w:r>
      <w:r>
        <w:rPr>
          <w:spacing w:val="-5"/>
        </w:rPr>
        <w:t xml:space="preserve"> </w:t>
      </w:r>
      <w:r>
        <w:t>and</w:t>
      </w:r>
      <w:r>
        <w:rPr>
          <w:spacing w:val="-6"/>
        </w:rPr>
        <w:t xml:space="preserve"> </w:t>
      </w:r>
      <w:r>
        <w:t>current</w:t>
      </w:r>
      <w:r>
        <w:rPr>
          <w:spacing w:val="-4"/>
        </w:rPr>
        <w:t xml:space="preserve"> </w:t>
      </w:r>
      <w:r>
        <w:rPr>
          <w:spacing w:val="-2"/>
        </w:rPr>
        <w:t>behavior</w:t>
      </w:r>
    </w:p>
    <w:p w14:paraId="000B0D32" w14:textId="77777777" w:rsidR="00DB6E1F" w:rsidRDefault="00F666A6">
      <w:pPr>
        <w:pStyle w:val="ListParagraph"/>
        <w:numPr>
          <w:ilvl w:val="0"/>
          <w:numId w:val="92"/>
        </w:numPr>
        <w:tabs>
          <w:tab w:val="left" w:pos="1800"/>
          <w:tab w:val="left" w:pos="1801"/>
        </w:tabs>
        <w:ind w:left="1800"/>
        <w:rPr>
          <w:rFonts w:ascii="Symbol" w:hAnsi="Symbol"/>
        </w:rPr>
      </w:pPr>
      <w:r>
        <w:t>Flexible</w:t>
      </w:r>
      <w:r>
        <w:rPr>
          <w:spacing w:val="-4"/>
        </w:rPr>
        <w:t xml:space="preserve"> </w:t>
      </w:r>
      <w:r>
        <w:rPr>
          <w:spacing w:val="-2"/>
        </w:rPr>
        <w:t>pacing</w:t>
      </w:r>
    </w:p>
    <w:p w14:paraId="4305F521" w14:textId="77777777" w:rsidR="00DB6E1F" w:rsidRDefault="00F666A6">
      <w:pPr>
        <w:pStyle w:val="ListParagraph"/>
        <w:numPr>
          <w:ilvl w:val="0"/>
          <w:numId w:val="92"/>
        </w:numPr>
        <w:tabs>
          <w:tab w:val="left" w:pos="1800"/>
          <w:tab w:val="left" w:pos="1801"/>
        </w:tabs>
        <w:spacing w:before="56"/>
        <w:ind w:left="1800"/>
        <w:rPr>
          <w:rFonts w:ascii="Symbol" w:hAnsi="Symbol"/>
        </w:rPr>
      </w:pPr>
      <w:r>
        <w:t>Maintaining</w:t>
      </w:r>
      <w:r>
        <w:rPr>
          <w:spacing w:val="-6"/>
        </w:rPr>
        <w:t xml:space="preserve"> </w:t>
      </w:r>
      <w:r>
        <w:t>contact</w:t>
      </w:r>
      <w:r>
        <w:rPr>
          <w:spacing w:val="-6"/>
        </w:rPr>
        <w:t xml:space="preserve"> </w:t>
      </w:r>
      <w:r>
        <w:t>with</w:t>
      </w:r>
      <w:r>
        <w:rPr>
          <w:spacing w:val="-7"/>
        </w:rPr>
        <w:t xml:space="preserve"> </w:t>
      </w:r>
      <w:r>
        <w:rPr>
          <w:spacing w:val="-2"/>
        </w:rPr>
        <w:t>clients</w:t>
      </w:r>
    </w:p>
    <w:p w14:paraId="5699D525" w14:textId="77777777" w:rsidR="00DB6E1F" w:rsidRDefault="00F666A6">
      <w:pPr>
        <w:pStyle w:val="Heading3"/>
        <w:spacing w:before="167"/>
      </w:pPr>
      <w:bookmarkStart w:id="57" w:name="FRAMES_Approach"/>
      <w:bookmarkEnd w:id="57"/>
      <w:r>
        <w:t>FRAMES</w:t>
      </w:r>
      <w:r>
        <w:rPr>
          <w:spacing w:val="-13"/>
        </w:rPr>
        <w:t xml:space="preserve"> </w:t>
      </w:r>
      <w:r>
        <w:rPr>
          <w:spacing w:val="-2"/>
        </w:rPr>
        <w:t>Approach</w:t>
      </w:r>
    </w:p>
    <w:p w14:paraId="6692D1F8" w14:textId="77777777" w:rsidR="00DB6E1F" w:rsidRDefault="00F666A6">
      <w:pPr>
        <w:pStyle w:val="BodyText"/>
        <w:spacing w:before="141"/>
        <w:ind w:left="1439" w:right="1491"/>
      </w:pPr>
      <w:r>
        <w:t>Miller</w:t>
      </w:r>
      <w:r>
        <w:rPr>
          <w:spacing w:val="-2"/>
        </w:rPr>
        <w:t xml:space="preserve"> </w:t>
      </w:r>
      <w:r>
        <w:t>and</w:t>
      </w:r>
      <w:r>
        <w:rPr>
          <w:spacing w:val="-3"/>
        </w:rPr>
        <w:t xml:space="preserve"> </w:t>
      </w:r>
      <w:r>
        <w:t>Sanchez</w:t>
      </w:r>
      <w:r>
        <w:rPr>
          <w:spacing w:val="-5"/>
        </w:rPr>
        <w:t xml:space="preserve"> </w:t>
      </w:r>
      <w:r>
        <w:t>(1994)</w:t>
      </w:r>
      <w:r>
        <w:rPr>
          <w:spacing w:val="-2"/>
        </w:rPr>
        <w:t xml:space="preserve"> </w:t>
      </w:r>
      <w:r>
        <w:t>identified</w:t>
      </w:r>
      <w:r>
        <w:rPr>
          <w:spacing w:val="-3"/>
        </w:rPr>
        <w:t xml:space="preserve"> </w:t>
      </w:r>
      <w:r>
        <w:t>six</w:t>
      </w:r>
      <w:r>
        <w:rPr>
          <w:spacing w:val="-4"/>
        </w:rPr>
        <w:t xml:space="preserve"> </w:t>
      </w:r>
      <w:r>
        <w:t>common</w:t>
      </w:r>
      <w:r>
        <w:rPr>
          <w:spacing w:val="-3"/>
        </w:rPr>
        <w:t xml:space="preserve"> </w:t>
      </w:r>
      <w:r>
        <w:t>elements</w:t>
      </w:r>
      <w:r>
        <w:rPr>
          <w:spacing w:val="-5"/>
        </w:rPr>
        <w:t xml:space="preserve"> </w:t>
      </w:r>
      <w:r>
        <w:t>of</w:t>
      </w:r>
      <w:r>
        <w:rPr>
          <w:spacing w:val="-2"/>
        </w:rPr>
        <w:t xml:space="preserve"> </w:t>
      </w:r>
      <w:r>
        <w:t>effective</w:t>
      </w:r>
      <w:r>
        <w:rPr>
          <w:spacing w:val="-4"/>
        </w:rPr>
        <w:t xml:space="preserve"> </w:t>
      </w:r>
      <w:r>
        <w:t>motivational</w:t>
      </w:r>
      <w:r>
        <w:rPr>
          <w:spacing w:val="-2"/>
        </w:rPr>
        <w:t xml:space="preserve"> </w:t>
      </w:r>
      <w:r>
        <w:t>counseling,</w:t>
      </w:r>
      <w:r>
        <w:rPr>
          <w:spacing w:val="-4"/>
        </w:rPr>
        <w:t xml:space="preserve"> </w:t>
      </w:r>
      <w:r>
        <w:t>which are summarized by the acronym FRAMES:</w:t>
      </w:r>
    </w:p>
    <w:p w14:paraId="298DF5A8" w14:textId="77777777" w:rsidR="00DB6E1F" w:rsidRDefault="00F666A6">
      <w:pPr>
        <w:pStyle w:val="ListParagraph"/>
        <w:numPr>
          <w:ilvl w:val="0"/>
          <w:numId w:val="92"/>
        </w:numPr>
        <w:tabs>
          <w:tab w:val="left" w:pos="1799"/>
          <w:tab w:val="left" w:pos="1800"/>
        </w:tabs>
        <w:ind w:left="1799"/>
        <w:rPr>
          <w:rFonts w:ascii="Symbol" w:hAnsi="Symbol"/>
        </w:rPr>
      </w:pPr>
      <w:r>
        <w:rPr>
          <w:b/>
          <w:spacing w:val="-2"/>
        </w:rPr>
        <w:t>F</w:t>
      </w:r>
      <w:r>
        <w:rPr>
          <w:spacing w:val="-2"/>
        </w:rPr>
        <w:t>eedback</w:t>
      </w:r>
      <w:r>
        <w:rPr>
          <w:spacing w:val="-4"/>
        </w:rPr>
        <w:t xml:space="preserve"> </w:t>
      </w:r>
      <w:r>
        <w:rPr>
          <w:spacing w:val="-2"/>
        </w:rPr>
        <w:t>on</w:t>
      </w:r>
      <w:r>
        <w:rPr>
          <w:spacing w:val="-1"/>
        </w:rPr>
        <w:t xml:space="preserve"> </w:t>
      </w:r>
      <w:r>
        <w:rPr>
          <w:spacing w:val="-2"/>
        </w:rPr>
        <w:t>personal</w:t>
      </w:r>
      <w:r>
        <w:rPr>
          <w:spacing w:val="1"/>
        </w:rPr>
        <w:t xml:space="preserve"> </w:t>
      </w:r>
      <w:r>
        <w:rPr>
          <w:spacing w:val="-2"/>
        </w:rPr>
        <w:t>risk</w:t>
      </w:r>
      <w:r>
        <w:rPr>
          <w:spacing w:val="-5"/>
        </w:rPr>
        <w:t xml:space="preserve"> </w:t>
      </w:r>
      <w:r>
        <w:rPr>
          <w:spacing w:val="-2"/>
        </w:rPr>
        <w:t>relative</w:t>
      </w:r>
      <w:r>
        <w:rPr>
          <w:spacing w:val="-4"/>
        </w:rPr>
        <w:t xml:space="preserve"> </w:t>
      </w:r>
      <w:r>
        <w:rPr>
          <w:spacing w:val="-2"/>
        </w:rPr>
        <w:t>to population</w:t>
      </w:r>
      <w:r>
        <w:rPr>
          <w:spacing w:val="-5"/>
        </w:rPr>
        <w:t xml:space="preserve"> </w:t>
      </w:r>
      <w:r>
        <w:rPr>
          <w:spacing w:val="-2"/>
        </w:rPr>
        <w:t>norms</w:t>
      </w:r>
      <w:r>
        <w:rPr>
          <w:spacing w:val="-5"/>
        </w:rPr>
        <w:t xml:space="preserve"> </w:t>
      </w:r>
      <w:r>
        <w:rPr>
          <w:spacing w:val="-2"/>
        </w:rPr>
        <w:t>is</w:t>
      </w:r>
      <w:r>
        <w:rPr>
          <w:spacing w:val="-4"/>
        </w:rPr>
        <w:t xml:space="preserve"> </w:t>
      </w:r>
      <w:r>
        <w:rPr>
          <w:spacing w:val="-2"/>
        </w:rPr>
        <w:t>given</w:t>
      </w:r>
      <w:r>
        <w:rPr>
          <w:spacing w:val="-5"/>
        </w:rPr>
        <w:t xml:space="preserve"> </w:t>
      </w:r>
      <w:r>
        <w:rPr>
          <w:spacing w:val="-2"/>
        </w:rPr>
        <w:t>to</w:t>
      </w:r>
      <w:r>
        <w:rPr>
          <w:spacing w:val="-4"/>
        </w:rPr>
        <w:t xml:space="preserve"> </w:t>
      </w:r>
      <w:r>
        <w:rPr>
          <w:spacing w:val="-2"/>
        </w:rPr>
        <w:t>clients</w:t>
      </w:r>
      <w:r>
        <w:rPr>
          <w:spacing w:val="-3"/>
        </w:rPr>
        <w:t xml:space="preserve"> </w:t>
      </w:r>
      <w:r>
        <w:rPr>
          <w:spacing w:val="-2"/>
        </w:rPr>
        <w:t>after</w:t>
      </w:r>
      <w:r>
        <w:rPr>
          <w:spacing w:val="-5"/>
        </w:rPr>
        <w:t xml:space="preserve"> </w:t>
      </w:r>
      <w:r>
        <w:rPr>
          <w:spacing w:val="-2"/>
        </w:rPr>
        <w:t>substance</w:t>
      </w:r>
      <w:r>
        <w:rPr>
          <w:spacing w:val="-4"/>
        </w:rPr>
        <w:t xml:space="preserve"> </w:t>
      </w:r>
      <w:r>
        <w:rPr>
          <w:spacing w:val="-2"/>
        </w:rPr>
        <w:t>use</w:t>
      </w:r>
      <w:r>
        <w:rPr>
          <w:spacing w:val="-3"/>
        </w:rPr>
        <w:t xml:space="preserve"> </w:t>
      </w:r>
      <w:r>
        <w:rPr>
          <w:spacing w:val="-2"/>
        </w:rPr>
        <w:t>assessment.</w:t>
      </w:r>
    </w:p>
    <w:p w14:paraId="4615EA59" w14:textId="77777777" w:rsidR="00DB6E1F" w:rsidRDefault="00F666A6">
      <w:pPr>
        <w:pStyle w:val="ListParagraph"/>
        <w:numPr>
          <w:ilvl w:val="0"/>
          <w:numId w:val="92"/>
        </w:numPr>
        <w:tabs>
          <w:tab w:val="left" w:pos="1799"/>
          <w:tab w:val="left" w:pos="1800"/>
        </w:tabs>
        <w:spacing w:before="61"/>
        <w:ind w:left="1799"/>
        <w:rPr>
          <w:rFonts w:ascii="Symbol" w:hAnsi="Symbol"/>
        </w:rPr>
      </w:pPr>
      <w:r>
        <w:rPr>
          <w:b/>
        </w:rPr>
        <w:t>R</w:t>
      </w:r>
      <w:r>
        <w:t>esponsibility</w:t>
      </w:r>
      <w:r>
        <w:rPr>
          <w:spacing w:val="-3"/>
        </w:rPr>
        <w:t xml:space="preserve"> </w:t>
      </w:r>
      <w:r>
        <w:t>for</w:t>
      </w:r>
      <w:r>
        <w:rPr>
          <w:spacing w:val="-3"/>
        </w:rPr>
        <w:t xml:space="preserve"> </w:t>
      </w:r>
      <w:r>
        <w:t>change</w:t>
      </w:r>
      <w:r>
        <w:rPr>
          <w:spacing w:val="-5"/>
        </w:rPr>
        <w:t xml:space="preserve"> </w:t>
      </w:r>
      <w:r>
        <w:t>is</w:t>
      </w:r>
      <w:r>
        <w:rPr>
          <w:spacing w:val="-6"/>
        </w:rPr>
        <w:t xml:space="preserve"> </w:t>
      </w:r>
      <w:r>
        <w:t>placed</w:t>
      </w:r>
      <w:r>
        <w:rPr>
          <w:spacing w:val="-4"/>
        </w:rPr>
        <w:t xml:space="preserve"> </w:t>
      </w:r>
      <w:r>
        <w:t>with</w:t>
      </w:r>
      <w:r>
        <w:rPr>
          <w:spacing w:val="-4"/>
        </w:rPr>
        <w:t xml:space="preserve"> </w:t>
      </w:r>
      <w:r>
        <w:t>the</w:t>
      </w:r>
      <w:r>
        <w:rPr>
          <w:spacing w:val="-5"/>
        </w:rPr>
        <w:t xml:space="preserve"> </w:t>
      </w:r>
      <w:r>
        <w:rPr>
          <w:spacing w:val="-2"/>
        </w:rPr>
        <w:t>client.</w:t>
      </w:r>
    </w:p>
    <w:p w14:paraId="51CC3AA3" w14:textId="77777777" w:rsidR="00DB6E1F" w:rsidRDefault="00F666A6">
      <w:pPr>
        <w:pStyle w:val="ListParagraph"/>
        <w:numPr>
          <w:ilvl w:val="0"/>
          <w:numId w:val="92"/>
        </w:numPr>
        <w:tabs>
          <w:tab w:val="left" w:pos="1799"/>
          <w:tab w:val="left" w:pos="1800"/>
        </w:tabs>
        <w:ind w:left="1799"/>
        <w:rPr>
          <w:rFonts w:ascii="Symbol" w:hAnsi="Symbol"/>
        </w:rPr>
      </w:pPr>
      <w:r>
        <w:rPr>
          <w:b/>
        </w:rPr>
        <w:t>A</w:t>
      </w:r>
      <w:r>
        <w:t>dvice</w:t>
      </w:r>
      <w:r>
        <w:rPr>
          <w:spacing w:val="-8"/>
        </w:rPr>
        <w:t xml:space="preserve"> </w:t>
      </w:r>
      <w:r>
        <w:t>about</w:t>
      </w:r>
      <w:r>
        <w:rPr>
          <w:spacing w:val="-5"/>
        </w:rPr>
        <w:t xml:space="preserve"> </w:t>
      </w:r>
      <w:r>
        <w:t>changing</w:t>
      </w:r>
      <w:r>
        <w:rPr>
          <w:spacing w:val="-4"/>
        </w:rPr>
        <w:t xml:space="preserve"> </w:t>
      </w:r>
      <w:r>
        <w:t>the</w:t>
      </w:r>
      <w:r>
        <w:rPr>
          <w:spacing w:val="-5"/>
        </w:rPr>
        <w:t xml:space="preserve"> </w:t>
      </w:r>
      <w:r>
        <w:t>client’s</w:t>
      </w:r>
      <w:r>
        <w:rPr>
          <w:spacing w:val="-4"/>
        </w:rPr>
        <w:t xml:space="preserve"> </w:t>
      </w:r>
      <w:r>
        <w:t>substance</w:t>
      </w:r>
      <w:r>
        <w:rPr>
          <w:spacing w:val="-3"/>
        </w:rPr>
        <w:t xml:space="preserve"> </w:t>
      </w:r>
      <w:r>
        <w:t>use</w:t>
      </w:r>
      <w:r>
        <w:rPr>
          <w:spacing w:val="-2"/>
        </w:rPr>
        <w:t xml:space="preserve"> </w:t>
      </w:r>
      <w:r>
        <w:t>is</w:t>
      </w:r>
      <w:r>
        <w:rPr>
          <w:spacing w:val="-4"/>
        </w:rPr>
        <w:t xml:space="preserve"> </w:t>
      </w:r>
      <w:r>
        <w:t>given</w:t>
      </w:r>
      <w:r>
        <w:rPr>
          <w:spacing w:val="-5"/>
        </w:rPr>
        <w:t xml:space="preserve"> </w:t>
      </w:r>
      <w:r>
        <w:t>by</w:t>
      </w:r>
      <w:r>
        <w:rPr>
          <w:spacing w:val="-2"/>
        </w:rPr>
        <w:t xml:space="preserve"> </w:t>
      </w:r>
      <w:r>
        <w:t>the</w:t>
      </w:r>
      <w:r>
        <w:rPr>
          <w:spacing w:val="-3"/>
        </w:rPr>
        <w:t xml:space="preserve"> </w:t>
      </w:r>
      <w:r>
        <w:t>counselor</w:t>
      </w:r>
      <w:r>
        <w:rPr>
          <w:spacing w:val="-3"/>
        </w:rPr>
        <w:t xml:space="preserve"> </w:t>
      </w:r>
      <w:r>
        <w:rPr>
          <w:spacing w:val="-2"/>
        </w:rPr>
        <w:t>nonjudgmentally.</w:t>
      </w:r>
    </w:p>
    <w:p w14:paraId="22F2650B" w14:textId="77777777" w:rsidR="00DB6E1F" w:rsidRDefault="00DB6E1F">
      <w:pPr>
        <w:rPr>
          <w:rFonts w:ascii="Symbol" w:hAnsi="Symbol"/>
        </w:rPr>
        <w:sectPr w:rsidR="00DB6E1F">
          <w:headerReference w:type="default" r:id="rId31"/>
          <w:footerReference w:type="default" r:id="rId32"/>
          <w:pgSz w:w="12240" w:h="15840"/>
          <w:pgMar w:top="1200" w:right="0" w:bottom="780" w:left="0" w:header="763" w:footer="585" w:gutter="0"/>
          <w:cols w:space="720"/>
        </w:sectPr>
      </w:pPr>
    </w:p>
    <w:p w14:paraId="481B2B11" w14:textId="77777777" w:rsidR="00DB6E1F" w:rsidRDefault="00DB6E1F">
      <w:pPr>
        <w:pStyle w:val="BodyText"/>
        <w:rPr>
          <w:sz w:val="11"/>
        </w:rPr>
      </w:pPr>
    </w:p>
    <w:p w14:paraId="554FFD5F" w14:textId="77777777" w:rsidR="00DB6E1F" w:rsidRDefault="00F666A6">
      <w:pPr>
        <w:pStyle w:val="ListParagraph"/>
        <w:numPr>
          <w:ilvl w:val="0"/>
          <w:numId w:val="92"/>
        </w:numPr>
        <w:tabs>
          <w:tab w:val="left" w:pos="1800"/>
          <w:tab w:val="left" w:pos="1801"/>
        </w:tabs>
        <w:spacing w:before="101"/>
        <w:ind w:left="1800"/>
        <w:rPr>
          <w:rFonts w:ascii="Symbol" w:hAnsi="Symbol"/>
        </w:rPr>
      </w:pPr>
      <w:r>
        <w:rPr>
          <w:b/>
        </w:rPr>
        <w:t>M</w:t>
      </w:r>
      <w:r>
        <w:t>enu</w:t>
      </w:r>
      <w:r>
        <w:rPr>
          <w:spacing w:val="-6"/>
        </w:rPr>
        <w:t xml:space="preserve"> </w:t>
      </w:r>
      <w:r>
        <w:t>of</w:t>
      </w:r>
      <w:r>
        <w:rPr>
          <w:spacing w:val="-5"/>
        </w:rPr>
        <w:t xml:space="preserve"> </w:t>
      </w:r>
      <w:r>
        <w:t>options</w:t>
      </w:r>
      <w:r>
        <w:rPr>
          <w:spacing w:val="-3"/>
        </w:rPr>
        <w:t xml:space="preserve"> </w:t>
      </w:r>
      <w:r>
        <w:t>and</w:t>
      </w:r>
      <w:r>
        <w:rPr>
          <w:spacing w:val="-4"/>
        </w:rPr>
        <w:t xml:space="preserve"> </w:t>
      </w:r>
      <w:r>
        <w:t>treatment</w:t>
      </w:r>
      <w:r>
        <w:rPr>
          <w:spacing w:val="-4"/>
        </w:rPr>
        <w:t xml:space="preserve"> </w:t>
      </w:r>
      <w:r>
        <w:t>alternatives</w:t>
      </w:r>
      <w:r>
        <w:rPr>
          <w:spacing w:val="-4"/>
        </w:rPr>
        <w:t xml:space="preserve"> </w:t>
      </w:r>
      <w:r>
        <w:t>is</w:t>
      </w:r>
      <w:r>
        <w:rPr>
          <w:spacing w:val="-4"/>
        </w:rPr>
        <w:t xml:space="preserve"> </w:t>
      </w:r>
      <w:r>
        <w:t>offered</w:t>
      </w:r>
      <w:r>
        <w:rPr>
          <w:spacing w:val="-4"/>
        </w:rPr>
        <w:t xml:space="preserve"> </w:t>
      </w:r>
      <w:r>
        <w:t>to</w:t>
      </w:r>
      <w:r>
        <w:rPr>
          <w:spacing w:val="-4"/>
        </w:rPr>
        <w:t xml:space="preserve"> </w:t>
      </w:r>
      <w:r>
        <w:t>the</w:t>
      </w:r>
      <w:r>
        <w:rPr>
          <w:spacing w:val="-3"/>
        </w:rPr>
        <w:t xml:space="preserve"> </w:t>
      </w:r>
      <w:r>
        <w:rPr>
          <w:spacing w:val="-2"/>
        </w:rPr>
        <w:t>client.</w:t>
      </w:r>
    </w:p>
    <w:p w14:paraId="78B80950" w14:textId="77777777" w:rsidR="00DB6E1F" w:rsidRDefault="00F666A6">
      <w:pPr>
        <w:pStyle w:val="ListParagraph"/>
        <w:numPr>
          <w:ilvl w:val="0"/>
          <w:numId w:val="92"/>
        </w:numPr>
        <w:tabs>
          <w:tab w:val="left" w:pos="1800"/>
          <w:tab w:val="left" w:pos="1801"/>
        </w:tabs>
        <w:ind w:left="1800" w:right="2340"/>
        <w:rPr>
          <w:rFonts w:ascii="Symbol" w:hAnsi="Symbol"/>
        </w:rPr>
      </w:pPr>
      <w:r>
        <w:rPr>
          <w:b/>
        </w:rPr>
        <w:t>E</w:t>
      </w:r>
      <w:r>
        <w:t>mpathetic</w:t>
      </w:r>
      <w:r>
        <w:rPr>
          <w:spacing w:val="-4"/>
        </w:rPr>
        <w:t xml:space="preserve"> </w:t>
      </w:r>
      <w:r>
        <w:t>counseling</w:t>
      </w:r>
      <w:r>
        <w:rPr>
          <w:spacing w:val="-4"/>
        </w:rPr>
        <w:t xml:space="preserve"> </w:t>
      </w:r>
      <w:r>
        <w:t>style</w:t>
      </w:r>
      <w:r>
        <w:rPr>
          <w:spacing w:val="-3"/>
        </w:rPr>
        <w:t xml:space="preserve"> </w:t>
      </w:r>
      <w:r>
        <w:t>(i.e.,</w:t>
      </w:r>
      <w:r>
        <w:rPr>
          <w:spacing w:val="-6"/>
        </w:rPr>
        <w:t xml:space="preserve"> </w:t>
      </w:r>
      <w:r>
        <w:t>warmth,</w:t>
      </w:r>
      <w:r>
        <w:rPr>
          <w:spacing w:val="-4"/>
        </w:rPr>
        <w:t xml:space="preserve"> </w:t>
      </w:r>
      <w:r>
        <w:t>respect,</w:t>
      </w:r>
      <w:r>
        <w:rPr>
          <w:spacing w:val="-4"/>
        </w:rPr>
        <w:t xml:space="preserve"> </w:t>
      </w:r>
      <w:r>
        <w:t>an</w:t>
      </w:r>
      <w:r>
        <w:rPr>
          <w:spacing w:val="-7"/>
        </w:rPr>
        <w:t xml:space="preserve"> </w:t>
      </w:r>
      <w:r>
        <w:t>understanding)</w:t>
      </w:r>
      <w:r>
        <w:rPr>
          <w:spacing w:val="-3"/>
        </w:rPr>
        <w:t xml:space="preserve"> </w:t>
      </w:r>
      <w:r>
        <w:t>is</w:t>
      </w:r>
      <w:r>
        <w:rPr>
          <w:spacing w:val="-4"/>
        </w:rPr>
        <w:t xml:space="preserve"> </w:t>
      </w:r>
      <w:r>
        <w:t>demonstrated</w:t>
      </w:r>
      <w:r>
        <w:rPr>
          <w:spacing w:val="-5"/>
        </w:rPr>
        <w:t xml:space="preserve"> </w:t>
      </w:r>
      <w:r>
        <w:t>and emphasized by the counselor.</w:t>
      </w:r>
    </w:p>
    <w:p w14:paraId="474A402B" w14:textId="77777777" w:rsidR="00DB6E1F" w:rsidRDefault="00F666A6">
      <w:pPr>
        <w:pStyle w:val="ListParagraph"/>
        <w:numPr>
          <w:ilvl w:val="0"/>
          <w:numId w:val="92"/>
        </w:numPr>
        <w:tabs>
          <w:tab w:val="left" w:pos="1800"/>
          <w:tab w:val="left" w:pos="1801"/>
        </w:tabs>
        <w:spacing w:before="56"/>
        <w:ind w:left="1800"/>
        <w:rPr>
          <w:rFonts w:ascii="Symbol" w:hAnsi="Symbol"/>
        </w:rPr>
      </w:pPr>
      <w:r>
        <w:rPr>
          <w:b/>
        </w:rPr>
        <w:t>S</w:t>
      </w:r>
      <w:r>
        <w:t>elf-efficacy</w:t>
      </w:r>
      <w:r>
        <w:rPr>
          <w:spacing w:val="-8"/>
        </w:rPr>
        <w:t xml:space="preserve"> </w:t>
      </w:r>
      <w:r>
        <w:t>is</w:t>
      </w:r>
      <w:r>
        <w:rPr>
          <w:spacing w:val="-4"/>
        </w:rPr>
        <w:t xml:space="preserve"> </w:t>
      </w:r>
      <w:r>
        <w:t>supported</w:t>
      </w:r>
      <w:r>
        <w:rPr>
          <w:spacing w:val="-5"/>
        </w:rPr>
        <w:t xml:space="preserve"> </w:t>
      </w:r>
      <w:r>
        <w:t>by</w:t>
      </w:r>
      <w:r>
        <w:rPr>
          <w:spacing w:val="-3"/>
        </w:rPr>
        <w:t xml:space="preserve"> </w:t>
      </w:r>
      <w:r>
        <w:t>the</w:t>
      </w:r>
      <w:r>
        <w:rPr>
          <w:spacing w:val="-7"/>
        </w:rPr>
        <w:t xml:space="preserve"> </w:t>
      </w:r>
      <w:r>
        <w:t>counselor</w:t>
      </w:r>
      <w:r>
        <w:rPr>
          <w:spacing w:val="-6"/>
        </w:rPr>
        <w:t xml:space="preserve"> </w:t>
      </w:r>
      <w:r>
        <w:t>to</w:t>
      </w:r>
      <w:r>
        <w:rPr>
          <w:spacing w:val="-3"/>
        </w:rPr>
        <w:t xml:space="preserve"> </w:t>
      </w:r>
      <w:r>
        <w:t>encourage</w:t>
      </w:r>
      <w:r>
        <w:rPr>
          <w:spacing w:val="-3"/>
        </w:rPr>
        <w:t xml:space="preserve"> </w:t>
      </w:r>
      <w:r>
        <w:t>client</w:t>
      </w:r>
      <w:r>
        <w:rPr>
          <w:spacing w:val="-6"/>
        </w:rPr>
        <w:t xml:space="preserve"> </w:t>
      </w:r>
      <w:r>
        <w:rPr>
          <w:spacing w:val="-2"/>
        </w:rPr>
        <w:t>change.</w:t>
      </w:r>
    </w:p>
    <w:p w14:paraId="068C8013" w14:textId="77777777" w:rsidR="00DB6E1F" w:rsidRDefault="00F666A6">
      <w:pPr>
        <w:pStyle w:val="BodyText"/>
        <w:spacing w:before="164"/>
        <w:ind w:left="1439" w:right="1491"/>
      </w:pPr>
      <w:r>
        <w:t>Since FRAMES was developed, research and clinical experience have expanded and refined elements of this motivational counseling approach. FRAMES is often incorporated into SBIRT interventions. It has also been combined with other interventions and tested i</w:t>
      </w:r>
      <w:r>
        <w:t>n diverse settings and cultural contexts (Aldridge,</w:t>
      </w:r>
      <w:r>
        <w:rPr>
          <w:spacing w:val="-1"/>
        </w:rPr>
        <w:t xml:space="preserve"> </w:t>
      </w:r>
      <w:r>
        <w:t>Linford,</w:t>
      </w:r>
      <w:r>
        <w:rPr>
          <w:spacing w:val="-3"/>
        </w:rPr>
        <w:t xml:space="preserve"> </w:t>
      </w:r>
      <w:r>
        <w:t>&amp;</w:t>
      </w:r>
      <w:r>
        <w:rPr>
          <w:spacing w:val="-3"/>
        </w:rPr>
        <w:t xml:space="preserve"> </w:t>
      </w:r>
      <w:r>
        <w:t>Bray,</w:t>
      </w:r>
      <w:r>
        <w:rPr>
          <w:spacing w:val="-6"/>
        </w:rPr>
        <w:t xml:space="preserve"> </w:t>
      </w:r>
      <w:r>
        <w:t>2017;</w:t>
      </w:r>
      <w:r>
        <w:rPr>
          <w:spacing w:val="-2"/>
        </w:rPr>
        <w:t xml:space="preserve"> </w:t>
      </w:r>
      <w:r>
        <w:t>Manuel</w:t>
      </w:r>
      <w:r>
        <w:rPr>
          <w:spacing w:val="-1"/>
        </w:rPr>
        <w:t xml:space="preserve"> </w:t>
      </w:r>
      <w:r>
        <w:t>et al.,</w:t>
      </w:r>
      <w:r>
        <w:rPr>
          <w:spacing w:val="-3"/>
        </w:rPr>
        <w:t xml:space="preserve"> </w:t>
      </w:r>
      <w:r>
        <w:t>2015;</w:t>
      </w:r>
      <w:r>
        <w:rPr>
          <w:spacing w:val="-2"/>
        </w:rPr>
        <w:t xml:space="preserve"> </w:t>
      </w:r>
      <w:r>
        <w:t>Satre,</w:t>
      </w:r>
      <w:r>
        <w:rPr>
          <w:spacing w:val="-3"/>
        </w:rPr>
        <w:t xml:space="preserve"> </w:t>
      </w:r>
      <w:r>
        <w:t>Manuel,</w:t>
      </w:r>
      <w:r>
        <w:rPr>
          <w:spacing w:val="-3"/>
        </w:rPr>
        <w:t xml:space="preserve"> </w:t>
      </w:r>
      <w:r>
        <w:t>Larios,</w:t>
      </w:r>
      <w:r>
        <w:rPr>
          <w:spacing w:val="-1"/>
        </w:rPr>
        <w:t xml:space="preserve"> </w:t>
      </w:r>
      <w:r>
        <w:t>Steiger,</w:t>
      </w:r>
      <w:r>
        <w:rPr>
          <w:spacing w:val="-1"/>
        </w:rPr>
        <w:t xml:space="preserve"> </w:t>
      </w:r>
      <w:r>
        <w:t>&amp;</w:t>
      </w:r>
      <w:r>
        <w:rPr>
          <w:spacing w:val="-3"/>
        </w:rPr>
        <w:t xml:space="preserve"> </w:t>
      </w:r>
      <w:r>
        <w:t>Satterfield,</w:t>
      </w:r>
      <w:r>
        <w:rPr>
          <w:spacing w:val="-3"/>
        </w:rPr>
        <w:t xml:space="preserve"> </w:t>
      </w:r>
      <w:r>
        <w:t>2015).</w:t>
      </w:r>
    </w:p>
    <w:p w14:paraId="571A1332" w14:textId="77777777" w:rsidR="00DB6E1F" w:rsidRDefault="00DB6E1F">
      <w:pPr>
        <w:pStyle w:val="BodyText"/>
        <w:spacing w:before="5"/>
        <w:rPr>
          <w:sz w:val="16"/>
        </w:rPr>
      </w:pPr>
    </w:p>
    <w:p w14:paraId="1E5F4B25" w14:textId="77777777" w:rsidR="00DB6E1F" w:rsidRDefault="00F666A6">
      <w:pPr>
        <w:pStyle w:val="Heading4"/>
      </w:pPr>
      <w:bookmarkStart w:id="58" w:name="Feedback"/>
      <w:bookmarkEnd w:id="58"/>
      <w:r>
        <w:rPr>
          <w:spacing w:val="-2"/>
        </w:rPr>
        <w:t>Feedback</w:t>
      </w:r>
    </w:p>
    <w:p w14:paraId="48D28616" w14:textId="77777777" w:rsidR="00DB6E1F" w:rsidRDefault="00F666A6">
      <w:pPr>
        <w:pStyle w:val="BodyText"/>
        <w:spacing w:before="83"/>
        <w:ind w:left="1438" w:right="1481" w:firstLine="1"/>
      </w:pPr>
      <w:r>
        <w:rPr>
          <w:b/>
        </w:rPr>
        <w:t xml:space="preserve">Give personalized feedback to clients about their substance use; feedback presented in this way </w:t>
      </w:r>
      <w:r>
        <w:rPr>
          <w:b/>
        </w:rPr>
        <w:t xml:space="preserve">is effective in reducing substance misuse and other health-risk behaviors </w:t>
      </w:r>
      <w:r>
        <w:t xml:space="preserve">(Davis, Houck, Rowell, Benson, &amp; Smith, 2015; DiClemente, Corno, Graydon, Wiprovnick, &amp; Knoblach, 2017; Field et al., 2014; Kahler et al., 2018; McDevitt-Murphy et al., 2014; Walker </w:t>
      </w:r>
      <w:r>
        <w:t>et al., 2017). This type of feedback usually compares a client’s scores or ratings on standard screening or assessment instruments with normative data from a general population or treatment groups. Feedback should address cultural differences and norms rel</w:t>
      </w:r>
      <w:r>
        <w:t>ated to substance misuse. For example, a review of the research on adaptations of BI found that providing</w:t>
      </w:r>
      <w:r>
        <w:rPr>
          <w:spacing w:val="-3"/>
        </w:rPr>
        <w:t xml:space="preserve"> </w:t>
      </w:r>
      <w:r>
        <w:t>feedback</w:t>
      </w:r>
      <w:r>
        <w:rPr>
          <w:spacing w:val="-1"/>
        </w:rPr>
        <w:t xml:space="preserve"> </w:t>
      </w:r>
      <w:r>
        <w:t>specifically</w:t>
      </w:r>
      <w:r>
        <w:rPr>
          <w:spacing w:val="-1"/>
        </w:rPr>
        <w:t xml:space="preserve"> </w:t>
      </w:r>
      <w:r>
        <w:t>related</w:t>
      </w:r>
      <w:r>
        <w:rPr>
          <w:spacing w:val="-3"/>
        </w:rPr>
        <w:t xml:space="preserve"> </w:t>
      </w:r>
      <w:r>
        <w:t>to</w:t>
      </w:r>
      <w:r>
        <w:rPr>
          <w:spacing w:val="-3"/>
        </w:rPr>
        <w:t xml:space="preserve"> </w:t>
      </w:r>
      <w:r>
        <w:t>cultural</w:t>
      </w:r>
      <w:r>
        <w:rPr>
          <w:spacing w:val="-2"/>
        </w:rPr>
        <w:t xml:space="preserve"> </w:t>
      </w:r>
      <w:r>
        <w:t>and</w:t>
      </w:r>
      <w:r>
        <w:rPr>
          <w:spacing w:val="-5"/>
        </w:rPr>
        <w:t xml:space="preserve"> </w:t>
      </w:r>
      <w:r>
        <w:t>social</w:t>
      </w:r>
      <w:r>
        <w:rPr>
          <w:spacing w:val="-2"/>
        </w:rPr>
        <w:t xml:space="preserve"> </w:t>
      </w:r>
      <w:r>
        <w:t>aspects</w:t>
      </w:r>
      <w:r>
        <w:rPr>
          <w:spacing w:val="-4"/>
        </w:rPr>
        <w:t xml:space="preserve"> </w:t>
      </w:r>
      <w:r>
        <w:t>of</w:t>
      </w:r>
      <w:r>
        <w:rPr>
          <w:spacing w:val="-4"/>
        </w:rPr>
        <w:t xml:space="preserve"> </w:t>
      </w:r>
      <w:r>
        <w:t>drinking to</w:t>
      </w:r>
      <w:r>
        <w:rPr>
          <w:spacing w:val="-1"/>
        </w:rPr>
        <w:t xml:space="preserve"> </w:t>
      </w:r>
      <w:r>
        <w:t>Latino</w:t>
      </w:r>
      <w:r>
        <w:rPr>
          <w:spacing w:val="-3"/>
        </w:rPr>
        <w:t xml:space="preserve"> </w:t>
      </w:r>
      <w:r>
        <w:t>clients</w:t>
      </w:r>
      <w:r>
        <w:rPr>
          <w:spacing w:val="-4"/>
        </w:rPr>
        <w:t xml:space="preserve"> </w:t>
      </w:r>
      <w:r>
        <w:t>reduced drinking among these clients to a greater degree than standard feedback (Manuel et al., 2015; Satre et al., 2015).</w:t>
      </w:r>
    </w:p>
    <w:p w14:paraId="4F6EC3F2" w14:textId="77777777" w:rsidR="00DB6E1F" w:rsidRDefault="00DB6E1F">
      <w:pPr>
        <w:pStyle w:val="BodyText"/>
        <w:spacing w:before="3"/>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52325BC6" w14:textId="77777777">
        <w:trPr>
          <w:trHeight w:val="2070"/>
        </w:trPr>
        <w:tc>
          <w:tcPr>
            <w:tcW w:w="9350" w:type="dxa"/>
            <w:shd w:val="clear" w:color="auto" w:fill="E7E6E6"/>
          </w:tcPr>
          <w:p w14:paraId="675FFF77" w14:textId="77777777" w:rsidR="00DB6E1F" w:rsidRDefault="00F666A6">
            <w:pPr>
              <w:pStyle w:val="TableParagraph"/>
              <w:spacing w:before="121"/>
              <w:ind w:left="2486"/>
              <w:rPr>
                <w:b/>
                <w:sz w:val="20"/>
              </w:rPr>
            </w:pPr>
            <w:r>
              <w:rPr>
                <w:b/>
                <w:sz w:val="20"/>
              </w:rPr>
              <w:t>Counselor</w:t>
            </w:r>
            <w:r>
              <w:rPr>
                <w:b/>
                <w:spacing w:val="-9"/>
                <w:sz w:val="20"/>
              </w:rPr>
              <w:t xml:space="preserve"> </w:t>
            </w:r>
            <w:r>
              <w:rPr>
                <w:b/>
                <w:sz w:val="20"/>
              </w:rPr>
              <w:t>Note:</w:t>
            </w:r>
            <w:r>
              <w:rPr>
                <w:b/>
                <w:spacing w:val="-9"/>
                <w:sz w:val="20"/>
              </w:rPr>
              <w:t xml:space="preserve"> </w:t>
            </w:r>
            <w:r>
              <w:rPr>
                <w:b/>
                <w:sz w:val="20"/>
              </w:rPr>
              <w:t>Motivational</w:t>
            </w:r>
            <w:r>
              <w:rPr>
                <w:b/>
                <w:spacing w:val="-10"/>
                <w:sz w:val="20"/>
              </w:rPr>
              <w:t xml:space="preserve"> </w:t>
            </w:r>
            <w:r>
              <w:rPr>
                <w:b/>
                <w:sz w:val="20"/>
              </w:rPr>
              <w:t>Enhancement</w:t>
            </w:r>
            <w:r>
              <w:rPr>
                <w:b/>
                <w:spacing w:val="-9"/>
                <w:sz w:val="20"/>
              </w:rPr>
              <w:t xml:space="preserve"> </w:t>
            </w:r>
            <w:r>
              <w:rPr>
                <w:b/>
                <w:spacing w:val="-2"/>
                <w:sz w:val="20"/>
              </w:rPr>
              <w:t>Therapy</w:t>
            </w:r>
          </w:p>
          <w:p w14:paraId="68D86F4A" w14:textId="77777777" w:rsidR="00DB6E1F" w:rsidRDefault="00F666A6">
            <w:pPr>
              <w:pStyle w:val="TableParagraph"/>
              <w:spacing w:before="121"/>
              <w:rPr>
                <w:sz w:val="20"/>
              </w:rPr>
            </w:pPr>
            <w:r>
              <w:rPr>
                <w:sz w:val="20"/>
              </w:rPr>
              <w:t>Motivational enhancement therapy (MET)</w:t>
            </w:r>
            <w:r>
              <w:rPr>
                <w:spacing w:val="-2"/>
                <w:sz w:val="20"/>
              </w:rPr>
              <w:t xml:space="preserve"> </w:t>
            </w:r>
            <w:r>
              <w:rPr>
                <w:sz w:val="20"/>
              </w:rPr>
              <w:t>is</w:t>
            </w:r>
            <w:r>
              <w:rPr>
                <w:spacing w:val="-1"/>
                <w:sz w:val="20"/>
              </w:rPr>
              <w:t xml:space="preserve"> </w:t>
            </w:r>
            <w:r>
              <w:rPr>
                <w:sz w:val="20"/>
              </w:rPr>
              <w:t>an early offshoot of</w:t>
            </w:r>
            <w:r>
              <w:rPr>
                <w:spacing w:val="-1"/>
                <w:sz w:val="20"/>
              </w:rPr>
              <w:t xml:space="preserve"> </w:t>
            </w:r>
            <w:r>
              <w:rPr>
                <w:sz w:val="20"/>
              </w:rPr>
              <w:t>the</w:t>
            </w:r>
            <w:r>
              <w:rPr>
                <w:spacing w:val="-1"/>
                <w:sz w:val="20"/>
              </w:rPr>
              <w:t xml:space="preserve"> </w:t>
            </w:r>
            <w:r>
              <w:rPr>
                <w:sz w:val="20"/>
              </w:rPr>
              <w:t>“drinker’s</w:t>
            </w:r>
            <w:r>
              <w:rPr>
                <w:spacing w:val="-1"/>
                <w:sz w:val="20"/>
              </w:rPr>
              <w:t xml:space="preserve"> </w:t>
            </w:r>
            <w:r>
              <w:rPr>
                <w:sz w:val="20"/>
              </w:rPr>
              <w:t>check</w:t>
            </w:r>
            <w:r>
              <w:rPr>
                <w:sz w:val="20"/>
              </w:rPr>
              <w:t>-up,” which gave feedback nonjudgmentally to clients about their drinking. MET is a brief motivational counseling approach that provides personalized, neutral, motivational interviewing (MI)-style feedback to clients. Counselors elicit clients’ understandi</w:t>
            </w:r>
            <w:r>
              <w:rPr>
                <w:sz w:val="20"/>
              </w:rPr>
              <w:t>ng</w:t>
            </w:r>
            <w:r>
              <w:rPr>
                <w:spacing w:val="-3"/>
                <w:sz w:val="20"/>
              </w:rPr>
              <w:t xml:space="preserve"> </w:t>
            </w:r>
            <w:r>
              <w:rPr>
                <w:sz w:val="20"/>
              </w:rPr>
              <w:t>of</w:t>
            </w:r>
            <w:r>
              <w:rPr>
                <w:spacing w:val="-4"/>
                <w:sz w:val="20"/>
              </w:rPr>
              <w:t xml:space="preserve"> </w:t>
            </w:r>
            <w:r>
              <w:rPr>
                <w:sz w:val="20"/>
              </w:rPr>
              <w:t>feedback,</w:t>
            </w:r>
            <w:r>
              <w:rPr>
                <w:spacing w:val="-2"/>
                <w:sz w:val="20"/>
              </w:rPr>
              <w:t xml:space="preserve"> </w:t>
            </w:r>
            <w:r>
              <w:rPr>
                <w:sz w:val="20"/>
              </w:rPr>
              <w:t>followed</w:t>
            </w:r>
            <w:r>
              <w:rPr>
                <w:spacing w:val="-2"/>
                <w:sz w:val="20"/>
              </w:rPr>
              <w:t xml:space="preserve"> </w:t>
            </w:r>
            <w:r>
              <w:rPr>
                <w:sz w:val="20"/>
              </w:rPr>
              <w:t>by</w:t>
            </w:r>
            <w:r>
              <w:rPr>
                <w:spacing w:val="-2"/>
                <w:sz w:val="20"/>
              </w:rPr>
              <w:t xml:space="preserve"> </w:t>
            </w:r>
            <w:r>
              <w:rPr>
                <w:sz w:val="20"/>
              </w:rPr>
              <w:t>reflections</w:t>
            </w:r>
            <w:r>
              <w:rPr>
                <w:spacing w:val="-4"/>
                <w:sz w:val="20"/>
              </w:rPr>
              <w:t xml:space="preserve"> </w:t>
            </w:r>
            <w:r>
              <w:rPr>
                <w:sz w:val="20"/>
              </w:rPr>
              <w:t>and</w:t>
            </w:r>
            <w:r>
              <w:rPr>
                <w:spacing w:val="-2"/>
                <w:sz w:val="20"/>
              </w:rPr>
              <w:t xml:space="preserve"> </w:t>
            </w:r>
            <w:r>
              <w:rPr>
                <w:sz w:val="20"/>
              </w:rPr>
              <w:t>listening</w:t>
            </w:r>
            <w:r>
              <w:rPr>
                <w:spacing w:val="-3"/>
                <w:sz w:val="20"/>
              </w:rPr>
              <w:t xml:space="preserve"> </w:t>
            </w:r>
            <w:r>
              <w:rPr>
                <w:sz w:val="20"/>
              </w:rPr>
              <w:t>for</w:t>
            </w:r>
            <w:r>
              <w:rPr>
                <w:spacing w:val="-3"/>
                <w:sz w:val="20"/>
              </w:rPr>
              <w:t xml:space="preserve"> </w:t>
            </w:r>
            <w:r>
              <w:rPr>
                <w:sz w:val="20"/>
              </w:rPr>
              <w:t>signs</w:t>
            </w:r>
            <w:r>
              <w:rPr>
                <w:spacing w:val="-4"/>
                <w:sz w:val="20"/>
              </w:rPr>
              <w:t xml:space="preserve"> </w:t>
            </w:r>
            <w:r>
              <w:rPr>
                <w:sz w:val="20"/>
              </w:rPr>
              <w:t>that</w:t>
            </w:r>
            <w:r>
              <w:rPr>
                <w:spacing w:val="-4"/>
                <w:sz w:val="20"/>
              </w:rPr>
              <w:t xml:space="preserve"> </w:t>
            </w:r>
            <w:r>
              <w:rPr>
                <w:sz w:val="20"/>
              </w:rPr>
              <w:t>clients</w:t>
            </w:r>
            <w:r>
              <w:rPr>
                <w:spacing w:val="-4"/>
                <w:sz w:val="20"/>
              </w:rPr>
              <w:t xml:space="preserve"> </w:t>
            </w:r>
            <w:r>
              <w:rPr>
                <w:sz w:val="20"/>
              </w:rPr>
              <w:t>are</w:t>
            </w:r>
            <w:r>
              <w:rPr>
                <w:spacing w:val="-2"/>
                <w:sz w:val="20"/>
              </w:rPr>
              <w:t xml:space="preserve"> </w:t>
            </w:r>
            <w:r>
              <w:rPr>
                <w:sz w:val="20"/>
              </w:rPr>
              <w:t>considering</w:t>
            </w:r>
            <w:r>
              <w:rPr>
                <w:spacing w:val="-3"/>
                <w:sz w:val="20"/>
              </w:rPr>
              <w:t xml:space="preserve"> </w:t>
            </w:r>
            <w:r>
              <w:rPr>
                <w:sz w:val="20"/>
              </w:rPr>
              <w:t>behavioral changes</w:t>
            </w:r>
            <w:r>
              <w:rPr>
                <w:spacing w:val="-12"/>
                <w:sz w:val="20"/>
              </w:rPr>
              <w:t xml:space="preserve"> </w:t>
            </w:r>
            <w:r>
              <w:rPr>
                <w:sz w:val="20"/>
              </w:rPr>
              <w:t>based</w:t>
            </w:r>
            <w:r>
              <w:rPr>
                <w:spacing w:val="-11"/>
                <w:sz w:val="20"/>
              </w:rPr>
              <w:t xml:space="preserve"> </w:t>
            </w:r>
            <w:r>
              <w:rPr>
                <w:sz w:val="20"/>
              </w:rPr>
              <w:t>on</w:t>
            </w:r>
            <w:r>
              <w:rPr>
                <w:spacing w:val="-11"/>
                <w:sz w:val="20"/>
              </w:rPr>
              <w:t xml:space="preserve"> </w:t>
            </w:r>
            <w:r>
              <w:rPr>
                <w:sz w:val="20"/>
              </w:rPr>
              <w:t>the</w:t>
            </w:r>
            <w:r>
              <w:rPr>
                <w:spacing w:val="-12"/>
                <w:sz w:val="20"/>
              </w:rPr>
              <w:t xml:space="preserve"> </w:t>
            </w:r>
            <w:r>
              <w:rPr>
                <w:sz w:val="20"/>
              </w:rPr>
              <w:t>feedback</w:t>
            </w:r>
            <w:r>
              <w:rPr>
                <w:spacing w:val="-11"/>
                <w:sz w:val="20"/>
              </w:rPr>
              <w:t xml:space="preserve"> </w:t>
            </w:r>
            <w:r>
              <w:rPr>
                <w:sz w:val="20"/>
              </w:rPr>
              <w:t>(Miller</w:t>
            </w:r>
            <w:r>
              <w:rPr>
                <w:spacing w:val="-11"/>
                <w:sz w:val="20"/>
              </w:rPr>
              <w:t xml:space="preserve"> </w:t>
            </w:r>
            <w:r>
              <w:rPr>
                <w:sz w:val="20"/>
              </w:rPr>
              <w:t>&amp;</w:t>
            </w:r>
            <w:r>
              <w:rPr>
                <w:spacing w:val="-12"/>
                <w:sz w:val="20"/>
              </w:rPr>
              <w:t xml:space="preserve"> </w:t>
            </w:r>
            <w:r>
              <w:rPr>
                <w:sz w:val="20"/>
              </w:rPr>
              <w:t>Rollnick,</w:t>
            </w:r>
            <w:r>
              <w:rPr>
                <w:spacing w:val="-11"/>
                <w:sz w:val="20"/>
              </w:rPr>
              <w:t xml:space="preserve"> </w:t>
            </w:r>
            <w:r>
              <w:rPr>
                <w:sz w:val="20"/>
              </w:rPr>
              <w:t>2013).</w:t>
            </w:r>
            <w:r>
              <w:rPr>
                <w:spacing w:val="-11"/>
                <w:sz w:val="20"/>
              </w:rPr>
              <w:t xml:space="preserve"> </w:t>
            </w:r>
            <w:r>
              <w:rPr>
                <w:sz w:val="20"/>
              </w:rPr>
              <w:t>Research</w:t>
            </w:r>
            <w:r>
              <w:rPr>
                <w:spacing w:val="-12"/>
                <w:sz w:val="20"/>
              </w:rPr>
              <w:t xml:space="preserve"> </w:t>
            </w:r>
            <w:r>
              <w:rPr>
                <w:sz w:val="20"/>
              </w:rPr>
              <w:t>on</w:t>
            </w:r>
            <w:r>
              <w:rPr>
                <w:spacing w:val="-11"/>
                <w:sz w:val="20"/>
              </w:rPr>
              <w:t xml:space="preserve"> </w:t>
            </w:r>
            <w:r>
              <w:rPr>
                <w:sz w:val="20"/>
              </w:rPr>
              <w:t>MET</w:t>
            </w:r>
            <w:r>
              <w:rPr>
                <w:spacing w:val="-11"/>
                <w:sz w:val="20"/>
              </w:rPr>
              <w:t xml:space="preserve"> </w:t>
            </w:r>
            <w:r>
              <w:rPr>
                <w:sz w:val="20"/>
              </w:rPr>
              <w:t>shows</w:t>
            </w:r>
            <w:r>
              <w:rPr>
                <w:spacing w:val="-11"/>
                <w:sz w:val="20"/>
              </w:rPr>
              <w:t xml:space="preserve"> </w:t>
            </w:r>
            <w:r>
              <w:rPr>
                <w:sz w:val="20"/>
              </w:rPr>
              <w:t>moderate</w:t>
            </w:r>
            <w:r>
              <w:rPr>
                <w:spacing w:val="-12"/>
                <w:sz w:val="20"/>
              </w:rPr>
              <w:t xml:space="preserve"> </w:t>
            </w:r>
            <w:r>
              <w:rPr>
                <w:sz w:val="20"/>
              </w:rPr>
              <w:t>to</w:t>
            </w:r>
            <w:r>
              <w:rPr>
                <w:spacing w:val="-11"/>
                <w:sz w:val="20"/>
              </w:rPr>
              <w:t xml:space="preserve"> </w:t>
            </w:r>
            <w:r>
              <w:rPr>
                <w:sz w:val="20"/>
              </w:rPr>
              <w:t>strong</w:t>
            </w:r>
            <w:r>
              <w:rPr>
                <w:spacing w:val="-11"/>
                <w:sz w:val="20"/>
              </w:rPr>
              <w:t xml:space="preserve"> </w:t>
            </w:r>
            <w:r>
              <w:rPr>
                <w:sz w:val="20"/>
              </w:rPr>
              <w:t>support</w:t>
            </w:r>
            <w:r>
              <w:rPr>
                <w:spacing w:val="-12"/>
                <w:sz w:val="20"/>
              </w:rPr>
              <w:t xml:space="preserve"> </w:t>
            </w:r>
            <w:r>
              <w:rPr>
                <w:sz w:val="20"/>
              </w:rPr>
              <w:t xml:space="preserve">for </w:t>
            </w:r>
            <w:r>
              <w:rPr>
                <w:spacing w:val="-2"/>
                <w:sz w:val="20"/>
              </w:rPr>
              <w:t>reductions</w:t>
            </w:r>
            <w:r>
              <w:rPr>
                <w:spacing w:val="-3"/>
                <w:sz w:val="20"/>
              </w:rPr>
              <w:t xml:space="preserve"> </w:t>
            </w:r>
            <w:r>
              <w:rPr>
                <w:spacing w:val="-2"/>
                <w:sz w:val="20"/>
              </w:rPr>
              <w:t>in substance</w:t>
            </w:r>
            <w:r>
              <w:rPr>
                <w:spacing w:val="-3"/>
                <w:sz w:val="20"/>
              </w:rPr>
              <w:t xml:space="preserve"> </w:t>
            </w:r>
            <w:r>
              <w:rPr>
                <w:spacing w:val="-2"/>
                <w:sz w:val="20"/>
              </w:rPr>
              <w:t>use</w:t>
            </w:r>
            <w:r>
              <w:rPr>
                <w:spacing w:val="-3"/>
                <w:sz w:val="20"/>
              </w:rPr>
              <w:t xml:space="preserve"> </w:t>
            </w:r>
            <w:r>
              <w:rPr>
                <w:spacing w:val="-2"/>
                <w:sz w:val="20"/>
              </w:rPr>
              <w:t>versus</w:t>
            </w:r>
            <w:r>
              <w:rPr>
                <w:spacing w:val="-3"/>
                <w:sz w:val="20"/>
              </w:rPr>
              <w:t xml:space="preserve"> </w:t>
            </w:r>
            <w:r>
              <w:rPr>
                <w:spacing w:val="-2"/>
                <w:sz w:val="20"/>
              </w:rPr>
              <w:t>no</w:t>
            </w:r>
            <w:r>
              <w:rPr>
                <w:spacing w:val="-4"/>
                <w:sz w:val="20"/>
              </w:rPr>
              <w:t xml:space="preserve"> </w:t>
            </w:r>
            <w:r>
              <w:rPr>
                <w:spacing w:val="-2"/>
                <w:sz w:val="20"/>
              </w:rPr>
              <w:t>intervention (DiClemente</w:t>
            </w:r>
            <w:r>
              <w:rPr>
                <w:spacing w:val="-3"/>
                <w:sz w:val="20"/>
              </w:rPr>
              <w:t xml:space="preserve"> </w:t>
            </w:r>
            <w:r>
              <w:rPr>
                <w:spacing w:val="-2"/>
                <w:sz w:val="20"/>
              </w:rPr>
              <w:t>et al.,</w:t>
            </w:r>
            <w:r>
              <w:rPr>
                <w:spacing w:val="-4"/>
                <w:sz w:val="20"/>
              </w:rPr>
              <w:t xml:space="preserve"> </w:t>
            </w:r>
            <w:r>
              <w:rPr>
                <w:spacing w:val="-2"/>
                <w:sz w:val="20"/>
              </w:rPr>
              <w:t>2017; Lenz,</w:t>
            </w:r>
            <w:r>
              <w:rPr>
                <w:spacing w:val="-4"/>
                <w:sz w:val="20"/>
              </w:rPr>
              <w:t xml:space="preserve"> </w:t>
            </w:r>
            <w:r>
              <w:rPr>
                <w:spacing w:val="-2"/>
                <w:sz w:val="20"/>
              </w:rPr>
              <w:t>Rosenbaum, &amp; Sheperis,</w:t>
            </w:r>
            <w:r>
              <w:rPr>
                <w:spacing w:val="-4"/>
                <w:sz w:val="20"/>
              </w:rPr>
              <w:t xml:space="preserve"> </w:t>
            </w:r>
            <w:r>
              <w:rPr>
                <w:spacing w:val="-2"/>
                <w:sz w:val="20"/>
              </w:rPr>
              <w:t>2016).</w:t>
            </w:r>
          </w:p>
        </w:tc>
      </w:tr>
    </w:tbl>
    <w:p w14:paraId="70F7985D" w14:textId="77777777" w:rsidR="00DB6E1F" w:rsidRDefault="00F666A6">
      <w:pPr>
        <w:pStyle w:val="BodyText"/>
        <w:spacing w:before="158"/>
        <w:ind w:left="1440" w:right="1491"/>
      </w:pPr>
      <w:r>
        <w:t>Presenting</w:t>
      </w:r>
      <w:r>
        <w:rPr>
          <w:spacing w:val="-4"/>
        </w:rPr>
        <w:t xml:space="preserve"> </w:t>
      </w:r>
      <w:r>
        <w:t>and</w:t>
      </w:r>
      <w:r>
        <w:rPr>
          <w:spacing w:val="-4"/>
        </w:rPr>
        <w:t xml:space="preserve"> </w:t>
      </w:r>
      <w:r>
        <w:t>discussing</w:t>
      </w:r>
      <w:r>
        <w:rPr>
          <w:spacing w:val="-3"/>
        </w:rPr>
        <w:t xml:space="preserve"> </w:t>
      </w:r>
      <w:r>
        <w:t>assessment</w:t>
      </w:r>
      <w:r>
        <w:rPr>
          <w:spacing w:val="-5"/>
        </w:rPr>
        <w:t xml:space="preserve"> </w:t>
      </w:r>
      <w:r>
        <w:t>results</w:t>
      </w:r>
      <w:r>
        <w:rPr>
          <w:spacing w:val="-5"/>
        </w:rPr>
        <w:t xml:space="preserve"> </w:t>
      </w:r>
      <w:r>
        <w:t>can</w:t>
      </w:r>
      <w:r>
        <w:rPr>
          <w:spacing w:val="-4"/>
        </w:rPr>
        <w:t xml:space="preserve"> </w:t>
      </w:r>
      <w:r>
        <w:t>enhance</w:t>
      </w:r>
      <w:r>
        <w:rPr>
          <w:spacing w:val="-2"/>
        </w:rPr>
        <w:t xml:space="preserve"> </w:t>
      </w:r>
      <w:r>
        <w:t>client</w:t>
      </w:r>
      <w:r>
        <w:rPr>
          <w:spacing w:val="-5"/>
        </w:rPr>
        <w:t xml:space="preserve"> </w:t>
      </w:r>
      <w:r>
        <w:t>motivation</w:t>
      </w:r>
      <w:r>
        <w:rPr>
          <w:spacing w:val="-4"/>
        </w:rPr>
        <w:t xml:space="preserve"> </w:t>
      </w:r>
      <w:r>
        <w:t>to</w:t>
      </w:r>
      <w:r>
        <w:rPr>
          <w:spacing w:val="-4"/>
        </w:rPr>
        <w:t xml:space="preserve"> </w:t>
      </w:r>
      <w:r>
        <w:t>change</w:t>
      </w:r>
      <w:r>
        <w:rPr>
          <w:spacing w:val="-2"/>
        </w:rPr>
        <w:t xml:space="preserve"> </w:t>
      </w:r>
      <w:r>
        <w:t>health-risk behaviors. Providing personalized feedback is sometimes enough to move clients from</w:t>
      </w:r>
      <w:r>
        <w:t xml:space="preserve"> the Precontemplation stage to Contemplation without additional counseling and guidance.</w:t>
      </w:r>
    </w:p>
    <w:p w14:paraId="659D1507" w14:textId="77777777" w:rsidR="00DB6E1F" w:rsidRDefault="00F666A6">
      <w:pPr>
        <w:pStyle w:val="BodyText"/>
        <w:spacing w:before="161"/>
        <w:ind w:left="1440" w:right="1491" w:hanging="1"/>
      </w:pPr>
      <w:r>
        <w:t>Structure</w:t>
      </w:r>
      <w:r>
        <w:rPr>
          <w:spacing w:val="-1"/>
        </w:rPr>
        <w:t xml:space="preserve"> </w:t>
      </w:r>
      <w:r>
        <w:t>a</w:t>
      </w:r>
      <w:r>
        <w:rPr>
          <w:spacing w:val="-2"/>
        </w:rPr>
        <w:t xml:space="preserve"> </w:t>
      </w:r>
      <w:r>
        <w:t>feedback</w:t>
      </w:r>
      <w:r>
        <w:rPr>
          <w:spacing w:val="-1"/>
        </w:rPr>
        <w:t xml:space="preserve"> </w:t>
      </w:r>
      <w:r>
        <w:t>session</w:t>
      </w:r>
      <w:r>
        <w:rPr>
          <w:spacing w:val="-4"/>
        </w:rPr>
        <w:t xml:space="preserve"> </w:t>
      </w:r>
      <w:r>
        <w:t>thoughtfully.</w:t>
      </w:r>
      <w:r>
        <w:rPr>
          <w:spacing w:val="-3"/>
        </w:rPr>
        <w:t xml:space="preserve"> </w:t>
      </w:r>
      <w:r>
        <w:t>Establish</w:t>
      </w:r>
      <w:r>
        <w:rPr>
          <w:spacing w:val="-3"/>
        </w:rPr>
        <w:t xml:space="preserve"> </w:t>
      </w:r>
      <w:r>
        <w:t>rapport</w:t>
      </w:r>
      <w:r>
        <w:rPr>
          <w:spacing w:val="-1"/>
        </w:rPr>
        <w:t xml:space="preserve"> </w:t>
      </w:r>
      <w:r>
        <w:t>before</w:t>
      </w:r>
      <w:r>
        <w:rPr>
          <w:spacing w:val="-4"/>
        </w:rPr>
        <w:t xml:space="preserve"> </w:t>
      </w:r>
      <w:r>
        <w:t>giving</w:t>
      </w:r>
      <w:r>
        <w:rPr>
          <w:spacing w:val="-3"/>
        </w:rPr>
        <w:t xml:space="preserve"> </w:t>
      </w:r>
      <w:r>
        <w:t>a</w:t>
      </w:r>
      <w:r>
        <w:rPr>
          <w:spacing w:val="-2"/>
        </w:rPr>
        <w:t xml:space="preserve"> </w:t>
      </w:r>
      <w:r>
        <w:t>client</w:t>
      </w:r>
      <w:r>
        <w:rPr>
          <w:spacing w:val="-4"/>
        </w:rPr>
        <w:t xml:space="preserve"> </w:t>
      </w:r>
      <w:r>
        <w:t>his</w:t>
      </w:r>
      <w:r>
        <w:rPr>
          <w:spacing w:val="-2"/>
        </w:rPr>
        <w:t xml:space="preserve"> </w:t>
      </w:r>
      <w:r>
        <w:t>or</w:t>
      </w:r>
      <w:r>
        <w:rPr>
          <w:spacing w:val="-2"/>
        </w:rPr>
        <w:t xml:space="preserve"> </w:t>
      </w:r>
      <w:r>
        <w:t>her</w:t>
      </w:r>
      <w:r>
        <w:rPr>
          <w:spacing w:val="-2"/>
        </w:rPr>
        <w:t xml:space="preserve"> </w:t>
      </w:r>
      <w:r>
        <w:t>score. Strategies to focus the conversation before offering feedback include the following:</w:t>
      </w:r>
    </w:p>
    <w:p w14:paraId="563CA773" w14:textId="77777777" w:rsidR="00DB6E1F" w:rsidRDefault="00F666A6">
      <w:pPr>
        <w:pStyle w:val="ListParagraph"/>
        <w:numPr>
          <w:ilvl w:val="0"/>
          <w:numId w:val="92"/>
        </w:numPr>
        <w:tabs>
          <w:tab w:val="left" w:pos="1800"/>
          <w:tab w:val="left" w:pos="1801"/>
        </w:tabs>
        <w:spacing w:before="59"/>
        <w:ind w:left="1800"/>
        <w:rPr>
          <w:rFonts w:ascii="Symbol" w:hAnsi="Symbol"/>
        </w:rPr>
      </w:pPr>
      <w:r>
        <w:rPr>
          <w:b/>
        </w:rPr>
        <w:t>Express</w:t>
      </w:r>
      <w:r>
        <w:rPr>
          <w:b/>
          <w:spacing w:val="-6"/>
        </w:rPr>
        <w:t xml:space="preserve"> </w:t>
      </w:r>
      <w:r>
        <w:rPr>
          <w:b/>
        </w:rPr>
        <w:t>appreciation</w:t>
      </w:r>
      <w:r>
        <w:rPr>
          <w:b/>
          <w:spacing w:val="-4"/>
        </w:rPr>
        <w:t xml:space="preserve"> </w:t>
      </w:r>
      <w:r>
        <w:t>for</w:t>
      </w:r>
      <w:r>
        <w:rPr>
          <w:spacing w:val="-7"/>
        </w:rPr>
        <w:t xml:space="preserve"> </w:t>
      </w:r>
      <w:r>
        <w:t>the</w:t>
      </w:r>
      <w:r>
        <w:rPr>
          <w:spacing w:val="-3"/>
        </w:rPr>
        <w:t xml:space="preserve"> </w:t>
      </w:r>
      <w:r>
        <w:t>client’s</w:t>
      </w:r>
      <w:r>
        <w:rPr>
          <w:spacing w:val="-4"/>
        </w:rPr>
        <w:t xml:space="preserve"> </w:t>
      </w:r>
      <w:r>
        <w:t>efforts</w:t>
      </w:r>
      <w:r>
        <w:rPr>
          <w:spacing w:val="-6"/>
        </w:rPr>
        <w:t xml:space="preserve"> </w:t>
      </w:r>
      <w:r>
        <w:t>in</w:t>
      </w:r>
      <w:r>
        <w:rPr>
          <w:spacing w:val="-5"/>
        </w:rPr>
        <w:t xml:space="preserve"> </w:t>
      </w:r>
      <w:r>
        <w:t>providing</w:t>
      </w:r>
      <w:r>
        <w:rPr>
          <w:spacing w:val="-5"/>
        </w:rPr>
        <w:t xml:space="preserve"> </w:t>
      </w:r>
      <w:r>
        <w:t>the</w:t>
      </w:r>
      <w:r>
        <w:rPr>
          <w:spacing w:val="-4"/>
        </w:rPr>
        <w:t xml:space="preserve"> </w:t>
      </w:r>
      <w:r>
        <w:rPr>
          <w:spacing w:val="-2"/>
        </w:rPr>
        <w:t>information.</w:t>
      </w:r>
    </w:p>
    <w:p w14:paraId="6FF0D4EB" w14:textId="77777777" w:rsidR="00DB6E1F" w:rsidRDefault="00F666A6">
      <w:pPr>
        <w:pStyle w:val="ListParagraph"/>
        <w:numPr>
          <w:ilvl w:val="0"/>
          <w:numId w:val="92"/>
        </w:numPr>
        <w:tabs>
          <w:tab w:val="left" w:pos="1800"/>
          <w:tab w:val="left" w:pos="1801"/>
        </w:tabs>
        <w:ind w:left="1799" w:right="1772" w:hanging="360"/>
        <w:rPr>
          <w:rFonts w:ascii="Symbol" w:hAnsi="Symbol"/>
        </w:rPr>
      </w:pPr>
      <w:r>
        <w:rPr>
          <w:b/>
        </w:rPr>
        <w:t>Ask</w:t>
      </w:r>
      <w:r>
        <w:rPr>
          <w:b/>
          <w:spacing w:val="-5"/>
        </w:rPr>
        <w:t xml:space="preserve"> </w:t>
      </w:r>
      <w:r>
        <w:rPr>
          <w:b/>
        </w:rPr>
        <w:t>whether</w:t>
      </w:r>
      <w:r>
        <w:rPr>
          <w:b/>
          <w:spacing w:val="-1"/>
        </w:rPr>
        <w:t xml:space="preserve"> </w:t>
      </w:r>
      <w:r>
        <w:rPr>
          <w:b/>
        </w:rPr>
        <w:t>the</w:t>
      </w:r>
      <w:r>
        <w:rPr>
          <w:b/>
          <w:spacing w:val="-5"/>
        </w:rPr>
        <w:t xml:space="preserve"> </w:t>
      </w:r>
      <w:r>
        <w:rPr>
          <w:b/>
        </w:rPr>
        <w:t>client</w:t>
      </w:r>
      <w:r>
        <w:rPr>
          <w:b/>
          <w:spacing w:val="-2"/>
        </w:rPr>
        <w:t xml:space="preserve"> </w:t>
      </w:r>
      <w:r>
        <w:rPr>
          <w:b/>
        </w:rPr>
        <w:t>had</w:t>
      </w:r>
      <w:r>
        <w:rPr>
          <w:b/>
          <w:spacing w:val="-3"/>
        </w:rPr>
        <w:t xml:space="preserve"> </w:t>
      </w:r>
      <w:r>
        <w:rPr>
          <w:b/>
        </w:rPr>
        <w:t>any</w:t>
      </w:r>
      <w:r>
        <w:rPr>
          <w:b/>
          <w:spacing w:val="-1"/>
        </w:rPr>
        <w:t xml:space="preserve"> </w:t>
      </w:r>
      <w:r>
        <w:rPr>
          <w:b/>
        </w:rPr>
        <w:t>difficulties</w:t>
      </w:r>
      <w:r>
        <w:rPr>
          <w:b/>
          <w:spacing w:val="-3"/>
        </w:rPr>
        <w:t xml:space="preserve"> </w:t>
      </w:r>
      <w:r>
        <w:t>with</w:t>
      </w:r>
      <w:r>
        <w:rPr>
          <w:spacing w:val="-3"/>
        </w:rPr>
        <w:t xml:space="preserve"> </w:t>
      </w:r>
      <w:r>
        <w:t>answering</w:t>
      </w:r>
      <w:r>
        <w:rPr>
          <w:spacing w:val="-3"/>
        </w:rPr>
        <w:t xml:space="preserve"> </w:t>
      </w:r>
      <w:r>
        <w:t>questions</w:t>
      </w:r>
      <w:r>
        <w:rPr>
          <w:spacing w:val="-4"/>
        </w:rPr>
        <w:t xml:space="preserve"> </w:t>
      </w:r>
      <w:r>
        <w:t>or</w:t>
      </w:r>
      <w:r>
        <w:rPr>
          <w:spacing w:val="-2"/>
        </w:rPr>
        <w:t xml:space="preserve"> </w:t>
      </w:r>
      <w:r>
        <w:t>filling</w:t>
      </w:r>
      <w:r>
        <w:rPr>
          <w:spacing w:val="-5"/>
        </w:rPr>
        <w:t xml:space="preserve"> </w:t>
      </w:r>
      <w:r>
        <w:t>out</w:t>
      </w:r>
      <w:r>
        <w:rPr>
          <w:spacing w:val="-1"/>
        </w:rPr>
        <w:t xml:space="preserve"> </w:t>
      </w:r>
      <w:r>
        <w:t>forms.</w:t>
      </w:r>
      <w:r>
        <w:rPr>
          <w:spacing w:val="-2"/>
        </w:rPr>
        <w:t xml:space="preserve"> </w:t>
      </w:r>
      <w:r>
        <w:t>Explore specific questions that might need clarification.</w:t>
      </w:r>
    </w:p>
    <w:p w14:paraId="05253C07" w14:textId="77777777" w:rsidR="00DB6E1F" w:rsidRDefault="00F666A6">
      <w:pPr>
        <w:pStyle w:val="ListParagraph"/>
        <w:numPr>
          <w:ilvl w:val="0"/>
          <w:numId w:val="92"/>
        </w:numPr>
        <w:tabs>
          <w:tab w:val="left" w:pos="1799"/>
          <w:tab w:val="left" w:pos="1800"/>
        </w:tabs>
        <w:spacing w:before="61"/>
        <w:ind w:left="1799"/>
        <w:rPr>
          <w:rFonts w:ascii="Symbol" w:hAnsi="Symbol"/>
        </w:rPr>
      </w:pPr>
      <w:r>
        <w:rPr>
          <w:b/>
        </w:rPr>
        <w:t>Make</w:t>
      </w:r>
      <w:r>
        <w:rPr>
          <w:b/>
          <w:spacing w:val="-7"/>
        </w:rPr>
        <w:t xml:space="preserve"> </w:t>
      </w:r>
      <w:r>
        <w:rPr>
          <w:b/>
        </w:rPr>
        <w:t>clear</w:t>
      </w:r>
      <w:r>
        <w:rPr>
          <w:b/>
          <w:spacing w:val="-3"/>
        </w:rPr>
        <w:t xml:space="preserve"> </w:t>
      </w:r>
      <w:r>
        <w:rPr>
          <w:b/>
        </w:rPr>
        <w:t>that</w:t>
      </w:r>
      <w:r>
        <w:rPr>
          <w:b/>
          <w:spacing w:val="-5"/>
        </w:rPr>
        <w:t xml:space="preserve"> </w:t>
      </w:r>
      <w:r>
        <w:rPr>
          <w:b/>
        </w:rPr>
        <w:t>you</w:t>
      </w:r>
      <w:r>
        <w:rPr>
          <w:b/>
          <w:spacing w:val="-5"/>
        </w:rPr>
        <w:t xml:space="preserve"> </w:t>
      </w:r>
      <w:r>
        <w:rPr>
          <w:b/>
        </w:rPr>
        <w:t>may</w:t>
      </w:r>
      <w:r>
        <w:rPr>
          <w:b/>
          <w:spacing w:val="-3"/>
        </w:rPr>
        <w:t xml:space="preserve"> </w:t>
      </w:r>
      <w:r>
        <w:rPr>
          <w:b/>
        </w:rPr>
        <w:t>need</w:t>
      </w:r>
      <w:r>
        <w:rPr>
          <w:b/>
          <w:spacing w:val="-4"/>
        </w:rPr>
        <w:t xml:space="preserve"> </w:t>
      </w:r>
      <w:r>
        <w:rPr>
          <w:b/>
        </w:rPr>
        <w:t>the</w:t>
      </w:r>
      <w:r>
        <w:rPr>
          <w:b/>
          <w:spacing w:val="-5"/>
        </w:rPr>
        <w:t xml:space="preserve"> </w:t>
      </w:r>
      <w:r>
        <w:rPr>
          <w:b/>
        </w:rPr>
        <w:t>client’s</w:t>
      </w:r>
      <w:r>
        <w:rPr>
          <w:b/>
          <w:spacing w:val="-2"/>
        </w:rPr>
        <w:t xml:space="preserve"> </w:t>
      </w:r>
      <w:r>
        <w:rPr>
          <w:b/>
        </w:rPr>
        <w:t>help</w:t>
      </w:r>
      <w:r>
        <w:rPr>
          <w:b/>
          <w:spacing w:val="-5"/>
        </w:rPr>
        <w:t xml:space="preserve"> </w:t>
      </w:r>
      <w:r>
        <w:t>to</w:t>
      </w:r>
      <w:r>
        <w:rPr>
          <w:spacing w:val="-3"/>
        </w:rPr>
        <w:t xml:space="preserve"> </w:t>
      </w:r>
      <w:r>
        <w:t>interpret</w:t>
      </w:r>
      <w:r>
        <w:rPr>
          <w:spacing w:val="-5"/>
        </w:rPr>
        <w:t xml:space="preserve"> </w:t>
      </w:r>
      <w:r>
        <w:t>the</w:t>
      </w:r>
      <w:r>
        <w:rPr>
          <w:spacing w:val="-3"/>
        </w:rPr>
        <w:t xml:space="preserve"> </w:t>
      </w:r>
      <w:r>
        <w:t>findings</w:t>
      </w:r>
      <w:r>
        <w:rPr>
          <w:spacing w:val="-3"/>
        </w:rPr>
        <w:t xml:space="preserve"> </w:t>
      </w:r>
      <w:r>
        <w:rPr>
          <w:spacing w:val="-2"/>
        </w:rPr>
        <w:t>accurately.</w:t>
      </w:r>
    </w:p>
    <w:p w14:paraId="007C8761" w14:textId="77777777" w:rsidR="00DB6E1F" w:rsidRDefault="00F666A6">
      <w:pPr>
        <w:pStyle w:val="ListParagraph"/>
        <w:numPr>
          <w:ilvl w:val="0"/>
          <w:numId w:val="92"/>
        </w:numPr>
        <w:tabs>
          <w:tab w:val="left" w:pos="1799"/>
          <w:tab w:val="left" w:pos="1800"/>
        </w:tabs>
        <w:spacing w:before="58"/>
        <w:ind w:left="1799" w:right="1463"/>
        <w:rPr>
          <w:rFonts w:ascii="Symbol" w:hAnsi="Symbol"/>
        </w:rPr>
      </w:pPr>
      <w:r>
        <w:rPr>
          <w:b/>
        </w:rPr>
        <w:t>Encourage</w:t>
      </w:r>
      <w:r>
        <w:rPr>
          <w:b/>
          <w:spacing w:val="-2"/>
        </w:rPr>
        <w:t xml:space="preserve"> </w:t>
      </w:r>
      <w:r>
        <w:rPr>
          <w:b/>
        </w:rPr>
        <w:t>questions:</w:t>
      </w:r>
      <w:r>
        <w:rPr>
          <w:b/>
          <w:spacing w:val="-2"/>
        </w:rPr>
        <w:t xml:space="preserve"> </w:t>
      </w:r>
      <w:r>
        <w:t>“I’ll</w:t>
      </w:r>
      <w:r>
        <w:rPr>
          <w:spacing w:val="-4"/>
        </w:rPr>
        <w:t xml:space="preserve"> </w:t>
      </w:r>
      <w:r>
        <w:t>be giving</w:t>
      </w:r>
      <w:r>
        <w:rPr>
          <w:spacing w:val="-2"/>
        </w:rPr>
        <w:t xml:space="preserve"> </w:t>
      </w:r>
      <w:r>
        <w:t>you</w:t>
      </w:r>
      <w:r>
        <w:rPr>
          <w:spacing w:val="-2"/>
        </w:rPr>
        <w:t xml:space="preserve"> </w:t>
      </w:r>
      <w:r>
        <w:t>lots</w:t>
      </w:r>
      <w:r>
        <w:rPr>
          <w:spacing w:val="-3"/>
        </w:rPr>
        <w:t xml:space="preserve"> </w:t>
      </w:r>
      <w:r>
        <w:t>of</w:t>
      </w:r>
      <w:r>
        <w:rPr>
          <w:spacing w:val="-1"/>
        </w:rPr>
        <w:t xml:space="preserve"> </w:t>
      </w:r>
      <w:r>
        <w:t>information.</w:t>
      </w:r>
      <w:r>
        <w:rPr>
          <w:spacing w:val="-4"/>
        </w:rPr>
        <w:t xml:space="preserve"> </w:t>
      </w:r>
      <w:r>
        <w:t>Please</w:t>
      </w:r>
      <w:r>
        <w:rPr>
          <w:spacing w:val="-1"/>
        </w:rPr>
        <w:t xml:space="preserve"> </w:t>
      </w:r>
      <w:r>
        <w:t>stop</w:t>
      </w:r>
      <w:r>
        <w:rPr>
          <w:spacing w:val="-4"/>
        </w:rPr>
        <w:t xml:space="preserve"> </w:t>
      </w:r>
      <w:r>
        <w:t>me</w:t>
      </w:r>
      <w:r>
        <w:rPr>
          <w:spacing w:val="-1"/>
        </w:rPr>
        <w:t xml:space="preserve"> </w:t>
      </w:r>
      <w:r>
        <w:t>if</w:t>
      </w:r>
      <w:r>
        <w:rPr>
          <w:spacing w:val="-4"/>
        </w:rPr>
        <w:t xml:space="preserve"> </w:t>
      </w:r>
      <w:r>
        <w:t>you have a</w:t>
      </w:r>
      <w:r>
        <w:rPr>
          <w:spacing w:val="-3"/>
        </w:rPr>
        <w:t xml:space="preserve"> </w:t>
      </w:r>
      <w:r>
        <w:t>question</w:t>
      </w:r>
      <w:r>
        <w:rPr>
          <w:spacing w:val="-3"/>
        </w:rPr>
        <w:t xml:space="preserve"> </w:t>
      </w:r>
      <w:r>
        <w:t>or don</w:t>
      </w:r>
      <w:r>
        <w:t>’t understand something. We have plenty of time today or in the next session, if needed.”</w:t>
      </w:r>
    </w:p>
    <w:p w14:paraId="44623582" w14:textId="77777777" w:rsidR="00DB6E1F" w:rsidRDefault="00F666A6">
      <w:pPr>
        <w:pStyle w:val="ListParagraph"/>
        <w:numPr>
          <w:ilvl w:val="0"/>
          <w:numId w:val="92"/>
        </w:numPr>
        <w:tabs>
          <w:tab w:val="left" w:pos="1799"/>
          <w:tab w:val="left" w:pos="1800"/>
        </w:tabs>
        <w:ind w:left="1799" w:right="1647"/>
        <w:rPr>
          <w:rFonts w:ascii="Symbol" w:hAnsi="Symbol"/>
        </w:rPr>
      </w:pPr>
      <w:r>
        <w:rPr>
          <w:b/>
        </w:rPr>
        <w:t>Stress</w:t>
      </w:r>
      <w:r>
        <w:rPr>
          <w:b/>
          <w:spacing w:val="-4"/>
        </w:rPr>
        <w:t xml:space="preserve"> </w:t>
      </w:r>
      <w:r>
        <w:rPr>
          <w:b/>
        </w:rPr>
        <w:t>that</w:t>
      </w:r>
      <w:r>
        <w:rPr>
          <w:b/>
          <w:spacing w:val="-3"/>
        </w:rPr>
        <w:t xml:space="preserve"> </w:t>
      </w:r>
      <w:r>
        <w:rPr>
          <w:b/>
        </w:rPr>
        <w:t>the</w:t>
      </w:r>
      <w:r>
        <w:rPr>
          <w:b/>
          <w:spacing w:val="-3"/>
        </w:rPr>
        <w:t xml:space="preserve"> </w:t>
      </w:r>
      <w:r>
        <w:rPr>
          <w:b/>
        </w:rPr>
        <w:t>instruments</w:t>
      </w:r>
      <w:r>
        <w:rPr>
          <w:b/>
          <w:spacing w:val="-2"/>
        </w:rPr>
        <w:t xml:space="preserve"> </w:t>
      </w:r>
      <w:r>
        <w:rPr>
          <w:b/>
        </w:rPr>
        <w:t>provides</w:t>
      </w:r>
      <w:r>
        <w:rPr>
          <w:b/>
          <w:spacing w:val="-2"/>
        </w:rPr>
        <w:t xml:space="preserve"> </w:t>
      </w:r>
      <w:r>
        <w:rPr>
          <w:b/>
        </w:rPr>
        <w:t>objective</w:t>
      </w:r>
      <w:r>
        <w:rPr>
          <w:b/>
          <w:spacing w:val="-4"/>
        </w:rPr>
        <w:t xml:space="preserve"> </w:t>
      </w:r>
      <w:r>
        <w:rPr>
          <w:b/>
        </w:rPr>
        <w:t>data.</w:t>
      </w:r>
      <w:r>
        <w:rPr>
          <w:b/>
          <w:spacing w:val="-4"/>
        </w:rPr>
        <w:t xml:space="preserve"> </w:t>
      </w:r>
      <w:r>
        <w:t>Give</w:t>
      </w:r>
      <w:r>
        <w:rPr>
          <w:spacing w:val="-5"/>
        </w:rPr>
        <w:t xml:space="preserve"> </w:t>
      </w:r>
      <w:r>
        <w:t>some</w:t>
      </w:r>
      <w:r>
        <w:rPr>
          <w:spacing w:val="-5"/>
        </w:rPr>
        <w:t xml:space="preserve"> </w:t>
      </w:r>
      <w:r>
        <w:t>background,</w:t>
      </w:r>
      <w:r>
        <w:rPr>
          <w:spacing w:val="-3"/>
        </w:rPr>
        <w:t xml:space="preserve"> </w:t>
      </w:r>
      <w:r>
        <w:t>if</w:t>
      </w:r>
      <w:r>
        <w:rPr>
          <w:spacing w:val="-3"/>
        </w:rPr>
        <w:t xml:space="preserve"> </w:t>
      </w:r>
      <w:r>
        <w:t>appropriate,</w:t>
      </w:r>
      <w:r>
        <w:rPr>
          <w:spacing w:val="-3"/>
        </w:rPr>
        <w:t xml:space="preserve"> </w:t>
      </w:r>
      <w:r>
        <w:t>about how the tests are standardized for all populations and how widely they are used.</w:t>
      </w:r>
    </w:p>
    <w:p w14:paraId="06AB8895" w14:textId="77777777" w:rsidR="00DB6E1F" w:rsidRDefault="00F666A6">
      <w:pPr>
        <w:pStyle w:val="BodyText"/>
        <w:spacing w:before="164" w:line="237" w:lineRule="auto"/>
        <w:ind w:left="1439" w:right="1444"/>
      </w:pPr>
      <w:r>
        <w:t>When</w:t>
      </w:r>
      <w:r>
        <w:rPr>
          <w:spacing w:val="-3"/>
        </w:rPr>
        <w:t xml:space="preserve"> </w:t>
      </w:r>
      <w:r>
        <w:t>you</w:t>
      </w:r>
      <w:r>
        <w:rPr>
          <w:spacing w:val="-3"/>
        </w:rPr>
        <w:t xml:space="preserve"> </w:t>
      </w:r>
      <w:r>
        <w:t>provide</w:t>
      </w:r>
      <w:r>
        <w:rPr>
          <w:spacing w:val="-3"/>
        </w:rPr>
        <w:t xml:space="preserve"> </w:t>
      </w:r>
      <w:r>
        <w:t>feedback,</w:t>
      </w:r>
      <w:r>
        <w:rPr>
          <w:spacing w:val="-2"/>
        </w:rPr>
        <w:t xml:space="preserve"> </w:t>
      </w:r>
      <w:r>
        <w:t>show</w:t>
      </w:r>
      <w:r>
        <w:rPr>
          <w:spacing w:val="-1"/>
        </w:rPr>
        <w:t xml:space="preserve"> </w:t>
      </w:r>
      <w:r>
        <w:t>the</w:t>
      </w:r>
      <w:r>
        <w:rPr>
          <w:spacing w:val="-1"/>
        </w:rPr>
        <w:t xml:space="preserve"> </w:t>
      </w:r>
      <w:r>
        <w:t>client</w:t>
      </w:r>
      <w:r>
        <w:rPr>
          <w:spacing w:val="-2"/>
        </w:rPr>
        <w:t xml:space="preserve"> </w:t>
      </w:r>
      <w:r>
        <w:t>his</w:t>
      </w:r>
      <w:r>
        <w:rPr>
          <w:spacing w:val="-4"/>
        </w:rPr>
        <w:t xml:space="preserve"> </w:t>
      </w:r>
      <w:r>
        <w:t>or</w:t>
      </w:r>
      <w:r>
        <w:rPr>
          <w:spacing w:val="-2"/>
        </w:rPr>
        <w:t xml:space="preserve"> </w:t>
      </w:r>
      <w:r>
        <w:t>her</w:t>
      </w:r>
      <w:r>
        <w:rPr>
          <w:spacing w:val="-2"/>
        </w:rPr>
        <w:t xml:space="preserve"> </w:t>
      </w:r>
      <w:r>
        <w:t>score</w:t>
      </w:r>
      <w:r>
        <w:rPr>
          <w:spacing w:val="-4"/>
        </w:rPr>
        <w:t xml:space="preserve"> </w:t>
      </w:r>
      <w:r>
        <w:t>on</w:t>
      </w:r>
      <w:r>
        <w:rPr>
          <w:spacing w:val="-3"/>
        </w:rPr>
        <w:t xml:space="preserve"> </w:t>
      </w:r>
      <w:r>
        <w:t>any</w:t>
      </w:r>
      <w:r>
        <w:rPr>
          <w:spacing w:val="-3"/>
        </w:rPr>
        <w:t xml:space="preserve"> </w:t>
      </w:r>
      <w:r>
        <w:t>screening</w:t>
      </w:r>
      <w:r>
        <w:rPr>
          <w:spacing w:val="-3"/>
        </w:rPr>
        <w:t xml:space="preserve"> </w:t>
      </w:r>
      <w:r>
        <w:t>or</w:t>
      </w:r>
      <w:r>
        <w:rPr>
          <w:spacing w:val="-4"/>
        </w:rPr>
        <w:t xml:space="preserve"> </w:t>
      </w:r>
      <w:r>
        <w:t>assessment</w:t>
      </w:r>
      <w:r>
        <w:rPr>
          <w:spacing w:val="-1"/>
        </w:rPr>
        <w:t xml:space="preserve"> </w:t>
      </w:r>
      <w:r>
        <w:t xml:space="preserve">instrument and explain what the score means. Exhibit 2.1 is a sample feedback </w:t>
      </w:r>
      <w:r>
        <w:t>handout to share with a client after</w:t>
      </w:r>
    </w:p>
    <w:p w14:paraId="7DA37E96" w14:textId="77777777" w:rsidR="00DB6E1F" w:rsidRDefault="00DB6E1F">
      <w:pPr>
        <w:spacing w:line="237" w:lineRule="auto"/>
        <w:sectPr w:rsidR="00DB6E1F">
          <w:pgSz w:w="12240" w:h="15840"/>
          <w:pgMar w:top="1200" w:right="0" w:bottom="780" w:left="0" w:header="763" w:footer="585" w:gutter="0"/>
          <w:cols w:space="720"/>
        </w:sectPr>
      </w:pPr>
    </w:p>
    <w:p w14:paraId="043C451F" w14:textId="77777777" w:rsidR="00DB6E1F" w:rsidRDefault="00DB6E1F">
      <w:pPr>
        <w:pStyle w:val="BodyText"/>
        <w:spacing w:before="8"/>
        <w:rPr>
          <w:sz w:val="14"/>
        </w:rPr>
      </w:pPr>
    </w:p>
    <w:p w14:paraId="173456DC" w14:textId="77777777" w:rsidR="00DB6E1F" w:rsidRDefault="00F666A6">
      <w:pPr>
        <w:pStyle w:val="BodyText"/>
        <w:spacing w:before="56"/>
        <w:ind w:left="1440" w:right="1491"/>
      </w:pPr>
      <w:r>
        <w:t>completing</w:t>
      </w:r>
      <w:r>
        <w:rPr>
          <w:spacing w:val="-3"/>
        </w:rPr>
        <w:t xml:space="preserve"> </w:t>
      </w:r>
      <w:r>
        <w:t>the</w:t>
      </w:r>
      <w:r>
        <w:rPr>
          <w:spacing w:val="-2"/>
        </w:rPr>
        <w:t xml:space="preserve"> </w:t>
      </w:r>
      <w:r>
        <w:t>Alcohol</w:t>
      </w:r>
      <w:r>
        <w:rPr>
          <w:spacing w:val="-5"/>
        </w:rPr>
        <w:t xml:space="preserve"> </w:t>
      </w:r>
      <w:r>
        <w:t>Use</w:t>
      </w:r>
      <w:r>
        <w:rPr>
          <w:spacing w:val="-2"/>
        </w:rPr>
        <w:t xml:space="preserve"> </w:t>
      </w:r>
      <w:r>
        <w:t>Disorders</w:t>
      </w:r>
      <w:r>
        <w:rPr>
          <w:spacing w:val="-4"/>
        </w:rPr>
        <w:t xml:space="preserve"> </w:t>
      </w:r>
      <w:r>
        <w:t>Identification</w:t>
      </w:r>
      <w:r>
        <w:rPr>
          <w:spacing w:val="-5"/>
        </w:rPr>
        <w:t xml:space="preserve"> </w:t>
      </w:r>
      <w:r>
        <w:t>Test</w:t>
      </w:r>
      <w:r>
        <w:rPr>
          <w:spacing w:val="-2"/>
        </w:rPr>
        <w:t xml:space="preserve"> </w:t>
      </w:r>
      <w:r>
        <w:t>(AUDIT).</w:t>
      </w:r>
      <w:r>
        <w:rPr>
          <w:spacing w:val="-5"/>
        </w:rPr>
        <w:t xml:space="preserve"> </w:t>
      </w:r>
      <w:r>
        <w:t>Appendix</w:t>
      </w:r>
      <w:r>
        <w:rPr>
          <w:spacing w:val="-2"/>
        </w:rPr>
        <w:t xml:space="preserve"> </w:t>
      </w:r>
      <w:r>
        <w:t>B</w:t>
      </w:r>
      <w:r>
        <w:rPr>
          <w:spacing w:val="-3"/>
        </w:rPr>
        <w:t xml:space="preserve"> </w:t>
      </w:r>
      <w:r>
        <w:t>presents</w:t>
      </w:r>
      <w:r>
        <w:rPr>
          <w:spacing w:val="-4"/>
        </w:rPr>
        <w:t xml:space="preserve"> </w:t>
      </w:r>
      <w:r>
        <w:t>the</w:t>
      </w:r>
      <w:r>
        <w:rPr>
          <w:spacing w:val="-2"/>
        </w:rPr>
        <w:t xml:space="preserve"> </w:t>
      </w:r>
      <w:r>
        <w:t>U.S</w:t>
      </w:r>
      <w:r>
        <w:rPr>
          <w:spacing w:val="-3"/>
        </w:rPr>
        <w:t xml:space="preserve"> </w:t>
      </w:r>
      <w:r>
        <w:t>AUDIT questionnaire and scoring instructions.</w:t>
      </w:r>
    </w:p>
    <w:p w14:paraId="4DF4E9EC" w14:textId="77777777" w:rsidR="00DB6E1F" w:rsidRDefault="00DB6E1F">
      <w:pPr>
        <w:pStyle w:val="BodyText"/>
        <w:spacing w:before="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4764"/>
      </w:tblGrid>
      <w:tr w:rsidR="00DB6E1F" w14:paraId="00770133" w14:textId="77777777">
        <w:trPr>
          <w:trHeight w:val="505"/>
        </w:trPr>
        <w:tc>
          <w:tcPr>
            <w:tcW w:w="9350" w:type="dxa"/>
            <w:gridSpan w:val="2"/>
            <w:shd w:val="clear" w:color="auto" w:fill="050505"/>
          </w:tcPr>
          <w:p w14:paraId="47BEDED2" w14:textId="77777777" w:rsidR="00DB6E1F" w:rsidRDefault="00F666A6">
            <w:pPr>
              <w:pStyle w:val="TableParagraph"/>
              <w:spacing w:before="105"/>
              <w:ind w:left="210"/>
              <w:rPr>
                <w:sz w:val="24"/>
              </w:rPr>
            </w:pPr>
            <w:r>
              <w:rPr>
                <w:color w:val="FFFFFF"/>
                <w:sz w:val="24"/>
              </w:rPr>
              <w:t>Exhibit</w:t>
            </w:r>
            <w:r>
              <w:rPr>
                <w:color w:val="FFFFFF"/>
                <w:spacing w:val="-2"/>
                <w:sz w:val="24"/>
              </w:rPr>
              <w:t xml:space="preserve"> </w:t>
            </w:r>
            <w:r>
              <w:rPr>
                <w:color w:val="FFFFFF"/>
                <w:sz w:val="24"/>
              </w:rPr>
              <w:t>2.1.</w:t>
            </w:r>
            <w:r>
              <w:rPr>
                <w:color w:val="FFFFFF"/>
                <w:spacing w:val="-4"/>
                <w:sz w:val="24"/>
              </w:rPr>
              <w:t xml:space="preserve"> </w:t>
            </w:r>
            <w:r>
              <w:rPr>
                <w:color w:val="FFFFFF"/>
                <w:sz w:val="24"/>
              </w:rPr>
              <w:t>The</w:t>
            </w:r>
            <w:r>
              <w:rPr>
                <w:color w:val="FFFFFF"/>
                <w:spacing w:val="-1"/>
                <w:sz w:val="24"/>
              </w:rPr>
              <w:t xml:space="preserve"> </w:t>
            </w:r>
            <w:r>
              <w:rPr>
                <w:color w:val="FFFFFF"/>
                <w:sz w:val="24"/>
              </w:rPr>
              <w:t>Drinker’s</w:t>
            </w:r>
            <w:r>
              <w:rPr>
                <w:color w:val="FFFFFF"/>
                <w:spacing w:val="-3"/>
                <w:sz w:val="24"/>
              </w:rPr>
              <w:t xml:space="preserve"> </w:t>
            </w:r>
            <w:r>
              <w:rPr>
                <w:color w:val="FFFFFF"/>
                <w:sz w:val="24"/>
              </w:rPr>
              <w:t>Pyramid</w:t>
            </w:r>
            <w:r>
              <w:rPr>
                <w:color w:val="FFFFFF"/>
                <w:spacing w:val="-1"/>
                <w:sz w:val="24"/>
              </w:rPr>
              <w:t xml:space="preserve"> </w:t>
            </w:r>
            <w:r>
              <w:rPr>
                <w:color w:val="FFFFFF"/>
                <w:spacing w:val="-2"/>
                <w:sz w:val="24"/>
              </w:rPr>
              <w:t>Feedback</w:t>
            </w:r>
          </w:p>
        </w:tc>
      </w:tr>
      <w:tr w:rsidR="00DB6E1F" w14:paraId="6C799514" w14:textId="77777777">
        <w:trPr>
          <w:trHeight w:val="5824"/>
        </w:trPr>
        <w:tc>
          <w:tcPr>
            <w:tcW w:w="9350" w:type="dxa"/>
            <w:gridSpan w:val="2"/>
          </w:tcPr>
          <w:p w14:paraId="7075AC02" w14:textId="77777777" w:rsidR="00DB6E1F" w:rsidRDefault="00F666A6">
            <w:pPr>
              <w:pStyle w:val="TableParagraph"/>
              <w:rPr>
                <w:sz w:val="20"/>
              </w:rPr>
            </w:pPr>
            <w:r>
              <w:rPr>
                <w:sz w:val="20"/>
              </w:rPr>
              <w:t>The AUDIT questionnaire was developed by the World Health Organization to assess alcohol consumption, drinking behaviors, and alcohol-related problems. Your AUDIT</w:t>
            </w:r>
            <w:r>
              <w:rPr>
                <w:spacing w:val="-1"/>
                <w:sz w:val="20"/>
              </w:rPr>
              <w:t xml:space="preserve"> </w:t>
            </w:r>
            <w:r>
              <w:rPr>
                <w:sz w:val="20"/>
              </w:rPr>
              <w:t>score</w:t>
            </w:r>
            <w:r>
              <w:rPr>
                <w:spacing w:val="-1"/>
                <w:sz w:val="20"/>
              </w:rPr>
              <w:t xml:space="preserve"> </w:t>
            </w:r>
            <w:r>
              <w:rPr>
                <w:sz w:val="20"/>
              </w:rPr>
              <w:t>shows</w:t>
            </w:r>
            <w:r>
              <w:rPr>
                <w:spacing w:val="-1"/>
                <w:sz w:val="20"/>
              </w:rPr>
              <w:t xml:space="preserve"> </w:t>
            </w:r>
            <w:r>
              <w:rPr>
                <w:sz w:val="20"/>
              </w:rPr>
              <w:t>the</w:t>
            </w:r>
            <w:r>
              <w:rPr>
                <w:spacing w:val="-1"/>
                <w:sz w:val="20"/>
              </w:rPr>
              <w:t xml:space="preserve"> </w:t>
            </w:r>
            <w:r>
              <w:rPr>
                <w:sz w:val="20"/>
              </w:rPr>
              <w:t>level of</w:t>
            </w:r>
            <w:r>
              <w:rPr>
                <w:spacing w:val="-1"/>
                <w:sz w:val="20"/>
              </w:rPr>
              <w:t xml:space="preserve"> </w:t>
            </w:r>
            <w:r>
              <w:rPr>
                <w:sz w:val="20"/>
              </w:rPr>
              <w:t>health-related risks</w:t>
            </w:r>
            <w:r>
              <w:rPr>
                <w:spacing w:val="-1"/>
                <w:sz w:val="20"/>
              </w:rPr>
              <w:t xml:space="preserve"> </w:t>
            </w:r>
            <w:r>
              <w:rPr>
                <w:sz w:val="20"/>
              </w:rPr>
              <w:t>and other</w:t>
            </w:r>
            <w:r>
              <w:rPr>
                <w:spacing w:val="-4"/>
                <w:sz w:val="20"/>
              </w:rPr>
              <w:t xml:space="preserve"> </w:t>
            </w:r>
            <w:r>
              <w:rPr>
                <w:sz w:val="20"/>
              </w:rPr>
              <w:t>problems</w:t>
            </w:r>
            <w:r>
              <w:rPr>
                <w:spacing w:val="-5"/>
                <w:sz w:val="20"/>
              </w:rPr>
              <w:t xml:space="preserve"> </w:t>
            </w:r>
            <w:r>
              <w:rPr>
                <w:sz w:val="20"/>
              </w:rPr>
              <w:t>associated</w:t>
            </w:r>
            <w:r>
              <w:rPr>
                <w:spacing w:val="-3"/>
                <w:sz w:val="20"/>
              </w:rPr>
              <w:t xml:space="preserve"> </w:t>
            </w:r>
            <w:r>
              <w:rPr>
                <w:sz w:val="20"/>
              </w:rPr>
              <w:t>with</w:t>
            </w:r>
            <w:r>
              <w:rPr>
                <w:spacing w:val="-3"/>
                <w:sz w:val="20"/>
              </w:rPr>
              <w:t xml:space="preserve"> </w:t>
            </w:r>
            <w:r>
              <w:rPr>
                <w:sz w:val="20"/>
              </w:rPr>
              <w:t>your</w:t>
            </w:r>
            <w:r>
              <w:rPr>
                <w:spacing w:val="-4"/>
                <w:sz w:val="20"/>
              </w:rPr>
              <w:t xml:space="preserve"> </w:t>
            </w:r>
            <w:r>
              <w:rPr>
                <w:sz w:val="20"/>
              </w:rPr>
              <w:t>drinkin</w:t>
            </w:r>
            <w:r>
              <w:rPr>
                <w:sz w:val="20"/>
              </w:rPr>
              <w:t>g.</w:t>
            </w:r>
            <w:r>
              <w:rPr>
                <w:spacing w:val="-4"/>
                <w:sz w:val="20"/>
              </w:rPr>
              <w:t xml:space="preserve"> </w:t>
            </w:r>
            <w:r>
              <w:rPr>
                <w:sz w:val="20"/>
              </w:rPr>
              <w:t>Higher</w:t>
            </w:r>
            <w:r>
              <w:rPr>
                <w:spacing w:val="-4"/>
                <w:sz w:val="20"/>
              </w:rPr>
              <w:t xml:space="preserve"> </w:t>
            </w:r>
            <w:r>
              <w:rPr>
                <w:sz w:val="20"/>
              </w:rPr>
              <w:t>scores</w:t>
            </w:r>
            <w:r>
              <w:rPr>
                <w:spacing w:val="-5"/>
                <w:sz w:val="20"/>
              </w:rPr>
              <w:t xml:space="preserve"> </w:t>
            </w:r>
            <w:r>
              <w:rPr>
                <w:sz w:val="20"/>
              </w:rPr>
              <w:t>can</w:t>
            </w:r>
            <w:r>
              <w:rPr>
                <w:spacing w:val="-3"/>
                <w:sz w:val="20"/>
              </w:rPr>
              <w:t xml:space="preserve"> </w:t>
            </w:r>
            <w:r>
              <w:rPr>
                <w:sz w:val="20"/>
              </w:rPr>
              <w:t>reflect</w:t>
            </w:r>
            <w:r>
              <w:rPr>
                <w:spacing w:val="-4"/>
                <w:sz w:val="20"/>
              </w:rPr>
              <w:t xml:space="preserve"> </w:t>
            </w:r>
            <w:r>
              <w:rPr>
                <w:sz w:val="20"/>
              </w:rPr>
              <w:t>more</w:t>
            </w:r>
            <w:r>
              <w:rPr>
                <w:spacing w:val="-5"/>
                <w:sz w:val="20"/>
              </w:rPr>
              <w:t xml:space="preserve"> </w:t>
            </w:r>
            <w:r>
              <w:rPr>
                <w:sz w:val="20"/>
              </w:rPr>
              <w:t>serious</w:t>
            </w:r>
            <w:r>
              <w:rPr>
                <w:spacing w:val="-5"/>
                <w:sz w:val="20"/>
              </w:rPr>
              <w:t xml:space="preserve"> </w:t>
            </w:r>
            <w:r>
              <w:rPr>
                <w:sz w:val="20"/>
              </w:rPr>
              <w:t>alcohol-related</w:t>
            </w:r>
            <w:r>
              <w:rPr>
                <w:spacing w:val="-3"/>
                <w:sz w:val="20"/>
              </w:rPr>
              <w:t xml:space="preserve"> </w:t>
            </w:r>
            <w:r>
              <w:rPr>
                <w:sz w:val="20"/>
              </w:rPr>
              <w:t>problems. AUD refers to an alcohol use disorder as defined by the American Psychiatric Association (2013).</w:t>
            </w:r>
          </w:p>
          <w:p w14:paraId="6D54C88E" w14:textId="77777777" w:rsidR="00DB6E1F" w:rsidRDefault="00DB6E1F">
            <w:pPr>
              <w:pStyle w:val="TableParagraph"/>
              <w:spacing w:before="11"/>
              <w:ind w:left="0"/>
              <w:rPr>
                <w:sz w:val="12"/>
              </w:rPr>
            </w:pPr>
          </w:p>
          <w:p w14:paraId="689ED051" w14:textId="77777777" w:rsidR="00DB6E1F" w:rsidRDefault="00F666A6">
            <w:pPr>
              <w:pStyle w:val="TableParagraph"/>
              <w:spacing w:before="0"/>
              <w:ind w:left="108"/>
              <w:rPr>
                <w:sz w:val="20"/>
              </w:rPr>
            </w:pPr>
            <w:r>
              <w:rPr>
                <w:sz w:val="20"/>
              </w:rPr>
            </w:r>
            <w:r>
              <w:rPr>
                <w:sz w:val="20"/>
              </w:rPr>
              <w:pict w14:anchorId="53E246E6">
                <v:group id="docshapegroup46" o:spid="_x0000_s2184" style="width:315.65pt;height:169.3pt;mso-position-horizontal-relative:char;mso-position-vertical-relative:line" coordsize="6313,3386">
                  <v:line id="_x0000_s2230" style="position:absolute" from="1368,2153" to="4809,2153" strokecolor="#b0bac4" strokeweight=".68803mm"/>
                  <v:line id="_x0000_s2229" style="position:absolute" from="2014,1336" to="4209,1336" strokecolor="#8896a6" strokeweight=".68803mm"/>
                  <v:line id="_x0000_s2228" style="position:absolute" from="2584,634" to="3642,634" strokecolor="#627283" strokeweight=".68803mm"/>
                  <v:shape id="docshape47" o:spid="_x0000_s2227" style="position:absolute;left:2492;top:187;width:1251;height:797" coordorigin="2493,188" coordsize="1251,797" path="m3119,188l2493,984r1251,l3119,188xe" fillcolor="#627283" stroked="f">
                    <v:path arrowok="t"/>
                  </v:shape>
                  <v:shape id="docshape48" o:spid="_x0000_s2226" style="position:absolute;left:1866;top:984;width:2504;height:797" coordorigin="1866,984" coordsize="2504,797" path="m3744,984r-1251,l1866,1781r2504,l3744,984xe" fillcolor="#7e8d9e" stroked="f">
                    <v:path arrowok="t"/>
                  </v:shape>
                  <v:shape id="docshape49" o:spid="_x0000_s2225" style="position:absolute;left:1866;top:984;width:2504;height:797" coordorigin="1866,984" coordsize="2504,797" path="m1866,1781l2493,984r1251,l4370,1781r-2504,xe" filled="f" strokecolor="white" strokeweight=".41278mm">
                    <v:path arrowok="t"/>
                  </v:shape>
                  <v:shape id="docshape50" o:spid="_x0000_s2224" style="position:absolute;left:1865;top:983;width:2504;height:797" coordorigin="1866,983" coordsize="2504,797" path="m1866,1780l2492,983r1251,l4369,1780r-2503,xe" filled="f" strokecolor="white" strokeweight=".19053mm">
                    <v:path arrowok="t"/>
                  </v:shape>
                  <v:shape id="docshape51" o:spid="_x0000_s2223" style="position:absolute;left:1238;top:1780;width:3757;height:797" coordorigin="1238,1781" coordsize="3757,797" path="m4370,1781r-2505,l1238,2577r3757,l4370,1781xe" fillcolor="#b0bac4" stroked="f">
                    <v:path arrowok="t"/>
                  </v:shape>
                  <v:shape id="docshape52" o:spid="_x0000_s2222" style="position:absolute;left:1238;top:1780;width:3757;height:797" coordorigin="1238,1781" coordsize="3757,797" path="m1238,2577r627,-796l4370,1781r625,796l1238,2577xe" filled="f" strokecolor="white" strokeweight=".4145mm">
                    <v:path arrowok="t"/>
                  </v:shape>
                  <v:shape id="docshape53" o:spid="_x0000_s2221" style="position:absolute;left:1237;top:1779;width:3757;height:797" coordorigin="1238,1780" coordsize="3757,797" path="m1238,2576r626,-796l4369,1780r625,796l1238,2576xe" filled="f" strokecolor="white" strokeweight=".19131mm">
                    <v:path arrowok="t"/>
                  </v:shape>
                  <v:line id="_x0000_s2220" style="position:absolute" from="765,2954" to="5465,2954" strokecolor="#e9e9e9" strokeweight=".68803mm"/>
                  <v:shape id="docshape54" o:spid="_x0000_s2219" style="position:absolute;left:613;top:2577;width:5009;height:797" coordorigin="614,2577" coordsize="5009,797" path="m4996,2577r-3756,l614,3374r5009,l4996,2577xe" fillcolor="#d6dbe0" stroked="f">
                    <v:path arrowok="t"/>
                  </v:shape>
                  <v:shape id="docshape55" o:spid="_x0000_s2218" style="position:absolute;left:613;top:2577;width:5009;height:797" coordorigin="614,2577" coordsize="5009,797" path="m614,3374r626,-797l4996,2577r627,797l614,3374xe" filled="f" strokecolor="white" strokeweight=".41514mm">
                    <v:path arrowok="t"/>
                  </v:shape>
                  <v:shape id="docshape56" o:spid="_x0000_s2217" style="position:absolute;left:613;top:2576;width:5009;height:797" coordorigin="613,2576" coordsize="5009,797" path="m613,3373r626,-797l4995,2576r627,797l613,3373xe" filled="f" strokecolor="white" strokeweight=".19161mm">
                    <v:path arrowok="t"/>
                  </v:shape>
                  <v:shape id="docshape57" o:spid="_x0000_s2216" type="#_x0000_t75" style="position:absolute;left:2252;top:531;width:288;height:178">
                    <v:imagedata r:id="rId33" o:title=""/>
                  </v:shape>
                  <v:shape id="docshape58" o:spid="_x0000_s2215" type="#_x0000_t75" style="position:absolute;left:2068;top:1;width:748;height:178">
                    <v:imagedata r:id="rId34" o:title=""/>
                  </v:shape>
                  <v:shape id="docshape59" o:spid="_x0000_s2214" type="#_x0000_t75" style="position:absolute;left:3475;width:655;height:178">
                    <v:imagedata r:id="rId35" o:title=""/>
                  </v:shape>
                  <v:shape id="docshape60" o:spid="_x0000_s2213" type="#_x0000_t75" style="position:absolute;left:2867;top:533;width:482;height:372">
                    <v:imagedata r:id="rId36" o:title=""/>
                  </v:shape>
                  <v:shape id="docshape61" o:spid="_x0000_s2212" type="#_x0000_t75" style="position:absolute;left:2867;top:1224;width:482;height:372">
                    <v:imagedata r:id="rId37" o:title=""/>
                  </v:shape>
                  <v:shape id="docshape62" o:spid="_x0000_s2211" type="#_x0000_t75" style="position:absolute;left:2857;top:1982;width:482;height:371">
                    <v:imagedata r:id="rId38" o:title=""/>
                  </v:shape>
                  <v:shape id="docshape63" o:spid="_x0000_s2210" type="#_x0000_t75" style="position:absolute;left:2862;top:2788;width:482;height:372">
                    <v:imagedata r:id="rId39" o:title=""/>
                  </v:shape>
                  <v:shape id="docshape64" o:spid="_x0000_s2209" type="#_x0000_t75" style="position:absolute;left:1573;top:1235;width:235;height:176">
                    <v:imagedata r:id="rId40" o:title=""/>
                  </v:shape>
                  <v:shape id="docshape65" o:spid="_x0000_s2208" type="#_x0000_t75" style="position:absolute;left:1631;top:1235;width:226;height:176">
                    <v:imagedata r:id="rId41" o:title=""/>
                  </v:shape>
                  <v:shape id="docshape66" o:spid="_x0000_s2207" type="#_x0000_t75" style="position:absolute;left:1681;top:1235;width:321;height:176">
                    <v:imagedata r:id="rId42" o:title=""/>
                  </v:shape>
                  <v:shape id="docshape67" o:spid="_x0000_s2206" type="#_x0000_t75" style="position:absolute;left:569;top:1928;width:162;height:280">
                    <v:imagedata r:id="rId43" o:title=""/>
                  </v:shape>
                  <v:shape id="docshape68" o:spid="_x0000_s2205" type="#_x0000_t75" style="position:absolute;left:569;top:1928;width:211;height:280">
                    <v:imagedata r:id="rId44" o:title=""/>
                  </v:shape>
                  <v:shape id="docshape69" o:spid="_x0000_s2204" type="#_x0000_t75" style="position:absolute;left:604;top:1928;width:823;height:280">
                    <v:imagedata r:id="rId45" o:title=""/>
                  </v:shape>
                  <v:shape id="docshape70" o:spid="_x0000_s2203" type="#_x0000_t75" style="position:absolute;left:569;top:2050;width:162;height:233">
                    <v:imagedata r:id="rId46" o:title=""/>
                  </v:shape>
                  <v:shape id="docshape71" o:spid="_x0000_s2202" type="#_x0000_t75" style="position:absolute;left:569;top:2050;width:211;height:233">
                    <v:imagedata r:id="rId47" o:title=""/>
                  </v:shape>
                  <v:shape id="docshape72" o:spid="_x0000_s2201" type="#_x0000_t75" style="position:absolute;left:604;top:2050;width:613;height:233">
                    <v:imagedata r:id="rId48" o:title=""/>
                  </v:shape>
                  <v:shape id="docshape73" o:spid="_x0000_s2200" type="#_x0000_t75" style="position:absolute;top:2695;width:162;height:280">
                    <v:imagedata r:id="rId49" o:title=""/>
                  </v:shape>
                  <v:shape id="docshape74" o:spid="_x0000_s2199" type="#_x0000_t75" style="position:absolute;top:2695;width:211;height:280">
                    <v:imagedata r:id="rId50" o:title=""/>
                  </v:shape>
                  <v:shape id="docshape75" o:spid="_x0000_s2198" type="#_x0000_t75" style="position:absolute;left:34;top:2695;width:750;height:280">
                    <v:imagedata r:id="rId51" o:title=""/>
                  </v:shape>
                  <v:shape id="docshape76" o:spid="_x0000_s2197" type="#_x0000_t75" style="position:absolute;top:2817;width:162;height:233">
                    <v:imagedata r:id="rId52" o:title=""/>
                  </v:shape>
                  <v:shape id="docshape77" o:spid="_x0000_s2196" type="#_x0000_t75" style="position:absolute;top:2817;width:211;height:233">
                    <v:imagedata r:id="rId53" o:title=""/>
                  </v:shape>
                  <v:shape id="docshape78" o:spid="_x0000_s2195" type="#_x0000_t75" style="position:absolute;left:34;top:2817;width:540;height:233">
                    <v:imagedata r:id="rId54" o:title=""/>
                  </v:shape>
                  <v:shape id="docshape79" o:spid="_x0000_s2194" type="#_x0000_t75" style="position:absolute;left:3679;top:529;width:378;height:178">
                    <v:imagedata r:id="rId55" o:title=""/>
                  </v:shape>
                  <v:shape id="docshape80" o:spid="_x0000_s2193" type="#_x0000_t75" style="position:absolute;left:3880;top:529;width:226;height:178">
                    <v:imagedata r:id="rId56" o:title=""/>
                  </v:shape>
                  <v:shape id="docshape81" o:spid="_x0000_s2192" type="#_x0000_t75" style="position:absolute;left:3930;top:529;width:805;height:178">
                    <v:imagedata r:id="rId57" o:title=""/>
                  </v:shape>
                  <v:shape id="docshape82" o:spid="_x0000_s2191" type="#_x0000_t75" style="position:absolute;left:4184;top:1137;width:971;height:280">
                    <v:imagedata r:id="rId58" o:title=""/>
                  </v:shape>
                  <v:shape id="docshape83" o:spid="_x0000_s2190" type="#_x0000_t75" style="position:absolute;left:4302;top:1259;width:853;height:233">
                    <v:imagedata r:id="rId59" o:title=""/>
                  </v:shape>
                  <v:shape id="docshape84" o:spid="_x0000_s2189" type="#_x0000_t75" style="position:absolute;left:4776;top:1944;width:731;height:280">
                    <v:imagedata r:id="rId60" o:title=""/>
                  </v:shape>
                  <v:shape id="docshape85" o:spid="_x0000_s2188" type="#_x0000_t75" style="position:absolute;left:4854;top:2066;width:992;height:233">
                    <v:imagedata r:id="rId61" o:title=""/>
                  </v:shape>
                  <v:shape id="docshape86" o:spid="_x0000_s2187" type="#_x0000_t75" style="position:absolute;left:5432;top:2851;width:424;height:178">
                    <v:imagedata r:id="rId62" o:title=""/>
                  </v:shape>
                  <v:shape id="docshape87" o:spid="_x0000_s2186" type="#_x0000_t75" style="position:absolute;left:5721;top:2851;width:226;height:178">
                    <v:imagedata r:id="rId41" o:title=""/>
                  </v:shape>
                  <v:shape id="docshape88" o:spid="_x0000_s2185" type="#_x0000_t75" style="position:absolute;left:5771;top:2851;width:542;height:178">
                    <v:imagedata r:id="rId63" o:title=""/>
                  </v:shape>
                  <w10:wrap type="none"/>
                  <w10:anchorlock/>
                </v:group>
              </w:pict>
            </w:r>
          </w:p>
          <w:p w14:paraId="2FAAA073" w14:textId="77777777" w:rsidR="00DB6E1F" w:rsidRDefault="00DB6E1F">
            <w:pPr>
              <w:pStyle w:val="TableParagraph"/>
              <w:spacing w:before="6"/>
              <w:ind w:left="0"/>
              <w:rPr>
                <w:sz w:val="5"/>
              </w:rPr>
            </w:pPr>
          </w:p>
          <w:p w14:paraId="3FDA1A45" w14:textId="77777777" w:rsidR="00DB6E1F" w:rsidRDefault="00F666A6">
            <w:pPr>
              <w:pStyle w:val="TableParagraph"/>
              <w:spacing w:before="0" w:line="176" w:lineRule="exact"/>
              <w:ind w:left="1714"/>
              <w:rPr>
                <w:sz w:val="17"/>
              </w:rPr>
            </w:pPr>
            <w:r>
              <w:rPr>
                <w:noProof/>
                <w:position w:val="-3"/>
                <w:sz w:val="17"/>
              </w:rPr>
              <w:drawing>
                <wp:inline distT="0" distB="0" distL="0" distR="0" wp14:anchorId="2AC6BBCC" wp14:editId="251F5D93">
                  <wp:extent cx="1891483" cy="112204"/>
                  <wp:effectExtent l="0" t="0" r="0" b="0"/>
                  <wp:docPr id="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9.png"/>
                          <pic:cNvPicPr/>
                        </pic:nvPicPr>
                        <pic:blipFill>
                          <a:blip r:embed="rId64" cstate="print"/>
                          <a:stretch>
                            <a:fillRect/>
                          </a:stretch>
                        </pic:blipFill>
                        <pic:spPr>
                          <a:xfrm>
                            <a:off x="0" y="0"/>
                            <a:ext cx="1891483" cy="112204"/>
                          </a:xfrm>
                          <a:prstGeom prst="rect">
                            <a:avLst/>
                          </a:prstGeom>
                        </pic:spPr>
                      </pic:pic>
                    </a:graphicData>
                  </a:graphic>
                </wp:inline>
              </w:drawing>
            </w:r>
          </w:p>
          <w:p w14:paraId="2D2E8F47" w14:textId="77777777" w:rsidR="00DB6E1F" w:rsidRDefault="00DB6E1F">
            <w:pPr>
              <w:pStyle w:val="TableParagraph"/>
              <w:spacing w:before="3" w:after="1"/>
              <w:ind w:left="0"/>
              <w:rPr>
                <w:sz w:val="9"/>
              </w:rPr>
            </w:pPr>
          </w:p>
          <w:p w14:paraId="6E3B51D5" w14:textId="77777777" w:rsidR="00DB6E1F" w:rsidRDefault="00F666A6">
            <w:pPr>
              <w:pStyle w:val="TableParagraph"/>
              <w:spacing w:before="0"/>
              <w:ind w:left="2808"/>
              <w:rPr>
                <w:sz w:val="20"/>
              </w:rPr>
            </w:pPr>
            <w:r>
              <w:rPr>
                <w:sz w:val="20"/>
              </w:rPr>
            </w:r>
            <w:r>
              <w:rPr>
                <w:sz w:val="20"/>
              </w:rPr>
              <w:pict w14:anchorId="4F85D6D7">
                <v:group id="docshapegroup89" o:spid="_x0000_s2181" style="width:40.2pt;height:26.7pt;mso-position-horizontal-relative:char;mso-position-vertical-relative:line" coordsize="804,534">
                  <v:rect id="docshape90" o:spid="_x0000_s2183" style="position:absolute;left:5;top:5;width:793;height:523" filled="f" strokecolor="#627283" strokeweight=".18708mm"/>
                  <v:shape id="docshape91" o:spid="_x0000_s2182" type="#_x0000_t75" style="position:absolute;left:10;top:30;width:785;height:280">
                    <v:imagedata r:id="rId65" o:title=""/>
                  </v:shape>
                  <w10:wrap type="none"/>
                  <w10:anchorlock/>
                </v:group>
              </w:pict>
            </w:r>
          </w:p>
          <w:p w14:paraId="74BF5DAC" w14:textId="77777777" w:rsidR="00DB6E1F" w:rsidRDefault="00F666A6">
            <w:pPr>
              <w:pStyle w:val="TableParagraph"/>
              <w:tabs>
                <w:tab w:val="left" w:pos="7660"/>
              </w:tabs>
              <w:spacing w:before="0"/>
              <w:rPr>
                <w:rFonts w:ascii="Times New Roman"/>
                <w:sz w:val="20"/>
              </w:rPr>
            </w:pPr>
            <w:r>
              <w:rPr>
                <w:sz w:val="20"/>
              </w:rPr>
              <w:t>Your</w:t>
            </w:r>
            <w:r>
              <w:rPr>
                <w:spacing w:val="-2"/>
                <w:sz w:val="20"/>
              </w:rPr>
              <w:t xml:space="preserve"> </w:t>
            </w:r>
            <w:r>
              <w:rPr>
                <w:sz w:val="20"/>
              </w:rPr>
              <w:t>score</w:t>
            </w:r>
            <w:r>
              <w:rPr>
                <w:spacing w:val="-3"/>
                <w:sz w:val="20"/>
              </w:rPr>
              <w:t xml:space="preserve"> </w:t>
            </w:r>
            <w:r>
              <w:rPr>
                <w:sz w:val="20"/>
              </w:rPr>
              <w:t>indicates</w:t>
            </w:r>
            <w:r>
              <w:rPr>
                <w:spacing w:val="-1"/>
                <w:sz w:val="20"/>
              </w:rPr>
              <w:t xml:space="preserve"> </w:t>
            </w:r>
            <w:r>
              <w:rPr>
                <w:rFonts w:ascii="Times New Roman"/>
                <w:sz w:val="20"/>
                <w:u w:val="single"/>
              </w:rPr>
              <w:tab/>
            </w:r>
          </w:p>
        </w:tc>
      </w:tr>
      <w:tr w:rsidR="00DB6E1F" w14:paraId="624A28BE" w14:textId="77777777">
        <w:trPr>
          <w:trHeight w:val="5473"/>
        </w:trPr>
        <w:tc>
          <w:tcPr>
            <w:tcW w:w="4586" w:type="dxa"/>
          </w:tcPr>
          <w:p w14:paraId="0F591B60" w14:textId="77777777" w:rsidR="00DB6E1F" w:rsidRDefault="00F666A6">
            <w:pPr>
              <w:pStyle w:val="TableParagraph"/>
              <w:tabs>
                <w:tab w:val="left" w:pos="2584"/>
              </w:tabs>
              <w:rPr>
                <w:rFonts w:ascii="Times New Roman"/>
                <w:sz w:val="20"/>
              </w:rPr>
            </w:pPr>
            <w:r>
              <w:rPr>
                <w:sz w:val="20"/>
              </w:rPr>
              <w:t>Check</w:t>
            </w:r>
            <w:r>
              <w:rPr>
                <w:spacing w:val="-1"/>
                <w:sz w:val="20"/>
              </w:rPr>
              <w:t xml:space="preserve"> </w:t>
            </w:r>
            <w:r>
              <w:rPr>
                <w:sz w:val="20"/>
              </w:rPr>
              <w:t>here</w:t>
            </w:r>
            <w:r>
              <w:rPr>
                <w:spacing w:val="-3"/>
                <w:sz w:val="20"/>
              </w:rPr>
              <w:t xml:space="preserve"> </w:t>
            </w:r>
            <w:r>
              <w:rPr>
                <w:sz w:val="20"/>
              </w:rPr>
              <w:t>if</w:t>
            </w:r>
            <w:r>
              <w:rPr>
                <w:spacing w:val="-3"/>
                <w:sz w:val="20"/>
              </w:rPr>
              <w:t xml:space="preserve"> </w:t>
            </w:r>
            <w:r>
              <w:rPr>
                <w:sz w:val="20"/>
              </w:rPr>
              <w:t>applicable</w:t>
            </w:r>
            <w:r>
              <w:rPr>
                <w:spacing w:val="-3"/>
                <w:sz w:val="20"/>
              </w:rPr>
              <w:t xml:space="preserve"> </w:t>
            </w:r>
            <w:r>
              <w:rPr>
                <w:rFonts w:ascii="Times New Roman"/>
                <w:sz w:val="20"/>
                <w:u w:val="single"/>
              </w:rPr>
              <w:tab/>
            </w:r>
          </w:p>
          <w:p w14:paraId="687BF622" w14:textId="77777777" w:rsidR="00DB6E1F" w:rsidRDefault="00F666A6">
            <w:pPr>
              <w:pStyle w:val="TableParagraph"/>
              <w:spacing w:before="118"/>
              <w:ind w:right="161"/>
              <w:rPr>
                <w:sz w:val="20"/>
              </w:rPr>
            </w:pPr>
            <w:r>
              <w:rPr>
                <w:sz w:val="20"/>
              </w:rPr>
              <w:t>Your response to AUDIT Question 3 indicates that you have experienced episodes of binge drinking (e.g., 5 drinks for men and 4 drinks for wom</w:t>
            </w:r>
            <w:r>
              <w:rPr>
                <w:sz w:val="20"/>
              </w:rPr>
              <w:t>en consumed</w:t>
            </w:r>
            <w:r>
              <w:rPr>
                <w:spacing w:val="-3"/>
                <w:sz w:val="20"/>
              </w:rPr>
              <w:t xml:space="preserve"> </w:t>
            </w:r>
            <w:r>
              <w:rPr>
                <w:sz w:val="20"/>
              </w:rPr>
              <w:t>within</w:t>
            </w:r>
            <w:r>
              <w:rPr>
                <w:spacing w:val="-5"/>
                <w:sz w:val="20"/>
              </w:rPr>
              <w:t xml:space="preserve"> </w:t>
            </w:r>
            <w:r>
              <w:rPr>
                <w:sz w:val="20"/>
              </w:rPr>
              <w:t>2</w:t>
            </w:r>
            <w:r>
              <w:rPr>
                <w:spacing w:val="-6"/>
                <w:sz w:val="20"/>
              </w:rPr>
              <w:t xml:space="preserve"> </w:t>
            </w:r>
            <w:r>
              <w:rPr>
                <w:sz w:val="20"/>
              </w:rPr>
              <w:t>hours</w:t>
            </w:r>
            <w:r>
              <w:rPr>
                <w:spacing w:val="-7"/>
                <w:sz w:val="20"/>
              </w:rPr>
              <w:t xml:space="preserve"> </w:t>
            </w:r>
            <w:r>
              <w:rPr>
                <w:sz w:val="20"/>
              </w:rPr>
              <w:t>on</w:t>
            </w:r>
            <w:r>
              <w:rPr>
                <w:spacing w:val="-5"/>
                <w:sz w:val="20"/>
              </w:rPr>
              <w:t xml:space="preserve"> </w:t>
            </w:r>
            <w:r>
              <w:rPr>
                <w:sz w:val="20"/>
              </w:rPr>
              <w:t>a</w:t>
            </w:r>
            <w:r>
              <w:rPr>
                <w:spacing w:val="-6"/>
                <w:sz w:val="20"/>
              </w:rPr>
              <w:t xml:space="preserve"> </w:t>
            </w:r>
            <w:r>
              <w:rPr>
                <w:sz w:val="20"/>
              </w:rPr>
              <w:t>single</w:t>
            </w:r>
            <w:r>
              <w:rPr>
                <w:spacing w:val="-7"/>
                <w:sz w:val="20"/>
              </w:rPr>
              <w:t xml:space="preserve"> </w:t>
            </w:r>
            <w:r>
              <w:rPr>
                <w:sz w:val="20"/>
              </w:rPr>
              <w:t>occasion).</w:t>
            </w:r>
            <w:r>
              <w:rPr>
                <w:spacing w:val="-4"/>
                <w:sz w:val="20"/>
              </w:rPr>
              <w:t xml:space="preserve"> </w:t>
            </w:r>
            <w:r>
              <w:rPr>
                <w:sz w:val="20"/>
              </w:rPr>
              <w:t xml:space="preserve">The immediate risks of intoxication or binge drinking </w:t>
            </w:r>
            <w:r>
              <w:rPr>
                <w:spacing w:val="-2"/>
                <w:sz w:val="20"/>
              </w:rPr>
              <w:t>include:</w:t>
            </w:r>
          </w:p>
          <w:p w14:paraId="769E6265" w14:textId="77777777" w:rsidR="00DB6E1F" w:rsidRDefault="00F666A6">
            <w:pPr>
              <w:pStyle w:val="TableParagraph"/>
              <w:numPr>
                <w:ilvl w:val="0"/>
                <w:numId w:val="83"/>
              </w:numPr>
              <w:tabs>
                <w:tab w:val="left" w:pos="467"/>
                <w:tab w:val="left" w:pos="468"/>
              </w:tabs>
              <w:spacing w:before="121" w:line="255" w:lineRule="exact"/>
              <w:ind w:left="467" w:hanging="361"/>
              <w:rPr>
                <w:sz w:val="20"/>
              </w:rPr>
            </w:pPr>
            <w:r>
              <w:rPr>
                <w:sz w:val="20"/>
              </w:rPr>
              <w:t>Motor</w:t>
            </w:r>
            <w:r>
              <w:rPr>
                <w:spacing w:val="-6"/>
                <w:sz w:val="20"/>
              </w:rPr>
              <w:t xml:space="preserve"> </w:t>
            </w:r>
            <w:r>
              <w:rPr>
                <w:sz w:val="20"/>
              </w:rPr>
              <w:t>crashes</w:t>
            </w:r>
            <w:r>
              <w:rPr>
                <w:spacing w:val="-6"/>
                <w:sz w:val="20"/>
              </w:rPr>
              <w:t xml:space="preserve"> </w:t>
            </w:r>
            <w:r>
              <w:rPr>
                <w:sz w:val="20"/>
              </w:rPr>
              <w:t>or</w:t>
            </w:r>
            <w:r>
              <w:rPr>
                <w:spacing w:val="-6"/>
                <w:sz w:val="20"/>
              </w:rPr>
              <w:t xml:space="preserve"> </w:t>
            </w:r>
            <w:r>
              <w:rPr>
                <w:sz w:val="20"/>
              </w:rPr>
              <w:t>other</w:t>
            </w:r>
            <w:r>
              <w:rPr>
                <w:spacing w:val="-5"/>
                <w:sz w:val="20"/>
              </w:rPr>
              <w:t xml:space="preserve"> </w:t>
            </w:r>
            <w:r>
              <w:rPr>
                <w:sz w:val="20"/>
              </w:rPr>
              <w:t>serious</w:t>
            </w:r>
            <w:r>
              <w:rPr>
                <w:spacing w:val="-7"/>
                <w:sz w:val="20"/>
              </w:rPr>
              <w:t xml:space="preserve"> </w:t>
            </w:r>
            <w:r>
              <w:rPr>
                <w:spacing w:val="-2"/>
                <w:sz w:val="20"/>
              </w:rPr>
              <w:t>accidents.</w:t>
            </w:r>
          </w:p>
          <w:p w14:paraId="3531BA0C" w14:textId="77777777" w:rsidR="00DB6E1F" w:rsidRDefault="00F666A6">
            <w:pPr>
              <w:pStyle w:val="TableParagraph"/>
              <w:numPr>
                <w:ilvl w:val="0"/>
                <w:numId w:val="83"/>
              </w:numPr>
              <w:tabs>
                <w:tab w:val="left" w:pos="467"/>
                <w:tab w:val="left" w:pos="468"/>
              </w:tabs>
              <w:spacing w:before="0" w:line="254" w:lineRule="exact"/>
              <w:ind w:left="467" w:hanging="361"/>
              <w:rPr>
                <w:sz w:val="20"/>
              </w:rPr>
            </w:pPr>
            <w:r>
              <w:rPr>
                <w:sz w:val="20"/>
              </w:rPr>
              <w:t>Falls</w:t>
            </w:r>
            <w:r>
              <w:rPr>
                <w:spacing w:val="-8"/>
                <w:sz w:val="20"/>
              </w:rPr>
              <w:t xml:space="preserve"> </w:t>
            </w:r>
            <w:r>
              <w:rPr>
                <w:sz w:val="20"/>
              </w:rPr>
              <w:t>and</w:t>
            </w:r>
            <w:r>
              <w:rPr>
                <w:spacing w:val="-5"/>
                <w:sz w:val="20"/>
              </w:rPr>
              <w:t xml:space="preserve"> </w:t>
            </w:r>
            <w:r>
              <w:rPr>
                <w:sz w:val="20"/>
              </w:rPr>
              <w:t>other</w:t>
            </w:r>
            <w:r>
              <w:rPr>
                <w:spacing w:val="-7"/>
                <w:sz w:val="20"/>
              </w:rPr>
              <w:t xml:space="preserve"> </w:t>
            </w:r>
            <w:r>
              <w:rPr>
                <w:sz w:val="20"/>
              </w:rPr>
              <w:t>physical</w:t>
            </w:r>
            <w:r>
              <w:rPr>
                <w:spacing w:val="-6"/>
                <w:sz w:val="20"/>
              </w:rPr>
              <w:t xml:space="preserve"> </w:t>
            </w:r>
            <w:r>
              <w:rPr>
                <w:spacing w:val="-2"/>
                <w:sz w:val="20"/>
              </w:rPr>
              <w:t>injuries.</w:t>
            </w:r>
          </w:p>
          <w:p w14:paraId="4FBB33DA" w14:textId="77777777" w:rsidR="00DB6E1F" w:rsidRDefault="00F666A6">
            <w:pPr>
              <w:pStyle w:val="TableParagraph"/>
              <w:numPr>
                <w:ilvl w:val="0"/>
                <w:numId w:val="83"/>
              </w:numPr>
              <w:tabs>
                <w:tab w:val="left" w:pos="467"/>
                <w:tab w:val="left" w:pos="468"/>
              </w:tabs>
              <w:spacing w:before="0" w:line="254" w:lineRule="exact"/>
              <w:ind w:left="467" w:hanging="361"/>
              <w:rPr>
                <w:sz w:val="20"/>
              </w:rPr>
            </w:pPr>
            <w:r>
              <w:rPr>
                <w:sz w:val="20"/>
              </w:rPr>
              <w:t>Intimate</w:t>
            </w:r>
            <w:r>
              <w:rPr>
                <w:spacing w:val="-9"/>
                <w:sz w:val="20"/>
              </w:rPr>
              <w:t xml:space="preserve"> </w:t>
            </w:r>
            <w:r>
              <w:rPr>
                <w:sz w:val="20"/>
              </w:rPr>
              <w:t>partner</w:t>
            </w:r>
            <w:r>
              <w:rPr>
                <w:spacing w:val="-8"/>
                <w:sz w:val="20"/>
              </w:rPr>
              <w:t xml:space="preserve"> </w:t>
            </w:r>
            <w:r>
              <w:rPr>
                <w:spacing w:val="-2"/>
                <w:sz w:val="20"/>
              </w:rPr>
              <w:t>violence.</w:t>
            </w:r>
          </w:p>
          <w:p w14:paraId="5BC115B3" w14:textId="77777777" w:rsidR="00DB6E1F" w:rsidRDefault="00F666A6">
            <w:pPr>
              <w:pStyle w:val="TableParagraph"/>
              <w:numPr>
                <w:ilvl w:val="0"/>
                <w:numId w:val="83"/>
              </w:numPr>
              <w:tabs>
                <w:tab w:val="left" w:pos="467"/>
                <w:tab w:val="left" w:pos="468"/>
              </w:tabs>
              <w:spacing w:before="0" w:line="255" w:lineRule="exact"/>
              <w:ind w:left="467" w:hanging="361"/>
              <w:rPr>
                <w:sz w:val="20"/>
              </w:rPr>
            </w:pPr>
            <w:r>
              <w:rPr>
                <w:sz w:val="20"/>
              </w:rPr>
              <w:t>Depressed</w:t>
            </w:r>
            <w:r>
              <w:rPr>
                <w:spacing w:val="-10"/>
                <w:sz w:val="20"/>
              </w:rPr>
              <w:t xml:space="preserve"> </w:t>
            </w:r>
            <w:r>
              <w:rPr>
                <w:spacing w:val="-2"/>
                <w:sz w:val="20"/>
              </w:rPr>
              <w:t>mood.</w:t>
            </w:r>
          </w:p>
          <w:p w14:paraId="196A5643" w14:textId="77777777" w:rsidR="00DB6E1F" w:rsidRDefault="00F666A6">
            <w:pPr>
              <w:pStyle w:val="TableParagraph"/>
              <w:numPr>
                <w:ilvl w:val="0"/>
                <w:numId w:val="83"/>
              </w:numPr>
              <w:tabs>
                <w:tab w:val="left" w:pos="467"/>
                <w:tab w:val="left" w:pos="468"/>
              </w:tabs>
              <w:spacing w:before="2" w:line="255" w:lineRule="exact"/>
              <w:ind w:left="467" w:hanging="361"/>
              <w:rPr>
                <w:sz w:val="20"/>
              </w:rPr>
            </w:pPr>
            <w:r>
              <w:rPr>
                <w:sz w:val="20"/>
              </w:rPr>
              <w:t>Suicidal</w:t>
            </w:r>
            <w:r>
              <w:rPr>
                <w:spacing w:val="-7"/>
                <w:sz w:val="20"/>
              </w:rPr>
              <w:t xml:space="preserve"> </w:t>
            </w:r>
            <w:r>
              <w:rPr>
                <w:sz w:val="20"/>
              </w:rPr>
              <w:t>or</w:t>
            </w:r>
            <w:r>
              <w:rPr>
                <w:spacing w:val="-6"/>
                <w:sz w:val="20"/>
              </w:rPr>
              <w:t xml:space="preserve"> </w:t>
            </w:r>
            <w:r>
              <w:rPr>
                <w:sz w:val="20"/>
              </w:rPr>
              <w:t>homicidal</w:t>
            </w:r>
            <w:r>
              <w:rPr>
                <w:spacing w:val="-6"/>
                <w:sz w:val="20"/>
              </w:rPr>
              <w:t xml:space="preserve"> </w:t>
            </w:r>
            <w:r>
              <w:rPr>
                <w:sz w:val="20"/>
              </w:rPr>
              <w:t>thoughts</w:t>
            </w:r>
            <w:r>
              <w:rPr>
                <w:spacing w:val="-5"/>
                <w:sz w:val="20"/>
              </w:rPr>
              <w:t xml:space="preserve"> </w:t>
            </w:r>
            <w:r>
              <w:rPr>
                <w:sz w:val="20"/>
              </w:rPr>
              <w:t>or</w:t>
            </w:r>
            <w:r>
              <w:rPr>
                <w:spacing w:val="-6"/>
                <w:sz w:val="20"/>
              </w:rPr>
              <w:t xml:space="preserve"> </w:t>
            </w:r>
            <w:r>
              <w:rPr>
                <w:spacing w:val="-2"/>
                <w:sz w:val="20"/>
              </w:rPr>
              <w:t>behavior.</w:t>
            </w:r>
          </w:p>
          <w:p w14:paraId="1F7C00D7" w14:textId="77777777" w:rsidR="00DB6E1F" w:rsidRDefault="00F666A6">
            <w:pPr>
              <w:pStyle w:val="TableParagraph"/>
              <w:numPr>
                <w:ilvl w:val="0"/>
                <w:numId w:val="83"/>
              </w:numPr>
              <w:tabs>
                <w:tab w:val="left" w:pos="467"/>
                <w:tab w:val="left" w:pos="468"/>
              </w:tabs>
              <w:spacing w:before="0" w:line="254" w:lineRule="exact"/>
              <w:ind w:left="467" w:hanging="361"/>
              <w:rPr>
                <w:sz w:val="20"/>
              </w:rPr>
            </w:pPr>
            <w:r>
              <w:rPr>
                <w:sz w:val="20"/>
              </w:rPr>
              <w:t>Unintended</w:t>
            </w:r>
            <w:r>
              <w:rPr>
                <w:spacing w:val="-11"/>
                <w:sz w:val="20"/>
              </w:rPr>
              <w:t xml:space="preserve"> </w:t>
            </w:r>
            <w:r>
              <w:rPr>
                <w:sz w:val="20"/>
              </w:rPr>
              <w:t>firearm</w:t>
            </w:r>
            <w:r>
              <w:rPr>
                <w:spacing w:val="-11"/>
                <w:sz w:val="20"/>
              </w:rPr>
              <w:t xml:space="preserve"> </w:t>
            </w:r>
            <w:r>
              <w:rPr>
                <w:spacing w:val="-2"/>
                <w:sz w:val="20"/>
              </w:rPr>
              <w:t>injuries.</w:t>
            </w:r>
          </w:p>
          <w:p w14:paraId="7338E9EE" w14:textId="77777777" w:rsidR="00DB6E1F" w:rsidRDefault="00F666A6">
            <w:pPr>
              <w:pStyle w:val="TableParagraph"/>
              <w:numPr>
                <w:ilvl w:val="0"/>
                <w:numId w:val="83"/>
              </w:numPr>
              <w:tabs>
                <w:tab w:val="left" w:pos="467"/>
                <w:tab w:val="left" w:pos="468"/>
              </w:tabs>
              <w:spacing w:before="0" w:line="254" w:lineRule="exact"/>
              <w:ind w:left="467" w:hanging="361"/>
              <w:rPr>
                <w:sz w:val="20"/>
              </w:rPr>
            </w:pPr>
            <w:r>
              <w:rPr>
                <w:sz w:val="20"/>
              </w:rPr>
              <w:t>Alcohol</w:t>
            </w:r>
            <w:r>
              <w:rPr>
                <w:spacing w:val="-10"/>
                <w:sz w:val="20"/>
              </w:rPr>
              <w:t xml:space="preserve"> </w:t>
            </w:r>
            <w:r>
              <w:rPr>
                <w:spacing w:val="-2"/>
                <w:sz w:val="20"/>
              </w:rPr>
              <w:t>poisoning.</w:t>
            </w:r>
          </w:p>
          <w:p w14:paraId="697347A5" w14:textId="77777777" w:rsidR="00DB6E1F" w:rsidRDefault="00F666A6">
            <w:pPr>
              <w:pStyle w:val="TableParagraph"/>
              <w:numPr>
                <w:ilvl w:val="0"/>
                <w:numId w:val="83"/>
              </w:numPr>
              <w:tabs>
                <w:tab w:val="left" w:pos="467"/>
                <w:tab w:val="left" w:pos="468"/>
              </w:tabs>
              <w:spacing w:before="0" w:line="254" w:lineRule="exact"/>
              <w:ind w:left="467" w:hanging="361"/>
              <w:rPr>
                <w:sz w:val="20"/>
              </w:rPr>
            </w:pPr>
            <w:r>
              <w:rPr>
                <w:sz w:val="20"/>
              </w:rPr>
              <w:t>Assaults</w:t>
            </w:r>
            <w:r>
              <w:rPr>
                <w:spacing w:val="-9"/>
                <w:sz w:val="20"/>
              </w:rPr>
              <w:t xml:space="preserve"> </w:t>
            </w:r>
            <w:r>
              <w:rPr>
                <w:sz w:val="20"/>
              </w:rPr>
              <w:t>and</w:t>
            </w:r>
            <w:r>
              <w:rPr>
                <w:spacing w:val="-6"/>
                <w:sz w:val="20"/>
              </w:rPr>
              <w:t xml:space="preserve"> </w:t>
            </w:r>
            <w:r>
              <w:rPr>
                <w:sz w:val="20"/>
              </w:rPr>
              <w:t>sexual</w:t>
            </w:r>
            <w:r>
              <w:rPr>
                <w:spacing w:val="-7"/>
                <w:sz w:val="20"/>
              </w:rPr>
              <w:t xml:space="preserve"> </w:t>
            </w:r>
            <w:r>
              <w:rPr>
                <w:spacing w:val="-2"/>
                <w:sz w:val="20"/>
              </w:rPr>
              <w:t>assaults.</w:t>
            </w:r>
          </w:p>
          <w:p w14:paraId="06906C45" w14:textId="77777777" w:rsidR="00DB6E1F" w:rsidRDefault="00F666A6">
            <w:pPr>
              <w:pStyle w:val="TableParagraph"/>
              <w:numPr>
                <w:ilvl w:val="0"/>
                <w:numId w:val="83"/>
              </w:numPr>
              <w:tabs>
                <w:tab w:val="left" w:pos="466"/>
                <w:tab w:val="left" w:pos="467"/>
              </w:tabs>
              <w:spacing w:before="0"/>
              <w:ind w:right="339"/>
              <w:rPr>
                <w:sz w:val="20"/>
              </w:rPr>
            </w:pPr>
            <w:r>
              <w:rPr>
                <w:spacing w:val="-4"/>
                <w:sz w:val="20"/>
              </w:rPr>
              <w:t>Unprotected</w:t>
            </w:r>
            <w:r>
              <w:rPr>
                <w:spacing w:val="-8"/>
                <w:sz w:val="20"/>
              </w:rPr>
              <w:t xml:space="preserve"> </w:t>
            </w:r>
            <w:r>
              <w:rPr>
                <w:spacing w:val="-4"/>
                <w:sz w:val="20"/>
              </w:rPr>
              <w:t>sex</w:t>
            </w:r>
            <w:r>
              <w:rPr>
                <w:spacing w:val="-7"/>
                <w:sz w:val="20"/>
              </w:rPr>
              <w:t xml:space="preserve"> </w:t>
            </w:r>
            <w:r>
              <w:rPr>
                <w:spacing w:val="-4"/>
                <w:sz w:val="20"/>
              </w:rPr>
              <w:t>(leading</w:t>
            </w:r>
            <w:r>
              <w:rPr>
                <w:spacing w:val="-7"/>
                <w:sz w:val="20"/>
              </w:rPr>
              <w:t xml:space="preserve"> </w:t>
            </w:r>
            <w:r>
              <w:rPr>
                <w:spacing w:val="-4"/>
                <w:sz w:val="20"/>
              </w:rPr>
              <w:t>to</w:t>
            </w:r>
            <w:r>
              <w:rPr>
                <w:spacing w:val="-8"/>
                <w:sz w:val="20"/>
              </w:rPr>
              <w:t xml:space="preserve"> </w:t>
            </w:r>
            <w:r>
              <w:rPr>
                <w:spacing w:val="-4"/>
                <w:sz w:val="20"/>
              </w:rPr>
              <w:t>sexually</w:t>
            </w:r>
            <w:r>
              <w:rPr>
                <w:spacing w:val="-7"/>
                <w:sz w:val="20"/>
              </w:rPr>
              <w:t xml:space="preserve"> </w:t>
            </w:r>
            <w:r>
              <w:rPr>
                <w:spacing w:val="-4"/>
                <w:sz w:val="20"/>
              </w:rPr>
              <w:t xml:space="preserve">transmitted </w:t>
            </w:r>
            <w:r>
              <w:rPr>
                <w:sz w:val="20"/>
              </w:rPr>
              <w:t>diseases and unintended pregnancy).</w:t>
            </w:r>
          </w:p>
          <w:p w14:paraId="6D96590C" w14:textId="77777777" w:rsidR="00DB6E1F" w:rsidRDefault="00F666A6">
            <w:pPr>
              <w:pStyle w:val="TableParagraph"/>
              <w:numPr>
                <w:ilvl w:val="0"/>
                <w:numId w:val="83"/>
              </w:numPr>
              <w:tabs>
                <w:tab w:val="left" w:pos="466"/>
                <w:tab w:val="left" w:pos="467"/>
              </w:tabs>
              <w:spacing w:before="0" w:line="255" w:lineRule="exact"/>
              <w:rPr>
                <w:sz w:val="20"/>
              </w:rPr>
            </w:pPr>
            <w:r>
              <w:rPr>
                <w:sz w:val="20"/>
              </w:rPr>
              <w:t>Child</w:t>
            </w:r>
            <w:r>
              <w:rPr>
                <w:spacing w:val="-5"/>
                <w:sz w:val="20"/>
              </w:rPr>
              <w:t xml:space="preserve"> </w:t>
            </w:r>
            <w:r>
              <w:rPr>
                <w:sz w:val="20"/>
              </w:rPr>
              <w:t>abuse</w:t>
            </w:r>
            <w:r>
              <w:rPr>
                <w:spacing w:val="-7"/>
                <w:sz w:val="20"/>
              </w:rPr>
              <w:t xml:space="preserve"> </w:t>
            </w:r>
            <w:r>
              <w:rPr>
                <w:sz w:val="20"/>
              </w:rPr>
              <w:t>and</w:t>
            </w:r>
            <w:r>
              <w:rPr>
                <w:spacing w:val="-4"/>
                <w:sz w:val="20"/>
              </w:rPr>
              <w:t xml:space="preserve"> </w:t>
            </w:r>
            <w:r>
              <w:rPr>
                <w:spacing w:val="-2"/>
                <w:sz w:val="20"/>
              </w:rPr>
              <w:t>neglect.</w:t>
            </w:r>
          </w:p>
          <w:p w14:paraId="3BE3143A" w14:textId="77777777" w:rsidR="00DB6E1F" w:rsidRDefault="00F666A6">
            <w:pPr>
              <w:pStyle w:val="TableParagraph"/>
              <w:numPr>
                <w:ilvl w:val="0"/>
                <w:numId w:val="83"/>
              </w:numPr>
              <w:tabs>
                <w:tab w:val="left" w:pos="466"/>
                <w:tab w:val="left" w:pos="467"/>
              </w:tabs>
              <w:spacing w:before="0" w:line="254" w:lineRule="exact"/>
              <w:rPr>
                <w:sz w:val="20"/>
              </w:rPr>
            </w:pPr>
            <w:r>
              <w:rPr>
                <w:sz w:val="20"/>
              </w:rPr>
              <w:t>Property</w:t>
            </w:r>
            <w:r>
              <w:rPr>
                <w:spacing w:val="-5"/>
                <w:sz w:val="20"/>
              </w:rPr>
              <w:t xml:space="preserve"> </w:t>
            </w:r>
            <w:r>
              <w:rPr>
                <w:sz w:val="20"/>
              </w:rPr>
              <w:t>and</w:t>
            </w:r>
            <w:r>
              <w:rPr>
                <w:spacing w:val="-4"/>
                <w:sz w:val="20"/>
              </w:rPr>
              <w:t xml:space="preserve"> </w:t>
            </w:r>
            <w:r>
              <w:rPr>
                <w:sz w:val="20"/>
              </w:rPr>
              <w:t>other</w:t>
            </w:r>
            <w:r>
              <w:rPr>
                <w:spacing w:val="-5"/>
                <w:sz w:val="20"/>
              </w:rPr>
              <w:t xml:space="preserve"> </w:t>
            </w:r>
            <w:r>
              <w:rPr>
                <w:spacing w:val="-2"/>
                <w:sz w:val="20"/>
              </w:rPr>
              <w:t>crime.</w:t>
            </w:r>
          </w:p>
          <w:p w14:paraId="118BBA15" w14:textId="77777777" w:rsidR="00DB6E1F" w:rsidRDefault="00F666A6">
            <w:pPr>
              <w:pStyle w:val="TableParagraph"/>
              <w:numPr>
                <w:ilvl w:val="0"/>
                <w:numId w:val="83"/>
              </w:numPr>
              <w:tabs>
                <w:tab w:val="left" w:pos="466"/>
                <w:tab w:val="left" w:pos="467"/>
              </w:tabs>
              <w:spacing w:before="0" w:line="255" w:lineRule="exact"/>
              <w:ind w:hanging="361"/>
              <w:rPr>
                <w:sz w:val="20"/>
              </w:rPr>
            </w:pPr>
            <w:r>
              <w:rPr>
                <w:spacing w:val="-2"/>
                <w:sz w:val="20"/>
              </w:rPr>
              <w:t>Fires.</w:t>
            </w:r>
          </w:p>
        </w:tc>
        <w:tc>
          <w:tcPr>
            <w:tcW w:w="4764" w:type="dxa"/>
          </w:tcPr>
          <w:p w14:paraId="386E7645" w14:textId="77777777" w:rsidR="00DB6E1F" w:rsidRDefault="00F666A6">
            <w:pPr>
              <w:pStyle w:val="TableParagraph"/>
              <w:tabs>
                <w:tab w:val="left" w:pos="2679"/>
              </w:tabs>
              <w:ind w:left="105"/>
              <w:rPr>
                <w:rFonts w:ascii="Times New Roman"/>
                <w:sz w:val="20"/>
              </w:rPr>
            </w:pPr>
            <w:r>
              <w:rPr>
                <w:sz w:val="20"/>
              </w:rPr>
              <w:t>Check</w:t>
            </w:r>
            <w:r>
              <w:rPr>
                <w:spacing w:val="-1"/>
                <w:sz w:val="20"/>
              </w:rPr>
              <w:t xml:space="preserve"> </w:t>
            </w:r>
            <w:r>
              <w:rPr>
                <w:sz w:val="20"/>
              </w:rPr>
              <w:t>here</w:t>
            </w:r>
            <w:r>
              <w:rPr>
                <w:spacing w:val="-3"/>
                <w:sz w:val="20"/>
              </w:rPr>
              <w:t xml:space="preserve"> </w:t>
            </w:r>
            <w:r>
              <w:rPr>
                <w:sz w:val="20"/>
              </w:rPr>
              <w:t>if</w:t>
            </w:r>
            <w:r>
              <w:rPr>
                <w:spacing w:val="-3"/>
                <w:sz w:val="20"/>
              </w:rPr>
              <w:t xml:space="preserve"> </w:t>
            </w:r>
            <w:r>
              <w:rPr>
                <w:sz w:val="20"/>
              </w:rPr>
              <w:t>applicable</w:t>
            </w:r>
            <w:r>
              <w:rPr>
                <w:spacing w:val="-3"/>
                <w:sz w:val="20"/>
              </w:rPr>
              <w:t xml:space="preserve"> </w:t>
            </w:r>
            <w:r>
              <w:rPr>
                <w:rFonts w:ascii="Times New Roman"/>
                <w:sz w:val="20"/>
                <w:u w:val="single"/>
              </w:rPr>
              <w:tab/>
            </w:r>
          </w:p>
          <w:p w14:paraId="00BC0937" w14:textId="77777777" w:rsidR="00DB6E1F" w:rsidRDefault="00F666A6">
            <w:pPr>
              <w:pStyle w:val="TableParagraph"/>
              <w:spacing w:before="118"/>
              <w:ind w:left="105" w:right="134"/>
              <w:rPr>
                <w:sz w:val="20"/>
              </w:rPr>
            </w:pPr>
            <w:r>
              <w:rPr>
                <w:sz w:val="20"/>
              </w:rPr>
              <w:t>Your</w:t>
            </w:r>
            <w:r>
              <w:rPr>
                <w:spacing w:val="-5"/>
                <w:sz w:val="20"/>
              </w:rPr>
              <w:t xml:space="preserve"> </w:t>
            </w:r>
            <w:r>
              <w:rPr>
                <w:sz w:val="20"/>
              </w:rPr>
              <w:t>responses</w:t>
            </w:r>
            <w:r>
              <w:rPr>
                <w:spacing w:val="-6"/>
                <w:sz w:val="20"/>
              </w:rPr>
              <w:t xml:space="preserve"> </w:t>
            </w:r>
            <w:r>
              <w:rPr>
                <w:sz w:val="20"/>
              </w:rPr>
              <w:t>to</w:t>
            </w:r>
            <w:r>
              <w:rPr>
                <w:spacing w:val="-4"/>
                <w:sz w:val="20"/>
              </w:rPr>
              <w:t xml:space="preserve"> </w:t>
            </w:r>
            <w:r>
              <w:rPr>
                <w:sz w:val="20"/>
              </w:rPr>
              <w:t>AUDIT</w:t>
            </w:r>
            <w:r>
              <w:rPr>
                <w:spacing w:val="-6"/>
                <w:sz w:val="20"/>
              </w:rPr>
              <w:t xml:space="preserve"> </w:t>
            </w:r>
            <w:r>
              <w:rPr>
                <w:sz w:val="20"/>
              </w:rPr>
              <w:t>Questions</w:t>
            </w:r>
            <w:r>
              <w:rPr>
                <w:spacing w:val="-6"/>
                <w:sz w:val="20"/>
              </w:rPr>
              <w:t xml:space="preserve"> </w:t>
            </w:r>
            <w:r>
              <w:rPr>
                <w:sz w:val="20"/>
              </w:rPr>
              <w:t>1</w:t>
            </w:r>
            <w:r>
              <w:rPr>
                <w:spacing w:val="-5"/>
                <w:sz w:val="20"/>
              </w:rPr>
              <w:t xml:space="preserve"> </w:t>
            </w:r>
            <w:r>
              <w:rPr>
                <w:sz w:val="20"/>
              </w:rPr>
              <w:t>(frequency)</w:t>
            </w:r>
            <w:r>
              <w:rPr>
                <w:spacing w:val="-5"/>
                <w:sz w:val="20"/>
              </w:rPr>
              <w:t xml:space="preserve"> </w:t>
            </w:r>
            <w:r>
              <w:rPr>
                <w:sz w:val="20"/>
              </w:rPr>
              <w:t>and</w:t>
            </w:r>
            <w:r>
              <w:rPr>
                <w:spacing w:val="-4"/>
                <w:sz w:val="20"/>
              </w:rPr>
              <w:t xml:space="preserve"> </w:t>
            </w:r>
            <w:r>
              <w:rPr>
                <w:sz w:val="20"/>
              </w:rPr>
              <w:t>2 (number of drinks consumed) indicate that you are drinking</w:t>
            </w:r>
            <w:r>
              <w:rPr>
                <w:spacing w:val="-6"/>
                <w:sz w:val="20"/>
              </w:rPr>
              <w:t xml:space="preserve"> </w:t>
            </w:r>
            <w:r>
              <w:rPr>
                <w:sz w:val="20"/>
              </w:rPr>
              <w:t>more</w:t>
            </w:r>
            <w:r>
              <w:rPr>
                <w:spacing w:val="-11"/>
                <w:sz w:val="20"/>
              </w:rPr>
              <w:t xml:space="preserve"> </w:t>
            </w:r>
            <w:r>
              <w:rPr>
                <w:sz w:val="20"/>
              </w:rPr>
              <w:t>than</w:t>
            </w:r>
            <w:r>
              <w:rPr>
                <w:spacing w:val="-9"/>
                <w:sz w:val="20"/>
              </w:rPr>
              <w:t xml:space="preserve"> </w:t>
            </w:r>
            <w:r>
              <w:rPr>
                <w:sz w:val="20"/>
              </w:rPr>
              <w:t>the</w:t>
            </w:r>
            <w:r>
              <w:rPr>
                <w:spacing w:val="-9"/>
                <w:sz w:val="20"/>
              </w:rPr>
              <w:t xml:space="preserve"> </w:t>
            </w:r>
            <w:r>
              <w:rPr>
                <w:sz w:val="20"/>
              </w:rPr>
              <w:t>recommended</w:t>
            </w:r>
            <w:r>
              <w:rPr>
                <w:spacing w:val="-7"/>
                <w:sz w:val="20"/>
              </w:rPr>
              <w:t xml:space="preserve"> </w:t>
            </w:r>
            <w:r>
              <w:rPr>
                <w:sz w:val="20"/>
              </w:rPr>
              <w:t>limits</w:t>
            </w:r>
            <w:r>
              <w:rPr>
                <w:spacing w:val="-12"/>
                <w:sz w:val="20"/>
              </w:rPr>
              <w:t xml:space="preserve"> </w:t>
            </w:r>
            <w:r>
              <w:rPr>
                <w:sz w:val="20"/>
              </w:rPr>
              <w:t>(no</w:t>
            </w:r>
            <w:r>
              <w:rPr>
                <w:spacing w:val="-7"/>
                <w:sz w:val="20"/>
              </w:rPr>
              <w:t xml:space="preserve"> </w:t>
            </w:r>
            <w:r>
              <w:rPr>
                <w:sz w:val="20"/>
              </w:rPr>
              <w:t xml:space="preserve">more </w:t>
            </w:r>
            <w:r>
              <w:rPr>
                <w:spacing w:val="-2"/>
                <w:sz w:val="20"/>
              </w:rPr>
              <w:t>than</w:t>
            </w:r>
            <w:r>
              <w:rPr>
                <w:spacing w:val="-9"/>
                <w:sz w:val="20"/>
              </w:rPr>
              <w:t xml:space="preserve"> </w:t>
            </w:r>
            <w:r>
              <w:rPr>
                <w:spacing w:val="-2"/>
                <w:sz w:val="20"/>
              </w:rPr>
              <w:t>3</w:t>
            </w:r>
            <w:r>
              <w:rPr>
                <w:spacing w:val="-7"/>
                <w:sz w:val="20"/>
              </w:rPr>
              <w:t xml:space="preserve"> </w:t>
            </w:r>
            <w:r>
              <w:rPr>
                <w:spacing w:val="-2"/>
                <w:sz w:val="20"/>
              </w:rPr>
              <w:t>drinks</w:t>
            </w:r>
            <w:r>
              <w:rPr>
                <w:spacing w:val="-11"/>
                <w:sz w:val="20"/>
              </w:rPr>
              <w:t xml:space="preserve"> </w:t>
            </w:r>
            <w:r>
              <w:rPr>
                <w:spacing w:val="-2"/>
                <w:sz w:val="20"/>
              </w:rPr>
              <w:t>on</w:t>
            </w:r>
            <w:r>
              <w:rPr>
                <w:spacing w:val="-6"/>
                <w:sz w:val="20"/>
              </w:rPr>
              <w:t xml:space="preserve"> </w:t>
            </w:r>
            <w:r>
              <w:rPr>
                <w:spacing w:val="-2"/>
                <w:sz w:val="20"/>
              </w:rPr>
              <w:t>a</w:t>
            </w:r>
            <w:r>
              <w:rPr>
                <w:spacing w:val="-7"/>
                <w:sz w:val="20"/>
              </w:rPr>
              <w:t xml:space="preserve"> </w:t>
            </w:r>
            <w:r>
              <w:rPr>
                <w:spacing w:val="-2"/>
                <w:sz w:val="20"/>
              </w:rPr>
              <w:t>single</w:t>
            </w:r>
            <w:r>
              <w:rPr>
                <w:spacing w:val="-8"/>
                <w:sz w:val="20"/>
              </w:rPr>
              <w:t xml:space="preserve"> </w:t>
            </w:r>
            <w:r>
              <w:rPr>
                <w:spacing w:val="-2"/>
                <w:sz w:val="20"/>
              </w:rPr>
              <w:t>day</w:t>
            </w:r>
            <w:r>
              <w:rPr>
                <w:spacing w:val="-9"/>
                <w:sz w:val="20"/>
              </w:rPr>
              <w:t xml:space="preserve"> </w:t>
            </w:r>
            <w:r>
              <w:rPr>
                <w:spacing w:val="-2"/>
                <w:sz w:val="20"/>
              </w:rPr>
              <w:t>and</w:t>
            </w:r>
            <w:r>
              <w:rPr>
                <w:spacing w:val="-10"/>
                <w:sz w:val="20"/>
              </w:rPr>
              <w:t xml:space="preserve"> </w:t>
            </w:r>
            <w:r>
              <w:rPr>
                <w:spacing w:val="-2"/>
                <w:sz w:val="20"/>
              </w:rPr>
              <w:t>7</w:t>
            </w:r>
            <w:r>
              <w:rPr>
                <w:spacing w:val="-10"/>
                <w:sz w:val="20"/>
              </w:rPr>
              <w:t xml:space="preserve"> </w:t>
            </w:r>
            <w:r>
              <w:rPr>
                <w:spacing w:val="-2"/>
                <w:sz w:val="20"/>
              </w:rPr>
              <w:t>drinks</w:t>
            </w:r>
            <w:r>
              <w:rPr>
                <w:spacing w:val="-8"/>
                <w:sz w:val="20"/>
              </w:rPr>
              <w:t xml:space="preserve"> </w:t>
            </w:r>
            <w:r>
              <w:rPr>
                <w:spacing w:val="-2"/>
                <w:sz w:val="20"/>
              </w:rPr>
              <w:t>per</w:t>
            </w:r>
            <w:r>
              <w:rPr>
                <w:spacing w:val="-7"/>
                <w:sz w:val="20"/>
              </w:rPr>
              <w:t xml:space="preserve"> </w:t>
            </w:r>
            <w:r>
              <w:rPr>
                <w:spacing w:val="-2"/>
                <w:sz w:val="20"/>
              </w:rPr>
              <w:t xml:space="preserve">week for all </w:t>
            </w:r>
            <w:r>
              <w:rPr>
                <w:sz w:val="20"/>
              </w:rPr>
              <w:t>women and for men older than 65; no more than 4 drinks on a single day and 14 drinks per week for men ages 65 and younger). Long-term risks of alcohol</w:t>
            </w:r>
            <w:r>
              <w:rPr>
                <w:spacing w:val="40"/>
                <w:sz w:val="20"/>
              </w:rPr>
              <w:t xml:space="preserve"> </w:t>
            </w:r>
            <w:r>
              <w:rPr>
                <w:sz w:val="20"/>
              </w:rPr>
              <w:t>misuse use include:</w:t>
            </w:r>
          </w:p>
          <w:p w14:paraId="48BA35C8" w14:textId="77777777" w:rsidR="00DB6E1F" w:rsidRDefault="00F666A6">
            <w:pPr>
              <w:pStyle w:val="TableParagraph"/>
              <w:numPr>
                <w:ilvl w:val="0"/>
                <w:numId w:val="82"/>
              </w:numPr>
              <w:tabs>
                <w:tab w:val="left" w:pos="465"/>
                <w:tab w:val="left" w:pos="466"/>
              </w:tabs>
              <w:spacing w:before="120"/>
              <w:ind w:hanging="361"/>
              <w:rPr>
                <w:sz w:val="20"/>
              </w:rPr>
            </w:pPr>
            <w:r>
              <w:rPr>
                <w:sz w:val="20"/>
              </w:rPr>
              <w:t>Gastric</w:t>
            </w:r>
            <w:r>
              <w:rPr>
                <w:spacing w:val="-10"/>
                <w:sz w:val="20"/>
              </w:rPr>
              <w:t xml:space="preserve"> </w:t>
            </w:r>
            <w:r>
              <w:rPr>
                <w:spacing w:val="-2"/>
                <w:sz w:val="20"/>
              </w:rPr>
              <w:t>distress.</w:t>
            </w:r>
          </w:p>
          <w:p w14:paraId="2AAE1958" w14:textId="77777777" w:rsidR="00DB6E1F" w:rsidRDefault="00F666A6">
            <w:pPr>
              <w:pStyle w:val="TableParagraph"/>
              <w:numPr>
                <w:ilvl w:val="0"/>
                <w:numId w:val="82"/>
              </w:numPr>
              <w:tabs>
                <w:tab w:val="left" w:pos="465"/>
                <w:tab w:val="left" w:pos="466"/>
              </w:tabs>
              <w:spacing w:before="2" w:line="255" w:lineRule="exact"/>
              <w:ind w:hanging="361"/>
              <w:rPr>
                <w:sz w:val="20"/>
              </w:rPr>
            </w:pPr>
            <w:r>
              <w:rPr>
                <w:spacing w:val="-2"/>
                <w:sz w:val="20"/>
              </w:rPr>
              <w:t>Hypertension.</w:t>
            </w:r>
          </w:p>
          <w:p w14:paraId="740F022F" w14:textId="77777777" w:rsidR="00DB6E1F" w:rsidRDefault="00F666A6">
            <w:pPr>
              <w:pStyle w:val="TableParagraph"/>
              <w:numPr>
                <w:ilvl w:val="0"/>
                <w:numId w:val="82"/>
              </w:numPr>
              <w:tabs>
                <w:tab w:val="left" w:pos="465"/>
                <w:tab w:val="left" w:pos="466"/>
              </w:tabs>
              <w:spacing w:before="0" w:line="254" w:lineRule="exact"/>
              <w:ind w:hanging="361"/>
              <w:rPr>
                <w:sz w:val="20"/>
              </w:rPr>
            </w:pPr>
            <w:r>
              <w:rPr>
                <w:w w:val="95"/>
                <w:sz w:val="20"/>
              </w:rPr>
              <w:t>Cardiovascular</w:t>
            </w:r>
            <w:r>
              <w:rPr>
                <w:spacing w:val="42"/>
                <w:sz w:val="20"/>
              </w:rPr>
              <w:t xml:space="preserve"> </w:t>
            </w:r>
            <w:r>
              <w:rPr>
                <w:spacing w:val="-2"/>
                <w:sz w:val="20"/>
              </w:rPr>
              <w:t>disease.</w:t>
            </w:r>
          </w:p>
          <w:p w14:paraId="7ED3AE45" w14:textId="77777777" w:rsidR="00DB6E1F" w:rsidRDefault="00F666A6">
            <w:pPr>
              <w:pStyle w:val="TableParagraph"/>
              <w:numPr>
                <w:ilvl w:val="0"/>
                <w:numId w:val="82"/>
              </w:numPr>
              <w:tabs>
                <w:tab w:val="left" w:pos="465"/>
                <w:tab w:val="left" w:pos="466"/>
              </w:tabs>
              <w:spacing w:before="0" w:line="254" w:lineRule="exact"/>
              <w:ind w:hanging="361"/>
              <w:rPr>
                <w:sz w:val="20"/>
              </w:rPr>
            </w:pPr>
            <w:r>
              <w:rPr>
                <w:sz w:val="20"/>
              </w:rPr>
              <w:t>Permanent</w:t>
            </w:r>
            <w:r>
              <w:rPr>
                <w:spacing w:val="-9"/>
                <w:sz w:val="20"/>
              </w:rPr>
              <w:t xml:space="preserve"> </w:t>
            </w:r>
            <w:r>
              <w:rPr>
                <w:sz w:val="20"/>
              </w:rPr>
              <w:t>liver</w:t>
            </w:r>
            <w:r>
              <w:rPr>
                <w:spacing w:val="-9"/>
                <w:sz w:val="20"/>
              </w:rPr>
              <w:t xml:space="preserve"> </w:t>
            </w:r>
            <w:r>
              <w:rPr>
                <w:spacing w:val="-2"/>
                <w:sz w:val="20"/>
              </w:rPr>
              <w:t>damage.</w:t>
            </w:r>
          </w:p>
          <w:p w14:paraId="19D18E2C" w14:textId="77777777" w:rsidR="00DB6E1F" w:rsidRDefault="00F666A6">
            <w:pPr>
              <w:pStyle w:val="TableParagraph"/>
              <w:numPr>
                <w:ilvl w:val="0"/>
                <w:numId w:val="82"/>
              </w:numPr>
              <w:tabs>
                <w:tab w:val="left" w:pos="465"/>
                <w:tab w:val="left" w:pos="466"/>
              </w:tabs>
              <w:spacing w:before="0" w:line="254" w:lineRule="exact"/>
              <w:ind w:hanging="361"/>
              <w:rPr>
                <w:sz w:val="20"/>
              </w:rPr>
            </w:pPr>
            <w:r>
              <w:rPr>
                <w:spacing w:val="-2"/>
                <w:sz w:val="20"/>
              </w:rPr>
              <w:t>Cancer.</w:t>
            </w:r>
          </w:p>
          <w:p w14:paraId="1747E044" w14:textId="77777777" w:rsidR="00DB6E1F" w:rsidRDefault="00F666A6">
            <w:pPr>
              <w:pStyle w:val="TableParagraph"/>
              <w:numPr>
                <w:ilvl w:val="0"/>
                <w:numId w:val="82"/>
              </w:numPr>
              <w:tabs>
                <w:tab w:val="left" w:pos="465"/>
                <w:tab w:val="left" w:pos="466"/>
              </w:tabs>
              <w:spacing w:before="0" w:line="254" w:lineRule="exact"/>
              <w:ind w:hanging="361"/>
              <w:rPr>
                <w:sz w:val="20"/>
              </w:rPr>
            </w:pPr>
            <w:r>
              <w:rPr>
                <w:spacing w:val="-2"/>
                <w:sz w:val="20"/>
              </w:rPr>
              <w:t>Pancreatitis.</w:t>
            </w:r>
          </w:p>
          <w:p w14:paraId="3B733F9C" w14:textId="77777777" w:rsidR="00DB6E1F" w:rsidRDefault="00F666A6">
            <w:pPr>
              <w:pStyle w:val="TableParagraph"/>
              <w:numPr>
                <w:ilvl w:val="0"/>
                <w:numId w:val="82"/>
              </w:numPr>
              <w:tabs>
                <w:tab w:val="left" w:pos="465"/>
                <w:tab w:val="left" w:pos="466"/>
              </w:tabs>
              <w:spacing w:before="0" w:line="255" w:lineRule="exact"/>
              <w:ind w:hanging="361"/>
              <w:rPr>
                <w:sz w:val="20"/>
              </w:rPr>
            </w:pPr>
            <w:r>
              <w:rPr>
                <w:spacing w:val="-2"/>
                <w:sz w:val="20"/>
              </w:rPr>
              <w:t>Diabetes.</w:t>
            </w:r>
          </w:p>
          <w:p w14:paraId="4F5C1245" w14:textId="77777777" w:rsidR="00DB6E1F" w:rsidRDefault="00F666A6">
            <w:pPr>
              <w:pStyle w:val="TableParagraph"/>
              <w:numPr>
                <w:ilvl w:val="0"/>
                <w:numId w:val="82"/>
              </w:numPr>
              <w:tabs>
                <w:tab w:val="left" w:pos="465"/>
                <w:tab w:val="left" w:pos="466"/>
              </w:tabs>
              <w:spacing w:before="2" w:line="255" w:lineRule="exact"/>
              <w:ind w:hanging="361"/>
              <w:rPr>
                <w:sz w:val="20"/>
              </w:rPr>
            </w:pPr>
            <w:r>
              <w:rPr>
                <w:sz w:val="20"/>
              </w:rPr>
              <w:t>Chronic</w:t>
            </w:r>
            <w:r>
              <w:rPr>
                <w:spacing w:val="-9"/>
                <w:sz w:val="20"/>
              </w:rPr>
              <w:t xml:space="preserve"> </w:t>
            </w:r>
            <w:r>
              <w:rPr>
                <w:spacing w:val="-2"/>
                <w:sz w:val="20"/>
              </w:rPr>
              <w:t>depression.</w:t>
            </w:r>
          </w:p>
          <w:p w14:paraId="1A35CFAA" w14:textId="77777777" w:rsidR="00DB6E1F" w:rsidRDefault="00F666A6">
            <w:pPr>
              <w:pStyle w:val="TableParagraph"/>
              <w:numPr>
                <w:ilvl w:val="0"/>
                <w:numId w:val="82"/>
              </w:numPr>
              <w:tabs>
                <w:tab w:val="left" w:pos="465"/>
                <w:tab w:val="left" w:pos="466"/>
              </w:tabs>
              <w:spacing w:before="0" w:line="254" w:lineRule="exact"/>
              <w:ind w:hanging="361"/>
              <w:rPr>
                <w:sz w:val="20"/>
              </w:rPr>
            </w:pPr>
            <w:r>
              <w:rPr>
                <w:sz w:val="20"/>
              </w:rPr>
              <w:t>Neurologic</w:t>
            </w:r>
            <w:r>
              <w:rPr>
                <w:spacing w:val="-11"/>
                <w:sz w:val="20"/>
              </w:rPr>
              <w:t xml:space="preserve"> </w:t>
            </w:r>
            <w:r>
              <w:rPr>
                <w:spacing w:val="-2"/>
                <w:sz w:val="20"/>
              </w:rPr>
              <w:t>damage.</w:t>
            </w:r>
          </w:p>
          <w:p w14:paraId="1D6C6422" w14:textId="77777777" w:rsidR="00DB6E1F" w:rsidRDefault="00F666A6">
            <w:pPr>
              <w:pStyle w:val="TableParagraph"/>
              <w:numPr>
                <w:ilvl w:val="0"/>
                <w:numId w:val="82"/>
              </w:numPr>
              <w:tabs>
                <w:tab w:val="left" w:pos="465"/>
                <w:tab w:val="left" w:pos="466"/>
              </w:tabs>
              <w:spacing w:before="0" w:line="240" w:lineRule="atLeast"/>
              <w:ind w:right="348"/>
              <w:rPr>
                <w:sz w:val="20"/>
              </w:rPr>
            </w:pPr>
            <w:r>
              <w:rPr>
                <w:sz w:val="20"/>
              </w:rPr>
              <w:t>Fetal alcohol spectrum disorders in newborns (which</w:t>
            </w:r>
            <w:r>
              <w:rPr>
                <w:spacing w:val="-7"/>
                <w:sz w:val="20"/>
              </w:rPr>
              <w:t xml:space="preserve"> </w:t>
            </w:r>
            <w:r>
              <w:rPr>
                <w:sz w:val="20"/>
              </w:rPr>
              <w:t>include</w:t>
            </w:r>
            <w:r>
              <w:rPr>
                <w:spacing w:val="-9"/>
                <w:sz w:val="20"/>
              </w:rPr>
              <w:t xml:space="preserve"> </w:t>
            </w:r>
            <w:r>
              <w:rPr>
                <w:sz w:val="20"/>
              </w:rPr>
              <w:t>physical,</w:t>
            </w:r>
            <w:r>
              <w:rPr>
                <w:spacing w:val="-8"/>
                <w:sz w:val="20"/>
              </w:rPr>
              <w:t xml:space="preserve"> </w:t>
            </w:r>
            <w:r>
              <w:rPr>
                <w:sz w:val="20"/>
              </w:rPr>
              <w:t>behavioral,</w:t>
            </w:r>
            <w:r>
              <w:rPr>
                <w:spacing w:val="-7"/>
                <w:sz w:val="20"/>
              </w:rPr>
              <w:t xml:space="preserve"> </w:t>
            </w:r>
            <w:r>
              <w:rPr>
                <w:sz w:val="20"/>
              </w:rPr>
              <w:t>and</w:t>
            </w:r>
            <w:r>
              <w:rPr>
                <w:spacing w:val="-7"/>
                <w:sz w:val="20"/>
              </w:rPr>
              <w:t xml:space="preserve"> </w:t>
            </w:r>
            <w:r>
              <w:rPr>
                <w:sz w:val="20"/>
              </w:rPr>
              <w:t xml:space="preserve">learning </w:t>
            </w:r>
            <w:r>
              <w:rPr>
                <w:spacing w:val="-2"/>
                <w:sz w:val="20"/>
              </w:rPr>
              <w:t>disabilities).</w:t>
            </w:r>
          </w:p>
        </w:tc>
      </w:tr>
      <w:tr w:rsidR="00DB6E1F" w14:paraId="616E4750" w14:textId="77777777">
        <w:trPr>
          <w:trHeight w:val="244"/>
        </w:trPr>
        <w:tc>
          <w:tcPr>
            <w:tcW w:w="9350" w:type="dxa"/>
            <w:gridSpan w:val="2"/>
          </w:tcPr>
          <w:p w14:paraId="5209EA4C" w14:textId="77777777" w:rsidR="00DB6E1F" w:rsidRDefault="00F666A6">
            <w:pPr>
              <w:pStyle w:val="TableParagraph"/>
              <w:spacing w:before="0" w:line="224" w:lineRule="exact"/>
              <w:rPr>
                <w:i/>
                <w:sz w:val="20"/>
              </w:rPr>
            </w:pPr>
            <w:r>
              <w:rPr>
                <w:i/>
                <w:sz w:val="20"/>
              </w:rPr>
              <w:t>Sources:</w:t>
            </w:r>
            <w:r>
              <w:rPr>
                <w:i/>
                <w:spacing w:val="-9"/>
                <w:sz w:val="20"/>
              </w:rPr>
              <w:t xml:space="preserve"> </w:t>
            </w:r>
            <w:r>
              <w:rPr>
                <w:i/>
                <w:sz w:val="20"/>
              </w:rPr>
              <w:t>Babor,</w:t>
            </w:r>
            <w:r>
              <w:rPr>
                <w:i/>
                <w:spacing w:val="-7"/>
                <w:sz w:val="20"/>
              </w:rPr>
              <w:t xml:space="preserve"> </w:t>
            </w:r>
            <w:r>
              <w:rPr>
                <w:i/>
                <w:sz w:val="20"/>
              </w:rPr>
              <w:t>Higgins-Biddle,</w:t>
            </w:r>
            <w:r>
              <w:rPr>
                <w:i/>
                <w:spacing w:val="-8"/>
                <w:sz w:val="20"/>
              </w:rPr>
              <w:t xml:space="preserve"> </w:t>
            </w:r>
            <w:r>
              <w:rPr>
                <w:i/>
                <w:sz w:val="20"/>
              </w:rPr>
              <w:t>&amp;</w:t>
            </w:r>
            <w:r>
              <w:rPr>
                <w:i/>
                <w:spacing w:val="-7"/>
                <w:sz w:val="20"/>
              </w:rPr>
              <w:t xml:space="preserve"> </w:t>
            </w:r>
            <w:r>
              <w:rPr>
                <w:i/>
                <w:sz w:val="20"/>
              </w:rPr>
              <w:t>Robaina,</w:t>
            </w:r>
            <w:r>
              <w:rPr>
                <w:i/>
                <w:spacing w:val="-8"/>
                <w:sz w:val="20"/>
              </w:rPr>
              <w:t xml:space="preserve"> </w:t>
            </w:r>
            <w:r>
              <w:rPr>
                <w:i/>
                <w:sz w:val="20"/>
              </w:rPr>
              <w:t>2016;</w:t>
            </w:r>
            <w:r>
              <w:rPr>
                <w:i/>
                <w:spacing w:val="-8"/>
                <w:sz w:val="20"/>
              </w:rPr>
              <w:t xml:space="preserve"> </w:t>
            </w:r>
            <w:r>
              <w:rPr>
                <w:i/>
                <w:sz w:val="20"/>
              </w:rPr>
              <w:t>Venner,</w:t>
            </w:r>
            <w:r>
              <w:rPr>
                <w:i/>
                <w:spacing w:val="-8"/>
                <w:sz w:val="20"/>
              </w:rPr>
              <w:t xml:space="preserve"> </w:t>
            </w:r>
            <w:r>
              <w:rPr>
                <w:i/>
                <w:sz w:val="20"/>
              </w:rPr>
              <w:t>Sánchez,</w:t>
            </w:r>
            <w:r>
              <w:rPr>
                <w:i/>
                <w:spacing w:val="-7"/>
                <w:sz w:val="20"/>
              </w:rPr>
              <w:t xml:space="preserve"> </w:t>
            </w:r>
            <w:r>
              <w:rPr>
                <w:i/>
                <w:sz w:val="20"/>
              </w:rPr>
              <w:t>Garcia,</w:t>
            </w:r>
            <w:r>
              <w:rPr>
                <w:i/>
                <w:spacing w:val="-8"/>
                <w:sz w:val="20"/>
              </w:rPr>
              <w:t xml:space="preserve"> </w:t>
            </w:r>
            <w:r>
              <w:rPr>
                <w:i/>
                <w:sz w:val="20"/>
              </w:rPr>
              <w:t>Williams,</w:t>
            </w:r>
            <w:r>
              <w:rPr>
                <w:i/>
                <w:spacing w:val="-7"/>
                <w:sz w:val="20"/>
              </w:rPr>
              <w:t xml:space="preserve"> </w:t>
            </w:r>
            <w:r>
              <w:rPr>
                <w:i/>
                <w:sz w:val="20"/>
              </w:rPr>
              <w:t>&amp;</w:t>
            </w:r>
            <w:r>
              <w:rPr>
                <w:i/>
                <w:spacing w:val="-8"/>
                <w:sz w:val="20"/>
              </w:rPr>
              <w:t xml:space="preserve"> </w:t>
            </w:r>
            <w:r>
              <w:rPr>
                <w:i/>
                <w:sz w:val="20"/>
              </w:rPr>
              <w:t>Sussman,</w:t>
            </w:r>
            <w:r>
              <w:rPr>
                <w:i/>
                <w:spacing w:val="-8"/>
                <w:sz w:val="20"/>
              </w:rPr>
              <w:t xml:space="preserve"> </w:t>
            </w:r>
            <w:r>
              <w:rPr>
                <w:i/>
                <w:spacing w:val="-2"/>
                <w:sz w:val="20"/>
              </w:rPr>
              <w:t>2018.</w:t>
            </w:r>
          </w:p>
        </w:tc>
      </w:tr>
    </w:tbl>
    <w:p w14:paraId="5EB2C2DE" w14:textId="77777777" w:rsidR="00DB6E1F" w:rsidRDefault="00DB6E1F">
      <w:pPr>
        <w:spacing w:line="224" w:lineRule="exact"/>
        <w:rPr>
          <w:sz w:val="20"/>
        </w:rPr>
        <w:sectPr w:rsidR="00DB6E1F">
          <w:pgSz w:w="12240" w:h="15840"/>
          <w:pgMar w:top="1200" w:right="0" w:bottom="780" w:left="0" w:header="763" w:footer="585" w:gutter="0"/>
          <w:cols w:space="720"/>
        </w:sectPr>
      </w:pPr>
    </w:p>
    <w:p w14:paraId="0AEAB3B1" w14:textId="77777777" w:rsidR="00DB6E1F" w:rsidRDefault="00DB6E1F">
      <w:pPr>
        <w:pStyle w:val="BodyText"/>
        <w:spacing w:before="8"/>
        <w:rPr>
          <w:sz w:val="14"/>
        </w:rPr>
      </w:pPr>
    </w:p>
    <w:p w14:paraId="68FC3622" w14:textId="77777777" w:rsidR="00DB6E1F" w:rsidRDefault="00F666A6">
      <w:pPr>
        <w:spacing w:before="56"/>
        <w:ind w:left="1440" w:right="1444"/>
      </w:pPr>
      <w:r>
        <w:rPr>
          <w:b/>
        </w:rPr>
        <w:t xml:space="preserve">Use a motivational style to present the information. Do not pressure clients to accept a diagnosis or offer unsolicited opinions about the meaning of results. </w:t>
      </w:r>
      <w:r>
        <w:t>Instead, preface explanations with st</w:t>
      </w:r>
      <w:r>
        <w:t>atements like,</w:t>
      </w:r>
      <w:r>
        <w:rPr>
          <w:spacing w:val="-3"/>
        </w:rPr>
        <w:t xml:space="preserve"> </w:t>
      </w:r>
      <w:r>
        <w:t>“I</w:t>
      </w:r>
      <w:r>
        <w:rPr>
          <w:spacing w:val="-1"/>
        </w:rPr>
        <w:t xml:space="preserve"> </w:t>
      </w:r>
      <w:r>
        <w:t>don’t know</w:t>
      </w:r>
      <w:r>
        <w:rPr>
          <w:spacing w:val="-3"/>
        </w:rPr>
        <w:t xml:space="preserve"> </w:t>
      </w:r>
      <w:r>
        <w:t>whether</w:t>
      </w:r>
      <w:r>
        <w:rPr>
          <w:spacing w:val="-3"/>
        </w:rPr>
        <w:t xml:space="preserve"> </w:t>
      </w:r>
      <w:r>
        <w:t>this</w:t>
      </w:r>
      <w:r>
        <w:rPr>
          <w:spacing w:val="-1"/>
        </w:rPr>
        <w:t xml:space="preserve"> </w:t>
      </w:r>
      <w:r>
        <w:t>will</w:t>
      </w:r>
      <w:r>
        <w:rPr>
          <w:spacing w:val="-3"/>
        </w:rPr>
        <w:t xml:space="preserve"> </w:t>
      </w:r>
      <w:r>
        <w:t>concern</w:t>
      </w:r>
      <w:r>
        <w:rPr>
          <w:spacing w:val="-2"/>
        </w:rPr>
        <w:t xml:space="preserve"> </w:t>
      </w:r>
      <w:r>
        <w:t>you,</w:t>
      </w:r>
      <w:r>
        <w:rPr>
          <w:spacing w:val="-1"/>
        </w:rPr>
        <w:t xml:space="preserve"> </w:t>
      </w:r>
      <w:r>
        <w:t>but</w:t>
      </w:r>
      <w:r>
        <w:rPr>
          <w:spacing w:val="-5"/>
        </w:rPr>
        <w:t xml:space="preserve"> </w:t>
      </w:r>
      <w:r>
        <w:t>…”</w:t>
      </w:r>
      <w:r>
        <w:rPr>
          <w:spacing w:val="-2"/>
        </w:rPr>
        <w:t xml:space="preserve"> </w:t>
      </w:r>
      <w:r>
        <w:t>or</w:t>
      </w:r>
      <w:r>
        <w:rPr>
          <w:spacing w:val="-3"/>
        </w:rPr>
        <w:t xml:space="preserve"> </w:t>
      </w:r>
      <w:r>
        <w:t>“I</w:t>
      </w:r>
      <w:r>
        <w:rPr>
          <w:spacing w:val="-1"/>
        </w:rPr>
        <w:t xml:space="preserve"> </w:t>
      </w:r>
      <w:r>
        <w:t>don’t</w:t>
      </w:r>
      <w:r>
        <w:rPr>
          <w:spacing w:val="-3"/>
        </w:rPr>
        <w:t xml:space="preserve"> </w:t>
      </w:r>
      <w:r>
        <w:t>know what you’ll</w:t>
      </w:r>
      <w:r>
        <w:rPr>
          <w:spacing w:val="-4"/>
        </w:rPr>
        <w:t xml:space="preserve"> </w:t>
      </w:r>
      <w:r>
        <w:t>make</w:t>
      </w:r>
      <w:r>
        <w:rPr>
          <w:spacing w:val="-3"/>
        </w:rPr>
        <w:t xml:space="preserve"> </w:t>
      </w:r>
      <w:r>
        <w:t>of</w:t>
      </w:r>
      <w:r>
        <w:rPr>
          <w:spacing w:val="-3"/>
        </w:rPr>
        <w:t xml:space="preserve"> </w:t>
      </w:r>
      <w:r>
        <w:t>this</w:t>
      </w:r>
      <w:r>
        <w:rPr>
          <w:spacing w:val="-1"/>
        </w:rPr>
        <w:t xml:space="preserve"> </w:t>
      </w:r>
      <w:r>
        <w:t>result, but….” Let clients form their own conclusions, but help them by asking, “What do you make of this?” or “What do you think about this?” Focu</w:t>
      </w:r>
      <w:r>
        <w:t>s the conversation on clients’ understanding of the feedback.</w:t>
      </w:r>
    </w:p>
    <w:p w14:paraId="2EB5B655" w14:textId="77777777" w:rsidR="00DB6E1F" w:rsidRDefault="00F666A6">
      <w:pPr>
        <w:pStyle w:val="BodyText"/>
        <w:spacing w:before="159"/>
        <w:ind w:left="1440"/>
        <w:jc w:val="both"/>
      </w:pPr>
      <w:r>
        <w:t>Strategies</w:t>
      </w:r>
      <w:r>
        <w:rPr>
          <w:spacing w:val="-9"/>
        </w:rPr>
        <w:t xml:space="preserve"> </w:t>
      </w:r>
      <w:r>
        <w:t>for</w:t>
      </w:r>
      <w:r>
        <w:rPr>
          <w:spacing w:val="-7"/>
        </w:rPr>
        <w:t xml:space="preserve"> </w:t>
      </w:r>
      <w:r>
        <w:t>presenting</w:t>
      </w:r>
      <w:r>
        <w:rPr>
          <w:spacing w:val="-4"/>
        </w:rPr>
        <w:t xml:space="preserve"> </w:t>
      </w:r>
      <w:r>
        <w:t>personalized</w:t>
      </w:r>
      <w:r>
        <w:rPr>
          <w:spacing w:val="-6"/>
        </w:rPr>
        <w:t xml:space="preserve"> </w:t>
      </w:r>
      <w:r>
        <w:t>feedback</w:t>
      </w:r>
      <w:r>
        <w:rPr>
          <w:spacing w:val="-7"/>
        </w:rPr>
        <w:t xml:space="preserve"> </w:t>
      </w:r>
      <w:r>
        <w:t>to</w:t>
      </w:r>
      <w:r>
        <w:rPr>
          <w:spacing w:val="-4"/>
        </w:rPr>
        <w:t xml:space="preserve"> </w:t>
      </w:r>
      <w:r>
        <w:t>clients</w:t>
      </w:r>
      <w:r>
        <w:rPr>
          <w:spacing w:val="-4"/>
        </w:rPr>
        <w:t xml:space="preserve"> </w:t>
      </w:r>
      <w:r>
        <w:rPr>
          <w:spacing w:val="-2"/>
        </w:rPr>
        <w:t>include:</w:t>
      </w:r>
    </w:p>
    <w:p w14:paraId="0C2097A6" w14:textId="77777777" w:rsidR="00DB6E1F" w:rsidRDefault="00F666A6">
      <w:pPr>
        <w:pStyle w:val="ListParagraph"/>
        <w:numPr>
          <w:ilvl w:val="0"/>
          <w:numId w:val="92"/>
        </w:numPr>
        <w:tabs>
          <w:tab w:val="left" w:pos="1801"/>
        </w:tabs>
        <w:spacing w:before="61"/>
        <w:ind w:left="1800" w:right="1513"/>
        <w:jc w:val="both"/>
        <w:rPr>
          <w:rFonts w:ascii="Symbol" w:hAnsi="Symbol"/>
        </w:rPr>
      </w:pPr>
      <w:r>
        <w:t>Asking</w:t>
      </w:r>
      <w:r>
        <w:rPr>
          <w:spacing w:val="-3"/>
        </w:rPr>
        <w:t xml:space="preserve"> </w:t>
      </w:r>
      <w:r>
        <w:t>about</w:t>
      </w:r>
      <w:r>
        <w:rPr>
          <w:spacing w:val="-4"/>
        </w:rPr>
        <w:t xml:space="preserve"> </w:t>
      </w:r>
      <w:r>
        <w:t>the</w:t>
      </w:r>
      <w:r>
        <w:rPr>
          <w:spacing w:val="-2"/>
        </w:rPr>
        <w:t xml:space="preserve"> </w:t>
      </w:r>
      <w:r>
        <w:t>client’s</w:t>
      </w:r>
      <w:r>
        <w:rPr>
          <w:spacing w:val="-3"/>
        </w:rPr>
        <w:t xml:space="preserve"> </w:t>
      </w:r>
      <w:r>
        <w:t>initial</w:t>
      </w:r>
      <w:r>
        <w:rPr>
          <w:spacing w:val="-3"/>
        </w:rPr>
        <w:t xml:space="preserve"> </w:t>
      </w:r>
      <w:r>
        <w:t>reaction</w:t>
      </w:r>
      <w:r>
        <w:rPr>
          <w:spacing w:val="-5"/>
        </w:rPr>
        <w:t xml:space="preserve"> </w:t>
      </w:r>
      <w:r>
        <w:t>to</w:t>
      </w:r>
      <w:r>
        <w:rPr>
          <w:spacing w:val="-4"/>
        </w:rPr>
        <w:t xml:space="preserve"> </w:t>
      </w:r>
      <w:r>
        <w:t>the</w:t>
      </w:r>
      <w:r>
        <w:rPr>
          <w:spacing w:val="-4"/>
        </w:rPr>
        <w:t xml:space="preserve"> </w:t>
      </w:r>
      <w:r>
        <w:t>tests</w:t>
      </w:r>
      <w:r>
        <w:rPr>
          <w:spacing w:val="-3"/>
        </w:rPr>
        <w:t xml:space="preserve"> </w:t>
      </w:r>
      <w:r>
        <w:t>(e.g.,</w:t>
      </w:r>
      <w:r>
        <w:rPr>
          <w:spacing w:val="-3"/>
        </w:rPr>
        <w:t xml:space="preserve"> </w:t>
      </w:r>
      <w:r>
        <w:t>“Sometimes</w:t>
      </w:r>
      <w:r>
        <w:rPr>
          <w:spacing w:val="-3"/>
        </w:rPr>
        <w:t xml:space="preserve"> </w:t>
      </w:r>
      <w:r>
        <w:t>people</w:t>
      </w:r>
      <w:r>
        <w:rPr>
          <w:spacing w:val="-2"/>
        </w:rPr>
        <w:t xml:space="preserve"> </w:t>
      </w:r>
      <w:r>
        <w:t>learn</w:t>
      </w:r>
      <w:r>
        <w:rPr>
          <w:spacing w:val="-4"/>
        </w:rPr>
        <w:t xml:space="preserve"> </w:t>
      </w:r>
      <w:r>
        <w:t>surprising</w:t>
      </w:r>
      <w:r>
        <w:rPr>
          <w:spacing w:val="-4"/>
        </w:rPr>
        <w:t xml:space="preserve"> </w:t>
      </w:r>
      <w:r>
        <w:t>things when they complete an assessment. What were your reactions to the questionnaire?”).</w:t>
      </w:r>
    </w:p>
    <w:p w14:paraId="59667AB1" w14:textId="77777777" w:rsidR="00DB6E1F" w:rsidRDefault="00F666A6">
      <w:pPr>
        <w:pStyle w:val="ListParagraph"/>
        <w:numPr>
          <w:ilvl w:val="0"/>
          <w:numId w:val="92"/>
        </w:numPr>
        <w:tabs>
          <w:tab w:val="left" w:pos="1801"/>
        </w:tabs>
        <w:ind w:left="1800" w:right="1923"/>
        <w:jc w:val="both"/>
        <w:rPr>
          <w:rFonts w:ascii="Symbol" w:hAnsi="Symbol"/>
        </w:rPr>
      </w:pPr>
      <w:r>
        <w:t>Providing</w:t>
      </w:r>
      <w:r>
        <w:rPr>
          <w:spacing w:val="-1"/>
        </w:rPr>
        <w:t xml:space="preserve"> </w:t>
      </w:r>
      <w:r>
        <w:t>a</w:t>
      </w:r>
      <w:r>
        <w:rPr>
          <w:spacing w:val="-1"/>
        </w:rPr>
        <w:t xml:space="preserve"> </w:t>
      </w:r>
      <w:r>
        <w:t>handout</w:t>
      </w:r>
      <w:r>
        <w:rPr>
          <w:spacing w:val="-3"/>
        </w:rPr>
        <w:t xml:space="preserve"> </w:t>
      </w:r>
      <w:r>
        <w:t>or</w:t>
      </w:r>
      <w:r>
        <w:rPr>
          <w:spacing w:val="-3"/>
        </w:rPr>
        <w:t xml:space="preserve"> </w:t>
      </w:r>
      <w:r>
        <w:t>using</w:t>
      </w:r>
      <w:r>
        <w:rPr>
          <w:spacing w:val="-1"/>
        </w:rPr>
        <w:t xml:space="preserve"> </w:t>
      </w:r>
      <w:r>
        <w:t>visual</w:t>
      </w:r>
      <w:r>
        <w:rPr>
          <w:spacing w:val="-1"/>
        </w:rPr>
        <w:t xml:space="preserve"> </w:t>
      </w:r>
      <w:r>
        <w:t>aids</w:t>
      </w:r>
      <w:r>
        <w:rPr>
          <w:spacing w:val="-1"/>
        </w:rPr>
        <w:t xml:space="preserve"> </w:t>
      </w:r>
      <w:r>
        <w:t>that show</w:t>
      </w:r>
      <w:r>
        <w:rPr>
          <w:spacing w:val="-3"/>
        </w:rPr>
        <w:t xml:space="preserve"> </w:t>
      </w:r>
      <w:r>
        <w:t>the client’s</w:t>
      </w:r>
      <w:r>
        <w:rPr>
          <w:spacing w:val="-1"/>
        </w:rPr>
        <w:t xml:space="preserve"> </w:t>
      </w:r>
      <w:r>
        <w:t>scores</w:t>
      </w:r>
      <w:r>
        <w:rPr>
          <w:spacing w:val="-3"/>
        </w:rPr>
        <w:t xml:space="preserve"> </w:t>
      </w:r>
      <w:r>
        <w:t>on</w:t>
      </w:r>
      <w:r>
        <w:rPr>
          <w:spacing w:val="-4"/>
        </w:rPr>
        <w:t xml:space="preserve"> </w:t>
      </w:r>
      <w:r>
        <w:t>screening</w:t>
      </w:r>
      <w:r>
        <w:rPr>
          <w:spacing w:val="-2"/>
        </w:rPr>
        <w:t xml:space="preserve"> </w:t>
      </w:r>
      <w:r>
        <w:t>instruments, normative</w:t>
      </w:r>
      <w:r>
        <w:rPr>
          <w:spacing w:val="-1"/>
        </w:rPr>
        <w:t xml:space="preserve"> </w:t>
      </w:r>
      <w:r>
        <w:t>data,</w:t>
      </w:r>
      <w:r>
        <w:rPr>
          <w:spacing w:val="-4"/>
        </w:rPr>
        <w:t xml:space="preserve"> </w:t>
      </w:r>
      <w:r>
        <w:t>and</w:t>
      </w:r>
      <w:r>
        <w:rPr>
          <w:spacing w:val="-3"/>
        </w:rPr>
        <w:t xml:space="preserve"> </w:t>
      </w:r>
      <w:r>
        <w:t>risks</w:t>
      </w:r>
      <w:r>
        <w:rPr>
          <w:spacing w:val="-4"/>
        </w:rPr>
        <w:t xml:space="preserve"> </w:t>
      </w:r>
      <w:r>
        <w:t>and</w:t>
      </w:r>
      <w:r>
        <w:rPr>
          <w:spacing w:val="-3"/>
        </w:rPr>
        <w:t xml:space="preserve"> </w:t>
      </w:r>
      <w:r>
        <w:t>consequences</w:t>
      </w:r>
      <w:r>
        <w:rPr>
          <w:spacing w:val="-4"/>
        </w:rPr>
        <w:t xml:space="preserve"> </w:t>
      </w:r>
      <w:r>
        <w:t>of</w:t>
      </w:r>
      <w:r>
        <w:rPr>
          <w:spacing w:val="-1"/>
        </w:rPr>
        <w:t xml:space="preserve"> </w:t>
      </w:r>
      <w:r>
        <w:t>his</w:t>
      </w:r>
      <w:r>
        <w:rPr>
          <w:spacing w:val="-4"/>
        </w:rPr>
        <w:t xml:space="preserve"> </w:t>
      </w:r>
      <w:r>
        <w:t>or</w:t>
      </w:r>
      <w:r>
        <w:rPr>
          <w:spacing w:val="-5"/>
        </w:rPr>
        <w:t xml:space="preserve"> </w:t>
      </w:r>
      <w:r>
        <w:t>her</w:t>
      </w:r>
      <w:r>
        <w:rPr>
          <w:spacing w:val="-1"/>
        </w:rPr>
        <w:t xml:space="preserve"> </w:t>
      </w:r>
      <w:r>
        <w:t>level</w:t>
      </w:r>
      <w:r>
        <w:rPr>
          <w:spacing w:val="-5"/>
        </w:rPr>
        <w:t xml:space="preserve"> </w:t>
      </w:r>
      <w:r>
        <w:t>of</w:t>
      </w:r>
      <w:r>
        <w:rPr>
          <w:spacing w:val="-2"/>
        </w:rPr>
        <w:t xml:space="preserve"> </w:t>
      </w:r>
      <w:r>
        <w:t>substance</w:t>
      </w:r>
      <w:r>
        <w:rPr>
          <w:spacing w:val="-1"/>
        </w:rPr>
        <w:t xml:space="preserve"> </w:t>
      </w:r>
      <w:r>
        <w:t>use</w:t>
      </w:r>
      <w:r>
        <w:rPr>
          <w:spacing w:val="-1"/>
        </w:rPr>
        <w:t xml:space="preserve"> </w:t>
      </w:r>
      <w:r>
        <w:t>(see</w:t>
      </w:r>
      <w:r>
        <w:rPr>
          <w:spacing w:val="-1"/>
        </w:rPr>
        <w:t xml:space="preserve"> </w:t>
      </w:r>
      <w:r>
        <w:t>Exhibit</w:t>
      </w:r>
      <w:r>
        <w:rPr>
          <w:spacing w:val="-1"/>
        </w:rPr>
        <w:t xml:space="preserve"> </w:t>
      </w:r>
      <w:r>
        <w:t>2.1 above). Written materials should be provided in the client’s first language.</w:t>
      </w:r>
    </w:p>
    <w:p w14:paraId="4B7DCBC4" w14:textId="77777777" w:rsidR="00DB6E1F" w:rsidRDefault="00F666A6">
      <w:pPr>
        <w:pStyle w:val="ListParagraph"/>
        <w:numPr>
          <w:ilvl w:val="0"/>
          <w:numId w:val="92"/>
        </w:numPr>
        <w:tabs>
          <w:tab w:val="left" w:pos="1800"/>
          <w:tab w:val="left" w:pos="1801"/>
        </w:tabs>
        <w:spacing w:before="59"/>
        <w:ind w:left="1800"/>
        <w:rPr>
          <w:rFonts w:ascii="Symbol" w:hAnsi="Symbol"/>
        </w:rPr>
      </w:pPr>
      <w:r>
        <w:t>Offering</w:t>
      </w:r>
      <w:r>
        <w:rPr>
          <w:spacing w:val="-7"/>
        </w:rPr>
        <w:t xml:space="preserve"> </w:t>
      </w:r>
      <w:r>
        <w:t>information</w:t>
      </w:r>
      <w:r>
        <w:rPr>
          <w:spacing w:val="-6"/>
        </w:rPr>
        <w:t xml:space="preserve"> </w:t>
      </w:r>
      <w:r>
        <w:t>in</w:t>
      </w:r>
      <w:r>
        <w:rPr>
          <w:spacing w:val="-5"/>
        </w:rPr>
        <w:t xml:space="preserve"> </w:t>
      </w:r>
      <w:r>
        <w:t>a</w:t>
      </w:r>
      <w:r>
        <w:rPr>
          <w:spacing w:val="-8"/>
        </w:rPr>
        <w:t xml:space="preserve"> </w:t>
      </w:r>
      <w:r>
        <w:t>neutral,</w:t>
      </w:r>
      <w:r>
        <w:rPr>
          <w:spacing w:val="-5"/>
        </w:rPr>
        <w:t xml:space="preserve"> </w:t>
      </w:r>
      <w:r>
        <w:t>nonjudgmental,</w:t>
      </w:r>
      <w:r>
        <w:rPr>
          <w:spacing w:val="-6"/>
        </w:rPr>
        <w:t xml:space="preserve"> </w:t>
      </w:r>
      <w:r>
        <w:t>and</w:t>
      </w:r>
      <w:r>
        <w:rPr>
          <w:spacing w:val="-6"/>
        </w:rPr>
        <w:t xml:space="preserve"> </w:t>
      </w:r>
      <w:r>
        <w:t>respectful</w:t>
      </w:r>
      <w:r>
        <w:rPr>
          <w:spacing w:val="-4"/>
        </w:rPr>
        <w:t xml:space="preserve"> way.</w:t>
      </w:r>
    </w:p>
    <w:p w14:paraId="33FEF486" w14:textId="77777777" w:rsidR="00DB6E1F" w:rsidRDefault="00F666A6">
      <w:pPr>
        <w:pStyle w:val="ListParagraph"/>
        <w:numPr>
          <w:ilvl w:val="0"/>
          <w:numId w:val="92"/>
        </w:numPr>
        <w:tabs>
          <w:tab w:val="left" w:pos="1800"/>
          <w:tab w:val="left" w:pos="1801"/>
        </w:tabs>
        <w:ind w:left="1800"/>
        <w:rPr>
          <w:rFonts w:ascii="Symbol" w:hAnsi="Symbol"/>
        </w:rPr>
      </w:pPr>
      <w:r>
        <w:t>Using</w:t>
      </w:r>
      <w:r>
        <w:rPr>
          <w:spacing w:val="-8"/>
        </w:rPr>
        <w:t xml:space="preserve"> </w:t>
      </w:r>
      <w:r>
        <w:t>easy-to-understand</w:t>
      </w:r>
      <w:r>
        <w:rPr>
          <w:spacing w:val="-9"/>
        </w:rPr>
        <w:t xml:space="preserve"> </w:t>
      </w:r>
      <w:r>
        <w:t>and</w:t>
      </w:r>
      <w:r>
        <w:rPr>
          <w:spacing w:val="-8"/>
        </w:rPr>
        <w:t xml:space="preserve"> </w:t>
      </w:r>
      <w:r>
        <w:t>culturally</w:t>
      </w:r>
      <w:r>
        <w:rPr>
          <w:spacing w:val="-7"/>
        </w:rPr>
        <w:t xml:space="preserve"> </w:t>
      </w:r>
      <w:r>
        <w:t>appropriate</w:t>
      </w:r>
      <w:r>
        <w:rPr>
          <w:spacing w:val="-6"/>
        </w:rPr>
        <w:t xml:space="preserve"> </w:t>
      </w:r>
      <w:r>
        <w:rPr>
          <w:spacing w:val="-2"/>
        </w:rPr>
        <w:t>language.</w:t>
      </w:r>
    </w:p>
    <w:p w14:paraId="56F775BF" w14:textId="77777777" w:rsidR="00DB6E1F" w:rsidRDefault="00F666A6">
      <w:pPr>
        <w:pStyle w:val="ListParagraph"/>
        <w:numPr>
          <w:ilvl w:val="0"/>
          <w:numId w:val="92"/>
        </w:numPr>
        <w:tabs>
          <w:tab w:val="left" w:pos="1800"/>
          <w:tab w:val="left" w:pos="1801"/>
        </w:tabs>
        <w:spacing w:before="61"/>
        <w:ind w:left="1800"/>
        <w:rPr>
          <w:rFonts w:ascii="Symbol" w:hAnsi="Symbol"/>
        </w:rPr>
      </w:pPr>
      <w:r>
        <w:t>Providing</w:t>
      </w:r>
      <w:r>
        <w:rPr>
          <w:spacing w:val="-3"/>
        </w:rPr>
        <w:t xml:space="preserve"> </w:t>
      </w:r>
      <w:r>
        <w:t>small</w:t>
      </w:r>
      <w:r>
        <w:rPr>
          <w:spacing w:val="-3"/>
        </w:rPr>
        <w:t xml:space="preserve"> </w:t>
      </w:r>
      <w:r>
        <w:t>chunks</w:t>
      </w:r>
      <w:r>
        <w:rPr>
          <w:spacing w:val="-5"/>
        </w:rPr>
        <w:t xml:space="preserve"> </w:t>
      </w:r>
      <w:r>
        <w:t>of</w:t>
      </w:r>
      <w:r>
        <w:rPr>
          <w:spacing w:val="-2"/>
        </w:rPr>
        <w:t xml:space="preserve"> information.</w:t>
      </w:r>
    </w:p>
    <w:p w14:paraId="6E6CFBA6" w14:textId="77777777" w:rsidR="00DB6E1F" w:rsidRDefault="00F666A6">
      <w:pPr>
        <w:pStyle w:val="ListParagraph"/>
        <w:numPr>
          <w:ilvl w:val="0"/>
          <w:numId w:val="92"/>
        </w:numPr>
        <w:tabs>
          <w:tab w:val="left" w:pos="1800"/>
          <w:tab w:val="left" w:pos="1801"/>
        </w:tabs>
        <w:ind w:left="1800"/>
        <w:rPr>
          <w:rFonts w:ascii="Symbol" w:hAnsi="Symbol"/>
        </w:rPr>
      </w:pPr>
      <w:r>
        <w:t>Using</w:t>
      </w:r>
      <w:r>
        <w:rPr>
          <w:spacing w:val="-7"/>
        </w:rPr>
        <w:t xml:space="preserve"> </w:t>
      </w:r>
      <w:r>
        <w:t>open</w:t>
      </w:r>
      <w:r>
        <w:rPr>
          <w:spacing w:val="-5"/>
        </w:rPr>
        <w:t xml:space="preserve"> </w:t>
      </w:r>
      <w:r>
        <w:t>questions</w:t>
      </w:r>
      <w:r>
        <w:rPr>
          <w:spacing w:val="-6"/>
        </w:rPr>
        <w:t xml:space="preserve"> </w:t>
      </w:r>
      <w:r>
        <w:t>to</w:t>
      </w:r>
      <w:r>
        <w:rPr>
          <w:spacing w:val="-4"/>
        </w:rPr>
        <w:t xml:space="preserve"> </w:t>
      </w:r>
      <w:r>
        <w:t>explore</w:t>
      </w:r>
      <w:r>
        <w:rPr>
          <w:spacing w:val="-3"/>
        </w:rPr>
        <w:t xml:space="preserve"> </w:t>
      </w:r>
      <w:r>
        <w:t>the</w:t>
      </w:r>
      <w:r>
        <w:rPr>
          <w:spacing w:val="-4"/>
        </w:rPr>
        <w:t xml:space="preserve"> </w:t>
      </w:r>
      <w:r>
        <w:t>client’s</w:t>
      </w:r>
      <w:r>
        <w:rPr>
          <w:spacing w:val="-4"/>
        </w:rPr>
        <w:t xml:space="preserve"> </w:t>
      </w:r>
      <w:r>
        <w:t>understanding</w:t>
      </w:r>
      <w:r>
        <w:rPr>
          <w:spacing w:val="-6"/>
        </w:rPr>
        <w:t xml:space="preserve"> </w:t>
      </w:r>
      <w:r>
        <w:t>of</w:t>
      </w:r>
      <w:r>
        <w:rPr>
          <w:spacing w:val="-4"/>
        </w:rPr>
        <w:t xml:space="preserve"> </w:t>
      </w:r>
      <w:r>
        <w:t>the</w:t>
      </w:r>
      <w:r>
        <w:rPr>
          <w:spacing w:val="-4"/>
        </w:rPr>
        <w:t xml:space="preserve"> </w:t>
      </w:r>
      <w:r>
        <w:rPr>
          <w:spacing w:val="-2"/>
        </w:rPr>
        <w:t>information.</w:t>
      </w:r>
    </w:p>
    <w:p w14:paraId="65FEF248" w14:textId="77777777" w:rsidR="00DB6E1F" w:rsidRDefault="00F666A6">
      <w:pPr>
        <w:pStyle w:val="ListParagraph"/>
        <w:numPr>
          <w:ilvl w:val="0"/>
          <w:numId w:val="92"/>
        </w:numPr>
        <w:tabs>
          <w:tab w:val="left" w:pos="1800"/>
          <w:tab w:val="left" w:pos="1801"/>
        </w:tabs>
        <w:spacing w:before="58"/>
        <w:ind w:left="1800" w:right="2500" w:hanging="360"/>
        <w:rPr>
          <w:rFonts w:ascii="Symbol" w:hAnsi="Symbol"/>
        </w:rPr>
      </w:pPr>
      <w:r>
        <w:t>Using</w:t>
      </w:r>
      <w:r>
        <w:rPr>
          <w:spacing w:val="-3"/>
        </w:rPr>
        <w:t xml:space="preserve"> </w:t>
      </w:r>
      <w:r>
        <w:t>reflective</w:t>
      </w:r>
      <w:r>
        <w:rPr>
          <w:spacing w:val="-2"/>
        </w:rPr>
        <w:t xml:space="preserve"> </w:t>
      </w:r>
      <w:r>
        <w:t>listening</w:t>
      </w:r>
      <w:r>
        <w:rPr>
          <w:spacing w:val="-4"/>
        </w:rPr>
        <w:t xml:space="preserve"> </w:t>
      </w:r>
      <w:r>
        <w:t>and</w:t>
      </w:r>
      <w:r>
        <w:rPr>
          <w:spacing w:val="-4"/>
        </w:rPr>
        <w:t xml:space="preserve"> </w:t>
      </w:r>
      <w:r>
        <w:t>an</w:t>
      </w:r>
      <w:r>
        <w:rPr>
          <w:spacing w:val="-4"/>
        </w:rPr>
        <w:t xml:space="preserve"> </w:t>
      </w:r>
      <w:r>
        <w:t>empathetic</w:t>
      </w:r>
      <w:r>
        <w:rPr>
          <w:spacing w:val="-5"/>
        </w:rPr>
        <w:t xml:space="preserve"> </w:t>
      </w:r>
      <w:r>
        <w:t>counseling</w:t>
      </w:r>
      <w:r>
        <w:rPr>
          <w:spacing w:val="-4"/>
        </w:rPr>
        <w:t xml:space="preserve"> </w:t>
      </w:r>
      <w:r>
        <w:t>style</w:t>
      </w:r>
      <w:r>
        <w:rPr>
          <w:spacing w:val="-5"/>
        </w:rPr>
        <w:t xml:space="preserve"> </w:t>
      </w:r>
      <w:r>
        <w:t>that</w:t>
      </w:r>
      <w:r>
        <w:rPr>
          <w:spacing w:val="-4"/>
        </w:rPr>
        <w:t xml:space="preserve"> </w:t>
      </w:r>
      <w:r>
        <w:t>emphasizes</w:t>
      </w:r>
      <w:r>
        <w:rPr>
          <w:spacing w:val="-3"/>
        </w:rPr>
        <w:t xml:space="preserve"> </w:t>
      </w:r>
      <w:r>
        <w:t>the</w:t>
      </w:r>
      <w:r>
        <w:rPr>
          <w:spacing w:val="-2"/>
        </w:rPr>
        <w:t xml:space="preserve"> </w:t>
      </w:r>
      <w:r>
        <w:t>client’s perspective on feedback and how it may have affected the client’s readiness to change.</w:t>
      </w:r>
    </w:p>
    <w:p w14:paraId="00A1B26A" w14:textId="77777777" w:rsidR="00DB6E1F" w:rsidRDefault="00F666A6">
      <w:pPr>
        <w:pStyle w:val="ListParagraph"/>
        <w:numPr>
          <w:ilvl w:val="0"/>
          <w:numId w:val="92"/>
        </w:numPr>
        <w:tabs>
          <w:tab w:val="left" w:pos="1800"/>
          <w:tab w:val="left" w:pos="1801"/>
        </w:tabs>
        <w:spacing w:before="61"/>
        <w:ind w:left="1800" w:right="1462" w:hanging="360"/>
        <w:rPr>
          <w:rFonts w:ascii="Symbol" w:hAnsi="Symbol"/>
        </w:rPr>
      </w:pPr>
      <w:r>
        <w:t>Summarizing</w:t>
      </w:r>
      <w:r>
        <w:rPr>
          <w:spacing w:val="-3"/>
        </w:rPr>
        <w:t xml:space="preserve"> </w:t>
      </w:r>
      <w:r>
        <w:t>results,</w:t>
      </w:r>
      <w:r>
        <w:rPr>
          <w:spacing w:val="-2"/>
        </w:rPr>
        <w:t xml:space="preserve"> </w:t>
      </w:r>
      <w:r>
        <w:t>including</w:t>
      </w:r>
      <w:r>
        <w:rPr>
          <w:spacing w:val="-3"/>
        </w:rPr>
        <w:t xml:space="preserve"> </w:t>
      </w:r>
      <w:r>
        <w:t>risks</w:t>
      </w:r>
      <w:r>
        <w:rPr>
          <w:spacing w:val="-2"/>
        </w:rPr>
        <w:t xml:space="preserve"> </w:t>
      </w:r>
      <w:r>
        <w:t>and</w:t>
      </w:r>
      <w:r>
        <w:rPr>
          <w:spacing w:val="-3"/>
        </w:rPr>
        <w:t xml:space="preserve"> </w:t>
      </w:r>
      <w:r>
        <w:t>problems</w:t>
      </w:r>
      <w:r>
        <w:rPr>
          <w:spacing w:val="-4"/>
        </w:rPr>
        <w:t xml:space="preserve"> </w:t>
      </w:r>
      <w:r>
        <w:t>that</w:t>
      </w:r>
      <w:r>
        <w:rPr>
          <w:spacing w:val="-4"/>
        </w:rPr>
        <w:t xml:space="preserve"> </w:t>
      </w:r>
      <w:r>
        <w:t>have</w:t>
      </w:r>
      <w:r>
        <w:rPr>
          <w:spacing w:val="-4"/>
        </w:rPr>
        <w:t xml:space="preserve"> </w:t>
      </w:r>
      <w:r>
        <w:t>emerged,</w:t>
      </w:r>
      <w:r>
        <w:rPr>
          <w:spacing w:val="-4"/>
        </w:rPr>
        <w:t xml:space="preserve"> </w:t>
      </w:r>
      <w:r>
        <w:t>the</w:t>
      </w:r>
      <w:r>
        <w:rPr>
          <w:spacing w:val="-3"/>
        </w:rPr>
        <w:t xml:space="preserve"> </w:t>
      </w:r>
      <w:r>
        <w:t>client’s</w:t>
      </w:r>
      <w:r>
        <w:rPr>
          <w:spacing w:val="-4"/>
        </w:rPr>
        <w:t xml:space="preserve"> </w:t>
      </w:r>
      <w:r>
        <w:t>reactions,</w:t>
      </w:r>
      <w:r>
        <w:rPr>
          <w:spacing w:val="-2"/>
        </w:rPr>
        <w:t xml:space="preserve"> </w:t>
      </w:r>
      <w:r>
        <w:t>and</w:t>
      </w:r>
      <w:r>
        <w:rPr>
          <w:spacing w:val="-3"/>
        </w:rPr>
        <w:t xml:space="preserve"> </w:t>
      </w:r>
      <w:r>
        <w:t>any change talk the feedback has prompted, then asking the clie</w:t>
      </w:r>
      <w:r>
        <w:t>nt to add to or correct the summary.</w:t>
      </w:r>
    </w:p>
    <w:p w14:paraId="56464275" w14:textId="77777777" w:rsidR="00DB6E1F" w:rsidRDefault="00F666A6">
      <w:pPr>
        <w:pStyle w:val="ListParagraph"/>
        <w:numPr>
          <w:ilvl w:val="0"/>
          <w:numId w:val="92"/>
        </w:numPr>
        <w:tabs>
          <w:tab w:val="left" w:pos="1800"/>
          <w:tab w:val="left" w:pos="1801"/>
        </w:tabs>
        <w:spacing w:before="58"/>
        <w:ind w:left="1800"/>
        <w:rPr>
          <w:rFonts w:ascii="Symbol" w:hAnsi="Symbol"/>
        </w:rPr>
      </w:pPr>
      <w:r>
        <w:t>Providing</w:t>
      </w:r>
      <w:r>
        <w:rPr>
          <w:spacing w:val="-4"/>
        </w:rPr>
        <w:t xml:space="preserve"> </w:t>
      </w:r>
      <w:r>
        <w:t>a</w:t>
      </w:r>
      <w:r>
        <w:rPr>
          <w:spacing w:val="-4"/>
        </w:rPr>
        <w:t xml:space="preserve"> </w:t>
      </w:r>
      <w:r>
        <w:t>written</w:t>
      </w:r>
      <w:r>
        <w:rPr>
          <w:spacing w:val="-6"/>
        </w:rPr>
        <w:t xml:space="preserve"> </w:t>
      </w:r>
      <w:r>
        <w:t>summary</w:t>
      </w:r>
      <w:r>
        <w:rPr>
          <w:spacing w:val="-3"/>
        </w:rPr>
        <w:t xml:space="preserve"> </w:t>
      </w:r>
      <w:r>
        <w:t>to</w:t>
      </w:r>
      <w:r>
        <w:rPr>
          <w:spacing w:val="-3"/>
        </w:rPr>
        <w:t xml:space="preserve"> </w:t>
      </w:r>
      <w:r>
        <w:t>the</w:t>
      </w:r>
      <w:r>
        <w:rPr>
          <w:spacing w:val="-2"/>
        </w:rPr>
        <w:t xml:space="preserve"> client.</w:t>
      </w:r>
    </w:p>
    <w:p w14:paraId="607053F3" w14:textId="77777777" w:rsidR="00DB6E1F" w:rsidRDefault="00F666A6">
      <w:pPr>
        <w:spacing w:before="161"/>
        <w:ind w:left="1440" w:right="1444"/>
      </w:pPr>
      <w:r>
        <w:t>Clients’ responses to feedback differ. One may be alarmed to find that she drinks much more in a given week than comparable peers but be unconcerned about potential health risk</w:t>
      </w:r>
      <w:r>
        <w:t>s of</w:t>
      </w:r>
      <w:r>
        <w:rPr>
          <w:spacing w:val="-2"/>
        </w:rPr>
        <w:t xml:space="preserve"> </w:t>
      </w:r>
      <w:r>
        <w:t>drinking. Another may be concerned about his potential health risks at this level of drinking. The key to using feedback to enhance</w:t>
      </w:r>
      <w:r>
        <w:rPr>
          <w:spacing w:val="-4"/>
        </w:rPr>
        <w:t xml:space="preserve"> </w:t>
      </w:r>
      <w:r>
        <w:t>motivation</w:t>
      </w:r>
      <w:r>
        <w:rPr>
          <w:spacing w:val="-3"/>
        </w:rPr>
        <w:t xml:space="preserve"> </w:t>
      </w:r>
      <w:r>
        <w:t>is</w:t>
      </w:r>
      <w:r>
        <w:rPr>
          <w:spacing w:val="-4"/>
        </w:rPr>
        <w:t xml:space="preserve"> </w:t>
      </w:r>
      <w:r>
        <w:t>to</w:t>
      </w:r>
      <w:r>
        <w:rPr>
          <w:spacing w:val="-3"/>
        </w:rPr>
        <w:t xml:space="preserve"> </w:t>
      </w:r>
      <w:r>
        <w:rPr>
          <w:b/>
        </w:rPr>
        <w:t>continue</w:t>
      </w:r>
      <w:r>
        <w:rPr>
          <w:b/>
          <w:spacing w:val="-3"/>
        </w:rPr>
        <w:t xml:space="preserve"> </w:t>
      </w:r>
      <w:r>
        <w:rPr>
          <w:b/>
        </w:rPr>
        <w:t>to</w:t>
      </w:r>
      <w:r>
        <w:rPr>
          <w:b/>
          <w:spacing w:val="-3"/>
        </w:rPr>
        <w:t xml:space="preserve"> </w:t>
      </w:r>
      <w:r>
        <w:rPr>
          <w:b/>
        </w:rPr>
        <w:t>explore</w:t>
      </w:r>
      <w:r>
        <w:rPr>
          <w:b/>
          <w:spacing w:val="-3"/>
        </w:rPr>
        <w:t xml:space="preserve"> </w:t>
      </w:r>
      <w:r>
        <w:rPr>
          <w:b/>
        </w:rPr>
        <w:t>the</w:t>
      </w:r>
      <w:r>
        <w:rPr>
          <w:b/>
          <w:spacing w:val="-3"/>
        </w:rPr>
        <w:t xml:space="preserve"> </w:t>
      </w:r>
      <w:r>
        <w:rPr>
          <w:b/>
        </w:rPr>
        <w:t>client’s</w:t>
      </w:r>
      <w:r>
        <w:rPr>
          <w:b/>
          <w:spacing w:val="-1"/>
        </w:rPr>
        <w:t xml:space="preserve"> </w:t>
      </w:r>
      <w:r>
        <w:rPr>
          <w:b/>
        </w:rPr>
        <w:t>understanding</w:t>
      </w:r>
      <w:r>
        <w:rPr>
          <w:b/>
          <w:spacing w:val="-1"/>
        </w:rPr>
        <w:t xml:space="preserve"> </w:t>
      </w:r>
      <w:r>
        <w:rPr>
          <w:b/>
        </w:rPr>
        <w:t>of</w:t>
      </w:r>
      <w:r>
        <w:rPr>
          <w:b/>
          <w:spacing w:val="-2"/>
        </w:rPr>
        <w:t xml:space="preserve"> </w:t>
      </w:r>
      <w:r>
        <w:rPr>
          <w:b/>
        </w:rPr>
        <w:t>the</w:t>
      </w:r>
      <w:r>
        <w:rPr>
          <w:b/>
          <w:spacing w:val="-3"/>
        </w:rPr>
        <w:t xml:space="preserve"> </w:t>
      </w:r>
      <w:r>
        <w:rPr>
          <w:b/>
        </w:rPr>
        <w:t>information</w:t>
      </w:r>
      <w:r>
        <w:rPr>
          <w:b/>
          <w:spacing w:val="-3"/>
        </w:rPr>
        <w:t xml:space="preserve"> </w:t>
      </w:r>
      <w:r>
        <w:rPr>
          <w:b/>
        </w:rPr>
        <w:t>and</w:t>
      </w:r>
      <w:r>
        <w:rPr>
          <w:b/>
          <w:spacing w:val="-3"/>
        </w:rPr>
        <w:t xml:space="preserve"> </w:t>
      </w:r>
      <w:r>
        <w:rPr>
          <w:b/>
        </w:rPr>
        <w:t>what</w:t>
      </w:r>
      <w:r>
        <w:rPr>
          <w:b/>
          <w:spacing w:val="-2"/>
        </w:rPr>
        <w:t xml:space="preserve"> </w:t>
      </w:r>
      <w:r>
        <w:rPr>
          <w:b/>
        </w:rPr>
        <w:t xml:space="preserve">it may suggest about possible behavior change. </w:t>
      </w:r>
      <w:r>
        <w:t>Personalized feedback is applicable to other health-risk behaviors issues, such as tobacco use (Steinberg, Williams, Stahl, Budsock, &amp; Cooperman, 2015).</w:t>
      </w:r>
    </w:p>
    <w:p w14:paraId="50518797" w14:textId="77777777" w:rsidR="00DB6E1F" w:rsidRDefault="00DB6E1F">
      <w:pPr>
        <w:pStyle w:val="BodyText"/>
        <w:spacing w:before="7"/>
        <w:rPr>
          <w:sz w:val="16"/>
        </w:rPr>
      </w:pPr>
    </w:p>
    <w:p w14:paraId="62CB7E6D" w14:textId="77777777" w:rsidR="00DB6E1F" w:rsidRDefault="00F666A6">
      <w:pPr>
        <w:pStyle w:val="Heading4"/>
      </w:pPr>
      <w:bookmarkStart w:id="59" w:name="Responsibility"/>
      <w:bookmarkEnd w:id="59"/>
      <w:r>
        <w:rPr>
          <w:spacing w:val="-2"/>
        </w:rPr>
        <w:t>Responsibility</w:t>
      </w:r>
    </w:p>
    <w:p w14:paraId="33BDFBE2" w14:textId="77777777" w:rsidR="00DB6E1F" w:rsidRDefault="00F666A6">
      <w:pPr>
        <w:spacing w:before="86"/>
        <w:ind w:left="1439" w:right="1491"/>
      </w:pPr>
      <w:r>
        <w:rPr>
          <w:b/>
        </w:rPr>
        <w:t>Use a motivational approach to encourage</w:t>
      </w:r>
      <w:r>
        <w:rPr>
          <w:b/>
        </w:rPr>
        <w:t xml:space="preserve"> clients to actively participate in the change process by reinforcing personal autonomy. </w:t>
      </w:r>
      <w:r>
        <w:t>Individuals have the choice of continuing their behavior or changing it. Remind</w:t>
      </w:r>
      <w:r>
        <w:rPr>
          <w:spacing w:val="-5"/>
        </w:rPr>
        <w:t xml:space="preserve"> </w:t>
      </w:r>
      <w:r>
        <w:t>clients</w:t>
      </w:r>
      <w:r>
        <w:rPr>
          <w:spacing w:val="-4"/>
        </w:rPr>
        <w:t xml:space="preserve"> </w:t>
      </w:r>
      <w:r>
        <w:t>that</w:t>
      </w:r>
      <w:r>
        <w:rPr>
          <w:spacing w:val="-1"/>
        </w:rPr>
        <w:t xml:space="preserve"> </w:t>
      </w:r>
      <w:r>
        <w:t>it</w:t>
      </w:r>
      <w:r>
        <w:rPr>
          <w:spacing w:val="-4"/>
        </w:rPr>
        <w:t xml:space="preserve"> </w:t>
      </w:r>
      <w:r>
        <w:t>is</w:t>
      </w:r>
      <w:r>
        <w:rPr>
          <w:spacing w:val="-1"/>
        </w:rPr>
        <w:t xml:space="preserve"> </w:t>
      </w:r>
      <w:r>
        <w:t>up</w:t>
      </w:r>
      <w:r>
        <w:rPr>
          <w:spacing w:val="-5"/>
        </w:rPr>
        <w:t xml:space="preserve"> </w:t>
      </w:r>
      <w:r>
        <w:t>to</w:t>
      </w:r>
      <w:r>
        <w:rPr>
          <w:spacing w:val="-3"/>
        </w:rPr>
        <w:t xml:space="preserve"> </w:t>
      </w:r>
      <w:r>
        <w:t>them to</w:t>
      </w:r>
      <w:r>
        <w:rPr>
          <w:spacing w:val="-2"/>
        </w:rPr>
        <w:t xml:space="preserve"> </w:t>
      </w:r>
      <w:r>
        <w:t>make</w:t>
      </w:r>
      <w:r>
        <w:rPr>
          <w:spacing w:val="-1"/>
        </w:rPr>
        <w:t xml:space="preserve"> </w:t>
      </w:r>
      <w:r>
        <w:t>choices</w:t>
      </w:r>
      <w:r>
        <w:rPr>
          <w:spacing w:val="-4"/>
        </w:rPr>
        <w:t xml:space="preserve"> </w:t>
      </w:r>
      <w:r>
        <w:t>about</w:t>
      </w:r>
      <w:r>
        <w:rPr>
          <w:spacing w:val="-1"/>
        </w:rPr>
        <w:t xml:space="preserve"> </w:t>
      </w:r>
      <w:r>
        <w:t>whether</w:t>
      </w:r>
      <w:r>
        <w:rPr>
          <w:spacing w:val="-5"/>
        </w:rPr>
        <w:t xml:space="preserve"> </w:t>
      </w:r>
      <w:r>
        <w:t>they</w:t>
      </w:r>
      <w:r>
        <w:rPr>
          <w:spacing w:val="-3"/>
        </w:rPr>
        <w:t xml:space="preserve"> </w:t>
      </w:r>
      <w:r>
        <w:t>will</w:t>
      </w:r>
      <w:r>
        <w:rPr>
          <w:spacing w:val="-5"/>
        </w:rPr>
        <w:t xml:space="preserve"> </w:t>
      </w:r>
      <w:r>
        <w:t>change</w:t>
      </w:r>
      <w:r>
        <w:rPr>
          <w:spacing w:val="-1"/>
        </w:rPr>
        <w:t xml:space="preserve"> </w:t>
      </w:r>
      <w:r>
        <w:t>their</w:t>
      </w:r>
      <w:r>
        <w:rPr>
          <w:spacing w:val="-2"/>
        </w:rPr>
        <w:t xml:space="preserve"> </w:t>
      </w:r>
      <w:r>
        <w:t>subs</w:t>
      </w:r>
      <w:r>
        <w:t>tance</w:t>
      </w:r>
      <w:r>
        <w:rPr>
          <w:spacing w:val="-1"/>
        </w:rPr>
        <w:t xml:space="preserve"> </w:t>
      </w:r>
      <w:r>
        <w:t>use behaviors or enter treatment. Reinforcing personal autonomy is aligned with the self-determination theory discussed in Chapter 1 (Deci &amp; Ryan, 2012; Flannery, 2017).</w:t>
      </w:r>
    </w:p>
    <w:p w14:paraId="1A74D03D" w14:textId="77777777" w:rsidR="00DB6E1F" w:rsidRDefault="00F666A6">
      <w:pPr>
        <w:pStyle w:val="BodyText"/>
        <w:spacing w:before="159"/>
        <w:ind w:left="1439"/>
      </w:pPr>
      <w:r>
        <w:t>Strategies</w:t>
      </w:r>
      <w:r>
        <w:rPr>
          <w:spacing w:val="-9"/>
        </w:rPr>
        <w:t xml:space="preserve"> </w:t>
      </w:r>
      <w:r>
        <w:t>for</w:t>
      </w:r>
      <w:r>
        <w:rPr>
          <w:spacing w:val="-6"/>
        </w:rPr>
        <w:t xml:space="preserve"> </w:t>
      </w:r>
      <w:r>
        <w:t>emphasizing</w:t>
      </w:r>
      <w:r>
        <w:rPr>
          <w:spacing w:val="-5"/>
        </w:rPr>
        <w:t xml:space="preserve"> </w:t>
      </w:r>
      <w:r>
        <w:t>client</w:t>
      </w:r>
      <w:r>
        <w:rPr>
          <w:spacing w:val="-3"/>
        </w:rPr>
        <w:t xml:space="preserve"> </w:t>
      </w:r>
      <w:r>
        <w:t>responsibility</w:t>
      </w:r>
      <w:r>
        <w:rPr>
          <w:spacing w:val="-6"/>
        </w:rPr>
        <w:t xml:space="preserve"> </w:t>
      </w:r>
      <w:r>
        <w:t>include</w:t>
      </w:r>
      <w:r>
        <w:rPr>
          <w:spacing w:val="-7"/>
        </w:rPr>
        <w:t xml:space="preserve"> </w:t>
      </w:r>
      <w:r>
        <w:t>the</w:t>
      </w:r>
      <w:r>
        <w:rPr>
          <w:spacing w:val="-3"/>
        </w:rPr>
        <w:t xml:space="preserve"> </w:t>
      </w:r>
      <w:r>
        <w:rPr>
          <w:spacing w:val="-2"/>
        </w:rPr>
        <w:t>following:</w:t>
      </w:r>
    </w:p>
    <w:p w14:paraId="0E658469" w14:textId="77777777" w:rsidR="00DB6E1F" w:rsidRDefault="00F666A6">
      <w:pPr>
        <w:pStyle w:val="ListParagraph"/>
        <w:numPr>
          <w:ilvl w:val="0"/>
          <w:numId w:val="92"/>
        </w:numPr>
        <w:tabs>
          <w:tab w:val="left" w:pos="1799"/>
          <w:tab w:val="left" w:pos="1800"/>
        </w:tabs>
        <w:spacing w:before="58"/>
        <w:ind w:left="1799" w:right="1778"/>
        <w:rPr>
          <w:rFonts w:ascii="Symbol" w:hAnsi="Symbol"/>
        </w:rPr>
      </w:pPr>
      <w:r>
        <w:t>Ask</w:t>
      </w:r>
      <w:r>
        <w:rPr>
          <w:spacing w:val="-2"/>
        </w:rPr>
        <w:t xml:space="preserve"> </w:t>
      </w:r>
      <w:r>
        <w:t>clients’</w:t>
      </w:r>
      <w:r>
        <w:rPr>
          <w:spacing w:val="-2"/>
        </w:rPr>
        <w:t xml:space="preserve"> </w:t>
      </w:r>
      <w:r>
        <w:t>permission</w:t>
      </w:r>
      <w:r>
        <w:rPr>
          <w:spacing w:val="-3"/>
        </w:rPr>
        <w:t xml:space="preserve"> </w:t>
      </w:r>
      <w:r>
        <w:t>to</w:t>
      </w:r>
      <w:r>
        <w:rPr>
          <w:spacing w:val="-1"/>
        </w:rPr>
        <w:t xml:space="preserve"> </w:t>
      </w:r>
      <w:r>
        <w:t>talk</w:t>
      </w:r>
      <w:r>
        <w:rPr>
          <w:spacing w:val="-1"/>
        </w:rPr>
        <w:t xml:space="preserve"> </w:t>
      </w:r>
      <w:r>
        <w:t>about</w:t>
      </w:r>
      <w:r>
        <w:rPr>
          <w:spacing w:val="-4"/>
        </w:rPr>
        <w:t xml:space="preserve"> </w:t>
      </w:r>
      <w:r>
        <w:t>their</w:t>
      </w:r>
      <w:r>
        <w:rPr>
          <w:spacing w:val="-5"/>
        </w:rPr>
        <w:t xml:space="preserve"> </w:t>
      </w:r>
      <w:r>
        <w:t>substance</w:t>
      </w:r>
      <w:r>
        <w:rPr>
          <w:spacing w:val="-1"/>
        </w:rPr>
        <w:t xml:space="preserve"> </w:t>
      </w:r>
      <w:r>
        <w:t>use;</w:t>
      </w:r>
      <w:r>
        <w:rPr>
          <w:spacing w:val="-1"/>
        </w:rPr>
        <w:t xml:space="preserve"> </w:t>
      </w:r>
      <w:r>
        <w:t>invite</w:t>
      </w:r>
      <w:r>
        <w:rPr>
          <w:spacing w:val="-4"/>
        </w:rPr>
        <w:t xml:space="preserve"> </w:t>
      </w:r>
      <w:r>
        <w:t>them</w:t>
      </w:r>
      <w:r>
        <w:rPr>
          <w:spacing w:val="-1"/>
        </w:rPr>
        <w:t xml:space="preserve"> </w:t>
      </w:r>
      <w:r>
        <w:t>to</w:t>
      </w:r>
      <w:r>
        <w:rPr>
          <w:spacing w:val="-3"/>
        </w:rPr>
        <w:t xml:space="preserve"> </w:t>
      </w:r>
      <w:r>
        <w:t>consider</w:t>
      </w:r>
      <w:r>
        <w:rPr>
          <w:spacing w:val="-6"/>
        </w:rPr>
        <w:t xml:space="preserve"> </w:t>
      </w:r>
      <w:r>
        <w:t>the</w:t>
      </w:r>
      <w:r>
        <w:rPr>
          <w:spacing w:val="-1"/>
        </w:rPr>
        <w:t xml:space="preserve"> </w:t>
      </w:r>
      <w:r>
        <w:t>information you are presenting. If clients have choices, they feel less need to oppose or dismiss your ideas.</w:t>
      </w:r>
    </w:p>
    <w:p w14:paraId="67957839" w14:textId="77777777" w:rsidR="00DB6E1F" w:rsidRDefault="00F666A6">
      <w:pPr>
        <w:pStyle w:val="ListParagraph"/>
        <w:numPr>
          <w:ilvl w:val="0"/>
          <w:numId w:val="92"/>
        </w:numPr>
        <w:tabs>
          <w:tab w:val="left" w:pos="1799"/>
          <w:tab w:val="left" w:pos="1800"/>
        </w:tabs>
        <w:spacing w:before="61"/>
        <w:ind w:left="1799" w:right="1472" w:hanging="360"/>
        <w:rPr>
          <w:rFonts w:ascii="Symbol" w:hAnsi="Symbol"/>
        </w:rPr>
      </w:pPr>
      <w:r>
        <w:t>State</w:t>
      </w:r>
      <w:r>
        <w:rPr>
          <w:spacing w:val="-1"/>
        </w:rPr>
        <w:t xml:space="preserve"> </w:t>
      </w:r>
      <w:r>
        <w:t>clearly</w:t>
      </w:r>
      <w:r>
        <w:rPr>
          <w:spacing w:val="-3"/>
        </w:rPr>
        <w:t xml:space="preserve"> </w:t>
      </w:r>
      <w:r>
        <w:t>that</w:t>
      </w:r>
      <w:r>
        <w:rPr>
          <w:spacing w:val="-4"/>
        </w:rPr>
        <w:t xml:space="preserve"> </w:t>
      </w:r>
      <w:r>
        <w:t>you</w:t>
      </w:r>
      <w:r>
        <w:rPr>
          <w:spacing w:val="-3"/>
        </w:rPr>
        <w:t xml:space="preserve"> </w:t>
      </w:r>
      <w:r>
        <w:t>will</w:t>
      </w:r>
      <w:r>
        <w:rPr>
          <w:spacing w:val="-2"/>
        </w:rPr>
        <w:t xml:space="preserve"> </w:t>
      </w:r>
      <w:r>
        <w:t>not</w:t>
      </w:r>
      <w:r>
        <w:rPr>
          <w:spacing w:val="-1"/>
        </w:rPr>
        <w:t xml:space="preserve"> </w:t>
      </w:r>
      <w:r>
        <w:t>ask</w:t>
      </w:r>
      <w:r>
        <w:rPr>
          <w:spacing w:val="-2"/>
        </w:rPr>
        <w:t xml:space="preserve"> </w:t>
      </w:r>
      <w:r>
        <w:t>clients</w:t>
      </w:r>
      <w:r>
        <w:rPr>
          <w:spacing w:val="-1"/>
        </w:rPr>
        <w:t xml:space="preserve"> </w:t>
      </w:r>
      <w:r>
        <w:t>to</w:t>
      </w:r>
      <w:r>
        <w:rPr>
          <w:spacing w:val="-1"/>
        </w:rPr>
        <w:t xml:space="preserve"> </w:t>
      </w:r>
      <w:r>
        <w:t>do</w:t>
      </w:r>
      <w:r>
        <w:rPr>
          <w:spacing w:val="-1"/>
        </w:rPr>
        <w:t xml:space="preserve"> </w:t>
      </w:r>
      <w:r>
        <w:t>anything</w:t>
      </w:r>
      <w:r>
        <w:rPr>
          <w:spacing w:val="-3"/>
        </w:rPr>
        <w:t xml:space="preserve"> </w:t>
      </w:r>
      <w:r>
        <w:t>they</w:t>
      </w:r>
      <w:r>
        <w:rPr>
          <w:spacing w:val="-3"/>
        </w:rPr>
        <w:t xml:space="preserve"> </w:t>
      </w:r>
      <w:r>
        <w:t>are</w:t>
      </w:r>
      <w:r>
        <w:rPr>
          <w:spacing w:val="-1"/>
        </w:rPr>
        <w:t xml:space="preserve"> </w:t>
      </w:r>
      <w:r>
        <w:t>unwilling</w:t>
      </w:r>
      <w:r>
        <w:rPr>
          <w:spacing w:val="-3"/>
        </w:rPr>
        <w:t xml:space="preserve"> </w:t>
      </w:r>
      <w:r>
        <w:t>to</w:t>
      </w:r>
      <w:r>
        <w:rPr>
          <w:spacing w:val="-1"/>
        </w:rPr>
        <w:t xml:space="preserve"> </w:t>
      </w:r>
      <w:r>
        <w:t>do.</w:t>
      </w:r>
      <w:r>
        <w:rPr>
          <w:spacing w:val="-5"/>
        </w:rPr>
        <w:t xml:space="preserve"> </w:t>
      </w:r>
      <w:r>
        <w:t>Let</w:t>
      </w:r>
      <w:r>
        <w:rPr>
          <w:spacing w:val="-4"/>
        </w:rPr>
        <w:t xml:space="preserve"> </w:t>
      </w:r>
      <w:r>
        <w:t>them</w:t>
      </w:r>
      <w:r>
        <w:rPr>
          <w:spacing w:val="-1"/>
        </w:rPr>
        <w:t xml:space="preserve"> </w:t>
      </w:r>
      <w:r>
        <w:t>know</w:t>
      </w:r>
      <w:r>
        <w:rPr>
          <w:spacing w:val="-4"/>
        </w:rPr>
        <w:t xml:space="preserve"> </w:t>
      </w:r>
      <w:r>
        <w:t>that it is up to them to make choices about beh</w:t>
      </w:r>
      <w:r>
        <w:t>avior change.</w:t>
      </w:r>
    </w:p>
    <w:p w14:paraId="6C3218DE" w14:textId="77777777" w:rsidR="00DB6E1F" w:rsidRDefault="00F666A6">
      <w:pPr>
        <w:pStyle w:val="ListParagraph"/>
        <w:numPr>
          <w:ilvl w:val="0"/>
          <w:numId w:val="92"/>
        </w:numPr>
        <w:tabs>
          <w:tab w:val="left" w:pos="1799"/>
          <w:tab w:val="left" w:pos="1800"/>
        </w:tabs>
        <w:spacing w:before="61"/>
        <w:ind w:left="1799"/>
        <w:rPr>
          <w:rFonts w:ascii="Symbol" w:hAnsi="Symbol"/>
        </w:rPr>
      </w:pPr>
      <w:r>
        <w:t>Determine</w:t>
      </w:r>
      <w:r>
        <w:rPr>
          <w:spacing w:val="-2"/>
        </w:rPr>
        <w:t xml:space="preserve"> </w:t>
      </w:r>
      <w:r>
        <w:t>a</w:t>
      </w:r>
      <w:r>
        <w:rPr>
          <w:spacing w:val="-6"/>
        </w:rPr>
        <w:t xml:space="preserve"> </w:t>
      </w:r>
      <w:r>
        <w:t>common</w:t>
      </w:r>
      <w:r>
        <w:rPr>
          <w:spacing w:val="-6"/>
        </w:rPr>
        <w:t xml:space="preserve"> </w:t>
      </w:r>
      <w:r>
        <w:t>agenda</w:t>
      </w:r>
      <w:r>
        <w:rPr>
          <w:spacing w:val="-3"/>
        </w:rPr>
        <w:t xml:space="preserve"> </w:t>
      </w:r>
      <w:r>
        <w:t>for</w:t>
      </w:r>
      <w:r>
        <w:rPr>
          <w:spacing w:val="-5"/>
        </w:rPr>
        <w:t xml:space="preserve"> </w:t>
      </w:r>
      <w:r>
        <w:t>each</w:t>
      </w:r>
      <w:r>
        <w:rPr>
          <w:spacing w:val="-3"/>
        </w:rPr>
        <w:t xml:space="preserve"> </w:t>
      </w:r>
      <w:r>
        <w:rPr>
          <w:spacing w:val="-2"/>
        </w:rPr>
        <w:t>session.</w:t>
      </w:r>
    </w:p>
    <w:p w14:paraId="58F0E7A5" w14:textId="77777777" w:rsidR="00DB6E1F" w:rsidRDefault="00F666A6">
      <w:pPr>
        <w:pStyle w:val="ListParagraph"/>
        <w:numPr>
          <w:ilvl w:val="0"/>
          <w:numId w:val="92"/>
        </w:numPr>
        <w:tabs>
          <w:tab w:val="left" w:pos="1799"/>
          <w:tab w:val="left" w:pos="1800"/>
        </w:tabs>
        <w:spacing w:before="58"/>
        <w:ind w:left="1799"/>
        <w:rPr>
          <w:rFonts w:ascii="Symbol" w:hAnsi="Symbol"/>
        </w:rPr>
      </w:pPr>
      <w:r>
        <w:t>Agree</w:t>
      </w:r>
      <w:r>
        <w:rPr>
          <w:spacing w:val="-6"/>
        </w:rPr>
        <w:t xml:space="preserve"> </w:t>
      </w:r>
      <w:r>
        <w:t>on</w:t>
      </w:r>
      <w:r>
        <w:rPr>
          <w:spacing w:val="-5"/>
        </w:rPr>
        <w:t xml:space="preserve"> </w:t>
      </w:r>
      <w:r>
        <w:t>treatment</w:t>
      </w:r>
      <w:r>
        <w:rPr>
          <w:spacing w:val="-3"/>
        </w:rPr>
        <w:t xml:space="preserve"> </w:t>
      </w:r>
      <w:r>
        <w:t>goals</w:t>
      </w:r>
      <w:r>
        <w:rPr>
          <w:spacing w:val="-5"/>
        </w:rPr>
        <w:t xml:space="preserve"> </w:t>
      </w:r>
      <w:r>
        <w:t>that</w:t>
      </w:r>
      <w:r>
        <w:rPr>
          <w:spacing w:val="-3"/>
        </w:rPr>
        <w:t xml:space="preserve"> </w:t>
      </w:r>
      <w:r>
        <w:t>are</w:t>
      </w:r>
      <w:r>
        <w:rPr>
          <w:spacing w:val="-3"/>
        </w:rPr>
        <w:t xml:space="preserve"> </w:t>
      </w:r>
      <w:r>
        <w:t>acceptable</w:t>
      </w:r>
      <w:r>
        <w:rPr>
          <w:spacing w:val="-3"/>
        </w:rPr>
        <w:t xml:space="preserve"> </w:t>
      </w:r>
      <w:r>
        <w:t>to</w:t>
      </w:r>
      <w:r>
        <w:rPr>
          <w:spacing w:val="-2"/>
        </w:rPr>
        <w:t xml:space="preserve"> clients.</w:t>
      </w:r>
    </w:p>
    <w:p w14:paraId="2CF38D78" w14:textId="77777777" w:rsidR="00DB6E1F" w:rsidRDefault="00F666A6">
      <w:pPr>
        <w:pStyle w:val="BodyText"/>
        <w:spacing w:before="161"/>
        <w:ind w:left="1440" w:right="2099"/>
        <w:jc w:val="both"/>
      </w:pPr>
      <w:r>
        <w:t>When</w:t>
      </w:r>
      <w:r>
        <w:rPr>
          <w:spacing w:val="-3"/>
        </w:rPr>
        <w:t xml:space="preserve"> </w:t>
      </w:r>
      <w:r>
        <w:t>clients</w:t>
      </w:r>
      <w:r>
        <w:rPr>
          <w:spacing w:val="-2"/>
        </w:rPr>
        <w:t xml:space="preserve"> </w:t>
      </w:r>
      <w:r>
        <w:t>realize</w:t>
      </w:r>
      <w:r>
        <w:rPr>
          <w:spacing w:val="-4"/>
        </w:rPr>
        <w:t xml:space="preserve"> </w:t>
      </w:r>
      <w:r>
        <w:t>they</w:t>
      </w:r>
      <w:r>
        <w:rPr>
          <w:spacing w:val="-1"/>
        </w:rPr>
        <w:t xml:space="preserve"> </w:t>
      </w:r>
      <w:r>
        <w:t>are</w:t>
      </w:r>
      <w:r>
        <w:rPr>
          <w:spacing w:val="-1"/>
        </w:rPr>
        <w:t xml:space="preserve"> </w:t>
      </w:r>
      <w:r>
        <w:t>responsible</w:t>
      </w:r>
      <w:r>
        <w:rPr>
          <w:spacing w:val="-1"/>
        </w:rPr>
        <w:t xml:space="preserve"> </w:t>
      </w:r>
      <w:r>
        <w:t>for</w:t>
      </w:r>
      <w:r>
        <w:rPr>
          <w:spacing w:val="-2"/>
        </w:rPr>
        <w:t xml:space="preserve"> </w:t>
      </w:r>
      <w:r>
        <w:t>the</w:t>
      </w:r>
      <w:r>
        <w:rPr>
          <w:spacing w:val="-1"/>
        </w:rPr>
        <w:t xml:space="preserve"> </w:t>
      </w:r>
      <w:r>
        <w:t>change</w:t>
      </w:r>
      <w:r>
        <w:rPr>
          <w:spacing w:val="-1"/>
        </w:rPr>
        <w:t xml:space="preserve"> </w:t>
      </w:r>
      <w:r>
        <w:t>process,</w:t>
      </w:r>
      <w:r>
        <w:rPr>
          <w:spacing w:val="-4"/>
        </w:rPr>
        <w:t xml:space="preserve"> </w:t>
      </w:r>
      <w:r>
        <w:t>they</w:t>
      </w:r>
      <w:r>
        <w:rPr>
          <w:spacing w:val="-3"/>
        </w:rPr>
        <w:t xml:space="preserve"> </w:t>
      </w:r>
      <w:r>
        <w:t>feel</w:t>
      </w:r>
      <w:r>
        <w:rPr>
          <w:spacing w:val="-5"/>
        </w:rPr>
        <w:t xml:space="preserve"> </w:t>
      </w:r>
      <w:r>
        <w:t>empowered</w:t>
      </w:r>
      <w:r>
        <w:rPr>
          <w:spacing w:val="-3"/>
        </w:rPr>
        <w:t xml:space="preserve"> </w:t>
      </w:r>
      <w:r>
        <w:t>and</w:t>
      </w:r>
      <w:r>
        <w:rPr>
          <w:spacing w:val="-5"/>
        </w:rPr>
        <w:t xml:space="preserve"> </w:t>
      </w:r>
      <w:r>
        <w:t>more invested in it. This results in better treatment outcomes (Deci &amp; Ryan, 2012).</w:t>
      </w:r>
    </w:p>
    <w:p w14:paraId="1686F6FC" w14:textId="77777777" w:rsidR="00DB6E1F" w:rsidRDefault="00DB6E1F">
      <w:pPr>
        <w:jc w:val="both"/>
        <w:sectPr w:rsidR="00DB6E1F">
          <w:pgSz w:w="12240" w:h="15840"/>
          <w:pgMar w:top="1200" w:right="0" w:bottom="780" w:left="0" w:header="763" w:footer="585" w:gutter="0"/>
          <w:cols w:space="720"/>
        </w:sectPr>
      </w:pPr>
    </w:p>
    <w:p w14:paraId="52BDD279" w14:textId="77777777" w:rsidR="00DB6E1F" w:rsidRDefault="00DB6E1F">
      <w:pPr>
        <w:pStyle w:val="BodyText"/>
        <w:spacing w:before="5"/>
        <w:rPr>
          <w:sz w:val="15"/>
        </w:rPr>
      </w:pPr>
    </w:p>
    <w:p w14:paraId="57405D3F" w14:textId="77777777" w:rsidR="00DB6E1F" w:rsidRDefault="00F666A6">
      <w:pPr>
        <w:pStyle w:val="Heading4"/>
        <w:spacing w:before="47"/>
      </w:pPr>
      <w:bookmarkStart w:id="60" w:name="Advice"/>
      <w:bookmarkEnd w:id="60"/>
      <w:r>
        <w:rPr>
          <w:spacing w:val="-2"/>
        </w:rPr>
        <w:t>Advice</w:t>
      </w:r>
    </w:p>
    <w:p w14:paraId="5B462C4D" w14:textId="77777777" w:rsidR="00DB6E1F" w:rsidRDefault="00F666A6">
      <w:pPr>
        <w:pStyle w:val="BodyText"/>
        <w:spacing w:before="86"/>
        <w:ind w:left="1438" w:right="1491" w:firstLine="1"/>
      </w:pPr>
      <w:r>
        <w:rPr>
          <w:b/>
        </w:rPr>
        <w:t xml:space="preserve">Practice the act of giving advice; this simple act can promote positive behavioral change. </w:t>
      </w:r>
      <w:r>
        <w:t xml:space="preserve">BI that includes advice delivered in the MET/MI counseling </w:t>
      </w:r>
      <w:r>
        <w:t>style can be effective in changing substance use behaviors such</w:t>
      </w:r>
      <w:r>
        <w:rPr>
          <w:spacing w:val="-1"/>
        </w:rPr>
        <w:t xml:space="preserve"> </w:t>
      </w:r>
      <w:r>
        <w:t>as</w:t>
      </w:r>
      <w:r>
        <w:rPr>
          <w:spacing w:val="-2"/>
        </w:rPr>
        <w:t xml:space="preserve"> </w:t>
      </w:r>
      <w:r>
        <w:t>drinking, drug</w:t>
      </w:r>
      <w:r>
        <w:rPr>
          <w:spacing w:val="-1"/>
        </w:rPr>
        <w:t xml:space="preserve"> </w:t>
      </w:r>
      <w:r>
        <w:t>use, and</w:t>
      </w:r>
      <w:r>
        <w:rPr>
          <w:spacing w:val="-1"/>
        </w:rPr>
        <w:t xml:space="preserve"> </w:t>
      </w:r>
      <w:r>
        <w:t>tobacco use</w:t>
      </w:r>
      <w:r>
        <w:rPr>
          <w:spacing w:val="-1"/>
        </w:rPr>
        <w:t xml:space="preserve"> </w:t>
      </w:r>
      <w:r>
        <w:t>(DiClemente</w:t>
      </w:r>
      <w:r>
        <w:rPr>
          <w:spacing w:val="-2"/>
        </w:rPr>
        <w:t xml:space="preserve"> </w:t>
      </w:r>
      <w:r>
        <w:t>et al.,</w:t>
      </w:r>
      <w:r>
        <w:rPr>
          <w:spacing w:val="-2"/>
        </w:rPr>
        <w:t xml:space="preserve"> </w:t>
      </w:r>
      <w:r>
        <w:t>2017; Steinberg et</w:t>
      </w:r>
      <w:r>
        <w:rPr>
          <w:spacing w:val="-2"/>
        </w:rPr>
        <w:t xml:space="preserve"> </w:t>
      </w:r>
      <w:r>
        <w:t>al., 2015). As</w:t>
      </w:r>
      <w:r>
        <w:rPr>
          <w:spacing w:val="-1"/>
        </w:rPr>
        <w:t xml:space="preserve"> </w:t>
      </w:r>
      <w:r>
        <w:t>with</w:t>
      </w:r>
      <w:r>
        <w:rPr>
          <w:spacing w:val="-2"/>
        </w:rPr>
        <w:t xml:space="preserve"> </w:t>
      </w:r>
      <w:r>
        <w:t>feedback,</w:t>
      </w:r>
      <w:r>
        <w:rPr>
          <w:spacing w:val="-3"/>
        </w:rPr>
        <w:t xml:space="preserve"> </w:t>
      </w:r>
      <w:r>
        <w:t>the</w:t>
      </w:r>
      <w:r>
        <w:rPr>
          <w:spacing w:val="-3"/>
        </w:rPr>
        <w:t xml:space="preserve"> </w:t>
      </w:r>
      <w:r>
        <w:t>manner</w:t>
      </w:r>
      <w:r>
        <w:rPr>
          <w:spacing w:val="-1"/>
        </w:rPr>
        <w:t xml:space="preserve"> </w:t>
      </w:r>
      <w:r>
        <w:t>in</w:t>
      </w:r>
      <w:r>
        <w:rPr>
          <w:spacing w:val="-2"/>
        </w:rPr>
        <w:t xml:space="preserve"> </w:t>
      </w:r>
      <w:r>
        <w:t>which</w:t>
      </w:r>
      <w:r>
        <w:rPr>
          <w:spacing w:val="-4"/>
        </w:rPr>
        <w:t xml:space="preserve"> </w:t>
      </w:r>
      <w:r>
        <w:t>you</w:t>
      </w:r>
      <w:r>
        <w:rPr>
          <w:spacing w:val="-4"/>
        </w:rPr>
        <w:t xml:space="preserve"> </w:t>
      </w:r>
      <w:r>
        <w:t>advise clients</w:t>
      </w:r>
      <w:r>
        <w:rPr>
          <w:spacing w:val="-1"/>
        </w:rPr>
        <w:t xml:space="preserve"> </w:t>
      </w:r>
      <w:r>
        <w:t>influences</w:t>
      </w:r>
      <w:r>
        <w:rPr>
          <w:spacing w:val="-1"/>
        </w:rPr>
        <w:t xml:space="preserve"> </w:t>
      </w:r>
      <w:r>
        <w:t>how</w:t>
      </w:r>
      <w:r>
        <w:rPr>
          <w:spacing w:val="-3"/>
        </w:rPr>
        <w:t xml:space="preserve"> </w:t>
      </w:r>
      <w:r>
        <w:t>or</w:t>
      </w:r>
      <w:r>
        <w:rPr>
          <w:spacing w:val="-3"/>
        </w:rPr>
        <w:t xml:space="preserve"> </w:t>
      </w:r>
      <w:r>
        <w:t>whether</w:t>
      </w:r>
      <w:r>
        <w:rPr>
          <w:spacing w:val="-1"/>
        </w:rPr>
        <w:t xml:space="preserve"> </w:t>
      </w:r>
      <w:r>
        <w:t>the</w:t>
      </w:r>
      <w:r>
        <w:rPr>
          <w:spacing w:val="-3"/>
        </w:rPr>
        <w:t xml:space="preserve"> </w:t>
      </w:r>
      <w:r>
        <w:t>client</w:t>
      </w:r>
      <w:r>
        <w:rPr>
          <w:spacing w:val="-3"/>
        </w:rPr>
        <w:t xml:space="preserve"> </w:t>
      </w:r>
      <w:r>
        <w:t>will</w:t>
      </w:r>
      <w:r>
        <w:rPr>
          <w:spacing w:val="-1"/>
        </w:rPr>
        <w:t xml:space="preserve"> </w:t>
      </w:r>
      <w:r>
        <w:t xml:space="preserve">use your advice. It is better </w:t>
      </w:r>
      <w:r>
        <w:rPr>
          <w:b/>
        </w:rPr>
        <w:t xml:space="preserve">not to tell </w:t>
      </w:r>
      <w:r>
        <w:t xml:space="preserve">people what to do; </w:t>
      </w:r>
      <w:r>
        <w:rPr>
          <w:b/>
        </w:rPr>
        <w:t xml:space="preserve">suggestions </w:t>
      </w:r>
      <w:r>
        <w:t>yield better results. A motivational approach to offering advice may be either directive (making a suggestion) or educational (providing information).</w:t>
      </w:r>
      <w:r>
        <w:rPr>
          <w:spacing w:val="-1"/>
        </w:rPr>
        <w:t xml:space="preserve"> </w:t>
      </w:r>
      <w:r>
        <w:t>Educational advice should be bas</w:t>
      </w:r>
      <w:r>
        <w:t>ed</w:t>
      </w:r>
      <w:r>
        <w:rPr>
          <w:spacing w:val="-1"/>
        </w:rPr>
        <w:t xml:space="preserve"> </w:t>
      </w:r>
      <w:r>
        <w:t>on credible scientific evidence, such as safe drinking limits recommended by the National Institute on Alcohol Abuse and Alcoholism or facts that relate to the client’s conditions (e.g., blood alcohol concentration levels at the time of an automobile cr</w:t>
      </w:r>
      <w:r>
        <w:t>ash).</w:t>
      </w:r>
    </w:p>
    <w:p w14:paraId="2E1E6DD3" w14:textId="77777777" w:rsidR="00DB6E1F" w:rsidRDefault="00DB6E1F">
      <w:pPr>
        <w:pStyle w:val="BodyText"/>
        <w:spacing w:before="2"/>
        <w:rPr>
          <w:sz w:val="12"/>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DB6E1F" w14:paraId="1209B0BE" w14:textId="77777777">
        <w:trPr>
          <w:trHeight w:val="516"/>
        </w:trPr>
        <w:tc>
          <w:tcPr>
            <w:tcW w:w="9360" w:type="dxa"/>
            <w:tcBorders>
              <w:top w:val="nil"/>
              <w:bottom w:val="nil"/>
            </w:tcBorders>
            <w:shd w:val="clear" w:color="auto" w:fill="050505"/>
          </w:tcPr>
          <w:p w14:paraId="6068080C" w14:textId="77777777" w:rsidR="00DB6E1F" w:rsidRDefault="00F666A6">
            <w:pPr>
              <w:pStyle w:val="TableParagraph"/>
              <w:spacing w:before="114"/>
              <w:ind w:left="1563" w:right="1448"/>
              <w:jc w:val="center"/>
              <w:rPr>
                <w:sz w:val="24"/>
              </w:rPr>
            </w:pPr>
            <w:r>
              <w:rPr>
                <w:color w:val="FFFFFF"/>
                <w:sz w:val="24"/>
              </w:rPr>
              <w:t>Expert</w:t>
            </w:r>
            <w:r>
              <w:rPr>
                <w:color w:val="FFFFFF"/>
                <w:spacing w:val="-5"/>
                <w:sz w:val="24"/>
              </w:rPr>
              <w:t xml:space="preserve"> </w:t>
            </w:r>
            <w:r>
              <w:rPr>
                <w:color w:val="FFFFFF"/>
                <w:sz w:val="24"/>
              </w:rPr>
              <w:t>Comment:</w:t>
            </w:r>
            <w:r>
              <w:rPr>
                <w:color w:val="FFFFFF"/>
                <w:spacing w:val="-3"/>
                <w:sz w:val="24"/>
              </w:rPr>
              <w:t xml:space="preserve"> </w:t>
            </w:r>
            <w:r>
              <w:rPr>
                <w:color w:val="FFFFFF"/>
                <w:sz w:val="24"/>
              </w:rPr>
              <w:t>A Realistic</w:t>
            </w:r>
            <w:r>
              <w:rPr>
                <w:color w:val="FFFFFF"/>
                <w:spacing w:val="-2"/>
                <w:sz w:val="24"/>
              </w:rPr>
              <w:t xml:space="preserve"> </w:t>
            </w:r>
            <w:r>
              <w:rPr>
                <w:color w:val="FFFFFF"/>
                <w:sz w:val="24"/>
              </w:rPr>
              <w:t>Model</w:t>
            </w:r>
            <w:r>
              <w:rPr>
                <w:color w:val="FFFFFF"/>
                <w:spacing w:val="-3"/>
                <w:sz w:val="24"/>
              </w:rPr>
              <w:t xml:space="preserve"> </w:t>
            </w:r>
            <w:r>
              <w:rPr>
                <w:color w:val="FFFFFF"/>
                <w:sz w:val="24"/>
              </w:rPr>
              <w:t>of</w:t>
            </w:r>
            <w:r>
              <w:rPr>
                <w:color w:val="FFFFFF"/>
                <w:spacing w:val="-2"/>
                <w:sz w:val="24"/>
              </w:rPr>
              <w:t xml:space="preserve"> </w:t>
            </w:r>
            <w:r>
              <w:rPr>
                <w:color w:val="FFFFFF"/>
                <w:sz w:val="24"/>
              </w:rPr>
              <w:t>Change—Advice to</w:t>
            </w:r>
            <w:r>
              <w:rPr>
                <w:color w:val="FFFFFF"/>
                <w:spacing w:val="-2"/>
                <w:sz w:val="24"/>
              </w:rPr>
              <w:t xml:space="preserve"> Clients</w:t>
            </w:r>
          </w:p>
        </w:tc>
      </w:tr>
      <w:tr w:rsidR="00DB6E1F" w14:paraId="5B28626E" w14:textId="77777777">
        <w:trPr>
          <w:trHeight w:val="1823"/>
        </w:trPr>
        <w:tc>
          <w:tcPr>
            <w:tcW w:w="9360" w:type="dxa"/>
            <w:tcBorders>
              <w:top w:val="nil"/>
            </w:tcBorders>
          </w:tcPr>
          <w:p w14:paraId="18CE3095" w14:textId="77777777" w:rsidR="00DB6E1F" w:rsidRDefault="00F666A6">
            <w:pPr>
              <w:pStyle w:val="TableParagraph"/>
              <w:spacing w:before="0"/>
              <w:rPr>
                <w:sz w:val="20"/>
              </w:rPr>
            </w:pPr>
            <w:r>
              <w:rPr>
                <w:sz w:val="20"/>
              </w:rPr>
              <w:t>Throughout</w:t>
            </w:r>
            <w:r>
              <w:rPr>
                <w:spacing w:val="-3"/>
                <w:sz w:val="20"/>
              </w:rPr>
              <w:t xml:space="preserve"> </w:t>
            </w:r>
            <w:r>
              <w:rPr>
                <w:sz w:val="20"/>
              </w:rPr>
              <w:t>the</w:t>
            </w:r>
            <w:r>
              <w:rPr>
                <w:spacing w:val="-4"/>
                <w:sz w:val="20"/>
              </w:rPr>
              <w:t xml:space="preserve"> </w:t>
            </w:r>
            <w:r>
              <w:rPr>
                <w:sz w:val="20"/>
              </w:rPr>
              <w:t>treatment</w:t>
            </w:r>
            <w:r>
              <w:rPr>
                <w:spacing w:val="-3"/>
                <w:sz w:val="20"/>
              </w:rPr>
              <w:t xml:space="preserve"> </w:t>
            </w:r>
            <w:r>
              <w:rPr>
                <w:sz w:val="20"/>
              </w:rPr>
              <w:t>process,</w:t>
            </w:r>
            <w:r>
              <w:rPr>
                <w:spacing w:val="-3"/>
                <w:sz w:val="20"/>
              </w:rPr>
              <w:t xml:space="preserve"> </w:t>
            </w:r>
            <w:r>
              <w:rPr>
                <w:sz w:val="20"/>
              </w:rPr>
              <w:t>clients</w:t>
            </w:r>
            <w:r>
              <w:rPr>
                <w:spacing w:val="-4"/>
                <w:sz w:val="20"/>
              </w:rPr>
              <w:t xml:space="preserve"> </w:t>
            </w:r>
            <w:r>
              <w:rPr>
                <w:sz w:val="20"/>
              </w:rPr>
              <w:t>should</w:t>
            </w:r>
            <w:r>
              <w:rPr>
                <w:spacing w:val="-3"/>
                <w:sz w:val="20"/>
              </w:rPr>
              <w:t xml:space="preserve"> </w:t>
            </w:r>
            <w:r>
              <w:rPr>
                <w:sz w:val="20"/>
              </w:rPr>
              <w:t>have</w:t>
            </w:r>
            <w:r>
              <w:rPr>
                <w:spacing w:val="-4"/>
                <w:sz w:val="20"/>
              </w:rPr>
              <w:t xml:space="preserve"> </w:t>
            </w:r>
            <w:r>
              <w:rPr>
                <w:sz w:val="20"/>
              </w:rPr>
              <w:t>permission</w:t>
            </w:r>
            <w:r>
              <w:rPr>
                <w:spacing w:val="-3"/>
                <w:sz w:val="20"/>
              </w:rPr>
              <w:t xml:space="preserve"> </w:t>
            </w:r>
            <w:r>
              <w:rPr>
                <w:sz w:val="20"/>
              </w:rPr>
              <w:t>to</w:t>
            </w:r>
            <w:r>
              <w:rPr>
                <w:spacing w:val="-3"/>
                <w:sz w:val="20"/>
              </w:rPr>
              <w:t xml:space="preserve"> </w:t>
            </w:r>
            <w:r>
              <w:rPr>
                <w:sz w:val="20"/>
              </w:rPr>
              <w:t>talk</w:t>
            </w:r>
            <w:r>
              <w:rPr>
                <w:spacing w:val="-3"/>
                <w:sz w:val="20"/>
              </w:rPr>
              <w:t xml:space="preserve"> </w:t>
            </w:r>
            <w:r>
              <w:rPr>
                <w:sz w:val="20"/>
              </w:rPr>
              <w:t>about</w:t>
            </w:r>
            <w:r>
              <w:rPr>
                <w:spacing w:val="-3"/>
                <w:sz w:val="20"/>
              </w:rPr>
              <w:t xml:space="preserve"> </w:t>
            </w:r>
            <w:r>
              <w:rPr>
                <w:sz w:val="20"/>
              </w:rPr>
              <w:t>their</w:t>
            </w:r>
            <w:r>
              <w:rPr>
                <w:spacing w:val="-3"/>
                <w:sz w:val="20"/>
              </w:rPr>
              <w:t xml:space="preserve"> </w:t>
            </w:r>
            <w:r>
              <w:rPr>
                <w:sz w:val="20"/>
              </w:rPr>
              <w:t>problems</w:t>
            </w:r>
            <w:r>
              <w:rPr>
                <w:spacing w:val="-3"/>
                <w:sz w:val="20"/>
              </w:rPr>
              <w:t xml:space="preserve"> </w:t>
            </w:r>
            <w:r>
              <w:rPr>
                <w:sz w:val="20"/>
              </w:rPr>
              <w:t>with</w:t>
            </w:r>
            <w:r>
              <w:rPr>
                <w:spacing w:val="-3"/>
                <w:sz w:val="20"/>
              </w:rPr>
              <w:t xml:space="preserve"> </w:t>
            </w:r>
            <w:r>
              <w:rPr>
                <w:sz w:val="20"/>
              </w:rPr>
              <w:t>substance use. During these dialogs, I often point out some of the realities of the recovery process:</w:t>
            </w:r>
          </w:p>
          <w:p w14:paraId="392A8983" w14:textId="77777777" w:rsidR="00DB6E1F" w:rsidRDefault="00F666A6">
            <w:pPr>
              <w:pStyle w:val="TableParagraph"/>
              <w:numPr>
                <w:ilvl w:val="0"/>
                <w:numId w:val="81"/>
              </w:numPr>
              <w:tabs>
                <w:tab w:val="left" w:pos="467"/>
                <w:tab w:val="left" w:pos="468"/>
              </w:tabs>
              <w:spacing w:before="93"/>
              <w:ind w:hanging="361"/>
              <w:rPr>
                <w:sz w:val="20"/>
              </w:rPr>
            </w:pPr>
            <w:r>
              <w:rPr>
                <w:sz w:val="20"/>
              </w:rPr>
              <w:t>Most</w:t>
            </w:r>
            <w:r>
              <w:rPr>
                <w:spacing w:val="-5"/>
                <w:sz w:val="20"/>
              </w:rPr>
              <w:t xml:space="preserve"> </w:t>
            </w:r>
            <w:r>
              <w:rPr>
                <w:sz w:val="20"/>
              </w:rPr>
              <w:t>change</w:t>
            </w:r>
            <w:r>
              <w:rPr>
                <w:spacing w:val="-5"/>
                <w:sz w:val="20"/>
              </w:rPr>
              <w:t xml:space="preserve"> </w:t>
            </w:r>
            <w:r>
              <w:rPr>
                <w:sz w:val="20"/>
              </w:rPr>
              <w:t>does</w:t>
            </w:r>
            <w:r>
              <w:rPr>
                <w:spacing w:val="-5"/>
                <w:sz w:val="20"/>
              </w:rPr>
              <w:t xml:space="preserve"> </w:t>
            </w:r>
            <w:r>
              <w:rPr>
                <w:sz w:val="20"/>
              </w:rPr>
              <w:t>not</w:t>
            </w:r>
            <w:r>
              <w:rPr>
                <w:spacing w:val="-4"/>
                <w:sz w:val="20"/>
              </w:rPr>
              <w:t xml:space="preserve"> </w:t>
            </w:r>
            <w:r>
              <w:rPr>
                <w:sz w:val="20"/>
              </w:rPr>
              <w:t>occur</w:t>
            </w:r>
            <w:r>
              <w:rPr>
                <w:spacing w:val="-5"/>
                <w:sz w:val="20"/>
              </w:rPr>
              <w:t xml:space="preserve"> </w:t>
            </w:r>
            <w:r>
              <w:rPr>
                <w:spacing w:val="-2"/>
                <w:sz w:val="20"/>
              </w:rPr>
              <w:t>overnight.</w:t>
            </w:r>
          </w:p>
          <w:p w14:paraId="2FEA4813" w14:textId="77777777" w:rsidR="00DB6E1F" w:rsidRDefault="00F666A6">
            <w:pPr>
              <w:pStyle w:val="TableParagraph"/>
              <w:numPr>
                <w:ilvl w:val="0"/>
                <w:numId w:val="81"/>
              </w:numPr>
              <w:tabs>
                <w:tab w:val="left" w:pos="467"/>
                <w:tab w:val="left" w:pos="468"/>
              </w:tabs>
              <w:spacing w:before="4"/>
              <w:ind w:hanging="361"/>
              <w:rPr>
                <w:sz w:val="20"/>
              </w:rPr>
            </w:pPr>
            <w:r>
              <w:rPr>
                <w:sz w:val="20"/>
              </w:rPr>
              <w:t>Change</w:t>
            </w:r>
            <w:r>
              <w:rPr>
                <w:spacing w:val="-7"/>
                <w:sz w:val="20"/>
              </w:rPr>
              <w:t xml:space="preserve"> </w:t>
            </w:r>
            <w:r>
              <w:rPr>
                <w:sz w:val="20"/>
              </w:rPr>
              <w:t>is</w:t>
            </w:r>
            <w:r>
              <w:rPr>
                <w:spacing w:val="-6"/>
                <w:sz w:val="20"/>
              </w:rPr>
              <w:t xml:space="preserve"> </w:t>
            </w:r>
            <w:r>
              <w:rPr>
                <w:sz w:val="20"/>
              </w:rPr>
              <w:t>best</w:t>
            </w:r>
            <w:r>
              <w:rPr>
                <w:spacing w:val="-6"/>
                <w:sz w:val="20"/>
              </w:rPr>
              <w:t xml:space="preserve"> </w:t>
            </w:r>
            <w:r>
              <w:rPr>
                <w:sz w:val="20"/>
              </w:rPr>
              <w:t>viewed</w:t>
            </w:r>
            <w:r>
              <w:rPr>
                <w:spacing w:val="-5"/>
                <w:sz w:val="20"/>
              </w:rPr>
              <w:t xml:space="preserve"> </w:t>
            </w:r>
            <w:r>
              <w:rPr>
                <w:sz w:val="20"/>
              </w:rPr>
              <w:t>as</w:t>
            </w:r>
            <w:r>
              <w:rPr>
                <w:spacing w:val="-6"/>
                <w:sz w:val="20"/>
              </w:rPr>
              <w:t xml:space="preserve"> </w:t>
            </w:r>
            <w:r>
              <w:rPr>
                <w:sz w:val="20"/>
              </w:rPr>
              <w:t>a</w:t>
            </w:r>
            <w:r>
              <w:rPr>
                <w:spacing w:val="-6"/>
                <w:sz w:val="20"/>
              </w:rPr>
              <w:t xml:space="preserve"> </w:t>
            </w:r>
            <w:r>
              <w:rPr>
                <w:sz w:val="20"/>
              </w:rPr>
              <w:t>gradual</w:t>
            </w:r>
            <w:r>
              <w:rPr>
                <w:spacing w:val="-5"/>
                <w:sz w:val="20"/>
              </w:rPr>
              <w:t xml:space="preserve"> </w:t>
            </w:r>
            <w:r>
              <w:rPr>
                <w:sz w:val="20"/>
              </w:rPr>
              <w:t>process</w:t>
            </w:r>
            <w:r>
              <w:rPr>
                <w:spacing w:val="-7"/>
                <w:sz w:val="20"/>
              </w:rPr>
              <w:t xml:space="preserve"> </w:t>
            </w:r>
            <w:r>
              <w:rPr>
                <w:sz w:val="20"/>
              </w:rPr>
              <w:t>with</w:t>
            </w:r>
            <w:r>
              <w:rPr>
                <w:spacing w:val="-4"/>
                <w:sz w:val="20"/>
              </w:rPr>
              <w:t xml:space="preserve"> </w:t>
            </w:r>
            <w:r>
              <w:rPr>
                <w:sz w:val="20"/>
              </w:rPr>
              <w:t>occasional</w:t>
            </w:r>
            <w:r>
              <w:rPr>
                <w:spacing w:val="-4"/>
                <w:sz w:val="20"/>
              </w:rPr>
              <w:t xml:space="preserve"> </w:t>
            </w:r>
            <w:r>
              <w:rPr>
                <w:sz w:val="20"/>
              </w:rPr>
              <w:t>setbacks,</w:t>
            </w:r>
            <w:r>
              <w:rPr>
                <w:spacing w:val="-5"/>
                <w:sz w:val="20"/>
              </w:rPr>
              <w:t xml:space="preserve"> </w:t>
            </w:r>
            <w:r>
              <w:rPr>
                <w:sz w:val="20"/>
              </w:rPr>
              <w:t>much</w:t>
            </w:r>
            <w:r>
              <w:rPr>
                <w:spacing w:val="-5"/>
                <w:sz w:val="20"/>
              </w:rPr>
              <w:t xml:space="preserve"> </w:t>
            </w:r>
            <w:r>
              <w:rPr>
                <w:sz w:val="20"/>
              </w:rPr>
              <w:t>like</w:t>
            </w:r>
            <w:r>
              <w:rPr>
                <w:spacing w:val="-6"/>
                <w:sz w:val="20"/>
              </w:rPr>
              <w:t xml:space="preserve"> </w:t>
            </w:r>
            <w:r>
              <w:rPr>
                <w:sz w:val="20"/>
              </w:rPr>
              <w:t>hiking</w:t>
            </w:r>
            <w:r>
              <w:rPr>
                <w:spacing w:val="-6"/>
                <w:sz w:val="20"/>
              </w:rPr>
              <w:t xml:space="preserve"> </w:t>
            </w:r>
            <w:r>
              <w:rPr>
                <w:sz w:val="20"/>
              </w:rPr>
              <w:t>up</w:t>
            </w:r>
            <w:r>
              <w:rPr>
                <w:spacing w:val="-4"/>
                <w:sz w:val="20"/>
              </w:rPr>
              <w:t xml:space="preserve"> </w:t>
            </w:r>
            <w:r>
              <w:rPr>
                <w:sz w:val="20"/>
              </w:rPr>
              <w:t>a</w:t>
            </w:r>
            <w:r>
              <w:rPr>
                <w:spacing w:val="-6"/>
                <w:sz w:val="20"/>
              </w:rPr>
              <w:t xml:space="preserve"> </w:t>
            </w:r>
            <w:r>
              <w:rPr>
                <w:sz w:val="20"/>
              </w:rPr>
              <w:t>bumpy</w:t>
            </w:r>
            <w:r>
              <w:rPr>
                <w:spacing w:val="-5"/>
                <w:sz w:val="20"/>
              </w:rPr>
              <w:t xml:space="preserve"> </w:t>
            </w:r>
            <w:r>
              <w:rPr>
                <w:spacing w:val="-2"/>
                <w:sz w:val="20"/>
              </w:rPr>
              <w:t>hill.</w:t>
            </w:r>
          </w:p>
          <w:p w14:paraId="49DBC071" w14:textId="77777777" w:rsidR="00DB6E1F" w:rsidRDefault="00F666A6">
            <w:pPr>
              <w:pStyle w:val="TableParagraph"/>
              <w:numPr>
                <w:ilvl w:val="0"/>
                <w:numId w:val="81"/>
              </w:numPr>
              <w:tabs>
                <w:tab w:val="left" w:pos="467"/>
                <w:tab w:val="left" w:pos="468"/>
              </w:tabs>
              <w:spacing w:before="33"/>
              <w:ind w:hanging="361"/>
              <w:rPr>
                <w:sz w:val="20"/>
              </w:rPr>
            </w:pPr>
            <w:r>
              <w:rPr>
                <w:sz w:val="20"/>
              </w:rPr>
              <w:t>Difficulties</w:t>
            </w:r>
            <w:r>
              <w:rPr>
                <w:spacing w:val="-8"/>
                <w:sz w:val="20"/>
              </w:rPr>
              <w:t xml:space="preserve"> </w:t>
            </w:r>
            <w:r>
              <w:rPr>
                <w:sz w:val="20"/>
              </w:rPr>
              <w:t>and</w:t>
            </w:r>
            <w:r>
              <w:rPr>
                <w:spacing w:val="-5"/>
                <w:sz w:val="20"/>
              </w:rPr>
              <w:t xml:space="preserve"> </w:t>
            </w:r>
            <w:r>
              <w:rPr>
                <w:sz w:val="20"/>
              </w:rPr>
              <w:t>setbacks</w:t>
            </w:r>
            <w:r>
              <w:rPr>
                <w:spacing w:val="-7"/>
                <w:sz w:val="20"/>
              </w:rPr>
              <w:t xml:space="preserve"> </w:t>
            </w:r>
            <w:r>
              <w:rPr>
                <w:sz w:val="20"/>
              </w:rPr>
              <w:t>can</w:t>
            </w:r>
            <w:r>
              <w:rPr>
                <w:spacing w:val="-5"/>
                <w:sz w:val="20"/>
              </w:rPr>
              <w:t xml:space="preserve"> </w:t>
            </w:r>
            <w:r>
              <w:rPr>
                <w:sz w:val="20"/>
              </w:rPr>
              <w:t>be</w:t>
            </w:r>
            <w:r>
              <w:rPr>
                <w:spacing w:val="-7"/>
                <w:sz w:val="20"/>
              </w:rPr>
              <w:t xml:space="preserve"> </w:t>
            </w:r>
            <w:r>
              <w:rPr>
                <w:sz w:val="20"/>
              </w:rPr>
              <w:t>reframed</w:t>
            </w:r>
            <w:r>
              <w:rPr>
                <w:spacing w:val="-5"/>
                <w:sz w:val="20"/>
              </w:rPr>
              <w:t xml:space="preserve"> </w:t>
            </w:r>
            <w:r>
              <w:rPr>
                <w:sz w:val="20"/>
              </w:rPr>
              <w:t>as</w:t>
            </w:r>
            <w:r>
              <w:rPr>
                <w:spacing w:val="-7"/>
                <w:sz w:val="20"/>
              </w:rPr>
              <w:t xml:space="preserve"> </w:t>
            </w:r>
            <w:r>
              <w:rPr>
                <w:sz w:val="20"/>
              </w:rPr>
              <w:t>learning</w:t>
            </w:r>
            <w:r>
              <w:rPr>
                <w:spacing w:val="-7"/>
                <w:sz w:val="20"/>
              </w:rPr>
              <w:t xml:space="preserve"> </w:t>
            </w:r>
            <w:r>
              <w:rPr>
                <w:sz w:val="20"/>
              </w:rPr>
              <w:t>experiences,</w:t>
            </w:r>
            <w:r>
              <w:rPr>
                <w:spacing w:val="-5"/>
                <w:sz w:val="20"/>
              </w:rPr>
              <w:t xml:space="preserve"> </w:t>
            </w:r>
            <w:r>
              <w:rPr>
                <w:sz w:val="20"/>
              </w:rPr>
              <w:t>not</w:t>
            </w:r>
            <w:r>
              <w:rPr>
                <w:spacing w:val="-6"/>
                <w:sz w:val="20"/>
              </w:rPr>
              <w:t xml:space="preserve"> </w:t>
            </w:r>
            <w:r>
              <w:rPr>
                <w:spacing w:val="-2"/>
                <w:sz w:val="20"/>
              </w:rPr>
              <w:t>failures.</w:t>
            </w:r>
          </w:p>
          <w:p w14:paraId="0E728A18" w14:textId="77777777" w:rsidR="00DB6E1F" w:rsidRDefault="00F666A6">
            <w:pPr>
              <w:pStyle w:val="TableParagraph"/>
              <w:spacing w:before="102"/>
              <w:rPr>
                <w:i/>
                <w:sz w:val="20"/>
              </w:rPr>
            </w:pPr>
            <w:r>
              <w:rPr>
                <w:i/>
                <w:sz w:val="20"/>
              </w:rPr>
              <w:t>Linda</w:t>
            </w:r>
            <w:r>
              <w:rPr>
                <w:i/>
                <w:spacing w:val="-6"/>
                <w:sz w:val="20"/>
              </w:rPr>
              <w:t xml:space="preserve"> </w:t>
            </w:r>
            <w:r>
              <w:rPr>
                <w:i/>
                <w:sz w:val="20"/>
              </w:rPr>
              <w:t>C.</w:t>
            </w:r>
            <w:r>
              <w:rPr>
                <w:i/>
                <w:spacing w:val="-6"/>
                <w:sz w:val="20"/>
              </w:rPr>
              <w:t xml:space="preserve"> </w:t>
            </w:r>
            <w:r>
              <w:rPr>
                <w:i/>
                <w:sz w:val="20"/>
              </w:rPr>
              <w:t>Sobell,</w:t>
            </w:r>
            <w:r>
              <w:rPr>
                <w:i/>
                <w:spacing w:val="-5"/>
                <w:sz w:val="20"/>
              </w:rPr>
              <w:t xml:space="preserve"> </w:t>
            </w:r>
            <w:r>
              <w:rPr>
                <w:i/>
                <w:sz w:val="20"/>
              </w:rPr>
              <w:t>Ph.D.,</w:t>
            </w:r>
            <w:r>
              <w:rPr>
                <w:i/>
                <w:spacing w:val="-5"/>
                <w:sz w:val="20"/>
              </w:rPr>
              <w:t xml:space="preserve"> </w:t>
            </w:r>
            <w:r>
              <w:rPr>
                <w:i/>
                <w:sz w:val="20"/>
              </w:rPr>
              <w:t>Consensus</w:t>
            </w:r>
            <w:r>
              <w:rPr>
                <w:i/>
                <w:spacing w:val="-7"/>
                <w:sz w:val="20"/>
              </w:rPr>
              <w:t xml:space="preserve"> </w:t>
            </w:r>
            <w:r>
              <w:rPr>
                <w:i/>
                <w:sz w:val="20"/>
              </w:rPr>
              <w:t>Panel</w:t>
            </w:r>
            <w:r>
              <w:rPr>
                <w:i/>
                <w:spacing w:val="-6"/>
                <w:sz w:val="20"/>
              </w:rPr>
              <w:t xml:space="preserve"> </w:t>
            </w:r>
            <w:r>
              <w:rPr>
                <w:i/>
                <w:spacing w:val="-2"/>
                <w:sz w:val="20"/>
              </w:rPr>
              <w:t>Member</w:t>
            </w:r>
          </w:p>
        </w:tc>
      </w:tr>
    </w:tbl>
    <w:p w14:paraId="3754FA24" w14:textId="77777777" w:rsidR="00DB6E1F" w:rsidRDefault="00DB6E1F">
      <w:pPr>
        <w:pStyle w:val="BodyText"/>
        <w:rPr>
          <w:sz w:val="20"/>
        </w:rPr>
      </w:pPr>
    </w:p>
    <w:p w14:paraId="520D0B4C" w14:textId="77777777" w:rsidR="00DB6E1F" w:rsidRDefault="00F666A6">
      <w:pPr>
        <w:pStyle w:val="BodyText"/>
        <w:ind w:left="1438"/>
      </w:pPr>
      <w:r>
        <w:t>Strategies</w:t>
      </w:r>
      <w:r>
        <w:rPr>
          <w:spacing w:val="-6"/>
        </w:rPr>
        <w:t xml:space="preserve"> </w:t>
      </w:r>
      <w:r>
        <w:t>for</w:t>
      </w:r>
      <w:r>
        <w:rPr>
          <w:spacing w:val="-5"/>
        </w:rPr>
        <w:t xml:space="preserve"> </w:t>
      </w:r>
      <w:r>
        <w:t>offering</w:t>
      </w:r>
      <w:r>
        <w:rPr>
          <w:spacing w:val="-4"/>
        </w:rPr>
        <w:t xml:space="preserve"> </w:t>
      </w:r>
      <w:r>
        <w:t>advice</w:t>
      </w:r>
      <w:r>
        <w:rPr>
          <w:spacing w:val="-3"/>
        </w:rPr>
        <w:t xml:space="preserve"> </w:t>
      </w:r>
      <w:r>
        <w:t>include</w:t>
      </w:r>
      <w:r>
        <w:rPr>
          <w:spacing w:val="-6"/>
        </w:rPr>
        <w:t xml:space="preserve"> </w:t>
      </w:r>
      <w:r>
        <w:t>the</w:t>
      </w:r>
      <w:r>
        <w:rPr>
          <w:spacing w:val="-2"/>
        </w:rPr>
        <w:t xml:space="preserve"> following:</w:t>
      </w:r>
    </w:p>
    <w:p w14:paraId="597742BE" w14:textId="77777777" w:rsidR="00DB6E1F" w:rsidRDefault="00F666A6">
      <w:pPr>
        <w:pStyle w:val="ListParagraph"/>
        <w:numPr>
          <w:ilvl w:val="0"/>
          <w:numId w:val="92"/>
        </w:numPr>
        <w:tabs>
          <w:tab w:val="left" w:pos="1798"/>
          <w:tab w:val="left" w:pos="1799"/>
        </w:tabs>
        <w:ind w:left="1798" w:right="1442" w:hanging="360"/>
        <w:rPr>
          <w:rFonts w:ascii="Symbol" w:hAnsi="Symbol"/>
        </w:rPr>
      </w:pPr>
      <w:r>
        <w:rPr>
          <w:b/>
        </w:rPr>
        <w:t xml:space="preserve">Ask permission </w:t>
      </w:r>
      <w:r>
        <w:t>to offer suggestions or provide information. For example, “Would you like to hear about</w:t>
      </w:r>
      <w:r>
        <w:rPr>
          <w:spacing w:val="-1"/>
        </w:rPr>
        <w:t xml:space="preserve"> </w:t>
      </w:r>
      <w:r>
        <w:t>safe</w:t>
      </w:r>
      <w:r>
        <w:rPr>
          <w:spacing w:val="-1"/>
        </w:rPr>
        <w:t xml:space="preserve"> </w:t>
      </w:r>
      <w:r>
        <w:t>drinking</w:t>
      </w:r>
      <w:r>
        <w:rPr>
          <w:spacing w:val="-3"/>
        </w:rPr>
        <w:t xml:space="preserve"> </w:t>
      </w:r>
      <w:r>
        <w:t>limits?”</w:t>
      </w:r>
      <w:r>
        <w:rPr>
          <w:spacing w:val="-3"/>
        </w:rPr>
        <w:t xml:space="preserve"> </w:t>
      </w:r>
      <w:r>
        <w:t>or</w:t>
      </w:r>
      <w:r>
        <w:rPr>
          <w:spacing w:val="-4"/>
        </w:rPr>
        <w:t xml:space="preserve"> </w:t>
      </w:r>
      <w:r>
        <w:t>“Can</w:t>
      </w:r>
      <w:r>
        <w:rPr>
          <w:spacing w:val="-3"/>
        </w:rPr>
        <w:t xml:space="preserve"> </w:t>
      </w:r>
      <w:r>
        <w:t>I</w:t>
      </w:r>
      <w:r>
        <w:rPr>
          <w:spacing w:val="-5"/>
        </w:rPr>
        <w:t xml:space="preserve"> </w:t>
      </w:r>
      <w:r>
        <w:t>tell</w:t>
      </w:r>
      <w:r>
        <w:rPr>
          <w:spacing w:val="-5"/>
        </w:rPr>
        <w:t xml:space="preserve"> </w:t>
      </w:r>
      <w:r>
        <w:t>you</w:t>
      </w:r>
      <w:r>
        <w:rPr>
          <w:spacing w:val="-5"/>
        </w:rPr>
        <w:t xml:space="preserve"> </w:t>
      </w:r>
      <w:r>
        <w:t>what</w:t>
      </w:r>
      <w:r>
        <w:rPr>
          <w:spacing w:val="-4"/>
        </w:rPr>
        <w:t xml:space="preserve"> </w:t>
      </w:r>
      <w:r>
        <w:t>tolerance</w:t>
      </w:r>
      <w:r>
        <w:rPr>
          <w:spacing w:val="-1"/>
        </w:rPr>
        <w:t xml:space="preserve"> </w:t>
      </w:r>
      <w:r>
        <w:t>to</w:t>
      </w:r>
      <w:r>
        <w:rPr>
          <w:spacing w:val="-1"/>
        </w:rPr>
        <w:t xml:space="preserve"> </w:t>
      </w:r>
      <w:r>
        <w:t>alcohol</w:t>
      </w:r>
      <w:r>
        <w:rPr>
          <w:spacing w:val="-2"/>
        </w:rPr>
        <w:t xml:space="preserve"> </w:t>
      </w:r>
      <w:r>
        <w:t>is?”</w:t>
      </w:r>
      <w:r>
        <w:rPr>
          <w:spacing w:val="-1"/>
        </w:rPr>
        <w:t xml:space="preserve"> </w:t>
      </w:r>
      <w:r>
        <w:t>Such</w:t>
      </w:r>
      <w:r>
        <w:rPr>
          <w:spacing w:val="-5"/>
        </w:rPr>
        <w:t xml:space="preserve"> </w:t>
      </w:r>
      <w:r>
        <w:t>questions</w:t>
      </w:r>
      <w:r>
        <w:rPr>
          <w:spacing w:val="-2"/>
        </w:rPr>
        <w:t xml:space="preserve"> </w:t>
      </w:r>
      <w:r>
        <w:t>provide</w:t>
      </w:r>
      <w:r>
        <w:rPr>
          <w:spacing w:val="-1"/>
        </w:rPr>
        <w:t xml:space="preserve"> </w:t>
      </w:r>
      <w:r>
        <w:t>a nondirective opportunity to share your knowledge about substance use in a respectful manner.</w:t>
      </w:r>
    </w:p>
    <w:p w14:paraId="4F484E96" w14:textId="77777777" w:rsidR="00DB6E1F" w:rsidRDefault="00F666A6">
      <w:pPr>
        <w:pStyle w:val="ListParagraph"/>
        <w:numPr>
          <w:ilvl w:val="0"/>
          <w:numId w:val="92"/>
        </w:numPr>
        <w:tabs>
          <w:tab w:val="left" w:pos="1798"/>
          <w:tab w:val="left" w:pos="1799"/>
        </w:tabs>
        <w:spacing w:before="61"/>
        <w:ind w:left="1798"/>
        <w:rPr>
          <w:rFonts w:ascii="Symbol" w:hAnsi="Symbol"/>
        </w:rPr>
      </w:pPr>
      <w:r>
        <w:rPr>
          <w:b/>
        </w:rPr>
        <w:t>Ask</w:t>
      </w:r>
      <w:r>
        <w:rPr>
          <w:b/>
          <w:spacing w:val="-8"/>
        </w:rPr>
        <w:t xml:space="preserve"> </w:t>
      </w:r>
      <w:r>
        <w:rPr>
          <w:b/>
        </w:rPr>
        <w:t>what</w:t>
      </w:r>
      <w:r>
        <w:rPr>
          <w:b/>
          <w:spacing w:val="-2"/>
        </w:rPr>
        <w:t xml:space="preserve"> </w:t>
      </w:r>
      <w:r>
        <w:rPr>
          <w:b/>
        </w:rPr>
        <w:t>the</w:t>
      </w:r>
      <w:r>
        <w:rPr>
          <w:b/>
          <w:spacing w:val="-5"/>
        </w:rPr>
        <w:t xml:space="preserve"> </w:t>
      </w:r>
      <w:r>
        <w:rPr>
          <w:b/>
        </w:rPr>
        <w:t>client</w:t>
      </w:r>
      <w:r>
        <w:rPr>
          <w:b/>
          <w:spacing w:val="-2"/>
        </w:rPr>
        <w:t xml:space="preserve"> </w:t>
      </w:r>
      <w:r>
        <w:rPr>
          <w:b/>
        </w:rPr>
        <w:t>thinks</w:t>
      </w:r>
      <w:r>
        <w:rPr>
          <w:b/>
          <w:spacing w:val="-3"/>
        </w:rPr>
        <w:t xml:space="preserve"> </w:t>
      </w:r>
      <w:r>
        <w:t>about</w:t>
      </w:r>
      <w:r>
        <w:rPr>
          <w:spacing w:val="-1"/>
        </w:rPr>
        <w:t xml:space="preserve"> </w:t>
      </w:r>
      <w:r>
        <w:t>your</w:t>
      </w:r>
      <w:r>
        <w:rPr>
          <w:spacing w:val="-2"/>
        </w:rPr>
        <w:t xml:space="preserve"> </w:t>
      </w:r>
      <w:r>
        <w:t>suggestions</w:t>
      </w:r>
      <w:r>
        <w:rPr>
          <w:spacing w:val="-4"/>
        </w:rPr>
        <w:t xml:space="preserve"> </w:t>
      </w:r>
      <w:r>
        <w:t>or</w:t>
      </w:r>
      <w:r>
        <w:rPr>
          <w:spacing w:val="-4"/>
        </w:rPr>
        <w:t xml:space="preserve"> </w:t>
      </w:r>
      <w:r>
        <w:rPr>
          <w:spacing w:val="-2"/>
        </w:rPr>
        <w:t>information.</w:t>
      </w:r>
    </w:p>
    <w:p w14:paraId="23FBA8FC" w14:textId="77777777" w:rsidR="00DB6E1F" w:rsidRDefault="00F666A6">
      <w:pPr>
        <w:pStyle w:val="ListParagraph"/>
        <w:numPr>
          <w:ilvl w:val="0"/>
          <w:numId w:val="92"/>
        </w:numPr>
        <w:tabs>
          <w:tab w:val="left" w:pos="1798"/>
          <w:tab w:val="left" w:pos="1799"/>
        </w:tabs>
        <w:ind w:left="1798"/>
        <w:rPr>
          <w:rFonts w:ascii="Symbol" w:hAnsi="Symbol"/>
        </w:rPr>
      </w:pPr>
      <w:r>
        <w:rPr>
          <w:b/>
        </w:rPr>
        <w:t>Ask</w:t>
      </w:r>
      <w:r>
        <w:rPr>
          <w:b/>
          <w:spacing w:val="-6"/>
        </w:rPr>
        <w:t xml:space="preserve"> </w:t>
      </w:r>
      <w:r>
        <w:rPr>
          <w:b/>
        </w:rPr>
        <w:t>for</w:t>
      </w:r>
      <w:r>
        <w:rPr>
          <w:b/>
          <w:spacing w:val="-6"/>
        </w:rPr>
        <w:t xml:space="preserve"> </w:t>
      </w:r>
      <w:r>
        <w:rPr>
          <w:b/>
        </w:rPr>
        <w:t>clarification</w:t>
      </w:r>
      <w:r>
        <w:rPr>
          <w:b/>
          <w:spacing w:val="-4"/>
        </w:rPr>
        <w:t xml:space="preserve"> </w:t>
      </w:r>
      <w:r>
        <w:t>if</w:t>
      </w:r>
      <w:r>
        <w:rPr>
          <w:spacing w:val="-3"/>
        </w:rPr>
        <w:t xml:space="preserve"> </w:t>
      </w:r>
      <w:r>
        <w:t>the</w:t>
      </w:r>
      <w:r>
        <w:rPr>
          <w:spacing w:val="-6"/>
        </w:rPr>
        <w:t xml:space="preserve"> </w:t>
      </w:r>
      <w:r>
        <w:t>client</w:t>
      </w:r>
      <w:r>
        <w:rPr>
          <w:spacing w:val="-3"/>
        </w:rPr>
        <w:t xml:space="preserve"> </w:t>
      </w:r>
      <w:r>
        <w:t>makes</w:t>
      </w:r>
      <w:r>
        <w:rPr>
          <w:spacing w:val="-6"/>
        </w:rPr>
        <w:t xml:space="preserve"> </w:t>
      </w:r>
      <w:r>
        <w:t>a</w:t>
      </w:r>
      <w:r>
        <w:rPr>
          <w:spacing w:val="-3"/>
        </w:rPr>
        <w:t xml:space="preserve"> </w:t>
      </w:r>
      <w:r>
        <w:t>specific</w:t>
      </w:r>
      <w:r>
        <w:rPr>
          <w:spacing w:val="-4"/>
        </w:rPr>
        <w:t xml:space="preserve"> </w:t>
      </w:r>
      <w:r>
        <w:t>request,</w:t>
      </w:r>
      <w:r>
        <w:rPr>
          <w:spacing w:val="-4"/>
        </w:rPr>
        <w:t xml:space="preserve"> </w:t>
      </w:r>
      <w:r>
        <w:t>rather</w:t>
      </w:r>
      <w:r>
        <w:rPr>
          <w:spacing w:val="-4"/>
        </w:rPr>
        <w:t xml:space="preserve"> </w:t>
      </w:r>
      <w:r>
        <w:t>than</w:t>
      </w:r>
      <w:r>
        <w:rPr>
          <w:spacing w:val="-6"/>
        </w:rPr>
        <w:t xml:space="preserve"> </w:t>
      </w:r>
      <w:r>
        <w:t>give</w:t>
      </w:r>
      <w:r>
        <w:rPr>
          <w:spacing w:val="-6"/>
        </w:rPr>
        <w:t xml:space="preserve"> </w:t>
      </w:r>
      <w:r>
        <w:t>advice</w:t>
      </w:r>
      <w:r>
        <w:rPr>
          <w:spacing w:val="-5"/>
        </w:rPr>
        <w:t xml:space="preserve"> </w:t>
      </w:r>
      <w:r>
        <w:rPr>
          <w:spacing w:val="-2"/>
        </w:rPr>
        <w:t>immediate</w:t>
      </w:r>
      <w:r>
        <w:rPr>
          <w:spacing w:val="-2"/>
        </w:rPr>
        <w:t>ly.</w:t>
      </w:r>
    </w:p>
    <w:p w14:paraId="088E92E2" w14:textId="77777777" w:rsidR="00DB6E1F" w:rsidRDefault="00F666A6">
      <w:pPr>
        <w:pStyle w:val="ListParagraph"/>
        <w:numPr>
          <w:ilvl w:val="0"/>
          <w:numId w:val="92"/>
        </w:numPr>
        <w:tabs>
          <w:tab w:val="left" w:pos="1799"/>
        </w:tabs>
        <w:spacing w:before="59"/>
        <w:ind w:left="1798" w:right="1607" w:hanging="360"/>
        <w:jc w:val="both"/>
        <w:rPr>
          <w:rFonts w:ascii="Symbol" w:hAnsi="Symbol"/>
        </w:rPr>
      </w:pPr>
      <w:r>
        <w:rPr>
          <w:b/>
        </w:rPr>
        <w:t>Offer</w:t>
      </w:r>
      <w:r>
        <w:rPr>
          <w:b/>
          <w:spacing w:val="-1"/>
        </w:rPr>
        <w:t xml:space="preserve"> </w:t>
      </w:r>
      <w:r>
        <w:rPr>
          <w:b/>
        </w:rPr>
        <w:t>simple</w:t>
      </w:r>
      <w:r>
        <w:rPr>
          <w:b/>
          <w:spacing w:val="-5"/>
        </w:rPr>
        <w:t xml:space="preserve"> </w:t>
      </w:r>
      <w:r>
        <w:rPr>
          <w:b/>
        </w:rPr>
        <w:t>suggestions</w:t>
      </w:r>
      <w:r>
        <w:rPr>
          <w:b/>
          <w:spacing w:val="-1"/>
        </w:rPr>
        <w:t xml:space="preserve"> </w:t>
      </w:r>
      <w:r>
        <w:t>that</w:t>
      </w:r>
      <w:r>
        <w:rPr>
          <w:spacing w:val="-1"/>
        </w:rPr>
        <w:t xml:space="preserve"> </w:t>
      </w:r>
      <w:r>
        <w:t>match</w:t>
      </w:r>
      <w:r>
        <w:rPr>
          <w:spacing w:val="-3"/>
        </w:rPr>
        <w:t xml:space="preserve"> </w:t>
      </w:r>
      <w:r>
        <w:t>the</w:t>
      </w:r>
      <w:r>
        <w:rPr>
          <w:spacing w:val="-1"/>
        </w:rPr>
        <w:t xml:space="preserve"> </w:t>
      </w:r>
      <w:r>
        <w:t>client’s</w:t>
      </w:r>
      <w:r>
        <w:rPr>
          <w:spacing w:val="-2"/>
        </w:rPr>
        <w:t xml:space="preserve"> </w:t>
      </w:r>
      <w:r>
        <w:t>level</w:t>
      </w:r>
      <w:r>
        <w:rPr>
          <w:spacing w:val="-5"/>
        </w:rPr>
        <w:t xml:space="preserve"> </w:t>
      </w:r>
      <w:r>
        <w:t>of</w:t>
      </w:r>
      <w:r>
        <w:rPr>
          <w:spacing w:val="-2"/>
        </w:rPr>
        <w:t xml:space="preserve"> </w:t>
      </w:r>
      <w:r>
        <w:t>understanding</w:t>
      </w:r>
      <w:r>
        <w:rPr>
          <w:spacing w:val="-3"/>
        </w:rPr>
        <w:t xml:space="preserve"> </w:t>
      </w:r>
      <w:r>
        <w:t>and</w:t>
      </w:r>
      <w:r>
        <w:rPr>
          <w:spacing w:val="-3"/>
        </w:rPr>
        <w:t xml:space="preserve"> </w:t>
      </w:r>
      <w:r>
        <w:t>readiness,</w:t>
      </w:r>
      <w:r>
        <w:rPr>
          <w:spacing w:val="-2"/>
        </w:rPr>
        <w:t xml:space="preserve"> </w:t>
      </w:r>
      <w:r>
        <w:t>the</w:t>
      </w:r>
      <w:r>
        <w:rPr>
          <w:spacing w:val="-4"/>
        </w:rPr>
        <w:t xml:space="preserve"> </w:t>
      </w:r>
      <w:r>
        <w:t>urgency of</w:t>
      </w:r>
      <w:r>
        <w:rPr>
          <w:spacing w:val="-2"/>
        </w:rPr>
        <w:t xml:space="preserve"> </w:t>
      </w:r>
      <w:r>
        <w:t>the</w:t>
      </w:r>
      <w:r>
        <w:rPr>
          <w:spacing w:val="-4"/>
        </w:rPr>
        <w:t xml:space="preserve"> </w:t>
      </w:r>
      <w:r>
        <w:t>situation,</w:t>
      </w:r>
      <w:r>
        <w:rPr>
          <w:spacing w:val="-2"/>
        </w:rPr>
        <w:t xml:space="preserve"> </w:t>
      </w:r>
      <w:r>
        <w:t>and</w:t>
      </w:r>
      <w:r>
        <w:rPr>
          <w:spacing w:val="-3"/>
        </w:rPr>
        <w:t xml:space="preserve"> </w:t>
      </w:r>
      <w:r>
        <w:t>his</w:t>
      </w:r>
      <w:r>
        <w:rPr>
          <w:spacing w:val="-4"/>
        </w:rPr>
        <w:t xml:space="preserve"> </w:t>
      </w:r>
      <w:r>
        <w:t>or</w:t>
      </w:r>
      <w:r>
        <w:rPr>
          <w:spacing w:val="-5"/>
        </w:rPr>
        <w:t xml:space="preserve"> </w:t>
      </w:r>
      <w:r>
        <w:t>her</w:t>
      </w:r>
      <w:r>
        <w:rPr>
          <w:spacing w:val="-2"/>
        </w:rPr>
        <w:t xml:space="preserve"> </w:t>
      </w:r>
      <w:r>
        <w:t>culture.</w:t>
      </w:r>
      <w:r>
        <w:rPr>
          <w:spacing w:val="-2"/>
        </w:rPr>
        <w:t xml:space="preserve"> </w:t>
      </w:r>
      <w:r>
        <w:t>In</w:t>
      </w:r>
      <w:r>
        <w:rPr>
          <w:spacing w:val="-3"/>
        </w:rPr>
        <w:t xml:space="preserve"> </w:t>
      </w:r>
      <w:r>
        <w:t>some</w:t>
      </w:r>
      <w:r>
        <w:rPr>
          <w:spacing w:val="-4"/>
        </w:rPr>
        <w:t xml:space="preserve"> </w:t>
      </w:r>
      <w:r>
        <w:t>cultures,</w:t>
      </w:r>
      <w:r>
        <w:rPr>
          <w:spacing w:val="-2"/>
        </w:rPr>
        <w:t xml:space="preserve"> </w:t>
      </w:r>
      <w:r>
        <w:t>a</w:t>
      </w:r>
      <w:r>
        <w:rPr>
          <w:spacing w:val="-2"/>
        </w:rPr>
        <w:t xml:space="preserve"> </w:t>
      </w:r>
      <w:r>
        <w:t>directive</w:t>
      </w:r>
      <w:r>
        <w:rPr>
          <w:spacing w:val="-1"/>
        </w:rPr>
        <w:t xml:space="preserve"> </w:t>
      </w:r>
      <w:r>
        <w:t>approach</w:t>
      </w:r>
      <w:r>
        <w:rPr>
          <w:spacing w:val="-3"/>
        </w:rPr>
        <w:t xml:space="preserve"> </w:t>
      </w:r>
      <w:r>
        <w:t>is</w:t>
      </w:r>
      <w:r>
        <w:rPr>
          <w:spacing w:val="-4"/>
        </w:rPr>
        <w:t xml:space="preserve"> </w:t>
      </w:r>
      <w:r>
        <w:t>required</w:t>
      </w:r>
      <w:r>
        <w:rPr>
          <w:spacing w:val="-3"/>
        </w:rPr>
        <w:t xml:space="preserve"> </w:t>
      </w:r>
      <w:r>
        <w:t>to</w:t>
      </w:r>
      <w:r>
        <w:rPr>
          <w:spacing w:val="-1"/>
        </w:rPr>
        <w:t xml:space="preserve"> </w:t>
      </w:r>
      <w:r>
        <w:t>convey the importance of advice or situations; in</w:t>
      </w:r>
      <w:r>
        <w:rPr>
          <w:spacing w:val="-1"/>
        </w:rPr>
        <w:t xml:space="preserve"> </w:t>
      </w:r>
      <w:r>
        <w:t>others, a directive style is considered rude and intrusive.</w:t>
      </w:r>
    </w:p>
    <w:p w14:paraId="60A59894" w14:textId="77777777" w:rsidR="00DB6E1F" w:rsidRDefault="00F666A6">
      <w:pPr>
        <w:pStyle w:val="BodyText"/>
        <w:spacing w:before="161"/>
        <w:ind w:left="1438" w:right="1444"/>
      </w:pPr>
      <w:r>
        <w:t>This</w:t>
      </w:r>
      <w:r>
        <w:rPr>
          <w:spacing w:val="-2"/>
        </w:rPr>
        <w:t xml:space="preserve"> </w:t>
      </w:r>
      <w:r>
        <w:t>style</w:t>
      </w:r>
      <w:r>
        <w:rPr>
          <w:spacing w:val="-4"/>
        </w:rPr>
        <w:t xml:space="preserve"> </w:t>
      </w:r>
      <w:r>
        <w:t>of</w:t>
      </w:r>
      <w:r>
        <w:rPr>
          <w:spacing w:val="-2"/>
        </w:rPr>
        <w:t xml:space="preserve"> </w:t>
      </w:r>
      <w:r>
        <w:t>giving</w:t>
      </w:r>
      <w:r>
        <w:rPr>
          <w:spacing w:val="-3"/>
        </w:rPr>
        <w:t xml:space="preserve"> </w:t>
      </w:r>
      <w:r>
        <w:t>advice</w:t>
      </w:r>
      <w:r>
        <w:rPr>
          <w:spacing w:val="-4"/>
        </w:rPr>
        <w:t xml:space="preserve"> </w:t>
      </w:r>
      <w:r>
        <w:t>requires</w:t>
      </w:r>
      <w:r>
        <w:rPr>
          <w:spacing w:val="-2"/>
        </w:rPr>
        <w:t xml:space="preserve"> </w:t>
      </w:r>
      <w:r>
        <w:t>patience.</w:t>
      </w:r>
      <w:r>
        <w:rPr>
          <w:spacing w:val="-2"/>
        </w:rPr>
        <w:t xml:space="preserve"> </w:t>
      </w:r>
      <w:r>
        <w:t>The</w:t>
      </w:r>
      <w:r>
        <w:rPr>
          <w:spacing w:val="-1"/>
        </w:rPr>
        <w:t xml:space="preserve"> </w:t>
      </w:r>
      <w:r>
        <w:t>timing</w:t>
      </w:r>
      <w:r>
        <w:rPr>
          <w:spacing w:val="-3"/>
        </w:rPr>
        <w:t xml:space="preserve"> </w:t>
      </w:r>
      <w:r>
        <w:t>of</w:t>
      </w:r>
      <w:r>
        <w:rPr>
          <w:spacing w:val="-2"/>
        </w:rPr>
        <w:t xml:space="preserve"> </w:t>
      </w:r>
      <w:r>
        <w:t>any</w:t>
      </w:r>
      <w:r>
        <w:rPr>
          <w:spacing w:val="-1"/>
        </w:rPr>
        <w:t xml:space="preserve"> </w:t>
      </w:r>
      <w:r>
        <w:t>advice</w:t>
      </w:r>
      <w:r>
        <w:rPr>
          <w:spacing w:val="-1"/>
        </w:rPr>
        <w:t xml:space="preserve"> </w:t>
      </w:r>
      <w:r>
        <w:t>is</w:t>
      </w:r>
      <w:r>
        <w:rPr>
          <w:spacing w:val="-4"/>
        </w:rPr>
        <w:t xml:space="preserve"> </w:t>
      </w:r>
      <w:r>
        <w:t>important,</w:t>
      </w:r>
      <w:r>
        <w:rPr>
          <w:spacing w:val="-2"/>
        </w:rPr>
        <w:t xml:space="preserve"> </w:t>
      </w:r>
      <w:r>
        <w:t>relying</w:t>
      </w:r>
      <w:r>
        <w:rPr>
          <w:spacing w:val="-3"/>
        </w:rPr>
        <w:t xml:space="preserve"> </w:t>
      </w:r>
      <w:r>
        <w:t>on</w:t>
      </w:r>
      <w:r>
        <w:rPr>
          <w:spacing w:val="-5"/>
        </w:rPr>
        <w:t xml:space="preserve"> </w:t>
      </w:r>
      <w:r>
        <w:t>your</w:t>
      </w:r>
      <w:r>
        <w:rPr>
          <w:spacing w:val="-4"/>
        </w:rPr>
        <w:t xml:space="preserve"> </w:t>
      </w:r>
      <w:r>
        <w:t>ability to hear what clients are requesting and willing to receive. Chapter 3 provides more information about the structured format used in MI for offering clients feedback or giving advice.</w:t>
      </w:r>
    </w:p>
    <w:p w14:paraId="4BDB539C" w14:textId="77777777" w:rsidR="00DB6E1F" w:rsidRDefault="00DB6E1F">
      <w:pPr>
        <w:pStyle w:val="BodyText"/>
        <w:spacing w:before="9" w:after="1"/>
        <w:rPr>
          <w:sz w:val="12"/>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DB6E1F" w14:paraId="42045D61" w14:textId="77777777">
        <w:trPr>
          <w:trHeight w:val="513"/>
        </w:trPr>
        <w:tc>
          <w:tcPr>
            <w:tcW w:w="9360" w:type="dxa"/>
            <w:tcBorders>
              <w:top w:val="nil"/>
              <w:bottom w:val="nil"/>
            </w:tcBorders>
            <w:shd w:val="clear" w:color="auto" w:fill="050505"/>
          </w:tcPr>
          <w:p w14:paraId="38236C74" w14:textId="77777777" w:rsidR="00DB6E1F" w:rsidRDefault="00F666A6">
            <w:pPr>
              <w:pStyle w:val="TableParagraph"/>
              <w:spacing w:before="112"/>
              <w:ind w:left="1559" w:right="1448"/>
              <w:jc w:val="center"/>
              <w:rPr>
                <w:sz w:val="24"/>
              </w:rPr>
            </w:pPr>
            <w:r>
              <w:rPr>
                <w:color w:val="FFFFFF"/>
                <w:sz w:val="24"/>
              </w:rPr>
              <w:t>Expert</w:t>
            </w:r>
            <w:r>
              <w:rPr>
                <w:color w:val="FFFFFF"/>
                <w:spacing w:val="-3"/>
                <w:sz w:val="24"/>
              </w:rPr>
              <w:t xml:space="preserve"> </w:t>
            </w:r>
            <w:r>
              <w:rPr>
                <w:color w:val="FFFFFF"/>
                <w:sz w:val="24"/>
              </w:rPr>
              <w:t>Comment:</w:t>
            </w:r>
            <w:r>
              <w:rPr>
                <w:color w:val="FFFFFF"/>
                <w:spacing w:val="-4"/>
                <w:sz w:val="24"/>
              </w:rPr>
              <w:t xml:space="preserve"> </w:t>
            </w:r>
            <w:r>
              <w:rPr>
                <w:color w:val="FFFFFF"/>
                <w:sz w:val="24"/>
              </w:rPr>
              <w:t>The</w:t>
            </w:r>
            <w:r>
              <w:rPr>
                <w:color w:val="FFFFFF"/>
                <w:spacing w:val="-1"/>
                <w:sz w:val="24"/>
              </w:rPr>
              <w:t xml:space="preserve"> </w:t>
            </w:r>
            <w:r>
              <w:rPr>
                <w:color w:val="FFFFFF"/>
                <w:sz w:val="24"/>
              </w:rPr>
              <w:t xml:space="preserve">PIES </w:t>
            </w:r>
            <w:r>
              <w:rPr>
                <w:color w:val="FFFFFF"/>
                <w:spacing w:val="-2"/>
                <w:sz w:val="24"/>
              </w:rPr>
              <w:t>Approach</w:t>
            </w:r>
          </w:p>
        </w:tc>
      </w:tr>
      <w:tr w:rsidR="00DB6E1F" w14:paraId="4263FE7F" w14:textId="77777777">
        <w:trPr>
          <w:trHeight w:val="2800"/>
        </w:trPr>
        <w:tc>
          <w:tcPr>
            <w:tcW w:w="9360" w:type="dxa"/>
            <w:tcBorders>
              <w:top w:val="nil"/>
            </w:tcBorders>
          </w:tcPr>
          <w:p w14:paraId="3C7F37C4" w14:textId="77777777" w:rsidR="00DB6E1F" w:rsidRDefault="00F666A6">
            <w:pPr>
              <w:pStyle w:val="TableParagraph"/>
              <w:rPr>
                <w:sz w:val="20"/>
              </w:rPr>
            </w:pPr>
            <w:r>
              <w:rPr>
                <w:sz w:val="20"/>
              </w:rPr>
              <w:t>In</w:t>
            </w:r>
            <w:r>
              <w:rPr>
                <w:spacing w:val="-2"/>
                <w:sz w:val="20"/>
              </w:rPr>
              <w:t xml:space="preserve"> </w:t>
            </w:r>
            <w:r>
              <w:rPr>
                <w:sz w:val="20"/>
              </w:rPr>
              <w:t>World</w:t>
            </w:r>
            <w:r>
              <w:rPr>
                <w:spacing w:val="-2"/>
                <w:sz w:val="20"/>
              </w:rPr>
              <w:t xml:space="preserve"> </w:t>
            </w:r>
            <w:r>
              <w:rPr>
                <w:sz w:val="20"/>
              </w:rPr>
              <w:t>War</w:t>
            </w:r>
            <w:r>
              <w:rPr>
                <w:spacing w:val="-3"/>
                <w:sz w:val="20"/>
              </w:rPr>
              <w:t xml:space="preserve"> </w:t>
            </w:r>
            <w:r>
              <w:rPr>
                <w:sz w:val="20"/>
              </w:rPr>
              <w:t>I,</w:t>
            </w:r>
            <w:r>
              <w:rPr>
                <w:spacing w:val="-2"/>
                <w:sz w:val="20"/>
              </w:rPr>
              <w:t xml:space="preserve"> </w:t>
            </w:r>
            <w:r>
              <w:rPr>
                <w:sz w:val="20"/>
              </w:rPr>
              <w:t>military</w:t>
            </w:r>
            <w:r>
              <w:rPr>
                <w:spacing w:val="-2"/>
                <w:sz w:val="20"/>
              </w:rPr>
              <w:t xml:space="preserve"> </w:t>
            </w:r>
            <w:r>
              <w:rPr>
                <w:sz w:val="20"/>
              </w:rPr>
              <w:t>psychiatrists</w:t>
            </w:r>
            <w:r>
              <w:rPr>
                <w:spacing w:val="-2"/>
                <w:sz w:val="20"/>
              </w:rPr>
              <w:t xml:space="preserve"> </w:t>
            </w:r>
            <w:r>
              <w:rPr>
                <w:sz w:val="20"/>
              </w:rPr>
              <w:t>first</w:t>
            </w:r>
            <w:r>
              <w:rPr>
                <w:spacing w:val="-3"/>
                <w:sz w:val="20"/>
              </w:rPr>
              <w:t xml:space="preserve"> </w:t>
            </w:r>
            <w:r>
              <w:rPr>
                <w:sz w:val="20"/>
              </w:rPr>
              <w:t>realized</w:t>
            </w:r>
            <w:r>
              <w:rPr>
                <w:spacing w:val="-2"/>
                <w:sz w:val="20"/>
              </w:rPr>
              <w:t xml:space="preserve"> </w:t>
            </w:r>
            <w:r>
              <w:rPr>
                <w:sz w:val="20"/>
              </w:rPr>
              <w:t>that</w:t>
            </w:r>
            <w:r>
              <w:rPr>
                <w:spacing w:val="-3"/>
                <w:sz w:val="20"/>
              </w:rPr>
              <w:t xml:space="preserve"> </w:t>
            </w:r>
            <w:r>
              <w:rPr>
                <w:sz w:val="20"/>
              </w:rPr>
              <w:t>motivational</w:t>
            </w:r>
            <w:r>
              <w:rPr>
                <w:spacing w:val="-3"/>
                <w:sz w:val="20"/>
              </w:rPr>
              <w:t xml:space="preserve"> </w:t>
            </w:r>
            <w:r>
              <w:rPr>
                <w:sz w:val="20"/>
              </w:rPr>
              <w:t>interventions,</w:t>
            </w:r>
            <w:r>
              <w:rPr>
                <w:spacing w:val="-2"/>
                <w:sz w:val="20"/>
              </w:rPr>
              <w:t xml:space="preserve"> </w:t>
            </w:r>
            <w:r>
              <w:rPr>
                <w:sz w:val="20"/>
              </w:rPr>
              <w:t>done</w:t>
            </w:r>
            <w:r>
              <w:rPr>
                <w:spacing w:val="-4"/>
                <w:sz w:val="20"/>
              </w:rPr>
              <w:t xml:space="preserve"> </w:t>
            </w:r>
            <w:r>
              <w:rPr>
                <w:sz w:val="20"/>
              </w:rPr>
              <w:t>at</w:t>
            </w:r>
            <w:r>
              <w:rPr>
                <w:spacing w:val="-3"/>
                <w:sz w:val="20"/>
              </w:rPr>
              <w:t xml:space="preserve"> </w:t>
            </w:r>
            <w:r>
              <w:rPr>
                <w:sz w:val="20"/>
              </w:rPr>
              <w:t>the</w:t>
            </w:r>
            <w:r>
              <w:rPr>
                <w:spacing w:val="-4"/>
                <w:sz w:val="20"/>
              </w:rPr>
              <w:t xml:space="preserve"> </w:t>
            </w:r>
            <w:r>
              <w:rPr>
                <w:sz w:val="20"/>
              </w:rPr>
              <w:t>right</w:t>
            </w:r>
            <w:r>
              <w:rPr>
                <w:spacing w:val="-3"/>
                <w:sz w:val="20"/>
              </w:rPr>
              <w:t xml:space="preserve"> </w:t>
            </w:r>
            <w:r>
              <w:rPr>
                <w:sz w:val="20"/>
              </w:rPr>
              <w:t>time,</w:t>
            </w:r>
            <w:r>
              <w:rPr>
                <w:spacing w:val="-2"/>
                <w:sz w:val="20"/>
              </w:rPr>
              <w:t xml:space="preserve"> </w:t>
            </w:r>
            <w:r>
              <w:rPr>
                <w:sz w:val="20"/>
              </w:rPr>
              <w:t>could return many stressed soldiers to duty. To remember this method, they used the acronym PIES:</w:t>
            </w:r>
          </w:p>
          <w:p w14:paraId="778B38C2" w14:textId="77777777" w:rsidR="00DB6E1F" w:rsidRDefault="00F666A6">
            <w:pPr>
              <w:pStyle w:val="TableParagraph"/>
              <w:numPr>
                <w:ilvl w:val="0"/>
                <w:numId w:val="80"/>
              </w:numPr>
              <w:tabs>
                <w:tab w:val="left" w:pos="467"/>
                <w:tab w:val="left" w:pos="468"/>
              </w:tabs>
              <w:spacing w:before="94"/>
              <w:ind w:hanging="361"/>
              <w:rPr>
                <w:sz w:val="20"/>
              </w:rPr>
            </w:pPr>
            <w:r>
              <w:rPr>
                <w:b/>
                <w:sz w:val="20"/>
              </w:rPr>
              <w:t>P</w:t>
            </w:r>
            <w:r>
              <w:rPr>
                <w:sz w:val="20"/>
              </w:rPr>
              <w:t>roximity:</w:t>
            </w:r>
            <w:r>
              <w:rPr>
                <w:spacing w:val="-7"/>
                <w:sz w:val="20"/>
              </w:rPr>
              <w:t xml:space="preserve"> </w:t>
            </w:r>
            <w:r>
              <w:rPr>
                <w:sz w:val="20"/>
              </w:rPr>
              <w:t>Provide</w:t>
            </w:r>
            <w:r>
              <w:rPr>
                <w:spacing w:val="-6"/>
                <w:sz w:val="20"/>
              </w:rPr>
              <w:t xml:space="preserve"> </w:t>
            </w:r>
            <w:r>
              <w:rPr>
                <w:sz w:val="20"/>
              </w:rPr>
              <w:t>treatment</w:t>
            </w:r>
            <w:r>
              <w:rPr>
                <w:spacing w:val="-3"/>
                <w:sz w:val="20"/>
              </w:rPr>
              <w:t xml:space="preserve"> </w:t>
            </w:r>
            <w:r>
              <w:rPr>
                <w:sz w:val="20"/>
              </w:rPr>
              <w:t>near</w:t>
            </w:r>
            <w:r>
              <w:rPr>
                <w:spacing w:val="-6"/>
                <w:sz w:val="20"/>
              </w:rPr>
              <w:t xml:space="preserve"> </w:t>
            </w:r>
            <w:r>
              <w:rPr>
                <w:sz w:val="20"/>
              </w:rPr>
              <w:t>the</w:t>
            </w:r>
            <w:r>
              <w:rPr>
                <w:spacing w:val="-6"/>
                <w:sz w:val="20"/>
              </w:rPr>
              <w:t xml:space="preserve"> </w:t>
            </w:r>
            <w:r>
              <w:rPr>
                <w:sz w:val="20"/>
              </w:rPr>
              <w:t>place</w:t>
            </w:r>
            <w:r>
              <w:rPr>
                <w:spacing w:val="-7"/>
                <w:sz w:val="20"/>
              </w:rPr>
              <w:t xml:space="preserve"> </w:t>
            </w:r>
            <w:r>
              <w:rPr>
                <w:sz w:val="20"/>
              </w:rPr>
              <w:t>of</w:t>
            </w:r>
            <w:r>
              <w:rPr>
                <w:spacing w:val="-6"/>
                <w:sz w:val="20"/>
              </w:rPr>
              <w:t xml:space="preserve"> </w:t>
            </w:r>
            <w:r>
              <w:rPr>
                <w:sz w:val="20"/>
              </w:rPr>
              <w:t>duty;</w:t>
            </w:r>
            <w:r>
              <w:rPr>
                <w:spacing w:val="-6"/>
                <w:sz w:val="20"/>
              </w:rPr>
              <w:t xml:space="preserve"> </w:t>
            </w:r>
            <w:r>
              <w:rPr>
                <w:sz w:val="20"/>
              </w:rPr>
              <w:t>don’t</w:t>
            </w:r>
            <w:r>
              <w:rPr>
                <w:spacing w:val="-8"/>
                <w:sz w:val="20"/>
              </w:rPr>
              <w:t xml:space="preserve"> </w:t>
            </w:r>
            <w:r>
              <w:rPr>
                <w:sz w:val="20"/>
              </w:rPr>
              <w:t>evacuate</w:t>
            </w:r>
            <w:r>
              <w:rPr>
                <w:spacing w:val="-6"/>
                <w:sz w:val="20"/>
              </w:rPr>
              <w:t xml:space="preserve"> </w:t>
            </w:r>
            <w:r>
              <w:rPr>
                <w:sz w:val="20"/>
              </w:rPr>
              <w:t>to</w:t>
            </w:r>
            <w:r>
              <w:rPr>
                <w:spacing w:val="-6"/>
                <w:sz w:val="20"/>
              </w:rPr>
              <w:t xml:space="preserve"> </w:t>
            </w:r>
            <w:r>
              <w:rPr>
                <w:sz w:val="20"/>
              </w:rPr>
              <w:t>a</w:t>
            </w:r>
            <w:r>
              <w:rPr>
                <w:spacing w:val="-4"/>
                <w:sz w:val="20"/>
              </w:rPr>
              <w:t xml:space="preserve"> </w:t>
            </w:r>
            <w:r>
              <w:rPr>
                <w:spacing w:val="-2"/>
                <w:sz w:val="20"/>
              </w:rPr>
              <w:t>hospital.</w:t>
            </w:r>
          </w:p>
          <w:p w14:paraId="330D7386" w14:textId="77777777" w:rsidR="00DB6E1F" w:rsidRDefault="00F666A6">
            <w:pPr>
              <w:pStyle w:val="TableParagraph"/>
              <w:numPr>
                <w:ilvl w:val="0"/>
                <w:numId w:val="80"/>
              </w:numPr>
              <w:tabs>
                <w:tab w:val="left" w:pos="467"/>
                <w:tab w:val="left" w:pos="468"/>
              </w:tabs>
              <w:spacing w:before="5"/>
              <w:ind w:hanging="361"/>
              <w:rPr>
                <w:sz w:val="20"/>
              </w:rPr>
            </w:pPr>
            <w:r>
              <w:rPr>
                <w:b/>
                <w:sz w:val="20"/>
              </w:rPr>
              <w:t>I</w:t>
            </w:r>
            <w:r>
              <w:rPr>
                <w:sz w:val="20"/>
              </w:rPr>
              <w:t>mmediacy:</w:t>
            </w:r>
            <w:r>
              <w:rPr>
                <w:spacing w:val="-6"/>
                <w:sz w:val="20"/>
              </w:rPr>
              <w:t xml:space="preserve"> </w:t>
            </w:r>
            <w:r>
              <w:rPr>
                <w:sz w:val="20"/>
              </w:rPr>
              <w:t>Intervene</w:t>
            </w:r>
            <w:r>
              <w:rPr>
                <w:spacing w:val="-6"/>
                <w:sz w:val="20"/>
              </w:rPr>
              <w:t xml:space="preserve"> </w:t>
            </w:r>
            <w:r>
              <w:rPr>
                <w:sz w:val="20"/>
              </w:rPr>
              <w:t>and</w:t>
            </w:r>
            <w:r>
              <w:rPr>
                <w:spacing w:val="-5"/>
                <w:sz w:val="20"/>
              </w:rPr>
              <w:t xml:space="preserve"> </w:t>
            </w:r>
            <w:r>
              <w:rPr>
                <w:sz w:val="20"/>
              </w:rPr>
              <w:t>treat</w:t>
            </w:r>
            <w:r>
              <w:rPr>
                <w:spacing w:val="-5"/>
                <w:sz w:val="20"/>
              </w:rPr>
              <w:t xml:space="preserve"> </w:t>
            </w:r>
            <w:r>
              <w:rPr>
                <w:sz w:val="20"/>
              </w:rPr>
              <w:t>at</w:t>
            </w:r>
            <w:r>
              <w:rPr>
                <w:spacing w:val="-5"/>
                <w:sz w:val="20"/>
              </w:rPr>
              <w:t xml:space="preserve"> </w:t>
            </w:r>
            <w:r>
              <w:rPr>
                <w:sz w:val="20"/>
              </w:rPr>
              <w:t>the</w:t>
            </w:r>
            <w:r>
              <w:rPr>
                <w:spacing w:val="-6"/>
                <w:sz w:val="20"/>
              </w:rPr>
              <w:t xml:space="preserve"> </w:t>
            </w:r>
            <w:r>
              <w:rPr>
                <w:sz w:val="20"/>
              </w:rPr>
              <w:t>first</w:t>
            </w:r>
            <w:r>
              <w:rPr>
                <w:spacing w:val="-5"/>
                <w:sz w:val="20"/>
              </w:rPr>
              <w:t xml:space="preserve"> </w:t>
            </w:r>
            <w:r>
              <w:rPr>
                <w:sz w:val="20"/>
              </w:rPr>
              <w:t>sign</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problem.</w:t>
            </w:r>
          </w:p>
          <w:p w14:paraId="261597B3" w14:textId="77777777" w:rsidR="00DB6E1F" w:rsidRDefault="00F666A6">
            <w:pPr>
              <w:pStyle w:val="TableParagraph"/>
              <w:numPr>
                <w:ilvl w:val="0"/>
                <w:numId w:val="80"/>
              </w:numPr>
              <w:tabs>
                <w:tab w:val="left" w:pos="467"/>
                <w:tab w:val="left" w:pos="468"/>
              </w:tabs>
              <w:spacing w:before="4"/>
              <w:ind w:hanging="361"/>
              <w:rPr>
                <w:sz w:val="20"/>
              </w:rPr>
            </w:pPr>
            <w:r>
              <w:rPr>
                <w:b/>
                <w:sz w:val="20"/>
              </w:rPr>
              <w:t>E</w:t>
            </w:r>
            <w:r>
              <w:rPr>
                <w:sz w:val="20"/>
              </w:rPr>
              <w:t>xpectancy:</w:t>
            </w:r>
            <w:r>
              <w:rPr>
                <w:spacing w:val="-7"/>
                <w:sz w:val="20"/>
              </w:rPr>
              <w:t xml:space="preserve"> </w:t>
            </w:r>
            <w:r>
              <w:rPr>
                <w:sz w:val="20"/>
              </w:rPr>
              <w:t>Expect</w:t>
            </w:r>
            <w:r>
              <w:rPr>
                <w:spacing w:val="-6"/>
                <w:sz w:val="20"/>
              </w:rPr>
              <w:t xml:space="preserve"> </w:t>
            </w:r>
            <w:r>
              <w:rPr>
                <w:sz w:val="20"/>
              </w:rPr>
              <w:t>the</w:t>
            </w:r>
            <w:r>
              <w:rPr>
                <w:spacing w:val="-7"/>
                <w:sz w:val="20"/>
              </w:rPr>
              <w:t xml:space="preserve"> </w:t>
            </w:r>
            <w:r>
              <w:rPr>
                <w:sz w:val="20"/>
              </w:rPr>
              <w:t>intervention</w:t>
            </w:r>
            <w:r>
              <w:rPr>
                <w:spacing w:val="-5"/>
                <w:sz w:val="20"/>
              </w:rPr>
              <w:t xml:space="preserve"> </w:t>
            </w:r>
            <w:r>
              <w:rPr>
                <w:sz w:val="20"/>
              </w:rPr>
              <w:t>to</w:t>
            </w:r>
            <w:r>
              <w:rPr>
                <w:spacing w:val="-6"/>
                <w:sz w:val="20"/>
              </w:rPr>
              <w:t xml:space="preserve"> </w:t>
            </w:r>
            <w:r>
              <w:rPr>
                <w:sz w:val="20"/>
              </w:rPr>
              <w:t>be</w:t>
            </w:r>
            <w:r>
              <w:rPr>
                <w:spacing w:val="-7"/>
                <w:sz w:val="20"/>
              </w:rPr>
              <w:t xml:space="preserve"> </w:t>
            </w:r>
            <w:r>
              <w:rPr>
                <w:sz w:val="20"/>
              </w:rPr>
              <w:t>successful</w:t>
            </w:r>
            <w:r>
              <w:rPr>
                <w:spacing w:val="-6"/>
                <w:sz w:val="20"/>
              </w:rPr>
              <w:t xml:space="preserve"> </w:t>
            </w:r>
            <w:r>
              <w:rPr>
                <w:sz w:val="20"/>
              </w:rPr>
              <w:t>and</w:t>
            </w:r>
            <w:r>
              <w:rPr>
                <w:spacing w:val="-5"/>
                <w:sz w:val="20"/>
              </w:rPr>
              <w:t xml:space="preserve"> </w:t>
            </w:r>
            <w:r>
              <w:rPr>
                <w:sz w:val="20"/>
              </w:rPr>
              <w:t>return</w:t>
            </w:r>
            <w:r>
              <w:rPr>
                <w:spacing w:val="-6"/>
                <w:sz w:val="20"/>
              </w:rPr>
              <w:t xml:space="preserve"> </w:t>
            </w:r>
            <w:r>
              <w:rPr>
                <w:sz w:val="20"/>
              </w:rPr>
              <w:t>the</w:t>
            </w:r>
            <w:r>
              <w:rPr>
                <w:spacing w:val="-6"/>
                <w:sz w:val="20"/>
              </w:rPr>
              <w:t xml:space="preserve"> </w:t>
            </w:r>
            <w:r>
              <w:rPr>
                <w:sz w:val="20"/>
              </w:rPr>
              <w:t>person</w:t>
            </w:r>
            <w:r>
              <w:rPr>
                <w:spacing w:val="-6"/>
                <w:sz w:val="20"/>
              </w:rPr>
              <w:t xml:space="preserve"> </w:t>
            </w:r>
            <w:r>
              <w:rPr>
                <w:sz w:val="20"/>
              </w:rPr>
              <w:t>to</w:t>
            </w:r>
            <w:r>
              <w:rPr>
                <w:spacing w:val="-6"/>
                <w:sz w:val="20"/>
              </w:rPr>
              <w:t xml:space="preserve"> </w:t>
            </w:r>
            <w:r>
              <w:rPr>
                <w:spacing w:val="-2"/>
                <w:sz w:val="20"/>
              </w:rPr>
              <w:t>duty.</w:t>
            </w:r>
          </w:p>
          <w:p w14:paraId="25697476" w14:textId="77777777" w:rsidR="00DB6E1F" w:rsidRDefault="00F666A6">
            <w:pPr>
              <w:pStyle w:val="TableParagraph"/>
              <w:numPr>
                <w:ilvl w:val="0"/>
                <w:numId w:val="80"/>
              </w:numPr>
              <w:tabs>
                <w:tab w:val="left" w:pos="467"/>
                <w:tab w:val="left" w:pos="468"/>
              </w:tabs>
              <w:spacing w:before="33"/>
              <w:ind w:hanging="361"/>
              <w:rPr>
                <w:sz w:val="20"/>
              </w:rPr>
            </w:pPr>
            <w:r>
              <w:rPr>
                <w:b/>
                <w:sz w:val="20"/>
              </w:rPr>
              <w:t>S</w:t>
            </w:r>
            <w:r>
              <w:rPr>
                <w:sz w:val="20"/>
              </w:rPr>
              <w:t>implicity:</w:t>
            </w:r>
            <w:r>
              <w:rPr>
                <w:spacing w:val="-9"/>
                <w:sz w:val="20"/>
              </w:rPr>
              <w:t xml:space="preserve"> </w:t>
            </w:r>
            <w:r>
              <w:rPr>
                <w:sz w:val="20"/>
              </w:rPr>
              <w:t>Listen,</w:t>
            </w:r>
            <w:r>
              <w:rPr>
                <w:spacing w:val="-7"/>
                <w:sz w:val="20"/>
              </w:rPr>
              <w:t xml:space="preserve"> </w:t>
            </w:r>
            <w:r>
              <w:rPr>
                <w:sz w:val="20"/>
              </w:rPr>
              <w:t>offer</w:t>
            </w:r>
            <w:r>
              <w:rPr>
                <w:spacing w:val="-7"/>
                <w:sz w:val="20"/>
              </w:rPr>
              <w:t xml:space="preserve"> </w:t>
            </w:r>
            <w:r>
              <w:rPr>
                <w:sz w:val="20"/>
              </w:rPr>
              <w:t>empathy,</w:t>
            </w:r>
            <w:r>
              <w:rPr>
                <w:spacing w:val="-7"/>
                <w:sz w:val="20"/>
              </w:rPr>
              <w:t xml:space="preserve"> </w:t>
            </w:r>
            <w:r>
              <w:rPr>
                <w:sz w:val="20"/>
              </w:rPr>
              <w:t>and</w:t>
            </w:r>
            <w:r>
              <w:rPr>
                <w:spacing w:val="-9"/>
                <w:sz w:val="20"/>
              </w:rPr>
              <w:t xml:space="preserve"> </w:t>
            </w:r>
            <w:r>
              <w:rPr>
                <w:sz w:val="20"/>
              </w:rPr>
              <w:t>show</w:t>
            </w:r>
            <w:r>
              <w:rPr>
                <w:spacing w:val="-8"/>
                <w:sz w:val="20"/>
              </w:rPr>
              <w:t xml:space="preserve"> </w:t>
            </w:r>
            <w:r>
              <w:rPr>
                <w:sz w:val="20"/>
              </w:rPr>
              <w:t>understanding;</w:t>
            </w:r>
            <w:r>
              <w:rPr>
                <w:spacing w:val="-8"/>
                <w:sz w:val="20"/>
              </w:rPr>
              <w:t xml:space="preserve"> </w:t>
            </w:r>
            <w:r>
              <w:rPr>
                <w:sz w:val="20"/>
              </w:rPr>
              <w:t>this</w:t>
            </w:r>
            <w:r>
              <w:rPr>
                <w:spacing w:val="-8"/>
                <w:sz w:val="20"/>
              </w:rPr>
              <w:t xml:space="preserve"> </w:t>
            </w:r>
            <w:r>
              <w:rPr>
                <w:sz w:val="20"/>
              </w:rPr>
              <w:t>simple</w:t>
            </w:r>
            <w:r>
              <w:rPr>
                <w:spacing w:val="-8"/>
                <w:sz w:val="20"/>
              </w:rPr>
              <w:t xml:space="preserve"> </w:t>
            </w:r>
            <w:r>
              <w:rPr>
                <w:sz w:val="20"/>
              </w:rPr>
              <w:t>approach</w:t>
            </w:r>
            <w:r>
              <w:rPr>
                <w:spacing w:val="-7"/>
                <w:sz w:val="20"/>
              </w:rPr>
              <w:t xml:space="preserve"> </w:t>
            </w:r>
            <w:r>
              <w:rPr>
                <w:sz w:val="20"/>
              </w:rPr>
              <w:t>works</w:t>
            </w:r>
            <w:r>
              <w:rPr>
                <w:spacing w:val="-8"/>
                <w:sz w:val="20"/>
              </w:rPr>
              <w:t xml:space="preserve"> </w:t>
            </w:r>
            <w:r>
              <w:rPr>
                <w:spacing w:val="-2"/>
                <w:sz w:val="20"/>
              </w:rPr>
              <w:t>best.</w:t>
            </w:r>
          </w:p>
          <w:p w14:paraId="59A5A2D0" w14:textId="77777777" w:rsidR="00DB6E1F" w:rsidRDefault="00F666A6">
            <w:pPr>
              <w:pStyle w:val="TableParagraph"/>
              <w:spacing w:before="58"/>
              <w:ind w:left="108" w:right="110" w:hanging="1"/>
              <w:rPr>
                <w:sz w:val="20"/>
              </w:rPr>
            </w:pPr>
            <w:r>
              <w:rPr>
                <w:sz w:val="20"/>
              </w:rPr>
              <w:t>Highlight</w:t>
            </w:r>
            <w:r>
              <w:rPr>
                <w:spacing w:val="-1"/>
                <w:sz w:val="20"/>
              </w:rPr>
              <w:t xml:space="preserve"> </w:t>
            </w:r>
            <w:r>
              <w:rPr>
                <w:sz w:val="20"/>
              </w:rPr>
              <w:t>that</w:t>
            </w:r>
            <w:r>
              <w:rPr>
                <w:spacing w:val="-2"/>
                <w:sz w:val="20"/>
              </w:rPr>
              <w:t xml:space="preserve"> </w:t>
            </w:r>
            <w:r>
              <w:rPr>
                <w:sz w:val="20"/>
              </w:rPr>
              <w:t>the</w:t>
            </w:r>
            <w:r>
              <w:rPr>
                <w:spacing w:val="-3"/>
                <w:sz w:val="20"/>
              </w:rPr>
              <w:t xml:space="preserve"> </w:t>
            </w:r>
            <w:r>
              <w:rPr>
                <w:sz w:val="20"/>
              </w:rPr>
              <w:t>person’s</w:t>
            </w:r>
            <w:r>
              <w:rPr>
                <w:spacing w:val="-3"/>
                <w:sz w:val="20"/>
              </w:rPr>
              <w:t xml:space="preserve"> </w:t>
            </w:r>
            <w:r>
              <w:rPr>
                <w:sz w:val="20"/>
              </w:rPr>
              <w:t>reactions</w:t>
            </w:r>
            <w:r>
              <w:rPr>
                <w:spacing w:val="-3"/>
                <w:sz w:val="20"/>
              </w:rPr>
              <w:t xml:space="preserve"> </w:t>
            </w:r>
            <w:r>
              <w:rPr>
                <w:sz w:val="20"/>
              </w:rPr>
              <w:t>are</w:t>
            </w:r>
            <w:r>
              <w:rPr>
                <w:spacing w:val="-3"/>
                <w:sz w:val="20"/>
              </w:rPr>
              <w:t xml:space="preserve"> </w:t>
            </w:r>
            <w:r>
              <w:rPr>
                <w:sz w:val="20"/>
              </w:rPr>
              <w:t>normal;</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the</w:t>
            </w:r>
            <w:r>
              <w:rPr>
                <w:spacing w:val="-3"/>
                <w:sz w:val="20"/>
              </w:rPr>
              <w:t xml:space="preserve"> </w:t>
            </w:r>
            <w:r>
              <w:rPr>
                <w:sz w:val="20"/>
              </w:rPr>
              <w:t>situation</w:t>
            </w:r>
            <w:r>
              <w:rPr>
                <w:spacing w:val="-2"/>
                <w:sz w:val="20"/>
              </w:rPr>
              <w:t xml:space="preserve"> </w:t>
            </w:r>
            <w:r>
              <w:rPr>
                <w:sz w:val="20"/>
              </w:rPr>
              <w:t>that</w:t>
            </w:r>
            <w:r>
              <w:rPr>
                <w:spacing w:val="-2"/>
                <w:sz w:val="20"/>
              </w:rPr>
              <w:t xml:space="preserve"> </w:t>
            </w:r>
            <w:r>
              <w:rPr>
                <w:sz w:val="20"/>
              </w:rPr>
              <w:t>is</w:t>
            </w:r>
            <w:r>
              <w:rPr>
                <w:spacing w:val="-3"/>
                <w:sz w:val="20"/>
              </w:rPr>
              <w:t xml:space="preserve"> </w:t>
            </w:r>
            <w:r>
              <w:rPr>
                <w:sz w:val="20"/>
              </w:rPr>
              <w:t>abnormal.</w:t>
            </w:r>
            <w:r>
              <w:rPr>
                <w:spacing w:val="-2"/>
                <w:sz w:val="20"/>
              </w:rPr>
              <w:t xml:space="preserve"> </w:t>
            </w:r>
            <w:r>
              <w:rPr>
                <w:sz w:val="20"/>
              </w:rPr>
              <w:t>The</w:t>
            </w:r>
            <w:r>
              <w:rPr>
                <w:spacing w:val="-3"/>
                <w:sz w:val="20"/>
              </w:rPr>
              <w:t xml:space="preserve"> </w:t>
            </w:r>
            <w:r>
              <w:rPr>
                <w:sz w:val="20"/>
              </w:rPr>
              <w:t>person</w:t>
            </w:r>
            <w:r>
              <w:rPr>
                <w:spacing w:val="-1"/>
                <w:sz w:val="20"/>
              </w:rPr>
              <w:t xml:space="preserve"> </w:t>
            </w:r>
            <w:r>
              <w:rPr>
                <w:sz w:val="20"/>
              </w:rPr>
              <w:t>will</w:t>
            </w:r>
            <w:r>
              <w:rPr>
                <w:spacing w:val="-2"/>
                <w:sz w:val="20"/>
              </w:rPr>
              <w:t xml:space="preserve"> </w:t>
            </w:r>
            <w:r>
              <w:rPr>
                <w:sz w:val="20"/>
              </w:rPr>
              <w:t>recover with rest and nourishment. No prolonged or complex therapy is needed for most cases. In the context of World War</w:t>
            </w:r>
            <w:r>
              <w:rPr>
                <w:spacing w:val="40"/>
                <w:sz w:val="20"/>
              </w:rPr>
              <w:t xml:space="preserve"> </w:t>
            </w:r>
            <w:r>
              <w:rPr>
                <w:sz w:val="20"/>
              </w:rPr>
              <w:t>I, evacuat</w:t>
            </w:r>
            <w:r>
              <w:rPr>
                <w:sz w:val="20"/>
              </w:rPr>
              <w:t>ion to higher levels of care was reserved for the low percentage of individuals who did not respond to this straightforward approach.</w:t>
            </w:r>
          </w:p>
        </w:tc>
      </w:tr>
    </w:tbl>
    <w:p w14:paraId="11272E6C" w14:textId="77777777" w:rsidR="00DB6E1F" w:rsidRDefault="00DB6E1F">
      <w:pPr>
        <w:rPr>
          <w:sz w:val="20"/>
        </w:rPr>
        <w:sectPr w:rsidR="00DB6E1F">
          <w:pgSz w:w="12240" w:h="15840"/>
          <w:pgMar w:top="1200" w:right="0" w:bottom="780" w:left="0" w:header="763" w:footer="585" w:gutter="0"/>
          <w:cols w:space="720"/>
        </w:sectPr>
      </w:pPr>
    </w:p>
    <w:p w14:paraId="272CA85F"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DB6E1F" w14:paraId="09DD44ED" w14:textId="77777777">
        <w:trPr>
          <w:trHeight w:val="342"/>
        </w:trPr>
        <w:tc>
          <w:tcPr>
            <w:tcW w:w="9360" w:type="dxa"/>
          </w:tcPr>
          <w:p w14:paraId="774414C2" w14:textId="77777777" w:rsidR="00DB6E1F" w:rsidRDefault="00F666A6">
            <w:pPr>
              <w:pStyle w:val="TableParagraph"/>
              <w:rPr>
                <w:i/>
                <w:sz w:val="20"/>
              </w:rPr>
            </w:pPr>
            <w:r>
              <w:rPr>
                <w:i/>
                <w:sz w:val="20"/>
              </w:rPr>
              <w:t>Kenneth</w:t>
            </w:r>
            <w:r>
              <w:rPr>
                <w:i/>
                <w:spacing w:val="-6"/>
                <w:sz w:val="20"/>
              </w:rPr>
              <w:t xml:space="preserve"> </w:t>
            </w:r>
            <w:r>
              <w:rPr>
                <w:i/>
                <w:sz w:val="20"/>
              </w:rPr>
              <w:t>J.</w:t>
            </w:r>
            <w:r>
              <w:rPr>
                <w:i/>
                <w:spacing w:val="-7"/>
                <w:sz w:val="20"/>
              </w:rPr>
              <w:t xml:space="preserve"> </w:t>
            </w:r>
            <w:r>
              <w:rPr>
                <w:i/>
                <w:sz w:val="20"/>
              </w:rPr>
              <w:t>Hoffman,</w:t>
            </w:r>
            <w:r>
              <w:rPr>
                <w:i/>
                <w:spacing w:val="-5"/>
                <w:sz w:val="20"/>
              </w:rPr>
              <w:t xml:space="preserve"> </w:t>
            </w:r>
            <w:r>
              <w:rPr>
                <w:i/>
                <w:sz w:val="20"/>
              </w:rPr>
              <w:t>M.D.,</w:t>
            </w:r>
            <w:r>
              <w:rPr>
                <w:i/>
                <w:spacing w:val="-7"/>
                <w:sz w:val="20"/>
              </w:rPr>
              <w:t xml:space="preserve"> </w:t>
            </w:r>
            <w:r>
              <w:rPr>
                <w:i/>
                <w:sz w:val="20"/>
              </w:rPr>
              <w:t>Field</w:t>
            </w:r>
            <w:r>
              <w:rPr>
                <w:i/>
                <w:spacing w:val="-5"/>
                <w:sz w:val="20"/>
              </w:rPr>
              <w:t xml:space="preserve"> </w:t>
            </w:r>
            <w:r>
              <w:rPr>
                <w:i/>
                <w:spacing w:val="-2"/>
                <w:sz w:val="20"/>
              </w:rPr>
              <w:t>Reviewer</w:t>
            </w:r>
          </w:p>
        </w:tc>
      </w:tr>
    </w:tbl>
    <w:p w14:paraId="08A9E1B0" w14:textId="77777777" w:rsidR="00DB6E1F" w:rsidRDefault="00DB6E1F">
      <w:pPr>
        <w:pStyle w:val="BodyText"/>
        <w:spacing w:before="8"/>
        <w:rPr>
          <w:sz w:val="12"/>
        </w:rPr>
      </w:pPr>
    </w:p>
    <w:p w14:paraId="7843C924" w14:textId="77777777" w:rsidR="00DB6E1F" w:rsidRDefault="00F666A6">
      <w:pPr>
        <w:pStyle w:val="Heading4"/>
        <w:spacing w:before="47"/>
      </w:pPr>
      <w:bookmarkStart w:id="61" w:name="Menu_of_options"/>
      <w:bookmarkEnd w:id="61"/>
      <w:r>
        <w:t>Menu</w:t>
      </w:r>
      <w:r>
        <w:rPr>
          <w:spacing w:val="-5"/>
        </w:rPr>
        <w:t xml:space="preserve"> </w:t>
      </w:r>
      <w:r>
        <w:t>of</w:t>
      </w:r>
      <w:r>
        <w:rPr>
          <w:spacing w:val="-6"/>
        </w:rPr>
        <w:t xml:space="preserve"> </w:t>
      </w:r>
      <w:r>
        <w:rPr>
          <w:spacing w:val="-2"/>
        </w:rPr>
        <w:t>options</w:t>
      </w:r>
    </w:p>
    <w:p w14:paraId="5B8870B9" w14:textId="77777777" w:rsidR="00DB6E1F" w:rsidRDefault="00F666A6">
      <w:pPr>
        <w:spacing w:before="83"/>
        <w:ind w:left="1439" w:right="1491"/>
      </w:pPr>
      <w:r>
        <w:rPr>
          <w:b/>
        </w:rPr>
        <w:t xml:space="preserve">Offer choices to facilitate treatment initiation and engagement. These choices have been shown to enhance the therapeutic alliance, decrease dropout rates, and improve outcomes </w:t>
      </w:r>
      <w:r>
        <w:t>(Van Horn et al., 2015).</w:t>
      </w:r>
      <w:r>
        <w:rPr>
          <w:spacing w:val="-5"/>
        </w:rPr>
        <w:t xml:space="preserve"> </w:t>
      </w:r>
      <w:r>
        <w:t>Clients</w:t>
      </w:r>
      <w:r>
        <w:rPr>
          <w:spacing w:val="-4"/>
        </w:rPr>
        <w:t xml:space="preserve"> </w:t>
      </w:r>
      <w:r>
        <w:t>are</w:t>
      </w:r>
      <w:r>
        <w:rPr>
          <w:spacing w:val="-4"/>
        </w:rPr>
        <w:t xml:space="preserve"> </w:t>
      </w:r>
      <w:r>
        <w:t>more</w:t>
      </w:r>
      <w:r>
        <w:rPr>
          <w:spacing w:val="-2"/>
        </w:rPr>
        <w:t xml:space="preserve"> </w:t>
      </w:r>
      <w:r>
        <w:t>likely</w:t>
      </w:r>
      <w:r>
        <w:rPr>
          <w:spacing w:val="-1"/>
        </w:rPr>
        <w:t xml:space="preserve"> </w:t>
      </w:r>
      <w:r>
        <w:t>to</w:t>
      </w:r>
      <w:r>
        <w:rPr>
          <w:spacing w:val="-1"/>
        </w:rPr>
        <w:t xml:space="preserve"> </w:t>
      </w:r>
      <w:r>
        <w:t>adhere</w:t>
      </w:r>
      <w:r>
        <w:rPr>
          <w:spacing w:val="-2"/>
        </w:rPr>
        <w:t xml:space="preserve"> </w:t>
      </w:r>
      <w:r>
        <w:t>to</w:t>
      </w:r>
      <w:r>
        <w:rPr>
          <w:spacing w:val="-1"/>
        </w:rPr>
        <w:t xml:space="preserve"> </w:t>
      </w:r>
      <w:r>
        <w:t>a</w:t>
      </w:r>
      <w:r>
        <w:rPr>
          <w:spacing w:val="-4"/>
        </w:rPr>
        <w:t xml:space="preserve"> </w:t>
      </w:r>
      <w:r>
        <w:t>specific</w:t>
      </w:r>
      <w:r>
        <w:rPr>
          <w:spacing w:val="-4"/>
        </w:rPr>
        <w:t xml:space="preserve"> </w:t>
      </w:r>
      <w:r>
        <w:t>change</w:t>
      </w:r>
      <w:r>
        <w:rPr>
          <w:spacing w:val="-2"/>
        </w:rPr>
        <w:t xml:space="preserve"> </w:t>
      </w:r>
      <w:r>
        <w:t>strategy</w:t>
      </w:r>
      <w:r>
        <w:rPr>
          <w:spacing w:val="-1"/>
        </w:rPr>
        <w:t xml:space="preserve"> </w:t>
      </w:r>
      <w:r>
        <w:t>if</w:t>
      </w:r>
      <w:r>
        <w:rPr>
          <w:spacing w:val="-5"/>
        </w:rPr>
        <w:t xml:space="preserve"> </w:t>
      </w:r>
      <w:r>
        <w:t>they</w:t>
      </w:r>
      <w:r>
        <w:rPr>
          <w:spacing w:val="-1"/>
        </w:rPr>
        <w:t xml:space="preserve"> </w:t>
      </w:r>
      <w:r>
        <w:t>can</w:t>
      </w:r>
      <w:r>
        <w:rPr>
          <w:spacing w:val="-5"/>
        </w:rPr>
        <w:t xml:space="preserve"> </w:t>
      </w:r>
      <w:r>
        <w:t>choose</w:t>
      </w:r>
      <w:r>
        <w:rPr>
          <w:spacing w:val="-2"/>
        </w:rPr>
        <w:t xml:space="preserve"> </w:t>
      </w:r>
      <w:r>
        <w:t>from</w:t>
      </w:r>
      <w:r>
        <w:rPr>
          <w:spacing w:val="-1"/>
        </w:rPr>
        <w:t xml:space="preserve"> </w:t>
      </w:r>
      <w:r>
        <w:t>a</w:t>
      </w:r>
      <w:r>
        <w:rPr>
          <w:spacing w:val="-4"/>
        </w:rPr>
        <w:t xml:space="preserve"> </w:t>
      </w:r>
      <w:r>
        <w:t>menu</w:t>
      </w:r>
      <w:r>
        <w:rPr>
          <w:spacing w:val="-5"/>
        </w:rPr>
        <w:t xml:space="preserve"> </w:t>
      </w:r>
      <w:r>
        <w:t>of options. Giving clients choices for treatment goals and types of available service increases their motivation to participate in treatment.</w:t>
      </w:r>
    </w:p>
    <w:p w14:paraId="1C5952C9" w14:textId="77777777" w:rsidR="00DB6E1F" w:rsidRDefault="00F666A6">
      <w:pPr>
        <w:pStyle w:val="BodyText"/>
        <w:spacing w:before="162"/>
        <w:ind w:left="1439"/>
      </w:pPr>
      <w:r>
        <w:t>Strategies</w:t>
      </w:r>
      <w:r>
        <w:rPr>
          <w:spacing w:val="-5"/>
        </w:rPr>
        <w:t xml:space="preserve"> </w:t>
      </w:r>
      <w:r>
        <w:t>for</w:t>
      </w:r>
      <w:r>
        <w:rPr>
          <w:spacing w:val="-4"/>
        </w:rPr>
        <w:t xml:space="preserve"> </w:t>
      </w:r>
      <w:r>
        <w:t>offering</w:t>
      </w:r>
      <w:r>
        <w:rPr>
          <w:spacing w:val="-3"/>
        </w:rPr>
        <w:t xml:space="preserve"> </w:t>
      </w:r>
      <w:r>
        <w:t>a</w:t>
      </w:r>
      <w:r>
        <w:rPr>
          <w:spacing w:val="-4"/>
        </w:rPr>
        <w:t xml:space="preserve"> </w:t>
      </w:r>
      <w:r>
        <w:t>menu</w:t>
      </w:r>
      <w:r>
        <w:rPr>
          <w:spacing w:val="-3"/>
        </w:rPr>
        <w:t xml:space="preserve"> </w:t>
      </w:r>
      <w:r>
        <w:t>of</w:t>
      </w:r>
      <w:r>
        <w:rPr>
          <w:spacing w:val="-4"/>
        </w:rPr>
        <w:t xml:space="preserve"> </w:t>
      </w:r>
      <w:r>
        <w:t>options</w:t>
      </w:r>
      <w:r>
        <w:rPr>
          <w:spacing w:val="-4"/>
        </w:rPr>
        <w:t xml:space="preserve"> </w:t>
      </w:r>
      <w:r>
        <w:t>include</w:t>
      </w:r>
      <w:r>
        <w:rPr>
          <w:spacing w:val="-1"/>
        </w:rPr>
        <w:t xml:space="preserve"> </w:t>
      </w:r>
      <w:r>
        <w:t>the</w:t>
      </w:r>
      <w:r>
        <w:rPr>
          <w:spacing w:val="-4"/>
        </w:rPr>
        <w:t xml:space="preserve"> </w:t>
      </w:r>
      <w:r>
        <w:rPr>
          <w:spacing w:val="-2"/>
        </w:rPr>
        <w:t>following:</w:t>
      </w:r>
    </w:p>
    <w:p w14:paraId="29C999E0" w14:textId="77777777" w:rsidR="00DB6E1F" w:rsidRDefault="00F666A6">
      <w:pPr>
        <w:pStyle w:val="ListParagraph"/>
        <w:numPr>
          <w:ilvl w:val="0"/>
          <w:numId w:val="92"/>
        </w:numPr>
        <w:tabs>
          <w:tab w:val="left" w:pos="1798"/>
          <w:tab w:val="left" w:pos="1800"/>
        </w:tabs>
        <w:ind w:left="1799" w:hanging="362"/>
        <w:rPr>
          <w:rFonts w:ascii="Symbol" w:hAnsi="Symbol"/>
        </w:rPr>
      </w:pPr>
      <w:r>
        <w:t>Provide</w:t>
      </w:r>
      <w:r>
        <w:rPr>
          <w:spacing w:val="-6"/>
        </w:rPr>
        <w:t xml:space="preserve"> </w:t>
      </w:r>
      <w:r>
        <w:t>accurate</w:t>
      </w:r>
      <w:r>
        <w:rPr>
          <w:spacing w:val="-3"/>
        </w:rPr>
        <w:t xml:space="preserve"> </w:t>
      </w:r>
      <w:r>
        <w:t>information</w:t>
      </w:r>
      <w:r>
        <w:rPr>
          <w:spacing w:val="-5"/>
        </w:rPr>
        <w:t xml:space="preserve"> </w:t>
      </w:r>
      <w:r>
        <w:t>on</w:t>
      </w:r>
      <w:r>
        <w:rPr>
          <w:spacing w:val="-7"/>
        </w:rPr>
        <w:t xml:space="preserve"> </w:t>
      </w:r>
      <w:r>
        <w:t>each</w:t>
      </w:r>
      <w:r>
        <w:rPr>
          <w:spacing w:val="-7"/>
        </w:rPr>
        <w:t xml:space="preserve"> </w:t>
      </w:r>
      <w:r>
        <w:t>option</w:t>
      </w:r>
      <w:r>
        <w:rPr>
          <w:spacing w:val="-5"/>
        </w:rPr>
        <w:t xml:space="preserve"> </w:t>
      </w:r>
      <w:r>
        <w:t>and</w:t>
      </w:r>
      <w:r>
        <w:rPr>
          <w:spacing w:val="-6"/>
        </w:rPr>
        <w:t xml:space="preserve"> </w:t>
      </w:r>
      <w:r>
        <w:t>potential</w:t>
      </w:r>
      <w:r>
        <w:rPr>
          <w:spacing w:val="-4"/>
        </w:rPr>
        <w:t xml:space="preserve"> </w:t>
      </w:r>
      <w:r>
        <w:t>implications</w:t>
      </w:r>
      <w:r>
        <w:rPr>
          <w:spacing w:val="-4"/>
        </w:rPr>
        <w:t xml:space="preserve"> </w:t>
      </w:r>
      <w:r>
        <w:t>for</w:t>
      </w:r>
      <w:r>
        <w:rPr>
          <w:spacing w:val="-6"/>
        </w:rPr>
        <w:t xml:space="preserve"> </w:t>
      </w:r>
      <w:r>
        <w:t>choosing</w:t>
      </w:r>
      <w:r>
        <w:rPr>
          <w:spacing w:val="-5"/>
        </w:rPr>
        <w:t xml:space="preserve"> </w:t>
      </w:r>
      <w:r>
        <w:t>that</w:t>
      </w:r>
      <w:r>
        <w:rPr>
          <w:spacing w:val="-6"/>
        </w:rPr>
        <w:t xml:space="preserve"> </w:t>
      </w:r>
      <w:r>
        <w:rPr>
          <w:spacing w:val="-2"/>
        </w:rPr>
        <w:t>option.</w:t>
      </w:r>
    </w:p>
    <w:p w14:paraId="3620EA56" w14:textId="77777777" w:rsidR="00DB6E1F" w:rsidRDefault="00F666A6">
      <w:pPr>
        <w:pStyle w:val="ListParagraph"/>
        <w:numPr>
          <w:ilvl w:val="0"/>
          <w:numId w:val="92"/>
        </w:numPr>
        <w:tabs>
          <w:tab w:val="left" w:pos="1799"/>
          <w:tab w:val="left" w:pos="1800"/>
        </w:tabs>
        <w:spacing w:before="58"/>
        <w:ind w:left="1799"/>
        <w:rPr>
          <w:rFonts w:ascii="Symbol" w:hAnsi="Symbol"/>
        </w:rPr>
      </w:pPr>
      <w:r>
        <w:t>Elicit</w:t>
      </w:r>
      <w:r>
        <w:rPr>
          <w:spacing w:val="-4"/>
        </w:rPr>
        <w:t xml:space="preserve"> </w:t>
      </w:r>
      <w:r>
        <w:t>from</w:t>
      </w:r>
      <w:r>
        <w:rPr>
          <w:spacing w:val="-4"/>
        </w:rPr>
        <w:t xml:space="preserve"> </w:t>
      </w:r>
      <w:r>
        <w:t>clients</w:t>
      </w:r>
      <w:r>
        <w:rPr>
          <w:spacing w:val="-4"/>
        </w:rPr>
        <w:t xml:space="preserve"> </w:t>
      </w:r>
      <w:r>
        <w:t>which</w:t>
      </w:r>
      <w:r>
        <w:rPr>
          <w:spacing w:val="-5"/>
        </w:rPr>
        <w:t xml:space="preserve"> </w:t>
      </w:r>
      <w:r>
        <w:t>options</w:t>
      </w:r>
      <w:r>
        <w:rPr>
          <w:spacing w:val="-2"/>
        </w:rPr>
        <w:t xml:space="preserve"> </w:t>
      </w:r>
      <w:r>
        <w:t>they</w:t>
      </w:r>
      <w:r>
        <w:rPr>
          <w:spacing w:val="-4"/>
        </w:rPr>
        <w:t xml:space="preserve"> </w:t>
      </w:r>
      <w:r>
        <w:t>think</w:t>
      </w:r>
      <w:r>
        <w:rPr>
          <w:spacing w:val="-2"/>
        </w:rPr>
        <w:t xml:space="preserve"> </w:t>
      </w:r>
      <w:r>
        <w:t>would</w:t>
      </w:r>
      <w:r>
        <w:rPr>
          <w:spacing w:val="-4"/>
        </w:rPr>
        <w:t xml:space="preserve"> </w:t>
      </w:r>
      <w:r>
        <w:t>work</w:t>
      </w:r>
      <w:r>
        <w:rPr>
          <w:spacing w:val="-2"/>
        </w:rPr>
        <w:t xml:space="preserve"> </w:t>
      </w:r>
      <w:r>
        <w:t>or</w:t>
      </w:r>
      <w:r>
        <w:rPr>
          <w:spacing w:val="-6"/>
        </w:rPr>
        <w:t xml:space="preserve"> </w:t>
      </w:r>
      <w:r>
        <w:t>what</w:t>
      </w:r>
      <w:r>
        <w:rPr>
          <w:spacing w:val="-4"/>
        </w:rPr>
        <w:t xml:space="preserve"> </w:t>
      </w:r>
      <w:r>
        <w:t>has</w:t>
      </w:r>
      <w:r>
        <w:rPr>
          <w:spacing w:val="-3"/>
        </w:rPr>
        <w:t xml:space="preserve"> </w:t>
      </w:r>
      <w:r>
        <w:t>worked</w:t>
      </w:r>
      <w:r>
        <w:rPr>
          <w:spacing w:val="-4"/>
        </w:rPr>
        <w:t xml:space="preserve"> </w:t>
      </w:r>
      <w:r>
        <w:t>for</w:t>
      </w:r>
      <w:r>
        <w:rPr>
          <w:spacing w:val="-2"/>
        </w:rPr>
        <w:t xml:space="preserve"> </w:t>
      </w:r>
      <w:r>
        <w:t>them</w:t>
      </w:r>
      <w:r>
        <w:rPr>
          <w:spacing w:val="-2"/>
        </w:rPr>
        <w:t xml:space="preserve"> </w:t>
      </w:r>
      <w:r>
        <w:t>in</w:t>
      </w:r>
      <w:r>
        <w:rPr>
          <w:spacing w:val="-6"/>
        </w:rPr>
        <w:t xml:space="preserve"> </w:t>
      </w:r>
      <w:r>
        <w:t>the</w:t>
      </w:r>
      <w:r>
        <w:rPr>
          <w:spacing w:val="-2"/>
        </w:rPr>
        <w:t xml:space="preserve"> past.</w:t>
      </w:r>
    </w:p>
    <w:p w14:paraId="27CAB56B" w14:textId="77777777" w:rsidR="00DB6E1F" w:rsidRDefault="00F666A6">
      <w:pPr>
        <w:pStyle w:val="ListParagraph"/>
        <w:numPr>
          <w:ilvl w:val="0"/>
          <w:numId w:val="92"/>
        </w:numPr>
        <w:tabs>
          <w:tab w:val="left" w:pos="1799"/>
          <w:tab w:val="left" w:pos="1800"/>
        </w:tabs>
        <w:spacing w:before="59"/>
        <w:ind w:left="1799"/>
        <w:rPr>
          <w:rFonts w:ascii="Symbol" w:hAnsi="Symbol"/>
        </w:rPr>
      </w:pPr>
      <w:r>
        <w:t>Brainstorm</w:t>
      </w:r>
      <w:r>
        <w:rPr>
          <w:spacing w:val="-6"/>
        </w:rPr>
        <w:t xml:space="preserve"> </w:t>
      </w:r>
      <w:r>
        <w:t>alternative</w:t>
      </w:r>
      <w:r>
        <w:rPr>
          <w:spacing w:val="-7"/>
        </w:rPr>
        <w:t xml:space="preserve"> </w:t>
      </w:r>
      <w:r>
        <w:t>options</w:t>
      </w:r>
      <w:r>
        <w:rPr>
          <w:spacing w:val="-4"/>
        </w:rPr>
        <w:t xml:space="preserve"> </w:t>
      </w:r>
      <w:r>
        <w:t>if</w:t>
      </w:r>
      <w:r>
        <w:rPr>
          <w:spacing w:val="-5"/>
        </w:rPr>
        <w:t xml:space="preserve"> </w:t>
      </w:r>
      <w:r>
        <w:t>none</w:t>
      </w:r>
      <w:r>
        <w:rPr>
          <w:spacing w:val="-6"/>
        </w:rPr>
        <w:t xml:space="preserve"> </w:t>
      </w:r>
      <w:r>
        <w:t>offered</w:t>
      </w:r>
      <w:r>
        <w:rPr>
          <w:spacing w:val="-6"/>
        </w:rPr>
        <w:t xml:space="preserve"> </w:t>
      </w:r>
      <w:r>
        <w:t>are</w:t>
      </w:r>
      <w:r>
        <w:rPr>
          <w:spacing w:val="-6"/>
        </w:rPr>
        <w:t xml:space="preserve"> </w:t>
      </w:r>
      <w:r>
        <w:t>acceptable</w:t>
      </w:r>
      <w:r>
        <w:rPr>
          <w:spacing w:val="-5"/>
        </w:rPr>
        <w:t xml:space="preserve"> </w:t>
      </w:r>
      <w:r>
        <w:t>to</w:t>
      </w:r>
      <w:r>
        <w:rPr>
          <w:spacing w:val="-5"/>
        </w:rPr>
        <w:t xml:space="preserve"> </w:t>
      </w:r>
      <w:r>
        <w:rPr>
          <w:spacing w:val="-2"/>
        </w:rPr>
        <w:t>clients.</w:t>
      </w:r>
    </w:p>
    <w:p w14:paraId="269E8AFC" w14:textId="77777777" w:rsidR="00DB6E1F" w:rsidRDefault="00F666A6">
      <w:pPr>
        <w:pStyle w:val="BodyText"/>
        <w:spacing w:before="161"/>
        <w:ind w:left="1438" w:right="1491"/>
      </w:pPr>
      <w:r>
        <w:t>Providing</w:t>
      </w:r>
      <w:r>
        <w:rPr>
          <w:spacing w:val="-3"/>
        </w:rPr>
        <w:t xml:space="preserve"> </w:t>
      </w:r>
      <w:r>
        <w:t>a</w:t>
      </w:r>
      <w:r>
        <w:rPr>
          <w:spacing w:val="-4"/>
        </w:rPr>
        <w:t xml:space="preserve"> </w:t>
      </w:r>
      <w:r>
        <w:t>menu</w:t>
      </w:r>
      <w:r>
        <w:rPr>
          <w:spacing w:val="-5"/>
        </w:rPr>
        <w:t xml:space="preserve"> </w:t>
      </w:r>
      <w:r>
        <w:t>of</w:t>
      </w:r>
      <w:r>
        <w:rPr>
          <w:spacing w:val="-4"/>
        </w:rPr>
        <w:t xml:space="preserve"> </w:t>
      </w:r>
      <w:r>
        <w:t>options</w:t>
      </w:r>
      <w:r>
        <w:rPr>
          <w:spacing w:val="-2"/>
        </w:rPr>
        <w:t xml:space="preserve"> </w:t>
      </w:r>
      <w:r>
        <w:t>is</w:t>
      </w:r>
      <w:r>
        <w:rPr>
          <w:spacing w:val="-2"/>
        </w:rPr>
        <w:t xml:space="preserve"> </w:t>
      </w:r>
      <w:r>
        <w:t>consistent</w:t>
      </w:r>
      <w:r>
        <w:rPr>
          <w:spacing w:val="-2"/>
        </w:rPr>
        <w:t xml:space="preserve"> </w:t>
      </w:r>
      <w:r>
        <w:t>with</w:t>
      </w:r>
      <w:r>
        <w:rPr>
          <w:spacing w:val="-3"/>
        </w:rPr>
        <w:t xml:space="preserve"> </w:t>
      </w:r>
      <w:r>
        <w:t>the</w:t>
      </w:r>
      <w:r>
        <w:rPr>
          <w:spacing w:val="-4"/>
        </w:rPr>
        <w:t xml:space="preserve"> </w:t>
      </w:r>
      <w:r>
        <w:t>motivational</w:t>
      </w:r>
      <w:r>
        <w:rPr>
          <w:spacing w:val="-2"/>
        </w:rPr>
        <w:t xml:space="preserve"> </w:t>
      </w:r>
      <w:r>
        <w:t>principle</w:t>
      </w:r>
      <w:r>
        <w:rPr>
          <w:spacing w:val="-2"/>
        </w:rPr>
        <w:t xml:space="preserve"> </w:t>
      </w:r>
      <w:r>
        <w:t>of</w:t>
      </w:r>
      <w:r>
        <w:rPr>
          <w:spacing w:val="-2"/>
        </w:rPr>
        <w:t xml:space="preserve"> </w:t>
      </w:r>
      <w:r>
        <w:t>supporting</w:t>
      </w:r>
      <w:r>
        <w:rPr>
          <w:spacing w:val="-3"/>
        </w:rPr>
        <w:t xml:space="preserve"> </w:t>
      </w:r>
      <w:r>
        <w:t>client</w:t>
      </w:r>
      <w:r>
        <w:rPr>
          <w:spacing w:val="-1"/>
        </w:rPr>
        <w:t xml:space="preserve"> </w:t>
      </w:r>
      <w:r>
        <w:t>autonomy and responsibility. Clients feel more empowered when they take responsibility for their choices. Your role is to enhance their ab</w:t>
      </w:r>
      <w:r>
        <w:t>ility to make informed choices. When clients make independent decisions, they are likely to be more committed to them. This concept is examined more fully in Chapter 6.</w:t>
      </w:r>
    </w:p>
    <w:p w14:paraId="2B46B978" w14:textId="77777777" w:rsidR="00DB6E1F" w:rsidRDefault="00DB6E1F">
      <w:pPr>
        <w:pStyle w:val="BodyText"/>
        <w:spacing w:before="7"/>
        <w:rPr>
          <w:sz w:val="16"/>
        </w:rPr>
      </w:pPr>
    </w:p>
    <w:p w14:paraId="5345F4DA" w14:textId="77777777" w:rsidR="00DB6E1F" w:rsidRDefault="00F666A6">
      <w:pPr>
        <w:pStyle w:val="Heading4"/>
      </w:pPr>
      <w:bookmarkStart w:id="62" w:name="Empathic_counseling_style"/>
      <w:bookmarkEnd w:id="62"/>
      <w:r>
        <w:t>Empathic</w:t>
      </w:r>
      <w:r>
        <w:rPr>
          <w:spacing w:val="-11"/>
        </w:rPr>
        <w:t xml:space="preserve"> </w:t>
      </w:r>
      <w:r>
        <w:t>counseling</w:t>
      </w:r>
      <w:r>
        <w:rPr>
          <w:spacing w:val="-13"/>
        </w:rPr>
        <w:t xml:space="preserve"> </w:t>
      </w:r>
      <w:r>
        <w:rPr>
          <w:spacing w:val="-4"/>
        </w:rPr>
        <w:t>style</w:t>
      </w:r>
    </w:p>
    <w:p w14:paraId="3DCF3B3E" w14:textId="77777777" w:rsidR="00DB6E1F" w:rsidRDefault="00F666A6">
      <w:pPr>
        <w:spacing w:before="84"/>
        <w:ind w:left="1439" w:right="1491"/>
      </w:pPr>
      <w:r>
        <w:rPr>
          <w:b/>
        </w:rPr>
        <w:t xml:space="preserve">Use an empathic counseling style by showing active interest in understanding clients’ perspectives </w:t>
      </w:r>
      <w:r>
        <w:t>(Miller</w:t>
      </w:r>
      <w:r>
        <w:rPr>
          <w:spacing w:val="-4"/>
        </w:rPr>
        <w:t xml:space="preserve"> </w:t>
      </w:r>
      <w:r>
        <w:t>&amp;</w:t>
      </w:r>
      <w:r>
        <w:rPr>
          <w:spacing w:val="-1"/>
        </w:rPr>
        <w:t xml:space="preserve"> </w:t>
      </w:r>
      <w:r>
        <w:t>Rollnick,</w:t>
      </w:r>
      <w:r>
        <w:rPr>
          <w:spacing w:val="-4"/>
        </w:rPr>
        <w:t xml:space="preserve"> </w:t>
      </w:r>
      <w:r>
        <w:t>2013).</w:t>
      </w:r>
      <w:r>
        <w:rPr>
          <w:spacing w:val="-3"/>
        </w:rPr>
        <w:t xml:space="preserve"> </w:t>
      </w:r>
      <w:r>
        <w:t>Counselors</w:t>
      </w:r>
      <w:r>
        <w:rPr>
          <w:spacing w:val="-2"/>
        </w:rPr>
        <w:t xml:space="preserve"> </w:t>
      </w:r>
      <w:r>
        <w:t>who</w:t>
      </w:r>
      <w:r>
        <w:rPr>
          <w:spacing w:val="-1"/>
        </w:rPr>
        <w:t xml:space="preserve"> </w:t>
      </w:r>
      <w:r>
        <w:t>show</w:t>
      </w:r>
      <w:r>
        <w:rPr>
          <w:spacing w:val="-4"/>
        </w:rPr>
        <w:t xml:space="preserve"> </w:t>
      </w:r>
      <w:r>
        <w:t>high</w:t>
      </w:r>
      <w:r>
        <w:rPr>
          <w:spacing w:val="-3"/>
        </w:rPr>
        <w:t xml:space="preserve"> </w:t>
      </w:r>
      <w:r>
        <w:t>levels</w:t>
      </w:r>
      <w:r>
        <w:rPr>
          <w:spacing w:val="-4"/>
        </w:rPr>
        <w:t xml:space="preserve"> </w:t>
      </w:r>
      <w:r>
        <w:t>of</w:t>
      </w:r>
      <w:r>
        <w:rPr>
          <w:spacing w:val="-4"/>
        </w:rPr>
        <w:t xml:space="preserve"> </w:t>
      </w:r>
      <w:r>
        <w:t>empathy</w:t>
      </w:r>
      <w:r>
        <w:rPr>
          <w:spacing w:val="-3"/>
        </w:rPr>
        <w:t xml:space="preserve"> </w:t>
      </w:r>
      <w:r>
        <w:t>are</w:t>
      </w:r>
      <w:r>
        <w:rPr>
          <w:spacing w:val="-4"/>
        </w:rPr>
        <w:t xml:space="preserve"> </w:t>
      </w:r>
      <w:r>
        <w:t>curious,</w:t>
      </w:r>
      <w:r>
        <w:rPr>
          <w:spacing w:val="-2"/>
        </w:rPr>
        <w:t xml:space="preserve"> </w:t>
      </w:r>
      <w:r>
        <w:t>spend</w:t>
      </w:r>
      <w:r>
        <w:rPr>
          <w:spacing w:val="-3"/>
        </w:rPr>
        <w:t xml:space="preserve"> </w:t>
      </w:r>
      <w:r>
        <w:t>time</w:t>
      </w:r>
      <w:r>
        <w:rPr>
          <w:spacing w:val="-4"/>
        </w:rPr>
        <w:t xml:space="preserve"> </w:t>
      </w:r>
      <w:r>
        <w:t>exploring clients’ ideas about their substance use, show an active interest in what clients are saying, and often encourage clients to elaborate on more than just the content of their story (Miller &amp; Rollnick, 2013).</w:t>
      </w:r>
    </w:p>
    <w:p w14:paraId="52209084" w14:textId="77777777" w:rsidR="00DB6E1F" w:rsidRDefault="00F666A6">
      <w:pPr>
        <w:pStyle w:val="BodyText"/>
        <w:spacing w:before="1"/>
        <w:ind w:left="1440" w:right="1491"/>
      </w:pPr>
      <w:r>
        <w:t>Counselor</w:t>
      </w:r>
      <w:r>
        <w:rPr>
          <w:spacing w:val="-3"/>
        </w:rPr>
        <w:t xml:space="preserve"> </w:t>
      </w:r>
      <w:r>
        <w:t>empathy</w:t>
      </w:r>
      <w:r>
        <w:rPr>
          <w:spacing w:val="-2"/>
        </w:rPr>
        <w:t xml:space="preserve"> </w:t>
      </w:r>
      <w:r>
        <w:t>is</w:t>
      </w:r>
      <w:r>
        <w:rPr>
          <w:spacing w:val="-3"/>
        </w:rPr>
        <w:t xml:space="preserve"> </w:t>
      </w:r>
      <w:r>
        <w:t>a</w:t>
      </w:r>
      <w:r>
        <w:rPr>
          <w:spacing w:val="-5"/>
        </w:rPr>
        <w:t xml:space="preserve"> </w:t>
      </w:r>
      <w:r>
        <w:t>moderately</w:t>
      </w:r>
      <w:r>
        <w:rPr>
          <w:spacing w:val="-5"/>
        </w:rPr>
        <w:t xml:space="preserve"> </w:t>
      </w:r>
      <w:r>
        <w:t>stron</w:t>
      </w:r>
      <w:r>
        <w:t>g</w:t>
      </w:r>
      <w:r>
        <w:rPr>
          <w:spacing w:val="-4"/>
        </w:rPr>
        <w:t xml:space="preserve"> </w:t>
      </w:r>
      <w:r>
        <w:t>predictor</w:t>
      </w:r>
      <w:r>
        <w:rPr>
          <w:spacing w:val="-6"/>
        </w:rPr>
        <w:t xml:space="preserve"> </w:t>
      </w:r>
      <w:r>
        <w:t>of</w:t>
      </w:r>
      <w:r>
        <w:rPr>
          <w:spacing w:val="-3"/>
        </w:rPr>
        <w:t xml:space="preserve"> </w:t>
      </w:r>
      <w:r>
        <w:t>client</w:t>
      </w:r>
      <w:r>
        <w:rPr>
          <w:spacing w:val="-2"/>
        </w:rPr>
        <w:t xml:space="preserve"> </w:t>
      </w:r>
      <w:r>
        <w:t>treatment</w:t>
      </w:r>
      <w:r>
        <w:rPr>
          <w:spacing w:val="-5"/>
        </w:rPr>
        <w:t xml:space="preserve"> </w:t>
      </w:r>
      <w:r>
        <w:t>outcomes</w:t>
      </w:r>
      <w:r>
        <w:rPr>
          <w:spacing w:val="-3"/>
        </w:rPr>
        <w:t xml:space="preserve"> </w:t>
      </w:r>
      <w:r>
        <w:t>(Elliot,</w:t>
      </w:r>
      <w:r>
        <w:rPr>
          <w:spacing w:val="-3"/>
        </w:rPr>
        <w:t xml:space="preserve"> </w:t>
      </w:r>
      <w:r>
        <w:t>Bohart, Watson, &amp; Murphy, 2018).</w:t>
      </w:r>
    </w:p>
    <w:p w14:paraId="4654ED5F" w14:textId="77777777" w:rsidR="00DB6E1F" w:rsidRDefault="00F666A6">
      <w:pPr>
        <w:pStyle w:val="BodyText"/>
        <w:spacing w:before="158"/>
        <w:ind w:left="1439" w:right="1555"/>
      </w:pPr>
      <w:r>
        <w:t>As</w:t>
      </w:r>
      <w:r>
        <w:rPr>
          <w:spacing w:val="-2"/>
        </w:rPr>
        <w:t xml:space="preserve"> </w:t>
      </w:r>
      <w:r>
        <w:t>explained</w:t>
      </w:r>
      <w:r>
        <w:rPr>
          <w:spacing w:val="-3"/>
        </w:rPr>
        <w:t xml:space="preserve"> </w:t>
      </w:r>
      <w:r>
        <w:t>in</w:t>
      </w:r>
      <w:r>
        <w:rPr>
          <w:spacing w:val="-3"/>
        </w:rPr>
        <w:t xml:space="preserve"> </w:t>
      </w:r>
      <w:r>
        <w:t>Chapter</w:t>
      </w:r>
      <w:r>
        <w:rPr>
          <w:spacing w:val="-4"/>
        </w:rPr>
        <w:t xml:space="preserve"> </w:t>
      </w:r>
      <w:r>
        <w:t>3,</w:t>
      </w:r>
      <w:r>
        <w:rPr>
          <w:spacing w:val="-2"/>
        </w:rPr>
        <w:t xml:space="preserve"> </w:t>
      </w:r>
      <w:r>
        <w:t>reflective</w:t>
      </w:r>
      <w:r>
        <w:rPr>
          <w:spacing w:val="-4"/>
        </w:rPr>
        <w:t xml:space="preserve"> </w:t>
      </w:r>
      <w:r>
        <w:t>listening</w:t>
      </w:r>
      <w:r>
        <w:rPr>
          <w:spacing w:val="-3"/>
        </w:rPr>
        <w:t xml:space="preserve"> </w:t>
      </w:r>
      <w:r>
        <w:t>effectively</w:t>
      </w:r>
      <w:r>
        <w:rPr>
          <w:spacing w:val="-1"/>
        </w:rPr>
        <w:t xml:space="preserve"> </w:t>
      </w:r>
      <w:r>
        <w:t>communicates</w:t>
      </w:r>
      <w:r>
        <w:rPr>
          <w:spacing w:val="-4"/>
        </w:rPr>
        <w:t xml:space="preserve"> </w:t>
      </w:r>
      <w:r>
        <w:t>empathy.</w:t>
      </w:r>
      <w:r>
        <w:rPr>
          <w:spacing w:val="-5"/>
        </w:rPr>
        <w:t xml:space="preserve"> </w:t>
      </w:r>
      <w:r>
        <w:t>The</w:t>
      </w:r>
      <w:r>
        <w:rPr>
          <w:spacing w:val="-1"/>
        </w:rPr>
        <w:t xml:space="preserve"> </w:t>
      </w:r>
      <w:r>
        <w:t>client</w:t>
      </w:r>
      <w:r>
        <w:rPr>
          <w:spacing w:val="-4"/>
        </w:rPr>
        <w:t xml:space="preserve"> </w:t>
      </w:r>
      <w:r>
        <w:t>does</w:t>
      </w:r>
      <w:r>
        <w:rPr>
          <w:spacing w:val="-4"/>
        </w:rPr>
        <w:t xml:space="preserve"> </w:t>
      </w:r>
      <w:r>
        <w:t>most of the talking when a counselor uses an empathic style. It is your res</w:t>
      </w:r>
      <w:r>
        <w:t>ponsibility to create a safe environment</w:t>
      </w:r>
      <w:r>
        <w:rPr>
          <w:spacing w:val="-1"/>
        </w:rPr>
        <w:t xml:space="preserve"> </w:t>
      </w:r>
      <w:r>
        <w:t>that</w:t>
      </w:r>
      <w:r>
        <w:rPr>
          <w:spacing w:val="-4"/>
        </w:rPr>
        <w:t xml:space="preserve"> </w:t>
      </w:r>
      <w:r>
        <w:t>encourages</w:t>
      </w:r>
      <w:r>
        <w:rPr>
          <w:spacing w:val="-2"/>
        </w:rPr>
        <w:t xml:space="preserve"> </w:t>
      </w:r>
      <w:r>
        <w:t>a</w:t>
      </w:r>
      <w:r>
        <w:rPr>
          <w:spacing w:val="-2"/>
        </w:rPr>
        <w:t xml:space="preserve"> </w:t>
      </w:r>
      <w:r>
        <w:t>free</w:t>
      </w:r>
      <w:r>
        <w:rPr>
          <w:spacing w:val="-2"/>
        </w:rPr>
        <w:t xml:space="preserve"> </w:t>
      </w:r>
      <w:r>
        <w:t>flow</w:t>
      </w:r>
      <w:r>
        <w:rPr>
          <w:spacing w:val="-4"/>
        </w:rPr>
        <w:t xml:space="preserve"> </w:t>
      </w:r>
      <w:r>
        <w:t>of</w:t>
      </w:r>
      <w:r>
        <w:rPr>
          <w:spacing w:val="-4"/>
        </w:rPr>
        <w:t xml:space="preserve"> </w:t>
      </w:r>
      <w:r>
        <w:t>communication</w:t>
      </w:r>
      <w:r>
        <w:rPr>
          <w:spacing w:val="-5"/>
        </w:rPr>
        <w:t xml:space="preserve"> </w:t>
      </w:r>
      <w:r>
        <w:t>with</w:t>
      </w:r>
      <w:r>
        <w:rPr>
          <w:spacing w:val="-3"/>
        </w:rPr>
        <w:t xml:space="preserve"> </w:t>
      </w:r>
      <w:r>
        <w:t>the</w:t>
      </w:r>
      <w:r>
        <w:rPr>
          <w:spacing w:val="-1"/>
        </w:rPr>
        <w:t xml:space="preserve"> </w:t>
      </w:r>
      <w:r>
        <w:t>client.</w:t>
      </w:r>
      <w:r>
        <w:rPr>
          <w:spacing w:val="-2"/>
        </w:rPr>
        <w:t xml:space="preserve"> </w:t>
      </w:r>
      <w:r>
        <w:t>An</w:t>
      </w:r>
      <w:r>
        <w:rPr>
          <w:spacing w:val="-3"/>
        </w:rPr>
        <w:t xml:space="preserve"> </w:t>
      </w:r>
      <w:r>
        <w:t>empathic</w:t>
      </w:r>
      <w:r>
        <w:rPr>
          <w:spacing w:val="-2"/>
        </w:rPr>
        <w:t xml:space="preserve"> </w:t>
      </w:r>
      <w:r>
        <w:t>style</w:t>
      </w:r>
      <w:r>
        <w:rPr>
          <w:spacing w:val="-1"/>
        </w:rPr>
        <w:t xml:space="preserve"> </w:t>
      </w:r>
      <w:r>
        <w:t>appears easy to adopt, but it requires training and significant effort on your part. This counseling style can be particularly effectiv</w:t>
      </w:r>
      <w:r>
        <w:t>e with clients in the Precontemplation stage.</w:t>
      </w:r>
    </w:p>
    <w:p w14:paraId="4323320C" w14:textId="77777777" w:rsidR="00DB6E1F" w:rsidRDefault="00DB6E1F">
      <w:pPr>
        <w:pStyle w:val="BodyText"/>
        <w:spacing w:before="6"/>
        <w:rPr>
          <w:sz w:val="16"/>
        </w:rPr>
      </w:pPr>
    </w:p>
    <w:p w14:paraId="3843DCB6" w14:textId="77777777" w:rsidR="00DB6E1F" w:rsidRDefault="00F666A6">
      <w:pPr>
        <w:pStyle w:val="Heading4"/>
      </w:pPr>
      <w:bookmarkStart w:id="63" w:name="Self-efficacy"/>
      <w:bookmarkEnd w:id="63"/>
      <w:r>
        <w:rPr>
          <w:w w:val="95"/>
        </w:rPr>
        <w:t>Self-</w:t>
      </w:r>
      <w:r>
        <w:rPr>
          <w:spacing w:val="-2"/>
          <w:w w:val="95"/>
        </w:rPr>
        <w:t>efficacy</w:t>
      </w:r>
    </w:p>
    <w:p w14:paraId="1E77109B" w14:textId="77777777" w:rsidR="00DB6E1F" w:rsidRDefault="00F666A6">
      <w:pPr>
        <w:spacing w:before="85"/>
        <w:ind w:left="1438" w:right="1437" w:firstLine="1"/>
      </w:pPr>
      <w:r>
        <w:rPr>
          <w:b/>
        </w:rPr>
        <w:t xml:space="preserve">Help clients build self-efficacy by being supportive, identifying their strengths, reviewing past successes, and expressing optimism and confidence in their ability to change </w:t>
      </w:r>
      <w:r>
        <w:t>(Kaden &amp; Litt, 2011). To succeed in changing, clients must believe they can under</w:t>
      </w:r>
      <w:r>
        <w:t>take specific tasks in a specific situation (Bandura, 1977). In addiction treatment, self-efficacy</w:t>
      </w:r>
      <w:r>
        <w:rPr>
          <w:spacing w:val="-2"/>
        </w:rPr>
        <w:t xml:space="preserve"> </w:t>
      </w:r>
      <w:r>
        <w:t>usually refers to clients’ ability to identify high-risk situations that trigger their urge to drink or use drugs and to develop coping skills to manage that</w:t>
      </w:r>
      <w:r>
        <w:t xml:space="preserve"> urge and not return to substance use. Considerable evidence points to self-efficacy as an important factor in addiction</w:t>
      </w:r>
      <w:r>
        <w:rPr>
          <w:spacing w:val="-2"/>
        </w:rPr>
        <w:t xml:space="preserve"> </w:t>
      </w:r>
      <w:r>
        <w:t>treatment</w:t>
      </w:r>
      <w:r>
        <w:rPr>
          <w:spacing w:val="-3"/>
        </w:rPr>
        <w:t xml:space="preserve"> </w:t>
      </w:r>
      <w:r>
        <w:t>outcomes</w:t>
      </w:r>
      <w:r>
        <w:rPr>
          <w:spacing w:val="-3"/>
        </w:rPr>
        <w:t xml:space="preserve"> </w:t>
      </w:r>
      <w:r>
        <w:t>(Kadden</w:t>
      </w:r>
      <w:r>
        <w:rPr>
          <w:spacing w:val="-4"/>
        </w:rPr>
        <w:t xml:space="preserve"> </w:t>
      </w:r>
      <w:r>
        <w:t>&amp;</w:t>
      </w:r>
      <w:r>
        <w:rPr>
          <w:spacing w:val="-3"/>
        </w:rPr>
        <w:t xml:space="preserve"> </w:t>
      </w:r>
      <w:r>
        <w:t>Litt,</w:t>
      </w:r>
      <w:r>
        <w:rPr>
          <w:spacing w:val="-3"/>
        </w:rPr>
        <w:t xml:space="preserve"> </w:t>
      </w:r>
      <w:r>
        <w:t>2011;</w:t>
      </w:r>
      <w:r>
        <w:rPr>
          <w:spacing w:val="-2"/>
        </w:rPr>
        <w:t xml:space="preserve"> </w:t>
      </w:r>
      <w:r>
        <w:t>Kuerbis,</w:t>
      </w:r>
      <w:r>
        <w:rPr>
          <w:spacing w:val="-1"/>
        </w:rPr>
        <w:t xml:space="preserve"> </w:t>
      </w:r>
      <w:r>
        <w:t>Armeli,</w:t>
      </w:r>
      <w:r>
        <w:rPr>
          <w:spacing w:val="-3"/>
        </w:rPr>
        <w:t xml:space="preserve"> </w:t>
      </w:r>
      <w:r>
        <w:t>Muench,</w:t>
      </w:r>
      <w:r>
        <w:rPr>
          <w:spacing w:val="-6"/>
        </w:rPr>
        <w:t xml:space="preserve"> </w:t>
      </w:r>
      <w:r>
        <w:t>&amp; Morgenstern,</w:t>
      </w:r>
      <w:r>
        <w:rPr>
          <w:spacing w:val="-3"/>
        </w:rPr>
        <w:t xml:space="preserve"> </w:t>
      </w:r>
      <w:r>
        <w:t>2013;</w:t>
      </w:r>
      <w:r>
        <w:rPr>
          <w:spacing w:val="-2"/>
        </w:rPr>
        <w:t xml:space="preserve"> </w:t>
      </w:r>
      <w:r>
        <w:t>Litt &amp; Kadden, 2015; Morgenstern et al., 2016).</w:t>
      </w:r>
    </w:p>
    <w:p w14:paraId="58C4BFA8" w14:textId="77777777" w:rsidR="00DB6E1F" w:rsidRDefault="00F666A6">
      <w:pPr>
        <w:pStyle w:val="BodyText"/>
        <w:spacing w:before="160"/>
        <w:ind w:left="1438" w:right="1491"/>
      </w:pPr>
      <w:r>
        <w:t>Ask clients to identify how they have successfully coped with problems in the past: “How did you get from where you were to where you are now?” or “How have you resisted the urge to use in stressful situations?”</w:t>
      </w:r>
      <w:r>
        <w:rPr>
          <w:spacing w:val="-3"/>
        </w:rPr>
        <w:t xml:space="preserve"> </w:t>
      </w:r>
      <w:r>
        <w:t>Once</w:t>
      </w:r>
      <w:r>
        <w:rPr>
          <w:spacing w:val="-4"/>
        </w:rPr>
        <w:t xml:space="preserve"> </w:t>
      </w:r>
      <w:r>
        <w:t>you</w:t>
      </w:r>
      <w:r>
        <w:rPr>
          <w:spacing w:val="-3"/>
        </w:rPr>
        <w:t xml:space="preserve"> </w:t>
      </w:r>
      <w:r>
        <w:t>identify</w:t>
      </w:r>
      <w:r>
        <w:rPr>
          <w:spacing w:val="-1"/>
        </w:rPr>
        <w:t xml:space="preserve"> </w:t>
      </w:r>
      <w:r>
        <w:t>strengths,</w:t>
      </w:r>
      <w:r>
        <w:rPr>
          <w:spacing w:val="-4"/>
        </w:rPr>
        <w:t xml:space="preserve"> </w:t>
      </w:r>
      <w:r>
        <w:t>you</w:t>
      </w:r>
      <w:r>
        <w:rPr>
          <w:spacing w:val="-5"/>
        </w:rPr>
        <w:t xml:space="preserve"> </w:t>
      </w:r>
      <w:r>
        <w:t>can</w:t>
      </w:r>
      <w:r>
        <w:rPr>
          <w:spacing w:val="-3"/>
        </w:rPr>
        <w:t xml:space="preserve"> </w:t>
      </w:r>
      <w:r>
        <w:t>help</w:t>
      </w:r>
      <w:r>
        <w:rPr>
          <w:spacing w:val="-5"/>
        </w:rPr>
        <w:t xml:space="preserve"> </w:t>
      </w:r>
      <w:r>
        <w:t>cl</w:t>
      </w:r>
      <w:r>
        <w:t>ients</w:t>
      </w:r>
      <w:r>
        <w:rPr>
          <w:spacing w:val="-2"/>
        </w:rPr>
        <w:t xml:space="preserve"> </w:t>
      </w:r>
      <w:r>
        <w:t>build</w:t>
      </w:r>
      <w:r>
        <w:rPr>
          <w:spacing w:val="-5"/>
        </w:rPr>
        <w:t xml:space="preserve"> </w:t>
      </w:r>
      <w:r>
        <w:t>on</w:t>
      </w:r>
      <w:r>
        <w:rPr>
          <w:spacing w:val="-3"/>
        </w:rPr>
        <w:t xml:space="preserve"> </w:t>
      </w:r>
      <w:r>
        <w:t>past</w:t>
      </w:r>
      <w:r>
        <w:rPr>
          <w:spacing w:val="-4"/>
        </w:rPr>
        <w:t xml:space="preserve"> </w:t>
      </w:r>
      <w:r>
        <w:t>successes.</w:t>
      </w:r>
      <w:r>
        <w:rPr>
          <w:spacing w:val="-2"/>
        </w:rPr>
        <w:t xml:space="preserve"> </w:t>
      </w:r>
      <w:r>
        <w:t>Affirm</w:t>
      </w:r>
      <w:r>
        <w:rPr>
          <w:spacing w:val="-1"/>
        </w:rPr>
        <w:t xml:space="preserve"> </w:t>
      </w:r>
      <w:r>
        <w:t>small</w:t>
      </w:r>
      <w:r>
        <w:rPr>
          <w:spacing w:val="-2"/>
        </w:rPr>
        <w:t xml:space="preserve"> </w:t>
      </w:r>
      <w:r>
        <w:t>steps and reinforce any positive changes. Self-efficacy is discussed again in Chapters 3, 5, and 7.</w:t>
      </w:r>
    </w:p>
    <w:p w14:paraId="0EF97676" w14:textId="77777777" w:rsidR="00DB6E1F" w:rsidRDefault="00DB6E1F">
      <w:pPr>
        <w:sectPr w:rsidR="00DB6E1F">
          <w:pgSz w:w="12240" w:h="15840"/>
          <w:pgMar w:top="1200" w:right="0" w:bottom="780" w:left="0" w:header="763" w:footer="585" w:gutter="0"/>
          <w:cols w:space="720"/>
        </w:sectPr>
      </w:pPr>
    </w:p>
    <w:p w14:paraId="13424BF6" w14:textId="77777777" w:rsidR="00DB6E1F" w:rsidRDefault="00DB6E1F">
      <w:pPr>
        <w:pStyle w:val="BodyText"/>
        <w:spacing w:before="7"/>
        <w:rPr>
          <w:sz w:val="15"/>
        </w:rPr>
      </w:pPr>
    </w:p>
    <w:p w14:paraId="7168CD98" w14:textId="77777777" w:rsidR="00DB6E1F" w:rsidRDefault="00F666A6">
      <w:pPr>
        <w:pStyle w:val="Heading3"/>
        <w:spacing w:before="47"/>
      </w:pPr>
      <w:bookmarkStart w:id="64" w:name="Decisional_Balancing"/>
      <w:bookmarkEnd w:id="64"/>
      <w:r>
        <w:t>Decisional</w:t>
      </w:r>
      <w:r>
        <w:rPr>
          <w:spacing w:val="-15"/>
        </w:rPr>
        <w:t xml:space="preserve"> </w:t>
      </w:r>
      <w:r>
        <w:rPr>
          <w:spacing w:val="-2"/>
        </w:rPr>
        <w:t>Balancing</w:t>
      </w:r>
    </w:p>
    <w:p w14:paraId="5CA42705" w14:textId="77777777" w:rsidR="00DB6E1F" w:rsidRDefault="00F666A6">
      <w:pPr>
        <w:pStyle w:val="BodyText"/>
        <w:spacing w:before="144"/>
        <w:ind w:left="1439" w:right="1437"/>
      </w:pPr>
      <w:r>
        <w:rPr>
          <w:b/>
        </w:rPr>
        <w:t xml:space="preserve">Explore with the client the benefits and drawbacks of change </w:t>
      </w:r>
      <w:r>
        <w:t>(Janis &amp; Mann, 1977). Individuals naturally explore the pros and cons of any major life choice, such as changing jobs or getting married. In SUD recovery, the client weighs the pros and cons of changing versus not changing substance use behaviors. You assi</w:t>
      </w:r>
      <w:r>
        <w:t>st this process by asking the client to articulate the positive and negative aspects of using</w:t>
      </w:r>
      <w:r>
        <w:rPr>
          <w:spacing w:val="-3"/>
        </w:rPr>
        <w:t xml:space="preserve"> </w:t>
      </w:r>
      <w:r>
        <w:t>substances.</w:t>
      </w:r>
      <w:r>
        <w:rPr>
          <w:spacing w:val="-3"/>
        </w:rPr>
        <w:t xml:space="preserve"> </w:t>
      </w:r>
      <w:r>
        <w:t>This</w:t>
      </w:r>
      <w:r>
        <w:rPr>
          <w:spacing w:val="-4"/>
        </w:rPr>
        <w:t xml:space="preserve"> </w:t>
      </w:r>
      <w:r>
        <w:t>process</w:t>
      </w:r>
      <w:r>
        <w:rPr>
          <w:spacing w:val="-2"/>
        </w:rPr>
        <w:t xml:space="preserve"> </w:t>
      </w:r>
      <w:r>
        <w:t>is</w:t>
      </w:r>
      <w:r>
        <w:rPr>
          <w:spacing w:val="-2"/>
        </w:rPr>
        <w:t xml:space="preserve"> </w:t>
      </w:r>
      <w:r>
        <w:t>usually</w:t>
      </w:r>
      <w:r>
        <w:rPr>
          <w:spacing w:val="-1"/>
        </w:rPr>
        <w:t xml:space="preserve"> </w:t>
      </w:r>
      <w:r>
        <w:t>called</w:t>
      </w:r>
      <w:r>
        <w:rPr>
          <w:spacing w:val="-3"/>
        </w:rPr>
        <w:t xml:space="preserve"> </w:t>
      </w:r>
      <w:r>
        <w:t>decisional</w:t>
      </w:r>
      <w:r>
        <w:rPr>
          <w:spacing w:val="-2"/>
        </w:rPr>
        <w:t xml:space="preserve"> </w:t>
      </w:r>
      <w:r>
        <w:t>balancing and</w:t>
      </w:r>
      <w:r>
        <w:rPr>
          <w:spacing w:val="-3"/>
        </w:rPr>
        <w:t xml:space="preserve"> </w:t>
      </w:r>
      <w:r>
        <w:t>is</w:t>
      </w:r>
      <w:r>
        <w:rPr>
          <w:spacing w:val="-2"/>
        </w:rPr>
        <w:t xml:space="preserve"> </w:t>
      </w:r>
      <w:r>
        <w:t>further</w:t>
      </w:r>
      <w:r>
        <w:rPr>
          <w:spacing w:val="-4"/>
        </w:rPr>
        <w:t xml:space="preserve"> </w:t>
      </w:r>
      <w:r>
        <w:t>described</w:t>
      </w:r>
      <w:r>
        <w:rPr>
          <w:spacing w:val="-3"/>
        </w:rPr>
        <w:t xml:space="preserve"> </w:t>
      </w:r>
      <w:r>
        <w:t>in</w:t>
      </w:r>
      <w:r>
        <w:rPr>
          <w:spacing w:val="-3"/>
        </w:rPr>
        <w:t xml:space="preserve"> </w:t>
      </w:r>
      <w:r>
        <w:t>Chapter</w:t>
      </w:r>
      <w:r>
        <w:rPr>
          <w:spacing w:val="-4"/>
        </w:rPr>
        <w:t xml:space="preserve"> </w:t>
      </w:r>
      <w:r>
        <w:t>5.</w:t>
      </w:r>
    </w:p>
    <w:p w14:paraId="2079CCC0" w14:textId="77777777" w:rsidR="00DB6E1F" w:rsidRDefault="00F666A6">
      <w:pPr>
        <w:pStyle w:val="BodyText"/>
        <w:spacing w:before="159"/>
        <w:ind w:left="1438" w:right="1444"/>
      </w:pPr>
      <w:r>
        <w:t xml:space="preserve">Exploring the pros and cons of substance use behaviors can </w:t>
      </w:r>
      <w:r>
        <w:t>tip the scales toward a decision for positive change. The actual number of reasons a client lists on each side of a decisional balance sheet is not as important</w:t>
      </w:r>
      <w:r>
        <w:rPr>
          <w:spacing w:val="-2"/>
        </w:rPr>
        <w:t xml:space="preserve"> </w:t>
      </w:r>
      <w:r>
        <w:t>as</w:t>
      </w:r>
      <w:r>
        <w:rPr>
          <w:spacing w:val="-5"/>
        </w:rPr>
        <w:t xml:space="preserve"> </w:t>
      </w:r>
      <w:r>
        <w:t>the</w:t>
      </w:r>
      <w:r>
        <w:rPr>
          <w:spacing w:val="-5"/>
        </w:rPr>
        <w:t xml:space="preserve"> </w:t>
      </w:r>
      <w:r>
        <w:t>weight—or</w:t>
      </w:r>
      <w:r>
        <w:rPr>
          <w:spacing w:val="-3"/>
        </w:rPr>
        <w:t xml:space="preserve"> </w:t>
      </w:r>
      <w:r>
        <w:t>personal</w:t>
      </w:r>
      <w:r>
        <w:rPr>
          <w:spacing w:val="-6"/>
        </w:rPr>
        <w:t xml:space="preserve"> </w:t>
      </w:r>
      <w:r>
        <w:t>value—of</w:t>
      </w:r>
      <w:r>
        <w:rPr>
          <w:spacing w:val="-3"/>
        </w:rPr>
        <w:t xml:space="preserve"> </w:t>
      </w:r>
      <w:r>
        <w:t>each.</w:t>
      </w:r>
      <w:r>
        <w:rPr>
          <w:spacing w:val="-3"/>
        </w:rPr>
        <w:t xml:space="preserve"> </w:t>
      </w:r>
      <w:r>
        <w:t>For</w:t>
      </w:r>
      <w:r>
        <w:rPr>
          <w:spacing w:val="-3"/>
        </w:rPr>
        <w:t xml:space="preserve"> </w:t>
      </w:r>
      <w:r>
        <w:t>example,</w:t>
      </w:r>
      <w:r>
        <w:rPr>
          <w:spacing w:val="-3"/>
        </w:rPr>
        <w:t xml:space="preserve"> </w:t>
      </w:r>
      <w:r>
        <w:t>a</w:t>
      </w:r>
      <w:r>
        <w:rPr>
          <w:spacing w:val="-5"/>
        </w:rPr>
        <w:t xml:space="preserve"> </w:t>
      </w:r>
      <w:r>
        <w:t>20-year-old</w:t>
      </w:r>
      <w:r>
        <w:rPr>
          <w:spacing w:val="-3"/>
        </w:rPr>
        <w:t xml:space="preserve"> </w:t>
      </w:r>
      <w:r>
        <w:t>who</w:t>
      </w:r>
      <w:r>
        <w:rPr>
          <w:spacing w:val="-2"/>
        </w:rPr>
        <w:t xml:space="preserve"> </w:t>
      </w:r>
      <w:r>
        <w:t>smokes</w:t>
      </w:r>
      <w:r>
        <w:rPr>
          <w:spacing w:val="-3"/>
        </w:rPr>
        <w:t xml:space="preserve"> </w:t>
      </w:r>
      <w:r>
        <w:t>cigarettes may p</w:t>
      </w:r>
      <w:r>
        <w:t>ut less weight on getting lung cancer than an older adult, but he may be very concerned that his diminished lung capacity interferes with playing basketball.</w:t>
      </w:r>
    </w:p>
    <w:p w14:paraId="7BB0A4BC" w14:textId="77777777" w:rsidR="00DB6E1F" w:rsidRDefault="00F666A6">
      <w:pPr>
        <w:pStyle w:val="Heading3"/>
        <w:jc w:val="both"/>
      </w:pPr>
      <w:bookmarkStart w:id="65" w:name="Developing_Discrepancy"/>
      <w:bookmarkEnd w:id="65"/>
      <w:r>
        <w:t>Developing</w:t>
      </w:r>
      <w:r>
        <w:rPr>
          <w:spacing w:val="-13"/>
        </w:rPr>
        <w:t xml:space="preserve"> </w:t>
      </w:r>
      <w:r>
        <w:rPr>
          <w:spacing w:val="-2"/>
        </w:rPr>
        <w:t>Discrepancy</w:t>
      </w:r>
    </w:p>
    <w:p w14:paraId="42ACA8F9" w14:textId="77777777" w:rsidR="00DB6E1F" w:rsidRDefault="00F666A6">
      <w:pPr>
        <w:pStyle w:val="BodyText"/>
        <w:spacing w:before="144"/>
        <w:ind w:left="1439" w:right="1488"/>
        <w:jc w:val="both"/>
      </w:pPr>
      <w:r>
        <w:t>To enhance motivation</w:t>
      </w:r>
      <w:r>
        <w:rPr>
          <w:spacing w:val="-1"/>
        </w:rPr>
        <w:t xml:space="preserve"> </w:t>
      </w:r>
      <w:r>
        <w:t>for</w:t>
      </w:r>
      <w:r>
        <w:rPr>
          <w:spacing w:val="-3"/>
        </w:rPr>
        <w:t xml:space="preserve"> </w:t>
      </w:r>
      <w:r>
        <w:t xml:space="preserve">change, </w:t>
      </w:r>
      <w:r>
        <w:rPr>
          <w:b/>
        </w:rPr>
        <w:t>help clients recognize any discrepancy or</w:t>
      </w:r>
      <w:r>
        <w:rPr>
          <w:b/>
        </w:rPr>
        <w:t xml:space="preserve"> gap between their future goals and their current behavior. </w:t>
      </w:r>
      <w:r>
        <w:t>You might clarify this discrepancy by asking, “How does drinking fit or not</w:t>
      </w:r>
      <w:r>
        <w:rPr>
          <w:spacing w:val="-2"/>
        </w:rPr>
        <w:t xml:space="preserve"> </w:t>
      </w:r>
      <w:r>
        <w:t>fit</w:t>
      </w:r>
      <w:r>
        <w:rPr>
          <w:spacing w:val="-4"/>
        </w:rPr>
        <w:t xml:space="preserve"> </w:t>
      </w:r>
      <w:r>
        <w:t>with</w:t>
      </w:r>
      <w:r>
        <w:rPr>
          <w:spacing w:val="-5"/>
        </w:rPr>
        <w:t xml:space="preserve"> </w:t>
      </w:r>
      <w:r>
        <w:t>your</w:t>
      </w:r>
      <w:r>
        <w:rPr>
          <w:spacing w:val="-2"/>
        </w:rPr>
        <w:t xml:space="preserve"> </w:t>
      </w:r>
      <w:r>
        <w:t>goal</w:t>
      </w:r>
      <w:r>
        <w:rPr>
          <w:spacing w:val="-5"/>
        </w:rPr>
        <w:t xml:space="preserve"> </w:t>
      </w:r>
      <w:r>
        <w:t>of</w:t>
      </w:r>
      <w:r>
        <w:rPr>
          <w:spacing w:val="-4"/>
        </w:rPr>
        <w:t xml:space="preserve"> </w:t>
      </w:r>
      <w:r>
        <w:t>improving</w:t>
      </w:r>
      <w:r>
        <w:rPr>
          <w:spacing w:val="-5"/>
        </w:rPr>
        <w:t xml:space="preserve"> </w:t>
      </w:r>
      <w:r>
        <w:t>your</w:t>
      </w:r>
      <w:r>
        <w:rPr>
          <w:spacing w:val="-2"/>
        </w:rPr>
        <w:t xml:space="preserve"> </w:t>
      </w:r>
      <w:r>
        <w:t>family</w:t>
      </w:r>
      <w:r>
        <w:rPr>
          <w:spacing w:val="-1"/>
        </w:rPr>
        <w:t xml:space="preserve"> </w:t>
      </w:r>
      <w:r>
        <w:t>relationships?”</w:t>
      </w:r>
      <w:r>
        <w:rPr>
          <w:spacing w:val="-2"/>
        </w:rPr>
        <w:t xml:space="preserve"> </w:t>
      </w:r>
      <w:r>
        <w:t>When</w:t>
      </w:r>
      <w:r>
        <w:rPr>
          <w:spacing w:val="-3"/>
        </w:rPr>
        <w:t xml:space="preserve"> </w:t>
      </w:r>
      <w:r>
        <w:t>individuals</w:t>
      </w:r>
      <w:r>
        <w:rPr>
          <w:spacing w:val="-4"/>
        </w:rPr>
        <w:t xml:space="preserve"> </w:t>
      </w:r>
      <w:r>
        <w:t>see</w:t>
      </w:r>
      <w:r>
        <w:rPr>
          <w:spacing w:val="-1"/>
        </w:rPr>
        <w:t xml:space="preserve"> </w:t>
      </w:r>
      <w:r>
        <w:t>that</w:t>
      </w:r>
      <w:r>
        <w:rPr>
          <w:spacing w:val="-1"/>
        </w:rPr>
        <w:t xml:space="preserve"> </w:t>
      </w:r>
      <w:r>
        <w:t>present</w:t>
      </w:r>
      <w:r>
        <w:rPr>
          <w:spacing w:val="-1"/>
        </w:rPr>
        <w:t xml:space="preserve"> </w:t>
      </w:r>
      <w:r>
        <w:t>actions conflict</w:t>
      </w:r>
      <w:r>
        <w:rPr>
          <w:spacing w:val="-1"/>
        </w:rPr>
        <w:t xml:space="preserve"> </w:t>
      </w:r>
      <w:r>
        <w:t>with important personal goals, such as good health, job success,</w:t>
      </w:r>
      <w:r>
        <w:rPr>
          <w:spacing w:val="-1"/>
        </w:rPr>
        <w:t xml:space="preserve"> </w:t>
      </w:r>
      <w:r>
        <w:t>or</w:t>
      </w:r>
      <w:r>
        <w:rPr>
          <w:spacing w:val="-1"/>
        </w:rPr>
        <w:t xml:space="preserve"> </w:t>
      </w:r>
      <w:r>
        <w:t>close</w:t>
      </w:r>
      <w:r>
        <w:rPr>
          <w:spacing w:val="-1"/>
        </w:rPr>
        <w:t xml:space="preserve"> </w:t>
      </w:r>
      <w:r>
        <w:t>personal relationships, change is more likely to occur (Miller &amp; Rollnick, 2013). This concept is expanded in Chapter 3.</w:t>
      </w:r>
    </w:p>
    <w:p w14:paraId="74DB28DA" w14:textId="77777777" w:rsidR="00DB6E1F" w:rsidRDefault="00F666A6">
      <w:pPr>
        <w:pStyle w:val="Heading3"/>
      </w:pPr>
      <w:bookmarkStart w:id="66" w:name="Flexible_Pacing"/>
      <w:bookmarkEnd w:id="66"/>
      <w:r>
        <w:t>Flexible</w:t>
      </w:r>
      <w:r>
        <w:rPr>
          <w:spacing w:val="-9"/>
        </w:rPr>
        <w:t xml:space="preserve"> </w:t>
      </w:r>
      <w:r>
        <w:rPr>
          <w:spacing w:val="-2"/>
        </w:rPr>
        <w:t>Pacing</w:t>
      </w:r>
    </w:p>
    <w:p w14:paraId="16BB2F94" w14:textId="77777777" w:rsidR="00DB6E1F" w:rsidRDefault="00F666A6">
      <w:pPr>
        <w:pStyle w:val="BodyText"/>
        <w:spacing w:before="143"/>
        <w:ind w:left="1438" w:right="1555" w:firstLine="1"/>
      </w:pPr>
      <w:r>
        <w:rPr>
          <w:b/>
        </w:rPr>
        <w:t xml:space="preserve">Assess the client’s readiness for change; resist your urges to go faster than the client’s pace. </w:t>
      </w:r>
      <w:r>
        <w:t>Every client moves through the SOC at his or her own pace. Some will cycle back and forth numerous times between stages. Others need time to resolve their ambi</w:t>
      </w:r>
      <w:r>
        <w:t>valence about current substance use before making a change. A few are ready to get started and take action immediately. Knowing where a client has been and is now in the SOC helps you facilitate the change process at the right pace. Be aware of any discrep</w:t>
      </w:r>
      <w:r>
        <w:t>ancies</w:t>
      </w:r>
      <w:r>
        <w:rPr>
          <w:spacing w:val="-1"/>
        </w:rPr>
        <w:t xml:space="preserve"> </w:t>
      </w:r>
      <w:r>
        <w:t>between</w:t>
      </w:r>
      <w:r>
        <w:rPr>
          <w:spacing w:val="-4"/>
        </w:rPr>
        <w:t xml:space="preserve"> </w:t>
      </w:r>
      <w:r>
        <w:t>where</w:t>
      </w:r>
      <w:r>
        <w:rPr>
          <w:spacing w:val="-3"/>
        </w:rPr>
        <w:t xml:space="preserve"> </w:t>
      </w:r>
      <w:r>
        <w:t>you</w:t>
      </w:r>
      <w:r>
        <w:rPr>
          <w:spacing w:val="-2"/>
        </w:rPr>
        <w:t xml:space="preserve"> </w:t>
      </w:r>
      <w:r>
        <w:t>want</w:t>
      </w:r>
      <w:r>
        <w:rPr>
          <w:spacing w:val="-1"/>
        </w:rPr>
        <w:t xml:space="preserve"> </w:t>
      </w:r>
      <w:r>
        <w:t>the</w:t>
      </w:r>
      <w:r>
        <w:rPr>
          <w:spacing w:val="-3"/>
        </w:rPr>
        <w:t xml:space="preserve"> </w:t>
      </w:r>
      <w:r>
        <w:t>client</w:t>
      </w:r>
      <w:r>
        <w:rPr>
          <w:spacing w:val="-5"/>
        </w:rPr>
        <w:t xml:space="preserve"> </w:t>
      </w:r>
      <w:r>
        <w:t>to be</w:t>
      </w:r>
      <w:r>
        <w:rPr>
          <w:spacing w:val="-3"/>
        </w:rPr>
        <w:t xml:space="preserve"> </w:t>
      </w:r>
      <w:r>
        <w:t>and</w:t>
      </w:r>
      <w:r>
        <w:rPr>
          <w:spacing w:val="-2"/>
        </w:rPr>
        <w:t xml:space="preserve"> </w:t>
      </w:r>
      <w:r>
        <w:t>where he</w:t>
      </w:r>
      <w:r>
        <w:rPr>
          <w:spacing w:val="-3"/>
        </w:rPr>
        <w:t xml:space="preserve"> </w:t>
      </w:r>
      <w:r>
        <w:t>or</w:t>
      </w:r>
      <w:r>
        <w:rPr>
          <w:spacing w:val="-3"/>
        </w:rPr>
        <w:t xml:space="preserve"> </w:t>
      </w:r>
      <w:r>
        <w:t>she</w:t>
      </w:r>
      <w:r>
        <w:rPr>
          <w:spacing w:val="-3"/>
        </w:rPr>
        <w:t xml:space="preserve"> </w:t>
      </w:r>
      <w:r>
        <w:t>actually is</w:t>
      </w:r>
      <w:r>
        <w:rPr>
          <w:spacing w:val="-3"/>
        </w:rPr>
        <w:t xml:space="preserve"> </w:t>
      </w:r>
      <w:r>
        <w:t>in</w:t>
      </w:r>
      <w:r>
        <w:rPr>
          <w:spacing w:val="-2"/>
        </w:rPr>
        <w:t xml:space="preserve"> </w:t>
      </w:r>
      <w:r>
        <w:t>the</w:t>
      </w:r>
      <w:r>
        <w:rPr>
          <w:spacing w:val="-1"/>
        </w:rPr>
        <w:t xml:space="preserve"> </w:t>
      </w:r>
      <w:r>
        <w:t>SOC. For example, if a client is still in the Contemplation stage, your suggestion to take steps that are in the Action stage can create discord.</w:t>
      </w:r>
    </w:p>
    <w:p w14:paraId="261D0853" w14:textId="77777777" w:rsidR="00DB6E1F" w:rsidRDefault="00F666A6">
      <w:pPr>
        <w:pStyle w:val="BodyText"/>
        <w:spacing w:before="158"/>
        <w:ind w:left="1438" w:right="1491"/>
      </w:pPr>
      <w:r>
        <w:rPr>
          <w:b/>
        </w:rPr>
        <w:t>Flexible pacing requires</w:t>
      </w:r>
      <w:r>
        <w:rPr>
          <w:b/>
        </w:rPr>
        <w:t xml:space="preserve"> you to meet clients at their level </w:t>
      </w:r>
      <w:r>
        <w:t xml:space="preserve">and allow them as much or as little time as they need to address the essential tasks of each stage in the SOC. For example, with some clients, you may have to schedule frequent sessions at the beginning of treatment and </w:t>
      </w:r>
      <w:r>
        <w:t>fewer later. In other cases, clients</w:t>
      </w:r>
      <w:r>
        <w:rPr>
          <w:spacing w:val="-3"/>
        </w:rPr>
        <w:t xml:space="preserve"> </w:t>
      </w:r>
      <w:r>
        <w:t>might need</w:t>
      </w:r>
      <w:r>
        <w:rPr>
          <w:spacing w:val="-2"/>
        </w:rPr>
        <w:t xml:space="preserve"> </w:t>
      </w:r>
      <w:r>
        <w:t>a</w:t>
      </w:r>
      <w:r>
        <w:rPr>
          <w:spacing w:val="-1"/>
        </w:rPr>
        <w:t xml:space="preserve"> </w:t>
      </w:r>
      <w:r>
        <w:t>break</w:t>
      </w:r>
      <w:r>
        <w:rPr>
          <w:spacing w:val="-3"/>
        </w:rPr>
        <w:t xml:space="preserve"> </w:t>
      </w:r>
      <w:r>
        <w:t>from</w:t>
      </w:r>
      <w:r>
        <w:rPr>
          <w:spacing w:val="-2"/>
        </w:rPr>
        <w:t xml:space="preserve"> </w:t>
      </w:r>
      <w:r>
        <w:t>the</w:t>
      </w:r>
      <w:r>
        <w:rPr>
          <w:spacing w:val="-3"/>
        </w:rPr>
        <w:t xml:space="preserve"> </w:t>
      </w:r>
      <w:r>
        <w:t>intensity</w:t>
      </w:r>
      <w:r>
        <w:rPr>
          <w:spacing w:val="-2"/>
        </w:rPr>
        <w:t xml:space="preserve"> </w:t>
      </w:r>
      <w:r>
        <w:t>of</w:t>
      </w:r>
      <w:r>
        <w:rPr>
          <w:spacing w:val="-1"/>
        </w:rPr>
        <w:t xml:space="preserve"> </w:t>
      </w:r>
      <w:r>
        <w:t>treatment</w:t>
      </w:r>
      <w:r>
        <w:rPr>
          <w:spacing w:val="-3"/>
        </w:rPr>
        <w:t xml:space="preserve"> </w:t>
      </w:r>
      <w:r>
        <w:t>to focus</w:t>
      </w:r>
      <w:r>
        <w:rPr>
          <w:spacing w:val="-3"/>
        </w:rPr>
        <w:t xml:space="preserve"> </w:t>
      </w:r>
      <w:r>
        <w:t>on</w:t>
      </w:r>
      <w:r>
        <w:rPr>
          <w:spacing w:val="-2"/>
        </w:rPr>
        <w:t xml:space="preserve"> </w:t>
      </w:r>
      <w:r>
        <w:t>specific</w:t>
      </w:r>
      <w:r>
        <w:rPr>
          <w:spacing w:val="-1"/>
        </w:rPr>
        <w:t xml:space="preserve"> </w:t>
      </w:r>
      <w:r>
        <w:t>aspect</w:t>
      </w:r>
      <w:r>
        <w:rPr>
          <w:spacing w:val="-2"/>
        </w:rPr>
        <w:t xml:space="preserve"> </w:t>
      </w:r>
      <w:r>
        <w:t>of</w:t>
      </w:r>
      <w:r>
        <w:rPr>
          <w:spacing w:val="-1"/>
        </w:rPr>
        <w:t xml:space="preserve"> </w:t>
      </w:r>
      <w:r>
        <w:t>recovery.</w:t>
      </w:r>
      <w:r>
        <w:rPr>
          <w:spacing w:val="-2"/>
        </w:rPr>
        <w:t xml:space="preserve"> </w:t>
      </w:r>
      <w:r>
        <w:t>If</w:t>
      </w:r>
      <w:r>
        <w:rPr>
          <w:spacing w:val="-4"/>
        </w:rPr>
        <w:t xml:space="preserve"> </w:t>
      </w:r>
      <w:r>
        <w:t>you push clients at a faster pace than they are ready to take, the treatment alliance may break down.</w:t>
      </w:r>
    </w:p>
    <w:p w14:paraId="42D51D89" w14:textId="77777777" w:rsidR="00DB6E1F" w:rsidRDefault="00F666A6">
      <w:pPr>
        <w:pStyle w:val="Heading3"/>
        <w:spacing w:before="165"/>
      </w:pPr>
      <w:bookmarkStart w:id="67" w:name="Maintaining_Contact_With_Clients"/>
      <w:bookmarkEnd w:id="67"/>
      <w:r>
        <w:t>Maintaining</w:t>
      </w:r>
      <w:r>
        <w:rPr>
          <w:spacing w:val="-10"/>
        </w:rPr>
        <w:t xml:space="preserve"> </w:t>
      </w:r>
      <w:r>
        <w:t>Contact</w:t>
      </w:r>
      <w:r>
        <w:rPr>
          <w:spacing w:val="-11"/>
        </w:rPr>
        <w:t xml:space="preserve"> </w:t>
      </w:r>
      <w:r>
        <w:t>With</w:t>
      </w:r>
      <w:r>
        <w:rPr>
          <w:spacing w:val="-11"/>
        </w:rPr>
        <w:t xml:space="preserve"> </w:t>
      </w:r>
      <w:r>
        <w:rPr>
          <w:spacing w:val="-2"/>
        </w:rPr>
        <w:t>Clients</w:t>
      </w:r>
    </w:p>
    <w:p w14:paraId="04DAF241" w14:textId="77777777" w:rsidR="00DB6E1F" w:rsidRDefault="00F666A6">
      <w:pPr>
        <w:spacing w:before="140"/>
        <w:ind w:left="1439" w:right="1444"/>
      </w:pPr>
      <w:r>
        <w:rPr>
          <w:b/>
        </w:rPr>
        <w:t xml:space="preserve">Employ simple activities to enhance continuity of contact between you and the client. </w:t>
      </w:r>
      <w:r>
        <w:t>Such activities may</w:t>
      </w:r>
      <w:r>
        <w:rPr>
          <w:spacing w:val="-3"/>
        </w:rPr>
        <w:t xml:space="preserve"> </w:t>
      </w:r>
      <w:r>
        <w:t>include</w:t>
      </w:r>
      <w:r>
        <w:rPr>
          <w:spacing w:val="-1"/>
        </w:rPr>
        <w:t xml:space="preserve"> </w:t>
      </w:r>
      <w:r>
        <w:t>personal</w:t>
      </w:r>
      <w:r>
        <w:rPr>
          <w:spacing w:val="-2"/>
        </w:rPr>
        <w:t xml:space="preserve"> </w:t>
      </w:r>
      <w:r>
        <w:t>handwritten</w:t>
      </w:r>
      <w:r>
        <w:rPr>
          <w:spacing w:val="-5"/>
        </w:rPr>
        <w:t xml:space="preserve"> </w:t>
      </w:r>
      <w:r>
        <w:t>letters,</w:t>
      </w:r>
      <w:r>
        <w:rPr>
          <w:spacing w:val="-4"/>
        </w:rPr>
        <w:t xml:space="preserve"> </w:t>
      </w:r>
      <w:r>
        <w:t>telephone</w:t>
      </w:r>
      <w:r>
        <w:rPr>
          <w:spacing w:val="-4"/>
        </w:rPr>
        <w:t xml:space="preserve"> </w:t>
      </w:r>
      <w:r>
        <w:t>calls,</w:t>
      </w:r>
      <w:r>
        <w:rPr>
          <w:spacing w:val="-2"/>
        </w:rPr>
        <w:t xml:space="preserve"> </w:t>
      </w:r>
      <w:r>
        <w:t>texts,</w:t>
      </w:r>
      <w:r>
        <w:rPr>
          <w:spacing w:val="-4"/>
        </w:rPr>
        <w:t xml:space="preserve"> </w:t>
      </w:r>
      <w:r>
        <w:t>or</w:t>
      </w:r>
      <w:r>
        <w:rPr>
          <w:spacing w:val="-4"/>
        </w:rPr>
        <w:t xml:space="preserve"> </w:t>
      </w:r>
      <w:r>
        <w:t>emails.</w:t>
      </w:r>
      <w:r>
        <w:rPr>
          <w:spacing w:val="-2"/>
        </w:rPr>
        <w:t xml:space="preserve"> </w:t>
      </w:r>
      <w:r>
        <w:t>Use</w:t>
      </w:r>
      <w:r>
        <w:rPr>
          <w:spacing w:val="-1"/>
        </w:rPr>
        <w:t xml:space="preserve"> </w:t>
      </w:r>
      <w:r>
        <w:t>these</w:t>
      </w:r>
      <w:r>
        <w:rPr>
          <w:spacing w:val="-2"/>
        </w:rPr>
        <w:t xml:space="preserve"> </w:t>
      </w:r>
      <w:r>
        <w:t>simple</w:t>
      </w:r>
      <w:r>
        <w:rPr>
          <w:spacing w:val="-4"/>
        </w:rPr>
        <w:t xml:space="preserve"> </w:t>
      </w:r>
      <w:r>
        <w:t xml:space="preserve">motivation- enhancing interventions to </w:t>
      </w:r>
      <w:r>
        <w:t>encourage clients to return for another counseling session, return to treatment following a missed appointment, and stay involved in treatment.</w:t>
      </w:r>
    </w:p>
    <w:p w14:paraId="5E8C6727" w14:textId="77777777" w:rsidR="00DB6E1F" w:rsidRDefault="00F666A6">
      <w:pPr>
        <w:spacing w:before="160"/>
        <w:ind w:left="1439" w:right="1491"/>
      </w:pPr>
      <w:r>
        <w:rPr>
          <w:b/>
        </w:rPr>
        <w:t>Activities</w:t>
      </w:r>
      <w:r>
        <w:rPr>
          <w:b/>
          <w:spacing w:val="-2"/>
        </w:rPr>
        <w:t xml:space="preserve"> </w:t>
      </w:r>
      <w:r>
        <w:rPr>
          <w:b/>
        </w:rPr>
        <w:t>that</w:t>
      </w:r>
      <w:r>
        <w:rPr>
          <w:b/>
          <w:spacing w:val="-3"/>
        </w:rPr>
        <w:t xml:space="preserve"> </w:t>
      </w:r>
      <w:r>
        <w:rPr>
          <w:b/>
        </w:rPr>
        <w:t>foster</w:t>
      </w:r>
      <w:r>
        <w:rPr>
          <w:b/>
          <w:spacing w:val="-4"/>
        </w:rPr>
        <w:t xml:space="preserve"> </w:t>
      </w:r>
      <w:r>
        <w:rPr>
          <w:b/>
        </w:rPr>
        <w:t>consistent,</w:t>
      </w:r>
      <w:r>
        <w:rPr>
          <w:b/>
          <w:spacing w:val="-2"/>
        </w:rPr>
        <w:t xml:space="preserve"> </w:t>
      </w:r>
      <w:r>
        <w:rPr>
          <w:b/>
        </w:rPr>
        <w:t>ongoing</w:t>
      </w:r>
      <w:r>
        <w:rPr>
          <w:b/>
          <w:spacing w:val="-4"/>
        </w:rPr>
        <w:t xml:space="preserve"> </w:t>
      </w:r>
      <w:r>
        <w:rPr>
          <w:b/>
        </w:rPr>
        <w:t>contact</w:t>
      </w:r>
      <w:r>
        <w:rPr>
          <w:b/>
          <w:spacing w:val="-5"/>
        </w:rPr>
        <w:t xml:space="preserve"> </w:t>
      </w:r>
      <w:r>
        <w:rPr>
          <w:b/>
        </w:rPr>
        <w:t>with</w:t>
      </w:r>
      <w:r>
        <w:rPr>
          <w:b/>
          <w:spacing w:val="-4"/>
        </w:rPr>
        <w:t xml:space="preserve"> </w:t>
      </w:r>
      <w:r>
        <w:rPr>
          <w:b/>
        </w:rPr>
        <w:t>clients</w:t>
      </w:r>
      <w:r>
        <w:rPr>
          <w:b/>
          <w:spacing w:val="-5"/>
        </w:rPr>
        <w:t xml:space="preserve"> </w:t>
      </w:r>
      <w:r>
        <w:rPr>
          <w:b/>
        </w:rPr>
        <w:t>strengthen</w:t>
      </w:r>
      <w:r>
        <w:rPr>
          <w:b/>
          <w:spacing w:val="-4"/>
        </w:rPr>
        <w:t xml:space="preserve"> </w:t>
      </w:r>
      <w:r>
        <w:rPr>
          <w:b/>
        </w:rPr>
        <w:t>the</w:t>
      </w:r>
      <w:r>
        <w:rPr>
          <w:b/>
          <w:spacing w:val="-4"/>
        </w:rPr>
        <w:t xml:space="preserve"> </w:t>
      </w:r>
      <w:r>
        <w:rPr>
          <w:b/>
        </w:rPr>
        <w:t>therapeutic</w:t>
      </w:r>
      <w:r>
        <w:rPr>
          <w:b/>
          <w:spacing w:val="-2"/>
        </w:rPr>
        <w:t xml:space="preserve"> </w:t>
      </w:r>
      <w:r>
        <w:rPr>
          <w:b/>
        </w:rPr>
        <w:t xml:space="preserve">alliance. </w:t>
      </w:r>
      <w:r>
        <w:t>The treatme</w:t>
      </w:r>
      <w:r>
        <w:t>nt</w:t>
      </w:r>
      <w:r>
        <w:rPr>
          <w:spacing w:val="-4"/>
        </w:rPr>
        <w:t xml:space="preserve"> </w:t>
      </w:r>
      <w:r>
        <w:t>alliance</w:t>
      </w:r>
      <w:r>
        <w:rPr>
          <w:spacing w:val="-1"/>
        </w:rPr>
        <w:t xml:space="preserve"> </w:t>
      </w:r>
      <w:r>
        <w:t>is</w:t>
      </w:r>
      <w:r>
        <w:rPr>
          <w:spacing w:val="-2"/>
        </w:rPr>
        <w:t xml:space="preserve"> </w:t>
      </w:r>
      <w:r>
        <w:t>widely</w:t>
      </w:r>
      <w:r>
        <w:rPr>
          <w:spacing w:val="-1"/>
        </w:rPr>
        <w:t xml:space="preserve"> </w:t>
      </w:r>
      <w:r>
        <w:t>recognized</w:t>
      </w:r>
      <w:r>
        <w:rPr>
          <w:spacing w:val="-2"/>
        </w:rPr>
        <w:t xml:space="preserve"> </w:t>
      </w:r>
      <w:r>
        <w:t>as</w:t>
      </w:r>
      <w:r>
        <w:rPr>
          <w:spacing w:val="-4"/>
        </w:rPr>
        <w:t xml:space="preserve"> </w:t>
      </w:r>
      <w:r>
        <w:t>a</w:t>
      </w:r>
      <w:r>
        <w:rPr>
          <w:spacing w:val="-2"/>
        </w:rPr>
        <w:t xml:space="preserve"> </w:t>
      </w:r>
      <w:r>
        <w:t>significant</w:t>
      </w:r>
      <w:r>
        <w:rPr>
          <w:spacing w:val="-1"/>
        </w:rPr>
        <w:t xml:space="preserve"> </w:t>
      </w:r>
      <w:r>
        <w:t>factor</w:t>
      </w:r>
      <w:r>
        <w:rPr>
          <w:spacing w:val="-2"/>
        </w:rPr>
        <w:t xml:space="preserve"> </w:t>
      </w:r>
      <w:r>
        <w:t>in</w:t>
      </w:r>
      <w:r>
        <w:rPr>
          <w:spacing w:val="-4"/>
        </w:rPr>
        <w:t xml:space="preserve"> </w:t>
      </w:r>
      <w:r>
        <w:t>treatment</w:t>
      </w:r>
      <w:r>
        <w:rPr>
          <w:spacing w:val="-4"/>
        </w:rPr>
        <w:t xml:space="preserve"> </w:t>
      </w:r>
      <w:r>
        <w:t>outcomes</w:t>
      </w:r>
      <w:r>
        <w:rPr>
          <w:spacing w:val="-4"/>
        </w:rPr>
        <w:t xml:space="preserve"> </w:t>
      </w:r>
      <w:r>
        <w:t>in</w:t>
      </w:r>
      <w:r>
        <w:rPr>
          <w:spacing w:val="-3"/>
        </w:rPr>
        <w:t xml:space="preserve"> </w:t>
      </w:r>
      <w:r>
        <w:t>most</w:t>
      </w:r>
      <w:r>
        <w:rPr>
          <w:spacing w:val="-2"/>
        </w:rPr>
        <w:t xml:space="preserve"> </w:t>
      </w:r>
      <w:r>
        <w:t>treatment methods including addiction counseling (Brorson, Arnevik, Rand-Hendriksen, &amp; Duckert, 2013). Low alliance predicts higher risk of clients dropping out of treatment (Brorson et al., 2013).</w:t>
      </w:r>
    </w:p>
    <w:p w14:paraId="4B5E1E35" w14:textId="77777777" w:rsidR="00DB6E1F" w:rsidRDefault="00F666A6">
      <w:pPr>
        <w:pStyle w:val="Heading5"/>
        <w:spacing w:before="161"/>
        <w:ind w:left="1439"/>
        <w:jc w:val="both"/>
      </w:pPr>
      <w:r>
        <w:t>Make</w:t>
      </w:r>
      <w:r>
        <w:rPr>
          <w:spacing w:val="-7"/>
        </w:rPr>
        <w:t xml:space="preserve"> </w:t>
      </w:r>
      <w:r>
        <w:t>sure</w:t>
      </w:r>
      <w:r>
        <w:rPr>
          <w:spacing w:val="-4"/>
        </w:rPr>
        <w:t xml:space="preserve"> </w:t>
      </w:r>
      <w:r>
        <w:t>you</w:t>
      </w:r>
      <w:r>
        <w:rPr>
          <w:spacing w:val="-4"/>
        </w:rPr>
        <w:t xml:space="preserve"> </w:t>
      </w:r>
      <w:r>
        <w:t>and</w:t>
      </w:r>
      <w:r>
        <w:rPr>
          <w:spacing w:val="-5"/>
        </w:rPr>
        <w:t xml:space="preserve"> </w:t>
      </w:r>
      <w:r>
        <w:t>your</w:t>
      </w:r>
      <w:r>
        <w:rPr>
          <w:spacing w:val="-5"/>
        </w:rPr>
        <w:t xml:space="preserve"> </w:t>
      </w:r>
      <w:r>
        <w:t>clients</w:t>
      </w:r>
      <w:r>
        <w:rPr>
          <w:spacing w:val="-2"/>
        </w:rPr>
        <w:t xml:space="preserve"> </w:t>
      </w:r>
      <w:r>
        <w:t>follow</w:t>
      </w:r>
      <w:r>
        <w:rPr>
          <w:spacing w:val="-3"/>
        </w:rPr>
        <w:t xml:space="preserve"> </w:t>
      </w:r>
      <w:r>
        <w:t>all</w:t>
      </w:r>
      <w:r>
        <w:rPr>
          <w:spacing w:val="-2"/>
        </w:rPr>
        <w:t xml:space="preserve"> </w:t>
      </w:r>
      <w:r>
        <w:t>agency</w:t>
      </w:r>
      <w:r>
        <w:rPr>
          <w:spacing w:val="-3"/>
        </w:rPr>
        <w:t xml:space="preserve"> </w:t>
      </w:r>
      <w:r>
        <w:t>policies</w:t>
      </w:r>
      <w:r>
        <w:rPr>
          <w:spacing w:val="-5"/>
        </w:rPr>
        <w:t xml:space="preserve"> </w:t>
      </w:r>
      <w:r>
        <w:t>and</w:t>
      </w:r>
      <w:r>
        <w:rPr>
          <w:spacing w:val="-4"/>
        </w:rPr>
        <w:t xml:space="preserve"> </w:t>
      </w:r>
      <w:r>
        <w:t>ethical</w:t>
      </w:r>
      <w:r>
        <w:rPr>
          <w:spacing w:val="-3"/>
        </w:rPr>
        <w:t xml:space="preserve"> </w:t>
      </w:r>
      <w:r>
        <w:t>guidelines</w:t>
      </w:r>
      <w:r>
        <w:rPr>
          <w:spacing w:val="-7"/>
        </w:rPr>
        <w:t xml:space="preserve"> </w:t>
      </w:r>
      <w:r>
        <w:t>for</w:t>
      </w:r>
      <w:r>
        <w:rPr>
          <w:spacing w:val="-2"/>
        </w:rPr>
        <w:t xml:space="preserve"> </w:t>
      </w:r>
      <w:r>
        <w:t>making</w:t>
      </w:r>
      <w:r>
        <w:rPr>
          <w:spacing w:val="-4"/>
        </w:rPr>
        <w:t xml:space="preserve"> </w:t>
      </w:r>
      <w:r>
        <w:rPr>
          <w:spacing w:val="-2"/>
        </w:rPr>
        <w:t>contact</w:t>
      </w:r>
    </w:p>
    <w:p w14:paraId="74B9A554" w14:textId="77777777" w:rsidR="00DB6E1F" w:rsidRDefault="00DB6E1F">
      <w:pPr>
        <w:jc w:val="both"/>
        <w:sectPr w:rsidR="00DB6E1F">
          <w:pgSz w:w="12240" w:h="15840"/>
          <w:pgMar w:top="1200" w:right="0" w:bottom="780" w:left="0" w:header="763" w:footer="585" w:gutter="0"/>
          <w:cols w:space="720"/>
        </w:sectPr>
      </w:pPr>
    </w:p>
    <w:p w14:paraId="11086BB3" w14:textId="77777777" w:rsidR="00DB6E1F" w:rsidRDefault="00DB6E1F">
      <w:pPr>
        <w:pStyle w:val="BodyText"/>
        <w:spacing w:before="8"/>
        <w:rPr>
          <w:b/>
          <w:sz w:val="14"/>
        </w:rPr>
      </w:pPr>
    </w:p>
    <w:p w14:paraId="0B185FF6" w14:textId="77777777" w:rsidR="00DB6E1F" w:rsidRDefault="00F666A6">
      <w:pPr>
        <w:spacing w:before="56"/>
        <w:ind w:left="1439" w:right="1555"/>
      </w:pPr>
      <w:r>
        <w:t>outside of sessions or after discharge. For more information on using technology to maintain contact with</w:t>
      </w:r>
      <w:r>
        <w:rPr>
          <w:spacing w:val="-3"/>
        </w:rPr>
        <w:t xml:space="preserve"> </w:t>
      </w:r>
      <w:r>
        <w:t>clients,</w:t>
      </w:r>
      <w:r>
        <w:rPr>
          <w:spacing w:val="-2"/>
        </w:rPr>
        <w:t xml:space="preserve"> </w:t>
      </w:r>
      <w:r>
        <w:t>see</w:t>
      </w:r>
      <w:r>
        <w:rPr>
          <w:spacing w:val="-4"/>
        </w:rPr>
        <w:t xml:space="preserve"> </w:t>
      </w:r>
      <w:r>
        <w:t>Treatment</w:t>
      </w:r>
      <w:r>
        <w:rPr>
          <w:spacing w:val="-4"/>
        </w:rPr>
        <w:t xml:space="preserve"> </w:t>
      </w:r>
      <w:r>
        <w:t>Improvement</w:t>
      </w:r>
      <w:r>
        <w:rPr>
          <w:spacing w:val="-4"/>
        </w:rPr>
        <w:t xml:space="preserve"> </w:t>
      </w:r>
      <w:r>
        <w:t>Protocol</w:t>
      </w:r>
      <w:r>
        <w:rPr>
          <w:spacing w:val="-5"/>
        </w:rPr>
        <w:t xml:space="preserve"> </w:t>
      </w:r>
      <w:r>
        <w:t>(TIP)</w:t>
      </w:r>
      <w:r>
        <w:rPr>
          <w:spacing w:val="-4"/>
        </w:rPr>
        <w:t xml:space="preserve"> </w:t>
      </w:r>
      <w:r>
        <w:t>60:</w:t>
      </w:r>
      <w:r>
        <w:rPr>
          <w:spacing w:val="-1"/>
        </w:rPr>
        <w:t xml:space="preserve"> </w:t>
      </w:r>
      <w:r>
        <w:rPr>
          <w:i/>
        </w:rPr>
        <w:t>Using</w:t>
      </w:r>
      <w:r>
        <w:rPr>
          <w:i/>
          <w:spacing w:val="-5"/>
        </w:rPr>
        <w:t xml:space="preserve"> </w:t>
      </w:r>
      <w:r>
        <w:rPr>
          <w:i/>
        </w:rPr>
        <w:t>Technology-Based</w:t>
      </w:r>
      <w:r>
        <w:rPr>
          <w:i/>
          <w:spacing w:val="-3"/>
        </w:rPr>
        <w:t xml:space="preserve"> </w:t>
      </w:r>
      <w:r>
        <w:rPr>
          <w:i/>
        </w:rPr>
        <w:t>Therapeutic</w:t>
      </w:r>
      <w:r>
        <w:rPr>
          <w:i/>
          <w:spacing w:val="-2"/>
        </w:rPr>
        <w:t xml:space="preserve"> </w:t>
      </w:r>
      <w:r>
        <w:rPr>
          <w:i/>
        </w:rPr>
        <w:t>Tools in Behavioral Health</w:t>
      </w:r>
      <w:r>
        <w:rPr>
          <w:i/>
          <w:spacing w:val="-1"/>
        </w:rPr>
        <w:t xml:space="preserve"> </w:t>
      </w:r>
      <w:r>
        <w:rPr>
          <w:i/>
        </w:rPr>
        <w:t xml:space="preserve">Services </w:t>
      </w:r>
      <w:r>
        <w:t>(Substance Abuse and</w:t>
      </w:r>
      <w:r>
        <w:rPr>
          <w:spacing w:val="-1"/>
        </w:rPr>
        <w:t xml:space="preserve"> </w:t>
      </w:r>
      <w:r>
        <w:t>Mental Health</w:t>
      </w:r>
      <w:r>
        <w:rPr>
          <w:spacing w:val="-1"/>
        </w:rPr>
        <w:t xml:space="preserve"> </w:t>
      </w:r>
      <w:r>
        <w:t xml:space="preserve">Services Administration [SAMHSA], </w:t>
      </w:r>
      <w:r>
        <w:rPr>
          <w:spacing w:val="-2"/>
        </w:rPr>
        <w:t>2015b).</w:t>
      </w:r>
    </w:p>
    <w:p w14:paraId="4126211B" w14:textId="77777777" w:rsidR="00DB6E1F" w:rsidRDefault="00F666A6">
      <w:pPr>
        <w:pStyle w:val="Heading2"/>
        <w:spacing w:before="163"/>
      </w:pPr>
      <w:bookmarkStart w:id="68" w:name="Motivational_Counseling_and_the_SOC"/>
      <w:bookmarkStart w:id="69" w:name="_bookmark12"/>
      <w:bookmarkEnd w:id="68"/>
      <w:bookmarkEnd w:id="69"/>
      <w:r>
        <w:t>Motivational</w:t>
      </w:r>
      <w:r>
        <w:rPr>
          <w:spacing w:val="-5"/>
        </w:rPr>
        <w:t xml:space="preserve"> </w:t>
      </w:r>
      <w:r>
        <w:t>Counseling</w:t>
      </w:r>
      <w:r>
        <w:rPr>
          <w:spacing w:val="-3"/>
        </w:rPr>
        <w:t xml:space="preserve"> </w:t>
      </w:r>
      <w:r>
        <w:t>and</w:t>
      </w:r>
      <w:r>
        <w:rPr>
          <w:spacing w:val="-2"/>
        </w:rPr>
        <w:t xml:space="preserve"> </w:t>
      </w:r>
      <w:r>
        <w:t>the</w:t>
      </w:r>
      <w:r>
        <w:rPr>
          <w:spacing w:val="-1"/>
        </w:rPr>
        <w:t xml:space="preserve"> </w:t>
      </w:r>
      <w:r>
        <w:rPr>
          <w:spacing w:val="-5"/>
        </w:rPr>
        <w:t>SOC</w:t>
      </w:r>
    </w:p>
    <w:p w14:paraId="6ED0E03F" w14:textId="77777777" w:rsidR="00DB6E1F" w:rsidRDefault="00F666A6">
      <w:pPr>
        <w:pStyle w:val="BodyText"/>
        <w:spacing w:before="152"/>
        <w:ind w:left="1440" w:right="1491"/>
      </w:pPr>
      <w:r>
        <w:t>People</w:t>
      </w:r>
      <w:r>
        <w:rPr>
          <w:spacing w:val="-1"/>
        </w:rPr>
        <w:t xml:space="preserve"> </w:t>
      </w:r>
      <w:r>
        <w:t>considering</w:t>
      </w:r>
      <w:r>
        <w:rPr>
          <w:spacing w:val="-5"/>
        </w:rPr>
        <w:t xml:space="preserve"> </w:t>
      </w:r>
      <w:r>
        <w:t>major</w:t>
      </w:r>
      <w:r>
        <w:rPr>
          <w:spacing w:val="-2"/>
        </w:rPr>
        <w:t xml:space="preserve"> </w:t>
      </w:r>
      <w:r>
        <w:t>changes</w:t>
      </w:r>
      <w:r>
        <w:rPr>
          <w:spacing w:val="-1"/>
        </w:rPr>
        <w:t xml:space="preserve"> </w:t>
      </w:r>
      <w:r>
        <w:t>in</w:t>
      </w:r>
      <w:r>
        <w:rPr>
          <w:spacing w:val="-3"/>
        </w:rPr>
        <w:t xml:space="preserve"> </w:t>
      </w:r>
      <w:r>
        <w:t>their</w:t>
      </w:r>
      <w:r>
        <w:rPr>
          <w:spacing w:val="-2"/>
        </w:rPr>
        <w:t xml:space="preserve"> </w:t>
      </w:r>
      <w:r>
        <w:t>lives,</w:t>
      </w:r>
      <w:r>
        <w:rPr>
          <w:spacing w:val="-4"/>
        </w:rPr>
        <w:t xml:space="preserve"> </w:t>
      </w:r>
      <w:r>
        <w:t>such</w:t>
      </w:r>
      <w:r>
        <w:rPr>
          <w:spacing w:val="-3"/>
        </w:rPr>
        <w:t xml:space="preserve"> </w:t>
      </w:r>
      <w:r>
        <w:t>as</w:t>
      </w:r>
      <w:r>
        <w:rPr>
          <w:spacing w:val="-2"/>
        </w:rPr>
        <w:t xml:space="preserve"> </w:t>
      </w:r>
      <w:r>
        <w:t>adopting</w:t>
      </w:r>
      <w:r>
        <w:rPr>
          <w:spacing w:val="-3"/>
        </w:rPr>
        <w:t xml:space="preserve"> </w:t>
      </w:r>
      <w:r>
        <w:t>an</w:t>
      </w:r>
      <w:r>
        <w:rPr>
          <w:spacing w:val="-3"/>
        </w:rPr>
        <w:t xml:space="preserve"> </w:t>
      </w:r>
      <w:r>
        <w:t>alcohol-</w:t>
      </w:r>
      <w:r>
        <w:rPr>
          <w:spacing w:val="-5"/>
        </w:rPr>
        <w:t xml:space="preserve"> </w:t>
      </w:r>
      <w:r>
        <w:t>or</w:t>
      </w:r>
      <w:r>
        <w:rPr>
          <w:spacing w:val="-2"/>
        </w:rPr>
        <w:t xml:space="preserve"> </w:t>
      </w:r>
      <w:r>
        <w:t>drug-free</w:t>
      </w:r>
      <w:r>
        <w:rPr>
          <w:spacing w:val="-1"/>
        </w:rPr>
        <w:t xml:space="preserve"> </w:t>
      </w:r>
      <w:r>
        <w:t>lifestyle,</w:t>
      </w:r>
      <w:r>
        <w:rPr>
          <w:spacing w:val="-4"/>
        </w:rPr>
        <w:t xml:space="preserve"> </w:t>
      </w:r>
      <w:r>
        <w:t>go th</w:t>
      </w:r>
      <w:r>
        <w:t>rough different change processes. Your job as a counselor is to match your treatment focus and counseling strategies with these processes throughout the SOC.</w:t>
      </w:r>
    </w:p>
    <w:p w14:paraId="5E37D01D" w14:textId="77777777" w:rsidR="00DB6E1F" w:rsidRDefault="00F666A6">
      <w:pPr>
        <w:pStyle w:val="Heading3"/>
      </w:pPr>
      <w:bookmarkStart w:id="70" w:name="Catalysts_for_Change"/>
      <w:bookmarkEnd w:id="70"/>
      <w:r>
        <w:t>Catalysts</w:t>
      </w:r>
      <w:r>
        <w:rPr>
          <w:spacing w:val="-9"/>
        </w:rPr>
        <w:t xml:space="preserve"> </w:t>
      </w:r>
      <w:r>
        <w:t>for</w:t>
      </w:r>
      <w:r>
        <w:rPr>
          <w:spacing w:val="-8"/>
        </w:rPr>
        <w:t xml:space="preserve"> </w:t>
      </w:r>
      <w:r>
        <w:rPr>
          <w:spacing w:val="-2"/>
        </w:rPr>
        <w:t>Change</w:t>
      </w:r>
    </w:p>
    <w:p w14:paraId="1E37D2DC" w14:textId="77777777" w:rsidR="00DB6E1F" w:rsidRDefault="00F666A6">
      <w:pPr>
        <w:pStyle w:val="BodyText"/>
        <w:spacing w:before="143"/>
        <w:ind w:left="1439" w:right="1444"/>
      </w:pPr>
      <w:r>
        <w:rPr>
          <w:b/>
        </w:rPr>
        <w:t>Understand how catalysts</w:t>
      </w:r>
      <w:r>
        <w:rPr>
          <w:b/>
          <w:spacing w:val="-3"/>
        </w:rPr>
        <w:t xml:space="preserve"> </w:t>
      </w:r>
      <w:r>
        <w:rPr>
          <w:b/>
        </w:rPr>
        <w:t xml:space="preserve">for change operate. </w:t>
      </w:r>
      <w:r>
        <w:t>This will help you use</w:t>
      </w:r>
      <w:r>
        <w:rPr>
          <w:spacing w:val="-1"/>
        </w:rPr>
        <w:t xml:space="preserve"> </w:t>
      </w:r>
      <w:r>
        <w:t>motivatio</w:t>
      </w:r>
      <w:r>
        <w:t>nal counseling strategies that support and enhance changes clients are contemplating. Prochaska (1979) identified common personal growth processes linked to different behavioral counseling approaches. These processes or catalysts for change have been furth</w:t>
      </w:r>
      <w:r>
        <w:t>er developed and applied to the SOC model (Connors, DiClemente, Velasquez,</w:t>
      </w:r>
      <w:r>
        <w:rPr>
          <w:spacing w:val="-3"/>
        </w:rPr>
        <w:t xml:space="preserve"> </w:t>
      </w:r>
      <w:r>
        <w:t>&amp;</w:t>
      </w:r>
      <w:r>
        <w:rPr>
          <w:spacing w:val="-5"/>
        </w:rPr>
        <w:t xml:space="preserve"> </w:t>
      </w:r>
      <w:r>
        <w:t>Donovan,</w:t>
      </w:r>
      <w:r>
        <w:rPr>
          <w:spacing w:val="-5"/>
        </w:rPr>
        <w:t xml:space="preserve"> </w:t>
      </w:r>
      <w:r>
        <w:t>2013).</w:t>
      </w:r>
      <w:r>
        <w:rPr>
          <w:spacing w:val="-3"/>
        </w:rPr>
        <w:t xml:space="preserve"> </w:t>
      </w:r>
      <w:r>
        <w:t>Catalysts</w:t>
      </w:r>
      <w:r>
        <w:rPr>
          <w:spacing w:val="-3"/>
        </w:rPr>
        <w:t xml:space="preserve"> </w:t>
      </w:r>
      <w:r>
        <w:t>are</w:t>
      </w:r>
      <w:r>
        <w:rPr>
          <w:spacing w:val="-5"/>
        </w:rPr>
        <w:t xml:space="preserve"> </w:t>
      </w:r>
      <w:r>
        <w:t>experiential</w:t>
      </w:r>
      <w:r>
        <w:rPr>
          <w:spacing w:val="-3"/>
        </w:rPr>
        <w:t xml:space="preserve"> </w:t>
      </w:r>
      <w:r>
        <w:t>or</w:t>
      </w:r>
      <w:r>
        <w:rPr>
          <w:spacing w:val="-3"/>
        </w:rPr>
        <w:t xml:space="preserve"> </w:t>
      </w:r>
      <w:r>
        <w:t>behavioral</w:t>
      </w:r>
      <w:r>
        <w:rPr>
          <w:spacing w:val="-4"/>
        </w:rPr>
        <w:t xml:space="preserve"> </w:t>
      </w:r>
      <w:r>
        <w:t>(Exhibit</w:t>
      </w:r>
      <w:r>
        <w:rPr>
          <w:spacing w:val="-2"/>
        </w:rPr>
        <w:t xml:space="preserve"> </w:t>
      </w:r>
      <w:r>
        <w:t>2.2).</w:t>
      </w:r>
      <w:r>
        <w:rPr>
          <w:spacing w:val="-3"/>
        </w:rPr>
        <w:t xml:space="preserve"> </w:t>
      </w:r>
      <w:r>
        <w:t>Experiential</w:t>
      </w:r>
      <w:r>
        <w:rPr>
          <w:spacing w:val="-3"/>
        </w:rPr>
        <w:t xml:space="preserve"> </w:t>
      </w:r>
      <w:r>
        <w:t>catalysts are linked more frequently with early SOC phases and behavioral catalysts with later SOC phases.</w:t>
      </w:r>
    </w:p>
    <w:p w14:paraId="5EA11218" w14:textId="77777777" w:rsidR="00DB6E1F" w:rsidRDefault="00DB6E1F">
      <w:pPr>
        <w:pStyle w:val="BodyText"/>
        <w:spacing w:before="9"/>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6480"/>
        <w:gridCol w:w="2244"/>
      </w:tblGrid>
      <w:tr w:rsidR="00DB6E1F" w14:paraId="07D3F416" w14:textId="77777777">
        <w:trPr>
          <w:trHeight w:val="518"/>
        </w:trPr>
        <w:tc>
          <w:tcPr>
            <w:tcW w:w="9350" w:type="dxa"/>
            <w:gridSpan w:val="3"/>
            <w:tcBorders>
              <w:top w:val="nil"/>
              <w:left w:val="nil"/>
              <w:bottom w:val="nil"/>
              <w:right w:val="nil"/>
            </w:tcBorders>
            <w:shd w:val="clear" w:color="auto" w:fill="000000"/>
          </w:tcPr>
          <w:p w14:paraId="64400A31" w14:textId="77777777" w:rsidR="00DB6E1F" w:rsidRDefault="00F666A6">
            <w:pPr>
              <w:pStyle w:val="TableParagraph"/>
              <w:spacing w:before="112"/>
              <w:ind w:left="215"/>
              <w:rPr>
                <w:sz w:val="24"/>
              </w:rPr>
            </w:pPr>
            <w:r>
              <w:rPr>
                <w:color w:val="FFFFFF"/>
                <w:sz w:val="24"/>
              </w:rPr>
              <w:t>Exhibit</w:t>
            </w:r>
            <w:r>
              <w:rPr>
                <w:color w:val="FFFFFF"/>
                <w:spacing w:val="-2"/>
                <w:sz w:val="24"/>
              </w:rPr>
              <w:t xml:space="preserve"> </w:t>
            </w:r>
            <w:r>
              <w:rPr>
                <w:color w:val="FFFFFF"/>
                <w:sz w:val="24"/>
              </w:rPr>
              <w:t>2.2.</w:t>
            </w:r>
            <w:r>
              <w:rPr>
                <w:color w:val="FFFFFF"/>
                <w:spacing w:val="-1"/>
                <w:sz w:val="24"/>
              </w:rPr>
              <w:t xml:space="preserve"> </w:t>
            </w:r>
            <w:r>
              <w:rPr>
                <w:color w:val="FFFFFF"/>
                <w:sz w:val="24"/>
              </w:rPr>
              <w:t>Catalysts</w:t>
            </w:r>
            <w:r>
              <w:rPr>
                <w:color w:val="FFFFFF"/>
                <w:spacing w:val="-3"/>
                <w:sz w:val="24"/>
              </w:rPr>
              <w:t xml:space="preserve"> </w:t>
            </w:r>
            <w:r>
              <w:rPr>
                <w:color w:val="FFFFFF"/>
                <w:sz w:val="24"/>
              </w:rPr>
              <w:t>for</w:t>
            </w:r>
            <w:r>
              <w:rPr>
                <w:color w:val="FFFFFF"/>
                <w:spacing w:val="-2"/>
                <w:sz w:val="24"/>
              </w:rPr>
              <w:t xml:space="preserve"> Change</w:t>
            </w:r>
          </w:p>
        </w:tc>
      </w:tr>
      <w:tr w:rsidR="00DB6E1F" w14:paraId="1AF75A71" w14:textId="77777777">
        <w:trPr>
          <w:trHeight w:val="359"/>
        </w:trPr>
        <w:tc>
          <w:tcPr>
            <w:tcW w:w="626" w:type="dxa"/>
          </w:tcPr>
          <w:p w14:paraId="6947B440" w14:textId="77777777" w:rsidR="00DB6E1F" w:rsidRDefault="00F666A6">
            <w:pPr>
              <w:pStyle w:val="TableParagraph"/>
              <w:spacing w:before="0" w:line="241" w:lineRule="exact"/>
              <w:rPr>
                <w:sz w:val="20"/>
              </w:rPr>
            </w:pPr>
            <w:r>
              <w:rPr>
                <w:spacing w:val="-4"/>
                <w:sz w:val="20"/>
              </w:rPr>
              <w:t>Type</w:t>
            </w:r>
          </w:p>
        </w:tc>
        <w:tc>
          <w:tcPr>
            <w:tcW w:w="6480" w:type="dxa"/>
          </w:tcPr>
          <w:p w14:paraId="7EDAE74B" w14:textId="77777777" w:rsidR="00DB6E1F" w:rsidRDefault="00F666A6">
            <w:pPr>
              <w:pStyle w:val="TableParagraph"/>
              <w:spacing w:before="0" w:line="241" w:lineRule="exact"/>
              <w:ind w:left="105"/>
              <w:rPr>
                <w:sz w:val="20"/>
              </w:rPr>
            </w:pPr>
            <w:r>
              <w:rPr>
                <w:sz w:val="20"/>
              </w:rPr>
              <w:t>Specific</w:t>
            </w:r>
            <w:r>
              <w:rPr>
                <w:spacing w:val="-8"/>
                <w:sz w:val="20"/>
              </w:rPr>
              <w:t xml:space="preserve"> </w:t>
            </w:r>
            <w:r>
              <w:rPr>
                <w:sz w:val="20"/>
              </w:rPr>
              <w:t>Client</w:t>
            </w:r>
            <w:r>
              <w:rPr>
                <w:spacing w:val="-8"/>
                <w:sz w:val="20"/>
              </w:rPr>
              <w:t xml:space="preserve"> </w:t>
            </w:r>
            <w:r>
              <w:rPr>
                <w:sz w:val="20"/>
              </w:rPr>
              <w:t>Change</w:t>
            </w:r>
            <w:r>
              <w:rPr>
                <w:spacing w:val="-8"/>
                <w:sz w:val="20"/>
              </w:rPr>
              <w:t xml:space="preserve"> </w:t>
            </w:r>
            <w:r>
              <w:rPr>
                <w:spacing w:val="-2"/>
                <w:sz w:val="20"/>
              </w:rPr>
              <w:t>Processes</w:t>
            </w:r>
          </w:p>
        </w:tc>
        <w:tc>
          <w:tcPr>
            <w:tcW w:w="2244" w:type="dxa"/>
          </w:tcPr>
          <w:p w14:paraId="2EE8259A" w14:textId="77777777" w:rsidR="00DB6E1F" w:rsidRDefault="00F666A6">
            <w:pPr>
              <w:pStyle w:val="TableParagraph"/>
              <w:spacing w:before="0" w:line="241" w:lineRule="exact"/>
              <w:ind w:left="105"/>
              <w:rPr>
                <w:sz w:val="20"/>
              </w:rPr>
            </w:pPr>
            <w:r>
              <w:rPr>
                <w:spacing w:val="-5"/>
                <w:sz w:val="20"/>
              </w:rPr>
              <w:t>SOC</w:t>
            </w:r>
          </w:p>
        </w:tc>
      </w:tr>
      <w:tr w:rsidR="00DB6E1F" w14:paraId="409AC465" w14:textId="77777777">
        <w:trPr>
          <w:trHeight w:val="609"/>
        </w:trPr>
        <w:tc>
          <w:tcPr>
            <w:tcW w:w="626" w:type="dxa"/>
            <w:vMerge w:val="restart"/>
            <w:textDirection w:val="btLr"/>
          </w:tcPr>
          <w:p w14:paraId="1E555E32" w14:textId="77777777" w:rsidR="00DB6E1F" w:rsidRDefault="00F666A6">
            <w:pPr>
              <w:pStyle w:val="TableParagraph"/>
              <w:spacing w:before="147"/>
              <w:ind w:left="-1"/>
              <w:rPr>
                <w:sz w:val="20"/>
              </w:rPr>
            </w:pPr>
            <w:r>
              <w:rPr>
                <w:spacing w:val="-2"/>
                <w:sz w:val="20"/>
              </w:rPr>
              <w:t>Experiential</w:t>
            </w:r>
          </w:p>
        </w:tc>
        <w:tc>
          <w:tcPr>
            <w:tcW w:w="6480" w:type="dxa"/>
          </w:tcPr>
          <w:p w14:paraId="4C0B6008" w14:textId="77777777" w:rsidR="00DB6E1F" w:rsidRDefault="00F666A6">
            <w:pPr>
              <w:pStyle w:val="TableParagraph"/>
              <w:ind w:left="105" w:right="170"/>
              <w:rPr>
                <w:sz w:val="20"/>
              </w:rPr>
            </w:pPr>
            <w:r>
              <w:rPr>
                <w:b/>
                <w:sz w:val="20"/>
              </w:rPr>
              <w:t>Consciousness</w:t>
            </w:r>
            <w:r>
              <w:rPr>
                <w:b/>
                <w:spacing w:val="-6"/>
                <w:sz w:val="20"/>
              </w:rPr>
              <w:t xml:space="preserve"> </w:t>
            </w:r>
            <w:r>
              <w:rPr>
                <w:b/>
                <w:sz w:val="20"/>
              </w:rPr>
              <w:t>raising:</w:t>
            </w:r>
            <w:r>
              <w:rPr>
                <w:b/>
                <w:spacing w:val="-3"/>
                <w:sz w:val="20"/>
              </w:rPr>
              <w:t xml:space="preserve"> </w:t>
            </w:r>
            <w:r>
              <w:rPr>
                <w:sz w:val="20"/>
              </w:rPr>
              <w:t>Gains</w:t>
            </w:r>
            <w:r>
              <w:rPr>
                <w:spacing w:val="-5"/>
                <w:sz w:val="20"/>
              </w:rPr>
              <w:t xml:space="preserve"> </w:t>
            </w:r>
            <w:r>
              <w:rPr>
                <w:sz w:val="20"/>
              </w:rPr>
              <w:t>new</w:t>
            </w:r>
            <w:r>
              <w:rPr>
                <w:spacing w:val="-6"/>
                <w:sz w:val="20"/>
              </w:rPr>
              <w:t xml:space="preserve"> </w:t>
            </w:r>
            <w:r>
              <w:rPr>
                <w:sz w:val="20"/>
              </w:rPr>
              <w:t>awareness</w:t>
            </w:r>
            <w:r>
              <w:rPr>
                <w:spacing w:val="-7"/>
                <w:sz w:val="20"/>
              </w:rPr>
              <w:t xml:space="preserve"> </w:t>
            </w:r>
            <w:r>
              <w:rPr>
                <w:sz w:val="20"/>
              </w:rPr>
              <w:t>and</w:t>
            </w:r>
            <w:r>
              <w:rPr>
                <w:spacing w:val="-5"/>
                <w:sz w:val="20"/>
              </w:rPr>
              <w:t xml:space="preserve"> </w:t>
            </w:r>
            <w:r>
              <w:rPr>
                <w:sz w:val="20"/>
              </w:rPr>
              <w:t>understanding</w:t>
            </w:r>
            <w:r>
              <w:rPr>
                <w:spacing w:val="-6"/>
                <w:sz w:val="20"/>
              </w:rPr>
              <w:t xml:space="preserve"> </w:t>
            </w:r>
            <w:r>
              <w:rPr>
                <w:sz w:val="20"/>
              </w:rPr>
              <w:t>of substance use behavior.</w:t>
            </w:r>
          </w:p>
        </w:tc>
        <w:tc>
          <w:tcPr>
            <w:tcW w:w="2244" w:type="dxa"/>
          </w:tcPr>
          <w:p w14:paraId="6B6FF1C3" w14:textId="77777777" w:rsidR="00DB6E1F" w:rsidRDefault="00F666A6">
            <w:pPr>
              <w:pStyle w:val="TableParagraph"/>
              <w:ind w:left="105"/>
              <w:rPr>
                <w:sz w:val="20"/>
              </w:rPr>
            </w:pPr>
            <w:r>
              <w:rPr>
                <w:spacing w:val="-2"/>
                <w:sz w:val="20"/>
              </w:rPr>
              <w:t>Precontemplation/ Contemplation</w:t>
            </w:r>
          </w:p>
        </w:tc>
      </w:tr>
      <w:tr w:rsidR="00DB6E1F" w14:paraId="64B838C3" w14:textId="77777777">
        <w:trPr>
          <w:trHeight w:val="606"/>
        </w:trPr>
        <w:tc>
          <w:tcPr>
            <w:tcW w:w="626" w:type="dxa"/>
            <w:vMerge/>
            <w:tcBorders>
              <w:top w:val="nil"/>
            </w:tcBorders>
            <w:textDirection w:val="btLr"/>
          </w:tcPr>
          <w:p w14:paraId="0C6D2897" w14:textId="77777777" w:rsidR="00DB6E1F" w:rsidRDefault="00DB6E1F">
            <w:pPr>
              <w:rPr>
                <w:sz w:val="2"/>
                <w:szCs w:val="2"/>
              </w:rPr>
            </w:pPr>
          </w:p>
        </w:tc>
        <w:tc>
          <w:tcPr>
            <w:tcW w:w="6480" w:type="dxa"/>
          </w:tcPr>
          <w:p w14:paraId="52BAF0C9" w14:textId="77777777" w:rsidR="00DB6E1F" w:rsidRDefault="00F666A6">
            <w:pPr>
              <w:pStyle w:val="TableParagraph"/>
              <w:ind w:left="105"/>
              <w:rPr>
                <w:sz w:val="20"/>
              </w:rPr>
            </w:pPr>
            <w:r>
              <w:rPr>
                <w:b/>
                <w:sz w:val="20"/>
              </w:rPr>
              <w:t xml:space="preserve">Emotional arousal: </w:t>
            </w:r>
            <w:r>
              <w:rPr>
                <w:sz w:val="20"/>
              </w:rPr>
              <w:t>Is motivated to contemplate change after an important emotional</w:t>
            </w:r>
            <w:r>
              <w:rPr>
                <w:spacing w:val="-4"/>
                <w:sz w:val="20"/>
              </w:rPr>
              <w:t xml:space="preserve"> </w:t>
            </w:r>
            <w:r>
              <w:rPr>
                <w:sz w:val="20"/>
              </w:rPr>
              <w:t>reaction</w:t>
            </w:r>
            <w:r>
              <w:rPr>
                <w:spacing w:val="-3"/>
                <w:sz w:val="20"/>
              </w:rPr>
              <w:t xml:space="preserve"> </w:t>
            </w:r>
            <w:r>
              <w:rPr>
                <w:sz w:val="20"/>
              </w:rPr>
              <w:t>to</w:t>
            </w:r>
            <w:r>
              <w:rPr>
                <w:spacing w:val="-4"/>
                <w:sz w:val="20"/>
              </w:rPr>
              <w:t xml:space="preserve"> </w:t>
            </w:r>
            <w:r>
              <w:rPr>
                <w:sz w:val="20"/>
              </w:rPr>
              <w:t>current</w:t>
            </w:r>
            <w:r>
              <w:rPr>
                <w:spacing w:val="-1"/>
                <w:sz w:val="20"/>
              </w:rPr>
              <w:t xml:space="preserve"> </w:t>
            </w:r>
            <w:r>
              <w:rPr>
                <w:sz w:val="20"/>
              </w:rPr>
              <w:t>substance</w:t>
            </w:r>
            <w:r>
              <w:rPr>
                <w:spacing w:val="-5"/>
                <w:sz w:val="20"/>
              </w:rPr>
              <w:t xml:space="preserve"> </w:t>
            </w:r>
            <w:r>
              <w:rPr>
                <w:sz w:val="20"/>
              </w:rPr>
              <w:t>use</w:t>
            </w:r>
            <w:r>
              <w:rPr>
                <w:spacing w:val="-5"/>
                <w:sz w:val="20"/>
              </w:rPr>
              <w:t xml:space="preserve"> </w:t>
            </w:r>
            <w:r>
              <w:rPr>
                <w:sz w:val="20"/>
              </w:rPr>
              <w:t>behavior</w:t>
            </w:r>
            <w:r>
              <w:rPr>
                <w:spacing w:val="-4"/>
                <w:sz w:val="20"/>
              </w:rPr>
              <w:t xml:space="preserve"> </w:t>
            </w:r>
            <w:r>
              <w:rPr>
                <w:sz w:val="20"/>
              </w:rPr>
              <w:t>or</w:t>
            </w:r>
            <w:r>
              <w:rPr>
                <w:spacing w:val="-4"/>
                <w:sz w:val="20"/>
              </w:rPr>
              <w:t xml:space="preserve"> </w:t>
            </w:r>
            <w:r>
              <w:rPr>
                <w:sz w:val="20"/>
              </w:rPr>
              <w:t>the</w:t>
            </w:r>
            <w:r>
              <w:rPr>
                <w:spacing w:val="-5"/>
                <w:sz w:val="20"/>
              </w:rPr>
              <w:t xml:space="preserve"> </w:t>
            </w:r>
            <w:r>
              <w:rPr>
                <w:sz w:val="20"/>
              </w:rPr>
              <w:t>need</w:t>
            </w:r>
            <w:r>
              <w:rPr>
                <w:spacing w:val="-3"/>
                <w:sz w:val="20"/>
              </w:rPr>
              <w:t xml:space="preserve"> </w:t>
            </w:r>
            <w:r>
              <w:rPr>
                <w:sz w:val="20"/>
              </w:rPr>
              <w:t>to</w:t>
            </w:r>
            <w:r>
              <w:rPr>
                <w:spacing w:val="-4"/>
                <w:sz w:val="20"/>
              </w:rPr>
              <w:t xml:space="preserve"> </w:t>
            </w:r>
            <w:r>
              <w:rPr>
                <w:sz w:val="20"/>
              </w:rPr>
              <w:t>change.</w:t>
            </w:r>
          </w:p>
        </w:tc>
        <w:tc>
          <w:tcPr>
            <w:tcW w:w="2244" w:type="dxa"/>
          </w:tcPr>
          <w:p w14:paraId="68B4373E" w14:textId="77777777" w:rsidR="00DB6E1F" w:rsidRDefault="00F666A6">
            <w:pPr>
              <w:pStyle w:val="TableParagraph"/>
              <w:ind w:left="105"/>
              <w:rPr>
                <w:sz w:val="20"/>
              </w:rPr>
            </w:pPr>
            <w:r>
              <w:rPr>
                <w:spacing w:val="-2"/>
                <w:sz w:val="20"/>
              </w:rPr>
              <w:t>Precontemplation/ Contemplation</w:t>
            </w:r>
          </w:p>
        </w:tc>
      </w:tr>
      <w:tr w:rsidR="00DB6E1F" w14:paraId="086186B8" w14:textId="77777777">
        <w:trPr>
          <w:trHeight w:val="609"/>
        </w:trPr>
        <w:tc>
          <w:tcPr>
            <w:tcW w:w="626" w:type="dxa"/>
            <w:vMerge/>
            <w:tcBorders>
              <w:top w:val="nil"/>
            </w:tcBorders>
            <w:textDirection w:val="btLr"/>
          </w:tcPr>
          <w:p w14:paraId="0A66789E" w14:textId="77777777" w:rsidR="00DB6E1F" w:rsidRDefault="00DB6E1F">
            <w:pPr>
              <w:rPr>
                <w:sz w:val="2"/>
                <w:szCs w:val="2"/>
              </w:rPr>
            </w:pPr>
          </w:p>
        </w:tc>
        <w:tc>
          <w:tcPr>
            <w:tcW w:w="6480" w:type="dxa"/>
          </w:tcPr>
          <w:p w14:paraId="182E0ED5" w14:textId="77777777" w:rsidR="00DB6E1F" w:rsidRDefault="00F666A6">
            <w:pPr>
              <w:pStyle w:val="TableParagraph"/>
              <w:ind w:left="105" w:right="170"/>
              <w:rPr>
                <w:sz w:val="20"/>
              </w:rPr>
            </w:pPr>
            <w:r>
              <w:rPr>
                <w:b/>
                <w:sz w:val="20"/>
              </w:rPr>
              <w:t>Environmental</w:t>
            </w:r>
            <w:r>
              <w:rPr>
                <w:b/>
                <w:spacing w:val="-6"/>
                <w:sz w:val="20"/>
              </w:rPr>
              <w:t xml:space="preserve"> </w:t>
            </w:r>
            <w:r>
              <w:rPr>
                <w:b/>
                <w:sz w:val="20"/>
              </w:rPr>
              <w:t>reevaluation:</w:t>
            </w:r>
            <w:r>
              <w:rPr>
                <w:b/>
                <w:spacing w:val="-5"/>
                <w:sz w:val="20"/>
              </w:rPr>
              <w:t xml:space="preserve"> </w:t>
            </w:r>
            <w:r>
              <w:rPr>
                <w:sz w:val="20"/>
              </w:rPr>
              <w:t>Evaluates</w:t>
            </w:r>
            <w:r>
              <w:rPr>
                <w:spacing w:val="-6"/>
                <w:sz w:val="20"/>
              </w:rPr>
              <w:t xml:space="preserve"> </w:t>
            </w:r>
            <w:r>
              <w:rPr>
                <w:sz w:val="20"/>
              </w:rPr>
              <w:t>pros</w:t>
            </w:r>
            <w:r>
              <w:rPr>
                <w:spacing w:val="-6"/>
                <w:sz w:val="20"/>
              </w:rPr>
              <w:t xml:space="preserve"> </w:t>
            </w:r>
            <w:r>
              <w:rPr>
                <w:sz w:val="20"/>
              </w:rPr>
              <w:t>and</w:t>
            </w:r>
            <w:r>
              <w:rPr>
                <w:spacing w:val="-4"/>
                <w:sz w:val="20"/>
              </w:rPr>
              <w:t xml:space="preserve"> </w:t>
            </w:r>
            <w:r>
              <w:rPr>
                <w:sz w:val="20"/>
              </w:rPr>
              <w:t>cons</w:t>
            </w:r>
            <w:r>
              <w:rPr>
                <w:spacing w:val="-6"/>
                <w:sz w:val="20"/>
              </w:rPr>
              <w:t xml:space="preserve"> </w:t>
            </w:r>
            <w:r>
              <w:rPr>
                <w:sz w:val="20"/>
              </w:rPr>
              <w:t>of</w:t>
            </w:r>
            <w:r>
              <w:rPr>
                <w:spacing w:val="-6"/>
                <w:sz w:val="20"/>
              </w:rPr>
              <w:t xml:space="preserve"> </w:t>
            </w:r>
            <w:r>
              <w:rPr>
                <w:sz w:val="20"/>
              </w:rPr>
              <w:t>current</w:t>
            </w:r>
            <w:r>
              <w:rPr>
                <w:spacing w:val="-5"/>
                <w:sz w:val="20"/>
              </w:rPr>
              <w:t xml:space="preserve"> </w:t>
            </w:r>
            <w:r>
              <w:rPr>
                <w:sz w:val="20"/>
              </w:rPr>
              <w:t>substance use behavior and its effects on others and the community.</w:t>
            </w:r>
          </w:p>
        </w:tc>
        <w:tc>
          <w:tcPr>
            <w:tcW w:w="2244" w:type="dxa"/>
          </w:tcPr>
          <w:p w14:paraId="39FBB528" w14:textId="77777777" w:rsidR="00DB6E1F" w:rsidRDefault="00F666A6">
            <w:pPr>
              <w:pStyle w:val="TableParagraph"/>
              <w:ind w:left="105"/>
              <w:rPr>
                <w:sz w:val="20"/>
              </w:rPr>
            </w:pPr>
            <w:r>
              <w:rPr>
                <w:spacing w:val="-2"/>
                <w:sz w:val="20"/>
              </w:rPr>
              <w:t>Precontemplation/ Contemplation</w:t>
            </w:r>
          </w:p>
        </w:tc>
      </w:tr>
      <w:tr w:rsidR="00DB6E1F" w14:paraId="0DA64374" w14:textId="77777777">
        <w:trPr>
          <w:trHeight w:val="609"/>
        </w:trPr>
        <w:tc>
          <w:tcPr>
            <w:tcW w:w="626" w:type="dxa"/>
            <w:vMerge/>
            <w:tcBorders>
              <w:top w:val="nil"/>
            </w:tcBorders>
            <w:textDirection w:val="btLr"/>
          </w:tcPr>
          <w:p w14:paraId="2079E363" w14:textId="77777777" w:rsidR="00DB6E1F" w:rsidRDefault="00DB6E1F">
            <w:pPr>
              <w:rPr>
                <w:sz w:val="2"/>
                <w:szCs w:val="2"/>
              </w:rPr>
            </w:pPr>
          </w:p>
        </w:tc>
        <w:tc>
          <w:tcPr>
            <w:tcW w:w="6480" w:type="dxa"/>
          </w:tcPr>
          <w:p w14:paraId="7F151CAF" w14:textId="77777777" w:rsidR="00DB6E1F" w:rsidRDefault="00F666A6">
            <w:pPr>
              <w:pStyle w:val="TableParagraph"/>
              <w:ind w:left="105"/>
              <w:rPr>
                <w:sz w:val="20"/>
              </w:rPr>
            </w:pPr>
            <w:r>
              <w:rPr>
                <w:b/>
                <w:sz w:val="20"/>
              </w:rPr>
              <w:t>Self-reevaluation:</w:t>
            </w:r>
            <w:r>
              <w:rPr>
                <w:b/>
                <w:spacing w:val="-5"/>
                <w:sz w:val="20"/>
              </w:rPr>
              <w:t xml:space="preserve"> </w:t>
            </w:r>
            <w:r>
              <w:rPr>
                <w:sz w:val="20"/>
              </w:rPr>
              <w:t>Explores</w:t>
            </w:r>
            <w:r>
              <w:rPr>
                <w:spacing w:val="-6"/>
                <w:sz w:val="20"/>
              </w:rPr>
              <w:t xml:space="preserve"> </w:t>
            </w:r>
            <w:r>
              <w:rPr>
                <w:sz w:val="20"/>
              </w:rPr>
              <w:t>the</w:t>
            </w:r>
            <w:r>
              <w:rPr>
                <w:spacing w:val="-6"/>
                <w:sz w:val="20"/>
              </w:rPr>
              <w:t xml:space="preserve"> </w:t>
            </w:r>
            <w:r>
              <w:rPr>
                <w:sz w:val="20"/>
              </w:rPr>
              <w:t>current</w:t>
            </w:r>
            <w:r>
              <w:rPr>
                <w:spacing w:val="-5"/>
                <w:sz w:val="20"/>
              </w:rPr>
              <w:t xml:space="preserve"> </w:t>
            </w:r>
            <w:r>
              <w:rPr>
                <w:sz w:val="20"/>
              </w:rPr>
              <w:t>substance</w:t>
            </w:r>
            <w:r>
              <w:rPr>
                <w:spacing w:val="-6"/>
                <w:sz w:val="20"/>
              </w:rPr>
              <w:t xml:space="preserve"> </w:t>
            </w:r>
            <w:r>
              <w:rPr>
                <w:sz w:val="20"/>
              </w:rPr>
              <w:t>use</w:t>
            </w:r>
            <w:r>
              <w:rPr>
                <w:spacing w:val="-6"/>
                <w:sz w:val="20"/>
              </w:rPr>
              <w:t xml:space="preserve"> </w:t>
            </w:r>
            <w:r>
              <w:rPr>
                <w:sz w:val="20"/>
              </w:rPr>
              <w:t>behavior</w:t>
            </w:r>
            <w:r>
              <w:rPr>
                <w:spacing w:val="-5"/>
                <w:sz w:val="20"/>
              </w:rPr>
              <w:t xml:space="preserve"> </w:t>
            </w:r>
            <w:r>
              <w:rPr>
                <w:sz w:val="20"/>
              </w:rPr>
              <w:t>and</w:t>
            </w:r>
            <w:r>
              <w:rPr>
                <w:spacing w:val="-4"/>
                <w:sz w:val="20"/>
              </w:rPr>
              <w:t xml:space="preserve"> </w:t>
            </w:r>
            <w:r>
              <w:rPr>
                <w:sz w:val="20"/>
              </w:rPr>
              <w:t>the possibility of change in relation to own values.</w:t>
            </w:r>
          </w:p>
        </w:tc>
        <w:tc>
          <w:tcPr>
            <w:tcW w:w="2244" w:type="dxa"/>
          </w:tcPr>
          <w:p w14:paraId="67FA6FF7" w14:textId="77777777" w:rsidR="00DB6E1F" w:rsidRDefault="00F666A6">
            <w:pPr>
              <w:pStyle w:val="TableParagraph"/>
              <w:ind w:left="105"/>
              <w:rPr>
                <w:sz w:val="20"/>
              </w:rPr>
            </w:pPr>
            <w:r>
              <w:rPr>
                <w:spacing w:val="-2"/>
                <w:sz w:val="20"/>
              </w:rPr>
              <w:t>Contemplation</w:t>
            </w:r>
          </w:p>
        </w:tc>
      </w:tr>
      <w:tr w:rsidR="00DB6E1F" w14:paraId="3420B4E2" w14:textId="77777777">
        <w:trPr>
          <w:trHeight w:val="606"/>
        </w:trPr>
        <w:tc>
          <w:tcPr>
            <w:tcW w:w="626" w:type="dxa"/>
            <w:vMerge/>
            <w:tcBorders>
              <w:top w:val="nil"/>
            </w:tcBorders>
            <w:textDirection w:val="btLr"/>
          </w:tcPr>
          <w:p w14:paraId="3E76821F" w14:textId="77777777" w:rsidR="00DB6E1F" w:rsidRDefault="00DB6E1F">
            <w:pPr>
              <w:rPr>
                <w:sz w:val="2"/>
                <w:szCs w:val="2"/>
              </w:rPr>
            </w:pPr>
          </w:p>
        </w:tc>
        <w:tc>
          <w:tcPr>
            <w:tcW w:w="6480" w:type="dxa"/>
          </w:tcPr>
          <w:p w14:paraId="636AB5F4" w14:textId="77777777" w:rsidR="00DB6E1F" w:rsidRDefault="00F666A6">
            <w:pPr>
              <w:pStyle w:val="TableParagraph"/>
              <w:ind w:left="105"/>
              <w:rPr>
                <w:sz w:val="20"/>
              </w:rPr>
            </w:pPr>
            <w:r>
              <w:rPr>
                <w:b/>
                <w:sz w:val="20"/>
              </w:rPr>
              <w:t>Social</w:t>
            </w:r>
            <w:r>
              <w:rPr>
                <w:b/>
                <w:spacing w:val="-10"/>
                <w:sz w:val="20"/>
              </w:rPr>
              <w:t xml:space="preserve"> </w:t>
            </w:r>
            <w:r>
              <w:rPr>
                <w:b/>
                <w:sz w:val="20"/>
              </w:rPr>
              <w:t>liberation:</w:t>
            </w:r>
            <w:r>
              <w:rPr>
                <w:b/>
                <w:spacing w:val="-9"/>
                <w:sz w:val="20"/>
              </w:rPr>
              <w:t xml:space="preserve"> </w:t>
            </w:r>
            <w:r>
              <w:rPr>
                <w:sz w:val="20"/>
              </w:rPr>
              <w:t>Recognizes</w:t>
            </w:r>
            <w:r>
              <w:rPr>
                <w:spacing w:val="-7"/>
                <w:sz w:val="20"/>
              </w:rPr>
              <w:t xml:space="preserve"> </w:t>
            </w:r>
            <w:r>
              <w:rPr>
                <w:sz w:val="20"/>
              </w:rPr>
              <w:t>and</w:t>
            </w:r>
            <w:r>
              <w:rPr>
                <w:spacing w:val="-8"/>
                <w:sz w:val="20"/>
              </w:rPr>
              <w:t xml:space="preserve"> </w:t>
            </w:r>
            <w:r>
              <w:rPr>
                <w:sz w:val="20"/>
              </w:rPr>
              <w:t>increases</w:t>
            </w:r>
            <w:r>
              <w:rPr>
                <w:spacing w:val="-10"/>
                <w:sz w:val="20"/>
              </w:rPr>
              <w:t xml:space="preserve"> </w:t>
            </w:r>
            <w:r>
              <w:rPr>
                <w:sz w:val="20"/>
              </w:rPr>
              <w:t>available</w:t>
            </w:r>
            <w:r>
              <w:rPr>
                <w:spacing w:val="-9"/>
                <w:sz w:val="20"/>
              </w:rPr>
              <w:t xml:space="preserve"> </w:t>
            </w:r>
            <w:r>
              <w:rPr>
                <w:sz w:val="20"/>
              </w:rPr>
              <w:t>positive</w:t>
            </w:r>
            <w:r>
              <w:rPr>
                <w:spacing w:val="-10"/>
                <w:sz w:val="20"/>
              </w:rPr>
              <w:t xml:space="preserve"> </w:t>
            </w:r>
            <w:r>
              <w:rPr>
                <w:sz w:val="20"/>
              </w:rPr>
              <w:t>social</w:t>
            </w:r>
            <w:r>
              <w:rPr>
                <w:spacing w:val="-7"/>
                <w:sz w:val="20"/>
              </w:rPr>
              <w:t xml:space="preserve"> </w:t>
            </w:r>
            <w:r>
              <w:rPr>
                <w:spacing w:val="-2"/>
                <w:sz w:val="20"/>
              </w:rPr>
              <w:t>supports.</w:t>
            </w:r>
          </w:p>
        </w:tc>
        <w:tc>
          <w:tcPr>
            <w:tcW w:w="2244" w:type="dxa"/>
          </w:tcPr>
          <w:p w14:paraId="0FD3318D" w14:textId="77777777" w:rsidR="00DB6E1F" w:rsidRDefault="00F666A6">
            <w:pPr>
              <w:pStyle w:val="TableParagraph"/>
              <w:spacing w:before="0"/>
              <w:ind w:left="105"/>
              <w:rPr>
                <w:sz w:val="20"/>
              </w:rPr>
            </w:pPr>
            <w:r>
              <w:rPr>
                <w:spacing w:val="-2"/>
                <w:sz w:val="20"/>
              </w:rPr>
              <w:t>Contemplation/ Preparation</w:t>
            </w:r>
          </w:p>
        </w:tc>
      </w:tr>
      <w:tr w:rsidR="00DB6E1F" w14:paraId="48BEB54C" w14:textId="77777777">
        <w:trPr>
          <w:trHeight w:val="851"/>
        </w:trPr>
        <w:tc>
          <w:tcPr>
            <w:tcW w:w="626" w:type="dxa"/>
            <w:vMerge w:val="restart"/>
            <w:textDirection w:val="btLr"/>
          </w:tcPr>
          <w:p w14:paraId="65C80097" w14:textId="77777777" w:rsidR="00DB6E1F" w:rsidRDefault="00F666A6">
            <w:pPr>
              <w:pStyle w:val="TableParagraph"/>
              <w:spacing w:before="109"/>
              <w:ind w:left="-1"/>
              <w:rPr>
                <w:sz w:val="20"/>
              </w:rPr>
            </w:pPr>
            <w:r>
              <w:rPr>
                <w:spacing w:val="-2"/>
                <w:sz w:val="20"/>
              </w:rPr>
              <w:t>Behavioral</w:t>
            </w:r>
          </w:p>
        </w:tc>
        <w:tc>
          <w:tcPr>
            <w:tcW w:w="6480" w:type="dxa"/>
          </w:tcPr>
          <w:p w14:paraId="44CB8D6D" w14:textId="77777777" w:rsidR="00DB6E1F" w:rsidRDefault="00F666A6">
            <w:pPr>
              <w:pStyle w:val="TableParagraph"/>
              <w:ind w:left="105" w:right="451"/>
              <w:jc w:val="both"/>
              <w:rPr>
                <w:sz w:val="20"/>
              </w:rPr>
            </w:pPr>
            <w:r>
              <w:rPr>
                <w:b/>
                <w:sz w:val="20"/>
              </w:rPr>
              <w:t>Counterconditioning:</w:t>
            </w:r>
            <w:r>
              <w:rPr>
                <w:b/>
                <w:spacing w:val="-5"/>
                <w:sz w:val="20"/>
              </w:rPr>
              <w:t xml:space="preserve"> </w:t>
            </w:r>
            <w:r>
              <w:rPr>
                <w:sz w:val="20"/>
              </w:rPr>
              <w:t>Begins</w:t>
            </w:r>
            <w:r>
              <w:rPr>
                <w:spacing w:val="-6"/>
                <w:sz w:val="20"/>
              </w:rPr>
              <w:t xml:space="preserve"> </w:t>
            </w:r>
            <w:r>
              <w:rPr>
                <w:sz w:val="20"/>
              </w:rPr>
              <w:t>to</w:t>
            </w:r>
            <w:r>
              <w:rPr>
                <w:spacing w:val="-5"/>
                <w:sz w:val="20"/>
              </w:rPr>
              <w:t xml:space="preserve"> </w:t>
            </w:r>
            <w:r>
              <w:rPr>
                <w:sz w:val="20"/>
              </w:rPr>
              <w:t>recognize</w:t>
            </w:r>
            <w:r>
              <w:rPr>
                <w:spacing w:val="-6"/>
                <w:sz w:val="20"/>
              </w:rPr>
              <w:t xml:space="preserve"> </w:t>
            </w:r>
            <w:r>
              <w:rPr>
                <w:sz w:val="20"/>
              </w:rPr>
              <w:t>the</w:t>
            </w:r>
            <w:r>
              <w:rPr>
                <w:spacing w:val="-6"/>
                <w:sz w:val="20"/>
              </w:rPr>
              <w:t xml:space="preserve"> </w:t>
            </w:r>
            <w:r>
              <w:rPr>
                <w:sz w:val="20"/>
              </w:rPr>
              <w:t>links</w:t>
            </w:r>
            <w:r>
              <w:rPr>
                <w:spacing w:val="-6"/>
                <w:sz w:val="20"/>
              </w:rPr>
              <w:t xml:space="preserve"> </w:t>
            </w:r>
            <w:r>
              <w:rPr>
                <w:sz w:val="20"/>
              </w:rPr>
              <w:t>between</w:t>
            </w:r>
            <w:r>
              <w:rPr>
                <w:spacing w:val="-2"/>
                <w:sz w:val="20"/>
              </w:rPr>
              <w:t xml:space="preserve"> </w:t>
            </w:r>
            <w:r>
              <w:rPr>
                <w:sz w:val="20"/>
              </w:rPr>
              <w:t>internal</w:t>
            </w:r>
            <w:r>
              <w:rPr>
                <w:spacing w:val="-5"/>
                <w:sz w:val="20"/>
              </w:rPr>
              <w:t xml:space="preserve"> </w:t>
            </w:r>
            <w:r>
              <w:rPr>
                <w:sz w:val="20"/>
              </w:rPr>
              <w:t>and external</w:t>
            </w:r>
            <w:r>
              <w:rPr>
                <w:spacing w:val="-1"/>
                <w:sz w:val="20"/>
              </w:rPr>
              <w:t xml:space="preserve"> </w:t>
            </w:r>
            <w:r>
              <w:rPr>
                <w:sz w:val="20"/>
              </w:rPr>
              <w:t>cues</w:t>
            </w:r>
            <w:r>
              <w:rPr>
                <w:spacing w:val="-2"/>
                <w:sz w:val="20"/>
              </w:rPr>
              <w:t xml:space="preserve"> </w:t>
            </w:r>
            <w:r>
              <w:rPr>
                <w:sz w:val="20"/>
              </w:rPr>
              <w:t>to</w:t>
            </w:r>
            <w:r>
              <w:rPr>
                <w:spacing w:val="-1"/>
                <w:sz w:val="20"/>
              </w:rPr>
              <w:t xml:space="preserve"> </w:t>
            </w:r>
            <w:r>
              <w:rPr>
                <w:sz w:val="20"/>
              </w:rPr>
              <w:t>use substances</w:t>
            </w:r>
            <w:r>
              <w:rPr>
                <w:spacing w:val="-2"/>
                <w:sz w:val="20"/>
              </w:rPr>
              <w:t xml:space="preserve"> </w:t>
            </w:r>
            <w:r>
              <w:rPr>
                <w:sz w:val="20"/>
              </w:rPr>
              <w:t>and experiments</w:t>
            </w:r>
            <w:r>
              <w:rPr>
                <w:spacing w:val="-2"/>
                <w:sz w:val="20"/>
              </w:rPr>
              <w:t xml:space="preserve"> </w:t>
            </w:r>
            <w:r>
              <w:rPr>
                <w:sz w:val="20"/>
              </w:rPr>
              <w:t>with substituting</w:t>
            </w:r>
            <w:r>
              <w:rPr>
                <w:spacing w:val="-1"/>
                <w:sz w:val="20"/>
              </w:rPr>
              <w:t xml:space="preserve"> </w:t>
            </w:r>
            <w:r>
              <w:rPr>
                <w:sz w:val="20"/>
              </w:rPr>
              <w:t>more healthful behaviors and activities in response to those cues.</w:t>
            </w:r>
          </w:p>
        </w:tc>
        <w:tc>
          <w:tcPr>
            <w:tcW w:w="2244" w:type="dxa"/>
          </w:tcPr>
          <w:p w14:paraId="4FFD7001" w14:textId="77777777" w:rsidR="00DB6E1F" w:rsidRDefault="00F666A6">
            <w:pPr>
              <w:pStyle w:val="TableParagraph"/>
              <w:ind w:left="105"/>
              <w:rPr>
                <w:sz w:val="20"/>
              </w:rPr>
            </w:pPr>
            <w:r>
              <w:rPr>
                <w:spacing w:val="-2"/>
                <w:sz w:val="20"/>
              </w:rPr>
              <w:t>Preparation/Action</w:t>
            </w:r>
          </w:p>
        </w:tc>
      </w:tr>
      <w:tr w:rsidR="00DB6E1F" w14:paraId="00204A3F" w14:textId="77777777">
        <w:trPr>
          <w:trHeight w:val="609"/>
        </w:trPr>
        <w:tc>
          <w:tcPr>
            <w:tcW w:w="626" w:type="dxa"/>
            <w:vMerge/>
            <w:tcBorders>
              <w:top w:val="nil"/>
            </w:tcBorders>
            <w:textDirection w:val="btLr"/>
          </w:tcPr>
          <w:p w14:paraId="573E03C4" w14:textId="77777777" w:rsidR="00DB6E1F" w:rsidRDefault="00DB6E1F">
            <w:pPr>
              <w:rPr>
                <w:sz w:val="2"/>
                <w:szCs w:val="2"/>
              </w:rPr>
            </w:pPr>
          </w:p>
        </w:tc>
        <w:tc>
          <w:tcPr>
            <w:tcW w:w="6480" w:type="dxa"/>
          </w:tcPr>
          <w:p w14:paraId="01236A45" w14:textId="77777777" w:rsidR="00DB6E1F" w:rsidRDefault="00F666A6">
            <w:pPr>
              <w:pStyle w:val="TableParagraph"/>
              <w:ind w:left="105"/>
              <w:rPr>
                <w:sz w:val="20"/>
              </w:rPr>
            </w:pPr>
            <w:r>
              <w:rPr>
                <w:b/>
                <w:sz w:val="20"/>
              </w:rPr>
              <w:t>Helping</w:t>
            </w:r>
            <w:r>
              <w:rPr>
                <w:b/>
                <w:spacing w:val="-6"/>
                <w:sz w:val="20"/>
              </w:rPr>
              <w:t xml:space="preserve"> </w:t>
            </w:r>
            <w:r>
              <w:rPr>
                <w:b/>
                <w:sz w:val="20"/>
              </w:rPr>
              <w:t>relationships:</w:t>
            </w:r>
            <w:r>
              <w:rPr>
                <w:b/>
                <w:spacing w:val="-5"/>
                <w:sz w:val="20"/>
              </w:rPr>
              <w:t xml:space="preserve"> </w:t>
            </w:r>
            <w:r>
              <w:rPr>
                <w:sz w:val="20"/>
              </w:rPr>
              <w:t>Seeks</w:t>
            </w:r>
            <w:r>
              <w:rPr>
                <w:spacing w:val="-4"/>
                <w:sz w:val="20"/>
              </w:rPr>
              <w:t xml:space="preserve"> </w:t>
            </w:r>
            <w:r>
              <w:rPr>
                <w:sz w:val="20"/>
              </w:rPr>
              <w:t>and</w:t>
            </w:r>
            <w:r>
              <w:rPr>
                <w:spacing w:val="-4"/>
                <w:sz w:val="20"/>
              </w:rPr>
              <w:t xml:space="preserve"> </w:t>
            </w:r>
            <w:r>
              <w:rPr>
                <w:sz w:val="20"/>
              </w:rPr>
              <w:t>cultivates</w:t>
            </w:r>
            <w:r>
              <w:rPr>
                <w:spacing w:val="-6"/>
                <w:sz w:val="20"/>
              </w:rPr>
              <w:t xml:space="preserve"> </w:t>
            </w:r>
            <w:r>
              <w:rPr>
                <w:sz w:val="20"/>
              </w:rPr>
              <w:t>relationships</w:t>
            </w:r>
            <w:r>
              <w:rPr>
                <w:spacing w:val="-6"/>
                <w:sz w:val="20"/>
              </w:rPr>
              <w:t xml:space="preserve"> </w:t>
            </w:r>
            <w:r>
              <w:rPr>
                <w:sz w:val="20"/>
              </w:rPr>
              <w:t>that</w:t>
            </w:r>
            <w:r>
              <w:rPr>
                <w:spacing w:val="-5"/>
                <w:sz w:val="20"/>
              </w:rPr>
              <w:t xml:space="preserve"> </w:t>
            </w:r>
            <w:r>
              <w:rPr>
                <w:sz w:val="20"/>
              </w:rPr>
              <w:t>offer</w:t>
            </w:r>
            <w:r>
              <w:rPr>
                <w:spacing w:val="-5"/>
                <w:sz w:val="20"/>
              </w:rPr>
              <w:t xml:space="preserve"> </w:t>
            </w:r>
            <w:r>
              <w:rPr>
                <w:sz w:val="20"/>
              </w:rPr>
              <w:t>support, acceptance, and reinforcement for positive behavioral change.</w:t>
            </w:r>
          </w:p>
        </w:tc>
        <w:tc>
          <w:tcPr>
            <w:tcW w:w="2244" w:type="dxa"/>
          </w:tcPr>
          <w:p w14:paraId="46B09A67" w14:textId="77777777" w:rsidR="00DB6E1F" w:rsidRDefault="00F666A6">
            <w:pPr>
              <w:pStyle w:val="TableParagraph"/>
              <w:ind w:left="105"/>
              <w:rPr>
                <w:sz w:val="20"/>
              </w:rPr>
            </w:pPr>
            <w:r>
              <w:rPr>
                <w:spacing w:val="-2"/>
                <w:sz w:val="20"/>
              </w:rPr>
              <w:t>Preparation/Action/ Maintenance</w:t>
            </w:r>
          </w:p>
        </w:tc>
      </w:tr>
      <w:tr w:rsidR="00DB6E1F" w14:paraId="14285593" w14:textId="77777777">
        <w:trPr>
          <w:trHeight w:val="851"/>
        </w:trPr>
        <w:tc>
          <w:tcPr>
            <w:tcW w:w="626" w:type="dxa"/>
            <w:vMerge/>
            <w:tcBorders>
              <w:top w:val="nil"/>
            </w:tcBorders>
            <w:textDirection w:val="btLr"/>
          </w:tcPr>
          <w:p w14:paraId="71CD163F" w14:textId="77777777" w:rsidR="00DB6E1F" w:rsidRDefault="00DB6E1F">
            <w:pPr>
              <w:rPr>
                <w:sz w:val="2"/>
                <w:szCs w:val="2"/>
              </w:rPr>
            </w:pPr>
          </w:p>
        </w:tc>
        <w:tc>
          <w:tcPr>
            <w:tcW w:w="6480" w:type="dxa"/>
          </w:tcPr>
          <w:p w14:paraId="63DB540A" w14:textId="77777777" w:rsidR="00DB6E1F" w:rsidRDefault="00F666A6">
            <w:pPr>
              <w:pStyle w:val="TableParagraph"/>
              <w:ind w:left="105" w:right="654"/>
              <w:jc w:val="both"/>
              <w:rPr>
                <w:sz w:val="20"/>
              </w:rPr>
            </w:pPr>
            <w:r>
              <w:rPr>
                <w:b/>
                <w:sz w:val="20"/>
              </w:rPr>
              <w:t>Self-liberation:</w:t>
            </w:r>
            <w:r>
              <w:rPr>
                <w:b/>
                <w:spacing w:val="-2"/>
                <w:sz w:val="20"/>
              </w:rPr>
              <w:t xml:space="preserve"> </w:t>
            </w:r>
            <w:r>
              <w:rPr>
                <w:sz w:val="20"/>
              </w:rPr>
              <w:t>Begins</w:t>
            </w:r>
            <w:r>
              <w:rPr>
                <w:spacing w:val="-3"/>
                <w:sz w:val="20"/>
              </w:rPr>
              <w:t xml:space="preserve"> </w:t>
            </w:r>
            <w:r>
              <w:rPr>
                <w:sz w:val="20"/>
              </w:rPr>
              <w:t>to</w:t>
            </w:r>
            <w:r>
              <w:rPr>
                <w:spacing w:val="-1"/>
                <w:sz w:val="20"/>
              </w:rPr>
              <w:t xml:space="preserve"> </w:t>
            </w:r>
            <w:r>
              <w:rPr>
                <w:sz w:val="20"/>
              </w:rPr>
              <w:t>believe</w:t>
            </w:r>
            <w:r>
              <w:rPr>
                <w:spacing w:val="-3"/>
                <w:sz w:val="20"/>
              </w:rPr>
              <w:t xml:space="preserve"> </w:t>
            </w:r>
            <w:r>
              <w:rPr>
                <w:sz w:val="20"/>
              </w:rPr>
              <w:t>in</w:t>
            </w:r>
            <w:r>
              <w:rPr>
                <w:spacing w:val="-1"/>
                <w:sz w:val="20"/>
              </w:rPr>
              <w:t xml:space="preserve"> </w:t>
            </w:r>
            <w:r>
              <w:rPr>
                <w:sz w:val="20"/>
              </w:rPr>
              <w:t>ability</w:t>
            </w:r>
            <w:r>
              <w:rPr>
                <w:spacing w:val="-1"/>
                <w:sz w:val="20"/>
              </w:rPr>
              <w:t xml:space="preserve"> </w:t>
            </w:r>
            <w:r>
              <w:rPr>
                <w:sz w:val="20"/>
              </w:rPr>
              <w:t>to</w:t>
            </w:r>
            <w:r>
              <w:rPr>
                <w:spacing w:val="-2"/>
                <w:sz w:val="20"/>
              </w:rPr>
              <w:t xml:space="preserve"> </w:t>
            </w:r>
            <w:r>
              <w:rPr>
                <w:sz w:val="20"/>
              </w:rPr>
              <w:t>make</w:t>
            </w:r>
            <w:r>
              <w:rPr>
                <w:spacing w:val="-3"/>
                <w:sz w:val="20"/>
              </w:rPr>
              <w:t xml:space="preserve"> </w:t>
            </w:r>
            <w:r>
              <w:rPr>
                <w:sz w:val="20"/>
              </w:rPr>
              <w:t>choices/to</w:t>
            </w:r>
            <w:r>
              <w:rPr>
                <w:spacing w:val="-1"/>
                <w:sz w:val="20"/>
              </w:rPr>
              <w:t xml:space="preserve"> </w:t>
            </w:r>
            <w:r>
              <w:rPr>
                <w:sz w:val="20"/>
              </w:rPr>
              <w:t xml:space="preserve">change. </w:t>
            </w:r>
            <w:r>
              <w:rPr>
                <w:spacing w:val="-2"/>
                <w:sz w:val="20"/>
              </w:rPr>
              <w:t>Develops</w:t>
            </w:r>
            <w:r>
              <w:rPr>
                <w:spacing w:val="-10"/>
                <w:sz w:val="20"/>
              </w:rPr>
              <w:t xml:space="preserve"> </w:t>
            </w:r>
            <w:r>
              <w:rPr>
                <w:spacing w:val="-2"/>
                <w:sz w:val="20"/>
              </w:rPr>
              <w:t>enhanced</w:t>
            </w:r>
            <w:r>
              <w:rPr>
                <w:spacing w:val="-9"/>
                <w:sz w:val="20"/>
              </w:rPr>
              <w:t xml:space="preserve"> </w:t>
            </w:r>
            <w:r>
              <w:rPr>
                <w:spacing w:val="-2"/>
                <w:sz w:val="20"/>
              </w:rPr>
              <w:t>self-efficacy</w:t>
            </w:r>
            <w:r>
              <w:rPr>
                <w:spacing w:val="-9"/>
                <w:sz w:val="20"/>
              </w:rPr>
              <w:t xml:space="preserve"> </w:t>
            </w:r>
            <w:r>
              <w:rPr>
                <w:spacing w:val="-2"/>
                <w:sz w:val="20"/>
              </w:rPr>
              <w:t>and</w:t>
            </w:r>
            <w:r>
              <w:rPr>
                <w:spacing w:val="-10"/>
                <w:sz w:val="20"/>
              </w:rPr>
              <w:t xml:space="preserve"> </w:t>
            </w:r>
            <w:r>
              <w:rPr>
                <w:spacing w:val="-2"/>
                <w:sz w:val="20"/>
              </w:rPr>
              <w:t>commits</w:t>
            </w:r>
            <w:r>
              <w:rPr>
                <w:spacing w:val="-9"/>
                <w:sz w:val="20"/>
              </w:rPr>
              <w:t xml:space="preserve"> </w:t>
            </w:r>
            <w:r>
              <w:rPr>
                <w:spacing w:val="-2"/>
                <w:sz w:val="20"/>
              </w:rPr>
              <w:t>to</w:t>
            </w:r>
            <w:r>
              <w:rPr>
                <w:spacing w:val="-9"/>
                <w:sz w:val="20"/>
              </w:rPr>
              <w:t xml:space="preserve"> </w:t>
            </w:r>
            <w:r>
              <w:rPr>
                <w:spacing w:val="-2"/>
                <w:sz w:val="20"/>
              </w:rPr>
              <w:t>changing</w:t>
            </w:r>
            <w:r>
              <w:rPr>
                <w:spacing w:val="-10"/>
                <w:sz w:val="20"/>
              </w:rPr>
              <w:t xml:space="preserve"> </w:t>
            </w:r>
            <w:r>
              <w:rPr>
                <w:spacing w:val="-2"/>
                <w:sz w:val="20"/>
              </w:rPr>
              <w:t>substance</w:t>
            </w:r>
            <w:r>
              <w:rPr>
                <w:spacing w:val="-9"/>
                <w:sz w:val="20"/>
              </w:rPr>
              <w:t xml:space="preserve"> </w:t>
            </w:r>
            <w:r>
              <w:rPr>
                <w:spacing w:val="-2"/>
                <w:sz w:val="20"/>
              </w:rPr>
              <w:t>use behaviors.</w:t>
            </w:r>
          </w:p>
        </w:tc>
        <w:tc>
          <w:tcPr>
            <w:tcW w:w="2244" w:type="dxa"/>
          </w:tcPr>
          <w:p w14:paraId="7033F419" w14:textId="77777777" w:rsidR="00DB6E1F" w:rsidRDefault="00F666A6">
            <w:pPr>
              <w:pStyle w:val="TableParagraph"/>
              <w:ind w:left="105"/>
              <w:rPr>
                <w:sz w:val="20"/>
              </w:rPr>
            </w:pPr>
            <w:r>
              <w:rPr>
                <w:spacing w:val="-2"/>
                <w:sz w:val="20"/>
              </w:rPr>
              <w:t>Preparation/Action/ Maintenance</w:t>
            </w:r>
          </w:p>
        </w:tc>
      </w:tr>
      <w:tr w:rsidR="00DB6E1F" w14:paraId="7DE5C7C4" w14:textId="77777777">
        <w:trPr>
          <w:trHeight w:val="364"/>
        </w:trPr>
        <w:tc>
          <w:tcPr>
            <w:tcW w:w="626" w:type="dxa"/>
            <w:vMerge/>
            <w:tcBorders>
              <w:top w:val="nil"/>
            </w:tcBorders>
            <w:textDirection w:val="btLr"/>
          </w:tcPr>
          <w:p w14:paraId="6A67B0DB" w14:textId="77777777" w:rsidR="00DB6E1F" w:rsidRDefault="00DB6E1F">
            <w:pPr>
              <w:rPr>
                <w:sz w:val="2"/>
                <w:szCs w:val="2"/>
              </w:rPr>
            </w:pPr>
          </w:p>
        </w:tc>
        <w:tc>
          <w:tcPr>
            <w:tcW w:w="6480" w:type="dxa"/>
          </w:tcPr>
          <w:p w14:paraId="26F8B433" w14:textId="77777777" w:rsidR="00DB6E1F" w:rsidRDefault="00F666A6">
            <w:pPr>
              <w:pStyle w:val="TableParagraph"/>
              <w:spacing w:before="3"/>
              <w:ind w:left="105"/>
              <w:rPr>
                <w:sz w:val="20"/>
              </w:rPr>
            </w:pPr>
            <w:r>
              <w:rPr>
                <w:b/>
                <w:sz w:val="20"/>
              </w:rPr>
              <w:t>Stimulus</w:t>
            </w:r>
            <w:r>
              <w:rPr>
                <w:b/>
                <w:spacing w:val="-7"/>
                <w:sz w:val="20"/>
              </w:rPr>
              <w:t xml:space="preserve"> </w:t>
            </w:r>
            <w:r>
              <w:rPr>
                <w:b/>
                <w:sz w:val="20"/>
              </w:rPr>
              <w:t>control:</w:t>
            </w:r>
            <w:r>
              <w:rPr>
                <w:b/>
                <w:spacing w:val="-7"/>
                <w:sz w:val="20"/>
              </w:rPr>
              <w:t xml:space="preserve"> </w:t>
            </w:r>
            <w:r>
              <w:rPr>
                <w:sz w:val="20"/>
              </w:rPr>
              <w:t>Avoids</w:t>
            </w:r>
            <w:r>
              <w:rPr>
                <w:spacing w:val="-8"/>
                <w:sz w:val="20"/>
              </w:rPr>
              <w:t xml:space="preserve"> </w:t>
            </w:r>
            <w:r>
              <w:rPr>
                <w:sz w:val="20"/>
              </w:rPr>
              <w:t>stimuli</w:t>
            </w:r>
            <w:r>
              <w:rPr>
                <w:spacing w:val="-7"/>
                <w:sz w:val="20"/>
              </w:rPr>
              <w:t xml:space="preserve"> </w:t>
            </w:r>
            <w:r>
              <w:rPr>
                <w:sz w:val="20"/>
              </w:rPr>
              <w:t>and</w:t>
            </w:r>
            <w:r>
              <w:rPr>
                <w:spacing w:val="-6"/>
                <w:sz w:val="20"/>
              </w:rPr>
              <w:t xml:space="preserve"> </w:t>
            </w:r>
            <w:r>
              <w:rPr>
                <w:sz w:val="20"/>
              </w:rPr>
              <w:t>cues</w:t>
            </w:r>
            <w:r>
              <w:rPr>
                <w:spacing w:val="-8"/>
                <w:sz w:val="20"/>
              </w:rPr>
              <w:t xml:space="preserve"> </w:t>
            </w:r>
            <w:r>
              <w:rPr>
                <w:sz w:val="20"/>
              </w:rPr>
              <w:t>that</w:t>
            </w:r>
            <w:r>
              <w:rPr>
                <w:spacing w:val="-7"/>
                <w:sz w:val="20"/>
              </w:rPr>
              <w:t xml:space="preserve"> </w:t>
            </w:r>
            <w:r>
              <w:rPr>
                <w:sz w:val="20"/>
              </w:rPr>
              <w:t>could</w:t>
            </w:r>
            <w:r>
              <w:rPr>
                <w:spacing w:val="-6"/>
                <w:sz w:val="20"/>
              </w:rPr>
              <w:t xml:space="preserve"> </w:t>
            </w:r>
            <w:r>
              <w:rPr>
                <w:sz w:val="20"/>
              </w:rPr>
              <w:t>trigger</w:t>
            </w:r>
            <w:r>
              <w:rPr>
                <w:spacing w:val="-6"/>
                <w:sz w:val="20"/>
              </w:rPr>
              <w:t xml:space="preserve"> </w:t>
            </w:r>
            <w:r>
              <w:rPr>
                <w:sz w:val="20"/>
              </w:rPr>
              <w:t>substance</w:t>
            </w:r>
            <w:r>
              <w:rPr>
                <w:spacing w:val="-8"/>
                <w:sz w:val="20"/>
              </w:rPr>
              <w:t xml:space="preserve"> </w:t>
            </w:r>
            <w:r>
              <w:rPr>
                <w:spacing w:val="-4"/>
                <w:sz w:val="20"/>
              </w:rPr>
              <w:t>use.</w:t>
            </w:r>
          </w:p>
        </w:tc>
        <w:tc>
          <w:tcPr>
            <w:tcW w:w="2244" w:type="dxa"/>
          </w:tcPr>
          <w:p w14:paraId="2E25DEEC" w14:textId="77777777" w:rsidR="00DB6E1F" w:rsidRDefault="00F666A6">
            <w:pPr>
              <w:pStyle w:val="TableParagraph"/>
              <w:spacing w:before="3"/>
              <w:ind w:left="105"/>
              <w:rPr>
                <w:sz w:val="20"/>
              </w:rPr>
            </w:pPr>
            <w:r>
              <w:rPr>
                <w:spacing w:val="-2"/>
                <w:sz w:val="20"/>
              </w:rPr>
              <w:t>Action</w:t>
            </w:r>
          </w:p>
        </w:tc>
      </w:tr>
      <w:tr w:rsidR="00DB6E1F" w14:paraId="0E78D219" w14:textId="77777777">
        <w:trPr>
          <w:trHeight w:val="609"/>
        </w:trPr>
        <w:tc>
          <w:tcPr>
            <w:tcW w:w="626" w:type="dxa"/>
            <w:vMerge/>
            <w:tcBorders>
              <w:top w:val="nil"/>
            </w:tcBorders>
            <w:textDirection w:val="btLr"/>
          </w:tcPr>
          <w:p w14:paraId="732DA7B5" w14:textId="77777777" w:rsidR="00DB6E1F" w:rsidRDefault="00DB6E1F">
            <w:pPr>
              <w:rPr>
                <w:sz w:val="2"/>
                <w:szCs w:val="2"/>
              </w:rPr>
            </w:pPr>
          </w:p>
        </w:tc>
        <w:tc>
          <w:tcPr>
            <w:tcW w:w="6480" w:type="dxa"/>
          </w:tcPr>
          <w:p w14:paraId="3987AE2F" w14:textId="77777777" w:rsidR="00DB6E1F" w:rsidRDefault="00F666A6">
            <w:pPr>
              <w:pStyle w:val="TableParagraph"/>
              <w:ind w:left="105"/>
              <w:rPr>
                <w:sz w:val="20"/>
              </w:rPr>
            </w:pPr>
            <w:r>
              <w:rPr>
                <w:b/>
                <w:sz w:val="20"/>
              </w:rPr>
              <w:t>Reinforcement</w:t>
            </w:r>
            <w:r>
              <w:rPr>
                <w:b/>
                <w:spacing w:val="-7"/>
                <w:sz w:val="20"/>
              </w:rPr>
              <w:t xml:space="preserve"> </w:t>
            </w:r>
            <w:r>
              <w:rPr>
                <w:b/>
                <w:sz w:val="20"/>
              </w:rPr>
              <w:t>management:</w:t>
            </w:r>
            <w:r>
              <w:rPr>
                <w:b/>
                <w:spacing w:val="-9"/>
                <w:sz w:val="20"/>
              </w:rPr>
              <w:t xml:space="preserve"> </w:t>
            </w:r>
            <w:r>
              <w:rPr>
                <w:sz w:val="20"/>
              </w:rPr>
              <w:t>Begins</w:t>
            </w:r>
            <w:r>
              <w:rPr>
                <w:spacing w:val="-8"/>
                <w:sz w:val="20"/>
              </w:rPr>
              <w:t xml:space="preserve"> </w:t>
            </w:r>
            <w:r>
              <w:rPr>
                <w:sz w:val="20"/>
              </w:rPr>
              <w:t>to</w:t>
            </w:r>
            <w:r>
              <w:rPr>
                <w:spacing w:val="-5"/>
                <w:sz w:val="20"/>
              </w:rPr>
              <w:t xml:space="preserve"> </w:t>
            </w:r>
            <w:r>
              <w:rPr>
                <w:sz w:val="20"/>
              </w:rPr>
              <w:t>self-reward</w:t>
            </w:r>
            <w:r>
              <w:rPr>
                <w:spacing w:val="-6"/>
                <w:sz w:val="20"/>
              </w:rPr>
              <w:t xml:space="preserve"> </w:t>
            </w:r>
            <w:r>
              <w:rPr>
                <w:sz w:val="20"/>
              </w:rPr>
              <w:t>positive</w:t>
            </w:r>
            <w:r>
              <w:rPr>
                <w:spacing w:val="-6"/>
                <w:sz w:val="20"/>
              </w:rPr>
              <w:t xml:space="preserve"> </w:t>
            </w:r>
            <w:r>
              <w:rPr>
                <w:sz w:val="20"/>
              </w:rPr>
              <w:t>behavioral changes and eliminates reinforcements for substance use.</w:t>
            </w:r>
          </w:p>
        </w:tc>
        <w:tc>
          <w:tcPr>
            <w:tcW w:w="2244" w:type="dxa"/>
          </w:tcPr>
          <w:p w14:paraId="25321C6A" w14:textId="77777777" w:rsidR="00DB6E1F" w:rsidRDefault="00F666A6">
            <w:pPr>
              <w:pStyle w:val="TableParagraph"/>
              <w:ind w:left="105"/>
              <w:rPr>
                <w:sz w:val="20"/>
              </w:rPr>
            </w:pPr>
            <w:r>
              <w:rPr>
                <w:spacing w:val="-2"/>
                <w:sz w:val="20"/>
              </w:rPr>
              <w:t>Action/Maintenance</w:t>
            </w:r>
          </w:p>
        </w:tc>
      </w:tr>
    </w:tbl>
    <w:p w14:paraId="4C20B66A" w14:textId="77777777" w:rsidR="00DB6E1F" w:rsidRDefault="00DB6E1F">
      <w:pPr>
        <w:rPr>
          <w:sz w:val="20"/>
        </w:rPr>
        <w:sectPr w:rsidR="00DB6E1F">
          <w:pgSz w:w="12240" w:h="15840"/>
          <w:pgMar w:top="1200" w:right="0" w:bottom="780" w:left="0" w:header="763" w:footer="585" w:gutter="0"/>
          <w:cols w:space="720"/>
        </w:sectPr>
      </w:pPr>
    </w:p>
    <w:p w14:paraId="1E02D63A" w14:textId="77777777" w:rsidR="00DB6E1F" w:rsidRDefault="00DB6E1F">
      <w:pPr>
        <w:pStyle w:val="BodyText"/>
        <w:spacing w:before="7"/>
        <w:rPr>
          <w:sz w:val="15"/>
        </w:rPr>
      </w:pPr>
    </w:p>
    <w:p w14:paraId="6DE1411D" w14:textId="77777777" w:rsidR="00DB6E1F" w:rsidRDefault="00F666A6">
      <w:pPr>
        <w:pStyle w:val="Heading3"/>
        <w:spacing w:before="47"/>
      </w:pPr>
      <w:bookmarkStart w:id="71" w:name="Counselor_Focus_in_the_SOC"/>
      <w:bookmarkEnd w:id="71"/>
      <w:r>
        <w:t>Counselor</w:t>
      </w:r>
      <w:r>
        <w:rPr>
          <w:spacing w:val="-8"/>
        </w:rPr>
        <w:t xml:space="preserve"> </w:t>
      </w:r>
      <w:r>
        <w:t>Focus</w:t>
      </w:r>
      <w:r>
        <w:rPr>
          <w:spacing w:val="-5"/>
        </w:rPr>
        <w:t xml:space="preserve"> </w:t>
      </w:r>
      <w:r>
        <w:t>in</w:t>
      </w:r>
      <w:r>
        <w:rPr>
          <w:spacing w:val="-7"/>
        </w:rPr>
        <w:t xml:space="preserve"> </w:t>
      </w:r>
      <w:r>
        <w:t>the</w:t>
      </w:r>
      <w:r>
        <w:rPr>
          <w:spacing w:val="-5"/>
        </w:rPr>
        <w:t xml:space="preserve"> SOC</w:t>
      </w:r>
    </w:p>
    <w:p w14:paraId="758BF1C3" w14:textId="77777777" w:rsidR="00DB6E1F" w:rsidRDefault="00F666A6">
      <w:pPr>
        <w:pStyle w:val="BodyText"/>
        <w:spacing w:before="144"/>
        <w:ind w:left="1439" w:right="1491"/>
      </w:pPr>
      <w:r>
        <w:rPr>
          <w:b/>
        </w:rPr>
        <w:t>Use motivational supports that match the client’s SOC</w:t>
      </w:r>
      <w:r>
        <w:t>. If you try to use strategies appropriate to a stage</w:t>
      </w:r>
      <w:r>
        <w:rPr>
          <w:spacing w:val="-3"/>
        </w:rPr>
        <w:t xml:space="preserve"> </w:t>
      </w:r>
      <w:r>
        <w:t>other</w:t>
      </w:r>
      <w:r>
        <w:rPr>
          <w:spacing w:val="-3"/>
        </w:rPr>
        <w:t xml:space="preserve"> </w:t>
      </w:r>
      <w:r>
        <w:t>than</w:t>
      </w:r>
      <w:r>
        <w:rPr>
          <w:spacing w:val="-2"/>
        </w:rPr>
        <w:t xml:space="preserve"> </w:t>
      </w:r>
      <w:r>
        <w:t>the</w:t>
      </w:r>
      <w:r>
        <w:rPr>
          <w:spacing w:val="-3"/>
        </w:rPr>
        <w:t xml:space="preserve"> </w:t>
      </w:r>
      <w:r>
        <w:t>one the client is</w:t>
      </w:r>
      <w:r>
        <w:rPr>
          <w:spacing w:val="-1"/>
        </w:rPr>
        <w:t xml:space="preserve"> </w:t>
      </w:r>
      <w:r>
        <w:t>in,</w:t>
      </w:r>
      <w:r>
        <w:rPr>
          <w:spacing w:val="-1"/>
        </w:rPr>
        <w:t xml:space="preserve"> </w:t>
      </w:r>
      <w:r>
        <w:t>the client</w:t>
      </w:r>
      <w:r>
        <w:rPr>
          <w:spacing w:val="-5"/>
        </w:rPr>
        <w:t xml:space="preserve"> </w:t>
      </w:r>
      <w:r>
        <w:t>might drop</w:t>
      </w:r>
      <w:r>
        <w:rPr>
          <w:spacing w:val="-4"/>
        </w:rPr>
        <w:t xml:space="preserve"> </w:t>
      </w:r>
      <w:r>
        <w:t>out</w:t>
      </w:r>
      <w:r>
        <w:rPr>
          <w:spacing w:val="-3"/>
        </w:rPr>
        <w:t xml:space="preserve"> </w:t>
      </w:r>
      <w:r>
        <w:t>or</w:t>
      </w:r>
      <w:r>
        <w:rPr>
          <w:spacing w:val="-1"/>
        </w:rPr>
        <w:t xml:space="preserve"> </w:t>
      </w:r>
      <w:r>
        <w:t>not follow through</w:t>
      </w:r>
      <w:r>
        <w:rPr>
          <w:spacing w:val="-2"/>
        </w:rPr>
        <w:t xml:space="preserve"> </w:t>
      </w:r>
      <w:r>
        <w:t>on</w:t>
      </w:r>
      <w:r>
        <w:rPr>
          <w:spacing w:val="-2"/>
        </w:rPr>
        <w:t xml:space="preserve"> </w:t>
      </w:r>
      <w:r>
        <w:t>treatment goals.</w:t>
      </w:r>
      <w:r>
        <w:rPr>
          <w:spacing w:val="-3"/>
        </w:rPr>
        <w:t xml:space="preserve"> </w:t>
      </w:r>
      <w:r>
        <w:t>For</w:t>
      </w:r>
      <w:r>
        <w:rPr>
          <w:spacing w:val="-5"/>
        </w:rPr>
        <w:t xml:space="preserve"> </w:t>
      </w:r>
      <w:r>
        <w:t>example,</w:t>
      </w:r>
      <w:r>
        <w:rPr>
          <w:spacing w:val="-3"/>
        </w:rPr>
        <w:t xml:space="preserve"> </w:t>
      </w:r>
      <w:r>
        <w:t>if</w:t>
      </w:r>
      <w:r>
        <w:rPr>
          <w:spacing w:val="-3"/>
        </w:rPr>
        <w:t xml:space="preserve"> </w:t>
      </w:r>
      <w:r>
        <w:t>a</w:t>
      </w:r>
      <w:r>
        <w:rPr>
          <w:spacing w:val="-5"/>
        </w:rPr>
        <w:t xml:space="preserve"> </w:t>
      </w:r>
      <w:r>
        <w:t>client</w:t>
      </w:r>
      <w:r>
        <w:rPr>
          <w:spacing w:val="-2"/>
        </w:rPr>
        <w:t xml:space="preserve"> </w:t>
      </w:r>
      <w:r>
        <w:t>in</w:t>
      </w:r>
      <w:r>
        <w:rPr>
          <w:spacing w:val="-4"/>
        </w:rPr>
        <w:t xml:space="preserve"> </w:t>
      </w:r>
      <w:r>
        <w:t>Contemplation</w:t>
      </w:r>
      <w:r>
        <w:rPr>
          <w:spacing w:val="-4"/>
        </w:rPr>
        <w:t xml:space="preserve"> </w:t>
      </w:r>
      <w:r>
        <w:t>is</w:t>
      </w:r>
      <w:r>
        <w:rPr>
          <w:spacing w:val="-3"/>
        </w:rPr>
        <w:t xml:space="preserve"> </w:t>
      </w:r>
      <w:r>
        <w:t>ambivalent</w:t>
      </w:r>
      <w:r>
        <w:rPr>
          <w:spacing w:val="-2"/>
        </w:rPr>
        <w:t xml:space="preserve"> </w:t>
      </w:r>
      <w:r>
        <w:t>about</w:t>
      </w:r>
      <w:r>
        <w:rPr>
          <w:spacing w:val="-5"/>
        </w:rPr>
        <w:t xml:space="preserve"> </w:t>
      </w:r>
      <w:r>
        <w:t>changing</w:t>
      </w:r>
      <w:r>
        <w:rPr>
          <w:spacing w:val="-4"/>
        </w:rPr>
        <w:t xml:space="preserve"> </w:t>
      </w:r>
      <w:r>
        <w:t>substance</w:t>
      </w:r>
      <w:r>
        <w:rPr>
          <w:spacing w:val="-2"/>
        </w:rPr>
        <w:t xml:space="preserve"> </w:t>
      </w:r>
      <w:r>
        <w:t>use</w:t>
      </w:r>
      <w:r>
        <w:rPr>
          <w:spacing w:val="-2"/>
        </w:rPr>
        <w:t xml:space="preserve"> </w:t>
      </w:r>
      <w:r>
        <w:t>behaviors and you argue for change or jump into the Preparation stage, the client is likely to become reactive.</w:t>
      </w:r>
    </w:p>
    <w:p w14:paraId="14C6CC57" w14:textId="77777777" w:rsidR="00DB6E1F" w:rsidRDefault="00F666A6">
      <w:pPr>
        <w:pStyle w:val="BodyText"/>
        <w:spacing w:before="159"/>
        <w:ind w:left="1439"/>
      </w:pPr>
      <w:r>
        <w:t>Examples</w:t>
      </w:r>
      <w:r>
        <w:rPr>
          <w:spacing w:val="-7"/>
        </w:rPr>
        <w:t xml:space="preserve"> </w:t>
      </w:r>
      <w:r>
        <w:t>of</w:t>
      </w:r>
      <w:r>
        <w:rPr>
          <w:spacing w:val="-3"/>
        </w:rPr>
        <w:t xml:space="preserve"> </w:t>
      </w:r>
      <w:r>
        <w:t>how</w:t>
      </w:r>
      <w:r>
        <w:rPr>
          <w:spacing w:val="-2"/>
        </w:rPr>
        <w:t xml:space="preserve"> </w:t>
      </w:r>
      <w:r>
        <w:t>to</w:t>
      </w:r>
      <w:r>
        <w:rPr>
          <w:spacing w:val="-4"/>
        </w:rPr>
        <w:t xml:space="preserve"> </w:t>
      </w:r>
      <w:r>
        <w:t>tailor</w:t>
      </w:r>
      <w:r>
        <w:rPr>
          <w:spacing w:val="-7"/>
        </w:rPr>
        <w:t xml:space="preserve"> </w:t>
      </w:r>
      <w:r>
        <w:t>motivation</w:t>
      </w:r>
      <w:r>
        <w:rPr>
          <w:spacing w:val="-6"/>
        </w:rPr>
        <w:t xml:space="preserve"> </w:t>
      </w:r>
      <w:r>
        <w:t>support</w:t>
      </w:r>
      <w:r>
        <w:rPr>
          <w:spacing w:val="-4"/>
        </w:rPr>
        <w:t xml:space="preserve"> </w:t>
      </w:r>
      <w:r>
        <w:t>to</w:t>
      </w:r>
      <w:r>
        <w:rPr>
          <w:spacing w:val="-4"/>
        </w:rPr>
        <w:t xml:space="preserve"> </w:t>
      </w:r>
      <w:r>
        <w:t>the</w:t>
      </w:r>
      <w:r>
        <w:rPr>
          <w:spacing w:val="-5"/>
        </w:rPr>
        <w:t xml:space="preserve"> </w:t>
      </w:r>
      <w:r>
        <w:t>client’s</w:t>
      </w:r>
      <w:r>
        <w:rPr>
          <w:spacing w:val="-2"/>
        </w:rPr>
        <w:t xml:space="preserve"> </w:t>
      </w:r>
      <w:r>
        <w:t>stage</w:t>
      </w:r>
      <w:r>
        <w:rPr>
          <w:spacing w:val="-2"/>
        </w:rPr>
        <w:t xml:space="preserve"> </w:t>
      </w:r>
      <w:r>
        <w:t>in</w:t>
      </w:r>
      <w:r>
        <w:rPr>
          <w:spacing w:val="-3"/>
        </w:rPr>
        <w:t xml:space="preserve"> </w:t>
      </w:r>
      <w:r>
        <w:t>the</w:t>
      </w:r>
      <w:r>
        <w:rPr>
          <w:spacing w:val="-3"/>
        </w:rPr>
        <w:t xml:space="preserve"> </w:t>
      </w:r>
      <w:r>
        <w:t>SOC</w:t>
      </w:r>
      <w:r>
        <w:rPr>
          <w:spacing w:val="-3"/>
        </w:rPr>
        <w:t xml:space="preserve"> </w:t>
      </w:r>
      <w:r>
        <w:t>include</w:t>
      </w:r>
      <w:r>
        <w:rPr>
          <w:spacing w:val="-2"/>
        </w:rPr>
        <w:t xml:space="preserve"> </w:t>
      </w:r>
      <w:r>
        <w:t>helping</w:t>
      </w:r>
      <w:r>
        <w:rPr>
          <w:spacing w:val="-4"/>
        </w:rPr>
        <w:t xml:space="preserve"> </w:t>
      </w:r>
      <w:r>
        <w:t>the</w:t>
      </w:r>
      <w:r>
        <w:rPr>
          <w:spacing w:val="-1"/>
        </w:rPr>
        <w:t xml:space="preserve"> </w:t>
      </w:r>
      <w:r>
        <w:rPr>
          <w:spacing w:val="-2"/>
        </w:rPr>
        <w:t>client:</w:t>
      </w:r>
    </w:p>
    <w:p w14:paraId="2999DAE2" w14:textId="77777777" w:rsidR="00DB6E1F" w:rsidRDefault="00F666A6">
      <w:pPr>
        <w:pStyle w:val="ListParagraph"/>
        <w:numPr>
          <w:ilvl w:val="0"/>
          <w:numId w:val="92"/>
        </w:numPr>
        <w:tabs>
          <w:tab w:val="left" w:pos="1799"/>
          <w:tab w:val="left" w:pos="1800"/>
        </w:tabs>
        <w:ind w:left="1799"/>
        <w:rPr>
          <w:rFonts w:ascii="Symbol" w:hAnsi="Symbol"/>
        </w:rPr>
      </w:pPr>
      <w:r>
        <w:t>In</w:t>
      </w:r>
      <w:r>
        <w:rPr>
          <w:spacing w:val="-8"/>
        </w:rPr>
        <w:t xml:space="preserve"> </w:t>
      </w:r>
      <w:r>
        <w:t>Precontemplation</w:t>
      </w:r>
      <w:r>
        <w:rPr>
          <w:spacing w:val="-5"/>
        </w:rPr>
        <w:t xml:space="preserve"> </w:t>
      </w:r>
      <w:r>
        <w:t>consider</w:t>
      </w:r>
      <w:r>
        <w:rPr>
          <w:spacing w:val="-5"/>
        </w:rPr>
        <w:t xml:space="preserve"> </w:t>
      </w:r>
      <w:r>
        <w:t>change</w:t>
      </w:r>
      <w:r>
        <w:rPr>
          <w:spacing w:val="-3"/>
        </w:rPr>
        <w:t xml:space="preserve"> </w:t>
      </w:r>
      <w:r>
        <w:t>by</w:t>
      </w:r>
      <w:r>
        <w:rPr>
          <w:spacing w:val="-6"/>
        </w:rPr>
        <w:t xml:space="preserve"> </w:t>
      </w:r>
      <w:r>
        <w:t>increasing</w:t>
      </w:r>
      <w:r>
        <w:rPr>
          <w:spacing w:val="-5"/>
        </w:rPr>
        <w:t xml:space="preserve"> </w:t>
      </w:r>
      <w:r>
        <w:t>awareness</w:t>
      </w:r>
      <w:r>
        <w:rPr>
          <w:spacing w:val="-6"/>
        </w:rPr>
        <w:t xml:space="preserve"> </w:t>
      </w:r>
      <w:r>
        <w:t>of</w:t>
      </w:r>
      <w:r>
        <w:rPr>
          <w:spacing w:val="-7"/>
        </w:rPr>
        <w:t xml:space="preserve"> </w:t>
      </w:r>
      <w:r>
        <w:t>behavior</w:t>
      </w:r>
      <w:r>
        <w:rPr>
          <w:spacing w:val="-7"/>
        </w:rPr>
        <w:t xml:space="preserve"> </w:t>
      </w:r>
      <w:r>
        <w:rPr>
          <w:spacing w:val="-2"/>
        </w:rPr>
        <w:t>change.</w:t>
      </w:r>
    </w:p>
    <w:p w14:paraId="0E6EC933" w14:textId="77777777" w:rsidR="00DB6E1F" w:rsidRDefault="00F666A6">
      <w:pPr>
        <w:pStyle w:val="ListParagraph"/>
        <w:numPr>
          <w:ilvl w:val="0"/>
          <w:numId w:val="92"/>
        </w:numPr>
        <w:tabs>
          <w:tab w:val="left" w:pos="1800"/>
          <w:tab w:val="left" w:pos="1801"/>
        </w:tabs>
        <w:spacing w:before="59"/>
        <w:ind w:left="1800" w:right="2116" w:hanging="360"/>
        <w:rPr>
          <w:rFonts w:ascii="Symbol" w:hAnsi="Symbol"/>
        </w:rPr>
      </w:pPr>
      <w:r>
        <w:t>In</w:t>
      </w:r>
      <w:r>
        <w:rPr>
          <w:spacing w:val="-4"/>
        </w:rPr>
        <w:t xml:space="preserve"> </w:t>
      </w:r>
      <w:r>
        <w:t>Contemplation</w:t>
      </w:r>
      <w:r>
        <w:rPr>
          <w:spacing w:val="-4"/>
        </w:rPr>
        <w:t xml:space="preserve"> </w:t>
      </w:r>
      <w:r>
        <w:t>resolve</w:t>
      </w:r>
      <w:r>
        <w:rPr>
          <w:spacing w:val="-5"/>
        </w:rPr>
        <w:t xml:space="preserve"> </w:t>
      </w:r>
      <w:r>
        <w:t>ambivalence</w:t>
      </w:r>
      <w:r>
        <w:rPr>
          <w:spacing w:val="-2"/>
        </w:rPr>
        <w:t xml:space="preserve"> </w:t>
      </w:r>
      <w:r>
        <w:t>by</w:t>
      </w:r>
      <w:r>
        <w:rPr>
          <w:spacing w:val="-2"/>
        </w:rPr>
        <w:t xml:space="preserve"> </w:t>
      </w:r>
      <w:r>
        <w:t>helping</w:t>
      </w:r>
      <w:r>
        <w:rPr>
          <w:spacing w:val="-3"/>
        </w:rPr>
        <w:t xml:space="preserve"> </w:t>
      </w:r>
      <w:r>
        <w:t>him</w:t>
      </w:r>
      <w:r>
        <w:rPr>
          <w:spacing w:val="-6"/>
        </w:rPr>
        <w:t xml:space="preserve"> </w:t>
      </w:r>
      <w:r>
        <w:t>or</w:t>
      </w:r>
      <w:r>
        <w:rPr>
          <w:spacing w:val="-3"/>
        </w:rPr>
        <w:t xml:space="preserve"> </w:t>
      </w:r>
      <w:r>
        <w:t>her</w:t>
      </w:r>
      <w:r>
        <w:rPr>
          <w:spacing w:val="-5"/>
        </w:rPr>
        <w:t xml:space="preserve"> </w:t>
      </w:r>
      <w:r>
        <w:t>choose</w:t>
      </w:r>
      <w:r>
        <w:rPr>
          <w:spacing w:val="-5"/>
        </w:rPr>
        <w:t xml:space="preserve"> </w:t>
      </w:r>
      <w:r>
        <w:t>positive</w:t>
      </w:r>
      <w:r>
        <w:rPr>
          <w:spacing w:val="-2"/>
        </w:rPr>
        <w:t xml:space="preserve"> </w:t>
      </w:r>
      <w:r>
        <w:t>change</w:t>
      </w:r>
      <w:r>
        <w:rPr>
          <w:spacing w:val="-3"/>
        </w:rPr>
        <w:t xml:space="preserve"> </w:t>
      </w:r>
      <w:r>
        <w:t>over</w:t>
      </w:r>
      <w:r>
        <w:rPr>
          <w:spacing w:val="-5"/>
        </w:rPr>
        <w:t xml:space="preserve"> </w:t>
      </w:r>
      <w:r>
        <w:t>the current situation.</w:t>
      </w:r>
    </w:p>
    <w:p w14:paraId="4B296CBD" w14:textId="77777777" w:rsidR="00DB6E1F" w:rsidRDefault="00F666A6">
      <w:pPr>
        <w:pStyle w:val="ListParagraph"/>
        <w:numPr>
          <w:ilvl w:val="0"/>
          <w:numId w:val="92"/>
        </w:numPr>
        <w:tabs>
          <w:tab w:val="left" w:pos="1800"/>
          <w:tab w:val="left" w:pos="1801"/>
        </w:tabs>
        <w:ind w:left="1800" w:right="1867"/>
        <w:rPr>
          <w:rFonts w:ascii="Symbol" w:hAnsi="Symbol"/>
        </w:rPr>
      </w:pPr>
      <w:r>
        <w:t>In</w:t>
      </w:r>
      <w:r>
        <w:rPr>
          <w:spacing w:val="-4"/>
        </w:rPr>
        <w:t xml:space="preserve"> </w:t>
      </w:r>
      <w:r>
        <w:t>Preparation</w:t>
      </w:r>
      <w:r>
        <w:rPr>
          <w:spacing w:val="-4"/>
        </w:rPr>
        <w:t xml:space="preserve"> </w:t>
      </w:r>
      <w:r>
        <w:t>identify</w:t>
      </w:r>
      <w:r>
        <w:rPr>
          <w:spacing w:val="-2"/>
        </w:rPr>
        <w:t xml:space="preserve"> </w:t>
      </w:r>
      <w:r>
        <w:t>potential</w:t>
      </w:r>
      <w:r>
        <w:rPr>
          <w:spacing w:val="-3"/>
        </w:rPr>
        <w:t xml:space="preserve"> </w:t>
      </w:r>
      <w:r>
        <w:t>change</w:t>
      </w:r>
      <w:r>
        <w:rPr>
          <w:spacing w:val="-2"/>
        </w:rPr>
        <w:t xml:space="preserve"> </w:t>
      </w:r>
      <w:r>
        <w:t>strategies</w:t>
      </w:r>
      <w:r>
        <w:rPr>
          <w:spacing w:val="-3"/>
        </w:rPr>
        <w:t xml:space="preserve"> </w:t>
      </w:r>
      <w:r>
        <w:t>and</w:t>
      </w:r>
      <w:r>
        <w:rPr>
          <w:spacing w:val="-4"/>
        </w:rPr>
        <w:t xml:space="preserve"> </w:t>
      </w:r>
      <w:r>
        <w:t>choose</w:t>
      </w:r>
      <w:r>
        <w:rPr>
          <w:spacing w:val="-5"/>
        </w:rPr>
        <w:t xml:space="preserve"> </w:t>
      </w:r>
      <w:r>
        <w:t>the</w:t>
      </w:r>
      <w:r>
        <w:rPr>
          <w:spacing w:val="-5"/>
        </w:rPr>
        <w:t xml:space="preserve"> </w:t>
      </w:r>
      <w:r>
        <w:t>most</w:t>
      </w:r>
      <w:r>
        <w:rPr>
          <w:spacing w:val="-2"/>
        </w:rPr>
        <w:t xml:space="preserve"> </w:t>
      </w:r>
      <w:r>
        <w:t>appropriate</w:t>
      </w:r>
      <w:r>
        <w:rPr>
          <w:spacing w:val="-5"/>
        </w:rPr>
        <w:t xml:space="preserve"> </w:t>
      </w:r>
      <w:r>
        <w:t>one</w:t>
      </w:r>
      <w:r>
        <w:rPr>
          <w:spacing w:val="-2"/>
        </w:rPr>
        <w:t xml:space="preserve"> </w:t>
      </w:r>
      <w:r>
        <w:t>for</w:t>
      </w:r>
      <w:r>
        <w:rPr>
          <w:spacing w:val="-3"/>
        </w:rPr>
        <w:t xml:space="preserve"> </w:t>
      </w:r>
      <w:r>
        <w:t xml:space="preserve">the </w:t>
      </w:r>
      <w:r>
        <w:rPr>
          <w:spacing w:val="-2"/>
        </w:rPr>
        <w:t>circumst</w:t>
      </w:r>
      <w:r>
        <w:rPr>
          <w:spacing w:val="-2"/>
        </w:rPr>
        <w:t>ances.</w:t>
      </w:r>
    </w:p>
    <w:p w14:paraId="0F3D65E1" w14:textId="77777777" w:rsidR="00DB6E1F" w:rsidRDefault="00F666A6">
      <w:pPr>
        <w:pStyle w:val="ListParagraph"/>
        <w:numPr>
          <w:ilvl w:val="0"/>
          <w:numId w:val="92"/>
        </w:numPr>
        <w:tabs>
          <w:tab w:val="left" w:pos="1800"/>
          <w:tab w:val="left" w:pos="1801"/>
        </w:tabs>
        <w:spacing w:before="61"/>
        <w:ind w:left="1800"/>
        <w:rPr>
          <w:rFonts w:ascii="Symbol" w:hAnsi="Symbol"/>
        </w:rPr>
      </w:pPr>
      <w:r>
        <w:t>In</w:t>
      </w:r>
      <w:r>
        <w:rPr>
          <w:spacing w:val="-6"/>
        </w:rPr>
        <w:t xml:space="preserve"> </w:t>
      </w:r>
      <w:r>
        <w:t>Action</w:t>
      </w:r>
      <w:r>
        <w:rPr>
          <w:spacing w:val="-3"/>
        </w:rPr>
        <w:t xml:space="preserve"> </w:t>
      </w:r>
      <w:r>
        <w:t>carry</w:t>
      </w:r>
      <w:r>
        <w:rPr>
          <w:spacing w:val="-4"/>
        </w:rPr>
        <w:t xml:space="preserve"> </w:t>
      </w:r>
      <w:r>
        <w:t>out</w:t>
      </w:r>
      <w:r>
        <w:rPr>
          <w:spacing w:val="-4"/>
        </w:rPr>
        <w:t xml:space="preserve"> </w:t>
      </w:r>
      <w:r>
        <w:t>and</w:t>
      </w:r>
      <w:r>
        <w:rPr>
          <w:spacing w:val="-2"/>
        </w:rPr>
        <w:t xml:space="preserve"> </w:t>
      </w:r>
      <w:r>
        <w:t>follow</w:t>
      </w:r>
      <w:r>
        <w:rPr>
          <w:spacing w:val="-5"/>
        </w:rPr>
        <w:t xml:space="preserve"> </w:t>
      </w:r>
      <w:r>
        <w:t>through</w:t>
      </w:r>
      <w:r>
        <w:rPr>
          <w:spacing w:val="-3"/>
        </w:rPr>
        <w:t xml:space="preserve"> </w:t>
      </w:r>
      <w:r>
        <w:t>with</w:t>
      </w:r>
      <w:r>
        <w:rPr>
          <w:spacing w:val="-4"/>
        </w:rPr>
        <w:t xml:space="preserve"> </w:t>
      </w:r>
      <w:r>
        <w:t>the</w:t>
      </w:r>
      <w:r>
        <w:rPr>
          <w:spacing w:val="-4"/>
        </w:rPr>
        <w:t xml:space="preserve"> </w:t>
      </w:r>
      <w:r>
        <w:t>change</w:t>
      </w:r>
      <w:r>
        <w:rPr>
          <w:spacing w:val="-1"/>
        </w:rPr>
        <w:t xml:space="preserve"> </w:t>
      </w:r>
      <w:r>
        <w:rPr>
          <w:spacing w:val="-2"/>
        </w:rPr>
        <w:t>strategies.</w:t>
      </w:r>
    </w:p>
    <w:p w14:paraId="417A2CB3" w14:textId="77777777" w:rsidR="00DB6E1F" w:rsidRDefault="00F666A6">
      <w:pPr>
        <w:pStyle w:val="ListParagraph"/>
        <w:numPr>
          <w:ilvl w:val="0"/>
          <w:numId w:val="92"/>
        </w:numPr>
        <w:tabs>
          <w:tab w:val="left" w:pos="1800"/>
          <w:tab w:val="left" w:pos="1801"/>
        </w:tabs>
        <w:ind w:left="1800" w:right="1557" w:hanging="360"/>
        <w:rPr>
          <w:rFonts w:ascii="Symbol" w:hAnsi="Symbol"/>
        </w:rPr>
      </w:pPr>
      <w:r>
        <w:t>In</w:t>
      </w:r>
      <w:r>
        <w:rPr>
          <w:spacing w:val="-3"/>
        </w:rPr>
        <w:t xml:space="preserve"> </w:t>
      </w:r>
      <w:r>
        <w:t>Maintenance</w:t>
      </w:r>
      <w:r>
        <w:rPr>
          <w:spacing w:val="-1"/>
        </w:rPr>
        <w:t xml:space="preserve"> </w:t>
      </w:r>
      <w:r>
        <w:t>develop</w:t>
      </w:r>
      <w:r>
        <w:rPr>
          <w:spacing w:val="-3"/>
        </w:rPr>
        <w:t xml:space="preserve"> </w:t>
      </w:r>
      <w:r>
        <w:t>new</w:t>
      </w:r>
      <w:r>
        <w:rPr>
          <w:spacing w:val="-1"/>
        </w:rPr>
        <w:t xml:space="preserve"> </w:t>
      </w:r>
      <w:r>
        <w:t>skills</w:t>
      </w:r>
      <w:r>
        <w:rPr>
          <w:spacing w:val="-4"/>
        </w:rPr>
        <w:t xml:space="preserve"> </w:t>
      </w:r>
      <w:r>
        <w:t>to</w:t>
      </w:r>
      <w:r>
        <w:rPr>
          <w:spacing w:val="-5"/>
        </w:rPr>
        <w:t xml:space="preserve"> </w:t>
      </w:r>
      <w:r>
        <w:t>maintain</w:t>
      </w:r>
      <w:r>
        <w:rPr>
          <w:spacing w:val="-2"/>
        </w:rPr>
        <w:t xml:space="preserve"> </w:t>
      </w:r>
      <w:r>
        <w:t>recovery</w:t>
      </w:r>
      <w:r>
        <w:rPr>
          <w:spacing w:val="-1"/>
        </w:rPr>
        <w:t xml:space="preserve"> </w:t>
      </w:r>
      <w:r>
        <w:t>and</w:t>
      </w:r>
      <w:r>
        <w:rPr>
          <w:spacing w:val="-3"/>
        </w:rPr>
        <w:t xml:space="preserve"> </w:t>
      </w:r>
      <w:r>
        <w:t>a</w:t>
      </w:r>
      <w:r>
        <w:rPr>
          <w:spacing w:val="-2"/>
        </w:rPr>
        <w:t xml:space="preserve"> </w:t>
      </w:r>
      <w:r>
        <w:t>lifestyle</w:t>
      </w:r>
      <w:r>
        <w:rPr>
          <w:spacing w:val="-4"/>
        </w:rPr>
        <w:t xml:space="preserve"> </w:t>
      </w:r>
      <w:r>
        <w:t>without</w:t>
      </w:r>
      <w:r>
        <w:rPr>
          <w:spacing w:val="-4"/>
        </w:rPr>
        <w:t xml:space="preserve"> </w:t>
      </w:r>
      <w:r>
        <w:t>substance</w:t>
      </w:r>
      <w:r>
        <w:rPr>
          <w:spacing w:val="-4"/>
        </w:rPr>
        <w:t xml:space="preserve"> </w:t>
      </w:r>
      <w:r>
        <w:t>misuse.</w:t>
      </w:r>
      <w:r>
        <w:rPr>
          <w:spacing w:val="-2"/>
        </w:rPr>
        <w:t xml:space="preserve"> </w:t>
      </w:r>
      <w:r>
        <w:t>If misuse resumes, help the client recover as fast as possible; support reentering the change cycle.</w:t>
      </w:r>
    </w:p>
    <w:p w14:paraId="07119F34" w14:textId="77777777" w:rsidR="00DB6E1F" w:rsidRDefault="00F666A6">
      <w:pPr>
        <w:pStyle w:val="BodyText"/>
        <w:spacing w:before="159"/>
        <w:ind w:left="1439" w:right="1555"/>
      </w:pPr>
      <w:r>
        <w:pict w14:anchorId="5C8FD171">
          <v:group id="docshapegroup92" o:spid="_x0000_s2132" style="position:absolute;left:0;text-align:left;margin-left:77.65pt;margin-top:82.5pt;width:327.05pt;height:240.8pt;z-index:-21767168;mso-position-horizontal-relative:page" coordorigin="1553,1650" coordsize="6541,4816">
            <v:shape id="docshape93" o:spid="_x0000_s2180" style="position:absolute;left:2647;top:1886;width:4358;height:4419" coordorigin="2647,1886" coordsize="4358,4419" path="m4951,1886r74,2l5098,1892r73,6l5242,1908r71,11l5384,1934r69,16l5521,1969r68,21l5655,2014r66,26l5785,2068r63,30l5910,2131r61,34l6031,2202r58,38l6146,2281r55,42l6255,2368r53,46l6359,2462r49,50l6456,2563r46,54l6546,2672r43,56l6630,2786r39,60l6706,2907r35,63l6774,3034r31,65l6834,3166r27,68l6886,3304r22,70l6929,3446r18,73l6962,3593r14,75l6987,3744r8,77l7001,3899r3,79l7005,4058r-2,83l6997,4224r-8,81l6977,4385r-14,79l6945,4542r-20,77l6902,4694r-25,74l6849,4841r-31,71l6786,4982r-35,68l6714,5117r-39,65l6633,5246r-43,63l6545,5370r-46,59l6450,5486r-50,56l6349,5596r-53,53l6242,5699r-56,49l6130,5795r-58,45l6014,5883r-60,42l5894,5964r-61,37l5771,6037r-62,33l5646,6101r-63,30l5520,6158r-64,24l5392,6205r-64,20l5265,6244r-64,16l5138,6273r-64,11l5012,6293r-63,7l4888,6304r-62,1l4765,6304r-61,-3l4641,6297r-62,-7l4516,6281r-63,-11l4390,6257r-64,-15l4263,6224r-63,-19l4137,6184r-63,-23l4011,6136r-62,-27l3887,6080r-61,-31l3766,6016r-60,-35l3647,5945r-58,-39l3532,5865r-56,-42l3421,5778r-54,-46l3315,5684r-52,-50l3214,5582r-48,-54l3119,5472r-45,-58l3031,5355r-41,-61l2951,5231r-38,-65l2878,5099r-33,-69l2814,4960r-28,-72l2760,4814r-24,-76l2715,4661r-18,-80l2681,4500r-12,-82l2659,4333r-7,-86l2648,4159r-1,-106l2650,3950r7,-100l2668,3754r14,-93l2699,3571r21,-87l2743,3400r26,-81l2798,3241r30,-74l2861,3095r35,-70l2933,2959r38,-64l3011,2834r41,-58l3093,2721r43,-54l3179,2617r44,-48l3267,2523r45,-43l3356,2439r87,-76l3527,2297r41,-30e" filled="f" strokecolor="#e9e9e9" strokeweight=".66094mm">
              <v:path arrowok="t"/>
            </v:shape>
            <v:shape id="docshape94" o:spid="_x0000_s2179" style="position:absolute;left:1553;top:3113;width:2086;height:1069" coordorigin="1553,3113" coordsize="2086,1069" path="m3457,3113r-1722,l1664,3127r-58,38l1567,3222r-14,69l1553,4004r14,69l1606,4130r58,38l1735,4182r1722,l3527,4168r58,-38l3624,4073r15,-69l3639,3291r-15,-69l3585,3165r-58,-38l3457,3113xe" fillcolor="#627283" stroked="f">
              <v:path arrowok="t"/>
            </v:shape>
            <v:shape id="docshape95" o:spid="_x0000_s2178" type="#_x0000_t75" style="position:absolute;left:2114;top:3221;width:430;height:500">
              <v:imagedata r:id="rId66" o:title=""/>
            </v:shape>
            <v:shape id="docshape96" o:spid="_x0000_s2177" type="#_x0000_t75" style="position:absolute;left:2252;top:3221;width:825;height:500">
              <v:imagedata r:id="rId67" o:title=""/>
            </v:shape>
            <v:shape id="docshape97" o:spid="_x0000_s2176" type="#_x0000_t75" style="position:absolute;left:1614;top:3602;width:1965;height:318">
              <v:imagedata r:id="rId68" o:title=""/>
            </v:shape>
            <v:shape id="docshape98" o:spid="_x0000_s2175" type="#_x0000_t75" style="position:absolute;left:1794;top:3769;width:797;height:300">
              <v:imagedata r:id="rId69" o:title=""/>
            </v:shape>
            <v:shape id="docshape99" o:spid="_x0000_s2174" type="#_x0000_t75" style="position:absolute;left:2403;top:3769;width:432;height:300">
              <v:imagedata r:id="rId70" o:title=""/>
            </v:shape>
            <v:shape id="docshape100" o:spid="_x0000_s2173" type="#_x0000_t75" style="position:absolute;left:2648;top:3769;width:266;height:300">
              <v:imagedata r:id="rId71" o:title=""/>
            </v:shape>
            <v:shape id="docshape101" o:spid="_x0000_s2172" type="#_x0000_t75" style="position:absolute;left:2727;top:3769;width:670;height:300">
              <v:imagedata r:id="rId72" o:title=""/>
            </v:shape>
            <v:shape id="docshape102" o:spid="_x0000_s2171" style="position:absolute;left:4027;top:3266;width:1605;height:1295" coordorigin="4028,3267" coordsize="1605,1295" path="m5412,3267r-1164,l4179,3278r-61,30l4071,3355r-32,59l4028,3482r,863l4039,4413r32,60l4118,4519r61,31l4248,4561r1164,l5482,4550r60,-31l5590,4473r31,-60l5633,4345r,-863l5621,3414r-31,-59l5542,3308r-60,-30l5412,3267xe" fillcolor="#627283" stroked="f">
              <v:path arrowok="t"/>
            </v:shape>
            <v:shape id="docshape103" o:spid="_x0000_s2170" type="#_x0000_t75" style="position:absolute;left:4165;top:3389;width:1397;height:469">
              <v:imagedata r:id="rId73" o:title=""/>
            </v:shape>
            <v:shape id="docshape104" o:spid="_x0000_s2169" type="#_x0000_t75" style="position:absolute;left:4283;top:3623;width:1094;height:502">
              <v:imagedata r:id="rId74" o:title=""/>
            </v:shape>
            <v:shape id="docshape105" o:spid="_x0000_s2168" type="#_x0000_t75" style="position:absolute;left:4100;top:4004;width:1093;height:318">
              <v:imagedata r:id="rId75" o:title=""/>
            </v:shape>
            <v:shape id="docshape106" o:spid="_x0000_s2167" type="#_x0000_t75" style="position:absolute;left:5005;top:4004;width:240;height:318">
              <v:imagedata r:id="rId76" o:title=""/>
            </v:shape>
            <v:shape id="docshape107" o:spid="_x0000_s2166" type="#_x0000_t75" style="position:absolute;left:5058;top:4004;width:504;height:318">
              <v:imagedata r:id="rId77" o:title=""/>
            </v:shape>
            <v:shape id="docshape108" o:spid="_x0000_s2165" type="#_x0000_t75" style="position:absolute;left:4297;top:4171;width:1066;height:269">
              <v:imagedata r:id="rId78" o:title=""/>
            </v:shape>
            <v:shape id="docshape109" o:spid="_x0000_s2164" style="position:absolute;left:3791;top:1650;width:2086;height:1022" coordorigin="3792,1650" coordsize="2086,1022" path="m5703,1650r-1737,l3898,1664r-55,36l3806,1754r-14,66l3792,2502r14,66l3843,2622r55,37l3966,2672r1737,l5771,2659r56,-37l5864,2568r14,-66l5878,1820r-14,-66l5827,1700r-56,-36l5703,1650xe" fillcolor="#627283" stroked="f">
              <v:path arrowok="t"/>
            </v:shape>
            <v:shape id="docshape110" o:spid="_x0000_s2163" type="#_x0000_t75" style="position:absolute;left:4022;top:1758;width:1625;height:480">
              <v:imagedata r:id="rId79" o:title=""/>
            </v:shape>
            <v:shape id="docshape111" o:spid="_x0000_s2162" type="#_x0000_t75" style="position:absolute;left:3978;top:2118;width:1711;height:318">
              <v:imagedata r:id="rId80" o:title=""/>
            </v:shape>
            <v:shape id="docshape112" o:spid="_x0000_s2161" type="#_x0000_t75" style="position:absolute;left:3890;top:2286;width:1887;height:278">
              <v:imagedata r:id="rId81" o:title=""/>
            </v:shape>
            <v:shape id="docshape113" o:spid="_x0000_s2160" style="position:absolute;left:6006;top:3180;width:2088;height:1021" coordorigin="6006,3181" coordsize="2088,1021" path="m7920,3181r-1740,l6112,3194r-55,36l6020,3284r-14,67l6006,4031r14,66l6057,4151r55,36l6180,4201r1740,l7987,4187r56,-36l8080,4097r14,-66l8094,3351r-14,-67l8043,3230r-56,-36l7920,3181xe" fillcolor="#627283" stroked="f">
              <v:path arrowok="t"/>
            </v:shape>
            <v:shape id="docshape114" o:spid="_x0000_s2159" type="#_x0000_t75" style="position:absolute;left:6064;top:3289;width:1972;height:480">
              <v:imagedata r:id="rId82" o:title=""/>
            </v:shape>
            <v:shape id="docshape115" o:spid="_x0000_s2158" type="#_x0000_t75" style="position:absolute;left:6598;top:3649;width:902;height:318">
              <v:imagedata r:id="rId83" o:title=""/>
            </v:shape>
            <v:shape id="docshape116" o:spid="_x0000_s2157" type="#_x0000_t75" style="position:absolute;left:6201;top:3816;width:1693;height:280">
              <v:imagedata r:id="rId84" o:title=""/>
            </v:shape>
            <v:shape id="docshape117" o:spid="_x0000_s2156" style="position:absolute;left:5213;top:5434;width:2086;height:1022" coordorigin="5213,5435" coordsize="2086,1022" path="m7125,5435r-1737,l5320,5448r-56,37l5227,5539r-14,66l5213,6286r14,67l5264,6407r56,36l5388,6457r1737,l7193,6443r55,-36l7285,6353r14,-67l7299,5605r-14,-66l7248,5485r-55,-37l7125,5435xe" fillcolor="#627283" stroked="f">
              <v:path arrowok="t"/>
            </v:shape>
            <v:shape id="docshape118" o:spid="_x0000_s2155" type="#_x0000_t75" style="position:absolute;left:5333;top:5541;width:1841;height:480">
              <v:imagedata r:id="rId85" o:title=""/>
            </v:shape>
            <v:shape id="docshape119" o:spid="_x0000_s2154" type="#_x0000_t75" style="position:absolute;left:5387;top:5901;width:1498;height:318">
              <v:imagedata r:id="rId86" o:title=""/>
            </v:shape>
            <v:shape id="docshape120" o:spid="_x0000_s2153" type="#_x0000_t75" style="position:absolute;left:6698;top:5901;width:421;height:318">
              <v:imagedata r:id="rId87" o:title=""/>
            </v:shape>
            <v:shape id="docshape121" o:spid="_x0000_s2152" type="#_x0000_t75" style="position:absolute;left:5269;top:6068;width:1972;height:280">
              <v:imagedata r:id="rId88" o:title=""/>
            </v:shape>
            <v:shape id="docshape122" o:spid="_x0000_s2151" style="position:absolute;left:2393;top:5443;width:2086;height:1022" coordorigin="2393,5443" coordsize="2086,1022" path="m4305,5443r-1738,l2500,5457r-56,36l2407,5547r-14,67l2393,6295r14,66l2444,6415r56,37l2567,6465r1738,l4373,6452r55,-37l4465,6361r14,-66l4479,5614r-14,-67l4428,5493r-55,-36l4305,5443xe" fillcolor="#627283" stroked="f">
              <v:path arrowok="t"/>
            </v:shape>
            <v:shape id="docshape123" o:spid="_x0000_s2150" type="#_x0000_t75" style="position:absolute;left:2678;top:5550;width:1515;height:480">
              <v:imagedata r:id="rId89" o:title=""/>
            </v:shape>
            <v:shape id="docshape124" o:spid="_x0000_s2149" type="#_x0000_t75" style="position:absolute;left:2632;top:5910;width:1605;height:318">
              <v:imagedata r:id="rId90" o:title=""/>
            </v:shape>
            <v:shape id="docshape125" o:spid="_x0000_s2148" type="#_x0000_t75" style="position:absolute;left:2653;top:6077;width:1563;height:280">
              <v:imagedata r:id="rId91" o:title=""/>
            </v:shape>
            <v:shape id="docshape126" o:spid="_x0000_s2147" style="position:absolute;left:3357;top:2098;width:341;height:409" coordorigin="3357,2099" coordsize="341,409" path="m3357,2099r341,408l3673,2161r-316,-62xe" fillcolor="#e9e9e9" stroked="f">
              <v:path arrowok="t"/>
            </v:shape>
            <v:shape id="docshape127" o:spid="_x0000_s2146" style="position:absolute;left:2967;top:2513;width:329;height:410" coordorigin="2967,2514" coordsize="329,410" path="m2967,2924r43,-62l3054,2801r46,-60l3147,2682r49,-58l3246,2568r50,-54e" filled="f" strokecolor="#327291" strokeweight=".38444mm">
              <v:path arrowok="t"/>
            </v:shape>
            <v:shape id="docshape128" o:spid="_x0000_s2145" style="position:absolute;left:2927;top:2461;width:420;height:523" coordorigin="2928,2462" coordsize="420,523" o:spt="100" adj="0,,0" path="m3012,2935r-74,-46l2928,2984r84,-49xm3347,2462r-93,32l3318,2554r29,-92xe" fillcolor="#327291" stroked="f">
              <v:stroke joinstyle="round"/>
              <v:formulas/>
              <v:path arrowok="t" o:connecttype="segments"/>
            </v:shape>
            <v:shape id="docshape129" o:spid="_x0000_s2144" style="position:absolute;left:6299;top:2407;width:395;height:450" coordorigin="6300,2408" coordsize="395,450" path="m6694,2857r-51,-68l6590,2721r-55,-67l6478,2589r-59,-63l6360,2466r-60,-58e" filled="f" strokecolor="#327291" strokeweight=".38433mm">
              <v:path arrowok="t"/>
            </v:shape>
            <v:shape id="docshape130" o:spid="_x0000_s2143" style="position:absolute;left:6649;top:2821;width:87;height:96" coordorigin="6650,2822" coordsize="87,96" path="m6722,2822r-72,48l6736,2917r-14,-95xe" fillcolor="#327291" stroked="f">
              <v:path arrowok="t"/>
            </v:shape>
            <v:shape id="docshape131" o:spid="_x0000_s2142" style="position:absolute;left:6721;top:4658;width:216;height:477" coordorigin="6722,4658" coordsize="216,477" path="m6937,4658r-26,70l6884,4798r-30,70l6823,4936r-32,68l6757,5070r-35,65e" filled="f" strokecolor="#327291" strokeweight=".38614mm">
              <v:path arrowok="t"/>
            </v:shape>
            <v:shape id="docshape132" o:spid="_x0000_s2141" style="position:absolute;left:6685;top:4590;width:289;height:608" coordorigin="6685,4590" coordsize="289,608" o:spt="100" adj="0,,0" path="m6767,5144r-77,-42l6685,5198r82,-54xm6974,4685r-14,-95l6890,4658r84,27xe" fillcolor="#327291" stroked="f">
              <v:stroke joinstyle="round"/>
              <v:formulas/>
              <v:path arrowok="t" o:connecttype="segments"/>
            </v:shape>
            <v:shape id="docshape133" o:spid="_x0000_s2140" style="position:absolute;left:2693;top:4612;width:178;height:492" coordorigin="2693,4613" coordsize="178,492" path="m2693,4613r21,71l2736,4756r24,71l2785,4898r27,70l2841,5037r30,67e" filled="f" strokecolor="#327291" strokeweight=".38675mm">
              <v:path arrowok="t"/>
            </v:shape>
            <v:shape id="docshape134" o:spid="_x0000_s2139" style="position:absolute;left:2654;top:4542;width:251;height:627" coordorigin="2654,4543" coordsize="251,627" o:spt="100" adj="0,,0" path="m2740,4616r-64,-73l2654,4637r86,-21xm2905,5073r-80,36l2902,5169r3,-96xe" fillcolor="#327291" stroked="f">
              <v:stroke joinstyle="round"/>
              <v:formulas/>
              <v:path arrowok="t" o:connecttype="segments"/>
            </v:shape>
            <v:shape id="docshape135" o:spid="_x0000_s2138" style="position:absolute;left:4614;top:6278;width:437;height:19" coordorigin="4615,6278" coordsize="437,19" path="m4615,6287r87,8l4790,6297r88,-1l4965,6289r86,-11e" filled="f" strokecolor="#327291" strokeweight=".40392mm">
              <v:path arrowok="t"/>
            </v:shape>
            <v:shape id="docshape136" o:spid="_x0000_s2137" style="position:absolute;left:4541;top:6238;width:582;height:94" coordorigin="4542,6239" coordsize="582,94" o:spt="100" adj="0,,0" path="m4635,6246r-93,31l4623,6332r12,-86xm5123,6265r-95,-26l5044,6323r79,-58xe" fillcolor="#327291" stroked="f">
              <v:stroke joinstyle="round"/>
              <v:formulas/>
              <v:path arrowok="t" o:connecttype="segments"/>
            </v:shape>
            <v:shape id="docshape137" o:spid="_x0000_s2136" style="position:absolute;left:5547;top:3133;width:349;height:1535" coordorigin="5547,3133" coordsize="349,1535" path="m5547,3133r53,59l5648,3254r45,62l5732,3381r36,66l5799,3514r27,67l5848,3650r18,69l5880,3788r10,70l5895,3927r1,69l5892,4064r-8,68l5872,4198r-17,65l5834,4327r-25,62l5779,4450r-34,58l5706,4564r-43,53l5616,4668e" filled="f" strokecolor="#df836d" strokeweight=".66067mm">
              <v:path arrowok="t"/>
            </v:shape>
            <v:shape id="docshape138" o:spid="_x0000_s2135" style="position:absolute;left:5515;top:4575;width:191;height:179" coordorigin="5516,4575" coordsize="191,179" path="m5590,4575r-74,179l5706,4705,5590,4575xe" fillcolor="#df836d" stroked="f">
              <v:path arrowok="t"/>
            </v:shape>
            <v:shape id="docshape139" o:spid="_x0000_s2134" style="position:absolute;left:3760;top:3165;width:333;height:1507" coordorigin="3761,3166" coordsize="333,1507" path="m4094,4672r-54,-60l3992,4550r-44,-64l3909,4420r-35,-68l3844,4284r-26,-69l3798,4145r-17,-71l3770,4003r-7,-71l3761,3861r2,-70l3770,3722r12,-69l3798,3585r21,-66l3845,3455r30,-63l3910,3332r40,-58l3994,3218r49,-52e" filled="f" strokecolor="#df836d" strokeweight=".66067mm">
              <v:path arrowok="t"/>
            </v:shape>
            <v:shape id="docshape140" o:spid="_x0000_s2133" style="position:absolute;left:3951;top:3079;width:191;height:179" coordorigin="3952,3079" coordsize="191,179" path="m4142,3079r-190,51l4069,3258r73,-179xe" fillcolor="#df836d" stroked="f">
              <v:path arrowok="t"/>
            </v:shape>
            <w10:wrap anchorx="page"/>
          </v:group>
        </w:pict>
      </w:r>
      <w:r>
        <w:t>Exhibit</w:t>
      </w:r>
      <w:r>
        <w:rPr>
          <w:spacing w:val="-2"/>
        </w:rPr>
        <w:t xml:space="preserve"> </w:t>
      </w:r>
      <w:r>
        <w:t>2.3</w:t>
      </w:r>
      <w:r>
        <w:rPr>
          <w:spacing w:val="-1"/>
        </w:rPr>
        <w:t xml:space="preserve"> </w:t>
      </w:r>
      <w:r>
        <w:t>depicts</w:t>
      </w:r>
      <w:r>
        <w:rPr>
          <w:spacing w:val="-2"/>
        </w:rPr>
        <w:t xml:space="preserve"> </w:t>
      </w:r>
      <w:r>
        <w:t>the</w:t>
      </w:r>
      <w:r>
        <w:rPr>
          <w:spacing w:val="-4"/>
        </w:rPr>
        <w:t xml:space="preserve"> </w:t>
      </w:r>
      <w:r>
        <w:t>overarching</w:t>
      </w:r>
      <w:r>
        <w:rPr>
          <w:spacing w:val="-3"/>
        </w:rPr>
        <w:t xml:space="preserve"> </w:t>
      </w:r>
      <w:r>
        <w:t>counseling</w:t>
      </w:r>
      <w:r>
        <w:rPr>
          <w:spacing w:val="-3"/>
        </w:rPr>
        <w:t xml:space="preserve"> </w:t>
      </w:r>
      <w:r>
        <w:t>focus</w:t>
      </w:r>
      <w:r>
        <w:rPr>
          <w:spacing w:val="-2"/>
        </w:rPr>
        <w:t xml:space="preserve"> </w:t>
      </w:r>
      <w:r>
        <w:t>in</w:t>
      </w:r>
      <w:r>
        <w:rPr>
          <w:spacing w:val="-5"/>
        </w:rPr>
        <w:t xml:space="preserve"> </w:t>
      </w:r>
      <w:r>
        <w:t>each</w:t>
      </w:r>
      <w:r>
        <w:rPr>
          <w:spacing w:val="-2"/>
        </w:rPr>
        <w:t xml:space="preserve"> </w:t>
      </w:r>
      <w:r>
        <w:t>stage.</w:t>
      </w:r>
      <w:r>
        <w:rPr>
          <w:spacing w:val="-3"/>
        </w:rPr>
        <w:t xml:space="preserve"> </w:t>
      </w:r>
      <w:r>
        <w:t>Chapters</w:t>
      </w:r>
      <w:r>
        <w:rPr>
          <w:spacing w:val="-4"/>
        </w:rPr>
        <w:t xml:space="preserve"> </w:t>
      </w:r>
      <w:r>
        <w:t>4</w:t>
      </w:r>
      <w:r>
        <w:rPr>
          <w:spacing w:val="-1"/>
        </w:rPr>
        <w:t xml:space="preserve"> </w:t>
      </w:r>
      <w:r>
        <w:t>through</w:t>
      </w:r>
      <w:r>
        <w:rPr>
          <w:spacing w:val="-3"/>
        </w:rPr>
        <w:t xml:space="preserve"> </w:t>
      </w:r>
      <w:r>
        <w:t>7</w:t>
      </w:r>
      <w:r>
        <w:rPr>
          <w:spacing w:val="-3"/>
        </w:rPr>
        <w:t xml:space="preserve"> </w:t>
      </w:r>
      <w:r>
        <w:t xml:space="preserve">examine specific </w:t>
      </w:r>
      <w:r>
        <w:t>counseling strategies for each stage.</w:t>
      </w:r>
    </w:p>
    <w:p w14:paraId="4A154F01" w14:textId="77777777" w:rsidR="00DB6E1F" w:rsidRDefault="00DB6E1F">
      <w:pPr>
        <w:pStyle w:val="BodyText"/>
        <w:spacing w:before="11"/>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2F88DC8" w14:textId="77777777">
        <w:trPr>
          <w:trHeight w:val="523"/>
        </w:trPr>
        <w:tc>
          <w:tcPr>
            <w:tcW w:w="9350" w:type="dxa"/>
            <w:tcBorders>
              <w:top w:val="nil"/>
              <w:left w:val="nil"/>
              <w:bottom w:val="nil"/>
              <w:right w:val="nil"/>
            </w:tcBorders>
            <w:shd w:val="clear" w:color="auto" w:fill="000000"/>
          </w:tcPr>
          <w:p w14:paraId="2E84AD49" w14:textId="77777777" w:rsidR="00DB6E1F" w:rsidRDefault="00F666A6">
            <w:pPr>
              <w:pStyle w:val="TableParagraph"/>
              <w:spacing w:before="112"/>
              <w:ind w:left="215"/>
              <w:rPr>
                <w:sz w:val="24"/>
              </w:rPr>
            </w:pPr>
            <w:r>
              <w:rPr>
                <w:color w:val="FFFFFF"/>
                <w:sz w:val="24"/>
              </w:rPr>
              <w:t>Exhibit</w:t>
            </w:r>
            <w:r>
              <w:rPr>
                <w:color w:val="FFFFFF"/>
                <w:spacing w:val="-3"/>
                <w:sz w:val="24"/>
              </w:rPr>
              <w:t xml:space="preserve"> </w:t>
            </w:r>
            <w:r>
              <w:rPr>
                <w:color w:val="FFFFFF"/>
                <w:sz w:val="24"/>
              </w:rPr>
              <w:t>2.3.</w:t>
            </w:r>
            <w:r>
              <w:rPr>
                <w:color w:val="FFFFFF"/>
                <w:spacing w:val="-1"/>
                <w:sz w:val="24"/>
              </w:rPr>
              <w:t xml:space="preserve"> </w:t>
            </w:r>
            <w:r>
              <w:rPr>
                <w:color w:val="FFFFFF"/>
                <w:sz w:val="24"/>
              </w:rPr>
              <w:t>Counselor Focus</w:t>
            </w:r>
            <w:r>
              <w:rPr>
                <w:color w:val="FFFFFF"/>
                <w:spacing w:val="-2"/>
                <w:sz w:val="24"/>
              </w:rPr>
              <w:t xml:space="preserve"> </w:t>
            </w:r>
            <w:r>
              <w:rPr>
                <w:color w:val="FFFFFF"/>
                <w:sz w:val="24"/>
              </w:rPr>
              <w:t>in</w:t>
            </w:r>
            <w:r>
              <w:rPr>
                <w:color w:val="FFFFFF"/>
                <w:spacing w:val="-2"/>
                <w:sz w:val="24"/>
              </w:rPr>
              <w:t xml:space="preserve"> </w:t>
            </w:r>
            <w:r>
              <w:rPr>
                <w:color w:val="FFFFFF"/>
                <w:sz w:val="24"/>
              </w:rPr>
              <w:t xml:space="preserve">the </w:t>
            </w:r>
            <w:r>
              <w:rPr>
                <w:color w:val="FFFFFF"/>
                <w:spacing w:val="-5"/>
                <w:sz w:val="24"/>
              </w:rPr>
              <w:t>SOC</w:t>
            </w:r>
          </w:p>
        </w:tc>
      </w:tr>
      <w:tr w:rsidR="00DB6E1F" w14:paraId="0A149B9A" w14:textId="77777777">
        <w:trPr>
          <w:trHeight w:val="5234"/>
        </w:trPr>
        <w:tc>
          <w:tcPr>
            <w:tcW w:w="9350" w:type="dxa"/>
            <w:tcBorders>
              <w:top w:val="nil"/>
            </w:tcBorders>
          </w:tcPr>
          <w:p w14:paraId="0463F758" w14:textId="77777777" w:rsidR="00DB6E1F" w:rsidRDefault="00F666A6">
            <w:pPr>
              <w:pStyle w:val="TableParagraph"/>
              <w:spacing w:before="0" w:line="268" w:lineRule="exact"/>
            </w:pPr>
            <w:r>
              <w:t>.</w:t>
            </w:r>
          </w:p>
        </w:tc>
      </w:tr>
      <w:tr w:rsidR="00DB6E1F" w14:paraId="0B99668A" w14:textId="77777777">
        <w:trPr>
          <w:trHeight w:val="405"/>
        </w:trPr>
        <w:tc>
          <w:tcPr>
            <w:tcW w:w="9350" w:type="dxa"/>
          </w:tcPr>
          <w:p w14:paraId="53A21200" w14:textId="77777777" w:rsidR="00DB6E1F" w:rsidRDefault="00F666A6">
            <w:pPr>
              <w:pStyle w:val="TableParagraph"/>
              <w:spacing w:before="80"/>
              <w:rPr>
                <w:i/>
                <w:sz w:val="20"/>
              </w:rPr>
            </w:pPr>
            <w:r>
              <w:rPr>
                <w:i/>
                <w:sz w:val="20"/>
              </w:rPr>
              <w:t>Source:</w:t>
            </w:r>
            <w:r>
              <w:rPr>
                <w:i/>
                <w:spacing w:val="-11"/>
                <w:sz w:val="20"/>
              </w:rPr>
              <w:t xml:space="preserve"> </w:t>
            </w:r>
            <w:r>
              <w:rPr>
                <w:i/>
                <w:sz w:val="20"/>
              </w:rPr>
              <w:t>DiClemente,</w:t>
            </w:r>
            <w:r>
              <w:rPr>
                <w:i/>
                <w:spacing w:val="-8"/>
                <w:sz w:val="20"/>
              </w:rPr>
              <w:t xml:space="preserve"> </w:t>
            </w:r>
            <w:r>
              <w:rPr>
                <w:i/>
                <w:spacing w:val="-2"/>
                <w:sz w:val="20"/>
              </w:rPr>
              <w:t>2018.</w:t>
            </w:r>
          </w:p>
        </w:tc>
      </w:tr>
    </w:tbl>
    <w:p w14:paraId="16FF7C20" w14:textId="77777777" w:rsidR="00DB6E1F" w:rsidRDefault="00F666A6">
      <w:pPr>
        <w:pStyle w:val="Heading2"/>
        <w:spacing w:before="8"/>
      </w:pPr>
      <w:bookmarkStart w:id="72" w:name="Special_Applications_of_Motivational_Int"/>
      <w:bookmarkStart w:id="73" w:name="_bookmark13"/>
      <w:bookmarkEnd w:id="72"/>
      <w:bookmarkEnd w:id="73"/>
      <w:r>
        <w:t>Special</w:t>
      </w:r>
      <w:r>
        <w:rPr>
          <w:spacing w:val="-5"/>
        </w:rPr>
        <w:t xml:space="preserve"> </w:t>
      </w:r>
      <w:r>
        <w:t>Applications</w:t>
      </w:r>
      <w:r>
        <w:rPr>
          <w:spacing w:val="-3"/>
        </w:rPr>
        <w:t xml:space="preserve"> </w:t>
      </w:r>
      <w:r>
        <w:t>of</w:t>
      </w:r>
      <w:r>
        <w:rPr>
          <w:spacing w:val="-4"/>
        </w:rPr>
        <w:t xml:space="preserve"> </w:t>
      </w:r>
      <w:r>
        <w:t>Motivational</w:t>
      </w:r>
      <w:r>
        <w:rPr>
          <w:spacing w:val="-4"/>
        </w:rPr>
        <w:t xml:space="preserve"> </w:t>
      </w:r>
      <w:r>
        <w:rPr>
          <w:spacing w:val="-2"/>
        </w:rPr>
        <w:t>Interventions</w:t>
      </w:r>
    </w:p>
    <w:p w14:paraId="62498FBF" w14:textId="77777777" w:rsidR="00DB6E1F" w:rsidRDefault="00F666A6">
      <w:pPr>
        <w:pStyle w:val="BodyText"/>
        <w:spacing w:before="150"/>
        <w:ind w:left="1439" w:right="1444"/>
      </w:pPr>
      <w:r>
        <w:t>The principles underlying motivational counseling approaches have been applied across cultures, to different</w:t>
      </w:r>
      <w:r>
        <w:rPr>
          <w:spacing w:val="-1"/>
        </w:rPr>
        <w:t xml:space="preserve"> </w:t>
      </w:r>
      <w:r>
        <w:t>types</w:t>
      </w:r>
      <w:r>
        <w:rPr>
          <w:spacing w:val="-4"/>
        </w:rPr>
        <w:t xml:space="preserve"> </w:t>
      </w:r>
      <w:r>
        <w:t>of</w:t>
      </w:r>
      <w:r>
        <w:rPr>
          <w:spacing w:val="-2"/>
        </w:rPr>
        <w:t xml:space="preserve"> </w:t>
      </w:r>
      <w:r>
        <w:t>problems,</w:t>
      </w:r>
      <w:r>
        <w:rPr>
          <w:spacing w:val="-2"/>
        </w:rPr>
        <w:t xml:space="preserve"> </w:t>
      </w:r>
      <w:r>
        <w:t>in</w:t>
      </w:r>
      <w:r>
        <w:rPr>
          <w:spacing w:val="-3"/>
        </w:rPr>
        <w:t xml:space="preserve"> </w:t>
      </w:r>
      <w:r>
        <w:t>various</w:t>
      </w:r>
      <w:r>
        <w:rPr>
          <w:spacing w:val="-2"/>
        </w:rPr>
        <w:t xml:space="preserve"> </w:t>
      </w:r>
      <w:r>
        <w:t>treatment</w:t>
      </w:r>
      <w:r>
        <w:rPr>
          <w:spacing w:val="-4"/>
        </w:rPr>
        <w:t xml:space="preserve"> </w:t>
      </w:r>
      <w:r>
        <w:t>settings,</w:t>
      </w:r>
      <w:r>
        <w:rPr>
          <w:spacing w:val="-2"/>
        </w:rPr>
        <w:t xml:space="preserve"> </w:t>
      </w:r>
      <w:r>
        <w:t>and</w:t>
      </w:r>
      <w:r>
        <w:rPr>
          <w:spacing w:val="-3"/>
        </w:rPr>
        <w:t xml:space="preserve"> </w:t>
      </w:r>
      <w:r>
        <w:t>with</w:t>
      </w:r>
      <w:r>
        <w:rPr>
          <w:spacing w:val="-5"/>
        </w:rPr>
        <w:t xml:space="preserve"> </w:t>
      </w:r>
      <w:r>
        <w:t>many</w:t>
      </w:r>
      <w:r>
        <w:rPr>
          <w:spacing w:val="-3"/>
        </w:rPr>
        <w:t xml:space="preserve"> </w:t>
      </w:r>
      <w:r>
        <w:t>different</w:t>
      </w:r>
      <w:r>
        <w:rPr>
          <w:spacing w:val="-1"/>
        </w:rPr>
        <w:t xml:space="preserve"> </w:t>
      </w:r>
      <w:r>
        <w:t>populations</w:t>
      </w:r>
      <w:r>
        <w:rPr>
          <w:spacing w:val="-1"/>
        </w:rPr>
        <w:t xml:space="preserve"> </w:t>
      </w:r>
      <w:r>
        <w:t>(Miller</w:t>
      </w:r>
      <w:r>
        <w:rPr>
          <w:spacing w:val="-5"/>
        </w:rPr>
        <w:t xml:space="preserve"> </w:t>
      </w:r>
      <w:r>
        <w:t>&amp; Rollnick, 2013). The research literature suggests t</w:t>
      </w:r>
      <w:r>
        <w:t>hat motivational interventions (i.e., MI, MET, and BI)</w:t>
      </w:r>
    </w:p>
    <w:p w14:paraId="3B1C6E19" w14:textId="77777777" w:rsidR="00DB6E1F" w:rsidRDefault="00DB6E1F">
      <w:pPr>
        <w:sectPr w:rsidR="00DB6E1F">
          <w:pgSz w:w="12240" w:h="15840"/>
          <w:pgMar w:top="1200" w:right="0" w:bottom="780" w:left="0" w:header="763" w:footer="585" w:gutter="0"/>
          <w:cols w:space="720"/>
        </w:sectPr>
      </w:pPr>
    </w:p>
    <w:p w14:paraId="4CB89B82" w14:textId="77777777" w:rsidR="00DB6E1F" w:rsidRDefault="00DB6E1F">
      <w:pPr>
        <w:pStyle w:val="BodyText"/>
        <w:spacing w:before="8"/>
        <w:rPr>
          <w:sz w:val="14"/>
        </w:rPr>
      </w:pPr>
    </w:p>
    <w:p w14:paraId="6132AFAE" w14:textId="77777777" w:rsidR="00DB6E1F" w:rsidRDefault="00F666A6">
      <w:pPr>
        <w:pStyle w:val="BodyText"/>
        <w:spacing w:before="56"/>
        <w:ind w:left="1439" w:right="1491"/>
      </w:pPr>
      <w:r>
        <w:t>are associated with successful outcomes including adherence to and retention in SUD treatment; reduction in or abstinence from alcohol, cannabis, illicit drugs, and tobacco use; and reductions in substance misuse consequences and related problems (DiClemen</w:t>
      </w:r>
      <w:r>
        <w:t>te et al., 2017). Motivational interventions</w:t>
      </w:r>
      <w:r>
        <w:rPr>
          <w:spacing w:val="-2"/>
        </w:rPr>
        <w:t xml:space="preserve"> </w:t>
      </w:r>
      <w:r>
        <w:t>have</w:t>
      </w:r>
      <w:r>
        <w:rPr>
          <w:spacing w:val="-4"/>
        </w:rPr>
        <w:t xml:space="preserve"> </w:t>
      </w:r>
      <w:r>
        <w:t>demonstrated</w:t>
      </w:r>
      <w:r>
        <w:rPr>
          <w:spacing w:val="-5"/>
        </w:rPr>
        <w:t xml:space="preserve"> </w:t>
      </w:r>
      <w:r>
        <w:t>efficacy</w:t>
      </w:r>
      <w:r>
        <w:rPr>
          <w:spacing w:val="-1"/>
        </w:rPr>
        <w:t xml:space="preserve"> </w:t>
      </w:r>
      <w:r>
        <w:t>across</w:t>
      </w:r>
      <w:r>
        <w:rPr>
          <w:spacing w:val="-5"/>
        </w:rPr>
        <w:t xml:space="preserve"> </w:t>
      </w:r>
      <w:r>
        <w:t>ages</w:t>
      </w:r>
      <w:r>
        <w:rPr>
          <w:spacing w:val="-4"/>
        </w:rPr>
        <w:t xml:space="preserve"> </w:t>
      </w:r>
      <w:r>
        <w:t>(i.e.,</w:t>
      </w:r>
      <w:r>
        <w:rPr>
          <w:spacing w:val="-2"/>
        </w:rPr>
        <w:t xml:space="preserve"> </w:t>
      </w:r>
      <w:r>
        <w:t>adolescents,</w:t>
      </w:r>
      <w:r>
        <w:rPr>
          <w:spacing w:val="-4"/>
        </w:rPr>
        <w:t xml:space="preserve"> </w:t>
      </w:r>
      <w:r>
        <w:t>young</w:t>
      </w:r>
      <w:r>
        <w:rPr>
          <w:spacing w:val="-3"/>
        </w:rPr>
        <w:t xml:space="preserve"> </w:t>
      </w:r>
      <w:r>
        <w:t>adults,</w:t>
      </w:r>
      <w:r>
        <w:rPr>
          <w:spacing w:val="-2"/>
        </w:rPr>
        <w:t xml:space="preserve"> </w:t>
      </w:r>
      <w:r>
        <w:t>and</w:t>
      </w:r>
      <w:r>
        <w:rPr>
          <w:spacing w:val="-3"/>
        </w:rPr>
        <w:t xml:space="preserve"> </w:t>
      </w:r>
      <w:r>
        <w:t>older</w:t>
      </w:r>
      <w:r>
        <w:rPr>
          <w:spacing w:val="-2"/>
        </w:rPr>
        <w:t xml:space="preserve"> </w:t>
      </w:r>
      <w:r>
        <w:t>adults), genders, and racial and ethnic groups (Lenz et al., 2016).</w:t>
      </w:r>
    </w:p>
    <w:p w14:paraId="708A7DCD" w14:textId="77777777" w:rsidR="00DB6E1F" w:rsidRDefault="00F666A6">
      <w:pPr>
        <w:pStyle w:val="BodyText"/>
        <w:spacing w:before="159"/>
        <w:ind w:left="1436" w:right="1466" w:firstLine="2"/>
      </w:pPr>
      <w:r>
        <w:t>Special</w:t>
      </w:r>
      <w:r>
        <w:rPr>
          <w:spacing w:val="-2"/>
        </w:rPr>
        <w:t xml:space="preserve"> </w:t>
      </w:r>
      <w:r>
        <w:t>applications</w:t>
      </w:r>
      <w:r>
        <w:rPr>
          <w:spacing w:val="-2"/>
        </w:rPr>
        <w:t xml:space="preserve"> </w:t>
      </w:r>
      <w:r>
        <w:t>of</w:t>
      </w:r>
      <w:r>
        <w:rPr>
          <w:spacing w:val="-7"/>
        </w:rPr>
        <w:t xml:space="preserve"> </w:t>
      </w:r>
      <w:r>
        <w:t>motivational</w:t>
      </w:r>
      <w:r>
        <w:rPr>
          <w:spacing w:val="-2"/>
        </w:rPr>
        <w:t xml:space="preserve"> </w:t>
      </w:r>
      <w:r>
        <w:t>approaches</w:t>
      </w:r>
      <w:r>
        <w:rPr>
          <w:spacing w:val="-2"/>
        </w:rPr>
        <w:t xml:space="preserve"> </w:t>
      </w:r>
      <w:r>
        <w:t>have</w:t>
      </w:r>
      <w:r>
        <w:rPr>
          <w:spacing w:val="-1"/>
        </w:rPr>
        <w:t xml:space="preserve"> </w:t>
      </w:r>
      <w:r>
        <w:t>been</w:t>
      </w:r>
      <w:r>
        <w:rPr>
          <w:spacing w:val="-4"/>
        </w:rPr>
        <w:t xml:space="preserve"> </w:t>
      </w:r>
      <w:r>
        <w:t>su</w:t>
      </w:r>
      <w:r>
        <w:t>ccessfully</w:t>
      </w:r>
      <w:r>
        <w:rPr>
          <w:spacing w:val="-3"/>
        </w:rPr>
        <w:t xml:space="preserve"> </w:t>
      </w:r>
      <w:r>
        <w:t>employed</w:t>
      </w:r>
      <w:r>
        <w:rPr>
          <w:spacing w:val="-5"/>
        </w:rPr>
        <w:t xml:space="preserve"> </w:t>
      </w:r>
      <w:r>
        <w:t>as</w:t>
      </w:r>
      <w:r>
        <w:rPr>
          <w:spacing w:val="-2"/>
        </w:rPr>
        <w:t xml:space="preserve"> </w:t>
      </w:r>
      <w:r>
        <w:t>stand-alone</w:t>
      </w:r>
      <w:r>
        <w:rPr>
          <w:spacing w:val="-1"/>
        </w:rPr>
        <w:t xml:space="preserve"> </w:t>
      </w:r>
      <w:r>
        <w:t>or</w:t>
      </w:r>
      <w:r>
        <w:rPr>
          <w:spacing w:val="-2"/>
        </w:rPr>
        <w:t xml:space="preserve"> </w:t>
      </w:r>
      <w:r>
        <w:t>add- on interventions for people with diabetes, chronic pain, cardiovascular disease, HIV, CODs, eating disorders, and opioid use disorder, as well as for pregnant women who drink or use illicit drugs (Alperstein</w:t>
      </w:r>
      <w:r>
        <w:rPr>
          <w:spacing w:val="-3"/>
        </w:rPr>
        <w:t xml:space="preserve"> </w:t>
      </w:r>
      <w:r>
        <w:t>&amp; Sha</w:t>
      </w:r>
      <w:r>
        <w:t>rpe,</w:t>
      </w:r>
      <w:r>
        <w:rPr>
          <w:spacing w:val="-2"/>
        </w:rPr>
        <w:t xml:space="preserve"> </w:t>
      </w:r>
      <w:r>
        <w:t>2016; Barnes</w:t>
      </w:r>
      <w:r>
        <w:rPr>
          <w:spacing w:val="-2"/>
        </w:rPr>
        <w:t xml:space="preserve"> </w:t>
      </w:r>
      <w:r>
        <w:t>&amp; Ivezaj,</w:t>
      </w:r>
      <w:r>
        <w:rPr>
          <w:spacing w:val="-2"/>
        </w:rPr>
        <w:t xml:space="preserve"> </w:t>
      </w:r>
      <w:r>
        <w:t>2015;</w:t>
      </w:r>
      <w:r>
        <w:rPr>
          <w:spacing w:val="-1"/>
        </w:rPr>
        <w:t xml:space="preserve"> </w:t>
      </w:r>
      <w:r>
        <w:t>Dillard, Zuniga, &amp; Holstad,</w:t>
      </w:r>
      <w:r>
        <w:rPr>
          <w:spacing w:val="-2"/>
        </w:rPr>
        <w:t xml:space="preserve"> </w:t>
      </w:r>
      <w:r>
        <w:t>2017;</w:t>
      </w:r>
      <w:r>
        <w:rPr>
          <w:spacing w:val="-1"/>
        </w:rPr>
        <w:t xml:space="preserve"> </w:t>
      </w:r>
      <w:r>
        <w:t>Ekong</w:t>
      </w:r>
      <w:r>
        <w:rPr>
          <w:spacing w:val="-1"/>
        </w:rPr>
        <w:t xml:space="preserve"> </w:t>
      </w:r>
      <w:r>
        <w:t>&amp;</w:t>
      </w:r>
      <w:r>
        <w:rPr>
          <w:spacing w:val="-2"/>
        </w:rPr>
        <w:t xml:space="preserve"> </w:t>
      </w:r>
      <w:r>
        <w:t>Kavookjian, 2016; Hunt, Siegfried, Morley, Sitharthan, &amp; Cleary, 2013,: Ingersoll, Ceperich, Hettema, Farrell- Carnahan, &amp; Penberthy, 2013; Lee, Choi, Yum, Yu, &amp; Chair, 2016; Moore</w:t>
      </w:r>
      <w:r>
        <w:t>, Flamez, &amp; Szirony, 2017; Mumba,</w:t>
      </w:r>
      <w:r>
        <w:rPr>
          <w:spacing w:val="40"/>
        </w:rPr>
        <w:t xml:space="preserve"> </w:t>
      </w:r>
      <w:r>
        <w:t>Findlay, &amp; Snow,</w:t>
      </w:r>
      <w:r>
        <w:rPr>
          <w:spacing w:val="40"/>
        </w:rPr>
        <w:t xml:space="preserve"> </w:t>
      </w:r>
      <w:r>
        <w:t>2018; Osterman, Lewis, &amp; Winhusen, 2017; Soderlund, 2017; Vella-Zarb, Mills, Westra, Carter, &amp; Keating, 2014). The universality of motivational intervention concepts permits broad application and offers gr</w:t>
      </w:r>
      <w:r>
        <w:t>eat potential to reach</w:t>
      </w:r>
      <w:r>
        <w:rPr>
          <w:spacing w:val="-1"/>
        </w:rPr>
        <w:t xml:space="preserve"> </w:t>
      </w:r>
      <w:r>
        <w:t>diverse clients with many types of</w:t>
      </w:r>
      <w:r>
        <w:rPr>
          <w:spacing w:val="-1"/>
        </w:rPr>
        <w:t xml:space="preserve"> </w:t>
      </w:r>
      <w:r>
        <w:t>problems</w:t>
      </w:r>
      <w:r>
        <w:rPr>
          <w:spacing w:val="-1"/>
        </w:rPr>
        <w:t xml:space="preserve"> </w:t>
      </w:r>
      <w:r>
        <w:t>and in many settings.</w:t>
      </w:r>
    </w:p>
    <w:p w14:paraId="0C090847" w14:textId="77777777" w:rsidR="00DB6E1F" w:rsidRDefault="00F666A6">
      <w:pPr>
        <w:pStyle w:val="Heading3"/>
        <w:spacing w:before="164"/>
      </w:pPr>
      <w:bookmarkStart w:id="74" w:name="Cultural_Responsiveness"/>
      <w:bookmarkEnd w:id="74"/>
      <w:r>
        <w:t>Cultural</w:t>
      </w:r>
      <w:r>
        <w:rPr>
          <w:spacing w:val="-12"/>
        </w:rPr>
        <w:t xml:space="preserve"> </w:t>
      </w:r>
      <w:r>
        <w:rPr>
          <w:spacing w:val="-2"/>
        </w:rPr>
        <w:t>Responsiveness</w:t>
      </w:r>
    </w:p>
    <w:p w14:paraId="518F475C" w14:textId="77777777" w:rsidR="00DB6E1F" w:rsidRDefault="00F666A6">
      <w:pPr>
        <w:pStyle w:val="BodyText"/>
        <w:spacing w:before="141"/>
        <w:ind w:left="1439" w:right="1459"/>
      </w:pPr>
      <w:r>
        <w:t>Clients in treatment for SUDs differ in ethnic, racial, and cultural backgrounds. Research and experience suggest that the change process is si</w:t>
      </w:r>
      <w:r>
        <w:t>milar across different populations. The principles and mechanisms of</w:t>
      </w:r>
      <w:r>
        <w:rPr>
          <w:spacing w:val="-2"/>
        </w:rPr>
        <w:t xml:space="preserve"> </w:t>
      </w:r>
      <w:r>
        <w:t>enhancing</w:t>
      </w:r>
      <w:r>
        <w:rPr>
          <w:spacing w:val="-5"/>
        </w:rPr>
        <w:t xml:space="preserve"> </w:t>
      </w:r>
      <w:r>
        <w:t>motivation</w:t>
      </w:r>
      <w:r>
        <w:rPr>
          <w:spacing w:val="-5"/>
        </w:rPr>
        <w:t xml:space="preserve"> </w:t>
      </w:r>
      <w:r>
        <w:t>to</w:t>
      </w:r>
      <w:r>
        <w:rPr>
          <w:spacing w:val="-3"/>
        </w:rPr>
        <w:t xml:space="preserve"> </w:t>
      </w:r>
      <w:r>
        <w:t>change</w:t>
      </w:r>
      <w:r>
        <w:rPr>
          <w:spacing w:val="-2"/>
        </w:rPr>
        <w:t xml:space="preserve"> </w:t>
      </w:r>
      <w:r>
        <w:t>seem</w:t>
      </w:r>
      <w:r>
        <w:rPr>
          <w:spacing w:val="-3"/>
        </w:rPr>
        <w:t xml:space="preserve"> </w:t>
      </w:r>
      <w:r>
        <w:t>to</w:t>
      </w:r>
      <w:r>
        <w:rPr>
          <w:spacing w:val="-1"/>
        </w:rPr>
        <w:t xml:space="preserve"> </w:t>
      </w:r>
      <w:r>
        <w:t>be</w:t>
      </w:r>
      <w:r>
        <w:rPr>
          <w:spacing w:val="-2"/>
        </w:rPr>
        <w:t xml:space="preserve"> </w:t>
      </w:r>
      <w:r>
        <w:t>broadly</w:t>
      </w:r>
      <w:r>
        <w:rPr>
          <w:spacing w:val="-1"/>
        </w:rPr>
        <w:t xml:space="preserve"> </w:t>
      </w:r>
      <w:r>
        <w:t>applicable. For</w:t>
      </w:r>
      <w:r>
        <w:rPr>
          <w:spacing w:val="-2"/>
        </w:rPr>
        <w:t xml:space="preserve"> </w:t>
      </w:r>
      <w:r>
        <w:t>example,</w:t>
      </w:r>
      <w:r>
        <w:rPr>
          <w:spacing w:val="-4"/>
        </w:rPr>
        <w:t xml:space="preserve"> </w:t>
      </w:r>
      <w:r>
        <w:t>one</w:t>
      </w:r>
      <w:r>
        <w:rPr>
          <w:spacing w:val="-2"/>
        </w:rPr>
        <w:t xml:space="preserve"> </w:t>
      </w:r>
      <w:r>
        <w:t>study</w:t>
      </w:r>
      <w:r>
        <w:rPr>
          <w:spacing w:val="-1"/>
        </w:rPr>
        <w:t xml:space="preserve"> </w:t>
      </w:r>
      <w:r>
        <w:t>found</w:t>
      </w:r>
      <w:r>
        <w:rPr>
          <w:spacing w:val="-3"/>
        </w:rPr>
        <w:t xml:space="preserve"> </w:t>
      </w:r>
      <w:r>
        <w:t>that</w:t>
      </w:r>
      <w:r>
        <w:rPr>
          <w:spacing w:val="-4"/>
        </w:rPr>
        <w:t xml:space="preserve"> </w:t>
      </w:r>
      <w:r>
        <w:t>MI was</w:t>
      </w:r>
      <w:r>
        <w:rPr>
          <w:spacing w:val="-2"/>
        </w:rPr>
        <w:t xml:space="preserve"> </w:t>
      </w:r>
      <w:r>
        <w:t>one</w:t>
      </w:r>
      <w:r>
        <w:rPr>
          <w:spacing w:val="-1"/>
        </w:rPr>
        <w:t xml:space="preserve"> </w:t>
      </w:r>
      <w:r>
        <w:t>of two evidence-based</w:t>
      </w:r>
      <w:r>
        <w:rPr>
          <w:spacing w:val="-1"/>
        </w:rPr>
        <w:t xml:space="preserve"> </w:t>
      </w:r>
      <w:r>
        <w:t>treatments</w:t>
      </w:r>
      <w:r>
        <w:rPr>
          <w:spacing w:val="-2"/>
        </w:rPr>
        <w:t xml:space="preserve"> </w:t>
      </w:r>
      <w:r>
        <w:t>endorsed</w:t>
      </w:r>
      <w:r>
        <w:rPr>
          <w:spacing w:val="-3"/>
        </w:rPr>
        <w:t xml:space="preserve"> </w:t>
      </w:r>
      <w:r>
        <w:t>as culturally</w:t>
      </w:r>
      <w:r>
        <w:rPr>
          <w:spacing w:val="-1"/>
        </w:rPr>
        <w:t xml:space="preserve"> </w:t>
      </w:r>
      <w:r>
        <w:t>appropriate by</w:t>
      </w:r>
      <w:r>
        <w:rPr>
          <w:spacing w:val="-1"/>
        </w:rPr>
        <w:t xml:space="preserve"> </w:t>
      </w:r>
      <w:r>
        <w:t>a majority</w:t>
      </w:r>
      <w:r>
        <w:rPr>
          <w:spacing w:val="-1"/>
        </w:rPr>
        <w:t xml:space="preserve"> </w:t>
      </w:r>
      <w:r>
        <w:t>of surveyed SUD treatment programs serving American Indian and Alaska Native (AI/AN) clients (Novins, Croy, Moore, &amp; Rieckmann, 2016).</w:t>
      </w:r>
    </w:p>
    <w:p w14:paraId="00B17DC6" w14:textId="77777777" w:rsidR="00DB6E1F" w:rsidRDefault="00DB6E1F">
      <w:pPr>
        <w:pStyle w:val="BodyText"/>
        <w:spacing w:before="4"/>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1D7835DA" w14:textId="77777777">
        <w:trPr>
          <w:trHeight w:val="1096"/>
        </w:trPr>
        <w:tc>
          <w:tcPr>
            <w:tcW w:w="9350" w:type="dxa"/>
            <w:shd w:val="clear" w:color="auto" w:fill="E7E6E6"/>
          </w:tcPr>
          <w:p w14:paraId="3432D73E" w14:textId="77777777" w:rsidR="00DB6E1F" w:rsidRDefault="00F666A6">
            <w:pPr>
              <w:pStyle w:val="TableParagraph"/>
              <w:spacing w:before="0"/>
              <w:rPr>
                <w:sz w:val="20"/>
              </w:rPr>
            </w:pPr>
            <w:r>
              <w:rPr>
                <w:sz w:val="20"/>
              </w:rPr>
              <w:t>“Processes for engaging do differ across cultures, but listening lies at the heart of nearly a</w:t>
            </w:r>
            <w:r>
              <w:rPr>
                <w:sz w:val="20"/>
              </w:rPr>
              <w:t>ll of them. Good listening crosses cultures as well. It stretches the imagination to think of people who don’t appreciate being welcomed,</w:t>
            </w:r>
            <w:r>
              <w:rPr>
                <w:spacing w:val="-3"/>
                <w:sz w:val="20"/>
              </w:rPr>
              <w:t xml:space="preserve"> </w:t>
            </w:r>
            <w:r>
              <w:rPr>
                <w:sz w:val="20"/>
              </w:rPr>
              <w:t>heard,</w:t>
            </w:r>
            <w:r>
              <w:rPr>
                <w:spacing w:val="-3"/>
                <w:sz w:val="20"/>
              </w:rPr>
              <w:t xml:space="preserve"> </w:t>
            </w:r>
            <w:r>
              <w:rPr>
                <w:sz w:val="20"/>
              </w:rPr>
              <w:t>understood,</w:t>
            </w:r>
            <w:r>
              <w:rPr>
                <w:spacing w:val="-3"/>
                <w:sz w:val="20"/>
              </w:rPr>
              <w:t xml:space="preserve"> </w:t>
            </w:r>
            <w:r>
              <w:rPr>
                <w:sz w:val="20"/>
              </w:rPr>
              <w:t>affirmed,</w:t>
            </w:r>
            <w:r>
              <w:rPr>
                <w:spacing w:val="-3"/>
                <w:sz w:val="20"/>
              </w:rPr>
              <w:t xml:space="preserve"> </w:t>
            </w:r>
            <w:r>
              <w:rPr>
                <w:sz w:val="20"/>
              </w:rPr>
              <w:t>and</w:t>
            </w:r>
            <w:r>
              <w:rPr>
                <w:spacing w:val="-3"/>
                <w:sz w:val="20"/>
              </w:rPr>
              <w:t xml:space="preserve"> </w:t>
            </w:r>
            <w:r>
              <w:rPr>
                <w:sz w:val="20"/>
              </w:rPr>
              <w:t>recognized</w:t>
            </w:r>
            <w:r>
              <w:rPr>
                <w:spacing w:val="-3"/>
                <w:sz w:val="20"/>
              </w:rPr>
              <w:t xml:space="preserve"> </w:t>
            </w:r>
            <w:r>
              <w:rPr>
                <w:sz w:val="20"/>
              </w:rPr>
              <w:t>as</w:t>
            </w:r>
            <w:r>
              <w:rPr>
                <w:spacing w:val="-3"/>
                <w:sz w:val="20"/>
              </w:rPr>
              <w:t xml:space="preserve"> </w:t>
            </w:r>
            <w:r>
              <w:rPr>
                <w:sz w:val="20"/>
              </w:rPr>
              <w:t>autonomous</w:t>
            </w:r>
            <w:r>
              <w:rPr>
                <w:spacing w:val="-5"/>
                <w:sz w:val="20"/>
              </w:rPr>
              <w:t xml:space="preserve"> </w:t>
            </w:r>
            <w:r>
              <w:rPr>
                <w:sz w:val="20"/>
              </w:rPr>
              <w:t>human</w:t>
            </w:r>
            <w:r>
              <w:rPr>
                <w:spacing w:val="-3"/>
                <w:sz w:val="20"/>
              </w:rPr>
              <w:t xml:space="preserve"> </w:t>
            </w:r>
            <w:r>
              <w:rPr>
                <w:sz w:val="20"/>
              </w:rPr>
              <w:t>beings.</w:t>
            </w:r>
            <w:r>
              <w:rPr>
                <w:spacing w:val="-4"/>
                <w:sz w:val="20"/>
              </w:rPr>
              <w:t xml:space="preserve"> </w:t>
            </w:r>
            <w:r>
              <w:rPr>
                <w:sz w:val="20"/>
              </w:rPr>
              <w:t>In</w:t>
            </w:r>
            <w:r>
              <w:rPr>
                <w:spacing w:val="-3"/>
                <w:sz w:val="20"/>
              </w:rPr>
              <w:t xml:space="preserve"> </w:t>
            </w:r>
            <w:r>
              <w:rPr>
                <w:sz w:val="20"/>
              </w:rPr>
              <w:t>our</w:t>
            </w:r>
            <w:r>
              <w:rPr>
                <w:spacing w:val="-4"/>
                <w:sz w:val="20"/>
              </w:rPr>
              <w:t xml:space="preserve"> </w:t>
            </w:r>
            <w:r>
              <w:rPr>
                <w:sz w:val="20"/>
              </w:rPr>
              <w:t>experience</w:t>
            </w:r>
            <w:r>
              <w:rPr>
                <w:spacing w:val="-5"/>
                <w:sz w:val="20"/>
              </w:rPr>
              <w:t xml:space="preserve"> </w:t>
            </w:r>
            <w:r>
              <w:rPr>
                <w:sz w:val="20"/>
              </w:rPr>
              <w:t>these are universally valued</w:t>
            </w:r>
            <w:r>
              <w:rPr>
                <w:sz w:val="20"/>
              </w:rPr>
              <w:t>.”–Miller &amp; Rollnick, 2013, p. 349</w:t>
            </w:r>
          </w:p>
        </w:tc>
      </w:tr>
    </w:tbl>
    <w:p w14:paraId="27B6A062" w14:textId="77777777" w:rsidR="00DB6E1F" w:rsidRDefault="00F666A6">
      <w:pPr>
        <w:pStyle w:val="BodyText"/>
        <w:spacing w:before="157"/>
        <w:ind w:left="1439" w:right="1286"/>
      </w:pPr>
      <w:r>
        <w:t>There may be important differences among populations and cultural contexts regarding expression of motivation for change and the importance of critical life events. Get familiar with the populations with whom you expect to establish treatment relationships</w:t>
      </w:r>
      <w:r>
        <w:t>, be open to listening to and learning from clients about their cultures and their own theories of change, and adapt motivational counseling approaches in consideration</w:t>
      </w:r>
      <w:r>
        <w:rPr>
          <w:spacing w:val="-4"/>
        </w:rPr>
        <w:t xml:space="preserve"> </w:t>
      </w:r>
      <w:r>
        <w:t>of</w:t>
      </w:r>
      <w:r>
        <w:rPr>
          <w:spacing w:val="-1"/>
        </w:rPr>
        <w:t xml:space="preserve"> </w:t>
      </w:r>
      <w:r>
        <w:t>specific</w:t>
      </w:r>
      <w:r>
        <w:rPr>
          <w:spacing w:val="-1"/>
        </w:rPr>
        <w:t xml:space="preserve"> </w:t>
      </w:r>
      <w:r>
        <w:t>cultural</w:t>
      </w:r>
      <w:r>
        <w:rPr>
          <w:spacing w:val="-1"/>
        </w:rPr>
        <w:t xml:space="preserve"> </w:t>
      </w:r>
      <w:r>
        <w:t>norms</w:t>
      </w:r>
      <w:r>
        <w:rPr>
          <w:spacing w:val="-1"/>
        </w:rPr>
        <w:t xml:space="preserve"> </w:t>
      </w:r>
      <w:r>
        <w:t>(Ewing,</w:t>
      </w:r>
      <w:r>
        <w:rPr>
          <w:spacing w:val="-3"/>
        </w:rPr>
        <w:t xml:space="preserve"> </w:t>
      </w:r>
      <w:r>
        <w:t>Wray,</w:t>
      </w:r>
      <w:r>
        <w:rPr>
          <w:spacing w:val="-6"/>
        </w:rPr>
        <w:t xml:space="preserve"> </w:t>
      </w:r>
      <w:r>
        <w:t>Mead,</w:t>
      </w:r>
      <w:r>
        <w:rPr>
          <w:spacing w:val="-3"/>
        </w:rPr>
        <w:t xml:space="preserve"> </w:t>
      </w:r>
      <w:r>
        <w:t>&amp; Adams,</w:t>
      </w:r>
      <w:r>
        <w:rPr>
          <w:spacing w:val="-3"/>
        </w:rPr>
        <w:t xml:space="preserve"> </w:t>
      </w:r>
      <w:r>
        <w:t>2012).</w:t>
      </w:r>
      <w:r>
        <w:rPr>
          <w:spacing w:val="-1"/>
        </w:rPr>
        <w:t xml:space="preserve"> </w:t>
      </w:r>
      <w:r>
        <w:t>For</w:t>
      </w:r>
      <w:r>
        <w:rPr>
          <w:spacing w:val="-3"/>
        </w:rPr>
        <w:t xml:space="preserve"> </w:t>
      </w:r>
      <w:r>
        <w:t>example,</w:t>
      </w:r>
      <w:r>
        <w:rPr>
          <w:spacing w:val="-1"/>
        </w:rPr>
        <w:t xml:space="preserve"> </w:t>
      </w:r>
      <w:r>
        <w:t>a</w:t>
      </w:r>
      <w:r>
        <w:rPr>
          <w:spacing w:val="-6"/>
        </w:rPr>
        <w:t xml:space="preserve"> </w:t>
      </w:r>
      <w:r>
        <w:t>manual</w:t>
      </w:r>
      <w:r>
        <w:rPr>
          <w:spacing w:val="-1"/>
        </w:rPr>
        <w:t xml:space="preserve"> </w:t>
      </w:r>
      <w:r>
        <w:t>for adapting MI for use in treating AI/AN populations includes a spiritual component that uses a prayer to describe MI and several spiritual ceremonies to explain MI (Venner, Feldstein, &amp; Tafoya, 2006).</w:t>
      </w:r>
    </w:p>
    <w:p w14:paraId="2433A9EE" w14:textId="77777777" w:rsidR="00DB6E1F" w:rsidRDefault="00F666A6">
      <w:pPr>
        <w:pStyle w:val="BodyText"/>
        <w:spacing w:before="160"/>
        <w:ind w:left="1439" w:right="1491"/>
      </w:pPr>
      <w:r>
        <w:t>MI’s</w:t>
      </w:r>
      <w:r>
        <w:rPr>
          <w:spacing w:val="-2"/>
        </w:rPr>
        <w:t xml:space="preserve"> </w:t>
      </w:r>
      <w:r>
        <w:t>core</w:t>
      </w:r>
      <w:r>
        <w:rPr>
          <w:spacing w:val="-4"/>
        </w:rPr>
        <w:t xml:space="preserve"> </w:t>
      </w:r>
      <w:r>
        <w:t>elements,</w:t>
      </w:r>
      <w:r>
        <w:rPr>
          <w:spacing w:val="-2"/>
        </w:rPr>
        <w:t xml:space="preserve"> </w:t>
      </w:r>
      <w:r>
        <w:t>including</w:t>
      </w:r>
      <w:r>
        <w:rPr>
          <w:spacing w:val="-3"/>
        </w:rPr>
        <w:t xml:space="preserve"> </w:t>
      </w:r>
      <w:r>
        <w:t>its</w:t>
      </w:r>
      <w:r>
        <w:rPr>
          <w:spacing w:val="-2"/>
        </w:rPr>
        <w:t xml:space="preserve"> </w:t>
      </w:r>
      <w:r>
        <w:t>emphasis</w:t>
      </w:r>
      <w:r>
        <w:rPr>
          <w:spacing w:val="-4"/>
        </w:rPr>
        <w:t xml:space="preserve"> </w:t>
      </w:r>
      <w:r>
        <w:t>on</w:t>
      </w:r>
      <w:r>
        <w:rPr>
          <w:spacing w:val="-3"/>
        </w:rPr>
        <w:t xml:space="preserve"> </w:t>
      </w:r>
      <w:r>
        <w:t>collaboration,</w:t>
      </w:r>
      <w:r>
        <w:rPr>
          <w:spacing w:val="-4"/>
        </w:rPr>
        <w:t xml:space="preserve"> </w:t>
      </w:r>
      <w:r>
        <w:t>evoking</w:t>
      </w:r>
      <w:r>
        <w:rPr>
          <w:spacing w:val="-3"/>
        </w:rPr>
        <w:t xml:space="preserve"> </w:t>
      </w:r>
      <w:r>
        <w:t>clients’</w:t>
      </w:r>
      <w:r>
        <w:rPr>
          <w:spacing w:val="-2"/>
        </w:rPr>
        <w:t xml:space="preserve"> </w:t>
      </w:r>
      <w:r>
        <w:t>perspectives,</w:t>
      </w:r>
      <w:r>
        <w:rPr>
          <w:spacing w:val="-2"/>
        </w:rPr>
        <w:t xml:space="preserve"> </w:t>
      </w:r>
      <w:r>
        <w:t>and</w:t>
      </w:r>
      <w:r>
        <w:rPr>
          <w:spacing w:val="-3"/>
        </w:rPr>
        <w:t xml:space="preserve"> </w:t>
      </w:r>
      <w:r>
        <w:t>honoring clients’ autonomy, align well culturally with African Americans (Harley, 2017; Montgomery, Robinson, Seaman, &amp; Haeny, 2017). However, some African American women may be less comfortable with a pure</w:t>
      </w:r>
      <w:r>
        <w:t>ly client-centered approach (Ewing et al., 2012). Viable approaches to adapting MI for African Americans include training peers to deliver MI, incorporating moderate amounts of advice, and implementing MI approaches in community settings such as a local ch</w:t>
      </w:r>
      <w:r>
        <w:t>urch (Harley, 2017).</w:t>
      </w:r>
    </w:p>
    <w:p w14:paraId="6D0AD4E1" w14:textId="77777777" w:rsidR="00DB6E1F" w:rsidRDefault="00F666A6">
      <w:pPr>
        <w:pStyle w:val="BodyText"/>
        <w:spacing w:before="160"/>
        <w:ind w:left="1439" w:right="1491"/>
      </w:pPr>
      <w:r>
        <w:t>Because</w:t>
      </w:r>
      <w:r>
        <w:rPr>
          <w:spacing w:val="-5"/>
        </w:rPr>
        <w:t xml:space="preserve"> </w:t>
      </w:r>
      <w:r>
        <w:t>motivational</w:t>
      </w:r>
      <w:r>
        <w:rPr>
          <w:spacing w:val="-3"/>
        </w:rPr>
        <w:t xml:space="preserve"> </w:t>
      </w:r>
      <w:r>
        <w:t>strategies</w:t>
      </w:r>
      <w:r>
        <w:rPr>
          <w:spacing w:val="-3"/>
        </w:rPr>
        <w:t xml:space="preserve"> </w:t>
      </w:r>
      <w:r>
        <w:t>emphasize</w:t>
      </w:r>
      <w:r>
        <w:rPr>
          <w:spacing w:val="-5"/>
        </w:rPr>
        <w:t xml:space="preserve"> </w:t>
      </w:r>
      <w:r>
        <w:t>the</w:t>
      </w:r>
      <w:r>
        <w:rPr>
          <w:spacing w:val="-2"/>
        </w:rPr>
        <w:t xml:space="preserve"> </w:t>
      </w:r>
      <w:r>
        <w:t>client’s</w:t>
      </w:r>
      <w:r>
        <w:rPr>
          <w:spacing w:val="-3"/>
        </w:rPr>
        <w:t xml:space="preserve"> </w:t>
      </w:r>
      <w:r>
        <w:t>responsibility</w:t>
      </w:r>
      <w:r>
        <w:rPr>
          <w:spacing w:val="-4"/>
        </w:rPr>
        <w:t xml:space="preserve"> </w:t>
      </w:r>
      <w:r>
        <w:t>to</w:t>
      </w:r>
      <w:r>
        <w:rPr>
          <w:spacing w:val="-4"/>
        </w:rPr>
        <w:t xml:space="preserve"> </w:t>
      </w:r>
      <w:r>
        <w:t>voice</w:t>
      </w:r>
      <w:r>
        <w:rPr>
          <w:spacing w:val="-5"/>
        </w:rPr>
        <w:t xml:space="preserve"> </w:t>
      </w:r>
      <w:r>
        <w:t>personal</w:t>
      </w:r>
      <w:r>
        <w:rPr>
          <w:spacing w:val="-3"/>
        </w:rPr>
        <w:t xml:space="preserve"> </w:t>
      </w:r>
      <w:r>
        <w:t>goals</w:t>
      </w:r>
      <w:r>
        <w:rPr>
          <w:spacing w:val="-3"/>
        </w:rPr>
        <w:t xml:space="preserve"> </w:t>
      </w:r>
      <w:r>
        <w:t>and</w:t>
      </w:r>
      <w:r>
        <w:rPr>
          <w:spacing w:val="-6"/>
        </w:rPr>
        <w:t xml:space="preserve"> </w:t>
      </w:r>
      <w:r>
        <w:t>values as well as to select among options for change, you should respond in a nonjudgmental way to cultural differences. Cultural differe</w:t>
      </w:r>
      <w:r>
        <w:t>nces might be reflected in the value of health, the meaning of time, the meaning of alcohol or drug use, or responsibilities to community and family. Try to understand the</w:t>
      </w:r>
    </w:p>
    <w:p w14:paraId="5395B3E3" w14:textId="77777777" w:rsidR="00DB6E1F" w:rsidRDefault="00DB6E1F">
      <w:pPr>
        <w:sectPr w:rsidR="00DB6E1F">
          <w:pgSz w:w="12240" w:h="15840"/>
          <w:pgMar w:top="1200" w:right="0" w:bottom="780" w:left="0" w:header="763" w:footer="585" w:gutter="0"/>
          <w:cols w:space="720"/>
        </w:sectPr>
      </w:pPr>
    </w:p>
    <w:p w14:paraId="3122DC2A" w14:textId="77777777" w:rsidR="00DB6E1F" w:rsidRDefault="00DB6E1F">
      <w:pPr>
        <w:pStyle w:val="BodyText"/>
        <w:spacing w:before="8"/>
        <w:rPr>
          <w:sz w:val="14"/>
        </w:rPr>
      </w:pPr>
    </w:p>
    <w:p w14:paraId="216502CA" w14:textId="77777777" w:rsidR="00DB6E1F" w:rsidRDefault="00F666A6">
      <w:pPr>
        <w:pStyle w:val="BodyText"/>
        <w:spacing w:before="56"/>
        <w:ind w:left="1439" w:right="1491"/>
      </w:pPr>
      <w:r>
        <w:t>client’s perspective rather than impose mainstream values or make qui</w:t>
      </w:r>
      <w:r>
        <w:t>ck judgments. This requires knowledge of the influences that promote or sustain substance use and enhance motivation</w:t>
      </w:r>
      <w:r>
        <w:rPr>
          <w:spacing w:val="-1"/>
        </w:rPr>
        <w:t xml:space="preserve"> </w:t>
      </w:r>
      <w:r>
        <w:t>to change among different populations. Motivation-enhancing strategies should be congruent with a client’s cultural</w:t>
      </w:r>
      <w:r>
        <w:rPr>
          <w:spacing w:val="-2"/>
        </w:rPr>
        <w:t xml:space="preserve"> </w:t>
      </w:r>
      <w:r>
        <w:t>and</w:t>
      </w:r>
      <w:r>
        <w:rPr>
          <w:spacing w:val="-3"/>
        </w:rPr>
        <w:t xml:space="preserve"> </w:t>
      </w:r>
      <w:r>
        <w:t>social</w:t>
      </w:r>
      <w:r>
        <w:rPr>
          <w:spacing w:val="-2"/>
        </w:rPr>
        <w:t xml:space="preserve"> </w:t>
      </w:r>
      <w:r>
        <w:t>principles,</w:t>
      </w:r>
      <w:r>
        <w:rPr>
          <w:spacing w:val="-2"/>
        </w:rPr>
        <w:t xml:space="preserve"> </w:t>
      </w:r>
      <w:r>
        <w:t>standards,</w:t>
      </w:r>
      <w:r>
        <w:rPr>
          <w:spacing w:val="-2"/>
        </w:rPr>
        <w:t xml:space="preserve"> </w:t>
      </w:r>
      <w:r>
        <w:t>and</w:t>
      </w:r>
      <w:r>
        <w:rPr>
          <w:spacing w:val="-5"/>
        </w:rPr>
        <w:t xml:space="preserve"> </w:t>
      </w:r>
      <w:r>
        <w:t>expectations.</w:t>
      </w:r>
      <w:r>
        <w:rPr>
          <w:spacing w:val="-2"/>
        </w:rPr>
        <w:t xml:space="preserve"> </w:t>
      </w:r>
      <w:r>
        <w:t>Exhibit</w:t>
      </w:r>
      <w:r>
        <w:rPr>
          <w:spacing w:val="-4"/>
        </w:rPr>
        <w:t xml:space="preserve"> </w:t>
      </w:r>
      <w:r>
        <w:t>2.4</w:t>
      </w:r>
      <w:r>
        <w:rPr>
          <w:spacing w:val="-3"/>
        </w:rPr>
        <w:t xml:space="preserve"> </w:t>
      </w:r>
      <w:r>
        <w:t>provides</w:t>
      </w:r>
      <w:r>
        <w:rPr>
          <w:spacing w:val="-2"/>
        </w:rPr>
        <w:t xml:space="preserve"> </w:t>
      </w:r>
      <w:r>
        <w:t>a</w:t>
      </w:r>
      <w:r>
        <w:rPr>
          <w:spacing w:val="-7"/>
        </w:rPr>
        <w:t xml:space="preserve"> </w:t>
      </w:r>
      <w:r>
        <w:t>mnemonic</w:t>
      </w:r>
      <w:r>
        <w:rPr>
          <w:spacing w:val="-4"/>
        </w:rPr>
        <w:t xml:space="preserve"> </w:t>
      </w:r>
      <w:r>
        <w:t>to</w:t>
      </w:r>
      <w:r>
        <w:rPr>
          <w:spacing w:val="-1"/>
        </w:rPr>
        <w:t xml:space="preserve"> </w:t>
      </w:r>
      <w:r>
        <w:t>help</w:t>
      </w:r>
      <w:r>
        <w:rPr>
          <w:spacing w:val="-5"/>
        </w:rPr>
        <w:t xml:space="preserve"> </w:t>
      </w:r>
      <w:r>
        <w:t>you remember the basic principles of cultural responsiveness.</w:t>
      </w:r>
    </w:p>
    <w:p w14:paraId="3B28B675" w14:textId="77777777" w:rsidR="00DB6E1F" w:rsidRDefault="00DB6E1F">
      <w:pPr>
        <w:pStyle w:val="BodyText"/>
        <w:spacing w:before="9"/>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6"/>
        <w:gridCol w:w="7694"/>
      </w:tblGrid>
      <w:tr w:rsidR="00DB6E1F" w14:paraId="402D425C" w14:textId="77777777">
        <w:trPr>
          <w:trHeight w:val="523"/>
        </w:trPr>
        <w:tc>
          <w:tcPr>
            <w:tcW w:w="9350" w:type="dxa"/>
            <w:gridSpan w:val="2"/>
            <w:tcBorders>
              <w:top w:val="nil"/>
              <w:left w:val="nil"/>
              <w:bottom w:val="nil"/>
              <w:right w:val="nil"/>
            </w:tcBorders>
            <w:shd w:val="clear" w:color="auto" w:fill="000000"/>
          </w:tcPr>
          <w:p w14:paraId="23EC6D63" w14:textId="77777777" w:rsidR="00DB6E1F" w:rsidRDefault="00F666A6">
            <w:pPr>
              <w:pStyle w:val="TableParagraph"/>
              <w:spacing w:before="112"/>
              <w:ind w:left="215"/>
              <w:rPr>
                <w:sz w:val="24"/>
              </w:rPr>
            </w:pPr>
            <w:r>
              <w:rPr>
                <w:color w:val="FFFFFF"/>
                <w:sz w:val="24"/>
              </w:rPr>
              <w:t>Exhibit</w:t>
            </w:r>
            <w:r>
              <w:rPr>
                <w:color w:val="FFFFFF"/>
                <w:spacing w:val="-5"/>
                <w:sz w:val="24"/>
              </w:rPr>
              <w:t xml:space="preserve"> </w:t>
            </w:r>
            <w:r>
              <w:rPr>
                <w:color w:val="FFFFFF"/>
                <w:sz w:val="24"/>
              </w:rPr>
              <w:t>2.4.</w:t>
            </w:r>
            <w:r>
              <w:rPr>
                <w:color w:val="FFFFFF"/>
                <w:spacing w:val="-1"/>
                <w:sz w:val="24"/>
              </w:rPr>
              <w:t xml:space="preserve"> </w:t>
            </w:r>
            <w:r>
              <w:rPr>
                <w:color w:val="FFFFFF"/>
                <w:sz w:val="24"/>
              </w:rPr>
              <w:t>RESPECT: A</w:t>
            </w:r>
            <w:r>
              <w:rPr>
                <w:color w:val="FFFFFF"/>
                <w:spacing w:val="-5"/>
                <w:sz w:val="24"/>
              </w:rPr>
              <w:t xml:space="preserve"> </w:t>
            </w:r>
            <w:r>
              <w:rPr>
                <w:color w:val="FFFFFF"/>
                <w:sz w:val="24"/>
              </w:rPr>
              <w:t>Mnemonic</w:t>
            </w:r>
            <w:r>
              <w:rPr>
                <w:color w:val="FFFFFF"/>
                <w:spacing w:val="-4"/>
                <w:sz w:val="24"/>
              </w:rPr>
              <w:t xml:space="preserve"> </w:t>
            </w:r>
            <w:r>
              <w:rPr>
                <w:color w:val="FFFFFF"/>
                <w:sz w:val="24"/>
              </w:rPr>
              <w:t xml:space="preserve">for Cultural </w:t>
            </w:r>
            <w:r>
              <w:rPr>
                <w:color w:val="FFFFFF"/>
                <w:spacing w:val="-2"/>
                <w:sz w:val="24"/>
              </w:rPr>
              <w:t>Responsiveness</w:t>
            </w:r>
          </w:p>
        </w:tc>
      </w:tr>
      <w:tr w:rsidR="00DB6E1F" w14:paraId="0617A631" w14:textId="77777777">
        <w:trPr>
          <w:trHeight w:val="609"/>
        </w:trPr>
        <w:tc>
          <w:tcPr>
            <w:tcW w:w="1656" w:type="dxa"/>
            <w:tcBorders>
              <w:top w:val="nil"/>
            </w:tcBorders>
          </w:tcPr>
          <w:p w14:paraId="2357A3A2" w14:textId="77777777" w:rsidR="00DB6E1F" w:rsidRDefault="00F666A6">
            <w:pPr>
              <w:pStyle w:val="TableParagraph"/>
              <w:rPr>
                <w:sz w:val="20"/>
              </w:rPr>
            </w:pPr>
            <w:r>
              <w:rPr>
                <w:spacing w:val="-2"/>
                <w:sz w:val="20"/>
              </w:rPr>
              <w:t>Respect</w:t>
            </w:r>
          </w:p>
        </w:tc>
        <w:tc>
          <w:tcPr>
            <w:tcW w:w="7694" w:type="dxa"/>
            <w:tcBorders>
              <w:top w:val="nil"/>
            </w:tcBorders>
          </w:tcPr>
          <w:p w14:paraId="742D3A04" w14:textId="77777777" w:rsidR="00DB6E1F" w:rsidRDefault="00F666A6">
            <w:pPr>
              <w:pStyle w:val="TableParagraph"/>
              <w:ind w:right="69"/>
              <w:rPr>
                <w:sz w:val="20"/>
              </w:rPr>
            </w:pPr>
            <w:r>
              <w:rPr>
                <w:sz w:val="20"/>
              </w:rPr>
              <w:t>Understand</w:t>
            </w:r>
            <w:r>
              <w:rPr>
                <w:spacing w:val="-3"/>
                <w:sz w:val="20"/>
              </w:rPr>
              <w:t xml:space="preserve"> </w:t>
            </w:r>
            <w:r>
              <w:rPr>
                <w:sz w:val="20"/>
              </w:rPr>
              <w:t>how</w:t>
            </w:r>
            <w:r>
              <w:rPr>
                <w:spacing w:val="-5"/>
                <w:sz w:val="20"/>
              </w:rPr>
              <w:t xml:space="preserve"> </w:t>
            </w:r>
            <w:r>
              <w:rPr>
                <w:sz w:val="20"/>
              </w:rPr>
              <w:t>respect</w:t>
            </w:r>
            <w:r>
              <w:rPr>
                <w:spacing w:val="-4"/>
                <w:sz w:val="20"/>
              </w:rPr>
              <w:t xml:space="preserve"> </w:t>
            </w:r>
            <w:r>
              <w:rPr>
                <w:sz w:val="20"/>
              </w:rPr>
              <w:t>is</w:t>
            </w:r>
            <w:r>
              <w:rPr>
                <w:spacing w:val="-5"/>
                <w:sz w:val="20"/>
              </w:rPr>
              <w:t xml:space="preserve"> </w:t>
            </w:r>
            <w:r>
              <w:rPr>
                <w:sz w:val="20"/>
              </w:rPr>
              <w:t>shown</w:t>
            </w:r>
            <w:r>
              <w:rPr>
                <w:spacing w:val="-3"/>
                <w:sz w:val="20"/>
              </w:rPr>
              <w:t xml:space="preserve"> </w:t>
            </w:r>
            <w:r>
              <w:rPr>
                <w:sz w:val="20"/>
              </w:rPr>
              <w:t>in</w:t>
            </w:r>
            <w:r>
              <w:rPr>
                <w:spacing w:val="-3"/>
                <w:sz w:val="20"/>
              </w:rPr>
              <w:t xml:space="preserve"> </w:t>
            </w:r>
            <w:r>
              <w:rPr>
                <w:sz w:val="20"/>
              </w:rPr>
              <w:t>different</w:t>
            </w:r>
            <w:r>
              <w:rPr>
                <w:spacing w:val="-4"/>
                <w:sz w:val="20"/>
              </w:rPr>
              <w:t xml:space="preserve"> </w:t>
            </w:r>
            <w:r>
              <w:rPr>
                <w:sz w:val="20"/>
              </w:rPr>
              <w:t>cultures</w:t>
            </w:r>
            <w:r>
              <w:rPr>
                <w:spacing w:val="-5"/>
                <w:sz w:val="20"/>
              </w:rPr>
              <w:t xml:space="preserve"> </w:t>
            </w:r>
            <w:r>
              <w:rPr>
                <w:sz w:val="20"/>
              </w:rPr>
              <w:t>and</w:t>
            </w:r>
            <w:r>
              <w:rPr>
                <w:spacing w:val="-3"/>
                <w:sz w:val="20"/>
              </w:rPr>
              <w:t xml:space="preserve"> </w:t>
            </w:r>
            <w:r>
              <w:rPr>
                <w:sz w:val="20"/>
              </w:rPr>
              <w:t>demonstrate</w:t>
            </w:r>
            <w:r>
              <w:rPr>
                <w:spacing w:val="-5"/>
                <w:sz w:val="20"/>
              </w:rPr>
              <w:t xml:space="preserve"> </w:t>
            </w:r>
            <w:r>
              <w:rPr>
                <w:sz w:val="20"/>
              </w:rPr>
              <w:t>it</w:t>
            </w:r>
            <w:r>
              <w:rPr>
                <w:spacing w:val="-4"/>
                <w:sz w:val="20"/>
              </w:rPr>
              <w:t xml:space="preserve"> </w:t>
            </w:r>
            <w:r>
              <w:rPr>
                <w:sz w:val="20"/>
              </w:rPr>
              <w:t>through</w:t>
            </w:r>
            <w:r>
              <w:rPr>
                <w:spacing w:val="-3"/>
                <w:sz w:val="20"/>
              </w:rPr>
              <w:t xml:space="preserve"> </w:t>
            </w:r>
            <w:r>
              <w:rPr>
                <w:sz w:val="20"/>
              </w:rPr>
              <w:t>verbal and nonverbal communication.</w:t>
            </w:r>
          </w:p>
        </w:tc>
      </w:tr>
      <w:tr w:rsidR="00DB6E1F" w14:paraId="3A00CADD" w14:textId="77777777">
        <w:trPr>
          <w:trHeight w:val="609"/>
        </w:trPr>
        <w:tc>
          <w:tcPr>
            <w:tcW w:w="1656" w:type="dxa"/>
          </w:tcPr>
          <w:p w14:paraId="544F474B" w14:textId="77777777" w:rsidR="00DB6E1F" w:rsidRDefault="00F666A6">
            <w:pPr>
              <w:pStyle w:val="TableParagraph"/>
              <w:ind w:right="425"/>
              <w:rPr>
                <w:sz w:val="20"/>
              </w:rPr>
            </w:pPr>
            <w:r>
              <w:rPr>
                <w:spacing w:val="-2"/>
                <w:sz w:val="20"/>
              </w:rPr>
              <w:t xml:space="preserve">Explanatory </w:t>
            </w:r>
            <w:r>
              <w:rPr>
                <w:spacing w:val="-4"/>
                <w:sz w:val="20"/>
              </w:rPr>
              <w:t>model</w:t>
            </w:r>
          </w:p>
        </w:tc>
        <w:tc>
          <w:tcPr>
            <w:tcW w:w="7694" w:type="dxa"/>
          </w:tcPr>
          <w:p w14:paraId="006EE982" w14:textId="77777777" w:rsidR="00DB6E1F" w:rsidRDefault="00F666A6">
            <w:pPr>
              <w:pStyle w:val="TableParagraph"/>
              <w:ind w:right="69"/>
              <w:rPr>
                <w:sz w:val="20"/>
              </w:rPr>
            </w:pPr>
            <w:r>
              <w:rPr>
                <w:sz w:val="20"/>
              </w:rPr>
              <w:t>Explore</w:t>
            </w:r>
            <w:r>
              <w:rPr>
                <w:spacing w:val="-4"/>
                <w:sz w:val="20"/>
              </w:rPr>
              <w:t xml:space="preserve"> </w:t>
            </w:r>
            <w:r>
              <w:rPr>
                <w:sz w:val="20"/>
              </w:rPr>
              <w:t>the</w:t>
            </w:r>
            <w:r>
              <w:rPr>
                <w:spacing w:val="-4"/>
                <w:sz w:val="20"/>
              </w:rPr>
              <w:t xml:space="preserve"> </w:t>
            </w:r>
            <w:r>
              <w:rPr>
                <w:sz w:val="20"/>
              </w:rPr>
              <w:t>client’s</w:t>
            </w:r>
            <w:r>
              <w:rPr>
                <w:spacing w:val="-4"/>
                <w:sz w:val="20"/>
              </w:rPr>
              <w:t xml:space="preserve"> </w:t>
            </w:r>
            <w:r>
              <w:rPr>
                <w:sz w:val="20"/>
              </w:rPr>
              <w:t>understanding</w:t>
            </w:r>
            <w:r>
              <w:rPr>
                <w:spacing w:val="-3"/>
                <w:sz w:val="20"/>
              </w:rPr>
              <w:t xml:space="preserve"> </w:t>
            </w:r>
            <w:r>
              <w:rPr>
                <w:sz w:val="20"/>
              </w:rPr>
              <w:t>about</w:t>
            </w:r>
            <w:r>
              <w:rPr>
                <w:spacing w:val="-3"/>
                <w:sz w:val="20"/>
              </w:rPr>
              <w:t xml:space="preserve"> </w:t>
            </w:r>
            <w:r>
              <w:rPr>
                <w:sz w:val="20"/>
              </w:rPr>
              <w:t>his</w:t>
            </w:r>
            <w:r>
              <w:rPr>
                <w:spacing w:val="-4"/>
                <w:sz w:val="20"/>
              </w:rPr>
              <w:t xml:space="preserve"> </w:t>
            </w:r>
            <w:r>
              <w:rPr>
                <w:sz w:val="20"/>
              </w:rPr>
              <w:t>or</w:t>
            </w:r>
            <w:r>
              <w:rPr>
                <w:spacing w:val="-3"/>
                <w:sz w:val="20"/>
              </w:rPr>
              <w:t xml:space="preserve"> </w:t>
            </w:r>
            <w:r>
              <w:rPr>
                <w:sz w:val="20"/>
              </w:rPr>
              <w:t>her</w:t>
            </w:r>
            <w:r>
              <w:rPr>
                <w:spacing w:val="-3"/>
                <w:sz w:val="20"/>
              </w:rPr>
              <w:t xml:space="preserve"> </w:t>
            </w:r>
            <w:r>
              <w:rPr>
                <w:sz w:val="20"/>
              </w:rPr>
              <w:t>substance</w:t>
            </w:r>
            <w:r>
              <w:rPr>
                <w:spacing w:val="-4"/>
                <w:sz w:val="20"/>
              </w:rPr>
              <w:t xml:space="preserve"> </w:t>
            </w:r>
            <w:r>
              <w:rPr>
                <w:sz w:val="20"/>
              </w:rPr>
              <w:t>use</w:t>
            </w:r>
            <w:r>
              <w:rPr>
                <w:spacing w:val="-4"/>
                <w:sz w:val="20"/>
              </w:rPr>
              <w:t xml:space="preserve"> </w:t>
            </w:r>
            <w:r>
              <w:rPr>
                <w:sz w:val="20"/>
              </w:rPr>
              <w:t>and</w:t>
            </w:r>
            <w:r>
              <w:rPr>
                <w:spacing w:val="-2"/>
                <w:sz w:val="20"/>
              </w:rPr>
              <w:t xml:space="preserve"> </w:t>
            </w:r>
            <w:r>
              <w:rPr>
                <w:sz w:val="20"/>
              </w:rPr>
              <w:t>any</w:t>
            </w:r>
            <w:r>
              <w:rPr>
                <w:spacing w:val="-2"/>
                <w:sz w:val="20"/>
              </w:rPr>
              <w:t xml:space="preserve"> </w:t>
            </w:r>
            <w:r>
              <w:rPr>
                <w:sz w:val="20"/>
              </w:rPr>
              <w:t>cultural</w:t>
            </w:r>
            <w:r>
              <w:rPr>
                <w:spacing w:val="-3"/>
                <w:sz w:val="20"/>
              </w:rPr>
              <w:t xml:space="preserve"> </w:t>
            </w:r>
            <w:r>
              <w:rPr>
                <w:sz w:val="20"/>
              </w:rPr>
              <w:t>beliefs</w:t>
            </w:r>
            <w:r>
              <w:rPr>
                <w:spacing w:val="-2"/>
                <w:sz w:val="20"/>
              </w:rPr>
              <w:t xml:space="preserve"> </w:t>
            </w:r>
            <w:r>
              <w:rPr>
                <w:sz w:val="20"/>
              </w:rPr>
              <w:t>or attitudes about substance misuse and how people change.</w:t>
            </w:r>
          </w:p>
        </w:tc>
      </w:tr>
      <w:tr w:rsidR="00DB6E1F" w14:paraId="077CD268" w14:textId="77777777">
        <w:trPr>
          <w:trHeight w:val="606"/>
        </w:trPr>
        <w:tc>
          <w:tcPr>
            <w:tcW w:w="1656" w:type="dxa"/>
          </w:tcPr>
          <w:p w14:paraId="4B734153" w14:textId="77777777" w:rsidR="00DB6E1F" w:rsidRDefault="00F666A6">
            <w:pPr>
              <w:pStyle w:val="TableParagraph"/>
              <w:spacing w:before="0"/>
              <w:rPr>
                <w:sz w:val="20"/>
              </w:rPr>
            </w:pPr>
            <w:r>
              <w:rPr>
                <w:spacing w:val="-2"/>
                <w:sz w:val="20"/>
              </w:rPr>
              <w:t>Sociocultural context</w:t>
            </w:r>
          </w:p>
        </w:tc>
        <w:tc>
          <w:tcPr>
            <w:tcW w:w="7694" w:type="dxa"/>
          </w:tcPr>
          <w:p w14:paraId="1F9DE592" w14:textId="77777777" w:rsidR="00DB6E1F" w:rsidRDefault="00F666A6">
            <w:pPr>
              <w:pStyle w:val="TableParagraph"/>
              <w:spacing w:before="0"/>
              <w:ind w:right="69"/>
              <w:rPr>
                <w:sz w:val="20"/>
              </w:rPr>
            </w:pPr>
            <w:r>
              <w:rPr>
                <w:sz w:val="20"/>
              </w:rPr>
              <w:t>Recognize</w:t>
            </w:r>
            <w:r>
              <w:rPr>
                <w:spacing w:val="-5"/>
                <w:sz w:val="20"/>
              </w:rPr>
              <w:t xml:space="preserve"> </w:t>
            </w:r>
            <w:r>
              <w:rPr>
                <w:sz w:val="20"/>
              </w:rPr>
              <w:t>how</w:t>
            </w:r>
            <w:r>
              <w:rPr>
                <w:spacing w:val="-5"/>
                <w:sz w:val="20"/>
              </w:rPr>
              <w:t xml:space="preserve"> </w:t>
            </w:r>
            <w:r>
              <w:rPr>
                <w:sz w:val="20"/>
              </w:rPr>
              <w:t>class,</w:t>
            </w:r>
            <w:r>
              <w:rPr>
                <w:spacing w:val="-3"/>
                <w:sz w:val="20"/>
              </w:rPr>
              <w:t xml:space="preserve"> </w:t>
            </w:r>
            <w:r>
              <w:rPr>
                <w:sz w:val="20"/>
              </w:rPr>
              <w:t>gender,</w:t>
            </w:r>
            <w:r>
              <w:rPr>
                <w:spacing w:val="-2"/>
                <w:sz w:val="20"/>
              </w:rPr>
              <w:t xml:space="preserve"> </w:t>
            </w:r>
            <w:r>
              <w:rPr>
                <w:sz w:val="20"/>
              </w:rPr>
              <w:t>race,</w:t>
            </w:r>
            <w:r>
              <w:rPr>
                <w:spacing w:val="-3"/>
                <w:sz w:val="20"/>
              </w:rPr>
              <w:t xml:space="preserve"> </w:t>
            </w:r>
            <w:r>
              <w:rPr>
                <w:sz w:val="20"/>
              </w:rPr>
              <w:t>ethnicity,</w:t>
            </w:r>
            <w:r>
              <w:rPr>
                <w:spacing w:val="-3"/>
                <w:sz w:val="20"/>
              </w:rPr>
              <w:t xml:space="preserve"> </w:t>
            </w:r>
            <w:r>
              <w:rPr>
                <w:sz w:val="20"/>
              </w:rPr>
              <w:t>sexual</w:t>
            </w:r>
            <w:r>
              <w:rPr>
                <w:spacing w:val="-4"/>
                <w:sz w:val="20"/>
              </w:rPr>
              <w:t xml:space="preserve"> </w:t>
            </w:r>
            <w:r>
              <w:rPr>
                <w:sz w:val="20"/>
              </w:rPr>
              <w:t>or</w:t>
            </w:r>
            <w:r>
              <w:rPr>
                <w:spacing w:val="-4"/>
                <w:sz w:val="20"/>
              </w:rPr>
              <w:t xml:space="preserve"> </w:t>
            </w:r>
            <w:r>
              <w:rPr>
                <w:sz w:val="20"/>
              </w:rPr>
              <w:t>gender</w:t>
            </w:r>
            <w:r>
              <w:rPr>
                <w:spacing w:val="-4"/>
                <w:sz w:val="20"/>
              </w:rPr>
              <w:t xml:space="preserve"> </w:t>
            </w:r>
            <w:r>
              <w:rPr>
                <w:sz w:val="20"/>
              </w:rPr>
              <w:t>identity,</w:t>
            </w:r>
            <w:r>
              <w:rPr>
                <w:spacing w:val="-3"/>
                <w:sz w:val="20"/>
              </w:rPr>
              <w:t xml:space="preserve"> </w:t>
            </w:r>
            <w:r>
              <w:rPr>
                <w:sz w:val="20"/>
              </w:rPr>
              <w:t>age,</w:t>
            </w:r>
            <w:r>
              <w:rPr>
                <w:spacing w:val="-3"/>
                <w:sz w:val="20"/>
              </w:rPr>
              <w:t xml:space="preserve"> </w:t>
            </w:r>
            <w:r>
              <w:rPr>
                <w:sz w:val="20"/>
              </w:rPr>
              <w:t>socioeconomic status, and other personal characteristics that might affect treatment.</w:t>
            </w:r>
          </w:p>
        </w:tc>
      </w:tr>
      <w:tr w:rsidR="00DB6E1F" w14:paraId="28FE1A0E" w14:textId="77777777">
        <w:trPr>
          <w:trHeight w:val="364"/>
        </w:trPr>
        <w:tc>
          <w:tcPr>
            <w:tcW w:w="1656" w:type="dxa"/>
          </w:tcPr>
          <w:p w14:paraId="5AA09461" w14:textId="77777777" w:rsidR="00DB6E1F" w:rsidRDefault="00F666A6">
            <w:pPr>
              <w:pStyle w:val="TableParagraph"/>
              <w:rPr>
                <w:sz w:val="20"/>
              </w:rPr>
            </w:pPr>
            <w:r>
              <w:rPr>
                <w:spacing w:val="-2"/>
                <w:sz w:val="20"/>
              </w:rPr>
              <w:t>Power</w:t>
            </w:r>
          </w:p>
        </w:tc>
        <w:tc>
          <w:tcPr>
            <w:tcW w:w="7694" w:type="dxa"/>
          </w:tcPr>
          <w:p w14:paraId="5D693AB5" w14:textId="77777777" w:rsidR="00DB6E1F" w:rsidRDefault="00F666A6">
            <w:pPr>
              <w:pStyle w:val="TableParagraph"/>
              <w:rPr>
                <w:sz w:val="20"/>
              </w:rPr>
            </w:pPr>
            <w:r>
              <w:rPr>
                <w:sz w:val="20"/>
              </w:rPr>
              <w:t>Acknowledge</w:t>
            </w:r>
            <w:r>
              <w:rPr>
                <w:spacing w:val="-8"/>
                <w:sz w:val="20"/>
              </w:rPr>
              <w:t xml:space="preserve"> </w:t>
            </w:r>
            <w:r>
              <w:rPr>
                <w:sz w:val="20"/>
              </w:rPr>
              <w:t>the</w:t>
            </w:r>
            <w:r>
              <w:rPr>
                <w:spacing w:val="-8"/>
                <w:sz w:val="20"/>
              </w:rPr>
              <w:t xml:space="preserve"> </w:t>
            </w:r>
            <w:r>
              <w:rPr>
                <w:sz w:val="20"/>
              </w:rPr>
              <w:t>power</w:t>
            </w:r>
            <w:r>
              <w:rPr>
                <w:spacing w:val="-8"/>
                <w:sz w:val="20"/>
              </w:rPr>
              <w:t xml:space="preserve"> </w:t>
            </w:r>
            <w:r>
              <w:rPr>
                <w:sz w:val="20"/>
              </w:rPr>
              <w:t>differential</w:t>
            </w:r>
            <w:r>
              <w:rPr>
                <w:spacing w:val="-7"/>
                <w:sz w:val="20"/>
              </w:rPr>
              <w:t xml:space="preserve"> </w:t>
            </w:r>
            <w:r>
              <w:rPr>
                <w:sz w:val="20"/>
              </w:rPr>
              <w:t>between</w:t>
            </w:r>
            <w:r>
              <w:rPr>
                <w:spacing w:val="-6"/>
                <w:sz w:val="20"/>
              </w:rPr>
              <w:t xml:space="preserve"> </w:t>
            </w:r>
            <w:r>
              <w:rPr>
                <w:sz w:val="20"/>
              </w:rPr>
              <w:t>the</w:t>
            </w:r>
            <w:r>
              <w:rPr>
                <w:spacing w:val="-8"/>
                <w:sz w:val="20"/>
              </w:rPr>
              <w:t xml:space="preserve"> </w:t>
            </w:r>
            <w:r>
              <w:rPr>
                <w:sz w:val="20"/>
              </w:rPr>
              <w:t>counselor</w:t>
            </w:r>
            <w:r>
              <w:rPr>
                <w:spacing w:val="-5"/>
                <w:sz w:val="20"/>
              </w:rPr>
              <w:t xml:space="preserve"> </w:t>
            </w:r>
            <w:r>
              <w:rPr>
                <w:sz w:val="20"/>
              </w:rPr>
              <w:t>and</w:t>
            </w:r>
            <w:r>
              <w:rPr>
                <w:spacing w:val="-6"/>
                <w:sz w:val="20"/>
              </w:rPr>
              <w:t xml:space="preserve"> </w:t>
            </w:r>
            <w:r>
              <w:rPr>
                <w:sz w:val="20"/>
              </w:rPr>
              <w:t>the</w:t>
            </w:r>
            <w:r>
              <w:rPr>
                <w:spacing w:val="-8"/>
                <w:sz w:val="20"/>
              </w:rPr>
              <w:t xml:space="preserve"> </w:t>
            </w:r>
            <w:r>
              <w:rPr>
                <w:spacing w:val="-2"/>
                <w:sz w:val="20"/>
              </w:rPr>
              <w:t>client.</w:t>
            </w:r>
          </w:p>
        </w:tc>
      </w:tr>
      <w:tr w:rsidR="00DB6E1F" w14:paraId="4702ACB4" w14:textId="77777777">
        <w:trPr>
          <w:trHeight w:val="609"/>
        </w:trPr>
        <w:tc>
          <w:tcPr>
            <w:tcW w:w="1656" w:type="dxa"/>
          </w:tcPr>
          <w:p w14:paraId="373A5EEE" w14:textId="77777777" w:rsidR="00DB6E1F" w:rsidRDefault="00F666A6">
            <w:pPr>
              <w:pStyle w:val="TableParagraph"/>
              <w:rPr>
                <w:sz w:val="20"/>
              </w:rPr>
            </w:pPr>
            <w:r>
              <w:rPr>
                <w:spacing w:val="-2"/>
                <w:sz w:val="20"/>
              </w:rPr>
              <w:t>Empathy</w:t>
            </w:r>
          </w:p>
        </w:tc>
        <w:tc>
          <w:tcPr>
            <w:tcW w:w="7694" w:type="dxa"/>
          </w:tcPr>
          <w:p w14:paraId="5558B41D" w14:textId="77777777" w:rsidR="00DB6E1F" w:rsidRDefault="00F666A6">
            <w:pPr>
              <w:pStyle w:val="TableParagraph"/>
              <w:ind w:right="69"/>
              <w:rPr>
                <w:sz w:val="20"/>
              </w:rPr>
            </w:pPr>
            <w:r>
              <w:rPr>
                <w:sz w:val="20"/>
              </w:rPr>
              <w:t>Express</w:t>
            </w:r>
            <w:r>
              <w:rPr>
                <w:spacing w:val="-3"/>
                <w:sz w:val="20"/>
              </w:rPr>
              <w:t xml:space="preserve"> </w:t>
            </w:r>
            <w:r>
              <w:rPr>
                <w:sz w:val="20"/>
              </w:rPr>
              <w:t>empathy</w:t>
            </w:r>
            <w:r>
              <w:rPr>
                <w:spacing w:val="-3"/>
                <w:sz w:val="20"/>
              </w:rPr>
              <w:t xml:space="preserve"> </w:t>
            </w:r>
            <w:r>
              <w:rPr>
                <w:sz w:val="20"/>
              </w:rPr>
              <w:t>in</w:t>
            </w:r>
            <w:r>
              <w:rPr>
                <w:spacing w:val="-3"/>
                <w:sz w:val="20"/>
              </w:rPr>
              <w:t xml:space="preserve"> </w:t>
            </w:r>
            <w:r>
              <w:rPr>
                <w:sz w:val="20"/>
              </w:rPr>
              <w:t>ways</w:t>
            </w:r>
            <w:r>
              <w:rPr>
                <w:spacing w:val="-4"/>
                <w:sz w:val="20"/>
              </w:rPr>
              <w:t xml:space="preserve"> </w:t>
            </w:r>
            <w:r>
              <w:rPr>
                <w:sz w:val="20"/>
              </w:rPr>
              <w:t>that</w:t>
            </w:r>
            <w:r>
              <w:rPr>
                <w:spacing w:val="-3"/>
                <w:sz w:val="20"/>
              </w:rPr>
              <w:t xml:space="preserve"> </w:t>
            </w:r>
            <w:r>
              <w:rPr>
                <w:sz w:val="20"/>
              </w:rPr>
              <w:t>communicate</w:t>
            </w:r>
            <w:r>
              <w:rPr>
                <w:spacing w:val="-4"/>
                <w:sz w:val="20"/>
              </w:rPr>
              <w:t xml:space="preserve"> </w:t>
            </w:r>
            <w:r>
              <w:rPr>
                <w:sz w:val="20"/>
              </w:rPr>
              <w:t>that</w:t>
            </w:r>
            <w:r>
              <w:rPr>
                <w:spacing w:val="-3"/>
                <w:sz w:val="20"/>
              </w:rPr>
              <w:t xml:space="preserve"> </w:t>
            </w:r>
            <w:r>
              <w:rPr>
                <w:sz w:val="20"/>
              </w:rPr>
              <w:t>you</w:t>
            </w:r>
            <w:r>
              <w:rPr>
                <w:spacing w:val="-3"/>
                <w:sz w:val="20"/>
              </w:rPr>
              <w:t xml:space="preserve"> </w:t>
            </w:r>
            <w:r>
              <w:rPr>
                <w:sz w:val="20"/>
              </w:rPr>
              <w:t>are</w:t>
            </w:r>
            <w:r>
              <w:rPr>
                <w:spacing w:val="-4"/>
                <w:sz w:val="20"/>
              </w:rPr>
              <w:t xml:space="preserve"> </w:t>
            </w:r>
            <w:r>
              <w:rPr>
                <w:sz w:val="20"/>
              </w:rPr>
              <w:t>genuinely</w:t>
            </w:r>
            <w:r>
              <w:rPr>
                <w:spacing w:val="-3"/>
                <w:sz w:val="20"/>
              </w:rPr>
              <w:t xml:space="preserve"> </w:t>
            </w:r>
            <w:r>
              <w:rPr>
                <w:sz w:val="20"/>
              </w:rPr>
              <w:t>interested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client’s perspective and concerns.</w:t>
            </w:r>
          </w:p>
        </w:tc>
      </w:tr>
      <w:tr w:rsidR="00DB6E1F" w14:paraId="06AA87E7" w14:textId="77777777">
        <w:trPr>
          <w:trHeight w:val="606"/>
        </w:trPr>
        <w:tc>
          <w:tcPr>
            <w:tcW w:w="1656" w:type="dxa"/>
          </w:tcPr>
          <w:p w14:paraId="4CA84C02" w14:textId="77777777" w:rsidR="00DB6E1F" w:rsidRDefault="00F666A6">
            <w:pPr>
              <w:pStyle w:val="TableParagraph"/>
              <w:ind w:right="425"/>
              <w:rPr>
                <w:sz w:val="20"/>
              </w:rPr>
            </w:pPr>
            <w:r>
              <w:rPr>
                <w:sz w:val="20"/>
              </w:rPr>
              <w:t>Concerns</w:t>
            </w:r>
            <w:r>
              <w:rPr>
                <w:spacing w:val="-12"/>
                <w:sz w:val="20"/>
              </w:rPr>
              <w:t xml:space="preserve"> </w:t>
            </w:r>
            <w:r>
              <w:rPr>
                <w:sz w:val="20"/>
              </w:rPr>
              <w:t xml:space="preserve">and </w:t>
            </w:r>
            <w:r>
              <w:rPr>
                <w:spacing w:val="-2"/>
                <w:sz w:val="20"/>
              </w:rPr>
              <w:t>fears</w:t>
            </w:r>
          </w:p>
        </w:tc>
        <w:tc>
          <w:tcPr>
            <w:tcW w:w="7694" w:type="dxa"/>
          </w:tcPr>
          <w:p w14:paraId="6F78C1AA" w14:textId="77777777" w:rsidR="00DB6E1F" w:rsidRDefault="00F666A6">
            <w:pPr>
              <w:pStyle w:val="TableParagraph"/>
              <w:rPr>
                <w:sz w:val="20"/>
              </w:rPr>
            </w:pPr>
            <w:r>
              <w:rPr>
                <w:sz w:val="20"/>
              </w:rPr>
              <w:t>Elicit</w:t>
            </w:r>
            <w:r>
              <w:rPr>
                <w:spacing w:val="-7"/>
                <w:sz w:val="20"/>
              </w:rPr>
              <w:t xml:space="preserve"> </w:t>
            </w:r>
            <w:r>
              <w:rPr>
                <w:sz w:val="20"/>
              </w:rPr>
              <w:t>client</w:t>
            </w:r>
            <w:r>
              <w:rPr>
                <w:spacing w:val="-7"/>
                <w:sz w:val="20"/>
              </w:rPr>
              <w:t xml:space="preserve"> </w:t>
            </w:r>
            <w:r>
              <w:rPr>
                <w:sz w:val="20"/>
              </w:rPr>
              <w:t>concerns</w:t>
            </w:r>
            <w:r>
              <w:rPr>
                <w:spacing w:val="-8"/>
                <w:sz w:val="20"/>
              </w:rPr>
              <w:t xml:space="preserve"> </w:t>
            </w:r>
            <w:r>
              <w:rPr>
                <w:sz w:val="20"/>
              </w:rPr>
              <w:t>about</w:t>
            </w:r>
            <w:r>
              <w:rPr>
                <w:spacing w:val="-7"/>
                <w:sz w:val="20"/>
              </w:rPr>
              <w:t xml:space="preserve"> </w:t>
            </w:r>
            <w:r>
              <w:rPr>
                <w:sz w:val="20"/>
              </w:rPr>
              <w:t>seeking</w:t>
            </w:r>
            <w:r>
              <w:rPr>
                <w:spacing w:val="-7"/>
                <w:sz w:val="20"/>
              </w:rPr>
              <w:t xml:space="preserve"> </w:t>
            </w:r>
            <w:r>
              <w:rPr>
                <w:sz w:val="20"/>
              </w:rPr>
              <w:t>help</w:t>
            </w:r>
            <w:r>
              <w:rPr>
                <w:spacing w:val="-6"/>
                <w:sz w:val="20"/>
              </w:rPr>
              <w:t xml:space="preserve"> </w:t>
            </w:r>
            <w:r>
              <w:rPr>
                <w:sz w:val="20"/>
              </w:rPr>
              <w:t>and</w:t>
            </w:r>
            <w:r>
              <w:rPr>
                <w:spacing w:val="-6"/>
                <w:sz w:val="20"/>
              </w:rPr>
              <w:t xml:space="preserve"> </w:t>
            </w:r>
            <w:r>
              <w:rPr>
                <w:sz w:val="20"/>
              </w:rPr>
              <w:t>entering</w:t>
            </w:r>
            <w:r>
              <w:rPr>
                <w:spacing w:val="-7"/>
                <w:sz w:val="20"/>
              </w:rPr>
              <w:t xml:space="preserve"> </w:t>
            </w:r>
            <w:r>
              <w:rPr>
                <w:spacing w:val="-2"/>
                <w:sz w:val="20"/>
              </w:rPr>
              <w:t>treatment.</w:t>
            </w:r>
          </w:p>
        </w:tc>
      </w:tr>
      <w:tr w:rsidR="00DB6E1F" w14:paraId="77D6396D" w14:textId="77777777">
        <w:trPr>
          <w:trHeight w:val="609"/>
        </w:trPr>
        <w:tc>
          <w:tcPr>
            <w:tcW w:w="1656" w:type="dxa"/>
          </w:tcPr>
          <w:p w14:paraId="572C672F" w14:textId="77777777" w:rsidR="00DB6E1F" w:rsidRDefault="00F666A6">
            <w:pPr>
              <w:pStyle w:val="TableParagraph"/>
              <w:rPr>
                <w:sz w:val="20"/>
              </w:rPr>
            </w:pPr>
            <w:r>
              <w:rPr>
                <w:spacing w:val="-2"/>
                <w:sz w:val="20"/>
              </w:rPr>
              <w:t>Trust/therapeutic alliance</w:t>
            </w:r>
          </w:p>
        </w:tc>
        <w:tc>
          <w:tcPr>
            <w:tcW w:w="7694" w:type="dxa"/>
          </w:tcPr>
          <w:p w14:paraId="5D7F4DBD" w14:textId="77777777" w:rsidR="00DB6E1F" w:rsidRDefault="00F666A6">
            <w:pPr>
              <w:pStyle w:val="TableParagraph"/>
              <w:ind w:right="171"/>
              <w:rPr>
                <w:sz w:val="20"/>
              </w:rPr>
            </w:pPr>
            <w:r>
              <w:rPr>
                <w:sz w:val="20"/>
              </w:rPr>
              <w:t>Recognize</w:t>
            </w:r>
            <w:r>
              <w:rPr>
                <w:spacing w:val="-4"/>
                <w:sz w:val="20"/>
              </w:rPr>
              <w:t xml:space="preserve"> </w:t>
            </w:r>
            <w:r>
              <w:rPr>
                <w:sz w:val="20"/>
              </w:rPr>
              <w:t>that</w:t>
            </w:r>
            <w:r>
              <w:rPr>
                <w:spacing w:val="-4"/>
                <w:sz w:val="20"/>
              </w:rPr>
              <w:t xml:space="preserve"> </w:t>
            </w:r>
            <w:r>
              <w:rPr>
                <w:sz w:val="20"/>
              </w:rPr>
              <w:t>trust</w:t>
            </w:r>
            <w:r>
              <w:rPr>
                <w:spacing w:val="-4"/>
                <w:sz w:val="20"/>
              </w:rPr>
              <w:t xml:space="preserve"> </w:t>
            </w:r>
            <w:r>
              <w:rPr>
                <w:sz w:val="20"/>
              </w:rPr>
              <w:t>must</w:t>
            </w:r>
            <w:r>
              <w:rPr>
                <w:spacing w:val="-4"/>
                <w:sz w:val="20"/>
              </w:rPr>
              <w:t xml:space="preserve"> </w:t>
            </w:r>
            <w:r>
              <w:rPr>
                <w:sz w:val="20"/>
              </w:rPr>
              <w:t>be</w:t>
            </w:r>
            <w:r>
              <w:rPr>
                <w:spacing w:val="-2"/>
                <w:sz w:val="20"/>
              </w:rPr>
              <w:t xml:space="preserve"> </w:t>
            </w:r>
            <w:r>
              <w:rPr>
                <w:sz w:val="20"/>
              </w:rPr>
              <w:t>earned,</w:t>
            </w:r>
            <w:r>
              <w:rPr>
                <w:spacing w:val="-3"/>
                <w:sz w:val="20"/>
              </w:rPr>
              <w:t xml:space="preserve"> </w:t>
            </w:r>
            <w:r>
              <w:rPr>
                <w:sz w:val="20"/>
              </w:rPr>
              <w:t>and</w:t>
            </w:r>
            <w:r>
              <w:rPr>
                <w:spacing w:val="-3"/>
                <w:sz w:val="20"/>
              </w:rPr>
              <w:t xml:space="preserve"> </w:t>
            </w:r>
            <w:r>
              <w:rPr>
                <w:sz w:val="20"/>
              </w:rPr>
              <w:t>demonstrate</w:t>
            </w:r>
            <w:r>
              <w:rPr>
                <w:spacing w:val="-4"/>
                <w:sz w:val="20"/>
              </w:rPr>
              <w:t xml:space="preserve"> </w:t>
            </w:r>
            <w:r>
              <w:rPr>
                <w:sz w:val="20"/>
              </w:rPr>
              <w:t>actions</w:t>
            </w:r>
            <w:r>
              <w:rPr>
                <w:spacing w:val="-4"/>
                <w:sz w:val="20"/>
              </w:rPr>
              <w:t xml:space="preserve"> </w:t>
            </w:r>
            <w:r>
              <w:rPr>
                <w:sz w:val="20"/>
              </w:rPr>
              <w:t>that</w:t>
            </w:r>
            <w:r>
              <w:rPr>
                <w:spacing w:val="-4"/>
                <w:sz w:val="20"/>
              </w:rPr>
              <w:t xml:space="preserve"> </w:t>
            </w:r>
            <w:r>
              <w:rPr>
                <w:sz w:val="20"/>
              </w:rPr>
              <w:t>enhance</w:t>
            </w:r>
            <w:r>
              <w:rPr>
                <w:spacing w:val="-4"/>
                <w:sz w:val="20"/>
              </w:rPr>
              <w:t xml:space="preserve"> </w:t>
            </w:r>
            <w:r>
              <w:rPr>
                <w:sz w:val="20"/>
              </w:rPr>
              <w:t>the therapeutic relationship.</w:t>
            </w:r>
          </w:p>
        </w:tc>
      </w:tr>
      <w:tr w:rsidR="00DB6E1F" w14:paraId="1651854B" w14:textId="77777777">
        <w:trPr>
          <w:trHeight w:val="405"/>
        </w:trPr>
        <w:tc>
          <w:tcPr>
            <w:tcW w:w="9350" w:type="dxa"/>
            <w:gridSpan w:val="2"/>
          </w:tcPr>
          <w:p w14:paraId="70660EC5" w14:textId="77777777" w:rsidR="00DB6E1F" w:rsidRDefault="00F666A6">
            <w:pPr>
              <w:pStyle w:val="TableParagraph"/>
              <w:spacing w:before="80"/>
              <w:rPr>
                <w:i/>
                <w:sz w:val="20"/>
              </w:rPr>
            </w:pPr>
            <w:r>
              <w:rPr>
                <w:i/>
                <w:sz w:val="20"/>
              </w:rPr>
              <w:t>Source:</w:t>
            </w:r>
            <w:r>
              <w:rPr>
                <w:i/>
                <w:spacing w:val="-8"/>
                <w:sz w:val="20"/>
              </w:rPr>
              <w:t xml:space="preserve"> </w:t>
            </w:r>
            <w:r>
              <w:rPr>
                <w:i/>
                <w:sz w:val="20"/>
              </w:rPr>
              <w:t>SAMHSA,</w:t>
            </w:r>
            <w:r>
              <w:rPr>
                <w:i/>
                <w:spacing w:val="-6"/>
                <w:sz w:val="20"/>
              </w:rPr>
              <w:t xml:space="preserve"> </w:t>
            </w:r>
            <w:r>
              <w:rPr>
                <w:i/>
                <w:spacing w:val="-2"/>
                <w:sz w:val="20"/>
              </w:rPr>
              <w:t>2014a.</w:t>
            </w:r>
          </w:p>
        </w:tc>
      </w:tr>
    </w:tbl>
    <w:p w14:paraId="50734D1C" w14:textId="77777777" w:rsidR="00DB6E1F" w:rsidRDefault="00DB6E1F">
      <w:pPr>
        <w:pStyle w:val="BodyText"/>
        <w:rPr>
          <w:sz w:val="20"/>
        </w:rPr>
      </w:pPr>
    </w:p>
    <w:p w14:paraId="72621438" w14:textId="77777777" w:rsidR="00DB6E1F" w:rsidRDefault="00DB6E1F">
      <w:pPr>
        <w:pStyle w:val="BodyText"/>
        <w:spacing w:before="3"/>
        <w:rPr>
          <w:sz w:val="15"/>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DB6E1F" w14:paraId="4090AB1C" w14:textId="77777777">
        <w:trPr>
          <w:trHeight w:val="523"/>
        </w:trPr>
        <w:tc>
          <w:tcPr>
            <w:tcW w:w="9360" w:type="dxa"/>
            <w:tcBorders>
              <w:top w:val="nil"/>
              <w:bottom w:val="nil"/>
            </w:tcBorders>
            <w:shd w:val="clear" w:color="auto" w:fill="050505"/>
          </w:tcPr>
          <w:p w14:paraId="37AE9B82" w14:textId="77777777" w:rsidR="00DB6E1F" w:rsidRDefault="00F666A6">
            <w:pPr>
              <w:pStyle w:val="TableParagraph"/>
              <w:spacing w:before="112"/>
              <w:ind w:left="1560" w:right="1448"/>
              <w:jc w:val="center"/>
              <w:rPr>
                <w:sz w:val="24"/>
              </w:rPr>
            </w:pPr>
            <w:r>
              <w:rPr>
                <w:color w:val="FFFFFF"/>
                <w:sz w:val="24"/>
              </w:rPr>
              <w:t>Expert</w:t>
            </w:r>
            <w:r>
              <w:rPr>
                <w:color w:val="FFFFFF"/>
                <w:spacing w:val="-3"/>
                <w:sz w:val="24"/>
              </w:rPr>
              <w:t xml:space="preserve"> </w:t>
            </w:r>
            <w:r>
              <w:rPr>
                <w:color w:val="FFFFFF"/>
                <w:sz w:val="24"/>
              </w:rPr>
              <w:t>Comment:</w:t>
            </w:r>
            <w:r>
              <w:rPr>
                <w:color w:val="FFFFFF"/>
                <w:spacing w:val="-4"/>
                <w:sz w:val="24"/>
              </w:rPr>
              <w:t xml:space="preserve"> </w:t>
            </w:r>
            <w:r>
              <w:rPr>
                <w:color w:val="FFFFFF"/>
                <w:sz w:val="24"/>
              </w:rPr>
              <w:t>Cultural</w:t>
            </w:r>
            <w:r>
              <w:rPr>
                <w:color w:val="FFFFFF"/>
                <w:spacing w:val="-1"/>
                <w:sz w:val="24"/>
              </w:rPr>
              <w:t xml:space="preserve"> </w:t>
            </w:r>
            <w:r>
              <w:rPr>
                <w:color w:val="FFFFFF"/>
                <w:spacing w:val="-2"/>
                <w:sz w:val="24"/>
              </w:rPr>
              <w:t>Responsiveness</w:t>
            </w:r>
          </w:p>
        </w:tc>
      </w:tr>
      <w:tr w:rsidR="00DB6E1F" w14:paraId="45DAE5F3" w14:textId="77777777">
        <w:trPr>
          <w:trHeight w:val="5118"/>
        </w:trPr>
        <w:tc>
          <w:tcPr>
            <w:tcW w:w="9360" w:type="dxa"/>
            <w:tcBorders>
              <w:top w:val="nil"/>
            </w:tcBorders>
          </w:tcPr>
          <w:p w14:paraId="090125B2" w14:textId="77777777" w:rsidR="00DB6E1F" w:rsidRDefault="00F666A6">
            <w:pPr>
              <w:pStyle w:val="TableParagraph"/>
              <w:rPr>
                <w:sz w:val="20"/>
              </w:rPr>
            </w:pPr>
            <w:r>
              <w:rPr>
                <w:sz w:val="20"/>
              </w:rPr>
              <w:t>In</w:t>
            </w:r>
            <w:r>
              <w:rPr>
                <w:spacing w:val="-2"/>
                <w:sz w:val="20"/>
              </w:rPr>
              <w:t xml:space="preserve"> </w:t>
            </w:r>
            <w:r>
              <w:rPr>
                <w:sz w:val="20"/>
              </w:rPr>
              <w:t>my</w:t>
            </w:r>
            <w:r>
              <w:rPr>
                <w:spacing w:val="-2"/>
                <w:sz w:val="20"/>
              </w:rPr>
              <w:t xml:space="preserve"> </w:t>
            </w:r>
            <w:r>
              <w:rPr>
                <w:sz w:val="20"/>
              </w:rPr>
              <w:t>practice</w:t>
            </w:r>
            <w:r>
              <w:rPr>
                <w:spacing w:val="-4"/>
                <w:sz w:val="20"/>
              </w:rPr>
              <w:t xml:space="preserve"> </w:t>
            </w:r>
            <w:r>
              <w:rPr>
                <w:sz w:val="20"/>
              </w:rPr>
              <w:t>with</w:t>
            </w:r>
            <w:r>
              <w:rPr>
                <w:spacing w:val="-2"/>
                <w:sz w:val="20"/>
              </w:rPr>
              <w:t xml:space="preserve"> </w:t>
            </w:r>
            <w:r>
              <w:rPr>
                <w:sz w:val="20"/>
              </w:rPr>
              <w:t>persons</w:t>
            </w:r>
            <w:r>
              <w:rPr>
                <w:spacing w:val="-4"/>
                <w:sz w:val="20"/>
              </w:rPr>
              <w:t xml:space="preserve"> </w:t>
            </w:r>
            <w:r>
              <w:rPr>
                <w:sz w:val="20"/>
              </w:rPr>
              <w:t>who</w:t>
            </w:r>
            <w:r>
              <w:rPr>
                <w:spacing w:val="-3"/>
                <w:sz w:val="20"/>
              </w:rPr>
              <w:t xml:space="preserve"> </w:t>
            </w:r>
            <w:r>
              <w:rPr>
                <w:sz w:val="20"/>
              </w:rPr>
              <w:t>have</w:t>
            </w:r>
            <w:r>
              <w:rPr>
                <w:spacing w:val="-4"/>
                <w:sz w:val="20"/>
              </w:rPr>
              <w:t xml:space="preserve"> </w:t>
            </w:r>
            <w:r>
              <w:rPr>
                <w:sz w:val="20"/>
              </w:rPr>
              <w:t>different</w:t>
            </w:r>
            <w:r>
              <w:rPr>
                <w:spacing w:val="-3"/>
                <w:sz w:val="20"/>
              </w:rPr>
              <w:t xml:space="preserve"> </w:t>
            </w:r>
            <w:r>
              <w:rPr>
                <w:sz w:val="20"/>
              </w:rPr>
              <w:t>worldviews, I’ve</w:t>
            </w:r>
            <w:r>
              <w:rPr>
                <w:spacing w:val="-4"/>
                <w:sz w:val="20"/>
              </w:rPr>
              <w:t xml:space="preserve"> </w:t>
            </w:r>
            <w:r>
              <w:rPr>
                <w:sz w:val="20"/>
              </w:rPr>
              <w:t>made</w:t>
            </w:r>
            <w:r>
              <w:rPr>
                <w:spacing w:val="-4"/>
                <w:sz w:val="20"/>
              </w:rPr>
              <w:t xml:space="preserve"> </w:t>
            </w:r>
            <w:r>
              <w:rPr>
                <w:sz w:val="20"/>
              </w:rPr>
              <w:t>a</w:t>
            </w:r>
            <w:r>
              <w:rPr>
                <w:spacing w:val="-2"/>
                <w:sz w:val="20"/>
              </w:rPr>
              <w:t xml:space="preserve"> </w:t>
            </w:r>
            <w:r>
              <w:rPr>
                <w:sz w:val="20"/>
              </w:rPr>
              <w:t>number</w:t>
            </w:r>
            <w:r>
              <w:rPr>
                <w:spacing w:val="-3"/>
                <w:sz w:val="20"/>
              </w:rPr>
              <w:t xml:space="preserve"> </w:t>
            </w:r>
            <w:r>
              <w:rPr>
                <w:sz w:val="20"/>
              </w:rPr>
              <w:t>of</w:t>
            </w:r>
            <w:r>
              <w:rPr>
                <w:spacing w:val="-4"/>
                <w:sz w:val="20"/>
              </w:rPr>
              <w:t xml:space="preserve"> </w:t>
            </w:r>
            <w:r>
              <w:rPr>
                <w:sz w:val="20"/>
              </w:rPr>
              <w:t>observations</w:t>
            </w:r>
            <w:r>
              <w:rPr>
                <w:spacing w:val="-4"/>
                <w:sz w:val="20"/>
              </w:rPr>
              <w:t xml:space="preserve"> </w:t>
            </w:r>
            <w:r>
              <w:rPr>
                <w:sz w:val="20"/>
              </w:rPr>
              <w:t>on</w:t>
            </w:r>
            <w:r>
              <w:rPr>
                <w:spacing w:val="-2"/>
                <w:sz w:val="20"/>
              </w:rPr>
              <w:t xml:space="preserve"> </w:t>
            </w:r>
            <w:r>
              <w:rPr>
                <w:sz w:val="20"/>
              </w:rPr>
              <w:t>the</w:t>
            </w:r>
            <w:r>
              <w:rPr>
                <w:spacing w:val="-4"/>
                <w:sz w:val="20"/>
              </w:rPr>
              <w:t xml:space="preserve"> </w:t>
            </w:r>
            <w:r>
              <w:rPr>
                <w:sz w:val="20"/>
              </w:rPr>
              <w:t>ways</w:t>
            </w:r>
            <w:r>
              <w:rPr>
                <w:spacing w:val="-4"/>
                <w:sz w:val="20"/>
              </w:rPr>
              <w:t xml:space="preserve"> </w:t>
            </w:r>
            <w:r>
              <w:rPr>
                <w:sz w:val="20"/>
              </w:rPr>
              <w:t xml:space="preserve">in which culture influences the change process. I try to pay attention to cultural effects on a person’s style of receiving and processing information, making decisions, pacing, and being ready to act. The more clients are assimilated into the surrounding </w:t>
            </w:r>
            <w:r>
              <w:rPr>
                <w:sz w:val="20"/>
              </w:rPr>
              <w:t>culture, the more likely they are to process information, respond, and make choices that are congruent with mainstream beliefs and styles. The responsibility for being aware of different cultural value systems lies with the provider, not the client being t</w:t>
            </w:r>
            <w:r>
              <w:rPr>
                <w:sz w:val="20"/>
              </w:rPr>
              <w:t>reated.</w:t>
            </w:r>
          </w:p>
          <w:p w14:paraId="0C0FCCF3" w14:textId="77777777" w:rsidR="00DB6E1F" w:rsidRDefault="00F666A6">
            <w:pPr>
              <w:pStyle w:val="TableParagraph"/>
              <w:spacing w:before="122"/>
              <w:ind w:right="100"/>
              <w:rPr>
                <w:sz w:val="20"/>
              </w:rPr>
            </w:pPr>
            <w:r>
              <w:rPr>
                <w:sz w:val="20"/>
              </w:rPr>
              <w:t>More specifically, the manner in which a person communicates, verbally and nonverbally, is often directly related</w:t>
            </w:r>
            <w:r>
              <w:rPr>
                <w:spacing w:val="-2"/>
                <w:sz w:val="20"/>
              </w:rPr>
              <w:t xml:space="preserve"> </w:t>
            </w:r>
            <w:r>
              <w:rPr>
                <w:sz w:val="20"/>
              </w:rPr>
              <w:t>to</w:t>
            </w:r>
            <w:r>
              <w:rPr>
                <w:spacing w:val="-2"/>
                <w:sz w:val="20"/>
              </w:rPr>
              <w:t xml:space="preserve"> </w:t>
            </w:r>
            <w:r>
              <w:rPr>
                <w:sz w:val="20"/>
              </w:rPr>
              <w:t>culture.</w:t>
            </w:r>
            <w:r>
              <w:rPr>
                <w:spacing w:val="-3"/>
                <w:sz w:val="20"/>
              </w:rPr>
              <w:t xml:space="preserve"> </w:t>
            </w:r>
            <w:r>
              <w:rPr>
                <w:sz w:val="20"/>
              </w:rPr>
              <w:t>One</w:t>
            </w:r>
            <w:r>
              <w:rPr>
                <w:spacing w:val="-4"/>
                <w:sz w:val="20"/>
              </w:rPr>
              <w:t xml:space="preserve"> </w:t>
            </w:r>
            <w:r>
              <w:rPr>
                <w:sz w:val="20"/>
              </w:rPr>
              <w:t>young</w:t>
            </w:r>
            <w:r>
              <w:rPr>
                <w:spacing w:val="-4"/>
                <w:sz w:val="20"/>
              </w:rPr>
              <w:t xml:space="preserve"> </w:t>
            </w:r>
            <w:r>
              <w:rPr>
                <w:sz w:val="20"/>
              </w:rPr>
              <w:t>American</w:t>
            </w:r>
            <w:r>
              <w:rPr>
                <w:spacing w:val="-2"/>
                <w:sz w:val="20"/>
              </w:rPr>
              <w:t xml:space="preserve"> </w:t>
            </w:r>
            <w:r>
              <w:rPr>
                <w:sz w:val="20"/>
              </w:rPr>
              <w:t>Indian</w:t>
            </w:r>
            <w:r>
              <w:rPr>
                <w:spacing w:val="-2"/>
                <w:sz w:val="20"/>
              </w:rPr>
              <w:t xml:space="preserve"> </w:t>
            </w:r>
            <w:r>
              <w:rPr>
                <w:sz w:val="20"/>
              </w:rPr>
              <w:t>stated</w:t>
            </w:r>
            <w:r>
              <w:rPr>
                <w:spacing w:val="-2"/>
                <w:sz w:val="20"/>
              </w:rPr>
              <w:t xml:space="preserve"> </w:t>
            </w:r>
            <w:r>
              <w:rPr>
                <w:sz w:val="20"/>
              </w:rPr>
              <w:t>on</w:t>
            </w:r>
            <w:r>
              <w:rPr>
                <w:spacing w:val="-2"/>
                <w:sz w:val="20"/>
              </w:rPr>
              <w:t xml:space="preserve"> </w:t>
            </w:r>
            <w:r>
              <w:rPr>
                <w:sz w:val="20"/>
              </w:rPr>
              <w:t>initial</w:t>
            </w:r>
            <w:r>
              <w:rPr>
                <w:spacing w:val="-3"/>
                <w:sz w:val="20"/>
              </w:rPr>
              <w:t xml:space="preserve"> </w:t>
            </w:r>
            <w:r>
              <w:rPr>
                <w:sz w:val="20"/>
              </w:rPr>
              <w:t>contact</w:t>
            </w:r>
            <w:r>
              <w:rPr>
                <w:spacing w:val="-3"/>
                <w:sz w:val="20"/>
              </w:rPr>
              <w:t xml:space="preserve"> </w:t>
            </w:r>
            <w:r>
              <w:rPr>
                <w:sz w:val="20"/>
              </w:rPr>
              <w:t>that</w:t>
            </w:r>
            <w:r>
              <w:rPr>
                <w:spacing w:val="-3"/>
                <w:sz w:val="20"/>
              </w:rPr>
              <w:t xml:space="preserve"> </w:t>
            </w:r>
            <w:r>
              <w:rPr>
                <w:sz w:val="20"/>
              </w:rPr>
              <w:t>he</w:t>
            </w:r>
            <w:r>
              <w:rPr>
                <w:spacing w:val="-4"/>
                <w:sz w:val="20"/>
              </w:rPr>
              <w:t xml:space="preserve"> </w:t>
            </w:r>
            <w:r>
              <w:rPr>
                <w:sz w:val="20"/>
              </w:rPr>
              <w:t>“might</w:t>
            </w:r>
            <w:r>
              <w:rPr>
                <w:spacing w:val="-3"/>
                <w:sz w:val="20"/>
              </w:rPr>
              <w:t xml:space="preserve"> </w:t>
            </w:r>
            <w:r>
              <w:rPr>
                <w:sz w:val="20"/>
              </w:rPr>
              <w:t>not</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r>
              <w:rPr>
                <w:spacing w:val="-3"/>
                <w:sz w:val="20"/>
              </w:rPr>
              <w:t xml:space="preserve"> </w:t>
            </w:r>
            <w:r>
              <w:rPr>
                <w:sz w:val="20"/>
              </w:rPr>
              <w:t>come</w:t>
            </w:r>
            <w:r>
              <w:rPr>
                <w:spacing w:val="-4"/>
                <w:sz w:val="20"/>
              </w:rPr>
              <w:t xml:space="preserve"> </w:t>
            </w:r>
            <w:r>
              <w:rPr>
                <w:sz w:val="20"/>
              </w:rPr>
              <w:t>back because his shoes were too tight.” This was his way of saying he had no money.</w:t>
            </w:r>
          </w:p>
          <w:p w14:paraId="55362AFE" w14:textId="77777777" w:rsidR="00DB6E1F" w:rsidRDefault="00F666A6">
            <w:pPr>
              <w:pStyle w:val="TableParagraph"/>
              <w:spacing w:before="119"/>
              <w:ind w:right="113" w:hanging="1"/>
              <w:rPr>
                <w:sz w:val="20"/>
              </w:rPr>
            </w:pPr>
            <w:r>
              <w:rPr>
                <w:sz w:val="20"/>
              </w:rPr>
              <w:t>However, ethnicity doesn’t always determine the culture or values one chooses to live by. For example, White Americans may adopt Eastern worldviews and value systems. Furth</w:t>
            </w:r>
            <w:r>
              <w:rPr>
                <w:sz w:val="20"/>
              </w:rPr>
              <w:t>ermore, an advanced education doesn’t necessarily</w:t>
            </w:r>
            <w:r>
              <w:rPr>
                <w:spacing w:val="-2"/>
                <w:sz w:val="20"/>
              </w:rPr>
              <w:t xml:space="preserve"> </w:t>
            </w:r>
            <w:r>
              <w:rPr>
                <w:sz w:val="20"/>
              </w:rPr>
              <w:t>indicate</w:t>
            </w:r>
            <w:r>
              <w:rPr>
                <w:spacing w:val="-4"/>
                <w:sz w:val="20"/>
              </w:rPr>
              <w:t xml:space="preserve"> </w:t>
            </w:r>
            <w:r>
              <w:rPr>
                <w:sz w:val="20"/>
              </w:rPr>
              <w:t>one’s</w:t>
            </w:r>
            <w:r>
              <w:rPr>
                <w:spacing w:val="-4"/>
                <w:sz w:val="20"/>
              </w:rPr>
              <w:t xml:space="preserve"> </w:t>
            </w:r>
            <w:r>
              <w:rPr>
                <w:sz w:val="20"/>
              </w:rPr>
              <w:t>degree</w:t>
            </w:r>
            <w:r>
              <w:rPr>
                <w:spacing w:val="-4"/>
                <w:sz w:val="20"/>
              </w:rPr>
              <w:t xml:space="preserve"> </w:t>
            </w:r>
            <w:r>
              <w:rPr>
                <w:sz w:val="20"/>
              </w:rPr>
              <w:t>of</w:t>
            </w:r>
            <w:r>
              <w:rPr>
                <w:spacing w:val="-4"/>
                <w:sz w:val="20"/>
              </w:rPr>
              <w:t xml:space="preserve"> </w:t>
            </w:r>
            <w:r>
              <w:rPr>
                <w:sz w:val="20"/>
              </w:rPr>
              <w:t>assimilation</w:t>
            </w:r>
            <w:r>
              <w:rPr>
                <w:spacing w:val="-2"/>
                <w:sz w:val="20"/>
              </w:rPr>
              <w:t xml:space="preserve"> </w:t>
            </w:r>
            <w:r>
              <w:rPr>
                <w:sz w:val="20"/>
              </w:rPr>
              <w:t>or</w:t>
            </w:r>
            <w:r>
              <w:rPr>
                <w:spacing w:val="-3"/>
                <w:sz w:val="20"/>
              </w:rPr>
              <w:t xml:space="preserve"> </w:t>
            </w:r>
            <w:r>
              <w:rPr>
                <w:sz w:val="20"/>
              </w:rPr>
              <w:t>acculturation.</w:t>
            </w:r>
            <w:r>
              <w:rPr>
                <w:spacing w:val="-3"/>
                <w:sz w:val="20"/>
              </w:rPr>
              <w:t xml:space="preserve"> </w:t>
            </w:r>
            <w:r>
              <w:rPr>
                <w:sz w:val="20"/>
              </w:rPr>
              <w:t>Asian</w:t>
            </w:r>
            <w:r>
              <w:rPr>
                <w:spacing w:val="-2"/>
                <w:sz w:val="20"/>
              </w:rPr>
              <w:t xml:space="preserve"> </w:t>
            </w:r>
            <w:r>
              <w:rPr>
                <w:sz w:val="20"/>
              </w:rPr>
              <w:t>Americans</w:t>
            </w:r>
            <w:r>
              <w:rPr>
                <w:spacing w:val="-4"/>
                <w:sz w:val="20"/>
              </w:rPr>
              <w:t xml:space="preserve"> </w:t>
            </w:r>
            <w:r>
              <w:rPr>
                <w:sz w:val="20"/>
              </w:rPr>
              <w:t>or</w:t>
            </w:r>
            <w:r>
              <w:rPr>
                <w:spacing w:val="-3"/>
                <w:sz w:val="20"/>
              </w:rPr>
              <w:t xml:space="preserve"> </w:t>
            </w:r>
            <w:r>
              <w:rPr>
                <w:sz w:val="20"/>
              </w:rPr>
              <w:t>African</w:t>
            </w:r>
            <w:r>
              <w:rPr>
                <w:spacing w:val="-3"/>
                <w:sz w:val="20"/>
              </w:rPr>
              <w:t xml:space="preserve"> </w:t>
            </w:r>
            <w:r>
              <w:rPr>
                <w:sz w:val="20"/>
              </w:rPr>
              <w:t>Americans</w:t>
            </w:r>
            <w:r>
              <w:rPr>
                <w:spacing w:val="-4"/>
                <w:sz w:val="20"/>
              </w:rPr>
              <w:t xml:space="preserve"> </w:t>
            </w:r>
            <w:r>
              <w:rPr>
                <w:sz w:val="20"/>
              </w:rPr>
              <w:t>who</w:t>
            </w:r>
            <w:r>
              <w:rPr>
                <w:spacing w:val="-2"/>
                <w:sz w:val="20"/>
              </w:rPr>
              <w:t xml:space="preserve"> </w:t>
            </w:r>
            <w:r>
              <w:rPr>
                <w:sz w:val="20"/>
              </w:rPr>
              <w:t>are well educated may choose to live according to their traditional cultural value system and process informa</w:t>
            </w:r>
            <w:r>
              <w:rPr>
                <w:sz w:val="20"/>
              </w:rPr>
              <w:t>tion</w:t>
            </w:r>
            <w:r>
              <w:rPr>
                <w:spacing w:val="40"/>
                <w:sz w:val="20"/>
              </w:rPr>
              <w:t xml:space="preserve"> </w:t>
            </w:r>
            <w:r>
              <w:rPr>
                <w:sz w:val="20"/>
              </w:rPr>
              <w:t>for change accordingly.</w:t>
            </w:r>
          </w:p>
          <w:p w14:paraId="1A1C2C44" w14:textId="77777777" w:rsidR="00DB6E1F" w:rsidRDefault="00F666A6">
            <w:pPr>
              <w:pStyle w:val="TableParagraph"/>
              <w:spacing w:before="119"/>
              <w:ind w:left="108" w:right="100"/>
              <w:rPr>
                <w:sz w:val="20"/>
              </w:rPr>
            </w:pPr>
            <w:r>
              <w:rPr>
                <w:sz w:val="20"/>
              </w:rPr>
              <w:t>Culture is a powerful contributor to defining one’s identity. Not having a healthy ethnic sense of self affects all stages of the change process. To have a strong sense of self, you have to be powerful in the areas of being, kn</w:t>
            </w:r>
            <w:r>
              <w:rPr>
                <w:sz w:val="20"/>
              </w:rPr>
              <w:t>owing, doing, and having. Racially and ethnically diverse individuals who have been raised in environments that</w:t>
            </w:r>
            <w:r>
              <w:rPr>
                <w:spacing w:val="-2"/>
                <w:sz w:val="20"/>
              </w:rPr>
              <w:t xml:space="preserve"> </w:t>
            </w:r>
            <w:r>
              <w:rPr>
                <w:sz w:val="20"/>
              </w:rPr>
              <w:t>isolate</w:t>
            </w:r>
            <w:r>
              <w:rPr>
                <w:spacing w:val="-3"/>
                <w:sz w:val="20"/>
              </w:rPr>
              <w:t xml:space="preserve"> </w:t>
            </w:r>
            <w:r>
              <w:rPr>
                <w:sz w:val="20"/>
              </w:rPr>
              <w:t>them</w:t>
            </w:r>
            <w:r>
              <w:rPr>
                <w:spacing w:val="-3"/>
                <w:sz w:val="20"/>
              </w:rPr>
              <w:t xml:space="preserve"> </w:t>
            </w:r>
            <w:r>
              <w:rPr>
                <w:sz w:val="20"/>
              </w:rPr>
              <w:t>from</w:t>
            </w:r>
            <w:r>
              <w:rPr>
                <w:spacing w:val="-3"/>
                <w:sz w:val="20"/>
              </w:rPr>
              <w:t xml:space="preserve"> </w:t>
            </w:r>
            <w:r>
              <w:rPr>
                <w:sz w:val="20"/>
              </w:rPr>
              <w:t>their</w:t>
            </w:r>
            <w:r>
              <w:rPr>
                <w:spacing w:val="-2"/>
                <w:sz w:val="20"/>
              </w:rPr>
              <w:t xml:space="preserve"> </w:t>
            </w:r>
            <w:r>
              <w:rPr>
                <w:sz w:val="20"/>
              </w:rPr>
              <w:t>own</w:t>
            </w:r>
            <w:r>
              <w:rPr>
                <w:spacing w:val="-2"/>
                <w:sz w:val="20"/>
              </w:rPr>
              <w:t xml:space="preserve"> </w:t>
            </w:r>
            <w:r>
              <w:rPr>
                <w:sz w:val="20"/>
              </w:rPr>
              <w:t>cultures</w:t>
            </w:r>
            <w:r>
              <w:rPr>
                <w:spacing w:val="-2"/>
                <w:sz w:val="20"/>
              </w:rPr>
              <w:t xml:space="preserve"> </w:t>
            </w:r>
            <w:r>
              <w:rPr>
                <w:sz w:val="20"/>
              </w:rPr>
              <w:t>may</w:t>
            </w:r>
            <w:r>
              <w:rPr>
                <w:spacing w:val="-2"/>
                <w:sz w:val="20"/>
              </w:rPr>
              <w:t xml:space="preserve"> </w:t>
            </w:r>
            <w:r>
              <w:rPr>
                <w:sz w:val="20"/>
              </w:rPr>
              <w:t>not</w:t>
            </w:r>
            <w:r>
              <w:rPr>
                <w:spacing w:val="-2"/>
                <w:sz w:val="20"/>
              </w:rPr>
              <w:t xml:space="preserve"> </w:t>
            </w:r>
            <w:r>
              <w:rPr>
                <w:sz w:val="20"/>
              </w:rPr>
              <w:t>have</w:t>
            </w:r>
            <w:r>
              <w:rPr>
                <w:spacing w:val="-3"/>
                <w:sz w:val="20"/>
              </w:rPr>
              <w:t xml:space="preserve"> </w:t>
            </w:r>
            <w:r>
              <w:rPr>
                <w:sz w:val="20"/>
              </w:rPr>
              <w:t>accurate</w:t>
            </w:r>
            <w:r>
              <w:rPr>
                <w:spacing w:val="-3"/>
                <w:sz w:val="20"/>
              </w:rPr>
              <w:t xml:space="preserve"> </w:t>
            </w:r>
            <w:r>
              <w:rPr>
                <w:sz w:val="20"/>
              </w:rPr>
              <w:t>information</w:t>
            </w:r>
            <w:r>
              <w:rPr>
                <w:spacing w:val="-2"/>
                <w:sz w:val="20"/>
              </w:rPr>
              <w:t xml:space="preserve"> </w:t>
            </w:r>
            <w:r>
              <w:rPr>
                <w:sz w:val="20"/>
              </w:rPr>
              <w:t>about</w:t>
            </w:r>
            <w:r>
              <w:rPr>
                <w:spacing w:val="-2"/>
                <w:sz w:val="20"/>
              </w:rPr>
              <w:t xml:space="preserve"> </w:t>
            </w:r>
            <w:r>
              <w:rPr>
                <w:sz w:val="20"/>
              </w:rPr>
              <w:t>their</w:t>
            </w:r>
            <w:r>
              <w:rPr>
                <w:spacing w:val="-2"/>
                <w:sz w:val="20"/>
              </w:rPr>
              <w:t xml:space="preserve"> </w:t>
            </w:r>
            <w:r>
              <w:rPr>
                <w:sz w:val="20"/>
              </w:rPr>
              <w:t>ethnicity</w:t>
            </w:r>
            <w:r>
              <w:rPr>
                <w:spacing w:val="-2"/>
                <w:sz w:val="20"/>
              </w:rPr>
              <w:t xml:space="preserve"> </w:t>
            </w:r>
            <w:r>
              <w:rPr>
                <w:sz w:val="20"/>
              </w:rPr>
              <w:t>and</w:t>
            </w:r>
            <w:r>
              <w:rPr>
                <w:spacing w:val="-2"/>
                <w:sz w:val="20"/>
              </w:rPr>
              <w:t xml:space="preserve"> </w:t>
            </w:r>
            <w:r>
              <w:rPr>
                <w:sz w:val="20"/>
              </w:rPr>
              <w:t>may</w:t>
            </w:r>
            <w:r>
              <w:rPr>
                <w:spacing w:val="-2"/>
                <w:sz w:val="20"/>
              </w:rPr>
              <w:t xml:space="preserve"> </w:t>
            </w:r>
            <w:r>
              <w:rPr>
                <w:sz w:val="20"/>
              </w:rPr>
              <w:t>not develop a healthy ethnic sense of self.</w:t>
            </w:r>
          </w:p>
        </w:tc>
      </w:tr>
    </w:tbl>
    <w:p w14:paraId="79B46C6C" w14:textId="77777777" w:rsidR="00DB6E1F" w:rsidRDefault="00DB6E1F">
      <w:pPr>
        <w:rPr>
          <w:sz w:val="20"/>
        </w:rPr>
        <w:sectPr w:rsidR="00DB6E1F">
          <w:pgSz w:w="12240" w:h="15840"/>
          <w:pgMar w:top="1200" w:right="0" w:bottom="780" w:left="0" w:header="763" w:footer="585" w:gutter="0"/>
          <w:cols w:space="720"/>
        </w:sectPr>
      </w:pPr>
    </w:p>
    <w:p w14:paraId="19B06093"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DB6E1F" w14:paraId="76323B2A" w14:textId="77777777">
        <w:trPr>
          <w:trHeight w:val="1177"/>
        </w:trPr>
        <w:tc>
          <w:tcPr>
            <w:tcW w:w="9360" w:type="dxa"/>
          </w:tcPr>
          <w:p w14:paraId="1E75AC44" w14:textId="77777777" w:rsidR="00DB6E1F" w:rsidRDefault="00F666A6">
            <w:pPr>
              <w:pStyle w:val="TableParagraph"/>
              <w:rPr>
                <w:sz w:val="20"/>
              </w:rPr>
            </w:pPr>
            <w:r>
              <w:rPr>
                <w:sz w:val="20"/>
              </w:rPr>
              <w:t>I</w:t>
            </w:r>
            <w:r>
              <w:rPr>
                <w:spacing w:val="-3"/>
                <w:sz w:val="20"/>
              </w:rPr>
              <w:t xml:space="preserve"> </w:t>
            </w:r>
            <w:r>
              <w:rPr>
                <w:sz w:val="20"/>
              </w:rPr>
              <w:t>believe</w:t>
            </w:r>
            <w:r>
              <w:rPr>
                <w:spacing w:val="-4"/>
                <w:sz w:val="20"/>
              </w:rPr>
              <w:t xml:space="preserve"> </w:t>
            </w:r>
            <w:r>
              <w:rPr>
                <w:sz w:val="20"/>
              </w:rPr>
              <w:t>counselors</w:t>
            </w:r>
            <w:r>
              <w:rPr>
                <w:spacing w:val="-2"/>
                <w:sz w:val="20"/>
              </w:rPr>
              <w:t xml:space="preserve"> </w:t>
            </w:r>
            <w:r>
              <w:rPr>
                <w:sz w:val="20"/>
              </w:rPr>
              <w:t>who</w:t>
            </w:r>
            <w:r>
              <w:rPr>
                <w:spacing w:val="-3"/>
                <w:sz w:val="20"/>
              </w:rPr>
              <w:t xml:space="preserve"> </w:t>
            </w:r>
            <w:r>
              <w:rPr>
                <w:sz w:val="20"/>
              </w:rPr>
              <w:t>use</w:t>
            </w:r>
            <w:r>
              <w:rPr>
                <w:spacing w:val="-1"/>
                <w:sz w:val="20"/>
              </w:rPr>
              <w:t xml:space="preserve"> </w:t>
            </w:r>
            <w:r>
              <w:rPr>
                <w:sz w:val="20"/>
              </w:rPr>
              <w:t>MET</w:t>
            </w:r>
            <w:r>
              <w:rPr>
                <w:spacing w:val="-4"/>
                <w:sz w:val="20"/>
              </w:rPr>
              <w:t xml:space="preserve"> </w:t>
            </w:r>
            <w:r>
              <w:rPr>
                <w:sz w:val="20"/>
              </w:rPr>
              <w:t>need</w:t>
            </w:r>
            <w:r>
              <w:rPr>
                <w:spacing w:val="-2"/>
                <w:sz w:val="20"/>
              </w:rPr>
              <w:t xml:space="preserve"> </w:t>
            </w:r>
            <w:r>
              <w:rPr>
                <w:sz w:val="20"/>
              </w:rPr>
              <w:t>to</w:t>
            </w:r>
            <w:r>
              <w:rPr>
                <w:spacing w:val="-3"/>
                <w:sz w:val="20"/>
              </w:rPr>
              <w:t xml:space="preserve"> </w:t>
            </w:r>
            <w:r>
              <w:rPr>
                <w:sz w:val="20"/>
              </w:rPr>
              <w:t>know</w:t>
            </w:r>
            <w:r>
              <w:rPr>
                <w:spacing w:val="-4"/>
                <w:sz w:val="20"/>
              </w:rPr>
              <w:t xml:space="preserve"> </w:t>
            </w:r>
            <w:r>
              <w:rPr>
                <w:sz w:val="20"/>
              </w:rPr>
              <w:t>different</w:t>
            </w:r>
            <w:r>
              <w:rPr>
                <w:spacing w:val="-3"/>
                <w:sz w:val="20"/>
              </w:rPr>
              <w:t xml:space="preserve"> </w:t>
            </w:r>
            <w:r>
              <w:rPr>
                <w:sz w:val="20"/>
              </w:rPr>
              <w:t>cultural</w:t>
            </w:r>
            <w:r>
              <w:rPr>
                <w:spacing w:val="-3"/>
                <w:sz w:val="20"/>
              </w:rPr>
              <w:t xml:space="preserve"> </w:t>
            </w:r>
            <w:r>
              <w:rPr>
                <w:sz w:val="20"/>
              </w:rPr>
              <w:t>value</w:t>
            </w:r>
            <w:r>
              <w:rPr>
                <w:spacing w:val="-4"/>
                <w:sz w:val="20"/>
              </w:rPr>
              <w:t xml:space="preserve"> </w:t>
            </w:r>
            <w:r>
              <w:rPr>
                <w:sz w:val="20"/>
              </w:rPr>
              <w:t>systems</w:t>
            </w:r>
            <w:r>
              <w:rPr>
                <w:spacing w:val="-4"/>
                <w:sz w:val="20"/>
              </w:rPr>
              <w:t xml:space="preserve"> </w:t>
            </w:r>
            <w:r>
              <w:rPr>
                <w:sz w:val="20"/>
              </w:rPr>
              <w:t>and</w:t>
            </w:r>
            <w:r>
              <w:rPr>
                <w:spacing w:val="-2"/>
                <w:sz w:val="20"/>
              </w:rPr>
              <w:t xml:space="preserve"> </w:t>
            </w:r>
            <w:r>
              <w:rPr>
                <w:sz w:val="20"/>
              </w:rPr>
              <w:t>be</w:t>
            </w:r>
            <w:r>
              <w:rPr>
                <w:spacing w:val="-4"/>
                <w:sz w:val="20"/>
              </w:rPr>
              <w:t xml:space="preserve"> </w:t>
            </w:r>
            <w:r>
              <w:rPr>
                <w:sz w:val="20"/>
              </w:rPr>
              <w:t>culturally</w:t>
            </w:r>
            <w:r>
              <w:rPr>
                <w:spacing w:val="-2"/>
                <w:sz w:val="20"/>
              </w:rPr>
              <w:t xml:space="preserve"> </w:t>
            </w:r>
            <w:r>
              <w:rPr>
                <w:sz w:val="20"/>
              </w:rPr>
              <w:t>sensitive.</w:t>
            </w:r>
            <w:r>
              <w:rPr>
                <w:spacing w:val="-3"/>
                <w:sz w:val="20"/>
              </w:rPr>
              <w:t xml:space="preserve"> </w:t>
            </w:r>
            <w:r>
              <w:rPr>
                <w:sz w:val="20"/>
              </w:rPr>
              <w:t>If</w:t>
            </w:r>
            <w:r>
              <w:rPr>
                <w:spacing w:val="-4"/>
                <w:sz w:val="20"/>
              </w:rPr>
              <w:t xml:space="preserve"> </w:t>
            </w:r>
            <w:r>
              <w:rPr>
                <w:sz w:val="20"/>
              </w:rPr>
              <w:t>in doubt of the client’s beliefs, explore them with the client. Acknowledging and hon</w:t>
            </w:r>
            <w:r>
              <w:rPr>
                <w:sz w:val="20"/>
              </w:rPr>
              <w:t>oring differing cultural worldviews greatly influence both motivational style and therapeutic outcome.</w:t>
            </w:r>
          </w:p>
          <w:p w14:paraId="235E5D69" w14:textId="77777777" w:rsidR="00DB6E1F" w:rsidRDefault="00F666A6">
            <w:pPr>
              <w:pStyle w:val="TableParagraph"/>
              <w:spacing w:before="120"/>
              <w:rPr>
                <w:i/>
                <w:sz w:val="20"/>
              </w:rPr>
            </w:pPr>
            <w:r>
              <w:rPr>
                <w:i/>
                <w:sz w:val="20"/>
              </w:rPr>
              <w:t>Rosalyn</w:t>
            </w:r>
            <w:r>
              <w:rPr>
                <w:i/>
                <w:spacing w:val="-9"/>
                <w:sz w:val="20"/>
              </w:rPr>
              <w:t xml:space="preserve"> </w:t>
            </w:r>
            <w:r>
              <w:rPr>
                <w:i/>
                <w:sz w:val="20"/>
              </w:rPr>
              <w:t>Harris-Offutt,</w:t>
            </w:r>
            <w:r>
              <w:rPr>
                <w:i/>
                <w:spacing w:val="-9"/>
                <w:sz w:val="20"/>
              </w:rPr>
              <w:t xml:space="preserve"> </w:t>
            </w:r>
            <w:r>
              <w:rPr>
                <w:i/>
                <w:sz w:val="20"/>
              </w:rPr>
              <w:t>Consensus</w:t>
            </w:r>
            <w:r>
              <w:rPr>
                <w:i/>
                <w:spacing w:val="-11"/>
                <w:sz w:val="20"/>
              </w:rPr>
              <w:t xml:space="preserve"> </w:t>
            </w:r>
            <w:r>
              <w:rPr>
                <w:i/>
                <w:sz w:val="20"/>
              </w:rPr>
              <w:t>Panel</w:t>
            </w:r>
            <w:r>
              <w:rPr>
                <w:i/>
                <w:spacing w:val="-10"/>
                <w:sz w:val="20"/>
              </w:rPr>
              <w:t xml:space="preserve"> </w:t>
            </w:r>
            <w:r>
              <w:rPr>
                <w:i/>
                <w:spacing w:val="-2"/>
                <w:sz w:val="20"/>
              </w:rPr>
              <w:t>Member</w:t>
            </w:r>
          </w:p>
        </w:tc>
      </w:tr>
    </w:tbl>
    <w:p w14:paraId="0014B90A" w14:textId="77777777" w:rsidR="00DB6E1F" w:rsidRDefault="00DB6E1F">
      <w:pPr>
        <w:pStyle w:val="BodyText"/>
        <w:spacing w:before="4"/>
        <w:rPr>
          <w:sz w:val="8"/>
        </w:rPr>
      </w:pPr>
    </w:p>
    <w:p w14:paraId="360B74FF" w14:textId="77777777" w:rsidR="00DB6E1F" w:rsidRDefault="00F666A6">
      <w:pPr>
        <w:pStyle w:val="BodyText"/>
        <w:spacing w:before="56"/>
        <w:ind w:left="1439" w:right="1444"/>
      </w:pPr>
      <w:r>
        <w:t>Understand</w:t>
      </w:r>
      <w:r>
        <w:rPr>
          <w:spacing w:val="-3"/>
        </w:rPr>
        <w:t xml:space="preserve"> </w:t>
      </w:r>
      <w:r>
        <w:t>not</w:t>
      </w:r>
      <w:r>
        <w:rPr>
          <w:spacing w:val="-1"/>
        </w:rPr>
        <w:t xml:space="preserve"> </w:t>
      </w:r>
      <w:r>
        <w:t>just</w:t>
      </w:r>
      <w:r>
        <w:rPr>
          <w:spacing w:val="-1"/>
        </w:rPr>
        <w:t xml:space="preserve"> </w:t>
      </w:r>
      <w:r>
        <w:t>how</w:t>
      </w:r>
      <w:r>
        <w:rPr>
          <w:spacing w:val="-4"/>
        </w:rPr>
        <w:t xml:space="preserve"> </w:t>
      </w:r>
      <w:r>
        <w:t>a</w:t>
      </w:r>
      <w:r>
        <w:rPr>
          <w:spacing w:val="-4"/>
        </w:rPr>
        <w:t xml:space="preserve"> </w:t>
      </w:r>
      <w:r>
        <w:t>client’s</w:t>
      </w:r>
      <w:r>
        <w:rPr>
          <w:spacing w:val="-2"/>
        </w:rPr>
        <w:t xml:space="preserve"> </w:t>
      </w:r>
      <w:r>
        <w:t>cultural</w:t>
      </w:r>
      <w:r>
        <w:rPr>
          <w:spacing w:val="-2"/>
        </w:rPr>
        <w:t xml:space="preserve"> </w:t>
      </w:r>
      <w:r>
        <w:t>values</w:t>
      </w:r>
      <w:r>
        <w:rPr>
          <w:spacing w:val="-2"/>
        </w:rPr>
        <w:t xml:space="preserve"> </w:t>
      </w:r>
      <w:r>
        <w:t>encourage</w:t>
      </w:r>
      <w:r>
        <w:rPr>
          <w:spacing w:val="-2"/>
        </w:rPr>
        <w:t xml:space="preserve"> </w:t>
      </w:r>
      <w:r>
        <w:t>change,</w:t>
      </w:r>
      <w:r>
        <w:rPr>
          <w:spacing w:val="-3"/>
        </w:rPr>
        <w:t xml:space="preserve"> </w:t>
      </w:r>
      <w:r>
        <w:t>but</w:t>
      </w:r>
      <w:r>
        <w:rPr>
          <w:spacing w:val="-2"/>
        </w:rPr>
        <w:t xml:space="preserve"> </w:t>
      </w:r>
      <w:r>
        <w:t>how</w:t>
      </w:r>
      <w:r>
        <w:rPr>
          <w:spacing w:val="-4"/>
        </w:rPr>
        <w:t xml:space="preserve"> </w:t>
      </w:r>
      <w:r>
        <w:t>they</w:t>
      </w:r>
      <w:r>
        <w:rPr>
          <w:spacing w:val="-3"/>
        </w:rPr>
        <w:t xml:space="preserve"> </w:t>
      </w:r>
      <w:r>
        <w:t>may</w:t>
      </w:r>
      <w:r>
        <w:rPr>
          <w:spacing w:val="-1"/>
        </w:rPr>
        <w:t xml:space="preserve"> </w:t>
      </w:r>
      <w:r>
        <w:t>present</w:t>
      </w:r>
      <w:r>
        <w:rPr>
          <w:spacing w:val="-1"/>
        </w:rPr>
        <w:t xml:space="preserve"> </w:t>
      </w:r>
      <w:r>
        <w:t>barriers to change. Some clients identify strongly with cultural or religious traditions and work hard to gain respect</w:t>
      </w:r>
      <w:r>
        <w:rPr>
          <w:spacing w:val="-3"/>
        </w:rPr>
        <w:t xml:space="preserve"> </w:t>
      </w:r>
      <w:r>
        <w:t>from</w:t>
      </w:r>
      <w:r>
        <w:rPr>
          <w:spacing w:val="-2"/>
        </w:rPr>
        <w:t xml:space="preserve"> </w:t>
      </w:r>
      <w:r>
        <w:t>elders</w:t>
      </w:r>
      <w:r>
        <w:rPr>
          <w:spacing w:val="-3"/>
        </w:rPr>
        <w:t xml:space="preserve"> </w:t>
      </w:r>
      <w:r>
        <w:t>or</w:t>
      </w:r>
      <w:r>
        <w:rPr>
          <w:spacing w:val="-1"/>
        </w:rPr>
        <w:t xml:space="preserve"> </w:t>
      </w:r>
      <w:r>
        <w:t>group</w:t>
      </w:r>
      <w:r>
        <w:rPr>
          <w:spacing w:val="-2"/>
        </w:rPr>
        <w:t xml:space="preserve"> </w:t>
      </w:r>
      <w:r>
        <w:t>leaders.</w:t>
      </w:r>
      <w:r>
        <w:rPr>
          <w:spacing w:val="-2"/>
        </w:rPr>
        <w:t xml:space="preserve"> </w:t>
      </w:r>
      <w:r>
        <w:t>Others</w:t>
      </w:r>
      <w:r>
        <w:rPr>
          <w:spacing w:val="-1"/>
        </w:rPr>
        <w:t xml:space="preserve"> </w:t>
      </w:r>
      <w:r>
        <w:t>find</w:t>
      </w:r>
      <w:r>
        <w:rPr>
          <w:spacing w:val="-4"/>
        </w:rPr>
        <w:t xml:space="preserve"> </w:t>
      </w:r>
      <w:r>
        <w:t>membership</w:t>
      </w:r>
      <w:r>
        <w:rPr>
          <w:spacing w:val="-2"/>
        </w:rPr>
        <w:t xml:space="preserve"> </w:t>
      </w:r>
      <w:r>
        <w:t>or</w:t>
      </w:r>
      <w:r>
        <w:rPr>
          <w:spacing w:val="-1"/>
        </w:rPr>
        <w:t xml:space="preserve"> </w:t>
      </w:r>
      <w:r>
        <w:t>participation</w:t>
      </w:r>
      <w:r>
        <w:rPr>
          <w:spacing w:val="-2"/>
        </w:rPr>
        <w:t xml:space="preserve"> </w:t>
      </w:r>
      <w:r>
        <w:t>in</w:t>
      </w:r>
      <w:r>
        <w:rPr>
          <w:spacing w:val="-2"/>
        </w:rPr>
        <w:t xml:space="preserve"> </w:t>
      </w:r>
      <w:r>
        <w:t>such</w:t>
      </w:r>
      <w:r>
        <w:rPr>
          <w:spacing w:val="-1"/>
        </w:rPr>
        <w:t xml:space="preserve"> </w:t>
      </w:r>
      <w:r>
        <w:t>groups</w:t>
      </w:r>
      <w:r>
        <w:rPr>
          <w:spacing w:val="-1"/>
        </w:rPr>
        <w:t xml:space="preserve"> </w:t>
      </w:r>
      <w:r>
        <w:t>unhelpful. Some cultures support involvement of fami</w:t>
      </w:r>
      <w:r>
        <w:t>ly members in counseling; others find this disrespectful.</w:t>
      </w:r>
    </w:p>
    <w:p w14:paraId="70943599" w14:textId="77777777" w:rsidR="00DB6E1F" w:rsidRDefault="00F666A6">
      <w:pPr>
        <w:pStyle w:val="BodyText"/>
        <w:spacing w:before="160"/>
        <w:ind w:left="1438" w:right="1467"/>
      </w:pPr>
      <w:r>
        <w:t xml:space="preserve">Know what personal and material resources are available to clients, and be sensitive to issues of poverty, social isolation, historical trauma, and recent losses. Recognize that access to financial </w:t>
      </w:r>
      <w:r>
        <w:t>and social resources is an important part of the motivation for and process of change. Poverty and lack of resources make change more difficult. It is hard to affirm self-efficacy and stimulate hope and</w:t>
      </w:r>
      <w:r>
        <w:rPr>
          <w:spacing w:val="-1"/>
        </w:rPr>
        <w:t xml:space="preserve"> </w:t>
      </w:r>
      <w:r>
        <w:t>optimism in clients</w:t>
      </w:r>
      <w:r>
        <w:rPr>
          <w:spacing w:val="-1"/>
        </w:rPr>
        <w:t xml:space="preserve"> </w:t>
      </w:r>
      <w:r>
        <w:t>who lack</w:t>
      </w:r>
      <w:r>
        <w:rPr>
          <w:spacing w:val="-1"/>
        </w:rPr>
        <w:t xml:space="preserve"> </w:t>
      </w:r>
      <w:r>
        <w:t>material</w:t>
      </w:r>
      <w:r>
        <w:rPr>
          <w:spacing w:val="-1"/>
        </w:rPr>
        <w:t xml:space="preserve"> </w:t>
      </w:r>
      <w:r>
        <w:t>resources</w:t>
      </w:r>
      <w:r>
        <w:rPr>
          <w:spacing w:val="-1"/>
        </w:rPr>
        <w:t xml:space="preserve"> </w:t>
      </w:r>
      <w:r>
        <w:t>and h</w:t>
      </w:r>
      <w:r>
        <w:t>ave</w:t>
      </w:r>
      <w:r>
        <w:rPr>
          <w:spacing w:val="-1"/>
        </w:rPr>
        <w:t xml:space="preserve"> </w:t>
      </w:r>
      <w:r>
        <w:t>experienced discrimination. You can firmly acknowledge the facts of the situation yet still enhance hope and motivation to change by affirming clients’ strengths and</w:t>
      </w:r>
      <w:r>
        <w:rPr>
          <w:spacing w:val="-3"/>
        </w:rPr>
        <w:t xml:space="preserve"> </w:t>
      </w:r>
      <w:r>
        <w:t>capacity</w:t>
      </w:r>
      <w:r>
        <w:rPr>
          <w:spacing w:val="-3"/>
        </w:rPr>
        <w:t xml:space="preserve"> </w:t>
      </w:r>
      <w:r>
        <w:t>for</w:t>
      </w:r>
      <w:r>
        <w:rPr>
          <w:spacing w:val="-4"/>
        </w:rPr>
        <w:t xml:space="preserve"> </w:t>
      </w:r>
      <w:r>
        <w:t>endurance</w:t>
      </w:r>
      <w:r>
        <w:rPr>
          <w:spacing w:val="-4"/>
        </w:rPr>
        <w:t xml:space="preserve"> </w:t>
      </w:r>
      <w:r>
        <w:t>and</w:t>
      </w:r>
      <w:r>
        <w:rPr>
          <w:spacing w:val="-3"/>
        </w:rPr>
        <w:t xml:space="preserve"> </w:t>
      </w:r>
      <w:r>
        <w:t>growth</w:t>
      </w:r>
      <w:r>
        <w:rPr>
          <w:spacing w:val="-3"/>
        </w:rPr>
        <w:t xml:space="preserve"> </w:t>
      </w:r>
      <w:r>
        <w:t>despite</w:t>
      </w:r>
      <w:r>
        <w:rPr>
          <w:spacing w:val="-1"/>
        </w:rPr>
        <w:t xml:space="preserve"> </w:t>
      </w:r>
      <w:r>
        <w:t>difficult</w:t>
      </w:r>
      <w:r>
        <w:rPr>
          <w:spacing w:val="-1"/>
        </w:rPr>
        <w:t xml:space="preserve"> </w:t>
      </w:r>
      <w:r>
        <w:t>circumstances.</w:t>
      </w:r>
      <w:r>
        <w:rPr>
          <w:spacing w:val="-2"/>
        </w:rPr>
        <w:t xml:space="preserve"> </w:t>
      </w:r>
      <w:r>
        <w:t>For</w:t>
      </w:r>
      <w:r>
        <w:rPr>
          <w:spacing w:val="-7"/>
        </w:rPr>
        <w:t xml:space="preserve"> </w:t>
      </w:r>
      <w:r>
        <w:t>more</w:t>
      </w:r>
      <w:r>
        <w:rPr>
          <w:spacing w:val="-2"/>
        </w:rPr>
        <w:t xml:space="preserve"> </w:t>
      </w:r>
      <w:r>
        <w:t>information</w:t>
      </w:r>
      <w:r>
        <w:rPr>
          <w:spacing w:val="-5"/>
        </w:rPr>
        <w:t xml:space="preserve"> </w:t>
      </w:r>
      <w:r>
        <w:t>on</w:t>
      </w:r>
      <w:r>
        <w:rPr>
          <w:spacing w:val="-3"/>
        </w:rPr>
        <w:t xml:space="preserve"> </w:t>
      </w:r>
      <w:r>
        <w:t xml:space="preserve">cultural issues in treatment, see TIP 59: </w:t>
      </w:r>
      <w:r>
        <w:rPr>
          <w:i/>
        </w:rPr>
        <w:t xml:space="preserve">Improving Cultural Competence </w:t>
      </w:r>
      <w:r>
        <w:t>(SAMHSA, 2014a).</w:t>
      </w:r>
    </w:p>
    <w:p w14:paraId="00D929B2" w14:textId="77777777" w:rsidR="00DB6E1F" w:rsidRDefault="00F666A6">
      <w:pPr>
        <w:pStyle w:val="Heading3"/>
        <w:spacing w:before="163"/>
      </w:pPr>
      <w:bookmarkStart w:id="75" w:name="Adults_With_COD"/>
      <w:bookmarkEnd w:id="75"/>
      <w:r>
        <w:t>Adults</w:t>
      </w:r>
      <w:r>
        <w:rPr>
          <w:spacing w:val="-8"/>
        </w:rPr>
        <w:t xml:space="preserve"> </w:t>
      </w:r>
      <w:r>
        <w:t>With</w:t>
      </w:r>
      <w:r>
        <w:rPr>
          <w:spacing w:val="-6"/>
        </w:rPr>
        <w:t xml:space="preserve"> </w:t>
      </w:r>
      <w:r>
        <w:rPr>
          <w:spacing w:val="-5"/>
        </w:rPr>
        <w:t>COD</w:t>
      </w:r>
    </w:p>
    <w:p w14:paraId="26212F90" w14:textId="77777777" w:rsidR="00DB6E1F" w:rsidRDefault="00F666A6">
      <w:pPr>
        <w:pStyle w:val="BodyText"/>
        <w:spacing w:before="143"/>
        <w:ind w:left="1439" w:right="1468"/>
      </w:pPr>
      <w:r>
        <w:t>Substance</w:t>
      </w:r>
      <w:r>
        <w:rPr>
          <w:spacing w:val="-1"/>
        </w:rPr>
        <w:t xml:space="preserve"> </w:t>
      </w:r>
      <w:r>
        <w:t>use</w:t>
      </w:r>
      <w:r>
        <w:rPr>
          <w:spacing w:val="-4"/>
        </w:rPr>
        <w:t xml:space="preserve"> </w:t>
      </w:r>
      <w:r>
        <w:t>and</w:t>
      </w:r>
      <w:r>
        <w:rPr>
          <w:spacing w:val="-3"/>
        </w:rPr>
        <w:t xml:space="preserve"> </w:t>
      </w:r>
      <w:r>
        <w:t>mental</w:t>
      </w:r>
      <w:r>
        <w:rPr>
          <w:spacing w:val="-5"/>
        </w:rPr>
        <w:t xml:space="preserve"> </w:t>
      </w:r>
      <w:r>
        <w:t>disorders</w:t>
      </w:r>
      <w:r>
        <w:rPr>
          <w:spacing w:val="-4"/>
        </w:rPr>
        <w:t xml:space="preserve"> </w:t>
      </w:r>
      <w:r>
        <w:t>often</w:t>
      </w:r>
      <w:r>
        <w:rPr>
          <w:spacing w:val="-3"/>
        </w:rPr>
        <w:t xml:space="preserve"> </w:t>
      </w:r>
      <w:r>
        <w:t>co-occur.</w:t>
      </w:r>
      <w:r>
        <w:rPr>
          <w:spacing w:val="-2"/>
        </w:rPr>
        <w:t xml:space="preserve"> </w:t>
      </w:r>
      <w:r>
        <w:t>According</w:t>
      </w:r>
      <w:r>
        <w:rPr>
          <w:spacing w:val="-3"/>
        </w:rPr>
        <w:t xml:space="preserve"> </w:t>
      </w:r>
      <w:r>
        <w:t>to</w:t>
      </w:r>
      <w:r>
        <w:rPr>
          <w:spacing w:val="-3"/>
        </w:rPr>
        <w:t xml:space="preserve"> </w:t>
      </w:r>
      <w:r>
        <w:t>2017</w:t>
      </w:r>
      <w:r>
        <w:rPr>
          <w:spacing w:val="-3"/>
        </w:rPr>
        <w:t xml:space="preserve"> </w:t>
      </w:r>
      <w:r>
        <w:t>data</w:t>
      </w:r>
      <w:r>
        <w:rPr>
          <w:spacing w:val="-2"/>
        </w:rPr>
        <w:t xml:space="preserve"> </w:t>
      </w:r>
      <w:r>
        <w:t>from</w:t>
      </w:r>
      <w:r>
        <w:rPr>
          <w:spacing w:val="-3"/>
        </w:rPr>
        <w:t xml:space="preserve"> </w:t>
      </w:r>
      <w:r>
        <w:t>the</w:t>
      </w:r>
      <w:r>
        <w:rPr>
          <w:spacing w:val="-1"/>
        </w:rPr>
        <w:t xml:space="preserve"> </w:t>
      </w:r>
      <w:r>
        <w:t>National</w:t>
      </w:r>
      <w:r>
        <w:rPr>
          <w:spacing w:val="-2"/>
        </w:rPr>
        <w:t xml:space="preserve"> </w:t>
      </w:r>
      <w:r>
        <w:t>Survey</w:t>
      </w:r>
      <w:r>
        <w:rPr>
          <w:spacing w:val="-3"/>
        </w:rPr>
        <w:t xml:space="preserve"> </w:t>
      </w:r>
      <w:r>
        <w:t>on Drug Use and Health (SAMHSA, 2018)</w:t>
      </w:r>
      <w:r>
        <w:t>, 46.6 million adults ages 18 and older (19 percent of all U.S.</w:t>
      </w:r>
      <w:r>
        <w:rPr>
          <w:spacing w:val="40"/>
        </w:rPr>
        <w:t xml:space="preserve"> </w:t>
      </w:r>
      <w:r>
        <w:t xml:space="preserve">adults) had any mental illness during the previous year, including 11.2 million (4.5 percent of all adults) with serious mental illness (SMI). Of this 46.6 million, 18 percent also had an SUD </w:t>
      </w:r>
      <w:r>
        <w:t>versus only 5 percent of adults without any mental illness in the past year. Of the 11.2 million adults with an SMI in the previous year, almost 28 percent also had a co-occurring SUD.</w:t>
      </w:r>
    </w:p>
    <w:p w14:paraId="622A6CFF" w14:textId="77777777" w:rsidR="00DB6E1F" w:rsidRDefault="00F666A6">
      <w:pPr>
        <w:pStyle w:val="BodyText"/>
        <w:spacing w:before="159"/>
        <w:ind w:left="1439" w:right="1491"/>
      </w:pPr>
      <w:r>
        <w:t>Even low levels of substance misuse can have a serious impact on the fu</w:t>
      </w:r>
      <w:r>
        <w:t>nctioning of people with SMI (Hunt et al., 2013). For example, AUD often co-occurs with major depressive disorder (MDD), which results in greater disease burdens than either disorder separately (Riper et al., 2014). MI and MI combined</w:t>
      </w:r>
      <w:r>
        <w:rPr>
          <w:spacing w:val="-3"/>
        </w:rPr>
        <w:t xml:space="preserve"> </w:t>
      </w:r>
      <w:r>
        <w:t>with</w:t>
      </w:r>
      <w:r>
        <w:rPr>
          <w:spacing w:val="-3"/>
        </w:rPr>
        <w:t xml:space="preserve"> </w:t>
      </w:r>
      <w:r>
        <w:t>cognitive–behavi</w:t>
      </w:r>
      <w:r>
        <w:t>oral</w:t>
      </w:r>
      <w:r>
        <w:rPr>
          <w:spacing w:val="-2"/>
        </w:rPr>
        <w:t xml:space="preserve"> </w:t>
      </w:r>
      <w:r>
        <w:t>therapy</w:t>
      </w:r>
      <w:r>
        <w:rPr>
          <w:spacing w:val="-1"/>
        </w:rPr>
        <w:t xml:space="preserve"> </w:t>
      </w:r>
      <w:r>
        <w:t>produce</w:t>
      </w:r>
      <w:r>
        <w:rPr>
          <w:spacing w:val="-3"/>
        </w:rPr>
        <w:t xml:space="preserve"> </w:t>
      </w:r>
      <w:r>
        <w:t>positive</w:t>
      </w:r>
      <w:r>
        <w:rPr>
          <w:spacing w:val="-1"/>
        </w:rPr>
        <w:t xml:space="preserve"> </w:t>
      </w:r>
      <w:r>
        <w:t>treatment</w:t>
      </w:r>
      <w:r>
        <w:rPr>
          <w:spacing w:val="-4"/>
        </w:rPr>
        <w:t xml:space="preserve"> </w:t>
      </w:r>
      <w:r>
        <w:t>outcomes,</w:t>
      </w:r>
      <w:r>
        <w:rPr>
          <w:spacing w:val="-2"/>
        </w:rPr>
        <w:t xml:space="preserve"> </w:t>
      </w:r>
      <w:r>
        <w:t>such</w:t>
      </w:r>
      <w:r>
        <w:rPr>
          <w:spacing w:val="-3"/>
        </w:rPr>
        <w:t xml:space="preserve"> </w:t>
      </w:r>
      <w:r>
        <w:t>as</w:t>
      </w:r>
      <w:r>
        <w:rPr>
          <w:spacing w:val="-4"/>
        </w:rPr>
        <w:t xml:space="preserve"> </w:t>
      </w:r>
      <w:r>
        <w:t>reductions in alcohol consumption, cannabis use, alcohol misuse, and depression and other psychiatric symptoms like</w:t>
      </w:r>
      <w:r>
        <w:rPr>
          <w:spacing w:val="-1"/>
        </w:rPr>
        <w:t xml:space="preserve"> </w:t>
      </w:r>
      <w:r>
        <w:t>anxiety</w:t>
      </w:r>
      <w:r>
        <w:rPr>
          <w:spacing w:val="-3"/>
        </w:rPr>
        <w:t xml:space="preserve"> </w:t>
      </w:r>
      <w:r>
        <w:t>(Baker</w:t>
      </w:r>
      <w:r>
        <w:rPr>
          <w:spacing w:val="-2"/>
        </w:rPr>
        <w:t xml:space="preserve"> </w:t>
      </w:r>
      <w:r>
        <w:t>et</w:t>
      </w:r>
      <w:r>
        <w:rPr>
          <w:spacing w:val="-1"/>
        </w:rPr>
        <w:t xml:space="preserve"> </w:t>
      </w:r>
      <w:r>
        <w:t>al.,</w:t>
      </w:r>
      <w:r>
        <w:rPr>
          <w:spacing w:val="-4"/>
        </w:rPr>
        <w:t xml:space="preserve"> </w:t>
      </w:r>
      <w:r>
        <w:t>2014;</w:t>
      </w:r>
      <w:r>
        <w:rPr>
          <w:spacing w:val="-1"/>
        </w:rPr>
        <w:t xml:space="preserve"> </w:t>
      </w:r>
      <w:r>
        <w:t>Baker,</w:t>
      </w:r>
      <w:r>
        <w:rPr>
          <w:spacing w:val="-4"/>
        </w:rPr>
        <w:t xml:space="preserve"> </w:t>
      </w:r>
      <w:r>
        <w:t>Thornton,</w:t>
      </w:r>
      <w:r>
        <w:rPr>
          <w:spacing w:val="-4"/>
        </w:rPr>
        <w:t xml:space="preserve"> </w:t>
      </w:r>
      <w:r>
        <w:t>Hiles,</w:t>
      </w:r>
      <w:r>
        <w:rPr>
          <w:spacing w:val="-2"/>
        </w:rPr>
        <w:t xml:space="preserve"> </w:t>
      </w:r>
      <w:r>
        <w:t>Hides,</w:t>
      </w:r>
      <w:r>
        <w:rPr>
          <w:spacing w:val="-2"/>
        </w:rPr>
        <w:t xml:space="preserve"> </w:t>
      </w:r>
      <w:r>
        <w:t>&amp;</w:t>
      </w:r>
      <w:r>
        <w:rPr>
          <w:spacing w:val="-4"/>
        </w:rPr>
        <w:t xml:space="preserve"> </w:t>
      </w:r>
      <w:r>
        <w:t>Lubman,</w:t>
      </w:r>
      <w:r>
        <w:rPr>
          <w:spacing w:val="-4"/>
        </w:rPr>
        <w:t xml:space="preserve"> </w:t>
      </w:r>
      <w:r>
        <w:t>2012;</w:t>
      </w:r>
      <w:r>
        <w:rPr>
          <w:spacing w:val="-1"/>
        </w:rPr>
        <w:t xml:space="preserve"> </w:t>
      </w:r>
      <w:r>
        <w:t>Riper</w:t>
      </w:r>
      <w:r>
        <w:rPr>
          <w:spacing w:val="-2"/>
        </w:rPr>
        <w:t xml:space="preserve"> </w:t>
      </w:r>
      <w:r>
        <w:t>et</w:t>
      </w:r>
      <w:r>
        <w:rPr>
          <w:spacing w:val="-4"/>
        </w:rPr>
        <w:t xml:space="preserve"> </w:t>
      </w:r>
      <w:r>
        <w:t>al.,</w:t>
      </w:r>
      <w:r>
        <w:rPr>
          <w:spacing w:val="-2"/>
        </w:rPr>
        <w:t xml:space="preserve"> </w:t>
      </w:r>
      <w:r>
        <w:t>2014;</w:t>
      </w:r>
      <w:r>
        <w:rPr>
          <w:spacing w:val="-3"/>
        </w:rPr>
        <w:t xml:space="preserve"> </w:t>
      </w:r>
      <w:r>
        <w:t>Satre, Delucchi, Lichtmacher, Sterling, &amp; Weisner, 2013; Satre, Leibowitz, et al., 2016).</w:t>
      </w:r>
    </w:p>
    <w:p w14:paraId="10A45522" w14:textId="77777777" w:rsidR="00DB6E1F" w:rsidRDefault="00F666A6">
      <w:pPr>
        <w:pStyle w:val="BodyText"/>
        <w:spacing w:before="160"/>
        <w:ind w:left="1437" w:right="1463" w:firstLine="2"/>
      </w:pPr>
      <w:r>
        <w:t xml:space="preserve">Having any mental disorder increases the risk of substance misuse. As indicated in TIP 42: </w:t>
      </w:r>
      <w:r>
        <w:rPr>
          <w:i/>
        </w:rPr>
        <w:t>Substance Abuse</w:t>
      </w:r>
      <w:r>
        <w:rPr>
          <w:i/>
          <w:spacing w:val="-2"/>
        </w:rPr>
        <w:t xml:space="preserve"> </w:t>
      </w:r>
      <w:r>
        <w:rPr>
          <w:i/>
        </w:rPr>
        <w:t>Treatment</w:t>
      </w:r>
      <w:r>
        <w:rPr>
          <w:i/>
          <w:spacing w:val="-1"/>
        </w:rPr>
        <w:t xml:space="preserve"> </w:t>
      </w:r>
      <w:r>
        <w:rPr>
          <w:i/>
        </w:rPr>
        <w:t>for</w:t>
      </w:r>
      <w:r>
        <w:rPr>
          <w:i/>
          <w:spacing w:val="-3"/>
        </w:rPr>
        <w:t xml:space="preserve"> </w:t>
      </w:r>
      <w:r>
        <w:rPr>
          <w:i/>
        </w:rPr>
        <w:t>Persons</w:t>
      </w:r>
      <w:r>
        <w:rPr>
          <w:i/>
          <w:spacing w:val="-1"/>
        </w:rPr>
        <w:t xml:space="preserve"> </w:t>
      </w:r>
      <w:r>
        <w:rPr>
          <w:i/>
        </w:rPr>
        <w:t>With</w:t>
      </w:r>
      <w:r>
        <w:rPr>
          <w:i/>
          <w:spacing w:val="-3"/>
        </w:rPr>
        <w:t xml:space="preserve"> </w:t>
      </w:r>
      <w:r>
        <w:rPr>
          <w:i/>
        </w:rPr>
        <w:t>Co-Occurring</w:t>
      </w:r>
      <w:r>
        <w:rPr>
          <w:i/>
          <w:spacing w:val="-5"/>
        </w:rPr>
        <w:t xml:space="preserve"> </w:t>
      </w:r>
      <w:r>
        <w:rPr>
          <w:i/>
        </w:rPr>
        <w:t>Disorders</w:t>
      </w:r>
      <w:r>
        <w:rPr>
          <w:i/>
          <w:spacing w:val="-2"/>
        </w:rPr>
        <w:t xml:space="preserve"> </w:t>
      </w:r>
      <w:r>
        <w:t>(SAMHSA,</w:t>
      </w:r>
      <w:r>
        <w:rPr>
          <w:spacing w:val="-4"/>
        </w:rPr>
        <w:t xml:space="preserve"> </w:t>
      </w:r>
      <w:r>
        <w:t>2013),</w:t>
      </w:r>
      <w:r>
        <w:rPr>
          <w:spacing w:val="-2"/>
        </w:rPr>
        <w:t xml:space="preserve"> </w:t>
      </w:r>
      <w:r>
        <w:t>clients</w:t>
      </w:r>
      <w:r>
        <w:rPr>
          <w:spacing w:val="-2"/>
        </w:rPr>
        <w:t xml:space="preserve"> </w:t>
      </w:r>
      <w:r>
        <w:t>with</w:t>
      </w:r>
      <w:r>
        <w:rPr>
          <w:spacing w:val="-5"/>
        </w:rPr>
        <w:t xml:space="preserve"> </w:t>
      </w:r>
      <w:r>
        <w:t>mental</w:t>
      </w:r>
      <w:r>
        <w:rPr>
          <w:spacing w:val="-2"/>
        </w:rPr>
        <w:t xml:space="preserve"> </w:t>
      </w:r>
      <w:r>
        <w:t>illness</w:t>
      </w:r>
      <w:r>
        <w:rPr>
          <w:spacing w:val="-1"/>
        </w:rPr>
        <w:t xml:space="preserve"> </w:t>
      </w:r>
      <w:r>
        <w:t>or COD</w:t>
      </w:r>
      <w:r>
        <w:rPr>
          <w:spacing w:val="-3"/>
        </w:rPr>
        <w:t xml:space="preserve"> </w:t>
      </w:r>
      <w:r>
        <w:t>may</w:t>
      </w:r>
      <w:r>
        <w:rPr>
          <w:spacing w:val="-1"/>
        </w:rPr>
        <w:t xml:space="preserve"> </w:t>
      </w:r>
      <w:r>
        <w:t>find</w:t>
      </w:r>
      <w:r>
        <w:rPr>
          <w:spacing w:val="-3"/>
        </w:rPr>
        <w:t xml:space="preserve"> </w:t>
      </w:r>
      <w:r>
        <w:t>it</w:t>
      </w:r>
      <w:r>
        <w:rPr>
          <w:spacing w:val="-1"/>
        </w:rPr>
        <w:t xml:space="preserve"> </w:t>
      </w:r>
      <w:r>
        <w:t>harder</w:t>
      </w:r>
      <w:r>
        <w:rPr>
          <w:spacing w:val="-2"/>
        </w:rPr>
        <w:t xml:space="preserve"> </w:t>
      </w:r>
      <w:r>
        <w:t>to</w:t>
      </w:r>
      <w:r>
        <w:rPr>
          <w:spacing w:val="-3"/>
        </w:rPr>
        <w:t xml:space="preserve"> </w:t>
      </w:r>
      <w:r>
        <w:t>engage</w:t>
      </w:r>
      <w:r>
        <w:rPr>
          <w:spacing w:val="-1"/>
        </w:rPr>
        <w:t xml:space="preserve"> </w:t>
      </w:r>
      <w:r>
        <w:t>and</w:t>
      </w:r>
      <w:r>
        <w:rPr>
          <w:spacing w:val="-3"/>
        </w:rPr>
        <w:t xml:space="preserve"> </w:t>
      </w:r>
      <w:r>
        <w:t>remain</w:t>
      </w:r>
      <w:r>
        <w:rPr>
          <w:spacing w:val="-3"/>
        </w:rPr>
        <w:t xml:space="preserve"> </w:t>
      </w:r>
      <w:r>
        <w:t>in</w:t>
      </w:r>
      <w:r>
        <w:rPr>
          <w:spacing w:val="-3"/>
        </w:rPr>
        <w:t xml:space="preserve"> </w:t>
      </w:r>
      <w:r>
        <w:t>treatment.</w:t>
      </w:r>
      <w:r>
        <w:rPr>
          <w:spacing w:val="-2"/>
        </w:rPr>
        <w:t xml:space="preserve"> </w:t>
      </w:r>
      <w:r>
        <w:rPr>
          <w:b/>
        </w:rPr>
        <w:t>Motivational</w:t>
      </w:r>
      <w:r>
        <w:rPr>
          <w:b/>
          <w:spacing w:val="-1"/>
        </w:rPr>
        <w:t xml:space="preserve"> </w:t>
      </w:r>
      <w:r>
        <w:rPr>
          <w:b/>
        </w:rPr>
        <w:t>interventions</w:t>
      </w:r>
      <w:r>
        <w:rPr>
          <w:b/>
          <w:spacing w:val="-2"/>
        </w:rPr>
        <w:t xml:space="preserve"> </w:t>
      </w:r>
      <w:r>
        <w:rPr>
          <w:b/>
        </w:rPr>
        <w:t>that</w:t>
      </w:r>
      <w:r>
        <w:rPr>
          <w:b/>
          <w:spacing w:val="-2"/>
        </w:rPr>
        <w:t xml:space="preserve"> </w:t>
      </w:r>
      <w:r>
        <w:rPr>
          <w:b/>
        </w:rPr>
        <w:t>engage</w:t>
      </w:r>
      <w:r>
        <w:rPr>
          <w:b/>
          <w:spacing w:val="-3"/>
        </w:rPr>
        <w:t xml:space="preserve"> </w:t>
      </w:r>
      <w:r>
        <w:rPr>
          <w:b/>
        </w:rPr>
        <w:t>and retain clients in treatment, increase motivation to adhere to treatment interventions, and reduce</w:t>
      </w:r>
      <w:r>
        <w:rPr>
          <w:b/>
        </w:rPr>
        <w:t xml:space="preserve"> substance use are a good fit for these clients. </w:t>
      </w:r>
      <w:r>
        <w:t>A meta-analysis of randomized controlled treatment studies</w:t>
      </w:r>
      <w:r>
        <w:rPr>
          <w:spacing w:val="-3"/>
        </w:rPr>
        <w:t xml:space="preserve"> </w:t>
      </w:r>
      <w:r>
        <w:t>of</w:t>
      </w:r>
      <w:r>
        <w:rPr>
          <w:spacing w:val="-1"/>
        </w:rPr>
        <w:t xml:space="preserve"> </w:t>
      </w:r>
      <w:r>
        <w:t>people</w:t>
      </w:r>
      <w:r>
        <w:rPr>
          <w:spacing w:val="-3"/>
        </w:rPr>
        <w:t xml:space="preserve"> </w:t>
      </w:r>
      <w:r>
        <w:t>with</w:t>
      </w:r>
      <w:r>
        <w:rPr>
          <w:spacing w:val="-2"/>
        </w:rPr>
        <w:t xml:space="preserve"> </w:t>
      </w:r>
      <w:r>
        <w:t>SMI</w:t>
      </w:r>
      <w:r>
        <w:rPr>
          <w:spacing w:val="-4"/>
        </w:rPr>
        <w:t xml:space="preserve"> </w:t>
      </w:r>
      <w:r>
        <w:t>and</w:t>
      </w:r>
      <w:r>
        <w:rPr>
          <w:spacing w:val="-2"/>
        </w:rPr>
        <w:t xml:space="preserve"> </w:t>
      </w:r>
      <w:r>
        <w:t>substance</w:t>
      </w:r>
      <w:r>
        <w:rPr>
          <w:spacing w:val="-3"/>
        </w:rPr>
        <w:t xml:space="preserve"> </w:t>
      </w:r>
      <w:r>
        <w:t>misuse</w:t>
      </w:r>
      <w:r>
        <w:rPr>
          <w:spacing w:val="-2"/>
        </w:rPr>
        <w:t xml:space="preserve"> </w:t>
      </w:r>
      <w:r>
        <w:t>found</w:t>
      </w:r>
      <w:r>
        <w:rPr>
          <w:spacing w:val="-2"/>
        </w:rPr>
        <w:t xml:space="preserve"> </w:t>
      </w:r>
      <w:r>
        <w:t>that,</w:t>
      </w:r>
      <w:r>
        <w:rPr>
          <w:spacing w:val="-1"/>
        </w:rPr>
        <w:t xml:space="preserve"> </w:t>
      </w:r>
      <w:r>
        <w:t>although</w:t>
      </w:r>
      <w:r>
        <w:rPr>
          <w:spacing w:val="-2"/>
        </w:rPr>
        <w:t xml:space="preserve"> </w:t>
      </w:r>
      <w:r>
        <w:t>MI</w:t>
      </w:r>
      <w:r>
        <w:rPr>
          <w:spacing w:val="-4"/>
        </w:rPr>
        <w:t xml:space="preserve"> </w:t>
      </w:r>
      <w:r>
        <w:t>was</w:t>
      </w:r>
      <w:r>
        <w:rPr>
          <w:spacing w:val="-1"/>
        </w:rPr>
        <w:t xml:space="preserve"> </w:t>
      </w:r>
      <w:r>
        <w:t>not</w:t>
      </w:r>
      <w:r>
        <w:rPr>
          <w:spacing w:val="-1"/>
        </w:rPr>
        <w:t xml:space="preserve"> </w:t>
      </w:r>
      <w:r>
        <w:t>any</w:t>
      </w:r>
      <w:r>
        <w:rPr>
          <w:spacing w:val="-2"/>
        </w:rPr>
        <w:t xml:space="preserve"> </w:t>
      </w:r>
      <w:r>
        <w:t>more</w:t>
      </w:r>
      <w:r>
        <w:rPr>
          <w:spacing w:val="-3"/>
        </w:rPr>
        <w:t xml:space="preserve"> </w:t>
      </w:r>
      <w:r>
        <w:t>effective,</w:t>
      </w:r>
      <w:r>
        <w:rPr>
          <w:spacing w:val="-1"/>
        </w:rPr>
        <w:t xml:space="preserve"> </w:t>
      </w:r>
      <w:r>
        <w:t>in general, than other psychosocial treatments, clients who participated in an MI group reported to their first aftercare appointment significantly more often than clients in other treatment interventions and these clients had greater alcohol abstinence ra</w:t>
      </w:r>
      <w:r>
        <w:t>tes (Hunt et al., 2013). Another meta-analysis found that MI-based interventions emphasizing adherence to treatment significantly improved adherence and psychiatric symptoms (Wong-Anuchit, Chantamit-O-Pas, Schneider, &amp; Mills, 2018). Dual Diagnosis MI (DDMI</w:t>
      </w:r>
      <w:r>
        <w:t>), a modified version of MI for adults with CODs, can effectively increase task-specific motivation and adherence to cognitive training interventions (Fiszdon, Kurtz, Choi, Bell, &amp; Martino, 2015).</w:t>
      </w:r>
    </w:p>
    <w:p w14:paraId="0B62B719" w14:textId="77777777" w:rsidR="00DB6E1F" w:rsidRDefault="00DB6E1F">
      <w:pPr>
        <w:sectPr w:rsidR="00DB6E1F">
          <w:pgSz w:w="12240" w:h="15840"/>
          <w:pgMar w:top="1200" w:right="0" w:bottom="780" w:left="0" w:header="763" w:footer="585" w:gutter="0"/>
          <w:cols w:space="720"/>
        </w:sectPr>
      </w:pPr>
    </w:p>
    <w:p w14:paraId="6516E0F8"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F15F8FF" w14:textId="77777777">
        <w:trPr>
          <w:trHeight w:val="3467"/>
        </w:trPr>
        <w:tc>
          <w:tcPr>
            <w:tcW w:w="9350" w:type="dxa"/>
            <w:shd w:val="clear" w:color="auto" w:fill="E7E6E6"/>
          </w:tcPr>
          <w:p w14:paraId="39C16E59" w14:textId="77777777" w:rsidR="00DB6E1F" w:rsidRDefault="00F666A6">
            <w:pPr>
              <w:pStyle w:val="TableParagraph"/>
              <w:spacing w:before="121"/>
              <w:ind w:left="2263"/>
              <w:rPr>
                <w:b/>
                <w:sz w:val="20"/>
              </w:rPr>
            </w:pPr>
            <w:r>
              <w:rPr>
                <w:b/>
                <w:sz w:val="20"/>
              </w:rPr>
              <w:t>Counselor</w:t>
            </w:r>
            <w:r>
              <w:rPr>
                <w:b/>
                <w:spacing w:val="-7"/>
                <w:sz w:val="20"/>
              </w:rPr>
              <w:t xml:space="preserve"> </w:t>
            </w:r>
            <w:r>
              <w:rPr>
                <w:b/>
                <w:sz w:val="20"/>
              </w:rPr>
              <w:t>Note:</w:t>
            </w:r>
            <w:r>
              <w:rPr>
                <w:b/>
                <w:spacing w:val="-7"/>
                <w:sz w:val="20"/>
              </w:rPr>
              <w:t xml:space="preserve"> </w:t>
            </w:r>
            <w:r>
              <w:rPr>
                <w:b/>
                <w:sz w:val="20"/>
              </w:rPr>
              <w:t>Dual</w:t>
            </w:r>
            <w:r>
              <w:rPr>
                <w:b/>
                <w:spacing w:val="-8"/>
                <w:sz w:val="20"/>
              </w:rPr>
              <w:t xml:space="preserve"> </w:t>
            </w:r>
            <w:r>
              <w:rPr>
                <w:b/>
                <w:sz w:val="20"/>
              </w:rPr>
              <w:t>Diagnosis</w:t>
            </w:r>
            <w:r>
              <w:rPr>
                <w:b/>
                <w:spacing w:val="-7"/>
                <w:sz w:val="20"/>
              </w:rPr>
              <w:t xml:space="preserve"> </w:t>
            </w:r>
            <w:r>
              <w:rPr>
                <w:b/>
                <w:sz w:val="20"/>
              </w:rPr>
              <w:t>Motivational</w:t>
            </w:r>
            <w:r>
              <w:rPr>
                <w:b/>
                <w:spacing w:val="-8"/>
                <w:sz w:val="20"/>
              </w:rPr>
              <w:t xml:space="preserve"> </w:t>
            </w:r>
            <w:r>
              <w:rPr>
                <w:b/>
                <w:spacing w:val="-2"/>
                <w:sz w:val="20"/>
              </w:rPr>
              <w:t>Interviewing</w:t>
            </w:r>
          </w:p>
          <w:p w14:paraId="4CB32785" w14:textId="77777777" w:rsidR="00DB6E1F" w:rsidRDefault="00F666A6">
            <w:pPr>
              <w:pStyle w:val="TableParagraph"/>
              <w:spacing w:before="121"/>
              <w:ind w:right="169"/>
              <w:rPr>
                <w:sz w:val="20"/>
              </w:rPr>
            </w:pPr>
            <w:r>
              <w:rPr>
                <w:b/>
                <w:sz w:val="20"/>
              </w:rPr>
              <w:t>DDMI</w:t>
            </w:r>
            <w:r>
              <w:rPr>
                <w:b/>
                <w:spacing w:val="-3"/>
                <w:sz w:val="20"/>
              </w:rPr>
              <w:t xml:space="preserve"> </w:t>
            </w:r>
            <w:r>
              <w:rPr>
                <w:sz w:val="20"/>
              </w:rPr>
              <w:t>is</w:t>
            </w:r>
            <w:r>
              <w:rPr>
                <w:spacing w:val="-4"/>
                <w:sz w:val="20"/>
              </w:rPr>
              <w:t xml:space="preserve"> </w:t>
            </w:r>
            <w:r>
              <w:rPr>
                <w:sz w:val="20"/>
              </w:rPr>
              <w:t>a</w:t>
            </w:r>
            <w:r>
              <w:rPr>
                <w:spacing w:val="-2"/>
                <w:sz w:val="20"/>
              </w:rPr>
              <w:t xml:space="preserve"> </w:t>
            </w:r>
            <w:r>
              <w:rPr>
                <w:sz w:val="20"/>
              </w:rPr>
              <w:t>two-session</w:t>
            </w:r>
            <w:r>
              <w:rPr>
                <w:spacing w:val="-2"/>
                <w:sz w:val="20"/>
              </w:rPr>
              <w:t xml:space="preserve"> </w:t>
            </w:r>
            <w:r>
              <w:rPr>
                <w:sz w:val="20"/>
              </w:rPr>
              <w:t>intervention</w:t>
            </w:r>
            <w:r>
              <w:rPr>
                <w:spacing w:val="-3"/>
                <w:sz w:val="20"/>
              </w:rPr>
              <w:t xml:space="preserve"> </w:t>
            </w:r>
            <w:r>
              <w:rPr>
                <w:sz w:val="20"/>
              </w:rPr>
              <w:t>for</w:t>
            </w:r>
            <w:r>
              <w:rPr>
                <w:spacing w:val="-3"/>
                <w:sz w:val="20"/>
              </w:rPr>
              <w:t xml:space="preserve"> </w:t>
            </w:r>
            <w:r>
              <w:rPr>
                <w:sz w:val="20"/>
              </w:rPr>
              <w:t>substance</w:t>
            </w:r>
            <w:r>
              <w:rPr>
                <w:spacing w:val="-4"/>
                <w:sz w:val="20"/>
              </w:rPr>
              <w:t xml:space="preserve"> </w:t>
            </w:r>
            <w:r>
              <w:rPr>
                <w:sz w:val="20"/>
              </w:rPr>
              <w:t>misuse</w:t>
            </w:r>
            <w:r>
              <w:rPr>
                <w:spacing w:val="-4"/>
                <w:sz w:val="20"/>
              </w:rPr>
              <w:t xml:space="preserve"> </w:t>
            </w:r>
            <w:r>
              <w:rPr>
                <w:sz w:val="20"/>
              </w:rPr>
              <w:t>in</w:t>
            </w:r>
            <w:r>
              <w:rPr>
                <w:spacing w:val="-3"/>
                <w:sz w:val="20"/>
              </w:rPr>
              <w:t xml:space="preserve"> </w:t>
            </w:r>
            <w:r>
              <w:rPr>
                <w:sz w:val="20"/>
              </w:rPr>
              <w:t>clients</w:t>
            </w:r>
            <w:r>
              <w:rPr>
                <w:spacing w:val="-2"/>
                <w:sz w:val="20"/>
              </w:rPr>
              <w:t xml:space="preserve"> </w:t>
            </w:r>
            <w:r>
              <w:rPr>
                <w:sz w:val="20"/>
              </w:rPr>
              <w:t>with</w:t>
            </w:r>
            <w:r>
              <w:rPr>
                <w:spacing w:val="-2"/>
                <w:sz w:val="20"/>
              </w:rPr>
              <w:t xml:space="preserve"> </w:t>
            </w:r>
            <w:r>
              <w:rPr>
                <w:sz w:val="20"/>
              </w:rPr>
              <w:t>psychotic</w:t>
            </w:r>
            <w:r>
              <w:rPr>
                <w:spacing w:val="-3"/>
                <w:sz w:val="20"/>
              </w:rPr>
              <w:t xml:space="preserve"> </w:t>
            </w:r>
            <w:r>
              <w:rPr>
                <w:sz w:val="20"/>
              </w:rPr>
              <w:t>disorders</w:t>
            </w:r>
            <w:r>
              <w:rPr>
                <w:spacing w:val="-4"/>
                <w:sz w:val="20"/>
              </w:rPr>
              <w:t xml:space="preserve"> </w:t>
            </w:r>
            <w:r>
              <w:rPr>
                <w:sz w:val="20"/>
              </w:rPr>
              <w:t>(Fiszdon</w:t>
            </w:r>
            <w:r>
              <w:rPr>
                <w:spacing w:val="-2"/>
                <w:sz w:val="20"/>
              </w:rPr>
              <w:t xml:space="preserve"> </w:t>
            </w:r>
            <w:r>
              <w:rPr>
                <w:sz w:val="20"/>
              </w:rPr>
              <w:t>et</w:t>
            </w:r>
            <w:r>
              <w:rPr>
                <w:spacing w:val="-3"/>
                <w:sz w:val="20"/>
              </w:rPr>
              <w:t xml:space="preserve"> </w:t>
            </w:r>
            <w:r>
              <w:rPr>
                <w:sz w:val="20"/>
              </w:rPr>
              <w:t>al., 2015). It includes accommodations for cognitive impairments such as:</w:t>
            </w:r>
          </w:p>
          <w:p w14:paraId="0FFFF555" w14:textId="77777777" w:rsidR="00DB6E1F" w:rsidRDefault="00F666A6">
            <w:pPr>
              <w:pStyle w:val="TableParagraph"/>
              <w:numPr>
                <w:ilvl w:val="0"/>
                <w:numId w:val="79"/>
              </w:numPr>
              <w:tabs>
                <w:tab w:val="left" w:pos="467"/>
                <w:tab w:val="left" w:pos="468"/>
              </w:tabs>
              <w:spacing w:before="91"/>
              <w:ind w:hanging="361"/>
              <w:rPr>
                <w:sz w:val="20"/>
              </w:rPr>
            </w:pPr>
            <w:r>
              <w:rPr>
                <w:sz w:val="20"/>
              </w:rPr>
              <w:t>Asking</w:t>
            </w:r>
            <w:r>
              <w:rPr>
                <w:spacing w:val="-8"/>
                <w:sz w:val="20"/>
              </w:rPr>
              <w:t xml:space="preserve"> </w:t>
            </w:r>
            <w:r>
              <w:rPr>
                <w:sz w:val="20"/>
              </w:rPr>
              <w:t>questions</w:t>
            </w:r>
            <w:r>
              <w:rPr>
                <w:spacing w:val="-9"/>
                <w:sz w:val="20"/>
              </w:rPr>
              <w:t xml:space="preserve"> </w:t>
            </w:r>
            <w:r>
              <w:rPr>
                <w:sz w:val="20"/>
              </w:rPr>
              <w:t>and</w:t>
            </w:r>
            <w:r>
              <w:rPr>
                <w:spacing w:val="-6"/>
                <w:sz w:val="20"/>
              </w:rPr>
              <w:t xml:space="preserve"> </w:t>
            </w:r>
            <w:r>
              <w:rPr>
                <w:sz w:val="20"/>
              </w:rPr>
              <w:t>reflecting</w:t>
            </w:r>
            <w:r>
              <w:rPr>
                <w:spacing w:val="-8"/>
                <w:sz w:val="20"/>
              </w:rPr>
              <w:t xml:space="preserve"> </w:t>
            </w:r>
            <w:r>
              <w:rPr>
                <w:sz w:val="20"/>
              </w:rPr>
              <w:t>in</w:t>
            </w:r>
            <w:r>
              <w:rPr>
                <w:spacing w:val="-7"/>
                <w:sz w:val="20"/>
              </w:rPr>
              <w:t xml:space="preserve"> </w:t>
            </w:r>
            <w:r>
              <w:rPr>
                <w:sz w:val="20"/>
              </w:rPr>
              <w:t>simple</w:t>
            </w:r>
            <w:r>
              <w:rPr>
                <w:spacing w:val="-8"/>
                <w:sz w:val="20"/>
              </w:rPr>
              <w:t xml:space="preserve"> </w:t>
            </w:r>
            <w:r>
              <w:rPr>
                <w:spacing w:val="-2"/>
                <w:sz w:val="20"/>
              </w:rPr>
              <w:t>terms.</w:t>
            </w:r>
          </w:p>
          <w:p w14:paraId="69737373" w14:textId="77777777" w:rsidR="00DB6E1F" w:rsidRDefault="00F666A6">
            <w:pPr>
              <w:pStyle w:val="TableParagraph"/>
              <w:numPr>
                <w:ilvl w:val="0"/>
                <w:numId w:val="79"/>
              </w:numPr>
              <w:tabs>
                <w:tab w:val="left" w:pos="467"/>
                <w:tab w:val="left" w:pos="468"/>
              </w:tabs>
              <w:spacing w:before="7"/>
              <w:ind w:hanging="361"/>
              <w:rPr>
                <w:sz w:val="20"/>
              </w:rPr>
            </w:pPr>
            <w:r>
              <w:rPr>
                <w:sz w:val="20"/>
              </w:rPr>
              <w:t>Repeating</w:t>
            </w:r>
            <w:r>
              <w:rPr>
                <w:spacing w:val="-10"/>
                <w:sz w:val="20"/>
              </w:rPr>
              <w:t xml:space="preserve"> </w:t>
            </w:r>
            <w:r>
              <w:rPr>
                <w:sz w:val="20"/>
              </w:rPr>
              <w:t>information</w:t>
            </w:r>
            <w:r>
              <w:rPr>
                <w:spacing w:val="-9"/>
                <w:sz w:val="20"/>
              </w:rPr>
              <w:t xml:space="preserve"> </w:t>
            </w:r>
            <w:r>
              <w:rPr>
                <w:sz w:val="20"/>
              </w:rPr>
              <w:t>and</w:t>
            </w:r>
            <w:r>
              <w:rPr>
                <w:spacing w:val="-9"/>
                <w:sz w:val="20"/>
              </w:rPr>
              <w:t xml:space="preserve"> </w:t>
            </w:r>
            <w:r>
              <w:rPr>
                <w:sz w:val="20"/>
              </w:rPr>
              <w:t>summarizing</w:t>
            </w:r>
            <w:r>
              <w:rPr>
                <w:spacing w:val="-8"/>
                <w:sz w:val="20"/>
              </w:rPr>
              <w:t xml:space="preserve"> </w:t>
            </w:r>
            <w:r>
              <w:rPr>
                <w:sz w:val="20"/>
              </w:rPr>
              <w:t>session</w:t>
            </w:r>
            <w:r>
              <w:rPr>
                <w:spacing w:val="-8"/>
                <w:sz w:val="20"/>
              </w:rPr>
              <w:t xml:space="preserve"> </w:t>
            </w:r>
            <w:r>
              <w:rPr>
                <w:sz w:val="20"/>
              </w:rPr>
              <w:t>content</w:t>
            </w:r>
            <w:r>
              <w:rPr>
                <w:spacing w:val="-10"/>
                <w:sz w:val="20"/>
              </w:rPr>
              <w:t xml:space="preserve"> </w:t>
            </w:r>
            <w:r>
              <w:rPr>
                <w:spacing w:val="-2"/>
                <w:sz w:val="20"/>
              </w:rPr>
              <w:t>frequently.</w:t>
            </w:r>
          </w:p>
          <w:p w14:paraId="0D20FE1D" w14:textId="77777777" w:rsidR="00DB6E1F" w:rsidRDefault="00F666A6">
            <w:pPr>
              <w:pStyle w:val="TableParagraph"/>
              <w:numPr>
                <w:ilvl w:val="0"/>
                <w:numId w:val="79"/>
              </w:numPr>
              <w:tabs>
                <w:tab w:val="left" w:pos="467"/>
                <w:tab w:val="left" w:pos="468"/>
              </w:tabs>
              <w:spacing w:before="4"/>
              <w:ind w:hanging="361"/>
              <w:rPr>
                <w:sz w:val="20"/>
              </w:rPr>
            </w:pPr>
            <w:r>
              <w:rPr>
                <w:sz w:val="20"/>
              </w:rPr>
              <w:t>Providing</w:t>
            </w:r>
            <w:r>
              <w:rPr>
                <w:spacing w:val="-7"/>
                <w:sz w:val="20"/>
              </w:rPr>
              <w:t xml:space="preserve"> </w:t>
            </w:r>
            <w:r>
              <w:rPr>
                <w:sz w:val="20"/>
              </w:rPr>
              <w:t>more</w:t>
            </w:r>
            <w:r>
              <w:rPr>
                <w:spacing w:val="-7"/>
                <w:sz w:val="20"/>
              </w:rPr>
              <w:t xml:space="preserve"> </w:t>
            </w:r>
            <w:r>
              <w:rPr>
                <w:sz w:val="20"/>
              </w:rPr>
              <w:t>structure</w:t>
            </w:r>
            <w:r>
              <w:rPr>
                <w:spacing w:val="-7"/>
                <w:sz w:val="20"/>
              </w:rPr>
              <w:t xml:space="preserve"> </w:t>
            </w:r>
            <w:r>
              <w:rPr>
                <w:sz w:val="20"/>
              </w:rPr>
              <w:t>to</w:t>
            </w:r>
            <w:r>
              <w:rPr>
                <w:spacing w:val="-6"/>
                <w:sz w:val="20"/>
              </w:rPr>
              <w:t xml:space="preserve"> </w:t>
            </w:r>
            <w:r>
              <w:rPr>
                <w:spacing w:val="-2"/>
                <w:sz w:val="20"/>
              </w:rPr>
              <w:t>sessions.</w:t>
            </w:r>
          </w:p>
          <w:p w14:paraId="45C15143" w14:textId="77777777" w:rsidR="00DB6E1F" w:rsidRDefault="00F666A6">
            <w:pPr>
              <w:pStyle w:val="TableParagraph"/>
              <w:numPr>
                <w:ilvl w:val="0"/>
                <w:numId w:val="79"/>
              </w:numPr>
              <w:tabs>
                <w:tab w:val="left" w:pos="467"/>
                <w:tab w:val="left" w:pos="468"/>
              </w:tabs>
              <w:spacing w:before="5"/>
              <w:ind w:hanging="361"/>
              <w:rPr>
                <w:sz w:val="20"/>
              </w:rPr>
            </w:pPr>
            <w:r>
              <w:rPr>
                <w:sz w:val="20"/>
              </w:rPr>
              <w:t>Being</w:t>
            </w:r>
            <w:r>
              <w:rPr>
                <w:spacing w:val="-8"/>
                <w:sz w:val="20"/>
              </w:rPr>
              <w:t xml:space="preserve"> </w:t>
            </w:r>
            <w:r>
              <w:rPr>
                <w:sz w:val="20"/>
              </w:rPr>
              <w:t>sensitive</w:t>
            </w:r>
            <w:r>
              <w:rPr>
                <w:spacing w:val="-8"/>
                <w:sz w:val="20"/>
              </w:rPr>
              <w:t xml:space="preserve"> </w:t>
            </w:r>
            <w:r>
              <w:rPr>
                <w:sz w:val="20"/>
              </w:rPr>
              <w:t>to</w:t>
            </w:r>
            <w:r>
              <w:rPr>
                <w:spacing w:val="-5"/>
                <w:sz w:val="20"/>
              </w:rPr>
              <w:t xml:space="preserve"> </w:t>
            </w:r>
            <w:r>
              <w:rPr>
                <w:sz w:val="20"/>
              </w:rPr>
              <w:t>emotional</w:t>
            </w:r>
            <w:r>
              <w:rPr>
                <w:spacing w:val="-6"/>
                <w:sz w:val="20"/>
              </w:rPr>
              <w:t xml:space="preserve"> </w:t>
            </w:r>
            <w:r>
              <w:rPr>
                <w:spacing w:val="-2"/>
                <w:sz w:val="20"/>
              </w:rPr>
              <w:t>material.</w:t>
            </w:r>
          </w:p>
          <w:p w14:paraId="2457500F" w14:textId="77777777" w:rsidR="00DB6E1F" w:rsidRDefault="00F666A6">
            <w:pPr>
              <w:pStyle w:val="TableParagraph"/>
              <w:numPr>
                <w:ilvl w:val="0"/>
                <w:numId w:val="79"/>
              </w:numPr>
              <w:tabs>
                <w:tab w:val="left" w:pos="467"/>
                <w:tab w:val="left" w:pos="468"/>
              </w:tabs>
              <w:spacing w:before="7"/>
              <w:ind w:hanging="361"/>
              <w:rPr>
                <w:sz w:val="20"/>
              </w:rPr>
            </w:pPr>
            <w:r>
              <w:rPr>
                <w:sz w:val="20"/>
              </w:rPr>
              <w:t>Using</w:t>
            </w:r>
            <w:r>
              <w:rPr>
                <w:spacing w:val="-7"/>
                <w:sz w:val="20"/>
              </w:rPr>
              <w:t xml:space="preserve"> </w:t>
            </w:r>
            <w:r>
              <w:rPr>
                <w:sz w:val="20"/>
              </w:rPr>
              <w:t>simple,</w:t>
            </w:r>
            <w:r>
              <w:rPr>
                <w:spacing w:val="-8"/>
                <w:sz w:val="20"/>
              </w:rPr>
              <w:t xml:space="preserve"> </w:t>
            </w:r>
            <w:r>
              <w:rPr>
                <w:sz w:val="20"/>
              </w:rPr>
              <w:t>concrete</w:t>
            </w:r>
            <w:r>
              <w:rPr>
                <w:spacing w:val="-7"/>
                <w:sz w:val="20"/>
              </w:rPr>
              <w:t xml:space="preserve"> </w:t>
            </w:r>
            <w:r>
              <w:rPr>
                <w:spacing w:val="-2"/>
                <w:sz w:val="20"/>
              </w:rPr>
              <w:t>examples.</w:t>
            </w:r>
          </w:p>
          <w:p w14:paraId="44A70553" w14:textId="77777777" w:rsidR="00DB6E1F" w:rsidRDefault="00F666A6">
            <w:pPr>
              <w:pStyle w:val="TableParagraph"/>
              <w:numPr>
                <w:ilvl w:val="0"/>
                <w:numId w:val="79"/>
              </w:numPr>
              <w:tabs>
                <w:tab w:val="left" w:pos="467"/>
                <w:tab w:val="left" w:pos="468"/>
              </w:tabs>
              <w:spacing w:before="4"/>
              <w:ind w:hanging="361"/>
              <w:rPr>
                <w:sz w:val="20"/>
              </w:rPr>
            </w:pPr>
            <w:r>
              <w:rPr>
                <w:sz w:val="20"/>
              </w:rPr>
              <w:t>Presenting</w:t>
            </w:r>
            <w:r>
              <w:rPr>
                <w:spacing w:val="-8"/>
                <w:sz w:val="20"/>
              </w:rPr>
              <w:t xml:space="preserve"> </w:t>
            </w:r>
            <w:r>
              <w:rPr>
                <w:sz w:val="20"/>
              </w:rPr>
              <w:t>information</w:t>
            </w:r>
            <w:r>
              <w:rPr>
                <w:spacing w:val="-7"/>
                <w:sz w:val="20"/>
              </w:rPr>
              <w:t xml:space="preserve"> </w:t>
            </w:r>
            <w:r>
              <w:rPr>
                <w:sz w:val="20"/>
              </w:rPr>
              <w:t>using</w:t>
            </w:r>
            <w:r>
              <w:rPr>
                <w:spacing w:val="-7"/>
                <w:sz w:val="20"/>
              </w:rPr>
              <w:t xml:space="preserve"> </w:t>
            </w:r>
            <w:r>
              <w:rPr>
                <w:sz w:val="20"/>
              </w:rPr>
              <w:t>visual</w:t>
            </w:r>
            <w:r>
              <w:rPr>
                <w:spacing w:val="-7"/>
                <w:sz w:val="20"/>
              </w:rPr>
              <w:t xml:space="preserve"> </w:t>
            </w:r>
            <w:r>
              <w:rPr>
                <w:sz w:val="20"/>
              </w:rPr>
              <w:t>aids</w:t>
            </w:r>
            <w:r>
              <w:rPr>
                <w:spacing w:val="-9"/>
                <w:sz w:val="20"/>
              </w:rPr>
              <w:t xml:space="preserve"> </w:t>
            </w:r>
            <w:r>
              <w:rPr>
                <w:sz w:val="20"/>
              </w:rPr>
              <w:t>and</w:t>
            </w:r>
            <w:r>
              <w:rPr>
                <w:spacing w:val="-7"/>
                <w:sz w:val="20"/>
              </w:rPr>
              <w:t xml:space="preserve"> </w:t>
            </w:r>
            <w:r>
              <w:rPr>
                <w:sz w:val="20"/>
              </w:rPr>
              <w:t>written</w:t>
            </w:r>
            <w:r>
              <w:rPr>
                <w:spacing w:val="-7"/>
                <w:sz w:val="20"/>
              </w:rPr>
              <w:t xml:space="preserve"> </w:t>
            </w:r>
            <w:r>
              <w:rPr>
                <w:spacing w:val="-2"/>
                <w:sz w:val="20"/>
              </w:rPr>
              <w:t>materials.</w:t>
            </w:r>
          </w:p>
          <w:p w14:paraId="56840BA1" w14:textId="77777777" w:rsidR="00DB6E1F" w:rsidRDefault="00F666A6">
            <w:pPr>
              <w:pStyle w:val="TableParagraph"/>
              <w:numPr>
                <w:ilvl w:val="0"/>
                <w:numId w:val="79"/>
              </w:numPr>
              <w:tabs>
                <w:tab w:val="left" w:pos="467"/>
                <w:tab w:val="left" w:pos="468"/>
              </w:tabs>
              <w:spacing w:before="4"/>
              <w:ind w:hanging="361"/>
              <w:rPr>
                <w:sz w:val="20"/>
              </w:rPr>
            </w:pPr>
            <w:r>
              <w:rPr>
                <w:spacing w:val="-2"/>
                <w:sz w:val="20"/>
              </w:rPr>
              <w:t>Restating</w:t>
            </w:r>
            <w:r>
              <w:rPr>
                <w:spacing w:val="7"/>
                <w:sz w:val="20"/>
              </w:rPr>
              <w:t xml:space="preserve"> </w:t>
            </w:r>
            <w:r>
              <w:rPr>
                <w:spacing w:val="-2"/>
                <w:sz w:val="20"/>
              </w:rPr>
              <w:t>information</w:t>
            </w:r>
            <w:r>
              <w:rPr>
                <w:spacing w:val="9"/>
                <w:sz w:val="20"/>
              </w:rPr>
              <w:t xml:space="preserve"> </w:t>
            </w:r>
            <w:r>
              <w:rPr>
                <w:spacing w:val="-2"/>
                <w:sz w:val="20"/>
              </w:rPr>
              <w:t>frequently.</w:t>
            </w:r>
          </w:p>
          <w:p w14:paraId="22BF0E76" w14:textId="77777777" w:rsidR="00DB6E1F" w:rsidRDefault="00F666A6">
            <w:pPr>
              <w:pStyle w:val="TableParagraph"/>
              <w:numPr>
                <w:ilvl w:val="0"/>
                <w:numId w:val="79"/>
              </w:numPr>
              <w:tabs>
                <w:tab w:val="left" w:pos="467"/>
                <w:tab w:val="left" w:pos="468"/>
              </w:tabs>
              <w:spacing w:before="7"/>
              <w:ind w:hanging="361"/>
              <w:rPr>
                <w:sz w:val="20"/>
              </w:rPr>
            </w:pPr>
            <w:r>
              <w:rPr>
                <w:sz w:val="20"/>
              </w:rPr>
              <w:t>Going</w:t>
            </w:r>
            <w:r>
              <w:rPr>
                <w:spacing w:val="-5"/>
                <w:sz w:val="20"/>
              </w:rPr>
              <w:t xml:space="preserve"> </w:t>
            </w:r>
            <w:r>
              <w:rPr>
                <w:sz w:val="20"/>
              </w:rPr>
              <w:t>at</w:t>
            </w:r>
            <w:r>
              <w:rPr>
                <w:spacing w:val="-3"/>
                <w:sz w:val="20"/>
              </w:rPr>
              <w:t xml:space="preserve"> </w:t>
            </w:r>
            <w:r>
              <w:rPr>
                <w:sz w:val="20"/>
              </w:rPr>
              <w:t>a</w:t>
            </w:r>
            <w:r>
              <w:rPr>
                <w:spacing w:val="-4"/>
                <w:sz w:val="20"/>
              </w:rPr>
              <w:t xml:space="preserve"> </w:t>
            </w:r>
            <w:r>
              <w:rPr>
                <w:sz w:val="20"/>
              </w:rPr>
              <w:t>slower</w:t>
            </w:r>
            <w:r>
              <w:rPr>
                <w:spacing w:val="-4"/>
                <w:sz w:val="20"/>
              </w:rPr>
              <w:t xml:space="preserve"> pace.</w:t>
            </w:r>
          </w:p>
          <w:p w14:paraId="169A78B8" w14:textId="77777777" w:rsidR="00DB6E1F" w:rsidRDefault="00F666A6">
            <w:pPr>
              <w:pStyle w:val="TableParagraph"/>
              <w:numPr>
                <w:ilvl w:val="0"/>
                <w:numId w:val="79"/>
              </w:numPr>
              <w:tabs>
                <w:tab w:val="left" w:pos="467"/>
                <w:tab w:val="left" w:pos="468"/>
              </w:tabs>
              <w:spacing w:before="31"/>
              <w:ind w:hanging="361"/>
              <w:rPr>
                <w:sz w:val="20"/>
              </w:rPr>
            </w:pPr>
            <w:r>
              <w:rPr>
                <w:sz w:val="20"/>
              </w:rPr>
              <w:t>Allowing</w:t>
            </w:r>
            <w:r>
              <w:rPr>
                <w:spacing w:val="-8"/>
                <w:sz w:val="20"/>
              </w:rPr>
              <w:t xml:space="preserve"> </w:t>
            </w:r>
            <w:r>
              <w:rPr>
                <w:sz w:val="20"/>
              </w:rPr>
              <w:t>pauses</w:t>
            </w:r>
            <w:r>
              <w:rPr>
                <w:spacing w:val="-6"/>
                <w:sz w:val="20"/>
              </w:rPr>
              <w:t xml:space="preserve"> </w:t>
            </w:r>
            <w:r>
              <w:rPr>
                <w:sz w:val="20"/>
              </w:rPr>
              <w:t>so</w:t>
            </w:r>
            <w:r>
              <w:rPr>
                <w:spacing w:val="-7"/>
                <w:sz w:val="20"/>
              </w:rPr>
              <w:t xml:space="preserve"> </w:t>
            </w:r>
            <w:r>
              <w:rPr>
                <w:sz w:val="20"/>
              </w:rPr>
              <w:t>clients</w:t>
            </w:r>
            <w:r>
              <w:rPr>
                <w:spacing w:val="-8"/>
                <w:sz w:val="20"/>
              </w:rPr>
              <w:t xml:space="preserve"> </w:t>
            </w:r>
            <w:r>
              <w:rPr>
                <w:sz w:val="20"/>
              </w:rPr>
              <w:t>can</w:t>
            </w:r>
            <w:r>
              <w:rPr>
                <w:spacing w:val="-7"/>
                <w:sz w:val="20"/>
              </w:rPr>
              <w:t xml:space="preserve"> </w:t>
            </w:r>
            <w:r>
              <w:rPr>
                <w:sz w:val="20"/>
              </w:rPr>
              <w:t>process</w:t>
            </w:r>
            <w:r>
              <w:rPr>
                <w:spacing w:val="-8"/>
                <w:sz w:val="20"/>
              </w:rPr>
              <w:t xml:space="preserve"> </w:t>
            </w:r>
            <w:r>
              <w:rPr>
                <w:sz w:val="20"/>
              </w:rPr>
              <w:t>questions,</w:t>
            </w:r>
            <w:r>
              <w:rPr>
                <w:spacing w:val="-7"/>
                <w:sz w:val="20"/>
              </w:rPr>
              <w:t xml:space="preserve"> </w:t>
            </w:r>
            <w:r>
              <w:rPr>
                <w:sz w:val="20"/>
              </w:rPr>
              <w:t>reflections,</w:t>
            </w:r>
            <w:r>
              <w:rPr>
                <w:spacing w:val="-6"/>
                <w:sz w:val="20"/>
              </w:rPr>
              <w:t xml:space="preserve"> </w:t>
            </w:r>
            <w:r>
              <w:rPr>
                <w:sz w:val="20"/>
              </w:rPr>
              <w:t>and</w:t>
            </w:r>
            <w:r>
              <w:rPr>
                <w:spacing w:val="-7"/>
                <w:sz w:val="20"/>
              </w:rPr>
              <w:t xml:space="preserve"> </w:t>
            </w:r>
            <w:r>
              <w:rPr>
                <w:spacing w:val="-2"/>
                <w:sz w:val="20"/>
              </w:rPr>
              <w:t>information.</w:t>
            </w:r>
          </w:p>
        </w:tc>
      </w:tr>
    </w:tbl>
    <w:p w14:paraId="48FE136C" w14:textId="77777777" w:rsidR="00DB6E1F" w:rsidRDefault="00DB6E1F">
      <w:pPr>
        <w:pStyle w:val="BodyText"/>
        <w:spacing w:before="6"/>
        <w:rPr>
          <w:sz w:val="8"/>
        </w:rPr>
      </w:pPr>
    </w:p>
    <w:p w14:paraId="563BE655" w14:textId="77777777" w:rsidR="00DB6E1F" w:rsidRDefault="00F666A6">
      <w:pPr>
        <w:pStyle w:val="BodyText"/>
        <w:spacing w:before="56"/>
        <w:ind w:left="1440" w:right="1491"/>
      </w:pPr>
      <w:r>
        <w:t>Motivational</w:t>
      </w:r>
      <w:r>
        <w:rPr>
          <w:spacing w:val="-3"/>
        </w:rPr>
        <w:t xml:space="preserve"> </w:t>
      </w:r>
      <w:r>
        <w:t>interventions</w:t>
      </w:r>
      <w:r>
        <w:rPr>
          <w:spacing w:val="-4"/>
        </w:rPr>
        <w:t xml:space="preserve"> </w:t>
      </w:r>
      <w:r>
        <w:t>for</w:t>
      </w:r>
      <w:r>
        <w:rPr>
          <w:spacing w:val="-3"/>
        </w:rPr>
        <w:t xml:space="preserve"> </w:t>
      </w:r>
      <w:r>
        <w:t>SMI</w:t>
      </w:r>
      <w:r>
        <w:rPr>
          <w:spacing w:val="-6"/>
        </w:rPr>
        <w:t xml:space="preserve"> </w:t>
      </w:r>
      <w:r>
        <w:t>and</w:t>
      </w:r>
      <w:r>
        <w:rPr>
          <w:spacing w:val="-4"/>
        </w:rPr>
        <w:t xml:space="preserve"> </w:t>
      </w:r>
      <w:r>
        <w:t>co-occurring</w:t>
      </w:r>
      <w:r>
        <w:rPr>
          <w:spacing w:val="-3"/>
        </w:rPr>
        <w:t xml:space="preserve"> </w:t>
      </w:r>
      <w:r>
        <w:t>SUDs</w:t>
      </w:r>
      <w:r>
        <w:rPr>
          <w:spacing w:val="-2"/>
        </w:rPr>
        <w:t xml:space="preserve"> </w:t>
      </w:r>
      <w:r>
        <w:t>should</w:t>
      </w:r>
      <w:r>
        <w:rPr>
          <w:spacing w:val="-4"/>
        </w:rPr>
        <w:t xml:space="preserve"> </w:t>
      </w:r>
      <w:r>
        <w:t>be</w:t>
      </w:r>
      <w:r>
        <w:rPr>
          <w:spacing w:val="-4"/>
        </w:rPr>
        <w:t xml:space="preserve"> </w:t>
      </w:r>
      <w:r>
        <w:t>modified</w:t>
      </w:r>
      <w:r>
        <w:rPr>
          <w:spacing w:val="-4"/>
        </w:rPr>
        <w:t xml:space="preserve"> </w:t>
      </w:r>
      <w:r>
        <w:t>to</w:t>
      </w:r>
      <w:r>
        <w:rPr>
          <w:spacing w:val="-4"/>
        </w:rPr>
        <w:t xml:space="preserve"> </w:t>
      </w:r>
      <w:r>
        <w:t>take</w:t>
      </w:r>
      <w:r>
        <w:rPr>
          <w:spacing w:val="-2"/>
        </w:rPr>
        <w:t xml:space="preserve"> </w:t>
      </w:r>
      <w:r>
        <w:t>into</w:t>
      </w:r>
      <w:r>
        <w:rPr>
          <w:spacing w:val="-2"/>
        </w:rPr>
        <w:t xml:space="preserve"> </w:t>
      </w:r>
      <w:r>
        <w:t>account potential cognitive impairment and focused on specific tasks that lead to the accomplishment of treatment goals, as defined by each client. For more informatio</w:t>
      </w:r>
      <w:r>
        <w:t xml:space="preserve">n, see TIP 42: </w:t>
      </w:r>
      <w:r>
        <w:rPr>
          <w:i/>
        </w:rPr>
        <w:t xml:space="preserve">Substance Abuse Treatment for Persons With Co-Occurring Disorders </w:t>
      </w:r>
      <w:r>
        <w:t>(SAMHSA, 2013).</w:t>
      </w:r>
    </w:p>
    <w:p w14:paraId="53002B63" w14:textId="77777777" w:rsidR="00DB6E1F" w:rsidRDefault="00DB6E1F">
      <w:pPr>
        <w:pStyle w:val="BodyText"/>
        <w:spacing w:before="2"/>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FD0099C" w14:textId="77777777">
        <w:trPr>
          <w:trHeight w:val="503"/>
        </w:trPr>
        <w:tc>
          <w:tcPr>
            <w:tcW w:w="9350" w:type="dxa"/>
            <w:shd w:val="clear" w:color="auto" w:fill="050505"/>
          </w:tcPr>
          <w:p w14:paraId="488D4D01" w14:textId="77777777" w:rsidR="00DB6E1F" w:rsidRDefault="00F666A6">
            <w:pPr>
              <w:pStyle w:val="TableParagraph"/>
              <w:spacing w:before="102"/>
              <w:ind w:left="114"/>
              <w:jc w:val="center"/>
              <w:rPr>
                <w:sz w:val="24"/>
              </w:rPr>
            </w:pPr>
            <w:r>
              <w:rPr>
                <w:color w:val="FFFFFF"/>
                <w:sz w:val="24"/>
              </w:rPr>
              <w:t>Expert</w:t>
            </w:r>
            <w:r>
              <w:rPr>
                <w:color w:val="FFFFFF"/>
                <w:spacing w:val="-2"/>
                <w:sz w:val="24"/>
              </w:rPr>
              <w:t xml:space="preserve"> </w:t>
            </w:r>
            <w:r>
              <w:rPr>
                <w:color w:val="FFFFFF"/>
                <w:sz w:val="24"/>
              </w:rPr>
              <w:t>Comment:</w:t>
            </w:r>
            <w:r>
              <w:rPr>
                <w:color w:val="FFFFFF"/>
                <w:spacing w:val="-2"/>
                <w:sz w:val="24"/>
              </w:rPr>
              <w:t xml:space="preserve"> </w:t>
            </w:r>
            <w:r>
              <w:rPr>
                <w:color w:val="FFFFFF"/>
                <w:sz w:val="24"/>
              </w:rPr>
              <w:t>MI</w:t>
            </w:r>
            <w:r>
              <w:rPr>
                <w:color w:val="FFFFFF"/>
                <w:spacing w:val="-2"/>
                <w:sz w:val="24"/>
              </w:rPr>
              <w:t xml:space="preserve"> </w:t>
            </w:r>
            <w:r>
              <w:rPr>
                <w:color w:val="FFFFFF"/>
                <w:sz w:val="24"/>
              </w:rPr>
              <w:t>for</w:t>
            </w:r>
            <w:r>
              <w:rPr>
                <w:color w:val="FFFFFF"/>
                <w:spacing w:val="-5"/>
                <w:sz w:val="24"/>
              </w:rPr>
              <w:t xml:space="preserve"> </w:t>
            </w:r>
            <w:r>
              <w:rPr>
                <w:color w:val="FFFFFF"/>
                <w:sz w:val="24"/>
              </w:rPr>
              <w:t>Adults With</w:t>
            </w:r>
            <w:r>
              <w:rPr>
                <w:color w:val="FFFFFF"/>
                <w:spacing w:val="2"/>
                <w:sz w:val="24"/>
              </w:rPr>
              <w:t xml:space="preserve"> </w:t>
            </w:r>
            <w:r>
              <w:rPr>
                <w:color w:val="FFFFFF"/>
                <w:spacing w:val="-5"/>
                <w:sz w:val="24"/>
              </w:rPr>
              <w:t>COD</w:t>
            </w:r>
          </w:p>
        </w:tc>
      </w:tr>
      <w:tr w:rsidR="00DB6E1F" w14:paraId="240766DC" w14:textId="77777777">
        <w:trPr>
          <w:trHeight w:val="7439"/>
        </w:trPr>
        <w:tc>
          <w:tcPr>
            <w:tcW w:w="9350" w:type="dxa"/>
          </w:tcPr>
          <w:p w14:paraId="1B0D953E" w14:textId="77777777" w:rsidR="00DB6E1F" w:rsidRDefault="00F666A6">
            <w:pPr>
              <w:pStyle w:val="TableParagraph"/>
              <w:ind w:right="169"/>
              <w:rPr>
                <w:sz w:val="20"/>
              </w:rPr>
            </w:pPr>
            <w:r>
              <w:rPr>
                <w:sz w:val="20"/>
              </w:rPr>
              <w:t>I became interested in MI when my team and I were trying to improve the rate of attendance at aftercare appointments for clients with COD discharged from our psychiatric units. So, my team and I decided to investigate MI’s effectiveness with clients with C</w:t>
            </w:r>
            <w:r>
              <w:rPr>
                <w:sz w:val="20"/>
              </w:rPr>
              <w:t>OD. We randomly assigned half of our clients to standard treatment, in which they received standard inpatient psychiatric care, including standard discharge planning where the team would encourage and explain the importance of aftercare. The other half wer</w:t>
            </w:r>
            <w:r>
              <w:rPr>
                <w:sz w:val="20"/>
              </w:rPr>
              <w:t>e assigned to standard</w:t>
            </w:r>
            <w:r>
              <w:rPr>
                <w:spacing w:val="-3"/>
                <w:sz w:val="20"/>
              </w:rPr>
              <w:t xml:space="preserve"> </w:t>
            </w:r>
            <w:r>
              <w:rPr>
                <w:sz w:val="20"/>
              </w:rPr>
              <w:t>treatment</w:t>
            </w:r>
            <w:r>
              <w:rPr>
                <w:spacing w:val="-3"/>
                <w:sz w:val="20"/>
              </w:rPr>
              <w:t xml:space="preserve"> </w:t>
            </w:r>
            <w:r>
              <w:rPr>
                <w:sz w:val="20"/>
              </w:rPr>
              <w:t>but</w:t>
            </w:r>
            <w:r>
              <w:rPr>
                <w:spacing w:val="-3"/>
                <w:sz w:val="20"/>
              </w:rPr>
              <w:t xml:space="preserve"> </w:t>
            </w:r>
            <w:r>
              <w:rPr>
                <w:sz w:val="20"/>
              </w:rPr>
              <w:t>also</w:t>
            </w:r>
            <w:r>
              <w:rPr>
                <w:spacing w:val="-3"/>
                <w:sz w:val="20"/>
              </w:rPr>
              <w:t xml:space="preserve"> </w:t>
            </w:r>
            <w:r>
              <w:rPr>
                <w:sz w:val="20"/>
              </w:rPr>
              <w:t>received</w:t>
            </w:r>
            <w:r>
              <w:rPr>
                <w:spacing w:val="-3"/>
                <w:sz w:val="20"/>
              </w:rPr>
              <w:t xml:space="preserve"> </w:t>
            </w:r>
            <w:r>
              <w:rPr>
                <w:sz w:val="20"/>
              </w:rPr>
              <w:t>a</w:t>
            </w:r>
            <w:r>
              <w:rPr>
                <w:spacing w:val="-3"/>
                <w:sz w:val="20"/>
              </w:rPr>
              <w:t xml:space="preserve"> </w:t>
            </w:r>
            <w:r>
              <w:rPr>
                <w:sz w:val="20"/>
              </w:rPr>
              <w:t>motivational</w:t>
            </w:r>
            <w:r>
              <w:rPr>
                <w:spacing w:val="-3"/>
                <w:sz w:val="20"/>
              </w:rPr>
              <w:t xml:space="preserve"> </w:t>
            </w:r>
            <w:r>
              <w:rPr>
                <w:sz w:val="20"/>
              </w:rPr>
              <w:t>assessment,</w:t>
            </w:r>
            <w:r>
              <w:rPr>
                <w:spacing w:val="-3"/>
                <w:sz w:val="20"/>
              </w:rPr>
              <w:t xml:space="preserve"> </w:t>
            </w:r>
            <w:r>
              <w:rPr>
                <w:sz w:val="20"/>
              </w:rPr>
              <w:t>feedback</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results</w:t>
            </w:r>
            <w:r>
              <w:rPr>
                <w:spacing w:val="-3"/>
                <w:sz w:val="20"/>
              </w:rPr>
              <w:t xml:space="preserve"> </w:t>
            </w:r>
            <w:r>
              <w:rPr>
                <w:sz w:val="20"/>
              </w:rPr>
              <w:t>at</w:t>
            </w:r>
            <w:r>
              <w:rPr>
                <w:spacing w:val="-3"/>
                <w:sz w:val="20"/>
              </w:rPr>
              <w:t xml:space="preserve"> </w:t>
            </w:r>
            <w:r>
              <w:rPr>
                <w:sz w:val="20"/>
              </w:rPr>
              <w:t>admission,</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1- hour MI just before discharge.</w:t>
            </w:r>
          </w:p>
          <w:p w14:paraId="732330D4" w14:textId="77777777" w:rsidR="00DB6E1F" w:rsidRDefault="00F666A6">
            <w:pPr>
              <w:pStyle w:val="TableParagraph"/>
              <w:spacing w:before="120"/>
              <w:ind w:right="169"/>
              <w:rPr>
                <w:sz w:val="20"/>
              </w:rPr>
            </w:pPr>
            <w:r>
              <w:rPr>
                <w:sz w:val="20"/>
              </w:rPr>
              <w:t>We</w:t>
            </w:r>
            <w:r>
              <w:rPr>
                <w:spacing w:val="-4"/>
                <w:sz w:val="20"/>
              </w:rPr>
              <w:t xml:space="preserve"> </w:t>
            </w:r>
            <w:r>
              <w:rPr>
                <w:sz w:val="20"/>
              </w:rPr>
              <w:t>found</w:t>
            </w:r>
            <w:r>
              <w:rPr>
                <w:spacing w:val="-2"/>
                <w:sz w:val="20"/>
              </w:rPr>
              <w:t xml:space="preserve"> </w:t>
            </w:r>
            <w:r>
              <w:rPr>
                <w:sz w:val="20"/>
              </w:rPr>
              <w:t>that</w:t>
            </w:r>
            <w:r>
              <w:rPr>
                <w:spacing w:val="-2"/>
                <w:sz w:val="20"/>
              </w:rPr>
              <w:t xml:space="preserve"> </w:t>
            </w:r>
            <w:r>
              <w:rPr>
                <w:sz w:val="20"/>
              </w:rPr>
              <w:t>clients</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MI</w:t>
            </w:r>
            <w:r>
              <w:rPr>
                <w:spacing w:val="-3"/>
                <w:sz w:val="20"/>
              </w:rPr>
              <w:t xml:space="preserve"> </w:t>
            </w:r>
            <w:r>
              <w:rPr>
                <w:sz w:val="20"/>
              </w:rPr>
              <w:t>group</w:t>
            </w:r>
            <w:r>
              <w:rPr>
                <w:spacing w:val="-2"/>
                <w:sz w:val="20"/>
              </w:rPr>
              <w:t xml:space="preserve"> </w:t>
            </w:r>
            <w:r>
              <w:rPr>
                <w:sz w:val="20"/>
              </w:rPr>
              <w:t>attended</w:t>
            </w:r>
            <w:r>
              <w:rPr>
                <w:spacing w:val="-2"/>
                <w:sz w:val="20"/>
              </w:rPr>
              <w:t xml:space="preserve"> </w:t>
            </w:r>
            <w:r>
              <w:rPr>
                <w:sz w:val="20"/>
              </w:rPr>
              <w:t>their</w:t>
            </w:r>
            <w:r>
              <w:rPr>
                <w:spacing w:val="-3"/>
                <w:sz w:val="20"/>
              </w:rPr>
              <w:t xml:space="preserve"> </w:t>
            </w:r>
            <w:r>
              <w:rPr>
                <w:sz w:val="20"/>
              </w:rPr>
              <w:t>first outpatient</w:t>
            </w:r>
            <w:r>
              <w:rPr>
                <w:spacing w:val="-3"/>
                <w:sz w:val="20"/>
              </w:rPr>
              <w:t xml:space="preserve"> </w:t>
            </w:r>
            <w:r>
              <w:rPr>
                <w:sz w:val="20"/>
              </w:rPr>
              <w:t>appointment</w:t>
            </w:r>
            <w:r>
              <w:rPr>
                <w:spacing w:val="-3"/>
                <w:sz w:val="20"/>
              </w:rPr>
              <w:t xml:space="preserve"> </w:t>
            </w:r>
            <w:r>
              <w:rPr>
                <w:sz w:val="20"/>
              </w:rPr>
              <w:t>at</w:t>
            </w:r>
            <w:r>
              <w:rPr>
                <w:spacing w:val="-3"/>
                <w:sz w:val="20"/>
              </w:rPr>
              <w:t xml:space="preserve"> </w:t>
            </w:r>
            <w:r>
              <w:rPr>
                <w:sz w:val="20"/>
              </w:rPr>
              <w:t>a</w:t>
            </w:r>
            <w:r>
              <w:rPr>
                <w:spacing w:val="-3"/>
                <w:sz w:val="20"/>
              </w:rPr>
              <w:t xml:space="preserve"> </w:t>
            </w:r>
            <w:r>
              <w:rPr>
                <w:sz w:val="20"/>
              </w:rPr>
              <w:t>rate</w:t>
            </w:r>
            <w:r>
              <w:rPr>
                <w:spacing w:val="-4"/>
                <w:sz w:val="20"/>
              </w:rPr>
              <w:t xml:space="preserve"> </w:t>
            </w:r>
            <w:r>
              <w:rPr>
                <w:sz w:val="20"/>
              </w:rPr>
              <w:t>that</w:t>
            </w:r>
            <w:r>
              <w:rPr>
                <w:spacing w:val="-3"/>
                <w:sz w:val="20"/>
              </w:rPr>
              <w:t xml:space="preserve"> </w:t>
            </w:r>
            <w:r>
              <w:rPr>
                <w:sz w:val="20"/>
              </w:rPr>
              <w:t>was</w:t>
            </w:r>
            <w:r>
              <w:rPr>
                <w:spacing w:val="-4"/>
                <w:sz w:val="20"/>
              </w:rPr>
              <w:t xml:space="preserve"> </w:t>
            </w:r>
            <w:r>
              <w:rPr>
                <w:sz w:val="20"/>
              </w:rPr>
              <w:t>two</w:t>
            </w:r>
            <w:r>
              <w:rPr>
                <w:spacing w:val="-3"/>
                <w:sz w:val="20"/>
              </w:rPr>
              <w:t xml:space="preserve"> </w:t>
            </w:r>
            <w:r>
              <w:rPr>
                <w:sz w:val="20"/>
              </w:rPr>
              <w:t>and</w:t>
            </w:r>
            <w:r>
              <w:rPr>
                <w:spacing w:val="-2"/>
                <w:sz w:val="20"/>
              </w:rPr>
              <w:t xml:space="preserve"> </w:t>
            </w:r>
            <w:r>
              <w:rPr>
                <w:sz w:val="20"/>
              </w:rPr>
              <w:t>a half times greater than the standard treatment group. MI with virtually no modification, was effective, particularly for clients with very low motivation. This could have been because these clients were more verbal about their ambivalence tha</w:t>
            </w:r>
            <w:r>
              <w:rPr>
                <w:sz w:val="20"/>
              </w:rPr>
              <w:t>n others and because we viewed MI as a perfect way to resolve ambivalence.</w:t>
            </w:r>
          </w:p>
          <w:p w14:paraId="281535E5" w14:textId="77777777" w:rsidR="00DB6E1F" w:rsidRDefault="00F666A6">
            <w:pPr>
              <w:pStyle w:val="TableParagraph"/>
              <w:spacing w:before="0"/>
              <w:ind w:left="108" w:right="169"/>
              <w:rPr>
                <w:sz w:val="20"/>
              </w:rPr>
            </w:pPr>
            <w:r>
              <w:rPr>
                <w:sz w:val="20"/>
              </w:rPr>
              <w:t>Another</w:t>
            </w:r>
            <w:r>
              <w:rPr>
                <w:spacing w:val="-3"/>
                <w:sz w:val="20"/>
              </w:rPr>
              <w:t xml:space="preserve"> </w:t>
            </w:r>
            <w:r>
              <w:rPr>
                <w:sz w:val="20"/>
              </w:rPr>
              <w:t>thing</w:t>
            </w:r>
            <w:r>
              <w:rPr>
                <w:spacing w:val="-3"/>
                <w:sz w:val="20"/>
              </w:rPr>
              <w:t xml:space="preserve"> </w:t>
            </w:r>
            <w:r>
              <w:rPr>
                <w:sz w:val="20"/>
              </w:rPr>
              <w:t>we</w:t>
            </w:r>
            <w:r>
              <w:rPr>
                <w:spacing w:val="-4"/>
                <w:sz w:val="20"/>
              </w:rPr>
              <w:t xml:space="preserve"> </w:t>
            </w:r>
            <w:r>
              <w:rPr>
                <w:sz w:val="20"/>
              </w:rPr>
              <w:t>learned was</w:t>
            </w:r>
            <w:r>
              <w:rPr>
                <w:spacing w:val="-2"/>
                <w:sz w:val="20"/>
              </w:rPr>
              <w:t xml:space="preserve"> </w:t>
            </w:r>
            <w:r>
              <w:rPr>
                <w:sz w:val="20"/>
              </w:rPr>
              <w:t>that</w:t>
            </w:r>
            <w:r>
              <w:rPr>
                <w:spacing w:val="-3"/>
                <w:sz w:val="20"/>
              </w:rPr>
              <w:t xml:space="preserve"> </w:t>
            </w:r>
            <w:r>
              <w:rPr>
                <w:sz w:val="20"/>
              </w:rPr>
              <w:t>asking</w:t>
            </w:r>
            <w:r>
              <w:rPr>
                <w:spacing w:val="-5"/>
                <w:sz w:val="20"/>
              </w:rPr>
              <w:t xml:space="preserve"> </w:t>
            </w:r>
            <w:r>
              <w:rPr>
                <w:sz w:val="20"/>
              </w:rPr>
              <w:t>clients</w:t>
            </w:r>
            <w:r>
              <w:rPr>
                <w:spacing w:val="-4"/>
                <w:sz w:val="20"/>
              </w:rPr>
              <w:t xml:space="preserve"> </w:t>
            </w:r>
            <w:r>
              <w:rPr>
                <w:sz w:val="20"/>
              </w:rPr>
              <w:t>about</w:t>
            </w:r>
            <w:r>
              <w:rPr>
                <w:spacing w:val="-3"/>
                <w:sz w:val="20"/>
              </w:rPr>
              <w:t xml:space="preserve"> </w:t>
            </w:r>
            <w:r>
              <w:rPr>
                <w:sz w:val="20"/>
              </w:rPr>
              <w:t>why</w:t>
            </w:r>
            <w:r>
              <w:rPr>
                <w:spacing w:val="-2"/>
                <w:sz w:val="20"/>
              </w:rPr>
              <w:t xml:space="preserve"> </w:t>
            </w:r>
            <w:r>
              <w:rPr>
                <w:sz w:val="20"/>
              </w:rPr>
              <w:t>they</w:t>
            </w:r>
            <w:r>
              <w:rPr>
                <w:spacing w:val="-2"/>
                <w:sz w:val="20"/>
              </w:rPr>
              <w:t xml:space="preserve"> </w:t>
            </w:r>
            <w:r>
              <w:rPr>
                <w:sz w:val="20"/>
              </w:rPr>
              <w:t>would</w:t>
            </w:r>
            <w:r>
              <w:rPr>
                <w:spacing w:val="-2"/>
                <w:sz w:val="20"/>
              </w:rPr>
              <w:t xml:space="preserve"> </w:t>
            </w:r>
            <w:r>
              <w:rPr>
                <w:b/>
                <w:sz w:val="20"/>
              </w:rPr>
              <w:t>not</w:t>
            </w:r>
            <w:r>
              <w:rPr>
                <w:b/>
                <w:spacing w:val="-3"/>
                <w:sz w:val="20"/>
              </w:rPr>
              <w:t xml:space="preserve"> </w:t>
            </w:r>
            <w:r>
              <w:rPr>
                <w:b/>
                <w:sz w:val="20"/>
              </w:rPr>
              <w:t>attend</w:t>
            </w:r>
            <w:r>
              <w:rPr>
                <w:b/>
                <w:spacing w:val="-2"/>
                <w:sz w:val="20"/>
              </w:rPr>
              <w:t xml:space="preserve"> </w:t>
            </w:r>
            <w:r>
              <w:rPr>
                <w:sz w:val="20"/>
              </w:rPr>
              <w:t>aftercare</w:t>
            </w:r>
            <w:r>
              <w:rPr>
                <w:spacing w:val="-4"/>
                <w:sz w:val="20"/>
              </w:rPr>
              <w:t xml:space="preserve"> </w:t>
            </w:r>
            <w:r>
              <w:rPr>
                <w:sz w:val="20"/>
              </w:rPr>
              <w:t>had</w:t>
            </w:r>
            <w:r>
              <w:rPr>
                <w:spacing w:val="-2"/>
                <w:sz w:val="20"/>
              </w:rPr>
              <w:t xml:space="preserve"> </w:t>
            </w:r>
            <w:r>
              <w:rPr>
                <w:sz w:val="20"/>
              </w:rPr>
              <w:t>surprise</w:t>
            </w:r>
            <w:r>
              <w:rPr>
                <w:spacing w:val="-1"/>
                <w:sz w:val="20"/>
              </w:rPr>
              <w:t xml:space="preserve"> </w:t>
            </w:r>
            <w:r>
              <w:rPr>
                <w:sz w:val="20"/>
              </w:rPr>
              <w:t>value and greatly enhanced the rapport between therapist and client. It appea</w:t>
            </w:r>
            <w:r>
              <w:rPr>
                <w:sz w:val="20"/>
              </w:rPr>
              <w:t>red to let clients know that we were not only going to tell them about the importance of aftercare, but that we were actually willing to discuss their ambivalence about it.</w:t>
            </w:r>
          </w:p>
          <w:p w14:paraId="50C155DA" w14:textId="77777777" w:rsidR="00DB6E1F" w:rsidRDefault="00F666A6">
            <w:pPr>
              <w:pStyle w:val="TableParagraph"/>
              <w:spacing w:before="120"/>
              <w:ind w:right="102"/>
              <w:rPr>
                <w:sz w:val="20"/>
              </w:rPr>
            </w:pPr>
            <w:r>
              <w:rPr>
                <w:sz w:val="20"/>
              </w:rPr>
              <w:t xml:space="preserve">Clients were also surprised when we did not directly counter their reasons for not </w:t>
            </w:r>
            <w:r>
              <w:rPr>
                <w:sz w:val="20"/>
              </w:rPr>
              <w:t xml:space="preserve">going to aftercare. For example, if a client said, “I’m better now, I don’t need aftercare,” we would not say, “But to stay well, you need to continue your treatment.” Instead, we used </w:t>
            </w:r>
            <w:r>
              <w:rPr>
                <w:b/>
                <w:sz w:val="20"/>
              </w:rPr>
              <w:t xml:space="preserve">open end questions </w:t>
            </w:r>
            <w:r>
              <w:rPr>
                <w:sz w:val="20"/>
              </w:rPr>
              <w:t>(e.g., “What do you think helped you get better?” or</w:t>
            </w:r>
            <w:r>
              <w:rPr>
                <w:sz w:val="20"/>
              </w:rPr>
              <w:t xml:space="preserve"> “Tell me</w:t>
            </w:r>
            <w:r>
              <w:rPr>
                <w:spacing w:val="-1"/>
                <w:sz w:val="20"/>
              </w:rPr>
              <w:t xml:space="preserve"> </w:t>
            </w:r>
            <w:r>
              <w:rPr>
                <w:sz w:val="20"/>
              </w:rPr>
              <w:t>more</w:t>
            </w:r>
            <w:r>
              <w:rPr>
                <w:spacing w:val="-1"/>
                <w:sz w:val="20"/>
              </w:rPr>
              <w:t xml:space="preserve"> </w:t>
            </w:r>
            <w:r>
              <w:rPr>
                <w:sz w:val="20"/>
              </w:rPr>
              <w:t xml:space="preserve">about that”) or </w:t>
            </w:r>
            <w:r>
              <w:rPr>
                <w:b/>
                <w:sz w:val="20"/>
              </w:rPr>
              <w:t xml:space="preserve">amplified reflection </w:t>
            </w:r>
            <w:r>
              <w:rPr>
                <w:sz w:val="20"/>
              </w:rPr>
              <w:t>(e.g., “So, you’re</w:t>
            </w:r>
            <w:r>
              <w:rPr>
                <w:spacing w:val="-1"/>
                <w:sz w:val="20"/>
              </w:rPr>
              <w:t xml:space="preserve"> </w:t>
            </w:r>
            <w:r>
              <w:rPr>
                <w:sz w:val="20"/>
              </w:rPr>
              <w:t>saying you probably won’t</w:t>
            </w:r>
            <w:r>
              <w:rPr>
                <w:spacing w:val="-2"/>
                <w:sz w:val="20"/>
              </w:rPr>
              <w:t xml:space="preserve"> </w:t>
            </w:r>
            <w:r>
              <w:rPr>
                <w:sz w:val="20"/>
              </w:rPr>
              <w:t>need any other treatment ever again” or, for more fragile clients, “It’s hard for you to imagine a reason why you</w:t>
            </w:r>
            <w:r>
              <w:rPr>
                <w:spacing w:val="40"/>
                <w:sz w:val="20"/>
              </w:rPr>
              <w:t xml:space="preserve"> </w:t>
            </w:r>
            <w:r>
              <w:rPr>
                <w:sz w:val="20"/>
              </w:rPr>
              <w:t>might continue to need treatment”). When clie</w:t>
            </w:r>
            <w:r>
              <w:rPr>
                <w:sz w:val="20"/>
              </w:rPr>
              <w:t>nts offered specific disadvantages of pursuing aftercare, such as loss of time from work or negative reactions from family, we similarly responded with open end questions and reflective</w:t>
            </w:r>
            <w:r>
              <w:rPr>
                <w:spacing w:val="-3"/>
                <w:sz w:val="20"/>
              </w:rPr>
              <w:t xml:space="preserve"> </w:t>
            </w:r>
            <w:r>
              <w:rPr>
                <w:sz w:val="20"/>
              </w:rPr>
              <w:t>listening</w:t>
            </w:r>
            <w:r>
              <w:rPr>
                <w:spacing w:val="-2"/>
                <w:sz w:val="20"/>
              </w:rPr>
              <w:t xml:space="preserve"> </w:t>
            </w:r>
            <w:r>
              <w:rPr>
                <w:sz w:val="20"/>
              </w:rPr>
              <w:t>(e.g.,</w:t>
            </w:r>
            <w:r>
              <w:rPr>
                <w:spacing w:val="-1"/>
                <w:sz w:val="20"/>
              </w:rPr>
              <w:t xml:space="preserve"> </w:t>
            </w:r>
            <w:r>
              <w:rPr>
                <w:sz w:val="20"/>
              </w:rPr>
              <w:t>“It</w:t>
            </w:r>
            <w:r>
              <w:rPr>
                <w:spacing w:val="-2"/>
                <w:sz w:val="20"/>
              </w:rPr>
              <w:t xml:space="preserve"> </w:t>
            </w:r>
            <w:r>
              <w:rPr>
                <w:sz w:val="20"/>
              </w:rPr>
              <w:t>sounds</w:t>
            </w:r>
            <w:r>
              <w:rPr>
                <w:spacing w:val="-3"/>
                <w:sz w:val="20"/>
              </w:rPr>
              <w:t xml:space="preserve"> </w:t>
            </w:r>
            <w:r>
              <w:rPr>
                <w:sz w:val="20"/>
              </w:rPr>
              <w:t>like</w:t>
            </w:r>
            <w:r>
              <w:rPr>
                <w:spacing w:val="-3"/>
                <w:sz w:val="20"/>
              </w:rPr>
              <w:t xml:space="preserve"> </w:t>
            </w:r>
            <w:r>
              <w:rPr>
                <w:sz w:val="20"/>
              </w:rPr>
              <w:t>your</w:t>
            </w:r>
            <w:r>
              <w:rPr>
                <w:spacing w:val="-2"/>
                <w:sz w:val="20"/>
              </w:rPr>
              <w:t xml:space="preserve"> </w:t>
            </w:r>
            <w:r>
              <w:rPr>
                <w:sz w:val="20"/>
              </w:rPr>
              <w:t>job</w:t>
            </w:r>
            <w:r>
              <w:rPr>
                <w:spacing w:val="-1"/>
                <w:sz w:val="20"/>
              </w:rPr>
              <w:t xml:space="preserve"> </w:t>
            </w:r>
            <w:r>
              <w:rPr>
                <w:sz w:val="20"/>
              </w:rPr>
              <w:t>is</w:t>
            </w:r>
            <w:r>
              <w:rPr>
                <w:spacing w:val="-3"/>
                <w:sz w:val="20"/>
              </w:rPr>
              <w:t xml:space="preserve"> </w:t>
            </w:r>
            <w:r>
              <w:rPr>
                <w:sz w:val="20"/>
              </w:rPr>
              <w:t>very</w:t>
            </w:r>
            <w:r>
              <w:rPr>
                <w:spacing w:val="-1"/>
                <w:sz w:val="20"/>
              </w:rPr>
              <w:t xml:space="preserve"> </w:t>
            </w:r>
            <w:r>
              <w:rPr>
                <w:sz w:val="20"/>
              </w:rPr>
              <w:t>important</w:t>
            </w:r>
            <w:r>
              <w:rPr>
                <w:spacing w:val="-2"/>
                <w:sz w:val="20"/>
              </w:rPr>
              <w:t xml:space="preserve"> </w:t>
            </w:r>
            <w:r>
              <w:rPr>
                <w:sz w:val="20"/>
              </w:rPr>
              <w:t>to</w:t>
            </w:r>
            <w:r>
              <w:rPr>
                <w:spacing w:val="-2"/>
                <w:sz w:val="20"/>
              </w:rPr>
              <w:t xml:space="preserve"> </w:t>
            </w:r>
            <w:r>
              <w:rPr>
                <w:sz w:val="20"/>
              </w:rPr>
              <w:t>you</w:t>
            </w:r>
            <w:r>
              <w:rPr>
                <w:spacing w:val="-4"/>
                <w:sz w:val="20"/>
              </w:rPr>
              <w:t xml:space="preserve"> </w:t>
            </w:r>
            <w:r>
              <w:rPr>
                <w:sz w:val="20"/>
              </w:rPr>
              <w:t>and</w:t>
            </w:r>
            <w:r>
              <w:rPr>
                <w:spacing w:val="-1"/>
                <w:sz w:val="20"/>
              </w:rPr>
              <w:t xml:space="preserve"> </w:t>
            </w:r>
            <w:r>
              <w:rPr>
                <w:sz w:val="20"/>
              </w:rPr>
              <w:t>that</w:t>
            </w:r>
            <w:r>
              <w:rPr>
                <w:spacing w:val="-2"/>
                <w:sz w:val="20"/>
              </w:rPr>
              <w:t xml:space="preserve"> </w:t>
            </w:r>
            <w:r>
              <w:rPr>
                <w:sz w:val="20"/>
              </w:rPr>
              <w:t>you</w:t>
            </w:r>
            <w:r>
              <w:rPr>
                <w:spacing w:val="-4"/>
                <w:sz w:val="20"/>
              </w:rPr>
              <w:t xml:space="preserve"> </w:t>
            </w:r>
            <w:r>
              <w:rPr>
                <w:sz w:val="20"/>
              </w:rPr>
              <w:t>wouldn’t</w:t>
            </w:r>
            <w:r>
              <w:rPr>
                <w:spacing w:val="-2"/>
                <w:sz w:val="20"/>
              </w:rPr>
              <w:t xml:space="preserve"> </w:t>
            </w:r>
            <w:r>
              <w:rPr>
                <w:sz w:val="20"/>
              </w:rPr>
              <w:t>want</w:t>
            </w:r>
            <w:r>
              <w:rPr>
                <w:spacing w:val="-2"/>
                <w:sz w:val="20"/>
              </w:rPr>
              <w:t xml:space="preserve"> </w:t>
            </w:r>
            <w:r>
              <w:rPr>
                <w:sz w:val="20"/>
              </w:rPr>
              <w:t>anything</w:t>
            </w:r>
            <w:r>
              <w:rPr>
                <w:spacing w:val="-2"/>
                <w:sz w:val="20"/>
              </w:rPr>
              <w:t xml:space="preserve"> </w:t>
            </w:r>
            <w:r>
              <w:rPr>
                <w:sz w:val="20"/>
              </w:rPr>
              <w:t>to get in the way of that”). Frequently such questions and reflections would lead a client to counter his or her own statements. It turned out that client could sell themselves on the idea of aftercare better than we eve</w:t>
            </w:r>
            <w:r>
              <w:rPr>
                <w:sz w:val="20"/>
              </w:rPr>
              <w:t xml:space="preserve">r could, and MI gave us the perfect method for facilitating this process. What was most important, however, was what we did </w:t>
            </w:r>
            <w:r>
              <w:rPr>
                <w:b/>
                <w:sz w:val="20"/>
              </w:rPr>
              <w:t xml:space="preserve">not </w:t>
            </w:r>
            <w:r>
              <w:rPr>
                <w:sz w:val="20"/>
              </w:rPr>
              <w:t>do—namely, argue with the client or even attempt to therapeutically dispute his or her (sometimes) illogical ideas about afterca</w:t>
            </w:r>
            <w:r>
              <w:rPr>
                <w:sz w:val="20"/>
              </w:rPr>
              <w:t>re. Instead, we waited for kernels of motivation and simply shaped them along until the client finally heard himself or herself arguing in favor of seeking further services.</w:t>
            </w:r>
          </w:p>
        </w:tc>
      </w:tr>
    </w:tbl>
    <w:p w14:paraId="4B01D785" w14:textId="77777777" w:rsidR="00DB6E1F" w:rsidRDefault="00DB6E1F">
      <w:pPr>
        <w:rPr>
          <w:sz w:val="20"/>
        </w:rPr>
        <w:sectPr w:rsidR="00DB6E1F">
          <w:pgSz w:w="12240" w:h="15840"/>
          <w:pgMar w:top="1200" w:right="0" w:bottom="780" w:left="0" w:header="763" w:footer="585" w:gutter="0"/>
          <w:cols w:space="720"/>
        </w:sectPr>
      </w:pPr>
    </w:p>
    <w:p w14:paraId="20B5DBBD"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AF57C1A" w14:textId="77777777">
        <w:trPr>
          <w:trHeight w:val="323"/>
        </w:trPr>
        <w:tc>
          <w:tcPr>
            <w:tcW w:w="9350" w:type="dxa"/>
          </w:tcPr>
          <w:p w14:paraId="7BBBB401" w14:textId="77777777" w:rsidR="00DB6E1F" w:rsidRDefault="00F666A6">
            <w:pPr>
              <w:pStyle w:val="TableParagraph"/>
              <w:rPr>
                <w:i/>
                <w:sz w:val="20"/>
              </w:rPr>
            </w:pPr>
            <w:r>
              <w:rPr>
                <w:i/>
                <w:sz w:val="20"/>
              </w:rPr>
              <w:t>Michael</w:t>
            </w:r>
            <w:r>
              <w:rPr>
                <w:i/>
                <w:spacing w:val="-7"/>
                <w:sz w:val="20"/>
              </w:rPr>
              <w:t xml:space="preserve"> </w:t>
            </w:r>
            <w:r>
              <w:rPr>
                <w:i/>
                <w:sz w:val="20"/>
              </w:rPr>
              <w:t>V.</w:t>
            </w:r>
            <w:r>
              <w:rPr>
                <w:i/>
                <w:spacing w:val="-6"/>
                <w:sz w:val="20"/>
              </w:rPr>
              <w:t xml:space="preserve"> </w:t>
            </w:r>
            <w:r>
              <w:rPr>
                <w:i/>
                <w:sz w:val="20"/>
              </w:rPr>
              <w:t>Pantalon,</w:t>
            </w:r>
            <w:r>
              <w:rPr>
                <w:i/>
                <w:spacing w:val="-7"/>
                <w:sz w:val="20"/>
              </w:rPr>
              <w:t xml:space="preserve"> </w:t>
            </w:r>
            <w:r>
              <w:rPr>
                <w:i/>
                <w:sz w:val="20"/>
              </w:rPr>
              <w:t>Ph.D.,</w:t>
            </w:r>
            <w:r>
              <w:rPr>
                <w:i/>
                <w:spacing w:val="-5"/>
                <w:sz w:val="20"/>
              </w:rPr>
              <w:t xml:space="preserve"> </w:t>
            </w:r>
            <w:r>
              <w:rPr>
                <w:i/>
                <w:sz w:val="20"/>
              </w:rPr>
              <w:t>Field</w:t>
            </w:r>
            <w:r>
              <w:rPr>
                <w:i/>
                <w:spacing w:val="-6"/>
                <w:sz w:val="20"/>
              </w:rPr>
              <w:t xml:space="preserve"> </w:t>
            </w:r>
            <w:r>
              <w:rPr>
                <w:i/>
                <w:spacing w:val="-2"/>
                <w:sz w:val="20"/>
              </w:rPr>
              <w:t>Reviewer</w:t>
            </w:r>
          </w:p>
        </w:tc>
      </w:tr>
    </w:tbl>
    <w:p w14:paraId="66A6E775" w14:textId="77777777" w:rsidR="00DB6E1F" w:rsidRDefault="00F666A6">
      <w:pPr>
        <w:pStyle w:val="Heading2"/>
        <w:spacing w:before="3"/>
      </w:pPr>
      <w:bookmarkStart w:id="76" w:name="Brief_Motivational_Interventions"/>
      <w:bookmarkStart w:id="77" w:name="_bookmark14"/>
      <w:bookmarkEnd w:id="76"/>
      <w:bookmarkEnd w:id="77"/>
      <w:r>
        <w:t>Brief</w:t>
      </w:r>
      <w:r>
        <w:rPr>
          <w:spacing w:val="-5"/>
        </w:rPr>
        <w:t xml:space="preserve"> </w:t>
      </w:r>
      <w:r>
        <w:t>Motivational</w:t>
      </w:r>
      <w:r>
        <w:rPr>
          <w:spacing w:val="-3"/>
        </w:rPr>
        <w:t xml:space="preserve"> </w:t>
      </w:r>
      <w:r>
        <w:rPr>
          <w:spacing w:val="-2"/>
        </w:rPr>
        <w:t>Interventions</w:t>
      </w:r>
    </w:p>
    <w:p w14:paraId="2C0A50A4" w14:textId="77777777" w:rsidR="00DB6E1F" w:rsidRDefault="00F666A6">
      <w:pPr>
        <w:pStyle w:val="BodyText"/>
        <w:spacing w:before="152"/>
        <w:ind w:left="1439" w:right="1549"/>
      </w:pPr>
      <w:r>
        <w:t>A growing trend worldwide is to view substance misuse in a much broader context than diagnosable SUDs. The recognition that people who misuse substances make up a much larger group—and pose a serious and costly public health thre</w:t>
      </w:r>
      <w:r>
        <w:t>at—than the smaller number of people needing specialized addiction</w:t>
      </w:r>
      <w:r>
        <w:rPr>
          <w:spacing w:val="-2"/>
        </w:rPr>
        <w:t xml:space="preserve"> </w:t>
      </w:r>
      <w:r>
        <w:t>treatment</w:t>
      </w:r>
      <w:r>
        <w:rPr>
          <w:spacing w:val="-4"/>
        </w:rPr>
        <w:t xml:space="preserve"> </w:t>
      </w:r>
      <w:r>
        <w:t>is</w:t>
      </w:r>
      <w:r>
        <w:rPr>
          <w:spacing w:val="-2"/>
        </w:rPr>
        <w:t xml:space="preserve"> </w:t>
      </w:r>
      <w:r>
        <w:t>not</w:t>
      </w:r>
      <w:r>
        <w:rPr>
          <w:spacing w:val="-4"/>
        </w:rPr>
        <w:t xml:space="preserve"> </w:t>
      </w:r>
      <w:r>
        <w:t>always</w:t>
      </w:r>
      <w:r>
        <w:rPr>
          <w:spacing w:val="-4"/>
        </w:rPr>
        <w:t xml:space="preserve"> </w:t>
      </w:r>
      <w:r>
        <w:t>reflected</w:t>
      </w:r>
      <w:r>
        <w:rPr>
          <w:spacing w:val="-3"/>
        </w:rPr>
        <w:t xml:space="preserve"> </w:t>
      </w:r>
      <w:r>
        <w:t>in</w:t>
      </w:r>
      <w:r>
        <w:rPr>
          <w:spacing w:val="-5"/>
        </w:rPr>
        <w:t xml:space="preserve"> </w:t>
      </w:r>
      <w:r>
        <w:t>the</w:t>
      </w:r>
      <w:r>
        <w:rPr>
          <w:spacing w:val="-4"/>
        </w:rPr>
        <w:t xml:space="preserve"> </w:t>
      </w:r>
      <w:r>
        <w:t>organization</w:t>
      </w:r>
      <w:r>
        <w:rPr>
          <w:spacing w:val="-3"/>
        </w:rPr>
        <w:t xml:space="preserve"> </w:t>
      </w:r>
      <w:r>
        <w:t>and</w:t>
      </w:r>
      <w:r>
        <w:rPr>
          <w:spacing w:val="-3"/>
        </w:rPr>
        <w:t xml:space="preserve"> </w:t>
      </w:r>
      <w:r>
        <w:t>availability</w:t>
      </w:r>
      <w:r>
        <w:rPr>
          <w:spacing w:val="-3"/>
        </w:rPr>
        <w:t xml:space="preserve"> </w:t>
      </w:r>
      <w:r>
        <w:t>of</w:t>
      </w:r>
      <w:r>
        <w:rPr>
          <w:spacing w:val="-5"/>
        </w:rPr>
        <w:t xml:space="preserve"> </w:t>
      </w:r>
      <w:r>
        <w:t>treatment</w:t>
      </w:r>
      <w:r>
        <w:rPr>
          <w:spacing w:val="-1"/>
        </w:rPr>
        <w:t xml:space="preserve"> </w:t>
      </w:r>
      <w:r>
        <w:t>services.</w:t>
      </w:r>
      <w:r>
        <w:rPr>
          <w:spacing w:val="-2"/>
        </w:rPr>
        <w:t xml:space="preserve"> </w:t>
      </w:r>
      <w:r>
        <w:t>As part of</w:t>
      </w:r>
      <w:r>
        <w:rPr>
          <w:spacing w:val="-4"/>
        </w:rPr>
        <w:t xml:space="preserve"> </w:t>
      </w:r>
      <w:r>
        <w:t>a</w:t>
      </w:r>
      <w:r>
        <w:rPr>
          <w:spacing w:val="-4"/>
        </w:rPr>
        <w:t xml:space="preserve"> </w:t>
      </w:r>
      <w:r>
        <w:t>movement</w:t>
      </w:r>
      <w:r>
        <w:rPr>
          <w:spacing w:val="-1"/>
        </w:rPr>
        <w:t xml:space="preserve"> </w:t>
      </w:r>
      <w:r>
        <w:t>toward</w:t>
      </w:r>
      <w:r>
        <w:rPr>
          <w:spacing w:val="-1"/>
        </w:rPr>
        <w:t xml:space="preserve"> </w:t>
      </w:r>
      <w:r>
        <w:t>early identification</w:t>
      </w:r>
      <w:r>
        <w:rPr>
          <w:spacing w:val="-4"/>
        </w:rPr>
        <w:t xml:space="preserve"> </w:t>
      </w:r>
      <w:r>
        <w:t>of</w:t>
      </w:r>
      <w:r>
        <w:rPr>
          <w:spacing w:val="-2"/>
        </w:rPr>
        <w:t xml:space="preserve"> </w:t>
      </w:r>
      <w:r>
        <w:t>alcohol</w:t>
      </w:r>
      <w:r>
        <w:rPr>
          <w:spacing w:val="-4"/>
        </w:rPr>
        <w:t xml:space="preserve"> </w:t>
      </w:r>
      <w:r>
        <w:t>misuse and</w:t>
      </w:r>
      <w:r>
        <w:rPr>
          <w:spacing w:val="-2"/>
        </w:rPr>
        <w:t xml:space="preserve"> </w:t>
      </w:r>
      <w:r>
        <w:t>the</w:t>
      </w:r>
      <w:r>
        <w:rPr>
          <w:spacing w:val="-3"/>
        </w:rPr>
        <w:t xml:space="preserve"> </w:t>
      </w:r>
      <w:r>
        <w:t>development</w:t>
      </w:r>
      <w:r>
        <w:rPr>
          <w:spacing w:val="-3"/>
        </w:rPr>
        <w:t xml:space="preserve"> </w:t>
      </w:r>
      <w:r>
        <w:t>of</w:t>
      </w:r>
      <w:r>
        <w:rPr>
          <w:spacing w:val="-3"/>
        </w:rPr>
        <w:t xml:space="preserve"> </w:t>
      </w:r>
      <w:r>
        <w:t>effective and low-cost methods to ameliorate this widespread problem, BI strategies, which include motivational components, are widely disseminated in the United States and other countries (Joseph &amp; Basu, 2016).</w:t>
      </w:r>
    </w:p>
    <w:p w14:paraId="22C474F4" w14:textId="77777777" w:rsidR="00DB6E1F" w:rsidRDefault="00F666A6">
      <w:pPr>
        <w:pStyle w:val="BodyText"/>
        <w:spacing w:before="160"/>
        <w:ind w:left="1439"/>
      </w:pPr>
      <w:r>
        <w:t>The</w:t>
      </w:r>
      <w:r>
        <w:rPr>
          <w:spacing w:val="-1"/>
        </w:rPr>
        <w:t xml:space="preserve"> </w:t>
      </w:r>
      <w:r>
        <w:t>impetus</w:t>
      </w:r>
      <w:r>
        <w:rPr>
          <w:spacing w:val="-4"/>
        </w:rPr>
        <w:t xml:space="preserve"> </w:t>
      </w:r>
      <w:r>
        <w:t>to</w:t>
      </w:r>
      <w:r>
        <w:rPr>
          <w:spacing w:val="-3"/>
        </w:rPr>
        <w:t xml:space="preserve"> </w:t>
      </w:r>
      <w:r>
        <w:t>expand</w:t>
      </w:r>
      <w:r>
        <w:rPr>
          <w:spacing w:val="-3"/>
        </w:rPr>
        <w:t xml:space="preserve"> </w:t>
      </w:r>
      <w:r>
        <w:t>the</w:t>
      </w:r>
      <w:r>
        <w:rPr>
          <w:spacing w:val="-4"/>
        </w:rPr>
        <w:t xml:space="preserve"> </w:t>
      </w:r>
      <w:r>
        <w:t>use</w:t>
      </w:r>
      <w:r>
        <w:rPr>
          <w:spacing w:val="-1"/>
        </w:rPr>
        <w:t xml:space="preserve"> </w:t>
      </w:r>
      <w:r>
        <w:t>of</w:t>
      </w:r>
      <w:r>
        <w:rPr>
          <w:spacing w:val="-6"/>
        </w:rPr>
        <w:t xml:space="preserve"> </w:t>
      </w:r>
      <w:r>
        <w:t>BI</w:t>
      </w:r>
      <w:r>
        <w:rPr>
          <w:spacing w:val="-2"/>
        </w:rPr>
        <w:t xml:space="preserve"> </w:t>
      </w:r>
      <w:r>
        <w:t>is</w:t>
      </w:r>
      <w:r>
        <w:rPr>
          <w:spacing w:val="-2"/>
        </w:rPr>
        <w:t xml:space="preserve"> </w:t>
      </w:r>
      <w:r>
        <w:t>a</w:t>
      </w:r>
      <w:r>
        <w:rPr>
          <w:spacing w:val="-4"/>
        </w:rPr>
        <w:t xml:space="preserve"> </w:t>
      </w:r>
      <w:r>
        <w:t>response</w:t>
      </w:r>
      <w:r>
        <w:rPr>
          <w:spacing w:val="-3"/>
        </w:rPr>
        <w:t xml:space="preserve"> </w:t>
      </w:r>
      <w:r>
        <w:rPr>
          <w:spacing w:val="-5"/>
        </w:rPr>
        <w:t>to:</w:t>
      </w:r>
    </w:p>
    <w:p w14:paraId="65C77228" w14:textId="77777777" w:rsidR="00DB6E1F" w:rsidRDefault="00F666A6">
      <w:pPr>
        <w:pStyle w:val="ListParagraph"/>
        <w:numPr>
          <w:ilvl w:val="0"/>
          <w:numId w:val="92"/>
        </w:numPr>
        <w:tabs>
          <w:tab w:val="left" w:pos="1799"/>
          <w:tab w:val="left" w:pos="1800"/>
        </w:tabs>
        <w:ind w:left="1799" w:right="1610"/>
        <w:rPr>
          <w:rFonts w:ascii="Symbol" w:hAnsi="Symbol"/>
        </w:rPr>
      </w:pPr>
      <w:r>
        <w:t>The</w:t>
      </w:r>
      <w:r>
        <w:rPr>
          <w:spacing w:val="-1"/>
        </w:rPr>
        <w:t xml:space="preserve"> </w:t>
      </w:r>
      <w:r>
        <w:t>need</w:t>
      </w:r>
      <w:r>
        <w:rPr>
          <w:spacing w:val="-5"/>
        </w:rPr>
        <w:t xml:space="preserve"> </w:t>
      </w:r>
      <w:r>
        <w:t>for</w:t>
      </w:r>
      <w:r>
        <w:rPr>
          <w:spacing w:val="-4"/>
        </w:rPr>
        <w:t xml:space="preserve"> </w:t>
      </w:r>
      <w:r>
        <w:t>a</w:t>
      </w:r>
      <w:r>
        <w:rPr>
          <w:spacing w:val="-2"/>
        </w:rPr>
        <w:t xml:space="preserve"> </w:t>
      </w:r>
      <w:r>
        <w:t>broader</w:t>
      </w:r>
      <w:r>
        <w:rPr>
          <w:spacing w:val="-2"/>
        </w:rPr>
        <w:t xml:space="preserve"> </w:t>
      </w:r>
      <w:r>
        <w:t>base</w:t>
      </w:r>
      <w:r>
        <w:rPr>
          <w:spacing w:val="-1"/>
        </w:rPr>
        <w:t xml:space="preserve"> </w:t>
      </w:r>
      <w:r>
        <w:t>of</w:t>
      </w:r>
      <w:r>
        <w:rPr>
          <w:spacing w:val="-5"/>
        </w:rPr>
        <w:t xml:space="preserve"> </w:t>
      </w:r>
      <w:r>
        <w:t>treatment</w:t>
      </w:r>
      <w:r>
        <w:rPr>
          <w:spacing w:val="-1"/>
        </w:rPr>
        <w:t xml:space="preserve"> </w:t>
      </w:r>
      <w:r>
        <w:t>and</w:t>
      </w:r>
      <w:r>
        <w:rPr>
          <w:spacing w:val="-3"/>
        </w:rPr>
        <w:t xml:space="preserve"> </w:t>
      </w:r>
      <w:r>
        <w:t>prevention</w:t>
      </w:r>
      <w:r>
        <w:rPr>
          <w:spacing w:val="-3"/>
        </w:rPr>
        <w:t xml:space="preserve"> </w:t>
      </w:r>
      <w:r>
        <w:t>components</w:t>
      </w:r>
      <w:r>
        <w:rPr>
          <w:spacing w:val="-4"/>
        </w:rPr>
        <w:t xml:space="preserve"> </w:t>
      </w:r>
      <w:r>
        <w:t>to</w:t>
      </w:r>
      <w:r>
        <w:rPr>
          <w:spacing w:val="-1"/>
        </w:rPr>
        <w:t xml:space="preserve"> </w:t>
      </w:r>
      <w:r>
        <w:t>serve</w:t>
      </w:r>
      <w:r>
        <w:rPr>
          <w:spacing w:val="-4"/>
        </w:rPr>
        <w:t xml:space="preserve"> </w:t>
      </w:r>
      <w:r>
        <w:t>all</w:t>
      </w:r>
      <w:r>
        <w:rPr>
          <w:spacing w:val="-2"/>
        </w:rPr>
        <w:t xml:space="preserve"> </w:t>
      </w:r>
      <w:r>
        <w:t>segments</w:t>
      </w:r>
      <w:r>
        <w:rPr>
          <w:spacing w:val="-4"/>
        </w:rPr>
        <w:t xml:space="preserve"> </w:t>
      </w:r>
      <w:r>
        <w:t>of</w:t>
      </w:r>
      <w:r>
        <w:rPr>
          <w:spacing w:val="-5"/>
        </w:rPr>
        <w:t xml:space="preserve"> </w:t>
      </w:r>
      <w:r>
        <w:t>the population that have minimal to severe use and misuse patterns.</w:t>
      </w:r>
    </w:p>
    <w:p w14:paraId="2F73473E" w14:textId="77777777" w:rsidR="00DB6E1F" w:rsidRDefault="00F666A6">
      <w:pPr>
        <w:pStyle w:val="ListParagraph"/>
        <w:numPr>
          <w:ilvl w:val="0"/>
          <w:numId w:val="92"/>
        </w:numPr>
        <w:tabs>
          <w:tab w:val="left" w:pos="1799"/>
          <w:tab w:val="left" w:pos="1800"/>
        </w:tabs>
        <w:spacing w:before="59"/>
        <w:ind w:left="1799" w:right="1456" w:hanging="360"/>
        <w:rPr>
          <w:rFonts w:ascii="Symbol" w:hAnsi="Symbol"/>
        </w:rPr>
      </w:pPr>
      <w:r>
        <w:t>The</w:t>
      </w:r>
      <w:r>
        <w:rPr>
          <w:spacing w:val="-1"/>
        </w:rPr>
        <w:t xml:space="preserve"> </w:t>
      </w:r>
      <w:r>
        <w:t>need</w:t>
      </w:r>
      <w:r>
        <w:rPr>
          <w:spacing w:val="-5"/>
        </w:rPr>
        <w:t xml:space="preserve"> </w:t>
      </w:r>
      <w:r>
        <w:t>for</w:t>
      </w:r>
      <w:r>
        <w:rPr>
          <w:spacing w:val="-4"/>
        </w:rPr>
        <w:t xml:space="preserve"> </w:t>
      </w:r>
      <w:r>
        <w:t>cost-effective</w:t>
      </w:r>
      <w:r>
        <w:rPr>
          <w:spacing w:val="-4"/>
        </w:rPr>
        <w:t xml:space="preserve"> </w:t>
      </w:r>
      <w:r>
        <w:t>interventions</w:t>
      </w:r>
      <w:r>
        <w:rPr>
          <w:spacing w:val="-2"/>
        </w:rPr>
        <w:t xml:space="preserve"> </w:t>
      </w:r>
      <w:r>
        <w:t>that</w:t>
      </w:r>
      <w:r>
        <w:rPr>
          <w:spacing w:val="-4"/>
        </w:rPr>
        <w:t xml:space="preserve"> </w:t>
      </w:r>
      <w:r>
        <w:t>satisfy</w:t>
      </w:r>
      <w:r>
        <w:rPr>
          <w:spacing w:val="-1"/>
        </w:rPr>
        <w:t xml:space="preserve"> </w:t>
      </w:r>
      <w:r>
        <w:t>cost-containment</w:t>
      </w:r>
      <w:r>
        <w:rPr>
          <w:spacing w:val="-1"/>
        </w:rPr>
        <w:t xml:space="preserve"> </w:t>
      </w:r>
      <w:r>
        <w:t>policies</w:t>
      </w:r>
      <w:r>
        <w:rPr>
          <w:spacing w:val="-2"/>
        </w:rPr>
        <w:t xml:space="preserve"> </w:t>
      </w:r>
      <w:r>
        <w:t>in</w:t>
      </w:r>
      <w:r>
        <w:rPr>
          <w:spacing w:val="-5"/>
        </w:rPr>
        <w:t xml:space="preserve"> </w:t>
      </w:r>
      <w:r>
        <w:t>an</w:t>
      </w:r>
      <w:r>
        <w:rPr>
          <w:spacing w:val="-3"/>
        </w:rPr>
        <w:t xml:space="preserve"> </w:t>
      </w:r>
      <w:r>
        <w:t>era</w:t>
      </w:r>
      <w:r>
        <w:rPr>
          <w:spacing w:val="-4"/>
        </w:rPr>
        <w:t xml:space="preserve"> </w:t>
      </w:r>
      <w:r>
        <w:t>of</w:t>
      </w:r>
      <w:r>
        <w:rPr>
          <w:spacing w:val="-5"/>
        </w:rPr>
        <w:t xml:space="preserve"> </w:t>
      </w:r>
      <w:r>
        <w:t>managed health care (Babor, Del Boca, &amp; Bray, 2017).</w:t>
      </w:r>
    </w:p>
    <w:p w14:paraId="7480DFC6" w14:textId="77777777" w:rsidR="00DB6E1F" w:rsidRDefault="00F666A6">
      <w:pPr>
        <w:pStyle w:val="ListParagraph"/>
        <w:numPr>
          <w:ilvl w:val="0"/>
          <w:numId w:val="92"/>
        </w:numPr>
        <w:tabs>
          <w:tab w:val="left" w:pos="1799"/>
          <w:tab w:val="left" w:pos="1800"/>
        </w:tabs>
        <w:ind w:left="1799" w:right="1696"/>
        <w:rPr>
          <w:rFonts w:ascii="Symbol" w:hAnsi="Symbol"/>
        </w:rPr>
      </w:pPr>
      <w:r>
        <w:t>A</w:t>
      </w:r>
      <w:r>
        <w:rPr>
          <w:spacing w:val="-2"/>
        </w:rPr>
        <w:t xml:space="preserve"> </w:t>
      </w:r>
      <w:r>
        <w:t>growing</w:t>
      </w:r>
      <w:r>
        <w:rPr>
          <w:spacing w:val="-3"/>
        </w:rPr>
        <w:t xml:space="preserve"> </w:t>
      </w:r>
      <w:r>
        <w:t>body</w:t>
      </w:r>
      <w:r>
        <w:rPr>
          <w:spacing w:val="-4"/>
        </w:rPr>
        <w:t xml:space="preserve"> </w:t>
      </w:r>
      <w:r>
        <w:t>of</w:t>
      </w:r>
      <w:r>
        <w:rPr>
          <w:spacing w:val="-2"/>
        </w:rPr>
        <w:t xml:space="preserve"> </w:t>
      </w:r>
      <w:r>
        <w:t>research</w:t>
      </w:r>
      <w:r>
        <w:rPr>
          <w:spacing w:val="-3"/>
        </w:rPr>
        <w:t xml:space="preserve"> </w:t>
      </w:r>
      <w:r>
        <w:t>findings</w:t>
      </w:r>
      <w:r>
        <w:rPr>
          <w:spacing w:val="-2"/>
        </w:rPr>
        <w:t xml:space="preserve"> </w:t>
      </w:r>
      <w:r>
        <w:t>that</w:t>
      </w:r>
      <w:r>
        <w:rPr>
          <w:spacing w:val="-1"/>
        </w:rPr>
        <w:t xml:space="preserve"> </w:t>
      </w:r>
      <w:r>
        <w:t>consistently</w:t>
      </w:r>
      <w:r>
        <w:rPr>
          <w:spacing w:val="-4"/>
        </w:rPr>
        <w:t xml:space="preserve"> </w:t>
      </w:r>
      <w:r>
        <w:t>demonstrate</w:t>
      </w:r>
      <w:r>
        <w:rPr>
          <w:spacing w:val="-1"/>
        </w:rPr>
        <w:t xml:space="preserve"> </w:t>
      </w:r>
      <w:r>
        <w:t>the</w:t>
      </w:r>
      <w:r>
        <w:rPr>
          <w:spacing w:val="-1"/>
        </w:rPr>
        <w:t xml:space="preserve"> </w:t>
      </w:r>
      <w:r>
        <w:t>efficacy</w:t>
      </w:r>
      <w:r>
        <w:rPr>
          <w:spacing w:val="-4"/>
        </w:rPr>
        <w:t xml:space="preserve"> </w:t>
      </w:r>
      <w:r>
        <w:t>of</w:t>
      </w:r>
      <w:r>
        <w:rPr>
          <w:spacing w:val="-3"/>
        </w:rPr>
        <w:t xml:space="preserve"> </w:t>
      </w:r>
      <w:r>
        <w:t>BI</w:t>
      </w:r>
      <w:r>
        <w:rPr>
          <w:spacing w:val="-1"/>
        </w:rPr>
        <w:t xml:space="preserve"> </w:t>
      </w:r>
      <w:r>
        <w:t>relative</w:t>
      </w:r>
      <w:r>
        <w:rPr>
          <w:spacing w:val="-4"/>
        </w:rPr>
        <w:t xml:space="preserve"> </w:t>
      </w:r>
      <w:r>
        <w:t>to</w:t>
      </w:r>
      <w:r>
        <w:rPr>
          <w:spacing w:val="-1"/>
        </w:rPr>
        <w:t xml:space="preserve"> </w:t>
      </w:r>
      <w:r>
        <w:t>no intervention (DiClemente et al., 2017).</w:t>
      </w:r>
    </w:p>
    <w:p w14:paraId="0F15AF5C" w14:textId="77777777" w:rsidR="00DB6E1F" w:rsidRDefault="00F666A6">
      <w:pPr>
        <w:pStyle w:val="BodyText"/>
        <w:spacing w:before="159"/>
        <w:ind w:left="1438" w:right="1491"/>
      </w:pPr>
      <w:r>
        <w:t>BI is a structured, pers</w:t>
      </w:r>
      <w:r>
        <w:t>on-centered counseling approach that can be delivered by trained health and behavioral</w:t>
      </w:r>
      <w:r>
        <w:rPr>
          <w:spacing w:val="-2"/>
        </w:rPr>
        <w:t xml:space="preserve"> </w:t>
      </w:r>
      <w:r>
        <w:t>health professionals in one to four</w:t>
      </w:r>
      <w:r>
        <w:rPr>
          <w:spacing w:val="-1"/>
        </w:rPr>
        <w:t xml:space="preserve"> </w:t>
      </w:r>
      <w:r>
        <w:t>sessions</w:t>
      </w:r>
      <w:r>
        <w:rPr>
          <w:spacing w:val="-1"/>
        </w:rPr>
        <w:t xml:space="preserve"> </w:t>
      </w:r>
      <w:r>
        <w:t>and typically lasts from 5 to 30 minutes (Mattoo, Prasad, &amp; Gosh, 2018). Even single-session interventions incorporating MET</w:t>
      </w:r>
      <w:r>
        <w:t>/MI modalities have demonstrated effectiveness in reducing substance use</w:t>
      </w:r>
      <w:r>
        <w:rPr>
          <w:spacing w:val="-1"/>
        </w:rPr>
        <w:t xml:space="preserve"> </w:t>
      </w:r>
      <w:r>
        <w:t>behaviors (Samson &amp;</w:t>
      </w:r>
      <w:r>
        <w:rPr>
          <w:spacing w:val="-1"/>
        </w:rPr>
        <w:t xml:space="preserve"> </w:t>
      </w:r>
      <w:r>
        <w:t>Tanner-Smith,</w:t>
      </w:r>
      <w:r>
        <w:rPr>
          <w:spacing w:val="-1"/>
        </w:rPr>
        <w:t xml:space="preserve"> </w:t>
      </w:r>
      <w:r>
        <w:t>2015). BI for individuals</w:t>
      </w:r>
      <w:r>
        <w:rPr>
          <w:spacing w:val="-2"/>
        </w:rPr>
        <w:t xml:space="preserve"> </w:t>
      </w:r>
      <w:r>
        <w:t>who</w:t>
      </w:r>
      <w:r>
        <w:rPr>
          <w:spacing w:val="-3"/>
        </w:rPr>
        <w:t xml:space="preserve"> </w:t>
      </w:r>
      <w:r>
        <w:t>use</w:t>
      </w:r>
      <w:r>
        <w:rPr>
          <w:spacing w:val="-1"/>
        </w:rPr>
        <w:t xml:space="preserve"> </w:t>
      </w:r>
      <w:r>
        <w:t>substances</w:t>
      </w:r>
      <w:r>
        <w:rPr>
          <w:spacing w:val="-2"/>
        </w:rPr>
        <w:t xml:space="preserve"> </w:t>
      </w:r>
      <w:r>
        <w:t>are</w:t>
      </w:r>
      <w:r>
        <w:rPr>
          <w:spacing w:val="-4"/>
        </w:rPr>
        <w:t xml:space="preserve"> </w:t>
      </w:r>
      <w:r>
        <w:t>applied</w:t>
      </w:r>
      <w:r>
        <w:rPr>
          <w:spacing w:val="-5"/>
        </w:rPr>
        <w:t xml:space="preserve"> </w:t>
      </w:r>
      <w:r>
        <w:t>most</w:t>
      </w:r>
      <w:r>
        <w:rPr>
          <w:spacing w:val="-4"/>
        </w:rPr>
        <w:t xml:space="preserve"> </w:t>
      </w:r>
      <w:r>
        <w:t>often</w:t>
      </w:r>
      <w:r>
        <w:rPr>
          <w:spacing w:val="-3"/>
        </w:rPr>
        <w:t xml:space="preserve"> </w:t>
      </w:r>
      <w:r>
        <w:t>outside</w:t>
      </w:r>
      <w:r>
        <w:rPr>
          <w:spacing w:val="-4"/>
        </w:rPr>
        <w:t xml:space="preserve"> </w:t>
      </w:r>
      <w:r>
        <w:t>specialty</w:t>
      </w:r>
      <w:r>
        <w:rPr>
          <w:spacing w:val="-1"/>
        </w:rPr>
        <w:t xml:space="preserve"> </w:t>
      </w:r>
      <w:r>
        <w:t>addiction</w:t>
      </w:r>
      <w:r>
        <w:rPr>
          <w:spacing w:val="-2"/>
        </w:rPr>
        <w:t xml:space="preserve"> </w:t>
      </w:r>
      <w:r>
        <w:t>treatment</w:t>
      </w:r>
      <w:r>
        <w:rPr>
          <w:spacing w:val="-4"/>
        </w:rPr>
        <w:t xml:space="preserve"> </w:t>
      </w:r>
      <w:r>
        <w:t>settings</w:t>
      </w:r>
      <w:r>
        <w:rPr>
          <w:spacing w:val="-2"/>
        </w:rPr>
        <w:t xml:space="preserve"> </w:t>
      </w:r>
      <w:r>
        <w:t xml:space="preserve">(in what are often referred to as </w:t>
      </w:r>
      <w:r>
        <w:rPr>
          <w:b/>
        </w:rPr>
        <w:t xml:space="preserve">opportunistic </w:t>
      </w:r>
      <w:r>
        <w:t>settings), where clients are not seeking help for an SUD but have come, for example, to seek medical attention or treatment for a mental disorder (Mattoo et al., 2018). In</w:t>
      </w:r>
      <w:r>
        <w:rPr>
          <w:spacing w:val="-2"/>
        </w:rPr>
        <w:t xml:space="preserve"> </w:t>
      </w:r>
      <w:r>
        <w:t>these situations,</w:t>
      </w:r>
      <w:r>
        <w:rPr>
          <w:spacing w:val="-1"/>
        </w:rPr>
        <w:t xml:space="preserve"> </w:t>
      </w:r>
      <w:r>
        <w:t>people seeking ser</w:t>
      </w:r>
      <w:r>
        <w:t>vices</w:t>
      </w:r>
      <w:r>
        <w:rPr>
          <w:spacing w:val="-2"/>
        </w:rPr>
        <w:t xml:space="preserve"> </w:t>
      </w:r>
      <w:r>
        <w:t>are routinely screened</w:t>
      </w:r>
      <w:r>
        <w:rPr>
          <w:spacing w:val="-2"/>
        </w:rPr>
        <w:t xml:space="preserve"> </w:t>
      </w:r>
      <w:r>
        <w:t>for</w:t>
      </w:r>
      <w:r>
        <w:rPr>
          <w:spacing w:val="-2"/>
        </w:rPr>
        <w:t xml:space="preserve"> </w:t>
      </w:r>
      <w:r>
        <w:t>substance</w:t>
      </w:r>
      <w:r>
        <w:rPr>
          <w:spacing w:val="-1"/>
        </w:rPr>
        <w:t xml:space="preserve"> </w:t>
      </w:r>
      <w:r>
        <w:t>misuse or</w:t>
      </w:r>
      <w:r>
        <w:rPr>
          <w:spacing w:val="-2"/>
        </w:rPr>
        <w:t xml:space="preserve"> </w:t>
      </w:r>
      <w:r>
        <w:t>asked about their substance use patterns. Those found to be misusing substances or who have related problems receive a specific BI.</w:t>
      </w:r>
    </w:p>
    <w:p w14:paraId="4DF51CC9" w14:textId="77777777" w:rsidR="00DB6E1F" w:rsidRDefault="00DB6E1F">
      <w:pPr>
        <w:pStyle w:val="BodyText"/>
        <w:spacing w:before="3" w:after="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9E3FBA7" w14:textId="77777777">
        <w:trPr>
          <w:trHeight w:val="503"/>
        </w:trPr>
        <w:tc>
          <w:tcPr>
            <w:tcW w:w="9350" w:type="dxa"/>
            <w:shd w:val="clear" w:color="auto" w:fill="050505"/>
          </w:tcPr>
          <w:p w14:paraId="4F5E25FB" w14:textId="77777777" w:rsidR="00DB6E1F" w:rsidRDefault="00F666A6">
            <w:pPr>
              <w:pStyle w:val="TableParagraph"/>
              <w:spacing w:before="102"/>
              <w:ind w:left="111"/>
              <w:jc w:val="center"/>
              <w:rPr>
                <w:sz w:val="24"/>
              </w:rPr>
            </w:pPr>
            <w:r>
              <w:rPr>
                <w:color w:val="FFFFFF"/>
                <w:sz w:val="24"/>
              </w:rPr>
              <w:t>Expert</w:t>
            </w:r>
            <w:r>
              <w:rPr>
                <w:color w:val="FFFFFF"/>
                <w:spacing w:val="-3"/>
                <w:sz w:val="24"/>
              </w:rPr>
              <w:t xml:space="preserve"> </w:t>
            </w:r>
            <w:r>
              <w:rPr>
                <w:color w:val="FFFFFF"/>
                <w:sz w:val="24"/>
              </w:rPr>
              <w:t>Comment:</w:t>
            </w:r>
            <w:r>
              <w:rPr>
                <w:color w:val="FFFFFF"/>
                <w:spacing w:val="-3"/>
                <w:sz w:val="24"/>
              </w:rPr>
              <w:t xml:space="preserve"> </w:t>
            </w:r>
            <w:r>
              <w:rPr>
                <w:color w:val="FFFFFF"/>
                <w:sz w:val="24"/>
              </w:rPr>
              <w:t>BI</w:t>
            </w:r>
            <w:r>
              <w:rPr>
                <w:color w:val="FFFFFF"/>
                <w:spacing w:val="-1"/>
                <w:sz w:val="24"/>
              </w:rPr>
              <w:t xml:space="preserve"> </w:t>
            </w:r>
            <w:r>
              <w:rPr>
                <w:color w:val="FFFFFF"/>
                <w:sz w:val="24"/>
              </w:rPr>
              <w:t>in</w:t>
            </w:r>
            <w:r>
              <w:rPr>
                <w:color w:val="FFFFFF"/>
                <w:spacing w:val="-2"/>
                <w:sz w:val="24"/>
              </w:rPr>
              <w:t xml:space="preserve"> </w:t>
            </w:r>
            <w:r>
              <w:rPr>
                <w:color w:val="FFFFFF"/>
                <w:sz w:val="24"/>
              </w:rPr>
              <w:t>the Emergency</w:t>
            </w:r>
            <w:r>
              <w:rPr>
                <w:color w:val="FFFFFF"/>
                <w:spacing w:val="-1"/>
                <w:sz w:val="24"/>
              </w:rPr>
              <w:t xml:space="preserve"> </w:t>
            </w:r>
            <w:r>
              <w:rPr>
                <w:color w:val="FFFFFF"/>
                <w:spacing w:val="-2"/>
                <w:sz w:val="24"/>
              </w:rPr>
              <w:t>Department</w:t>
            </w:r>
          </w:p>
        </w:tc>
      </w:tr>
      <w:tr w:rsidR="00DB6E1F" w14:paraId="59F188D7" w14:textId="77777777">
        <w:trPr>
          <w:trHeight w:val="3904"/>
        </w:trPr>
        <w:tc>
          <w:tcPr>
            <w:tcW w:w="9350" w:type="dxa"/>
          </w:tcPr>
          <w:p w14:paraId="6A3A1DF7" w14:textId="77777777" w:rsidR="00DB6E1F" w:rsidRDefault="00F666A6">
            <w:pPr>
              <w:pStyle w:val="TableParagraph"/>
              <w:ind w:right="169"/>
              <w:rPr>
                <w:sz w:val="20"/>
              </w:rPr>
            </w:pPr>
            <w:r>
              <w:rPr>
                <w:sz w:val="20"/>
              </w:rPr>
              <w:t>When I apply an MI style in my practice of emergency medicine, I experience considerable professional satisfaction. Honestly, it’s a struggle to let go of the need to be the expert in charge. It helps to recognize that the</w:t>
            </w:r>
            <w:r>
              <w:rPr>
                <w:spacing w:val="-4"/>
                <w:sz w:val="20"/>
              </w:rPr>
              <w:t xml:space="preserve"> </w:t>
            </w:r>
            <w:r>
              <w:rPr>
                <w:sz w:val="20"/>
              </w:rPr>
              <w:t>person</w:t>
            </w:r>
            <w:r>
              <w:rPr>
                <w:spacing w:val="-2"/>
                <w:sz w:val="20"/>
              </w:rPr>
              <w:t xml:space="preserve"> </w:t>
            </w:r>
            <w:r>
              <w:rPr>
                <w:sz w:val="20"/>
              </w:rPr>
              <w:t>I’m</w:t>
            </w:r>
            <w:r>
              <w:rPr>
                <w:spacing w:val="-4"/>
                <w:sz w:val="20"/>
              </w:rPr>
              <w:t xml:space="preserve"> </w:t>
            </w:r>
            <w:r>
              <w:rPr>
                <w:sz w:val="20"/>
              </w:rPr>
              <w:t>talking</w:t>
            </w:r>
            <w:r>
              <w:rPr>
                <w:spacing w:val="-3"/>
                <w:sz w:val="20"/>
              </w:rPr>
              <w:t xml:space="preserve"> </w:t>
            </w:r>
            <w:r>
              <w:rPr>
                <w:sz w:val="20"/>
              </w:rPr>
              <w:t>with</w:t>
            </w:r>
            <w:r>
              <w:rPr>
                <w:spacing w:val="-2"/>
                <w:sz w:val="20"/>
              </w:rPr>
              <w:t xml:space="preserve"> </w:t>
            </w:r>
            <w:r>
              <w:rPr>
                <w:sz w:val="20"/>
              </w:rPr>
              <w:t>in these</w:t>
            </w:r>
            <w:r>
              <w:rPr>
                <w:spacing w:val="-1"/>
                <w:sz w:val="20"/>
              </w:rPr>
              <w:t xml:space="preserve"> </w:t>
            </w:r>
            <w:r>
              <w:rPr>
                <w:sz w:val="20"/>
              </w:rPr>
              <w:t>medical</w:t>
            </w:r>
            <w:r>
              <w:rPr>
                <w:spacing w:val="-1"/>
                <w:sz w:val="20"/>
              </w:rPr>
              <w:t xml:space="preserve"> </w:t>
            </w:r>
            <w:r>
              <w:rPr>
                <w:sz w:val="20"/>
              </w:rPr>
              <w:t>encounters</w:t>
            </w:r>
            <w:r>
              <w:rPr>
                <w:spacing w:val="-4"/>
                <w:sz w:val="20"/>
              </w:rPr>
              <w:t xml:space="preserve"> </w:t>
            </w:r>
            <w:r>
              <w:rPr>
                <w:sz w:val="20"/>
              </w:rPr>
              <w:t>is</w:t>
            </w:r>
            <w:r>
              <w:rPr>
                <w:spacing w:val="-4"/>
                <w:sz w:val="20"/>
              </w:rPr>
              <w:t xml:space="preserve"> </w:t>
            </w:r>
            <w:r>
              <w:rPr>
                <w:sz w:val="20"/>
              </w:rPr>
              <w:t>also</w:t>
            </w:r>
            <w:r>
              <w:rPr>
                <w:spacing w:val="-3"/>
                <w:sz w:val="20"/>
              </w:rPr>
              <w:t xml:space="preserve"> </w:t>
            </w:r>
            <w:r>
              <w:rPr>
                <w:sz w:val="20"/>
              </w:rPr>
              <w:t>an</w:t>
            </w:r>
            <w:r>
              <w:rPr>
                <w:spacing w:val="-2"/>
                <w:sz w:val="20"/>
              </w:rPr>
              <w:t xml:space="preserve"> </w:t>
            </w:r>
            <w:r>
              <w:rPr>
                <w:sz w:val="20"/>
              </w:rPr>
              <w:t>expert—an</w:t>
            </w:r>
            <w:r>
              <w:rPr>
                <w:spacing w:val="-2"/>
                <w:sz w:val="20"/>
              </w:rPr>
              <w:t xml:space="preserve"> </w:t>
            </w:r>
            <w:r>
              <w:rPr>
                <w:sz w:val="20"/>
              </w:rPr>
              <w:t>expert</w:t>
            </w:r>
            <w:r>
              <w:rPr>
                <w:spacing w:val="-3"/>
                <w:sz w:val="20"/>
              </w:rPr>
              <w:t xml:space="preserve"> </w:t>
            </w:r>
            <w:r>
              <w:rPr>
                <w:sz w:val="20"/>
              </w:rPr>
              <w:t>in</w:t>
            </w:r>
            <w:r>
              <w:rPr>
                <w:spacing w:val="-2"/>
                <w:sz w:val="20"/>
              </w:rPr>
              <w:t xml:space="preserve"> </w:t>
            </w:r>
            <w:r>
              <w:rPr>
                <w:sz w:val="20"/>
              </w:rPr>
              <w:t>her</w:t>
            </w:r>
            <w:r>
              <w:rPr>
                <w:spacing w:val="-3"/>
                <w:sz w:val="20"/>
              </w:rPr>
              <w:t xml:space="preserve"> </w:t>
            </w:r>
            <w:r>
              <w:rPr>
                <w:sz w:val="20"/>
              </w:rPr>
              <w:t>own</w:t>
            </w:r>
            <w:r>
              <w:rPr>
                <w:spacing w:val="-2"/>
                <w:sz w:val="20"/>
              </w:rPr>
              <w:t xml:space="preserve"> </w:t>
            </w:r>
            <w:r>
              <w:rPr>
                <w:sz w:val="20"/>
              </w:rPr>
              <w:t>lifestyle,</w:t>
            </w:r>
            <w:r>
              <w:rPr>
                <w:spacing w:val="-2"/>
                <w:sz w:val="20"/>
              </w:rPr>
              <w:t xml:space="preserve"> </w:t>
            </w:r>
            <w:r>
              <w:rPr>
                <w:sz w:val="20"/>
              </w:rPr>
              <w:t>needs, and choices.</w:t>
            </w:r>
          </w:p>
          <w:p w14:paraId="529C86F0" w14:textId="77777777" w:rsidR="00DB6E1F" w:rsidRDefault="00F666A6">
            <w:pPr>
              <w:pStyle w:val="TableParagraph"/>
              <w:spacing w:before="120"/>
              <w:ind w:right="117"/>
              <w:rPr>
                <w:sz w:val="20"/>
              </w:rPr>
            </w:pPr>
            <w:r>
              <w:rPr>
                <w:sz w:val="20"/>
              </w:rPr>
              <w:t>After</w:t>
            </w:r>
            <w:r>
              <w:rPr>
                <w:spacing w:val="-2"/>
                <w:sz w:val="20"/>
              </w:rPr>
              <w:t xml:space="preserve"> </w:t>
            </w:r>
            <w:r>
              <w:rPr>
                <w:sz w:val="20"/>
              </w:rPr>
              <w:t>learning</w:t>
            </w:r>
            <w:r>
              <w:rPr>
                <w:spacing w:val="-2"/>
                <w:sz w:val="20"/>
              </w:rPr>
              <w:t xml:space="preserve"> </w:t>
            </w:r>
            <w:r>
              <w:rPr>
                <w:sz w:val="20"/>
              </w:rPr>
              <w:t>about</w:t>
            </w:r>
            <w:r>
              <w:rPr>
                <w:spacing w:val="-2"/>
                <w:sz w:val="20"/>
              </w:rPr>
              <w:t xml:space="preserve"> </w:t>
            </w:r>
            <w:r>
              <w:rPr>
                <w:sz w:val="20"/>
              </w:rPr>
              <w:t>the</w:t>
            </w:r>
            <w:r>
              <w:rPr>
                <w:spacing w:val="-3"/>
                <w:sz w:val="20"/>
              </w:rPr>
              <w:t xml:space="preserve"> </w:t>
            </w:r>
            <w:r>
              <w:rPr>
                <w:sz w:val="20"/>
              </w:rPr>
              <w:t>FRAMES</w:t>
            </w:r>
            <w:r>
              <w:rPr>
                <w:spacing w:val="-2"/>
                <w:sz w:val="20"/>
              </w:rPr>
              <w:t xml:space="preserve"> </w:t>
            </w:r>
            <w:r>
              <w:rPr>
                <w:sz w:val="20"/>
              </w:rPr>
              <w:t>principles</w:t>
            </w:r>
            <w:r>
              <w:rPr>
                <w:spacing w:val="-3"/>
                <w:sz w:val="20"/>
              </w:rPr>
              <w:t xml:space="preserve"> </w:t>
            </w:r>
            <w:r>
              <w:rPr>
                <w:sz w:val="20"/>
              </w:rPr>
              <w:t>in</w:t>
            </w:r>
            <w:r>
              <w:rPr>
                <w:spacing w:val="-1"/>
                <w:sz w:val="20"/>
              </w:rPr>
              <w:t xml:space="preserve"> </w:t>
            </w:r>
            <w:r>
              <w:rPr>
                <w:sz w:val="20"/>
              </w:rPr>
              <w:t>1987,</w:t>
            </w:r>
            <w:r>
              <w:rPr>
                <w:spacing w:val="-1"/>
                <w:sz w:val="20"/>
              </w:rPr>
              <w:t xml:space="preserve"> </w:t>
            </w:r>
            <w:r>
              <w:rPr>
                <w:sz w:val="20"/>
              </w:rPr>
              <w:t>I</w:t>
            </w:r>
            <w:r>
              <w:rPr>
                <w:spacing w:val="-2"/>
                <w:sz w:val="20"/>
              </w:rPr>
              <w:t xml:space="preserve"> </w:t>
            </w:r>
            <w:r>
              <w:rPr>
                <w:sz w:val="20"/>
              </w:rPr>
              <w:t>tried them</w:t>
            </w:r>
            <w:r>
              <w:rPr>
                <w:spacing w:val="-3"/>
                <w:sz w:val="20"/>
              </w:rPr>
              <w:t xml:space="preserve"> </w:t>
            </w:r>
            <w:r>
              <w:rPr>
                <w:sz w:val="20"/>
              </w:rPr>
              <w:t>once</w:t>
            </w:r>
            <w:r>
              <w:rPr>
                <w:spacing w:val="-3"/>
                <w:sz w:val="20"/>
              </w:rPr>
              <w:t xml:space="preserve"> </w:t>
            </w:r>
            <w:r>
              <w:rPr>
                <w:sz w:val="20"/>
              </w:rPr>
              <w:t>or</w:t>
            </w:r>
            <w:r>
              <w:rPr>
                <w:spacing w:val="-2"/>
                <w:sz w:val="20"/>
              </w:rPr>
              <w:t xml:space="preserve"> </w:t>
            </w:r>
            <w:r>
              <w:rPr>
                <w:sz w:val="20"/>
              </w:rPr>
              <w:t>twice,</w:t>
            </w:r>
            <w:r>
              <w:rPr>
                <w:spacing w:val="-1"/>
                <w:sz w:val="20"/>
              </w:rPr>
              <w:t xml:space="preserve"> </w:t>
            </w:r>
            <w:r>
              <w:rPr>
                <w:sz w:val="20"/>
              </w:rPr>
              <w:t>and</w:t>
            </w:r>
            <w:r>
              <w:rPr>
                <w:spacing w:val="-1"/>
                <w:sz w:val="20"/>
              </w:rPr>
              <w:t xml:space="preserve"> </w:t>
            </w:r>
            <w:r>
              <w:rPr>
                <w:sz w:val="20"/>
              </w:rPr>
              <w:t>they</w:t>
            </w:r>
            <w:r>
              <w:rPr>
                <w:spacing w:val="-1"/>
                <w:sz w:val="20"/>
              </w:rPr>
              <w:t xml:space="preserve"> </w:t>
            </w:r>
            <w:r>
              <w:rPr>
                <w:sz w:val="20"/>
              </w:rPr>
              <w:t>worked,</w:t>
            </w:r>
            <w:r>
              <w:rPr>
                <w:spacing w:val="-1"/>
                <w:sz w:val="20"/>
              </w:rPr>
              <w:t xml:space="preserve"> </w:t>
            </w:r>
            <w:r>
              <w:rPr>
                <w:sz w:val="20"/>
              </w:rPr>
              <w:t>so</w:t>
            </w:r>
            <w:r>
              <w:rPr>
                <w:spacing w:val="-2"/>
                <w:sz w:val="20"/>
              </w:rPr>
              <w:t xml:space="preserve"> </w:t>
            </w:r>
            <w:r>
              <w:rPr>
                <w:sz w:val="20"/>
              </w:rPr>
              <w:t>I</w:t>
            </w:r>
            <w:r>
              <w:rPr>
                <w:spacing w:val="-2"/>
                <w:sz w:val="20"/>
              </w:rPr>
              <w:t xml:space="preserve"> </w:t>
            </w:r>
            <w:r>
              <w:rPr>
                <w:sz w:val="20"/>
              </w:rPr>
              <w:t>tried</w:t>
            </w:r>
            <w:r>
              <w:rPr>
                <w:spacing w:val="-1"/>
                <w:sz w:val="20"/>
              </w:rPr>
              <w:t xml:space="preserve"> </w:t>
            </w:r>
            <w:r>
              <w:rPr>
                <w:sz w:val="20"/>
              </w:rPr>
              <w:t>them again and again. This is not to say that I do</w:t>
            </w:r>
            <w:r>
              <w:rPr>
                <w:sz w:val="20"/>
              </w:rPr>
              <w:t>n’t fall back to old ways and sometimes ask someone, “Do you want to</w:t>
            </w:r>
            <w:r>
              <w:rPr>
                <w:spacing w:val="-2"/>
                <w:sz w:val="20"/>
              </w:rPr>
              <w:t xml:space="preserve"> </w:t>
            </w:r>
            <w:r>
              <w:rPr>
                <w:sz w:val="20"/>
              </w:rPr>
              <w:t>go</w:t>
            </w:r>
            <w:r>
              <w:rPr>
                <w:spacing w:val="-2"/>
                <w:sz w:val="20"/>
              </w:rPr>
              <w:t xml:space="preserve"> </w:t>
            </w:r>
            <w:r>
              <w:rPr>
                <w:sz w:val="20"/>
              </w:rPr>
              <w:t>to</w:t>
            </w:r>
            <w:r>
              <w:rPr>
                <w:spacing w:val="-2"/>
                <w:sz w:val="20"/>
              </w:rPr>
              <w:t xml:space="preserve"> </w:t>
            </w:r>
            <w:r>
              <w:rPr>
                <w:sz w:val="20"/>
              </w:rPr>
              <w:t>detox?”</w:t>
            </w:r>
            <w:r>
              <w:rPr>
                <w:spacing w:val="-1"/>
                <w:sz w:val="20"/>
              </w:rPr>
              <w:t xml:space="preserve"> </w:t>
            </w:r>
            <w:r>
              <w:rPr>
                <w:sz w:val="20"/>
              </w:rPr>
              <w:t>But</w:t>
            </w:r>
            <w:r>
              <w:rPr>
                <w:spacing w:val="-2"/>
                <w:sz w:val="20"/>
              </w:rPr>
              <w:t xml:space="preserve"> </w:t>
            </w:r>
            <w:r>
              <w:rPr>
                <w:sz w:val="20"/>
              </w:rPr>
              <w:t>more</w:t>
            </w:r>
            <w:r>
              <w:rPr>
                <w:spacing w:val="-3"/>
                <w:sz w:val="20"/>
              </w:rPr>
              <w:t xml:space="preserve"> </w:t>
            </w:r>
            <w:r>
              <w:rPr>
                <w:sz w:val="20"/>
              </w:rPr>
              <w:t>often</w:t>
            </w:r>
            <w:r>
              <w:rPr>
                <w:spacing w:val="-1"/>
                <w:sz w:val="20"/>
              </w:rPr>
              <w:t xml:space="preserve"> </w:t>
            </w:r>
            <w:r>
              <w:rPr>
                <w:sz w:val="20"/>
              </w:rPr>
              <w:t>than</w:t>
            </w:r>
            <w:r>
              <w:rPr>
                <w:spacing w:val="-1"/>
                <w:sz w:val="20"/>
              </w:rPr>
              <w:t xml:space="preserve"> </w:t>
            </w:r>
            <w:r>
              <w:rPr>
                <w:sz w:val="20"/>
              </w:rPr>
              <w:t>not,</w:t>
            </w:r>
            <w:r>
              <w:rPr>
                <w:spacing w:val="-1"/>
                <w:sz w:val="20"/>
              </w:rPr>
              <w:t xml:space="preserve"> </w:t>
            </w:r>
            <w:r>
              <w:rPr>
                <w:sz w:val="20"/>
              </w:rPr>
              <w:t>I</w:t>
            </w:r>
            <w:r>
              <w:rPr>
                <w:spacing w:val="-4"/>
                <w:sz w:val="20"/>
              </w:rPr>
              <w:t xml:space="preserve"> </w:t>
            </w:r>
            <w:r>
              <w:rPr>
                <w:sz w:val="20"/>
              </w:rPr>
              <w:t>try</w:t>
            </w:r>
            <w:r>
              <w:rPr>
                <w:spacing w:val="-1"/>
                <w:sz w:val="20"/>
              </w:rPr>
              <w:t xml:space="preserve"> </w:t>
            </w:r>
            <w:r>
              <w:rPr>
                <w:sz w:val="20"/>
              </w:rPr>
              <w:t>to</w:t>
            </w:r>
            <w:r>
              <w:rPr>
                <w:spacing w:val="-2"/>
                <w:sz w:val="20"/>
              </w:rPr>
              <w:t xml:space="preserve"> </w:t>
            </w:r>
            <w:r>
              <w:rPr>
                <w:sz w:val="20"/>
              </w:rPr>
              <w:t>ask</w:t>
            </w:r>
            <w:r>
              <w:rPr>
                <w:spacing w:val="-1"/>
                <w:sz w:val="20"/>
              </w:rPr>
              <w:t xml:space="preserve"> </w:t>
            </w:r>
            <w:r>
              <w:rPr>
                <w:sz w:val="20"/>
              </w:rPr>
              <w:t>permission</w:t>
            </w:r>
            <w:r>
              <w:rPr>
                <w:spacing w:val="-1"/>
                <w:sz w:val="20"/>
              </w:rPr>
              <w:t xml:space="preserve"> </w:t>
            </w:r>
            <w:r>
              <w:rPr>
                <w:sz w:val="20"/>
              </w:rPr>
              <w:t>to</w:t>
            </w:r>
            <w:r>
              <w:rPr>
                <w:spacing w:val="-2"/>
                <w:sz w:val="20"/>
              </w:rPr>
              <w:t xml:space="preserve"> </w:t>
            </w:r>
            <w:r>
              <w:rPr>
                <w:sz w:val="20"/>
              </w:rPr>
              <w:t>discuss</w:t>
            </w:r>
            <w:r>
              <w:rPr>
                <w:spacing w:val="-1"/>
                <w:sz w:val="20"/>
              </w:rPr>
              <w:t xml:space="preserve"> </w:t>
            </w:r>
            <w:r>
              <w:rPr>
                <w:sz w:val="20"/>
              </w:rPr>
              <w:t>each</w:t>
            </w:r>
            <w:r>
              <w:rPr>
                <w:spacing w:val="-1"/>
                <w:sz w:val="20"/>
              </w:rPr>
              <w:t xml:space="preserve"> </w:t>
            </w:r>
            <w:r>
              <w:rPr>
                <w:sz w:val="20"/>
              </w:rPr>
              <w:t>individual’s</w:t>
            </w:r>
            <w:r>
              <w:rPr>
                <w:spacing w:val="-3"/>
                <w:sz w:val="20"/>
              </w:rPr>
              <w:t xml:space="preserve"> </w:t>
            </w:r>
            <w:r>
              <w:rPr>
                <w:sz w:val="20"/>
              </w:rPr>
              <w:t>substance</w:t>
            </w:r>
            <w:r>
              <w:rPr>
                <w:spacing w:val="-3"/>
                <w:sz w:val="20"/>
              </w:rPr>
              <w:t xml:space="preserve"> </w:t>
            </w:r>
            <w:r>
              <w:rPr>
                <w:sz w:val="20"/>
              </w:rPr>
              <w:t>use.</w:t>
            </w:r>
            <w:r>
              <w:rPr>
                <w:spacing w:val="-2"/>
                <w:sz w:val="20"/>
              </w:rPr>
              <w:t xml:space="preserve"> </w:t>
            </w:r>
            <w:r>
              <w:rPr>
                <w:sz w:val="20"/>
              </w:rPr>
              <w:t>I</w:t>
            </w:r>
            <w:r>
              <w:rPr>
                <w:spacing w:val="-2"/>
                <w:sz w:val="20"/>
              </w:rPr>
              <w:t xml:space="preserve"> </w:t>
            </w:r>
            <w:r>
              <w:rPr>
                <w:sz w:val="20"/>
              </w:rPr>
              <w:t>ask clients to help me understand what they enjoy about using substances and then what they enjoy less about it. Clients</w:t>
            </w:r>
            <w:r>
              <w:rPr>
                <w:spacing w:val="-1"/>
                <w:sz w:val="20"/>
              </w:rPr>
              <w:t xml:space="preserve"> </w:t>
            </w:r>
            <w:r>
              <w:rPr>
                <w:sz w:val="20"/>
              </w:rPr>
              <w:t>often tell me</w:t>
            </w:r>
            <w:r>
              <w:rPr>
                <w:spacing w:val="-1"/>
                <w:sz w:val="20"/>
              </w:rPr>
              <w:t xml:space="preserve"> </w:t>
            </w:r>
            <w:r>
              <w:rPr>
                <w:sz w:val="20"/>
              </w:rPr>
              <w:t>they like to get high because</w:t>
            </w:r>
            <w:r>
              <w:rPr>
                <w:spacing w:val="-1"/>
                <w:sz w:val="20"/>
              </w:rPr>
              <w:t xml:space="preserve"> </w:t>
            </w:r>
            <w:r>
              <w:rPr>
                <w:sz w:val="20"/>
              </w:rPr>
              <w:t>it helps</w:t>
            </w:r>
            <w:r>
              <w:rPr>
                <w:spacing w:val="-1"/>
                <w:sz w:val="20"/>
              </w:rPr>
              <w:t xml:space="preserve"> </w:t>
            </w:r>
            <w:r>
              <w:rPr>
                <w:sz w:val="20"/>
              </w:rPr>
              <w:t>them</w:t>
            </w:r>
            <w:r>
              <w:rPr>
                <w:spacing w:val="-1"/>
                <w:sz w:val="20"/>
              </w:rPr>
              <w:t xml:space="preserve"> </w:t>
            </w:r>
            <w:r>
              <w:rPr>
                <w:sz w:val="20"/>
              </w:rPr>
              <w:t>relax and forget their problems</w:t>
            </w:r>
            <w:r>
              <w:rPr>
                <w:spacing w:val="-1"/>
                <w:sz w:val="20"/>
              </w:rPr>
              <w:t xml:space="preserve"> </w:t>
            </w:r>
            <w:r>
              <w:rPr>
                <w:sz w:val="20"/>
              </w:rPr>
              <w:t>and it’s</w:t>
            </w:r>
            <w:r>
              <w:rPr>
                <w:spacing w:val="-1"/>
                <w:sz w:val="20"/>
              </w:rPr>
              <w:t xml:space="preserve"> </w:t>
            </w:r>
            <w:r>
              <w:rPr>
                <w:sz w:val="20"/>
              </w:rPr>
              <w:t>a part of their</w:t>
            </w:r>
            <w:r>
              <w:rPr>
                <w:spacing w:val="-1"/>
                <w:sz w:val="20"/>
              </w:rPr>
              <w:t xml:space="preserve"> </w:t>
            </w:r>
            <w:r>
              <w:rPr>
                <w:sz w:val="20"/>
              </w:rPr>
              <w:t>social</w:t>
            </w:r>
            <w:r>
              <w:rPr>
                <w:spacing w:val="-1"/>
                <w:sz w:val="20"/>
              </w:rPr>
              <w:t xml:space="preserve"> </w:t>
            </w:r>
            <w:r>
              <w:rPr>
                <w:sz w:val="20"/>
              </w:rPr>
              <w:t>life.</w:t>
            </w:r>
            <w:r>
              <w:rPr>
                <w:spacing w:val="-1"/>
                <w:sz w:val="20"/>
              </w:rPr>
              <w:t xml:space="preserve"> </w:t>
            </w:r>
            <w:r>
              <w:rPr>
                <w:sz w:val="20"/>
              </w:rPr>
              <w:t>But</w:t>
            </w:r>
            <w:r>
              <w:rPr>
                <w:spacing w:val="-1"/>
                <w:sz w:val="20"/>
              </w:rPr>
              <w:t xml:space="preserve"> </w:t>
            </w:r>
            <w:r>
              <w:rPr>
                <w:sz w:val="20"/>
              </w:rPr>
              <w:t>the</w:t>
            </w:r>
            <w:r>
              <w:rPr>
                <w:sz w:val="20"/>
              </w:rPr>
              <w:t>y say they don’t</w:t>
            </w:r>
            <w:r>
              <w:rPr>
                <w:spacing w:val="-1"/>
                <w:sz w:val="20"/>
              </w:rPr>
              <w:t xml:space="preserve"> </w:t>
            </w:r>
            <w:r>
              <w:rPr>
                <w:sz w:val="20"/>
              </w:rPr>
              <w:t>like</w:t>
            </w:r>
            <w:r>
              <w:rPr>
                <w:spacing w:val="-2"/>
                <w:sz w:val="20"/>
              </w:rPr>
              <w:t xml:space="preserve"> </w:t>
            </w:r>
            <w:r>
              <w:rPr>
                <w:sz w:val="20"/>
              </w:rPr>
              <w:t>getting</w:t>
            </w:r>
            <w:r>
              <w:rPr>
                <w:spacing w:val="-1"/>
                <w:sz w:val="20"/>
              </w:rPr>
              <w:t xml:space="preserve"> </w:t>
            </w:r>
            <w:r>
              <w:rPr>
                <w:sz w:val="20"/>
              </w:rPr>
              <w:t>sick from</w:t>
            </w:r>
            <w:r>
              <w:rPr>
                <w:spacing w:val="-2"/>
                <w:sz w:val="20"/>
              </w:rPr>
              <w:t xml:space="preserve"> </w:t>
            </w:r>
            <w:r>
              <w:rPr>
                <w:sz w:val="20"/>
              </w:rPr>
              <w:t>drugs.</w:t>
            </w:r>
            <w:r>
              <w:rPr>
                <w:spacing w:val="-1"/>
                <w:sz w:val="20"/>
              </w:rPr>
              <w:t xml:space="preserve"> </w:t>
            </w:r>
            <w:r>
              <w:rPr>
                <w:sz w:val="20"/>
              </w:rPr>
              <w:t>They don’t</w:t>
            </w:r>
            <w:r>
              <w:rPr>
                <w:spacing w:val="-1"/>
                <w:sz w:val="20"/>
              </w:rPr>
              <w:t xml:space="preserve"> </w:t>
            </w:r>
            <w:r>
              <w:rPr>
                <w:sz w:val="20"/>
              </w:rPr>
              <w:t>like</w:t>
            </w:r>
            <w:r>
              <w:rPr>
                <w:spacing w:val="-2"/>
                <w:sz w:val="20"/>
              </w:rPr>
              <w:t xml:space="preserve"> </w:t>
            </w:r>
            <w:r>
              <w:rPr>
                <w:sz w:val="20"/>
              </w:rPr>
              <w:t>their</w:t>
            </w:r>
            <w:r>
              <w:rPr>
                <w:spacing w:val="-1"/>
                <w:sz w:val="20"/>
              </w:rPr>
              <w:t xml:space="preserve"> </w:t>
            </w:r>
            <w:r>
              <w:rPr>
                <w:sz w:val="20"/>
              </w:rPr>
              <w:t>family avoiding</w:t>
            </w:r>
            <w:r>
              <w:rPr>
                <w:spacing w:val="-1"/>
                <w:sz w:val="20"/>
              </w:rPr>
              <w:t xml:space="preserve"> </w:t>
            </w:r>
            <w:r>
              <w:rPr>
                <w:sz w:val="20"/>
              </w:rPr>
              <w:t>them</w:t>
            </w:r>
            <w:r>
              <w:rPr>
                <w:spacing w:val="-2"/>
                <w:sz w:val="20"/>
              </w:rPr>
              <w:t xml:space="preserve"> </w:t>
            </w:r>
            <w:r>
              <w:rPr>
                <w:sz w:val="20"/>
              </w:rPr>
              <w:t>or having car crashes. I listen attentively and reflect back what I understood each person to have said, summarize, and ask, “Where</w:t>
            </w:r>
            <w:r>
              <w:rPr>
                <w:spacing w:val="-1"/>
                <w:sz w:val="20"/>
              </w:rPr>
              <w:t xml:space="preserve"> </w:t>
            </w:r>
            <w:r>
              <w:rPr>
                <w:sz w:val="20"/>
              </w:rPr>
              <w:t>does</w:t>
            </w:r>
            <w:r>
              <w:rPr>
                <w:spacing w:val="-1"/>
                <w:sz w:val="20"/>
              </w:rPr>
              <w:t xml:space="preserve"> </w:t>
            </w:r>
            <w:r>
              <w:rPr>
                <w:sz w:val="20"/>
              </w:rPr>
              <w:t>this</w:t>
            </w:r>
            <w:r>
              <w:rPr>
                <w:spacing w:val="-1"/>
                <w:sz w:val="20"/>
              </w:rPr>
              <w:t xml:space="preserve"> </w:t>
            </w:r>
            <w:r>
              <w:rPr>
                <w:sz w:val="20"/>
              </w:rPr>
              <w:t>leave</w:t>
            </w:r>
            <w:r>
              <w:rPr>
                <w:spacing w:val="-1"/>
                <w:sz w:val="20"/>
              </w:rPr>
              <w:t xml:space="preserve"> </w:t>
            </w:r>
            <w:r>
              <w:rPr>
                <w:sz w:val="20"/>
              </w:rPr>
              <w:t>you?” I also inqui</w:t>
            </w:r>
            <w:r>
              <w:rPr>
                <w:sz w:val="20"/>
              </w:rPr>
              <w:t>re</w:t>
            </w:r>
            <w:r>
              <w:rPr>
                <w:spacing w:val="-1"/>
                <w:sz w:val="20"/>
              </w:rPr>
              <w:t xml:space="preserve"> </w:t>
            </w:r>
            <w:r>
              <w:rPr>
                <w:sz w:val="20"/>
              </w:rPr>
              <w:t>about how</w:t>
            </w:r>
            <w:r>
              <w:rPr>
                <w:spacing w:val="-1"/>
                <w:sz w:val="20"/>
              </w:rPr>
              <w:t xml:space="preserve"> </w:t>
            </w:r>
            <w:r>
              <w:rPr>
                <w:sz w:val="20"/>
              </w:rPr>
              <w:t>ready they are</w:t>
            </w:r>
            <w:r>
              <w:rPr>
                <w:spacing w:val="-1"/>
                <w:sz w:val="20"/>
              </w:rPr>
              <w:t xml:space="preserve"> </w:t>
            </w:r>
            <w:r>
              <w:rPr>
                <w:sz w:val="20"/>
              </w:rPr>
              <w:t>to change</w:t>
            </w:r>
            <w:r>
              <w:rPr>
                <w:spacing w:val="-1"/>
                <w:sz w:val="20"/>
              </w:rPr>
              <w:t xml:space="preserve"> </w:t>
            </w:r>
            <w:r>
              <w:rPr>
                <w:sz w:val="20"/>
              </w:rPr>
              <w:t>their substance</w:t>
            </w:r>
            <w:r>
              <w:rPr>
                <w:spacing w:val="-1"/>
                <w:sz w:val="20"/>
              </w:rPr>
              <w:t xml:space="preserve"> </w:t>
            </w:r>
            <w:r>
              <w:rPr>
                <w:sz w:val="20"/>
              </w:rPr>
              <w:t>use</w:t>
            </w:r>
            <w:r>
              <w:rPr>
                <w:spacing w:val="-1"/>
                <w:sz w:val="20"/>
              </w:rPr>
              <w:t xml:space="preserve"> </w:t>
            </w:r>
            <w:r>
              <w:rPr>
                <w:sz w:val="20"/>
              </w:rPr>
              <w:t>on a</w:t>
            </w:r>
            <w:r>
              <w:rPr>
                <w:spacing w:val="-2"/>
                <w:sz w:val="20"/>
              </w:rPr>
              <w:t xml:space="preserve"> </w:t>
            </w:r>
            <w:r>
              <w:rPr>
                <w:sz w:val="20"/>
              </w:rPr>
              <w:t>scale</w:t>
            </w:r>
            <w:r>
              <w:rPr>
                <w:spacing w:val="-3"/>
                <w:sz w:val="20"/>
              </w:rPr>
              <w:t xml:space="preserve"> </w:t>
            </w:r>
            <w:r>
              <w:rPr>
                <w:sz w:val="20"/>
              </w:rPr>
              <w:t>of</w:t>
            </w:r>
            <w:r>
              <w:rPr>
                <w:spacing w:val="-3"/>
                <w:sz w:val="20"/>
              </w:rPr>
              <w:t xml:space="preserve"> </w:t>
            </w:r>
            <w:r>
              <w:rPr>
                <w:sz w:val="20"/>
              </w:rPr>
              <w:t>1</w:t>
            </w:r>
            <w:r>
              <w:rPr>
                <w:spacing w:val="-2"/>
                <w:sz w:val="20"/>
              </w:rPr>
              <w:t xml:space="preserve"> </w:t>
            </w:r>
            <w:r>
              <w:rPr>
                <w:sz w:val="20"/>
              </w:rPr>
              <w:t>to</w:t>
            </w:r>
            <w:r>
              <w:rPr>
                <w:spacing w:val="-2"/>
                <w:sz w:val="20"/>
              </w:rPr>
              <w:t xml:space="preserve"> </w:t>
            </w:r>
            <w:r>
              <w:rPr>
                <w:sz w:val="20"/>
              </w:rPr>
              <w:t>10.</w:t>
            </w:r>
            <w:r>
              <w:rPr>
                <w:spacing w:val="-2"/>
                <w:sz w:val="20"/>
              </w:rPr>
              <w:t xml:space="preserve"> </w:t>
            </w:r>
            <w:r>
              <w:rPr>
                <w:sz w:val="20"/>
              </w:rPr>
              <w:t>If</w:t>
            </w:r>
            <w:r>
              <w:rPr>
                <w:spacing w:val="-3"/>
                <w:sz w:val="20"/>
              </w:rPr>
              <w:t xml:space="preserve"> </w:t>
            </w:r>
            <w:r>
              <w:rPr>
                <w:sz w:val="20"/>
              </w:rPr>
              <w:t>someone is</w:t>
            </w:r>
            <w:r>
              <w:rPr>
                <w:spacing w:val="-3"/>
                <w:sz w:val="20"/>
              </w:rPr>
              <w:t xml:space="preserve"> </w:t>
            </w:r>
            <w:r>
              <w:rPr>
                <w:sz w:val="20"/>
              </w:rPr>
              <w:t>low</w:t>
            </w:r>
            <w:r>
              <w:rPr>
                <w:spacing w:val="-3"/>
                <w:sz w:val="20"/>
              </w:rPr>
              <w:t xml:space="preserve"> </w:t>
            </w:r>
            <w:r>
              <w:rPr>
                <w:sz w:val="20"/>
              </w:rPr>
              <w:t>on</w:t>
            </w:r>
            <w:r>
              <w:rPr>
                <w:spacing w:val="-1"/>
                <w:sz w:val="20"/>
              </w:rPr>
              <w:t xml:space="preserve"> </w:t>
            </w:r>
            <w:r>
              <w:rPr>
                <w:sz w:val="20"/>
              </w:rPr>
              <w:t>the</w:t>
            </w:r>
            <w:r>
              <w:rPr>
                <w:spacing w:val="-3"/>
                <w:sz w:val="20"/>
              </w:rPr>
              <w:t xml:space="preserve"> </w:t>
            </w:r>
            <w:r>
              <w:rPr>
                <w:sz w:val="20"/>
              </w:rPr>
              <w:t>scale,</w:t>
            </w:r>
            <w:r>
              <w:rPr>
                <w:spacing w:val="-1"/>
                <w:sz w:val="20"/>
              </w:rPr>
              <w:t xml:space="preserve"> </w:t>
            </w:r>
            <w:r>
              <w:rPr>
                <w:sz w:val="20"/>
              </w:rPr>
              <w:t>I</w:t>
            </w:r>
            <w:r>
              <w:rPr>
                <w:spacing w:val="-2"/>
                <w:sz w:val="20"/>
              </w:rPr>
              <w:t xml:space="preserve"> </w:t>
            </w:r>
            <w:r>
              <w:rPr>
                <w:sz w:val="20"/>
              </w:rPr>
              <w:t>inquire</w:t>
            </w:r>
            <w:r>
              <w:rPr>
                <w:spacing w:val="-3"/>
                <w:sz w:val="20"/>
              </w:rPr>
              <w:t xml:space="preserve"> </w:t>
            </w:r>
            <w:r>
              <w:rPr>
                <w:sz w:val="20"/>
              </w:rPr>
              <w:t>about</w:t>
            </w:r>
            <w:r>
              <w:rPr>
                <w:spacing w:val="-2"/>
                <w:sz w:val="20"/>
              </w:rPr>
              <w:t xml:space="preserve"> </w:t>
            </w:r>
            <w:r>
              <w:rPr>
                <w:sz w:val="20"/>
              </w:rPr>
              <w:t>what</w:t>
            </w:r>
            <w:r>
              <w:rPr>
                <w:spacing w:val="-2"/>
                <w:sz w:val="20"/>
              </w:rPr>
              <w:t xml:space="preserve"> </w:t>
            </w:r>
            <w:r>
              <w:rPr>
                <w:sz w:val="20"/>
              </w:rPr>
              <w:t>it</w:t>
            </w:r>
            <w:r>
              <w:rPr>
                <w:spacing w:val="-2"/>
                <w:sz w:val="20"/>
              </w:rPr>
              <w:t xml:space="preserve"> </w:t>
            </w:r>
            <w:r>
              <w:rPr>
                <w:sz w:val="20"/>
              </w:rPr>
              <w:t>will</w:t>
            </w:r>
            <w:r>
              <w:rPr>
                <w:spacing w:val="-2"/>
                <w:sz w:val="20"/>
              </w:rPr>
              <w:t xml:space="preserve"> </w:t>
            </w:r>
            <w:r>
              <w:rPr>
                <w:sz w:val="20"/>
              </w:rPr>
              <w:t>take</w:t>
            </w:r>
            <w:r>
              <w:rPr>
                <w:spacing w:val="-3"/>
                <w:sz w:val="20"/>
              </w:rPr>
              <w:t xml:space="preserve"> </w:t>
            </w:r>
            <w:r>
              <w:rPr>
                <w:sz w:val="20"/>
              </w:rPr>
              <w:t>to</w:t>
            </w:r>
            <w:r>
              <w:rPr>
                <w:spacing w:val="-2"/>
                <w:sz w:val="20"/>
              </w:rPr>
              <w:t xml:space="preserve"> </w:t>
            </w:r>
            <w:r>
              <w:rPr>
                <w:sz w:val="20"/>
              </w:rPr>
              <w:t>move forward.</w:t>
            </w:r>
            <w:r>
              <w:rPr>
                <w:spacing w:val="-2"/>
                <w:sz w:val="20"/>
              </w:rPr>
              <w:t xml:space="preserve"> </w:t>
            </w:r>
            <w:r>
              <w:rPr>
                <w:sz w:val="20"/>
              </w:rPr>
              <w:t>If</w:t>
            </w:r>
            <w:r>
              <w:rPr>
                <w:spacing w:val="-3"/>
                <w:sz w:val="20"/>
              </w:rPr>
              <w:t xml:space="preserve"> </w:t>
            </w:r>
            <w:r>
              <w:rPr>
                <w:sz w:val="20"/>
              </w:rPr>
              <w:t>someone</w:t>
            </w:r>
            <w:r>
              <w:rPr>
                <w:spacing w:val="-3"/>
                <w:sz w:val="20"/>
              </w:rPr>
              <w:t xml:space="preserve"> </w:t>
            </w:r>
            <w:r>
              <w:rPr>
                <w:sz w:val="20"/>
              </w:rPr>
              <w:t>is high on the scale, indicating readiness to change, I ask what this person thinks would work to change his or her substance use.</w:t>
            </w:r>
          </w:p>
        </w:tc>
      </w:tr>
    </w:tbl>
    <w:p w14:paraId="221B9046" w14:textId="77777777" w:rsidR="00DB6E1F" w:rsidRDefault="00DB6E1F">
      <w:pPr>
        <w:rPr>
          <w:sz w:val="20"/>
        </w:rPr>
        <w:sectPr w:rsidR="00DB6E1F">
          <w:pgSz w:w="12240" w:h="15840"/>
          <w:pgMar w:top="1200" w:right="0" w:bottom="780" w:left="0" w:header="763" w:footer="585" w:gutter="0"/>
          <w:cols w:space="720"/>
        </w:sectPr>
      </w:pPr>
    </w:p>
    <w:p w14:paraId="167AA40D"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254DEF61" w14:textId="77777777">
        <w:trPr>
          <w:trHeight w:val="1910"/>
        </w:trPr>
        <w:tc>
          <w:tcPr>
            <w:tcW w:w="9350" w:type="dxa"/>
          </w:tcPr>
          <w:p w14:paraId="79F4394C" w14:textId="77777777" w:rsidR="00DB6E1F" w:rsidRDefault="00F666A6">
            <w:pPr>
              <w:pStyle w:val="TableParagraph"/>
              <w:ind w:right="169"/>
              <w:rPr>
                <w:sz w:val="20"/>
              </w:rPr>
            </w:pPr>
            <w:r>
              <w:rPr>
                <w:sz w:val="20"/>
              </w:rPr>
              <w:t>If a client expresses interest in treatment, I explore pros and cons of different choices. An emergency department (ED) specialist in SUDs then works with the person to find placement in a program and, if needed, provides</w:t>
            </w:r>
            <w:r>
              <w:rPr>
                <w:spacing w:val="-4"/>
                <w:sz w:val="20"/>
              </w:rPr>
              <w:t xml:space="preserve"> </w:t>
            </w:r>
            <w:r>
              <w:rPr>
                <w:sz w:val="20"/>
              </w:rPr>
              <w:t>a</w:t>
            </w:r>
            <w:r>
              <w:rPr>
                <w:spacing w:val="-2"/>
                <w:sz w:val="20"/>
              </w:rPr>
              <w:t xml:space="preserve"> </w:t>
            </w:r>
            <w:r>
              <w:rPr>
                <w:sz w:val="20"/>
              </w:rPr>
              <w:t>transportation</w:t>
            </w:r>
            <w:r>
              <w:rPr>
                <w:spacing w:val="-2"/>
                <w:sz w:val="20"/>
              </w:rPr>
              <w:t xml:space="preserve"> </w:t>
            </w:r>
            <w:r>
              <w:rPr>
                <w:sz w:val="20"/>
              </w:rPr>
              <w:t>voucher.</w:t>
            </w:r>
            <w:r>
              <w:rPr>
                <w:spacing w:val="-3"/>
                <w:sz w:val="20"/>
              </w:rPr>
              <w:t xml:space="preserve"> </w:t>
            </w:r>
            <w:r>
              <w:rPr>
                <w:sz w:val="20"/>
              </w:rPr>
              <w:t>This</w:t>
            </w:r>
            <w:r>
              <w:rPr>
                <w:spacing w:val="-4"/>
                <w:sz w:val="20"/>
              </w:rPr>
              <w:t xml:space="preserve"> </w:t>
            </w:r>
            <w:r>
              <w:rPr>
                <w:sz w:val="20"/>
              </w:rPr>
              <w:t>sys</w:t>
            </w:r>
            <w:r>
              <w:rPr>
                <w:sz w:val="20"/>
              </w:rPr>
              <w:t>tematic</w:t>
            </w:r>
            <w:r>
              <w:rPr>
                <w:spacing w:val="-3"/>
                <w:sz w:val="20"/>
              </w:rPr>
              <w:t xml:space="preserve"> </w:t>
            </w:r>
            <w:r>
              <w:rPr>
                <w:sz w:val="20"/>
              </w:rPr>
              <w:t>approach,</w:t>
            </w:r>
            <w:r>
              <w:rPr>
                <w:spacing w:val="-2"/>
                <w:sz w:val="20"/>
              </w:rPr>
              <w:t xml:space="preserve"> </w:t>
            </w:r>
            <w:r>
              <w:rPr>
                <w:sz w:val="20"/>
              </w:rPr>
              <w:t>which</w:t>
            </w:r>
            <w:r>
              <w:rPr>
                <w:spacing w:val="-2"/>
                <w:sz w:val="20"/>
              </w:rPr>
              <w:t xml:space="preserve"> </w:t>
            </w:r>
            <w:r>
              <w:rPr>
                <w:sz w:val="20"/>
              </w:rPr>
              <w:t>incorporates</w:t>
            </w:r>
            <w:r>
              <w:rPr>
                <w:spacing w:val="-4"/>
                <w:sz w:val="20"/>
              </w:rPr>
              <w:t xml:space="preserve"> </w:t>
            </w:r>
            <w:r>
              <w:rPr>
                <w:sz w:val="20"/>
              </w:rPr>
              <w:t>MI</w:t>
            </w:r>
            <w:r>
              <w:rPr>
                <w:spacing w:val="-3"/>
                <w:sz w:val="20"/>
              </w:rPr>
              <w:t xml:space="preserve"> </w:t>
            </w:r>
            <w:r>
              <w:rPr>
                <w:sz w:val="20"/>
              </w:rPr>
              <w:t>principles,</w:t>
            </w:r>
            <w:r>
              <w:rPr>
                <w:spacing w:val="-2"/>
                <w:sz w:val="20"/>
              </w:rPr>
              <w:t xml:space="preserve"> </w:t>
            </w:r>
            <w:r>
              <w:rPr>
                <w:sz w:val="20"/>
              </w:rPr>
              <w:t>is</w:t>
            </w:r>
            <w:r>
              <w:rPr>
                <w:spacing w:val="-4"/>
                <w:sz w:val="20"/>
              </w:rPr>
              <w:t xml:space="preserve"> </w:t>
            </w:r>
            <w:r>
              <w:rPr>
                <w:sz w:val="20"/>
              </w:rPr>
              <w:t>helpful</w:t>
            </w:r>
            <w:r>
              <w:rPr>
                <w:spacing w:val="-3"/>
                <w:sz w:val="20"/>
              </w:rPr>
              <w:t xml:space="preserve"> </w:t>
            </w:r>
            <w:r>
              <w:rPr>
                <w:sz w:val="20"/>
              </w:rPr>
              <w:t>to</w:t>
            </w:r>
            <w:r>
              <w:rPr>
                <w:spacing w:val="-3"/>
                <w:sz w:val="20"/>
              </w:rPr>
              <w:t xml:space="preserve"> </w:t>
            </w:r>
            <w:r>
              <w:rPr>
                <w:sz w:val="20"/>
              </w:rPr>
              <w:t xml:space="preserve">me in our hectic practice setting. It’s not only ethically sound, based as it is on respect for the individual’s autonomy, but it’s less time consuming and frustrating. Each person does the </w:t>
            </w:r>
            <w:r>
              <w:rPr>
                <w:sz w:val="20"/>
              </w:rPr>
              <w:t>work for himself or herself by naming the problem and identifying possible solutions. My role is to facilitate that process.</w:t>
            </w:r>
          </w:p>
          <w:p w14:paraId="294709C1" w14:textId="77777777" w:rsidR="00DB6E1F" w:rsidRDefault="00F666A6">
            <w:pPr>
              <w:pStyle w:val="TableParagraph"/>
              <w:spacing w:before="122"/>
              <w:rPr>
                <w:i/>
                <w:sz w:val="20"/>
              </w:rPr>
            </w:pPr>
            <w:r>
              <w:rPr>
                <w:i/>
                <w:sz w:val="20"/>
              </w:rPr>
              <w:t>Ed</w:t>
            </w:r>
            <w:r>
              <w:rPr>
                <w:i/>
                <w:spacing w:val="-7"/>
                <w:sz w:val="20"/>
              </w:rPr>
              <w:t xml:space="preserve"> </w:t>
            </w:r>
            <w:r>
              <w:rPr>
                <w:i/>
                <w:sz w:val="20"/>
              </w:rPr>
              <w:t>Bernstein,</w:t>
            </w:r>
            <w:r>
              <w:rPr>
                <w:i/>
                <w:spacing w:val="-6"/>
                <w:sz w:val="20"/>
              </w:rPr>
              <w:t xml:space="preserve"> </w:t>
            </w:r>
            <w:r>
              <w:rPr>
                <w:i/>
                <w:sz w:val="20"/>
              </w:rPr>
              <w:t>M.D.,</w:t>
            </w:r>
            <w:r>
              <w:rPr>
                <w:i/>
                <w:spacing w:val="-7"/>
                <w:sz w:val="20"/>
              </w:rPr>
              <w:t xml:space="preserve"> </w:t>
            </w:r>
            <w:r>
              <w:rPr>
                <w:i/>
                <w:sz w:val="20"/>
              </w:rPr>
              <w:t>Consensus</w:t>
            </w:r>
            <w:r>
              <w:rPr>
                <w:i/>
                <w:spacing w:val="-5"/>
                <w:sz w:val="20"/>
              </w:rPr>
              <w:t xml:space="preserve"> </w:t>
            </w:r>
            <w:r>
              <w:rPr>
                <w:i/>
                <w:sz w:val="20"/>
              </w:rPr>
              <w:t>Panel</w:t>
            </w:r>
            <w:r>
              <w:rPr>
                <w:i/>
                <w:spacing w:val="-7"/>
                <w:sz w:val="20"/>
              </w:rPr>
              <w:t xml:space="preserve"> </w:t>
            </w:r>
            <w:r>
              <w:rPr>
                <w:i/>
                <w:spacing w:val="-2"/>
                <w:sz w:val="20"/>
              </w:rPr>
              <w:t>Member</w:t>
            </w:r>
          </w:p>
        </w:tc>
      </w:tr>
    </w:tbl>
    <w:p w14:paraId="39E533E8" w14:textId="77777777" w:rsidR="00DB6E1F" w:rsidRDefault="00DB6E1F">
      <w:pPr>
        <w:pStyle w:val="BodyText"/>
        <w:spacing w:before="3"/>
        <w:rPr>
          <w:sz w:val="8"/>
        </w:rPr>
      </w:pPr>
    </w:p>
    <w:p w14:paraId="290512B1" w14:textId="77777777" w:rsidR="00DB6E1F" w:rsidRDefault="00F666A6">
      <w:pPr>
        <w:pStyle w:val="BodyText"/>
        <w:spacing w:before="56"/>
        <w:ind w:left="1439" w:right="1555"/>
      </w:pPr>
      <w:r>
        <w:t>The purpose of a BI is usually to counsel individuals, using a motivational approach, about substance misuse</w:t>
      </w:r>
      <w:r>
        <w:rPr>
          <w:spacing w:val="-4"/>
        </w:rPr>
        <w:t xml:space="preserve"> </w:t>
      </w:r>
      <w:r>
        <w:t>patterns;</w:t>
      </w:r>
      <w:r>
        <w:rPr>
          <w:spacing w:val="-1"/>
        </w:rPr>
        <w:t xml:space="preserve"> </w:t>
      </w:r>
      <w:r>
        <w:t>increase</w:t>
      </w:r>
      <w:r>
        <w:rPr>
          <w:spacing w:val="-4"/>
        </w:rPr>
        <w:t xml:space="preserve"> </w:t>
      </w:r>
      <w:r>
        <w:t>awareness</w:t>
      </w:r>
      <w:r>
        <w:rPr>
          <w:spacing w:val="-4"/>
        </w:rPr>
        <w:t xml:space="preserve"> </w:t>
      </w:r>
      <w:r>
        <w:t>about</w:t>
      </w:r>
      <w:r>
        <w:rPr>
          <w:spacing w:val="-4"/>
        </w:rPr>
        <w:t xml:space="preserve"> </w:t>
      </w:r>
      <w:r>
        <w:t>the</w:t>
      </w:r>
      <w:r>
        <w:rPr>
          <w:spacing w:val="-4"/>
        </w:rPr>
        <w:t xml:space="preserve"> </w:t>
      </w:r>
      <w:r>
        <w:t>negative</w:t>
      </w:r>
      <w:r>
        <w:rPr>
          <w:spacing w:val="-4"/>
        </w:rPr>
        <w:t xml:space="preserve"> </w:t>
      </w:r>
      <w:r>
        <w:t>effects</w:t>
      </w:r>
      <w:r>
        <w:rPr>
          <w:spacing w:val="-4"/>
        </w:rPr>
        <w:t xml:space="preserve"> </w:t>
      </w:r>
      <w:r>
        <w:t>of</w:t>
      </w:r>
      <w:r>
        <w:rPr>
          <w:spacing w:val="-2"/>
        </w:rPr>
        <w:t xml:space="preserve"> </w:t>
      </w:r>
      <w:r>
        <w:t>substance</w:t>
      </w:r>
      <w:r>
        <w:rPr>
          <w:spacing w:val="-4"/>
        </w:rPr>
        <w:t xml:space="preserve"> </w:t>
      </w:r>
      <w:r>
        <w:t>misuse;</w:t>
      </w:r>
      <w:r>
        <w:rPr>
          <w:spacing w:val="-1"/>
        </w:rPr>
        <w:t xml:space="preserve"> </w:t>
      </w:r>
      <w:r>
        <w:t>and</w:t>
      </w:r>
      <w:r>
        <w:rPr>
          <w:spacing w:val="-3"/>
        </w:rPr>
        <w:t xml:space="preserve"> </w:t>
      </w:r>
      <w:r>
        <w:t>advise</w:t>
      </w:r>
      <w:r>
        <w:rPr>
          <w:spacing w:val="-4"/>
        </w:rPr>
        <w:t xml:space="preserve"> </w:t>
      </w:r>
      <w:r>
        <w:t>them to limit or stop their use altogether, depending on th</w:t>
      </w:r>
      <w:r>
        <w:t>e circumstances (Nunes, Richmond, Marzano, Swenson,</w:t>
      </w:r>
      <w:r>
        <w:rPr>
          <w:spacing w:val="-1"/>
        </w:rPr>
        <w:t xml:space="preserve"> </w:t>
      </w:r>
      <w:r>
        <w:t>&amp;</w:t>
      </w:r>
      <w:r>
        <w:rPr>
          <w:spacing w:val="-1"/>
        </w:rPr>
        <w:t xml:space="preserve"> </w:t>
      </w:r>
      <w:r>
        <w:t>Lockhart,</w:t>
      </w:r>
      <w:r>
        <w:rPr>
          <w:spacing w:val="-1"/>
        </w:rPr>
        <w:t xml:space="preserve"> </w:t>
      </w:r>
      <w:r>
        <w:t>2017). If the initial</w:t>
      </w:r>
      <w:r>
        <w:rPr>
          <w:spacing w:val="-2"/>
        </w:rPr>
        <w:t xml:space="preserve"> </w:t>
      </w:r>
      <w:r>
        <w:t>intervention</w:t>
      </w:r>
      <w:r>
        <w:rPr>
          <w:spacing w:val="-2"/>
        </w:rPr>
        <w:t xml:space="preserve"> </w:t>
      </w:r>
      <w:r>
        <w:t>does not result in</w:t>
      </w:r>
      <w:r>
        <w:rPr>
          <w:spacing w:val="-2"/>
        </w:rPr>
        <w:t xml:space="preserve"> </w:t>
      </w:r>
      <w:r>
        <w:t>substantial improvement,</w:t>
      </w:r>
      <w:r>
        <w:rPr>
          <w:spacing w:val="-1"/>
        </w:rPr>
        <w:t xml:space="preserve"> </w:t>
      </w:r>
      <w:r>
        <w:t>the provider</w:t>
      </w:r>
      <w:r>
        <w:rPr>
          <w:spacing w:val="-3"/>
        </w:rPr>
        <w:t xml:space="preserve"> </w:t>
      </w:r>
      <w:r>
        <w:t>can</w:t>
      </w:r>
      <w:r>
        <w:rPr>
          <w:spacing w:val="-3"/>
        </w:rPr>
        <w:t xml:space="preserve"> </w:t>
      </w:r>
      <w:r>
        <w:t>make a referral for specialized SUD treatment. A</w:t>
      </w:r>
      <w:r>
        <w:rPr>
          <w:spacing w:val="-3"/>
        </w:rPr>
        <w:t xml:space="preserve"> </w:t>
      </w:r>
      <w:r>
        <w:t>BI also can</w:t>
      </w:r>
      <w:r>
        <w:rPr>
          <w:spacing w:val="-3"/>
        </w:rPr>
        <w:t xml:space="preserve"> </w:t>
      </w:r>
      <w:r>
        <w:t>explore</w:t>
      </w:r>
      <w:r>
        <w:rPr>
          <w:spacing w:val="-2"/>
        </w:rPr>
        <w:t xml:space="preserve"> </w:t>
      </w:r>
      <w:r>
        <w:t>the pros and</w:t>
      </w:r>
      <w:r>
        <w:rPr>
          <w:spacing w:val="-1"/>
        </w:rPr>
        <w:t xml:space="preserve"> </w:t>
      </w:r>
      <w:r>
        <w:t>cons</w:t>
      </w:r>
      <w:r>
        <w:rPr>
          <w:spacing w:val="-2"/>
        </w:rPr>
        <w:t xml:space="preserve"> </w:t>
      </w:r>
      <w:r>
        <w:t>of enteri</w:t>
      </w:r>
      <w:r>
        <w:t>ng</w:t>
      </w:r>
      <w:r>
        <w:rPr>
          <w:spacing w:val="-1"/>
        </w:rPr>
        <w:t xml:space="preserve"> </w:t>
      </w:r>
      <w:r>
        <w:t>treatment</w:t>
      </w:r>
      <w:r>
        <w:rPr>
          <w:spacing w:val="-2"/>
        </w:rPr>
        <w:t xml:space="preserve"> </w:t>
      </w:r>
      <w:r>
        <w:t>and</w:t>
      </w:r>
      <w:r>
        <w:rPr>
          <w:spacing w:val="-1"/>
        </w:rPr>
        <w:t xml:space="preserve"> </w:t>
      </w:r>
      <w:r>
        <w:t>present a</w:t>
      </w:r>
      <w:r>
        <w:rPr>
          <w:spacing w:val="-2"/>
        </w:rPr>
        <w:t xml:space="preserve"> </w:t>
      </w:r>
      <w:r>
        <w:t>menu</w:t>
      </w:r>
      <w:r>
        <w:rPr>
          <w:spacing w:val="-3"/>
        </w:rPr>
        <w:t xml:space="preserve"> </w:t>
      </w:r>
      <w:r>
        <w:t>of</w:t>
      </w:r>
      <w:r>
        <w:rPr>
          <w:spacing w:val="-2"/>
        </w:rPr>
        <w:t xml:space="preserve"> </w:t>
      </w:r>
      <w:r>
        <w:t>options for</w:t>
      </w:r>
      <w:r>
        <w:rPr>
          <w:spacing w:val="-2"/>
        </w:rPr>
        <w:t xml:space="preserve"> </w:t>
      </w:r>
      <w:r>
        <w:t>treatment, as</w:t>
      </w:r>
      <w:r>
        <w:rPr>
          <w:spacing w:val="-2"/>
        </w:rPr>
        <w:t xml:space="preserve"> </w:t>
      </w:r>
      <w:r>
        <w:t>well as facilitate contact with the treatment</w:t>
      </w:r>
      <w:r>
        <w:rPr>
          <w:spacing w:val="-1"/>
        </w:rPr>
        <w:t xml:space="preserve"> </w:t>
      </w:r>
      <w:r>
        <w:t>system. There are several</w:t>
      </w:r>
      <w:r>
        <w:rPr>
          <w:spacing w:val="-2"/>
        </w:rPr>
        <w:t xml:space="preserve"> </w:t>
      </w:r>
      <w:r>
        <w:t>BI</w:t>
      </w:r>
      <w:r>
        <w:rPr>
          <w:spacing w:val="-2"/>
        </w:rPr>
        <w:t xml:space="preserve"> </w:t>
      </w:r>
      <w:r>
        <w:t>models, but FRAMES is</w:t>
      </w:r>
      <w:r>
        <w:rPr>
          <w:spacing w:val="-1"/>
        </w:rPr>
        <w:t xml:space="preserve"> </w:t>
      </w:r>
      <w:r>
        <w:t>the dominant</w:t>
      </w:r>
      <w:r>
        <w:rPr>
          <w:spacing w:val="-1"/>
        </w:rPr>
        <w:t xml:space="preserve"> </w:t>
      </w:r>
      <w:r>
        <w:t>BI</w:t>
      </w:r>
      <w:r>
        <w:rPr>
          <w:spacing w:val="-2"/>
        </w:rPr>
        <w:t xml:space="preserve"> </w:t>
      </w:r>
      <w:r>
        <w:t>method for substance misuse (Mattoo et al., 2018).</w:t>
      </w:r>
    </w:p>
    <w:p w14:paraId="42AAC7BF" w14:textId="77777777" w:rsidR="00DB6E1F" w:rsidRDefault="00F666A6">
      <w:pPr>
        <w:pStyle w:val="BodyText"/>
        <w:spacing w:before="160"/>
        <w:ind w:left="1438" w:right="1491"/>
      </w:pPr>
      <w:r>
        <w:t>BI</w:t>
      </w:r>
      <w:r>
        <w:rPr>
          <w:spacing w:val="-3"/>
        </w:rPr>
        <w:t xml:space="preserve"> </w:t>
      </w:r>
      <w:r>
        <w:t>strategies</w:t>
      </w:r>
      <w:r>
        <w:rPr>
          <w:spacing w:val="-3"/>
        </w:rPr>
        <w:t xml:space="preserve"> </w:t>
      </w:r>
      <w:r>
        <w:t>have</w:t>
      </w:r>
      <w:r>
        <w:rPr>
          <w:spacing w:val="-2"/>
        </w:rPr>
        <w:t xml:space="preserve"> </w:t>
      </w:r>
      <w:r>
        <w:t>been</w:t>
      </w:r>
      <w:r>
        <w:rPr>
          <w:spacing w:val="-4"/>
        </w:rPr>
        <w:t xml:space="preserve"> </w:t>
      </w:r>
      <w:r>
        <w:t>used</w:t>
      </w:r>
      <w:r>
        <w:rPr>
          <w:spacing w:val="-4"/>
        </w:rPr>
        <w:t xml:space="preserve"> </w:t>
      </w:r>
      <w:r>
        <w:t>effectively</w:t>
      </w:r>
      <w:r>
        <w:rPr>
          <w:spacing w:val="-2"/>
        </w:rPr>
        <w:t xml:space="preserve"> </w:t>
      </w:r>
      <w:r>
        <w:t>in</w:t>
      </w:r>
      <w:r>
        <w:rPr>
          <w:spacing w:val="-3"/>
        </w:rPr>
        <w:t xml:space="preserve"> </w:t>
      </w:r>
      <w:r>
        <w:t>SUD</w:t>
      </w:r>
      <w:r>
        <w:rPr>
          <w:spacing w:val="-2"/>
        </w:rPr>
        <w:t xml:space="preserve"> </w:t>
      </w:r>
      <w:r>
        <w:t>treatment</w:t>
      </w:r>
      <w:r>
        <w:rPr>
          <w:spacing w:val="-2"/>
        </w:rPr>
        <w:t xml:space="preserve"> </w:t>
      </w:r>
      <w:r>
        <w:t>settings</w:t>
      </w:r>
      <w:r>
        <w:rPr>
          <w:spacing w:val="-3"/>
        </w:rPr>
        <w:t xml:space="preserve"> </w:t>
      </w:r>
      <w:r>
        <w:t>where</w:t>
      </w:r>
      <w:r>
        <w:rPr>
          <w:spacing w:val="-2"/>
        </w:rPr>
        <w:t xml:space="preserve"> </w:t>
      </w:r>
      <w:r>
        <w:t>people</w:t>
      </w:r>
      <w:r>
        <w:rPr>
          <w:spacing w:val="-7"/>
        </w:rPr>
        <w:t xml:space="preserve"> </w:t>
      </w:r>
      <w:r>
        <w:t>seek</w:t>
      </w:r>
      <w:r>
        <w:rPr>
          <w:spacing w:val="-5"/>
        </w:rPr>
        <w:t xml:space="preserve"> </w:t>
      </w:r>
      <w:r>
        <w:t>assistance</w:t>
      </w:r>
      <w:r>
        <w:rPr>
          <w:spacing w:val="-2"/>
        </w:rPr>
        <w:t xml:space="preserve"> </w:t>
      </w:r>
      <w:r>
        <w:t>but</w:t>
      </w:r>
      <w:r>
        <w:rPr>
          <w:spacing w:val="-2"/>
        </w:rPr>
        <w:t xml:space="preserve"> </w:t>
      </w:r>
      <w:r>
        <w:t xml:space="preserve">are placed on waiting lists, as a motivational prelude to engagement and participation in more intensive </w:t>
      </w:r>
      <w:r>
        <w:t>treatment, and as a first attempt to facilitate behavior change. A series of BI can constitute BT, an approach that applies motivational and other treatment methods (e.g., cognitive–behavioral therapy) for</w:t>
      </w:r>
      <w:r>
        <w:rPr>
          <w:spacing w:val="-2"/>
        </w:rPr>
        <w:t xml:space="preserve"> </w:t>
      </w:r>
      <w:r>
        <w:t>a</w:t>
      </w:r>
      <w:r>
        <w:rPr>
          <w:spacing w:val="-2"/>
        </w:rPr>
        <w:t xml:space="preserve"> </w:t>
      </w:r>
      <w:r>
        <w:t>limited</w:t>
      </w:r>
      <w:r>
        <w:rPr>
          <w:spacing w:val="-2"/>
        </w:rPr>
        <w:t xml:space="preserve"> </w:t>
      </w:r>
      <w:r>
        <w:t>timeframe,</w:t>
      </w:r>
      <w:r>
        <w:rPr>
          <w:spacing w:val="-4"/>
        </w:rPr>
        <w:t xml:space="preserve"> </w:t>
      </w:r>
      <w:r>
        <w:t>making</w:t>
      </w:r>
      <w:r>
        <w:rPr>
          <w:spacing w:val="-3"/>
        </w:rPr>
        <w:t xml:space="preserve"> </w:t>
      </w:r>
      <w:r>
        <w:t>the</w:t>
      </w:r>
      <w:r>
        <w:rPr>
          <w:spacing w:val="-4"/>
        </w:rPr>
        <w:t xml:space="preserve"> </w:t>
      </w:r>
      <w:r>
        <w:t>modality</w:t>
      </w:r>
      <w:r>
        <w:rPr>
          <w:spacing w:val="-1"/>
        </w:rPr>
        <w:t xml:space="preserve"> </w:t>
      </w:r>
      <w:r>
        <w:t>particula</w:t>
      </w:r>
      <w:r>
        <w:t>rly</w:t>
      </w:r>
      <w:r>
        <w:rPr>
          <w:spacing w:val="-1"/>
        </w:rPr>
        <w:t xml:space="preserve"> </w:t>
      </w:r>
      <w:r>
        <w:t>effective</w:t>
      </w:r>
      <w:r>
        <w:rPr>
          <w:spacing w:val="-1"/>
        </w:rPr>
        <w:t xml:space="preserve"> </w:t>
      </w:r>
      <w:r>
        <w:t>for</w:t>
      </w:r>
      <w:r>
        <w:rPr>
          <w:spacing w:val="-4"/>
        </w:rPr>
        <w:t xml:space="preserve"> </w:t>
      </w:r>
      <w:r>
        <w:t>clients</w:t>
      </w:r>
      <w:r>
        <w:rPr>
          <w:spacing w:val="-4"/>
        </w:rPr>
        <w:t xml:space="preserve"> </w:t>
      </w:r>
      <w:r>
        <w:t>who</w:t>
      </w:r>
      <w:r>
        <w:rPr>
          <w:spacing w:val="-1"/>
        </w:rPr>
        <w:t xml:space="preserve"> </w:t>
      </w:r>
      <w:r>
        <w:t>want</w:t>
      </w:r>
      <w:r>
        <w:rPr>
          <w:spacing w:val="-1"/>
        </w:rPr>
        <w:t xml:space="preserve"> </w:t>
      </w:r>
      <w:r>
        <w:t>to</w:t>
      </w:r>
      <w:r>
        <w:rPr>
          <w:spacing w:val="-1"/>
        </w:rPr>
        <w:t xml:space="preserve"> </w:t>
      </w:r>
      <w:r>
        <w:t>abstain</w:t>
      </w:r>
      <w:r>
        <w:rPr>
          <w:spacing w:val="-3"/>
        </w:rPr>
        <w:t xml:space="preserve"> </w:t>
      </w:r>
      <w:r>
        <w:t>from, instead of reduce, alcohol or drug use (Barbosa et al., 2017). Research has found that BT may be more effective than BI in reducing illicit drug use patterns (Aldridge, Dowd, &amp; Bray, 2017).</w:t>
      </w:r>
    </w:p>
    <w:p w14:paraId="2CBDD41D" w14:textId="77777777" w:rsidR="00DB6E1F" w:rsidRDefault="00F666A6">
      <w:pPr>
        <w:pStyle w:val="Heading2"/>
        <w:spacing w:before="164"/>
      </w:pPr>
      <w:bookmarkStart w:id="78" w:name="Screening,_Brief_Intervention,_and_Refer"/>
      <w:bookmarkStart w:id="79" w:name="_bookmark15"/>
      <w:bookmarkEnd w:id="78"/>
      <w:bookmarkEnd w:id="79"/>
      <w:r>
        <w:t>Screening,</w:t>
      </w:r>
      <w:r>
        <w:rPr>
          <w:spacing w:val="-3"/>
        </w:rPr>
        <w:t xml:space="preserve"> </w:t>
      </w:r>
      <w:r>
        <w:t>Bri</w:t>
      </w:r>
      <w:r>
        <w:t>ef</w:t>
      </w:r>
      <w:r>
        <w:rPr>
          <w:spacing w:val="-3"/>
        </w:rPr>
        <w:t xml:space="preserve"> </w:t>
      </w:r>
      <w:r>
        <w:t>Intervention,</w:t>
      </w:r>
      <w:r>
        <w:rPr>
          <w:spacing w:val="-2"/>
        </w:rPr>
        <w:t xml:space="preserve"> </w:t>
      </w:r>
      <w:r>
        <w:t>and</w:t>
      </w:r>
      <w:r>
        <w:rPr>
          <w:spacing w:val="-2"/>
        </w:rPr>
        <w:t xml:space="preserve"> </w:t>
      </w:r>
      <w:r>
        <w:t>Referral</w:t>
      </w:r>
      <w:r>
        <w:rPr>
          <w:spacing w:val="-3"/>
        </w:rPr>
        <w:t xml:space="preserve"> </w:t>
      </w:r>
      <w:r>
        <w:t>to</w:t>
      </w:r>
      <w:r>
        <w:rPr>
          <w:spacing w:val="-2"/>
        </w:rPr>
        <w:t xml:space="preserve"> Treatment</w:t>
      </w:r>
    </w:p>
    <w:p w14:paraId="097F1B54" w14:textId="77777777" w:rsidR="00DB6E1F" w:rsidRDefault="00F666A6">
      <w:pPr>
        <w:pStyle w:val="BodyText"/>
        <w:spacing w:before="153"/>
        <w:ind w:left="1438" w:right="1444" w:firstLine="1"/>
      </w:pPr>
      <w:r>
        <w:t>A specific BI</w:t>
      </w:r>
      <w:r>
        <w:rPr>
          <w:spacing w:val="-1"/>
        </w:rPr>
        <w:t xml:space="preserve"> </w:t>
      </w:r>
      <w:r>
        <w:t>called SBIRT,</w:t>
      </w:r>
      <w:r>
        <w:rPr>
          <w:spacing w:val="-1"/>
        </w:rPr>
        <w:t xml:space="preserve"> </w:t>
      </w:r>
      <w:r>
        <w:t>which adds screening and referral components, has been implemented widely in</w:t>
      </w:r>
      <w:r>
        <w:rPr>
          <w:spacing w:val="-3"/>
        </w:rPr>
        <w:t xml:space="preserve"> </w:t>
      </w:r>
      <w:r>
        <w:t>the</w:t>
      </w:r>
      <w:r>
        <w:rPr>
          <w:spacing w:val="-1"/>
        </w:rPr>
        <w:t xml:space="preserve"> </w:t>
      </w:r>
      <w:r>
        <w:t>United</w:t>
      </w:r>
      <w:r>
        <w:rPr>
          <w:spacing w:val="-3"/>
        </w:rPr>
        <w:t xml:space="preserve"> </w:t>
      </w:r>
      <w:r>
        <w:t>States</w:t>
      </w:r>
      <w:r>
        <w:rPr>
          <w:spacing w:val="-2"/>
        </w:rPr>
        <w:t xml:space="preserve"> </w:t>
      </w:r>
      <w:r>
        <w:t>in</w:t>
      </w:r>
      <w:r>
        <w:rPr>
          <w:spacing w:val="-3"/>
        </w:rPr>
        <w:t xml:space="preserve"> </w:t>
      </w:r>
      <w:r>
        <w:t>diverse</w:t>
      </w:r>
      <w:r>
        <w:rPr>
          <w:spacing w:val="-1"/>
        </w:rPr>
        <w:t xml:space="preserve"> </w:t>
      </w:r>
      <w:r>
        <w:t>settings,</w:t>
      </w:r>
      <w:r>
        <w:rPr>
          <w:spacing w:val="-2"/>
        </w:rPr>
        <w:t xml:space="preserve"> </w:t>
      </w:r>
      <w:r>
        <w:t>including</w:t>
      </w:r>
      <w:r>
        <w:rPr>
          <w:spacing w:val="-3"/>
        </w:rPr>
        <w:t xml:space="preserve"> </w:t>
      </w:r>
      <w:r>
        <w:t>EDs,</w:t>
      </w:r>
      <w:r>
        <w:rPr>
          <w:spacing w:val="-4"/>
        </w:rPr>
        <w:t xml:space="preserve"> </w:t>
      </w:r>
      <w:r>
        <w:t>primary</w:t>
      </w:r>
      <w:r>
        <w:rPr>
          <w:spacing w:val="-3"/>
        </w:rPr>
        <w:t xml:space="preserve"> </w:t>
      </w:r>
      <w:r>
        <w:t>care</w:t>
      </w:r>
      <w:r>
        <w:rPr>
          <w:spacing w:val="-4"/>
        </w:rPr>
        <w:t xml:space="preserve"> </w:t>
      </w:r>
      <w:r>
        <w:t>offices,</w:t>
      </w:r>
      <w:r>
        <w:rPr>
          <w:spacing w:val="-1"/>
        </w:rPr>
        <w:t xml:space="preserve"> </w:t>
      </w:r>
      <w:r>
        <w:t>and</w:t>
      </w:r>
      <w:r>
        <w:rPr>
          <w:spacing w:val="-5"/>
        </w:rPr>
        <w:t xml:space="preserve"> </w:t>
      </w:r>
      <w:r>
        <w:t>community-based</w:t>
      </w:r>
      <w:r>
        <w:rPr>
          <w:spacing w:val="-3"/>
        </w:rPr>
        <w:t xml:space="preserve"> </w:t>
      </w:r>
      <w:r>
        <w:t>health clinics, through a SAMHSA multisite initiative (Babor et al., 2017). It is the largest SBIRT dissemination effort in the United States (Aldridge, Linford, &amp; Bray, 2017). SBIRT was specifically developed for nonspecialized treatment s</w:t>
      </w:r>
      <w:r>
        <w:t xml:space="preserve">ettings. It has demonstrated effectiveness in primary care offices, EDs, and general inpatient medical units in reducing substance use and misuse among adolescents, young adults, and adults, as well as in increasing participation in follow-up care (Barata </w:t>
      </w:r>
      <w:r>
        <w:t>et al., 2017; DiClemente et al., 2017; Kohler &amp; Hoffman, 2015; McQueen, Howe, Allan, Mains, &amp; Hardy, 2015; Merchant, Romanoff, Zhang, Liu, &amp; Baird, 2017; Timko, Kong, Vittorio, &amp; Cucciare, 2016; Woolard et al., 2013).</w:t>
      </w:r>
    </w:p>
    <w:p w14:paraId="6C48213B" w14:textId="77777777" w:rsidR="00DB6E1F" w:rsidRDefault="00F666A6">
      <w:pPr>
        <w:pStyle w:val="BodyText"/>
        <w:spacing w:before="157"/>
        <w:ind w:left="1436" w:right="1462" w:firstLine="1"/>
      </w:pPr>
      <w:r>
        <w:t>People often seek treatment for medica</w:t>
      </w:r>
      <w:r>
        <w:t>l concerns that may be related to or impacted by substance misuse but are not specifically seeking help for substance use problems. Screening has become an integral component of BI in these opportunistic settings (Mattoo et al., 2018). The results of the s</w:t>
      </w:r>
      <w:r>
        <w:t>creening determine whether the person seeking services is offered a BI such as FRAMES or is referred</w:t>
      </w:r>
      <w:r>
        <w:rPr>
          <w:spacing w:val="40"/>
        </w:rPr>
        <w:t xml:space="preserve"> </w:t>
      </w:r>
      <w:r>
        <w:t>to specialized addiction treatment when the person meets the criteria for moderate or severe SUD.</w:t>
      </w:r>
      <w:r>
        <w:rPr>
          <w:spacing w:val="40"/>
        </w:rPr>
        <w:t xml:space="preserve"> </w:t>
      </w:r>
      <w:r>
        <w:t>From</w:t>
      </w:r>
      <w:r>
        <w:rPr>
          <w:spacing w:val="-3"/>
        </w:rPr>
        <w:t xml:space="preserve"> </w:t>
      </w:r>
      <w:r>
        <w:t>a</w:t>
      </w:r>
      <w:r>
        <w:rPr>
          <w:spacing w:val="-2"/>
        </w:rPr>
        <w:t xml:space="preserve"> </w:t>
      </w:r>
      <w:r>
        <w:t>public</w:t>
      </w:r>
      <w:r>
        <w:rPr>
          <w:spacing w:val="-2"/>
        </w:rPr>
        <w:t xml:space="preserve"> </w:t>
      </w:r>
      <w:r>
        <w:t>health</w:t>
      </w:r>
      <w:r>
        <w:rPr>
          <w:spacing w:val="-5"/>
        </w:rPr>
        <w:t xml:space="preserve"> </w:t>
      </w:r>
      <w:r>
        <w:t>perspective,</w:t>
      </w:r>
      <w:r>
        <w:rPr>
          <w:spacing w:val="-2"/>
        </w:rPr>
        <w:t xml:space="preserve"> </w:t>
      </w:r>
      <w:r>
        <w:t>SBIRT</w:t>
      </w:r>
      <w:r>
        <w:rPr>
          <w:spacing w:val="-1"/>
        </w:rPr>
        <w:t xml:space="preserve"> </w:t>
      </w:r>
      <w:r>
        <w:t>is</w:t>
      </w:r>
      <w:r>
        <w:rPr>
          <w:spacing w:val="-4"/>
        </w:rPr>
        <w:t xml:space="preserve"> </w:t>
      </w:r>
      <w:r>
        <w:t>seen</w:t>
      </w:r>
      <w:r>
        <w:rPr>
          <w:spacing w:val="-3"/>
        </w:rPr>
        <w:t xml:space="preserve"> </w:t>
      </w:r>
      <w:r>
        <w:t>as</w:t>
      </w:r>
      <w:r>
        <w:rPr>
          <w:spacing w:val="-2"/>
        </w:rPr>
        <w:t xml:space="preserve"> </w:t>
      </w:r>
      <w:r>
        <w:t>both</w:t>
      </w:r>
      <w:r>
        <w:rPr>
          <w:spacing w:val="-3"/>
        </w:rPr>
        <w:t xml:space="preserve"> </w:t>
      </w:r>
      <w:r>
        <w:t>a</w:t>
      </w:r>
      <w:r>
        <w:rPr>
          <w:spacing w:val="-2"/>
        </w:rPr>
        <w:t xml:space="preserve"> </w:t>
      </w:r>
      <w:r>
        <w:t>prevention</w:t>
      </w:r>
      <w:r>
        <w:rPr>
          <w:spacing w:val="-5"/>
        </w:rPr>
        <w:t xml:space="preserve"> </w:t>
      </w:r>
      <w:r>
        <w:t>and</w:t>
      </w:r>
      <w:r>
        <w:rPr>
          <w:spacing w:val="-4"/>
        </w:rPr>
        <w:t xml:space="preserve"> </w:t>
      </w:r>
      <w:r>
        <w:t>a</w:t>
      </w:r>
      <w:r>
        <w:rPr>
          <w:spacing w:val="-1"/>
        </w:rPr>
        <w:t xml:space="preserve"> </w:t>
      </w:r>
      <w:r>
        <w:t>treatment</w:t>
      </w:r>
      <w:r>
        <w:rPr>
          <w:spacing w:val="-4"/>
        </w:rPr>
        <w:t xml:space="preserve"> </w:t>
      </w:r>
      <w:r>
        <w:t>strategy.</w:t>
      </w:r>
      <w:r>
        <w:rPr>
          <w:spacing w:val="-2"/>
        </w:rPr>
        <w:t xml:space="preserve"> </w:t>
      </w:r>
      <w:r>
        <w:t>Although, research results about the effectiveness of SBIRT for illicit drug use are mixed (Hingson &amp; Compton, 2014), recent outcome data from a SAMHSA initiative demonstrate its effectiveness to lower alcohol consumpt</w:t>
      </w:r>
      <w:r>
        <w:t>ion, alcohol misuse, and illicit drug use (Aldridge, Linford, &amp; Bray, 2017). Other studies found that initiation of buprenorphine treatment in the ED significantly increased clients’ engagement in specialty addiction treatment and decreased illicit drug us</w:t>
      </w:r>
      <w:r>
        <w:t>e (Bernstein &amp; D’Onofrio, 2017) and that motivational interventions in ED and public health settings reduced overdose risk behaviors and</w:t>
      </w:r>
    </w:p>
    <w:p w14:paraId="262FCBB9" w14:textId="77777777" w:rsidR="00DB6E1F" w:rsidRDefault="00DB6E1F">
      <w:pPr>
        <w:sectPr w:rsidR="00DB6E1F">
          <w:pgSz w:w="12240" w:h="15840"/>
          <w:pgMar w:top="1200" w:right="0" w:bottom="780" w:left="0" w:header="763" w:footer="585" w:gutter="0"/>
          <w:cols w:space="720"/>
        </w:sectPr>
      </w:pPr>
    </w:p>
    <w:p w14:paraId="12A73248" w14:textId="77777777" w:rsidR="00DB6E1F" w:rsidRDefault="00DB6E1F">
      <w:pPr>
        <w:pStyle w:val="BodyText"/>
        <w:spacing w:before="8"/>
        <w:rPr>
          <w:sz w:val="14"/>
        </w:rPr>
      </w:pPr>
    </w:p>
    <w:p w14:paraId="33409EDE" w14:textId="77777777" w:rsidR="00DB6E1F" w:rsidRDefault="00F666A6">
      <w:pPr>
        <w:pStyle w:val="BodyText"/>
        <w:spacing w:before="56"/>
        <w:ind w:left="1440"/>
      </w:pPr>
      <w:r>
        <w:t>nonmedical</w:t>
      </w:r>
      <w:r>
        <w:rPr>
          <w:spacing w:val="-3"/>
        </w:rPr>
        <w:t xml:space="preserve"> </w:t>
      </w:r>
      <w:r>
        <w:t>use</w:t>
      </w:r>
      <w:r>
        <w:rPr>
          <w:spacing w:val="-5"/>
        </w:rPr>
        <w:t xml:space="preserve"> </w:t>
      </w:r>
      <w:r>
        <w:t>of</w:t>
      </w:r>
      <w:r>
        <w:rPr>
          <w:spacing w:val="-6"/>
        </w:rPr>
        <w:t xml:space="preserve"> </w:t>
      </w:r>
      <w:r>
        <w:t>opioids</w:t>
      </w:r>
      <w:r>
        <w:rPr>
          <w:spacing w:val="-5"/>
        </w:rPr>
        <w:t xml:space="preserve"> </w:t>
      </w:r>
      <w:r>
        <w:t>(Bohnert</w:t>
      </w:r>
      <w:r>
        <w:rPr>
          <w:spacing w:val="-3"/>
        </w:rPr>
        <w:t xml:space="preserve"> </w:t>
      </w:r>
      <w:r>
        <w:t>et</w:t>
      </w:r>
      <w:r>
        <w:rPr>
          <w:spacing w:val="-5"/>
        </w:rPr>
        <w:t xml:space="preserve"> </w:t>
      </w:r>
      <w:r>
        <w:t>al.,</w:t>
      </w:r>
      <w:r>
        <w:rPr>
          <w:spacing w:val="-3"/>
        </w:rPr>
        <w:t xml:space="preserve"> </w:t>
      </w:r>
      <w:r>
        <w:t>2016;</w:t>
      </w:r>
      <w:r>
        <w:rPr>
          <w:spacing w:val="-2"/>
        </w:rPr>
        <w:t xml:space="preserve"> </w:t>
      </w:r>
      <w:r>
        <w:t>Coffin</w:t>
      </w:r>
      <w:r>
        <w:rPr>
          <w:spacing w:val="-4"/>
        </w:rPr>
        <w:t xml:space="preserve"> </w:t>
      </w:r>
      <w:r>
        <w:t>et</w:t>
      </w:r>
      <w:r>
        <w:rPr>
          <w:spacing w:val="-3"/>
        </w:rPr>
        <w:t xml:space="preserve"> </w:t>
      </w:r>
      <w:r>
        <w:t>al.,</w:t>
      </w:r>
      <w:r>
        <w:rPr>
          <w:spacing w:val="-4"/>
        </w:rPr>
        <w:t xml:space="preserve"> </w:t>
      </w:r>
      <w:r>
        <w:rPr>
          <w:spacing w:val="-2"/>
        </w:rPr>
        <w:t>2017).</w:t>
      </w:r>
    </w:p>
    <w:p w14:paraId="511B72A7" w14:textId="77777777" w:rsidR="00DB6E1F" w:rsidRDefault="00F666A6">
      <w:pPr>
        <w:pStyle w:val="BodyText"/>
        <w:spacing w:before="159"/>
        <w:ind w:left="1439" w:right="1507"/>
      </w:pPr>
      <w:r>
        <w:t>In addition, a growing body of evidence supports the use of SBIRT with adolescents, young adults, adults,</w:t>
      </w:r>
      <w:r>
        <w:rPr>
          <w:spacing w:val="-2"/>
        </w:rPr>
        <w:t xml:space="preserve"> </w:t>
      </w:r>
      <w:r>
        <w:t>and</w:t>
      </w:r>
      <w:r>
        <w:rPr>
          <w:spacing w:val="-3"/>
        </w:rPr>
        <w:t xml:space="preserve"> </w:t>
      </w:r>
      <w:r>
        <w:t>older</w:t>
      </w:r>
      <w:r>
        <w:rPr>
          <w:spacing w:val="-5"/>
        </w:rPr>
        <w:t xml:space="preserve"> </w:t>
      </w:r>
      <w:r>
        <w:t>adults,</w:t>
      </w:r>
      <w:r>
        <w:rPr>
          <w:spacing w:val="-2"/>
        </w:rPr>
        <w:t xml:space="preserve"> </w:t>
      </w:r>
      <w:r>
        <w:t>as</w:t>
      </w:r>
      <w:r>
        <w:rPr>
          <w:spacing w:val="-4"/>
        </w:rPr>
        <w:t xml:space="preserve"> </w:t>
      </w:r>
      <w:r>
        <w:t>well</w:t>
      </w:r>
      <w:r>
        <w:rPr>
          <w:spacing w:val="-2"/>
        </w:rPr>
        <w:t xml:space="preserve"> </w:t>
      </w:r>
      <w:r>
        <w:t>as</w:t>
      </w:r>
      <w:r>
        <w:rPr>
          <w:spacing w:val="-4"/>
        </w:rPr>
        <w:t xml:space="preserve"> </w:t>
      </w:r>
      <w:r>
        <w:t>ethnically</w:t>
      </w:r>
      <w:r>
        <w:rPr>
          <w:spacing w:val="-1"/>
        </w:rPr>
        <w:t xml:space="preserve"> </w:t>
      </w:r>
      <w:r>
        <w:t>and</w:t>
      </w:r>
      <w:r>
        <w:rPr>
          <w:spacing w:val="-3"/>
        </w:rPr>
        <w:t xml:space="preserve"> </w:t>
      </w:r>
      <w:r>
        <w:t>culturally</w:t>
      </w:r>
      <w:r>
        <w:rPr>
          <w:spacing w:val="-1"/>
        </w:rPr>
        <w:t xml:space="preserve"> </w:t>
      </w:r>
      <w:r>
        <w:t>diverse</w:t>
      </w:r>
      <w:r>
        <w:rPr>
          <w:spacing w:val="-1"/>
        </w:rPr>
        <w:t xml:space="preserve"> </w:t>
      </w:r>
      <w:r>
        <w:t>populations,</w:t>
      </w:r>
      <w:r>
        <w:rPr>
          <w:spacing w:val="-2"/>
        </w:rPr>
        <w:t xml:space="preserve"> </w:t>
      </w:r>
      <w:r>
        <w:t>particularly</w:t>
      </w:r>
      <w:r>
        <w:rPr>
          <w:spacing w:val="-3"/>
        </w:rPr>
        <w:t xml:space="preserve"> </w:t>
      </w:r>
      <w:r>
        <w:t>with</w:t>
      </w:r>
      <w:r>
        <w:rPr>
          <w:spacing w:val="-3"/>
        </w:rPr>
        <w:t xml:space="preserve"> </w:t>
      </w:r>
      <w:r>
        <w:t>careful selection of screening tools and tailoring the B</w:t>
      </w:r>
      <w:r>
        <w:t>I and referrals to each client’s needs (Appiah-Brempong, Okyere, Owusu-Addo, &amp; Cross, 2014; Gelberg et al., 2017; Manuel et al., 2015; Satre et al., 2015; Schonfeld et al.,</w:t>
      </w:r>
      <w:r>
        <w:rPr>
          <w:spacing w:val="-2"/>
        </w:rPr>
        <w:t xml:space="preserve"> </w:t>
      </w:r>
      <w:r>
        <w:t>2010; Tanner-Smith</w:t>
      </w:r>
      <w:r>
        <w:rPr>
          <w:spacing w:val="-3"/>
        </w:rPr>
        <w:t xml:space="preserve"> </w:t>
      </w:r>
      <w:r>
        <w:t>&amp; Lipsey,</w:t>
      </w:r>
      <w:r>
        <w:rPr>
          <w:spacing w:val="-2"/>
        </w:rPr>
        <w:t xml:space="preserve"> </w:t>
      </w:r>
      <w:r>
        <w:t>2015).</w:t>
      </w:r>
      <w:r>
        <w:rPr>
          <w:spacing w:val="-3"/>
        </w:rPr>
        <w:t xml:space="preserve"> </w:t>
      </w:r>
      <w:r>
        <w:t>For information</w:t>
      </w:r>
      <w:r>
        <w:rPr>
          <w:spacing w:val="-1"/>
        </w:rPr>
        <w:t xml:space="preserve"> </w:t>
      </w:r>
      <w:r>
        <w:t>about an</w:t>
      </w:r>
      <w:r>
        <w:rPr>
          <w:spacing w:val="-1"/>
        </w:rPr>
        <w:t xml:space="preserve"> </w:t>
      </w:r>
      <w:r>
        <w:t>SBIRT initiative for</w:t>
      </w:r>
      <w:r>
        <w:rPr>
          <w:spacing w:val="-2"/>
        </w:rPr>
        <w:t xml:space="preserve"> </w:t>
      </w:r>
      <w:r>
        <w:t>o</w:t>
      </w:r>
      <w:r>
        <w:t xml:space="preserve">lder adults (the BRITE Project), see the upcoming TIP on </w:t>
      </w:r>
      <w:r>
        <w:rPr>
          <w:i/>
        </w:rPr>
        <w:t xml:space="preserve">Treating Addiction in Older Adults </w:t>
      </w:r>
      <w:r>
        <w:t xml:space="preserve">(SAMHSA, </w:t>
      </w:r>
      <w:r>
        <w:rPr>
          <w:spacing w:val="-2"/>
        </w:rPr>
        <w:t>planned).</w:t>
      </w:r>
    </w:p>
    <w:p w14:paraId="250A5FDD" w14:textId="77777777" w:rsidR="00DB6E1F" w:rsidRDefault="00F666A6">
      <w:pPr>
        <w:pStyle w:val="Heading2"/>
        <w:spacing w:before="166"/>
      </w:pPr>
      <w:bookmarkStart w:id="80" w:name="_bookmark16"/>
      <w:bookmarkEnd w:id="80"/>
      <w:r>
        <w:rPr>
          <w:spacing w:val="-2"/>
        </w:rPr>
        <w:t>Conclusion</w:t>
      </w:r>
    </w:p>
    <w:p w14:paraId="1A0C6A0B" w14:textId="77777777" w:rsidR="00DB6E1F" w:rsidRDefault="00F666A6">
      <w:pPr>
        <w:pStyle w:val="BodyText"/>
        <w:spacing w:before="149"/>
        <w:ind w:left="1439" w:right="1491"/>
      </w:pPr>
      <w:r>
        <w:t>Motivational interventions can be used in BI, in BT, and throughout the SOC process. Some strategies, like screening and FRAMES, are m</w:t>
      </w:r>
      <w:r>
        <w:t>ore applicable to BI methods whereas others, like developing discrepancy</w:t>
      </w:r>
      <w:r>
        <w:rPr>
          <w:spacing w:val="-2"/>
        </w:rPr>
        <w:t xml:space="preserve"> </w:t>
      </w:r>
      <w:r>
        <w:t>and</w:t>
      </w:r>
      <w:r>
        <w:rPr>
          <w:spacing w:val="-3"/>
        </w:rPr>
        <w:t xml:space="preserve"> </w:t>
      </w:r>
      <w:r>
        <w:t>decisional</w:t>
      </w:r>
      <w:r>
        <w:rPr>
          <w:spacing w:val="-5"/>
        </w:rPr>
        <w:t xml:space="preserve"> </w:t>
      </w:r>
      <w:r>
        <w:t>balancing,</w:t>
      </w:r>
      <w:r>
        <w:rPr>
          <w:spacing w:val="-3"/>
        </w:rPr>
        <w:t xml:space="preserve"> </w:t>
      </w:r>
      <w:r>
        <w:t>are</w:t>
      </w:r>
      <w:r>
        <w:rPr>
          <w:spacing w:val="-4"/>
        </w:rPr>
        <w:t xml:space="preserve"> </w:t>
      </w:r>
      <w:r>
        <w:t>more</w:t>
      </w:r>
      <w:r>
        <w:rPr>
          <w:spacing w:val="-2"/>
        </w:rPr>
        <w:t xml:space="preserve"> </w:t>
      </w:r>
      <w:r>
        <w:t>useful</w:t>
      </w:r>
      <w:r>
        <w:rPr>
          <w:spacing w:val="-5"/>
        </w:rPr>
        <w:t xml:space="preserve"> </w:t>
      </w:r>
      <w:r>
        <w:t>in</w:t>
      </w:r>
      <w:r>
        <w:rPr>
          <w:spacing w:val="-3"/>
        </w:rPr>
        <w:t xml:space="preserve"> </w:t>
      </w:r>
      <w:r>
        <w:t>specialized</w:t>
      </w:r>
      <w:r>
        <w:rPr>
          <w:spacing w:val="-4"/>
        </w:rPr>
        <w:t xml:space="preserve"> </w:t>
      </w:r>
      <w:r>
        <w:t>addiction</w:t>
      </w:r>
      <w:r>
        <w:rPr>
          <w:spacing w:val="-3"/>
        </w:rPr>
        <w:t xml:space="preserve"> </w:t>
      </w:r>
      <w:r>
        <w:t>counseling</w:t>
      </w:r>
      <w:r>
        <w:rPr>
          <w:spacing w:val="-4"/>
        </w:rPr>
        <w:t xml:space="preserve"> </w:t>
      </w:r>
      <w:r>
        <w:t>settings</w:t>
      </w:r>
      <w:r>
        <w:rPr>
          <w:spacing w:val="-3"/>
        </w:rPr>
        <w:t xml:space="preserve"> </w:t>
      </w:r>
      <w:r>
        <w:t>where clients receive longer and more intensive treatment. What is common in all motivational in</w:t>
      </w:r>
      <w:r>
        <w:t>terventions, no matter the treatment setting or the client population, is the focus on engaging clients, building trust through empathetic listening, and demonstrating respect for clients’ autonomy and cultural customs and perspectives.</w:t>
      </w:r>
    </w:p>
    <w:p w14:paraId="694CE9C8" w14:textId="77777777" w:rsidR="00DB6E1F" w:rsidRDefault="00DB6E1F">
      <w:pPr>
        <w:sectPr w:rsidR="00DB6E1F">
          <w:pgSz w:w="12240" w:h="15840"/>
          <w:pgMar w:top="1200" w:right="0" w:bottom="780" w:left="0" w:header="763" w:footer="585" w:gutter="0"/>
          <w:cols w:space="720"/>
        </w:sectPr>
      </w:pPr>
    </w:p>
    <w:p w14:paraId="46B189ED" w14:textId="77777777" w:rsidR="00DB6E1F" w:rsidRDefault="00DB6E1F">
      <w:pPr>
        <w:pStyle w:val="BodyText"/>
        <w:spacing w:before="12"/>
        <w:rPr>
          <w:sz w:val="18"/>
        </w:rPr>
      </w:pPr>
    </w:p>
    <w:p w14:paraId="240534FF" w14:textId="77777777" w:rsidR="00DB6E1F" w:rsidRDefault="00F666A6">
      <w:pPr>
        <w:pStyle w:val="Heading1"/>
        <w:spacing w:line="259" w:lineRule="auto"/>
        <w:ind w:left="4485" w:right="1491" w:hanging="2595"/>
        <w:jc w:val="left"/>
      </w:pPr>
      <w:bookmarkStart w:id="81" w:name="Chapter_3—Motivational_Interviewing_as_a"/>
      <w:bookmarkStart w:id="82" w:name="_bookmark17"/>
      <w:bookmarkEnd w:id="81"/>
      <w:bookmarkEnd w:id="82"/>
      <w:r>
        <w:t>Chap</w:t>
      </w:r>
      <w:r>
        <w:t>ter</w:t>
      </w:r>
      <w:r>
        <w:rPr>
          <w:spacing w:val="-10"/>
        </w:rPr>
        <w:t xml:space="preserve"> </w:t>
      </w:r>
      <w:r>
        <w:t>3—Motivational</w:t>
      </w:r>
      <w:r>
        <w:rPr>
          <w:spacing w:val="-10"/>
        </w:rPr>
        <w:t xml:space="preserve"> </w:t>
      </w:r>
      <w:r>
        <w:t>Interviewing</w:t>
      </w:r>
      <w:r>
        <w:rPr>
          <w:spacing w:val="-10"/>
        </w:rPr>
        <w:t xml:space="preserve"> </w:t>
      </w:r>
      <w:r>
        <w:t>as</w:t>
      </w:r>
      <w:r>
        <w:rPr>
          <w:spacing w:val="-9"/>
        </w:rPr>
        <w:t xml:space="preserve"> </w:t>
      </w:r>
      <w:r>
        <w:t>a Counseling Style</w:t>
      </w:r>
    </w:p>
    <w:p w14:paraId="76CEE3B0" w14:textId="77777777" w:rsidR="00DB6E1F" w:rsidRDefault="00DB6E1F">
      <w:pPr>
        <w:pStyle w:val="BodyText"/>
        <w:spacing w:before="5"/>
        <w:rPr>
          <w:b/>
          <w:sz w:val="39"/>
        </w:rPr>
      </w:pPr>
    </w:p>
    <w:p w14:paraId="7A01DAF5" w14:textId="77777777" w:rsidR="00DB6E1F" w:rsidRDefault="00F666A6">
      <w:pPr>
        <w:ind w:left="1440" w:right="1491" w:hanging="1"/>
        <w:rPr>
          <w:sz w:val="20"/>
        </w:rPr>
      </w:pPr>
      <w:r>
        <w:rPr>
          <w:sz w:val="20"/>
        </w:rPr>
        <w:t>“Motivational</w:t>
      </w:r>
      <w:r>
        <w:rPr>
          <w:spacing w:val="-4"/>
          <w:sz w:val="20"/>
        </w:rPr>
        <w:t xml:space="preserve"> </w:t>
      </w:r>
      <w:r>
        <w:rPr>
          <w:sz w:val="20"/>
        </w:rPr>
        <w:t>interviewing</w:t>
      </w:r>
      <w:r>
        <w:rPr>
          <w:spacing w:val="-4"/>
          <w:sz w:val="20"/>
        </w:rPr>
        <w:t xml:space="preserve"> </w:t>
      </w:r>
      <w:r>
        <w:rPr>
          <w:sz w:val="20"/>
        </w:rPr>
        <w:t>is</w:t>
      </w:r>
      <w:r>
        <w:rPr>
          <w:spacing w:val="-3"/>
          <w:sz w:val="20"/>
        </w:rPr>
        <w:t xml:space="preserve"> </w:t>
      </w:r>
      <w:r>
        <w:rPr>
          <w:sz w:val="20"/>
        </w:rPr>
        <w:t>a</w:t>
      </w:r>
      <w:r>
        <w:rPr>
          <w:spacing w:val="-4"/>
          <w:sz w:val="20"/>
        </w:rPr>
        <w:t xml:space="preserve"> </w:t>
      </w:r>
      <w:r>
        <w:rPr>
          <w:sz w:val="20"/>
        </w:rPr>
        <w:t>person-centered</w:t>
      </w:r>
      <w:r>
        <w:rPr>
          <w:spacing w:val="-3"/>
          <w:sz w:val="20"/>
        </w:rPr>
        <w:t xml:space="preserve"> </w:t>
      </w:r>
      <w:r>
        <w:rPr>
          <w:sz w:val="20"/>
        </w:rPr>
        <w:t>counseling</w:t>
      </w:r>
      <w:r>
        <w:rPr>
          <w:spacing w:val="-1"/>
          <w:sz w:val="20"/>
        </w:rPr>
        <w:t xml:space="preserve"> </w:t>
      </w:r>
      <w:r>
        <w:rPr>
          <w:sz w:val="20"/>
        </w:rPr>
        <w:t>style</w:t>
      </w:r>
      <w:r>
        <w:rPr>
          <w:spacing w:val="-5"/>
          <w:sz w:val="20"/>
        </w:rPr>
        <w:t xml:space="preserve"> </w:t>
      </w:r>
      <w:r>
        <w:rPr>
          <w:sz w:val="20"/>
        </w:rPr>
        <w:t>for</w:t>
      </w:r>
      <w:r>
        <w:rPr>
          <w:spacing w:val="-4"/>
          <w:sz w:val="20"/>
        </w:rPr>
        <w:t xml:space="preserve"> </w:t>
      </w:r>
      <w:r>
        <w:rPr>
          <w:sz w:val="20"/>
        </w:rPr>
        <w:t>addressing</w:t>
      </w:r>
      <w:r>
        <w:rPr>
          <w:spacing w:val="-4"/>
          <w:sz w:val="20"/>
        </w:rPr>
        <w:t xml:space="preserve"> </w:t>
      </w:r>
      <w:r>
        <w:rPr>
          <w:sz w:val="20"/>
        </w:rPr>
        <w:t>the</w:t>
      </w:r>
      <w:r>
        <w:rPr>
          <w:spacing w:val="-5"/>
          <w:sz w:val="20"/>
        </w:rPr>
        <w:t xml:space="preserve"> </w:t>
      </w:r>
      <w:r>
        <w:rPr>
          <w:sz w:val="20"/>
        </w:rPr>
        <w:t>common</w:t>
      </w:r>
      <w:r>
        <w:rPr>
          <w:spacing w:val="-3"/>
          <w:sz w:val="20"/>
        </w:rPr>
        <w:t xml:space="preserve"> </w:t>
      </w:r>
      <w:r>
        <w:rPr>
          <w:sz w:val="20"/>
        </w:rPr>
        <w:t>problem</w:t>
      </w:r>
      <w:r>
        <w:rPr>
          <w:spacing w:val="-5"/>
          <w:sz w:val="20"/>
        </w:rPr>
        <w:t xml:space="preserve"> </w:t>
      </w:r>
      <w:r>
        <w:rPr>
          <w:sz w:val="20"/>
        </w:rPr>
        <w:t>of ambivalence about change.”</w:t>
      </w:r>
    </w:p>
    <w:p w14:paraId="3439EB4E" w14:textId="77777777" w:rsidR="00DB6E1F" w:rsidRDefault="00F666A6">
      <w:pPr>
        <w:pStyle w:val="BodyText"/>
        <w:spacing w:before="115"/>
        <w:ind w:left="1444" w:right="1444"/>
        <w:jc w:val="center"/>
      </w:pPr>
      <w:r>
        <w:t>Miller</w:t>
      </w:r>
      <w:r>
        <w:rPr>
          <w:spacing w:val="-5"/>
        </w:rPr>
        <w:t xml:space="preserve"> </w:t>
      </w:r>
      <w:r>
        <w:t>&amp;</w:t>
      </w:r>
      <w:r>
        <w:rPr>
          <w:spacing w:val="-2"/>
        </w:rPr>
        <w:t xml:space="preserve"> </w:t>
      </w:r>
      <w:r>
        <w:t>Rollnick,</w:t>
      </w:r>
      <w:r>
        <w:rPr>
          <w:spacing w:val="-5"/>
        </w:rPr>
        <w:t xml:space="preserve"> </w:t>
      </w:r>
      <w:r>
        <w:t>2013,</w:t>
      </w:r>
      <w:r>
        <w:rPr>
          <w:spacing w:val="-3"/>
        </w:rPr>
        <w:t xml:space="preserve"> </w:t>
      </w:r>
      <w:r>
        <w:t>p.</w:t>
      </w:r>
      <w:r>
        <w:rPr>
          <w:spacing w:val="-5"/>
        </w:rPr>
        <w:t xml:space="preserve"> 21</w:t>
      </w:r>
    </w:p>
    <w:p w14:paraId="2D04E462" w14:textId="77777777" w:rsidR="00DB6E1F" w:rsidRDefault="00DB6E1F">
      <w:pPr>
        <w:pStyle w:val="BodyText"/>
        <w:rPr>
          <w:sz w:val="15"/>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49F353C1" w14:textId="77777777">
        <w:trPr>
          <w:trHeight w:val="2152"/>
        </w:trPr>
        <w:tc>
          <w:tcPr>
            <w:tcW w:w="9350" w:type="dxa"/>
            <w:shd w:val="clear" w:color="auto" w:fill="E7E6E6"/>
          </w:tcPr>
          <w:p w14:paraId="2FBA3D4C" w14:textId="77777777" w:rsidR="00DB6E1F" w:rsidRDefault="00F666A6">
            <w:pPr>
              <w:pStyle w:val="TableParagraph"/>
              <w:spacing w:before="123"/>
              <w:ind w:left="4094"/>
              <w:rPr>
                <w:b/>
                <w:sz w:val="20"/>
              </w:rPr>
            </w:pPr>
            <w:r>
              <w:rPr>
                <w:b/>
                <w:sz w:val="20"/>
              </w:rPr>
              <w:t>Key</w:t>
            </w:r>
            <w:r>
              <w:rPr>
                <w:b/>
                <w:spacing w:val="-6"/>
                <w:sz w:val="20"/>
              </w:rPr>
              <w:t xml:space="preserve"> </w:t>
            </w:r>
            <w:r>
              <w:rPr>
                <w:b/>
                <w:spacing w:val="-2"/>
                <w:sz w:val="20"/>
              </w:rPr>
              <w:t>Messages</w:t>
            </w:r>
          </w:p>
          <w:p w14:paraId="16CE6135" w14:textId="77777777" w:rsidR="00DB6E1F" w:rsidRDefault="00F666A6">
            <w:pPr>
              <w:pStyle w:val="TableParagraph"/>
              <w:numPr>
                <w:ilvl w:val="0"/>
                <w:numId w:val="78"/>
              </w:numPr>
              <w:tabs>
                <w:tab w:val="left" w:pos="467"/>
                <w:tab w:val="left" w:pos="468"/>
              </w:tabs>
              <w:spacing w:before="118"/>
              <w:ind w:right="166"/>
              <w:rPr>
                <w:sz w:val="20"/>
              </w:rPr>
            </w:pPr>
            <w:r>
              <w:rPr>
                <w:sz w:val="20"/>
              </w:rPr>
              <w:t>The</w:t>
            </w:r>
            <w:r>
              <w:rPr>
                <w:spacing w:val="-4"/>
                <w:sz w:val="20"/>
              </w:rPr>
              <w:t xml:space="preserve"> </w:t>
            </w:r>
            <w:r>
              <w:rPr>
                <w:sz w:val="20"/>
              </w:rPr>
              <w:t>spirit</w:t>
            </w:r>
            <w:r>
              <w:rPr>
                <w:spacing w:val="-3"/>
                <w:sz w:val="20"/>
              </w:rPr>
              <w:t xml:space="preserve"> </w:t>
            </w:r>
            <w:r>
              <w:rPr>
                <w:sz w:val="20"/>
              </w:rPr>
              <w:t>of</w:t>
            </w:r>
            <w:r>
              <w:rPr>
                <w:spacing w:val="-4"/>
                <w:sz w:val="20"/>
              </w:rPr>
              <w:t xml:space="preserve"> </w:t>
            </w:r>
            <w:r>
              <w:rPr>
                <w:sz w:val="20"/>
              </w:rPr>
              <w:t>motivational</w:t>
            </w:r>
            <w:r>
              <w:rPr>
                <w:spacing w:val="-3"/>
                <w:sz w:val="20"/>
              </w:rPr>
              <w:t xml:space="preserve"> </w:t>
            </w:r>
            <w:r>
              <w:rPr>
                <w:sz w:val="20"/>
              </w:rPr>
              <w:t>interviewing</w:t>
            </w:r>
            <w:r>
              <w:rPr>
                <w:spacing w:val="-3"/>
                <w:sz w:val="20"/>
              </w:rPr>
              <w:t xml:space="preserve"> </w:t>
            </w:r>
            <w:r>
              <w:rPr>
                <w:sz w:val="20"/>
              </w:rPr>
              <w:t>(MI)</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foundation</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counseling</w:t>
            </w:r>
            <w:r>
              <w:rPr>
                <w:spacing w:val="-3"/>
                <w:sz w:val="20"/>
              </w:rPr>
              <w:t xml:space="preserve"> </w:t>
            </w:r>
            <w:r>
              <w:rPr>
                <w:sz w:val="20"/>
              </w:rPr>
              <w:t>skills</w:t>
            </w:r>
            <w:r>
              <w:rPr>
                <w:spacing w:val="-4"/>
                <w:sz w:val="20"/>
              </w:rPr>
              <w:t xml:space="preserve"> </w:t>
            </w:r>
            <w:r>
              <w:rPr>
                <w:sz w:val="20"/>
              </w:rPr>
              <w:t>required</w:t>
            </w:r>
            <w:r>
              <w:rPr>
                <w:spacing w:val="-2"/>
                <w:sz w:val="20"/>
              </w:rPr>
              <w:t xml:space="preserve"> </w:t>
            </w:r>
            <w:r>
              <w:rPr>
                <w:sz w:val="20"/>
              </w:rPr>
              <w:t>for</w:t>
            </w:r>
            <w:r>
              <w:rPr>
                <w:spacing w:val="-3"/>
                <w:sz w:val="20"/>
              </w:rPr>
              <w:t xml:space="preserve"> </w:t>
            </w:r>
            <w:r>
              <w:rPr>
                <w:sz w:val="20"/>
              </w:rPr>
              <w:t>enhancing clients’ motivation to change.</w:t>
            </w:r>
          </w:p>
          <w:p w14:paraId="0673E481" w14:textId="77777777" w:rsidR="00DB6E1F" w:rsidRDefault="00F666A6">
            <w:pPr>
              <w:pStyle w:val="TableParagraph"/>
              <w:numPr>
                <w:ilvl w:val="0"/>
                <w:numId w:val="78"/>
              </w:numPr>
              <w:tabs>
                <w:tab w:val="left" w:pos="467"/>
                <w:tab w:val="left" w:pos="468"/>
              </w:tabs>
              <w:spacing w:before="41"/>
              <w:ind w:hanging="361"/>
              <w:rPr>
                <w:sz w:val="20"/>
              </w:rPr>
            </w:pPr>
            <w:r>
              <w:rPr>
                <w:sz w:val="20"/>
              </w:rPr>
              <w:t>Ambivalence</w:t>
            </w:r>
            <w:r>
              <w:rPr>
                <w:spacing w:val="-8"/>
                <w:sz w:val="20"/>
              </w:rPr>
              <w:t xml:space="preserve"> </w:t>
            </w:r>
            <w:r>
              <w:rPr>
                <w:sz w:val="20"/>
              </w:rPr>
              <w:t>about</w:t>
            </w:r>
            <w:r>
              <w:rPr>
                <w:spacing w:val="-7"/>
                <w:sz w:val="20"/>
              </w:rPr>
              <w:t xml:space="preserve"> </w:t>
            </w:r>
            <w:r>
              <w:rPr>
                <w:sz w:val="20"/>
              </w:rPr>
              <w:t>change</w:t>
            </w:r>
            <w:r>
              <w:rPr>
                <w:spacing w:val="-7"/>
                <w:sz w:val="20"/>
              </w:rPr>
              <w:t xml:space="preserve"> </w:t>
            </w:r>
            <w:r>
              <w:rPr>
                <w:sz w:val="20"/>
              </w:rPr>
              <w:t>is</w:t>
            </w:r>
            <w:r>
              <w:rPr>
                <w:spacing w:val="-6"/>
                <w:sz w:val="20"/>
              </w:rPr>
              <w:t xml:space="preserve"> </w:t>
            </w:r>
            <w:r>
              <w:rPr>
                <w:sz w:val="20"/>
              </w:rPr>
              <w:t>normal;</w:t>
            </w:r>
            <w:r>
              <w:rPr>
                <w:spacing w:val="-7"/>
                <w:sz w:val="20"/>
              </w:rPr>
              <w:t xml:space="preserve"> </w:t>
            </w:r>
            <w:r>
              <w:rPr>
                <w:sz w:val="20"/>
              </w:rPr>
              <w:t>resolving</w:t>
            </w:r>
            <w:r>
              <w:rPr>
                <w:spacing w:val="-7"/>
                <w:sz w:val="20"/>
              </w:rPr>
              <w:t xml:space="preserve"> </w:t>
            </w:r>
            <w:r>
              <w:rPr>
                <w:sz w:val="20"/>
              </w:rPr>
              <w:t>clients’</w:t>
            </w:r>
            <w:r>
              <w:rPr>
                <w:spacing w:val="-5"/>
                <w:sz w:val="20"/>
              </w:rPr>
              <w:t xml:space="preserve"> </w:t>
            </w:r>
            <w:r>
              <w:rPr>
                <w:sz w:val="20"/>
              </w:rPr>
              <w:t>ambivalence</w:t>
            </w:r>
            <w:r>
              <w:rPr>
                <w:spacing w:val="-8"/>
                <w:sz w:val="20"/>
              </w:rPr>
              <w:t xml:space="preserve"> </w:t>
            </w:r>
            <w:r>
              <w:rPr>
                <w:sz w:val="20"/>
              </w:rPr>
              <w:t>about</w:t>
            </w:r>
            <w:r>
              <w:rPr>
                <w:spacing w:val="-6"/>
                <w:sz w:val="20"/>
              </w:rPr>
              <w:t xml:space="preserve"> </w:t>
            </w:r>
            <w:r>
              <w:rPr>
                <w:sz w:val="20"/>
              </w:rPr>
              <w:t>substance</w:t>
            </w:r>
            <w:r>
              <w:rPr>
                <w:spacing w:val="-8"/>
                <w:sz w:val="20"/>
              </w:rPr>
              <w:t xml:space="preserve"> </w:t>
            </w:r>
            <w:r>
              <w:rPr>
                <w:sz w:val="20"/>
              </w:rPr>
              <w:t>use</w:t>
            </w:r>
            <w:r>
              <w:rPr>
                <w:spacing w:val="-7"/>
                <w:sz w:val="20"/>
              </w:rPr>
              <w:t xml:space="preserve"> </w:t>
            </w:r>
            <w:r>
              <w:rPr>
                <w:sz w:val="20"/>
              </w:rPr>
              <w:t>is</w:t>
            </w:r>
            <w:r>
              <w:rPr>
                <w:spacing w:val="-8"/>
                <w:sz w:val="20"/>
              </w:rPr>
              <w:t xml:space="preserve"> </w:t>
            </w:r>
            <w:r>
              <w:rPr>
                <w:sz w:val="20"/>
              </w:rPr>
              <w:t>a</w:t>
            </w:r>
            <w:r>
              <w:rPr>
                <w:spacing w:val="-6"/>
                <w:sz w:val="20"/>
              </w:rPr>
              <w:t xml:space="preserve"> </w:t>
            </w:r>
            <w:r>
              <w:rPr>
                <w:sz w:val="20"/>
              </w:rPr>
              <w:t>key</w:t>
            </w:r>
            <w:r>
              <w:rPr>
                <w:spacing w:val="-6"/>
                <w:sz w:val="20"/>
              </w:rPr>
              <w:t xml:space="preserve"> </w:t>
            </w:r>
            <w:r>
              <w:rPr>
                <w:sz w:val="20"/>
              </w:rPr>
              <w:t>MI</w:t>
            </w:r>
            <w:r>
              <w:rPr>
                <w:spacing w:val="-7"/>
                <w:sz w:val="20"/>
              </w:rPr>
              <w:t xml:space="preserve"> </w:t>
            </w:r>
            <w:r>
              <w:rPr>
                <w:spacing w:val="-2"/>
                <w:sz w:val="20"/>
              </w:rPr>
              <w:t>focus.</w:t>
            </w:r>
          </w:p>
          <w:p w14:paraId="2711EFD2" w14:textId="77777777" w:rsidR="00DB6E1F" w:rsidRDefault="00F666A6">
            <w:pPr>
              <w:pStyle w:val="TableParagraph"/>
              <w:numPr>
                <w:ilvl w:val="0"/>
                <w:numId w:val="78"/>
              </w:numPr>
              <w:tabs>
                <w:tab w:val="left" w:pos="467"/>
                <w:tab w:val="left" w:pos="468"/>
              </w:tabs>
              <w:spacing w:before="40"/>
              <w:ind w:hanging="361"/>
              <w:rPr>
                <w:sz w:val="20"/>
              </w:rPr>
            </w:pPr>
            <w:r>
              <w:rPr>
                <w:sz w:val="20"/>
              </w:rPr>
              <w:t>Resistance</w:t>
            </w:r>
            <w:r>
              <w:rPr>
                <w:spacing w:val="-7"/>
                <w:sz w:val="20"/>
              </w:rPr>
              <w:t xml:space="preserve"> </w:t>
            </w:r>
            <w:r>
              <w:rPr>
                <w:sz w:val="20"/>
              </w:rPr>
              <w:t>to</w:t>
            </w:r>
            <w:r>
              <w:rPr>
                <w:spacing w:val="-5"/>
                <w:sz w:val="20"/>
              </w:rPr>
              <w:t xml:space="preserve"> </w:t>
            </w:r>
            <w:r>
              <w:rPr>
                <w:sz w:val="20"/>
              </w:rPr>
              <w:t>change</w:t>
            </w:r>
            <w:r>
              <w:rPr>
                <w:spacing w:val="-6"/>
                <w:sz w:val="20"/>
              </w:rPr>
              <w:t xml:space="preserve"> </w:t>
            </w:r>
            <w:r>
              <w:rPr>
                <w:sz w:val="20"/>
              </w:rPr>
              <w:t>is</w:t>
            </w:r>
            <w:r>
              <w:rPr>
                <w:spacing w:val="-6"/>
                <w:sz w:val="20"/>
              </w:rPr>
              <w:t xml:space="preserve"> </w:t>
            </w:r>
            <w:r>
              <w:rPr>
                <w:sz w:val="20"/>
              </w:rPr>
              <w:t>an</w:t>
            </w:r>
            <w:r>
              <w:rPr>
                <w:spacing w:val="-4"/>
                <w:sz w:val="20"/>
              </w:rPr>
              <w:t xml:space="preserve"> </w:t>
            </w:r>
            <w:r>
              <w:rPr>
                <w:sz w:val="20"/>
              </w:rPr>
              <w:t>expression</w:t>
            </w:r>
            <w:r>
              <w:rPr>
                <w:spacing w:val="-5"/>
                <w:sz w:val="20"/>
              </w:rPr>
              <w:t xml:space="preserve"> </w:t>
            </w:r>
            <w:r>
              <w:rPr>
                <w:sz w:val="20"/>
              </w:rPr>
              <w:t>of</w:t>
            </w:r>
            <w:r>
              <w:rPr>
                <w:spacing w:val="-6"/>
                <w:sz w:val="20"/>
              </w:rPr>
              <w:t xml:space="preserve"> </w:t>
            </w:r>
            <w:r>
              <w:rPr>
                <w:sz w:val="20"/>
              </w:rPr>
              <w:t>ambivalence</w:t>
            </w:r>
            <w:r>
              <w:rPr>
                <w:spacing w:val="-6"/>
                <w:sz w:val="20"/>
              </w:rPr>
              <w:t xml:space="preserve"> </w:t>
            </w:r>
            <w:r>
              <w:rPr>
                <w:sz w:val="20"/>
              </w:rPr>
              <w:t>about</w:t>
            </w:r>
            <w:r>
              <w:rPr>
                <w:spacing w:val="-5"/>
                <w:sz w:val="20"/>
              </w:rPr>
              <w:t xml:space="preserve"> </w:t>
            </w:r>
            <w:r>
              <w:rPr>
                <w:sz w:val="20"/>
              </w:rPr>
              <w:t>change,</w:t>
            </w:r>
            <w:r>
              <w:rPr>
                <w:spacing w:val="-5"/>
                <w:sz w:val="20"/>
              </w:rPr>
              <w:t xml:space="preserve"> </w:t>
            </w:r>
            <w:r>
              <w:rPr>
                <w:sz w:val="20"/>
              </w:rPr>
              <w:t>not</w:t>
            </w:r>
            <w:r>
              <w:rPr>
                <w:spacing w:val="-5"/>
                <w:sz w:val="20"/>
              </w:rPr>
              <w:t xml:space="preserve"> </w:t>
            </w:r>
            <w:r>
              <w:rPr>
                <w:sz w:val="20"/>
              </w:rPr>
              <w:t>a</w:t>
            </w:r>
            <w:r>
              <w:rPr>
                <w:spacing w:val="-4"/>
                <w:sz w:val="20"/>
              </w:rPr>
              <w:t xml:space="preserve"> </w:t>
            </w:r>
            <w:r>
              <w:rPr>
                <w:sz w:val="20"/>
              </w:rPr>
              <w:t>client</w:t>
            </w:r>
            <w:r>
              <w:rPr>
                <w:spacing w:val="-6"/>
                <w:sz w:val="20"/>
              </w:rPr>
              <w:t xml:space="preserve"> </w:t>
            </w:r>
            <w:r>
              <w:rPr>
                <w:sz w:val="20"/>
              </w:rPr>
              <w:t>trait</w:t>
            </w:r>
            <w:r>
              <w:rPr>
                <w:spacing w:val="-5"/>
                <w:sz w:val="20"/>
              </w:rPr>
              <w:t xml:space="preserve"> </w:t>
            </w:r>
            <w:r>
              <w:rPr>
                <w:sz w:val="20"/>
              </w:rPr>
              <w:t>or</w:t>
            </w:r>
            <w:r>
              <w:rPr>
                <w:spacing w:val="-4"/>
                <w:sz w:val="20"/>
              </w:rPr>
              <w:t xml:space="preserve"> </w:t>
            </w:r>
            <w:r>
              <w:rPr>
                <w:spacing w:val="-2"/>
                <w:sz w:val="20"/>
              </w:rPr>
              <w:t>characteristic.</w:t>
            </w:r>
          </w:p>
          <w:p w14:paraId="762A25A6" w14:textId="77777777" w:rsidR="00DB6E1F" w:rsidRDefault="00F666A6">
            <w:pPr>
              <w:pStyle w:val="TableParagraph"/>
              <w:numPr>
                <w:ilvl w:val="0"/>
                <w:numId w:val="78"/>
              </w:numPr>
              <w:tabs>
                <w:tab w:val="left" w:pos="467"/>
                <w:tab w:val="left" w:pos="468"/>
              </w:tabs>
              <w:spacing w:before="38"/>
              <w:ind w:right="326"/>
              <w:rPr>
                <w:sz w:val="20"/>
              </w:rPr>
            </w:pPr>
            <w:r>
              <w:rPr>
                <w:sz w:val="20"/>
              </w:rPr>
              <w:t>Reflective</w:t>
            </w:r>
            <w:r>
              <w:rPr>
                <w:spacing w:val="-4"/>
                <w:sz w:val="20"/>
              </w:rPr>
              <w:t xml:space="preserve"> </w:t>
            </w:r>
            <w:r>
              <w:rPr>
                <w:sz w:val="20"/>
              </w:rPr>
              <w:t>listening</w:t>
            </w:r>
            <w:r>
              <w:rPr>
                <w:spacing w:val="-3"/>
                <w:sz w:val="20"/>
              </w:rPr>
              <w:t xml:space="preserve"> </w:t>
            </w:r>
            <w:r>
              <w:rPr>
                <w:sz w:val="20"/>
              </w:rPr>
              <w:t>is</w:t>
            </w:r>
            <w:r>
              <w:rPr>
                <w:spacing w:val="-4"/>
                <w:sz w:val="20"/>
              </w:rPr>
              <w:t xml:space="preserve"> </w:t>
            </w:r>
            <w:r>
              <w:rPr>
                <w:sz w:val="20"/>
              </w:rPr>
              <w:t>fundamental</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four</w:t>
            </w:r>
            <w:r>
              <w:rPr>
                <w:spacing w:val="-3"/>
                <w:sz w:val="20"/>
              </w:rPr>
              <w:t xml:space="preserve"> </w:t>
            </w:r>
            <w:r>
              <w:rPr>
                <w:sz w:val="20"/>
              </w:rPr>
              <w:t>MI</w:t>
            </w:r>
            <w:r>
              <w:rPr>
                <w:spacing w:val="-3"/>
                <w:sz w:val="20"/>
              </w:rPr>
              <w:t xml:space="preserve"> </w:t>
            </w:r>
            <w:r>
              <w:rPr>
                <w:sz w:val="20"/>
              </w:rPr>
              <w:t>process</w:t>
            </w:r>
            <w:r>
              <w:rPr>
                <w:spacing w:val="-5"/>
                <w:sz w:val="20"/>
              </w:rPr>
              <w:t xml:space="preserve"> </w:t>
            </w:r>
            <w:r>
              <w:rPr>
                <w:sz w:val="20"/>
              </w:rPr>
              <w:t>(i.e.,</w:t>
            </w:r>
            <w:r>
              <w:rPr>
                <w:spacing w:val="-2"/>
                <w:sz w:val="20"/>
              </w:rPr>
              <w:t xml:space="preserve"> </w:t>
            </w:r>
            <w:r>
              <w:rPr>
                <w:sz w:val="20"/>
              </w:rPr>
              <w:t>engaging,</w:t>
            </w:r>
            <w:r>
              <w:rPr>
                <w:spacing w:val="-2"/>
                <w:sz w:val="20"/>
              </w:rPr>
              <w:t xml:space="preserve"> </w:t>
            </w:r>
            <w:r>
              <w:rPr>
                <w:sz w:val="20"/>
              </w:rPr>
              <w:t>focusing,</w:t>
            </w:r>
            <w:r>
              <w:rPr>
                <w:spacing w:val="-2"/>
                <w:sz w:val="20"/>
              </w:rPr>
              <w:t xml:space="preserve"> </w:t>
            </w:r>
            <w:r>
              <w:rPr>
                <w:sz w:val="20"/>
              </w:rPr>
              <w:t>evoking,</w:t>
            </w:r>
            <w:r>
              <w:rPr>
                <w:spacing w:val="-2"/>
                <w:sz w:val="20"/>
              </w:rPr>
              <w:t xml:space="preserve"> </w:t>
            </w:r>
            <w:r>
              <w:rPr>
                <w:sz w:val="20"/>
              </w:rPr>
              <w:t>and</w:t>
            </w:r>
            <w:r>
              <w:rPr>
                <w:spacing w:val="-2"/>
                <w:sz w:val="20"/>
              </w:rPr>
              <w:t xml:space="preserve"> </w:t>
            </w:r>
            <w:r>
              <w:rPr>
                <w:sz w:val="20"/>
              </w:rPr>
              <w:t>planning) and core counseling strategies.</w:t>
            </w:r>
          </w:p>
        </w:tc>
      </w:tr>
    </w:tbl>
    <w:p w14:paraId="16E0F619" w14:textId="77777777" w:rsidR="00DB6E1F" w:rsidRDefault="00F666A6">
      <w:pPr>
        <w:pStyle w:val="BodyText"/>
        <w:spacing w:before="160"/>
        <w:ind w:left="1439" w:right="1444"/>
      </w:pPr>
      <w:r>
        <w:t>Chapter</w:t>
      </w:r>
      <w:r>
        <w:rPr>
          <w:spacing w:val="-2"/>
        </w:rPr>
        <w:t xml:space="preserve"> </w:t>
      </w:r>
      <w:r>
        <w:t>3</w:t>
      </w:r>
      <w:r>
        <w:rPr>
          <w:spacing w:val="-3"/>
        </w:rPr>
        <w:t xml:space="preserve"> </w:t>
      </w:r>
      <w:r>
        <w:t>explores</w:t>
      </w:r>
      <w:r>
        <w:rPr>
          <w:spacing w:val="-3"/>
        </w:rPr>
        <w:t xml:space="preserve"> </w:t>
      </w:r>
      <w:r>
        <w:t>specific</w:t>
      </w:r>
      <w:r>
        <w:rPr>
          <w:spacing w:val="-6"/>
        </w:rPr>
        <w:t xml:space="preserve"> </w:t>
      </w:r>
      <w:r>
        <w:t>MI</w:t>
      </w:r>
      <w:r>
        <w:rPr>
          <w:spacing w:val="-2"/>
        </w:rPr>
        <w:t xml:space="preserve"> </w:t>
      </w:r>
      <w:r>
        <w:t>strategies</w:t>
      </w:r>
      <w:r>
        <w:rPr>
          <w:spacing w:val="-3"/>
        </w:rPr>
        <w:t xml:space="preserve"> </w:t>
      </w:r>
      <w:r>
        <w:t>you</w:t>
      </w:r>
      <w:r>
        <w:rPr>
          <w:spacing w:val="-3"/>
        </w:rPr>
        <w:t xml:space="preserve"> </w:t>
      </w:r>
      <w:r>
        <w:t>can</w:t>
      </w:r>
      <w:r>
        <w:rPr>
          <w:spacing w:val="-3"/>
        </w:rPr>
        <w:t xml:space="preserve"> </w:t>
      </w:r>
      <w:r>
        <w:t>use</w:t>
      </w:r>
      <w:r>
        <w:rPr>
          <w:spacing w:val="-1"/>
        </w:rPr>
        <w:t xml:space="preserve"> </w:t>
      </w:r>
      <w:r>
        <w:t>to</w:t>
      </w:r>
      <w:r>
        <w:rPr>
          <w:spacing w:val="-1"/>
        </w:rPr>
        <w:t xml:space="preserve"> </w:t>
      </w:r>
      <w:r>
        <w:t>help</w:t>
      </w:r>
      <w:r>
        <w:rPr>
          <w:spacing w:val="-3"/>
        </w:rPr>
        <w:t xml:space="preserve"> </w:t>
      </w:r>
      <w:r>
        <w:t>clients</w:t>
      </w:r>
      <w:r>
        <w:rPr>
          <w:spacing w:val="-3"/>
        </w:rPr>
        <w:t xml:space="preserve"> </w:t>
      </w:r>
      <w:r>
        <w:t>who</w:t>
      </w:r>
      <w:r>
        <w:rPr>
          <w:spacing w:val="-3"/>
        </w:rPr>
        <w:t xml:space="preserve"> </w:t>
      </w:r>
      <w:r>
        <w:t>misuse</w:t>
      </w:r>
      <w:r>
        <w:rPr>
          <w:spacing w:val="-1"/>
        </w:rPr>
        <w:t xml:space="preserve"> </w:t>
      </w:r>
      <w:r>
        <w:t>substances</w:t>
      </w:r>
      <w:r>
        <w:rPr>
          <w:spacing w:val="-3"/>
        </w:rPr>
        <w:t xml:space="preserve"> </w:t>
      </w:r>
      <w:r>
        <w:t>or</w:t>
      </w:r>
      <w:r>
        <w:rPr>
          <w:spacing w:val="-4"/>
        </w:rPr>
        <w:t xml:space="preserve"> </w:t>
      </w:r>
      <w:r>
        <w:t>who have substance use disorders (SUDs) strengthen their motivation and commitment to change their substance use behav</w:t>
      </w:r>
      <w:r>
        <w:t>iors. This chapter examines what’s new in MI, the spirit of MI, the concept of ambivalence, core counseling skills, and the four processes of MI, as well as the effectiveness of MI in treating SUDs.</w:t>
      </w:r>
    </w:p>
    <w:p w14:paraId="4F4DCE89" w14:textId="77777777" w:rsidR="00DB6E1F" w:rsidRDefault="00F666A6">
      <w:pPr>
        <w:pStyle w:val="Heading2"/>
        <w:spacing w:before="163"/>
      </w:pPr>
      <w:bookmarkStart w:id="83" w:name="Introduction_to_MI"/>
      <w:bookmarkStart w:id="84" w:name="_bookmark18"/>
      <w:bookmarkEnd w:id="83"/>
      <w:bookmarkEnd w:id="84"/>
      <w:r>
        <w:t>Introduction</w:t>
      </w:r>
      <w:r>
        <w:rPr>
          <w:spacing w:val="-1"/>
        </w:rPr>
        <w:t xml:space="preserve"> </w:t>
      </w:r>
      <w:r>
        <w:t>to</w:t>
      </w:r>
      <w:r>
        <w:rPr>
          <w:spacing w:val="-3"/>
        </w:rPr>
        <w:t xml:space="preserve"> </w:t>
      </w:r>
      <w:r>
        <w:rPr>
          <w:spacing w:val="-5"/>
        </w:rPr>
        <w:t>MI</w:t>
      </w:r>
    </w:p>
    <w:p w14:paraId="76F9331C" w14:textId="77777777" w:rsidR="00DB6E1F" w:rsidRDefault="00F666A6">
      <w:pPr>
        <w:pStyle w:val="BodyText"/>
        <w:spacing w:before="152"/>
        <w:ind w:left="1440"/>
      </w:pPr>
      <w:r>
        <w:t>MI</w:t>
      </w:r>
      <w:r>
        <w:rPr>
          <w:spacing w:val="-3"/>
        </w:rPr>
        <w:t xml:space="preserve"> </w:t>
      </w:r>
      <w:r>
        <w:t>is</w:t>
      </w:r>
      <w:r>
        <w:rPr>
          <w:spacing w:val="-3"/>
        </w:rPr>
        <w:t xml:space="preserve"> </w:t>
      </w:r>
      <w:r>
        <w:t>a</w:t>
      </w:r>
      <w:r>
        <w:rPr>
          <w:spacing w:val="-4"/>
        </w:rPr>
        <w:t xml:space="preserve"> </w:t>
      </w:r>
      <w:r>
        <w:t>counseling</w:t>
      </w:r>
      <w:r>
        <w:rPr>
          <w:spacing w:val="-4"/>
        </w:rPr>
        <w:t xml:space="preserve"> </w:t>
      </w:r>
      <w:r>
        <w:t>style</w:t>
      </w:r>
      <w:r>
        <w:rPr>
          <w:spacing w:val="-2"/>
        </w:rPr>
        <w:t xml:space="preserve"> </w:t>
      </w:r>
      <w:r>
        <w:t>based</w:t>
      </w:r>
      <w:r>
        <w:rPr>
          <w:spacing w:val="-4"/>
        </w:rPr>
        <w:t xml:space="preserve"> </w:t>
      </w:r>
      <w:r>
        <w:t>on</w:t>
      </w:r>
      <w:r>
        <w:rPr>
          <w:spacing w:val="-5"/>
        </w:rPr>
        <w:t xml:space="preserve"> </w:t>
      </w:r>
      <w:r>
        <w:t>the</w:t>
      </w:r>
      <w:r>
        <w:rPr>
          <w:spacing w:val="-2"/>
        </w:rPr>
        <w:t xml:space="preserve"> </w:t>
      </w:r>
      <w:r>
        <w:t>following</w:t>
      </w:r>
      <w:r>
        <w:rPr>
          <w:spacing w:val="-3"/>
        </w:rPr>
        <w:t xml:space="preserve"> </w:t>
      </w:r>
      <w:r>
        <w:rPr>
          <w:spacing w:val="-2"/>
        </w:rPr>
        <w:t>assumptions:</w:t>
      </w:r>
    </w:p>
    <w:p w14:paraId="512AB51A" w14:textId="77777777" w:rsidR="00DB6E1F" w:rsidRDefault="00F666A6">
      <w:pPr>
        <w:pStyle w:val="ListParagraph"/>
        <w:numPr>
          <w:ilvl w:val="0"/>
          <w:numId w:val="92"/>
        </w:numPr>
        <w:tabs>
          <w:tab w:val="left" w:pos="1800"/>
          <w:tab w:val="left" w:pos="1801"/>
        </w:tabs>
        <w:spacing w:before="58"/>
        <w:ind w:left="1800" w:right="1566"/>
        <w:rPr>
          <w:rFonts w:ascii="Symbol" w:hAnsi="Symbol"/>
        </w:rPr>
      </w:pPr>
      <w:r>
        <w:t>Ambivalence</w:t>
      </w:r>
      <w:r>
        <w:rPr>
          <w:spacing w:val="-2"/>
        </w:rPr>
        <w:t xml:space="preserve"> </w:t>
      </w:r>
      <w:r>
        <w:t>about</w:t>
      </w:r>
      <w:r>
        <w:rPr>
          <w:spacing w:val="-2"/>
        </w:rPr>
        <w:t xml:space="preserve"> </w:t>
      </w:r>
      <w:r>
        <w:t>substance</w:t>
      </w:r>
      <w:r>
        <w:rPr>
          <w:spacing w:val="-2"/>
        </w:rPr>
        <w:t xml:space="preserve"> </w:t>
      </w:r>
      <w:r>
        <w:t>use</w:t>
      </w:r>
      <w:r>
        <w:rPr>
          <w:spacing w:val="-2"/>
        </w:rPr>
        <w:t xml:space="preserve"> </w:t>
      </w:r>
      <w:r>
        <w:t>and</w:t>
      </w:r>
      <w:r>
        <w:rPr>
          <w:spacing w:val="-5"/>
        </w:rPr>
        <w:t xml:space="preserve"> </w:t>
      </w:r>
      <w:r>
        <w:t>change</w:t>
      </w:r>
      <w:r>
        <w:rPr>
          <w:spacing w:val="-2"/>
        </w:rPr>
        <w:t xml:space="preserve"> </w:t>
      </w:r>
      <w:r>
        <w:t>is</w:t>
      </w:r>
      <w:r>
        <w:rPr>
          <w:spacing w:val="-3"/>
        </w:rPr>
        <w:t xml:space="preserve"> </w:t>
      </w:r>
      <w:r>
        <w:t>normal</w:t>
      </w:r>
      <w:r>
        <w:rPr>
          <w:spacing w:val="-3"/>
        </w:rPr>
        <w:t xml:space="preserve"> </w:t>
      </w:r>
      <w:r>
        <w:t>and</w:t>
      </w:r>
      <w:r>
        <w:rPr>
          <w:spacing w:val="-4"/>
        </w:rPr>
        <w:t xml:space="preserve"> </w:t>
      </w:r>
      <w:r>
        <w:t>is</w:t>
      </w:r>
      <w:r>
        <w:rPr>
          <w:spacing w:val="-4"/>
        </w:rPr>
        <w:t xml:space="preserve"> </w:t>
      </w:r>
      <w:r>
        <w:t>an</w:t>
      </w:r>
      <w:r>
        <w:rPr>
          <w:spacing w:val="-4"/>
        </w:rPr>
        <w:t xml:space="preserve"> </w:t>
      </w:r>
      <w:r>
        <w:t>important</w:t>
      </w:r>
      <w:r>
        <w:rPr>
          <w:spacing w:val="-6"/>
        </w:rPr>
        <w:t xml:space="preserve"> </w:t>
      </w:r>
      <w:r>
        <w:t>motivational</w:t>
      </w:r>
      <w:r>
        <w:rPr>
          <w:spacing w:val="-3"/>
        </w:rPr>
        <w:t xml:space="preserve"> </w:t>
      </w:r>
      <w:r>
        <w:t>barrier</w:t>
      </w:r>
      <w:r>
        <w:rPr>
          <w:spacing w:val="-5"/>
        </w:rPr>
        <w:t xml:space="preserve"> </w:t>
      </w:r>
      <w:r>
        <w:t>to substance use behavior change.</w:t>
      </w:r>
    </w:p>
    <w:p w14:paraId="6E729111" w14:textId="77777777" w:rsidR="00DB6E1F" w:rsidRDefault="00F666A6">
      <w:pPr>
        <w:pStyle w:val="ListParagraph"/>
        <w:numPr>
          <w:ilvl w:val="0"/>
          <w:numId w:val="92"/>
        </w:numPr>
        <w:tabs>
          <w:tab w:val="left" w:pos="1800"/>
          <w:tab w:val="left" w:pos="1801"/>
        </w:tabs>
        <w:spacing w:before="61"/>
        <w:ind w:left="1800"/>
        <w:rPr>
          <w:rFonts w:ascii="Symbol" w:hAnsi="Symbol"/>
        </w:rPr>
      </w:pPr>
      <w:r>
        <w:t>Ambivalence</w:t>
      </w:r>
      <w:r>
        <w:rPr>
          <w:spacing w:val="-8"/>
        </w:rPr>
        <w:t xml:space="preserve"> </w:t>
      </w:r>
      <w:r>
        <w:t>can</w:t>
      </w:r>
      <w:r>
        <w:rPr>
          <w:spacing w:val="-5"/>
        </w:rPr>
        <w:t xml:space="preserve"> </w:t>
      </w:r>
      <w:r>
        <w:t>be</w:t>
      </w:r>
      <w:r>
        <w:rPr>
          <w:spacing w:val="-4"/>
        </w:rPr>
        <w:t xml:space="preserve"> </w:t>
      </w:r>
      <w:r>
        <w:t>resolved</w:t>
      </w:r>
      <w:r>
        <w:rPr>
          <w:spacing w:val="-5"/>
        </w:rPr>
        <w:t xml:space="preserve"> </w:t>
      </w:r>
      <w:r>
        <w:t>by</w:t>
      </w:r>
      <w:r>
        <w:rPr>
          <w:spacing w:val="-3"/>
        </w:rPr>
        <w:t xml:space="preserve"> </w:t>
      </w:r>
      <w:r>
        <w:t>exploring</w:t>
      </w:r>
      <w:r>
        <w:rPr>
          <w:spacing w:val="-7"/>
        </w:rPr>
        <w:t xml:space="preserve"> </w:t>
      </w:r>
      <w:r>
        <w:t>the</w:t>
      </w:r>
      <w:r>
        <w:rPr>
          <w:spacing w:val="-4"/>
        </w:rPr>
        <w:t xml:space="preserve"> </w:t>
      </w:r>
      <w:r>
        <w:t>client’s</w:t>
      </w:r>
      <w:r>
        <w:rPr>
          <w:spacing w:val="-6"/>
        </w:rPr>
        <w:t xml:space="preserve"> </w:t>
      </w:r>
      <w:r>
        <w:t>intrinsic</w:t>
      </w:r>
      <w:r>
        <w:rPr>
          <w:spacing w:val="-4"/>
        </w:rPr>
        <w:t xml:space="preserve"> </w:t>
      </w:r>
      <w:r>
        <w:t>motivations</w:t>
      </w:r>
      <w:r>
        <w:rPr>
          <w:spacing w:val="-4"/>
        </w:rPr>
        <w:t xml:space="preserve"> </w:t>
      </w:r>
      <w:r>
        <w:t>and</w:t>
      </w:r>
      <w:r>
        <w:rPr>
          <w:spacing w:val="-6"/>
        </w:rPr>
        <w:t xml:space="preserve"> </w:t>
      </w:r>
      <w:r>
        <w:rPr>
          <w:spacing w:val="-2"/>
        </w:rPr>
        <w:t>values.</w:t>
      </w:r>
    </w:p>
    <w:p w14:paraId="3C342539" w14:textId="77777777" w:rsidR="00DB6E1F" w:rsidRDefault="00F666A6">
      <w:pPr>
        <w:pStyle w:val="ListParagraph"/>
        <w:numPr>
          <w:ilvl w:val="0"/>
          <w:numId w:val="92"/>
        </w:numPr>
        <w:tabs>
          <w:tab w:val="left" w:pos="1800"/>
          <w:tab w:val="left" w:pos="1801"/>
        </w:tabs>
        <w:ind w:left="1800"/>
        <w:rPr>
          <w:rFonts w:ascii="Symbol" w:hAnsi="Symbol"/>
        </w:rPr>
      </w:pPr>
      <w:r>
        <w:t>Your</w:t>
      </w:r>
      <w:r>
        <w:rPr>
          <w:spacing w:val="-6"/>
        </w:rPr>
        <w:t xml:space="preserve"> </w:t>
      </w:r>
      <w:r>
        <w:t>alliance</w:t>
      </w:r>
      <w:r>
        <w:rPr>
          <w:spacing w:val="-4"/>
        </w:rPr>
        <w:t xml:space="preserve"> </w:t>
      </w:r>
      <w:r>
        <w:t>with</w:t>
      </w:r>
      <w:r>
        <w:rPr>
          <w:spacing w:val="-4"/>
        </w:rPr>
        <w:t xml:space="preserve"> </w:t>
      </w:r>
      <w:r>
        <w:t>the</w:t>
      </w:r>
      <w:r>
        <w:rPr>
          <w:spacing w:val="-5"/>
        </w:rPr>
        <w:t xml:space="preserve"> </w:t>
      </w:r>
      <w:r>
        <w:t>client</w:t>
      </w:r>
      <w:r>
        <w:rPr>
          <w:spacing w:val="-3"/>
        </w:rPr>
        <w:t xml:space="preserve"> </w:t>
      </w:r>
      <w:r>
        <w:t>is</w:t>
      </w:r>
      <w:r>
        <w:rPr>
          <w:spacing w:val="-4"/>
        </w:rPr>
        <w:t xml:space="preserve"> </w:t>
      </w:r>
      <w:r>
        <w:t>a</w:t>
      </w:r>
      <w:r>
        <w:rPr>
          <w:spacing w:val="-7"/>
        </w:rPr>
        <w:t xml:space="preserve"> </w:t>
      </w:r>
      <w:r>
        <w:t>collaborative</w:t>
      </w:r>
      <w:r>
        <w:rPr>
          <w:spacing w:val="-3"/>
        </w:rPr>
        <w:t xml:space="preserve"> </w:t>
      </w:r>
      <w:r>
        <w:t>partnership</w:t>
      </w:r>
      <w:r>
        <w:rPr>
          <w:spacing w:val="-5"/>
        </w:rPr>
        <w:t xml:space="preserve"> </w:t>
      </w:r>
      <w:r>
        <w:t>to</w:t>
      </w:r>
      <w:r>
        <w:rPr>
          <w:spacing w:val="-5"/>
        </w:rPr>
        <w:t xml:space="preserve"> </w:t>
      </w:r>
      <w:r>
        <w:t>which</w:t>
      </w:r>
      <w:r>
        <w:rPr>
          <w:spacing w:val="-5"/>
        </w:rPr>
        <w:t xml:space="preserve"> </w:t>
      </w:r>
      <w:r>
        <w:t>you</w:t>
      </w:r>
      <w:r>
        <w:rPr>
          <w:spacing w:val="-5"/>
        </w:rPr>
        <w:t xml:space="preserve"> </w:t>
      </w:r>
      <w:r>
        <w:t>each</w:t>
      </w:r>
      <w:r>
        <w:rPr>
          <w:spacing w:val="-5"/>
        </w:rPr>
        <w:t xml:space="preserve"> </w:t>
      </w:r>
      <w:r>
        <w:t>bring</w:t>
      </w:r>
      <w:r>
        <w:rPr>
          <w:spacing w:val="-5"/>
        </w:rPr>
        <w:t xml:space="preserve"> </w:t>
      </w:r>
      <w:r>
        <w:t>important</w:t>
      </w:r>
      <w:r>
        <w:rPr>
          <w:spacing w:val="-5"/>
        </w:rPr>
        <w:t xml:space="preserve"> </w:t>
      </w:r>
      <w:r>
        <w:rPr>
          <w:spacing w:val="-2"/>
        </w:rPr>
        <w:t>expertise.</w:t>
      </w:r>
    </w:p>
    <w:p w14:paraId="3784D2D9" w14:textId="77777777" w:rsidR="00DB6E1F" w:rsidRDefault="00F666A6">
      <w:pPr>
        <w:pStyle w:val="ListParagraph"/>
        <w:numPr>
          <w:ilvl w:val="0"/>
          <w:numId w:val="92"/>
        </w:numPr>
        <w:tabs>
          <w:tab w:val="left" w:pos="1799"/>
          <w:tab w:val="left" w:pos="1800"/>
        </w:tabs>
        <w:spacing w:before="61"/>
        <w:ind w:left="1799"/>
        <w:rPr>
          <w:rFonts w:ascii="Symbol" w:hAnsi="Symbol"/>
        </w:rPr>
      </w:pPr>
      <w:r>
        <w:t>An</w:t>
      </w:r>
      <w:r>
        <w:rPr>
          <w:spacing w:val="-8"/>
        </w:rPr>
        <w:t xml:space="preserve"> </w:t>
      </w:r>
      <w:r>
        <w:t>empathic,</w:t>
      </w:r>
      <w:r>
        <w:rPr>
          <w:spacing w:val="-5"/>
        </w:rPr>
        <w:t xml:space="preserve"> </w:t>
      </w:r>
      <w:r>
        <w:t>supportive</w:t>
      </w:r>
      <w:r>
        <w:rPr>
          <w:spacing w:val="-6"/>
        </w:rPr>
        <w:t xml:space="preserve"> </w:t>
      </w:r>
      <w:r>
        <w:t>counseling</w:t>
      </w:r>
      <w:r>
        <w:rPr>
          <w:spacing w:val="-5"/>
        </w:rPr>
        <w:t xml:space="preserve"> </w:t>
      </w:r>
      <w:r>
        <w:t>style</w:t>
      </w:r>
      <w:r>
        <w:rPr>
          <w:spacing w:val="-7"/>
        </w:rPr>
        <w:t xml:space="preserve"> </w:t>
      </w:r>
      <w:r>
        <w:t>provides</w:t>
      </w:r>
      <w:r>
        <w:rPr>
          <w:spacing w:val="-6"/>
        </w:rPr>
        <w:t xml:space="preserve"> </w:t>
      </w:r>
      <w:r>
        <w:t>conditions</w:t>
      </w:r>
      <w:r>
        <w:rPr>
          <w:spacing w:val="-5"/>
        </w:rPr>
        <w:t xml:space="preserve"> </w:t>
      </w:r>
      <w:r>
        <w:t>under</w:t>
      </w:r>
      <w:r>
        <w:rPr>
          <w:spacing w:val="-7"/>
        </w:rPr>
        <w:t xml:space="preserve"> </w:t>
      </w:r>
      <w:r>
        <w:t>which</w:t>
      </w:r>
      <w:r>
        <w:rPr>
          <w:spacing w:val="-6"/>
        </w:rPr>
        <w:t xml:space="preserve"> </w:t>
      </w:r>
      <w:r>
        <w:t>change</w:t>
      </w:r>
      <w:r>
        <w:rPr>
          <w:spacing w:val="-3"/>
        </w:rPr>
        <w:t xml:space="preserve"> </w:t>
      </w:r>
      <w:r>
        <w:t>can</w:t>
      </w:r>
      <w:r>
        <w:rPr>
          <w:spacing w:val="-7"/>
        </w:rPr>
        <w:t xml:space="preserve"> </w:t>
      </w:r>
      <w:r>
        <w:rPr>
          <w:spacing w:val="-2"/>
        </w:rPr>
        <w:t>occur.</w:t>
      </w:r>
    </w:p>
    <w:p w14:paraId="7D99B22F" w14:textId="77777777" w:rsidR="00DB6E1F" w:rsidRDefault="00F666A6">
      <w:pPr>
        <w:spacing w:before="158"/>
        <w:ind w:left="1439" w:right="1491"/>
      </w:pPr>
      <w:r>
        <w:rPr>
          <w:b/>
        </w:rPr>
        <w:t>You</w:t>
      </w:r>
      <w:r>
        <w:rPr>
          <w:b/>
          <w:spacing w:val="-3"/>
        </w:rPr>
        <w:t xml:space="preserve"> </w:t>
      </w:r>
      <w:r>
        <w:rPr>
          <w:b/>
        </w:rPr>
        <w:t>can</w:t>
      </w:r>
      <w:r>
        <w:rPr>
          <w:b/>
          <w:spacing w:val="-3"/>
        </w:rPr>
        <w:t xml:space="preserve"> </w:t>
      </w:r>
      <w:r>
        <w:rPr>
          <w:b/>
        </w:rPr>
        <w:t>use</w:t>
      </w:r>
      <w:r>
        <w:rPr>
          <w:b/>
          <w:spacing w:val="-3"/>
        </w:rPr>
        <w:t xml:space="preserve"> </w:t>
      </w:r>
      <w:r>
        <w:rPr>
          <w:b/>
        </w:rPr>
        <w:t>MI</w:t>
      </w:r>
      <w:r>
        <w:rPr>
          <w:b/>
          <w:spacing w:val="-3"/>
        </w:rPr>
        <w:t xml:space="preserve"> </w:t>
      </w:r>
      <w:r>
        <w:rPr>
          <w:b/>
        </w:rPr>
        <w:t>to</w:t>
      </w:r>
      <w:r>
        <w:rPr>
          <w:b/>
          <w:spacing w:val="-3"/>
        </w:rPr>
        <w:t xml:space="preserve"> </w:t>
      </w:r>
      <w:r>
        <w:rPr>
          <w:b/>
        </w:rPr>
        <w:t>effectively</w:t>
      </w:r>
      <w:r>
        <w:rPr>
          <w:b/>
          <w:spacing w:val="-3"/>
        </w:rPr>
        <w:t xml:space="preserve"> </w:t>
      </w:r>
      <w:r>
        <w:rPr>
          <w:b/>
        </w:rPr>
        <w:t>reduce</w:t>
      </w:r>
      <w:r>
        <w:rPr>
          <w:b/>
          <w:spacing w:val="-3"/>
        </w:rPr>
        <w:t xml:space="preserve"> </w:t>
      </w:r>
      <w:r>
        <w:rPr>
          <w:b/>
        </w:rPr>
        <w:t>or</w:t>
      </w:r>
      <w:r>
        <w:rPr>
          <w:b/>
          <w:spacing w:val="-1"/>
        </w:rPr>
        <w:t xml:space="preserve"> </w:t>
      </w:r>
      <w:r>
        <w:rPr>
          <w:b/>
        </w:rPr>
        <w:t>eliminate</w:t>
      </w:r>
      <w:r>
        <w:rPr>
          <w:b/>
          <w:spacing w:val="-3"/>
        </w:rPr>
        <w:t xml:space="preserve"> </w:t>
      </w:r>
      <w:r>
        <w:rPr>
          <w:b/>
        </w:rPr>
        <w:t>client substance</w:t>
      </w:r>
      <w:r>
        <w:rPr>
          <w:b/>
          <w:spacing w:val="-3"/>
        </w:rPr>
        <w:t xml:space="preserve"> </w:t>
      </w:r>
      <w:r>
        <w:rPr>
          <w:b/>
        </w:rPr>
        <w:t>use</w:t>
      </w:r>
      <w:r>
        <w:rPr>
          <w:b/>
          <w:spacing w:val="-5"/>
        </w:rPr>
        <w:t xml:space="preserve"> </w:t>
      </w:r>
      <w:r>
        <w:rPr>
          <w:b/>
        </w:rPr>
        <w:t>and</w:t>
      </w:r>
      <w:r>
        <w:rPr>
          <w:b/>
          <w:spacing w:val="-3"/>
        </w:rPr>
        <w:t xml:space="preserve"> </w:t>
      </w:r>
      <w:r>
        <w:rPr>
          <w:b/>
        </w:rPr>
        <w:t>other</w:t>
      </w:r>
      <w:r>
        <w:rPr>
          <w:b/>
          <w:spacing w:val="-1"/>
        </w:rPr>
        <w:t xml:space="preserve"> </w:t>
      </w:r>
      <w:r>
        <w:rPr>
          <w:b/>
        </w:rPr>
        <w:t>health-risk</w:t>
      </w:r>
      <w:r>
        <w:rPr>
          <w:b/>
          <w:spacing w:val="-2"/>
        </w:rPr>
        <w:t xml:space="preserve"> </w:t>
      </w:r>
      <w:r>
        <w:rPr>
          <w:b/>
        </w:rPr>
        <w:t xml:space="preserve">behaviors </w:t>
      </w:r>
      <w:r>
        <w:t>in many settings and across genders, ages, races, and ethnicities (DiClemente, Corno, Graydon, Wiprovnick, &amp; Knoblach, 2017; Dillard, Zuniga, &amp; Holstad, 2017; Lundahl et al., 2013). Analysis of more than</w:t>
      </w:r>
      <w:r>
        <w:t xml:space="preserve"> 200 randomized clinical trials found significant efficacy of MI in the treatment of SUDs (Miller &amp; Rollnick, 2014).</w:t>
      </w:r>
    </w:p>
    <w:p w14:paraId="0C55AFBC" w14:textId="77777777" w:rsidR="00DB6E1F" w:rsidRDefault="00F666A6">
      <w:pPr>
        <w:pStyle w:val="BodyText"/>
        <w:spacing w:before="160"/>
        <w:ind w:left="1439" w:right="1459"/>
      </w:pPr>
      <w:r>
        <w:t>The</w:t>
      </w:r>
      <w:r>
        <w:rPr>
          <w:spacing w:val="-2"/>
        </w:rPr>
        <w:t xml:space="preserve"> </w:t>
      </w:r>
      <w:r>
        <w:t>MI</w:t>
      </w:r>
      <w:r>
        <w:rPr>
          <w:spacing w:val="-6"/>
        </w:rPr>
        <w:t xml:space="preserve"> </w:t>
      </w:r>
      <w:r>
        <w:t>counseling</w:t>
      </w:r>
      <w:r>
        <w:rPr>
          <w:spacing w:val="-4"/>
        </w:rPr>
        <w:t xml:space="preserve"> </w:t>
      </w:r>
      <w:r>
        <w:t>style</w:t>
      </w:r>
      <w:r>
        <w:rPr>
          <w:spacing w:val="-2"/>
        </w:rPr>
        <w:t xml:space="preserve"> </w:t>
      </w:r>
      <w:r>
        <w:t>helps</w:t>
      </w:r>
      <w:r>
        <w:rPr>
          <w:spacing w:val="-3"/>
        </w:rPr>
        <w:t xml:space="preserve"> </w:t>
      </w:r>
      <w:r>
        <w:t>clients</w:t>
      </w:r>
      <w:r>
        <w:rPr>
          <w:spacing w:val="-3"/>
        </w:rPr>
        <w:t xml:space="preserve"> </w:t>
      </w:r>
      <w:r>
        <w:t>resolve</w:t>
      </w:r>
      <w:r>
        <w:rPr>
          <w:spacing w:val="-2"/>
        </w:rPr>
        <w:t xml:space="preserve"> </w:t>
      </w:r>
      <w:r>
        <w:t>ambivalence</w:t>
      </w:r>
      <w:r>
        <w:rPr>
          <w:spacing w:val="-2"/>
        </w:rPr>
        <w:t xml:space="preserve"> </w:t>
      </w:r>
      <w:r>
        <w:t>that</w:t>
      </w:r>
      <w:r>
        <w:rPr>
          <w:spacing w:val="-5"/>
        </w:rPr>
        <w:t xml:space="preserve"> </w:t>
      </w:r>
      <w:r>
        <w:t>keeps</w:t>
      </w:r>
      <w:r>
        <w:rPr>
          <w:spacing w:val="-3"/>
        </w:rPr>
        <w:t xml:space="preserve"> </w:t>
      </w:r>
      <w:r>
        <w:t>them</w:t>
      </w:r>
      <w:r>
        <w:rPr>
          <w:spacing w:val="-2"/>
        </w:rPr>
        <w:t xml:space="preserve"> </w:t>
      </w:r>
      <w:r>
        <w:t>from</w:t>
      </w:r>
      <w:r>
        <w:rPr>
          <w:spacing w:val="-1"/>
        </w:rPr>
        <w:t xml:space="preserve"> </w:t>
      </w:r>
      <w:r>
        <w:t>reaching</w:t>
      </w:r>
      <w:r>
        <w:rPr>
          <w:spacing w:val="-3"/>
        </w:rPr>
        <w:t xml:space="preserve"> </w:t>
      </w:r>
      <w:r>
        <w:t>personal</w:t>
      </w:r>
      <w:r>
        <w:rPr>
          <w:spacing w:val="-3"/>
        </w:rPr>
        <w:t xml:space="preserve"> </w:t>
      </w:r>
      <w:r>
        <w:t>goals. MI builds on Carl Rogers’ (1965) humanistic theories about people’s capacity for exercising free choice and self-determination. Rogers identified the sufficient conditions for client change, which are now called “common factors” of therapy, includin</w:t>
      </w:r>
      <w:r>
        <w:t>g counselor empathy (Miller &amp; Moyers, 2017).</w:t>
      </w:r>
    </w:p>
    <w:p w14:paraId="4E43801C" w14:textId="77777777" w:rsidR="00DB6E1F" w:rsidRDefault="00F666A6">
      <w:pPr>
        <w:spacing w:before="161"/>
        <w:ind w:left="1439" w:right="1491"/>
      </w:pPr>
      <w:r>
        <w:rPr>
          <w:b/>
        </w:rPr>
        <w:t>As a counselor, your main goals in MI are to express empathy and elicit clients’ reasons for and commitment</w:t>
      </w:r>
      <w:r>
        <w:rPr>
          <w:b/>
          <w:spacing w:val="-4"/>
        </w:rPr>
        <w:t xml:space="preserve"> </w:t>
      </w:r>
      <w:r>
        <w:rPr>
          <w:b/>
        </w:rPr>
        <w:t>to</w:t>
      </w:r>
      <w:r>
        <w:rPr>
          <w:b/>
          <w:spacing w:val="-3"/>
        </w:rPr>
        <w:t xml:space="preserve"> </w:t>
      </w:r>
      <w:r>
        <w:rPr>
          <w:b/>
        </w:rPr>
        <w:t>changing</w:t>
      </w:r>
      <w:r>
        <w:rPr>
          <w:b/>
          <w:spacing w:val="-4"/>
        </w:rPr>
        <w:t xml:space="preserve"> </w:t>
      </w:r>
      <w:r>
        <w:rPr>
          <w:b/>
        </w:rPr>
        <w:t>substance</w:t>
      </w:r>
      <w:r>
        <w:rPr>
          <w:b/>
          <w:spacing w:val="-3"/>
        </w:rPr>
        <w:t xml:space="preserve"> </w:t>
      </w:r>
      <w:r>
        <w:rPr>
          <w:b/>
        </w:rPr>
        <w:t>use</w:t>
      </w:r>
      <w:r>
        <w:rPr>
          <w:b/>
          <w:spacing w:val="-3"/>
        </w:rPr>
        <w:t xml:space="preserve"> </w:t>
      </w:r>
      <w:r>
        <w:rPr>
          <w:b/>
        </w:rPr>
        <w:t>behaviors</w:t>
      </w:r>
      <w:r>
        <w:rPr>
          <w:b/>
          <w:spacing w:val="-1"/>
        </w:rPr>
        <w:t xml:space="preserve"> </w:t>
      </w:r>
      <w:r>
        <w:t>(Miller</w:t>
      </w:r>
      <w:r>
        <w:rPr>
          <w:spacing w:val="-3"/>
        </w:rPr>
        <w:t xml:space="preserve"> </w:t>
      </w:r>
      <w:r>
        <w:t>&amp;</w:t>
      </w:r>
      <w:r>
        <w:rPr>
          <w:spacing w:val="-4"/>
        </w:rPr>
        <w:t xml:space="preserve"> </w:t>
      </w:r>
      <w:r>
        <w:t>Rollnick,</w:t>
      </w:r>
      <w:r>
        <w:rPr>
          <w:spacing w:val="-3"/>
        </w:rPr>
        <w:t xml:space="preserve"> </w:t>
      </w:r>
      <w:r>
        <w:t>2013).</w:t>
      </w:r>
      <w:r>
        <w:rPr>
          <w:spacing w:val="-5"/>
        </w:rPr>
        <w:t xml:space="preserve"> </w:t>
      </w:r>
      <w:r>
        <w:t>MI</w:t>
      </w:r>
      <w:r>
        <w:rPr>
          <w:spacing w:val="-3"/>
        </w:rPr>
        <w:t xml:space="preserve"> </w:t>
      </w:r>
      <w:r>
        <w:t>is</w:t>
      </w:r>
      <w:r>
        <w:rPr>
          <w:spacing w:val="-4"/>
        </w:rPr>
        <w:t xml:space="preserve"> </w:t>
      </w:r>
      <w:r>
        <w:t>particularly</w:t>
      </w:r>
      <w:r>
        <w:rPr>
          <w:spacing w:val="-2"/>
        </w:rPr>
        <w:t xml:space="preserve"> </w:t>
      </w:r>
      <w:r>
        <w:t xml:space="preserve">helpful when clients </w:t>
      </w:r>
      <w:r>
        <w:t>are in the Precontemplation and Contemplation stages of the Stages of Change (SOC), when readiness to change is low, but it can also be useful throughout the change cycle.</w:t>
      </w:r>
    </w:p>
    <w:p w14:paraId="0E969096" w14:textId="77777777" w:rsidR="00DB6E1F" w:rsidRDefault="00DB6E1F">
      <w:pPr>
        <w:sectPr w:rsidR="00DB6E1F">
          <w:pgSz w:w="12240" w:h="15840"/>
          <w:pgMar w:top="1200" w:right="0" w:bottom="780" w:left="0" w:header="763" w:footer="585" w:gutter="0"/>
          <w:cols w:space="720"/>
        </w:sectPr>
      </w:pPr>
    </w:p>
    <w:p w14:paraId="413578E0" w14:textId="77777777" w:rsidR="00DB6E1F" w:rsidRDefault="00DB6E1F">
      <w:pPr>
        <w:pStyle w:val="BodyText"/>
        <w:spacing w:before="7"/>
        <w:rPr>
          <w:sz w:val="15"/>
        </w:rPr>
      </w:pPr>
    </w:p>
    <w:p w14:paraId="3B6AED8F" w14:textId="77777777" w:rsidR="00DB6E1F" w:rsidRDefault="00F666A6">
      <w:pPr>
        <w:pStyle w:val="Heading3"/>
        <w:spacing w:before="47"/>
      </w:pPr>
      <w:bookmarkStart w:id="85" w:name="The_Spirit_of_MI"/>
      <w:bookmarkEnd w:id="85"/>
      <w:r>
        <w:t>The</w:t>
      </w:r>
      <w:r>
        <w:rPr>
          <w:spacing w:val="-5"/>
        </w:rPr>
        <w:t xml:space="preserve"> </w:t>
      </w:r>
      <w:r>
        <w:t>Spirit</w:t>
      </w:r>
      <w:r>
        <w:rPr>
          <w:spacing w:val="-5"/>
        </w:rPr>
        <w:t xml:space="preserve"> </w:t>
      </w:r>
      <w:r>
        <w:t>of</w:t>
      </w:r>
      <w:r>
        <w:rPr>
          <w:spacing w:val="-2"/>
        </w:rPr>
        <w:t xml:space="preserve"> </w:t>
      </w:r>
      <w:r>
        <w:rPr>
          <w:spacing w:val="-5"/>
        </w:rPr>
        <w:t>MI</w:t>
      </w:r>
    </w:p>
    <w:p w14:paraId="10286C08" w14:textId="77777777" w:rsidR="00DB6E1F" w:rsidRDefault="00F666A6">
      <w:pPr>
        <w:pStyle w:val="BodyText"/>
        <w:spacing w:before="144"/>
        <w:ind w:left="1439" w:right="1491"/>
      </w:pPr>
      <w:r>
        <w:rPr>
          <w:b/>
        </w:rPr>
        <w:t>Use an MI counseling style to support partnership wi</w:t>
      </w:r>
      <w:r>
        <w:rPr>
          <w:b/>
        </w:rPr>
        <w:t xml:space="preserve">th clients. </w:t>
      </w:r>
      <w:r>
        <w:t>Collaborative counselor–client relationships</w:t>
      </w:r>
      <w:r>
        <w:rPr>
          <w:spacing w:val="-4"/>
        </w:rPr>
        <w:t xml:space="preserve"> </w:t>
      </w:r>
      <w:r>
        <w:t>are</w:t>
      </w:r>
      <w:r>
        <w:rPr>
          <w:spacing w:val="-4"/>
        </w:rPr>
        <w:t xml:space="preserve"> </w:t>
      </w:r>
      <w:r>
        <w:t>the</w:t>
      </w:r>
      <w:r>
        <w:rPr>
          <w:spacing w:val="-1"/>
        </w:rPr>
        <w:t xml:space="preserve"> </w:t>
      </w:r>
      <w:r>
        <w:t>essence</w:t>
      </w:r>
      <w:r>
        <w:rPr>
          <w:spacing w:val="-4"/>
        </w:rPr>
        <w:t xml:space="preserve"> </w:t>
      </w:r>
      <w:r>
        <w:t>of</w:t>
      </w:r>
      <w:r>
        <w:rPr>
          <w:spacing w:val="-2"/>
        </w:rPr>
        <w:t xml:space="preserve"> </w:t>
      </w:r>
      <w:r>
        <w:t>MI,</w:t>
      </w:r>
      <w:r>
        <w:rPr>
          <w:spacing w:val="-2"/>
        </w:rPr>
        <w:t xml:space="preserve"> </w:t>
      </w:r>
      <w:r>
        <w:t>without</w:t>
      </w:r>
      <w:r>
        <w:rPr>
          <w:spacing w:val="-4"/>
        </w:rPr>
        <w:t xml:space="preserve"> </w:t>
      </w:r>
      <w:r>
        <w:t>which</w:t>
      </w:r>
      <w:r>
        <w:rPr>
          <w:spacing w:val="-5"/>
        </w:rPr>
        <w:t xml:space="preserve"> </w:t>
      </w:r>
      <w:r>
        <w:t>MI</w:t>
      </w:r>
      <w:r>
        <w:rPr>
          <w:spacing w:val="-5"/>
        </w:rPr>
        <w:t xml:space="preserve"> </w:t>
      </w:r>
      <w:r>
        <w:t>counseling</w:t>
      </w:r>
      <w:r>
        <w:rPr>
          <w:spacing w:val="-5"/>
        </w:rPr>
        <w:t xml:space="preserve"> </w:t>
      </w:r>
      <w:r>
        <w:t>techniques</w:t>
      </w:r>
      <w:r>
        <w:rPr>
          <w:spacing w:val="-2"/>
        </w:rPr>
        <w:t xml:space="preserve"> </w:t>
      </w:r>
      <w:r>
        <w:t>are</w:t>
      </w:r>
      <w:r>
        <w:rPr>
          <w:spacing w:val="-4"/>
        </w:rPr>
        <w:t xml:space="preserve"> </w:t>
      </w:r>
      <w:r>
        <w:t>ineffective.</w:t>
      </w:r>
      <w:r>
        <w:rPr>
          <w:spacing w:val="-3"/>
        </w:rPr>
        <w:t xml:space="preserve"> </w:t>
      </w:r>
      <w:r>
        <w:t>Counselor MI spirit is associated with positive client engagement behaviors (e.g., self-disclosure, cooperation) (Romano &amp; Peters, 2016) and positive client outcomes in health-related behaviors (e.g., exercise, medication adherence) similar to those in add</w:t>
      </w:r>
      <w:r>
        <w:t>iction treatment (Copeland, McNamara, Kelson, &amp; Simpson, 2015).</w:t>
      </w:r>
    </w:p>
    <w:p w14:paraId="79C523A7" w14:textId="77777777" w:rsidR="00DB6E1F" w:rsidRDefault="00F666A6">
      <w:pPr>
        <w:pStyle w:val="BodyText"/>
        <w:spacing w:before="159"/>
        <w:ind w:left="1439"/>
      </w:pPr>
      <w:r>
        <w:t>The</w:t>
      </w:r>
      <w:r>
        <w:rPr>
          <w:spacing w:val="-5"/>
        </w:rPr>
        <w:t xml:space="preserve"> </w:t>
      </w:r>
      <w:r>
        <w:t>spirit</w:t>
      </w:r>
      <w:r>
        <w:rPr>
          <w:spacing w:val="-5"/>
        </w:rPr>
        <w:t xml:space="preserve"> </w:t>
      </w:r>
      <w:r>
        <w:t>of</w:t>
      </w:r>
      <w:r>
        <w:rPr>
          <w:spacing w:val="-6"/>
        </w:rPr>
        <w:t xml:space="preserve"> </w:t>
      </w:r>
      <w:r>
        <w:t>MI</w:t>
      </w:r>
      <w:r>
        <w:rPr>
          <w:spacing w:val="-3"/>
        </w:rPr>
        <w:t xml:space="preserve"> </w:t>
      </w:r>
      <w:r>
        <w:t>(Miller</w:t>
      </w:r>
      <w:r>
        <w:rPr>
          <w:spacing w:val="-6"/>
        </w:rPr>
        <w:t xml:space="preserve"> </w:t>
      </w:r>
      <w:r>
        <w:t>&amp;</w:t>
      </w:r>
      <w:r>
        <w:rPr>
          <w:spacing w:val="-2"/>
        </w:rPr>
        <w:t xml:space="preserve"> </w:t>
      </w:r>
      <w:r>
        <w:t>Rollnick,</w:t>
      </w:r>
      <w:r>
        <w:rPr>
          <w:spacing w:val="-6"/>
        </w:rPr>
        <w:t xml:space="preserve"> </w:t>
      </w:r>
      <w:r>
        <w:t>2013)</w:t>
      </w:r>
      <w:r>
        <w:rPr>
          <w:spacing w:val="-2"/>
        </w:rPr>
        <w:t xml:space="preserve"> </w:t>
      </w:r>
      <w:r>
        <w:t>comprises</w:t>
      </w:r>
      <w:r>
        <w:rPr>
          <w:spacing w:val="-6"/>
        </w:rPr>
        <w:t xml:space="preserve"> </w:t>
      </w:r>
      <w:r>
        <w:t>the</w:t>
      </w:r>
      <w:r>
        <w:rPr>
          <w:spacing w:val="-2"/>
        </w:rPr>
        <w:t xml:space="preserve"> </w:t>
      </w:r>
      <w:r>
        <w:t>following</w:t>
      </w:r>
      <w:r>
        <w:rPr>
          <w:spacing w:val="-6"/>
        </w:rPr>
        <w:t xml:space="preserve"> </w:t>
      </w:r>
      <w:r>
        <w:rPr>
          <w:spacing w:val="-2"/>
        </w:rPr>
        <w:t>elements:</w:t>
      </w:r>
    </w:p>
    <w:p w14:paraId="1AF5B914" w14:textId="77777777" w:rsidR="00DB6E1F" w:rsidRDefault="00F666A6">
      <w:pPr>
        <w:pStyle w:val="ListParagraph"/>
        <w:numPr>
          <w:ilvl w:val="0"/>
          <w:numId w:val="92"/>
        </w:numPr>
        <w:tabs>
          <w:tab w:val="left" w:pos="1799"/>
          <w:tab w:val="left" w:pos="1800"/>
        </w:tabs>
        <w:spacing w:before="58"/>
        <w:ind w:left="1799" w:right="1614" w:hanging="360"/>
        <w:rPr>
          <w:rFonts w:ascii="Symbol" w:hAnsi="Symbol"/>
        </w:rPr>
      </w:pPr>
      <w:r>
        <w:rPr>
          <w:b/>
        </w:rPr>
        <w:t>Partnership</w:t>
      </w:r>
      <w:r>
        <w:rPr>
          <w:b/>
          <w:spacing w:val="-1"/>
        </w:rPr>
        <w:t xml:space="preserve"> </w:t>
      </w:r>
      <w:r>
        <w:t>refers</w:t>
      </w:r>
      <w:r>
        <w:rPr>
          <w:spacing w:val="-3"/>
        </w:rPr>
        <w:t xml:space="preserve"> </w:t>
      </w:r>
      <w:r>
        <w:t>to an</w:t>
      </w:r>
      <w:r>
        <w:rPr>
          <w:spacing w:val="-2"/>
        </w:rPr>
        <w:t xml:space="preserve"> </w:t>
      </w:r>
      <w:r>
        <w:t>active</w:t>
      </w:r>
      <w:r>
        <w:rPr>
          <w:spacing w:val="-3"/>
        </w:rPr>
        <w:t xml:space="preserve"> </w:t>
      </w:r>
      <w:r>
        <w:t>collaboration</w:t>
      </w:r>
      <w:r>
        <w:rPr>
          <w:spacing w:val="-2"/>
        </w:rPr>
        <w:t xml:space="preserve"> </w:t>
      </w:r>
      <w:r>
        <w:t>between</w:t>
      </w:r>
      <w:r>
        <w:rPr>
          <w:spacing w:val="-4"/>
        </w:rPr>
        <w:t xml:space="preserve"> </w:t>
      </w:r>
      <w:r>
        <w:t>you</w:t>
      </w:r>
      <w:r>
        <w:rPr>
          <w:spacing w:val="-4"/>
        </w:rPr>
        <w:t xml:space="preserve"> </w:t>
      </w:r>
      <w:r>
        <w:t>and</w:t>
      </w:r>
      <w:r>
        <w:rPr>
          <w:spacing w:val="-2"/>
        </w:rPr>
        <w:t xml:space="preserve"> </w:t>
      </w:r>
      <w:r>
        <w:t>the</w:t>
      </w:r>
      <w:r>
        <w:rPr>
          <w:spacing w:val="-3"/>
        </w:rPr>
        <w:t xml:space="preserve"> </w:t>
      </w:r>
      <w:r>
        <w:t>client.</w:t>
      </w:r>
      <w:r>
        <w:rPr>
          <w:spacing w:val="-2"/>
        </w:rPr>
        <w:t xml:space="preserve"> </w:t>
      </w:r>
      <w:r>
        <w:t>A</w:t>
      </w:r>
      <w:r>
        <w:rPr>
          <w:spacing w:val="-4"/>
        </w:rPr>
        <w:t xml:space="preserve"> </w:t>
      </w:r>
      <w:r>
        <w:t>client</w:t>
      </w:r>
      <w:r>
        <w:rPr>
          <w:spacing w:val="-3"/>
        </w:rPr>
        <w:t xml:space="preserve"> </w:t>
      </w:r>
      <w:r>
        <w:t>is</w:t>
      </w:r>
      <w:r>
        <w:rPr>
          <w:spacing w:val="-1"/>
        </w:rPr>
        <w:t xml:space="preserve"> </w:t>
      </w:r>
      <w:r>
        <w:t>more willing</w:t>
      </w:r>
      <w:r>
        <w:rPr>
          <w:spacing w:val="-1"/>
        </w:rPr>
        <w:t xml:space="preserve"> </w:t>
      </w:r>
      <w:r>
        <w:t>to express concerns when you are empathetic and show genuine curiosity about the client’s perspective. In this partnership, you are influential, but the client drives the conversation.</w:t>
      </w:r>
    </w:p>
    <w:p w14:paraId="5FC9EE09" w14:textId="77777777" w:rsidR="00DB6E1F" w:rsidRDefault="00F666A6">
      <w:pPr>
        <w:pStyle w:val="ListParagraph"/>
        <w:numPr>
          <w:ilvl w:val="0"/>
          <w:numId w:val="92"/>
        </w:numPr>
        <w:tabs>
          <w:tab w:val="left" w:pos="1799"/>
          <w:tab w:val="left" w:pos="1800"/>
        </w:tabs>
        <w:spacing w:before="61"/>
        <w:ind w:left="1799" w:right="1657"/>
        <w:rPr>
          <w:rFonts w:ascii="Symbol" w:hAnsi="Symbol"/>
        </w:rPr>
      </w:pPr>
      <w:r>
        <w:rPr>
          <w:b/>
        </w:rPr>
        <w:t xml:space="preserve">Acceptance </w:t>
      </w:r>
      <w:r>
        <w:t xml:space="preserve">refers to your respect for and approval of the client. This </w:t>
      </w:r>
      <w:r>
        <w:t>doesn’t mean agreeing with everything</w:t>
      </w:r>
      <w:r>
        <w:rPr>
          <w:spacing w:val="-3"/>
        </w:rPr>
        <w:t xml:space="preserve"> </w:t>
      </w:r>
      <w:r>
        <w:t>the</w:t>
      </w:r>
      <w:r>
        <w:rPr>
          <w:spacing w:val="-4"/>
        </w:rPr>
        <w:t xml:space="preserve"> </w:t>
      </w:r>
      <w:r>
        <w:t>client</w:t>
      </w:r>
      <w:r>
        <w:rPr>
          <w:spacing w:val="-4"/>
        </w:rPr>
        <w:t xml:space="preserve"> </w:t>
      </w:r>
      <w:r>
        <w:t>says</w:t>
      </w:r>
      <w:r>
        <w:rPr>
          <w:spacing w:val="-2"/>
        </w:rPr>
        <w:t xml:space="preserve"> </w:t>
      </w:r>
      <w:r>
        <w:t>but</w:t>
      </w:r>
      <w:r>
        <w:rPr>
          <w:spacing w:val="-1"/>
        </w:rPr>
        <w:t xml:space="preserve"> </w:t>
      </w:r>
      <w:r>
        <w:t>is</w:t>
      </w:r>
      <w:r>
        <w:rPr>
          <w:spacing w:val="-2"/>
        </w:rPr>
        <w:t xml:space="preserve"> </w:t>
      </w:r>
      <w:r>
        <w:t>a</w:t>
      </w:r>
      <w:r>
        <w:rPr>
          <w:spacing w:val="-2"/>
        </w:rPr>
        <w:t xml:space="preserve"> </w:t>
      </w:r>
      <w:r>
        <w:t>demonstration</w:t>
      </w:r>
      <w:r>
        <w:rPr>
          <w:spacing w:val="-5"/>
        </w:rPr>
        <w:t xml:space="preserve"> </w:t>
      </w:r>
      <w:r>
        <w:t>of</w:t>
      </w:r>
      <w:r>
        <w:rPr>
          <w:spacing w:val="-5"/>
        </w:rPr>
        <w:t xml:space="preserve"> </w:t>
      </w:r>
      <w:r>
        <w:t>your</w:t>
      </w:r>
      <w:r>
        <w:rPr>
          <w:spacing w:val="-2"/>
        </w:rPr>
        <w:t xml:space="preserve"> </w:t>
      </w:r>
      <w:r>
        <w:t>intention</w:t>
      </w:r>
      <w:r>
        <w:rPr>
          <w:spacing w:val="-5"/>
        </w:rPr>
        <w:t xml:space="preserve"> </w:t>
      </w:r>
      <w:r>
        <w:t>to</w:t>
      </w:r>
      <w:r>
        <w:rPr>
          <w:spacing w:val="-3"/>
        </w:rPr>
        <w:t xml:space="preserve"> </w:t>
      </w:r>
      <w:r>
        <w:t>understand</w:t>
      </w:r>
      <w:r>
        <w:rPr>
          <w:spacing w:val="-5"/>
        </w:rPr>
        <w:t xml:space="preserve"> </w:t>
      </w:r>
      <w:r>
        <w:t>the</w:t>
      </w:r>
      <w:r>
        <w:rPr>
          <w:spacing w:val="-1"/>
        </w:rPr>
        <w:t xml:space="preserve"> </w:t>
      </w:r>
      <w:r>
        <w:t>client’s</w:t>
      </w:r>
      <w:r>
        <w:rPr>
          <w:spacing w:val="-2"/>
        </w:rPr>
        <w:t xml:space="preserve"> </w:t>
      </w:r>
      <w:r>
        <w:t>point of view and concerns. In the context of MI, there are four components of acceptance:</w:t>
      </w:r>
    </w:p>
    <w:p w14:paraId="60BDAAD5" w14:textId="77777777" w:rsidR="00DB6E1F" w:rsidRDefault="00F666A6">
      <w:pPr>
        <w:pStyle w:val="ListParagraph"/>
        <w:numPr>
          <w:ilvl w:val="1"/>
          <w:numId w:val="92"/>
        </w:numPr>
        <w:tabs>
          <w:tab w:val="left" w:pos="2159"/>
          <w:tab w:val="left" w:pos="2160"/>
        </w:tabs>
        <w:spacing w:before="61"/>
        <w:ind w:hanging="361"/>
      </w:pPr>
      <w:r>
        <w:rPr>
          <w:b/>
          <w:i/>
        </w:rPr>
        <w:t>Absolute</w:t>
      </w:r>
      <w:r>
        <w:rPr>
          <w:b/>
          <w:i/>
          <w:spacing w:val="-8"/>
        </w:rPr>
        <w:t xml:space="preserve"> </w:t>
      </w:r>
      <w:r>
        <w:rPr>
          <w:b/>
          <w:i/>
        </w:rPr>
        <w:t>worth:</w:t>
      </w:r>
      <w:r>
        <w:rPr>
          <w:b/>
          <w:i/>
          <w:spacing w:val="-6"/>
        </w:rPr>
        <w:t xml:space="preserve"> </w:t>
      </w:r>
      <w:r>
        <w:t>Prizing</w:t>
      </w:r>
      <w:r>
        <w:rPr>
          <w:spacing w:val="-3"/>
        </w:rPr>
        <w:t xml:space="preserve"> </w:t>
      </w:r>
      <w:r>
        <w:t>the</w:t>
      </w:r>
      <w:r>
        <w:rPr>
          <w:spacing w:val="-2"/>
        </w:rPr>
        <w:t xml:space="preserve"> </w:t>
      </w:r>
      <w:r>
        <w:t>inherent</w:t>
      </w:r>
      <w:r>
        <w:rPr>
          <w:spacing w:val="-5"/>
        </w:rPr>
        <w:t xml:space="preserve"> </w:t>
      </w:r>
      <w:r>
        <w:t>worth</w:t>
      </w:r>
      <w:r>
        <w:rPr>
          <w:spacing w:val="-4"/>
        </w:rPr>
        <w:t xml:space="preserve"> </w:t>
      </w:r>
      <w:r>
        <w:t>and</w:t>
      </w:r>
      <w:r>
        <w:rPr>
          <w:spacing w:val="-3"/>
        </w:rPr>
        <w:t xml:space="preserve"> </w:t>
      </w:r>
      <w:r>
        <w:t>potential</w:t>
      </w:r>
      <w:r>
        <w:rPr>
          <w:spacing w:val="-3"/>
        </w:rPr>
        <w:t xml:space="preserve"> </w:t>
      </w:r>
      <w:r>
        <w:t>of</w:t>
      </w:r>
      <w:r>
        <w:rPr>
          <w:spacing w:val="-6"/>
        </w:rPr>
        <w:t xml:space="preserve"> </w:t>
      </w:r>
      <w:r>
        <w:t>the</w:t>
      </w:r>
      <w:r>
        <w:rPr>
          <w:spacing w:val="-1"/>
        </w:rPr>
        <w:t xml:space="preserve"> </w:t>
      </w:r>
      <w:r>
        <w:rPr>
          <w:spacing w:val="-2"/>
        </w:rPr>
        <w:t>client</w:t>
      </w:r>
    </w:p>
    <w:p w14:paraId="674F85DE" w14:textId="77777777" w:rsidR="00DB6E1F" w:rsidRDefault="00F666A6">
      <w:pPr>
        <w:pStyle w:val="ListParagraph"/>
        <w:numPr>
          <w:ilvl w:val="1"/>
          <w:numId w:val="92"/>
        </w:numPr>
        <w:tabs>
          <w:tab w:val="left" w:pos="2158"/>
          <w:tab w:val="left" w:pos="2159"/>
        </w:tabs>
        <w:ind w:left="2158" w:right="2087"/>
      </w:pPr>
      <w:r>
        <w:rPr>
          <w:b/>
          <w:i/>
        </w:rPr>
        <w:t>Accurate</w:t>
      </w:r>
      <w:r>
        <w:rPr>
          <w:b/>
          <w:i/>
          <w:spacing w:val="-3"/>
        </w:rPr>
        <w:t xml:space="preserve"> </w:t>
      </w:r>
      <w:r>
        <w:rPr>
          <w:b/>
          <w:i/>
        </w:rPr>
        <w:t>empathy:</w:t>
      </w:r>
      <w:r>
        <w:rPr>
          <w:b/>
          <w:i/>
          <w:spacing w:val="-4"/>
        </w:rPr>
        <w:t xml:space="preserve"> </w:t>
      </w:r>
      <w:r>
        <w:t>An</w:t>
      </w:r>
      <w:r>
        <w:rPr>
          <w:spacing w:val="-4"/>
        </w:rPr>
        <w:t xml:space="preserve"> </w:t>
      </w:r>
      <w:r>
        <w:t>active</w:t>
      </w:r>
      <w:r>
        <w:rPr>
          <w:spacing w:val="-2"/>
        </w:rPr>
        <w:t xml:space="preserve"> </w:t>
      </w:r>
      <w:r>
        <w:t>interest</w:t>
      </w:r>
      <w:r>
        <w:rPr>
          <w:spacing w:val="-3"/>
        </w:rPr>
        <w:t xml:space="preserve"> </w:t>
      </w:r>
      <w:r>
        <w:t>in,</w:t>
      </w:r>
      <w:r>
        <w:rPr>
          <w:spacing w:val="-3"/>
        </w:rPr>
        <w:t xml:space="preserve"> </w:t>
      </w:r>
      <w:r>
        <w:t>and</w:t>
      </w:r>
      <w:r>
        <w:rPr>
          <w:spacing w:val="-4"/>
        </w:rPr>
        <w:t xml:space="preserve"> </w:t>
      </w:r>
      <w:r>
        <w:t>an</w:t>
      </w:r>
      <w:r>
        <w:rPr>
          <w:spacing w:val="-6"/>
        </w:rPr>
        <w:t xml:space="preserve"> </w:t>
      </w:r>
      <w:r>
        <w:t>effort</w:t>
      </w:r>
      <w:r>
        <w:rPr>
          <w:spacing w:val="-5"/>
        </w:rPr>
        <w:t xml:space="preserve"> </w:t>
      </w:r>
      <w:r>
        <w:t>to</w:t>
      </w:r>
      <w:r>
        <w:rPr>
          <w:spacing w:val="-2"/>
        </w:rPr>
        <w:t xml:space="preserve"> </w:t>
      </w:r>
      <w:r>
        <w:t>understand,</w:t>
      </w:r>
      <w:r>
        <w:rPr>
          <w:spacing w:val="-3"/>
        </w:rPr>
        <w:t xml:space="preserve"> </w:t>
      </w:r>
      <w:r>
        <w:t>the</w:t>
      </w:r>
      <w:r>
        <w:rPr>
          <w:spacing w:val="-2"/>
        </w:rPr>
        <w:t xml:space="preserve"> </w:t>
      </w:r>
      <w:r>
        <w:t>client’s</w:t>
      </w:r>
      <w:r>
        <w:rPr>
          <w:spacing w:val="-5"/>
        </w:rPr>
        <w:t xml:space="preserve"> </w:t>
      </w:r>
      <w:r>
        <w:t>internal perspective reflected by your genuine curiosity and reflective listening</w:t>
      </w:r>
    </w:p>
    <w:p w14:paraId="70CF8357" w14:textId="77777777" w:rsidR="00DB6E1F" w:rsidRDefault="00F666A6">
      <w:pPr>
        <w:pStyle w:val="ListParagraph"/>
        <w:numPr>
          <w:ilvl w:val="1"/>
          <w:numId w:val="92"/>
        </w:numPr>
        <w:tabs>
          <w:tab w:val="left" w:pos="2158"/>
          <w:tab w:val="left" w:pos="2159"/>
        </w:tabs>
        <w:ind w:left="2158" w:hanging="361"/>
      </w:pPr>
      <w:r>
        <w:rPr>
          <w:b/>
          <w:i/>
        </w:rPr>
        <w:t>Autonomy</w:t>
      </w:r>
      <w:r>
        <w:rPr>
          <w:b/>
          <w:i/>
          <w:spacing w:val="-8"/>
        </w:rPr>
        <w:t xml:space="preserve"> </w:t>
      </w:r>
      <w:r>
        <w:rPr>
          <w:b/>
          <w:i/>
        </w:rPr>
        <w:t>support:</w:t>
      </w:r>
      <w:r>
        <w:rPr>
          <w:b/>
          <w:i/>
          <w:spacing w:val="-5"/>
        </w:rPr>
        <w:t xml:space="preserve"> </w:t>
      </w:r>
      <w:r>
        <w:t>Honoring</w:t>
      </w:r>
      <w:r>
        <w:rPr>
          <w:spacing w:val="-4"/>
        </w:rPr>
        <w:t xml:space="preserve"> </w:t>
      </w:r>
      <w:r>
        <w:t>and</w:t>
      </w:r>
      <w:r>
        <w:rPr>
          <w:spacing w:val="-5"/>
        </w:rPr>
        <w:t xml:space="preserve"> </w:t>
      </w:r>
      <w:r>
        <w:t>respecting</w:t>
      </w:r>
      <w:r>
        <w:rPr>
          <w:spacing w:val="-5"/>
        </w:rPr>
        <w:t xml:space="preserve"> </w:t>
      </w:r>
      <w:r>
        <w:t>a</w:t>
      </w:r>
      <w:r>
        <w:rPr>
          <w:spacing w:val="-6"/>
        </w:rPr>
        <w:t xml:space="preserve"> </w:t>
      </w:r>
      <w:r>
        <w:t>client’s</w:t>
      </w:r>
      <w:r>
        <w:rPr>
          <w:spacing w:val="-6"/>
        </w:rPr>
        <w:t xml:space="preserve"> </w:t>
      </w:r>
      <w:r>
        <w:t>right</w:t>
      </w:r>
      <w:r>
        <w:rPr>
          <w:spacing w:val="-4"/>
        </w:rPr>
        <w:t xml:space="preserve"> </w:t>
      </w:r>
      <w:r>
        <w:t>to</w:t>
      </w:r>
      <w:r>
        <w:rPr>
          <w:spacing w:val="-5"/>
        </w:rPr>
        <w:t xml:space="preserve"> </w:t>
      </w:r>
      <w:r>
        <w:t>and</w:t>
      </w:r>
      <w:r>
        <w:rPr>
          <w:spacing w:val="-5"/>
        </w:rPr>
        <w:t xml:space="preserve"> </w:t>
      </w:r>
      <w:r>
        <w:t>capacity</w:t>
      </w:r>
      <w:r>
        <w:rPr>
          <w:spacing w:val="-3"/>
        </w:rPr>
        <w:t xml:space="preserve"> </w:t>
      </w:r>
      <w:r>
        <w:t>for</w:t>
      </w:r>
      <w:r>
        <w:rPr>
          <w:spacing w:val="-4"/>
        </w:rPr>
        <w:t xml:space="preserve"> </w:t>
      </w:r>
      <w:r>
        <w:t>self-</w:t>
      </w:r>
      <w:r>
        <w:rPr>
          <w:spacing w:val="-2"/>
        </w:rPr>
        <w:t>direction</w:t>
      </w:r>
    </w:p>
    <w:p w14:paraId="63EE9DCF" w14:textId="77777777" w:rsidR="00DB6E1F" w:rsidRDefault="00F666A6">
      <w:pPr>
        <w:pStyle w:val="ListParagraph"/>
        <w:numPr>
          <w:ilvl w:val="1"/>
          <w:numId w:val="92"/>
        </w:numPr>
        <w:tabs>
          <w:tab w:val="left" w:pos="2158"/>
          <w:tab w:val="left" w:pos="2159"/>
        </w:tabs>
        <w:spacing w:before="58"/>
        <w:ind w:left="2158" w:hanging="361"/>
      </w:pPr>
      <w:r>
        <w:rPr>
          <w:b/>
          <w:i/>
        </w:rPr>
        <w:t>Affirmation:</w:t>
      </w:r>
      <w:r>
        <w:rPr>
          <w:b/>
          <w:i/>
          <w:spacing w:val="-9"/>
        </w:rPr>
        <w:t xml:space="preserve"> </w:t>
      </w:r>
      <w:r>
        <w:t>Acknowledging</w:t>
      </w:r>
      <w:r>
        <w:rPr>
          <w:spacing w:val="-6"/>
        </w:rPr>
        <w:t xml:space="preserve"> </w:t>
      </w:r>
      <w:r>
        <w:t>the</w:t>
      </w:r>
      <w:r>
        <w:rPr>
          <w:spacing w:val="-4"/>
        </w:rPr>
        <w:t xml:space="preserve"> </w:t>
      </w:r>
      <w:r>
        <w:t>client’s</w:t>
      </w:r>
      <w:r>
        <w:rPr>
          <w:spacing w:val="-7"/>
        </w:rPr>
        <w:t xml:space="preserve"> </w:t>
      </w:r>
      <w:r>
        <w:t>values</w:t>
      </w:r>
      <w:r>
        <w:rPr>
          <w:spacing w:val="-7"/>
        </w:rPr>
        <w:t xml:space="preserve"> </w:t>
      </w:r>
      <w:r>
        <w:t>and</w:t>
      </w:r>
      <w:r>
        <w:rPr>
          <w:spacing w:val="-6"/>
        </w:rPr>
        <w:t xml:space="preserve"> </w:t>
      </w:r>
      <w:r>
        <w:rPr>
          <w:spacing w:val="-2"/>
        </w:rPr>
        <w:t>strengths</w:t>
      </w:r>
    </w:p>
    <w:p w14:paraId="5428FC1E" w14:textId="77777777" w:rsidR="00DB6E1F" w:rsidRDefault="00F666A6">
      <w:pPr>
        <w:pStyle w:val="ListParagraph"/>
        <w:numPr>
          <w:ilvl w:val="0"/>
          <w:numId w:val="92"/>
        </w:numPr>
        <w:tabs>
          <w:tab w:val="left" w:pos="1798"/>
          <w:tab w:val="left" w:pos="1799"/>
        </w:tabs>
        <w:spacing w:before="61"/>
        <w:ind w:left="1798"/>
        <w:rPr>
          <w:rFonts w:ascii="Symbol" w:hAnsi="Symbol"/>
        </w:rPr>
      </w:pPr>
      <w:r>
        <w:rPr>
          <w:b/>
        </w:rPr>
        <w:t>Compassion</w:t>
      </w:r>
      <w:r>
        <w:rPr>
          <w:b/>
          <w:spacing w:val="-7"/>
        </w:rPr>
        <w:t xml:space="preserve"> </w:t>
      </w:r>
      <w:r>
        <w:t>refers</w:t>
      </w:r>
      <w:r>
        <w:rPr>
          <w:spacing w:val="-6"/>
        </w:rPr>
        <w:t xml:space="preserve"> </w:t>
      </w:r>
      <w:r>
        <w:t>t</w:t>
      </w:r>
      <w:r>
        <w:t>o</w:t>
      </w:r>
      <w:r>
        <w:rPr>
          <w:spacing w:val="-3"/>
        </w:rPr>
        <w:t xml:space="preserve"> </w:t>
      </w:r>
      <w:r>
        <w:t>your</w:t>
      </w:r>
      <w:r>
        <w:rPr>
          <w:spacing w:val="-6"/>
        </w:rPr>
        <w:t xml:space="preserve"> </w:t>
      </w:r>
      <w:r>
        <w:t>active</w:t>
      </w:r>
      <w:r>
        <w:rPr>
          <w:spacing w:val="-3"/>
        </w:rPr>
        <w:t xml:space="preserve"> </w:t>
      </w:r>
      <w:r>
        <w:t>promotion</w:t>
      </w:r>
      <w:r>
        <w:rPr>
          <w:spacing w:val="-4"/>
        </w:rPr>
        <w:t xml:space="preserve"> </w:t>
      </w:r>
      <w:r>
        <w:t>of</w:t>
      </w:r>
      <w:r>
        <w:rPr>
          <w:spacing w:val="-7"/>
        </w:rPr>
        <w:t xml:space="preserve"> </w:t>
      </w:r>
      <w:r>
        <w:t>the</w:t>
      </w:r>
      <w:r>
        <w:rPr>
          <w:spacing w:val="-6"/>
        </w:rPr>
        <w:t xml:space="preserve"> </w:t>
      </w:r>
      <w:r>
        <w:t>client’s</w:t>
      </w:r>
      <w:r>
        <w:rPr>
          <w:spacing w:val="-5"/>
        </w:rPr>
        <w:t xml:space="preserve"> </w:t>
      </w:r>
      <w:r>
        <w:t>welfare</w:t>
      </w:r>
      <w:r>
        <w:rPr>
          <w:spacing w:val="-6"/>
        </w:rPr>
        <w:t xml:space="preserve"> </w:t>
      </w:r>
      <w:r>
        <w:t>and</w:t>
      </w:r>
      <w:r>
        <w:rPr>
          <w:spacing w:val="-4"/>
        </w:rPr>
        <w:t xml:space="preserve"> </w:t>
      </w:r>
      <w:r>
        <w:t>prioritization</w:t>
      </w:r>
      <w:r>
        <w:rPr>
          <w:spacing w:val="-7"/>
        </w:rPr>
        <w:t xml:space="preserve"> </w:t>
      </w:r>
      <w:r>
        <w:t>of</w:t>
      </w:r>
      <w:r>
        <w:rPr>
          <w:spacing w:val="-4"/>
        </w:rPr>
        <w:t xml:space="preserve"> </w:t>
      </w:r>
      <w:r>
        <w:t>client</w:t>
      </w:r>
      <w:r>
        <w:rPr>
          <w:spacing w:val="-1"/>
        </w:rPr>
        <w:t xml:space="preserve"> </w:t>
      </w:r>
      <w:r>
        <w:rPr>
          <w:spacing w:val="-2"/>
        </w:rPr>
        <w:t>needs.</w:t>
      </w:r>
    </w:p>
    <w:p w14:paraId="435CF6A5" w14:textId="77777777" w:rsidR="00DB6E1F" w:rsidRDefault="00F666A6">
      <w:pPr>
        <w:pStyle w:val="ListParagraph"/>
        <w:numPr>
          <w:ilvl w:val="0"/>
          <w:numId w:val="92"/>
        </w:numPr>
        <w:tabs>
          <w:tab w:val="left" w:pos="1798"/>
          <w:tab w:val="left" w:pos="1799"/>
        </w:tabs>
        <w:spacing w:before="58"/>
        <w:ind w:left="1798"/>
        <w:rPr>
          <w:rFonts w:ascii="Symbol" w:hAnsi="Symbol"/>
        </w:rPr>
      </w:pPr>
      <w:r>
        <w:rPr>
          <w:b/>
        </w:rPr>
        <w:t>Evocation</w:t>
      </w:r>
      <w:r>
        <w:rPr>
          <w:b/>
          <w:spacing w:val="-8"/>
        </w:rPr>
        <w:t xml:space="preserve"> </w:t>
      </w:r>
      <w:r>
        <w:t>elicits</w:t>
      </w:r>
      <w:r>
        <w:rPr>
          <w:spacing w:val="-7"/>
        </w:rPr>
        <w:t xml:space="preserve"> </w:t>
      </w:r>
      <w:r>
        <w:t>and</w:t>
      </w:r>
      <w:r>
        <w:rPr>
          <w:spacing w:val="-5"/>
        </w:rPr>
        <w:t xml:space="preserve"> </w:t>
      </w:r>
      <w:r>
        <w:t>explores</w:t>
      </w:r>
      <w:r>
        <w:rPr>
          <w:spacing w:val="-8"/>
        </w:rPr>
        <w:t xml:space="preserve"> </w:t>
      </w:r>
      <w:r>
        <w:t>motivations,</w:t>
      </w:r>
      <w:r>
        <w:rPr>
          <w:spacing w:val="-6"/>
        </w:rPr>
        <w:t xml:space="preserve"> </w:t>
      </w:r>
      <w:r>
        <w:t>values,</w:t>
      </w:r>
      <w:r>
        <w:rPr>
          <w:spacing w:val="-5"/>
        </w:rPr>
        <w:t xml:space="preserve"> </w:t>
      </w:r>
      <w:r>
        <w:t>strengths,</w:t>
      </w:r>
      <w:r>
        <w:rPr>
          <w:spacing w:val="-5"/>
        </w:rPr>
        <w:t xml:space="preserve"> </w:t>
      </w:r>
      <w:r>
        <w:t>and</w:t>
      </w:r>
      <w:r>
        <w:rPr>
          <w:spacing w:val="-6"/>
        </w:rPr>
        <w:t xml:space="preserve"> </w:t>
      </w:r>
      <w:r>
        <w:t>resources</w:t>
      </w:r>
      <w:r>
        <w:rPr>
          <w:spacing w:val="-4"/>
        </w:rPr>
        <w:t xml:space="preserve"> </w:t>
      </w:r>
      <w:r>
        <w:t>the</w:t>
      </w:r>
      <w:r>
        <w:rPr>
          <w:spacing w:val="-6"/>
        </w:rPr>
        <w:t xml:space="preserve"> </w:t>
      </w:r>
      <w:r>
        <w:t>client</w:t>
      </w:r>
      <w:r>
        <w:rPr>
          <w:spacing w:val="-4"/>
        </w:rPr>
        <w:t xml:space="preserve"> </w:t>
      </w:r>
      <w:r>
        <w:t>already</w:t>
      </w:r>
      <w:r>
        <w:rPr>
          <w:spacing w:val="-4"/>
        </w:rPr>
        <w:t xml:space="preserve"> has.</w:t>
      </w:r>
    </w:p>
    <w:p w14:paraId="606EF96C" w14:textId="77777777" w:rsidR="00DB6E1F" w:rsidRDefault="00F666A6">
      <w:pPr>
        <w:pStyle w:val="BodyText"/>
        <w:spacing w:before="161"/>
        <w:ind w:left="1438" w:right="1491"/>
      </w:pPr>
      <w:r>
        <w:t>To</w:t>
      </w:r>
      <w:r>
        <w:rPr>
          <w:spacing w:val="-1"/>
        </w:rPr>
        <w:t xml:space="preserve"> </w:t>
      </w:r>
      <w:r>
        <w:t>remember</w:t>
      </w:r>
      <w:r>
        <w:rPr>
          <w:spacing w:val="-2"/>
        </w:rPr>
        <w:t xml:space="preserve"> </w:t>
      </w:r>
      <w:r>
        <w:t>the</w:t>
      </w:r>
      <w:r>
        <w:rPr>
          <w:spacing w:val="-1"/>
        </w:rPr>
        <w:t xml:space="preserve"> </w:t>
      </w:r>
      <w:r>
        <w:t>four</w:t>
      </w:r>
      <w:r>
        <w:rPr>
          <w:spacing w:val="-2"/>
        </w:rPr>
        <w:t xml:space="preserve"> </w:t>
      </w:r>
      <w:r>
        <w:t>elements,</w:t>
      </w:r>
      <w:r>
        <w:rPr>
          <w:spacing w:val="-2"/>
        </w:rPr>
        <w:t xml:space="preserve"> </w:t>
      </w:r>
      <w:r>
        <w:t>use</w:t>
      </w:r>
      <w:r>
        <w:rPr>
          <w:spacing w:val="-4"/>
        </w:rPr>
        <w:t xml:space="preserve"> </w:t>
      </w:r>
      <w:r>
        <w:t>the</w:t>
      </w:r>
      <w:r>
        <w:rPr>
          <w:spacing w:val="-1"/>
        </w:rPr>
        <w:t xml:space="preserve"> </w:t>
      </w:r>
      <w:r>
        <w:t>acronym</w:t>
      </w:r>
      <w:r>
        <w:rPr>
          <w:spacing w:val="-3"/>
        </w:rPr>
        <w:t xml:space="preserve"> </w:t>
      </w:r>
      <w:r>
        <w:t>PACE</w:t>
      </w:r>
      <w:r>
        <w:rPr>
          <w:spacing w:val="-2"/>
        </w:rPr>
        <w:t xml:space="preserve"> </w:t>
      </w:r>
      <w:r>
        <w:t>(Stinson</w:t>
      </w:r>
      <w:r>
        <w:rPr>
          <w:spacing w:val="-3"/>
        </w:rPr>
        <w:t xml:space="preserve"> </w:t>
      </w:r>
      <w:r>
        <w:t>&amp;</w:t>
      </w:r>
      <w:r>
        <w:rPr>
          <w:spacing w:val="-4"/>
        </w:rPr>
        <w:t xml:space="preserve"> </w:t>
      </w:r>
      <w:r>
        <w:t>Clark,</w:t>
      </w:r>
      <w:r>
        <w:rPr>
          <w:spacing w:val="-4"/>
        </w:rPr>
        <w:t xml:space="preserve"> </w:t>
      </w:r>
      <w:r>
        <w:t>2017).</w:t>
      </w:r>
      <w:r>
        <w:rPr>
          <w:spacing w:val="-5"/>
        </w:rPr>
        <w:t xml:space="preserve"> </w:t>
      </w:r>
      <w:r>
        <w:t>The</w:t>
      </w:r>
      <w:r>
        <w:rPr>
          <w:spacing w:val="-1"/>
        </w:rPr>
        <w:t xml:space="preserve"> </w:t>
      </w:r>
      <w:r>
        <w:t>specific</w:t>
      </w:r>
      <w:r>
        <w:rPr>
          <w:spacing w:val="-2"/>
        </w:rPr>
        <w:t xml:space="preserve"> </w:t>
      </w:r>
      <w:r>
        <w:t>counseling strategies you use in your counseling approach should emphasize one or more of these elements.</w:t>
      </w:r>
    </w:p>
    <w:p w14:paraId="1C638A24" w14:textId="77777777" w:rsidR="00DB6E1F" w:rsidRDefault="00F666A6">
      <w:pPr>
        <w:pStyle w:val="Heading3"/>
        <w:spacing w:before="165"/>
      </w:pPr>
      <w:bookmarkStart w:id="86" w:name="Principles_of_Person-Centered_Counseling"/>
      <w:bookmarkEnd w:id="86"/>
      <w:r>
        <w:t>Principles</w:t>
      </w:r>
      <w:r>
        <w:rPr>
          <w:spacing w:val="-12"/>
        </w:rPr>
        <w:t xml:space="preserve"> </w:t>
      </w:r>
      <w:r>
        <w:t>of</w:t>
      </w:r>
      <w:r>
        <w:rPr>
          <w:spacing w:val="-9"/>
        </w:rPr>
        <w:t xml:space="preserve"> </w:t>
      </w:r>
      <w:r>
        <w:t>Person-Centered</w:t>
      </w:r>
      <w:r>
        <w:rPr>
          <w:spacing w:val="-10"/>
        </w:rPr>
        <w:t xml:space="preserve"> </w:t>
      </w:r>
      <w:r>
        <w:rPr>
          <w:spacing w:val="-2"/>
        </w:rPr>
        <w:t>Counseling</w:t>
      </w:r>
    </w:p>
    <w:p w14:paraId="31B73BC1" w14:textId="77777777" w:rsidR="00DB6E1F" w:rsidRDefault="00F666A6">
      <w:pPr>
        <w:pStyle w:val="BodyText"/>
        <w:spacing w:before="143"/>
        <w:ind w:left="1439" w:right="1491"/>
      </w:pPr>
      <w:r>
        <w:t>MI</w:t>
      </w:r>
      <w:r>
        <w:rPr>
          <w:spacing w:val="-2"/>
        </w:rPr>
        <w:t xml:space="preserve"> </w:t>
      </w:r>
      <w:r>
        <w:t>reflects</w:t>
      </w:r>
      <w:r>
        <w:rPr>
          <w:spacing w:val="-4"/>
        </w:rPr>
        <w:t xml:space="preserve"> </w:t>
      </w:r>
      <w:r>
        <w:t>a</w:t>
      </w:r>
      <w:r>
        <w:rPr>
          <w:spacing w:val="-2"/>
        </w:rPr>
        <w:t xml:space="preserve"> </w:t>
      </w:r>
      <w:r>
        <w:t>longstanding</w:t>
      </w:r>
      <w:r>
        <w:rPr>
          <w:spacing w:val="-3"/>
        </w:rPr>
        <w:t xml:space="preserve"> </w:t>
      </w:r>
      <w:r>
        <w:t>tradition</w:t>
      </w:r>
      <w:r>
        <w:rPr>
          <w:spacing w:val="-5"/>
        </w:rPr>
        <w:t xml:space="preserve"> </w:t>
      </w:r>
      <w:r>
        <w:t>of</w:t>
      </w:r>
      <w:r>
        <w:rPr>
          <w:spacing w:val="-2"/>
        </w:rPr>
        <w:t xml:space="preserve"> </w:t>
      </w:r>
      <w:r>
        <w:t>humanistic</w:t>
      </w:r>
      <w:r>
        <w:rPr>
          <w:spacing w:val="-2"/>
        </w:rPr>
        <w:t xml:space="preserve"> </w:t>
      </w:r>
      <w:r>
        <w:t>counseling</w:t>
      </w:r>
      <w:r>
        <w:rPr>
          <w:spacing w:val="-2"/>
        </w:rPr>
        <w:t xml:space="preserve"> </w:t>
      </w:r>
      <w:r>
        <w:t>and</w:t>
      </w:r>
      <w:r>
        <w:rPr>
          <w:spacing w:val="-3"/>
        </w:rPr>
        <w:t xml:space="preserve"> </w:t>
      </w:r>
      <w:r>
        <w:t>the</w:t>
      </w:r>
      <w:r>
        <w:rPr>
          <w:spacing w:val="-1"/>
        </w:rPr>
        <w:t xml:space="preserve"> </w:t>
      </w:r>
      <w:r>
        <w:t>person-centered</w:t>
      </w:r>
      <w:r>
        <w:rPr>
          <w:spacing w:val="-3"/>
        </w:rPr>
        <w:t xml:space="preserve"> </w:t>
      </w:r>
      <w:r>
        <w:t>approach</w:t>
      </w:r>
      <w:r>
        <w:rPr>
          <w:spacing w:val="-5"/>
        </w:rPr>
        <w:t xml:space="preserve"> </w:t>
      </w:r>
      <w:r>
        <w:t>of</w:t>
      </w:r>
      <w:r>
        <w:rPr>
          <w:spacing w:val="-2"/>
        </w:rPr>
        <w:t xml:space="preserve"> </w:t>
      </w:r>
      <w:r>
        <w:t>Carl Rogers. It is theoretically linked to his theory of the “critical conditions for change,” which states that clients change when they are engaged in a therapeutic relationship in which the counselor is genuine and warm, expr</w:t>
      </w:r>
      <w:r>
        <w:t>esses unconditional positive regard, and displays accurate empathy (Rogers, 1965).</w:t>
      </w:r>
    </w:p>
    <w:p w14:paraId="5D7C2930" w14:textId="77777777" w:rsidR="00DB6E1F" w:rsidRDefault="00F666A6">
      <w:pPr>
        <w:spacing w:before="159"/>
        <w:ind w:left="1438" w:right="1437"/>
      </w:pPr>
      <w:r>
        <w:rPr>
          <w:b/>
        </w:rPr>
        <w:t>MI</w:t>
      </w:r>
      <w:r>
        <w:rPr>
          <w:b/>
          <w:spacing w:val="-1"/>
        </w:rPr>
        <w:t xml:space="preserve"> </w:t>
      </w:r>
      <w:r>
        <w:rPr>
          <w:b/>
        </w:rPr>
        <w:t>adds</w:t>
      </w:r>
      <w:r>
        <w:rPr>
          <w:b/>
          <w:spacing w:val="-1"/>
        </w:rPr>
        <w:t xml:space="preserve"> </w:t>
      </w:r>
      <w:r>
        <w:rPr>
          <w:b/>
        </w:rPr>
        <w:t>another</w:t>
      </w:r>
      <w:r>
        <w:rPr>
          <w:b/>
          <w:spacing w:val="-1"/>
        </w:rPr>
        <w:t xml:space="preserve"> </w:t>
      </w:r>
      <w:r>
        <w:rPr>
          <w:b/>
        </w:rPr>
        <w:t>dimension</w:t>
      </w:r>
      <w:r>
        <w:rPr>
          <w:b/>
          <w:spacing w:val="-3"/>
        </w:rPr>
        <w:t xml:space="preserve"> </w:t>
      </w:r>
      <w:r>
        <w:rPr>
          <w:b/>
        </w:rPr>
        <w:t>in</w:t>
      </w:r>
      <w:r>
        <w:rPr>
          <w:b/>
          <w:spacing w:val="-3"/>
        </w:rPr>
        <w:t xml:space="preserve"> </w:t>
      </w:r>
      <w:r>
        <w:rPr>
          <w:b/>
        </w:rPr>
        <w:t>your</w:t>
      </w:r>
      <w:r>
        <w:rPr>
          <w:b/>
          <w:spacing w:val="-1"/>
        </w:rPr>
        <w:t xml:space="preserve"> </w:t>
      </w:r>
      <w:r>
        <w:rPr>
          <w:b/>
        </w:rPr>
        <w:t>efforts</w:t>
      </w:r>
      <w:r>
        <w:rPr>
          <w:b/>
          <w:spacing w:val="-4"/>
        </w:rPr>
        <w:t xml:space="preserve"> </w:t>
      </w:r>
      <w:r>
        <w:rPr>
          <w:b/>
        </w:rPr>
        <w:t>to</w:t>
      </w:r>
      <w:r>
        <w:rPr>
          <w:b/>
          <w:spacing w:val="-3"/>
        </w:rPr>
        <w:t xml:space="preserve"> </w:t>
      </w:r>
      <w:r>
        <w:rPr>
          <w:b/>
        </w:rPr>
        <w:t>provide</w:t>
      </w:r>
      <w:r>
        <w:rPr>
          <w:b/>
          <w:spacing w:val="-3"/>
        </w:rPr>
        <w:t xml:space="preserve"> </w:t>
      </w:r>
      <w:r>
        <w:rPr>
          <w:b/>
        </w:rPr>
        <w:t>person-centered</w:t>
      </w:r>
      <w:r>
        <w:rPr>
          <w:b/>
          <w:spacing w:val="-3"/>
        </w:rPr>
        <w:t xml:space="preserve"> </w:t>
      </w:r>
      <w:r>
        <w:rPr>
          <w:b/>
        </w:rPr>
        <w:t>counseling.</w:t>
      </w:r>
      <w:r>
        <w:rPr>
          <w:b/>
          <w:spacing w:val="-3"/>
        </w:rPr>
        <w:t xml:space="preserve"> </w:t>
      </w:r>
      <w:r>
        <w:t>In</w:t>
      </w:r>
      <w:r>
        <w:rPr>
          <w:spacing w:val="-3"/>
        </w:rPr>
        <w:t xml:space="preserve"> </w:t>
      </w:r>
      <w:r>
        <w:t>MI,</w:t>
      </w:r>
      <w:r>
        <w:rPr>
          <w:spacing w:val="-4"/>
        </w:rPr>
        <w:t xml:space="preserve"> </w:t>
      </w:r>
      <w:r>
        <w:t>the</w:t>
      </w:r>
      <w:r>
        <w:rPr>
          <w:spacing w:val="-4"/>
        </w:rPr>
        <w:t xml:space="preserve"> </w:t>
      </w:r>
      <w:r>
        <w:t>counselor follows the principles of person-centered counseling but also guides th</w:t>
      </w:r>
      <w:r>
        <w:t>e conversation toward a specific, client-driven change goal. MI is more directive than purely person-centered counseling; it is guided by the following broad person-centered counseling principles (Miller &amp; Rollnick, 2013):</w:t>
      </w:r>
    </w:p>
    <w:p w14:paraId="7F44FA9D" w14:textId="77777777" w:rsidR="00DB6E1F" w:rsidRDefault="00F666A6">
      <w:pPr>
        <w:pStyle w:val="ListParagraph"/>
        <w:numPr>
          <w:ilvl w:val="0"/>
          <w:numId w:val="92"/>
        </w:numPr>
        <w:tabs>
          <w:tab w:val="left" w:pos="1798"/>
          <w:tab w:val="left" w:pos="1799"/>
        </w:tabs>
        <w:spacing w:before="59"/>
        <w:ind w:left="1798" w:right="1780"/>
        <w:rPr>
          <w:rFonts w:ascii="Symbol" w:hAnsi="Symbol"/>
        </w:rPr>
      </w:pPr>
      <w:r>
        <w:t>SUD</w:t>
      </w:r>
      <w:r>
        <w:rPr>
          <w:spacing w:val="-1"/>
        </w:rPr>
        <w:t xml:space="preserve"> </w:t>
      </w:r>
      <w:r>
        <w:t>treatment</w:t>
      </w:r>
      <w:r>
        <w:rPr>
          <w:spacing w:val="-4"/>
        </w:rPr>
        <w:t xml:space="preserve"> </w:t>
      </w:r>
      <w:r>
        <w:t>services</w:t>
      </w:r>
      <w:r>
        <w:rPr>
          <w:spacing w:val="-4"/>
        </w:rPr>
        <w:t xml:space="preserve"> </w:t>
      </w:r>
      <w:r>
        <w:t>exist</w:t>
      </w:r>
      <w:r>
        <w:rPr>
          <w:spacing w:val="-1"/>
        </w:rPr>
        <w:t xml:space="preserve"> </w:t>
      </w:r>
      <w:r>
        <w:t>to</w:t>
      </w:r>
      <w:r>
        <w:rPr>
          <w:spacing w:val="-1"/>
        </w:rPr>
        <w:t xml:space="preserve"> </w:t>
      </w:r>
      <w:r>
        <w:t>h</w:t>
      </w:r>
      <w:r>
        <w:t>elp</w:t>
      </w:r>
      <w:r>
        <w:rPr>
          <w:spacing w:val="-3"/>
        </w:rPr>
        <w:t xml:space="preserve"> </w:t>
      </w:r>
      <w:r>
        <w:t>recipients.</w:t>
      </w:r>
      <w:r>
        <w:rPr>
          <w:spacing w:val="-5"/>
        </w:rPr>
        <w:t xml:space="preserve"> </w:t>
      </w:r>
      <w:r>
        <w:t>The</w:t>
      </w:r>
      <w:r>
        <w:rPr>
          <w:spacing w:val="-1"/>
        </w:rPr>
        <w:t xml:space="preserve"> </w:t>
      </w:r>
      <w:r>
        <w:t>needs</w:t>
      </w:r>
      <w:r>
        <w:rPr>
          <w:spacing w:val="-4"/>
        </w:rPr>
        <w:t xml:space="preserve"> </w:t>
      </w:r>
      <w:r>
        <w:t>of</w:t>
      </w:r>
      <w:r>
        <w:rPr>
          <w:spacing w:val="-2"/>
        </w:rPr>
        <w:t xml:space="preserve"> </w:t>
      </w:r>
      <w:r>
        <w:t>the</w:t>
      </w:r>
      <w:r>
        <w:rPr>
          <w:spacing w:val="-4"/>
        </w:rPr>
        <w:t xml:space="preserve"> </w:t>
      </w:r>
      <w:r>
        <w:t>client</w:t>
      </w:r>
      <w:r>
        <w:rPr>
          <w:spacing w:val="-4"/>
        </w:rPr>
        <w:t xml:space="preserve"> </w:t>
      </w:r>
      <w:r>
        <w:t>take</w:t>
      </w:r>
      <w:r>
        <w:rPr>
          <w:spacing w:val="-1"/>
        </w:rPr>
        <w:t xml:space="preserve"> </w:t>
      </w:r>
      <w:r>
        <w:t>precedence</w:t>
      </w:r>
      <w:r>
        <w:rPr>
          <w:spacing w:val="-4"/>
        </w:rPr>
        <w:t xml:space="preserve"> </w:t>
      </w:r>
      <w:r>
        <w:t>over</w:t>
      </w:r>
      <w:r>
        <w:rPr>
          <w:spacing w:val="-4"/>
        </w:rPr>
        <w:t xml:space="preserve"> </w:t>
      </w:r>
      <w:r>
        <w:t>the counselor’s or organization’s needs or goals.</w:t>
      </w:r>
    </w:p>
    <w:p w14:paraId="144F539F" w14:textId="77777777" w:rsidR="00DB6E1F" w:rsidRDefault="00F666A6">
      <w:pPr>
        <w:pStyle w:val="ListParagraph"/>
        <w:numPr>
          <w:ilvl w:val="0"/>
          <w:numId w:val="92"/>
        </w:numPr>
        <w:tabs>
          <w:tab w:val="left" w:pos="1798"/>
          <w:tab w:val="left" w:pos="1799"/>
        </w:tabs>
        <w:ind w:left="1798"/>
        <w:rPr>
          <w:rFonts w:ascii="Symbol" w:hAnsi="Symbol"/>
        </w:rPr>
      </w:pPr>
      <w:r>
        <w:t>The</w:t>
      </w:r>
      <w:r>
        <w:rPr>
          <w:spacing w:val="-5"/>
        </w:rPr>
        <w:t xml:space="preserve"> </w:t>
      </w:r>
      <w:r>
        <w:t>client</w:t>
      </w:r>
      <w:r>
        <w:rPr>
          <w:spacing w:val="-5"/>
        </w:rPr>
        <w:t xml:space="preserve"> </w:t>
      </w:r>
      <w:r>
        <w:t>engages</w:t>
      </w:r>
      <w:r>
        <w:rPr>
          <w:spacing w:val="-5"/>
        </w:rPr>
        <w:t xml:space="preserve"> </w:t>
      </w:r>
      <w:r>
        <w:t>in</w:t>
      </w:r>
      <w:r>
        <w:rPr>
          <w:spacing w:val="-5"/>
        </w:rPr>
        <w:t xml:space="preserve"> </w:t>
      </w:r>
      <w:r>
        <w:t>a</w:t>
      </w:r>
      <w:r>
        <w:rPr>
          <w:spacing w:val="-3"/>
        </w:rPr>
        <w:t xml:space="preserve"> </w:t>
      </w:r>
      <w:r>
        <w:t>process</w:t>
      </w:r>
      <w:r>
        <w:rPr>
          <w:spacing w:val="-5"/>
        </w:rPr>
        <w:t xml:space="preserve"> </w:t>
      </w:r>
      <w:r>
        <w:t>of</w:t>
      </w:r>
      <w:r>
        <w:rPr>
          <w:spacing w:val="-3"/>
        </w:rPr>
        <w:t xml:space="preserve"> </w:t>
      </w:r>
      <w:r>
        <w:t>self-change.</w:t>
      </w:r>
      <w:r>
        <w:rPr>
          <w:spacing w:val="-4"/>
        </w:rPr>
        <w:t xml:space="preserve"> </w:t>
      </w:r>
      <w:r>
        <w:t>You</w:t>
      </w:r>
      <w:r>
        <w:rPr>
          <w:spacing w:val="-4"/>
        </w:rPr>
        <w:t xml:space="preserve"> </w:t>
      </w:r>
      <w:r>
        <w:t>facilitate</w:t>
      </w:r>
      <w:r>
        <w:rPr>
          <w:spacing w:val="-5"/>
        </w:rPr>
        <w:t xml:space="preserve"> </w:t>
      </w:r>
      <w:r>
        <w:t>the</w:t>
      </w:r>
      <w:r>
        <w:rPr>
          <w:spacing w:val="-3"/>
        </w:rPr>
        <w:t xml:space="preserve"> </w:t>
      </w:r>
      <w:r>
        <w:t>client’s</w:t>
      </w:r>
      <w:r>
        <w:rPr>
          <w:spacing w:val="-3"/>
        </w:rPr>
        <w:t xml:space="preserve"> </w:t>
      </w:r>
      <w:r>
        <w:t>natural</w:t>
      </w:r>
      <w:r>
        <w:rPr>
          <w:spacing w:val="-6"/>
        </w:rPr>
        <w:t xml:space="preserve"> </w:t>
      </w:r>
      <w:r>
        <w:t>process</w:t>
      </w:r>
      <w:r>
        <w:rPr>
          <w:spacing w:val="-5"/>
        </w:rPr>
        <w:t xml:space="preserve"> </w:t>
      </w:r>
      <w:r>
        <w:t>of</w:t>
      </w:r>
      <w:r>
        <w:rPr>
          <w:spacing w:val="-3"/>
        </w:rPr>
        <w:t xml:space="preserve"> </w:t>
      </w:r>
      <w:r>
        <w:rPr>
          <w:spacing w:val="-2"/>
        </w:rPr>
        <w:t>change.</w:t>
      </w:r>
    </w:p>
    <w:p w14:paraId="4247B488" w14:textId="77777777" w:rsidR="00DB6E1F" w:rsidRDefault="00F666A6">
      <w:pPr>
        <w:pStyle w:val="ListParagraph"/>
        <w:numPr>
          <w:ilvl w:val="0"/>
          <w:numId w:val="92"/>
        </w:numPr>
        <w:tabs>
          <w:tab w:val="left" w:pos="1800"/>
          <w:tab w:val="left" w:pos="1801"/>
        </w:tabs>
        <w:spacing w:before="61"/>
        <w:ind w:left="1800"/>
        <w:rPr>
          <w:rFonts w:ascii="Symbol" w:hAnsi="Symbol"/>
        </w:rPr>
      </w:pPr>
      <w:r>
        <w:t>The</w:t>
      </w:r>
      <w:r>
        <w:rPr>
          <w:spacing w:val="-3"/>
        </w:rPr>
        <w:t xml:space="preserve"> </w:t>
      </w:r>
      <w:r>
        <w:t>client</w:t>
      </w:r>
      <w:r>
        <w:rPr>
          <w:spacing w:val="-3"/>
        </w:rPr>
        <w:t xml:space="preserve"> </w:t>
      </w:r>
      <w:r>
        <w:t>is</w:t>
      </w:r>
      <w:r>
        <w:rPr>
          <w:spacing w:val="-2"/>
        </w:rPr>
        <w:t xml:space="preserve"> </w:t>
      </w:r>
      <w:r>
        <w:t>the</w:t>
      </w:r>
      <w:r>
        <w:rPr>
          <w:spacing w:val="-1"/>
        </w:rPr>
        <w:t xml:space="preserve"> </w:t>
      </w:r>
      <w:r>
        <w:t>expert</w:t>
      </w:r>
      <w:r>
        <w:rPr>
          <w:spacing w:val="-1"/>
        </w:rPr>
        <w:t xml:space="preserve"> </w:t>
      </w:r>
      <w:r>
        <w:t>in</w:t>
      </w:r>
      <w:r>
        <w:rPr>
          <w:spacing w:val="-5"/>
        </w:rPr>
        <w:t xml:space="preserve"> </w:t>
      </w:r>
      <w:r>
        <w:t>his</w:t>
      </w:r>
      <w:r>
        <w:rPr>
          <w:spacing w:val="-2"/>
        </w:rPr>
        <w:t xml:space="preserve"> </w:t>
      </w:r>
      <w:r>
        <w:t>or</w:t>
      </w:r>
      <w:r>
        <w:rPr>
          <w:spacing w:val="-2"/>
        </w:rPr>
        <w:t xml:space="preserve"> </w:t>
      </w:r>
      <w:r>
        <w:t>her</w:t>
      </w:r>
      <w:r>
        <w:rPr>
          <w:spacing w:val="-4"/>
        </w:rPr>
        <w:t xml:space="preserve"> </w:t>
      </w:r>
      <w:r>
        <w:t>own</w:t>
      </w:r>
      <w:r>
        <w:rPr>
          <w:spacing w:val="-3"/>
        </w:rPr>
        <w:t xml:space="preserve"> </w:t>
      </w:r>
      <w:r>
        <w:t>life</w:t>
      </w:r>
      <w:r>
        <w:rPr>
          <w:spacing w:val="-3"/>
        </w:rPr>
        <w:t xml:space="preserve"> </w:t>
      </w:r>
      <w:r>
        <w:t>and</w:t>
      </w:r>
      <w:r>
        <w:rPr>
          <w:spacing w:val="-3"/>
        </w:rPr>
        <w:t xml:space="preserve"> </w:t>
      </w:r>
      <w:r>
        <w:t>has</w:t>
      </w:r>
      <w:r>
        <w:rPr>
          <w:spacing w:val="-2"/>
        </w:rPr>
        <w:t xml:space="preserve"> </w:t>
      </w:r>
      <w:r>
        <w:t>knowledge</w:t>
      </w:r>
      <w:r>
        <w:rPr>
          <w:spacing w:val="-4"/>
        </w:rPr>
        <w:t xml:space="preserve"> </w:t>
      </w:r>
      <w:r>
        <w:t>of</w:t>
      </w:r>
      <w:r>
        <w:rPr>
          <w:spacing w:val="-5"/>
        </w:rPr>
        <w:t xml:space="preserve"> </w:t>
      </w:r>
      <w:r>
        <w:t>what</w:t>
      </w:r>
      <w:r>
        <w:rPr>
          <w:spacing w:val="-4"/>
        </w:rPr>
        <w:t xml:space="preserve"> </w:t>
      </w:r>
      <w:r>
        <w:t>works</w:t>
      </w:r>
      <w:r>
        <w:rPr>
          <w:spacing w:val="-4"/>
        </w:rPr>
        <w:t xml:space="preserve"> </w:t>
      </w:r>
      <w:r>
        <w:t>and</w:t>
      </w:r>
      <w:r>
        <w:rPr>
          <w:spacing w:val="-3"/>
        </w:rPr>
        <w:t xml:space="preserve"> </w:t>
      </w:r>
      <w:r>
        <w:t xml:space="preserve">what </w:t>
      </w:r>
      <w:r>
        <w:rPr>
          <w:spacing w:val="-2"/>
        </w:rPr>
        <w:t>doesn’t.</w:t>
      </w:r>
    </w:p>
    <w:p w14:paraId="53E5A0F8" w14:textId="77777777" w:rsidR="00DB6E1F" w:rsidRDefault="00F666A6">
      <w:pPr>
        <w:pStyle w:val="ListParagraph"/>
        <w:numPr>
          <w:ilvl w:val="0"/>
          <w:numId w:val="92"/>
        </w:numPr>
        <w:tabs>
          <w:tab w:val="left" w:pos="1800"/>
          <w:tab w:val="left" w:pos="1801"/>
        </w:tabs>
        <w:spacing w:before="61"/>
        <w:ind w:left="1800"/>
        <w:rPr>
          <w:rFonts w:ascii="Symbol" w:hAnsi="Symbol"/>
        </w:rPr>
      </w:pPr>
      <w:r>
        <w:t>As</w:t>
      </w:r>
      <w:r>
        <w:rPr>
          <w:spacing w:val="-3"/>
        </w:rPr>
        <w:t xml:space="preserve"> </w:t>
      </w:r>
      <w:r>
        <w:t>the</w:t>
      </w:r>
      <w:r>
        <w:rPr>
          <w:spacing w:val="-1"/>
        </w:rPr>
        <w:t xml:space="preserve"> </w:t>
      </w:r>
      <w:r>
        <w:t>counselor,</w:t>
      </w:r>
      <w:r>
        <w:rPr>
          <w:spacing w:val="-5"/>
        </w:rPr>
        <w:t xml:space="preserve"> </w:t>
      </w:r>
      <w:r>
        <w:t>you</w:t>
      </w:r>
      <w:r>
        <w:rPr>
          <w:spacing w:val="-5"/>
        </w:rPr>
        <w:t xml:space="preserve"> </w:t>
      </w:r>
      <w:r>
        <w:rPr>
          <w:b/>
        </w:rPr>
        <w:t>do</w:t>
      </w:r>
      <w:r>
        <w:rPr>
          <w:b/>
          <w:spacing w:val="-3"/>
        </w:rPr>
        <w:t xml:space="preserve"> </w:t>
      </w:r>
      <w:r>
        <w:rPr>
          <w:b/>
        </w:rPr>
        <w:t>not</w:t>
      </w:r>
      <w:r>
        <w:rPr>
          <w:b/>
          <w:spacing w:val="-2"/>
        </w:rPr>
        <w:t xml:space="preserve"> </w:t>
      </w:r>
      <w:r>
        <w:t>make</w:t>
      </w:r>
      <w:r>
        <w:rPr>
          <w:spacing w:val="-1"/>
        </w:rPr>
        <w:t xml:space="preserve"> </w:t>
      </w:r>
      <w:r>
        <w:t>change</w:t>
      </w:r>
      <w:r>
        <w:rPr>
          <w:spacing w:val="-4"/>
        </w:rPr>
        <w:t xml:space="preserve"> </w:t>
      </w:r>
      <w:r>
        <w:rPr>
          <w:spacing w:val="-2"/>
        </w:rPr>
        <w:t>happen.</w:t>
      </w:r>
    </w:p>
    <w:p w14:paraId="2B5D2296" w14:textId="77777777" w:rsidR="00DB6E1F" w:rsidRDefault="00F666A6">
      <w:pPr>
        <w:pStyle w:val="ListParagraph"/>
        <w:numPr>
          <w:ilvl w:val="0"/>
          <w:numId w:val="92"/>
        </w:numPr>
        <w:tabs>
          <w:tab w:val="left" w:pos="1800"/>
          <w:tab w:val="left" w:pos="1801"/>
        </w:tabs>
        <w:ind w:left="1800"/>
        <w:rPr>
          <w:rFonts w:ascii="Symbol" w:hAnsi="Symbol"/>
        </w:rPr>
      </w:pPr>
      <w:r>
        <w:rPr>
          <w:spacing w:val="-2"/>
        </w:rPr>
        <w:t>People</w:t>
      </w:r>
      <w:r>
        <w:rPr>
          <w:spacing w:val="-9"/>
        </w:rPr>
        <w:t xml:space="preserve"> </w:t>
      </w:r>
      <w:r>
        <w:rPr>
          <w:spacing w:val="-2"/>
        </w:rPr>
        <w:t>have</w:t>
      </w:r>
      <w:r>
        <w:rPr>
          <w:spacing w:val="-7"/>
        </w:rPr>
        <w:t xml:space="preserve"> </w:t>
      </w:r>
      <w:r>
        <w:rPr>
          <w:spacing w:val="-2"/>
        </w:rPr>
        <w:t>their</w:t>
      </w:r>
      <w:r>
        <w:rPr>
          <w:spacing w:val="-9"/>
        </w:rPr>
        <w:t xml:space="preserve"> </w:t>
      </w:r>
      <w:r>
        <w:rPr>
          <w:spacing w:val="-2"/>
        </w:rPr>
        <w:t>own</w:t>
      </w:r>
      <w:r>
        <w:rPr>
          <w:spacing w:val="-8"/>
        </w:rPr>
        <w:t xml:space="preserve"> </w:t>
      </w:r>
      <w:r>
        <w:rPr>
          <w:spacing w:val="-2"/>
        </w:rPr>
        <w:t>motivation,</w:t>
      </w:r>
      <w:r>
        <w:rPr>
          <w:spacing w:val="-8"/>
        </w:rPr>
        <w:t xml:space="preserve"> </w:t>
      </w:r>
      <w:r>
        <w:rPr>
          <w:spacing w:val="-2"/>
        </w:rPr>
        <w:t>strengths,</w:t>
      </w:r>
      <w:r>
        <w:rPr>
          <w:spacing w:val="-7"/>
        </w:rPr>
        <w:t xml:space="preserve"> </w:t>
      </w:r>
      <w:r>
        <w:rPr>
          <w:spacing w:val="-2"/>
        </w:rPr>
        <w:t>and</w:t>
      </w:r>
      <w:r>
        <w:rPr>
          <w:spacing w:val="-9"/>
        </w:rPr>
        <w:t xml:space="preserve"> </w:t>
      </w:r>
      <w:r>
        <w:rPr>
          <w:spacing w:val="-2"/>
        </w:rPr>
        <w:t>resources.</w:t>
      </w:r>
      <w:r>
        <w:rPr>
          <w:spacing w:val="-7"/>
        </w:rPr>
        <w:t xml:space="preserve"> </w:t>
      </w:r>
      <w:r>
        <w:rPr>
          <w:spacing w:val="-2"/>
        </w:rPr>
        <w:t>Counselors</w:t>
      </w:r>
      <w:r>
        <w:rPr>
          <w:spacing w:val="-8"/>
        </w:rPr>
        <w:t xml:space="preserve"> </w:t>
      </w:r>
      <w:r>
        <w:rPr>
          <w:spacing w:val="-2"/>
        </w:rPr>
        <w:t>help</w:t>
      </w:r>
      <w:r>
        <w:rPr>
          <w:spacing w:val="-8"/>
        </w:rPr>
        <w:t xml:space="preserve"> </w:t>
      </w:r>
      <w:r>
        <w:rPr>
          <w:spacing w:val="-2"/>
        </w:rPr>
        <w:t>activate</w:t>
      </w:r>
      <w:r>
        <w:rPr>
          <w:spacing w:val="-7"/>
        </w:rPr>
        <w:t xml:space="preserve"> </w:t>
      </w:r>
      <w:r>
        <w:rPr>
          <w:spacing w:val="-2"/>
        </w:rPr>
        <w:t>those</w:t>
      </w:r>
      <w:r>
        <w:rPr>
          <w:spacing w:val="-6"/>
        </w:rPr>
        <w:t xml:space="preserve"> </w:t>
      </w:r>
      <w:r>
        <w:rPr>
          <w:spacing w:val="-2"/>
        </w:rPr>
        <w:t>resources.</w:t>
      </w:r>
    </w:p>
    <w:p w14:paraId="2F049BD3" w14:textId="77777777" w:rsidR="00DB6E1F" w:rsidRDefault="00F666A6">
      <w:pPr>
        <w:pStyle w:val="ListParagraph"/>
        <w:numPr>
          <w:ilvl w:val="0"/>
          <w:numId w:val="92"/>
        </w:numPr>
        <w:tabs>
          <w:tab w:val="left" w:pos="1800"/>
          <w:tab w:val="left" w:pos="1801"/>
        </w:tabs>
        <w:spacing w:before="58"/>
        <w:ind w:left="1800" w:right="1493" w:hanging="360"/>
        <w:rPr>
          <w:rFonts w:ascii="Symbol" w:hAnsi="Symbol"/>
        </w:rPr>
      </w:pPr>
      <w:r>
        <w:t>You</w:t>
      </w:r>
      <w:r>
        <w:rPr>
          <w:spacing w:val="-3"/>
        </w:rPr>
        <w:t xml:space="preserve"> </w:t>
      </w:r>
      <w:r>
        <w:t>are</w:t>
      </w:r>
      <w:r>
        <w:rPr>
          <w:spacing w:val="-1"/>
        </w:rPr>
        <w:t xml:space="preserve"> </w:t>
      </w:r>
      <w:r>
        <w:t>not</w:t>
      </w:r>
      <w:r>
        <w:rPr>
          <w:spacing w:val="-1"/>
        </w:rPr>
        <w:t xml:space="preserve"> </w:t>
      </w:r>
      <w:r>
        <w:t>responsible</w:t>
      </w:r>
      <w:r>
        <w:rPr>
          <w:spacing w:val="-1"/>
        </w:rPr>
        <w:t xml:space="preserve"> </w:t>
      </w:r>
      <w:r>
        <w:t>for</w:t>
      </w:r>
      <w:r>
        <w:rPr>
          <w:spacing w:val="-4"/>
        </w:rPr>
        <w:t xml:space="preserve"> </w:t>
      </w:r>
      <w:r>
        <w:t>coming</w:t>
      </w:r>
      <w:r>
        <w:rPr>
          <w:spacing w:val="-3"/>
        </w:rPr>
        <w:t xml:space="preserve"> </w:t>
      </w:r>
      <w:r>
        <w:t>up</w:t>
      </w:r>
      <w:r>
        <w:rPr>
          <w:spacing w:val="-3"/>
        </w:rPr>
        <w:t xml:space="preserve"> </w:t>
      </w:r>
      <w:r>
        <w:t>with</w:t>
      </w:r>
      <w:r>
        <w:rPr>
          <w:spacing w:val="-3"/>
        </w:rPr>
        <w:t xml:space="preserve"> </w:t>
      </w:r>
      <w:r>
        <w:t>all</w:t>
      </w:r>
      <w:r>
        <w:rPr>
          <w:spacing w:val="-2"/>
        </w:rPr>
        <w:t xml:space="preserve"> </w:t>
      </w:r>
      <w:r>
        <w:t>the</w:t>
      </w:r>
      <w:r>
        <w:rPr>
          <w:spacing w:val="-4"/>
        </w:rPr>
        <w:t xml:space="preserve"> </w:t>
      </w:r>
      <w:r>
        <w:t>good</w:t>
      </w:r>
      <w:r>
        <w:rPr>
          <w:spacing w:val="-3"/>
        </w:rPr>
        <w:t xml:space="preserve"> </w:t>
      </w:r>
      <w:r>
        <w:t>ideas</w:t>
      </w:r>
      <w:r>
        <w:rPr>
          <w:spacing w:val="-2"/>
        </w:rPr>
        <w:t xml:space="preserve"> </w:t>
      </w:r>
      <w:r>
        <w:t>about</w:t>
      </w:r>
      <w:r>
        <w:rPr>
          <w:spacing w:val="-1"/>
        </w:rPr>
        <w:t xml:space="preserve"> </w:t>
      </w:r>
      <w:r>
        <w:t>change,</w:t>
      </w:r>
      <w:r>
        <w:rPr>
          <w:spacing w:val="-4"/>
        </w:rPr>
        <w:t xml:space="preserve"> </w:t>
      </w:r>
      <w:r>
        <w:t>and</w:t>
      </w:r>
      <w:r>
        <w:rPr>
          <w:spacing w:val="-3"/>
        </w:rPr>
        <w:t xml:space="preserve"> </w:t>
      </w:r>
      <w:r>
        <w:t>you</w:t>
      </w:r>
      <w:r>
        <w:rPr>
          <w:spacing w:val="-3"/>
        </w:rPr>
        <w:t xml:space="preserve"> </w:t>
      </w:r>
      <w:r>
        <w:t>probably</w:t>
      </w:r>
      <w:r>
        <w:rPr>
          <w:spacing w:val="-1"/>
        </w:rPr>
        <w:t xml:space="preserve"> </w:t>
      </w:r>
      <w:r>
        <w:t>don’t have the best ideas for any particular client.</w:t>
      </w:r>
    </w:p>
    <w:p w14:paraId="5EDAC47E" w14:textId="77777777" w:rsidR="00DB6E1F" w:rsidRDefault="00DB6E1F">
      <w:pPr>
        <w:rPr>
          <w:rFonts w:ascii="Symbol" w:hAnsi="Symbol"/>
        </w:rPr>
        <w:sectPr w:rsidR="00DB6E1F">
          <w:pgSz w:w="12240" w:h="15840"/>
          <w:pgMar w:top="1200" w:right="0" w:bottom="780" w:left="0" w:header="763" w:footer="585" w:gutter="0"/>
          <w:cols w:space="720"/>
        </w:sectPr>
      </w:pPr>
    </w:p>
    <w:p w14:paraId="09B1039F" w14:textId="77777777" w:rsidR="00DB6E1F" w:rsidRDefault="00DB6E1F">
      <w:pPr>
        <w:pStyle w:val="BodyText"/>
        <w:rPr>
          <w:sz w:val="11"/>
        </w:rPr>
      </w:pPr>
    </w:p>
    <w:p w14:paraId="66E4A92D" w14:textId="77777777" w:rsidR="00DB6E1F" w:rsidRDefault="00F666A6">
      <w:pPr>
        <w:pStyle w:val="ListParagraph"/>
        <w:numPr>
          <w:ilvl w:val="0"/>
          <w:numId w:val="92"/>
        </w:numPr>
        <w:tabs>
          <w:tab w:val="left" w:pos="1800"/>
          <w:tab w:val="left" w:pos="1801"/>
        </w:tabs>
        <w:spacing w:before="101"/>
        <w:ind w:left="1800"/>
        <w:rPr>
          <w:rFonts w:ascii="Symbol" w:hAnsi="Symbol"/>
        </w:rPr>
      </w:pPr>
      <w:r>
        <w:t>Change</w:t>
      </w:r>
      <w:r>
        <w:rPr>
          <w:spacing w:val="-7"/>
        </w:rPr>
        <w:t xml:space="preserve"> </w:t>
      </w:r>
      <w:r>
        <w:t>requires</w:t>
      </w:r>
      <w:r>
        <w:rPr>
          <w:spacing w:val="-4"/>
        </w:rPr>
        <w:t xml:space="preserve"> </w:t>
      </w:r>
      <w:r>
        <w:t>a</w:t>
      </w:r>
      <w:r>
        <w:rPr>
          <w:spacing w:val="-6"/>
        </w:rPr>
        <w:t xml:space="preserve"> </w:t>
      </w:r>
      <w:r>
        <w:t>partnership</w:t>
      </w:r>
      <w:r>
        <w:rPr>
          <w:spacing w:val="-5"/>
        </w:rPr>
        <w:t xml:space="preserve"> </w:t>
      </w:r>
      <w:r>
        <w:t>and</w:t>
      </w:r>
      <w:r>
        <w:rPr>
          <w:spacing w:val="-5"/>
        </w:rPr>
        <w:t xml:space="preserve"> </w:t>
      </w:r>
      <w:r>
        <w:t>“collaboration</w:t>
      </w:r>
      <w:r>
        <w:rPr>
          <w:spacing w:val="-7"/>
        </w:rPr>
        <w:t xml:space="preserve"> </w:t>
      </w:r>
      <w:r>
        <w:t>of</w:t>
      </w:r>
      <w:r>
        <w:rPr>
          <w:spacing w:val="-4"/>
        </w:rPr>
        <w:t xml:space="preserve"> </w:t>
      </w:r>
      <w:r>
        <w:rPr>
          <w:spacing w:val="-2"/>
        </w:rPr>
        <w:t>expertise.”</w:t>
      </w:r>
    </w:p>
    <w:p w14:paraId="6D3B08F3" w14:textId="77777777" w:rsidR="00DB6E1F" w:rsidRDefault="00F666A6">
      <w:pPr>
        <w:pStyle w:val="ListParagraph"/>
        <w:numPr>
          <w:ilvl w:val="0"/>
          <w:numId w:val="92"/>
        </w:numPr>
        <w:tabs>
          <w:tab w:val="left" w:pos="1800"/>
          <w:tab w:val="left" w:pos="1801"/>
        </w:tabs>
        <w:ind w:left="1800"/>
        <w:rPr>
          <w:rFonts w:ascii="Symbol" w:hAnsi="Symbol"/>
        </w:rPr>
      </w:pPr>
      <w:r>
        <w:t>You</w:t>
      </w:r>
      <w:r>
        <w:rPr>
          <w:spacing w:val="-8"/>
        </w:rPr>
        <w:t xml:space="preserve"> </w:t>
      </w:r>
      <w:r>
        <w:t>must</w:t>
      </w:r>
      <w:r>
        <w:rPr>
          <w:spacing w:val="-2"/>
        </w:rPr>
        <w:t xml:space="preserve"> </w:t>
      </w:r>
      <w:r>
        <w:t>understand</w:t>
      </w:r>
      <w:r>
        <w:rPr>
          <w:spacing w:val="-2"/>
        </w:rPr>
        <w:t xml:space="preserve"> </w:t>
      </w:r>
      <w:r>
        <w:t>the</w:t>
      </w:r>
      <w:r>
        <w:rPr>
          <w:spacing w:val="-5"/>
        </w:rPr>
        <w:t xml:space="preserve"> </w:t>
      </w:r>
      <w:r>
        <w:t>client’s</w:t>
      </w:r>
      <w:r>
        <w:rPr>
          <w:spacing w:val="-3"/>
        </w:rPr>
        <w:t xml:space="preserve"> </w:t>
      </w:r>
      <w:r>
        <w:t>perspectives</w:t>
      </w:r>
      <w:r>
        <w:rPr>
          <w:spacing w:val="-4"/>
        </w:rPr>
        <w:t xml:space="preserve"> </w:t>
      </w:r>
      <w:r>
        <w:t>on</w:t>
      </w:r>
      <w:r>
        <w:rPr>
          <w:spacing w:val="-4"/>
        </w:rPr>
        <w:t xml:space="preserve"> </w:t>
      </w:r>
      <w:r>
        <w:t>his</w:t>
      </w:r>
      <w:r>
        <w:rPr>
          <w:spacing w:val="-5"/>
        </w:rPr>
        <w:t xml:space="preserve"> </w:t>
      </w:r>
      <w:r>
        <w:t>or</w:t>
      </w:r>
      <w:r>
        <w:rPr>
          <w:spacing w:val="-2"/>
        </w:rPr>
        <w:t xml:space="preserve"> </w:t>
      </w:r>
      <w:r>
        <w:t>her</w:t>
      </w:r>
      <w:r>
        <w:rPr>
          <w:spacing w:val="-5"/>
        </w:rPr>
        <w:t xml:space="preserve"> </w:t>
      </w:r>
      <w:r>
        <w:t>problems</w:t>
      </w:r>
      <w:r>
        <w:rPr>
          <w:spacing w:val="-2"/>
        </w:rPr>
        <w:t xml:space="preserve"> </w:t>
      </w:r>
      <w:r>
        <w:t>and</w:t>
      </w:r>
      <w:r>
        <w:rPr>
          <w:spacing w:val="-4"/>
        </w:rPr>
        <w:t xml:space="preserve"> </w:t>
      </w:r>
      <w:r>
        <w:t>need</w:t>
      </w:r>
      <w:r>
        <w:rPr>
          <w:spacing w:val="-4"/>
        </w:rPr>
        <w:t xml:space="preserve"> </w:t>
      </w:r>
      <w:r>
        <w:t>to</w:t>
      </w:r>
      <w:r>
        <w:rPr>
          <w:spacing w:val="-1"/>
        </w:rPr>
        <w:t xml:space="preserve"> </w:t>
      </w:r>
      <w:r>
        <w:rPr>
          <w:spacing w:val="-2"/>
        </w:rPr>
        <w:t>change.</w:t>
      </w:r>
    </w:p>
    <w:p w14:paraId="0CD337CF" w14:textId="77777777" w:rsidR="00DB6E1F" w:rsidRDefault="00F666A6">
      <w:pPr>
        <w:pStyle w:val="ListParagraph"/>
        <w:numPr>
          <w:ilvl w:val="0"/>
          <w:numId w:val="92"/>
        </w:numPr>
        <w:tabs>
          <w:tab w:val="left" w:pos="1800"/>
          <w:tab w:val="left" w:pos="1801"/>
        </w:tabs>
        <w:spacing w:before="58"/>
        <w:ind w:left="1800" w:right="1478"/>
        <w:rPr>
          <w:rFonts w:ascii="Symbol" w:hAnsi="Symbol"/>
        </w:rPr>
      </w:pPr>
      <w:r>
        <w:t>The</w:t>
      </w:r>
      <w:r>
        <w:rPr>
          <w:spacing w:val="-2"/>
        </w:rPr>
        <w:t xml:space="preserve"> </w:t>
      </w:r>
      <w:r>
        <w:t>counseling</w:t>
      </w:r>
      <w:r>
        <w:rPr>
          <w:spacing w:val="-4"/>
        </w:rPr>
        <w:t xml:space="preserve"> </w:t>
      </w:r>
      <w:r>
        <w:t>relationship</w:t>
      </w:r>
      <w:r>
        <w:rPr>
          <w:spacing w:val="-6"/>
        </w:rPr>
        <w:t xml:space="preserve"> </w:t>
      </w:r>
      <w:r>
        <w:t>is</w:t>
      </w:r>
      <w:r>
        <w:rPr>
          <w:spacing w:val="-3"/>
        </w:rPr>
        <w:t xml:space="preserve"> </w:t>
      </w:r>
      <w:r>
        <w:t>not</w:t>
      </w:r>
      <w:r>
        <w:rPr>
          <w:spacing w:val="-5"/>
        </w:rPr>
        <w:t xml:space="preserve"> </w:t>
      </w:r>
      <w:r>
        <w:t>a</w:t>
      </w:r>
      <w:r>
        <w:rPr>
          <w:spacing w:val="-3"/>
        </w:rPr>
        <w:t xml:space="preserve"> </w:t>
      </w:r>
      <w:r>
        <w:t>power</w:t>
      </w:r>
      <w:r>
        <w:rPr>
          <w:spacing w:val="-5"/>
        </w:rPr>
        <w:t xml:space="preserve"> </w:t>
      </w:r>
      <w:r>
        <w:t>struggle.</w:t>
      </w:r>
      <w:r>
        <w:rPr>
          <w:spacing w:val="-3"/>
        </w:rPr>
        <w:t xml:space="preserve"> </w:t>
      </w:r>
      <w:r>
        <w:t>Conversations</w:t>
      </w:r>
      <w:r>
        <w:rPr>
          <w:spacing w:val="-3"/>
        </w:rPr>
        <w:t xml:space="preserve"> </w:t>
      </w:r>
      <w:r>
        <w:t>about</w:t>
      </w:r>
      <w:r>
        <w:rPr>
          <w:spacing w:val="-2"/>
        </w:rPr>
        <w:t xml:space="preserve"> </w:t>
      </w:r>
      <w:r>
        <w:t>change</w:t>
      </w:r>
      <w:r>
        <w:rPr>
          <w:spacing w:val="-5"/>
        </w:rPr>
        <w:t xml:space="preserve"> </w:t>
      </w:r>
      <w:r>
        <w:t>should</w:t>
      </w:r>
      <w:r>
        <w:rPr>
          <w:spacing w:val="-3"/>
        </w:rPr>
        <w:t xml:space="preserve"> </w:t>
      </w:r>
      <w:r>
        <w:t>not</w:t>
      </w:r>
      <w:r>
        <w:rPr>
          <w:spacing w:val="-2"/>
        </w:rPr>
        <w:t xml:space="preserve"> </w:t>
      </w:r>
      <w:r>
        <w:t>become debates. Avoid arguing with or trying to persuade the client that your position is correct.</w:t>
      </w:r>
    </w:p>
    <w:p w14:paraId="1E10B879" w14:textId="77777777" w:rsidR="00DB6E1F" w:rsidRDefault="00F666A6">
      <w:pPr>
        <w:pStyle w:val="ListParagraph"/>
        <w:numPr>
          <w:ilvl w:val="0"/>
          <w:numId w:val="92"/>
        </w:numPr>
        <w:tabs>
          <w:tab w:val="left" w:pos="1800"/>
          <w:tab w:val="left" w:pos="1801"/>
        </w:tabs>
        <w:spacing w:before="61"/>
        <w:ind w:left="1800"/>
        <w:rPr>
          <w:rFonts w:ascii="Symbol" w:hAnsi="Symbol"/>
        </w:rPr>
      </w:pPr>
      <w:r>
        <w:t>Motivation</w:t>
      </w:r>
      <w:r>
        <w:rPr>
          <w:spacing w:val="-4"/>
        </w:rPr>
        <w:t xml:space="preserve"> </w:t>
      </w:r>
      <w:r>
        <w:t>for</w:t>
      </w:r>
      <w:r>
        <w:rPr>
          <w:spacing w:val="-2"/>
        </w:rPr>
        <w:t xml:space="preserve"> </w:t>
      </w:r>
      <w:r>
        <w:t>change</w:t>
      </w:r>
      <w:r>
        <w:rPr>
          <w:spacing w:val="-5"/>
        </w:rPr>
        <w:t xml:space="preserve"> </w:t>
      </w:r>
      <w:r>
        <w:t>is</w:t>
      </w:r>
      <w:r>
        <w:rPr>
          <w:spacing w:val="-4"/>
        </w:rPr>
        <w:t xml:space="preserve"> </w:t>
      </w:r>
      <w:r>
        <w:t>evoked</w:t>
      </w:r>
      <w:r>
        <w:rPr>
          <w:spacing w:val="-5"/>
        </w:rPr>
        <w:t xml:space="preserve"> </w:t>
      </w:r>
      <w:r>
        <w:t>from,</w:t>
      </w:r>
      <w:r>
        <w:rPr>
          <w:spacing w:val="-3"/>
        </w:rPr>
        <w:t xml:space="preserve"> </w:t>
      </w:r>
      <w:r>
        <w:t>not</w:t>
      </w:r>
      <w:r>
        <w:rPr>
          <w:spacing w:val="-1"/>
        </w:rPr>
        <w:t xml:space="preserve"> </w:t>
      </w:r>
      <w:r>
        <w:t>given</w:t>
      </w:r>
      <w:r>
        <w:rPr>
          <w:spacing w:val="-6"/>
        </w:rPr>
        <w:t xml:space="preserve"> </w:t>
      </w:r>
      <w:r>
        <w:t>to,</w:t>
      </w:r>
      <w:r>
        <w:rPr>
          <w:spacing w:val="-4"/>
        </w:rPr>
        <w:t xml:space="preserve"> </w:t>
      </w:r>
      <w:r>
        <w:t>the</w:t>
      </w:r>
      <w:r>
        <w:rPr>
          <w:spacing w:val="-1"/>
        </w:rPr>
        <w:t xml:space="preserve"> </w:t>
      </w:r>
      <w:r>
        <w:rPr>
          <w:spacing w:val="-2"/>
        </w:rPr>
        <w:t>client.</w:t>
      </w:r>
    </w:p>
    <w:p w14:paraId="0281BD3F" w14:textId="77777777" w:rsidR="00DB6E1F" w:rsidRDefault="00F666A6">
      <w:pPr>
        <w:pStyle w:val="ListParagraph"/>
        <w:numPr>
          <w:ilvl w:val="0"/>
          <w:numId w:val="92"/>
        </w:numPr>
        <w:tabs>
          <w:tab w:val="left" w:pos="1800"/>
          <w:tab w:val="left" w:pos="1801"/>
        </w:tabs>
        <w:ind w:left="1800"/>
        <w:rPr>
          <w:rFonts w:ascii="Symbol" w:hAnsi="Symbol"/>
        </w:rPr>
      </w:pPr>
      <w:r>
        <w:t>People</w:t>
      </w:r>
      <w:r>
        <w:rPr>
          <w:spacing w:val="-7"/>
        </w:rPr>
        <w:t xml:space="preserve"> </w:t>
      </w:r>
      <w:r>
        <w:t>make</w:t>
      </w:r>
      <w:r>
        <w:rPr>
          <w:spacing w:val="-2"/>
        </w:rPr>
        <w:t xml:space="preserve"> </w:t>
      </w:r>
      <w:r>
        <w:t>their</w:t>
      </w:r>
      <w:r>
        <w:rPr>
          <w:spacing w:val="-4"/>
        </w:rPr>
        <w:t xml:space="preserve"> </w:t>
      </w:r>
      <w:r>
        <w:t>own</w:t>
      </w:r>
      <w:r>
        <w:rPr>
          <w:spacing w:val="-3"/>
        </w:rPr>
        <w:t xml:space="preserve"> </w:t>
      </w:r>
      <w:r>
        <w:t>decisions</w:t>
      </w:r>
      <w:r>
        <w:rPr>
          <w:spacing w:val="-4"/>
        </w:rPr>
        <w:t xml:space="preserve"> </w:t>
      </w:r>
      <w:r>
        <w:t>about</w:t>
      </w:r>
      <w:r>
        <w:rPr>
          <w:spacing w:val="-1"/>
        </w:rPr>
        <w:t xml:space="preserve"> </w:t>
      </w:r>
      <w:r>
        <w:t>taking</w:t>
      </w:r>
      <w:r>
        <w:rPr>
          <w:spacing w:val="-4"/>
        </w:rPr>
        <w:t xml:space="preserve"> </w:t>
      </w:r>
      <w:r>
        <w:t>action.</w:t>
      </w:r>
      <w:r>
        <w:rPr>
          <w:spacing w:val="-4"/>
        </w:rPr>
        <w:t xml:space="preserve"> </w:t>
      </w:r>
      <w:r>
        <w:t>It</w:t>
      </w:r>
      <w:r>
        <w:rPr>
          <w:spacing w:val="-2"/>
        </w:rPr>
        <w:t xml:space="preserve"> </w:t>
      </w:r>
      <w:r>
        <w:t>is</w:t>
      </w:r>
      <w:r>
        <w:rPr>
          <w:spacing w:val="-3"/>
        </w:rPr>
        <w:t xml:space="preserve"> </w:t>
      </w:r>
      <w:r>
        <w:t>not</w:t>
      </w:r>
      <w:r>
        <w:rPr>
          <w:spacing w:val="-2"/>
        </w:rPr>
        <w:t xml:space="preserve"> </w:t>
      </w:r>
      <w:r>
        <w:t>a</w:t>
      </w:r>
      <w:r>
        <w:rPr>
          <w:spacing w:val="-6"/>
        </w:rPr>
        <w:t xml:space="preserve"> </w:t>
      </w:r>
      <w:r>
        <w:t>change</w:t>
      </w:r>
      <w:r>
        <w:rPr>
          <w:spacing w:val="-2"/>
        </w:rPr>
        <w:t xml:space="preserve"> </w:t>
      </w:r>
      <w:r>
        <w:t>goal</w:t>
      </w:r>
      <w:r>
        <w:rPr>
          <w:spacing w:val="-6"/>
        </w:rPr>
        <w:t xml:space="preserve"> </w:t>
      </w:r>
      <w:r>
        <w:t>until</w:t>
      </w:r>
      <w:r>
        <w:rPr>
          <w:spacing w:val="-5"/>
        </w:rPr>
        <w:t xml:space="preserve"> </w:t>
      </w:r>
      <w:r>
        <w:t>the</w:t>
      </w:r>
      <w:r>
        <w:rPr>
          <w:spacing w:val="-2"/>
        </w:rPr>
        <w:t xml:space="preserve"> </w:t>
      </w:r>
      <w:r>
        <w:t>client</w:t>
      </w:r>
      <w:r>
        <w:rPr>
          <w:spacing w:val="-4"/>
        </w:rPr>
        <w:t xml:space="preserve"> </w:t>
      </w:r>
      <w:r>
        <w:t>says</w:t>
      </w:r>
      <w:r>
        <w:rPr>
          <w:spacing w:val="-3"/>
        </w:rPr>
        <w:t xml:space="preserve"> </w:t>
      </w:r>
      <w:r>
        <w:rPr>
          <w:spacing w:val="-5"/>
        </w:rPr>
        <w:t>so.</w:t>
      </w:r>
    </w:p>
    <w:p w14:paraId="4645D1B5" w14:textId="77777777" w:rsidR="00DB6E1F" w:rsidRDefault="00F666A6">
      <w:pPr>
        <w:pStyle w:val="ListParagraph"/>
        <w:numPr>
          <w:ilvl w:val="0"/>
          <w:numId w:val="92"/>
        </w:numPr>
        <w:tabs>
          <w:tab w:val="left" w:pos="1800"/>
          <w:tab w:val="left" w:pos="1801"/>
        </w:tabs>
        <w:spacing w:before="59"/>
        <w:ind w:left="1800"/>
        <w:rPr>
          <w:rFonts w:ascii="Symbol" w:hAnsi="Symbol"/>
        </w:rPr>
      </w:pPr>
      <w:r>
        <w:rPr>
          <w:spacing w:val="-2"/>
        </w:rPr>
        <w:t>The</w:t>
      </w:r>
      <w:r>
        <w:rPr>
          <w:spacing w:val="-9"/>
        </w:rPr>
        <w:t xml:space="preserve"> </w:t>
      </w:r>
      <w:r>
        <w:rPr>
          <w:spacing w:val="-2"/>
        </w:rPr>
        <w:t>spirit</w:t>
      </w:r>
      <w:r>
        <w:rPr>
          <w:spacing w:val="-6"/>
        </w:rPr>
        <w:t xml:space="preserve"> </w:t>
      </w:r>
      <w:r>
        <w:rPr>
          <w:spacing w:val="-2"/>
        </w:rPr>
        <w:t>of</w:t>
      </w:r>
      <w:r>
        <w:rPr>
          <w:spacing w:val="-7"/>
        </w:rPr>
        <w:t xml:space="preserve"> </w:t>
      </w:r>
      <w:r>
        <w:rPr>
          <w:spacing w:val="-2"/>
        </w:rPr>
        <w:t>MI</w:t>
      </w:r>
      <w:r>
        <w:rPr>
          <w:spacing w:val="-8"/>
        </w:rPr>
        <w:t xml:space="preserve"> </w:t>
      </w:r>
      <w:r>
        <w:rPr>
          <w:spacing w:val="-2"/>
        </w:rPr>
        <w:t>and</w:t>
      </w:r>
      <w:r>
        <w:rPr>
          <w:spacing w:val="-8"/>
        </w:rPr>
        <w:t xml:space="preserve"> </w:t>
      </w:r>
      <w:r>
        <w:rPr>
          <w:spacing w:val="-2"/>
        </w:rPr>
        <w:t>client-centered</w:t>
      </w:r>
      <w:r>
        <w:rPr>
          <w:spacing w:val="-8"/>
        </w:rPr>
        <w:t xml:space="preserve"> </w:t>
      </w:r>
      <w:r>
        <w:rPr>
          <w:spacing w:val="-2"/>
        </w:rPr>
        <w:t>counseling</w:t>
      </w:r>
      <w:r>
        <w:rPr>
          <w:spacing w:val="-7"/>
        </w:rPr>
        <w:t xml:space="preserve"> </w:t>
      </w:r>
      <w:r>
        <w:rPr>
          <w:spacing w:val="-2"/>
        </w:rPr>
        <w:t>principles</w:t>
      </w:r>
      <w:r>
        <w:rPr>
          <w:spacing w:val="-7"/>
        </w:rPr>
        <w:t xml:space="preserve"> </w:t>
      </w:r>
      <w:r>
        <w:rPr>
          <w:spacing w:val="-2"/>
        </w:rPr>
        <w:t>foster</w:t>
      </w:r>
      <w:r>
        <w:rPr>
          <w:spacing w:val="-7"/>
        </w:rPr>
        <w:t xml:space="preserve"> </w:t>
      </w:r>
      <w:r>
        <w:rPr>
          <w:spacing w:val="-2"/>
        </w:rPr>
        <w:t>a</w:t>
      </w:r>
      <w:r>
        <w:rPr>
          <w:spacing w:val="-7"/>
        </w:rPr>
        <w:t xml:space="preserve"> </w:t>
      </w:r>
      <w:r>
        <w:rPr>
          <w:spacing w:val="-2"/>
        </w:rPr>
        <w:t>sound</w:t>
      </w:r>
      <w:r>
        <w:rPr>
          <w:spacing w:val="-8"/>
        </w:rPr>
        <w:t xml:space="preserve"> </w:t>
      </w:r>
      <w:r>
        <w:rPr>
          <w:spacing w:val="-2"/>
        </w:rPr>
        <w:t>therapeutic</w:t>
      </w:r>
      <w:r>
        <w:rPr>
          <w:spacing w:val="-6"/>
        </w:rPr>
        <w:t xml:space="preserve"> </w:t>
      </w:r>
      <w:r>
        <w:rPr>
          <w:spacing w:val="-2"/>
        </w:rPr>
        <w:t>alliance.</w:t>
      </w:r>
    </w:p>
    <w:p w14:paraId="7F8AF2F4" w14:textId="77777777" w:rsidR="00DB6E1F" w:rsidRDefault="00F666A6">
      <w:pPr>
        <w:pStyle w:val="BodyText"/>
        <w:spacing w:before="161"/>
        <w:ind w:left="1440" w:right="1256"/>
      </w:pPr>
      <w:r>
        <w:t>Research on person-centered counseling approaches consistent with MI in treating alcohol use disorder (AUD)</w:t>
      </w:r>
      <w:r>
        <w:rPr>
          <w:spacing w:val="-2"/>
        </w:rPr>
        <w:t xml:space="preserve"> </w:t>
      </w:r>
      <w:r>
        <w:t>found</w:t>
      </w:r>
      <w:r>
        <w:rPr>
          <w:spacing w:val="-3"/>
        </w:rPr>
        <w:t xml:space="preserve"> </w:t>
      </w:r>
      <w:r>
        <w:t>that</w:t>
      </w:r>
      <w:r>
        <w:rPr>
          <w:spacing w:val="-4"/>
        </w:rPr>
        <w:t xml:space="preserve"> </w:t>
      </w:r>
      <w:r>
        <w:t>several</w:t>
      </w:r>
      <w:r>
        <w:rPr>
          <w:spacing w:val="-4"/>
        </w:rPr>
        <w:t xml:space="preserve"> </w:t>
      </w:r>
      <w:r>
        <w:t>sessions</w:t>
      </w:r>
      <w:r>
        <w:rPr>
          <w:spacing w:val="-4"/>
        </w:rPr>
        <w:t xml:space="preserve"> </w:t>
      </w:r>
      <w:r>
        <w:t>improved</w:t>
      </w:r>
      <w:r>
        <w:rPr>
          <w:spacing w:val="-3"/>
        </w:rPr>
        <w:t xml:space="preserve"> </w:t>
      </w:r>
      <w:r>
        <w:t>client</w:t>
      </w:r>
      <w:r>
        <w:rPr>
          <w:spacing w:val="-4"/>
        </w:rPr>
        <w:t xml:space="preserve"> </w:t>
      </w:r>
      <w:r>
        <w:t>outcomes,</w:t>
      </w:r>
      <w:r>
        <w:rPr>
          <w:spacing w:val="-4"/>
        </w:rPr>
        <w:t xml:space="preserve"> </w:t>
      </w:r>
      <w:r>
        <w:t>including</w:t>
      </w:r>
      <w:r>
        <w:rPr>
          <w:spacing w:val="-3"/>
        </w:rPr>
        <w:t xml:space="preserve"> </w:t>
      </w:r>
      <w:r>
        <w:t>readiness</w:t>
      </w:r>
      <w:r>
        <w:rPr>
          <w:spacing w:val="-4"/>
        </w:rPr>
        <w:t xml:space="preserve"> </w:t>
      </w:r>
      <w:r>
        <w:t>to</w:t>
      </w:r>
      <w:r>
        <w:rPr>
          <w:spacing w:val="-1"/>
        </w:rPr>
        <w:t xml:space="preserve"> </w:t>
      </w:r>
      <w:r>
        <w:t>change</w:t>
      </w:r>
      <w:r>
        <w:rPr>
          <w:spacing w:val="-4"/>
        </w:rPr>
        <w:t xml:space="preserve"> </w:t>
      </w:r>
      <w:r>
        <w:t>and</w:t>
      </w:r>
      <w:r>
        <w:rPr>
          <w:spacing w:val="-3"/>
        </w:rPr>
        <w:t xml:space="preserve"> </w:t>
      </w:r>
      <w:r>
        <w:t>reductions in alcohol use (Barrio &amp; Gual, 2016).</w:t>
      </w:r>
    </w:p>
    <w:p w14:paraId="1097888F" w14:textId="77777777" w:rsidR="00DB6E1F" w:rsidRDefault="00F666A6">
      <w:pPr>
        <w:pStyle w:val="Heading2"/>
        <w:spacing w:before="165"/>
      </w:pPr>
      <w:bookmarkStart w:id="87" w:name="What_Is_New_in_MI"/>
      <w:bookmarkStart w:id="88" w:name="_bookmark19"/>
      <w:bookmarkEnd w:id="87"/>
      <w:bookmarkEnd w:id="88"/>
      <w:r>
        <w:t>What</w:t>
      </w:r>
      <w:r>
        <w:rPr>
          <w:spacing w:val="-1"/>
        </w:rPr>
        <w:t xml:space="preserve"> </w:t>
      </w:r>
      <w:r>
        <w:t>Is New</w:t>
      </w:r>
      <w:r>
        <w:rPr>
          <w:spacing w:val="1"/>
        </w:rPr>
        <w:t xml:space="preserve"> </w:t>
      </w:r>
      <w:r>
        <w:t>in</w:t>
      </w:r>
      <w:r>
        <w:rPr>
          <w:spacing w:val="-4"/>
        </w:rPr>
        <w:t xml:space="preserve"> </w:t>
      </w:r>
      <w:r>
        <w:rPr>
          <w:spacing w:val="-5"/>
        </w:rPr>
        <w:t>MI</w:t>
      </w:r>
    </w:p>
    <w:p w14:paraId="205E8AA0" w14:textId="77777777" w:rsidR="00DB6E1F" w:rsidRDefault="00F666A6">
      <w:pPr>
        <w:pStyle w:val="BodyText"/>
        <w:spacing w:before="150"/>
        <w:ind w:left="1439" w:right="1491"/>
      </w:pPr>
      <w:r>
        <w:t>Much</w:t>
      </w:r>
      <w:r>
        <w:rPr>
          <w:spacing w:val="-3"/>
        </w:rPr>
        <w:t xml:space="preserve"> </w:t>
      </w:r>
      <w:r>
        <w:t>has</w:t>
      </w:r>
      <w:r>
        <w:rPr>
          <w:spacing w:val="-2"/>
        </w:rPr>
        <w:t xml:space="preserve"> </w:t>
      </w:r>
      <w:r>
        <w:t>changed</w:t>
      </w:r>
      <w:r>
        <w:rPr>
          <w:spacing w:val="-3"/>
        </w:rPr>
        <w:t xml:space="preserve"> </w:t>
      </w:r>
      <w:r>
        <w:t>in</w:t>
      </w:r>
      <w:r>
        <w:rPr>
          <w:spacing w:val="-5"/>
        </w:rPr>
        <w:t xml:space="preserve"> </w:t>
      </w:r>
      <w:r>
        <w:t>MI</w:t>
      </w:r>
      <w:r>
        <w:rPr>
          <w:spacing w:val="-5"/>
        </w:rPr>
        <w:t xml:space="preserve"> </w:t>
      </w:r>
      <w:r>
        <w:t>since</w:t>
      </w:r>
      <w:r>
        <w:rPr>
          <w:spacing w:val="-1"/>
        </w:rPr>
        <w:t xml:space="preserve"> </w:t>
      </w:r>
      <w:r>
        <w:t>Miller</w:t>
      </w:r>
      <w:r>
        <w:rPr>
          <w:spacing w:val="-2"/>
        </w:rPr>
        <w:t xml:space="preserve"> </w:t>
      </w:r>
      <w:r>
        <w:t>and</w:t>
      </w:r>
      <w:r>
        <w:rPr>
          <w:spacing w:val="-3"/>
        </w:rPr>
        <w:t xml:space="preserve"> </w:t>
      </w:r>
      <w:r>
        <w:t>Rollnick’s</w:t>
      </w:r>
      <w:r>
        <w:rPr>
          <w:spacing w:val="-4"/>
        </w:rPr>
        <w:t xml:space="preserve"> </w:t>
      </w:r>
      <w:r>
        <w:t>original</w:t>
      </w:r>
      <w:r>
        <w:rPr>
          <w:spacing w:val="-2"/>
        </w:rPr>
        <w:t xml:space="preserve"> </w:t>
      </w:r>
      <w:r>
        <w:t>(1991)</w:t>
      </w:r>
      <w:r>
        <w:rPr>
          <w:spacing w:val="-3"/>
        </w:rPr>
        <w:t xml:space="preserve"> </w:t>
      </w:r>
      <w:r>
        <w:t>and</w:t>
      </w:r>
      <w:r>
        <w:rPr>
          <w:spacing w:val="-3"/>
        </w:rPr>
        <w:t xml:space="preserve"> </w:t>
      </w:r>
      <w:r>
        <w:t>updated</w:t>
      </w:r>
      <w:r>
        <w:rPr>
          <w:spacing w:val="-3"/>
        </w:rPr>
        <w:t xml:space="preserve"> </w:t>
      </w:r>
      <w:r>
        <w:t>(2002)</w:t>
      </w:r>
      <w:r>
        <w:rPr>
          <w:spacing w:val="-4"/>
        </w:rPr>
        <w:t xml:space="preserve"> </w:t>
      </w:r>
      <w:r>
        <w:t>work.</w:t>
      </w:r>
      <w:r>
        <w:rPr>
          <w:spacing w:val="-2"/>
        </w:rPr>
        <w:t xml:space="preserve"> </w:t>
      </w:r>
      <w:r>
        <w:t>Exhibit</w:t>
      </w:r>
      <w:r>
        <w:rPr>
          <w:spacing w:val="-1"/>
        </w:rPr>
        <w:t xml:space="preserve"> </w:t>
      </w:r>
      <w:r>
        <w:t>3.1 summarizes important changes to MI based on decades of research and clinical experience.</w:t>
      </w:r>
    </w:p>
    <w:p w14:paraId="65F8EA33" w14:textId="77777777" w:rsidR="00DB6E1F" w:rsidRDefault="00DB6E1F">
      <w:pPr>
        <w:pStyle w:val="BodyText"/>
        <w:spacing w:before="10" w:after="1"/>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5035"/>
      </w:tblGrid>
      <w:tr w:rsidR="00DB6E1F" w14:paraId="68FF15F9" w14:textId="77777777">
        <w:trPr>
          <w:trHeight w:val="518"/>
        </w:trPr>
        <w:tc>
          <w:tcPr>
            <w:tcW w:w="9350" w:type="dxa"/>
            <w:gridSpan w:val="2"/>
            <w:tcBorders>
              <w:top w:val="nil"/>
              <w:left w:val="nil"/>
              <w:bottom w:val="nil"/>
              <w:right w:val="nil"/>
            </w:tcBorders>
            <w:shd w:val="clear" w:color="auto" w:fill="000000"/>
          </w:tcPr>
          <w:p w14:paraId="193D8AB6" w14:textId="77777777" w:rsidR="00DB6E1F" w:rsidRDefault="00F666A6">
            <w:pPr>
              <w:pStyle w:val="TableParagraph"/>
              <w:spacing w:before="112"/>
              <w:ind w:left="215"/>
              <w:rPr>
                <w:sz w:val="24"/>
              </w:rPr>
            </w:pPr>
            <w:r>
              <w:rPr>
                <w:color w:val="FFFFFF"/>
                <w:sz w:val="24"/>
              </w:rPr>
              <w:t>Exhibit</w:t>
            </w:r>
            <w:r>
              <w:rPr>
                <w:color w:val="FFFFFF"/>
                <w:spacing w:val="-4"/>
                <w:sz w:val="24"/>
              </w:rPr>
              <w:t xml:space="preserve"> </w:t>
            </w:r>
            <w:r>
              <w:rPr>
                <w:color w:val="FFFFFF"/>
                <w:sz w:val="24"/>
              </w:rPr>
              <w:t>3.1.</w:t>
            </w:r>
            <w:r>
              <w:rPr>
                <w:color w:val="FFFFFF"/>
                <w:spacing w:val="-2"/>
                <w:sz w:val="24"/>
              </w:rPr>
              <w:t xml:space="preserve"> </w:t>
            </w:r>
            <w:r>
              <w:rPr>
                <w:color w:val="FFFFFF"/>
                <w:sz w:val="24"/>
              </w:rPr>
              <w:t>A</w:t>
            </w:r>
            <w:r>
              <w:rPr>
                <w:color w:val="FFFFFF"/>
                <w:spacing w:val="-4"/>
                <w:sz w:val="24"/>
              </w:rPr>
              <w:t xml:space="preserve"> </w:t>
            </w:r>
            <w:r>
              <w:rPr>
                <w:color w:val="FFFFFF"/>
                <w:sz w:val="24"/>
              </w:rPr>
              <w:t>Comparison of Original</w:t>
            </w:r>
            <w:r>
              <w:rPr>
                <w:color w:val="FFFFFF"/>
                <w:spacing w:val="-2"/>
                <w:sz w:val="24"/>
              </w:rPr>
              <w:t xml:space="preserve"> </w:t>
            </w:r>
            <w:r>
              <w:rPr>
                <w:color w:val="FFFFFF"/>
                <w:sz w:val="24"/>
              </w:rPr>
              <w:t>and Updated Versions</w:t>
            </w:r>
            <w:r>
              <w:rPr>
                <w:color w:val="FFFFFF"/>
                <w:spacing w:val="-4"/>
                <w:sz w:val="24"/>
              </w:rPr>
              <w:t xml:space="preserve"> </w:t>
            </w:r>
            <w:r>
              <w:rPr>
                <w:color w:val="FFFFFF"/>
                <w:sz w:val="24"/>
              </w:rPr>
              <w:t>of</w:t>
            </w:r>
            <w:r>
              <w:rPr>
                <w:color w:val="FFFFFF"/>
                <w:spacing w:val="-3"/>
                <w:sz w:val="24"/>
              </w:rPr>
              <w:t xml:space="preserve"> </w:t>
            </w:r>
            <w:r>
              <w:rPr>
                <w:color w:val="FFFFFF"/>
                <w:spacing w:val="-5"/>
                <w:sz w:val="24"/>
              </w:rPr>
              <w:t>MI</w:t>
            </w:r>
          </w:p>
        </w:tc>
      </w:tr>
      <w:tr w:rsidR="00DB6E1F" w14:paraId="17A4065D" w14:textId="77777777">
        <w:trPr>
          <w:trHeight w:val="359"/>
        </w:trPr>
        <w:tc>
          <w:tcPr>
            <w:tcW w:w="4315" w:type="dxa"/>
          </w:tcPr>
          <w:p w14:paraId="1CFAD198" w14:textId="77777777" w:rsidR="00DB6E1F" w:rsidRDefault="00F666A6">
            <w:pPr>
              <w:pStyle w:val="TableParagraph"/>
              <w:spacing w:before="0" w:line="241" w:lineRule="exact"/>
              <w:rPr>
                <w:sz w:val="20"/>
              </w:rPr>
            </w:pPr>
            <w:r>
              <w:rPr>
                <w:sz w:val="20"/>
              </w:rPr>
              <w:t>Original</w:t>
            </w:r>
            <w:r>
              <w:rPr>
                <w:spacing w:val="-10"/>
                <w:sz w:val="20"/>
              </w:rPr>
              <w:t xml:space="preserve"> </w:t>
            </w:r>
            <w:r>
              <w:rPr>
                <w:spacing w:val="-2"/>
                <w:sz w:val="20"/>
              </w:rPr>
              <w:t>Version</w:t>
            </w:r>
          </w:p>
        </w:tc>
        <w:tc>
          <w:tcPr>
            <w:tcW w:w="5035" w:type="dxa"/>
          </w:tcPr>
          <w:p w14:paraId="5D47696B" w14:textId="77777777" w:rsidR="00DB6E1F" w:rsidRDefault="00F666A6">
            <w:pPr>
              <w:pStyle w:val="TableParagraph"/>
              <w:spacing w:before="0" w:line="241" w:lineRule="exact"/>
              <w:rPr>
                <w:sz w:val="20"/>
              </w:rPr>
            </w:pPr>
            <w:r>
              <w:rPr>
                <w:sz w:val="20"/>
              </w:rPr>
              <w:t>Updated</w:t>
            </w:r>
            <w:r>
              <w:rPr>
                <w:spacing w:val="-7"/>
                <w:sz w:val="20"/>
              </w:rPr>
              <w:t xml:space="preserve"> </w:t>
            </w:r>
            <w:r>
              <w:rPr>
                <w:spacing w:val="-2"/>
                <w:sz w:val="20"/>
              </w:rPr>
              <w:t>Version</w:t>
            </w:r>
          </w:p>
        </w:tc>
      </w:tr>
      <w:tr w:rsidR="00DB6E1F" w14:paraId="6A753DF9" w14:textId="77777777">
        <w:trPr>
          <w:trHeight w:val="3573"/>
        </w:trPr>
        <w:tc>
          <w:tcPr>
            <w:tcW w:w="4315" w:type="dxa"/>
          </w:tcPr>
          <w:p w14:paraId="0A94E51F" w14:textId="77777777" w:rsidR="00DB6E1F" w:rsidRDefault="00F666A6">
            <w:pPr>
              <w:pStyle w:val="TableParagraph"/>
              <w:rPr>
                <w:sz w:val="20"/>
              </w:rPr>
            </w:pPr>
            <w:r>
              <w:rPr>
                <w:sz w:val="20"/>
              </w:rPr>
              <w:t>Four</w:t>
            </w:r>
            <w:r>
              <w:rPr>
                <w:spacing w:val="-5"/>
                <w:sz w:val="20"/>
              </w:rPr>
              <w:t xml:space="preserve"> </w:t>
            </w:r>
            <w:r>
              <w:rPr>
                <w:sz w:val="20"/>
              </w:rPr>
              <w:t>principles</w:t>
            </w:r>
            <w:r>
              <w:rPr>
                <w:spacing w:val="-5"/>
                <w:sz w:val="20"/>
              </w:rPr>
              <w:t xml:space="preserve"> </w:t>
            </w:r>
            <w:r>
              <w:rPr>
                <w:sz w:val="20"/>
              </w:rPr>
              <w:t>as</w:t>
            </w:r>
            <w:r>
              <w:rPr>
                <w:spacing w:val="-6"/>
                <w:sz w:val="20"/>
              </w:rPr>
              <w:t xml:space="preserve"> </w:t>
            </w:r>
            <w:r>
              <w:rPr>
                <w:sz w:val="20"/>
              </w:rPr>
              <w:t>the</w:t>
            </w:r>
            <w:r>
              <w:rPr>
                <w:spacing w:val="-5"/>
                <w:sz w:val="20"/>
              </w:rPr>
              <w:t xml:space="preserve"> </w:t>
            </w:r>
            <w:r>
              <w:rPr>
                <w:sz w:val="20"/>
              </w:rPr>
              <w:t>basis</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MI</w:t>
            </w:r>
            <w:r>
              <w:rPr>
                <w:spacing w:val="-5"/>
                <w:sz w:val="20"/>
              </w:rPr>
              <w:t xml:space="preserve"> </w:t>
            </w:r>
            <w:r>
              <w:rPr>
                <w:spacing w:val="-2"/>
                <w:sz w:val="20"/>
              </w:rPr>
              <w:t>approach:</w:t>
            </w:r>
          </w:p>
          <w:p w14:paraId="0D2686BE" w14:textId="77777777" w:rsidR="00DB6E1F" w:rsidRDefault="00F666A6">
            <w:pPr>
              <w:pStyle w:val="TableParagraph"/>
              <w:numPr>
                <w:ilvl w:val="0"/>
                <w:numId w:val="77"/>
              </w:numPr>
              <w:tabs>
                <w:tab w:val="left" w:pos="467"/>
                <w:tab w:val="left" w:pos="468"/>
              </w:tabs>
              <w:spacing w:before="118"/>
              <w:ind w:right="483"/>
              <w:rPr>
                <w:sz w:val="20"/>
              </w:rPr>
            </w:pPr>
            <w:r>
              <w:rPr>
                <w:b/>
                <w:sz w:val="20"/>
              </w:rPr>
              <w:t>Express</w:t>
            </w:r>
            <w:r>
              <w:rPr>
                <w:b/>
                <w:spacing w:val="-12"/>
                <w:sz w:val="20"/>
              </w:rPr>
              <w:t xml:space="preserve"> </w:t>
            </w:r>
            <w:r>
              <w:rPr>
                <w:b/>
                <w:sz w:val="20"/>
              </w:rPr>
              <w:t>empathy:</w:t>
            </w:r>
            <w:r>
              <w:rPr>
                <w:b/>
                <w:spacing w:val="-11"/>
                <w:sz w:val="20"/>
              </w:rPr>
              <w:t xml:space="preserve"> </w:t>
            </w:r>
            <w:r>
              <w:rPr>
                <w:sz w:val="20"/>
              </w:rPr>
              <w:t>Demonstrate</w:t>
            </w:r>
            <w:r>
              <w:rPr>
                <w:spacing w:val="-11"/>
                <w:sz w:val="20"/>
              </w:rPr>
              <w:t xml:space="preserve"> </w:t>
            </w:r>
            <w:r>
              <w:rPr>
                <w:sz w:val="20"/>
              </w:rPr>
              <w:t>empathy through reflective listening.</w:t>
            </w:r>
          </w:p>
          <w:p w14:paraId="1A0BEE82" w14:textId="77777777" w:rsidR="00DB6E1F" w:rsidRDefault="00F666A6">
            <w:pPr>
              <w:pStyle w:val="TableParagraph"/>
              <w:numPr>
                <w:ilvl w:val="0"/>
                <w:numId w:val="77"/>
              </w:numPr>
              <w:tabs>
                <w:tab w:val="left" w:pos="467"/>
                <w:tab w:val="left" w:pos="468"/>
              </w:tabs>
              <w:spacing w:before="40"/>
              <w:ind w:right="146" w:hanging="361"/>
              <w:rPr>
                <w:sz w:val="20"/>
              </w:rPr>
            </w:pPr>
            <w:r>
              <w:rPr>
                <w:b/>
                <w:sz w:val="20"/>
              </w:rPr>
              <w:t>Develop</w:t>
            </w:r>
            <w:r>
              <w:rPr>
                <w:b/>
                <w:spacing w:val="-9"/>
                <w:sz w:val="20"/>
              </w:rPr>
              <w:t xml:space="preserve"> </w:t>
            </w:r>
            <w:r>
              <w:rPr>
                <w:b/>
                <w:sz w:val="20"/>
              </w:rPr>
              <w:t>discrepancy:</w:t>
            </w:r>
            <w:r>
              <w:rPr>
                <w:b/>
                <w:spacing w:val="-10"/>
                <w:sz w:val="20"/>
              </w:rPr>
              <w:t xml:space="preserve"> </w:t>
            </w:r>
            <w:r>
              <w:rPr>
                <w:sz w:val="20"/>
              </w:rPr>
              <w:t>Guide</w:t>
            </w:r>
            <w:r>
              <w:rPr>
                <w:spacing w:val="-11"/>
                <w:sz w:val="20"/>
              </w:rPr>
              <w:t xml:space="preserve"> </w:t>
            </w:r>
            <w:r>
              <w:rPr>
                <w:sz w:val="20"/>
              </w:rPr>
              <w:t>conversations</w:t>
            </w:r>
            <w:r>
              <w:rPr>
                <w:spacing w:val="-11"/>
                <w:sz w:val="20"/>
              </w:rPr>
              <w:t xml:space="preserve"> </w:t>
            </w:r>
            <w:r>
              <w:rPr>
                <w:sz w:val="20"/>
              </w:rPr>
              <w:t>to highlight the difference between clients’ goals or values and their current behavior.</w:t>
            </w:r>
          </w:p>
          <w:p w14:paraId="56C9AFA4" w14:textId="77777777" w:rsidR="00DB6E1F" w:rsidRDefault="00F666A6">
            <w:pPr>
              <w:pStyle w:val="TableParagraph"/>
              <w:numPr>
                <w:ilvl w:val="0"/>
                <w:numId w:val="77"/>
              </w:numPr>
              <w:tabs>
                <w:tab w:val="left" w:pos="467"/>
                <w:tab w:val="left" w:pos="468"/>
              </w:tabs>
              <w:spacing w:before="41"/>
              <w:ind w:right="367"/>
              <w:rPr>
                <w:sz w:val="20"/>
              </w:rPr>
            </w:pPr>
            <w:r>
              <w:rPr>
                <w:b/>
                <w:sz w:val="20"/>
              </w:rPr>
              <w:t>Roll</w:t>
            </w:r>
            <w:r>
              <w:rPr>
                <w:b/>
                <w:spacing w:val="-9"/>
                <w:sz w:val="20"/>
              </w:rPr>
              <w:t xml:space="preserve"> </w:t>
            </w:r>
            <w:r>
              <w:rPr>
                <w:b/>
                <w:sz w:val="20"/>
              </w:rPr>
              <w:t>with</w:t>
            </w:r>
            <w:r>
              <w:rPr>
                <w:b/>
                <w:spacing w:val="-7"/>
                <w:sz w:val="20"/>
              </w:rPr>
              <w:t xml:space="preserve"> </w:t>
            </w:r>
            <w:r>
              <w:rPr>
                <w:b/>
                <w:sz w:val="20"/>
              </w:rPr>
              <w:t>resistance:</w:t>
            </w:r>
            <w:r>
              <w:rPr>
                <w:b/>
                <w:spacing w:val="-8"/>
                <w:sz w:val="20"/>
              </w:rPr>
              <w:t xml:space="preserve"> </w:t>
            </w:r>
            <w:r>
              <w:rPr>
                <w:sz w:val="20"/>
              </w:rPr>
              <w:t>Avoid</w:t>
            </w:r>
            <w:r>
              <w:rPr>
                <w:spacing w:val="-7"/>
                <w:sz w:val="20"/>
              </w:rPr>
              <w:t xml:space="preserve"> </w:t>
            </w:r>
            <w:r>
              <w:rPr>
                <w:sz w:val="20"/>
              </w:rPr>
              <w:t>arguing</w:t>
            </w:r>
            <w:r>
              <w:rPr>
                <w:spacing w:val="-8"/>
                <w:sz w:val="20"/>
              </w:rPr>
              <w:t xml:space="preserve"> </w:t>
            </w:r>
            <w:r>
              <w:rPr>
                <w:sz w:val="20"/>
              </w:rPr>
              <w:t>against the status quo or arguing for change.</w:t>
            </w:r>
          </w:p>
          <w:p w14:paraId="12640C2F" w14:textId="77777777" w:rsidR="00DB6E1F" w:rsidRDefault="00F666A6">
            <w:pPr>
              <w:pStyle w:val="TableParagraph"/>
              <w:numPr>
                <w:ilvl w:val="0"/>
                <w:numId w:val="77"/>
              </w:numPr>
              <w:tabs>
                <w:tab w:val="left" w:pos="467"/>
                <w:tab w:val="left" w:pos="468"/>
              </w:tabs>
              <w:spacing w:before="39"/>
              <w:ind w:right="183" w:hanging="361"/>
              <w:rPr>
                <w:sz w:val="20"/>
              </w:rPr>
            </w:pPr>
            <w:r>
              <w:rPr>
                <w:b/>
                <w:sz w:val="20"/>
              </w:rPr>
              <w:t>Support</w:t>
            </w:r>
            <w:r>
              <w:rPr>
                <w:b/>
                <w:spacing w:val="-10"/>
                <w:sz w:val="20"/>
              </w:rPr>
              <w:t xml:space="preserve"> </w:t>
            </w:r>
            <w:r>
              <w:rPr>
                <w:b/>
                <w:sz w:val="20"/>
              </w:rPr>
              <w:t>self-efficacy:</w:t>
            </w:r>
            <w:r>
              <w:rPr>
                <w:b/>
                <w:spacing w:val="-10"/>
                <w:sz w:val="20"/>
              </w:rPr>
              <w:t xml:space="preserve"> </w:t>
            </w:r>
            <w:r>
              <w:rPr>
                <w:sz w:val="20"/>
              </w:rPr>
              <w:t>Support</w:t>
            </w:r>
            <w:r>
              <w:rPr>
                <w:spacing w:val="-10"/>
                <w:sz w:val="20"/>
              </w:rPr>
              <w:t xml:space="preserve"> </w:t>
            </w:r>
            <w:r>
              <w:rPr>
                <w:sz w:val="20"/>
              </w:rPr>
              <w:t>clients’</w:t>
            </w:r>
            <w:r>
              <w:rPr>
                <w:spacing w:val="-10"/>
                <w:sz w:val="20"/>
              </w:rPr>
              <w:t xml:space="preserve"> </w:t>
            </w:r>
            <w:r>
              <w:rPr>
                <w:sz w:val="20"/>
              </w:rPr>
              <w:t>beliefs that change is possible.</w:t>
            </w:r>
          </w:p>
          <w:p w14:paraId="2334263E" w14:textId="77777777" w:rsidR="00DB6E1F" w:rsidRDefault="00F666A6">
            <w:pPr>
              <w:pStyle w:val="TableParagraph"/>
              <w:spacing w:before="43"/>
              <w:ind w:right="129"/>
              <w:jc w:val="both"/>
              <w:rPr>
                <w:sz w:val="20"/>
              </w:rPr>
            </w:pPr>
            <w:r>
              <w:rPr>
                <w:sz w:val="20"/>
              </w:rPr>
              <w:t>Although the</w:t>
            </w:r>
            <w:r>
              <w:rPr>
                <w:sz w:val="20"/>
              </w:rPr>
              <w:t>se</w:t>
            </w:r>
            <w:r>
              <w:rPr>
                <w:spacing w:val="-1"/>
                <w:sz w:val="20"/>
              </w:rPr>
              <w:t xml:space="preserve"> </w:t>
            </w:r>
            <w:r>
              <w:rPr>
                <w:sz w:val="20"/>
              </w:rPr>
              <w:t>general principles</w:t>
            </w:r>
            <w:r>
              <w:rPr>
                <w:spacing w:val="-1"/>
                <w:sz w:val="20"/>
              </w:rPr>
              <w:t xml:space="preserve"> </w:t>
            </w:r>
            <w:r>
              <w:rPr>
                <w:sz w:val="20"/>
              </w:rPr>
              <w:t>are still helpful, the</w:t>
            </w:r>
            <w:r>
              <w:rPr>
                <w:spacing w:val="-4"/>
                <w:sz w:val="20"/>
              </w:rPr>
              <w:t xml:space="preserve"> </w:t>
            </w:r>
            <w:r>
              <w:rPr>
                <w:sz w:val="20"/>
              </w:rPr>
              <w:t>new</w:t>
            </w:r>
            <w:r>
              <w:rPr>
                <w:spacing w:val="-4"/>
                <w:sz w:val="20"/>
              </w:rPr>
              <w:t xml:space="preserve"> </w:t>
            </w:r>
            <w:r>
              <w:rPr>
                <w:sz w:val="20"/>
              </w:rPr>
              <w:t>emphasis</w:t>
            </w:r>
            <w:r>
              <w:rPr>
                <w:spacing w:val="-4"/>
                <w:sz w:val="20"/>
              </w:rPr>
              <w:t xml:space="preserve"> </w:t>
            </w:r>
            <w:r>
              <w:rPr>
                <w:sz w:val="20"/>
              </w:rPr>
              <w:t>in</w:t>
            </w:r>
            <w:r>
              <w:rPr>
                <w:spacing w:val="-2"/>
                <w:sz w:val="20"/>
              </w:rPr>
              <w:t xml:space="preserve"> </w:t>
            </w:r>
            <w:r>
              <w:rPr>
                <w:sz w:val="20"/>
              </w:rPr>
              <w:t>MI</w:t>
            </w:r>
            <w:r>
              <w:rPr>
                <w:spacing w:val="-3"/>
                <w:sz w:val="20"/>
              </w:rPr>
              <w:t xml:space="preserve"> </w:t>
            </w:r>
            <w:r>
              <w:rPr>
                <w:sz w:val="20"/>
              </w:rPr>
              <w:t>is</w:t>
            </w:r>
            <w:r>
              <w:rPr>
                <w:spacing w:val="-4"/>
                <w:sz w:val="20"/>
              </w:rPr>
              <w:t xml:space="preserve"> </w:t>
            </w:r>
            <w:r>
              <w:rPr>
                <w:sz w:val="20"/>
              </w:rPr>
              <w:t>on</w:t>
            </w:r>
            <w:r>
              <w:rPr>
                <w:spacing w:val="-3"/>
                <w:sz w:val="20"/>
              </w:rPr>
              <w:t xml:space="preserve"> </w:t>
            </w:r>
            <w:r>
              <w:rPr>
                <w:b/>
                <w:sz w:val="20"/>
              </w:rPr>
              <w:t>evoking</w:t>
            </w:r>
            <w:r>
              <w:rPr>
                <w:b/>
                <w:spacing w:val="-4"/>
                <w:sz w:val="20"/>
              </w:rPr>
              <w:t xml:space="preserve"> </w:t>
            </w:r>
            <w:r>
              <w:rPr>
                <w:b/>
                <w:sz w:val="20"/>
              </w:rPr>
              <w:t>change</w:t>
            </w:r>
            <w:r>
              <w:rPr>
                <w:b/>
                <w:spacing w:val="-3"/>
                <w:sz w:val="20"/>
              </w:rPr>
              <w:t xml:space="preserve"> </w:t>
            </w:r>
            <w:r>
              <w:rPr>
                <w:b/>
                <w:sz w:val="20"/>
              </w:rPr>
              <w:t xml:space="preserve">talk </w:t>
            </w:r>
            <w:r>
              <w:rPr>
                <w:sz w:val="20"/>
              </w:rPr>
              <w:t>and</w:t>
            </w:r>
            <w:r>
              <w:rPr>
                <w:spacing w:val="-5"/>
                <w:sz w:val="20"/>
              </w:rPr>
              <w:t xml:space="preserve"> </w:t>
            </w:r>
            <w:r>
              <w:rPr>
                <w:b/>
                <w:sz w:val="20"/>
              </w:rPr>
              <w:t>commitment</w:t>
            </w:r>
            <w:r>
              <w:rPr>
                <w:b/>
                <w:spacing w:val="-5"/>
                <w:sz w:val="20"/>
              </w:rPr>
              <w:t xml:space="preserve"> </w:t>
            </w:r>
            <w:r>
              <w:rPr>
                <w:b/>
                <w:sz w:val="20"/>
              </w:rPr>
              <w:t>to</w:t>
            </w:r>
            <w:r>
              <w:rPr>
                <w:b/>
                <w:spacing w:val="-5"/>
                <w:sz w:val="20"/>
              </w:rPr>
              <w:t xml:space="preserve"> </w:t>
            </w:r>
            <w:r>
              <w:rPr>
                <w:b/>
                <w:sz w:val="20"/>
              </w:rPr>
              <w:t>change</w:t>
            </w:r>
            <w:r>
              <w:rPr>
                <w:b/>
                <w:spacing w:val="-4"/>
                <w:sz w:val="20"/>
              </w:rPr>
              <w:t xml:space="preserve"> </w:t>
            </w:r>
            <w:r>
              <w:rPr>
                <w:sz w:val="20"/>
              </w:rPr>
              <w:t>as</w:t>
            </w:r>
            <w:r>
              <w:rPr>
                <w:spacing w:val="-7"/>
                <w:sz w:val="20"/>
              </w:rPr>
              <w:t xml:space="preserve"> </w:t>
            </w:r>
            <w:r>
              <w:rPr>
                <w:sz w:val="20"/>
              </w:rPr>
              <w:t>primary</w:t>
            </w:r>
            <w:r>
              <w:rPr>
                <w:spacing w:val="-4"/>
                <w:sz w:val="20"/>
              </w:rPr>
              <w:t xml:space="preserve"> </w:t>
            </w:r>
            <w:r>
              <w:rPr>
                <w:spacing w:val="-2"/>
                <w:sz w:val="20"/>
              </w:rPr>
              <w:t>principles.</w:t>
            </w:r>
          </w:p>
        </w:tc>
        <w:tc>
          <w:tcPr>
            <w:tcW w:w="5035" w:type="dxa"/>
          </w:tcPr>
          <w:p w14:paraId="22ABD0B9" w14:textId="77777777" w:rsidR="00DB6E1F" w:rsidRDefault="00F666A6">
            <w:pPr>
              <w:pStyle w:val="TableParagraph"/>
              <w:rPr>
                <w:sz w:val="20"/>
              </w:rPr>
            </w:pPr>
            <w:r>
              <w:rPr>
                <w:sz w:val="20"/>
              </w:rPr>
              <w:t>Four</w:t>
            </w:r>
            <w:r>
              <w:rPr>
                <w:spacing w:val="-4"/>
                <w:sz w:val="20"/>
              </w:rPr>
              <w:t xml:space="preserve"> </w:t>
            </w:r>
            <w:r>
              <w:rPr>
                <w:sz w:val="20"/>
              </w:rPr>
              <w:t>processes</w:t>
            </w:r>
            <w:r>
              <w:rPr>
                <w:spacing w:val="-5"/>
                <w:sz w:val="20"/>
              </w:rPr>
              <w:t xml:space="preserve"> </w:t>
            </w:r>
            <w:r>
              <w:rPr>
                <w:sz w:val="20"/>
              </w:rPr>
              <w:t>as</w:t>
            </w:r>
            <w:r>
              <w:rPr>
                <w:spacing w:val="-5"/>
                <w:sz w:val="20"/>
              </w:rPr>
              <w:t xml:space="preserve"> </w:t>
            </w:r>
            <w:r>
              <w:rPr>
                <w:sz w:val="20"/>
              </w:rPr>
              <w:t>the</w:t>
            </w:r>
            <w:r>
              <w:rPr>
                <w:spacing w:val="-4"/>
                <w:sz w:val="20"/>
              </w:rPr>
              <w:t xml:space="preserve"> </w:t>
            </w:r>
            <w:r>
              <w:rPr>
                <w:sz w:val="20"/>
              </w:rPr>
              <w:t>basis</w:t>
            </w:r>
            <w:r>
              <w:rPr>
                <w:spacing w:val="-5"/>
                <w:sz w:val="20"/>
              </w:rPr>
              <w:t xml:space="preserve"> </w:t>
            </w:r>
            <w:r>
              <w:rPr>
                <w:sz w:val="20"/>
              </w:rPr>
              <w:t>for</w:t>
            </w:r>
            <w:r>
              <w:rPr>
                <w:spacing w:val="-4"/>
                <w:sz w:val="20"/>
              </w:rPr>
              <w:t xml:space="preserve"> </w:t>
            </w:r>
            <w:r>
              <w:rPr>
                <w:sz w:val="20"/>
              </w:rPr>
              <w:t>the</w:t>
            </w:r>
            <w:r>
              <w:rPr>
                <w:spacing w:val="-4"/>
                <w:sz w:val="20"/>
              </w:rPr>
              <w:t xml:space="preserve"> </w:t>
            </w:r>
            <w:r>
              <w:rPr>
                <w:sz w:val="20"/>
              </w:rPr>
              <w:t>MI</w:t>
            </w:r>
            <w:r>
              <w:rPr>
                <w:spacing w:val="-4"/>
                <w:sz w:val="20"/>
              </w:rPr>
              <w:t xml:space="preserve"> </w:t>
            </w:r>
            <w:r>
              <w:rPr>
                <w:spacing w:val="-2"/>
                <w:sz w:val="20"/>
              </w:rPr>
              <w:t>approach:</w:t>
            </w:r>
          </w:p>
          <w:p w14:paraId="34730586" w14:textId="77777777" w:rsidR="00DB6E1F" w:rsidRDefault="00F666A6">
            <w:pPr>
              <w:pStyle w:val="TableParagraph"/>
              <w:numPr>
                <w:ilvl w:val="0"/>
                <w:numId w:val="76"/>
              </w:numPr>
              <w:tabs>
                <w:tab w:val="left" w:pos="467"/>
                <w:tab w:val="left" w:pos="468"/>
              </w:tabs>
              <w:spacing w:before="118"/>
              <w:ind w:hanging="361"/>
              <w:rPr>
                <w:sz w:val="20"/>
              </w:rPr>
            </w:pPr>
            <w:r>
              <w:rPr>
                <w:b/>
                <w:sz w:val="20"/>
              </w:rPr>
              <w:t>Engaging</w:t>
            </w:r>
            <w:r>
              <w:rPr>
                <w:b/>
                <w:spacing w:val="-7"/>
                <w:sz w:val="20"/>
              </w:rPr>
              <w:t xml:space="preserve"> </w:t>
            </w:r>
            <w:r>
              <w:rPr>
                <w:sz w:val="20"/>
              </w:rPr>
              <w:t>is</w:t>
            </w:r>
            <w:r>
              <w:rPr>
                <w:spacing w:val="-6"/>
                <w:sz w:val="20"/>
              </w:rPr>
              <w:t xml:space="preserve"> </w:t>
            </w:r>
            <w:r>
              <w:rPr>
                <w:sz w:val="20"/>
              </w:rPr>
              <w:t>the</w:t>
            </w:r>
            <w:r>
              <w:rPr>
                <w:spacing w:val="-6"/>
                <w:sz w:val="20"/>
              </w:rPr>
              <w:t xml:space="preserve"> </w:t>
            </w:r>
            <w:r>
              <w:rPr>
                <w:sz w:val="20"/>
              </w:rPr>
              <w:t>relational</w:t>
            </w:r>
            <w:r>
              <w:rPr>
                <w:spacing w:val="-6"/>
                <w:sz w:val="20"/>
              </w:rPr>
              <w:t xml:space="preserve"> </w:t>
            </w:r>
            <w:r>
              <w:rPr>
                <w:spacing w:val="-2"/>
                <w:sz w:val="20"/>
              </w:rPr>
              <w:t>foundation.</w:t>
            </w:r>
          </w:p>
          <w:p w14:paraId="3BA7C7FC" w14:textId="77777777" w:rsidR="00DB6E1F" w:rsidRDefault="00F666A6">
            <w:pPr>
              <w:pStyle w:val="TableParagraph"/>
              <w:numPr>
                <w:ilvl w:val="0"/>
                <w:numId w:val="76"/>
              </w:numPr>
              <w:tabs>
                <w:tab w:val="left" w:pos="467"/>
                <w:tab w:val="left" w:pos="468"/>
              </w:tabs>
              <w:spacing w:before="39"/>
              <w:ind w:hanging="361"/>
              <w:rPr>
                <w:sz w:val="20"/>
              </w:rPr>
            </w:pPr>
            <w:r>
              <w:rPr>
                <w:b/>
                <w:sz w:val="20"/>
              </w:rPr>
              <w:t>Focusing</w:t>
            </w:r>
            <w:r>
              <w:rPr>
                <w:b/>
                <w:spacing w:val="-8"/>
                <w:sz w:val="20"/>
              </w:rPr>
              <w:t xml:space="preserve"> </w:t>
            </w:r>
            <w:r>
              <w:rPr>
                <w:sz w:val="20"/>
              </w:rPr>
              <w:t>identifies</w:t>
            </w:r>
            <w:r>
              <w:rPr>
                <w:spacing w:val="-8"/>
                <w:sz w:val="20"/>
              </w:rPr>
              <w:t xml:space="preserve"> </w:t>
            </w:r>
            <w:r>
              <w:rPr>
                <w:sz w:val="20"/>
              </w:rPr>
              <w:t>agenda</w:t>
            </w:r>
            <w:r>
              <w:rPr>
                <w:spacing w:val="-6"/>
                <w:sz w:val="20"/>
              </w:rPr>
              <w:t xml:space="preserve"> </w:t>
            </w:r>
            <w:r>
              <w:rPr>
                <w:sz w:val="20"/>
              </w:rPr>
              <w:t>and</w:t>
            </w:r>
            <w:r>
              <w:rPr>
                <w:spacing w:val="-5"/>
                <w:sz w:val="20"/>
              </w:rPr>
              <w:t xml:space="preserve"> </w:t>
            </w:r>
            <w:r>
              <w:rPr>
                <w:sz w:val="20"/>
              </w:rPr>
              <w:t>change</w:t>
            </w:r>
            <w:r>
              <w:rPr>
                <w:spacing w:val="-8"/>
                <w:sz w:val="20"/>
              </w:rPr>
              <w:t xml:space="preserve"> </w:t>
            </w:r>
            <w:r>
              <w:rPr>
                <w:spacing w:val="-2"/>
                <w:sz w:val="20"/>
              </w:rPr>
              <w:t>goals.</w:t>
            </w:r>
          </w:p>
          <w:p w14:paraId="2EAFF460" w14:textId="77777777" w:rsidR="00DB6E1F" w:rsidRDefault="00F666A6">
            <w:pPr>
              <w:pStyle w:val="TableParagraph"/>
              <w:numPr>
                <w:ilvl w:val="0"/>
                <w:numId w:val="76"/>
              </w:numPr>
              <w:tabs>
                <w:tab w:val="left" w:pos="467"/>
                <w:tab w:val="left" w:pos="468"/>
              </w:tabs>
              <w:spacing w:before="42"/>
              <w:ind w:right="285"/>
              <w:rPr>
                <w:sz w:val="20"/>
              </w:rPr>
            </w:pPr>
            <w:r>
              <w:rPr>
                <w:b/>
                <w:sz w:val="20"/>
              </w:rPr>
              <w:t>Evoking</w:t>
            </w:r>
            <w:r>
              <w:rPr>
                <w:b/>
                <w:spacing w:val="-6"/>
                <w:sz w:val="20"/>
              </w:rPr>
              <w:t xml:space="preserve"> </w:t>
            </w:r>
            <w:r>
              <w:rPr>
                <w:sz w:val="20"/>
              </w:rPr>
              <w:t>uses</w:t>
            </w:r>
            <w:r>
              <w:rPr>
                <w:spacing w:val="-6"/>
                <w:sz w:val="20"/>
              </w:rPr>
              <w:t xml:space="preserve"> </w:t>
            </w:r>
            <w:r>
              <w:rPr>
                <w:sz w:val="20"/>
              </w:rPr>
              <w:t>MI</w:t>
            </w:r>
            <w:r>
              <w:rPr>
                <w:spacing w:val="-5"/>
                <w:sz w:val="20"/>
              </w:rPr>
              <w:t xml:space="preserve"> </w:t>
            </w:r>
            <w:r>
              <w:rPr>
                <w:sz w:val="20"/>
              </w:rPr>
              <w:t>core</w:t>
            </w:r>
            <w:r>
              <w:rPr>
                <w:spacing w:val="-6"/>
                <w:sz w:val="20"/>
              </w:rPr>
              <w:t xml:space="preserve"> </w:t>
            </w:r>
            <w:r>
              <w:rPr>
                <w:sz w:val="20"/>
              </w:rPr>
              <w:t>skills</w:t>
            </w:r>
            <w:r>
              <w:rPr>
                <w:spacing w:val="-6"/>
                <w:sz w:val="20"/>
              </w:rPr>
              <w:t xml:space="preserve"> </w:t>
            </w:r>
            <w:r>
              <w:rPr>
                <w:sz w:val="20"/>
              </w:rPr>
              <w:t>and</w:t>
            </w:r>
            <w:r>
              <w:rPr>
                <w:spacing w:val="-4"/>
                <w:sz w:val="20"/>
              </w:rPr>
              <w:t xml:space="preserve"> </w:t>
            </w:r>
            <w:r>
              <w:rPr>
                <w:sz w:val="20"/>
              </w:rPr>
              <w:t>strategies</w:t>
            </w:r>
            <w:r>
              <w:rPr>
                <w:spacing w:val="-6"/>
                <w:sz w:val="20"/>
              </w:rPr>
              <w:t xml:space="preserve"> </w:t>
            </w:r>
            <w:r>
              <w:rPr>
                <w:sz w:val="20"/>
              </w:rPr>
              <w:t>for</w:t>
            </w:r>
            <w:r>
              <w:rPr>
                <w:spacing w:val="-4"/>
                <w:sz w:val="20"/>
              </w:rPr>
              <w:t xml:space="preserve"> </w:t>
            </w:r>
            <w:r>
              <w:rPr>
                <w:sz w:val="20"/>
              </w:rPr>
              <w:t>moving toward a specific change goal.</w:t>
            </w:r>
          </w:p>
          <w:p w14:paraId="2F3EDAF2" w14:textId="77777777" w:rsidR="00DB6E1F" w:rsidRDefault="00F666A6">
            <w:pPr>
              <w:pStyle w:val="TableParagraph"/>
              <w:numPr>
                <w:ilvl w:val="0"/>
                <w:numId w:val="76"/>
              </w:numPr>
              <w:tabs>
                <w:tab w:val="left" w:pos="467"/>
                <w:tab w:val="left" w:pos="468"/>
              </w:tabs>
              <w:spacing w:before="37"/>
              <w:ind w:hanging="361"/>
              <w:rPr>
                <w:sz w:val="20"/>
              </w:rPr>
            </w:pPr>
            <w:r>
              <w:rPr>
                <w:b/>
                <w:sz w:val="20"/>
              </w:rPr>
              <w:t>Planning</w:t>
            </w:r>
            <w:r>
              <w:rPr>
                <w:b/>
                <w:spacing w:val="-6"/>
                <w:sz w:val="20"/>
              </w:rPr>
              <w:t xml:space="preserve"> </w:t>
            </w:r>
            <w:r>
              <w:rPr>
                <w:sz w:val="20"/>
              </w:rPr>
              <w:t>is</w:t>
            </w:r>
            <w:r>
              <w:rPr>
                <w:spacing w:val="-6"/>
                <w:sz w:val="20"/>
              </w:rPr>
              <w:t xml:space="preserve"> </w:t>
            </w:r>
            <w:r>
              <w:rPr>
                <w:sz w:val="20"/>
              </w:rPr>
              <w:t>the</w:t>
            </w:r>
            <w:r>
              <w:rPr>
                <w:spacing w:val="-6"/>
                <w:sz w:val="20"/>
              </w:rPr>
              <w:t xml:space="preserve"> </w:t>
            </w:r>
            <w:r>
              <w:rPr>
                <w:sz w:val="20"/>
              </w:rPr>
              <w:t>bridge</w:t>
            </w:r>
            <w:r>
              <w:rPr>
                <w:spacing w:val="-6"/>
                <w:sz w:val="20"/>
              </w:rPr>
              <w:t xml:space="preserve"> </w:t>
            </w:r>
            <w:r>
              <w:rPr>
                <w:sz w:val="20"/>
              </w:rPr>
              <w:t>to</w:t>
            </w:r>
            <w:r>
              <w:rPr>
                <w:spacing w:val="-5"/>
                <w:sz w:val="20"/>
              </w:rPr>
              <w:t xml:space="preserve"> </w:t>
            </w:r>
            <w:r>
              <w:rPr>
                <w:sz w:val="20"/>
              </w:rPr>
              <w:t>behavior</w:t>
            </w:r>
            <w:r>
              <w:rPr>
                <w:spacing w:val="-5"/>
                <w:sz w:val="20"/>
              </w:rPr>
              <w:t xml:space="preserve"> </w:t>
            </w:r>
            <w:r>
              <w:rPr>
                <w:spacing w:val="-2"/>
                <w:sz w:val="20"/>
              </w:rPr>
              <w:t>change.</w:t>
            </w:r>
          </w:p>
          <w:p w14:paraId="1962481D" w14:textId="77777777" w:rsidR="00DB6E1F" w:rsidRDefault="00F666A6">
            <w:pPr>
              <w:pStyle w:val="TableParagraph"/>
              <w:spacing w:before="44"/>
              <w:ind w:right="125"/>
              <w:rPr>
                <w:sz w:val="20"/>
              </w:rPr>
            </w:pPr>
            <w:r>
              <w:rPr>
                <w:sz w:val="20"/>
              </w:rPr>
              <w:t>The four processes replace Phase I and II stages in the original version of MI. Core skills and strategies of MI include asking open questions, affirming, using reflective listening,</w:t>
            </w:r>
            <w:r>
              <w:rPr>
                <w:spacing w:val="-4"/>
                <w:sz w:val="20"/>
              </w:rPr>
              <w:t xml:space="preserve"> </w:t>
            </w:r>
            <w:r>
              <w:rPr>
                <w:sz w:val="20"/>
              </w:rPr>
              <w:t>and</w:t>
            </w:r>
            <w:r>
              <w:rPr>
                <w:spacing w:val="-4"/>
                <w:sz w:val="20"/>
              </w:rPr>
              <w:t xml:space="preserve"> </w:t>
            </w:r>
            <w:r>
              <w:rPr>
                <w:sz w:val="20"/>
              </w:rPr>
              <w:t>summarizing;</w:t>
            </w:r>
            <w:r>
              <w:rPr>
                <w:spacing w:val="-6"/>
                <w:sz w:val="20"/>
              </w:rPr>
              <w:t xml:space="preserve"> </w:t>
            </w:r>
            <w:r>
              <w:rPr>
                <w:sz w:val="20"/>
              </w:rPr>
              <w:t>all</w:t>
            </w:r>
            <w:r>
              <w:rPr>
                <w:spacing w:val="-5"/>
                <w:sz w:val="20"/>
              </w:rPr>
              <w:t xml:space="preserve"> </w:t>
            </w:r>
            <w:r>
              <w:rPr>
                <w:sz w:val="20"/>
              </w:rPr>
              <w:t>are</w:t>
            </w:r>
            <w:r>
              <w:rPr>
                <w:spacing w:val="-6"/>
                <w:sz w:val="20"/>
              </w:rPr>
              <w:t xml:space="preserve"> </w:t>
            </w:r>
            <w:r>
              <w:rPr>
                <w:sz w:val="20"/>
              </w:rPr>
              <w:t>integrated</w:t>
            </w:r>
            <w:r>
              <w:rPr>
                <w:spacing w:val="-4"/>
                <w:sz w:val="20"/>
              </w:rPr>
              <w:t xml:space="preserve"> </w:t>
            </w:r>
            <w:r>
              <w:rPr>
                <w:sz w:val="20"/>
              </w:rPr>
              <w:t>into</w:t>
            </w:r>
            <w:r>
              <w:rPr>
                <w:spacing w:val="-5"/>
                <w:sz w:val="20"/>
              </w:rPr>
              <w:t xml:space="preserve"> </w:t>
            </w:r>
            <w:r>
              <w:rPr>
                <w:sz w:val="20"/>
              </w:rPr>
              <w:t>the</w:t>
            </w:r>
            <w:r>
              <w:rPr>
                <w:spacing w:val="-6"/>
                <w:sz w:val="20"/>
              </w:rPr>
              <w:t xml:space="preserve"> </w:t>
            </w:r>
            <w:r>
              <w:rPr>
                <w:sz w:val="20"/>
              </w:rPr>
              <w:t>four processes. The original</w:t>
            </w:r>
            <w:r>
              <w:rPr>
                <w:sz w:val="20"/>
              </w:rPr>
              <w:t xml:space="preserve"> four principles have been folded into the four processes as reflective listening or strategic responses to move conversations along.</w:t>
            </w:r>
          </w:p>
        </w:tc>
      </w:tr>
      <w:tr w:rsidR="00DB6E1F" w14:paraId="343842A1" w14:textId="77777777">
        <w:trPr>
          <w:trHeight w:val="851"/>
        </w:trPr>
        <w:tc>
          <w:tcPr>
            <w:tcW w:w="4315" w:type="dxa"/>
          </w:tcPr>
          <w:p w14:paraId="2ED77790" w14:textId="77777777" w:rsidR="00DB6E1F" w:rsidRDefault="00F666A6">
            <w:pPr>
              <w:pStyle w:val="TableParagraph"/>
              <w:rPr>
                <w:sz w:val="20"/>
              </w:rPr>
            </w:pPr>
            <w:r>
              <w:rPr>
                <w:sz w:val="20"/>
              </w:rPr>
              <w:t>Resistance</w:t>
            </w:r>
            <w:r>
              <w:rPr>
                <w:spacing w:val="-7"/>
                <w:sz w:val="20"/>
              </w:rPr>
              <w:t xml:space="preserve"> </w:t>
            </w:r>
            <w:r>
              <w:rPr>
                <w:sz w:val="20"/>
              </w:rPr>
              <w:t>is</w:t>
            </w:r>
            <w:r>
              <w:rPr>
                <w:spacing w:val="-6"/>
                <w:sz w:val="20"/>
              </w:rPr>
              <w:t xml:space="preserve"> </w:t>
            </w:r>
            <w:r>
              <w:rPr>
                <w:sz w:val="20"/>
              </w:rPr>
              <w:t>a</w:t>
            </w:r>
            <w:r>
              <w:rPr>
                <w:spacing w:val="-4"/>
                <w:sz w:val="20"/>
              </w:rPr>
              <w:t xml:space="preserve"> </w:t>
            </w:r>
            <w:r>
              <w:rPr>
                <w:sz w:val="20"/>
              </w:rPr>
              <w:t>characteristic</w:t>
            </w:r>
            <w:r>
              <w:rPr>
                <w:spacing w:val="-4"/>
                <w:sz w:val="20"/>
              </w:rPr>
              <w:t xml:space="preserve"> </w:t>
            </w:r>
            <w:r>
              <w:rPr>
                <w:sz w:val="20"/>
              </w:rPr>
              <w:t>of</w:t>
            </w:r>
            <w:r>
              <w:rPr>
                <w:spacing w:val="-6"/>
                <w:sz w:val="20"/>
              </w:rPr>
              <w:t xml:space="preserve"> </w:t>
            </w:r>
            <w:r>
              <w:rPr>
                <w:sz w:val="20"/>
              </w:rPr>
              <w:t>the</w:t>
            </w:r>
            <w:r>
              <w:rPr>
                <w:spacing w:val="-7"/>
                <w:sz w:val="20"/>
              </w:rPr>
              <w:t xml:space="preserve"> </w:t>
            </w:r>
            <w:r>
              <w:rPr>
                <w:spacing w:val="-2"/>
                <w:sz w:val="20"/>
              </w:rPr>
              <w:t>client.</w:t>
            </w:r>
          </w:p>
        </w:tc>
        <w:tc>
          <w:tcPr>
            <w:tcW w:w="5035" w:type="dxa"/>
          </w:tcPr>
          <w:p w14:paraId="1B129DB1" w14:textId="77777777" w:rsidR="00DB6E1F" w:rsidRDefault="00F666A6">
            <w:pPr>
              <w:pStyle w:val="TableParagraph"/>
              <w:ind w:right="336"/>
              <w:jc w:val="both"/>
              <w:rPr>
                <w:sz w:val="20"/>
              </w:rPr>
            </w:pPr>
            <w:r>
              <w:rPr>
                <w:sz w:val="20"/>
              </w:rPr>
              <w:t>Resistance</w:t>
            </w:r>
            <w:r>
              <w:rPr>
                <w:spacing w:val="-6"/>
                <w:sz w:val="20"/>
              </w:rPr>
              <w:t xml:space="preserve"> </w:t>
            </w:r>
            <w:r>
              <w:rPr>
                <w:sz w:val="20"/>
              </w:rPr>
              <w:t>is</w:t>
            </w:r>
            <w:r>
              <w:rPr>
                <w:spacing w:val="-6"/>
                <w:sz w:val="20"/>
              </w:rPr>
              <w:t xml:space="preserve"> </w:t>
            </w:r>
            <w:r>
              <w:rPr>
                <w:sz w:val="20"/>
              </w:rPr>
              <w:t>an</w:t>
            </w:r>
            <w:r>
              <w:rPr>
                <w:spacing w:val="-4"/>
                <w:sz w:val="20"/>
              </w:rPr>
              <w:t xml:space="preserve"> </w:t>
            </w:r>
            <w:r>
              <w:rPr>
                <w:sz w:val="20"/>
              </w:rPr>
              <w:t>expression</w:t>
            </w:r>
            <w:r>
              <w:rPr>
                <w:spacing w:val="-4"/>
                <w:sz w:val="20"/>
              </w:rPr>
              <w:t xml:space="preserve"> </w:t>
            </w:r>
            <w:r>
              <w:rPr>
                <w:sz w:val="20"/>
              </w:rPr>
              <w:t>of</w:t>
            </w:r>
            <w:r>
              <w:rPr>
                <w:spacing w:val="-3"/>
                <w:sz w:val="20"/>
              </w:rPr>
              <w:t xml:space="preserve"> </w:t>
            </w:r>
            <w:r>
              <w:rPr>
                <w:sz w:val="20"/>
              </w:rPr>
              <w:t>sustain</w:t>
            </w:r>
            <w:r>
              <w:rPr>
                <w:spacing w:val="-4"/>
                <w:sz w:val="20"/>
              </w:rPr>
              <w:t xml:space="preserve"> </w:t>
            </w:r>
            <w:r>
              <w:rPr>
                <w:sz w:val="20"/>
              </w:rPr>
              <w:t>talk</w:t>
            </w:r>
            <w:r>
              <w:rPr>
                <w:spacing w:val="-4"/>
                <w:sz w:val="20"/>
              </w:rPr>
              <w:t xml:space="preserve"> </w:t>
            </w:r>
            <w:r>
              <w:rPr>
                <w:sz w:val="20"/>
              </w:rPr>
              <w:t>and</w:t>
            </w:r>
            <w:r>
              <w:rPr>
                <w:spacing w:val="-4"/>
                <w:sz w:val="20"/>
              </w:rPr>
              <w:t xml:space="preserve"> </w:t>
            </w:r>
            <w:r>
              <w:rPr>
                <w:sz w:val="20"/>
              </w:rPr>
              <w:t>the</w:t>
            </w:r>
            <w:r>
              <w:rPr>
                <w:spacing w:val="-6"/>
                <w:sz w:val="20"/>
              </w:rPr>
              <w:t xml:space="preserve"> </w:t>
            </w:r>
            <w:r>
              <w:rPr>
                <w:sz w:val="20"/>
              </w:rPr>
              <w:t>status quo side of ambi</w:t>
            </w:r>
            <w:r>
              <w:rPr>
                <w:sz w:val="20"/>
              </w:rPr>
              <w:t xml:space="preserve">valence, arising out of counselor–client </w:t>
            </w:r>
            <w:r>
              <w:rPr>
                <w:spacing w:val="-2"/>
                <w:sz w:val="20"/>
              </w:rPr>
              <w:t>discord.</w:t>
            </w:r>
          </w:p>
        </w:tc>
      </w:tr>
      <w:tr w:rsidR="00DB6E1F" w14:paraId="26DE6128" w14:textId="77777777">
        <w:trPr>
          <w:trHeight w:val="609"/>
        </w:trPr>
        <w:tc>
          <w:tcPr>
            <w:tcW w:w="4315" w:type="dxa"/>
          </w:tcPr>
          <w:p w14:paraId="6D60DE39" w14:textId="77777777" w:rsidR="00DB6E1F" w:rsidRDefault="00F666A6">
            <w:pPr>
              <w:pStyle w:val="TableParagraph"/>
              <w:rPr>
                <w:sz w:val="20"/>
              </w:rPr>
            </w:pPr>
            <w:r>
              <w:rPr>
                <w:sz w:val="20"/>
              </w:rPr>
              <w:t>Rolling</w:t>
            </w:r>
            <w:r>
              <w:rPr>
                <w:spacing w:val="-8"/>
                <w:sz w:val="20"/>
              </w:rPr>
              <w:t xml:space="preserve"> </w:t>
            </w:r>
            <w:r>
              <w:rPr>
                <w:sz w:val="20"/>
              </w:rPr>
              <w:t>with</w:t>
            </w:r>
            <w:r>
              <w:rPr>
                <w:spacing w:val="-7"/>
                <w:sz w:val="20"/>
              </w:rPr>
              <w:t xml:space="preserve"> </w:t>
            </w:r>
            <w:r>
              <w:rPr>
                <w:spacing w:val="-2"/>
                <w:sz w:val="20"/>
              </w:rPr>
              <w:t>resistance</w:t>
            </w:r>
          </w:p>
        </w:tc>
        <w:tc>
          <w:tcPr>
            <w:tcW w:w="5035" w:type="dxa"/>
          </w:tcPr>
          <w:p w14:paraId="383A1257" w14:textId="77777777" w:rsidR="00DB6E1F" w:rsidRDefault="00F666A6">
            <w:pPr>
              <w:pStyle w:val="TableParagraph"/>
              <w:ind w:right="125"/>
              <w:rPr>
                <w:sz w:val="20"/>
              </w:rPr>
            </w:pPr>
            <w:r>
              <w:rPr>
                <w:sz w:val="20"/>
              </w:rPr>
              <w:t>Strategies</w:t>
            </w:r>
            <w:r>
              <w:rPr>
                <w:spacing w:val="-8"/>
                <w:sz w:val="20"/>
              </w:rPr>
              <w:t xml:space="preserve"> </w:t>
            </w:r>
            <w:r>
              <w:rPr>
                <w:sz w:val="20"/>
              </w:rPr>
              <w:t>to</w:t>
            </w:r>
            <w:r>
              <w:rPr>
                <w:spacing w:val="-8"/>
                <w:sz w:val="20"/>
              </w:rPr>
              <w:t xml:space="preserve"> </w:t>
            </w:r>
            <w:r>
              <w:rPr>
                <w:sz w:val="20"/>
              </w:rPr>
              <w:t>lessen</w:t>
            </w:r>
            <w:r>
              <w:rPr>
                <w:spacing w:val="-7"/>
                <w:sz w:val="20"/>
              </w:rPr>
              <w:t xml:space="preserve"> </w:t>
            </w:r>
            <w:r>
              <w:rPr>
                <w:sz w:val="20"/>
              </w:rPr>
              <w:t>sustain</w:t>
            </w:r>
            <w:r>
              <w:rPr>
                <w:spacing w:val="-7"/>
                <w:sz w:val="20"/>
              </w:rPr>
              <w:t xml:space="preserve"> </w:t>
            </w:r>
            <w:r>
              <w:rPr>
                <w:sz w:val="20"/>
              </w:rPr>
              <w:t>talk</w:t>
            </w:r>
            <w:r>
              <w:rPr>
                <w:spacing w:val="-7"/>
                <w:sz w:val="20"/>
              </w:rPr>
              <w:t xml:space="preserve"> </w:t>
            </w:r>
            <w:r>
              <w:rPr>
                <w:sz w:val="20"/>
              </w:rPr>
              <w:t>and</w:t>
            </w:r>
            <w:r>
              <w:rPr>
                <w:spacing w:val="-7"/>
                <w:sz w:val="20"/>
              </w:rPr>
              <w:t xml:space="preserve"> </w:t>
            </w:r>
            <w:r>
              <w:rPr>
                <w:sz w:val="20"/>
              </w:rPr>
              <w:t xml:space="preserve">counselor–client </w:t>
            </w:r>
            <w:r>
              <w:rPr>
                <w:spacing w:val="-2"/>
                <w:sz w:val="20"/>
              </w:rPr>
              <w:t>discord</w:t>
            </w:r>
          </w:p>
        </w:tc>
      </w:tr>
      <w:tr w:rsidR="00DB6E1F" w14:paraId="4E190D93" w14:textId="77777777">
        <w:trPr>
          <w:trHeight w:val="364"/>
        </w:trPr>
        <w:tc>
          <w:tcPr>
            <w:tcW w:w="4315" w:type="dxa"/>
          </w:tcPr>
          <w:p w14:paraId="3C42154C" w14:textId="77777777" w:rsidR="00DB6E1F" w:rsidRDefault="00F666A6">
            <w:pPr>
              <w:pStyle w:val="TableParagraph"/>
              <w:rPr>
                <w:sz w:val="20"/>
              </w:rPr>
            </w:pPr>
            <w:r>
              <w:rPr>
                <w:w w:val="95"/>
                <w:sz w:val="20"/>
              </w:rPr>
              <w:t>Self-motivating</w:t>
            </w:r>
            <w:r>
              <w:rPr>
                <w:spacing w:val="44"/>
                <w:sz w:val="20"/>
              </w:rPr>
              <w:t xml:space="preserve"> </w:t>
            </w:r>
            <w:r>
              <w:rPr>
                <w:spacing w:val="-2"/>
                <w:w w:val="95"/>
                <w:sz w:val="20"/>
              </w:rPr>
              <w:t>statements</w:t>
            </w:r>
          </w:p>
        </w:tc>
        <w:tc>
          <w:tcPr>
            <w:tcW w:w="5035" w:type="dxa"/>
          </w:tcPr>
          <w:p w14:paraId="4E37CF50" w14:textId="77777777" w:rsidR="00DB6E1F" w:rsidRDefault="00F666A6">
            <w:pPr>
              <w:pStyle w:val="TableParagraph"/>
              <w:rPr>
                <w:sz w:val="20"/>
              </w:rPr>
            </w:pPr>
            <w:r>
              <w:rPr>
                <w:sz w:val="20"/>
              </w:rPr>
              <w:t>Change</w:t>
            </w:r>
            <w:r>
              <w:rPr>
                <w:spacing w:val="-10"/>
                <w:sz w:val="20"/>
              </w:rPr>
              <w:t xml:space="preserve"> </w:t>
            </w:r>
            <w:r>
              <w:rPr>
                <w:spacing w:val="-4"/>
                <w:sz w:val="20"/>
              </w:rPr>
              <w:t>talk</w:t>
            </w:r>
          </w:p>
        </w:tc>
      </w:tr>
      <w:tr w:rsidR="00DB6E1F" w14:paraId="0B673F0D" w14:textId="77777777">
        <w:trPr>
          <w:trHeight w:val="1341"/>
        </w:trPr>
        <w:tc>
          <w:tcPr>
            <w:tcW w:w="4315" w:type="dxa"/>
          </w:tcPr>
          <w:p w14:paraId="322A8E41" w14:textId="77777777" w:rsidR="00DB6E1F" w:rsidRDefault="00F666A6">
            <w:pPr>
              <w:pStyle w:val="TableParagraph"/>
              <w:ind w:right="141"/>
              <w:rPr>
                <w:sz w:val="20"/>
              </w:rPr>
            </w:pPr>
            <w:r>
              <w:rPr>
                <w:sz w:val="20"/>
              </w:rPr>
              <w:t>Decisional</w:t>
            </w:r>
            <w:r>
              <w:rPr>
                <w:spacing w:val="-6"/>
                <w:sz w:val="20"/>
              </w:rPr>
              <w:t xml:space="preserve"> </w:t>
            </w:r>
            <w:r>
              <w:rPr>
                <w:sz w:val="20"/>
              </w:rPr>
              <w:t>balancing</w:t>
            </w:r>
            <w:r>
              <w:rPr>
                <w:spacing w:val="-6"/>
                <w:sz w:val="20"/>
              </w:rPr>
              <w:t xml:space="preserve"> </w:t>
            </w:r>
            <w:r>
              <w:rPr>
                <w:sz w:val="20"/>
              </w:rPr>
              <w:t>is</w:t>
            </w:r>
            <w:r>
              <w:rPr>
                <w:spacing w:val="-7"/>
                <w:sz w:val="20"/>
              </w:rPr>
              <w:t xml:space="preserve"> </w:t>
            </w:r>
            <w:r>
              <w:rPr>
                <w:sz w:val="20"/>
              </w:rPr>
              <w:t>a</w:t>
            </w:r>
            <w:r>
              <w:rPr>
                <w:spacing w:val="-5"/>
                <w:sz w:val="20"/>
              </w:rPr>
              <w:t xml:space="preserve"> </w:t>
            </w:r>
            <w:r>
              <w:rPr>
                <w:sz w:val="20"/>
              </w:rPr>
              <w:t>strategy</w:t>
            </w:r>
            <w:r>
              <w:rPr>
                <w:spacing w:val="-5"/>
                <w:sz w:val="20"/>
              </w:rPr>
              <w:t xml:space="preserve"> </w:t>
            </w:r>
            <w:r>
              <w:rPr>
                <w:sz w:val="20"/>
              </w:rPr>
              <w:t>to</w:t>
            </w:r>
            <w:r>
              <w:rPr>
                <w:spacing w:val="-5"/>
                <w:sz w:val="20"/>
              </w:rPr>
              <w:t xml:space="preserve"> </w:t>
            </w:r>
            <w:r>
              <w:rPr>
                <w:sz w:val="20"/>
              </w:rPr>
              <w:t>help</w:t>
            </w:r>
            <w:r>
              <w:rPr>
                <w:spacing w:val="-5"/>
                <w:sz w:val="20"/>
              </w:rPr>
              <w:t xml:space="preserve"> </w:t>
            </w:r>
            <w:r>
              <w:rPr>
                <w:sz w:val="20"/>
              </w:rPr>
              <w:t xml:space="preserve">clients move in one direction toward changing a </w:t>
            </w:r>
            <w:r>
              <w:rPr>
                <w:spacing w:val="-2"/>
                <w:sz w:val="20"/>
              </w:rPr>
              <w:t>behavior.</w:t>
            </w:r>
          </w:p>
        </w:tc>
        <w:tc>
          <w:tcPr>
            <w:tcW w:w="5035" w:type="dxa"/>
          </w:tcPr>
          <w:p w14:paraId="25A022E4" w14:textId="77777777" w:rsidR="00DB6E1F" w:rsidRDefault="00F666A6">
            <w:pPr>
              <w:pStyle w:val="TableParagraph"/>
              <w:ind w:right="125"/>
              <w:rPr>
                <w:sz w:val="20"/>
              </w:rPr>
            </w:pPr>
            <w:r>
              <w:rPr>
                <w:sz w:val="20"/>
              </w:rPr>
              <w:t>Decisional</w:t>
            </w:r>
            <w:r>
              <w:rPr>
                <w:spacing w:val="-5"/>
                <w:sz w:val="20"/>
              </w:rPr>
              <w:t xml:space="preserve"> </w:t>
            </w:r>
            <w:r>
              <w:rPr>
                <w:sz w:val="20"/>
              </w:rPr>
              <w:t>balancing</w:t>
            </w:r>
            <w:r>
              <w:rPr>
                <w:spacing w:val="-5"/>
                <w:sz w:val="20"/>
              </w:rPr>
              <w:t xml:space="preserve"> </w:t>
            </w:r>
            <w:r>
              <w:rPr>
                <w:sz w:val="20"/>
              </w:rPr>
              <w:t>is</w:t>
            </w:r>
            <w:r>
              <w:rPr>
                <w:spacing w:val="-6"/>
                <w:sz w:val="20"/>
              </w:rPr>
              <w:t xml:space="preserve"> </w:t>
            </w:r>
            <w:r>
              <w:rPr>
                <w:sz w:val="20"/>
              </w:rPr>
              <w:t>used</w:t>
            </w:r>
            <w:r>
              <w:rPr>
                <w:spacing w:val="-5"/>
                <w:sz w:val="20"/>
              </w:rPr>
              <w:t xml:space="preserve"> </w:t>
            </w:r>
            <w:r>
              <w:rPr>
                <w:sz w:val="20"/>
              </w:rPr>
              <w:t>to</w:t>
            </w:r>
            <w:r>
              <w:rPr>
                <w:spacing w:val="-4"/>
                <w:sz w:val="20"/>
              </w:rPr>
              <w:t xml:space="preserve"> </w:t>
            </w:r>
            <w:r>
              <w:rPr>
                <w:sz w:val="20"/>
              </w:rPr>
              <w:t>help</w:t>
            </w:r>
            <w:r>
              <w:rPr>
                <w:spacing w:val="-4"/>
                <w:sz w:val="20"/>
              </w:rPr>
              <w:t xml:space="preserve"> </w:t>
            </w:r>
            <w:r>
              <w:rPr>
                <w:sz w:val="20"/>
              </w:rPr>
              <w:t>clients</w:t>
            </w:r>
            <w:r>
              <w:rPr>
                <w:spacing w:val="-6"/>
                <w:sz w:val="20"/>
              </w:rPr>
              <w:t xml:space="preserve"> </w:t>
            </w:r>
            <w:r>
              <w:rPr>
                <w:sz w:val="20"/>
              </w:rPr>
              <w:t>make</w:t>
            </w:r>
            <w:r>
              <w:rPr>
                <w:spacing w:val="-6"/>
                <w:sz w:val="20"/>
              </w:rPr>
              <w:t xml:space="preserve"> </w:t>
            </w:r>
            <w:r>
              <w:rPr>
                <w:sz w:val="20"/>
              </w:rPr>
              <w:t>a</w:t>
            </w:r>
            <w:r>
              <w:rPr>
                <w:spacing w:val="-4"/>
                <w:sz w:val="20"/>
              </w:rPr>
              <w:t xml:space="preserve"> </w:t>
            </w:r>
            <w:r>
              <w:rPr>
                <w:sz w:val="20"/>
              </w:rPr>
              <w:t>decision without favoring a specific direction of change. It may be useful as a way to assess client readiness to change but also may increase amb</w:t>
            </w:r>
            <w:r>
              <w:rPr>
                <w:sz w:val="20"/>
              </w:rPr>
              <w:t>ivalence for clients who are contemplating change.</w:t>
            </w:r>
          </w:p>
        </w:tc>
      </w:tr>
      <w:tr w:rsidR="00DB6E1F" w14:paraId="4B649246" w14:textId="77777777">
        <w:trPr>
          <w:trHeight w:val="402"/>
        </w:trPr>
        <w:tc>
          <w:tcPr>
            <w:tcW w:w="9350" w:type="dxa"/>
            <w:gridSpan w:val="2"/>
          </w:tcPr>
          <w:p w14:paraId="12EA8E5F" w14:textId="77777777" w:rsidR="00DB6E1F" w:rsidRDefault="00F666A6">
            <w:pPr>
              <w:pStyle w:val="TableParagraph"/>
              <w:spacing w:before="80"/>
              <w:rPr>
                <w:i/>
                <w:sz w:val="20"/>
              </w:rPr>
            </w:pPr>
            <w:r>
              <w:rPr>
                <w:i/>
                <w:sz w:val="20"/>
              </w:rPr>
              <w:t>Source:</w:t>
            </w:r>
            <w:r>
              <w:rPr>
                <w:i/>
                <w:spacing w:val="-7"/>
                <w:sz w:val="20"/>
              </w:rPr>
              <w:t xml:space="preserve"> </w:t>
            </w:r>
            <w:r>
              <w:rPr>
                <w:i/>
                <w:sz w:val="20"/>
              </w:rPr>
              <w:t>Miller</w:t>
            </w:r>
            <w:r>
              <w:rPr>
                <w:i/>
                <w:spacing w:val="-7"/>
                <w:sz w:val="20"/>
              </w:rPr>
              <w:t xml:space="preserve"> </w:t>
            </w:r>
            <w:r>
              <w:rPr>
                <w:i/>
                <w:sz w:val="20"/>
              </w:rPr>
              <w:t>&amp;</w:t>
            </w:r>
            <w:r>
              <w:rPr>
                <w:i/>
                <w:spacing w:val="-5"/>
                <w:sz w:val="20"/>
              </w:rPr>
              <w:t xml:space="preserve"> </w:t>
            </w:r>
            <w:r>
              <w:rPr>
                <w:i/>
                <w:sz w:val="20"/>
              </w:rPr>
              <w:t>Rollnick,</w:t>
            </w:r>
            <w:r>
              <w:rPr>
                <w:i/>
                <w:spacing w:val="-5"/>
                <w:sz w:val="20"/>
              </w:rPr>
              <w:t xml:space="preserve"> </w:t>
            </w:r>
            <w:r>
              <w:rPr>
                <w:i/>
                <w:sz w:val="20"/>
              </w:rPr>
              <w:t>1991,</w:t>
            </w:r>
            <w:r>
              <w:rPr>
                <w:i/>
                <w:spacing w:val="-5"/>
                <w:sz w:val="20"/>
              </w:rPr>
              <w:t xml:space="preserve"> </w:t>
            </w:r>
            <w:r>
              <w:rPr>
                <w:i/>
                <w:sz w:val="20"/>
              </w:rPr>
              <w:t>2002,</w:t>
            </w:r>
            <w:r>
              <w:rPr>
                <w:i/>
                <w:spacing w:val="-5"/>
                <w:sz w:val="20"/>
              </w:rPr>
              <w:t xml:space="preserve"> </w:t>
            </w:r>
            <w:r>
              <w:rPr>
                <w:i/>
                <w:sz w:val="20"/>
              </w:rPr>
              <w:t>2013;</w:t>
            </w:r>
            <w:r>
              <w:rPr>
                <w:i/>
                <w:spacing w:val="-7"/>
                <w:sz w:val="20"/>
              </w:rPr>
              <w:t xml:space="preserve"> </w:t>
            </w:r>
            <w:r>
              <w:rPr>
                <w:i/>
                <w:sz w:val="20"/>
              </w:rPr>
              <w:t>Miller</w:t>
            </w:r>
            <w:r>
              <w:rPr>
                <w:i/>
                <w:spacing w:val="-6"/>
                <w:sz w:val="20"/>
              </w:rPr>
              <w:t xml:space="preserve"> </w:t>
            </w:r>
            <w:r>
              <w:rPr>
                <w:i/>
                <w:sz w:val="20"/>
              </w:rPr>
              <w:t>&amp;</w:t>
            </w:r>
            <w:r>
              <w:rPr>
                <w:i/>
                <w:spacing w:val="-5"/>
                <w:sz w:val="20"/>
              </w:rPr>
              <w:t xml:space="preserve"> </w:t>
            </w:r>
            <w:r>
              <w:rPr>
                <w:i/>
                <w:sz w:val="20"/>
              </w:rPr>
              <w:t>Rose,</w:t>
            </w:r>
            <w:r>
              <w:rPr>
                <w:i/>
                <w:spacing w:val="-5"/>
                <w:sz w:val="20"/>
              </w:rPr>
              <w:t xml:space="preserve"> </w:t>
            </w:r>
            <w:r>
              <w:rPr>
                <w:i/>
                <w:spacing w:val="-2"/>
                <w:sz w:val="20"/>
              </w:rPr>
              <w:t>2013.</w:t>
            </w:r>
          </w:p>
        </w:tc>
      </w:tr>
    </w:tbl>
    <w:p w14:paraId="6C4C775F" w14:textId="77777777" w:rsidR="00DB6E1F" w:rsidRDefault="00DB6E1F">
      <w:pPr>
        <w:rPr>
          <w:sz w:val="20"/>
        </w:rPr>
        <w:sectPr w:rsidR="00DB6E1F">
          <w:pgSz w:w="12240" w:h="15840"/>
          <w:pgMar w:top="1200" w:right="0" w:bottom="780" w:left="0" w:header="763" w:footer="585" w:gutter="0"/>
          <w:cols w:space="720"/>
        </w:sectPr>
      </w:pPr>
    </w:p>
    <w:p w14:paraId="4C8C5F96" w14:textId="77777777" w:rsidR="00DB6E1F" w:rsidRDefault="00DB6E1F">
      <w:pPr>
        <w:pStyle w:val="BodyText"/>
        <w:spacing w:before="8"/>
        <w:rPr>
          <w:sz w:val="14"/>
        </w:rPr>
      </w:pPr>
    </w:p>
    <w:p w14:paraId="403BE2DF" w14:textId="77777777" w:rsidR="00DB6E1F" w:rsidRDefault="00F666A6">
      <w:pPr>
        <w:pStyle w:val="BodyText"/>
        <w:spacing w:before="56"/>
        <w:ind w:left="1440" w:right="1491"/>
      </w:pPr>
      <w:r>
        <w:t>Exhibit</w:t>
      </w:r>
      <w:r>
        <w:rPr>
          <w:spacing w:val="-2"/>
        </w:rPr>
        <w:t xml:space="preserve"> </w:t>
      </w:r>
      <w:r>
        <w:t>3.2</w:t>
      </w:r>
      <w:r>
        <w:rPr>
          <w:spacing w:val="-2"/>
        </w:rPr>
        <w:t xml:space="preserve"> </w:t>
      </w:r>
      <w:r>
        <w:t>presents</w:t>
      </w:r>
      <w:r>
        <w:rPr>
          <w:spacing w:val="-3"/>
        </w:rPr>
        <w:t xml:space="preserve"> </w:t>
      </w:r>
      <w:r>
        <w:t>common</w:t>
      </w:r>
      <w:r>
        <w:rPr>
          <w:spacing w:val="-6"/>
        </w:rPr>
        <w:t xml:space="preserve"> </w:t>
      </w:r>
      <w:r>
        <w:t>misconceptions</w:t>
      </w:r>
      <w:r>
        <w:rPr>
          <w:spacing w:val="-3"/>
        </w:rPr>
        <w:t xml:space="preserve"> </w:t>
      </w:r>
      <w:r>
        <w:t>about</w:t>
      </w:r>
      <w:r>
        <w:rPr>
          <w:spacing w:val="-5"/>
        </w:rPr>
        <w:t xml:space="preserve"> </w:t>
      </w:r>
      <w:r>
        <w:t>MI</w:t>
      </w:r>
      <w:r>
        <w:rPr>
          <w:spacing w:val="-3"/>
        </w:rPr>
        <w:t xml:space="preserve"> </w:t>
      </w:r>
      <w:r>
        <w:t>and</w:t>
      </w:r>
      <w:r>
        <w:rPr>
          <w:spacing w:val="-4"/>
        </w:rPr>
        <w:t xml:space="preserve"> </w:t>
      </w:r>
      <w:r>
        <w:t>provides</w:t>
      </w:r>
      <w:r>
        <w:rPr>
          <w:spacing w:val="-7"/>
        </w:rPr>
        <w:t xml:space="preserve"> </w:t>
      </w:r>
      <w:r>
        <w:t>clarification</w:t>
      </w:r>
      <w:r>
        <w:rPr>
          <w:spacing w:val="-4"/>
        </w:rPr>
        <w:t xml:space="preserve"> </w:t>
      </w:r>
      <w:r>
        <w:t>of</w:t>
      </w:r>
      <w:r>
        <w:rPr>
          <w:spacing w:val="-6"/>
        </w:rPr>
        <w:t xml:space="preserve"> </w:t>
      </w:r>
      <w:r>
        <w:t>MI’s</w:t>
      </w:r>
      <w:r>
        <w:rPr>
          <w:spacing w:val="-2"/>
        </w:rPr>
        <w:t xml:space="preserve"> </w:t>
      </w:r>
      <w:r>
        <w:t>underlying theoretical assumptions and counseling approach, which are described in the rest of this chapter.</w:t>
      </w:r>
    </w:p>
    <w:p w14:paraId="547B55A2" w14:textId="77777777" w:rsidR="00DB6E1F" w:rsidRDefault="00DB6E1F">
      <w:pPr>
        <w:pStyle w:val="BodyText"/>
        <w:spacing w:before="8"/>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5"/>
      </w:tblGrid>
      <w:tr w:rsidR="00DB6E1F" w14:paraId="4A8A177C" w14:textId="77777777">
        <w:trPr>
          <w:trHeight w:val="520"/>
        </w:trPr>
        <w:tc>
          <w:tcPr>
            <w:tcW w:w="9350" w:type="dxa"/>
            <w:gridSpan w:val="2"/>
            <w:tcBorders>
              <w:top w:val="nil"/>
              <w:left w:val="nil"/>
              <w:bottom w:val="nil"/>
              <w:right w:val="nil"/>
            </w:tcBorders>
            <w:shd w:val="clear" w:color="auto" w:fill="000000"/>
          </w:tcPr>
          <w:p w14:paraId="1A9112C7" w14:textId="77777777" w:rsidR="00DB6E1F" w:rsidRDefault="00F666A6">
            <w:pPr>
              <w:pStyle w:val="TableParagraph"/>
              <w:spacing w:before="114"/>
              <w:ind w:left="215"/>
              <w:rPr>
                <w:sz w:val="24"/>
              </w:rPr>
            </w:pPr>
            <w:r>
              <w:rPr>
                <w:color w:val="FFFFFF"/>
                <w:sz w:val="24"/>
              </w:rPr>
              <w:t>Exhibit</w:t>
            </w:r>
            <w:r>
              <w:rPr>
                <w:color w:val="FFFFFF"/>
                <w:spacing w:val="-3"/>
                <w:sz w:val="24"/>
              </w:rPr>
              <w:t xml:space="preserve"> </w:t>
            </w:r>
            <w:r>
              <w:rPr>
                <w:color w:val="FFFFFF"/>
                <w:sz w:val="24"/>
              </w:rPr>
              <w:t>3.2.</w:t>
            </w:r>
            <w:r>
              <w:rPr>
                <w:color w:val="FFFFFF"/>
                <w:spacing w:val="-5"/>
                <w:sz w:val="24"/>
              </w:rPr>
              <w:t xml:space="preserve"> </w:t>
            </w:r>
            <w:r>
              <w:rPr>
                <w:color w:val="FFFFFF"/>
                <w:sz w:val="24"/>
              </w:rPr>
              <w:t>Misconceptions</w:t>
            </w:r>
            <w:r>
              <w:rPr>
                <w:color w:val="FFFFFF"/>
                <w:spacing w:val="-2"/>
                <w:sz w:val="24"/>
              </w:rPr>
              <w:t xml:space="preserve"> </w:t>
            </w:r>
            <w:r>
              <w:rPr>
                <w:color w:val="FFFFFF"/>
                <w:sz w:val="24"/>
              </w:rPr>
              <w:t>and Clarifications</w:t>
            </w:r>
            <w:r>
              <w:rPr>
                <w:color w:val="FFFFFF"/>
                <w:spacing w:val="-1"/>
                <w:sz w:val="24"/>
              </w:rPr>
              <w:t xml:space="preserve"> </w:t>
            </w:r>
            <w:r>
              <w:rPr>
                <w:color w:val="FFFFFF"/>
                <w:sz w:val="24"/>
              </w:rPr>
              <w:t>About</w:t>
            </w:r>
            <w:r>
              <w:rPr>
                <w:color w:val="FFFFFF"/>
                <w:spacing w:val="-2"/>
                <w:sz w:val="24"/>
              </w:rPr>
              <w:t xml:space="preserve"> </w:t>
            </w:r>
            <w:r>
              <w:rPr>
                <w:color w:val="FFFFFF"/>
                <w:spacing w:val="-5"/>
                <w:sz w:val="24"/>
              </w:rPr>
              <w:t>MI</w:t>
            </w:r>
          </w:p>
        </w:tc>
      </w:tr>
      <w:tr w:rsidR="00DB6E1F" w14:paraId="3644B755" w14:textId="77777777">
        <w:trPr>
          <w:trHeight w:val="359"/>
        </w:trPr>
        <w:tc>
          <w:tcPr>
            <w:tcW w:w="1795" w:type="dxa"/>
          </w:tcPr>
          <w:p w14:paraId="2EB3DCEB" w14:textId="77777777" w:rsidR="00DB6E1F" w:rsidRDefault="00F666A6">
            <w:pPr>
              <w:pStyle w:val="TableParagraph"/>
              <w:spacing w:before="0" w:line="241" w:lineRule="exact"/>
              <w:rPr>
                <w:sz w:val="20"/>
              </w:rPr>
            </w:pPr>
            <w:r>
              <w:rPr>
                <w:spacing w:val="-2"/>
                <w:sz w:val="20"/>
              </w:rPr>
              <w:t>Misconception</w:t>
            </w:r>
          </w:p>
        </w:tc>
        <w:tc>
          <w:tcPr>
            <w:tcW w:w="7555" w:type="dxa"/>
          </w:tcPr>
          <w:p w14:paraId="452EFA4A" w14:textId="77777777" w:rsidR="00DB6E1F" w:rsidRDefault="00F666A6">
            <w:pPr>
              <w:pStyle w:val="TableParagraph"/>
              <w:spacing w:before="0" w:line="241" w:lineRule="exact"/>
              <w:ind w:left="108"/>
              <w:rPr>
                <w:sz w:val="20"/>
              </w:rPr>
            </w:pPr>
            <w:r>
              <w:rPr>
                <w:spacing w:val="-2"/>
                <w:sz w:val="20"/>
              </w:rPr>
              <w:t>Clarification</w:t>
            </w:r>
          </w:p>
        </w:tc>
      </w:tr>
      <w:tr w:rsidR="00DB6E1F" w14:paraId="52D0F264" w14:textId="77777777">
        <w:trPr>
          <w:trHeight w:val="1583"/>
        </w:trPr>
        <w:tc>
          <w:tcPr>
            <w:tcW w:w="1795" w:type="dxa"/>
          </w:tcPr>
          <w:p w14:paraId="053A188A" w14:textId="77777777" w:rsidR="00DB6E1F" w:rsidRDefault="00F666A6">
            <w:pPr>
              <w:pStyle w:val="TableParagraph"/>
              <w:spacing w:before="0"/>
              <w:ind w:right="217"/>
              <w:rPr>
                <w:sz w:val="20"/>
              </w:rPr>
            </w:pPr>
            <w:r>
              <w:rPr>
                <w:sz w:val="20"/>
              </w:rPr>
              <w:t xml:space="preserve">MI is a form of </w:t>
            </w:r>
            <w:r>
              <w:rPr>
                <w:spacing w:val="-2"/>
                <w:sz w:val="20"/>
              </w:rPr>
              <w:t xml:space="preserve">nondirective, </w:t>
            </w:r>
            <w:r>
              <w:rPr>
                <w:sz w:val="20"/>
              </w:rPr>
              <w:t>Rogerian</w:t>
            </w:r>
            <w:r>
              <w:rPr>
                <w:spacing w:val="-12"/>
                <w:sz w:val="20"/>
              </w:rPr>
              <w:t xml:space="preserve"> </w:t>
            </w:r>
            <w:r>
              <w:rPr>
                <w:sz w:val="20"/>
              </w:rPr>
              <w:t>therapy.</w:t>
            </w:r>
          </w:p>
        </w:tc>
        <w:tc>
          <w:tcPr>
            <w:tcW w:w="7555" w:type="dxa"/>
          </w:tcPr>
          <w:p w14:paraId="20CC25C0" w14:textId="77777777" w:rsidR="00DB6E1F" w:rsidRDefault="00F666A6">
            <w:pPr>
              <w:pStyle w:val="TableParagraph"/>
              <w:spacing w:before="0"/>
              <w:ind w:left="108" w:right="102"/>
              <w:rPr>
                <w:sz w:val="20"/>
              </w:rPr>
            </w:pPr>
            <w:r>
              <w:rPr>
                <w:sz w:val="20"/>
              </w:rPr>
              <w:t>MI shares many principles of the humanistic, person-centered approach pioneered by Rogers,</w:t>
            </w:r>
            <w:r>
              <w:rPr>
                <w:spacing w:val="-3"/>
                <w:sz w:val="20"/>
              </w:rPr>
              <w:t xml:space="preserve"> </w:t>
            </w:r>
            <w:r>
              <w:rPr>
                <w:sz w:val="20"/>
              </w:rPr>
              <w:t>but</w:t>
            </w:r>
            <w:r>
              <w:rPr>
                <w:spacing w:val="-4"/>
                <w:sz w:val="20"/>
              </w:rPr>
              <w:t xml:space="preserve"> </w:t>
            </w:r>
            <w:r>
              <w:rPr>
                <w:sz w:val="20"/>
              </w:rPr>
              <w:t>it</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Rogerian</w:t>
            </w:r>
            <w:r>
              <w:rPr>
                <w:spacing w:val="-3"/>
                <w:sz w:val="20"/>
              </w:rPr>
              <w:t xml:space="preserve"> </w:t>
            </w:r>
            <w:r>
              <w:rPr>
                <w:sz w:val="20"/>
              </w:rPr>
              <w:t>therapy.</w:t>
            </w:r>
            <w:r>
              <w:rPr>
                <w:spacing w:val="-4"/>
                <w:sz w:val="20"/>
              </w:rPr>
              <w:t xml:space="preserve"> </w:t>
            </w:r>
            <w:r>
              <w:rPr>
                <w:sz w:val="20"/>
              </w:rPr>
              <w:t>Characteristics</w:t>
            </w:r>
            <w:r>
              <w:rPr>
                <w:spacing w:val="-4"/>
                <w:sz w:val="20"/>
              </w:rPr>
              <w:t xml:space="preserve"> </w:t>
            </w:r>
            <w:r>
              <w:rPr>
                <w:sz w:val="20"/>
              </w:rPr>
              <w:t>that</w:t>
            </w:r>
            <w:r>
              <w:rPr>
                <w:spacing w:val="-4"/>
                <w:sz w:val="20"/>
              </w:rPr>
              <w:t xml:space="preserve"> </w:t>
            </w:r>
            <w:r>
              <w:rPr>
                <w:sz w:val="20"/>
              </w:rPr>
              <w:t>differentiate</w:t>
            </w:r>
            <w:r>
              <w:rPr>
                <w:spacing w:val="-4"/>
                <w:sz w:val="20"/>
              </w:rPr>
              <w:t xml:space="preserve"> </w:t>
            </w:r>
            <w:r>
              <w:rPr>
                <w:sz w:val="20"/>
              </w:rPr>
              <w:t>MI</w:t>
            </w:r>
            <w:r>
              <w:rPr>
                <w:spacing w:val="-4"/>
                <w:sz w:val="20"/>
              </w:rPr>
              <w:t xml:space="preserve"> </w:t>
            </w:r>
            <w:r>
              <w:rPr>
                <w:sz w:val="20"/>
              </w:rPr>
              <w:t>from</w:t>
            </w:r>
            <w:r>
              <w:rPr>
                <w:spacing w:val="-4"/>
                <w:sz w:val="20"/>
              </w:rPr>
              <w:t xml:space="preserve"> </w:t>
            </w:r>
            <w:r>
              <w:rPr>
                <w:sz w:val="20"/>
              </w:rPr>
              <w:t>Rogerian therapy include clearly identified target behaviors and change goals and differen</w:t>
            </w:r>
            <w:r>
              <w:rPr>
                <w:sz w:val="20"/>
              </w:rPr>
              <w:t>tial evoking and strengthening of clients’ motivation for changing target behavior. Unlike Rogerian therapy, MI has a strategic component that emphasizes helping clients move toward a specific behavioral change goal.</w:t>
            </w:r>
          </w:p>
        </w:tc>
      </w:tr>
      <w:tr w:rsidR="00DB6E1F" w14:paraId="588B44D5" w14:textId="77777777">
        <w:trPr>
          <w:trHeight w:val="609"/>
        </w:trPr>
        <w:tc>
          <w:tcPr>
            <w:tcW w:w="1795" w:type="dxa"/>
          </w:tcPr>
          <w:p w14:paraId="34EFD6A6" w14:textId="77777777" w:rsidR="00DB6E1F" w:rsidRDefault="00F666A6">
            <w:pPr>
              <w:pStyle w:val="TableParagraph"/>
              <w:rPr>
                <w:sz w:val="20"/>
              </w:rPr>
            </w:pPr>
            <w:r>
              <w:rPr>
                <w:sz w:val="20"/>
              </w:rPr>
              <w:t>MI</w:t>
            </w:r>
            <w:r>
              <w:rPr>
                <w:spacing w:val="-12"/>
                <w:sz w:val="20"/>
              </w:rPr>
              <w:t xml:space="preserve"> </w:t>
            </w:r>
            <w:r>
              <w:rPr>
                <w:sz w:val="20"/>
              </w:rPr>
              <w:t>is</w:t>
            </w:r>
            <w:r>
              <w:rPr>
                <w:spacing w:val="-11"/>
                <w:sz w:val="20"/>
              </w:rPr>
              <w:t xml:space="preserve"> </w:t>
            </w:r>
            <w:r>
              <w:rPr>
                <w:sz w:val="20"/>
              </w:rPr>
              <w:t>a</w:t>
            </w:r>
            <w:r>
              <w:rPr>
                <w:spacing w:val="-11"/>
                <w:sz w:val="20"/>
              </w:rPr>
              <w:t xml:space="preserve"> </w:t>
            </w:r>
            <w:r>
              <w:rPr>
                <w:sz w:val="20"/>
              </w:rPr>
              <w:t xml:space="preserve">counseling </w:t>
            </w:r>
            <w:r>
              <w:rPr>
                <w:spacing w:val="-2"/>
                <w:sz w:val="20"/>
              </w:rPr>
              <w:t>technique.</w:t>
            </w:r>
          </w:p>
        </w:tc>
        <w:tc>
          <w:tcPr>
            <w:tcW w:w="7555" w:type="dxa"/>
          </w:tcPr>
          <w:p w14:paraId="700A5C7E" w14:textId="77777777" w:rsidR="00DB6E1F" w:rsidRDefault="00F666A6">
            <w:pPr>
              <w:pStyle w:val="TableParagraph"/>
              <w:ind w:left="108" w:right="102"/>
              <w:rPr>
                <w:sz w:val="20"/>
              </w:rPr>
            </w:pPr>
            <w:r>
              <w:rPr>
                <w:sz w:val="20"/>
              </w:rPr>
              <w:t>Although</w:t>
            </w:r>
            <w:r>
              <w:rPr>
                <w:spacing w:val="-2"/>
                <w:sz w:val="20"/>
              </w:rPr>
              <w:t xml:space="preserve"> </w:t>
            </w:r>
            <w:r>
              <w:rPr>
                <w:sz w:val="20"/>
              </w:rPr>
              <w:t>there</w:t>
            </w:r>
            <w:r>
              <w:rPr>
                <w:spacing w:val="-4"/>
                <w:sz w:val="20"/>
              </w:rPr>
              <w:t xml:space="preserve"> </w:t>
            </w:r>
            <w:r>
              <w:rPr>
                <w:sz w:val="20"/>
              </w:rPr>
              <w:t>are</w:t>
            </w:r>
            <w:r>
              <w:rPr>
                <w:spacing w:val="-4"/>
                <w:sz w:val="20"/>
              </w:rPr>
              <w:t xml:space="preserve"> </w:t>
            </w:r>
            <w:r>
              <w:rPr>
                <w:sz w:val="20"/>
              </w:rPr>
              <w:t>specific</w:t>
            </w:r>
            <w:r>
              <w:rPr>
                <w:spacing w:val="-1"/>
                <w:sz w:val="20"/>
              </w:rPr>
              <w:t xml:space="preserve"> </w:t>
            </w:r>
            <w:r>
              <w:rPr>
                <w:sz w:val="20"/>
              </w:rPr>
              <w:t>MI</w:t>
            </w:r>
            <w:r>
              <w:rPr>
                <w:spacing w:val="-3"/>
                <w:sz w:val="20"/>
              </w:rPr>
              <w:t xml:space="preserve"> </w:t>
            </w:r>
            <w:r>
              <w:rPr>
                <w:sz w:val="20"/>
              </w:rPr>
              <w:t>counseling</w:t>
            </w:r>
            <w:r>
              <w:rPr>
                <w:spacing w:val="-3"/>
                <w:sz w:val="20"/>
              </w:rPr>
              <w:t xml:space="preserve"> </w:t>
            </w:r>
            <w:r>
              <w:rPr>
                <w:sz w:val="20"/>
              </w:rPr>
              <w:t>strategies,</w:t>
            </w:r>
            <w:r>
              <w:rPr>
                <w:spacing w:val="-2"/>
                <w:sz w:val="20"/>
              </w:rPr>
              <w:t xml:space="preserve"> </w:t>
            </w:r>
            <w:r>
              <w:rPr>
                <w:sz w:val="20"/>
              </w:rPr>
              <w:t>MI</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a</w:t>
            </w:r>
            <w:r>
              <w:rPr>
                <w:spacing w:val="-3"/>
                <w:sz w:val="20"/>
              </w:rPr>
              <w:t xml:space="preserve"> </w:t>
            </w:r>
            <w:r>
              <w:rPr>
                <w:sz w:val="20"/>
              </w:rPr>
              <w:t>counseling</w:t>
            </w:r>
            <w:r>
              <w:rPr>
                <w:spacing w:val="-3"/>
                <w:sz w:val="20"/>
              </w:rPr>
              <w:t xml:space="preserve"> </w:t>
            </w:r>
            <w:r>
              <w:rPr>
                <w:sz w:val="20"/>
              </w:rPr>
              <w:t>technique.</w:t>
            </w:r>
            <w:r>
              <w:rPr>
                <w:spacing w:val="-3"/>
                <w:sz w:val="20"/>
              </w:rPr>
              <w:t xml:space="preserve"> </w:t>
            </w:r>
            <w:r>
              <w:rPr>
                <w:sz w:val="20"/>
              </w:rPr>
              <w:t>It</w:t>
            </w:r>
            <w:r>
              <w:rPr>
                <w:spacing w:val="-3"/>
                <w:sz w:val="20"/>
              </w:rPr>
              <w:t xml:space="preserve"> </w:t>
            </w:r>
            <w:r>
              <w:rPr>
                <w:sz w:val="20"/>
              </w:rPr>
              <w:t>is a style</w:t>
            </w:r>
            <w:r>
              <w:rPr>
                <w:spacing w:val="-1"/>
                <w:sz w:val="20"/>
              </w:rPr>
              <w:t xml:space="preserve"> </w:t>
            </w:r>
            <w:r>
              <w:rPr>
                <w:sz w:val="20"/>
              </w:rPr>
              <w:t>of</w:t>
            </w:r>
            <w:r>
              <w:rPr>
                <w:spacing w:val="-1"/>
                <w:sz w:val="20"/>
              </w:rPr>
              <w:t xml:space="preserve"> </w:t>
            </w:r>
            <w:r>
              <w:rPr>
                <w:sz w:val="20"/>
              </w:rPr>
              <w:t>being with people</w:t>
            </w:r>
            <w:r>
              <w:rPr>
                <w:spacing w:val="-1"/>
                <w:sz w:val="20"/>
              </w:rPr>
              <w:t xml:space="preserve"> </w:t>
            </w:r>
            <w:r>
              <w:rPr>
                <w:sz w:val="20"/>
              </w:rPr>
              <w:t>that uses</w:t>
            </w:r>
            <w:r>
              <w:rPr>
                <w:spacing w:val="-1"/>
                <w:sz w:val="20"/>
              </w:rPr>
              <w:t xml:space="preserve"> </w:t>
            </w:r>
            <w:r>
              <w:rPr>
                <w:sz w:val="20"/>
              </w:rPr>
              <w:t>specific clinical skills</w:t>
            </w:r>
            <w:r>
              <w:rPr>
                <w:spacing w:val="-1"/>
                <w:sz w:val="20"/>
              </w:rPr>
              <w:t xml:space="preserve"> </w:t>
            </w:r>
            <w:r>
              <w:rPr>
                <w:sz w:val="20"/>
              </w:rPr>
              <w:t>to foster motivation to change.</w:t>
            </w:r>
          </w:p>
        </w:tc>
      </w:tr>
      <w:tr w:rsidR="00DB6E1F" w14:paraId="3EC742A3" w14:textId="77777777">
        <w:trPr>
          <w:trHeight w:val="851"/>
        </w:trPr>
        <w:tc>
          <w:tcPr>
            <w:tcW w:w="1795" w:type="dxa"/>
          </w:tcPr>
          <w:p w14:paraId="71DC9158" w14:textId="77777777" w:rsidR="00DB6E1F" w:rsidRDefault="00F666A6">
            <w:pPr>
              <w:pStyle w:val="TableParagraph"/>
              <w:rPr>
                <w:sz w:val="20"/>
              </w:rPr>
            </w:pPr>
            <w:r>
              <w:rPr>
                <w:sz w:val="20"/>
              </w:rPr>
              <w:t>MI</w:t>
            </w:r>
            <w:r>
              <w:rPr>
                <w:spacing w:val="-10"/>
                <w:sz w:val="20"/>
              </w:rPr>
              <w:t xml:space="preserve"> </w:t>
            </w:r>
            <w:r>
              <w:rPr>
                <w:sz w:val="20"/>
              </w:rPr>
              <w:t>is</w:t>
            </w:r>
            <w:r>
              <w:rPr>
                <w:spacing w:val="-11"/>
                <w:sz w:val="20"/>
              </w:rPr>
              <w:t xml:space="preserve"> </w:t>
            </w:r>
            <w:r>
              <w:rPr>
                <w:sz w:val="20"/>
              </w:rPr>
              <w:t>a</w:t>
            </w:r>
            <w:r>
              <w:rPr>
                <w:spacing w:val="-10"/>
                <w:sz w:val="20"/>
              </w:rPr>
              <w:t xml:space="preserve"> </w:t>
            </w:r>
            <w:r>
              <w:rPr>
                <w:sz w:val="20"/>
              </w:rPr>
              <w:t>“school”</w:t>
            </w:r>
            <w:r>
              <w:rPr>
                <w:spacing w:val="-9"/>
                <w:sz w:val="20"/>
              </w:rPr>
              <w:t xml:space="preserve"> </w:t>
            </w:r>
            <w:r>
              <w:rPr>
                <w:sz w:val="20"/>
              </w:rPr>
              <w:t xml:space="preserve">of counseling or </w:t>
            </w:r>
            <w:r>
              <w:rPr>
                <w:spacing w:val="-2"/>
                <w:sz w:val="20"/>
              </w:rPr>
              <w:t>psychotherapy.</w:t>
            </w:r>
          </w:p>
        </w:tc>
        <w:tc>
          <w:tcPr>
            <w:tcW w:w="7555" w:type="dxa"/>
          </w:tcPr>
          <w:p w14:paraId="35C0C160" w14:textId="77777777" w:rsidR="00DB6E1F" w:rsidRDefault="00F666A6">
            <w:pPr>
              <w:pStyle w:val="TableParagraph"/>
              <w:ind w:left="108" w:right="102"/>
              <w:rPr>
                <w:sz w:val="20"/>
              </w:rPr>
            </w:pPr>
            <w:r>
              <w:rPr>
                <w:sz w:val="20"/>
              </w:rPr>
              <w:t>Some</w:t>
            </w:r>
            <w:r>
              <w:rPr>
                <w:spacing w:val="-4"/>
                <w:sz w:val="20"/>
              </w:rPr>
              <w:t xml:space="preserve"> </w:t>
            </w:r>
            <w:r>
              <w:rPr>
                <w:sz w:val="20"/>
              </w:rPr>
              <w:t>psychological</w:t>
            </w:r>
            <w:r>
              <w:rPr>
                <w:spacing w:val="-3"/>
                <w:sz w:val="20"/>
              </w:rPr>
              <w:t xml:space="preserve"> </w:t>
            </w:r>
            <w:r>
              <w:rPr>
                <w:sz w:val="20"/>
              </w:rPr>
              <w:t>theories</w:t>
            </w:r>
            <w:r>
              <w:rPr>
                <w:spacing w:val="-4"/>
                <w:sz w:val="20"/>
              </w:rPr>
              <w:t xml:space="preserve"> </w:t>
            </w:r>
            <w:r>
              <w:rPr>
                <w:sz w:val="20"/>
              </w:rPr>
              <w:t>underlie</w:t>
            </w:r>
            <w:r>
              <w:rPr>
                <w:spacing w:val="-4"/>
                <w:sz w:val="20"/>
              </w:rPr>
              <w:t xml:space="preserve"> </w:t>
            </w:r>
            <w:r>
              <w:rPr>
                <w:sz w:val="20"/>
              </w:rPr>
              <w:t>the</w:t>
            </w:r>
            <w:r>
              <w:rPr>
                <w:spacing w:val="-4"/>
                <w:sz w:val="20"/>
              </w:rPr>
              <w:t xml:space="preserve"> </w:t>
            </w:r>
            <w:r>
              <w:rPr>
                <w:sz w:val="20"/>
              </w:rPr>
              <w:t>spirit</w:t>
            </w:r>
            <w:r>
              <w:rPr>
                <w:spacing w:val="-3"/>
                <w:sz w:val="20"/>
              </w:rPr>
              <w:t xml:space="preserve"> </w:t>
            </w:r>
            <w:r>
              <w:rPr>
                <w:sz w:val="20"/>
              </w:rPr>
              <w:t>and</w:t>
            </w:r>
            <w:r>
              <w:rPr>
                <w:spacing w:val="-2"/>
                <w:sz w:val="20"/>
              </w:rPr>
              <w:t xml:space="preserve"> </w:t>
            </w:r>
            <w:r>
              <w:rPr>
                <w:sz w:val="20"/>
              </w:rPr>
              <w:t>style</w:t>
            </w:r>
            <w:r>
              <w:rPr>
                <w:spacing w:val="-4"/>
                <w:sz w:val="20"/>
              </w:rPr>
              <w:t xml:space="preserve"> </w:t>
            </w:r>
            <w:r>
              <w:rPr>
                <w:sz w:val="20"/>
              </w:rPr>
              <w:t>of</w:t>
            </w:r>
            <w:r>
              <w:rPr>
                <w:spacing w:val="-2"/>
                <w:sz w:val="20"/>
              </w:rPr>
              <w:t xml:space="preserve"> </w:t>
            </w:r>
            <w:r>
              <w:rPr>
                <w:sz w:val="20"/>
              </w:rPr>
              <w:t>MI,</w:t>
            </w:r>
            <w:r>
              <w:rPr>
                <w:spacing w:val="-2"/>
                <w:sz w:val="20"/>
              </w:rPr>
              <w:t xml:space="preserve"> </w:t>
            </w:r>
            <w:r>
              <w:rPr>
                <w:sz w:val="20"/>
              </w:rPr>
              <w:t>but</w:t>
            </w:r>
            <w:r>
              <w:rPr>
                <w:spacing w:val="-3"/>
                <w:sz w:val="20"/>
              </w:rPr>
              <w:t xml:space="preserve"> </w:t>
            </w:r>
            <w:r>
              <w:rPr>
                <w:sz w:val="20"/>
              </w:rPr>
              <w:t>it</w:t>
            </w:r>
            <w:r>
              <w:rPr>
                <w:spacing w:val="-3"/>
                <w:sz w:val="20"/>
              </w:rPr>
              <w:t xml:space="preserve"> </w:t>
            </w:r>
            <w:r>
              <w:rPr>
                <w:sz w:val="20"/>
              </w:rPr>
              <w:t>was</w:t>
            </w:r>
            <w:r>
              <w:rPr>
                <w:spacing w:val="-4"/>
                <w:sz w:val="20"/>
              </w:rPr>
              <w:t xml:space="preserve"> </w:t>
            </w:r>
            <w:r>
              <w:rPr>
                <w:sz w:val="20"/>
              </w:rPr>
              <w:t>not</w:t>
            </w:r>
            <w:r>
              <w:rPr>
                <w:spacing w:val="-3"/>
                <w:sz w:val="20"/>
              </w:rPr>
              <w:t xml:space="preserve"> </w:t>
            </w:r>
            <w:r>
              <w:rPr>
                <w:sz w:val="20"/>
              </w:rPr>
              <w:t>meant</w:t>
            </w:r>
            <w:r>
              <w:rPr>
                <w:spacing w:val="-3"/>
                <w:sz w:val="20"/>
              </w:rPr>
              <w:t xml:space="preserve"> </w:t>
            </w:r>
            <w:r>
              <w:rPr>
                <w:sz w:val="20"/>
              </w:rPr>
              <w:t>to</w:t>
            </w:r>
            <w:r>
              <w:rPr>
                <w:spacing w:val="-3"/>
                <w:sz w:val="20"/>
              </w:rPr>
              <w:t xml:space="preserve"> </w:t>
            </w:r>
            <w:r>
              <w:rPr>
                <w:sz w:val="20"/>
              </w:rPr>
              <w:t>be a theory of change with a comprehensive set of associated clinical skills.</w:t>
            </w:r>
          </w:p>
        </w:tc>
      </w:tr>
      <w:tr w:rsidR="00DB6E1F" w14:paraId="5C2D75CC" w14:textId="77777777">
        <w:trPr>
          <w:trHeight w:val="1096"/>
        </w:trPr>
        <w:tc>
          <w:tcPr>
            <w:tcW w:w="1795" w:type="dxa"/>
          </w:tcPr>
          <w:p w14:paraId="7D543AFB" w14:textId="77777777" w:rsidR="00DB6E1F" w:rsidRDefault="00F666A6">
            <w:pPr>
              <w:pStyle w:val="TableParagraph"/>
              <w:rPr>
                <w:sz w:val="20"/>
              </w:rPr>
            </w:pPr>
            <w:r>
              <w:rPr>
                <w:sz w:val="20"/>
              </w:rPr>
              <w:t>MI and the SOC approach</w:t>
            </w:r>
            <w:r>
              <w:rPr>
                <w:spacing w:val="-12"/>
                <w:sz w:val="20"/>
              </w:rPr>
              <w:t xml:space="preserve"> </w:t>
            </w:r>
            <w:r>
              <w:rPr>
                <w:sz w:val="20"/>
              </w:rPr>
              <w:t>are</w:t>
            </w:r>
            <w:r>
              <w:rPr>
                <w:spacing w:val="-11"/>
                <w:sz w:val="20"/>
              </w:rPr>
              <w:t xml:space="preserve"> </w:t>
            </w:r>
            <w:r>
              <w:rPr>
                <w:sz w:val="20"/>
              </w:rPr>
              <w:t xml:space="preserve">the </w:t>
            </w:r>
            <w:r>
              <w:rPr>
                <w:spacing w:val="-2"/>
                <w:sz w:val="20"/>
              </w:rPr>
              <w:t>same.</w:t>
            </w:r>
          </w:p>
        </w:tc>
        <w:tc>
          <w:tcPr>
            <w:tcW w:w="7555" w:type="dxa"/>
          </w:tcPr>
          <w:p w14:paraId="2367B23C" w14:textId="77777777" w:rsidR="00DB6E1F" w:rsidRDefault="00F666A6">
            <w:pPr>
              <w:pStyle w:val="TableParagraph"/>
              <w:ind w:left="108" w:right="140"/>
              <w:rPr>
                <w:sz w:val="20"/>
              </w:rPr>
            </w:pPr>
            <w:r>
              <w:rPr>
                <w:sz w:val="20"/>
              </w:rPr>
              <w:t>MI and the SOC were developed around the same time, and people confuse the two approaches.</w:t>
            </w:r>
            <w:r>
              <w:rPr>
                <w:spacing w:val="-3"/>
                <w:sz w:val="20"/>
              </w:rPr>
              <w:t xml:space="preserve"> </w:t>
            </w:r>
            <w:r>
              <w:rPr>
                <w:sz w:val="20"/>
              </w:rPr>
              <w:t>MI</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the</w:t>
            </w:r>
            <w:r>
              <w:rPr>
                <w:spacing w:val="-4"/>
                <w:sz w:val="20"/>
              </w:rPr>
              <w:t xml:space="preserve"> </w:t>
            </w:r>
            <w:r>
              <w:rPr>
                <w:sz w:val="20"/>
              </w:rPr>
              <w:t>SOC.</w:t>
            </w:r>
            <w:r>
              <w:rPr>
                <w:spacing w:val="-3"/>
                <w:sz w:val="20"/>
              </w:rPr>
              <w:t xml:space="preserve"> </w:t>
            </w:r>
            <w:r>
              <w:rPr>
                <w:sz w:val="20"/>
              </w:rPr>
              <w:t>MI</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an</w:t>
            </w:r>
            <w:r>
              <w:rPr>
                <w:spacing w:val="-2"/>
                <w:sz w:val="20"/>
              </w:rPr>
              <w:t xml:space="preserve"> </w:t>
            </w:r>
            <w:r>
              <w:rPr>
                <w:sz w:val="20"/>
              </w:rPr>
              <w:t>essential</w:t>
            </w:r>
            <w:r>
              <w:rPr>
                <w:spacing w:val="-3"/>
                <w:sz w:val="20"/>
              </w:rPr>
              <w:t xml:space="preserve"> </w:t>
            </w:r>
            <w:r>
              <w:rPr>
                <w:sz w:val="20"/>
              </w:rPr>
              <w:t>part</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SOC</w:t>
            </w:r>
            <w:r>
              <w:rPr>
                <w:spacing w:val="-4"/>
                <w:sz w:val="20"/>
              </w:rPr>
              <w:t xml:space="preserve"> </w:t>
            </w:r>
            <w:r>
              <w:rPr>
                <w:sz w:val="20"/>
              </w:rPr>
              <w:t>and</w:t>
            </w:r>
            <w:r>
              <w:rPr>
                <w:spacing w:val="-2"/>
                <w:sz w:val="20"/>
              </w:rPr>
              <w:t xml:space="preserve"> </w:t>
            </w:r>
            <w:r>
              <w:rPr>
                <w:sz w:val="20"/>
              </w:rPr>
              <w:t>vice</w:t>
            </w:r>
            <w:r>
              <w:rPr>
                <w:spacing w:val="-4"/>
                <w:sz w:val="20"/>
              </w:rPr>
              <w:t xml:space="preserve"> </w:t>
            </w:r>
            <w:r>
              <w:rPr>
                <w:sz w:val="20"/>
              </w:rPr>
              <w:t>versa.</w:t>
            </w:r>
            <w:r>
              <w:rPr>
                <w:spacing w:val="-1"/>
                <w:sz w:val="20"/>
              </w:rPr>
              <w:t xml:space="preserve"> </w:t>
            </w:r>
            <w:r>
              <w:rPr>
                <w:sz w:val="20"/>
              </w:rPr>
              <w:t>They are compatible and complementary. MI is also compatible with counseling approaches like cognitive–behavioral therapy (CBT).</w:t>
            </w:r>
          </w:p>
        </w:tc>
      </w:tr>
      <w:tr w:rsidR="00DB6E1F" w14:paraId="24979BC0" w14:textId="77777777">
        <w:trPr>
          <w:trHeight w:val="1096"/>
        </w:trPr>
        <w:tc>
          <w:tcPr>
            <w:tcW w:w="1795" w:type="dxa"/>
          </w:tcPr>
          <w:p w14:paraId="570CF052" w14:textId="77777777" w:rsidR="00DB6E1F" w:rsidRDefault="00F666A6">
            <w:pPr>
              <w:pStyle w:val="TableParagraph"/>
              <w:ind w:right="217"/>
              <w:rPr>
                <w:sz w:val="20"/>
              </w:rPr>
            </w:pPr>
            <w:r>
              <w:rPr>
                <w:sz w:val="20"/>
              </w:rPr>
              <w:t>MI</w:t>
            </w:r>
            <w:r>
              <w:rPr>
                <w:spacing w:val="-12"/>
                <w:sz w:val="20"/>
              </w:rPr>
              <w:t xml:space="preserve"> </w:t>
            </w:r>
            <w:r>
              <w:rPr>
                <w:sz w:val="20"/>
              </w:rPr>
              <w:t>always</w:t>
            </w:r>
            <w:r>
              <w:rPr>
                <w:spacing w:val="-11"/>
                <w:sz w:val="20"/>
              </w:rPr>
              <w:t xml:space="preserve"> </w:t>
            </w:r>
            <w:r>
              <w:rPr>
                <w:sz w:val="20"/>
              </w:rPr>
              <w:t xml:space="preserve">uses </w:t>
            </w:r>
            <w:r>
              <w:rPr>
                <w:spacing w:val="-2"/>
                <w:sz w:val="20"/>
              </w:rPr>
              <w:t>assessment feedback.</w:t>
            </w:r>
          </w:p>
        </w:tc>
        <w:tc>
          <w:tcPr>
            <w:tcW w:w="7555" w:type="dxa"/>
          </w:tcPr>
          <w:p w14:paraId="266C5222" w14:textId="77777777" w:rsidR="00DB6E1F" w:rsidRDefault="00F666A6">
            <w:pPr>
              <w:pStyle w:val="TableParagraph"/>
              <w:ind w:left="108" w:right="140"/>
              <w:rPr>
                <w:sz w:val="20"/>
              </w:rPr>
            </w:pPr>
            <w:r>
              <w:rPr>
                <w:sz w:val="20"/>
              </w:rPr>
              <w:t>Assessment feedback delivered in the MI style was an adaptation of MI that became motivati</w:t>
            </w:r>
            <w:r>
              <w:rPr>
                <w:sz w:val="20"/>
              </w:rPr>
              <w:t>onal enhancement therapy (MET). Although personalized feedback may be helpful</w:t>
            </w:r>
            <w:r>
              <w:rPr>
                <w:spacing w:val="-3"/>
                <w:sz w:val="20"/>
              </w:rPr>
              <w:t xml:space="preserve"> </w:t>
            </w:r>
            <w:r>
              <w:rPr>
                <w:sz w:val="20"/>
              </w:rPr>
              <w:t>to</w:t>
            </w:r>
            <w:r>
              <w:rPr>
                <w:spacing w:val="-3"/>
                <w:sz w:val="20"/>
              </w:rPr>
              <w:t xml:space="preserve"> </w:t>
            </w:r>
            <w:r>
              <w:rPr>
                <w:sz w:val="20"/>
              </w:rPr>
              <w:t>enhance</w:t>
            </w:r>
            <w:r>
              <w:rPr>
                <w:spacing w:val="-4"/>
                <w:sz w:val="20"/>
              </w:rPr>
              <w:t xml:space="preserve"> </w:t>
            </w:r>
            <w:r>
              <w:rPr>
                <w:sz w:val="20"/>
              </w:rPr>
              <w:t>motivation</w:t>
            </w:r>
            <w:r>
              <w:rPr>
                <w:spacing w:val="-2"/>
                <w:sz w:val="20"/>
              </w:rPr>
              <w:t xml:space="preserve"> </w:t>
            </w:r>
            <w:r>
              <w:rPr>
                <w:sz w:val="20"/>
              </w:rPr>
              <w:t>with</w:t>
            </w:r>
            <w:r>
              <w:rPr>
                <w:spacing w:val="-2"/>
                <w:sz w:val="20"/>
              </w:rPr>
              <w:t xml:space="preserve"> </w:t>
            </w:r>
            <w:r>
              <w:rPr>
                <w:sz w:val="20"/>
              </w:rPr>
              <w:t>clients</w:t>
            </w:r>
            <w:r>
              <w:rPr>
                <w:spacing w:val="-2"/>
                <w:sz w:val="20"/>
              </w:rPr>
              <w:t xml:space="preserve"> </w:t>
            </w:r>
            <w:r>
              <w:rPr>
                <w:sz w:val="20"/>
              </w:rPr>
              <w:t>who</w:t>
            </w:r>
            <w:r>
              <w:rPr>
                <w:spacing w:val="-3"/>
                <w:sz w:val="20"/>
              </w:rPr>
              <w:t xml:space="preserve"> </w:t>
            </w:r>
            <w:r>
              <w:rPr>
                <w:sz w:val="20"/>
              </w:rPr>
              <w:t>are</w:t>
            </w:r>
            <w:r>
              <w:rPr>
                <w:spacing w:val="-4"/>
                <w:sz w:val="20"/>
              </w:rPr>
              <w:t xml:space="preserve"> </w:t>
            </w:r>
            <w:r>
              <w:rPr>
                <w:sz w:val="20"/>
              </w:rPr>
              <w:t>on</w:t>
            </w:r>
            <w:r>
              <w:rPr>
                <w:spacing w:val="-2"/>
                <w:sz w:val="20"/>
              </w:rPr>
              <w:t xml:space="preserve"> </w:t>
            </w:r>
            <w:r>
              <w:rPr>
                <w:sz w:val="20"/>
              </w:rPr>
              <w:t>the</w:t>
            </w:r>
            <w:r>
              <w:rPr>
                <w:spacing w:val="-4"/>
                <w:sz w:val="20"/>
              </w:rPr>
              <w:t xml:space="preserve"> </w:t>
            </w:r>
            <w:r>
              <w:rPr>
                <w:sz w:val="20"/>
              </w:rPr>
              <w:t>lower</w:t>
            </w:r>
            <w:r>
              <w:rPr>
                <w:spacing w:val="-3"/>
                <w:sz w:val="20"/>
              </w:rPr>
              <w:t xml:space="preserve"> </w:t>
            </w:r>
            <w:r>
              <w:rPr>
                <w:sz w:val="20"/>
              </w:rPr>
              <w:t>end</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readiness</w:t>
            </w:r>
            <w:r>
              <w:rPr>
                <w:spacing w:val="-4"/>
                <w:sz w:val="20"/>
              </w:rPr>
              <w:t xml:space="preserve"> </w:t>
            </w:r>
            <w:r>
              <w:rPr>
                <w:sz w:val="20"/>
              </w:rPr>
              <w:t>to change spectrum, it is not a necessary part of MI.</w:t>
            </w:r>
          </w:p>
        </w:tc>
      </w:tr>
      <w:tr w:rsidR="00DB6E1F" w14:paraId="6C7988C2" w14:textId="77777777">
        <w:trPr>
          <w:trHeight w:val="1096"/>
        </w:trPr>
        <w:tc>
          <w:tcPr>
            <w:tcW w:w="1795" w:type="dxa"/>
          </w:tcPr>
          <w:p w14:paraId="673ECD78" w14:textId="77777777" w:rsidR="00DB6E1F" w:rsidRDefault="00F666A6">
            <w:pPr>
              <w:pStyle w:val="TableParagraph"/>
              <w:rPr>
                <w:sz w:val="20"/>
              </w:rPr>
            </w:pPr>
            <w:r>
              <w:rPr>
                <w:sz w:val="20"/>
              </w:rPr>
              <w:t>Counselors can motivate</w:t>
            </w:r>
            <w:r>
              <w:rPr>
                <w:spacing w:val="-12"/>
                <w:sz w:val="20"/>
              </w:rPr>
              <w:t xml:space="preserve"> </w:t>
            </w:r>
            <w:r>
              <w:rPr>
                <w:sz w:val="20"/>
              </w:rPr>
              <w:t>clients</w:t>
            </w:r>
            <w:r>
              <w:rPr>
                <w:spacing w:val="-11"/>
                <w:sz w:val="20"/>
              </w:rPr>
              <w:t xml:space="preserve"> </w:t>
            </w:r>
            <w:r>
              <w:rPr>
                <w:sz w:val="20"/>
              </w:rPr>
              <w:t xml:space="preserve">to </w:t>
            </w:r>
            <w:r>
              <w:rPr>
                <w:spacing w:val="-2"/>
                <w:sz w:val="20"/>
              </w:rPr>
              <w:t>change.</w:t>
            </w:r>
          </w:p>
        </w:tc>
        <w:tc>
          <w:tcPr>
            <w:tcW w:w="7555" w:type="dxa"/>
          </w:tcPr>
          <w:p w14:paraId="6F5D61B0" w14:textId="77777777" w:rsidR="00DB6E1F" w:rsidRDefault="00F666A6">
            <w:pPr>
              <w:pStyle w:val="TableParagraph"/>
              <w:ind w:left="108" w:right="102"/>
              <w:rPr>
                <w:sz w:val="20"/>
              </w:rPr>
            </w:pPr>
            <w:r>
              <w:rPr>
                <w:sz w:val="20"/>
              </w:rPr>
              <w:t>You cannot manufacture motivation that is not already in clients. MI does not motive clients</w:t>
            </w:r>
            <w:r>
              <w:rPr>
                <w:spacing w:val="-4"/>
                <w:sz w:val="20"/>
              </w:rPr>
              <w:t xml:space="preserve"> </w:t>
            </w:r>
            <w:r>
              <w:rPr>
                <w:sz w:val="20"/>
              </w:rPr>
              <w:t>to</w:t>
            </w:r>
            <w:r>
              <w:rPr>
                <w:spacing w:val="-3"/>
                <w:sz w:val="20"/>
              </w:rPr>
              <w:t xml:space="preserve"> </w:t>
            </w:r>
            <w:r>
              <w:rPr>
                <w:sz w:val="20"/>
              </w:rPr>
              <w:t>change</w:t>
            </w:r>
            <w:r>
              <w:rPr>
                <w:spacing w:val="-4"/>
                <w:sz w:val="20"/>
              </w:rPr>
              <w:t xml:space="preserve"> </w:t>
            </w:r>
            <w:r>
              <w:rPr>
                <w:sz w:val="20"/>
              </w:rPr>
              <w:t>or</w:t>
            </w:r>
            <w:r>
              <w:rPr>
                <w:spacing w:val="-3"/>
                <w:sz w:val="20"/>
              </w:rPr>
              <w:t xml:space="preserve"> </w:t>
            </w:r>
            <w:r>
              <w:rPr>
                <w:sz w:val="20"/>
              </w:rPr>
              <w:t>to</w:t>
            </w:r>
            <w:r>
              <w:rPr>
                <w:spacing w:val="-3"/>
                <w:sz w:val="20"/>
              </w:rPr>
              <w:t xml:space="preserve"> </w:t>
            </w:r>
            <w:r>
              <w:rPr>
                <w:sz w:val="20"/>
              </w:rPr>
              <w:t>move</w:t>
            </w:r>
            <w:r>
              <w:rPr>
                <w:spacing w:val="-4"/>
                <w:sz w:val="20"/>
              </w:rPr>
              <w:t xml:space="preserve"> </w:t>
            </w:r>
            <w:r>
              <w:rPr>
                <w:sz w:val="20"/>
              </w:rPr>
              <w:t>toward</w:t>
            </w:r>
            <w:r>
              <w:rPr>
                <w:spacing w:val="-2"/>
                <w:sz w:val="20"/>
              </w:rPr>
              <w:t xml:space="preserve"> </w:t>
            </w:r>
            <w:r>
              <w:rPr>
                <w:sz w:val="20"/>
              </w:rPr>
              <w:t>a</w:t>
            </w:r>
            <w:r>
              <w:rPr>
                <w:spacing w:val="-3"/>
                <w:sz w:val="20"/>
              </w:rPr>
              <w:t xml:space="preserve"> </w:t>
            </w:r>
            <w:r>
              <w:rPr>
                <w:sz w:val="20"/>
              </w:rPr>
              <w:t>predetermined</w:t>
            </w:r>
            <w:r>
              <w:rPr>
                <w:spacing w:val="-2"/>
                <w:sz w:val="20"/>
              </w:rPr>
              <w:t xml:space="preserve"> </w:t>
            </w:r>
            <w:r>
              <w:rPr>
                <w:sz w:val="20"/>
              </w:rPr>
              <w:t>treatment</w:t>
            </w:r>
            <w:r>
              <w:rPr>
                <w:spacing w:val="-3"/>
                <w:sz w:val="20"/>
              </w:rPr>
              <w:t xml:space="preserve"> </w:t>
            </w:r>
            <w:r>
              <w:rPr>
                <w:sz w:val="20"/>
              </w:rPr>
              <w:t>goal.</w:t>
            </w:r>
            <w:r>
              <w:rPr>
                <w:spacing w:val="-3"/>
                <w:sz w:val="20"/>
              </w:rPr>
              <w:t xml:space="preserve"> </w:t>
            </w:r>
            <w:r>
              <w:rPr>
                <w:sz w:val="20"/>
              </w:rPr>
              <w:t>It</w:t>
            </w:r>
            <w:r>
              <w:rPr>
                <w:spacing w:val="-3"/>
                <w:sz w:val="20"/>
              </w:rPr>
              <w:t xml:space="preserve"> </w:t>
            </w:r>
            <w:r>
              <w:rPr>
                <w:sz w:val="20"/>
              </w:rPr>
              <w:t>is</w:t>
            </w:r>
            <w:r>
              <w:rPr>
                <w:spacing w:val="-4"/>
                <w:sz w:val="20"/>
              </w:rPr>
              <w:t xml:space="preserve"> </w:t>
            </w:r>
            <w:r>
              <w:rPr>
                <w:sz w:val="20"/>
              </w:rPr>
              <w:t>a</w:t>
            </w:r>
            <w:r>
              <w:rPr>
                <w:spacing w:val="-3"/>
                <w:sz w:val="20"/>
              </w:rPr>
              <w:t xml:space="preserve"> </w:t>
            </w:r>
            <w:r>
              <w:rPr>
                <w:sz w:val="20"/>
              </w:rPr>
              <w:t>collaborative partnership between you and clients to discover their motivation to change. It respects client autonomy and self-determination about goals for behavior change.</w:t>
            </w:r>
          </w:p>
        </w:tc>
      </w:tr>
      <w:tr w:rsidR="00DB6E1F" w14:paraId="1162DFD4" w14:textId="77777777">
        <w:trPr>
          <w:trHeight w:val="405"/>
        </w:trPr>
        <w:tc>
          <w:tcPr>
            <w:tcW w:w="9350" w:type="dxa"/>
            <w:gridSpan w:val="2"/>
          </w:tcPr>
          <w:p w14:paraId="0D806301" w14:textId="77777777" w:rsidR="00DB6E1F" w:rsidRDefault="00F666A6">
            <w:pPr>
              <w:pStyle w:val="TableParagraph"/>
              <w:spacing w:before="80"/>
              <w:rPr>
                <w:i/>
                <w:sz w:val="20"/>
              </w:rPr>
            </w:pPr>
            <w:r>
              <w:rPr>
                <w:i/>
                <w:sz w:val="20"/>
              </w:rPr>
              <w:t>Sources:</w:t>
            </w:r>
            <w:r>
              <w:rPr>
                <w:i/>
                <w:spacing w:val="-8"/>
                <w:sz w:val="20"/>
              </w:rPr>
              <w:t xml:space="preserve"> </w:t>
            </w:r>
            <w:r>
              <w:rPr>
                <w:i/>
                <w:sz w:val="20"/>
              </w:rPr>
              <w:t>Miller</w:t>
            </w:r>
            <w:r>
              <w:rPr>
                <w:i/>
                <w:spacing w:val="-7"/>
                <w:sz w:val="20"/>
              </w:rPr>
              <w:t xml:space="preserve"> </w:t>
            </w:r>
            <w:r>
              <w:rPr>
                <w:i/>
                <w:sz w:val="20"/>
              </w:rPr>
              <w:t>&amp;</w:t>
            </w:r>
            <w:r>
              <w:rPr>
                <w:i/>
                <w:spacing w:val="-6"/>
                <w:sz w:val="20"/>
              </w:rPr>
              <w:t xml:space="preserve"> </w:t>
            </w:r>
            <w:r>
              <w:rPr>
                <w:i/>
                <w:sz w:val="20"/>
              </w:rPr>
              <w:t>Rollnick,</w:t>
            </w:r>
            <w:r>
              <w:rPr>
                <w:i/>
                <w:spacing w:val="-5"/>
                <w:sz w:val="20"/>
              </w:rPr>
              <w:t xml:space="preserve"> </w:t>
            </w:r>
            <w:r>
              <w:rPr>
                <w:i/>
                <w:sz w:val="20"/>
              </w:rPr>
              <w:t>2013,</w:t>
            </w:r>
            <w:r>
              <w:rPr>
                <w:i/>
                <w:spacing w:val="-6"/>
                <w:sz w:val="20"/>
              </w:rPr>
              <w:t xml:space="preserve"> </w:t>
            </w:r>
            <w:r>
              <w:rPr>
                <w:i/>
                <w:sz w:val="20"/>
              </w:rPr>
              <w:t>2014;</w:t>
            </w:r>
            <w:r>
              <w:rPr>
                <w:i/>
                <w:spacing w:val="-7"/>
                <w:sz w:val="20"/>
              </w:rPr>
              <w:t xml:space="preserve"> </w:t>
            </w:r>
            <w:r>
              <w:rPr>
                <w:i/>
                <w:sz w:val="20"/>
              </w:rPr>
              <w:t>Moyers,</w:t>
            </w:r>
            <w:r>
              <w:rPr>
                <w:i/>
                <w:spacing w:val="-6"/>
                <w:sz w:val="20"/>
              </w:rPr>
              <w:t xml:space="preserve"> </w:t>
            </w:r>
            <w:r>
              <w:rPr>
                <w:i/>
                <w:spacing w:val="-4"/>
                <w:sz w:val="20"/>
              </w:rPr>
              <w:t>2014.</w:t>
            </w:r>
          </w:p>
        </w:tc>
      </w:tr>
    </w:tbl>
    <w:p w14:paraId="19317FEA" w14:textId="77777777" w:rsidR="00DB6E1F" w:rsidRDefault="00F666A6">
      <w:pPr>
        <w:pStyle w:val="Heading2"/>
        <w:spacing w:before="11"/>
      </w:pPr>
      <w:bookmarkStart w:id="89" w:name="Ambivalence"/>
      <w:bookmarkStart w:id="90" w:name="_bookmark20"/>
      <w:bookmarkEnd w:id="89"/>
      <w:bookmarkEnd w:id="90"/>
      <w:r>
        <w:rPr>
          <w:spacing w:val="-2"/>
        </w:rPr>
        <w:t>Ambivalence</w:t>
      </w:r>
    </w:p>
    <w:p w14:paraId="1B04FAD1" w14:textId="77777777" w:rsidR="00DB6E1F" w:rsidRDefault="00F666A6">
      <w:pPr>
        <w:spacing w:before="150"/>
        <w:ind w:left="1439" w:right="1444"/>
      </w:pPr>
      <w:r>
        <w:t>A</w:t>
      </w:r>
      <w:r>
        <w:rPr>
          <w:spacing w:val="-1"/>
        </w:rPr>
        <w:t xml:space="preserve"> </w:t>
      </w:r>
      <w:r>
        <w:t>key</w:t>
      </w:r>
      <w:r>
        <w:rPr>
          <w:spacing w:val="-3"/>
        </w:rPr>
        <w:t xml:space="preserve"> </w:t>
      </w:r>
      <w:r>
        <w:t xml:space="preserve">concept </w:t>
      </w:r>
      <w:r>
        <w:t>in</w:t>
      </w:r>
      <w:r>
        <w:rPr>
          <w:spacing w:val="-4"/>
        </w:rPr>
        <w:t xml:space="preserve"> </w:t>
      </w:r>
      <w:r>
        <w:t>MI</w:t>
      </w:r>
      <w:r>
        <w:rPr>
          <w:spacing w:val="-1"/>
        </w:rPr>
        <w:t xml:space="preserve"> </w:t>
      </w:r>
      <w:r>
        <w:t>is</w:t>
      </w:r>
      <w:r>
        <w:rPr>
          <w:spacing w:val="-3"/>
        </w:rPr>
        <w:t xml:space="preserve"> </w:t>
      </w:r>
      <w:r>
        <w:t>ambivalence.</w:t>
      </w:r>
      <w:r>
        <w:rPr>
          <w:spacing w:val="-4"/>
        </w:rPr>
        <w:t xml:space="preserve"> </w:t>
      </w:r>
      <w:r>
        <w:t>It is</w:t>
      </w:r>
      <w:r>
        <w:rPr>
          <w:spacing w:val="-1"/>
        </w:rPr>
        <w:t xml:space="preserve"> </w:t>
      </w:r>
      <w:r>
        <w:t>normal</w:t>
      </w:r>
      <w:r>
        <w:rPr>
          <w:spacing w:val="-1"/>
        </w:rPr>
        <w:t xml:space="preserve"> </w:t>
      </w:r>
      <w:r>
        <w:t>for</w:t>
      </w:r>
      <w:r>
        <w:rPr>
          <w:spacing w:val="-1"/>
        </w:rPr>
        <w:t xml:space="preserve"> </w:t>
      </w:r>
      <w:r>
        <w:t>people to feels</w:t>
      </w:r>
      <w:r>
        <w:rPr>
          <w:spacing w:val="-3"/>
        </w:rPr>
        <w:t xml:space="preserve"> </w:t>
      </w:r>
      <w:r>
        <w:t>two</w:t>
      </w:r>
      <w:r>
        <w:rPr>
          <w:spacing w:val="-2"/>
        </w:rPr>
        <w:t xml:space="preserve"> </w:t>
      </w:r>
      <w:r>
        <w:t>ways</w:t>
      </w:r>
      <w:r>
        <w:rPr>
          <w:spacing w:val="-3"/>
        </w:rPr>
        <w:t xml:space="preserve"> </w:t>
      </w:r>
      <w:r>
        <w:t>about making</w:t>
      </w:r>
      <w:r>
        <w:rPr>
          <w:spacing w:val="-1"/>
        </w:rPr>
        <w:t xml:space="preserve"> </w:t>
      </w:r>
      <w:r>
        <w:t>an</w:t>
      </w:r>
      <w:r>
        <w:rPr>
          <w:spacing w:val="-2"/>
        </w:rPr>
        <w:t xml:space="preserve"> </w:t>
      </w:r>
      <w:r>
        <w:t xml:space="preserve">important change in their lives. </w:t>
      </w:r>
      <w:r>
        <w:rPr>
          <w:b/>
        </w:rPr>
        <w:t xml:space="preserve">Frequently, client ambivalence is a roadblock to change, not a lack of knowledge or skills about how to change </w:t>
      </w:r>
      <w:r>
        <w:t>(Forman &amp; Moyers, 2019). Individ</w:t>
      </w:r>
      <w:r>
        <w:t>uals with SUDs are often aware of the risks</w:t>
      </w:r>
      <w:r>
        <w:rPr>
          <w:spacing w:val="-2"/>
        </w:rPr>
        <w:t xml:space="preserve"> </w:t>
      </w:r>
      <w:r>
        <w:t>associated</w:t>
      </w:r>
      <w:r>
        <w:rPr>
          <w:spacing w:val="-3"/>
        </w:rPr>
        <w:t xml:space="preserve"> </w:t>
      </w:r>
      <w:r>
        <w:t>with</w:t>
      </w:r>
      <w:r>
        <w:rPr>
          <w:spacing w:val="-2"/>
        </w:rPr>
        <w:t xml:space="preserve"> </w:t>
      </w:r>
      <w:r>
        <w:t>their</w:t>
      </w:r>
      <w:r>
        <w:rPr>
          <w:spacing w:val="-4"/>
        </w:rPr>
        <w:t xml:space="preserve"> </w:t>
      </w:r>
      <w:r>
        <w:t>substance</w:t>
      </w:r>
      <w:r>
        <w:rPr>
          <w:spacing w:val="-2"/>
        </w:rPr>
        <w:t xml:space="preserve"> </w:t>
      </w:r>
      <w:r>
        <w:t>use</w:t>
      </w:r>
      <w:r>
        <w:rPr>
          <w:spacing w:val="-4"/>
        </w:rPr>
        <w:t xml:space="preserve"> </w:t>
      </w:r>
      <w:r>
        <w:t>but</w:t>
      </w:r>
      <w:r>
        <w:rPr>
          <w:spacing w:val="-2"/>
        </w:rPr>
        <w:t xml:space="preserve"> </w:t>
      </w:r>
      <w:r>
        <w:t>continue</w:t>
      </w:r>
      <w:r>
        <w:rPr>
          <w:spacing w:val="-4"/>
        </w:rPr>
        <w:t xml:space="preserve"> </w:t>
      </w:r>
      <w:r>
        <w:t>to</w:t>
      </w:r>
      <w:r>
        <w:rPr>
          <w:spacing w:val="-1"/>
        </w:rPr>
        <w:t xml:space="preserve"> </w:t>
      </w:r>
      <w:r>
        <w:t>use</w:t>
      </w:r>
      <w:r>
        <w:rPr>
          <w:spacing w:val="-1"/>
        </w:rPr>
        <w:t xml:space="preserve"> </w:t>
      </w:r>
      <w:r>
        <w:t>substances</w:t>
      </w:r>
      <w:r>
        <w:rPr>
          <w:spacing w:val="-2"/>
        </w:rPr>
        <w:t xml:space="preserve"> </w:t>
      </w:r>
      <w:r>
        <w:t>anyway.</w:t>
      </w:r>
      <w:r>
        <w:rPr>
          <w:spacing w:val="-5"/>
        </w:rPr>
        <w:t xml:space="preserve"> </w:t>
      </w:r>
      <w:r>
        <w:t>They</w:t>
      </w:r>
      <w:r>
        <w:rPr>
          <w:spacing w:val="-3"/>
        </w:rPr>
        <w:t xml:space="preserve"> </w:t>
      </w:r>
      <w:r>
        <w:t>may need</w:t>
      </w:r>
      <w:r>
        <w:rPr>
          <w:spacing w:val="-2"/>
        </w:rPr>
        <w:t xml:space="preserve"> </w:t>
      </w:r>
      <w:r>
        <w:t>to</w:t>
      </w:r>
      <w:r>
        <w:rPr>
          <w:spacing w:val="-1"/>
        </w:rPr>
        <w:t xml:space="preserve"> </w:t>
      </w:r>
      <w:r>
        <w:t>stop using substances, but they continue to use. The tension between these feelings is ambivalence.</w:t>
      </w:r>
    </w:p>
    <w:p w14:paraId="2916F05B" w14:textId="77777777" w:rsidR="00DB6E1F" w:rsidRDefault="00F666A6">
      <w:pPr>
        <w:pStyle w:val="BodyText"/>
        <w:spacing w:before="162"/>
        <w:ind w:left="1438" w:right="1491"/>
      </w:pPr>
      <w:r>
        <w:t>Ambivalence</w:t>
      </w:r>
      <w:r>
        <w:rPr>
          <w:spacing w:val="-7"/>
        </w:rPr>
        <w:t xml:space="preserve"> </w:t>
      </w:r>
      <w:r>
        <w:t>about</w:t>
      </w:r>
      <w:r>
        <w:rPr>
          <w:spacing w:val="-7"/>
        </w:rPr>
        <w:t xml:space="preserve"> </w:t>
      </w:r>
      <w:r>
        <w:t>changing</w:t>
      </w:r>
      <w:r>
        <w:rPr>
          <w:spacing w:val="-9"/>
        </w:rPr>
        <w:t xml:space="preserve"> </w:t>
      </w:r>
      <w:r>
        <w:t>substance</w:t>
      </w:r>
      <w:r>
        <w:rPr>
          <w:spacing w:val="-7"/>
        </w:rPr>
        <w:t xml:space="preserve"> </w:t>
      </w:r>
      <w:r>
        <w:t>use</w:t>
      </w:r>
      <w:r>
        <w:rPr>
          <w:spacing w:val="-7"/>
        </w:rPr>
        <w:t xml:space="preserve"> </w:t>
      </w:r>
      <w:r>
        <w:t>behaviors</w:t>
      </w:r>
      <w:r>
        <w:rPr>
          <w:spacing w:val="-8"/>
        </w:rPr>
        <w:t xml:space="preserve"> </w:t>
      </w:r>
      <w:r>
        <w:t>is</w:t>
      </w:r>
      <w:r>
        <w:rPr>
          <w:spacing w:val="-7"/>
        </w:rPr>
        <w:t xml:space="preserve"> </w:t>
      </w:r>
      <w:r>
        <w:t>natural.</w:t>
      </w:r>
      <w:r>
        <w:rPr>
          <w:spacing w:val="-8"/>
        </w:rPr>
        <w:t xml:space="preserve"> </w:t>
      </w:r>
      <w:r>
        <w:t>As</w:t>
      </w:r>
      <w:r>
        <w:rPr>
          <w:spacing w:val="-8"/>
        </w:rPr>
        <w:t xml:space="preserve"> </w:t>
      </w:r>
      <w:r>
        <w:t>clients</w:t>
      </w:r>
      <w:r>
        <w:rPr>
          <w:spacing w:val="-8"/>
        </w:rPr>
        <w:t xml:space="preserve"> </w:t>
      </w:r>
      <w:r>
        <w:t>move</w:t>
      </w:r>
      <w:r>
        <w:rPr>
          <w:spacing w:val="-7"/>
        </w:rPr>
        <w:t xml:space="preserve"> </w:t>
      </w:r>
      <w:r>
        <w:t>from</w:t>
      </w:r>
      <w:r>
        <w:rPr>
          <w:spacing w:val="-9"/>
        </w:rPr>
        <w:t xml:space="preserve"> </w:t>
      </w:r>
      <w:r>
        <w:t>Precontemplation to Contemplation, their feelings of conflict about chan</w:t>
      </w:r>
      <w:r>
        <w:t>ge increase. This tension may help move people toward</w:t>
      </w:r>
      <w:r>
        <w:rPr>
          <w:spacing w:val="-3"/>
        </w:rPr>
        <w:t xml:space="preserve"> </w:t>
      </w:r>
      <w:r>
        <w:t>change,</w:t>
      </w:r>
      <w:r>
        <w:rPr>
          <w:spacing w:val="-2"/>
        </w:rPr>
        <w:t xml:space="preserve"> </w:t>
      </w:r>
      <w:r>
        <w:t>but</w:t>
      </w:r>
      <w:r>
        <w:rPr>
          <w:spacing w:val="-4"/>
        </w:rPr>
        <w:t xml:space="preserve"> </w:t>
      </w:r>
      <w:r>
        <w:t>often</w:t>
      </w:r>
      <w:r>
        <w:rPr>
          <w:spacing w:val="-3"/>
        </w:rPr>
        <w:t xml:space="preserve"> </w:t>
      </w:r>
      <w:r>
        <w:t>the</w:t>
      </w:r>
      <w:r>
        <w:rPr>
          <w:spacing w:val="-2"/>
        </w:rPr>
        <w:t xml:space="preserve"> </w:t>
      </w:r>
      <w:r>
        <w:t>tension</w:t>
      </w:r>
      <w:r>
        <w:rPr>
          <w:spacing w:val="-5"/>
        </w:rPr>
        <w:t xml:space="preserve"> </w:t>
      </w:r>
      <w:r>
        <w:t>of</w:t>
      </w:r>
      <w:r>
        <w:rPr>
          <w:spacing w:val="-2"/>
        </w:rPr>
        <w:t xml:space="preserve"> </w:t>
      </w:r>
      <w:r>
        <w:t>ambivalence</w:t>
      </w:r>
      <w:r>
        <w:rPr>
          <w:spacing w:val="-2"/>
        </w:rPr>
        <w:t xml:space="preserve"> </w:t>
      </w:r>
      <w:r>
        <w:t>leads</w:t>
      </w:r>
      <w:r>
        <w:rPr>
          <w:spacing w:val="-2"/>
        </w:rPr>
        <w:t xml:space="preserve"> </w:t>
      </w:r>
      <w:r>
        <w:t>people</w:t>
      </w:r>
      <w:r>
        <w:rPr>
          <w:spacing w:val="-2"/>
        </w:rPr>
        <w:t xml:space="preserve"> </w:t>
      </w:r>
      <w:r>
        <w:t>to</w:t>
      </w:r>
      <w:r>
        <w:rPr>
          <w:spacing w:val="-1"/>
        </w:rPr>
        <w:t xml:space="preserve"> </w:t>
      </w:r>
      <w:r>
        <w:t>avoid</w:t>
      </w:r>
      <w:r>
        <w:rPr>
          <w:spacing w:val="-3"/>
        </w:rPr>
        <w:t xml:space="preserve"> </w:t>
      </w:r>
      <w:r>
        <w:t>thinking</w:t>
      </w:r>
      <w:r>
        <w:rPr>
          <w:spacing w:val="-3"/>
        </w:rPr>
        <w:t xml:space="preserve"> </w:t>
      </w:r>
      <w:r>
        <w:t>about</w:t>
      </w:r>
      <w:r>
        <w:rPr>
          <w:spacing w:val="-2"/>
        </w:rPr>
        <w:t xml:space="preserve"> </w:t>
      </w:r>
      <w:r>
        <w:t>the</w:t>
      </w:r>
      <w:r>
        <w:rPr>
          <w:spacing w:val="-4"/>
        </w:rPr>
        <w:t xml:space="preserve"> </w:t>
      </w:r>
      <w:r>
        <w:t>problem. They</w:t>
      </w:r>
      <w:r>
        <w:rPr>
          <w:spacing w:val="-3"/>
        </w:rPr>
        <w:t xml:space="preserve"> </w:t>
      </w:r>
      <w:r>
        <w:t>may</w:t>
      </w:r>
      <w:r>
        <w:rPr>
          <w:spacing w:val="-1"/>
        </w:rPr>
        <w:t xml:space="preserve"> </w:t>
      </w:r>
      <w:r>
        <w:t>tell</w:t>
      </w:r>
      <w:r>
        <w:rPr>
          <w:spacing w:val="-2"/>
        </w:rPr>
        <w:t xml:space="preserve"> </w:t>
      </w:r>
      <w:r>
        <w:t>themselves</w:t>
      </w:r>
      <w:r>
        <w:rPr>
          <w:spacing w:val="-2"/>
        </w:rPr>
        <w:t xml:space="preserve"> </w:t>
      </w:r>
      <w:r>
        <w:t>things</w:t>
      </w:r>
      <w:r>
        <w:rPr>
          <w:spacing w:val="-2"/>
        </w:rPr>
        <w:t xml:space="preserve"> </w:t>
      </w:r>
      <w:r>
        <w:t>aren’t</w:t>
      </w:r>
      <w:r>
        <w:rPr>
          <w:spacing w:val="-1"/>
        </w:rPr>
        <w:t xml:space="preserve"> </w:t>
      </w:r>
      <w:r>
        <w:t>so</w:t>
      </w:r>
      <w:r>
        <w:rPr>
          <w:spacing w:val="-1"/>
        </w:rPr>
        <w:t xml:space="preserve"> </w:t>
      </w:r>
      <w:r>
        <w:t>bad</w:t>
      </w:r>
      <w:r>
        <w:rPr>
          <w:spacing w:val="-3"/>
        </w:rPr>
        <w:t xml:space="preserve"> </w:t>
      </w:r>
      <w:r>
        <w:t>(Miller</w:t>
      </w:r>
      <w:r>
        <w:rPr>
          <w:spacing w:val="-4"/>
        </w:rPr>
        <w:t xml:space="preserve"> </w:t>
      </w:r>
      <w:r>
        <w:t>&amp;</w:t>
      </w:r>
      <w:r>
        <w:rPr>
          <w:spacing w:val="-1"/>
        </w:rPr>
        <w:t xml:space="preserve"> </w:t>
      </w:r>
      <w:r>
        <w:t>Rollnick,</w:t>
      </w:r>
      <w:r>
        <w:rPr>
          <w:spacing w:val="-4"/>
        </w:rPr>
        <w:t xml:space="preserve"> </w:t>
      </w:r>
      <w:r>
        <w:t>2013).</w:t>
      </w:r>
      <w:r>
        <w:rPr>
          <w:spacing w:val="-4"/>
        </w:rPr>
        <w:t xml:space="preserve"> </w:t>
      </w:r>
      <w:r>
        <w:rPr>
          <w:b/>
        </w:rPr>
        <w:t>View</w:t>
      </w:r>
      <w:r>
        <w:rPr>
          <w:b/>
          <w:spacing w:val="-1"/>
        </w:rPr>
        <w:t xml:space="preserve"> </w:t>
      </w:r>
      <w:r>
        <w:rPr>
          <w:b/>
        </w:rPr>
        <w:t>ambivalence</w:t>
      </w:r>
      <w:r>
        <w:rPr>
          <w:b/>
          <w:spacing w:val="-5"/>
        </w:rPr>
        <w:t xml:space="preserve"> </w:t>
      </w:r>
      <w:r>
        <w:rPr>
          <w:b/>
        </w:rPr>
        <w:t>not</w:t>
      </w:r>
      <w:r>
        <w:rPr>
          <w:b/>
          <w:spacing w:val="-2"/>
        </w:rPr>
        <w:t xml:space="preserve"> </w:t>
      </w:r>
      <w:r>
        <w:rPr>
          <w:b/>
        </w:rPr>
        <w:t>as</w:t>
      </w:r>
      <w:r>
        <w:rPr>
          <w:b/>
          <w:spacing w:val="-1"/>
        </w:rPr>
        <w:t xml:space="preserve"> </w:t>
      </w:r>
      <w:r>
        <w:rPr>
          <w:b/>
        </w:rPr>
        <w:t>denial or resistance, but</w:t>
      </w:r>
      <w:r>
        <w:rPr>
          <w:b/>
          <w:spacing w:val="-1"/>
        </w:rPr>
        <w:t xml:space="preserve"> </w:t>
      </w:r>
      <w:r>
        <w:rPr>
          <w:b/>
        </w:rPr>
        <w:t>as a</w:t>
      </w:r>
      <w:r>
        <w:rPr>
          <w:b/>
          <w:spacing w:val="-2"/>
        </w:rPr>
        <w:t xml:space="preserve"> </w:t>
      </w:r>
      <w:r>
        <w:rPr>
          <w:b/>
        </w:rPr>
        <w:t>normal experience</w:t>
      </w:r>
      <w:r>
        <w:rPr>
          <w:b/>
          <w:spacing w:val="-2"/>
        </w:rPr>
        <w:t xml:space="preserve"> </w:t>
      </w:r>
      <w:r>
        <w:rPr>
          <w:b/>
        </w:rPr>
        <w:t>in</w:t>
      </w:r>
      <w:r>
        <w:rPr>
          <w:b/>
          <w:spacing w:val="-2"/>
        </w:rPr>
        <w:t xml:space="preserve"> </w:t>
      </w:r>
      <w:r>
        <w:rPr>
          <w:b/>
        </w:rPr>
        <w:t>the</w:t>
      </w:r>
      <w:r>
        <w:rPr>
          <w:b/>
          <w:spacing w:val="-4"/>
        </w:rPr>
        <w:t xml:space="preserve"> </w:t>
      </w:r>
      <w:r>
        <w:rPr>
          <w:b/>
        </w:rPr>
        <w:t>change</w:t>
      </w:r>
      <w:r>
        <w:rPr>
          <w:b/>
          <w:spacing w:val="-2"/>
        </w:rPr>
        <w:t xml:space="preserve"> </w:t>
      </w:r>
      <w:r>
        <w:rPr>
          <w:b/>
        </w:rPr>
        <w:t>process.</w:t>
      </w:r>
      <w:r>
        <w:rPr>
          <w:b/>
          <w:spacing w:val="-4"/>
        </w:rPr>
        <w:t xml:space="preserve"> </w:t>
      </w:r>
      <w:r>
        <w:t>If</w:t>
      </w:r>
      <w:r>
        <w:rPr>
          <w:spacing w:val="-1"/>
        </w:rPr>
        <w:t xml:space="preserve"> </w:t>
      </w:r>
      <w:r>
        <w:t>you</w:t>
      </w:r>
      <w:r>
        <w:rPr>
          <w:spacing w:val="-2"/>
        </w:rPr>
        <w:t xml:space="preserve"> </w:t>
      </w:r>
      <w:r>
        <w:t>interpret ambivalence as</w:t>
      </w:r>
      <w:r>
        <w:rPr>
          <w:spacing w:val="-1"/>
        </w:rPr>
        <w:t xml:space="preserve"> </w:t>
      </w:r>
      <w:r>
        <w:t>denial or resistance, you are likely to evoke discord between you and clients, which is counterproductive.</w:t>
      </w:r>
    </w:p>
    <w:p w14:paraId="700F9106" w14:textId="77777777" w:rsidR="00DB6E1F" w:rsidRDefault="00F666A6">
      <w:pPr>
        <w:pStyle w:val="Heading3"/>
        <w:spacing w:before="163"/>
      </w:pPr>
      <w:bookmarkStart w:id="91" w:name="Sustain_Talk_and_Change_Talk"/>
      <w:bookmarkEnd w:id="91"/>
      <w:r>
        <w:t>Sustain</w:t>
      </w:r>
      <w:r>
        <w:rPr>
          <w:spacing w:val="-9"/>
        </w:rPr>
        <w:t xml:space="preserve"> </w:t>
      </w:r>
      <w:r>
        <w:t>Talk</w:t>
      </w:r>
      <w:r>
        <w:rPr>
          <w:spacing w:val="-6"/>
        </w:rPr>
        <w:t xml:space="preserve"> </w:t>
      </w:r>
      <w:r>
        <w:t>and</w:t>
      </w:r>
      <w:r>
        <w:rPr>
          <w:spacing w:val="-5"/>
        </w:rPr>
        <w:t xml:space="preserve"> </w:t>
      </w:r>
      <w:r>
        <w:t>Change</w:t>
      </w:r>
      <w:r>
        <w:rPr>
          <w:spacing w:val="-7"/>
        </w:rPr>
        <w:t xml:space="preserve"> </w:t>
      </w:r>
      <w:r>
        <w:rPr>
          <w:spacing w:val="-4"/>
        </w:rPr>
        <w:t>Talk</w:t>
      </w:r>
    </w:p>
    <w:p w14:paraId="203B7557" w14:textId="77777777" w:rsidR="00DB6E1F" w:rsidRDefault="00DB6E1F">
      <w:pPr>
        <w:sectPr w:rsidR="00DB6E1F">
          <w:pgSz w:w="12240" w:h="15840"/>
          <w:pgMar w:top="1200" w:right="0" w:bottom="780" w:left="0" w:header="763" w:footer="585" w:gutter="0"/>
          <w:cols w:space="720"/>
        </w:sectPr>
      </w:pPr>
    </w:p>
    <w:p w14:paraId="24113C49" w14:textId="77777777" w:rsidR="00DB6E1F" w:rsidRDefault="00DB6E1F">
      <w:pPr>
        <w:pStyle w:val="BodyText"/>
        <w:spacing w:before="8"/>
        <w:rPr>
          <w:b/>
          <w:sz w:val="14"/>
        </w:rPr>
      </w:pPr>
    </w:p>
    <w:p w14:paraId="44428068" w14:textId="77777777" w:rsidR="00DB6E1F" w:rsidRDefault="00F666A6">
      <w:pPr>
        <w:pStyle w:val="BodyText"/>
        <w:spacing w:before="56"/>
        <w:ind w:left="1439" w:right="1491"/>
      </w:pPr>
      <w:r>
        <w:rPr>
          <w:b/>
        </w:rPr>
        <w:t>Recognizing sustain talk and change talk in clients will help you better explore and address their ambivalence.</w:t>
      </w:r>
      <w:r>
        <w:rPr>
          <w:b/>
          <w:spacing w:val="-1"/>
        </w:rPr>
        <w:t xml:space="preserve"> </w:t>
      </w:r>
      <w:r>
        <w:t>Sustain</w:t>
      </w:r>
      <w:r>
        <w:rPr>
          <w:spacing w:val="-5"/>
        </w:rPr>
        <w:t xml:space="preserve"> </w:t>
      </w:r>
      <w:r>
        <w:t>talk</w:t>
      </w:r>
      <w:r>
        <w:rPr>
          <w:spacing w:val="-4"/>
        </w:rPr>
        <w:t xml:space="preserve"> </w:t>
      </w:r>
      <w:r>
        <w:t>consists</w:t>
      </w:r>
      <w:r>
        <w:rPr>
          <w:spacing w:val="-4"/>
        </w:rPr>
        <w:t xml:space="preserve"> </w:t>
      </w:r>
      <w:r>
        <w:t>of</w:t>
      </w:r>
      <w:r>
        <w:rPr>
          <w:spacing w:val="-5"/>
        </w:rPr>
        <w:t xml:space="preserve"> </w:t>
      </w:r>
      <w:r>
        <w:t>client</w:t>
      </w:r>
      <w:r>
        <w:rPr>
          <w:spacing w:val="-4"/>
        </w:rPr>
        <w:t xml:space="preserve"> </w:t>
      </w:r>
      <w:r>
        <w:t>statements</w:t>
      </w:r>
      <w:r>
        <w:rPr>
          <w:spacing w:val="-4"/>
        </w:rPr>
        <w:t xml:space="preserve"> </w:t>
      </w:r>
      <w:r>
        <w:t>that</w:t>
      </w:r>
      <w:r>
        <w:rPr>
          <w:spacing w:val="-1"/>
        </w:rPr>
        <w:t xml:space="preserve"> </w:t>
      </w:r>
      <w:r>
        <w:t>support</w:t>
      </w:r>
      <w:r>
        <w:rPr>
          <w:spacing w:val="-2"/>
        </w:rPr>
        <w:t xml:space="preserve"> </w:t>
      </w:r>
      <w:r>
        <w:t>not</w:t>
      </w:r>
      <w:r>
        <w:rPr>
          <w:spacing w:val="-2"/>
        </w:rPr>
        <w:t xml:space="preserve"> </w:t>
      </w:r>
      <w:r>
        <w:t>changing</w:t>
      </w:r>
      <w:r>
        <w:rPr>
          <w:spacing w:val="-4"/>
        </w:rPr>
        <w:t xml:space="preserve"> </w:t>
      </w:r>
      <w:r>
        <w:t>a</w:t>
      </w:r>
      <w:r>
        <w:rPr>
          <w:spacing w:val="-2"/>
        </w:rPr>
        <w:t xml:space="preserve"> </w:t>
      </w:r>
      <w:r>
        <w:t>health-risk</w:t>
      </w:r>
      <w:r>
        <w:rPr>
          <w:spacing w:val="-2"/>
        </w:rPr>
        <w:t xml:space="preserve"> </w:t>
      </w:r>
      <w:r>
        <w:t>behavior, like substance misuse. Change talk consists of client statements that favor change (Miller &amp; Rollnick, 2013). Sustain talk and change talk are expressions of both sides of ambivalence about change. Over time, MI has evolved in its understanding o</w:t>
      </w:r>
      <w:r>
        <w:t>f what keeps clients stuck in ambivalence about change and what supports clients to move in the direction of changing substance use behaviors. Client stuck in ambivalence will engage in a lot of sustain talk, whereas clients who are more ready to change wi</w:t>
      </w:r>
      <w:r>
        <w:t>ll engage in more change talk with stronger statements supporting change.</w:t>
      </w:r>
    </w:p>
    <w:p w14:paraId="4644DEFC" w14:textId="77777777" w:rsidR="00DB6E1F" w:rsidRDefault="00F666A6">
      <w:pPr>
        <w:pStyle w:val="BodyText"/>
        <w:spacing w:before="160"/>
        <w:ind w:left="1438" w:right="1507" w:firstLine="1"/>
      </w:pPr>
      <w:r>
        <w:t>Greater frequency of client sustain talk in sessions is linked to poorer substance use treatment outcomes (Lindqvist, Forsberg, Enebrink, Andersson, &amp; Rosendahl, 2017; Magill et al.,</w:t>
      </w:r>
      <w:r>
        <w:t xml:space="preserve"> 2014; Rodriguez, Walters, Houck, Ortiz, &amp; Taxman, 2017). Conversely, MI-consistent counselor behavior focused on eliciting and reflecting change talk, more client change talk compared with sustain talk, and stronger commitment change talk are linked to be</w:t>
      </w:r>
      <w:r>
        <w:t>tter substance use outcomes (Barnett, Moyers, et al., 2014; Borsari</w:t>
      </w:r>
      <w:r>
        <w:rPr>
          <w:spacing w:val="-4"/>
        </w:rPr>
        <w:t xml:space="preserve"> </w:t>
      </w:r>
      <w:r>
        <w:t>et al.,</w:t>
      </w:r>
      <w:r>
        <w:rPr>
          <w:spacing w:val="-3"/>
        </w:rPr>
        <w:t xml:space="preserve"> </w:t>
      </w:r>
      <w:r>
        <w:t>2018; Houck,</w:t>
      </w:r>
      <w:r>
        <w:rPr>
          <w:spacing w:val="-3"/>
        </w:rPr>
        <w:t xml:space="preserve"> </w:t>
      </w:r>
      <w:r>
        <w:t>Manuel,</w:t>
      </w:r>
      <w:r>
        <w:rPr>
          <w:spacing w:val="-3"/>
        </w:rPr>
        <w:t xml:space="preserve"> </w:t>
      </w:r>
      <w:r>
        <w:t>&amp; Moyers,</w:t>
      </w:r>
      <w:r>
        <w:rPr>
          <w:spacing w:val="-3"/>
        </w:rPr>
        <w:t xml:space="preserve"> </w:t>
      </w:r>
      <w:r>
        <w:t>2018;</w:t>
      </w:r>
      <w:r>
        <w:rPr>
          <w:spacing w:val="-5"/>
        </w:rPr>
        <w:t xml:space="preserve"> </w:t>
      </w:r>
      <w:r>
        <w:t>Magill</w:t>
      </w:r>
      <w:r>
        <w:rPr>
          <w:spacing w:val="-1"/>
        </w:rPr>
        <w:t xml:space="preserve"> </w:t>
      </w:r>
      <w:r>
        <w:t>et</w:t>
      </w:r>
      <w:r>
        <w:rPr>
          <w:spacing w:val="-3"/>
        </w:rPr>
        <w:t xml:space="preserve"> </w:t>
      </w:r>
      <w:r>
        <w:t>al.,</w:t>
      </w:r>
      <w:r>
        <w:rPr>
          <w:spacing w:val="-3"/>
        </w:rPr>
        <w:t xml:space="preserve"> </w:t>
      </w:r>
      <w:r>
        <w:t>2014,</w:t>
      </w:r>
      <w:r>
        <w:rPr>
          <w:spacing w:val="-3"/>
        </w:rPr>
        <w:t xml:space="preserve"> </w:t>
      </w:r>
      <w:r>
        <w:t>2018;</w:t>
      </w:r>
      <w:r>
        <w:rPr>
          <w:spacing w:val="-2"/>
        </w:rPr>
        <w:t xml:space="preserve"> </w:t>
      </w:r>
      <w:r>
        <w:t>Romano</w:t>
      </w:r>
      <w:r>
        <w:rPr>
          <w:spacing w:val="-2"/>
        </w:rPr>
        <w:t xml:space="preserve"> </w:t>
      </w:r>
      <w:r>
        <w:t>&amp;</w:t>
      </w:r>
      <w:r>
        <w:rPr>
          <w:spacing w:val="-3"/>
        </w:rPr>
        <w:t xml:space="preserve"> </w:t>
      </w:r>
      <w:r>
        <w:t>Peters,</w:t>
      </w:r>
      <w:r>
        <w:rPr>
          <w:spacing w:val="-3"/>
        </w:rPr>
        <w:t xml:space="preserve"> </w:t>
      </w:r>
      <w:r>
        <w:t>2016). Counselor empathy is also linked to eliciting client change talk (Pace et al., 2017).</w:t>
      </w:r>
    </w:p>
    <w:p w14:paraId="5B2B5524" w14:textId="77777777" w:rsidR="00DB6E1F" w:rsidRDefault="00DB6E1F">
      <w:pPr>
        <w:pStyle w:val="BodyText"/>
        <w:spacing w:before="2"/>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289994B1" w14:textId="77777777">
        <w:trPr>
          <w:trHeight w:val="609"/>
        </w:trPr>
        <w:tc>
          <w:tcPr>
            <w:tcW w:w="9350" w:type="dxa"/>
            <w:shd w:val="clear" w:color="auto" w:fill="E7E6E6"/>
          </w:tcPr>
          <w:p w14:paraId="286E3FFD" w14:textId="77777777" w:rsidR="00DB6E1F" w:rsidRDefault="00F666A6">
            <w:pPr>
              <w:pStyle w:val="TableParagraph"/>
              <w:rPr>
                <w:sz w:val="20"/>
              </w:rPr>
            </w:pPr>
            <w:r>
              <w:rPr>
                <w:sz w:val="20"/>
              </w:rPr>
              <w:t>In</w:t>
            </w:r>
            <w:r>
              <w:rPr>
                <w:spacing w:val="-2"/>
                <w:sz w:val="20"/>
              </w:rPr>
              <w:t xml:space="preserve"> </w:t>
            </w:r>
            <w:r>
              <w:rPr>
                <w:sz w:val="20"/>
              </w:rPr>
              <w:t>MI</w:t>
            </w:r>
            <w:r>
              <w:rPr>
                <w:sz w:val="20"/>
              </w:rPr>
              <w:t>,</w:t>
            </w:r>
            <w:r>
              <w:rPr>
                <w:spacing w:val="-2"/>
                <w:sz w:val="20"/>
              </w:rPr>
              <w:t xml:space="preserve"> </w:t>
            </w:r>
            <w:r>
              <w:rPr>
                <w:sz w:val="20"/>
              </w:rPr>
              <w:t>your</w:t>
            </w:r>
            <w:r>
              <w:rPr>
                <w:spacing w:val="-3"/>
                <w:sz w:val="20"/>
              </w:rPr>
              <w:t xml:space="preserve"> </w:t>
            </w:r>
            <w:r>
              <w:rPr>
                <w:sz w:val="20"/>
              </w:rPr>
              <w:t>main</w:t>
            </w:r>
            <w:r>
              <w:rPr>
                <w:spacing w:val="-2"/>
                <w:sz w:val="20"/>
              </w:rPr>
              <w:t xml:space="preserve"> </w:t>
            </w:r>
            <w:r>
              <w:rPr>
                <w:sz w:val="20"/>
              </w:rPr>
              <w:t>goal</w:t>
            </w:r>
            <w:r>
              <w:rPr>
                <w:spacing w:val="-3"/>
                <w:sz w:val="20"/>
              </w:rPr>
              <w:t xml:space="preserve"> </w:t>
            </w:r>
            <w:r>
              <w:rPr>
                <w:sz w:val="20"/>
              </w:rPr>
              <w:t>is</w:t>
            </w:r>
            <w:r>
              <w:rPr>
                <w:spacing w:val="-4"/>
                <w:sz w:val="20"/>
              </w:rPr>
              <w:t xml:space="preserve"> </w:t>
            </w:r>
            <w:r>
              <w:rPr>
                <w:sz w:val="20"/>
              </w:rPr>
              <w:t>to</w:t>
            </w:r>
            <w:r>
              <w:rPr>
                <w:spacing w:val="-3"/>
                <w:sz w:val="20"/>
              </w:rPr>
              <w:t xml:space="preserve"> </w:t>
            </w:r>
            <w:r>
              <w:rPr>
                <w:sz w:val="20"/>
              </w:rPr>
              <w:t>evoke</w:t>
            </w:r>
            <w:r>
              <w:rPr>
                <w:spacing w:val="-4"/>
                <w:sz w:val="20"/>
              </w:rPr>
              <w:t xml:space="preserve"> </w:t>
            </w:r>
            <w:r>
              <w:rPr>
                <w:sz w:val="20"/>
              </w:rPr>
              <w:t>change</w:t>
            </w:r>
            <w:r>
              <w:rPr>
                <w:spacing w:val="-4"/>
                <w:sz w:val="20"/>
              </w:rPr>
              <w:t xml:space="preserve"> </w:t>
            </w:r>
            <w:r>
              <w:rPr>
                <w:sz w:val="20"/>
              </w:rPr>
              <w:t>talk</w:t>
            </w:r>
            <w:r>
              <w:rPr>
                <w:spacing w:val="-3"/>
                <w:sz w:val="20"/>
              </w:rPr>
              <w:t xml:space="preserve"> </w:t>
            </w:r>
            <w:r>
              <w:rPr>
                <w:sz w:val="20"/>
              </w:rPr>
              <w:t>and</w:t>
            </w:r>
            <w:r>
              <w:rPr>
                <w:spacing w:val="-2"/>
                <w:sz w:val="20"/>
              </w:rPr>
              <w:t xml:space="preserve"> </w:t>
            </w:r>
            <w:r>
              <w:rPr>
                <w:sz w:val="20"/>
              </w:rPr>
              <w:t>minimize</w:t>
            </w:r>
            <w:r>
              <w:rPr>
                <w:spacing w:val="-4"/>
                <w:sz w:val="20"/>
              </w:rPr>
              <w:t xml:space="preserve"> </w:t>
            </w:r>
            <w:r>
              <w:rPr>
                <w:sz w:val="20"/>
              </w:rPr>
              <w:t>evoking</w:t>
            </w:r>
            <w:r>
              <w:rPr>
                <w:spacing w:val="-3"/>
                <w:sz w:val="20"/>
              </w:rPr>
              <w:t xml:space="preserve"> </w:t>
            </w:r>
            <w:r>
              <w:rPr>
                <w:sz w:val="20"/>
              </w:rPr>
              <w:t>or</w:t>
            </w:r>
            <w:r>
              <w:rPr>
                <w:spacing w:val="-3"/>
                <w:sz w:val="20"/>
              </w:rPr>
              <w:t xml:space="preserve"> </w:t>
            </w:r>
            <w:r>
              <w:rPr>
                <w:sz w:val="20"/>
              </w:rPr>
              <w:t>reinforcing</w:t>
            </w:r>
            <w:r>
              <w:rPr>
                <w:spacing w:val="-3"/>
                <w:sz w:val="20"/>
              </w:rPr>
              <w:t xml:space="preserve"> </w:t>
            </w:r>
            <w:r>
              <w:rPr>
                <w:sz w:val="20"/>
              </w:rPr>
              <w:t>sustain</w:t>
            </w:r>
            <w:r>
              <w:rPr>
                <w:spacing w:val="-2"/>
                <w:sz w:val="20"/>
              </w:rPr>
              <w:t xml:space="preserve"> </w:t>
            </w:r>
            <w:r>
              <w:rPr>
                <w:sz w:val="20"/>
              </w:rPr>
              <w:t>talk</w:t>
            </w:r>
            <w:r>
              <w:rPr>
                <w:spacing w:val="-2"/>
                <w:sz w:val="20"/>
              </w:rPr>
              <w:t xml:space="preserve"> </w:t>
            </w:r>
            <w:r>
              <w:rPr>
                <w:sz w:val="20"/>
              </w:rPr>
              <w:t>in</w:t>
            </w:r>
            <w:r>
              <w:rPr>
                <w:spacing w:val="-2"/>
                <w:sz w:val="20"/>
              </w:rPr>
              <w:t xml:space="preserve"> </w:t>
            </w:r>
            <w:r>
              <w:rPr>
                <w:sz w:val="20"/>
              </w:rPr>
              <w:t xml:space="preserve">counseling </w:t>
            </w:r>
            <w:r>
              <w:rPr>
                <w:spacing w:val="-2"/>
                <w:sz w:val="20"/>
              </w:rPr>
              <w:t>sessions.</w:t>
            </w:r>
          </w:p>
        </w:tc>
      </w:tr>
    </w:tbl>
    <w:p w14:paraId="26EA2497" w14:textId="77777777" w:rsidR="00DB6E1F" w:rsidRDefault="00F666A6">
      <w:pPr>
        <w:pStyle w:val="BodyText"/>
        <w:spacing w:before="157"/>
        <w:ind w:left="1440" w:right="1491"/>
      </w:pPr>
      <w:r>
        <w:t>Another</w:t>
      </w:r>
      <w:r>
        <w:rPr>
          <w:spacing w:val="-2"/>
        </w:rPr>
        <w:t xml:space="preserve"> </w:t>
      </w:r>
      <w:r>
        <w:t>development</w:t>
      </w:r>
      <w:r>
        <w:rPr>
          <w:spacing w:val="-1"/>
        </w:rPr>
        <w:t xml:space="preserve"> </w:t>
      </w:r>
      <w:r>
        <w:t>in</w:t>
      </w:r>
      <w:r>
        <w:rPr>
          <w:spacing w:val="-5"/>
        </w:rPr>
        <w:t xml:space="preserve"> </w:t>
      </w:r>
      <w:r>
        <w:t>MI</w:t>
      </w:r>
      <w:r>
        <w:rPr>
          <w:spacing w:val="-2"/>
        </w:rPr>
        <w:t xml:space="preserve"> </w:t>
      </w:r>
      <w:r>
        <w:t>is</w:t>
      </w:r>
      <w:r>
        <w:rPr>
          <w:spacing w:val="-2"/>
        </w:rPr>
        <w:t xml:space="preserve"> </w:t>
      </w:r>
      <w:r>
        <w:t>the</w:t>
      </w:r>
      <w:r>
        <w:rPr>
          <w:spacing w:val="-1"/>
        </w:rPr>
        <w:t xml:space="preserve"> </w:t>
      </w:r>
      <w:r>
        <w:t>delineation</w:t>
      </w:r>
      <w:r>
        <w:rPr>
          <w:spacing w:val="-3"/>
        </w:rPr>
        <w:t xml:space="preserve"> </w:t>
      </w:r>
      <w:r>
        <w:t>of</w:t>
      </w:r>
      <w:r>
        <w:rPr>
          <w:spacing w:val="-2"/>
        </w:rPr>
        <w:t xml:space="preserve"> </w:t>
      </w:r>
      <w:r>
        <w:t>different</w:t>
      </w:r>
      <w:r>
        <w:rPr>
          <w:spacing w:val="-1"/>
        </w:rPr>
        <w:t xml:space="preserve"> </w:t>
      </w:r>
      <w:r>
        <w:t>kinds</w:t>
      </w:r>
      <w:r>
        <w:rPr>
          <w:spacing w:val="-4"/>
        </w:rPr>
        <w:t xml:space="preserve"> </w:t>
      </w:r>
      <w:r>
        <w:t>of</w:t>
      </w:r>
      <w:r>
        <w:rPr>
          <w:spacing w:val="-2"/>
        </w:rPr>
        <w:t xml:space="preserve"> </w:t>
      </w:r>
      <w:r>
        <w:t>change</w:t>
      </w:r>
      <w:r>
        <w:rPr>
          <w:spacing w:val="-4"/>
        </w:rPr>
        <w:t xml:space="preserve"> </w:t>
      </w:r>
      <w:r>
        <w:t>talk.</w:t>
      </w:r>
      <w:r>
        <w:rPr>
          <w:spacing w:val="-5"/>
        </w:rPr>
        <w:t xml:space="preserve"> </w:t>
      </w:r>
      <w:r>
        <w:t>The</w:t>
      </w:r>
      <w:r>
        <w:rPr>
          <w:spacing w:val="-1"/>
        </w:rPr>
        <w:t xml:space="preserve"> </w:t>
      </w:r>
      <w:r>
        <w:t>acronym</w:t>
      </w:r>
      <w:r>
        <w:rPr>
          <w:spacing w:val="-1"/>
        </w:rPr>
        <w:t xml:space="preserve"> </w:t>
      </w:r>
      <w:r>
        <w:t>for</w:t>
      </w:r>
      <w:r>
        <w:rPr>
          <w:spacing w:val="-2"/>
        </w:rPr>
        <w:t xml:space="preserve"> </w:t>
      </w:r>
      <w:r>
        <w:t>change talk in MI is DARN-CAT (Miller &amp; Rollnick, 2013):</w:t>
      </w:r>
    </w:p>
    <w:p w14:paraId="7F8A89F8" w14:textId="77777777" w:rsidR="00DB6E1F" w:rsidRDefault="00F666A6">
      <w:pPr>
        <w:pStyle w:val="ListParagraph"/>
        <w:numPr>
          <w:ilvl w:val="0"/>
          <w:numId w:val="92"/>
        </w:numPr>
        <w:tabs>
          <w:tab w:val="left" w:pos="1799"/>
          <w:tab w:val="left" w:pos="1800"/>
        </w:tabs>
        <w:spacing w:before="61"/>
        <w:ind w:left="1799" w:right="1773" w:hanging="360"/>
        <w:rPr>
          <w:rFonts w:ascii="Symbol" w:hAnsi="Symbol"/>
        </w:rPr>
      </w:pPr>
      <w:r>
        <w:rPr>
          <w:b/>
          <w:sz w:val="24"/>
        </w:rPr>
        <w:t>D</w:t>
      </w:r>
      <w:r>
        <w:t>esire</w:t>
      </w:r>
      <w:r>
        <w:rPr>
          <w:spacing w:val="-2"/>
        </w:rPr>
        <w:t xml:space="preserve"> </w:t>
      </w:r>
      <w:r>
        <w:t>to</w:t>
      </w:r>
      <w:r>
        <w:rPr>
          <w:spacing w:val="-3"/>
        </w:rPr>
        <w:t xml:space="preserve"> </w:t>
      </w:r>
      <w:r>
        <w:t>change:</w:t>
      </w:r>
      <w:r>
        <w:rPr>
          <w:spacing w:val="-4"/>
        </w:rPr>
        <w:t xml:space="preserve"> </w:t>
      </w:r>
      <w:r>
        <w:t>This</w:t>
      </w:r>
      <w:r>
        <w:rPr>
          <w:spacing w:val="-3"/>
        </w:rPr>
        <w:t xml:space="preserve"> </w:t>
      </w:r>
      <w:r>
        <w:t>is</w:t>
      </w:r>
      <w:r>
        <w:rPr>
          <w:spacing w:val="-4"/>
        </w:rPr>
        <w:t xml:space="preserve"> </w:t>
      </w:r>
      <w:r>
        <w:t>expressed</w:t>
      </w:r>
      <w:r>
        <w:rPr>
          <w:spacing w:val="-3"/>
        </w:rPr>
        <w:t xml:space="preserve"> </w:t>
      </w:r>
      <w:r>
        <w:t>in</w:t>
      </w:r>
      <w:r>
        <w:rPr>
          <w:spacing w:val="-3"/>
        </w:rPr>
        <w:t xml:space="preserve"> </w:t>
      </w:r>
      <w:r>
        <w:t>statements</w:t>
      </w:r>
      <w:r>
        <w:rPr>
          <w:spacing w:val="-3"/>
        </w:rPr>
        <w:t xml:space="preserve"> </w:t>
      </w:r>
      <w:r>
        <w:t>about</w:t>
      </w:r>
      <w:r>
        <w:rPr>
          <w:spacing w:val="-2"/>
        </w:rPr>
        <w:t xml:space="preserve"> </w:t>
      </w:r>
      <w:r>
        <w:t>wanting</w:t>
      </w:r>
      <w:r>
        <w:rPr>
          <w:spacing w:val="-3"/>
        </w:rPr>
        <w:t xml:space="preserve"> </w:t>
      </w:r>
      <w:r>
        <w:t>something</w:t>
      </w:r>
      <w:r>
        <w:rPr>
          <w:spacing w:val="-3"/>
        </w:rPr>
        <w:t xml:space="preserve"> </w:t>
      </w:r>
      <w:r>
        <w:t>different—“I</w:t>
      </w:r>
      <w:r>
        <w:rPr>
          <w:spacing w:val="-5"/>
        </w:rPr>
        <w:t xml:space="preserve"> </w:t>
      </w:r>
      <w:r>
        <w:t>want</w:t>
      </w:r>
      <w:r>
        <w:rPr>
          <w:spacing w:val="-4"/>
        </w:rPr>
        <w:t xml:space="preserve"> </w:t>
      </w:r>
      <w:r>
        <w:t>to find an Alcoholics Anonymous (AA) meeting” or “I hope to start going to AA.”</w:t>
      </w:r>
    </w:p>
    <w:p w14:paraId="00DBFC7D" w14:textId="77777777" w:rsidR="00DB6E1F" w:rsidRDefault="00F666A6">
      <w:pPr>
        <w:pStyle w:val="ListParagraph"/>
        <w:numPr>
          <w:ilvl w:val="0"/>
          <w:numId w:val="92"/>
        </w:numPr>
        <w:tabs>
          <w:tab w:val="left" w:pos="1799"/>
          <w:tab w:val="left" w:pos="1800"/>
        </w:tabs>
        <w:ind w:left="1799" w:right="1560"/>
        <w:rPr>
          <w:rFonts w:ascii="Symbol" w:hAnsi="Symbol"/>
        </w:rPr>
      </w:pPr>
      <w:r>
        <w:rPr>
          <w:b/>
          <w:sz w:val="24"/>
        </w:rPr>
        <w:t>A</w:t>
      </w:r>
      <w:r>
        <w:t>bility</w:t>
      </w:r>
      <w:r>
        <w:rPr>
          <w:spacing w:val="-1"/>
        </w:rPr>
        <w:t xml:space="preserve"> </w:t>
      </w:r>
      <w:r>
        <w:t>to</w:t>
      </w:r>
      <w:r>
        <w:rPr>
          <w:spacing w:val="-3"/>
        </w:rPr>
        <w:t xml:space="preserve"> </w:t>
      </w:r>
      <w:r>
        <w:t>change:</w:t>
      </w:r>
      <w:r>
        <w:rPr>
          <w:spacing w:val="-3"/>
        </w:rPr>
        <w:t xml:space="preserve"> </w:t>
      </w:r>
      <w:r>
        <w:t>This</w:t>
      </w:r>
      <w:r>
        <w:rPr>
          <w:spacing w:val="-2"/>
        </w:rPr>
        <w:t xml:space="preserve"> </w:t>
      </w:r>
      <w:r>
        <w:t>is</w:t>
      </w:r>
      <w:r>
        <w:rPr>
          <w:spacing w:val="-4"/>
        </w:rPr>
        <w:t xml:space="preserve"> </w:t>
      </w:r>
      <w:r>
        <w:t>expressed</w:t>
      </w:r>
      <w:r>
        <w:rPr>
          <w:spacing w:val="-2"/>
        </w:rPr>
        <w:t xml:space="preserve"> </w:t>
      </w:r>
      <w:r>
        <w:t>in</w:t>
      </w:r>
      <w:r>
        <w:rPr>
          <w:spacing w:val="-3"/>
        </w:rPr>
        <w:t xml:space="preserve"> </w:t>
      </w:r>
      <w:r>
        <w:t>statements</w:t>
      </w:r>
      <w:r>
        <w:rPr>
          <w:spacing w:val="-2"/>
        </w:rPr>
        <w:t xml:space="preserve"> </w:t>
      </w:r>
      <w:r>
        <w:t>about</w:t>
      </w:r>
      <w:r>
        <w:rPr>
          <w:spacing w:val="-1"/>
        </w:rPr>
        <w:t xml:space="preserve"> </w:t>
      </w:r>
      <w:r>
        <w:t>self-perception</w:t>
      </w:r>
      <w:r>
        <w:rPr>
          <w:spacing w:val="-5"/>
        </w:rPr>
        <w:t xml:space="preserve"> </w:t>
      </w:r>
      <w:r>
        <w:t>of</w:t>
      </w:r>
      <w:r>
        <w:rPr>
          <w:spacing w:val="-4"/>
        </w:rPr>
        <w:t xml:space="preserve"> </w:t>
      </w:r>
      <w:r>
        <w:t>capability—“I</w:t>
      </w:r>
      <w:r>
        <w:rPr>
          <w:spacing w:val="-5"/>
        </w:rPr>
        <w:t xml:space="preserve"> </w:t>
      </w:r>
      <w:r>
        <w:t>could</w:t>
      </w:r>
      <w:r>
        <w:rPr>
          <w:spacing w:val="-2"/>
        </w:rPr>
        <w:t xml:space="preserve"> </w:t>
      </w:r>
      <w:r>
        <w:t>start going to AA.”</w:t>
      </w:r>
    </w:p>
    <w:p w14:paraId="1271F199" w14:textId="77777777" w:rsidR="00DB6E1F" w:rsidRDefault="00F666A6">
      <w:pPr>
        <w:pStyle w:val="ListParagraph"/>
        <w:numPr>
          <w:ilvl w:val="0"/>
          <w:numId w:val="92"/>
        </w:numPr>
        <w:tabs>
          <w:tab w:val="left" w:pos="1799"/>
          <w:tab w:val="left" w:pos="1800"/>
        </w:tabs>
        <w:ind w:left="1799" w:right="1914"/>
        <w:rPr>
          <w:rFonts w:ascii="Symbol" w:hAnsi="Symbol"/>
        </w:rPr>
      </w:pPr>
      <w:r>
        <w:rPr>
          <w:b/>
          <w:sz w:val="24"/>
        </w:rPr>
        <w:t>R</w:t>
      </w:r>
      <w:r>
        <w:t>easons</w:t>
      </w:r>
      <w:r>
        <w:rPr>
          <w:spacing w:val="-4"/>
        </w:rPr>
        <w:t xml:space="preserve"> </w:t>
      </w:r>
      <w:r>
        <w:t>to</w:t>
      </w:r>
      <w:r>
        <w:rPr>
          <w:spacing w:val="-3"/>
        </w:rPr>
        <w:t xml:space="preserve"> </w:t>
      </w:r>
      <w:r>
        <w:t>change:</w:t>
      </w:r>
      <w:r>
        <w:rPr>
          <w:spacing w:val="-3"/>
        </w:rPr>
        <w:t xml:space="preserve"> </w:t>
      </w:r>
      <w:r>
        <w:t>This</w:t>
      </w:r>
      <w:r>
        <w:rPr>
          <w:spacing w:val="-2"/>
        </w:rPr>
        <w:t xml:space="preserve"> </w:t>
      </w:r>
      <w:r>
        <w:t>is</w:t>
      </w:r>
      <w:r>
        <w:rPr>
          <w:spacing w:val="-4"/>
        </w:rPr>
        <w:t xml:space="preserve"> </w:t>
      </w:r>
      <w:r>
        <w:t>expressed</w:t>
      </w:r>
      <w:r>
        <w:rPr>
          <w:spacing w:val="-2"/>
        </w:rPr>
        <w:t xml:space="preserve"> </w:t>
      </w:r>
      <w:r>
        <w:t>as</w:t>
      </w:r>
      <w:r>
        <w:rPr>
          <w:spacing w:val="-2"/>
        </w:rPr>
        <w:t xml:space="preserve"> </w:t>
      </w:r>
      <w:r>
        <w:t>arguments</w:t>
      </w:r>
      <w:r>
        <w:rPr>
          <w:spacing w:val="-4"/>
        </w:rPr>
        <w:t xml:space="preserve"> </w:t>
      </w:r>
      <w:r>
        <w:t>for</w:t>
      </w:r>
      <w:r>
        <w:rPr>
          <w:spacing w:val="-2"/>
        </w:rPr>
        <w:t xml:space="preserve"> </w:t>
      </w:r>
      <w:r>
        <w:t>change—“I’d</w:t>
      </w:r>
      <w:r>
        <w:rPr>
          <w:spacing w:val="-3"/>
        </w:rPr>
        <w:t xml:space="preserve"> </w:t>
      </w:r>
      <w:r>
        <w:t>probably</w:t>
      </w:r>
      <w:r>
        <w:rPr>
          <w:spacing w:val="-2"/>
        </w:rPr>
        <w:t xml:space="preserve"> </w:t>
      </w:r>
      <w:r>
        <w:t>learn</w:t>
      </w:r>
      <w:r>
        <w:rPr>
          <w:spacing w:val="-3"/>
        </w:rPr>
        <w:t xml:space="preserve"> </w:t>
      </w:r>
      <w:r>
        <w:t>more</w:t>
      </w:r>
      <w:r>
        <w:rPr>
          <w:spacing w:val="-2"/>
        </w:rPr>
        <w:t xml:space="preserve"> </w:t>
      </w:r>
      <w:r>
        <w:t>about recovery if I went to AA” or “Going to AA would help me feel more supported.”</w:t>
      </w:r>
    </w:p>
    <w:p w14:paraId="384E382D" w14:textId="77777777" w:rsidR="00DB6E1F" w:rsidRDefault="00F666A6">
      <w:pPr>
        <w:pStyle w:val="ListParagraph"/>
        <w:numPr>
          <w:ilvl w:val="0"/>
          <w:numId w:val="92"/>
        </w:numPr>
        <w:tabs>
          <w:tab w:val="left" w:pos="1799"/>
          <w:tab w:val="left" w:pos="1800"/>
        </w:tabs>
        <w:ind w:left="1799" w:right="1859"/>
        <w:rPr>
          <w:rFonts w:ascii="Symbol" w:hAnsi="Symbol"/>
        </w:rPr>
      </w:pPr>
      <w:r>
        <w:rPr>
          <w:b/>
          <w:sz w:val="24"/>
        </w:rPr>
        <w:t>N</w:t>
      </w:r>
      <w:r>
        <w:t>eed</w:t>
      </w:r>
      <w:r>
        <w:rPr>
          <w:spacing w:val="-3"/>
        </w:rPr>
        <w:t xml:space="preserve"> </w:t>
      </w:r>
      <w:r>
        <w:t>to</w:t>
      </w:r>
      <w:r>
        <w:rPr>
          <w:spacing w:val="-1"/>
        </w:rPr>
        <w:t xml:space="preserve"> </w:t>
      </w:r>
      <w:r>
        <w:t>change:</w:t>
      </w:r>
      <w:r>
        <w:rPr>
          <w:spacing w:val="-3"/>
        </w:rPr>
        <w:t xml:space="preserve"> </w:t>
      </w:r>
      <w:r>
        <w:t>This</w:t>
      </w:r>
      <w:r>
        <w:rPr>
          <w:spacing w:val="-1"/>
        </w:rPr>
        <w:t xml:space="preserve"> </w:t>
      </w:r>
      <w:r>
        <w:t>is</w:t>
      </w:r>
      <w:r>
        <w:rPr>
          <w:spacing w:val="-4"/>
        </w:rPr>
        <w:t xml:space="preserve"> </w:t>
      </w:r>
      <w:r>
        <w:t>expressed</w:t>
      </w:r>
      <w:r>
        <w:rPr>
          <w:spacing w:val="-3"/>
        </w:rPr>
        <w:t xml:space="preserve"> </w:t>
      </w:r>
      <w:r>
        <w:t>in</w:t>
      </w:r>
      <w:r>
        <w:rPr>
          <w:spacing w:val="-5"/>
        </w:rPr>
        <w:t xml:space="preserve"> </w:t>
      </w:r>
      <w:r>
        <w:t>client</w:t>
      </w:r>
      <w:r>
        <w:rPr>
          <w:spacing w:val="-1"/>
        </w:rPr>
        <w:t xml:space="preserve"> </w:t>
      </w:r>
      <w:r>
        <w:t>statements</w:t>
      </w:r>
      <w:r>
        <w:rPr>
          <w:spacing w:val="-4"/>
        </w:rPr>
        <w:t xml:space="preserve"> </w:t>
      </w:r>
      <w:r>
        <w:t>about</w:t>
      </w:r>
      <w:r>
        <w:rPr>
          <w:spacing w:val="-1"/>
        </w:rPr>
        <w:t xml:space="preserve"> </w:t>
      </w:r>
      <w:r>
        <w:t>importance</w:t>
      </w:r>
      <w:r>
        <w:rPr>
          <w:spacing w:val="-4"/>
        </w:rPr>
        <w:t xml:space="preserve"> </w:t>
      </w:r>
      <w:r>
        <w:t>or</w:t>
      </w:r>
      <w:r>
        <w:rPr>
          <w:spacing w:val="-2"/>
        </w:rPr>
        <w:t xml:space="preserve"> </w:t>
      </w:r>
      <w:r>
        <w:t>urgency—“I</w:t>
      </w:r>
      <w:r>
        <w:rPr>
          <w:spacing w:val="-5"/>
        </w:rPr>
        <w:t xml:space="preserve"> </w:t>
      </w:r>
      <w:r>
        <w:t>have</w:t>
      </w:r>
      <w:r>
        <w:rPr>
          <w:spacing w:val="-4"/>
        </w:rPr>
        <w:t xml:space="preserve"> </w:t>
      </w:r>
      <w:r>
        <w:t>to stop drinking” or “I need to find a way to get my drinking under control.”</w:t>
      </w:r>
    </w:p>
    <w:p w14:paraId="2BCDE12A" w14:textId="77777777" w:rsidR="00DB6E1F" w:rsidRDefault="00F666A6">
      <w:pPr>
        <w:pStyle w:val="ListParagraph"/>
        <w:numPr>
          <w:ilvl w:val="0"/>
          <w:numId w:val="92"/>
        </w:numPr>
        <w:tabs>
          <w:tab w:val="left" w:pos="1799"/>
          <w:tab w:val="left" w:pos="1800"/>
        </w:tabs>
        <w:ind w:left="1799" w:right="1884"/>
        <w:rPr>
          <w:rFonts w:ascii="Symbol" w:hAnsi="Symbol"/>
        </w:rPr>
      </w:pPr>
      <w:r>
        <w:rPr>
          <w:b/>
          <w:sz w:val="24"/>
        </w:rPr>
        <w:t>C</w:t>
      </w:r>
      <w:r>
        <w:t>om</w:t>
      </w:r>
      <w:r>
        <w:t>mitment:</w:t>
      </w:r>
      <w:r>
        <w:rPr>
          <w:spacing w:val="-3"/>
        </w:rPr>
        <w:t xml:space="preserve"> </w:t>
      </w:r>
      <w:r>
        <w:t>This</w:t>
      </w:r>
      <w:r>
        <w:rPr>
          <w:spacing w:val="-2"/>
        </w:rPr>
        <w:t xml:space="preserve"> </w:t>
      </w:r>
      <w:r>
        <w:t>is</w:t>
      </w:r>
      <w:r>
        <w:rPr>
          <w:spacing w:val="-4"/>
        </w:rPr>
        <w:t xml:space="preserve"> </w:t>
      </w:r>
      <w:r>
        <w:t>expressed</w:t>
      </w:r>
      <w:r>
        <w:rPr>
          <w:spacing w:val="-2"/>
        </w:rPr>
        <w:t xml:space="preserve"> </w:t>
      </w:r>
      <w:r>
        <w:t>as</w:t>
      </w:r>
      <w:r>
        <w:rPr>
          <w:spacing w:val="-2"/>
        </w:rPr>
        <w:t xml:space="preserve"> </w:t>
      </w:r>
      <w:r>
        <w:t>a</w:t>
      </w:r>
      <w:r>
        <w:rPr>
          <w:spacing w:val="-5"/>
        </w:rPr>
        <w:t xml:space="preserve"> </w:t>
      </w:r>
      <w:r>
        <w:t>promise</w:t>
      </w:r>
      <w:r>
        <w:rPr>
          <w:spacing w:val="-4"/>
        </w:rPr>
        <w:t xml:space="preserve"> </w:t>
      </w:r>
      <w:r>
        <w:t>to</w:t>
      </w:r>
      <w:r>
        <w:rPr>
          <w:spacing w:val="-1"/>
        </w:rPr>
        <w:t xml:space="preserve"> </w:t>
      </w:r>
      <w:r>
        <w:t>change—“I</w:t>
      </w:r>
      <w:r>
        <w:rPr>
          <w:spacing w:val="-2"/>
        </w:rPr>
        <w:t xml:space="preserve"> </w:t>
      </w:r>
      <w:r>
        <w:t>swear</w:t>
      </w:r>
      <w:r>
        <w:rPr>
          <w:spacing w:val="-4"/>
        </w:rPr>
        <w:t xml:space="preserve"> </w:t>
      </w:r>
      <w:r>
        <w:t>I</w:t>
      </w:r>
      <w:r>
        <w:rPr>
          <w:spacing w:val="-2"/>
        </w:rPr>
        <w:t xml:space="preserve"> </w:t>
      </w:r>
      <w:r>
        <w:t>will</w:t>
      </w:r>
      <w:r>
        <w:rPr>
          <w:spacing w:val="-1"/>
        </w:rPr>
        <w:t xml:space="preserve"> </w:t>
      </w:r>
      <w:r>
        <w:t>go to</w:t>
      </w:r>
      <w:r>
        <w:rPr>
          <w:spacing w:val="-3"/>
        </w:rPr>
        <w:t xml:space="preserve"> </w:t>
      </w:r>
      <w:r>
        <w:t>an</w:t>
      </w:r>
      <w:r>
        <w:rPr>
          <w:spacing w:val="-5"/>
        </w:rPr>
        <w:t xml:space="preserve"> </w:t>
      </w:r>
      <w:r>
        <w:t>AA</w:t>
      </w:r>
      <w:r>
        <w:rPr>
          <w:spacing w:val="-2"/>
        </w:rPr>
        <w:t xml:space="preserve"> </w:t>
      </w:r>
      <w:r>
        <w:t>meeting</w:t>
      </w:r>
      <w:r>
        <w:rPr>
          <w:spacing w:val="-2"/>
        </w:rPr>
        <w:t xml:space="preserve"> </w:t>
      </w:r>
      <w:r>
        <w:t>this year” or “I guarantee that I will start AA by next month.”</w:t>
      </w:r>
    </w:p>
    <w:p w14:paraId="1443DD14" w14:textId="77777777" w:rsidR="00DB6E1F" w:rsidRDefault="00F666A6">
      <w:pPr>
        <w:pStyle w:val="ListParagraph"/>
        <w:numPr>
          <w:ilvl w:val="0"/>
          <w:numId w:val="92"/>
        </w:numPr>
        <w:tabs>
          <w:tab w:val="left" w:pos="1799"/>
          <w:tab w:val="left" w:pos="1800"/>
        </w:tabs>
        <w:ind w:left="1799" w:right="1632"/>
        <w:rPr>
          <w:rFonts w:ascii="Symbol" w:hAnsi="Symbol"/>
        </w:rPr>
      </w:pPr>
      <w:r>
        <w:rPr>
          <w:b/>
          <w:sz w:val="24"/>
        </w:rPr>
        <w:t>A</w:t>
      </w:r>
      <w:r>
        <w:t>ctivation:</w:t>
      </w:r>
      <w:r>
        <w:rPr>
          <w:spacing w:val="-2"/>
        </w:rPr>
        <w:t xml:space="preserve"> </w:t>
      </w:r>
      <w:r>
        <w:t>This</w:t>
      </w:r>
      <w:r>
        <w:rPr>
          <w:spacing w:val="-5"/>
        </w:rPr>
        <w:t xml:space="preserve"> </w:t>
      </w:r>
      <w:r>
        <w:t>is</w:t>
      </w:r>
      <w:r>
        <w:rPr>
          <w:spacing w:val="-2"/>
        </w:rPr>
        <w:t xml:space="preserve"> </w:t>
      </w:r>
      <w:r>
        <w:t>expressed</w:t>
      </w:r>
      <w:r>
        <w:rPr>
          <w:spacing w:val="-3"/>
        </w:rPr>
        <w:t xml:space="preserve"> </w:t>
      </w:r>
      <w:r>
        <w:t>in</w:t>
      </w:r>
      <w:r>
        <w:rPr>
          <w:spacing w:val="-4"/>
        </w:rPr>
        <w:t xml:space="preserve"> </w:t>
      </w:r>
      <w:r>
        <w:t>statements</w:t>
      </w:r>
      <w:r>
        <w:rPr>
          <w:spacing w:val="-3"/>
        </w:rPr>
        <w:t xml:space="preserve"> </w:t>
      </w:r>
      <w:r>
        <w:t>showing</w:t>
      </w:r>
      <w:r>
        <w:rPr>
          <w:spacing w:val="-6"/>
        </w:rPr>
        <w:t xml:space="preserve"> </w:t>
      </w:r>
      <w:r>
        <w:t>movement</w:t>
      </w:r>
      <w:r>
        <w:rPr>
          <w:spacing w:val="-2"/>
        </w:rPr>
        <w:t xml:space="preserve"> </w:t>
      </w:r>
      <w:r>
        <w:t>toward</w:t>
      </w:r>
      <w:r>
        <w:rPr>
          <w:spacing w:val="-4"/>
        </w:rPr>
        <w:t xml:space="preserve"> </w:t>
      </w:r>
      <w:r>
        <w:t>action—“I’m</w:t>
      </w:r>
      <w:r>
        <w:rPr>
          <w:spacing w:val="-2"/>
        </w:rPr>
        <w:t xml:space="preserve"> </w:t>
      </w:r>
      <w:r>
        <w:t>ready</w:t>
      </w:r>
      <w:r>
        <w:rPr>
          <w:spacing w:val="-5"/>
        </w:rPr>
        <w:t xml:space="preserve"> </w:t>
      </w:r>
      <w:r>
        <w:t>to</w:t>
      </w:r>
      <w:r>
        <w:rPr>
          <w:spacing w:val="-4"/>
        </w:rPr>
        <w:t xml:space="preserve"> </w:t>
      </w:r>
      <w:r>
        <w:t>go</w:t>
      </w:r>
      <w:r>
        <w:rPr>
          <w:spacing w:val="-4"/>
        </w:rPr>
        <w:t xml:space="preserve"> </w:t>
      </w:r>
      <w:r>
        <w:t>to my first AA meeting.”</w:t>
      </w:r>
    </w:p>
    <w:p w14:paraId="0A85136C" w14:textId="77777777" w:rsidR="00DB6E1F" w:rsidRDefault="00F666A6">
      <w:pPr>
        <w:pStyle w:val="ListParagraph"/>
        <w:numPr>
          <w:ilvl w:val="0"/>
          <w:numId w:val="92"/>
        </w:numPr>
        <w:tabs>
          <w:tab w:val="left" w:pos="1799"/>
          <w:tab w:val="left" w:pos="1800"/>
        </w:tabs>
        <w:ind w:left="1799" w:right="1635" w:hanging="360"/>
        <w:rPr>
          <w:rFonts w:ascii="Symbol" w:hAnsi="Symbol"/>
        </w:rPr>
      </w:pPr>
      <w:r>
        <w:rPr>
          <w:b/>
          <w:sz w:val="24"/>
        </w:rPr>
        <w:t>T</w:t>
      </w:r>
      <w:r>
        <w:t>aking</w:t>
      </w:r>
      <w:r>
        <w:rPr>
          <w:spacing w:val="-3"/>
        </w:rPr>
        <w:t xml:space="preserve"> </w:t>
      </w:r>
      <w:r>
        <w:t>steps:</w:t>
      </w:r>
      <w:r>
        <w:rPr>
          <w:spacing w:val="-3"/>
        </w:rPr>
        <w:t xml:space="preserve"> </w:t>
      </w:r>
      <w:r>
        <w:t>This</w:t>
      </w:r>
      <w:r>
        <w:rPr>
          <w:spacing w:val="-2"/>
        </w:rPr>
        <w:t xml:space="preserve"> </w:t>
      </w:r>
      <w:r>
        <w:t>is</w:t>
      </w:r>
      <w:r>
        <w:rPr>
          <w:spacing w:val="-4"/>
        </w:rPr>
        <w:t xml:space="preserve"> </w:t>
      </w:r>
      <w:r>
        <w:t>expressed</w:t>
      </w:r>
      <w:r>
        <w:rPr>
          <w:spacing w:val="-2"/>
        </w:rPr>
        <w:t xml:space="preserve"> </w:t>
      </w:r>
      <w:r>
        <w:t>in</w:t>
      </w:r>
      <w:r>
        <w:rPr>
          <w:spacing w:val="-3"/>
        </w:rPr>
        <w:t xml:space="preserve"> </w:t>
      </w:r>
      <w:r>
        <w:t>statements</w:t>
      </w:r>
      <w:r>
        <w:rPr>
          <w:spacing w:val="-4"/>
        </w:rPr>
        <w:t xml:space="preserve"> </w:t>
      </w:r>
      <w:r>
        <w:t>indicating</w:t>
      </w:r>
      <w:r>
        <w:rPr>
          <w:spacing w:val="-3"/>
        </w:rPr>
        <w:t xml:space="preserve"> </w:t>
      </w:r>
      <w:r>
        <w:t>that</w:t>
      </w:r>
      <w:r>
        <w:rPr>
          <w:spacing w:val="-1"/>
        </w:rPr>
        <w:t xml:space="preserve"> </w:t>
      </w:r>
      <w:r>
        <w:t>the</w:t>
      </w:r>
      <w:r>
        <w:rPr>
          <w:spacing w:val="-4"/>
        </w:rPr>
        <w:t xml:space="preserve"> </w:t>
      </w:r>
      <w:r>
        <w:t>client</w:t>
      </w:r>
      <w:r>
        <w:rPr>
          <w:spacing w:val="-3"/>
        </w:rPr>
        <w:t xml:space="preserve"> </w:t>
      </w:r>
      <w:r>
        <w:t>has</w:t>
      </w:r>
      <w:r>
        <w:rPr>
          <w:spacing w:val="-2"/>
        </w:rPr>
        <w:t xml:space="preserve"> </w:t>
      </w:r>
      <w:r>
        <w:t>already</w:t>
      </w:r>
      <w:r>
        <w:rPr>
          <w:spacing w:val="-1"/>
        </w:rPr>
        <w:t xml:space="preserve"> </w:t>
      </w:r>
      <w:r>
        <w:t>done</w:t>
      </w:r>
      <w:r>
        <w:rPr>
          <w:spacing w:val="-4"/>
        </w:rPr>
        <w:t xml:space="preserve"> </w:t>
      </w:r>
      <w:r>
        <w:t>something to change—“I went to an AA meeting” or “I avoided a party where friends would be doing drugs.”</w:t>
      </w:r>
    </w:p>
    <w:p w14:paraId="2E46D0D4" w14:textId="77777777" w:rsidR="00DB6E1F" w:rsidRDefault="00F666A6">
      <w:pPr>
        <w:pStyle w:val="BodyText"/>
        <w:spacing w:before="159"/>
        <w:ind w:left="1439"/>
      </w:pPr>
      <w:r>
        <w:t>Exhibit</w:t>
      </w:r>
      <w:r>
        <w:rPr>
          <w:spacing w:val="-7"/>
        </w:rPr>
        <w:t xml:space="preserve"> </w:t>
      </w:r>
      <w:r>
        <w:t>3.3</w:t>
      </w:r>
      <w:r>
        <w:rPr>
          <w:spacing w:val="-3"/>
        </w:rPr>
        <w:t xml:space="preserve"> </w:t>
      </w:r>
      <w:r>
        <w:t>depicts</w:t>
      </w:r>
      <w:r>
        <w:rPr>
          <w:spacing w:val="-5"/>
        </w:rPr>
        <w:t xml:space="preserve"> </w:t>
      </w:r>
      <w:r>
        <w:t>examples</w:t>
      </w:r>
      <w:r>
        <w:rPr>
          <w:spacing w:val="-4"/>
        </w:rPr>
        <w:t xml:space="preserve"> </w:t>
      </w:r>
      <w:r>
        <w:t>of</w:t>
      </w:r>
      <w:r>
        <w:rPr>
          <w:spacing w:val="-6"/>
        </w:rPr>
        <w:t xml:space="preserve"> </w:t>
      </w:r>
      <w:r>
        <w:t>change</w:t>
      </w:r>
      <w:r>
        <w:rPr>
          <w:spacing w:val="-3"/>
        </w:rPr>
        <w:t xml:space="preserve"> </w:t>
      </w:r>
      <w:r>
        <w:t>talk</w:t>
      </w:r>
      <w:r>
        <w:rPr>
          <w:spacing w:val="-4"/>
        </w:rPr>
        <w:t xml:space="preserve"> </w:t>
      </w:r>
      <w:r>
        <w:t>and</w:t>
      </w:r>
      <w:r>
        <w:rPr>
          <w:spacing w:val="-5"/>
        </w:rPr>
        <w:t xml:space="preserve"> </w:t>
      </w:r>
      <w:r>
        <w:t>sustain</w:t>
      </w:r>
      <w:r>
        <w:rPr>
          <w:spacing w:val="-5"/>
        </w:rPr>
        <w:t xml:space="preserve"> </w:t>
      </w:r>
      <w:r>
        <w:t>talk</w:t>
      </w:r>
      <w:r>
        <w:rPr>
          <w:spacing w:val="-4"/>
        </w:rPr>
        <w:t xml:space="preserve"> </w:t>
      </w:r>
      <w:r>
        <w:t>that</w:t>
      </w:r>
      <w:r>
        <w:rPr>
          <w:spacing w:val="-3"/>
        </w:rPr>
        <w:t xml:space="preserve"> </w:t>
      </w:r>
      <w:r>
        <w:t>correspond</w:t>
      </w:r>
      <w:r>
        <w:rPr>
          <w:spacing w:val="-5"/>
        </w:rPr>
        <w:t xml:space="preserve"> </w:t>
      </w:r>
      <w:r>
        <w:t>to</w:t>
      </w:r>
      <w:r>
        <w:rPr>
          <w:spacing w:val="-5"/>
        </w:rPr>
        <w:t xml:space="preserve"> </w:t>
      </w:r>
      <w:r>
        <w:t>DARN-</w:t>
      </w:r>
      <w:r>
        <w:rPr>
          <w:spacing w:val="-4"/>
        </w:rPr>
        <w:t>CAT.</w:t>
      </w:r>
    </w:p>
    <w:p w14:paraId="6DC63080" w14:textId="77777777" w:rsidR="00DB6E1F" w:rsidRDefault="00DB6E1F">
      <w:pPr>
        <w:pStyle w:val="BodyText"/>
        <w:spacing w:before="10"/>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3600"/>
        <w:gridCol w:w="3775"/>
      </w:tblGrid>
      <w:tr w:rsidR="00DB6E1F" w14:paraId="0D791F6C" w14:textId="77777777">
        <w:trPr>
          <w:trHeight w:val="518"/>
        </w:trPr>
        <w:tc>
          <w:tcPr>
            <w:tcW w:w="9350" w:type="dxa"/>
            <w:gridSpan w:val="3"/>
            <w:tcBorders>
              <w:top w:val="nil"/>
              <w:left w:val="nil"/>
              <w:bottom w:val="nil"/>
              <w:right w:val="nil"/>
            </w:tcBorders>
            <w:shd w:val="clear" w:color="auto" w:fill="000000"/>
          </w:tcPr>
          <w:p w14:paraId="673F9662" w14:textId="77777777" w:rsidR="00DB6E1F" w:rsidRDefault="00F666A6">
            <w:pPr>
              <w:pStyle w:val="TableParagraph"/>
              <w:spacing w:before="112"/>
              <w:ind w:left="215"/>
              <w:rPr>
                <w:sz w:val="24"/>
              </w:rPr>
            </w:pPr>
            <w:r>
              <w:rPr>
                <w:color w:val="FFFFFF"/>
                <w:sz w:val="24"/>
              </w:rPr>
              <w:t>Exhibit</w:t>
            </w:r>
            <w:r>
              <w:rPr>
                <w:color w:val="FFFFFF"/>
                <w:spacing w:val="-4"/>
                <w:sz w:val="24"/>
              </w:rPr>
              <w:t xml:space="preserve"> </w:t>
            </w:r>
            <w:r>
              <w:rPr>
                <w:color w:val="FFFFFF"/>
                <w:sz w:val="24"/>
              </w:rPr>
              <w:t>3.3.</w:t>
            </w:r>
            <w:r>
              <w:rPr>
                <w:color w:val="FFFFFF"/>
                <w:spacing w:val="-1"/>
                <w:sz w:val="24"/>
              </w:rPr>
              <w:t xml:space="preserve"> </w:t>
            </w:r>
            <w:r>
              <w:rPr>
                <w:color w:val="FFFFFF"/>
                <w:sz w:val="24"/>
              </w:rPr>
              <w:t>Examples</w:t>
            </w:r>
            <w:r>
              <w:rPr>
                <w:color w:val="FFFFFF"/>
                <w:spacing w:val="-3"/>
                <w:sz w:val="24"/>
              </w:rPr>
              <w:t xml:space="preserve"> </w:t>
            </w:r>
            <w:r>
              <w:rPr>
                <w:color w:val="FFFFFF"/>
                <w:sz w:val="24"/>
              </w:rPr>
              <w:t>of</w:t>
            </w:r>
            <w:r>
              <w:rPr>
                <w:color w:val="FFFFFF"/>
                <w:spacing w:val="-1"/>
                <w:sz w:val="24"/>
              </w:rPr>
              <w:t xml:space="preserve"> </w:t>
            </w:r>
            <w:r>
              <w:rPr>
                <w:color w:val="FFFFFF"/>
                <w:sz w:val="24"/>
              </w:rPr>
              <w:t>Change</w:t>
            </w:r>
            <w:r>
              <w:rPr>
                <w:color w:val="FFFFFF"/>
                <w:spacing w:val="-2"/>
                <w:sz w:val="24"/>
              </w:rPr>
              <w:t xml:space="preserve"> </w:t>
            </w:r>
            <w:r>
              <w:rPr>
                <w:color w:val="FFFFFF"/>
                <w:sz w:val="24"/>
              </w:rPr>
              <w:t>Talk</w:t>
            </w:r>
            <w:r>
              <w:rPr>
                <w:color w:val="FFFFFF"/>
                <w:spacing w:val="-2"/>
                <w:sz w:val="24"/>
              </w:rPr>
              <w:t xml:space="preserve"> </w:t>
            </w:r>
            <w:r>
              <w:rPr>
                <w:color w:val="FFFFFF"/>
                <w:sz w:val="24"/>
              </w:rPr>
              <w:t>and</w:t>
            </w:r>
            <w:r>
              <w:rPr>
                <w:color w:val="FFFFFF"/>
                <w:spacing w:val="1"/>
                <w:sz w:val="24"/>
              </w:rPr>
              <w:t xml:space="preserve"> </w:t>
            </w:r>
            <w:r>
              <w:rPr>
                <w:color w:val="FFFFFF"/>
                <w:sz w:val="24"/>
              </w:rPr>
              <w:t>Sustain</w:t>
            </w:r>
            <w:r>
              <w:rPr>
                <w:color w:val="FFFFFF"/>
                <w:spacing w:val="-3"/>
                <w:sz w:val="24"/>
              </w:rPr>
              <w:t xml:space="preserve"> </w:t>
            </w:r>
            <w:r>
              <w:rPr>
                <w:color w:val="FFFFFF"/>
                <w:spacing w:val="-4"/>
                <w:sz w:val="24"/>
              </w:rPr>
              <w:t>Talk</w:t>
            </w:r>
          </w:p>
        </w:tc>
      </w:tr>
      <w:tr w:rsidR="00DB6E1F" w14:paraId="59D1EEE6" w14:textId="77777777">
        <w:trPr>
          <w:trHeight w:val="359"/>
        </w:trPr>
        <w:tc>
          <w:tcPr>
            <w:tcW w:w="1975" w:type="dxa"/>
          </w:tcPr>
          <w:p w14:paraId="7AB72256" w14:textId="77777777" w:rsidR="00DB6E1F" w:rsidRDefault="00F666A6">
            <w:pPr>
              <w:pStyle w:val="TableParagraph"/>
              <w:spacing w:before="0" w:line="241" w:lineRule="exact"/>
              <w:rPr>
                <w:sz w:val="20"/>
              </w:rPr>
            </w:pPr>
            <w:r>
              <w:rPr>
                <w:sz w:val="20"/>
              </w:rPr>
              <w:t>Type</w:t>
            </w:r>
            <w:r>
              <w:rPr>
                <w:spacing w:val="-5"/>
                <w:sz w:val="20"/>
              </w:rPr>
              <w:t xml:space="preserve"> </w:t>
            </w:r>
            <w:r>
              <w:rPr>
                <w:sz w:val="20"/>
              </w:rPr>
              <w:t>of</w:t>
            </w:r>
            <w:r>
              <w:rPr>
                <w:spacing w:val="-5"/>
                <w:sz w:val="20"/>
              </w:rPr>
              <w:t xml:space="preserve"> </w:t>
            </w:r>
            <w:r>
              <w:rPr>
                <w:spacing w:val="-2"/>
                <w:sz w:val="20"/>
              </w:rPr>
              <w:t>Statement</w:t>
            </w:r>
          </w:p>
        </w:tc>
        <w:tc>
          <w:tcPr>
            <w:tcW w:w="3600" w:type="dxa"/>
          </w:tcPr>
          <w:p w14:paraId="5EAD2E9B" w14:textId="77777777" w:rsidR="00DB6E1F" w:rsidRDefault="00F666A6">
            <w:pPr>
              <w:pStyle w:val="TableParagraph"/>
              <w:spacing w:before="0" w:line="241" w:lineRule="exact"/>
              <w:ind w:left="108"/>
              <w:rPr>
                <w:sz w:val="20"/>
              </w:rPr>
            </w:pPr>
            <w:r>
              <w:rPr>
                <w:sz w:val="20"/>
              </w:rPr>
              <w:t>Examples</w:t>
            </w:r>
            <w:r>
              <w:rPr>
                <w:spacing w:val="-8"/>
                <w:sz w:val="20"/>
              </w:rPr>
              <w:t xml:space="preserve"> </w:t>
            </w:r>
            <w:r>
              <w:rPr>
                <w:sz w:val="20"/>
              </w:rPr>
              <w:t>of</w:t>
            </w:r>
            <w:r>
              <w:rPr>
                <w:spacing w:val="-5"/>
                <w:sz w:val="20"/>
              </w:rPr>
              <w:t xml:space="preserve"> </w:t>
            </w:r>
            <w:r>
              <w:rPr>
                <w:sz w:val="20"/>
              </w:rPr>
              <w:t>Change</w:t>
            </w:r>
            <w:r>
              <w:rPr>
                <w:spacing w:val="-7"/>
                <w:sz w:val="20"/>
              </w:rPr>
              <w:t xml:space="preserve"> </w:t>
            </w:r>
            <w:r>
              <w:rPr>
                <w:spacing w:val="-4"/>
                <w:sz w:val="20"/>
              </w:rPr>
              <w:t>Talk</w:t>
            </w:r>
          </w:p>
        </w:tc>
        <w:tc>
          <w:tcPr>
            <w:tcW w:w="3775" w:type="dxa"/>
          </w:tcPr>
          <w:p w14:paraId="34E1E9C5" w14:textId="77777777" w:rsidR="00DB6E1F" w:rsidRDefault="00F666A6">
            <w:pPr>
              <w:pStyle w:val="TableParagraph"/>
              <w:spacing w:before="0" w:line="241" w:lineRule="exact"/>
              <w:rPr>
                <w:sz w:val="20"/>
              </w:rPr>
            </w:pPr>
            <w:r>
              <w:rPr>
                <w:sz w:val="20"/>
              </w:rPr>
              <w:t>Examples</w:t>
            </w:r>
            <w:r>
              <w:rPr>
                <w:spacing w:val="-8"/>
                <w:sz w:val="20"/>
              </w:rPr>
              <w:t xml:space="preserve"> </w:t>
            </w:r>
            <w:r>
              <w:rPr>
                <w:sz w:val="20"/>
              </w:rPr>
              <w:t>of</w:t>
            </w:r>
            <w:r>
              <w:rPr>
                <w:spacing w:val="-7"/>
                <w:sz w:val="20"/>
              </w:rPr>
              <w:t xml:space="preserve"> </w:t>
            </w:r>
            <w:r>
              <w:rPr>
                <w:sz w:val="20"/>
              </w:rPr>
              <w:t>Sustain</w:t>
            </w:r>
            <w:r>
              <w:rPr>
                <w:spacing w:val="-6"/>
                <w:sz w:val="20"/>
              </w:rPr>
              <w:t xml:space="preserve"> </w:t>
            </w:r>
            <w:r>
              <w:rPr>
                <w:spacing w:val="-4"/>
                <w:sz w:val="20"/>
              </w:rPr>
              <w:t>Talk</w:t>
            </w:r>
          </w:p>
        </w:tc>
      </w:tr>
      <w:tr w:rsidR="00DB6E1F" w14:paraId="073E4CB5" w14:textId="77777777">
        <w:trPr>
          <w:trHeight w:val="364"/>
        </w:trPr>
        <w:tc>
          <w:tcPr>
            <w:tcW w:w="1975" w:type="dxa"/>
          </w:tcPr>
          <w:p w14:paraId="65C6E091" w14:textId="77777777" w:rsidR="00DB6E1F" w:rsidRDefault="00F666A6">
            <w:pPr>
              <w:pStyle w:val="TableParagraph"/>
              <w:rPr>
                <w:sz w:val="20"/>
              </w:rPr>
            </w:pPr>
            <w:r>
              <w:rPr>
                <w:spacing w:val="-2"/>
                <w:sz w:val="20"/>
              </w:rPr>
              <w:t>Desire</w:t>
            </w:r>
          </w:p>
        </w:tc>
        <w:tc>
          <w:tcPr>
            <w:tcW w:w="3600" w:type="dxa"/>
          </w:tcPr>
          <w:p w14:paraId="19A213EA" w14:textId="77777777" w:rsidR="00DB6E1F" w:rsidRDefault="00F666A6">
            <w:pPr>
              <w:pStyle w:val="TableParagraph"/>
              <w:ind w:left="108"/>
              <w:rPr>
                <w:sz w:val="20"/>
              </w:rPr>
            </w:pPr>
            <w:r>
              <w:rPr>
                <w:sz w:val="20"/>
              </w:rPr>
              <w:t>“I</w:t>
            </w:r>
            <w:r>
              <w:rPr>
                <w:spacing w:val="-4"/>
                <w:sz w:val="20"/>
              </w:rPr>
              <w:t xml:space="preserve"> </w:t>
            </w:r>
            <w:r>
              <w:rPr>
                <w:sz w:val="20"/>
              </w:rPr>
              <w:t>want</w:t>
            </w:r>
            <w:r>
              <w:rPr>
                <w:spacing w:val="-3"/>
                <w:sz w:val="20"/>
              </w:rPr>
              <w:t xml:space="preserve"> </w:t>
            </w:r>
            <w:r>
              <w:rPr>
                <w:sz w:val="20"/>
              </w:rPr>
              <w:t>to</w:t>
            </w:r>
            <w:r>
              <w:rPr>
                <w:spacing w:val="-3"/>
                <w:sz w:val="20"/>
              </w:rPr>
              <w:t xml:space="preserve"> </w:t>
            </w:r>
            <w:r>
              <w:rPr>
                <w:sz w:val="20"/>
              </w:rPr>
              <w:t>cut</w:t>
            </w:r>
            <w:r>
              <w:rPr>
                <w:spacing w:val="-2"/>
                <w:sz w:val="20"/>
              </w:rPr>
              <w:t xml:space="preserve"> </w:t>
            </w:r>
            <w:r>
              <w:rPr>
                <w:sz w:val="20"/>
              </w:rPr>
              <w:t>down</w:t>
            </w:r>
            <w:r>
              <w:rPr>
                <w:spacing w:val="-2"/>
                <w:sz w:val="20"/>
              </w:rPr>
              <w:t xml:space="preserve"> </w:t>
            </w:r>
            <w:r>
              <w:rPr>
                <w:sz w:val="20"/>
              </w:rPr>
              <w:t>on</w:t>
            </w:r>
            <w:r>
              <w:rPr>
                <w:spacing w:val="-2"/>
                <w:sz w:val="20"/>
              </w:rPr>
              <w:t xml:space="preserve"> </w:t>
            </w:r>
            <w:r>
              <w:rPr>
                <w:sz w:val="20"/>
              </w:rPr>
              <w:t>my</w:t>
            </w:r>
            <w:r>
              <w:rPr>
                <w:spacing w:val="-2"/>
                <w:sz w:val="20"/>
              </w:rPr>
              <w:t xml:space="preserve"> drinking.”</w:t>
            </w:r>
          </w:p>
        </w:tc>
        <w:tc>
          <w:tcPr>
            <w:tcW w:w="3775" w:type="dxa"/>
          </w:tcPr>
          <w:p w14:paraId="79E2A76F" w14:textId="77777777" w:rsidR="00DB6E1F" w:rsidRDefault="00F666A6">
            <w:pPr>
              <w:pStyle w:val="TableParagraph"/>
              <w:rPr>
                <w:sz w:val="20"/>
              </w:rPr>
            </w:pPr>
            <w:r>
              <w:rPr>
                <w:sz w:val="20"/>
              </w:rPr>
              <w:t>“I</w:t>
            </w:r>
            <w:r>
              <w:rPr>
                <w:spacing w:val="-5"/>
                <w:sz w:val="20"/>
              </w:rPr>
              <w:t xml:space="preserve"> </w:t>
            </w:r>
            <w:r>
              <w:rPr>
                <w:sz w:val="20"/>
              </w:rPr>
              <w:t>love</w:t>
            </w:r>
            <w:r>
              <w:rPr>
                <w:spacing w:val="-5"/>
                <w:sz w:val="20"/>
              </w:rPr>
              <w:t xml:space="preserve"> </w:t>
            </w:r>
            <w:r>
              <w:rPr>
                <w:sz w:val="20"/>
              </w:rPr>
              <w:t>how</w:t>
            </w:r>
            <w:r>
              <w:rPr>
                <w:spacing w:val="-4"/>
                <w:sz w:val="20"/>
              </w:rPr>
              <w:t xml:space="preserve"> </w:t>
            </w:r>
            <w:r>
              <w:rPr>
                <w:sz w:val="20"/>
              </w:rPr>
              <w:t>cocaine</w:t>
            </w:r>
            <w:r>
              <w:rPr>
                <w:spacing w:val="-5"/>
                <w:sz w:val="20"/>
              </w:rPr>
              <w:t xml:space="preserve"> </w:t>
            </w:r>
            <w:r>
              <w:rPr>
                <w:sz w:val="20"/>
              </w:rPr>
              <w:t>makes</w:t>
            </w:r>
            <w:r>
              <w:rPr>
                <w:spacing w:val="-5"/>
                <w:sz w:val="20"/>
              </w:rPr>
              <w:t xml:space="preserve"> </w:t>
            </w:r>
            <w:r>
              <w:rPr>
                <w:sz w:val="20"/>
              </w:rPr>
              <w:t>me</w:t>
            </w:r>
            <w:r>
              <w:rPr>
                <w:spacing w:val="-5"/>
                <w:sz w:val="20"/>
              </w:rPr>
              <w:t xml:space="preserve"> </w:t>
            </w:r>
            <w:r>
              <w:rPr>
                <w:spacing w:val="-2"/>
                <w:sz w:val="20"/>
              </w:rPr>
              <w:t>feel.”</w:t>
            </w:r>
          </w:p>
        </w:tc>
      </w:tr>
      <w:tr w:rsidR="00DB6E1F" w14:paraId="6EDF6998" w14:textId="77777777">
        <w:trPr>
          <w:trHeight w:val="609"/>
        </w:trPr>
        <w:tc>
          <w:tcPr>
            <w:tcW w:w="1975" w:type="dxa"/>
          </w:tcPr>
          <w:p w14:paraId="7C116722" w14:textId="77777777" w:rsidR="00DB6E1F" w:rsidRDefault="00F666A6">
            <w:pPr>
              <w:pStyle w:val="TableParagraph"/>
              <w:rPr>
                <w:sz w:val="20"/>
              </w:rPr>
            </w:pPr>
            <w:r>
              <w:rPr>
                <w:spacing w:val="-2"/>
                <w:sz w:val="20"/>
              </w:rPr>
              <w:t>Ability</w:t>
            </w:r>
          </w:p>
        </w:tc>
        <w:tc>
          <w:tcPr>
            <w:tcW w:w="3600" w:type="dxa"/>
          </w:tcPr>
          <w:p w14:paraId="42AE8A13" w14:textId="77777777" w:rsidR="00DB6E1F" w:rsidRDefault="00F666A6">
            <w:pPr>
              <w:pStyle w:val="TableParagraph"/>
              <w:ind w:left="108" w:right="175"/>
              <w:rPr>
                <w:sz w:val="20"/>
              </w:rPr>
            </w:pPr>
            <w:r>
              <w:rPr>
                <w:sz w:val="20"/>
              </w:rPr>
              <w:t>“I</w:t>
            </w:r>
            <w:r>
              <w:rPr>
                <w:spacing w:val="-5"/>
                <w:sz w:val="20"/>
              </w:rPr>
              <w:t xml:space="preserve"> </w:t>
            </w:r>
            <w:r>
              <w:rPr>
                <w:sz w:val="20"/>
              </w:rPr>
              <w:t>could</w:t>
            </w:r>
            <w:r>
              <w:rPr>
                <w:spacing w:val="-4"/>
                <w:sz w:val="20"/>
              </w:rPr>
              <w:t xml:space="preserve"> </w:t>
            </w:r>
            <w:r>
              <w:rPr>
                <w:sz w:val="20"/>
              </w:rPr>
              <w:t>cut</w:t>
            </w:r>
            <w:r>
              <w:rPr>
                <w:spacing w:val="-5"/>
                <w:sz w:val="20"/>
              </w:rPr>
              <w:t xml:space="preserve"> </w:t>
            </w:r>
            <w:r>
              <w:rPr>
                <w:sz w:val="20"/>
              </w:rPr>
              <w:t>back</w:t>
            </w:r>
            <w:r>
              <w:rPr>
                <w:spacing w:val="-5"/>
                <w:sz w:val="20"/>
              </w:rPr>
              <w:t xml:space="preserve"> </w:t>
            </w:r>
            <w:r>
              <w:rPr>
                <w:sz w:val="20"/>
              </w:rPr>
              <w:t>to</w:t>
            </w:r>
            <w:r>
              <w:rPr>
                <w:spacing w:val="-5"/>
                <w:sz w:val="20"/>
              </w:rPr>
              <w:t xml:space="preserve"> </w:t>
            </w:r>
            <w:r>
              <w:rPr>
                <w:sz w:val="20"/>
              </w:rPr>
              <w:t>1</w:t>
            </w:r>
            <w:r>
              <w:rPr>
                <w:spacing w:val="-8"/>
                <w:sz w:val="20"/>
              </w:rPr>
              <w:t xml:space="preserve"> </w:t>
            </w:r>
            <w:r>
              <w:rPr>
                <w:sz w:val="20"/>
              </w:rPr>
              <w:t>drink</w:t>
            </w:r>
            <w:r>
              <w:rPr>
                <w:spacing w:val="-5"/>
                <w:sz w:val="20"/>
              </w:rPr>
              <w:t xml:space="preserve"> </w:t>
            </w:r>
            <w:r>
              <w:rPr>
                <w:sz w:val="20"/>
              </w:rPr>
              <w:t>with</w:t>
            </w:r>
            <w:r>
              <w:rPr>
                <w:spacing w:val="-4"/>
                <w:sz w:val="20"/>
              </w:rPr>
              <w:t xml:space="preserve"> </w:t>
            </w:r>
            <w:r>
              <w:rPr>
                <w:sz w:val="20"/>
              </w:rPr>
              <w:t>dinner on weekends.”</w:t>
            </w:r>
          </w:p>
        </w:tc>
        <w:tc>
          <w:tcPr>
            <w:tcW w:w="3775" w:type="dxa"/>
          </w:tcPr>
          <w:p w14:paraId="3CF3C528" w14:textId="77777777" w:rsidR="00DB6E1F" w:rsidRDefault="00F666A6">
            <w:pPr>
              <w:pStyle w:val="TableParagraph"/>
              <w:ind w:right="105"/>
              <w:rPr>
                <w:sz w:val="20"/>
              </w:rPr>
            </w:pPr>
            <w:r>
              <w:rPr>
                <w:sz w:val="20"/>
              </w:rPr>
              <w:t>“I</w:t>
            </w:r>
            <w:r>
              <w:rPr>
                <w:spacing w:val="-6"/>
                <w:sz w:val="20"/>
              </w:rPr>
              <w:t xml:space="preserve"> </w:t>
            </w:r>
            <w:r>
              <w:rPr>
                <w:sz w:val="20"/>
              </w:rPr>
              <w:t>can</w:t>
            </w:r>
            <w:r>
              <w:rPr>
                <w:spacing w:val="-5"/>
                <w:sz w:val="20"/>
              </w:rPr>
              <w:t xml:space="preserve"> </w:t>
            </w:r>
            <w:r>
              <w:rPr>
                <w:sz w:val="20"/>
              </w:rPr>
              <w:t>manage</w:t>
            </w:r>
            <w:r>
              <w:rPr>
                <w:spacing w:val="-7"/>
                <w:sz w:val="20"/>
              </w:rPr>
              <w:t xml:space="preserve"> </w:t>
            </w:r>
            <w:r>
              <w:rPr>
                <w:sz w:val="20"/>
              </w:rPr>
              <w:t>my</w:t>
            </w:r>
            <w:r>
              <w:rPr>
                <w:spacing w:val="-5"/>
                <w:sz w:val="20"/>
              </w:rPr>
              <w:t xml:space="preserve"> </w:t>
            </w:r>
            <w:r>
              <w:rPr>
                <w:sz w:val="20"/>
              </w:rPr>
              <w:t>life</w:t>
            </w:r>
            <w:r>
              <w:rPr>
                <w:spacing w:val="-7"/>
                <w:sz w:val="20"/>
              </w:rPr>
              <w:t xml:space="preserve"> </w:t>
            </w:r>
            <w:r>
              <w:rPr>
                <w:sz w:val="20"/>
              </w:rPr>
              <w:t>just</w:t>
            </w:r>
            <w:r>
              <w:rPr>
                <w:spacing w:val="-6"/>
                <w:sz w:val="20"/>
              </w:rPr>
              <w:t xml:space="preserve"> </w:t>
            </w:r>
            <w:r>
              <w:rPr>
                <w:sz w:val="20"/>
              </w:rPr>
              <w:t>fine</w:t>
            </w:r>
            <w:r>
              <w:rPr>
                <w:spacing w:val="-4"/>
                <w:sz w:val="20"/>
              </w:rPr>
              <w:t xml:space="preserve"> </w:t>
            </w:r>
            <w:r>
              <w:rPr>
                <w:sz w:val="20"/>
              </w:rPr>
              <w:t>without giving up the drug.”</w:t>
            </w:r>
          </w:p>
        </w:tc>
      </w:tr>
      <w:tr w:rsidR="00DB6E1F" w14:paraId="4DA77E41" w14:textId="77777777">
        <w:trPr>
          <w:trHeight w:val="364"/>
        </w:trPr>
        <w:tc>
          <w:tcPr>
            <w:tcW w:w="1975" w:type="dxa"/>
          </w:tcPr>
          <w:p w14:paraId="0BE2D2CD" w14:textId="77777777" w:rsidR="00DB6E1F" w:rsidRDefault="00F666A6">
            <w:pPr>
              <w:pStyle w:val="TableParagraph"/>
              <w:rPr>
                <w:sz w:val="20"/>
              </w:rPr>
            </w:pPr>
            <w:r>
              <w:rPr>
                <w:spacing w:val="-2"/>
                <w:sz w:val="20"/>
              </w:rPr>
              <w:t>Reasons</w:t>
            </w:r>
          </w:p>
        </w:tc>
        <w:tc>
          <w:tcPr>
            <w:tcW w:w="3600" w:type="dxa"/>
          </w:tcPr>
          <w:p w14:paraId="17BDA937" w14:textId="77777777" w:rsidR="00DB6E1F" w:rsidRDefault="00F666A6">
            <w:pPr>
              <w:pStyle w:val="TableParagraph"/>
              <w:ind w:left="108"/>
              <w:rPr>
                <w:sz w:val="20"/>
              </w:rPr>
            </w:pPr>
            <w:r>
              <w:rPr>
                <w:sz w:val="20"/>
              </w:rPr>
              <w:t>“I’ll</w:t>
            </w:r>
            <w:r>
              <w:rPr>
                <w:spacing w:val="-3"/>
                <w:sz w:val="20"/>
              </w:rPr>
              <w:t xml:space="preserve"> </w:t>
            </w:r>
            <w:r>
              <w:rPr>
                <w:sz w:val="20"/>
              </w:rPr>
              <w:t>miss</w:t>
            </w:r>
            <w:r>
              <w:rPr>
                <w:spacing w:val="-4"/>
                <w:sz w:val="20"/>
              </w:rPr>
              <w:t xml:space="preserve"> </w:t>
            </w:r>
            <w:r>
              <w:rPr>
                <w:sz w:val="20"/>
              </w:rPr>
              <w:t>less</w:t>
            </w:r>
            <w:r>
              <w:rPr>
                <w:spacing w:val="-4"/>
                <w:sz w:val="20"/>
              </w:rPr>
              <w:t xml:space="preserve"> </w:t>
            </w:r>
            <w:r>
              <w:rPr>
                <w:sz w:val="20"/>
              </w:rPr>
              <w:t>time</w:t>
            </w:r>
            <w:r>
              <w:rPr>
                <w:spacing w:val="-4"/>
                <w:sz w:val="20"/>
              </w:rPr>
              <w:t xml:space="preserve"> </w:t>
            </w:r>
            <w:r>
              <w:rPr>
                <w:sz w:val="20"/>
              </w:rPr>
              <w:t>at</w:t>
            </w:r>
            <w:r>
              <w:rPr>
                <w:spacing w:val="-3"/>
                <w:sz w:val="20"/>
              </w:rPr>
              <w:t xml:space="preserve"> </w:t>
            </w:r>
            <w:r>
              <w:rPr>
                <w:sz w:val="20"/>
              </w:rPr>
              <w:t>work</w:t>
            </w:r>
            <w:r>
              <w:rPr>
                <w:spacing w:val="-3"/>
                <w:sz w:val="20"/>
              </w:rPr>
              <w:t xml:space="preserve"> </w:t>
            </w:r>
            <w:r>
              <w:rPr>
                <w:sz w:val="20"/>
              </w:rPr>
              <w:t>if</w:t>
            </w:r>
            <w:r>
              <w:rPr>
                <w:spacing w:val="-4"/>
                <w:sz w:val="20"/>
              </w:rPr>
              <w:t xml:space="preserve"> </w:t>
            </w:r>
            <w:r>
              <w:rPr>
                <w:sz w:val="20"/>
              </w:rPr>
              <w:t>I</w:t>
            </w:r>
            <w:r>
              <w:rPr>
                <w:spacing w:val="-3"/>
                <w:sz w:val="20"/>
              </w:rPr>
              <w:t xml:space="preserve"> </w:t>
            </w:r>
            <w:r>
              <w:rPr>
                <w:sz w:val="20"/>
              </w:rPr>
              <w:t>cut</w:t>
            </w:r>
            <w:r>
              <w:rPr>
                <w:spacing w:val="-2"/>
                <w:sz w:val="20"/>
              </w:rPr>
              <w:t xml:space="preserve"> down.”</w:t>
            </w:r>
          </w:p>
        </w:tc>
        <w:tc>
          <w:tcPr>
            <w:tcW w:w="3775" w:type="dxa"/>
          </w:tcPr>
          <w:p w14:paraId="621152EF" w14:textId="77777777" w:rsidR="00DB6E1F" w:rsidRDefault="00F666A6">
            <w:pPr>
              <w:pStyle w:val="TableParagraph"/>
              <w:rPr>
                <w:sz w:val="20"/>
              </w:rPr>
            </w:pPr>
            <w:r>
              <w:rPr>
                <w:sz w:val="20"/>
              </w:rPr>
              <w:t>“Getting</w:t>
            </w:r>
            <w:r>
              <w:rPr>
                <w:spacing w:val="-6"/>
                <w:sz w:val="20"/>
              </w:rPr>
              <w:t xml:space="preserve"> </w:t>
            </w:r>
            <w:r>
              <w:rPr>
                <w:sz w:val="20"/>
              </w:rPr>
              <w:t>high</w:t>
            </w:r>
            <w:r>
              <w:rPr>
                <w:spacing w:val="-5"/>
                <w:sz w:val="20"/>
              </w:rPr>
              <w:t xml:space="preserve"> </w:t>
            </w:r>
            <w:r>
              <w:rPr>
                <w:sz w:val="20"/>
              </w:rPr>
              <w:t>helps</w:t>
            </w:r>
            <w:r>
              <w:rPr>
                <w:spacing w:val="-5"/>
                <w:sz w:val="20"/>
              </w:rPr>
              <w:t xml:space="preserve"> </w:t>
            </w:r>
            <w:r>
              <w:rPr>
                <w:sz w:val="20"/>
              </w:rPr>
              <w:t>me</w:t>
            </w:r>
            <w:r>
              <w:rPr>
                <w:spacing w:val="-6"/>
                <w:sz w:val="20"/>
              </w:rPr>
              <w:t xml:space="preserve"> </w:t>
            </w:r>
            <w:r>
              <w:rPr>
                <w:sz w:val="20"/>
              </w:rPr>
              <w:t>feel</w:t>
            </w:r>
            <w:r>
              <w:rPr>
                <w:spacing w:val="-4"/>
                <w:sz w:val="20"/>
              </w:rPr>
              <w:t xml:space="preserve"> </w:t>
            </w:r>
            <w:r>
              <w:rPr>
                <w:spacing w:val="-2"/>
                <w:sz w:val="20"/>
              </w:rPr>
              <w:t>energized.”</w:t>
            </w:r>
          </w:p>
        </w:tc>
      </w:tr>
    </w:tbl>
    <w:p w14:paraId="2DA35EE1" w14:textId="77777777" w:rsidR="00DB6E1F" w:rsidRDefault="00DB6E1F">
      <w:pPr>
        <w:rPr>
          <w:sz w:val="20"/>
        </w:rPr>
        <w:sectPr w:rsidR="00DB6E1F">
          <w:pgSz w:w="12240" w:h="15840"/>
          <w:pgMar w:top="1200" w:right="0" w:bottom="780" w:left="0" w:header="763" w:footer="585" w:gutter="0"/>
          <w:cols w:space="720"/>
        </w:sectPr>
      </w:pPr>
    </w:p>
    <w:p w14:paraId="6F7B9A5A"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3600"/>
        <w:gridCol w:w="3775"/>
      </w:tblGrid>
      <w:tr w:rsidR="00DB6E1F" w14:paraId="6EAC807C" w14:textId="77777777">
        <w:trPr>
          <w:trHeight w:val="851"/>
        </w:trPr>
        <w:tc>
          <w:tcPr>
            <w:tcW w:w="1975" w:type="dxa"/>
          </w:tcPr>
          <w:p w14:paraId="73DD6CDF" w14:textId="77777777" w:rsidR="00DB6E1F" w:rsidRDefault="00F666A6">
            <w:pPr>
              <w:pStyle w:val="TableParagraph"/>
              <w:rPr>
                <w:sz w:val="20"/>
              </w:rPr>
            </w:pPr>
            <w:r>
              <w:rPr>
                <w:spacing w:val="-4"/>
                <w:sz w:val="20"/>
              </w:rPr>
              <w:t>Need</w:t>
            </w:r>
          </w:p>
        </w:tc>
        <w:tc>
          <w:tcPr>
            <w:tcW w:w="3600" w:type="dxa"/>
          </w:tcPr>
          <w:p w14:paraId="10A6A2B9" w14:textId="77777777" w:rsidR="00DB6E1F" w:rsidRDefault="00F666A6">
            <w:pPr>
              <w:pStyle w:val="TableParagraph"/>
              <w:ind w:left="108" w:right="175"/>
              <w:rPr>
                <w:sz w:val="20"/>
              </w:rPr>
            </w:pPr>
            <w:r>
              <w:rPr>
                <w:sz w:val="20"/>
              </w:rPr>
              <w:t>“I</w:t>
            </w:r>
            <w:r>
              <w:rPr>
                <w:spacing w:val="-5"/>
                <w:sz w:val="20"/>
              </w:rPr>
              <w:t xml:space="preserve"> </w:t>
            </w:r>
            <w:r>
              <w:rPr>
                <w:sz w:val="20"/>
              </w:rPr>
              <w:t>have</w:t>
            </w:r>
            <w:r>
              <w:rPr>
                <w:spacing w:val="-6"/>
                <w:sz w:val="20"/>
              </w:rPr>
              <w:t xml:space="preserve"> </w:t>
            </w:r>
            <w:r>
              <w:rPr>
                <w:sz w:val="20"/>
              </w:rPr>
              <w:t>to</w:t>
            </w:r>
            <w:r>
              <w:rPr>
                <w:spacing w:val="-5"/>
                <w:sz w:val="20"/>
              </w:rPr>
              <w:t xml:space="preserve"> </w:t>
            </w:r>
            <w:r>
              <w:rPr>
                <w:sz w:val="20"/>
              </w:rPr>
              <w:t>cut</w:t>
            </w:r>
            <w:r>
              <w:rPr>
                <w:spacing w:val="-5"/>
                <w:sz w:val="20"/>
              </w:rPr>
              <w:t xml:space="preserve"> </w:t>
            </w:r>
            <w:r>
              <w:rPr>
                <w:sz w:val="20"/>
              </w:rPr>
              <w:t>down.</w:t>
            </w:r>
            <w:r>
              <w:rPr>
                <w:spacing w:val="-5"/>
                <w:sz w:val="20"/>
              </w:rPr>
              <w:t xml:space="preserve"> </w:t>
            </w:r>
            <w:r>
              <w:rPr>
                <w:sz w:val="20"/>
              </w:rPr>
              <w:t>My</w:t>
            </w:r>
            <w:r>
              <w:rPr>
                <w:spacing w:val="-5"/>
                <w:sz w:val="20"/>
              </w:rPr>
              <w:t xml:space="preserve"> </w:t>
            </w:r>
            <w:r>
              <w:rPr>
                <w:sz w:val="20"/>
              </w:rPr>
              <w:t>doctor</w:t>
            </w:r>
            <w:r>
              <w:rPr>
                <w:spacing w:val="-5"/>
                <w:sz w:val="20"/>
              </w:rPr>
              <w:t xml:space="preserve"> </w:t>
            </w:r>
            <w:r>
              <w:rPr>
                <w:sz w:val="20"/>
              </w:rPr>
              <w:t>told</w:t>
            </w:r>
            <w:r>
              <w:rPr>
                <w:spacing w:val="-5"/>
                <w:sz w:val="20"/>
              </w:rPr>
              <w:t xml:space="preserve"> </w:t>
            </w:r>
            <w:r>
              <w:rPr>
                <w:sz w:val="20"/>
              </w:rPr>
              <w:t>me that the amount I am drinking puts my health at risk.”</w:t>
            </w:r>
          </w:p>
        </w:tc>
        <w:tc>
          <w:tcPr>
            <w:tcW w:w="3775" w:type="dxa"/>
          </w:tcPr>
          <w:p w14:paraId="63BD427C" w14:textId="77777777" w:rsidR="00DB6E1F" w:rsidRDefault="00F666A6">
            <w:pPr>
              <w:pStyle w:val="TableParagraph"/>
              <w:rPr>
                <w:sz w:val="20"/>
              </w:rPr>
            </w:pPr>
            <w:r>
              <w:rPr>
                <w:sz w:val="20"/>
              </w:rPr>
              <w:t>“I</w:t>
            </w:r>
            <w:r>
              <w:rPr>
                <w:spacing w:val="-5"/>
                <w:sz w:val="20"/>
              </w:rPr>
              <w:t xml:space="preserve"> </w:t>
            </w:r>
            <w:r>
              <w:rPr>
                <w:sz w:val="20"/>
              </w:rPr>
              <w:t>need</w:t>
            </w:r>
            <w:r>
              <w:rPr>
                <w:spacing w:val="-4"/>
                <w:sz w:val="20"/>
              </w:rPr>
              <w:t xml:space="preserve"> </w:t>
            </w:r>
            <w:r>
              <w:rPr>
                <w:sz w:val="20"/>
              </w:rPr>
              <w:t>to</w:t>
            </w:r>
            <w:r>
              <w:rPr>
                <w:spacing w:val="-4"/>
                <w:sz w:val="20"/>
              </w:rPr>
              <w:t xml:space="preserve"> </w:t>
            </w:r>
            <w:r>
              <w:rPr>
                <w:sz w:val="20"/>
              </w:rPr>
              <w:t>get</w:t>
            </w:r>
            <w:r>
              <w:rPr>
                <w:spacing w:val="-5"/>
                <w:sz w:val="20"/>
              </w:rPr>
              <w:t xml:space="preserve"> </w:t>
            </w:r>
            <w:r>
              <w:rPr>
                <w:sz w:val="20"/>
              </w:rPr>
              <w:t>high</w:t>
            </w:r>
            <w:r>
              <w:rPr>
                <w:spacing w:val="-5"/>
                <w:sz w:val="20"/>
              </w:rPr>
              <w:t xml:space="preserve"> </w:t>
            </w:r>
            <w:r>
              <w:rPr>
                <w:sz w:val="20"/>
              </w:rPr>
              <w:t>to</w:t>
            </w:r>
            <w:r>
              <w:rPr>
                <w:spacing w:val="-4"/>
                <w:sz w:val="20"/>
              </w:rPr>
              <w:t xml:space="preserve"> </w:t>
            </w:r>
            <w:r>
              <w:rPr>
                <w:sz w:val="20"/>
              </w:rPr>
              <w:t>keep</w:t>
            </w:r>
            <w:r>
              <w:rPr>
                <w:spacing w:val="-4"/>
                <w:sz w:val="20"/>
              </w:rPr>
              <w:t xml:space="preserve"> </w:t>
            </w:r>
            <w:r>
              <w:rPr>
                <w:sz w:val="20"/>
              </w:rPr>
              <w:t>me</w:t>
            </w:r>
            <w:r>
              <w:rPr>
                <w:spacing w:val="-6"/>
                <w:sz w:val="20"/>
              </w:rPr>
              <w:t xml:space="preserve"> </w:t>
            </w:r>
            <w:r>
              <w:rPr>
                <w:sz w:val="20"/>
              </w:rPr>
              <w:t>going</w:t>
            </w:r>
            <w:r>
              <w:rPr>
                <w:spacing w:val="-5"/>
                <w:sz w:val="20"/>
              </w:rPr>
              <w:t xml:space="preserve"> </w:t>
            </w:r>
            <w:r>
              <w:rPr>
                <w:sz w:val="20"/>
              </w:rPr>
              <w:t xml:space="preserve">every </w:t>
            </w:r>
            <w:r>
              <w:rPr>
                <w:spacing w:val="-2"/>
                <w:sz w:val="20"/>
              </w:rPr>
              <w:t>day.”</w:t>
            </w:r>
          </w:p>
        </w:tc>
      </w:tr>
      <w:tr w:rsidR="00DB6E1F" w14:paraId="455B9004" w14:textId="77777777">
        <w:trPr>
          <w:trHeight w:val="364"/>
        </w:trPr>
        <w:tc>
          <w:tcPr>
            <w:tcW w:w="1975" w:type="dxa"/>
          </w:tcPr>
          <w:p w14:paraId="6ACA1566" w14:textId="77777777" w:rsidR="00DB6E1F" w:rsidRDefault="00F666A6">
            <w:pPr>
              <w:pStyle w:val="TableParagraph"/>
              <w:spacing w:before="3"/>
              <w:rPr>
                <w:sz w:val="20"/>
              </w:rPr>
            </w:pPr>
            <w:r>
              <w:rPr>
                <w:spacing w:val="-2"/>
                <w:sz w:val="20"/>
              </w:rPr>
              <w:t>Commitment</w:t>
            </w:r>
          </w:p>
        </w:tc>
        <w:tc>
          <w:tcPr>
            <w:tcW w:w="3600" w:type="dxa"/>
          </w:tcPr>
          <w:p w14:paraId="65A3C9BC" w14:textId="77777777" w:rsidR="00DB6E1F" w:rsidRDefault="00F666A6">
            <w:pPr>
              <w:pStyle w:val="TableParagraph"/>
              <w:spacing w:before="3"/>
              <w:ind w:left="108"/>
              <w:rPr>
                <w:sz w:val="20"/>
              </w:rPr>
            </w:pPr>
            <w:r>
              <w:rPr>
                <w:sz w:val="20"/>
              </w:rPr>
              <w:t>“I</w:t>
            </w:r>
            <w:r>
              <w:rPr>
                <w:spacing w:val="-5"/>
                <w:sz w:val="20"/>
              </w:rPr>
              <w:t xml:space="preserve"> </w:t>
            </w:r>
            <w:r>
              <w:rPr>
                <w:sz w:val="20"/>
              </w:rPr>
              <w:t>promise</w:t>
            </w:r>
            <w:r>
              <w:rPr>
                <w:spacing w:val="-4"/>
                <w:sz w:val="20"/>
              </w:rPr>
              <w:t xml:space="preserve"> </w:t>
            </w:r>
            <w:r>
              <w:rPr>
                <w:sz w:val="20"/>
              </w:rPr>
              <w:t>to</w:t>
            </w:r>
            <w:r>
              <w:rPr>
                <w:spacing w:val="-3"/>
                <w:sz w:val="20"/>
              </w:rPr>
              <w:t xml:space="preserve"> </w:t>
            </w:r>
            <w:r>
              <w:rPr>
                <w:sz w:val="20"/>
              </w:rPr>
              <w:t>cut</w:t>
            </w:r>
            <w:r>
              <w:rPr>
                <w:spacing w:val="-4"/>
                <w:sz w:val="20"/>
              </w:rPr>
              <w:t xml:space="preserve"> </w:t>
            </w:r>
            <w:r>
              <w:rPr>
                <w:sz w:val="20"/>
              </w:rPr>
              <w:t>back</w:t>
            </w:r>
            <w:r>
              <w:rPr>
                <w:spacing w:val="-3"/>
                <w:sz w:val="20"/>
              </w:rPr>
              <w:t xml:space="preserve"> </w:t>
            </w:r>
            <w:r>
              <w:rPr>
                <w:sz w:val="20"/>
              </w:rPr>
              <w:t>this</w:t>
            </w:r>
            <w:r>
              <w:rPr>
                <w:spacing w:val="-5"/>
                <w:sz w:val="20"/>
              </w:rPr>
              <w:t xml:space="preserve"> </w:t>
            </w:r>
            <w:r>
              <w:rPr>
                <w:spacing w:val="-2"/>
                <w:sz w:val="20"/>
              </w:rPr>
              <w:t>weekend.”</w:t>
            </w:r>
          </w:p>
        </w:tc>
        <w:tc>
          <w:tcPr>
            <w:tcW w:w="3775" w:type="dxa"/>
          </w:tcPr>
          <w:p w14:paraId="577F2FDA" w14:textId="77777777" w:rsidR="00DB6E1F" w:rsidRDefault="00F666A6">
            <w:pPr>
              <w:pStyle w:val="TableParagraph"/>
              <w:spacing w:before="3"/>
              <w:rPr>
                <w:sz w:val="20"/>
              </w:rPr>
            </w:pPr>
            <w:r>
              <w:rPr>
                <w:sz w:val="20"/>
              </w:rPr>
              <w:t>“I</w:t>
            </w:r>
            <w:r>
              <w:rPr>
                <w:spacing w:val="-5"/>
                <w:sz w:val="20"/>
              </w:rPr>
              <w:t xml:space="preserve"> </w:t>
            </w:r>
            <w:r>
              <w:rPr>
                <w:sz w:val="20"/>
              </w:rPr>
              <w:t>am</w:t>
            </w:r>
            <w:r>
              <w:rPr>
                <w:spacing w:val="-5"/>
                <w:sz w:val="20"/>
              </w:rPr>
              <w:t xml:space="preserve"> </w:t>
            </w:r>
            <w:r>
              <w:rPr>
                <w:sz w:val="20"/>
              </w:rPr>
              <w:t>going</w:t>
            </w:r>
            <w:r>
              <w:rPr>
                <w:spacing w:val="-4"/>
                <w:sz w:val="20"/>
              </w:rPr>
              <w:t xml:space="preserve"> </w:t>
            </w:r>
            <w:r>
              <w:rPr>
                <w:sz w:val="20"/>
              </w:rPr>
              <w:t>to</w:t>
            </w:r>
            <w:r>
              <w:rPr>
                <w:spacing w:val="-4"/>
                <w:sz w:val="20"/>
              </w:rPr>
              <w:t xml:space="preserve"> </w:t>
            </w:r>
            <w:r>
              <w:rPr>
                <w:sz w:val="20"/>
              </w:rPr>
              <w:t>keep</w:t>
            </w:r>
            <w:r>
              <w:rPr>
                <w:spacing w:val="-3"/>
                <w:sz w:val="20"/>
              </w:rPr>
              <w:t xml:space="preserve"> </w:t>
            </w:r>
            <w:r>
              <w:rPr>
                <w:sz w:val="20"/>
              </w:rPr>
              <w:t>snorting</w:t>
            </w:r>
            <w:r>
              <w:rPr>
                <w:spacing w:val="-4"/>
                <w:sz w:val="20"/>
              </w:rPr>
              <w:t xml:space="preserve"> </w:t>
            </w:r>
            <w:r>
              <w:rPr>
                <w:spacing w:val="-2"/>
                <w:sz w:val="20"/>
              </w:rPr>
              <w:t>cocaine.”</w:t>
            </w:r>
          </w:p>
        </w:tc>
      </w:tr>
      <w:tr w:rsidR="00DB6E1F" w14:paraId="32AD08A4" w14:textId="77777777">
        <w:trPr>
          <w:trHeight w:val="609"/>
        </w:trPr>
        <w:tc>
          <w:tcPr>
            <w:tcW w:w="1975" w:type="dxa"/>
          </w:tcPr>
          <w:p w14:paraId="64B0D0C7" w14:textId="77777777" w:rsidR="00DB6E1F" w:rsidRDefault="00F666A6">
            <w:pPr>
              <w:pStyle w:val="TableParagraph"/>
              <w:rPr>
                <w:sz w:val="20"/>
              </w:rPr>
            </w:pPr>
            <w:r>
              <w:rPr>
                <w:spacing w:val="-2"/>
                <w:sz w:val="20"/>
              </w:rPr>
              <w:t>Activation</w:t>
            </w:r>
          </w:p>
        </w:tc>
        <w:tc>
          <w:tcPr>
            <w:tcW w:w="3600" w:type="dxa"/>
          </w:tcPr>
          <w:p w14:paraId="6E464EA3" w14:textId="77777777" w:rsidR="00DB6E1F" w:rsidRDefault="00F666A6">
            <w:pPr>
              <w:pStyle w:val="TableParagraph"/>
              <w:ind w:left="108"/>
              <w:rPr>
                <w:sz w:val="20"/>
              </w:rPr>
            </w:pPr>
            <w:r>
              <w:rPr>
                <w:sz w:val="20"/>
              </w:rPr>
              <w:t>“I</w:t>
            </w:r>
            <w:r>
              <w:rPr>
                <w:spacing w:val="-6"/>
                <w:sz w:val="20"/>
              </w:rPr>
              <w:t xml:space="preserve"> </w:t>
            </w:r>
            <w:r>
              <w:rPr>
                <w:sz w:val="20"/>
              </w:rPr>
              <w:t>am</w:t>
            </w:r>
            <w:r>
              <w:rPr>
                <w:spacing w:val="-7"/>
                <w:sz w:val="20"/>
              </w:rPr>
              <w:t xml:space="preserve"> </w:t>
            </w:r>
            <w:r>
              <w:rPr>
                <w:sz w:val="20"/>
              </w:rPr>
              <w:t>ready</w:t>
            </w:r>
            <w:r>
              <w:rPr>
                <w:spacing w:val="-5"/>
                <w:sz w:val="20"/>
              </w:rPr>
              <w:t xml:space="preserve"> </w:t>
            </w:r>
            <w:r>
              <w:rPr>
                <w:sz w:val="20"/>
              </w:rPr>
              <w:t>to</w:t>
            </w:r>
            <w:r>
              <w:rPr>
                <w:spacing w:val="-6"/>
                <w:sz w:val="20"/>
              </w:rPr>
              <w:t xml:space="preserve"> </w:t>
            </w:r>
            <w:r>
              <w:rPr>
                <w:sz w:val="20"/>
              </w:rPr>
              <w:t>do</w:t>
            </w:r>
            <w:r>
              <w:rPr>
                <w:spacing w:val="-6"/>
                <w:sz w:val="20"/>
              </w:rPr>
              <w:t xml:space="preserve"> </w:t>
            </w:r>
            <w:r>
              <w:rPr>
                <w:sz w:val="20"/>
              </w:rPr>
              <w:t>something</w:t>
            </w:r>
            <w:r>
              <w:rPr>
                <w:spacing w:val="-6"/>
                <w:sz w:val="20"/>
              </w:rPr>
              <w:t xml:space="preserve"> </w:t>
            </w:r>
            <w:r>
              <w:rPr>
                <w:sz w:val="20"/>
              </w:rPr>
              <w:t>about</w:t>
            </w:r>
            <w:r>
              <w:rPr>
                <w:spacing w:val="-6"/>
                <w:sz w:val="20"/>
              </w:rPr>
              <w:t xml:space="preserve"> </w:t>
            </w:r>
            <w:r>
              <w:rPr>
                <w:sz w:val="20"/>
              </w:rPr>
              <w:t xml:space="preserve">the </w:t>
            </w:r>
            <w:r>
              <w:rPr>
                <w:spacing w:val="-2"/>
                <w:sz w:val="20"/>
              </w:rPr>
              <w:t>drinking.”</w:t>
            </w:r>
          </w:p>
        </w:tc>
        <w:tc>
          <w:tcPr>
            <w:tcW w:w="3775" w:type="dxa"/>
          </w:tcPr>
          <w:p w14:paraId="1A43B615" w14:textId="77777777" w:rsidR="00DB6E1F" w:rsidRDefault="00F666A6">
            <w:pPr>
              <w:pStyle w:val="TableParagraph"/>
              <w:rPr>
                <w:sz w:val="20"/>
              </w:rPr>
            </w:pPr>
            <w:r>
              <w:rPr>
                <w:sz w:val="20"/>
              </w:rPr>
              <w:t>“I</w:t>
            </w:r>
            <w:r>
              <w:rPr>
                <w:spacing w:val="-4"/>
                <w:sz w:val="20"/>
              </w:rPr>
              <w:t xml:space="preserve"> </w:t>
            </w:r>
            <w:r>
              <w:rPr>
                <w:sz w:val="20"/>
              </w:rPr>
              <w:t>am</w:t>
            </w:r>
            <w:r>
              <w:rPr>
                <w:spacing w:val="-4"/>
                <w:sz w:val="20"/>
              </w:rPr>
              <w:t xml:space="preserve"> </w:t>
            </w:r>
            <w:r>
              <w:rPr>
                <w:sz w:val="20"/>
              </w:rPr>
              <w:t>not</w:t>
            </w:r>
            <w:r>
              <w:rPr>
                <w:spacing w:val="-3"/>
                <w:sz w:val="20"/>
              </w:rPr>
              <w:t xml:space="preserve"> </w:t>
            </w:r>
            <w:r>
              <w:rPr>
                <w:sz w:val="20"/>
              </w:rPr>
              <w:t>ready</w:t>
            </w:r>
            <w:r>
              <w:rPr>
                <w:spacing w:val="-3"/>
                <w:sz w:val="20"/>
              </w:rPr>
              <w:t xml:space="preserve"> </w:t>
            </w:r>
            <w:r>
              <w:rPr>
                <w:sz w:val="20"/>
              </w:rPr>
              <w:t>to</w:t>
            </w:r>
            <w:r>
              <w:rPr>
                <w:spacing w:val="-3"/>
                <w:sz w:val="20"/>
              </w:rPr>
              <w:t xml:space="preserve"> </w:t>
            </w:r>
            <w:r>
              <w:rPr>
                <w:sz w:val="20"/>
              </w:rPr>
              <w:t>give</w:t>
            </w:r>
            <w:r>
              <w:rPr>
                <w:spacing w:val="-3"/>
                <w:sz w:val="20"/>
              </w:rPr>
              <w:t xml:space="preserve"> </w:t>
            </w:r>
            <w:r>
              <w:rPr>
                <w:sz w:val="20"/>
              </w:rPr>
              <w:t>up</w:t>
            </w:r>
            <w:r>
              <w:rPr>
                <w:spacing w:val="-2"/>
                <w:sz w:val="20"/>
              </w:rPr>
              <w:t xml:space="preserve"> </w:t>
            </w:r>
            <w:r>
              <w:rPr>
                <w:sz w:val="20"/>
              </w:rPr>
              <w:t>the</w:t>
            </w:r>
            <w:r>
              <w:rPr>
                <w:spacing w:val="-5"/>
                <w:sz w:val="20"/>
              </w:rPr>
              <w:t xml:space="preserve"> </w:t>
            </w:r>
            <w:r>
              <w:rPr>
                <w:spacing w:val="-2"/>
                <w:sz w:val="20"/>
              </w:rPr>
              <w:t>cocaine.”</w:t>
            </w:r>
          </w:p>
        </w:tc>
      </w:tr>
      <w:tr w:rsidR="00DB6E1F" w14:paraId="1EDAC517" w14:textId="77777777">
        <w:trPr>
          <w:trHeight w:val="606"/>
        </w:trPr>
        <w:tc>
          <w:tcPr>
            <w:tcW w:w="1975" w:type="dxa"/>
          </w:tcPr>
          <w:p w14:paraId="33313A38" w14:textId="77777777" w:rsidR="00DB6E1F" w:rsidRDefault="00F666A6">
            <w:pPr>
              <w:pStyle w:val="TableParagraph"/>
              <w:rPr>
                <w:sz w:val="20"/>
              </w:rPr>
            </w:pPr>
            <w:r>
              <w:rPr>
                <w:sz w:val="20"/>
              </w:rPr>
              <w:t>Taking</w:t>
            </w:r>
            <w:r>
              <w:rPr>
                <w:spacing w:val="-9"/>
                <w:sz w:val="20"/>
              </w:rPr>
              <w:t xml:space="preserve"> </w:t>
            </w:r>
            <w:r>
              <w:rPr>
                <w:spacing w:val="-2"/>
                <w:sz w:val="20"/>
              </w:rPr>
              <w:t>steps</w:t>
            </w:r>
          </w:p>
        </w:tc>
        <w:tc>
          <w:tcPr>
            <w:tcW w:w="3600" w:type="dxa"/>
          </w:tcPr>
          <w:p w14:paraId="02934A7E" w14:textId="77777777" w:rsidR="00DB6E1F" w:rsidRDefault="00F666A6">
            <w:pPr>
              <w:pStyle w:val="TableParagraph"/>
              <w:ind w:left="108"/>
              <w:rPr>
                <w:sz w:val="20"/>
              </w:rPr>
            </w:pPr>
            <w:r>
              <w:rPr>
                <w:sz w:val="20"/>
              </w:rPr>
              <w:t>“I</w:t>
            </w:r>
            <w:r>
              <w:rPr>
                <w:spacing w:val="-6"/>
                <w:sz w:val="20"/>
              </w:rPr>
              <w:t xml:space="preserve"> </w:t>
            </w:r>
            <w:r>
              <w:rPr>
                <w:sz w:val="20"/>
              </w:rPr>
              <w:t>only</w:t>
            </w:r>
            <w:r>
              <w:rPr>
                <w:spacing w:val="-5"/>
                <w:sz w:val="20"/>
              </w:rPr>
              <w:t xml:space="preserve"> </w:t>
            </w:r>
            <w:r>
              <w:rPr>
                <w:sz w:val="20"/>
              </w:rPr>
              <w:t>had</w:t>
            </w:r>
            <w:r>
              <w:rPr>
                <w:spacing w:val="-8"/>
                <w:sz w:val="20"/>
              </w:rPr>
              <w:t xml:space="preserve"> </w:t>
            </w:r>
            <w:r>
              <w:rPr>
                <w:sz w:val="20"/>
              </w:rPr>
              <w:t>one</w:t>
            </w:r>
            <w:r>
              <w:rPr>
                <w:spacing w:val="-7"/>
                <w:sz w:val="20"/>
              </w:rPr>
              <w:t xml:space="preserve"> </w:t>
            </w:r>
            <w:r>
              <w:rPr>
                <w:sz w:val="20"/>
              </w:rPr>
              <w:t>drink</w:t>
            </w:r>
            <w:r>
              <w:rPr>
                <w:spacing w:val="-6"/>
                <w:sz w:val="20"/>
              </w:rPr>
              <w:t xml:space="preserve"> </w:t>
            </w:r>
            <w:r>
              <w:rPr>
                <w:sz w:val="20"/>
              </w:rPr>
              <w:t>with</w:t>
            </w:r>
            <w:r>
              <w:rPr>
                <w:spacing w:val="-5"/>
                <w:sz w:val="20"/>
              </w:rPr>
              <w:t xml:space="preserve"> </w:t>
            </w:r>
            <w:r>
              <w:rPr>
                <w:sz w:val="20"/>
              </w:rPr>
              <w:t>dinner</w:t>
            </w:r>
            <w:r>
              <w:rPr>
                <w:spacing w:val="-6"/>
                <w:sz w:val="20"/>
              </w:rPr>
              <w:t xml:space="preserve"> </w:t>
            </w:r>
            <w:r>
              <w:rPr>
                <w:sz w:val="20"/>
              </w:rPr>
              <w:t xml:space="preserve">on </w:t>
            </w:r>
            <w:r>
              <w:rPr>
                <w:spacing w:val="-2"/>
                <w:sz w:val="20"/>
              </w:rPr>
              <w:t>Saturday.”</w:t>
            </w:r>
          </w:p>
        </w:tc>
        <w:tc>
          <w:tcPr>
            <w:tcW w:w="3775" w:type="dxa"/>
          </w:tcPr>
          <w:p w14:paraId="679D7693" w14:textId="77777777" w:rsidR="00DB6E1F" w:rsidRDefault="00F666A6">
            <w:pPr>
              <w:pStyle w:val="TableParagraph"/>
              <w:rPr>
                <w:sz w:val="20"/>
              </w:rPr>
            </w:pPr>
            <w:r>
              <w:rPr>
                <w:sz w:val="20"/>
              </w:rPr>
              <w:t>“I</w:t>
            </w:r>
            <w:r>
              <w:rPr>
                <w:spacing w:val="-6"/>
                <w:sz w:val="20"/>
              </w:rPr>
              <w:t xml:space="preserve"> </w:t>
            </w:r>
            <w:r>
              <w:rPr>
                <w:sz w:val="20"/>
              </w:rPr>
              <w:t>am</w:t>
            </w:r>
            <w:r>
              <w:rPr>
                <w:spacing w:val="-5"/>
                <w:sz w:val="20"/>
              </w:rPr>
              <w:t xml:space="preserve"> </w:t>
            </w:r>
            <w:r>
              <w:rPr>
                <w:sz w:val="20"/>
              </w:rPr>
              <w:t>still</w:t>
            </w:r>
            <w:r>
              <w:rPr>
                <w:spacing w:val="-6"/>
                <w:sz w:val="20"/>
              </w:rPr>
              <w:t xml:space="preserve"> </w:t>
            </w:r>
            <w:r>
              <w:rPr>
                <w:sz w:val="20"/>
              </w:rPr>
              <w:t>snorting</w:t>
            </w:r>
            <w:r>
              <w:rPr>
                <w:spacing w:val="-5"/>
                <w:sz w:val="20"/>
              </w:rPr>
              <w:t xml:space="preserve"> </w:t>
            </w:r>
            <w:r>
              <w:rPr>
                <w:sz w:val="20"/>
              </w:rPr>
              <w:t>cocaine</w:t>
            </w:r>
            <w:r>
              <w:rPr>
                <w:spacing w:val="-5"/>
                <w:sz w:val="20"/>
              </w:rPr>
              <w:t xml:space="preserve"> </w:t>
            </w:r>
            <w:r>
              <w:rPr>
                <w:sz w:val="20"/>
              </w:rPr>
              <w:t>every</w:t>
            </w:r>
            <w:r>
              <w:rPr>
                <w:spacing w:val="-5"/>
                <w:sz w:val="20"/>
              </w:rPr>
              <w:t xml:space="preserve"> </w:t>
            </w:r>
            <w:r>
              <w:rPr>
                <w:spacing w:val="-4"/>
                <w:sz w:val="20"/>
              </w:rPr>
              <w:t>day.”</w:t>
            </w:r>
          </w:p>
        </w:tc>
      </w:tr>
      <w:tr w:rsidR="00DB6E1F" w14:paraId="10EE3653" w14:textId="77777777">
        <w:trPr>
          <w:trHeight w:val="405"/>
        </w:trPr>
        <w:tc>
          <w:tcPr>
            <w:tcW w:w="9350" w:type="dxa"/>
            <w:gridSpan w:val="3"/>
          </w:tcPr>
          <w:p w14:paraId="49C7CC1C" w14:textId="77777777" w:rsidR="00DB6E1F" w:rsidRDefault="00F666A6">
            <w:pPr>
              <w:pStyle w:val="TableParagraph"/>
              <w:spacing w:before="83"/>
              <w:rPr>
                <w:i/>
                <w:sz w:val="20"/>
              </w:rPr>
            </w:pPr>
            <w:r>
              <w:rPr>
                <w:i/>
                <w:sz w:val="20"/>
              </w:rPr>
              <w:t>Source:</w:t>
            </w:r>
            <w:r>
              <w:rPr>
                <w:i/>
                <w:spacing w:val="-8"/>
                <w:sz w:val="20"/>
              </w:rPr>
              <w:t xml:space="preserve"> </w:t>
            </w:r>
            <w:r>
              <w:rPr>
                <w:i/>
                <w:sz w:val="20"/>
              </w:rPr>
              <w:t>Miller</w:t>
            </w:r>
            <w:r>
              <w:rPr>
                <w:i/>
                <w:spacing w:val="-7"/>
                <w:sz w:val="20"/>
              </w:rPr>
              <w:t xml:space="preserve"> </w:t>
            </w:r>
            <w:r>
              <w:rPr>
                <w:i/>
                <w:sz w:val="20"/>
              </w:rPr>
              <w:t>&amp;</w:t>
            </w:r>
            <w:r>
              <w:rPr>
                <w:i/>
                <w:spacing w:val="-5"/>
                <w:sz w:val="20"/>
              </w:rPr>
              <w:t xml:space="preserve"> </w:t>
            </w:r>
            <w:r>
              <w:rPr>
                <w:i/>
                <w:sz w:val="20"/>
              </w:rPr>
              <w:t>Rollnick,</w:t>
            </w:r>
            <w:r>
              <w:rPr>
                <w:i/>
                <w:spacing w:val="-5"/>
                <w:sz w:val="20"/>
              </w:rPr>
              <w:t xml:space="preserve"> </w:t>
            </w:r>
            <w:r>
              <w:rPr>
                <w:i/>
                <w:spacing w:val="-2"/>
                <w:sz w:val="20"/>
              </w:rPr>
              <w:t>2013.</w:t>
            </w:r>
          </w:p>
        </w:tc>
      </w:tr>
    </w:tbl>
    <w:p w14:paraId="1DA6D410" w14:textId="77777777" w:rsidR="00DB6E1F" w:rsidRDefault="00DB6E1F">
      <w:pPr>
        <w:pStyle w:val="BodyText"/>
        <w:spacing w:before="5"/>
        <w:rPr>
          <w:sz w:val="8"/>
        </w:rPr>
      </w:pPr>
    </w:p>
    <w:p w14:paraId="24222F59" w14:textId="77777777" w:rsidR="00DB6E1F" w:rsidRDefault="00F666A6">
      <w:pPr>
        <w:pStyle w:val="Heading5"/>
        <w:spacing w:before="57"/>
      </w:pPr>
      <w:r>
        <w:t>To</w:t>
      </w:r>
      <w:r>
        <w:rPr>
          <w:spacing w:val="-7"/>
        </w:rPr>
        <w:t xml:space="preserve"> </w:t>
      </w:r>
      <w:r>
        <w:t>make</w:t>
      </w:r>
      <w:r>
        <w:rPr>
          <w:spacing w:val="-4"/>
        </w:rPr>
        <w:t xml:space="preserve"> </w:t>
      </w:r>
      <w:r>
        <w:t>the</w:t>
      </w:r>
      <w:r>
        <w:rPr>
          <w:spacing w:val="-4"/>
        </w:rPr>
        <w:t xml:space="preserve"> </w:t>
      </w:r>
      <w:r>
        <w:t>best</w:t>
      </w:r>
      <w:r>
        <w:rPr>
          <w:spacing w:val="-5"/>
        </w:rPr>
        <w:t xml:space="preserve"> </w:t>
      </w:r>
      <w:r>
        <w:t>use</w:t>
      </w:r>
      <w:r>
        <w:rPr>
          <w:spacing w:val="-4"/>
        </w:rPr>
        <w:t xml:space="preserve"> </w:t>
      </w:r>
      <w:r>
        <w:t>of</w:t>
      </w:r>
      <w:r>
        <w:rPr>
          <w:spacing w:val="-6"/>
        </w:rPr>
        <w:t xml:space="preserve"> </w:t>
      </w:r>
      <w:r>
        <w:t>clients’</w:t>
      </w:r>
      <w:r>
        <w:rPr>
          <w:spacing w:val="-4"/>
        </w:rPr>
        <w:t xml:space="preserve"> </w:t>
      </w:r>
      <w:r>
        <w:t>change</w:t>
      </w:r>
      <w:r>
        <w:rPr>
          <w:spacing w:val="-4"/>
        </w:rPr>
        <w:t xml:space="preserve"> </w:t>
      </w:r>
      <w:r>
        <w:t>talk</w:t>
      </w:r>
      <w:r>
        <w:rPr>
          <w:spacing w:val="-3"/>
        </w:rPr>
        <w:t xml:space="preserve"> </w:t>
      </w:r>
      <w:r>
        <w:t>and</w:t>
      </w:r>
      <w:r>
        <w:rPr>
          <w:spacing w:val="-4"/>
        </w:rPr>
        <w:t xml:space="preserve"> </w:t>
      </w:r>
      <w:r>
        <w:t>sustain</w:t>
      </w:r>
      <w:r>
        <w:rPr>
          <w:spacing w:val="-5"/>
        </w:rPr>
        <w:t xml:space="preserve"> </w:t>
      </w:r>
      <w:r>
        <w:t>talk</w:t>
      </w:r>
      <w:r>
        <w:rPr>
          <w:spacing w:val="-2"/>
        </w:rPr>
        <w:t xml:space="preserve"> </w:t>
      </w:r>
      <w:r>
        <w:t>that</w:t>
      </w:r>
      <w:r>
        <w:rPr>
          <w:spacing w:val="-3"/>
        </w:rPr>
        <w:t xml:space="preserve"> </w:t>
      </w:r>
      <w:r>
        <w:t>arise</w:t>
      </w:r>
      <w:r>
        <w:rPr>
          <w:spacing w:val="-6"/>
        </w:rPr>
        <w:t xml:space="preserve"> </w:t>
      </w:r>
      <w:r>
        <w:t>in</w:t>
      </w:r>
      <w:r>
        <w:rPr>
          <w:spacing w:val="-4"/>
        </w:rPr>
        <w:t xml:space="preserve"> </w:t>
      </w:r>
      <w:r>
        <w:t>sessions,</w:t>
      </w:r>
      <w:r>
        <w:rPr>
          <w:spacing w:val="-2"/>
        </w:rPr>
        <w:t xml:space="preserve"> </w:t>
      </w:r>
      <w:r>
        <w:t>remember</w:t>
      </w:r>
      <w:r>
        <w:rPr>
          <w:spacing w:val="-2"/>
        </w:rPr>
        <w:t xml:space="preserve"> </w:t>
      </w:r>
      <w:r>
        <w:rPr>
          <w:spacing w:val="-5"/>
        </w:rPr>
        <w:t>to:</w:t>
      </w:r>
    </w:p>
    <w:p w14:paraId="4E7F3263" w14:textId="77777777" w:rsidR="00DB6E1F" w:rsidRDefault="00F666A6">
      <w:pPr>
        <w:pStyle w:val="ListParagraph"/>
        <w:numPr>
          <w:ilvl w:val="0"/>
          <w:numId w:val="92"/>
        </w:numPr>
        <w:tabs>
          <w:tab w:val="left" w:pos="1799"/>
          <w:tab w:val="left" w:pos="1800"/>
        </w:tabs>
        <w:spacing w:before="41"/>
        <w:ind w:left="1799" w:right="1770"/>
        <w:rPr>
          <w:rFonts w:ascii="Symbol" w:hAnsi="Symbol"/>
        </w:rPr>
      </w:pPr>
      <w:r>
        <w:t>Recognize</w:t>
      </w:r>
      <w:r>
        <w:rPr>
          <w:spacing w:val="-1"/>
        </w:rPr>
        <w:t xml:space="preserve"> </w:t>
      </w:r>
      <w:r>
        <w:t>client</w:t>
      </w:r>
      <w:r>
        <w:rPr>
          <w:spacing w:val="-4"/>
        </w:rPr>
        <w:t xml:space="preserve"> </w:t>
      </w:r>
      <w:r>
        <w:t>expressions</w:t>
      </w:r>
      <w:r>
        <w:rPr>
          <w:spacing w:val="-2"/>
        </w:rPr>
        <w:t xml:space="preserve"> </w:t>
      </w:r>
      <w:r>
        <w:t>of</w:t>
      </w:r>
      <w:r>
        <w:rPr>
          <w:spacing w:val="-2"/>
        </w:rPr>
        <w:t xml:space="preserve"> </w:t>
      </w:r>
      <w:r>
        <w:t>change</w:t>
      </w:r>
      <w:r>
        <w:rPr>
          <w:spacing w:val="-4"/>
        </w:rPr>
        <w:t xml:space="preserve"> </w:t>
      </w:r>
      <w:r>
        <w:t>talk</w:t>
      </w:r>
      <w:r>
        <w:rPr>
          <w:spacing w:val="-4"/>
        </w:rPr>
        <w:t xml:space="preserve"> </w:t>
      </w:r>
      <w:r>
        <w:t>but</w:t>
      </w:r>
      <w:r>
        <w:rPr>
          <w:spacing w:val="-1"/>
        </w:rPr>
        <w:t xml:space="preserve"> </w:t>
      </w:r>
      <w:r>
        <w:t>don’t</w:t>
      </w:r>
      <w:r>
        <w:rPr>
          <w:spacing w:val="-4"/>
        </w:rPr>
        <w:t xml:space="preserve"> </w:t>
      </w:r>
      <w:r>
        <w:t>worry</w:t>
      </w:r>
      <w:r>
        <w:rPr>
          <w:spacing w:val="-1"/>
        </w:rPr>
        <w:t xml:space="preserve"> </w:t>
      </w:r>
      <w:r>
        <w:t>about</w:t>
      </w:r>
      <w:r>
        <w:rPr>
          <w:spacing w:val="-1"/>
        </w:rPr>
        <w:t xml:space="preserve"> </w:t>
      </w:r>
      <w:r>
        <w:t>differentiating</w:t>
      </w:r>
      <w:r>
        <w:rPr>
          <w:spacing w:val="-5"/>
        </w:rPr>
        <w:t xml:space="preserve"> </w:t>
      </w:r>
      <w:r>
        <w:t>various</w:t>
      </w:r>
      <w:r>
        <w:rPr>
          <w:spacing w:val="-2"/>
        </w:rPr>
        <w:t xml:space="preserve"> </w:t>
      </w:r>
      <w:r>
        <w:t>kinds</w:t>
      </w:r>
      <w:r>
        <w:rPr>
          <w:spacing w:val="-4"/>
        </w:rPr>
        <w:t xml:space="preserve"> </w:t>
      </w:r>
      <w:r>
        <w:t>of change talk during a counseling session.</w:t>
      </w:r>
    </w:p>
    <w:p w14:paraId="00BCDDA1" w14:textId="77777777" w:rsidR="00DB6E1F" w:rsidRDefault="00F666A6">
      <w:pPr>
        <w:pStyle w:val="ListParagraph"/>
        <w:numPr>
          <w:ilvl w:val="0"/>
          <w:numId w:val="92"/>
        </w:numPr>
        <w:tabs>
          <w:tab w:val="left" w:pos="1799"/>
          <w:tab w:val="left" w:pos="1800"/>
        </w:tabs>
        <w:spacing w:before="61"/>
        <w:ind w:left="1799"/>
        <w:rPr>
          <w:rFonts w:ascii="Symbol" w:hAnsi="Symbol"/>
        </w:rPr>
      </w:pPr>
      <w:r>
        <w:t>Use</w:t>
      </w:r>
      <w:r>
        <w:rPr>
          <w:spacing w:val="-5"/>
        </w:rPr>
        <w:t xml:space="preserve"> </w:t>
      </w:r>
      <w:r>
        <w:t>reflective</w:t>
      </w:r>
      <w:r>
        <w:rPr>
          <w:spacing w:val="-6"/>
        </w:rPr>
        <w:t xml:space="preserve"> </w:t>
      </w:r>
      <w:r>
        <w:t>listening</w:t>
      </w:r>
      <w:r>
        <w:rPr>
          <w:spacing w:val="-5"/>
        </w:rPr>
        <w:t xml:space="preserve"> </w:t>
      </w:r>
      <w:r>
        <w:t>to</w:t>
      </w:r>
      <w:r>
        <w:rPr>
          <w:spacing w:val="-3"/>
        </w:rPr>
        <w:t xml:space="preserve"> </w:t>
      </w:r>
      <w:r>
        <w:t>reinforce</w:t>
      </w:r>
      <w:r>
        <w:rPr>
          <w:spacing w:val="-3"/>
        </w:rPr>
        <w:t xml:space="preserve"> </w:t>
      </w:r>
      <w:r>
        <w:t>and</w:t>
      </w:r>
      <w:r>
        <w:rPr>
          <w:spacing w:val="-5"/>
        </w:rPr>
        <w:t xml:space="preserve"> </w:t>
      </w:r>
      <w:r>
        <w:t>help</w:t>
      </w:r>
      <w:r>
        <w:rPr>
          <w:spacing w:val="-4"/>
        </w:rPr>
        <w:t xml:space="preserve"> </w:t>
      </w:r>
      <w:r>
        <w:t>clients</w:t>
      </w:r>
      <w:r>
        <w:rPr>
          <w:spacing w:val="-6"/>
        </w:rPr>
        <w:t xml:space="preserve"> </w:t>
      </w:r>
      <w:r>
        <w:t>elaborate</w:t>
      </w:r>
      <w:r>
        <w:rPr>
          <w:spacing w:val="-6"/>
        </w:rPr>
        <w:t xml:space="preserve"> </w:t>
      </w:r>
      <w:r>
        <w:t>on</w:t>
      </w:r>
      <w:r>
        <w:rPr>
          <w:spacing w:val="-7"/>
        </w:rPr>
        <w:t xml:space="preserve"> </w:t>
      </w:r>
      <w:r>
        <w:t>change</w:t>
      </w:r>
      <w:r>
        <w:rPr>
          <w:spacing w:val="-2"/>
        </w:rPr>
        <w:t xml:space="preserve"> talk.</w:t>
      </w:r>
    </w:p>
    <w:p w14:paraId="688F1EE9" w14:textId="77777777" w:rsidR="00DB6E1F" w:rsidRDefault="00F666A6">
      <w:pPr>
        <w:pStyle w:val="ListParagraph"/>
        <w:numPr>
          <w:ilvl w:val="0"/>
          <w:numId w:val="92"/>
        </w:numPr>
        <w:tabs>
          <w:tab w:val="left" w:pos="1799"/>
          <w:tab w:val="left" w:pos="1800"/>
        </w:tabs>
        <w:ind w:left="1799"/>
        <w:rPr>
          <w:rFonts w:ascii="Symbol" w:hAnsi="Symbol"/>
        </w:rPr>
      </w:pPr>
      <w:r>
        <w:t>Use</w:t>
      </w:r>
      <w:r>
        <w:rPr>
          <w:spacing w:val="-7"/>
        </w:rPr>
        <w:t xml:space="preserve"> </w:t>
      </w:r>
      <w:r>
        <w:t>DARN-CAT</w:t>
      </w:r>
      <w:r>
        <w:rPr>
          <w:spacing w:val="-3"/>
        </w:rPr>
        <w:t xml:space="preserve"> </w:t>
      </w:r>
      <w:r>
        <w:t>in</w:t>
      </w:r>
      <w:r>
        <w:rPr>
          <w:spacing w:val="-6"/>
        </w:rPr>
        <w:t xml:space="preserve"> </w:t>
      </w:r>
      <w:r>
        <w:t>conversations</w:t>
      </w:r>
      <w:r>
        <w:rPr>
          <w:spacing w:val="-4"/>
        </w:rPr>
        <w:t xml:space="preserve"> </w:t>
      </w:r>
      <w:r>
        <w:t>with</w:t>
      </w:r>
      <w:r>
        <w:rPr>
          <w:spacing w:val="-4"/>
        </w:rPr>
        <w:t xml:space="preserve"> </w:t>
      </w:r>
      <w:r>
        <w:rPr>
          <w:spacing w:val="-2"/>
        </w:rPr>
        <w:t>clients.</w:t>
      </w:r>
    </w:p>
    <w:p w14:paraId="55A1BE0A" w14:textId="77777777" w:rsidR="00DB6E1F" w:rsidRDefault="00F666A6">
      <w:pPr>
        <w:pStyle w:val="ListParagraph"/>
        <w:numPr>
          <w:ilvl w:val="0"/>
          <w:numId w:val="92"/>
        </w:numPr>
        <w:tabs>
          <w:tab w:val="left" w:pos="1799"/>
          <w:tab w:val="left" w:pos="1800"/>
        </w:tabs>
        <w:spacing w:before="58"/>
        <w:ind w:left="1799" w:right="1481" w:hanging="360"/>
        <w:rPr>
          <w:rFonts w:ascii="Symbol" w:hAnsi="Symbol"/>
        </w:rPr>
      </w:pPr>
      <w:r>
        <w:t>Recognize</w:t>
      </w:r>
      <w:r>
        <w:rPr>
          <w:spacing w:val="-1"/>
        </w:rPr>
        <w:t xml:space="preserve"> </w:t>
      </w:r>
      <w:r>
        <w:t>sustain</w:t>
      </w:r>
      <w:r>
        <w:rPr>
          <w:spacing w:val="-3"/>
        </w:rPr>
        <w:t xml:space="preserve"> </w:t>
      </w:r>
      <w:r>
        <w:t>talk</w:t>
      </w:r>
      <w:r>
        <w:rPr>
          <w:spacing w:val="-1"/>
        </w:rPr>
        <w:t xml:space="preserve"> </w:t>
      </w:r>
      <w:r>
        <w:t>and</w:t>
      </w:r>
      <w:r>
        <w:rPr>
          <w:spacing w:val="-5"/>
        </w:rPr>
        <w:t xml:space="preserve"> </w:t>
      </w:r>
      <w:r>
        <w:t>use</w:t>
      </w:r>
      <w:r>
        <w:rPr>
          <w:spacing w:val="-1"/>
        </w:rPr>
        <w:t xml:space="preserve"> </w:t>
      </w:r>
      <w:r>
        <w:t>MI</w:t>
      </w:r>
      <w:r>
        <w:rPr>
          <w:spacing w:val="-5"/>
        </w:rPr>
        <w:t xml:space="preserve"> </w:t>
      </w:r>
      <w:r>
        <w:t>strategies</w:t>
      </w:r>
      <w:r>
        <w:rPr>
          <w:spacing w:val="-4"/>
        </w:rPr>
        <w:t xml:space="preserve"> </w:t>
      </w:r>
      <w:r>
        <w:t>to</w:t>
      </w:r>
      <w:r>
        <w:rPr>
          <w:spacing w:val="-3"/>
        </w:rPr>
        <w:t xml:space="preserve"> </w:t>
      </w:r>
      <w:r>
        <w:t>lessen</w:t>
      </w:r>
      <w:r>
        <w:rPr>
          <w:spacing w:val="-5"/>
        </w:rPr>
        <w:t xml:space="preserve"> </w:t>
      </w:r>
      <w:r>
        <w:t>the</w:t>
      </w:r>
      <w:r>
        <w:rPr>
          <w:spacing w:val="-1"/>
        </w:rPr>
        <w:t xml:space="preserve"> </w:t>
      </w:r>
      <w:r>
        <w:t>impact</w:t>
      </w:r>
      <w:r>
        <w:rPr>
          <w:spacing w:val="-4"/>
        </w:rPr>
        <w:t xml:space="preserve"> </w:t>
      </w:r>
      <w:r>
        <w:t>of</w:t>
      </w:r>
      <w:r>
        <w:rPr>
          <w:spacing w:val="-2"/>
        </w:rPr>
        <w:t xml:space="preserve"> </w:t>
      </w:r>
      <w:r>
        <w:t>sustain</w:t>
      </w:r>
      <w:r>
        <w:rPr>
          <w:spacing w:val="-3"/>
        </w:rPr>
        <w:t xml:space="preserve"> </w:t>
      </w:r>
      <w:r>
        <w:t>talk</w:t>
      </w:r>
      <w:r>
        <w:rPr>
          <w:spacing w:val="-4"/>
        </w:rPr>
        <w:t xml:space="preserve"> </w:t>
      </w:r>
      <w:r>
        <w:t>on</w:t>
      </w:r>
      <w:r>
        <w:rPr>
          <w:spacing w:val="-3"/>
        </w:rPr>
        <w:t xml:space="preserve"> </w:t>
      </w:r>
      <w:r>
        <w:t>clients’</w:t>
      </w:r>
      <w:r>
        <w:rPr>
          <w:spacing w:val="-2"/>
        </w:rPr>
        <w:t xml:space="preserve"> </w:t>
      </w:r>
      <w:r>
        <w:t>readiness to change (see discussion of responding to change talk and sustain talk in the next section).</w:t>
      </w:r>
    </w:p>
    <w:p w14:paraId="3904726E" w14:textId="77777777" w:rsidR="00DB6E1F" w:rsidRDefault="00F666A6">
      <w:pPr>
        <w:pStyle w:val="ListParagraph"/>
        <w:numPr>
          <w:ilvl w:val="0"/>
          <w:numId w:val="92"/>
        </w:numPr>
        <w:tabs>
          <w:tab w:val="left" w:pos="1799"/>
          <w:tab w:val="left" w:pos="1800"/>
        </w:tabs>
        <w:spacing w:before="61"/>
        <w:ind w:left="1799" w:right="2109" w:hanging="360"/>
        <w:rPr>
          <w:rFonts w:ascii="Symbol" w:hAnsi="Symbol"/>
        </w:rPr>
      </w:pPr>
      <w:r>
        <w:t>Be</w:t>
      </w:r>
      <w:r>
        <w:rPr>
          <w:spacing w:val="-1"/>
        </w:rPr>
        <w:t xml:space="preserve"> </w:t>
      </w:r>
      <w:r>
        <w:t>aware</w:t>
      </w:r>
      <w:r>
        <w:rPr>
          <w:spacing w:val="-1"/>
        </w:rPr>
        <w:t xml:space="preserve"> </w:t>
      </w:r>
      <w:r>
        <w:t>that</w:t>
      </w:r>
      <w:r>
        <w:rPr>
          <w:spacing w:val="-2"/>
        </w:rPr>
        <w:t xml:space="preserve"> </w:t>
      </w:r>
      <w:r>
        <w:t>both</w:t>
      </w:r>
      <w:r>
        <w:rPr>
          <w:spacing w:val="-3"/>
        </w:rPr>
        <w:t xml:space="preserve"> </w:t>
      </w:r>
      <w:r>
        <w:t>sides</w:t>
      </w:r>
      <w:r>
        <w:rPr>
          <w:spacing w:val="-4"/>
        </w:rPr>
        <w:t xml:space="preserve"> </w:t>
      </w:r>
      <w:r>
        <w:t>of</w:t>
      </w:r>
      <w:r>
        <w:rPr>
          <w:spacing w:val="-4"/>
        </w:rPr>
        <w:t xml:space="preserve"> </w:t>
      </w:r>
      <w:r>
        <w:t>ambivalence</w:t>
      </w:r>
      <w:r>
        <w:rPr>
          <w:spacing w:val="-4"/>
        </w:rPr>
        <w:t xml:space="preserve"> </w:t>
      </w:r>
      <w:r>
        <w:t>(change</w:t>
      </w:r>
      <w:r>
        <w:rPr>
          <w:spacing w:val="-4"/>
        </w:rPr>
        <w:t xml:space="preserve"> </w:t>
      </w:r>
      <w:r>
        <w:t>talk</w:t>
      </w:r>
      <w:r>
        <w:rPr>
          <w:spacing w:val="-4"/>
        </w:rPr>
        <w:t xml:space="preserve"> </w:t>
      </w:r>
      <w:r>
        <w:t>and</w:t>
      </w:r>
      <w:r>
        <w:rPr>
          <w:spacing w:val="-3"/>
        </w:rPr>
        <w:t xml:space="preserve"> </w:t>
      </w:r>
      <w:r>
        <w:t>sustain</w:t>
      </w:r>
      <w:r>
        <w:rPr>
          <w:spacing w:val="-3"/>
        </w:rPr>
        <w:t xml:space="preserve"> </w:t>
      </w:r>
      <w:r>
        <w:t>talk)</w:t>
      </w:r>
      <w:r>
        <w:rPr>
          <w:spacing w:val="-4"/>
        </w:rPr>
        <w:t xml:space="preserve"> </w:t>
      </w:r>
      <w:r>
        <w:t>will</w:t>
      </w:r>
      <w:r>
        <w:rPr>
          <w:spacing w:val="-2"/>
        </w:rPr>
        <w:t xml:space="preserve"> </w:t>
      </w:r>
      <w:r>
        <w:t>be</w:t>
      </w:r>
      <w:r>
        <w:rPr>
          <w:spacing w:val="-1"/>
        </w:rPr>
        <w:t xml:space="preserve"> </w:t>
      </w:r>
      <w:r>
        <w:t>present</w:t>
      </w:r>
      <w:r>
        <w:rPr>
          <w:spacing w:val="-2"/>
        </w:rPr>
        <w:t xml:space="preserve"> </w:t>
      </w:r>
      <w:r>
        <w:t>in</w:t>
      </w:r>
      <w:r>
        <w:rPr>
          <w:spacing w:val="-5"/>
        </w:rPr>
        <w:t xml:space="preserve"> </w:t>
      </w:r>
      <w:r>
        <w:t>your conversations with clients.</w:t>
      </w:r>
    </w:p>
    <w:p w14:paraId="7AA6B5E8" w14:textId="77777777" w:rsidR="00DB6E1F" w:rsidRDefault="00F666A6">
      <w:pPr>
        <w:pStyle w:val="Heading3"/>
        <w:spacing w:before="164"/>
      </w:pPr>
      <w:bookmarkStart w:id="92" w:name="A_New_Look_at_Resistance"/>
      <w:bookmarkEnd w:id="92"/>
      <w:r>
        <w:t>A</w:t>
      </w:r>
      <w:r>
        <w:rPr>
          <w:spacing w:val="-4"/>
        </w:rPr>
        <w:t xml:space="preserve"> </w:t>
      </w:r>
      <w:r>
        <w:t>New</w:t>
      </w:r>
      <w:r>
        <w:rPr>
          <w:spacing w:val="-6"/>
        </w:rPr>
        <w:t xml:space="preserve"> </w:t>
      </w:r>
      <w:r>
        <w:t>Look</w:t>
      </w:r>
      <w:r>
        <w:rPr>
          <w:spacing w:val="-3"/>
        </w:rPr>
        <w:t xml:space="preserve"> </w:t>
      </w:r>
      <w:r>
        <w:t>at</w:t>
      </w:r>
      <w:r>
        <w:rPr>
          <w:spacing w:val="-4"/>
        </w:rPr>
        <w:t xml:space="preserve"> </w:t>
      </w:r>
      <w:r>
        <w:rPr>
          <w:spacing w:val="-2"/>
        </w:rPr>
        <w:t>Resist</w:t>
      </w:r>
      <w:r>
        <w:rPr>
          <w:spacing w:val="-2"/>
        </w:rPr>
        <w:t>ance</w:t>
      </w:r>
    </w:p>
    <w:p w14:paraId="689D7E37" w14:textId="77777777" w:rsidR="00DB6E1F" w:rsidRDefault="00F666A6">
      <w:pPr>
        <w:spacing w:before="141"/>
        <w:ind w:left="1440" w:right="1444"/>
      </w:pPr>
      <w:r>
        <w:rPr>
          <w:b/>
        </w:rPr>
        <w:t>Understanding the</w:t>
      </w:r>
      <w:r>
        <w:rPr>
          <w:b/>
          <w:spacing w:val="-1"/>
        </w:rPr>
        <w:t xml:space="preserve"> </w:t>
      </w:r>
      <w:r>
        <w:rPr>
          <w:b/>
        </w:rPr>
        <w:t>role of</w:t>
      </w:r>
      <w:r>
        <w:rPr>
          <w:b/>
          <w:spacing w:val="-1"/>
        </w:rPr>
        <w:t xml:space="preserve"> </w:t>
      </w:r>
      <w:r>
        <w:rPr>
          <w:b/>
        </w:rPr>
        <w:t>resistance and how to</w:t>
      </w:r>
      <w:r>
        <w:rPr>
          <w:b/>
          <w:spacing w:val="-1"/>
        </w:rPr>
        <w:t xml:space="preserve"> </w:t>
      </w:r>
      <w:r>
        <w:rPr>
          <w:b/>
        </w:rPr>
        <w:t>respond to it can help</w:t>
      </w:r>
      <w:r>
        <w:rPr>
          <w:b/>
          <w:spacing w:val="-1"/>
        </w:rPr>
        <w:t xml:space="preserve"> </w:t>
      </w:r>
      <w:r>
        <w:rPr>
          <w:b/>
        </w:rPr>
        <w:t>you maintain good</w:t>
      </w:r>
      <w:r>
        <w:rPr>
          <w:b/>
          <w:spacing w:val="-1"/>
        </w:rPr>
        <w:t xml:space="preserve"> </w:t>
      </w:r>
      <w:r>
        <w:rPr>
          <w:b/>
        </w:rPr>
        <w:t xml:space="preserve">counselor‒ client rapport. </w:t>
      </w:r>
      <w:r>
        <w:t xml:space="preserve">Resistance in SUD treatment has historically been considered a problem centered in the client. As MI has developed over the years, its </w:t>
      </w:r>
      <w:r>
        <w:t>understanding of resistance has changed. Instead of emphasizing resistance as a pathological defense mechanism, MI views resistance as a normal part of ambivalence</w:t>
      </w:r>
      <w:r>
        <w:rPr>
          <w:spacing w:val="-4"/>
        </w:rPr>
        <w:t xml:space="preserve"> </w:t>
      </w:r>
      <w:r>
        <w:t>and</w:t>
      </w:r>
      <w:r>
        <w:rPr>
          <w:spacing w:val="-3"/>
        </w:rPr>
        <w:t xml:space="preserve"> </w:t>
      </w:r>
      <w:r>
        <w:t>a</w:t>
      </w:r>
      <w:r>
        <w:rPr>
          <w:spacing w:val="-2"/>
        </w:rPr>
        <w:t xml:space="preserve"> </w:t>
      </w:r>
      <w:r>
        <w:t>client’s</w:t>
      </w:r>
      <w:r>
        <w:rPr>
          <w:spacing w:val="-4"/>
        </w:rPr>
        <w:t xml:space="preserve"> </w:t>
      </w:r>
      <w:r>
        <w:t>reaction</w:t>
      </w:r>
      <w:r>
        <w:rPr>
          <w:spacing w:val="-3"/>
        </w:rPr>
        <w:t xml:space="preserve"> </w:t>
      </w:r>
      <w:r>
        <w:t>to</w:t>
      </w:r>
      <w:r>
        <w:rPr>
          <w:spacing w:val="-1"/>
        </w:rPr>
        <w:t xml:space="preserve"> </w:t>
      </w:r>
      <w:r>
        <w:t>the</w:t>
      </w:r>
      <w:r>
        <w:rPr>
          <w:spacing w:val="-1"/>
        </w:rPr>
        <w:t xml:space="preserve"> </w:t>
      </w:r>
      <w:r>
        <w:t>counselor’s</w:t>
      </w:r>
      <w:r>
        <w:rPr>
          <w:spacing w:val="-4"/>
        </w:rPr>
        <w:t xml:space="preserve"> </w:t>
      </w:r>
      <w:r>
        <w:t>approach</w:t>
      </w:r>
      <w:r>
        <w:rPr>
          <w:spacing w:val="-3"/>
        </w:rPr>
        <w:t xml:space="preserve"> </w:t>
      </w:r>
      <w:r>
        <w:t>in</w:t>
      </w:r>
      <w:r>
        <w:rPr>
          <w:spacing w:val="-3"/>
        </w:rPr>
        <w:t xml:space="preserve"> </w:t>
      </w:r>
      <w:r>
        <w:t>the</w:t>
      </w:r>
      <w:r>
        <w:rPr>
          <w:spacing w:val="-6"/>
        </w:rPr>
        <w:t xml:space="preserve"> </w:t>
      </w:r>
      <w:r>
        <w:t>moment</w:t>
      </w:r>
      <w:r>
        <w:rPr>
          <w:spacing w:val="-4"/>
        </w:rPr>
        <w:t xml:space="preserve"> </w:t>
      </w:r>
      <w:r>
        <w:t>(Miller</w:t>
      </w:r>
      <w:r>
        <w:rPr>
          <w:spacing w:val="-4"/>
        </w:rPr>
        <w:t xml:space="preserve"> </w:t>
      </w:r>
      <w:r>
        <w:t>&amp;</w:t>
      </w:r>
      <w:r>
        <w:rPr>
          <w:spacing w:val="-1"/>
        </w:rPr>
        <w:t xml:space="preserve"> </w:t>
      </w:r>
      <w:r>
        <w:t>Rollnick,</w:t>
      </w:r>
      <w:r>
        <w:rPr>
          <w:spacing w:val="-4"/>
        </w:rPr>
        <w:t xml:space="preserve"> </w:t>
      </w:r>
      <w:r>
        <w:t>2013).</w:t>
      </w:r>
    </w:p>
    <w:p w14:paraId="7CFFE469" w14:textId="77777777" w:rsidR="00DB6E1F" w:rsidRDefault="00F666A6">
      <w:pPr>
        <w:pStyle w:val="BodyText"/>
        <w:spacing w:before="159"/>
        <w:ind w:left="1439" w:right="1507"/>
      </w:pPr>
      <w:r>
        <w:t>A</w:t>
      </w:r>
      <w:r>
        <w:rPr>
          <w:spacing w:val="-1"/>
        </w:rPr>
        <w:t xml:space="preserve"> </w:t>
      </w:r>
      <w:r>
        <w:t>client</w:t>
      </w:r>
      <w:r>
        <w:rPr>
          <w:spacing w:val="-3"/>
        </w:rPr>
        <w:t xml:space="preserve"> </w:t>
      </w:r>
      <w:r>
        <w:t>may express</w:t>
      </w:r>
      <w:r>
        <w:rPr>
          <w:spacing w:val="-1"/>
        </w:rPr>
        <w:t xml:space="preserve"> </w:t>
      </w:r>
      <w:r>
        <w:t>resistance in</w:t>
      </w:r>
      <w:r>
        <w:rPr>
          <w:spacing w:val="-2"/>
        </w:rPr>
        <w:t xml:space="preserve"> </w:t>
      </w:r>
      <w:r>
        <w:t>sustain</w:t>
      </w:r>
      <w:r>
        <w:rPr>
          <w:spacing w:val="-4"/>
        </w:rPr>
        <w:t xml:space="preserve"> </w:t>
      </w:r>
      <w:r>
        <w:t>talk</w:t>
      </w:r>
      <w:r>
        <w:rPr>
          <w:spacing w:val="-3"/>
        </w:rPr>
        <w:t xml:space="preserve"> </w:t>
      </w:r>
      <w:r>
        <w:t>that</w:t>
      </w:r>
      <w:r>
        <w:rPr>
          <w:spacing w:val="-1"/>
        </w:rPr>
        <w:t xml:space="preserve"> </w:t>
      </w:r>
      <w:r>
        <w:t>favors</w:t>
      </w:r>
      <w:r>
        <w:rPr>
          <w:spacing w:val="-1"/>
        </w:rPr>
        <w:t xml:space="preserve"> </w:t>
      </w:r>
      <w:r>
        <w:t>the</w:t>
      </w:r>
      <w:r>
        <w:rPr>
          <w:spacing w:val="-3"/>
        </w:rPr>
        <w:t xml:space="preserve"> </w:t>
      </w:r>
      <w:r>
        <w:t>“no</w:t>
      </w:r>
      <w:r>
        <w:rPr>
          <w:spacing w:val="-2"/>
        </w:rPr>
        <w:t xml:space="preserve"> </w:t>
      </w:r>
      <w:r>
        <w:t>change”</w:t>
      </w:r>
      <w:r>
        <w:rPr>
          <w:spacing w:val="-2"/>
        </w:rPr>
        <w:t xml:space="preserve"> </w:t>
      </w:r>
      <w:r>
        <w:t>side</w:t>
      </w:r>
      <w:r>
        <w:rPr>
          <w:spacing w:val="-3"/>
        </w:rPr>
        <w:t xml:space="preserve"> </w:t>
      </w:r>
      <w:r>
        <w:t>of</w:t>
      </w:r>
      <w:r>
        <w:rPr>
          <w:spacing w:val="-4"/>
        </w:rPr>
        <w:t xml:space="preserve"> </w:t>
      </w:r>
      <w:r>
        <w:t>ambivalence.</w:t>
      </w:r>
      <w:r>
        <w:rPr>
          <w:spacing w:val="-4"/>
        </w:rPr>
        <w:t xml:space="preserve"> </w:t>
      </w:r>
      <w:r>
        <w:t>The</w:t>
      </w:r>
      <w:r>
        <w:rPr>
          <w:spacing w:val="-3"/>
        </w:rPr>
        <w:t xml:space="preserve"> </w:t>
      </w:r>
      <w:r>
        <w:t>way you respond to sustain talk can contribute to the client becoming firmly planted in the status quo or help the client move toward cont</w:t>
      </w:r>
      <w:r>
        <w:t>emplating change. For example, the client’s show of ambivalence about change and your arguments for change can create discord in your therapeutic relationship.</w:t>
      </w:r>
    </w:p>
    <w:p w14:paraId="7FEA8794" w14:textId="77777777" w:rsidR="00DB6E1F" w:rsidRDefault="00F666A6">
      <w:pPr>
        <w:spacing w:before="162"/>
        <w:ind w:left="1438" w:right="1491"/>
      </w:pPr>
      <w:r>
        <w:t>Client sustain talk is often evoked by discord in the counseling relationship (Miller &amp; Rollnick</w:t>
      </w:r>
      <w:r>
        <w:t xml:space="preserve">, 2013). </w:t>
      </w:r>
      <w:r>
        <w:rPr>
          <w:b/>
          <w:spacing w:val="-4"/>
        </w:rPr>
        <w:t>Resistance</w:t>
      </w:r>
      <w:r>
        <w:rPr>
          <w:b/>
          <w:spacing w:val="-6"/>
        </w:rPr>
        <w:t xml:space="preserve"> </w:t>
      </w:r>
      <w:r>
        <w:rPr>
          <w:b/>
          <w:spacing w:val="-4"/>
        </w:rPr>
        <w:t>is</w:t>
      </w:r>
      <w:r>
        <w:rPr>
          <w:b/>
          <w:spacing w:val="-7"/>
        </w:rPr>
        <w:t xml:space="preserve"> </w:t>
      </w:r>
      <w:r>
        <w:rPr>
          <w:b/>
          <w:spacing w:val="-4"/>
        </w:rPr>
        <w:t>a</w:t>
      </w:r>
      <w:r>
        <w:rPr>
          <w:b/>
          <w:spacing w:val="-8"/>
        </w:rPr>
        <w:t xml:space="preserve"> </w:t>
      </w:r>
      <w:r>
        <w:rPr>
          <w:b/>
          <w:spacing w:val="-4"/>
        </w:rPr>
        <w:t>two-way</w:t>
      </w:r>
      <w:r>
        <w:rPr>
          <w:b/>
          <w:spacing w:val="-7"/>
        </w:rPr>
        <w:t xml:space="preserve"> </w:t>
      </w:r>
      <w:r>
        <w:rPr>
          <w:b/>
          <w:spacing w:val="-4"/>
        </w:rPr>
        <w:t>street.</w:t>
      </w:r>
      <w:r>
        <w:rPr>
          <w:b/>
          <w:spacing w:val="-6"/>
        </w:rPr>
        <w:t xml:space="preserve"> </w:t>
      </w:r>
      <w:r>
        <w:rPr>
          <w:b/>
          <w:spacing w:val="-4"/>
        </w:rPr>
        <w:t>If</w:t>
      </w:r>
      <w:r>
        <w:rPr>
          <w:b/>
          <w:spacing w:val="-5"/>
        </w:rPr>
        <w:t xml:space="preserve"> </w:t>
      </w:r>
      <w:r>
        <w:rPr>
          <w:b/>
          <w:spacing w:val="-4"/>
        </w:rPr>
        <w:t>discord</w:t>
      </w:r>
      <w:r>
        <w:rPr>
          <w:b/>
          <w:spacing w:val="-6"/>
        </w:rPr>
        <w:t xml:space="preserve"> </w:t>
      </w:r>
      <w:r>
        <w:rPr>
          <w:b/>
          <w:spacing w:val="-4"/>
        </w:rPr>
        <w:t>arises</w:t>
      </w:r>
      <w:r>
        <w:rPr>
          <w:b/>
          <w:spacing w:val="-7"/>
        </w:rPr>
        <w:t xml:space="preserve"> </w:t>
      </w:r>
      <w:r>
        <w:rPr>
          <w:b/>
          <w:spacing w:val="-4"/>
        </w:rPr>
        <w:t>in</w:t>
      </w:r>
      <w:r>
        <w:rPr>
          <w:b/>
          <w:spacing w:val="-8"/>
        </w:rPr>
        <w:t xml:space="preserve"> </w:t>
      </w:r>
      <w:r>
        <w:rPr>
          <w:b/>
          <w:spacing w:val="-4"/>
        </w:rPr>
        <w:t>conversation,</w:t>
      </w:r>
      <w:r>
        <w:rPr>
          <w:b/>
          <w:spacing w:val="-7"/>
        </w:rPr>
        <w:t xml:space="preserve"> </w:t>
      </w:r>
      <w:r>
        <w:rPr>
          <w:b/>
          <w:spacing w:val="-4"/>
        </w:rPr>
        <w:t>change</w:t>
      </w:r>
      <w:r>
        <w:rPr>
          <w:b/>
          <w:spacing w:val="-8"/>
        </w:rPr>
        <w:t xml:space="preserve"> </w:t>
      </w:r>
      <w:r>
        <w:rPr>
          <w:b/>
          <w:spacing w:val="-4"/>
        </w:rPr>
        <w:t>direction</w:t>
      </w:r>
      <w:r>
        <w:rPr>
          <w:b/>
          <w:spacing w:val="-6"/>
        </w:rPr>
        <w:t xml:space="preserve"> </w:t>
      </w:r>
      <w:r>
        <w:rPr>
          <w:b/>
          <w:spacing w:val="-4"/>
        </w:rPr>
        <w:t>or</w:t>
      </w:r>
      <w:r>
        <w:rPr>
          <w:b/>
          <w:spacing w:val="-7"/>
        </w:rPr>
        <w:t xml:space="preserve"> </w:t>
      </w:r>
      <w:r>
        <w:rPr>
          <w:b/>
          <w:spacing w:val="-4"/>
        </w:rPr>
        <w:t>listen</w:t>
      </w:r>
      <w:r>
        <w:rPr>
          <w:b/>
          <w:spacing w:val="-8"/>
        </w:rPr>
        <w:t xml:space="preserve"> </w:t>
      </w:r>
      <w:r>
        <w:rPr>
          <w:b/>
          <w:spacing w:val="-4"/>
        </w:rPr>
        <w:t>more</w:t>
      </w:r>
      <w:r>
        <w:rPr>
          <w:b/>
          <w:spacing w:val="-8"/>
        </w:rPr>
        <w:t xml:space="preserve"> </w:t>
      </w:r>
      <w:r>
        <w:rPr>
          <w:b/>
          <w:spacing w:val="-4"/>
        </w:rPr>
        <w:t xml:space="preserve">carefully. </w:t>
      </w:r>
      <w:r>
        <w:t>This is an opportunity to respond in a new, perhaps surprising, way and to take advantage of the situation without being confrontational. This new way of looking at resistance is consistent with the principles of person-centered counseling described at the</w:t>
      </w:r>
      <w:r>
        <w:t xml:space="preserve"> beginning of the chapter.</w:t>
      </w:r>
    </w:p>
    <w:p w14:paraId="63602748" w14:textId="77777777" w:rsidR="00DB6E1F" w:rsidRDefault="00F666A6">
      <w:pPr>
        <w:pStyle w:val="Heading2"/>
        <w:spacing w:before="163"/>
      </w:pPr>
      <w:bookmarkStart w:id="93" w:name="Core_Skills_of_MI:_OARS"/>
      <w:bookmarkStart w:id="94" w:name="_bookmark21"/>
      <w:bookmarkEnd w:id="93"/>
      <w:bookmarkEnd w:id="94"/>
      <w:r>
        <w:t>Core</w:t>
      </w:r>
      <w:r>
        <w:rPr>
          <w:spacing w:val="-3"/>
        </w:rPr>
        <w:t xml:space="preserve"> </w:t>
      </w:r>
      <w:r>
        <w:t>Skills</w:t>
      </w:r>
      <w:r>
        <w:rPr>
          <w:spacing w:val="-2"/>
        </w:rPr>
        <w:t xml:space="preserve"> </w:t>
      </w:r>
      <w:r>
        <w:t>of</w:t>
      </w:r>
      <w:r>
        <w:rPr>
          <w:spacing w:val="-2"/>
        </w:rPr>
        <w:t xml:space="preserve"> </w:t>
      </w:r>
      <w:r>
        <w:t>MI:</w:t>
      </w:r>
      <w:r>
        <w:rPr>
          <w:spacing w:val="-2"/>
        </w:rPr>
        <w:t xml:space="preserve"> </w:t>
      </w:r>
      <w:r>
        <w:rPr>
          <w:spacing w:val="-4"/>
        </w:rPr>
        <w:t>OARS</w:t>
      </w:r>
    </w:p>
    <w:p w14:paraId="7ACFF25C" w14:textId="77777777" w:rsidR="00DB6E1F" w:rsidRDefault="00F666A6">
      <w:pPr>
        <w:pStyle w:val="BodyText"/>
        <w:spacing w:before="153"/>
        <w:ind w:left="1440"/>
      </w:pPr>
      <w:r>
        <w:t>To</w:t>
      </w:r>
      <w:r>
        <w:rPr>
          <w:spacing w:val="-5"/>
        </w:rPr>
        <w:t xml:space="preserve"> </w:t>
      </w:r>
      <w:r>
        <w:t>remember</w:t>
      </w:r>
      <w:r>
        <w:rPr>
          <w:spacing w:val="-3"/>
        </w:rPr>
        <w:t xml:space="preserve"> </w:t>
      </w:r>
      <w:r>
        <w:t>the</w:t>
      </w:r>
      <w:r>
        <w:rPr>
          <w:spacing w:val="-2"/>
        </w:rPr>
        <w:t xml:space="preserve"> </w:t>
      </w:r>
      <w:r>
        <w:t>core</w:t>
      </w:r>
      <w:r>
        <w:rPr>
          <w:spacing w:val="-5"/>
        </w:rPr>
        <w:t xml:space="preserve"> </w:t>
      </w:r>
      <w:r>
        <w:t>counseling</w:t>
      </w:r>
      <w:r>
        <w:rPr>
          <w:spacing w:val="-3"/>
        </w:rPr>
        <w:t xml:space="preserve"> </w:t>
      </w:r>
      <w:r>
        <w:t>skills</w:t>
      </w:r>
      <w:r>
        <w:rPr>
          <w:spacing w:val="-5"/>
        </w:rPr>
        <w:t xml:space="preserve"> </w:t>
      </w:r>
      <w:r>
        <w:t>of</w:t>
      </w:r>
      <w:r>
        <w:rPr>
          <w:spacing w:val="-5"/>
        </w:rPr>
        <w:t xml:space="preserve"> </w:t>
      </w:r>
      <w:r>
        <w:t>MI,</w:t>
      </w:r>
      <w:r>
        <w:rPr>
          <w:spacing w:val="-4"/>
        </w:rPr>
        <w:t xml:space="preserve"> </w:t>
      </w:r>
      <w:r>
        <w:t>use</w:t>
      </w:r>
      <w:r>
        <w:rPr>
          <w:spacing w:val="-4"/>
        </w:rPr>
        <w:t xml:space="preserve"> </w:t>
      </w:r>
      <w:r>
        <w:t>the</w:t>
      </w:r>
      <w:r>
        <w:rPr>
          <w:spacing w:val="-5"/>
        </w:rPr>
        <w:t xml:space="preserve"> </w:t>
      </w:r>
      <w:r>
        <w:t>acronym</w:t>
      </w:r>
      <w:r>
        <w:rPr>
          <w:spacing w:val="-4"/>
        </w:rPr>
        <w:t xml:space="preserve"> </w:t>
      </w:r>
      <w:r>
        <w:t>OARS</w:t>
      </w:r>
      <w:r>
        <w:rPr>
          <w:spacing w:val="-3"/>
        </w:rPr>
        <w:t xml:space="preserve"> </w:t>
      </w:r>
      <w:r>
        <w:t>(Miller</w:t>
      </w:r>
      <w:r>
        <w:rPr>
          <w:spacing w:val="-5"/>
        </w:rPr>
        <w:t xml:space="preserve"> </w:t>
      </w:r>
      <w:r>
        <w:t>&amp;</w:t>
      </w:r>
      <w:r>
        <w:rPr>
          <w:spacing w:val="-2"/>
        </w:rPr>
        <w:t xml:space="preserve"> </w:t>
      </w:r>
      <w:r>
        <w:t>Rollnick,</w:t>
      </w:r>
      <w:r>
        <w:rPr>
          <w:spacing w:val="-3"/>
        </w:rPr>
        <w:t xml:space="preserve"> </w:t>
      </w:r>
      <w:r>
        <w:rPr>
          <w:spacing w:val="-2"/>
        </w:rPr>
        <w:t>2013):</w:t>
      </w:r>
    </w:p>
    <w:p w14:paraId="1691A145" w14:textId="77777777" w:rsidR="00DB6E1F" w:rsidRDefault="00F666A6">
      <w:pPr>
        <w:pStyle w:val="ListParagraph"/>
        <w:numPr>
          <w:ilvl w:val="0"/>
          <w:numId w:val="92"/>
        </w:numPr>
        <w:tabs>
          <w:tab w:val="left" w:pos="1800"/>
          <w:tab w:val="left" w:pos="1801"/>
        </w:tabs>
        <w:spacing w:before="58"/>
        <w:ind w:left="1800"/>
        <w:rPr>
          <w:rFonts w:ascii="Symbol" w:hAnsi="Symbol"/>
        </w:rPr>
      </w:pPr>
      <w:r>
        <w:t>Asking</w:t>
      </w:r>
      <w:r>
        <w:rPr>
          <w:spacing w:val="-3"/>
        </w:rPr>
        <w:t xml:space="preserve"> </w:t>
      </w:r>
      <w:r>
        <w:rPr>
          <w:b/>
        </w:rPr>
        <w:t>O</w:t>
      </w:r>
      <w:r>
        <w:t>pen</w:t>
      </w:r>
      <w:r>
        <w:rPr>
          <w:spacing w:val="-3"/>
        </w:rPr>
        <w:t xml:space="preserve"> </w:t>
      </w:r>
      <w:r>
        <w:rPr>
          <w:spacing w:val="-2"/>
        </w:rPr>
        <w:t>questions</w:t>
      </w:r>
    </w:p>
    <w:p w14:paraId="6BE492A1" w14:textId="77777777" w:rsidR="00DB6E1F" w:rsidRDefault="00F666A6">
      <w:pPr>
        <w:pStyle w:val="ListParagraph"/>
        <w:numPr>
          <w:ilvl w:val="0"/>
          <w:numId w:val="92"/>
        </w:numPr>
        <w:tabs>
          <w:tab w:val="left" w:pos="1800"/>
          <w:tab w:val="left" w:pos="1801"/>
        </w:tabs>
        <w:ind w:left="1800"/>
        <w:rPr>
          <w:rFonts w:ascii="Symbol" w:hAnsi="Symbol"/>
        </w:rPr>
      </w:pPr>
      <w:r>
        <w:rPr>
          <w:b/>
          <w:spacing w:val="-2"/>
        </w:rPr>
        <w:t>A</w:t>
      </w:r>
      <w:r>
        <w:rPr>
          <w:spacing w:val="-2"/>
        </w:rPr>
        <w:t>ffirming</w:t>
      </w:r>
    </w:p>
    <w:p w14:paraId="3ADA1E07" w14:textId="77777777" w:rsidR="00DB6E1F" w:rsidRDefault="00F666A6">
      <w:pPr>
        <w:pStyle w:val="ListParagraph"/>
        <w:numPr>
          <w:ilvl w:val="0"/>
          <w:numId w:val="92"/>
        </w:numPr>
        <w:tabs>
          <w:tab w:val="left" w:pos="1800"/>
          <w:tab w:val="left" w:pos="1801"/>
        </w:tabs>
        <w:spacing w:before="61"/>
        <w:ind w:left="1800"/>
        <w:rPr>
          <w:rFonts w:ascii="Symbol" w:hAnsi="Symbol"/>
        </w:rPr>
      </w:pPr>
      <w:r>
        <w:rPr>
          <w:b/>
        </w:rPr>
        <w:t>R</w:t>
      </w:r>
      <w:r>
        <w:t>eflective</w:t>
      </w:r>
      <w:r>
        <w:rPr>
          <w:spacing w:val="-7"/>
        </w:rPr>
        <w:t xml:space="preserve"> </w:t>
      </w:r>
      <w:r>
        <w:rPr>
          <w:spacing w:val="-2"/>
        </w:rPr>
        <w:t>listening</w:t>
      </w:r>
    </w:p>
    <w:p w14:paraId="5CBECFFA" w14:textId="77777777" w:rsidR="00DB6E1F" w:rsidRDefault="00F666A6">
      <w:pPr>
        <w:pStyle w:val="ListParagraph"/>
        <w:numPr>
          <w:ilvl w:val="0"/>
          <w:numId w:val="92"/>
        </w:numPr>
        <w:tabs>
          <w:tab w:val="left" w:pos="1800"/>
          <w:tab w:val="left" w:pos="1801"/>
        </w:tabs>
        <w:spacing w:before="58"/>
        <w:ind w:left="1800"/>
        <w:rPr>
          <w:rFonts w:ascii="Symbol" w:hAnsi="Symbol"/>
        </w:rPr>
      </w:pPr>
      <w:r>
        <w:rPr>
          <w:b/>
          <w:spacing w:val="-2"/>
        </w:rPr>
        <w:t>S</w:t>
      </w:r>
      <w:r>
        <w:rPr>
          <w:spacing w:val="-2"/>
        </w:rPr>
        <w:t>ummarizing</w:t>
      </w:r>
    </w:p>
    <w:p w14:paraId="1F3D9711" w14:textId="77777777" w:rsidR="00DB6E1F" w:rsidRDefault="00DB6E1F">
      <w:pPr>
        <w:rPr>
          <w:rFonts w:ascii="Symbol" w:hAnsi="Symbol"/>
        </w:rPr>
        <w:sectPr w:rsidR="00DB6E1F">
          <w:pgSz w:w="12240" w:h="15840"/>
          <w:pgMar w:top="1200" w:right="0" w:bottom="780" w:left="0" w:header="763" w:footer="585" w:gutter="0"/>
          <w:cols w:space="720"/>
        </w:sectPr>
      </w:pPr>
    </w:p>
    <w:p w14:paraId="18D93A93" w14:textId="77777777" w:rsidR="00DB6E1F" w:rsidRDefault="00DB6E1F">
      <w:pPr>
        <w:pStyle w:val="BodyText"/>
        <w:spacing w:before="8"/>
        <w:rPr>
          <w:sz w:val="14"/>
        </w:rPr>
      </w:pPr>
    </w:p>
    <w:p w14:paraId="60A8D33F" w14:textId="77777777" w:rsidR="00DB6E1F" w:rsidRDefault="00F666A6">
      <w:pPr>
        <w:pStyle w:val="BodyText"/>
        <w:spacing w:before="56"/>
        <w:ind w:left="1439" w:right="1491"/>
      </w:pPr>
      <w:r>
        <w:t>These core skills are consistent with the principles of person-centered counseling and can be used throughout your work with clients. If you use these skills, you will more likely have greater success in engaging</w:t>
      </w:r>
      <w:r>
        <w:rPr>
          <w:spacing w:val="-3"/>
        </w:rPr>
        <w:t xml:space="preserve"> </w:t>
      </w:r>
      <w:r>
        <w:t>clients</w:t>
      </w:r>
      <w:r>
        <w:rPr>
          <w:spacing w:val="-3"/>
        </w:rPr>
        <w:t xml:space="preserve"> </w:t>
      </w:r>
      <w:r>
        <w:t>and</w:t>
      </w:r>
      <w:r>
        <w:rPr>
          <w:spacing w:val="-3"/>
        </w:rPr>
        <w:t xml:space="preserve"> </w:t>
      </w:r>
      <w:r>
        <w:t>less</w:t>
      </w:r>
      <w:r>
        <w:rPr>
          <w:spacing w:val="-3"/>
        </w:rPr>
        <w:t xml:space="preserve"> </w:t>
      </w:r>
      <w:r>
        <w:t>incidence</w:t>
      </w:r>
      <w:r>
        <w:rPr>
          <w:spacing w:val="-4"/>
        </w:rPr>
        <w:t xml:space="preserve"> </w:t>
      </w:r>
      <w:r>
        <w:t>of</w:t>
      </w:r>
      <w:r>
        <w:rPr>
          <w:spacing w:val="-3"/>
        </w:rPr>
        <w:t xml:space="preserve"> </w:t>
      </w:r>
      <w:r>
        <w:t>discord</w:t>
      </w:r>
      <w:r>
        <w:rPr>
          <w:spacing w:val="-5"/>
        </w:rPr>
        <w:t xml:space="preserve"> </w:t>
      </w:r>
      <w:r>
        <w:t>withi</w:t>
      </w:r>
      <w:r>
        <w:t>n</w:t>
      </w:r>
      <w:r>
        <w:rPr>
          <w:spacing w:val="-2"/>
        </w:rPr>
        <w:t xml:space="preserve"> </w:t>
      </w:r>
      <w:r>
        <w:t>the</w:t>
      </w:r>
      <w:r>
        <w:rPr>
          <w:spacing w:val="-2"/>
        </w:rPr>
        <w:t xml:space="preserve"> </w:t>
      </w:r>
      <w:r>
        <w:t>counselor–client</w:t>
      </w:r>
      <w:r>
        <w:rPr>
          <w:spacing w:val="-4"/>
        </w:rPr>
        <w:t xml:space="preserve"> </w:t>
      </w:r>
      <w:r>
        <w:t>relationship.</w:t>
      </w:r>
      <w:r>
        <w:rPr>
          <w:spacing w:val="-3"/>
        </w:rPr>
        <w:t xml:space="preserve"> </w:t>
      </w:r>
      <w:r>
        <w:t>These</w:t>
      </w:r>
      <w:r>
        <w:rPr>
          <w:spacing w:val="-2"/>
        </w:rPr>
        <w:t xml:space="preserve"> </w:t>
      </w:r>
      <w:r>
        <w:t>core</w:t>
      </w:r>
      <w:r>
        <w:rPr>
          <w:spacing w:val="-4"/>
        </w:rPr>
        <w:t xml:space="preserve"> </w:t>
      </w:r>
      <w:r>
        <w:t>skills are described below.</w:t>
      </w:r>
    </w:p>
    <w:p w14:paraId="47BCFA6B" w14:textId="77777777" w:rsidR="00DB6E1F" w:rsidRDefault="00F666A6">
      <w:pPr>
        <w:pStyle w:val="Heading3"/>
      </w:pPr>
      <w:bookmarkStart w:id="95" w:name="Asking_Open_Questions"/>
      <w:bookmarkEnd w:id="95"/>
      <w:r>
        <w:t>Asking</w:t>
      </w:r>
      <w:r>
        <w:rPr>
          <w:spacing w:val="-9"/>
        </w:rPr>
        <w:t xml:space="preserve"> </w:t>
      </w:r>
      <w:r>
        <w:t>Open</w:t>
      </w:r>
      <w:r>
        <w:rPr>
          <w:spacing w:val="-9"/>
        </w:rPr>
        <w:t xml:space="preserve"> </w:t>
      </w:r>
      <w:r>
        <w:rPr>
          <w:spacing w:val="-2"/>
        </w:rPr>
        <w:t>Questions</w:t>
      </w:r>
    </w:p>
    <w:p w14:paraId="37DFAF3E" w14:textId="77777777" w:rsidR="00DB6E1F" w:rsidRDefault="00F666A6">
      <w:pPr>
        <w:pStyle w:val="BodyText"/>
        <w:spacing w:before="143"/>
        <w:ind w:left="1438" w:right="1444" w:firstLine="1"/>
      </w:pPr>
      <w:r>
        <w:rPr>
          <w:b/>
        </w:rPr>
        <w:t>Use</w:t>
      </w:r>
      <w:r>
        <w:rPr>
          <w:b/>
          <w:spacing w:val="-2"/>
        </w:rPr>
        <w:t xml:space="preserve"> </w:t>
      </w:r>
      <w:r>
        <w:rPr>
          <w:b/>
        </w:rPr>
        <w:t>open</w:t>
      </w:r>
      <w:r>
        <w:rPr>
          <w:b/>
          <w:spacing w:val="-2"/>
        </w:rPr>
        <w:t xml:space="preserve"> </w:t>
      </w:r>
      <w:r>
        <w:rPr>
          <w:b/>
        </w:rPr>
        <w:t>questions</w:t>
      </w:r>
      <w:r>
        <w:rPr>
          <w:b/>
          <w:spacing w:val="-1"/>
        </w:rPr>
        <w:t xml:space="preserve"> </w:t>
      </w:r>
      <w:r>
        <w:rPr>
          <w:b/>
        </w:rPr>
        <w:t>to</w:t>
      </w:r>
      <w:r>
        <w:rPr>
          <w:b/>
          <w:spacing w:val="-5"/>
        </w:rPr>
        <w:t xml:space="preserve"> </w:t>
      </w:r>
      <w:r>
        <w:rPr>
          <w:b/>
        </w:rPr>
        <w:t>invite</w:t>
      </w:r>
      <w:r>
        <w:rPr>
          <w:b/>
          <w:spacing w:val="-2"/>
        </w:rPr>
        <w:t xml:space="preserve"> </w:t>
      </w:r>
      <w:r>
        <w:rPr>
          <w:b/>
        </w:rPr>
        <w:t>clients</w:t>
      </w:r>
      <w:r>
        <w:rPr>
          <w:b/>
          <w:spacing w:val="-3"/>
        </w:rPr>
        <w:t xml:space="preserve"> </w:t>
      </w:r>
      <w:r>
        <w:rPr>
          <w:b/>
        </w:rPr>
        <w:t>to</w:t>
      </w:r>
      <w:r>
        <w:rPr>
          <w:b/>
          <w:spacing w:val="-2"/>
        </w:rPr>
        <w:t xml:space="preserve"> </w:t>
      </w:r>
      <w:r>
        <w:rPr>
          <w:b/>
        </w:rPr>
        <w:t>tell their</w:t>
      </w:r>
      <w:r>
        <w:rPr>
          <w:b/>
          <w:spacing w:val="-3"/>
        </w:rPr>
        <w:t xml:space="preserve"> </w:t>
      </w:r>
      <w:r>
        <w:rPr>
          <w:b/>
        </w:rPr>
        <w:t>story</w:t>
      </w:r>
      <w:r>
        <w:rPr>
          <w:b/>
          <w:spacing w:val="-3"/>
        </w:rPr>
        <w:t xml:space="preserve"> </w:t>
      </w:r>
      <w:r>
        <w:rPr>
          <w:b/>
        </w:rPr>
        <w:t>rather than</w:t>
      </w:r>
      <w:r>
        <w:rPr>
          <w:b/>
          <w:spacing w:val="-2"/>
        </w:rPr>
        <w:t xml:space="preserve"> </w:t>
      </w:r>
      <w:r>
        <w:rPr>
          <w:b/>
        </w:rPr>
        <w:t>closed</w:t>
      </w:r>
      <w:r>
        <w:rPr>
          <w:b/>
          <w:spacing w:val="-2"/>
        </w:rPr>
        <w:t xml:space="preserve"> </w:t>
      </w:r>
      <w:r>
        <w:rPr>
          <w:b/>
        </w:rPr>
        <w:t>questions,</w:t>
      </w:r>
      <w:r>
        <w:rPr>
          <w:b/>
          <w:spacing w:val="-3"/>
        </w:rPr>
        <w:t xml:space="preserve"> </w:t>
      </w:r>
      <w:r>
        <w:rPr>
          <w:b/>
        </w:rPr>
        <w:t>which</w:t>
      </w:r>
      <w:r>
        <w:rPr>
          <w:b/>
          <w:spacing w:val="-4"/>
        </w:rPr>
        <w:t xml:space="preserve"> </w:t>
      </w:r>
      <w:r>
        <w:rPr>
          <w:b/>
        </w:rPr>
        <w:t xml:space="preserve">merely elicit brief information. </w:t>
      </w:r>
      <w:r>
        <w:t>Open questions are questions tha</w:t>
      </w:r>
      <w:r>
        <w:t>t invite clients to reflect before answering and encourage them to elaborate. Asking open questions helps you understand their point of view. Open questions</w:t>
      </w:r>
      <w:r>
        <w:rPr>
          <w:spacing w:val="-3"/>
        </w:rPr>
        <w:t xml:space="preserve"> </w:t>
      </w:r>
      <w:r>
        <w:t>facilitate</w:t>
      </w:r>
      <w:r>
        <w:rPr>
          <w:spacing w:val="-2"/>
        </w:rPr>
        <w:t xml:space="preserve"> </w:t>
      </w:r>
      <w:r>
        <w:t>a</w:t>
      </w:r>
      <w:r>
        <w:rPr>
          <w:spacing w:val="-3"/>
        </w:rPr>
        <w:t xml:space="preserve"> </w:t>
      </w:r>
      <w:r>
        <w:t>dialog</w:t>
      </w:r>
      <w:r>
        <w:rPr>
          <w:spacing w:val="-5"/>
        </w:rPr>
        <w:t xml:space="preserve"> </w:t>
      </w:r>
      <w:r>
        <w:t>and</w:t>
      </w:r>
      <w:r>
        <w:rPr>
          <w:spacing w:val="-4"/>
        </w:rPr>
        <w:t xml:space="preserve"> </w:t>
      </w:r>
      <w:r>
        <w:t>do</w:t>
      </w:r>
      <w:r>
        <w:rPr>
          <w:spacing w:val="-2"/>
        </w:rPr>
        <w:t xml:space="preserve"> </w:t>
      </w:r>
      <w:r>
        <w:t>not</w:t>
      </w:r>
      <w:r>
        <w:rPr>
          <w:spacing w:val="-2"/>
        </w:rPr>
        <w:t xml:space="preserve"> </w:t>
      </w:r>
      <w:r>
        <w:t>require</w:t>
      </w:r>
      <w:r>
        <w:rPr>
          <w:spacing w:val="-3"/>
        </w:rPr>
        <w:t xml:space="preserve"> </w:t>
      </w:r>
      <w:r>
        <w:t>any</w:t>
      </w:r>
      <w:r>
        <w:rPr>
          <w:spacing w:val="-4"/>
        </w:rPr>
        <w:t xml:space="preserve"> </w:t>
      </w:r>
      <w:r>
        <w:t>particular</w:t>
      </w:r>
      <w:r>
        <w:rPr>
          <w:spacing w:val="-3"/>
        </w:rPr>
        <w:t xml:space="preserve"> </w:t>
      </w:r>
      <w:r>
        <w:t>response</w:t>
      </w:r>
      <w:r>
        <w:rPr>
          <w:spacing w:val="-1"/>
        </w:rPr>
        <w:t xml:space="preserve"> </w:t>
      </w:r>
      <w:r>
        <w:t>from</w:t>
      </w:r>
      <w:r>
        <w:rPr>
          <w:spacing w:val="-4"/>
        </w:rPr>
        <w:t xml:space="preserve"> </w:t>
      </w:r>
      <w:r>
        <w:t>you.</w:t>
      </w:r>
      <w:r>
        <w:rPr>
          <w:spacing w:val="-5"/>
        </w:rPr>
        <w:t xml:space="preserve"> </w:t>
      </w:r>
      <w:r>
        <w:t>They</w:t>
      </w:r>
      <w:r>
        <w:rPr>
          <w:spacing w:val="-5"/>
        </w:rPr>
        <w:t xml:space="preserve"> </w:t>
      </w:r>
      <w:r>
        <w:t>encourage</w:t>
      </w:r>
      <w:r>
        <w:rPr>
          <w:spacing w:val="-2"/>
        </w:rPr>
        <w:t xml:space="preserve"> </w:t>
      </w:r>
      <w:r>
        <w:t>clients to do most of the talking and keep the conversation moving forward. Closed questions evoke yes/no or short answers and sometimes make clients feel as if they have to come up with the right answer. One type of</w:t>
      </w:r>
      <w:r>
        <w:rPr>
          <w:spacing w:val="-1"/>
        </w:rPr>
        <w:t xml:space="preserve"> </w:t>
      </w:r>
      <w:r>
        <w:t>open question is actually a statement t</w:t>
      </w:r>
      <w:r>
        <w:t>hat begins with</w:t>
      </w:r>
      <w:r>
        <w:rPr>
          <w:spacing w:val="-1"/>
        </w:rPr>
        <w:t xml:space="preserve"> </w:t>
      </w:r>
      <w:r>
        <w:t>“Tell</w:t>
      </w:r>
      <w:r>
        <w:rPr>
          <w:spacing w:val="-1"/>
        </w:rPr>
        <w:t xml:space="preserve"> </w:t>
      </w:r>
      <w:r>
        <w:t>me about” or</w:t>
      </w:r>
      <w:r>
        <w:rPr>
          <w:spacing w:val="-3"/>
        </w:rPr>
        <w:t xml:space="preserve"> </w:t>
      </w:r>
      <w:r>
        <w:t>“Tell</w:t>
      </w:r>
      <w:r>
        <w:rPr>
          <w:spacing w:val="-1"/>
        </w:rPr>
        <w:t xml:space="preserve"> </w:t>
      </w:r>
      <w:r>
        <w:t>me more about.” The “Tell me about” statement invites clients to tell a story and serves as an open question.</w:t>
      </w:r>
    </w:p>
    <w:p w14:paraId="1B52A53B" w14:textId="77777777" w:rsidR="00DB6E1F" w:rsidRDefault="00F666A6">
      <w:pPr>
        <w:pStyle w:val="BodyText"/>
        <w:spacing w:before="160"/>
        <w:ind w:left="1437" w:right="1491"/>
      </w:pPr>
      <w:r>
        <w:t>Exhibit</w:t>
      </w:r>
      <w:r>
        <w:rPr>
          <w:spacing w:val="-1"/>
        </w:rPr>
        <w:t xml:space="preserve"> </w:t>
      </w:r>
      <w:r>
        <w:t>3.4 provides</w:t>
      </w:r>
      <w:r>
        <w:rPr>
          <w:spacing w:val="-3"/>
        </w:rPr>
        <w:t xml:space="preserve"> </w:t>
      </w:r>
      <w:r>
        <w:t>examples</w:t>
      </w:r>
      <w:r>
        <w:rPr>
          <w:spacing w:val="-1"/>
        </w:rPr>
        <w:t xml:space="preserve"> </w:t>
      </w:r>
      <w:r>
        <w:t>of</w:t>
      </w:r>
      <w:r>
        <w:rPr>
          <w:spacing w:val="-4"/>
        </w:rPr>
        <w:t xml:space="preserve"> </w:t>
      </w:r>
      <w:r>
        <w:t>closed</w:t>
      </w:r>
      <w:r>
        <w:rPr>
          <w:spacing w:val="-2"/>
        </w:rPr>
        <w:t xml:space="preserve"> </w:t>
      </w:r>
      <w:r>
        <w:t>and</w:t>
      </w:r>
      <w:r>
        <w:rPr>
          <w:spacing w:val="-4"/>
        </w:rPr>
        <w:t xml:space="preserve"> </w:t>
      </w:r>
      <w:r>
        <w:t>open</w:t>
      </w:r>
      <w:r>
        <w:rPr>
          <w:spacing w:val="-2"/>
        </w:rPr>
        <w:t xml:space="preserve"> </w:t>
      </w:r>
      <w:r>
        <w:t>questions.</w:t>
      </w:r>
      <w:r>
        <w:rPr>
          <w:spacing w:val="-1"/>
        </w:rPr>
        <w:t xml:space="preserve"> </w:t>
      </w:r>
      <w:r>
        <w:t>As</w:t>
      </w:r>
      <w:r>
        <w:rPr>
          <w:spacing w:val="-3"/>
        </w:rPr>
        <w:t xml:space="preserve"> </w:t>
      </w:r>
      <w:r>
        <w:t>you</w:t>
      </w:r>
      <w:r>
        <w:rPr>
          <w:spacing w:val="-2"/>
        </w:rPr>
        <w:t xml:space="preserve"> </w:t>
      </w:r>
      <w:r>
        <w:t>read</w:t>
      </w:r>
      <w:r>
        <w:rPr>
          <w:spacing w:val="-4"/>
        </w:rPr>
        <w:t xml:space="preserve"> </w:t>
      </w:r>
      <w:r>
        <w:t>these</w:t>
      </w:r>
      <w:r>
        <w:rPr>
          <w:spacing w:val="-3"/>
        </w:rPr>
        <w:t xml:space="preserve"> </w:t>
      </w:r>
      <w:r>
        <w:t>examples,</w:t>
      </w:r>
      <w:r>
        <w:rPr>
          <w:spacing w:val="-1"/>
        </w:rPr>
        <w:t xml:space="preserve"> </w:t>
      </w:r>
      <w:r>
        <w:t>imagine</w:t>
      </w:r>
      <w:r>
        <w:rPr>
          <w:spacing w:val="-3"/>
        </w:rPr>
        <w:t xml:space="preserve"> </w:t>
      </w:r>
      <w:r>
        <w:t>you are a</w:t>
      </w:r>
      <w:r>
        <w:t xml:space="preserve"> client and notice the</w:t>
      </w:r>
      <w:r>
        <w:rPr>
          <w:spacing w:val="-2"/>
        </w:rPr>
        <w:t xml:space="preserve"> </w:t>
      </w:r>
      <w:r>
        <w:t>difference in how you</w:t>
      </w:r>
      <w:r>
        <w:rPr>
          <w:spacing w:val="-1"/>
        </w:rPr>
        <w:t xml:space="preserve"> </w:t>
      </w:r>
      <w:r>
        <w:t>might receive and respond to each kind of question.</w:t>
      </w:r>
    </w:p>
    <w:p w14:paraId="4C999BC1" w14:textId="77777777" w:rsidR="00DB6E1F" w:rsidRDefault="00DB6E1F">
      <w:pPr>
        <w:pStyle w:val="BodyText"/>
        <w:spacing w:before="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6"/>
        <w:gridCol w:w="4593"/>
      </w:tblGrid>
      <w:tr w:rsidR="00DB6E1F" w14:paraId="5D8EA758" w14:textId="77777777">
        <w:trPr>
          <w:trHeight w:val="503"/>
        </w:trPr>
        <w:tc>
          <w:tcPr>
            <w:tcW w:w="9359" w:type="dxa"/>
            <w:gridSpan w:val="2"/>
            <w:shd w:val="clear" w:color="auto" w:fill="050505"/>
          </w:tcPr>
          <w:p w14:paraId="3BF9145A" w14:textId="77777777" w:rsidR="00DB6E1F" w:rsidRDefault="00F666A6">
            <w:pPr>
              <w:pStyle w:val="TableParagraph"/>
              <w:spacing w:before="102"/>
              <w:ind w:left="210"/>
              <w:rPr>
                <w:sz w:val="24"/>
              </w:rPr>
            </w:pPr>
            <w:r>
              <w:rPr>
                <w:color w:val="FFFFFF"/>
                <w:sz w:val="24"/>
              </w:rPr>
              <w:t>Exhibit</w:t>
            </w:r>
            <w:r>
              <w:rPr>
                <w:color w:val="FFFFFF"/>
                <w:spacing w:val="-3"/>
                <w:sz w:val="24"/>
              </w:rPr>
              <w:t xml:space="preserve"> </w:t>
            </w:r>
            <w:r>
              <w:rPr>
                <w:color w:val="FFFFFF"/>
                <w:sz w:val="24"/>
              </w:rPr>
              <w:t>3.4.</w:t>
            </w:r>
            <w:r>
              <w:rPr>
                <w:color w:val="FFFFFF"/>
                <w:spacing w:val="-1"/>
                <w:sz w:val="24"/>
              </w:rPr>
              <w:t xml:space="preserve"> </w:t>
            </w:r>
            <w:r>
              <w:rPr>
                <w:color w:val="FFFFFF"/>
                <w:sz w:val="24"/>
              </w:rPr>
              <w:t>Closed</w:t>
            </w:r>
            <w:r>
              <w:rPr>
                <w:color w:val="FFFFFF"/>
                <w:spacing w:val="1"/>
                <w:sz w:val="24"/>
              </w:rPr>
              <w:t xml:space="preserve"> </w:t>
            </w:r>
            <w:r>
              <w:rPr>
                <w:color w:val="FFFFFF"/>
                <w:sz w:val="24"/>
              </w:rPr>
              <w:t>and</w:t>
            </w:r>
            <w:r>
              <w:rPr>
                <w:color w:val="FFFFFF"/>
                <w:spacing w:val="-2"/>
                <w:sz w:val="24"/>
              </w:rPr>
              <w:t xml:space="preserve"> </w:t>
            </w:r>
            <w:r>
              <w:rPr>
                <w:color w:val="FFFFFF"/>
                <w:sz w:val="24"/>
              </w:rPr>
              <w:t>Open</w:t>
            </w:r>
            <w:r>
              <w:rPr>
                <w:color w:val="FFFFFF"/>
                <w:spacing w:val="-2"/>
                <w:sz w:val="24"/>
              </w:rPr>
              <w:t xml:space="preserve"> Questions</w:t>
            </w:r>
          </w:p>
        </w:tc>
      </w:tr>
      <w:tr w:rsidR="00DB6E1F" w14:paraId="1195DAF4" w14:textId="77777777">
        <w:trPr>
          <w:trHeight w:val="364"/>
        </w:trPr>
        <w:tc>
          <w:tcPr>
            <w:tcW w:w="4766" w:type="dxa"/>
          </w:tcPr>
          <w:p w14:paraId="44B6D554" w14:textId="77777777" w:rsidR="00DB6E1F" w:rsidRDefault="00F666A6">
            <w:pPr>
              <w:pStyle w:val="TableParagraph"/>
              <w:spacing w:before="3"/>
              <w:rPr>
                <w:sz w:val="20"/>
              </w:rPr>
            </w:pPr>
            <w:r>
              <w:rPr>
                <w:sz w:val="20"/>
              </w:rPr>
              <w:t>Closed</w:t>
            </w:r>
            <w:r>
              <w:rPr>
                <w:spacing w:val="-7"/>
                <w:sz w:val="20"/>
              </w:rPr>
              <w:t xml:space="preserve"> </w:t>
            </w:r>
            <w:r>
              <w:rPr>
                <w:spacing w:val="-2"/>
                <w:sz w:val="20"/>
              </w:rPr>
              <w:t>Questions</w:t>
            </w:r>
          </w:p>
        </w:tc>
        <w:tc>
          <w:tcPr>
            <w:tcW w:w="4593" w:type="dxa"/>
          </w:tcPr>
          <w:p w14:paraId="3522C2BF" w14:textId="77777777" w:rsidR="00DB6E1F" w:rsidRDefault="00F666A6">
            <w:pPr>
              <w:pStyle w:val="TableParagraph"/>
              <w:spacing w:before="3"/>
              <w:ind w:left="105"/>
              <w:rPr>
                <w:sz w:val="20"/>
              </w:rPr>
            </w:pPr>
            <w:r>
              <w:rPr>
                <w:sz w:val="20"/>
              </w:rPr>
              <w:t>Open</w:t>
            </w:r>
            <w:r>
              <w:rPr>
                <w:spacing w:val="-5"/>
                <w:sz w:val="20"/>
              </w:rPr>
              <w:t xml:space="preserve"> </w:t>
            </w:r>
            <w:r>
              <w:rPr>
                <w:spacing w:val="-2"/>
                <w:sz w:val="20"/>
              </w:rPr>
              <w:t>Questions</w:t>
            </w:r>
          </w:p>
        </w:tc>
      </w:tr>
      <w:tr w:rsidR="00DB6E1F" w14:paraId="5858CA09" w14:textId="77777777">
        <w:trPr>
          <w:trHeight w:val="609"/>
        </w:trPr>
        <w:tc>
          <w:tcPr>
            <w:tcW w:w="4766" w:type="dxa"/>
          </w:tcPr>
          <w:p w14:paraId="3CFD73A5" w14:textId="77777777" w:rsidR="00DB6E1F" w:rsidRDefault="00F666A6">
            <w:pPr>
              <w:pStyle w:val="TableParagraph"/>
              <w:ind w:right="214"/>
              <w:rPr>
                <w:sz w:val="20"/>
              </w:rPr>
            </w:pPr>
            <w:r>
              <w:rPr>
                <w:sz w:val="20"/>
              </w:rPr>
              <w:t>“So</w:t>
            </w:r>
            <w:r>
              <w:rPr>
                <w:spacing w:val="-5"/>
                <w:sz w:val="20"/>
              </w:rPr>
              <w:t xml:space="preserve"> </w:t>
            </w:r>
            <w:r>
              <w:rPr>
                <w:sz w:val="20"/>
              </w:rPr>
              <w:t>you</w:t>
            </w:r>
            <w:r>
              <w:rPr>
                <w:spacing w:val="-4"/>
                <w:sz w:val="20"/>
              </w:rPr>
              <w:t xml:space="preserve"> </w:t>
            </w:r>
            <w:r>
              <w:rPr>
                <w:sz w:val="20"/>
              </w:rPr>
              <w:t>are</w:t>
            </w:r>
            <w:r>
              <w:rPr>
                <w:spacing w:val="-6"/>
                <w:sz w:val="20"/>
              </w:rPr>
              <w:t xml:space="preserve"> </w:t>
            </w:r>
            <w:r>
              <w:rPr>
                <w:sz w:val="20"/>
              </w:rPr>
              <w:t>here</w:t>
            </w:r>
            <w:r>
              <w:rPr>
                <w:spacing w:val="-6"/>
                <w:sz w:val="20"/>
              </w:rPr>
              <w:t xml:space="preserve"> </w:t>
            </w:r>
            <w:r>
              <w:rPr>
                <w:sz w:val="20"/>
              </w:rPr>
              <w:t>because</w:t>
            </w:r>
            <w:r>
              <w:rPr>
                <w:spacing w:val="-6"/>
                <w:sz w:val="20"/>
              </w:rPr>
              <w:t xml:space="preserve"> </w:t>
            </w:r>
            <w:r>
              <w:rPr>
                <w:sz w:val="20"/>
              </w:rPr>
              <w:t>you</w:t>
            </w:r>
            <w:r>
              <w:rPr>
                <w:spacing w:val="-2"/>
                <w:sz w:val="20"/>
              </w:rPr>
              <w:t xml:space="preserve"> </w:t>
            </w:r>
            <w:r>
              <w:rPr>
                <w:sz w:val="20"/>
              </w:rPr>
              <w:t>are</w:t>
            </w:r>
            <w:r>
              <w:rPr>
                <w:spacing w:val="-6"/>
                <w:sz w:val="20"/>
              </w:rPr>
              <w:t xml:space="preserve"> </w:t>
            </w:r>
            <w:r>
              <w:rPr>
                <w:sz w:val="20"/>
              </w:rPr>
              <w:t>concerned</w:t>
            </w:r>
            <w:r>
              <w:rPr>
                <w:spacing w:val="-4"/>
                <w:sz w:val="20"/>
              </w:rPr>
              <w:t xml:space="preserve"> </w:t>
            </w:r>
            <w:r>
              <w:rPr>
                <w:sz w:val="20"/>
              </w:rPr>
              <w:t>about your use of alcohol, correct?”</w:t>
            </w:r>
          </w:p>
        </w:tc>
        <w:tc>
          <w:tcPr>
            <w:tcW w:w="4593" w:type="dxa"/>
          </w:tcPr>
          <w:p w14:paraId="624A52D6" w14:textId="77777777" w:rsidR="00DB6E1F" w:rsidRDefault="00F666A6">
            <w:pPr>
              <w:pStyle w:val="TableParagraph"/>
              <w:spacing w:before="3"/>
              <w:ind w:left="105"/>
              <w:rPr>
                <w:sz w:val="20"/>
              </w:rPr>
            </w:pPr>
            <w:r>
              <w:rPr>
                <w:sz w:val="20"/>
              </w:rPr>
              <w:t>“What</w:t>
            </w:r>
            <w:r>
              <w:rPr>
                <w:spacing w:val="-5"/>
                <w:sz w:val="20"/>
              </w:rPr>
              <w:t xml:space="preserve"> </w:t>
            </w:r>
            <w:r>
              <w:rPr>
                <w:sz w:val="20"/>
              </w:rPr>
              <w:t>is</w:t>
            </w:r>
            <w:r>
              <w:rPr>
                <w:spacing w:val="-5"/>
                <w:sz w:val="20"/>
              </w:rPr>
              <w:t xml:space="preserve"> </w:t>
            </w:r>
            <w:r>
              <w:rPr>
                <w:sz w:val="20"/>
              </w:rPr>
              <w:t>it</w:t>
            </w:r>
            <w:r>
              <w:rPr>
                <w:spacing w:val="-5"/>
                <w:sz w:val="20"/>
              </w:rPr>
              <w:t xml:space="preserve"> </w:t>
            </w:r>
            <w:r>
              <w:rPr>
                <w:sz w:val="20"/>
              </w:rPr>
              <w:t>that</w:t>
            </w:r>
            <w:r>
              <w:rPr>
                <w:spacing w:val="-4"/>
                <w:sz w:val="20"/>
              </w:rPr>
              <w:t xml:space="preserve"> </w:t>
            </w:r>
            <w:r>
              <w:rPr>
                <w:sz w:val="20"/>
              </w:rPr>
              <w:t>brings</w:t>
            </w:r>
            <w:r>
              <w:rPr>
                <w:spacing w:val="-5"/>
                <w:sz w:val="20"/>
              </w:rPr>
              <w:t xml:space="preserve"> </w:t>
            </w:r>
            <w:r>
              <w:rPr>
                <w:sz w:val="20"/>
              </w:rPr>
              <w:t>you</w:t>
            </w:r>
            <w:r>
              <w:rPr>
                <w:spacing w:val="-4"/>
                <w:sz w:val="20"/>
              </w:rPr>
              <w:t xml:space="preserve"> </w:t>
            </w:r>
            <w:r>
              <w:rPr>
                <w:sz w:val="20"/>
              </w:rPr>
              <w:t>here</w:t>
            </w:r>
            <w:r>
              <w:rPr>
                <w:spacing w:val="-5"/>
                <w:sz w:val="20"/>
              </w:rPr>
              <w:t xml:space="preserve"> </w:t>
            </w:r>
            <w:r>
              <w:rPr>
                <w:spacing w:val="-2"/>
                <w:sz w:val="20"/>
              </w:rPr>
              <w:t>today?”</w:t>
            </w:r>
          </w:p>
        </w:tc>
      </w:tr>
      <w:tr w:rsidR="00DB6E1F" w14:paraId="07F5B6DF" w14:textId="77777777">
        <w:trPr>
          <w:trHeight w:val="364"/>
        </w:trPr>
        <w:tc>
          <w:tcPr>
            <w:tcW w:w="4766" w:type="dxa"/>
          </w:tcPr>
          <w:p w14:paraId="614BA37E" w14:textId="77777777" w:rsidR="00DB6E1F" w:rsidRDefault="00F666A6">
            <w:pPr>
              <w:pStyle w:val="TableParagraph"/>
              <w:rPr>
                <w:sz w:val="20"/>
              </w:rPr>
            </w:pPr>
            <w:r>
              <w:rPr>
                <w:sz w:val="20"/>
              </w:rPr>
              <w:t>“How</w:t>
            </w:r>
            <w:r>
              <w:rPr>
                <w:spacing w:val="-6"/>
                <w:sz w:val="20"/>
              </w:rPr>
              <w:t xml:space="preserve"> </w:t>
            </w:r>
            <w:r>
              <w:rPr>
                <w:sz w:val="20"/>
              </w:rPr>
              <w:t>many</w:t>
            </w:r>
            <w:r>
              <w:rPr>
                <w:spacing w:val="-3"/>
                <w:sz w:val="20"/>
              </w:rPr>
              <w:t xml:space="preserve"> </w:t>
            </w:r>
            <w:r>
              <w:rPr>
                <w:sz w:val="20"/>
              </w:rPr>
              <w:t>children</w:t>
            </w:r>
            <w:r>
              <w:rPr>
                <w:spacing w:val="-3"/>
                <w:sz w:val="20"/>
              </w:rPr>
              <w:t xml:space="preserve"> </w:t>
            </w:r>
            <w:r>
              <w:rPr>
                <w:sz w:val="20"/>
              </w:rPr>
              <w:t>do</w:t>
            </w:r>
            <w:r>
              <w:rPr>
                <w:spacing w:val="-4"/>
                <w:sz w:val="20"/>
              </w:rPr>
              <w:t xml:space="preserve"> </w:t>
            </w:r>
            <w:r>
              <w:rPr>
                <w:sz w:val="20"/>
              </w:rPr>
              <w:t>you</w:t>
            </w:r>
            <w:r>
              <w:rPr>
                <w:spacing w:val="-3"/>
                <w:sz w:val="20"/>
              </w:rPr>
              <w:t xml:space="preserve"> </w:t>
            </w:r>
            <w:r>
              <w:rPr>
                <w:spacing w:val="-2"/>
                <w:sz w:val="20"/>
              </w:rPr>
              <w:t>have?”</w:t>
            </w:r>
          </w:p>
        </w:tc>
        <w:tc>
          <w:tcPr>
            <w:tcW w:w="4593" w:type="dxa"/>
          </w:tcPr>
          <w:p w14:paraId="2DCC0C04" w14:textId="77777777" w:rsidR="00DB6E1F" w:rsidRDefault="00F666A6">
            <w:pPr>
              <w:pStyle w:val="TableParagraph"/>
              <w:ind w:left="105"/>
              <w:rPr>
                <w:sz w:val="20"/>
              </w:rPr>
            </w:pPr>
            <w:r>
              <w:rPr>
                <w:sz w:val="20"/>
              </w:rPr>
              <w:t>“Tell</w:t>
            </w:r>
            <w:r>
              <w:rPr>
                <w:spacing w:val="-3"/>
                <w:sz w:val="20"/>
              </w:rPr>
              <w:t xml:space="preserve"> </w:t>
            </w:r>
            <w:r>
              <w:rPr>
                <w:sz w:val="20"/>
              </w:rPr>
              <w:t>me</w:t>
            </w:r>
            <w:r>
              <w:rPr>
                <w:spacing w:val="-6"/>
                <w:sz w:val="20"/>
              </w:rPr>
              <w:t xml:space="preserve"> </w:t>
            </w:r>
            <w:r>
              <w:rPr>
                <w:sz w:val="20"/>
              </w:rPr>
              <w:t>about</w:t>
            </w:r>
            <w:r>
              <w:rPr>
                <w:spacing w:val="-5"/>
                <w:sz w:val="20"/>
              </w:rPr>
              <w:t xml:space="preserve"> </w:t>
            </w:r>
            <w:r>
              <w:rPr>
                <w:sz w:val="20"/>
              </w:rPr>
              <w:t>your</w:t>
            </w:r>
            <w:r>
              <w:rPr>
                <w:spacing w:val="-4"/>
                <w:sz w:val="20"/>
              </w:rPr>
              <w:t xml:space="preserve"> </w:t>
            </w:r>
            <w:r>
              <w:rPr>
                <w:spacing w:val="-2"/>
                <w:sz w:val="20"/>
              </w:rPr>
              <w:t>family.”</w:t>
            </w:r>
          </w:p>
        </w:tc>
      </w:tr>
      <w:tr w:rsidR="00DB6E1F" w14:paraId="338FBE0A" w14:textId="77777777">
        <w:trPr>
          <w:trHeight w:val="606"/>
        </w:trPr>
        <w:tc>
          <w:tcPr>
            <w:tcW w:w="4766" w:type="dxa"/>
          </w:tcPr>
          <w:p w14:paraId="78752C13" w14:textId="77777777" w:rsidR="00DB6E1F" w:rsidRDefault="00F666A6">
            <w:pPr>
              <w:pStyle w:val="TableParagraph"/>
              <w:ind w:right="214"/>
              <w:rPr>
                <w:sz w:val="20"/>
              </w:rPr>
            </w:pPr>
            <w:r>
              <w:rPr>
                <w:sz w:val="20"/>
              </w:rPr>
              <w:t>“Do</w:t>
            </w:r>
            <w:r>
              <w:rPr>
                <w:spacing w:val="-4"/>
                <w:sz w:val="20"/>
              </w:rPr>
              <w:t xml:space="preserve"> </w:t>
            </w:r>
            <w:r>
              <w:rPr>
                <w:sz w:val="20"/>
              </w:rPr>
              <w:t>you</w:t>
            </w:r>
            <w:r>
              <w:rPr>
                <w:spacing w:val="-3"/>
                <w:sz w:val="20"/>
              </w:rPr>
              <w:t xml:space="preserve"> </w:t>
            </w:r>
            <w:r>
              <w:rPr>
                <w:sz w:val="20"/>
              </w:rPr>
              <w:t>agree</w:t>
            </w:r>
            <w:r>
              <w:rPr>
                <w:spacing w:val="-5"/>
                <w:sz w:val="20"/>
              </w:rPr>
              <w:t xml:space="preserve"> </w:t>
            </w:r>
            <w:r>
              <w:rPr>
                <w:sz w:val="20"/>
              </w:rPr>
              <w:t>that</w:t>
            </w:r>
            <w:r>
              <w:rPr>
                <w:spacing w:val="-4"/>
                <w:sz w:val="20"/>
              </w:rPr>
              <w:t xml:space="preserve"> </w:t>
            </w:r>
            <w:r>
              <w:rPr>
                <w:sz w:val="20"/>
              </w:rPr>
              <w:t>it</w:t>
            </w:r>
            <w:r>
              <w:rPr>
                <w:spacing w:val="-4"/>
                <w:sz w:val="20"/>
              </w:rPr>
              <w:t xml:space="preserve"> </w:t>
            </w:r>
            <w:r>
              <w:rPr>
                <w:sz w:val="20"/>
              </w:rPr>
              <w:t>would</w:t>
            </w:r>
            <w:r>
              <w:rPr>
                <w:spacing w:val="-3"/>
                <w:sz w:val="20"/>
              </w:rPr>
              <w:t xml:space="preserve"> </w:t>
            </w:r>
            <w:r>
              <w:rPr>
                <w:sz w:val="20"/>
              </w:rPr>
              <w:t>be</w:t>
            </w:r>
            <w:r>
              <w:rPr>
                <w:spacing w:val="-5"/>
                <w:sz w:val="20"/>
              </w:rPr>
              <w:t xml:space="preserve"> </w:t>
            </w:r>
            <w:r>
              <w:rPr>
                <w:sz w:val="20"/>
              </w:rPr>
              <w:t>a</w:t>
            </w:r>
            <w:r>
              <w:rPr>
                <w:spacing w:val="-3"/>
                <w:sz w:val="20"/>
              </w:rPr>
              <w:t xml:space="preserve"> </w:t>
            </w:r>
            <w:r>
              <w:rPr>
                <w:sz w:val="20"/>
              </w:rPr>
              <w:t>good</w:t>
            </w:r>
            <w:r>
              <w:rPr>
                <w:spacing w:val="-3"/>
                <w:sz w:val="20"/>
              </w:rPr>
              <w:t xml:space="preserve"> </w:t>
            </w:r>
            <w:r>
              <w:rPr>
                <w:sz w:val="20"/>
              </w:rPr>
              <w:t>idea</w:t>
            </w:r>
            <w:r>
              <w:rPr>
                <w:spacing w:val="-3"/>
                <w:sz w:val="20"/>
              </w:rPr>
              <w:t xml:space="preserve"> </w:t>
            </w:r>
            <w:r>
              <w:rPr>
                <w:sz w:val="20"/>
              </w:rPr>
              <w:t>for</w:t>
            </w:r>
            <w:r>
              <w:rPr>
                <w:spacing w:val="-4"/>
                <w:sz w:val="20"/>
              </w:rPr>
              <w:t xml:space="preserve"> </w:t>
            </w:r>
            <w:r>
              <w:rPr>
                <w:sz w:val="20"/>
              </w:rPr>
              <w:t>you</w:t>
            </w:r>
            <w:r>
              <w:rPr>
                <w:spacing w:val="-3"/>
                <w:sz w:val="20"/>
              </w:rPr>
              <w:t xml:space="preserve"> </w:t>
            </w:r>
            <w:r>
              <w:rPr>
                <w:sz w:val="20"/>
              </w:rPr>
              <w:t>to go through detoxification?”</w:t>
            </w:r>
          </w:p>
        </w:tc>
        <w:tc>
          <w:tcPr>
            <w:tcW w:w="4593" w:type="dxa"/>
          </w:tcPr>
          <w:p w14:paraId="4228D568" w14:textId="77777777" w:rsidR="00DB6E1F" w:rsidRDefault="00F666A6">
            <w:pPr>
              <w:pStyle w:val="TableParagraph"/>
              <w:ind w:left="105"/>
              <w:rPr>
                <w:sz w:val="20"/>
              </w:rPr>
            </w:pPr>
            <w:r>
              <w:rPr>
                <w:sz w:val="20"/>
              </w:rPr>
              <w:t>“What</w:t>
            </w:r>
            <w:r>
              <w:rPr>
                <w:spacing w:val="-5"/>
                <w:sz w:val="20"/>
              </w:rPr>
              <w:t xml:space="preserve"> </w:t>
            </w:r>
            <w:r>
              <w:rPr>
                <w:sz w:val="20"/>
              </w:rPr>
              <w:t>do</w:t>
            </w:r>
            <w:r>
              <w:rPr>
                <w:spacing w:val="-5"/>
                <w:sz w:val="20"/>
              </w:rPr>
              <w:t xml:space="preserve"> </w:t>
            </w:r>
            <w:r>
              <w:rPr>
                <w:sz w:val="20"/>
              </w:rPr>
              <w:t>you</w:t>
            </w:r>
            <w:r>
              <w:rPr>
                <w:spacing w:val="-7"/>
                <w:sz w:val="20"/>
              </w:rPr>
              <w:t xml:space="preserve"> </w:t>
            </w:r>
            <w:r>
              <w:rPr>
                <w:sz w:val="20"/>
              </w:rPr>
              <w:t>think</w:t>
            </w:r>
            <w:r>
              <w:rPr>
                <w:spacing w:val="-4"/>
                <w:sz w:val="20"/>
              </w:rPr>
              <w:t xml:space="preserve"> </w:t>
            </w:r>
            <w:r>
              <w:rPr>
                <w:sz w:val="20"/>
              </w:rPr>
              <w:t>about</w:t>
            </w:r>
            <w:r>
              <w:rPr>
                <w:spacing w:val="-5"/>
                <w:sz w:val="20"/>
              </w:rPr>
              <w:t xml:space="preserve"> </w:t>
            </w:r>
            <w:r>
              <w:rPr>
                <w:sz w:val="20"/>
              </w:rPr>
              <w:t>the</w:t>
            </w:r>
            <w:r>
              <w:rPr>
                <w:spacing w:val="-8"/>
                <w:sz w:val="20"/>
              </w:rPr>
              <w:t xml:space="preserve"> </w:t>
            </w:r>
            <w:r>
              <w:rPr>
                <w:sz w:val="20"/>
              </w:rPr>
              <w:t>possibility</w:t>
            </w:r>
            <w:r>
              <w:rPr>
                <w:spacing w:val="-4"/>
                <w:sz w:val="20"/>
              </w:rPr>
              <w:t xml:space="preserve"> </w:t>
            </w:r>
            <w:r>
              <w:rPr>
                <w:sz w:val="20"/>
              </w:rPr>
              <w:t>of</w:t>
            </w:r>
            <w:r>
              <w:rPr>
                <w:spacing w:val="-6"/>
                <w:sz w:val="20"/>
              </w:rPr>
              <w:t xml:space="preserve"> </w:t>
            </w:r>
            <w:r>
              <w:rPr>
                <w:sz w:val="20"/>
              </w:rPr>
              <w:t>going through detoxification?”</w:t>
            </w:r>
          </w:p>
        </w:tc>
      </w:tr>
      <w:tr w:rsidR="00DB6E1F" w14:paraId="6817D46B" w14:textId="77777777">
        <w:trPr>
          <w:trHeight w:val="609"/>
        </w:trPr>
        <w:tc>
          <w:tcPr>
            <w:tcW w:w="4766" w:type="dxa"/>
          </w:tcPr>
          <w:p w14:paraId="2C7A5582" w14:textId="77777777" w:rsidR="00DB6E1F" w:rsidRDefault="00F666A6">
            <w:pPr>
              <w:pStyle w:val="TableParagraph"/>
              <w:ind w:right="214"/>
              <w:rPr>
                <w:sz w:val="20"/>
              </w:rPr>
            </w:pPr>
            <w:r>
              <w:rPr>
                <w:sz w:val="20"/>
              </w:rPr>
              <w:t>“On</w:t>
            </w:r>
            <w:r>
              <w:rPr>
                <w:spacing w:val="-4"/>
                <w:sz w:val="20"/>
              </w:rPr>
              <w:t xml:space="preserve"> </w:t>
            </w:r>
            <w:r>
              <w:rPr>
                <w:sz w:val="20"/>
              </w:rPr>
              <w:t>a</w:t>
            </w:r>
            <w:r>
              <w:rPr>
                <w:spacing w:val="-5"/>
                <w:sz w:val="20"/>
              </w:rPr>
              <w:t xml:space="preserve"> </w:t>
            </w:r>
            <w:r>
              <w:rPr>
                <w:sz w:val="20"/>
              </w:rPr>
              <w:t>typical</w:t>
            </w:r>
            <w:r>
              <w:rPr>
                <w:spacing w:val="-5"/>
                <w:sz w:val="20"/>
              </w:rPr>
              <w:t xml:space="preserve"> </w:t>
            </w:r>
            <w:r>
              <w:rPr>
                <w:sz w:val="20"/>
              </w:rPr>
              <w:t>day,</w:t>
            </w:r>
            <w:r>
              <w:rPr>
                <w:spacing w:val="-4"/>
                <w:sz w:val="20"/>
              </w:rPr>
              <w:t xml:space="preserve"> </w:t>
            </w:r>
            <w:r>
              <w:rPr>
                <w:sz w:val="20"/>
              </w:rPr>
              <w:t>how</w:t>
            </w:r>
            <w:r>
              <w:rPr>
                <w:spacing w:val="-6"/>
                <w:sz w:val="20"/>
              </w:rPr>
              <w:t xml:space="preserve"> </w:t>
            </w:r>
            <w:r>
              <w:rPr>
                <w:sz w:val="20"/>
              </w:rPr>
              <w:t>much</w:t>
            </w:r>
            <w:r>
              <w:rPr>
                <w:spacing w:val="-3"/>
                <w:sz w:val="20"/>
              </w:rPr>
              <w:t xml:space="preserve"> </w:t>
            </w:r>
            <w:r>
              <w:rPr>
                <w:sz w:val="20"/>
              </w:rPr>
              <w:t>marijuana</w:t>
            </w:r>
            <w:r>
              <w:rPr>
                <w:spacing w:val="-5"/>
                <w:sz w:val="20"/>
              </w:rPr>
              <w:t xml:space="preserve"> </w:t>
            </w:r>
            <w:r>
              <w:rPr>
                <w:sz w:val="20"/>
              </w:rPr>
              <w:t>do</w:t>
            </w:r>
            <w:r>
              <w:rPr>
                <w:spacing w:val="-5"/>
                <w:sz w:val="20"/>
              </w:rPr>
              <w:t xml:space="preserve"> </w:t>
            </w:r>
            <w:r>
              <w:rPr>
                <w:sz w:val="20"/>
              </w:rPr>
              <w:t xml:space="preserve">you </w:t>
            </w:r>
            <w:r>
              <w:rPr>
                <w:spacing w:val="-2"/>
                <w:sz w:val="20"/>
              </w:rPr>
              <w:t>smoke?”</w:t>
            </w:r>
          </w:p>
        </w:tc>
        <w:tc>
          <w:tcPr>
            <w:tcW w:w="4593" w:type="dxa"/>
          </w:tcPr>
          <w:p w14:paraId="6C2F27D4" w14:textId="77777777" w:rsidR="00DB6E1F" w:rsidRDefault="00F666A6">
            <w:pPr>
              <w:pStyle w:val="TableParagraph"/>
              <w:spacing w:before="3"/>
              <w:ind w:left="105"/>
              <w:rPr>
                <w:sz w:val="20"/>
              </w:rPr>
            </w:pPr>
            <w:r>
              <w:rPr>
                <w:sz w:val="20"/>
              </w:rPr>
              <w:t>“Tell</w:t>
            </w:r>
            <w:r>
              <w:rPr>
                <w:spacing w:val="-3"/>
                <w:sz w:val="20"/>
              </w:rPr>
              <w:t xml:space="preserve"> </w:t>
            </w:r>
            <w:r>
              <w:rPr>
                <w:sz w:val="20"/>
              </w:rPr>
              <w:t>me</w:t>
            </w:r>
            <w:r>
              <w:rPr>
                <w:spacing w:val="-6"/>
                <w:sz w:val="20"/>
              </w:rPr>
              <w:t xml:space="preserve"> </w:t>
            </w:r>
            <w:r>
              <w:rPr>
                <w:sz w:val="20"/>
              </w:rPr>
              <w:t>about</w:t>
            </w:r>
            <w:r>
              <w:rPr>
                <w:spacing w:val="-5"/>
                <w:sz w:val="20"/>
              </w:rPr>
              <w:t xml:space="preserve"> </w:t>
            </w:r>
            <w:r>
              <w:rPr>
                <w:sz w:val="20"/>
              </w:rPr>
              <w:t>your</w:t>
            </w:r>
            <w:r>
              <w:rPr>
                <w:spacing w:val="-4"/>
                <w:sz w:val="20"/>
              </w:rPr>
              <w:t xml:space="preserve"> </w:t>
            </w:r>
            <w:r>
              <w:rPr>
                <w:sz w:val="20"/>
              </w:rPr>
              <w:t>marijuana</w:t>
            </w:r>
            <w:r>
              <w:rPr>
                <w:spacing w:val="-5"/>
                <w:sz w:val="20"/>
              </w:rPr>
              <w:t xml:space="preserve"> </w:t>
            </w:r>
            <w:r>
              <w:rPr>
                <w:sz w:val="20"/>
              </w:rPr>
              <w:t>use</w:t>
            </w:r>
            <w:r>
              <w:rPr>
                <w:spacing w:val="-5"/>
                <w:sz w:val="20"/>
              </w:rPr>
              <w:t xml:space="preserve"> </w:t>
            </w:r>
            <w:r>
              <w:rPr>
                <w:sz w:val="20"/>
              </w:rPr>
              <w:t>on</w:t>
            </w:r>
            <w:r>
              <w:rPr>
                <w:spacing w:val="-4"/>
                <w:sz w:val="20"/>
              </w:rPr>
              <w:t xml:space="preserve"> </w:t>
            </w:r>
            <w:r>
              <w:rPr>
                <w:sz w:val="20"/>
              </w:rPr>
              <w:t>a</w:t>
            </w:r>
            <w:r>
              <w:rPr>
                <w:spacing w:val="-5"/>
                <w:sz w:val="20"/>
              </w:rPr>
              <w:t xml:space="preserve"> </w:t>
            </w:r>
            <w:r>
              <w:rPr>
                <w:sz w:val="20"/>
              </w:rPr>
              <w:t>typical</w:t>
            </w:r>
            <w:r>
              <w:rPr>
                <w:spacing w:val="-5"/>
                <w:sz w:val="20"/>
              </w:rPr>
              <w:t xml:space="preserve"> </w:t>
            </w:r>
            <w:r>
              <w:rPr>
                <w:spacing w:val="-4"/>
                <w:sz w:val="20"/>
              </w:rPr>
              <w:t>day.”</w:t>
            </w:r>
          </w:p>
        </w:tc>
      </w:tr>
      <w:tr w:rsidR="00DB6E1F" w14:paraId="68E0719D" w14:textId="77777777">
        <w:trPr>
          <w:trHeight w:val="609"/>
        </w:trPr>
        <w:tc>
          <w:tcPr>
            <w:tcW w:w="4766" w:type="dxa"/>
          </w:tcPr>
          <w:p w14:paraId="753CF5FE" w14:textId="77777777" w:rsidR="00DB6E1F" w:rsidRDefault="00F666A6">
            <w:pPr>
              <w:pStyle w:val="TableParagraph"/>
              <w:rPr>
                <w:sz w:val="20"/>
              </w:rPr>
            </w:pPr>
            <w:r>
              <w:rPr>
                <w:sz w:val="20"/>
              </w:rPr>
              <w:t>“Did</w:t>
            </w:r>
            <w:r>
              <w:rPr>
                <w:spacing w:val="-4"/>
                <w:sz w:val="20"/>
              </w:rPr>
              <w:t xml:space="preserve"> </w:t>
            </w:r>
            <w:r>
              <w:rPr>
                <w:sz w:val="20"/>
              </w:rPr>
              <w:t>your</w:t>
            </w:r>
            <w:r>
              <w:rPr>
                <w:spacing w:val="-4"/>
                <w:sz w:val="20"/>
              </w:rPr>
              <w:t xml:space="preserve"> </w:t>
            </w:r>
            <w:r>
              <w:rPr>
                <w:sz w:val="20"/>
              </w:rPr>
              <w:t>doctor</w:t>
            </w:r>
            <w:r>
              <w:rPr>
                <w:spacing w:val="-4"/>
                <w:sz w:val="20"/>
              </w:rPr>
              <w:t xml:space="preserve"> </w:t>
            </w:r>
            <w:r>
              <w:rPr>
                <w:sz w:val="20"/>
              </w:rPr>
              <w:t>tell</w:t>
            </w:r>
            <w:r>
              <w:rPr>
                <w:spacing w:val="-4"/>
                <w:sz w:val="20"/>
              </w:rPr>
              <w:t xml:space="preserve"> </w:t>
            </w:r>
            <w:r>
              <w:rPr>
                <w:sz w:val="20"/>
              </w:rPr>
              <w:t>you</w:t>
            </w:r>
            <w:r>
              <w:rPr>
                <w:spacing w:val="-4"/>
                <w:sz w:val="20"/>
              </w:rPr>
              <w:t xml:space="preserve"> </w:t>
            </w:r>
            <w:r>
              <w:rPr>
                <w:sz w:val="20"/>
              </w:rPr>
              <w:t>to</w:t>
            </w:r>
            <w:r>
              <w:rPr>
                <w:spacing w:val="-6"/>
                <w:sz w:val="20"/>
              </w:rPr>
              <w:t xml:space="preserve"> </w:t>
            </w:r>
            <w:r>
              <w:rPr>
                <w:sz w:val="20"/>
              </w:rPr>
              <w:t>quit</w:t>
            </w:r>
            <w:r>
              <w:rPr>
                <w:spacing w:val="-4"/>
                <w:sz w:val="20"/>
              </w:rPr>
              <w:t xml:space="preserve"> </w:t>
            </w:r>
            <w:r>
              <w:rPr>
                <w:spacing w:val="-2"/>
                <w:sz w:val="20"/>
              </w:rPr>
              <w:t>smoke?”</w:t>
            </w:r>
          </w:p>
        </w:tc>
        <w:tc>
          <w:tcPr>
            <w:tcW w:w="4593" w:type="dxa"/>
          </w:tcPr>
          <w:p w14:paraId="3EB60B68" w14:textId="77777777" w:rsidR="00DB6E1F" w:rsidRDefault="00F666A6">
            <w:pPr>
              <w:pStyle w:val="TableParagraph"/>
              <w:ind w:left="105" w:right="105"/>
              <w:rPr>
                <w:sz w:val="20"/>
              </w:rPr>
            </w:pPr>
            <w:r>
              <w:rPr>
                <w:sz w:val="20"/>
              </w:rPr>
              <w:t>“What</w:t>
            </w:r>
            <w:r>
              <w:rPr>
                <w:spacing w:val="-5"/>
                <w:sz w:val="20"/>
              </w:rPr>
              <w:t xml:space="preserve"> </w:t>
            </w:r>
            <w:r>
              <w:rPr>
                <w:sz w:val="20"/>
              </w:rPr>
              <w:t>did</w:t>
            </w:r>
            <w:r>
              <w:rPr>
                <w:spacing w:val="-4"/>
                <w:sz w:val="20"/>
              </w:rPr>
              <w:t xml:space="preserve"> </w:t>
            </w:r>
            <w:r>
              <w:rPr>
                <w:sz w:val="20"/>
              </w:rPr>
              <w:t>your</w:t>
            </w:r>
            <w:r>
              <w:rPr>
                <w:spacing w:val="-5"/>
                <w:sz w:val="20"/>
              </w:rPr>
              <w:t xml:space="preserve"> </w:t>
            </w:r>
            <w:r>
              <w:rPr>
                <w:sz w:val="20"/>
              </w:rPr>
              <w:t>doctor</w:t>
            </w:r>
            <w:r>
              <w:rPr>
                <w:spacing w:val="-5"/>
                <w:sz w:val="20"/>
              </w:rPr>
              <w:t xml:space="preserve"> </w:t>
            </w:r>
            <w:r>
              <w:rPr>
                <w:sz w:val="20"/>
              </w:rPr>
              <w:t>tell</w:t>
            </w:r>
            <w:r>
              <w:rPr>
                <w:spacing w:val="-5"/>
                <w:sz w:val="20"/>
              </w:rPr>
              <w:t xml:space="preserve"> </w:t>
            </w:r>
            <w:r>
              <w:rPr>
                <w:sz w:val="20"/>
              </w:rPr>
              <w:t>you</w:t>
            </w:r>
            <w:r>
              <w:rPr>
                <w:spacing w:val="-4"/>
                <w:sz w:val="20"/>
              </w:rPr>
              <w:t xml:space="preserve"> </w:t>
            </w:r>
            <w:r>
              <w:rPr>
                <w:sz w:val="20"/>
              </w:rPr>
              <w:t>about</w:t>
            </w:r>
            <w:r>
              <w:rPr>
                <w:spacing w:val="-5"/>
                <w:sz w:val="20"/>
              </w:rPr>
              <w:t xml:space="preserve"> </w:t>
            </w:r>
            <w:r>
              <w:rPr>
                <w:sz w:val="20"/>
              </w:rPr>
              <w:t>the</w:t>
            </w:r>
            <w:r>
              <w:rPr>
                <w:spacing w:val="-6"/>
                <w:sz w:val="20"/>
              </w:rPr>
              <w:t xml:space="preserve"> </w:t>
            </w:r>
            <w:r>
              <w:rPr>
                <w:sz w:val="20"/>
              </w:rPr>
              <w:t>health</w:t>
            </w:r>
            <w:r>
              <w:rPr>
                <w:spacing w:val="-4"/>
                <w:sz w:val="20"/>
              </w:rPr>
              <w:t xml:space="preserve"> </w:t>
            </w:r>
            <w:r>
              <w:rPr>
                <w:sz w:val="20"/>
              </w:rPr>
              <w:t>risks of smoking?”</w:t>
            </w:r>
          </w:p>
        </w:tc>
      </w:tr>
      <w:tr w:rsidR="00DB6E1F" w14:paraId="5DF524D1" w14:textId="77777777">
        <w:trPr>
          <w:trHeight w:val="606"/>
        </w:trPr>
        <w:tc>
          <w:tcPr>
            <w:tcW w:w="4766" w:type="dxa"/>
          </w:tcPr>
          <w:p w14:paraId="05739644" w14:textId="77777777" w:rsidR="00DB6E1F" w:rsidRDefault="00F666A6">
            <w:pPr>
              <w:pStyle w:val="TableParagraph"/>
              <w:rPr>
                <w:sz w:val="20"/>
              </w:rPr>
            </w:pPr>
            <w:r>
              <w:rPr>
                <w:sz w:val="20"/>
              </w:rPr>
              <w:t>“How</w:t>
            </w:r>
            <w:r>
              <w:rPr>
                <w:spacing w:val="-6"/>
                <w:sz w:val="20"/>
              </w:rPr>
              <w:t xml:space="preserve"> </w:t>
            </w:r>
            <w:r>
              <w:rPr>
                <w:sz w:val="20"/>
              </w:rPr>
              <w:t>has</w:t>
            </w:r>
            <w:r>
              <w:rPr>
                <w:spacing w:val="-6"/>
                <w:sz w:val="20"/>
              </w:rPr>
              <w:t xml:space="preserve"> </w:t>
            </w:r>
            <w:r>
              <w:rPr>
                <w:sz w:val="20"/>
              </w:rPr>
              <w:t>your</w:t>
            </w:r>
            <w:r>
              <w:rPr>
                <w:spacing w:val="-5"/>
                <w:sz w:val="20"/>
              </w:rPr>
              <w:t xml:space="preserve"> </w:t>
            </w:r>
            <w:r>
              <w:rPr>
                <w:sz w:val="20"/>
              </w:rPr>
              <w:t>drug</w:t>
            </w:r>
            <w:r>
              <w:rPr>
                <w:spacing w:val="-5"/>
                <w:sz w:val="20"/>
              </w:rPr>
              <w:t xml:space="preserve"> </w:t>
            </w:r>
            <w:r>
              <w:rPr>
                <w:sz w:val="20"/>
              </w:rPr>
              <w:t>use</w:t>
            </w:r>
            <w:r>
              <w:rPr>
                <w:spacing w:val="-6"/>
                <w:sz w:val="20"/>
              </w:rPr>
              <w:t xml:space="preserve"> </w:t>
            </w:r>
            <w:r>
              <w:rPr>
                <w:sz w:val="20"/>
              </w:rPr>
              <w:t>been</w:t>
            </w:r>
            <w:r>
              <w:rPr>
                <w:spacing w:val="-4"/>
                <w:sz w:val="20"/>
              </w:rPr>
              <w:t xml:space="preserve"> </w:t>
            </w:r>
            <w:r>
              <w:rPr>
                <w:sz w:val="20"/>
              </w:rPr>
              <w:t>this</w:t>
            </w:r>
            <w:r>
              <w:rPr>
                <w:spacing w:val="-6"/>
                <w:sz w:val="20"/>
              </w:rPr>
              <w:t xml:space="preserve"> </w:t>
            </w:r>
            <w:r>
              <w:rPr>
                <w:sz w:val="20"/>
              </w:rPr>
              <w:t>week</w:t>
            </w:r>
            <w:r>
              <w:rPr>
                <w:spacing w:val="-5"/>
                <w:sz w:val="20"/>
              </w:rPr>
              <w:t xml:space="preserve"> </w:t>
            </w:r>
            <w:r>
              <w:rPr>
                <w:sz w:val="20"/>
              </w:rPr>
              <w:t>compared</w:t>
            </w:r>
            <w:r>
              <w:rPr>
                <w:spacing w:val="-1"/>
                <w:sz w:val="20"/>
              </w:rPr>
              <w:t xml:space="preserve"> </w:t>
            </w:r>
            <w:r>
              <w:rPr>
                <w:sz w:val="20"/>
              </w:rPr>
              <w:t>with last week: more, less, or about the same?”</w:t>
            </w:r>
          </w:p>
        </w:tc>
        <w:tc>
          <w:tcPr>
            <w:tcW w:w="4593" w:type="dxa"/>
          </w:tcPr>
          <w:p w14:paraId="3E585657" w14:textId="77777777" w:rsidR="00DB6E1F" w:rsidRDefault="00F666A6">
            <w:pPr>
              <w:pStyle w:val="TableParagraph"/>
              <w:ind w:left="105"/>
              <w:rPr>
                <w:sz w:val="20"/>
              </w:rPr>
            </w:pPr>
            <w:r>
              <w:rPr>
                <w:sz w:val="20"/>
              </w:rPr>
              <w:t>“What</w:t>
            </w:r>
            <w:r>
              <w:rPr>
                <w:spacing w:val="-4"/>
                <w:sz w:val="20"/>
              </w:rPr>
              <w:t xml:space="preserve"> </w:t>
            </w:r>
            <w:r>
              <w:rPr>
                <w:sz w:val="20"/>
              </w:rPr>
              <w:t>has</w:t>
            </w:r>
            <w:r>
              <w:rPr>
                <w:spacing w:val="-5"/>
                <w:sz w:val="20"/>
              </w:rPr>
              <w:t xml:space="preserve"> </w:t>
            </w:r>
            <w:r>
              <w:rPr>
                <w:sz w:val="20"/>
              </w:rPr>
              <w:t>your</w:t>
            </w:r>
            <w:r>
              <w:rPr>
                <w:spacing w:val="-4"/>
                <w:sz w:val="20"/>
              </w:rPr>
              <w:t xml:space="preserve"> </w:t>
            </w:r>
            <w:r>
              <w:rPr>
                <w:sz w:val="20"/>
              </w:rPr>
              <w:t>drug</w:t>
            </w:r>
            <w:r>
              <w:rPr>
                <w:spacing w:val="-7"/>
                <w:sz w:val="20"/>
              </w:rPr>
              <w:t xml:space="preserve"> </w:t>
            </w:r>
            <w:r>
              <w:rPr>
                <w:sz w:val="20"/>
              </w:rPr>
              <w:t>use</w:t>
            </w:r>
            <w:r>
              <w:rPr>
                <w:spacing w:val="-5"/>
                <w:sz w:val="20"/>
              </w:rPr>
              <w:t xml:space="preserve"> </w:t>
            </w:r>
            <w:r>
              <w:rPr>
                <w:sz w:val="20"/>
              </w:rPr>
              <w:t>been</w:t>
            </w:r>
            <w:r>
              <w:rPr>
                <w:spacing w:val="-3"/>
                <w:sz w:val="20"/>
              </w:rPr>
              <w:t xml:space="preserve"> </w:t>
            </w:r>
            <w:r>
              <w:rPr>
                <w:sz w:val="20"/>
              </w:rPr>
              <w:t>like</w:t>
            </w:r>
            <w:r>
              <w:rPr>
                <w:spacing w:val="-5"/>
                <w:sz w:val="20"/>
              </w:rPr>
              <w:t xml:space="preserve"> </w:t>
            </w:r>
            <w:r>
              <w:rPr>
                <w:sz w:val="20"/>
              </w:rPr>
              <w:t>during</w:t>
            </w:r>
            <w:r>
              <w:rPr>
                <w:spacing w:val="-4"/>
                <w:sz w:val="20"/>
              </w:rPr>
              <w:t xml:space="preserve"> </w:t>
            </w:r>
            <w:r>
              <w:rPr>
                <w:sz w:val="20"/>
              </w:rPr>
              <w:t>the</w:t>
            </w:r>
            <w:r>
              <w:rPr>
                <w:spacing w:val="-5"/>
                <w:sz w:val="20"/>
              </w:rPr>
              <w:t xml:space="preserve"> </w:t>
            </w:r>
            <w:r>
              <w:rPr>
                <w:sz w:val="20"/>
              </w:rPr>
              <w:t xml:space="preserve">past </w:t>
            </w:r>
            <w:r>
              <w:rPr>
                <w:spacing w:val="-2"/>
                <w:sz w:val="20"/>
              </w:rPr>
              <w:t>week?”</w:t>
            </w:r>
          </w:p>
        </w:tc>
      </w:tr>
      <w:tr w:rsidR="00DB6E1F" w14:paraId="2B780BF4" w14:textId="77777777">
        <w:trPr>
          <w:trHeight w:val="609"/>
        </w:trPr>
        <w:tc>
          <w:tcPr>
            <w:tcW w:w="4766" w:type="dxa"/>
          </w:tcPr>
          <w:p w14:paraId="20923E45" w14:textId="77777777" w:rsidR="00DB6E1F" w:rsidRDefault="00F666A6">
            <w:pPr>
              <w:pStyle w:val="TableParagraph"/>
              <w:rPr>
                <w:sz w:val="20"/>
              </w:rPr>
            </w:pPr>
            <w:r>
              <w:rPr>
                <w:sz w:val="20"/>
              </w:rPr>
              <w:t>“Do</w:t>
            </w:r>
            <w:r>
              <w:rPr>
                <w:spacing w:val="-4"/>
                <w:sz w:val="20"/>
              </w:rPr>
              <w:t xml:space="preserve"> </w:t>
            </w:r>
            <w:r>
              <w:rPr>
                <w:sz w:val="20"/>
              </w:rPr>
              <w:t>you</w:t>
            </w:r>
            <w:r>
              <w:rPr>
                <w:spacing w:val="-4"/>
                <w:sz w:val="20"/>
              </w:rPr>
              <w:t xml:space="preserve"> </w:t>
            </w:r>
            <w:r>
              <w:rPr>
                <w:sz w:val="20"/>
              </w:rPr>
              <w:t>think</w:t>
            </w:r>
            <w:r>
              <w:rPr>
                <w:spacing w:val="-6"/>
                <w:sz w:val="20"/>
              </w:rPr>
              <w:t xml:space="preserve"> </w:t>
            </w:r>
            <w:r>
              <w:rPr>
                <w:sz w:val="20"/>
              </w:rPr>
              <w:t>you</w:t>
            </w:r>
            <w:r>
              <w:rPr>
                <w:spacing w:val="-4"/>
                <w:sz w:val="20"/>
              </w:rPr>
              <w:t xml:space="preserve"> </w:t>
            </w:r>
            <w:r>
              <w:rPr>
                <w:sz w:val="20"/>
              </w:rPr>
              <w:t>use</w:t>
            </w:r>
            <w:r>
              <w:rPr>
                <w:spacing w:val="-5"/>
                <w:sz w:val="20"/>
              </w:rPr>
              <w:t xml:space="preserve"> </w:t>
            </w:r>
            <w:r>
              <w:rPr>
                <w:sz w:val="20"/>
              </w:rPr>
              <w:t>amphetamines</w:t>
            </w:r>
            <w:r>
              <w:rPr>
                <w:spacing w:val="-6"/>
                <w:sz w:val="20"/>
              </w:rPr>
              <w:t xml:space="preserve"> </w:t>
            </w:r>
            <w:r>
              <w:rPr>
                <w:sz w:val="20"/>
              </w:rPr>
              <w:t>too</w:t>
            </w:r>
            <w:r>
              <w:rPr>
                <w:spacing w:val="-4"/>
                <w:sz w:val="20"/>
              </w:rPr>
              <w:t xml:space="preserve"> </w:t>
            </w:r>
            <w:r>
              <w:rPr>
                <w:spacing w:val="-2"/>
                <w:sz w:val="20"/>
              </w:rPr>
              <w:t>often?”</w:t>
            </w:r>
          </w:p>
        </w:tc>
        <w:tc>
          <w:tcPr>
            <w:tcW w:w="4593" w:type="dxa"/>
          </w:tcPr>
          <w:p w14:paraId="256B9677" w14:textId="77777777" w:rsidR="00DB6E1F" w:rsidRDefault="00F666A6">
            <w:pPr>
              <w:pStyle w:val="TableParagraph"/>
              <w:ind w:left="105"/>
              <w:rPr>
                <w:sz w:val="20"/>
              </w:rPr>
            </w:pPr>
            <w:r>
              <w:rPr>
                <w:sz w:val="20"/>
              </w:rPr>
              <w:t>“In</w:t>
            </w:r>
            <w:r>
              <w:rPr>
                <w:spacing w:val="-3"/>
                <w:sz w:val="20"/>
              </w:rPr>
              <w:t xml:space="preserve"> </w:t>
            </w:r>
            <w:r>
              <w:rPr>
                <w:sz w:val="20"/>
              </w:rPr>
              <w:t>what</w:t>
            </w:r>
            <w:r>
              <w:rPr>
                <w:spacing w:val="-4"/>
                <w:sz w:val="20"/>
              </w:rPr>
              <w:t xml:space="preserve"> </w:t>
            </w:r>
            <w:r>
              <w:rPr>
                <w:sz w:val="20"/>
              </w:rPr>
              <w:t>ways</w:t>
            </w:r>
            <w:r>
              <w:rPr>
                <w:spacing w:val="-5"/>
                <w:sz w:val="20"/>
              </w:rPr>
              <w:t xml:space="preserve"> </w:t>
            </w:r>
            <w:r>
              <w:rPr>
                <w:sz w:val="20"/>
              </w:rPr>
              <w:t>are</w:t>
            </w:r>
            <w:r>
              <w:rPr>
                <w:spacing w:val="-5"/>
                <w:sz w:val="20"/>
              </w:rPr>
              <w:t xml:space="preserve"> </w:t>
            </w:r>
            <w:r>
              <w:rPr>
                <w:sz w:val="20"/>
              </w:rPr>
              <w:t>you</w:t>
            </w:r>
            <w:r>
              <w:rPr>
                <w:spacing w:val="-3"/>
                <w:sz w:val="20"/>
              </w:rPr>
              <w:t xml:space="preserve"> </w:t>
            </w:r>
            <w:r>
              <w:rPr>
                <w:sz w:val="20"/>
              </w:rPr>
              <w:t>concerned</w:t>
            </w:r>
            <w:r>
              <w:rPr>
                <w:spacing w:val="-3"/>
                <w:sz w:val="20"/>
              </w:rPr>
              <w:t xml:space="preserve"> </w:t>
            </w:r>
            <w:r>
              <w:rPr>
                <w:sz w:val="20"/>
              </w:rPr>
              <w:t>about</w:t>
            </w:r>
            <w:r>
              <w:rPr>
                <w:spacing w:val="-4"/>
                <w:sz w:val="20"/>
              </w:rPr>
              <w:t xml:space="preserve"> </w:t>
            </w:r>
            <w:r>
              <w:rPr>
                <w:sz w:val="20"/>
              </w:rPr>
              <w:t>your</w:t>
            </w:r>
            <w:r>
              <w:rPr>
                <w:spacing w:val="-6"/>
                <w:sz w:val="20"/>
              </w:rPr>
              <w:t xml:space="preserve"> </w:t>
            </w:r>
            <w:r>
              <w:rPr>
                <w:sz w:val="20"/>
              </w:rPr>
              <w:t>use</w:t>
            </w:r>
            <w:r>
              <w:rPr>
                <w:spacing w:val="-5"/>
                <w:sz w:val="20"/>
              </w:rPr>
              <w:t xml:space="preserve"> </w:t>
            </w:r>
            <w:r>
              <w:rPr>
                <w:sz w:val="20"/>
              </w:rPr>
              <w:t xml:space="preserve">of </w:t>
            </w:r>
            <w:r>
              <w:rPr>
                <w:spacing w:val="-2"/>
                <w:sz w:val="20"/>
              </w:rPr>
              <w:t>amphetamines?”</w:t>
            </w:r>
          </w:p>
        </w:tc>
      </w:tr>
      <w:tr w:rsidR="00DB6E1F" w14:paraId="5ECFB354" w14:textId="77777777">
        <w:trPr>
          <w:trHeight w:val="364"/>
        </w:trPr>
        <w:tc>
          <w:tcPr>
            <w:tcW w:w="4766" w:type="dxa"/>
          </w:tcPr>
          <w:p w14:paraId="376F5660" w14:textId="77777777" w:rsidR="00DB6E1F" w:rsidRDefault="00F666A6">
            <w:pPr>
              <w:pStyle w:val="TableParagraph"/>
              <w:rPr>
                <w:sz w:val="20"/>
              </w:rPr>
            </w:pPr>
            <w:r>
              <w:rPr>
                <w:sz w:val="20"/>
              </w:rPr>
              <w:t>“How</w:t>
            </w:r>
            <w:r>
              <w:rPr>
                <w:spacing w:val="-6"/>
                <w:sz w:val="20"/>
              </w:rPr>
              <w:t xml:space="preserve"> </w:t>
            </w:r>
            <w:r>
              <w:rPr>
                <w:sz w:val="20"/>
              </w:rPr>
              <w:t>long</w:t>
            </w:r>
            <w:r>
              <w:rPr>
                <w:spacing w:val="-4"/>
                <w:sz w:val="20"/>
              </w:rPr>
              <w:t xml:space="preserve"> </w:t>
            </w:r>
            <w:r>
              <w:rPr>
                <w:sz w:val="20"/>
              </w:rPr>
              <w:t>ago</w:t>
            </w:r>
            <w:r>
              <w:rPr>
                <w:spacing w:val="-5"/>
                <w:sz w:val="20"/>
              </w:rPr>
              <w:t xml:space="preserve"> </w:t>
            </w:r>
            <w:r>
              <w:rPr>
                <w:sz w:val="20"/>
              </w:rPr>
              <w:t>did</w:t>
            </w:r>
            <w:r>
              <w:rPr>
                <w:spacing w:val="-4"/>
                <w:sz w:val="20"/>
              </w:rPr>
              <w:t xml:space="preserve"> </w:t>
            </w:r>
            <w:r>
              <w:rPr>
                <w:sz w:val="20"/>
              </w:rPr>
              <w:t>you</w:t>
            </w:r>
            <w:r>
              <w:rPr>
                <w:spacing w:val="-3"/>
                <w:sz w:val="20"/>
              </w:rPr>
              <w:t xml:space="preserve"> </w:t>
            </w:r>
            <w:r>
              <w:rPr>
                <w:sz w:val="20"/>
              </w:rPr>
              <w:t>have</w:t>
            </w:r>
            <w:r>
              <w:rPr>
                <w:spacing w:val="-6"/>
                <w:sz w:val="20"/>
              </w:rPr>
              <w:t xml:space="preserve"> </w:t>
            </w:r>
            <w:r>
              <w:rPr>
                <w:sz w:val="20"/>
              </w:rPr>
              <w:t>your</w:t>
            </w:r>
            <w:r>
              <w:rPr>
                <w:spacing w:val="-4"/>
                <w:sz w:val="20"/>
              </w:rPr>
              <w:t xml:space="preserve"> </w:t>
            </w:r>
            <w:r>
              <w:rPr>
                <w:sz w:val="20"/>
              </w:rPr>
              <w:t>last</w:t>
            </w:r>
            <w:r>
              <w:rPr>
                <w:spacing w:val="-5"/>
                <w:sz w:val="20"/>
              </w:rPr>
              <w:t xml:space="preserve"> </w:t>
            </w:r>
            <w:r>
              <w:rPr>
                <w:spacing w:val="-2"/>
                <w:sz w:val="20"/>
              </w:rPr>
              <w:t>drink?”</w:t>
            </w:r>
          </w:p>
        </w:tc>
        <w:tc>
          <w:tcPr>
            <w:tcW w:w="4593" w:type="dxa"/>
          </w:tcPr>
          <w:p w14:paraId="45516655" w14:textId="77777777" w:rsidR="00DB6E1F" w:rsidRDefault="00F666A6">
            <w:pPr>
              <w:pStyle w:val="TableParagraph"/>
              <w:ind w:left="105"/>
              <w:rPr>
                <w:sz w:val="20"/>
              </w:rPr>
            </w:pPr>
            <w:r>
              <w:rPr>
                <w:sz w:val="20"/>
              </w:rPr>
              <w:t>“Tell</w:t>
            </w:r>
            <w:r>
              <w:rPr>
                <w:spacing w:val="-3"/>
                <w:sz w:val="20"/>
              </w:rPr>
              <w:t xml:space="preserve"> </w:t>
            </w:r>
            <w:r>
              <w:rPr>
                <w:sz w:val="20"/>
              </w:rPr>
              <w:t>me</w:t>
            </w:r>
            <w:r>
              <w:rPr>
                <w:spacing w:val="-5"/>
                <w:sz w:val="20"/>
              </w:rPr>
              <w:t xml:space="preserve"> </w:t>
            </w:r>
            <w:r>
              <w:rPr>
                <w:sz w:val="20"/>
              </w:rPr>
              <w:t>about</w:t>
            </w:r>
            <w:r>
              <w:rPr>
                <w:spacing w:val="-5"/>
                <w:sz w:val="20"/>
              </w:rPr>
              <w:t xml:space="preserve"> </w:t>
            </w:r>
            <w:r>
              <w:rPr>
                <w:sz w:val="20"/>
              </w:rPr>
              <w:t>the</w:t>
            </w:r>
            <w:r>
              <w:rPr>
                <w:spacing w:val="-5"/>
                <w:sz w:val="20"/>
              </w:rPr>
              <w:t xml:space="preserve"> </w:t>
            </w:r>
            <w:r>
              <w:rPr>
                <w:sz w:val="20"/>
              </w:rPr>
              <w:t>last</w:t>
            </w:r>
            <w:r>
              <w:rPr>
                <w:spacing w:val="-4"/>
                <w:sz w:val="20"/>
              </w:rPr>
              <w:t xml:space="preserve"> </w:t>
            </w:r>
            <w:r>
              <w:rPr>
                <w:sz w:val="20"/>
              </w:rPr>
              <w:t>time</w:t>
            </w:r>
            <w:r>
              <w:rPr>
                <w:spacing w:val="-5"/>
                <w:sz w:val="20"/>
              </w:rPr>
              <w:t xml:space="preserve"> </w:t>
            </w:r>
            <w:r>
              <w:rPr>
                <w:sz w:val="20"/>
              </w:rPr>
              <w:t>you</w:t>
            </w:r>
            <w:r>
              <w:rPr>
                <w:spacing w:val="-4"/>
                <w:sz w:val="20"/>
              </w:rPr>
              <w:t xml:space="preserve"> </w:t>
            </w:r>
            <w:r>
              <w:rPr>
                <w:spacing w:val="-2"/>
                <w:sz w:val="20"/>
              </w:rPr>
              <w:t>drank.”</w:t>
            </w:r>
          </w:p>
        </w:tc>
      </w:tr>
      <w:tr w:rsidR="00DB6E1F" w14:paraId="4FB44ABC" w14:textId="77777777">
        <w:trPr>
          <w:trHeight w:val="851"/>
        </w:trPr>
        <w:tc>
          <w:tcPr>
            <w:tcW w:w="4766" w:type="dxa"/>
          </w:tcPr>
          <w:p w14:paraId="611F7F4C" w14:textId="77777777" w:rsidR="00DB6E1F" w:rsidRDefault="00F666A6">
            <w:pPr>
              <w:pStyle w:val="TableParagraph"/>
              <w:ind w:right="214"/>
              <w:rPr>
                <w:sz w:val="20"/>
              </w:rPr>
            </w:pPr>
            <w:r>
              <w:rPr>
                <w:sz w:val="20"/>
              </w:rPr>
              <w:t>“Are</w:t>
            </w:r>
            <w:r>
              <w:rPr>
                <w:spacing w:val="-5"/>
                <w:sz w:val="20"/>
              </w:rPr>
              <w:t xml:space="preserve"> </w:t>
            </w:r>
            <w:r>
              <w:rPr>
                <w:sz w:val="20"/>
              </w:rPr>
              <w:t>you</w:t>
            </w:r>
            <w:r>
              <w:rPr>
                <w:spacing w:val="-3"/>
                <w:sz w:val="20"/>
              </w:rPr>
              <w:t xml:space="preserve"> </w:t>
            </w:r>
            <w:r>
              <w:rPr>
                <w:sz w:val="20"/>
              </w:rPr>
              <w:t>sure</w:t>
            </w:r>
            <w:r>
              <w:rPr>
                <w:spacing w:val="-5"/>
                <w:sz w:val="20"/>
              </w:rPr>
              <w:t xml:space="preserve"> </w:t>
            </w:r>
            <w:r>
              <w:rPr>
                <w:sz w:val="20"/>
              </w:rPr>
              <w:t>that</w:t>
            </w:r>
            <w:r>
              <w:rPr>
                <w:spacing w:val="-4"/>
                <w:sz w:val="20"/>
              </w:rPr>
              <w:t xml:space="preserve"> </w:t>
            </w:r>
            <w:r>
              <w:rPr>
                <w:sz w:val="20"/>
              </w:rPr>
              <w:t>your</w:t>
            </w:r>
            <w:r>
              <w:rPr>
                <w:spacing w:val="-4"/>
                <w:sz w:val="20"/>
              </w:rPr>
              <w:t xml:space="preserve"> </w:t>
            </w:r>
            <w:r>
              <w:rPr>
                <w:sz w:val="20"/>
              </w:rPr>
              <w:t>probation</w:t>
            </w:r>
            <w:r>
              <w:rPr>
                <w:spacing w:val="-3"/>
                <w:sz w:val="20"/>
              </w:rPr>
              <w:t xml:space="preserve"> </w:t>
            </w:r>
            <w:r>
              <w:rPr>
                <w:sz w:val="20"/>
              </w:rPr>
              <w:t>officer</w:t>
            </w:r>
            <w:r>
              <w:rPr>
                <w:spacing w:val="-4"/>
                <w:sz w:val="20"/>
              </w:rPr>
              <w:t xml:space="preserve"> </w:t>
            </w:r>
            <w:r>
              <w:rPr>
                <w:sz w:val="20"/>
              </w:rPr>
              <w:t>told</w:t>
            </w:r>
            <w:r>
              <w:rPr>
                <w:spacing w:val="-3"/>
                <w:sz w:val="20"/>
              </w:rPr>
              <w:t xml:space="preserve"> </w:t>
            </w:r>
            <w:r>
              <w:rPr>
                <w:sz w:val="20"/>
              </w:rPr>
              <w:t>you</w:t>
            </w:r>
            <w:r>
              <w:rPr>
                <w:spacing w:val="-3"/>
                <w:sz w:val="20"/>
              </w:rPr>
              <w:t xml:space="preserve"> </w:t>
            </w:r>
            <w:r>
              <w:rPr>
                <w:sz w:val="20"/>
              </w:rPr>
              <w:t xml:space="preserve">that it’s only cocaine he is concerned about in your urine </w:t>
            </w:r>
            <w:r>
              <w:rPr>
                <w:spacing w:val="-2"/>
                <w:sz w:val="20"/>
              </w:rPr>
              <w:t>screens?”</w:t>
            </w:r>
          </w:p>
        </w:tc>
        <w:tc>
          <w:tcPr>
            <w:tcW w:w="4593" w:type="dxa"/>
          </w:tcPr>
          <w:p w14:paraId="10636206" w14:textId="77777777" w:rsidR="00DB6E1F" w:rsidRDefault="00F666A6">
            <w:pPr>
              <w:pStyle w:val="TableParagraph"/>
              <w:ind w:left="105" w:right="105"/>
              <w:rPr>
                <w:sz w:val="20"/>
              </w:rPr>
            </w:pPr>
            <w:r>
              <w:rPr>
                <w:sz w:val="20"/>
              </w:rPr>
              <w:t>“Tell</w:t>
            </w:r>
            <w:r>
              <w:rPr>
                <w:spacing w:val="-4"/>
                <w:sz w:val="20"/>
              </w:rPr>
              <w:t xml:space="preserve"> </w:t>
            </w:r>
            <w:r>
              <w:rPr>
                <w:sz w:val="20"/>
              </w:rPr>
              <w:t>me</w:t>
            </w:r>
            <w:r>
              <w:rPr>
                <w:spacing w:val="-4"/>
                <w:sz w:val="20"/>
              </w:rPr>
              <w:t xml:space="preserve"> </w:t>
            </w:r>
            <w:r>
              <w:rPr>
                <w:sz w:val="20"/>
              </w:rPr>
              <w:t>more</w:t>
            </w:r>
            <w:r>
              <w:rPr>
                <w:spacing w:val="-7"/>
                <w:sz w:val="20"/>
              </w:rPr>
              <w:t xml:space="preserve"> </w:t>
            </w:r>
            <w:r>
              <w:rPr>
                <w:sz w:val="20"/>
              </w:rPr>
              <w:t>about</w:t>
            </w:r>
            <w:r>
              <w:rPr>
                <w:spacing w:val="-6"/>
                <w:sz w:val="20"/>
              </w:rPr>
              <w:t xml:space="preserve"> </w:t>
            </w:r>
            <w:r>
              <w:rPr>
                <w:sz w:val="20"/>
              </w:rPr>
              <w:t>the</w:t>
            </w:r>
            <w:r>
              <w:rPr>
                <w:spacing w:val="-7"/>
                <w:sz w:val="20"/>
              </w:rPr>
              <w:t xml:space="preserve"> </w:t>
            </w:r>
            <w:r>
              <w:rPr>
                <w:sz w:val="20"/>
              </w:rPr>
              <w:t>conditions</w:t>
            </w:r>
            <w:r>
              <w:rPr>
                <w:spacing w:val="-7"/>
                <w:sz w:val="20"/>
              </w:rPr>
              <w:t xml:space="preserve"> </w:t>
            </w:r>
            <w:r>
              <w:rPr>
                <w:sz w:val="20"/>
              </w:rPr>
              <w:t>of</w:t>
            </w:r>
            <w:r>
              <w:rPr>
                <w:spacing w:val="-7"/>
                <w:sz w:val="20"/>
              </w:rPr>
              <w:t xml:space="preserve"> </w:t>
            </w:r>
            <w:r>
              <w:rPr>
                <w:sz w:val="20"/>
              </w:rPr>
              <w:t xml:space="preserve">your </w:t>
            </w:r>
            <w:r>
              <w:rPr>
                <w:spacing w:val="-2"/>
                <w:sz w:val="20"/>
              </w:rPr>
              <w:t>probation.”</w:t>
            </w:r>
          </w:p>
        </w:tc>
      </w:tr>
      <w:tr w:rsidR="00DB6E1F" w14:paraId="1855FC56" w14:textId="77777777">
        <w:trPr>
          <w:trHeight w:val="609"/>
        </w:trPr>
        <w:tc>
          <w:tcPr>
            <w:tcW w:w="4766" w:type="dxa"/>
          </w:tcPr>
          <w:p w14:paraId="52A3DDDF" w14:textId="77777777" w:rsidR="00DB6E1F" w:rsidRDefault="00F666A6">
            <w:pPr>
              <w:pStyle w:val="TableParagraph"/>
              <w:rPr>
                <w:sz w:val="20"/>
              </w:rPr>
            </w:pPr>
            <w:r>
              <w:rPr>
                <w:sz w:val="20"/>
              </w:rPr>
              <w:t>“When</w:t>
            </w:r>
            <w:r>
              <w:rPr>
                <w:spacing w:val="-4"/>
                <w:sz w:val="20"/>
              </w:rPr>
              <w:t xml:space="preserve"> </w:t>
            </w:r>
            <w:r>
              <w:rPr>
                <w:sz w:val="20"/>
              </w:rPr>
              <w:t>do</w:t>
            </w:r>
            <w:r>
              <w:rPr>
                <w:spacing w:val="-4"/>
                <w:sz w:val="20"/>
              </w:rPr>
              <w:t xml:space="preserve"> </w:t>
            </w:r>
            <w:r>
              <w:rPr>
                <w:sz w:val="20"/>
              </w:rPr>
              <w:t>you</w:t>
            </w:r>
            <w:r>
              <w:rPr>
                <w:spacing w:val="-3"/>
                <w:sz w:val="20"/>
              </w:rPr>
              <w:t xml:space="preserve"> </w:t>
            </w:r>
            <w:r>
              <w:rPr>
                <w:sz w:val="20"/>
              </w:rPr>
              <w:t>plan</w:t>
            </w:r>
            <w:r>
              <w:rPr>
                <w:spacing w:val="-3"/>
                <w:sz w:val="20"/>
              </w:rPr>
              <w:t xml:space="preserve"> </w:t>
            </w:r>
            <w:r>
              <w:rPr>
                <w:sz w:val="20"/>
              </w:rPr>
              <w:t>to</w:t>
            </w:r>
            <w:r>
              <w:rPr>
                <w:spacing w:val="-4"/>
                <w:sz w:val="20"/>
              </w:rPr>
              <w:t xml:space="preserve"> </w:t>
            </w:r>
            <w:r>
              <w:rPr>
                <w:sz w:val="20"/>
              </w:rPr>
              <w:t>quit</w:t>
            </w:r>
            <w:r>
              <w:rPr>
                <w:spacing w:val="-6"/>
                <w:sz w:val="20"/>
              </w:rPr>
              <w:t xml:space="preserve"> </w:t>
            </w:r>
            <w:r>
              <w:rPr>
                <w:spacing w:val="-2"/>
                <w:sz w:val="20"/>
              </w:rPr>
              <w:t>drinking?”</w:t>
            </w:r>
          </w:p>
        </w:tc>
        <w:tc>
          <w:tcPr>
            <w:tcW w:w="4593" w:type="dxa"/>
          </w:tcPr>
          <w:p w14:paraId="73838A1A" w14:textId="77777777" w:rsidR="00DB6E1F" w:rsidRDefault="00F666A6">
            <w:pPr>
              <w:pStyle w:val="TableParagraph"/>
              <w:ind w:left="105"/>
              <w:rPr>
                <w:sz w:val="20"/>
              </w:rPr>
            </w:pPr>
            <w:r>
              <w:rPr>
                <w:sz w:val="20"/>
              </w:rPr>
              <w:t>“What</w:t>
            </w:r>
            <w:r>
              <w:rPr>
                <w:spacing w:val="-4"/>
                <w:sz w:val="20"/>
              </w:rPr>
              <w:t xml:space="preserve"> </w:t>
            </w:r>
            <w:r>
              <w:rPr>
                <w:sz w:val="20"/>
              </w:rPr>
              <w:t>do</w:t>
            </w:r>
            <w:r>
              <w:rPr>
                <w:spacing w:val="-4"/>
                <w:sz w:val="20"/>
              </w:rPr>
              <w:t xml:space="preserve"> </w:t>
            </w:r>
            <w:r>
              <w:rPr>
                <w:sz w:val="20"/>
              </w:rPr>
              <w:t>you</w:t>
            </w:r>
            <w:r>
              <w:rPr>
                <w:spacing w:val="-5"/>
                <w:sz w:val="20"/>
              </w:rPr>
              <w:t xml:space="preserve"> </w:t>
            </w:r>
            <w:r>
              <w:rPr>
                <w:sz w:val="20"/>
              </w:rPr>
              <w:t>think</w:t>
            </w:r>
            <w:r>
              <w:rPr>
                <w:spacing w:val="-5"/>
                <w:sz w:val="20"/>
              </w:rPr>
              <w:t xml:space="preserve"> </w:t>
            </w:r>
            <w:r>
              <w:rPr>
                <w:sz w:val="20"/>
              </w:rPr>
              <w:t>you</w:t>
            </w:r>
            <w:r>
              <w:rPr>
                <w:spacing w:val="-3"/>
                <w:sz w:val="20"/>
              </w:rPr>
              <w:t xml:space="preserve"> </w:t>
            </w:r>
            <w:r>
              <w:rPr>
                <w:sz w:val="20"/>
              </w:rPr>
              <w:t>want</w:t>
            </w:r>
            <w:r>
              <w:rPr>
                <w:spacing w:val="-5"/>
                <w:sz w:val="20"/>
              </w:rPr>
              <w:t xml:space="preserve"> </w:t>
            </w:r>
            <w:r>
              <w:rPr>
                <w:sz w:val="20"/>
              </w:rPr>
              <w:t>to</w:t>
            </w:r>
            <w:r>
              <w:rPr>
                <w:spacing w:val="-4"/>
                <w:sz w:val="20"/>
              </w:rPr>
              <w:t xml:space="preserve"> </w:t>
            </w:r>
            <w:r>
              <w:rPr>
                <w:sz w:val="20"/>
              </w:rPr>
              <w:t>do</w:t>
            </w:r>
            <w:r>
              <w:rPr>
                <w:spacing w:val="-4"/>
                <w:sz w:val="20"/>
              </w:rPr>
              <w:t xml:space="preserve"> </w:t>
            </w:r>
            <w:r>
              <w:rPr>
                <w:sz w:val="20"/>
              </w:rPr>
              <w:t>about</w:t>
            </w:r>
            <w:r>
              <w:rPr>
                <w:spacing w:val="-5"/>
                <w:sz w:val="20"/>
              </w:rPr>
              <w:t xml:space="preserve"> </w:t>
            </w:r>
            <w:r>
              <w:rPr>
                <w:sz w:val="20"/>
              </w:rPr>
              <w:t xml:space="preserve">your </w:t>
            </w:r>
            <w:r>
              <w:rPr>
                <w:spacing w:val="-2"/>
                <w:sz w:val="20"/>
              </w:rPr>
              <w:t>drinking?”</w:t>
            </w:r>
          </w:p>
        </w:tc>
      </w:tr>
    </w:tbl>
    <w:p w14:paraId="35BE3081" w14:textId="77777777" w:rsidR="00DB6E1F" w:rsidRDefault="00F666A6">
      <w:pPr>
        <w:pStyle w:val="BodyText"/>
        <w:spacing w:before="164"/>
        <w:ind w:left="1440" w:right="1491"/>
      </w:pPr>
      <w:r>
        <w:t>There may be times when you must ask closed questions, for example, to gather information for a screening</w:t>
      </w:r>
      <w:r>
        <w:rPr>
          <w:spacing w:val="-5"/>
        </w:rPr>
        <w:t xml:space="preserve"> </w:t>
      </w:r>
      <w:r>
        <w:t>or</w:t>
      </w:r>
      <w:r>
        <w:rPr>
          <w:spacing w:val="-2"/>
        </w:rPr>
        <w:t xml:space="preserve"> </w:t>
      </w:r>
      <w:r>
        <w:t>assessment.</w:t>
      </w:r>
      <w:r>
        <w:rPr>
          <w:spacing w:val="-2"/>
        </w:rPr>
        <w:t xml:space="preserve"> </w:t>
      </w:r>
      <w:r>
        <w:t>However,</w:t>
      </w:r>
      <w:r>
        <w:rPr>
          <w:spacing w:val="-2"/>
        </w:rPr>
        <w:t xml:space="preserve"> </w:t>
      </w:r>
      <w:r>
        <w:t>if</w:t>
      </w:r>
      <w:r>
        <w:rPr>
          <w:spacing w:val="-4"/>
        </w:rPr>
        <w:t xml:space="preserve"> </w:t>
      </w:r>
      <w:r>
        <w:t>you</w:t>
      </w:r>
      <w:r>
        <w:rPr>
          <w:spacing w:val="-3"/>
        </w:rPr>
        <w:t xml:space="preserve"> </w:t>
      </w:r>
      <w:r>
        <w:t>use</w:t>
      </w:r>
      <w:r>
        <w:rPr>
          <w:spacing w:val="-4"/>
        </w:rPr>
        <w:t xml:space="preserve"> </w:t>
      </w:r>
      <w:r>
        <w:t>open</w:t>
      </w:r>
      <w:r>
        <w:rPr>
          <w:spacing w:val="-3"/>
        </w:rPr>
        <w:t xml:space="preserve"> </w:t>
      </w:r>
      <w:r>
        <w:t>questions—“Tell</w:t>
      </w:r>
      <w:r>
        <w:rPr>
          <w:spacing w:val="-5"/>
        </w:rPr>
        <w:t xml:space="preserve"> </w:t>
      </w:r>
      <w:r>
        <w:t>me</w:t>
      </w:r>
      <w:r>
        <w:rPr>
          <w:spacing w:val="-4"/>
        </w:rPr>
        <w:t xml:space="preserve"> </w:t>
      </w:r>
      <w:r>
        <w:t>about</w:t>
      </w:r>
      <w:r>
        <w:rPr>
          <w:spacing w:val="-4"/>
        </w:rPr>
        <w:t xml:space="preserve"> </w:t>
      </w:r>
      <w:r>
        <w:t>the</w:t>
      </w:r>
      <w:r>
        <w:rPr>
          <w:spacing w:val="-1"/>
        </w:rPr>
        <w:t xml:space="preserve"> </w:t>
      </w:r>
      <w:r>
        <w:t>last</w:t>
      </w:r>
      <w:r>
        <w:rPr>
          <w:spacing w:val="-4"/>
        </w:rPr>
        <w:t xml:space="preserve"> </w:t>
      </w:r>
      <w:r>
        <w:t>time</w:t>
      </w:r>
      <w:r>
        <w:rPr>
          <w:spacing w:val="-4"/>
        </w:rPr>
        <w:t xml:space="preserve"> </w:t>
      </w:r>
      <w:r>
        <w:t>you</w:t>
      </w:r>
      <w:r>
        <w:rPr>
          <w:spacing w:val="-3"/>
        </w:rPr>
        <w:t xml:space="preserve"> </w:t>
      </w:r>
      <w:r>
        <w:t>used methamphetamines”—you will often get the information you need and enhance the process of</w:t>
      </w:r>
    </w:p>
    <w:p w14:paraId="5C57A6B8" w14:textId="77777777" w:rsidR="00DB6E1F" w:rsidRDefault="00DB6E1F">
      <w:pPr>
        <w:sectPr w:rsidR="00DB6E1F">
          <w:pgSz w:w="12240" w:h="15840"/>
          <w:pgMar w:top="1200" w:right="0" w:bottom="780" w:left="0" w:header="763" w:footer="585" w:gutter="0"/>
          <w:cols w:space="720"/>
        </w:sectPr>
      </w:pPr>
    </w:p>
    <w:p w14:paraId="29A3C33A" w14:textId="77777777" w:rsidR="00DB6E1F" w:rsidRDefault="00DB6E1F">
      <w:pPr>
        <w:pStyle w:val="BodyText"/>
        <w:spacing w:before="8"/>
        <w:rPr>
          <w:sz w:val="14"/>
        </w:rPr>
      </w:pPr>
    </w:p>
    <w:p w14:paraId="0A854E82" w14:textId="77777777" w:rsidR="00DB6E1F" w:rsidRDefault="00F666A6">
      <w:pPr>
        <w:pStyle w:val="Heading5"/>
        <w:spacing w:before="56"/>
        <w:ind w:right="1491"/>
        <w:rPr>
          <w:b w:val="0"/>
        </w:rPr>
      </w:pPr>
      <w:r>
        <w:rPr>
          <w:b w:val="0"/>
        </w:rPr>
        <w:t>engagement.</w:t>
      </w:r>
      <w:r>
        <w:rPr>
          <w:b w:val="0"/>
          <w:spacing w:val="-3"/>
        </w:rPr>
        <w:t xml:space="preserve"> </w:t>
      </w:r>
      <w:r>
        <w:t>During</w:t>
      </w:r>
      <w:r>
        <w:rPr>
          <w:spacing w:val="-2"/>
        </w:rPr>
        <w:t xml:space="preserve"> </w:t>
      </w:r>
      <w:r>
        <w:t>assessment,</w:t>
      </w:r>
      <w:r>
        <w:rPr>
          <w:spacing w:val="-2"/>
        </w:rPr>
        <w:t xml:space="preserve"> </w:t>
      </w:r>
      <w:r>
        <w:t>avoid</w:t>
      </w:r>
      <w:r>
        <w:rPr>
          <w:spacing w:val="-4"/>
        </w:rPr>
        <w:t xml:space="preserve"> </w:t>
      </w:r>
      <w:r>
        <w:t>the</w:t>
      </w:r>
      <w:r>
        <w:rPr>
          <w:spacing w:val="-3"/>
        </w:rPr>
        <w:t xml:space="preserve"> </w:t>
      </w:r>
      <w:r>
        <w:t>question-and-answer</w:t>
      </w:r>
      <w:r>
        <w:rPr>
          <w:spacing w:val="-2"/>
        </w:rPr>
        <w:t xml:space="preserve"> </w:t>
      </w:r>
      <w:r>
        <w:t>trap,</w:t>
      </w:r>
      <w:r>
        <w:rPr>
          <w:spacing w:val="-5"/>
        </w:rPr>
        <w:t xml:space="preserve"> </w:t>
      </w:r>
      <w:r>
        <w:t>which</w:t>
      </w:r>
      <w:r>
        <w:rPr>
          <w:spacing w:val="-6"/>
        </w:rPr>
        <w:t xml:space="preserve"> </w:t>
      </w:r>
      <w:r>
        <w:t>can</w:t>
      </w:r>
      <w:r>
        <w:rPr>
          <w:spacing w:val="-4"/>
        </w:rPr>
        <w:t xml:space="preserve"> </w:t>
      </w:r>
      <w:r>
        <w:t>decrease</w:t>
      </w:r>
      <w:r>
        <w:rPr>
          <w:spacing w:val="-4"/>
        </w:rPr>
        <w:t xml:space="preserve"> </w:t>
      </w:r>
      <w:r>
        <w:t>rapport, become an obstacle to counselor–client engagement, a</w:t>
      </w:r>
      <w:r>
        <w:t>nd stall conversations</w:t>
      </w:r>
      <w:r>
        <w:rPr>
          <w:b w:val="0"/>
        </w:rPr>
        <w:t>.</w:t>
      </w:r>
    </w:p>
    <w:p w14:paraId="37217AD0" w14:textId="77777777" w:rsidR="00DB6E1F" w:rsidRDefault="00F666A6">
      <w:pPr>
        <w:spacing w:before="159"/>
        <w:ind w:left="1440" w:right="1444"/>
      </w:pPr>
      <w:r>
        <w:rPr>
          <w:b/>
        </w:rPr>
        <w:t>MI</w:t>
      </w:r>
      <w:r>
        <w:rPr>
          <w:b/>
          <w:spacing w:val="-2"/>
        </w:rPr>
        <w:t xml:space="preserve"> </w:t>
      </w:r>
      <w:r>
        <w:rPr>
          <w:b/>
        </w:rPr>
        <w:t>involves</w:t>
      </w:r>
      <w:r>
        <w:rPr>
          <w:b/>
          <w:spacing w:val="-1"/>
        </w:rPr>
        <w:t xml:space="preserve"> </w:t>
      </w:r>
      <w:r>
        <w:rPr>
          <w:b/>
        </w:rPr>
        <w:t>maintaining</w:t>
      </w:r>
      <w:r>
        <w:rPr>
          <w:b/>
          <w:spacing w:val="-2"/>
        </w:rPr>
        <w:t xml:space="preserve"> </w:t>
      </w:r>
      <w:r>
        <w:rPr>
          <w:b/>
        </w:rPr>
        <w:t>a</w:t>
      </w:r>
      <w:r>
        <w:rPr>
          <w:b/>
          <w:spacing w:val="-6"/>
        </w:rPr>
        <w:t xml:space="preserve"> </w:t>
      </w:r>
      <w:r>
        <w:rPr>
          <w:b/>
        </w:rPr>
        <w:t>balance</w:t>
      </w:r>
      <w:r>
        <w:rPr>
          <w:b/>
          <w:spacing w:val="-4"/>
        </w:rPr>
        <w:t xml:space="preserve"> </w:t>
      </w:r>
      <w:r>
        <w:rPr>
          <w:b/>
        </w:rPr>
        <w:t>between</w:t>
      </w:r>
      <w:r>
        <w:rPr>
          <w:b/>
          <w:spacing w:val="-4"/>
        </w:rPr>
        <w:t xml:space="preserve"> </w:t>
      </w:r>
      <w:r>
        <w:rPr>
          <w:b/>
        </w:rPr>
        <w:t>asking</w:t>
      </w:r>
      <w:r>
        <w:rPr>
          <w:b/>
          <w:spacing w:val="-2"/>
        </w:rPr>
        <w:t xml:space="preserve"> </w:t>
      </w:r>
      <w:r>
        <w:rPr>
          <w:b/>
        </w:rPr>
        <w:t>questions</w:t>
      </w:r>
      <w:r>
        <w:rPr>
          <w:b/>
          <w:spacing w:val="-2"/>
        </w:rPr>
        <w:t xml:space="preserve"> </w:t>
      </w:r>
      <w:r>
        <w:rPr>
          <w:b/>
        </w:rPr>
        <w:t>and</w:t>
      </w:r>
      <w:r>
        <w:rPr>
          <w:b/>
          <w:spacing w:val="-4"/>
        </w:rPr>
        <w:t xml:space="preserve"> </w:t>
      </w:r>
      <w:r>
        <w:rPr>
          <w:b/>
        </w:rPr>
        <w:t>reflective</w:t>
      </w:r>
      <w:r>
        <w:rPr>
          <w:b/>
          <w:spacing w:val="-6"/>
        </w:rPr>
        <w:t xml:space="preserve"> </w:t>
      </w:r>
      <w:r>
        <w:rPr>
          <w:b/>
        </w:rPr>
        <w:t>listening</w:t>
      </w:r>
      <w:r>
        <w:rPr>
          <w:b/>
          <w:spacing w:val="-1"/>
        </w:rPr>
        <w:t xml:space="preserve"> </w:t>
      </w:r>
      <w:r>
        <w:t>(Miller</w:t>
      </w:r>
      <w:r>
        <w:rPr>
          <w:spacing w:val="-5"/>
        </w:rPr>
        <w:t xml:space="preserve"> </w:t>
      </w:r>
      <w:r>
        <w:t>&amp;</w:t>
      </w:r>
      <w:r>
        <w:rPr>
          <w:spacing w:val="-2"/>
        </w:rPr>
        <w:t xml:space="preserve"> </w:t>
      </w:r>
      <w:r>
        <w:t>Rollnick, 2013). Ask one open question, and follow it with two or more reflective listening responses.</w:t>
      </w:r>
    </w:p>
    <w:p w14:paraId="1A715023" w14:textId="77777777" w:rsidR="00DB6E1F" w:rsidRDefault="00F666A6">
      <w:pPr>
        <w:pStyle w:val="Heading3"/>
        <w:spacing w:before="164"/>
      </w:pPr>
      <w:bookmarkStart w:id="96" w:name="Affirming"/>
      <w:bookmarkEnd w:id="96"/>
      <w:r>
        <w:rPr>
          <w:spacing w:val="-2"/>
        </w:rPr>
        <w:t>Affirming</w:t>
      </w:r>
    </w:p>
    <w:p w14:paraId="081C08A3" w14:textId="77777777" w:rsidR="00DB6E1F" w:rsidRDefault="00F666A6">
      <w:pPr>
        <w:spacing w:before="143"/>
        <w:ind w:left="1439" w:right="1444"/>
      </w:pPr>
      <w:r>
        <w:rPr>
          <w:b/>
        </w:rPr>
        <w:t>Affirming is a way to exp</w:t>
      </w:r>
      <w:r>
        <w:rPr>
          <w:b/>
        </w:rPr>
        <w:t xml:space="preserve">ress your genuine appreciation and positive regard for clients </w:t>
      </w:r>
      <w:r>
        <w:t>(Miller &amp; Rollnick,</w:t>
      </w:r>
      <w:r>
        <w:rPr>
          <w:spacing w:val="-4"/>
        </w:rPr>
        <w:t xml:space="preserve"> </w:t>
      </w:r>
      <w:r>
        <w:t>2013).</w:t>
      </w:r>
      <w:r>
        <w:rPr>
          <w:spacing w:val="-2"/>
        </w:rPr>
        <w:t xml:space="preserve"> </w:t>
      </w:r>
      <w:r>
        <w:t>Affirming</w:t>
      </w:r>
      <w:r>
        <w:rPr>
          <w:spacing w:val="-3"/>
        </w:rPr>
        <w:t xml:space="preserve"> </w:t>
      </w:r>
      <w:r>
        <w:t>clients</w:t>
      </w:r>
      <w:r>
        <w:rPr>
          <w:spacing w:val="-2"/>
        </w:rPr>
        <w:t xml:space="preserve"> </w:t>
      </w:r>
      <w:r>
        <w:t>supports</w:t>
      </w:r>
      <w:r>
        <w:rPr>
          <w:spacing w:val="-2"/>
        </w:rPr>
        <w:t xml:space="preserve"> </w:t>
      </w:r>
      <w:r>
        <w:t>and</w:t>
      </w:r>
      <w:r>
        <w:rPr>
          <w:spacing w:val="-3"/>
        </w:rPr>
        <w:t xml:space="preserve"> </w:t>
      </w:r>
      <w:r>
        <w:t>promotes</w:t>
      </w:r>
      <w:r>
        <w:rPr>
          <w:spacing w:val="-2"/>
        </w:rPr>
        <w:t xml:space="preserve"> </w:t>
      </w:r>
      <w:r>
        <w:t>self-efficacy.</w:t>
      </w:r>
      <w:r>
        <w:rPr>
          <w:spacing w:val="-2"/>
        </w:rPr>
        <w:t xml:space="preserve"> </w:t>
      </w:r>
      <w:r>
        <w:t>By</w:t>
      </w:r>
      <w:r>
        <w:rPr>
          <w:spacing w:val="-3"/>
        </w:rPr>
        <w:t xml:space="preserve"> </w:t>
      </w:r>
      <w:r>
        <w:t>affirming,</w:t>
      </w:r>
      <w:r>
        <w:rPr>
          <w:spacing w:val="-2"/>
        </w:rPr>
        <w:t xml:space="preserve"> </w:t>
      </w:r>
      <w:r>
        <w:t>you</w:t>
      </w:r>
      <w:r>
        <w:rPr>
          <w:spacing w:val="-5"/>
        </w:rPr>
        <w:t xml:space="preserve"> </w:t>
      </w:r>
      <w:r>
        <w:t>are</w:t>
      </w:r>
      <w:r>
        <w:rPr>
          <w:spacing w:val="-1"/>
        </w:rPr>
        <w:t xml:space="preserve"> </w:t>
      </w:r>
      <w:r>
        <w:t>saying,</w:t>
      </w:r>
      <w:r>
        <w:rPr>
          <w:spacing w:val="-4"/>
        </w:rPr>
        <w:t xml:space="preserve"> </w:t>
      </w:r>
      <w:r>
        <w:t>“I</w:t>
      </w:r>
      <w:r>
        <w:rPr>
          <w:spacing w:val="-2"/>
        </w:rPr>
        <w:t xml:space="preserve"> </w:t>
      </w:r>
      <w:r>
        <w:t xml:space="preserve">see you, what you say matters, and I want to understand what you think and feel” (Miller &amp; Rollnick, 2013). </w:t>
      </w:r>
      <w:r>
        <w:rPr>
          <w:b/>
        </w:rPr>
        <w:t xml:space="preserve">Affirming can boost clients’ confidence about taking action. </w:t>
      </w:r>
      <w:r>
        <w:t xml:space="preserve">Using affirmations in conversations with clients consistently predicts positive client </w:t>
      </w:r>
      <w:r>
        <w:t>outcomes (Romano &amp; Peters, 2016).</w:t>
      </w:r>
    </w:p>
    <w:p w14:paraId="3684185A" w14:textId="77777777" w:rsidR="00DB6E1F" w:rsidRDefault="00F666A6">
      <w:pPr>
        <w:pStyle w:val="BodyText"/>
        <w:spacing w:before="159"/>
        <w:ind w:left="1439"/>
      </w:pPr>
      <w:r>
        <w:t>When</w:t>
      </w:r>
      <w:r>
        <w:rPr>
          <w:spacing w:val="-2"/>
        </w:rPr>
        <w:t xml:space="preserve"> affirming:</w:t>
      </w:r>
    </w:p>
    <w:p w14:paraId="04A704F3" w14:textId="77777777" w:rsidR="00DB6E1F" w:rsidRDefault="00F666A6">
      <w:pPr>
        <w:pStyle w:val="ListParagraph"/>
        <w:numPr>
          <w:ilvl w:val="0"/>
          <w:numId w:val="92"/>
        </w:numPr>
        <w:tabs>
          <w:tab w:val="left" w:pos="1799"/>
          <w:tab w:val="left" w:pos="1800"/>
        </w:tabs>
        <w:spacing w:before="59"/>
        <w:ind w:left="1799" w:right="1615"/>
        <w:rPr>
          <w:rFonts w:ascii="Symbol" w:hAnsi="Symbol"/>
        </w:rPr>
      </w:pPr>
      <w:r>
        <w:t>Emphasize</w:t>
      </w:r>
      <w:r>
        <w:rPr>
          <w:spacing w:val="-5"/>
        </w:rPr>
        <w:t xml:space="preserve"> </w:t>
      </w:r>
      <w:r>
        <w:t>client</w:t>
      </w:r>
      <w:r>
        <w:rPr>
          <w:spacing w:val="-2"/>
        </w:rPr>
        <w:t xml:space="preserve"> </w:t>
      </w:r>
      <w:r>
        <w:t>strengths,</w:t>
      </w:r>
      <w:r>
        <w:rPr>
          <w:spacing w:val="-5"/>
        </w:rPr>
        <w:t xml:space="preserve"> </w:t>
      </w:r>
      <w:r>
        <w:t>past</w:t>
      </w:r>
      <w:r>
        <w:rPr>
          <w:spacing w:val="-2"/>
        </w:rPr>
        <w:t xml:space="preserve"> </w:t>
      </w:r>
      <w:r>
        <w:t>successes,</w:t>
      </w:r>
      <w:r>
        <w:rPr>
          <w:spacing w:val="-3"/>
        </w:rPr>
        <w:t xml:space="preserve"> </w:t>
      </w:r>
      <w:r>
        <w:t>and</w:t>
      </w:r>
      <w:r>
        <w:rPr>
          <w:spacing w:val="-4"/>
        </w:rPr>
        <w:t xml:space="preserve"> </w:t>
      </w:r>
      <w:r>
        <w:t>efforts</w:t>
      </w:r>
      <w:r>
        <w:rPr>
          <w:spacing w:val="-5"/>
        </w:rPr>
        <w:t xml:space="preserve"> </w:t>
      </w:r>
      <w:r>
        <w:t>to</w:t>
      </w:r>
      <w:r>
        <w:rPr>
          <w:spacing w:val="-4"/>
        </w:rPr>
        <w:t xml:space="preserve"> </w:t>
      </w:r>
      <w:r>
        <w:t>take</w:t>
      </w:r>
      <w:r>
        <w:rPr>
          <w:spacing w:val="-2"/>
        </w:rPr>
        <w:t xml:space="preserve"> </w:t>
      </w:r>
      <w:r>
        <w:t>steps,</w:t>
      </w:r>
      <w:r>
        <w:rPr>
          <w:spacing w:val="-3"/>
        </w:rPr>
        <w:t xml:space="preserve"> </w:t>
      </w:r>
      <w:r>
        <w:t>however</w:t>
      </w:r>
      <w:r>
        <w:rPr>
          <w:spacing w:val="-5"/>
        </w:rPr>
        <w:t xml:space="preserve"> </w:t>
      </w:r>
      <w:r>
        <w:t>small,</w:t>
      </w:r>
      <w:r>
        <w:rPr>
          <w:spacing w:val="-3"/>
        </w:rPr>
        <w:t xml:space="preserve"> </w:t>
      </w:r>
      <w:r>
        <w:t>to</w:t>
      </w:r>
      <w:r>
        <w:rPr>
          <w:spacing w:val="-4"/>
        </w:rPr>
        <w:t xml:space="preserve"> </w:t>
      </w:r>
      <w:r>
        <w:t>accomplish change goals.</w:t>
      </w:r>
    </w:p>
    <w:p w14:paraId="16757FFF" w14:textId="77777777" w:rsidR="00DB6E1F" w:rsidRDefault="00F666A6">
      <w:pPr>
        <w:pStyle w:val="ListParagraph"/>
        <w:numPr>
          <w:ilvl w:val="0"/>
          <w:numId w:val="92"/>
        </w:numPr>
        <w:tabs>
          <w:tab w:val="left" w:pos="1799"/>
          <w:tab w:val="left" w:pos="1800"/>
        </w:tabs>
        <w:ind w:left="1799" w:right="1645"/>
        <w:rPr>
          <w:rFonts w:ascii="Symbol" w:hAnsi="Symbol"/>
        </w:rPr>
      </w:pPr>
      <w:r>
        <w:t>Do</w:t>
      </w:r>
      <w:r>
        <w:rPr>
          <w:spacing w:val="-3"/>
        </w:rPr>
        <w:t xml:space="preserve"> </w:t>
      </w:r>
      <w:r>
        <w:t>not</w:t>
      </w:r>
      <w:r>
        <w:rPr>
          <w:spacing w:val="-4"/>
        </w:rPr>
        <w:t xml:space="preserve"> </w:t>
      </w:r>
      <w:r>
        <w:t>confuse</w:t>
      </w:r>
      <w:r>
        <w:rPr>
          <w:spacing w:val="-1"/>
        </w:rPr>
        <w:t xml:space="preserve"> </w:t>
      </w:r>
      <w:r>
        <w:t>this</w:t>
      </w:r>
      <w:r>
        <w:rPr>
          <w:spacing w:val="-4"/>
        </w:rPr>
        <w:t xml:space="preserve"> </w:t>
      </w:r>
      <w:r>
        <w:t>type</w:t>
      </w:r>
      <w:r>
        <w:rPr>
          <w:spacing w:val="-1"/>
        </w:rPr>
        <w:t xml:space="preserve"> </w:t>
      </w:r>
      <w:r>
        <w:t>of</w:t>
      </w:r>
      <w:r>
        <w:rPr>
          <w:spacing w:val="-4"/>
        </w:rPr>
        <w:t xml:space="preserve"> </w:t>
      </w:r>
      <w:r>
        <w:t>feedback</w:t>
      </w:r>
      <w:r>
        <w:rPr>
          <w:spacing w:val="-4"/>
        </w:rPr>
        <w:t xml:space="preserve"> </w:t>
      </w:r>
      <w:r>
        <w:t>with</w:t>
      </w:r>
      <w:r>
        <w:rPr>
          <w:spacing w:val="-2"/>
        </w:rPr>
        <w:t xml:space="preserve"> </w:t>
      </w:r>
      <w:r>
        <w:t>praise,</w:t>
      </w:r>
      <w:r>
        <w:rPr>
          <w:spacing w:val="-4"/>
        </w:rPr>
        <w:t xml:space="preserve"> </w:t>
      </w:r>
      <w:r>
        <w:t>which</w:t>
      </w:r>
      <w:r>
        <w:rPr>
          <w:spacing w:val="-3"/>
        </w:rPr>
        <w:t xml:space="preserve"> </w:t>
      </w:r>
      <w:r>
        <w:t>can</w:t>
      </w:r>
      <w:r>
        <w:rPr>
          <w:spacing w:val="-3"/>
        </w:rPr>
        <w:t xml:space="preserve"> </w:t>
      </w:r>
      <w:r>
        <w:t>sometimes</w:t>
      </w:r>
      <w:r>
        <w:rPr>
          <w:spacing w:val="-2"/>
        </w:rPr>
        <w:t xml:space="preserve"> </w:t>
      </w:r>
      <w:r>
        <w:t>be</w:t>
      </w:r>
      <w:r>
        <w:rPr>
          <w:spacing w:val="-2"/>
        </w:rPr>
        <w:t xml:space="preserve"> </w:t>
      </w:r>
      <w:r>
        <w:t>a</w:t>
      </w:r>
      <w:r>
        <w:rPr>
          <w:spacing w:val="-2"/>
        </w:rPr>
        <w:t xml:space="preserve"> </w:t>
      </w:r>
      <w:r>
        <w:t>roadblock</w:t>
      </w:r>
      <w:r>
        <w:rPr>
          <w:spacing w:val="-4"/>
        </w:rPr>
        <w:t xml:space="preserve"> </w:t>
      </w:r>
      <w:r>
        <w:t>to</w:t>
      </w:r>
      <w:r>
        <w:rPr>
          <w:spacing w:val="-3"/>
        </w:rPr>
        <w:t xml:space="preserve"> </w:t>
      </w:r>
      <w:r>
        <w:t>effective listening (Gordon, 1970; see Exhibit 3.5 below in the section “Reflective Listening”).</w:t>
      </w:r>
    </w:p>
    <w:p w14:paraId="34BC2970" w14:textId="77777777" w:rsidR="00DB6E1F" w:rsidRDefault="00F666A6">
      <w:pPr>
        <w:pStyle w:val="ListParagraph"/>
        <w:numPr>
          <w:ilvl w:val="0"/>
          <w:numId w:val="92"/>
        </w:numPr>
        <w:tabs>
          <w:tab w:val="left" w:pos="1799"/>
          <w:tab w:val="left" w:pos="1800"/>
        </w:tabs>
        <w:spacing w:before="61"/>
        <w:ind w:left="1798" w:right="1617" w:hanging="360"/>
        <w:rPr>
          <w:rFonts w:ascii="Symbol" w:hAnsi="Symbol"/>
        </w:rPr>
      </w:pPr>
      <w:r>
        <w:t>Frame your affirming statements with “you” instead of “I.” For example, instead of saying “I am proud of you,” which focuses more on you than on t</w:t>
      </w:r>
      <w:r>
        <w:t>he client, try “You have worked really hard to get</w:t>
      </w:r>
      <w:r>
        <w:rPr>
          <w:spacing w:val="-1"/>
        </w:rPr>
        <w:t xml:space="preserve"> </w:t>
      </w:r>
      <w:r>
        <w:t>to</w:t>
      </w:r>
      <w:r>
        <w:rPr>
          <w:spacing w:val="-1"/>
        </w:rPr>
        <w:t xml:space="preserve"> </w:t>
      </w:r>
      <w:r>
        <w:t>where</w:t>
      </w:r>
      <w:r>
        <w:rPr>
          <w:spacing w:val="-4"/>
        </w:rPr>
        <w:t xml:space="preserve"> </w:t>
      </w:r>
      <w:r>
        <w:t>you</w:t>
      </w:r>
      <w:r>
        <w:rPr>
          <w:spacing w:val="-3"/>
        </w:rPr>
        <w:t xml:space="preserve"> </w:t>
      </w:r>
      <w:r>
        <w:t>are</w:t>
      </w:r>
      <w:r>
        <w:rPr>
          <w:spacing w:val="-1"/>
        </w:rPr>
        <w:t xml:space="preserve"> </w:t>
      </w:r>
      <w:r>
        <w:t>now</w:t>
      </w:r>
      <w:r>
        <w:rPr>
          <w:spacing w:val="-4"/>
        </w:rPr>
        <w:t xml:space="preserve"> </w:t>
      </w:r>
      <w:r>
        <w:t>in</w:t>
      </w:r>
      <w:r>
        <w:rPr>
          <w:spacing w:val="-3"/>
        </w:rPr>
        <w:t xml:space="preserve"> </w:t>
      </w:r>
      <w:r>
        <w:t>your</w:t>
      </w:r>
      <w:r>
        <w:rPr>
          <w:spacing w:val="-2"/>
        </w:rPr>
        <w:t xml:space="preserve"> </w:t>
      </w:r>
      <w:r>
        <w:t>life,”</w:t>
      </w:r>
      <w:r>
        <w:rPr>
          <w:spacing w:val="-1"/>
        </w:rPr>
        <w:t xml:space="preserve"> </w:t>
      </w:r>
      <w:r>
        <w:t>which</w:t>
      </w:r>
      <w:r>
        <w:rPr>
          <w:spacing w:val="-3"/>
        </w:rPr>
        <w:t xml:space="preserve"> </w:t>
      </w:r>
      <w:r>
        <w:t>demonstrates</w:t>
      </w:r>
      <w:r>
        <w:rPr>
          <w:spacing w:val="-4"/>
        </w:rPr>
        <w:t xml:space="preserve"> </w:t>
      </w:r>
      <w:r>
        <w:t>your</w:t>
      </w:r>
      <w:r>
        <w:rPr>
          <w:spacing w:val="-2"/>
        </w:rPr>
        <w:t xml:space="preserve"> </w:t>
      </w:r>
      <w:r>
        <w:t>appreciation,</w:t>
      </w:r>
      <w:r>
        <w:rPr>
          <w:spacing w:val="-2"/>
        </w:rPr>
        <w:t xml:space="preserve"> </w:t>
      </w:r>
      <w:r>
        <w:t>but</w:t>
      </w:r>
      <w:r>
        <w:rPr>
          <w:spacing w:val="-1"/>
        </w:rPr>
        <w:t xml:space="preserve"> </w:t>
      </w:r>
      <w:r>
        <w:t>keeps</w:t>
      </w:r>
      <w:r>
        <w:rPr>
          <w:spacing w:val="-2"/>
        </w:rPr>
        <w:t xml:space="preserve"> </w:t>
      </w:r>
      <w:r>
        <w:t>the</w:t>
      </w:r>
      <w:r>
        <w:rPr>
          <w:spacing w:val="-4"/>
        </w:rPr>
        <w:t xml:space="preserve"> </w:t>
      </w:r>
      <w:r>
        <w:t>focus on the client (Miller &amp; Rollnick, 2013).</w:t>
      </w:r>
    </w:p>
    <w:p w14:paraId="318E7253" w14:textId="77777777" w:rsidR="00DB6E1F" w:rsidRDefault="00F666A6">
      <w:pPr>
        <w:pStyle w:val="ListParagraph"/>
        <w:numPr>
          <w:ilvl w:val="0"/>
          <w:numId w:val="92"/>
        </w:numPr>
        <w:tabs>
          <w:tab w:val="left" w:pos="1798"/>
          <w:tab w:val="left" w:pos="1799"/>
        </w:tabs>
        <w:spacing w:before="61"/>
        <w:ind w:left="1798"/>
        <w:rPr>
          <w:rFonts w:ascii="Symbol" w:hAnsi="Symbol"/>
        </w:rPr>
      </w:pPr>
      <w:r>
        <w:t>Use</w:t>
      </w:r>
      <w:r>
        <w:rPr>
          <w:spacing w:val="-3"/>
        </w:rPr>
        <w:t xml:space="preserve"> </w:t>
      </w:r>
      <w:r>
        <w:t>statements</w:t>
      </w:r>
      <w:r>
        <w:rPr>
          <w:spacing w:val="-4"/>
        </w:rPr>
        <w:t xml:space="preserve"> </w:t>
      </w:r>
      <w:r>
        <w:t>such</w:t>
      </w:r>
      <w:r>
        <w:rPr>
          <w:spacing w:val="-4"/>
        </w:rPr>
        <w:t xml:space="preserve"> </w:t>
      </w:r>
      <w:r>
        <w:t>as</w:t>
      </w:r>
      <w:r>
        <w:rPr>
          <w:spacing w:val="-6"/>
        </w:rPr>
        <w:t xml:space="preserve"> </w:t>
      </w:r>
      <w:r>
        <w:t>(Miller</w:t>
      </w:r>
      <w:r>
        <w:rPr>
          <w:spacing w:val="-3"/>
        </w:rPr>
        <w:t xml:space="preserve"> </w:t>
      </w:r>
      <w:r>
        <w:t>&amp;</w:t>
      </w:r>
      <w:r>
        <w:rPr>
          <w:spacing w:val="-6"/>
        </w:rPr>
        <w:t xml:space="preserve"> </w:t>
      </w:r>
      <w:r>
        <w:t>Rollnick,</w:t>
      </w:r>
      <w:r>
        <w:rPr>
          <w:spacing w:val="-3"/>
        </w:rPr>
        <w:t xml:space="preserve"> </w:t>
      </w:r>
      <w:r>
        <w:rPr>
          <w:spacing w:val="-2"/>
        </w:rPr>
        <w:t>2013):</w:t>
      </w:r>
    </w:p>
    <w:p w14:paraId="40C49C50" w14:textId="77777777" w:rsidR="00DB6E1F" w:rsidRDefault="00F666A6">
      <w:pPr>
        <w:pStyle w:val="ListParagraph"/>
        <w:numPr>
          <w:ilvl w:val="1"/>
          <w:numId w:val="92"/>
        </w:numPr>
        <w:tabs>
          <w:tab w:val="left" w:pos="2158"/>
          <w:tab w:val="left" w:pos="2159"/>
        </w:tabs>
        <w:spacing w:before="58"/>
        <w:ind w:left="2158" w:hanging="361"/>
      </w:pPr>
      <w:r>
        <w:t>“You</w:t>
      </w:r>
      <w:r>
        <w:rPr>
          <w:spacing w:val="-4"/>
        </w:rPr>
        <w:t xml:space="preserve"> </w:t>
      </w:r>
      <w:r>
        <w:t>took</w:t>
      </w:r>
      <w:r>
        <w:rPr>
          <w:spacing w:val="-2"/>
        </w:rPr>
        <w:t xml:space="preserve"> </w:t>
      </w:r>
      <w:r>
        <w:t>a</w:t>
      </w:r>
      <w:r>
        <w:rPr>
          <w:spacing w:val="-2"/>
        </w:rPr>
        <w:t xml:space="preserve"> </w:t>
      </w:r>
      <w:r>
        <w:t>big</w:t>
      </w:r>
      <w:r>
        <w:rPr>
          <w:spacing w:val="-4"/>
        </w:rPr>
        <w:t xml:space="preserve"> </w:t>
      </w:r>
      <w:r>
        <w:t>step</w:t>
      </w:r>
      <w:r>
        <w:rPr>
          <w:spacing w:val="-3"/>
        </w:rPr>
        <w:t xml:space="preserve"> </w:t>
      </w:r>
      <w:r>
        <w:t>in</w:t>
      </w:r>
      <w:r>
        <w:rPr>
          <w:spacing w:val="-3"/>
        </w:rPr>
        <w:t xml:space="preserve"> </w:t>
      </w:r>
      <w:r>
        <w:t>coming</w:t>
      </w:r>
      <w:r>
        <w:rPr>
          <w:spacing w:val="-4"/>
        </w:rPr>
        <w:t xml:space="preserve"> </w:t>
      </w:r>
      <w:r>
        <w:t>here</w:t>
      </w:r>
      <w:r>
        <w:rPr>
          <w:spacing w:val="-1"/>
        </w:rPr>
        <w:t xml:space="preserve"> </w:t>
      </w:r>
      <w:r>
        <w:rPr>
          <w:spacing w:val="-2"/>
        </w:rPr>
        <w:t>today.”</w:t>
      </w:r>
    </w:p>
    <w:p w14:paraId="51AD91D0" w14:textId="77777777" w:rsidR="00DB6E1F" w:rsidRDefault="00F666A6">
      <w:pPr>
        <w:pStyle w:val="ListParagraph"/>
        <w:numPr>
          <w:ilvl w:val="1"/>
          <w:numId w:val="92"/>
        </w:numPr>
        <w:tabs>
          <w:tab w:val="left" w:pos="2158"/>
          <w:tab w:val="left" w:pos="2159"/>
        </w:tabs>
        <w:ind w:left="2158" w:hanging="361"/>
      </w:pPr>
      <w:r>
        <w:t>“You</w:t>
      </w:r>
      <w:r>
        <w:rPr>
          <w:spacing w:val="-6"/>
        </w:rPr>
        <w:t xml:space="preserve"> </w:t>
      </w:r>
      <w:r>
        <w:t>got</w:t>
      </w:r>
      <w:r>
        <w:rPr>
          <w:spacing w:val="-2"/>
        </w:rPr>
        <w:t xml:space="preserve"> </w:t>
      </w:r>
      <w:r>
        <w:t>discouraged</w:t>
      </w:r>
      <w:r>
        <w:rPr>
          <w:spacing w:val="-4"/>
        </w:rPr>
        <w:t xml:space="preserve"> </w:t>
      </w:r>
      <w:r>
        <w:t>last</w:t>
      </w:r>
      <w:r>
        <w:rPr>
          <w:spacing w:val="-7"/>
        </w:rPr>
        <w:t xml:space="preserve"> </w:t>
      </w:r>
      <w:r>
        <w:t>week</w:t>
      </w:r>
      <w:r>
        <w:rPr>
          <w:spacing w:val="-2"/>
        </w:rPr>
        <w:t xml:space="preserve"> </w:t>
      </w:r>
      <w:r>
        <w:t>but</w:t>
      </w:r>
      <w:r>
        <w:rPr>
          <w:spacing w:val="-2"/>
        </w:rPr>
        <w:t xml:space="preserve"> </w:t>
      </w:r>
      <w:r>
        <w:t>kept</w:t>
      </w:r>
      <w:r>
        <w:rPr>
          <w:spacing w:val="-2"/>
        </w:rPr>
        <w:t xml:space="preserve"> </w:t>
      </w:r>
      <w:r>
        <w:t>going</w:t>
      </w:r>
      <w:r>
        <w:rPr>
          <w:spacing w:val="-4"/>
        </w:rPr>
        <w:t xml:space="preserve"> </w:t>
      </w:r>
      <w:r>
        <w:t>to</w:t>
      </w:r>
      <w:r>
        <w:rPr>
          <w:spacing w:val="-2"/>
        </w:rPr>
        <w:t xml:space="preserve"> </w:t>
      </w:r>
      <w:r>
        <w:t>your</w:t>
      </w:r>
      <w:r>
        <w:rPr>
          <w:spacing w:val="-3"/>
        </w:rPr>
        <w:t xml:space="preserve"> </w:t>
      </w:r>
      <w:r>
        <w:t>AA</w:t>
      </w:r>
      <w:r>
        <w:rPr>
          <w:spacing w:val="-3"/>
        </w:rPr>
        <w:t xml:space="preserve"> </w:t>
      </w:r>
      <w:r>
        <w:t>meetings.</w:t>
      </w:r>
      <w:r>
        <w:rPr>
          <w:spacing w:val="-6"/>
        </w:rPr>
        <w:t xml:space="preserve"> </w:t>
      </w:r>
      <w:r>
        <w:t>You</w:t>
      </w:r>
      <w:r>
        <w:rPr>
          <w:spacing w:val="-3"/>
        </w:rPr>
        <w:t xml:space="preserve"> </w:t>
      </w:r>
      <w:r>
        <w:t>are</w:t>
      </w:r>
      <w:r>
        <w:rPr>
          <w:spacing w:val="-2"/>
        </w:rPr>
        <w:t xml:space="preserve"> persistent.”</w:t>
      </w:r>
    </w:p>
    <w:p w14:paraId="0ABFAFDC" w14:textId="77777777" w:rsidR="00DB6E1F" w:rsidRDefault="00F666A6">
      <w:pPr>
        <w:pStyle w:val="ListParagraph"/>
        <w:numPr>
          <w:ilvl w:val="1"/>
          <w:numId w:val="92"/>
        </w:numPr>
        <w:tabs>
          <w:tab w:val="left" w:pos="2158"/>
          <w:tab w:val="left" w:pos="2159"/>
        </w:tabs>
        <w:ind w:left="2158" w:hanging="361"/>
      </w:pPr>
      <w:r>
        <w:t>“Although</w:t>
      </w:r>
      <w:r>
        <w:rPr>
          <w:spacing w:val="-6"/>
        </w:rPr>
        <w:t xml:space="preserve"> </w:t>
      </w:r>
      <w:r>
        <w:t>things</w:t>
      </w:r>
      <w:r>
        <w:rPr>
          <w:spacing w:val="-3"/>
        </w:rPr>
        <w:t xml:space="preserve"> </w:t>
      </w:r>
      <w:r>
        <w:t>didn’t</w:t>
      </w:r>
      <w:r>
        <w:rPr>
          <w:spacing w:val="-5"/>
        </w:rPr>
        <w:t xml:space="preserve"> </w:t>
      </w:r>
      <w:r>
        <w:t>turn</w:t>
      </w:r>
      <w:r>
        <w:rPr>
          <w:spacing w:val="-3"/>
        </w:rPr>
        <w:t xml:space="preserve"> </w:t>
      </w:r>
      <w:r>
        <w:t>out</w:t>
      </w:r>
      <w:r>
        <w:rPr>
          <w:spacing w:val="-2"/>
        </w:rPr>
        <w:t xml:space="preserve"> </w:t>
      </w:r>
      <w:r>
        <w:t>the</w:t>
      </w:r>
      <w:r>
        <w:rPr>
          <w:spacing w:val="-2"/>
        </w:rPr>
        <w:t xml:space="preserve"> </w:t>
      </w:r>
      <w:r>
        <w:t>way</w:t>
      </w:r>
      <w:r>
        <w:rPr>
          <w:spacing w:val="-4"/>
        </w:rPr>
        <w:t xml:space="preserve"> </w:t>
      </w:r>
      <w:r>
        <w:t>you</w:t>
      </w:r>
      <w:r>
        <w:rPr>
          <w:spacing w:val="-5"/>
        </w:rPr>
        <w:t xml:space="preserve"> </w:t>
      </w:r>
      <w:r>
        <w:t>hoped,</w:t>
      </w:r>
      <w:r>
        <w:rPr>
          <w:spacing w:val="-5"/>
        </w:rPr>
        <w:t xml:space="preserve"> </w:t>
      </w:r>
      <w:r>
        <w:t>you</w:t>
      </w:r>
      <w:r>
        <w:rPr>
          <w:spacing w:val="-4"/>
        </w:rPr>
        <w:t xml:space="preserve"> </w:t>
      </w:r>
      <w:r>
        <w:t>tried</w:t>
      </w:r>
      <w:r>
        <w:rPr>
          <w:spacing w:val="-5"/>
        </w:rPr>
        <w:t xml:space="preserve"> </w:t>
      </w:r>
      <w:r>
        <w:t>really</w:t>
      </w:r>
      <w:r>
        <w:rPr>
          <w:spacing w:val="-2"/>
        </w:rPr>
        <w:t xml:space="preserve"> </w:t>
      </w:r>
      <w:r>
        <w:t>hard,</w:t>
      </w:r>
      <w:r>
        <w:rPr>
          <w:spacing w:val="-3"/>
        </w:rPr>
        <w:t xml:space="preserve"> </w:t>
      </w:r>
      <w:r>
        <w:t>and</w:t>
      </w:r>
      <w:r>
        <w:rPr>
          <w:spacing w:val="-3"/>
        </w:rPr>
        <w:t xml:space="preserve"> </w:t>
      </w:r>
      <w:r>
        <w:t>that</w:t>
      </w:r>
      <w:r>
        <w:rPr>
          <w:spacing w:val="-2"/>
        </w:rPr>
        <w:t xml:space="preserve"> </w:t>
      </w:r>
      <w:r>
        <w:t>means</w:t>
      </w:r>
      <w:r>
        <w:rPr>
          <w:spacing w:val="-3"/>
        </w:rPr>
        <w:t xml:space="preserve"> </w:t>
      </w:r>
      <w:r>
        <w:t>a</w:t>
      </w:r>
      <w:r>
        <w:rPr>
          <w:spacing w:val="-5"/>
        </w:rPr>
        <w:t xml:space="preserve"> </w:t>
      </w:r>
      <w:r>
        <w:rPr>
          <w:spacing w:val="-2"/>
        </w:rPr>
        <w:t>lot.”</w:t>
      </w:r>
    </w:p>
    <w:p w14:paraId="76CA2F7C" w14:textId="77777777" w:rsidR="00DB6E1F" w:rsidRDefault="00F666A6">
      <w:pPr>
        <w:pStyle w:val="ListParagraph"/>
        <w:numPr>
          <w:ilvl w:val="1"/>
          <w:numId w:val="92"/>
        </w:numPr>
        <w:tabs>
          <w:tab w:val="left" w:pos="2157"/>
          <w:tab w:val="left" w:pos="2159"/>
        </w:tabs>
        <w:ind w:left="2158" w:hanging="361"/>
      </w:pPr>
      <w:r>
        <w:t>“That’s</w:t>
      </w:r>
      <w:r>
        <w:rPr>
          <w:spacing w:val="-7"/>
        </w:rPr>
        <w:t xml:space="preserve"> </w:t>
      </w:r>
      <w:r>
        <w:t>a</w:t>
      </w:r>
      <w:r>
        <w:rPr>
          <w:spacing w:val="-2"/>
        </w:rPr>
        <w:t xml:space="preserve"> </w:t>
      </w:r>
      <w:r>
        <w:t>good</w:t>
      </w:r>
      <w:r>
        <w:rPr>
          <w:spacing w:val="-4"/>
        </w:rPr>
        <w:t xml:space="preserve"> </w:t>
      </w:r>
      <w:r>
        <w:t>idea</w:t>
      </w:r>
      <w:r>
        <w:rPr>
          <w:spacing w:val="-2"/>
        </w:rPr>
        <w:t xml:space="preserve"> </w:t>
      </w:r>
      <w:r>
        <w:t>for</w:t>
      </w:r>
      <w:r>
        <w:rPr>
          <w:spacing w:val="-2"/>
        </w:rPr>
        <w:t xml:space="preserve"> </w:t>
      </w:r>
      <w:r>
        <w:t>how</w:t>
      </w:r>
      <w:r>
        <w:rPr>
          <w:spacing w:val="-2"/>
        </w:rPr>
        <w:t xml:space="preserve"> </w:t>
      </w:r>
      <w:r>
        <w:t>you</w:t>
      </w:r>
      <w:r>
        <w:rPr>
          <w:spacing w:val="-3"/>
        </w:rPr>
        <w:t xml:space="preserve"> </w:t>
      </w:r>
      <w:r>
        <w:t>can</w:t>
      </w:r>
      <w:r>
        <w:rPr>
          <w:spacing w:val="-6"/>
        </w:rPr>
        <w:t xml:space="preserve"> </w:t>
      </w:r>
      <w:r>
        <w:t>avoid</w:t>
      </w:r>
      <w:r>
        <w:rPr>
          <w:spacing w:val="-3"/>
        </w:rPr>
        <w:t xml:space="preserve"> </w:t>
      </w:r>
      <w:r>
        <w:t>situations</w:t>
      </w:r>
      <w:r>
        <w:rPr>
          <w:spacing w:val="-4"/>
        </w:rPr>
        <w:t xml:space="preserve"> </w:t>
      </w:r>
      <w:r>
        <w:t>where</w:t>
      </w:r>
      <w:r>
        <w:rPr>
          <w:spacing w:val="-5"/>
        </w:rPr>
        <w:t xml:space="preserve"> </w:t>
      </w:r>
      <w:r>
        <w:t>you</w:t>
      </w:r>
      <w:r>
        <w:rPr>
          <w:spacing w:val="-3"/>
        </w:rPr>
        <w:t xml:space="preserve"> </w:t>
      </w:r>
      <w:r>
        <w:t>might</w:t>
      </w:r>
      <w:r>
        <w:rPr>
          <w:spacing w:val="-4"/>
        </w:rPr>
        <w:t xml:space="preserve"> </w:t>
      </w:r>
      <w:r>
        <w:t>be</w:t>
      </w:r>
      <w:r>
        <w:rPr>
          <w:spacing w:val="-2"/>
        </w:rPr>
        <w:t xml:space="preserve"> </w:t>
      </w:r>
      <w:r>
        <w:t>tempted</w:t>
      </w:r>
      <w:r>
        <w:rPr>
          <w:spacing w:val="-3"/>
        </w:rPr>
        <w:t xml:space="preserve"> </w:t>
      </w:r>
      <w:r>
        <w:t>to</w:t>
      </w:r>
      <w:r>
        <w:rPr>
          <w:spacing w:val="-3"/>
        </w:rPr>
        <w:t xml:space="preserve"> </w:t>
      </w:r>
      <w:r>
        <w:rPr>
          <w:spacing w:val="-2"/>
        </w:rPr>
        <w:t>drink.”</w:t>
      </w:r>
    </w:p>
    <w:p w14:paraId="458C9A76" w14:textId="77777777" w:rsidR="00DB6E1F" w:rsidRDefault="00F666A6">
      <w:pPr>
        <w:spacing w:before="60"/>
        <w:ind w:left="1437" w:right="1555"/>
      </w:pPr>
      <w:r>
        <w:rPr>
          <w:b/>
        </w:rPr>
        <w:t xml:space="preserve">There may be ethnic, cultural, and even personal differences in how people respond to affirming statements. </w:t>
      </w:r>
      <w:r>
        <w:t>Be aware of verbal and nonverbal cues about how the client is reacting and be open to checking</w:t>
      </w:r>
      <w:r>
        <w:rPr>
          <w:spacing w:val="-3"/>
        </w:rPr>
        <w:t xml:space="preserve"> </w:t>
      </w:r>
      <w:r>
        <w:t>out the client’s reaction</w:t>
      </w:r>
      <w:r>
        <w:rPr>
          <w:spacing w:val="-3"/>
        </w:rPr>
        <w:t xml:space="preserve"> </w:t>
      </w:r>
      <w:r>
        <w:t>with</w:t>
      </w:r>
      <w:r>
        <w:rPr>
          <w:spacing w:val="-1"/>
        </w:rPr>
        <w:t xml:space="preserve"> </w:t>
      </w:r>
      <w:r>
        <w:t>an</w:t>
      </w:r>
      <w:r>
        <w:rPr>
          <w:spacing w:val="-3"/>
        </w:rPr>
        <w:t xml:space="preserve"> </w:t>
      </w:r>
      <w:r>
        <w:t>open question—“How</w:t>
      </w:r>
      <w:r>
        <w:rPr>
          <w:spacing w:val="-2"/>
        </w:rPr>
        <w:t xml:space="preserve"> </w:t>
      </w:r>
      <w:r>
        <w:t>was</w:t>
      </w:r>
      <w:r>
        <w:rPr>
          <w:spacing w:val="-2"/>
        </w:rPr>
        <w:t xml:space="preserve"> </w:t>
      </w:r>
      <w:r>
        <w:t>that for</w:t>
      </w:r>
      <w:r>
        <w:rPr>
          <w:spacing w:val="-2"/>
        </w:rPr>
        <w:t xml:space="preserve"> </w:t>
      </w:r>
      <w:r>
        <w:t>you</w:t>
      </w:r>
      <w:r>
        <w:rPr>
          <w:spacing w:val="-3"/>
        </w:rPr>
        <w:t xml:space="preserve"> </w:t>
      </w:r>
      <w:r>
        <w:t>to hear?” Strategies for</w:t>
      </w:r>
      <w:r>
        <w:rPr>
          <w:spacing w:val="-7"/>
        </w:rPr>
        <w:t xml:space="preserve"> </w:t>
      </w:r>
      <w:r>
        <w:t>forming</w:t>
      </w:r>
      <w:r>
        <w:rPr>
          <w:spacing w:val="-5"/>
        </w:rPr>
        <w:t xml:space="preserve"> </w:t>
      </w:r>
      <w:r>
        <w:t>affirmations</w:t>
      </w:r>
      <w:r>
        <w:rPr>
          <w:spacing w:val="-7"/>
        </w:rPr>
        <w:t xml:space="preserve"> </w:t>
      </w:r>
      <w:r>
        <w:t>that</w:t>
      </w:r>
      <w:r>
        <w:rPr>
          <w:spacing w:val="-4"/>
        </w:rPr>
        <w:t xml:space="preserve"> </w:t>
      </w:r>
      <w:r>
        <w:t>account</w:t>
      </w:r>
      <w:r>
        <w:rPr>
          <w:spacing w:val="-5"/>
        </w:rPr>
        <w:t xml:space="preserve"> </w:t>
      </w:r>
      <w:r>
        <w:t>for</w:t>
      </w:r>
      <w:r>
        <w:rPr>
          <w:spacing w:val="-4"/>
        </w:rPr>
        <w:t xml:space="preserve"> </w:t>
      </w:r>
      <w:r>
        <w:t>cultural</w:t>
      </w:r>
      <w:r>
        <w:rPr>
          <w:spacing w:val="-8"/>
        </w:rPr>
        <w:t xml:space="preserve"> </w:t>
      </w:r>
      <w:r>
        <w:t>and</w:t>
      </w:r>
      <w:r>
        <w:rPr>
          <w:spacing w:val="-7"/>
        </w:rPr>
        <w:t xml:space="preserve"> </w:t>
      </w:r>
      <w:r>
        <w:t>personal</w:t>
      </w:r>
      <w:r>
        <w:rPr>
          <w:spacing w:val="-5"/>
        </w:rPr>
        <w:t xml:space="preserve"> </w:t>
      </w:r>
      <w:r>
        <w:t>differences</w:t>
      </w:r>
      <w:r>
        <w:rPr>
          <w:spacing w:val="-7"/>
        </w:rPr>
        <w:t xml:space="preserve"> </w:t>
      </w:r>
      <w:r>
        <w:t>include</w:t>
      </w:r>
      <w:r>
        <w:rPr>
          <w:spacing w:val="-4"/>
        </w:rPr>
        <w:t xml:space="preserve"> </w:t>
      </w:r>
      <w:r>
        <w:t>(Rosengren,</w:t>
      </w:r>
      <w:r>
        <w:rPr>
          <w:spacing w:val="-5"/>
        </w:rPr>
        <w:t xml:space="preserve"> </w:t>
      </w:r>
      <w:r>
        <w:rPr>
          <w:spacing w:val="-2"/>
        </w:rPr>
        <w:t>2018):</w:t>
      </w:r>
    </w:p>
    <w:p w14:paraId="3E0E88CB" w14:textId="77777777" w:rsidR="00DB6E1F" w:rsidRDefault="00F666A6">
      <w:pPr>
        <w:pStyle w:val="ListParagraph"/>
        <w:numPr>
          <w:ilvl w:val="0"/>
          <w:numId w:val="92"/>
        </w:numPr>
        <w:tabs>
          <w:tab w:val="left" w:pos="1797"/>
          <w:tab w:val="left" w:pos="1798"/>
        </w:tabs>
        <w:spacing w:before="59"/>
        <w:rPr>
          <w:rFonts w:ascii="Symbol" w:hAnsi="Symbol"/>
        </w:rPr>
      </w:pPr>
      <w:r>
        <w:t>Focusing</w:t>
      </w:r>
      <w:r>
        <w:rPr>
          <w:spacing w:val="-4"/>
        </w:rPr>
        <w:t xml:space="preserve"> </w:t>
      </w:r>
      <w:r>
        <w:t>on</w:t>
      </w:r>
      <w:r>
        <w:rPr>
          <w:spacing w:val="-6"/>
        </w:rPr>
        <w:t xml:space="preserve"> </w:t>
      </w:r>
      <w:r>
        <w:t>specific</w:t>
      </w:r>
      <w:r>
        <w:rPr>
          <w:spacing w:val="-4"/>
        </w:rPr>
        <w:t xml:space="preserve"> </w:t>
      </w:r>
      <w:r>
        <w:t>behaviors</w:t>
      </w:r>
      <w:r>
        <w:rPr>
          <w:spacing w:val="-3"/>
        </w:rPr>
        <w:t xml:space="preserve"> </w:t>
      </w:r>
      <w:r>
        <w:t>to</w:t>
      </w:r>
      <w:r>
        <w:rPr>
          <w:spacing w:val="-2"/>
        </w:rPr>
        <w:t xml:space="preserve"> affirm.</w:t>
      </w:r>
    </w:p>
    <w:p w14:paraId="4EA2AB1D" w14:textId="77777777" w:rsidR="00DB6E1F" w:rsidRDefault="00F666A6">
      <w:pPr>
        <w:pStyle w:val="ListParagraph"/>
        <w:numPr>
          <w:ilvl w:val="0"/>
          <w:numId w:val="92"/>
        </w:numPr>
        <w:tabs>
          <w:tab w:val="left" w:pos="1798"/>
          <w:tab w:val="left" w:pos="1799"/>
        </w:tabs>
        <w:spacing w:before="61"/>
        <w:ind w:left="1798"/>
        <w:rPr>
          <w:rFonts w:ascii="Symbol" w:hAnsi="Symbol"/>
        </w:rPr>
      </w:pPr>
      <w:r>
        <w:t>Avoiding</w:t>
      </w:r>
      <w:r>
        <w:rPr>
          <w:spacing w:val="-4"/>
        </w:rPr>
        <w:t xml:space="preserve"> </w:t>
      </w:r>
      <w:r>
        <w:t>using</w:t>
      </w:r>
      <w:r>
        <w:rPr>
          <w:spacing w:val="-3"/>
        </w:rPr>
        <w:t xml:space="preserve"> </w:t>
      </w:r>
      <w:r>
        <w:rPr>
          <w:spacing w:val="-4"/>
        </w:rPr>
        <w:t>“I.”</w:t>
      </w:r>
    </w:p>
    <w:p w14:paraId="518B496E" w14:textId="77777777" w:rsidR="00DB6E1F" w:rsidRDefault="00F666A6">
      <w:pPr>
        <w:pStyle w:val="ListParagraph"/>
        <w:numPr>
          <w:ilvl w:val="0"/>
          <w:numId w:val="92"/>
        </w:numPr>
        <w:tabs>
          <w:tab w:val="left" w:pos="1798"/>
          <w:tab w:val="left" w:pos="1799"/>
        </w:tabs>
        <w:ind w:left="1798"/>
        <w:rPr>
          <w:rFonts w:ascii="Symbol" w:hAnsi="Symbol"/>
        </w:rPr>
      </w:pPr>
      <w:r>
        <w:t>Emphasizing</w:t>
      </w:r>
      <w:r>
        <w:rPr>
          <w:spacing w:val="-6"/>
        </w:rPr>
        <w:t xml:space="preserve"> </w:t>
      </w:r>
      <w:r>
        <w:t>descriptions</w:t>
      </w:r>
      <w:r>
        <w:rPr>
          <w:spacing w:val="-4"/>
        </w:rPr>
        <w:t xml:space="preserve"> </w:t>
      </w:r>
      <w:r>
        <w:t>instead</w:t>
      </w:r>
      <w:r>
        <w:rPr>
          <w:spacing w:val="-7"/>
        </w:rPr>
        <w:t xml:space="preserve"> </w:t>
      </w:r>
      <w:r>
        <w:t>of</w:t>
      </w:r>
      <w:r>
        <w:rPr>
          <w:spacing w:val="-4"/>
        </w:rPr>
        <w:t xml:space="preserve"> </w:t>
      </w:r>
      <w:r>
        <w:rPr>
          <w:spacing w:val="-2"/>
        </w:rPr>
        <w:t>evaluations.</w:t>
      </w:r>
    </w:p>
    <w:p w14:paraId="678CEF41" w14:textId="77777777" w:rsidR="00DB6E1F" w:rsidRDefault="00F666A6">
      <w:pPr>
        <w:pStyle w:val="ListParagraph"/>
        <w:numPr>
          <w:ilvl w:val="0"/>
          <w:numId w:val="92"/>
        </w:numPr>
        <w:tabs>
          <w:tab w:val="left" w:pos="1798"/>
          <w:tab w:val="left" w:pos="1799"/>
        </w:tabs>
        <w:ind w:left="1798"/>
        <w:rPr>
          <w:rFonts w:ascii="Symbol" w:hAnsi="Symbol"/>
        </w:rPr>
      </w:pPr>
      <w:r>
        <w:t>Emphasizing</w:t>
      </w:r>
      <w:r>
        <w:rPr>
          <w:spacing w:val="-7"/>
        </w:rPr>
        <w:t xml:space="preserve"> </w:t>
      </w:r>
      <w:r>
        <w:t>positive</w:t>
      </w:r>
      <w:r>
        <w:rPr>
          <w:spacing w:val="-8"/>
        </w:rPr>
        <w:t xml:space="preserve"> </w:t>
      </w:r>
      <w:r>
        <w:t>developments</w:t>
      </w:r>
      <w:r>
        <w:rPr>
          <w:spacing w:val="-6"/>
        </w:rPr>
        <w:t xml:space="preserve"> </w:t>
      </w:r>
      <w:r>
        <w:t>instead</w:t>
      </w:r>
      <w:r>
        <w:rPr>
          <w:spacing w:val="-8"/>
        </w:rPr>
        <w:t xml:space="preserve"> </w:t>
      </w:r>
      <w:r>
        <w:t>of</w:t>
      </w:r>
      <w:r>
        <w:rPr>
          <w:spacing w:val="-6"/>
        </w:rPr>
        <w:t xml:space="preserve"> </w:t>
      </w:r>
      <w:r>
        <w:t>continuing</w:t>
      </w:r>
      <w:r>
        <w:rPr>
          <w:spacing w:val="-6"/>
        </w:rPr>
        <w:t xml:space="preserve"> </w:t>
      </w:r>
      <w:r>
        <w:rPr>
          <w:spacing w:val="-2"/>
        </w:rPr>
        <w:t>problems.</w:t>
      </w:r>
    </w:p>
    <w:p w14:paraId="24C378D7" w14:textId="77777777" w:rsidR="00DB6E1F" w:rsidRDefault="00F666A6">
      <w:pPr>
        <w:pStyle w:val="ListParagraph"/>
        <w:numPr>
          <w:ilvl w:val="0"/>
          <w:numId w:val="92"/>
        </w:numPr>
        <w:tabs>
          <w:tab w:val="left" w:pos="1798"/>
          <w:tab w:val="left" w:pos="1799"/>
        </w:tabs>
        <w:spacing w:before="61"/>
        <w:ind w:left="1798"/>
        <w:rPr>
          <w:rFonts w:ascii="Symbol" w:hAnsi="Symbol"/>
        </w:rPr>
      </w:pPr>
      <w:r>
        <w:t>Affirming</w:t>
      </w:r>
      <w:r>
        <w:rPr>
          <w:spacing w:val="-6"/>
        </w:rPr>
        <w:t xml:space="preserve"> </w:t>
      </w:r>
      <w:r>
        <w:t>interesting</w:t>
      </w:r>
      <w:r>
        <w:rPr>
          <w:spacing w:val="-6"/>
        </w:rPr>
        <w:t xml:space="preserve"> </w:t>
      </w:r>
      <w:r>
        <w:t>qualities</w:t>
      </w:r>
      <w:r>
        <w:rPr>
          <w:spacing w:val="-5"/>
        </w:rPr>
        <w:t xml:space="preserve"> </w:t>
      </w:r>
      <w:r>
        <w:t>and</w:t>
      </w:r>
      <w:r>
        <w:rPr>
          <w:spacing w:val="-6"/>
        </w:rPr>
        <w:t xml:space="preserve"> </w:t>
      </w:r>
      <w:r>
        <w:t>strengths</w:t>
      </w:r>
      <w:r>
        <w:rPr>
          <w:spacing w:val="-6"/>
        </w:rPr>
        <w:t xml:space="preserve"> </w:t>
      </w:r>
      <w:r>
        <w:t>of</w:t>
      </w:r>
      <w:r>
        <w:rPr>
          <w:spacing w:val="-5"/>
        </w:rPr>
        <w:t xml:space="preserve"> </w:t>
      </w:r>
      <w:r>
        <w:rPr>
          <w:spacing w:val="-2"/>
        </w:rPr>
        <w:t>clients.</w:t>
      </w:r>
    </w:p>
    <w:p w14:paraId="79FF9CFB" w14:textId="77777777" w:rsidR="00DB6E1F" w:rsidRDefault="00F666A6">
      <w:pPr>
        <w:pStyle w:val="ListParagraph"/>
        <w:numPr>
          <w:ilvl w:val="0"/>
          <w:numId w:val="92"/>
        </w:numPr>
        <w:tabs>
          <w:tab w:val="left" w:pos="1798"/>
          <w:tab w:val="left" w:pos="1799"/>
        </w:tabs>
        <w:spacing w:before="56"/>
        <w:ind w:left="1798"/>
        <w:rPr>
          <w:rFonts w:ascii="Symbol" w:hAnsi="Symbol"/>
        </w:rPr>
      </w:pPr>
      <w:r>
        <w:t>Holding</w:t>
      </w:r>
      <w:r>
        <w:rPr>
          <w:spacing w:val="-7"/>
        </w:rPr>
        <w:t xml:space="preserve"> </w:t>
      </w:r>
      <w:r>
        <w:t>an</w:t>
      </w:r>
      <w:r>
        <w:rPr>
          <w:spacing w:val="-4"/>
        </w:rPr>
        <w:t xml:space="preserve"> </w:t>
      </w:r>
      <w:r>
        <w:t>awareness</w:t>
      </w:r>
      <w:r>
        <w:rPr>
          <w:spacing w:val="-6"/>
        </w:rPr>
        <w:t xml:space="preserve"> </w:t>
      </w:r>
      <w:r>
        <w:t>of</w:t>
      </w:r>
      <w:r>
        <w:rPr>
          <w:spacing w:val="-6"/>
        </w:rPr>
        <w:t xml:space="preserve"> </w:t>
      </w:r>
      <w:r>
        <w:t>client</w:t>
      </w:r>
      <w:r>
        <w:rPr>
          <w:spacing w:val="-2"/>
        </w:rPr>
        <w:t xml:space="preserve"> </w:t>
      </w:r>
      <w:r>
        <w:t>strengths</w:t>
      </w:r>
      <w:r>
        <w:rPr>
          <w:spacing w:val="-4"/>
        </w:rPr>
        <w:t xml:space="preserve"> </w:t>
      </w:r>
      <w:r>
        <w:t>instead</w:t>
      </w:r>
      <w:r>
        <w:rPr>
          <w:spacing w:val="-4"/>
        </w:rPr>
        <w:t xml:space="preserve"> </w:t>
      </w:r>
      <w:r>
        <w:t>of</w:t>
      </w:r>
      <w:r>
        <w:rPr>
          <w:spacing w:val="-6"/>
        </w:rPr>
        <w:t xml:space="preserve"> </w:t>
      </w:r>
      <w:r>
        <w:t>deficits</w:t>
      </w:r>
      <w:r>
        <w:rPr>
          <w:spacing w:val="-3"/>
        </w:rPr>
        <w:t xml:space="preserve"> </w:t>
      </w:r>
      <w:r>
        <w:t>as</w:t>
      </w:r>
      <w:r>
        <w:rPr>
          <w:spacing w:val="-6"/>
        </w:rPr>
        <w:t xml:space="preserve"> </w:t>
      </w:r>
      <w:r>
        <w:t>you</w:t>
      </w:r>
      <w:r>
        <w:rPr>
          <w:spacing w:val="-4"/>
        </w:rPr>
        <w:t xml:space="preserve"> </w:t>
      </w:r>
      <w:r>
        <w:t>formulate</w:t>
      </w:r>
      <w:r>
        <w:rPr>
          <w:spacing w:val="-2"/>
        </w:rPr>
        <w:t xml:space="preserve"> affirmations.</w:t>
      </w:r>
    </w:p>
    <w:p w14:paraId="5E3630F5" w14:textId="77777777" w:rsidR="00DB6E1F" w:rsidRDefault="00F666A6">
      <w:pPr>
        <w:pStyle w:val="Heading3"/>
        <w:spacing w:before="167"/>
        <w:jc w:val="both"/>
      </w:pPr>
      <w:bookmarkStart w:id="97" w:name="Reflective_Listening"/>
      <w:bookmarkEnd w:id="97"/>
      <w:r>
        <w:t>Reflective</w:t>
      </w:r>
      <w:r>
        <w:rPr>
          <w:spacing w:val="-14"/>
        </w:rPr>
        <w:t xml:space="preserve"> </w:t>
      </w:r>
      <w:r>
        <w:rPr>
          <w:spacing w:val="-2"/>
        </w:rPr>
        <w:t>Listening</w:t>
      </w:r>
    </w:p>
    <w:p w14:paraId="600116DF" w14:textId="77777777" w:rsidR="00DB6E1F" w:rsidRDefault="00F666A6">
      <w:pPr>
        <w:spacing w:before="141"/>
        <w:ind w:left="1439" w:right="1504"/>
        <w:jc w:val="both"/>
      </w:pPr>
      <w:r>
        <w:rPr>
          <w:b/>
        </w:rPr>
        <w:t>Reflec</w:t>
      </w:r>
      <w:r>
        <w:rPr>
          <w:b/>
        </w:rPr>
        <w:t>tive</w:t>
      </w:r>
      <w:r>
        <w:rPr>
          <w:b/>
          <w:spacing w:val="-4"/>
        </w:rPr>
        <w:t xml:space="preserve"> </w:t>
      </w:r>
      <w:r>
        <w:rPr>
          <w:b/>
        </w:rPr>
        <w:t>listening</w:t>
      </w:r>
      <w:r>
        <w:rPr>
          <w:b/>
          <w:spacing w:val="-4"/>
        </w:rPr>
        <w:t xml:space="preserve"> </w:t>
      </w:r>
      <w:r>
        <w:rPr>
          <w:b/>
        </w:rPr>
        <w:t>is</w:t>
      </w:r>
      <w:r>
        <w:rPr>
          <w:b/>
          <w:spacing w:val="-2"/>
        </w:rPr>
        <w:t xml:space="preserve"> </w:t>
      </w:r>
      <w:r>
        <w:rPr>
          <w:b/>
        </w:rPr>
        <w:t>the</w:t>
      </w:r>
      <w:r>
        <w:rPr>
          <w:b/>
          <w:spacing w:val="-4"/>
        </w:rPr>
        <w:t xml:space="preserve"> </w:t>
      </w:r>
      <w:r>
        <w:rPr>
          <w:b/>
        </w:rPr>
        <w:t>key</w:t>
      </w:r>
      <w:r>
        <w:rPr>
          <w:b/>
          <w:spacing w:val="-2"/>
        </w:rPr>
        <w:t xml:space="preserve"> </w:t>
      </w:r>
      <w:r>
        <w:rPr>
          <w:b/>
        </w:rPr>
        <w:t>component</w:t>
      </w:r>
      <w:r>
        <w:rPr>
          <w:b/>
          <w:spacing w:val="-3"/>
        </w:rPr>
        <w:t xml:space="preserve"> </w:t>
      </w:r>
      <w:r>
        <w:rPr>
          <w:b/>
        </w:rPr>
        <w:t>of</w:t>
      </w:r>
      <w:r>
        <w:rPr>
          <w:b/>
          <w:spacing w:val="-3"/>
        </w:rPr>
        <w:t xml:space="preserve"> </w:t>
      </w:r>
      <w:r>
        <w:rPr>
          <w:b/>
        </w:rPr>
        <w:t>expressing</w:t>
      </w:r>
      <w:r>
        <w:rPr>
          <w:b/>
          <w:spacing w:val="-2"/>
        </w:rPr>
        <w:t xml:space="preserve"> </w:t>
      </w:r>
      <w:r>
        <w:rPr>
          <w:b/>
        </w:rPr>
        <w:t>empathy.</w:t>
      </w:r>
      <w:r>
        <w:rPr>
          <w:b/>
          <w:spacing w:val="-2"/>
        </w:rPr>
        <w:t xml:space="preserve"> </w:t>
      </w:r>
      <w:r>
        <w:t>Reflective</w:t>
      </w:r>
      <w:r>
        <w:rPr>
          <w:spacing w:val="-5"/>
        </w:rPr>
        <w:t xml:space="preserve"> </w:t>
      </w:r>
      <w:r>
        <w:t>listening</w:t>
      </w:r>
      <w:r>
        <w:rPr>
          <w:spacing w:val="-3"/>
        </w:rPr>
        <w:t xml:space="preserve"> </w:t>
      </w:r>
      <w:r>
        <w:t>is</w:t>
      </w:r>
      <w:r>
        <w:rPr>
          <w:spacing w:val="-3"/>
        </w:rPr>
        <w:t xml:space="preserve"> </w:t>
      </w:r>
      <w:r>
        <w:t>fundamental</w:t>
      </w:r>
      <w:r>
        <w:rPr>
          <w:spacing w:val="-3"/>
        </w:rPr>
        <w:t xml:space="preserve"> </w:t>
      </w:r>
      <w:r>
        <w:t>to person-centered</w:t>
      </w:r>
      <w:r>
        <w:rPr>
          <w:spacing w:val="-1"/>
        </w:rPr>
        <w:t xml:space="preserve"> </w:t>
      </w:r>
      <w:r>
        <w:t>counseling in general and MI in particular (Miller &amp; Rollnick, 2013).</w:t>
      </w:r>
      <w:r>
        <w:rPr>
          <w:spacing w:val="-1"/>
        </w:rPr>
        <w:t xml:space="preserve"> </w:t>
      </w:r>
      <w:r>
        <w:t>Reflective listening (Miller &amp; Rollnick, 2013):</w:t>
      </w:r>
    </w:p>
    <w:p w14:paraId="24D74A1F" w14:textId="77777777" w:rsidR="00DB6E1F" w:rsidRDefault="00F666A6">
      <w:pPr>
        <w:pStyle w:val="ListParagraph"/>
        <w:numPr>
          <w:ilvl w:val="0"/>
          <w:numId w:val="92"/>
        </w:numPr>
        <w:tabs>
          <w:tab w:val="left" w:pos="1799"/>
          <w:tab w:val="left" w:pos="1800"/>
        </w:tabs>
        <w:spacing w:before="61"/>
        <w:ind w:left="1799"/>
        <w:rPr>
          <w:rFonts w:ascii="Symbol" w:hAnsi="Symbol"/>
        </w:rPr>
      </w:pPr>
      <w:r>
        <w:t>Communicates</w:t>
      </w:r>
      <w:r>
        <w:rPr>
          <w:spacing w:val="-5"/>
        </w:rPr>
        <w:t xml:space="preserve"> </w:t>
      </w:r>
      <w:r>
        <w:t>respect</w:t>
      </w:r>
      <w:r>
        <w:rPr>
          <w:spacing w:val="-4"/>
        </w:rPr>
        <w:t xml:space="preserve"> </w:t>
      </w:r>
      <w:r>
        <w:t>for</w:t>
      </w:r>
      <w:r>
        <w:rPr>
          <w:spacing w:val="-5"/>
        </w:rPr>
        <w:t xml:space="preserve"> </w:t>
      </w:r>
      <w:r>
        <w:t>and</w:t>
      </w:r>
      <w:r>
        <w:rPr>
          <w:spacing w:val="-5"/>
        </w:rPr>
        <w:t xml:space="preserve"> </w:t>
      </w:r>
      <w:r>
        <w:t>acceptance</w:t>
      </w:r>
      <w:r>
        <w:rPr>
          <w:spacing w:val="-5"/>
        </w:rPr>
        <w:t xml:space="preserve"> </w:t>
      </w:r>
      <w:r>
        <w:t>of</w:t>
      </w:r>
      <w:r>
        <w:rPr>
          <w:spacing w:val="-4"/>
        </w:rPr>
        <w:t xml:space="preserve"> </w:t>
      </w:r>
      <w:r>
        <w:rPr>
          <w:spacing w:val="-2"/>
        </w:rPr>
        <w:t>clients.</w:t>
      </w:r>
    </w:p>
    <w:p w14:paraId="72434A52" w14:textId="77777777" w:rsidR="00DB6E1F" w:rsidRDefault="00F666A6">
      <w:pPr>
        <w:pStyle w:val="ListParagraph"/>
        <w:numPr>
          <w:ilvl w:val="0"/>
          <w:numId w:val="92"/>
        </w:numPr>
        <w:tabs>
          <w:tab w:val="left" w:pos="1799"/>
          <w:tab w:val="left" w:pos="1800"/>
        </w:tabs>
        <w:ind w:left="1799"/>
        <w:rPr>
          <w:rFonts w:ascii="Symbol" w:hAnsi="Symbol"/>
        </w:rPr>
      </w:pPr>
      <w:r>
        <w:t>Establishes</w:t>
      </w:r>
      <w:r>
        <w:rPr>
          <w:spacing w:val="-8"/>
        </w:rPr>
        <w:t xml:space="preserve"> </w:t>
      </w:r>
      <w:r>
        <w:t>trust</w:t>
      </w:r>
      <w:r>
        <w:rPr>
          <w:spacing w:val="-3"/>
        </w:rPr>
        <w:t xml:space="preserve"> </w:t>
      </w:r>
      <w:r>
        <w:t>and</w:t>
      </w:r>
      <w:r>
        <w:rPr>
          <w:spacing w:val="-4"/>
        </w:rPr>
        <w:t xml:space="preserve"> </w:t>
      </w:r>
      <w:r>
        <w:t>invites</w:t>
      </w:r>
      <w:r>
        <w:rPr>
          <w:spacing w:val="-4"/>
        </w:rPr>
        <w:t xml:space="preserve"> </w:t>
      </w:r>
      <w:r>
        <w:t>clients</w:t>
      </w:r>
      <w:r>
        <w:rPr>
          <w:spacing w:val="-6"/>
        </w:rPr>
        <w:t xml:space="preserve"> </w:t>
      </w:r>
      <w:r>
        <w:t>to</w:t>
      </w:r>
      <w:r>
        <w:rPr>
          <w:spacing w:val="-4"/>
        </w:rPr>
        <w:t xml:space="preserve"> </w:t>
      </w:r>
      <w:r>
        <w:t>explore</w:t>
      </w:r>
      <w:r>
        <w:rPr>
          <w:spacing w:val="-6"/>
        </w:rPr>
        <w:t xml:space="preserve"> </w:t>
      </w:r>
      <w:r>
        <w:t>their</w:t>
      </w:r>
      <w:r>
        <w:rPr>
          <w:spacing w:val="-5"/>
        </w:rPr>
        <w:t xml:space="preserve"> </w:t>
      </w:r>
      <w:r>
        <w:t>own</w:t>
      </w:r>
      <w:r>
        <w:rPr>
          <w:spacing w:val="-5"/>
        </w:rPr>
        <w:t xml:space="preserve"> </w:t>
      </w:r>
      <w:r>
        <w:t>perceptions,</w:t>
      </w:r>
      <w:r>
        <w:rPr>
          <w:spacing w:val="-5"/>
        </w:rPr>
        <w:t xml:space="preserve"> </w:t>
      </w:r>
      <w:r>
        <w:t>values,</w:t>
      </w:r>
      <w:r>
        <w:rPr>
          <w:spacing w:val="-4"/>
        </w:rPr>
        <w:t xml:space="preserve"> </w:t>
      </w:r>
      <w:r>
        <w:t>and</w:t>
      </w:r>
      <w:r>
        <w:rPr>
          <w:spacing w:val="-4"/>
        </w:rPr>
        <w:t xml:space="preserve"> </w:t>
      </w:r>
      <w:r>
        <w:rPr>
          <w:spacing w:val="-2"/>
        </w:rPr>
        <w:t>feelings.</w:t>
      </w:r>
    </w:p>
    <w:p w14:paraId="1A871B6F" w14:textId="77777777" w:rsidR="00DB6E1F" w:rsidRDefault="00DB6E1F">
      <w:pPr>
        <w:rPr>
          <w:rFonts w:ascii="Symbol" w:hAnsi="Symbol"/>
        </w:rPr>
        <w:sectPr w:rsidR="00DB6E1F">
          <w:pgSz w:w="12240" w:h="15840"/>
          <w:pgMar w:top="1200" w:right="0" w:bottom="780" w:left="0" w:header="763" w:footer="585" w:gutter="0"/>
          <w:cols w:space="720"/>
        </w:sectPr>
      </w:pPr>
    </w:p>
    <w:p w14:paraId="4C343DAD" w14:textId="77777777" w:rsidR="00DB6E1F" w:rsidRDefault="00DB6E1F">
      <w:pPr>
        <w:pStyle w:val="BodyText"/>
        <w:rPr>
          <w:sz w:val="11"/>
        </w:rPr>
      </w:pPr>
    </w:p>
    <w:p w14:paraId="0B2EF336" w14:textId="77777777" w:rsidR="00DB6E1F" w:rsidRDefault="00F666A6">
      <w:pPr>
        <w:pStyle w:val="ListParagraph"/>
        <w:numPr>
          <w:ilvl w:val="0"/>
          <w:numId w:val="92"/>
        </w:numPr>
        <w:tabs>
          <w:tab w:val="left" w:pos="1800"/>
          <w:tab w:val="left" w:pos="1801"/>
        </w:tabs>
        <w:spacing w:before="101"/>
        <w:ind w:left="1800"/>
        <w:rPr>
          <w:rFonts w:ascii="Symbol" w:hAnsi="Symbol"/>
        </w:rPr>
      </w:pPr>
      <w:r>
        <w:t>Encourages</w:t>
      </w:r>
      <w:r>
        <w:rPr>
          <w:spacing w:val="-9"/>
        </w:rPr>
        <w:t xml:space="preserve"> </w:t>
      </w:r>
      <w:r>
        <w:t>a</w:t>
      </w:r>
      <w:r>
        <w:rPr>
          <w:spacing w:val="-6"/>
        </w:rPr>
        <w:t xml:space="preserve"> </w:t>
      </w:r>
      <w:r>
        <w:t>nonjudgmental,</w:t>
      </w:r>
      <w:r>
        <w:rPr>
          <w:spacing w:val="-6"/>
        </w:rPr>
        <w:t xml:space="preserve"> </w:t>
      </w:r>
      <w:r>
        <w:t>collaborative</w:t>
      </w:r>
      <w:r>
        <w:rPr>
          <w:spacing w:val="-8"/>
        </w:rPr>
        <w:t xml:space="preserve"> </w:t>
      </w:r>
      <w:r>
        <w:rPr>
          <w:spacing w:val="-2"/>
        </w:rPr>
        <w:t>relat</w:t>
      </w:r>
      <w:r>
        <w:rPr>
          <w:spacing w:val="-2"/>
        </w:rPr>
        <w:t>ionship.</w:t>
      </w:r>
    </w:p>
    <w:p w14:paraId="23351E88" w14:textId="77777777" w:rsidR="00DB6E1F" w:rsidRDefault="00F666A6">
      <w:pPr>
        <w:pStyle w:val="ListParagraph"/>
        <w:numPr>
          <w:ilvl w:val="0"/>
          <w:numId w:val="92"/>
        </w:numPr>
        <w:tabs>
          <w:tab w:val="left" w:pos="1800"/>
          <w:tab w:val="left" w:pos="1801"/>
        </w:tabs>
        <w:spacing w:before="58"/>
        <w:ind w:left="1800"/>
        <w:rPr>
          <w:rFonts w:ascii="Symbol" w:hAnsi="Symbol"/>
        </w:rPr>
      </w:pPr>
      <w:r>
        <w:t>Allows</w:t>
      </w:r>
      <w:r>
        <w:rPr>
          <w:spacing w:val="-8"/>
        </w:rPr>
        <w:t xml:space="preserve"> </w:t>
      </w:r>
      <w:r>
        <w:t>you</w:t>
      </w:r>
      <w:r>
        <w:rPr>
          <w:spacing w:val="-4"/>
        </w:rPr>
        <w:t xml:space="preserve"> </w:t>
      </w:r>
      <w:r>
        <w:t>to</w:t>
      </w:r>
      <w:r>
        <w:rPr>
          <w:spacing w:val="-3"/>
        </w:rPr>
        <w:t xml:space="preserve"> </w:t>
      </w:r>
      <w:r>
        <w:t>be</w:t>
      </w:r>
      <w:r>
        <w:rPr>
          <w:spacing w:val="-5"/>
        </w:rPr>
        <w:t xml:space="preserve"> </w:t>
      </w:r>
      <w:r>
        <w:t>a</w:t>
      </w:r>
      <w:r>
        <w:rPr>
          <w:spacing w:val="-3"/>
        </w:rPr>
        <w:t xml:space="preserve"> </w:t>
      </w:r>
      <w:r>
        <w:t>supportive</w:t>
      </w:r>
      <w:r>
        <w:rPr>
          <w:spacing w:val="-6"/>
        </w:rPr>
        <w:t xml:space="preserve"> </w:t>
      </w:r>
      <w:r>
        <w:t>without</w:t>
      </w:r>
      <w:r>
        <w:rPr>
          <w:spacing w:val="-2"/>
        </w:rPr>
        <w:t xml:space="preserve"> </w:t>
      </w:r>
      <w:r>
        <w:t>agreeing</w:t>
      </w:r>
      <w:r>
        <w:rPr>
          <w:spacing w:val="-4"/>
        </w:rPr>
        <w:t xml:space="preserve"> </w:t>
      </w:r>
      <w:r>
        <w:t>with</w:t>
      </w:r>
      <w:r>
        <w:rPr>
          <w:spacing w:val="-7"/>
        </w:rPr>
        <w:t xml:space="preserve"> </w:t>
      </w:r>
      <w:r>
        <w:t>specific</w:t>
      </w:r>
      <w:r>
        <w:rPr>
          <w:spacing w:val="-3"/>
        </w:rPr>
        <w:t xml:space="preserve"> </w:t>
      </w:r>
      <w:r>
        <w:t>client</w:t>
      </w:r>
      <w:r>
        <w:rPr>
          <w:spacing w:val="-2"/>
        </w:rPr>
        <w:t xml:space="preserve"> statements.</w:t>
      </w:r>
    </w:p>
    <w:p w14:paraId="47E11EEC" w14:textId="77777777" w:rsidR="00DB6E1F" w:rsidRDefault="00F666A6">
      <w:pPr>
        <w:pStyle w:val="BodyText"/>
        <w:spacing w:before="161"/>
        <w:ind w:left="1440" w:right="1459"/>
      </w:pPr>
      <w:r>
        <w:t>Reflective</w:t>
      </w:r>
      <w:r>
        <w:rPr>
          <w:spacing w:val="-4"/>
        </w:rPr>
        <w:t xml:space="preserve"> </w:t>
      </w:r>
      <w:r>
        <w:t>listening</w:t>
      </w:r>
      <w:r>
        <w:rPr>
          <w:spacing w:val="-2"/>
        </w:rPr>
        <w:t xml:space="preserve"> </w:t>
      </w:r>
      <w:r>
        <w:t>builds</w:t>
      </w:r>
      <w:r>
        <w:rPr>
          <w:spacing w:val="-2"/>
        </w:rPr>
        <w:t xml:space="preserve"> </w:t>
      </w:r>
      <w:r>
        <w:t>collaboration</w:t>
      </w:r>
      <w:r>
        <w:rPr>
          <w:spacing w:val="-3"/>
        </w:rPr>
        <w:t xml:space="preserve"> </w:t>
      </w:r>
      <w:r>
        <w:t>and</w:t>
      </w:r>
      <w:r>
        <w:rPr>
          <w:spacing w:val="-3"/>
        </w:rPr>
        <w:t xml:space="preserve"> </w:t>
      </w:r>
      <w:r>
        <w:t>a</w:t>
      </w:r>
      <w:r>
        <w:rPr>
          <w:spacing w:val="-4"/>
        </w:rPr>
        <w:t xml:space="preserve"> </w:t>
      </w:r>
      <w:r>
        <w:t>safe</w:t>
      </w:r>
      <w:r>
        <w:rPr>
          <w:spacing w:val="-4"/>
        </w:rPr>
        <w:t xml:space="preserve"> </w:t>
      </w:r>
      <w:r>
        <w:t>and</w:t>
      </w:r>
      <w:r>
        <w:rPr>
          <w:spacing w:val="-3"/>
        </w:rPr>
        <w:t xml:space="preserve"> </w:t>
      </w:r>
      <w:r>
        <w:t>open</w:t>
      </w:r>
      <w:r>
        <w:rPr>
          <w:spacing w:val="-5"/>
        </w:rPr>
        <w:t xml:space="preserve"> </w:t>
      </w:r>
      <w:r>
        <w:t>environment</w:t>
      </w:r>
      <w:r>
        <w:rPr>
          <w:spacing w:val="-1"/>
        </w:rPr>
        <w:t xml:space="preserve"> </w:t>
      </w:r>
      <w:r>
        <w:t>that</w:t>
      </w:r>
      <w:r>
        <w:rPr>
          <w:spacing w:val="-1"/>
        </w:rPr>
        <w:t xml:space="preserve"> </w:t>
      </w:r>
      <w:r>
        <w:t>is</w:t>
      </w:r>
      <w:r>
        <w:rPr>
          <w:spacing w:val="-4"/>
        </w:rPr>
        <w:t xml:space="preserve"> </w:t>
      </w:r>
      <w:r>
        <w:t>conducive</w:t>
      </w:r>
      <w:r>
        <w:rPr>
          <w:spacing w:val="-1"/>
        </w:rPr>
        <w:t xml:space="preserve"> </w:t>
      </w:r>
      <w:r>
        <w:t>to</w:t>
      </w:r>
      <w:r>
        <w:rPr>
          <w:spacing w:val="-1"/>
        </w:rPr>
        <w:t xml:space="preserve"> </w:t>
      </w:r>
      <w:r>
        <w:t>examining issues and eliciting the client’s reasons for change. It is both an expression of empathy and a way to selectively reinforce change talk (Romano &amp; Peters, 2016). Reflective listening demonstrates that you are genuinely interested in understanding</w:t>
      </w:r>
      <w:r>
        <w:t xml:space="preserve"> the client’s unique perspective, feelings, and values.</w:t>
      </w:r>
    </w:p>
    <w:p w14:paraId="226C2392" w14:textId="77777777" w:rsidR="00DB6E1F" w:rsidRDefault="00F666A6">
      <w:pPr>
        <w:pStyle w:val="BodyText"/>
        <w:spacing w:before="1"/>
        <w:ind w:left="1440" w:right="1491"/>
      </w:pPr>
      <w:r>
        <w:t>Expressions of counselor empathy predict better substance use outcomes (Moyers, Houck, Rice, Longabaugh,</w:t>
      </w:r>
      <w:r>
        <w:rPr>
          <w:spacing w:val="-2"/>
        </w:rPr>
        <w:t xml:space="preserve"> </w:t>
      </w:r>
      <w:r>
        <w:t>&amp;</w:t>
      </w:r>
      <w:r>
        <w:rPr>
          <w:spacing w:val="-4"/>
        </w:rPr>
        <w:t xml:space="preserve"> </w:t>
      </w:r>
      <w:r>
        <w:t>Miller,</w:t>
      </w:r>
      <w:r>
        <w:rPr>
          <w:spacing w:val="-2"/>
        </w:rPr>
        <w:t xml:space="preserve"> </w:t>
      </w:r>
      <w:r>
        <w:t>2016).</w:t>
      </w:r>
      <w:r>
        <w:rPr>
          <w:spacing w:val="-3"/>
        </w:rPr>
        <w:t xml:space="preserve"> </w:t>
      </w:r>
      <w:r>
        <w:t>Your</w:t>
      </w:r>
      <w:r>
        <w:rPr>
          <w:spacing w:val="-2"/>
        </w:rPr>
        <w:t xml:space="preserve"> </w:t>
      </w:r>
      <w:r>
        <w:t>attitude</w:t>
      </w:r>
      <w:r>
        <w:rPr>
          <w:spacing w:val="-1"/>
        </w:rPr>
        <w:t xml:space="preserve"> </w:t>
      </w:r>
      <w:r>
        <w:t>should</w:t>
      </w:r>
      <w:r>
        <w:rPr>
          <w:spacing w:val="-3"/>
        </w:rPr>
        <w:t xml:space="preserve"> </w:t>
      </w:r>
      <w:r>
        <w:t>be</w:t>
      </w:r>
      <w:r>
        <w:rPr>
          <w:spacing w:val="-4"/>
        </w:rPr>
        <w:t xml:space="preserve"> </w:t>
      </w:r>
      <w:r>
        <w:t>one</w:t>
      </w:r>
      <w:r>
        <w:rPr>
          <w:spacing w:val="-4"/>
        </w:rPr>
        <w:t xml:space="preserve"> </w:t>
      </w:r>
      <w:r>
        <w:t>of</w:t>
      </w:r>
      <w:r>
        <w:rPr>
          <w:spacing w:val="-2"/>
        </w:rPr>
        <w:t xml:space="preserve"> </w:t>
      </w:r>
      <w:r>
        <w:t>acceptance</w:t>
      </w:r>
      <w:r>
        <w:rPr>
          <w:spacing w:val="-1"/>
        </w:rPr>
        <w:t xml:space="preserve"> </w:t>
      </w:r>
      <w:r>
        <w:t>but</w:t>
      </w:r>
      <w:r>
        <w:rPr>
          <w:spacing w:val="-1"/>
        </w:rPr>
        <w:t xml:space="preserve"> </w:t>
      </w:r>
      <w:r>
        <w:t>not</w:t>
      </w:r>
      <w:r>
        <w:rPr>
          <w:spacing w:val="-4"/>
        </w:rPr>
        <w:t xml:space="preserve"> </w:t>
      </w:r>
      <w:r>
        <w:t>necessarily</w:t>
      </w:r>
      <w:r>
        <w:rPr>
          <w:spacing w:val="-1"/>
        </w:rPr>
        <w:t xml:space="preserve"> </w:t>
      </w:r>
      <w:r>
        <w:t>approval</w:t>
      </w:r>
      <w:r>
        <w:rPr>
          <w:spacing w:val="-5"/>
        </w:rPr>
        <w:t xml:space="preserve"> </w:t>
      </w:r>
      <w:r>
        <w:t>or agreement, recognizing that ambivalence about change is normal.</w:t>
      </w:r>
    </w:p>
    <w:p w14:paraId="299D57BB" w14:textId="77777777" w:rsidR="00DB6E1F" w:rsidRDefault="00F666A6">
      <w:pPr>
        <w:spacing w:before="159"/>
        <w:ind w:left="1440" w:right="1491"/>
      </w:pPr>
      <w:r>
        <w:rPr>
          <w:b/>
        </w:rPr>
        <w:t>Consider</w:t>
      </w:r>
      <w:r>
        <w:rPr>
          <w:b/>
          <w:spacing w:val="-3"/>
        </w:rPr>
        <w:t xml:space="preserve"> </w:t>
      </w:r>
      <w:r>
        <w:rPr>
          <w:b/>
        </w:rPr>
        <w:t>ethnic</w:t>
      </w:r>
      <w:r>
        <w:rPr>
          <w:b/>
          <w:spacing w:val="-3"/>
        </w:rPr>
        <w:t xml:space="preserve"> </w:t>
      </w:r>
      <w:r>
        <w:rPr>
          <w:b/>
        </w:rPr>
        <w:t>and</w:t>
      </w:r>
      <w:r>
        <w:rPr>
          <w:b/>
          <w:spacing w:val="-7"/>
        </w:rPr>
        <w:t xml:space="preserve"> </w:t>
      </w:r>
      <w:r>
        <w:rPr>
          <w:b/>
        </w:rPr>
        <w:t>cultural</w:t>
      </w:r>
      <w:r>
        <w:rPr>
          <w:b/>
          <w:spacing w:val="-3"/>
        </w:rPr>
        <w:t xml:space="preserve"> </w:t>
      </w:r>
      <w:r>
        <w:rPr>
          <w:b/>
        </w:rPr>
        <w:t>differences</w:t>
      </w:r>
      <w:r>
        <w:rPr>
          <w:b/>
          <w:spacing w:val="-5"/>
        </w:rPr>
        <w:t xml:space="preserve"> </w:t>
      </w:r>
      <w:r>
        <w:rPr>
          <w:b/>
        </w:rPr>
        <w:t>when</w:t>
      </w:r>
      <w:r>
        <w:rPr>
          <w:b/>
          <w:spacing w:val="-5"/>
        </w:rPr>
        <w:t xml:space="preserve"> </w:t>
      </w:r>
      <w:r>
        <w:rPr>
          <w:b/>
        </w:rPr>
        <w:t>expressing</w:t>
      </w:r>
      <w:r>
        <w:rPr>
          <w:b/>
          <w:spacing w:val="-5"/>
        </w:rPr>
        <w:t xml:space="preserve"> </w:t>
      </w:r>
      <w:r>
        <w:rPr>
          <w:b/>
        </w:rPr>
        <w:t>empathy</w:t>
      </w:r>
      <w:r>
        <w:rPr>
          <w:b/>
          <w:spacing w:val="-3"/>
        </w:rPr>
        <w:t xml:space="preserve"> </w:t>
      </w:r>
      <w:r>
        <w:rPr>
          <w:b/>
        </w:rPr>
        <w:t>through</w:t>
      </w:r>
      <w:r>
        <w:rPr>
          <w:b/>
          <w:spacing w:val="-5"/>
        </w:rPr>
        <w:t xml:space="preserve"> </w:t>
      </w:r>
      <w:r>
        <w:rPr>
          <w:b/>
        </w:rPr>
        <w:t>reflective</w:t>
      </w:r>
      <w:r>
        <w:rPr>
          <w:b/>
          <w:spacing w:val="-5"/>
        </w:rPr>
        <w:t xml:space="preserve"> </w:t>
      </w:r>
      <w:r>
        <w:rPr>
          <w:b/>
        </w:rPr>
        <w:t xml:space="preserve">listening. </w:t>
      </w:r>
      <w:r>
        <w:t>These differences influence how both you and the client interpret verbal and nonverbal communi</w:t>
      </w:r>
      <w:r>
        <w:t>cations.</w:t>
      </w:r>
    </w:p>
    <w:p w14:paraId="143B638C" w14:textId="77777777" w:rsidR="00DB6E1F" w:rsidRDefault="00DB6E1F">
      <w:pPr>
        <w:pStyle w:val="BodyText"/>
        <w:spacing w:before="11"/>
        <w:rPr>
          <w:sz w:val="12"/>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10A1E63B" w14:textId="77777777">
        <w:trPr>
          <w:trHeight w:val="523"/>
        </w:trPr>
        <w:tc>
          <w:tcPr>
            <w:tcW w:w="9350" w:type="dxa"/>
            <w:tcBorders>
              <w:top w:val="nil"/>
              <w:bottom w:val="nil"/>
            </w:tcBorders>
            <w:shd w:val="clear" w:color="auto" w:fill="050505"/>
          </w:tcPr>
          <w:p w14:paraId="4566B7B1" w14:textId="77777777" w:rsidR="00DB6E1F" w:rsidRDefault="00F666A6">
            <w:pPr>
              <w:pStyle w:val="TableParagraph"/>
              <w:spacing w:before="112"/>
              <w:ind w:left="566"/>
              <w:rPr>
                <w:sz w:val="24"/>
              </w:rPr>
            </w:pPr>
            <w:r>
              <w:rPr>
                <w:color w:val="FFFFFF"/>
                <w:sz w:val="24"/>
              </w:rPr>
              <w:t>Expert</w:t>
            </w:r>
            <w:r>
              <w:rPr>
                <w:color w:val="FFFFFF"/>
                <w:spacing w:val="-5"/>
                <w:sz w:val="24"/>
              </w:rPr>
              <w:t xml:space="preserve"> </w:t>
            </w:r>
            <w:r>
              <w:rPr>
                <w:color w:val="FFFFFF"/>
                <w:sz w:val="24"/>
              </w:rPr>
              <w:t>Comment:</w:t>
            </w:r>
            <w:r>
              <w:rPr>
                <w:color w:val="FFFFFF"/>
                <w:spacing w:val="-5"/>
                <w:sz w:val="24"/>
              </w:rPr>
              <w:t xml:space="preserve"> </w:t>
            </w:r>
            <w:r>
              <w:rPr>
                <w:color w:val="FFFFFF"/>
                <w:sz w:val="24"/>
              </w:rPr>
              <w:t>Expressing</w:t>
            </w:r>
            <w:r>
              <w:rPr>
                <w:color w:val="FFFFFF"/>
                <w:spacing w:val="-3"/>
                <w:sz w:val="24"/>
              </w:rPr>
              <w:t xml:space="preserve"> </w:t>
            </w:r>
            <w:r>
              <w:rPr>
                <w:color w:val="FFFFFF"/>
                <w:sz w:val="24"/>
              </w:rPr>
              <w:t>Empathy</w:t>
            </w:r>
            <w:r>
              <w:rPr>
                <w:color w:val="FFFFFF"/>
                <w:spacing w:val="-6"/>
                <w:sz w:val="24"/>
              </w:rPr>
              <w:t xml:space="preserve"> </w:t>
            </w:r>
            <w:r>
              <w:rPr>
                <w:color w:val="FFFFFF"/>
                <w:sz w:val="24"/>
              </w:rPr>
              <w:t>With</w:t>
            </w:r>
            <w:r>
              <w:rPr>
                <w:color w:val="FFFFFF"/>
                <w:spacing w:val="-1"/>
                <w:sz w:val="24"/>
              </w:rPr>
              <w:t xml:space="preserve"> </w:t>
            </w:r>
            <w:r>
              <w:rPr>
                <w:color w:val="FFFFFF"/>
                <w:sz w:val="24"/>
              </w:rPr>
              <w:t>American</w:t>
            </w:r>
            <w:r>
              <w:rPr>
                <w:color w:val="FFFFFF"/>
                <w:spacing w:val="-2"/>
                <w:sz w:val="24"/>
              </w:rPr>
              <w:t xml:space="preserve"> </w:t>
            </w:r>
            <w:r>
              <w:rPr>
                <w:color w:val="FFFFFF"/>
                <w:sz w:val="24"/>
              </w:rPr>
              <w:t>Indian/Native</w:t>
            </w:r>
            <w:r>
              <w:rPr>
                <w:color w:val="FFFFFF"/>
                <w:spacing w:val="-2"/>
                <w:sz w:val="24"/>
              </w:rPr>
              <w:t xml:space="preserve"> </w:t>
            </w:r>
            <w:r>
              <w:rPr>
                <w:color w:val="FFFFFF"/>
                <w:sz w:val="24"/>
              </w:rPr>
              <w:t>American</w:t>
            </w:r>
            <w:r>
              <w:rPr>
                <w:color w:val="FFFFFF"/>
                <w:spacing w:val="-1"/>
                <w:sz w:val="24"/>
              </w:rPr>
              <w:t xml:space="preserve"> </w:t>
            </w:r>
            <w:r>
              <w:rPr>
                <w:color w:val="FFFFFF"/>
                <w:spacing w:val="-2"/>
                <w:sz w:val="24"/>
              </w:rPr>
              <w:t>Clients</w:t>
            </w:r>
          </w:p>
        </w:tc>
      </w:tr>
      <w:tr w:rsidR="00DB6E1F" w14:paraId="53550150" w14:textId="77777777">
        <w:trPr>
          <w:trHeight w:val="1665"/>
        </w:trPr>
        <w:tc>
          <w:tcPr>
            <w:tcW w:w="9350" w:type="dxa"/>
            <w:tcBorders>
              <w:top w:val="nil"/>
            </w:tcBorders>
          </w:tcPr>
          <w:p w14:paraId="2E0A329C" w14:textId="77777777" w:rsidR="00DB6E1F" w:rsidRDefault="00F666A6">
            <w:pPr>
              <w:pStyle w:val="TableParagraph"/>
              <w:ind w:right="117"/>
              <w:rPr>
                <w:sz w:val="20"/>
              </w:rPr>
            </w:pPr>
            <w:r>
              <w:rPr>
                <w:sz w:val="20"/>
              </w:rPr>
              <w:t>For many traditional American Indian groups, expressing empathy begins with the introduction. Native Americans generally expect the counselor to be aware of and prac</w:t>
            </w:r>
            <w:r>
              <w:rPr>
                <w:sz w:val="20"/>
              </w:rPr>
              <w:t>tice the culturally accepted norms for introducing oneself and showing respect. For example, during the first meeting, the person often is expected to say</w:t>
            </w:r>
            <w:r>
              <w:rPr>
                <w:spacing w:val="-2"/>
                <w:sz w:val="20"/>
              </w:rPr>
              <w:t xml:space="preserve"> </w:t>
            </w:r>
            <w:r>
              <w:rPr>
                <w:sz w:val="20"/>
              </w:rPr>
              <w:t>his</w:t>
            </w:r>
            <w:r>
              <w:rPr>
                <w:spacing w:val="-4"/>
                <w:sz w:val="20"/>
              </w:rPr>
              <w:t xml:space="preserve"> </w:t>
            </w:r>
            <w:r>
              <w:rPr>
                <w:sz w:val="20"/>
              </w:rPr>
              <w:t>or</w:t>
            </w:r>
            <w:r>
              <w:rPr>
                <w:spacing w:val="-3"/>
                <w:sz w:val="20"/>
              </w:rPr>
              <w:t xml:space="preserve"> </w:t>
            </w:r>
            <w:r>
              <w:rPr>
                <w:sz w:val="20"/>
              </w:rPr>
              <w:t>her</w:t>
            </w:r>
            <w:r>
              <w:rPr>
                <w:spacing w:val="-3"/>
                <w:sz w:val="20"/>
              </w:rPr>
              <w:t xml:space="preserve"> </w:t>
            </w:r>
            <w:r>
              <w:rPr>
                <w:sz w:val="20"/>
              </w:rPr>
              <w:t>name,</w:t>
            </w:r>
            <w:r>
              <w:rPr>
                <w:spacing w:val="-2"/>
                <w:sz w:val="20"/>
              </w:rPr>
              <w:t xml:space="preserve"> </w:t>
            </w:r>
            <w:r>
              <w:rPr>
                <w:sz w:val="20"/>
              </w:rPr>
              <w:t>clan</w:t>
            </w:r>
            <w:r>
              <w:rPr>
                <w:spacing w:val="-2"/>
                <w:sz w:val="20"/>
              </w:rPr>
              <w:t xml:space="preserve"> </w:t>
            </w:r>
            <w:r>
              <w:rPr>
                <w:sz w:val="20"/>
              </w:rPr>
              <w:t>relationship</w:t>
            </w:r>
            <w:r>
              <w:rPr>
                <w:spacing w:val="-2"/>
                <w:sz w:val="20"/>
              </w:rPr>
              <w:t xml:space="preserve"> </w:t>
            </w:r>
            <w:r>
              <w:rPr>
                <w:sz w:val="20"/>
              </w:rPr>
              <w:t>or</w:t>
            </w:r>
            <w:r>
              <w:rPr>
                <w:spacing w:val="-3"/>
                <w:sz w:val="20"/>
              </w:rPr>
              <w:t xml:space="preserve"> </w:t>
            </w:r>
            <w:r>
              <w:rPr>
                <w:sz w:val="20"/>
              </w:rPr>
              <w:t>ethnic</w:t>
            </w:r>
            <w:r>
              <w:rPr>
                <w:spacing w:val="-3"/>
                <w:sz w:val="20"/>
              </w:rPr>
              <w:t xml:space="preserve"> </w:t>
            </w:r>
            <w:r>
              <w:rPr>
                <w:sz w:val="20"/>
              </w:rPr>
              <w:t>origin,</w:t>
            </w:r>
            <w:r>
              <w:rPr>
                <w:spacing w:val="-2"/>
                <w:sz w:val="20"/>
              </w:rPr>
              <w:t xml:space="preserve"> </w:t>
            </w:r>
            <w:r>
              <w:rPr>
                <w:sz w:val="20"/>
              </w:rPr>
              <w:t>and</w:t>
            </w:r>
            <w:r>
              <w:rPr>
                <w:spacing w:val="-2"/>
                <w:sz w:val="20"/>
              </w:rPr>
              <w:t xml:space="preserve"> </w:t>
            </w:r>
            <w:r>
              <w:rPr>
                <w:sz w:val="20"/>
              </w:rPr>
              <w:t>place</w:t>
            </w:r>
            <w:r>
              <w:rPr>
                <w:spacing w:val="-4"/>
                <w:sz w:val="20"/>
              </w:rPr>
              <w:t xml:space="preserve"> </w:t>
            </w:r>
            <w:r>
              <w:rPr>
                <w:sz w:val="20"/>
              </w:rPr>
              <w:t>of</w:t>
            </w:r>
            <w:r>
              <w:rPr>
                <w:spacing w:val="-4"/>
                <w:sz w:val="20"/>
              </w:rPr>
              <w:t xml:space="preserve"> </w:t>
            </w:r>
            <w:r>
              <w:rPr>
                <w:sz w:val="20"/>
              </w:rPr>
              <w:t>origin.</w:t>
            </w:r>
            <w:r>
              <w:rPr>
                <w:spacing w:val="-3"/>
                <w:sz w:val="20"/>
              </w:rPr>
              <w:t xml:space="preserve"> </w:t>
            </w:r>
            <w:r>
              <w:rPr>
                <w:sz w:val="20"/>
              </w:rPr>
              <w:t>Physical</w:t>
            </w:r>
            <w:r>
              <w:rPr>
                <w:spacing w:val="-3"/>
                <w:sz w:val="20"/>
              </w:rPr>
              <w:t xml:space="preserve"> </w:t>
            </w:r>
            <w:r>
              <w:rPr>
                <w:sz w:val="20"/>
              </w:rPr>
              <w:t>contact</w:t>
            </w:r>
            <w:r>
              <w:rPr>
                <w:spacing w:val="-3"/>
                <w:sz w:val="20"/>
              </w:rPr>
              <w:t xml:space="preserve"> </w:t>
            </w:r>
            <w:r>
              <w:rPr>
                <w:sz w:val="20"/>
              </w:rPr>
              <w:t>is</w:t>
            </w:r>
            <w:r>
              <w:rPr>
                <w:spacing w:val="-4"/>
                <w:sz w:val="20"/>
              </w:rPr>
              <w:t xml:space="preserve"> </w:t>
            </w:r>
            <w:r>
              <w:rPr>
                <w:sz w:val="20"/>
              </w:rPr>
              <w:t>kept</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minimum, except for a brief handshake, which may be no more than a soft touch of the palms.</w:t>
            </w:r>
          </w:p>
          <w:p w14:paraId="584467F5" w14:textId="77777777" w:rsidR="00DB6E1F" w:rsidRDefault="00F666A6">
            <w:pPr>
              <w:pStyle w:val="TableParagraph"/>
              <w:spacing w:before="121"/>
              <w:rPr>
                <w:i/>
                <w:sz w:val="20"/>
              </w:rPr>
            </w:pPr>
            <w:r>
              <w:rPr>
                <w:i/>
                <w:sz w:val="20"/>
              </w:rPr>
              <w:t>Ray</w:t>
            </w:r>
            <w:r>
              <w:rPr>
                <w:i/>
                <w:spacing w:val="-6"/>
                <w:sz w:val="20"/>
              </w:rPr>
              <w:t xml:space="preserve"> </w:t>
            </w:r>
            <w:r>
              <w:rPr>
                <w:i/>
                <w:sz w:val="20"/>
              </w:rPr>
              <w:t>Daw,</w:t>
            </w:r>
            <w:r>
              <w:rPr>
                <w:i/>
                <w:spacing w:val="-5"/>
                <w:sz w:val="20"/>
              </w:rPr>
              <w:t xml:space="preserve"> </w:t>
            </w:r>
            <w:r>
              <w:rPr>
                <w:i/>
                <w:sz w:val="20"/>
              </w:rPr>
              <w:t>Consensus</w:t>
            </w:r>
            <w:r>
              <w:rPr>
                <w:i/>
                <w:spacing w:val="-7"/>
                <w:sz w:val="20"/>
              </w:rPr>
              <w:t xml:space="preserve"> </w:t>
            </w:r>
            <w:r>
              <w:rPr>
                <w:i/>
                <w:sz w:val="20"/>
              </w:rPr>
              <w:t>Panel</w:t>
            </w:r>
            <w:r>
              <w:rPr>
                <w:i/>
                <w:spacing w:val="-6"/>
                <w:sz w:val="20"/>
              </w:rPr>
              <w:t xml:space="preserve"> </w:t>
            </w:r>
            <w:r>
              <w:rPr>
                <w:i/>
                <w:spacing w:val="-2"/>
                <w:sz w:val="20"/>
              </w:rPr>
              <w:t>Member</w:t>
            </w:r>
          </w:p>
        </w:tc>
      </w:tr>
    </w:tbl>
    <w:p w14:paraId="7F2035B2" w14:textId="77777777" w:rsidR="00DB6E1F" w:rsidRDefault="00DB6E1F">
      <w:pPr>
        <w:pStyle w:val="BodyText"/>
        <w:rPr>
          <w:sz w:val="20"/>
        </w:rPr>
      </w:pPr>
    </w:p>
    <w:p w14:paraId="11B8F37D" w14:textId="77777777" w:rsidR="00DB6E1F" w:rsidRDefault="00DB6E1F">
      <w:pPr>
        <w:pStyle w:val="BodyText"/>
        <w:rPr>
          <w:sz w:val="15"/>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4ECFBB8" w14:textId="77777777">
        <w:trPr>
          <w:trHeight w:val="525"/>
        </w:trPr>
        <w:tc>
          <w:tcPr>
            <w:tcW w:w="9350" w:type="dxa"/>
            <w:tcBorders>
              <w:top w:val="nil"/>
              <w:bottom w:val="nil"/>
            </w:tcBorders>
            <w:shd w:val="clear" w:color="auto" w:fill="050505"/>
          </w:tcPr>
          <w:p w14:paraId="7F61C5C4" w14:textId="77777777" w:rsidR="00DB6E1F" w:rsidRDefault="00F666A6">
            <w:pPr>
              <w:pStyle w:val="TableParagraph"/>
              <w:spacing w:before="114"/>
              <w:ind w:left="116"/>
              <w:jc w:val="center"/>
              <w:rPr>
                <w:sz w:val="24"/>
              </w:rPr>
            </w:pPr>
            <w:r>
              <w:rPr>
                <w:color w:val="FFFFFF"/>
                <w:sz w:val="24"/>
              </w:rPr>
              <w:t>Expert</w:t>
            </w:r>
            <w:r>
              <w:rPr>
                <w:color w:val="FFFFFF"/>
                <w:spacing w:val="-4"/>
                <w:sz w:val="24"/>
              </w:rPr>
              <w:t xml:space="preserve"> </w:t>
            </w:r>
            <w:r>
              <w:rPr>
                <w:color w:val="FFFFFF"/>
                <w:sz w:val="24"/>
              </w:rPr>
              <w:t>Comment:</w:t>
            </w:r>
            <w:r>
              <w:rPr>
                <w:color w:val="FFFFFF"/>
                <w:spacing w:val="-4"/>
                <w:sz w:val="24"/>
              </w:rPr>
              <w:t xml:space="preserve"> </w:t>
            </w:r>
            <w:r>
              <w:rPr>
                <w:color w:val="FFFFFF"/>
                <w:sz w:val="24"/>
              </w:rPr>
              <w:t>Expressing</w:t>
            </w:r>
            <w:r>
              <w:rPr>
                <w:color w:val="FFFFFF"/>
                <w:spacing w:val="-2"/>
                <w:sz w:val="24"/>
              </w:rPr>
              <w:t xml:space="preserve"> </w:t>
            </w:r>
            <w:r>
              <w:rPr>
                <w:color w:val="FFFFFF"/>
                <w:sz w:val="24"/>
              </w:rPr>
              <w:t>Empathy</w:t>
            </w:r>
            <w:r>
              <w:rPr>
                <w:color w:val="FFFFFF"/>
                <w:spacing w:val="-5"/>
                <w:sz w:val="24"/>
              </w:rPr>
              <w:t xml:space="preserve"> </w:t>
            </w:r>
            <w:r>
              <w:rPr>
                <w:color w:val="FFFFFF"/>
                <w:sz w:val="24"/>
              </w:rPr>
              <w:t>With</w:t>
            </w:r>
            <w:r>
              <w:rPr>
                <w:color w:val="FFFFFF"/>
                <w:spacing w:val="-1"/>
                <w:sz w:val="24"/>
              </w:rPr>
              <w:t xml:space="preserve"> </w:t>
            </w:r>
            <w:r>
              <w:rPr>
                <w:color w:val="FFFFFF"/>
                <w:sz w:val="24"/>
              </w:rPr>
              <w:t>African</w:t>
            </w:r>
            <w:r>
              <w:rPr>
                <w:color w:val="FFFFFF"/>
                <w:spacing w:val="-1"/>
                <w:sz w:val="24"/>
              </w:rPr>
              <w:t xml:space="preserve"> </w:t>
            </w:r>
            <w:r>
              <w:rPr>
                <w:color w:val="FFFFFF"/>
                <w:sz w:val="24"/>
              </w:rPr>
              <w:t xml:space="preserve">American </w:t>
            </w:r>
            <w:r>
              <w:rPr>
                <w:color w:val="FFFFFF"/>
                <w:spacing w:val="-2"/>
                <w:sz w:val="24"/>
              </w:rPr>
              <w:t>Clients</w:t>
            </w:r>
          </w:p>
        </w:tc>
      </w:tr>
      <w:tr w:rsidR="00DB6E1F" w14:paraId="05BBABD3" w14:textId="77777777">
        <w:trPr>
          <w:trHeight w:val="6184"/>
        </w:trPr>
        <w:tc>
          <w:tcPr>
            <w:tcW w:w="9350" w:type="dxa"/>
            <w:tcBorders>
              <w:top w:val="nil"/>
            </w:tcBorders>
          </w:tcPr>
          <w:p w14:paraId="7281A412" w14:textId="77777777" w:rsidR="00DB6E1F" w:rsidRDefault="00F666A6">
            <w:pPr>
              <w:pStyle w:val="TableParagraph"/>
              <w:spacing w:before="0"/>
              <w:rPr>
                <w:sz w:val="20"/>
              </w:rPr>
            </w:pPr>
            <w:r>
              <w:rPr>
                <w:sz w:val="20"/>
              </w:rPr>
              <w:t>One way I empathize with African American clients is, first and foremost, to be a genuine person (not just a counselor).</w:t>
            </w:r>
            <w:r>
              <w:rPr>
                <w:spacing w:val="-1"/>
                <w:sz w:val="20"/>
              </w:rPr>
              <w:t xml:space="preserve"> </w:t>
            </w:r>
            <w:r>
              <w:rPr>
                <w:sz w:val="20"/>
              </w:rPr>
              <w:t>Clients</w:t>
            </w:r>
            <w:r>
              <w:rPr>
                <w:spacing w:val="-4"/>
                <w:sz w:val="20"/>
              </w:rPr>
              <w:t xml:space="preserve"> </w:t>
            </w:r>
            <w:r>
              <w:rPr>
                <w:sz w:val="20"/>
              </w:rPr>
              <w:t>may</w:t>
            </w:r>
            <w:r>
              <w:rPr>
                <w:spacing w:val="-2"/>
                <w:sz w:val="20"/>
              </w:rPr>
              <w:t xml:space="preserve"> </w:t>
            </w:r>
            <w:r>
              <w:rPr>
                <w:sz w:val="20"/>
              </w:rPr>
              <w:t>begin the</w:t>
            </w:r>
            <w:r>
              <w:rPr>
                <w:spacing w:val="-4"/>
                <w:sz w:val="20"/>
              </w:rPr>
              <w:t xml:space="preserve"> </w:t>
            </w:r>
            <w:r>
              <w:rPr>
                <w:sz w:val="20"/>
              </w:rPr>
              <w:t>relationship</w:t>
            </w:r>
            <w:r>
              <w:rPr>
                <w:spacing w:val="-2"/>
                <w:sz w:val="20"/>
              </w:rPr>
              <w:t xml:space="preserve"> </w:t>
            </w:r>
            <w:r>
              <w:rPr>
                <w:sz w:val="20"/>
              </w:rPr>
              <w:t>asking</w:t>
            </w:r>
            <w:r>
              <w:rPr>
                <w:spacing w:val="-3"/>
                <w:sz w:val="20"/>
              </w:rPr>
              <w:t xml:space="preserve"> </w:t>
            </w:r>
            <w:r>
              <w:rPr>
                <w:sz w:val="20"/>
              </w:rPr>
              <w:t>questions</w:t>
            </w:r>
            <w:r>
              <w:rPr>
                <w:spacing w:val="-4"/>
                <w:sz w:val="20"/>
              </w:rPr>
              <w:t xml:space="preserve"> </w:t>
            </w:r>
            <w:r>
              <w:rPr>
                <w:sz w:val="20"/>
              </w:rPr>
              <w:t>about</w:t>
            </w:r>
            <w:r>
              <w:rPr>
                <w:spacing w:val="-3"/>
                <w:sz w:val="20"/>
              </w:rPr>
              <w:t xml:space="preserve"> </w:t>
            </w:r>
            <w:r>
              <w:rPr>
                <w:sz w:val="20"/>
              </w:rPr>
              <w:t>you</w:t>
            </w:r>
            <w:r>
              <w:rPr>
                <w:spacing w:val="-2"/>
                <w:sz w:val="20"/>
              </w:rPr>
              <w:t xml:space="preserve"> </w:t>
            </w:r>
            <w:r>
              <w:rPr>
                <w:sz w:val="20"/>
              </w:rPr>
              <w:t>the</w:t>
            </w:r>
            <w:r>
              <w:rPr>
                <w:spacing w:val="-4"/>
                <w:sz w:val="20"/>
              </w:rPr>
              <w:t xml:space="preserve"> </w:t>
            </w:r>
            <w:r>
              <w:rPr>
                <w:sz w:val="20"/>
              </w:rPr>
              <w:t>person,</w:t>
            </w:r>
            <w:r>
              <w:rPr>
                <w:spacing w:val="-2"/>
                <w:sz w:val="20"/>
              </w:rPr>
              <w:t xml:space="preserve"> </w:t>
            </w:r>
            <w:r>
              <w:rPr>
                <w:sz w:val="20"/>
              </w:rPr>
              <w:t>not</w:t>
            </w:r>
            <w:r>
              <w:rPr>
                <w:spacing w:val="-3"/>
                <w:sz w:val="20"/>
              </w:rPr>
              <w:t xml:space="preserve"> </w:t>
            </w:r>
            <w:r>
              <w:rPr>
                <w:sz w:val="20"/>
              </w:rPr>
              <w:t>the</w:t>
            </w:r>
            <w:r>
              <w:rPr>
                <w:spacing w:val="-4"/>
                <w:sz w:val="20"/>
              </w:rPr>
              <w:t xml:space="preserve"> </w:t>
            </w:r>
            <w:r>
              <w:rPr>
                <w:sz w:val="20"/>
              </w:rPr>
              <w:t>professional,</w:t>
            </w:r>
            <w:r>
              <w:rPr>
                <w:spacing w:val="-2"/>
                <w:sz w:val="20"/>
              </w:rPr>
              <w:t xml:space="preserve"> </w:t>
            </w:r>
            <w:r>
              <w:rPr>
                <w:sz w:val="20"/>
              </w:rPr>
              <w:t>in</w:t>
            </w:r>
            <w:r>
              <w:rPr>
                <w:spacing w:val="-2"/>
                <w:sz w:val="20"/>
              </w:rPr>
              <w:t xml:space="preserve"> </w:t>
            </w:r>
            <w:r>
              <w:rPr>
                <w:sz w:val="20"/>
              </w:rPr>
              <w:t>an attempt to locate you in the worl</w:t>
            </w:r>
            <w:r>
              <w:rPr>
                <w:sz w:val="20"/>
              </w:rPr>
              <w:t>d. It’s as if clients’ internal dialog says, “As you try to understand me, by what pathways, perspectives, life experiences, and values are you coming to that understanding of me?”</w:t>
            </w:r>
          </w:p>
          <w:p w14:paraId="72804BC2" w14:textId="77777777" w:rsidR="00DB6E1F" w:rsidRDefault="00F666A6">
            <w:pPr>
              <w:pStyle w:val="TableParagraph"/>
              <w:spacing w:before="122"/>
              <w:rPr>
                <w:sz w:val="20"/>
              </w:rPr>
            </w:pPr>
            <w:r>
              <w:rPr>
                <w:sz w:val="20"/>
              </w:rPr>
              <w:t>Typical</w:t>
            </w:r>
            <w:r>
              <w:rPr>
                <w:spacing w:val="-8"/>
                <w:sz w:val="20"/>
              </w:rPr>
              <w:t xml:space="preserve"> </w:t>
            </w:r>
            <w:r>
              <w:rPr>
                <w:sz w:val="20"/>
              </w:rPr>
              <w:t>questions</w:t>
            </w:r>
            <w:r>
              <w:rPr>
                <w:spacing w:val="-6"/>
                <w:sz w:val="20"/>
              </w:rPr>
              <w:t xml:space="preserve"> </w:t>
            </w:r>
            <w:r>
              <w:rPr>
                <w:sz w:val="20"/>
              </w:rPr>
              <w:t>my</w:t>
            </w:r>
            <w:r>
              <w:rPr>
                <w:spacing w:val="-6"/>
                <w:sz w:val="20"/>
              </w:rPr>
              <w:t xml:space="preserve"> </w:t>
            </w:r>
            <w:r>
              <w:rPr>
                <w:sz w:val="20"/>
              </w:rPr>
              <w:t>African</w:t>
            </w:r>
            <w:r>
              <w:rPr>
                <w:spacing w:val="-5"/>
                <w:sz w:val="20"/>
              </w:rPr>
              <w:t xml:space="preserve"> </w:t>
            </w:r>
            <w:r>
              <w:rPr>
                <w:sz w:val="20"/>
              </w:rPr>
              <w:t>American</w:t>
            </w:r>
            <w:r>
              <w:rPr>
                <w:spacing w:val="-6"/>
                <w:sz w:val="20"/>
              </w:rPr>
              <w:t xml:space="preserve"> </w:t>
            </w:r>
            <w:r>
              <w:rPr>
                <w:sz w:val="20"/>
              </w:rPr>
              <w:t>clients</w:t>
            </w:r>
            <w:r>
              <w:rPr>
                <w:spacing w:val="-8"/>
                <w:sz w:val="20"/>
              </w:rPr>
              <w:t xml:space="preserve"> </w:t>
            </w:r>
            <w:r>
              <w:rPr>
                <w:sz w:val="20"/>
              </w:rPr>
              <w:t>have</w:t>
            </w:r>
            <w:r>
              <w:rPr>
                <w:spacing w:val="-8"/>
                <w:sz w:val="20"/>
              </w:rPr>
              <w:t xml:space="preserve"> </w:t>
            </w:r>
            <w:r>
              <w:rPr>
                <w:sz w:val="20"/>
              </w:rPr>
              <w:t>asked</w:t>
            </w:r>
            <w:r>
              <w:rPr>
                <w:spacing w:val="-7"/>
                <w:sz w:val="20"/>
              </w:rPr>
              <w:t xml:space="preserve"> </w:t>
            </w:r>
            <w:r>
              <w:rPr>
                <w:sz w:val="20"/>
              </w:rPr>
              <w:t>me</w:t>
            </w:r>
            <w:r>
              <w:rPr>
                <w:spacing w:val="-8"/>
                <w:sz w:val="20"/>
              </w:rPr>
              <w:t xml:space="preserve"> </w:t>
            </w:r>
            <w:r>
              <w:rPr>
                <w:spacing w:val="-4"/>
                <w:sz w:val="20"/>
              </w:rPr>
              <w:t>are:</w:t>
            </w:r>
          </w:p>
          <w:p w14:paraId="3EE7502E" w14:textId="77777777" w:rsidR="00DB6E1F" w:rsidRDefault="00F666A6">
            <w:pPr>
              <w:pStyle w:val="TableParagraph"/>
              <w:numPr>
                <w:ilvl w:val="0"/>
                <w:numId w:val="75"/>
              </w:numPr>
              <w:tabs>
                <w:tab w:val="left" w:pos="467"/>
                <w:tab w:val="left" w:pos="468"/>
              </w:tabs>
              <w:spacing w:before="117"/>
              <w:ind w:hanging="361"/>
              <w:rPr>
                <w:sz w:val="20"/>
              </w:rPr>
            </w:pPr>
            <w:r>
              <w:rPr>
                <w:sz w:val="20"/>
              </w:rPr>
              <w:t>“Are</w:t>
            </w:r>
            <w:r>
              <w:rPr>
                <w:spacing w:val="-5"/>
                <w:sz w:val="20"/>
              </w:rPr>
              <w:t xml:space="preserve"> </w:t>
            </w:r>
            <w:r>
              <w:rPr>
                <w:sz w:val="20"/>
              </w:rPr>
              <w:t>you</w:t>
            </w:r>
            <w:r>
              <w:rPr>
                <w:spacing w:val="-2"/>
                <w:sz w:val="20"/>
              </w:rPr>
              <w:t xml:space="preserve"> Christian?”</w:t>
            </w:r>
          </w:p>
          <w:p w14:paraId="4AFBD48B" w14:textId="77777777" w:rsidR="00DB6E1F" w:rsidRDefault="00F666A6">
            <w:pPr>
              <w:pStyle w:val="TableParagraph"/>
              <w:numPr>
                <w:ilvl w:val="0"/>
                <w:numId w:val="75"/>
              </w:numPr>
              <w:tabs>
                <w:tab w:val="left" w:pos="467"/>
                <w:tab w:val="left" w:pos="468"/>
              </w:tabs>
              <w:spacing w:before="40"/>
              <w:ind w:hanging="361"/>
              <w:rPr>
                <w:sz w:val="20"/>
              </w:rPr>
            </w:pPr>
            <w:r>
              <w:rPr>
                <w:sz w:val="20"/>
              </w:rPr>
              <w:t>“Where</w:t>
            </w:r>
            <w:r>
              <w:rPr>
                <w:spacing w:val="-6"/>
                <w:sz w:val="20"/>
              </w:rPr>
              <w:t xml:space="preserve"> </w:t>
            </w:r>
            <w:r>
              <w:rPr>
                <w:sz w:val="20"/>
              </w:rPr>
              <w:t>are</w:t>
            </w:r>
            <w:r>
              <w:rPr>
                <w:spacing w:val="-5"/>
                <w:sz w:val="20"/>
              </w:rPr>
              <w:t xml:space="preserve"> </w:t>
            </w:r>
            <w:r>
              <w:rPr>
                <w:sz w:val="20"/>
              </w:rPr>
              <w:t>you</w:t>
            </w:r>
            <w:r>
              <w:rPr>
                <w:spacing w:val="-4"/>
                <w:sz w:val="20"/>
              </w:rPr>
              <w:t xml:space="preserve"> </w:t>
            </w:r>
            <w:r>
              <w:rPr>
                <w:spacing w:val="-2"/>
                <w:sz w:val="20"/>
              </w:rPr>
              <w:t>from?”</w:t>
            </w:r>
          </w:p>
          <w:p w14:paraId="3A15BE8D" w14:textId="77777777" w:rsidR="00DB6E1F" w:rsidRDefault="00F666A6">
            <w:pPr>
              <w:pStyle w:val="TableParagraph"/>
              <w:numPr>
                <w:ilvl w:val="0"/>
                <w:numId w:val="75"/>
              </w:numPr>
              <w:tabs>
                <w:tab w:val="left" w:pos="467"/>
                <w:tab w:val="left" w:pos="468"/>
              </w:tabs>
              <w:spacing w:before="40"/>
              <w:ind w:hanging="361"/>
              <w:rPr>
                <w:sz w:val="20"/>
              </w:rPr>
            </w:pPr>
            <w:r>
              <w:rPr>
                <w:sz w:val="20"/>
              </w:rPr>
              <w:t>“What</w:t>
            </w:r>
            <w:r>
              <w:rPr>
                <w:spacing w:val="-5"/>
                <w:sz w:val="20"/>
              </w:rPr>
              <w:t xml:space="preserve"> </w:t>
            </w:r>
            <w:r>
              <w:rPr>
                <w:sz w:val="20"/>
              </w:rPr>
              <w:t>part</w:t>
            </w:r>
            <w:r>
              <w:rPr>
                <w:spacing w:val="-4"/>
                <w:sz w:val="20"/>
              </w:rPr>
              <w:t xml:space="preserve"> </w:t>
            </w:r>
            <w:r>
              <w:rPr>
                <w:sz w:val="20"/>
              </w:rPr>
              <w:t>of</w:t>
            </w:r>
            <w:r>
              <w:rPr>
                <w:spacing w:val="-5"/>
                <w:sz w:val="20"/>
              </w:rPr>
              <w:t xml:space="preserve"> </w:t>
            </w:r>
            <w:r>
              <w:rPr>
                <w:sz w:val="20"/>
              </w:rPr>
              <w:t>town</w:t>
            </w:r>
            <w:r>
              <w:rPr>
                <w:spacing w:val="-3"/>
                <w:sz w:val="20"/>
              </w:rPr>
              <w:t xml:space="preserve"> </w:t>
            </w:r>
            <w:r>
              <w:rPr>
                <w:sz w:val="20"/>
              </w:rPr>
              <w:t>do</w:t>
            </w:r>
            <w:r>
              <w:rPr>
                <w:spacing w:val="-4"/>
                <w:sz w:val="20"/>
              </w:rPr>
              <w:t xml:space="preserve"> </w:t>
            </w:r>
            <w:r>
              <w:rPr>
                <w:sz w:val="20"/>
              </w:rPr>
              <w:t>you</w:t>
            </w:r>
            <w:r>
              <w:rPr>
                <w:spacing w:val="-3"/>
                <w:sz w:val="20"/>
              </w:rPr>
              <w:t xml:space="preserve"> </w:t>
            </w:r>
            <w:r>
              <w:rPr>
                <w:sz w:val="20"/>
              </w:rPr>
              <w:t>live</w:t>
            </w:r>
            <w:r>
              <w:rPr>
                <w:spacing w:val="-5"/>
                <w:sz w:val="20"/>
              </w:rPr>
              <w:t xml:space="preserve"> </w:t>
            </w:r>
            <w:r>
              <w:rPr>
                <w:spacing w:val="-4"/>
                <w:sz w:val="20"/>
              </w:rPr>
              <w:t>in?”</w:t>
            </w:r>
          </w:p>
          <w:p w14:paraId="6F3BE9D5" w14:textId="77777777" w:rsidR="00DB6E1F" w:rsidRDefault="00F666A6">
            <w:pPr>
              <w:pStyle w:val="TableParagraph"/>
              <w:numPr>
                <w:ilvl w:val="0"/>
                <w:numId w:val="75"/>
              </w:numPr>
              <w:tabs>
                <w:tab w:val="left" w:pos="468"/>
                <w:tab w:val="left" w:pos="469"/>
              </w:tabs>
              <w:spacing w:before="41"/>
              <w:ind w:left="468" w:hanging="361"/>
              <w:rPr>
                <w:sz w:val="20"/>
              </w:rPr>
            </w:pPr>
            <w:r>
              <w:rPr>
                <w:sz w:val="20"/>
              </w:rPr>
              <w:t>“Who</w:t>
            </w:r>
            <w:r>
              <w:rPr>
                <w:spacing w:val="-4"/>
                <w:sz w:val="20"/>
              </w:rPr>
              <w:t xml:space="preserve"> </w:t>
            </w:r>
            <w:r>
              <w:rPr>
                <w:sz w:val="20"/>
              </w:rPr>
              <w:t>are</w:t>
            </w:r>
            <w:r>
              <w:rPr>
                <w:spacing w:val="-5"/>
                <w:sz w:val="20"/>
              </w:rPr>
              <w:t xml:space="preserve"> </w:t>
            </w:r>
            <w:r>
              <w:rPr>
                <w:sz w:val="20"/>
              </w:rPr>
              <w:t>your</w:t>
            </w:r>
            <w:r>
              <w:rPr>
                <w:spacing w:val="-4"/>
                <w:sz w:val="20"/>
              </w:rPr>
              <w:t xml:space="preserve"> </w:t>
            </w:r>
            <w:r>
              <w:rPr>
                <w:spacing w:val="-2"/>
                <w:sz w:val="20"/>
              </w:rPr>
              <w:t>folks?”</w:t>
            </w:r>
          </w:p>
          <w:p w14:paraId="68867C93" w14:textId="77777777" w:rsidR="00DB6E1F" w:rsidRDefault="00F666A6">
            <w:pPr>
              <w:pStyle w:val="TableParagraph"/>
              <w:numPr>
                <w:ilvl w:val="0"/>
                <w:numId w:val="75"/>
              </w:numPr>
              <w:tabs>
                <w:tab w:val="left" w:pos="468"/>
                <w:tab w:val="left" w:pos="469"/>
              </w:tabs>
              <w:spacing w:before="40"/>
              <w:ind w:left="468" w:hanging="361"/>
              <w:rPr>
                <w:sz w:val="20"/>
              </w:rPr>
            </w:pPr>
            <w:r>
              <w:rPr>
                <w:sz w:val="20"/>
              </w:rPr>
              <w:t>“Are</w:t>
            </w:r>
            <w:r>
              <w:rPr>
                <w:spacing w:val="-5"/>
                <w:sz w:val="20"/>
              </w:rPr>
              <w:t xml:space="preserve"> </w:t>
            </w:r>
            <w:r>
              <w:rPr>
                <w:sz w:val="20"/>
              </w:rPr>
              <w:t>you</w:t>
            </w:r>
            <w:r>
              <w:rPr>
                <w:spacing w:val="-2"/>
                <w:sz w:val="20"/>
              </w:rPr>
              <w:t xml:space="preserve"> married?”</w:t>
            </w:r>
          </w:p>
          <w:p w14:paraId="0A65F856" w14:textId="77777777" w:rsidR="00DB6E1F" w:rsidRDefault="00F666A6">
            <w:pPr>
              <w:pStyle w:val="TableParagraph"/>
              <w:spacing w:before="39"/>
              <w:ind w:left="108" w:right="169"/>
              <w:rPr>
                <w:sz w:val="20"/>
              </w:rPr>
            </w:pPr>
            <w:r>
              <w:rPr>
                <w:sz w:val="20"/>
              </w:rPr>
              <w:t>All</w:t>
            </w:r>
            <w:r>
              <w:rPr>
                <w:spacing w:val="-3"/>
                <w:sz w:val="20"/>
              </w:rPr>
              <w:t xml:space="preserve"> </w:t>
            </w:r>
            <w:r>
              <w:rPr>
                <w:sz w:val="20"/>
              </w:rPr>
              <w:t>of</w:t>
            </w:r>
            <w:r>
              <w:rPr>
                <w:spacing w:val="-4"/>
                <w:sz w:val="20"/>
              </w:rPr>
              <w:t xml:space="preserve"> </w:t>
            </w:r>
            <w:r>
              <w:rPr>
                <w:sz w:val="20"/>
              </w:rPr>
              <w:t>these</w:t>
            </w:r>
            <w:r>
              <w:rPr>
                <w:spacing w:val="-4"/>
                <w:sz w:val="20"/>
              </w:rPr>
              <w:t xml:space="preserve"> </w:t>
            </w:r>
            <w:r>
              <w:rPr>
                <w:sz w:val="20"/>
              </w:rPr>
              <w:t>are</w:t>
            </w:r>
            <w:r>
              <w:rPr>
                <w:spacing w:val="-4"/>
                <w:sz w:val="20"/>
              </w:rPr>
              <w:t xml:space="preserve"> </w:t>
            </w:r>
            <w:r>
              <w:rPr>
                <w:sz w:val="20"/>
              </w:rPr>
              <w:t>reasonable</w:t>
            </w:r>
            <w:r>
              <w:rPr>
                <w:spacing w:val="-4"/>
                <w:sz w:val="20"/>
              </w:rPr>
              <w:t xml:space="preserve"> </w:t>
            </w:r>
            <w:r>
              <w:rPr>
                <w:sz w:val="20"/>
              </w:rPr>
              <w:t>questions</w:t>
            </w:r>
            <w:r>
              <w:rPr>
                <w:spacing w:val="-4"/>
                <w:sz w:val="20"/>
              </w:rPr>
              <w:t xml:space="preserve"> </w:t>
            </w:r>
            <w:r>
              <w:rPr>
                <w:sz w:val="20"/>
              </w:rPr>
              <w:t>that</w:t>
            </w:r>
            <w:r>
              <w:rPr>
                <w:spacing w:val="-3"/>
                <w:sz w:val="20"/>
              </w:rPr>
              <w:t xml:space="preserve"> </w:t>
            </w:r>
            <w:r>
              <w:rPr>
                <w:sz w:val="20"/>
              </w:rPr>
              <w:t>work</w:t>
            </w:r>
            <w:r>
              <w:rPr>
                <w:spacing w:val="-2"/>
                <w:sz w:val="20"/>
              </w:rPr>
              <w:t xml:space="preserve"> </w:t>
            </w:r>
            <w:r>
              <w:rPr>
                <w:sz w:val="20"/>
              </w:rPr>
              <w:t>to</w:t>
            </w:r>
            <w:r>
              <w:rPr>
                <w:spacing w:val="-3"/>
                <w:sz w:val="20"/>
              </w:rPr>
              <w:t xml:space="preserve"> </w:t>
            </w:r>
            <w:r>
              <w:rPr>
                <w:sz w:val="20"/>
              </w:rPr>
              <w:t>establish a</w:t>
            </w:r>
            <w:r>
              <w:rPr>
                <w:spacing w:val="-3"/>
                <w:sz w:val="20"/>
              </w:rPr>
              <w:t xml:space="preserve"> </w:t>
            </w:r>
            <w:r>
              <w:rPr>
                <w:sz w:val="20"/>
              </w:rPr>
              <w:t>real,</w:t>
            </w:r>
            <w:r>
              <w:rPr>
                <w:spacing w:val="-3"/>
                <w:sz w:val="20"/>
              </w:rPr>
              <w:t xml:space="preserve"> </w:t>
            </w:r>
            <w:r>
              <w:rPr>
                <w:sz w:val="20"/>
              </w:rPr>
              <w:t>not</w:t>
            </w:r>
            <w:r>
              <w:rPr>
                <w:spacing w:val="-3"/>
                <w:sz w:val="20"/>
              </w:rPr>
              <w:t xml:space="preserve"> </w:t>
            </w:r>
            <w:r>
              <w:rPr>
                <w:sz w:val="20"/>
              </w:rPr>
              <w:t>contrived,</w:t>
            </w:r>
            <w:r>
              <w:rPr>
                <w:spacing w:val="-2"/>
                <w:sz w:val="20"/>
              </w:rPr>
              <w:t xml:space="preserve"> </w:t>
            </w:r>
            <w:r>
              <w:rPr>
                <w:sz w:val="20"/>
              </w:rPr>
              <w:t>relationship</w:t>
            </w:r>
            <w:r>
              <w:rPr>
                <w:spacing w:val="-2"/>
                <w:sz w:val="20"/>
              </w:rPr>
              <w:t xml:space="preserve"> </w:t>
            </w:r>
            <w:r>
              <w:rPr>
                <w:sz w:val="20"/>
              </w:rPr>
              <w:t>with</w:t>
            </w:r>
            <w:r>
              <w:rPr>
                <w:spacing w:val="-2"/>
                <w:sz w:val="20"/>
              </w:rPr>
              <w:t xml:space="preserve"> </w:t>
            </w:r>
            <w:r>
              <w:rPr>
                <w:sz w:val="20"/>
              </w:rPr>
              <w:t>the counselor. As part of a democratic partnership, clients have a right and, in some instances, a cultural expectation to know about the helper.</w:t>
            </w:r>
          </w:p>
          <w:p w14:paraId="04F4A20F" w14:textId="77777777" w:rsidR="00DB6E1F" w:rsidRDefault="00F666A6">
            <w:pPr>
              <w:pStyle w:val="TableParagraph"/>
              <w:spacing w:before="120"/>
              <w:ind w:left="108" w:right="127"/>
              <w:rPr>
                <w:sz w:val="20"/>
              </w:rPr>
            </w:pPr>
            <w:r>
              <w:rPr>
                <w:sz w:val="20"/>
              </w:rPr>
              <w:t>On another level, many African Americans are very spiritual people. This spirituality is expressed and practic</w:t>
            </w:r>
            <w:r>
              <w:rPr>
                <w:sz w:val="20"/>
              </w:rPr>
              <w:t>ed in ways that supersede religious affiliations. Young people pat their chests and say, “I feel you,” as a way to describe</w:t>
            </w:r>
            <w:r>
              <w:rPr>
                <w:spacing w:val="-4"/>
                <w:sz w:val="20"/>
              </w:rPr>
              <w:t xml:space="preserve"> </w:t>
            </w:r>
            <w:r>
              <w:rPr>
                <w:sz w:val="20"/>
              </w:rPr>
              <w:t>this</w:t>
            </w:r>
            <w:r>
              <w:rPr>
                <w:spacing w:val="-4"/>
                <w:sz w:val="20"/>
              </w:rPr>
              <w:t xml:space="preserve"> </w:t>
            </w:r>
            <w:r>
              <w:rPr>
                <w:sz w:val="20"/>
              </w:rPr>
              <w:t>sense</w:t>
            </w:r>
            <w:r>
              <w:rPr>
                <w:spacing w:val="-4"/>
                <w:sz w:val="20"/>
              </w:rPr>
              <w:t xml:space="preserve"> </w:t>
            </w:r>
            <w:r>
              <w:rPr>
                <w:sz w:val="20"/>
              </w:rPr>
              <w:t>of</w:t>
            </w:r>
            <w:r>
              <w:rPr>
                <w:spacing w:val="-4"/>
                <w:sz w:val="20"/>
              </w:rPr>
              <w:t xml:space="preserve"> </w:t>
            </w:r>
            <w:r>
              <w:rPr>
                <w:sz w:val="20"/>
              </w:rPr>
              <w:t>empathy.</w:t>
            </w:r>
            <w:r>
              <w:rPr>
                <w:spacing w:val="-3"/>
                <w:sz w:val="20"/>
              </w:rPr>
              <w:t xml:space="preserve"> </w:t>
            </w:r>
            <w:r>
              <w:rPr>
                <w:sz w:val="20"/>
              </w:rPr>
              <w:t>Understanding</w:t>
            </w:r>
            <w:r>
              <w:rPr>
                <w:spacing w:val="-3"/>
                <w:sz w:val="20"/>
              </w:rPr>
              <w:t xml:space="preserve"> </w:t>
            </w:r>
            <w:r>
              <w:rPr>
                <w:sz w:val="20"/>
              </w:rPr>
              <w:t>and</w:t>
            </w:r>
            <w:r>
              <w:rPr>
                <w:spacing w:val="-2"/>
                <w:sz w:val="20"/>
              </w:rPr>
              <w:t xml:space="preserve"> </w:t>
            </w:r>
            <w:r>
              <w:rPr>
                <w:sz w:val="20"/>
              </w:rPr>
              <w:t>working</w:t>
            </w:r>
            <w:r>
              <w:rPr>
                <w:spacing w:val="-3"/>
                <w:sz w:val="20"/>
              </w:rPr>
              <w:t xml:space="preserve"> </w:t>
            </w:r>
            <w:r>
              <w:rPr>
                <w:sz w:val="20"/>
              </w:rPr>
              <w:t>with</w:t>
            </w:r>
            <w:r>
              <w:rPr>
                <w:spacing w:val="-2"/>
                <w:sz w:val="20"/>
              </w:rPr>
              <w:t xml:space="preserve"> </w:t>
            </w:r>
            <w:r>
              <w:rPr>
                <w:sz w:val="20"/>
              </w:rPr>
              <w:t>this</w:t>
            </w:r>
            <w:r>
              <w:rPr>
                <w:spacing w:val="-4"/>
                <w:sz w:val="20"/>
              </w:rPr>
              <w:t xml:space="preserve"> </w:t>
            </w:r>
            <w:r>
              <w:rPr>
                <w:sz w:val="20"/>
              </w:rPr>
              <w:t>can</w:t>
            </w:r>
            <w:r>
              <w:rPr>
                <w:spacing w:val="-2"/>
                <w:sz w:val="20"/>
              </w:rPr>
              <w:t xml:space="preserve"> </w:t>
            </w:r>
            <w:r>
              <w:rPr>
                <w:sz w:val="20"/>
              </w:rPr>
              <w:t>enhance</w:t>
            </w:r>
            <w:r>
              <w:rPr>
                <w:spacing w:val="-4"/>
                <w:sz w:val="20"/>
              </w:rPr>
              <w:t xml:space="preserve"> </w:t>
            </w:r>
            <w:r>
              <w:rPr>
                <w:sz w:val="20"/>
              </w:rPr>
              <w:t>the</w:t>
            </w:r>
            <w:r>
              <w:rPr>
                <w:spacing w:val="-4"/>
                <w:sz w:val="20"/>
              </w:rPr>
              <w:t xml:space="preserve"> </w:t>
            </w:r>
            <w:r>
              <w:rPr>
                <w:sz w:val="20"/>
              </w:rPr>
              <w:t>counselor’s</w:t>
            </w:r>
            <w:r>
              <w:rPr>
                <w:spacing w:val="-4"/>
                <w:sz w:val="20"/>
              </w:rPr>
              <w:t xml:space="preserve"> </w:t>
            </w:r>
            <w:r>
              <w:rPr>
                <w:sz w:val="20"/>
              </w:rPr>
              <w:t>expression</w:t>
            </w:r>
            <w:r>
              <w:rPr>
                <w:spacing w:val="-2"/>
                <w:sz w:val="20"/>
              </w:rPr>
              <w:t xml:space="preserve"> </w:t>
            </w:r>
            <w:r>
              <w:rPr>
                <w:sz w:val="20"/>
              </w:rPr>
              <w:t>of empathy. In other words, the therapeutic counselor‒client alliance can be deepened, permitting another level of empathic connection that some might call an intuitive understanding and others might call a spiritual connection to each client. What emerges</w:t>
            </w:r>
            <w:r>
              <w:rPr>
                <w:sz w:val="20"/>
              </w:rPr>
              <w:t xml:space="preserve"> is a therapeutic alliance—a spiritual connection—that goes beyond what</w:t>
            </w:r>
            <w:r>
              <w:rPr>
                <w:spacing w:val="-2"/>
                <w:sz w:val="20"/>
              </w:rPr>
              <w:t xml:space="preserve"> </w:t>
            </w:r>
            <w:r>
              <w:rPr>
                <w:sz w:val="20"/>
              </w:rPr>
              <w:t>mere</w:t>
            </w:r>
            <w:r>
              <w:rPr>
                <w:spacing w:val="-3"/>
                <w:sz w:val="20"/>
              </w:rPr>
              <w:t xml:space="preserve"> </w:t>
            </w:r>
            <w:r>
              <w:rPr>
                <w:sz w:val="20"/>
              </w:rPr>
              <w:t>words</w:t>
            </w:r>
            <w:r>
              <w:rPr>
                <w:spacing w:val="-3"/>
                <w:sz w:val="20"/>
              </w:rPr>
              <w:t xml:space="preserve"> </w:t>
            </w:r>
            <w:r>
              <w:rPr>
                <w:sz w:val="20"/>
              </w:rPr>
              <w:t>can say.</w:t>
            </w:r>
            <w:r>
              <w:rPr>
                <w:spacing w:val="-2"/>
                <w:sz w:val="20"/>
              </w:rPr>
              <w:t xml:space="preserve"> </w:t>
            </w:r>
            <w:r>
              <w:rPr>
                <w:sz w:val="20"/>
              </w:rPr>
              <w:t>The</w:t>
            </w:r>
            <w:r>
              <w:rPr>
                <w:spacing w:val="-3"/>
                <w:sz w:val="20"/>
              </w:rPr>
              <w:t xml:space="preserve"> </w:t>
            </w:r>
            <w:r>
              <w:rPr>
                <w:sz w:val="20"/>
              </w:rPr>
              <w:t>more</w:t>
            </w:r>
            <w:r>
              <w:rPr>
                <w:spacing w:val="-3"/>
                <w:sz w:val="20"/>
              </w:rPr>
              <w:t xml:space="preserve"> </w:t>
            </w:r>
            <w:r>
              <w:rPr>
                <w:sz w:val="20"/>
              </w:rPr>
              <w:t>counselors</w:t>
            </w:r>
            <w:r>
              <w:rPr>
                <w:spacing w:val="-3"/>
                <w:sz w:val="20"/>
              </w:rPr>
              <w:t xml:space="preserve"> </w:t>
            </w:r>
            <w:r>
              <w:rPr>
                <w:sz w:val="20"/>
              </w:rPr>
              <w:t>express</w:t>
            </w:r>
            <w:r>
              <w:rPr>
                <w:spacing w:val="-3"/>
                <w:sz w:val="20"/>
              </w:rPr>
              <w:t xml:space="preserve"> </w:t>
            </w:r>
            <w:r>
              <w:rPr>
                <w:sz w:val="20"/>
              </w:rPr>
              <w:t>that</w:t>
            </w:r>
            <w:r>
              <w:rPr>
                <w:spacing w:val="-2"/>
                <w:sz w:val="20"/>
              </w:rPr>
              <w:t xml:space="preserve"> </w:t>
            </w:r>
            <w:r>
              <w:rPr>
                <w:sz w:val="20"/>
              </w:rPr>
              <w:t>side</w:t>
            </w:r>
            <w:r>
              <w:rPr>
                <w:spacing w:val="-3"/>
                <w:sz w:val="20"/>
              </w:rPr>
              <w:t xml:space="preserve"> </w:t>
            </w:r>
            <w:r>
              <w:rPr>
                <w:sz w:val="20"/>
              </w:rPr>
              <w:t>of</w:t>
            </w:r>
            <w:r>
              <w:rPr>
                <w:spacing w:val="-3"/>
                <w:sz w:val="20"/>
              </w:rPr>
              <w:t xml:space="preserve"> </w:t>
            </w:r>
            <w:r>
              <w:rPr>
                <w:sz w:val="20"/>
              </w:rPr>
              <w:t>themselves, whether</w:t>
            </w:r>
            <w:r>
              <w:rPr>
                <w:spacing w:val="-2"/>
                <w:sz w:val="20"/>
              </w:rPr>
              <w:t xml:space="preserve"> </w:t>
            </w:r>
            <w:r>
              <w:rPr>
                <w:sz w:val="20"/>
              </w:rPr>
              <w:t>they</w:t>
            </w:r>
            <w:r>
              <w:rPr>
                <w:spacing w:val="-1"/>
                <w:sz w:val="20"/>
              </w:rPr>
              <w:t xml:space="preserve"> </w:t>
            </w:r>
            <w:r>
              <w:rPr>
                <w:sz w:val="20"/>
              </w:rPr>
              <w:t>call</w:t>
            </w:r>
            <w:r>
              <w:rPr>
                <w:spacing w:val="-2"/>
                <w:sz w:val="20"/>
              </w:rPr>
              <w:t xml:space="preserve"> </w:t>
            </w:r>
            <w:r>
              <w:rPr>
                <w:sz w:val="20"/>
              </w:rPr>
              <w:t>it</w:t>
            </w:r>
            <w:r>
              <w:rPr>
                <w:spacing w:val="-2"/>
                <w:sz w:val="20"/>
              </w:rPr>
              <w:t xml:space="preserve"> </w:t>
            </w:r>
            <w:r>
              <w:rPr>
                <w:sz w:val="20"/>
              </w:rPr>
              <w:t>intuition</w:t>
            </w:r>
            <w:r>
              <w:rPr>
                <w:spacing w:val="-1"/>
                <w:sz w:val="20"/>
              </w:rPr>
              <w:t xml:space="preserve"> </w:t>
            </w:r>
            <w:r>
              <w:rPr>
                <w:sz w:val="20"/>
              </w:rPr>
              <w:t>or spirituality, the more intense the empathic connection the African American c</w:t>
            </w:r>
            <w:r>
              <w:rPr>
                <w:sz w:val="20"/>
              </w:rPr>
              <w:t>lient will feel.</w:t>
            </w:r>
          </w:p>
          <w:p w14:paraId="37F9D05F" w14:textId="77777777" w:rsidR="00DB6E1F" w:rsidRDefault="00F666A6">
            <w:pPr>
              <w:pStyle w:val="TableParagraph"/>
              <w:spacing w:before="121"/>
              <w:ind w:left="108"/>
              <w:rPr>
                <w:i/>
                <w:sz w:val="20"/>
              </w:rPr>
            </w:pPr>
            <w:r>
              <w:rPr>
                <w:i/>
                <w:sz w:val="20"/>
              </w:rPr>
              <w:t>Cheryl</w:t>
            </w:r>
            <w:r>
              <w:rPr>
                <w:i/>
                <w:spacing w:val="-7"/>
                <w:sz w:val="20"/>
              </w:rPr>
              <w:t xml:space="preserve"> </w:t>
            </w:r>
            <w:r>
              <w:rPr>
                <w:i/>
                <w:sz w:val="20"/>
              </w:rPr>
              <w:t>Grills,</w:t>
            </w:r>
            <w:r>
              <w:rPr>
                <w:i/>
                <w:spacing w:val="-7"/>
                <w:sz w:val="20"/>
              </w:rPr>
              <w:t xml:space="preserve"> </w:t>
            </w:r>
            <w:r>
              <w:rPr>
                <w:i/>
                <w:sz w:val="20"/>
              </w:rPr>
              <w:t>Ph.D.,</w:t>
            </w:r>
            <w:r>
              <w:rPr>
                <w:i/>
                <w:spacing w:val="-7"/>
                <w:sz w:val="20"/>
              </w:rPr>
              <w:t xml:space="preserve"> </w:t>
            </w:r>
            <w:r>
              <w:rPr>
                <w:i/>
                <w:sz w:val="20"/>
              </w:rPr>
              <w:t>Consensus</w:t>
            </w:r>
            <w:r>
              <w:rPr>
                <w:i/>
                <w:spacing w:val="-6"/>
                <w:sz w:val="20"/>
              </w:rPr>
              <w:t xml:space="preserve"> </w:t>
            </w:r>
            <w:r>
              <w:rPr>
                <w:i/>
                <w:sz w:val="20"/>
              </w:rPr>
              <w:t>Panel</w:t>
            </w:r>
            <w:r>
              <w:rPr>
                <w:i/>
                <w:spacing w:val="-8"/>
                <w:sz w:val="20"/>
              </w:rPr>
              <w:t xml:space="preserve"> </w:t>
            </w:r>
            <w:r>
              <w:rPr>
                <w:i/>
                <w:spacing w:val="-2"/>
                <w:sz w:val="20"/>
              </w:rPr>
              <w:t>Member</w:t>
            </w:r>
          </w:p>
        </w:tc>
      </w:tr>
    </w:tbl>
    <w:p w14:paraId="0BBB72EE" w14:textId="77777777" w:rsidR="00DB6E1F" w:rsidRDefault="00DB6E1F">
      <w:pPr>
        <w:rPr>
          <w:sz w:val="20"/>
        </w:rPr>
        <w:sectPr w:rsidR="00DB6E1F">
          <w:pgSz w:w="12240" w:h="15840"/>
          <w:pgMar w:top="1200" w:right="0" w:bottom="780" w:left="0" w:header="763" w:footer="585" w:gutter="0"/>
          <w:cols w:space="720"/>
        </w:sectPr>
      </w:pPr>
    </w:p>
    <w:p w14:paraId="3134CD8F" w14:textId="77777777" w:rsidR="00DB6E1F" w:rsidRDefault="00DB6E1F">
      <w:pPr>
        <w:pStyle w:val="BodyText"/>
        <w:spacing w:before="8"/>
        <w:rPr>
          <w:sz w:val="14"/>
        </w:rPr>
      </w:pPr>
    </w:p>
    <w:p w14:paraId="51BEAA29" w14:textId="77777777" w:rsidR="00DB6E1F" w:rsidRDefault="00F666A6">
      <w:pPr>
        <w:spacing w:before="56"/>
        <w:ind w:left="1439" w:right="1465"/>
      </w:pPr>
      <w:r>
        <w:t>Reflective listening is not as easy as it sounds. It is not simply a matter of being quiet while the client is speaking.</w:t>
      </w:r>
      <w:r>
        <w:rPr>
          <w:spacing w:val="-2"/>
        </w:rPr>
        <w:t xml:space="preserve"> </w:t>
      </w:r>
      <w:r>
        <w:rPr>
          <w:b/>
        </w:rPr>
        <w:t>Reflective</w:t>
      </w:r>
      <w:r>
        <w:rPr>
          <w:b/>
          <w:spacing w:val="-5"/>
        </w:rPr>
        <w:t xml:space="preserve"> </w:t>
      </w:r>
      <w:r>
        <w:rPr>
          <w:b/>
        </w:rPr>
        <w:t>listening</w:t>
      </w:r>
      <w:r>
        <w:rPr>
          <w:b/>
          <w:spacing w:val="-1"/>
        </w:rPr>
        <w:t xml:space="preserve"> </w:t>
      </w:r>
      <w:r>
        <w:rPr>
          <w:b/>
        </w:rPr>
        <w:t>requires</w:t>
      </w:r>
      <w:r>
        <w:rPr>
          <w:b/>
          <w:spacing w:val="-4"/>
        </w:rPr>
        <w:t xml:space="preserve"> </w:t>
      </w:r>
      <w:r>
        <w:rPr>
          <w:b/>
        </w:rPr>
        <w:t>you</w:t>
      </w:r>
      <w:r>
        <w:rPr>
          <w:b/>
          <w:spacing w:val="-3"/>
        </w:rPr>
        <w:t xml:space="preserve"> </w:t>
      </w:r>
      <w:r>
        <w:rPr>
          <w:b/>
        </w:rPr>
        <w:t>to</w:t>
      </w:r>
      <w:r>
        <w:rPr>
          <w:b/>
          <w:spacing w:val="-3"/>
        </w:rPr>
        <w:t xml:space="preserve"> </w:t>
      </w:r>
      <w:r>
        <w:rPr>
          <w:b/>
        </w:rPr>
        <w:t>make</w:t>
      </w:r>
      <w:r>
        <w:rPr>
          <w:b/>
          <w:spacing w:val="-3"/>
        </w:rPr>
        <w:t xml:space="preserve"> </w:t>
      </w:r>
      <w:r>
        <w:rPr>
          <w:b/>
        </w:rPr>
        <w:t>a</w:t>
      </w:r>
      <w:r>
        <w:rPr>
          <w:b/>
          <w:spacing w:val="-5"/>
        </w:rPr>
        <w:t xml:space="preserve"> </w:t>
      </w:r>
      <w:r>
        <w:rPr>
          <w:b/>
        </w:rPr>
        <w:t>mental</w:t>
      </w:r>
      <w:r>
        <w:rPr>
          <w:b/>
          <w:spacing w:val="-1"/>
        </w:rPr>
        <w:t xml:space="preserve"> </w:t>
      </w:r>
      <w:r>
        <w:rPr>
          <w:b/>
        </w:rPr>
        <w:t>hypothesis</w:t>
      </w:r>
      <w:r>
        <w:rPr>
          <w:b/>
          <w:spacing w:val="-1"/>
        </w:rPr>
        <w:t xml:space="preserve"> </w:t>
      </w:r>
      <w:r>
        <w:rPr>
          <w:b/>
        </w:rPr>
        <w:t>about</w:t>
      </w:r>
      <w:r>
        <w:rPr>
          <w:b/>
          <w:spacing w:val="-2"/>
        </w:rPr>
        <w:t xml:space="preserve"> </w:t>
      </w:r>
      <w:r>
        <w:rPr>
          <w:b/>
        </w:rPr>
        <w:t>the</w:t>
      </w:r>
      <w:r>
        <w:rPr>
          <w:b/>
          <w:spacing w:val="-3"/>
        </w:rPr>
        <w:t xml:space="preserve"> </w:t>
      </w:r>
      <w:r>
        <w:rPr>
          <w:b/>
        </w:rPr>
        <w:t>underlying</w:t>
      </w:r>
      <w:r>
        <w:rPr>
          <w:b/>
          <w:spacing w:val="-1"/>
        </w:rPr>
        <w:t xml:space="preserve"> </w:t>
      </w:r>
      <w:r>
        <w:rPr>
          <w:b/>
        </w:rPr>
        <w:t xml:space="preserve">meaning or feeling of client statements and then reflect that back to the client with your best guess about his or her meaning or feeling </w:t>
      </w:r>
      <w:r>
        <w:t>(Miller &amp; Rollnick, 2013). Gordon (1970) called this “active listening” and identified 12 kinds of responses that peop</w:t>
      </w:r>
      <w:r>
        <w:t>le often give to others that are not active listening and can actually derail a conversation. Exhibit 3.5 describes these roadblocks to listening.</w:t>
      </w:r>
    </w:p>
    <w:p w14:paraId="1A92BE1D" w14:textId="77777777" w:rsidR="00DB6E1F" w:rsidRDefault="00DB6E1F">
      <w:pPr>
        <w:pStyle w:val="BodyText"/>
        <w:spacing w:before="9"/>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6744"/>
      </w:tblGrid>
      <w:tr w:rsidR="00DB6E1F" w14:paraId="6FFC324F" w14:textId="77777777">
        <w:trPr>
          <w:trHeight w:val="518"/>
        </w:trPr>
        <w:tc>
          <w:tcPr>
            <w:tcW w:w="9350" w:type="dxa"/>
            <w:gridSpan w:val="2"/>
            <w:tcBorders>
              <w:top w:val="nil"/>
              <w:left w:val="nil"/>
              <w:bottom w:val="nil"/>
              <w:right w:val="nil"/>
            </w:tcBorders>
            <w:shd w:val="clear" w:color="auto" w:fill="000000"/>
          </w:tcPr>
          <w:p w14:paraId="0A942280" w14:textId="77777777" w:rsidR="00DB6E1F" w:rsidRDefault="00F666A6">
            <w:pPr>
              <w:pStyle w:val="TableParagraph"/>
              <w:spacing w:before="112"/>
              <w:ind w:left="215"/>
              <w:rPr>
                <w:sz w:val="24"/>
              </w:rPr>
            </w:pPr>
            <w:r>
              <w:rPr>
                <w:color w:val="FFFFFF"/>
                <w:sz w:val="24"/>
              </w:rPr>
              <w:t>Exhibit</w:t>
            </w:r>
            <w:r>
              <w:rPr>
                <w:color w:val="FFFFFF"/>
                <w:spacing w:val="-3"/>
                <w:sz w:val="24"/>
              </w:rPr>
              <w:t xml:space="preserve"> </w:t>
            </w:r>
            <w:r>
              <w:rPr>
                <w:color w:val="FFFFFF"/>
                <w:sz w:val="24"/>
              </w:rPr>
              <w:t>3.5.</w:t>
            </w:r>
            <w:r>
              <w:rPr>
                <w:color w:val="FFFFFF"/>
                <w:spacing w:val="-1"/>
                <w:sz w:val="24"/>
              </w:rPr>
              <w:t xml:space="preserve"> </w:t>
            </w:r>
            <w:r>
              <w:rPr>
                <w:color w:val="FFFFFF"/>
                <w:sz w:val="24"/>
              </w:rPr>
              <w:t>Gordon’s</w:t>
            </w:r>
            <w:r>
              <w:rPr>
                <w:color w:val="FFFFFF"/>
                <w:spacing w:val="-2"/>
                <w:sz w:val="24"/>
              </w:rPr>
              <w:t xml:space="preserve"> </w:t>
            </w:r>
            <w:r>
              <w:rPr>
                <w:color w:val="FFFFFF"/>
                <w:sz w:val="24"/>
              </w:rPr>
              <w:t>12</w:t>
            </w:r>
            <w:r>
              <w:rPr>
                <w:color w:val="FFFFFF"/>
                <w:spacing w:val="-2"/>
                <w:sz w:val="24"/>
              </w:rPr>
              <w:t xml:space="preserve"> </w:t>
            </w:r>
            <w:r>
              <w:rPr>
                <w:color w:val="FFFFFF"/>
                <w:sz w:val="24"/>
              </w:rPr>
              <w:t>Roadblocks</w:t>
            </w:r>
            <w:r>
              <w:rPr>
                <w:color w:val="FFFFFF"/>
                <w:spacing w:val="-2"/>
                <w:sz w:val="24"/>
              </w:rPr>
              <w:t xml:space="preserve"> </w:t>
            </w:r>
            <w:r>
              <w:rPr>
                <w:color w:val="FFFFFF"/>
                <w:sz w:val="24"/>
              </w:rPr>
              <w:t>to Active</w:t>
            </w:r>
            <w:r>
              <w:rPr>
                <w:color w:val="FFFFFF"/>
                <w:spacing w:val="-2"/>
                <w:sz w:val="24"/>
              </w:rPr>
              <w:t xml:space="preserve"> Listening</w:t>
            </w:r>
          </w:p>
        </w:tc>
      </w:tr>
      <w:tr w:rsidR="00DB6E1F" w14:paraId="12922D33" w14:textId="77777777">
        <w:trPr>
          <w:trHeight w:val="849"/>
        </w:trPr>
        <w:tc>
          <w:tcPr>
            <w:tcW w:w="2606" w:type="dxa"/>
          </w:tcPr>
          <w:p w14:paraId="3922E82D" w14:textId="77777777" w:rsidR="00DB6E1F" w:rsidRDefault="00F666A6">
            <w:pPr>
              <w:pStyle w:val="TableParagraph"/>
              <w:spacing w:before="116"/>
              <w:ind w:left="357" w:hanging="272"/>
              <w:rPr>
                <w:b/>
                <w:sz w:val="20"/>
              </w:rPr>
            </w:pPr>
            <w:r>
              <w:rPr>
                <w:b/>
                <w:sz w:val="20"/>
              </w:rPr>
              <w:t>1.</w:t>
            </w:r>
            <w:r>
              <w:rPr>
                <w:b/>
                <w:spacing w:val="40"/>
                <w:sz w:val="20"/>
              </w:rPr>
              <w:t xml:space="preserve"> </w:t>
            </w:r>
            <w:r>
              <w:rPr>
                <w:b/>
                <w:sz w:val="20"/>
              </w:rPr>
              <w:t>Ordering,</w:t>
            </w:r>
            <w:r>
              <w:rPr>
                <w:b/>
                <w:spacing w:val="-10"/>
                <w:sz w:val="20"/>
              </w:rPr>
              <w:t xml:space="preserve"> </w:t>
            </w:r>
            <w:r>
              <w:rPr>
                <w:b/>
                <w:sz w:val="20"/>
              </w:rPr>
              <w:t>directing,</w:t>
            </w:r>
            <w:r>
              <w:rPr>
                <w:b/>
                <w:spacing w:val="-10"/>
                <w:sz w:val="20"/>
              </w:rPr>
              <w:t xml:space="preserve"> </w:t>
            </w:r>
            <w:r>
              <w:rPr>
                <w:b/>
                <w:sz w:val="20"/>
              </w:rPr>
              <w:t xml:space="preserve">or </w:t>
            </w:r>
            <w:r>
              <w:rPr>
                <w:b/>
                <w:spacing w:val="-2"/>
                <w:sz w:val="20"/>
              </w:rPr>
              <w:t>commanding</w:t>
            </w:r>
          </w:p>
        </w:tc>
        <w:tc>
          <w:tcPr>
            <w:tcW w:w="6744" w:type="dxa"/>
          </w:tcPr>
          <w:p w14:paraId="0B31DA59" w14:textId="77777777" w:rsidR="00DB6E1F" w:rsidRDefault="00F666A6">
            <w:pPr>
              <w:pStyle w:val="TableParagraph"/>
              <w:spacing w:before="0"/>
              <w:ind w:left="105" w:right="226"/>
              <w:jc w:val="both"/>
              <w:rPr>
                <w:sz w:val="20"/>
              </w:rPr>
            </w:pPr>
            <w:r>
              <w:rPr>
                <w:sz w:val="20"/>
              </w:rPr>
              <w:t>Direction</w:t>
            </w:r>
            <w:r>
              <w:rPr>
                <w:spacing w:val="-2"/>
                <w:sz w:val="20"/>
              </w:rPr>
              <w:t xml:space="preserve"> </w:t>
            </w:r>
            <w:r>
              <w:rPr>
                <w:sz w:val="20"/>
              </w:rPr>
              <w:t>is</w:t>
            </w:r>
            <w:r>
              <w:rPr>
                <w:spacing w:val="-2"/>
                <w:sz w:val="20"/>
              </w:rPr>
              <w:t xml:space="preserve"> </w:t>
            </w:r>
            <w:r>
              <w:rPr>
                <w:sz w:val="20"/>
              </w:rPr>
              <w:t>given</w:t>
            </w:r>
            <w:r>
              <w:rPr>
                <w:spacing w:val="-2"/>
                <w:sz w:val="20"/>
              </w:rPr>
              <w:t xml:space="preserve"> </w:t>
            </w:r>
            <w:r>
              <w:rPr>
                <w:sz w:val="20"/>
              </w:rPr>
              <w:t>with</w:t>
            </w:r>
            <w:r>
              <w:rPr>
                <w:spacing w:val="-2"/>
                <w:sz w:val="20"/>
              </w:rPr>
              <w:t xml:space="preserve"> </w:t>
            </w:r>
            <w:r>
              <w:rPr>
                <w:sz w:val="20"/>
              </w:rPr>
              <w:t>a</w:t>
            </w:r>
            <w:r>
              <w:rPr>
                <w:spacing w:val="-2"/>
                <w:sz w:val="20"/>
              </w:rPr>
              <w:t xml:space="preserve"> </w:t>
            </w:r>
            <w:r>
              <w:rPr>
                <w:sz w:val="20"/>
              </w:rPr>
              <w:t>voice</w:t>
            </w:r>
            <w:r>
              <w:rPr>
                <w:spacing w:val="-1"/>
                <w:sz w:val="20"/>
              </w:rPr>
              <w:t xml:space="preserve"> </w:t>
            </w:r>
            <w:r>
              <w:rPr>
                <w:sz w:val="20"/>
              </w:rPr>
              <w:t>of</w:t>
            </w:r>
            <w:r>
              <w:rPr>
                <w:spacing w:val="-4"/>
                <w:sz w:val="20"/>
              </w:rPr>
              <w:t xml:space="preserve"> </w:t>
            </w:r>
            <w:r>
              <w:rPr>
                <w:sz w:val="20"/>
              </w:rPr>
              <w:t>authority.</w:t>
            </w:r>
            <w:r>
              <w:rPr>
                <w:spacing w:val="-3"/>
                <w:sz w:val="20"/>
              </w:rPr>
              <w:t xml:space="preserve"> </w:t>
            </w:r>
            <w:r>
              <w:rPr>
                <w:sz w:val="20"/>
              </w:rPr>
              <w:t>The</w:t>
            </w:r>
            <w:r>
              <w:rPr>
                <w:spacing w:val="-4"/>
                <w:sz w:val="20"/>
              </w:rPr>
              <w:t xml:space="preserve"> </w:t>
            </w:r>
            <w:r>
              <w:rPr>
                <w:sz w:val="20"/>
              </w:rPr>
              <w:t>speaker</w:t>
            </w:r>
            <w:r>
              <w:rPr>
                <w:spacing w:val="-3"/>
                <w:sz w:val="20"/>
              </w:rPr>
              <w:t xml:space="preserve"> </w:t>
            </w:r>
            <w:r>
              <w:rPr>
                <w:sz w:val="20"/>
              </w:rPr>
              <w:t>may</w:t>
            </w:r>
            <w:r>
              <w:rPr>
                <w:spacing w:val="-2"/>
                <w:sz w:val="20"/>
              </w:rPr>
              <w:t xml:space="preserve"> </w:t>
            </w:r>
            <w:r>
              <w:rPr>
                <w:sz w:val="20"/>
              </w:rPr>
              <w:t>be</w:t>
            </w:r>
            <w:r>
              <w:rPr>
                <w:spacing w:val="-4"/>
                <w:sz w:val="20"/>
              </w:rPr>
              <w:t xml:space="preserve"> </w:t>
            </w:r>
            <w:r>
              <w:rPr>
                <w:sz w:val="20"/>
              </w:rPr>
              <w:t>in</w:t>
            </w:r>
            <w:r>
              <w:rPr>
                <w:spacing w:val="-2"/>
                <w:sz w:val="20"/>
              </w:rPr>
              <w:t xml:space="preserve"> </w:t>
            </w:r>
            <w:r>
              <w:rPr>
                <w:sz w:val="20"/>
              </w:rPr>
              <w:t>a</w:t>
            </w:r>
            <w:r>
              <w:rPr>
                <w:spacing w:val="-2"/>
                <w:sz w:val="20"/>
              </w:rPr>
              <w:t xml:space="preserve"> </w:t>
            </w:r>
            <w:r>
              <w:rPr>
                <w:sz w:val="20"/>
              </w:rPr>
              <w:t>position</w:t>
            </w:r>
            <w:r>
              <w:rPr>
                <w:spacing w:val="-2"/>
                <w:sz w:val="20"/>
              </w:rPr>
              <w:t xml:space="preserve"> </w:t>
            </w:r>
            <w:r>
              <w:rPr>
                <w:sz w:val="20"/>
              </w:rPr>
              <w:t>of power</w:t>
            </w:r>
            <w:r>
              <w:rPr>
                <w:spacing w:val="-3"/>
                <w:sz w:val="20"/>
              </w:rPr>
              <w:t xml:space="preserve"> </w:t>
            </w:r>
            <w:r>
              <w:rPr>
                <w:sz w:val="20"/>
              </w:rPr>
              <w:t>(e.g.,</w:t>
            </w:r>
            <w:r>
              <w:rPr>
                <w:spacing w:val="-2"/>
                <w:sz w:val="20"/>
              </w:rPr>
              <w:t xml:space="preserve"> </w:t>
            </w:r>
            <w:r>
              <w:rPr>
                <w:sz w:val="20"/>
              </w:rPr>
              <w:t>parent,</w:t>
            </w:r>
            <w:r>
              <w:rPr>
                <w:spacing w:val="-2"/>
                <w:sz w:val="20"/>
              </w:rPr>
              <w:t xml:space="preserve"> </w:t>
            </w:r>
            <w:r>
              <w:rPr>
                <w:sz w:val="20"/>
              </w:rPr>
              <w:t>employer,</w:t>
            </w:r>
            <w:r>
              <w:rPr>
                <w:spacing w:val="-2"/>
                <w:sz w:val="20"/>
              </w:rPr>
              <w:t xml:space="preserve"> </w:t>
            </w:r>
            <w:r>
              <w:rPr>
                <w:sz w:val="20"/>
              </w:rPr>
              <w:t>counselor)</w:t>
            </w:r>
            <w:r>
              <w:rPr>
                <w:spacing w:val="-4"/>
                <w:sz w:val="20"/>
              </w:rPr>
              <w:t xml:space="preserve"> </w:t>
            </w:r>
            <w:r>
              <w:rPr>
                <w:sz w:val="20"/>
              </w:rPr>
              <w:t>or</w:t>
            </w:r>
            <w:r>
              <w:rPr>
                <w:spacing w:val="-3"/>
                <w:sz w:val="20"/>
              </w:rPr>
              <w:t xml:space="preserve"> </w:t>
            </w:r>
            <w:r>
              <w:rPr>
                <w:sz w:val="20"/>
              </w:rPr>
              <w:t>the</w:t>
            </w:r>
            <w:r>
              <w:rPr>
                <w:spacing w:val="-4"/>
                <w:sz w:val="20"/>
              </w:rPr>
              <w:t xml:space="preserve"> </w:t>
            </w:r>
            <w:r>
              <w:rPr>
                <w:sz w:val="20"/>
              </w:rPr>
              <w:t>words</w:t>
            </w:r>
            <w:r>
              <w:rPr>
                <w:spacing w:val="-4"/>
                <w:sz w:val="20"/>
              </w:rPr>
              <w:t xml:space="preserve"> </w:t>
            </w:r>
            <w:r>
              <w:rPr>
                <w:sz w:val="20"/>
              </w:rPr>
              <w:t>may simply</w:t>
            </w:r>
            <w:r>
              <w:rPr>
                <w:spacing w:val="-2"/>
                <w:sz w:val="20"/>
              </w:rPr>
              <w:t xml:space="preserve"> </w:t>
            </w:r>
            <w:r>
              <w:rPr>
                <w:sz w:val="20"/>
              </w:rPr>
              <w:t>be</w:t>
            </w:r>
            <w:r>
              <w:rPr>
                <w:spacing w:val="-4"/>
                <w:sz w:val="20"/>
              </w:rPr>
              <w:t xml:space="preserve"> </w:t>
            </w:r>
            <w:r>
              <w:rPr>
                <w:sz w:val="20"/>
              </w:rPr>
              <w:t>phrased and spoken in a way that communicates that the speaker is the expert.</w:t>
            </w:r>
          </w:p>
        </w:tc>
      </w:tr>
      <w:tr w:rsidR="00DB6E1F" w14:paraId="6E3E071A" w14:textId="77777777">
        <w:trPr>
          <w:trHeight w:val="647"/>
        </w:trPr>
        <w:tc>
          <w:tcPr>
            <w:tcW w:w="2606" w:type="dxa"/>
          </w:tcPr>
          <w:p w14:paraId="0CDCBF18" w14:textId="77777777" w:rsidR="00DB6E1F" w:rsidRDefault="00F666A6">
            <w:pPr>
              <w:pStyle w:val="TableParagraph"/>
              <w:spacing w:before="119"/>
              <w:ind w:left="357" w:hanging="272"/>
              <w:rPr>
                <w:b/>
                <w:sz w:val="20"/>
              </w:rPr>
            </w:pPr>
            <w:r>
              <w:rPr>
                <w:b/>
                <w:sz w:val="20"/>
              </w:rPr>
              <w:t>2.</w:t>
            </w:r>
            <w:r>
              <w:rPr>
                <w:b/>
                <w:spacing w:val="40"/>
                <w:sz w:val="20"/>
              </w:rPr>
              <w:t xml:space="preserve"> </w:t>
            </w:r>
            <w:r>
              <w:rPr>
                <w:b/>
                <w:sz w:val="20"/>
              </w:rPr>
              <w:t>Warning,</w:t>
            </w:r>
            <w:r>
              <w:rPr>
                <w:b/>
                <w:spacing w:val="-9"/>
                <w:sz w:val="20"/>
              </w:rPr>
              <w:t xml:space="preserve"> </w:t>
            </w:r>
            <w:r>
              <w:rPr>
                <w:b/>
                <w:sz w:val="20"/>
              </w:rPr>
              <w:t>cautioning,</w:t>
            </w:r>
            <w:r>
              <w:rPr>
                <w:b/>
                <w:spacing w:val="-9"/>
                <w:sz w:val="20"/>
              </w:rPr>
              <w:t xml:space="preserve"> </w:t>
            </w:r>
            <w:r>
              <w:rPr>
                <w:b/>
                <w:sz w:val="20"/>
              </w:rPr>
              <w:t xml:space="preserve">or </w:t>
            </w:r>
            <w:r>
              <w:rPr>
                <w:b/>
                <w:spacing w:val="-2"/>
                <w:sz w:val="20"/>
              </w:rPr>
              <w:t>threatening</w:t>
            </w:r>
          </w:p>
        </w:tc>
        <w:tc>
          <w:tcPr>
            <w:tcW w:w="6744" w:type="dxa"/>
          </w:tcPr>
          <w:p w14:paraId="0B9BACBA" w14:textId="77777777" w:rsidR="00DB6E1F" w:rsidRDefault="00F666A6">
            <w:pPr>
              <w:pStyle w:val="TableParagraph"/>
              <w:spacing w:before="0"/>
              <w:ind w:left="105" w:right="129"/>
              <w:rPr>
                <w:sz w:val="20"/>
              </w:rPr>
            </w:pPr>
            <w:r>
              <w:rPr>
                <w:sz w:val="20"/>
              </w:rPr>
              <w:t>These</w:t>
            </w:r>
            <w:r>
              <w:rPr>
                <w:spacing w:val="-5"/>
                <w:sz w:val="20"/>
              </w:rPr>
              <w:t xml:space="preserve"> </w:t>
            </w:r>
            <w:r>
              <w:rPr>
                <w:sz w:val="20"/>
              </w:rPr>
              <w:t>statements</w:t>
            </w:r>
            <w:r>
              <w:rPr>
                <w:spacing w:val="-5"/>
                <w:sz w:val="20"/>
              </w:rPr>
              <w:t xml:space="preserve"> </w:t>
            </w:r>
            <w:r>
              <w:rPr>
                <w:sz w:val="20"/>
              </w:rPr>
              <w:t>carry</w:t>
            </w:r>
            <w:r>
              <w:rPr>
                <w:spacing w:val="-3"/>
                <w:sz w:val="20"/>
              </w:rPr>
              <w:t xml:space="preserve"> </w:t>
            </w:r>
            <w:r>
              <w:rPr>
                <w:sz w:val="20"/>
              </w:rPr>
              <w:t>an</w:t>
            </w:r>
            <w:r>
              <w:rPr>
                <w:spacing w:val="-3"/>
                <w:sz w:val="20"/>
              </w:rPr>
              <w:t xml:space="preserve"> </w:t>
            </w:r>
            <w:r>
              <w:rPr>
                <w:sz w:val="20"/>
              </w:rPr>
              <w:t>overt</w:t>
            </w:r>
            <w:r>
              <w:rPr>
                <w:spacing w:val="-4"/>
                <w:sz w:val="20"/>
              </w:rPr>
              <w:t xml:space="preserve"> </w:t>
            </w:r>
            <w:r>
              <w:rPr>
                <w:sz w:val="20"/>
              </w:rPr>
              <w:t>or</w:t>
            </w:r>
            <w:r>
              <w:rPr>
                <w:spacing w:val="-4"/>
                <w:sz w:val="20"/>
              </w:rPr>
              <w:t xml:space="preserve"> </w:t>
            </w:r>
            <w:r>
              <w:rPr>
                <w:sz w:val="20"/>
              </w:rPr>
              <w:t>covert</w:t>
            </w:r>
            <w:r>
              <w:rPr>
                <w:spacing w:val="-4"/>
                <w:sz w:val="20"/>
              </w:rPr>
              <w:t xml:space="preserve"> </w:t>
            </w:r>
            <w:r>
              <w:rPr>
                <w:sz w:val="20"/>
              </w:rPr>
              <w:t>threat</w:t>
            </w:r>
            <w:r>
              <w:rPr>
                <w:spacing w:val="-4"/>
                <w:sz w:val="20"/>
              </w:rPr>
              <w:t xml:space="preserve"> </w:t>
            </w:r>
            <w:r>
              <w:rPr>
                <w:sz w:val="20"/>
              </w:rPr>
              <w:t>of</w:t>
            </w:r>
            <w:r>
              <w:rPr>
                <w:spacing w:val="-5"/>
                <w:sz w:val="20"/>
              </w:rPr>
              <w:t xml:space="preserve"> </w:t>
            </w:r>
            <w:r>
              <w:rPr>
                <w:sz w:val="20"/>
              </w:rPr>
              <w:t>negative</w:t>
            </w:r>
            <w:r>
              <w:rPr>
                <w:spacing w:val="-5"/>
                <w:sz w:val="20"/>
              </w:rPr>
              <w:t xml:space="preserve"> </w:t>
            </w:r>
            <w:r>
              <w:rPr>
                <w:sz w:val="20"/>
              </w:rPr>
              <w:t>consequences.</w:t>
            </w:r>
            <w:r>
              <w:rPr>
                <w:spacing w:val="-4"/>
                <w:sz w:val="20"/>
              </w:rPr>
              <w:t xml:space="preserve"> </w:t>
            </w:r>
            <w:r>
              <w:rPr>
                <w:sz w:val="20"/>
              </w:rPr>
              <w:t>For example, “If you don’t stop drinking, you are going to die.”</w:t>
            </w:r>
          </w:p>
        </w:tc>
      </w:tr>
      <w:tr w:rsidR="00DB6E1F" w14:paraId="126FB158" w14:textId="77777777">
        <w:trPr>
          <w:trHeight w:val="1137"/>
        </w:trPr>
        <w:tc>
          <w:tcPr>
            <w:tcW w:w="2606" w:type="dxa"/>
          </w:tcPr>
          <w:p w14:paraId="5CA35EBD" w14:textId="77777777" w:rsidR="00DB6E1F" w:rsidRDefault="00F666A6">
            <w:pPr>
              <w:pStyle w:val="TableParagraph"/>
              <w:spacing w:before="121"/>
              <w:ind w:left="357" w:hanging="272"/>
              <w:rPr>
                <w:b/>
                <w:sz w:val="20"/>
              </w:rPr>
            </w:pPr>
            <w:r>
              <w:rPr>
                <w:b/>
                <w:sz w:val="20"/>
              </w:rPr>
              <w:t>3.</w:t>
            </w:r>
            <w:r>
              <w:rPr>
                <w:b/>
                <w:spacing w:val="40"/>
                <w:sz w:val="20"/>
              </w:rPr>
              <w:t xml:space="preserve"> </w:t>
            </w:r>
            <w:r>
              <w:rPr>
                <w:b/>
                <w:sz w:val="20"/>
              </w:rPr>
              <w:t>Giving advice, making suggestions,</w:t>
            </w:r>
            <w:r>
              <w:rPr>
                <w:b/>
                <w:spacing w:val="-12"/>
                <w:sz w:val="20"/>
              </w:rPr>
              <w:t xml:space="preserve"> </w:t>
            </w:r>
            <w:r>
              <w:rPr>
                <w:b/>
                <w:sz w:val="20"/>
              </w:rPr>
              <w:t>or</w:t>
            </w:r>
            <w:r>
              <w:rPr>
                <w:b/>
                <w:spacing w:val="-11"/>
                <w:sz w:val="20"/>
              </w:rPr>
              <w:t xml:space="preserve"> </w:t>
            </w:r>
            <w:r>
              <w:rPr>
                <w:b/>
                <w:sz w:val="20"/>
              </w:rPr>
              <w:t>providing solutions</w:t>
            </w:r>
            <w:r>
              <w:rPr>
                <w:b/>
                <w:spacing w:val="-9"/>
                <w:sz w:val="20"/>
              </w:rPr>
              <w:t xml:space="preserve"> </w:t>
            </w:r>
            <w:r>
              <w:rPr>
                <w:b/>
                <w:sz w:val="20"/>
              </w:rPr>
              <w:t>prematurely</w:t>
            </w:r>
            <w:r>
              <w:rPr>
                <w:b/>
                <w:spacing w:val="-9"/>
                <w:sz w:val="20"/>
              </w:rPr>
              <w:t xml:space="preserve"> </w:t>
            </w:r>
            <w:r>
              <w:rPr>
                <w:b/>
                <w:sz w:val="20"/>
              </w:rPr>
              <w:t>or when unsolicited</w:t>
            </w:r>
          </w:p>
        </w:tc>
        <w:tc>
          <w:tcPr>
            <w:tcW w:w="6744" w:type="dxa"/>
          </w:tcPr>
          <w:p w14:paraId="027660E4" w14:textId="77777777" w:rsidR="00DB6E1F" w:rsidRDefault="00F666A6">
            <w:pPr>
              <w:pStyle w:val="TableParagraph"/>
              <w:ind w:left="105" w:right="486"/>
              <w:jc w:val="both"/>
              <w:rPr>
                <w:sz w:val="20"/>
              </w:rPr>
            </w:pPr>
            <w:r>
              <w:rPr>
                <w:sz w:val="20"/>
              </w:rPr>
              <w:t>The</w:t>
            </w:r>
            <w:r>
              <w:rPr>
                <w:spacing w:val="-5"/>
                <w:sz w:val="20"/>
              </w:rPr>
              <w:t xml:space="preserve"> </w:t>
            </w:r>
            <w:r>
              <w:rPr>
                <w:sz w:val="20"/>
              </w:rPr>
              <w:t>message</w:t>
            </w:r>
            <w:r>
              <w:rPr>
                <w:spacing w:val="-5"/>
                <w:sz w:val="20"/>
              </w:rPr>
              <w:t xml:space="preserve"> </w:t>
            </w:r>
            <w:r>
              <w:rPr>
                <w:sz w:val="20"/>
              </w:rPr>
              <w:t>recommends</w:t>
            </w:r>
            <w:r>
              <w:rPr>
                <w:spacing w:val="-5"/>
                <w:sz w:val="20"/>
              </w:rPr>
              <w:t xml:space="preserve"> </w:t>
            </w:r>
            <w:r>
              <w:rPr>
                <w:sz w:val="20"/>
              </w:rPr>
              <w:t>a</w:t>
            </w:r>
            <w:r>
              <w:rPr>
                <w:spacing w:val="-3"/>
                <w:sz w:val="20"/>
              </w:rPr>
              <w:t xml:space="preserve"> </w:t>
            </w:r>
            <w:r>
              <w:rPr>
                <w:sz w:val="20"/>
              </w:rPr>
              <w:t>course</w:t>
            </w:r>
            <w:r>
              <w:rPr>
                <w:spacing w:val="-5"/>
                <w:sz w:val="20"/>
              </w:rPr>
              <w:t xml:space="preserve"> </w:t>
            </w:r>
            <w:r>
              <w:rPr>
                <w:sz w:val="20"/>
              </w:rPr>
              <w:t>of</w:t>
            </w:r>
            <w:r>
              <w:rPr>
                <w:spacing w:val="-5"/>
                <w:sz w:val="20"/>
              </w:rPr>
              <w:t xml:space="preserve"> </w:t>
            </w:r>
            <w:r>
              <w:rPr>
                <w:sz w:val="20"/>
              </w:rPr>
              <w:t>action</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your</w:t>
            </w:r>
            <w:r>
              <w:rPr>
                <w:spacing w:val="-4"/>
                <w:sz w:val="20"/>
              </w:rPr>
              <w:t xml:space="preserve"> </w:t>
            </w:r>
            <w:r>
              <w:rPr>
                <w:sz w:val="20"/>
              </w:rPr>
              <w:t>knowledge</w:t>
            </w:r>
            <w:r>
              <w:rPr>
                <w:spacing w:val="-5"/>
                <w:sz w:val="20"/>
              </w:rPr>
              <w:t xml:space="preserve"> </w:t>
            </w:r>
            <w:r>
              <w:rPr>
                <w:sz w:val="20"/>
              </w:rPr>
              <w:t>and personal</w:t>
            </w:r>
            <w:r>
              <w:rPr>
                <w:spacing w:val="-5"/>
                <w:sz w:val="20"/>
              </w:rPr>
              <w:t xml:space="preserve"> </w:t>
            </w:r>
            <w:r>
              <w:rPr>
                <w:sz w:val="20"/>
              </w:rPr>
              <w:t>experience.</w:t>
            </w:r>
            <w:r>
              <w:rPr>
                <w:spacing w:val="-5"/>
                <w:sz w:val="20"/>
              </w:rPr>
              <w:t xml:space="preserve"> </w:t>
            </w:r>
            <w:r>
              <w:rPr>
                <w:sz w:val="20"/>
              </w:rPr>
              <w:t>These</w:t>
            </w:r>
            <w:r>
              <w:rPr>
                <w:spacing w:val="-5"/>
                <w:sz w:val="20"/>
              </w:rPr>
              <w:t xml:space="preserve"> </w:t>
            </w:r>
            <w:r>
              <w:rPr>
                <w:sz w:val="20"/>
              </w:rPr>
              <w:t>recommendations</w:t>
            </w:r>
            <w:r>
              <w:rPr>
                <w:spacing w:val="-6"/>
                <w:sz w:val="20"/>
              </w:rPr>
              <w:t xml:space="preserve"> </w:t>
            </w:r>
            <w:r>
              <w:rPr>
                <w:sz w:val="20"/>
              </w:rPr>
              <w:t>often</w:t>
            </w:r>
            <w:r>
              <w:rPr>
                <w:spacing w:val="-4"/>
                <w:sz w:val="20"/>
              </w:rPr>
              <w:t xml:space="preserve"> </w:t>
            </w:r>
            <w:r>
              <w:rPr>
                <w:sz w:val="20"/>
              </w:rPr>
              <w:t>begin</w:t>
            </w:r>
            <w:r>
              <w:rPr>
                <w:spacing w:val="-4"/>
                <w:sz w:val="20"/>
              </w:rPr>
              <w:t xml:space="preserve"> </w:t>
            </w:r>
            <w:r>
              <w:rPr>
                <w:sz w:val="20"/>
              </w:rPr>
              <w:t>with</w:t>
            </w:r>
            <w:r>
              <w:rPr>
                <w:spacing w:val="-4"/>
                <w:sz w:val="20"/>
              </w:rPr>
              <w:t xml:space="preserve"> </w:t>
            </w:r>
            <w:r>
              <w:rPr>
                <w:sz w:val="20"/>
              </w:rPr>
              <w:t>phrases</w:t>
            </w:r>
            <w:r>
              <w:rPr>
                <w:spacing w:val="-7"/>
                <w:sz w:val="20"/>
              </w:rPr>
              <w:t xml:space="preserve"> </w:t>
            </w:r>
            <w:r>
              <w:rPr>
                <w:sz w:val="20"/>
              </w:rPr>
              <w:t>like “What I would do is.”</w:t>
            </w:r>
          </w:p>
        </w:tc>
      </w:tr>
      <w:tr w:rsidR="00DB6E1F" w14:paraId="4A332857" w14:textId="77777777">
        <w:trPr>
          <w:trHeight w:val="1096"/>
        </w:trPr>
        <w:tc>
          <w:tcPr>
            <w:tcW w:w="2606" w:type="dxa"/>
          </w:tcPr>
          <w:p w14:paraId="61F33E62" w14:textId="77777777" w:rsidR="00DB6E1F" w:rsidRDefault="00F666A6">
            <w:pPr>
              <w:pStyle w:val="TableParagraph"/>
              <w:spacing w:before="119"/>
              <w:ind w:left="357" w:hanging="272"/>
              <w:rPr>
                <w:b/>
                <w:sz w:val="20"/>
              </w:rPr>
            </w:pPr>
            <w:r>
              <w:rPr>
                <w:b/>
                <w:sz w:val="20"/>
              </w:rPr>
              <w:t>4.</w:t>
            </w:r>
            <w:r>
              <w:rPr>
                <w:b/>
                <w:spacing w:val="40"/>
                <w:sz w:val="20"/>
              </w:rPr>
              <w:t xml:space="preserve"> </w:t>
            </w:r>
            <w:r>
              <w:rPr>
                <w:b/>
                <w:sz w:val="20"/>
              </w:rPr>
              <w:t>Persuading</w:t>
            </w:r>
            <w:r>
              <w:rPr>
                <w:b/>
                <w:spacing w:val="-10"/>
                <w:sz w:val="20"/>
              </w:rPr>
              <w:t xml:space="preserve"> </w:t>
            </w:r>
            <w:r>
              <w:rPr>
                <w:b/>
                <w:sz w:val="20"/>
              </w:rPr>
              <w:t>with</w:t>
            </w:r>
            <w:r>
              <w:rPr>
                <w:b/>
                <w:spacing w:val="-8"/>
                <w:sz w:val="20"/>
              </w:rPr>
              <w:t xml:space="preserve"> </w:t>
            </w:r>
            <w:r>
              <w:rPr>
                <w:b/>
                <w:sz w:val="20"/>
              </w:rPr>
              <w:t>logic, arguing, or lecturing</w:t>
            </w:r>
          </w:p>
        </w:tc>
        <w:tc>
          <w:tcPr>
            <w:tcW w:w="6744" w:type="dxa"/>
          </w:tcPr>
          <w:p w14:paraId="4BAD1609" w14:textId="77777777" w:rsidR="00DB6E1F" w:rsidRDefault="00F666A6">
            <w:pPr>
              <w:pStyle w:val="TableParagraph"/>
              <w:spacing w:before="0"/>
              <w:ind w:left="105" w:right="129"/>
              <w:rPr>
                <w:sz w:val="20"/>
              </w:rPr>
            </w:pPr>
            <w:r>
              <w:rPr>
                <w:sz w:val="20"/>
              </w:rPr>
              <w:t>The underlying assumption of these messages is that the client has not reasoned through the problem adequately and needs help to do so. Trying to persuade</w:t>
            </w:r>
            <w:r>
              <w:rPr>
                <w:spacing w:val="-4"/>
                <w:sz w:val="20"/>
              </w:rPr>
              <w:t xml:space="preserve"> </w:t>
            </w:r>
            <w:r>
              <w:rPr>
                <w:sz w:val="20"/>
              </w:rPr>
              <w:t>the</w:t>
            </w:r>
            <w:r>
              <w:rPr>
                <w:spacing w:val="-4"/>
                <w:sz w:val="20"/>
              </w:rPr>
              <w:t xml:space="preserve"> </w:t>
            </w:r>
            <w:r>
              <w:rPr>
                <w:sz w:val="20"/>
              </w:rPr>
              <w:t>client</w:t>
            </w:r>
            <w:r>
              <w:rPr>
                <w:spacing w:val="-3"/>
                <w:sz w:val="20"/>
              </w:rPr>
              <w:t xml:space="preserve"> </w:t>
            </w:r>
            <w:r>
              <w:rPr>
                <w:sz w:val="20"/>
              </w:rPr>
              <w:t>that</w:t>
            </w:r>
            <w:r>
              <w:rPr>
                <w:spacing w:val="-3"/>
                <w:sz w:val="20"/>
              </w:rPr>
              <w:t xml:space="preserve"> </w:t>
            </w:r>
            <w:r>
              <w:rPr>
                <w:sz w:val="20"/>
              </w:rPr>
              <w:t>your</w:t>
            </w:r>
            <w:r>
              <w:rPr>
                <w:spacing w:val="-5"/>
                <w:sz w:val="20"/>
              </w:rPr>
              <w:t xml:space="preserve"> </w:t>
            </w:r>
            <w:r>
              <w:rPr>
                <w:sz w:val="20"/>
              </w:rPr>
              <w:t>position</w:t>
            </w:r>
            <w:r>
              <w:rPr>
                <w:spacing w:val="-2"/>
                <w:sz w:val="20"/>
              </w:rPr>
              <w:t xml:space="preserve"> </w:t>
            </w:r>
            <w:r>
              <w:rPr>
                <w:sz w:val="20"/>
              </w:rPr>
              <w:t>is</w:t>
            </w:r>
            <w:r>
              <w:rPr>
                <w:spacing w:val="-4"/>
                <w:sz w:val="20"/>
              </w:rPr>
              <w:t xml:space="preserve"> </w:t>
            </w:r>
            <w:r>
              <w:rPr>
                <w:sz w:val="20"/>
              </w:rPr>
              <w:t>correct</w:t>
            </w:r>
            <w:r>
              <w:rPr>
                <w:spacing w:val="-3"/>
                <w:sz w:val="20"/>
              </w:rPr>
              <w:t xml:space="preserve"> </w:t>
            </w:r>
            <w:r>
              <w:rPr>
                <w:sz w:val="20"/>
              </w:rPr>
              <w:t>will</w:t>
            </w:r>
            <w:r>
              <w:rPr>
                <w:spacing w:val="-1"/>
                <w:sz w:val="20"/>
              </w:rPr>
              <w:t xml:space="preserve"> </w:t>
            </w:r>
            <w:r>
              <w:rPr>
                <w:sz w:val="20"/>
              </w:rPr>
              <w:t>most</w:t>
            </w:r>
            <w:r>
              <w:rPr>
                <w:spacing w:val="-3"/>
                <w:sz w:val="20"/>
              </w:rPr>
              <w:t xml:space="preserve"> </w:t>
            </w:r>
            <w:r>
              <w:rPr>
                <w:sz w:val="20"/>
              </w:rPr>
              <w:t>likely</w:t>
            </w:r>
            <w:r>
              <w:rPr>
                <w:spacing w:val="-2"/>
                <w:sz w:val="20"/>
              </w:rPr>
              <w:t xml:space="preserve"> </w:t>
            </w:r>
            <w:r>
              <w:rPr>
                <w:sz w:val="20"/>
              </w:rPr>
              <w:t>evoke</w:t>
            </w:r>
            <w:r>
              <w:rPr>
                <w:spacing w:val="-4"/>
                <w:sz w:val="20"/>
              </w:rPr>
              <w:t xml:space="preserve"> </w:t>
            </w:r>
            <w:r>
              <w:rPr>
                <w:sz w:val="20"/>
              </w:rPr>
              <w:t>a</w:t>
            </w:r>
            <w:r>
              <w:rPr>
                <w:spacing w:val="-3"/>
                <w:sz w:val="20"/>
              </w:rPr>
              <w:t xml:space="preserve"> </w:t>
            </w:r>
            <w:r>
              <w:rPr>
                <w:sz w:val="20"/>
              </w:rPr>
              <w:t xml:space="preserve">reaction and the client taking the </w:t>
            </w:r>
            <w:r>
              <w:rPr>
                <w:sz w:val="20"/>
              </w:rPr>
              <w:t>opposite position.</w:t>
            </w:r>
          </w:p>
        </w:tc>
      </w:tr>
      <w:tr w:rsidR="00DB6E1F" w14:paraId="0FBE696D" w14:textId="77777777">
        <w:trPr>
          <w:trHeight w:val="1221"/>
        </w:trPr>
        <w:tc>
          <w:tcPr>
            <w:tcW w:w="2606" w:type="dxa"/>
          </w:tcPr>
          <w:p w14:paraId="279F7FFA" w14:textId="77777777" w:rsidR="00DB6E1F" w:rsidRDefault="00F666A6">
            <w:pPr>
              <w:pStyle w:val="TableParagraph"/>
              <w:spacing w:before="121"/>
              <w:ind w:left="357" w:right="164" w:hanging="272"/>
              <w:jc w:val="both"/>
              <w:rPr>
                <w:b/>
                <w:sz w:val="20"/>
              </w:rPr>
            </w:pPr>
            <w:r>
              <w:rPr>
                <w:b/>
                <w:sz w:val="20"/>
              </w:rPr>
              <w:t>5.</w:t>
            </w:r>
            <w:r>
              <w:rPr>
                <w:b/>
                <w:spacing w:val="40"/>
                <w:sz w:val="20"/>
              </w:rPr>
              <w:t xml:space="preserve"> </w:t>
            </w:r>
            <w:r>
              <w:rPr>
                <w:b/>
                <w:sz w:val="20"/>
              </w:rPr>
              <w:t>Moralizing,</w:t>
            </w:r>
            <w:r>
              <w:rPr>
                <w:b/>
                <w:spacing w:val="-9"/>
                <w:sz w:val="20"/>
              </w:rPr>
              <w:t xml:space="preserve"> </w:t>
            </w:r>
            <w:r>
              <w:rPr>
                <w:b/>
                <w:sz w:val="20"/>
              </w:rPr>
              <w:t>preaching,</w:t>
            </w:r>
            <w:r>
              <w:rPr>
                <w:b/>
                <w:spacing w:val="-9"/>
                <w:sz w:val="20"/>
              </w:rPr>
              <w:t xml:space="preserve"> </w:t>
            </w:r>
            <w:r>
              <w:rPr>
                <w:b/>
                <w:sz w:val="20"/>
              </w:rPr>
              <w:t>or telling people what they should do</w:t>
            </w:r>
          </w:p>
        </w:tc>
        <w:tc>
          <w:tcPr>
            <w:tcW w:w="6744" w:type="dxa"/>
          </w:tcPr>
          <w:p w14:paraId="2CFD62A7" w14:textId="77777777" w:rsidR="00DB6E1F" w:rsidRDefault="00F666A6">
            <w:pPr>
              <w:pStyle w:val="TableParagraph"/>
              <w:ind w:left="105" w:right="129"/>
              <w:rPr>
                <w:sz w:val="20"/>
              </w:rPr>
            </w:pPr>
            <w:r>
              <w:rPr>
                <w:sz w:val="20"/>
              </w:rPr>
              <w:t>These</w:t>
            </w:r>
            <w:r>
              <w:rPr>
                <w:spacing w:val="-5"/>
                <w:sz w:val="20"/>
              </w:rPr>
              <w:t xml:space="preserve"> </w:t>
            </w:r>
            <w:r>
              <w:rPr>
                <w:sz w:val="20"/>
              </w:rPr>
              <w:t>statements</w:t>
            </w:r>
            <w:r>
              <w:rPr>
                <w:spacing w:val="-5"/>
                <w:sz w:val="20"/>
              </w:rPr>
              <w:t xml:space="preserve"> </w:t>
            </w:r>
            <w:r>
              <w:rPr>
                <w:sz w:val="20"/>
              </w:rPr>
              <w:t>contain</w:t>
            </w:r>
            <w:r>
              <w:rPr>
                <w:spacing w:val="-3"/>
                <w:sz w:val="20"/>
              </w:rPr>
              <w:t xml:space="preserve"> </w:t>
            </w:r>
            <w:r>
              <w:rPr>
                <w:sz w:val="20"/>
              </w:rPr>
              <w:t>such</w:t>
            </w:r>
            <w:r>
              <w:rPr>
                <w:spacing w:val="-3"/>
                <w:sz w:val="20"/>
              </w:rPr>
              <w:t xml:space="preserve"> </w:t>
            </w:r>
            <w:r>
              <w:rPr>
                <w:sz w:val="20"/>
              </w:rPr>
              <w:t>words</w:t>
            </w:r>
            <w:r>
              <w:rPr>
                <w:spacing w:val="-5"/>
                <w:sz w:val="20"/>
              </w:rPr>
              <w:t xml:space="preserve"> </w:t>
            </w:r>
            <w:r>
              <w:rPr>
                <w:sz w:val="20"/>
              </w:rPr>
              <w:t>as</w:t>
            </w:r>
            <w:r>
              <w:rPr>
                <w:spacing w:val="-5"/>
                <w:sz w:val="20"/>
              </w:rPr>
              <w:t xml:space="preserve"> </w:t>
            </w:r>
            <w:r>
              <w:rPr>
                <w:sz w:val="20"/>
              </w:rPr>
              <w:t>“should”</w:t>
            </w:r>
            <w:r>
              <w:rPr>
                <w:spacing w:val="-3"/>
                <w:sz w:val="20"/>
              </w:rPr>
              <w:t xml:space="preserve"> </w:t>
            </w:r>
            <w:r>
              <w:rPr>
                <w:sz w:val="20"/>
              </w:rPr>
              <w:t>or</w:t>
            </w:r>
            <w:r>
              <w:rPr>
                <w:spacing w:val="-4"/>
                <w:sz w:val="20"/>
              </w:rPr>
              <w:t xml:space="preserve"> </w:t>
            </w:r>
            <w:r>
              <w:rPr>
                <w:sz w:val="20"/>
              </w:rPr>
              <w:t>“ought,”</w:t>
            </w:r>
            <w:r>
              <w:rPr>
                <w:spacing w:val="-3"/>
                <w:sz w:val="20"/>
              </w:rPr>
              <w:t xml:space="preserve"> </w:t>
            </w:r>
            <w:r>
              <w:rPr>
                <w:sz w:val="20"/>
              </w:rPr>
              <w:t>which</w:t>
            </w:r>
            <w:r>
              <w:rPr>
                <w:spacing w:val="-3"/>
                <w:sz w:val="20"/>
              </w:rPr>
              <w:t xml:space="preserve"> </w:t>
            </w:r>
            <w:r>
              <w:rPr>
                <w:sz w:val="20"/>
              </w:rPr>
              <w:t>imply</w:t>
            </w:r>
            <w:r>
              <w:rPr>
                <w:spacing w:val="-3"/>
                <w:sz w:val="20"/>
              </w:rPr>
              <w:t xml:space="preserve"> </w:t>
            </w:r>
            <w:r>
              <w:rPr>
                <w:sz w:val="20"/>
              </w:rPr>
              <w:t>or directly convey negative judgment.</w:t>
            </w:r>
          </w:p>
        </w:tc>
      </w:tr>
      <w:tr w:rsidR="00DB6E1F" w14:paraId="15C9C1E9" w14:textId="77777777">
        <w:trPr>
          <w:trHeight w:val="649"/>
        </w:trPr>
        <w:tc>
          <w:tcPr>
            <w:tcW w:w="2606" w:type="dxa"/>
          </w:tcPr>
          <w:p w14:paraId="16DF3C63" w14:textId="77777777" w:rsidR="00DB6E1F" w:rsidRDefault="00F666A6">
            <w:pPr>
              <w:pStyle w:val="TableParagraph"/>
              <w:spacing w:before="121"/>
              <w:ind w:left="357" w:hanging="272"/>
              <w:rPr>
                <w:b/>
                <w:sz w:val="20"/>
              </w:rPr>
            </w:pPr>
            <w:r>
              <w:rPr>
                <w:b/>
                <w:sz w:val="20"/>
              </w:rPr>
              <w:t>6.</w:t>
            </w:r>
            <w:r>
              <w:rPr>
                <w:b/>
                <w:spacing w:val="40"/>
                <w:sz w:val="20"/>
              </w:rPr>
              <w:t xml:space="preserve"> </w:t>
            </w:r>
            <w:r>
              <w:rPr>
                <w:b/>
                <w:sz w:val="20"/>
              </w:rPr>
              <w:t>Judging, criticizing, disagreeing,</w:t>
            </w:r>
            <w:r>
              <w:rPr>
                <w:b/>
                <w:spacing w:val="-12"/>
                <w:sz w:val="20"/>
              </w:rPr>
              <w:t xml:space="preserve"> </w:t>
            </w:r>
            <w:r>
              <w:rPr>
                <w:b/>
                <w:sz w:val="20"/>
              </w:rPr>
              <w:t>or</w:t>
            </w:r>
            <w:r>
              <w:rPr>
                <w:b/>
                <w:spacing w:val="-11"/>
                <w:sz w:val="20"/>
              </w:rPr>
              <w:t xml:space="preserve"> </w:t>
            </w:r>
            <w:r>
              <w:rPr>
                <w:b/>
                <w:sz w:val="20"/>
              </w:rPr>
              <w:t>blaming</w:t>
            </w:r>
          </w:p>
        </w:tc>
        <w:tc>
          <w:tcPr>
            <w:tcW w:w="6744" w:type="dxa"/>
          </w:tcPr>
          <w:p w14:paraId="0D1C67E0" w14:textId="77777777" w:rsidR="00DB6E1F" w:rsidRDefault="00F666A6">
            <w:pPr>
              <w:pStyle w:val="TableParagraph"/>
              <w:ind w:left="105" w:right="129"/>
              <w:rPr>
                <w:sz w:val="20"/>
              </w:rPr>
            </w:pPr>
            <w:r>
              <w:rPr>
                <w:sz w:val="20"/>
              </w:rPr>
              <w:t>These</w:t>
            </w:r>
            <w:r>
              <w:rPr>
                <w:spacing w:val="-4"/>
                <w:sz w:val="20"/>
              </w:rPr>
              <w:t xml:space="preserve"> </w:t>
            </w:r>
            <w:r>
              <w:rPr>
                <w:sz w:val="20"/>
              </w:rPr>
              <w:t>messages</w:t>
            </w:r>
            <w:r>
              <w:rPr>
                <w:spacing w:val="-4"/>
                <w:sz w:val="20"/>
              </w:rPr>
              <w:t xml:space="preserve"> </w:t>
            </w:r>
            <w:r>
              <w:rPr>
                <w:sz w:val="20"/>
              </w:rPr>
              <w:t>imply</w:t>
            </w:r>
            <w:r>
              <w:rPr>
                <w:spacing w:val="-2"/>
                <w:sz w:val="20"/>
              </w:rPr>
              <w:t xml:space="preserve"> </w:t>
            </w:r>
            <w:r>
              <w:rPr>
                <w:sz w:val="20"/>
              </w:rPr>
              <w:t>that</w:t>
            </w:r>
            <w:r>
              <w:rPr>
                <w:spacing w:val="-3"/>
                <w:sz w:val="20"/>
              </w:rPr>
              <w:t xml:space="preserve"> </w:t>
            </w:r>
            <w:r>
              <w:rPr>
                <w:sz w:val="20"/>
              </w:rPr>
              <w:t>something</w:t>
            </w:r>
            <w:r>
              <w:rPr>
                <w:spacing w:val="-3"/>
                <w:sz w:val="20"/>
              </w:rPr>
              <w:t xml:space="preserve"> </w:t>
            </w:r>
            <w:r>
              <w:rPr>
                <w:sz w:val="20"/>
              </w:rPr>
              <w:t>is</w:t>
            </w:r>
            <w:r>
              <w:rPr>
                <w:spacing w:val="-2"/>
                <w:sz w:val="20"/>
              </w:rPr>
              <w:t xml:space="preserve"> </w:t>
            </w:r>
            <w:r>
              <w:rPr>
                <w:sz w:val="20"/>
              </w:rPr>
              <w:t>wrong</w:t>
            </w:r>
            <w:r>
              <w:rPr>
                <w:spacing w:val="-3"/>
                <w:sz w:val="20"/>
              </w:rPr>
              <w:t xml:space="preserve"> </w:t>
            </w:r>
            <w:r>
              <w:rPr>
                <w:sz w:val="20"/>
              </w:rPr>
              <w:t>with</w:t>
            </w:r>
            <w:r>
              <w:rPr>
                <w:spacing w:val="-2"/>
                <w:sz w:val="20"/>
              </w:rPr>
              <w:t xml:space="preserve"> </w:t>
            </w:r>
            <w:r>
              <w:rPr>
                <w:sz w:val="20"/>
              </w:rPr>
              <w:t>the</w:t>
            </w:r>
            <w:r>
              <w:rPr>
                <w:spacing w:val="-4"/>
                <w:sz w:val="20"/>
              </w:rPr>
              <w:t xml:space="preserve"> </w:t>
            </w:r>
            <w:r>
              <w:rPr>
                <w:sz w:val="20"/>
              </w:rPr>
              <w:t>client</w:t>
            </w:r>
            <w:r>
              <w:rPr>
                <w:spacing w:val="-3"/>
                <w:sz w:val="20"/>
              </w:rPr>
              <w:t xml:space="preserve"> </w:t>
            </w:r>
            <w:r>
              <w:rPr>
                <w:sz w:val="20"/>
              </w:rPr>
              <w:t>or</w:t>
            </w:r>
            <w:r>
              <w:rPr>
                <w:spacing w:val="-3"/>
                <w:sz w:val="20"/>
              </w:rPr>
              <w:t xml:space="preserve"> </w:t>
            </w:r>
            <w:r>
              <w:rPr>
                <w:sz w:val="20"/>
              </w:rPr>
              <w:t>with</w:t>
            </w:r>
            <w:r>
              <w:rPr>
                <w:spacing w:val="-2"/>
                <w:sz w:val="20"/>
              </w:rPr>
              <w:t xml:space="preserve"> </w:t>
            </w:r>
            <w:r>
              <w:rPr>
                <w:sz w:val="20"/>
              </w:rPr>
              <w:t>what</w:t>
            </w:r>
            <w:r>
              <w:rPr>
                <w:spacing w:val="-3"/>
                <w:sz w:val="20"/>
              </w:rPr>
              <w:t xml:space="preserve"> </w:t>
            </w:r>
            <w:r>
              <w:rPr>
                <w:sz w:val="20"/>
              </w:rPr>
              <w:t>the client has said. Even simple disagreement may be interpreted as critical.</w:t>
            </w:r>
          </w:p>
        </w:tc>
      </w:tr>
      <w:tr w:rsidR="00DB6E1F" w14:paraId="18057BE1" w14:textId="77777777">
        <w:trPr>
          <w:trHeight w:val="1096"/>
        </w:trPr>
        <w:tc>
          <w:tcPr>
            <w:tcW w:w="2606" w:type="dxa"/>
          </w:tcPr>
          <w:p w14:paraId="7820D0B2" w14:textId="77777777" w:rsidR="00DB6E1F" w:rsidRDefault="00F666A6">
            <w:pPr>
              <w:pStyle w:val="TableParagraph"/>
              <w:spacing w:before="121"/>
              <w:ind w:left="357" w:hanging="272"/>
              <w:rPr>
                <w:b/>
                <w:sz w:val="20"/>
              </w:rPr>
            </w:pPr>
            <w:r>
              <w:rPr>
                <w:b/>
                <w:sz w:val="20"/>
              </w:rPr>
              <w:t>7.</w:t>
            </w:r>
            <w:r>
              <w:rPr>
                <w:b/>
                <w:spacing w:val="40"/>
                <w:sz w:val="20"/>
              </w:rPr>
              <w:t xml:space="preserve"> </w:t>
            </w:r>
            <w:r>
              <w:rPr>
                <w:b/>
                <w:sz w:val="20"/>
              </w:rPr>
              <w:t>Agreeing,</w:t>
            </w:r>
            <w:r>
              <w:rPr>
                <w:b/>
                <w:spacing w:val="-9"/>
                <w:sz w:val="20"/>
              </w:rPr>
              <w:t xml:space="preserve"> </w:t>
            </w:r>
            <w:r>
              <w:rPr>
                <w:b/>
                <w:sz w:val="20"/>
              </w:rPr>
              <w:t>approving,</w:t>
            </w:r>
            <w:r>
              <w:rPr>
                <w:b/>
                <w:spacing w:val="-9"/>
                <w:sz w:val="20"/>
              </w:rPr>
              <w:t xml:space="preserve"> </w:t>
            </w:r>
            <w:r>
              <w:rPr>
                <w:b/>
                <w:sz w:val="20"/>
              </w:rPr>
              <w:t xml:space="preserve">or </w:t>
            </w:r>
            <w:r>
              <w:rPr>
                <w:b/>
                <w:spacing w:val="-2"/>
                <w:sz w:val="20"/>
              </w:rPr>
              <w:t>praising</w:t>
            </w:r>
          </w:p>
        </w:tc>
        <w:tc>
          <w:tcPr>
            <w:tcW w:w="6744" w:type="dxa"/>
          </w:tcPr>
          <w:p w14:paraId="1DF340B1" w14:textId="77777777" w:rsidR="00DB6E1F" w:rsidRDefault="00F666A6">
            <w:pPr>
              <w:pStyle w:val="TableParagraph"/>
              <w:ind w:left="105" w:right="14"/>
              <w:rPr>
                <w:sz w:val="20"/>
              </w:rPr>
            </w:pPr>
            <w:r>
              <w:rPr>
                <w:sz w:val="20"/>
              </w:rPr>
              <w:t>Praise or approval can be an obstacle if the message sanctions or implies agreement</w:t>
            </w:r>
            <w:r>
              <w:rPr>
                <w:spacing w:val="-2"/>
                <w:sz w:val="20"/>
              </w:rPr>
              <w:t xml:space="preserve"> </w:t>
            </w:r>
            <w:r>
              <w:rPr>
                <w:sz w:val="20"/>
              </w:rPr>
              <w:t>with whatever</w:t>
            </w:r>
            <w:r>
              <w:rPr>
                <w:spacing w:val="-3"/>
                <w:sz w:val="20"/>
              </w:rPr>
              <w:t xml:space="preserve"> </w:t>
            </w:r>
            <w:r>
              <w:rPr>
                <w:sz w:val="20"/>
              </w:rPr>
              <w:t>the</w:t>
            </w:r>
            <w:r>
              <w:rPr>
                <w:spacing w:val="-1"/>
                <w:sz w:val="20"/>
              </w:rPr>
              <w:t xml:space="preserve"> </w:t>
            </w:r>
            <w:r>
              <w:rPr>
                <w:sz w:val="20"/>
              </w:rPr>
              <w:t>client</w:t>
            </w:r>
            <w:r>
              <w:rPr>
                <w:spacing w:val="-3"/>
                <w:sz w:val="20"/>
              </w:rPr>
              <w:t xml:space="preserve"> </w:t>
            </w:r>
            <w:r>
              <w:rPr>
                <w:sz w:val="20"/>
              </w:rPr>
              <w:t>has</w:t>
            </w:r>
            <w:r>
              <w:rPr>
                <w:spacing w:val="-4"/>
                <w:sz w:val="20"/>
              </w:rPr>
              <w:t xml:space="preserve"> </w:t>
            </w:r>
            <w:r>
              <w:rPr>
                <w:sz w:val="20"/>
              </w:rPr>
              <w:t>said</w:t>
            </w:r>
            <w:r>
              <w:rPr>
                <w:spacing w:val="-2"/>
                <w:sz w:val="20"/>
              </w:rPr>
              <w:t xml:space="preserve"> </w:t>
            </w:r>
            <w:r>
              <w:rPr>
                <w:sz w:val="20"/>
              </w:rPr>
              <w:t>or</w:t>
            </w:r>
            <w:r>
              <w:rPr>
                <w:spacing w:val="-3"/>
                <w:sz w:val="20"/>
              </w:rPr>
              <w:t xml:space="preserve"> </w:t>
            </w:r>
            <w:r>
              <w:rPr>
                <w:sz w:val="20"/>
              </w:rPr>
              <w:t>if</w:t>
            </w:r>
            <w:r>
              <w:rPr>
                <w:spacing w:val="-4"/>
                <w:sz w:val="20"/>
              </w:rPr>
              <w:t xml:space="preserve"> </w:t>
            </w:r>
            <w:r>
              <w:rPr>
                <w:sz w:val="20"/>
              </w:rPr>
              <w:t>the</w:t>
            </w:r>
            <w:r>
              <w:rPr>
                <w:spacing w:val="-4"/>
                <w:sz w:val="20"/>
              </w:rPr>
              <w:t xml:space="preserve"> </w:t>
            </w:r>
            <w:r>
              <w:rPr>
                <w:sz w:val="20"/>
              </w:rPr>
              <w:t>praise</w:t>
            </w:r>
            <w:r>
              <w:rPr>
                <w:spacing w:val="-1"/>
                <w:sz w:val="20"/>
              </w:rPr>
              <w:t xml:space="preserve"> </w:t>
            </w:r>
            <w:r>
              <w:rPr>
                <w:sz w:val="20"/>
              </w:rPr>
              <w:t>is</w:t>
            </w:r>
            <w:r>
              <w:rPr>
                <w:spacing w:val="-4"/>
                <w:sz w:val="20"/>
              </w:rPr>
              <w:t xml:space="preserve"> </w:t>
            </w:r>
            <w:r>
              <w:rPr>
                <w:sz w:val="20"/>
              </w:rPr>
              <w:t>giv</w:t>
            </w:r>
            <w:r>
              <w:rPr>
                <w:sz w:val="20"/>
              </w:rPr>
              <w:t>en</w:t>
            </w:r>
            <w:r>
              <w:rPr>
                <w:spacing w:val="-2"/>
                <w:sz w:val="20"/>
              </w:rPr>
              <w:t xml:space="preserve"> </w:t>
            </w:r>
            <w:r>
              <w:rPr>
                <w:sz w:val="20"/>
              </w:rPr>
              <w:t>too</w:t>
            </w:r>
            <w:r>
              <w:rPr>
                <w:spacing w:val="-2"/>
                <w:sz w:val="20"/>
              </w:rPr>
              <w:t xml:space="preserve"> </w:t>
            </w:r>
            <w:r>
              <w:rPr>
                <w:sz w:val="20"/>
              </w:rPr>
              <w:t>often</w:t>
            </w:r>
            <w:r>
              <w:rPr>
                <w:spacing w:val="-2"/>
                <w:sz w:val="20"/>
              </w:rPr>
              <w:t xml:space="preserve"> </w:t>
            </w:r>
            <w:r>
              <w:rPr>
                <w:sz w:val="20"/>
              </w:rPr>
              <w:t>or in general terms, like “great job.” This can lessen the impact on the person or simply disrupt the flow of the conversation</w:t>
            </w:r>
          </w:p>
        </w:tc>
      </w:tr>
      <w:tr w:rsidR="00DB6E1F" w14:paraId="24C9DA2B" w14:textId="77777777">
        <w:trPr>
          <w:trHeight w:val="851"/>
        </w:trPr>
        <w:tc>
          <w:tcPr>
            <w:tcW w:w="2606" w:type="dxa"/>
          </w:tcPr>
          <w:p w14:paraId="256E1558" w14:textId="77777777" w:rsidR="00DB6E1F" w:rsidRDefault="00F666A6">
            <w:pPr>
              <w:pStyle w:val="TableParagraph"/>
              <w:spacing w:before="39"/>
              <w:ind w:left="357" w:hanging="272"/>
              <w:rPr>
                <w:b/>
                <w:sz w:val="20"/>
              </w:rPr>
            </w:pPr>
            <w:r>
              <w:rPr>
                <w:b/>
                <w:sz w:val="20"/>
              </w:rPr>
              <w:t>8.</w:t>
            </w:r>
            <w:r>
              <w:rPr>
                <w:b/>
                <w:spacing w:val="40"/>
                <w:sz w:val="20"/>
              </w:rPr>
              <w:t xml:space="preserve"> </w:t>
            </w:r>
            <w:r>
              <w:rPr>
                <w:b/>
                <w:sz w:val="20"/>
              </w:rPr>
              <w:t>Shaming,</w:t>
            </w:r>
            <w:r>
              <w:rPr>
                <w:b/>
                <w:spacing w:val="-9"/>
                <w:sz w:val="20"/>
              </w:rPr>
              <w:t xml:space="preserve"> </w:t>
            </w:r>
            <w:r>
              <w:rPr>
                <w:b/>
                <w:sz w:val="20"/>
              </w:rPr>
              <w:t>ridiculing,</w:t>
            </w:r>
            <w:r>
              <w:rPr>
                <w:b/>
                <w:spacing w:val="-9"/>
                <w:sz w:val="20"/>
              </w:rPr>
              <w:t xml:space="preserve"> </w:t>
            </w:r>
            <w:r>
              <w:rPr>
                <w:b/>
                <w:sz w:val="20"/>
              </w:rPr>
              <w:t xml:space="preserve">or </w:t>
            </w:r>
            <w:r>
              <w:rPr>
                <w:b/>
                <w:spacing w:val="-2"/>
                <w:sz w:val="20"/>
              </w:rPr>
              <w:t>labeling</w:t>
            </w:r>
          </w:p>
        </w:tc>
        <w:tc>
          <w:tcPr>
            <w:tcW w:w="6744" w:type="dxa"/>
          </w:tcPr>
          <w:p w14:paraId="0B35AA10" w14:textId="77777777" w:rsidR="00DB6E1F" w:rsidRDefault="00F666A6">
            <w:pPr>
              <w:pStyle w:val="TableParagraph"/>
              <w:ind w:left="105" w:right="178"/>
              <w:rPr>
                <w:sz w:val="20"/>
              </w:rPr>
            </w:pPr>
            <w:r>
              <w:rPr>
                <w:sz w:val="20"/>
              </w:rPr>
              <w:t>These</w:t>
            </w:r>
            <w:r>
              <w:rPr>
                <w:spacing w:val="-5"/>
                <w:sz w:val="20"/>
              </w:rPr>
              <w:t xml:space="preserve"> </w:t>
            </w:r>
            <w:r>
              <w:rPr>
                <w:sz w:val="20"/>
              </w:rPr>
              <w:t>statements</w:t>
            </w:r>
            <w:r>
              <w:rPr>
                <w:spacing w:val="-6"/>
                <w:sz w:val="20"/>
              </w:rPr>
              <w:t xml:space="preserve"> </w:t>
            </w:r>
            <w:r>
              <w:rPr>
                <w:sz w:val="20"/>
              </w:rPr>
              <w:t>express</w:t>
            </w:r>
            <w:r>
              <w:rPr>
                <w:spacing w:val="-5"/>
                <w:sz w:val="20"/>
              </w:rPr>
              <w:t xml:space="preserve"> </w:t>
            </w:r>
            <w:r>
              <w:rPr>
                <w:sz w:val="20"/>
              </w:rPr>
              <w:t>disapproval</w:t>
            </w:r>
            <w:r>
              <w:rPr>
                <w:spacing w:val="-5"/>
                <w:sz w:val="20"/>
              </w:rPr>
              <w:t xml:space="preserve"> </w:t>
            </w:r>
            <w:r>
              <w:rPr>
                <w:sz w:val="20"/>
              </w:rPr>
              <w:t>and</w:t>
            </w:r>
            <w:r>
              <w:rPr>
                <w:spacing w:val="-3"/>
                <w:sz w:val="20"/>
              </w:rPr>
              <w:t xml:space="preserve"> </w:t>
            </w:r>
            <w:r>
              <w:rPr>
                <w:sz w:val="20"/>
              </w:rPr>
              <w:t>intent</w:t>
            </w:r>
            <w:r>
              <w:rPr>
                <w:spacing w:val="-4"/>
                <w:sz w:val="20"/>
              </w:rPr>
              <w:t xml:space="preserve"> </w:t>
            </w:r>
            <w:r>
              <w:rPr>
                <w:sz w:val="20"/>
              </w:rPr>
              <w:t>to</w:t>
            </w:r>
            <w:r>
              <w:rPr>
                <w:spacing w:val="-4"/>
                <w:sz w:val="20"/>
              </w:rPr>
              <w:t xml:space="preserve"> </w:t>
            </w:r>
            <w:r>
              <w:rPr>
                <w:sz w:val="20"/>
              </w:rPr>
              <w:t>correct</w:t>
            </w:r>
            <w:r>
              <w:rPr>
                <w:spacing w:val="-4"/>
                <w:sz w:val="20"/>
              </w:rPr>
              <w:t xml:space="preserve"> </w:t>
            </w:r>
            <w:r>
              <w:rPr>
                <w:sz w:val="20"/>
              </w:rPr>
              <w:t>a</w:t>
            </w:r>
            <w:r>
              <w:rPr>
                <w:spacing w:val="-4"/>
                <w:sz w:val="20"/>
              </w:rPr>
              <w:t xml:space="preserve"> </w:t>
            </w:r>
            <w:r>
              <w:rPr>
                <w:sz w:val="20"/>
              </w:rPr>
              <w:t>specific</w:t>
            </w:r>
            <w:r>
              <w:rPr>
                <w:spacing w:val="-4"/>
                <w:sz w:val="20"/>
              </w:rPr>
              <w:t xml:space="preserve"> </w:t>
            </w:r>
            <w:r>
              <w:rPr>
                <w:sz w:val="20"/>
              </w:rPr>
              <w:t>behavior or attitude. They can damage self-esteem and cause major disruptions in the counseling alliance.</w:t>
            </w:r>
          </w:p>
        </w:tc>
      </w:tr>
      <w:tr w:rsidR="00DB6E1F" w14:paraId="45F5A127" w14:textId="77777777">
        <w:trPr>
          <w:trHeight w:val="1096"/>
        </w:trPr>
        <w:tc>
          <w:tcPr>
            <w:tcW w:w="2606" w:type="dxa"/>
          </w:tcPr>
          <w:p w14:paraId="6EC3597E" w14:textId="77777777" w:rsidR="00DB6E1F" w:rsidRDefault="00F666A6">
            <w:pPr>
              <w:pStyle w:val="TableParagraph"/>
              <w:spacing w:before="39"/>
              <w:ind w:left="86"/>
              <w:rPr>
                <w:b/>
                <w:sz w:val="20"/>
              </w:rPr>
            </w:pPr>
            <w:r>
              <w:rPr>
                <w:b/>
                <w:sz w:val="20"/>
              </w:rPr>
              <w:t>9.</w:t>
            </w:r>
            <w:r>
              <w:rPr>
                <w:b/>
                <w:spacing w:val="64"/>
                <w:sz w:val="20"/>
              </w:rPr>
              <w:t xml:space="preserve"> </w:t>
            </w:r>
            <w:r>
              <w:rPr>
                <w:b/>
                <w:sz w:val="20"/>
              </w:rPr>
              <w:t>Interpreting</w:t>
            </w:r>
            <w:r>
              <w:rPr>
                <w:b/>
                <w:spacing w:val="-3"/>
                <w:sz w:val="20"/>
              </w:rPr>
              <w:t xml:space="preserve"> </w:t>
            </w:r>
            <w:r>
              <w:rPr>
                <w:b/>
                <w:sz w:val="20"/>
              </w:rPr>
              <w:t>or</w:t>
            </w:r>
            <w:r>
              <w:rPr>
                <w:b/>
                <w:spacing w:val="-4"/>
                <w:sz w:val="20"/>
              </w:rPr>
              <w:t xml:space="preserve"> </w:t>
            </w:r>
            <w:r>
              <w:rPr>
                <w:b/>
                <w:spacing w:val="-2"/>
                <w:sz w:val="20"/>
              </w:rPr>
              <w:t>analyzing</w:t>
            </w:r>
          </w:p>
        </w:tc>
        <w:tc>
          <w:tcPr>
            <w:tcW w:w="6744" w:type="dxa"/>
          </w:tcPr>
          <w:p w14:paraId="574D279D" w14:textId="77777777" w:rsidR="00DB6E1F" w:rsidRDefault="00F666A6">
            <w:pPr>
              <w:pStyle w:val="TableParagraph"/>
              <w:ind w:left="105" w:right="119"/>
              <w:rPr>
                <w:sz w:val="20"/>
              </w:rPr>
            </w:pPr>
            <w:r>
              <w:rPr>
                <w:sz w:val="20"/>
              </w:rPr>
              <w:t>You may be tempted to impose your own interpretations on a client’s</w:t>
            </w:r>
            <w:r>
              <w:rPr>
                <w:spacing w:val="40"/>
                <w:sz w:val="20"/>
              </w:rPr>
              <w:t xml:space="preserve"> </w:t>
            </w:r>
            <w:r>
              <w:rPr>
                <w:sz w:val="20"/>
              </w:rPr>
              <w:t>statement</w:t>
            </w:r>
            <w:r>
              <w:rPr>
                <w:spacing w:val="-4"/>
                <w:sz w:val="20"/>
              </w:rPr>
              <w:t xml:space="preserve"> </w:t>
            </w:r>
            <w:r>
              <w:rPr>
                <w:sz w:val="20"/>
              </w:rPr>
              <w:t>and</w:t>
            </w:r>
            <w:r>
              <w:rPr>
                <w:spacing w:val="-4"/>
                <w:sz w:val="20"/>
              </w:rPr>
              <w:t xml:space="preserve"> </w:t>
            </w:r>
            <w:r>
              <w:rPr>
                <w:sz w:val="20"/>
              </w:rPr>
              <w:t>to</w:t>
            </w:r>
            <w:r>
              <w:rPr>
                <w:spacing w:val="-4"/>
                <w:sz w:val="20"/>
              </w:rPr>
              <w:t xml:space="preserve"> </w:t>
            </w:r>
            <w:r>
              <w:rPr>
                <w:sz w:val="20"/>
              </w:rPr>
              <w:t>find</w:t>
            </w:r>
            <w:r>
              <w:rPr>
                <w:spacing w:val="-4"/>
                <w:sz w:val="20"/>
              </w:rPr>
              <w:t xml:space="preserve"> </w:t>
            </w:r>
            <w:r>
              <w:rPr>
                <w:sz w:val="20"/>
              </w:rPr>
              <w:t>some</w:t>
            </w:r>
            <w:r>
              <w:rPr>
                <w:spacing w:val="-6"/>
                <w:sz w:val="20"/>
              </w:rPr>
              <w:t xml:space="preserve"> </w:t>
            </w:r>
            <w:r>
              <w:rPr>
                <w:sz w:val="20"/>
              </w:rPr>
              <w:t>hidden,</w:t>
            </w:r>
            <w:r>
              <w:rPr>
                <w:spacing w:val="-6"/>
                <w:sz w:val="20"/>
              </w:rPr>
              <w:t xml:space="preserve"> </w:t>
            </w:r>
            <w:r>
              <w:rPr>
                <w:sz w:val="20"/>
              </w:rPr>
              <w:t>analytical</w:t>
            </w:r>
            <w:r>
              <w:rPr>
                <w:spacing w:val="-5"/>
                <w:sz w:val="20"/>
              </w:rPr>
              <w:t xml:space="preserve"> </w:t>
            </w:r>
            <w:r>
              <w:rPr>
                <w:sz w:val="20"/>
              </w:rPr>
              <w:t>meanin</w:t>
            </w:r>
            <w:r>
              <w:rPr>
                <w:sz w:val="20"/>
              </w:rPr>
              <w:t>g.</w:t>
            </w:r>
            <w:r>
              <w:rPr>
                <w:spacing w:val="-5"/>
                <w:sz w:val="20"/>
              </w:rPr>
              <w:t xml:space="preserve"> </w:t>
            </w:r>
            <w:r>
              <w:rPr>
                <w:sz w:val="20"/>
              </w:rPr>
              <w:t>Interpretive</w:t>
            </w:r>
            <w:r>
              <w:rPr>
                <w:spacing w:val="-6"/>
                <w:sz w:val="20"/>
              </w:rPr>
              <w:t xml:space="preserve"> </w:t>
            </w:r>
            <w:r>
              <w:rPr>
                <w:sz w:val="20"/>
              </w:rPr>
              <w:t>statements might imply you know</w:t>
            </w:r>
            <w:r>
              <w:rPr>
                <w:spacing w:val="-1"/>
                <w:sz w:val="20"/>
              </w:rPr>
              <w:t xml:space="preserve"> </w:t>
            </w:r>
            <w:r>
              <w:rPr>
                <w:sz w:val="20"/>
              </w:rPr>
              <w:t>what the</w:t>
            </w:r>
            <w:r>
              <w:rPr>
                <w:spacing w:val="-1"/>
                <w:sz w:val="20"/>
              </w:rPr>
              <w:t xml:space="preserve"> </w:t>
            </w:r>
            <w:r>
              <w:rPr>
                <w:sz w:val="20"/>
              </w:rPr>
              <w:t>client’s</w:t>
            </w:r>
            <w:r>
              <w:rPr>
                <w:spacing w:val="-1"/>
                <w:sz w:val="20"/>
              </w:rPr>
              <w:t xml:space="preserve"> </w:t>
            </w:r>
            <w:r>
              <w:rPr>
                <w:sz w:val="20"/>
              </w:rPr>
              <w:t>“real” problem</w:t>
            </w:r>
            <w:r>
              <w:rPr>
                <w:spacing w:val="-1"/>
                <w:sz w:val="20"/>
              </w:rPr>
              <w:t xml:space="preserve"> </w:t>
            </w:r>
            <w:r>
              <w:rPr>
                <w:sz w:val="20"/>
              </w:rPr>
              <w:t>is</w:t>
            </w:r>
            <w:r>
              <w:rPr>
                <w:spacing w:val="-1"/>
                <w:sz w:val="20"/>
              </w:rPr>
              <w:t xml:space="preserve"> </w:t>
            </w:r>
            <w:r>
              <w:rPr>
                <w:sz w:val="20"/>
              </w:rPr>
              <w:t>and puts</w:t>
            </w:r>
            <w:r>
              <w:rPr>
                <w:spacing w:val="-1"/>
                <w:sz w:val="20"/>
              </w:rPr>
              <w:t xml:space="preserve"> </w:t>
            </w:r>
            <w:r>
              <w:rPr>
                <w:sz w:val="20"/>
              </w:rPr>
              <w:t>you in</w:t>
            </w:r>
            <w:r>
              <w:rPr>
                <w:spacing w:val="-2"/>
                <w:sz w:val="20"/>
              </w:rPr>
              <w:t xml:space="preserve"> </w:t>
            </w:r>
            <w:r>
              <w:rPr>
                <w:sz w:val="20"/>
              </w:rPr>
              <w:t>a one- up position.</w:t>
            </w:r>
          </w:p>
        </w:tc>
      </w:tr>
      <w:tr w:rsidR="00DB6E1F" w14:paraId="7B88F0A2" w14:textId="77777777">
        <w:trPr>
          <w:trHeight w:val="1096"/>
        </w:trPr>
        <w:tc>
          <w:tcPr>
            <w:tcW w:w="2606" w:type="dxa"/>
          </w:tcPr>
          <w:p w14:paraId="7B343D51" w14:textId="77777777" w:rsidR="00DB6E1F" w:rsidRDefault="00F666A6">
            <w:pPr>
              <w:pStyle w:val="TableParagraph"/>
              <w:spacing w:before="39"/>
              <w:ind w:left="357" w:right="855" w:hanging="272"/>
              <w:rPr>
                <w:b/>
                <w:sz w:val="20"/>
              </w:rPr>
            </w:pPr>
            <w:r>
              <w:rPr>
                <w:b/>
                <w:sz w:val="20"/>
              </w:rPr>
              <w:t>10.</w:t>
            </w:r>
            <w:r>
              <w:rPr>
                <w:b/>
                <w:spacing w:val="-29"/>
                <w:sz w:val="20"/>
              </w:rPr>
              <w:t xml:space="preserve"> </w:t>
            </w:r>
            <w:r>
              <w:rPr>
                <w:b/>
                <w:sz w:val="20"/>
              </w:rPr>
              <w:t>Reassuring, sympathizing,</w:t>
            </w:r>
            <w:r>
              <w:rPr>
                <w:b/>
                <w:spacing w:val="-12"/>
                <w:sz w:val="20"/>
              </w:rPr>
              <w:t xml:space="preserve"> </w:t>
            </w:r>
            <w:r>
              <w:rPr>
                <w:b/>
                <w:sz w:val="20"/>
              </w:rPr>
              <w:t xml:space="preserve">or </w:t>
            </w:r>
            <w:r>
              <w:rPr>
                <w:b/>
                <w:spacing w:val="-2"/>
                <w:sz w:val="20"/>
              </w:rPr>
              <w:t>consoling</w:t>
            </w:r>
          </w:p>
        </w:tc>
        <w:tc>
          <w:tcPr>
            <w:tcW w:w="6744" w:type="dxa"/>
          </w:tcPr>
          <w:p w14:paraId="1E2138B3" w14:textId="77777777" w:rsidR="00DB6E1F" w:rsidRDefault="00F666A6">
            <w:pPr>
              <w:pStyle w:val="TableParagraph"/>
              <w:ind w:left="105" w:right="129"/>
              <w:rPr>
                <w:sz w:val="20"/>
              </w:rPr>
            </w:pPr>
            <w:r>
              <w:rPr>
                <w:sz w:val="20"/>
              </w:rPr>
              <w:t>Counselors</w:t>
            </w:r>
            <w:r>
              <w:rPr>
                <w:spacing w:val="-4"/>
                <w:sz w:val="20"/>
              </w:rPr>
              <w:t xml:space="preserve"> </w:t>
            </w:r>
            <w:r>
              <w:rPr>
                <w:sz w:val="20"/>
              </w:rPr>
              <w:t>often</w:t>
            </w:r>
            <w:r>
              <w:rPr>
                <w:spacing w:val="-1"/>
                <w:sz w:val="20"/>
              </w:rPr>
              <w:t xml:space="preserve"> </w:t>
            </w:r>
            <w:r>
              <w:rPr>
                <w:sz w:val="20"/>
              </w:rPr>
              <w:t>want</w:t>
            </w:r>
            <w:r>
              <w:rPr>
                <w:spacing w:val="-3"/>
                <w:sz w:val="20"/>
              </w:rPr>
              <w:t xml:space="preserve"> </w:t>
            </w:r>
            <w:r>
              <w:rPr>
                <w:sz w:val="20"/>
              </w:rPr>
              <w:t>to</w:t>
            </w:r>
            <w:r>
              <w:rPr>
                <w:spacing w:val="-3"/>
                <w:sz w:val="20"/>
              </w:rPr>
              <w:t xml:space="preserve"> </w:t>
            </w:r>
            <w:r>
              <w:rPr>
                <w:sz w:val="20"/>
              </w:rPr>
              <w:t>console</w:t>
            </w:r>
            <w:r>
              <w:rPr>
                <w:spacing w:val="-4"/>
                <w:sz w:val="20"/>
              </w:rPr>
              <w:t xml:space="preserve"> </w:t>
            </w:r>
            <w:r>
              <w:rPr>
                <w:sz w:val="20"/>
              </w:rPr>
              <w:t>the</w:t>
            </w:r>
            <w:r>
              <w:rPr>
                <w:spacing w:val="-4"/>
                <w:sz w:val="20"/>
              </w:rPr>
              <w:t xml:space="preserve"> </w:t>
            </w:r>
            <w:r>
              <w:rPr>
                <w:sz w:val="20"/>
              </w:rPr>
              <w:t>client.</w:t>
            </w:r>
            <w:r>
              <w:rPr>
                <w:spacing w:val="-3"/>
                <w:sz w:val="20"/>
              </w:rPr>
              <w:t xml:space="preserve"> </w:t>
            </w:r>
            <w:r>
              <w:rPr>
                <w:sz w:val="20"/>
              </w:rPr>
              <w:t>It</w:t>
            </w:r>
            <w:r>
              <w:rPr>
                <w:spacing w:val="-3"/>
                <w:sz w:val="20"/>
              </w:rPr>
              <w:t xml:space="preserve"> </w:t>
            </w:r>
            <w:r>
              <w:rPr>
                <w:sz w:val="20"/>
              </w:rPr>
              <w:t>is</w:t>
            </w:r>
            <w:r>
              <w:rPr>
                <w:spacing w:val="-4"/>
                <w:sz w:val="20"/>
              </w:rPr>
              <w:t xml:space="preserve"> </w:t>
            </w:r>
            <w:r>
              <w:rPr>
                <w:sz w:val="20"/>
              </w:rPr>
              <w:t>human</w:t>
            </w:r>
            <w:r>
              <w:rPr>
                <w:spacing w:val="-2"/>
                <w:sz w:val="20"/>
              </w:rPr>
              <w:t xml:space="preserve"> </w:t>
            </w:r>
            <w:r>
              <w:rPr>
                <w:sz w:val="20"/>
              </w:rPr>
              <w:t>nature</w:t>
            </w:r>
            <w:r>
              <w:rPr>
                <w:spacing w:val="-3"/>
                <w:sz w:val="20"/>
              </w:rPr>
              <w:t xml:space="preserve"> </w:t>
            </w:r>
            <w:r>
              <w:rPr>
                <w:sz w:val="20"/>
              </w:rPr>
              <w:t>to</w:t>
            </w:r>
            <w:r>
              <w:rPr>
                <w:spacing w:val="-2"/>
                <w:sz w:val="20"/>
              </w:rPr>
              <w:t xml:space="preserve"> </w:t>
            </w:r>
            <w:r>
              <w:rPr>
                <w:sz w:val="20"/>
              </w:rPr>
              <w:t>want</w:t>
            </w:r>
            <w:r>
              <w:rPr>
                <w:spacing w:val="-3"/>
                <w:sz w:val="20"/>
              </w:rPr>
              <w:t xml:space="preserve"> </w:t>
            </w:r>
            <w:r>
              <w:rPr>
                <w:sz w:val="20"/>
              </w:rPr>
              <w:t>to reassure someone who is in pain; however, sympathy is not the same as empathy. Such reassurance can interrupt the flow of communication and interfere with careful listening.</w:t>
            </w:r>
          </w:p>
        </w:tc>
      </w:tr>
      <w:tr w:rsidR="00DB6E1F" w14:paraId="3C252D31" w14:textId="77777777">
        <w:trPr>
          <w:trHeight w:val="733"/>
        </w:trPr>
        <w:tc>
          <w:tcPr>
            <w:tcW w:w="2606" w:type="dxa"/>
          </w:tcPr>
          <w:p w14:paraId="4F846D3D" w14:textId="77777777" w:rsidR="00DB6E1F" w:rsidRDefault="00F666A6">
            <w:pPr>
              <w:pStyle w:val="TableParagraph"/>
              <w:spacing w:before="39"/>
              <w:ind w:left="86"/>
              <w:rPr>
                <w:b/>
                <w:sz w:val="20"/>
              </w:rPr>
            </w:pPr>
            <w:r>
              <w:rPr>
                <w:b/>
                <w:sz w:val="20"/>
              </w:rPr>
              <w:t>11.</w:t>
            </w:r>
            <w:r>
              <w:rPr>
                <w:b/>
                <w:spacing w:val="-29"/>
                <w:sz w:val="20"/>
              </w:rPr>
              <w:t xml:space="preserve"> </w:t>
            </w:r>
            <w:r>
              <w:rPr>
                <w:b/>
                <w:sz w:val="20"/>
              </w:rPr>
              <w:t>Questioning</w:t>
            </w:r>
            <w:r>
              <w:rPr>
                <w:b/>
                <w:spacing w:val="-10"/>
                <w:sz w:val="20"/>
              </w:rPr>
              <w:t xml:space="preserve"> </w:t>
            </w:r>
            <w:r>
              <w:rPr>
                <w:b/>
                <w:sz w:val="20"/>
              </w:rPr>
              <w:t>or</w:t>
            </w:r>
            <w:r>
              <w:rPr>
                <w:b/>
                <w:spacing w:val="-5"/>
                <w:sz w:val="20"/>
              </w:rPr>
              <w:t xml:space="preserve"> </w:t>
            </w:r>
            <w:r>
              <w:rPr>
                <w:b/>
                <w:spacing w:val="-2"/>
                <w:sz w:val="20"/>
              </w:rPr>
              <w:t>probing</w:t>
            </w:r>
          </w:p>
        </w:tc>
        <w:tc>
          <w:tcPr>
            <w:tcW w:w="6744" w:type="dxa"/>
          </w:tcPr>
          <w:p w14:paraId="265F96B4" w14:textId="77777777" w:rsidR="00DB6E1F" w:rsidRDefault="00F666A6">
            <w:pPr>
              <w:pStyle w:val="TableParagraph"/>
              <w:spacing w:before="0" w:line="240" w:lineRule="atLeast"/>
              <w:ind w:left="105" w:right="129"/>
              <w:rPr>
                <w:sz w:val="20"/>
              </w:rPr>
            </w:pPr>
            <w:r>
              <w:rPr>
                <w:sz w:val="20"/>
              </w:rPr>
              <w:t>Do</w:t>
            </w:r>
            <w:r>
              <w:rPr>
                <w:spacing w:val="-3"/>
                <w:sz w:val="20"/>
              </w:rPr>
              <w:t xml:space="preserve"> </w:t>
            </w:r>
            <w:r>
              <w:rPr>
                <w:sz w:val="20"/>
              </w:rPr>
              <w:t>not</w:t>
            </w:r>
            <w:r>
              <w:rPr>
                <w:spacing w:val="-4"/>
                <w:sz w:val="20"/>
              </w:rPr>
              <w:t xml:space="preserve"> </w:t>
            </w:r>
            <w:r>
              <w:rPr>
                <w:sz w:val="20"/>
              </w:rPr>
              <w:t>mistake</w:t>
            </w:r>
            <w:r>
              <w:rPr>
                <w:spacing w:val="-5"/>
                <w:sz w:val="20"/>
              </w:rPr>
              <w:t xml:space="preserve"> </w:t>
            </w:r>
            <w:r>
              <w:rPr>
                <w:sz w:val="20"/>
              </w:rPr>
              <w:t>questioning</w:t>
            </w:r>
            <w:r>
              <w:rPr>
                <w:spacing w:val="-4"/>
                <w:sz w:val="20"/>
              </w:rPr>
              <w:t xml:space="preserve"> </w:t>
            </w:r>
            <w:r>
              <w:rPr>
                <w:sz w:val="20"/>
              </w:rPr>
              <w:t>for</w:t>
            </w:r>
            <w:r>
              <w:rPr>
                <w:spacing w:val="-4"/>
                <w:sz w:val="20"/>
              </w:rPr>
              <w:t xml:space="preserve"> </w:t>
            </w:r>
            <w:r>
              <w:rPr>
                <w:sz w:val="20"/>
              </w:rPr>
              <w:t>good</w:t>
            </w:r>
            <w:r>
              <w:rPr>
                <w:spacing w:val="-3"/>
                <w:sz w:val="20"/>
              </w:rPr>
              <w:t xml:space="preserve"> </w:t>
            </w:r>
            <w:r>
              <w:rPr>
                <w:sz w:val="20"/>
              </w:rPr>
              <w:t>listening.</w:t>
            </w:r>
            <w:r>
              <w:rPr>
                <w:spacing w:val="-4"/>
                <w:sz w:val="20"/>
              </w:rPr>
              <w:t xml:space="preserve"> </w:t>
            </w:r>
            <w:r>
              <w:rPr>
                <w:sz w:val="20"/>
              </w:rPr>
              <w:t>Alth</w:t>
            </w:r>
            <w:r>
              <w:rPr>
                <w:sz w:val="20"/>
              </w:rPr>
              <w:t>ough</w:t>
            </w:r>
            <w:r>
              <w:rPr>
                <w:spacing w:val="-4"/>
                <w:sz w:val="20"/>
              </w:rPr>
              <w:t xml:space="preserve"> </w:t>
            </w:r>
            <w:r>
              <w:rPr>
                <w:sz w:val="20"/>
              </w:rPr>
              <w:t>you</w:t>
            </w:r>
            <w:r>
              <w:rPr>
                <w:spacing w:val="-3"/>
                <w:sz w:val="20"/>
              </w:rPr>
              <w:t xml:space="preserve"> </w:t>
            </w:r>
            <w:r>
              <w:rPr>
                <w:sz w:val="20"/>
              </w:rPr>
              <w:t>may</w:t>
            </w:r>
            <w:r>
              <w:rPr>
                <w:spacing w:val="-3"/>
                <w:sz w:val="20"/>
              </w:rPr>
              <w:t xml:space="preserve"> </w:t>
            </w:r>
            <w:r>
              <w:rPr>
                <w:sz w:val="20"/>
              </w:rPr>
              <w:t>ask</w:t>
            </w:r>
            <w:r>
              <w:rPr>
                <w:spacing w:val="-3"/>
                <w:sz w:val="20"/>
              </w:rPr>
              <w:t xml:space="preserve"> </w:t>
            </w:r>
            <w:r>
              <w:rPr>
                <w:sz w:val="20"/>
              </w:rPr>
              <w:t>questions to learn more about the client, the underlying message is that you might find the right answer to all the client’s problems if enough questions are asked. In</w:t>
            </w:r>
          </w:p>
        </w:tc>
      </w:tr>
    </w:tbl>
    <w:p w14:paraId="7943744F" w14:textId="77777777" w:rsidR="00DB6E1F" w:rsidRDefault="00DB6E1F">
      <w:pPr>
        <w:spacing w:line="240" w:lineRule="atLeast"/>
        <w:rPr>
          <w:sz w:val="20"/>
        </w:rPr>
        <w:sectPr w:rsidR="00DB6E1F">
          <w:pgSz w:w="12240" w:h="15840"/>
          <w:pgMar w:top="1200" w:right="0" w:bottom="780" w:left="0" w:header="763" w:footer="585" w:gutter="0"/>
          <w:cols w:space="720"/>
        </w:sectPr>
      </w:pPr>
    </w:p>
    <w:p w14:paraId="2BD1EDCA"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6744"/>
      </w:tblGrid>
      <w:tr w:rsidR="00DB6E1F" w14:paraId="1C85C6A1" w14:textId="77777777">
        <w:trPr>
          <w:trHeight w:val="609"/>
        </w:trPr>
        <w:tc>
          <w:tcPr>
            <w:tcW w:w="2606" w:type="dxa"/>
          </w:tcPr>
          <w:p w14:paraId="2F9C3839" w14:textId="77777777" w:rsidR="00DB6E1F" w:rsidRDefault="00DB6E1F">
            <w:pPr>
              <w:pStyle w:val="TableParagraph"/>
              <w:spacing w:before="0"/>
              <w:ind w:left="0"/>
              <w:rPr>
                <w:rFonts w:ascii="Times New Roman"/>
                <w:sz w:val="20"/>
              </w:rPr>
            </w:pPr>
          </w:p>
        </w:tc>
        <w:tc>
          <w:tcPr>
            <w:tcW w:w="6744" w:type="dxa"/>
          </w:tcPr>
          <w:p w14:paraId="1725B462" w14:textId="77777777" w:rsidR="00DB6E1F" w:rsidRDefault="00F666A6">
            <w:pPr>
              <w:pStyle w:val="TableParagraph"/>
              <w:ind w:left="105" w:right="178"/>
              <w:rPr>
                <w:sz w:val="20"/>
              </w:rPr>
            </w:pPr>
            <w:r>
              <w:rPr>
                <w:sz w:val="20"/>
              </w:rPr>
              <w:t>fact,</w:t>
            </w:r>
            <w:r>
              <w:rPr>
                <w:spacing w:val="-5"/>
                <w:sz w:val="20"/>
              </w:rPr>
              <w:t xml:space="preserve"> </w:t>
            </w:r>
            <w:r>
              <w:rPr>
                <w:sz w:val="20"/>
              </w:rPr>
              <w:t>intensive</w:t>
            </w:r>
            <w:r>
              <w:rPr>
                <w:spacing w:val="-6"/>
                <w:sz w:val="20"/>
              </w:rPr>
              <w:t xml:space="preserve"> </w:t>
            </w:r>
            <w:r>
              <w:rPr>
                <w:sz w:val="20"/>
              </w:rPr>
              <w:t>questioning</w:t>
            </w:r>
            <w:r>
              <w:rPr>
                <w:spacing w:val="-5"/>
                <w:sz w:val="20"/>
              </w:rPr>
              <w:t xml:space="preserve"> </w:t>
            </w:r>
            <w:r>
              <w:rPr>
                <w:sz w:val="20"/>
              </w:rPr>
              <w:t>can</w:t>
            </w:r>
            <w:r>
              <w:rPr>
                <w:spacing w:val="-5"/>
                <w:sz w:val="20"/>
              </w:rPr>
              <w:t xml:space="preserve"> </w:t>
            </w:r>
            <w:r>
              <w:rPr>
                <w:sz w:val="20"/>
              </w:rPr>
              <w:t>disrupt</w:t>
            </w:r>
            <w:r>
              <w:rPr>
                <w:spacing w:val="-5"/>
                <w:sz w:val="20"/>
              </w:rPr>
              <w:t xml:space="preserve"> </w:t>
            </w:r>
            <w:r>
              <w:rPr>
                <w:sz w:val="20"/>
              </w:rPr>
              <w:t>communication,</w:t>
            </w:r>
            <w:r>
              <w:rPr>
                <w:spacing w:val="-5"/>
                <w:sz w:val="20"/>
              </w:rPr>
              <w:t xml:space="preserve"> </w:t>
            </w:r>
            <w:r>
              <w:rPr>
                <w:sz w:val="20"/>
              </w:rPr>
              <w:t>and</w:t>
            </w:r>
            <w:r>
              <w:rPr>
                <w:spacing w:val="-5"/>
                <w:sz w:val="20"/>
              </w:rPr>
              <w:t xml:space="preserve"> </w:t>
            </w:r>
            <w:r>
              <w:rPr>
                <w:sz w:val="20"/>
              </w:rPr>
              <w:t>sometimes</w:t>
            </w:r>
            <w:r>
              <w:rPr>
                <w:spacing w:val="-6"/>
                <w:sz w:val="20"/>
              </w:rPr>
              <w:t xml:space="preserve"> </w:t>
            </w:r>
            <w:r>
              <w:rPr>
                <w:sz w:val="20"/>
              </w:rPr>
              <w:t>the client feels as if he or she is being interrogated</w:t>
            </w:r>
          </w:p>
        </w:tc>
      </w:tr>
      <w:tr w:rsidR="00DB6E1F" w14:paraId="5A03DDC6" w14:textId="77777777">
        <w:trPr>
          <w:trHeight w:val="810"/>
        </w:trPr>
        <w:tc>
          <w:tcPr>
            <w:tcW w:w="2606" w:type="dxa"/>
          </w:tcPr>
          <w:p w14:paraId="5321DCB6" w14:textId="77777777" w:rsidR="00DB6E1F" w:rsidRDefault="00F666A6">
            <w:pPr>
              <w:pStyle w:val="TableParagraph"/>
              <w:spacing w:before="39"/>
              <w:ind w:left="357" w:right="118" w:hanging="272"/>
              <w:rPr>
                <w:b/>
                <w:sz w:val="20"/>
              </w:rPr>
            </w:pPr>
            <w:r>
              <w:rPr>
                <w:b/>
                <w:sz w:val="20"/>
              </w:rPr>
              <w:t>12.</w:t>
            </w:r>
            <w:r>
              <w:rPr>
                <w:b/>
                <w:spacing w:val="-29"/>
                <w:sz w:val="20"/>
              </w:rPr>
              <w:t xml:space="preserve"> </w:t>
            </w:r>
            <w:r>
              <w:rPr>
                <w:b/>
                <w:sz w:val="20"/>
              </w:rPr>
              <w:t>Withdrawing,</w:t>
            </w:r>
            <w:r>
              <w:rPr>
                <w:b/>
                <w:spacing w:val="-12"/>
                <w:sz w:val="20"/>
              </w:rPr>
              <w:t xml:space="preserve"> </w:t>
            </w:r>
            <w:r>
              <w:rPr>
                <w:b/>
                <w:sz w:val="20"/>
              </w:rPr>
              <w:t>distracting, humoring, or changing the subject</w:t>
            </w:r>
          </w:p>
        </w:tc>
        <w:tc>
          <w:tcPr>
            <w:tcW w:w="6744" w:type="dxa"/>
          </w:tcPr>
          <w:p w14:paraId="551D243B" w14:textId="77777777" w:rsidR="00DB6E1F" w:rsidRDefault="00F666A6">
            <w:pPr>
              <w:pStyle w:val="TableParagraph"/>
              <w:ind w:left="105" w:right="178"/>
              <w:rPr>
                <w:sz w:val="20"/>
              </w:rPr>
            </w:pPr>
            <w:r>
              <w:rPr>
                <w:sz w:val="20"/>
              </w:rPr>
              <w:t>Although</w:t>
            </w:r>
            <w:r>
              <w:rPr>
                <w:spacing w:val="-3"/>
                <w:sz w:val="20"/>
              </w:rPr>
              <w:t xml:space="preserve"> </w:t>
            </w:r>
            <w:r>
              <w:rPr>
                <w:sz w:val="20"/>
              </w:rPr>
              <w:t>shifting</w:t>
            </w:r>
            <w:r>
              <w:rPr>
                <w:spacing w:val="-4"/>
                <w:sz w:val="20"/>
              </w:rPr>
              <w:t xml:space="preserve"> </w:t>
            </w:r>
            <w:r>
              <w:rPr>
                <w:sz w:val="20"/>
              </w:rPr>
              <w:t>the</w:t>
            </w:r>
            <w:r>
              <w:rPr>
                <w:spacing w:val="-5"/>
                <w:sz w:val="20"/>
              </w:rPr>
              <w:t xml:space="preserve"> </w:t>
            </w:r>
            <w:r>
              <w:rPr>
                <w:sz w:val="20"/>
              </w:rPr>
              <w:t>focus</w:t>
            </w:r>
            <w:r>
              <w:rPr>
                <w:spacing w:val="-5"/>
                <w:sz w:val="20"/>
              </w:rPr>
              <w:t xml:space="preserve"> </w:t>
            </w:r>
            <w:r>
              <w:rPr>
                <w:sz w:val="20"/>
              </w:rPr>
              <w:t>or</w:t>
            </w:r>
            <w:r>
              <w:rPr>
                <w:spacing w:val="-2"/>
                <w:sz w:val="20"/>
              </w:rPr>
              <w:t xml:space="preserve"> </w:t>
            </w:r>
            <w:r>
              <w:rPr>
                <w:sz w:val="20"/>
              </w:rPr>
              <w:t>using</w:t>
            </w:r>
            <w:r>
              <w:rPr>
                <w:spacing w:val="-4"/>
                <w:sz w:val="20"/>
              </w:rPr>
              <w:t xml:space="preserve"> </w:t>
            </w:r>
            <w:r>
              <w:rPr>
                <w:sz w:val="20"/>
              </w:rPr>
              <w:t>humor</w:t>
            </w:r>
            <w:r>
              <w:rPr>
                <w:spacing w:val="-4"/>
                <w:sz w:val="20"/>
              </w:rPr>
              <w:t xml:space="preserve"> </w:t>
            </w:r>
            <w:r>
              <w:rPr>
                <w:sz w:val="20"/>
              </w:rPr>
              <w:t>may</w:t>
            </w:r>
            <w:r>
              <w:rPr>
                <w:spacing w:val="-3"/>
                <w:sz w:val="20"/>
              </w:rPr>
              <w:t xml:space="preserve"> </w:t>
            </w:r>
            <w:r>
              <w:rPr>
                <w:sz w:val="20"/>
              </w:rPr>
              <w:t>be</w:t>
            </w:r>
            <w:r>
              <w:rPr>
                <w:spacing w:val="-5"/>
                <w:sz w:val="20"/>
              </w:rPr>
              <w:t xml:space="preserve"> </w:t>
            </w:r>
            <w:r>
              <w:rPr>
                <w:sz w:val="20"/>
              </w:rPr>
              <w:t>helpful</w:t>
            </w:r>
            <w:r>
              <w:rPr>
                <w:spacing w:val="-4"/>
                <w:sz w:val="20"/>
              </w:rPr>
              <w:t xml:space="preserve"> </w:t>
            </w:r>
            <w:r>
              <w:rPr>
                <w:sz w:val="20"/>
              </w:rPr>
              <w:t>at</w:t>
            </w:r>
            <w:r>
              <w:rPr>
                <w:spacing w:val="-4"/>
                <w:sz w:val="20"/>
              </w:rPr>
              <w:t xml:space="preserve"> </w:t>
            </w:r>
            <w:r>
              <w:rPr>
                <w:sz w:val="20"/>
              </w:rPr>
              <w:t>times,</w:t>
            </w:r>
            <w:r>
              <w:rPr>
                <w:spacing w:val="-3"/>
                <w:sz w:val="20"/>
              </w:rPr>
              <w:t xml:space="preserve"> </w:t>
            </w:r>
            <w:r>
              <w:rPr>
                <w:sz w:val="20"/>
              </w:rPr>
              <w:t>it</w:t>
            </w:r>
            <w:r>
              <w:rPr>
                <w:spacing w:val="-4"/>
                <w:sz w:val="20"/>
              </w:rPr>
              <w:t xml:space="preserve"> </w:t>
            </w:r>
            <w:r>
              <w:rPr>
                <w:sz w:val="20"/>
              </w:rPr>
              <w:t>can</w:t>
            </w:r>
            <w:r>
              <w:rPr>
                <w:spacing w:val="-3"/>
                <w:sz w:val="20"/>
              </w:rPr>
              <w:t xml:space="preserve"> </w:t>
            </w:r>
            <w:r>
              <w:rPr>
                <w:sz w:val="20"/>
              </w:rPr>
              <w:t>also be a distraction and disrupt the communication.</w:t>
            </w:r>
          </w:p>
        </w:tc>
      </w:tr>
      <w:tr w:rsidR="00DB6E1F" w14:paraId="349A6115" w14:textId="77777777">
        <w:trPr>
          <w:trHeight w:val="405"/>
        </w:trPr>
        <w:tc>
          <w:tcPr>
            <w:tcW w:w="9350" w:type="dxa"/>
            <w:gridSpan w:val="2"/>
          </w:tcPr>
          <w:p w14:paraId="615FD5CF" w14:textId="77777777" w:rsidR="00DB6E1F" w:rsidRDefault="00F666A6">
            <w:pPr>
              <w:pStyle w:val="TableParagraph"/>
              <w:spacing w:before="80"/>
              <w:rPr>
                <w:i/>
                <w:sz w:val="20"/>
              </w:rPr>
            </w:pPr>
            <w:r>
              <w:rPr>
                <w:i/>
                <w:sz w:val="20"/>
              </w:rPr>
              <w:t>Source:</w:t>
            </w:r>
            <w:r>
              <w:rPr>
                <w:i/>
                <w:spacing w:val="-9"/>
                <w:sz w:val="20"/>
              </w:rPr>
              <w:t xml:space="preserve"> </w:t>
            </w:r>
            <w:r>
              <w:rPr>
                <w:i/>
                <w:sz w:val="20"/>
              </w:rPr>
              <w:t>Gordon,</w:t>
            </w:r>
            <w:r>
              <w:rPr>
                <w:i/>
                <w:spacing w:val="-6"/>
                <w:sz w:val="20"/>
              </w:rPr>
              <w:t xml:space="preserve"> </w:t>
            </w:r>
            <w:r>
              <w:rPr>
                <w:i/>
                <w:spacing w:val="-2"/>
                <w:sz w:val="20"/>
              </w:rPr>
              <w:t>1970.</w:t>
            </w:r>
          </w:p>
        </w:tc>
      </w:tr>
    </w:tbl>
    <w:p w14:paraId="218B3846" w14:textId="77777777" w:rsidR="00DB6E1F" w:rsidRDefault="00DB6E1F">
      <w:pPr>
        <w:pStyle w:val="BodyText"/>
        <w:spacing w:before="7"/>
        <w:rPr>
          <w:sz w:val="8"/>
        </w:rPr>
      </w:pPr>
    </w:p>
    <w:p w14:paraId="74FAA081" w14:textId="77777777" w:rsidR="00DB6E1F" w:rsidRDefault="00F666A6">
      <w:pPr>
        <w:spacing w:before="56"/>
        <w:ind w:left="1439" w:right="1491"/>
      </w:pPr>
      <w:r>
        <w:rPr>
          <w:b/>
        </w:rPr>
        <w:t>If</w:t>
      </w:r>
      <w:r>
        <w:rPr>
          <w:b/>
          <w:spacing w:val="-2"/>
        </w:rPr>
        <w:t xml:space="preserve"> </w:t>
      </w:r>
      <w:r>
        <w:rPr>
          <w:b/>
        </w:rPr>
        <w:t>you</w:t>
      </w:r>
      <w:r>
        <w:rPr>
          <w:b/>
          <w:spacing w:val="-3"/>
        </w:rPr>
        <w:t xml:space="preserve"> </w:t>
      </w:r>
      <w:r>
        <w:rPr>
          <w:b/>
        </w:rPr>
        <w:t>engage</w:t>
      </w:r>
      <w:r>
        <w:rPr>
          <w:b/>
          <w:spacing w:val="-2"/>
        </w:rPr>
        <w:t xml:space="preserve"> </w:t>
      </w:r>
      <w:r>
        <w:rPr>
          <w:b/>
        </w:rPr>
        <w:t>in</w:t>
      </w:r>
      <w:r>
        <w:rPr>
          <w:b/>
          <w:spacing w:val="-3"/>
        </w:rPr>
        <w:t xml:space="preserve"> </w:t>
      </w:r>
      <w:r>
        <w:rPr>
          <w:b/>
        </w:rPr>
        <w:t>any</w:t>
      </w:r>
      <w:r>
        <w:rPr>
          <w:b/>
          <w:spacing w:val="-3"/>
        </w:rPr>
        <w:t xml:space="preserve"> </w:t>
      </w:r>
      <w:r>
        <w:rPr>
          <w:b/>
        </w:rPr>
        <w:t>of</w:t>
      </w:r>
      <w:r>
        <w:rPr>
          <w:b/>
          <w:spacing w:val="-2"/>
        </w:rPr>
        <w:t xml:space="preserve"> </w:t>
      </w:r>
      <w:r>
        <w:rPr>
          <w:b/>
        </w:rPr>
        <w:t>these</w:t>
      </w:r>
      <w:r>
        <w:rPr>
          <w:b/>
          <w:spacing w:val="-3"/>
        </w:rPr>
        <w:t xml:space="preserve"> </w:t>
      </w:r>
      <w:r>
        <w:rPr>
          <w:b/>
        </w:rPr>
        <w:t>12</w:t>
      </w:r>
      <w:r>
        <w:rPr>
          <w:b/>
          <w:spacing w:val="-1"/>
        </w:rPr>
        <w:t xml:space="preserve"> </w:t>
      </w:r>
      <w:r>
        <w:rPr>
          <w:b/>
        </w:rPr>
        <w:t>activities,</w:t>
      </w:r>
      <w:r>
        <w:rPr>
          <w:b/>
          <w:spacing w:val="-4"/>
        </w:rPr>
        <w:t xml:space="preserve"> </w:t>
      </w:r>
      <w:r>
        <w:rPr>
          <w:b/>
        </w:rPr>
        <w:t>you</w:t>
      </w:r>
      <w:r>
        <w:rPr>
          <w:b/>
          <w:spacing w:val="-3"/>
        </w:rPr>
        <w:t xml:space="preserve"> </w:t>
      </w:r>
      <w:r>
        <w:rPr>
          <w:b/>
        </w:rPr>
        <w:t>are</w:t>
      </w:r>
      <w:r>
        <w:rPr>
          <w:b/>
          <w:spacing w:val="-5"/>
        </w:rPr>
        <w:t xml:space="preserve"> </w:t>
      </w:r>
      <w:r>
        <w:rPr>
          <w:b/>
        </w:rPr>
        <w:t>talking</w:t>
      </w:r>
      <w:r>
        <w:rPr>
          <w:b/>
          <w:spacing w:val="-1"/>
        </w:rPr>
        <w:t xml:space="preserve"> </w:t>
      </w:r>
      <w:r>
        <w:rPr>
          <w:b/>
        </w:rPr>
        <w:t>and</w:t>
      </w:r>
      <w:r>
        <w:rPr>
          <w:b/>
          <w:spacing w:val="-3"/>
        </w:rPr>
        <w:t xml:space="preserve"> </w:t>
      </w:r>
      <w:r>
        <w:rPr>
          <w:b/>
        </w:rPr>
        <w:t>not</w:t>
      </w:r>
      <w:r>
        <w:rPr>
          <w:b/>
          <w:spacing w:val="-1"/>
        </w:rPr>
        <w:t xml:space="preserve"> </w:t>
      </w:r>
      <w:r>
        <w:rPr>
          <w:b/>
        </w:rPr>
        <w:t>listening.</w:t>
      </w:r>
      <w:r>
        <w:rPr>
          <w:b/>
          <w:spacing w:val="-4"/>
        </w:rPr>
        <w:t xml:space="preserve"> </w:t>
      </w:r>
      <w:r>
        <w:t>However</w:t>
      </w:r>
      <w:r>
        <w:rPr>
          <w:spacing w:val="-4"/>
        </w:rPr>
        <w:t xml:space="preserve"> </w:t>
      </w:r>
      <w:r>
        <w:t>well</w:t>
      </w:r>
      <w:r>
        <w:rPr>
          <w:spacing w:val="-2"/>
        </w:rPr>
        <w:t xml:space="preserve"> </w:t>
      </w:r>
      <w:r>
        <w:t>intentioned, these roadblocks to listening shift the focus of the conversation from the client to the counselor. They are not consistent with the principles of person-centered counseling.</w:t>
      </w:r>
    </w:p>
    <w:p w14:paraId="4DEC7537" w14:textId="77777777" w:rsidR="00DB6E1F" w:rsidRDefault="00DB6E1F">
      <w:pPr>
        <w:pStyle w:val="BodyText"/>
        <w:spacing w:before="5"/>
        <w:rPr>
          <w:sz w:val="16"/>
        </w:rPr>
      </w:pPr>
    </w:p>
    <w:p w14:paraId="03599EAB" w14:textId="77777777" w:rsidR="00DB6E1F" w:rsidRDefault="00F666A6">
      <w:pPr>
        <w:pStyle w:val="Heading4"/>
      </w:pPr>
      <w:bookmarkStart w:id="98" w:name="Types_of_reflective_listening"/>
      <w:bookmarkEnd w:id="98"/>
      <w:r>
        <w:t>Types</w:t>
      </w:r>
      <w:r>
        <w:rPr>
          <w:spacing w:val="-8"/>
        </w:rPr>
        <w:t xml:space="preserve"> </w:t>
      </w:r>
      <w:r>
        <w:t>of</w:t>
      </w:r>
      <w:r>
        <w:rPr>
          <w:spacing w:val="-8"/>
        </w:rPr>
        <w:t xml:space="preserve"> </w:t>
      </w:r>
      <w:r>
        <w:t>reflective</w:t>
      </w:r>
      <w:r>
        <w:rPr>
          <w:spacing w:val="-8"/>
        </w:rPr>
        <w:t xml:space="preserve"> </w:t>
      </w:r>
      <w:r>
        <w:rPr>
          <w:spacing w:val="-2"/>
        </w:rPr>
        <w:t>listening</w:t>
      </w:r>
    </w:p>
    <w:p w14:paraId="2028B7E0" w14:textId="77777777" w:rsidR="00DB6E1F" w:rsidRDefault="00F666A6">
      <w:pPr>
        <w:spacing w:before="83"/>
        <w:ind w:left="1439" w:right="1491"/>
      </w:pPr>
      <w:r>
        <w:t>In MI, there are several kinds of ref</w:t>
      </w:r>
      <w:r>
        <w:t xml:space="preserve">lective listening responses that range from simple (i.e., repeating or rephrasing a client statement) to complex (i.e., using different words to reflect the underlying meaning or feeling of a client statement). </w:t>
      </w:r>
      <w:r>
        <w:rPr>
          <w:b/>
        </w:rPr>
        <w:t>Simple reflections engage clients and let the</w:t>
      </w:r>
      <w:r>
        <w:rPr>
          <w:b/>
        </w:rPr>
        <w:t>m know that you’re genuinely interested in understanding their perspective. Complex reflections invite clients to deepen their</w:t>
      </w:r>
      <w:r>
        <w:rPr>
          <w:b/>
          <w:spacing w:val="-1"/>
        </w:rPr>
        <w:t xml:space="preserve"> </w:t>
      </w:r>
      <w:r>
        <w:rPr>
          <w:b/>
        </w:rPr>
        <w:t>self-exploration</w:t>
      </w:r>
      <w:r>
        <w:rPr>
          <w:b/>
          <w:spacing w:val="-3"/>
        </w:rPr>
        <w:t xml:space="preserve"> </w:t>
      </w:r>
      <w:r>
        <w:t>(Miller</w:t>
      </w:r>
      <w:r>
        <w:rPr>
          <w:spacing w:val="-2"/>
        </w:rPr>
        <w:t xml:space="preserve"> </w:t>
      </w:r>
      <w:r>
        <w:t>&amp;</w:t>
      </w:r>
      <w:r>
        <w:rPr>
          <w:spacing w:val="-4"/>
        </w:rPr>
        <w:t xml:space="preserve"> </w:t>
      </w:r>
      <w:r>
        <w:t>Rollnick,</w:t>
      </w:r>
      <w:r>
        <w:rPr>
          <w:spacing w:val="-4"/>
        </w:rPr>
        <w:t xml:space="preserve"> </w:t>
      </w:r>
      <w:r>
        <w:t>2013).</w:t>
      </w:r>
      <w:r>
        <w:rPr>
          <w:spacing w:val="-2"/>
        </w:rPr>
        <w:t xml:space="preserve"> </w:t>
      </w:r>
      <w:r>
        <w:t>In</w:t>
      </w:r>
      <w:r>
        <w:rPr>
          <w:spacing w:val="-5"/>
        </w:rPr>
        <w:t xml:space="preserve"> </w:t>
      </w:r>
      <w:r>
        <w:t>MI,</w:t>
      </w:r>
      <w:r>
        <w:rPr>
          <w:spacing w:val="-4"/>
        </w:rPr>
        <w:t xml:space="preserve"> </w:t>
      </w:r>
      <w:r>
        <w:t>there</w:t>
      </w:r>
      <w:r>
        <w:rPr>
          <w:spacing w:val="-1"/>
        </w:rPr>
        <w:t xml:space="preserve"> </w:t>
      </w:r>
      <w:r>
        <w:t>are</w:t>
      </w:r>
      <w:r>
        <w:rPr>
          <w:spacing w:val="-1"/>
        </w:rPr>
        <w:t xml:space="preserve"> </w:t>
      </w:r>
      <w:r>
        <w:t>special</w:t>
      </w:r>
      <w:r>
        <w:rPr>
          <w:spacing w:val="-2"/>
        </w:rPr>
        <w:t xml:space="preserve"> </w:t>
      </w:r>
      <w:r>
        <w:t>complex</w:t>
      </w:r>
      <w:r>
        <w:rPr>
          <w:spacing w:val="-1"/>
        </w:rPr>
        <w:t xml:space="preserve"> </w:t>
      </w:r>
      <w:r>
        <w:t>reflections</w:t>
      </w:r>
      <w:r>
        <w:rPr>
          <w:spacing w:val="-2"/>
        </w:rPr>
        <w:t xml:space="preserve"> </w:t>
      </w:r>
      <w:r>
        <w:t>that</w:t>
      </w:r>
      <w:r>
        <w:rPr>
          <w:spacing w:val="-1"/>
        </w:rPr>
        <w:t xml:space="preserve"> </w:t>
      </w:r>
      <w:r>
        <w:t>you</w:t>
      </w:r>
      <w:r>
        <w:rPr>
          <w:spacing w:val="-3"/>
        </w:rPr>
        <w:t xml:space="preserve"> </w:t>
      </w:r>
      <w:r>
        <w:t>can use in specific counseling situations, like using a double-sided reflection when clients are expressing ambivalence about changing a substance use behavior. Exhibit 3.6 provides examples of simple and complex reflective listening responses to client st</w:t>
      </w:r>
      <w:r>
        <w:t>atements about substance use.</w:t>
      </w:r>
    </w:p>
    <w:p w14:paraId="5522D73A" w14:textId="77777777" w:rsidR="00DB6E1F" w:rsidRDefault="00DB6E1F">
      <w:pPr>
        <w:pStyle w:val="BodyText"/>
        <w:spacing w:before="10"/>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520"/>
        <w:gridCol w:w="2071"/>
        <w:gridCol w:w="1980"/>
        <w:gridCol w:w="1704"/>
      </w:tblGrid>
      <w:tr w:rsidR="00DB6E1F" w14:paraId="21382EED" w14:textId="77777777">
        <w:trPr>
          <w:trHeight w:val="518"/>
        </w:trPr>
        <w:tc>
          <w:tcPr>
            <w:tcW w:w="9350" w:type="dxa"/>
            <w:gridSpan w:val="5"/>
            <w:tcBorders>
              <w:top w:val="nil"/>
              <w:left w:val="nil"/>
              <w:bottom w:val="nil"/>
              <w:right w:val="nil"/>
            </w:tcBorders>
            <w:shd w:val="clear" w:color="auto" w:fill="000000"/>
          </w:tcPr>
          <w:p w14:paraId="34A7B785" w14:textId="77777777" w:rsidR="00DB6E1F" w:rsidRDefault="00F666A6">
            <w:pPr>
              <w:pStyle w:val="TableParagraph"/>
              <w:spacing w:before="112"/>
              <w:ind w:left="215"/>
              <w:rPr>
                <w:sz w:val="24"/>
              </w:rPr>
            </w:pPr>
            <w:r>
              <w:rPr>
                <w:color w:val="FFFFFF"/>
                <w:sz w:val="24"/>
              </w:rPr>
              <w:t>Exhibit</w:t>
            </w:r>
            <w:r>
              <w:rPr>
                <w:color w:val="FFFFFF"/>
                <w:spacing w:val="-3"/>
                <w:sz w:val="24"/>
              </w:rPr>
              <w:t xml:space="preserve"> </w:t>
            </w:r>
            <w:r>
              <w:rPr>
                <w:color w:val="FFFFFF"/>
                <w:sz w:val="24"/>
              </w:rPr>
              <w:t>3.6.</w:t>
            </w:r>
            <w:r>
              <w:rPr>
                <w:color w:val="FFFFFF"/>
                <w:spacing w:val="-5"/>
                <w:sz w:val="24"/>
              </w:rPr>
              <w:t xml:space="preserve"> </w:t>
            </w:r>
            <w:r>
              <w:rPr>
                <w:color w:val="FFFFFF"/>
                <w:sz w:val="24"/>
              </w:rPr>
              <w:t>Types</w:t>
            </w:r>
            <w:r>
              <w:rPr>
                <w:color w:val="FFFFFF"/>
                <w:spacing w:val="-4"/>
                <w:sz w:val="24"/>
              </w:rPr>
              <w:t xml:space="preserve"> </w:t>
            </w:r>
            <w:r>
              <w:rPr>
                <w:color w:val="FFFFFF"/>
                <w:sz w:val="24"/>
              </w:rPr>
              <w:t>of Reflective</w:t>
            </w:r>
            <w:r>
              <w:rPr>
                <w:color w:val="FFFFFF"/>
                <w:spacing w:val="-1"/>
                <w:sz w:val="24"/>
              </w:rPr>
              <w:t xml:space="preserve"> </w:t>
            </w:r>
            <w:r>
              <w:rPr>
                <w:color w:val="FFFFFF"/>
                <w:sz w:val="24"/>
              </w:rPr>
              <w:t>Listening</w:t>
            </w:r>
            <w:r>
              <w:rPr>
                <w:color w:val="FFFFFF"/>
                <w:spacing w:val="-1"/>
                <w:sz w:val="24"/>
              </w:rPr>
              <w:t xml:space="preserve"> </w:t>
            </w:r>
            <w:r>
              <w:rPr>
                <w:color w:val="FFFFFF"/>
                <w:spacing w:val="-2"/>
                <w:sz w:val="24"/>
              </w:rPr>
              <w:t>Responses</w:t>
            </w:r>
          </w:p>
        </w:tc>
      </w:tr>
      <w:tr w:rsidR="00DB6E1F" w14:paraId="14C76D74" w14:textId="77777777">
        <w:trPr>
          <w:trHeight w:val="604"/>
        </w:trPr>
        <w:tc>
          <w:tcPr>
            <w:tcW w:w="1075" w:type="dxa"/>
          </w:tcPr>
          <w:p w14:paraId="036D0A20" w14:textId="77777777" w:rsidR="00DB6E1F" w:rsidRDefault="00F666A6">
            <w:pPr>
              <w:pStyle w:val="TableParagraph"/>
              <w:spacing w:before="0" w:line="243" w:lineRule="exact"/>
              <w:rPr>
                <w:sz w:val="20"/>
              </w:rPr>
            </w:pPr>
            <w:r>
              <w:rPr>
                <w:spacing w:val="-4"/>
                <w:sz w:val="20"/>
              </w:rPr>
              <w:t>Type</w:t>
            </w:r>
          </w:p>
        </w:tc>
        <w:tc>
          <w:tcPr>
            <w:tcW w:w="2520" w:type="dxa"/>
          </w:tcPr>
          <w:p w14:paraId="092A20CE" w14:textId="77777777" w:rsidR="00DB6E1F" w:rsidRDefault="00F666A6">
            <w:pPr>
              <w:pStyle w:val="TableParagraph"/>
              <w:spacing w:before="0" w:line="243" w:lineRule="exact"/>
              <w:ind w:left="108"/>
              <w:rPr>
                <w:sz w:val="20"/>
              </w:rPr>
            </w:pPr>
            <w:r>
              <w:rPr>
                <w:sz w:val="20"/>
              </w:rPr>
              <w:t>Client</w:t>
            </w:r>
            <w:r>
              <w:rPr>
                <w:spacing w:val="-9"/>
                <w:sz w:val="20"/>
              </w:rPr>
              <w:t xml:space="preserve"> </w:t>
            </w:r>
            <w:r>
              <w:rPr>
                <w:spacing w:val="-2"/>
                <w:sz w:val="20"/>
              </w:rPr>
              <w:t>Statement</w:t>
            </w:r>
          </w:p>
        </w:tc>
        <w:tc>
          <w:tcPr>
            <w:tcW w:w="2071" w:type="dxa"/>
          </w:tcPr>
          <w:p w14:paraId="303934A3" w14:textId="77777777" w:rsidR="00DB6E1F" w:rsidRDefault="00F666A6">
            <w:pPr>
              <w:pStyle w:val="TableParagraph"/>
              <w:spacing w:before="0" w:line="243" w:lineRule="exact"/>
              <w:rPr>
                <w:sz w:val="20"/>
              </w:rPr>
            </w:pPr>
            <w:r>
              <w:rPr>
                <w:spacing w:val="-2"/>
                <w:sz w:val="20"/>
              </w:rPr>
              <w:t>Counselor</w:t>
            </w:r>
            <w:r>
              <w:rPr>
                <w:spacing w:val="4"/>
                <w:sz w:val="20"/>
              </w:rPr>
              <w:t xml:space="preserve"> </w:t>
            </w:r>
            <w:r>
              <w:rPr>
                <w:spacing w:val="-2"/>
                <w:sz w:val="20"/>
              </w:rPr>
              <w:t>Response</w:t>
            </w:r>
          </w:p>
        </w:tc>
        <w:tc>
          <w:tcPr>
            <w:tcW w:w="1980" w:type="dxa"/>
          </w:tcPr>
          <w:p w14:paraId="1DA514BA" w14:textId="77777777" w:rsidR="00DB6E1F" w:rsidRDefault="00F666A6">
            <w:pPr>
              <w:pStyle w:val="TableParagraph"/>
              <w:spacing w:before="0" w:line="243" w:lineRule="exact"/>
              <w:ind w:left="105"/>
              <w:rPr>
                <w:sz w:val="20"/>
              </w:rPr>
            </w:pPr>
            <w:r>
              <w:rPr>
                <w:spacing w:val="-2"/>
                <w:sz w:val="20"/>
              </w:rPr>
              <w:t>Purpose</w:t>
            </w:r>
          </w:p>
        </w:tc>
        <w:tc>
          <w:tcPr>
            <w:tcW w:w="1704" w:type="dxa"/>
          </w:tcPr>
          <w:p w14:paraId="6118F04C" w14:textId="77777777" w:rsidR="00DB6E1F" w:rsidRDefault="00F666A6">
            <w:pPr>
              <w:pStyle w:val="TableParagraph"/>
              <w:spacing w:before="0"/>
              <w:ind w:left="105"/>
              <w:rPr>
                <w:sz w:val="20"/>
              </w:rPr>
            </w:pPr>
            <w:r>
              <w:rPr>
                <w:spacing w:val="-2"/>
                <w:sz w:val="20"/>
              </w:rPr>
              <w:t>Special Considerations</w:t>
            </w:r>
          </w:p>
        </w:tc>
      </w:tr>
      <w:tr w:rsidR="00DB6E1F" w14:paraId="4A04632B" w14:textId="77777777">
        <w:trPr>
          <w:trHeight w:val="364"/>
        </w:trPr>
        <w:tc>
          <w:tcPr>
            <w:tcW w:w="9350" w:type="dxa"/>
            <w:gridSpan w:val="5"/>
            <w:shd w:val="clear" w:color="auto" w:fill="E7E6E6"/>
          </w:tcPr>
          <w:p w14:paraId="41BEA673" w14:textId="77777777" w:rsidR="00DB6E1F" w:rsidRDefault="00F666A6">
            <w:pPr>
              <w:pStyle w:val="TableParagraph"/>
              <w:rPr>
                <w:sz w:val="20"/>
              </w:rPr>
            </w:pPr>
            <w:r>
              <w:rPr>
                <w:spacing w:val="-2"/>
                <w:sz w:val="20"/>
              </w:rPr>
              <w:t>Simple</w:t>
            </w:r>
          </w:p>
        </w:tc>
      </w:tr>
      <w:tr w:rsidR="00DB6E1F" w14:paraId="3DCAA1C0" w14:textId="77777777">
        <w:trPr>
          <w:trHeight w:val="851"/>
        </w:trPr>
        <w:tc>
          <w:tcPr>
            <w:tcW w:w="1075" w:type="dxa"/>
          </w:tcPr>
          <w:p w14:paraId="255D36D9" w14:textId="77777777" w:rsidR="00DB6E1F" w:rsidRDefault="00F666A6">
            <w:pPr>
              <w:pStyle w:val="TableParagraph"/>
              <w:rPr>
                <w:sz w:val="20"/>
              </w:rPr>
            </w:pPr>
            <w:r>
              <w:rPr>
                <w:spacing w:val="-2"/>
                <w:sz w:val="20"/>
              </w:rPr>
              <w:t>Repeat</w:t>
            </w:r>
          </w:p>
        </w:tc>
        <w:tc>
          <w:tcPr>
            <w:tcW w:w="2520" w:type="dxa"/>
          </w:tcPr>
          <w:p w14:paraId="040DEE97" w14:textId="77777777" w:rsidR="00DB6E1F" w:rsidRDefault="00F666A6">
            <w:pPr>
              <w:pStyle w:val="TableParagraph"/>
              <w:ind w:left="108" w:right="450"/>
              <w:rPr>
                <w:sz w:val="20"/>
              </w:rPr>
            </w:pPr>
            <w:r>
              <w:rPr>
                <w:sz w:val="20"/>
              </w:rPr>
              <w:t>“My</w:t>
            </w:r>
            <w:r>
              <w:rPr>
                <w:spacing w:val="-9"/>
                <w:sz w:val="20"/>
              </w:rPr>
              <w:t xml:space="preserve"> </w:t>
            </w:r>
            <w:r>
              <w:rPr>
                <w:sz w:val="20"/>
              </w:rPr>
              <w:t>wife</w:t>
            </w:r>
            <w:r>
              <w:rPr>
                <w:spacing w:val="-11"/>
                <w:sz w:val="20"/>
              </w:rPr>
              <w:t xml:space="preserve"> </w:t>
            </w:r>
            <w:r>
              <w:rPr>
                <w:sz w:val="20"/>
              </w:rPr>
              <w:t>is</w:t>
            </w:r>
            <w:r>
              <w:rPr>
                <w:spacing w:val="-11"/>
                <w:sz w:val="20"/>
              </w:rPr>
              <w:t xml:space="preserve"> </w:t>
            </w:r>
            <w:r>
              <w:rPr>
                <w:sz w:val="20"/>
              </w:rPr>
              <w:t>nagging</w:t>
            </w:r>
            <w:r>
              <w:rPr>
                <w:spacing w:val="-10"/>
                <w:sz w:val="20"/>
              </w:rPr>
              <w:t xml:space="preserve"> </w:t>
            </w:r>
            <w:r>
              <w:rPr>
                <w:sz w:val="20"/>
              </w:rPr>
              <w:t>me about my drinking.”</w:t>
            </w:r>
          </w:p>
        </w:tc>
        <w:tc>
          <w:tcPr>
            <w:tcW w:w="2071" w:type="dxa"/>
          </w:tcPr>
          <w:p w14:paraId="2586BC79" w14:textId="77777777" w:rsidR="00DB6E1F" w:rsidRDefault="00F666A6">
            <w:pPr>
              <w:pStyle w:val="TableParagraph"/>
              <w:ind w:right="126"/>
              <w:rPr>
                <w:sz w:val="20"/>
              </w:rPr>
            </w:pPr>
            <w:r>
              <w:rPr>
                <w:sz w:val="20"/>
              </w:rPr>
              <w:t>“Your</w:t>
            </w:r>
            <w:r>
              <w:rPr>
                <w:spacing w:val="-12"/>
                <w:sz w:val="20"/>
              </w:rPr>
              <w:t xml:space="preserve"> </w:t>
            </w:r>
            <w:r>
              <w:rPr>
                <w:sz w:val="20"/>
              </w:rPr>
              <w:t>wife</w:t>
            </w:r>
            <w:r>
              <w:rPr>
                <w:spacing w:val="-11"/>
                <w:sz w:val="20"/>
              </w:rPr>
              <w:t xml:space="preserve"> </w:t>
            </w:r>
            <w:r>
              <w:rPr>
                <w:sz w:val="20"/>
              </w:rPr>
              <w:t>is</w:t>
            </w:r>
            <w:r>
              <w:rPr>
                <w:spacing w:val="-11"/>
                <w:sz w:val="20"/>
              </w:rPr>
              <w:t xml:space="preserve"> </w:t>
            </w:r>
            <w:r>
              <w:rPr>
                <w:sz w:val="20"/>
              </w:rPr>
              <w:t xml:space="preserve">nagging you about your </w:t>
            </w:r>
            <w:r>
              <w:rPr>
                <w:spacing w:val="-2"/>
                <w:sz w:val="20"/>
              </w:rPr>
              <w:t>drinking.”</w:t>
            </w:r>
          </w:p>
        </w:tc>
        <w:tc>
          <w:tcPr>
            <w:tcW w:w="1980" w:type="dxa"/>
          </w:tcPr>
          <w:p w14:paraId="3CF9287A" w14:textId="77777777" w:rsidR="00DB6E1F" w:rsidRDefault="00F666A6">
            <w:pPr>
              <w:pStyle w:val="TableParagraph"/>
              <w:spacing w:line="357" w:lineRule="auto"/>
              <w:ind w:left="105" w:right="245"/>
              <w:rPr>
                <w:sz w:val="20"/>
              </w:rPr>
            </w:pPr>
            <w:r>
              <w:rPr>
                <w:sz w:val="20"/>
              </w:rPr>
              <w:t>Builds rapport. Expresses</w:t>
            </w:r>
            <w:r>
              <w:rPr>
                <w:spacing w:val="-12"/>
                <w:sz w:val="20"/>
              </w:rPr>
              <w:t xml:space="preserve"> </w:t>
            </w:r>
            <w:r>
              <w:rPr>
                <w:sz w:val="20"/>
              </w:rPr>
              <w:t>empathy.</w:t>
            </w:r>
          </w:p>
        </w:tc>
        <w:tc>
          <w:tcPr>
            <w:tcW w:w="1704" w:type="dxa"/>
          </w:tcPr>
          <w:p w14:paraId="3D92A4D7" w14:textId="77777777" w:rsidR="00DB6E1F" w:rsidRDefault="00F666A6">
            <w:pPr>
              <w:pStyle w:val="TableParagraph"/>
              <w:ind w:left="105"/>
              <w:rPr>
                <w:sz w:val="20"/>
              </w:rPr>
            </w:pPr>
            <w:r>
              <w:rPr>
                <w:sz w:val="20"/>
              </w:rPr>
              <w:t>Avoid</w:t>
            </w:r>
            <w:r>
              <w:rPr>
                <w:spacing w:val="-8"/>
                <w:sz w:val="20"/>
              </w:rPr>
              <w:t xml:space="preserve"> </w:t>
            </w:r>
            <w:r>
              <w:rPr>
                <w:spacing w:val="-2"/>
                <w:sz w:val="20"/>
              </w:rPr>
              <w:t>mimicking.</w:t>
            </w:r>
          </w:p>
        </w:tc>
      </w:tr>
      <w:tr w:rsidR="00DB6E1F" w14:paraId="4457A490" w14:textId="77777777">
        <w:trPr>
          <w:trHeight w:val="1586"/>
        </w:trPr>
        <w:tc>
          <w:tcPr>
            <w:tcW w:w="1075" w:type="dxa"/>
          </w:tcPr>
          <w:p w14:paraId="21AC0DD5" w14:textId="77777777" w:rsidR="00DB6E1F" w:rsidRDefault="00F666A6">
            <w:pPr>
              <w:pStyle w:val="TableParagraph"/>
              <w:rPr>
                <w:sz w:val="20"/>
              </w:rPr>
            </w:pPr>
            <w:r>
              <w:rPr>
                <w:spacing w:val="-2"/>
                <w:sz w:val="20"/>
              </w:rPr>
              <w:t>Rephrase</w:t>
            </w:r>
          </w:p>
        </w:tc>
        <w:tc>
          <w:tcPr>
            <w:tcW w:w="2520" w:type="dxa"/>
          </w:tcPr>
          <w:p w14:paraId="609B5801" w14:textId="77777777" w:rsidR="00DB6E1F" w:rsidRDefault="00F666A6">
            <w:pPr>
              <w:pStyle w:val="TableParagraph"/>
              <w:ind w:left="108" w:right="450"/>
              <w:rPr>
                <w:sz w:val="20"/>
              </w:rPr>
            </w:pPr>
            <w:r>
              <w:rPr>
                <w:sz w:val="20"/>
              </w:rPr>
              <w:t>“My</w:t>
            </w:r>
            <w:r>
              <w:rPr>
                <w:spacing w:val="-9"/>
                <w:sz w:val="20"/>
              </w:rPr>
              <w:t xml:space="preserve"> </w:t>
            </w:r>
            <w:r>
              <w:rPr>
                <w:sz w:val="20"/>
              </w:rPr>
              <w:t>wife</w:t>
            </w:r>
            <w:r>
              <w:rPr>
                <w:spacing w:val="-11"/>
                <w:sz w:val="20"/>
              </w:rPr>
              <w:t xml:space="preserve"> </w:t>
            </w:r>
            <w:r>
              <w:rPr>
                <w:sz w:val="20"/>
              </w:rPr>
              <w:t>is</w:t>
            </w:r>
            <w:r>
              <w:rPr>
                <w:spacing w:val="-11"/>
                <w:sz w:val="20"/>
              </w:rPr>
              <w:t xml:space="preserve"> </w:t>
            </w:r>
            <w:r>
              <w:rPr>
                <w:sz w:val="20"/>
              </w:rPr>
              <w:t>nagging</w:t>
            </w:r>
            <w:r>
              <w:rPr>
                <w:spacing w:val="-10"/>
                <w:sz w:val="20"/>
              </w:rPr>
              <w:t xml:space="preserve"> </w:t>
            </w:r>
            <w:r>
              <w:rPr>
                <w:sz w:val="20"/>
              </w:rPr>
              <w:t>me about my drinking.”</w:t>
            </w:r>
          </w:p>
        </w:tc>
        <w:tc>
          <w:tcPr>
            <w:tcW w:w="2071" w:type="dxa"/>
          </w:tcPr>
          <w:p w14:paraId="428BFDF9" w14:textId="77777777" w:rsidR="00DB6E1F" w:rsidRDefault="00F666A6">
            <w:pPr>
              <w:pStyle w:val="TableParagraph"/>
              <w:ind w:right="126"/>
              <w:rPr>
                <w:sz w:val="20"/>
              </w:rPr>
            </w:pPr>
            <w:r>
              <w:rPr>
                <w:sz w:val="20"/>
              </w:rPr>
              <w:t>“Your wife is pressuring</w:t>
            </w:r>
            <w:r>
              <w:rPr>
                <w:spacing w:val="-12"/>
                <w:sz w:val="20"/>
              </w:rPr>
              <w:t xml:space="preserve"> </w:t>
            </w:r>
            <w:r>
              <w:rPr>
                <w:sz w:val="20"/>
              </w:rPr>
              <w:t>you</w:t>
            </w:r>
            <w:r>
              <w:rPr>
                <w:spacing w:val="-11"/>
                <w:sz w:val="20"/>
              </w:rPr>
              <w:t xml:space="preserve"> </w:t>
            </w:r>
            <w:r>
              <w:rPr>
                <w:sz w:val="20"/>
              </w:rPr>
              <w:t>about your drinking.”</w:t>
            </w:r>
          </w:p>
        </w:tc>
        <w:tc>
          <w:tcPr>
            <w:tcW w:w="1980" w:type="dxa"/>
          </w:tcPr>
          <w:p w14:paraId="0F9B0A9C" w14:textId="77777777" w:rsidR="00DB6E1F" w:rsidRDefault="00F666A6">
            <w:pPr>
              <w:pStyle w:val="TableParagraph"/>
              <w:ind w:left="105"/>
              <w:rPr>
                <w:sz w:val="20"/>
              </w:rPr>
            </w:pPr>
            <w:r>
              <w:rPr>
                <w:sz w:val="20"/>
              </w:rPr>
              <w:t>Expresses</w:t>
            </w:r>
            <w:r>
              <w:rPr>
                <w:spacing w:val="-9"/>
                <w:sz w:val="20"/>
              </w:rPr>
              <w:t xml:space="preserve"> </w:t>
            </w:r>
            <w:r>
              <w:rPr>
                <w:spacing w:val="-2"/>
                <w:sz w:val="20"/>
              </w:rPr>
              <w:t>empathy.</w:t>
            </w:r>
          </w:p>
          <w:p w14:paraId="49F2AB48" w14:textId="77777777" w:rsidR="00DB6E1F" w:rsidRDefault="00F666A6">
            <w:pPr>
              <w:pStyle w:val="TableParagraph"/>
              <w:spacing w:before="121"/>
              <w:ind w:left="105"/>
              <w:rPr>
                <w:sz w:val="20"/>
              </w:rPr>
            </w:pPr>
            <w:r>
              <w:rPr>
                <w:sz w:val="20"/>
              </w:rPr>
              <w:t>Highlights selected meaning</w:t>
            </w:r>
            <w:r>
              <w:rPr>
                <w:spacing w:val="-12"/>
                <w:sz w:val="20"/>
              </w:rPr>
              <w:t xml:space="preserve"> </w:t>
            </w:r>
            <w:r>
              <w:rPr>
                <w:sz w:val="20"/>
              </w:rPr>
              <w:t>or</w:t>
            </w:r>
            <w:r>
              <w:rPr>
                <w:spacing w:val="-11"/>
                <w:sz w:val="20"/>
              </w:rPr>
              <w:t xml:space="preserve"> </w:t>
            </w:r>
            <w:r>
              <w:rPr>
                <w:sz w:val="20"/>
              </w:rPr>
              <w:t>feeling.</w:t>
            </w:r>
          </w:p>
        </w:tc>
        <w:tc>
          <w:tcPr>
            <w:tcW w:w="1704" w:type="dxa"/>
          </w:tcPr>
          <w:p w14:paraId="7DA1D43A" w14:textId="77777777" w:rsidR="00DB6E1F" w:rsidRDefault="00F666A6">
            <w:pPr>
              <w:pStyle w:val="TableParagraph"/>
              <w:ind w:left="105" w:right="211"/>
              <w:rPr>
                <w:sz w:val="20"/>
              </w:rPr>
            </w:pPr>
            <w:r>
              <w:rPr>
                <w:sz w:val="20"/>
              </w:rPr>
              <w:t xml:space="preserve">Move the </w:t>
            </w:r>
            <w:r>
              <w:rPr>
                <w:spacing w:val="-2"/>
                <w:sz w:val="20"/>
              </w:rPr>
              <w:t xml:space="preserve">conversation </w:t>
            </w:r>
            <w:r>
              <w:rPr>
                <w:sz w:val="20"/>
              </w:rPr>
              <w:t>along,</w:t>
            </w:r>
            <w:r>
              <w:rPr>
                <w:spacing w:val="-12"/>
                <w:sz w:val="20"/>
              </w:rPr>
              <w:t xml:space="preserve"> </w:t>
            </w:r>
            <w:r>
              <w:rPr>
                <w:sz w:val="20"/>
              </w:rPr>
              <w:t>but</w:t>
            </w:r>
            <w:r>
              <w:rPr>
                <w:spacing w:val="-11"/>
                <w:sz w:val="20"/>
              </w:rPr>
              <w:t xml:space="preserve"> </w:t>
            </w:r>
            <w:r>
              <w:rPr>
                <w:sz w:val="20"/>
              </w:rPr>
              <w:t xml:space="preserve">more slowly than </w:t>
            </w:r>
            <w:r>
              <w:rPr>
                <w:spacing w:val="-2"/>
                <w:sz w:val="20"/>
              </w:rPr>
              <w:t>complex reflections.</w:t>
            </w:r>
          </w:p>
        </w:tc>
      </w:tr>
      <w:tr w:rsidR="00DB6E1F" w14:paraId="4D6A5137" w14:textId="77777777">
        <w:trPr>
          <w:trHeight w:val="364"/>
        </w:trPr>
        <w:tc>
          <w:tcPr>
            <w:tcW w:w="9350" w:type="dxa"/>
            <w:gridSpan w:val="5"/>
            <w:shd w:val="clear" w:color="auto" w:fill="E7E6E6"/>
          </w:tcPr>
          <w:p w14:paraId="71510CF0" w14:textId="77777777" w:rsidR="00DB6E1F" w:rsidRDefault="00F666A6">
            <w:pPr>
              <w:pStyle w:val="TableParagraph"/>
              <w:rPr>
                <w:sz w:val="20"/>
              </w:rPr>
            </w:pPr>
            <w:r>
              <w:rPr>
                <w:spacing w:val="-2"/>
                <w:sz w:val="20"/>
              </w:rPr>
              <w:t>Complex</w:t>
            </w:r>
          </w:p>
        </w:tc>
      </w:tr>
      <w:tr w:rsidR="00DB6E1F" w14:paraId="34852E4F" w14:textId="77777777">
        <w:trPr>
          <w:trHeight w:val="1703"/>
        </w:trPr>
        <w:tc>
          <w:tcPr>
            <w:tcW w:w="1075" w:type="dxa"/>
          </w:tcPr>
          <w:p w14:paraId="02BA98E8" w14:textId="77777777" w:rsidR="00DB6E1F" w:rsidRDefault="00F666A6">
            <w:pPr>
              <w:pStyle w:val="TableParagraph"/>
              <w:rPr>
                <w:sz w:val="20"/>
              </w:rPr>
            </w:pPr>
            <w:r>
              <w:rPr>
                <w:spacing w:val="-2"/>
                <w:sz w:val="20"/>
              </w:rPr>
              <w:t>Feeling</w:t>
            </w:r>
          </w:p>
        </w:tc>
        <w:tc>
          <w:tcPr>
            <w:tcW w:w="2520" w:type="dxa"/>
          </w:tcPr>
          <w:p w14:paraId="4B889B4D" w14:textId="77777777" w:rsidR="00DB6E1F" w:rsidRDefault="00F666A6">
            <w:pPr>
              <w:pStyle w:val="TableParagraph"/>
              <w:ind w:left="108" w:right="450"/>
              <w:rPr>
                <w:sz w:val="20"/>
              </w:rPr>
            </w:pPr>
            <w:r>
              <w:rPr>
                <w:sz w:val="20"/>
              </w:rPr>
              <w:t>“I’d</w:t>
            </w:r>
            <w:r>
              <w:rPr>
                <w:spacing w:val="-3"/>
                <w:sz w:val="20"/>
              </w:rPr>
              <w:t xml:space="preserve"> </w:t>
            </w:r>
            <w:r>
              <w:rPr>
                <w:sz w:val="20"/>
              </w:rPr>
              <w:t>like</w:t>
            </w:r>
            <w:r>
              <w:rPr>
                <w:spacing w:val="-5"/>
                <w:sz w:val="20"/>
              </w:rPr>
              <w:t xml:space="preserve"> </w:t>
            </w:r>
            <w:r>
              <w:rPr>
                <w:sz w:val="20"/>
              </w:rPr>
              <w:t>to</w:t>
            </w:r>
            <w:r>
              <w:rPr>
                <w:spacing w:val="-4"/>
                <w:sz w:val="20"/>
              </w:rPr>
              <w:t xml:space="preserve"> </w:t>
            </w:r>
            <w:r>
              <w:rPr>
                <w:sz w:val="20"/>
              </w:rPr>
              <w:t>quit</w:t>
            </w:r>
            <w:r>
              <w:rPr>
                <w:spacing w:val="-4"/>
                <w:sz w:val="20"/>
              </w:rPr>
              <w:t xml:space="preserve"> </w:t>
            </w:r>
            <w:r>
              <w:rPr>
                <w:sz w:val="20"/>
              </w:rPr>
              <w:t>smoking marijuana so that the second-hand</w:t>
            </w:r>
            <w:r>
              <w:rPr>
                <w:spacing w:val="-12"/>
                <w:sz w:val="20"/>
              </w:rPr>
              <w:t xml:space="preserve"> </w:t>
            </w:r>
            <w:r>
              <w:rPr>
                <w:sz w:val="20"/>
              </w:rPr>
              <w:t>pot</w:t>
            </w:r>
            <w:r>
              <w:rPr>
                <w:spacing w:val="-11"/>
                <w:sz w:val="20"/>
              </w:rPr>
              <w:t xml:space="preserve"> </w:t>
            </w:r>
            <w:r>
              <w:rPr>
                <w:sz w:val="20"/>
              </w:rPr>
              <w:t>smoke won’t worsen my daughter’s asthma.”</w:t>
            </w:r>
          </w:p>
        </w:tc>
        <w:tc>
          <w:tcPr>
            <w:tcW w:w="2071" w:type="dxa"/>
          </w:tcPr>
          <w:p w14:paraId="52BABA75" w14:textId="77777777" w:rsidR="00DB6E1F" w:rsidRDefault="00F666A6">
            <w:pPr>
              <w:pStyle w:val="TableParagraph"/>
              <w:ind w:right="126"/>
              <w:rPr>
                <w:sz w:val="20"/>
              </w:rPr>
            </w:pPr>
            <w:r>
              <w:rPr>
                <w:sz w:val="20"/>
              </w:rPr>
              <w:t>“You’re afraid that your daughter’s asthma</w:t>
            </w:r>
            <w:r>
              <w:rPr>
                <w:spacing w:val="-12"/>
                <w:sz w:val="20"/>
              </w:rPr>
              <w:t xml:space="preserve"> </w:t>
            </w:r>
            <w:r>
              <w:rPr>
                <w:sz w:val="20"/>
              </w:rPr>
              <w:t>will</w:t>
            </w:r>
            <w:r>
              <w:rPr>
                <w:spacing w:val="-11"/>
                <w:sz w:val="20"/>
              </w:rPr>
              <w:t xml:space="preserve"> </w:t>
            </w:r>
            <w:r>
              <w:rPr>
                <w:sz w:val="20"/>
              </w:rPr>
              <w:t>get</w:t>
            </w:r>
            <w:r>
              <w:rPr>
                <w:spacing w:val="-11"/>
                <w:sz w:val="20"/>
              </w:rPr>
              <w:t xml:space="preserve"> </w:t>
            </w:r>
            <w:r>
              <w:rPr>
                <w:sz w:val="20"/>
              </w:rPr>
              <w:t>worse if you continue smoking marijuana.”</w:t>
            </w:r>
          </w:p>
        </w:tc>
        <w:tc>
          <w:tcPr>
            <w:tcW w:w="1980" w:type="dxa"/>
          </w:tcPr>
          <w:p w14:paraId="608FF10B" w14:textId="77777777" w:rsidR="00DB6E1F" w:rsidRDefault="00F666A6">
            <w:pPr>
              <w:pStyle w:val="TableParagraph"/>
              <w:ind w:left="105" w:right="326"/>
              <w:rPr>
                <w:sz w:val="20"/>
              </w:rPr>
            </w:pPr>
            <w:r>
              <w:rPr>
                <w:sz w:val="20"/>
              </w:rPr>
              <w:t>Highlights</w:t>
            </w:r>
            <w:r>
              <w:rPr>
                <w:spacing w:val="-12"/>
                <w:sz w:val="20"/>
              </w:rPr>
              <w:t xml:space="preserve"> </w:t>
            </w:r>
            <w:r>
              <w:rPr>
                <w:sz w:val="20"/>
              </w:rPr>
              <w:t xml:space="preserve">selected </w:t>
            </w:r>
            <w:r>
              <w:rPr>
                <w:spacing w:val="-2"/>
                <w:sz w:val="20"/>
              </w:rPr>
              <w:t>feeling.</w:t>
            </w:r>
          </w:p>
          <w:p w14:paraId="0D1F2B56" w14:textId="77777777" w:rsidR="00DB6E1F" w:rsidRDefault="00F666A6">
            <w:pPr>
              <w:pStyle w:val="TableParagraph"/>
              <w:spacing w:before="119"/>
              <w:ind w:left="105" w:right="129"/>
              <w:rPr>
                <w:sz w:val="20"/>
              </w:rPr>
            </w:pPr>
            <w:r>
              <w:rPr>
                <w:spacing w:val="-2"/>
                <w:sz w:val="20"/>
              </w:rPr>
              <w:t xml:space="preserve">Highlights </w:t>
            </w:r>
            <w:r>
              <w:rPr>
                <w:sz w:val="20"/>
              </w:rPr>
              <w:t>discrepancy</w:t>
            </w:r>
            <w:r>
              <w:rPr>
                <w:spacing w:val="-12"/>
                <w:sz w:val="20"/>
              </w:rPr>
              <w:t xml:space="preserve"> </w:t>
            </w:r>
            <w:r>
              <w:rPr>
                <w:sz w:val="20"/>
              </w:rPr>
              <w:t xml:space="preserve">between values and current </w:t>
            </w:r>
            <w:r>
              <w:rPr>
                <w:spacing w:val="-2"/>
                <w:sz w:val="20"/>
              </w:rPr>
              <w:t>behavior.</w:t>
            </w:r>
          </w:p>
        </w:tc>
        <w:tc>
          <w:tcPr>
            <w:tcW w:w="1704" w:type="dxa"/>
          </w:tcPr>
          <w:p w14:paraId="7FCE2AC6" w14:textId="77777777" w:rsidR="00DB6E1F" w:rsidRDefault="00F666A6">
            <w:pPr>
              <w:pStyle w:val="TableParagraph"/>
              <w:ind w:left="105" w:right="211"/>
              <w:rPr>
                <w:sz w:val="20"/>
              </w:rPr>
            </w:pPr>
            <w:r>
              <w:rPr>
                <w:spacing w:val="-2"/>
                <w:sz w:val="20"/>
              </w:rPr>
              <w:t xml:space="preserve">Selectively </w:t>
            </w:r>
            <w:r>
              <w:rPr>
                <w:sz w:val="20"/>
              </w:rPr>
              <w:t>reinforce</w:t>
            </w:r>
            <w:r>
              <w:rPr>
                <w:spacing w:val="-12"/>
                <w:sz w:val="20"/>
              </w:rPr>
              <w:t xml:space="preserve"> </w:t>
            </w:r>
            <w:r>
              <w:rPr>
                <w:sz w:val="20"/>
              </w:rPr>
              <w:t xml:space="preserve">change </w:t>
            </w:r>
            <w:r>
              <w:rPr>
                <w:spacing w:val="-2"/>
                <w:sz w:val="20"/>
              </w:rPr>
              <w:t>ta</w:t>
            </w:r>
            <w:r>
              <w:rPr>
                <w:spacing w:val="-2"/>
                <w:sz w:val="20"/>
              </w:rPr>
              <w:t>lk.</w:t>
            </w:r>
          </w:p>
          <w:p w14:paraId="234BF866" w14:textId="77777777" w:rsidR="00DB6E1F" w:rsidRDefault="00F666A6">
            <w:pPr>
              <w:pStyle w:val="TableParagraph"/>
              <w:spacing w:before="120"/>
              <w:ind w:left="105" w:right="187"/>
              <w:rPr>
                <w:sz w:val="20"/>
              </w:rPr>
            </w:pPr>
            <w:r>
              <w:rPr>
                <w:sz w:val="20"/>
              </w:rPr>
              <w:t>Avoid</w:t>
            </w:r>
            <w:r>
              <w:rPr>
                <w:spacing w:val="-12"/>
                <w:sz w:val="20"/>
              </w:rPr>
              <w:t xml:space="preserve"> </w:t>
            </w:r>
            <w:r>
              <w:rPr>
                <w:sz w:val="20"/>
              </w:rPr>
              <w:t>reinforcing sustain talk.</w:t>
            </w:r>
          </w:p>
        </w:tc>
      </w:tr>
      <w:tr w:rsidR="00DB6E1F" w14:paraId="2D2E59C2" w14:textId="77777777">
        <w:trPr>
          <w:trHeight w:val="1096"/>
        </w:trPr>
        <w:tc>
          <w:tcPr>
            <w:tcW w:w="1075" w:type="dxa"/>
          </w:tcPr>
          <w:p w14:paraId="744E4A96" w14:textId="77777777" w:rsidR="00DB6E1F" w:rsidRDefault="00F666A6">
            <w:pPr>
              <w:pStyle w:val="TableParagraph"/>
              <w:rPr>
                <w:sz w:val="20"/>
              </w:rPr>
            </w:pPr>
            <w:r>
              <w:rPr>
                <w:spacing w:val="-2"/>
                <w:sz w:val="20"/>
              </w:rPr>
              <w:t>Meaning</w:t>
            </w:r>
          </w:p>
        </w:tc>
        <w:tc>
          <w:tcPr>
            <w:tcW w:w="2520" w:type="dxa"/>
          </w:tcPr>
          <w:p w14:paraId="7A905E0A" w14:textId="77777777" w:rsidR="00DB6E1F" w:rsidRDefault="00F666A6">
            <w:pPr>
              <w:pStyle w:val="TableParagraph"/>
              <w:ind w:left="108" w:right="135"/>
              <w:rPr>
                <w:sz w:val="20"/>
              </w:rPr>
            </w:pPr>
            <w:r>
              <w:rPr>
                <w:sz w:val="20"/>
              </w:rPr>
              <w:t>“I’d like to quit smoking marijuana</w:t>
            </w:r>
            <w:r>
              <w:rPr>
                <w:spacing w:val="-12"/>
                <w:sz w:val="20"/>
              </w:rPr>
              <w:t xml:space="preserve"> </w:t>
            </w:r>
            <w:r>
              <w:rPr>
                <w:sz w:val="20"/>
              </w:rPr>
              <w:t>because</w:t>
            </w:r>
            <w:r>
              <w:rPr>
                <w:spacing w:val="-11"/>
                <w:sz w:val="20"/>
              </w:rPr>
              <w:t xml:space="preserve"> </w:t>
            </w:r>
            <w:r>
              <w:rPr>
                <w:sz w:val="20"/>
              </w:rPr>
              <w:t>I</w:t>
            </w:r>
            <w:r>
              <w:rPr>
                <w:spacing w:val="-11"/>
                <w:sz w:val="20"/>
              </w:rPr>
              <w:t xml:space="preserve"> </w:t>
            </w:r>
            <w:r>
              <w:rPr>
                <w:sz w:val="20"/>
              </w:rPr>
              <w:t>read that second-hand pot smoke can make</w:t>
            </w:r>
            <w:r>
              <w:rPr>
                <w:spacing w:val="-2"/>
                <w:sz w:val="20"/>
              </w:rPr>
              <w:t xml:space="preserve"> </w:t>
            </w:r>
            <w:r>
              <w:rPr>
                <w:sz w:val="20"/>
              </w:rPr>
              <w:t>asthma</w:t>
            </w:r>
          </w:p>
        </w:tc>
        <w:tc>
          <w:tcPr>
            <w:tcW w:w="2071" w:type="dxa"/>
          </w:tcPr>
          <w:p w14:paraId="0F74A816" w14:textId="77777777" w:rsidR="00DB6E1F" w:rsidRDefault="00F666A6">
            <w:pPr>
              <w:pStyle w:val="TableParagraph"/>
              <w:ind w:right="103"/>
              <w:rPr>
                <w:sz w:val="20"/>
              </w:rPr>
            </w:pPr>
            <w:r>
              <w:rPr>
                <w:sz w:val="20"/>
              </w:rPr>
              <w:t>“You want to protect your daughter from the</w:t>
            </w:r>
            <w:r>
              <w:rPr>
                <w:spacing w:val="-12"/>
                <w:sz w:val="20"/>
              </w:rPr>
              <w:t xml:space="preserve"> </w:t>
            </w:r>
            <w:r>
              <w:rPr>
                <w:sz w:val="20"/>
              </w:rPr>
              <w:t>possibility</w:t>
            </w:r>
            <w:r>
              <w:rPr>
                <w:spacing w:val="-11"/>
                <w:sz w:val="20"/>
              </w:rPr>
              <w:t xml:space="preserve"> </w:t>
            </w:r>
            <w:r>
              <w:rPr>
                <w:sz w:val="20"/>
              </w:rPr>
              <w:t>that</w:t>
            </w:r>
            <w:r>
              <w:rPr>
                <w:spacing w:val="-11"/>
                <w:sz w:val="20"/>
              </w:rPr>
              <w:t xml:space="preserve"> </w:t>
            </w:r>
            <w:r>
              <w:rPr>
                <w:sz w:val="20"/>
              </w:rPr>
              <w:t>her asthma will get worse</w:t>
            </w:r>
          </w:p>
        </w:tc>
        <w:tc>
          <w:tcPr>
            <w:tcW w:w="1980" w:type="dxa"/>
          </w:tcPr>
          <w:p w14:paraId="0961109D" w14:textId="77777777" w:rsidR="00DB6E1F" w:rsidRDefault="00F666A6">
            <w:pPr>
              <w:pStyle w:val="TableParagraph"/>
              <w:ind w:left="105" w:right="326"/>
              <w:rPr>
                <w:sz w:val="20"/>
              </w:rPr>
            </w:pPr>
            <w:r>
              <w:rPr>
                <w:sz w:val="20"/>
              </w:rPr>
              <w:t>Highlights</w:t>
            </w:r>
            <w:r>
              <w:rPr>
                <w:spacing w:val="-12"/>
                <w:sz w:val="20"/>
              </w:rPr>
              <w:t xml:space="preserve"> </w:t>
            </w:r>
            <w:r>
              <w:rPr>
                <w:sz w:val="20"/>
              </w:rPr>
              <w:t xml:space="preserve">selected </w:t>
            </w:r>
            <w:r>
              <w:rPr>
                <w:spacing w:val="-2"/>
                <w:sz w:val="20"/>
              </w:rPr>
              <w:t>meaning.</w:t>
            </w:r>
          </w:p>
          <w:p w14:paraId="6BC7087C" w14:textId="77777777" w:rsidR="00DB6E1F" w:rsidRDefault="00F666A6">
            <w:pPr>
              <w:pStyle w:val="TableParagraph"/>
              <w:spacing w:before="103" w:line="242" w:lineRule="exact"/>
              <w:ind w:left="105" w:right="129"/>
              <w:rPr>
                <w:sz w:val="20"/>
              </w:rPr>
            </w:pPr>
            <w:r>
              <w:rPr>
                <w:spacing w:val="-2"/>
                <w:sz w:val="20"/>
              </w:rPr>
              <w:t xml:space="preserve">Highlights </w:t>
            </w:r>
            <w:r>
              <w:rPr>
                <w:sz w:val="20"/>
              </w:rPr>
              <w:t>discrepancy</w:t>
            </w:r>
            <w:r>
              <w:rPr>
                <w:spacing w:val="-12"/>
                <w:sz w:val="20"/>
              </w:rPr>
              <w:t xml:space="preserve"> </w:t>
            </w:r>
            <w:r>
              <w:rPr>
                <w:sz w:val="20"/>
              </w:rPr>
              <w:t>between</w:t>
            </w:r>
          </w:p>
        </w:tc>
        <w:tc>
          <w:tcPr>
            <w:tcW w:w="1704" w:type="dxa"/>
          </w:tcPr>
          <w:p w14:paraId="4D9D78C1" w14:textId="77777777" w:rsidR="00DB6E1F" w:rsidRDefault="00F666A6">
            <w:pPr>
              <w:pStyle w:val="TableParagraph"/>
              <w:ind w:left="105" w:right="211"/>
              <w:rPr>
                <w:sz w:val="20"/>
              </w:rPr>
            </w:pPr>
            <w:r>
              <w:rPr>
                <w:spacing w:val="-2"/>
                <w:sz w:val="20"/>
              </w:rPr>
              <w:t xml:space="preserve">Selectively </w:t>
            </w:r>
            <w:r>
              <w:rPr>
                <w:sz w:val="20"/>
              </w:rPr>
              <w:t>reinforce</w:t>
            </w:r>
            <w:r>
              <w:rPr>
                <w:spacing w:val="-12"/>
                <w:sz w:val="20"/>
              </w:rPr>
              <w:t xml:space="preserve"> </w:t>
            </w:r>
            <w:r>
              <w:rPr>
                <w:sz w:val="20"/>
              </w:rPr>
              <w:t xml:space="preserve">change </w:t>
            </w:r>
            <w:r>
              <w:rPr>
                <w:spacing w:val="-2"/>
                <w:sz w:val="20"/>
              </w:rPr>
              <w:t>talk.</w:t>
            </w:r>
          </w:p>
        </w:tc>
      </w:tr>
    </w:tbl>
    <w:p w14:paraId="6636328D" w14:textId="77777777" w:rsidR="00DB6E1F" w:rsidRDefault="00DB6E1F">
      <w:pPr>
        <w:rPr>
          <w:sz w:val="20"/>
        </w:rPr>
        <w:sectPr w:rsidR="00DB6E1F">
          <w:pgSz w:w="12240" w:h="15840"/>
          <w:pgMar w:top="1200" w:right="0" w:bottom="780" w:left="0" w:header="763" w:footer="585" w:gutter="0"/>
          <w:cols w:space="720"/>
        </w:sectPr>
      </w:pPr>
    </w:p>
    <w:p w14:paraId="483E4B93"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520"/>
        <w:gridCol w:w="2071"/>
        <w:gridCol w:w="1980"/>
        <w:gridCol w:w="1704"/>
      </w:tblGrid>
      <w:tr w:rsidR="00DB6E1F" w14:paraId="58FB7633" w14:textId="77777777">
        <w:trPr>
          <w:trHeight w:val="609"/>
        </w:trPr>
        <w:tc>
          <w:tcPr>
            <w:tcW w:w="1075" w:type="dxa"/>
          </w:tcPr>
          <w:p w14:paraId="18E62603" w14:textId="77777777" w:rsidR="00DB6E1F" w:rsidRDefault="00DB6E1F">
            <w:pPr>
              <w:pStyle w:val="TableParagraph"/>
              <w:spacing w:before="0"/>
              <w:ind w:left="0"/>
              <w:rPr>
                <w:rFonts w:ascii="Times New Roman"/>
                <w:sz w:val="20"/>
              </w:rPr>
            </w:pPr>
          </w:p>
        </w:tc>
        <w:tc>
          <w:tcPr>
            <w:tcW w:w="2520" w:type="dxa"/>
          </w:tcPr>
          <w:p w14:paraId="504D123D" w14:textId="77777777" w:rsidR="00DB6E1F" w:rsidRDefault="00F666A6">
            <w:pPr>
              <w:pStyle w:val="TableParagraph"/>
              <w:ind w:left="108" w:right="23"/>
              <w:rPr>
                <w:sz w:val="20"/>
              </w:rPr>
            </w:pPr>
            <w:r>
              <w:rPr>
                <w:sz w:val="20"/>
              </w:rPr>
              <w:t>worse</w:t>
            </w:r>
            <w:r>
              <w:rPr>
                <w:spacing w:val="-7"/>
                <w:sz w:val="20"/>
              </w:rPr>
              <w:t xml:space="preserve"> </w:t>
            </w:r>
            <w:r>
              <w:rPr>
                <w:sz w:val="20"/>
              </w:rPr>
              <w:t>and</w:t>
            </w:r>
            <w:r>
              <w:rPr>
                <w:spacing w:val="-5"/>
                <w:sz w:val="20"/>
              </w:rPr>
              <w:t xml:space="preserve"> </w:t>
            </w:r>
            <w:r>
              <w:rPr>
                <w:sz w:val="20"/>
              </w:rPr>
              <w:t>I</w:t>
            </w:r>
            <w:r>
              <w:rPr>
                <w:spacing w:val="-6"/>
                <w:sz w:val="20"/>
              </w:rPr>
              <w:t xml:space="preserve"> </w:t>
            </w:r>
            <w:r>
              <w:rPr>
                <w:sz w:val="20"/>
              </w:rPr>
              <w:t>don’t</w:t>
            </w:r>
            <w:r>
              <w:rPr>
                <w:spacing w:val="-6"/>
                <w:sz w:val="20"/>
              </w:rPr>
              <w:t xml:space="preserve"> </w:t>
            </w:r>
            <w:r>
              <w:rPr>
                <w:sz w:val="20"/>
              </w:rPr>
              <w:t>want</w:t>
            </w:r>
            <w:r>
              <w:rPr>
                <w:spacing w:val="-6"/>
                <w:sz w:val="20"/>
              </w:rPr>
              <w:t xml:space="preserve"> </w:t>
            </w:r>
            <w:r>
              <w:rPr>
                <w:sz w:val="20"/>
              </w:rPr>
              <w:t>that to</w:t>
            </w:r>
            <w:r>
              <w:rPr>
                <w:spacing w:val="-3"/>
                <w:sz w:val="20"/>
              </w:rPr>
              <w:t xml:space="preserve"> </w:t>
            </w:r>
            <w:r>
              <w:rPr>
                <w:sz w:val="20"/>
              </w:rPr>
              <w:t>happen</w:t>
            </w:r>
            <w:r>
              <w:rPr>
                <w:spacing w:val="-3"/>
                <w:sz w:val="20"/>
              </w:rPr>
              <w:t xml:space="preserve"> </w:t>
            </w:r>
            <w:r>
              <w:rPr>
                <w:sz w:val="20"/>
              </w:rPr>
              <w:t>to</w:t>
            </w:r>
            <w:r>
              <w:rPr>
                <w:spacing w:val="-2"/>
                <w:sz w:val="20"/>
              </w:rPr>
              <w:t xml:space="preserve"> </w:t>
            </w:r>
            <w:r>
              <w:rPr>
                <w:sz w:val="20"/>
              </w:rPr>
              <w:t>my</w:t>
            </w:r>
            <w:r>
              <w:rPr>
                <w:spacing w:val="-3"/>
                <w:sz w:val="20"/>
              </w:rPr>
              <w:t xml:space="preserve"> </w:t>
            </w:r>
            <w:r>
              <w:rPr>
                <w:spacing w:val="-2"/>
                <w:sz w:val="20"/>
              </w:rPr>
              <w:t>daughter.”</w:t>
            </w:r>
          </w:p>
        </w:tc>
        <w:tc>
          <w:tcPr>
            <w:tcW w:w="2071" w:type="dxa"/>
          </w:tcPr>
          <w:p w14:paraId="37C17D23" w14:textId="77777777" w:rsidR="00DB6E1F" w:rsidRDefault="00F666A6">
            <w:pPr>
              <w:pStyle w:val="TableParagraph"/>
              <w:ind w:right="266"/>
              <w:rPr>
                <w:sz w:val="20"/>
              </w:rPr>
            </w:pPr>
            <w:r>
              <w:rPr>
                <w:sz w:val="20"/>
              </w:rPr>
              <w:t>if you continue smoking</w:t>
            </w:r>
            <w:r>
              <w:rPr>
                <w:spacing w:val="-12"/>
                <w:sz w:val="20"/>
              </w:rPr>
              <w:t xml:space="preserve"> </w:t>
            </w:r>
            <w:r>
              <w:rPr>
                <w:sz w:val="20"/>
              </w:rPr>
              <w:t>marijuana.”</w:t>
            </w:r>
          </w:p>
        </w:tc>
        <w:tc>
          <w:tcPr>
            <w:tcW w:w="1980" w:type="dxa"/>
          </w:tcPr>
          <w:p w14:paraId="14EA6C6D" w14:textId="77777777" w:rsidR="00DB6E1F" w:rsidRDefault="00F666A6">
            <w:pPr>
              <w:pStyle w:val="TableParagraph"/>
              <w:ind w:left="105"/>
              <w:rPr>
                <w:sz w:val="20"/>
              </w:rPr>
            </w:pPr>
            <w:r>
              <w:rPr>
                <w:sz w:val="20"/>
              </w:rPr>
              <w:t>values</w:t>
            </w:r>
            <w:r>
              <w:rPr>
                <w:spacing w:val="-12"/>
                <w:sz w:val="20"/>
              </w:rPr>
              <w:t xml:space="preserve"> </w:t>
            </w:r>
            <w:r>
              <w:rPr>
                <w:sz w:val="20"/>
              </w:rPr>
              <w:t>and</w:t>
            </w:r>
            <w:r>
              <w:rPr>
                <w:spacing w:val="-11"/>
                <w:sz w:val="20"/>
              </w:rPr>
              <w:t xml:space="preserve"> </w:t>
            </w:r>
            <w:r>
              <w:rPr>
                <w:sz w:val="20"/>
              </w:rPr>
              <w:t xml:space="preserve">current </w:t>
            </w:r>
            <w:r>
              <w:rPr>
                <w:spacing w:val="-2"/>
                <w:sz w:val="20"/>
              </w:rPr>
              <w:t>behavior.</w:t>
            </w:r>
          </w:p>
        </w:tc>
        <w:tc>
          <w:tcPr>
            <w:tcW w:w="1704" w:type="dxa"/>
          </w:tcPr>
          <w:p w14:paraId="004E5ABB" w14:textId="77777777" w:rsidR="00DB6E1F" w:rsidRDefault="00F666A6">
            <w:pPr>
              <w:pStyle w:val="TableParagraph"/>
              <w:ind w:left="105" w:right="187"/>
              <w:rPr>
                <w:sz w:val="20"/>
              </w:rPr>
            </w:pPr>
            <w:r>
              <w:rPr>
                <w:sz w:val="20"/>
              </w:rPr>
              <w:t>Avoid</w:t>
            </w:r>
            <w:r>
              <w:rPr>
                <w:spacing w:val="-12"/>
                <w:sz w:val="20"/>
              </w:rPr>
              <w:t xml:space="preserve"> </w:t>
            </w:r>
            <w:r>
              <w:rPr>
                <w:sz w:val="20"/>
              </w:rPr>
              <w:t>reinforcing sustain talk.</w:t>
            </w:r>
          </w:p>
        </w:tc>
      </w:tr>
      <w:tr w:rsidR="00DB6E1F" w14:paraId="191C4A01" w14:textId="77777777">
        <w:trPr>
          <w:trHeight w:val="1703"/>
        </w:trPr>
        <w:tc>
          <w:tcPr>
            <w:tcW w:w="1075" w:type="dxa"/>
          </w:tcPr>
          <w:p w14:paraId="41F25A32" w14:textId="77777777" w:rsidR="00DB6E1F" w:rsidRDefault="00F666A6">
            <w:pPr>
              <w:pStyle w:val="TableParagraph"/>
              <w:ind w:right="306"/>
              <w:rPr>
                <w:sz w:val="20"/>
              </w:rPr>
            </w:pPr>
            <w:r>
              <w:rPr>
                <w:spacing w:val="-2"/>
                <w:sz w:val="20"/>
              </w:rPr>
              <w:t>Double- sided</w:t>
            </w:r>
          </w:p>
        </w:tc>
        <w:tc>
          <w:tcPr>
            <w:tcW w:w="2520" w:type="dxa"/>
          </w:tcPr>
          <w:p w14:paraId="097B05F6" w14:textId="77777777" w:rsidR="00DB6E1F" w:rsidRDefault="00F666A6">
            <w:pPr>
              <w:pStyle w:val="TableParagraph"/>
              <w:ind w:left="108"/>
              <w:rPr>
                <w:sz w:val="20"/>
              </w:rPr>
            </w:pPr>
            <w:r>
              <w:rPr>
                <w:sz w:val="20"/>
              </w:rPr>
              <w:t>“I know I should give up drinking,</w:t>
            </w:r>
            <w:r>
              <w:rPr>
                <w:spacing w:val="-9"/>
                <w:sz w:val="20"/>
              </w:rPr>
              <w:t xml:space="preserve"> </w:t>
            </w:r>
            <w:r>
              <w:rPr>
                <w:sz w:val="20"/>
              </w:rPr>
              <w:t>but</w:t>
            </w:r>
            <w:r>
              <w:rPr>
                <w:spacing w:val="-10"/>
                <w:sz w:val="20"/>
              </w:rPr>
              <w:t xml:space="preserve"> </w:t>
            </w:r>
            <w:r>
              <w:rPr>
                <w:sz w:val="20"/>
              </w:rPr>
              <w:t>I</w:t>
            </w:r>
            <w:r>
              <w:rPr>
                <w:spacing w:val="-10"/>
                <w:sz w:val="20"/>
              </w:rPr>
              <w:t xml:space="preserve"> </w:t>
            </w:r>
            <w:r>
              <w:rPr>
                <w:sz w:val="20"/>
              </w:rPr>
              <w:t>can’t</w:t>
            </w:r>
            <w:r>
              <w:rPr>
                <w:spacing w:val="-10"/>
                <w:sz w:val="20"/>
              </w:rPr>
              <w:t xml:space="preserve"> </w:t>
            </w:r>
            <w:r>
              <w:rPr>
                <w:sz w:val="20"/>
              </w:rPr>
              <w:t>imagine life without it.”</w:t>
            </w:r>
          </w:p>
        </w:tc>
        <w:tc>
          <w:tcPr>
            <w:tcW w:w="2071" w:type="dxa"/>
          </w:tcPr>
          <w:p w14:paraId="4FA06105" w14:textId="77777777" w:rsidR="00DB6E1F" w:rsidRDefault="00F666A6">
            <w:pPr>
              <w:pStyle w:val="TableParagraph"/>
              <w:ind w:right="126"/>
              <w:rPr>
                <w:sz w:val="20"/>
              </w:rPr>
            </w:pPr>
            <w:r>
              <w:rPr>
                <w:sz w:val="20"/>
              </w:rPr>
              <w:t xml:space="preserve">“Giving up drinking would be hard, </w:t>
            </w:r>
            <w:r>
              <w:rPr>
                <w:b/>
                <w:sz w:val="20"/>
              </w:rPr>
              <w:t xml:space="preserve">and </w:t>
            </w:r>
            <w:r>
              <w:rPr>
                <w:sz w:val="20"/>
              </w:rPr>
              <w:t>you</w:t>
            </w:r>
            <w:r>
              <w:rPr>
                <w:spacing w:val="-12"/>
                <w:sz w:val="20"/>
              </w:rPr>
              <w:t xml:space="preserve"> </w:t>
            </w:r>
            <w:r>
              <w:rPr>
                <w:sz w:val="20"/>
              </w:rPr>
              <w:t>recognize</w:t>
            </w:r>
            <w:r>
              <w:rPr>
                <w:spacing w:val="-11"/>
                <w:sz w:val="20"/>
              </w:rPr>
              <w:t xml:space="preserve"> </w:t>
            </w:r>
            <w:r>
              <w:rPr>
                <w:sz w:val="20"/>
              </w:rPr>
              <w:t>that</w:t>
            </w:r>
            <w:r>
              <w:rPr>
                <w:spacing w:val="-11"/>
                <w:sz w:val="20"/>
              </w:rPr>
              <w:t xml:space="preserve"> </w:t>
            </w:r>
            <w:r>
              <w:rPr>
                <w:sz w:val="20"/>
              </w:rPr>
              <w:t>it’s time to stop.”</w:t>
            </w:r>
          </w:p>
        </w:tc>
        <w:tc>
          <w:tcPr>
            <w:tcW w:w="1980" w:type="dxa"/>
          </w:tcPr>
          <w:p w14:paraId="56B6CE90" w14:textId="77777777" w:rsidR="00DB6E1F" w:rsidRDefault="00F666A6">
            <w:pPr>
              <w:pStyle w:val="TableParagraph"/>
              <w:ind w:left="105" w:right="245"/>
              <w:rPr>
                <w:sz w:val="20"/>
              </w:rPr>
            </w:pPr>
            <w:r>
              <w:rPr>
                <w:spacing w:val="-2"/>
                <w:sz w:val="20"/>
              </w:rPr>
              <w:t>Resolves ambivalence.</w:t>
            </w:r>
          </w:p>
          <w:p w14:paraId="3E1F4AAC" w14:textId="77777777" w:rsidR="00DB6E1F" w:rsidRDefault="00F666A6">
            <w:pPr>
              <w:pStyle w:val="TableParagraph"/>
              <w:spacing w:before="119"/>
              <w:ind w:left="105" w:right="281"/>
              <w:rPr>
                <w:sz w:val="20"/>
              </w:rPr>
            </w:pPr>
            <w:r>
              <w:rPr>
                <w:spacing w:val="-2"/>
                <w:sz w:val="20"/>
              </w:rPr>
              <w:t xml:space="preserve">Acknowledges </w:t>
            </w:r>
            <w:r>
              <w:rPr>
                <w:sz w:val="20"/>
              </w:rPr>
              <w:t xml:space="preserve">sustain talk </w:t>
            </w:r>
            <w:r>
              <w:rPr>
                <w:b/>
                <w:sz w:val="20"/>
              </w:rPr>
              <w:t xml:space="preserve">and </w:t>
            </w:r>
            <w:r>
              <w:rPr>
                <w:sz w:val="20"/>
              </w:rPr>
              <w:t>emphasizes</w:t>
            </w:r>
            <w:r>
              <w:rPr>
                <w:spacing w:val="-12"/>
                <w:sz w:val="20"/>
              </w:rPr>
              <w:t xml:space="preserve"> </w:t>
            </w:r>
            <w:r>
              <w:rPr>
                <w:sz w:val="20"/>
              </w:rPr>
              <w:t xml:space="preserve">change </w:t>
            </w:r>
            <w:r>
              <w:rPr>
                <w:spacing w:val="-2"/>
                <w:sz w:val="20"/>
              </w:rPr>
              <w:t>talk.</w:t>
            </w:r>
          </w:p>
        </w:tc>
        <w:tc>
          <w:tcPr>
            <w:tcW w:w="1704" w:type="dxa"/>
          </w:tcPr>
          <w:p w14:paraId="51807296" w14:textId="77777777" w:rsidR="00DB6E1F" w:rsidRDefault="00F666A6">
            <w:pPr>
              <w:pStyle w:val="TableParagraph"/>
              <w:ind w:left="105"/>
              <w:rPr>
                <w:sz w:val="20"/>
              </w:rPr>
            </w:pPr>
            <w:r>
              <w:rPr>
                <w:sz w:val="20"/>
              </w:rPr>
              <w:t>Use</w:t>
            </w:r>
            <w:r>
              <w:rPr>
                <w:spacing w:val="-12"/>
                <w:sz w:val="20"/>
              </w:rPr>
              <w:t xml:space="preserve"> </w:t>
            </w:r>
            <w:r>
              <w:rPr>
                <w:sz w:val="20"/>
              </w:rPr>
              <w:t>“and”</w:t>
            </w:r>
            <w:r>
              <w:rPr>
                <w:spacing w:val="-11"/>
                <w:sz w:val="20"/>
              </w:rPr>
              <w:t xml:space="preserve"> </w:t>
            </w:r>
            <w:r>
              <w:rPr>
                <w:sz w:val="20"/>
              </w:rPr>
              <w:t>to</w:t>
            </w:r>
            <w:r>
              <w:rPr>
                <w:spacing w:val="-11"/>
                <w:sz w:val="20"/>
              </w:rPr>
              <w:t xml:space="preserve"> </w:t>
            </w:r>
            <w:r>
              <w:rPr>
                <w:sz w:val="20"/>
              </w:rPr>
              <w:t>join two reflections.</w:t>
            </w:r>
          </w:p>
          <w:p w14:paraId="47B8D6FC" w14:textId="77777777" w:rsidR="00DB6E1F" w:rsidRDefault="00F666A6">
            <w:pPr>
              <w:pStyle w:val="TableParagraph"/>
              <w:spacing w:before="119"/>
              <w:ind w:left="105"/>
              <w:rPr>
                <w:sz w:val="20"/>
              </w:rPr>
            </w:pPr>
            <w:r>
              <w:rPr>
                <w:sz w:val="20"/>
              </w:rPr>
              <w:t>Start with sustain talk</w:t>
            </w:r>
            <w:r>
              <w:rPr>
                <w:spacing w:val="-12"/>
                <w:sz w:val="20"/>
              </w:rPr>
              <w:t xml:space="preserve"> </w:t>
            </w:r>
            <w:r>
              <w:rPr>
                <w:sz w:val="20"/>
              </w:rPr>
              <w:t>reflection</w:t>
            </w:r>
            <w:r>
              <w:rPr>
                <w:spacing w:val="-11"/>
                <w:sz w:val="20"/>
              </w:rPr>
              <w:t xml:space="preserve"> </w:t>
            </w:r>
            <w:r>
              <w:rPr>
                <w:sz w:val="20"/>
              </w:rPr>
              <w:t>and end with change talk reflection.</w:t>
            </w:r>
          </w:p>
        </w:tc>
      </w:tr>
      <w:tr w:rsidR="00DB6E1F" w14:paraId="36663A9C" w14:textId="77777777">
        <w:trPr>
          <w:trHeight w:val="1216"/>
        </w:trPr>
        <w:tc>
          <w:tcPr>
            <w:tcW w:w="1075" w:type="dxa"/>
          </w:tcPr>
          <w:p w14:paraId="6D4FD4A3" w14:textId="77777777" w:rsidR="00DB6E1F" w:rsidRDefault="00F666A6">
            <w:pPr>
              <w:pStyle w:val="TableParagraph"/>
              <w:rPr>
                <w:sz w:val="20"/>
              </w:rPr>
            </w:pPr>
            <w:r>
              <w:rPr>
                <w:spacing w:val="-2"/>
                <w:sz w:val="20"/>
              </w:rPr>
              <w:t>Amplified</w:t>
            </w:r>
          </w:p>
        </w:tc>
        <w:tc>
          <w:tcPr>
            <w:tcW w:w="2520" w:type="dxa"/>
          </w:tcPr>
          <w:p w14:paraId="2A9D6DF9" w14:textId="77777777" w:rsidR="00DB6E1F" w:rsidRDefault="00F666A6">
            <w:pPr>
              <w:pStyle w:val="TableParagraph"/>
              <w:ind w:left="108" w:right="135"/>
              <w:rPr>
                <w:sz w:val="20"/>
              </w:rPr>
            </w:pPr>
            <w:r>
              <w:rPr>
                <w:sz w:val="20"/>
              </w:rPr>
              <w:t>“I think my cocaine use is just</w:t>
            </w:r>
            <w:r>
              <w:rPr>
                <w:spacing w:val="-9"/>
                <w:sz w:val="20"/>
              </w:rPr>
              <w:t xml:space="preserve"> </w:t>
            </w:r>
            <w:r>
              <w:rPr>
                <w:sz w:val="20"/>
              </w:rPr>
              <w:t>not</w:t>
            </w:r>
            <w:r>
              <w:rPr>
                <w:spacing w:val="-9"/>
                <w:sz w:val="20"/>
              </w:rPr>
              <w:t xml:space="preserve"> </w:t>
            </w:r>
            <w:r>
              <w:rPr>
                <w:sz w:val="20"/>
              </w:rPr>
              <w:t>a</w:t>
            </w:r>
            <w:r>
              <w:rPr>
                <w:spacing w:val="-8"/>
                <w:sz w:val="20"/>
              </w:rPr>
              <w:t xml:space="preserve"> </w:t>
            </w:r>
            <w:r>
              <w:rPr>
                <w:sz w:val="20"/>
              </w:rPr>
              <w:t>problem</w:t>
            </w:r>
            <w:r>
              <w:rPr>
                <w:spacing w:val="-10"/>
                <w:sz w:val="20"/>
              </w:rPr>
              <w:t xml:space="preserve"> </w:t>
            </w:r>
            <w:r>
              <w:rPr>
                <w:sz w:val="20"/>
              </w:rPr>
              <w:t>for</w:t>
            </w:r>
            <w:r>
              <w:rPr>
                <w:spacing w:val="-9"/>
                <w:sz w:val="20"/>
              </w:rPr>
              <w:t xml:space="preserve"> </w:t>
            </w:r>
            <w:r>
              <w:rPr>
                <w:sz w:val="20"/>
              </w:rPr>
              <w:t>me.”</w:t>
            </w:r>
          </w:p>
        </w:tc>
        <w:tc>
          <w:tcPr>
            <w:tcW w:w="2071" w:type="dxa"/>
          </w:tcPr>
          <w:p w14:paraId="7490AD90" w14:textId="77777777" w:rsidR="00DB6E1F" w:rsidRDefault="00F666A6">
            <w:pPr>
              <w:pStyle w:val="TableParagraph"/>
              <w:ind w:right="103"/>
              <w:rPr>
                <w:sz w:val="20"/>
              </w:rPr>
            </w:pPr>
            <w:r>
              <w:rPr>
                <w:sz w:val="20"/>
              </w:rPr>
              <w:t>“There are absolutely no negative consequences</w:t>
            </w:r>
            <w:r>
              <w:rPr>
                <w:spacing w:val="-12"/>
                <w:sz w:val="20"/>
              </w:rPr>
              <w:t xml:space="preserve"> </w:t>
            </w:r>
            <w:r>
              <w:rPr>
                <w:sz w:val="20"/>
              </w:rPr>
              <w:t>of</w:t>
            </w:r>
            <w:r>
              <w:rPr>
                <w:spacing w:val="-11"/>
                <w:sz w:val="20"/>
              </w:rPr>
              <w:t xml:space="preserve"> </w:t>
            </w:r>
            <w:r>
              <w:rPr>
                <w:sz w:val="20"/>
              </w:rPr>
              <w:t xml:space="preserve">using </w:t>
            </w:r>
            <w:r>
              <w:rPr>
                <w:spacing w:val="-2"/>
                <w:sz w:val="20"/>
              </w:rPr>
              <w:t>cocaine.”</w:t>
            </w:r>
          </w:p>
        </w:tc>
        <w:tc>
          <w:tcPr>
            <w:tcW w:w="1980" w:type="dxa"/>
          </w:tcPr>
          <w:p w14:paraId="6D5F71C9" w14:textId="77777777" w:rsidR="00DB6E1F" w:rsidRDefault="00F666A6">
            <w:pPr>
              <w:pStyle w:val="TableParagraph"/>
              <w:ind w:left="105" w:right="129"/>
              <w:rPr>
                <w:sz w:val="20"/>
              </w:rPr>
            </w:pPr>
            <w:r>
              <w:rPr>
                <w:sz w:val="20"/>
              </w:rPr>
              <w:t>Intensifies sustain talk</w:t>
            </w:r>
            <w:r>
              <w:rPr>
                <w:spacing w:val="-12"/>
                <w:sz w:val="20"/>
              </w:rPr>
              <w:t xml:space="preserve"> </w:t>
            </w:r>
            <w:r>
              <w:rPr>
                <w:sz w:val="20"/>
              </w:rPr>
              <w:t>to</w:t>
            </w:r>
            <w:r>
              <w:rPr>
                <w:spacing w:val="-11"/>
                <w:sz w:val="20"/>
              </w:rPr>
              <w:t xml:space="preserve"> </w:t>
            </w:r>
            <w:r>
              <w:rPr>
                <w:sz w:val="20"/>
              </w:rPr>
              <w:t>evoke</w:t>
            </w:r>
            <w:r>
              <w:rPr>
                <w:spacing w:val="-11"/>
                <w:sz w:val="20"/>
              </w:rPr>
              <w:t xml:space="preserve"> </w:t>
            </w:r>
            <w:r>
              <w:rPr>
                <w:sz w:val="20"/>
              </w:rPr>
              <w:t xml:space="preserve">change </w:t>
            </w:r>
            <w:r>
              <w:rPr>
                <w:spacing w:val="-2"/>
                <w:sz w:val="20"/>
              </w:rPr>
              <w:t>talk.</w:t>
            </w:r>
          </w:p>
        </w:tc>
        <w:tc>
          <w:tcPr>
            <w:tcW w:w="1704" w:type="dxa"/>
          </w:tcPr>
          <w:p w14:paraId="019D0B42" w14:textId="77777777" w:rsidR="00DB6E1F" w:rsidRDefault="00F666A6">
            <w:pPr>
              <w:pStyle w:val="TableParagraph"/>
              <w:ind w:left="105"/>
              <w:rPr>
                <w:sz w:val="20"/>
              </w:rPr>
            </w:pPr>
            <w:r>
              <w:rPr>
                <w:sz w:val="20"/>
              </w:rPr>
              <w:t>Use</w:t>
            </w:r>
            <w:r>
              <w:rPr>
                <w:spacing w:val="-5"/>
                <w:sz w:val="20"/>
              </w:rPr>
              <w:t xml:space="preserve"> </w:t>
            </w:r>
            <w:r>
              <w:rPr>
                <w:spacing w:val="-2"/>
                <w:sz w:val="20"/>
              </w:rPr>
              <w:t>sparingly.</w:t>
            </w:r>
          </w:p>
          <w:p w14:paraId="00C5915D" w14:textId="77777777" w:rsidR="00DB6E1F" w:rsidRDefault="00F666A6">
            <w:pPr>
              <w:pStyle w:val="TableParagraph"/>
              <w:spacing w:before="121"/>
              <w:ind w:left="105" w:right="211"/>
              <w:rPr>
                <w:sz w:val="20"/>
              </w:rPr>
            </w:pPr>
            <w:r>
              <w:rPr>
                <w:sz w:val="20"/>
              </w:rPr>
              <w:t>Avoid getting stuck</w:t>
            </w:r>
            <w:r>
              <w:rPr>
                <w:spacing w:val="-12"/>
                <w:sz w:val="20"/>
              </w:rPr>
              <w:t xml:space="preserve"> </w:t>
            </w:r>
            <w:r>
              <w:rPr>
                <w:sz w:val="20"/>
              </w:rPr>
              <w:t>in</w:t>
            </w:r>
            <w:r>
              <w:rPr>
                <w:spacing w:val="-11"/>
                <w:sz w:val="20"/>
              </w:rPr>
              <w:t xml:space="preserve"> </w:t>
            </w:r>
            <w:r>
              <w:rPr>
                <w:sz w:val="20"/>
              </w:rPr>
              <w:t xml:space="preserve">sustain </w:t>
            </w:r>
            <w:r>
              <w:rPr>
                <w:spacing w:val="-2"/>
                <w:sz w:val="20"/>
              </w:rPr>
              <w:t>talk.</w:t>
            </w:r>
          </w:p>
        </w:tc>
      </w:tr>
      <w:tr w:rsidR="00DB6E1F" w14:paraId="4AA3A343" w14:textId="77777777">
        <w:trPr>
          <w:trHeight w:val="405"/>
        </w:trPr>
        <w:tc>
          <w:tcPr>
            <w:tcW w:w="9350" w:type="dxa"/>
            <w:gridSpan w:val="5"/>
          </w:tcPr>
          <w:p w14:paraId="0AE33CE4" w14:textId="77777777" w:rsidR="00DB6E1F" w:rsidRDefault="00F666A6">
            <w:pPr>
              <w:pStyle w:val="TableParagraph"/>
              <w:spacing w:before="80"/>
              <w:rPr>
                <w:i/>
                <w:sz w:val="20"/>
              </w:rPr>
            </w:pPr>
            <w:r>
              <w:rPr>
                <w:i/>
                <w:sz w:val="20"/>
              </w:rPr>
              <w:t>Source:</w:t>
            </w:r>
            <w:r>
              <w:rPr>
                <w:i/>
                <w:spacing w:val="-8"/>
                <w:sz w:val="20"/>
              </w:rPr>
              <w:t xml:space="preserve"> </w:t>
            </w:r>
            <w:r>
              <w:rPr>
                <w:i/>
                <w:sz w:val="20"/>
              </w:rPr>
              <w:t>Miller</w:t>
            </w:r>
            <w:r>
              <w:rPr>
                <w:i/>
                <w:spacing w:val="-7"/>
                <w:sz w:val="20"/>
              </w:rPr>
              <w:t xml:space="preserve"> </w:t>
            </w:r>
            <w:r>
              <w:rPr>
                <w:i/>
                <w:sz w:val="20"/>
              </w:rPr>
              <w:t>&amp;</w:t>
            </w:r>
            <w:r>
              <w:rPr>
                <w:i/>
                <w:spacing w:val="-5"/>
                <w:sz w:val="20"/>
              </w:rPr>
              <w:t xml:space="preserve"> </w:t>
            </w:r>
            <w:r>
              <w:rPr>
                <w:i/>
                <w:sz w:val="20"/>
              </w:rPr>
              <w:t>Rollnick,</w:t>
            </w:r>
            <w:r>
              <w:rPr>
                <w:i/>
                <w:spacing w:val="-5"/>
                <w:sz w:val="20"/>
              </w:rPr>
              <w:t xml:space="preserve"> </w:t>
            </w:r>
            <w:r>
              <w:rPr>
                <w:i/>
                <w:spacing w:val="-2"/>
                <w:sz w:val="20"/>
              </w:rPr>
              <w:t>2013.</w:t>
            </w:r>
          </w:p>
        </w:tc>
      </w:tr>
    </w:tbl>
    <w:p w14:paraId="02BB102B" w14:textId="77777777" w:rsidR="00DB6E1F" w:rsidRDefault="00DB6E1F">
      <w:pPr>
        <w:pStyle w:val="BodyText"/>
        <w:spacing w:before="8"/>
        <w:rPr>
          <w:sz w:val="12"/>
        </w:rPr>
      </w:pPr>
    </w:p>
    <w:p w14:paraId="5D67F864" w14:textId="77777777" w:rsidR="00DB6E1F" w:rsidRDefault="00F666A6">
      <w:pPr>
        <w:pStyle w:val="Heading4"/>
        <w:spacing w:before="47"/>
      </w:pPr>
      <w:bookmarkStart w:id="99" w:name="Forming_complex_reflections"/>
      <w:bookmarkEnd w:id="99"/>
      <w:r>
        <w:t>Forming</w:t>
      </w:r>
      <w:r>
        <w:rPr>
          <w:spacing w:val="-12"/>
        </w:rPr>
        <w:t xml:space="preserve"> </w:t>
      </w:r>
      <w:r>
        <w:t>complex</w:t>
      </w:r>
      <w:r>
        <w:rPr>
          <w:spacing w:val="-8"/>
        </w:rPr>
        <w:t xml:space="preserve"> </w:t>
      </w:r>
      <w:r>
        <w:rPr>
          <w:spacing w:val="-2"/>
        </w:rPr>
        <w:t>reflections</w:t>
      </w:r>
    </w:p>
    <w:p w14:paraId="78B10C10" w14:textId="77777777" w:rsidR="00DB6E1F" w:rsidRDefault="00F666A6">
      <w:pPr>
        <w:pStyle w:val="BodyText"/>
        <w:spacing w:before="84"/>
        <w:ind w:left="1440" w:right="1491"/>
      </w:pPr>
      <w:r>
        <w:t>Simple reflections are fairly straightforward. You simply repeat or paraphrase what the client said. Complex reflections are more challenging. A statement could have many meanings. The first step in making</w:t>
      </w:r>
      <w:r>
        <w:rPr>
          <w:spacing w:val="-3"/>
        </w:rPr>
        <w:t xml:space="preserve"> </w:t>
      </w:r>
      <w:r>
        <w:t>a</w:t>
      </w:r>
      <w:r>
        <w:rPr>
          <w:spacing w:val="-4"/>
        </w:rPr>
        <w:t xml:space="preserve"> </w:t>
      </w:r>
      <w:r>
        <w:t>complex</w:t>
      </w:r>
      <w:r>
        <w:rPr>
          <w:spacing w:val="-2"/>
        </w:rPr>
        <w:t xml:space="preserve"> </w:t>
      </w:r>
      <w:r>
        <w:t>reflection</w:t>
      </w:r>
      <w:r>
        <w:rPr>
          <w:spacing w:val="-3"/>
        </w:rPr>
        <w:t xml:space="preserve"> </w:t>
      </w:r>
      <w:r>
        <w:t>of</w:t>
      </w:r>
      <w:r>
        <w:rPr>
          <w:spacing w:val="-4"/>
        </w:rPr>
        <w:t xml:space="preserve"> </w:t>
      </w:r>
      <w:r>
        <w:t>meaning</w:t>
      </w:r>
      <w:r>
        <w:rPr>
          <w:spacing w:val="-5"/>
        </w:rPr>
        <w:t xml:space="preserve"> </w:t>
      </w:r>
      <w:r>
        <w:t>or</w:t>
      </w:r>
      <w:r>
        <w:rPr>
          <w:spacing w:val="-2"/>
        </w:rPr>
        <w:t xml:space="preserve"> </w:t>
      </w:r>
      <w:r>
        <w:t>feelings</w:t>
      </w:r>
      <w:r>
        <w:rPr>
          <w:spacing w:val="-2"/>
        </w:rPr>
        <w:t xml:space="preserve"> </w:t>
      </w:r>
      <w:r>
        <w:t>is</w:t>
      </w:r>
      <w:r>
        <w:rPr>
          <w:spacing w:val="-4"/>
        </w:rPr>
        <w:t xml:space="preserve"> </w:t>
      </w:r>
      <w:r>
        <w:t>to</w:t>
      </w:r>
      <w:r>
        <w:rPr>
          <w:spacing w:val="-3"/>
        </w:rPr>
        <w:t xml:space="preserve"> </w:t>
      </w:r>
      <w:r>
        <w:t>make</w:t>
      </w:r>
      <w:r>
        <w:rPr>
          <w:spacing w:val="-1"/>
        </w:rPr>
        <w:t xml:space="preserve"> </w:t>
      </w:r>
      <w:r>
        <w:t>a</w:t>
      </w:r>
      <w:r>
        <w:rPr>
          <w:spacing w:val="-2"/>
        </w:rPr>
        <w:t xml:space="preserve"> </w:t>
      </w:r>
      <w:r>
        <w:t>hypothesis</w:t>
      </w:r>
      <w:r>
        <w:rPr>
          <w:spacing w:val="-2"/>
        </w:rPr>
        <w:t xml:space="preserve"> </w:t>
      </w:r>
      <w:r>
        <w:t>in</w:t>
      </w:r>
      <w:r>
        <w:rPr>
          <w:spacing w:val="-5"/>
        </w:rPr>
        <w:t xml:space="preserve"> </w:t>
      </w:r>
      <w:r>
        <w:t>your</w:t>
      </w:r>
      <w:r>
        <w:rPr>
          <w:spacing w:val="-2"/>
        </w:rPr>
        <w:t xml:space="preserve"> </w:t>
      </w:r>
      <w:r>
        <w:t>mind</w:t>
      </w:r>
      <w:r>
        <w:rPr>
          <w:spacing w:val="-3"/>
        </w:rPr>
        <w:t xml:space="preserve"> </w:t>
      </w:r>
      <w:r>
        <w:t>about</w:t>
      </w:r>
      <w:r>
        <w:rPr>
          <w:spacing w:val="-1"/>
        </w:rPr>
        <w:t xml:space="preserve"> </w:t>
      </w:r>
      <w:r>
        <w:t>what</w:t>
      </w:r>
      <w:r>
        <w:rPr>
          <w:spacing w:val="-4"/>
        </w:rPr>
        <w:t xml:space="preserve"> </w:t>
      </w:r>
      <w:r>
        <w:t>the client is trying to say (Miller &amp; Rollnick, 2013).</w:t>
      </w:r>
    </w:p>
    <w:p w14:paraId="3B28BCB2" w14:textId="77777777" w:rsidR="00DB6E1F" w:rsidRDefault="00F666A6">
      <w:pPr>
        <w:pStyle w:val="Heading5"/>
      </w:pPr>
      <w:r>
        <w:t>Use</w:t>
      </w:r>
      <w:r>
        <w:rPr>
          <w:spacing w:val="-6"/>
        </w:rPr>
        <w:t xml:space="preserve"> </w:t>
      </w:r>
      <w:r>
        <w:t>these</w:t>
      </w:r>
      <w:r>
        <w:rPr>
          <w:spacing w:val="-6"/>
        </w:rPr>
        <w:t xml:space="preserve"> </w:t>
      </w:r>
      <w:r>
        <w:t>steps</w:t>
      </w:r>
      <w:r>
        <w:rPr>
          <w:spacing w:val="-2"/>
        </w:rPr>
        <w:t xml:space="preserve"> </w:t>
      </w:r>
      <w:r>
        <w:t>to</w:t>
      </w:r>
      <w:r>
        <w:rPr>
          <w:spacing w:val="-3"/>
        </w:rPr>
        <w:t xml:space="preserve"> </w:t>
      </w:r>
      <w:r>
        <w:t>form</w:t>
      </w:r>
      <w:r>
        <w:rPr>
          <w:spacing w:val="-2"/>
        </w:rPr>
        <w:t xml:space="preserve"> </w:t>
      </w:r>
      <w:r>
        <w:t>a</w:t>
      </w:r>
      <w:r>
        <w:rPr>
          <w:spacing w:val="-6"/>
        </w:rPr>
        <w:t xml:space="preserve"> </w:t>
      </w:r>
      <w:r>
        <w:t>mental</w:t>
      </w:r>
      <w:r>
        <w:rPr>
          <w:spacing w:val="-1"/>
        </w:rPr>
        <w:t xml:space="preserve"> </w:t>
      </w:r>
      <w:r>
        <w:t>hypothesis</w:t>
      </w:r>
      <w:r>
        <w:rPr>
          <w:spacing w:val="-2"/>
        </w:rPr>
        <w:t xml:space="preserve"> </w:t>
      </w:r>
      <w:r>
        <w:t>about</w:t>
      </w:r>
      <w:r>
        <w:rPr>
          <w:spacing w:val="-5"/>
        </w:rPr>
        <w:t xml:space="preserve"> </w:t>
      </w:r>
      <w:r>
        <w:t>meaning</w:t>
      </w:r>
      <w:r>
        <w:rPr>
          <w:spacing w:val="-3"/>
        </w:rPr>
        <w:t xml:space="preserve"> </w:t>
      </w:r>
      <w:r>
        <w:t>or</w:t>
      </w:r>
      <w:r>
        <w:rPr>
          <w:spacing w:val="-1"/>
        </w:rPr>
        <w:t xml:space="preserve"> </w:t>
      </w:r>
      <w:r>
        <w:rPr>
          <w:spacing w:val="-2"/>
        </w:rPr>
        <w:t>feelings:</w:t>
      </w:r>
    </w:p>
    <w:p w14:paraId="24DBCE4F" w14:textId="77777777" w:rsidR="00DB6E1F" w:rsidRDefault="00F666A6">
      <w:pPr>
        <w:pStyle w:val="ListParagraph"/>
        <w:numPr>
          <w:ilvl w:val="0"/>
          <w:numId w:val="74"/>
        </w:numPr>
        <w:tabs>
          <w:tab w:val="left" w:pos="1801"/>
        </w:tabs>
        <w:spacing w:line="259" w:lineRule="auto"/>
        <w:ind w:right="1514"/>
      </w:pPr>
      <w:r>
        <w:t xml:space="preserve">If the client says, “I drink because I am lonely,” think about the possible meanings of </w:t>
      </w:r>
      <w:r>
        <w:t>“lonely.” Perhaps</w:t>
      </w:r>
      <w:r>
        <w:rPr>
          <w:spacing w:val="-3"/>
        </w:rPr>
        <w:t xml:space="preserve"> </w:t>
      </w:r>
      <w:r>
        <w:t>the client is</w:t>
      </w:r>
      <w:r>
        <w:rPr>
          <w:spacing w:val="-3"/>
        </w:rPr>
        <w:t xml:space="preserve"> </w:t>
      </w:r>
      <w:r>
        <w:t>saying,</w:t>
      </w:r>
      <w:r>
        <w:rPr>
          <w:spacing w:val="-1"/>
        </w:rPr>
        <w:t xml:space="preserve"> </w:t>
      </w:r>
      <w:r>
        <w:t>“I</w:t>
      </w:r>
      <w:r>
        <w:rPr>
          <w:spacing w:val="-1"/>
        </w:rPr>
        <w:t xml:space="preserve"> </w:t>
      </w:r>
      <w:r>
        <w:t>lost</w:t>
      </w:r>
      <w:r>
        <w:rPr>
          <w:spacing w:val="-3"/>
        </w:rPr>
        <w:t xml:space="preserve"> </w:t>
      </w:r>
      <w:r>
        <w:t>my spouse”</w:t>
      </w:r>
      <w:r>
        <w:rPr>
          <w:spacing w:val="-2"/>
        </w:rPr>
        <w:t xml:space="preserve"> </w:t>
      </w:r>
      <w:r>
        <w:t>or</w:t>
      </w:r>
      <w:r>
        <w:rPr>
          <w:spacing w:val="-3"/>
        </w:rPr>
        <w:t xml:space="preserve"> </w:t>
      </w:r>
      <w:r>
        <w:t>“It is</w:t>
      </w:r>
      <w:r>
        <w:rPr>
          <w:spacing w:val="-3"/>
        </w:rPr>
        <w:t xml:space="preserve"> </w:t>
      </w:r>
      <w:r>
        <w:t>hard</w:t>
      </w:r>
      <w:r>
        <w:rPr>
          <w:spacing w:val="-2"/>
        </w:rPr>
        <w:t xml:space="preserve"> </w:t>
      </w:r>
      <w:r>
        <w:t>for</w:t>
      </w:r>
      <w:r>
        <w:rPr>
          <w:spacing w:val="-3"/>
        </w:rPr>
        <w:t xml:space="preserve"> </w:t>
      </w:r>
      <w:r>
        <w:t>me</w:t>
      </w:r>
      <w:r>
        <w:rPr>
          <w:spacing w:val="-3"/>
        </w:rPr>
        <w:t xml:space="preserve"> </w:t>
      </w:r>
      <w:r>
        <w:t>to</w:t>
      </w:r>
      <w:r>
        <w:rPr>
          <w:spacing w:val="-2"/>
        </w:rPr>
        <w:t xml:space="preserve"> </w:t>
      </w:r>
      <w:r>
        <w:t>make friends”</w:t>
      </w:r>
      <w:r>
        <w:rPr>
          <w:spacing w:val="-2"/>
        </w:rPr>
        <w:t xml:space="preserve"> </w:t>
      </w:r>
      <w:r>
        <w:t>or</w:t>
      </w:r>
      <w:r>
        <w:rPr>
          <w:spacing w:val="-3"/>
        </w:rPr>
        <w:t xml:space="preserve"> </w:t>
      </w:r>
      <w:r>
        <w:t>“I</w:t>
      </w:r>
      <w:r>
        <w:rPr>
          <w:spacing w:val="-1"/>
        </w:rPr>
        <w:t xml:space="preserve"> </w:t>
      </w:r>
      <w:r>
        <w:t>can’t</w:t>
      </w:r>
      <w:r>
        <w:rPr>
          <w:spacing w:val="-3"/>
        </w:rPr>
        <w:t xml:space="preserve"> </w:t>
      </w:r>
      <w:r>
        <w:t>think of anything to say when I am with my family.”</w:t>
      </w:r>
    </w:p>
    <w:p w14:paraId="1F8677C8" w14:textId="77777777" w:rsidR="00DB6E1F" w:rsidRDefault="00F666A6">
      <w:pPr>
        <w:pStyle w:val="ListParagraph"/>
        <w:numPr>
          <w:ilvl w:val="0"/>
          <w:numId w:val="74"/>
        </w:numPr>
        <w:tabs>
          <w:tab w:val="left" w:pos="1801"/>
        </w:tabs>
        <w:spacing w:before="157"/>
      </w:pPr>
      <w:r>
        <w:t>Consider</w:t>
      </w:r>
      <w:r>
        <w:rPr>
          <w:spacing w:val="-8"/>
        </w:rPr>
        <w:t xml:space="preserve"> </w:t>
      </w:r>
      <w:r>
        <w:t>the</w:t>
      </w:r>
      <w:r>
        <w:rPr>
          <w:spacing w:val="-2"/>
        </w:rPr>
        <w:t xml:space="preserve"> </w:t>
      </w:r>
      <w:r>
        <w:t>larger</w:t>
      </w:r>
      <w:r>
        <w:rPr>
          <w:spacing w:val="-5"/>
        </w:rPr>
        <w:t xml:space="preserve"> </w:t>
      </w:r>
      <w:r>
        <w:t>conversational</w:t>
      </w:r>
      <w:r>
        <w:rPr>
          <w:spacing w:val="-3"/>
        </w:rPr>
        <w:t xml:space="preserve"> </w:t>
      </w:r>
      <w:r>
        <w:t>context.</w:t>
      </w:r>
      <w:r>
        <w:rPr>
          <w:spacing w:val="-4"/>
        </w:rPr>
        <w:t xml:space="preserve"> </w:t>
      </w:r>
      <w:r>
        <w:t>Has</w:t>
      </w:r>
      <w:r>
        <w:rPr>
          <w:spacing w:val="-4"/>
        </w:rPr>
        <w:t xml:space="preserve"> </w:t>
      </w:r>
      <w:r>
        <w:t>the</w:t>
      </w:r>
      <w:r>
        <w:rPr>
          <w:spacing w:val="-5"/>
        </w:rPr>
        <w:t xml:space="preserve"> </w:t>
      </w:r>
      <w:r>
        <w:t>client</w:t>
      </w:r>
      <w:r>
        <w:rPr>
          <w:spacing w:val="-3"/>
        </w:rPr>
        <w:t xml:space="preserve"> </w:t>
      </w:r>
      <w:r>
        <w:t>noted</w:t>
      </w:r>
      <w:r>
        <w:rPr>
          <w:spacing w:val="-4"/>
        </w:rPr>
        <w:t xml:space="preserve"> </w:t>
      </w:r>
      <w:r>
        <w:t>not</w:t>
      </w:r>
      <w:r>
        <w:rPr>
          <w:spacing w:val="-3"/>
        </w:rPr>
        <w:t xml:space="preserve"> </w:t>
      </w:r>
      <w:r>
        <w:t>having</w:t>
      </w:r>
      <w:r>
        <w:rPr>
          <w:spacing w:val="-3"/>
        </w:rPr>
        <w:t xml:space="preserve"> </w:t>
      </w:r>
      <w:r>
        <w:t>much</w:t>
      </w:r>
      <w:r>
        <w:rPr>
          <w:spacing w:val="-5"/>
        </w:rPr>
        <w:t xml:space="preserve"> </w:t>
      </w:r>
      <w:r>
        <w:t>of</w:t>
      </w:r>
      <w:r>
        <w:rPr>
          <w:spacing w:val="-4"/>
        </w:rPr>
        <w:t xml:space="preserve"> </w:t>
      </w:r>
      <w:r>
        <w:t>a</w:t>
      </w:r>
      <w:r>
        <w:rPr>
          <w:spacing w:val="-4"/>
        </w:rPr>
        <w:t xml:space="preserve"> </w:t>
      </w:r>
      <w:r>
        <w:t>social</w:t>
      </w:r>
      <w:r>
        <w:rPr>
          <w:spacing w:val="-3"/>
        </w:rPr>
        <w:t xml:space="preserve"> </w:t>
      </w:r>
      <w:r>
        <w:rPr>
          <w:spacing w:val="-2"/>
        </w:rPr>
        <w:t>life?</w:t>
      </w:r>
    </w:p>
    <w:p w14:paraId="04ADE749" w14:textId="77777777" w:rsidR="00DB6E1F" w:rsidRDefault="00F666A6">
      <w:pPr>
        <w:pStyle w:val="ListParagraph"/>
        <w:numPr>
          <w:ilvl w:val="0"/>
          <w:numId w:val="74"/>
        </w:numPr>
        <w:tabs>
          <w:tab w:val="left" w:pos="1801"/>
        </w:tabs>
        <w:spacing w:before="180"/>
      </w:pPr>
      <w:r>
        <w:t>Make</w:t>
      </w:r>
      <w:r>
        <w:rPr>
          <w:spacing w:val="-7"/>
        </w:rPr>
        <w:t xml:space="preserve"> </w:t>
      </w:r>
      <w:r>
        <w:t>your</w:t>
      </w:r>
      <w:r>
        <w:rPr>
          <w:spacing w:val="-3"/>
        </w:rPr>
        <w:t xml:space="preserve"> </w:t>
      </w:r>
      <w:r>
        <w:t>best</w:t>
      </w:r>
      <w:r>
        <w:rPr>
          <w:spacing w:val="-3"/>
        </w:rPr>
        <w:t xml:space="preserve"> </w:t>
      </w:r>
      <w:r>
        <w:t>guess</w:t>
      </w:r>
      <w:r>
        <w:rPr>
          <w:spacing w:val="-5"/>
        </w:rPr>
        <w:t xml:space="preserve"> </w:t>
      </w:r>
      <w:r>
        <w:t>about</w:t>
      </w:r>
      <w:r>
        <w:rPr>
          <w:spacing w:val="-3"/>
        </w:rPr>
        <w:t xml:space="preserve"> </w:t>
      </w:r>
      <w:r>
        <w:t>the</w:t>
      </w:r>
      <w:r>
        <w:rPr>
          <w:spacing w:val="-5"/>
        </w:rPr>
        <w:t xml:space="preserve"> </w:t>
      </w:r>
      <w:r>
        <w:t>meaning</w:t>
      </w:r>
      <w:r>
        <w:rPr>
          <w:spacing w:val="-4"/>
        </w:rPr>
        <w:t xml:space="preserve"> </w:t>
      </w:r>
      <w:r>
        <w:t>of</w:t>
      </w:r>
      <w:r>
        <w:rPr>
          <w:spacing w:val="-5"/>
        </w:rPr>
        <w:t xml:space="preserve"> </w:t>
      </w:r>
      <w:r>
        <w:t>the</w:t>
      </w:r>
      <w:r>
        <w:rPr>
          <w:spacing w:val="-2"/>
        </w:rPr>
        <w:t xml:space="preserve"> </w:t>
      </w:r>
      <w:r>
        <w:t>client’s</w:t>
      </w:r>
      <w:r>
        <w:rPr>
          <w:spacing w:val="-2"/>
        </w:rPr>
        <w:t xml:space="preserve"> statement.</w:t>
      </w:r>
    </w:p>
    <w:p w14:paraId="1E8E94C4" w14:textId="77777777" w:rsidR="00DB6E1F" w:rsidRDefault="00F666A6">
      <w:pPr>
        <w:pStyle w:val="ListParagraph"/>
        <w:numPr>
          <w:ilvl w:val="0"/>
          <w:numId w:val="74"/>
        </w:numPr>
        <w:tabs>
          <w:tab w:val="left" w:pos="1801"/>
        </w:tabs>
        <w:spacing w:before="183"/>
        <w:ind w:left="1801"/>
      </w:pPr>
      <w:r>
        <w:t>Offer</w:t>
      </w:r>
      <w:r>
        <w:rPr>
          <w:spacing w:val="-6"/>
        </w:rPr>
        <w:t xml:space="preserve"> </w:t>
      </w:r>
      <w:r>
        <w:t>a</w:t>
      </w:r>
      <w:r>
        <w:rPr>
          <w:spacing w:val="-4"/>
        </w:rPr>
        <w:t xml:space="preserve"> </w:t>
      </w:r>
      <w:r>
        <w:t>reflective</w:t>
      </w:r>
      <w:r>
        <w:rPr>
          <w:spacing w:val="-3"/>
        </w:rPr>
        <w:t xml:space="preserve"> </w:t>
      </w:r>
      <w:r>
        <w:t>listening</w:t>
      </w:r>
      <w:r>
        <w:rPr>
          <w:spacing w:val="-5"/>
        </w:rPr>
        <w:t xml:space="preserve"> </w:t>
      </w:r>
      <w:r>
        <w:t>response—“You</w:t>
      </w:r>
      <w:r>
        <w:rPr>
          <w:spacing w:val="-5"/>
        </w:rPr>
        <w:t xml:space="preserve"> </w:t>
      </w:r>
      <w:r>
        <w:t>drink</w:t>
      </w:r>
      <w:r>
        <w:rPr>
          <w:spacing w:val="-3"/>
        </w:rPr>
        <w:t xml:space="preserve"> </w:t>
      </w:r>
      <w:r>
        <w:t>because</w:t>
      </w:r>
      <w:r>
        <w:rPr>
          <w:spacing w:val="-3"/>
        </w:rPr>
        <w:t xml:space="preserve"> </w:t>
      </w:r>
      <w:r>
        <w:t>it</w:t>
      </w:r>
      <w:r>
        <w:rPr>
          <w:spacing w:val="-3"/>
        </w:rPr>
        <w:t xml:space="preserve"> </w:t>
      </w:r>
      <w:r>
        <w:t>is</w:t>
      </w:r>
      <w:r>
        <w:rPr>
          <w:spacing w:val="-5"/>
        </w:rPr>
        <w:t xml:space="preserve"> </w:t>
      </w:r>
      <w:r>
        <w:t>hard</w:t>
      </w:r>
      <w:r>
        <w:rPr>
          <w:spacing w:val="-5"/>
        </w:rPr>
        <w:t xml:space="preserve"> </w:t>
      </w:r>
      <w:r>
        <w:t>for</w:t>
      </w:r>
      <w:r>
        <w:rPr>
          <w:spacing w:val="-7"/>
        </w:rPr>
        <w:t xml:space="preserve"> </w:t>
      </w:r>
      <w:r>
        <w:t>you</w:t>
      </w:r>
      <w:r>
        <w:rPr>
          <w:spacing w:val="-5"/>
        </w:rPr>
        <w:t xml:space="preserve"> </w:t>
      </w:r>
      <w:r>
        <w:t>to</w:t>
      </w:r>
      <w:r>
        <w:rPr>
          <w:spacing w:val="-5"/>
        </w:rPr>
        <w:t xml:space="preserve"> </w:t>
      </w:r>
      <w:r>
        <w:t>make</w:t>
      </w:r>
      <w:r>
        <w:rPr>
          <w:spacing w:val="-2"/>
        </w:rPr>
        <w:t xml:space="preserve"> friends.”</w:t>
      </w:r>
    </w:p>
    <w:p w14:paraId="5EEDF459" w14:textId="77777777" w:rsidR="00DB6E1F" w:rsidRDefault="00F666A6">
      <w:pPr>
        <w:pStyle w:val="ListParagraph"/>
        <w:numPr>
          <w:ilvl w:val="0"/>
          <w:numId w:val="74"/>
        </w:numPr>
        <w:tabs>
          <w:tab w:val="left" w:pos="1802"/>
        </w:tabs>
        <w:spacing w:before="182" w:line="256" w:lineRule="auto"/>
        <w:ind w:left="1801" w:right="1701" w:hanging="360"/>
      </w:pPr>
      <w:r>
        <w:t>Wait</w:t>
      </w:r>
      <w:r>
        <w:rPr>
          <w:spacing w:val="-1"/>
        </w:rPr>
        <w:t xml:space="preserve"> </w:t>
      </w:r>
      <w:r>
        <w:t>for</w:t>
      </w:r>
      <w:r>
        <w:rPr>
          <w:spacing w:val="-2"/>
        </w:rPr>
        <w:t xml:space="preserve"> </w:t>
      </w:r>
      <w:r>
        <w:t>the</w:t>
      </w:r>
      <w:r>
        <w:rPr>
          <w:spacing w:val="-1"/>
        </w:rPr>
        <w:t xml:space="preserve"> </w:t>
      </w:r>
      <w:r>
        <w:t>client’s</w:t>
      </w:r>
      <w:r>
        <w:rPr>
          <w:spacing w:val="-2"/>
        </w:rPr>
        <w:t xml:space="preserve"> </w:t>
      </w:r>
      <w:r>
        <w:t>response.</w:t>
      </w:r>
      <w:r>
        <w:rPr>
          <w:spacing w:val="-2"/>
        </w:rPr>
        <w:t xml:space="preserve"> </w:t>
      </w:r>
      <w:r>
        <w:t>The</w:t>
      </w:r>
      <w:r>
        <w:rPr>
          <w:spacing w:val="-4"/>
        </w:rPr>
        <w:t xml:space="preserve"> </w:t>
      </w:r>
      <w:r>
        <w:t>client</w:t>
      </w:r>
      <w:r>
        <w:rPr>
          <w:spacing w:val="-4"/>
        </w:rPr>
        <w:t xml:space="preserve"> </w:t>
      </w:r>
      <w:r>
        <w:t>will</w:t>
      </w:r>
      <w:r>
        <w:rPr>
          <w:spacing w:val="-2"/>
        </w:rPr>
        <w:t xml:space="preserve"> </w:t>
      </w:r>
      <w:r>
        <w:t>tell</w:t>
      </w:r>
      <w:r>
        <w:rPr>
          <w:spacing w:val="-2"/>
        </w:rPr>
        <w:t xml:space="preserve"> </w:t>
      </w:r>
      <w:r>
        <w:t>you</w:t>
      </w:r>
      <w:r>
        <w:rPr>
          <w:spacing w:val="-5"/>
        </w:rPr>
        <w:t xml:space="preserve"> </w:t>
      </w:r>
      <w:r>
        <w:t>either</w:t>
      </w:r>
      <w:r>
        <w:rPr>
          <w:spacing w:val="-2"/>
        </w:rPr>
        <w:t xml:space="preserve"> </w:t>
      </w:r>
      <w:r>
        <w:t>verbally</w:t>
      </w:r>
      <w:r>
        <w:rPr>
          <w:spacing w:val="-3"/>
        </w:rPr>
        <w:t xml:space="preserve"> </w:t>
      </w:r>
      <w:r>
        <w:t>or</w:t>
      </w:r>
      <w:r>
        <w:rPr>
          <w:spacing w:val="-1"/>
        </w:rPr>
        <w:t xml:space="preserve"> </w:t>
      </w:r>
      <w:r>
        <w:t>nonverbally</w:t>
      </w:r>
      <w:r>
        <w:rPr>
          <w:spacing w:val="-1"/>
        </w:rPr>
        <w:t xml:space="preserve"> </w:t>
      </w:r>
      <w:r>
        <w:t>if</w:t>
      </w:r>
      <w:r>
        <w:rPr>
          <w:spacing w:val="-4"/>
        </w:rPr>
        <w:t xml:space="preserve"> </w:t>
      </w:r>
      <w:r>
        <w:t>your</w:t>
      </w:r>
      <w:r>
        <w:rPr>
          <w:spacing w:val="-2"/>
        </w:rPr>
        <w:t xml:space="preserve"> </w:t>
      </w:r>
      <w:r>
        <w:t>guess</w:t>
      </w:r>
      <w:r>
        <w:rPr>
          <w:spacing w:val="-2"/>
        </w:rPr>
        <w:t xml:space="preserve"> </w:t>
      </w:r>
      <w:r>
        <w:t>is correct. If the client continues to talk and expands on the initial statement, you are on target.</w:t>
      </w:r>
    </w:p>
    <w:p w14:paraId="69C3EFAB" w14:textId="77777777" w:rsidR="00DB6E1F" w:rsidRDefault="00F666A6">
      <w:pPr>
        <w:pStyle w:val="ListParagraph"/>
        <w:numPr>
          <w:ilvl w:val="0"/>
          <w:numId w:val="74"/>
        </w:numPr>
        <w:tabs>
          <w:tab w:val="left" w:pos="1801"/>
        </w:tabs>
        <w:spacing w:before="167" w:line="254" w:lineRule="auto"/>
        <w:ind w:left="1801" w:right="2037"/>
      </w:pPr>
      <w:r>
        <w:t>Be</w:t>
      </w:r>
      <w:r>
        <w:rPr>
          <w:spacing w:val="-1"/>
        </w:rPr>
        <w:t xml:space="preserve"> </w:t>
      </w:r>
      <w:r>
        <w:t>open</w:t>
      </w:r>
      <w:r>
        <w:rPr>
          <w:spacing w:val="-3"/>
        </w:rPr>
        <w:t xml:space="preserve"> </w:t>
      </w:r>
      <w:r>
        <w:t>to</w:t>
      </w:r>
      <w:r>
        <w:rPr>
          <w:spacing w:val="-1"/>
        </w:rPr>
        <w:t xml:space="preserve"> </w:t>
      </w:r>
      <w:r>
        <w:t>being</w:t>
      </w:r>
      <w:r>
        <w:rPr>
          <w:spacing w:val="-5"/>
        </w:rPr>
        <w:t xml:space="preserve"> </w:t>
      </w:r>
      <w:r>
        <w:t>wrong.</w:t>
      </w:r>
      <w:r>
        <w:rPr>
          <w:spacing w:val="-2"/>
        </w:rPr>
        <w:t xml:space="preserve"> </w:t>
      </w:r>
      <w:r>
        <w:t>If</w:t>
      </w:r>
      <w:r>
        <w:rPr>
          <w:spacing w:val="-4"/>
        </w:rPr>
        <w:t xml:space="preserve"> </w:t>
      </w:r>
      <w:r>
        <w:t>you</w:t>
      </w:r>
      <w:r>
        <w:rPr>
          <w:spacing w:val="-3"/>
        </w:rPr>
        <w:t xml:space="preserve"> </w:t>
      </w:r>
      <w:r>
        <w:t>are,</w:t>
      </w:r>
      <w:r>
        <w:rPr>
          <w:spacing w:val="-2"/>
        </w:rPr>
        <w:t xml:space="preserve"> </w:t>
      </w:r>
      <w:r>
        <w:t>use</w:t>
      </w:r>
      <w:r>
        <w:rPr>
          <w:spacing w:val="-1"/>
        </w:rPr>
        <w:t xml:space="preserve"> </w:t>
      </w:r>
      <w:r>
        <w:t>client</w:t>
      </w:r>
      <w:r>
        <w:rPr>
          <w:spacing w:val="-1"/>
        </w:rPr>
        <w:t xml:space="preserve"> </w:t>
      </w:r>
      <w:r>
        <w:t>feedback</w:t>
      </w:r>
      <w:r>
        <w:rPr>
          <w:spacing w:val="-1"/>
        </w:rPr>
        <w:t xml:space="preserve"> </w:t>
      </w:r>
      <w:r>
        <w:t>to</w:t>
      </w:r>
      <w:r>
        <w:rPr>
          <w:spacing w:val="-3"/>
        </w:rPr>
        <w:t xml:space="preserve"> </w:t>
      </w:r>
      <w:r>
        <w:t>make</w:t>
      </w:r>
      <w:r>
        <w:rPr>
          <w:spacing w:val="-4"/>
        </w:rPr>
        <w:t xml:space="preserve"> </w:t>
      </w:r>
      <w:r>
        <w:t>another</w:t>
      </w:r>
      <w:r>
        <w:rPr>
          <w:spacing w:val="-2"/>
        </w:rPr>
        <w:t xml:space="preserve"> </w:t>
      </w:r>
      <w:r>
        <w:t>hypothesis</w:t>
      </w:r>
      <w:r>
        <w:rPr>
          <w:spacing w:val="-2"/>
        </w:rPr>
        <w:t xml:space="preserve"> </w:t>
      </w:r>
      <w:r>
        <w:t>about</w:t>
      </w:r>
      <w:r>
        <w:rPr>
          <w:spacing w:val="-3"/>
        </w:rPr>
        <w:t xml:space="preserve"> </w:t>
      </w:r>
      <w:r>
        <w:t>the client’s meaning.</w:t>
      </w:r>
    </w:p>
    <w:p w14:paraId="1CCE5E32" w14:textId="77777777" w:rsidR="00DB6E1F" w:rsidRDefault="00F666A6">
      <w:pPr>
        <w:pStyle w:val="BodyText"/>
        <w:spacing w:before="170"/>
        <w:ind w:left="1440" w:right="1491"/>
      </w:pPr>
      <w:r>
        <w:t>Remember that reflective listening is about refraining from making assumptions about the underlying message of client statements, making a hypothesis about the meaning or feeling of the statement, and then checking out your hypothesis by offering a reflect</w:t>
      </w:r>
      <w:r>
        <w:t>ive statement and listening carefully to the client’s</w:t>
      </w:r>
      <w:r>
        <w:rPr>
          <w:spacing w:val="-2"/>
        </w:rPr>
        <w:t xml:space="preserve"> </w:t>
      </w:r>
      <w:r>
        <w:t>response</w:t>
      </w:r>
      <w:r>
        <w:rPr>
          <w:spacing w:val="-1"/>
        </w:rPr>
        <w:t xml:space="preserve"> </w:t>
      </w:r>
      <w:r>
        <w:t>(Miller</w:t>
      </w:r>
      <w:r>
        <w:rPr>
          <w:spacing w:val="-4"/>
        </w:rPr>
        <w:t xml:space="preserve"> </w:t>
      </w:r>
      <w:r>
        <w:t>&amp;</w:t>
      </w:r>
      <w:r>
        <w:rPr>
          <w:spacing w:val="-4"/>
        </w:rPr>
        <w:t xml:space="preserve"> </w:t>
      </w:r>
      <w:r>
        <w:t>Rollnick,</w:t>
      </w:r>
      <w:r>
        <w:rPr>
          <w:spacing w:val="-4"/>
        </w:rPr>
        <w:t xml:space="preserve"> </w:t>
      </w:r>
      <w:r>
        <w:t>2013).</w:t>
      </w:r>
      <w:r>
        <w:rPr>
          <w:spacing w:val="-3"/>
        </w:rPr>
        <w:t xml:space="preserve"> </w:t>
      </w:r>
      <w:r>
        <w:t>Reflective</w:t>
      </w:r>
      <w:r>
        <w:rPr>
          <w:spacing w:val="-4"/>
        </w:rPr>
        <w:t xml:space="preserve"> </w:t>
      </w:r>
      <w:r>
        <w:t>listening</w:t>
      </w:r>
      <w:r>
        <w:rPr>
          <w:spacing w:val="-3"/>
        </w:rPr>
        <w:t xml:space="preserve"> </w:t>
      </w:r>
      <w:r>
        <w:t>is</w:t>
      </w:r>
      <w:r>
        <w:rPr>
          <w:spacing w:val="-2"/>
        </w:rPr>
        <w:t xml:space="preserve"> </w:t>
      </w:r>
      <w:r>
        <w:t>basic</w:t>
      </w:r>
      <w:r>
        <w:rPr>
          <w:spacing w:val="-4"/>
        </w:rPr>
        <w:t xml:space="preserve"> </w:t>
      </w:r>
      <w:r>
        <w:t>to</w:t>
      </w:r>
      <w:r>
        <w:rPr>
          <w:spacing w:val="-3"/>
        </w:rPr>
        <w:t xml:space="preserve"> </w:t>
      </w:r>
      <w:r>
        <w:t>all</w:t>
      </w:r>
      <w:r>
        <w:rPr>
          <w:spacing w:val="-5"/>
        </w:rPr>
        <w:t xml:space="preserve"> </w:t>
      </w:r>
      <w:r>
        <w:t>of</w:t>
      </w:r>
      <w:r>
        <w:rPr>
          <w:spacing w:val="-2"/>
        </w:rPr>
        <w:t xml:space="preserve"> </w:t>
      </w:r>
      <w:r>
        <w:t>four</w:t>
      </w:r>
      <w:r>
        <w:rPr>
          <w:spacing w:val="-2"/>
        </w:rPr>
        <w:t xml:space="preserve"> </w:t>
      </w:r>
      <w:r>
        <w:t>MI</w:t>
      </w:r>
      <w:r>
        <w:rPr>
          <w:spacing w:val="-1"/>
        </w:rPr>
        <w:t xml:space="preserve"> </w:t>
      </w:r>
      <w:r>
        <w:t>processes.</w:t>
      </w:r>
      <w:r>
        <w:rPr>
          <w:spacing w:val="-2"/>
        </w:rPr>
        <w:t xml:space="preserve"> </w:t>
      </w:r>
      <w:r>
        <w:rPr>
          <w:b/>
        </w:rPr>
        <w:t>Follow open questions with at least one reflective listening response</w:t>
      </w:r>
      <w:r>
        <w:rPr>
          <w:rFonts w:ascii="Arial" w:hAnsi="Arial"/>
          <w:b/>
        </w:rPr>
        <w:t>—</w:t>
      </w:r>
      <w:r>
        <w:rPr>
          <w:b/>
        </w:rPr>
        <w:t>but preferably two or three responses</w:t>
      </w:r>
      <w:r>
        <w:rPr>
          <w:rFonts w:ascii="Arial" w:hAnsi="Arial"/>
          <w:b/>
        </w:rPr>
        <w:t>—</w:t>
      </w:r>
      <w:r>
        <w:rPr>
          <w:b/>
        </w:rPr>
        <w:t xml:space="preserve">before asking another question. </w:t>
      </w:r>
      <w:r>
        <w:t>A higher ratio of reflections to questions consistently predicts positive client outcomes (Romano &amp; Peters, 2016). It takes practice to become skillful, but the effort is worth it because careful reflective listening builds</w:t>
      </w:r>
      <w:r>
        <w:t xml:space="preserve"> a strong therapeutic alliance and facilitates the client’s self-exploration—two essential components of person-centered counseling (Miller &amp; Rollnick, 2013). The key to expressing accurate empathy through reflective listening is your ability to</w:t>
      </w:r>
    </w:p>
    <w:p w14:paraId="34006D4C" w14:textId="77777777" w:rsidR="00DB6E1F" w:rsidRDefault="00DB6E1F">
      <w:pPr>
        <w:sectPr w:rsidR="00DB6E1F">
          <w:pgSz w:w="12240" w:h="15840"/>
          <w:pgMar w:top="1200" w:right="0" w:bottom="780" w:left="0" w:header="763" w:footer="585" w:gutter="0"/>
          <w:cols w:space="720"/>
        </w:sectPr>
      </w:pPr>
    </w:p>
    <w:p w14:paraId="0F6DBAE1" w14:textId="77777777" w:rsidR="00DB6E1F" w:rsidRDefault="00DB6E1F">
      <w:pPr>
        <w:pStyle w:val="BodyText"/>
        <w:spacing w:before="8"/>
        <w:rPr>
          <w:sz w:val="14"/>
        </w:rPr>
      </w:pPr>
    </w:p>
    <w:p w14:paraId="7FA6FB0A" w14:textId="77777777" w:rsidR="00DB6E1F" w:rsidRDefault="00F666A6">
      <w:pPr>
        <w:pStyle w:val="BodyText"/>
        <w:spacing w:before="56"/>
        <w:ind w:left="1440" w:right="1491"/>
      </w:pPr>
      <w:r>
        <w:t>shift gears from being an expert who gives advice to being an individual supporting the client’s autonomy</w:t>
      </w:r>
      <w:r>
        <w:rPr>
          <w:spacing w:val="-2"/>
        </w:rPr>
        <w:t xml:space="preserve"> </w:t>
      </w:r>
      <w:r>
        <w:t>and</w:t>
      </w:r>
      <w:r>
        <w:rPr>
          <w:spacing w:val="-4"/>
        </w:rPr>
        <w:t xml:space="preserve"> </w:t>
      </w:r>
      <w:r>
        <w:t>expertise</w:t>
      </w:r>
      <w:r>
        <w:rPr>
          <w:spacing w:val="-2"/>
        </w:rPr>
        <w:t xml:space="preserve"> </w:t>
      </w:r>
      <w:r>
        <w:t>in</w:t>
      </w:r>
      <w:r>
        <w:rPr>
          <w:spacing w:val="-6"/>
        </w:rPr>
        <w:t xml:space="preserve"> </w:t>
      </w:r>
      <w:r>
        <w:t>making</w:t>
      </w:r>
      <w:r>
        <w:rPr>
          <w:spacing w:val="-4"/>
        </w:rPr>
        <w:t xml:space="preserve"> </w:t>
      </w:r>
      <w:r>
        <w:t>decisions</w:t>
      </w:r>
      <w:r>
        <w:rPr>
          <w:spacing w:val="-5"/>
        </w:rPr>
        <w:t xml:space="preserve"> </w:t>
      </w:r>
      <w:r>
        <w:t>about</w:t>
      </w:r>
      <w:r>
        <w:rPr>
          <w:spacing w:val="-5"/>
        </w:rPr>
        <w:t xml:space="preserve"> </w:t>
      </w:r>
      <w:r>
        <w:t>changing</w:t>
      </w:r>
      <w:r>
        <w:rPr>
          <w:spacing w:val="-4"/>
        </w:rPr>
        <w:t xml:space="preserve"> </w:t>
      </w:r>
      <w:r>
        <w:t>substance</w:t>
      </w:r>
      <w:r>
        <w:rPr>
          <w:spacing w:val="-2"/>
        </w:rPr>
        <w:t xml:space="preserve"> </w:t>
      </w:r>
      <w:r>
        <w:t>use</w:t>
      </w:r>
      <w:r>
        <w:rPr>
          <w:spacing w:val="-2"/>
        </w:rPr>
        <w:t xml:space="preserve"> </w:t>
      </w:r>
      <w:r>
        <w:t>behaviors</w:t>
      </w:r>
      <w:r>
        <w:rPr>
          <w:spacing w:val="-5"/>
        </w:rPr>
        <w:t xml:space="preserve"> </w:t>
      </w:r>
      <w:r>
        <w:t>(Moyers,</w:t>
      </w:r>
      <w:r>
        <w:rPr>
          <w:spacing w:val="-5"/>
        </w:rPr>
        <w:t xml:space="preserve"> </w:t>
      </w:r>
      <w:r>
        <w:t>2014).</w:t>
      </w:r>
    </w:p>
    <w:p w14:paraId="43F99C67" w14:textId="77777777" w:rsidR="00DB6E1F" w:rsidRDefault="00F666A6">
      <w:pPr>
        <w:pStyle w:val="Heading3"/>
      </w:pPr>
      <w:bookmarkStart w:id="100" w:name="Summarizing"/>
      <w:bookmarkEnd w:id="100"/>
      <w:r>
        <w:rPr>
          <w:spacing w:val="-2"/>
        </w:rPr>
        <w:t>Summarizing</w:t>
      </w:r>
    </w:p>
    <w:p w14:paraId="59F1F94D" w14:textId="77777777" w:rsidR="00DB6E1F" w:rsidRDefault="00F666A6">
      <w:pPr>
        <w:spacing w:before="143"/>
        <w:ind w:left="1439" w:right="1444"/>
      </w:pPr>
      <w:r>
        <w:rPr>
          <w:b/>
        </w:rPr>
        <w:t>Summarizing is a form of reflectiv</w:t>
      </w:r>
      <w:r>
        <w:rPr>
          <w:b/>
        </w:rPr>
        <w:t xml:space="preserve">e listening that distills the essence of several client statements and reflects them back to him or her. </w:t>
      </w:r>
      <w:r>
        <w:t>It is not simply a collection of statements. You intentionally select statements</w:t>
      </w:r>
      <w:r>
        <w:rPr>
          <w:spacing w:val="-2"/>
        </w:rPr>
        <w:t xml:space="preserve"> </w:t>
      </w:r>
      <w:r>
        <w:t>that</w:t>
      </w:r>
      <w:r>
        <w:rPr>
          <w:spacing w:val="-4"/>
        </w:rPr>
        <w:t xml:space="preserve"> </w:t>
      </w:r>
      <w:r>
        <w:t>may</w:t>
      </w:r>
      <w:r>
        <w:rPr>
          <w:spacing w:val="-1"/>
        </w:rPr>
        <w:t xml:space="preserve"> </w:t>
      </w:r>
      <w:r>
        <w:t>have</w:t>
      </w:r>
      <w:r>
        <w:rPr>
          <w:spacing w:val="-6"/>
        </w:rPr>
        <w:t xml:space="preserve"> </w:t>
      </w:r>
      <w:r>
        <w:t>particular</w:t>
      </w:r>
      <w:r>
        <w:rPr>
          <w:spacing w:val="-2"/>
        </w:rPr>
        <w:t xml:space="preserve"> </w:t>
      </w:r>
      <w:r>
        <w:t>meaning</w:t>
      </w:r>
      <w:r>
        <w:rPr>
          <w:spacing w:val="-3"/>
        </w:rPr>
        <w:t xml:space="preserve"> </w:t>
      </w:r>
      <w:r>
        <w:t>for</w:t>
      </w:r>
      <w:r>
        <w:rPr>
          <w:spacing w:val="-4"/>
        </w:rPr>
        <w:t xml:space="preserve"> </w:t>
      </w:r>
      <w:r>
        <w:t>the</w:t>
      </w:r>
      <w:r>
        <w:rPr>
          <w:spacing w:val="-4"/>
        </w:rPr>
        <w:t xml:space="preserve"> </w:t>
      </w:r>
      <w:r>
        <w:t>client</w:t>
      </w:r>
      <w:r>
        <w:rPr>
          <w:spacing w:val="-1"/>
        </w:rPr>
        <w:t xml:space="preserve"> </w:t>
      </w:r>
      <w:r>
        <w:t>and</w:t>
      </w:r>
      <w:r>
        <w:rPr>
          <w:spacing w:val="-4"/>
        </w:rPr>
        <w:t xml:space="preserve"> </w:t>
      </w:r>
      <w:r>
        <w:t>present them</w:t>
      </w:r>
      <w:r>
        <w:rPr>
          <w:spacing w:val="-3"/>
        </w:rPr>
        <w:t xml:space="preserve"> </w:t>
      </w:r>
      <w:r>
        <w:t>in</w:t>
      </w:r>
      <w:r>
        <w:rPr>
          <w:spacing w:val="-5"/>
        </w:rPr>
        <w:t xml:space="preserve"> </w:t>
      </w:r>
      <w:r>
        <w:t>a</w:t>
      </w:r>
      <w:r>
        <w:rPr>
          <w:spacing w:val="-2"/>
        </w:rPr>
        <w:t xml:space="preserve"> </w:t>
      </w:r>
      <w:r>
        <w:t>summary</w:t>
      </w:r>
      <w:r>
        <w:rPr>
          <w:spacing w:val="-1"/>
        </w:rPr>
        <w:t xml:space="preserve"> </w:t>
      </w:r>
      <w:r>
        <w:t>that</w:t>
      </w:r>
      <w:r>
        <w:rPr>
          <w:spacing w:val="-4"/>
        </w:rPr>
        <w:t xml:space="preserve"> </w:t>
      </w:r>
      <w:r>
        <w:t>paints</w:t>
      </w:r>
      <w:r>
        <w:rPr>
          <w:spacing w:val="-2"/>
        </w:rPr>
        <w:t xml:space="preserve"> </w:t>
      </w:r>
      <w:r>
        <w:t>a fuller picture of the client’s experience than simply using reflections (Miller &amp; Rollnick, 2013).</w:t>
      </w:r>
    </w:p>
    <w:p w14:paraId="32F5EFAA" w14:textId="77777777" w:rsidR="00DB6E1F" w:rsidRDefault="00F666A6">
      <w:pPr>
        <w:pStyle w:val="BodyText"/>
        <w:spacing w:before="159"/>
        <w:ind w:left="1439"/>
      </w:pPr>
      <w:r>
        <w:t>There</w:t>
      </w:r>
      <w:r>
        <w:rPr>
          <w:spacing w:val="-5"/>
        </w:rPr>
        <w:t xml:space="preserve"> </w:t>
      </w:r>
      <w:r>
        <w:t>are</w:t>
      </w:r>
      <w:r>
        <w:rPr>
          <w:spacing w:val="-2"/>
        </w:rPr>
        <w:t xml:space="preserve"> </w:t>
      </w:r>
      <w:r>
        <w:t>several</w:t>
      </w:r>
      <w:r>
        <w:rPr>
          <w:spacing w:val="-4"/>
        </w:rPr>
        <w:t xml:space="preserve"> </w:t>
      </w:r>
      <w:r>
        <w:t>types</w:t>
      </w:r>
      <w:r>
        <w:rPr>
          <w:spacing w:val="-5"/>
        </w:rPr>
        <w:t xml:space="preserve"> </w:t>
      </w:r>
      <w:r>
        <w:t>of</w:t>
      </w:r>
      <w:r>
        <w:rPr>
          <w:spacing w:val="-4"/>
        </w:rPr>
        <w:t xml:space="preserve"> </w:t>
      </w:r>
      <w:r>
        <w:t>summarization</w:t>
      </w:r>
      <w:r>
        <w:rPr>
          <w:spacing w:val="-4"/>
        </w:rPr>
        <w:t xml:space="preserve"> </w:t>
      </w:r>
      <w:r>
        <w:t>in</w:t>
      </w:r>
      <w:r>
        <w:rPr>
          <w:spacing w:val="-6"/>
        </w:rPr>
        <w:t xml:space="preserve"> </w:t>
      </w:r>
      <w:r>
        <w:t>MI</w:t>
      </w:r>
      <w:r>
        <w:rPr>
          <w:spacing w:val="-4"/>
        </w:rPr>
        <w:t xml:space="preserve"> </w:t>
      </w:r>
      <w:r>
        <w:t>(Miller</w:t>
      </w:r>
      <w:r>
        <w:rPr>
          <w:spacing w:val="-8"/>
        </w:rPr>
        <w:t xml:space="preserve"> </w:t>
      </w:r>
      <w:r>
        <w:t>&amp;</w:t>
      </w:r>
      <w:r>
        <w:rPr>
          <w:spacing w:val="-2"/>
        </w:rPr>
        <w:t xml:space="preserve"> </w:t>
      </w:r>
      <w:r>
        <w:t>Rollnick,</w:t>
      </w:r>
      <w:r>
        <w:rPr>
          <w:spacing w:val="-5"/>
        </w:rPr>
        <w:t xml:space="preserve"> </w:t>
      </w:r>
      <w:r>
        <w:rPr>
          <w:spacing w:val="-2"/>
        </w:rPr>
        <w:t>2013):</w:t>
      </w:r>
    </w:p>
    <w:p w14:paraId="1FF82DCB" w14:textId="77777777" w:rsidR="00DB6E1F" w:rsidRDefault="00F666A6">
      <w:pPr>
        <w:pStyle w:val="ListParagraph"/>
        <w:numPr>
          <w:ilvl w:val="0"/>
          <w:numId w:val="92"/>
        </w:numPr>
        <w:tabs>
          <w:tab w:val="left" w:pos="1799"/>
          <w:tab w:val="left" w:pos="1800"/>
        </w:tabs>
        <w:ind w:left="1799"/>
        <w:rPr>
          <w:rFonts w:ascii="Symbol" w:hAnsi="Symbol"/>
        </w:rPr>
      </w:pPr>
      <w:r>
        <w:rPr>
          <w:b/>
        </w:rPr>
        <w:t>Collecting</w:t>
      </w:r>
      <w:r>
        <w:rPr>
          <w:b/>
          <w:spacing w:val="-6"/>
        </w:rPr>
        <w:t xml:space="preserve"> </w:t>
      </w:r>
      <w:r>
        <w:rPr>
          <w:b/>
        </w:rPr>
        <w:t>summary:</w:t>
      </w:r>
      <w:r>
        <w:rPr>
          <w:b/>
          <w:spacing w:val="-5"/>
        </w:rPr>
        <w:t xml:space="preserve"> </w:t>
      </w:r>
      <w:r>
        <w:t>Recalls</w:t>
      </w:r>
      <w:r>
        <w:rPr>
          <w:spacing w:val="-5"/>
        </w:rPr>
        <w:t xml:space="preserve"> </w:t>
      </w:r>
      <w:r>
        <w:t>a</w:t>
      </w:r>
      <w:r>
        <w:rPr>
          <w:spacing w:val="-4"/>
        </w:rPr>
        <w:t xml:space="preserve"> </w:t>
      </w:r>
      <w:r>
        <w:t>series</w:t>
      </w:r>
      <w:r>
        <w:rPr>
          <w:spacing w:val="-7"/>
        </w:rPr>
        <w:t xml:space="preserve"> </w:t>
      </w:r>
      <w:r>
        <w:t>of</w:t>
      </w:r>
      <w:r>
        <w:rPr>
          <w:spacing w:val="-4"/>
        </w:rPr>
        <w:t xml:space="preserve"> </w:t>
      </w:r>
      <w:r>
        <w:t>rel</w:t>
      </w:r>
      <w:r>
        <w:t>ated</w:t>
      </w:r>
      <w:r>
        <w:rPr>
          <w:spacing w:val="-7"/>
        </w:rPr>
        <w:t xml:space="preserve"> </w:t>
      </w:r>
      <w:r>
        <w:t>client</w:t>
      </w:r>
      <w:r>
        <w:rPr>
          <w:spacing w:val="-3"/>
        </w:rPr>
        <w:t xml:space="preserve"> </w:t>
      </w:r>
      <w:r>
        <w:t>statements,</w:t>
      </w:r>
      <w:r>
        <w:rPr>
          <w:spacing w:val="-5"/>
        </w:rPr>
        <w:t xml:space="preserve"> </w:t>
      </w:r>
      <w:r>
        <w:t>creating</w:t>
      </w:r>
      <w:r>
        <w:rPr>
          <w:spacing w:val="-5"/>
        </w:rPr>
        <w:t xml:space="preserve"> </w:t>
      </w:r>
      <w:r>
        <w:t>a</w:t>
      </w:r>
      <w:r>
        <w:rPr>
          <w:spacing w:val="-4"/>
        </w:rPr>
        <w:t xml:space="preserve"> </w:t>
      </w:r>
      <w:r>
        <w:t>narrative</w:t>
      </w:r>
      <w:r>
        <w:rPr>
          <w:spacing w:val="-7"/>
        </w:rPr>
        <w:t xml:space="preserve"> </w:t>
      </w:r>
      <w:r>
        <w:t>to</w:t>
      </w:r>
      <w:r>
        <w:rPr>
          <w:spacing w:val="-5"/>
        </w:rPr>
        <w:t xml:space="preserve"> </w:t>
      </w:r>
      <w:r>
        <w:t>reflect</w:t>
      </w:r>
      <w:r>
        <w:rPr>
          <w:spacing w:val="-6"/>
        </w:rPr>
        <w:t xml:space="preserve"> </w:t>
      </w:r>
      <w:r>
        <w:rPr>
          <w:spacing w:val="-5"/>
        </w:rPr>
        <w:t>on.</w:t>
      </w:r>
    </w:p>
    <w:p w14:paraId="0F0180D8" w14:textId="77777777" w:rsidR="00DB6E1F" w:rsidRDefault="00F666A6">
      <w:pPr>
        <w:pStyle w:val="ListParagraph"/>
        <w:numPr>
          <w:ilvl w:val="0"/>
          <w:numId w:val="92"/>
        </w:numPr>
        <w:tabs>
          <w:tab w:val="left" w:pos="1799"/>
          <w:tab w:val="left" w:pos="1800"/>
        </w:tabs>
        <w:spacing w:before="61"/>
        <w:ind w:left="1799"/>
        <w:rPr>
          <w:rFonts w:ascii="Symbol" w:hAnsi="Symbol"/>
        </w:rPr>
      </w:pPr>
      <w:r>
        <w:rPr>
          <w:b/>
        </w:rPr>
        <w:t>Linking</w:t>
      </w:r>
      <w:r>
        <w:rPr>
          <w:b/>
          <w:spacing w:val="-8"/>
        </w:rPr>
        <w:t xml:space="preserve"> </w:t>
      </w:r>
      <w:r>
        <w:rPr>
          <w:b/>
        </w:rPr>
        <w:t>summary:</w:t>
      </w:r>
      <w:r>
        <w:rPr>
          <w:b/>
          <w:spacing w:val="-6"/>
        </w:rPr>
        <w:t xml:space="preserve"> </w:t>
      </w:r>
      <w:r>
        <w:t>Reflects</w:t>
      </w:r>
      <w:r>
        <w:rPr>
          <w:spacing w:val="-5"/>
        </w:rPr>
        <w:t xml:space="preserve"> </w:t>
      </w:r>
      <w:r>
        <w:t>a</w:t>
      </w:r>
      <w:r>
        <w:rPr>
          <w:spacing w:val="-3"/>
        </w:rPr>
        <w:t xml:space="preserve"> </w:t>
      </w:r>
      <w:r>
        <w:t>client</w:t>
      </w:r>
      <w:r>
        <w:rPr>
          <w:spacing w:val="-2"/>
        </w:rPr>
        <w:t xml:space="preserve"> </w:t>
      </w:r>
      <w:r>
        <w:t>statement;</w:t>
      </w:r>
      <w:r>
        <w:rPr>
          <w:spacing w:val="-5"/>
        </w:rPr>
        <w:t xml:space="preserve"> </w:t>
      </w:r>
      <w:r>
        <w:t>links</w:t>
      </w:r>
      <w:r>
        <w:rPr>
          <w:spacing w:val="-3"/>
        </w:rPr>
        <w:t xml:space="preserve"> </w:t>
      </w:r>
      <w:r>
        <w:t>it</w:t>
      </w:r>
      <w:r>
        <w:rPr>
          <w:spacing w:val="-5"/>
        </w:rPr>
        <w:t xml:space="preserve"> </w:t>
      </w:r>
      <w:r>
        <w:t>to</w:t>
      </w:r>
      <w:r>
        <w:rPr>
          <w:spacing w:val="-2"/>
        </w:rPr>
        <w:t xml:space="preserve"> </w:t>
      </w:r>
      <w:r>
        <w:t>an</w:t>
      </w:r>
      <w:r>
        <w:rPr>
          <w:spacing w:val="-6"/>
        </w:rPr>
        <w:t xml:space="preserve"> </w:t>
      </w:r>
      <w:r>
        <w:t>earlier</w:t>
      </w:r>
      <w:r>
        <w:rPr>
          <w:spacing w:val="-3"/>
        </w:rPr>
        <w:t xml:space="preserve"> </w:t>
      </w:r>
      <w:r>
        <w:rPr>
          <w:spacing w:val="-2"/>
        </w:rPr>
        <w:t>statement.</w:t>
      </w:r>
    </w:p>
    <w:p w14:paraId="47B88582" w14:textId="77777777" w:rsidR="00DB6E1F" w:rsidRDefault="00F666A6">
      <w:pPr>
        <w:pStyle w:val="ListParagraph"/>
        <w:numPr>
          <w:ilvl w:val="0"/>
          <w:numId w:val="92"/>
        </w:numPr>
        <w:tabs>
          <w:tab w:val="left" w:pos="1799"/>
          <w:tab w:val="left" w:pos="1800"/>
        </w:tabs>
        <w:ind w:left="1799"/>
        <w:rPr>
          <w:rFonts w:ascii="Symbol" w:hAnsi="Symbol"/>
        </w:rPr>
      </w:pPr>
      <w:r>
        <w:rPr>
          <w:b/>
        </w:rPr>
        <w:t>Transitional</w:t>
      </w:r>
      <w:r>
        <w:rPr>
          <w:b/>
          <w:spacing w:val="-8"/>
        </w:rPr>
        <w:t xml:space="preserve"> </w:t>
      </w:r>
      <w:r>
        <w:rPr>
          <w:b/>
        </w:rPr>
        <w:t>summary:</w:t>
      </w:r>
      <w:r>
        <w:rPr>
          <w:b/>
          <w:spacing w:val="-5"/>
        </w:rPr>
        <w:t xml:space="preserve"> </w:t>
      </w:r>
      <w:r>
        <w:t>Wraps</w:t>
      </w:r>
      <w:r>
        <w:rPr>
          <w:spacing w:val="-4"/>
        </w:rPr>
        <w:t xml:space="preserve"> </w:t>
      </w:r>
      <w:r>
        <w:t>up</w:t>
      </w:r>
      <w:r>
        <w:rPr>
          <w:spacing w:val="-5"/>
        </w:rPr>
        <w:t xml:space="preserve"> </w:t>
      </w:r>
      <w:r>
        <w:t>a</w:t>
      </w:r>
      <w:r>
        <w:rPr>
          <w:spacing w:val="-4"/>
        </w:rPr>
        <w:t xml:space="preserve"> </w:t>
      </w:r>
      <w:r>
        <w:t>conversation</w:t>
      </w:r>
      <w:r>
        <w:rPr>
          <w:spacing w:val="-5"/>
        </w:rPr>
        <w:t xml:space="preserve"> </w:t>
      </w:r>
      <w:r>
        <w:t>or</w:t>
      </w:r>
      <w:r>
        <w:rPr>
          <w:spacing w:val="-6"/>
        </w:rPr>
        <w:t xml:space="preserve"> </w:t>
      </w:r>
      <w:r>
        <w:t>task;</w:t>
      </w:r>
      <w:r>
        <w:rPr>
          <w:spacing w:val="-5"/>
        </w:rPr>
        <w:t xml:space="preserve"> </w:t>
      </w:r>
      <w:r>
        <w:t>moves</w:t>
      </w:r>
      <w:r>
        <w:rPr>
          <w:spacing w:val="-4"/>
        </w:rPr>
        <w:t xml:space="preserve"> </w:t>
      </w:r>
      <w:r>
        <w:t>the</w:t>
      </w:r>
      <w:r>
        <w:rPr>
          <w:spacing w:val="-3"/>
        </w:rPr>
        <w:t xml:space="preserve"> </w:t>
      </w:r>
      <w:r>
        <w:t>client</w:t>
      </w:r>
      <w:r>
        <w:rPr>
          <w:spacing w:val="-3"/>
        </w:rPr>
        <w:t xml:space="preserve"> </w:t>
      </w:r>
      <w:r>
        <w:t>along</w:t>
      </w:r>
      <w:r>
        <w:rPr>
          <w:spacing w:val="-7"/>
        </w:rPr>
        <w:t xml:space="preserve"> </w:t>
      </w:r>
      <w:r>
        <w:t>the</w:t>
      </w:r>
      <w:r>
        <w:rPr>
          <w:spacing w:val="-3"/>
        </w:rPr>
        <w:t xml:space="preserve"> </w:t>
      </w:r>
      <w:r>
        <w:t>change</w:t>
      </w:r>
      <w:r>
        <w:rPr>
          <w:spacing w:val="-3"/>
        </w:rPr>
        <w:t xml:space="preserve"> </w:t>
      </w:r>
      <w:r>
        <w:rPr>
          <w:spacing w:val="-2"/>
        </w:rPr>
        <w:t>process.</w:t>
      </w:r>
    </w:p>
    <w:p w14:paraId="0CE6980F" w14:textId="77777777" w:rsidR="00DB6E1F" w:rsidRDefault="00F666A6">
      <w:pPr>
        <w:pStyle w:val="ListParagraph"/>
        <w:numPr>
          <w:ilvl w:val="0"/>
          <w:numId w:val="92"/>
        </w:numPr>
        <w:tabs>
          <w:tab w:val="left" w:pos="1799"/>
          <w:tab w:val="left" w:pos="1800"/>
        </w:tabs>
        <w:spacing w:before="58"/>
        <w:ind w:left="1799" w:right="1641"/>
        <w:rPr>
          <w:rFonts w:ascii="Symbol" w:hAnsi="Symbol"/>
        </w:rPr>
      </w:pPr>
      <w:r>
        <w:rPr>
          <w:b/>
        </w:rPr>
        <w:t>Ambivalence</w:t>
      </w:r>
      <w:r>
        <w:rPr>
          <w:b/>
          <w:spacing w:val="-5"/>
        </w:rPr>
        <w:t xml:space="preserve"> </w:t>
      </w:r>
      <w:r>
        <w:rPr>
          <w:b/>
        </w:rPr>
        <w:t>summary:</w:t>
      </w:r>
      <w:r>
        <w:rPr>
          <w:b/>
          <w:spacing w:val="-4"/>
        </w:rPr>
        <w:t xml:space="preserve"> </w:t>
      </w:r>
      <w:r>
        <w:t>Gathers</w:t>
      </w:r>
      <w:r>
        <w:rPr>
          <w:spacing w:val="-3"/>
        </w:rPr>
        <w:t xml:space="preserve"> </w:t>
      </w:r>
      <w:r>
        <w:t>client</w:t>
      </w:r>
      <w:r>
        <w:rPr>
          <w:spacing w:val="-2"/>
        </w:rPr>
        <w:t xml:space="preserve"> </w:t>
      </w:r>
      <w:r>
        <w:t>statements</w:t>
      </w:r>
      <w:r>
        <w:rPr>
          <w:spacing w:val="-3"/>
        </w:rPr>
        <w:t xml:space="preserve"> </w:t>
      </w:r>
      <w:r>
        <w:t>of</w:t>
      </w:r>
      <w:r>
        <w:rPr>
          <w:spacing w:val="-3"/>
        </w:rPr>
        <w:t xml:space="preserve"> </w:t>
      </w:r>
      <w:r>
        <w:t>sustain</w:t>
      </w:r>
      <w:r>
        <w:rPr>
          <w:spacing w:val="-4"/>
        </w:rPr>
        <w:t xml:space="preserve"> </w:t>
      </w:r>
      <w:r>
        <w:t>talk</w:t>
      </w:r>
      <w:r>
        <w:rPr>
          <w:spacing w:val="-2"/>
        </w:rPr>
        <w:t xml:space="preserve"> </w:t>
      </w:r>
      <w:r>
        <w:t>and</w:t>
      </w:r>
      <w:r>
        <w:rPr>
          <w:spacing w:val="-5"/>
        </w:rPr>
        <w:t xml:space="preserve"> </w:t>
      </w:r>
      <w:r>
        <w:t>change</w:t>
      </w:r>
      <w:r>
        <w:rPr>
          <w:spacing w:val="-2"/>
        </w:rPr>
        <w:t xml:space="preserve"> </w:t>
      </w:r>
      <w:r>
        <w:t>talk</w:t>
      </w:r>
      <w:r>
        <w:rPr>
          <w:spacing w:val="-4"/>
        </w:rPr>
        <w:t xml:space="preserve"> </w:t>
      </w:r>
      <w:r>
        <w:t>during</w:t>
      </w:r>
      <w:r>
        <w:rPr>
          <w:spacing w:val="-4"/>
        </w:rPr>
        <w:t xml:space="preserve"> </w:t>
      </w:r>
      <w:r>
        <w:t>a</w:t>
      </w:r>
      <w:r>
        <w:rPr>
          <w:spacing w:val="-3"/>
        </w:rPr>
        <w:t xml:space="preserve"> </w:t>
      </w:r>
      <w:r>
        <w:t>session. This summary should acknowledge sustain talk but reinforce and highlight change talk.</w:t>
      </w:r>
    </w:p>
    <w:p w14:paraId="05642409" w14:textId="77777777" w:rsidR="00DB6E1F" w:rsidRDefault="00F666A6">
      <w:pPr>
        <w:pStyle w:val="ListParagraph"/>
        <w:numPr>
          <w:ilvl w:val="0"/>
          <w:numId w:val="92"/>
        </w:numPr>
        <w:tabs>
          <w:tab w:val="left" w:pos="1799"/>
          <w:tab w:val="left" w:pos="1800"/>
        </w:tabs>
        <w:spacing w:before="61"/>
        <w:ind w:left="1799" w:right="1759" w:hanging="360"/>
        <w:rPr>
          <w:rFonts w:ascii="Symbol" w:hAnsi="Symbol"/>
        </w:rPr>
      </w:pPr>
      <w:r>
        <w:rPr>
          <w:b/>
        </w:rPr>
        <w:t>Recapitulation</w:t>
      </w:r>
      <w:r>
        <w:rPr>
          <w:b/>
          <w:spacing w:val="-3"/>
        </w:rPr>
        <w:t xml:space="preserve"> </w:t>
      </w:r>
      <w:r>
        <w:rPr>
          <w:b/>
        </w:rPr>
        <w:t>summary:</w:t>
      </w:r>
      <w:r>
        <w:rPr>
          <w:b/>
          <w:spacing w:val="-5"/>
        </w:rPr>
        <w:t xml:space="preserve"> </w:t>
      </w:r>
      <w:r>
        <w:t>Gathers</w:t>
      </w:r>
      <w:r>
        <w:rPr>
          <w:spacing w:val="-2"/>
        </w:rPr>
        <w:t xml:space="preserve"> </w:t>
      </w:r>
      <w:r>
        <w:t>all</w:t>
      </w:r>
      <w:r>
        <w:rPr>
          <w:spacing w:val="-5"/>
        </w:rPr>
        <w:t xml:space="preserve"> </w:t>
      </w:r>
      <w:r>
        <w:t>of</w:t>
      </w:r>
      <w:r>
        <w:rPr>
          <w:spacing w:val="-5"/>
        </w:rPr>
        <w:t xml:space="preserve"> </w:t>
      </w:r>
      <w:r>
        <w:t>the</w:t>
      </w:r>
      <w:r>
        <w:rPr>
          <w:spacing w:val="-1"/>
        </w:rPr>
        <w:t xml:space="preserve"> </w:t>
      </w:r>
      <w:r>
        <w:t>change</w:t>
      </w:r>
      <w:r>
        <w:rPr>
          <w:spacing w:val="-4"/>
        </w:rPr>
        <w:t xml:space="preserve"> </w:t>
      </w:r>
      <w:r>
        <w:t>talk</w:t>
      </w:r>
      <w:r>
        <w:rPr>
          <w:spacing w:val="-1"/>
        </w:rPr>
        <w:t xml:space="preserve"> </w:t>
      </w:r>
      <w:r>
        <w:t>of</w:t>
      </w:r>
      <w:r>
        <w:rPr>
          <w:spacing w:val="-5"/>
        </w:rPr>
        <w:t xml:space="preserve"> </w:t>
      </w:r>
      <w:r>
        <w:t>many</w:t>
      </w:r>
      <w:r>
        <w:rPr>
          <w:spacing w:val="-1"/>
        </w:rPr>
        <w:t xml:space="preserve"> </w:t>
      </w:r>
      <w:r>
        <w:t>conversations.</w:t>
      </w:r>
      <w:r>
        <w:rPr>
          <w:spacing w:val="-5"/>
        </w:rPr>
        <w:t xml:space="preserve"> </w:t>
      </w:r>
      <w:r>
        <w:t>It</w:t>
      </w:r>
      <w:r>
        <w:rPr>
          <w:spacing w:val="-1"/>
        </w:rPr>
        <w:t xml:space="preserve"> </w:t>
      </w:r>
      <w:r>
        <w:t>is</w:t>
      </w:r>
      <w:r>
        <w:rPr>
          <w:spacing w:val="-2"/>
        </w:rPr>
        <w:t xml:space="preserve"> </w:t>
      </w:r>
      <w:r>
        <w:t>useful</w:t>
      </w:r>
      <w:r>
        <w:rPr>
          <w:spacing w:val="-2"/>
        </w:rPr>
        <w:t xml:space="preserve"> </w:t>
      </w:r>
      <w:r>
        <w:t>during the transition from one stage to the next when making a change plan.</w:t>
      </w:r>
    </w:p>
    <w:p w14:paraId="6DC723AA" w14:textId="77777777" w:rsidR="00DB6E1F" w:rsidRDefault="00F666A6">
      <w:pPr>
        <w:pStyle w:val="BodyText"/>
        <w:spacing w:before="161"/>
        <w:ind w:left="1438" w:right="1491"/>
      </w:pPr>
      <w:r>
        <w:t>At</w:t>
      </w:r>
      <w:r>
        <w:rPr>
          <w:spacing w:val="-1"/>
        </w:rPr>
        <w:t xml:space="preserve"> </w:t>
      </w:r>
      <w:r>
        <w:t>the</w:t>
      </w:r>
      <w:r>
        <w:rPr>
          <w:spacing w:val="-4"/>
        </w:rPr>
        <w:t xml:space="preserve"> </w:t>
      </w:r>
      <w:r>
        <w:t>end</w:t>
      </w:r>
      <w:r>
        <w:rPr>
          <w:spacing w:val="-3"/>
        </w:rPr>
        <w:t xml:space="preserve"> </w:t>
      </w:r>
      <w:r>
        <w:t>of</w:t>
      </w:r>
      <w:r>
        <w:rPr>
          <w:spacing w:val="-4"/>
        </w:rPr>
        <w:t xml:space="preserve"> </w:t>
      </w:r>
      <w:r>
        <w:t>a</w:t>
      </w:r>
      <w:r>
        <w:rPr>
          <w:spacing w:val="-2"/>
        </w:rPr>
        <w:t xml:space="preserve"> </w:t>
      </w:r>
      <w:r>
        <w:t>summary,</w:t>
      </w:r>
      <w:r>
        <w:rPr>
          <w:spacing w:val="-4"/>
        </w:rPr>
        <w:t xml:space="preserve"> </w:t>
      </w:r>
      <w:r>
        <w:t>ask</w:t>
      </w:r>
      <w:r>
        <w:rPr>
          <w:spacing w:val="-2"/>
        </w:rPr>
        <w:t xml:space="preserve"> </w:t>
      </w:r>
      <w:r>
        <w:t>the</w:t>
      </w:r>
      <w:r>
        <w:rPr>
          <w:spacing w:val="-4"/>
        </w:rPr>
        <w:t xml:space="preserve"> </w:t>
      </w:r>
      <w:r>
        <w:t>client</w:t>
      </w:r>
      <w:r>
        <w:rPr>
          <w:spacing w:val="-3"/>
        </w:rPr>
        <w:t xml:space="preserve"> </w:t>
      </w:r>
      <w:r>
        <w:t>whether</w:t>
      </w:r>
      <w:r>
        <w:rPr>
          <w:spacing w:val="-4"/>
        </w:rPr>
        <w:t xml:space="preserve"> </w:t>
      </w:r>
      <w:r>
        <w:t>you</w:t>
      </w:r>
      <w:r>
        <w:rPr>
          <w:spacing w:val="-3"/>
        </w:rPr>
        <w:t xml:space="preserve"> </w:t>
      </w:r>
      <w:r>
        <w:t>left</w:t>
      </w:r>
      <w:r>
        <w:rPr>
          <w:spacing w:val="-2"/>
        </w:rPr>
        <w:t xml:space="preserve"> </w:t>
      </w:r>
      <w:r>
        <w:t>anything</w:t>
      </w:r>
      <w:r>
        <w:rPr>
          <w:spacing w:val="-3"/>
        </w:rPr>
        <w:t xml:space="preserve"> </w:t>
      </w:r>
      <w:r>
        <w:t>out.</w:t>
      </w:r>
      <w:r>
        <w:rPr>
          <w:spacing w:val="-4"/>
        </w:rPr>
        <w:t xml:space="preserve"> </w:t>
      </w:r>
      <w:r>
        <w:t>This</w:t>
      </w:r>
      <w:r>
        <w:rPr>
          <w:spacing w:val="-3"/>
        </w:rPr>
        <w:t xml:space="preserve"> </w:t>
      </w:r>
      <w:r>
        <w:t>opportunity</w:t>
      </w:r>
      <w:r>
        <w:rPr>
          <w:spacing w:val="-1"/>
        </w:rPr>
        <w:t xml:space="preserve"> </w:t>
      </w:r>
      <w:r>
        <w:t>lets</w:t>
      </w:r>
      <w:r>
        <w:rPr>
          <w:spacing w:val="-2"/>
        </w:rPr>
        <w:t xml:space="preserve"> </w:t>
      </w:r>
      <w:r>
        <w:t>the</w:t>
      </w:r>
      <w:r>
        <w:rPr>
          <w:spacing w:val="-1"/>
        </w:rPr>
        <w:t xml:space="preserve"> </w:t>
      </w:r>
      <w:r>
        <w:t>client correct or add more to the summary and often leads to further discussion. Summarizing encourages client self-reflection.</w:t>
      </w:r>
    </w:p>
    <w:p w14:paraId="0BB02C05" w14:textId="77777777" w:rsidR="00DB6E1F" w:rsidRDefault="00F666A6">
      <w:pPr>
        <w:spacing w:before="159"/>
        <w:ind w:left="1438" w:right="1491"/>
        <w:rPr>
          <w:b/>
        </w:rPr>
      </w:pPr>
      <w:r>
        <w:rPr>
          <w:b/>
          <w:spacing w:val="-4"/>
        </w:rPr>
        <w:t>Summaries reinforce key statements of movement toward change. Clients hear change talk once when they</w:t>
      </w:r>
      <w:r>
        <w:rPr>
          <w:b/>
          <w:spacing w:val="-7"/>
        </w:rPr>
        <w:t xml:space="preserve"> </w:t>
      </w:r>
      <w:r>
        <w:rPr>
          <w:b/>
          <w:spacing w:val="-4"/>
        </w:rPr>
        <w:t>make</w:t>
      </w:r>
      <w:r>
        <w:rPr>
          <w:b/>
          <w:spacing w:val="-5"/>
        </w:rPr>
        <w:t xml:space="preserve"> </w:t>
      </w:r>
      <w:r>
        <w:rPr>
          <w:b/>
          <w:spacing w:val="-4"/>
        </w:rPr>
        <w:t>a</w:t>
      </w:r>
      <w:r>
        <w:rPr>
          <w:b/>
          <w:spacing w:val="-8"/>
        </w:rPr>
        <w:t xml:space="preserve"> </w:t>
      </w:r>
      <w:r>
        <w:rPr>
          <w:b/>
          <w:spacing w:val="-4"/>
        </w:rPr>
        <w:t>statement,</w:t>
      </w:r>
      <w:r>
        <w:rPr>
          <w:b/>
          <w:spacing w:val="-5"/>
        </w:rPr>
        <w:t xml:space="preserve"> </w:t>
      </w:r>
      <w:r>
        <w:rPr>
          <w:b/>
          <w:spacing w:val="-4"/>
        </w:rPr>
        <w:t>twice</w:t>
      </w:r>
      <w:r>
        <w:rPr>
          <w:b/>
          <w:spacing w:val="-8"/>
        </w:rPr>
        <w:t xml:space="preserve"> </w:t>
      </w:r>
      <w:r>
        <w:rPr>
          <w:b/>
          <w:spacing w:val="-4"/>
        </w:rPr>
        <w:t>wh</w:t>
      </w:r>
      <w:r>
        <w:rPr>
          <w:b/>
          <w:spacing w:val="-4"/>
        </w:rPr>
        <w:t>en</w:t>
      </w:r>
      <w:r>
        <w:rPr>
          <w:b/>
          <w:spacing w:val="-5"/>
        </w:rPr>
        <w:t xml:space="preserve"> </w:t>
      </w:r>
      <w:r>
        <w:rPr>
          <w:b/>
          <w:spacing w:val="-4"/>
        </w:rPr>
        <w:t>the</w:t>
      </w:r>
      <w:r>
        <w:rPr>
          <w:b/>
          <w:spacing w:val="-8"/>
        </w:rPr>
        <w:t xml:space="preserve"> </w:t>
      </w:r>
      <w:r>
        <w:rPr>
          <w:b/>
          <w:spacing w:val="-4"/>
        </w:rPr>
        <w:t>counselor</w:t>
      </w:r>
      <w:r>
        <w:rPr>
          <w:b/>
          <w:spacing w:val="-7"/>
        </w:rPr>
        <w:t xml:space="preserve"> </w:t>
      </w:r>
      <w:r>
        <w:rPr>
          <w:b/>
          <w:spacing w:val="-4"/>
        </w:rPr>
        <w:t>reflects</w:t>
      </w:r>
      <w:r>
        <w:rPr>
          <w:b/>
          <w:spacing w:val="-7"/>
        </w:rPr>
        <w:t xml:space="preserve"> </w:t>
      </w:r>
      <w:r>
        <w:rPr>
          <w:b/>
          <w:spacing w:val="-4"/>
        </w:rPr>
        <w:t>it,</w:t>
      </w:r>
      <w:r>
        <w:rPr>
          <w:b/>
          <w:spacing w:val="-5"/>
        </w:rPr>
        <w:t xml:space="preserve"> </w:t>
      </w:r>
      <w:r>
        <w:rPr>
          <w:b/>
          <w:spacing w:val="-4"/>
        </w:rPr>
        <w:t>and</w:t>
      </w:r>
      <w:r>
        <w:rPr>
          <w:b/>
          <w:spacing w:val="-9"/>
        </w:rPr>
        <w:t xml:space="preserve"> </w:t>
      </w:r>
      <w:r>
        <w:rPr>
          <w:b/>
          <w:spacing w:val="-4"/>
        </w:rPr>
        <w:t>again</w:t>
      </w:r>
      <w:r>
        <w:rPr>
          <w:b/>
          <w:spacing w:val="-8"/>
        </w:rPr>
        <w:t xml:space="preserve"> </w:t>
      </w:r>
      <w:r>
        <w:rPr>
          <w:b/>
          <w:spacing w:val="-4"/>
        </w:rPr>
        <w:t>when</w:t>
      </w:r>
      <w:r>
        <w:rPr>
          <w:b/>
          <w:spacing w:val="-8"/>
        </w:rPr>
        <w:t xml:space="preserve"> </w:t>
      </w:r>
      <w:r>
        <w:rPr>
          <w:b/>
          <w:spacing w:val="-4"/>
        </w:rPr>
        <w:t>the</w:t>
      </w:r>
      <w:r>
        <w:rPr>
          <w:b/>
          <w:spacing w:val="-8"/>
        </w:rPr>
        <w:t xml:space="preserve"> </w:t>
      </w:r>
      <w:r>
        <w:rPr>
          <w:b/>
          <w:spacing w:val="-4"/>
        </w:rPr>
        <w:t>counselor</w:t>
      </w:r>
      <w:r>
        <w:rPr>
          <w:b/>
          <w:spacing w:val="-7"/>
        </w:rPr>
        <w:t xml:space="preserve"> </w:t>
      </w:r>
      <w:r>
        <w:rPr>
          <w:b/>
          <w:spacing w:val="-4"/>
        </w:rPr>
        <w:t xml:space="preserve">summarizes </w:t>
      </w:r>
      <w:r>
        <w:rPr>
          <w:b/>
        </w:rPr>
        <w:t>the</w:t>
      </w:r>
      <w:r>
        <w:rPr>
          <w:b/>
          <w:spacing w:val="-7"/>
        </w:rPr>
        <w:t xml:space="preserve"> </w:t>
      </w:r>
      <w:r>
        <w:rPr>
          <w:b/>
        </w:rPr>
        <w:t>discussion.</w:t>
      </w:r>
    </w:p>
    <w:p w14:paraId="009567A7" w14:textId="77777777" w:rsidR="00DB6E1F" w:rsidRDefault="00F666A6">
      <w:pPr>
        <w:pStyle w:val="Heading2"/>
        <w:spacing w:before="164"/>
      </w:pPr>
      <w:bookmarkStart w:id="101" w:name="Four_Processes_of_MI"/>
      <w:bookmarkStart w:id="102" w:name="_bookmark22"/>
      <w:bookmarkEnd w:id="101"/>
      <w:bookmarkEnd w:id="102"/>
      <w:r>
        <w:t>Four</w:t>
      </w:r>
      <w:r>
        <w:rPr>
          <w:spacing w:val="-2"/>
        </w:rPr>
        <w:t xml:space="preserve"> </w:t>
      </w:r>
      <w:r>
        <w:t>Processes</w:t>
      </w:r>
      <w:r>
        <w:rPr>
          <w:spacing w:val="-3"/>
        </w:rPr>
        <w:t xml:space="preserve"> </w:t>
      </w:r>
      <w:r>
        <w:t>of</w:t>
      </w:r>
      <w:r>
        <w:rPr>
          <w:spacing w:val="-2"/>
        </w:rPr>
        <w:t xml:space="preserve"> </w:t>
      </w:r>
      <w:r>
        <w:rPr>
          <w:spacing w:val="-5"/>
        </w:rPr>
        <w:t>MI</w:t>
      </w:r>
    </w:p>
    <w:p w14:paraId="7EB62F1B" w14:textId="77777777" w:rsidR="00DB6E1F" w:rsidRDefault="00F666A6">
      <w:pPr>
        <w:spacing w:before="152"/>
        <w:ind w:left="1439" w:right="1444"/>
      </w:pPr>
      <w:r>
        <w:rPr>
          <w:b/>
        </w:rPr>
        <w:t xml:space="preserve">MI has moved away from the idea of phases of change to overlapping processes that more accurately describe how MI works in clinical practice. </w:t>
      </w:r>
      <w:r>
        <w:t>This ch</w:t>
      </w:r>
      <w:r>
        <w:t>ange is a shift away from a linear, rigid model of change to</w:t>
      </w:r>
      <w:r>
        <w:rPr>
          <w:spacing w:val="-2"/>
        </w:rPr>
        <w:t xml:space="preserve"> </w:t>
      </w:r>
      <w:r>
        <w:t>a</w:t>
      </w:r>
      <w:r>
        <w:rPr>
          <w:spacing w:val="-1"/>
        </w:rPr>
        <w:t xml:space="preserve"> </w:t>
      </w:r>
      <w:r>
        <w:t>circular, fluid</w:t>
      </w:r>
      <w:r>
        <w:rPr>
          <w:spacing w:val="-4"/>
        </w:rPr>
        <w:t xml:space="preserve"> </w:t>
      </w:r>
      <w:r>
        <w:t>model</w:t>
      </w:r>
      <w:r>
        <w:rPr>
          <w:spacing w:val="-4"/>
        </w:rPr>
        <w:t xml:space="preserve"> </w:t>
      </w:r>
      <w:r>
        <w:t>of</w:t>
      </w:r>
      <w:r>
        <w:rPr>
          <w:spacing w:val="-1"/>
        </w:rPr>
        <w:t xml:space="preserve"> </w:t>
      </w:r>
      <w:r>
        <w:t>change</w:t>
      </w:r>
      <w:r>
        <w:rPr>
          <w:spacing w:val="-3"/>
        </w:rPr>
        <w:t xml:space="preserve"> </w:t>
      </w:r>
      <w:r>
        <w:t>within</w:t>
      </w:r>
      <w:r>
        <w:rPr>
          <w:spacing w:val="-2"/>
        </w:rPr>
        <w:t xml:space="preserve"> </w:t>
      </w:r>
      <w:r>
        <w:t>the</w:t>
      </w:r>
      <w:r>
        <w:rPr>
          <w:spacing w:val="-3"/>
        </w:rPr>
        <w:t xml:space="preserve"> </w:t>
      </w:r>
      <w:r>
        <w:t>context</w:t>
      </w:r>
      <w:r>
        <w:rPr>
          <w:spacing w:val="-3"/>
        </w:rPr>
        <w:t xml:space="preserve"> </w:t>
      </w:r>
      <w:r>
        <w:t>of</w:t>
      </w:r>
      <w:r>
        <w:rPr>
          <w:spacing w:val="-4"/>
        </w:rPr>
        <w:t xml:space="preserve"> </w:t>
      </w:r>
      <w:r>
        <w:t>the</w:t>
      </w:r>
      <w:r>
        <w:rPr>
          <w:spacing w:val="-3"/>
        </w:rPr>
        <w:t xml:space="preserve"> </w:t>
      </w:r>
      <w:r>
        <w:t>counseling</w:t>
      </w:r>
      <w:r>
        <w:rPr>
          <w:spacing w:val="-2"/>
        </w:rPr>
        <w:t xml:space="preserve"> </w:t>
      </w:r>
      <w:r>
        <w:t>relationship.</w:t>
      </w:r>
      <w:r>
        <w:rPr>
          <w:spacing w:val="-1"/>
        </w:rPr>
        <w:t xml:space="preserve"> </w:t>
      </w:r>
      <w:r>
        <w:t>This</w:t>
      </w:r>
      <w:r>
        <w:rPr>
          <w:spacing w:val="-3"/>
        </w:rPr>
        <w:t xml:space="preserve"> </w:t>
      </w:r>
      <w:r>
        <w:t>section reviews these MI processes, summarizes counseling strategies appropriate for each process, and integrates the four principles of MI from previous versions.</w:t>
      </w:r>
    </w:p>
    <w:p w14:paraId="2E3A1CEA" w14:textId="77777777" w:rsidR="00DB6E1F" w:rsidRDefault="00F666A6">
      <w:pPr>
        <w:pStyle w:val="Heading3"/>
      </w:pPr>
      <w:bookmarkStart w:id="103" w:name="Engaging"/>
      <w:bookmarkEnd w:id="103"/>
      <w:r>
        <w:rPr>
          <w:spacing w:val="-2"/>
        </w:rPr>
        <w:t>Engaging</w:t>
      </w:r>
    </w:p>
    <w:p w14:paraId="06741700" w14:textId="77777777" w:rsidR="00DB6E1F" w:rsidRDefault="00F666A6">
      <w:pPr>
        <w:pStyle w:val="BodyText"/>
        <w:spacing w:before="143"/>
        <w:ind w:left="1439" w:right="1491"/>
      </w:pPr>
      <w:r>
        <w:rPr>
          <w:b/>
        </w:rPr>
        <w:t xml:space="preserve">Engaging clients is the first step in all counseling approaches. </w:t>
      </w:r>
      <w:r>
        <w:t>Specific counselin</w:t>
      </w:r>
      <w:r>
        <w:t>g strategies or techniques will not be effective if you and the client haven’t established a strong working relationship. MI is no exception to this. Miller and Rollnick (2013) define engaging in MI “as the process of establishing a mutually trusting and r</w:t>
      </w:r>
      <w:r>
        <w:t>espectful helping relationship” (p. 40). Research supports the link between</w:t>
      </w:r>
      <w:r>
        <w:rPr>
          <w:spacing w:val="-2"/>
        </w:rPr>
        <w:t xml:space="preserve"> </w:t>
      </w:r>
      <w:r>
        <w:t>your</w:t>
      </w:r>
      <w:r>
        <w:rPr>
          <w:spacing w:val="-2"/>
        </w:rPr>
        <w:t xml:space="preserve"> </w:t>
      </w:r>
      <w:r>
        <w:t>ability</w:t>
      </w:r>
      <w:r>
        <w:rPr>
          <w:spacing w:val="-1"/>
        </w:rPr>
        <w:t xml:space="preserve"> </w:t>
      </w:r>
      <w:r>
        <w:t>to</w:t>
      </w:r>
      <w:r>
        <w:rPr>
          <w:spacing w:val="-1"/>
        </w:rPr>
        <w:t xml:space="preserve"> </w:t>
      </w:r>
      <w:r>
        <w:t>develop</w:t>
      </w:r>
      <w:r>
        <w:rPr>
          <w:spacing w:val="-3"/>
        </w:rPr>
        <w:t xml:space="preserve"> </w:t>
      </w:r>
      <w:r>
        <w:t>this</w:t>
      </w:r>
      <w:r>
        <w:rPr>
          <w:spacing w:val="-4"/>
        </w:rPr>
        <w:t xml:space="preserve"> </w:t>
      </w:r>
      <w:r>
        <w:t>kind</w:t>
      </w:r>
      <w:r>
        <w:rPr>
          <w:spacing w:val="-3"/>
        </w:rPr>
        <w:t xml:space="preserve"> </w:t>
      </w:r>
      <w:r>
        <w:t>of</w:t>
      </w:r>
      <w:r>
        <w:rPr>
          <w:spacing w:val="-2"/>
        </w:rPr>
        <w:t xml:space="preserve"> </w:t>
      </w:r>
      <w:r>
        <w:t>helping</w:t>
      </w:r>
      <w:r>
        <w:rPr>
          <w:spacing w:val="-2"/>
        </w:rPr>
        <w:t xml:space="preserve"> </w:t>
      </w:r>
      <w:r>
        <w:t>relationship</w:t>
      </w:r>
      <w:r>
        <w:rPr>
          <w:spacing w:val="-3"/>
        </w:rPr>
        <w:t xml:space="preserve"> </w:t>
      </w:r>
      <w:r>
        <w:t>and</w:t>
      </w:r>
      <w:r>
        <w:rPr>
          <w:spacing w:val="-3"/>
        </w:rPr>
        <w:t xml:space="preserve"> </w:t>
      </w:r>
      <w:r>
        <w:t>positive</w:t>
      </w:r>
      <w:r>
        <w:rPr>
          <w:spacing w:val="-4"/>
        </w:rPr>
        <w:t xml:space="preserve"> </w:t>
      </w:r>
      <w:r>
        <w:t>treatment</w:t>
      </w:r>
      <w:r>
        <w:rPr>
          <w:spacing w:val="-4"/>
        </w:rPr>
        <w:t xml:space="preserve"> </w:t>
      </w:r>
      <w:r>
        <w:t>outcomes</w:t>
      </w:r>
      <w:r>
        <w:rPr>
          <w:spacing w:val="-2"/>
        </w:rPr>
        <w:t xml:space="preserve"> </w:t>
      </w:r>
      <w:r>
        <w:t>such as reduced drinking (Moyers et al., 2016; Romano &amp; Peters, 2016).</w:t>
      </w:r>
    </w:p>
    <w:p w14:paraId="2EA3143F" w14:textId="77777777" w:rsidR="00DB6E1F" w:rsidRDefault="00DB6E1F">
      <w:pPr>
        <w:pStyle w:val="BodyText"/>
        <w:spacing w:before="6"/>
        <w:rPr>
          <w:sz w:val="16"/>
        </w:rPr>
      </w:pPr>
    </w:p>
    <w:p w14:paraId="414C8609" w14:textId="77777777" w:rsidR="00DB6E1F" w:rsidRDefault="00F666A6">
      <w:pPr>
        <w:pStyle w:val="Heading4"/>
      </w:pPr>
      <w:bookmarkStart w:id="104" w:name="Opening_strategies"/>
      <w:bookmarkEnd w:id="104"/>
      <w:r>
        <w:t>Opening</w:t>
      </w:r>
      <w:r>
        <w:rPr>
          <w:spacing w:val="-12"/>
        </w:rPr>
        <w:t xml:space="preserve"> </w:t>
      </w:r>
      <w:r>
        <w:rPr>
          <w:spacing w:val="-2"/>
        </w:rPr>
        <w:t>strategies</w:t>
      </w:r>
    </w:p>
    <w:p w14:paraId="2FBED63F" w14:textId="77777777" w:rsidR="00DB6E1F" w:rsidRDefault="00F666A6">
      <w:pPr>
        <w:pStyle w:val="Heading5"/>
        <w:spacing w:before="83"/>
      </w:pPr>
      <w:r>
        <w:t>Opening</w:t>
      </w:r>
      <w:r>
        <w:rPr>
          <w:spacing w:val="-7"/>
        </w:rPr>
        <w:t xml:space="preserve"> </w:t>
      </w:r>
      <w:r>
        <w:t>strategies</w:t>
      </w:r>
      <w:r>
        <w:rPr>
          <w:spacing w:val="-4"/>
        </w:rPr>
        <w:t xml:space="preserve"> </w:t>
      </w:r>
      <w:r>
        <w:t>promote</w:t>
      </w:r>
      <w:r>
        <w:rPr>
          <w:spacing w:val="-6"/>
        </w:rPr>
        <w:t xml:space="preserve"> </w:t>
      </w:r>
      <w:r>
        <w:t>engagement</w:t>
      </w:r>
      <w:r>
        <w:rPr>
          <w:spacing w:val="-7"/>
        </w:rPr>
        <w:t xml:space="preserve"> </w:t>
      </w:r>
      <w:r>
        <w:t>in</w:t>
      </w:r>
      <w:r>
        <w:rPr>
          <w:spacing w:val="-6"/>
        </w:rPr>
        <w:t xml:space="preserve"> </w:t>
      </w:r>
      <w:r>
        <w:t>MI</w:t>
      </w:r>
      <w:r>
        <w:rPr>
          <w:spacing w:val="-4"/>
        </w:rPr>
        <w:t xml:space="preserve"> </w:t>
      </w:r>
      <w:r>
        <w:t>by</w:t>
      </w:r>
      <w:r>
        <w:rPr>
          <w:spacing w:val="-4"/>
        </w:rPr>
        <w:t xml:space="preserve"> </w:t>
      </w:r>
      <w:r>
        <w:t>emphasizing</w:t>
      </w:r>
      <w:r>
        <w:rPr>
          <w:spacing w:val="-4"/>
        </w:rPr>
        <w:t xml:space="preserve"> </w:t>
      </w:r>
      <w:r>
        <w:t>OARS</w:t>
      </w:r>
      <w:r>
        <w:rPr>
          <w:spacing w:val="-6"/>
        </w:rPr>
        <w:t xml:space="preserve"> </w:t>
      </w:r>
      <w:r>
        <w:t>in</w:t>
      </w:r>
      <w:r>
        <w:rPr>
          <w:spacing w:val="-8"/>
        </w:rPr>
        <w:t xml:space="preserve"> </w:t>
      </w:r>
      <w:r>
        <w:t>the</w:t>
      </w:r>
      <w:r>
        <w:rPr>
          <w:spacing w:val="-6"/>
        </w:rPr>
        <w:t xml:space="preserve"> </w:t>
      </w:r>
      <w:r>
        <w:t>following</w:t>
      </w:r>
      <w:r>
        <w:rPr>
          <w:spacing w:val="-4"/>
        </w:rPr>
        <w:t xml:space="preserve"> </w:t>
      </w:r>
      <w:r>
        <w:rPr>
          <w:spacing w:val="-2"/>
        </w:rPr>
        <w:t>ways:</w:t>
      </w:r>
    </w:p>
    <w:p w14:paraId="472DF399" w14:textId="77777777" w:rsidR="00DB6E1F" w:rsidRDefault="00F666A6">
      <w:pPr>
        <w:pStyle w:val="ListParagraph"/>
        <w:numPr>
          <w:ilvl w:val="0"/>
          <w:numId w:val="92"/>
        </w:numPr>
        <w:tabs>
          <w:tab w:val="left" w:pos="1799"/>
          <w:tab w:val="left" w:pos="1800"/>
        </w:tabs>
        <w:ind w:left="1799"/>
        <w:rPr>
          <w:rFonts w:ascii="Symbol" w:hAnsi="Symbol"/>
        </w:rPr>
      </w:pPr>
      <w:r>
        <w:t>Ask</w:t>
      </w:r>
      <w:r>
        <w:rPr>
          <w:spacing w:val="-4"/>
        </w:rPr>
        <w:t xml:space="preserve"> </w:t>
      </w:r>
      <w:r>
        <w:t>open</w:t>
      </w:r>
      <w:r>
        <w:rPr>
          <w:spacing w:val="-4"/>
        </w:rPr>
        <w:t xml:space="preserve"> </w:t>
      </w:r>
      <w:r>
        <w:t>questions</w:t>
      </w:r>
      <w:r>
        <w:rPr>
          <w:spacing w:val="-3"/>
        </w:rPr>
        <w:t xml:space="preserve"> </w:t>
      </w:r>
      <w:r>
        <w:t>instead</w:t>
      </w:r>
      <w:r>
        <w:rPr>
          <w:spacing w:val="-6"/>
        </w:rPr>
        <w:t xml:space="preserve"> </w:t>
      </w:r>
      <w:r>
        <w:t>of</w:t>
      </w:r>
      <w:r>
        <w:rPr>
          <w:spacing w:val="-3"/>
        </w:rPr>
        <w:t xml:space="preserve"> </w:t>
      </w:r>
      <w:r>
        <w:t>closed</w:t>
      </w:r>
      <w:r>
        <w:rPr>
          <w:spacing w:val="-4"/>
        </w:rPr>
        <w:t xml:space="preserve"> </w:t>
      </w:r>
      <w:r>
        <w:rPr>
          <w:spacing w:val="-2"/>
        </w:rPr>
        <w:t>questions.</w:t>
      </w:r>
    </w:p>
    <w:p w14:paraId="48E6FDB6" w14:textId="77777777" w:rsidR="00DB6E1F" w:rsidRDefault="00F666A6">
      <w:pPr>
        <w:pStyle w:val="ListParagraph"/>
        <w:numPr>
          <w:ilvl w:val="0"/>
          <w:numId w:val="92"/>
        </w:numPr>
        <w:tabs>
          <w:tab w:val="left" w:pos="1800"/>
          <w:tab w:val="left" w:pos="1801"/>
        </w:tabs>
        <w:spacing w:before="61"/>
        <w:ind w:left="1800"/>
        <w:rPr>
          <w:rFonts w:ascii="Symbol" w:hAnsi="Symbol"/>
        </w:rPr>
      </w:pPr>
      <w:r>
        <w:t>Offer</w:t>
      </w:r>
      <w:r>
        <w:rPr>
          <w:spacing w:val="-7"/>
        </w:rPr>
        <w:t xml:space="preserve"> </w:t>
      </w:r>
      <w:r>
        <w:t>affirmations</w:t>
      </w:r>
      <w:r>
        <w:rPr>
          <w:spacing w:val="-6"/>
        </w:rPr>
        <w:t xml:space="preserve"> </w:t>
      </w:r>
      <w:r>
        <w:t>of</w:t>
      </w:r>
      <w:r>
        <w:rPr>
          <w:spacing w:val="-5"/>
        </w:rPr>
        <w:t xml:space="preserve"> </w:t>
      </w:r>
      <w:r>
        <w:t>client</w:t>
      </w:r>
      <w:r>
        <w:rPr>
          <w:spacing w:val="-6"/>
        </w:rPr>
        <w:t xml:space="preserve"> </w:t>
      </w:r>
      <w:r>
        <w:t>self-efficacy,</w:t>
      </w:r>
      <w:r>
        <w:rPr>
          <w:spacing w:val="-5"/>
        </w:rPr>
        <w:t xml:space="preserve"> </w:t>
      </w:r>
      <w:r>
        <w:t>hope,</w:t>
      </w:r>
      <w:r>
        <w:rPr>
          <w:spacing w:val="-6"/>
        </w:rPr>
        <w:t xml:space="preserve"> </w:t>
      </w:r>
      <w:r>
        <w:t>and</w:t>
      </w:r>
      <w:r>
        <w:rPr>
          <w:spacing w:val="-5"/>
        </w:rPr>
        <w:t xml:space="preserve"> </w:t>
      </w:r>
      <w:r>
        <w:t>confidence</w:t>
      </w:r>
      <w:r>
        <w:rPr>
          <w:spacing w:val="-4"/>
        </w:rPr>
        <w:t xml:space="preserve"> </w:t>
      </w:r>
      <w:r>
        <w:t>in</w:t>
      </w:r>
      <w:r>
        <w:rPr>
          <w:spacing w:val="-5"/>
        </w:rPr>
        <w:t xml:space="preserve"> </w:t>
      </w:r>
      <w:r>
        <w:t>the</w:t>
      </w:r>
      <w:r>
        <w:rPr>
          <w:spacing w:val="-4"/>
        </w:rPr>
        <w:t xml:space="preserve"> </w:t>
      </w:r>
      <w:r>
        <w:t>client’s</w:t>
      </w:r>
      <w:r>
        <w:rPr>
          <w:spacing w:val="-4"/>
        </w:rPr>
        <w:t xml:space="preserve"> </w:t>
      </w:r>
      <w:r>
        <w:t>ability</w:t>
      </w:r>
      <w:r>
        <w:rPr>
          <w:spacing w:val="-4"/>
        </w:rPr>
        <w:t xml:space="preserve"> </w:t>
      </w:r>
      <w:r>
        <w:t>to</w:t>
      </w:r>
      <w:r>
        <w:rPr>
          <w:spacing w:val="-3"/>
        </w:rPr>
        <w:t xml:space="preserve"> </w:t>
      </w:r>
      <w:r>
        <w:rPr>
          <w:spacing w:val="-2"/>
        </w:rPr>
        <w:t>change.</w:t>
      </w:r>
    </w:p>
    <w:p w14:paraId="60A013BF" w14:textId="77777777" w:rsidR="00DB6E1F" w:rsidRDefault="00DB6E1F">
      <w:pPr>
        <w:rPr>
          <w:rFonts w:ascii="Symbol" w:hAnsi="Symbol"/>
        </w:rPr>
        <w:sectPr w:rsidR="00DB6E1F">
          <w:pgSz w:w="12240" w:h="15840"/>
          <w:pgMar w:top="1200" w:right="0" w:bottom="780" w:left="0" w:header="763" w:footer="585" w:gutter="0"/>
          <w:cols w:space="720"/>
        </w:sectPr>
      </w:pPr>
    </w:p>
    <w:p w14:paraId="78225E0D" w14:textId="77777777" w:rsidR="00DB6E1F" w:rsidRDefault="00DB6E1F">
      <w:pPr>
        <w:pStyle w:val="BodyText"/>
        <w:rPr>
          <w:sz w:val="11"/>
        </w:rPr>
      </w:pPr>
    </w:p>
    <w:p w14:paraId="597F067E" w14:textId="77777777" w:rsidR="00DB6E1F" w:rsidRDefault="00F666A6">
      <w:pPr>
        <w:pStyle w:val="ListParagraph"/>
        <w:numPr>
          <w:ilvl w:val="0"/>
          <w:numId w:val="92"/>
        </w:numPr>
        <w:tabs>
          <w:tab w:val="left" w:pos="1800"/>
          <w:tab w:val="left" w:pos="1801"/>
        </w:tabs>
        <w:spacing w:before="101"/>
        <w:ind w:left="1800"/>
        <w:rPr>
          <w:rFonts w:ascii="Symbol" w:hAnsi="Symbol"/>
        </w:rPr>
      </w:pPr>
      <w:r>
        <w:t>Emphasize</w:t>
      </w:r>
      <w:r>
        <w:rPr>
          <w:spacing w:val="-7"/>
        </w:rPr>
        <w:t xml:space="preserve"> </w:t>
      </w:r>
      <w:r>
        <w:t>reflective</w:t>
      </w:r>
      <w:r>
        <w:rPr>
          <w:spacing w:val="-6"/>
        </w:rPr>
        <w:t xml:space="preserve"> </w:t>
      </w:r>
      <w:r>
        <w:rPr>
          <w:spacing w:val="-2"/>
        </w:rPr>
        <w:t>listening.</w:t>
      </w:r>
    </w:p>
    <w:p w14:paraId="7928EDA8" w14:textId="77777777" w:rsidR="00DB6E1F" w:rsidRDefault="00F666A6">
      <w:pPr>
        <w:pStyle w:val="ListParagraph"/>
        <w:numPr>
          <w:ilvl w:val="0"/>
          <w:numId w:val="92"/>
        </w:numPr>
        <w:tabs>
          <w:tab w:val="left" w:pos="1800"/>
          <w:tab w:val="left" w:pos="1801"/>
        </w:tabs>
        <w:ind w:left="1800"/>
        <w:rPr>
          <w:rFonts w:ascii="Symbol" w:hAnsi="Symbol"/>
        </w:rPr>
      </w:pPr>
      <w:r>
        <w:t>Summarize</w:t>
      </w:r>
      <w:r>
        <w:rPr>
          <w:spacing w:val="-6"/>
        </w:rPr>
        <w:t xml:space="preserve"> </w:t>
      </w:r>
      <w:r>
        <w:t>to</w:t>
      </w:r>
      <w:r>
        <w:rPr>
          <w:spacing w:val="-3"/>
        </w:rPr>
        <w:t xml:space="preserve"> </w:t>
      </w:r>
      <w:r>
        <w:t>reinforce</w:t>
      </w:r>
      <w:r>
        <w:rPr>
          <w:spacing w:val="-3"/>
        </w:rPr>
        <w:t xml:space="preserve"> </w:t>
      </w:r>
      <w:r>
        <w:t>that</w:t>
      </w:r>
      <w:r>
        <w:rPr>
          <w:spacing w:val="-3"/>
        </w:rPr>
        <w:t xml:space="preserve"> </w:t>
      </w:r>
      <w:r>
        <w:t>you</w:t>
      </w:r>
      <w:r>
        <w:rPr>
          <w:spacing w:val="-5"/>
        </w:rPr>
        <w:t xml:space="preserve"> </w:t>
      </w:r>
      <w:r>
        <w:t>are</w:t>
      </w:r>
      <w:r>
        <w:rPr>
          <w:spacing w:val="-6"/>
        </w:rPr>
        <w:t xml:space="preserve"> </w:t>
      </w:r>
      <w:r>
        <w:t>listening</w:t>
      </w:r>
      <w:r>
        <w:rPr>
          <w:spacing w:val="-5"/>
        </w:rPr>
        <w:t xml:space="preserve"> </w:t>
      </w:r>
      <w:r>
        <w:t>and</w:t>
      </w:r>
      <w:r>
        <w:rPr>
          <w:spacing w:val="-5"/>
        </w:rPr>
        <w:t xml:space="preserve"> </w:t>
      </w:r>
      <w:r>
        <w:t>genuinely</w:t>
      </w:r>
      <w:r>
        <w:rPr>
          <w:spacing w:val="-4"/>
        </w:rPr>
        <w:t xml:space="preserve"> </w:t>
      </w:r>
      <w:r>
        <w:t>interested</w:t>
      </w:r>
      <w:r>
        <w:rPr>
          <w:spacing w:val="-6"/>
        </w:rPr>
        <w:t xml:space="preserve"> </w:t>
      </w:r>
      <w:r>
        <w:t>in</w:t>
      </w:r>
      <w:r>
        <w:rPr>
          <w:spacing w:val="-5"/>
        </w:rPr>
        <w:t xml:space="preserve"> </w:t>
      </w:r>
      <w:r>
        <w:t>the</w:t>
      </w:r>
      <w:r>
        <w:rPr>
          <w:spacing w:val="-6"/>
        </w:rPr>
        <w:t xml:space="preserve"> </w:t>
      </w:r>
      <w:r>
        <w:t>client’s</w:t>
      </w:r>
      <w:r>
        <w:rPr>
          <w:spacing w:val="-4"/>
        </w:rPr>
        <w:t xml:space="preserve"> </w:t>
      </w:r>
      <w:r>
        <w:rPr>
          <w:spacing w:val="-2"/>
        </w:rPr>
        <w:t>perspective.</w:t>
      </w:r>
    </w:p>
    <w:p w14:paraId="323236B9" w14:textId="77777777" w:rsidR="00DB6E1F" w:rsidRDefault="00F666A6">
      <w:pPr>
        <w:pStyle w:val="ListParagraph"/>
        <w:numPr>
          <w:ilvl w:val="0"/>
          <w:numId w:val="92"/>
        </w:numPr>
        <w:tabs>
          <w:tab w:val="left" w:pos="1800"/>
          <w:tab w:val="left" w:pos="1801"/>
        </w:tabs>
        <w:spacing w:before="61"/>
        <w:ind w:left="1800"/>
        <w:rPr>
          <w:rFonts w:ascii="Symbol" w:hAnsi="Symbol"/>
        </w:rPr>
      </w:pPr>
      <w:r>
        <w:t>Determine</w:t>
      </w:r>
      <w:r>
        <w:rPr>
          <w:spacing w:val="-5"/>
        </w:rPr>
        <w:t xml:space="preserve"> </w:t>
      </w:r>
      <w:r>
        <w:t>the</w:t>
      </w:r>
      <w:r>
        <w:rPr>
          <w:spacing w:val="-4"/>
        </w:rPr>
        <w:t xml:space="preserve"> </w:t>
      </w:r>
      <w:r>
        <w:t>client’s</w:t>
      </w:r>
      <w:r>
        <w:rPr>
          <w:spacing w:val="-3"/>
        </w:rPr>
        <w:t xml:space="preserve"> </w:t>
      </w:r>
      <w:r>
        <w:t>readiness</w:t>
      </w:r>
      <w:r>
        <w:rPr>
          <w:spacing w:val="-3"/>
        </w:rPr>
        <w:t xml:space="preserve"> </w:t>
      </w:r>
      <w:r>
        <w:t>to</w:t>
      </w:r>
      <w:r>
        <w:rPr>
          <w:spacing w:val="-2"/>
        </w:rPr>
        <w:t xml:space="preserve"> </w:t>
      </w:r>
      <w:r>
        <w:t>change</w:t>
      </w:r>
      <w:r>
        <w:rPr>
          <w:spacing w:val="-5"/>
        </w:rPr>
        <w:t xml:space="preserve"> </w:t>
      </w:r>
      <w:r>
        <w:t>or</w:t>
      </w:r>
      <w:r>
        <w:rPr>
          <w:spacing w:val="-5"/>
        </w:rPr>
        <w:t xml:space="preserve"> </w:t>
      </w:r>
      <w:r>
        <w:t>and</w:t>
      </w:r>
      <w:r>
        <w:rPr>
          <w:spacing w:val="-4"/>
        </w:rPr>
        <w:t xml:space="preserve"> </w:t>
      </w:r>
      <w:r>
        <w:t>specific</w:t>
      </w:r>
      <w:r>
        <w:rPr>
          <w:spacing w:val="-3"/>
        </w:rPr>
        <w:t xml:space="preserve"> </w:t>
      </w:r>
      <w:r>
        <w:t>stage</w:t>
      </w:r>
      <w:r>
        <w:rPr>
          <w:spacing w:val="-5"/>
        </w:rPr>
        <w:t xml:space="preserve"> </w:t>
      </w:r>
      <w:r>
        <w:t>in</w:t>
      </w:r>
      <w:r>
        <w:rPr>
          <w:spacing w:val="-4"/>
        </w:rPr>
        <w:t xml:space="preserve"> </w:t>
      </w:r>
      <w:r>
        <w:t>the</w:t>
      </w:r>
      <w:r>
        <w:rPr>
          <w:spacing w:val="-5"/>
        </w:rPr>
        <w:t xml:space="preserve"> </w:t>
      </w:r>
      <w:r>
        <w:t>SOC</w:t>
      </w:r>
      <w:r>
        <w:rPr>
          <w:spacing w:val="-3"/>
        </w:rPr>
        <w:t xml:space="preserve"> </w:t>
      </w:r>
      <w:r>
        <w:t>(see</w:t>
      </w:r>
      <w:r>
        <w:rPr>
          <w:spacing w:val="-5"/>
        </w:rPr>
        <w:t xml:space="preserve"> </w:t>
      </w:r>
      <w:r>
        <w:t>Chapters</w:t>
      </w:r>
      <w:r>
        <w:rPr>
          <w:spacing w:val="-3"/>
        </w:rPr>
        <w:t xml:space="preserve"> </w:t>
      </w:r>
      <w:r>
        <w:t>1</w:t>
      </w:r>
      <w:r>
        <w:rPr>
          <w:spacing w:val="-5"/>
        </w:rPr>
        <w:t xml:space="preserve"> </w:t>
      </w:r>
      <w:r>
        <w:t>and</w:t>
      </w:r>
      <w:r>
        <w:rPr>
          <w:spacing w:val="-3"/>
        </w:rPr>
        <w:t xml:space="preserve"> </w:t>
      </w:r>
      <w:r>
        <w:rPr>
          <w:spacing w:val="-5"/>
        </w:rPr>
        <w:t>2).</w:t>
      </w:r>
    </w:p>
    <w:p w14:paraId="4B6A383D" w14:textId="77777777" w:rsidR="00DB6E1F" w:rsidRDefault="00F666A6">
      <w:pPr>
        <w:pStyle w:val="ListParagraph"/>
        <w:numPr>
          <w:ilvl w:val="0"/>
          <w:numId w:val="92"/>
        </w:numPr>
        <w:tabs>
          <w:tab w:val="left" w:pos="1800"/>
          <w:tab w:val="left" w:pos="1801"/>
        </w:tabs>
        <w:spacing w:before="58"/>
        <w:ind w:left="1800"/>
        <w:rPr>
          <w:rFonts w:ascii="Symbol" w:hAnsi="Symbol"/>
        </w:rPr>
      </w:pPr>
      <w:r>
        <w:t>Avoid</w:t>
      </w:r>
      <w:r>
        <w:rPr>
          <w:spacing w:val="-7"/>
        </w:rPr>
        <w:t xml:space="preserve"> </w:t>
      </w:r>
      <w:r>
        <w:t>prematurely</w:t>
      </w:r>
      <w:r>
        <w:rPr>
          <w:spacing w:val="-5"/>
        </w:rPr>
        <w:t xml:space="preserve"> </w:t>
      </w:r>
      <w:r>
        <w:t>focusing</w:t>
      </w:r>
      <w:r>
        <w:rPr>
          <w:spacing w:val="-4"/>
        </w:rPr>
        <w:t xml:space="preserve"> </w:t>
      </w:r>
      <w:r>
        <w:t>on</w:t>
      </w:r>
      <w:r>
        <w:rPr>
          <w:spacing w:val="-5"/>
        </w:rPr>
        <w:t xml:space="preserve"> </w:t>
      </w:r>
      <w:r>
        <w:t>taking</w:t>
      </w:r>
      <w:r>
        <w:rPr>
          <w:spacing w:val="-4"/>
        </w:rPr>
        <w:t xml:space="preserve"> </w:t>
      </w:r>
      <w:r>
        <w:rPr>
          <w:spacing w:val="-2"/>
        </w:rPr>
        <w:t>action.</w:t>
      </w:r>
    </w:p>
    <w:p w14:paraId="44FC5E9E" w14:textId="77777777" w:rsidR="00DB6E1F" w:rsidRDefault="00F666A6">
      <w:pPr>
        <w:pStyle w:val="ListParagraph"/>
        <w:numPr>
          <w:ilvl w:val="0"/>
          <w:numId w:val="92"/>
        </w:numPr>
        <w:tabs>
          <w:tab w:val="left" w:pos="1800"/>
          <w:tab w:val="left" w:pos="1801"/>
        </w:tabs>
        <w:ind w:left="1800" w:right="2105"/>
        <w:rPr>
          <w:rFonts w:ascii="Symbol" w:hAnsi="Symbol"/>
        </w:rPr>
      </w:pPr>
      <w:r>
        <w:t>Try</w:t>
      </w:r>
      <w:r>
        <w:rPr>
          <w:spacing w:val="-2"/>
        </w:rPr>
        <w:t xml:space="preserve"> </w:t>
      </w:r>
      <w:r>
        <w:t>not</w:t>
      </w:r>
      <w:r>
        <w:rPr>
          <w:spacing w:val="-3"/>
        </w:rPr>
        <w:t xml:space="preserve"> </w:t>
      </w:r>
      <w:r>
        <w:t>to</w:t>
      </w:r>
      <w:r>
        <w:rPr>
          <w:spacing w:val="-2"/>
        </w:rPr>
        <w:t xml:space="preserve"> </w:t>
      </w:r>
      <w:r>
        <w:t>identify</w:t>
      </w:r>
      <w:r>
        <w:rPr>
          <w:spacing w:val="-4"/>
        </w:rPr>
        <w:t xml:space="preserve"> </w:t>
      </w:r>
      <w:r>
        <w:t>the</w:t>
      </w:r>
      <w:r>
        <w:rPr>
          <w:spacing w:val="-4"/>
        </w:rPr>
        <w:t xml:space="preserve"> </w:t>
      </w:r>
      <w:r>
        <w:t>client’s</w:t>
      </w:r>
      <w:r>
        <w:rPr>
          <w:spacing w:val="-3"/>
        </w:rPr>
        <w:t xml:space="preserve"> </w:t>
      </w:r>
      <w:r>
        <w:t>treatment</w:t>
      </w:r>
      <w:r>
        <w:rPr>
          <w:spacing w:val="-3"/>
        </w:rPr>
        <w:t xml:space="preserve"> </w:t>
      </w:r>
      <w:r>
        <w:t>goals</w:t>
      </w:r>
      <w:r>
        <w:rPr>
          <w:spacing w:val="-3"/>
        </w:rPr>
        <w:t xml:space="preserve"> </w:t>
      </w:r>
      <w:r>
        <w:t>until</w:t>
      </w:r>
      <w:r>
        <w:rPr>
          <w:spacing w:val="-6"/>
        </w:rPr>
        <w:t xml:space="preserve"> </w:t>
      </w:r>
      <w:r>
        <w:t>you</w:t>
      </w:r>
      <w:r>
        <w:rPr>
          <w:spacing w:val="-4"/>
        </w:rPr>
        <w:t xml:space="preserve"> </w:t>
      </w:r>
      <w:r>
        <w:t>have</w:t>
      </w:r>
      <w:r>
        <w:rPr>
          <w:spacing w:val="-2"/>
        </w:rPr>
        <w:t xml:space="preserve"> </w:t>
      </w:r>
      <w:r>
        <w:t>sufficiently</w:t>
      </w:r>
      <w:r>
        <w:rPr>
          <w:spacing w:val="-4"/>
        </w:rPr>
        <w:t xml:space="preserve"> </w:t>
      </w:r>
      <w:r>
        <w:t>explored</w:t>
      </w:r>
      <w:r>
        <w:rPr>
          <w:spacing w:val="-4"/>
        </w:rPr>
        <w:t xml:space="preserve"> </w:t>
      </w:r>
      <w:r>
        <w:t>the</w:t>
      </w:r>
      <w:r>
        <w:rPr>
          <w:spacing w:val="-2"/>
        </w:rPr>
        <w:t xml:space="preserve"> </w:t>
      </w:r>
      <w:r>
        <w:t>client’s readiness. Then you can address the client’s ambivalence.</w:t>
      </w:r>
    </w:p>
    <w:p w14:paraId="20C6A0CD" w14:textId="77777777" w:rsidR="00DB6E1F" w:rsidRDefault="00F666A6">
      <w:pPr>
        <w:pStyle w:val="BodyText"/>
        <w:spacing w:before="159"/>
        <w:ind w:left="1440" w:right="1491"/>
      </w:pPr>
      <w:r>
        <w:t>These</w:t>
      </w:r>
      <w:r>
        <w:rPr>
          <w:spacing w:val="-4"/>
        </w:rPr>
        <w:t xml:space="preserve"> </w:t>
      </w:r>
      <w:r>
        <w:t>opening</w:t>
      </w:r>
      <w:r>
        <w:rPr>
          <w:spacing w:val="-3"/>
        </w:rPr>
        <w:t xml:space="preserve"> </w:t>
      </w:r>
      <w:r>
        <w:t>strategies</w:t>
      </w:r>
      <w:r>
        <w:rPr>
          <w:spacing w:val="-2"/>
        </w:rPr>
        <w:t xml:space="preserve"> </w:t>
      </w:r>
      <w:r>
        <w:t>ensure</w:t>
      </w:r>
      <w:r>
        <w:rPr>
          <w:spacing w:val="-1"/>
        </w:rPr>
        <w:t xml:space="preserve"> </w:t>
      </w:r>
      <w:r>
        <w:t>support</w:t>
      </w:r>
      <w:r>
        <w:rPr>
          <w:spacing w:val="-1"/>
        </w:rPr>
        <w:t xml:space="preserve"> </w:t>
      </w:r>
      <w:r>
        <w:t>for</w:t>
      </w:r>
      <w:r>
        <w:rPr>
          <w:spacing w:val="-5"/>
        </w:rPr>
        <w:t xml:space="preserve"> </w:t>
      </w:r>
      <w:r>
        <w:t>the</w:t>
      </w:r>
      <w:r>
        <w:rPr>
          <w:spacing w:val="-1"/>
        </w:rPr>
        <w:t xml:space="preserve"> </w:t>
      </w:r>
      <w:r>
        <w:t>client</w:t>
      </w:r>
      <w:r>
        <w:rPr>
          <w:spacing w:val="-4"/>
        </w:rPr>
        <w:t xml:space="preserve"> </w:t>
      </w:r>
      <w:r>
        <w:t>and</w:t>
      </w:r>
      <w:r>
        <w:rPr>
          <w:spacing w:val="-3"/>
        </w:rPr>
        <w:t xml:space="preserve"> </w:t>
      </w:r>
      <w:r>
        <w:t>help</w:t>
      </w:r>
      <w:r>
        <w:rPr>
          <w:spacing w:val="-3"/>
        </w:rPr>
        <w:t xml:space="preserve"> </w:t>
      </w:r>
      <w:r>
        <w:t>the</w:t>
      </w:r>
      <w:r>
        <w:rPr>
          <w:spacing w:val="-4"/>
        </w:rPr>
        <w:t xml:space="preserve"> </w:t>
      </w:r>
      <w:r>
        <w:t>client</w:t>
      </w:r>
      <w:r>
        <w:rPr>
          <w:spacing w:val="-4"/>
        </w:rPr>
        <w:t xml:space="preserve"> </w:t>
      </w:r>
      <w:r>
        <w:t>explore</w:t>
      </w:r>
      <w:r>
        <w:rPr>
          <w:spacing w:val="-3"/>
        </w:rPr>
        <w:t xml:space="preserve"> </w:t>
      </w:r>
      <w:r>
        <w:t>ambivalence</w:t>
      </w:r>
      <w:r>
        <w:rPr>
          <w:spacing w:val="-4"/>
        </w:rPr>
        <w:t xml:space="preserve"> </w:t>
      </w:r>
      <w:r>
        <w:t>in</w:t>
      </w:r>
      <w:r>
        <w:rPr>
          <w:spacing w:val="-3"/>
        </w:rPr>
        <w:t xml:space="preserve"> </w:t>
      </w:r>
      <w:r>
        <w:t>a</w:t>
      </w:r>
      <w:r>
        <w:rPr>
          <w:spacing w:val="-2"/>
        </w:rPr>
        <w:t xml:space="preserve"> </w:t>
      </w:r>
      <w:r>
        <w:t>safe setting. In the following initial conversation, the counselor uses OARS to establish rapport and address the client’s drinking through reflective listening and asking open questions:</w:t>
      </w:r>
    </w:p>
    <w:p w14:paraId="7F13A44C" w14:textId="77777777" w:rsidR="00DB6E1F" w:rsidRDefault="00F666A6">
      <w:pPr>
        <w:pStyle w:val="ListParagraph"/>
        <w:numPr>
          <w:ilvl w:val="0"/>
          <w:numId w:val="92"/>
        </w:numPr>
        <w:tabs>
          <w:tab w:val="left" w:pos="1800"/>
          <w:tab w:val="left" w:pos="1801"/>
        </w:tabs>
        <w:spacing w:before="61"/>
        <w:ind w:left="1800"/>
        <w:rPr>
          <w:rFonts w:ascii="Symbol" w:hAnsi="Symbol"/>
        </w:rPr>
      </w:pPr>
      <w:r>
        <w:rPr>
          <w:b/>
        </w:rPr>
        <w:t>Counselor:</w:t>
      </w:r>
      <w:r>
        <w:rPr>
          <w:b/>
          <w:spacing w:val="-7"/>
        </w:rPr>
        <w:t xml:space="preserve"> </w:t>
      </w:r>
      <w:r>
        <w:t>Jerry,</w:t>
      </w:r>
      <w:r>
        <w:rPr>
          <w:spacing w:val="-4"/>
        </w:rPr>
        <w:t xml:space="preserve"> </w:t>
      </w:r>
      <w:r>
        <w:t>thank</w:t>
      </w:r>
      <w:r>
        <w:t>s</w:t>
      </w:r>
      <w:r>
        <w:rPr>
          <w:spacing w:val="-6"/>
        </w:rPr>
        <w:t xml:space="preserve"> </w:t>
      </w:r>
      <w:r>
        <w:t>for</w:t>
      </w:r>
      <w:r>
        <w:rPr>
          <w:spacing w:val="-4"/>
        </w:rPr>
        <w:t xml:space="preserve"> </w:t>
      </w:r>
      <w:r>
        <w:t>coming</w:t>
      </w:r>
      <w:r>
        <w:rPr>
          <w:spacing w:val="-5"/>
        </w:rPr>
        <w:t xml:space="preserve"> </w:t>
      </w:r>
      <w:r>
        <w:t>in.</w:t>
      </w:r>
      <w:r>
        <w:rPr>
          <w:spacing w:val="-4"/>
        </w:rPr>
        <w:t xml:space="preserve"> </w:t>
      </w:r>
      <w:r>
        <w:rPr>
          <w:i/>
        </w:rPr>
        <w:t>(Affirmation)</w:t>
      </w:r>
      <w:r>
        <w:rPr>
          <w:i/>
          <w:spacing w:val="-6"/>
        </w:rPr>
        <w:t xml:space="preserve"> </w:t>
      </w:r>
      <w:r>
        <w:t>What</w:t>
      </w:r>
      <w:r>
        <w:rPr>
          <w:spacing w:val="-4"/>
        </w:rPr>
        <w:t xml:space="preserve"> </w:t>
      </w:r>
      <w:r>
        <w:t>brings</w:t>
      </w:r>
      <w:r>
        <w:rPr>
          <w:spacing w:val="-4"/>
        </w:rPr>
        <w:t xml:space="preserve"> </w:t>
      </w:r>
      <w:r>
        <w:t>you</w:t>
      </w:r>
      <w:r>
        <w:rPr>
          <w:spacing w:val="-5"/>
        </w:rPr>
        <w:t xml:space="preserve"> </w:t>
      </w:r>
      <w:r>
        <w:t>here</w:t>
      </w:r>
      <w:r>
        <w:rPr>
          <w:spacing w:val="-3"/>
        </w:rPr>
        <w:t xml:space="preserve"> </w:t>
      </w:r>
      <w:r>
        <w:t>today?</w:t>
      </w:r>
      <w:r>
        <w:rPr>
          <w:spacing w:val="-4"/>
        </w:rPr>
        <w:t xml:space="preserve"> </w:t>
      </w:r>
      <w:r>
        <w:rPr>
          <w:i/>
        </w:rPr>
        <w:t>(Open</w:t>
      </w:r>
      <w:r>
        <w:rPr>
          <w:i/>
          <w:spacing w:val="-4"/>
        </w:rPr>
        <w:t xml:space="preserve"> </w:t>
      </w:r>
      <w:r>
        <w:rPr>
          <w:i/>
          <w:spacing w:val="-2"/>
        </w:rPr>
        <w:t>question)</w:t>
      </w:r>
    </w:p>
    <w:p w14:paraId="2F92F0EB" w14:textId="77777777" w:rsidR="00DB6E1F" w:rsidRDefault="00F666A6">
      <w:pPr>
        <w:pStyle w:val="ListParagraph"/>
        <w:numPr>
          <w:ilvl w:val="0"/>
          <w:numId w:val="92"/>
        </w:numPr>
        <w:tabs>
          <w:tab w:val="left" w:pos="1800"/>
          <w:tab w:val="left" w:pos="1801"/>
        </w:tabs>
        <w:ind w:left="1800" w:right="1753"/>
        <w:rPr>
          <w:rFonts w:ascii="Symbol" w:hAnsi="Symbol"/>
        </w:rPr>
      </w:pPr>
      <w:r>
        <w:rPr>
          <w:b/>
        </w:rPr>
        <w:t>Client:</w:t>
      </w:r>
      <w:r>
        <w:rPr>
          <w:b/>
          <w:spacing w:val="-5"/>
        </w:rPr>
        <w:t xml:space="preserve"> </w:t>
      </w:r>
      <w:r>
        <w:t>My</w:t>
      </w:r>
      <w:r>
        <w:rPr>
          <w:spacing w:val="-4"/>
        </w:rPr>
        <w:t xml:space="preserve"> </w:t>
      </w:r>
      <w:r>
        <w:t>wife</w:t>
      </w:r>
      <w:r>
        <w:rPr>
          <w:spacing w:val="-1"/>
        </w:rPr>
        <w:t xml:space="preserve"> </w:t>
      </w:r>
      <w:r>
        <w:t>thinks</w:t>
      </w:r>
      <w:r>
        <w:rPr>
          <w:spacing w:val="-2"/>
        </w:rPr>
        <w:t xml:space="preserve"> </w:t>
      </w:r>
      <w:r>
        <w:t>I</w:t>
      </w:r>
      <w:r>
        <w:rPr>
          <w:spacing w:val="-5"/>
        </w:rPr>
        <w:t xml:space="preserve"> </w:t>
      </w:r>
      <w:r>
        <w:t>drink</w:t>
      </w:r>
      <w:r>
        <w:rPr>
          <w:spacing w:val="-1"/>
        </w:rPr>
        <w:t xml:space="preserve"> </w:t>
      </w:r>
      <w:r>
        <w:t>too</w:t>
      </w:r>
      <w:r>
        <w:rPr>
          <w:spacing w:val="-3"/>
        </w:rPr>
        <w:t xml:space="preserve"> </w:t>
      </w:r>
      <w:r>
        <w:t>much.</w:t>
      </w:r>
      <w:r>
        <w:rPr>
          <w:spacing w:val="-3"/>
        </w:rPr>
        <w:t xml:space="preserve"> </w:t>
      </w:r>
      <w:r>
        <w:t>She</w:t>
      </w:r>
      <w:r>
        <w:rPr>
          <w:spacing w:val="-4"/>
        </w:rPr>
        <w:t xml:space="preserve"> </w:t>
      </w:r>
      <w:r>
        <w:t>says</w:t>
      </w:r>
      <w:r>
        <w:rPr>
          <w:spacing w:val="-4"/>
        </w:rPr>
        <w:t xml:space="preserve"> </w:t>
      </w:r>
      <w:r>
        <w:t>that’s</w:t>
      </w:r>
      <w:r>
        <w:rPr>
          <w:spacing w:val="-2"/>
        </w:rPr>
        <w:t xml:space="preserve"> </w:t>
      </w:r>
      <w:r>
        <w:t>why</w:t>
      </w:r>
      <w:r>
        <w:rPr>
          <w:spacing w:val="-3"/>
        </w:rPr>
        <w:t xml:space="preserve"> </w:t>
      </w:r>
      <w:r>
        <w:t>we</w:t>
      </w:r>
      <w:r>
        <w:rPr>
          <w:spacing w:val="-4"/>
        </w:rPr>
        <w:t xml:space="preserve"> </w:t>
      </w:r>
      <w:r>
        <w:t>argue</w:t>
      </w:r>
      <w:r>
        <w:rPr>
          <w:spacing w:val="-1"/>
        </w:rPr>
        <w:t xml:space="preserve"> </w:t>
      </w:r>
      <w:r>
        <w:t>all</w:t>
      </w:r>
      <w:r>
        <w:rPr>
          <w:spacing w:val="-5"/>
        </w:rPr>
        <w:t xml:space="preserve"> </w:t>
      </w:r>
      <w:r>
        <w:t>the</w:t>
      </w:r>
      <w:r>
        <w:rPr>
          <w:spacing w:val="-1"/>
        </w:rPr>
        <w:t xml:space="preserve"> </w:t>
      </w:r>
      <w:r>
        <w:t>time. She</w:t>
      </w:r>
      <w:r>
        <w:rPr>
          <w:spacing w:val="-1"/>
        </w:rPr>
        <w:t xml:space="preserve"> </w:t>
      </w:r>
      <w:r>
        <w:t>also</w:t>
      </w:r>
      <w:r>
        <w:rPr>
          <w:spacing w:val="-3"/>
        </w:rPr>
        <w:t xml:space="preserve"> </w:t>
      </w:r>
      <w:r>
        <w:t>thinks that my drinking is ruining my health.</w:t>
      </w:r>
    </w:p>
    <w:p w14:paraId="33314435" w14:textId="77777777" w:rsidR="00DB6E1F" w:rsidRDefault="00F666A6">
      <w:pPr>
        <w:pStyle w:val="ListParagraph"/>
        <w:numPr>
          <w:ilvl w:val="0"/>
          <w:numId w:val="92"/>
        </w:numPr>
        <w:tabs>
          <w:tab w:val="left" w:pos="1800"/>
          <w:tab w:val="left" w:pos="1801"/>
        </w:tabs>
        <w:spacing w:before="59"/>
        <w:ind w:left="1801" w:right="1715"/>
        <w:rPr>
          <w:rFonts w:ascii="Symbol" w:hAnsi="Symbol"/>
        </w:rPr>
      </w:pPr>
      <w:r>
        <w:rPr>
          <w:b/>
        </w:rPr>
        <w:t>Counselor:</w:t>
      </w:r>
      <w:r>
        <w:rPr>
          <w:b/>
          <w:spacing w:val="-3"/>
        </w:rPr>
        <w:t xml:space="preserve"> </w:t>
      </w:r>
      <w:r>
        <w:t>So</w:t>
      </w:r>
      <w:r>
        <w:rPr>
          <w:spacing w:val="-3"/>
        </w:rPr>
        <w:t xml:space="preserve"> </w:t>
      </w:r>
      <w:r>
        <w:t>your</w:t>
      </w:r>
      <w:r>
        <w:rPr>
          <w:spacing w:val="-2"/>
        </w:rPr>
        <w:t xml:space="preserve"> </w:t>
      </w:r>
      <w:r>
        <w:t>wife</w:t>
      </w:r>
      <w:r>
        <w:rPr>
          <w:spacing w:val="-1"/>
        </w:rPr>
        <w:t xml:space="preserve"> </w:t>
      </w:r>
      <w:r>
        <w:t>has</w:t>
      </w:r>
      <w:r>
        <w:rPr>
          <w:spacing w:val="-2"/>
        </w:rPr>
        <w:t xml:space="preserve"> </w:t>
      </w:r>
      <w:r>
        <w:t>some</w:t>
      </w:r>
      <w:r>
        <w:rPr>
          <w:spacing w:val="-4"/>
        </w:rPr>
        <w:t xml:space="preserve"> </w:t>
      </w:r>
      <w:r>
        <w:t>concerns</w:t>
      </w:r>
      <w:r>
        <w:rPr>
          <w:spacing w:val="-2"/>
        </w:rPr>
        <w:t xml:space="preserve"> </w:t>
      </w:r>
      <w:r>
        <w:t>about</w:t>
      </w:r>
      <w:r>
        <w:rPr>
          <w:spacing w:val="-4"/>
        </w:rPr>
        <w:t xml:space="preserve"> </w:t>
      </w:r>
      <w:r>
        <w:t>your</w:t>
      </w:r>
      <w:r>
        <w:rPr>
          <w:spacing w:val="-2"/>
        </w:rPr>
        <w:t xml:space="preserve"> </w:t>
      </w:r>
      <w:r>
        <w:t>drinking</w:t>
      </w:r>
      <w:r>
        <w:rPr>
          <w:spacing w:val="-3"/>
        </w:rPr>
        <w:t xml:space="preserve"> </w:t>
      </w:r>
      <w:r>
        <w:t>interfering</w:t>
      </w:r>
      <w:r>
        <w:rPr>
          <w:spacing w:val="-5"/>
        </w:rPr>
        <w:t xml:space="preserve"> </w:t>
      </w:r>
      <w:r>
        <w:t>with</w:t>
      </w:r>
      <w:r>
        <w:rPr>
          <w:spacing w:val="-3"/>
        </w:rPr>
        <w:t xml:space="preserve"> </w:t>
      </w:r>
      <w:r>
        <w:t>your</w:t>
      </w:r>
      <w:r>
        <w:rPr>
          <w:spacing w:val="-2"/>
        </w:rPr>
        <w:t xml:space="preserve"> </w:t>
      </w:r>
      <w:r>
        <w:t xml:space="preserve">relationship and harming your health. </w:t>
      </w:r>
      <w:r>
        <w:rPr>
          <w:i/>
        </w:rPr>
        <w:t>(Reflection)</w:t>
      </w:r>
    </w:p>
    <w:p w14:paraId="0412811F" w14:textId="77777777" w:rsidR="00DB6E1F" w:rsidRDefault="00F666A6">
      <w:pPr>
        <w:pStyle w:val="ListParagraph"/>
        <w:numPr>
          <w:ilvl w:val="0"/>
          <w:numId w:val="92"/>
        </w:numPr>
        <w:tabs>
          <w:tab w:val="left" w:pos="1801"/>
          <w:tab w:val="left" w:pos="1802"/>
        </w:tabs>
        <w:ind w:left="1801"/>
        <w:rPr>
          <w:rFonts w:ascii="Symbol" w:hAnsi="Symbol"/>
        </w:rPr>
      </w:pPr>
      <w:r>
        <w:rPr>
          <w:b/>
        </w:rPr>
        <w:t>Client:</w:t>
      </w:r>
      <w:r>
        <w:rPr>
          <w:b/>
          <w:spacing w:val="-6"/>
        </w:rPr>
        <w:t xml:space="preserve"> </w:t>
      </w:r>
      <w:r>
        <w:t>Yeah,</w:t>
      </w:r>
      <w:r>
        <w:rPr>
          <w:spacing w:val="-3"/>
        </w:rPr>
        <w:t xml:space="preserve"> </w:t>
      </w:r>
      <w:r>
        <w:t>she</w:t>
      </w:r>
      <w:r>
        <w:rPr>
          <w:spacing w:val="-2"/>
        </w:rPr>
        <w:t xml:space="preserve"> </w:t>
      </w:r>
      <w:r>
        <w:t>worries</w:t>
      </w:r>
      <w:r>
        <w:rPr>
          <w:spacing w:val="-3"/>
        </w:rPr>
        <w:t xml:space="preserve"> </w:t>
      </w:r>
      <w:r>
        <w:t>a</w:t>
      </w:r>
      <w:r>
        <w:rPr>
          <w:spacing w:val="-4"/>
        </w:rPr>
        <w:t xml:space="preserve"> lot.</w:t>
      </w:r>
    </w:p>
    <w:p w14:paraId="54F029E6" w14:textId="77777777" w:rsidR="00DB6E1F" w:rsidRDefault="00F666A6">
      <w:pPr>
        <w:pStyle w:val="ListParagraph"/>
        <w:numPr>
          <w:ilvl w:val="0"/>
          <w:numId w:val="92"/>
        </w:numPr>
        <w:tabs>
          <w:tab w:val="left" w:pos="1801"/>
          <w:tab w:val="left" w:pos="1802"/>
        </w:tabs>
        <w:spacing w:before="61"/>
        <w:ind w:left="1801"/>
        <w:rPr>
          <w:rFonts w:ascii="Symbol" w:hAnsi="Symbol"/>
        </w:rPr>
      </w:pPr>
      <w:r>
        <w:rPr>
          <w:b/>
          <w:spacing w:val="-4"/>
        </w:rPr>
        <w:t>Counselor:</w:t>
      </w:r>
      <w:r>
        <w:rPr>
          <w:b/>
          <w:spacing w:val="2"/>
        </w:rPr>
        <w:t xml:space="preserve"> </w:t>
      </w:r>
      <w:r>
        <w:rPr>
          <w:spacing w:val="-4"/>
        </w:rPr>
        <w:t>You</w:t>
      </w:r>
      <w:r>
        <w:rPr>
          <w:spacing w:val="-7"/>
        </w:rPr>
        <w:t xml:space="preserve"> </w:t>
      </w:r>
      <w:r>
        <w:rPr>
          <w:spacing w:val="-4"/>
        </w:rPr>
        <w:t>wife</w:t>
      </w:r>
      <w:r>
        <w:rPr>
          <w:spacing w:val="-7"/>
        </w:rPr>
        <w:t xml:space="preserve"> </w:t>
      </w:r>
      <w:r>
        <w:rPr>
          <w:spacing w:val="-4"/>
        </w:rPr>
        <w:t>worries</w:t>
      </w:r>
      <w:r>
        <w:rPr>
          <w:spacing w:val="-6"/>
        </w:rPr>
        <w:t xml:space="preserve"> </w:t>
      </w:r>
      <w:r>
        <w:rPr>
          <w:spacing w:val="-4"/>
        </w:rPr>
        <w:t>a</w:t>
      </w:r>
      <w:r>
        <w:rPr>
          <w:spacing w:val="-7"/>
        </w:rPr>
        <w:t xml:space="preserve"> </w:t>
      </w:r>
      <w:r>
        <w:rPr>
          <w:spacing w:val="-4"/>
        </w:rPr>
        <w:t>lot</w:t>
      </w:r>
      <w:r>
        <w:rPr>
          <w:spacing w:val="-6"/>
        </w:rPr>
        <w:t xml:space="preserve"> </w:t>
      </w:r>
      <w:r>
        <w:rPr>
          <w:spacing w:val="-4"/>
        </w:rPr>
        <w:t>about</w:t>
      </w:r>
      <w:r>
        <w:rPr>
          <w:spacing w:val="-7"/>
        </w:rPr>
        <w:t xml:space="preserve"> </w:t>
      </w:r>
      <w:r>
        <w:rPr>
          <w:spacing w:val="-4"/>
        </w:rPr>
        <w:t>the</w:t>
      </w:r>
      <w:r>
        <w:rPr>
          <w:spacing w:val="-3"/>
        </w:rPr>
        <w:t xml:space="preserve"> </w:t>
      </w:r>
      <w:r>
        <w:rPr>
          <w:spacing w:val="-4"/>
        </w:rPr>
        <w:t>drinking.</w:t>
      </w:r>
      <w:r>
        <w:rPr>
          <w:spacing w:val="-7"/>
        </w:rPr>
        <w:t xml:space="preserve"> </w:t>
      </w:r>
      <w:r>
        <w:rPr>
          <w:i/>
          <w:spacing w:val="-4"/>
        </w:rPr>
        <w:t>(Reflection)</w:t>
      </w:r>
      <w:r>
        <w:rPr>
          <w:i/>
          <w:spacing w:val="-5"/>
        </w:rPr>
        <w:t xml:space="preserve"> </w:t>
      </w:r>
      <w:r>
        <w:rPr>
          <w:spacing w:val="-4"/>
        </w:rPr>
        <w:t>What</w:t>
      </w:r>
      <w:r>
        <w:rPr>
          <w:spacing w:val="-6"/>
        </w:rPr>
        <w:t xml:space="preserve"> </w:t>
      </w:r>
      <w:r>
        <w:rPr>
          <w:spacing w:val="-4"/>
        </w:rPr>
        <w:t>concerns</w:t>
      </w:r>
      <w:r>
        <w:rPr>
          <w:spacing w:val="-7"/>
        </w:rPr>
        <w:t xml:space="preserve"> </w:t>
      </w:r>
      <w:r>
        <w:rPr>
          <w:b/>
          <w:spacing w:val="-4"/>
        </w:rPr>
        <w:t>you</w:t>
      </w:r>
      <w:r>
        <w:rPr>
          <w:b/>
          <w:spacing w:val="-7"/>
        </w:rPr>
        <w:t xml:space="preserve"> </w:t>
      </w:r>
      <w:r>
        <w:rPr>
          <w:spacing w:val="-4"/>
        </w:rPr>
        <w:t>about</w:t>
      </w:r>
      <w:r>
        <w:rPr>
          <w:spacing w:val="-6"/>
        </w:rPr>
        <w:t xml:space="preserve"> </w:t>
      </w:r>
      <w:r>
        <w:rPr>
          <w:spacing w:val="-4"/>
        </w:rPr>
        <w:t>it?</w:t>
      </w:r>
      <w:r>
        <w:rPr>
          <w:spacing w:val="-6"/>
        </w:rPr>
        <w:t xml:space="preserve"> </w:t>
      </w:r>
      <w:r>
        <w:rPr>
          <w:i/>
          <w:spacing w:val="-4"/>
        </w:rPr>
        <w:t>(Open</w:t>
      </w:r>
      <w:r>
        <w:rPr>
          <w:i/>
          <w:spacing w:val="-5"/>
        </w:rPr>
        <w:t xml:space="preserve"> </w:t>
      </w:r>
      <w:r>
        <w:rPr>
          <w:i/>
          <w:spacing w:val="-4"/>
        </w:rPr>
        <w:t>question)</w:t>
      </w:r>
    </w:p>
    <w:p w14:paraId="1C8439C5" w14:textId="77777777" w:rsidR="00DB6E1F" w:rsidRDefault="00F666A6">
      <w:pPr>
        <w:pStyle w:val="ListParagraph"/>
        <w:numPr>
          <w:ilvl w:val="0"/>
          <w:numId w:val="92"/>
        </w:numPr>
        <w:tabs>
          <w:tab w:val="left" w:pos="1801"/>
          <w:tab w:val="left" w:pos="1802"/>
        </w:tabs>
        <w:ind w:left="1801"/>
        <w:rPr>
          <w:rFonts w:ascii="Symbol" w:hAnsi="Symbol"/>
        </w:rPr>
      </w:pPr>
      <w:r>
        <w:rPr>
          <w:b/>
        </w:rPr>
        <w:t>Client:</w:t>
      </w:r>
      <w:r>
        <w:rPr>
          <w:b/>
          <w:spacing w:val="-7"/>
        </w:rPr>
        <w:t xml:space="preserve"> </w:t>
      </w:r>
      <w:r>
        <w:t>I’m</w:t>
      </w:r>
      <w:r>
        <w:rPr>
          <w:spacing w:val="-2"/>
        </w:rPr>
        <w:t xml:space="preserve"> </w:t>
      </w:r>
      <w:r>
        <w:t>not</w:t>
      </w:r>
      <w:r>
        <w:rPr>
          <w:spacing w:val="-6"/>
        </w:rPr>
        <w:t xml:space="preserve"> </w:t>
      </w:r>
      <w:r>
        <w:t>sure</w:t>
      </w:r>
      <w:r>
        <w:rPr>
          <w:spacing w:val="-2"/>
        </w:rPr>
        <w:t xml:space="preserve"> </w:t>
      </w:r>
      <w:r>
        <w:t>I’m</w:t>
      </w:r>
      <w:r>
        <w:rPr>
          <w:spacing w:val="-2"/>
        </w:rPr>
        <w:t xml:space="preserve"> </w:t>
      </w:r>
      <w:r>
        <w:rPr>
          <w:i/>
        </w:rPr>
        <w:t>concerned</w:t>
      </w:r>
      <w:r>
        <w:rPr>
          <w:i/>
          <w:spacing w:val="-3"/>
        </w:rPr>
        <w:t xml:space="preserve"> </w:t>
      </w:r>
      <w:r>
        <w:t>about</w:t>
      </w:r>
      <w:r>
        <w:rPr>
          <w:spacing w:val="-3"/>
        </w:rPr>
        <w:t xml:space="preserve"> </w:t>
      </w:r>
      <w:r>
        <w:t>it,</w:t>
      </w:r>
      <w:r>
        <w:rPr>
          <w:spacing w:val="-5"/>
        </w:rPr>
        <w:t xml:space="preserve"> </w:t>
      </w:r>
      <w:r>
        <w:t>but</w:t>
      </w:r>
      <w:r>
        <w:rPr>
          <w:spacing w:val="-3"/>
        </w:rPr>
        <w:t xml:space="preserve"> </w:t>
      </w:r>
      <w:r>
        <w:t>I</w:t>
      </w:r>
      <w:r>
        <w:rPr>
          <w:spacing w:val="-3"/>
        </w:rPr>
        <w:t xml:space="preserve"> </w:t>
      </w:r>
      <w:r>
        <w:t>do</w:t>
      </w:r>
      <w:r>
        <w:rPr>
          <w:spacing w:val="-5"/>
        </w:rPr>
        <w:t xml:space="preserve"> </w:t>
      </w:r>
      <w:r>
        <w:t>wonder</w:t>
      </w:r>
      <w:r>
        <w:rPr>
          <w:spacing w:val="-3"/>
        </w:rPr>
        <w:t xml:space="preserve"> </w:t>
      </w:r>
      <w:r>
        <w:t>sometimes</w:t>
      </w:r>
      <w:r>
        <w:rPr>
          <w:spacing w:val="-4"/>
        </w:rPr>
        <w:t xml:space="preserve"> </w:t>
      </w:r>
      <w:r>
        <w:t>if</w:t>
      </w:r>
      <w:r>
        <w:rPr>
          <w:spacing w:val="-3"/>
        </w:rPr>
        <w:t xml:space="preserve"> </w:t>
      </w:r>
      <w:r>
        <w:t>I’m</w:t>
      </w:r>
      <w:r>
        <w:rPr>
          <w:spacing w:val="-3"/>
        </w:rPr>
        <w:t xml:space="preserve"> </w:t>
      </w:r>
      <w:r>
        <w:t>drinking</w:t>
      </w:r>
      <w:r>
        <w:rPr>
          <w:spacing w:val="-4"/>
        </w:rPr>
        <w:t xml:space="preserve"> </w:t>
      </w:r>
      <w:r>
        <w:t>too</w:t>
      </w:r>
      <w:r>
        <w:rPr>
          <w:spacing w:val="-4"/>
        </w:rPr>
        <w:t xml:space="preserve"> </w:t>
      </w:r>
      <w:r>
        <w:rPr>
          <w:spacing w:val="-2"/>
        </w:rPr>
        <w:t>much.</w:t>
      </w:r>
    </w:p>
    <w:p w14:paraId="17A8EC8C" w14:textId="77777777" w:rsidR="00DB6E1F" w:rsidRDefault="00F666A6">
      <w:pPr>
        <w:pStyle w:val="ListParagraph"/>
        <w:numPr>
          <w:ilvl w:val="0"/>
          <w:numId w:val="92"/>
        </w:numPr>
        <w:tabs>
          <w:tab w:val="left" w:pos="1801"/>
          <w:tab w:val="left" w:pos="1802"/>
        </w:tabs>
        <w:spacing w:before="58"/>
        <w:ind w:left="1801" w:right="1548"/>
        <w:rPr>
          <w:rFonts w:ascii="Symbol" w:hAnsi="Symbol"/>
        </w:rPr>
      </w:pPr>
      <w:r>
        <w:rPr>
          <w:b/>
        </w:rPr>
        <w:t>Counselor:</w:t>
      </w:r>
      <w:r>
        <w:rPr>
          <w:b/>
          <w:spacing w:val="-3"/>
        </w:rPr>
        <w:t xml:space="preserve"> </w:t>
      </w:r>
      <w:r>
        <w:t>You</w:t>
      </w:r>
      <w:r>
        <w:rPr>
          <w:spacing w:val="-3"/>
        </w:rPr>
        <w:t xml:space="preserve"> </w:t>
      </w:r>
      <w:r>
        <w:t>are</w:t>
      </w:r>
      <w:r>
        <w:rPr>
          <w:spacing w:val="-4"/>
        </w:rPr>
        <w:t xml:space="preserve"> </w:t>
      </w:r>
      <w:r>
        <w:t>wondering</w:t>
      </w:r>
      <w:r>
        <w:rPr>
          <w:spacing w:val="-3"/>
        </w:rPr>
        <w:t xml:space="preserve"> </w:t>
      </w:r>
      <w:r>
        <w:t>about</w:t>
      </w:r>
      <w:r>
        <w:rPr>
          <w:spacing w:val="-2"/>
        </w:rPr>
        <w:t xml:space="preserve"> </w:t>
      </w:r>
      <w:r>
        <w:t>the</w:t>
      </w:r>
      <w:r>
        <w:rPr>
          <w:spacing w:val="-4"/>
        </w:rPr>
        <w:t xml:space="preserve"> </w:t>
      </w:r>
      <w:r>
        <w:t>drinking.</w:t>
      </w:r>
      <w:r>
        <w:rPr>
          <w:spacing w:val="-3"/>
        </w:rPr>
        <w:t xml:space="preserve"> </w:t>
      </w:r>
      <w:r>
        <w:rPr>
          <w:i/>
        </w:rPr>
        <w:t>(Reflection)</w:t>
      </w:r>
      <w:r>
        <w:rPr>
          <w:i/>
          <w:spacing w:val="-1"/>
        </w:rPr>
        <w:t xml:space="preserve"> </w:t>
      </w:r>
      <w:r>
        <w:t>Too</w:t>
      </w:r>
      <w:r>
        <w:rPr>
          <w:spacing w:val="-3"/>
        </w:rPr>
        <w:t xml:space="preserve"> </w:t>
      </w:r>
      <w:r>
        <w:t>much</w:t>
      </w:r>
      <w:r>
        <w:rPr>
          <w:spacing w:val="-3"/>
        </w:rPr>
        <w:t xml:space="preserve"> </w:t>
      </w:r>
      <w:r>
        <w:t>for</w:t>
      </w:r>
      <w:r>
        <w:rPr>
          <w:i/>
        </w:rPr>
        <w:t>…?</w:t>
      </w:r>
      <w:r>
        <w:rPr>
          <w:i/>
          <w:spacing w:val="-3"/>
        </w:rPr>
        <w:t xml:space="preserve"> </w:t>
      </w:r>
      <w:r>
        <w:rPr>
          <w:i/>
        </w:rPr>
        <w:t>(Open</w:t>
      </w:r>
      <w:r>
        <w:rPr>
          <w:i/>
          <w:spacing w:val="-3"/>
        </w:rPr>
        <w:t xml:space="preserve"> </w:t>
      </w:r>
      <w:r>
        <w:rPr>
          <w:i/>
        </w:rPr>
        <w:t>question</w:t>
      </w:r>
      <w:r>
        <w:rPr>
          <w:i/>
          <w:spacing w:val="-3"/>
        </w:rPr>
        <w:t xml:space="preserve"> </w:t>
      </w:r>
      <w:r>
        <w:rPr>
          <w:i/>
        </w:rPr>
        <w:t>that invites the client to complete the sentence)</w:t>
      </w:r>
    </w:p>
    <w:p w14:paraId="46877041" w14:textId="77777777" w:rsidR="00DB6E1F" w:rsidRDefault="00F666A6">
      <w:pPr>
        <w:pStyle w:val="ListParagraph"/>
        <w:numPr>
          <w:ilvl w:val="0"/>
          <w:numId w:val="92"/>
        </w:numPr>
        <w:tabs>
          <w:tab w:val="left" w:pos="1802"/>
          <w:tab w:val="left" w:pos="1803"/>
        </w:tabs>
        <w:spacing w:before="61"/>
        <w:ind w:left="1802" w:right="1617"/>
        <w:rPr>
          <w:rFonts w:ascii="Symbol" w:hAnsi="Symbol"/>
        </w:rPr>
      </w:pPr>
      <w:r>
        <w:rPr>
          <w:b/>
        </w:rPr>
        <w:t>Client:</w:t>
      </w:r>
      <w:r>
        <w:rPr>
          <w:b/>
          <w:spacing w:val="-2"/>
        </w:rPr>
        <w:t xml:space="preserve"> </w:t>
      </w:r>
      <w:r>
        <w:t>For</w:t>
      </w:r>
      <w:r>
        <w:rPr>
          <w:spacing w:val="-4"/>
        </w:rPr>
        <w:t xml:space="preserve"> </w:t>
      </w:r>
      <w:r>
        <w:t>my</w:t>
      </w:r>
      <w:r>
        <w:rPr>
          <w:spacing w:val="-3"/>
        </w:rPr>
        <w:t xml:space="preserve"> </w:t>
      </w:r>
      <w:r>
        <w:t>own</w:t>
      </w:r>
      <w:r>
        <w:rPr>
          <w:spacing w:val="-3"/>
        </w:rPr>
        <w:t xml:space="preserve"> </w:t>
      </w:r>
      <w:r>
        <w:t>good,</w:t>
      </w:r>
      <w:r>
        <w:rPr>
          <w:spacing w:val="-2"/>
        </w:rPr>
        <w:t xml:space="preserve"> </w:t>
      </w:r>
      <w:r>
        <w:t>I</w:t>
      </w:r>
      <w:r>
        <w:rPr>
          <w:spacing w:val="-7"/>
        </w:rPr>
        <w:t xml:space="preserve"> </w:t>
      </w:r>
      <w:r>
        <w:t>guess.</w:t>
      </w:r>
      <w:r>
        <w:rPr>
          <w:spacing w:val="-2"/>
        </w:rPr>
        <w:t xml:space="preserve"> </w:t>
      </w:r>
      <w:r>
        <w:t>I</w:t>
      </w:r>
      <w:r>
        <w:rPr>
          <w:spacing w:val="-2"/>
        </w:rPr>
        <w:t xml:space="preserve"> </w:t>
      </w:r>
      <w:r>
        <w:t>mean</w:t>
      </w:r>
      <w:r>
        <w:rPr>
          <w:spacing w:val="-3"/>
        </w:rPr>
        <w:t xml:space="preserve"> </w:t>
      </w:r>
      <w:r>
        <w:t>it’s</w:t>
      </w:r>
      <w:r>
        <w:rPr>
          <w:spacing w:val="-2"/>
        </w:rPr>
        <w:t xml:space="preserve"> </w:t>
      </w:r>
      <w:r>
        <w:t>not</w:t>
      </w:r>
      <w:r>
        <w:rPr>
          <w:spacing w:val="-1"/>
        </w:rPr>
        <w:t xml:space="preserve"> </w:t>
      </w:r>
      <w:r>
        <w:t>like</w:t>
      </w:r>
      <w:r>
        <w:rPr>
          <w:spacing w:val="-1"/>
        </w:rPr>
        <w:t xml:space="preserve"> </w:t>
      </w:r>
      <w:r>
        <w:t>it’s</w:t>
      </w:r>
      <w:r>
        <w:rPr>
          <w:spacing w:val="-2"/>
        </w:rPr>
        <w:t xml:space="preserve"> </w:t>
      </w:r>
      <w:r>
        <w:t>really</w:t>
      </w:r>
      <w:r>
        <w:rPr>
          <w:spacing w:val="-3"/>
        </w:rPr>
        <w:t xml:space="preserve"> </w:t>
      </w:r>
      <w:r>
        <w:t>serious,</w:t>
      </w:r>
      <w:r>
        <w:rPr>
          <w:spacing w:val="-2"/>
        </w:rPr>
        <w:t xml:space="preserve"> </w:t>
      </w:r>
      <w:r>
        <w:t>but</w:t>
      </w:r>
      <w:r>
        <w:rPr>
          <w:spacing w:val="-4"/>
        </w:rPr>
        <w:t xml:space="preserve"> </w:t>
      </w:r>
      <w:r>
        <w:t>sometimes</w:t>
      </w:r>
      <w:r>
        <w:rPr>
          <w:spacing w:val="-4"/>
        </w:rPr>
        <w:t xml:space="preserve"> </w:t>
      </w:r>
      <w:r>
        <w:t>when</w:t>
      </w:r>
      <w:r>
        <w:rPr>
          <w:spacing w:val="-3"/>
        </w:rPr>
        <w:t xml:space="preserve"> </w:t>
      </w:r>
      <w:r>
        <w:t>I</w:t>
      </w:r>
      <w:r>
        <w:rPr>
          <w:spacing w:val="-5"/>
        </w:rPr>
        <w:t xml:space="preserve"> </w:t>
      </w:r>
      <w:r>
        <w:t>wake up in the morning, I feel really awful, and I can’t think straight most of the morning.</w:t>
      </w:r>
    </w:p>
    <w:p w14:paraId="54EA4CB2" w14:textId="77777777" w:rsidR="00DB6E1F" w:rsidRDefault="00F666A6">
      <w:pPr>
        <w:pStyle w:val="ListParagraph"/>
        <w:numPr>
          <w:ilvl w:val="0"/>
          <w:numId w:val="92"/>
        </w:numPr>
        <w:tabs>
          <w:tab w:val="left" w:pos="1802"/>
          <w:tab w:val="left" w:pos="1803"/>
        </w:tabs>
        <w:spacing w:before="61"/>
        <w:ind w:left="1802"/>
        <w:rPr>
          <w:rFonts w:ascii="Symbol" w:hAnsi="Symbol"/>
        </w:rPr>
      </w:pPr>
      <w:r>
        <w:rPr>
          <w:b/>
        </w:rPr>
        <w:t>C</w:t>
      </w:r>
      <w:r>
        <w:rPr>
          <w:b/>
        </w:rPr>
        <w:t>ounselor:</w:t>
      </w:r>
      <w:r>
        <w:rPr>
          <w:b/>
          <w:spacing w:val="-8"/>
        </w:rPr>
        <w:t xml:space="preserve"> </w:t>
      </w:r>
      <w:r>
        <w:t>It</w:t>
      </w:r>
      <w:r>
        <w:rPr>
          <w:spacing w:val="-6"/>
        </w:rPr>
        <w:t xml:space="preserve"> </w:t>
      </w:r>
      <w:r>
        <w:t>messes</w:t>
      </w:r>
      <w:r>
        <w:rPr>
          <w:spacing w:val="-4"/>
        </w:rPr>
        <w:t xml:space="preserve"> </w:t>
      </w:r>
      <w:r>
        <w:t>up</w:t>
      </w:r>
      <w:r>
        <w:rPr>
          <w:spacing w:val="-7"/>
        </w:rPr>
        <w:t xml:space="preserve"> </w:t>
      </w:r>
      <w:r>
        <w:t>your</w:t>
      </w:r>
      <w:r>
        <w:rPr>
          <w:spacing w:val="-4"/>
        </w:rPr>
        <w:t xml:space="preserve"> </w:t>
      </w:r>
      <w:r>
        <w:t>thinking,</w:t>
      </w:r>
      <w:r>
        <w:rPr>
          <w:spacing w:val="-4"/>
        </w:rPr>
        <w:t xml:space="preserve"> </w:t>
      </w:r>
      <w:r>
        <w:t>your</w:t>
      </w:r>
      <w:r>
        <w:rPr>
          <w:spacing w:val="-4"/>
        </w:rPr>
        <w:t xml:space="preserve"> </w:t>
      </w:r>
      <w:r>
        <w:t>concentration.</w:t>
      </w:r>
      <w:r>
        <w:rPr>
          <w:spacing w:val="-5"/>
        </w:rPr>
        <w:t xml:space="preserve"> </w:t>
      </w:r>
      <w:r>
        <w:rPr>
          <w:i/>
          <w:spacing w:val="-2"/>
        </w:rPr>
        <w:t>(Reflection)</w:t>
      </w:r>
    </w:p>
    <w:p w14:paraId="3B8D35C3" w14:textId="77777777" w:rsidR="00DB6E1F" w:rsidRDefault="00F666A6">
      <w:pPr>
        <w:pStyle w:val="ListParagraph"/>
        <w:numPr>
          <w:ilvl w:val="0"/>
          <w:numId w:val="92"/>
        </w:numPr>
        <w:tabs>
          <w:tab w:val="left" w:pos="1802"/>
          <w:tab w:val="left" w:pos="1803"/>
        </w:tabs>
        <w:ind w:left="1802"/>
        <w:rPr>
          <w:rFonts w:ascii="Symbol" w:hAnsi="Symbol"/>
        </w:rPr>
      </w:pPr>
      <w:r>
        <w:rPr>
          <w:b/>
        </w:rPr>
        <w:t>Client:</w:t>
      </w:r>
      <w:r>
        <w:rPr>
          <w:b/>
          <w:spacing w:val="-9"/>
        </w:rPr>
        <w:t xml:space="preserve"> </w:t>
      </w:r>
      <w:r>
        <w:t>Yeah,</w:t>
      </w:r>
      <w:r>
        <w:rPr>
          <w:spacing w:val="-4"/>
        </w:rPr>
        <w:t xml:space="preserve"> </w:t>
      </w:r>
      <w:r>
        <w:t>and</w:t>
      </w:r>
      <w:r>
        <w:rPr>
          <w:spacing w:val="-7"/>
        </w:rPr>
        <w:t xml:space="preserve"> </w:t>
      </w:r>
      <w:r>
        <w:t>sometimes</w:t>
      </w:r>
      <w:r>
        <w:rPr>
          <w:spacing w:val="-4"/>
        </w:rPr>
        <w:t xml:space="preserve"> </w:t>
      </w:r>
      <w:r>
        <w:t>I</w:t>
      </w:r>
      <w:r>
        <w:rPr>
          <w:spacing w:val="-4"/>
        </w:rPr>
        <w:t xml:space="preserve"> </w:t>
      </w:r>
      <w:r>
        <w:t>have</w:t>
      </w:r>
      <w:r>
        <w:rPr>
          <w:spacing w:val="-3"/>
        </w:rPr>
        <w:t xml:space="preserve"> </w:t>
      </w:r>
      <w:r>
        <w:t>trouble</w:t>
      </w:r>
      <w:r>
        <w:rPr>
          <w:spacing w:val="-3"/>
        </w:rPr>
        <w:t xml:space="preserve"> </w:t>
      </w:r>
      <w:r>
        <w:t>remembering</w:t>
      </w:r>
      <w:r>
        <w:rPr>
          <w:spacing w:val="-4"/>
        </w:rPr>
        <w:t xml:space="preserve"> </w:t>
      </w:r>
      <w:r>
        <w:rPr>
          <w:spacing w:val="-2"/>
        </w:rPr>
        <w:t>things.</w:t>
      </w:r>
    </w:p>
    <w:p w14:paraId="33543F4D" w14:textId="77777777" w:rsidR="00DB6E1F" w:rsidRDefault="00F666A6">
      <w:pPr>
        <w:pStyle w:val="ListParagraph"/>
        <w:numPr>
          <w:ilvl w:val="0"/>
          <w:numId w:val="92"/>
        </w:numPr>
        <w:tabs>
          <w:tab w:val="left" w:pos="1802"/>
          <w:tab w:val="left" w:pos="1803"/>
        </w:tabs>
        <w:spacing w:before="58"/>
        <w:ind w:left="1802"/>
        <w:rPr>
          <w:rFonts w:ascii="Symbol" w:hAnsi="Symbol"/>
        </w:rPr>
      </w:pPr>
      <w:r>
        <w:rPr>
          <w:b/>
        </w:rPr>
        <w:t>Counselor:</w:t>
      </w:r>
      <w:r>
        <w:rPr>
          <w:b/>
          <w:spacing w:val="-7"/>
        </w:rPr>
        <w:t xml:space="preserve"> </w:t>
      </w:r>
      <w:r>
        <w:t>And</w:t>
      </w:r>
      <w:r>
        <w:rPr>
          <w:spacing w:val="-4"/>
        </w:rPr>
        <w:t xml:space="preserve"> </w:t>
      </w:r>
      <w:r>
        <w:t>you</w:t>
      </w:r>
      <w:r>
        <w:rPr>
          <w:spacing w:val="-5"/>
        </w:rPr>
        <w:t xml:space="preserve"> </w:t>
      </w:r>
      <w:r>
        <w:t>wonder</w:t>
      </w:r>
      <w:r>
        <w:rPr>
          <w:spacing w:val="-3"/>
        </w:rPr>
        <w:t xml:space="preserve"> </w:t>
      </w:r>
      <w:r>
        <w:t>if</w:t>
      </w:r>
      <w:r>
        <w:rPr>
          <w:spacing w:val="-5"/>
        </w:rPr>
        <w:t xml:space="preserve"> </w:t>
      </w:r>
      <w:r>
        <w:t>these</w:t>
      </w:r>
      <w:r>
        <w:rPr>
          <w:spacing w:val="-3"/>
        </w:rPr>
        <w:t xml:space="preserve"> </w:t>
      </w:r>
      <w:r>
        <w:t>problems</w:t>
      </w:r>
      <w:r>
        <w:rPr>
          <w:spacing w:val="-3"/>
        </w:rPr>
        <w:t xml:space="preserve"> </w:t>
      </w:r>
      <w:r>
        <w:t>are</w:t>
      </w:r>
      <w:r>
        <w:rPr>
          <w:spacing w:val="-6"/>
        </w:rPr>
        <w:t xml:space="preserve"> </w:t>
      </w:r>
      <w:r>
        <w:t>related</w:t>
      </w:r>
      <w:r>
        <w:rPr>
          <w:spacing w:val="-5"/>
        </w:rPr>
        <w:t xml:space="preserve"> </w:t>
      </w:r>
      <w:r>
        <w:t>to</w:t>
      </w:r>
      <w:r>
        <w:rPr>
          <w:spacing w:val="-1"/>
        </w:rPr>
        <w:t xml:space="preserve"> </w:t>
      </w:r>
      <w:r>
        <w:t>drinking</w:t>
      </w:r>
      <w:r>
        <w:rPr>
          <w:spacing w:val="-5"/>
        </w:rPr>
        <w:t xml:space="preserve"> </w:t>
      </w:r>
      <w:r>
        <w:t>too</w:t>
      </w:r>
      <w:r>
        <w:rPr>
          <w:spacing w:val="-5"/>
        </w:rPr>
        <w:t xml:space="preserve"> </w:t>
      </w:r>
      <w:r>
        <w:t>much.</w:t>
      </w:r>
      <w:r>
        <w:rPr>
          <w:spacing w:val="-3"/>
        </w:rPr>
        <w:t xml:space="preserve"> </w:t>
      </w:r>
      <w:r>
        <w:rPr>
          <w:i/>
          <w:spacing w:val="-2"/>
        </w:rPr>
        <w:t>(Reflection)</w:t>
      </w:r>
    </w:p>
    <w:p w14:paraId="420D2F0F" w14:textId="77777777" w:rsidR="00DB6E1F" w:rsidRDefault="00F666A6">
      <w:pPr>
        <w:pStyle w:val="ListParagraph"/>
        <w:numPr>
          <w:ilvl w:val="0"/>
          <w:numId w:val="92"/>
        </w:numPr>
        <w:tabs>
          <w:tab w:val="left" w:pos="1802"/>
          <w:tab w:val="left" w:pos="1803"/>
        </w:tabs>
        <w:spacing w:before="61"/>
        <w:ind w:left="1803"/>
        <w:rPr>
          <w:rFonts w:ascii="Symbol" w:hAnsi="Symbol"/>
        </w:rPr>
      </w:pPr>
      <w:r>
        <w:rPr>
          <w:b/>
        </w:rPr>
        <w:t>Client:</w:t>
      </w:r>
      <w:r>
        <w:rPr>
          <w:b/>
          <w:spacing w:val="-5"/>
        </w:rPr>
        <w:t xml:space="preserve"> </w:t>
      </w:r>
      <w:r>
        <w:t>Well,</w:t>
      </w:r>
      <w:r>
        <w:rPr>
          <w:spacing w:val="-1"/>
        </w:rPr>
        <w:t xml:space="preserve"> </w:t>
      </w:r>
      <w:r>
        <w:t>I</w:t>
      </w:r>
      <w:r>
        <w:rPr>
          <w:spacing w:val="-5"/>
        </w:rPr>
        <w:t xml:space="preserve"> </w:t>
      </w:r>
      <w:r>
        <w:t>know it</w:t>
      </w:r>
      <w:r>
        <w:rPr>
          <w:spacing w:val="-4"/>
        </w:rPr>
        <w:t xml:space="preserve"> </w:t>
      </w:r>
      <w:r>
        <w:t>is</w:t>
      </w:r>
      <w:r>
        <w:rPr>
          <w:spacing w:val="-1"/>
        </w:rPr>
        <w:t xml:space="preserve"> </w:t>
      </w:r>
      <w:r>
        <w:rPr>
          <w:spacing w:val="-2"/>
        </w:rPr>
        <w:t>sometimes.</w:t>
      </w:r>
    </w:p>
    <w:p w14:paraId="0ED3343C" w14:textId="77777777" w:rsidR="00DB6E1F" w:rsidRDefault="00F666A6">
      <w:pPr>
        <w:pStyle w:val="ListParagraph"/>
        <w:numPr>
          <w:ilvl w:val="0"/>
          <w:numId w:val="92"/>
        </w:numPr>
        <w:tabs>
          <w:tab w:val="left" w:pos="1802"/>
          <w:tab w:val="left" w:pos="1803"/>
        </w:tabs>
        <w:ind w:left="1802" w:right="1468" w:hanging="360"/>
        <w:rPr>
          <w:rFonts w:ascii="Symbol" w:hAnsi="Symbol"/>
        </w:rPr>
      </w:pPr>
      <w:r>
        <w:rPr>
          <w:b/>
        </w:rPr>
        <w:t>Counselor:</w:t>
      </w:r>
      <w:r>
        <w:rPr>
          <w:b/>
          <w:spacing w:val="-2"/>
        </w:rPr>
        <w:t xml:space="preserve"> </w:t>
      </w:r>
      <w:r>
        <w:t>You’re</w:t>
      </w:r>
      <w:r>
        <w:rPr>
          <w:spacing w:val="-4"/>
        </w:rPr>
        <w:t xml:space="preserve"> </w:t>
      </w:r>
      <w:r>
        <w:t>certain</w:t>
      </w:r>
      <w:r>
        <w:rPr>
          <w:spacing w:val="-5"/>
        </w:rPr>
        <w:t xml:space="preserve"> </w:t>
      </w:r>
      <w:r>
        <w:t>that</w:t>
      </w:r>
      <w:r>
        <w:rPr>
          <w:spacing w:val="-1"/>
        </w:rPr>
        <w:t xml:space="preserve"> </w:t>
      </w:r>
      <w:r>
        <w:t>sometimes</w:t>
      </w:r>
      <w:r>
        <w:rPr>
          <w:spacing w:val="-2"/>
        </w:rPr>
        <w:t xml:space="preserve"> </w:t>
      </w:r>
      <w:r>
        <w:t>drinking</w:t>
      </w:r>
      <w:r>
        <w:rPr>
          <w:spacing w:val="-3"/>
        </w:rPr>
        <w:t xml:space="preserve"> </w:t>
      </w:r>
      <w:r>
        <w:t>too</w:t>
      </w:r>
      <w:r>
        <w:rPr>
          <w:spacing w:val="-3"/>
        </w:rPr>
        <w:t xml:space="preserve"> </w:t>
      </w:r>
      <w:r>
        <w:t>much</w:t>
      </w:r>
      <w:r>
        <w:rPr>
          <w:spacing w:val="-3"/>
        </w:rPr>
        <w:t xml:space="preserve"> </w:t>
      </w:r>
      <w:r>
        <w:t>hurts</w:t>
      </w:r>
      <w:r>
        <w:rPr>
          <w:spacing w:val="-4"/>
        </w:rPr>
        <w:t xml:space="preserve"> </w:t>
      </w:r>
      <w:r>
        <w:t>you.</w:t>
      </w:r>
      <w:r>
        <w:rPr>
          <w:spacing w:val="-5"/>
        </w:rPr>
        <w:t xml:space="preserve"> </w:t>
      </w:r>
      <w:r>
        <w:rPr>
          <w:i/>
        </w:rPr>
        <w:t>(Reflection)</w:t>
      </w:r>
      <w:r>
        <w:rPr>
          <w:i/>
          <w:spacing w:val="-1"/>
        </w:rPr>
        <w:t xml:space="preserve"> </w:t>
      </w:r>
      <w:r>
        <w:t>Tell</w:t>
      </w:r>
      <w:r>
        <w:rPr>
          <w:spacing w:val="-4"/>
        </w:rPr>
        <w:t xml:space="preserve"> </w:t>
      </w:r>
      <w:r>
        <w:t>me</w:t>
      </w:r>
      <w:r>
        <w:rPr>
          <w:spacing w:val="-4"/>
        </w:rPr>
        <w:t xml:space="preserve"> </w:t>
      </w:r>
      <w:r>
        <w:t>what</w:t>
      </w:r>
      <w:r>
        <w:rPr>
          <w:spacing w:val="-4"/>
        </w:rPr>
        <w:t xml:space="preserve"> </w:t>
      </w:r>
      <w:r>
        <w:t>it’s like to lose concentration and have trouble remembering</w:t>
      </w:r>
      <w:r>
        <w:rPr>
          <w:i/>
        </w:rPr>
        <w:t xml:space="preserve">. (Open question in the form of a </w:t>
      </w:r>
      <w:r>
        <w:rPr>
          <w:i/>
          <w:spacing w:val="-2"/>
        </w:rPr>
        <w:t>statement)</w:t>
      </w:r>
    </w:p>
    <w:p w14:paraId="578796D8" w14:textId="77777777" w:rsidR="00DB6E1F" w:rsidRDefault="00F666A6">
      <w:pPr>
        <w:pStyle w:val="ListParagraph"/>
        <w:numPr>
          <w:ilvl w:val="0"/>
          <w:numId w:val="92"/>
        </w:numPr>
        <w:tabs>
          <w:tab w:val="left" w:pos="1803"/>
        </w:tabs>
        <w:spacing w:before="59"/>
        <w:ind w:left="1802" w:right="1546" w:hanging="360"/>
        <w:jc w:val="both"/>
        <w:rPr>
          <w:rFonts w:ascii="Symbol" w:hAnsi="Symbol"/>
        </w:rPr>
      </w:pPr>
      <w:r>
        <w:rPr>
          <w:b/>
        </w:rPr>
        <w:t>Client:</w:t>
      </w:r>
      <w:r>
        <w:rPr>
          <w:b/>
          <w:spacing w:val="-2"/>
        </w:rPr>
        <w:t xml:space="preserve"> </w:t>
      </w:r>
      <w:r>
        <w:t>It’s</w:t>
      </w:r>
      <w:r>
        <w:rPr>
          <w:spacing w:val="-1"/>
        </w:rPr>
        <w:t xml:space="preserve"> </w:t>
      </w:r>
      <w:r>
        <w:t>kind</w:t>
      </w:r>
      <w:r>
        <w:rPr>
          <w:spacing w:val="-4"/>
        </w:rPr>
        <w:t xml:space="preserve"> </w:t>
      </w:r>
      <w:r>
        <w:t>of</w:t>
      </w:r>
      <w:r>
        <w:rPr>
          <w:spacing w:val="-1"/>
        </w:rPr>
        <w:t xml:space="preserve"> </w:t>
      </w:r>
      <w:r>
        <w:t>scary.</w:t>
      </w:r>
      <w:r>
        <w:rPr>
          <w:spacing w:val="-2"/>
        </w:rPr>
        <w:t xml:space="preserve"> </w:t>
      </w:r>
      <w:r>
        <w:t>I</w:t>
      </w:r>
      <w:r>
        <w:rPr>
          <w:spacing w:val="-4"/>
        </w:rPr>
        <w:t xml:space="preserve"> </w:t>
      </w:r>
      <w:r>
        <w:t>am</w:t>
      </w:r>
      <w:r>
        <w:rPr>
          <w:spacing w:val="-2"/>
        </w:rPr>
        <w:t xml:space="preserve"> </w:t>
      </w:r>
      <w:r>
        <w:t>way</w:t>
      </w:r>
      <w:r>
        <w:rPr>
          <w:spacing w:val="-3"/>
        </w:rPr>
        <w:t xml:space="preserve"> </w:t>
      </w:r>
      <w:r>
        <w:t>too</w:t>
      </w:r>
      <w:r>
        <w:rPr>
          <w:spacing w:val="-2"/>
        </w:rPr>
        <w:t xml:space="preserve"> </w:t>
      </w:r>
      <w:r>
        <w:t>young</w:t>
      </w:r>
      <w:r>
        <w:rPr>
          <w:spacing w:val="-4"/>
        </w:rPr>
        <w:t xml:space="preserve"> </w:t>
      </w:r>
      <w:r>
        <w:t>to have</w:t>
      </w:r>
      <w:r>
        <w:rPr>
          <w:spacing w:val="-3"/>
        </w:rPr>
        <w:t xml:space="preserve"> </w:t>
      </w:r>
      <w:r>
        <w:t>trouble with</w:t>
      </w:r>
      <w:r>
        <w:rPr>
          <w:spacing w:val="-4"/>
        </w:rPr>
        <w:t xml:space="preserve"> </w:t>
      </w:r>
      <w:r>
        <w:t>my</w:t>
      </w:r>
      <w:r>
        <w:rPr>
          <w:spacing w:val="-2"/>
        </w:rPr>
        <w:t xml:space="preserve"> </w:t>
      </w:r>
      <w:r>
        <w:t>memory.</w:t>
      </w:r>
      <w:r>
        <w:rPr>
          <w:spacing w:val="-4"/>
        </w:rPr>
        <w:t xml:space="preserve"> </w:t>
      </w:r>
      <w:r>
        <w:t>And</w:t>
      </w:r>
      <w:r>
        <w:rPr>
          <w:spacing w:val="-2"/>
        </w:rPr>
        <w:t xml:space="preserve"> </w:t>
      </w:r>
      <w:r>
        <w:t>now that I</w:t>
      </w:r>
      <w:r>
        <w:rPr>
          <w:spacing w:val="-1"/>
        </w:rPr>
        <w:t xml:space="preserve"> </w:t>
      </w:r>
      <w:r>
        <w:t>think about</w:t>
      </w:r>
      <w:r>
        <w:rPr>
          <w:spacing w:val="-1"/>
        </w:rPr>
        <w:t xml:space="preserve"> </w:t>
      </w:r>
      <w:r>
        <w:t>it,</w:t>
      </w:r>
      <w:r>
        <w:rPr>
          <w:spacing w:val="-3"/>
        </w:rPr>
        <w:t xml:space="preserve"> </w:t>
      </w:r>
      <w:r>
        <w:t>that’s</w:t>
      </w:r>
      <w:r>
        <w:rPr>
          <w:spacing w:val="-3"/>
        </w:rPr>
        <w:t xml:space="preserve"> </w:t>
      </w:r>
      <w:r>
        <w:t>what</w:t>
      </w:r>
      <w:r>
        <w:rPr>
          <w:spacing w:val="-3"/>
        </w:rPr>
        <w:t xml:space="preserve"> </w:t>
      </w:r>
      <w:r>
        <w:t>usually</w:t>
      </w:r>
      <w:r>
        <w:rPr>
          <w:spacing w:val="-1"/>
        </w:rPr>
        <w:t xml:space="preserve"> </w:t>
      </w:r>
      <w:r>
        <w:t>causes</w:t>
      </w:r>
      <w:r>
        <w:rPr>
          <w:spacing w:val="-1"/>
        </w:rPr>
        <w:t xml:space="preserve"> </w:t>
      </w:r>
      <w:r>
        <w:t>the</w:t>
      </w:r>
      <w:r>
        <w:rPr>
          <w:spacing w:val="-3"/>
        </w:rPr>
        <w:t xml:space="preserve"> </w:t>
      </w:r>
      <w:r>
        <w:t>arguments</w:t>
      </w:r>
      <w:r>
        <w:rPr>
          <w:spacing w:val="-3"/>
        </w:rPr>
        <w:t xml:space="preserve"> </w:t>
      </w:r>
      <w:r>
        <w:t>with</w:t>
      </w:r>
      <w:r>
        <w:rPr>
          <w:spacing w:val="-2"/>
        </w:rPr>
        <w:t xml:space="preserve"> </w:t>
      </w:r>
      <w:r>
        <w:t>my</w:t>
      </w:r>
      <w:r>
        <w:rPr>
          <w:spacing w:val="-2"/>
        </w:rPr>
        <w:t xml:space="preserve"> </w:t>
      </w:r>
      <w:r>
        <w:t>wife.</w:t>
      </w:r>
      <w:r>
        <w:rPr>
          <w:spacing w:val="-4"/>
        </w:rPr>
        <w:t xml:space="preserve"> </w:t>
      </w:r>
      <w:r>
        <w:t>She’ll</w:t>
      </w:r>
      <w:r>
        <w:rPr>
          <w:spacing w:val="-1"/>
        </w:rPr>
        <w:t xml:space="preserve"> </w:t>
      </w:r>
      <w:r>
        <w:t>ask</w:t>
      </w:r>
      <w:r>
        <w:rPr>
          <w:spacing w:val="-3"/>
        </w:rPr>
        <w:t xml:space="preserve"> </w:t>
      </w:r>
      <w:r>
        <w:t>me</w:t>
      </w:r>
      <w:r>
        <w:rPr>
          <w:spacing w:val="-3"/>
        </w:rPr>
        <w:t xml:space="preserve"> </w:t>
      </w:r>
      <w:r>
        <w:t>to</w:t>
      </w:r>
      <w:r>
        <w:rPr>
          <w:spacing w:val="-4"/>
        </w:rPr>
        <w:t xml:space="preserve"> </w:t>
      </w:r>
      <w:r>
        <w:t>pick</w:t>
      </w:r>
      <w:r>
        <w:rPr>
          <w:spacing w:val="-1"/>
        </w:rPr>
        <w:t xml:space="preserve"> </w:t>
      </w:r>
      <w:r>
        <w:t>up</w:t>
      </w:r>
      <w:r>
        <w:rPr>
          <w:spacing w:val="-2"/>
        </w:rPr>
        <w:t xml:space="preserve"> </w:t>
      </w:r>
      <w:r>
        <w:t>something from the store and when I forget to stop on my way home from work, she starts yelling at me.</w:t>
      </w:r>
    </w:p>
    <w:p w14:paraId="07B2CD64" w14:textId="77777777" w:rsidR="00DB6E1F" w:rsidRDefault="00F666A6">
      <w:pPr>
        <w:pStyle w:val="ListParagraph"/>
        <w:numPr>
          <w:ilvl w:val="0"/>
          <w:numId w:val="92"/>
        </w:numPr>
        <w:tabs>
          <w:tab w:val="left" w:pos="1803"/>
        </w:tabs>
        <w:ind w:left="1802" w:right="1466"/>
        <w:jc w:val="both"/>
        <w:rPr>
          <w:rFonts w:ascii="Symbol" w:hAnsi="Symbol"/>
        </w:rPr>
      </w:pPr>
      <w:r>
        <w:rPr>
          <w:b/>
        </w:rPr>
        <w:t>Counselor:</w:t>
      </w:r>
      <w:r>
        <w:rPr>
          <w:b/>
          <w:spacing w:val="-3"/>
        </w:rPr>
        <w:t xml:space="preserve"> </w:t>
      </w:r>
      <w:r>
        <w:t>You’re</w:t>
      </w:r>
      <w:r>
        <w:rPr>
          <w:spacing w:val="-2"/>
        </w:rPr>
        <w:t xml:space="preserve"> </w:t>
      </w:r>
      <w:r>
        <w:t>scared</w:t>
      </w:r>
      <w:r>
        <w:rPr>
          <w:spacing w:val="-5"/>
        </w:rPr>
        <w:t xml:space="preserve"> </w:t>
      </w:r>
      <w:r>
        <w:t>that</w:t>
      </w:r>
      <w:r>
        <w:rPr>
          <w:spacing w:val="-2"/>
        </w:rPr>
        <w:t xml:space="preserve"> </w:t>
      </w:r>
      <w:r>
        <w:t>drinking</w:t>
      </w:r>
      <w:r>
        <w:rPr>
          <w:spacing w:val="-3"/>
        </w:rPr>
        <w:t xml:space="preserve"> </w:t>
      </w:r>
      <w:r>
        <w:t>is</w:t>
      </w:r>
      <w:r>
        <w:rPr>
          <w:spacing w:val="-3"/>
        </w:rPr>
        <w:t xml:space="preserve"> </w:t>
      </w:r>
      <w:r>
        <w:t>starting</w:t>
      </w:r>
      <w:r>
        <w:rPr>
          <w:spacing w:val="-3"/>
        </w:rPr>
        <w:t xml:space="preserve"> </w:t>
      </w:r>
      <w:r>
        <w:t>to</w:t>
      </w:r>
      <w:r>
        <w:rPr>
          <w:spacing w:val="-2"/>
        </w:rPr>
        <w:t xml:space="preserve"> </w:t>
      </w:r>
      <w:r>
        <w:t>have</w:t>
      </w:r>
      <w:r>
        <w:rPr>
          <w:spacing w:val="-2"/>
        </w:rPr>
        <w:t xml:space="preserve"> </w:t>
      </w:r>
      <w:r>
        <w:t>some</w:t>
      </w:r>
      <w:r>
        <w:rPr>
          <w:spacing w:val="-4"/>
        </w:rPr>
        <w:t xml:space="preserve"> </w:t>
      </w:r>
      <w:r>
        <w:t>negative</w:t>
      </w:r>
      <w:r>
        <w:rPr>
          <w:spacing w:val="-4"/>
        </w:rPr>
        <w:t xml:space="preserve"> </w:t>
      </w:r>
      <w:r>
        <w:t>effects</w:t>
      </w:r>
      <w:r>
        <w:rPr>
          <w:spacing w:val="-4"/>
        </w:rPr>
        <w:t xml:space="preserve"> </w:t>
      </w:r>
      <w:r>
        <w:t>on</w:t>
      </w:r>
      <w:r>
        <w:rPr>
          <w:spacing w:val="-3"/>
        </w:rPr>
        <w:t xml:space="preserve"> </w:t>
      </w:r>
      <w:r>
        <w:t>what’s</w:t>
      </w:r>
      <w:r>
        <w:rPr>
          <w:spacing w:val="-3"/>
        </w:rPr>
        <w:t xml:space="preserve"> </w:t>
      </w:r>
      <w:r>
        <w:t>important to you like your ability to think clearly and good c</w:t>
      </w:r>
      <w:r>
        <w:t xml:space="preserve">ommunication with your wife. </w:t>
      </w:r>
      <w:r>
        <w:rPr>
          <w:i/>
        </w:rPr>
        <w:t>(Reflection)</w:t>
      </w:r>
    </w:p>
    <w:p w14:paraId="717E1E89" w14:textId="77777777" w:rsidR="00DB6E1F" w:rsidRDefault="00F666A6">
      <w:pPr>
        <w:pStyle w:val="ListParagraph"/>
        <w:numPr>
          <w:ilvl w:val="0"/>
          <w:numId w:val="92"/>
        </w:numPr>
        <w:tabs>
          <w:tab w:val="left" w:pos="1803"/>
        </w:tabs>
        <w:spacing w:before="61"/>
        <w:ind w:left="1803"/>
        <w:jc w:val="both"/>
        <w:rPr>
          <w:rFonts w:ascii="Symbol" w:hAnsi="Symbol"/>
        </w:rPr>
      </w:pPr>
      <w:r>
        <w:rPr>
          <w:b/>
        </w:rPr>
        <w:t>Client:</w:t>
      </w:r>
      <w:r>
        <w:rPr>
          <w:b/>
          <w:spacing w:val="-8"/>
        </w:rPr>
        <w:t xml:space="preserve"> </w:t>
      </w:r>
      <w:r>
        <w:t>Yeah.</w:t>
      </w:r>
      <w:r>
        <w:rPr>
          <w:spacing w:val="-2"/>
        </w:rPr>
        <w:t xml:space="preserve"> </w:t>
      </w:r>
      <w:r>
        <w:t>But</w:t>
      </w:r>
      <w:r>
        <w:rPr>
          <w:spacing w:val="-4"/>
        </w:rPr>
        <w:t xml:space="preserve"> </w:t>
      </w:r>
      <w:r>
        <w:t>I</w:t>
      </w:r>
      <w:r>
        <w:rPr>
          <w:spacing w:val="-2"/>
        </w:rPr>
        <w:t xml:space="preserve"> </w:t>
      </w:r>
      <w:r>
        <w:t>don’t</w:t>
      </w:r>
      <w:r>
        <w:rPr>
          <w:spacing w:val="-2"/>
        </w:rPr>
        <w:t xml:space="preserve"> </w:t>
      </w:r>
      <w:r>
        <w:t>think</w:t>
      </w:r>
      <w:r>
        <w:rPr>
          <w:spacing w:val="-1"/>
        </w:rPr>
        <w:t xml:space="preserve"> </w:t>
      </w:r>
      <w:r>
        <w:t>I’m</w:t>
      </w:r>
      <w:r>
        <w:rPr>
          <w:spacing w:val="-3"/>
        </w:rPr>
        <w:t xml:space="preserve"> </w:t>
      </w:r>
      <w:r>
        <w:t>an</w:t>
      </w:r>
      <w:r>
        <w:rPr>
          <w:spacing w:val="-3"/>
        </w:rPr>
        <w:t xml:space="preserve"> </w:t>
      </w:r>
      <w:r>
        <w:t>alcoholic</w:t>
      </w:r>
      <w:r>
        <w:rPr>
          <w:spacing w:val="-4"/>
        </w:rPr>
        <w:t xml:space="preserve"> </w:t>
      </w:r>
      <w:r>
        <w:t>or</w:t>
      </w:r>
      <w:r>
        <w:rPr>
          <w:spacing w:val="-4"/>
        </w:rPr>
        <w:t xml:space="preserve"> </w:t>
      </w:r>
      <w:r>
        <w:rPr>
          <w:spacing w:val="-2"/>
        </w:rPr>
        <w:t>anything.</w:t>
      </w:r>
    </w:p>
    <w:p w14:paraId="0E666A3B" w14:textId="77777777" w:rsidR="00DB6E1F" w:rsidRDefault="00F666A6">
      <w:pPr>
        <w:pStyle w:val="ListParagraph"/>
        <w:numPr>
          <w:ilvl w:val="0"/>
          <w:numId w:val="92"/>
        </w:numPr>
        <w:tabs>
          <w:tab w:val="left" w:pos="1803"/>
        </w:tabs>
        <w:spacing w:before="58"/>
        <w:ind w:left="1802" w:right="1535"/>
        <w:jc w:val="both"/>
        <w:rPr>
          <w:rFonts w:ascii="Symbol" w:hAnsi="Symbol"/>
        </w:rPr>
      </w:pPr>
      <w:r>
        <w:rPr>
          <w:b/>
        </w:rPr>
        <w:t>Counselor:</w:t>
      </w:r>
      <w:r>
        <w:rPr>
          <w:b/>
          <w:spacing w:val="-3"/>
        </w:rPr>
        <w:t xml:space="preserve"> </w:t>
      </w:r>
      <w:r>
        <w:t>You</w:t>
      </w:r>
      <w:r>
        <w:rPr>
          <w:spacing w:val="-3"/>
        </w:rPr>
        <w:t xml:space="preserve"> </w:t>
      </w:r>
      <w:r>
        <w:t>don’t</w:t>
      </w:r>
      <w:r>
        <w:rPr>
          <w:spacing w:val="-1"/>
        </w:rPr>
        <w:t xml:space="preserve"> </w:t>
      </w:r>
      <w:r>
        <w:t>think</w:t>
      </w:r>
      <w:r>
        <w:rPr>
          <w:spacing w:val="-4"/>
        </w:rPr>
        <w:t xml:space="preserve"> </w:t>
      </w:r>
      <w:r>
        <w:t>you’re</w:t>
      </w:r>
      <w:r>
        <w:rPr>
          <w:spacing w:val="-1"/>
        </w:rPr>
        <w:t xml:space="preserve"> </w:t>
      </w:r>
      <w:r>
        <w:t>that</w:t>
      </w:r>
      <w:r>
        <w:rPr>
          <w:spacing w:val="-4"/>
        </w:rPr>
        <w:t xml:space="preserve"> </w:t>
      </w:r>
      <w:r>
        <w:t>bad</w:t>
      </w:r>
      <w:r>
        <w:rPr>
          <w:spacing w:val="-3"/>
        </w:rPr>
        <w:t xml:space="preserve"> </w:t>
      </w:r>
      <w:r>
        <w:t>off,</w:t>
      </w:r>
      <w:r>
        <w:rPr>
          <w:spacing w:val="-4"/>
        </w:rPr>
        <w:t xml:space="preserve"> </w:t>
      </w:r>
      <w:r>
        <w:t>but</w:t>
      </w:r>
      <w:r>
        <w:rPr>
          <w:spacing w:val="-1"/>
        </w:rPr>
        <w:t xml:space="preserve"> </w:t>
      </w:r>
      <w:r>
        <w:t>you</w:t>
      </w:r>
      <w:r>
        <w:rPr>
          <w:spacing w:val="-3"/>
        </w:rPr>
        <w:t xml:space="preserve"> </w:t>
      </w:r>
      <w:r>
        <w:t>do</w:t>
      </w:r>
      <w:r>
        <w:rPr>
          <w:spacing w:val="-1"/>
        </w:rPr>
        <w:t xml:space="preserve"> </w:t>
      </w:r>
      <w:r>
        <w:t>wonder</w:t>
      </w:r>
      <w:r>
        <w:rPr>
          <w:spacing w:val="-2"/>
        </w:rPr>
        <w:t xml:space="preserve"> </w:t>
      </w:r>
      <w:r>
        <w:t>if</w:t>
      </w:r>
      <w:r>
        <w:rPr>
          <w:spacing w:val="-4"/>
        </w:rPr>
        <w:t xml:space="preserve"> </w:t>
      </w:r>
      <w:r>
        <w:t>maybe</w:t>
      </w:r>
      <w:r>
        <w:rPr>
          <w:spacing w:val="-4"/>
        </w:rPr>
        <w:t xml:space="preserve"> </w:t>
      </w:r>
      <w:r>
        <w:t>you’re</w:t>
      </w:r>
      <w:r>
        <w:rPr>
          <w:spacing w:val="-1"/>
        </w:rPr>
        <w:t xml:space="preserve"> </w:t>
      </w:r>
      <w:r>
        <w:t>overdoing</w:t>
      </w:r>
      <w:r>
        <w:rPr>
          <w:spacing w:val="-3"/>
        </w:rPr>
        <w:t xml:space="preserve"> </w:t>
      </w:r>
      <w:r>
        <w:t>it</w:t>
      </w:r>
      <w:r>
        <w:rPr>
          <w:spacing w:val="-1"/>
        </w:rPr>
        <w:t xml:space="preserve"> </w:t>
      </w:r>
      <w:r>
        <w:t xml:space="preserve">and hurting yourself and your relationship with your wife. </w:t>
      </w:r>
      <w:r>
        <w:rPr>
          <w:i/>
        </w:rPr>
        <w:t>(Reflection)</w:t>
      </w:r>
    </w:p>
    <w:p w14:paraId="0A0601AC" w14:textId="77777777" w:rsidR="00DB6E1F" w:rsidRDefault="00F666A6">
      <w:pPr>
        <w:pStyle w:val="ListParagraph"/>
        <w:numPr>
          <w:ilvl w:val="0"/>
          <w:numId w:val="92"/>
        </w:numPr>
        <w:tabs>
          <w:tab w:val="left" w:pos="1803"/>
        </w:tabs>
        <w:spacing w:before="61"/>
        <w:ind w:left="1803"/>
        <w:jc w:val="both"/>
        <w:rPr>
          <w:rFonts w:ascii="Symbol" w:hAnsi="Symbol"/>
        </w:rPr>
      </w:pPr>
      <w:r>
        <w:rPr>
          <w:b/>
        </w:rPr>
        <w:t>Client:</w:t>
      </w:r>
      <w:r>
        <w:rPr>
          <w:b/>
          <w:spacing w:val="-7"/>
        </w:rPr>
        <w:t xml:space="preserve"> </w:t>
      </w:r>
      <w:r>
        <w:rPr>
          <w:spacing w:val="-2"/>
        </w:rPr>
        <w:t>Yeah.</w:t>
      </w:r>
    </w:p>
    <w:p w14:paraId="237AEBB8" w14:textId="77777777" w:rsidR="00DB6E1F" w:rsidRDefault="00F666A6">
      <w:pPr>
        <w:pStyle w:val="ListParagraph"/>
        <w:numPr>
          <w:ilvl w:val="0"/>
          <w:numId w:val="92"/>
        </w:numPr>
        <w:tabs>
          <w:tab w:val="left" w:pos="1803"/>
        </w:tabs>
        <w:ind w:left="1802" w:right="1472"/>
        <w:jc w:val="both"/>
        <w:rPr>
          <w:rFonts w:ascii="Symbol" w:hAnsi="Symbol"/>
        </w:rPr>
      </w:pPr>
      <w:r>
        <w:rPr>
          <w:b/>
        </w:rPr>
        <w:t>Counselor:</w:t>
      </w:r>
      <w:r>
        <w:rPr>
          <w:b/>
          <w:spacing w:val="-4"/>
        </w:rPr>
        <w:t xml:space="preserve"> </w:t>
      </w:r>
      <w:r>
        <w:t>You</w:t>
      </w:r>
      <w:r>
        <w:rPr>
          <w:spacing w:val="-4"/>
        </w:rPr>
        <w:t xml:space="preserve"> </w:t>
      </w:r>
      <w:r>
        <w:t>know,</w:t>
      </w:r>
      <w:r>
        <w:rPr>
          <w:spacing w:val="-3"/>
        </w:rPr>
        <w:t xml:space="preserve"> </w:t>
      </w:r>
      <w:r>
        <w:t>Jerry,</w:t>
      </w:r>
      <w:r>
        <w:rPr>
          <w:spacing w:val="-3"/>
        </w:rPr>
        <w:t xml:space="preserve"> </w:t>
      </w:r>
      <w:r>
        <w:t>it</w:t>
      </w:r>
      <w:r>
        <w:rPr>
          <w:spacing w:val="-2"/>
        </w:rPr>
        <w:t xml:space="preserve"> </w:t>
      </w:r>
      <w:r>
        <w:t>takes</w:t>
      </w:r>
      <w:r>
        <w:rPr>
          <w:spacing w:val="-5"/>
        </w:rPr>
        <w:t xml:space="preserve"> </w:t>
      </w:r>
      <w:r>
        <w:t>courage</w:t>
      </w:r>
      <w:r>
        <w:rPr>
          <w:spacing w:val="-2"/>
        </w:rPr>
        <w:t xml:space="preserve"> </w:t>
      </w:r>
      <w:r>
        <w:t>to</w:t>
      </w:r>
      <w:r>
        <w:rPr>
          <w:spacing w:val="-2"/>
        </w:rPr>
        <w:t xml:space="preserve"> </w:t>
      </w:r>
      <w:r>
        <w:t>come</w:t>
      </w:r>
      <w:r>
        <w:rPr>
          <w:spacing w:val="-5"/>
        </w:rPr>
        <w:t xml:space="preserve"> </w:t>
      </w:r>
      <w:r>
        <w:t>talk</w:t>
      </w:r>
      <w:r>
        <w:rPr>
          <w:spacing w:val="-2"/>
        </w:rPr>
        <w:t xml:space="preserve"> </w:t>
      </w:r>
      <w:r>
        <w:t>to</w:t>
      </w:r>
      <w:r>
        <w:rPr>
          <w:spacing w:val="-2"/>
        </w:rPr>
        <w:t xml:space="preserve"> </w:t>
      </w:r>
      <w:r>
        <w:t>a</w:t>
      </w:r>
      <w:r>
        <w:rPr>
          <w:spacing w:val="-3"/>
        </w:rPr>
        <w:t xml:space="preserve"> </w:t>
      </w:r>
      <w:r>
        <w:t>stranger</w:t>
      </w:r>
      <w:r>
        <w:rPr>
          <w:spacing w:val="-3"/>
        </w:rPr>
        <w:t xml:space="preserve"> </w:t>
      </w:r>
      <w:r>
        <w:t>about</w:t>
      </w:r>
      <w:r>
        <w:rPr>
          <w:spacing w:val="-2"/>
        </w:rPr>
        <w:t xml:space="preserve"> </w:t>
      </w:r>
      <w:r>
        <w:t>something</w:t>
      </w:r>
      <w:r>
        <w:rPr>
          <w:spacing w:val="-4"/>
        </w:rPr>
        <w:t xml:space="preserve"> </w:t>
      </w:r>
      <w:r>
        <w:t>that’s</w:t>
      </w:r>
      <w:r>
        <w:rPr>
          <w:spacing w:val="-5"/>
        </w:rPr>
        <w:t xml:space="preserve"> </w:t>
      </w:r>
      <w:r>
        <w:t xml:space="preserve">scary to talk about. </w:t>
      </w:r>
      <w:r>
        <w:rPr>
          <w:i/>
        </w:rPr>
        <w:t xml:space="preserve">(Affirmation) </w:t>
      </w:r>
      <w:r>
        <w:t xml:space="preserve">What do you think? </w:t>
      </w:r>
      <w:r>
        <w:rPr>
          <w:i/>
        </w:rPr>
        <w:t>(Open question)</w:t>
      </w:r>
    </w:p>
    <w:p w14:paraId="3DB1A937" w14:textId="77777777" w:rsidR="00DB6E1F" w:rsidRDefault="00F666A6">
      <w:pPr>
        <w:pStyle w:val="ListParagraph"/>
        <w:numPr>
          <w:ilvl w:val="0"/>
          <w:numId w:val="92"/>
        </w:numPr>
        <w:tabs>
          <w:tab w:val="left" w:pos="1803"/>
        </w:tabs>
        <w:spacing w:before="61"/>
        <w:ind w:left="1803"/>
        <w:jc w:val="both"/>
        <w:rPr>
          <w:rFonts w:ascii="Symbol" w:hAnsi="Symbol"/>
        </w:rPr>
      </w:pPr>
      <w:r>
        <w:rPr>
          <w:b/>
          <w:spacing w:val="-4"/>
        </w:rPr>
        <w:t>Client:</w:t>
      </w:r>
      <w:r>
        <w:rPr>
          <w:b/>
          <w:spacing w:val="2"/>
        </w:rPr>
        <w:t xml:space="preserve"> </w:t>
      </w:r>
      <w:r>
        <w:rPr>
          <w:spacing w:val="-4"/>
        </w:rPr>
        <w:t>I</w:t>
      </w:r>
      <w:r>
        <w:rPr>
          <w:spacing w:val="3"/>
        </w:rPr>
        <w:t xml:space="preserve"> </w:t>
      </w:r>
      <w:r>
        <w:rPr>
          <w:spacing w:val="-4"/>
        </w:rPr>
        <w:t>never</w:t>
      </w:r>
      <w:r>
        <w:rPr>
          <w:spacing w:val="-7"/>
        </w:rPr>
        <w:t xml:space="preserve"> </w:t>
      </w:r>
      <w:r>
        <w:rPr>
          <w:spacing w:val="-4"/>
        </w:rPr>
        <w:t>thought</w:t>
      </w:r>
      <w:r>
        <w:rPr>
          <w:spacing w:val="-6"/>
        </w:rPr>
        <w:t xml:space="preserve"> </w:t>
      </w:r>
      <w:r>
        <w:rPr>
          <w:spacing w:val="-4"/>
        </w:rPr>
        <w:t>of</w:t>
      </w:r>
      <w:r>
        <w:rPr>
          <w:spacing w:val="-8"/>
        </w:rPr>
        <w:t xml:space="preserve"> </w:t>
      </w:r>
      <w:r>
        <w:rPr>
          <w:spacing w:val="-4"/>
        </w:rPr>
        <w:t>it like</w:t>
      </w:r>
      <w:r>
        <w:rPr>
          <w:spacing w:val="-6"/>
        </w:rPr>
        <w:t xml:space="preserve"> </w:t>
      </w:r>
      <w:r>
        <w:rPr>
          <w:spacing w:val="-4"/>
        </w:rPr>
        <w:t>that.</w:t>
      </w:r>
      <w:r>
        <w:rPr>
          <w:spacing w:val="-7"/>
        </w:rPr>
        <w:t xml:space="preserve"> </w:t>
      </w:r>
      <w:r>
        <w:rPr>
          <w:spacing w:val="-4"/>
        </w:rPr>
        <w:t>I guess</w:t>
      </w:r>
      <w:r>
        <w:rPr>
          <w:spacing w:val="-6"/>
        </w:rPr>
        <w:t xml:space="preserve"> </w:t>
      </w:r>
      <w:r>
        <w:rPr>
          <w:spacing w:val="-4"/>
        </w:rPr>
        <w:t>it</w:t>
      </w:r>
      <w:r>
        <w:rPr>
          <w:spacing w:val="-7"/>
        </w:rPr>
        <w:t xml:space="preserve"> </w:t>
      </w:r>
      <w:r>
        <w:rPr>
          <w:b/>
          <w:spacing w:val="-4"/>
        </w:rPr>
        <w:t>is</w:t>
      </w:r>
      <w:r>
        <w:rPr>
          <w:b/>
          <w:spacing w:val="-6"/>
        </w:rPr>
        <w:t xml:space="preserve"> </w:t>
      </w:r>
      <w:r>
        <w:rPr>
          <w:spacing w:val="-4"/>
        </w:rPr>
        <w:t>important</w:t>
      </w:r>
      <w:r>
        <w:rPr>
          <w:spacing w:val="-6"/>
        </w:rPr>
        <w:t xml:space="preserve"> </w:t>
      </w:r>
      <w:r>
        <w:rPr>
          <w:spacing w:val="-4"/>
        </w:rPr>
        <w:t>to</w:t>
      </w:r>
      <w:r>
        <w:rPr>
          <w:spacing w:val="-5"/>
        </w:rPr>
        <w:t xml:space="preserve"> </w:t>
      </w:r>
      <w:r>
        <w:rPr>
          <w:spacing w:val="-4"/>
        </w:rPr>
        <w:t>figure</w:t>
      </w:r>
      <w:r>
        <w:rPr>
          <w:spacing w:val="-6"/>
        </w:rPr>
        <w:t xml:space="preserve"> </w:t>
      </w:r>
      <w:r>
        <w:rPr>
          <w:spacing w:val="-4"/>
        </w:rPr>
        <w:t>out</w:t>
      </w:r>
      <w:r>
        <w:rPr>
          <w:spacing w:val="-7"/>
        </w:rPr>
        <w:t xml:space="preserve"> </w:t>
      </w:r>
      <w:r>
        <w:rPr>
          <w:spacing w:val="-4"/>
        </w:rPr>
        <w:t>what</w:t>
      </w:r>
      <w:r>
        <w:rPr>
          <w:spacing w:val="-6"/>
        </w:rPr>
        <w:t xml:space="preserve"> </w:t>
      </w:r>
      <w:r>
        <w:rPr>
          <w:spacing w:val="-4"/>
        </w:rPr>
        <w:t>to</w:t>
      </w:r>
      <w:r>
        <w:rPr>
          <w:spacing w:val="-3"/>
        </w:rPr>
        <w:t xml:space="preserve"> </w:t>
      </w:r>
      <w:r>
        <w:rPr>
          <w:spacing w:val="-4"/>
        </w:rPr>
        <w:t>do</w:t>
      </w:r>
      <w:r>
        <w:rPr>
          <w:spacing w:val="-5"/>
        </w:rPr>
        <w:t xml:space="preserve"> </w:t>
      </w:r>
      <w:r>
        <w:rPr>
          <w:spacing w:val="-4"/>
        </w:rPr>
        <w:t>about</w:t>
      </w:r>
      <w:r>
        <w:rPr>
          <w:spacing w:val="-6"/>
        </w:rPr>
        <w:t xml:space="preserve"> </w:t>
      </w:r>
      <w:r>
        <w:rPr>
          <w:spacing w:val="-4"/>
        </w:rPr>
        <w:t>my</w:t>
      </w:r>
      <w:r>
        <w:rPr>
          <w:spacing w:val="-6"/>
        </w:rPr>
        <w:t xml:space="preserve"> </w:t>
      </w:r>
      <w:r>
        <w:rPr>
          <w:spacing w:val="-4"/>
        </w:rPr>
        <w:t>drinking.</w:t>
      </w:r>
    </w:p>
    <w:p w14:paraId="63B585BC" w14:textId="77777777" w:rsidR="00DB6E1F" w:rsidRDefault="00DB6E1F">
      <w:pPr>
        <w:jc w:val="both"/>
        <w:rPr>
          <w:rFonts w:ascii="Symbol" w:hAnsi="Symbol"/>
        </w:rPr>
        <w:sectPr w:rsidR="00DB6E1F">
          <w:pgSz w:w="12240" w:h="15840"/>
          <w:pgMar w:top="1200" w:right="0" w:bottom="780" w:left="0" w:header="763" w:footer="585" w:gutter="0"/>
          <w:cols w:space="720"/>
        </w:sectPr>
      </w:pPr>
    </w:p>
    <w:p w14:paraId="45D86692" w14:textId="77777777" w:rsidR="00DB6E1F" w:rsidRDefault="00DB6E1F">
      <w:pPr>
        <w:pStyle w:val="BodyText"/>
        <w:rPr>
          <w:sz w:val="11"/>
        </w:rPr>
      </w:pPr>
    </w:p>
    <w:p w14:paraId="19E3D0C0" w14:textId="77777777" w:rsidR="00DB6E1F" w:rsidRDefault="00F666A6">
      <w:pPr>
        <w:pStyle w:val="ListParagraph"/>
        <w:numPr>
          <w:ilvl w:val="0"/>
          <w:numId w:val="92"/>
        </w:numPr>
        <w:tabs>
          <w:tab w:val="left" w:pos="1800"/>
          <w:tab w:val="left" w:pos="1801"/>
        </w:tabs>
        <w:spacing w:before="101"/>
        <w:ind w:left="1799" w:right="1446" w:hanging="360"/>
        <w:rPr>
          <w:rFonts w:ascii="Symbol" w:hAnsi="Symbol"/>
        </w:rPr>
      </w:pPr>
      <w:r>
        <w:rPr>
          <w:b/>
        </w:rPr>
        <w:t>Counselor:</w:t>
      </w:r>
      <w:r>
        <w:rPr>
          <w:b/>
          <w:spacing w:val="-3"/>
        </w:rPr>
        <w:t xml:space="preserve"> </w:t>
      </w:r>
      <w:r>
        <w:t>So,</w:t>
      </w:r>
      <w:r>
        <w:rPr>
          <w:spacing w:val="-4"/>
        </w:rPr>
        <w:t xml:space="preserve"> </w:t>
      </w:r>
      <w:r>
        <w:t>Jerry,</w:t>
      </w:r>
      <w:r>
        <w:rPr>
          <w:spacing w:val="-4"/>
        </w:rPr>
        <w:t xml:space="preserve"> </w:t>
      </w:r>
      <w:r>
        <w:t>let’s</w:t>
      </w:r>
      <w:r>
        <w:rPr>
          <w:spacing w:val="-2"/>
        </w:rPr>
        <w:t xml:space="preserve"> </w:t>
      </w:r>
      <w:r>
        <w:t>take</w:t>
      </w:r>
      <w:r>
        <w:rPr>
          <w:spacing w:val="-1"/>
        </w:rPr>
        <w:t xml:space="preserve"> </w:t>
      </w:r>
      <w:r>
        <w:t>a</w:t>
      </w:r>
      <w:r>
        <w:rPr>
          <w:spacing w:val="-4"/>
        </w:rPr>
        <w:t xml:space="preserve"> </w:t>
      </w:r>
      <w:r>
        <w:t>minute</w:t>
      </w:r>
      <w:r>
        <w:rPr>
          <w:spacing w:val="-1"/>
        </w:rPr>
        <w:t xml:space="preserve"> </w:t>
      </w:r>
      <w:r>
        <w:t>to</w:t>
      </w:r>
      <w:r>
        <w:rPr>
          <w:spacing w:val="-1"/>
        </w:rPr>
        <w:t xml:space="preserve"> </w:t>
      </w:r>
      <w:r>
        <w:t>review</w:t>
      </w:r>
      <w:r>
        <w:rPr>
          <w:spacing w:val="-4"/>
        </w:rPr>
        <w:t xml:space="preserve"> </w:t>
      </w:r>
      <w:r>
        <w:t>where</w:t>
      </w:r>
      <w:r>
        <w:rPr>
          <w:spacing w:val="-4"/>
        </w:rPr>
        <w:t xml:space="preserve"> </w:t>
      </w:r>
      <w:r>
        <w:t>we</w:t>
      </w:r>
      <w:r>
        <w:rPr>
          <w:spacing w:val="-1"/>
        </w:rPr>
        <w:t xml:space="preserve"> </w:t>
      </w:r>
      <w:r>
        <w:t>are</w:t>
      </w:r>
      <w:r>
        <w:rPr>
          <w:spacing w:val="-1"/>
        </w:rPr>
        <w:t xml:space="preserve"> </w:t>
      </w:r>
      <w:r>
        <w:t>today.</w:t>
      </w:r>
      <w:r>
        <w:rPr>
          <w:spacing w:val="-5"/>
        </w:rPr>
        <w:t xml:space="preserve"> </w:t>
      </w:r>
      <w:r>
        <w:t>Your</w:t>
      </w:r>
      <w:r>
        <w:rPr>
          <w:spacing w:val="-2"/>
        </w:rPr>
        <w:t xml:space="preserve"> </w:t>
      </w:r>
      <w:r>
        <w:t>wife</w:t>
      </w:r>
      <w:r>
        <w:rPr>
          <w:spacing w:val="-1"/>
        </w:rPr>
        <w:t xml:space="preserve"> </w:t>
      </w:r>
      <w:r>
        <w:t>is</w:t>
      </w:r>
      <w:r>
        <w:rPr>
          <w:spacing w:val="-2"/>
        </w:rPr>
        <w:t xml:space="preserve"> </w:t>
      </w:r>
      <w:r>
        <w:t>concerned</w:t>
      </w:r>
      <w:r>
        <w:rPr>
          <w:spacing w:val="-3"/>
        </w:rPr>
        <w:t xml:space="preserve"> </w:t>
      </w:r>
      <w:r>
        <w:t>about how much you drink. You have been having trouble concentrating and remembering things and are wondering if that has to do with how much you are drinking. You are now thinking that you need to figure out what to do about the drinking. Did I miss anyth</w:t>
      </w:r>
      <w:r>
        <w:t xml:space="preserve">ing? </w:t>
      </w:r>
      <w:r>
        <w:rPr>
          <w:i/>
        </w:rPr>
        <w:t>(Summary)</w:t>
      </w:r>
    </w:p>
    <w:p w14:paraId="53CC03D4" w14:textId="77777777" w:rsidR="00DB6E1F" w:rsidRDefault="00DB6E1F">
      <w:pPr>
        <w:pStyle w:val="BodyText"/>
        <w:spacing w:before="5"/>
        <w:rPr>
          <w:i/>
          <w:sz w:val="16"/>
        </w:rPr>
      </w:pPr>
    </w:p>
    <w:p w14:paraId="54BBD10D" w14:textId="77777777" w:rsidR="00DB6E1F" w:rsidRDefault="00F666A6">
      <w:pPr>
        <w:pStyle w:val="Heading4"/>
      </w:pPr>
      <w:bookmarkStart w:id="105" w:name="Avoiding_traps"/>
      <w:bookmarkEnd w:id="105"/>
      <w:r>
        <w:t>Avoiding</w:t>
      </w:r>
      <w:r>
        <w:rPr>
          <w:spacing w:val="-12"/>
        </w:rPr>
        <w:t xml:space="preserve"> </w:t>
      </w:r>
      <w:r>
        <w:rPr>
          <w:spacing w:val="-2"/>
        </w:rPr>
        <w:t>traps</w:t>
      </w:r>
    </w:p>
    <w:p w14:paraId="444FD549" w14:textId="77777777" w:rsidR="00DB6E1F" w:rsidRDefault="00F666A6">
      <w:pPr>
        <w:spacing w:before="83"/>
        <w:ind w:left="1439" w:right="1286"/>
      </w:pPr>
      <w:r>
        <w:rPr>
          <w:b/>
        </w:rPr>
        <w:t>Identify</w:t>
      </w:r>
      <w:r>
        <w:rPr>
          <w:b/>
          <w:spacing w:val="-2"/>
        </w:rPr>
        <w:t xml:space="preserve"> </w:t>
      </w:r>
      <w:r>
        <w:rPr>
          <w:b/>
        </w:rPr>
        <w:t>and</w:t>
      </w:r>
      <w:r>
        <w:rPr>
          <w:b/>
          <w:spacing w:val="-2"/>
        </w:rPr>
        <w:t xml:space="preserve"> </w:t>
      </w:r>
      <w:r>
        <w:rPr>
          <w:b/>
        </w:rPr>
        <w:t>avoid</w:t>
      </w:r>
      <w:r>
        <w:rPr>
          <w:b/>
          <w:spacing w:val="-2"/>
        </w:rPr>
        <w:t xml:space="preserve"> </w:t>
      </w:r>
      <w:r>
        <w:rPr>
          <w:b/>
        </w:rPr>
        <w:t>traps</w:t>
      </w:r>
      <w:r>
        <w:rPr>
          <w:b/>
          <w:spacing w:val="-3"/>
        </w:rPr>
        <w:t xml:space="preserve"> </w:t>
      </w:r>
      <w:r>
        <w:rPr>
          <w:b/>
        </w:rPr>
        <w:t>to</w:t>
      </w:r>
      <w:r>
        <w:rPr>
          <w:b/>
          <w:spacing w:val="-4"/>
        </w:rPr>
        <w:t xml:space="preserve"> </w:t>
      </w:r>
      <w:r>
        <w:rPr>
          <w:b/>
        </w:rPr>
        <w:t>help</w:t>
      </w:r>
      <w:r>
        <w:rPr>
          <w:b/>
          <w:spacing w:val="-2"/>
        </w:rPr>
        <w:t xml:space="preserve"> </w:t>
      </w:r>
      <w:r>
        <w:rPr>
          <w:b/>
        </w:rPr>
        <w:t>preserve</w:t>
      </w:r>
      <w:r>
        <w:rPr>
          <w:b/>
          <w:spacing w:val="-4"/>
        </w:rPr>
        <w:t xml:space="preserve"> </w:t>
      </w:r>
      <w:r>
        <w:rPr>
          <w:b/>
        </w:rPr>
        <w:t>client</w:t>
      </w:r>
      <w:r>
        <w:rPr>
          <w:b/>
          <w:spacing w:val="-1"/>
        </w:rPr>
        <w:t xml:space="preserve"> </w:t>
      </w:r>
      <w:r>
        <w:rPr>
          <w:b/>
        </w:rPr>
        <w:t xml:space="preserve">engagement. </w:t>
      </w:r>
      <w:r>
        <w:t>The</w:t>
      </w:r>
      <w:r>
        <w:rPr>
          <w:spacing w:val="-3"/>
        </w:rPr>
        <w:t xml:space="preserve"> </w:t>
      </w:r>
      <w:r>
        <w:t>above</w:t>
      </w:r>
      <w:r>
        <w:rPr>
          <w:spacing w:val="-3"/>
        </w:rPr>
        <w:t xml:space="preserve"> </w:t>
      </w:r>
      <w:r>
        <w:t>conversation</w:t>
      </w:r>
      <w:r>
        <w:rPr>
          <w:spacing w:val="-2"/>
        </w:rPr>
        <w:t xml:space="preserve"> </w:t>
      </w:r>
      <w:r>
        <w:t>shows</w:t>
      </w:r>
      <w:r>
        <w:rPr>
          <w:spacing w:val="-3"/>
        </w:rPr>
        <w:t xml:space="preserve"> </w:t>
      </w:r>
      <w:r>
        <w:t>use</w:t>
      </w:r>
      <w:r>
        <w:rPr>
          <w:spacing w:val="-3"/>
        </w:rPr>
        <w:t xml:space="preserve"> </w:t>
      </w:r>
      <w:r>
        <w:t>of</w:t>
      </w:r>
      <w:r>
        <w:rPr>
          <w:spacing w:val="-1"/>
        </w:rPr>
        <w:t xml:space="preserve"> </w:t>
      </w:r>
      <w:r>
        <w:t>core MI skills to engage the client and help him feel heard, understood, and respected while moving the conversation toward change. The counselor avoids common traps that increase disengagement.</w:t>
      </w:r>
    </w:p>
    <w:p w14:paraId="45B62B22" w14:textId="77777777" w:rsidR="00DB6E1F" w:rsidRDefault="00F666A6">
      <w:pPr>
        <w:pStyle w:val="BodyText"/>
        <w:spacing w:before="162"/>
        <w:ind w:left="1439"/>
      </w:pPr>
      <w:r>
        <w:t>Common</w:t>
      </w:r>
      <w:r>
        <w:rPr>
          <w:spacing w:val="-7"/>
        </w:rPr>
        <w:t xml:space="preserve"> </w:t>
      </w:r>
      <w:r>
        <w:t>traps</w:t>
      </w:r>
      <w:r>
        <w:rPr>
          <w:spacing w:val="-6"/>
        </w:rPr>
        <w:t xml:space="preserve"> </w:t>
      </w:r>
      <w:r>
        <w:t>to</w:t>
      </w:r>
      <w:r>
        <w:rPr>
          <w:spacing w:val="-3"/>
        </w:rPr>
        <w:t xml:space="preserve"> </w:t>
      </w:r>
      <w:r>
        <w:t>avoid</w:t>
      </w:r>
      <w:r>
        <w:rPr>
          <w:spacing w:val="-4"/>
        </w:rPr>
        <w:t xml:space="preserve"> </w:t>
      </w:r>
      <w:r>
        <w:t>include</w:t>
      </w:r>
      <w:r>
        <w:rPr>
          <w:spacing w:val="-4"/>
        </w:rPr>
        <w:t xml:space="preserve"> </w:t>
      </w:r>
      <w:r>
        <w:t>the</w:t>
      </w:r>
      <w:r>
        <w:rPr>
          <w:spacing w:val="-3"/>
        </w:rPr>
        <w:t xml:space="preserve"> </w:t>
      </w:r>
      <w:r>
        <w:t>following</w:t>
      </w:r>
      <w:r>
        <w:rPr>
          <w:spacing w:val="-4"/>
        </w:rPr>
        <w:t xml:space="preserve"> </w:t>
      </w:r>
      <w:r>
        <w:t>(Miller</w:t>
      </w:r>
      <w:r>
        <w:rPr>
          <w:spacing w:val="-6"/>
        </w:rPr>
        <w:t xml:space="preserve"> </w:t>
      </w:r>
      <w:r>
        <w:t>&amp;</w:t>
      </w:r>
      <w:r>
        <w:rPr>
          <w:spacing w:val="-3"/>
        </w:rPr>
        <w:t xml:space="preserve"> </w:t>
      </w:r>
      <w:r>
        <w:t>Rollnick,</w:t>
      </w:r>
      <w:r>
        <w:rPr>
          <w:spacing w:val="-5"/>
        </w:rPr>
        <w:t xml:space="preserve"> </w:t>
      </w:r>
      <w:r>
        <w:rPr>
          <w:spacing w:val="-2"/>
        </w:rPr>
        <w:t>2013):</w:t>
      </w:r>
    </w:p>
    <w:p w14:paraId="78A19A7B" w14:textId="77777777" w:rsidR="00DB6E1F" w:rsidRDefault="00F666A6">
      <w:pPr>
        <w:pStyle w:val="ListParagraph"/>
        <w:numPr>
          <w:ilvl w:val="0"/>
          <w:numId w:val="92"/>
        </w:numPr>
        <w:tabs>
          <w:tab w:val="left" w:pos="1799"/>
          <w:tab w:val="left" w:pos="1800"/>
        </w:tabs>
        <w:ind w:left="1799" w:right="1530" w:hanging="360"/>
        <w:rPr>
          <w:rFonts w:ascii="Symbol" w:hAnsi="Symbol"/>
        </w:rPr>
      </w:pPr>
      <w:r>
        <w:rPr>
          <w:b/>
        </w:rPr>
        <w:t xml:space="preserve">The Expert Trap: </w:t>
      </w:r>
      <w:r>
        <w:t>People often see a professional, like primary care physician or nurse practitioner, to get answers to questions and to help them make important decisions. But relying on another person</w:t>
      </w:r>
      <w:r>
        <w:rPr>
          <w:spacing w:val="-3"/>
        </w:rPr>
        <w:t xml:space="preserve"> </w:t>
      </w:r>
      <w:r>
        <w:t>(even</w:t>
      </w:r>
      <w:r>
        <w:rPr>
          <w:spacing w:val="-3"/>
        </w:rPr>
        <w:t xml:space="preserve"> </w:t>
      </w:r>
      <w:r>
        <w:t>a</w:t>
      </w:r>
      <w:r>
        <w:rPr>
          <w:spacing w:val="-2"/>
        </w:rPr>
        <w:t xml:space="preserve"> </w:t>
      </w:r>
      <w:r>
        <w:t>professional)</w:t>
      </w:r>
      <w:r>
        <w:rPr>
          <w:spacing w:val="-1"/>
        </w:rPr>
        <w:t xml:space="preserve"> </w:t>
      </w:r>
      <w:r>
        <w:t>to</w:t>
      </w:r>
      <w:r>
        <w:rPr>
          <w:spacing w:val="-3"/>
        </w:rPr>
        <w:t xml:space="preserve"> </w:t>
      </w:r>
      <w:r>
        <w:t>have</w:t>
      </w:r>
      <w:r>
        <w:rPr>
          <w:spacing w:val="-1"/>
        </w:rPr>
        <w:t xml:space="preserve"> </w:t>
      </w:r>
      <w:r>
        <w:t>all</w:t>
      </w:r>
      <w:r>
        <w:rPr>
          <w:spacing w:val="-2"/>
        </w:rPr>
        <w:t xml:space="preserve"> </w:t>
      </w:r>
      <w:r>
        <w:t>the</w:t>
      </w:r>
      <w:r>
        <w:rPr>
          <w:spacing w:val="-1"/>
        </w:rPr>
        <w:t xml:space="preserve"> </w:t>
      </w:r>
      <w:r>
        <w:t>answers</w:t>
      </w:r>
      <w:r>
        <w:rPr>
          <w:spacing w:val="-2"/>
        </w:rPr>
        <w:t xml:space="preserve"> </w:t>
      </w:r>
      <w:r>
        <w:t>is</w:t>
      </w:r>
      <w:r>
        <w:rPr>
          <w:spacing w:val="-4"/>
        </w:rPr>
        <w:t xml:space="preserve"> </w:t>
      </w:r>
      <w:r>
        <w:t>contrary</w:t>
      </w:r>
      <w:r>
        <w:rPr>
          <w:spacing w:val="-3"/>
        </w:rPr>
        <w:t xml:space="preserve"> </w:t>
      </w:r>
      <w:r>
        <w:t>to</w:t>
      </w:r>
      <w:r>
        <w:rPr>
          <w:spacing w:val="-3"/>
        </w:rPr>
        <w:t xml:space="preserve"> </w:t>
      </w:r>
      <w:r>
        <w:t>the</w:t>
      </w:r>
      <w:r>
        <w:rPr>
          <w:spacing w:val="-1"/>
        </w:rPr>
        <w:t xml:space="preserve"> </w:t>
      </w:r>
      <w:r>
        <w:t>spirit</w:t>
      </w:r>
      <w:r>
        <w:rPr>
          <w:spacing w:val="-4"/>
        </w:rPr>
        <w:t xml:space="preserve"> </w:t>
      </w:r>
      <w:r>
        <w:t>of</w:t>
      </w:r>
      <w:r>
        <w:rPr>
          <w:spacing w:val="-5"/>
        </w:rPr>
        <w:t xml:space="preserve"> </w:t>
      </w:r>
      <w:r>
        <w:t>MI</w:t>
      </w:r>
      <w:r>
        <w:rPr>
          <w:spacing w:val="-5"/>
        </w:rPr>
        <w:t xml:space="preserve"> </w:t>
      </w:r>
      <w:r>
        <w:t>and</w:t>
      </w:r>
      <w:r>
        <w:rPr>
          <w:spacing w:val="-3"/>
        </w:rPr>
        <w:t xml:space="preserve"> </w:t>
      </w:r>
      <w:r>
        <w:t>the</w:t>
      </w:r>
      <w:r>
        <w:rPr>
          <w:spacing w:val="-1"/>
        </w:rPr>
        <w:t xml:space="preserve"> </w:t>
      </w:r>
      <w:r>
        <w:t xml:space="preserve">principles of person-centered care. </w:t>
      </w:r>
      <w:r>
        <w:rPr>
          <w:b/>
        </w:rPr>
        <w:t xml:space="preserve">Both you and the client have expertise. </w:t>
      </w:r>
      <w:r>
        <w:t xml:space="preserve">You have knowledge and skills in listening and interviewing; the client has knowledge based on his or her life experience. In your </w:t>
      </w:r>
      <w:r>
        <w:t>conversations with a client, remember that you do not have to have all the answers, and trust that the client has knowledge about what is important to him or her, what needs to change, and what steps need to be taken to make those changes. Avoid falling in</w:t>
      </w:r>
      <w:r>
        <w:t>to the expert trap by:</w:t>
      </w:r>
    </w:p>
    <w:p w14:paraId="6AB0466F" w14:textId="77777777" w:rsidR="00DB6E1F" w:rsidRDefault="00F666A6">
      <w:pPr>
        <w:pStyle w:val="ListParagraph"/>
        <w:numPr>
          <w:ilvl w:val="1"/>
          <w:numId w:val="92"/>
        </w:numPr>
        <w:tabs>
          <w:tab w:val="left" w:pos="2159"/>
          <w:tab w:val="left" w:pos="2160"/>
        </w:tabs>
        <w:spacing w:before="59"/>
        <w:ind w:left="2158" w:right="1636"/>
      </w:pPr>
      <w:r>
        <w:rPr>
          <w:b/>
        </w:rPr>
        <w:t xml:space="preserve">Refraining from acting on the “righting reflex,” </w:t>
      </w:r>
      <w:r>
        <w:t>the natural impulse to jump into action and direct</w:t>
      </w:r>
      <w:r>
        <w:rPr>
          <w:spacing w:val="-2"/>
        </w:rPr>
        <w:t xml:space="preserve"> </w:t>
      </w:r>
      <w:r>
        <w:t>the</w:t>
      </w:r>
      <w:r>
        <w:rPr>
          <w:spacing w:val="-1"/>
        </w:rPr>
        <w:t xml:space="preserve"> </w:t>
      </w:r>
      <w:r>
        <w:t>client</w:t>
      </w:r>
      <w:r>
        <w:rPr>
          <w:spacing w:val="-4"/>
        </w:rPr>
        <w:t xml:space="preserve"> </w:t>
      </w:r>
      <w:r>
        <w:t>toward</w:t>
      </w:r>
      <w:r>
        <w:rPr>
          <w:spacing w:val="-5"/>
        </w:rPr>
        <w:t xml:space="preserve"> </w:t>
      </w:r>
      <w:r>
        <w:t>a</w:t>
      </w:r>
      <w:r>
        <w:rPr>
          <w:spacing w:val="-2"/>
        </w:rPr>
        <w:t xml:space="preserve"> </w:t>
      </w:r>
      <w:r>
        <w:t>specific</w:t>
      </w:r>
      <w:r>
        <w:rPr>
          <w:spacing w:val="-2"/>
        </w:rPr>
        <w:t xml:space="preserve"> </w:t>
      </w:r>
      <w:r>
        <w:t>change.</w:t>
      </w:r>
      <w:r>
        <w:rPr>
          <w:spacing w:val="-3"/>
        </w:rPr>
        <w:t xml:space="preserve"> </w:t>
      </w:r>
      <w:r>
        <w:t>Such</w:t>
      </w:r>
      <w:r>
        <w:rPr>
          <w:spacing w:val="-3"/>
        </w:rPr>
        <w:t xml:space="preserve"> </w:t>
      </w:r>
      <w:r>
        <w:t>a</w:t>
      </w:r>
      <w:r>
        <w:rPr>
          <w:spacing w:val="-5"/>
        </w:rPr>
        <w:t xml:space="preserve"> </w:t>
      </w:r>
      <w:r>
        <w:t>directive</w:t>
      </w:r>
      <w:r>
        <w:rPr>
          <w:spacing w:val="-4"/>
        </w:rPr>
        <w:t xml:space="preserve"> </w:t>
      </w:r>
      <w:r>
        <w:t>style</w:t>
      </w:r>
      <w:r>
        <w:rPr>
          <w:spacing w:val="-1"/>
        </w:rPr>
        <w:t xml:space="preserve"> </w:t>
      </w:r>
      <w:r>
        <w:t>is</w:t>
      </w:r>
      <w:r>
        <w:rPr>
          <w:spacing w:val="-2"/>
        </w:rPr>
        <w:t xml:space="preserve"> </w:t>
      </w:r>
      <w:r>
        <w:t>likely</w:t>
      </w:r>
      <w:r>
        <w:rPr>
          <w:spacing w:val="-1"/>
        </w:rPr>
        <w:t xml:space="preserve"> </w:t>
      </w:r>
      <w:r>
        <w:t>to</w:t>
      </w:r>
      <w:r>
        <w:rPr>
          <w:spacing w:val="-1"/>
        </w:rPr>
        <w:t xml:space="preserve"> </w:t>
      </w:r>
      <w:r>
        <w:t>produce</w:t>
      </w:r>
      <w:r>
        <w:rPr>
          <w:spacing w:val="-1"/>
        </w:rPr>
        <w:t xml:space="preserve"> </w:t>
      </w:r>
      <w:r>
        <w:t>sustain</w:t>
      </w:r>
      <w:r>
        <w:rPr>
          <w:spacing w:val="-5"/>
        </w:rPr>
        <w:t xml:space="preserve"> </w:t>
      </w:r>
      <w:r>
        <w:t>talk and discord in the counseling relationship.</w:t>
      </w:r>
    </w:p>
    <w:p w14:paraId="078B03F1" w14:textId="77777777" w:rsidR="00DB6E1F" w:rsidRDefault="00F666A6">
      <w:pPr>
        <w:pStyle w:val="ListParagraph"/>
        <w:numPr>
          <w:ilvl w:val="1"/>
          <w:numId w:val="92"/>
        </w:numPr>
        <w:tabs>
          <w:tab w:val="left" w:pos="2158"/>
          <w:tab w:val="left" w:pos="2159"/>
        </w:tabs>
        <w:spacing w:before="58"/>
        <w:ind w:left="2158" w:right="1528"/>
      </w:pPr>
      <w:r>
        <w:rPr>
          <w:b/>
        </w:rPr>
        <w:t>Not</w:t>
      </w:r>
      <w:r>
        <w:rPr>
          <w:b/>
          <w:spacing w:val="-2"/>
        </w:rPr>
        <w:t xml:space="preserve"> </w:t>
      </w:r>
      <w:r>
        <w:rPr>
          <w:b/>
        </w:rPr>
        <w:t>arguing</w:t>
      </w:r>
      <w:r>
        <w:rPr>
          <w:b/>
          <w:spacing w:val="-3"/>
        </w:rPr>
        <w:t xml:space="preserve"> </w:t>
      </w:r>
      <w:r>
        <w:rPr>
          <w:b/>
        </w:rPr>
        <w:t>with</w:t>
      </w:r>
      <w:r>
        <w:rPr>
          <w:b/>
          <w:spacing w:val="-3"/>
        </w:rPr>
        <w:t xml:space="preserve"> </w:t>
      </w:r>
      <w:r>
        <w:rPr>
          <w:b/>
        </w:rPr>
        <w:t>the</w:t>
      </w:r>
      <w:r>
        <w:rPr>
          <w:b/>
          <w:spacing w:val="-5"/>
        </w:rPr>
        <w:t xml:space="preserve"> </w:t>
      </w:r>
      <w:r>
        <w:rPr>
          <w:b/>
        </w:rPr>
        <w:t>client.</w:t>
      </w:r>
      <w:r>
        <w:rPr>
          <w:b/>
          <w:spacing w:val="-1"/>
        </w:rPr>
        <w:t xml:space="preserve"> </w:t>
      </w:r>
      <w:r>
        <w:t>If</w:t>
      </w:r>
      <w:r>
        <w:rPr>
          <w:spacing w:val="-2"/>
        </w:rPr>
        <w:t xml:space="preserve"> </w:t>
      </w:r>
      <w:r>
        <w:t>you</w:t>
      </w:r>
      <w:r>
        <w:rPr>
          <w:spacing w:val="-5"/>
        </w:rPr>
        <w:t xml:space="preserve"> </w:t>
      </w:r>
      <w:r>
        <w:t>try</w:t>
      </w:r>
      <w:r>
        <w:rPr>
          <w:spacing w:val="-3"/>
        </w:rPr>
        <w:t xml:space="preserve"> </w:t>
      </w:r>
      <w:r>
        <w:t>to</w:t>
      </w:r>
      <w:r>
        <w:rPr>
          <w:spacing w:val="-3"/>
        </w:rPr>
        <w:t xml:space="preserve"> </w:t>
      </w:r>
      <w:r>
        <w:t>prove</w:t>
      </w:r>
      <w:r>
        <w:rPr>
          <w:spacing w:val="-1"/>
        </w:rPr>
        <w:t xml:space="preserve"> </w:t>
      </w:r>
      <w:r>
        <w:t>a</w:t>
      </w:r>
      <w:r>
        <w:rPr>
          <w:spacing w:val="-5"/>
        </w:rPr>
        <w:t xml:space="preserve"> </w:t>
      </w:r>
      <w:r>
        <w:t>point,</w:t>
      </w:r>
      <w:r>
        <w:rPr>
          <w:spacing w:val="-4"/>
        </w:rPr>
        <w:t xml:space="preserve"> </w:t>
      </w:r>
      <w:r>
        <w:t>the</w:t>
      </w:r>
      <w:r>
        <w:rPr>
          <w:spacing w:val="-1"/>
        </w:rPr>
        <w:t xml:space="preserve"> </w:t>
      </w:r>
      <w:r>
        <w:t>client</w:t>
      </w:r>
      <w:r>
        <w:rPr>
          <w:spacing w:val="-1"/>
        </w:rPr>
        <w:t xml:space="preserve"> </w:t>
      </w:r>
      <w:r>
        <w:t>predictably</w:t>
      </w:r>
      <w:r>
        <w:rPr>
          <w:spacing w:val="-3"/>
        </w:rPr>
        <w:t xml:space="preserve"> </w:t>
      </w:r>
      <w:r>
        <w:t>takes</w:t>
      </w:r>
      <w:r>
        <w:rPr>
          <w:spacing w:val="-2"/>
        </w:rPr>
        <w:t xml:space="preserve"> </w:t>
      </w:r>
      <w:r>
        <w:t>the</w:t>
      </w:r>
      <w:r>
        <w:rPr>
          <w:spacing w:val="-4"/>
        </w:rPr>
        <w:t xml:space="preserve"> </w:t>
      </w:r>
      <w:r>
        <w:t xml:space="preserve">opposite side. Arguments with the client can rapidly degenerate into a power struggle and do not enhance motivation </w:t>
      </w:r>
      <w:r>
        <w:t>for change.</w:t>
      </w:r>
    </w:p>
    <w:p w14:paraId="7B22F270" w14:textId="77777777" w:rsidR="00DB6E1F" w:rsidRDefault="00F666A6">
      <w:pPr>
        <w:pStyle w:val="ListParagraph"/>
        <w:numPr>
          <w:ilvl w:val="0"/>
          <w:numId w:val="92"/>
        </w:numPr>
        <w:tabs>
          <w:tab w:val="left" w:pos="1798"/>
          <w:tab w:val="left" w:pos="1799"/>
        </w:tabs>
        <w:spacing w:before="61"/>
        <w:ind w:right="1677" w:hanging="360"/>
        <w:rPr>
          <w:rFonts w:ascii="Symbol" w:hAnsi="Symbol"/>
        </w:rPr>
      </w:pPr>
      <w:r>
        <w:rPr>
          <w:b/>
        </w:rPr>
        <w:t xml:space="preserve">The Labeling Trap: </w:t>
      </w:r>
      <w:r>
        <w:t xml:space="preserve">Diagnoses and labels like “alcoholic” or “addict” can evoke shame in clients. </w:t>
      </w:r>
      <w:r>
        <w:rPr>
          <w:b/>
        </w:rPr>
        <w:t>There is no evidence that forcing a client to accept a label is helpful; in fact, it usually evokes discord</w:t>
      </w:r>
      <w:r>
        <w:rPr>
          <w:b/>
          <w:spacing w:val="-5"/>
        </w:rPr>
        <w:t xml:space="preserve"> </w:t>
      </w:r>
      <w:r>
        <w:rPr>
          <w:b/>
        </w:rPr>
        <w:t>in</w:t>
      </w:r>
      <w:r>
        <w:rPr>
          <w:b/>
          <w:spacing w:val="-3"/>
        </w:rPr>
        <w:t xml:space="preserve"> </w:t>
      </w:r>
      <w:r>
        <w:rPr>
          <w:b/>
        </w:rPr>
        <w:t>the</w:t>
      </w:r>
      <w:r>
        <w:rPr>
          <w:b/>
          <w:spacing w:val="-5"/>
        </w:rPr>
        <w:t xml:space="preserve"> </w:t>
      </w:r>
      <w:r>
        <w:rPr>
          <w:b/>
        </w:rPr>
        <w:t>counseling</w:t>
      </w:r>
      <w:r>
        <w:rPr>
          <w:b/>
          <w:spacing w:val="-3"/>
        </w:rPr>
        <w:t xml:space="preserve"> </w:t>
      </w:r>
      <w:r>
        <w:rPr>
          <w:b/>
        </w:rPr>
        <w:t>relationship.</w:t>
      </w:r>
      <w:r>
        <w:rPr>
          <w:b/>
          <w:spacing w:val="-3"/>
        </w:rPr>
        <w:t xml:space="preserve"> </w:t>
      </w:r>
      <w:r>
        <w:t>In</w:t>
      </w:r>
      <w:r>
        <w:rPr>
          <w:spacing w:val="-3"/>
        </w:rPr>
        <w:t xml:space="preserve"> </w:t>
      </w:r>
      <w:r>
        <w:t>the</w:t>
      </w:r>
      <w:r>
        <w:rPr>
          <w:spacing w:val="-4"/>
        </w:rPr>
        <w:t xml:space="preserve"> </w:t>
      </w:r>
      <w:r>
        <w:t>conversation</w:t>
      </w:r>
      <w:r>
        <w:rPr>
          <w:spacing w:val="-3"/>
        </w:rPr>
        <w:t xml:space="preserve"> </w:t>
      </w:r>
      <w:r>
        <w:t>above,</w:t>
      </w:r>
      <w:r>
        <w:rPr>
          <w:spacing w:val="-2"/>
        </w:rPr>
        <w:t xml:space="preserve"> </w:t>
      </w:r>
      <w:r>
        <w:t>the</w:t>
      </w:r>
      <w:r>
        <w:rPr>
          <w:spacing w:val="-1"/>
        </w:rPr>
        <w:t xml:space="preserve"> </w:t>
      </w:r>
      <w:r>
        <w:t>counselor</w:t>
      </w:r>
      <w:r>
        <w:rPr>
          <w:spacing w:val="-4"/>
        </w:rPr>
        <w:t xml:space="preserve"> </w:t>
      </w:r>
      <w:r>
        <w:t>didn’t</w:t>
      </w:r>
      <w:r>
        <w:rPr>
          <w:spacing w:val="-2"/>
        </w:rPr>
        <w:t xml:space="preserve"> </w:t>
      </w:r>
      <w:r>
        <w:t>argue</w:t>
      </w:r>
      <w:r>
        <w:rPr>
          <w:spacing w:val="-1"/>
        </w:rPr>
        <w:t xml:space="preserve"> </w:t>
      </w:r>
      <w:r>
        <w:t>with Jerry about whether he is an “alcoholic.” If the counselor had done so, the outcome would likely have been different:</w:t>
      </w:r>
    </w:p>
    <w:p w14:paraId="06BBB43E" w14:textId="77777777" w:rsidR="00DB6E1F" w:rsidRDefault="00F666A6">
      <w:pPr>
        <w:pStyle w:val="ListParagraph"/>
        <w:numPr>
          <w:ilvl w:val="1"/>
          <w:numId w:val="92"/>
        </w:numPr>
        <w:tabs>
          <w:tab w:val="left" w:pos="2157"/>
          <w:tab w:val="left" w:pos="2158"/>
        </w:tabs>
        <w:spacing w:before="61"/>
        <w:ind w:left="2157" w:hanging="361"/>
      </w:pPr>
      <w:r>
        <w:rPr>
          <w:b/>
        </w:rPr>
        <w:t>Client:</w:t>
      </w:r>
      <w:r>
        <w:rPr>
          <w:b/>
          <w:spacing w:val="-3"/>
        </w:rPr>
        <w:t xml:space="preserve"> </w:t>
      </w:r>
      <w:r>
        <w:t>But</w:t>
      </w:r>
      <w:r>
        <w:rPr>
          <w:spacing w:val="-1"/>
        </w:rPr>
        <w:t xml:space="preserve"> </w:t>
      </w:r>
      <w:r>
        <w:t>I</w:t>
      </w:r>
      <w:r>
        <w:rPr>
          <w:spacing w:val="-3"/>
        </w:rPr>
        <w:t xml:space="preserve"> </w:t>
      </w:r>
      <w:r>
        <w:t>don’t</w:t>
      </w:r>
      <w:r>
        <w:rPr>
          <w:spacing w:val="-1"/>
        </w:rPr>
        <w:t xml:space="preserve"> </w:t>
      </w:r>
      <w:r>
        <w:t>think</w:t>
      </w:r>
      <w:r>
        <w:rPr>
          <w:spacing w:val="-4"/>
        </w:rPr>
        <w:t xml:space="preserve"> </w:t>
      </w:r>
      <w:r>
        <w:t>I’m</w:t>
      </w:r>
      <w:r>
        <w:rPr>
          <w:spacing w:val="-4"/>
        </w:rPr>
        <w:t xml:space="preserve"> </w:t>
      </w:r>
      <w:r>
        <w:t>an</w:t>
      </w:r>
      <w:r>
        <w:rPr>
          <w:spacing w:val="-3"/>
        </w:rPr>
        <w:t xml:space="preserve"> </w:t>
      </w:r>
      <w:r>
        <w:t>alcoholic</w:t>
      </w:r>
      <w:r>
        <w:rPr>
          <w:spacing w:val="-4"/>
        </w:rPr>
        <w:t xml:space="preserve"> </w:t>
      </w:r>
      <w:r>
        <w:t>or</w:t>
      </w:r>
      <w:r>
        <w:rPr>
          <w:spacing w:val="-2"/>
        </w:rPr>
        <w:t xml:space="preserve"> anything.</w:t>
      </w:r>
    </w:p>
    <w:p w14:paraId="69FE643F" w14:textId="77777777" w:rsidR="00DB6E1F" w:rsidRDefault="00F666A6">
      <w:pPr>
        <w:pStyle w:val="ListParagraph"/>
        <w:numPr>
          <w:ilvl w:val="1"/>
          <w:numId w:val="92"/>
        </w:numPr>
        <w:tabs>
          <w:tab w:val="left" w:pos="2157"/>
          <w:tab w:val="left" w:pos="2158"/>
        </w:tabs>
        <w:spacing w:before="58"/>
        <w:ind w:left="2157" w:right="2346"/>
      </w:pPr>
      <w:r>
        <w:rPr>
          <w:b/>
        </w:rPr>
        <w:t>Counselor:</w:t>
      </w:r>
      <w:r>
        <w:rPr>
          <w:b/>
          <w:spacing w:val="-3"/>
        </w:rPr>
        <w:t xml:space="preserve"> </w:t>
      </w:r>
      <w:r>
        <w:t>Well,</w:t>
      </w:r>
      <w:r>
        <w:rPr>
          <w:spacing w:val="-2"/>
        </w:rPr>
        <w:t xml:space="preserve"> </w:t>
      </w:r>
      <w:r>
        <w:t>based</w:t>
      </w:r>
      <w:r>
        <w:rPr>
          <w:spacing w:val="-5"/>
        </w:rPr>
        <w:t xml:space="preserve"> </w:t>
      </w:r>
      <w:r>
        <w:t>on</w:t>
      </w:r>
      <w:r>
        <w:rPr>
          <w:spacing w:val="-5"/>
        </w:rPr>
        <w:t xml:space="preserve"> </w:t>
      </w:r>
      <w:r>
        <w:t>what</w:t>
      </w:r>
      <w:r>
        <w:rPr>
          <w:spacing w:val="-1"/>
        </w:rPr>
        <w:t xml:space="preserve"> </w:t>
      </w:r>
      <w:r>
        <w:t>you’ve</w:t>
      </w:r>
      <w:r>
        <w:rPr>
          <w:spacing w:val="-4"/>
        </w:rPr>
        <w:t xml:space="preserve"> </w:t>
      </w:r>
      <w:r>
        <w:t>told</w:t>
      </w:r>
      <w:r>
        <w:rPr>
          <w:spacing w:val="-5"/>
        </w:rPr>
        <w:t xml:space="preserve"> </w:t>
      </w:r>
      <w:r>
        <w:t>me,</w:t>
      </w:r>
      <w:r>
        <w:rPr>
          <w:spacing w:val="-2"/>
        </w:rPr>
        <w:t xml:space="preserve"> </w:t>
      </w:r>
      <w:r>
        <w:t>I</w:t>
      </w:r>
      <w:r>
        <w:rPr>
          <w:spacing w:val="-2"/>
        </w:rPr>
        <w:t xml:space="preserve"> </w:t>
      </w:r>
      <w:r>
        <w:t>think</w:t>
      </w:r>
      <w:r>
        <w:rPr>
          <w:spacing w:val="-1"/>
        </w:rPr>
        <w:t xml:space="preserve"> </w:t>
      </w:r>
      <w:r>
        <w:t>we</w:t>
      </w:r>
      <w:r>
        <w:rPr>
          <w:spacing w:val="-4"/>
        </w:rPr>
        <w:t xml:space="preserve"> </w:t>
      </w:r>
      <w:r>
        <w:t>should</w:t>
      </w:r>
      <w:r>
        <w:rPr>
          <w:spacing w:val="-3"/>
        </w:rPr>
        <w:t xml:space="preserve"> </w:t>
      </w:r>
      <w:r>
        <w:t>do</w:t>
      </w:r>
      <w:r>
        <w:rPr>
          <w:spacing w:val="-1"/>
        </w:rPr>
        <w:t xml:space="preserve"> </w:t>
      </w:r>
      <w:r>
        <w:t>a</w:t>
      </w:r>
      <w:r>
        <w:rPr>
          <w:spacing w:val="-5"/>
        </w:rPr>
        <w:t xml:space="preserve"> </w:t>
      </w:r>
      <w:r>
        <w:t>compreh</w:t>
      </w:r>
      <w:r>
        <w:t>ensive assessment to determine whether or not you are.</w:t>
      </w:r>
    </w:p>
    <w:p w14:paraId="5F58A7CA" w14:textId="77777777" w:rsidR="00DB6E1F" w:rsidRDefault="00F666A6">
      <w:pPr>
        <w:pStyle w:val="ListParagraph"/>
        <w:numPr>
          <w:ilvl w:val="1"/>
          <w:numId w:val="92"/>
        </w:numPr>
        <w:tabs>
          <w:tab w:val="left" w:pos="2157"/>
          <w:tab w:val="left" w:pos="2158"/>
        </w:tabs>
        <w:ind w:left="2157" w:hanging="361"/>
      </w:pPr>
      <w:r>
        <w:rPr>
          <w:b/>
        </w:rPr>
        <w:t>Client:</w:t>
      </w:r>
      <w:r>
        <w:rPr>
          <w:b/>
          <w:spacing w:val="-8"/>
        </w:rPr>
        <w:t xml:space="preserve"> </w:t>
      </w:r>
      <w:r>
        <w:t>Wait</w:t>
      </w:r>
      <w:r>
        <w:rPr>
          <w:spacing w:val="-1"/>
        </w:rPr>
        <w:t xml:space="preserve"> </w:t>
      </w:r>
      <w:r>
        <w:t>a</w:t>
      </w:r>
      <w:r>
        <w:rPr>
          <w:spacing w:val="-5"/>
        </w:rPr>
        <w:t xml:space="preserve"> </w:t>
      </w:r>
      <w:r>
        <w:t>minute.</w:t>
      </w:r>
      <w:r>
        <w:rPr>
          <w:spacing w:val="-2"/>
        </w:rPr>
        <w:t xml:space="preserve"> </w:t>
      </w:r>
      <w:r>
        <w:t>That’s</w:t>
      </w:r>
      <w:r>
        <w:rPr>
          <w:spacing w:val="-3"/>
        </w:rPr>
        <w:t xml:space="preserve"> </w:t>
      </w:r>
      <w:r>
        <w:t>not</w:t>
      </w:r>
      <w:r>
        <w:rPr>
          <w:spacing w:val="-4"/>
        </w:rPr>
        <w:t xml:space="preserve"> </w:t>
      </w:r>
      <w:r>
        <w:t>what</w:t>
      </w:r>
      <w:r>
        <w:rPr>
          <w:spacing w:val="-5"/>
        </w:rPr>
        <w:t xml:space="preserve"> </w:t>
      </w:r>
      <w:r>
        <w:t>I</w:t>
      </w:r>
      <w:r>
        <w:rPr>
          <w:spacing w:val="-2"/>
        </w:rPr>
        <w:t xml:space="preserve"> </w:t>
      </w:r>
      <w:r>
        <w:t>came</w:t>
      </w:r>
      <w:r>
        <w:rPr>
          <w:spacing w:val="-5"/>
        </w:rPr>
        <w:t xml:space="preserve"> </w:t>
      </w:r>
      <w:r>
        <w:t>for.</w:t>
      </w:r>
      <w:r>
        <w:rPr>
          <w:spacing w:val="-2"/>
        </w:rPr>
        <w:t xml:space="preserve"> </w:t>
      </w:r>
      <w:r>
        <w:t>I</w:t>
      </w:r>
      <w:r>
        <w:rPr>
          <w:spacing w:val="-6"/>
        </w:rPr>
        <w:t xml:space="preserve"> </w:t>
      </w:r>
      <w:r>
        <w:t>don’t</w:t>
      </w:r>
      <w:r>
        <w:rPr>
          <w:spacing w:val="-1"/>
        </w:rPr>
        <w:t xml:space="preserve"> </w:t>
      </w:r>
      <w:r>
        <w:t>think</w:t>
      </w:r>
      <w:r>
        <w:rPr>
          <w:spacing w:val="-2"/>
        </w:rPr>
        <w:t xml:space="preserve"> </w:t>
      </w:r>
      <w:r>
        <w:t>counseling</w:t>
      </w:r>
      <w:r>
        <w:rPr>
          <w:spacing w:val="-3"/>
        </w:rPr>
        <w:t xml:space="preserve"> </w:t>
      </w:r>
      <w:r>
        <w:t>is</w:t>
      </w:r>
      <w:r>
        <w:rPr>
          <w:spacing w:val="-3"/>
        </w:rPr>
        <w:t xml:space="preserve"> </w:t>
      </w:r>
      <w:r>
        <w:t>going</w:t>
      </w:r>
      <w:r>
        <w:rPr>
          <w:spacing w:val="-3"/>
        </w:rPr>
        <w:t xml:space="preserve"> </w:t>
      </w:r>
      <w:r>
        <w:t>to</w:t>
      </w:r>
      <w:r>
        <w:rPr>
          <w:spacing w:val="-2"/>
        </w:rPr>
        <w:t xml:space="preserve"> </w:t>
      </w:r>
      <w:r>
        <w:t>help</w:t>
      </w:r>
      <w:r>
        <w:rPr>
          <w:spacing w:val="-3"/>
        </w:rPr>
        <w:t xml:space="preserve"> </w:t>
      </w:r>
      <w:r>
        <w:rPr>
          <w:spacing w:val="-5"/>
        </w:rPr>
        <w:t>me.</w:t>
      </w:r>
    </w:p>
    <w:p w14:paraId="6729E797" w14:textId="77777777" w:rsidR="00DB6E1F" w:rsidRDefault="00F666A6">
      <w:pPr>
        <w:pStyle w:val="ListParagraph"/>
        <w:numPr>
          <w:ilvl w:val="0"/>
          <w:numId w:val="92"/>
        </w:numPr>
        <w:tabs>
          <w:tab w:val="left" w:pos="1797"/>
          <w:tab w:val="left" w:pos="1798"/>
        </w:tabs>
        <w:ind w:right="1654"/>
        <w:rPr>
          <w:rFonts w:ascii="Symbol" w:hAnsi="Symbol"/>
        </w:rPr>
      </w:pPr>
      <w:r>
        <w:rPr>
          <w:b/>
        </w:rPr>
        <w:t xml:space="preserve">The Question-and-Answer Trap: </w:t>
      </w:r>
      <w:r>
        <w:t>When your focus is on getting information from a client, particularly during an assessment, you and the client can easily fall into the question-and-answer trap. This can feel like an</w:t>
      </w:r>
      <w:r>
        <w:rPr>
          <w:spacing w:val="-1"/>
        </w:rPr>
        <w:t xml:space="preserve"> </w:t>
      </w:r>
      <w:r>
        <w:t>interrogation rather than a conversation. In addition, a pattern</w:t>
      </w:r>
      <w:r>
        <w:rPr>
          <w:spacing w:val="-1"/>
        </w:rPr>
        <w:t xml:space="preserve"> </w:t>
      </w:r>
      <w:r>
        <w:t>of aski</w:t>
      </w:r>
      <w:r>
        <w:t>ng closed</w:t>
      </w:r>
      <w:r>
        <w:rPr>
          <w:spacing w:val="-1"/>
        </w:rPr>
        <w:t xml:space="preserve"> </w:t>
      </w:r>
      <w:r>
        <w:t>questions and</w:t>
      </w:r>
      <w:r>
        <w:rPr>
          <w:spacing w:val="-1"/>
        </w:rPr>
        <w:t xml:space="preserve"> </w:t>
      </w:r>
      <w:r>
        <w:t>giving</w:t>
      </w:r>
      <w:r>
        <w:rPr>
          <w:spacing w:val="-3"/>
        </w:rPr>
        <w:t xml:space="preserve"> </w:t>
      </w:r>
      <w:r>
        <w:t>short</w:t>
      </w:r>
      <w:r>
        <w:rPr>
          <w:spacing w:val="-2"/>
        </w:rPr>
        <w:t xml:space="preserve"> </w:t>
      </w:r>
      <w:r>
        <w:t>answers sets</w:t>
      </w:r>
      <w:r>
        <w:rPr>
          <w:spacing w:val="-2"/>
        </w:rPr>
        <w:t xml:space="preserve"> </w:t>
      </w:r>
      <w:r>
        <w:t>you</w:t>
      </w:r>
      <w:r>
        <w:rPr>
          <w:spacing w:val="-1"/>
        </w:rPr>
        <w:t xml:space="preserve"> </w:t>
      </w:r>
      <w:r>
        <w:t>up</w:t>
      </w:r>
      <w:r>
        <w:rPr>
          <w:spacing w:val="-3"/>
        </w:rPr>
        <w:t xml:space="preserve"> </w:t>
      </w:r>
      <w:r>
        <w:t>in</w:t>
      </w:r>
      <w:r>
        <w:rPr>
          <w:spacing w:val="-1"/>
        </w:rPr>
        <w:t xml:space="preserve"> </w:t>
      </w:r>
      <w:r>
        <w:t>the expert role, and</w:t>
      </w:r>
      <w:r>
        <w:rPr>
          <w:spacing w:val="-1"/>
        </w:rPr>
        <w:t xml:space="preserve"> </w:t>
      </w:r>
      <w:r>
        <w:t>the</w:t>
      </w:r>
      <w:r>
        <w:rPr>
          <w:spacing w:val="-4"/>
        </w:rPr>
        <w:t xml:space="preserve"> </w:t>
      </w:r>
      <w:r>
        <w:t>client becomes</w:t>
      </w:r>
      <w:r>
        <w:rPr>
          <w:spacing w:val="-2"/>
        </w:rPr>
        <w:t xml:space="preserve"> </w:t>
      </w:r>
      <w:r>
        <w:t>a passive recipient of the treatment intervention instead of an active partner in the process. Remember</w:t>
      </w:r>
      <w:r>
        <w:rPr>
          <w:spacing w:val="-3"/>
        </w:rPr>
        <w:t xml:space="preserve"> </w:t>
      </w:r>
      <w:r>
        <w:t>to</w:t>
      </w:r>
      <w:r>
        <w:rPr>
          <w:spacing w:val="-2"/>
        </w:rPr>
        <w:t xml:space="preserve"> </w:t>
      </w:r>
      <w:r>
        <w:t>ask</w:t>
      </w:r>
      <w:r>
        <w:rPr>
          <w:spacing w:val="-4"/>
        </w:rPr>
        <w:t xml:space="preserve"> </w:t>
      </w:r>
      <w:r>
        <w:t>open</w:t>
      </w:r>
      <w:r>
        <w:rPr>
          <w:spacing w:val="-4"/>
        </w:rPr>
        <w:t xml:space="preserve"> </w:t>
      </w:r>
      <w:r>
        <w:t>questions,</w:t>
      </w:r>
      <w:r>
        <w:rPr>
          <w:spacing w:val="-3"/>
        </w:rPr>
        <w:t xml:space="preserve"> </w:t>
      </w:r>
      <w:r>
        <w:t>and</w:t>
      </w:r>
      <w:r>
        <w:rPr>
          <w:spacing w:val="-4"/>
        </w:rPr>
        <w:t xml:space="preserve"> </w:t>
      </w:r>
      <w:r>
        <w:t>follow</w:t>
      </w:r>
      <w:r>
        <w:rPr>
          <w:spacing w:val="-2"/>
        </w:rPr>
        <w:t xml:space="preserve"> </w:t>
      </w:r>
      <w:r>
        <w:t>them</w:t>
      </w:r>
      <w:r>
        <w:rPr>
          <w:spacing w:val="-4"/>
        </w:rPr>
        <w:t xml:space="preserve"> </w:t>
      </w:r>
      <w:r>
        <w:t>with</w:t>
      </w:r>
      <w:r>
        <w:rPr>
          <w:spacing w:val="-4"/>
        </w:rPr>
        <w:t xml:space="preserve"> </w:t>
      </w:r>
      <w:r>
        <w:t>reflecti</w:t>
      </w:r>
      <w:r>
        <w:t>ve</w:t>
      </w:r>
      <w:r>
        <w:rPr>
          <w:spacing w:val="-2"/>
        </w:rPr>
        <w:t xml:space="preserve"> </w:t>
      </w:r>
      <w:r>
        <w:t>listening</w:t>
      </w:r>
      <w:r>
        <w:rPr>
          <w:spacing w:val="-4"/>
        </w:rPr>
        <w:t xml:space="preserve"> </w:t>
      </w:r>
      <w:r>
        <w:t>responses</w:t>
      </w:r>
      <w:r>
        <w:rPr>
          <w:spacing w:val="-4"/>
        </w:rPr>
        <w:t xml:space="preserve"> </w:t>
      </w:r>
      <w:r>
        <w:t>to</w:t>
      </w:r>
      <w:r>
        <w:rPr>
          <w:spacing w:val="-4"/>
        </w:rPr>
        <w:t xml:space="preserve"> </w:t>
      </w:r>
      <w:r>
        <w:t>avoid</w:t>
      </w:r>
      <w:r>
        <w:rPr>
          <w:spacing w:val="-4"/>
        </w:rPr>
        <w:t xml:space="preserve"> </w:t>
      </w:r>
      <w:r>
        <w:t>the question-and-answer trap.</w:t>
      </w:r>
    </w:p>
    <w:p w14:paraId="4DA68BAF" w14:textId="77777777" w:rsidR="00DB6E1F" w:rsidRDefault="00F666A6">
      <w:pPr>
        <w:pStyle w:val="ListParagraph"/>
        <w:numPr>
          <w:ilvl w:val="0"/>
          <w:numId w:val="92"/>
        </w:numPr>
        <w:tabs>
          <w:tab w:val="left" w:pos="1797"/>
          <w:tab w:val="left" w:pos="1798"/>
        </w:tabs>
        <w:ind w:right="1679" w:hanging="360"/>
        <w:rPr>
          <w:rFonts w:ascii="Symbol" w:hAnsi="Symbol"/>
        </w:rPr>
      </w:pPr>
      <w:r>
        <w:rPr>
          <w:b/>
        </w:rPr>
        <w:t xml:space="preserve">The Premature Focus Trap: </w:t>
      </w:r>
      <w:r>
        <w:t>You can fall into this trap when you focus on an agenda for change before</w:t>
      </w:r>
      <w:r>
        <w:rPr>
          <w:spacing w:val="-4"/>
        </w:rPr>
        <w:t xml:space="preserve"> </w:t>
      </w:r>
      <w:r>
        <w:t>the</w:t>
      </w:r>
      <w:r>
        <w:rPr>
          <w:spacing w:val="-4"/>
        </w:rPr>
        <w:t xml:space="preserve"> </w:t>
      </w:r>
      <w:r>
        <w:t>client</w:t>
      </w:r>
      <w:r>
        <w:rPr>
          <w:spacing w:val="-2"/>
        </w:rPr>
        <w:t xml:space="preserve"> </w:t>
      </w:r>
      <w:r>
        <w:t>is</w:t>
      </w:r>
      <w:r>
        <w:rPr>
          <w:spacing w:val="-4"/>
        </w:rPr>
        <w:t xml:space="preserve"> </w:t>
      </w:r>
      <w:r>
        <w:t>ready—for</w:t>
      </w:r>
      <w:r>
        <w:rPr>
          <w:spacing w:val="-2"/>
        </w:rPr>
        <w:t xml:space="preserve"> </w:t>
      </w:r>
      <w:r>
        <w:t>example,</w:t>
      </w:r>
      <w:r>
        <w:rPr>
          <w:spacing w:val="-2"/>
        </w:rPr>
        <w:t xml:space="preserve"> </w:t>
      </w:r>
      <w:r>
        <w:t>jumping</w:t>
      </w:r>
      <w:r>
        <w:rPr>
          <w:spacing w:val="-3"/>
        </w:rPr>
        <w:t xml:space="preserve"> </w:t>
      </w:r>
      <w:r>
        <w:t>into</w:t>
      </w:r>
      <w:r>
        <w:rPr>
          <w:spacing w:val="-3"/>
        </w:rPr>
        <w:t xml:space="preserve"> </w:t>
      </w:r>
      <w:r>
        <w:t>solving</w:t>
      </w:r>
      <w:r>
        <w:rPr>
          <w:spacing w:val="-3"/>
        </w:rPr>
        <w:t xml:space="preserve"> </w:t>
      </w:r>
      <w:r>
        <w:t>problems</w:t>
      </w:r>
      <w:r>
        <w:rPr>
          <w:spacing w:val="-2"/>
        </w:rPr>
        <w:t xml:space="preserve"> </w:t>
      </w:r>
      <w:r>
        <w:t>before</w:t>
      </w:r>
      <w:r>
        <w:rPr>
          <w:spacing w:val="-4"/>
        </w:rPr>
        <w:t xml:space="preserve"> </w:t>
      </w:r>
      <w:r>
        <w:t>developing</w:t>
      </w:r>
      <w:r>
        <w:rPr>
          <w:spacing w:val="-3"/>
        </w:rPr>
        <w:t xml:space="preserve"> </w:t>
      </w:r>
      <w:r>
        <w:t>a</w:t>
      </w:r>
      <w:r>
        <w:rPr>
          <w:spacing w:val="-2"/>
        </w:rPr>
        <w:t xml:space="preserve"> </w:t>
      </w:r>
      <w:r>
        <w:t xml:space="preserve">strong working alliance. When you focus on an issue that is important to </w:t>
      </w:r>
      <w:r>
        <w:rPr>
          <w:b/>
        </w:rPr>
        <w:t xml:space="preserve">you </w:t>
      </w:r>
      <w:r>
        <w:t>(e.g., admission to an inpatient treatment program) but not to the client, discord will occur. Remember that your approach should match where the client is with regard to his or h</w:t>
      </w:r>
      <w:r>
        <w:t>er readiness to change.</w:t>
      </w:r>
    </w:p>
    <w:p w14:paraId="09498DC5" w14:textId="77777777" w:rsidR="00DB6E1F" w:rsidRDefault="00DB6E1F">
      <w:pPr>
        <w:rPr>
          <w:rFonts w:ascii="Symbol" w:hAnsi="Symbol"/>
        </w:rPr>
        <w:sectPr w:rsidR="00DB6E1F">
          <w:pgSz w:w="12240" w:h="15840"/>
          <w:pgMar w:top="1200" w:right="0" w:bottom="780" w:left="0" w:header="763" w:footer="585" w:gutter="0"/>
          <w:cols w:space="720"/>
        </w:sectPr>
      </w:pPr>
    </w:p>
    <w:p w14:paraId="65D08632" w14:textId="77777777" w:rsidR="00DB6E1F" w:rsidRDefault="00DB6E1F">
      <w:pPr>
        <w:pStyle w:val="BodyText"/>
        <w:rPr>
          <w:sz w:val="11"/>
        </w:rPr>
      </w:pPr>
    </w:p>
    <w:p w14:paraId="0BB91EE2" w14:textId="77777777" w:rsidR="00DB6E1F" w:rsidRDefault="00F666A6">
      <w:pPr>
        <w:pStyle w:val="ListParagraph"/>
        <w:numPr>
          <w:ilvl w:val="0"/>
          <w:numId w:val="92"/>
        </w:numPr>
        <w:tabs>
          <w:tab w:val="left" w:pos="1800"/>
          <w:tab w:val="left" w:pos="1801"/>
        </w:tabs>
        <w:spacing w:before="101"/>
        <w:ind w:left="1800" w:right="1498" w:hanging="360"/>
        <w:rPr>
          <w:rFonts w:ascii="Symbol" w:hAnsi="Symbol"/>
        </w:rPr>
      </w:pPr>
      <w:r>
        <w:rPr>
          <w:b/>
        </w:rPr>
        <w:t>The</w:t>
      </w:r>
      <w:r>
        <w:rPr>
          <w:b/>
          <w:spacing w:val="-3"/>
        </w:rPr>
        <w:t xml:space="preserve"> </w:t>
      </w:r>
      <w:r>
        <w:rPr>
          <w:b/>
        </w:rPr>
        <w:t>Blaming</w:t>
      </w:r>
      <w:r>
        <w:rPr>
          <w:b/>
          <w:spacing w:val="-3"/>
        </w:rPr>
        <w:t xml:space="preserve"> </w:t>
      </w:r>
      <w:r>
        <w:rPr>
          <w:b/>
        </w:rPr>
        <w:t>Trap:</w:t>
      </w:r>
      <w:r>
        <w:rPr>
          <w:b/>
          <w:spacing w:val="-3"/>
        </w:rPr>
        <w:t xml:space="preserve"> </w:t>
      </w:r>
      <w:r>
        <w:t>Clients</w:t>
      </w:r>
      <w:r>
        <w:rPr>
          <w:spacing w:val="-3"/>
        </w:rPr>
        <w:t xml:space="preserve"> </w:t>
      </w:r>
      <w:r>
        <w:t>often</w:t>
      </w:r>
      <w:r>
        <w:rPr>
          <w:spacing w:val="-4"/>
        </w:rPr>
        <w:t xml:space="preserve"> </w:t>
      </w:r>
      <w:r>
        <w:t>enter</w:t>
      </w:r>
      <w:r>
        <w:rPr>
          <w:spacing w:val="-3"/>
        </w:rPr>
        <w:t xml:space="preserve"> </w:t>
      </w:r>
      <w:r>
        <w:t>treatment</w:t>
      </w:r>
      <w:r>
        <w:rPr>
          <w:spacing w:val="-1"/>
        </w:rPr>
        <w:t xml:space="preserve"> </w:t>
      </w:r>
      <w:r>
        <w:t>focused</w:t>
      </w:r>
      <w:r>
        <w:rPr>
          <w:spacing w:val="-2"/>
        </w:rPr>
        <w:t xml:space="preserve"> </w:t>
      </w:r>
      <w:r>
        <w:t>on</w:t>
      </w:r>
      <w:r>
        <w:rPr>
          <w:spacing w:val="-4"/>
        </w:rPr>
        <w:t xml:space="preserve"> </w:t>
      </w:r>
      <w:r>
        <w:t>who</w:t>
      </w:r>
      <w:r>
        <w:rPr>
          <w:spacing w:val="-3"/>
        </w:rPr>
        <w:t xml:space="preserve"> </w:t>
      </w:r>
      <w:r>
        <w:t>is</w:t>
      </w:r>
      <w:r>
        <w:rPr>
          <w:spacing w:val="-2"/>
        </w:rPr>
        <w:t xml:space="preserve"> </w:t>
      </w:r>
      <w:r>
        <w:t>to</w:t>
      </w:r>
      <w:r>
        <w:rPr>
          <w:spacing w:val="-1"/>
        </w:rPr>
        <w:t xml:space="preserve"> </w:t>
      </w:r>
      <w:r>
        <w:t>blame</w:t>
      </w:r>
      <w:r>
        <w:rPr>
          <w:spacing w:val="-3"/>
        </w:rPr>
        <w:t xml:space="preserve"> </w:t>
      </w:r>
      <w:r>
        <w:t>for</w:t>
      </w:r>
      <w:r>
        <w:rPr>
          <w:spacing w:val="-6"/>
        </w:rPr>
        <w:t xml:space="preserve"> </w:t>
      </w:r>
      <w:r>
        <w:t>their</w:t>
      </w:r>
      <w:r>
        <w:rPr>
          <w:spacing w:val="-2"/>
        </w:rPr>
        <w:t xml:space="preserve"> </w:t>
      </w:r>
      <w:r>
        <w:t>substance</w:t>
      </w:r>
      <w:r>
        <w:rPr>
          <w:spacing w:val="-1"/>
        </w:rPr>
        <w:t xml:space="preserve"> </w:t>
      </w:r>
      <w:r>
        <w:t>use problem. They may feel guarded and defensive, expecting you to judge them harshly as family, friends,</w:t>
      </w:r>
      <w:r>
        <w:rPr>
          <w:spacing w:val="-2"/>
        </w:rPr>
        <w:t xml:space="preserve"> </w:t>
      </w:r>
      <w:r>
        <w:t>coworkers,</w:t>
      </w:r>
      <w:r>
        <w:rPr>
          <w:spacing w:val="-4"/>
        </w:rPr>
        <w:t xml:space="preserve"> </w:t>
      </w:r>
      <w:r>
        <w:t>or</w:t>
      </w:r>
      <w:r>
        <w:rPr>
          <w:spacing w:val="-5"/>
        </w:rPr>
        <w:t xml:space="preserve"> </w:t>
      </w:r>
      <w:r>
        <w:t>ot</w:t>
      </w:r>
      <w:r>
        <w:t>hers</w:t>
      </w:r>
      <w:r>
        <w:rPr>
          <w:spacing w:val="-1"/>
        </w:rPr>
        <w:t xml:space="preserve"> </w:t>
      </w:r>
      <w:r>
        <w:t>may</w:t>
      </w:r>
      <w:r>
        <w:rPr>
          <w:spacing w:val="-1"/>
        </w:rPr>
        <w:t xml:space="preserve"> </w:t>
      </w:r>
      <w:r>
        <w:t>have.</w:t>
      </w:r>
      <w:r>
        <w:rPr>
          <w:spacing w:val="-3"/>
        </w:rPr>
        <w:t xml:space="preserve"> </w:t>
      </w:r>
      <w:r>
        <w:t>Avoid</w:t>
      </w:r>
      <w:r>
        <w:rPr>
          <w:spacing w:val="-5"/>
        </w:rPr>
        <w:t xml:space="preserve"> </w:t>
      </w:r>
      <w:r>
        <w:t>the</w:t>
      </w:r>
      <w:r>
        <w:rPr>
          <w:spacing w:val="-1"/>
        </w:rPr>
        <w:t xml:space="preserve"> </w:t>
      </w:r>
      <w:r>
        <w:t>blame</w:t>
      </w:r>
      <w:r>
        <w:rPr>
          <w:spacing w:val="-4"/>
        </w:rPr>
        <w:t xml:space="preserve"> </w:t>
      </w:r>
      <w:r>
        <w:t>trap</w:t>
      </w:r>
      <w:r>
        <w:rPr>
          <w:spacing w:val="-3"/>
        </w:rPr>
        <w:t xml:space="preserve"> </w:t>
      </w:r>
      <w:r>
        <w:t>by</w:t>
      </w:r>
      <w:r>
        <w:rPr>
          <w:spacing w:val="-3"/>
        </w:rPr>
        <w:t xml:space="preserve"> </w:t>
      </w:r>
      <w:r>
        <w:t>immediately</w:t>
      </w:r>
      <w:r>
        <w:rPr>
          <w:spacing w:val="-3"/>
        </w:rPr>
        <w:t xml:space="preserve"> </w:t>
      </w:r>
      <w:r>
        <w:t>reassuring</w:t>
      </w:r>
      <w:r>
        <w:rPr>
          <w:spacing w:val="-3"/>
        </w:rPr>
        <w:t xml:space="preserve"> </w:t>
      </w:r>
      <w:r>
        <w:t>clients</w:t>
      </w:r>
      <w:r>
        <w:rPr>
          <w:spacing w:val="-4"/>
        </w:rPr>
        <w:t xml:space="preserve"> </w:t>
      </w:r>
      <w:r>
        <w:t>that you are uninterested in blaming anyone and that your role is to listen to what troubles them.</w:t>
      </w:r>
    </w:p>
    <w:p w14:paraId="57E27B19" w14:textId="77777777" w:rsidR="00DB6E1F" w:rsidRDefault="00F666A6">
      <w:pPr>
        <w:pStyle w:val="Heading3"/>
      </w:pPr>
      <w:bookmarkStart w:id="106" w:name="Focusing"/>
      <w:bookmarkEnd w:id="106"/>
      <w:r>
        <w:rPr>
          <w:spacing w:val="-2"/>
        </w:rPr>
        <w:t>Focusing</w:t>
      </w:r>
    </w:p>
    <w:p w14:paraId="2699545C" w14:textId="77777777" w:rsidR="00DB6E1F" w:rsidRDefault="00F666A6">
      <w:pPr>
        <w:spacing w:before="143"/>
        <w:ind w:left="1439" w:right="1494"/>
      </w:pPr>
      <w:r>
        <w:rPr>
          <w:b/>
        </w:rPr>
        <w:t xml:space="preserve">Once you have engaged the client, the next step in MI is to find a direction for the conversation and the counseling process as a whole. </w:t>
      </w:r>
      <w:r>
        <w:t>This is called focusing in MI. With</w:t>
      </w:r>
      <w:r>
        <w:rPr>
          <w:spacing w:val="-1"/>
        </w:rPr>
        <w:t xml:space="preserve"> </w:t>
      </w:r>
      <w:r>
        <w:t>the client, you develop a mutually agreed-on</w:t>
      </w:r>
      <w:r>
        <w:rPr>
          <w:spacing w:val="-3"/>
        </w:rPr>
        <w:t xml:space="preserve"> </w:t>
      </w:r>
      <w:r>
        <w:t>agenda</w:t>
      </w:r>
      <w:r>
        <w:rPr>
          <w:spacing w:val="-2"/>
        </w:rPr>
        <w:t xml:space="preserve"> </w:t>
      </w:r>
      <w:r>
        <w:t>that</w:t>
      </w:r>
      <w:r>
        <w:rPr>
          <w:spacing w:val="-2"/>
        </w:rPr>
        <w:t xml:space="preserve"> </w:t>
      </w:r>
      <w:r>
        <w:t>promotes</w:t>
      </w:r>
      <w:r>
        <w:rPr>
          <w:spacing w:val="-4"/>
        </w:rPr>
        <w:t xml:space="preserve"> </w:t>
      </w:r>
      <w:r>
        <w:t>change and</w:t>
      </w:r>
      <w:r>
        <w:rPr>
          <w:spacing w:val="-3"/>
        </w:rPr>
        <w:t xml:space="preserve"> </w:t>
      </w:r>
      <w:r>
        <w:t>then</w:t>
      </w:r>
      <w:r>
        <w:rPr>
          <w:spacing w:val="-2"/>
        </w:rPr>
        <w:t xml:space="preserve"> </w:t>
      </w:r>
      <w:r>
        <w:t>i</w:t>
      </w:r>
      <w:r>
        <w:t>dentify</w:t>
      </w:r>
      <w:r>
        <w:rPr>
          <w:spacing w:val="-1"/>
        </w:rPr>
        <w:t xml:space="preserve"> </w:t>
      </w:r>
      <w:r>
        <w:t>a</w:t>
      </w:r>
      <w:r>
        <w:rPr>
          <w:spacing w:val="-3"/>
        </w:rPr>
        <w:t xml:space="preserve"> </w:t>
      </w:r>
      <w:r>
        <w:t>specific</w:t>
      </w:r>
      <w:r>
        <w:rPr>
          <w:spacing w:val="-4"/>
        </w:rPr>
        <w:t xml:space="preserve"> </w:t>
      </w:r>
      <w:r>
        <w:t>target</w:t>
      </w:r>
      <w:r>
        <w:rPr>
          <w:spacing w:val="-4"/>
        </w:rPr>
        <w:t xml:space="preserve"> </w:t>
      </w:r>
      <w:r>
        <w:t>behavior</w:t>
      </w:r>
      <w:r>
        <w:rPr>
          <w:spacing w:val="-4"/>
        </w:rPr>
        <w:t xml:space="preserve"> </w:t>
      </w:r>
      <w:r>
        <w:t>to</w:t>
      </w:r>
      <w:r>
        <w:rPr>
          <w:spacing w:val="-3"/>
        </w:rPr>
        <w:t xml:space="preserve"> </w:t>
      </w:r>
      <w:r>
        <w:t>discuss.</w:t>
      </w:r>
      <w:r>
        <w:rPr>
          <w:spacing w:val="-5"/>
        </w:rPr>
        <w:t xml:space="preserve"> </w:t>
      </w:r>
      <w:r>
        <w:t>Without a clear focus, conversations about change can be unwieldy and unproductive (Miller &amp; Rollnick, 2013).</w:t>
      </w:r>
    </w:p>
    <w:p w14:paraId="634624F0" w14:textId="77777777" w:rsidR="00DB6E1F" w:rsidRDefault="00DB6E1F">
      <w:pPr>
        <w:pStyle w:val="BodyText"/>
        <w:spacing w:before="5"/>
        <w:rPr>
          <w:sz w:val="16"/>
        </w:rPr>
      </w:pPr>
    </w:p>
    <w:p w14:paraId="1503EB06" w14:textId="77777777" w:rsidR="00DB6E1F" w:rsidRDefault="00F666A6">
      <w:pPr>
        <w:pStyle w:val="Heading4"/>
      </w:pPr>
      <w:bookmarkStart w:id="107" w:name="Deciding_on_an_agenda"/>
      <w:bookmarkEnd w:id="107"/>
      <w:r>
        <w:t>Deciding</w:t>
      </w:r>
      <w:r>
        <w:rPr>
          <w:spacing w:val="-7"/>
        </w:rPr>
        <w:t xml:space="preserve"> </w:t>
      </w:r>
      <w:r>
        <w:t>on</w:t>
      </w:r>
      <w:r>
        <w:rPr>
          <w:spacing w:val="-7"/>
        </w:rPr>
        <w:t xml:space="preserve"> </w:t>
      </w:r>
      <w:r>
        <w:t>an</w:t>
      </w:r>
      <w:r>
        <w:rPr>
          <w:spacing w:val="-4"/>
        </w:rPr>
        <w:t xml:space="preserve"> </w:t>
      </w:r>
      <w:r>
        <w:rPr>
          <w:spacing w:val="-2"/>
        </w:rPr>
        <w:t>agenda</w:t>
      </w:r>
    </w:p>
    <w:p w14:paraId="525C04DE" w14:textId="77777777" w:rsidR="00DB6E1F" w:rsidRDefault="00F666A6">
      <w:pPr>
        <w:pStyle w:val="BodyText"/>
        <w:spacing w:before="83"/>
        <w:ind w:left="1439" w:right="1444"/>
      </w:pPr>
      <w:r>
        <w:t>MI is essentially a conversation you and the client have about change. The d</w:t>
      </w:r>
      <w:r>
        <w:t>irection of the conversation is</w:t>
      </w:r>
      <w:r>
        <w:rPr>
          <w:spacing w:val="-2"/>
        </w:rPr>
        <w:t xml:space="preserve"> </w:t>
      </w:r>
      <w:r>
        <w:t>influenced</w:t>
      </w:r>
      <w:r>
        <w:rPr>
          <w:spacing w:val="-3"/>
        </w:rPr>
        <w:t xml:space="preserve"> </w:t>
      </w:r>
      <w:r>
        <w:t>by</w:t>
      </w:r>
      <w:r>
        <w:rPr>
          <w:spacing w:val="-3"/>
        </w:rPr>
        <w:t xml:space="preserve"> </w:t>
      </w:r>
      <w:r>
        <w:t>the</w:t>
      </w:r>
      <w:r>
        <w:rPr>
          <w:spacing w:val="-4"/>
        </w:rPr>
        <w:t xml:space="preserve"> </w:t>
      </w:r>
      <w:r>
        <w:t>client,</w:t>
      </w:r>
      <w:r>
        <w:rPr>
          <w:spacing w:val="-4"/>
        </w:rPr>
        <w:t xml:space="preserve"> </w:t>
      </w:r>
      <w:r>
        <w:t>the</w:t>
      </w:r>
      <w:r>
        <w:rPr>
          <w:spacing w:val="-1"/>
        </w:rPr>
        <w:t xml:space="preserve"> </w:t>
      </w:r>
      <w:r>
        <w:t>counselor,</w:t>
      </w:r>
      <w:r>
        <w:rPr>
          <w:spacing w:val="-2"/>
        </w:rPr>
        <w:t xml:space="preserve"> </w:t>
      </w:r>
      <w:r>
        <w:t>and</w:t>
      </w:r>
      <w:r>
        <w:rPr>
          <w:spacing w:val="-3"/>
        </w:rPr>
        <w:t xml:space="preserve"> </w:t>
      </w:r>
      <w:r>
        <w:t>the</w:t>
      </w:r>
      <w:r>
        <w:rPr>
          <w:spacing w:val="-4"/>
        </w:rPr>
        <w:t xml:space="preserve"> </w:t>
      </w:r>
      <w:r>
        <w:t>clinical</w:t>
      </w:r>
      <w:r>
        <w:rPr>
          <w:spacing w:val="-2"/>
        </w:rPr>
        <w:t xml:space="preserve"> </w:t>
      </w:r>
      <w:r>
        <w:t>setting</w:t>
      </w:r>
      <w:r>
        <w:rPr>
          <w:spacing w:val="-3"/>
        </w:rPr>
        <w:t xml:space="preserve"> </w:t>
      </w:r>
      <w:r>
        <w:t>(Miller</w:t>
      </w:r>
      <w:r>
        <w:rPr>
          <w:spacing w:val="-2"/>
        </w:rPr>
        <w:t xml:space="preserve"> </w:t>
      </w:r>
      <w:r>
        <w:t>&amp;</w:t>
      </w:r>
      <w:r>
        <w:rPr>
          <w:spacing w:val="-4"/>
        </w:rPr>
        <w:t xml:space="preserve"> </w:t>
      </w:r>
      <w:r>
        <w:t>Rollnick,</w:t>
      </w:r>
      <w:r>
        <w:rPr>
          <w:spacing w:val="-2"/>
        </w:rPr>
        <w:t xml:space="preserve"> </w:t>
      </w:r>
      <w:r>
        <w:t>2013).</w:t>
      </w:r>
      <w:r>
        <w:rPr>
          <w:spacing w:val="-2"/>
        </w:rPr>
        <w:t xml:space="preserve"> </w:t>
      </w:r>
      <w:r>
        <w:t>For</w:t>
      </w:r>
      <w:r>
        <w:rPr>
          <w:spacing w:val="-2"/>
        </w:rPr>
        <w:t xml:space="preserve"> </w:t>
      </w:r>
      <w:r>
        <w:t>example,</w:t>
      </w:r>
      <w:r>
        <w:rPr>
          <w:spacing w:val="-2"/>
        </w:rPr>
        <w:t xml:space="preserve"> </w:t>
      </w:r>
      <w:r>
        <w:t>a client walking through the door of</w:t>
      </w:r>
      <w:r>
        <w:rPr>
          <w:spacing w:val="-1"/>
        </w:rPr>
        <w:t xml:space="preserve"> </w:t>
      </w:r>
      <w:r>
        <w:t>an outpatient SUD treatment program understand that his or her use of alcohol and other drugs will be on the agenda.</w:t>
      </w:r>
    </w:p>
    <w:p w14:paraId="2F33A1A0" w14:textId="77777777" w:rsidR="00DB6E1F" w:rsidRDefault="00F666A6">
      <w:pPr>
        <w:pStyle w:val="BodyText"/>
        <w:spacing w:before="162"/>
        <w:ind w:left="1439" w:right="1491"/>
      </w:pPr>
      <w:r>
        <w:t>Clients,</w:t>
      </w:r>
      <w:r>
        <w:rPr>
          <w:spacing w:val="-2"/>
        </w:rPr>
        <w:t xml:space="preserve"> </w:t>
      </w:r>
      <w:r>
        <w:t>however,</w:t>
      </w:r>
      <w:r>
        <w:rPr>
          <w:spacing w:val="-4"/>
        </w:rPr>
        <w:t xml:space="preserve"> </w:t>
      </w:r>
      <w:r>
        <w:t>may</w:t>
      </w:r>
      <w:r>
        <w:rPr>
          <w:spacing w:val="-3"/>
        </w:rPr>
        <w:t xml:space="preserve"> </w:t>
      </w:r>
      <w:r>
        <w:t>be</w:t>
      </w:r>
      <w:r>
        <w:rPr>
          <w:spacing w:val="-4"/>
        </w:rPr>
        <w:t xml:space="preserve"> </w:t>
      </w:r>
      <w:r>
        <w:t>mandated</w:t>
      </w:r>
      <w:r>
        <w:rPr>
          <w:spacing w:val="-5"/>
        </w:rPr>
        <w:t xml:space="preserve"> </w:t>
      </w:r>
      <w:r>
        <w:t>to</w:t>
      </w:r>
      <w:r>
        <w:rPr>
          <w:spacing w:val="-3"/>
        </w:rPr>
        <w:t xml:space="preserve"> </w:t>
      </w:r>
      <w:r>
        <w:t>treatment</w:t>
      </w:r>
      <w:r>
        <w:rPr>
          <w:spacing w:val="-1"/>
        </w:rPr>
        <w:t xml:space="preserve"> </w:t>
      </w:r>
      <w:r>
        <w:t>and</w:t>
      </w:r>
      <w:r>
        <w:rPr>
          <w:spacing w:val="-3"/>
        </w:rPr>
        <w:t xml:space="preserve"> </w:t>
      </w:r>
      <w:r>
        <w:t>may</w:t>
      </w:r>
      <w:r>
        <w:rPr>
          <w:spacing w:val="-3"/>
        </w:rPr>
        <w:t xml:space="preserve"> </w:t>
      </w:r>
      <w:r>
        <w:t>not</w:t>
      </w:r>
      <w:r>
        <w:rPr>
          <w:spacing w:val="-2"/>
        </w:rPr>
        <w:t xml:space="preserve"> </w:t>
      </w:r>
      <w:r>
        <w:t>see</w:t>
      </w:r>
      <w:r>
        <w:rPr>
          <w:spacing w:val="-1"/>
        </w:rPr>
        <w:t xml:space="preserve"> </w:t>
      </w:r>
      <w:r>
        <w:t>their</w:t>
      </w:r>
      <w:r>
        <w:rPr>
          <w:spacing w:val="-2"/>
        </w:rPr>
        <w:t xml:space="preserve"> </w:t>
      </w:r>
      <w:r>
        <w:t>substance</w:t>
      </w:r>
      <w:r>
        <w:rPr>
          <w:spacing w:val="-1"/>
        </w:rPr>
        <w:t xml:space="preserve"> </w:t>
      </w:r>
      <w:r>
        <w:t>use</w:t>
      </w:r>
      <w:r>
        <w:rPr>
          <w:spacing w:val="-1"/>
        </w:rPr>
        <w:t xml:space="preserve"> </w:t>
      </w:r>
      <w:r>
        <w:t>as</w:t>
      </w:r>
      <w:r>
        <w:rPr>
          <w:spacing w:val="-2"/>
        </w:rPr>
        <w:t xml:space="preserve"> </w:t>
      </w:r>
      <w:r>
        <w:t>a</w:t>
      </w:r>
      <w:r>
        <w:rPr>
          <w:spacing w:val="-2"/>
        </w:rPr>
        <w:t xml:space="preserve"> </w:t>
      </w:r>
      <w:r>
        <w:t>problem,</w:t>
      </w:r>
      <w:r>
        <w:rPr>
          <w:spacing w:val="-4"/>
        </w:rPr>
        <w:t xml:space="preserve"> </w:t>
      </w:r>
      <w:r>
        <w:t>or they may have multiple issues (e.g., ch</w:t>
      </w:r>
      <w:r>
        <w:t>ild care, relational, financial, legal problems) that interfere with recovery and that need to be addressed. When clients bring multiple problems to the table or are confused or uncertain about the direction of the conversation, you can engage in agenda ma</w:t>
      </w:r>
      <w:r>
        <w:t>pping, which is a process consistent with</w:t>
      </w:r>
      <w:r>
        <w:rPr>
          <w:spacing w:val="-1"/>
        </w:rPr>
        <w:t xml:space="preserve"> </w:t>
      </w:r>
      <w:r>
        <w:t>MI that helps you</w:t>
      </w:r>
      <w:r>
        <w:rPr>
          <w:spacing w:val="-1"/>
        </w:rPr>
        <w:t xml:space="preserve"> </w:t>
      </w:r>
      <w:r>
        <w:t>and clients decide on the counseling focus. Exhibit</w:t>
      </w:r>
    </w:p>
    <w:p w14:paraId="6ACC3CF5" w14:textId="77777777" w:rsidR="00DB6E1F" w:rsidRDefault="00F666A6">
      <w:pPr>
        <w:pStyle w:val="BodyText"/>
        <w:spacing w:line="267" w:lineRule="exact"/>
        <w:ind w:left="1439"/>
      </w:pPr>
      <w:r>
        <w:t>3.7</w:t>
      </w:r>
      <w:r>
        <w:rPr>
          <w:spacing w:val="-5"/>
        </w:rPr>
        <w:t xml:space="preserve"> </w:t>
      </w:r>
      <w:r>
        <w:t>displays</w:t>
      </w:r>
      <w:r>
        <w:rPr>
          <w:spacing w:val="-3"/>
        </w:rPr>
        <w:t xml:space="preserve"> </w:t>
      </w:r>
      <w:r>
        <w:t>the</w:t>
      </w:r>
      <w:r>
        <w:rPr>
          <w:spacing w:val="-6"/>
        </w:rPr>
        <w:t xml:space="preserve"> </w:t>
      </w:r>
      <w:r>
        <w:t>components</w:t>
      </w:r>
      <w:r>
        <w:rPr>
          <w:spacing w:val="-3"/>
        </w:rPr>
        <w:t xml:space="preserve"> </w:t>
      </w:r>
      <w:r>
        <w:t>in</w:t>
      </w:r>
      <w:r>
        <w:rPr>
          <w:spacing w:val="-4"/>
        </w:rPr>
        <w:t xml:space="preserve"> </w:t>
      </w:r>
      <w:r>
        <w:t>an</w:t>
      </w:r>
      <w:r>
        <w:rPr>
          <w:spacing w:val="-3"/>
        </w:rPr>
        <w:t xml:space="preserve"> </w:t>
      </w:r>
      <w:r>
        <w:t>agenda</w:t>
      </w:r>
      <w:r>
        <w:rPr>
          <w:spacing w:val="-5"/>
        </w:rPr>
        <w:t xml:space="preserve"> </w:t>
      </w:r>
      <w:r>
        <w:rPr>
          <w:spacing w:val="-4"/>
        </w:rPr>
        <w:t>map.</w:t>
      </w:r>
    </w:p>
    <w:p w14:paraId="384B67EF" w14:textId="77777777" w:rsidR="00DB6E1F" w:rsidRDefault="00DB6E1F">
      <w:pPr>
        <w:pStyle w:val="BodyText"/>
        <w:spacing w:before="11"/>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A6C0227" w14:textId="77777777">
        <w:trPr>
          <w:trHeight w:val="523"/>
        </w:trPr>
        <w:tc>
          <w:tcPr>
            <w:tcW w:w="9350" w:type="dxa"/>
            <w:tcBorders>
              <w:top w:val="nil"/>
              <w:left w:val="nil"/>
              <w:bottom w:val="nil"/>
              <w:right w:val="nil"/>
            </w:tcBorders>
            <w:shd w:val="clear" w:color="auto" w:fill="000000"/>
          </w:tcPr>
          <w:p w14:paraId="3FDF0913" w14:textId="77777777" w:rsidR="00DB6E1F" w:rsidRDefault="00F666A6">
            <w:pPr>
              <w:pStyle w:val="TableParagraph"/>
              <w:spacing w:before="112"/>
              <w:ind w:left="215"/>
              <w:rPr>
                <w:sz w:val="24"/>
              </w:rPr>
            </w:pPr>
            <w:r>
              <w:rPr>
                <w:color w:val="FFFFFF"/>
                <w:sz w:val="24"/>
              </w:rPr>
              <w:t>Exhibit</w:t>
            </w:r>
            <w:r>
              <w:rPr>
                <w:color w:val="FFFFFF"/>
                <w:spacing w:val="-3"/>
                <w:sz w:val="24"/>
              </w:rPr>
              <w:t xml:space="preserve"> </w:t>
            </w:r>
            <w:r>
              <w:rPr>
                <w:color w:val="FFFFFF"/>
                <w:sz w:val="24"/>
              </w:rPr>
              <w:t>3.7.</w:t>
            </w:r>
            <w:r>
              <w:rPr>
                <w:color w:val="FFFFFF"/>
                <w:spacing w:val="-1"/>
                <w:sz w:val="24"/>
              </w:rPr>
              <w:t xml:space="preserve"> </w:t>
            </w:r>
            <w:r>
              <w:rPr>
                <w:color w:val="FFFFFF"/>
                <w:sz w:val="24"/>
              </w:rPr>
              <w:t>Components</w:t>
            </w:r>
            <w:r>
              <w:rPr>
                <w:color w:val="FFFFFF"/>
                <w:spacing w:val="-3"/>
                <w:sz w:val="24"/>
              </w:rPr>
              <w:t xml:space="preserve"> </w:t>
            </w:r>
            <w:r>
              <w:rPr>
                <w:color w:val="FFFFFF"/>
                <w:sz w:val="24"/>
              </w:rPr>
              <w:t>in</w:t>
            </w:r>
            <w:r>
              <w:rPr>
                <w:color w:val="FFFFFF"/>
                <w:spacing w:val="1"/>
                <w:sz w:val="24"/>
              </w:rPr>
              <w:t xml:space="preserve"> </w:t>
            </w:r>
            <w:r>
              <w:rPr>
                <w:color w:val="FFFFFF"/>
                <w:sz w:val="24"/>
              </w:rPr>
              <w:t>a Sample</w:t>
            </w:r>
            <w:r>
              <w:rPr>
                <w:color w:val="FFFFFF"/>
                <w:spacing w:val="-3"/>
                <w:sz w:val="24"/>
              </w:rPr>
              <w:t xml:space="preserve"> </w:t>
            </w:r>
            <w:r>
              <w:rPr>
                <w:color w:val="FFFFFF"/>
                <w:sz w:val="24"/>
              </w:rPr>
              <w:t>Agenda</w:t>
            </w:r>
            <w:r>
              <w:rPr>
                <w:color w:val="FFFFFF"/>
                <w:spacing w:val="-3"/>
                <w:sz w:val="24"/>
              </w:rPr>
              <w:t xml:space="preserve"> </w:t>
            </w:r>
            <w:r>
              <w:rPr>
                <w:color w:val="FFFFFF"/>
                <w:spacing w:val="-5"/>
                <w:sz w:val="24"/>
              </w:rPr>
              <w:t>Map</w:t>
            </w:r>
          </w:p>
        </w:tc>
      </w:tr>
      <w:tr w:rsidR="00DB6E1F" w14:paraId="3BA2EF45" w14:textId="77777777">
        <w:trPr>
          <w:trHeight w:val="4828"/>
        </w:trPr>
        <w:tc>
          <w:tcPr>
            <w:tcW w:w="9350" w:type="dxa"/>
            <w:tcBorders>
              <w:top w:val="nil"/>
            </w:tcBorders>
          </w:tcPr>
          <w:p w14:paraId="4C9B93B8" w14:textId="77777777" w:rsidR="00DB6E1F" w:rsidRDefault="00F666A6">
            <w:pPr>
              <w:pStyle w:val="TableParagraph"/>
              <w:tabs>
                <w:tab w:val="left" w:pos="2492"/>
                <w:tab w:val="left" w:pos="4922"/>
              </w:tabs>
              <w:spacing w:before="0"/>
              <w:ind w:left="108"/>
              <w:rPr>
                <w:sz w:val="20"/>
              </w:rPr>
            </w:pPr>
            <w:r>
              <w:rPr>
                <w:sz w:val="20"/>
              </w:rPr>
            </w:r>
            <w:r>
              <w:rPr>
                <w:sz w:val="20"/>
              </w:rPr>
              <w:pict w14:anchorId="2C52C1B2">
                <v:group id="docshapegroup141" o:spid="_x0000_s2129" style="width:91.05pt;height:44.4pt;mso-position-horizontal-relative:char;mso-position-vertical-relative:line" coordsize="1821,888">
                  <v:shape id="docshape142" o:spid="_x0000_s2131" style="position:absolute;width:1821;height:888" coordsize="1821,888" path="m910,l811,3r-96,7l623,23,534,39,451,61,373,86r-73,28l235,146r-59,36l124,220,46,303,5,395,,444r5,48l46,584r78,83l176,705r59,36l300,773r73,28l451,826r83,22l623,864r92,13l811,884r99,3l1010,884r96,-7l1198,864r88,-16l1370,826r78,-25l1520,773r66,-32l1645,705r52,-38l1774,584r42,-92l1821,444r-5,-49l1774,303r-77,-83l1645,182r-59,-36l1520,114,1448,86,1370,61,1286,39,1198,23,1106,10,1010,3,910,xe" fillcolor="#627283" stroked="f">
                    <v:path arrowok="t"/>
                  </v:shape>
                  <v:shape id="docshape143" o:spid="_x0000_s2130" type="#_x0000_t75" style="position:absolute;left:448;top:278;width:921;height:388">
                    <v:imagedata r:id="rId92" o:title=""/>
                  </v:shape>
                  <w10:wrap type="none"/>
                  <w10:anchorlock/>
                </v:group>
              </w:pict>
            </w:r>
            <w:r>
              <w:rPr>
                <w:sz w:val="20"/>
              </w:rPr>
              <w:tab/>
            </w:r>
            <w:r>
              <w:rPr>
                <w:position w:val="43"/>
                <w:sz w:val="20"/>
              </w:rPr>
            </w:r>
            <w:r>
              <w:rPr>
                <w:position w:val="43"/>
                <w:sz w:val="20"/>
              </w:rPr>
              <w:pict w14:anchorId="3A3844A6">
                <v:group id="docshapegroup144" o:spid="_x0000_s2125" style="width:93.85pt;height:45pt;mso-position-horizontal-relative:char;mso-position-vertical-relative:line" coordsize="1877,900">
                  <v:rect id="docshape145" o:spid="_x0000_s2128" style="position:absolute;width:1877;height:900" fillcolor="#627283" stroked="f"/>
                  <v:shape id="docshape146" o:spid="_x0000_s2127" type="#_x0000_t75" style="position:absolute;left:557;top:181;width:755;height:388">
                    <v:imagedata r:id="rId93" o:title=""/>
                  </v:shape>
                  <v:shape id="docshape147" o:spid="_x0000_s2126" type="#_x0000_t75" style="position:absolute;left:293;top:385;width:1285;height:388">
                    <v:imagedata r:id="rId94" o:title=""/>
                  </v:shape>
                  <w10:wrap type="none"/>
                  <w10:anchorlock/>
                </v:group>
              </w:pict>
            </w:r>
            <w:r>
              <w:rPr>
                <w:position w:val="43"/>
                <w:sz w:val="20"/>
              </w:rPr>
              <w:tab/>
            </w:r>
            <w:r>
              <w:rPr>
                <w:sz w:val="20"/>
              </w:rPr>
            </w:r>
            <w:r>
              <w:rPr>
                <w:sz w:val="20"/>
              </w:rPr>
              <w:pict w14:anchorId="0D2ED9D7">
                <v:group id="docshapegroup148" o:spid="_x0000_s2122" style="width:93.45pt;height:55.65pt;mso-position-horizontal-relative:char;mso-position-vertical-relative:line" coordsize="1869,1113">
                  <v:shape id="docshape149" o:spid="_x0000_s2124" style="position:absolute;width:1869;height:1113" coordsize="1869,1113" path="m934,l,556r934,556l1868,556,934,xe" fillcolor="#627283" stroked="f">
                    <v:path arrowok="t"/>
                  </v:shape>
                  <v:shape id="docshape150" o:spid="_x0000_s2123" type="#_x0000_t75" style="position:absolute;left:491;top:387;width:884;height:376">
                    <v:imagedata r:id="rId95" o:title=""/>
                  </v:shape>
                  <w10:wrap type="none"/>
                  <w10:anchorlock/>
                </v:group>
              </w:pict>
            </w:r>
          </w:p>
          <w:p w14:paraId="077ED5DC" w14:textId="77777777" w:rsidR="00DB6E1F" w:rsidRDefault="00DB6E1F">
            <w:pPr>
              <w:pStyle w:val="TableParagraph"/>
              <w:spacing w:before="11"/>
              <w:ind w:left="0"/>
              <w:rPr>
                <w:sz w:val="23"/>
              </w:rPr>
            </w:pPr>
          </w:p>
          <w:p w14:paraId="27DF0E7F" w14:textId="77777777" w:rsidR="00DB6E1F" w:rsidRDefault="00F666A6">
            <w:pPr>
              <w:pStyle w:val="TableParagraph"/>
              <w:tabs>
                <w:tab w:val="left" w:pos="2643"/>
                <w:tab w:val="left" w:pos="5396"/>
              </w:tabs>
              <w:spacing w:before="0"/>
              <w:ind w:left="262"/>
              <w:rPr>
                <w:sz w:val="20"/>
              </w:rPr>
            </w:pPr>
            <w:r>
              <w:rPr>
                <w:position w:val="18"/>
                <w:sz w:val="20"/>
              </w:rPr>
            </w:r>
            <w:r>
              <w:rPr>
                <w:position w:val="18"/>
                <w:sz w:val="20"/>
              </w:rPr>
              <w:pict w14:anchorId="7FA0FFC6">
                <v:group id="docshapegroup151" o:spid="_x0000_s2119" style="width:82.25pt;height:40.6pt;mso-position-horizontal-relative:char;mso-position-vertical-relative:line" coordsize="1645,812">
                  <v:shape id="docshape152" o:spid="_x0000_s2121" style="position:absolute;width:1645;height:812" coordsize="1645,812" path="m1507,l,,,676,138,811r1507,l1645,135,1507,xe" fillcolor="#627283" stroked="f">
                    <v:path arrowok="t"/>
                  </v:shape>
                  <v:shape id="docshape153" o:spid="_x0000_s2120" type="#_x0000_t75" style="position:absolute;left:100;top:240;width:1442;height:388">
                    <v:imagedata r:id="rId96" o:title=""/>
                  </v:shape>
                  <w10:wrap type="none"/>
                  <w10:anchorlock/>
                </v:group>
              </w:pict>
            </w:r>
            <w:r>
              <w:rPr>
                <w:position w:val="18"/>
                <w:sz w:val="20"/>
              </w:rPr>
              <w:tab/>
            </w:r>
            <w:r>
              <w:rPr>
                <w:position w:val="47"/>
                <w:sz w:val="20"/>
              </w:rPr>
            </w:r>
            <w:r>
              <w:rPr>
                <w:position w:val="47"/>
                <w:sz w:val="20"/>
              </w:rPr>
              <w:pict w14:anchorId="241B8233">
                <v:group id="docshapegroup154" o:spid="_x0000_s2115" style="width:86.35pt;height:42.9pt;mso-position-horizontal-relative:char;mso-position-vertical-relative:line" coordsize="1727,858">
                  <v:shape id="docshape155" o:spid="_x0000_s2118" style="position:absolute;width:1727;height:858" coordsize="1727,858" path="m1726,l218,,,858r1508,l1726,xe" fillcolor="#627283" stroked="f">
                    <v:path arrowok="t"/>
                  </v:shape>
                  <v:shape id="docshape156" o:spid="_x0000_s2117" type="#_x0000_t75" style="position:absolute;left:446;top:187;width:837;height:361">
                    <v:imagedata r:id="rId97" o:title=""/>
                  </v:shape>
                  <v:shape id="docshape157" o:spid="_x0000_s2116" type="#_x0000_t75" style="position:absolute;left:519;top:364;width:689;height:306">
                    <v:imagedata r:id="rId98" o:title=""/>
                  </v:shape>
                  <w10:wrap type="none"/>
                  <w10:anchorlock/>
                </v:group>
              </w:pict>
            </w:r>
            <w:r>
              <w:rPr>
                <w:position w:val="47"/>
                <w:sz w:val="20"/>
              </w:rPr>
              <w:tab/>
            </w:r>
            <w:r>
              <w:rPr>
                <w:sz w:val="20"/>
              </w:rPr>
            </w:r>
            <w:r>
              <w:rPr>
                <w:sz w:val="20"/>
              </w:rPr>
              <w:pict w14:anchorId="21D3EB55">
                <v:group id="docshapegroup158" o:spid="_x0000_s2113" style="width:52.7pt;height:67.95pt;mso-position-horizontal-relative:char;mso-position-vertical-relative:line" coordsize="1054,1359">
                  <v:shape id="docshape159" o:spid="_x0000_s2114" style="position:absolute;width:1054;height:1359" coordsize="1054,1359" path="m527,l460,5,397,21,336,46,279,80r-53,42l177,171r-44,57l94,291,62,360,35,434,16,512,4,594,,679r4,86l16,847r19,78l62,999r32,69l133,1131r44,56l226,1237r53,42l336,1313r61,25l460,1354r67,5l593,1354r63,-16l717,1313r57,-34l827,1237r49,-50l920,1131r39,-63l991,999r27,-74l1037,847r12,-82l1053,679r-4,-85l1037,512r-19,-78l991,360,959,291,920,228,876,171,827,122,774,80,717,46,656,21,593,5,527,xe" fillcolor="#627283" stroked="f">
                    <v:path arrowok="t"/>
                  </v:shape>
                  <w10:wrap type="none"/>
                  <w10:anchorlock/>
                </v:group>
              </w:pict>
            </w:r>
          </w:p>
          <w:p w14:paraId="333BF31B" w14:textId="77777777" w:rsidR="00DB6E1F" w:rsidRDefault="00DB6E1F">
            <w:pPr>
              <w:pStyle w:val="TableParagraph"/>
              <w:spacing w:before="8" w:after="1"/>
              <w:ind w:left="0"/>
              <w:rPr>
                <w:sz w:val="19"/>
              </w:rPr>
            </w:pPr>
          </w:p>
          <w:p w14:paraId="1DEA2BE7" w14:textId="77777777" w:rsidR="00DB6E1F" w:rsidRDefault="00F666A6">
            <w:pPr>
              <w:pStyle w:val="TableParagraph"/>
              <w:tabs>
                <w:tab w:val="left" w:pos="2958"/>
                <w:tab w:val="left" w:pos="4927"/>
              </w:tabs>
              <w:spacing w:before="0"/>
              <w:ind w:left="592"/>
              <w:rPr>
                <w:sz w:val="20"/>
              </w:rPr>
            </w:pPr>
            <w:r>
              <w:rPr>
                <w:position w:val="25"/>
                <w:sz w:val="20"/>
              </w:rPr>
            </w:r>
            <w:r>
              <w:rPr>
                <w:position w:val="25"/>
                <w:sz w:val="20"/>
              </w:rPr>
              <w:pict w14:anchorId="16026365">
                <v:group id="docshapegroup160" o:spid="_x0000_s2110" style="width:89.05pt;height:41.65pt;mso-position-horizontal-relative:char;mso-position-vertical-relative:line" coordsize="1781,833">
                  <v:shape id="docshape161" o:spid="_x0000_s2112" style="position:absolute;width:1781;height:833" coordsize="1781,833" path="m1780,l141,,86,11,41,41,11,85,,139,,832r1639,l1694,821r45,-29l1769,748r11,-54l1780,xe" fillcolor="#627283" stroked="f">
                    <v:path arrowok="t"/>
                  </v:shape>
                  <v:shape id="docshape162" o:spid="_x0000_s2111" type="#_x0000_t75" style="position:absolute;left:345;top:248;width:1090;height:388">
                    <v:imagedata r:id="rId99" o:title=""/>
                  </v:shape>
                  <w10:wrap type="none"/>
                  <w10:anchorlock/>
                </v:group>
              </w:pict>
            </w:r>
            <w:r>
              <w:rPr>
                <w:position w:val="25"/>
                <w:sz w:val="20"/>
              </w:rPr>
              <w:tab/>
            </w:r>
            <w:r>
              <w:rPr>
                <w:sz w:val="20"/>
              </w:rPr>
            </w:r>
            <w:r>
              <w:rPr>
                <w:sz w:val="20"/>
              </w:rPr>
              <w:pict w14:anchorId="7CC8695A">
                <v:group id="docshapegroup163" o:spid="_x0000_s2106" style="width:68.25pt;height:62.8pt;mso-position-horizontal-relative:char;mso-position-vertical-relative:line" coordsize="1365,1256">
                  <v:shape id="docshape164" o:spid="_x0000_s2109" style="position:absolute;width:1365;height:1256" coordsize="1365,1256" path="m682,l602,4,526,17,452,37,382,64,316,98r-61,40l200,184r-50,51l106,291,69,352,40,416,18,484,5,555,,628r5,73l18,772r22,68l69,904r37,60l150,1021r50,51l255,1118r61,40l382,1192r70,27l526,1239r76,12l682,1256r80,-5l838,1239r74,-20l982,1192r66,-34l1109,1118r55,-46l1214,1021r44,-57l1295,904r29,-64l1346,772r13,-71l1364,628r-5,-73l1346,484r-22,-68l1295,352r-37,-61l1214,235r-50,-51l1109,138,1048,98,982,64,912,37,838,17,762,4,682,xe" fillcolor="#627283" stroked="f">
                    <v:path arrowok="t"/>
                  </v:shape>
                  <v:shape id="docshape165" o:spid="_x0000_s2108" type="#_x0000_t75" style="position:absolute;left:351;top:358;width:661;height:388">
                    <v:imagedata r:id="rId100" o:title=""/>
                  </v:shape>
                  <v:shape id="docshape166" o:spid="_x0000_s2107" type="#_x0000_t75" style="position:absolute;left:210;top:562;width:948;height:388">
                    <v:imagedata r:id="rId101" o:title=""/>
                  </v:shape>
                  <w10:wrap type="none"/>
                  <w10:anchorlock/>
                </v:group>
              </w:pict>
            </w:r>
            <w:r>
              <w:rPr>
                <w:sz w:val="20"/>
              </w:rPr>
              <w:tab/>
            </w:r>
            <w:r>
              <w:rPr>
                <w:position w:val="11"/>
                <w:sz w:val="20"/>
              </w:rPr>
            </w:r>
            <w:r>
              <w:rPr>
                <w:position w:val="11"/>
                <w:sz w:val="20"/>
              </w:rPr>
              <w:pict w14:anchorId="272A10E8">
                <v:group id="docshapegroup167" o:spid="_x0000_s2104" style="width:50.75pt;height:49.55pt;mso-position-horizontal-relative:char;mso-position-vertical-relative:line" coordsize="1015,991">
                  <v:rect id="docshape168" o:spid="_x0000_s2105" style="position:absolute;width:1015;height:991" fillcolor="#627283" stroked="f"/>
                  <w10:wrap type="none"/>
                  <w10:anchorlock/>
                </v:group>
              </w:pict>
            </w:r>
          </w:p>
        </w:tc>
      </w:tr>
      <w:tr w:rsidR="00DB6E1F" w14:paraId="5278A8D0" w14:textId="77777777">
        <w:trPr>
          <w:trHeight w:val="405"/>
        </w:trPr>
        <w:tc>
          <w:tcPr>
            <w:tcW w:w="9350" w:type="dxa"/>
          </w:tcPr>
          <w:p w14:paraId="74C2064D" w14:textId="77777777" w:rsidR="00DB6E1F" w:rsidRDefault="00F666A6">
            <w:pPr>
              <w:pStyle w:val="TableParagraph"/>
              <w:spacing w:before="80"/>
              <w:rPr>
                <w:i/>
                <w:sz w:val="20"/>
              </w:rPr>
            </w:pPr>
            <w:r>
              <w:rPr>
                <w:i/>
                <w:sz w:val="20"/>
              </w:rPr>
              <w:t>Source:</w:t>
            </w:r>
            <w:r>
              <w:rPr>
                <w:i/>
                <w:spacing w:val="-8"/>
                <w:sz w:val="20"/>
              </w:rPr>
              <w:t xml:space="preserve"> </w:t>
            </w:r>
            <w:r>
              <w:rPr>
                <w:i/>
                <w:sz w:val="20"/>
              </w:rPr>
              <w:t>Miller</w:t>
            </w:r>
            <w:r>
              <w:rPr>
                <w:i/>
                <w:spacing w:val="-7"/>
                <w:sz w:val="20"/>
              </w:rPr>
              <w:t xml:space="preserve"> </w:t>
            </w:r>
            <w:r>
              <w:rPr>
                <w:i/>
                <w:sz w:val="20"/>
              </w:rPr>
              <w:t>&amp;</w:t>
            </w:r>
            <w:r>
              <w:rPr>
                <w:i/>
                <w:spacing w:val="-5"/>
                <w:sz w:val="20"/>
              </w:rPr>
              <w:t xml:space="preserve"> </w:t>
            </w:r>
            <w:r>
              <w:rPr>
                <w:i/>
                <w:sz w:val="20"/>
              </w:rPr>
              <w:t>Rollnick,</w:t>
            </w:r>
            <w:r>
              <w:rPr>
                <w:i/>
                <w:spacing w:val="-5"/>
                <w:sz w:val="20"/>
              </w:rPr>
              <w:t xml:space="preserve"> </w:t>
            </w:r>
            <w:r>
              <w:rPr>
                <w:i/>
                <w:spacing w:val="-2"/>
                <w:sz w:val="20"/>
              </w:rPr>
              <w:t>2013.</w:t>
            </w:r>
          </w:p>
        </w:tc>
      </w:tr>
    </w:tbl>
    <w:p w14:paraId="79F122AE" w14:textId="77777777" w:rsidR="00DB6E1F" w:rsidRDefault="00F666A6">
      <w:pPr>
        <w:spacing w:before="163"/>
        <w:ind w:left="1440"/>
      </w:pPr>
      <w:r>
        <w:rPr>
          <w:b/>
        </w:rPr>
        <w:t>To</w:t>
      </w:r>
      <w:r>
        <w:rPr>
          <w:b/>
          <w:spacing w:val="-5"/>
        </w:rPr>
        <w:t xml:space="preserve"> </w:t>
      </w:r>
      <w:r>
        <w:rPr>
          <w:b/>
        </w:rPr>
        <w:t>engage</w:t>
      </w:r>
      <w:r>
        <w:rPr>
          <w:b/>
          <w:spacing w:val="-6"/>
        </w:rPr>
        <w:t xml:space="preserve"> </w:t>
      </w:r>
      <w:r>
        <w:rPr>
          <w:b/>
        </w:rPr>
        <w:t>in</w:t>
      </w:r>
      <w:r>
        <w:rPr>
          <w:b/>
          <w:spacing w:val="-4"/>
        </w:rPr>
        <w:t xml:space="preserve"> </w:t>
      </w:r>
      <w:r>
        <w:rPr>
          <w:b/>
        </w:rPr>
        <w:t>agenda</w:t>
      </w:r>
      <w:r>
        <w:rPr>
          <w:b/>
          <w:spacing w:val="-4"/>
        </w:rPr>
        <w:t xml:space="preserve"> </w:t>
      </w:r>
      <w:r>
        <w:rPr>
          <w:b/>
        </w:rPr>
        <w:t>mapping</w:t>
      </w:r>
      <w:r>
        <w:rPr>
          <w:b/>
          <w:spacing w:val="-3"/>
        </w:rPr>
        <w:t xml:space="preserve"> </w:t>
      </w:r>
      <w:r>
        <w:t>(Miller</w:t>
      </w:r>
      <w:r>
        <w:rPr>
          <w:spacing w:val="-5"/>
        </w:rPr>
        <w:t xml:space="preserve"> </w:t>
      </w:r>
      <w:r>
        <w:t>&amp;</w:t>
      </w:r>
      <w:r>
        <w:rPr>
          <w:spacing w:val="-2"/>
        </w:rPr>
        <w:t xml:space="preserve"> </w:t>
      </w:r>
      <w:r>
        <w:t>Rollnick,</w:t>
      </w:r>
      <w:r>
        <w:rPr>
          <w:spacing w:val="-3"/>
        </w:rPr>
        <w:t xml:space="preserve"> </w:t>
      </w:r>
      <w:r>
        <w:rPr>
          <w:spacing w:val="-2"/>
        </w:rPr>
        <w:t>2013):</w:t>
      </w:r>
    </w:p>
    <w:p w14:paraId="32CC555D" w14:textId="77777777" w:rsidR="00DB6E1F" w:rsidRDefault="00DB6E1F">
      <w:pPr>
        <w:sectPr w:rsidR="00DB6E1F">
          <w:pgSz w:w="12240" w:h="15840"/>
          <w:pgMar w:top="1200" w:right="0" w:bottom="780" w:left="0" w:header="763" w:footer="585" w:gutter="0"/>
          <w:cols w:space="720"/>
        </w:sectPr>
      </w:pPr>
    </w:p>
    <w:p w14:paraId="63F396D7" w14:textId="77777777" w:rsidR="00DB6E1F" w:rsidRDefault="00DB6E1F">
      <w:pPr>
        <w:pStyle w:val="BodyText"/>
        <w:rPr>
          <w:sz w:val="11"/>
        </w:rPr>
      </w:pPr>
    </w:p>
    <w:p w14:paraId="12EEAFF1" w14:textId="77777777" w:rsidR="00DB6E1F" w:rsidRDefault="00F666A6">
      <w:pPr>
        <w:pStyle w:val="ListParagraph"/>
        <w:numPr>
          <w:ilvl w:val="0"/>
          <w:numId w:val="92"/>
        </w:numPr>
        <w:tabs>
          <w:tab w:val="left" w:pos="1800"/>
          <w:tab w:val="left" w:pos="1801"/>
        </w:tabs>
        <w:spacing w:before="101"/>
        <w:ind w:left="1800" w:right="1939" w:hanging="360"/>
        <w:rPr>
          <w:rFonts w:ascii="Symbol" w:hAnsi="Symbol"/>
        </w:rPr>
      </w:pPr>
      <w:r>
        <w:t>Have an</w:t>
      </w:r>
      <w:r>
        <w:rPr>
          <w:spacing w:val="-4"/>
        </w:rPr>
        <w:t xml:space="preserve"> </w:t>
      </w:r>
      <w:r>
        <w:t>empty</w:t>
      </w:r>
      <w:r>
        <w:rPr>
          <w:spacing w:val="-3"/>
        </w:rPr>
        <w:t xml:space="preserve"> </w:t>
      </w:r>
      <w:r>
        <w:t>agenda</w:t>
      </w:r>
      <w:r>
        <w:rPr>
          <w:spacing w:val="-4"/>
        </w:rPr>
        <w:t xml:space="preserve"> </w:t>
      </w:r>
      <w:r>
        <w:t>map</w:t>
      </w:r>
      <w:r>
        <w:rPr>
          <w:spacing w:val="-2"/>
        </w:rPr>
        <w:t xml:space="preserve"> </w:t>
      </w:r>
      <w:r>
        <w:t>handout handy,</w:t>
      </w:r>
      <w:r>
        <w:rPr>
          <w:spacing w:val="-3"/>
        </w:rPr>
        <w:t xml:space="preserve"> </w:t>
      </w:r>
      <w:r>
        <w:t>or</w:t>
      </w:r>
      <w:r>
        <w:rPr>
          <w:spacing w:val="-1"/>
        </w:rPr>
        <w:t xml:space="preserve"> </w:t>
      </w:r>
      <w:r>
        <w:t>draw</w:t>
      </w:r>
      <w:r>
        <w:rPr>
          <w:spacing w:val="-3"/>
        </w:rPr>
        <w:t xml:space="preserve"> </w:t>
      </w:r>
      <w:r>
        <w:t>8 to</w:t>
      </w:r>
      <w:r>
        <w:rPr>
          <w:spacing w:val="-2"/>
        </w:rPr>
        <w:t xml:space="preserve"> </w:t>
      </w:r>
      <w:r>
        <w:t>10</w:t>
      </w:r>
      <w:r>
        <w:rPr>
          <w:spacing w:val="-2"/>
        </w:rPr>
        <w:t xml:space="preserve"> </w:t>
      </w:r>
      <w:r>
        <w:t>empty</w:t>
      </w:r>
      <w:r>
        <w:rPr>
          <w:spacing w:val="-2"/>
        </w:rPr>
        <w:t xml:space="preserve"> </w:t>
      </w:r>
      <w:r>
        <w:t>circles</w:t>
      </w:r>
      <w:r>
        <w:rPr>
          <w:spacing w:val="-3"/>
        </w:rPr>
        <w:t xml:space="preserve"> </w:t>
      </w:r>
      <w:r>
        <w:t>or</w:t>
      </w:r>
      <w:r>
        <w:rPr>
          <w:spacing w:val="-4"/>
        </w:rPr>
        <w:t xml:space="preserve"> </w:t>
      </w:r>
      <w:r>
        <w:t>shapes on</w:t>
      </w:r>
      <w:r>
        <w:rPr>
          <w:spacing w:val="-2"/>
        </w:rPr>
        <w:t xml:space="preserve"> </w:t>
      </w:r>
      <w:r>
        <w:t>a</w:t>
      </w:r>
      <w:r>
        <w:rPr>
          <w:spacing w:val="-3"/>
        </w:rPr>
        <w:t xml:space="preserve"> </w:t>
      </w:r>
      <w:r>
        <w:t xml:space="preserve">blank </w:t>
      </w:r>
      <w:r>
        <w:rPr>
          <w:spacing w:val="-2"/>
        </w:rPr>
        <w:t>paper.</w:t>
      </w:r>
    </w:p>
    <w:p w14:paraId="69E0715D" w14:textId="77777777" w:rsidR="00DB6E1F" w:rsidRDefault="00F666A6">
      <w:pPr>
        <w:pStyle w:val="ListParagraph"/>
        <w:numPr>
          <w:ilvl w:val="0"/>
          <w:numId w:val="92"/>
        </w:numPr>
        <w:tabs>
          <w:tab w:val="left" w:pos="1800"/>
          <w:tab w:val="left" w:pos="1801"/>
        </w:tabs>
        <w:spacing w:before="58"/>
        <w:ind w:left="1799" w:right="1771" w:hanging="360"/>
        <w:rPr>
          <w:rFonts w:ascii="Symbol" w:hAnsi="Symbol"/>
        </w:rPr>
      </w:pPr>
      <w:r>
        <w:t>Present the empty agenda map or the sheet of paper to the client by saying, “I know you were referred</w:t>
      </w:r>
      <w:r>
        <w:rPr>
          <w:spacing w:val="-3"/>
        </w:rPr>
        <w:t xml:space="preserve"> </w:t>
      </w:r>
      <w:r>
        <w:t>here</w:t>
      </w:r>
      <w:r>
        <w:rPr>
          <w:spacing w:val="-4"/>
        </w:rPr>
        <w:t xml:space="preserve"> </w:t>
      </w:r>
      <w:r>
        <w:t>to</w:t>
      </w:r>
      <w:r>
        <w:rPr>
          <w:spacing w:val="-3"/>
        </w:rPr>
        <w:t xml:space="preserve"> </w:t>
      </w:r>
      <w:r>
        <w:t>address</w:t>
      </w:r>
      <w:r>
        <w:rPr>
          <w:spacing w:val="-2"/>
        </w:rPr>
        <w:t xml:space="preserve"> </w:t>
      </w:r>
      <w:r>
        <w:t>[name</w:t>
      </w:r>
      <w:r>
        <w:rPr>
          <w:spacing w:val="-4"/>
        </w:rPr>
        <w:t xml:space="preserve"> </w:t>
      </w:r>
      <w:r>
        <w:t>the</w:t>
      </w:r>
      <w:r>
        <w:rPr>
          <w:spacing w:val="-1"/>
        </w:rPr>
        <w:t xml:space="preserve"> </w:t>
      </w:r>
      <w:r>
        <w:t>problem,</w:t>
      </w:r>
      <w:r>
        <w:rPr>
          <w:spacing w:val="-2"/>
        </w:rPr>
        <w:t xml:space="preserve"> </w:t>
      </w:r>
      <w:r>
        <w:t>such</w:t>
      </w:r>
      <w:r>
        <w:rPr>
          <w:spacing w:val="-5"/>
        </w:rPr>
        <w:t xml:space="preserve"> </w:t>
      </w:r>
      <w:r>
        <w:t>as</w:t>
      </w:r>
      <w:r>
        <w:rPr>
          <w:spacing w:val="-4"/>
        </w:rPr>
        <w:t xml:space="preserve"> </w:t>
      </w:r>
      <w:r>
        <w:t>drinking],</w:t>
      </w:r>
      <w:r>
        <w:rPr>
          <w:spacing w:val="-2"/>
        </w:rPr>
        <w:t xml:space="preserve"> </w:t>
      </w:r>
      <w:r>
        <w:t>but</w:t>
      </w:r>
      <w:r>
        <w:rPr>
          <w:spacing w:val="-1"/>
        </w:rPr>
        <w:t xml:space="preserve"> </w:t>
      </w:r>
      <w:r>
        <w:t>you</w:t>
      </w:r>
      <w:r>
        <w:rPr>
          <w:spacing w:val="-5"/>
        </w:rPr>
        <w:t xml:space="preserve"> </w:t>
      </w:r>
      <w:r>
        <w:t>may</w:t>
      </w:r>
      <w:r>
        <w:rPr>
          <w:spacing w:val="-1"/>
        </w:rPr>
        <w:t xml:space="preserve"> </w:t>
      </w:r>
      <w:r>
        <w:t>have</w:t>
      </w:r>
      <w:r>
        <w:rPr>
          <w:spacing w:val="-1"/>
        </w:rPr>
        <w:t xml:space="preserve"> </w:t>
      </w:r>
      <w:r>
        <w:t>other</w:t>
      </w:r>
      <w:r>
        <w:rPr>
          <w:spacing w:val="-2"/>
        </w:rPr>
        <w:t xml:space="preserve"> </w:t>
      </w:r>
      <w:r>
        <w:t>concerns you want to discuss. I’d like to take a few minutes and write down things you may want to talk about. That way, we’ll have a map we can look at to see whether we’re headed in the right direction. How does that sound?”</w:t>
      </w:r>
    </w:p>
    <w:p w14:paraId="6269DB31" w14:textId="77777777" w:rsidR="00DB6E1F" w:rsidRDefault="00F666A6">
      <w:pPr>
        <w:pStyle w:val="ListParagraph"/>
        <w:numPr>
          <w:ilvl w:val="0"/>
          <w:numId w:val="92"/>
        </w:numPr>
        <w:tabs>
          <w:tab w:val="left" w:pos="1799"/>
          <w:tab w:val="left" w:pos="1800"/>
        </w:tabs>
        <w:spacing w:before="61"/>
        <w:ind w:left="1799" w:right="1478" w:hanging="360"/>
        <w:rPr>
          <w:rFonts w:ascii="Symbol" w:hAnsi="Symbol"/>
        </w:rPr>
      </w:pPr>
      <w:r>
        <w:t>Write</w:t>
      </w:r>
      <w:r>
        <w:rPr>
          <w:spacing w:val="-1"/>
        </w:rPr>
        <w:t xml:space="preserve"> </w:t>
      </w:r>
      <w:r>
        <w:t>a</w:t>
      </w:r>
      <w:r>
        <w:rPr>
          <w:spacing w:val="-4"/>
        </w:rPr>
        <w:t xml:space="preserve"> </w:t>
      </w:r>
      <w:r>
        <w:t>different</w:t>
      </w:r>
      <w:r>
        <w:rPr>
          <w:spacing w:val="-1"/>
        </w:rPr>
        <w:t xml:space="preserve"> </w:t>
      </w:r>
      <w:r>
        <w:t>concern</w:t>
      </w:r>
      <w:r>
        <w:rPr>
          <w:spacing w:val="-5"/>
        </w:rPr>
        <w:t xml:space="preserve"> </w:t>
      </w:r>
      <w:r>
        <w:t>or</w:t>
      </w:r>
      <w:r>
        <w:rPr>
          <w:spacing w:val="-2"/>
        </w:rPr>
        <w:t xml:space="preserve"> </w:t>
      </w:r>
      <w:r>
        <w:t>issue</w:t>
      </w:r>
      <w:r>
        <w:rPr>
          <w:spacing w:val="-1"/>
        </w:rPr>
        <w:t xml:space="preserve"> </w:t>
      </w:r>
      <w:r>
        <w:t>in</w:t>
      </w:r>
      <w:r>
        <w:rPr>
          <w:spacing w:val="-5"/>
        </w:rPr>
        <w:t xml:space="preserve"> </w:t>
      </w:r>
      <w:r>
        <w:t>each</w:t>
      </w:r>
      <w:r>
        <w:rPr>
          <w:spacing w:val="-3"/>
        </w:rPr>
        <w:t xml:space="preserve"> </w:t>
      </w:r>
      <w:r>
        <w:t>circle.</w:t>
      </w:r>
      <w:r>
        <w:rPr>
          <w:spacing w:val="-2"/>
        </w:rPr>
        <w:t xml:space="preserve"> </w:t>
      </w:r>
      <w:r>
        <w:t>Leave</w:t>
      </w:r>
      <w:r>
        <w:rPr>
          <w:spacing w:val="-5"/>
        </w:rPr>
        <w:t xml:space="preserve"> </w:t>
      </w:r>
      <w:r>
        <w:t>two</w:t>
      </w:r>
      <w:r>
        <w:rPr>
          <w:spacing w:val="-2"/>
        </w:rPr>
        <w:t xml:space="preserve"> </w:t>
      </w:r>
      <w:r>
        <w:t>or</w:t>
      </w:r>
      <w:r>
        <w:rPr>
          <w:spacing w:val="-2"/>
        </w:rPr>
        <w:t xml:space="preserve"> </w:t>
      </w:r>
      <w:r>
        <w:t>three</w:t>
      </w:r>
      <w:r>
        <w:rPr>
          <w:spacing w:val="-1"/>
        </w:rPr>
        <w:t xml:space="preserve"> </w:t>
      </w:r>
      <w:r>
        <w:t>circles</w:t>
      </w:r>
      <w:r>
        <w:rPr>
          <w:spacing w:val="-2"/>
        </w:rPr>
        <w:t xml:space="preserve"> </w:t>
      </w:r>
      <w:r>
        <w:t>blank</w:t>
      </w:r>
      <w:r>
        <w:rPr>
          <w:spacing w:val="-4"/>
        </w:rPr>
        <w:t xml:space="preserve"> </w:t>
      </w:r>
      <w:r>
        <w:t>so</w:t>
      </w:r>
      <w:r>
        <w:rPr>
          <w:spacing w:val="-1"/>
        </w:rPr>
        <w:t xml:space="preserve"> </w:t>
      </w:r>
      <w:r>
        <w:t>that</w:t>
      </w:r>
      <w:r>
        <w:rPr>
          <w:spacing w:val="-4"/>
        </w:rPr>
        <w:t xml:space="preserve"> </w:t>
      </w:r>
      <w:r>
        <w:t>you</w:t>
      </w:r>
      <w:r>
        <w:rPr>
          <w:spacing w:val="-3"/>
        </w:rPr>
        <w:t xml:space="preserve"> </w:t>
      </w:r>
      <w:r>
        <w:t>can</w:t>
      </w:r>
      <w:r>
        <w:rPr>
          <w:spacing w:val="-5"/>
        </w:rPr>
        <w:t xml:space="preserve"> </w:t>
      </w:r>
      <w:r>
        <w:t>add a new client concern or suggest a topic that may be important to discuss. If you suggest a topic, frame it in a way that asks permission and leaves the choice to the client: “You’ve</w:t>
      </w:r>
      <w:r>
        <w:t xml:space="preserve"> mentioned a few different concerns that are important to discuss. Would it be okay to also talk about [name the problem, such as drug use] because that’s why you were referred to treatment?”</w:t>
      </w:r>
    </w:p>
    <w:p w14:paraId="120AE1E9" w14:textId="77777777" w:rsidR="00DB6E1F" w:rsidRDefault="00F666A6">
      <w:pPr>
        <w:pStyle w:val="ListParagraph"/>
        <w:numPr>
          <w:ilvl w:val="0"/>
          <w:numId w:val="92"/>
        </w:numPr>
        <w:tabs>
          <w:tab w:val="left" w:pos="1799"/>
          <w:tab w:val="left" w:pos="1800"/>
        </w:tabs>
        <w:spacing w:before="59"/>
        <w:ind w:left="1799" w:right="1484"/>
        <w:rPr>
          <w:rFonts w:ascii="Symbol" w:hAnsi="Symbol"/>
        </w:rPr>
      </w:pPr>
      <w:r>
        <w:t>Ask</w:t>
      </w:r>
      <w:r>
        <w:rPr>
          <w:spacing w:val="-1"/>
        </w:rPr>
        <w:t xml:space="preserve"> </w:t>
      </w:r>
      <w:r>
        <w:t>the</w:t>
      </w:r>
      <w:r>
        <w:rPr>
          <w:spacing w:val="-3"/>
        </w:rPr>
        <w:t xml:space="preserve"> </w:t>
      </w:r>
      <w:r>
        <w:t>client</w:t>
      </w:r>
      <w:r>
        <w:rPr>
          <w:spacing w:val="-3"/>
        </w:rPr>
        <w:t xml:space="preserve"> </w:t>
      </w:r>
      <w:r>
        <w:t>what</w:t>
      </w:r>
      <w:r>
        <w:rPr>
          <w:spacing w:val="-3"/>
        </w:rPr>
        <w:t xml:space="preserve"> </w:t>
      </w:r>
      <w:r>
        <w:t>the</w:t>
      </w:r>
      <w:r>
        <w:rPr>
          <w:spacing w:val="-3"/>
        </w:rPr>
        <w:t xml:space="preserve"> </w:t>
      </w:r>
      <w:r>
        <w:t>most pressing</w:t>
      </w:r>
      <w:r>
        <w:rPr>
          <w:spacing w:val="-2"/>
        </w:rPr>
        <w:t xml:space="preserve"> </w:t>
      </w:r>
      <w:r>
        <w:t>concern</w:t>
      </w:r>
      <w:r>
        <w:rPr>
          <w:spacing w:val="-2"/>
        </w:rPr>
        <w:t xml:space="preserve"> </w:t>
      </w:r>
      <w:r>
        <w:t>is:</w:t>
      </w:r>
      <w:r>
        <w:rPr>
          <w:spacing w:val="-2"/>
        </w:rPr>
        <w:t xml:space="preserve"> </w:t>
      </w:r>
      <w:r>
        <w:t>“You’ve</w:t>
      </w:r>
      <w:r>
        <w:rPr>
          <w:spacing w:val="-3"/>
        </w:rPr>
        <w:t xml:space="preserve"> </w:t>
      </w:r>
      <w:r>
        <w:t>mentio</w:t>
      </w:r>
      <w:r>
        <w:t>ned</w:t>
      </w:r>
      <w:r>
        <w:rPr>
          <w:spacing w:val="-2"/>
        </w:rPr>
        <w:t xml:space="preserve"> </w:t>
      </w:r>
      <w:r>
        <w:t>several</w:t>
      </w:r>
      <w:r>
        <w:rPr>
          <w:spacing w:val="-4"/>
        </w:rPr>
        <w:t xml:space="preserve"> </w:t>
      </w:r>
      <w:r>
        <w:t>things</w:t>
      </w:r>
      <w:r>
        <w:rPr>
          <w:spacing w:val="-1"/>
        </w:rPr>
        <w:t xml:space="preserve"> </w:t>
      </w:r>
      <w:r>
        <w:t>you’d</w:t>
      </w:r>
      <w:r>
        <w:rPr>
          <w:spacing w:val="-4"/>
        </w:rPr>
        <w:t xml:space="preserve"> </w:t>
      </w:r>
      <w:r>
        <w:t>like</w:t>
      </w:r>
      <w:r>
        <w:rPr>
          <w:spacing w:val="-3"/>
        </w:rPr>
        <w:t xml:space="preserve"> </w:t>
      </w:r>
      <w:r>
        <w:t>to</w:t>
      </w:r>
      <w:r>
        <w:rPr>
          <w:spacing w:val="-2"/>
        </w:rPr>
        <w:t xml:space="preserve"> </w:t>
      </w:r>
      <w:r>
        <w:t>talk about. (Summarize) Where would you like to start?”</w:t>
      </w:r>
    </w:p>
    <w:p w14:paraId="46896BD4" w14:textId="77777777" w:rsidR="00DB6E1F" w:rsidRDefault="00F666A6">
      <w:pPr>
        <w:pStyle w:val="ListParagraph"/>
        <w:numPr>
          <w:ilvl w:val="0"/>
          <w:numId w:val="92"/>
        </w:numPr>
        <w:tabs>
          <w:tab w:val="left" w:pos="1799"/>
          <w:tab w:val="left" w:pos="1800"/>
        </w:tabs>
        <w:spacing w:before="61"/>
        <w:ind w:left="1799"/>
        <w:rPr>
          <w:rFonts w:ascii="Symbol" w:hAnsi="Symbol"/>
        </w:rPr>
      </w:pPr>
      <w:r>
        <w:t>Leave</w:t>
      </w:r>
      <w:r>
        <w:rPr>
          <w:spacing w:val="-5"/>
        </w:rPr>
        <w:t xml:space="preserve"> </w:t>
      </w:r>
      <w:r>
        <w:t>time</w:t>
      </w:r>
      <w:r>
        <w:rPr>
          <w:spacing w:val="-2"/>
        </w:rPr>
        <w:t xml:space="preserve"> </w:t>
      </w:r>
      <w:r>
        <w:t>to</w:t>
      </w:r>
      <w:r>
        <w:rPr>
          <w:spacing w:val="-2"/>
        </w:rPr>
        <w:t xml:space="preserve"> </w:t>
      </w:r>
      <w:r>
        <w:t>guide</w:t>
      </w:r>
      <w:r>
        <w:rPr>
          <w:spacing w:val="-5"/>
        </w:rPr>
        <w:t xml:space="preserve"> </w:t>
      </w:r>
      <w:r>
        <w:t>the</w:t>
      </w:r>
      <w:r>
        <w:rPr>
          <w:spacing w:val="-3"/>
        </w:rPr>
        <w:t xml:space="preserve"> </w:t>
      </w:r>
      <w:r>
        <w:t>client</w:t>
      </w:r>
      <w:r>
        <w:rPr>
          <w:spacing w:val="-2"/>
        </w:rPr>
        <w:t xml:space="preserve"> </w:t>
      </w:r>
      <w:r>
        <w:t>back</w:t>
      </w:r>
      <w:r>
        <w:rPr>
          <w:spacing w:val="-5"/>
        </w:rPr>
        <w:t xml:space="preserve"> </w:t>
      </w:r>
      <w:r>
        <w:t>to</w:t>
      </w:r>
      <w:r>
        <w:rPr>
          <w:spacing w:val="-4"/>
        </w:rPr>
        <w:t xml:space="preserve"> </w:t>
      </w:r>
      <w:r>
        <w:t>the</w:t>
      </w:r>
      <w:r>
        <w:rPr>
          <w:spacing w:val="-5"/>
        </w:rPr>
        <w:t xml:space="preserve"> </w:t>
      </w:r>
      <w:r>
        <w:t>substance</w:t>
      </w:r>
      <w:r>
        <w:rPr>
          <w:spacing w:val="-7"/>
        </w:rPr>
        <w:t xml:space="preserve"> </w:t>
      </w:r>
      <w:r>
        <w:t>use</w:t>
      </w:r>
      <w:r>
        <w:rPr>
          <w:spacing w:val="-2"/>
        </w:rPr>
        <w:t xml:space="preserve"> </w:t>
      </w:r>
      <w:r>
        <w:t>concern</w:t>
      </w:r>
      <w:r>
        <w:rPr>
          <w:spacing w:val="-4"/>
        </w:rPr>
        <w:t xml:space="preserve"> </w:t>
      </w:r>
      <w:r>
        <w:t>if</w:t>
      </w:r>
      <w:r>
        <w:rPr>
          <w:spacing w:val="-4"/>
        </w:rPr>
        <w:t xml:space="preserve"> </w:t>
      </w:r>
      <w:r>
        <w:t>not</w:t>
      </w:r>
      <w:r>
        <w:rPr>
          <w:spacing w:val="-2"/>
        </w:rPr>
        <w:t xml:space="preserve"> </w:t>
      </w:r>
      <w:r>
        <w:t>discussed</w:t>
      </w:r>
      <w:r>
        <w:rPr>
          <w:spacing w:val="-4"/>
        </w:rPr>
        <w:t xml:space="preserve"> </w:t>
      </w:r>
      <w:r>
        <w:t>during</w:t>
      </w:r>
      <w:r>
        <w:rPr>
          <w:spacing w:val="-4"/>
        </w:rPr>
        <w:t xml:space="preserve"> </w:t>
      </w:r>
      <w:r>
        <w:t>the</w:t>
      </w:r>
      <w:r>
        <w:rPr>
          <w:spacing w:val="-2"/>
        </w:rPr>
        <w:t xml:space="preserve"> session.</w:t>
      </w:r>
    </w:p>
    <w:p w14:paraId="20FA8919" w14:textId="77777777" w:rsidR="00DB6E1F" w:rsidRDefault="00F666A6">
      <w:pPr>
        <w:pStyle w:val="ListParagraph"/>
        <w:numPr>
          <w:ilvl w:val="0"/>
          <w:numId w:val="92"/>
        </w:numPr>
        <w:tabs>
          <w:tab w:val="left" w:pos="1799"/>
          <w:tab w:val="left" w:pos="1800"/>
        </w:tabs>
        <w:ind w:left="1799" w:right="1686"/>
        <w:rPr>
          <w:rFonts w:ascii="Symbol" w:hAnsi="Symbol"/>
        </w:rPr>
      </w:pPr>
      <w:r>
        <w:t>Keep</w:t>
      </w:r>
      <w:r>
        <w:rPr>
          <w:spacing w:val="-4"/>
        </w:rPr>
        <w:t xml:space="preserve"> </w:t>
      </w:r>
      <w:r>
        <w:t>the</w:t>
      </w:r>
      <w:r>
        <w:rPr>
          <w:spacing w:val="-3"/>
        </w:rPr>
        <w:t xml:space="preserve"> </w:t>
      </w:r>
      <w:r>
        <w:t>map</w:t>
      </w:r>
      <w:r>
        <w:rPr>
          <w:spacing w:val="-3"/>
        </w:rPr>
        <w:t xml:space="preserve"> </w:t>
      </w:r>
      <w:r>
        <w:t>as</w:t>
      </w:r>
      <w:r>
        <w:rPr>
          <w:spacing w:val="-3"/>
        </w:rPr>
        <w:t xml:space="preserve"> </w:t>
      </w:r>
      <w:r>
        <w:t>a</w:t>
      </w:r>
      <w:r>
        <w:rPr>
          <w:spacing w:val="-2"/>
        </w:rPr>
        <w:t xml:space="preserve"> </w:t>
      </w:r>
      <w:r>
        <w:t>visual</w:t>
      </w:r>
      <w:r>
        <w:rPr>
          <w:spacing w:val="-2"/>
        </w:rPr>
        <w:t xml:space="preserve"> </w:t>
      </w:r>
      <w:r>
        <w:t>record,</w:t>
      </w:r>
      <w:r>
        <w:rPr>
          <w:spacing w:val="-2"/>
        </w:rPr>
        <w:t xml:space="preserve"> </w:t>
      </w:r>
      <w:r>
        <w:t>and</w:t>
      </w:r>
      <w:r>
        <w:rPr>
          <w:spacing w:val="-3"/>
        </w:rPr>
        <w:t xml:space="preserve"> </w:t>
      </w:r>
      <w:r>
        <w:t>refer</w:t>
      </w:r>
      <w:r>
        <w:rPr>
          <w:spacing w:val="-2"/>
        </w:rPr>
        <w:t xml:space="preserve"> </w:t>
      </w:r>
      <w:r>
        <w:t>back</w:t>
      </w:r>
      <w:r>
        <w:rPr>
          <w:spacing w:val="-1"/>
        </w:rPr>
        <w:t xml:space="preserve"> </w:t>
      </w:r>
      <w:r>
        <w:t>to</w:t>
      </w:r>
      <w:r>
        <w:rPr>
          <w:spacing w:val="-1"/>
        </w:rPr>
        <w:t xml:space="preserve"> </w:t>
      </w:r>
      <w:r>
        <w:t>it</w:t>
      </w:r>
      <w:r>
        <w:rPr>
          <w:spacing w:val="-1"/>
        </w:rPr>
        <w:t xml:space="preserve"> </w:t>
      </w:r>
      <w:r>
        <w:t>with</w:t>
      </w:r>
      <w:r>
        <w:rPr>
          <w:spacing w:val="-3"/>
        </w:rPr>
        <w:t xml:space="preserve"> </w:t>
      </w:r>
      <w:r>
        <w:t>the</w:t>
      </w:r>
      <w:r>
        <w:rPr>
          <w:spacing w:val="-1"/>
        </w:rPr>
        <w:t xml:space="preserve"> </w:t>
      </w:r>
      <w:r>
        <w:t>client</w:t>
      </w:r>
      <w:r>
        <w:rPr>
          <w:spacing w:val="-1"/>
        </w:rPr>
        <w:t xml:space="preserve"> </w:t>
      </w:r>
      <w:r>
        <w:t>as</w:t>
      </w:r>
      <w:r>
        <w:rPr>
          <w:spacing w:val="-3"/>
        </w:rPr>
        <w:t xml:space="preserve"> </w:t>
      </w:r>
      <w:r>
        <w:t>a</w:t>
      </w:r>
      <w:r>
        <w:rPr>
          <w:spacing w:val="-2"/>
        </w:rPr>
        <w:t xml:space="preserve"> </w:t>
      </w:r>
      <w:r>
        <w:t>reminder</w:t>
      </w:r>
      <w:r>
        <w:rPr>
          <w:spacing w:val="-6"/>
        </w:rPr>
        <w:t xml:space="preserve"> </w:t>
      </w:r>
      <w:r>
        <w:t>of</w:t>
      </w:r>
      <w:r>
        <w:rPr>
          <w:spacing w:val="-2"/>
        </w:rPr>
        <w:t xml:space="preserve"> </w:t>
      </w:r>
      <w:r>
        <w:t>the</w:t>
      </w:r>
      <w:r>
        <w:rPr>
          <w:spacing w:val="-3"/>
        </w:rPr>
        <w:t xml:space="preserve"> </w:t>
      </w:r>
      <w:r>
        <w:t>focus</w:t>
      </w:r>
      <w:r>
        <w:rPr>
          <w:spacing w:val="-2"/>
        </w:rPr>
        <w:t xml:space="preserve"> </w:t>
      </w:r>
      <w:r>
        <w:t>and direction of the counseling process. Add and delete topics as needed.</w:t>
      </w:r>
    </w:p>
    <w:p w14:paraId="466A38D5" w14:textId="77777777" w:rsidR="00DB6E1F" w:rsidRDefault="00F666A6">
      <w:pPr>
        <w:pStyle w:val="ListParagraph"/>
        <w:numPr>
          <w:ilvl w:val="0"/>
          <w:numId w:val="92"/>
        </w:numPr>
        <w:tabs>
          <w:tab w:val="left" w:pos="1799"/>
          <w:tab w:val="left" w:pos="1800"/>
        </w:tabs>
        <w:spacing w:before="59"/>
        <w:ind w:left="1799"/>
        <w:rPr>
          <w:rFonts w:ascii="Symbol" w:hAnsi="Symbol"/>
        </w:rPr>
      </w:pPr>
      <w:r>
        <w:t>Remember</w:t>
      </w:r>
      <w:r>
        <w:rPr>
          <w:spacing w:val="-6"/>
        </w:rPr>
        <w:t xml:space="preserve"> </w:t>
      </w:r>
      <w:r>
        <w:t>to</w:t>
      </w:r>
      <w:r>
        <w:rPr>
          <w:spacing w:val="-2"/>
        </w:rPr>
        <w:t xml:space="preserve"> </w:t>
      </w:r>
      <w:r>
        <w:t>use</w:t>
      </w:r>
      <w:r>
        <w:rPr>
          <w:spacing w:val="-3"/>
        </w:rPr>
        <w:t xml:space="preserve"> </w:t>
      </w:r>
      <w:r>
        <w:t>OARS</w:t>
      </w:r>
      <w:r>
        <w:rPr>
          <w:spacing w:val="-6"/>
        </w:rPr>
        <w:t xml:space="preserve"> </w:t>
      </w:r>
      <w:r>
        <w:t>throughout</w:t>
      </w:r>
      <w:r>
        <w:rPr>
          <w:spacing w:val="-5"/>
        </w:rPr>
        <w:t xml:space="preserve"> </w:t>
      </w:r>
      <w:r>
        <w:t>this</w:t>
      </w:r>
      <w:r>
        <w:rPr>
          <w:spacing w:val="-3"/>
        </w:rPr>
        <w:t xml:space="preserve"> </w:t>
      </w:r>
      <w:r>
        <w:t>process</w:t>
      </w:r>
      <w:r>
        <w:rPr>
          <w:spacing w:val="-5"/>
        </w:rPr>
        <w:t xml:space="preserve"> </w:t>
      </w:r>
      <w:r>
        <w:t>to</w:t>
      </w:r>
      <w:r>
        <w:rPr>
          <w:spacing w:val="-5"/>
        </w:rPr>
        <w:t xml:space="preserve"> </w:t>
      </w:r>
      <w:r>
        <w:t>move</w:t>
      </w:r>
      <w:r>
        <w:rPr>
          <w:spacing w:val="-5"/>
        </w:rPr>
        <w:t xml:space="preserve"> </w:t>
      </w:r>
      <w:r>
        <w:t>the</w:t>
      </w:r>
      <w:r>
        <w:rPr>
          <w:spacing w:val="-2"/>
        </w:rPr>
        <w:t xml:space="preserve"> </w:t>
      </w:r>
      <w:r>
        <w:t>conversation</w:t>
      </w:r>
      <w:r>
        <w:rPr>
          <w:spacing w:val="-4"/>
        </w:rPr>
        <w:t xml:space="preserve"> </w:t>
      </w:r>
      <w:r>
        <w:rPr>
          <w:spacing w:val="-2"/>
        </w:rPr>
        <w:t>along.</w:t>
      </w:r>
    </w:p>
    <w:p w14:paraId="7413186B" w14:textId="77777777" w:rsidR="00DB6E1F" w:rsidRDefault="00F666A6">
      <w:pPr>
        <w:pStyle w:val="Heading4"/>
        <w:spacing w:before="203"/>
      </w:pPr>
      <w:bookmarkStart w:id="108" w:name="Identifying_a_target_behavior"/>
      <w:bookmarkEnd w:id="108"/>
      <w:r>
        <w:t>Identifying</w:t>
      </w:r>
      <w:r>
        <w:rPr>
          <w:spacing w:val="-8"/>
        </w:rPr>
        <w:t xml:space="preserve"> </w:t>
      </w:r>
      <w:r>
        <w:t>a</w:t>
      </w:r>
      <w:r>
        <w:rPr>
          <w:spacing w:val="-6"/>
        </w:rPr>
        <w:t xml:space="preserve"> </w:t>
      </w:r>
      <w:r>
        <w:t>target</w:t>
      </w:r>
      <w:r>
        <w:rPr>
          <w:spacing w:val="-9"/>
        </w:rPr>
        <w:t xml:space="preserve"> </w:t>
      </w:r>
      <w:r>
        <w:rPr>
          <w:spacing w:val="-2"/>
        </w:rPr>
        <w:t>behavior</w:t>
      </w:r>
    </w:p>
    <w:p w14:paraId="1B9CC74C" w14:textId="77777777" w:rsidR="00DB6E1F" w:rsidRDefault="00F666A6">
      <w:pPr>
        <w:spacing w:before="83"/>
        <w:ind w:left="1439" w:right="1491"/>
      </w:pPr>
      <w:r>
        <w:rPr>
          <w:b/>
        </w:rPr>
        <w:t>Once</w:t>
      </w:r>
      <w:r>
        <w:rPr>
          <w:b/>
          <w:spacing w:val="-3"/>
        </w:rPr>
        <w:t xml:space="preserve"> </w:t>
      </w:r>
      <w:r>
        <w:rPr>
          <w:b/>
        </w:rPr>
        <w:t>you</w:t>
      </w:r>
      <w:r>
        <w:rPr>
          <w:b/>
          <w:spacing w:val="-3"/>
        </w:rPr>
        <w:t xml:space="preserve"> </w:t>
      </w:r>
      <w:r>
        <w:rPr>
          <w:b/>
        </w:rPr>
        <w:t>and</w:t>
      </w:r>
      <w:r>
        <w:rPr>
          <w:b/>
          <w:spacing w:val="-3"/>
        </w:rPr>
        <w:t xml:space="preserve"> </w:t>
      </w:r>
      <w:r>
        <w:rPr>
          <w:b/>
        </w:rPr>
        <w:t>the</w:t>
      </w:r>
      <w:r>
        <w:rPr>
          <w:b/>
          <w:spacing w:val="-3"/>
        </w:rPr>
        <w:t xml:space="preserve"> </w:t>
      </w:r>
      <w:r>
        <w:rPr>
          <w:b/>
        </w:rPr>
        <w:t>client</w:t>
      </w:r>
      <w:r>
        <w:rPr>
          <w:b/>
          <w:spacing w:val="-1"/>
        </w:rPr>
        <w:t xml:space="preserve"> </w:t>
      </w:r>
      <w:r>
        <w:rPr>
          <w:b/>
        </w:rPr>
        <w:t>agree</w:t>
      </w:r>
      <w:r>
        <w:rPr>
          <w:b/>
          <w:spacing w:val="-3"/>
        </w:rPr>
        <w:t xml:space="preserve"> </w:t>
      </w:r>
      <w:r>
        <w:rPr>
          <w:b/>
        </w:rPr>
        <w:t>on</w:t>
      </w:r>
      <w:r>
        <w:rPr>
          <w:b/>
          <w:spacing w:val="-3"/>
        </w:rPr>
        <w:t xml:space="preserve"> </w:t>
      </w:r>
      <w:r>
        <w:rPr>
          <w:b/>
        </w:rPr>
        <w:t>a</w:t>
      </w:r>
      <w:r>
        <w:rPr>
          <w:b/>
          <w:spacing w:val="-3"/>
        </w:rPr>
        <w:t xml:space="preserve"> </w:t>
      </w:r>
      <w:r>
        <w:rPr>
          <w:b/>
        </w:rPr>
        <w:t>general</w:t>
      </w:r>
      <w:r>
        <w:rPr>
          <w:b/>
          <w:spacing w:val="-1"/>
        </w:rPr>
        <w:t xml:space="preserve"> </w:t>
      </w:r>
      <w:r>
        <w:rPr>
          <w:b/>
        </w:rPr>
        <w:t>direction,</w:t>
      </w:r>
      <w:r>
        <w:rPr>
          <w:b/>
          <w:spacing w:val="-4"/>
        </w:rPr>
        <w:t xml:space="preserve"> </w:t>
      </w:r>
      <w:r>
        <w:rPr>
          <w:b/>
        </w:rPr>
        <w:t>focus on</w:t>
      </w:r>
      <w:r>
        <w:rPr>
          <w:b/>
          <w:spacing w:val="-3"/>
        </w:rPr>
        <w:t xml:space="preserve"> </w:t>
      </w:r>
      <w:r>
        <w:rPr>
          <w:b/>
        </w:rPr>
        <w:t>a</w:t>
      </w:r>
      <w:r>
        <w:rPr>
          <w:b/>
          <w:spacing w:val="-3"/>
        </w:rPr>
        <w:t xml:space="preserve"> </w:t>
      </w:r>
      <w:r>
        <w:rPr>
          <w:b/>
        </w:rPr>
        <w:t>specific</w:t>
      </w:r>
      <w:r>
        <w:rPr>
          <w:b/>
          <w:spacing w:val="-1"/>
        </w:rPr>
        <w:t xml:space="preserve"> </w:t>
      </w:r>
      <w:r>
        <w:rPr>
          <w:b/>
        </w:rPr>
        <w:t>behavior</w:t>
      </w:r>
      <w:r>
        <w:rPr>
          <w:b/>
          <w:spacing w:val="-1"/>
        </w:rPr>
        <w:t xml:space="preserve"> </w:t>
      </w:r>
      <w:r>
        <w:rPr>
          <w:b/>
        </w:rPr>
        <w:t>the</w:t>
      </w:r>
      <w:r>
        <w:rPr>
          <w:b/>
          <w:spacing w:val="-2"/>
        </w:rPr>
        <w:t xml:space="preserve"> </w:t>
      </w:r>
      <w:r>
        <w:rPr>
          <w:b/>
        </w:rPr>
        <w:t>client</w:t>
      </w:r>
      <w:r>
        <w:rPr>
          <w:b/>
          <w:spacing w:val="-4"/>
        </w:rPr>
        <w:t xml:space="preserve"> </w:t>
      </w:r>
      <w:r>
        <w:rPr>
          <w:b/>
        </w:rPr>
        <w:t>is</w:t>
      </w:r>
      <w:r>
        <w:rPr>
          <w:b/>
          <w:spacing w:val="-1"/>
        </w:rPr>
        <w:t xml:space="preserve"> </w:t>
      </w:r>
      <w:r>
        <w:rPr>
          <w:b/>
        </w:rPr>
        <w:t>ready</w:t>
      </w:r>
      <w:r>
        <w:rPr>
          <w:b/>
          <w:spacing w:val="-3"/>
        </w:rPr>
        <w:t xml:space="preserve"> </w:t>
      </w:r>
      <w:r>
        <w:rPr>
          <w:b/>
        </w:rPr>
        <w:t xml:space="preserve">to discuss. </w:t>
      </w:r>
      <w:r>
        <w:t>Change talk links to a specific behavior change target (Miller &amp; Rollnick, 2010); you can’t evoke change talk until you identify a target behavior. For example, if the client i</w:t>
      </w:r>
      <w:r>
        <w:t xml:space="preserve">s ready to discuss drinking, </w:t>
      </w:r>
      <w:r>
        <w:rPr>
          <w:spacing w:val="-2"/>
        </w:rPr>
        <w:t>guide</w:t>
      </w:r>
      <w:r>
        <w:rPr>
          <w:spacing w:val="-8"/>
        </w:rPr>
        <w:t xml:space="preserve"> </w:t>
      </w:r>
      <w:r>
        <w:rPr>
          <w:spacing w:val="-2"/>
        </w:rPr>
        <w:t>the</w:t>
      </w:r>
      <w:r>
        <w:rPr>
          <w:spacing w:val="-6"/>
        </w:rPr>
        <w:t xml:space="preserve"> </w:t>
      </w:r>
      <w:r>
        <w:rPr>
          <w:spacing w:val="-2"/>
        </w:rPr>
        <w:t>conversation</w:t>
      </w:r>
      <w:r>
        <w:rPr>
          <w:spacing w:val="-9"/>
        </w:rPr>
        <w:t xml:space="preserve"> </w:t>
      </w:r>
      <w:r>
        <w:rPr>
          <w:spacing w:val="-2"/>
        </w:rPr>
        <w:t>toward</w:t>
      </w:r>
      <w:r>
        <w:rPr>
          <w:spacing w:val="-9"/>
        </w:rPr>
        <w:t xml:space="preserve"> </w:t>
      </w:r>
      <w:r>
        <w:rPr>
          <w:spacing w:val="-2"/>
        </w:rPr>
        <w:t>details</w:t>
      </w:r>
      <w:r>
        <w:rPr>
          <w:spacing w:val="-9"/>
        </w:rPr>
        <w:t xml:space="preserve"> </w:t>
      </w:r>
      <w:r>
        <w:rPr>
          <w:spacing w:val="-2"/>
        </w:rPr>
        <w:t>specific</w:t>
      </w:r>
      <w:r>
        <w:rPr>
          <w:spacing w:val="-6"/>
        </w:rPr>
        <w:t xml:space="preserve"> </w:t>
      </w:r>
      <w:r>
        <w:rPr>
          <w:spacing w:val="-2"/>
        </w:rPr>
        <w:t>to</w:t>
      </w:r>
      <w:r>
        <w:rPr>
          <w:spacing w:val="-7"/>
        </w:rPr>
        <w:t xml:space="preserve"> </w:t>
      </w:r>
      <w:r>
        <w:rPr>
          <w:spacing w:val="-2"/>
        </w:rPr>
        <w:t>that</w:t>
      </w:r>
      <w:r>
        <w:rPr>
          <w:spacing w:val="-8"/>
        </w:rPr>
        <w:t xml:space="preserve"> </w:t>
      </w:r>
      <w:r>
        <w:rPr>
          <w:spacing w:val="-2"/>
        </w:rPr>
        <w:t>concern.</w:t>
      </w:r>
      <w:r>
        <w:rPr>
          <w:spacing w:val="-7"/>
        </w:rPr>
        <w:t xml:space="preserve"> </w:t>
      </w:r>
      <w:r>
        <w:rPr>
          <w:spacing w:val="-2"/>
        </w:rPr>
        <w:t>A</w:t>
      </w:r>
      <w:r>
        <w:rPr>
          <w:spacing w:val="-9"/>
        </w:rPr>
        <w:t xml:space="preserve"> </w:t>
      </w:r>
      <w:r>
        <w:rPr>
          <w:spacing w:val="-2"/>
        </w:rPr>
        <w:t>sample</w:t>
      </w:r>
      <w:r>
        <w:rPr>
          <w:spacing w:val="-8"/>
        </w:rPr>
        <w:t xml:space="preserve"> </w:t>
      </w:r>
      <w:r>
        <w:rPr>
          <w:spacing w:val="-2"/>
        </w:rPr>
        <w:t>of</w:t>
      </w:r>
      <w:r>
        <w:rPr>
          <w:spacing w:val="-8"/>
        </w:rPr>
        <w:t xml:space="preserve"> </w:t>
      </w:r>
      <w:r>
        <w:rPr>
          <w:spacing w:val="-2"/>
        </w:rPr>
        <w:t>such</w:t>
      </w:r>
      <w:r>
        <w:rPr>
          <w:spacing w:val="-9"/>
        </w:rPr>
        <w:t xml:space="preserve"> </w:t>
      </w:r>
      <w:r>
        <w:rPr>
          <w:spacing w:val="-2"/>
        </w:rPr>
        <w:t>a</w:t>
      </w:r>
      <w:r>
        <w:rPr>
          <w:spacing w:val="-9"/>
        </w:rPr>
        <w:t xml:space="preserve"> </w:t>
      </w:r>
      <w:r>
        <w:rPr>
          <w:spacing w:val="-2"/>
        </w:rPr>
        <w:t>conversation</w:t>
      </w:r>
      <w:r>
        <w:rPr>
          <w:spacing w:val="-9"/>
        </w:rPr>
        <w:t xml:space="preserve"> </w:t>
      </w:r>
      <w:r>
        <w:rPr>
          <w:spacing w:val="-2"/>
        </w:rPr>
        <w:t>follows:</w:t>
      </w:r>
    </w:p>
    <w:p w14:paraId="68965CFD" w14:textId="77777777" w:rsidR="00DB6E1F" w:rsidRDefault="00F666A6">
      <w:pPr>
        <w:pStyle w:val="ListParagraph"/>
        <w:numPr>
          <w:ilvl w:val="0"/>
          <w:numId w:val="92"/>
        </w:numPr>
        <w:tabs>
          <w:tab w:val="left" w:pos="1801"/>
        </w:tabs>
        <w:spacing w:before="61"/>
        <w:ind w:left="1800" w:right="1544"/>
        <w:jc w:val="both"/>
        <w:rPr>
          <w:rFonts w:ascii="Symbol" w:hAnsi="Symbol"/>
        </w:rPr>
      </w:pPr>
      <w:r>
        <w:rPr>
          <w:b/>
        </w:rPr>
        <w:t xml:space="preserve">Counselor: </w:t>
      </w:r>
      <w:r>
        <w:t>Marla, you said you’d like to talk about your drinking. It would help if you’d give me a sense</w:t>
      </w:r>
      <w:r>
        <w:rPr>
          <w:spacing w:val="-4"/>
        </w:rPr>
        <w:t xml:space="preserve"> </w:t>
      </w:r>
      <w:r>
        <w:t>of</w:t>
      </w:r>
      <w:r>
        <w:rPr>
          <w:spacing w:val="-4"/>
        </w:rPr>
        <w:t xml:space="preserve"> </w:t>
      </w:r>
      <w:r>
        <w:t>what</w:t>
      </w:r>
      <w:r>
        <w:rPr>
          <w:spacing w:val="-4"/>
        </w:rPr>
        <w:t xml:space="preserve"> </w:t>
      </w:r>
      <w:r>
        <w:t>your</w:t>
      </w:r>
      <w:r>
        <w:rPr>
          <w:spacing w:val="-4"/>
        </w:rPr>
        <w:t xml:space="preserve"> </w:t>
      </w:r>
      <w:r>
        <w:t>specific</w:t>
      </w:r>
      <w:r>
        <w:rPr>
          <w:spacing w:val="-4"/>
        </w:rPr>
        <w:t xml:space="preserve"> </w:t>
      </w:r>
      <w:r>
        <w:t>concerns</w:t>
      </w:r>
      <w:r>
        <w:rPr>
          <w:spacing w:val="-2"/>
        </w:rPr>
        <w:t xml:space="preserve"> </w:t>
      </w:r>
      <w:r>
        <w:t>are</w:t>
      </w:r>
      <w:r>
        <w:rPr>
          <w:spacing w:val="-2"/>
        </w:rPr>
        <w:t xml:space="preserve"> </w:t>
      </w:r>
      <w:r>
        <w:t>about</w:t>
      </w:r>
      <w:r>
        <w:rPr>
          <w:spacing w:val="-4"/>
        </w:rPr>
        <w:t xml:space="preserve"> </w:t>
      </w:r>
      <w:r>
        <w:t>drinking.</w:t>
      </w:r>
      <w:r>
        <w:rPr>
          <w:spacing w:val="-2"/>
        </w:rPr>
        <w:t xml:space="preserve"> </w:t>
      </w:r>
      <w:r>
        <w:rPr>
          <w:i/>
        </w:rPr>
        <w:t>(Open</w:t>
      </w:r>
      <w:r>
        <w:rPr>
          <w:i/>
          <w:spacing w:val="-3"/>
        </w:rPr>
        <w:t xml:space="preserve"> </w:t>
      </w:r>
      <w:r>
        <w:rPr>
          <w:i/>
        </w:rPr>
        <w:t>question</w:t>
      </w:r>
      <w:r>
        <w:rPr>
          <w:i/>
          <w:spacing w:val="-3"/>
        </w:rPr>
        <w:t xml:space="preserve"> </w:t>
      </w:r>
      <w:r>
        <w:rPr>
          <w:i/>
        </w:rPr>
        <w:t>in</w:t>
      </w:r>
      <w:r>
        <w:rPr>
          <w:i/>
          <w:spacing w:val="-3"/>
        </w:rPr>
        <w:t xml:space="preserve"> </w:t>
      </w:r>
      <w:r>
        <w:rPr>
          <w:i/>
        </w:rPr>
        <w:t>the</w:t>
      </w:r>
      <w:r>
        <w:rPr>
          <w:i/>
          <w:spacing w:val="-2"/>
        </w:rPr>
        <w:t xml:space="preserve"> </w:t>
      </w:r>
      <w:r>
        <w:rPr>
          <w:i/>
        </w:rPr>
        <w:t>form</w:t>
      </w:r>
      <w:r>
        <w:rPr>
          <w:i/>
          <w:spacing w:val="-1"/>
        </w:rPr>
        <w:t xml:space="preserve"> </w:t>
      </w:r>
      <w:r>
        <w:rPr>
          <w:i/>
        </w:rPr>
        <w:t>of</w:t>
      </w:r>
      <w:r>
        <w:rPr>
          <w:i/>
          <w:spacing w:val="-2"/>
        </w:rPr>
        <w:t xml:space="preserve"> </w:t>
      </w:r>
      <w:r>
        <w:rPr>
          <w:i/>
        </w:rPr>
        <w:t>a</w:t>
      </w:r>
      <w:r>
        <w:rPr>
          <w:i/>
          <w:spacing w:val="-3"/>
        </w:rPr>
        <w:t xml:space="preserve"> </w:t>
      </w:r>
      <w:r>
        <w:rPr>
          <w:i/>
        </w:rPr>
        <w:t>statement)</w:t>
      </w:r>
    </w:p>
    <w:p w14:paraId="6B7A4075" w14:textId="77777777" w:rsidR="00DB6E1F" w:rsidRDefault="00F666A6">
      <w:pPr>
        <w:pStyle w:val="ListParagraph"/>
        <w:numPr>
          <w:ilvl w:val="0"/>
          <w:numId w:val="92"/>
        </w:numPr>
        <w:tabs>
          <w:tab w:val="left" w:pos="1801"/>
        </w:tabs>
        <w:spacing w:before="58"/>
        <w:ind w:left="1799" w:right="1653" w:hanging="360"/>
        <w:jc w:val="both"/>
        <w:rPr>
          <w:rFonts w:ascii="Symbol" w:hAnsi="Symbol"/>
        </w:rPr>
      </w:pPr>
      <w:r>
        <w:rPr>
          <w:b/>
        </w:rPr>
        <w:t xml:space="preserve">Client: </w:t>
      </w:r>
      <w:r>
        <w:t>Well, after work I go home to my apartment and I am so tire</w:t>
      </w:r>
      <w:r>
        <w:t>d; I don’t want to do anything but watch TV, microwave a meal, and drink till I fall asleep. Then I wake up with a big hangover in the</w:t>
      </w:r>
      <w:r>
        <w:rPr>
          <w:spacing w:val="-4"/>
        </w:rPr>
        <w:t xml:space="preserve"> </w:t>
      </w:r>
      <w:r>
        <w:t>morning</w:t>
      </w:r>
      <w:r>
        <w:rPr>
          <w:spacing w:val="-3"/>
        </w:rPr>
        <w:t xml:space="preserve"> </w:t>
      </w:r>
      <w:r>
        <w:t>and</w:t>
      </w:r>
      <w:r>
        <w:rPr>
          <w:spacing w:val="-3"/>
        </w:rPr>
        <w:t xml:space="preserve"> </w:t>
      </w:r>
      <w:r>
        <w:t>have</w:t>
      </w:r>
      <w:r>
        <w:rPr>
          <w:spacing w:val="-1"/>
        </w:rPr>
        <w:t xml:space="preserve"> </w:t>
      </w:r>
      <w:r>
        <w:t>a</w:t>
      </w:r>
      <w:r>
        <w:rPr>
          <w:spacing w:val="-5"/>
        </w:rPr>
        <w:t xml:space="preserve"> </w:t>
      </w:r>
      <w:r>
        <w:t>hard</w:t>
      </w:r>
      <w:r>
        <w:rPr>
          <w:spacing w:val="-3"/>
        </w:rPr>
        <w:t xml:space="preserve"> </w:t>
      </w:r>
      <w:r>
        <w:t>time</w:t>
      </w:r>
      <w:r>
        <w:rPr>
          <w:spacing w:val="-1"/>
        </w:rPr>
        <w:t xml:space="preserve"> </w:t>
      </w:r>
      <w:r>
        <w:t>getting</w:t>
      </w:r>
      <w:r>
        <w:rPr>
          <w:spacing w:val="-3"/>
        </w:rPr>
        <w:t xml:space="preserve"> </w:t>
      </w:r>
      <w:r>
        <w:t>to</w:t>
      </w:r>
      <w:r>
        <w:rPr>
          <w:spacing w:val="-1"/>
        </w:rPr>
        <w:t xml:space="preserve"> </w:t>
      </w:r>
      <w:r>
        <w:t>work</w:t>
      </w:r>
      <w:r>
        <w:rPr>
          <w:spacing w:val="-4"/>
        </w:rPr>
        <w:t xml:space="preserve"> </w:t>
      </w:r>
      <w:r>
        <w:t>on</w:t>
      </w:r>
      <w:r>
        <w:rPr>
          <w:spacing w:val="-5"/>
        </w:rPr>
        <w:t xml:space="preserve"> </w:t>
      </w:r>
      <w:r>
        <w:t>time.</w:t>
      </w:r>
      <w:r>
        <w:rPr>
          <w:spacing w:val="-5"/>
        </w:rPr>
        <w:t xml:space="preserve"> </w:t>
      </w:r>
      <w:r>
        <w:t>My</w:t>
      </w:r>
      <w:r>
        <w:rPr>
          <w:spacing w:val="-1"/>
        </w:rPr>
        <w:t xml:space="preserve"> </w:t>
      </w:r>
      <w:r>
        <w:t>supervisor</w:t>
      </w:r>
      <w:r>
        <w:rPr>
          <w:spacing w:val="-2"/>
        </w:rPr>
        <w:t xml:space="preserve"> </w:t>
      </w:r>
      <w:r>
        <w:t>has</w:t>
      </w:r>
      <w:r>
        <w:rPr>
          <w:spacing w:val="-2"/>
        </w:rPr>
        <w:t xml:space="preserve"> </w:t>
      </w:r>
      <w:r>
        <w:t>given</w:t>
      </w:r>
      <w:r>
        <w:rPr>
          <w:spacing w:val="-2"/>
        </w:rPr>
        <w:t xml:space="preserve"> </w:t>
      </w:r>
      <w:r>
        <w:t>me</w:t>
      </w:r>
      <w:r>
        <w:rPr>
          <w:spacing w:val="-1"/>
        </w:rPr>
        <w:t xml:space="preserve"> </w:t>
      </w:r>
      <w:r>
        <w:t>a</w:t>
      </w:r>
      <w:r>
        <w:rPr>
          <w:spacing w:val="-5"/>
        </w:rPr>
        <w:t xml:space="preserve"> </w:t>
      </w:r>
      <w:r>
        <w:t>warning.</w:t>
      </w:r>
    </w:p>
    <w:p w14:paraId="4C07AD95" w14:textId="77777777" w:rsidR="00DB6E1F" w:rsidRDefault="00F666A6">
      <w:pPr>
        <w:pStyle w:val="ListParagraph"/>
        <w:numPr>
          <w:ilvl w:val="0"/>
          <w:numId w:val="92"/>
        </w:numPr>
        <w:tabs>
          <w:tab w:val="left" w:pos="1801"/>
        </w:tabs>
        <w:spacing w:before="61"/>
        <w:ind w:left="1799" w:right="1459" w:hanging="360"/>
        <w:jc w:val="both"/>
        <w:rPr>
          <w:rFonts w:ascii="Symbol" w:hAnsi="Symbol"/>
        </w:rPr>
      </w:pPr>
      <w:r>
        <w:rPr>
          <w:b/>
        </w:rPr>
        <w:t>Counselor:</w:t>
      </w:r>
      <w:r>
        <w:rPr>
          <w:b/>
          <w:spacing w:val="-3"/>
        </w:rPr>
        <w:t xml:space="preserve"> </w:t>
      </w:r>
      <w:r>
        <w:t>You’re</w:t>
      </w:r>
      <w:r>
        <w:rPr>
          <w:spacing w:val="-4"/>
        </w:rPr>
        <w:t xml:space="preserve"> </w:t>
      </w:r>
      <w:r>
        <w:t>worried</w:t>
      </w:r>
      <w:r>
        <w:rPr>
          <w:spacing w:val="-4"/>
        </w:rPr>
        <w:t xml:space="preserve"> </w:t>
      </w:r>
      <w:r>
        <w:t>that</w:t>
      </w:r>
      <w:r>
        <w:rPr>
          <w:spacing w:val="-1"/>
        </w:rPr>
        <w:t xml:space="preserve"> </w:t>
      </w:r>
      <w:r>
        <w:t>the</w:t>
      </w:r>
      <w:r>
        <w:rPr>
          <w:spacing w:val="-4"/>
        </w:rPr>
        <w:t xml:space="preserve"> </w:t>
      </w:r>
      <w:r>
        <w:t>amount</w:t>
      </w:r>
      <w:r>
        <w:rPr>
          <w:spacing w:val="-4"/>
        </w:rPr>
        <w:t xml:space="preserve"> </w:t>
      </w:r>
      <w:r>
        <w:t>you</w:t>
      </w:r>
      <w:r>
        <w:rPr>
          <w:spacing w:val="-4"/>
        </w:rPr>
        <w:t xml:space="preserve"> </w:t>
      </w:r>
      <w:r>
        <w:t>drink</w:t>
      </w:r>
      <w:r>
        <w:rPr>
          <w:spacing w:val="-3"/>
        </w:rPr>
        <w:t xml:space="preserve"> </w:t>
      </w:r>
      <w:r>
        <w:t>affects</w:t>
      </w:r>
      <w:r>
        <w:rPr>
          <w:spacing w:val="-4"/>
        </w:rPr>
        <w:t xml:space="preserve"> </w:t>
      </w:r>
      <w:r>
        <w:t>your</w:t>
      </w:r>
      <w:r>
        <w:rPr>
          <w:spacing w:val="-2"/>
        </w:rPr>
        <w:t xml:space="preserve"> </w:t>
      </w:r>
      <w:r>
        <w:t>sleep</w:t>
      </w:r>
      <w:r>
        <w:rPr>
          <w:spacing w:val="-3"/>
        </w:rPr>
        <w:t xml:space="preserve"> </w:t>
      </w:r>
      <w:r>
        <w:t>and</w:t>
      </w:r>
      <w:r>
        <w:rPr>
          <w:spacing w:val="-3"/>
        </w:rPr>
        <w:t xml:space="preserve"> </w:t>
      </w:r>
      <w:r>
        <w:t>ability</w:t>
      </w:r>
      <w:r>
        <w:rPr>
          <w:spacing w:val="-1"/>
        </w:rPr>
        <w:t xml:space="preserve"> </w:t>
      </w:r>
      <w:r>
        <w:t>to</w:t>
      </w:r>
      <w:r>
        <w:rPr>
          <w:spacing w:val="-1"/>
        </w:rPr>
        <w:t xml:space="preserve"> </w:t>
      </w:r>
      <w:r>
        <w:t>get</w:t>
      </w:r>
      <w:r>
        <w:rPr>
          <w:spacing w:val="-2"/>
        </w:rPr>
        <w:t xml:space="preserve"> </w:t>
      </w:r>
      <w:r>
        <w:t>to</w:t>
      </w:r>
      <w:r>
        <w:rPr>
          <w:spacing w:val="-3"/>
        </w:rPr>
        <w:t xml:space="preserve"> </w:t>
      </w:r>
      <w:r>
        <w:t>work</w:t>
      </w:r>
      <w:r>
        <w:rPr>
          <w:spacing w:val="-4"/>
        </w:rPr>
        <w:t xml:space="preserve"> </w:t>
      </w:r>
      <w:r>
        <w:t xml:space="preserve">on time. </w:t>
      </w:r>
      <w:r>
        <w:rPr>
          <w:i/>
        </w:rPr>
        <w:t xml:space="preserve">(Reflection) </w:t>
      </w:r>
      <w:r>
        <w:t xml:space="preserve">What do you think you’d like to change about the drinking? </w:t>
      </w:r>
      <w:r>
        <w:rPr>
          <w:i/>
        </w:rPr>
        <w:t>(Open question)</w:t>
      </w:r>
    </w:p>
    <w:p w14:paraId="5D9B0851" w14:textId="77777777" w:rsidR="00DB6E1F" w:rsidRDefault="00F666A6">
      <w:pPr>
        <w:pStyle w:val="ListParagraph"/>
        <w:numPr>
          <w:ilvl w:val="0"/>
          <w:numId w:val="92"/>
        </w:numPr>
        <w:tabs>
          <w:tab w:val="left" w:pos="1801"/>
        </w:tabs>
        <w:ind w:left="1800"/>
        <w:jc w:val="both"/>
        <w:rPr>
          <w:rFonts w:ascii="Symbol" w:hAnsi="Symbol"/>
        </w:rPr>
      </w:pPr>
      <w:r>
        <w:rPr>
          <w:b/>
        </w:rPr>
        <w:t>Client:</w:t>
      </w:r>
      <w:r>
        <w:rPr>
          <w:b/>
          <w:spacing w:val="-6"/>
        </w:rPr>
        <w:t xml:space="preserve"> </w:t>
      </w:r>
      <w:r>
        <w:t>I</w:t>
      </w:r>
      <w:r>
        <w:rPr>
          <w:spacing w:val="-5"/>
        </w:rPr>
        <w:t xml:space="preserve"> </w:t>
      </w:r>
      <w:r>
        <w:t>think</w:t>
      </w:r>
      <w:r>
        <w:rPr>
          <w:spacing w:val="-2"/>
        </w:rPr>
        <w:t xml:space="preserve"> </w:t>
      </w:r>
      <w:r>
        <w:t>I</w:t>
      </w:r>
      <w:r>
        <w:rPr>
          <w:spacing w:val="-2"/>
        </w:rPr>
        <w:t xml:space="preserve"> </w:t>
      </w:r>
      <w:r>
        <w:t>need</w:t>
      </w:r>
      <w:r>
        <w:rPr>
          <w:spacing w:val="-3"/>
        </w:rPr>
        <w:t xml:space="preserve"> </w:t>
      </w:r>
      <w:r>
        <w:t>to</w:t>
      </w:r>
      <w:r>
        <w:rPr>
          <w:spacing w:val="-2"/>
        </w:rPr>
        <w:t xml:space="preserve"> </w:t>
      </w:r>
      <w:r>
        <w:t>stop</w:t>
      </w:r>
      <w:r>
        <w:rPr>
          <w:spacing w:val="-3"/>
        </w:rPr>
        <w:t xml:space="preserve"> </w:t>
      </w:r>
      <w:r>
        <w:t>drinking</w:t>
      </w:r>
      <w:r>
        <w:rPr>
          <w:spacing w:val="-4"/>
        </w:rPr>
        <w:t xml:space="preserve"> </w:t>
      </w:r>
      <w:r>
        <w:t>completely</w:t>
      </w:r>
      <w:r>
        <w:rPr>
          <w:spacing w:val="-1"/>
        </w:rPr>
        <w:t xml:space="preserve"> </w:t>
      </w:r>
      <w:r>
        <w:t>for</w:t>
      </w:r>
      <w:r>
        <w:rPr>
          <w:spacing w:val="-3"/>
        </w:rPr>
        <w:t xml:space="preserve"> </w:t>
      </w:r>
      <w:r>
        <w:t>a</w:t>
      </w:r>
      <w:r>
        <w:rPr>
          <w:spacing w:val="-7"/>
        </w:rPr>
        <w:t xml:space="preserve"> </w:t>
      </w:r>
      <w:r>
        <w:t>while,</w:t>
      </w:r>
      <w:r>
        <w:rPr>
          <w:spacing w:val="-2"/>
        </w:rPr>
        <w:t xml:space="preserve"> </w:t>
      </w:r>
      <w:r>
        <w:t>so</w:t>
      </w:r>
      <w:r>
        <w:rPr>
          <w:spacing w:val="-2"/>
        </w:rPr>
        <w:t xml:space="preserve"> </w:t>
      </w:r>
      <w:r>
        <w:t>I</w:t>
      </w:r>
      <w:r>
        <w:rPr>
          <w:spacing w:val="-5"/>
        </w:rPr>
        <w:t xml:space="preserve"> </w:t>
      </w:r>
      <w:r>
        <w:t>can</w:t>
      </w:r>
      <w:r>
        <w:rPr>
          <w:spacing w:val="-3"/>
        </w:rPr>
        <w:t xml:space="preserve"> </w:t>
      </w:r>
      <w:r>
        <w:t>get</w:t>
      </w:r>
      <w:r>
        <w:rPr>
          <w:spacing w:val="-5"/>
        </w:rPr>
        <w:t xml:space="preserve"> </w:t>
      </w:r>
      <w:r>
        <w:t>into</w:t>
      </w:r>
      <w:r>
        <w:rPr>
          <w:spacing w:val="-3"/>
        </w:rPr>
        <w:t xml:space="preserve"> </w:t>
      </w:r>
      <w:r>
        <w:t>a</w:t>
      </w:r>
      <w:r>
        <w:rPr>
          <w:spacing w:val="-3"/>
        </w:rPr>
        <w:t xml:space="preserve"> </w:t>
      </w:r>
      <w:r>
        <w:t>healthy</w:t>
      </w:r>
      <w:r>
        <w:rPr>
          <w:spacing w:val="-1"/>
        </w:rPr>
        <w:t xml:space="preserve"> </w:t>
      </w:r>
      <w:r>
        <w:t>sleep</w:t>
      </w:r>
      <w:r>
        <w:rPr>
          <w:spacing w:val="-3"/>
        </w:rPr>
        <w:t xml:space="preserve"> </w:t>
      </w:r>
      <w:r>
        <w:rPr>
          <w:spacing w:val="-2"/>
        </w:rPr>
        <w:t>pattern.</w:t>
      </w:r>
    </w:p>
    <w:p w14:paraId="1F9AE771" w14:textId="77777777" w:rsidR="00DB6E1F" w:rsidRDefault="00F666A6">
      <w:pPr>
        <w:pStyle w:val="ListParagraph"/>
        <w:numPr>
          <w:ilvl w:val="0"/>
          <w:numId w:val="92"/>
        </w:numPr>
        <w:tabs>
          <w:tab w:val="left" w:pos="1801"/>
        </w:tabs>
        <w:spacing w:before="59"/>
        <w:ind w:left="1799" w:right="1845" w:hanging="360"/>
        <w:jc w:val="both"/>
        <w:rPr>
          <w:rFonts w:ascii="Symbol" w:hAnsi="Symbol"/>
        </w:rPr>
      </w:pPr>
      <w:r>
        <w:rPr>
          <w:b/>
        </w:rPr>
        <w:t>Counselor:</w:t>
      </w:r>
      <w:r>
        <w:rPr>
          <w:b/>
          <w:spacing w:val="-2"/>
        </w:rPr>
        <w:t xml:space="preserve"> </w:t>
      </w:r>
      <w:r>
        <w:t>So I’d</w:t>
      </w:r>
      <w:r>
        <w:rPr>
          <w:spacing w:val="-1"/>
        </w:rPr>
        <w:t xml:space="preserve"> </w:t>
      </w:r>
      <w:r>
        <w:t>like</w:t>
      </w:r>
      <w:r>
        <w:rPr>
          <w:spacing w:val="-3"/>
        </w:rPr>
        <w:t xml:space="preserve"> </w:t>
      </w:r>
      <w:r>
        <w:t>to</w:t>
      </w:r>
      <w:r>
        <w:rPr>
          <w:spacing w:val="-2"/>
        </w:rPr>
        <w:t xml:space="preserve"> </w:t>
      </w:r>
      <w:r>
        <w:t>put stop</w:t>
      </w:r>
      <w:r>
        <w:rPr>
          <w:spacing w:val="-2"/>
        </w:rPr>
        <w:t xml:space="preserve"> </w:t>
      </w:r>
      <w:r>
        <w:t>drinking</w:t>
      </w:r>
      <w:r>
        <w:rPr>
          <w:spacing w:val="-1"/>
        </w:rPr>
        <w:t xml:space="preserve"> </w:t>
      </w:r>
      <w:r>
        <w:t>for</w:t>
      </w:r>
      <w:r>
        <w:rPr>
          <w:spacing w:val="-3"/>
        </w:rPr>
        <w:t xml:space="preserve"> </w:t>
      </w:r>
      <w:r>
        <w:t>a</w:t>
      </w:r>
      <w:r>
        <w:rPr>
          <w:spacing w:val="-4"/>
        </w:rPr>
        <w:t xml:space="preserve"> </w:t>
      </w:r>
      <w:r>
        <w:t>while</w:t>
      </w:r>
      <w:r>
        <w:rPr>
          <w:spacing w:val="-3"/>
        </w:rPr>
        <w:t xml:space="preserve"> </w:t>
      </w:r>
      <w:r>
        <w:t>on</w:t>
      </w:r>
      <w:r>
        <w:rPr>
          <w:spacing w:val="-2"/>
        </w:rPr>
        <w:t xml:space="preserve"> </w:t>
      </w:r>
      <w:r>
        <w:t>the</w:t>
      </w:r>
      <w:r>
        <w:rPr>
          <w:spacing w:val="-3"/>
        </w:rPr>
        <w:t xml:space="preserve"> </w:t>
      </w:r>
      <w:r>
        <w:t>map,</w:t>
      </w:r>
      <w:r>
        <w:rPr>
          <w:spacing w:val="-1"/>
        </w:rPr>
        <w:t xml:space="preserve"> </w:t>
      </w:r>
      <w:r>
        <w:t>is</w:t>
      </w:r>
      <w:r>
        <w:rPr>
          <w:spacing w:val="-3"/>
        </w:rPr>
        <w:t xml:space="preserve"> </w:t>
      </w:r>
      <w:r>
        <w:t>that</w:t>
      </w:r>
      <w:r>
        <w:rPr>
          <w:spacing w:val="-3"/>
        </w:rPr>
        <w:t xml:space="preserve"> </w:t>
      </w:r>
      <w:r>
        <w:t>okay?</w:t>
      </w:r>
      <w:r>
        <w:rPr>
          <w:spacing w:val="-2"/>
        </w:rPr>
        <w:t xml:space="preserve"> </w:t>
      </w:r>
      <w:r>
        <w:rPr>
          <w:i/>
        </w:rPr>
        <w:t xml:space="preserve">[Asks permission. Pauses. Waits for permission.] </w:t>
      </w:r>
      <w:r>
        <w:t>Let’s focus our conversations on that goal.</w:t>
      </w:r>
    </w:p>
    <w:p w14:paraId="14AD8FA1" w14:textId="77777777" w:rsidR="00DB6E1F" w:rsidRDefault="00F666A6">
      <w:pPr>
        <w:pStyle w:val="BodyText"/>
        <w:spacing w:before="161"/>
        <w:ind w:left="1439" w:right="1491"/>
      </w:pPr>
      <w:r>
        <w:t>Notice</w:t>
      </w:r>
      <w:r>
        <w:rPr>
          <w:spacing w:val="-4"/>
        </w:rPr>
        <w:t xml:space="preserve"> </w:t>
      </w:r>
      <w:r>
        <w:t>that</w:t>
      </w:r>
      <w:r>
        <w:rPr>
          <w:spacing w:val="-4"/>
        </w:rPr>
        <w:t xml:space="preserve"> </w:t>
      </w:r>
      <w:r>
        <w:t>this</w:t>
      </w:r>
      <w:r>
        <w:rPr>
          <w:spacing w:val="-2"/>
        </w:rPr>
        <w:t xml:space="preserve"> </w:t>
      </w:r>
      <w:r>
        <w:t>client</w:t>
      </w:r>
      <w:r>
        <w:rPr>
          <w:spacing w:val="-1"/>
        </w:rPr>
        <w:t xml:space="preserve"> </w:t>
      </w:r>
      <w:r>
        <w:t>is</w:t>
      </w:r>
      <w:r>
        <w:rPr>
          <w:spacing w:val="-2"/>
        </w:rPr>
        <w:t xml:space="preserve"> </w:t>
      </w:r>
      <w:r>
        <w:t>already</w:t>
      </w:r>
      <w:r>
        <w:rPr>
          <w:spacing w:val="-1"/>
        </w:rPr>
        <w:t xml:space="preserve"> </w:t>
      </w:r>
      <w:r>
        <w:t>expressing</w:t>
      </w:r>
      <w:r>
        <w:rPr>
          <w:spacing w:val="-3"/>
        </w:rPr>
        <w:t xml:space="preserve"> </w:t>
      </w:r>
      <w:r>
        <w:t>change</w:t>
      </w:r>
      <w:r>
        <w:rPr>
          <w:spacing w:val="-4"/>
        </w:rPr>
        <w:t xml:space="preserve"> </w:t>
      </w:r>
      <w:r>
        <w:t>talk</w:t>
      </w:r>
      <w:r>
        <w:rPr>
          <w:spacing w:val="-1"/>
        </w:rPr>
        <w:t xml:space="preserve"> </w:t>
      </w:r>
      <w:r>
        <w:t>about</w:t>
      </w:r>
      <w:r>
        <w:rPr>
          <w:spacing w:val="-4"/>
        </w:rPr>
        <w:t xml:space="preserve"> </w:t>
      </w:r>
      <w:r>
        <w:t>her</w:t>
      </w:r>
      <w:r>
        <w:rPr>
          <w:spacing w:val="-2"/>
        </w:rPr>
        <w:t xml:space="preserve"> </w:t>
      </w:r>
      <w:r>
        <w:t>alcohol</w:t>
      </w:r>
      <w:r>
        <w:rPr>
          <w:spacing w:val="-2"/>
        </w:rPr>
        <w:t xml:space="preserve"> </w:t>
      </w:r>
      <w:r>
        <w:t>use.</w:t>
      </w:r>
      <w:r>
        <w:rPr>
          <w:spacing w:val="-5"/>
        </w:rPr>
        <w:t xml:space="preserve"> </w:t>
      </w:r>
      <w:r>
        <w:t>By</w:t>
      </w:r>
      <w:r>
        <w:rPr>
          <w:spacing w:val="-4"/>
        </w:rPr>
        <w:t xml:space="preserve"> </w:t>
      </w:r>
      <w:r>
        <w:t>narrowing</w:t>
      </w:r>
      <w:r>
        <w:rPr>
          <w:spacing w:val="-5"/>
        </w:rPr>
        <w:t xml:space="preserve"> </w:t>
      </w:r>
      <w:r>
        <w:t>the</w:t>
      </w:r>
      <w:r>
        <w:rPr>
          <w:spacing w:val="-2"/>
        </w:rPr>
        <w:t xml:space="preserve"> </w:t>
      </w:r>
      <w:r>
        <w:t>focus from drinking as a general concern to stopping drinking as a possible target behavior, the counselor moved into the MI process of evoking.</w:t>
      </w:r>
    </w:p>
    <w:p w14:paraId="616BC218" w14:textId="77777777" w:rsidR="00DB6E1F" w:rsidRDefault="00F666A6">
      <w:pPr>
        <w:pStyle w:val="Heading3"/>
        <w:spacing w:before="163"/>
      </w:pPr>
      <w:bookmarkStart w:id="109" w:name="Evoking"/>
      <w:bookmarkEnd w:id="109"/>
      <w:r>
        <w:rPr>
          <w:spacing w:val="-2"/>
        </w:rPr>
        <w:t>Evoking</w:t>
      </w:r>
    </w:p>
    <w:p w14:paraId="7E01EBCE" w14:textId="77777777" w:rsidR="00DB6E1F" w:rsidRDefault="00F666A6">
      <w:pPr>
        <w:pStyle w:val="BodyText"/>
        <w:spacing w:before="143"/>
        <w:ind w:left="1439" w:right="1476"/>
      </w:pPr>
      <w:r>
        <w:rPr>
          <w:b/>
        </w:rPr>
        <w:t>Evoking elicits client motivations for c</w:t>
      </w:r>
      <w:r>
        <w:rPr>
          <w:b/>
        </w:rPr>
        <w:t xml:space="preserve">hange. </w:t>
      </w:r>
      <w:r>
        <w:t>It shapes conversations in ways that encourage clients,</w:t>
      </w:r>
      <w:r>
        <w:rPr>
          <w:spacing w:val="40"/>
        </w:rPr>
        <w:t xml:space="preserve"> </w:t>
      </w:r>
      <w:r>
        <w:t>not</w:t>
      </w:r>
      <w:r>
        <w:rPr>
          <w:spacing w:val="-2"/>
        </w:rPr>
        <w:t xml:space="preserve"> </w:t>
      </w:r>
      <w:r>
        <w:t>counselors,</w:t>
      </w:r>
      <w:r>
        <w:rPr>
          <w:spacing w:val="-4"/>
        </w:rPr>
        <w:t xml:space="preserve"> </w:t>
      </w:r>
      <w:r>
        <w:t>to</w:t>
      </w:r>
      <w:r>
        <w:rPr>
          <w:spacing w:val="-3"/>
        </w:rPr>
        <w:t xml:space="preserve"> </w:t>
      </w:r>
      <w:r>
        <w:t>argue</w:t>
      </w:r>
      <w:r>
        <w:rPr>
          <w:spacing w:val="-1"/>
        </w:rPr>
        <w:t xml:space="preserve"> </w:t>
      </w:r>
      <w:r>
        <w:t>for</w:t>
      </w:r>
      <w:r>
        <w:rPr>
          <w:spacing w:val="-2"/>
        </w:rPr>
        <w:t xml:space="preserve"> </w:t>
      </w:r>
      <w:r>
        <w:t>change.</w:t>
      </w:r>
      <w:r>
        <w:rPr>
          <w:spacing w:val="-2"/>
        </w:rPr>
        <w:t xml:space="preserve"> </w:t>
      </w:r>
      <w:r>
        <w:t>Evoking</w:t>
      </w:r>
      <w:r>
        <w:rPr>
          <w:spacing w:val="-2"/>
        </w:rPr>
        <w:t xml:space="preserve"> </w:t>
      </w:r>
      <w:r>
        <w:t>is</w:t>
      </w:r>
      <w:r>
        <w:rPr>
          <w:spacing w:val="-2"/>
        </w:rPr>
        <w:t xml:space="preserve"> </w:t>
      </w:r>
      <w:r>
        <w:t>the</w:t>
      </w:r>
      <w:r>
        <w:rPr>
          <w:spacing w:val="-4"/>
        </w:rPr>
        <w:t xml:space="preserve"> </w:t>
      </w:r>
      <w:r>
        <w:t>core</w:t>
      </w:r>
      <w:r>
        <w:rPr>
          <w:spacing w:val="-1"/>
        </w:rPr>
        <w:t xml:space="preserve"> </w:t>
      </w:r>
      <w:r>
        <w:t>of</w:t>
      </w:r>
      <w:r>
        <w:rPr>
          <w:spacing w:val="-4"/>
        </w:rPr>
        <w:t xml:space="preserve"> </w:t>
      </w:r>
      <w:r>
        <w:t>MI</w:t>
      </w:r>
      <w:r>
        <w:rPr>
          <w:spacing w:val="-5"/>
        </w:rPr>
        <w:t xml:space="preserve"> </w:t>
      </w:r>
      <w:r>
        <w:t>and</w:t>
      </w:r>
      <w:r>
        <w:rPr>
          <w:spacing w:val="-3"/>
        </w:rPr>
        <w:t xml:space="preserve"> </w:t>
      </w:r>
      <w:r>
        <w:t>differentiates</w:t>
      </w:r>
      <w:r>
        <w:rPr>
          <w:spacing w:val="-2"/>
        </w:rPr>
        <w:t xml:space="preserve"> </w:t>
      </w:r>
      <w:r>
        <w:t>it</w:t>
      </w:r>
      <w:r>
        <w:rPr>
          <w:spacing w:val="-4"/>
        </w:rPr>
        <w:t xml:space="preserve"> </w:t>
      </w:r>
      <w:r>
        <w:t>from</w:t>
      </w:r>
      <w:r>
        <w:rPr>
          <w:spacing w:val="-3"/>
        </w:rPr>
        <w:t xml:space="preserve"> </w:t>
      </w:r>
      <w:r>
        <w:t>other</w:t>
      </w:r>
      <w:r>
        <w:rPr>
          <w:spacing w:val="-4"/>
        </w:rPr>
        <w:t xml:space="preserve"> </w:t>
      </w:r>
      <w:r>
        <w:t>counseling methods (Miller &amp; Rollnick, 2013). The following sections explore evoking change talk,</w:t>
      </w:r>
      <w:r>
        <w:t xml:space="preserve"> responding to change talk and sustain talk, developing discrepancy, evoking hope and confidence to support self- efficacy, recognizing signs of readiness to change, and asking key questions.</w:t>
      </w:r>
    </w:p>
    <w:p w14:paraId="2AC03CEA" w14:textId="77777777" w:rsidR="00DB6E1F" w:rsidRDefault="00DB6E1F">
      <w:pPr>
        <w:sectPr w:rsidR="00DB6E1F">
          <w:pgSz w:w="12240" w:h="15840"/>
          <w:pgMar w:top="1200" w:right="0" w:bottom="780" w:left="0" w:header="763" w:footer="585" w:gutter="0"/>
          <w:cols w:space="720"/>
        </w:sectPr>
      </w:pPr>
    </w:p>
    <w:p w14:paraId="2BEDB93F" w14:textId="77777777" w:rsidR="00DB6E1F" w:rsidRDefault="00DB6E1F">
      <w:pPr>
        <w:pStyle w:val="BodyText"/>
        <w:spacing w:before="5"/>
        <w:rPr>
          <w:sz w:val="15"/>
        </w:rPr>
      </w:pPr>
    </w:p>
    <w:p w14:paraId="59E8705D" w14:textId="77777777" w:rsidR="00DB6E1F" w:rsidRDefault="00F666A6">
      <w:pPr>
        <w:pStyle w:val="Heading4"/>
        <w:spacing w:before="47"/>
      </w:pPr>
      <w:bookmarkStart w:id="110" w:name="Evoking_change_talk"/>
      <w:bookmarkEnd w:id="110"/>
      <w:r>
        <w:t>Evoking</w:t>
      </w:r>
      <w:r>
        <w:rPr>
          <w:spacing w:val="-10"/>
        </w:rPr>
        <w:t xml:space="preserve"> </w:t>
      </w:r>
      <w:r>
        <w:t>change</w:t>
      </w:r>
      <w:r>
        <w:rPr>
          <w:spacing w:val="-8"/>
        </w:rPr>
        <w:t xml:space="preserve"> </w:t>
      </w:r>
      <w:r>
        <w:rPr>
          <w:spacing w:val="-4"/>
        </w:rPr>
        <w:t>talk</w:t>
      </w:r>
    </w:p>
    <w:p w14:paraId="452B8EC1" w14:textId="77777777" w:rsidR="00DB6E1F" w:rsidRDefault="00F666A6">
      <w:pPr>
        <w:spacing w:before="86"/>
        <w:ind w:left="1440" w:right="1555"/>
        <w:rPr>
          <w:b/>
        </w:rPr>
      </w:pPr>
      <w:r>
        <w:t>Engaging</w:t>
      </w:r>
      <w:r>
        <w:rPr>
          <w:spacing w:val="-2"/>
        </w:rPr>
        <w:t xml:space="preserve"> </w:t>
      </w:r>
      <w:r>
        <w:t>the client</w:t>
      </w:r>
      <w:r>
        <w:rPr>
          <w:spacing w:val="-3"/>
        </w:rPr>
        <w:t xml:space="preserve"> </w:t>
      </w:r>
      <w:r>
        <w:t>in</w:t>
      </w:r>
      <w:r>
        <w:rPr>
          <w:spacing w:val="-2"/>
        </w:rPr>
        <w:t xml:space="preserve"> </w:t>
      </w:r>
      <w:r>
        <w:t>the process</w:t>
      </w:r>
      <w:r>
        <w:rPr>
          <w:spacing w:val="-3"/>
        </w:rPr>
        <w:t xml:space="preserve"> </w:t>
      </w:r>
      <w:r>
        <w:t>of</w:t>
      </w:r>
      <w:r>
        <w:rPr>
          <w:spacing w:val="-1"/>
        </w:rPr>
        <w:t xml:space="preserve"> </w:t>
      </w:r>
      <w:r>
        <w:t>change is</w:t>
      </w:r>
      <w:r>
        <w:rPr>
          <w:spacing w:val="-3"/>
        </w:rPr>
        <w:t xml:space="preserve"> </w:t>
      </w:r>
      <w:r>
        <w:t>the</w:t>
      </w:r>
      <w:r>
        <w:rPr>
          <w:spacing w:val="-3"/>
        </w:rPr>
        <w:t xml:space="preserve"> </w:t>
      </w:r>
      <w:r>
        <w:t>fundamental</w:t>
      </w:r>
      <w:r>
        <w:rPr>
          <w:spacing w:val="-4"/>
        </w:rPr>
        <w:t xml:space="preserve"> </w:t>
      </w:r>
      <w:r>
        <w:t>task</w:t>
      </w:r>
      <w:r>
        <w:rPr>
          <w:spacing w:val="-3"/>
        </w:rPr>
        <w:t xml:space="preserve"> </w:t>
      </w:r>
      <w:r>
        <w:t>of</w:t>
      </w:r>
      <w:r>
        <w:rPr>
          <w:spacing w:val="-5"/>
        </w:rPr>
        <w:t xml:space="preserve"> </w:t>
      </w:r>
      <w:r>
        <w:t>MI.</w:t>
      </w:r>
      <w:r>
        <w:rPr>
          <w:spacing w:val="-2"/>
        </w:rPr>
        <w:t xml:space="preserve"> </w:t>
      </w:r>
      <w:r>
        <w:t>Rather</w:t>
      </w:r>
      <w:r>
        <w:rPr>
          <w:spacing w:val="-1"/>
        </w:rPr>
        <w:t xml:space="preserve"> </w:t>
      </w:r>
      <w:r>
        <w:t>than</w:t>
      </w:r>
      <w:r>
        <w:rPr>
          <w:spacing w:val="-2"/>
        </w:rPr>
        <w:t xml:space="preserve"> </w:t>
      </w:r>
      <w:r>
        <w:t>identifying</w:t>
      </w:r>
      <w:r>
        <w:rPr>
          <w:spacing w:val="-4"/>
        </w:rPr>
        <w:t xml:space="preserve"> </w:t>
      </w:r>
      <w:r>
        <w:t>the problem and promoting ways to solve it, your task is to help clients recognize that their use of substances may be contributing to their distress and that they have a choice a</w:t>
      </w:r>
      <w:r>
        <w:t>bout how to move forward in life in</w:t>
      </w:r>
      <w:r>
        <w:rPr>
          <w:spacing w:val="-2"/>
        </w:rPr>
        <w:t xml:space="preserve"> </w:t>
      </w:r>
      <w:r>
        <w:t>ways</w:t>
      </w:r>
      <w:r>
        <w:rPr>
          <w:spacing w:val="-1"/>
        </w:rPr>
        <w:t xml:space="preserve"> </w:t>
      </w:r>
      <w:r>
        <w:t>that</w:t>
      </w:r>
      <w:r>
        <w:rPr>
          <w:spacing w:val="-1"/>
        </w:rPr>
        <w:t xml:space="preserve"> </w:t>
      </w:r>
      <w:r>
        <w:t>enhance their</w:t>
      </w:r>
      <w:r>
        <w:rPr>
          <w:spacing w:val="-2"/>
        </w:rPr>
        <w:t xml:space="preserve"> </w:t>
      </w:r>
      <w:r>
        <w:t>health and</w:t>
      </w:r>
      <w:r>
        <w:rPr>
          <w:spacing w:val="-2"/>
        </w:rPr>
        <w:t xml:space="preserve"> </w:t>
      </w:r>
      <w:r>
        <w:t xml:space="preserve">well-being. </w:t>
      </w:r>
      <w:r>
        <w:rPr>
          <w:b/>
        </w:rPr>
        <w:t>One signal that</w:t>
      </w:r>
      <w:r>
        <w:rPr>
          <w:b/>
          <w:spacing w:val="-1"/>
        </w:rPr>
        <w:t xml:space="preserve"> </w:t>
      </w:r>
      <w:r>
        <w:rPr>
          <w:b/>
        </w:rPr>
        <w:t>clients’ ambivalence about change is decreasing is when they start to express change talk.</w:t>
      </w:r>
    </w:p>
    <w:p w14:paraId="33105C54" w14:textId="77777777" w:rsidR="00DB6E1F" w:rsidRDefault="00F666A6">
      <w:pPr>
        <w:pStyle w:val="BodyText"/>
        <w:spacing w:before="159"/>
        <w:ind w:left="1439" w:right="1491"/>
      </w:pPr>
      <w:r>
        <w:rPr>
          <w:b/>
        </w:rPr>
        <w:t xml:space="preserve">The first step to evoking change talk is to ask open questions. </w:t>
      </w:r>
      <w:r>
        <w:t>Th</w:t>
      </w:r>
      <w:r>
        <w:t>ere are seven kinds of change talk, reflected in the DARN acronym. DARN questions can help you generate open questions that evoke change</w:t>
      </w:r>
      <w:r>
        <w:rPr>
          <w:spacing w:val="-1"/>
        </w:rPr>
        <w:t xml:space="preserve"> </w:t>
      </w:r>
      <w:r>
        <w:t>talk.</w:t>
      </w:r>
      <w:r>
        <w:rPr>
          <w:spacing w:val="-5"/>
        </w:rPr>
        <w:t xml:space="preserve"> </w:t>
      </w:r>
      <w:r>
        <w:t>Exhibit</w:t>
      </w:r>
      <w:r>
        <w:rPr>
          <w:spacing w:val="-4"/>
        </w:rPr>
        <w:t xml:space="preserve"> </w:t>
      </w:r>
      <w:r>
        <w:t>3.8</w:t>
      </w:r>
      <w:r>
        <w:rPr>
          <w:spacing w:val="-1"/>
        </w:rPr>
        <w:t xml:space="preserve"> </w:t>
      </w:r>
      <w:r>
        <w:t>provides</w:t>
      </w:r>
      <w:r>
        <w:rPr>
          <w:spacing w:val="-4"/>
        </w:rPr>
        <w:t xml:space="preserve"> </w:t>
      </w:r>
      <w:r>
        <w:t>examples</w:t>
      </w:r>
      <w:r>
        <w:rPr>
          <w:spacing w:val="-4"/>
        </w:rPr>
        <w:t xml:space="preserve"> </w:t>
      </w:r>
      <w:r>
        <w:t>of</w:t>
      </w:r>
      <w:r>
        <w:rPr>
          <w:spacing w:val="-4"/>
        </w:rPr>
        <w:t xml:space="preserve"> </w:t>
      </w:r>
      <w:r>
        <w:t>open</w:t>
      </w:r>
      <w:r>
        <w:rPr>
          <w:spacing w:val="-3"/>
        </w:rPr>
        <w:t xml:space="preserve"> </w:t>
      </w:r>
      <w:r>
        <w:t>questions</w:t>
      </w:r>
      <w:r>
        <w:rPr>
          <w:spacing w:val="-4"/>
        </w:rPr>
        <w:t xml:space="preserve"> </w:t>
      </w:r>
      <w:r>
        <w:t>that</w:t>
      </w:r>
      <w:r>
        <w:rPr>
          <w:spacing w:val="-4"/>
        </w:rPr>
        <w:t xml:space="preserve"> </w:t>
      </w:r>
      <w:r>
        <w:t>elicit</w:t>
      </w:r>
      <w:r>
        <w:rPr>
          <w:spacing w:val="-4"/>
        </w:rPr>
        <w:t xml:space="preserve"> </w:t>
      </w:r>
      <w:r>
        <w:t>change</w:t>
      </w:r>
      <w:r>
        <w:rPr>
          <w:spacing w:val="-1"/>
        </w:rPr>
        <w:t xml:space="preserve"> </w:t>
      </w:r>
      <w:r>
        <w:t>talk</w:t>
      </w:r>
      <w:r>
        <w:rPr>
          <w:spacing w:val="-1"/>
        </w:rPr>
        <w:t xml:space="preserve"> </w:t>
      </w:r>
      <w:r>
        <w:t>in</w:t>
      </w:r>
      <w:r>
        <w:rPr>
          <w:spacing w:val="-3"/>
        </w:rPr>
        <w:t xml:space="preserve"> </w:t>
      </w:r>
      <w:r>
        <w:t>preparation</w:t>
      </w:r>
      <w:r>
        <w:rPr>
          <w:spacing w:val="-3"/>
        </w:rPr>
        <w:t xml:space="preserve"> </w:t>
      </w:r>
      <w:r>
        <w:t>for taking steps to change</w:t>
      </w:r>
      <w:r>
        <w:t>.</w:t>
      </w:r>
    </w:p>
    <w:p w14:paraId="15B2D0AB" w14:textId="77777777" w:rsidR="00DB6E1F" w:rsidRDefault="00DB6E1F">
      <w:pPr>
        <w:pStyle w:val="BodyText"/>
        <w:spacing w:before="1"/>
        <w:rPr>
          <w:sz w:val="13"/>
        </w:rPr>
      </w:pPr>
    </w:p>
    <w:tbl>
      <w:tblPr>
        <w:tblW w:w="0" w:type="auto"/>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920"/>
      </w:tblGrid>
      <w:tr w:rsidR="00DB6E1F" w14:paraId="67EF3861" w14:textId="77777777">
        <w:trPr>
          <w:trHeight w:val="503"/>
        </w:trPr>
        <w:tc>
          <w:tcPr>
            <w:tcW w:w="9715" w:type="dxa"/>
            <w:gridSpan w:val="2"/>
            <w:shd w:val="clear" w:color="auto" w:fill="050505"/>
          </w:tcPr>
          <w:p w14:paraId="07FBF4E9" w14:textId="77777777" w:rsidR="00DB6E1F" w:rsidRDefault="00F666A6">
            <w:pPr>
              <w:pStyle w:val="TableParagraph"/>
              <w:spacing w:before="102"/>
              <w:ind w:left="218"/>
              <w:rPr>
                <w:sz w:val="24"/>
              </w:rPr>
            </w:pPr>
            <w:r>
              <w:rPr>
                <w:color w:val="FFFFFF"/>
                <w:sz w:val="24"/>
              </w:rPr>
              <w:t>Exhibit</w:t>
            </w:r>
            <w:r>
              <w:rPr>
                <w:color w:val="FFFFFF"/>
                <w:spacing w:val="-3"/>
                <w:sz w:val="24"/>
              </w:rPr>
              <w:t xml:space="preserve"> </w:t>
            </w:r>
            <w:r>
              <w:rPr>
                <w:color w:val="FFFFFF"/>
                <w:sz w:val="24"/>
              </w:rPr>
              <w:t>3.8.</w:t>
            </w:r>
            <w:r>
              <w:rPr>
                <w:color w:val="FFFFFF"/>
                <w:spacing w:val="-1"/>
                <w:sz w:val="24"/>
              </w:rPr>
              <w:t xml:space="preserve"> </w:t>
            </w:r>
            <w:r>
              <w:rPr>
                <w:color w:val="FFFFFF"/>
                <w:sz w:val="24"/>
              </w:rPr>
              <w:t>Examples</w:t>
            </w:r>
            <w:r>
              <w:rPr>
                <w:color w:val="FFFFFF"/>
                <w:spacing w:val="-3"/>
                <w:sz w:val="24"/>
              </w:rPr>
              <w:t xml:space="preserve"> </w:t>
            </w:r>
            <w:r>
              <w:rPr>
                <w:color w:val="FFFFFF"/>
                <w:sz w:val="24"/>
              </w:rPr>
              <w:t>of</w:t>
            </w:r>
            <w:r>
              <w:rPr>
                <w:color w:val="FFFFFF"/>
                <w:spacing w:val="-2"/>
                <w:sz w:val="24"/>
              </w:rPr>
              <w:t xml:space="preserve"> </w:t>
            </w:r>
            <w:r>
              <w:rPr>
                <w:color w:val="FFFFFF"/>
                <w:sz w:val="24"/>
              </w:rPr>
              <w:t>Open</w:t>
            </w:r>
            <w:r>
              <w:rPr>
                <w:color w:val="FFFFFF"/>
                <w:spacing w:val="1"/>
                <w:sz w:val="24"/>
              </w:rPr>
              <w:t xml:space="preserve"> </w:t>
            </w:r>
            <w:r>
              <w:rPr>
                <w:color w:val="FFFFFF"/>
                <w:sz w:val="24"/>
              </w:rPr>
              <w:t>Questions</w:t>
            </w:r>
            <w:r>
              <w:rPr>
                <w:color w:val="FFFFFF"/>
                <w:spacing w:val="-3"/>
                <w:sz w:val="24"/>
              </w:rPr>
              <w:t xml:space="preserve"> </w:t>
            </w:r>
            <w:r>
              <w:rPr>
                <w:color w:val="FFFFFF"/>
                <w:sz w:val="24"/>
              </w:rPr>
              <w:t>to Evoke Change</w:t>
            </w:r>
            <w:r>
              <w:rPr>
                <w:color w:val="FFFFFF"/>
                <w:spacing w:val="-2"/>
                <w:sz w:val="24"/>
              </w:rPr>
              <w:t xml:space="preserve"> </w:t>
            </w:r>
            <w:r>
              <w:rPr>
                <w:color w:val="FFFFFF"/>
                <w:sz w:val="24"/>
              </w:rPr>
              <w:t>Talk</w:t>
            </w:r>
            <w:r>
              <w:rPr>
                <w:color w:val="FFFFFF"/>
                <w:spacing w:val="-2"/>
                <w:sz w:val="24"/>
              </w:rPr>
              <w:t xml:space="preserve"> </w:t>
            </w:r>
            <w:r>
              <w:rPr>
                <w:color w:val="FFFFFF"/>
                <w:sz w:val="24"/>
              </w:rPr>
              <w:t>Using</w:t>
            </w:r>
            <w:r>
              <w:rPr>
                <w:color w:val="FFFFFF"/>
                <w:spacing w:val="-3"/>
                <w:sz w:val="24"/>
              </w:rPr>
              <w:t xml:space="preserve"> </w:t>
            </w:r>
            <w:r>
              <w:rPr>
                <w:color w:val="FFFFFF"/>
                <w:spacing w:val="-4"/>
                <w:sz w:val="24"/>
              </w:rPr>
              <w:t>DARN</w:t>
            </w:r>
          </w:p>
        </w:tc>
      </w:tr>
      <w:tr w:rsidR="00DB6E1F" w14:paraId="457B1932" w14:textId="77777777">
        <w:trPr>
          <w:trHeight w:val="2550"/>
        </w:trPr>
        <w:tc>
          <w:tcPr>
            <w:tcW w:w="1795" w:type="dxa"/>
          </w:tcPr>
          <w:p w14:paraId="5F52C1BF" w14:textId="77777777" w:rsidR="00DB6E1F" w:rsidRDefault="00F666A6">
            <w:pPr>
              <w:pStyle w:val="TableParagraph"/>
              <w:ind w:left="115"/>
              <w:rPr>
                <w:sz w:val="20"/>
              </w:rPr>
            </w:pPr>
            <w:r>
              <w:rPr>
                <w:spacing w:val="-2"/>
                <w:sz w:val="20"/>
              </w:rPr>
              <w:t>Desire</w:t>
            </w:r>
          </w:p>
        </w:tc>
        <w:tc>
          <w:tcPr>
            <w:tcW w:w="7920" w:type="dxa"/>
          </w:tcPr>
          <w:p w14:paraId="04DF946E" w14:textId="77777777" w:rsidR="00DB6E1F" w:rsidRDefault="00F666A6">
            <w:pPr>
              <w:pStyle w:val="TableParagraph"/>
              <w:ind w:left="115"/>
              <w:rPr>
                <w:sz w:val="20"/>
              </w:rPr>
            </w:pPr>
            <w:r>
              <w:rPr>
                <w:sz w:val="20"/>
              </w:rPr>
              <w:t>“How</w:t>
            </w:r>
            <w:r>
              <w:rPr>
                <w:spacing w:val="-6"/>
                <w:sz w:val="20"/>
              </w:rPr>
              <w:t xml:space="preserve"> </w:t>
            </w:r>
            <w:r>
              <w:rPr>
                <w:sz w:val="20"/>
              </w:rPr>
              <w:t>would</w:t>
            </w:r>
            <w:r>
              <w:rPr>
                <w:spacing w:val="-3"/>
                <w:sz w:val="20"/>
              </w:rPr>
              <w:t xml:space="preserve"> </w:t>
            </w:r>
            <w:r>
              <w:rPr>
                <w:sz w:val="20"/>
              </w:rPr>
              <w:t>you</w:t>
            </w:r>
            <w:r>
              <w:rPr>
                <w:spacing w:val="-3"/>
                <w:sz w:val="20"/>
              </w:rPr>
              <w:t xml:space="preserve"> </w:t>
            </w:r>
            <w:r>
              <w:rPr>
                <w:b/>
                <w:sz w:val="20"/>
              </w:rPr>
              <w:t>like</w:t>
            </w:r>
            <w:r>
              <w:rPr>
                <w:b/>
                <w:spacing w:val="-4"/>
                <w:sz w:val="20"/>
              </w:rPr>
              <w:t xml:space="preserve"> </w:t>
            </w:r>
            <w:r>
              <w:rPr>
                <w:sz w:val="20"/>
              </w:rPr>
              <w:t>for</w:t>
            </w:r>
            <w:r>
              <w:rPr>
                <w:spacing w:val="-4"/>
                <w:sz w:val="20"/>
              </w:rPr>
              <w:t xml:space="preserve"> </w:t>
            </w:r>
            <w:r>
              <w:rPr>
                <w:sz w:val="20"/>
              </w:rPr>
              <w:t>things</w:t>
            </w:r>
            <w:r>
              <w:rPr>
                <w:spacing w:val="-6"/>
                <w:sz w:val="20"/>
              </w:rPr>
              <w:t xml:space="preserve"> </w:t>
            </w:r>
            <w:r>
              <w:rPr>
                <w:sz w:val="20"/>
              </w:rPr>
              <w:t>to</w:t>
            </w:r>
            <w:r>
              <w:rPr>
                <w:spacing w:val="-4"/>
                <w:sz w:val="20"/>
              </w:rPr>
              <w:t xml:space="preserve"> </w:t>
            </w:r>
            <w:r>
              <w:rPr>
                <w:spacing w:val="-2"/>
                <w:sz w:val="20"/>
              </w:rPr>
              <w:t>change?”</w:t>
            </w:r>
          </w:p>
          <w:p w14:paraId="104E03D9" w14:textId="77777777" w:rsidR="00DB6E1F" w:rsidRDefault="00F666A6">
            <w:pPr>
              <w:pStyle w:val="TableParagraph"/>
              <w:spacing w:before="121" w:line="357" w:lineRule="auto"/>
              <w:ind w:left="115" w:right="3113"/>
              <w:rPr>
                <w:sz w:val="20"/>
              </w:rPr>
            </w:pPr>
            <w:r>
              <w:rPr>
                <w:sz w:val="20"/>
              </w:rPr>
              <w:t>“What</w:t>
            </w:r>
            <w:r>
              <w:rPr>
                <w:spacing w:val="-5"/>
                <w:sz w:val="20"/>
              </w:rPr>
              <w:t xml:space="preserve"> </w:t>
            </w:r>
            <w:r>
              <w:rPr>
                <w:sz w:val="20"/>
              </w:rPr>
              <w:t>do</w:t>
            </w:r>
            <w:r>
              <w:rPr>
                <w:spacing w:val="-5"/>
                <w:sz w:val="20"/>
              </w:rPr>
              <w:t xml:space="preserve"> </w:t>
            </w:r>
            <w:r>
              <w:rPr>
                <w:sz w:val="20"/>
              </w:rPr>
              <w:t>you</w:t>
            </w:r>
            <w:r>
              <w:rPr>
                <w:spacing w:val="-6"/>
                <w:sz w:val="20"/>
              </w:rPr>
              <w:t xml:space="preserve"> </w:t>
            </w:r>
            <w:r>
              <w:rPr>
                <w:b/>
                <w:sz w:val="20"/>
              </w:rPr>
              <w:t>hope</w:t>
            </w:r>
            <w:r>
              <w:rPr>
                <w:b/>
                <w:spacing w:val="-7"/>
                <w:sz w:val="20"/>
              </w:rPr>
              <w:t xml:space="preserve"> </w:t>
            </w:r>
            <w:r>
              <w:rPr>
                <w:sz w:val="20"/>
              </w:rPr>
              <w:t>our</w:t>
            </w:r>
            <w:r>
              <w:rPr>
                <w:spacing w:val="-5"/>
                <w:sz w:val="20"/>
              </w:rPr>
              <w:t xml:space="preserve"> </w:t>
            </w:r>
            <w:r>
              <w:rPr>
                <w:sz w:val="20"/>
              </w:rPr>
              <w:t>work</w:t>
            </w:r>
            <w:r>
              <w:rPr>
                <w:spacing w:val="-7"/>
                <w:sz w:val="20"/>
              </w:rPr>
              <w:t xml:space="preserve"> </w:t>
            </w:r>
            <w:r>
              <w:rPr>
                <w:sz w:val="20"/>
              </w:rPr>
              <w:t>together</w:t>
            </w:r>
            <w:r>
              <w:rPr>
                <w:spacing w:val="-5"/>
                <w:sz w:val="20"/>
              </w:rPr>
              <w:t xml:space="preserve"> </w:t>
            </w:r>
            <w:r>
              <w:rPr>
                <w:sz w:val="20"/>
              </w:rPr>
              <w:t>will</w:t>
            </w:r>
            <w:r>
              <w:rPr>
                <w:spacing w:val="-5"/>
                <w:sz w:val="20"/>
              </w:rPr>
              <w:t xml:space="preserve"> </w:t>
            </w:r>
            <w:r>
              <w:rPr>
                <w:sz w:val="20"/>
              </w:rPr>
              <w:t xml:space="preserve">accomplish?” “What don’t you </w:t>
            </w:r>
            <w:r>
              <w:rPr>
                <w:b/>
                <w:sz w:val="20"/>
              </w:rPr>
              <w:t xml:space="preserve">like </w:t>
            </w:r>
            <w:r>
              <w:rPr>
                <w:sz w:val="20"/>
              </w:rPr>
              <w:t>about how things are now?”</w:t>
            </w:r>
          </w:p>
          <w:p w14:paraId="1BF6650A" w14:textId="77777777" w:rsidR="00DB6E1F" w:rsidRDefault="00F666A6">
            <w:pPr>
              <w:pStyle w:val="TableParagraph"/>
              <w:tabs>
                <w:tab w:val="left" w:pos="4732"/>
              </w:tabs>
              <w:spacing w:before="2" w:line="357" w:lineRule="auto"/>
              <w:ind w:left="115" w:right="2603"/>
              <w:rPr>
                <w:sz w:val="20"/>
              </w:rPr>
            </w:pPr>
            <w:r>
              <w:rPr>
                <w:sz w:val="20"/>
              </w:rPr>
              <w:t>“What</w:t>
            </w:r>
            <w:r>
              <w:rPr>
                <w:spacing w:val="-4"/>
                <w:sz w:val="20"/>
              </w:rPr>
              <w:t xml:space="preserve"> </w:t>
            </w:r>
            <w:r>
              <w:rPr>
                <w:sz w:val="20"/>
              </w:rPr>
              <w:t>don’t</w:t>
            </w:r>
            <w:r>
              <w:rPr>
                <w:spacing w:val="-6"/>
                <w:sz w:val="20"/>
              </w:rPr>
              <w:t xml:space="preserve"> </w:t>
            </w:r>
            <w:r>
              <w:rPr>
                <w:sz w:val="20"/>
              </w:rPr>
              <w:t>you</w:t>
            </w:r>
            <w:r>
              <w:rPr>
                <w:spacing w:val="-3"/>
                <w:sz w:val="20"/>
              </w:rPr>
              <w:t xml:space="preserve"> </w:t>
            </w:r>
            <w:r>
              <w:rPr>
                <w:b/>
                <w:sz w:val="20"/>
              </w:rPr>
              <w:t>like</w:t>
            </w:r>
            <w:r>
              <w:rPr>
                <w:b/>
                <w:spacing w:val="-4"/>
                <w:sz w:val="20"/>
              </w:rPr>
              <w:t xml:space="preserve"> </w:t>
            </w:r>
            <w:r>
              <w:rPr>
                <w:sz w:val="20"/>
              </w:rPr>
              <w:t>about</w:t>
            </w:r>
            <w:r>
              <w:rPr>
                <w:spacing w:val="-4"/>
                <w:sz w:val="20"/>
              </w:rPr>
              <w:t xml:space="preserve"> </w:t>
            </w:r>
            <w:r>
              <w:rPr>
                <w:sz w:val="20"/>
              </w:rPr>
              <w:t>the</w:t>
            </w:r>
            <w:r>
              <w:rPr>
                <w:spacing w:val="-5"/>
                <w:sz w:val="20"/>
              </w:rPr>
              <w:t xml:space="preserve"> </w:t>
            </w:r>
            <w:r>
              <w:rPr>
                <w:sz w:val="20"/>
              </w:rPr>
              <w:t>effects</w:t>
            </w:r>
            <w:r>
              <w:rPr>
                <w:spacing w:val="-5"/>
                <w:sz w:val="20"/>
              </w:rPr>
              <w:t xml:space="preserve"> </w:t>
            </w:r>
            <w:r>
              <w:rPr>
                <w:sz w:val="20"/>
              </w:rPr>
              <w:t>of</w:t>
            </w:r>
            <w:r>
              <w:rPr>
                <w:spacing w:val="-5"/>
                <w:sz w:val="20"/>
              </w:rPr>
              <w:t xml:space="preserve"> </w:t>
            </w:r>
            <w:r>
              <w:rPr>
                <w:sz w:val="20"/>
              </w:rPr>
              <w:t>drinking</w:t>
            </w:r>
            <w:r>
              <w:rPr>
                <w:spacing w:val="-4"/>
                <w:sz w:val="20"/>
              </w:rPr>
              <w:t xml:space="preserve"> </w:t>
            </w:r>
            <w:r>
              <w:rPr>
                <w:sz w:val="20"/>
              </w:rPr>
              <w:t>or</w:t>
            </w:r>
            <w:r>
              <w:rPr>
                <w:spacing w:val="-4"/>
                <w:sz w:val="20"/>
              </w:rPr>
              <w:t xml:space="preserve"> </w:t>
            </w:r>
            <w:r>
              <w:rPr>
                <w:sz w:val="20"/>
              </w:rPr>
              <w:t>drug</w:t>
            </w:r>
            <w:r>
              <w:rPr>
                <w:spacing w:val="-4"/>
                <w:sz w:val="20"/>
              </w:rPr>
              <w:t xml:space="preserve"> </w:t>
            </w:r>
            <w:r>
              <w:rPr>
                <w:sz w:val="20"/>
              </w:rPr>
              <w:t xml:space="preserve">use?” “What do you </w:t>
            </w:r>
            <w:r>
              <w:rPr>
                <w:b/>
                <w:sz w:val="20"/>
              </w:rPr>
              <w:t xml:space="preserve">wish </w:t>
            </w:r>
            <w:r>
              <w:rPr>
                <w:sz w:val="20"/>
              </w:rPr>
              <w:t xml:space="preserve">for your relationship with </w:t>
            </w:r>
            <w:r>
              <w:rPr>
                <w:rFonts w:ascii="Times New Roman" w:hAnsi="Times New Roman"/>
                <w:sz w:val="20"/>
                <w:u w:val="single"/>
              </w:rPr>
              <w:tab/>
            </w:r>
            <w:r>
              <w:rPr>
                <w:spacing w:val="-4"/>
                <w:sz w:val="20"/>
              </w:rPr>
              <w:t xml:space="preserve">_?” </w:t>
            </w:r>
            <w:r>
              <w:rPr>
                <w:sz w:val="20"/>
              </w:rPr>
              <w:t xml:space="preserve">“How do you </w:t>
            </w:r>
            <w:r>
              <w:rPr>
                <w:b/>
                <w:sz w:val="20"/>
              </w:rPr>
              <w:t xml:space="preserve">want </w:t>
            </w:r>
            <w:r>
              <w:rPr>
                <w:sz w:val="20"/>
              </w:rPr>
              <w:t>your life to be different a year from now?”</w:t>
            </w:r>
          </w:p>
          <w:p w14:paraId="568EF5DE" w14:textId="77777777" w:rsidR="00DB6E1F" w:rsidRDefault="00F666A6">
            <w:pPr>
              <w:pStyle w:val="TableParagraph"/>
              <w:spacing w:before="0"/>
              <w:ind w:left="115"/>
              <w:rPr>
                <w:sz w:val="20"/>
              </w:rPr>
            </w:pPr>
            <w:r>
              <w:rPr>
                <w:sz w:val="20"/>
              </w:rPr>
              <w:t>“What</w:t>
            </w:r>
            <w:r>
              <w:rPr>
                <w:spacing w:val="-5"/>
                <w:sz w:val="20"/>
              </w:rPr>
              <w:t xml:space="preserve"> </w:t>
            </w:r>
            <w:r>
              <w:rPr>
                <w:sz w:val="20"/>
              </w:rPr>
              <w:t>are</w:t>
            </w:r>
            <w:r>
              <w:rPr>
                <w:spacing w:val="-5"/>
                <w:sz w:val="20"/>
              </w:rPr>
              <w:t xml:space="preserve"> </w:t>
            </w:r>
            <w:r>
              <w:rPr>
                <w:sz w:val="20"/>
              </w:rPr>
              <w:t>you</w:t>
            </w:r>
            <w:r>
              <w:rPr>
                <w:spacing w:val="-3"/>
                <w:sz w:val="20"/>
              </w:rPr>
              <w:t xml:space="preserve"> </w:t>
            </w:r>
            <w:r>
              <w:rPr>
                <w:b/>
                <w:sz w:val="20"/>
              </w:rPr>
              <w:t>looking</w:t>
            </w:r>
            <w:r>
              <w:rPr>
                <w:b/>
                <w:spacing w:val="-5"/>
                <w:sz w:val="20"/>
              </w:rPr>
              <w:t xml:space="preserve"> </w:t>
            </w:r>
            <w:r>
              <w:rPr>
                <w:b/>
                <w:sz w:val="20"/>
              </w:rPr>
              <w:t>for</w:t>
            </w:r>
            <w:r>
              <w:rPr>
                <w:b/>
                <w:spacing w:val="-3"/>
                <w:sz w:val="20"/>
              </w:rPr>
              <w:t xml:space="preserve"> </w:t>
            </w:r>
            <w:r>
              <w:rPr>
                <w:sz w:val="20"/>
              </w:rPr>
              <w:t>from</w:t>
            </w:r>
            <w:r>
              <w:rPr>
                <w:spacing w:val="-5"/>
                <w:sz w:val="20"/>
              </w:rPr>
              <w:t xml:space="preserve"> </w:t>
            </w:r>
            <w:r>
              <w:rPr>
                <w:sz w:val="20"/>
              </w:rPr>
              <w:t>this</w:t>
            </w:r>
            <w:r>
              <w:rPr>
                <w:spacing w:val="-5"/>
                <w:sz w:val="20"/>
              </w:rPr>
              <w:t xml:space="preserve"> </w:t>
            </w:r>
            <w:r>
              <w:rPr>
                <w:spacing w:val="-2"/>
                <w:sz w:val="20"/>
              </w:rPr>
              <w:t>program?”</w:t>
            </w:r>
          </w:p>
        </w:tc>
      </w:tr>
      <w:tr w:rsidR="00DB6E1F" w14:paraId="13909E7B" w14:textId="77777777">
        <w:trPr>
          <w:trHeight w:val="2548"/>
        </w:trPr>
        <w:tc>
          <w:tcPr>
            <w:tcW w:w="1795" w:type="dxa"/>
          </w:tcPr>
          <w:p w14:paraId="1E825AF3" w14:textId="77777777" w:rsidR="00DB6E1F" w:rsidRDefault="00F666A6">
            <w:pPr>
              <w:pStyle w:val="TableParagraph"/>
              <w:ind w:left="115"/>
              <w:rPr>
                <w:sz w:val="20"/>
              </w:rPr>
            </w:pPr>
            <w:r>
              <w:rPr>
                <w:spacing w:val="-2"/>
                <w:sz w:val="20"/>
              </w:rPr>
              <w:t>Ability</w:t>
            </w:r>
          </w:p>
        </w:tc>
        <w:tc>
          <w:tcPr>
            <w:tcW w:w="7920" w:type="dxa"/>
          </w:tcPr>
          <w:p w14:paraId="09E7D035" w14:textId="77777777" w:rsidR="00DB6E1F" w:rsidRDefault="00F666A6">
            <w:pPr>
              <w:pStyle w:val="TableParagraph"/>
              <w:tabs>
                <w:tab w:val="left" w:pos="4617"/>
              </w:tabs>
              <w:spacing w:line="357" w:lineRule="auto"/>
              <w:ind w:left="115" w:right="3113"/>
              <w:rPr>
                <w:sz w:val="20"/>
              </w:rPr>
            </w:pPr>
            <w:r>
              <w:rPr>
                <w:sz w:val="20"/>
              </w:rPr>
              <w:t xml:space="preserve">“If you decided to quit drinking, how </w:t>
            </w:r>
            <w:r>
              <w:rPr>
                <w:b/>
                <w:sz w:val="20"/>
              </w:rPr>
              <w:t xml:space="preserve">could </w:t>
            </w:r>
            <w:r>
              <w:rPr>
                <w:sz w:val="20"/>
              </w:rPr>
              <w:t>yo</w:t>
            </w:r>
            <w:r>
              <w:rPr>
                <w:sz w:val="20"/>
              </w:rPr>
              <w:t xml:space="preserve">u do it?” “What do you think you might be </w:t>
            </w:r>
            <w:r>
              <w:rPr>
                <w:b/>
                <w:sz w:val="20"/>
              </w:rPr>
              <w:t xml:space="preserve">able </w:t>
            </w:r>
            <w:r>
              <w:rPr>
                <w:sz w:val="20"/>
              </w:rPr>
              <w:t>to change?”</w:t>
            </w:r>
            <w:r>
              <w:rPr>
                <w:spacing w:val="40"/>
                <w:sz w:val="20"/>
              </w:rPr>
              <w:t xml:space="preserve"> </w:t>
            </w:r>
            <w:r>
              <w:rPr>
                <w:sz w:val="20"/>
              </w:rPr>
              <w:t xml:space="preserve">“What ideas do you have for how you </w:t>
            </w:r>
            <w:r>
              <w:rPr>
                <w:b/>
                <w:sz w:val="20"/>
              </w:rPr>
              <w:t xml:space="preserve">could </w:t>
            </w:r>
            <w:r>
              <w:rPr>
                <w:rFonts w:ascii="Times New Roman" w:hAnsi="Times New Roman"/>
                <w:sz w:val="20"/>
                <w:u w:val="single"/>
              </w:rPr>
              <w:tab/>
            </w:r>
            <w:r>
              <w:rPr>
                <w:spacing w:val="-6"/>
                <w:sz w:val="20"/>
              </w:rPr>
              <w:t>?”</w:t>
            </w:r>
          </w:p>
          <w:p w14:paraId="1D2B3003" w14:textId="77777777" w:rsidR="00DB6E1F" w:rsidRDefault="00F666A6">
            <w:pPr>
              <w:pStyle w:val="TableParagraph"/>
              <w:ind w:left="115"/>
              <w:rPr>
                <w:sz w:val="20"/>
              </w:rPr>
            </w:pPr>
            <w:r>
              <w:rPr>
                <w:sz w:val="20"/>
              </w:rPr>
              <w:t>“What</w:t>
            </w:r>
            <w:r>
              <w:rPr>
                <w:spacing w:val="-6"/>
                <w:sz w:val="20"/>
              </w:rPr>
              <w:t xml:space="preserve"> </w:t>
            </w:r>
            <w:r>
              <w:rPr>
                <w:b/>
                <w:sz w:val="20"/>
              </w:rPr>
              <w:t>encourages</w:t>
            </w:r>
            <w:r>
              <w:rPr>
                <w:b/>
                <w:spacing w:val="-5"/>
                <w:sz w:val="20"/>
              </w:rPr>
              <w:t xml:space="preserve"> </w:t>
            </w:r>
            <w:r>
              <w:rPr>
                <w:sz w:val="20"/>
              </w:rPr>
              <w:t>you</w:t>
            </w:r>
            <w:r>
              <w:rPr>
                <w:spacing w:val="-4"/>
                <w:sz w:val="20"/>
              </w:rPr>
              <w:t xml:space="preserve"> </w:t>
            </w:r>
            <w:r>
              <w:rPr>
                <w:sz w:val="20"/>
              </w:rPr>
              <w:t>that</w:t>
            </w:r>
            <w:r>
              <w:rPr>
                <w:spacing w:val="-7"/>
                <w:sz w:val="20"/>
              </w:rPr>
              <w:t xml:space="preserve"> </w:t>
            </w:r>
            <w:r>
              <w:rPr>
                <w:sz w:val="20"/>
              </w:rPr>
              <w:t>you</w:t>
            </w:r>
            <w:r>
              <w:rPr>
                <w:spacing w:val="-4"/>
                <w:sz w:val="20"/>
              </w:rPr>
              <w:t xml:space="preserve"> </w:t>
            </w:r>
            <w:r>
              <w:rPr>
                <w:sz w:val="20"/>
              </w:rPr>
              <w:t>could</w:t>
            </w:r>
            <w:r>
              <w:rPr>
                <w:spacing w:val="-4"/>
                <w:sz w:val="20"/>
              </w:rPr>
              <w:t xml:space="preserve"> </w:t>
            </w:r>
            <w:r>
              <w:rPr>
                <w:b/>
                <w:sz w:val="20"/>
              </w:rPr>
              <w:t>change</w:t>
            </w:r>
            <w:r>
              <w:rPr>
                <w:b/>
                <w:spacing w:val="-5"/>
                <w:sz w:val="20"/>
              </w:rPr>
              <w:t xml:space="preserve"> </w:t>
            </w:r>
            <w:r>
              <w:rPr>
                <w:sz w:val="20"/>
              </w:rPr>
              <w:t>if</w:t>
            </w:r>
            <w:r>
              <w:rPr>
                <w:spacing w:val="-6"/>
                <w:sz w:val="20"/>
              </w:rPr>
              <w:t xml:space="preserve"> </w:t>
            </w:r>
            <w:r>
              <w:rPr>
                <w:sz w:val="20"/>
              </w:rPr>
              <w:t>you</w:t>
            </w:r>
            <w:r>
              <w:rPr>
                <w:spacing w:val="-4"/>
                <w:sz w:val="20"/>
              </w:rPr>
              <w:t xml:space="preserve"> </w:t>
            </w:r>
            <w:r>
              <w:rPr>
                <w:sz w:val="20"/>
              </w:rPr>
              <w:t>decided</w:t>
            </w:r>
            <w:r>
              <w:rPr>
                <w:spacing w:val="-5"/>
                <w:sz w:val="20"/>
              </w:rPr>
              <w:t xml:space="preserve"> </w:t>
            </w:r>
            <w:r>
              <w:rPr>
                <w:spacing w:val="-4"/>
                <w:sz w:val="20"/>
              </w:rPr>
              <w:t>to?”</w:t>
            </w:r>
          </w:p>
          <w:p w14:paraId="1CDDA3C1" w14:textId="77777777" w:rsidR="00DB6E1F" w:rsidRDefault="00F666A6">
            <w:pPr>
              <w:pStyle w:val="TableParagraph"/>
              <w:tabs>
                <w:tab w:val="left" w:pos="4226"/>
              </w:tabs>
              <w:spacing w:before="120" w:line="355" w:lineRule="auto"/>
              <w:ind w:left="115" w:right="1367"/>
              <w:rPr>
                <w:sz w:val="20"/>
              </w:rPr>
            </w:pPr>
            <w:r>
              <w:rPr>
                <w:sz w:val="20"/>
              </w:rPr>
              <w:t xml:space="preserve">“How </w:t>
            </w:r>
            <w:r>
              <w:rPr>
                <w:b/>
                <w:sz w:val="20"/>
              </w:rPr>
              <w:t xml:space="preserve">confident </w:t>
            </w:r>
            <w:r>
              <w:rPr>
                <w:sz w:val="20"/>
              </w:rPr>
              <w:t xml:space="preserve">are you that you could </w:t>
            </w:r>
            <w:r>
              <w:rPr>
                <w:rFonts w:ascii="Times New Roman" w:hAnsi="Times New Roman"/>
                <w:sz w:val="20"/>
                <w:u w:val="single"/>
              </w:rPr>
              <w:tab/>
            </w:r>
            <w:r>
              <w:rPr>
                <w:rFonts w:ascii="Times New Roman" w:hAnsi="Times New Roman"/>
                <w:spacing w:val="-12"/>
                <w:sz w:val="20"/>
              </w:rPr>
              <w:t xml:space="preserve"> </w:t>
            </w:r>
            <w:r>
              <w:rPr>
                <w:sz w:val="20"/>
              </w:rPr>
              <w:t>if</w:t>
            </w:r>
            <w:r>
              <w:rPr>
                <w:spacing w:val="-7"/>
                <w:sz w:val="20"/>
              </w:rPr>
              <w:t xml:space="preserve"> </w:t>
            </w:r>
            <w:r>
              <w:rPr>
                <w:sz w:val="20"/>
              </w:rPr>
              <w:t>you</w:t>
            </w:r>
            <w:r>
              <w:rPr>
                <w:spacing w:val="-5"/>
                <w:sz w:val="20"/>
              </w:rPr>
              <w:t xml:space="preserve"> </w:t>
            </w:r>
            <w:r>
              <w:rPr>
                <w:sz w:val="20"/>
              </w:rPr>
              <w:t>made</w:t>
            </w:r>
            <w:r>
              <w:rPr>
                <w:spacing w:val="-7"/>
                <w:sz w:val="20"/>
              </w:rPr>
              <w:t xml:space="preserve"> </w:t>
            </w:r>
            <w:r>
              <w:rPr>
                <w:sz w:val="20"/>
              </w:rPr>
              <w:t>up</w:t>
            </w:r>
            <w:r>
              <w:rPr>
                <w:spacing w:val="-5"/>
                <w:sz w:val="20"/>
              </w:rPr>
              <w:t xml:space="preserve"> </w:t>
            </w:r>
            <w:r>
              <w:rPr>
                <w:sz w:val="20"/>
              </w:rPr>
              <w:t>your</w:t>
            </w:r>
            <w:r>
              <w:rPr>
                <w:spacing w:val="-6"/>
                <w:sz w:val="20"/>
              </w:rPr>
              <w:t xml:space="preserve"> </w:t>
            </w:r>
            <w:r>
              <w:rPr>
                <w:sz w:val="20"/>
              </w:rPr>
              <w:t xml:space="preserve">mind?” “Of the different options you’ve considered, what seems most </w:t>
            </w:r>
            <w:r>
              <w:rPr>
                <w:b/>
                <w:sz w:val="20"/>
              </w:rPr>
              <w:t>possible</w:t>
            </w:r>
            <w:r>
              <w:rPr>
                <w:sz w:val="20"/>
              </w:rPr>
              <w:t>?”</w:t>
            </w:r>
          </w:p>
          <w:p w14:paraId="7DDFF395" w14:textId="77777777" w:rsidR="00DB6E1F" w:rsidRDefault="00F666A6">
            <w:pPr>
              <w:pStyle w:val="TableParagraph"/>
              <w:tabs>
                <w:tab w:val="left" w:pos="3819"/>
              </w:tabs>
              <w:spacing w:before="5"/>
              <w:ind w:left="115"/>
              <w:rPr>
                <w:sz w:val="20"/>
              </w:rPr>
            </w:pPr>
            <w:r>
              <w:rPr>
                <w:sz w:val="20"/>
              </w:rPr>
              <w:t>“How</w:t>
            </w:r>
            <w:r>
              <w:rPr>
                <w:spacing w:val="-4"/>
                <w:sz w:val="20"/>
              </w:rPr>
              <w:t xml:space="preserve"> </w:t>
            </w:r>
            <w:r>
              <w:rPr>
                <w:sz w:val="20"/>
              </w:rPr>
              <w:t>likely</w:t>
            </w:r>
            <w:r>
              <w:rPr>
                <w:spacing w:val="-2"/>
                <w:sz w:val="20"/>
              </w:rPr>
              <w:t xml:space="preserve"> </w:t>
            </w:r>
            <w:r>
              <w:rPr>
                <w:sz w:val="20"/>
              </w:rPr>
              <w:t>are</w:t>
            </w:r>
            <w:r>
              <w:rPr>
                <w:spacing w:val="-4"/>
                <w:sz w:val="20"/>
              </w:rPr>
              <w:t xml:space="preserve"> </w:t>
            </w:r>
            <w:r>
              <w:rPr>
                <w:sz w:val="20"/>
              </w:rPr>
              <w:t>you</w:t>
            </w:r>
            <w:r>
              <w:rPr>
                <w:spacing w:val="-2"/>
                <w:sz w:val="20"/>
              </w:rPr>
              <w:t xml:space="preserve"> </w:t>
            </w:r>
            <w:r>
              <w:rPr>
                <w:sz w:val="20"/>
              </w:rPr>
              <w:t>to</w:t>
            </w:r>
            <w:r>
              <w:rPr>
                <w:spacing w:val="-3"/>
                <w:sz w:val="20"/>
              </w:rPr>
              <w:t xml:space="preserve"> </w:t>
            </w:r>
            <w:r>
              <w:rPr>
                <w:sz w:val="20"/>
              </w:rPr>
              <w:t>be</w:t>
            </w:r>
            <w:r>
              <w:rPr>
                <w:spacing w:val="-4"/>
                <w:sz w:val="20"/>
              </w:rPr>
              <w:t xml:space="preserve"> </w:t>
            </w:r>
            <w:r>
              <w:rPr>
                <w:b/>
                <w:sz w:val="20"/>
              </w:rPr>
              <w:t>able</w:t>
            </w:r>
            <w:r>
              <w:rPr>
                <w:b/>
                <w:spacing w:val="-3"/>
                <w:sz w:val="20"/>
              </w:rPr>
              <w:t xml:space="preserve"> </w:t>
            </w:r>
            <w:r>
              <w:rPr>
                <w:sz w:val="20"/>
              </w:rPr>
              <w:t>to</w:t>
            </w:r>
            <w:r>
              <w:rPr>
                <w:spacing w:val="-2"/>
                <w:sz w:val="20"/>
              </w:rPr>
              <w:t xml:space="preserve"> </w:t>
            </w:r>
            <w:r>
              <w:rPr>
                <w:rFonts w:ascii="Times New Roman" w:hAnsi="Times New Roman"/>
                <w:sz w:val="20"/>
                <w:u w:val="single"/>
              </w:rPr>
              <w:tab/>
            </w:r>
            <w:r>
              <w:rPr>
                <w:spacing w:val="-5"/>
                <w:sz w:val="20"/>
              </w:rPr>
              <w:t>?”</w:t>
            </w:r>
          </w:p>
        </w:tc>
      </w:tr>
      <w:tr w:rsidR="00DB6E1F" w14:paraId="7C1E0D03" w14:textId="77777777">
        <w:trPr>
          <w:trHeight w:val="2548"/>
        </w:trPr>
        <w:tc>
          <w:tcPr>
            <w:tcW w:w="1795" w:type="dxa"/>
          </w:tcPr>
          <w:p w14:paraId="2E1C9832" w14:textId="77777777" w:rsidR="00DB6E1F" w:rsidRDefault="00F666A6">
            <w:pPr>
              <w:pStyle w:val="TableParagraph"/>
              <w:ind w:left="115"/>
              <w:rPr>
                <w:sz w:val="20"/>
              </w:rPr>
            </w:pPr>
            <w:r>
              <w:rPr>
                <w:spacing w:val="-2"/>
                <w:sz w:val="20"/>
              </w:rPr>
              <w:t>Reasons</w:t>
            </w:r>
          </w:p>
        </w:tc>
        <w:tc>
          <w:tcPr>
            <w:tcW w:w="7920" w:type="dxa"/>
          </w:tcPr>
          <w:p w14:paraId="1A0782E5" w14:textId="77777777" w:rsidR="00DB6E1F" w:rsidRDefault="00F666A6">
            <w:pPr>
              <w:pStyle w:val="TableParagraph"/>
              <w:ind w:left="115"/>
              <w:rPr>
                <w:sz w:val="20"/>
              </w:rPr>
            </w:pPr>
            <w:r>
              <w:rPr>
                <w:sz w:val="20"/>
              </w:rPr>
              <w:t>“What</w:t>
            </w:r>
            <w:r>
              <w:rPr>
                <w:spacing w:val="-5"/>
                <w:sz w:val="20"/>
              </w:rPr>
              <w:t xml:space="preserve"> </w:t>
            </w:r>
            <w:r>
              <w:rPr>
                <w:sz w:val="20"/>
              </w:rPr>
              <w:t>are</w:t>
            </w:r>
            <w:r>
              <w:rPr>
                <w:spacing w:val="-5"/>
                <w:sz w:val="20"/>
              </w:rPr>
              <w:t xml:space="preserve"> </w:t>
            </w:r>
            <w:r>
              <w:rPr>
                <w:sz w:val="20"/>
              </w:rPr>
              <w:t>some</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reasons</w:t>
            </w:r>
            <w:r>
              <w:rPr>
                <w:spacing w:val="-5"/>
                <w:sz w:val="20"/>
              </w:rPr>
              <w:t xml:space="preserve"> </w:t>
            </w:r>
            <w:r>
              <w:rPr>
                <w:sz w:val="20"/>
              </w:rPr>
              <w:t>you</w:t>
            </w:r>
            <w:r>
              <w:rPr>
                <w:spacing w:val="-4"/>
                <w:sz w:val="20"/>
              </w:rPr>
              <w:t xml:space="preserve"> </w:t>
            </w:r>
            <w:r>
              <w:rPr>
                <w:sz w:val="20"/>
              </w:rPr>
              <w:t>have</w:t>
            </w:r>
            <w:r>
              <w:rPr>
                <w:spacing w:val="-5"/>
                <w:sz w:val="20"/>
              </w:rPr>
              <w:t xml:space="preserve"> </w:t>
            </w:r>
            <w:r>
              <w:rPr>
                <w:sz w:val="20"/>
              </w:rPr>
              <w:t>for</w:t>
            </w:r>
            <w:r>
              <w:rPr>
                <w:spacing w:val="-4"/>
                <w:sz w:val="20"/>
              </w:rPr>
              <w:t xml:space="preserve"> </w:t>
            </w:r>
            <w:r>
              <w:rPr>
                <w:sz w:val="20"/>
              </w:rPr>
              <w:t>making</w:t>
            </w:r>
            <w:r>
              <w:rPr>
                <w:spacing w:val="-5"/>
                <w:sz w:val="20"/>
              </w:rPr>
              <w:t xml:space="preserve"> </w:t>
            </w:r>
            <w:r>
              <w:rPr>
                <w:sz w:val="20"/>
              </w:rPr>
              <w:t>this</w:t>
            </w:r>
            <w:r>
              <w:rPr>
                <w:spacing w:val="-4"/>
                <w:sz w:val="20"/>
              </w:rPr>
              <w:t xml:space="preserve"> </w:t>
            </w:r>
            <w:r>
              <w:rPr>
                <w:spacing w:val="-2"/>
                <w:sz w:val="20"/>
              </w:rPr>
              <w:t>change?”</w:t>
            </w:r>
          </w:p>
          <w:p w14:paraId="2D353EAB" w14:textId="77777777" w:rsidR="00DB6E1F" w:rsidRDefault="00F666A6">
            <w:pPr>
              <w:pStyle w:val="TableParagraph"/>
              <w:tabs>
                <w:tab w:val="left" w:pos="6035"/>
              </w:tabs>
              <w:spacing w:before="121" w:line="355" w:lineRule="auto"/>
              <w:ind w:left="115" w:right="1698"/>
              <w:rPr>
                <w:sz w:val="20"/>
              </w:rPr>
            </w:pPr>
            <w:r>
              <w:rPr>
                <w:sz w:val="20"/>
              </w:rPr>
              <w:t xml:space="preserve">“Why would you want to stop or cut back on your use of </w:t>
            </w:r>
            <w:r>
              <w:rPr>
                <w:rFonts w:ascii="Times New Roman" w:hAnsi="Times New Roman"/>
                <w:sz w:val="20"/>
                <w:u w:val="single"/>
              </w:rPr>
              <w:tab/>
            </w:r>
            <w:r>
              <w:rPr>
                <w:spacing w:val="-6"/>
                <w:sz w:val="20"/>
              </w:rPr>
              <w:t>?”</w:t>
            </w:r>
            <w:r>
              <w:rPr>
                <w:sz w:val="20"/>
              </w:rPr>
              <w:t xml:space="preserve"> “What’s the downside of the way things are now?”</w:t>
            </w:r>
          </w:p>
          <w:p w14:paraId="6EB1F7CA" w14:textId="77777777" w:rsidR="00DB6E1F" w:rsidRDefault="00F666A6">
            <w:pPr>
              <w:pStyle w:val="TableParagraph"/>
              <w:tabs>
                <w:tab w:val="left" w:pos="4949"/>
                <w:tab w:val="left" w:pos="5001"/>
                <w:tab w:val="left" w:pos="5265"/>
              </w:tabs>
              <w:spacing w:before="4" w:line="357" w:lineRule="auto"/>
              <w:ind w:left="115" w:right="2467"/>
              <w:rPr>
                <w:sz w:val="20"/>
              </w:rPr>
            </w:pPr>
            <w:r>
              <w:rPr>
                <w:sz w:val="20"/>
              </w:rPr>
              <w:t xml:space="preserve">“What might be the good things about quitting </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spacing w:val="-6"/>
                <w:sz w:val="20"/>
              </w:rPr>
              <w:t>?”</w:t>
            </w:r>
            <w:r>
              <w:rPr>
                <w:sz w:val="20"/>
              </w:rPr>
              <w:t xml:space="preserve"> “What would make it worthwhile for you to </w:t>
            </w:r>
            <w:r>
              <w:rPr>
                <w:rFonts w:ascii="Times New Roman" w:hAnsi="Times New Roman"/>
                <w:sz w:val="20"/>
                <w:u w:val="single"/>
              </w:rPr>
              <w:tab/>
            </w:r>
            <w:r>
              <w:rPr>
                <w:rFonts w:ascii="Times New Roman" w:hAnsi="Times New Roman"/>
                <w:sz w:val="20"/>
                <w:u w:val="single"/>
              </w:rPr>
              <w:tab/>
            </w:r>
            <w:r>
              <w:rPr>
                <w:spacing w:val="-6"/>
                <w:sz w:val="20"/>
              </w:rPr>
              <w:t>?”</w:t>
            </w:r>
            <w:r>
              <w:rPr>
                <w:sz w:val="20"/>
              </w:rPr>
              <w:t xml:space="preserve"> “What might be some of the advantages of </w:t>
            </w:r>
            <w:r>
              <w:rPr>
                <w:rFonts w:ascii="Times New Roman" w:hAnsi="Times New Roman"/>
                <w:sz w:val="20"/>
                <w:u w:val="single"/>
              </w:rPr>
              <w:tab/>
            </w:r>
            <w:r>
              <w:rPr>
                <w:spacing w:val="-6"/>
                <w:sz w:val="20"/>
              </w:rPr>
              <w:t>?”</w:t>
            </w:r>
          </w:p>
          <w:p w14:paraId="3C7C0023" w14:textId="77777777" w:rsidR="00DB6E1F" w:rsidRDefault="00F666A6">
            <w:pPr>
              <w:pStyle w:val="TableParagraph"/>
              <w:tabs>
                <w:tab w:val="left" w:pos="4904"/>
              </w:tabs>
              <w:ind w:left="115"/>
              <w:rPr>
                <w:sz w:val="20"/>
              </w:rPr>
            </w:pPr>
            <w:r>
              <w:rPr>
                <w:sz w:val="20"/>
              </w:rPr>
              <w:t>“Wha</w:t>
            </w:r>
            <w:r>
              <w:rPr>
                <w:sz w:val="20"/>
              </w:rPr>
              <w:t>t</w:t>
            </w:r>
            <w:r>
              <w:rPr>
                <w:spacing w:val="-4"/>
                <w:sz w:val="20"/>
              </w:rPr>
              <w:t xml:space="preserve"> </w:t>
            </w:r>
            <w:r>
              <w:rPr>
                <w:sz w:val="20"/>
              </w:rPr>
              <w:t>might</w:t>
            </w:r>
            <w:r>
              <w:rPr>
                <w:spacing w:val="-4"/>
                <w:sz w:val="20"/>
              </w:rPr>
              <w:t xml:space="preserve"> </w:t>
            </w:r>
            <w:r>
              <w:rPr>
                <w:sz w:val="20"/>
              </w:rPr>
              <w:t>be</w:t>
            </w:r>
            <w:r>
              <w:rPr>
                <w:spacing w:val="-5"/>
                <w:sz w:val="20"/>
              </w:rPr>
              <w:t xml:space="preserve"> </w:t>
            </w:r>
            <w:r>
              <w:rPr>
                <w:sz w:val="20"/>
              </w:rPr>
              <w:t>the</w:t>
            </w:r>
            <w:r>
              <w:rPr>
                <w:spacing w:val="-5"/>
                <w:sz w:val="20"/>
              </w:rPr>
              <w:t xml:space="preserve"> </w:t>
            </w:r>
            <w:r>
              <w:rPr>
                <w:sz w:val="20"/>
              </w:rPr>
              <w:t>three</w:t>
            </w:r>
            <w:r>
              <w:rPr>
                <w:spacing w:val="-5"/>
                <w:sz w:val="20"/>
              </w:rPr>
              <w:t xml:space="preserve"> </w:t>
            </w:r>
            <w:r>
              <w:rPr>
                <w:sz w:val="20"/>
              </w:rPr>
              <w:t>best</w:t>
            </w:r>
            <w:r>
              <w:rPr>
                <w:spacing w:val="-4"/>
                <w:sz w:val="20"/>
              </w:rPr>
              <w:t xml:space="preserve"> </w:t>
            </w:r>
            <w:r>
              <w:rPr>
                <w:sz w:val="20"/>
              </w:rPr>
              <w:t>reasons</w:t>
            </w:r>
            <w:r>
              <w:rPr>
                <w:spacing w:val="-5"/>
                <w:sz w:val="20"/>
              </w:rPr>
              <w:t xml:space="preserve"> </w:t>
            </w:r>
            <w:r>
              <w:rPr>
                <w:sz w:val="20"/>
              </w:rPr>
              <w:t>for</w:t>
            </w:r>
            <w:r>
              <w:rPr>
                <w:spacing w:val="-2"/>
                <w:sz w:val="20"/>
              </w:rPr>
              <w:t xml:space="preserve"> </w:t>
            </w:r>
            <w:r>
              <w:rPr>
                <w:rFonts w:ascii="Times New Roman" w:hAnsi="Times New Roman"/>
                <w:sz w:val="20"/>
                <w:u w:val="single"/>
              </w:rPr>
              <w:tab/>
            </w:r>
            <w:r>
              <w:rPr>
                <w:spacing w:val="-5"/>
                <w:sz w:val="20"/>
              </w:rPr>
              <w:t>?”</w:t>
            </w:r>
          </w:p>
        </w:tc>
      </w:tr>
      <w:tr w:rsidR="00DB6E1F" w14:paraId="1040B8E0" w14:textId="77777777">
        <w:trPr>
          <w:trHeight w:val="1456"/>
        </w:trPr>
        <w:tc>
          <w:tcPr>
            <w:tcW w:w="1795" w:type="dxa"/>
          </w:tcPr>
          <w:p w14:paraId="27E6252D" w14:textId="77777777" w:rsidR="00DB6E1F" w:rsidRDefault="00F666A6">
            <w:pPr>
              <w:pStyle w:val="TableParagraph"/>
              <w:ind w:left="115"/>
              <w:rPr>
                <w:sz w:val="20"/>
              </w:rPr>
            </w:pPr>
            <w:r>
              <w:rPr>
                <w:spacing w:val="-4"/>
                <w:sz w:val="20"/>
              </w:rPr>
              <w:t>Need</w:t>
            </w:r>
          </w:p>
        </w:tc>
        <w:tc>
          <w:tcPr>
            <w:tcW w:w="7920" w:type="dxa"/>
          </w:tcPr>
          <w:p w14:paraId="432CF734" w14:textId="77777777" w:rsidR="00DB6E1F" w:rsidRDefault="00F666A6">
            <w:pPr>
              <w:pStyle w:val="TableParagraph"/>
              <w:ind w:left="115"/>
              <w:rPr>
                <w:sz w:val="20"/>
              </w:rPr>
            </w:pPr>
            <w:r>
              <w:rPr>
                <w:sz w:val="20"/>
              </w:rPr>
              <w:t>“What</w:t>
            </w:r>
            <w:r>
              <w:rPr>
                <w:spacing w:val="-4"/>
                <w:sz w:val="20"/>
              </w:rPr>
              <w:t xml:space="preserve"> </w:t>
            </w:r>
            <w:r>
              <w:rPr>
                <w:b/>
                <w:sz w:val="20"/>
              </w:rPr>
              <w:t>needs</w:t>
            </w:r>
            <w:r>
              <w:rPr>
                <w:b/>
                <w:spacing w:val="-4"/>
                <w:sz w:val="20"/>
              </w:rPr>
              <w:t xml:space="preserve"> </w:t>
            </w:r>
            <w:r>
              <w:rPr>
                <w:sz w:val="20"/>
              </w:rPr>
              <w:t>to</w:t>
            </w:r>
            <w:r>
              <w:rPr>
                <w:spacing w:val="-4"/>
                <w:sz w:val="20"/>
              </w:rPr>
              <w:t xml:space="preserve"> </w:t>
            </w:r>
            <w:r>
              <w:rPr>
                <w:spacing w:val="-2"/>
                <w:sz w:val="20"/>
              </w:rPr>
              <w:t>happen?”</w:t>
            </w:r>
          </w:p>
          <w:p w14:paraId="2F146726" w14:textId="77777777" w:rsidR="00DB6E1F" w:rsidRDefault="00F666A6">
            <w:pPr>
              <w:pStyle w:val="TableParagraph"/>
              <w:tabs>
                <w:tab w:val="left" w:pos="3671"/>
              </w:tabs>
              <w:spacing w:before="121"/>
              <w:ind w:left="115"/>
              <w:rPr>
                <w:sz w:val="20"/>
              </w:rPr>
            </w:pPr>
            <w:r>
              <w:rPr>
                <w:sz w:val="20"/>
              </w:rPr>
              <w:t>“How</w:t>
            </w:r>
            <w:r>
              <w:rPr>
                <w:spacing w:val="-4"/>
                <w:sz w:val="20"/>
              </w:rPr>
              <w:t xml:space="preserve"> </w:t>
            </w:r>
            <w:r>
              <w:rPr>
                <w:b/>
                <w:sz w:val="20"/>
              </w:rPr>
              <w:t>important</w:t>
            </w:r>
            <w:r>
              <w:rPr>
                <w:b/>
                <w:spacing w:val="-2"/>
                <w:sz w:val="20"/>
              </w:rPr>
              <w:t xml:space="preserve"> </w:t>
            </w:r>
            <w:r>
              <w:rPr>
                <w:sz w:val="20"/>
              </w:rPr>
              <w:t>is</w:t>
            </w:r>
            <w:r>
              <w:rPr>
                <w:spacing w:val="-4"/>
                <w:sz w:val="20"/>
              </w:rPr>
              <w:t xml:space="preserve"> </w:t>
            </w:r>
            <w:r>
              <w:rPr>
                <w:sz w:val="20"/>
              </w:rPr>
              <w:t>it</w:t>
            </w:r>
            <w:r>
              <w:rPr>
                <w:spacing w:val="-3"/>
                <w:sz w:val="20"/>
              </w:rPr>
              <w:t xml:space="preserve"> </w:t>
            </w:r>
            <w:r>
              <w:rPr>
                <w:sz w:val="20"/>
              </w:rPr>
              <w:t>for</w:t>
            </w:r>
            <w:r>
              <w:rPr>
                <w:spacing w:val="-3"/>
                <w:sz w:val="20"/>
              </w:rPr>
              <w:t xml:space="preserve"> </w:t>
            </w:r>
            <w:r>
              <w:rPr>
                <w:sz w:val="20"/>
              </w:rPr>
              <w:t>you</w:t>
            </w:r>
            <w:r>
              <w:rPr>
                <w:spacing w:val="-2"/>
                <w:sz w:val="20"/>
              </w:rPr>
              <w:t xml:space="preserve"> </w:t>
            </w:r>
            <w:r>
              <w:rPr>
                <w:sz w:val="20"/>
              </w:rPr>
              <w:t>to</w:t>
            </w:r>
            <w:r>
              <w:rPr>
                <w:spacing w:val="-3"/>
                <w:sz w:val="20"/>
              </w:rPr>
              <w:t xml:space="preserve"> </w:t>
            </w:r>
            <w:r>
              <w:rPr>
                <w:rFonts w:ascii="Times New Roman" w:hAnsi="Times New Roman"/>
                <w:sz w:val="20"/>
                <w:u w:val="single"/>
              </w:rPr>
              <w:tab/>
            </w:r>
            <w:r>
              <w:rPr>
                <w:spacing w:val="-5"/>
                <w:sz w:val="20"/>
              </w:rPr>
              <w:t>?”</w:t>
            </w:r>
          </w:p>
          <w:p w14:paraId="3CC5EDCD" w14:textId="77777777" w:rsidR="00DB6E1F" w:rsidRDefault="00F666A6">
            <w:pPr>
              <w:pStyle w:val="TableParagraph"/>
              <w:spacing w:before="4" w:line="360" w:lineRule="atLeast"/>
              <w:ind w:left="115" w:right="2139"/>
              <w:rPr>
                <w:sz w:val="20"/>
              </w:rPr>
            </w:pPr>
            <w:r>
              <w:rPr>
                <w:sz w:val="20"/>
              </w:rPr>
              <w:t>“What</w:t>
            </w:r>
            <w:r>
              <w:rPr>
                <w:spacing w:val="-4"/>
                <w:sz w:val="20"/>
              </w:rPr>
              <w:t xml:space="preserve"> </w:t>
            </w:r>
            <w:r>
              <w:rPr>
                <w:sz w:val="20"/>
              </w:rPr>
              <w:t>makes</w:t>
            </w:r>
            <w:r>
              <w:rPr>
                <w:spacing w:val="-5"/>
                <w:sz w:val="20"/>
              </w:rPr>
              <w:t xml:space="preserve"> </w:t>
            </w:r>
            <w:r>
              <w:rPr>
                <w:sz w:val="20"/>
              </w:rPr>
              <w:t>you</w:t>
            </w:r>
            <w:r>
              <w:rPr>
                <w:spacing w:val="-4"/>
                <w:sz w:val="20"/>
              </w:rPr>
              <w:t xml:space="preserve"> </w:t>
            </w:r>
            <w:r>
              <w:rPr>
                <w:sz w:val="20"/>
              </w:rPr>
              <w:t>think</w:t>
            </w:r>
            <w:r>
              <w:rPr>
                <w:spacing w:val="-4"/>
                <w:sz w:val="20"/>
              </w:rPr>
              <w:t xml:space="preserve"> </w:t>
            </w:r>
            <w:r>
              <w:rPr>
                <w:sz w:val="20"/>
              </w:rPr>
              <w:t>that</w:t>
            </w:r>
            <w:r>
              <w:rPr>
                <w:spacing w:val="-4"/>
                <w:sz w:val="20"/>
              </w:rPr>
              <w:t xml:space="preserve"> </w:t>
            </w:r>
            <w:r>
              <w:rPr>
                <w:sz w:val="20"/>
              </w:rPr>
              <w:t>you</w:t>
            </w:r>
            <w:r>
              <w:rPr>
                <w:spacing w:val="-4"/>
                <w:sz w:val="20"/>
              </w:rPr>
              <w:t xml:space="preserve"> </w:t>
            </w:r>
            <w:r>
              <w:rPr>
                <w:sz w:val="20"/>
              </w:rPr>
              <w:t>might</w:t>
            </w:r>
            <w:r>
              <w:rPr>
                <w:spacing w:val="-4"/>
                <w:sz w:val="20"/>
              </w:rPr>
              <w:t xml:space="preserve"> </w:t>
            </w:r>
            <w:r>
              <w:rPr>
                <w:b/>
                <w:sz w:val="20"/>
              </w:rPr>
              <w:t>need</w:t>
            </w:r>
            <w:r>
              <w:rPr>
                <w:b/>
                <w:spacing w:val="-4"/>
                <w:sz w:val="20"/>
              </w:rPr>
              <w:t xml:space="preserve"> </w:t>
            </w:r>
            <w:r>
              <w:rPr>
                <w:sz w:val="20"/>
              </w:rPr>
              <w:t>to</w:t>
            </w:r>
            <w:r>
              <w:rPr>
                <w:spacing w:val="-4"/>
                <w:sz w:val="20"/>
              </w:rPr>
              <w:t xml:space="preserve"> </w:t>
            </w:r>
            <w:r>
              <w:rPr>
                <w:sz w:val="20"/>
              </w:rPr>
              <w:t>make</w:t>
            </w:r>
            <w:r>
              <w:rPr>
                <w:spacing w:val="-5"/>
                <w:sz w:val="20"/>
              </w:rPr>
              <w:t xml:space="preserve"> </w:t>
            </w:r>
            <w:r>
              <w:rPr>
                <w:sz w:val="20"/>
              </w:rPr>
              <w:t>a</w:t>
            </w:r>
            <w:r>
              <w:rPr>
                <w:spacing w:val="-4"/>
                <w:sz w:val="20"/>
              </w:rPr>
              <w:t xml:space="preserve"> </w:t>
            </w:r>
            <w:r>
              <w:rPr>
                <w:sz w:val="20"/>
              </w:rPr>
              <w:t xml:space="preserve">change?” “How </w:t>
            </w:r>
            <w:r>
              <w:rPr>
                <w:b/>
                <w:sz w:val="20"/>
              </w:rPr>
              <w:t xml:space="preserve">serious </w:t>
            </w:r>
            <w:r>
              <w:rPr>
                <w:sz w:val="20"/>
              </w:rPr>
              <w:t xml:space="preserve">or </w:t>
            </w:r>
            <w:r>
              <w:rPr>
                <w:b/>
                <w:sz w:val="20"/>
              </w:rPr>
              <w:t xml:space="preserve">urgent </w:t>
            </w:r>
            <w:r>
              <w:rPr>
                <w:sz w:val="20"/>
              </w:rPr>
              <w:t>does this feel to you?”</w:t>
            </w:r>
          </w:p>
        </w:tc>
      </w:tr>
    </w:tbl>
    <w:p w14:paraId="1E013654" w14:textId="77777777" w:rsidR="00DB6E1F" w:rsidRDefault="00DB6E1F">
      <w:pPr>
        <w:spacing w:line="360" w:lineRule="atLeast"/>
        <w:rPr>
          <w:sz w:val="20"/>
        </w:rPr>
        <w:sectPr w:rsidR="00DB6E1F">
          <w:pgSz w:w="12240" w:h="15840"/>
          <w:pgMar w:top="1200" w:right="0" w:bottom="780" w:left="0" w:header="763" w:footer="585" w:gutter="0"/>
          <w:cols w:space="720"/>
        </w:sectPr>
      </w:pPr>
    </w:p>
    <w:p w14:paraId="2F8DFCE6" w14:textId="77777777" w:rsidR="00DB6E1F" w:rsidRDefault="00DB6E1F">
      <w:pPr>
        <w:pStyle w:val="BodyText"/>
        <w:spacing w:before="3" w:after="1"/>
        <w:rPr>
          <w:sz w:val="19"/>
        </w:rPr>
      </w:pPr>
    </w:p>
    <w:tbl>
      <w:tblPr>
        <w:tblW w:w="0" w:type="auto"/>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920"/>
      </w:tblGrid>
      <w:tr w:rsidR="00DB6E1F" w14:paraId="57B69C22" w14:textId="77777777">
        <w:trPr>
          <w:trHeight w:val="364"/>
        </w:trPr>
        <w:tc>
          <w:tcPr>
            <w:tcW w:w="1795" w:type="dxa"/>
          </w:tcPr>
          <w:p w14:paraId="752BC8DC" w14:textId="77777777" w:rsidR="00DB6E1F" w:rsidRDefault="00DB6E1F">
            <w:pPr>
              <w:pStyle w:val="TableParagraph"/>
              <w:spacing w:before="0"/>
              <w:ind w:left="0"/>
              <w:rPr>
                <w:rFonts w:ascii="Times New Roman"/>
                <w:sz w:val="20"/>
              </w:rPr>
            </w:pPr>
          </w:p>
        </w:tc>
        <w:tc>
          <w:tcPr>
            <w:tcW w:w="7920" w:type="dxa"/>
          </w:tcPr>
          <w:p w14:paraId="2BC5A0CD" w14:textId="77777777" w:rsidR="00DB6E1F" w:rsidRDefault="00F666A6">
            <w:pPr>
              <w:pStyle w:val="TableParagraph"/>
              <w:ind w:left="115"/>
              <w:rPr>
                <w:sz w:val="20"/>
              </w:rPr>
            </w:pPr>
            <w:r>
              <w:rPr>
                <w:sz w:val="20"/>
              </w:rPr>
              <w:t>“What</w:t>
            </w:r>
            <w:r>
              <w:rPr>
                <w:spacing w:val="-4"/>
                <w:sz w:val="20"/>
              </w:rPr>
              <w:t xml:space="preserve"> </w:t>
            </w:r>
            <w:r>
              <w:rPr>
                <w:sz w:val="20"/>
              </w:rPr>
              <w:t>do</w:t>
            </w:r>
            <w:r>
              <w:rPr>
                <w:spacing w:val="-3"/>
                <w:sz w:val="20"/>
              </w:rPr>
              <w:t xml:space="preserve"> </w:t>
            </w:r>
            <w:r>
              <w:rPr>
                <w:sz w:val="20"/>
              </w:rPr>
              <w:t>you</w:t>
            </w:r>
            <w:r>
              <w:rPr>
                <w:spacing w:val="-5"/>
                <w:sz w:val="20"/>
              </w:rPr>
              <w:t xml:space="preserve"> </w:t>
            </w:r>
            <w:r>
              <w:rPr>
                <w:sz w:val="20"/>
              </w:rPr>
              <w:t>think</w:t>
            </w:r>
            <w:r>
              <w:rPr>
                <w:spacing w:val="-4"/>
                <w:sz w:val="20"/>
              </w:rPr>
              <w:t xml:space="preserve"> </w:t>
            </w:r>
            <w:r>
              <w:rPr>
                <w:b/>
                <w:sz w:val="20"/>
              </w:rPr>
              <w:t>has</w:t>
            </w:r>
            <w:r>
              <w:rPr>
                <w:b/>
                <w:spacing w:val="-4"/>
                <w:sz w:val="20"/>
              </w:rPr>
              <w:t xml:space="preserve"> </w:t>
            </w:r>
            <w:r>
              <w:rPr>
                <w:sz w:val="20"/>
              </w:rPr>
              <w:t>to</w:t>
            </w:r>
            <w:r>
              <w:rPr>
                <w:spacing w:val="-2"/>
                <w:sz w:val="20"/>
              </w:rPr>
              <w:t xml:space="preserve"> change?”</w:t>
            </w:r>
          </w:p>
        </w:tc>
      </w:tr>
      <w:tr w:rsidR="00DB6E1F" w14:paraId="2FC07B25" w14:textId="77777777">
        <w:trPr>
          <w:trHeight w:val="685"/>
        </w:trPr>
        <w:tc>
          <w:tcPr>
            <w:tcW w:w="9715" w:type="dxa"/>
            <w:gridSpan w:val="2"/>
          </w:tcPr>
          <w:p w14:paraId="13909F05" w14:textId="77777777" w:rsidR="00DB6E1F" w:rsidRDefault="00F666A6">
            <w:pPr>
              <w:pStyle w:val="TableParagraph"/>
              <w:spacing w:before="80"/>
              <w:ind w:left="115"/>
              <w:rPr>
                <w:i/>
                <w:sz w:val="20"/>
              </w:rPr>
            </w:pPr>
            <w:r>
              <w:rPr>
                <w:i/>
                <w:sz w:val="20"/>
              </w:rPr>
              <w:t>Source:</w:t>
            </w:r>
            <w:r>
              <w:rPr>
                <w:i/>
                <w:spacing w:val="-8"/>
                <w:sz w:val="20"/>
              </w:rPr>
              <w:t xml:space="preserve"> </w:t>
            </w:r>
            <w:r>
              <w:rPr>
                <w:i/>
                <w:sz w:val="20"/>
              </w:rPr>
              <w:t>Miller</w:t>
            </w:r>
            <w:r>
              <w:rPr>
                <w:i/>
                <w:spacing w:val="-9"/>
                <w:sz w:val="20"/>
              </w:rPr>
              <w:t xml:space="preserve"> </w:t>
            </w:r>
            <w:r>
              <w:rPr>
                <w:i/>
                <w:sz w:val="20"/>
              </w:rPr>
              <w:t>&amp;</w:t>
            </w:r>
            <w:r>
              <w:rPr>
                <w:i/>
                <w:spacing w:val="-7"/>
                <w:sz w:val="20"/>
              </w:rPr>
              <w:t xml:space="preserve"> </w:t>
            </w:r>
            <w:r>
              <w:rPr>
                <w:i/>
                <w:sz w:val="20"/>
              </w:rPr>
              <w:t>Rollnick,</w:t>
            </w:r>
            <w:r>
              <w:rPr>
                <w:i/>
                <w:spacing w:val="-7"/>
                <w:sz w:val="20"/>
              </w:rPr>
              <w:t xml:space="preserve"> </w:t>
            </w:r>
            <w:r>
              <w:rPr>
                <w:i/>
                <w:sz w:val="20"/>
              </w:rPr>
              <w:t>2013.</w:t>
            </w:r>
            <w:r>
              <w:rPr>
                <w:i/>
                <w:spacing w:val="-8"/>
                <w:sz w:val="20"/>
              </w:rPr>
              <w:t xml:space="preserve"> </w:t>
            </w:r>
            <w:r>
              <w:rPr>
                <w:sz w:val="20"/>
              </w:rPr>
              <w:t>Motivational</w:t>
            </w:r>
            <w:r>
              <w:rPr>
                <w:spacing w:val="-8"/>
                <w:sz w:val="20"/>
              </w:rPr>
              <w:t xml:space="preserve"> </w:t>
            </w:r>
            <w:r>
              <w:rPr>
                <w:sz w:val="20"/>
              </w:rPr>
              <w:t>Interviewing:</w:t>
            </w:r>
            <w:r>
              <w:rPr>
                <w:spacing w:val="-6"/>
                <w:sz w:val="20"/>
              </w:rPr>
              <w:t xml:space="preserve"> </w:t>
            </w:r>
            <w:r>
              <w:rPr>
                <w:sz w:val="20"/>
              </w:rPr>
              <w:t>Helping</w:t>
            </w:r>
            <w:r>
              <w:rPr>
                <w:spacing w:val="-8"/>
                <w:sz w:val="20"/>
              </w:rPr>
              <w:t xml:space="preserve"> </w:t>
            </w:r>
            <w:r>
              <w:rPr>
                <w:sz w:val="20"/>
              </w:rPr>
              <w:t>People</w:t>
            </w:r>
            <w:r>
              <w:rPr>
                <w:spacing w:val="-8"/>
                <w:sz w:val="20"/>
              </w:rPr>
              <w:t xml:space="preserve"> </w:t>
            </w:r>
            <w:r>
              <w:rPr>
                <w:sz w:val="20"/>
              </w:rPr>
              <w:t>Change</w:t>
            </w:r>
            <w:r>
              <w:rPr>
                <w:spacing w:val="-9"/>
                <w:sz w:val="20"/>
              </w:rPr>
              <w:t xml:space="preserve"> </w:t>
            </w:r>
            <w:r>
              <w:rPr>
                <w:sz w:val="20"/>
              </w:rPr>
              <w:t>(3</w:t>
            </w:r>
            <w:r>
              <w:rPr>
                <w:sz w:val="20"/>
                <w:vertAlign w:val="superscript"/>
              </w:rPr>
              <w:t>rd</w:t>
            </w:r>
            <w:r>
              <w:rPr>
                <w:spacing w:val="-7"/>
                <w:sz w:val="20"/>
              </w:rPr>
              <w:t xml:space="preserve"> </w:t>
            </w:r>
            <w:r>
              <w:rPr>
                <w:sz w:val="20"/>
              </w:rPr>
              <w:t>ed.),</w:t>
            </w:r>
            <w:r>
              <w:rPr>
                <w:spacing w:val="-8"/>
                <w:sz w:val="20"/>
              </w:rPr>
              <w:t xml:space="preserve"> </w:t>
            </w:r>
            <w:r>
              <w:rPr>
                <w:i/>
                <w:sz w:val="20"/>
              </w:rPr>
              <w:t>pp.</w:t>
            </w:r>
            <w:r>
              <w:rPr>
                <w:i/>
                <w:spacing w:val="-8"/>
                <w:sz w:val="20"/>
              </w:rPr>
              <w:t xml:space="preserve"> </w:t>
            </w:r>
            <w:r>
              <w:rPr>
                <w:i/>
                <w:sz w:val="20"/>
              </w:rPr>
              <w:t>171‒173.</w:t>
            </w:r>
            <w:r>
              <w:rPr>
                <w:i/>
                <w:spacing w:val="-7"/>
                <w:sz w:val="20"/>
              </w:rPr>
              <w:t xml:space="preserve"> </w:t>
            </w:r>
            <w:r>
              <w:rPr>
                <w:i/>
                <w:spacing w:val="-2"/>
                <w:sz w:val="20"/>
              </w:rPr>
              <w:t>Adapted</w:t>
            </w:r>
          </w:p>
          <w:p w14:paraId="2E312E0D" w14:textId="77777777" w:rsidR="00DB6E1F" w:rsidRDefault="00F666A6">
            <w:pPr>
              <w:pStyle w:val="TableParagraph"/>
              <w:spacing w:before="20"/>
              <w:ind w:left="114"/>
              <w:rPr>
                <w:i/>
                <w:sz w:val="20"/>
              </w:rPr>
            </w:pPr>
            <w:r>
              <w:rPr>
                <w:i/>
                <w:sz w:val="20"/>
              </w:rPr>
              <w:t>with</w:t>
            </w:r>
            <w:r>
              <w:rPr>
                <w:i/>
                <w:spacing w:val="-8"/>
                <w:sz w:val="20"/>
              </w:rPr>
              <w:t xml:space="preserve"> </w:t>
            </w:r>
            <w:r>
              <w:rPr>
                <w:i/>
                <w:sz w:val="20"/>
              </w:rPr>
              <w:t>permission</w:t>
            </w:r>
            <w:r>
              <w:rPr>
                <w:i/>
                <w:spacing w:val="-8"/>
                <w:sz w:val="20"/>
              </w:rPr>
              <w:t xml:space="preserve"> </w:t>
            </w:r>
            <w:r>
              <w:rPr>
                <w:i/>
                <w:sz w:val="20"/>
              </w:rPr>
              <w:t>from</w:t>
            </w:r>
            <w:r>
              <w:rPr>
                <w:i/>
                <w:spacing w:val="-7"/>
                <w:sz w:val="20"/>
              </w:rPr>
              <w:t xml:space="preserve"> </w:t>
            </w:r>
            <w:r>
              <w:rPr>
                <w:i/>
                <w:sz w:val="20"/>
              </w:rPr>
              <w:t>Guilford</w:t>
            </w:r>
            <w:r>
              <w:rPr>
                <w:i/>
                <w:spacing w:val="-6"/>
                <w:sz w:val="20"/>
              </w:rPr>
              <w:t xml:space="preserve"> </w:t>
            </w:r>
            <w:r>
              <w:rPr>
                <w:i/>
                <w:spacing w:val="-2"/>
                <w:sz w:val="20"/>
              </w:rPr>
              <w:t>Press.</w:t>
            </w:r>
          </w:p>
        </w:tc>
      </w:tr>
    </w:tbl>
    <w:p w14:paraId="06410CCB" w14:textId="77777777" w:rsidR="00DB6E1F" w:rsidRDefault="00F666A6">
      <w:pPr>
        <w:spacing w:before="120"/>
        <w:ind w:left="1440"/>
      </w:pPr>
      <w:r>
        <w:rPr>
          <w:b/>
        </w:rPr>
        <w:t>Other</w:t>
      </w:r>
      <w:r>
        <w:rPr>
          <w:b/>
          <w:spacing w:val="-6"/>
        </w:rPr>
        <w:t xml:space="preserve"> </w:t>
      </w:r>
      <w:r>
        <w:rPr>
          <w:b/>
        </w:rPr>
        <w:t>strategies</w:t>
      </w:r>
      <w:r>
        <w:rPr>
          <w:b/>
          <w:spacing w:val="-3"/>
        </w:rPr>
        <w:t xml:space="preserve"> </w:t>
      </w:r>
      <w:r>
        <w:rPr>
          <w:b/>
        </w:rPr>
        <w:t>for</w:t>
      </w:r>
      <w:r>
        <w:rPr>
          <w:b/>
          <w:spacing w:val="-3"/>
        </w:rPr>
        <w:t xml:space="preserve"> </w:t>
      </w:r>
      <w:r>
        <w:rPr>
          <w:b/>
        </w:rPr>
        <w:t>evoking</w:t>
      </w:r>
      <w:r>
        <w:rPr>
          <w:b/>
          <w:spacing w:val="-3"/>
        </w:rPr>
        <w:t xml:space="preserve"> </w:t>
      </w:r>
      <w:r>
        <w:rPr>
          <w:b/>
        </w:rPr>
        <w:t>change</w:t>
      </w:r>
      <w:r>
        <w:rPr>
          <w:b/>
          <w:spacing w:val="-7"/>
        </w:rPr>
        <w:t xml:space="preserve"> </w:t>
      </w:r>
      <w:r>
        <w:rPr>
          <w:b/>
        </w:rPr>
        <w:t>talk</w:t>
      </w:r>
      <w:r>
        <w:rPr>
          <w:b/>
          <w:spacing w:val="-4"/>
        </w:rPr>
        <w:t xml:space="preserve"> </w:t>
      </w:r>
      <w:r>
        <w:t>(Miller</w:t>
      </w:r>
      <w:r>
        <w:rPr>
          <w:spacing w:val="-6"/>
        </w:rPr>
        <w:t xml:space="preserve"> </w:t>
      </w:r>
      <w:r>
        <w:t>&amp;</w:t>
      </w:r>
      <w:r>
        <w:rPr>
          <w:spacing w:val="-6"/>
        </w:rPr>
        <w:t xml:space="preserve"> </w:t>
      </w:r>
      <w:r>
        <w:t>Rollnick,</w:t>
      </w:r>
      <w:r>
        <w:rPr>
          <w:spacing w:val="-4"/>
        </w:rPr>
        <w:t xml:space="preserve"> </w:t>
      </w:r>
      <w:r>
        <w:t>2013)</w:t>
      </w:r>
      <w:r>
        <w:rPr>
          <w:spacing w:val="-3"/>
        </w:rPr>
        <w:t xml:space="preserve"> </w:t>
      </w:r>
      <w:r>
        <w:rPr>
          <w:spacing w:val="-2"/>
        </w:rPr>
        <w:t>include:</w:t>
      </w:r>
    </w:p>
    <w:p w14:paraId="08946CC4" w14:textId="77777777" w:rsidR="00DB6E1F" w:rsidRDefault="00F666A6">
      <w:pPr>
        <w:pStyle w:val="ListParagraph"/>
        <w:numPr>
          <w:ilvl w:val="0"/>
          <w:numId w:val="92"/>
        </w:numPr>
        <w:tabs>
          <w:tab w:val="left" w:pos="1800"/>
          <w:tab w:val="left" w:pos="1801"/>
        </w:tabs>
        <w:ind w:left="1799" w:right="1489" w:hanging="360"/>
        <w:rPr>
          <w:rFonts w:ascii="Symbol" w:hAnsi="Symbol"/>
        </w:rPr>
      </w:pPr>
      <w:r>
        <w:rPr>
          <w:b/>
        </w:rPr>
        <w:t xml:space="preserve">Eliciting importance of change. </w:t>
      </w:r>
      <w:r>
        <w:t xml:space="preserve">Ask an open question that elicits “Need” change talk (Exhibit 3.8): “How important is it for you to </w:t>
      </w:r>
      <w:r>
        <w:rPr>
          <w:i/>
        </w:rPr>
        <w:t>[name the change in the target behavior, such as cutting back on drinking]</w:t>
      </w:r>
      <w:r>
        <w:t>?”</w:t>
      </w:r>
      <w:r>
        <w:rPr>
          <w:spacing w:val="-3"/>
        </w:rPr>
        <w:t xml:space="preserve"> </w:t>
      </w:r>
      <w:r>
        <w:t>You</w:t>
      </w:r>
      <w:r>
        <w:rPr>
          <w:spacing w:val="-3"/>
        </w:rPr>
        <w:t xml:space="preserve"> </w:t>
      </w:r>
      <w:r>
        <w:t>can</w:t>
      </w:r>
      <w:r>
        <w:rPr>
          <w:spacing w:val="-3"/>
        </w:rPr>
        <w:t xml:space="preserve"> </w:t>
      </w:r>
      <w:r>
        <w:t>also</w:t>
      </w:r>
      <w:r>
        <w:rPr>
          <w:spacing w:val="-1"/>
        </w:rPr>
        <w:t xml:space="preserve"> </w:t>
      </w:r>
      <w:r>
        <w:t>use</w:t>
      </w:r>
      <w:r>
        <w:rPr>
          <w:spacing w:val="-1"/>
        </w:rPr>
        <w:t xml:space="preserve"> </w:t>
      </w:r>
      <w:r>
        <w:t>scaling</w:t>
      </w:r>
      <w:r>
        <w:rPr>
          <w:spacing w:val="-3"/>
        </w:rPr>
        <w:t xml:space="preserve"> </w:t>
      </w:r>
      <w:r>
        <w:t>questions</w:t>
      </w:r>
      <w:r>
        <w:rPr>
          <w:spacing w:val="-4"/>
        </w:rPr>
        <w:t xml:space="preserve"> </w:t>
      </w:r>
      <w:r>
        <w:t>such</w:t>
      </w:r>
      <w:r>
        <w:rPr>
          <w:spacing w:val="-3"/>
        </w:rPr>
        <w:t xml:space="preserve"> </w:t>
      </w:r>
      <w:r>
        <w:t>as</w:t>
      </w:r>
      <w:r>
        <w:rPr>
          <w:spacing w:val="-4"/>
        </w:rPr>
        <w:t xml:space="preserve"> </w:t>
      </w:r>
      <w:r>
        <w:t>thos</w:t>
      </w:r>
      <w:r>
        <w:t>e</w:t>
      </w:r>
      <w:r>
        <w:rPr>
          <w:spacing w:val="-4"/>
        </w:rPr>
        <w:t xml:space="preserve"> </w:t>
      </w:r>
      <w:r>
        <w:t>in</w:t>
      </w:r>
      <w:r>
        <w:rPr>
          <w:spacing w:val="-3"/>
        </w:rPr>
        <w:t xml:space="preserve"> </w:t>
      </w:r>
      <w:r>
        <w:t>the</w:t>
      </w:r>
      <w:r>
        <w:rPr>
          <w:spacing w:val="-1"/>
        </w:rPr>
        <w:t xml:space="preserve"> </w:t>
      </w:r>
      <w:r>
        <w:t>Importance</w:t>
      </w:r>
      <w:r>
        <w:rPr>
          <w:spacing w:val="-4"/>
        </w:rPr>
        <w:t xml:space="preserve"> </w:t>
      </w:r>
      <w:r>
        <w:t>Ruler</w:t>
      </w:r>
      <w:r>
        <w:rPr>
          <w:spacing w:val="-2"/>
        </w:rPr>
        <w:t xml:space="preserve"> </w:t>
      </w:r>
      <w:r>
        <w:t>in</w:t>
      </w:r>
      <w:r>
        <w:rPr>
          <w:spacing w:val="-3"/>
        </w:rPr>
        <w:t xml:space="preserve"> </w:t>
      </w:r>
      <w:r>
        <w:t>Exhibit</w:t>
      </w:r>
      <w:r>
        <w:rPr>
          <w:spacing w:val="-4"/>
        </w:rPr>
        <w:t xml:space="preserve"> </w:t>
      </w:r>
      <w:r>
        <w:t>3.9</w:t>
      </w:r>
      <w:r>
        <w:rPr>
          <w:spacing w:val="-3"/>
        </w:rPr>
        <w:t xml:space="preserve"> </w:t>
      </w:r>
      <w:r>
        <w:t>to help the client explore change talk about need more fully.</w:t>
      </w:r>
    </w:p>
    <w:p w14:paraId="411D4457" w14:textId="77777777" w:rsidR="00DB6E1F" w:rsidRDefault="00DB6E1F">
      <w:pPr>
        <w:pStyle w:val="BodyText"/>
        <w:spacing w:before="4"/>
        <w:rPr>
          <w:sz w:val="18"/>
        </w:rPr>
      </w:pPr>
    </w:p>
    <w:p w14:paraId="1AD38CBB" w14:textId="77777777" w:rsidR="00DB6E1F" w:rsidRDefault="00F666A6">
      <w:pPr>
        <w:spacing w:before="52"/>
        <w:ind w:left="1651"/>
        <w:rPr>
          <w:sz w:val="24"/>
        </w:rPr>
      </w:pPr>
      <w:r>
        <w:pict w14:anchorId="13D76D4D">
          <v:group id="docshapegroup169" o:spid="_x0000_s2101" style="position:absolute;left:0;text-align:left;margin-left:71.75pt;margin-top:-3.15pt;width:464.05pt;height:339.75pt;z-index:-21762048;mso-position-horizontal-relative:page" coordorigin="1435,-63" coordsize="9281,6795">
            <v:shape id="docshape170" o:spid="_x0000_s2103" style="position:absolute;left:1435;top:-63;width:9281;height:6795" coordorigin="1435,-63" coordsize="9281,6795" o:spt="100" adj="0,,0" path="m10706,-63r-9261,l1445,-63r-10,l1435,-53r,506l1435,463r,1022l1435,1485r,5237l1435,6732r10,l1445,6732r9261,l10706,6722r-9261,l1445,1485r,l1445,463r9261,l10706,453r-2,l10704,-51r-9259,l1445,-53r9261,l10706,-63xm10716,-63r-10,l10706,-53r,506l10706,463r,1022l10706,1485r,5237l10706,6732r10,l10716,6722r,-5237l10716,1485r,-1022l10716,453r,-506l10716,-63xe" fillcolor="black" stroked="f">
              <v:stroke joinstyle="round"/>
              <v:formulas/>
              <v:path arrowok="t" o:connecttype="segments"/>
            </v:shape>
            <v:shape id="docshape171" o:spid="_x0000_s2102" type="#_x0000_t75" style="position:absolute;left:1548;top:462;width:8178;height:971">
              <v:imagedata r:id="rId102" o:title=""/>
            </v:shape>
            <w10:wrap anchorx="page"/>
          </v:group>
        </w:pict>
      </w:r>
      <w:r>
        <w:rPr>
          <w:color w:val="FFFFFF"/>
          <w:sz w:val="24"/>
        </w:rPr>
        <w:t>Exhibit</w:t>
      </w:r>
      <w:r>
        <w:rPr>
          <w:color w:val="FFFFFF"/>
          <w:spacing w:val="-2"/>
          <w:sz w:val="24"/>
        </w:rPr>
        <w:t xml:space="preserve"> </w:t>
      </w:r>
      <w:r>
        <w:rPr>
          <w:color w:val="FFFFFF"/>
          <w:sz w:val="24"/>
        </w:rPr>
        <w:t>3.9.</w:t>
      </w:r>
      <w:r>
        <w:rPr>
          <w:color w:val="FFFFFF"/>
          <w:spacing w:val="-4"/>
          <w:sz w:val="24"/>
        </w:rPr>
        <w:t xml:space="preserve"> </w:t>
      </w:r>
      <w:r>
        <w:rPr>
          <w:color w:val="FFFFFF"/>
          <w:sz w:val="24"/>
        </w:rPr>
        <w:t>The</w:t>
      </w:r>
      <w:r>
        <w:rPr>
          <w:color w:val="FFFFFF"/>
          <w:spacing w:val="-2"/>
          <w:sz w:val="24"/>
        </w:rPr>
        <w:t xml:space="preserve"> </w:t>
      </w:r>
      <w:r>
        <w:rPr>
          <w:color w:val="FFFFFF"/>
          <w:sz w:val="24"/>
        </w:rPr>
        <w:t xml:space="preserve">Importance </w:t>
      </w:r>
      <w:r>
        <w:rPr>
          <w:color w:val="FFFFFF"/>
          <w:spacing w:val="-2"/>
          <w:sz w:val="24"/>
        </w:rPr>
        <w:t>Ruler</w:t>
      </w:r>
    </w:p>
    <w:p w14:paraId="40CAB494" w14:textId="77777777" w:rsidR="00DB6E1F" w:rsidRDefault="00DB6E1F">
      <w:pPr>
        <w:pStyle w:val="BodyText"/>
        <w:rPr>
          <w:sz w:val="20"/>
        </w:rPr>
      </w:pPr>
    </w:p>
    <w:p w14:paraId="3B7E7904" w14:textId="77777777" w:rsidR="00DB6E1F" w:rsidRDefault="00DB6E1F">
      <w:pPr>
        <w:pStyle w:val="BodyText"/>
        <w:rPr>
          <w:sz w:val="20"/>
        </w:rPr>
      </w:pPr>
    </w:p>
    <w:p w14:paraId="7DF573D4" w14:textId="77777777" w:rsidR="00DB6E1F" w:rsidRDefault="00DB6E1F">
      <w:pPr>
        <w:pStyle w:val="BodyText"/>
        <w:rPr>
          <w:sz w:val="20"/>
        </w:rPr>
      </w:pPr>
    </w:p>
    <w:p w14:paraId="4C698300" w14:textId="77777777" w:rsidR="00DB6E1F" w:rsidRDefault="00DB6E1F">
      <w:pPr>
        <w:pStyle w:val="BodyText"/>
        <w:spacing w:before="8"/>
        <w:rPr>
          <w:sz w:val="28"/>
        </w:rPr>
      </w:pPr>
    </w:p>
    <w:p w14:paraId="06D381ED" w14:textId="77777777" w:rsidR="00DB6E1F" w:rsidRDefault="00F666A6">
      <w:pPr>
        <w:tabs>
          <w:tab w:val="left" w:pos="8327"/>
        </w:tabs>
        <w:spacing w:before="59"/>
        <w:ind w:left="1548"/>
        <w:rPr>
          <w:sz w:val="20"/>
        </w:rPr>
      </w:pPr>
      <w:r>
        <w:rPr>
          <w:sz w:val="20"/>
        </w:rPr>
        <w:t>Not</w:t>
      </w:r>
      <w:r>
        <w:rPr>
          <w:spacing w:val="-3"/>
          <w:sz w:val="20"/>
        </w:rPr>
        <w:t xml:space="preserve"> </w:t>
      </w:r>
      <w:r>
        <w:rPr>
          <w:spacing w:val="-2"/>
          <w:sz w:val="20"/>
        </w:rPr>
        <w:t>Important</w:t>
      </w:r>
      <w:r>
        <w:rPr>
          <w:sz w:val="20"/>
        </w:rPr>
        <w:tab/>
        <w:t>Extremely</w:t>
      </w:r>
      <w:r>
        <w:rPr>
          <w:spacing w:val="-11"/>
          <w:sz w:val="20"/>
        </w:rPr>
        <w:t xml:space="preserve"> </w:t>
      </w:r>
      <w:r>
        <w:rPr>
          <w:spacing w:val="-2"/>
          <w:sz w:val="20"/>
        </w:rPr>
        <w:t>Important</w:t>
      </w:r>
    </w:p>
    <w:p w14:paraId="7B2C1C4A" w14:textId="77777777" w:rsidR="00DB6E1F" w:rsidRDefault="00F666A6">
      <w:pPr>
        <w:pStyle w:val="ListParagraph"/>
        <w:numPr>
          <w:ilvl w:val="0"/>
          <w:numId w:val="73"/>
        </w:numPr>
        <w:tabs>
          <w:tab w:val="left" w:pos="1907"/>
          <w:tab w:val="left" w:pos="1908"/>
        </w:tabs>
        <w:spacing w:before="117"/>
        <w:ind w:right="1935"/>
        <w:rPr>
          <w:sz w:val="20"/>
        </w:rPr>
      </w:pPr>
      <w:r>
        <w:rPr>
          <w:sz w:val="20"/>
        </w:rPr>
        <w:t>Initial</w:t>
      </w:r>
      <w:r>
        <w:rPr>
          <w:spacing w:val="-3"/>
          <w:sz w:val="20"/>
        </w:rPr>
        <w:t xml:space="preserve"> </w:t>
      </w:r>
      <w:r>
        <w:rPr>
          <w:sz w:val="20"/>
        </w:rPr>
        <w:t>question:</w:t>
      </w:r>
      <w:r>
        <w:rPr>
          <w:spacing w:val="-3"/>
          <w:sz w:val="20"/>
        </w:rPr>
        <w:t xml:space="preserve"> </w:t>
      </w:r>
      <w:r>
        <w:rPr>
          <w:sz w:val="20"/>
        </w:rPr>
        <w:t>“On</w:t>
      </w:r>
      <w:r>
        <w:rPr>
          <w:spacing w:val="-2"/>
          <w:sz w:val="20"/>
        </w:rPr>
        <w:t xml:space="preserve"> </w:t>
      </w:r>
      <w:r>
        <w:rPr>
          <w:sz w:val="20"/>
        </w:rPr>
        <w:t>a</w:t>
      </w:r>
      <w:r>
        <w:rPr>
          <w:spacing w:val="-2"/>
          <w:sz w:val="20"/>
        </w:rPr>
        <w:t xml:space="preserve"> </w:t>
      </w:r>
      <w:r>
        <w:rPr>
          <w:sz w:val="20"/>
        </w:rPr>
        <w:t>scale</w:t>
      </w:r>
      <w:r>
        <w:rPr>
          <w:spacing w:val="-3"/>
          <w:sz w:val="20"/>
        </w:rPr>
        <w:t xml:space="preserve"> </w:t>
      </w:r>
      <w:r>
        <w:rPr>
          <w:sz w:val="20"/>
        </w:rPr>
        <w:t>of</w:t>
      </w:r>
      <w:r>
        <w:rPr>
          <w:spacing w:val="-1"/>
          <w:sz w:val="20"/>
        </w:rPr>
        <w:t xml:space="preserve"> </w:t>
      </w:r>
      <w:r>
        <w:rPr>
          <w:sz w:val="20"/>
        </w:rPr>
        <w:t>0</w:t>
      </w:r>
      <w:r>
        <w:rPr>
          <w:spacing w:val="-3"/>
          <w:sz w:val="20"/>
        </w:rPr>
        <w:t xml:space="preserve"> </w:t>
      </w:r>
      <w:r>
        <w:rPr>
          <w:sz w:val="20"/>
        </w:rPr>
        <w:t>to</w:t>
      </w:r>
      <w:r>
        <w:rPr>
          <w:spacing w:val="-3"/>
          <w:sz w:val="20"/>
        </w:rPr>
        <w:t xml:space="preserve"> </w:t>
      </w:r>
      <w:r>
        <w:rPr>
          <w:sz w:val="20"/>
        </w:rPr>
        <w:t>10,</w:t>
      </w:r>
      <w:r>
        <w:rPr>
          <w:spacing w:val="-2"/>
          <w:sz w:val="20"/>
        </w:rPr>
        <w:t xml:space="preserve"> </w:t>
      </w:r>
      <w:r>
        <w:rPr>
          <w:sz w:val="20"/>
        </w:rPr>
        <w:t>how</w:t>
      </w:r>
      <w:r>
        <w:rPr>
          <w:spacing w:val="-3"/>
          <w:sz w:val="20"/>
        </w:rPr>
        <w:t xml:space="preserve"> </w:t>
      </w:r>
      <w:r>
        <w:rPr>
          <w:sz w:val="20"/>
        </w:rPr>
        <w:t>important</w:t>
      </w:r>
      <w:r>
        <w:rPr>
          <w:spacing w:val="-3"/>
          <w:sz w:val="20"/>
        </w:rPr>
        <w:t xml:space="preserve"> </w:t>
      </w:r>
      <w:r>
        <w:rPr>
          <w:sz w:val="20"/>
        </w:rPr>
        <w:t>is</w:t>
      </w:r>
      <w:r>
        <w:rPr>
          <w:spacing w:val="-3"/>
          <w:sz w:val="20"/>
        </w:rPr>
        <w:t xml:space="preserve"> </w:t>
      </w:r>
      <w:r>
        <w:rPr>
          <w:sz w:val="20"/>
        </w:rPr>
        <w:t>it</w:t>
      </w:r>
      <w:r>
        <w:rPr>
          <w:spacing w:val="-3"/>
          <w:sz w:val="20"/>
        </w:rPr>
        <w:t xml:space="preserve"> </w:t>
      </w:r>
      <w:r>
        <w:rPr>
          <w:sz w:val="20"/>
        </w:rPr>
        <w:t>for</w:t>
      </w:r>
      <w:r>
        <w:rPr>
          <w:spacing w:val="-3"/>
          <w:sz w:val="20"/>
        </w:rPr>
        <w:t xml:space="preserve"> </w:t>
      </w:r>
      <w:r>
        <w:rPr>
          <w:sz w:val="20"/>
        </w:rPr>
        <w:t>you</w:t>
      </w:r>
      <w:r>
        <w:rPr>
          <w:spacing w:val="-2"/>
          <w:sz w:val="20"/>
        </w:rPr>
        <w:t xml:space="preserve"> </w:t>
      </w:r>
      <w:r>
        <w:rPr>
          <w:sz w:val="20"/>
        </w:rPr>
        <w:t>to</w:t>
      </w:r>
      <w:r>
        <w:rPr>
          <w:spacing w:val="-3"/>
          <w:sz w:val="20"/>
        </w:rPr>
        <w:t xml:space="preserve"> </w:t>
      </w:r>
      <w:r>
        <w:rPr>
          <w:sz w:val="20"/>
        </w:rPr>
        <w:t>change</w:t>
      </w:r>
      <w:r>
        <w:rPr>
          <w:spacing w:val="-3"/>
          <w:sz w:val="20"/>
        </w:rPr>
        <w:t xml:space="preserve"> </w:t>
      </w:r>
      <w:r>
        <w:rPr>
          <w:i/>
          <w:sz w:val="20"/>
        </w:rPr>
        <w:t>[name</w:t>
      </w:r>
      <w:r>
        <w:rPr>
          <w:i/>
          <w:spacing w:val="-2"/>
          <w:sz w:val="20"/>
        </w:rPr>
        <w:t xml:space="preserve"> </w:t>
      </w:r>
      <w:r>
        <w:rPr>
          <w:i/>
          <w:sz w:val="20"/>
        </w:rPr>
        <w:t>the</w:t>
      </w:r>
      <w:r>
        <w:rPr>
          <w:i/>
          <w:spacing w:val="-2"/>
          <w:sz w:val="20"/>
        </w:rPr>
        <w:t xml:space="preserve"> </w:t>
      </w:r>
      <w:r>
        <w:rPr>
          <w:i/>
          <w:sz w:val="20"/>
        </w:rPr>
        <w:t>target</w:t>
      </w:r>
      <w:r>
        <w:rPr>
          <w:i/>
          <w:spacing w:val="-3"/>
          <w:sz w:val="20"/>
        </w:rPr>
        <w:t xml:space="preserve"> </w:t>
      </w:r>
      <w:r>
        <w:rPr>
          <w:i/>
          <w:sz w:val="20"/>
        </w:rPr>
        <w:t xml:space="preserve">behavior, like how much the client drinks] </w:t>
      </w:r>
      <w:r>
        <w:rPr>
          <w:sz w:val="20"/>
        </w:rPr>
        <w:t>if you decided to?”</w:t>
      </w:r>
    </w:p>
    <w:p w14:paraId="66462FC0" w14:textId="77777777" w:rsidR="00DB6E1F" w:rsidRDefault="00F666A6">
      <w:pPr>
        <w:pStyle w:val="ListParagraph"/>
        <w:numPr>
          <w:ilvl w:val="0"/>
          <w:numId w:val="73"/>
        </w:numPr>
        <w:tabs>
          <w:tab w:val="left" w:pos="1907"/>
          <w:tab w:val="left" w:pos="1908"/>
        </w:tabs>
        <w:spacing w:before="42"/>
        <w:ind w:left="1908" w:right="1828" w:hanging="361"/>
        <w:rPr>
          <w:sz w:val="20"/>
        </w:rPr>
      </w:pPr>
      <w:r>
        <w:rPr>
          <w:sz w:val="20"/>
        </w:rPr>
        <w:t xml:space="preserve">Follow-up question 1: “How are you at a </w:t>
      </w:r>
      <w:r>
        <w:rPr>
          <w:i/>
          <w:sz w:val="20"/>
        </w:rPr>
        <w:t xml:space="preserve">[fill in the number on the scale] </w:t>
      </w:r>
      <w:r>
        <w:rPr>
          <w:sz w:val="20"/>
        </w:rPr>
        <w:t xml:space="preserve">instead of a </w:t>
      </w:r>
      <w:r>
        <w:rPr>
          <w:i/>
          <w:sz w:val="20"/>
        </w:rPr>
        <w:t>[choose a lower number</w:t>
      </w:r>
      <w:r>
        <w:rPr>
          <w:i/>
          <w:spacing w:val="-3"/>
          <w:sz w:val="20"/>
        </w:rPr>
        <w:t xml:space="preserve"> </w:t>
      </w:r>
      <w:r>
        <w:rPr>
          <w:i/>
          <w:sz w:val="20"/>
        </w:rPr>
        <w:t>on</w:t>
      </w:r>
      <w:r>
        <w:rPr>
          <w:i/>
          <w:spacing w:val="-2"/>
          <w:sz w:val="20"/>
        </w:rPr>
        <w:t xml:space="preserve"> </w:t>
      </w:r>
      <w:r>
        <w:rPr>
          <w:i/>
          <w:sz w:val="20"/>
        </w:rPr>
        <w:t>the</w:t>
      </w:r>
      <w:r>
        <w:rPr>
          <w:i/>
          <w:spacing w:val="-2"/>
          <w:sz w:val="20"/>
        </w:rPr>
        <w:t xml:space="preserve"> </w:t>
      </w:r>
      <w:r>
        <w:rPr>
          <w:i/>
          <w:sz w:val="20"/>
        </w:rPr>
        <w:t>scale]</w:t>
      </w:r>
      <w:r>
        <w:rPr>
          <w:sz w:val="20"/>
        </w:rPr>
        <w:t>?”</w:t>
      </w:r>
      <w:r>
        <w:rPr>
          <w:spacing w:val="-2"/>
          <w:sz w:val="20"/>
        </w:rPr>
        <w:t xml:space="preserve"> </w:t>
      </w:r>
      <w:r>
        <w:rPr>
          <w:sz w:val="20"/>
        </w:rPr>
        <w:t>When</w:t>
      </w:r>
      <w:r>
        <w:rPr>
          <w:spacing w:val="-2"/>
          <w:sz w:val="20"/>
        </w:rPr>
        <w:t xml:space="preserve"> </w:t>
      </w:r>
      <w:r>
        <w:rPr>
          <w:sz w:val="20"/>
        </w:rPr>
        <w:t>you</w:t>
      </w:r>
      <w:r>
        <w:rPr>
          <w:spacing w:val="-2"/>
          <w:sz w:val="20"/>
        </w:rPr>
        <w:t xml:space="preserve"> </w:t>
      </w:r>
      <w:r>
        <w:rPr>
          <w:sz w:val="20"/>
        </w:rPr>
        <w:t>use</w:t>
      </w:r>
      <w:r>
        <w:rPr>
          <w:spacing w:val="-3"/>
          <w:sz w:val="20"/>
        </w:rPr>
        <w:t xml:space="preserve"> </w:t>
      </w:r>
      <w:r>
        <w:rPr>
          <w:sz w:val="20"/>
        </w:rPr>
        <w:t>a</w:t>
      </w:r>
      <w:r>
        <w:rPr>
          <w:spacing w:val="-3"/>
          <w:sz w:val="20"/>
        </w:rPr>
        <w:t xml:space="preserve"> </w:t>
      </w:r>
      <w:r>
        <w:rPr>
          <w:sz w:val="20"/>
        </w:rPr>
        <w:t>lower</w:t>
      </w:r>
      <w:r>
        <w:rPr>
          <w:spacing w:val="-3"/>
          <w:sz w:val="20"/>
        </w:rPr>
        <w:t xml:space="preserve"> </w:t>
      </w:r>
      <w:r>
        <w:rPr>
          <w:sz w:val="20"/>
        </w:rPr>
        <w:t>number,</w:t>
      </w:r>
      <w:r>
        <w:rPr>
          <w:spacing w:val="-2"/>
          <w:sz w:val="20"/>
        </w:rPr>
        <w:t xml:space="preserve"> </w:t>
      </w:r>
      <w:r>
        <w:rPr>
          <w:sz w:val="20"/>
        </w:rPr>
        <w:t>you</w:t>
      </w:r>
      <w:r>
        <w:rPr>
          <w:spacing w:val="-2"/>
          <w:sz w:val="20"/>
        </w:rPr>
        <w:t xml:space="preserve"> </w:t>
      </w:r>
      <w:r>
        <w:rPr>
          <w:sz w:val="20"/>
        </w:rPr>
        <w:t>are</w:t>
      </w:r>
      <w:r>
        <w:rPr>
          <w:spacing w:val="-3"/>
          <w:sz w:val="20"/>
        </w:rPr>
        <w:t xml:space="preserve"> </w:t>
      </w:r>
      <w:r>
        <w:rPr>
          <w:sz w:val="20"/>
        </w:rPr>
        <w:t>inviti</w:t>
      </w:r>
      <w:r>
        <w:rPr>
          <w:sz w:val="20"/>
        </w:rPr>
        <w:t>ng</w:t>
      </w:r>
      <w:r>
        <w:rPr>
          <w:spacing w:val="-3"/>
          <w:sz w:val="20"/>
        </w:rPr>
        <w:t xml:space="preserve"> </w:t>
      </w:r>
      <w:r>
        <w:rPr>
          <w:sz w:val="20"/>
        </w:rPr>
        <w:t>the</w:t>
      </w:r>
      <w:r>
        <w:rPr>
          <w:spacing w:val="-3"/>
          <w:sz w:val="20"/>
        </w:rPr>
        <w:t xml:space="preserve"> </w:t>
      </w:r>
      <w:r>
        <w:rPr>
          <w:sz w:val="20"/>
        </w:rPr>
        <w:t>client</w:t>
      </w:r>
      <w:r>
        <w:rPr>
          <w:spacing w:val="-3"/>
          <w:sz w:val="20"/>
        </w:rPr>
        <w:t xml:space="preserve"> </w:t>
      </w:r>
      <w:r>
        <w:rPr>
          <w:sz w:val="20"/>
        </w:rPr>
        <w:t>to</w:t>
      </w:r>
      <w:r>
        <w:rPr>
          <w:spacing w:val="-3"/>
          <w:sz w:val="20"/>
        </w:rPr>
        <w:t xml:space="preserve"> </w:t>
      </w:r>
      <w:r>
        <w:rPr>
          <w:sz w:val="20"/>
        </w:rPr>
        <w:t>reflect</w:t>
      </w:r>
      <w:r>
        <w:rPr>
          <w:spacing w:val="-3"/>
          <w:sz w:val="20"/>
        </w:rPr>
        <w:t xml:space="preserve"> </w:t>
      </w:r>
      <w:r>
        <w:rPr>
          <w:sz w:val="20"/>
        </w:rPr>
        <w:t>on</w:t>
      </w:r>
      <w:r>
        <w:rPr>
          <w:spacing w:val="-2"/>
          <w:sz w:val="20"/>
        </w:rPr>
        <w:t xml:space="preserve"> </w:t>
      </w:r>
      <w:r>
        <w:rPr>
          <w:sz w:val="20"/>
        </w:rPr>
        <w:t>how</w:t>
      </w:r>
      <w:r>
        <w:rPr>
          <w:spacing w:val="-3"/>
          <w:sz w:val="20"/>
        </w:rPr>
        <w:t xml:space="preserve"> </w:t>
      </w:r>
      <w:r>
        <w:rPr>
          <w:sz w:val="20"/>
        </w:rPr>
        <w:t>he</w:t>
      </w:r>
      <w:r>
        <w:rPr>
          <w:spacing w:val="-3"/>
          <w:sz w:val="20"/>
        </w:rPr>
        <w:t xml:space="preserve"> </w:t>
      </w:r>
      <w:r>
        <w:rPr>
          <w:sz w:val="20"/>
        </w:rPr>
        <w:t>or she is already considering change. If you use a higher number, it will likely evoke sustain talk (Miller &amp; Rollnick, 2013). Notice the difference in the following examples:</w:t>
      </w:r>
    </w:p>
    <w:p w14:paraId="2DA2D61B" w14:textId="77777777" w:rsidR="00DB6E1F" w:rsidRDefault="00F666A6">
      <w:pPr>
        <w:spacing w:before="41" w:line="244" w:lineRule="exact"/>
        <w:ind w:left="1908"/>
        <w:rPr>
          <w:sz w:val="20"/>
        </w:rPr>
      </w:pPr>
      <w:r>
        <w:rPr>
          <w:sz w:val="20"/>
        </w:rPr>
        <w:t>Lower</w:t>
      </w:r>
      <w:r>
        <w:rPr>
          <w:spacing w:val="-8"/>
          <w:sz w:val="20"/>
        </w:rPr>
        <w:t xml:space="preserve"> </w:t>
      </w:r>
      <w:r>
        <w:rPr>
          <w:spacing w:val="-2"/>
          <w:sz w:val="20"/>
        </w:rPr>
        <w:t>number</w:t>
      </w:r>
    </w:p>
    <w:p w14:paraId="5AFC9F3A" w14:textId="77777777" w:rsidR="00DB6E1F" w:rsidRDefault="00F666A6">
      <w:pPr>
        <w:pStyle w:val="ListParagraph"/>
        <w:numPr>
          <w:ilvl w:val="1"/>
          <w:numId w:val="73"/>
        </w:numPr>
        <w:tabs>
          <w:tab w:val="left" w:pos="2268"/>
          <w:tab w:val="left" w:pos="2269"/>
        </w:tabs>
        <w:spacing w:before="0"/>
        <w:ind w:right="1682"/>
        <w:rPr>
          <w:sz w:val="20"/>
        </w:rPr>
      </w:pPr>
      <w:r>
        <w:rPr>
          <w:b/>
          <w:sz w:val="20"/>
        </w:rPr>
        <w:t>Counselor:</w:t>
      </w:r>
      <w:r>
        <w:rPr>
          <w:b/>
          <w:spacing w:val="-2"/>
          <w:sz w:val="20"/>
        </w:rPr>
        <w:t xml:space="preserve"> </w:t>
      </w:r>
      <w:r>
        <w:rPr>
          <w:sz w:val="20"/>
        </w:rPr>
        <w:t>You</w:t>
      </w:r>
      <w:r>
        <w:rPr>
          <w:spacing w:val="-1"/>
          <w:sz w:val="20"/>
        </w:rPr>
        <w:t xml:space="preserve"> </w:t>
      </w:r>
      <w:r>
        <w:rPr>
          <w:sz w:val="20"/>
        </w:rPr>
        <w:t>mention</w:t>
      </w:r>
      <w:r>
        <w:rPr>
          <w:spacing w:val="-1"/>
          <w:sz w:val="20"/>
        </w:rPr>
        <w:t xml:space="preserve"> </w:t>
      </w:r>
      <w:r>
        <w:rPr>
          <w:sz w:val="20"/>
        </w:rPr>
        <w:t>that</w:t>
      </w:r>
      <w:r>
        <w:rPr>
          <w:spacing w:val="-4"/>
          <w:sz w:val="20"/>
        </w:rPr>
        <w:t xml:space="preserve"> </w:t>
      </w:r>
      <w:r>
        <w:rPr>
          <w:sz w:val="20"/>
        </w:rPr>
        <w:t>you</w:t>
      </w:r>
      <w:r>
        <w:rPr>
          <w:spacing w:val="-1"/>
          <w:sz w:val="20"/>
        </w:rPr>
        <w:t xml:space="preserve"> </w:t>
      </w:r>
      <w:r>
        <w:rPr>
          <w:sz w:val="20"/>
        </w:rPr>
        <w:t>are</w:t>
      </w:r>
      <w:r>
        <w:rPr>
          <w:spacing w:val="-3"/>
          <w:sz w:val="20"/>
        </w:rPr>
        <w:t xml:space="preserve"> </w:t>
      </w:r>
      <w:r>
        <w:rPr>
          <w:sz w:val="20"/>
        </w:rPr>
        <w:t>at</w:t>
      </w:r>
      <w:r>
        <w:rPr>
          <w:spacing w:val="-2"/>
          <w:sz w:val="20"/>
        </w:rPr>
        <w:t xml:space="preserve"> </w:t>
      </w:r>
      <w:r>
        <w:rPr>
          <w:sz w:val="20"/>
        </w:rPr>
        <w:t>a</w:t>
      </w:r>
      <w:r>
        <w:rPr>
          <w:spacing w:val="-2"/>
          <w:sz w:val="20"/>
        </w:rPr>
        <w:t xml:space="preserve"> </w:t>
      </w:r>
      <w:r>
        <w:rPr>
          <w:sz w:val="20"/>
        </w:rPr>
        <w:t>6</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importance</w:t>
      </w:r>
      <w:r>
        <w:rPr>
          <w:spacing w:val="-3"/>
          <w:sz w:val="20"/>
        </w:rPr>
        <w:t xml:space="preserve"> </w:t>
      </w:r>
      <w:r>
        <w:rPr>
          <w:sz w:val="20"/>
        </w:rPr>
        <w:t>of</w:t>
      </w:r>
      <w:r>
        <w:rPr>
          <w:spacing w:val="-3"/>
          <w:sz w:val="20"/>
        </w:rPr>
        <w:t xml:space="preserve"> </w:t>
      </w:r>
      <w:r>
        <w:rPr>
          <w:sz w:val="20"/>
        </w:rPr>
        <w:t>qui</w:t>
      </w:r>
      <w:r>
        <w:rPr>
          <w:sz w:val="20"/>
        </w:rPr>
        <w:t>tting</w:t>
      </w:r>
      <w:r>
        <w:rPr>
          <w:spacing w:val="-2"/>
          <w:sz w:val="20"/>
        </w:rPr>
        <w:t xml:space="preserve"> </w:t>
      </w:r>
      <w:r>
        <w:rPr>
          <w:sz w:val="20"/>
        </w:rPr>
        <w:t>drinking.</w:t>
      </w:r>
      <w:r>
        <w:rPr>
          <w:spacing w:val="-2"/>
          <w:sz w:val="20"/>
        </w:rPr>
        <w:t xml:space="preserve"> </w:t>
      </w:r>
      <w:r>
        <w:rPr>
          <w:sz w:val="20"/>
        </w:rPr>
        <w:t>How</w:t>
      </w:r>
      <w:r>
        <w:rPr>
          <w:spacing w:val="-3"/>
          <w:sz w:val="20"/>
        </w:rPr>
        <w:t xml:space="preserve"> </w:t>
      </w:r>
      <w:r>
        <w:rPr>
          <w:sz w:val="20"/>
        </w:rPr>
        <w:t>are</w:t>
      </w:r>
      <w:r>
        <w:rPr>
          <w:spacing w:val="-3"/>
          <w:sz w:val="20"/>
        </w:rPr>
        <w:t xml:space="preserve"> </w:t>
      </w:r>
      <w:r>
        <w:rPr>
          <w:sz w:val="20"/>
        </w:rPr>
        <w:t>you</w:t>
      </w:r>
      <w:r>
        <w:rPr>
          <w:spacing w:val="-1"/>
          <w:sz w:val="20"/>
        </w:rPr>
        <w:t xml:space="preserve"> </w:t>
      </w:r>
      <w:r>
        <w:rPr>
          <w:sz w:val="20"/>
        </w:rPr>
        <w:t>at</w:t>
      </w:r>
      <w:r>
        <w:rPr>
          <w:spacing w:val="-2"/>
          <w:sz w:val="20"/>
        </w:rPr>
        <w:t xml:space="preserve"> </w:t>
      </w:r>
      <w:r>
        <w:rPr>
          <w:sz w:val="20"/>
        </w:rPr>
        <w:t>a</w:t>
      </w:r>
      <w:r>
        <w:rPr>
          <w:spacing w:val="-2"/>
          <w:sz w:val="20"/>
        </w:rPr>
        <w:t xml:space="preserve"> </w:t>
      </w:r>
      <w:r>
        <w:rPr>
          <w:sz w:val="20"/>
        </w:rPr>
        <w:t>6 instead of a 3?</w:t>
      </w:r>
    </w:p>
    <w:p w14:paraId="2875509C" w14:textId="77777777" w:rsidR="00DB6E1F" w:rsidRDefault="00F666A6">
      <w:pPr>
        <w:pStyle w:val="ListParagraph"/>
        <w:numPr>
          <w:ilvl w:val="1"/>
          <w:numId w:val="73"/>
        </w:numPr>
        <w:tabs>
          <w:tab w:val="left" w:pos="2268"/>
          <w:tab w:val="left" w:pos="2269"/>
        </w:tabs>
        <w:spacing w:before="0"/>
        <w:ind w:left="1908" w:right="2110" w:firstLine="0"/>
        <w:rPr>
          <w:sz w:val="20"/>
        </w:rPr>
      </w:pPr>
      <w:r>
        <w:rPr>
          <w:b/>
          <w:sz w:val="20"/>
        </w:rPr>
        <w:t>Client:</w:t>
      </w:r>
      <w:r>
        <w:rPr>
          <w:b/>
          <w:spacing w:val="-3"/>
          <w:sz w:val="20"/>
        </w:rPr>
        <w:t xml:space="preserve"> </w:t>
      </w:r>
      <w:r>
        <w:rPr>
          <w:sz w:val="20"/>
        </w:rPr>
        <w:t>I’m</w:t>
      </w:r>
      <w:r>
        <w:rPr>
          <w:spacing w:val="-4"/>
          <w:sz w:val="20"/>
        </w:rPr>
        <w:t xml:space="preserve"> </w:t>
      </w:r>
      <w:r>
        <w:rPr>
          <w:sz w:val="20"/>
        </w:rPr>
        <w:t>realizing</w:t>
      </w:r>
      <w:r>
        <w:rPr>
          <w:spacing w:val="-3"/>
          <w:sz w:val="20"/>
        </w:rPr>
        <w:t xml:space="preserve"> </w:t>
      </w:r>
      <w:r>
        <w:rPr>
          <w:sz w:val="20"/>
        </w:rPr>
        <w:t>that</w:t>
      </w:r>
      <w:r>
        <w:rPr>
          <w:spacing w:val="-3"/>
          <w:sz w:val="20"/>
        </w:rPr>
        <w:t xml:space="preserve"> </w:t>
      </w:r>
      <w:r>
        <w:rPr>
          <w:sz w:val="20"/>
        </w:rPr>
        <w:t>drinking</w:t>
      </w:r>
      <w:r>
        <w:rPr>
          <w:spacing w:val="-3"/>
          <w:sz w:val="20"/>
        </w:rPr>
        <w:t xml:space="preserve"> </w:t>
      </w:r>
      <w:r>
        <w:rPr>
          <w:sz w:val="20"/>
        </w:rPr>
        <w:t>causes</w:t>
      </w:r>
      <w:r>
        <w:rPr>
          <w:spacing w:val="-2"/>
          <w:sz w:val="20"/>
        </w:rPr>
        <w:t xml:space="preserve"> </w:t>
      </w:r>
      <w:r>
        <w:rPr>
          <w:sz w:val="20"/>
        </w:rPr>
        <w:t>more</w:t>
      </w:r>
      <w:r>
        <w:rPr>
          <w:spacing w:val="-4"/>
          <w:sz w:val="20"/>
        </w:rPr>
        <w:t xml:space="preserve"> </w:t>
      </w:r>
      <w:r>
        <w:rPr>
          <w:sz w:val="20"/>
        </w:rPr>
        <w:t>problems</w:t>
      </w:r>
      <w:r>
        <w:rPr>
          <w:spacing w:val="-4"/>
          <w:sz w:val="20"/>
        </w:rPr>
        <w:t xml:space="preserve"> </w:t>
      </w:r>
      <w:r>
        <w:rPr>
          <w:sz w:val="20"/>
        </w:rPr>
        <w:t>in</w:t>
      </w:r>
      <w:r>
        <w:rPr>
          <w:spacing w:val="-2"/>
          <w:sz w:val="20"/>
        </w:rPr>
        <w:t xml:space="preserve"> </w:t>
      </w:r>
      <w:r>
        <w:rPr>
          <w:sz w:val="20"/>
        </w:rPr>
        <w:t>my</w:t>
      </w:r>
      <w:r>
        <w:rPr>
          <w:spacing w:val="-2"/>
          <w:sz w:val="20"/>
        </w:rPr>
        <w:t xml:space="preserve"> </w:t>
      </w:r>
      <w:r>
        <w:rPr>
          <w:sz w:val="20"/>
        </w:rPr>
        <w:t>life</w:t>
      </w:r>
      <w:r>
        <w:rPr>
          <w:spacing w:val="-4"/>
          <w:sz w:val="20"/>
        </w:rPr>
        <w:t xml:space="preserve"> </w:t>
      </w:r>
      <w:r>
        <w:rPr>
          <w:sz w:val="20"/>
        </w:rPr>
        <w:t>now</w:t>
      </w:r>
      <w:r>
        <w:rPr>
          <w:spacing w:val="-4"/>
          <w:sz w:val="20"/>
        </w:rPr>
        <w:t xml:space="preserve"> </w:t>
      </w:r>
      <w:r>
        <w:rPr>
          <w:sz w:val="20"/>
        </w:rPr>
        <w:t>than</w:t>
      </w:r>
      <w:r>
        <w:rPr>
          <w:spacing w:val="-2"/>
          <w:sz w:val="20"/>
        </w:rPr>
        <w:t xml:space="preserve"> </w:t>
      </w:r>
      <w:r>
        <w:rPr>
          <w:sz w:val="20"/>
        </w:rPr>
        <w:t>when</w:t>
      </w:r>
      <w:r>
        <w:rPr>
          <w:spacing w:val="-2"/>
          <w:sz w:val="20"/>
        </w:rPr>
        <w:t xml:space="preserve"> </w:t>
      </w:r>
      <w:r>
        <w:rPr>
          <w:sz w:val="20"/>
        </w:rPr>
        <w:t>I</w:t>
      </w:r>
      <w:r>
        <w:rPr>
          <w:spacing w:val="-3"/>
          <w:sz w:val="20"/>
        </w:rPr>
        <w:t xml:space="preserve"> </w:t>
      </w:r>
      <w:r>
        <w:rPr>
          <w:sz w:val="20"/>
        </w:rPr>
        <w:t>was</w:t>
      </w:r>
      <w:r>
        <w:rPr>
          <w:spacing w:val="-4"/>
          <w:sz w:val="20"/>
        </w:rPr>
        <w:t xml:space="preserve"> </w:t>
      </w:r>
      <w:r>
        <w:rPr>
          <w:sz w:val="20"/>
        </w:rPr>
        <w:t>younger. Higher number</w:t>
      </w:r>
    </w:p>
    <w:p w14:paraId="37A230A9" w14:textId="77777777" w:rsidR="00DB6E1F" w:rsidRDefault="00F666A6">
      <w:pPr>
        <w:pStyle w:val="ListParagraph"/>
        <w:numPr>
          <w:ilvl w:val="1"/>
          <w:numId w:val="73"/>
        </w:numPr>
        <w:tabs>
          <w:tab w:val="left" w:pos="2268"/>
          <w:tab w:val="left" w:pos="2269"/>
        </w:tabs>
        <w:spacing w:before="0"/>
        <w:ind w:right="1682" w:hanging="361"/>
        <w:rPr>
          <w:sz w:val="20"/>
        </w:rPr>
      </w:pPr>
      <w:r>
        <w:rPr>
          <w:b/>
          <w:sz w:val="20"/>
        </w:rPr>
        <w:t>Counselor:</w:t>
      </w:r>
      <w:r>
        <w:rPr>
          <w:b/>
          <w:spacing w:val="-2"/>
          <w:sz w:val="20"/>
        </w:rPr>
        <w:t xml:space="preserve"> </w:t>
      </w:r>
      <w:r>
        <w:rPr>
          <w:sz w:val="20"/>
        </w:rPr>
        <w:t>You</w:t>
      </w:r>
      <w:r>
        <w:rPr>
          <w:spacing w:val="-1"/>
          <w:sz w:val="20"/>
        </w:rPr>
        <w:t xml:space="preserve"> </w:t>
      </w:r>
      <w:r>
        <w:rPr>
          <w:sz w:val="20"/>
        </w:rPr>
        <w:t>mention</w:t>
      </w:r>
      <w:r>
        <w:rPr>
          <w:spacing w:val="-1"/>
          <w:sz w:val="20"/>
        </w:rPr>
        <w:t xml:space="preserve"> </w:t>
      </w:r>
      <w:r>
        <w:rPr>
          <w:sz w:val="20"/>
        </w:rPr>
        <w:t>that</w:t>
      </w:r>
      <w:r>
        <w:rPr>
          <w:spacing w:val="-4"/>
          <w:sz w:val="20"/>
        </w:rPr>
        <w:t xml:space="preserve"> </w:t>
      </w:r>
      <w:r>
        <w:rPr>
          <w:sz w:val="20"/>
        </w:rPr>
        <w:t>you</w:t>
      </w:r>
      <w:r>
        <w:rPr>
          <w:spacing w:val="-1"/>
          <w:sz w:val="20"/>
        </w:rPr>
        <w:t xml:space="preserve"> </w:t>
      </w:r>
      <w:r>
        <w:rPr>
          <w:sz w:val="20"/>
        </w:rPr>
        <w:t>are</w:t>
      </w:r>
      <w:r>
        <w:rPr>
          <w:spacing w:val="-3"/>
          <w:sz w:val="20"/>
        </w:rPr>
        <w:t xml:space="preserve"> </w:t>
      </w:r>
      <w:r>
        <w:rPr>
          <w:sz w:val="20"/>
        </w:rPr>
        <w:t>at</w:t>
      </w:r>
      <w:r>
        <w:rPr>
          <w:spacing w:val="-2"/>
          <w:sz w:val="20"/>
        </w:rPr>
        <w:t xml:space="preserve"> </w:t>
      </w:r>
      <w:r>
        <w:rPr>
          <w:sz w:val="20"/>
        </w:rPr>
        <w:t>a</w:t>
      </w:r>
      <w:r>
        <w:rPr>
          <w:spacing w:val="-2"/>
          <w:sz w:val="20"/>
        </w:rPr>
        <w:t xml:space="preserve"> </w:t>
      </w:r>
      <w:r>
        <w:rPr>
          <w:sz w:val="20"/>
        </w:rPr>
        <w:t>6</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importance</w:t>
      </w:r>
      <w:r>
        <w:rPr>
          <w:spacing w:val="-3"/>
          <w:sz w:val="20"/>
        </w:rPr>
        <w:t xml:space="preserve"> </w:t>
      </w:r>
      <w:r>
        <w:rPr>
          <w:sz w:val="20"/>
        </w:rPr>
        <w:t>of</w:t>
      </w:r>
      <w:r>
        <w:rPr>
          <w:spacing w:val="-3"/>
          <w:sz w:val="20"/>
        </w:rPr>
        <w:t xml:space="preserve"> </w:t>
      </w:r>
      <w:r>
        <w:rPr>
          <w:sz w:val="20"/>
        </w:rPr>
        <w:t>quitting</w:t>
      </w:r>
      <w:r>
        <w:rPr>
          <w:spacing w:val="-2"/>
          <w:sz w:val="20"/>
        </w:rPr>
        <w:t xml:space="preserve"> </w:t>
      </w:r>
      <w:r>
        <w:rPr>
          <w:sz w:val="20"/>
        </w:rPr>
        <w:t>drinking.</w:t>
      </w:r>
      <w:r>
        <w:rPr>
          <w:spacing w:val="-2"/>
          <w:sz w:val="20"/>
        </w:rPr>
        <w:t xml:space="preserve"> </w:t>
      </w:r>
      <w:r>
        <w:rPr>
          <w:sz w:val="20"/>
        </w:rPr>
        <w:t>How</w:t>
      </w:r>
      <w:r>
        <w:rPr>
          <w:spacing w:val="-3"/>
          <w:sz w:val="20"/>
        </w:rPr>
        <w:t xml:space="preserve"> </w:t>
      </w:r>
      <w:r>
        <w:rPr>
          <w:sz w:val="20"/>
        </w:rPr>
        <w:t>are</w:t>
      </w:r>
      <w:r>
        <w:rPr>
          <w:spacing w:val="-3"/>
          <w:sz w:val="20"/>
        </w:rPr>
        <w:t xml:space="preserve"> </w:t>
      </w:r>
      <w:r>
        <w:rPr>
          <w:sz w:val="20"/>
        </w:rPr>
        <w:t>you</w:t>
      </w:r>
      <w:r>
        <w:rPr>
          <w:spacing w:val="-1"/>
          <w:sz w:val="20"/>
        </w:rPr>
        <w:t xml:space="preserve"> </w:t>
      </w:r>
      <w:r>
        <w:rPr>
          <w:sz w:val="20"/>
        </w:rPr>
        <w:t>at</w:t>
      </w:r>
      <w:r>
        <w:rPr>
          <w:spacing w:val="-2"/>
          <w:sz w:val="20"/>
        </w:rPr>
        <w:t xml:space="preserve"> </w:t>
      </w:r>
      <w:r>
        <w:rPr>
          <w:sz w:val="20"/>
        </w:rPr>
        <w:t>a</w:t>
      </w:r>
      <w:r>
        <w:rPr>
          <w:spacing w:val="-2"/>
          <w:sz w:val="20"/>
        </w:rPr>
        <w:t xml:space="preserve"> </w:t>
      </w:r>
      <w:r>
        <w:rPr>
          <w:sz w:val="20"/>
        </w:rPr>
        <w:t>6 instead of a 9?</w:t>
      </w:r>
    </w:p>
    <w:p w14:paraId="6431A1E1" w14:textId="77777777" w:rsidR="00DB6E1F" w:rsidRDefault="00F666A6">
      <w:pPr>
        <w:pStyle w:val="ListParagraph"/>
        <w:numPr>
          <w:ilvl w:val="1"/>
          <w:numId w:val="73"/>
        </w:numPr>
        <w:tabs>
          <w:tab w:val="left" w:pos="2268"/>
          <w:tab w:val="left" w:pos="2269"/>
        </w:tabs>
        <w:spacing w:before="0"/>
        <w:ind w:hanging="361"/>
        <w:rPr>
          <w:sz w:val="20"/>
        </w:rPr>
      </w:pPr>
      <w:r>
        <w:rPr>
          <w:b/>
          <w:sz w:val="20"/>
        </w:rPr>
        <w:t>Client:</w:t>
      </w:r>
      <w:r>
        <w:rPr>
          <w:b/>
          <w:spacing w:val="-5"/>
          <w:sz w:val="20"/>
        </w:rPr>
        <w:t xml:space="preserve"> </w:t>
      </w:r>
      <w:r>
        <w:rPr>
          <w:sz w:val="20"/>
        </w:rPr>
        <w:t>Well,</w:t>
      </w:r>
      <w:r>
        <w:rPr>
          <w:spacing w:val="-3"/>
          <w:sz w:val="20"/>
        </w:rPr>
        <w:t xml:space="preserve"> </w:t>
      </w:r>
      <w:r>
        <w:rPr>
          <w:sz w:val="20"/>
        </w:rPr>
        <w:t>I</w:t>
      </w:r>
      <w:r>
        <w:rPr>
          <w:spacing w:val="-4"/>
          <w:sz w:val="20"/>
        </w:rPr>
        <w:t xml:space="preserve"> </w:t>
      </w:r>
      <w:r>
        <w:rPr>
          <w:sz w:val="20"/>
        </w:rPr>
        <w:t>am</w:t>
      </w:r>
      <w:r>
        <w:rPr>
          <w:spacing w:val="-5"/>
          <w:sz w:val="20"/>
        </w:rPr>
        <w:t xml:space="preserve"> </w:t>
      </w:r>
      <w:r>
        <w:rPr>
          <w:sz w:val="20"/>
        </w:rPr>
        <w:t>just</w:t>
      </w:r>
      <w:r>
        <w:rPr>
          <w:spacing w:val="-4"/>
          <w:sz w:val="20"/>
        </w:rPr>
        <w:t xml:space="preserve"> </w:t>
      </w:r>
      <w:r>
        <w:rPr>
          <w:sz w:val="20"/>
        </w:rPr>
        <w:t>not</w:t>
      </w:r>
      <w:r>
        <w:rPr>
          <w:spacing w:val="-4"/>
          <w:sz w:val="20"/>
        </w:rPr>
        <w:t xml:space="preserve"> </w:t>
      </w:r>
      <w:r>
        <w:rPr>
          <w:sz w:val="20"/>
        </w:rPr>
        <w:t>ready</w:t>
      </w:r>
      <w:r>
        <w:rPr>
          <w:spacing w:val="-3"/>
          <w:sz w:val="20"/>
        </w:rPr>
        <w:t xml:space="preserve"> </w:t>
      </w:r>
      <w:r>
        <w:rPr>
          <w:sz w:val="20"/>
        </w:rPr>
        <w:t>to</w:t>
      </w:r>
      <w:r>
        <w:rPr>
          <w:spacing w:val="-4"/>
          <w:sz w:val="20"/>
        </w:rPr>
        <w:t xml:space="preserve"> </w:t>
      </w:r>
      <w:r>
        <w:rPr>
          <w:sz w:val="20"/>
        </w:rPr>
        <w:t>quit</w:t>
      </w:r>
      <w:r>
        <w:rPr>
          <w:spacing w:val="-4"/>
          <w:sz w:val="20"/>
        </w:rPr>
        <w:t xml:space="preserve"> </w:t>
      </w:r>
      <w:r>
        <w:rPr>
          <w:sz w:val="20"/>
        </w:rPr>
        <w:t>right</w:t>
      </w:r>
      <w:r>
        <w:rPr>
          <w:spacing w:val="-6"/>
          <w:sz w:val="20"/>
        </w:rPr>
        <w:t xml:space="preserve"> </w:t>
      </w:r>
      <w:r>
        <w:rPr>
          <w:sz w:val="20"/>
        </w:rPr>
        <w:t>this</w:t>
      </w:r>
      <w:r>
        <w:rPr>
          <w:spacing w:val="-5"/>
          <w:sz w:val="20"/>
        </w:rPr>
        <w:t xml:space="preserve"> </w:t>
      </w:r>
      <w:r>
        <w:rPr>
          <w:spacing w:val="-2"/>
          <w:sz w:val="20"/>
        </w:rPr>
        <w:t>second.</w:t>
      </w:r>
    </w:p>
    <w:p w14:paraId="5F1C1073" w14:textId="77777777" w:rsidR="00DB6E1F" w:rsidRDefault="00F666A6">
      <w:pPr>
        <w:ind w:left="1908" w:right="1788"/>
        <w:rPr>
          <w:sz w:val="20"/>
        </w:rPr>
      </w:pPr>
      <w:r>
        <w:rPr>
          <w:sz w:val="20"/>
        </w:rPr>
        <w:t>In</w:t>
      </w:r>
      <w:r>
        <w:rPr>
          <w:spacing w:val="-2"/>
          <w:sz w:val="20"/>
        </w:rPr>
        <w:t xml:space="preserve"> </w:t>
      </w:r>
      <w:r>
        <w:rPr>
          <w:sz w:val="20"/>
        </w:rPr>
        <w:t>the</w:t>
      </w:r>
      <w:r>
        <w:rPr>
          <w:spacing w:val="-4"/>
          <w:sz w:val="20"/>
        </w:rPr>
        <w:t xml:space="preserve"> </w:t>
      </w:r>
      <w:r>
        <w:rPr>
          <w:sz w:val="20"/>
        </w:rPr>
        <w:t>higher</w:t>
      </w:r>
      <w:r>
        <w:rPr>
          <w:spacing w:val="-3"/>
          <w:sz w:val="20"/>
        </w:rPr>
        <w:t xml:space="preserve"> </w:t>
      </w:r>
      <w:r>
        <w:rPr>
          <w:sz w:val="20"/>
        </w:rPr>
        <w:t>number</w:t>
      </w:r>
      <w:r>
        <w:rPr>
          <w:spacing w:val="-2"/>
          <w:sz w:val="20"/>
        </w:rPr>
        <w:t xml:space="preserve"> </w:t>
      </w:r>
      <w:r>
        <w:rPr>
          <w:sz w:val="20"/>
        </w:rPr>
        <w:t>example,</w:t>
      </w:r>
      <w:r>
        <w:rPr>
          <w:spacing w:val="-2"/>
          <w:sz w:val="20"/>
        </w:rPr>
        <w:t xml:space="preserve"> </w:t>
      </w:r>
      <w:r>
        <w:rPr>
          <w:sz w:val="20"/>
        </w:rPr>
        <w:t>the</w:t>
      </w:r>
      <w:r>
        <w:rPr>
          <w:spacing w:val="-4"/>
          <w:sz w:val="20"/>
        </w:rPr>
        <w:t xml:space="preserve"> </w:t>
      </w:r>
      <w:r>
        <w:rPr>
          <w:sz w:val="20"/>
        </w:rPr>
        <w:t>counselor</w:t>
      </w:r>
      <w:r>
        <w:rPr>
          <w:spacing w:val="-3"/>
          <w:sz w:val="20"/>
        </w:rPr>
        <w:t xml:space="preserve"> </w:t>
      </w:r>
      <w:r>
        <w:rPr>
          <w:sz w:val="20"/>
        </w:rPr>
        <w:t>evokes</w:t>
      </w:r>
      <w:r>
        <w:rPr>
          <w:spacing w:val="-4"/>
          <w:sz w:val="20"/>
        </w:rPr>
        <w:t xml:space="preserve"> </w:t>
      </w:r>
      <w:r>
        <w:rPr>
          <w:sz w:val="20"/>
        </w:rPr>
        <w:t>sustain</w:t>
      </w:r>
      <w:r>
        <w:rPr>
          <w:spacing w:val="-2"/>
          <w:sz w:val="20"/>
        </w:rPr>
        <w:t xml:space="preserve"> </w:t>
      </w:r>
      <w:r>
        <w:rPr>
          <w:sz w:val="20"/>
        </w:rPr>
        <w:t>talk,</w:t>
      </w:r>
      <w:r>
        <w:rPr>
          <w:spacing w:val="-2"/>
          <w:sz w:val="20"/>
        </w:rPr>
        <w:t xml:space="preserve"> </w:t>
      </w:r>
      <w:r>
        <w:rPr>
          <w:sz w:val="20"/>
        </w:rPr>
        <w:t>but</w:t>
      </w:r>
      <w:r>
        <w:rPr>
          <w:spacing w:val="-5"/>
          <w:sz w:val="20"/>
        </w:rPr>
        <w:t xml:space="preserve"> </w:t>
      </w:r>
      <w:r>
        <w:rPr>
          <w:sz w:val="20"/>
        </w:rPr>
        <w:t>it</w:t>
      </w:r>
      <w:r>
        <w:rPr>
          <w:spacing w:val="-3"/>
          <w:sz w:val="20"/>
        </w:rPr>
        <w:t xml:space="preserve"> </w:t>
      </w:r>
      <w:r>
        <w:rPr>
          <w:sz w:val="20"/>
        </w:rPr>
        <w:t>is</w:t>
      </w:r>
      <w:r>
        <w:rPr>
          <w:spacing w:val="-4"/>
          <w:sz w:val="20"/>
        </w:rPr>
        <w:t xml:space="preserve"> </w:t>
      </w:r>
      <w:r>
        <w:rPr>
          <w:sz w:val="20"/>
        </w:rPr>
        <w:t>still</w:t>
      </w:r>
      <w:r>
        <w:rPr>
          <w:spacing w:val="-3"/>
          <w:sz w:val="20"/>
        </w:rPr>
        <w:t xml:space="preserve"> </w:t>
      </w:r>
      <w:r>
        <w:rPr>
          <w:sz w:val="20"/>
        </w:rPr>
        <w:t>useful</w:t>
      </w:r>
      <w:r>
        <w:rPr>
          <w:spacing w:val="-3"/>
          <w:sz w:val="20"/>
        </w:rPr>
        <w:t xml:space="preserve"> </w:t>
      </w:r>
      <w:r>
        <w:rPr>
          <w:sz w:val="20"/>
        </w:rPr>
        <w:t>information</w:t>
      </w:r>
      <w:r>
        <w:rPr>
          <w:spacing w:val="-2"/>
          <w:sz w:val="20"/>
        </w:rPr>
        <w:t xml:space="preserve"> </w:t>
      </w:r>
      <w:r>
        <w:rPr>
          <w:sz w:val="20"/>
        </w:rPr>
        <w:t>and</w:t>
      </w:r>
      <w:r>
        <w:rPr>
          <w:spacing w:val="-2"/>
          <w:sz w:val="20"/>
        </w:rPr>
        <w:t xml:space="preserve"> </w:t>
      </w:r>
      <w:r>
        <w:rPr>
          <w:sz w:val="20"/>
        </w:rPr>
        <w:t>can be the beginning of a deep conversation about the client’s readiness to change.</w:t>
      </w:r>
    </w:p>
    <w:p w14:paraId="52AFF234" w14:textId="77777777" w:rsidR="00DB6E1F" w:rsidRDefault="00F666A6">
      <w:pPr>
        <w:pStyle w:val="ListParagraph"/>
        <w:numPr>
          <w:ilvl w:val="0"/>
          <w:numId w:val="73"/>
        </w:numPr>
        <w:tabs>
          <w:tab w:val="left" w:pos="1908"/>
          <w:tab w:val="left" w:pos="1909"/>
        </w:tabs>
        <w:spacing w:before="40"/>
        <w:ind w:left="1908" w:right="2084"/>
        <w:rPr>
          <w:sz w:val="20"/>
        </w:rPr>
      </w:pPr>
      <w:r>
        <w:rPr>
          <w:sz w:val="20"/>
        </w:rPr>
        <w:t xml:space="preserve">Follow-up question 2: “What would help move from a </w:t>
      </w:r>
      <w:r>
        <w:rPr>
          <w:i/>
          <w:sz w:val="20"/>
        </w:rPr>
        <w:t xml:space="preserve">[fill in the number on the scale] </w:t>
      </w:r>
      <w:r>
        <w:rPr>
          <w:sz w:val="20"/>
        </w:rPr>
        <w:t xml:space="preserve">to a </w:t>
      </w:r>
      <w:r>
        <w:rPr>
          <w:i/>
          <w:sz w:val="20"/>
        </w:rPr>
        <w:t>[choose a slightly</w:t>
      </w:r>
      <w:r>
        <w:rPr>
          <w:i/>
          <w:spacing w:val="-3"/>
          <w:sz w:val="20"/>
        </w:rPr>
        <w:t xml:space="preserve"> </w:t>
      </w:r>
      <w:r>
        <w:rPr>
          <w:i/>
          <w:sz w:val="20"/>
        </w:rPr>
        <w:t>higher</w:t>
      </w:r>
      <w:r>
        <w:rPr>
          <w:i/>
          <w:spacing w:val="-4"/>
          <w:sz w:val="20"/>
        </w:rPr>
        <w:t xml:space="preserve"> </w:t>
      </w:r>
      <w:r>
        <w:rPr>
          <w:i/>
          <w:sz w:val="20"/>
        </w:rPr>
        <w:t>number</w:t>
      </w:r>
      <w:r>
        <w:rPr>
          <w:i/>
          <w:spacing w:val="-4"/>
          <w:sz w:val="20"/>
        </w:rPr>
        <w:t xml:space="preserve"> </w:t>
      </w:r>
      <w:r>
        <w:rPr>
          <w:i/>
          <w:sz w:val="20"/>
        </w:rPr>
        <w:t>on</w:t>
      </w:r>
      <w:r>
        <w:rPr>
          <w:i/>
          <w:spacing w:val="-2"/>
          <w:sz w:val="20"/>
        </w:rPr>
        <w:t xml:space="preserve"> </w:t>
      </w:r>
      <w:r>
        <w:rPr>
          <w:i/>
          <w:sz w:val="20"/>
        </w:rPr>
        <w:t>the</w:t>
      </w:r>
      <w:r>
        <w:rPr>
          <w:i/>
          <w:spacing w:val="-5"/>
          <w:sz w:val="20"/>
        </w:rPr>
        <w:t xml:space="preserve"> </w:t>
      </w:r>
      <w:r>
        <w:rPr>
          <w:i/>
          <w:sz w:val="20"/>
        </w:rPr>
        <w:t>scale]</w:t>
      </w:r>
      <w:r>
        <w:rPr>
          <w:sz w:val="20"/>
        </w:rPr>
        <w:t>?”</w:t>
      </w:r>
      <w:r>
        <w:rPr>
          <w:spacing w:val="-2"/>
          <w:sz w:val="20"/>
        </w:rPr>
        <w:t xml:space="preserve"> </w:t>
      </w:r>
      <w:r>
        <w:rPr>
          <w:sz w:val="20"/>
        </w:rPr>
        <w:t>This</w:t>
      </w:r>
      <w:r>
        <w:rPr>
          <w:spacing w:val="-4"/>
          <w:sz w:val="20"/>
        </w:rPr>
        <w:t xml:space="preserve"> </w:t>
      </w:r>
      <w:r>
        <w:rPr>
          <w:sz w:val="20"/>
        </w:rPr>
        <w:t>question</w:t>
      </w:r>
      <w:r>
        <w:rPr>
          <w:spacing w:val="-2"/>
          <w:sz w:val="20"/>
        </w:rPr>
        <w:t xml:space="preserve"> </w:t>
      </w:r>
      <w:r>
        <w:rPr>
          <w:sz w:val="20"/>
        </w:rPr>
        <w:t>invites</w:t>
      </w:r>
      <w:r>
        <w:rPr>
          <w:spacing w:val="-4"/>
          <w:sz w:val="20"/>
        </w:rPr>
        <w:t xml:space="preserve"> </w:t>
      </w:r>
      <w:r>
        <w:rPr>
          <w:sz w:val="20"/>
        </w:rPr>
        <w:t>the</w:t>
      </w:r>
      <w:r>
        <w:rPr>
          <w:spacing w:val="-4"/>
          <w:sz w:val="20"/>
        </w:rPr>
        <w:t xml:space="preserve"> </w:t>
      </w:r>
      <w:r>
        <w:rPr>
          <w:sz w:val="20"/>
        </w:rPr>
        <w:t>client</w:t>
      </w:r>
      <w:r>
        <w:rPr>
          <w:spacing w:val="-3"/>
          <w:sz w:val="20"/>
        </w:rPr>
        <w:t xml:space="preserve"> </w:t>
      </w:r>
      <w:r>
        <w:rPr>
          <w:sz w:val="20"/>
        </w:rPr>
        <w:t>to</w:t>
      </w:r>
      <w:r>
        <w:rPr>
          <w:spacing w:val="-3"/>
          <w:sz w:val="20"/>
        </w:rPr>
        <w:t xml:space="preserve"> </w:t>
      </w:r>
      <w:r>
        <w:rPr>
          <w:sz w:val="20"/>
        </w:rPr>
        <w:t>reflect</w:t>
      </w:r>
      <w:r>
        <w:rPr>
          <w:spacing w:val="-3"/>
          <w:sz w:val="20"/>
        </w:rPr>
        <w:t xml:space="preserve"> </w:t>
      </w:r>
      <w:r>
        <w:rPr>
          <w:sz w:val="20"/>
        </w:rPr>
        <w:t>on</w:t>
      </w:r>
      <w:r>
        <w:rPr>
          <w:spacing w:val="-2"/>
          <w:sz w:val="20"/>
        </w:rPr>
        <w:t xml:space="preserve"> </w:t>
      </w:r>
      <w:r>
        <w:rPr>
          <w:sz w:val="20"/>
        </w:rPr>
        <w:t>reasons</w:t>
      </w:r>
      <w:r>
        <w:rPr>
          <w:spacing w:val="-4"/>
          <w:sz w:val="20"/>
        </w:rPr>
        <w:t xml:space="preserve"> </w:t>
      </w:r>
      <w:r>
        <w:rPr>
          <w:sz w:val="20"/>
        </w:rPr>
        <w:t>to</w:t>
      </w:r>
      <w:r>
        <w:rPr>
          <w:spacing w:val="-3"/>
          <w:sz w:val="20"/>
        </w:rPr>
        <w:t xml:space="preserve"> </w:t>
      </w:r>
      <w:r>
        <w:rPr>
          <w:sz w:val="20"/>
        </w:rPr>
        <w:t>increase readiness to change.</w:t>
      </w:r>
    </w:p>
    <w:p w14:paraId="42EB9A58" w14:textId="77777777" w:rsidR="00DB6E1F" w:rsidRDefault="00DB6E1F">
      <w:pPr>
        <w:pStyle w:val="BodyText"/>
        <w:spacing w:before="10"/>
        <w:rPr>
          <w:sz w:val="16"/>
        </w:rPr>
      </w:pPr>
    </w:p>
    <w:p w14:paraId="638CF98F" w14:textId="77777777" w:rsidR="00DB6E1F" w:rsidRDefault="00F666A6">
      <w:pPr>
        <w:pStyle w:val="ListParagraph"/>
        <w:numPr>
          <w:ilvl w:val="0"/>
          <w:numId w:val="92"/>
        </w:numPr>
        <w:tabs>
          <w:tab w:val="left" w:pos="1801"/>
        </w:tabs>
        <w:spacing w:before="1"/>
        <w:ind w:left="1799" w:right="1536" w:hanging="360"/>
        <w:jc w:val="both"/>
        <w:rPr>
          <w:rFonts w:ascii="Symbol" w:hAnsi="Symbol"/>
        </w:rPr>
      </w:pPr>
      <w:r>
        <w:rPr>
          <w:b/>
        </w:rPr>
        <w:t>Exploring</w:t>
      </w:r>
      <w:r>
        <w:rPr>
          <w:b/>
          <w:spacing w:val="-3"/>
        </w:rPr>
        <w:t xml:space="preserve"> </w:t>
      </w:r>
      <w:r>
        <w:rPr>
          <w:b/>
        </w:rPr>
        <w:t>extremes.</w:t>
      </w:r>
      <w:r>
        <w:rPr>
          <w:b/>
          <w:spacing w:val="-1"/>
        </w:rPr>
        <w:t xml:space="preserve"> </w:t>
      </w:r>
      <w:r>
        <w:t>Ask</w:t>
      </w:r>
      <w:r>
        <w:rPr>
          <w:spacing w:val="-1"/>
        </w:rPr>
        <w:t xml:space="preserve"> </w:t>
      </w:r>
      <w:r>
        <w:t>the</w:t>
      </w:r>
      <w:r>
        <w:rPr>
          <w:spacing w:val="-1"/>
        </w:rPr>
        <w:t xml:space="preserve"> </w:t>
      </w:r>
      <w:r>
        <w:t>client</w:t>
      </w:r>
      <w:r>
        <w:rPr>
          <w:spacing w:val="-4"/>
        </w:rPr>
        <w:t xml:space="preserve"> </w:t>
      </w:r>
      <w:r>
        <w:t>to</w:t>
      </w:r>
      <w:r>
        <w:rPr>
          <w:spacing w:val="-1"/>
        </w:rPr>
        <w:t xml:space="preserve"> </w:t>
      </w:r>
      <w:r>
        <w:t>identify</w:t>
      </w:r>
      <w:r>
        <w:rPr>
          <w:spacing w:val="-1"/>
        </w:rPr>
        <w:t xml:space="preserve"> </w:t>
      </w:r>
      <w:r>
        <w:t>the</w:t>
      </w:r>
      <w:r>
        <w:rPr>
          <w:spacing w:val="-4"/>
        </w:rPr>
        <w:t xml:space="preserve"> </w:t>
      </w:r>
      <w:r>
        <w:t>extremes</w:t>
      </w:r>
      <w:r>
        <w:rPr>
          <w:spacing w:val="-4"/>
        </w:rPr>
        <w:t xml:space="preserve"> </w:t>
      </w:r>
      <w:r>
        <w:t>of</w:t>
      </w:r>
      <w:r>
        <w:rPr>
          <w:spacing w:val="-2"/>
        </w:rPr>
        <w:t xml:space="preserve"> </w:t>
      </w:r>
      <w:r>
        <w:t>the</w:t>
      </w:r>
      <w:r>
        <w:rPr>
          <w:spacing w:val="-4"/>
        </w:rPr>
        <w:t xml:space="preserve"> </w:t>
      </w:r>
      <w:r>
        <w:t>problem;</w:t>
      </w:r>
      <w:r>
        <w:rPr>
          <w:spacing w:val="-1"/>
        </w:rPr>
        <w:t xml:space="preserve"> </w:t>
      </w:r>
      <w:r>
        <w:t>this</w:t>
      </w:r>
      <w:r>
        <w:rPr>
          <w:spacing w:val="-4"/>
        </w:rPr>
        <w:t xml:space="preserve"> </w:t>
      </w:r>
      <w:r>
        <w:t>enhances</w:t>
      </w:r>
      <w:r>
        <w:rPr>
          <w:spacing w:val="-2"/>
        </w:rPr>
        <w:t xml:space="preserve"> </w:t>
      </w:r>
      <w:r>
        <w:t>his</w:t>
      </w:r>
      <w:r>
        <w:rPr>
          <w:spacing w:val="-4"/>
        </w:rPr>
        <w:t xml:space="preserve"> </w:t>
      </w:r>
      <w:r>
        <w:t>or</w:t>
      </w:r>
      <w:r>
        <w:rPr>
          <w:spacing w:val="-2"/>
        </w:rPr>
        <w:t xml:space="preserve"> </w:t>
      </w:r>
      <w:r>
        <w:t>her motivation.</w:t>
      </w:r>
      <w:r>
        <w:rPr>
          <w:spacing w:val="-1"/>
        </w:rPr>
        <w:t xml:space="preserve"> </w:t>
      </w:r>
      <w:r>
        <w:t>For example:</w:t>
      </w:r>
      <w:r>
        <w:rPr>
          <w:spacing w:val="-1"/>
        </w:rPr>
        <w:t xml:space="preserve"> </w:t>
      </w:r>
      <w:r>
        <w:t>“What concerns</w:t>
      </w:r>
      <w:r>
        <w:rPr>
          <w:spacing w:val="-2"/>
        </w:rPr>
        <w:t xml:space="preserve"> </w:t>
      </w:r>
      <w:r>
        <w:t>you</w:t>
      </w:r>
      <w:r>
        <w:rPr>
          <w:spacing w:val="-1"/>
        </w:rPr>
        <w:t xml:space="preserve"> </w:t>
      </w:r>
      <w:r>
        <w:t>the</w:t>
      </w:r>
      <w:r>
        <w:rPr>
          <w:spacing w:val="-2"/>
        </w:rPr>
        <w:t xml:space="preserve"> </w:t>
      </w:r>
      <w:r>
        <w:t>most about</w:t>
      </w:r>
      <w:r>
        <w:rPr>
          <w:spacing w:val="-1"/>
        </w:rPr>
        <w:t xml:space="preserve"> </w:t>
      </w:r>
      <w:r>
        <w:rPr>
          <w:i/>
        </w:rPr>
        <w:t>[name</w:t>
      </w:r>
      <w:r>
        <w:rPr>
          <w:i/>
          <w:spacing w:val="-2"/>
        </w:rPr>
        <w:t xml:space="preserve"> </w:t>
      </w:r>
      <w:r>
        <w:rPr>
          <w:i/>
        </w:rPr>
        <w:t>the target</w:t>
      </w:r>
      <w:r>
        <w:rPr>
          <w:i/>
          <w:spacing w:val="-2"/>
        </w:rPr>
        <w:t xml:space="preserve"> </w:t>
      </w:r>
      <w:r>
        <w:rPr>
          <w:i/>
        </w:rPr>
        <w:t>behavior, like</w:t>
      </w:r>
      <w:r>
        <w:rPr>
          <w:i/>
          <w:spacing w:val="-2"/>
        </w:rPr>
        <w:t xml:space="preserve"> </w:t>
      </w:r>
      <w:r>
        <w:rPr>
          <w:i/>
        </w:rPr>
        <w:t xml:space="preserve">using </w:t>
      </w:r>
      <w:r>
        <w:rPr>
          <w:i/>
          <w:spacing w:val="-2"/>
        </w:rPr>
        <w:t>cocaine]?”</w:t>
      </w:r>
    </w:p>
    <w:p w14:paraId="324EC9C1" w14:textId="77777777" w:rsidR="00DB6E1F" w:rsidRDefault="00F666A6">
      <w:pPr>
        <w:pStyle w:val="ListParagraph"/>
        <w:numPr>
          <w:ilvl w:val="0"/>
          <w:numId w:val="92"/>
        </w:numPr>
        <w:tabs>
          <w:tab w:val="left" w:pos="1799"/>
          <w:tab w:val="left" w:pos="1800"/>
        </w:tabs>
        <w:ind w:left="1799" w:right="1446" w:hanging="360"/>
        <w:rPr>
          <w:rFonts w:ascii="Symbol" w:hAnsi="Symbol"/>
        </w:rPr>
      </w:pPr>
      <w:r>
        <w:rPr>
          <w:b/>
        </w:rPr>
        <w:t>Looking</w:t>
      </w:r>
      <w:r>
        <w:rPr>
          <w:b/>
          <w:spacing w:val="-1"/>
        </w:rPr>
        <w:t xml:space="preserve"> </w:t>
      </w:r>
      <w:r>
        <w:rPr>
          <w:b/>
        </w:rPr>
        <w:t>back.</w:t>
      </w:r>
      <w:r>
        <w:rPr>
          <w:b/>
          <w:spacing w:val="-3"/>
        </w:rPr>
        <w:t xml:space="preserve"> </w:t>
      </w:r>
      <w:r>
        <w:t>To</w:t>
      </w:r>
      <w:r>
        <w:rPr>
          <w:spacing w:val="-1"/>
        </w:rPr>
        <w:t xml:space="preserve"> </w:t>
      </w:r>
      <w:r>
        <w:t>point</w:t>
      </w:r>
      <w:r>
        <w:rPr>
          <w:spacing w:val="-4"/>
        </w:rPr>
        <w:t xml:space="preserve"> </w:t>
      </w:r>
      <w:r>
        <w:t>out</w:t>
      </w:r>
      <w:r>
        <w:rPr>
          <w:spacing w:val="-4"/>
        </w:rPr>
        <w:t xml:space="preserve"> </w:t>
      </w:r>
      <w:r>
        <w:t>discrepancies</w:t>
      </w:r>
      <w:r>
        <w:rPr>
          <w:spacing w:val="-2"/>
        </w:rPr>
        <w:t xml:space="preserve"> </w:t>
      </w:r>
      <w:r>
        <w:t>and</w:t>
      </w:r>
      <w:r>
        <w:rPr>
          <w:spacing w:val="-5"/>
        </w:rPr>
        <w:t xml:space="preserve"> </w:t>
      </w:r>
      <w:r>
        <w:t>evoke</w:t>
      </w:r>
      <w:r>
        <w:rPr>
          <w:spacing w:val="-1"/>
        </w:rPr>
        <w:t xml:space="preserve"> </w:t>
      </w:r>
      <w:r>
        <w:t>change</w:t>
      </w:r>
      <w:r>
        <w:rPr>
          <w:spacing w:val="-1"/>
        </w:rPr>
        <w:t xml:space="preserve"> </w:t>
      </w:r>
      <w:r>
        <w:t>talk,</w:t>
      </w:r>
      <w:r>
        <w:rPr>
          <w:spacing w:val="-4"/>
        </w:rPr>
        <w:t xml:space="preserve"> </w:t>
      </w:r>
      <w:r>
        <w:t>ask</w:t>
      </w:r>
      <w:r>
        <w:rPr>
          <w:spacing w:val="-4"/>
        </w:rPr>
        <w:t xml:space="preserve"> </w:t>
      </w:r>
      <w:r>
        <w:t>the</w:t>
      </w:r>
      <w:r>
        <w:rPr>
          <w:spacing w:val="-1"/>
        </w:rPr>
        <w:t xml:space="preserve"> </w:t>
      </w:r>
      <w:r>
        <w:t>client</w:t>
      </w:r>
      <w:r>
        <w:rPr>
          <w:spacing w:val="-1"/>
        </w:rPr>
        <w:t xml:space="preserve"> </w:t>
      </w:r>
      <w:r>
        <w:t>about</w:t>
      </w:r>
      <w:r>
        <w:rPr>
          <w:spacing w:val="-4"/>
        </w:rPr>
        <w:t xml:space="preserve"> </w:t>
      </w:r>
      <w:r>
        <w:t>what</w:t>
      </w:r>
      <w:r>
        <w:rPr>
          <w:spacing w:val="-1"/>
        </w:rPr>
        <w:t xml:space="preserve"> </w:t>
      </w:r>
      <w:r>
        <w:t>it</w:t>
      </w:r>
      <w:r>
        <w:rPr>
          <w:spacing w:val="-4"/>
        </w:rPr>
        <w:t xml:space="preserve"> </w:t>
      </w:r>
      <w:r>
        <w:t>was</w:t>
      </w:r>
      <w:r>
        <w:rPr>
          <w:spacing w:val="-4"/>
        </w:rPr>
        <w:t xml:space="preserve"> </w:t>
      </w:r>
      <w:r>
        <w:t>like before experiencing substance use problems, and compare that response with what it is like now. For example: “What was it like before you started using heroin?”</w:t>
      </w:r>
    </w:p>
    <w:p w14:paraId="139EACAF" w14:textId="77777777" w:rsidR="00DB6E1F" w:rsidRDefault="00F666A6">
      <w:pPr>
        <w:pStyle w:val="ListParagraph"/>
        <w:numPr>
          <w:ilvl w:val="0"/>
          <w:numId w:val="92"/>
        </w:numPr>
        <w:tabs>
          <w:tab w:val="left" w:pos="1799"/>
          <w:tab w:val="left" w:pos="1800"/>
        </w:tabs>
        <w:spacing w:before="61"/>
        <w:ind w:left="1799" w:right="1545" w:hanging="360"/>
        <w:rPr>
          <w:rFonts w:ascii="Symbol" w:hAnsi="Symbol"/>
        </w:rPr>
      </w:pPr>
      <w:r>
        <w:rPr>
          <w:b/>
        </w:rPr>
        <w:t xml:space="preserve">Looking forward. </w:t>
      </w:r>
      <w:r>
        <w:t>Ask the client to envision what he or she would like for the future. This</w:t>
      </w:r>
      <w:r>
        <w:t xml:space="preserve"> can elicit change</w:t>
      </w:r>
      <w:r>
        <w:rPr>
          <w:spacing w:val="-1"/>
        </w:rPr>
        <w:t xml:space="preserve"> </w:t>
      </w:r>
      <w:r>
        <w:t>talk</w:t>
      </w:r>
      <w:r>
        <w:rPr>
          <w:spacing w:val="-4"/>
        </w:rPr>
        <w:t xml:space="preserve"> </w:t>
      </w:r>
      <w:r>
        <w:t>and</w:t>
      </w:r>
      <w:r>
        <w:rPr>
          <w:spacing w:val="-3"/>
        </w:rPr>
        <w:t xml:space="preserve"> </w:t>
      </w:r>
      <w:r>
        <w:t>identify</w:t>
      </w:r>
      <w:r>
        <w:rPr>
          <w:spacing w:val="-3"/>
        </w:rPr>
        <w:t xml:space="preserve"> </w:t>
      </w:r>
      <w:r>
        <w:t>goals</w:t>
      </w:r>
      <w:r>
        <w:rPr>
          <w:spacing w:val="-2"/>
        </w:rPr>
        <w:t xml:space="preserve"> </w:t>
      </w:r>
      <w:r>
        <w:t>to</w:t>
      </w:r>
      <w:r>
        <w:rPr>
          <w:spacing w:val="-3"/>
        </w:rPr>
        <w:t xml:space="preserve"> </w:t>
      </w:r>
      <w:r>
        <w:t>work</w:t>
      </w:r>
      <w:r>
        <w:rPr>
          <w:spacing w:val="-4"/>
        </w:rPr>
        <w:t xml:space="preserve"> </w:t>
      </w:r>
      <w:r>
        <w:t>toward.</w:t>
      </w:r>
      <w:r>
        <w:rPr>
          <w:spacing w:val="-2"/>
        </w:rPr>
        <w:t xml:space="preserve"> </w:t>
      </w:r>
      <w:r>
        <w:t>For</w:t>
      </w:r>
      <w:r>
        <w:rPr>
          <w:spacing w:val="-2"/>
        </w:rPr>
        <w:t xml:space="preserve"> </w:t>
      </w:r>
      <w:r>
        <w:t>example:</w:t>
      </w:r>
      <w:r>
        <w:rPr>
          <w:spacing w:val="-3"/>
        </w:rPr>
        <w:t xml:space="preserve"> </w:t>
      </w:r>
      <w:r>
        <w:t>“If</w:t>
      </w:r>
      <w:r>
        <w:rPr>
          <w:spacing w:val="-4"/>
        </w:rPr>
        <w:t xml:space="preserve"> </w:t>
      </w:r>
      <w:r>
        <w:t>you</w:t>
      </w:r>
      <w:r>
        <w:rPr>
          <w:spacing w:val="-3"/>
        </w:rPr>
        <w:t xml:space="preserve"> </w:t>
      </w:r>
      <w:r>
        <w:t>decided</w:t>
      </w:r>
      <w:r>
        <w:rPr>
          <w:spacing w:val="-5"/>
        </w:rPr>
        <w:t xml:space="preserve"> </w:t>
      </w:r>
      <w:r>
        <w:t>to</w:t>
      </w:r>
      <w:r>
        <w:rPr>
          <w:spacing w:val="-1"/>
        </w:rPr>
        <w:t xml:space="preserve"> </w:t>
      </w:r>
      <w:r>
        <w:rPr>
          <w:i/>
        </w:rPr>
        <w:t>[describe</w:t>
      </w:r>
      <w:r>
        <w:rPr>
          <w:i/>
          <w:spacing w:val="-5"/>
        </w:rPr>
        <w:t xml:space="preserve"> </w:t>
      </w:r>
      <w:r>
        <w:rPr>
          <w:i/>
        </w:rPr>
        <w:t>the</w:t>
      </w:r>
      <w:r>
        <w:rPr>
          <w:i/>
          <w:spacing w:val="-2"/>
        </w:rPr>
        <w:t xml:space="preserve"> </w:t>
      </w:r>
      <w:r>
        <w:rPr>
          <w:i/>
        </w:rPr>
        <w:t xml:space="preserve">change in target behavior, such as quit smoking], </w:t>
      </w:r>
      <w:r>
        <w:t>how do you</w:t>
      </w:r>
      <w:r>
        <w:rPr>
          <w:spacing w:val="-2"/>
        </w:rPr>
        <w:t xml:space="preserve"> </w:t>
      </w:r>
      <w:r>
        <w:t>think your life would be different a month, a year, or 5 years from now?”</w:t>
      </w:r>
    </w:p>
    <w:p w14:paraId="4953788F" w14:textId="77777777" w:rsidR="00DB6E1F" w:rsidRDefault="00DB6E1F">
      <w:pPr>
        <w:rPr>
          <w:rFonts w:ascii="Symbol" w:hAnsi="Symbol"/>
        </w:rPr>
        <w:sectPr w:rsidR="00DB6E1F">
          <w:pgSz w:w="12240" w:h="15840"/>
          <w:pgMar w:top="1200" w:right="0" w:bottom="780" w:left="0" w:header="763" w:footer="585" w:gutter="0"/>
          <w:cols w:space="720"/>
        </w:sectPr>
      </w:pPr>
    </w:p>
    <w:p w14:paraId="2244EEA0" w14:textId="77777777" w:rsidR="00DB6E1F" w:rsidRDefault="00DB6E1F">
      <w:pPr>
        <w:pStyle w:val="BodyText"/>
        <w:spacing w:before="8"/>
        <w:rPr>
          <w:sz w:val="14"/>
        </w:rPr>
      </w:pPr>
    </w:p>
    <w:p w14:paraId="49834073" w14:textId="77777777" w:rsidR="00DB6E1F" w:rsidRDefault="00F666A6">
      <w:pPr>
        <w:pStyle w:val="BodyText"/>
        <w:spacing w:before="56"/>
        <w:ind w:left="1440" w:right="1491"/>
      </w:pPr>
      <w:r>
        <w:t>Reinforce</w:t>
      </w:r>
      <w:r>
        <w:rPr>
          <w:spacing w:val="-2"/>
        </w:rPr>
        <w:t xml:space="preserve"> </w:t>
      </w:r>
      <w:r>
        <w:t>change</w:t>
      </w:r>
      <w:r>
        <w:rPr>
          <w:spacing w:val="-5"/>
        </w:rPr>
        <w:t xml:space="preserve"> </w:t>
      </w:r>
      <w:r>
        <w:t>talk</w:t>
      </w:r>
      <w:r>
        <w:rPr>
          <w:spacing w:val="-2"/>
        </w:rPr>
        <w:t xml:space="preserve"> </w:t>
      </w:r>
      <w:r>
        <w:t>by</w:t>
      </w:r>
      <w:r>
        <w:rPr>
          <w:spacing w:val="-2"/>
        </w:rPr>
        <w:t xml:space="preserve"> </w:t>
      </w:r>
      <w:r>
        <w:t>reflecting</w:t>
      </w:r>
      <w:r>
        <w:rPr>
          <w:spacing w:val="-4"/>
        </w:rPr>
        <w:t xml:space="preserve"> </w:t>
      </w:r>
      <w:r>
        <w:t>it</w:t>
      </w:r>
      <w:r>
        <w:rPr>
          <w:spacing w:val="-2"/>
        </w:rPr>
        <w:t xml:space="preserve"> </w:t>
      </w:r>
      <w:r>
        <w:t>back</w:t>
      </w:r>
      <w:r>
        <w:rPr>
          <w:spacing w:val="-5"/>
        </w:rPr>
        <w:t xml:space="preserve"> </w:t>
      </w:r>
      <w:r>
        <w:t>verbally,</w:t>
      </w:r>
      <w:r>
        <w:rPr>
          <w:spacing w:val="-3"/>
        </w:rPr>
        <w:t xml:space="preserve"> </w:t>
      </w:r>
      <w:r>
        <w:t>nodding,</w:t>
      </w:r>
      <w:r>
        <w:rPr>
          <w:spacing w:val="-3"/>
        </w:rPr>
        <w:t xml:space="preserve"> </w:t>
      </w:r>
      <w:r>
        <w:t>or</w:t>
      </w:r>
      <w:r>
        <w:rPr>
          <w:spacing w:val="-3"/>
        </w:rPr>
        <w:t xml:space="preserve"> </w:t>
      </w:r>
      <w:r>
        <w:t>making</w:t>
      </w:r>
      <w:r>
        <w:rPr>
          <w:spacing w:val="-4"/>
        </w:rPr>
        <w:t xml:space="preserve"> </w:t>
      </w:r>
      <w:r>
        <w:t>approving</w:t>
      </w:r>
      <w:r>
        <w:rPr>
          <w:spacing w:val="-4"/>
        </w:rPr>
        <w:t xml:space="preserve"> </w:t>
      </w:r>
      <w:r>
        <w:t>facial</w:t>
      </w:r>
      <w:r>
        <w:rPr>
          <w:spacing w:val="-3"/>
        </w:rPr>
        <w:t xml:space="preserve"> </w:t>
      </w:r>
      <w:r>
        <w:t>expressions</w:t>
      </w:r>
      <w:r>
        <w:rPr>
          <w:spacing w:val="-3"/>
        </w:rPr>
        <w:t xml:space="preserve"> </w:t>
      </w:r>
      <w:r>
        <w:t>and affirming statements. Encourage the client to continue exploring the possibility of change by asking for elaboration, explicit examples, or details about remaining concerns. Questions that begin with “What else” effectively invite elaboration.</w:t>
      </w:r>
    </w:p>
    <w:p w14:paraId="4B4C4AD4" w14:textId="77777777" w:rsidR="00DB6E1F" w:rsidRDefault="00F666A6">
      <w:pPr>
        <w:spacing w:before="159"/>
        <w:ind w:left="1438" w:right="1491" w:firstLine="1"/>
      </w:pPr>
      <w:r>
        <w:rPr>
          <w:b/>
        </w:rPr>
        <w:t>Your tas</w:t>
      </w:r>
      <w:r>
        <w:rPr>
          <w:b/>
        </w:rPr>
        <w:t xml:space="preserve">k is to evoke change talk and selectively reinforce it via reflective listening. </w:t>
      </w:r>
      <w:r>
        <w:t>The amount of change</w:t>
      </w:r>
      <w:r>
        <w:rPr>
          <w:spacing w:val="-2"/>
        </w:rPr>
        <w:t xml:space="preserve"> </w:t>
      </w:r>
      <w:r>
        <w:t>talk</w:t>
      </w:r>
      <w:r>
        <w:rPr>
          <w:spacing w:val="-4"/>
        </w:rPr>
        <w:t xml:space="preserve"> </w:t>
      </w:r>
      <w:r>
        <w:t>versus</w:t>
      </w:r>
      <w:r>
        <w:rPr>
          <w:spacing w:val="-3"/>
        </w:rPr>
        <w:t xml:space="preserve"> </w:t>
      </w:r>
      <w:r>
        <w:t>sustain</w:t>
      </w:r>
      <w:r>
        <w:rPr>
          <w:spacing w:val="-5"/>
        </w:rPr>
        <w:t xml:space="preserve"> </w:t>
      </w:r>
      <w:r>
        <w:t>talk</w:t>
      </w:r>
      <w:r>
        <w:rPr>
          <w:spacing w:val="-2"/>
        </w:rPr>
        <w:t xml:space="preserve"> </w:t>
      </w:r>
      <w:r>
        <w:t>is</w:t>
      </w:r>
      <w:r>
        <w:rPr>
          <w:spacing w:val="-3"/>
        </w:rPr>
        <w:t xml:space="preserve"> </w:t>
      </w:r>
      <w:r>
        <w:t>linked</w:t>
      </w:r>
      <w:r>
        <w:rPr>
          <w:spacing w:val="-4"/>
        </w:rPr>
        <w:t xml:space="preserve"> </w:t>
      </w:r>
      <w:r>
        <w:t>to</w:t>
      </w:r>
      <w:r>
        <w:rPr>
          <w:spacing w:val="-2"/>
        </w:rPr>
        <w:t xml:space="preserve"> </w:t>
      </w:r>
      <w:r>
        <w:t>client</w:t>
      </w:r>
      <w:r>
        <w:rPr>
          <w:spacing w:val="-2"/>
        </w:rPr>
        <w:t xml:space="preserve"> </w:t>
      </w:r>
      <w:r>
        <w:t>behavior</w:t>
      </w:r>
      <w:r>
        <w:rPr>
          <w:spacing w:val="-3"/>
        </w:rPr>
        <w:t xml:space="preserve"> </w:t>
      </w:r>
      <w:r>
        <w:t>change</w:t>
      </w:r>
      <w:r>
        <w:rPr>
          <w:spacing w:val="-4"/>
        </w:rPr>
        <w:t xml:space="preserve"> </w:t>
      </w:r>
      <w:r>
        <w:t>and</w:t>
      </w:r>
      <w:r>
        <w:rPr>
          <w:spacing w:val="-4"/>
        </w:rPr>
        <w:t xml:space="preserve"> </w:t>
      </w:r>
      <w:r>
        <w:t>positive</w:t>
      </w:r>
      <w:r>
        <w:rPr>
          <w:spacing w:val="-4"/>
        </w:rPr>
        <w:t xml:space="preserve"> </w:t>
      </w:r>
      <w:r>
        <w:t>substance</w:t>
      </w:r>
      <w:r>
        <w:rPr>
          <w:spacing w:val="-2"/>
        </w:rPr>
        <w:t xml:space="preserve"> </w:t>
      </w:r>
      <w:r>
        <w:t>use</w:t>
      </w:r>
      <w:r>
        <w:rPr>
          <w:spacing w:val="-4"/>
        </w:rPr>
        <w:t xml:space="preserve"> </w:t>
      </w:r>
      <w:r>
        <w:t>outcomes (Houck et al., 2018; Lindqvist et al., 2017; Magill et al</w:t>
      </w:r>
      <w:r>
        <w:t>., 2014).</w:t>
      </w:r>
    </w:p>
    <w:p w14:paraId="48DF72B1" w14:textId="77777777" w:rsidR="00DB6E1F" w:rsidRDefault="00DB6E1F">
      <w:pPr>
        <w:pStyle w:val="BodyText"/>
        <w:spacing w:before="7"/>
        <w:rPr>
          <w:sz w:val="16"/>
        </w:rPr>
      </w:pPr>
    </w:p>
    <w:p w14:paraId="3F3FDBAC" w14:textId="77777777" w:rsidR="00DB6E1F" w:rsidRDefault="00F666A6">
      <w:pPr>
        <w:pStyle w:val="Heading4"/>
        <w:spacing w:before="1"/>
      </w:pPr>
      <w:bookmarkStart w:id="111" w:name="Responding_to_change_talk_and_sustain_ta"/>
      <w:bookmarkEnd w:id="111"/>
      <w:r>
        <w:t>Responding</w:t>
      </w:r>
      <w:r>
        <w:rPr>
          <w:spacing w:val="-6"/>
        </w:rPr>
        <w:t xml:space="preserve"> </w:t>
      </w:r>
      <w:r>
        <w:t>to</w:t>
      </w:r>
      <w:r>
        <w:rPr>
          <w:spacing w:val="-6"/>
        </w:rPr>
        <w:t xml:space="preserve"> </w:t>
      </w:r>
      <w:r>
        <w:t>change</w:t>
      </w:r>
      <w:r>
        <w:rPr>
          <w:spacing w:val="-5"/>
        </w:rPr>
        <w:t xml:space="preserve"> </w:t>
      </w:r>
      <w:r>
        <w:t>talk</w:t>
      </w:r>
      <w:r>
        <w:rPr>
          <w:spacing w:val="-8"/>
        </w:rPr>
        <w:t xml:space="preserve"> </w:t>
      </w:r>
      <w:r>
        <w:t>and</w:t>
      </w:r>
      <w:r>
        <w:rPr>
          <w:spacing w:val="-6"/>
        </w:rPr>
        <w:t xml:space="preserve"> </w:t>
      </w:r>
      <w:r>
        <w:t>sustain</w:t>
      </w:r>
      <w:r>
        <w:rPr>
          <w:spacing w:val="-5"/>
        </w:rPr>
        <w:t xml:space="preserve"> </w:t>
      </w:r>
      <w:r>
        <w:rPr>
          <w:spacing w:val="-4"/>
        </w:rPr>
        <w:t>talk</w:t>
      </w:r>
    </w:p>
    <w:p w14:paraId="0FDB3A7E" w14:textId="77777777" w:rsidR="00DB6E1F" w:rsidRDefault="00F666A6">
      <w:pPr>
        <w:spacing w:before="83"/>
        <w:ind w:left="1439" w:right="1491"/>
      </w:pPr>
      <w:r>
        <w:rPr>
          <w:b/>
        </w:rPr>
        <w:t xml:space="preserve">Your focus should be on evoking change talk and minimizing sustain talk. </w:t>
      </w:r>
      <w:r>
        <w:t>Sustain talk expresses the side</w:t>
      </w:r>
      <w:r>
        <w:rPr>
          <w:spacing w:val="-1"/>
        </w:rPr>
        <w:t xml:space="preserve"> </w:t>
      </w:r>
      <w:r>
        <w:t>of</w:t>
      </w:r>
      <w:r>
        <w:rPr>
          <w:spacing w:val="-4"/>
        </w:rPr>
        <w:t xml:space="preserve"> </w:t>
      </w:r>
      <w:r>
        <w:t>ambivalence</w:t>
      </w:r>
      <w:r>
        <w:rPr>
          <w:spacing w:val="-1"/>
        </w:rPr>
        <w:t xml:space="preserve"> </w:t>
      </w:r>
      <w:r>
        <w:t>that</w:t>
      </w:r>
      <w:r>
        <w:rPr>
          <w:spacing w:val="-4"/>
        </w:rPr>
        <w:t xml:space="preserve"> </w:t>
      </w:r>
      <w:r>
        <w:t>favors</w:t>
      </w:r>
      <w:r>
        <w:rPr>
          <w:spacing w:val="-4"/>
        </w:rPr>
        <w:t xml:space="preserve"> </w:t>
      </w:r>
      <w:r>
        <w:t>continuing</w:t>
      </w:r>
      <w:r>
        <w:rPr>
          <w:spacing w:val="-3"/>
        </w:rPr>
        <w:t xml:space="preserve"> </w:t>
      </w:r>
      <w:r>
        <w:t>one’s</w:t>
      </w:r>
      <w:r>
        <w:rPr>
          <w:spacing w:val="-4"/>
        </w:rPr>
        <w:t xml:space="preserve"> </w:t>
      </w:r>
      <w:r>
        <w:t>pattern</w:t>
      </w:r>
      <w:r>
        <w:rPr>
          <w:spacing w:val="-3"/>
        </w:rPr>
        <w:t xml:space="preserve"> </w:t>
      </w:r>
      <w:r>
        <w:t>of</w:t>
      </w:r>
      <w:r>
        <w:rPr>
          <w:spacing w:val="-2"/>
        </w:rPr>
        <w:t xml:space="preserve"> </w:t>
      </w:r>
      <w:r>
        <w:t>substance</w:t>
      </w:r>
      <w:r>
        <w:rPr>
          <w:spacing w:val="-1"/>
        </w:rPr>
        <w:t xml:space="preserve"> </w:t>
      </w:r>
      <w:r>
        <w:t>use.</w:t>
      </w:r>
      <w:r>
        <w:rPr>
          <w:spacing w:val="-2"/>
        </w:rPr>
        <w:t xml:space="preserve"> </w:t>
      </w:r>
      <w:r>
        <w:t>Don’t</w:t>
      </w:r>
      <w:r>
        <w:rPr>
          <w:spacing w:val="-4"/>
        </w:rPr>
        <w:t xml:space="preserve"> </w:t>
      </w:r>
      <w:r>
        <w:t>argue</w:t>
      </w:r>
      <w:r>
        <w:rPr>
          <w:spacing w:val="-1"/>
        </w:rPr>
        <w:t xml:space="preserve"> </w:t>
      </w:r>
      <w:r>
        <w:t>with</w:t>
      </w:r>
      <w:r>
        <w:rPr>
          <w:spacing w:val="-5"/>
        </w:rPr>
        <w:t xml:space="preserve"> </w:t>
      </w:r>
      <w:r>
        <w:t>the</w:t>
      </w:r>
      <w:r>
        <w:rPr>
          <w:spacing w:val="-1"/>
        </w:rPr>
        <w:t xml:space="preserve"> </w:t>
      </w:r>
      <w:r>
        <w:t>client’s sustain talk, and don’t try to persuade the client to take the change side of ambivalence.</w:t>
      </w:r>
    </w:p>
    <w:p w14:paraId="685FA18D" w14:textId="77777777" w:rsidR="00DB6E1F" w:rsidRDefault="00F666A6">
      <w:pPr>
        <w:pStyle w:val="Heading5"/>
        <w:ind w:left="1439" w:right="1491"/>
        <w:rPr>
          <w:b w:val="0"/>
        </w:rPr>
      </w:pPr>
      <w:r>
        <w:t>There</w:t>
      </w:r>
      <w:r>
        <w:rPr>
          <w:spacing w:val="-2"/>
        </w:rPr>
        <w:t xml:space="preserve"> </w:t>
      </w:r>
      <w:r>
        <w:t>are</w:t>
      </w:r>
      <w:r>
        <w:rPr>
          <w:spacing w:val="-4"/>
        </w:rPr>
        <w:t xml:space="preserve"> </w:t>
      </w:r>
      <w:r>
        <w:t>many</w:t>
      </w:r>
      <w:r>
        <w:rPr>
          <w:spacing w:val="-2"/>
        </w:rPr>
        <w:t xml:space="preserve"> </w:t>
      </w:r>
      <w:r>
        <w:t>ways</w:t>
      </w:r>
      <w:r>
        <w:rPr>
          <w:spacing w:val="-3"/>
        </w:rPr>
        <w:t xml:space="preserve"> </w:t>
      </w:r>
      <w:r>
        <w:t>to</w:t>
      </w:r>
      <w:r>
        <w:rPr>
          <w:spacing w:val="-2"/>
        </w:rPr>
        <w:t xml:space="preserve"> </w:t>
      </w:r>
      <w:r>
        <w:t>respond</w:t>
      </w:r>
      <w:r>
        <w:rPr>
          <w:spacing w:val="-2"/>
        </w:rPr>
        <w:t xml:space="preserve"> </w:t>
      </w:r>
      <w:r>
        <w:t>to</w:t>
      </w:r>
      <w:r>
        <w:rPr>
          <w:spacing w:val="-2"/>
        </w:rPr>
        <w:t xml:space="preserve"> </w:t>
      </w:r>
      <w:r>
        <w:t>sustain</w:t>
      </w:r>
      <w:r>
        <w:rPr>
          <w:spacing w:val="-2"/>
        </w:rPr>
        <w:t xml:space="preserve"> </w:t>
      </w:r>
      <w:r>
        <w:t>talk</w:t>
      </w:r>
      <w:r>
        <w:rPr>
          <w:spacing w:val="-1"/>
        </w:rPr>
        <w:t xml:space="preserve"> </w:t>
      </w:r>
      <w:r>
        <w:t>that</w:t>
      </w:r>
      <w:r>
        <w:rPr>
          <w:spacing w:val="-3"/>
        </w:rPr>
        <w:t xml:space="preserve"> </w:t>
      </w:r>
      <w:r>
        <w:t>acknowledge</w:t>
      </w:r>
      <w:r>
        <w:rPr>
          <w:spacing w:val="-4"/>
        </w:rPr>
        <w:t xml:space="preserve"> </w:t>
      </w:r>
      <w:r>
        <w:t>it</w:t>
      </w:r>
      <w:r>
        <w:rPr>
          <w:spacing w:val="-3"/>
        </w:rPr>
        <w:t xml:space="preserve"> </w:t>
      </w:r>
      <w:r>
        <w:t>without</w:t>
      </w:r>
      <w:r>
        <w:rPr>
          <w:spacing w:val="-1"/>
        </w:rPr>
        <w:t xml:space="preserve"> </w:t>
      </w:r>
      <w:r>
        <w:t>getting</w:t>
      </w:r>
      <w:r>
        <w:rPr>
          <w:spacing w:val="-2"/>
        </w:rPr>
        <w:t xml:space="preserve"> </w:t>
      </w:r>
      <w:r>
        <w:t>stuck</w:t>
      </w:r>
      <w:r>
        <w:rPr>
          <w:spacing w:val="-1"/>
        </w:rPr>
        <w:t xml:space="preserve"> </w:t>
      </w:r>
      <w:r>
        <w:t>in</w:t>
      </w:r>
      <w:r>
        <w:rPr>
          <w:spacing w:val="-4"/>
        </w:rPr>
        <w:t xml:space="preserve"> </w:t>
      </w:r>
      <w:r>
        <w:t xml:space="preserve">it. You can use </w:t>
      </w:r>
      <w:r>
        <w:rPr>
          <w:b w:val="0"/>
        </w:rPr>
        <w:t>(Miller &amp; Rollnick, 2013):</w:t>
      </w:r>
    </w:p>
    <w:p w14:paraId="37C59DC0" w14:textId="77777777" w:rsidR="00DB6E1F" w:rsidRDefault="00F666A6">
      <w:pPr>
        <w:pStyle w:val="ListParagraph"/>
        <w:numPr>
          <w:ilvl w:val="0"/>
          <w:numId w:val="92"/>
        </w:numPr>
        <w:tabs>
          <w:tab w:val="left" w:pos="1799"/>
          <w:tab w:val="left" w:pos="1800"/>
        </w:tabs>
        <w:ind w:left="1799" w:right="1646" w:hanging="360"/>
        <w:rPr>
          <w:rFonts w:ascii="Symbol" w:hAnsi="Symbol"/>
        </w:rPr>
      </w:pPr>
      <w:r>
        <w:rPr>
          <w:b/>
        </w:rPr>
        <w:t xml:space="preserve">Simple reflections. </w:t>
      </w:r>
      <w:r>
        <w:t>A</w:t>
      </w:r>
      <w:r>
        <w:t>cknowledge sustain talk with a simple reflective listening response. This validates</w:t>
      </w:r>
      <w:r>
        <w:rPr>
          <w:spacing w:val="-4"/>
        </w:rPr>
        <w:t xml:space="preserve"> </w:t>
      </w:r>
      <w:r>
        <w:t>what</w:t>
      </w:r>
      <w:r>
        <w:rPr>
          <w:spacing w:val="-4"/>
        </w:rPr>
        <w:t xml:space="preserve"> </w:t>
      </w:r>
      <w:r>
        <w:t>the</w:t>
      </w:r>
      <w:r>
        <w:rPr>
          <w:spacing w:val="-4"/>
        </w:rPr>
        <w:t xml:space="preserve"> </w:t>
      </w:r>
      <w:r>
        <w:t>client</w:t>
      </w:r>
      <w:r>
        <w:rPr>
          <w:spacing w:val="-2"/>
        </w:rPr>
        <w:t xml:space="preserve"> </w:t>
      </w:r>
      <w:r>
        <w:t>has</w:t>
      </w:r>
      <w:r>
        <w:rPr>
          <w:spacing w:val="-2"/>
        </w:rPr>
        <w:t xml:space="preserve"> </w:t>
      </w:r>
      <w:r>
        <w:t>said</w:t>
      </w:r>
      <w:r>
        <w:rPr>
          <w:spacing w:val="-3"/>
        </w:rPr>
        <w:t xml:space="preserve"> </w:t>
      </w:r>
      <w:r>
        <w:t>and sometimes</w:t>
      </w:r>
      <w:r>
        <w:rPr>
          <w:spacing w:val="-4"/>
        </w:rPr>
        <w:t xml:space="preserve"> </w:t>
      </w:r>
      <w:r>
        <w:t>elicits</w:t>
      </w:r>
      <w:r>
        <w:rPr>
          <w:spacing w:val="-2"/>
        </w:rPr>
        <w:t xml:space="preserve"> </w:t>
      </w:r>
      <w:r>
        <w:t>change</w:t>
      </w:r>
      <w:r>
        <w:rPr>
          <w:spacing w:val="-4"/>
        </w:rPr>
        <w:t xml:space="preserve"> </w:t>
      </w:r>
      <w:r>
        <w:t>talk.</w:t>
      </w:r>
      <w:r>
        <w:rPr>
          <w:spacing w:val="-2"/>
        </w:rPr>
        <w:t xml:space="preserve"> </w:t>
      </w:r>
      <w:r>
        <w:t>Give</w:t>
      </w:r>
      <w:r>
        <w:rPr>
          <w:spacing w:val="-4"/>
        </w:rPr>
        <w:t xml:space="preserve"> </w:t>
      </w:r>
      <w:r>
        <w:t>the</w:t>
      </w:r>
      <w:r>
        <w:rPr>
          <w:spacing w:val="-1"/>
        </w:rPr>
        <w:t xml:space="preserve"> </w:t>
      </w:r>
      <w:r>
        <w:t>client</w:t>
      </w:r>
      <w:r>
        <w:rPr>
          <w:spacing w:val="-1"/>
        </w:rPr>
        <w:t xml:space="preserve"> </w:t>
      </w:r>
      <w:r>
        <w:t>an</w:t>
      </w:r>
      <w:r>
        <w:rPr>
          <w:spacing w:val="-3"/>
        </w:rPr>
        <w:t xml:space="preserve"> </w:t>
      </w:r>
      <w:r>
        <w:t>opportunity to respond before moving on.</w:t>
      </w:r>
    </w:p>
    <w:p w14:paraId="3341AE6F" w14:textId="77777777" w:rsidR="00DB6E1F" w:rsidRDefault="00F666A6">
      <w:pPr>
        <w:pStyle w:val="ListParagraph"/>
        <w:numPr>
          <w:ilvl w:val="1"/>
          <w:numId w:val="92"/>
        </w:numPr>
        <w:tabs>
          <w:tab w:val="left" w:pos="2158"/>
          <w:tab w:val="left" w:pos="2159"/>
        </w:tabs>
        <w:spacing w:before="61"/>
        <w:ind w:left="2158"/>
      </w:pPr>
      <w:r>
        <w:rPr>
          <w:b/>
        </w:rPr>
        <w:t>Client:</w:t>
      </w:r>
      <w:r>
        <w:rPr>
          <w:b/>
          <w:spacing w:val="-4"/>
        </w:rPr>
        <w:t xml:space="preserve"> </w:t>
      </w:r>
      <w:r>
        <w:t>I</w:t>
      </w:r>
      <w:r>
        <w:rPr>
          <w:spacing w:val="-3"/>
        </w:rPr>
        <w:t xml:space="preserve"> </w:t>
      </w:r>
      <w:r>
        <w:t>don’t</w:t>
      </w:r>
      <w:r>
        <w:rPr>
          <w:spacing w:val="-5"/>
        </w:rPr>
        <w:t xml:space="preserve"> </w:t>
      </w:r>
      <w:r>
        <w:t>plan</w:t>
      </w:r>
      <w:r>
        <w:rPr>
          <w:spacing w:val="-4"/>
        </w:rPr>
        <w:t xml:space="preserve"> </w:t>
      </w:r>
      <w:r>
        <w:t>to</w:t>
      </w:r>
      <w:r>
        <w:rPr>
          <w:spacing w:val="-4"/>
        </w:rPr>
        <w:t xml:space="preserve"> </w:t>
      </w:r>
      <w:r>
        <w:t>quit</w:t>
      </w:r>
      <w:r>
        <w:rPr>
          <w:spacing w:val="-5"/>
        </w:rPr>
        <w:t xml:space="preserve"> </w:t>
      </w:r>
      <w:r>
        <w:t>drinking</w:t>
      </w:r>
      <w:r>
        <w:rPr>
          <w:spacing w:val="-4"/>
        </w:rPr>
        <w:t xml:space="preserve"> </w:t>
      </w:r>
      <w:r>
        <w:t>anytime</w:t>
      </w:r>
      <w:r>
        <w:rPr>
          <w:spacing w:val="-1"/>
        </w:rPr>
        <w:t xml:space="preserve"> </w:t>
      </w:r>
      <w:r>
        <w:rPr>
          <w:spacing w:val="-4"/>
        </w:rPr>
        <w:t>soon.</w:t>
      </w:r>
    </w:p>
    <w:p w14:paraId="79CDB070" w14:textId="77777777" w:rsidR="00DB6E1F" w:rsidRDefault="00F666A6">
      <w:pPr>
        <w:pStyle w:val="ListParagraph"/>
        <w:numPr>
          <w:ilvl w:val="1"/>
          <w:numId w:val="92"/>
        </w:numPr>
        <w:tabs>
          <w:tab w:val="left" w:pos="2158"/>
          <w:tab w:val="left" w:pos="2159"/>
        </w:tabs>
        <w:ind w:left="2158"/>
      </w:pPr>
      <w:r>
        <w:rPr>
          <w:b/>
        </w:rPr>
        <w:t>Counselor:</w:t>
      </w:r>
      <w:r>
        <w:rPr>
          <w:b/>
          <w:spacing w:val="-6"/>
        </w:rPr>
        <w:t xml:space="preserve"> </w:t>
      </w:r>
      <w:r>
        <w:t>You</w:t>
      </w:r>
      <w:r>
        <w:rPr>
          <w:spacing w:val="-4"/>
        </w:rPr>
        <w:t xml:space="preserve"> </w:t>
      </w:r>
      <w:r>
        <w:t>don’t</w:t>
      </w:r>
      <w:r>
        <w:rPr>
          <w:spacing w:val="-2"/>
        </w:rPr>
        <w:t xml:space="preserve"> </w:t>
      </w:r>
      <w:r>
        <w:t>think</w:t>
      </w:r>
      <w:r>
        <w:rPr>
          <w:spacing w:val="-5"/>
        </w:rPr>
        <w:t xml:space="preserve"> </w:t>
      </w:r>
      <w:r>
        <w:t>that</w:t>
      </w:r>
      <w:r>
        <w:rPr>
          <w:spacing w:val="-2"/>
        </w:rPr>
        <w:t xml:space="preserve"> </w:t>
      </w:r>
      <w:r>
        <w:t>abstinence</w:t>
      </w:r>
      <w:r>
        <w:rPr>
          <w:spacing w:val="-4"/>
        </w:rPr>
        <w:t xml:space="preserve"> </w:t>
      </w:r>
      <w:r>
        <w:t>would</w:t>
      </w:r>
      <w:r>
        <w:rPr>
          <w:spacing w:val="-6"/>
        </w:rPr>
        <w:t xml:space="preserve"> </w:t>
      </w:r>
      <w:r>
        <w:t>work</w:t>
      </w:r>
      <w:r>
        <w:rPr>
          <w:spacing w:val="-2"/>
        </w:rPr>
        <w:t xml:space="preserve"> </w:t>
      </w:r>
      <w:r>
        <w:t>for</w:t>
      </w:r>
      <w:r>
        <w:rPr>
          <w:spacing w:val="-5"/>
        </w:rPr>
        <w:t xml:space="preserve"> </w:t>
      </w:r>
      <w:r>
        <w:t>you</w:t>
      </w:r>
      <w:r>
        <w:rPr>
          <w:spacing w:val="-3"/>
        </w:rPr>
        <w:t xml:space="preserve"> </w:t>
      </w:r>
      <w:r>
        <w:t>right</w:t>
      </w:r>
      <w:r>
        <w:rPr>
          <w:spacing w:val="-2"/>
        </w:rPr>
        <w:t xml:space="preserve"> </w:t>
      </w:r>
      <w:r>
        <w:rPr>
          <w:spacing w:val="-4"/>
        </w:rPr>
        <w:t>now.</w:t>
      </w:r>
    </w:p>
    <w:p w14:paraId="62F6A9E7" w14:textId="77777777" w:rsidR="00DB6E1F" w:rsidRDefault="00F666A6">
      <w:pPr>
        <w:pStyle w:val="ListParagraph"/>
        <w:numPr>
          <w:ilvl w:val="0"/>
          <w:numId w:val="92"/>
        </w:numPr>
        <w:tabs>
          <w:tab w:val="left" w:pos="1799"/>
          <w:tab w:val="left" w:pos="1800"/>
        </w:tabs>
        <w:spacing w:before="58"/>
        <w:ind w:left="1798" w:right="1514" w:hanging="360"/>
        <w:rPr>
          <w:rFonts w:ascii="Symbol" w:hAnsi="Symbol"/>
        </w:rPr>
      </w:pPr>
      <w:r>
        <w:rPr>
          <w:b/>
        </w:rPr>
        <w:t xml:space="preserve">Amplified reflections. </w:t>
      </w:r>
      <w:r>
        <w:t>Accurately reflect the client’s statement but with emphasis (and without sarcasm).</w:t>
      </w:r>
      <w:r>
        <w:rPr>
          <w:spacing w:val="-2"/>
        </w:rPr>
        <w:t xml:space="preserve"> </w:t>
      </w:r>
      <w:r>
        <w:t>An</w:t>
      </w:r>
      <w:r>
        <w:rPr>
          <w:spacing w:val="-3"/>
        </w:rPr>
        <w:t xml:space="preserve"> </w:t>
      </w:r>
      <w:r>
        <w:t>amplified</w:t>
      </w:r>
      <w:r>
        <w:rPr>
          <w:spacing w:val="-3"/>
        </w:rPr>
        <w:t xml:space="preserve"> </w:t>
      </w:r>
      <w:r>
        <w:t>reflection</w:t>
      </w:r>
      <w:r>
        <w:rPr>
          <w:spacing w:val="-3"/>
        </w:rPr>
        <w:t xml:space="preserve"> </w:t>
      </w:r>
      <w:r>
        <w:t>overstates</w:t>
      </w:r>
      <w:r>
        <w:rPr>
          <w:spacing w:val="-2"/>
        </w:rPr>
        <w:t xml:space="preserve"> </w:t>
      </w:r>
      <w:r>
        <w:t>the</w:t>
      </w:r>
      <w:r>
        <w:rPr>
          <w:spacing w:val="-4"/>
        </w:rPr>
        <w:t xml:space="preserve"> </w:t>
      </w:r>
      <w:r>
        <w:t>client’s</w:t>
      </w:r>
      <w:r>
        <w:rPr>
          <w:spacing w:val="-2"/>
        </w:rPr>
        <w:t xml:space="preserve"> </w:t>
      </w:r>
      <w:r>
        <w:t>point</w:t>
      </w:r>
      <w:r>
        <w:rPr>
          <w:spacing w:val="-4"/>
        </w:rPr>
        <w:t xml:space="preserve"> </w:t>
      </w:r>
      <w:r>
        <w:t>of</w:t>
      </w:r>
      <w:r>
        <w:rPr>
          <w:spacing w:val="-4"/>
        </w:rPr>
        <w:t xml:space="preserve"> </w:t>
      </w:r>
      <w:r>
        <w:t>view,</w:t>
      </w:r>
      <w:r>
        <w:rPr>
          <w:spacing w:val="-4"/>
        </w:rPr>
        <w:t xml:space="preserve"> </w:t>
      </w:r>
      <w:r>
        <w:t>which</w:t>
      </w:r>
      <w:r>
        <w:rPr>
          <w:spacing w:val="-3"/>
        </w:rPr>
        <w:t xml:space="preserve"> </w:t>
      </w:r>
      <w:r>
        <w:t>ca</w:t>
      </w:r>
      <w:r>
        <w:t>n</w:t>
      </w:r>
      <w:r>
        <w:rPr>
          <w:spacing w:val="-5"/>
        </w:rPr>
        <w:t xml:space="preserve"> </w:t>
      </w:r>
      <w:r>
        <w:t>nudge</w:t>
      </w:r>
      <w:r>
        <w:rPr>
          <w:spacing w:val="-1"/>
        </w:rPr>
        <w:t xml:space="preserve"> </w:t>
      </w:r>
      <w:r>
        <w:t>the</w:t>
      </w:r>
      <w:r>
        <w:rPr>
          <w:spacing w:val="-1"/>
        </w:rPr>
        <w:t xml:space="preserve"> </w:t>
      </w:r>
      <w:r>
        <w:t>client</w:t>
      </w:r>
      <w:r>
        <w:rPr>
          <w:spacing w:val="-4"/>
        </w:rPr>
        <w:t xml:space="preserve"> </w:t>
      </w:r>
      <w:r>
        <w:t>to take the other side of ambivalence (i.e., change talk).</w:t>
      </w:r>
    </w:p>
    <w:p w14:paraId="2BE0EE71" w14:textId="77777777" w:rsidR="00DB6E1F" w:rsidRDefault="00F666A6">
      <w:pPr>
        <w:pStyle w:val="ListParagraph"/>
        <w:numPr>
          <w:ilvl w:val="1"/>
          <w:numId w:val="92"/>
        </w:numPr>
        <w:tabs>
          <w:tab w:val="left" w:pos="2158"/>
          <w:tab w:val="left" w:pos="2159"/>
        </w:tabs>
        <w:spacing w:before="61"/>
        <w:ind w:left="2158" w:hanging="361"/>
      </w:pPr>
      <w:r>
        <w:rPr>
          <w:b/>
        </w:rPr>
        <w:t>Client:</w:t>
      </w:r>
      <w:r>
        <w:rPr>
          <w:b/>
          <w:spacing w:val="-5"/>
        </w:rPr>
        <w:t xml:space="preserve"> </w:t>
      </w:r>
      <w:r>
        <w:t>But</w:t>
      </w:r>
      <w:r>
        <w:rPr>
          <w:spacing w:val="-2"/>
        </w:rPr>
        <w:t xml:space="preserve"> </w:t>
      </w:r>
      <w:r>
        <w:t>I</w:t>
      </w:r>
      <w:r>
        <w:rPr>
          <w:spacing w:val="-3"/>
        </w:rPr>
        <w:t xml:space="preserve"> </w:t>
      </w:r>
      <w:r>
        <w:t>can’t</w:t>
      </w:r>
      <w:r>
        <w:rPr>
          <w:spacing w:val="-2"/>
        </w:rPr>
        <w:t xml:space="preserve"> </w:t>
      </w:r>
      <w:r>
        <w:t>quit</w:t>
      </w:r>
      <w:r>
        <w:rPr>
          <w:spacing w:val="-2"/>
        </w:rPr>
        <w:t xml:space="preserve"> </w:t>
      </w:r>
      <w:r>
        <w:t>smoking</w:t>
      </w:r>
      <w:r>
        <w:rPr>
          <w:spacing w:val="-4"/>
        </w:rPr>
        <w:t xml:space="preserve"> </w:t>
      </w:r>
      <w:r>
        <w:t>pot.</w:t>
      </w:r>
      <w:r>
        <w:rPr>
          <w:spacing w:val="-3"/>
        </w:rPr>
        <w:t xml:space="preserve"> </w:t>
      </w:r>
      <w:r>
        <w:t>All</w:t>
      </w:r>
      <w:r>
        <w:rPr>
          <w:spacing w:val="-6"/>
        </w:rPr>
        <w:t xml:space="preserve"> </w:t>
      </w:r>
      <w:r>
        <w:t>my</w:t>
      </w:r>
      <w:r>
        <w:rPr>
          <w:spacing w:val="-3"/>
        </w:rPr>
        <w:t xml:space="preserve"> </w:t>
      </w:r>
      <w:r>
        <w:t>friends</w:t>
      </w:r>
      <w:r>
        <w:rPr>
          <w:spacing w:val="-4"/>
        </w:rPr>
        <w:t xml:space="preserve"> </w:t>
      </w:r>
      <w:r>
        <w:t>smoke</w:t>
      </w:r>
      <w:r>
        <w:rPr>
          <w:spacing w:val="-5"/>
        </w:rPr>
        <w:t xml:space="preserve"> </w:t>
      </w:r>
      <w:r>
        <w:rPr>
          <w:spacing w:val="-4"/>
        </w:rPr>
        <w:t>pot.</w:t>
      </w:r>
    </w:p>
    <w:p w14:paraId="6F2831A0" w14:textId="77777777" w:rsidR="00DB6E1F" w:rsidRDefault="00F666A6">
      <w:pPr>
        <w:pStyle w:val="ListParagraph"/>
        <w:numPr>
          <w:ilvl w:val="1"/>
          <w:numId w:val="92"/>
        </w:numPr>
        <w:tabs>
          <w:tab w:val="left" w:pos="2158"/>
          <w:tab w:val="left" w:pos="2159"/>
        </w:tabs>
        <w:ind w:left="2158" w:hanging="361"/>
      </w:pPr>
      <w:r>
        <w:rPr>
          <w:b/>
        </w:rPr>
        <w:t>Counselor:</w:t>
      </w:r>
      <w:r>
        <w:rPr>
          <w:b/>
          <w:spacing w:val="-7"/>
        </w:rPr>
        <w:t xml:space="preserve"> </w:t>
      </w:r>
      <w:r>
        <w:t>So</w:t>
      </w:r>
      <w:r>
        <w:rPr>
          <w:spacing w:val="-4"/>
        </w:rPr>
        <w:t xml:space="preserve"> </w:t>
      </w:r>
      <w:r>
        <w:t>you</w:t>
      </w:r>
      <w:r>
        <w:rPr>
          <w:spacing w:val="-5"/>
        </w:rPr>
        <w:t xml:space="preserve"> </w:t>
      </w:r>
      <w:r>
        <w:t>really</w:t>
      </w:r>
      <w:r>
        <w:rPr>
          <w:spacing w:val="-2"/>
        </w:rPr>
        <w:t xml:space="preserve"> </w:t>
      </w:r>
      <w:r>
        <w:t>can’t</w:t>
      </w:r>
      <w:r>
        <w:rPr>
          <w:spacing w:val="-3"/>
        </w:rPr>
        <w:t xml:space="preserve"> </w:t>
      </w:r>
      <w:r>
        <w:t>quit</w:t>
      </w:r>
      <w:r>
        <w:rPr>
          <w:spacing w:val="-2"/>
        </w:rPr>
        <w:t xml:space="preserve"> </w:t>
      </w:r>
      <w:r>
        <w:t>because</w:t>
      </w:r>
      <w:r>
        <w:rPr>
          <w:spacing w:val="-2"/>
        </w:rPr>
        <w:t xml:space="preserve"> </w:t>
      </w:r>
      <w:r>
        <w:t>you’d</w:t>
      </w:r>
      <w:r>
        <w:rPr>
          <w:spacing w:val="-5"/>
        </w:rPr>
        <w:t xml:space="preserve"> </w:t>
      </w:r>
      <w:r>
        <w:t>be</w:t>
      </w:r>
      <w:r>
        <w:rPr>
          <w:spacing w:val="-5"/>
        </w:rPr>
        <w:t xml:space="preserve"> </w:t>
      </w:r>
      <w:r>
        <w:t>too</w:t>
      </w:r>
      <w:r>
        <w:rPr>
          <w:spacing w:val="-4"/>
        </w:rPr>
        <w:t xml:space="preserve"> </w:t>
      </w:r>
      <w:r>
        <w:t>different</w:t>
      </w:r>
      <w:r>
        <w:rPr>
          <w:spacing w:val="-6"/>
        </w:rPr>
        <w:t xml:space="preserve"> </w:t>
      </w:r>
      <w:r>
        <w:t>from</w:t>
      </w:r>
      <w:r>
        <w:rPr>
          <w:spacing w:val="-4"/>
        </w:rPr>
        <w:t xml:space="preserve"> </w:t>
      </w:r>
      <w:r>
        <w:t>your</w:t>
      </w:r>
      <w:r>
        <w:rPr>
          <w:spacing w:val="-3"/>
        </w:rPr>
        <w:t xml:space="preserve"> </w:t>
      </w:r>
      <w:r>
        <w:rPr>
          <w:spacing w:val="-2"/>
        </w:rPr>
        <w:t>friends.</w:t>
      </w:r>
    </w:p>
    <w:p w14:paraId="7404B963" w14:textId="77777777" w:rsidR="00DB6E1F" w:rsidRDefault="00F666A6">
      <w:pPr>
        <w:pStyle w:val="ListParagraph"/>
        <w:numPr>
          <w:ilvl w:val="0"/>
          <w:numId w:val="92"/>
        </w:numPr>
        <w:tabs>
          <w:tab w:val="left" w:pos="1798"/>
          <w:tab w:val="left" w:pos="1799"/>
        </w:tabs>
        <w:ind w:left="1798" w:right="1462" w:hanging="360"/>
        <w:rPr>
          <w:rFonts w:ascii="Symbol" w:hAnsi="Symbol"/>
        </w:rPr>
      </w:pPr>
      <w:r>
        <w:rPr>
          <w:b/>
        </w:rPr>
        <w:t xml:space="preserve">Double-sided reflections. </w:t>
      </w:r>
      <w:r>
        <w:t>A double-sided reflection acknowledges sustain talk, then pairs it with change talk either in the same client statement or in a previous statement. It acknowledges the client’s</w:t>
      </w:r>
      <w:r>
        <w:rPr>
          <w:spacing w:val="-2"/>
        </w:rPr>
        <w:t xml:space="preserve"> </w:t>
      </w:r>
      <w:r>
        <w:t>ambivalence</w:t>
      </w:r>
      <w:r>
        <w:rPr>
          <w:spacing w:val="-4"/>
        </w:rPr>
        <w:t xml:space="preserve"> </w:t>
      </w:r>
      <w:r>
        <w:t>yet</w:t>
      </w:r>
      <w:r>
        <w:rPr>
          <w:spacing w:val="-2"/>
        </w:rPr>
        <w:t xml:space="preserve"> </w:t>
      </w:r>
      <w:r>
        <w:t>selectively</w:t>
      </w:r>
      <w:r>
        <w:rPr>
          <w:spacing w:val="-3"/>
        </w:rPr>
        <w:t xml:space="preserve"> </w:t>
      </w:r>
      <w:r>
        <w:t>reinforces</w:t>
      </w:r>
      <w:r>
        <w:rPr>
          <w:spacing w:val="-4"/>
        </w:rPr>
        <w:t xml:space="preserve"> </w:t>
      </w:r>
      <w:r>
        <w:t>change</w:t>
      </w:r>
      <w:r>
        <w:rPr>
          <w:spacing w:val="-2"/>
        </w:rPr>
        <w:t xml:space="preserve"> </w:t>
      </w:r>
      <w:r>
        <w:t>talk.</w:t>
      </w:r>
      <w:r>
        <w:rPr>
          <w:spacing w:val="-3"/>
        </w:rPr>
        <w:t xml:space="preserve"> </w:t>
      </w:r>
      <w:r>
        <w:t>U</w:t>
      </w:r>
      <w:r>
        <w:t>se</w:t>
      </w:r>
      <w:r>
        <w:rPr>
          <w:spacing w:val="-4"/>
        </w:rPr>
        <w:t xml:space="preserve"> </w:t>
      </w:r>
      <w:r>
        <w:t>“and”</w:t>
      </w:r>
      <w:r>
        <w:rPr>
          <w:spacing w:val="-2"/>
        </w:rPr>
        <w:t xml:space="preserve"> </w:t>
      </w:r>
      <w:r>
        <w:t>to</w:t>
      </w:r>
      <w:r>
        <w:rPr>
          <w:spacing w:val="-2"/>
        </w:rPr>
        <w:t xml:space="preserve"> </w:t>
      </w:r>
      <w:r>
        <w:t>join</w:t>
      </w:r>
      <w:r>
        <w:rPr>
          <w:spacing w:val="-3"/>
        </w:rPr>
        <w:t xml:space="preserve"> </w:t>
      </w:r>
      <w:r>
        <w:t>the</w:t>
      </w:r>
      <w:r>
        <w:rPr>
          <w:spacing w:val="-4"/>
        </w:rPr>
        <w:t xml:space="preserve"> </w:t>
      </w:r>
      <w:r>
        <w:t>two</w:t>
      </w:r>
      <w:r>
        <w:rPr>
          <w:spacing w:val="-3"/>
        </w:rPr>
        <w:t xml:space="preserve"> </w:t>
      </w:r>
      <w:r>
        <w:t>statements</w:t>
      </w:r>
      <w:r>
        <w:rPr>
          <w:spacing w:val="-2"/>
        </w:rPr>
        <w:t xml:space="preserve"> </w:t>
      </w:r>
      <w:r>
        <w:t>and make change talk the second statement (see Counselor Response in Exhibit 3.6).</w:t>
      </w:r>
    </w:p>
    <w:p w14:paraId="74490B50" w14:textId="77777777" w:rsidR="00DB6E1F" w:rsidRDefault="00F666A6">
      <w:pPr>
        <w:pStyle w:val="ListParagraph"/>
        <w:numPr>
          <w:ilvl w:val="1"/>
          <w:numId w:val="92"/>
        </w:numPr>
        <w:tabs>
          <w:tab w:val="left" w:pos="2157"/>
          <w:tab w:val="left" w:pos="2158"/>
        </w:tabs>
        <w:spacing w:before="59"/>
        <w:ind w:left="2157" w:right="1474"/>
      </w:pPr>
      <w:r>
        <w:rPr>
          <w:b/>
        </w:rPr>
        <w:t>Client:</w:t>
      </w:r>
      <w:r>
        <w:rPr>
          <w:b/>
          <w:spacing w:val="-3"/>
        </w:rPr>
        <w:t xml:space="preserve"> </w:t>
      </w:r>
      <w:r>
        <w:t>I</w:t>
      </w:r>
      <w:r>
        <w:rPr>
          <w:spacing w:val="-5"/>
        </w:rPr>
        <w:t xml:space="preserve"> </w:t>
      </w:r>
      <w:r>
        <w:t>know</w:t>
      </w:r>
      <w:r>
        <w:rPr>
          <w:spacing w:val="-1"/>
        </w:rPr>
        <w:t xml:space="preserve"> </w:t>
      </w:r>
      <w:r>
        <w:t>I</w:t>
      </w:r>
      <w:r>
        <w:rPr>
          <w:spacing w:val="-2"/>
        </w:rPr>
        <w:t xml:space="preserve"> </w:t>
      </w:r>
      <w:r>
        <w:t>should</w:t>
      </w:r>
      <w:r>
        <w:rPr>
          <w:spacing w:val="-3"/>
        </w:rPr>
        <w:t xml:space="preserve"> </w:t>
      </w:r>
      <w:r>
        <w:t>quit</w:t>
      </w:r>
      <w:r>
        <w:rPr>
          <w:spacing w:val="-4"/>
        </w:rPr>
        <w:t xml:space="preserve"> </w:t>
      </w:r>
      <w:r>
        <w:t>smoking</w:t>
      </w:r>
      <w:r>
        <w:rPr>
          <w:spacing w:val="-3"/>
        </w:rPr>
        <w:t xml:space="preserve"> </w:t>
      </w:r>
      <w:r>
        <w:t>now</w:t>
      </w:r>
      <w:r>
        <w:rPr>
          <w:spacing w:val="-1"/>
        </w:rPr>
        <w:t xml:space="preserve"> </w:t>
      </w:r>
      <w:r>
        <w:t>that</w:t>
      </w:r>
      <w:r>
        <w:rPr>
          <w:spacing w:val="-2"/>
        </w:rPr>
        <w:t xml:space="preserve"> </w:t>
      </w:r>
      <w:r>
        <w:t>I</w:t>
      </w:r>
      <w:r>
        <w:rPr>
          <w:spacing w:val="-2"/>
        </w:rPr>
        <w:t xml:space="preserve"> </w:t>
      </w:r>
      <w:r>
        <w:t>am pregnant.</w:t>
      </w:r>
      <w:r>
        <w:rPr>
          <w:spacing w:val="-3"/>
        </w:rPr>
        <w:t xml:space="preserve"> </w:t>
      </w:r>
      <w:r>
        <w:t>But</w:t>
      </w:r>
      <w:r>
        <w:rPr>
          <w:spacing w:val="-2"/>
        </w:rPr>
        <w:t xml:space="preserve"> </w:t>
      </w:r>
      <w:r>
        <w:t>I</w:t>
      </w:r>
      <w:r>
        <w:rPr>
          <w:spacing w:val="-2"/>
        </w:rPr>
        <w:t xml:space="preserve"> </w:t>
      </w:r>
      <w:r>
        <w:t>tried</w:t>
      </w:r>
      <w:r>
        <w:rPr>
          <w:spacing w:val="-5"/>
        </w:rPr>
        <w:t xml:space="preserve"> </w:t>
      </w:r>
      <w:r>
        <w:t>to</w:t>
      </w:r>
      <w:r>
        <w:rPr>
          <w:spacing w:val="-3"/>
        </w:rPr>
        <w:t xml:space="preserve"> </w:t>
      </w:r>
      <w:r>
        <w:t>go</w:t>
      </w:r>
      <w:r>
        <w:rPr>
          <w:spacing w:val="-3"/>
        </w:rPr>
        <w:t xml:space="preserve"> </w:t>
      </w:r>
      <w:r>
        <w:t>cold</w:t>
      </w:r>
      <w:r>
        <w:rPr>
          <w:spacing w:val="-5"/>
        </w:rPr>
        <w:t xml:space="preserve"> </w:t>
      </w:r>
      <w:r>
        <w:t>turkey</w:t>
      </w:r>
      <w:r>
        <w:rPr>
          <w:spacing w:val="-1"/>
        </w:rPr>
        <w:t xml:space="preserve"> </w:t>
      </w:r>
      <w:r>
        <w:t>before, and it was just too hard.</w:t>
      </w:r>
    </w:p>
    <w:p w14:paraId="3144021C" w14:textId="77777777" w:rsidR="00DB6E1F" w:rsidRDefault="00F666A6">
      <w:pPr>
        <w:pStyle w:val="ListParagraph"/>
        <w:numPr>
          <w:ilvl w:val="1"/>
          <w:numId w:val="92"/>
        </w:numPr>
        <w:tabs>
          <w:tab w:val="left" w:pos="2157"/>
          <w:tab w:val="left" w:pos="2158"/>
        </w:tabs>
        <w:ind w:left="2157" w:right="1526"/>
      </w:pPr>
      <w:r>
        <w:rPr>
          <w:b/>
        </w:rPr>
        <w:t>Counselor:</w:t>
      </w:r>
      <w:r>
        <w:rPr>
          <w:b/>
          <w:spacing w:val="-3"/>
        </w:rPr>
        <w:t xml:space="preserve"> </w:t>
      </w:r>
      <w:r>
        <w:t>You’re</w:t>
      </w:r>
      <w:r>
        <w:rPr>
          <w:spacing w:val="-4"/>
        </w:rPr>
        <w:t xml:space="preserve"> </w:t>
      </w:r>
      <w:r>
        <w:t>worried</w:t>
      </w:r>
      <w:r>
        <w:rPr>
          <w:spacing w:val="-5"/>
        </w:rPr>
        <w:t xml:space="preserve"> </w:t>
      </w:r>
      <w:r>
        <w:t>that</w:t>
      </w:r>
      <w:r>
        <w:rPr>
          <w:spacing w:val="-1"/>
        </w:rPr>
        <w:t xml:space="preserve"> </w:t>
      </w:r>
      <w:r>
        <w:t>you</w:t>
      </w:r>
      <w:r>
        <w:rPr>
          <w:spacing w:val="-5"/>
        </w:rPr>
        <w:t xml:space="preserve"> </w:t>
      </w:r>
      <w:r>
        <w:t>won’t</w:t>
      </w:r>
      <w:r>
        <w:rPr>
          <w:spacing w:val="-4"/>
        </w:rPr>
        <w:t xml:space="preserve"> </w:t>
      </w:r>
      <w:r>
        <w:t>be</w:t>
      </w:r>
      <w:r>
        <w:rPr>
          <w:spacing w:val="-1"/>
        </w:rPr>
        <w:t xml:space="preserve"> </w:t>
      </w:r>
      <w:r>
        <w:t>able</w:t>
      </w:r>
      <w:r>
        <w:rPr>
          <w:spacing w:val="-4"/>
        </w:rPr>
        <w:t xml:space="preserve"> </w:t>
      </w:r>
      <w:r>
        <w:t>to</w:t>
      </w:r>
      <w:r>
        <w:rPr>
          <w:spacing w:val="-1"/>
        </w:rPr>
        <w:t xml:space="preserve"> </w:t>
      </w:r>
      <w:r>
        <w:t>quit</w:t>
      </w:r>
      <w:r>
        <w:rPr>
          <w:spacing w:val="-1"/>
        </w:rPr>
        <w:t xml:space="preserve"> </w:t>
      </w:r>
      <w:r>
        <w:t>all</w:t>
      </w:r>
      <w:r>
        <w:rPr>
          <w:spacing w:val="-2"/>
        </w:rPr>
        <w:t xml:space="preserve"> </w:t>
      </w:r>
      <w:r>
        <w:t>at</w:t>
      </w:r>
      <w:r>
        <w:rPr>
          <w:spacing w:val="-4"/>
        </w:rPr>
        <w:t xml:space="preserve"> </w:t>
      </w:r>
      <w:r>
        <w:t>once,</w:t>
      </w:r>
      <w:r>
        <w:rPr>
          <w:spacing w:val="-2"/>
        </w:rPr>
        <w:t xml:space="preserve"> </w:t>
      </w:r>
      <w:r>
        <w:t>and</w:t>
      </w:r>
      <w:r>
        <w:rPr>
          <w:spacing w:val="-3"/>
        </w:rPr>
        <w:t xml:space="preserve"> </w:t>
      </w:r>
      <w:r>
        <w:t>you</w:t>
      </w:r>
      <w:r>
        <w:rPr>
          <w:spacing w:val="-5"/>
        </w:rPr>
        <w:t xml:space="preserve"> </w:t>
      </w:r>
      <w:r>
        <w:t>want</w:t>
      </w:r>
      <w:r>
        <w:rPr>
          <w:spacing w:val="-2"/>
        </w:rPr>
        <w:t xml:space="preserve"> </w:t>
      </w:r>
      <w:r>
        <w:t>your</w:t>
      </w:r>
      <w:r>
        <w:rPr>
          <w:spacing w:val="-2"/>
        </w:rPr>
        <w:t xml:space="preserve"> </w:t>
      </w:r>
      <w:r>
        <w:t>baby</w:t>
      </w:r>
      <w:r>
        <w:rPr>
          <w:spacing w:val="-3"/>
        </w:rPr>
        <w:t xml:space="preserve"> </w:t>
      </w:r>
      <w:r>
        <w:t>to be born healthy.</w:t>
      </w:r>
    </w:p>
    <w:p w14:paraId="1911C45D" w14:textId="77777777" w:rsidR="00DB6E1F" w:rsidRDefault="00F666A6">
      <w:pPr>
        <w:pStyle w:val="ListParagraph"/>
        <w:numPr>
          <w:ilvl w:val="0"/>
          <w:numId w:val="92"/>
        </w:numPr>
        <w:tabs>
          <w:tab w:val="left" w:pos="1797"/>
          <w:tab w:val="left" w:pos="1798"/>
        </w:tabs>
        <w:spacing w:before="61"/>
        <w:ind w:right="1556" w:hanging="360"/>
        <w:rPr>
          <w:rFonts w:ascii="Symbol" w:hAnsi="Symbol"/>
        </w:rPr>
      </w:pPr>
      <w:r>
        <w:rPr>
          <w:b/>
        </w:rPr>
        <w:t>Agreements</w:t>
      </w:r>
      <w:r>
        <w:rPr>
          <w:b/>
          <w:spacing w:val="-4"/>
        </w:rPr>
        <w:t xml:space="preserve"> </w:t>
      </w:r>
      <w:r>
        <w:rPr>
          <w:b/>
        </w:rPr>
        <w:t>with</w:t>
      </w:r>
      <w:r>
        <w:rPr>
          <w:b/>
          <w:spacing w:val="-5"/>
        </w:rPr>
        <w:t xml:space="preserve"> </w:t>
      </w:r>
      <w:r>
        <w:rPr>
          <w:b/>
        </w:rPr>
        <w:t>a</w:t>
      </w:r>
      <w:r>
        <w:rPr>
          <w:b/>
          <w:spacing w:val="-3"/>
        </w:rPr>
        <w:t xml:space="preserve"> </w:t>
      </w:r>
      <w:r>
        <w:rPr>
          <w:b/>
        </w:rPr>
        <w:t>twist.</w:t>
      </w:r>
      <w:r>
        <w:rPr>
          <w:b/>
          <w:spacing w:val="-3"/>
        </w:rPr>
        <w:t xml:space="preserve"> </w:t>
      </w:r>
      <w:r>
        <w:t>A</w:t>
      </w:r>
      <w:r>
        <w:rPr>
          <w:spacing w:val="-2"/>
        </w:rPr>
        <w:t xml:space="preserve"> </w:t>
      </w:r>
      <w:r>
        <w:t>subtle</w:t>
      </w:r>
      <w:r>
        <w:rPr>
          <w:spacing w:val="-1"/>
        </w:rPr>
        <w:t xml:space="preserve"> </w:t>
      </w:r>
      <w:r>
        <w:t>strategy</w:t>
      </w:r>
      <w:r>
        <w:rPr>
          <w:spacing w:val="-1"/>
        </w:rPr>
        <w:t xml:space="preserve"> </w:t>
      </w:r>
      <w:r>
        <w:t>is</w:t>
      </w:r>
      <w:r>
        <w:rPr>
          <w:spacing w:val="-4"/>
        </w:rPr>
        <w:t xml:space="preserve"> </w:t>
      </w:r>
      <w:r>
        <w:t>to</w:t>
      </w:r>
      <w:r>
        <w:rPr>
          <w:spacing w:val="-3"/>
        </w:rPr>
        <w:t xml:space="preserve"> </w:t>
      </w:r>
      <w:r>
        <w:t>agree,</w:t>
      </w:r>
      <w:r>
        <w:rPr>
          <w:spacing w:val="-2"/>
        </w:rPr>
        <w:t xml:space="preserve"> </w:t>
      </w:r>
      <w:r>
        <w:t>but</w:t>
      </w:r>
      <w:r>
        <w:rPr>
          <w:spacing w:val="-2"/>
        </w:rPr>
        <w:t xml:space="preserve"> </w:t>
      </w:r>
      <w:r>
        <w:t>with</w:t>
      </w:r>
      <w:r>
        <w:rPr>
          <w:spacing w:val="-3"/>
        </w:rPr>
        <w:t xml:space="preserve"> </w:t>
      </w:r>
      <w:r>
        <w:t>a</w:t>
      </w:r>
      <w:r>
        <w:rPr>
          <w:spacing w:val="-2"/>
        </w:rPr>
        <w:t xml:space="preserve"> </w:t>
      </w:r>
      <w:r>
        <w:t>slight</w:t>
      </w:r>
      <w:r>
        <w:rPr>
          <w:spacing w:val="-4"/>
        </w:rPr>
        <w:t xml:space="preserve"> </w:t>
      </w:r>
      <w:r>
        <w:t>twist</w:t>
      </w:r>
      <w:r>
        <w:rPr>
          <w:spacing w:val="-4"/>
        </w:rPr>
        <w:t xml:space="preserve"> </w:t>
      </w:r>
      <w:r>
        <w:t>or</w:t>
      </w:r>
      <w:r>
        <w:rPr>
          <w:spacing w:val="-4"/>
        </w:rPr>
        <w:t xml:space="preserve"> </w:t>
      </w:r>
      <w:r>
        <w:t>change</w:t>
      </w:r>
      <w:r>
        <w:rPr>
          <w:spacing w:val="-1"/>
        </w:rPr>
        <w:t xml:space="preserve"> </w:t>
      </w:r>
      <w:r>
        <w:t>of</w:t>
      </w:r>
      <w:r>
        <w:rPr>
          <w:spacing w:val="-2"/>
        </w:rPr>
        <w:t xml:space="preserve"> </w:t>
      </w:r>
      <w:r>
        <w:t>direction that moves the discussion forward. The twist should be said without emphasis or sarcasm.</w:t>
      </w:r>
    </w:p>
    <w:p w14:paraId="59A6F59B" w14:textId="77777777" w:rsidR="00DB6E1F" w:rsidRDefault="00F666A6">
      <w:pPr>
        <w:pStyle w:val="ListParagraph"/>
        <w:numPr>
          <w:ilvl w:val="1"/>
          <w:numId w:val="92"/>
        </w:numPr>
        <w:tabs>
          <w:tab w:val="left" w:pos="2156"/>
          <w:tab w:val="left" w:pos="2157"/>
        </w:tabs>
        <w:ind w:left="2156" w:right="1474"/>
      </w:pPr>
      <w:r>
        <w:rPr>
          <w:b/>
        </w:rPr>
        <w:t>Client:</w:t>
      </w:r>
      <w:r>
        <w:rPr>
          <w:b/>
          <w:spacing w:val="-2"/>
        </w:rPr>
        <w:t xml:space="preserve"> </w:t>
      </w:r>
      <w:r>
        <w:t>I</w:t>
      </w:r>
      <w:r>
        <w:rPr>
          <w:spacing w:val="-4"/>
        </w:rPr>
        <w:t xml:space="preserve"> </w:t>
      </w:r>
      <w:r>
        <w:t>can’t imagine</w:t>
      </w:r>
      <w:r>
        <w:rPr>
          <w:spacing w:val="-3"/>
        </w:rPr>
        <w:t xml:space="preserve"> </w:t>
      </w:r>
      <w:r>
        <w:t>what</w:t>
      </w:r>
      <w:r>
        <w:rPr>
          <w:spacing w:val="-3"/>
        </w:rPr>
        <w:t xml:space="preserve"> </w:t>
      </w:r>
      <w:r>
        <w:t>I</w:t>
      </w:r>
      <w:r>
        <w:rPr>
          <w:spacing w:val="-1"/>
        </w:rPr>
        <w:t xml:space="preserve"> </w:t>
      </w:r>
      <w:r>
        <w:t>would</w:t>
      </w:r>
      <w:r>
        <w:rPr>
          <w:spacing w:val="-2"/>
        </w:rPr>
        <w:t xml:space="preserve"> </w:t>
      </w:r>
      <w:r>
        <w:t>do if</w:t>
      </w:r>
      <w:r>
        <w:rPr>
          <w:spacing w:val="-3"/>
        </w:rPr>
        <w:t xml:space="preserve"> </w:t>
      </w:r>
      <w:r>
        <w:t>I</w:t>
      </w:r>
      <w:r>
        <w:rPr>
          <w:spacing w:val="-1"/>
        </w:rPr>
        <w:t xml:space="preserve"> </w:t>
      </w:r>
      <w:r>
        <w:t>stopped</w:t>
      </w:r>
      <w:r>
        <w:rPr>
          <w:spacing w:val="-2"/>
        </w:rPr>
        <w:t xml:space="preserve"> </w:t>
      </w:r>
      <w:r>
        <w:t>drinking.</w:t>
      </w:r>
      <w:r>
        <w:rPr>
          <w:spacing w:val="-1"/>
        </w:rPr>
        <w:t xml:space="preserve"> </w:t>
      </w:r>
      <w:r>
        <w:t>It’s</w:t>
      </w:r>
      <w:r>
        <w:rPr>
          <w:spacing w:val="-1"/>
        </w:rPr>
        <w:t xml:space="preserve"> </w:t>
      </w:r>
      <w:r>
        <w:t>part</w:t>
      </w:r>
      <w:r>
        <w:rPr>
          <w:spacing w:val="-3"/>
        </w:rPr>
        <w:t xml:space="preserve"> </w:t>
      </w:r>
      <w:r>
        <w:t>of</w:t>
      </w:r>
      <w:r>
        <w:rPr>
          <w:spacing w:val="-3"/>
        </w:rPr>
        <w:t xml:space="preserve"> </w:t>
      </w:r>
      <w:r>
        <w:t>who</w:t>
      </w:r>
      <w:r>
        <w:rPr>
          <w:spacing w:val="-2"/>
        </w:rPr>
        <w:t xml:space="preserve"> </w:t>
      </w:r>
      <w:r>
        <w:t>I</w:t>
      </w:r>
      <w:r>
        <w:rPr>
          <w:spacing w:val="-1"/>
        </w:rPr>
        <w:t xml:space="preserve"> </w:t>
      </w:r>
      <w:r>
        <w:t>am.</w:t>
      </w:r>
      <w:r>
        <w:rPr>
          <w:spacing w:val="-4"/>
        </w:rPr>
        <w:t xml:space="preserve"> </w:t>
      </w:r>
      <w:r>
        <w:t>How</w:t>
      </w:r>
      <w:r>
        <w:rPr>
          <w:spacing w:val="-3"/>
        </w:rPr>
        <w:t xml:space="preserve"> </w:t>
      </w:r>
      <w:r>
        <w:t>could</w:t>
      </w:r>
      <w:r>
        <w:rPr>
          <w:spacing w:val="-2"/>
        </w:rPr>
        <w:t xml:space="preserve"> </w:t>
      </w:r>
      <w:r>
        <w:t>I</w:t>
      </w:r>
      <w:r>
        <w:rPr>
          <w:spacing w:val="-1"/>
        </w:rPr>
        <w:t xml:space="preserve"> </w:t>
      </w:r>
      <w:r>
        <w:t>go to the bar and hang out with my friends?</w:t>
      </w:r>
    </w:p>
    <w:p w14:paraId="752922A2" w14:textId="77777777" w:rsidR="00DB6E1F" w:rsidRDefault="00F666A6">
      <w:pPr>
        <w:pStyle w:val="ListParagraph"/>
        <w:numPr>
          <w:ilvl w:val="1"/>
          <w:numId w:val="92"/>
        </w:numPr>
        <w:tabs>
          <w:tab w:val="left" w:pos="2156"/>
          <w:tab w:val="left" w:pos="2157"/>
        </w:tabs>
        <w:spacing w:before="58"/>
        <w:ind w:left="2156" w:right="1487"/>
      </w:pPr>
      <w:r>
        <w:rPr>
          <w:b/>
        </w:rPr>
        <w:t>Counselor:</w:t>
      </w:r>
      <w:r>
        <w:rPr>
          <w:b/>
          <w:spacing w:val="-3"/>
        </w:rPr>
        <w:t xml:space="preserve"> </w:t>
      </w:r>
      <w:r>
        <w:t>You</w:t>
      </w:r>
      <w:r>
        <w:rPr>
          <w:spacing w:val="-3"/>
        </w:rPr>
        <w:t xml:space="preserve"> </w:t>
      </w:r>
      <w:r>
        <w:t>just</w:t>
      </w:r>
      <w:r>
        <w:rPr>
          <w:spacing w:val="-4"/>
        </w:rPr>
        <w:t xml:space="preserve"> </w:t>
      </w:r>
      <w:r>
        <w:t>wouldn’t</w:t>
      </w:r>
      <w:r>
        <w:rPr>
          <w:spacing w:val="-1"/>
        </w:rPr>
        <w:t xml:space="preserve"> </w:t>
      </w:r>
      <w:r>
        <w:t>be</w:t>
      </w:r>
      <w:r>
        <w:rPr>
          <w:spacing w:val="-4"/>
        </w:rPr>
        <w:t xml:space="preserve"> </w:t>
      </w:r>
      <w:r>
        <w:t>you</w:t>
      </w:r>
      <w:r>
        <w:rPr>
          <w:spacing w:val="-5"/>
        </w:rPr>
        <w:t xml:space="preserve"> </w:t>
      </w:r>
      <w:r>
        <w:t>without</w:t>
      </w:r>
      <w:r>
        <w:rPr>
          <w:spacing w:val="-1"/>
        </w:rPr>
        <w:t xml:space="preserve"> </w:t>
      </w:r>
      <w:r>
        <w:t>drinking.</w:t>
      </w:r>
      <w:r>
        <w:rPr>
          <w:spacing w:val="-3"/>
        </w:rPr>
        <w:t xml:space="preserve"> </w:t>
      </w:r>
      <w:r>
        <w:t>You</w:t>
      </w:r>
      <w:r>
        <w:rPr>
          <w:spacing w:val="-3"/>
        </w:rPr>
        <w:t xml:space="preserve"> </w:t>
      </w:r>
      <w:r>
        <w:t>have</w:t>
      </w:r>
      <w:r>
        <w:rPr>
          <w:spacing w:val="-4"/>
        </w:rPr>
        <w:t xml:space="preserve"> </w:t>
      </w:r>
      <w:r>
        <w:t>to</w:t>
      </w:r>
      <w:r>
        <w:rPr>
          <w:spacing w:val="-3"/>
        </w:rPr>
        <w:t xml:space="preserve"> </w:t>
      </w:r>
      <w:r>
        <w:t>keep</w:t>
      </w:r>
      <w:r>
        <w:rPr>
          <w:spacing w:val="-2"/>
        </w:rPr>
        <w:t xml:space="preserve"> </w:t>
      </w:r>
      <w:r>
        <w:t>drinking</w:t>
      </w:r>
      <w:r>
        <w:rPr>
          <w:spacing w:val="-3"/>
        </w:rPr>
        <w:t xml:space="preserve"> </w:t>
      </w:r>
      <w:r>
        <w:t>no</w:t>
      </w:r>
      <w:r>
        <w:rPr>
          <w:spacing w:val="-3"/>
        </w:rPr>
        <w:t xml:space="preserve"> </w:t>
      </w:r>
      <w:r>
        <w:t>matter</w:t>
      </w:r>
      <w:r>
        <w:rPr>
          <w:spacing w:val="-2"/>
        </w:rPr>
        <w:t xml:space="preserve"> </w:t>
      </w:r>
      <w:r>
        <w:t>how it effects your health.</w:t>
      </w:r>
    </w:p>
    <w:p w14:paraId="46228D33" w14:textId="77777777" w:rsidR="00DB6E1F" w:rsidRDefault="00F666A6">
      <w:pPr>
        <w:pStyle w:val="ListParagraph"/>
        <w:numPr>
          <w:ilvl w:val="0"/>
          <w:numId w:val="92"/>
        </w:numPr>
        <w:tabs>
          <w:tab w:val="left" w:pos="1796"/>
          <w:tab w:val="left" w:pos="1797"/>
        </w:tabs>
        <w:spacing w:before="61"/>
        <w:ind w:left="1796" w:right="1442" w:hanging="360"/>
        <w:rPr>
          <w:rFonts w:ascii="Symbol" w:hAnsi="Symbol"/>
        </w:rPr>
      </w:pPr>
      <w:r>
        <w:rPr>
          <w:b/>
        </w:rPr>
        <w:t xml:space="preserve">Reframing. </w:t>
      </w:r>
      <w:r>
        <w:t>Reframing acknowledges the client’s experience yet suggests alternative meanings. It invites</w:t>
      </w:r>
      <w:r>
        <w:rPr>
          <w:spacing w:val="-4"/>
        </w:rPr>
        <w:t xml:space="preserve"> </w:t>
      </w:r>
      <w:r>
        <w:t>the</w:t>
      </w:r>
      <w:r>
        <w:rPr>
          <w:spacing w:val="-1"/>
        </w:rPr>
        <w:t xml:space="preserve"> </w:t>
      </w:r>
      <w:r>
        <w:t>client</w:t>
      </w:r>
      <w:r>
        <w:rPr>
          <w:spacing w:val="-1"/>
        </w:rPr>
        <w:t xml:space="preserve"> </w:t>
      </w:r>
      <w:r>
        <w:t>to</w:t>
      </w:r>
      <w:r>
        <w:rPr>
          <w:spacing w:val="-3"/>
        </w:rPr>
        <w:t xml:space="preserve"> </w:t>
      </w:r>
      <w:r>
        <w:t>consider</w:t>
      </w:r>
      <w:r>
        <w:rPr>
          <w:spacing w:val="-2"/>
        </w:rPr>
        <w:t xml:space="preserve"> </w:t>
      </w:r>
      <w:r>
        <w:t>a</w:t>
      </w:r>
      <w:r>
        <w:rPr>
          <w:spacing w:val="-2"/>
        </w:rPr>
        <w:t xml:space="preserve"> </w:t>
      </w:r>
      <w:r>
        <w:t>different</w:t>
      </w:r>
      <w:r>
        <w:rPr>
          <w:spacing w:val="-4"/>
        </w:rPr>
        <w:t xml:space="preserve"> </w:t>
      </w:r>
      <w:r>
        <w:t>perspective (Barnett,</w:t>
      </w:r>
      <w:r>
        <w:rPr>
          <w:spacing w:val="-2"/>
        </w:rPr>
        <w:t xml:space="preserve"> </w:t>
      </w:r>
      <w:r>
        <w:t>Spruijt-Metz,</w:t>
      </w:r>
      <w:r>
        <w:rPr>
          <w:spacing w:val="-4"/>
        </w:rPr>
        <w:t xml:space="preserve"> </w:t>
      </w:r>
      <w:r>
        <w:t>et</w:t>
      </w:r>
      <w:r>
        <w:rPr>
          <w:spacing w:val="-4"/>
        </w:rPr>
        <w:t xml:space="preserve"> </w:t>
      </w:r>
      <w:r>
        <w:t>al.,</w:t>
      </w:r>
      <w:r>
        <w:rPr>
          <w:spacing w:val="-4"/>
        </w:rPr>
        <w:t xml:space="preserve"> </w:t>
      </w:r>
      <w:r>
        <w:t>2014).</w:t>
      </w:r>
      <w:r>
        <w:rPr>
          <w:spacing w:val="-5"/>
        </w:rPr>
        <w:t xml:space="preserve"> </w:t>
      </w:r>
      <w:r>
        <w:t>Reframing</w:t>
      </w:r>
      <w:r>
        <w:rPr>
          <w:spacing w:val="-2"/>
        </w:rPr>
        <w:t xml:space="preserve"> </w:t>
      </w:r>
      <w:r>
        <w:t>is also a way to refocus the conversation from emphasizing sustain talk to eliciting change talk (Barnett, Spruijt-Metz, et al., 2014).</w:t>
      </w:r>
    </w:p>
    <w:p w14:paraId="368FAA2E" w14:textId="77777777" w:rsidR="00DB6E1F" w:rsidRDefault="00F666A6">
      <w:pPr>
        <w:pStyle w:val="ListParagraph"/>
        <w:numPr>
          <w:ilvl w:val="1"/>
          <w:numId w:val="92"/>
        </w:numPr>
        <w:tabs>
          <w:tab w:val="left" w:pos="2159"/>
          <w:tab w:val="left" w:pos="2160"/>
        </w:tabs>
        <w:spacing w:before="62"/>
      </w:pPr>
      <w:r>
        <w:rPr>
          <w:b/>
        </w:rPr>
        <w:t>Client:</w:t>
      </w:r>
      <w:r>
        <w:rPr>
          <w:b/>
          <w:spacing w:val="-8"/>
        </w:rPr>
        <w:t xml:space="preserve"> </w:t>
      </w:r>
      <w:r>
        <w:t>My</w:t>
      </w:r>
      <w:r>
        <w:rPr>
          <w:spacing w:val="-5"/>
        </w:rPr>
        <w:t xml:space="preserve"> </w:t>
      </w:r>
      <w:r>
        <w:t>husband</w:t>
      </w:r>
      <w:r>
        <w:rPr>
          <w:spacing w:val="-3"/>
        </w:rPr>
        <w:t xml:space="preserve"> </w:t>
      </w:r>
      <w:r>
        <w:t>always</w:t>
      </w:r>
      <w:r>
        <w:rPr>
          <w:spacing w:val="-5"/>
        </w:rPr>
        <w:t xml:space="preserve"> </w:t>
      </w:r>
      <w:r>
        <w:t>nags</w:t>
      </w:r>
      <w:r>
        <w:rPr>
          <w:spacing w:val="-2"/>
        </w:rPr>
        <w:t xml:space="preserve"> </w:t>
      </w:r>
      <w:r>
        <w:t>me</w:t>
      </w:r>
      <w:r>
        <w:rPr>
          <w:spacing w:val="-4"/>
        </w:rPr>
        <w:t xml:space="preserve"> </w:t>
      </w:r>
      <w:r>
        <w:t>about</w:t>
      </w:r>
      <w:r>
        <w:rPr>
          <w:spacing w:val="-5"/>
        </w:rPr>
        <w:t xml:space="preserve"> </w:t>
      </w:r>
      <w:r>
        <w:t>my</w:t>
      </w:r>
      <w:r>
        <w:rPr>
          <w:spacing w:val="-1"/>
        </w:rPr>
        <w:t xml:space="preserve"> </w:t>
      </w:r>
      <w:r>
        <w:t>drinking</w:t>
      </w:r>
      <w:r>
        <w:rPr>
          <w:spacing w:val="-5"/>
        </w:rPr>
        <w:t xml:space="preserve"> </w:t>
      </w:r>
      <w:r>
        <w:t>and</w:t>
      </w:r>
      <w:r>
        <w:rPr>
          <w:spacing w:val="-4"/>
        </w:rPr>
        <w:t xml:space="preserve"> </w:t>
      </w:r>
      <w:r>
        <w:t>calls</w:t>
      </w:r>
      <w:r>
        <w:rPr>
          <w:spacing w:val="-4"/>
        </w:rPr>
        <w:t xml:space="preserve"> </w:t>
      </w:r>
      <w:r>
        <w:t>me</w:t>
      </w:r>
      <w:r>
        <w:rPr>
          <w:spacing w:val="-2"/>
        </w:rPr>
        <w:t xml:space="preserve"> </w:t>
      </w:r>
      <w:r>
        <w:t>an</w:t>
      </w:r>
      <w:r>
        <w:rPr>
          <w:spacing w:val="-5"/>
        </w:rPr>
        <w:t xml:space="preserve"> </w:t>
      </w:r>
      <w:r>
        <w:t>alcoholic.</w:t>
      </w:r>
      <w:r>
        <w:rPr>
          <w:spacing w:val="-3"/>
        </w:rPr>
        <w:t xml:space="preserve"> </w:t>
      </w:r>
      <w:r>
        <w:t>It</w:t>
      </w:r>
      <w:r>
        <w:rPr>
          <w:spacing w:val="-3"/>
        </w:rPr>
        <w:t xml:space="preserve"> </w:t>
      </w:r>
      <w:r>
        <w:t>bugs</w:t>
      </w:r>
      <w:r>
        <w:rPr>
          <w:spacing w:val="-2"/>
        </w:rPr>
        <w:t xml:space="preserve"> </w:t>
      </w:r>
      <w:r>
        <w:rPr>
          <w:spacing w:val="-5"/>
        </w:rPr>
        <w:t>me.</w:t>
      </w:r>
    </w:p>
    <w:p w14:paraId="40807995" w14:textId="77777777" w:rsidR="00DB6E1F" w:rsidRDefault="00DB6E1F">
      <w:pPr>
        <w:sectPr w:rsidR="00DB6E1F">
          <w:pgSz w:w="12240" w:h="15840"/>
          <w:pgMar w:top="1200" w:right="0" w:bottom="780" w:left="0" w:header="763" w:footer="585" w:gutter="0"/>
          <w:cols w:space="720"/>
        </w:sectPr>
      </w:pPr>
    </w:p>
    <w:p w14:paraId="1BC51EED" w14:textId="77777777" w:rsidR="00DB6E1F" w:rsidRDefault="00DB6E1F">
      <w:pPr>
        <w:pStyle w:val="BodyText"/>
        <w:spacing w:before="8"/>
        <w:rPr>
          <w:sz w:val="14"/>
        </w:rPr>
      </w:pPr>
    </w:p>
    <w:p w14:paraId="74401CBF" w14:textId="77777777" w:rsidR="00DB6E1F" w:rsidRDefault="00F666A6">
      <w:pPr>
        <w:pStyle w:val="ListParagraph"/>
        <w:numPr>
          <w:ilvl w:val="1"/>
          <w:numId w:val="92"/>
        </w:numPr>
        <w:tabs>
          <w:tab w:val="left" w:pos="2159"/>
          <w:tab w:val="left" w:pos="2161"/>
        </w:tabs>
        <w:spacing w:before="56"/>
        <w:ind w:right="1569"/>
      </w:pPr>
      <w:r>
        <w:rPr>
          <w:b/>
        </w:rPr>
        <w:t>Counselor:</w:t>
      </w:r>
      <w:r>
        <w:rPr>
          <w:b/>
          <w:spacing w:val="-3"/>
        </w:rPr>
        <w:t xml:space="preserve"> </w:t>
      </w:r>
      <w:r>
        <w:t>Although</w:t>
      </w:r>
      <w:r>
        <w:rPr>
          <w:spacing w:val="-5"/>
        </w:rPr>
        <w:t xml:space="preserve"> </w:t>
      </w:r>
      <w:r>
        <w:t>your</w:t>
      </w:r>
      <w:r>
        <w:rPr>
          <w:spacing w:val="-5"/>
        </w:rPr>
        <w:t xml:space="preserve"> </w:t>
      </w:r>
      <w:r>
        <w:t>husband</w:t>
      </w:r>
      <w:r>
        <w:rPr>
          <w:spacing w:val="-3"/>
        </w:rPr>
        <w:t xml:space="preserve"> </w:t>
      </w:r>
      <w:r>
        <w:t>expresses</w:t>
      </w:r>
      <w:r>
        <w:rPr>
          <w:spacing w:val="-4"/>
        </w:rPr>
        <w:t xml:space="preserve"> </w:t>
      </w:r>
      <w:r>
        <w:t>it</w:t>
      </w:r>
      <w:r>
        <w:rPr>
          <w:spacing w:val="-1"/>
        </w:rPr>
        <w:t xml:space="preserve"> </w:t>
      </w:r>
      <w:r>
        <w:t>in</w:t>
      </w:r>
      <w:r>
        <w:rPr>
          <w:spacing w:val="-3"/>
        </w:rPr>
        <w:t xml:space="preserve"> </w:t>
      </w:r>
      <w:r>
        <w:t>a</w:t>
      </w:r>
      <w:r>
        <w:rPr>
          <w:spacing w:val="-4"/>
        </w:rPr>
        <w:t xml:space="preserve"> </w:t>
      </w:r>
      <w:r>
        <w:t>way</w:t>
      </w:r>
      <w:r>
        <w:rPr>
          <w:spacing w:val="-1"/>
        </w:rPr>
        <w:t xml:space="preserve"> </w:t>
      </w:r>
      <w:r>
        <w:t>that</w:t>
      </w:r>
      <w:r>
        <w:rPr>
          <w:spacing w:val="-4"/>
        </w:rPr>
        <w:t xml:space="preserve"> </w:t>
      </w:r>
      <w:r>
        <w:t>frustrates</w:t>
      </w:r>
      <w:r>
        <w:rPr>
          <w:spacing w:val="-4"/>
        </w:rPr>
        <w:t xml:space="preserve"> </w:t>
      </w:r>
      <w:r>
        <w:t>you,</w:t>
      </w:r>
      <w:r>
        <w:rPr>
          <w:spacing w:val="-4"/>
        </w:rPr>
        <w:t xml:space="preserve"> </w:t>
      </w:r>
      <w:r>
        <w:t>he</w:t>
      </w:r>
      <w:r>
        <w:rPr>
          <w:spacing w:val="-1"/>
        </w:rPr>
        <w:t xml:space="preserve"> </w:t>
      </w:r>
      <w:r>
        <w:t>really</w:t>
      </w:r>
      <w:r>
        <w:rPr>
          <w:spacing w:val="-1"/>
        </w:rPr>
        <w:t xml:space="preserve"> </w:t>
      </w:r>
      <w:r>
        <w:t>cares</w:t>
      </w:r>
      <w:r>
        <w:rPr>
          <w:spacing w:val="-2"/>
        </w:rPr>
        <w:t xml:space="preserve"> </w:t>
      </w:r>
      <w:r>
        <w:t>and is concerned about the drinking.</w:t>
      </w:r>
    </w:p>
    <w:p w14:paraId="5A9BC37F" w14:textId="77777777" w:rsidR="00DB6E1F" w:rsidRDefault="00F666A6">
      <w:pPr>
        <w:pStyle w:val="ListParagraph"/>
        <w:numPr>
          <w:ilvl w:val="0"/>
          <w:numId w:val="92"/>
        </w:numPr>
        <w:tabs>
          <w:tab w:val="left" w:pos="1799"/>
          <w:tab w:val="left" w:pos="1800"/>
        </w:tabs>
        <w:spacing w:before="61"/>
        <w:ind w:left="1799"/>
        <w:rPr>
          <w:rFonts w:ascii="Symbol" w:hAnsi="Symbol"/>
        </w:rPr>
      </w:pPr>
      <w:r>
        <w:rPr>
          <w:b/>
        </w:rPr>
        <w:t>A</w:t>
      </w:r>
      <w:r>
        <w:rPr>
          <w:b/>
          <w:spacing w:val="-6"/>
        </w:rPr>
        <w:t xml:space="preserve"> </w:t>
      </w:r>
      <w:r>
        <w:rPr>
          <w:b/>
        </w:rPr>
        <w:t>shift</w:t>
      </w:r>
      <w:r>
        <w:rPr>
          <w:b/>
          <w:spacing w:val="-4"/>
        </w:rPr>
        <w:t xml:space="preserve"> </w:t>
      </w:r>
      <w:r>
        <w:rPr>
          <w:b/>
        </w:rPr>
        <w:t>in</w:t>
      </w:r>
      <w:r>
        <w:rPr>
          <w:b/>
          <w:spacing w:val="-5"/>
        </w:rPr>
        <w:t xml:space="preserve"> </w:t>
      </w:r>
      <w:r>
        <w:rPr>
          <w:b/>
        </w:rPr>
        <w:t>focus.</w:t>
      </w:r>
      <w:r>
        <w:rPr>
          <w:b/>
          <w:spacing w:val="-3"/>
        </w:rPr>
        <w:t xml:space="preserve"> </w:t>
      </w:r>
      <w:r>
        <w:t>Defuse</w:t>
      </w:r>
      <w:r>
        <w:rPr>
          <w:spacing w:val="-6"/>
        </w:rPr>
        <w:t xml:space="preserve"> </w:t>
      </w:r>
      <w:r>
        <w:t>discord</w:t>
      </w:r>
      <w:r>
        <w:rPr>
          <w:spacing w:val="-4"/>
        </w:rPr>
        <w:t xml:space="preserve"> </w:t>
      </w:r>
      <w:r>
        <w:t>and</w:t>
      </w:r>
      <w:r>
        <w:rPr>
          <w:spacing w:val="-5"/>
        </w:rPr>
        <w:t xml:space="preserve"> </w:t>
      </w:r>
      <w:r>
        <w:t>tension</w:t>
      </w:r>
      <w:r>
        <w:rPr>
          <w:spacing w:val="-5"/>
        </w:rPr>
        <w:t xml:space="preserve"> </w:t>
      </w:r>
      <w:r>
        <w:t>by</w:t>
      </w:r>
      <w:r>
        <w:rPr>
          <w:spacing w:val="-3"/>
        </w:rPr>
        <w:t xml:space="preserve"> </w:t>
      </w:r>
      <w:r>
        <w:t>shifting</w:t>
      </w:r>
      <w:r>
        <w:rPr>
          <w:spacing w:val="-4"/>
        </w:rPr>
        <w:t xml:space="preserve"> </w:t>
      </w:r>
      <w:r>
        <w:t>the</w:t>
      </w:r>
      <w:r>
        <w:rPr>
          <w:spacing w:val="-4"/>
        </w:rPr>
        <w:t xml:space="preserve"> </w:t>
      </w:r>
      <w:r>
        <w:t>conversational</w:t>
      </w:r>
      <w:r>
        <w:rPr>
          <w:spacing w:val="-4"/>
        </w:rPr>
        <w:t xml:space="preserve"> </w:t>
      </w:r>
      <w:r>
        <w:rPr>
          <w:spacing w:val="-2"/>
        </w:rPr>
        <w:t>focus.</w:t>
      </w:r>
    </w:p>
    <w:p w14:paraId="24A7BF92" w14:textId="77777777" w:rsidR="00DB6E1F" w:rsidRDefault="00F666A6">
      <w:pPr>
        <w:pStyle w:val="ListParagraph"/>
        <w:numPr>
          <w:ilvl w:val="1"/>
          <w:numId w:val="92"/>
        </w:numPr>
        <w:tabs>
          <w:tab w:val="left" w:pos="2159"/>
          <w:tab w:val="left" w:pos="2160"/>
        </w:tabs>
        <w:ind w:hanging="361"/>
      </w:pPr>
      <w:r>
        <w:rPr>
          <w:b/>
        </w:rPr>
        <w:t>Client:</w:t>
      </w:r>
      <w:r>
        <w:rPr>
          <w:b/>
          <w:spacing w:val="-7"/>
        </w:rPr>
        <w:t xml:space="preserve"> </w:t>
      </w:r>
      <w:r>
        <w:t>The</w:t>
      </w:r>
      <w:r>
        <w:rPr>
          <w:spacing w:val="-5"/>
        </w:rPr>
        <w:t xml:space="preserve"> </w:t>
      </w:r>
      <w:r>
        <w:t>way</w:t>
      </w:r>
      <w:r>
        <w:rPr>
          <w:spacing w:val="-4"/>
        </w:rPr>
        <w:t xml:space="preserve"> </w:t>
      </w:r>
      <w:r>
        <w:t>you’re</w:t>
      </w:r>
      <w:r>
        <w:rPr>
          <w:spacing w:val="-5"/>
        </w:rPr>
        <w:t xml:space="preserve"> </w:t>
      </w:r>
      <w:r>
        <w:t>talking,</w:t>
      </w:r>
      <w:r>
        <w:rPr>
          <w:spacing w:val="-3"/>
        </w:rPr>
        <w:t xml:space="preserve"> </w:t>
      </w:r>
      <w:r>
        <w:t>you</w:t>
      </w:r>
      <w:r>
        <w:rPr>
          <w:spacing w:val="-6"/>
        </w:rPr>
        <w:t xml:space="preserve"> </w:t>
      </w:r>
      <w:r>
        <w:t>think</w:t>
      </w:r>
      <w:r>
        <w:rPr>
          <w:spacing w:val="-3"/>
        </w:rPr>
        <w:t xml:space="preserve"> </w:t>
      </w:r>
      <w:r>
        <w:t>I’m</w:t>
      </w:r>
      <w:r>
        <w:rPr>
          <w:spacing w:val="-2"/>
        </w:rPr>
        <w:t xml:space="preserve"> </w:t>
      </w:r>
      <w:r>
        <w:t>an</w:t>
      </w:r>
      <w:r>
        <w:rPr>
          <w:spacing w:val="-4"/>
        </w:rPr>
        <w:t xml:space="preserve"> </w:t>
      </w:r>
      <w:r>
        <w:t>alcoholic,</w:t>
      </w:r>
      <w:r>
        <w:rPr>
          <w:spacing w:val="-3"/>
        </w:rPr>
        <w:t xml:space="preserve"> </w:t>
      </w:r>
      <w:r>
        <w:t>don’t</w:t>
      </w:r>
      <w:r>
        <w:rPr>
          <w:spacing w:val="-5"/>
        </w:rPr>
        <w:t xml:space="preserve"> </w:t>
      </w:r>
      <w:r>
        <w:rPr>
          <w:spacing w:val="-4"/>
        </w:rPr>
        <w:t>you?</w:t>
      </w:r>
    </w:p>
    <w:p w14:paraId="526D151C" w14:textId="77777777" w:rsidR="00DB6E1F" w:rsidRDefault="00F666A6">
      <w:pPr>
        <w:pStyle w:val="ListParagraph"/>
        <w:numPr>
          <w:ilvl w:val="1"/>
          <w:numId w:val="92"/>
        </w:numPr>
        <w:tabs>
          <w:tab w:val="left" w:pos="2159"/>
          <w:tab w:val="left" w:pos="2160"/>
        </w:tabs>
        <w:spacing w:before="58"/>
        <w:ind w:hanging="361"/>
      </w:pPr>
      <w:r>
        <w:rPr>
          <w:b/>
        </w:rPr>
        <w:t>Counselor:</w:t>
      </w:r>
      <w:r>
        <w:rPr>
          <w:b/>
          <w:spacing w:val="-6"/>
        </w:rPr>
        <w:t xml:space="preserve"> </w:t>
      </w:r>
      <w:r>
        <w:t>Labels</w:t>
      </w:r>
      <w:r>
        <w:rPr>
          <w:spacing w:val="-3"/>
        </w:rPr>
        <w:t xml:space="preserve"> </w:t>
      </w:r>
      <w:r>
        <w:t>aren’t</w:t>
      </w:r>
      <w:r>
        <w:rPr>
          <w:spacing w:val="-2"/>
        </w:rPr>
        <w:t xml:space="preserve"> </w:t>
      </w:r>
      <w:r>
        <w:t>important</w:t>
      </w:r>
      <w:r>
        <w:rPr>
          <w:spacing w:val="-5"/>
        </w:rPr>
        <w:t xml:space="preserve"> </w:t>
      </w:r>
      <w:r>
        <w:t>to</w:t>
      </w:r>
      <w:r>
        <w:rPr>
          <w:spacing w:val="-4"/>
        </w:rPr>
        <w:t xml:space="preserve"> </w:t>
      </w:r>
      <w:r>
        <w:t>me.</w:t>
      </w:r>
      <w:r>
        <w:rPr>
          <w:spacing w:val="-3"/>
        </w:rPr>
        <w:t xml:space="preserve"> </w:t>
      </w:r>
      <w:r>
        <w:t>What</w:t>
      </w:r>
      <w:r>
        <w:rPr>
          <w:spacing w:val="-5"/>
        </w:rPr>
        <w:t xml:space="preserve"> </w:t>
      </w:r>
      <w:r>
        <w:t>I</w:t>
      </w:r>
      <w:r>
        <w:rPr>
          <w:spacing w:val="-3"/>
        </w:rPr>
        <w:t xml:space="preserve"> </w:t>
      </w:r>
      <w:r>
        <w:t>care</w:t>
      </w:r>
      <w:r>
        <w:rPr>
          <w:spacing w:val="-4"/>
        </w:rPr>
        <w:t xml:space="preserve"> </w:t>
      </w:r>
      <w:r>
        <w:t>about</w:t>
      </w:r>
      <w:r>
        <w:rPr>
          <w:spacing w:val="-2"/>
        </w:rPr>
        <w:t xml:space="preserve"> </w:t>
      </w:r>
      <w:r>
        <w:t>is</w:t>
      </w:r>
      <w:r>
        <w:rPr>
          <w:spacing w:val="-3"/>
        </w:rPr>
        <w:t xml:space="preserve"> </w:t>
      </w:r>
      <w:r>
        <w:t>how</w:t>
      </w:r>
      <w:r>
        <w:rPr>
          <w:spacing w:val="-5"/>
        </w:rPr>
        <w:t xml:space="preserve"> </w:t>
      </w:r>
      <w:r>
        <w:t>to</w:t>
      </w:r>
      <w:r>
        <w:rPr>
          <w:spacing w:val="-2"/>
        </w:rPr>
        <w:t xml:space="preserve"> </w:t>
      </w:r>
      <w:r>
        <w:t>best</w:t>
      </w:r>
      <w:r>
        <w:rPr>
          <w:spacing w:val="-5"/>
        </w:rPr>
        <w:t xml:space="preserve"> </w:t>
      </w:r>
      <w:r>
        <w:t>help</w:t>
      </w:r>
      <w:r>
        <w:rPr>
          <w:spacing w:val="-5"/>
        </w:rPr>
        <w:t xml:space="preserve"> </w:t>
      </w:r>
      <w:r>
        <w:rPr>
          <w:spacing w:val="-4"/>
        </w:rPr>
        <w:t>you.</w:t>
      </w:r>
    </w:p>
    <w:p w14:paraId="3DCFC18B" w14:textId="77777777" w:rsidR="00DB6E1F" w:rsidRDefault="00F666A6">
      <w:pPr>
        <w:pStyle w:val="ListParagraph"/>
        <w:numPr>
          <w:ilvl w:val="0"/>
          <w:numId w:val="92"/>
        </w:numPr>
        <w:tabs>
          <w:tab w:val="left" w:pos="1799"/>
          <w:tab w:val="left" w:pos="1800"/>
        </w:tabs>
        <w:ind w:left="1799" w:right="1441"/>
        <w:rPr>
          <w:rFonts w:ascii="Symbol" w:hAnsi="Symbol"/>
        </w:rPr>
      </w:pPr>
      <w:r>
        <w:rPr>
          <w:b/>
        </w:rPr>
        <w:t>Emphasis</w:t>
      </w:r>
      <w:r>
        <w:rPr>
          <w:b/>
          <w:spacing w:val="-4"/>
        </w:rPr>
        <w:t xml:space="preserve"> </w:t>
      </w:r>
      <w:r>
        <w:rPr>
          <w:b/>
        </w:rPr>
        <w:t>on</w:t>
      </w:r>
      <w:r>
        <w:rPr>
          <w:b/>
          <w:spacing w:val="-3"/>
        </w:rPr>
        <w:t xml:space="preserve"> </w:t>
      </w:r>
      <w:r>
        <w:rPr>
          <w:b/>
        </w:rPr>
        <w:t>personal</w:t>
      </w:r>
      <w:r>
        <w:rPr>
          <w:b/>
          <w:spacing w:val="-1"/>
        </w:rPr>
        <w:t xml:space="preserve"> </w:t>
      </w:r>
      <w:r>
        <w:rPr>
          <w:b/>
        </w:rPr>
        <w:t>autonomy.</w:t>
      </w:r>
      <w:r>
        <w:rPr>
          <w:b/>
          <w:spacing w:val="-1"/>
        </w:rPr>
        <w:t xml:space="preserve"> </w:t>
      </w:r>
      <w:r>
        <w:t>Emphasizing</w:t>
      </w:r>
      <w:r>
        <w:rPr>
          <w:spacing w:val="-3"/>
        </w:rPr>
        <w:t xml:space="preserve"> </w:t>
      </w:r>
      <w:r>
        <w:t>that</w:t>
      </w:r>
      <w:r>
        <w:rPr>
          <w:spacing w:val="-1"/>
        </w:rPr>
        <w:t xml:space="preserve"> </w:t>
      </w:r>
      <w:r>
        <w:t>people</w:t>
      </w:r>
      <w:r>
        <w:rPr>
          <w:spacing w:val="-4"/>
        </w:rPr>
        <w:t xml:space="preserve"> </w:t>
      </w:r>
      <w:r>
        <w:t>have</w:t>
      </w:r>
      <w:r>
        <w:rPr>
          <w:spacing w:val="-4"/>
        </w:rPr>
        <w:t xml:space="preserve"> </w:t>
      </w:r>
      <w:r>
        <w:t>choices</w:t>
      </w:r>
      <w:r>
        <w:rPr>
          <w:spacing w:val="-4"/>
        </w:rPr>
        <w:t xml:space="preserve"> </w:t>
      </w:r>
      <w:r>
        <w:t>(even</w:t>
      </w:r>
      <w:r>
        <w:rPr>
          <w:spacing w:val="-3"/>
        </w:rPr>
        <w:t xml:space="preserve"> </w:t>
      </w:r>
      <w:r>
        <w:t>if</w:t>
      </w:r>
      <w:r>
        <w:rPr>
          <w:spacing w:val="-4"/>
        </w:rPr>
        <w:t xml:space="preserve"> </w:t>
      </w:r>
      <w:r>
        <w:t>all</w:t>
      </w:r>
      <w:r>
        <w:rPr>
          <w:spacing w:val="-2"/>
        </w:rPr>
        <w:t xml:space="preserve"> </w:t>
      </w:r>
      <w:r>
        <w:t>the</w:t>
      </w:r>
      <w:r>
        <w:rPr>
          <w:spacing w:val="-4"/>
        </w:rPr>
        <w:t xml:space="preserve"> </w:t>
      </w:r>
      <w:r>
        <w:t>choices</w:t>
      </w:r>
      <w:r>
        <w:rPr>
          <w:spacing w:val="-2"/>
        </w:rPr>
        <w:t xml:space="preserve"> </w:t>
      </w:r>
      <w:r>
        <w:t>have a downside) reinforces personal autonomy and</w:t>
      </w:r>
      <w:r>
        <w:rPr>
          <w:spacing w:val="-2"/>
        </w:rPr>
        <w:t xml:space="preserve"> </w:t>
      </w:r>
      <w:r>
        <w:t>opens</w:t>
      </w:r>
      <w:r>
        <w:rPr>
          <w:spacing w:val="-1"/>
        </w:rPr>
        <w:t xml:space="preserve"> </w:t>
      </w:r>
      <w:r>
        <w:t>up the possibility for</w:t>
      </w:r>
      <w:r>
        <w:rPr>
          <w:spacing w:val="-1"/>
        </w:rPr>
        <w:t xml:space="preserve"> </w:t>
      </w:r>
      <w:r>
        <w:t>clients to choose change instead of the status quo. When you make these statements, remember to use a neutral, nonjudgmental</w:t>
      </w:r>
      <w:r>
        <w:rPr>
          <w:spacing w:val="-2"/>
        </w:rPr>
        <w:t xml:space="preserve"> </w:t>
      </w:r>
      <w:r>
        <w:t>tone,</w:t>
      </w:r>
      <w:r>
        <w:rPr>
          <w:spacing w:val="-1"/>
        </w:rPr>
        <w:t xml:space="preserve"> </w:t>
      </w:r>
      <w:r>
        <w:t>without sarcasm. A dismissive</w:t>
      </w:r>
      <w:r>
        <w:rPr>
          <w:spacing w:val="-1"/>
        </w:rPr>
        <w:t xml:space="preserve"> </w:t>
      </w:r>
      <w:r>
        <w:t>tone can evoke</w:t>
      </w:r>
      <w:r>
        <w:rPr>
          <w:spacing w:val="-1"/>
        </w:rPr>
        <w:t xml:space="preserve"> </w:t>
      </w:r>
      <w:r>
        <w:t>strong reactions from the</w:t>
      </w:r>
      <w:r>
        <w:rPr>
          <w:spacing w:val="-1"/>
        </w:rPr>
        <w:t xml:space="preserve"> </w:t>
      </w:r>
      <w:r>
        <w:t>client.</w:t>
      </w:r>
    </w:p>
    <w:p w14:paraId="6640BA53" w14:textId="77777777" w:rsidR="00DB6E1F" w:rsidRDefault="00F666A6">
      <w:pPr>
        <w:pStyle w:val="ListParagraph"/>
        <w:numPr>
          <w:ilvl w:val="1"/>
          <w:numId w:val="92"/>
        </w:numPr>
        <w:tabs>
          <w:tab w:val="left" w:pos="2159"/>
          <w:tab w:val="left" w:pos="2160"/>
        </w:tabs>
        <w:spacing w:before="61"/>
        <w:ind w:hanging="361"/>
      </w:pPr>
      <w:r>
        <w:rPr>
          <w:b/>
        </w:rPr>
        <w:t>Client:</w:t>
      </w:r>
      <w:r>
        <w:rPr>
          <w:b/>
          <w:spacing w:val="-6"/>
        </w:rPr>
        <w:t xml:space="preserve"> </w:t>
      </w:r>
      <w:r>
        <w:t>I</w:t>
      </w:r>
      <w:r>
        <w:rPr>
          <w:spacing w:val="-6"/>
        </w:rPr>
        <w:t xml:space="preserve"> </w:t>
      </w:r>
      <w:r>
        <w:t>am</w:t>
      </w:r>
      <w:r>
        <w:rPr>
          <w:spacing w:val="-4"/>
        </w:rPr>
        <w:t xml:space="preserve"> </w:t>
      </w:r>
      <w:r>
        <w:t>really</w:t>
      </w:r>
      <w:r>
        <w:rPr>
          <w:spacing w:val="-2"/>
        </w:rPr>
        <w:t xml:space="preserve"> </w:t>
      </w:r>
      <w:r>
        <w:t>not</w:t>
      </w:r>
      <w:r>
        <w:rPr>
          <w:spacing w:val="-3"/>
        </w:rPr>
        <w:t xml:space="preserve"> </w:t>
      </w:r>
      <w:r>
        <w:t>interested</w:t>
      </w:r>
      <w:r>
        <w:rPr>
          <w:spacing w:val="-4"/>
        </w:rPr>
        <w:t xml:space="preserve"> </w:t>
      </w:r>
      <w:r>
        <w:t>in</w:t>
      </w:r>
      <w:r>
        <w:rPr>
          <w:spacing w:val="-4"/>
        </w:rPr>
        <w:t xml:space="preserve"> </w:t>
      </w:r>
      <w:r>
        <w:t>giving</w:t>
      </w:r>
      <w:r>
        <w:rPr>
          <w:spacing w:val="-4"/>
        </w:rPr>
        <w:t xml:space="preserve"> </w:t>
      </w:r>
      <w:r>
        <w:t>up</w:t>
      </w:r>
      <w:r>
        <w:rPr>
          <w:spacing w:val="-4"/>
        </w:rPr>
        <w:t xml:space="preserve"> </w:t>
      </w:r>
      <w:r>
        <w:t>drinking</w:t>
      </w:r>
      <w:r>
        <w:rPr>
          <w:spacing w:val="-5"/>
        </w:rPr>
        <w:t xml:space="preserve"> </w:t>
      </w:r>
      <w:r>
        <w:rPr>
          <w:spacing w:val="-2"/>
        </w:rPr>
        <w:t>completely.</w:t>
      </w:r>
    </w:p>
    <w:p w14:paraId="5C38F145" w14:textId="77777777" w:rsidR="00DB6E1F" w:rsidRDefault="00F666A6">
      <w:pPr>
        <w:pStyle w:val="BodyText"/>
        <w:tabs>
          <w:tab w:val="left" w:pos="2159"/>
        </w:tabs>
        <w:spacing w:before="57"/>
        <w:ind w:left="1799"/>
      </w:pPr>
      <w:r>
        <w:rPr>
          <w:spacing w:val="-10"/>
        </w:rPr>
        <w:t>‒</w:t>
      </w:r>
      <w:r>
        <w:tab/>
      </w:r>
      <w:r>
        <w:rPr>
          <w:b/>
        </w:rPr>
        <w:t>Counselor:</w:t>
      </w:r>
      <w:r>
        <w:rPr>
          <w:b/>
          <w:spacing w:val="-4"/>
        </w:rPr>
        <w:t xml:space="preserve"> </w:t>
      </w:r>
      <w:r>
        <w:t>It’s</w:t>
      </w:r>
      <w:r>
        <w:rPr>
          <w:spacing w:val="-2"/>
        </w:rPr>
        <w:t xml:space="preserve"> </w:t>
      </w:r>
      <w:r>
        <w:t>really</w:t>
      </w:r>
      <w:r>
        <w:rPr>
          <w:spacing w:val="-3"/>
        </w:rPr>
        <w:t xml:space="preserve"> </w:t>
      </w:r>
      <w:r>
        <w:t>up</w:t>
      </w:r>
      <w:r>
        <w:rPr>
          <w:spacing w:val="-3"/>
        </w:rPr>
        <w:t xml:space="preserve"> </w:t>
      </w:r>
      <w:r>
        <w:t>to</w:t>
      </w:r>
      <w:r>
        <w:rPr>
          <w:spacing w:val="-3"/>
        </w:rPr>
        <w:t xml:space="preserve"> </w:t>
      </w:r>
      <w:r>
        <w:t>you.</w:t>
      </w:r>
      <w:r>
        <w:rPr>
          <w:spacing w:val="-4"/>
        </w:rPr>
        <w:t xml:space="preserve"> </w:t>
      </w:r>
      <w:r>
        <w:t>No</w:t>
      </w:r>
      <w:r>
        <w:rPr>
          <w:spacing w:val="-3"/>
        </w:rPr>
        <w:t xml:space="preserve"> </w:t>
      </w:r>
      <w:r>
        <w:t>one</w:t>
      </w:r>
      <w:r>
        <w:rPr>
          <w:spacing w:val="-2"/>
        </w:rPr>
        <w:t xml:space="preserve"> </w:t>
      </w:r>
      <w:r>
        <w:t>can</w:t>
      </w:r>
      <w:r>
        <w:rPr>
          <w:spacing w:val="-5"/>
        </w:rPr>
        <w:t xml:space="preserve"> </w:t>
      </w:r>
      <w:r>
        <w:t>make</w:t>
      </w:r>
      <w:r>
        <w:rPr>
          <w:spacing w:val="-4"/>
        </w:rPr>
        <w:t xml:space="preserve"> </w:t>
      </w:r>
      <w:r>
        <w:t>that</w:t>
      </w:r>
      <w:r>
        <w:rPr>
          <w:spacing w:val="-4"/>
        </w:rPr>
        <w:t xml:space="preserve"> </w:t>
      </w:r>
      <w:r>
        <w:t>decision</w:t>
      </w:r>
      <w:r>
        <w:rPr>
          <w:spacing w:val="-5"/>
        </w:rPr>
        <w:t xml:space="preserve"> </w:t>
      </w:r>
      <w:r>
        <w:t>for</w:t>
      </w:r>
      <w:r>
        <w:rPr>
          <w:spacing w:val="-5"/>
        </w:rPr>
        <w:t xml:space="preserve"> </w:t>
      </w:r>
      <w:r>
        <w:rPr>
          <w:spacing w:val="-4"/>
        </w:rPr>
        <w:t>you.</w:t>
      </w:r>
    </w:p>
    <w:p w14:paraId="0F8CCC38" w14:textId="77777777" w:rsidR="00DB6E1F" w:rsidRDefault="00F666A6">
      <w:pPr>
        <w:pStyle w:val="BodyText"/>
        <w:spacing w:before="183"/>
        <w:ind w:left="1439"/>
      </w:pPr>
      <w:r>
        <w:t>All</w:t>
      </w:r>
      <w:r>
        <w:rPr>
          <w:spacing w:val="-3"/>
        </w:rPr>
        <w:t xml:space="preserve"> </w:t>
      </w:r>
      <w:r>
        <w:t>of</w:t>
      </w:r>
      <w:r>
        <w:rPr>
          <w:spacing w:val="-3"/>
        </w:rPr>
        <w:t xml:space="preserve"> </w:t>
      </w:r>
      <w:r>
        <w:t>these</w:t>
      </w:r>
      <w:r>
        <w:rPr>
          <w:spacing w:val="-4"/>
        </w:rPr>
        <w:t xml:space="preserve"> </w:t>
      </w:r>
      <w:r>
        <w:t>strategies</w:t>
      </w:r>
      <w:r>
        <w:rPr>
          <w:spacing w:val="-3"/>
        </w:rPr>
        <w:t xml:space="preserve"> </w:t>
      </w:r>
      <w:r>
        <w:t>have</w:t>
      </w:r>
      <w:r>
        <w:rPr>
          <w:spacing w:val="-4"/>
        </w:rPr>
        <w:t xml:space="preserve"> </w:t>
      </w:r>
      <w:r>
        <w:t>one</w:t>
      </w:r>
      <w:r>
        <w:rPr>
          <w:spacing w:val="-5"/>
        </w:rPr>
        <w:t xml:space="preserve"> </w:t>
      </w:r>
      <w:r>
        <w:t>thing</w:t>
      </w:r>
      <w:r>
        <w:rPr>
          <w:spacing w:val="-3"/>
        </w:rPr>
        <w:t xml:space="preserve"> </w:t>
      </w:r>
      <w:r>
        <w:t>in</w:t>
      </w:r>
      <w:r>
        <w:rPr>
          <w:spacing w:val="-4"/>
        </w:rPr>
        <w:t xml:space="preserve"> </w:t>
      </w:r>
      <w:r>
        <w:t>common:</w:t>
      </w:r>
      <w:r>
        <w:rPr>
          <w:spacing w:val="-3"/>
        </w:rPr>
        <w:t xml:space="preserve"> </w:t>
      </w:r>
      <w:r>
        <w:t>They</w:t>
      </w:r>
      <w:r>
        <w:rPr>
          <w:spacing w:val="-2"/>
        </w:rPr>
        <w:t xml:space="preserve"> </w:t>
      </w:r>
      <w:r>
        <w:t>are</w:t>
      </w:r>
      <w:r>
        <w:rPr>
          <w:spacing w:val="-4"/>
        </w:rPr>
        <w:t xml:space="preserve"> </w:t>
      </w:r>
      <w:r>
        <w:t>delivered</w:t>
      </w:r>
      <w:r>
        <w:rPr>
          <w:spacing w:val="-3"/>
        </w:rPr>
        <w:t xml:space="preserve"> </w:t>
      </w:r>
      <w:r>
        <w:t>in</w:t>
      </w:r>
      <w:r>
        <w:rPr>
          <w:spacing w:val="-5"/>
        </w:rPr>
        <w:t xml:space="preserve"> </w:t>
      </w:r>
      <w:r>
        <w:t>the</w:t>
      </w:r>
      <w:r>
        <w:rPr>
          <w:spacing w:val="-2"/>
        </w:rPr>
        <w:t xml:space="preserve"> </w:t>
      </w:r>
      <w:r>
        <w:t>spirit</w:t>
      </w:r>
      <w:r>
        <w:rPr>
          <w:spacing w:val="-6"/>
        </w:rPr>
        <w:t xml:space="preserve"> </w:t>
      </w:r>
      <w:r>
        <w:t>of</w:t>
      </w:r>
      <w:r>
        <w:rPr>
          <w:spacing w:val="-5"/>
        </w:rPr>
        <w:t xml:space="preserve"> MI.</w:t>
      </w:r>
    </w:p>
    <w:p w14:paraId="27834641" w14:textId="77777777" w:rsidR="00DB6E1F" w:rsidRDefault="00DB6E1F">
      <w:pPr>
        <w:pStyle w:val="BodyText"/>
        <w:spacing w:before="7"/>
        <w:rPr>
          <w:sz w:val="16"/>
        </w:rPr>
      </w:pPr>
    </w:p>
    <w:p w14:paraId="722AF125" w14:textId="77777777" w:rsidR="00DB6E1F" w:rsidRDefault="00F666A6">
      <w:pPr>
        <w:pStyle w:val="Heading4"/>
        <w:spacing w:before="1"/>
      </w:pPr>
      <w:bookmarkStart w:id="112" w:name="Developing_discrepancy:_A_values_convers"/>
      <w:bookmarkEnd w:id="112"/>
      <w:r>
        <w:t>Developing</w:t>
      </w:r>
      <w:r>
        <w:rPr>
          <w:spacing w:val="-11"/>
        </w:rPr>
        <w:t xml:space="preserve"> </w:t>
      </w:r>
      <w:r>
        <w:t>discrepancy:</w:t>
      </w:r>
      <w:r>
        <w:rPr>
          <w:spacing w:val="-10"/>
        </w:rPr>
        <w:t xml:space="preserve"> </w:t>
      </w:r>
      <w:r>
        <w:t>A</w:t>
      </w:r>
      <w:r>
        <w:rPr>
          <w:spacing w:val="-12"/>
        </w:rPr>
        <w:t xml:space="preserve"> </w:t>
      </w:r>
      <w:r>
        <w:t>values</w:t>
      </w:r>
      <w:r>
        <w:rPr>
          <w:spacing w:val="-7"/>
        </w:rPr>
        <w:t xml:space="preserve"> </w:t>
      </w:r>
      <w:r>
        <w:rPr>
          <w:spacing w:val="-2"/>
        </w:rPr>
        <w:t>conversation</w:t>
      </w:r>
    </w:p>
    <w:p w14:paraId="747207DB" w14:textId="77777777" w:rsidR="00DB6E1F" w:rsidRDefault="00F666A6">
      <w:pPr>
        <w:pStyle w:val="BodyText"/>
        <w:spacing w:before="83"/>
        <w:ind w:left="1439" w:right="1437"/>
      </w:pPr>
      <w:r>
        <w:t>Developing</w:t>
      </w:r>
      <w:r>
        <w:rPr>
          <w:spacing w:val="-2"/>
        </w:rPr>
        <w:t xml:space="preserve"> </w:t>
      </w:r>
      <w:r>
        <w:t>discrepancy</w:t>
      </w:r>
      <w:r>
        <w:rPr>
          <w:spacing w:val="-3"/>
        </w:rPr>
        <w:t xml:space="preserve"> </w:t>
      </w:r>
      <w:r>
        <w:t>has</w:t>
      </w:r>
      <w:r>
        <w:rPr>
          <w:spacing w:val="-1"/>
        </w:rPr>
        <w:t xml:space="preserve"> </w:t>
      </w:r>
      <w:r>
        <w:t>been</w:t>
      </w:r>
      <w:r>
        <w:rPr>
          <w:spacing w:val="-2"/>
        </w:rPr>
        <w:t xml:space="preserve"> </w:t>
      </w:r>
      <w:r>
        <w:t>a</w:t>
      </w:r>
      <w:r>
        <w:rPr>
          <w:spacing w:val="-3"/>
        </w:rPr>
        <w:t xml:space="preserve"> </w:t>
      </w:r>
      <w:r>
        <w:t>key</w:t>
      </w:r>
      <w:r>
        <w:rPr>
          <w:spacing w:val="-1"/>
        </w:rPr>
        <w:t xml:space="preserve"> </w:t>
      </w:r>
      <w:r>
        <w:t>element</w:t>
      </w:r>
      <w:r>
        <w:rPr>
          <w:spacing w:val="-3"/>
        </w:rPr>
        <w:t xml:space="preserve"> </w:t>
      </w:r>
      <w:r>
        <w:t>of</w:t>
      </w:r>
      <w:r>
        <w:rPr>
          <w:spacing w:val="-3"/>
        </w:rPr>
        <w:t xml:space="preserve"> </w:t>
      </w:r>
      <w:r>
        <w:t>MI</w:t>
      </w:r>
      <w:r>
        <w:rPr>
          <w:spacing w:val="-4"/>
        </w:rPr>
        <w:t xml:space="preserve"> </w:t>
      </w:r>
      <w:r>
        <w:t>since</w:t>
      </w:r>
      <w:r>
        <w:rPr>
          <w:spacing w:val="-1"/>
        </w:rPr>
        <w:t xml:space="preserve"> </w:t>
      </w:r>
      <w:r>
        <w:t>its</w:t>
      </w:r>
      <w:r>
        <w:rPr>
          <w:spacing w:val="-1"/>
        </w:rPr>
        <w:t xml:space="preserve"> </w:t>
      </w:r>
      <w:r>
        <w:t>inception.</w:t>
      </w:r>
      <w:r>
        <w:rPr>
          <w:spacing w:val="-2"/>
        </w:rPr>
        <w:t xml:space="preserve"> </w:t>
      </w:r>
      <w:r>
        <w:t>It</w:t>
      </w:r>
      <w:r>
        <w:rPr>
          <w:spacing w:val="-3"/>
        </w:rPr>
        <w:t xml:space="preserve"> </w:t>
      </w:r>
      <w:r>
        <w:t>was</w:t>
      </w:r>
      <w:r>
        <w:rPr>
          <w:spacing w:val="-3"/>
        </w:rPr>
        <w:t xml:space="preserve"> </w:t>
      </w:r>
      <w:r>
        <w:t>originally</w:t>
      </w:r>
      <w:r>
        <w:rPr>
          <w:spacing w:val="-1"/>
        </w:rPr>
        <w:t xml:space="preserve"> </w:t>
      </w:r>
      <w:r>
        <w:t>one</w:t>
      </w:r>
      <w:r>
        <w:rPr>
          <w:spacing w:val="-3"/>
        </w:rPr>
        <w:t xml:space="preserve"> </w:t>
      </w:r>
      <w:r>
        <w:t>of</w:t>
      </w:r>
      <w:r>
        <w:rPr>
          <w:spacing w:val="-4"/>
        </w:rPr>
        <w:t xml:space="preserve"> </w:t>
      </w:r>
      <w:r>
        <w:t>the four principles of MI. In the current version, exploring the discrepancy between clients’ values and their substance use behavior has been folded into the evoking process. When clients recognize discrepancies in</w:t>
      </w:r>
      <w:r>
        <w:rPr>
          <w:spacing w:val="-2"/>
        </w:rPr>
        <w:t xml:space="preserve"> </w:t>
      </w:r>
      <w:r>
        <w:t>their</w:t>
      </w:r>
      <w:r>
        <w:rPr>
          <w:spacing w:val="-1"/>
        </w:rPr>
        <w:t xml:space="preserve"> </w:t>
      </w:r>
      <w:r>
        <w:t>values,</w:t>
      </w:r>
      <w:r>
        <w:rPr>
          <w:spacing w:val="-1"/>
        </w:rPr>
        <w:t xml:space="preserve"> </w:t>
      </w:r>
      <w:r>
        <w:t>goals,</w:t>
      </w:r>
      <w:r>
        <w:rPr>
          <w:spacing w:val="-1"/>
        </w:rPr>
        <w:t xml:space="preserve"> </w:t>
      </w:r>
      <w:r>
        <w:t>and</w:t>
      </w:r>
      <w:r>
        <w:rPr>
          <w:spacing w:val="-2"/>
        </w:rPr>
        <w:t xml:space="preserve"> </w:t>
      </w:r>
      <w:r>
        <w:t>hopes</w:t>
      </w:r>
      <w:r>
        <w:rPr>
          <w:spacing w:val="-1"/>
        </w:rPr>
        <w:t xml:space="preserve"> </w:t>
      </w:r>
      <w:r>
        <w:t>for</w:t>
      </w:r>
      <w:r>
        <w:rPr>
          <w:spacing w:val="-3"/>
        </w:rPr>
        <w:t xml:space="preserve"> </w:t>
      </w:r>
      <w:r>
        <w:t>the f</w:t>
      </w:r>
      <w:r>
        <w:t>uture,</w:t>
      </w:r>
      <w:r>
        <w:rPr>
          <w:spacing w:val="-1"/>
        </w:rPr>
        <w:t xml:space="preserve"> </w:t>
      </w:r>
      <w:r>
        <w:t>their</w:t>
      </w:r>
      <w:r>
        <w:rPr>
          <w:spacing w:val="-3"/>
        </w:rPr>
        <w:t xml:space="preserve"> </w:t>
      </w:r>
      <w:r>
        <w:t>motivation</w:t>
      </w:r>
      <w:r>
        <w:rPr>
          <w:spacing w:val="-2"/>
        </w:rPr>
        <w:t xml:space="preserve"> </w:t>
      </w:r>
      <w:r>
        <w:t>to change increases.</w:t>
      </w:r>
      <w:r>
        <w:rPr>
          <w:spacing w:val="-2"/>
        </w:rPr>
        <w:t xml:space="preserve"> </w:t>
      </w:r>
      <w:r>
        <w:rPr>
          <w:b/>
        </w:rPr>
        <w:t>Your task</w:t>
      </w:r>
      <w:r>
        <w:rPr>
          <w:b/>
          <w:spacing w:val="-1"/>
        </w:rPr>
        <w:t xml:space="preserve"> </w:t>
      </w:r>
      <w:r>
        <w:rPr>
          <w:b/>
        </w:rPr>
        <w:t>is to</w:t>
      </w:r>
      <w:r>
        <w:rPr>
          <w:b/>
          <w:spacing w:val="-2"/>
        </w:rPr>
        <w:t xml:space="preserve"> </w:t>
      </w:r>
      <w:r>
        <w:rPr>
          <w:b/>
        </w:rPr>
        <w:t xml:space="preserve">help clients focus on how their behavior conflicts with their values and goals. </w:t>
      </w:r>
      <w:r>
        <w:t>The focus is on intrinsic motivation. MI doesn’t work if you focus only on how clients’ substance use behavior is i</w:t>
      </w:r>
      <w:r>
        <w:t>n conflict with external pressure (e.g., family, an employer, the court) (Miller &amp; Rollnick, 2013).</w:t>
      </w:r>
    </w:p>
    <w:p w14:paraId="55A460A8" w14:textId="77777777" w:rsidR="00DB6E1F" w:rsidRDefault="00F666A6">
      <w:pPr>
        <w:pStyle w:val="BodyText"/>
        <w:spacing w:before="160"/>
        <w:ind w:left="1438" w:right="1491"/>
      </w:pPr>
      <w:r>
        <w:t>To facilitate discrepancy, have a values conversation to explore what is important to the client (e.g., good heath, positive relationships with family, bein</w:t>
      </w:r>
      <w:r>
        <w:t>g a responsible member of the community, preventing another hospitalization, staying out of jail), then highlight the conflict the client feels between</w:t>
      </w:r>
      <w:r>
        <w:rPr>
          <w:spacing w:val="-2"/>
        </w:rPr>
        <w:t xml:space="preserve"> </w:t>
      </w:r>
      <w:r>
        <w:t>his</w:t>
      </w:r>
      <w:r>
        <w:rPr>
          <w:spacing w:val="-4"/>
        </w:rPr>
        <w:t xml:space="preserve"> </w:t>
      </w:r>
      <w:r>
        <w:t>or</w:t>
      </w:r>
      <w:r>
        <w:rPr>
          <w:spacing w:val="-2"/>
        </w:rPr>
        <w:t xml:space="preserve"> </w:t>
      </w:r>
      <w:r>
        <w:t>her</w:t>
      </w:r>
      <w:r>
        <w:rPr>
          <w:spacing w:val="-4"/>
        </w:rPr>
        <w:t xml:space="preserve"> </w:t>
      </w:r>
      <w:r>
        <w:t>substance</w:t>
      </w:r>
      <w:r>
        <w:rPr>
          <w:spacing w:val="-1"/>
        </w:rPr>
        <w:t xml:space="preserve"> </w:t>
      </w:r>
      <w:r>
        <w:t>use</w:t>
      </w:r>
      <w:r>
        <w:rPr>
          <w:spacing w:val="-4"/>
        </w:rPr>
        <w:t xml:space="preserve"> </w:t>
      </w:r>
      <w:r>
        <w:t>behaviors</w:t>
      </w:r>
      <w:r>
        <w:rPr>
          <w:spacing w:val="-2"/>
        </w:rPr>
        <w:t xml:space="preserve"> </w:t>
      </w:r>
      <w:r>
        <w:t>and</w:t>
      </w:r>
      <w:r>
        <w:rPr>
          <w:spacing w:val="-5"/>
        </w:rPr>
        <w:t xml:space="preserve"> </w:t>
      </w:r>
      <w:r>
        <w:t>those</w:t>
      </w:r>
      <w:r>
        <w:rPr>
          <w:spacing w:val="-4"/>
        </w:rPr>
        <w:t xml:space="preserve"> </w:t>
      </w:r>
      <w:r>
        <w:t>values.</w:t>
      </w:r>
      <w:r>
        <w:rPr>
          <w:spacing w:val="-5"/>
        </w:rPr>
        <w:t xml:space="preserve"> </w:t>
      </w:r>
      <w:r>
        <w:t>Client</w:t>
      </w:r>
      <w:r>
        <w:rPr>
          <w:spacing w:val="-4"/>
        </w:rPr>
        <w:t xml:space="preserve"> </w:t>
      </w:r>
      <w:r>
        <w:t>experience</w:t>
      </w:r>
      <w:r>
        <w:rPr>
          <w:spacing w:val="-4"/>
        </w:rPr>
        <w:t xml:space="preserve"> </w:t>
      </w:r>
      <w:r>
        <w:t>of</w:t>
      </w:r>
      <w:r>
        <w:rPr>
          <w:spacing w:val="-2"/>
        </w:rPr>
        <w:t xml:space="preserve"> </w:t>
      </w:r>
      <w:r>
        <w:t>discrepancy</w:t>
      </w:r>
      <w:r>
        <w:rPr>
          <w:spacing w:val="-3"/>
        </w:rPr>
        <w:t xml:space="preserve"> </w:t>
      </w:r>
      <w:r>
        <w:t>between values and</w:t>
      </w:r>
      <w:r>
        <w:t xml:space="preserve"> substance use behavior is related to better client outcomes (Apodaca &amp; Longabaugh, 2009).</w:t>
      </w:r>
    </w:p>
    <w:p w14:paraId="1E1CEFDD" w14:textId="77777777" w:rsidR="00DB6E1F" w:rsidRDefault="00F666A6">
      <w:pPr>
        <w:pStyle w:val="BodyText"/>
        <w:spacing w:before="159"/>
        <w:ind w:left="1438" w:right="1491"/>
      </w:pPr>
      <w:r>
        <w:t>This process can raise</w:t>
      </w:r>
      <w:r>
        <w:rPr>
          <w:spacing w:val="-1"/>
        </w:rPr>
        <w:t xml:space="preserve"> </w:t>
      </w:r>
      <w:r>
        <w:t>uncomfortable feelings like guilt</w:t>
      </w:r>
      <w:r>
        <w:rPr>
          <w:spacing w:val="-1"/>
        </w:rPr>
        <w:t xml:space="preserve"> </w:t>
      </w:r>
      <w:r>
        <w:t>or shame.</w:t>
      </w:r>
      <w:r>
        <w:rPr>
          <w:spacing w:val="-1"/>
        </w:rPr>
        <w:t xml:space="preserve"> </w:t>
      </w:r>
      <w:r>
        <w:t>Frame the conversation by</w:t>
      </w:r>
      <w:r>
        <w:rPr>
          <w:spacing w:val="-1"/>
        </w:rPr>
        <w:t xml:space="preserve"> </w:t>
      </w:r>
      <w:r>
        <w:t>conveying acceptance, compassion, and affirmation. The paradox of accept</w:t>
      </w:r>
      <w:r>
        <w:t>ance is that it helps people tolerate more</w:t>
      </w:r>
      <w:r>
        <w:rPr>
          <w:spacing w:val="-1"/>
        </w:rPr>
        <w:t xml:space="preserve"> </w:t>
      </w:r>
      <w:r>
        <w:t>discrepancy</w:t>
      </w:r>
      <w:r>
        <w:rPr>
          <w:spacing w:val="-3"/>
        </w:rPr>
        <w:t xml:space="preserve"> </w:t>
      </w:r>
      <w:r>
        <w:t>and,</w:t>
      </w:r>
      <w:r>
        <w:rPr>
          <w:spacing w:val="-2"/>
        </w:rPr>
        <w:t xml:space="preserve"> </w:t>
      </w:r>
      <w:r>
        <w:t>instead</w:t>
      </w:r>
      <w:r>
        <w:rPr>
          <w:spacing w:val="-3"/>
        </w:rPr>
        <w:t xml:space="preserve"> </w:t>
      </w:r>
      <w:r>
        <w:t>of</w:t>
      </w:r>
      <w:r>
        <w:rPr>
          <w:spacing w:val="-4"/>
        </w:rPr>
        <w:t xml:space="preserve"> </w:t>
      </w:r>
      <w:r>
        <w:t>avoiding</w:t>
      </w:r>
      <w:r>
        <w:rPr>
          <w:spacing w:val="-3"/>
        </w:rPr>
        <w:t xml:space="preserve"> </w:t>
      </w:r>
      <w:r>
        <w:t>that</w:t>
      </w:r>
      <w:r>
        <w:rPr>
          <w:spacing w:val="-4"/>
        </w:rPr>
        <w:t xml:space="preserve"> </w:t>
      </w:r>
      <w:r>
        <w:t>tension,</w:t>
      </w:r>
      <w:r>
        <w:rPr>
          <w:spacing w:val="-2"/>
        </w:rPr>
        <w:t xml:space="preserve"> </w:t>
      </w:r>
      <w:r>
        <w:t>propels</w:t>
      </w:r>
      <w:r>
        <w:rPr>
          <w:spacing w:val="-4"/>
        </w:rPr>
        <w:t xml:space="preserve"> </w:t>
      </w:r>
      <w:r>
        <w:t>them</w:t>
      </w:r>
      <w:r>
        <w:rPr>
          <w:spacing w:val="-1"/>
        </w:rPr>
        <w:t xml:space="preserve"> </w:t>
      </w:r>
      <w:r>
        <w:t>toward</w:t>
      </w:r>
      <w:r>
        <w:rPr>
          <w:spacing w:val="-5"/>
        </w:rPr>
        <w:t xml:space="preserve"> </w:t>
      </w:r>
      <w:r>
        <w:t>change</w:t>
      </w:r>
      <w:r>
        <w:rPr>
          <w:spacing w:val="-1"/>
        </w:rPr>
        <w:t xml:space="preserve"> </w:t>
      </w:r>
      <w:r>
        <w:t>(Miller</w:t>
      </w:r>
      <w:r>
        <w:rPr>
          <w:spacing w:val="-2"/>
        </w:rPr>
        <w:t xml:space="preserve"> </w:t>
      </w:r>
      <w:r>
        <w:t>&amp;</w:t>
      </w:r>
      <w:r>
        <w:rPr>
          <w:spacing w:val="-4"/>
        </w:rPr>
        <w:t xml:space="preserve"> </w:t>
      </w:r>
      <w:r>
        <w:t>Rollnick, 2013).</w:t>
      </w:r>
      <w:r>
        <w:rPr>
          <w:spacing w:val="-3"/>
        </w:rPr>
        <w:t xml:space="preserve"> </w:t>
      </w:r>
      <w:r>
        <w:t>However,</w:t>
      </w:r>
      <w:r>
        <w:rPr>
          <w:spacing w:val="-4"/>
        </w:rPr>
        <w:t xml:space="preserve"> </w:t>
      </w:r>
      <w:r>
        <w:t>too</w:t>
      </w:r>
      <w:r>
        <w:rPr>
          <w:spacing w:val="-3"/>
        </w:rPr>
        <w:t xml:space="preserve"> </w:t>
      </w:r>
      <w:r>
        <w:t>much</w:t>
      </w:r>
      <w:r>
        <w:rPr>
          <w:spacing w:val="-5"/>
        </w:rPr>
        <w:t xml:space="preserve"> </w:t>
      </w:r>
      <w:r>
        <w:t>discrepancy</w:t>
      </w:r>
      <w:r>
        <w:rPr>
          <w:spacing w:val="-3"/>
        </w:rPr>
        <w:t xml:space="preserve"> </w:t>
      </w:r>
      <w:r>
        <w:t>may</w:t>
      </w:r>
      <w:r>
        <w:rPr>
          <w:spacing w:val="-3"/>
        </w:rPr>
        <w:t xml:space="preserve"> </w:t>
      </w:r>
      <w:r>
        <w:t>overwhelm the</w:t>
      </w:r>
      <w:r>
        <w:rPr>
          <w:spacing w:val="-1"/>
        </w:rPr>
        <w:t xml:space="preserve"> </w:t>
      </w:r>
      <w:r>
        <w:t>client</w:t>
      </w:r>
      <w:r>
        <w:rPr>
          <w:spacing w:val="-1"/>
        </w:rPr>
        <w:t xml:space="preserve"> </w:t>
      </w:r>
      <w:r>
        <w:t>and</w:t>
      </w:r>
      <w:r>
        <w:rPr>
          <w:spacing w:val="-3"/>
        </w:rPr>
        <w:t xml:space="preserve"> </w:t>
      </w:r>
      <w:r>
        <w:t>cause</w:t>
      </w:r>
      <w:r>
        <w:rPr>
          <w:spacing w:val="-1"/>
        </w:rPr>
        <w:t xml:space="preserve"> </w:t>
      </w:r>
      <w:r>
        <w:t>him</w:t>
      </w:r>
      <w:r>
        <w:rPr>
          <w:spacing w:val="-6"/>
        </w:rPr>
        <w:t xml:space="preserve"> </w:t>
      </w:r>
      <w:r>
        <w:t>or</w:t>
      </w:r>
      <w:r>
        <w:rPr>
          <w:spacing w:val="-2"/>
        </w:rPr>
        <w:t xml:space="preserve"> </w:t>
      </w:r>
      <w:r>
        <w:t>her</w:t>
      </w:r>
      <w:r>
        <w:rPr>
          <w:spacing w:val="-4"/>
        </w:rPr>
        <w:t xml:space="preserve"> </w:t>
      </w:r>
      <w:r>
        <w:t>to</w:t>
      </w:r>
      <w:r>
        <w:rPr>
          <w:spacing w:val="-3"/>
        </w:rPr>
        <w:t xml:space="preserve"> </w:t>
      </w:r>
      <w:r>
        <w:t>think</w:t>
      </w:r>
      <w:r>
        <w:rPr>
          <w:spacing w:val="-2"/>
        </w:rPr>
        <w:t xml:space="preserve"> </w:t>
      </w:r>
      <w:r>
        <w:t>change is not possible (Miller &amp; Rollnick, 2013).</w:t>
      </w:r>
    </w:p>
    <w:p w14:paraId="572ABB2A" w14:textId="77777777" w:rsidR="00DB6E1F" w:rsidRDefault="00F666A6">
      <w:pPr>
        <w:spacing w:before="159"/>
        <w:ind w:left="1438" w:right="1491"/>
      </w:pPr>
      <w:r>
        <w:rPr>
          <w:b/>
        </w:rPr>
        <w:t xml:space="preserve">To help a client perceive discrepancy, you can use what is sometimes termed the “Columbo approach.” </w:t>
      </w:r>
      <w:r>
        <w:t>Initially developed by Kanfer &amp; Schefft (1988), this approach remains a staple of MI and is particularly u</w:t>
      </w:r>
      <w:r>
        <w:t>seful with a client who is in the Precontemplation stage and needs to be in charge of the conversation.</w:t>
      </w:r>
      <w:r>
        <w:rPr>
          <w:spacing w:val="-3"/>
        </w:rPr>
        <w:t xml:space="preserve"> </w:t>
      </w:r>
      <w:r>
        <w:t>Essentially,</w:t>
      </w:r>
      <w:r>
        <w:rPr>
          <w:spacing w:val="-3"/>
        </w:rPr>
        <w:t xml:space="preserve"> </w:t>
      </w:r>
      <w:r>
        <w:t>the</w:t>
      </w:r>
      <w:r>
        <w:rPr>
          <w:spacing w:val="-2"/>
        </w:rPr>
        <w:t xml:space="preserve"> </w:t>
      </w:r>
      <w:r>
        <w:t>counselor</w:t>
      </w:r>
      <w:r>
        <w:rPr>
          <w:spacing w:val="-5"/>
        </w:rPr>
        <w:t xml:space="preserve"> </w:t>
      </w:r>
      <w:r>
        <w:t>expresses</w:t>
      </w:r>
      <w:r>
        <w:rPr>
          <w:spacing w:val="-5"/>
        </w:rPr>
        <w:t xml:space="preserve"> </w:t>
      </w:r>
      <w:r>
        <w:t>understanding</w:t>
      </w:r>
      <w:r>
        <w:rPr>
          <w:spacing w:val="-4"/>
        </w:rPr>
        <w:t xml:space="preserve"> </w:t>
      </w:r>
      <w:r>
        <w:t>and</w:t>
      </w:r>
      <w:r>
        <w:rPr>
          <w:spacing w:val="-4"/>
        </w:rPr>
        <w:t xml:space="preserve"> </w:t>
      </w:r>
      <w:r>
        <w:t>continuously</w:t>
      </w:r>
      <w:r>
        <w:rPr>
          <w:spacing w:val="-2"/>
        </w:rPr>
        <w:t xml:space="preserve"> </w:t>
      </w:r>
      <w:r>
        <w:t>seeks</w:t>
      </w:r>
      <w:r>
        <w:rPr>
          <w:spacing w:val="-5"/>
        </w:rPr>
        <w:t xml:space="preserve"> </w:t>
      </w:r>
      <w:r>
        <w:t>clarification</w:t>
      </w:r>
      <w:r>
        <w:rPr>
          <w:spacing w:val="-6"/>
        </w:rPr>
        <w:t xml:space="preserve"> </w:t>
      </w:r>
      <w:r>
        <w:t>of the client’s problem but appears unable to perceive any solut</w:t>
      </w:r>
      <w:r>
        <w:t>ion.</w:t>
      </w:r>
    </w:p>
    <w:p w14:paraId="1D5B17D8" w14:textId="77777777" w:rsidR="00DB6E1F" w:rsidRDefault="00DB6E1F">
      <w:pPr>
        <w:pStyle w:val="BodyText"/>
        <w:spacing w:before="5"/>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2595780A" w14:textId="77777777">
        <w:trPr>
          <w:trHeight w:val="503"/>
        </w:trPr>
        <w:tc>
          <w:tcPr>
            <w:tcW w:w="9350" w:type="dxa"/>
            <w:shd w:val="clear" w:color="auto" w:fill="050505"/>
          </w:tcPr>
          <w:p w14:paraId="4AAE8E4A" w14:textId="77777777" w:rsidR="00DB6E1F" w:rsidRDefault="00F666A6">
            <w:pPr>
              <w:pStyle w:val="TableParagraph"/>
              <w:spacing w:before="102"/>
              <w:ind w:left="114"/>
              <w:jc w:val="center"/>
              <w:rPr>
                <w:sz w:val="24"/>
              </w:rPr>
            </w:pPr>
            <w:r>
              <w:rPr>
                <w:color w:val="FFFFFF"/>
                <w:sz w:val="24"/>
              </w:rPr>
              <w:t>Expert</w:t>
            </w:r>
            <w:r>
              <w:rPr>
                <w:color w:val="FFFFFF"/>
                <w:spacing w:val="-3"/>
                <w:sz w:val="24"/>
              </w:rPr>
              <w:t xml:space="preserve"> </w:t>
            </w:r>
            <w:r>
              <w:rPr>
                <w:color w:val="FFFFFF"/>
                <w:sz w:val="24"/>
              </w:rPr>
              <w:t>Comment:</w:t>
            </w:r>
            <w:r>
              <w:rPr>
                <w:color w:val="FFFFFF"/>
                <w:spacing w:val="-3"/>
                <w:sz w:val="24"/>
              </w:rPr>
              <w:t xml:space="preserve"> </w:t>
            </w:r>
            <w:r>
              <w:rPr>
                <w:color w:val="FFFFFF"/>
                <w:sz w:val="24"/>
              </w:rPr>
              <w:t>The Columbo</w:t>
            </w:r>
            <w:r>
              <w:rPr>
                <w:color w:val="FFFFFF"/>
                <w:spacing w:val="-2"/>
                <w:sz w:val="24"/>
              </w:rPr>
              <w:t xml:space="preserve"> Approach</w:t>
            </w:r>
          </w:p>
        </w:tc>
      </w:tr>
      <w:tr w:rsidR="00DB6E1F" w14:paraId="6FCFD68E" w14:textId="77777777">
        <w:trPr>
          <w:trHeight w:val="1341"/>
        </w:trPr>
        <w:tc>
          <w:tcPr>
            <w:tcW w:w="9350" w:type="dxa"/>
          </w:tcPr>
          <w:p w14:paraId="722AD239" w14:textId="77777777" w:rsidR="00DB6E1F" w:rsidRDefault="00F666A6">
            <w:pPr>
              <w:pStyle w:val="TableParagraph"/>
              <w:ind w:right="117"/>
              <w:rPr>
                <w:sz w:val="20"/>
              </w:rPr>
            </w:pPr>
            <w:r>
              <w:rPr>
                <w:sz w:val="20"/>
              </w:rPr>
              <w:t xml:space="preserve">Sometimes I use what I refer to as the Columbo approach to develop discrepancy with clients. In the old </w:t>
            </w:r>
            <w:r>
              <w:rPr>
                <w:i/>
                <w:sz w:val="20"/>
              </w:rPr>
              <w:t xml:space="preserve">Columbo </w:t>
            </w:r>
            <w:r>
              <w:rPr>
                <w:sz w:val="20"/>
              </w:rPr>
              <w:t>television series, Peter Falk played a detective named Columbo who had a sense of what had really occurred</w:t>
            </w:r>
            <w:r>
              <w:rPr>
                <w:spacing w:val="-2"/>
                <w:sz w:val="20"/>
              </w:rPr>
              <w:t xml:space="preserve"> </w:t>
            </w:r>
            <w:r>
              <w:rPr>
                <w:sz w:val="20"/>
              </w:rPr>
              <w:t>but</w:t>
            </w:r>
            <w:r>
              <w:rPr>
                <w:spacing w:val="-3"/>
                <w:sz w:val="20"/>
              </w:rPr>
              <w:t xml:space="preserve"> </w:t>
            </w:r>
            <w:r>
              <w:rPr>
                <w:sz w:val="20"/>
              </w:rPr>
              <w:t>used</w:t>
            </w:r>
            <w:r>
              <w:rPr>
                <w:spacing w:val="-2"/>
                <w:sz w:val="20"/>
              </w:rPr>
              <w:t xml:space="preserve"> </w:t>
            </w:r>
            <w:r>
              <w:rPr>
                <w:sz w:val="20"/>
              </w:rPr>
              <w:t>a</w:t>
            </w:r>
            <w:r>
              <w:rPr>
                <w:spacing w:val="-2"/>
                <w:sz w:val="20"/>
              </w:rPr>
              <w:t xml:space="preserve"> </w:t>
            </w:r>
            <w:r>
              <w:rPr>
                <w:sz w:val="20"/>
              </w:rPr>
              <w:t>somewhat</w:t>
            </w:r>
            <w:r>
              <w:rPr>
                <w:spacing w:val="-3"/>
                <w:sz w:val="20"/>
              </w:rPr>
              <w:t xml:space="preserve"> </w:t>
            </w:r>
            <w:r>
              <w:rPr>
                <w:sz w:val="20"/>
              </w:rPr>
              <w:t>bumbling,</w:t>
            </w:r>
            <w:r>
              <w:rPr>
                <w:spacing w:val="-2"/>
                <w:sz w:val="20"/>
              </w:rPr>
              <w:t xml:space="preserve"> </w:t>
            </w:r>
            <w:r>
              <w:rPr>
                <w:sz w:val="20"/>
              </w:rPr>
              <w:t>unassuming,</w:t>
            </w:r>
            <w:r>
              <w:rPr>
                <w:spacing w:val="-2"/>
                <w:sz w:val="20"/>
              </w:rPr>
              <w:t xml:space="preserve"> </w:t>
            </w:r>
            <w:r>
              <w:rPr>
                <w:sz w:val="20"/>
              </w:rPr>
              <w:t>Socratic</w:t>
            </w:r>
            <w:r>
              <w:rPr>
                <w:spacing w:val="-3"/>
                <w:sz w:val="20"/>
              </w:rPr>
              <w:t xml:space="preserve"> </w:t>
            </w:r>
            <w:r>
              <w:rPr>
                <w:sz w:val="20"/>
              </w:rPr>
              <w:t>style</w:t>
            </w:r>
            <w:r>
              <w:rPr>
                <w:spacing w:val="-4"/>
                <w:sz w:val="20"/>
              </w:rPr>
              <w:t xml:space="preserve"> </w:t>
            </w:r>
            <w:r>
              <w:rPr>
                <w:sz w:val="20"/>
              </w:rPr>
              <w:t>of</w:t>
            </w:r>
            <w:r>
              <w:rPr>
                <w:spacing w:val="-4"/>
                <w:sz w:val="20"/>
              </w:rPr>
              <w:t xml:space="preserve"> </w:t>
            </w:r>
            <w:r>
              <w:rPr>
                <w:sz w:val="20"/>
              </w:rPr>
              <w:t>querying</w:t>
            </w:r>
            <w:r>
              <w:rPr>
                <w:spacing w:val="-3"/>
                <w:sz w:val="20"/>
              </w:rPr>
              <w:t xml:space="preserve"> </w:t>
            </w:r>
            <w:r>
              <w:rPr>
                <w:sz w:val="20"/>
              </w:rPr>
              <w:t>his</w:t>
            </w:r>
            <w:r>
              <w:rPr>
                <w:spacing w:val="-4"/>
                <w:sz w:val="20"/>
              </w:rPr>
              <w:t xml:space="preserve"> </w:t>
            </w:r>
            <w:r>
              <w:rPr>
                <w:sz w:val="20"/>
              </w:rPr>
              <w:t>prime</w:t>
            </w:r>
            <w:r>
              <w:rPr>
                <w:spacing w:val="-4"/>
                <w:sz w:val="20"/>
              </w:rPr>
              <w:t xml:space="preserve"> </w:t>
            </w:r>
            <w:r>
              <w:rPr>
                <w:sz w:val="20"/>
              </w:rPr>
              <w:t>suspect,</w:t>
            </w:r>
            <w:r>
              <w:rPr>
                <w:spacing w:val="-2"/>
                <w:sz w:val="20"/>
              </w:rPr>
              <w:t xml:space="preserve"> </w:t>
            </w:r>
            <w:r>
              <w:rPr>
                <w:sz w:val="20"/>
              </w:rPr>
              <w:t>strategically posing questions and making reflections to piec</w:t>
            </w:r>
            <w:r>
              <w:rPr>
                <w:sz w:val="20"/>
              </w:rPr>
              <w:t>e together a picture of what really happened. As the pieces began to fall into place, the object of Columbo’s investigation would often reveal the real story.</w:t>
            </w:r>
          </w:p>
        </w:tc>
      </w:tr>
    </w:tbl>
    <w:p w14:paraId="1366FD8D" w14:textId="77777777" w:rsidR="00DB6E1F" w:rsidRDefault="00DB6E1F">
      <w:pPr>
        <w:rPr>
          <w:sz w:val="20"/>
        </w:rPr>
        <w:sectPr w:rsidR="00DB6E1F">
          <w:pgSz w:w="12240" w:h="15840"/>
          <w:pgMar w:top="1200" w:right="0" w:bottom="780" w:left="0" w:header="763" w:footer="585" w:gutter="0"/>
          <w:cols w:space="720"/>
        </w:sectPr>
      </w:pPr>
    </w:p>
    <w:p w14:paraId="7119B65A"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52E74614" w14:textId="77777777">
        <w:trPr>
          <w:trHeight w:val="4343"/>
        </w:trPr>
        <w:tc>
          <w:tcPr>
            <w:tcW w:w="9350" w:type="dxa"/>
          </w:tcPr>
          <w:p w14:paraId="02759A61" w14:textId="77777777" w:rsidR="00DB6E1F" w:rsidRDefault="00F666A6">
            <w:pPr>
              <w:pStyle w:val="TableParagraph"/>
              <w:rPr>
                <w:sz w:val="20"/>
              </w:rPr>
            </w:pPr>
            <w:r>
              <w:rPr>
                <w:sz w:val="20"/>
              </w:rPr>
              <w:t>The</w:t>
            </w:r>
            <w:r>
              <w:rPr>
                <w:spacing w:val="-3"/>
                <w:sz w:val="20"/>
              </w:rPr>
              <w:t xml:space="preserve"> </w:t>
            </w:r>
            <w:r>
              <w:rPr>
                <w:sz w:val="20"/>
              </w:rPr>
              <w:t>counselor</w:t>
            </w:r>
            <w:r>
              <w:rPr>
                <w:spacing w:val="-2"/>
                <w:sz w:val="20"/>
              </w:rPr>
              <w:t xml:space="preserve"> </w:t>
            </w:r>
            <w:r>
              <w:rPr>
                <w:sz w:val="20"/>
              </w:rPr>
              <w:t>plays</w:t>
            </w:r>
            <w:r>
              <w:rPr>
                <w:spacing w:val="-3"/>
                <w:sz w:val="20"/>
              </w:rPr>
              <w:t xml:space="preserve"> </w:t>
            </w:r>
            <w:r>
              <w:rPr>
                <w:sz w:val="20"/>
              </w:rPr>
              <w:t>the</w:t>
            </w:r>
            <w:r>
              <w:rPr>
                <w:spacing w:val="-3"/>
                <w:sz w:val="20"/>
              </w:rPr>
              <w:t xml:space="preserve"> </w:t>
            </w:r>
            <w:r>
              <w:rPr>
                <w:sz w:val="20"/>
              </w:rPr>
              <w:t>role</w:t>
            </w:r>
            <w:r>
              <w:rPr>
                <w:spacing w:val="-3"/>
                <w:sz w:val="20"/>
              </w:rPr>
              <w:t xml:space="preserve"> </w:t>
            </w:r>
            <w:r>
              <w:rPr>
                <w:sz w:val="20"/>
              </w:rPr>
              <w:t>of</w:t>
            </w:r>
            <w:r>
              <w:rPr>
                <w:spacing w:val="-3"/>
                <w:sz w:val="20"/>
              </w:rPr>
              <w:t xml:space="preserve"> </w:t>
            </w:r>
            <w:r>
              <w:rPr>
                <w:sz w:val="20"/>
              </w:rPr>
              <w:t>a</w:t>
            </w:r>
            <w:r>
              <w:rPr>
                <w:spacing w:val="-2"/>
                <w:sz w:val="20"/>
              </w:rPr>
              <w:t xml:space="preserve"> </w:t>
            </w:r>
            <w:r>
              <w:rPr>
                <w:sz w:val="20"/>
              </w:rPr>
              <w:t>detective</w:t>
            </w:r>
            <w:r>
              <w:rPr>
                <w:spacing w:val="-3"/>
                <w:sz w:val="20"/>
              </w:rPr>
              <w:t xml:space="preserve"> </w:t>
            </w:r>
            <w:r>
              <w:rPr>
                <w:sz w:val="20"/>
              </w:rPr>
              <w:t>who</w:t>
            </w:r>
            <w:r>
              <w:rPr>
                <w:spacing w:val="-2"/>
                <w:sz w:val="20"/>
              </w:rPr>
              <w:t xml:space="preserve"> </w:t>
            </w:r>
            <w:r>
              <w:rPr>
                <w:sz w:val="20"/>
              </w:rPr>
              <w:t>is</w:t>
            </w:r>
            <w:r>
              <w:rPr>
                <w:spacing w:val="-3"/>
                <w:sz w:val="20"/>
              </w:rPr>
              <w:t xml:space="preserve"> </w:t>
            </w:r>
            <w:r>
              <w:rPr>
                <w:sz w:val="20"/>
              </w:rPr>
              <w:t>trying</w:t>
            </w:r>
            <w:r>
              <w:rPr>
                <w:spacing w:val="-2"/>
                <w:sz w:val="20"/>
              </w:rPr>
              <w:t xml:space="preserve"> </w:t>
            </w:r>
            <w:r>
              <w:rPr>
                <w:sz w:val="20"/>
              </w:rPr>
              <w:t>to</w:t>
            </w:r>
            <w:r>
              <w:rPr>
                <w:spacing w:val="-2"/>
                <w:sz w:val="20"/>
              </w:rPr>
              <w:t xml:space="preserve"> </w:t>
            </w:r>
            <w:r>
              <w:rPr>
                <w:sz w:val="20"/>
              </w:rPr>
              <w:t>solve</w:t>
            </w:r>
            <w:r>
              <w:rPr>
                <w:spacing w:val="-3"/>
                <w:sz w:val="20"/>
              </w:rPr>
              <w:t xml:space="preserve"> </w:t>
            </w:r>
            <w:r>
              <w:rPr>
                <w:sz w:val="20"/>
              </w:rPr>
              <w:t>a</w:t>
            </w:r>
            <w:r>
              <w:rPr>
                <w:spacing w:val="-2"/>
                <w:sz w:val="20"/>
              </w:rPr>
              <w:t xml:space="preserve"> </w:t>
            </w:r>
            <w:r>
              <w:rPr>
                <w:sz w:val="20"/>
              </w:rPr>
              <w:t>mystery</w:t>
            </w:r>
            <w:r>
              <w:rPr>
                <w:spacing w:val="-1"/>
                <w:sz w:val="20"/>
              </w:rPr>
              <w:t xml:space="preserve"> </w:t>
            </w:r>
            <w:r>
              <w:rPr>
                <w:sz w:val="20"/>
              </w:rPr>
              <w:t>but</w:t>
            </w:r>
            <w:r>
              <w:rPr>
                <w:spacing w:val="-2"/>
                <w:sz w:val="20"/>
              </w:rPr>
              <w:t xml:space="preserve"> </w:t>
            </w:r>
            <w:r>
              <w:rPr>
                <w:sz w:val="20"/>
              </w:rPr>
              <w:t>is</w:t>
            </w:r>
            <w:r>
              <w:rPr>
                <w:spacing w:val="-3"/>
                <w:sz w:val="20"/>
              </w:rPr>
              <w:t xml:space="preserve"> </w:t>
            </w:r>
            <w:r>
              <w:rPr>
                <w:sz w:val="20"/>
              </w:rPr>
              <w:t>having</w:t>
            </w:r>
            <w:r>
              <w:rPr>
                <w:spacing w:val="-2"/>
                <w:sz w:val="20"/>
              </w:rPr>
              <w:t xml:space="preserve"> </w:t>
            </w:r>
            <w:r>
              <w:rPr>
                <w:sz w:val="20"/>
              </w:rPr>
              <w:t>a difficult</w:t>
            </w:r>
            <w:r>
              <w:rPr>
                <w:spacing w:val="-2"/>
                <w:sz w:val="20"/>
              </w:rPr>
              <w:t xml:space="preserve"> </w:t>
            </w:r>
            <w:r>
              <w:rPr>
                <w:sz w:val="20"/>
              </w:rPr>
              <w:t>time</w:t>
            </w:r>
            <w:r>
              <w:rPr>
                <w:spacing w:val="-3"/>
                <w:sz w:val="20"/>
              </w:rPr>
              <w:t xml:space="preserve"> </w:t>
            </w:r>
            <w:r>
              <w:rPr>
                <w:sz w:val="20"/>
              </w:rPr>
              <w:t>because the clues don’t add up. The “Columbo counselor” engages the client in solving the mystery:</w:t>
            </w:r>
          </w:p>
          <w:p w14:paraId="74B01C21" w14:textId="77777777" w:rsidR="00DB6E1F" w:rsidRDefault="00F666A6">
            <w:pPr>
              <w:pStyle w:val="TableParagraph"/>
              <w:spacing w:before="119"/>
              <w:rPr>
                <w:sz w:val="20"/>
              </w:rPr>
            </w:pPr>
            <w:r>
              <w:rPr>
                <w:b/>
                <w:sz w:val="20"/>
              </w:rPr>
              <w:t>Example</w:t>
            </w:r>
            <w:r>
              <w:rPr>
                <w:b/>
                <w:spacing w:val="-3"/>
                <w:sz w:val="20"/>
              </w:rPr>
              <w:t xml:space="preserve"> </w:t>
            </w:r>
            <w:r>
              <w:rPr>
                <w:b/>
                <w:sz w:val="20"/>
              </w:rPr>
              <w:t>#1:</w:t>
            </w:r>
            <w:r>
              <w:rPr>
                <w:b/>
                <w:spacing w:val="-3"/>
                <w:sz w:val="20"/>
              </w:rPr>
              <w:t xml:space="preserve"> </w:t>
            </w:r>
            <w:r>
              <w:rPr>
                <w:sz w:val="20"/>
              </w:rPr>
              <w:t>“Hmm.</w:t>
            </w:r>
            <w:r>
              <w:rPr>
                <w:spacing w:val="-3"/>
                <w:sz w:val="20"/>
              </w:rPr>
              <w:t xml:space="preserve"> </w:t>
            </w:r>
            <w:r>
              <w:rPr>
                <w:sz w:val="20"/>
              </w:rPr>
              <w:t>Help</w:t>
            </w:r>
            <w:r>
              <w:rPr>
                <w:spacing w:val="-2"/>
                <w:sz w:val="20"/>
              </w:rPr>
              <w:t xml:space="preserve"> </w:t>
            </w:r>
            <w:r>
              <w:rPr>
                <w:sz w:val="20"/>
              </w:rPr>
              <w:t>me</w:t>
            </w:r>
            <w:r>
              <w:rPr>
                <w:spacing w:val="-2"/>
                <w:sz w:val="20"/>
              </w:rPr>
              <w:t xml:space="preserve"> </w:t>
            </w:r>
            <w:r>
              <w:rPr>
                <w:sz w:val="20"/>
              </w:rPr>
              <w:t>figure</w:t>
            </w:r>
            <w:r>
              <w:rPr>
                <w:spacing w:val="-3"/>
                <w:sz w:val="20"/>
              </w:rPr>
              <w:t xml:space="preserve"> </w:t>
            </w:r>
            <w:r>
              <w:rPr>
                <w:sz w:val="20"/>
              </w:rPr>
              <w:t>this</w:t>
            </w:r>
            <w:r>
              <w:rPr>
                <w:spacing w:val="-3"/>
                <w:sz w:val="20"/>
              </w:rPr>
              <w:t xml:space="preserve"> </w:t>
            </w:r>
            <w:r>
              <w:rPr>
                <w:sz w:val="20"/>
              </w:rPr>
              <w:t>out.</w:t>
            </w:r>
            <w:r>
              <w:rPr>
                <w:spacing w:val="-3"/>
                <w:sz w:val="20"/>
              </w:rPr>
              <w:t xml:space="preserve"> </w:t>
            </w:r>
            <w:r>
              <w:rPr>
                <w:sz w:val="20"/>
              </w:rPr>
              <w:t>You’ve</w:t>
            </w:r>
            <w:r>
              <w:rPr>
                <w:spacing w:val="-3"/>
                <w:sz w:val="20"/>
              </w:rPr>
              <w:t xml:space="preserve"> </w:t>
            </w:r>
            <w:r>
              <w:rPr>
                <w:sz w:val="20"/>
              </w:rPr>
              <w:t>told</w:t>
            </w:r>
            <w:r>
              <w:rPr>
                <w:spacing w:val="-2"/>
                <w:sz w:val="20"/>
              </w:rPr>
              <w:t xml:space="preserve"> </w:t>
            </w:r>
            <w:r>
              <w:rPr>
                <w:sz w:val="20"/>
              </w:rPr>
              <w:t>me</w:t>
            </w:r>
            <w:r>
              <w:rPr>
                <w:spacing w:val="-1"/>
                <w:sz w:val="20"/>
              </w:rPr>
              <w:t xml:space="preserve"> </w:t>
            </w:r>
            <w:r>
              <w:rPr>
                <w:sz w:val="20"/>
              </w:rPr>
              <w:t>that</w:t>
            </w:r>
            <w:r>
              <w:rPr>
                <w:spacing w:val="-3"/>
                <w:sz w:val="20"/>
              </w:rPr>
              <w:t xml:space="preserve"> </w:t>
            </w:r>
            <w:r>
              <w:rPr>
                <w:sz w:val="20"/>
              </w:rPr>
              <w:t>keeping</w:t>
            </w:r>
            <w:r>
              <w:rPr>
                <w:spacing w:val="-3"/>
                <w:sz w:val="20"/>
              </w:rPr>
              <w:t xml:space="preserve"> </w:t>
            </w:r>
            <w:r>
              <w:rPr>
                <w:sz w:val="20"/>
              </w:rPr>
              <w:t>custody</w:t>
            </w:r>
            <w:r>
              <w:rPr>
                <w:spacing w:val="-2"/>
                <w:sz w:val="20"/>
              </w:rPr>
              <w:t xml:space="preserve"> </w:t>
            </w:r>
            <w:r>
              <w:rPr>
                <w:sz w:val="20"/>
              </w:rPr>
              <w:t>of</w:t>
            </w:r>
            <w:r>
              <w:rPr>
                <w:spacing w:val="-3"/>
                <w:sz w:val="20"/>
              </w:rPr>
              <w:t xml:space="preserve"> </w:t>
            </w:r>
            <w:r>
              <w:rPr>
                <w:sz w:val="20"/>
              </w:rPr>
              <w:t>your</w:t>
            </w:r>
            <w:r>
              <w:rPr>
                <w:spacing w:val="-4"/>
                <w:sz w:val="20"/>
              </w:rPr>
              <w:t xml:space="preserve"> </w:t>
            </w:r>
            <w:r>
              <w:rPr>
                <w:sz w:val="20"/>
              </w:rPr>
              <w:t>daughter</w:t>
            </w:r>
            <w:r>
              <w:rPr>
                <w:spacing w:val="-3"/>
                <w:sz w:val="20"/>
              </w:rPr>
              <w:t xml:space="preserve"> </w:t>
            </w:r>
            <w:r>
              <w:rPr>
                <w:sz w:val="20"/>
              </w:rPr>
              <w:t>and</w:t>
            </w:r>
            <w:r>
              <w:rPr>
                <w:spacing w:val="-2"/>
                <w:sz w:val="20"/>
              </w:rPr>
              <w:t xml:space="preserve"> </w:t>
            </w:r>
            <w:r>
              <w:rPr>
                <w:sz w:val="20"/>
              </w:rPr>
              <w:t>being</w:t>
            </w:r>
            <w:r>
              <w:rPr>
                <w:spacing w:val="-3"/>
                <w:sz w:val="20"/>
              </w:rPr>
              <w:t xml:space="preserve"> </w:t>
            </w:r>
            <w:r>
              <w:rPr>
                <w:sz w:val="20"/>
              </w:rPr>
              <w:t>a good parent are the most important things to you now. How does your heroin use fit in with that?”</w:t>
            </w:r>
          </w:p>
          <w:p w14:paraId="2334143B" w14:textId="77777777" w:rsidR="00DB6E1F" w:rsidRDefault="00F666A6">
            <w:pPr>
              <w:pStyle w:val="TableParagraph"/>
              <w:spacing w:before="121"/>
              <w:ind w:right="169"/>
              <w:rPr>
                <w:sz w:val="20"/>
              </w:rPr>
            </w:pPr>
            <w:r>
              <w:rPr>
                <w:b/>
                <w:sz w:val="20"/>
              </w:rPr>
              <w:t>Example</w:t>
            </w:r>
            <w:r>
              <w:rPr>
                <w:b/>
                <w:spacing w:val="-3"/>
                <w:sz w:val="20"/>
              </w:rPr>
              <w:t xml:space="preserve"> </w:t>
            </w:r>
            <w:r>
              <w:rPr>
                <w:b/>
                <w:sz w:val="20"/>
              </w:rPr>
              <w:t>#2:</w:t>
            </w:r>
            <w:r>
              <w:rPr>
                <w:b/>
                <w:spacing w:val="-3"/>
                <w:sz w:val="20"/>
              </w:rPr>
              <w:t xml:space="preserve"> </w:t>
            </w:r>
            <w:r>
              <w:rPr>
                <w:sz w:val="20"/>
              </w:rPr>
              <w:t>“So,</w:t>
            </w:r>
            <w:r>
              <w:rPr>
                <w:spacing w:val="-2"/>
                <w:sz w:val="20"/>
              </w:rPr>
              <w:t xml:space="preserve"> </w:t>
            </w:r>
            <w:r>
              <w:rPr>
                <w:sz w:val="20"/>
              </w:rPr>
              <w:t>sometimes</w:t>
            </w:r>
            <w:r>
              <w:rPr>
                <w:spacing w:val="-2"/>
                <w:sz w:val="20"/>
              </w:rPr>
              <w:t xml:space="preserve"> </w:t>
            </w:r>
            <w:r>
              <w:rPr>
                <w:sz w:val="20"/>
              </w:rPr>
              <w:t>when</w:t>
            </w:r>
            <w:r>
              <w:rPr>
                <w:spacing w:val="-2"/>
                <w:sz w:val="20"/>
              </w:rPr>
              <w:t xml:space="preserve"> </w:t>
            </w:r>
            <w:r>
              <w:rPr>
                <w:sz w:val="20"/>
              </w:rPr>
              <w:t>you</w:t>
            </w:r>
            <w:r>
              <w:rPr>
                <w:spacing w:val="-2"/>
                <w:sz w:val="20"/>
              </w:rPr>
              <w:t xml:space="preserve"> </w:t>
            </w:r>
            <w:r>
              <w:rPr>
                <w:sz w:val="20"/>
              </w:rPr>
              <w:t>drink</w:t>
            </w:r>
            <w:r>
              <w:rPr>
                <w:spacing w:val="-2"/>
                <w:sz w:val="20"/>
              </w:rPr>
              <w:t xml:space="preserve"> </w:t>
            </w:r>
            <w:r>
              <w:rPr>
                <w:sz w:val="20"/>
              </w:rPr>
              <w:t>during</w:t>
            </w:r>
            <w:r>
              <w:rPr>
                <w:spacing w:val="-3"/>
                <w:sz w:val="20"/>
              </w:rPr>
              <w:t xml:space="preserve"> </w:t>
            </w:r>
            <w:r>
              <w:rPr>
                <w:sz w:val="20"/>
              </w:rPr>
              <w:t>the</w:t>
            </w:r>
            <w:r>
              <w:rPr>
                <w:spacing w:val="-4"/>
                <w:sz w:val="20"/>
              </w:rPr>
              <w:t xml:space="preserve"> </w:t>
            </w:r>
            <w:r>
              <w:rPr>
                <w:sz w:val="20"/>
              </w:rPr>
              <w:t>week,</w:t>
            </w:r>
            <w:r>
              <w:rPr>
                <w:spacing w:val="-2"/>
                <w:sz w:val="20"/>
              </w:rPr>
              <w:t xml:space="preserve"> </w:t>
            </w:r>
            <w:r>
              <w:rPr>
                <w:sz w:val="20"/>
              </w:rPr>
              <w:t>you</w:t>
            </w:r>
            <w:r>
              <w:rPr>
                <w:spacing w:val="-2"/>
                <w:sz w:val="20"/>
              </w:rPr>
              <w:t xml:space="preserve"> </w:t>
            </w:r>
            <w:r>
              <w:rPr>
                <w:sz w:val="20"/>
              </w:rPr>
              <w:t>can’t</w:t>
            </w:r>
            <w:r>
              <w:rPr>
                <w:spacing w:val="-3"/>
                <w:sz w:val="20"/>
              </w:rPr>
              <w:t xml:space="preserve"> </w:t>
            </w:r>
            <w:r>
              <w:rPr>
                <w:sz w:val="20"/>
              </w:rPr>
              <w:t>get</w:t>
            </w:r>
            <w:r>
              <w:rPr>
                <w:spacing w:val="-3"/>
                <w:sz w:val="20"/>
              </w:rPr>
              <w:t xml:space="preserve"> </w:t>
            </w:r>
            <w:r>
              <w:rPr>
                <w:sz w:val="20"/>
              </w:rPr>
              <w:t>out</w:t>
            </w:r>
            <w:r>
              <w:rPr>
                <w:spacing w:val="-3"/>
                <w:sz w:val="20"/>
              </w:rPr>
              <w:t xml:space="preserve"> </w:t>
            </w:r>
            <w:r>
              <w:rPr>
                <w:sz w:val="20"/>
              </w:rPr>
              <w:t>of</w:t>
            </w:r>
            <w:r>
              <w:rPr>
                <w:spacing w:val="-4"/>
                <w:sz w:val="20"/>
              </w:rPr>
              <w:t xml:space="preserve"> </w:t>
            </w:r>
            <w:r>
              <w:rPr>
                <w:sz w:val="20"/>
              </w:rPr>
              <w:t>bed</w:t>
            </w:r>
            <w:r>
              <w:rPr>
                <w:spacing w:val="-2"/>
                <w:sz w:val="20"/>
              </w:rPr>
              <w:t xml:space="preserve"> </w:t>
            </w:r>
            <w:r>
              <w:rPr>
                <w:sz w:val="20"/>
              </w:rPr>
              <w:t>to</w:t>
            </w:r>
            <w:r>
              <w:rPr>
                <w:spacing w:val="-5"/>
                <w:sz w:val="20"/>
              </w:rPr>
              <w:t xml:space="preserve"> </w:t>
            </w:r>
            <w:r>
              <w:rPr>
                <w:sz w:val="20"/>
              </w:rPr>
              <w:t>get</w:t>
            </w:r>
            <w:r>
              <w:rPr>
                <w:spacing w:val="-3"/>
                <w:sz w:val="20"/>
              </w:rPr>
              <w:t xml:space="preserve"> </w:t>
            </w:r>
            <w:r>
              <w:rPr>
                <w:sz w:val="20"/>
              </w:rPr>
              <w:t>to</w:t>
            </w:r>
            <w:r>
              <w:rPr>
                <w:spacing w:val="-2"/>
                <w:sz w:val="20"/>
              </w:rPr>
              <w:t xml:space="preserve"> </w:t>
            </w:r>
            <w:r>
              <w:rPr>
                <w:sz w:val="20"/>
              </w:rPr>
              <w:t>work.</w:t>
            </w:r>
            <w:r>
              <w:rPr>
                <w:spacing w:val="-3"/>
                <w:sz w:val="20"/>
              </w:rPr>
              <w:t xml:space="preserve"> </w:t>
            </w:r>
            <w:r>
              <w:rPr>
                <w:sz w:val="20"/>
              </w:rPr>
              <w:t>Last month, you missed 5 days. But you enjoy your work, and doing well in your job is very important to you.”</w:t>
            </w:r>
          </w:p>
          <w:p w14:paraId="1FF8D7C1" w14:textId="77777777" w:rsidR="00DB6E1F" w:rsidRDefault="00F666A6">
            <w:pPr>
              <w:pStyle w:val="TableParagraph"/>
              <w:spacing w:before="119"/>
              <w:rPr>
                <w:sz w:val="20"/>
              </w:rPr>
            </w:pPr>
            <w:r>
              <w:rPr>
                <w:sz w:val="20"/>
              </w:rPr>
              <w:t>In</w:t>
            </w:r>
            <w:r>
              <w:rPr>
                <w:spacing w:val="-2"/>
                <w:sz w:val="20"/>
              </w:rPr>
              <w:t xml:space="preserve"> </w:t>
            </w:r>
            <w:r>
              <w:rPr>
                <w:sz w:val="20"/>
              </w:rPr>
              <w:t>both</w:t>
            </w:r>
            <w:r>
              <w:rPr>
                <w:spacing w:val="-2"/>
                <w:sz w:val="20"/>
              </w:rPr>
              <w:t xml:space="preserve"> </w:t>
            </w:r>
            <w:r>
              <w:rPr>
                <w:sz w:val="20"/>
              </w:rPr>
              <w:t>cases,</w:t>
            </w:r>
            <w:r>
              <w:rPr>
                <w:spacing w:val="-2"/>
                <w:sz w:val="20"/>
              </w:rPr>
              <w:t xml:space="preserve"> </w:t>
            </w:r>
            <w:r>
              <w:rPr>
                <w:sz w:val="20"/>
              </w:rPr>
              <w:t>the</w:t>
            </w:r>
            <w:r>
              <w:rPr>
                <w:spacing w:val="-4"/>
                <w:sz w:val="20"/>
              </w:rPr>
              <w:t xml:space="preserve"> </w:t>
            </w:r>
            <w:r>
              <w:rPr>
                <w:sz w:val="20"/>
              </w:rPr>
              <w:t>counselor</w:t>
            </w:r>
            <w:r>
              <w:rPr>
                <w:spacing w:val="-1"/>
                <w:sz w:val="20"/>
              </w:rPr>
              <w:t xml:space="preserve"> </w:t>
            </w:r>
            <w:r>
              <w:rPr>
                <w:sz w:val="20"/>
              </w:rPr>
              <w:t>expresses</w:t>
            </w:r>
            <w:r>
              <w:rPr>
                <w:spacing w:val="-4"/>
                <w:sz w:val="20"/>
              </w:rPr>
              <w:t xml:space="preserve"> </w:t>
            </w:r>
            <w:r>
              <w:rPr>
                <w:sz w:val="20"/>
              </w:rPr>
              <w:t>confusion,</w:t>
            </w:r>
            <w:r>
              <w:rPr>
                <w:spacing w:val="-2"/>
                <w:sz w:val="20"/>
              </w:rPr>
              <w:t xml:space="preserve"> </w:t>
            </w:r>
            <w:r>
              <w:rPr>
                <w:sz w:val="20"/>
              </w:rPr>
              <w:t>which</w:t>
            </w:r>
            <w:r>
              <w:rPr>
                <w:spacing w:val="-2"/>
                <w:sz w:val="20"/>
              </w:rPr>
              <w:t xml:space="preserve"> </w:t>
            </w:r>
            <w:r>
              <w:rPr>
                <w:sz w:val="20"/>
              </w:rPr>
              <w:t>allows</w:t>
            </w:r>
            <w:r>
              <w:rPr>
                <w:spacing w:val="-4"/>
                <w:sz w:val="20"/>
              </w:rPr>
              <w:t xml:space="preserve"> </w:t>
            </w:r>
            <w:r>
              <w:rPr>
                <w:sz w:val="20"/>
              </w:rPr>
              <w:t>the</w:t>
            </w:r>
            <w:r>
              <w:rPr>
                <w:spacing w:val="-4"/>
                <w:sz w:val="20"/>
              </w:rPr>
              <w:t xml:space="preserve"> </w:t>
            </w:r>
            <w:r>
              <w:rPr>
                <w:sz w:val="20"/>
              </w:rPr>
              <w:t>client</w:t>
            </w:r>
            <w:r>
              <w:rPr>
                <w:spacing w:val="-3"/>
                <w:sz w:val="20"/>
              </w:rPr>
              <w:t xml:space="preserve"> </w:t>
            </w:r>
            <w:r>
              <w:rPr>
                <w:sz w:val="20"/>
              </w:rPr>
              <w:t>to</w:t>
            </w:r>
            <w:r>
              <w:rPr>
                <w:spacing w:val="-3"/>
                <w:sz w:val="20"/>
              </w:rPr>
              <w:t xml:space="preserve"> </w:t>
            </w:r>
            <w:r>
              <w:rPr>
                <w:sz w:val="20"/>
              </w:rPr>
              <w:t>take</w:t>
            </w:r>
            <w:r>
              <w:rPr>
                <w:spacing w:val="-4"/>
                <w:sz w:val="20"/>
              </w:rPr>
              <w:t xml:space="preserve"> </w:t>
            </w:r>
            <w:r>
              <w:rPr>
                <w:sz w:val="20"/>
              </w:rPr>
              <w:t>over</w:t>
            </w:r>
            <w:r>
              <w:rPr>
                <w:spacing w:val="-3"/>
                <w:sz w:val="20"/>
              </w:rPr>
              <w:t xml:space="preserve"> </w:t>
            </w:r>
            <w:r>
              <w:rPr>
                <w:sz w:val="20"/>
              </w:rPr>
              <w:t>and explain</w:t>
            </w:r>
            <w:r>
              <w:rPr>
                <w:spacing w:val="-2"/>
                <w:sz w:val="20"/>
              </w:rPr>
              <w:t xml:space="preserve"> </w:t>
            </w:r>
            <w:r>
              <w:rPr>
                <w:sz w:val="20"/>
              </w:rPr>
              <w:t>how</w:t>
            </w:r>
            <w:r>
              <w:rPr>
                <w:spacing w:val="-4"/>
                <w:sz w:val="20"/>
              </w:rPr>
              <w:t xml:space="preserve"> </w:t>
            </w:r>
            <w:r>
              <w:rPr>
                <w:sz w:val="20"/>
              </w:rPr>
              <w:t>these conflicting desires fit together.</w:t>
            </w:r>
          </w:p>
          <w:p w14:paraId="2879C30F" w14:textId="77777777" w:rsidR="00DB6E1F" w:rsidRDefault="00F666A6">
            <w:pPr>
              <w:pStyle w:val="TableParagraph"/>
              <w:spacing w:before="121"/>
              <w:ind w:right="169"/>
              <w:rPr>
                <w:sz w:val="20"/>
              </w:rPr>
            </w:pPr>
            <w:r>
              <w:rPr>
                <w:sz w:val="20"/>
              </w:rPr>
              <w:t>The</w:t>
            </w:r>
            <w:r>
              <w:rPr>
                <w:sz w:val="20"/>
              </w:rPr>
              <w:t xml:space="preserve"> value of the Columbo approach is that it forces the client, rather than the counselor, to grapple with discrepancies and attempt to resolve them. This approach reinforces the notion that the client is the expert on his</w:t>
            </w:r>
            <w:r>
              <w:rPr>
                <w:spacing w:val="-3"/>
                <w:sz w:val="20"/>
              </w:rPr>
              <w:t xml:space="preserve"> </w:t>
            </w:r>
            <w:r>
              <w:rPr>
                <w:sz w:val="20"/>
              </w:rPr>
              <w:t>or</w:t>
            </w:r>
            <w:r>
              <w:rPr>
                <w:spacing w:val="-2"/>
                <w:sz w:val="20"/>
              </w:rPr>
              <w:t xml:space="preserve"> </w:t>
            </w:r>
            <w:r>
              <w:rPr>
                <w:sz w:val="20"/>
              </w:rPr>
              <w:t>her</w:t>
            </w:r>
            <w:r>
              <w:rPr>
                <w:spacing w:val="-2"/>
                <w:sz w:val="20"/>
              </w:rPr>
              <w:t xml:space="preserve"> </w:t>
            </w:r>
            <w:r>
              <w:rPr>
                <w:sz w:val="20"/>
              </w:rPr>
              <w:t>behavior</w:t>
            </w:r>
            <w:r>
              <w:rPr>
                <w:spacing w:val="-2"/>
                <w:sz w:val="20"/>
              </w:rPr>
              <w:t xml:space="preserve"> </w:t>
            </w:r>
            <w:r>
              <w:rPr>
                <w:sz w:val="20"/>
              </w:rPr>
              <w:t>and</w:t>
            </w:r>
            <w:r>
              <w:rPr>
                <w:spacing w:val="-1"/>
                <w:sz w:val="20"/>
              </w:rPr>
              <w:t xml:space="preserve"> </w:t>
            </w:r>
            <w:r>
              <w:rPr>
                <w:sz w:val="20"/>
              </w:rPr>
              <w:t>values.</w:t>
            </w:r>
            <w:r>
              <w:rPr>
                <w:spacing w:val="-2"/>
                <w:sz w:val="20"/>
              </w:rPr>
              <w:t xml:space="preserve"> </w:t>
            </w:r>
            <w:r>
              <w:rPr>
                <w:sz w:val="20"/>
              </w:rPr>
              <w:t>The</w:t>
            </w:r>
            <w:r>
              <w:rPr>
                <w:spacing w:val="-2"/>
                <w:sz w:val="20"/>
              </w:rPr>
              <w:t xml:space="preserve"> </w:t>
            </w:r>
            <w:r>
              <w:rPr>
                <w:sz w:val="20"/>
              </w:rPr>
              <w:t>clie</w:t>
            </w:r>
            <w:r>
              <w:rPr>
                <w:sz w:val="20"/>
              </w:rPr>
              <w:t>nt</w:t>
            </w:r>
            <w:r>
              <w:rPr>
                <w:spacing w:val="-2"/>
                <w:sz w:val="20"/>
              </w:rPr>
              <w:t xml:space="preserve"> </w:t>
            </w:r>
            <w:r>
              <w:rPr>
                <w:sz w:val="20"/>
              </w:rPr>
              <w:t>is</w:t>
            </w:r>
            <w:r>
              <w:rPr>
                <w:spacing w:val="-3"/>
                <w:sz w:val="20"/>
              </w:rPr>
              <w:t xml:space="preserve"> </w:t>
            </w:r>
            <w:r>
              <w:rPr>
                <w:sz w:val="20"/>
              </w:rPr>
              <w:t>truly</w:t>
            </w:r>
            <w:r>
              <w:rPr>
                <w:spacing w:val="-1"/>
                <w:sz w:val="20"/>
              </w:rPr>
              <w:t xml:space="preserve"> </w:t>
            </w:r>
            <w:r>
              <w:rPr>
                <w:sz w:val="20"/>
              </w:rPr>
              <w:t>the</w:t>
            </w:r>
            <w:r>
              <w:rPr>
                <w:spacing w:val="-3"/>
                <w:sz w:val="20"/>
              </w:rPr>
              <w:t xml:space="preserve"> </w:t>
            </w:r>
            <w:r>
              <w:rPr>
                <w:sz w:val="20"/>
              </w:rPr>
              <w:t>only</w:t>
            </w:r>
            <w:r>
              <w:rPr>
                <w:spacing w:val="-1"/>
                <w:sz w:val="20"/>
              </w:rPr>
              <w:t xml:space="preserve"> </w:t>
            </w:r>
            <w:r>
              <w:rPr>
                <w:sz w:val="20"/>
              </w:rPr>
              <w:t>one</w:t>
            </w:r>
            <w:r>
              <w:rPr>
                <w:spacing w:val="-3"/>
                <w:sz w:val="20"/>
              </w:rPr>
              <w:t xml:space="preserve"> </w:t>
            </w:r>
            <w:r>
              <w:rPr>
                <w:sz w:val="20"/>
              </w:rPr>
              <w:t>who</w:t>
            </w:r>
            <w:r>
              <w:rPr>
                <w:spacing w:val="-1"/>
                <w:sz w:val="20"/>
              </w:rPr>
              <w:t xml:space="preserve"> </w:t>
            </w:r>
            <w:r>
              <w:rPr>
                <w:sz w:val="20"/>
              </w:rPr>
              <w:t>can</w:t>
            </w:r>
            <w:r>
              <w:rPr>
                <w:spacing w:val="-1"/>
                <w:sz w:val="20"/>
              </w:rPr>
              <w:t xml:space="preserve"> </w:t>
            </w:r>
            <w:r>
              <w:rPr>
                <w:sz w:val="20"/>
              </w:rPr>
              <w:t>resolve</w:t>
            </w:r>
            <w:r>
              <w:rPr>
                <w:spacing w:val="-3"/>
                <w:sz w:val="20"/>
              </w:rPr>
              <w:t xml:space="preserve"> </w:t>
            </w:r>
            <w:r>
              <w:rPr>
                <w:sz w:val="20"/>
              </w:rPr>
              <w:t>the</w:t>
            </w:r>
            <w:r>
              <w:rPr>
                <w:spacing w:val="-3"/>
                <w:sz w:val="20"/>
              </w:rPr>
              <w:t xml:space="preserve"> </w:t>
            </w:r>
            <w:r>
              <w:rPr>
                <w:sz w:val="20"/>
              </w:rPr>
              <w:t>discrepancy.</w:t>
            </w:r>
            <w:r>
              <w:rPr>
                <w:spacing w:val="-2"/>
                <w:sz w:val="20"/>
              </w:rPr>
              <w:t xml:space="preserve"> </w:t>
            </w:r>
            <w:r>
              <w:rPr>
                <w:sz w:val="20"/>
              </w:rPr>
              <w:t>If</w:t>
            </w:r>
            <w:r>
              <w:rPr>
                <w:spacing w:val="-3"/>
                <w:sz w:val="20"/>
              </w:rPr>
              <w:t xml:space="preserve"> </w:t>
            </w:r>
            <w:r>
              <w:rPr>
                <w:sz w:val="20"/>
              </w:rPr>
              <w:t>the</w:t>
            </w:r>
            <w:r>
              <w:rPr>
                <w:spacing w:val="-5"/>
                <w:sz w:val="20"/>
              </w:rPr>
              <w:t xml:space="preserve"> </w:t>
            </w:r>
            <w:r>
              <w:rPr>
                <w:sz w:val="20"/>
              </w:rPr>
              <w:t>counselor attempts to do this instead of the client, the counselor risks making the wrong interpretation, rushing to the client to conclusions rather than listening to the client’s perspectiv</w:t>
            </w:r>
            <w:r>
              <w:rPr>
                <w:sz w:val="20"/>
              </w:rPr>
              <w:t>e, and, perhaps most important, making the client a passive rather than an active participant in the process.</w:t>
            </w:r>
          </w:p>
          <w:p w14:paraId="623CD5E9" w14:textId="77777777" w:rsidR="00DB6E1F" w:rsidRDefault="00F666A6">
            <w:pPr>
              <w:pStyle w:val="TableParagraph"/>
              <w:spacing w:before="120"/>
              <w:rPr>
                <w:i/>
                <w:sz w:val="20"/>
              </w:rPr>
            </w:pPr>
            <w:r>
              <w:rPr>
                <w:i/>
                <w:sz w:val="20"/>
              </w:rPr>
              <w:t>Cheryl</w:t>
            </w:r>
            <w:r>
              <w:rPr>
                <w:i/>
                <w:spacing w:val="-7"/>
                <w:sz w:val="20"/>
              </w:rPr>
              <w:t xml:space="preserve"> </w:t>
            </w:r>
            <w:r>
              <w:rPr>
                <w:i/>
                <w:sz w:val="20"/>
              </w:rPr>
              <w:t>Grills,</w:t>
            </w:r>
            <w:r>
              <w:rPr>
                <w:i/>
                <w:spacing w:val="-7"/>
                <w:sz w:val="20"/>
              </w:rPr>
              <w:t xml:space="preserve"> </w:t>
            </w:r>
            <w:r>
              <w:rPr>
                <w:i/>
                <w:sz w:val="20"/>
              </w:rPr>
              <w:t>Ph.D.,</w:t>
            </w:r>
            <w:r>
              <w:rPr>
                <w:i/>
                <w:spacing w:val="-7"/>
                <w:sz w:val="20"/>
              </w:rPr>
              <w:t xml:space="preserve"> </w:t>
            </w:r>
            <w:r>
              <w:rPr>
                <w:i/>
                <w:sz w:val="20"/>
              </w:rPr>
              <w:t>Consensus</w:t>
            </w:r>
            <w:r>
              <w:rPr>
                <w:i/>
                <w:spacing w:val="-6"/>
                <w:sz w:val="20"/>
              </w:rPr>
              <w:t xml:space="preserve"> </w:t>
            </w:r>
            <w:r>
              <w:rPr>
                <w:i/>
                <w:sz w:val="20"/>
              </w:rPr>
              <w:t>Panel</w:t>
            </w:r>
            <w:r>
              <w:rPr>
                <w:i/>
                <w:spacing w:val="-8"/>
                <w:sz w:val="20"/>
              </w:rPr>
              <w:t xml:space="preserve"> </w:t>
            </w:r>
            <w:r>
              <w:rPr>
                <w:i/>
                <w:spacing w:val="-2"/>
                <w:sz w:val="20"/>
              </w:rPr>
              <w:t>Member</w:t>
            </w:r>
          </w:p>
        </w:tc>
      </w:tr>
    </w:tbl>
    <w:p w14:paraId="0D783F77" w14:textId="77777777" w:rsidR="00DB6E1F" w:rsidRDefault="00DB6E1F">
      <w:pPr>
        <w:pStyle w:val="BodyText"/>
        <w:spacing w:before="4"/>
        <w:rPr>
          <w:sz w:val="8"/>
        </w:rPr>
      </w:pPr>
    </w:p>
    <w:p w14:paraId="592775AC" w14:textId="77777777" w:rsidR="00DB6E1F" w:rsidRDefault="00F666A6">
      <w:pPr>
        <w:spacing w:before="56"/>
        <w:ind w:left="1439" w:right="1555"/>
      </w:pPr>
      <w:r>
        <w:t>In</w:t>
      </w:r>
      <w:r>
        <w:rPr>
          <w:spacing w:val="-3"/>
        </w:rPr>
        <w:t xml:space="preserve"> </w:t>
      </w:r>
      <w:r>
        <w:t>addition</w:t>
      </w:r>
      <w:r>
        <w:rPr>
          <w:spacing w:val="-3"/>
        </w:rPr>
        <w:t xml:space="preserve"> </w:t>
      </w:r>
      <w:r>
        <w:t>to</w:t>
      </w:r>
      <w:r>
        <w:rPr>
          <w:spacing w:val="-1"/>
        </w:rPr>
        <w:t xml:space="preserve"> </w:t>
      </w:r>
      <w:r>
        <w:t>providing</w:t>
      </w:r>
      <w:r>
        <w:rPr>
          <w:spacing w:val="-3"/>
        </w:rPr>
        <w:t xml:space="preserve"> </w:t>
      </w:r>
      <w:r>
        <w:t>personalized</w:t>
      </w:r>
      <w:r>
        <w:rPr>
          <w:spacing w:val="-3"/>
        </w:rPr>
        <w:t xml:space="preserve"> </w:t>
      </w:r>
      <w:r>
        <w:t>feedback</w:t>
      </w:r>
      <w:r>
        <w:rPr>
          <w:spacing w:val="-4"/>
        </w:rPr>
        <w:t xml:space="preserve"> </w:t>
      </w:r>
      <w:r>
        <w:t>(as</w:t>
      </w:r>
      <w:r>
        <w:rPr>
          <w:spacing w:val="-2"/>
        </w:rPr>
        <w:t xml:space="preserve"> </w:t>
      </w:r>
      <w:r>
        <w:t>discussed</w:t>
      </w:r>
      <w:r>
        <w:rPr>
          <w:spacing w:val="-3"/>
        </w:rPr>
        <w:t xml:space="preserve"> </w:t>
      </w:r>
      <w:r>
        <w:t>in</w:t>
      </w:r>
      <w:r>
        <w:rPr>
          <w:spacing w:val="-3"/>
        </w:rPr>
        <w:t xml:space="preserve"> </w:t>
      </w:r>
      <w:r>
        <w:t>Chapter</w:t>
      </w:r>
      <w:r>
        <w:rPr>
          <w:spacing w:val="-4"/>
        </w:rPr>
        <w:t xml:space="preserve"> </w:t>
      </w:r>
      <w:r>
        <w:t>2),</w:t>
      </w:r>
      <w:r>
        <w:rPr>
          <w:spacing w:val="-4"/>
        </w:rPr>
        <w:t xml:space="preserve"> </w:t>
      </w:r>
      <w:r>
        <w:rPr>
          <w:b/>
        </w:rPr>
        <w:t>you</w:t>
      </w:r>
      <w:r>
        <w:rPr>
          <w:b/>
          <w:spacing w:val="-5"/>
        </w:rPr>
        <w:t xml:space="preserve"> </w:t>
      </w:r>
      <w:r>
        <w:rPr>
          <w:b/>
        </w:rPr>
        <w:t>can</w:t>
      </w:r>
      <w:r>
        <w:rPr>
          <w:b/>
          <w:spacing w:val="-3"/>
        </w:rPr>
        <w:t xml:space="preserve"> </w:t>
      </w:r>
      <w:r>
        <w:rPr>
          <w:b/>
        </w:rPr>
        <w:t xml:space="preserve">facilitate discrepancy by </w:t>
      </w:r>
      <w:r>
        <w:t>(Miller &amp; Rollnick, 2013):</w:t>
      </w:r>
    </w:p>
    <w:p w14:paraId="59DA1F39" w14:textId="77777777" w:rsidR="00DB6E1F" w:rsidRDefault="00F666A6">
      <w:pPr>
        <w:pStyle w:val="ListParagraph"/>
        <w:numPr>
          <w:ilvl w:val="0"/>
          <w:numId w:val="92"/>
        </w:numPr>
        <w:tabs>
          <w:tab w:val="left" w:pos="1799"/>
          <w:tab w:val="left" w:pos="1800"/>
        </w:tabs>
        <w:spacing w:before="61"/>
        <w:ind w:left="1799" w:right="1452"/>
        <w:rPr>
          <w:rFonts w:ascii="Symbol" w:hAnsi="Symbol"/>
        </w:rPr>
      </w:pPr>
      <w:r>
        <w:rPr>
          <w:b/>
        </w:rPr>
        <w:t xml:space="preserve">Identifying personal values. </w:t>
      </w:r>
      <w:r>
        <w:t>For clients to feel discrepancy between their values and actions, they need</w:t>
      </w:r>
      <w:r>
        <w:rPr>
          <w:spacing w:val="-3"/>
        </w:rPr>
        <w:t xml:space="preserve"> </w:t>
      </w:r>
      <w:r>
        <w:t>to</w:t>
      </w:r>
      <w:r>
        <w:rPr>
          <w:spacing w:val="-1"/>
        </w:rPr>
        <w:t xml:space="preserve"> </w:t>
      </w:r>
      <w:r>
        <w:t>recognize</w:t>
      </w:r>
      <w:r>
        <w:rPr>
          <w:spacing w:val="-4"/>
        </w:rPr>
        <w:t xml:space="preserve"> </w:t>
      </w:r>
      <w:r>
        <w:t>what</w:t>
      </w:r>
      <w:r>
        <w:rPr>
          <w:spacing w:val="-4"/>
        </w:rPr>
        <w:t xml:space="preserve"> </w:t>
      </w:r>
      <w:r>
        <w:t>those</w:t>
      </w:r>
      <w:r>
        <w:rPr>
          <w:spacing w:val="-4"/>
        </w:rPr>
        <w:t xml:space="preserve"> </w:t>
      </w:r>
      <w:r>
        <w:t>values</w:t>
      </w:r>
      <w:r>
        <w:rPr>
          <w:spacing w:val="-4"/>
        </w:rPr>
        <w:t xml:space="preserve"> </w:t>
      </w:r>
      <w:r>
        <w:t>are.</w:t>
      </w:r>
      <w:r>
        <w:rPr>
          <w:spacing w:val="-3"/>
        </w:rPr>
        <w:t xml:space="preserve"> </w:t>
      </w:r>
      <w:r>
        <w:t>Some</w:t>
      </w:r>
      <w:r>
        <w:rPr>
          <w:spacing w:val="-4"/>
        </w:rPr>
        <w:t xml:space="preserve"> </w:t>
      </w:r>
      <w:r>
        <w:t>clients</w:t>
      </w:r>
      <w:r>
        <w:rPr>
          <w:spacing w:val="-2"/>
        </w:rPr>
        <w:t xml:space="preserve"> </w:t>
      </w:r>
      <w:r>
        <w:t>may</w:t>
      </w:r>
      <w:r>
        <w:rPr>
          <w:spacing w:val="-1"/>
        </w:rPr>
        <w:t xml:space="preserve"> </w:t>
      </w:r>
      <w:r>
        <w:t>have</w:t>
      </w:r>
      <w:r>
        <w:rPr>
          <w:spacing w:val="-4"/>
        </w:rPr>
        <w:t xml:space="preserve"> </w:t>
      </w:r>
      <w:r>
        <w:t>only</w:t>
      </w:r>
      <w:r>
        <w:rPr>
          <w:spacing w:val="-3"/>
        </w:rPr>
        <w:t xml:space="preserve"> </w:t>
      </w:r>
      <w:r>
        <w:t>a</w:t>
      </w:r>
      <w:r>
        <w:rPr>
          <w:spacing w:val="-2"/>
        </w:rPr>
        <w:t xml:space="preserve"> </w:t>
      </w:r>
      <w:r>
        <w:t>vague</w:t>
      </w:r>
      <w:r>
        <w:rPr>
          <w:spacing w:val="-2"/>
        </w:rPr>
        <w:t xml:space="preserve"> </w:t>
      </w:r>
      <w:r>
        <w:t>understanding</w:t>
      </w:r>
      <w:r>
        <w:rPr>
          <w:spacing w:val="-1"/>
        </w:rPr>
        <w:t xml:space="preserve"> </w:t>
      </w:r>
      <w:r>
        <w:t>of</w:t>
      </w:r>
      <w:r>
        <w:rPr>
          <w:spacing w:val="-5"/>
        </w:rPr>
        <w:t xml:space="preserve"> </w:t>
      </w:r>
      <w:r>
        <w:t>their values or goals. A tool to help you and clients explore values is the Values Card Sort.</w:t>
      </w:r>
    </w:p>
    <w:p w14:paraId="1FECC273" w14:textId="77777777" w:rsidR="00DB6E1F" w:rsidRDefault="00F666A6">
      <w:pPr>
        <w:pStyle w:val="ListParagraph"/>
        <w:numPr>
          <w:ilvl w:val="1"/>
          <w:numId w:val="92"/>
        </w:numPr>
        <w:tabs>
          <w:tab w:val="left" w:pos="2159"/>
          <w:tab w:val="left" w:pos="2160"/>
        </w:tabs>
        <w:spacing w:before="58"/>
        <w:ind w:right="2149"/>
      </w:pPr>
      <w:r>
        <w:t>Print</w:t>
      </w:r>
      <w:r>
        <w:rPr>
          <w:spacing w:val="-4"/>
        </w:rPr>
        <w:t xml:space="preserve"> </w:t>
      </w:r>
      <w:r>
        <w:t>different</w:t>
      </w:r>
      <w:r>
        <w:rPr>
          <w:spacing w:val="-6"/>
        </w:rPr>
        <w:t xml:space="preserve"> </w:t>
      </w:r>
      <w:r>
        <w:t>values</w:t>
      </w:r>
      <w:r>
        <w:rPr>
          <w:spacing w:val="-4"/>
        </w:rPr>
        <w:t xml:space="preserve"> </w:t>
      </w:r>
      <w:r>
        <w:t>like</w:t>
      </w:r>
      <w:r>
        <w:rPr>
          <w:spacing w:val="-6"/>
        </w:rPr>
        <w:t xml:space="preserve"> </w:t>
      </w:r>
      <w:r>
        <w:t>“Achievement—to</w:t>
      </w:r>
      <w:r>
        <w:rPr>
          <w:spacing w:val="-3"/>
        </w:rPr>
        <w:t xml:space="preserve"> </w:t>
      </w:r>
      <w:r>
        <w:t>have</w:t>
      </w:r>
      <w:r>
        <w:rPr>
          <w:spacing w:val="-3"/>
        </w:rPr>
        <w:t xml:space="preserve"> </w:t>
      </w:r>
      <w:r>
        <w:t>important</w:t>
      </w:r>
      <w:r>
        <w:rPr>
          <w:spacing w:val="-6"/>
        </w:rPr>
        <w:t xml:space="preserve"> </w:t>
      </w:r>
      <w:r>
        <w:t>accomplishments”</w:t>
      </w:r>
      <w:r>
        <w:rPr>
          <w:spacing w:val="-5"/>
        </w:rPr>
        <w:t xml:space="preserve"> </w:t>
      </w:r>
      <w:r>
        <w:t>(Miller</w:t>
      </w:r>
      <w:r>
        <w:rPr>
          <w:spacing w:val="-7"/>
        </w:rPr>
        <w:t xml:space="preserve"> </w:t>
      </w:r>
      <w:r>
        <w:t>&amp; Rollnick, 2013, p. 80) on individual cards.</w:t>
      </w:r>
    </w:p>
    <w:p w14:paraId="58EC691A" w14:textId="77777777" w:rsidR="00DB6E1F" w:rsidRDefault="00F666A6">
      <w:pPr>
        <w:pStyle w:val="ListParagraph"/>
        <w:numPr>
          <w:ilvl w:val="1"/>
          <w:numId w:val="92"/>
        </w:numPr>
        <w:tabs>
          <w:tab w:val="left" w:pos="2159"/>
          <w:tab w:val="left" w:pos="2160"/>
        </w:tabs>
        <w:ind w:left="2160" w:right="1525" w:hanging="361"/>
      </w:pPr>
      <w:r>
        <w:t>Invite</w:t>
      </w:r>
      <w:r>
        <w:rPr>
          <w:spacing w:val="-1"/>
        </w:rPr>
        <w:t xml:space="preserve"> </w:t>
      </w:r>
      <w:r>
        <w:t>clients</w:t>
      </w:r>
      <w:r>
        <w:rPr>
          <w:spacing w:val="-4"/>
        </w:rPr>
        <w:t xml:space="preserve"> </w:t>
      </w:r>
      <w:r>
        <w:t>to</w:t>
      </w:r>
      <w:r>
        <w:rPr>
          <w:spacing w:val="-3"/>
        </w:rPr>
        <w:t xml:space="preserve"> </w:t>
      </w:r>
      <w:r>
        <w:t>sort</w:t>
      </w:r>
      <w:r>
        <w:rPr>
          <w:spacing w:val="-1"/>
        </w:rPr>
        <w:t xml:space="preserve"> </w:t>
      </w:r>
      <w:r>
        <w:t>the</w:t>
      </w:r>
      <w:r>
        <w:rPr>
          <w:spacing w:val="-4"/>
        </w:rPr>
        <w:t xml:space="preserve"> </w:t>
      </w:r>
      <w:r>
        <w:t>cards</w:t>
      </w:r>
      <w:r>
        <w:rPr>
          <w:spacing w:val="-2"/>
        </w:rPr>
        <w:t xml:space="preserve"> </w:t>
      </w:r>
      <w:r>
        <w:t>into</w:t>
      </w:r>
      <w:r>
        <w:rPr>
          <w:spacing w:val="-1"/>
        </w:rPr>
        <w:t xml:space="preserve"> </w:t>
      </w:r>
      <w:r>
        <w:t>piles</w:t>
      </w:r>
      <w:r>
        <w:rPr>
          <w:spacing w:val="-2"/>
        </w:rPr>
        <w:t xml:space="preserve"> </w:t>
      </w:r>
      <w:r>
        <w:t>by</w:t>
      </w:r>
      <w:r>
        <w:rPr>
          <w:spacing w:val="-1"/>
        </w:rPr>
        <w:t xml:space="preserve"> </w:t>
      </w:r>
      <w:r>
        <w:t>importance;</w:t>
      </w:r>
      <w:r>
        <w:rPr>
          <w:spacing w:val="-1"/>
        </w:rPr>
        <w:t xml:space="preserve"> </w:t>
      </w:r>
      <w:r>
        <w:t>those</w:t>
      </w:r>
      <w:r>
        <w:rPr>
          <w:spacing w:val="-4"/>
        </w:rPr>
        <w:t xml:space="preserve"> </w:t>
      </w:r>
      <w:r>
        <w:t>that</w:t>
      </w:r>
      <w:r>
        <w:rPr>
          <w:spacing w:val="-2"/>
        </w:rPr>
        <w:t xml:space="preserve"> </w:t>
      </w:r>
      <w:r>
        <w:t>are</w:t>
      </w:r>
      <w:r>
        <w:rPr>
          <w:spacing w:val="-4"/>
        </w:rPr>
        <w:t xml:space="preserve"> </w:t>
      </w:r>
      <w:r>
        <w:t>most</w:t>
      </w:r>
      <w:r>
        <w:rPr>
          <w:spacing w:val="-2"/>
        </w:rPr>
        <w:t xml:space="preserve"> </w:t>
      </w:r>
      <w:r>
        <w:t>important</w:t>
      </w:r>
      <w:r>
        <w:rPr>
          <w:spacing w:val="-2"/>
        </w:rPr>
        <w:t xml:space="preserve"> </w:t>
      </w:r>
      <w:r>
        <w:t>are</w:t>
      </w:r>
      <w:r>
        <w:rPr>
          <w:spacing w:val="-4"/>
        </w:rPr>
        <w:t xml:space="preserve"> </w:t>
      </w:r>
      <w:r>
        <w:t>place in one pile, and those that are least important are in another pile.</w:t>
      </w:r>
    </w:p>
    <w:p w14:paraId="0088F48C" w14:textId="77777777" w:rsidR="00DB6E1F" w:rsidRDefault="00F666A6">
      <w:pPr>
        <w:pStyle w:val="ListParagraph"/>
        <w:numPr>
          <w:ilvl w:val="1"/>
          <w:numId w:val="92"/>
        </w:numPr>
        <w:tabs>
          <w:tab w:val="left" w:pos="2159"/>
          <w:tab w:val="left" w:pos="2160"/>
        </w:tabs>
        <w:ind w:hanging="361"/>
      </w:pPr>
      <w:r>
        <w:t>Ask</w:t>
      </w:r>
      <w:r>
        <w:rPr>
          <w:spacing w:val="-5"/>
        </w:rPr>
        <w:t xml:space="preserve"> </w:t>
      </w:r>
      <w:r>
        <w:t>clients</w:t>
      </w:r>
      <w:r>
        <w:rPr>
          <w:spacing w:val="-3"/>
        </w:rPr>
        <w:t xml:space="preserve"> </w:t>
      </w:r>
      <w:r>
        <w:t>to</w:t>
      </w:r>
      <w:r>
        <w:rPr>
          <w:spacing w:val="-3"/>
        </w:rPr>
        <w:t xml:space="preserve"> </w:t>
      </w:r>
      <w:r>
        <w:t>pick</w:t>
      </w:r>
      <w:r>
        <w:rPr>
          <w:spacing w:val="-5"/>
        </w:rPr>
        <w:t xml:space="preserve"> </w:t>
      </w:r>
      <w:r>
        <w:t>up</w:t>
      </w:r>
      <w:r>
        <w:rPr>
          <w:spacing w:val="-4"/>
        </w:rPr>
        <w:t xml:space="preserve"> </w:t>
      </w:r>
      <w:r>
        <w:t>to</w:t>
      </w:r>
      <w:r>
        <w:rPr>
          <w:spacing w:val="-2"/>
        </w:rPr>
        <w:t xml:space="preserve"> </w:t>
      </w:r>
      <w:r>
        <w:t>10</w:t>
      </w:r>
      <w:r>
        <w:rPr>
          <w:spacing w:val="-4"/>
        </w:rPr>
        <w:t xml:space="preserve"> </w:t>
      </w:r>
      <w:r>
        <w:t>cards</w:t>
      </w:r>
      <w:r>
        <w:rPr>
          <w:spacing w:val="-4"/>
        </w:rPr>
        <w:t xml:space="preserve"> </w:t>
      </w:r>
      <w:r>
        <w:t>from</w:t>
      </w:r>
      <w:r>
        <w:rPr>
          <w:spacing w:val="-4"/>
        </w:rPr>
        <w:t xml:space="preserve"> </w:t>
      </w:r>
      <w:r>
        <w:t>the</w:t>
      </w:r>
      <w:r>
        <w:rPr>
          <w:spacing w:val="-5"/>
        </w:rPr>
        <w:t xml:space="preserve"> </w:t>
      </w:r>
      <w:r>
        <w:t>most</w:t>
      </w:r>
      <w:r>
        <w:rPr>
          <w:spacing w:val="-3"/>
        </w:rPr>
        <w:t xml:space="preserve"> </w:t>
      </w:r>
      <w:r>
        <w:t>important</w:t>
      </w:r>
      <w:r>
        <w:rPr>
          <w:spacing w:val="-2"/>
        </w:rPr>
        <w:t xml:space="preserve"> </w:t>
      </w:r>
      <w:r>
        <w:t>pile;</w:t>
      </w:r>
      <w:r>
        <w:rPr>
          <w:spacing w:val="-4"/>
        </w:rPr>
        <w:t xml:space="preserve"> </w:t>
      </w:r>
      <w:r>
        <w:t>converse</w:t>
      </w:r>
      <w:r>
        <w:rPr>
          <w:spacing w:val="-3"/>
        </w:rPr>
        <w:t xml:space="preserve"> </w:t>
      </w:r>
      <w:r>
        <w:t>about</w:t>
      </w:r>
      <w:r>
        <w:rPr>
          <w:spacing w:val="-5"/>
        </w:rPr>
        <w:t xml:space="preserve"> </w:t>
      </w:r>
      <w:r>
        <w:t>each</w:t>
      </w:r>
      <w:r>
        <w:rPr>
          <w:spacing w:val="-4"/>
        </w:rPr>
        <w:t xml:space="preserve"> one.</w:t>
      </w:r>
    </w:p>
    <w:p w14:paraId="211A5A21" w14:textId="77777777" w:rsidR="00DB6E1F" w:rsidRDefault="00F666A6">
      <w:pPr>
        <w:pStyle w:val="ListParagraph"/>
        <w:numPr>
          <w:ilvl w:val="1"/>
          <w:numId w:val="92"/>
        </w:numPr>
        <w:tabs>
          <w:tab w:val="left" w:pos="2159"/>
          <w:tab w:val="left" w:pos="2160"/>
        </w:tabs>
        <w:spacing w:before="61"/>
        <w:ind w:hanging="361"/>
      </w:pPr>
      <w:r>
        <w:t>Use</w:t>
      </w:r>
      <w:r>
        <w:rPr>
          <w:spacing w:val="-2"/>
        </w:rPr>
        <w:t xml:space="preserve"> </w:t>
      </w:r>
      <w:r>
        <w:t>OARS</w:t>
      </w:r>
      <w:r>
        <w:rPr>
          <w:spacing w:val="-6"/>
        </w:rPr>
        <w:t xml:space="preserve"> </w:t>
      </w:r>
      <w:r>
        <w:t>to</w:t>
      </w:r>
      <w:r>
        <w:rPr>
          <w:spacing w:val="-1"/>
        </w:rPr>
        <w:t xml:space="preserve"> </w:t>
      </w:r>
      <w:r>
        <w:t>facilitate</w:t>
      </w:r>
      <w:r>
        <w:rPr>
          <w:spacing w:val="-5"/>
        </w:rPr>
        <w:t xml:space="preserve"> </w:t>
      </w:r>
      <w:r>
        <w:t>the</w:t>
      </w:r>
      <w:r>
        <w:rPr>
          <w:spacing w:val="-1"/>
        </w:rPr>
        <w:t xml:space="preserve"> </w:t>
      </w:r>
      <w:r>
        <w:rPr>
          <w:spacing w:val="-2"/>
        </w:rPr>
        <w:t>conversations.</w:t>
      </w:r>
    </w:p>
    <w:p w14:paraId="0B007178" w14:textId="77777777" w:rsidR="00DB6E1F" w:rsidRDefault="00F666A6">
      <w:pPr>
        <w:pStyle w:val="ListParagraph"/>
        <w:numPr>
          <w:ilvl w:val="1"/>
          <w:numId w:val="92"/>
        </w:numPr>
        <w:tabs>
          <w:tab w:val="left" w:pos="2158"/>
          <w:tab w:val="left" w:pos="2159"/>
        </w:tabs>
        <w:ind w:left="2158" w:right="1866"/>
      </w:pPr>
      <w:r>
        <w:t>Pay</w:t>
      </w:r>
      <w:r>
        <w:rPr>
          <w:spacing w:val="-4"/>
        </w:rPr>
        <w:t xml:space="preserve"> </w:t>
      </w:r>
      <w:r>
        <w:t>attention</w:t>
      </w:r>
      <w:r>
        <w:rPr>
          <w:spacing w:val="-6"/>
        </w:rPr>
        <w:t xml:space="preserve"> </w:t>
      </w:r>
      <w:r>
        <w:t>to</w:t>
      </w:r>
      <w:r>
        <w:rPr>
          <w:spacing w:val="-4"/>
        </w:rPr>
        <w:t xml:space="preserve"> </w:t>
      </w:r>
      <w:r>
        <w:t>statements</w:t>
      </w:r>
      <w:r>
        <w:rPr>
          <w:spacing w:val="-3"/>
        </w:rPr>
        <w:t xml:space="preserve"> </w:t>
      </w:r>
      <w:r>
        <w:t>about</w:t>
      </w:r>
      <w:r>
        <w:rPr>
          <w:spacing w:val="-3"/>
        </w:rPr>
        <w:t xml:space="preserve"> </w:t>
      </w:r>
      <w:r>
        <w:t>discrepancy</w:t>
      </w:r>
      <w:r>
        <w:rPr>
          <w:spacing w:val="-2"/>
        </w:rPr>
        <w:t xml:space="preserve"> </w:t>
      </w:r>
      <w:r>
        <w:t>between</w:t>
      </w:r>
      <w:r>
        <w:rPr>
          <w:spacing w:val="-4"/>
        </w:rPr>
        <w:t xml:space="preserve"> </w:t>
      </w:r>
      <w:r>
        <w:t>these</w:t>
      </w:r>
      <w:r>
        <w:rPr>
          <w:spacing w:val="-2"/>
        </w:rPr>
        <w:t xml:space="preserve"> </w:t>
      </w:r>
      <w:r>
        <w:t>important</w:t>
      </w:r>
      <w:r>
        <w:rPr>
          <w:spacing w:val="-3"/>
        </w:rPr>
        <w:t xml:space="preserve"> </w:t>
      </w:r>
      <w:r>
        <w:t>values</w:t>
      </w:r>
      <w:r>
        <w:rPr>
          <w:spacing w:val="-5"/>
        </w:rPr>
        <w:t xml:space="preserve"> </w:t>
      </w:r>
      <w:r>
        <w:t>and</w:t>
      </w:r>
      <w:r>
        <w:rPr>
          <w:spacing w:val="-4"/>
        </w:rPr>
        <w:t xml:space="preserve"> </w:t>
      </w:r>
      <w:r>
        <w:t>clients’ substance use behaviors, and reinforce these statements.</w:t>
      </w:r>
    </w:p>
    <w:p w14:paraId="2B0DC088" w14:textId="77777777" w:rsidR="00DB6E1F" w:rsidRDefault="00F666A6">
      <w:pPr>
        <w:pStyle w:val="ListParagraph"/>
        <w:numPr>
          <w:ilvl w:val="1"/>
          <w:numId w:val="92"/>
        </w:numPr>
        <w:tabs>
          <w:tab w:val="left" w:pos="2158"/>
          <w:tab w:val="left" w:pos="2159"/>
        </w:tabs>
        <w:ind w:left="2158" w:right="2200"/>
      </w:pPr>
      <w:r>
        <w:t>A</w:t>
      </w:r>
      <w:r>
        <w:rPr>
          <w:spacing w:val="-3"/>
        </w:rPr>
        <w:t xml:space="preserve"> </w:t>
      </w:r>
      <w:r>
        <w:t>downloadable,</w:t>
      </w:r>
      <w:r>
        <w:rPr>
          <w:spacing w:val="-3"/>
        </w:rPr>
        <w:t xml:space="preserve"> </w:t>
      </w:r>
      <w:r>
        <w:t>public</w:t>
      </w:r>
      <w:r>
        <w:rPr>
          <w:spacing w:val="-3"/>
        </w:rPr>
        <w:t xml:space="preserve"> </w:t>
      </w:r>
      <w:r>
        <w:t>domain</w:t>
      </w:r>
      <w:r>
        <w:rPr>
          <w:spacing w:val="-5"/>
        </w:rPr>
        <w:t xml:space="preserve"> </w:t>
      </w:r>
      <w:r>
        <w:t>version</w:t>
      </w:r>
      <w:r>
        <w:rPr>
          <w:spacing w:val="-3"/>
        </w:rPr>
        <w:t xml:space="preserve"> </w:t>
      </w:r>
      <w:r>
        <w:t>of</w:t>
      </w:r>
      <w:r>
        <w:rPr>
          <w:spacing w:val="-3"/>
        </w:rPr>
        <w:t xml:space="preserve"> </w:t>
      </w:r>
      <w:r>
        <w:t>the</w:t>
      </w:r>
      <w:r>
        <w:rPr>
          <w:spacing w:val="-4"/>
        </w:rPr>
        <w:t xml:space="preserve"> </w:t>
      </w:r>
      <w:r>
        <w:t>Value</w:t>
      </w:r>
      <w:r>
        <w:rPr>
          <w:spacing w:val="-2"/>
        </w:rPr>
        <w:t xml:space="preserve"> </w:t>
      </w:r>
      <w:r>
        <w:t>Card</w:t>
      </w:r>
      <w:r>
        <w:rPr>
          <w:spacing w:val="-3"/>
        </w:rPr>
        <w:t xml:space="preserve"> </w:t>
      </w:r>
      <w:r>
        <w:t>Sort</w:t>
      </w:r>
      <w:r>
        <w:rPr>
          <w:spacing w:val="-2"/>
        </w:rPr>
        <w:t xml:space="preserve"> </w:t>
      </w:r>
      <w:r>
        <w:t>activity</w:t>
      </w:r>
      <w:r>
        <w:rPr>
          <w:spacing w:val="-4"/>
        </w:rPr>
        <w:t xml:space="preserve"> </w:t>
      </w:r>
      <w:r>
        <w:t>is</w:t>
      </w:r>
      <w:r>
        <w:rPr>
          <w:spacing w:val="-3"/>
        </w:rPr>
        <w:t xml:space="preserve"> </w:t>
      </w:r>
      <w:r>
        <w:t>available</w:t>
      </w:r>
      <w:r>
        <w:rPr>
          <w:spacing w:val="-4"/>
        </w:rPr>
        <w:t xml:space="preserve"> </w:t>
      </w:r>
      <w:r>
        <w:t xml:space="preserve">online </w:t>
      </w:r>
      <w:r>
        <w:rPr>
          <w:spacing w:val="-2"/>
        </w:rPr>
        <w:t>(</w:t>
      </w:r>
      <w:hyperlink r:id="rId103">
        <w:r>
          <w:rPr>
            <w:color w:val="0563C1"/>
            <w:spacing w:val="-2"/>
            <w:u w:val="single" w:color="0563C1"/>
          </w:rPr>
          <w:t>www.motivationalinterviewing.org/sites/default/files/valuescardsort_0.pdf</w:t>
        </w:r>
      </w:hyperlink>
      <w:r>
        <w:rPr>
          <w:spacing w:val="-2"/>
        </w:rPr>
        <w:t>).</w:t>
      </w:r>
    </w:p>
    <w:p w14:paraId="499FD884" w14:textId="77777777" w:rsidR="00DB6E1F" w:rsidRDefault="00F666A6">
      <w:pPr>
        <w:pStyle w:val="ListParagraph"/>
        <w:numPr>
          <w:ilvl w:val="0"/>
          <w:numId w:val="92"/>
        </w:numPr>
        <w:tabs>
          <w:tab w:val="left" w:pos="1800"/>
          <w:tab w:val="left" w:pos="1801"/>
        </w:tabs>
        <w:spacing w:before="59"/>
        <w:ind w:left="1800" w:right="1521"/>
        <w:rPr>
          <w:rFonts w:ascii="Symbol" w:hAnsi="Symbol"/>
        </w:rPr>
      </w:pPr>
      <w:r>
        <w:rPr>
          <w:b/>
        </w:rPr>
        <w:t>Providing</w:t>
      </w:r>
      <w:r>
        <w:rPr>
          <w:b/>
          <w:spacing w:val="-4"/>
        </w:rPr>
        <w:t xml:space="preserve"> </w:t>
      </w:r>
      <w:r>
        <w:rPr>
          <w:b/>
        </w:rPr>
        <w:t>information.</w:t>
      </w:r>
      <w:r>
        <w:rPr>
          <w:b/>
          <w:spacing w:val="-1"/>
        </w:rPr>
        <w:t xml:space="preserve"> </w:t>
      </w:r>
      <w:r>
        <w:t>Avoid</w:t>
      </w:r>
      <w:r>
        <w:rPr>
          <w:spacing w:val="-3"/>
        </w:rPr>
        <w:t xml:space="preserve"> </w:t>
      </w:r>
      <w:r>
        <w:t>being</w:t>
      </w:r>
      <w:r>
        <w:rPr>
          <w:spacing w:val="-3"/>
        </w:rPr>
        <w:t xml:space="preserve"> </w:t>
      </w:r>
      <w:r>
        <w:t>the</w:t>
      </w:r>
      <w:r>
        <w:rPr>
          <w:spacing w:val="-4"/>
        </w:rPr>
        <w:t xml:space="preserve"> </w:t>
      </w:r>
      <w:r>
        <w:t>expert</w:t>
      </w:r>
      <w:r>
        <w:rPr>
          <w:spacing w:val="-1"/>
        </w:rPr>
        <w:t xml:space="preserve"> </w:t>
      </w:r>
      <w:r>
        <w:t>and</w:t>
      </w:r>
      <w:r>
        <w:rPr>
          <w:spacing w:val="-5"/>
        </w:rPr>
        <w:t xml:space="preserve"> </w:t>
      </w:r>
      <w:r>
        <w:t>treating</w:t>
      </w:r>
      <w:r>
        <w:rPr>
          <w:spacing w:val="-4"/>
        </w:rPr>
        <w:t xml:space="preserve"> </w:t>
      </w:r>
      <w:r>
        <w:t>clients</w:t>
      </w:r>
      <w:r>
        <w:rPr>
          <w:spacing w:val="-2"/>
        </w:rPr>
        <w:t xml:space="preserve"> </w:t>
      </w:r>
      <w:r>
        <w:t>as</w:t>
      </w:r>
      <w:r>
        <w:rPr>
          <w:spacing w:val="-2"/>
        </w:rPr>
        <w:t xml:space="preserve"> </w:t>
      </w:r>
      <w:r>
        <w:t>passive</w:t>
      </w:r>
      <w:r>
        <w:rPr>
          <w:spacing w:val="-4"/>
        </w:rPr>
        <w:t xml:space="preserve"> </w:t>
      </w:r>
      <w:r>
        <w:t>recipients</w:t>
      </w:r>
      <w:r>
        <w:rPr>
          <w:spacing w:val="-2"/>
        </w:rPr>
        <w:t xml:space="preserve"> </w:t>
      </w:r>
      <w:r>
        <w:t>when</w:t>
      </w:r>
      <w:r>
        <w:rPr>
          <w:spacing w:val="-3"/>
        </w:rPr>
        <w:t xml:space="preserve"> </w:t>
      </w:r>
      <w:r>
        <w:t>giving information about the negative physical, emotional, mental, social, or spiritual effects or consequences</w:t>
      </w:r>
      <w:r>
        <w:rPr>
          <w:spacing w:val="-4"/>
        </w:rPr>
        <w:t xml:space="preserve"> </w:t>
      </w:r>
      <w:r>
        <w:t>of</w:t>
      </w:r>
      <w:r>
        <w:rPr>
          <w:spacing w:val="-2"/>
        </w:rPr>
        <w:t xml:space="preserve"> </w:t>
      </w:r>
      <w:r>
        <w:t>substance</w:t>
      </w:r>
      <w:r>
        <w:rPr>
          <w:spacing w:val="-4"/>
        </w:rPr>
        <w:t xml:space="preserve"> </w:t>
      </w:r>
      <w:r>
        <w:t>misuse.</w:t>
      </w:r>
      <w:r>
        <w:rPr>
          <w:spacing w:val="-3"/>
        </w:rPr>
        <w:t xml:space="preserve"> </w:t>
      </w:r>
      <w:r>
        <w:t>Instead,</w:t>
      </w:r>
      <w:r>
        <w:rPr>
          <w:spacing w:val="-4"/>
        </w:rPr>
        <w:t xml:space="preserve"> </w:t>
      </w:r>
      <w:r>
        <w:t>engage</w:t>
      </w:r>
      <w:r>
        <w:rPr>
          <w:spacing w:val="-4"/>
        </w:rPr>
        <w:t xml:space="preserve"> </w:t>
      </w:r>
      <w:r>
        <w:t>the</w:t>
      </w:r>
      <w:r>
        <w:rPr>
          <w:spacing w:val="-1"/>
        </w:rPr>
        <w:t xml:space="preserve"> </w:t>
      </w:r>
      <w:r>
        <w:t>client</w:t>
      </w:r>
      <w:r>
        <w:rPr>
          <w:spacing w:val="-4"/>
        </w:rPr>
        <w:t xml:space="preserve"> </w:t>
      </w:r>
      <w:r>
        <w:t>in</w:t>
      </w:r>
      <w:r>
        <w:rPr>
          <w:spacing w:val="-2"/>
        </w:rPr>
        <w:t xml:space="preserve"> </w:t>
      </w:r>
      <w:r>
        <w:t>a</w:t>
      </w:r>
      <w:r>
        <w:rPr>
          <w:spacing w:val="-2"/>
        </w:rPr>
        <w:t xml:space="preserve"> </w:t>
      </w:r>
      <w:r>
        <w:t>process</w:t>
      </w:r>
      <w:r>
        <w:rPr>
          <w:spacing w:val="-4"/>
        </w:rPr>
        <w:t xml:space="preserve"> </w:t>
      </w:r>
      <w:r>
        <w:t>of</w:t>
      </w:r>
      <w:r>
        <w:rPr>
          <w:spacing w:val="-4"/>
        </w:rPr>
        <w:t xml:space="preserve"> </w:t>
      </w:r>
      <w:r>
        <w:t>mutual</w:t>
      </w:r>
      <w:r>
        <w:rPr>
          <w:spacing w:val="-2"/>
        </w:rPr>
        <w:t xml:space="preserve"> </w:t>
      </w:r>
      <w:r>
        <w:t>exchange.</w:t>
      </w:r>
      <w:r>
        <w:rPr>
          <w:spacing w:val="-5"/>
        </w:rPr>
        <w:t xml:space="preserve"> </w:t>
      </w:r>
      <w:r>
        <w:t>This process is cal</w:t>
      </w:r>
      <w:r>
        <w:t>led Elicit-Provide-Elicit (EPE) and has three steps (Miller &amp; Rollnick, 2013):</w:t>
      </w:r>
    </w:p>
    <w:p w14:paraId="14421D81" w14:textId="77777777" w:rsidR="00DB6E1F" w:rsidRDefault="00F666A6">
      <w:pPr>
        <w:pStyle w:val="ListParagraph"/>
        <w:numPr>
          <w:ilvl w:val="1"/>
          <w:numId w:val="92"/>
        </w:numPr>
        <w:tabs>
          <w:tab w:val="left" w:pos="2159"/>
          <w:tab w:val="left" w:pos="2160"/>
        </w:tabs>
        <w:spacing w:before="61"/>
        <w:ind w:left="2158" w:right="1444"/>
      </w:pPr>
      <w:r>
        <w:rPr>
          <w:b/>
        </w:rPr>
        <w:t xml:space="preserve">Elicit readiness or interest in the information. </w:t>
      </w:r>
      <w:r>
        <w:t>Don’t assume that clients are interested in hearing</w:t>
      </w:r>
      <w:r>
        <w:rPr>
          <w:spacing w:val="-3"/>
        </w:rPr>
        <w:t xml:space="preserve"> </w:t>
      </w:r>
      <w:r>
        <w:t>the</w:t>
      </w:r>
      <w:r>
        <w:rPr>
          <w:spacing w:val="-2"/>
        </w:rPr>
        <w:t xml:space="preserve"> </w:t>
      </w:r>
      <w:r>
        <w:t>information</w:t>
      </w:r>
      <w:r>
        <w:rPr>
          <w:spacing w:val="-5"/>
        </w:rPr>
        <w:t xml:space="preserve"> </w:t>
      </w:r>
      <w:r>
        <w:t>you</w:t>
      </w:r>
      <w:r>
        <w:rPr>
          <w:spacing w:val="-3"/>
        </w:rPr>
        <w:t xml:space="preserve"> </w:t>
      </w:r>
      <w:r>
        <w:t>want</w:t>
      </w:r>
      <w:r>
        <w:rPr>
          <w:spacing w:val="-2"/>
        </w:rPr>
        <w:t xml:space="preserve"> </w:t>
      </w:r>
      <w:r>
        <w:t>to</w:t>
      </w:r>
      <w:r>
        <w:rPr>
          <w:spacing w:val="-3"/>
        </w:rPr>
        <w:t xml:space="preserve"> </w:t>
      </w:r>
      <w:r>
        <w:t>offer;</w:t>
      </w:r>
      <w:r>
        <w:rPr>
          <w:spacing w:val="-1"/>
        </w:rPr>
        <w:t xml:space="preserve"> </w:t>
      </w:r>
      <w:r>
        <w:t>start</w:t>
      </w:r>
      <w:r>
        <w:rPr>
          <w:spacing w:val="-1"/>
        </w:rPr>
        <w:t xml:space="preserve"> </w:t>
      </w:r>
      <w:r>
        <w:t>by</w:t>
      </w:r>
      <w:r>
        <w:rPr>
          <w:spacing w:val="-1"/>
        </w:rPr>
        <w:t xml:space="preserve"> </w:t>
      </w:r>
      <w:r>
        <w:t>asking</w:t>
      </w:r>
      <w:r>
        <w:rPr>
          <w:spacing w:val="-3"/>
        </w:rPr>
        <w:t xml:space="preserve"> </w:t>
      </w:r>
      <w:r>
        <w:t>permission.</w:t>
      </w:r>
      <w:r>
        <w:rPr>
          <w:spacing w:val="-2"/>
        </w:rPr>
        <w:t xml:space="preserve"> </w:t>
      </w:r>
      <w:r>
        <w:t>For</w:t>
      </w:r>
      <w:r>
        <w:rPr>
          <w:spacing w:val="-2"/>
        </w:rPr>
        <w:t xml:space="preserve"> </w:t>
      </w:r>
      <w:r>
        <w:t>example:</w:t>
      </w:r>
      <w:r>
        <w:rPr>
          <w:spacing w:val="-3"/>
        </w:rPr>
        <w:t xml:space="preserve"> </w:t>
      </w:r>
      <w:r>
        <w:t>“Would</w:t>
      </w:r>
      <w:r>
        <w:rPr>
          <w:spacing w:val="-3"/>
        </w:rPr>
        <w:t xml:space="preserve"> </w:t>
      </w:r>
      <w:r>
        <w:t>it</w:t>
      </w:r>
      <w:r>
        <w:rPr>
          <w:spacing w:val="-1"/>
        </w:rPr>
        <w:t xml:space="preserve"> </w:t>
      </w:r>
      <w:r>
        <w:t>be okay if I shared some information with you about the health risks of using heroin?” Don’t</w:t>
      </w:r>
      <w:r>
        <w:rPr>
          <w:spacing w:val="40"/>
        </w:rPr>
        <w:t xml:space="preserve"> </w:t>
      </w:r>
      <w:r>
        <w:t>assume that clients lack this knowledge. Ask what they already know about the risks of using heroin. For example: “What would you most like to k</w:t>
      </w:r>
      <w:r>
        <w:t>now about the health risks of heroin use?”</w:t>
      </w:r>
    </w:p>
    <w:p w14:paraId="47729C0E" w14:textId="77777777" w:rsidR="00DB6E1F" w:rsidRDefault="00F666A6">
      <w:pPr>
        <w:pStyle w:val="ListParagraph"/>
        <w:numPr>
          <w:ilvl w:val="1"/>
          <w:numId w:val="92"/>
        </w:numPr>
        <w:tabs>
          <w:tab w:val="left" w:pos="2158"/>
          <w:tab w:val="left" w:pos="2159"/>
        </w:tabs>
        <w:spacing w:before="59"/>
        <w:ind w:left="2158" w:right="1554"/>
      </w:pPr>
      <w:r>
        <w:rPr>
          <w:b/>
        </w:rPr>
        <w:t xml:space="preserve">Provide information neutrally (i.e., without judgement). </w:t>
      </w:r>
      <w:r>
        <w:t>Prioritize what clients have said they would most like to know. Fill in knowledge gaps. Present the information clearly and in small chunks.</w:t>
      </w:r>
      <w:r>
        <w:rPr>
          <w:spacing w:val="-2"/>
        </w:rPr>
        <w:t xml:space="preserve"> </w:t>
      </w:r>
      <w:r>
        <w:t>Too</w:t>
      </w:r>
      <w:r>
        <w:rPr>
          <w:spacing w:val="-3"/>
        </w:rPr>
        <w:t xml:space="preserve"> </w:t>
      </w:r>
      <w:r>
        <w:t>much</w:t>
      </w:r>
      <w:r>
        <w:rPr>
          <w:spacing w:val="-3"/>
        </w:rPr>
        <w:t xml:space="preserve"> </w:t>
      </w:r>
      <w:r>
        <w:t>inform</w:t>
      </w:r>
      <w:r>
        <w:t>ation</w:t>
      </w:r>
      <w:r>
        <w:rPr>
          <w:spacing w:val="-3"/>
        </w:rPr>
        <w:t xml:space="preserve"> </w:t>
      </w:r>
      <w:r>
        <w:t>can</w:t>
      </w:r>
      <w:r>
        <w:rPr>
          <w:spacing w:val="-5"/>
        </w:rPr>
        <w:t xml:space="preserve"> </w:t>
      </w:r>
      <w:r>
        <w:t>overwhelm</w:t>
      </w:r>
      <w:r>
        <w:rPr>
          <w:spacing w:val="-3"/>
        </w:rPr>
        <w:t xml:space="preserve"> </w:t>
      </w:r>
      <w:r>
        <w:t>clients.</w:t>
      </w:r>
      <w:r>
        <w:rPr>
          <w:spacing w:val="-5"/>
        </w:rPr>
        <w:t xml:space="preserve"> </w:t>
      </w:r>
      <w:r>
        <w:t>Invite</w:t>
      </w:r>
      <w:r>
        <w:rPr>
          <w:spacing w:val="-4"/>
        </w:rPr>
        <w:t xml:space="preserve"> </w:t>
      </w:r>
      <w:r>
        <w:t>them</w:t>
      </w:r>
      <w:r>
        <w:rPr>
          <w:spacing w:val="-1"/>
        </w:rPr>
        <w:t xml:space="preserve"> </w:t>
      </w:r>
      <w:r>
        <w:t>to</w:t>
      </w:r>
      <w:r>
        <w:rPr>
          <w:spacing w:val="-1"/>
        </w:rPr>
        <w:t xml:space="preserve"> </w:t>
      </w:r>
      <w:r>
        <w:t>ask</w:t>
      </w:r>
      <w:r>
        <w:rPr>
          <w:spacing w:val="-4"/>
        </w:rPr>
        <w:t xml:space="preserve"> </w:t>
      </w:r>
      <w:r>
        <w:t>more</w:t>
      </w:r>
      <w:r>
        <w:rPr>
          <w:spacing w:val="-1"/>
        </w:rPr>
        <w:t xml:space="preserve"> </w:t>
      </w:r>
      <w:r>
        <w:t>questions</w:t>
      </w:r>
      <w:r>
        <w:rPr>
          <w:spacing w:val="-4"/>
        </w:rPr>
        <w:t xml:space="preserve"> </w:t>
      </w:r>
      <w:r>
        <w:t>about the information you’re providing.</w:t>
      </w:r>
    </w:p>
    <w:p w14:paraId="12D995C9" w14:textId="77777777" w:rsidR="00DB6E1F" w:rsidRDefault="00DB6E1F">
      <w:pPr>
        <w:sectPr w:rsidR="00DB6E1F">
          <w:pgSz w:w="12240" w:h="15840"/>
          <w:pgMar w:top="1200" w:right="0" w:bottom="780" w:left="0" w:header="763" w:footer="585" w:gutter="0"/>
          <w:cols w:space="720"/>
        </w:sectPr>
      </w:pPr>
    </w:p>
    <w:p w14:paraId="40540B8C" w14:textId="77777777" w:rsidR="00DB6E1F" w:rsidRDefault="00DB6E1F">
      <w:pPr>
        <w:pStyle w:val="BodyText"/>
        <w:spacing w:before="8"/>
        <w:rPr>
          <w:sz w:val="14"/>
        </w:rPr>
      </w:pPr>
    </w:p>
    <w:p w14:paraId="734BD74B" w14:textId="77777777" w:rsidR="00DB6E1F" w:rsidRDefault="00F666A6">
      <w:pPr>
        <w:pStyle w:val="ListParagraph"/>
        <w:numPr>
          <w:ilvl w:val="1"/>
          <w:numId w:val="92"/>
        </w:numPr>
        <w:tabs>
          <w:tab w:val="left" w:pos="2159"/>
          <w:tab w:val="left" w:pos="2161"/>
        </w:tabs>
        <w:spacing w:before="56"/>
        <w:ind w:right="1728"/>
      </w:pPr>
      <w:r>
        <w:rPr>
          <w:b/>
        </w:rPr>
        <w:t>Elicit</w:t>
      </w:r>
      <w:r>
        <w:rPr>
          <w:b/>
          <w:spacing w:val="-4"/>
        </w:rPr>
        <w:t xml:space="preserve"> </w:t>
      </w:r>
      <w:r>
        <w:rPr>
          <w:b/>
        </w:rPr>
        <w:t>clients’</w:t>
      </w:r>
      <w:r>
        <w:rPr>
          <w:b/>
          <w:spacing w:val="-1"/>
        </w:rPr>
        <w:t xml:space="preserve"> </w:t>
      </w:r>
      <w:r>
        <w:rPr>
          <w:b/>
        </w:rPr>
        <w:t>understanding</w:t>
      </w:r>
      <w:r>
        <w:rPr>
          <w:b/>
          <w:spacing w:val="-1"/>
        </w:rPr>
        <w:t xml:space="preserve"> </w:t>
      </w:r>
      <w:r>
        <w:rPr>
          <w:b/>
        </w:rPr>
        <w:t>of</w:t>
      </w:r>
      <w:r>
        <w:rPr>
          <w:b/>
          <w:spacing w:val="-2"/>
        </w:rPr>
        <w:t xml:space="preserve"> </w:t>
      </w:r>
      <w:r>
        <w:rPr>
          <w:b/>
        </w:rPr>
        <w:t>the</w:t>
      </w:r>
      <w:r>
        <w:rPr>
          <w:b/>
          <w:spacing w:val="-2"/>
        </w:rPr>
        <w:t xml:space="preserve"> </w:t>
      </w:r>
      <w:r>
        <w:rPr>
          <w:b/>
        </w:rPr>
        <w:t>information.</w:t>
      </w:r>
      <w:r>
        <w:rPr>
          <w:b/>
          <w:spacing w:val="-4"/>
        </w:rPr>
        <w:t xml:space="preserve"> </w:t>
      </w:r>
      <w:r>
        <w:t>Don’t</w:t>
      </w:r>
      <w:r>
        <w:rPr>
          <w:spacing w:val="-4"/>
        </w:rPr>
        <w:t xml:space="preserve"> </w:t>
      </w:r>
      <w:r>
        <w:t>assume</w:t>
      </w:r>
      <w:r>
        <w:rPr>
          <w:spacing w:val="-1"/>
        </w:rPr>
        <w:t xml:space="preserve"> </w:t>
      </w:r>
      <w:r>
        <w:t>that</w:t>
      </w:r>
      <w:r>
        <w:rPr>
          <w:spacing w:val="-4"/>
        </w:rPr>
        <w:t xml:space="preserve"> </w:t>
      </w:r>
      <w:r>
        <w:t>you</w:t>
      </w:r>
      <w:r>
        <w:rPr>
          <w:spacing w:val="-3"/>
        </w:rPr>
        <w:t xml:space="preserve"> </w:t>
      </w:r>
      <w:r>
        <w:t>know</w:t>
      </w:r>
      <w:r>
        <w:rPr>
          <w:spacing w:val="-4"/>
        </w:rPr>
        <w:t xml:space="preserve"> </w:t>
      </w:r>
      <w:r>
        <w:t>how</w:t>
      </w:r>
      <w:r>
        <w:rPr>
          <w:spacing w:val="-1"/>
        </w:rPr>
        <w:t xml:space="preserve"> </w:t>
      </w:r>
      <w:r>
        <w:t>clients</w:t>
      </w:r>
      <w:r>
        <w:rPr>
          <w:spacing w:val="-2"/>
        </w:rPr>
        <w:t xml:space="preserve"> </w:t>
      </w:r>
      <w:r>
        <w:t>will react to the information you have provided. Ask questions:</w:t>
      </w:r>
    </w:p>
    <w:p w14:paraId="3F8F457E" w14:textId="77777777" w:rsidR="00DB6E1F" w:rsidRDefault="00F666A6">
      <w:pPr>
        <w:pStyle w:val="ListParagraph"/>
        <w:numPr>
          <w:ilvl w:val="2"/>
          <w:numId w:val="92"/>
        </w:numPr>
        <w:tabs>
          <w:tab w:val="left" w:pos="2519"/>
          <w:tab w:val="left" w:pos="2520"/>
        </w:tabs>
        <w:ind w:left="2519"/>
      </w:pPr>
      <w:r>
        <w:t>“So,</w:t>
      </w:r>
      <w:r>
        <w:rPr>
          <w:spacing w:val="-3"/>
        </w:rPr>
        <w:t xml:space="preserve"> </w:t>
      </w:r>
      <w:r>
        <w:t>what</w:t>
      </w:r>
      <w:r>
        <w:rPr>
          <w:spacing w:val="-3"/>
        </w:rPr>
        <w:t xml:space="preserve"> </w:t>
      </w:r>
      <w:r>
        <w:t>do</w:t>
      </w:r>
      <w:r>
        <w:rPr>
          <w:spacing w:val="-2"/>
        </w:rPr>
        <w:t xml:space="preserve"> </w:t>
      </w:r>
      <w:r>
        <w:t>you</w:t>
      </w:r>
      <w:r>
        <w:rPr>
          <w:spacing w:val="-4"/>
        </w:rPr>
        <w:t xml:space="preserve"> </w:t>
      </w:r>
      <w:r>
        <w:t>make</w:t>
      </w:r>
      <w:r>
        <w:rPr>
          <w:spacing w:val="-3"/>
        </w:rPr>
        <w:t xml:space="preserve"> </w:t>
      </w:r>
      <w:r>
        <w:t>of</w:t>
      </w:r>
      <w:r>
        <w:rPr>
          <w:spacing w:val="-4"/>
        </w:rPr>
        <w:t xml:space="preserve"> </w:t>
      </w:r>
      <w:r>
        <w:t xml:space="preserve">this </w:t>
      </w:r>
      <w:r>
        <w:rPr>
          <w:spacing w:val="-2"/>
        </w:rPr>
        <w:t>information?”</w:t>
      </w:r>
    </w:p>
    <w:p w14:paraId="7669C651" w14:textId="77777777" w:rsidR="00DB6E1F" w:rsidRDefault="00F666A6">
      <w:pPr>
        <w:pStyle w:val="ListParagraph"/>
        <w:numPr>
          <w:ilvl w:val="2"/>
          <w:numId w:val="92"/>
        </w:numPr>
        <w:tabs>
          <w:tab w:val="left" w:pos="2520"/>
          <w:tab w:val="left" w:pos="2521"/>
        </w:tabs>
        <w:spacing w:before="22"/>
      </w:pPr>
      <w:r>
        <w:t>“What</w:t>
      </w:r>
      <w:r>
        <w:rPr>
          <w:spacing w:val="-7"/>
        </w:rPr>
        <w:t xml:space="preserve"> </w:t>
      </w:r>
      <w:r>
        <w:t>do</w:t>
      </w:r>
      <w:r>
        <w:rPr>
          <w:spacing w:val="-3"/>
        </w:rPr>
        <w:t xml:space="preserve"> </w:t>
      </w:r>
      <w:r>
        <w:t>you</w:t>
      </w:r>
      <w:r>
        <w:rPr>
          <w:spacing w:val="-3"/>
        </w:rPr>
        <w:t xml:space="preserve"> </w:t>
      </w:r>
      <w:r>
        <w:t>think</w:t>
      </w:r>
      <w:r>
        <w:rPr>
          <w:spacing w:val="-1"/>
        </w:rPr>
        <w:t xml:space="preserve"> </w:t>
      </w:r>
      <w:r>
        <w:t>about</w:t>
      </w:r>
      <w:r>
        <w:rPr>
          <w:spacing w:val="-1"/>
        </w:rPr>
        <w:t xml:space="preserve"> </w:t>
      </w:r>
      <w:r>
        <w:rPr>
          <w:spacing w:val="-4"/>
        </w:rPr>
        <w:t>that?</w:t>
      </w:r>
    </w:p>
    <w:p w14:paraId="52E9FF92" w14:textId="77777777" w:rsidR="00DB6E1F" w:rsidRDefault="00F666A6">
      <w:pPr>
        <w:pStyle w:val="ListParagraph"/>
        <w:numPr>
          <w:ilvl w:val="2"/>
          <w:numId w:val="92"/>
        </w:numPr>
        <w:tabs>
          <w:tab w:val="left" w:pos="2520"/>
          <w:tab w:val="left" w:pos="2521"/>
        </w:tabs>
        <w:spacing w:before="20" w:line="259" w:lineRule="auto"/>
        <w:ind w:right="2285"/>
        <w:rPr>
          <w:i/>
        </w:rPr>
      </w:pPr>
      <w:r>
        <w:t>“How</w:t>
      </w:r>
      <w:r>
        <w:rPr>
          <w:spacing w:val="-2"/>
        </w:rPr>
        <w:t xml:space="preserve"> </w:t>
      </w:r>
      <w:r>
        <w:t>does</w:t>
      </w:r>
      <w:r>
        <w:rPr>
          <w:spacing w:val="-5"/>
        </w:rPr>
        <w:t xml:space="preserve"> </w:t>
      </w:r>
      <w:r>
        <w:t>this</w:t>
      </w:r>
      <w:r>
        <w:rPr>
          <w:spacing w:val="-3"/>
        </w:rPr>
        <w:t xml:space="preserve"> </w:t>
      </w:r>
      <w:r>
        <w:t>information</w:t>
      </w:r>
      <w:r>
        <w:rPr>
          <w:spacing w:val="-4"/>
        </w:rPr>
        <w:t xml:space="preserve"> </w:t>
      </w:r>
      <w:r>
        <w:t>impact</w:t>
      </w:r>
      <w:r>
        <w:rPr>
          <w:spacing w:val="-5"/>
        </w:rPr>
        <w:t xml:space="preserve"> </w:t>
      </w:r>
      <w:r>
        <w:t>the</w:t>
      </w:r>
      <w:r>
        <w:rPr>
          <w:spacing w:val="-5"/>
        </w:rPr>
        <w:t xml:space="preserve"> </w:t>
      </w:r>
      <w:r>
        <w:t>way</w:t>
      </w:r>
      <w:r>
        <w:rPr>
          <w:spacing w:val="-4"/>
        </w:rPr>
        <w:t xml:space="preserve"> </w:t>
      </w:r>
      <w:r>
        <w:t>you</w:t>
      </w:r>
      <w:r>
        <w:rPr>
          <w:spacing w:val="-6"/>
        </w:rPr>
        <w:t xml:space="preserve"> </w:t>
      </w:r>
      <w:r>
        <w:t>might</w:t>
      </w:r>
      <w:r>
        <w:rPr>
          <w:spacing w:val="-2"/>
        </w:rPr>
        <w:t xml:space="preserve"> </w:t>
      </w:r>
      <w:r>
        <w:t>be</w:t>
      </w:r>
      <w:r>
        <w:rPr>
          <w:spacing w:val="-2"/>
        </w:rPr>
        <w:t xml:space="preserve"> </w:t>
      </w:r>
      <w:r>
        <w:t>thinking</w:t>
      </w:r>
      <w:r>
        <w:rPr>
          <w:spacing w:val="-4"/>
        </w:rPr>
        <w:t xml:space="preserve"> </w:t>
      </w:r>
      <w:r>
        <w:t>about</w:t>
      </w:r>
      <w:r>
        <w:rPr>
          <w:spacing w:val="-1"/>
        </w:rPr>
        <w:t xml:space="preserve"> </w:t>
      </w:r>
      <w:r>
        <w:rPr>
          <w:i/>
        </w:rPr>
        <w:t>[name</w:t>
      </w:r>
      <w:r>
        <w:rPr>
          <w:i/>
          <w:spacing w:val="-3"/>
        </w:rPr>
        <w:t xml:space="preserve"> </w:t>
      </w:r>
      <w:r>
        <w:rPr>
          <w:i/>
        </w:rPr>
        <w:t>the</w:t>
      </w:r>
      <w:r>
        <w:rPr>
          <w:i/>
        </w:rPr>
        <w:t xml:space="preserve"> substance use behavior, such as drinking]?</w:t>
      </w:r>
    </w:p>
    <w:p w14:paraId="75FE5E79" w14:textId="77777777" w:rsidR="00DB6E1F" w:rsidRDefault="00F666A6">
      <w:pPr>
        <w:pStyle w:val="ListParagraph"/>
        <w:numPr>
          <w:ilvl w:val="1"/>
          <w:numId w:val="92"/>
        </w:numPr>
        <w:tabs>
          <w:tab w:val="left" w:pos="2160"/>
          <w:tab w:val="left" w:pos="2161"/>
        </w:tabs>
        <w:spacing w:before="0"/>
        <w:ind w:left="2160" w:right="1715"/>
        <w:rPr>
          <w:b/>
        </w:rPr>
      </w:pPr>
      <w:r>
        <w:t>Allow clients plenty of time to consider and reflect on the information you presented. Invite them to ask questions for clarification. Follow clients’ responses to your open questions with reflective</w:t>
      </w:r>
      <w:r>
        <w:rPr>
          <w:spacing w:val="-4"/>
        </w:rPr>
        <w:t xml:space="preserve"> </w:t>
      </w:r>
      <w:r>
        <w:t>listening</w:t>
      </w:r>
      <w:r>
        <w:rPr>
          <w:spacing w:val="-3"/>
        </w:rPr>
        <w:t xml:space="preserve"> </w:t>
      </w:r>
      <w:r>
        <w:t>st</w:t>
      </w:r>
      <w:r>
        <w:t>atements</w:t>
      </w:r>
      <w:r>
        <w:rPr>
          <w:spacing w:val="-1"/>
        </w:rPr>
        <w:t xml:space="preserve"> </w:t>
      </w:r>
      <w:r>
        <w:t>that</w:t>
      </w:r>
      <w:r>
        <w:rPr>
          <w:spacing w:val="-4"/>
        </w:rPr>
        <w:t xml:space="preserve"> </w:t>
      </w:r>
      <w:r>
        <w:t>emphasize</w:t>
      </w:r>
      <w:r>
        <w:rPr>
          <w:spacing w:val="-1"/>
        </w:rPr>
        <w:t xml:space="preserve"> </w:t>
      </w:r>
      <w:r>
        <w:t>change</w:t>
      </w:r>
      <w:r>
        <w:rPr>
          <w:spacing w:val="-4"/>
        </w:rPr>
        <w:t xml:space="preserve"> </w:t>
      </w:r>
      <w:r>
        <w:t>talk</w:t>
      </w:r>
      <w:r>
        <w:rPr>
          <w:spacing w:val="-1"/>
        </w:rPr>
        <w:t xml:space="preserve"> </w:t>
      </w:r>
      <w:r>
        <w:t>whenever</w:t>
      </w:r>
      <w:r>
        <w:rPr>
          <w:spacing w:val="-4"/>
        </w:rPr>
        <w:t xml:space="preserve"> </w:t>
      </w:r>
      <w:r>
        <w:t>you</w:t>
      </w:r>
      <w:r>
        <w:rPr>
          <w:spacing w:val="-3"/>
        </w:rPr>
        <w:t xml:space="preserve"> </w:t>
      </w:r>
      <w:r>
        <w:t>hear</w:t>
      </w:r>
      <w:r>
        <w:rPr>
          <w:spacing w:val="-2"/>
        </w:rPr>
        <w:t xml:space="preserve"> </w:t>
      </w:r>
      <w:r>
        <w:t>it.</w:t>
      </w:r>
      <w:r>
        <w:rPr>
          <w:spacing w:val="-5"/>
        </w:rPr>
        <w:t xml:space="preserve"> </w:t>
      </w:r>
      <w:r>
        <w:rPr>
          <w:b/>
        </w:rPr>
        <w:t>EPE</w:t>
      </w:r>
      <w:r>
        <w:rPr>
          <w:b/>
          <w:spacing w:val="-4"/>
        </w:rPr>
        <w:t xml:space="preserve"> </w:t>
      </w:r>
      <w:r>
        <w:rPr>
          <w:b/>
        </w:rPr>
        <w:t>is</w:t>
      </w:r>
      <w:r>
        <w:rPr>
          <w:b/>
          <w:spacing w:val="-1"/>
        </w:rPr>
        <w:t xml:space="preserve"> </w:t>
      </w:r>
      <w:r>
        <w:rPr>
          <w:b/>
        </w:rPr>
        <w:t>an</w:t>
      </w:r>
      <w:r>
        <w:rPr>
          <w:b/>
          <w:spacing w:val="-3"/>
        </w:rPr>
        <w:t xml:space="preserve"> </w:t>
      </w:r>
      <w:r>
        <w:rPr>
          <w:b/>
        </w:rPr>
        <w:t>MI strategy to facilitate identifying discrepancy and is an effective and respectful way to give advice to clients about behavior change strategies during the planning process.</w:t>
      </w:r>
    </w:p>
    <w:p w14:paraId="3A7B5160" w14:textId="77777777" w:rsidR="00DB6E1F" w:rsidRDefault="00F666A6">
      <w:pPr>
        <w:pStyle w:val="ListParagraph"/>
        <w:numPr>
          <w:ilvl w:val="0"/>
          <w:numId w:val="92"/>
        </w:numPr>
        <w:tabs>
          <w:tab w:val="left" w:pos="1800"/>
          <w:tab w:val="left" w:pos="1801"/>
        </w:tabs>
        <w:spacing w:before="59"/>
        <w:ind w:left="1799" w:right="1608" w:hanging="360"/>
        <w:rPr>
          <w:rFonts w:ascii="Symbol" w:hAnsi="Symbol"/>
        </w:rPr>
      </w:pPr>
      <w:r>
        <w:rPr>
          <w:b/>
        </w:rPr>
        <w:t xml:space="preserve">Exploring others’ concerns. </w:t>
      </w:r>
      <w:r>
        <w:t xml:space="preserve">Another way to build discrepancy is to explore the </w:t>
      </w:r>
      <w:r>
        <w:t>clients’ understanding</w:t>
      </w:r>
      <w:r>
        <w:rPr>
          <w:spacing w:val="-4"/>
        </w:rPr>
        <w:t xml:space="preserve"> </w:t>
      </w:r>
      <w:r>
        <w:t>of</w:t>
      </w:r>
      <w:r>
        <w:rPr>
          <w:spacing w:val="-3"/>
        </w:rPr>
        <w:t xml:space="preserve"> </w:t>
      </w:r>
      <w:r>
        <w:t>the</w:t>
      </w:r>
      <w:r>
        <w:rPr>
          <w:spacing w:val="-2"/>
        </w:rPr>
        <w:t xml:space="preserve"> </w:t>
      </w:r>
      <w:r>
        <w:t>concerns</w:t>
      </w:r>
      <w:r>
        <w:rPr>
          <w:spacing w:val="-3"/>
        </w:rPr>
        <w:t xml:space="preserve"> </w:t>
      </w:r>
      <w:r>
        <w:t>other</w:t>
      </w:r>
      <w:r>
        <w:rPr>
          <w:spacing w:val="-3"/>
        </w:rPr>
        <w:t xml:space="preserve"> </w:t>
      </w:r>
      <w:r>
        <w:t>people</w:t>
      </w:r>
      <w:r>
        <w:rPr>
          <w:spacing w:val="-5"/>
        </w:rPr>
        <w:t xml:space="preserve"> </w:t>
      </w:r>
      <w:r>
        <w:t>have</w:t>
      </w:r>
      <w:r>
        <w:rPr>
          <w:spacing w:val="-5"/>
        </w:rPr>
        <w:t xml:space="preserve"> </w:t>
      </w:r>
      <w:r>
        <w:t>expressed</w:t>
      </w:r>
      <w:r>
        <w:rPr>
          <w:spacing w:val="-4"/>
        </w:rPr>
        <w:t xml:space="preserve"> </w:t>
      </w:r>
      <w:r>
        <w:t>about their</w:t>
      </w:r>
      <w:r>
        <w:rPr>
          <w:spacing w:val="-3"/>
        </w:rPr>
        <w:t xml:space="preserve"> </w:t>
      </w:r>
      <w:r>
        <w:t>substance</w:t>
      </w:r>
      <w:r>
        <w:rPr>
          <w:spacing w:val="-2"/>
        </w:rPr>
        <w:t xml:space="preserve"> </w:t>
      </w:r>
      <w:r>
        <w:t>use.</w:t>
      </w:r>
      <w:r>
        <w:rPr>
          <w:spacing w:val="-6"/>
        </w:rPr>
        <w:t xml:space="preserve"> </w:t>
      </w:r>
      <w:r>
        <w:t>This</w:t>
      </w:r>
      <w:r>
        <w:rPr>
          <w:spacing w:val="-3"/>
        </w:rPr>
        <w:t xml:space="preserve"> </w:t>
      </w:r>
      <w:r>
        <w:t>differs from focusing on the external pressure that a family member, an employer, or the criminal justice system</w:t>
      </w:r>
      <w:r>
        <w:rPr>
          <w:spacing w:val="-1"/>
        </w:rPr>
        <w:t xml:space="preserve"> </w:t>
      </w:r>
      <w:r>
        <w:t>may be</w:t>
      </w:r>
      <w:r>
        <w:rPr>
          <w:spacing w:val="-2"/>
        </w:rPr>
        <w:t xml:space="preserve"> </w:t>
      </w:r>
      <w:r>
        <w:t>putting</w:t>
      </w:r>
      <w:r>
        <w:rPr>
          <w:spacing w:val="-1"/>
        </w:rPr>
        <w:t xml:space="preserve"> </w:t>
      </w:r>
      <w:r>
        <w:t>on</w:t>
      </w:r>
      <w:r>
        <w:rPr>
          <w:spacing w:val="-5"/>
        </w:rPr>
        <w:t xml:space="preserve"> </w:t>
      </w:r>
      <w:r>
        <w:t>clients to reduce</w:t>
      </w:r>
      <w:r>
        <w:rPr>
          <w:spacing w:val="-2"/>
        </w:rPr>
        <w:t xml:space="preserve"> </w:t>
      </w:r>
      <w:r>
        <w:t>or absta</w:t>
      </w:r>
      <w:r>
        <w:t>in</w:t>
      </w:r>
      <w:r>
        <w:rPr>
          <w:spacing w:val="-3"/>
        </w:rPr>
        <w:t xml:space="preserve"> </w:t>
      </w:r>
      <w:r>
        <w:t>from substance use.</w:t>
      </w:r>
      <w:r>
        <w:rPr>
          <w:spacing w:val="-3"/>
        </w:rPr>
        <w:t xml:space="preserve"> </w:t>
      </w:r>
      <w:r>
        <w:t>The purpose is</w:t>
      </w:r>
      <w:r>
        <w:rPr>
          <w:spacing w:val="-2"/>
        </w:rPr>
        <w:t xml:space="preserve"> </w:t>
      </w:r>
      <w:r>
        <w:t>to invite clients to explore the impact of substance use behaviors on the people with whom they are emotionally connected in a nonthreatening way. Approach this conversation from a place of genuine curiosity and even a</w:t>
      </w:r>
      <w:r>
        <w:t xml:space="preserve"> bit of confusion (Miller &amp; Rollnick, 2013). Here is a brief example of what this conversation might look like using an open question about a significant other’s concern, where reflecting sustain talk actually has the effect of eliciting change talk:</w:t>
      </w:r>
    </w:p>
    <w:p w14:paraId="27EDAED0" w14:textId="77777777" w:rsidR="00DB6E1F" w:rsidRDefault="00F666A6">
      <w:pPr>
        <w:pStyle w:val="ListParagraph"/>
        <w:numPr>
          <w:ilvl w:val="1"/>
          <w:numId w:val="92"/>
        </w:numPr>
        <w:tabs>
          <w:tab w:val="left" w:pos="2159"/>
          <w:tab w:val="left" w:pos="2160"/>
        </w:tabs>
        <w:spacing w:before="59"/>
        <w:ind w:right="1729"/>
        <w:rPr>
          <w:i/>
        </w:rPr>
      </w:pPr>
      <w:r>
        <w:rPr>
          <w:b/>
        </w:rPr>
        <w:t>Couns</w:t>
      </w:r>
      <w:r>
        <w:rPr>
          <w:b/>
        </w:rPr>
        <w:t>elor:</w:t>
      </w:r>
      <w:r>
        <w:rPr>
          <w:b/>
          <w:spacing w:val="-3"/>
        </w:rPr>
        <w:t xml:space="preserve"> </w:t>
      </w:r>
      <w:r>
        <w:t>You</w:t>
      </w:r>
      <w:r>
        <w:rPr>
          <w:spacing w:val="-5"/>
        </w:rPr>
        <w:t xml:space="preserve"> </w:t>
      </w:r>
      <w:r>
        <w:t>mentioned</w:t>
      </w:r>
      <w:r>
        <w:rPr>
          <w:spacing w:val="-5"/>
        </w:rPr>
        <w:t xml:space="preserve"> </w:t>
      </w:r>
      <w:r>
        <w:t>that</w:t>
      </w:r>
      <w:r>
        <w:rPr>
          <w:spacing w:val="-1"/>
        </w:rPr>
        <w:t xml:space="preserve"> </w:t>
      </w:r>
      <w:r>
        <w:t>your</w:t>
      </w:r>
      <w:r>
        <w:rPr>
          <w:spacing w:val="-2"/>
        </w:rPr>
        <w:t xml:space="preserve"> </w:t>
      </w:r>
      <w:r>
        <w:t>husband</w:t>
      </w:r>
      <w:r>
        <w:rPr>
          <w:spacing w:val="-3"/>
        </w:rPr>
        <w:t xml:space="preserve"> </w:t>
      </w:r>
      <w:r>
        <w:t>is</w:t>
      </w:r>
      <w:r>
        <w:rPr>
          <w:spacing w:val="-2"/>
        </w:rPr>
        <w:t xml:space="preserve"> </w:t>
      </w:r>
      <w:r>
        <w:t>concerned</w:t>
      </w:r>
      <w:r>
        <w:rPr>
          <w:spacing w:val="-2"/>
        </w:rPr>
        <w:t xml:space="preserve"> </w:t>
      </w:r>
      <w:r>
        <w:t>about</w:t>
      </w:r>
      <w:r>
        <w:rPr>
          <w:spacing w:val="-4"/>
        </w:rPr>
        <w:t xml:space="preserve"> </w:t>
      </w:r>
      <w:r>
        <w:t>your</w:t>
      </w:r>
      <w:r>
        <w:rPr>
          <w:spacing w:val="-2"/>
        </w:rPr>
        <w:t xml:space="preserve"> </w:t>
      </w:r>
      <w:r>
        <w:t>drinking.</w:t>
      </w:r>
      <w:r>
        <w:rPr>
          <w:spacing w:val="-2"/>
        </w:rPr>
        <w:t xml:space="preserve"> </w:t>
      </w:r>
      <w:r>
        <w:t>What</w:t>
      </w:r>
      <w:r>
        <w:rPr>
          <w:spacing w:val="-1"/>
        </w:rPr>
        <w:t xml:space="preserve"> </w:t>
      </w:r>
      <w:r>
        <w:t>do</w:t>
      </w:r>
      <w:r>
        <w:rPr>
          <w:spacing w:val="-3"/>
        </w:rPr>
        <w:t xml:space="preserve"> </w:t>
      </w:r>
      <w:r>
        <w:t xml:space="preserve">you think concerns him? </w:t>
      </w:r>
      <w:r>
        <w:rPr>
          <w:i/>
        </w:rPr>
        <w:t>(Open question)</w:t>
      </w:r>
    </w:p>
    <w:p w14:paraId="64581A5B" w14:textId="77777777" w:rsidR="00DB6E1F" w:rsidRDefault="00F666A6">
      <w:pPr>
        <w:pStyle w:val="ListParagraph"/>
        <w:numPr>
          <w:ilvl w:val="1"/>
          <w:numId w:val="92"/>
        </w:numPr>
        <w:tabs>
          <w:tab w:val="left" w:pos="2159"/>
          <w:tab w:val="left" w:pos="2160"/>
        </w:tabs>
        <w:spacing w:before="61"/>
        <w:ind w:right="1638"/>
        <w:rPr>
          <w:i/>
        </w:rPr>
      </w:pPr>
      <w:r>
        <w:rPr>
          <w:b/>
        </w:rPr>
        <w:t>Client:</w:t>
      </w:r>
      <w:r>
        <w:rPr>
          <w:b/>
          <w:spacing w:val="-3"/>
        </w:rPr>
        <w:t xml:space="preserve"> </w:t>
      </w:r>
      <w:r>
        <w:t>He</w:t>
      </w:r>
      <w:r>
        <w:rPr>
          <w:spacing w:val="-1"/>
        </w:rPr>
        <w:t xml:space="preserve"> </w:t>
      </w:r>
      <w:r>
        <w:t>worries</w:t>
      </w:r>
      <w:r>
        <w:rPr>
          <w:spacing w:val="-2"/>
        </w:rPr>
        <w:t xml:space="preserve"> </w:t>
      </w:r>
      <w:r>
        <w:t>about</w:t>
      </w:r>
      <w:r>
        <w:rPr>
          <w:spacing w:val="-1"/>
        </w:rPr>
        <w:t xml:space="preserve"> </w:t>
      </w:r>
      <w:r>
        <w:t>everything.</w:t>
      </w:r>
      <w:r>
        <w:rPr>
          <w:spacing w:val="-4"/>
        </w:rPr>
        <w:t xml:space="preserve"> </w:t>
      </w:r>
      <w:r>
        <w:t>The</w:t>
      </w:r>
      <w:r>
        <w:rPr>
          <w:spacing w:val="-4"/>
        </w:rPr>
        <w:t xml:space="preserve"> </w:t>
      </w:r>
      <w:r>
        <w:t>other</w:t>
      </w:r>
      <w:r>
        <w:rPr>
          <w:spacing w:val="-2"/>
        </w:rPr>
        <w:t xml:space="preserve"> </w:t>
      </w:r>
      <w:r>
        <w:t>day,</w:t>
      </w:r>
      <w:r>
        <w:rPr>
          <w:spacing w:val="-2"/>
        </w:rPr>
        <w:t xml:space="preserve"> </w:t>
      </w:r>
      <w:r>
        <w:t>he</w:t>
      </w:r>
      <w:r>
        <w:rPr>
          <w:spacing w:val="-4"/>
        </w:rPr>
        <w:t xml:space="preserve"> </w:t>
      </w:r>
      <w:r>
        <w:t>got</w:t>
      </w:r>
      <w:r>
        <w:rPr>
          <w:spacing w:val="-1"/>
        </w:rPr>
        <w:t xml:space="preserve"> </w:t>
      </w:r>
      <w:r>
        <w:t>really</w:t>
      </w:r>
      <w:r>
        <w:rPr>
          <w:spacing w:val="-3"/>
        </w:rPr>
        <w:t xml:space="preserve"> </w:t>
      </w:r>
      <w:r>
        <w:t>upset</w:t>
      </w:r>
      <w:r>
        <w:rPr>
          <w:spacing w:val="-1"/>
        </w:rPr>
        <w:t xml:space="preserve"> </w:t>
      </w:r>
      <w:r>
        <w:t>because</w:t>
      </w:r>
      <w:r>
        <w:rPr>
          <w:spacing w:val="-4"/>
        </w:rPr>
        <w:t xml:space="preserve"> </w:t>
      </w:r>
      <w:r>
        <w:t>I</w:t>
      </w:r>
      <w:r>
        <w:rPr>
          <w:spacing w:val="-5"/>
        </w:rPr>
        <w:t xml:space="preserve"> </w:t>
      </w:r>
      <w:r>
        <w:t>drove</w:t>
      </w:r>
      <w:r>
        <w:rPr>
          <w:spacing w:val="-1"/>
        </w:rPr>
        <w:t xml:space="preserve"> </w:t>
      </w:r>
      <w:r>
        <w:t>a</w:t>
      </w:r>
      <w:r>
        <w:rPr>
          <w:spacing w:val="-2"/>
        </w:rPr>
        <w:t xml:space="preserve"> </w:t>
      </w:r>
      <w:r>
        <w:t xml:space="preserve">block home from a friend’s house after a party. He shouldn’t worry so much. </w:t>
      </w:r>
      <w:r>
        <w:rPr>
          <w:i/>
        </w:rPr>
        <w:t>(Sustain talk)</w:t>
      </w:r>
    </w:p>
    <w:p w14:paraId="22F80920" w14:textId="77777777" w:rsidR="00DB6E1F" w:rsidRDefault="00F666A6">
      <w:pPr>
        <w:pStyle w:val="ListParagraph"/>
        <w:numPr>
          <w:ilvl w:val="1"/>
          <w:numId w:val="92"/>
        </w:numPr>
        <w:tabs>
          <w:tab w:val="left" w:pos="2158"/>
          <w:tab w:val="left" w:pos="2159"/>
        </w:tabs>
        <w:ind w:left="2158" w:right="1542"/>
        <w:rPr>
          <w:i/>
        </w:rPr>
      </w:pPr>
      <w:r>
        <w:rPr>
          <w:b/>
        </w:rPr>
        <w:t>Counselor:</w:t>
      </w:r>
      <w:r>
        <w:rPr>
          <w:b/>
          <w:spacing w:val="-2"/>
        </w:rPr>
        <w:t xml:space="preserve"> </w:t>
      </w:r>
      <w:r>
        <w:t>He’s</w:t>
      </w:r>
      <w:r>
        <w:rPr>
          <w:spacing w:val="-4"/>
        </w:rPr>
        <w:t xml:space="preserve"> </w:t>
      </w:r>
      <w:r>
        <w:t>worried</w:t>
      </w:r>
      <w:r>
        <w:rPr>
          <w:spacing w:val="-3"/>
        </w:rPr>
        <w:t xml:space="preserve"> </w:t>
      </w:r>
      <w:r>
        <w:t>that</w:t>
      </w:r>
      <w:r>
        <w:rPr>
          <w:spacing w:val="-1"/>
        </w:rPr>
        <w:t xml:space="preserve"> </w:t>
      </w:r>
      <w:r>
        <w:t>you</w:t>
      </w:r>
      <w:r>
        <w:rPr>
          <w:spacing w:val="-3"/>
        </w:rPr>
        <w:t xml:space="preserve"> </w:t>
      </w:r>
      <w:r>
        <w:t>could</w:t>
      </w:r>
      <w:r>
        <w:rPr>
          <w:spacing w:val="-3"/>
        </w:rPr>
        <w:t xml:space="preserve"> </w:t>
      </w:r>
      <w:r>
        <w:t>crash</w:t>
      </w:r>
      <w:r>
        <w:rPr>
          <w:spacing w:val="-2"/>
        </w:rPr>
        <w:t xml:space="preserve"> </w:t>
      </w:r>
      <w:r>
        <w:t>and</w:t>
      </w:r>
      <w:r>
        <w:rPr>
          <w:spacing w:val="-3"/>
        </w:rPr>
        <w:t xml:space="preserve"> </w:t>
      </w:r>
      <w:r>
        <w:t>hurt</w:t>
      </w:r>
      <w:r>
        <w:rPr>
          <w:spacing w:val="-4"/>
        </w:rPr>
        <w:t xml:space="preserve"> </w:t>
      </w:r>
      <w:r>
        <w:t>yourself</w:t>
      </w:r>
      <w:r>
        <w:rPr>
          <w:spacing w:val="-4"/>
        </w:rPr>
        <w:t xml:space="preserve"> </w:t>
      </w:r>
      <w:r>
        <w:t>or</w:t>
      </w:r>
      <w:r>
        <w:rPr>
          <w:spacing w:val="-2"/>
        </w:rPr>
        <w:t xml:space="preserve"> </w:t>
      </w:r>
      <w:r>
        <w:t>someone</w:t>
      </w:r>
      <w:r>
        <w:rPr>
          <w:spacing w:val="-4"/>
        </w:rPr>
        <w:t xml:space="preserve"> </w:t>
      </w:r>
      <w:r>
        <w:t>else</w:t>
      </w:r>
      <w:r>
        <w:rPr>
          <w:spacing w:val="-4"/>
        </w:rPr>
        <w:t xml:space="preserve"> </w:t>
      </w:r>
      <w:r>
        <w:t>or</w:t>
      </w:r>
      <w:r>
        <w:rPr>
          <w:spacing w:val="-2"/>
        </w:rPr>
        <w:t xml:space="preserve"> </w:t>
      </w:r>
      <w:r>
        <w:t>get</w:t>
      </w:r>
      <w:r>
        <w:rPr>
          <w:spacing w:val="-4"/>
        </w:rPr>
        <w:t xml:space="preserve"> </w:t>
      </w:r>
      <w:r>
        <w:t>arrested for driving under the influence. But you think his concern is overblow</w:t>
      </w:r>
      <w:r>
        <w:t xml:space="preserve">n. </w:t>
      </w:r>
      <w:r>
        <w:rPr>
          <w:i/>
        </w:rPr>
        <w:t>(Complex reflection)</w:t>
      </w:r>
    </w:p>
    <w:p w14:paraId="2082D1F7" w14:textId="77777777" w:rsidR="00DB6E1F" w:rsidRDefault="00F666A6">
      <w:pPr>
        <w:tabs>
          <w:tab w:val="left" w:pos="2158"/>
        </w:tabs>
        <w:spacing w:before="58"/>
        <w:ind w:left="1798"/>
        <w:rPr>
          <w:i/>
        </w:rPr>
      </w:pPr>
      <w:r>
        <w:rPr>
          <w:spacing w:val="-10"/>
        </w:rPr>
        <w:t>‒</w:t>
      </w:r>
      <w:r>
        <w:tab/>
      </w:r>
      <w:r>
        <w:rPr>
          <w:b/>
        </w:rPr>
        <w:t>Client:</w:t>
      </w:r>
      <w:r>
        <w:rPr>
          <w:b/>
          <w:spacing w:val="-4"/>
        </w:rPr>
        <w:t xml:space="preserve"> </w:t>
      </w:r>
      <w:r>
        <w:t>I</w:t>
      </w:r>
      <w:r>
        <w:rPr>
          <w:spacing w:val="-6"/>
        </w:rPr>
        <w:t xml:space="preserve"> </w:t>
      </w:r>
      <w:r>
        <w:t>can</w:t>
      </w:r>
      <w:r>
        <w:rPr>
          <w:spacing w:val="-4"/>
        </w:rPr>
        <w:t xml:space="preserve"> </w:t>
      </w:r>
      <w:r>
        <w:t>see</w:t>
      </w:r>
      <w:r>
        <w:rPr>
          <w:spacing w:val="-1"/>
        </w:rPr>
        <w:t xml:space="preserve"> </w:t>
      </w:r>
      <w:r>
        <w:t>he</w:t>
      </w:r>
      <w:r>
        <w:rPr>
          <w:spacing w:val="-5"/>
        </w:rPr>
        <w:t xml:space="preserve"> </w:t>
      </w:r>
      <w:r>
        <w:t>may</w:t>
      </w:r>
      <w:r>
        <w:rPr>
          <w:spacing w:val="-2"/>
        </w:rPr>
        <w:t xml:space="preserve"> </w:t>
      </w:r>
      <w:r>
        <w:t>have</w:t>
      </w:r>
      <w:r>
        <w:rPr>
          <w:spacing w:val="-2"/>
        </w:rPr>
        <w:t xml:space="preserve"> </w:t>
      </w:r>
      <w:r>
        <w:t>a</w:t>
      </w:r>
      <w:r>
        <w:rPr>
          <w:spacing w:val="-5"/>
        </w:rPr>
        <w:t xml:space="preserve"> </w:t>
      </w:r>
      <w:r>
        <w:t>point.</w:t>
      </w:r>
      <w:r>
        <w:rPr>
          <w:spacing w:val="-3"/>
        </w:rPr>
        <w:t xml:space="preserve"> </w:t>
      </w:r>
      <w:r>
        <w:t>I</w:t>
      </w:r>
      <w:r>
        <w:rPr>
          <w:spacing w:val="-6"/>
        </w:rPr>
        <w:t xml:space="preserve"> </w:t>
      </w:r>
      <w:r>
        <w:t>really</w:t>
      </w:r>
      <w:r>
        <w:rPr>
          <w:spacing w:val="-4"/>
        </w:rPr>
        <w:t xml:space="preserve"> </w:t>
      </w:r>
      <w:r>
        <w:t>shouldn’t</w:t>
      </w:r>
      <w:r>
        <w:rPr>
          <w:spacing w:val="-2"/>
        </w:rPr>
        <w:t xml:space="preserve"> </w:t>
      </w:r>
      <w:r>
        <w:t>drive</w:t>
      </w:r>
      <w:r>
        <w:rPr>
          <w:spacing w:val="-5"/>
        </w:rPr>
        <w:t xml:space="preserve"> </w:t>
      </w:r>
      <w:r>
        <w:t>after</w:t>
      </w:r>
      <w:r>
        <w:rPr>
          <w:spacing w:val="-6"/>
        </w:rPr>
        <w:t xml:space="preserve"> </w:t>
      </w:r>
      <w:r>
        <w:t>drinking.</w:t>
      </w:r>
      <w:r>
        <w:rPr>
          <w:spacing w:val="-1"/>
        </w:rPr>
        <w:t xml:space="preserve"> </w:t>
      </w:r>
      <w:r>
        <w:rPr>
          <w:i/>
        </w:rPr>
        <w:t>(Change</w:t>
      </w:r>
      <w:r>
        <w:rPr>
          <w:i/>
          <w:spacing w:val="-2"/>
        </w:rPr>
        <w:t xml:space="preserve"> talk)</w:t>
      </w:r>
    </w:p>
    <w:p w14:paraId="55BDB331" w14:textId="77777777" w:rsidR="00DB6E1F" w:rsidRDefault="00DB6E1F">
      <w:pPr>
        <w:pStyle w:val="BodyText"/>
        <w:spacing w:before="5"/>
        <w:rPr>
          <w:i/>
          <w:sz w:val="18"/>
        </w:rPr>
      </w:pPr>
    </w:p>
    <w:p w14:paraId="69903D0F" w14:textId="77777777" w:rsidR="00DB6E1F" w:rsidRDefault="00F666A6">
      <w:pPr>
        <w:pStyle w:val="Heading4"/>
      </w:pPr>
      <w:bookmarkStart w:id="113" w:name="Evoking_hope_and_confidence_to_support_s"/>
      <w:bookmarkEnd w:id="113"/>
      <w:r>
        <w:t>Evoking</w:t>
      </w:r>
      <w:r>
        <w:rPr>
          <w:spacing w:val="-9"/>
        </w:rPr>
        <w:t xml:space="preserve"> </w:t>
      </w:r>
      <w:r>
        <w:t>hope</w:t>
      </w:r>
      <w:r>
        <w:rPr>
          <w:spacing w:val="-6"/>
        </w:rPr>
        <w:t xml:space="preserve"> </w:t>
      </w:r>
      <w:r>
        <w:t>and</w:t>
      </w:r>
      <w:r>
        <w:rPr>
          <w:spacing w:val="-6"/>
        </w:rPr>
        <w:t xml:space="preserve"> </w:t>
      </w:r>
      <w:r>
        <w:t>confidence</w:t>
      </w:r>
      <w:r>
        <w:rPr>
          <w:spacing w:val="-7"/>
        </w:rPr>
        <w:t xml:space="preserve"> </w:t>
      </w:r>
      <w:r>
        <w:t>to</w:t>
      </w:r>
      <w:r>
        <w:rPr>
          <w:spacing w:val="-6"/>
        </w:rPr>
        <w:t xml:space="preserve"> </w:t>
      </w:r>
      <w:r>
        <w:t>support</w:t>
      </w:r>
      <w:r>
        <w:rPr>
          <w:spacing w:val="-9"/>
        </w:rPr>
        <w:t xml:space="preserve"> </w:t>
      </w:r>
      <w:r>
        <w:t>self-</w:t>
      </w:r>
      <w:r>
        <w:rPr>
          <w:spacing w:val="-2"/>
        </w:rPr>
        <w:t>efficacy</w:t>
      </w:r>
    </w:p>
    <w:p w14:paraId="5D83559E" w14:textId="77777777" w:rsidR="00DB6E1F" w:rsidRDefault="00F666A6">
      <w:pPr>
        <w:spacing w:before="84"/>
        <w:ind w:left="1439" w:right="1491"/>
      </w:pPr>
      <w:r>
        <w:t>Many clients do not have a well-developed sense of self-efficacy. They find it hard to believe that they can</w:t>
      </w:r>
      <w:r>
        <w:rPr>
          <w:spacing w:val="-3"/>
        </w:rPr>
        <w:t xml:space="preserve"> </w:t>
      </w:r>
      <w:r>
        <w:t>begin</w:t>
      </w:r>
      <w:r>
        <w:rPr>
          <w:spacing w:val="-3"/>
        </w:rPr>
        <w:t xml:space="preserve"> </w:t>
      </w:r>
      <w:r>
        <w:t>or</w:t>
      </w:r>
      <w:r>
        <w:rPr>
          <w:spacing w:val="-4"/>
        </w:rPr>
        <w:t xml:space="preserve"> </w:t>
      </w:r>
      <w:r>
        <w:t>maintain</w:t>
      </w:r>
      <w:r>
        <w:rPr>
          <w:spacing w:val="-3"/>
        </w:rPr>
        <w:t xml:space="preserve"> </w:t>
      </w:r>
      <w:r>
        <w:t>behavior</w:t>
      </w:r>
      <w:r>
        <w:rPr>
          <w:spacing w:val="-4"/>
        </w:rPr>
        <w:t xml:space="preserve"> </w:t>
      </w:r>
      <w:r>
        <w:t>change.</w:t>
      </w:r>
      <w:r>
        <w:rPr>
          <w:spacing w:val="-3"/>
        </w:rPr>
        <w:t xml:space="preserve"> </w:t>
      </w:r>
      <w:r>
        <w:rPr>
          <w:b/>
        </w:rPr>
        <w:t>Improving</w:t>
      </w:r>
      <w:r>
        <w:rPr>
          <w:b/>
          <w:spacing w:val="-3"/>
        </w:rPr>
        <w:t xml:space="preserve"> </w:t>
      </w:r>
      <w:r>
        <w:rPr>
          <w:b/>
        </w:rPr>
        <w:t>self-efficacy</w:t>
      </w:r>
      <w:r>
        <w:rPr>
          <w:b/>
          <w:spacing w:val="-3"/>
        </w:rPr>
        <w:t xml:space="preserve"> </w:t>
      </w:r>
      <w:r>
        <w:rPr>
          <w:b/>
        </w:rPr>
        <w:t>requires</w:t>
      </w:r>
      <w:r>
        <w:rPr>
          <w:b/>
          <w:spacing w:val="-2"/>
        </w:rPr>
        <w:t xml:space="preserve"> </w:t>
      </w:r>
      <w:r>
        <w:rPr>
          <w:b/>
        </w:rPr>
        <w:t>eliciting</w:t>
      </w:r>
      <w:r>
        <w:rPr>
          <w:b/>
          <w:spacing w:val="-5"/>
        </w:rPr>
        <w:t xml:space="preserve"> </w:t>
      </w:r>
      <w:r>
        <w:rPr>
          <w:b/>
        </w:rPr>
        <w:t>confidence,</w:t>
      </w:r>
      <w:r>
        <w:rPr>
          <w:b/>
          <w:spacing w:val="-2"/>
        </w:rPr>
        <w:t xml:space="preserve"> </w:t>
      </w:r>
      <w:r>
        <w:rPr>
          <w:b/>
        </w:rPr>
        <w:t>hope,</w:t>
      </w:r>
      <w:r>
        <w:rPr>
          <w:b/>
          <w:spacing w:val="-3"/>
        </w:rPr>
        <w:t xml:space="preserve"> </w:t>
      </w:r>
      <w:r>
        <w:rPr>
          <w:b/>
        </w:rPr>
        <w:t xml:space="preserve">and optimism that change, in general, is possible and that clients, specifically, can change. </w:t>
      </w:r>
      <w:r>
        <w:t>This positive impact on self-efficacy may be one of the ways MI promotes behavior change (Chariyeva et al., 2013).</w:t>
      </w:r>
    </w:p>
    <w:p w14:paraId="12788131" w14:textId="77777777" w:rsidR="00DB6E1F" w:rsidRDefault="00F666A6">
      <w:pPr>
        <w:spacing w:before="161"/>
        <w:ind w:left="1439" w:right="1507"/>
      </w:pPr>
      <w:r>
        <w:rPr>
          <w:b/>
        </w:rPr>
        <w:t xml:space="preserve">One of the most consistent predictors of positive client behavior change is “ability” change talk </w:t>
      </w:r>
      <w:r>
        <w:t>(Romano &amp; Peters, 2016). Unless a client believes change is possible, the perceived discrepancy between</w:t>
      </w:r>
      <w:r>
        <w:rPr>
          <w:spacing w:val="-3"/>
        </w:rPr>
        <w:t xml:space="preserve"> </w:t>
      </w:r>
      <w:r>
        <w:t>desire</w:t>
      </w:r>
      <w:r>
        <w:rPr>
          <w:spacing w:val="-1"/>
        </w:rPr>
        <w:t xml:space="preserve"> </w:t>
      </w:r>
      <w:r>
        <w:t>for</w:t>
      </w:r>
      <w:r>
        <w:rPr>
          <w:spacing w:val="-2"/>
        </w:rPr>
        <w:t xml:space="preserve"> </w:t>
      </w:r>
      <w:r>
        <w:t>change</w:t>
      </w:r>
      <w:r>
        <w:rPr>
          <w:spacing w:val="-4"/>
        </w:rPr>
        <w:t xml:space="preserve"> </w:t>
      </w:r>
      <w:r>
        <w:t>and</w:t>
      </w:r>
      <w:r>
        <w:rPr>
          <w:spacing w:val="-3"/>
        </w:rPr>
        <w:t xml:space="preserve"> </w:t>
      </w:r>
      <w:r>
        <w:t>feelings</w:t>
      </w:r>
      <w:r>
        <w:rPr>
          <w:spacing w:val="-4"/>
        </w:rPr>
        <w:t xml:space="preserve"> </w:t>
      </w:r>
      <w:r>
        <w:t>of</w:t>
      </w:r>
      <w:r>
        <w:rPr>
          <w:spacing w:val="-2"/>
        </w:rPr>
        <w:t xml:space="preserve"> </w:t>
      </w:r>
      <w:r>
        <w:t>hopelessness</w:t>
      </w:r>
      <w:r>
        <w:rPr>
          <w:spacing w:val="-2"/>
        </w:rPr>
        <w:t xml:space="preserve"> </w:t>
      </w:r>
      <w:r>
        <w:t>about</w:t>
      </w:r>
      <w:r>
        <w:rPr>
          <w:spacing w:val="-4"/>
        </w:rPr>
        <w:t xml:space="preserve"> </w:t>
      </w:r>
      <w:r>
        <w:t>a</w:t>
      </w:r>
      <w:r>
        <w:t>ccomplishing</w:t>
      </w:r>
      <w:r>
        <w:rPr>
          <w:spacing w:val="-3"/>
        </w:rPr>
        <w:t xml:space="preserve"> </w:t>
      </w:r>
      <w:r>
        <w:t>change</w:t>
      </w:r>
      <w:r>
        <w:rPr>
          <w:spacing w:val="-2"/>
        </w:rPr>
        <w:t xml:space="preserve"> </w:t>
      </w:r>
      <w:r>
        <w:t>is</w:t>
      </w:r>
      <w:r>
        <w:rPr>
          <w:spacing w:val="-2"/>
        </w:rPr>
        <w:t xml:space="preserve"> </w:t>
      </w:r>
      <w:r>
        <w:t>likely</w:t>
      </w:r>
      <w:r>
        <w:rPr>
          <w:spacing w:val="-1"/>
        </w:rPr>
        <w:t xml:space="preserve"> </w:t>
      </w:r>
      <w:r>
        <w:t>to</w:t>
      </w:r>
      <w:r>
        <w:rPr>
          <w:spacing w:val="-1"/>
        </w:rPr>
        <w:t xml:space="preserve"> </w:t>
      </w:r>
      <w:r>
        <w:t>result</w:t>
      </w:r>
      <w:r>
        <w:rPr>
          <w:spacing w:val="-2"/>
        </w:rPr>
        <w:t xml:space="preserve"> </w:t>
      </w:r>
      <w:r>
        <w:t>in continued sustain talk and no change. When clients express confidence in their ability to change, they are more likely to engage in behavior change (Romano &amp; Peters, 2016).</w:t>
      </w:r>
    </w:p>
    <w:p w14:paraId="3400F2C4" w14:textId="77777777" w:rsidR="00DB6E1F" w:rsidRDefault="00DB6E1F">
      <w:pPr>
        <w:pStyle w:val="BodyText"/>
        <w:spacing w:before="2"/>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DB6E1F" w14:paraId="23EA1960" w14:textId="77777777">
        <w:trPr>
          <w:trHeight w:val="1826"/>
        </w:trPr>
        <w:tc>
          <w:tcPr>
            <w:tcW w:w="9360" w:type="dxa"/>
            <w:shd w:val="clear" w:color="auto" w:fill="E7E6E6"/>
          </w:tcPr>
          <w:p w14:paraId="236E2B5C" w14:textId="77777777" w:rsidR="00DB6E1F" w:rsidRDefault="00F666A6">
            <w:pPr>
              <w:pStyle w:val="TableParagraph"/>
              <w:spacing w:before="121"/>
              <w:ind w:left="3482"/>
              <w:rPr>
                <w:b/>
                <w:sz w:val="20"/>
              </w:rPr>
            </w:pPr>
            <w:r>
              <w:rPr>
                <w:b/>
                <w:sz w:val="20"/>
              </w:rPr>
              <w:t>Counselor</w:t>
            </w:r>
            <w:r>
              <w:rPr>
                <w:b/>
                <w:spacing w:val="-10"/>
                <w:sz w:val="20"/>
              </w:rPr>
              <w:t xml:space="preserve"> </w:t>
            </w:r>
            <w:r>
              <w:rPr>
                <w:b/>
                <w:sz w:val="20"/>
              </w:rPr>
              <w:t>Note:</w:t>
            </w:r>
            <w:r>
              <w:rPr>
                <w:b/>
                <w:spacing w:val="-11"/>
                <w:sz w:val="20"/>
              </w:rPr>
              <w:t xml:space="preserve"> </w:t>
            </w:r>
            <w:r>
              <w:rPr>
                <w:b/>
                <w:sz w:val="20"/>
              </w:rPr>
              <w:t>Self-</w:t>
            </w:r>
            <w:r>
              <w:rPr>
                <w:b/>
                <w:spacing w:val="-2"/>
                <w:sz w:val="20"/>
              </w:rPr>
              <w:t>Efficacy</w:t>
            </w:r>
          </w:p>
          <w:p w14:paraId="54824050" w14:textId="77777777" w:rsidR="00DB6E1F" w:rsidRDefault="00F666A6">
            <w:pPr>
              <w:pStyle w:val="TableParagraph"/>
              <w:spacing w:before="118"/>
              <w:ind w:right="100"/>
              <w:rPr>
                <w:sz w:val="20"/>
              </w:rPr>
            </w:pPr>
            <w:r>
              <w:rPr>
                <w:sz w:val="20"/>
              </w:rPr>
              <w:t>Self-effi</w:t>
            </w:r>
            <w:r>
              <w:rPr>
                <w:sz w:val="20"/>
              </w:rPr>
              <w:t>cacy</w:t>
            </w:r>
            <w:r>
              <w:rPr>
                <w:spacing w:val="-1"/>
                <w:sz w:val="20"/>
              </w:rPr>
              <w:t xml:space="preserve"> </w:t>
            </w:r>
            <w:r>
              <w:rPr>
                <w:sz w:val="20"/>
              </w:rPr>
              <w:t>is</w:t>
            </w:r>
            <w:r>
              <w:rPr>
                <w:spacing w:val="-3"/>
                <w:sz w:val="20"/>
              </w:rPr>
              <w:t xml:space="preserve"> </w:t>
            </w:r>
            <w:r>
              <w:rPr>
                <w:sz w:val="20"/>
              </w:rPr>
              <w:t>a</w:t>
            </w:r>
            <w:r>
              <w:rPr>
                <w:spacing w:val="-2"/>
                <w:sz w:val="20"/>
              </w:rPr>
              <w:t xml:space="preserve"> </w:t>
            </w:r>
            <w:r>
              <w:rPr>
                <w:sz w:val="20"/>
              </w:rPr>
              <w:t>person’s</w:t>
            </w:r>
            <w:r>
              <w:rPr>
                <w:spacing w:val="-3"/>
                <w:sz w:val="20"/>
              </w:rPr>
              <w:t xml:space="preserve"> </w:t>
            </w:r>
            <w:r>
              <w:rPr>
                <w:sz w:val="20"/>
              </w:rPr>
              <w:t>confidence</w:t>
            </w:r>
            <w:r>
              <w:rPr>
                <w:spacing w:val="-3"/>
                <w:sz w:val="20"/>
              </w:rPr>
              <w:t xml:space="preserve"> </w:t>
            </w:r>
            <w:r>
              <w:rPr>
                <w:sz w:val="20"/>
              </w:rPr>
              <w:t>in</w:t>
            </w:r>
            <w:r>
              <w:rPr>
                <w:spacing w:val="-1"/>
                <w:sz w:val="20"/>
              </w:rPr>
              <w:t xml:space="preserve"> </w:t>
            </w:r>
            <w:r>
              <w:rPr>
                <w:sz w:val="20"/>
              </w:rPr>
              <w:t>his</w:t>
            </w:r>
            <w:r>
              <w:rPr>
                <w:spacing w:val="-3"/>
                <w:sz w:val="20"/>
              </w:rPr>
              <w:t xml:space="preserve"> </w:t>
            </w:r>
            <w:r>
              <w:rPr>
                <w:sz w:val="20"/>
              </w:rPr>
              <w:t>or</w:t>
            </w:r>
            <w:r>
              <w:rPr>
                <w:spacing w:val="-2"/>
                <w:sz w:val="20"/>
              </w:rPr>
              <w:t xml:space="preserve"> </w:t>
            </w:r>
            <w:r>
              <w:rPr>
                <w:sz w:val="20"/>
              </w:rPr>
              <w:t>her</w:t>
            </w:r>
            <w:r>
              <w:rPr>
                <w:spacing w:val="-2"/>
                <w:sz w:val="20"/>
              </w:rPr>
              <w:t xml:space="preserve"> </w:t>
            </w:r>
            <w:r>
              <w:rPr>
                <w:sz w:val="20"/>
              </w:rPr>
              <w:t>ability</w:t>
            </w:r>
            <w:r>
              <w:rPr>
                <w:spacing w:val="-1"/>
                <w:sz w:val="20"/>
              </w:rPr>
              <w:t xml:space="preserve"> </w:t>
            </w:r>
            <w:r>
              <w:rPr>
                <w:sz w:val="20"/>
              </w:rPr>
              <w:t>to</w:t>
            </w:r>
            <w:r>
              <w:rPr>
                <w:spacing w:val="-2"/>
                <w:sz w:val="20"/>
              </w:rPr>
              <w:t xml:space="preserve"> </w:t>
            </w:r>
            <w:r>
              <w:rPr>
                <w:sz w:val="20"/>
              </w:rPr>
              <w:t>change</w:t>
            </w:r>
            <w:r>
              <w:rPr>
                <w:spacing w:val="-3"/>
                <w:sz w:val="20"/>
              </w:rPr>
              <w:t xml:space="preserve"> </w:t>
            </w:r>
            <w:r>
              <w:rPr>
                <w:sz w:val="20"/>
              </w:rPr>
              <w:t>a</w:t>
            </w:r>
            <w:r>
              <w:rPr>
                <w:spacing w:val="-1"/>
                <w:sz w:val="20"/>
              </w:rPr>
              <w:t xml:space="preserve"> </w:t>
            </w:r>
            <w:r>
              <w:rPr>
                <w:sz w:val="20"/>
              </w:rPr>
              <w:t>behavior</w:t>
            </w:r>
            <w:r>
              <w:rPr>
                <w:spacing w:val="-2"/>
                <w:sz w:val="20"/>
              </w:rPr>
              <w:t xml:space="preserve"> </w:t>
            </w:r>
            <w:r>
              <w:rPr>
                <w:sz w:val="20"/>
              </w:rPr>
              <w:t>(Miller</w:t>
            </w:r>
            <w:r>
              <w:rPr>
                <w:spacing w:val="-2"/>
                <w:sz w:val="20"/>
              </w:rPr>
              <w:t xml:space="preserve"> </w:t>
            </w:r>
            <w:r>
              <w:rPr>
                <w:sz w:val="20"/>
              </w:rPr>
              <w:t>&amp;</w:t>
            </w:r>
            <w:r>
              <w:rPr>
                <w:spacing w:val="-1"/>
                <w:sz w:val="20"/>
              </w:rPr>
              <w:t xml:space="preserve"> </w:t>
            </w:r>
            <w:r>
              <w:rPr>
                <w:sz w:val="20"/>
              </w:rPr>
              <w:t>Rollnick,</w:t>
            </w:r>
            <w:r>
              <w:rPr>
                <w:spacing w:val="-1"/>
                <w:sz w:val="20"/>
              </w:rPr>
              <w:t xml:space="preserve"> </w:t>
            </w:r>
            <w:r>
              <w:rPr>
                <w:sz w:val="20"/>
              </w:rPr>
              <w:t>2013),</w:t>
            </w:r>
            <w:r>
              <w:rPr>
                <w:spacing w:val="-1"/>
                <w:sz w:val="20"/>
              </w:rPr>
              <w:t xml:space="preserve"> </w:t>
            </w:r>
            <w:r>
              <w:rPr>
                <w:sz w:val="20"/>
              </w:rPr>
              <w:t>such</w:t>
            </w:r>
            <w:r>
              <w:rPr>
                <w:spacing w:val="-1"/>
                <w:sz w:val="20"/>
              </w:rPr>
              <w:t xml:space="preserve"> </w:t>
            </w:r>
            <w:r>
              <w:rPr>
                <w:sz w:val="20"/>
              </w:rPr>
              <w:t>as</w:t>
            </w:r>
            <w:r>
              <w:rPr>
                <w:spacing w:val="-3"/>
                <w:sz w:val="20"/>
              </w:rPr>
              <w:t xml:space="preserve"> </w:t>
            </w:r>
            <w:r>
              <w:rPr>
                <w:sz w:val="20"/>
              </w:rPr>
              <w:t>a behavior that risks one’s health. Research has found that MI is effective in enhancing a client’s self-efficacy and positive</w:t>
            </w:r>
            <w:r>
              <w:rPr>
                <w:spacing w:val="-1"/>
                <w:sz w:val="20"/>
              </w:rPr>
              <w:t xml:space="preserve"> </w:t>
            </w:r>
            <w:r>
              <w:rPr>
                <w:sz w:val="20"/>
              </w:rPr>
              <w:t>outcomes</w:t>
            </w:r>
            <w:r>
              <w:rPr>
                <w:spacing w:val="-1"/>
                <w:sz w:val="20"/>
              </w:rPr>
              <w:t xml:space="preserve"> </w:t>
            </w:r>
            <w:r>
              <w:rPr>
                <w:sz w:val="20"/>
              </w:rPr>
              <w:t>including treatment completion, lower substance</w:t>
            </w:r>
            <w:r>
              <w:rPr>
                <w:spacing w:val="-1"/>
                <w:sz w:val="20"/>
              </w:rPr>
              <w:t xml:space="preserve"> </w:t>
            </w:r>
            <w:r>
              <w:rPr>
                <w:sz w:val="20"/>
              </w:rPr>
              <w:t>use</w:t>
            </w:r>
            <w:r>
              <w:rPr>
                <w:spacing w:val="-1"/>
                <w:sz w:val="20"/>
              </w:rPr>
              <w:t xml:space="preserve"> </w:t>
            </w:r>
            <w:r>
              <w:rPr>
                <w:sz w:val="20"/>
              </w:rPr>
              <w:t>at the</w:t>
            </w:r>
            <w:r>
              <w:rPr>
                <w:spacing w:val="-1"/>
                <w:sz w:val="20"/>
              </w:rPr>
              <w:t xml:space="preserve"> </w:t>
            </w:r>
            <w:r>
              <w:rPr>
                <w:sz w:val="20"/>
              </w:rPr>
              <w:t>end of</w:t>
            </w:r>
            <w:r>
              <w:rPr>
                <w:spacing w:val="-1"/>
                <w:sz w:val="20"/>
              </w:rPr>
              <w:t xml:space="preserve"> </w:t>
            </w:r>
            <w:r>
              <w:rPr>
                <w:sz w:val="20"/>
              </w:rPr>
              <w:t>treatment, greater desire to quit cannabis use, and re</w:t>
            </w:r>
            <w:r>
              <w:rPr>
                <w:sz w:val="20"/>
              </w:rPr>
              <w:t>ductions in risky sexual behavior for someone with HIV (Caviness et al., 2013; Chariyeva et al., 2013; Dufett, &amp; Ward, 2015; Moore, Flamez,, &amp; Szirony, 2017).</w:t>
            </w:r>
          </w:p>
        </w:tc>
      </w:tr>
    </w:tbl>
    <w:p w14:paraId="66DC4952" w14:textId="77777777" w:rsidR="00DB6E1F" w:rsidRDefault="00DB6E1F">
      <w:pPr>
        <w:rPr>
          <w:sz w:val="20"/>
        </w:rPr>
        <w:sectPr w:rsidR="00DB6E1F">
          <w:pgSz w:w="12240" w:h="15840"/>
          <w:pgMar w:top="1200" w:right="0" w:bottom="780" w:left="0" w:header="763" w:footer="585" w:gutter="0"/>
          <w:cols w:space="720"/>
        </w:sectPr>
      </w:pPr>
    </w:p>
    <w:p w14:paraId="2BF5B9A3" w14:textId="77777777" w:rsidR="00DB6E1F" w:rsidRDefault="00DB6E1F">
      <w:pPr>
        <w:pStyle w:val="BodyText"/>
        <w:spacing w:before="8"/>
        <w:rPr>
          <w:sz w:val="14"/>
        </w:rPr>
      </w:pPr>
    </w:p>
    <w:p w14:paraId="0CDF7CCE" w14:textId="77777777" w:rsidR="00DB6E1F" w:rsidRDefault="00F666A6">
      <w:pPr>
        <w:pStyle w:val="BodyText"/>
        <w:spacing w:before="56"/>
        <w:ind w:left="1440" w:right="1491"/>
      </w:pPr>
      <w:r>
        <w:t>Because self-efficacy is a critical component of behavior change, it is crucial t</w:t>
      </w:r>
      <w:r>
        <w:t>hat you also believe in clients’ capacity to reach their goals. You can help clients strengthen hope and confidence in MI by evoking</w:t>
      </w:r>
      <w:r>
        <w:rPr>
          <w:spacing w:val="-4"/>
        </w:rPr>
        <w:t xml:space="preserve"> </w:t>
      </w:r>
      <w:r>
        <w:t>confidence</w:t>
      </w:r>
      <w:r>
        <w:rPr>
          <w:spacing w:val="-5"/>
        </w:rPr>
        <w:t xml:space="preserve"> </w:t>
      </w:r>
      <w:r>
        <w:t>talk.</w:t>
      </w:r>
      <w:r>
        <w:rPr>
          <w:spacing w:val="-3"/>
        </w:rPr>
        <w:t xml:space="preserve"> </w:t>
      </w:r>
      <w:r>
        <w:t>Here</w:t>
      </w:r>
      <w:r>
        <w:rPr>
          <w:spacing w:val="-2"/>
        </w:rPr>
        <w:t xml:space="preserve"> </w:t>
      </w:r>
      <w:r>
        <w:t>are</w:t>
      </w:r>
      <w:r>
        <w:rPr>
          <w:spacing w:val="-2"/>
        </w:rPr>
        <w:t xml:space="preserve"> </w:t>
      </w:r>
      <w:r>
        <w:t>two</w:t>
      </w:r>
      <w:r>
        <w:rPr>
          <w:spacing w:val="-4"/>
        </w:rPr>
        <w:t xml:space="preserve"> </w:t>
      </w:r>
      <w:r>
        <w:t>strategies</w:t>
      </w:r>
      <w:r>
        <w:rPr>
          <w:spacing w:val="-3"/>
        </w:rPr>
        <w:t xml:space="preserve"> </w:t>
      </w:r>
      <w:r>
        <w:t>for</w:t>
      </w:r>
      <w:r>
        <w:rPr>
          <w:spacing w:val="-5"/>
        </w:rPr>
        <w:t xml:space="preserve"> </w:t>
      </w:r>
      <w:r>
        <w:t>evoking</w:t>
      </w:r>
      <w:r>
        <w:rPr>
          <w:spacing w:val="-4"/>
        </w:rPr>
        <w:t xml:space="preserve"> </w:t>
      </w:r>
      <w:r>
        <w:t>confidence</w:t>
      </w:r>
      <w:r>
        <w:rPr>
          <w:spacing w:val="-2"/>
        </w:rPr>
        <w:t xml:space="preserve"> </w:t>
      </w:r>
      <w:r>
        <w:t>talk</w:t>
      </w:r>
      <w:r>
        <w:rPr>
          <w:spacing w:val="-2"/>
        </w:rPr>
        <w:t xml:space="preserve"> </w:t>
      </w:r>
      <w:r>
        <w:t>(Miller</w:t>
      </w:r>
      <w:r>
        <w:rPr>
          <w:spacing w:val="-3"/>
        </w:rPr>
        <w:t xml:space="preserve"> </w:t>
      </w:r>
      <w:r>
        <w:t>&amp;</w:t>
      </w:r>
      <w:r>
        <w:rPr>
          <w:spacing w:val="-5"/>
        </w:rPr>
        <w:t xml:space="preserve"> </w:t>
      </w:r>
      <w:r>
        <w:t>Rollnick,</w:t>
      </w:r>
      <w:r>
        <w:rPr>
          <w:spacing w:val="-5"/>
        </w:rPr>
        <w:t xml:space="preserve"> </w:t>
      </w:r>
      <w:r>
        <w:t>2013):</w:t>
      </w:r>
    </w:p>
    <w:p w14:paraId="74C3B576" w14:textId="77777777" w:rsidR="00DB6E1F" w:rsidRDefault="00F666A6">
      <w:pPr>
        <w:pStyle w:val="ListParagraph"/>
        <w:numPr>
          <w:ilvl w:val="0"/>
          <w:numId w:val="92"/>
        </w:numPr>
        <w:tabs>
          <w:tab w:val="left" w:pos="1799"/>
          <w:tab w:val="left" w:pos="1800"/>
        </w:tabs>
        <w:spacing w:before="59"/>
        <w:ind w:left="1799" w:right="1514" w:hanging="360"/>
        <w:rPr>
          <w:rFonts w:ascii="Symbol" w:hAnsi="Symbol"/>
        </w:rPr>
      </w:pPr>
      <w:r>
        <w:rPr>
          <w:b/>
        </w:rPr>
        <w:t>Use</w:t>
      </w:r>
      <w:r>
        <w:rPr>
          <w:b/>
          <w:spacing w:val="-3"/>
        </w:rPr>
        <w:t xml:space="preserve"> </w:t>
      </w:r>
      <w:r>
        <w:rPr>
          <w:b/>
        </w:rPr>
        <w:t>the</w:t>
      </w:r>
      <w:r>
        <w:rPr>
          <w:b/>
          <w:spacing w:val="-3"/>
        </w:rPr>
        <w:t xml:space="preserve"> </w:t>
      </w:r>
      <w:r>
        <w:rPr>
          <w:b/>
        </w:rPr>
        <w:t>Confidence</w:t>
      </w:r>
      <w:r>
        <w:rPr>
          <w:b/>
          <w:spacing w:val="-5"/>
        </w:rPr>
        <w:t xml:space="preserve"> </w:t>
      </w:r>
      <w:r>
        <w:rPr>
          <w:b/>
        </w:rPr>
        <w:t>Ruler</w:t>
      </w:r>
      <w:r>
        <w:rPr>
          <w:b/>
          <w:spacing w:val="-4"/>
        </w:rPr>
        <w:t xml:space="preserve"> </w:t>
      </w:r>
      <w:r>
        <w:t>(Exhibit</w:t>
      </w:r>
      <w:r>
        <w:rPr>
          <w:spacing w:val="-2"/>
        </w:rPr>
        <w:t xml:space="preserve"> </w:t>
      </w:r>
      <w:r>
        <w:t>3.10)</w:t>
      </w:r>
      <w:r>
        <w:rPr>
          <w:spacing w:val="-4"/>
        </w:rPr>
        <w:t xml:space="preserve"> </w:t>
      </w:r>
      <w:r>
        <w:t>and</w:t>
      </w:r>
      <w:r>
        <w:rPr>
          <w:spacing w:val="-3"/>
        </w:rPr>
        <w:t xml:space="preserve"> </w:t>
      </w:r>
      <w:r>
        <w:t>scaling</w:t>
      </w:r>
      <w:r>
        <w:rPr>
          <w:spacing w:val="-3"/>
        </w:rPr>
        <w:t xml:space="preserve"> </w:t>
      </w:r>
      <w:r>
        <w:t>questions</w:t>
      </w:r>
      <w:r>
        <w:rPr>
          <w:spacing w:val="-4"/>
        </w:rPr>
        <w:t xml:space="preserve"> </w:t>
      </w:r>
      <w:r>
        <w:t>to</w:t>
      </w:r>
      <w:r>
        <w:rPr>
          <w:spacing w:val="-1"/>
        </w:rPr>
        <w:t xml:space="preserve"> </w:t>
      </w:r>
      <w:r>
        <w:t>assess</w:t>
      </w:r>
      <w:r>
        <w:rPr>
          <w:spacing w:val="-2"/>
        </w:rPr>
        <w:t xml:space="preserve"> </w:t>
      </w:r>
      <w:r>
        <w:t>clients’</w:t>
      </w:r>
      <w:r>
        <w:rPr>
          <w:spacing w:val="-4"/>
        </w:rPr>
        <w:t xml:space="preserve"> </w:t>
      </w:r>
      <w:r>
        <w:t>confidence</w:t>
      </w:r>
      <w:r>
        <w:rPr>
          <w:spacing w:val="-1"/>
        </w:rPr>
        <w:t xml:space="preserve"> </w:t>
      </w:r>
      <w:r>
        <w:t>level</w:t>
      </w:r>
      <w:r>
        <w:rPr>
          <w:spacing w:val="-2"/>
        </w:rPr>
        <w:t xml:space="preserve"> </w:t>
      </w:r>
      <w:r>
        <w:t>and evoke confidence talk.</w:t>
      </w:r>
    </w:p>
    <w:p w14:paraId="13156CC7" w14:textId="77777777" w:rsidR="00DB6E1F" w:rsidRDefault="00F666A6">
      <w:pPr>
        <w:pStyle w:val="BodyText"/>
        <w:spacing w:before="3"/>
        <w:rPr>
          <w:sz w:val="11"/>
        </w:rPr>
      </w:pPr>
      <w:r>
        <w:pict w14:anchorId="4A88CE5B">
          <v:group id="docshapegroup172" o:spid="_x0000_s2094" style="position:absolute;margin-left:71.75pt;margin-top:8.1pt;width:473.65pt;height:265pt;z-index:-15718400;mso-wrap-distance-left:0;mso-wrap-distance-right:0;mso-position-horizontal-relative:page" coordorigin="1435,162" coordsize="9473,5300">
            <v:shape id="docshape173" o:spid="_x0000_s2100" style="position:absolute;left:1435;top:161;width:9473;height:5300" coordorigin="1435,162" coordsize="9473,5300" o:spt="100" adj="0,,0" path="m10908,685r-10,l10898,1914r,3537l1445,5451r,-3537l1445,685r-10,l1435,1914r,3537l1435,5451r,10l1445,5461r,l10898,5461r10,l10908,5451r,l10908,1914r,-1229xm10908,162r-10,l10898,171r,504l10896,675r,-504l10898,171r,-9l1445,162r,l1435,162r,9l1435,675r,10l1445,685r,l10898,685r10,l10908,675r,-504l10908,162xe" fillcolor="black" stroked="f">
              <v:stroke joinstyle="round"/>
              <v:formulas/>
              <v:path arrowok="t" o:connecttype="segments"/>
            </v:shape>
            <v:shape id="docshape174" o:spid="_x0000_s2099" type="#_x0000_t75" style="position:absolute;left:1548;top:954;width:8052;height:956">
              <v:imagedata r:id="rId102" o:title=""/>
            </v:shape>
            <v:shape id="docshape175" o:spid="_x0000_s2098" type="#_x0000_t202" style="position:absolute;left:1548;top:2279;width:9186;height:3049" filled="f" stroked="f">
              <v:textbox inset="0,0,0,0">
                <w:txbxContent>
                  <w:p w14:paraId="0F3A1AC8" w14:textId="77777777" w:rsidR="00DB6E1F" w:rsidRDefault="00F666A6">
                    <w:pPr>
                      <w:numPr>
                        <w:ilvl w:val="0"/>
                        <w:numId w:val="72"/>
                      </w:numPr>
                      <w:tabs>
                        <w:tab w:val="left" w:pos="359"/>
                        <w:tab w:val="left" w:pos="360"/>
                      </w:tabs>
                      <w:ind w:right="574"/>
                      <w:rPr>
                        <w:sz w:val="20"/>
                      </w:rPr>
                    </w:pPr>
                    <w:r>
                      <w:rPr>
                        <w:sz w:val="20"/>
                      </w:rPr>
                      <w:t>Initial</w:t>
                    </w:r>
                    <w:r>
                      <w:rPr>
                        <w:spacing w:val="-3"/>
                        <w:sz w:val="20"/>
                      </w:rPr>
                      <w:t xml:space="preserve"> </w:t>
                    </w:r>
                    <w:r>
                      <w:rPr>
                        <w:sz w:val="20"/>
                      </w:rPr>
                      <w:t>question:</w:t>
                    </w:r>
                    <w:r>
                      <w:rPr>
                        <w:spacing w:val="-4"/>
                        <w:sz w:val="20"/>
                      </w:rPr>
                      <w:t xml:space="preserve"> </w:t>
                    </w:r>
                    <w:r>
                      <w:rPr>
                        <w:sz w:val="20"/>
                      </w:rPr>
                      <w:t>“On</w:t>
                    </w:r>
                    <w:r>
                      <w:rPr>
                        <w:spacing w:val="-2"/>
                        <w:sz w:val="20"/>
                      </w:rPr>
                      <w:t xml:space="preserve"> </w:t>
                    </w:r>
                    <w:r>
                      <w:rPr>
                        <w:sz w:val="20"/>
                      </w:rPr>
                      <w:t>a</w:t>
                    </w:r>
                    <w:r>
                      <w:rPr>
                        <w:spacing w:val="-2"/>
                        <w:sz w:val="20"/>
                      </w:rPr>
                      <w:t xml:space="preserve"> </w:t>
                    </w:r>
                    <w:r>
                      <w:rPr>
                        <w:sz w:val="20"/>
                      </w:rPr>
                      <w:t>scale</w:t>
                    </w:r>
                    <w:r>
                      <w:rPr>
                        <w:spacing w:val="-4"/>
                        <w:sz w:val="20"/>
                      </w:rPr>
                      <w:t xml:space="preserve"> </w:t>
                    </w:r>
                    <w:r>
                      <w:rPr>
                        <w:sz w:val="20"/>
                      </w:rPr>
                      <w:t>of</w:t>
                    </w:r>
                    <w:r>
                      <w:rPr>
                        <w:spacing w:val="-2"/>
                        <w:sz w:val="20"/>
                      </w:rPr>
                      <w:t xml:space="preserve"> </w:t>
                    </w:r>
                    <w:r>
                      <w:rPr>
                        <w:sz w:val="20"/>
                      </w:rPr>
                      <w:t>0</w:t>
                    </w:r>
                    <w:r>
                      <w:rPr>
                        <w:spacing w:val="-3"/>
                        <w:sz w:val="20"/>
                      </w:rPr>
                      <w:t xml:space="preserve"> </w:t>
                    </w:r>
                    <w:r>
                      <w:rPr>
                        <w:sz w:val="20"/>
                      </w:rPr>
                      <w:t>to</w:t>
                    </w:r>
                    <w:r>
                      <w:rPr>
                        <w:spacing w:val="-3"/>
                        <w:sz w:val="20"/>
                      </w:rPr>
                      <w:t xml:space="preserve"> </w:t>
                    </w:r>
                    <w:r>
                      <w:rPr>
                        <w:sz w:val="20"/>
                      </w:rPr>
                      <w:t>10,</w:t>
                    </w:r>
                    <w:r>
                      <w:rPr>
                        <w:spacing w:val="-2"/>
                        <w:sz w:val="20"/>
                      </w:rPr>
                      <w:t xml:space="preserve"> </w:t>
                    </w:r>
                    <w:r>
                      <w:rPr>
                        <w:sz w:val="20"/>
                      </w:rPr>
                      <w:t>how</w:t>
                    </w:r>
                    <w:r>
                      <w:rPr>
                        <w:spacing w:val="-4"/>
                        <w:sz w:val="20"/>
                      </w:rPr>
                      <w:t xml:space="preserve"> </w:t>
                    </w:r>
                    <w:r>
                      <w:rPr>
                        <w:sz w:val="20"/>
                      </w:rPr>
                      <w:t>confident</w:t>
                    </w:r>
                    <w:r>
                      <w:rPr>
                        <w:spacing w:val="-3"/>
                        <w:sz w:val="20"/>
                      </w:rPr>
                      <w:t xml:space="preserve"> </w:t>
                    </w:r>
                    <w:r>
                      <w:rPr>
                        <w:sz w:val="20"/>
                      </w:rPr>
                      <w:t>are</w:t>
                    </w:r>
                    <w:r>
                      <w:rPr>
                        <w:spacing w:val="-4"/>
                        <w:sz w:val="20"/>
                      </w:rPr>
                      <w:t xml:space="preserve"> </w:t>
                    </w:r>
                    <w:r>
                      <w:rPr>
                        <w:sz w:val="20"/>
                      </w:rPr>
                      <w:t>you</w:t>
                    </w:r>
                    <w:r>
                      <w:rPr>
                        <w:spacing w:val="-2"/>
                        <w:sz w:val="20"/>
                      </w:rPr>
                      <w:t xml:space="preserve"> </w:t>
                    </w:r>
                    <w:r>
                      <w:rPr>
                        <w:sz w:val="20"/>
                      </w:rPr>
                      <w:t>that</w:t>
                    </w:r>
                    <w:r>
                      <w:rPr>
                        <w:spacing w:val="-3"/>
                        <w:sz w:val="20"/>
                      </w:rPr>
                      <w:t xml:space="preserve"> </w:t>
                    </w:r>
                    <w:r>
                      <w:rPr>
                        <w:sz w:val="20"/>
                      </w:rPr>
                      <w:t>you</w:t>
                    </w:r>
                    <w:r>
                      <w:rPr>
                        <w:spacing w:val="-2"/>
                        <w:sz w:val="20"/>
                      </w:rPr>
                      <w:t xml:space="preserve"> </w:t>
                    </w:r>
                    <w:r>
                      <w:rPr>
                        <w:sz w:val="20"/>
                      </w:rPr>
                      <w:t>could</w:t>
                    </w:r>
                    <w:r>
                      <w:rPr>
                        <w:spacing w:val="-2"/>
                        <w:sz w:val="20"/>
                      </w:rPr>
                      <w:t xml:space="preserve"> </w:t>
                    </w:r>
                    <w:r>
                      <w:rPr>
                        <w:sz w:val="20"/>
                      </w:rPr>
                      <w:t>change</w:t>
                    </w:r>
                    <w:r>
                      <w:rPr>
                        <w:spacing w:val="-3"/>
                        <w:sz w:val="20"/>
                      </w:rPr>
                      <w:t xml:space="preserve"> </w:t>
                    </w:r>
                    <w:r>
                      <w:rPr>
                        <w:i/>
                        <w:sz w:val="20"/>
                      </w:rPr>
                      <w:t>[name</w:t>
                    </w:r>
                    <w:r>
                      <w:rPr>
                        <w:i/>
                        <w:spacing w:val="-2"/>
                        <w:sz w:val="20"/>
                      </w:rPr>
                      <w:t xml:space="preserve"> </w:t>
                    </w:r>
                    <w:r>
                      <w:rPr>
                        <w:i/>
                        <w:sz w:val="20"/>
                      </w:rPr>
                      <w:t>the</w:t>
                    </w:r>
                    <w:r>
                      <w:rPr>
                        <w:i/>
                        <w:spacing w:val="-2"/>
                        <w:sz w:val="20"/>
                      </w:rPr>
                      <w:t xml:space="preserve"> </w:t>
                    </w:r>
                    <w:r>
                      <w:rPr>
                        <w:i/>
                        <w:sz w:val="20"/>
                      </w:rPr>
                      <w:t>target</w:t>
                    </w:r>
                    <w:r>
                      <w:rPr>
                        <w:i/>
                        <w:sz w:val="20"/>
                      </w:rPr>
                      <w:t xml:space="preserve"> behavior, like stop drinking] </w:t>
                    </w:r>
                    <w:r>
                      <w:rPr>
                        <w:sz w:val="20"/>
                      </w:rPr>
                      <w:t>if you decided to?”</w:t>
                    </w:r>
                  </w:p>
                  <w:p w14:paraId="432220E8" w14:textId="77777777" w:rsidR="00DB6E1F" w:rsidRDefault="00F666A6">
                    <w:pPr>
                      <w:numPr>
                        <w:ilvl w:val="0"/>
                        <w:numId w:val="72"/>
                      </w:numPr>
                      <w:tabs>
                        <w:tab w:val="left" w:pos="359"/>
                        <w:tab w:val="left" w:pos="360"/>
                      </w:tabs>
                      <w:spacing w:before="40"/>
                      <w:rPr>
                        <w:sz w:val="20"/>
                      </w:rPr>
                    </w:pPr>
                    <w:r>
                      <w:rPr>
                        <w:sz w:val="20"/>
                      </w:rPr>
                      <w:t>Follow-up</w:t>
                    </w:r>
                    <w:r>
                      <w:rPr>
                        <w:spacing w:val="-12"/>
                        <w:sz w:val="20"/>
                      </w:rPr>
                      <w:t xml:space="preserve"> </w:t>
                    </w:r>
                    <w:r>
                      <w:rPr>
                        <w:spacing w:val="-2"/>
                        <w:sz w:val="20"/>
                      </w:rPr>
                      <w:t>questions:</w:t>
                    </w:r>
                  </w:p>
                  <w:p w14:paraId="0F552B3E" w14:textId="77777777" w:rsidR="00DB6E1F" w:rsidRDefault="00F666A6">
                    <w:pPr>
                      <w:numPr>
                        <w:ilvl w:val="1"/>
                        <w:numId w:val="72"/>
                      </w:numPr>
                      <w:tabs>
                        <w:tab w:val="left" w:pos="719"/>
                        <w:tab w:val="left" w:pos="720"/>
                      </w:tabs>
                      <w:spacing w:before="38"/>
                      <w:ind w:right="204" w:hanging="361"/>
                      <w:rPr>
                        <w:sz w:val="20"/>
                      </w:rPr>
                    </w:pPr>
                    <w:r>
                      <w:rPr>
                        <w:sz w:val="20"/>
                      </w:rPr>
                      <w:t>“How</w:t>
                    </w:r>
                    <w:r>
                      <w:rPr>
                        <w:spacing w:val="-3"/>
                        <w:sz w:val="20"/>
                      </w:rPr>
                      <w:t xml:space="preserve"> </w:t>
                    </w:r>
                    <w:r>
                      <w:rPr>
                        <w:sz w:val="20"/>
                      </w:rPr>
                      <w:t>are</w:t>
                    </w:r>
                    <w:r>
                      <w:rPr>
                        <w:spacing w:val="-3"/>
                        <w:sz w:val="20"/>
                      </w:rPr>
                      <w:t xml:space="preserve"> </w:t>
                    </w:r>
                    <w:r>
                      <w:rPr>
                        <w:sz w:val="20"/>
                      </w:rPr>
                      <w:t>you</w:t>
                    </w:r>
                    <w:r>
                      <w:rPr>
                        <w:spacing w:val="-1"/>
                        <w:sz w:val="20"/>
                      </w:rPr>
                      <w:t xml:space="preserve"> </w:t>
                    </w:r>
                    <w:r>
                      <w:rPr>
                        <w:sz w:val="20"/>
                      </w:rPr>
                      <w:t>at</w:t>
                    </w:r>
                    <w:r>
                      <w:rPr>
                        <w:spacing w:val="-2"/>
                        <w:sz w:val="20"/>
                      </w:rPr>
                      <w:t xml:space="preserve"> </w:t>
                    </w:r>
                    <w:r>
                      <w:rPr>
                        <w:sz w:val="20"/>
                      </w:rPr>
                      <w:t>a</w:t>
                    </w:r>
                    <w:r>
                      <w:rPr>
                        <w:spacing w:val="-1"/>
                        <w:sz w:val="20"/>
                      </w:rPr>
                      <w:t xml:space="preserve"> </w:t>
                    </w:r>
                    <w:r>
                      <w:rPr>
                        <w:sz w:val="20"/>
                      </w:rPr>
                      <w:t>[</w:t>
                    </w:r>
                    <w:r>
                      <w:rPr>
                        <w:i/>
                        <w:sz w:val="20"/>
                      </w:rPr>
                      <w:t>fill</w:t>
                    </w:r>
                    <w:r>
                      <w:rPr>
                        <w:i/>
                        <w:spacing w:val="-2"/>
                        <w:sz w:val="20"/>
                      </w:rPr>
                      <w:t xml:space="preserve"> </w:t>
                    </w:r>
                    <w:r>
                      <w:rPr>
                        <w:i/>
                        <w:sz w:val="20"/>
                      </w:rPr>
                      <w:t>in</w:t>
                    </w:r>
                    <w:r>
                      <w:rPr>
                        <w:i/>
                        <w:spacing w:val="-1"/>
                        <w:sz w:val="20"/>
                      </w:rPr>
                      <w:t xml:space="preserve"> </w:t>
                    </w:r>
                    <w:r>
                      <w:rPr>
                        <w:i/>
                        <w:sz w:val="20"/>
                      </w:rPr>
                      <w:t>the</w:t>
                    </w:r>
                    <w:r>
                      <w:rPr>
                        <w:i/>
                        <w:spacing w:val="-1"/>
                        <w:sz w:val="20"/>
                      </w:rPr>
                      <w:t xml:space="preserve"> </w:t>
                    </w:r>
                    <w:r>
                      <w:rPr>
                        <w:i/>
                        <w:sz w:val="20"/>
                      </w:rPr>
                      <w:t>number</w:t>
                    </w:r>
                    <w:r>
                      <w:rPr>
                        <w:i/>
                        <w:spacing w:val="-3"/>
                        <w:sz w:val="20"/>
                      </w:rPr>
                      <w:t xml:space="preserve"> </w:t>
                    </w:r>
                    <w:r>
                      <w:rPr>
                        <w:i/>
                        <w:sz w:val="20"/>
                      </w:rPr>
                      <w:t>on</w:t>
                    </w:r>
                    <w:r>
                      <w:rPr>
                        <w:i/>
                        <w:spacing w:val="-1"/>
                        <w:sz w:val="20"/>
                      </w:rPr>
                      <w:t xml:space="preserve"> </w:t>
                    </w:r>
                    <w:r>
                      <w:rPr>
                        <w:i/>
                        <w:sz w:val="20"/>
                      </w:rPr>
                      <w:t>the</w:t>
                    </w:r>
                    <w:r>
                      <w:rPr>
                        <w:i/>
                        <w:spacing w:val="-1"/>
                        <w:sz w:val="20"/>
                      </w:rPr>
                      <w:t xml:space="preserve"> </w:t>
                    </w:r>
                    <w:r>
                      <w:rPr>
                        <w:i/>
                        <w:sz w:val="20"/>
                      </w:rPr>
                      <w:t>scale</w:t>
                    </w:r>
                    <w:r>
                      <w:rPr>
                        <w:sz w:val="20"/>
                      </w:rPr>
                      <w:t>]</w:t>
                    </w:r>
                    <w:r>
                      <w:rPr>
                        <w:spacing w:val="-3"/>
                        <w:sz w:val="20"/>
                      </w:rPr>
                      <w:t xml:space="preserve"> </w:t>
                    </w:r>
                    <w:r>
                      <w:rPr>
                        <w:sz w:val="20"/>
                      </w:rPr>
                      <w:t>instead</w:t>
                    </w:r>
                    <w:r>
                      <w:rPr>
                        <w:spacing w:val="-1"/>
                        <w:sz w:val="20"/>
                      </w:rPr>
                      <w:t xml:space="preserve"> </w:t>
                    </w:r>
                    <w:r>
                      <w:rPr>
                        <w:sz w:val="20"/>
                      </w:rPr>
                      <w:t>of</w:t>
                    </w:r>
                    <w:r>
                      <w:rPr>
                        <w:spacing w:val="-3"/>
                        <w:sz w:val="20"/>
                      </w:rPr>
                      <w:t xml:space="preserve"> </w:t>
                    </w:r>
                    <w:r>
                      <w:rPr>
                        <w:sz w:val="20"/>
                      </w:rPr>
                      <w:t>a</w:t>
                    </w:r>
                    <w:r>
                      <w:rPr>
                        <w:spacing w:val="-1"/>
                        <w:sz w:val="20"/>
                      </w:rPr>
                      <w:t xml:space="preserve"> </w:t>
                    </w:r>
                    <w:r>
                      <w:rPr>
                        <w:i/>
                        <w:sz w:val="20"/>
                      </w:rPr>
                      <w:t>[choose</w:t>
                    </w:r>
                    <w:r>
                      <w:rPr>
                        <w:i/>
                        <w:spacing w:val="-1"/>
                        <w:sz w:val="20"/>
                      </w:rPr>
                      <w:t xml:space="preserve"> </w:t>
                    </w:r>
                    <w:r>
                      <w:rPr>
                        <w:i/>
                        <w:sz w:val="20"/>
                      </w:rPr>
                      <w:t>a</w:t>
                    </w:r>
                    <w:r>
                      <w:rPr>
                        <w:i/>
                        <w:spacing w:val="-1"/>
                        <w:sz w:val="20"/>
                      </w:rPr>
                      <w:t xml:space="preserve"> </w:t>
                    </w:r>
                    <w:r>
                      <w:rPr>
                        <w:i/>
                        <w:sz w:val="20"/>
                      </w:rPr>
                      <w:t>lower</w:t>
                    </w:r>
                    <w:r>
                      <w:rPr>
                        <w:i/>
                        <w:spacing w:val="-3"/>
                        <w:sz w:val="20"/>
                      </w:rPr>
                      <w:t xml:space="preserve"> </w:t>
                    </w:r>
                    <w:r>
                      <w:rPr>
                        <w:i/>
                        <w:sz w:val="20"/>
                      </w:rPr>
                      <w:t>number</w:t>
                    </w:r>
                    <w:r>
                      <w:rPr>
                        <w:i/>
                        <w:spacing w:val="-4"/>
                        <w:sz w:val="20"/>
                      </w:rPr>
                      <w:t xml:space="preserve"> </w:t>
                    </w:r>
                    <w:r>
                      <w:rPr>
                        <w:i/>
                        <w:sz w:val="20"/>
                      </w:rPr>
                      <w:t>on</w:t>
                    </w:r>
                    <w:r>
                      <w:rPr>
                        <w:i/>
                        <w:spacing w:val="-4"/>
                        <w:sz w:val="20"/>
                      </w:rPr>
                      <w:t xml:space="preserve"> </w:t>
                    </w:r>
                    <w:r>
                      <w:rPr>
                        <w:i/>
                        <w:sz w:val="20"/>
                      </w:rPr>
                      <w:t>the</w:t>
                    </w:r>
                    <w:r>
                      <w:rPr>
                        <w:i/>
                        <w:spacing w:val="-1"/>
                        <w:sz w:val="20"/>
                      </w:rPr>
                      <w:t xml:space="preserve"> </w:t>
                    </w:r>
                    <w:r>
                      <w:rPr>
                        <w:i/>
                        <w:sz w:val="20"/>
                      </w:rPr>
                      <w:t>scale]</w:t>
                    </w:r>
                    <w:r>
                      <w:rPr>
                        <w:sz w:val="20"/>
                      </w:rPr>
                      <w:t>?” Using a lower number helps clients reflect on how far they’ve come on the confid</w:t>
                    </w:r>
                    <w:r>
                      <w:rPr>
                        <w:sz w:val="20"/>
                      </w:rPr>
                      <w:t>ence scale. Using a higher number with this question may discourage clients, which can elicit sustain talk. If that should happen, use strategies discussed previously for responding to sustain talk.</w:t>
                    </w:r>
                  </w:p>
                  <w:p w14:paraId="51689D86" w14:textId="77777777" w:rsidR="00DB6E1F" w:rsidRDefault="00F666A6">
                    <w:pPr>
                      <w:numPr>
                        <w:ilvl w:val="1"/>
                        <w:numId w:val="72"/>
                      </w:numPr>
                      <w:tabs>
                        <w:tab w:val="left" w:pos="720"/>
                        <w:tab w:val="left" w:pos="721"/>
                      </w:tabs>
                      <w:spacing w:before="2"/>
                      <w:ind w:right="18"/>
                      <w:rPr>
                        <w:sz w:val="20"/>
                      </w:rPr>
                    </w:pPr>
                    <w:r>
                      <w:rPr>
                        <w:sz w:val="20"/>
                      </w:rPr>
                      <w:t xml:space="preserve">“What would help you get from a </w:t>
                    </w:r>
                    <w:r>
                      <w:rPr>
                        <w:i/>
                        <w:sz w:val="20"/>
                      </w:rPr>
                      <w:t>[fill in the number on th</w:t>
                    </w:r>
                    <w:r>
                      <w:rPr>
                        <w:i/>
                        <w:sz w:val="20"/>
                      </w:rPr>
                      <w:t xml:space="preserve">e scale] </w:t>
                    </w:r>
                    <w:r>
                      <w:rPr>
                        <w:sz w:val="20"/>
                      </w:rPr>
                      <w:t xml:space="preserve">to a </w:t>
                    </w:r>
                    <w:r>
                      <w:rPr>
                        <w:i/>
                        <w:sz w:val="20"/>
                      </w:rPr>
                      <w:t>[choose a slightly higher number on</w:t>
                    </w:r>
                    <w:r>
                      <w:rPr>
                        <w:i/>
                        <w:spacing w:val="-2"/>
                        <w:sz w:val="20"/>
                      </w:rPr>
                      <w:t xml:space="preserve"> </w:t>
                    </w:r>
                    <w:r>
                      <w:rPr>
                        <w:i/>
                        <w:sz w:val="20"/>
                      </w:rPr>
                      <w:t>the</w:t>
                    </w:r>
                    <w:r>
                      <w:rPr>
                        <w:i/>
                        <w:spacing w:val="-2"/>
                        <w:sz w:val="20"/>
                      </w:rPr>
                      <w:t xml:space="preserve"> </w:t>
                    </w:r>
                    <w:r>
                      <w:rPr>
                        <w:i/>
                        <w:sz w:val="20"/>
                      </w:rPr>
                      <w:t>scale]</w:t>
                    </w:r>
                    <w:r>
                      <w:rPr>
                        <w:sz w:val="20"/>
                      </w:rPr>
                      <w:t>?”</w:t>
                    </w:r>
                    <w:r>
                      <w:rPr>
                        <w:spacing w:val="-2"/>
                        <w:sz w:val="20"/>
                      </w:rPr>
                      <w:t xml:space="preserve"> </w:t>
                    </w:r>
                    <w:r>
                      <w:rPr>
                        <w:sz w:val="20"/>
                      </w:rPr>
                      <w:t>This</w:t>
                    </w:r>
                    <w:r>
                      <w:rPr>
                        <w:spacing w:val="-4"/>
                        <w:sz w:val="20"/>
                      </w:rPr>
                      <w:t xml:space="preserve"> </w:t>
                    </w:r>
                    <w:r>
                      <w:rPr>
                        <w:sz w:val="20"/>
                      </w:rPr>
                      <w:t>open</w:t>
                    </w:r>
                    <w:r>
                      <w:rPr>
                        <w:spacing w:val="-2"/>
                        <w:sz w:val="20"/>
                      </w:rPr>
                      <w:t xml:space="preserve"> </w:t>
                    </w:r>
                    <w:r>
                      <w:rPr>
                        <w:sz w:val="20"/>
                      </w:rPr>
                      <w:t>question</w:t>
                    </w:r>
                    <w:r>
                      <w:rPr>
                        <w:spacing w:val="-2"/>
                        <w:sz w:val="20"/>
                      </w:rPr>
                      <w:t xml:space="preserve"> </w:t>
                    </w:r>
                    <w:r>
                      <w:rPr>
                        <w:sz w:val="20"/>
                      </w:rPr>
                      <w:t>invites</w:t>
                    </w:r>
                    <w:r>
                      <w:rPr>
                        <w:spacing w:val="-4"/>
                        <w:sz w:val="20"/>
                      </w:rPr>
                      <w:t xml:space="preserve"> </w:t>
                    </w:r>
                    <w:r>
                      <w:rPr>
                        <w:sz w:val="20"/>
                      </w:rPr>
                      <w:t>clients</w:t>
                    </w:r>
                    <w:r>
                      <w:rPr>
                        <w:spacing w:val="-4"/>
                        <w:sz w:val="20"/>
                      </w:rPr>
                      <w:t xml:space="preserve"> </w:t>
                    </w:r>
                    <w:r>
                      <w:rPr>
                        <w:sz w:val="20"/>
                      </w:rPr>
                      <w:t>to</w:t>
                    </w:r>
                    <w:r>
                      <w:rPr>
                        <w:spacing w:val="-3"/>
                        <w:sz w:val="20"/>
                      </w:rPr>
                      <w:t xml:space="preserve"> </w:t>
                    </w:r>
                    <w:r>
                      <w:rPr>
                        <w:sz w:val="20"/>
                      </w:rPr>
                      <w:t>reflect</w:t>
                    </w:r>
                    <w:r>
                      <w:rPr>
                        <w:spacing w:val="-1"/>
                        <w:sz w:val="20"/>
                      </w:rPr>
                      <w:t xml:space="preserve"> </w:t>
                    </w:r>
                    <w:r>
                      <w:rPr>
                        <w:sz w:val="20"/>
                      </w:rPr>
                      <w:t>on</w:t>
                    </w:r>
                    <w:r>
                      <w:rPr>
                        <w:spacing w:val="-2"/>
                        <w:sz w:val="20"/>
                      </w:rPr>
                      <w:t xml:space="preserve"> </w:t>
                    </w:r>
                    <w:r>
                      <w:rPr>
                        <w:sz w:val="20"/>
                      </w:rPr>
                      <w:t>strategies</w:t>
                    </w:r>
                    <w:r>
                      <w:rPr>
                        <w:spacing w:val="-4"/>
                        <w:sz w:val="20"/>
                      </w:rPr>
                      <w:t xml:space="preserve"> </w:t>
                    </w:r>
                    <w:r>
                      <w:rPr>
                        <w:sz w:val="20"/>
                      </w:rPr>
                      <w:t>to</w:t>
                    </w:r>
                    <w:r>
                      <w:rPr>
                        <w:spacing w:val="-3"/>
                        <w:sz w:val="20"/>
                      </w:rPr>
                      <w:t xml:space="preserve"> </w:t>
                    </w:r>
                    <w:r>
                      <w:rPr>
                        <w:sz w:val="20"/>
                      </w:rPr>
                      <w:t>build</w:t>
                    </w:r>
                    <w:r>
                      <w:rPr>
                        <w:spacing w:val="-2"/>
                        <w:sz w:val="20"/>
                      </w:rPr>
                      <w:t xml:space="preserve"> </w:t>
                    </w:r>
                    <w:r>
                      <w:rPr>
                        <w:sz w:val="20"/>
                      </w:rPr>
                      <w:t>confidence.</w:t>
                    </w:r>
                    <w:r>
                      <w:rPr>
                        <w:spacing w:val="-3"/>
                        <w:sz w:val="20"/>
                      </w:rPr>
                      <w:t xml:space="preserve"> </w:t>
                    </w:r>
                    <w:r>
                      <w:rPr>
                        <w:sz w:val="20"/>
                      </w:rPr>
                      <w:t>Don’t</w:t>
                    </w:r>
                    <w:r>
                      <w:rPr>
                        <w:spacing w:val="-3"/>
                        <w:sz w:val="20"/>
                      </w:rPr>
                      <w:t xml:space="preserve"> </w:t>
                    </w:r>
                    <w:r>
                      <w:rPr>
                        <w:sz w:val="20"/>
                      </w:rPr>
                      <w:t>jump to a much higher number, which can overwhelm clients and lower confidence.</w:t>
                    </w:r>
                  </w:p>
                  <w:p w14:paraId="356FF9C4" w14:textId="77777777" w:rsidR="00DB6E1F" w:rsidRDefault="00F666A6">
                    <w:pPr>
                      <w:rPr>
                        <w:sz w:val="20"/>
                      </w:rPr>
                    </w:pPr>
                    <w:r>
                      <w:rPr>
                        <w:sz w:val="20"/>
                      </w:rPr>
                      <w:t>Whatever</w:t>
                    </w:r>
                    <w:r>
                      <w:rPr>
                        <w:spacing w:val="-3"/>
                        <w:sz w:val="20"/>
                      </w:rPr>
                      <w:t xml:space="preserve"> </w:t>
                    </w:r>
                    <w:r>
                      <w:rPr>
                        <w:sz w:val="20"/>
                      </w:rPr>
                      <w:t>the</w:t>
                    </w:r>
                    <w:r>
                      <w:rPr>
                        <w:spacing w:val="-4"/>
                        <w:sz w:val="20"/>
                      </w:rPr>
                      <w:t xml:space="preserve"> </w:t>
                    </w:r>
                    <w:r>
                      <w:rPr>
                        <w:sz w:val="20"/>
                      </w:rPr>
                      <w:t>client’s</w:t>
                    </w:r>
                    <w:r>
                      <w:rPr>
                        <w:spacing w:val="-4"/>
                        <w:sz w:val="20"/>
                      </w:rPr>
                      <w:t xml:space="preserve"> </w:t>
                    </w:r>
                    <w:r>
                      <w:rPr>
                        <w:sz w:val="20"/>
                      </w:rPr>
                      <w:t>response</w:t>
                    </w:r>
                    <w:r>
                      <w:rPr>
                        <w:spacing w:val="-4"/>
                        <w:sz w:val="20"/>
                      </w:rPr>
                      <w:t xml:space="preserve"> </w:t>
                    </w:r>
                    <w:r>
                      <w:rPr>
                        <w:sz w:val="20"/>
                      </w:rPr>
                      <w:t>to</w:t>
                    </w:r>
                    <w:r>
                      <w:rPr>
                        <w:spacing w:val="-3"/>
                        <w:sz w:val="20"/>
                      </w:rPr>
                      <w:t xml:space="preserve"> </w:t>
                    </w:r>
                    <w:r>
                      <w:rPr>
                        <w:sz w:val="20"/>
                      </w:rPr>
                      <w:t>these</w:t>
                    </w:r>
                    <w:r>
                      <w:rPr>
                        <w:spacing w:val="-1"/>
                        <w:sz w:val="20"/>
                      </w:rPr>
                      <w:t xml:space="preserve"> </w:t>
                    </w:r>
                    <w:r>
                      <w:rPr>
                        <w:sz w:val="20"/>
                      </w:rPr>
                      <w:t>scaling</w:t>
                    </w:r>
                    <w:r>
                      <w:rPr>
                        <w:spacing w:val="-3"/>
                        <w:sz w:val="20"/>
                      </w:rPr>
                      <w:t xml:space="preserve"> </w:t>
                    </w:r>
                    <w:r>
                      <w:rPr>
                        <w:sz w:val="20"/>
                      </w:rPr>
                      <w:t>questions,</w:t>
                    </w:r>
                    <w:r>
                      <w:rPr>
                        <w:spacing w:val="-2"/>
                        <w:sz w:val="20"/>
                      </w:rPr>
                      <w:t xml:space="preserve"> </w:t>
                    </w:r>
                    <w:r>
                      <w:rPr>
                        <w:sz w:val="20"/>
                      </w:rPr>
                      <w:t>use</w:t>
                    </w:r>
                    <w:r>
                      <w:rPr>
                        <w:spacing w:val="-4"/>
                        <w:sz w:val="20"/>
                      </w:rPr>
                      <w:t xml:space="preserve"> </w:t>
                    </w:r>
                    <w:r>
                      <w:rPr>
                        <w:sz w:val="20"/>
                      </w:rPr>
                      <w:t>it</w:t>
                    </w:r>
                    <w:r>
                      <w:rPr>
                        <w:spacing w:val="-3"/>
                        <w:sz w:val="20"/>
                      </w:rPr>
                      <w:t xml:space="preserve"> </w:t>
                    </w:r>
                    <w:r>
                      <w:rPr>
                        <w:sz w:val="20"/>
                      </w:rPr>
                      <w:t>as</w:t>
                    </w:r>
                    <w:r>
                      <w:rPr>
                        <w:spacing w:val="-4"/>
                        <w:sz w:val="20"/>
                      </w:rPr>
                      <w:t xml:space="preserve"> </w:t>
                    </w:r>
                    <w:r>
                      <w:rPr>
                        <w:sz w:val="20"/>
                      </w:rPr>
                      <w:t>an</w:t>
                    </w:r>
                    <w:r>
                      <w:rPr>
                        <w:spacing w:val="-2"/>
                        <w:sz w:val="20"/>
                      </w:rPr>
                      <w:t xml:space="preserve"> </w:t>
                    </w:r>
                    <w:r>
                      <w:rPr>
                        <w:sz w:val="20"/>
                      </w:rPr>
                      <w:t>opportunity</w:t>
                    </w:r>
                    <w:r>
                      <w:rPr>
                        <w:spacing w:val="-2"/>
                        <w:sz w:val="20"/>
                      </w:rPr>
                      <w:t xml:space="preserve"> </w:t>
                    </w:r>
                    <w:r>
                      <w:rPr>
                        <w:sz w:val="20"/>
                      </w:rPr>
                      <w:t>to</w:t>
                    </w:r>
                    <w:r>
                      <w:rPr>
                        <w:spacing w:val="-3"/>
                        <w:sz w:val="20"/>
                      </w:rPr>
                      <w:t xml:space="preserve"> </w:t>
                    </w:r>
                    <w:r>
                      <w:rPr>
                        <w:sz w:val="20"/>
                      </w:rPr>
                      <w:t>begin</w:t>
                    </w:r>
                    <w:r>
                      <w:rPr>
                        <w:spacing w:val="-2"/>
                        <w:sz w:val="20"/>
                      </w:rPr>
                      <w:t xml:space="preserve"> </w:t>
                    </w:r>
                    <w:r>
                      <w:rPr>
                        <w:sz w:val="20"/>
                      </w:rPr>
                      <w:t>a</w:t>
                    </w:r>
                    <w:r>
                      <w:rPr>
                        <w:spacing w:val="-3"/>
                        <w:sz w:val="20"/>
                      </w:rPr>
                      <w:t xml:space="preserve"> </w:t>
                    </w:r>
                    <w:r>
                      <w:rPr>
                        <w:sz w:val="20"/>
                      </w:rPr>
                      <w:t>conversation</w:t>
                    </w:r>
                    <w:r>
                      <w:rPr>
                        <w:spacing w:val="-2"/>
                        <w:sz w:val="20"/>
                      </w:rPr>
                      <w:t xml:space="preserve"> </w:t>
                    </w:r>
                    <w:r>
                      <w:rPr>
                        <w:sz w:val="20"/>
                      </w:rPr>
                      <w:t xml:space="preserve">about his or her confidence or perceived ability to move forward in </w:t>
                    </w:r>
                    <w:r>
                      <w:rPr>
                        <w:sz w:val="20"/>
                      </w:rPr>
                      <w:t>the change process.</w:t>
                    </w:r>
                  </w:p>
                </w:txbxContent>
              </v:textbox>
            </v:shape>
            <v:shape id="docshape176" o:spid="_x0000_s2097" type="#_x0000_t202" style="position:absolute;left:7941;top:1956;width:1681;height:200" filled="f" stroked="f">
              <v:textbox inset="0,0,0,0">
                <w:txbxContent>
                  <w:p w14:paraId="25F67E05" w14:textId="77777777" w:rsidR="00DB6E1F" w:rsidRDefault="00F666A6">
                    <w:pPr>
                      <w:spacing w:line="199" w:lineRule="exact"/>
                      <w:rPr>
                        <w:sz w:val="20"/>
                      </w:rPr>
                    </w:pPr>
                    <w:r>
                      <w:rPr>
                        <w:sz w:val="20"/>
                      </w:rPr>
                      <w:t>Extremely</w:t>
                    </w:r>
                    <w:r>
                      <w:rPr>
                        <w:spacing w:val="-9"/>
                        <w:sz w:val="20"/>
                      </w:rPr>
                      <w:t xml:space="preserve"> </w:t>
                    </w:r>
                    <w:r>
                      <w:rPr>
                        <w:spacing w:val="-2"/>
                        <w:sz w:val="20"/>
                      </w:rPr>
                      <w:t>Confident</w:t>
                    </w:r>
                  </w:p>
                </w:txbxContent>
              </v:textbox>
            </v:shape>
            <v:shape id="docshape177" o:spid="_x0000_s2096" type="#_x0000_t202" style="position:absolute;left:1593;top:1956;width:1168;height:200" filled="f" stroked="f">
              <v:textbox inset="0,0,0,0">
                <w:txbxContent>
                  <w:p w14:paraId="3F4D225A" w14:textId="77777777" w:rsidR="00DB6E1F" w:rsidRDefault="00F666A6">
                    <w:pPr>
                      <w:spacing w:line="199" w:lineRule="exact"/>
                      <w:rPr>
                        <w:sz w:val="20"/>
                      </w:rPr>
                    </w:pPr>
                    <w:r>
                      <w:rPr>
                        <w:sz w:val="20"/>
                      </w:rPr>
                      <w:t>Not</w:t>
                    </w:r>
                    <w:r>
                      <w:rPr>
                        <w:spacing w:val="-3"/>
                        <w:sz w:val="20"/>
                      </w:rPr>
                      <w:t xml:space="preserve"> </w:t>
                    </w:r>
                    <w:r>
                      <w:rPr>
                        <w:spacing w:val="-2"/>
                        <w:sz w:val="20"/>
                      </w:rPr>
                      <w:t>Confident</w:t>
                    </w:r>
                  </w:p>
                </w:txbxContent>
              </v:textbox>
            </v:shape>
            <v:shape id="docshape178" o:spid="_x0000_s2095" type="#_x0000_t202" style="position:absolute;left:1444;top:161;width:9454;height:524" fillcolor="black" stroked="f">
              <v:textbox inset="0,0,0,0">
                <w:txbxContent>
                  <w:p w14:paraId="5D68A8BD" w14:textId="77777777" w:rsidR="00DB6E1F" w:rsidRDefault="00F666A6">
                    <w:pPr>
                      <w:spacing w:before="112"/>
                      <w:ind w:left="206"/>
                      <w:rPr>
                        <w:color w:val="000000"/>
                        <w:sz w:val="24"/>
                      </w:rPr>
                    </w:pPr>
                    <w:r>
                      <w:rPr>
                        <w:color w:val="FFFFFF"/>
                        <w:sz w:val="24"/>
                      </w:rPr>
                      <w:t>Exhibit</w:t>
                    </w:r>
                    <w:r>
                      <w:rPr>
                        <w:color w:val="FFFFFF"/>
                        <w:spacing w:val="-3"/>
                        <w:sz w:val="24"/>
                      </w:rPr>
                      <w:t xml:space="preserve"> </w:t>
                    </w:r>
                    <w:r>
                      <w:rPr>
                        <w:color w:val="FFFFFF"/>
                        <w:sz w:val="24"/>
                      </w:rPr>
                      <w:t>3.10.</w:t>
                    </w:r>
                    <w:r>
                      <w:rPr>
                        <w:color w:val="FFFFFF"/>
                        <w:spacing w:val="-5"/>
                        <w:sz w:val="24"/>
                      </w:rPr>
                      <w:t xml:space="preserve"> </w:t>
                    </w:r>
                    <w:r>
                      <w:rPr>
                        <w:color w:val="FFFFFF"/>
                        <w:sz w:val="24"/>
                      </w:rPr>
                      <w:t>The</w:t>
                    </w:r>
                    <w:r>
                      <w:rPr>
                        <w:color w:val="FFFFFF"/>
                        <w:spacing w:val="-1"/>
                        <w:sz w:val="24"/>
                      </w:rPr>
                      <w:t xml:space="preserve"> </w:t>
                    </w:r>
                    <w:r>
                      <w:rPr>
                        <w:color w:val="FFFFFF"/>
                        <w:sz w:val="24"/>
                      </w:rPr>
                      <w:t>Confidence</w:t>
                    </w:r>
                    <w:r>
                      <w:rPr>
                        <w:color w:val="FFFFFF"/>
                        <w:spacing w:val="-1"/>
                        <w:sz w:val="24"/>
                      </w:rPr>
                      <w:t xml:space="preserve"> </w:t>
                    </w:r>
                    <w:r>
                      <w:rPr>
                        <w:color w:val="FFFFFF"/>
                        <w:spacing w:val="-2"/>
                        <w:sz w:val="24"/>
                      </w:rPr>
                      <w:t>Ruler</w:t>
                    </w:r>
                  </w:p>
                </w:txbxContent>
              </v:textbox>
            </v:shape>
            <w10:wrap type="topAndBottom" anchorx="page"/>
          </v:group>
        </w:pict>
      </w:r>
    </w:p>
    <w:p w14:paraId="37FAB9FA" w14:textId="77777777" w:rsidR="00DB6E1F" w:rsidRDefault="00F666A6">
      <w:pPr>
        <w:pStyle w:val="ListParagraph"/>
        <w:numPr>
          <w:ilvl w:val="0"/>
          <w:numId w:val="92"/>
        </w:numPr>
        <w:tabs>
          <w:tab w:val="left" w:pos="1800"/>
          <w:tab w:val="left" w:pos="1801"/>
        </w:tabs>
        <w:spacing w:before="158"/>
        <w:ind w:left="1800" w:right="1502"/>
        <w:rPr>
          <w:rFonts w:ascii="Symbol" w:hAnsi="Symbol"/>
        </w:rPr>
      </w:pPr>
      <w:r>
        <w:rPr>
          <w:b/>
        </w:rPr>
        <w:t xml:space="preserve">Ask open questions </w:t>
      </w:r>
      <w:r>
        <w:t>that evoke client strengths and abilities. Follow the open questions with reflective</w:t>
      </w:r>
      <w:r>
        <w:rPr>
          <w:spacing w:val="-4"/>
        </w:rPr>
        <w:t xml:space="preserve"> </w:t>
      </w:r>
      <w:r>
        <w:t>listening</w:t>
      </w:r>
      <w:r>
        <w:rPr>
          <w:spacing w:val="-3"/>
        </w:rPr>
        <w:t xml:space="preserve"> </w:t>
      </w:r>
      <w:r>
        <w:t>responses.</w:t>
      </w:r>
      <w:r>
        <w:rPr>
          <w:spacing w:val="-2"/>
        </w:rPr>
        <w:t xml:space="preserve"> </w:t>
      </w:r>
      <w:r>
        <w:t>Here</w:t>
      </w:r>
      <w:r>
        <w:rPr>
          <w:spacing w:val="-4"/>
        </w:rPr>
        <w:t xml:space="preserve"> </w:t>
      </w:r>
      <w:r>
        <w:t>are</w:t>
      </w:r>
      <w:r>
        <w:rPr>
          <w:spacing w:val="-4"/>
        </w:rPr>
        <w:t xml:space="preserve"> </w:t>
      </w:r>
      <w:r>
        <w:t>some</w:t>
      </w:r>
      <w:r>
        <w:rPr>
          <w:spacing w:val="-4"/>
        </w:rPr>
        <w:t xml:space="preserve"> </w:t>
      </w:r>
      <w:r>
        <w:t>examples</w:t>
      </w:r>
      <w:r>
        <w:rPr>
          <w:spacing w:val="-2"/>
        </w:rPr>
        <w:t xml:space="preserve"> </w:t>
      </w:r>
      <w:r>
        <w:t>of</w:t>
      </w:r>
      <w:r>
        <w:rPr>
          <w:spacing w:val="-5"/>
        </w:rPr>
        <w:t xml:space="preserve"> </w:t>
      </w:r>
      <w:r>
        <w:t>open</w:t>
      </w:r>
      <w:r>
        <w:rPr>
          <w:spacing w:val="-3"/>
        </w:rPr>
        <w:t xml:space="preserve"> </w:t>
      </w:r>
      <w:r>
        <w:t>questions</w:t>
      </w:r>
      <w:r>
        <w:rPr>
          <w:spacing w:val="-4"/>
        </w:rPr>
        <w:t xml:space="preserve"> </w:t>
      </w:r>
      <w:r>
        <w:t>that</w:t>
      </w:r>
      <w:r>
        <w:rPr>
          <w:spacing w:val="-3"/>
        </w:rPr>
        <w:t xml:space="preserve"> </w:t>
      </w:r>
      <w:r>
        <w:t>elicit</w:t>
      </w:r>
      <w:r>
        <w:rPr>
          <w:spacing w:val="-1"/>
        </w:rPr>
        <w:t xml:space="preserve"> </w:t>
      </w:r>
      <w:r>
        <w:t>confidence</w:t>
      </w:r>
      <w:r>
        <w:rPr>
          <w:spacing w:val="-4"/>
        </w:rPr>
        <w:t xml:space="preserve"> </w:t>
      </w:r>
      <w:r>
        <w:t>talk:</w:t>
      </w:r>
    </w:p>
    <w:p w14:paraId="28BD81B1" w14:textId="77777777" w:rsidR="00DB6E1F" w:rsidRDefault="00F666A6">
      <w:pPr>
        <w:pStyle w:val="ListParagraph"/>
        <w:numPr>
          <w:ilvl w:val="1"/>
          <w:numId w:val="92"/>
        </w:numPr>
        <w:tabs>
          <w:tab w:val="left" w:pos="2159"/>
          <w:tab w:val="left" w:pos="2161"/>
        </w:tabs>
        <w:ind w:right="1892"/>
      </w:pPr>
      <w:r>
        <w:t>“Knowing</w:t>
      </w:r>
      <w:r>
        <w:rPr>
          <w:spacing w:val="-2"/>
        </w:rPr>
        <w:t xml:space="preserve"> </w:t>
      </w:r>
      <w:r>
        <w:t>yourself</w:t>
      </w:r>
      <w:r>
        <w:rPr>
          <w:spacing w:val="-3"/>
        </w:rPr>
        <w:t xml:space="preserve"> </w:t>
      </w:r>
      <w:r>
        <w:t>as</w:t>
      </w:r>
      <w:r>
        <w:rPr>
          <w:spacing w:val="-3"/>
        </w:rPr>
        <w:t xml:space="preserve"> </w:t>
      </w:r>
      <w:r>
        <w:t>well</w:t>
      </w:r>
      <w:r>
        <w:rPr>
          <w:spacing w:val="-1"/>
        </w:rPr>
        <w:t xml:space="preserve"> </w:t>
      </w:r>
      <w:r>
        <w:t>as</w:t>
      </w:r>
      <w:r>
        <w:rPr>
          <w:spacing w:val="-1"/>
        </w:rPr>
        <w:t xml:space="preserve"> </w:t>
      </w:r>
      <w:r>
        <w:t>you</w:t>
      </w:r>
      <w:r>
        <w:rPr>
          <w:spacing w:val="-2"/>
        </w:rPr>
        <w:t xml:space="preserve"> </w:t>
      </w:r>
      <w:r>
        <w:t>do,</w:t>
      </w:r>
      <w:r>
        <w:rPr>
          <w:spacing w:val="-3"/>
        </w:rPr>
        <w:t xml:space="preserve"> </w:t>
      </w:r>
      <w:r>
        <w:t>how do</w:t>
      </w:r>
      <w:r>
        <w:rPr>
          <w:spacing w:val="-2"/>
        </w:rPr>
        <w:t xml:space="preserve"> </w:t>
      </w:r>
      <w:r>
        <w:t>you</w:t>
      </w:r>
      <w:r>
        <w:rPr>
          <w:spacing w:val="-2"/>
        </w:rPr>
        <w:t xml:space="preserve"> </w:t>
      </w:r>
      <w:r>
        <w:t>think</w:t>
      </w:r>
      <w:r>
        <w:rPr>
          <w:spacing w:val="-3"/>
        </w:rPr>
        <w:t xml:space="preserve"> </w:t>
      </w:r>
      <w:r>
        <w:t>you</w:t>
      </w:r>
      <w:r>
        <w:rPr>
          <w:spacing w:val="-4"/>
        </w:rPr>
        <w:t xml:space="preserve"> </w:t>
      </w:r>
      <w:r>
        <w:t>could</w:t>
      </w:r>
      <w:r>
        <w:rPr>
          <w:spacing w:val="-2"/>
        </w:rPr>
        <w:t xml:space="preserve"> </w:t>
      </w:r>
      <w:r>
        <w:t>[name</w:t>
      </w:r>
      <w:r>
        <w:rPr>
          <w:spacing w:val="-3"/>
        </w:rPr>
        <w:t xml:space="preserve"> </w:t>
      </w:r>
      <w:r>
        <w:t>the</w:t>
      </w:r>
      <w:r>
        <w:rPr>
          <w:spacing w:val="-3"/>
        </w:rPr>
        <w:t xml:space="preserve"> </w:t>
      </w:r>
      <w:r>
        <w:t>target</w:t>
      </w:r>
      <w:r>
        <w:rPr>
          <w:spacing w:val="-1"/>
        </w:rPr>
        <w:t xml:space="preserve"> </w:t>
      </w:r>
      <w:r>
        <w:t>behavior change, like cutting back on smoking marijuana]?”</w:t>
      </w:r>
    </w:p>
    <w:p w14:paraId="09251CED" w14:textId="77777777" w:rsidR="00DB6E1F" w:rsidRDefault="00F666A6">
      <w:pPr>
        <w:pStyle w:val="ListParagraph"/>
        <w:numPr>
          <w:ilvl w:val="1"/>
          <w:numId w:val="92"/>
        </w:numPr>
        <w:tabs>
          <w:tab w:val="left" w:pos="2159"/>
          <w:tab w:val="left" w:pos="2160"/>
        </w:tabs>
        <w:ind w:hanging="361"/>
      </w:pPr>
      <w:r>
        <w:t>“How</w:t>
      </w:r>
      <w:r>
        <w:rPr>
          <w:spacing w:val="-5"/>
        </w:rPr>
        <w:t xml:space="preserve"> </w:t>
      </w:r>
      <w:r>
        <w:t>have</w:t>
      </w:r>
      <w:r>
        <w:rPr>
          <w:spacing w:val="-5"/>
        </w:rPr>
        <w:t xml:space="preserve"> </w:t>
      </w:r>
      <w:r>
        <w:t>you</w:t>
      </w:r>
      <w:r>
        <w:rPr>
          <w:spacing w:val="-6"/>
        </w:rPr>
        <w:t xml:space="preserve"> </w:t>
      </w:r>
      <w:r>
        <w:t>made</w:t>
      </w:r>
      <w:r>
        <w:rPr>
          <w:spacing w:val="-5"/>
        </w:rPr>
        <w:t xml:space="preserve"> </w:t>
      </w:r>
      <w:r>
        <w:t>difficult</w:t>
      </w:r>
      <w:r>
        <w:rPr>
          <w:spacing w:val="-2"/>
        </w:rPr>
        <w:t xml:space="preserve"> </w:t>
      </w:r>
      <w:r>
        <w:t>changes</w:t>
      </w:r>
      <w:r>
        <w:rPr>
          <w:spacing w:val="-3"/>
        </w:rPr>
        <w:t xml:space="preserve"> </w:t>
      </w:r>
      <w:r>
        <w:t>in</w:t>
      </w:r>
      <w:r>
        <w:rPr>
          <w:spacing w:val="-4"/>
        </w:rPr>
        <w:t xml:space="preserve"> </w:t>
      </w:r>
      <w:r>
        <w:t>the</w:t>
      </w:r>
      <w:r>
        <w:rPr>
          <w:spacing w:val="-2"/>
        </w:rPr>
        <w:t xml:space="preserve"> past?”</w:t>
      </w:r>
    </w:p>
    <w:p w14:paraId="6FD3575C" w14:textId="77777777" w:rsidR="00DB6E1F" w:rsidRDefault="00F666A6">
      <w:pPr>
        <w:pStyle w:val="ListParagraph"/>
        <w:numPr>
          <w:ilvl w:val="1"/>
          <w:numId w:val="92"/>
        </w:numPr>
        <w:tabs>
          <w:tab w:val="left" w:pos="2159"/>
          <w:tab w:val="left" w:pos="2160"/>
        </w:tabs>
        <w:spacing w:before="61"/>
        <w:ind w:hanging="361"/>
      </w:pPr>
      <w:r>
        <w:t>“How</w:t>
      </w:r>
      <w:r>
        <w:rPr>
          <w:spacing w:val="-4"/>
        </w:rPr>
        <w:t xml:space="preserve"> </w:t>
      </w:r>
      <w:r>
        <w:t>could</w:t>
      </w:r>
      <w:r>
        <w:rPr>
          <w:spacing w:val="-4"/>
        </w:rPr>
        <w:t xml:space="preserve"> </w:t>
      </w:r>
      <w:r>
        <w:t>you</w:t>
      </w:r>
      <w:r>
        <w:rPr>
          <w:spacing w:val="-3"/>
        </w:rPr>
        <w:t xml:space="preserve"> </w:t>
      </w:r>
      <w:r>
        <w:t>apply</w:t>
      </w:r>
      <w:r>
        <w:rPr>
          <w:spacing w:val="-4"/>
        </w:rPr>
        <w:t xml:space="preserve"> </w:t>
      </w:r>
      <w:r>
        <w:t>what</w:t>
      </w:r>
      <w:r>
        <w:rPr>
          <w:spacing w:val="-2"/>
        </w:rPr>
        <w:t xml:space="preserve"> </w:t>
      </w:r>
      <w:r>
        <w:t>you</w:t>
      </w:r>
      <w:r>
        <w:rPr>
          <w:spacing w:val="-3"/>
        </w:rPr>
        <w:t xml:space="preserve"> </w:t>
      </w:r>
      <w:r>
        <w:t>learned</w:t>
      </w:r>
      <w:r>
        <w:rPr>
          <w:spacing w:val="-4"/>
        </w:rPr>
        <w:t xml:space="preserve"> </w:t>
      </w:r>
      <w:r>
        <w:t>then</w:t>
      </w:r>
      <w:r>
        <w:rPr>
          <w:spacing w:val="-5"/>
        </w:rPr>
        <w:t xml:space="preserve"> </w:t>
      </w:r>
      <w:r>
        <w:t>to</w:t>
      </w:r>
      <w:r>
        <w:rPr>
          <w:spacing w:val="-4"/>
        </w:rPr>
        <w:t xml:space="preserve"> </w:t>
      </w:r>
      <w:r>
        <w:t>this</w:t>
      </w:r>
      <w:r>
        <w:rPr>
          <w:spacing w:val="-2"/>
        </w:rPr>
        <w:t xml:space="preserve"> situation?”</w:t>
      </w:r>
    </w:p>
    <w:p w14:paraId="19CB4528" w14:textId="77777777" w:rsidR="00DB6E1F" w:rsidRDefault="00F666A6">
      <w:pPr>
        <w:pStyle w:val="BodyText"/>
        <w:tabs>
          <w:tab w:val="left" w:pos="2159"/>
        </w:tabs>
        <w:spacing w:before="60" w:line="256" w:lineRule="auto"/>
        <w:ind w:left="2159" w:right="1904" w:hanging="360"/>
      </w:pPr>
      <w:r>
        <w:rPr>
          <w:spacing w:val="-10"/>
        </w:rPr>
        <w:t>‒</w:t>
      </w:r>
      <w:r>
        <w:tab/>
        <w:t>“What</w:t>
      </w:r>
      <w:r>
        <w:rPr>
          <w:spacing w:val="-4"/>
        </w:rPr>
        <w:t xml:space="preserve"> </w:t>
      </w:r>
      <w:r>
        <w:t>gives</w:t>
      </w:r>
      <w:r>
        <w:rPr>
          <w:spacing w:val="-3"/>
        </w:rPr>
        <w:t xml:space="preserve"> </w:t>
      </w:r>
      <w:r>
        <w:t>you</w:t>
      </w:r>
      <w:r>
        <w:rPr>
          <w:spacing w:val="-4"/>
        </w:rPr>
        <w:t xml:space="preserve"> </w:t>
      </w:r>
      <w:r>
        <w:t>confidence</w:t>
      </w:r>
      <w:r>
        <w:rPr>
          <w:spacing w:val="-2"/>
        </w:rPr>
        <w:t xml:space="preserve"> </w:t>
      </w:r>
      <w:r>
        <w:t>that</w:t>
      </w:r>
      <w:r>
        <w:rPr>
          <w:spacing w:val="-5"/>
        </w:rPr>
        <w:t xml:space="preserve"> </w:t>
      </w:r>
      <w:r>
        <w:t>you</w:t>
      </w:r>
      <w:r>
        <w:rPr>
          <w:spacing w:val="-4"/>
        </w:rPr>
        <w:t xml:space="preserve"> </w:t>
      </w:r>
      <w:r>
        <w:t>could</w:t>
      </w:r>
      <w:r>
        <w:rPr>
          <w:spacing w:val="-3"/>
        </w:rPr>
        <w:t xml:space="preserve"> </w:t>
      </w:r>
      <w:r>
        <w:t>[name</w:t>
      </w:r>
      <w:r>
        <w:rPr>
          <w:spacing w:val="-5"/>
        </w:rPr>
        <w:t xml:space="preserve"> </w:t>
      </w:r>
      <w:r>
        <w:t>the</w:t>
      </w:r>
      <w:r>
        <w:rPr>
          <w:spacing w:val="-5"/>
        </w:rPr>
        <w:t xml:space="preserve"> </w:t>
      </w:r>
      <w:r>
        <w:t>target</w:t>
      </w:r>
      <w:r>
        <w:rPr>
          <w:spacing w:val="-2"/>
        </w:rPr>
        <w:t xml:space="preserve"> </w:t>
      </w:r>
      <w:r>
        <w:t>behavior</w:t>
      </w:r>
      <w:r>
        <w:rPr>
          <w:spacing w:val="-4"/>
        </w:rPr>
        <w:t xml:space="preserve"> </w:t>
      </w:r>
      <w:r>
        <w:t>change</w:t>
      </w:r>
      <w:r>
        <w:t>,</w:t>
      </w:r>
      <w:r>
        <w:rPr>
          <w:spacing w:val="-3"/>
        </w:rPr>
        <w:t xml:space="preserve"> </w:t>
      </w:r>
      <w:r>
        <w:t>like</w:t>
      </w:r>
      <w:r>
        <w:rPr>
          <w:spacing w:val="-2"/>
        </w:rPr>
        <w:t xml:space="preserve"> </w:t>
      </w:r>
      <w:r>
        <w:t>stopping cocaine use]?”</w:t>
      </w:r>
    </w:p>
    <w:p w14:paraId="2628D631" w14:textId="77777777" w:rsidR="00DB6E1F" w:rsidRDefault="00F666A6">
      <w:pPr>
        <w:pStyle w:val="Heading5"/>
        <w:spacing w:before="164"/>
        <w:ind w:left="1439"/>
      </w:pPr>
      <w:r>
        <w:rPr>
          <w:b w:val="0"/>
        </w:rPr>
        <w:t>In</w:t>
      </w:r>
      <w:r>
        <w:rPr>
          <w:b w:val="0"/>
          <w:spacing w:val="-5"/>
        </w:rPr>
        <w:t xml:space="preserve"> </w:t>
      </w:r>
      <w:r>
        <w:rPr>
          <w:b w:val="0"/>
        </w:rPr>
        <w:t>addition,</w:t>
      </w:r>
      <w:r>
        <w:rPr>
          <w:b w:val="0"/>
          <w:spacing w:val="-3"/>
        </w:rPr>
        <w:t xml:space="preserve"> </w:t>
      </w:r>
      <w:r>
        <w:t>you</w:t>
      </w:r>
      <w:r>
        <w:rPr>
          <w:spacing w:val="-6"/>
        </w:rPr>
        <w:t xml:space="preserve"> </w:t>
      </w:r>
      <w:r>
        <w:t>can</w:t>
      </w:r>
      <w:r>
        <w:rPr>
          <w:spacing w:val="-4"/>
        </w:rPr>
        <w:t xml:space="preserve"> </w:t>
      </w:r>
      <w:r>
        <w:t>help</w:t>
      </w:r>
      <w:r>
        <w:rPr>
          <w:spacing w:val="-4"/>
        </w:rPr>
        <w:t xml:space="preserve"> </w:t>
      </w:r>
      <w:r>
        <w:t>enhance</w:t>
      </w:r>
      <w:r>
        <w:rPr>
          <w:spacing w:val="-4"/>
        </w:rPr>
        <w:t xml:space="preserve"> </w:t>
      </w:r>
      <w:r>
        <w:t>clients’</w:t>
      </w:r>
      <w:r>
        <w:rPr>
          <w:spacing w:val="-2"/>
        </w:rPr>
        <w:t xml:space="preserve"> </w:t>
      </w:r>
      <w:r>
        <w:t>hope</w:t>
      </w:r>
      <w:r>
        <w:rPr>
          <w:spacing w:val="-4"/>
        </w:rPr>
        <w:t xml:space="preserve"> </w:t>
      </w:r>
      <w:r>
        <w:t>and</w:t>
      </w:r>
      <w:r>
        <w:rPr>
          <w:spacing w:val="-4"/>
        </w:rPr>
        <w:t xml:space="preserve"> </w:t>
      </w:r>
      <w:r>
        <w:t>confidence</w:t>
      </w:r>
      <w:r>
        <w:rPr>
          <w:spacing w:val="-4"/>
        </w:rPr>
        <w:t xml:space="preserve"> </w:t>
      </w:r>
      <w:r>
        <w:t>about</w:t>
      </w:r>
      <w:r>
        <w:rPr>
          <w:spacing w:val="-2"/>
        </w:rPr>
        <w:t xml:space="preserve"> </w:t>
      </w:r>
      <w:r>
        <w:t>change</w:t>
      </w:r>
      <w:r>
        <w:rPr>
          <w:spacing w:val="-3"/>
        </w:rPr>
        <w:t xml:space="preserve"> </w:t>
      </w:r>
      <w:r>
        <w:rPr>
          <w:spacing w:val="-5"/>
        </w:rPr>
        <w:t>by:</w:t>
      </w:r>
    </w:p>
    <w:p w14:paraId="07ADD44B" w14:textId="77777777" w:rsidR="00DB6E1F" w:rsidRDefault="00F666A6">
      <w:pPr>
        <w:pStyle w:val="ListParagraph"/>
        <w:numPr>
          <w:ilvl w:val="0"/>
          <w:numId w:val="92"/>
        </w:numPr>
        <w:tabs>
          <w:tab w:val="left" w:pos="1799"/>
          <w:tab w:val="left" w:pos="1800"/>
        </w:tabs>
        <w:spacing w:before="61"/>
        <w:ind w:left="1799"/>
        <w:rPr>
          <w:rFonts w:ascii="Symbol" w:hAnsi="Symbol"/>
        </w:rPr>
      </w:pPr>
      <w:r>
        <w:t>Exploring</w:t>
      </w:r>
      <w:r>
        <w:rPr>
          <w:spacing w:val="-8"/>
        </w:rPr>
        <w:t xml:space="preserve"> </w:t>
      </w:r>
      <w:r>
        <w:t>clients’</w:t>
      </w:r>
      <w:r>
        <w:rPr>
          <w:spacing w:val="-4"/>
        </w:rPr>
        <w:t xml:space="preserve"> </w:t>
      </w:r>
      <w:r>
        <w:t>strengths</w:t>
      </w:r>
      <w:r>
        <w:rPr>
          <w:spacing w:val="-6"/>
        </w:rPr>
        <w:t xml:space="preserve"> </w:t>
      </w:r>
      <w:r>
        <w:t>and</w:t>
      </w:r>
      <w:r>
        <w:rPr>
          <w:spacing w:val="-6"/>
        </w:rPr>
        <w:t xml:space="preserve"> </w:t>
      </w:r>
      <w:r>
        <w:t>brainstorming</w:t>
      </w:r>
      <w:r>
        <w:rPr>
          <w:spacing w:val="-5"/>
        </w:rPr>
        <w:t xml:space="preserve"> </w:t>
      </w:r>
      <w:r>
        <w:t>how</w:t>
      </w:r>
      <w:r>
        <w:rPr>
          <w:spacing w:val="-3"/>
        </w:rPr>
        <w:t xml:space="preserve"> </w:t>
      </w:r>
      <w:r>
        <w:t>to</w:t>
      </w:r>
      <w:r>
        <w:rPr>
          <w:spacing w:val="-5"/>
        </w:rPr>
        <w:t xml:space="preserve"> </w:t>
      </w:r>
      <w:r>
        <w:t>apply</w:t>
      </w:r>
      <w:r>
        <w:rPr>
          <w:spacing w:val="-4"/>
        </w:rPr>
        <w:t xml:space="preserve"> </w:t>
      </w:r>
      <w:r>
        <w:t>those</w:t>
      </w:r>
      <w:r>
        <w:rPr>
          <w:spacing w:val="-3"/>
        </w:rPr>
        <w:t xml:space="preserve"> </w:t>
      </w:r>
      <w:r>
        <w:t>strengths</w:t>
      </w:r>
      <w:r>
        <w:rPr>
          <w:spacing w:val="-5"/>
        </w:rPr>
        <w:t xml:space="preserve"> </w:t>
      </w:r>
      <w:r>
        <w:t>to</w:t>
      </w:r>
      <w:r>
        <w:rPr>
          <w:spacing w:val="-5"/>
        </w:rPr>
        <w:t xml:space="preserve"> </w:t>
      </w:r>
      <w:r>
        <w:t>the</w:t>
      </w:r>
      <w:r>
        <w:rPr>
          <w:spacing w:val="-3"/>
        </w:rPr>
        <w:t xml:space="preserve"> </w:t>
      </w:r>
      <w:r>
        <w:t>current</w:t>
      </w:r>
      <w:r>
        <w:rPr>
          <w:spacing w:val="-6"/>
        </w:rPr>
        <w:t xml:space="preserve"> </w:t>
      </w:r>
      <w:r>
        <w:rPr>
          <w:spacing w:val="-2"/>
        </w:rPr>
        <w:t>situation.</w:t>
      </w:r>
    </w:p>
    <w:p w14:paraId="32B60774" w14:textId="77777777" w:rsidR="00DB6E1F" w:rsidRDefault="00F666A6">
      <w:pPr>
        <w:pStyle w:val="ListParagraph"/>
        <w:numPr>
          <w:ilvl w:val="0"/>
          <w:numId w:val="92"/>
        </w:numPr>
        <w:tabs>
          <w:tab w:val="left" w:pos="1799"/>
          <w:tab w:val="left" w:pos="1800"/>
        </w:tabs>
        <w:ind w:left="1799"/>
        <w:rPr>
          <w:rFonts w:ascii="Symbol" w:hAnsi="Symbol"/>
        </w:rPr>
      </w:pPr>
      <w:r>
        <w:t>Giving</w:t>
      </w:r>
      <w:r>
        <w:rPr>
          <w:spacing w:val="-7"/>
        </w:rPr>
        <w:t xml:space="preserve"> </w:t>
      </w:r>
      <w:r>
        <w:t>information</w:t>
      </w:r>
      <w:r>
        <w:rPr>
          <w:spacing w:val="-6"/>
        </w:rPr>
        <w:t xml:space="preserve"> </w:t>
      </w:r>
      <w:r>
        <w:t>via</w:t>
      </w:r>
      <w:r>
        <w:rPr>
          <w:spacing w:val="-3"/>
        </w:rPr>
        <w:t xml:space="preserve"> </w:t>
      </w:r>
      <w:r>
        <w:t>EPE</w:t>
      </w:r>
      <w:r>
        <w:rPr>
          <w:spacing w:val="-5"/>
        </w:rPr>
        <w:t xml:space="preserve"> </w:t>
      </w:r>
      <w:r>
        <w:t>about</w:t>
      </w:r>
      <w:r>
        <w:rPr>
          <w:spacing w:val="-3"/>
        </w:rPr>
        <w:t xml:space="preserve"> </w:t>
      </w:r>
      <w:r>
        <w:t>the</w:t>
      </w:r>
      <w:r>
        <w:rPr>
          <w:spacing w:val="-5"/>
        </w:rPr>
        <w:t xml:space="preserve"> </w:t>
      </w:r>
      <w:r>
        <w:t>efficacy</w:t>
      </w:r>
      <w:r>
        <w:rPr>
          <w:spacing w:val="-4"/>
        </w:rPr>
        <w:t xml:space="preserve"> </w:t>
      </w:r>
      <w:r>
        <w:t>of</w:t>
      </w:r>
      <w:r>
        <w:rPr>
          <w:spacing w:val="-7"/>
        </w:rPr>
        <w:t xml:space="preserve"> </w:t>
      </w:r>
      <w:r>
        <w:t>treatment</w:t>
      </w:r>
      <w:r>
        <w:rPr>
          <w:spacing w:val="-5"/>
        </w:rPr>
        <w:t xml:space="preserve"> </w:t>
      </w:r>
      <w:r>
        <w:t>to</w:t>
      </w:r>
      <w:r>
        <w:rPr>
          <w:spacing w:val="-2"/>
        </w:rPr>
        <w:t xml:space="preserve"> </w:t>
      </w:r>
      <w:r>
        <w:t>increase</w:t>
      </w:r>
      <w:r>
        <w:rPr>
          <w:spacing w:val="-3"/>
        </w:rPr>
        <w:t xml:space="preserve"> </w:t>
      </w:r>
      <w:r>
        <w:t>clients’</w:t>
      </w:r>
      <w:r>
        <w:rPr>
          <w:spacing w:val="-5"/>
        </w:rPr>
        <w:t xml:space="preserve"> </w:t>
      </w:r>
      <w:r>
        <w:t>sense</w:t>
      </w:r>
      <w:r>
        <w:rPr>
          <w:spacing w:val="-2"/>
        </w:rPr>
        <w:t xml:space="preserve"> </w:t>
      </w:r>
      <w:r>
        <w:t>of</w:t>
      </w:r>
      <w:r>
        <w:rPr>
          <w:spacing w:val="-5"/>
        </w:rPr>
        <w:t xml:space="preserve"> </w:t>
      </w:r>
      <w:r>
        <w:t>self-</w:t>
      </w:r>
      <w:r>
        <w:rPr>
          <w:spacing w:val="-2"/>
        </w:rPr>
        <w:t>efficacy.</w:t>
      </w:r>
    </w:p>
    <w:p w14:paraId="0C48CE8D" w14:textId="77777777" w:rsidR="00DB6E1F" w:rsidRDefault="00F666A6">
      <w:pPr>
        <w:pStyle w:val="ListParagraph"/>
        <w:numPr>
          <w:ilvl w:val="0"/>
          <w:numId w:val="92"/>
        </w:numPr>
        <w:tabs>
          <w:tab w:val="left" w:pos="1799"/>
          <w:tab w:val="left" w:pos="1800"/>
        </w:tabs>
        <w:spacing w:before="58"/>
        <w:ind w:left="1799" w:right="2157"/>
        <w:rPr>
          <w:rFonts w:ascii="Symbol" w:hAnsi="Symbol"/>
        </w:rPr>
      </w:pPr>
      <w:r>
        <w:t>Discussing</w:t>
      </w:r>
      <w:r>
        <w:rPr>
          <w:spacing w:val="-3"/>
        </w:rPr>
        <w:t xml:space="preserve"> </w:t>
      </w:r>
      <w:r>
        <w:t>what</w:t>
      </w:r>
      <w:r>
        <w:rPr>
          <w:spacing w:val="-2"/>
        </w:rPr>
        <w:t xml:space="preserve"> </w:t>
      </w:r>
      <w:r>
        <w:t>worked</w:t>
      </w:r>
      <w:r>
        <w:rPr>
          <w:spacing w:val="-4"/>
        </w:rPr>
        <w:t xml:space="preserve"> </w:t>
      </w:r>
      <w:r>
        <w:t>and</w:t>
      </w:r>
      <w:r>
        <w:rPr>
          <w:spacing w:val="-4"/>
        </w:rPr>
        <w:t xml:space="preserve"> </w:t>
      </w:r>
      <w:r>
        <w:t>didn’t</w:t>
      </w:r>
      <w:r>
        <w:rPr>
          <w:spacing w:val="-2"/>
        </w:rPr>
        <w:t xml:space="preserve"> </w:t>
      </w:r>
      <w:r>
        <w:t>work</w:t>
      </w:r>
      <w:r>
        <w:rPr>
          <w:spacing w:val="-2"/>
        </w:rPr>
        <w:t xml:space="preserve"> </w:t>
      </w:r>
      <w:r>
        <w:t>in</w:t>
      </w:r>
      <w:r>
        <w:rPr>
          <w:spacing w:val="-4"/>
        </w:rPr>
        <w:t xml:space="preserve"> </w:t>
      </w:r>
      <w:r>
        <w:t>previous</w:t>
      </w:r>
      <w:r>
        <w:rPr>
          <w:spacing w:val="-3"/>
        </w:rPr>
        <w:t xml:space="preserve"> </w:t>
      </w:r>
      <w:r>
        <w:t>treatment</w:t>
      </w:r>
      <w:r>
        <w:rPr>
          <w:spacing w:val="-5"/>
        </w:rPr>
        <w:t xml:space="preserve"> </w:t>
      </w:r>
      <w:r>
        <w:t>episodes</w:t>
      </w:r>
      <w:r>
        <w:rPr>
          <w:spacing w:val="-3"/>
        </w:rPr>
        <w:t xml:space="preserve"> </w:t>
      </w:r>
      <w:r>
        <w:t>and</w:t>
      </w:r>
      <w:r>
        <w:rPr>
          <w:spacing w:val="-6"/>
        </w:rPr>
        <w:t xml:space="preserve"> </w:t>
      </w:r>
      <w:r>
        <w:t>offering</w:t>
      </w:r>
      <w:r>
        <w:rPr>
          <w:spacing w:val="-4"/>
        </w:rPr>
        <w:t xml:space="preserve"> </w:t>
      </w:r>
      <w:r>
        <w:t>change options based on what worked before.</w:t>
      </w:r>
    </w:p>
    <w:p w14:paraId="6028AFCB" w14:textId="77777777" w:rsidR="00DB6E1F" w:rsidRDefault="00F666A6">
      <w:pPr>
        <w:pStyle w:val="ListParagraph"/>
        <w:numPr>
          <w:ilvl w:val="0"/>
          <w:numId w:val="92"/>
        </w:numPr>
        <w:tabs>
          <w:tab w:val="left" w:pos="1799"/>
          <w:tab w:val="left" w:pos="1800"/>
        </w:tabs>
        <w:spacing w:before="61"/>
        <w:ind w:left="1799" w:right="1437"/>
        <w:rPr>
          <w:rFonts w:ascii="Symbol" w:hAnsi="Symbol"/>
        </w:rPr>
      </w:pPr>
      <w:r>
        <w:t>Describing</w:t>
      </w:r>
      <w:r>
        <w:rPr>
          <w:spacing w:val="-4"/>
        </w:rPr>
        <w:t xml:space="preserve"> </w:t>
      </w:r>
      <w:r>
        <w:t>how</w:t>
      </w:r>
      <w:r>
        <w:rPr>
          <w:spacing w:val="-2"/>
        </w:rPr>
        <w:t xml:space="preserve"> </w:t>
      </w:r>
      <w:r>
        <w:t>people</w:t>
      </w:r>
      <w:r>
        <w:rPr>
          <w:spacing w:val="-4"/>
        </w:rPr>
        <w:t xml:space="preserve"> </w:t>
      </w:r>
      <w:r>
        <w:t>in</w:t>
      </w:r>
      <w:r>
        <w:rPr>
          <w:spacing w:val="-4"/>
        </w:rPr>
        <w:t xml:space="preserve"> </w:t>
      </w:r>
      <w:r>
        <w:t>similar</w:t>
      </w:r>
      <w:r>
        <w:rPr>
          <w:spacing w:val="-3"/>
        </w:rPr>
        <w:t xml:space="preserve"> </w:t>
      </w:r>
      <w:r>
        <w:t>situations</w:t>
      </w:r>
      <w:r>
        <w:rPr>
          <w:spacing w:val="-5"/>
        </w:rPr>
        <w:t xml:space="preserve"> </w:t>
      </w:r>
      <w:r>
        <w:t>have</w:t>
      </w:r>
      <w:r>
        <w:rPr>
          <w:spacing w:val="-5"/>
        </w:rPr>
        <w:t xml:space="preserve"> </w:t>
      </w:r>
      <w:r>
        <w:t>successfully</w:t>
      </w:r>
      <w:r>
        <w:rPr>
          <w:spacing w:val="-2"/>
        </w:rPr>
        <w:t xml:space="preserve"> </w:t>
      </w:r>
      <w:r>
        <w:t>changed</w:t>
      </w:r>
      <w:r>
        <w:rPr>
          <w:spacing w:val="-4"/>
        </w:rPr>
        <w:t xml:space="preserve"> </w:t>
      </w:r>
      <w:r>
        <w:t>their</w:t>
      </w:r>
      <w:r>
        <w:rPr>
          <w:spacing w:val="-3"/>
        </w:rPr>
        <w:t xml:space="preserve"> </w:t>
      </w:r>
      <w:r>
        <w:t>behavior.</w:t>
      </w:r>
      <w:r>
        <w:rPr>
          <w:spacing w:val="-4"/>
        </w:rPr>
        <w:t xml:space="preserve"> </w:t>
      </w:r>
      <w:r>
        <w:t>Other</w:t>
      </w:r>
      <w:r>
        <w:rPr>
          <w:spacing w:val="-3"/>
        </w:rPr>
        <w:t xml:space="preserve"> </w:t>
      </w:r>
      <w:r>
        <w:t>clients in treatment can serve as role models and offer encouragement.</w:t>
      </w:r>
    </w:p>
    <w:p w14:paraId="13ECDDE8" w14:textId="77777777" w:rsidR="00DB6E1F" w:rsidRDefault="00F666A6">
      <w:pPr>
        <w:pStyle w:val="ListParagraph"/>
        <w:numPr>
          <w:ilvl w:val="0"/>
          <w:numId w:val="92"/>
        </w:numPr>
        <w:tabs>
          <w:tab w:val="left" w:pos="1799"/>
          <w:tab w:val="left" w:pos="1800"/>
        </w:tabs>
        <w:ind w:left="1799" w:right="1765" w:hanging="360"/>
        <w:rPr>
          <w:rFonts w:ascii="Symbol" w:hAnsi="Symbol"/>
        </w:rPr>
      </w:pPr>
      <w:r>
        <w:t>Offering</w:t>
      </w:r>
      <w:r>
        <w:rPr>
          <w:spacing w:val="-3"/>
        </w:rPr>
        <w:t xml:space="preserve"> </w:t>
      </w:r>
      <w:r>
        <w:t>some</w:t>
      </w:r>
      <w:r>
        <w:rPr>
          <w:spacing w:val="-1"/>
        </w:rPr>
        <w:t xml:space="preserve"> </w:t>
      </w:r>
      <w:r>
        <w:t>cognitive</w:t>
      </w:r>
      <w:r>
        <w:rPr>
          <w:spacing w:val="-1"/>
        </w:rPr>
        <w:t xml:space="preserve"> </w:t>
      </w:r>
      <w:r>
        <w:t>tools,</w:t>
      </w:r>
      <w:r>
        <w:rPr>
          <w:spacing w:val="-2"/>
        </w:rPr>
        <w:t xml:space="preserve"> </w:t>
      </w:r>
      <w:r>
        <w:t>like</w:t>
      </w:r>
      <w:r>
        <w:rPr>
          <w:spacing w:val="-1"/>
        </w:rPr>
        <w:t xml:space="preserve"> </w:t>
      </w:r>
      <w:r>
        <w:t>the</w:t>
      </w:r>
      <w:r>
        <w:rPr>
          <w:spacing w:val="-1"/>
        </w:rPr>
        <w:t xml:space="preserve"> </w:t>
      </w:r>
      <w:r>
        <w:t>AA</w:t>
      </w:r>
      <w:r>
        <w:rPr>
          <w:spacing w:val="-2"/>
        </w:rPr>
        <w:t xml:space="preserve"> </w:t>
      </w:r>
      <w:r>
        <w:t>slogan</w:t>
      </w:r>
      <w:r>
        <w:rPr>
          <w:spacing w:val="-5"/>
        </w:rPr>
        <w:t xml:space="preserve"> </w:t>
      </w:r>
      <w:r>
        <w:t>“One</w:t>
      </w:r>
      <w:r>
        <w:rPr>
          <w:spacing w:val="-2"/>
        </w:rPr>
        <w:t xml:space="preserve"> </w:t>
      </w:r>
      <w:r>
        <w:t>day</w:t>
      </w:r>
      <w:r>
        <w:rPr>
          <w:spacing w:val="-1"/>
        </w:rPr>
        <w:t xml:space="preserve"> </w:t>
      </w:r>
      <w:r>
        <w:t>at</w:t>
      </w:r>
      <w:r>
        <w:rPr>
          <w:spacing w:val="-1"/>
        </w:rPr>
        <w:t xml:space="preserve"> </w:t>
      </w:r>
      <w:r>
        <w:t>a</w:t>
      </w:r>
      <w:r>
        <w:rPr>
          <w:spacing w:val="-4"/>
        </w:rPr>
        <w:t xml:space="preserve"> </w:t>
      </w:r>
      <w:r>
        <w:t>time”</w:t>
      </w:r>
      <w:r>
        <w:rPr>
          <w:spacing w:val="-3"/>
        </w:rPr>
        <w:t xml:space="preserve"> </w:t>
      </w:r>
      <w:r>
        <w:t>or</w:t>
      </w:r>
      <w:r>
        <w:rPr>
          <w:spacing w:val="-5"/>
        </w:rPr>
        <w:t xml:space="preserve"> </w:t>
      </w:r>
      <w:r>
        <w:t>“Keep</w:t>
      </w:r>
      <w:r>
        <w:rPr>
          <w:spacing w:val="-5"/>
        </w:rPr>
        <w:t xml:space="preserve"> </w:t>
      </w:r>
      <w:r>
        <w:t>it</w:t>
      </w:r>
      <w:r>
        <w:rPr>
          <w:spacing w:val="-4"/>
        </w:rPr>
        <w:t xml:space="preserve"> </w:t>
      </w:r>
      <w:r>
        <w:t>simple”</w:t>
      </w:r>
      <w:r>
        <w:rPr>
          <w:spacing w:val="-3"/>
        </w:rPr>
        <w:t xml:space="preserve"> </w:t>
      </w:r>
      <w:r>
        <w:t>to</w:t>
      </w:r>
      <w:r>
        <w:rPr>
          <w:spacing w:val="-1"/>
        </w:rPr>
        <w:t xml:space="preserve"> </w:t>
      </w:r>
      <w:r>
        <w:t>break down an overwhelming task into smaller changes that may be more manageable.</w:t>
      </w:r>
    </w:p>
    <w:p w14:paraId="0109DAFC" w14:textId="77777777" w:rsidR="00DB6E1F" w:rsidRDefault="00F666A6">
      <w:pPr>
        <w:pStyle w:val="ListParagraph"/>
        <w:numPr>
          <w:ilvl w:val="0"/>
          <w:numId w:val="92"/>
        </w:numPr>
        <w:tabs>
          <w:tab w:val="left" w:pos="1799"/>
          <w:tab w:val="left" w:pos="1800"/>
        </w:tabs>
        <w:spacing w:before="59"/>
        <w:ind w:left="1799"/>
        <w:rPr>
          <w:rFonts w:ascii="Symbol" w:hAnsi="Symbol"/>
        </w:rPr>
      </w:pPr>
      <w:r>
        <w:t>Educating</w:t>
      </w:r>
      <w:r>
        <w:rPr>
          <w:spacing w:val="-7"/>
        </w:rPr>
        <w:t xml:space="preserve"> </w:t>
      </w:r>
      <w:r>
        <w:t>clients</w:t>
      </w:r>
      <w:r>
        <w:rPr>
          <w:spacing w:val="-5"/>
        </w:rPr>
        <w:t xml:space="preserve"> </w:t>
      </w:r>
      <w:r>
        <w:t>about</w:t>
      </w:r>
      <w:r>
        <w:rPr>
          <w:spacing w:val="-5"/>
        </w:rPr>
        <w:t xml:space="preserve"> </w:t>
      </w:r>
      <w:r>
        <w:t>the</w:t>
      </w:r>
      <w:r>
        <w:rPr>
          <w:spacing w:val="-5"/>
        </w:rPr>
        <w:t xml:space="preserve"> </w:t>
      </w:r>
      <w:r>
        <w:t>biology</w:t>
      </w:r>
      <w:r>
        <w:rPr>
          <w:spacing w:val="-4"/>
        </w:rPr>
        <w:t xml:space="preserve"> </w:t>
      </w:r>
      <w:r>
        <w:t>of</w:t>
      </w:r>
      <w:r>
        <w:rPr>
          <w:spacing w:val="-3"/>
        </w:rPr>
        <w:t xml:space="preserve"> </w:t>
      </w:r>
      <w:r>
        <w:t>addiction</w:t>
      </w:r>
      <w:r>
        <w:rPr>
          <w:spacing w:val="-4"/>
        </w:rPr>
        <w:t xml:space="preserve"> </w:t>
      </w:r>
      <w:r>
        <w:t>and</w:t>
      </w:r>
      <w:r>
        <w:rPr>
          <w:spacing w:val="-4"/>
        </w:rPr>
        <w:t xml:space="preserve"> </w:t>
      </w:r>
      <w:r>
        <w:t>the</w:t>
      </w:r>
      <w:r>
        <w:rPr>
          <w:spacing w:val="-2"/>
        </w:rPr>
        <w:t xml:space="preserve"> </w:t>
      </w:r>
      <w:r>
        <w:t>medical</w:t>
      </w:r>
      <w:r>
        <w:rPr>
          <w:spacing w:val="-6"/>
        </w:rPr>
        <w:t xml:space="preserve"> </w:t>
      </w:r>
      <w:r>
        <w:t>effects</w:t>
      </w:r>
      <w:r>
        <w:rPr>
          <w:spacing w:val="-5"/>
        </w:rPr>
        <w:t xml:space="preserve"> </w:t>
      </w:r>
      <w:r>
        <w:t>of</w:t>
      </w:r>
      <w:r>
        <w:rPr>
          <w:spacing w:val="-3"/>
        </w:rPr>
        <w:t xml:space="preserve"> </w:t>
      </w:r>
      <w:r>
        <w:t>substance</w:t>
      </w:r>
      <w:r>
        <w:rPr>
          <w:spacing w:val="-2"/>
        </w:rPr>
        <w:t xml:space="preserve"> </w:t>
      </w:r>
      <w:r>
        <w:t>use</w:t>
      </w:r>
      <w:r>
        <w:rPr>
          <w:spacing w:val="-5"/>
        </w:rPr>
        <w:t xml:space="preserve"> </w:t>
      </w:r>
      <w:r>
        <w:t>to</w:t>
      </w:r>
      <w:r>
        <w:rPr>
          <w:spacing w:val="-4"/>
        </w:rPr>
        <w:t xml:space="preserve"> </w:t>
      </w:r>
      <w:r>
        <w:rPr>
          <w:spacing w:val="-2"/>
        </w:rPr>
        <w:t>alleviate</w:t>
      </w:r>
    </w:p>
    <w:p w14:paraId="7222B6E2" w14:textId="77777777" w:rsidR="00DB6E1F" w:rsidRDefault="00DB6E1F">
      <w:pPr>
        <w:rPr>
          <w:rFonts w:ascii="Symbol" w:hAnsi="Symbol"/>
        </w:rPr>
        <w:sectPr w:rsidR="00DB6E1F">
          <w:pgSz w:w="12240" w:h="15840"/>
          <w:pgMar w:top="1200" w:right="0" w:bottom="780" w:left="0" w:header="763" w:footer="585" w:gutter="0"/>
          <w:cols w:space="720"/>
        </w:sectPr>
      </w:pPr>
    </w:p>
    <w:p w14:paraId="38CEE4EE" w14:textId="77777777" w:rsidR="00DB6E1F" w:rsidRDefault="00DB6E1F">
      <w:pPr>
        <w:pStyle w:val="BodyText"/>
        <w:spacing w:before="8"/>
        <w:rPr>
          <w:sz w:val="14"/>
        </w:rPr>
      </w:pPr>
    </w:p>
    <w:p w14:paraId="743141F8" w14:textId="77777777" w:rsidR="00DB6E1F" w:rsidRDefault="00F666A6">
      <w:pPr>
        <w:pStyle w:val="BodyText"/>
        <w:spacing w:before="56"/>
        <w:ind w:left="1800"/>
      </w:pPr>
      <w:r>
        <w:t>shame</w:t>
      </w:r>
      <w:r>
        <w:rPr>
          <w:spacing w:val="-6"/>
        </w:rPr>
        <w:t xml:space="preserve"> </w:t>
      </w:r>
      <w:r>
        <w:t>and</w:t>
      </w:r>
      <w:r>
        <w:rPr>
          <w:spacing w:val="-4"/>
        </w:rPr>
        <w:t xml:space="preserve"> </w:t>
      </w:r>
      <w:r>
        <w:t>instill</w:t>
      </w:r>
      <w:r>
        <w:rPr>
          <w:spacing w:val="-3"/>
        </w:rPr>
        <w:t xml:space="preserve"> </w:t>
      </w:r>
      <w:r>
        <w:t>hope</w:t>
      </w:r>
      <w:r>
        <w:rPr>
          <w:spacing w:val="-2"/>
        </w:rPr>
        <w:t xml:space="preserve"> </w:t>
      </w:r>
      <w:r>
        <w:t>that</w:t>
      </w:r>
      <w:r>
        <w:rPr>
          <w:spacing w:val="-5"/>
        </w:rPr>
        <w:t xml:space="preserve"> </w:t>
      </w:r>
      <w:r>
        <w:t>recovery</w:t>
      </w:r>
      <w:r>
        <w:rPr>
          <w:spacing w:val="-3"/>
        </w:rPr>
        <w:t xml:space="preserve"> </w:t>
      </w:r>
      <w:r>
        <w:t>is</w:t>
      </w:r>
      <w:r>
        <w:rPr>
          <w:spacing w:val="-3"/>
        </w:rPr>
        <w:t xml:space="preserve"> </w:t>
      </w:r>
      <w:r>
        <w:rPr>
          <w:spacing w:val="-2"/>
        </w:rPr>
        <w:t>possible.</w:t>
      </w:r>
    </w:p>
    <w:p w14:paraId="20BCBA30" w14:textId="77777777" w:rsidR="00DB6E1F" w:rsidRDefault="00F666A6">
      <w:pPr>
        <w:pStyle w:val="BodyText"/>
        <w:spacing w:before="159"/>
        <w:ind w:left="1439" w:right="1555"/>
      </w:pPr>
      <w:r>
        <w:t>Engagi</w:t>
      </w:r>
      <w:r>
        <w:t>ng, focusing, and evoking set the stage for mobilizing action to change. During these MI processes,</w:t>
      </w:r>
      <w:r>
        <w:rPr>
          <w:spacing w:val="-4"/>
        </w:rPr>
        <w:t xml:space="preserve"> </w:t>
      </w:r>
      <w:r>
        <w:t>your</w:t>
      </w:r>
      <w:r>
        <w:rPr>
          <w:spacing w:val="-2"/>
        </w:rPr>
        <w:t xml:space="preserve"> </w:t>
      </w:r>
      <w:r>
        <w:t>task</w:t>
      </w:r>
      <w:r>
        <w:rPr>
          <w:spacing w:val="-1"/>
        </w:rPr>
        <w:t xml:space="preserve"> </w:t>
      </w:r>
      <w:r>
        <w:t>is</w:t>
      </w:r>
      <w:r>
        <w:rPr>
          <w:spacing w:val="-2"/>
        </w:rPr>
        <w:t xml:space="preserve"> </w:t>
      </w:r>
      <w:r>
        <w:t>to</w:t>
      </w:r>
      <w:r>
        <w:rPr>
          <w:spacing w:val="-3"/>
        </w:rPr>
        <w:t xml:space="preserve"> </w:t>
      </w:r>
      <w:r>
        <w:t>evoke</w:t>
      </w:r>
      <w:r>
        <w:rPr>
          <w:spacing w:val="-4"/>
        </w:rPr>
        <w:t xml:space="preserve"> </w:t>
      </w:r>
      <w:r>
        <w:t>DARN</w:t>
      </w:r>
      <w:r>
        <w:rPr>
          <w:spacing w:val="-3"/>
        </w:rPr>
        <w:t xml:space="preserve"> </w:t>
      </w:r>
      <w:r>
        <w:t>change</w:t>
      </w:r>
      <w:r>
        <w:rPr>
          <w:spacing w:val="-4"/>
        </w:rPr>
        <w:t xml:space="preserve"> </w:t>
      </w:r>
      <w:r>
        <w:t>talk.</w:t>
      </w:r>
      <w:r>
        <w:rPr>
          <w:spacing w:val="-5"/>
        </w:rPr>
        <w:t xml:space="preserve"> </w:t>
      </w:r>
      <w:r>
        <w:t>This</w:t>
      </w:r>
      <w:r>
        <w:rPr>
          <w:spacing w:val="-2"/>
        </w:rPr>
        <w:t xml:space="preserve"> </w:t>
      </w:r>
      <w:r>
        <w:t>moves</w:t>
      </w:r>
      <w:r>
        <w:rPr>
          <w:spacing w:val="-4"/>
        </w:rPr>
        <w:t xml:space="preserve"> </w:t>
      </w:r>
      <w:r>
        <w:t>the</w:t>
      </w:r>
      <w:r>
        <w:rPr>
          <w:spacing w:val="-1"/>
        </w:rPr>
        <w:t xml:space="preserve"> </w:t>
      </w:r>
      <w:r>
        <w:t>client</w:t>
      </w:r>
      <w:r>
        <w:rPr>
          <w:spacing w:val="-1"/>
        </w:rPr>
        <w:t xml:space="preserve"> </w:t>
      </w:r>
      <w:r>
        <w:t>along</w:t>
      </w:r>
      <w:r>
        <w:rPr>
          <w:spacing w:val="-3"/>
        </w:rPr>
        <w:t xml:space="preserve"> </w:t>
      </w:r>
      <w:r>
        <w:t>toward</w:t>
      </w:r>
      <w:r>
        <w:rPr>
          <w:spacing w:val="-3"/>
        </w:rPr>
        <w:t xml:space="preserve"> </w:t>
      </w:r>
      <w:r>
        <w:t>taking</w:t>
      </w:r>
      <w:r>
        <w:rPr>
          <w:spacing w:val="-3"/>
        </w:rPr>
        <w:t xml:space="preserve"> </w:t>
      </w:r>
      <w:r>
        <w:t>action</w:t>
      </w:r>
      <w:r>
        <w:rPr>
          <w:spacing w:val="-3"/>
        </w:rPr>
        <w:t xml:space="preserve"> </w:t>
      </w:r>
      <w:r>
        <w:t>to change substance use behaviors. At this point, your task is to evoke and respond to CAT change talk.</w:t>
      </w:r>
    </w:p>
    <w:p w14:paraId="033F76EB" w14:textId="77777777" w:rsidR="00DB6E1F" w:rsidRDefault="00DB6E1F">
      <w:pPr>
        <w:pStyle w:val="BodyText"/>
        <w:spacing w:before="7"/>
        <w:rPr>
          <w:sz w:val="16"/>
        </w:rPr>
      </w:pPr>
    </w:p>
    <w:p w14:paraId="34C1C0AE" w14:textId="77777777" w:rsidR="00DB6E1F" w:rsidRDefault="00F666A6">
      <w:pPr>
        <w:pStyle w:val="Heading4"/>
      </w:pPr>
      <w:bookmarkStart w:id="114" w:name="Recognizing_signs_of_readiness_to_change"/>
      <w:bookmarkEnd w:id="114"/>
      <w:r>
        <w:t>Recognizing</w:t>
      </w:r>
      <w:r>
        <w:rPr>
          <w:spacing w:val="-9"/>
        </w:rPr>
        <w:t xml:space="preserve"> </w:t>
      </w:r>
      <w:r>
        <w:t>signs</w:t>
      </w:r>
      <w:r>
        <w:rPr>
          <w:spacing w:val="-7"/>
        </w:rPr>
        <w:t xml:space="preserve"> </w:t>
      </w:r>
      <w:r>
        <w:t>of</w:t>
      </w:r>
      <w:r>
        <w:rPr>
          <w:spacing w:val="-8"/>
        </w:rPr>
        <w:t xml:space="preserve"> </w:t>
      </w:r>
      <w:r>
        <w:t>readiness</w:t>
      </w:r>
      <w:r>
        <w:rPr>
          <w:spacing w:val="-7"/>
        </w:rPr>
        <w:t xml:space="preserve"> </w:t>
      </w:r>
      <w:r>
        <w:t>to</w:t>
      </w:r>
      <w:r>
        <w:rPr>
          <w:spacing w:val="-6"/>
        </w:rPr>
        <w:t xml:space="preserve"> </w:t>
      </w:r>
      <w:r>
        <w:rPr>
          <w:spacing w:val="-2"/>
        </w:rPr>
        <w:t>change</w:t>
      </w:r>
    </w:p>
    <w:p w14:paraId="0809AC9B" w14:textId="77777777" w:rsidR="00DB6E1F" w:rsidRDefault="00F666A6">
      <w:pPr>
        <w:pStyle w:val="BodyText"/>
        <w:spacing w:before="83"/>
        <w:ind w:left="1440" w:right="1491"/>
      </w:pPr>
      <w:r>
        <w:t>As</w:t>
      </w:r>
      <w:r>
        <w:rPr>
          <w:spacing w:val="-1"/>
        </w:rPr>
        <w:t xml:space="preserve"> </w:t>
      </w:r>
      <w:r>
        <w:t>you</w:t>
      </w:r>
      <w:r>
        <w:rPr>
          <w:spacing w:val="-2"/>
        </w:rPr>
        <w:t xml:space="preserve"> </w:t>
      </w:r>
      <w:r>
        <w:t>evoke and</w:t>
      </w:r>
      <w:r>
        <w:rPr>
          <w:spacing w:val="-2"/>
        </w:rPr>
        <w:t xml:space="preserve"> </w:t>
      </w:r>
      <w:r>
        <w:t>respond</w:t>
      </w:r>
      <w:r>
        <w:rPr>
          <w:spacing w:val="-4"/>
        </w:rPr>
        <w:t xml:space="preserve"> </w:t>
      </w:r>
      <w:r>
        <w:t>to</w:t>
      </w:r>
      <w:r>
        <w:rPr>
          <w:spacing w:val="-3"/>
        </w:rPr>
        <w:t xml:space="preserve"> </w:t>
      </w:r>
      <w:r>
        <w:t>DARN</w:t>
      </w:r>
      <w:r>
        <w:rPr>
          <w:spacing w:val="-1"/>
        </w:rPr>
        <w:t xml:space="preserve"> </w:t>
      </w:r>
      <w:r>
        <w:t>change</w:t>
      </w:r>
      <w:r>
        <w:rPr>
          <w:spacing w:val="-3"/>
        </w:rPr>
        <w:t xml:space="preserve"> </w:t>
      </w:r>
      <w:r>
        <w:t>talk,</w:t>
      </w:r>
      <w:r>
        <w:rPr>
          <w:spacing w:val="-3"/>
        </w:rPr>
        <w:t xml:space="preserve"> </w:t>
      </w:r>
      <w:r>
        <w:t>you</w:t>
      </w:r>
      <w:r>
        <w:rPr>
          <w:spacing w:val="-4"/>
        </w:rPr>
        <w:t xml:space="preserve"> </w:t>
      </w:r>
      <w:r>
        <w:t>will</w:t>
      </w:r>
      <w:r>
        <w:rPr>
          <w:spacing w:val="-1"/>
        </w:rPr>
        <w:t xml:space="preserve"> </w:t>
      </w:r>
      <w:r>
        <w:t>begin</w:t>
      </w:r>
      <w:r>
        <w:rPr>
          <w:spacing w:val="-2"/>
        </w:rPr>
        <w:t xml:space="preserve"> </w:t>
      </w:r>
      <w:r>
        <w:t>to</w:t>
      </w:r>
      <w:r>
        <w:rPr>
          <w:spacing w:val="-2"/>
        </w:rPr>
        <w:t xml:space="preserve"> </w:t>
      </w:r>
      <w:r>
        <w:t>observe</w:t>
      </w:r>
      <w:r>
        <w:rPr>
          <w:spacing w:val="-3"/>
        </w:rPr>
        <w:t xml:space="preserve"> </w:t>
      </w:r>
      <w:r>
        <w:t>these</w:t>
      </w:r>
      <w:r>
        <w:rPr>
          <w:spacing w:val="-5"/>
        </w:rPr>
        <w:t xml:space="preserve"> </w:t>
      </w:r>
      <w:r>
        <w:t>signs</w:t>
      </w:r>
      <w:r>
        <w:rPr>
          <w:spacing w:val="-1"/>
        </w:rPr>
        <w:t xml:space="preserve"> </w:t>
      </w:r>
      <w:r>
        <w:t>of</w:t>
      </w:r>
      <w:r>
        <w:rPr>
          <w:spacing w:val="-1"/>
        </w:rPr>
        <w:t xml:space="preserve"> </w:t>
      </w:r>
      <w:r>
        <w:t>readiness</w:t>
      </w:r>
      <w:r>
        <w:rPr>
          <w:spacing w:val="-3"/>
        </w:rPr>
        <w:t xml:space="preserve"> </w:t>
      </w:r>
      <w:r>
        <w:t xml:space="preserve">to change in </w:t>
      </w:r>
      <w:r>
        <w:t>the client’s statements (Miller &amp; Rollnick, 2013):</w:t>
      </w:r>
    </w:p>
    <w:p w14:paraId="762F752C" w14:textId="77777777" w:rsidR="00DB6E1F" w:rsidRDefault="00F666A6">
      <w:pPr>
        <w:pStyle w:val="ListParagraph"/>
        <w:numPr>
          <w:ilvl w:val="0"/>
          <w:numId w:val="92"/>
        </w:numPr>
        <w:tabs>
          <w:tab w:val="left" w:pos="1800"/>
          <w:tab w:val="left" w:pos="1801"/>
        </w:tabs>
        <w:spacing w:before="61"/>
        <w:ind w:left="1799" w:right="1860" w:hanging="360"/>
        <w:rPr>
          <w:rFonts w:ascii="Symbol" w:hAnsi="Symbol"/>
        </w:rPr>
      </w:pPr>
      <w:r>
        <w:rPr>
          <w:b/>
        </w:rPr>
        <w:t xml:space="preserve">Increased change talk: </w:t>
      </w:r>
      <w:r>
        <w:t>As DARN change talk increases, commitment and activation change talk begin</w:t>
      </w:r>
      <w:r>
        <w:rPr>
          <w:spacing w:val="-3"/>
        </w:rPr>
        <w:t xml:space="preserve"> </w:t>
      </w:r>
      <w:r>
        <w:t>to be</w:t>
      </w:r>
      <w:r>
        <w:rPr>
          <w:spacing w:val="-2"/>
        </w:rPr>
        <w:t xml:space="preserve"> </w:t>
      </w:r>
      <w:r>
        <w:t>expressed.</w:t>
      </w:r>
      <w:r>
        <w:rPr>
          <w:spacing w:val="-5"/>
        </w:rPr>
        <w:t xml:space="preserve"> </w:t>
      </w:r>
      <w:r>
        <w:t>The</w:t>
      </w:r>
      <w:r>
        <w:rPr>
          <w:spacing w:val="-4"/>
        </w:rPr>
        <w:t xml:space="preserve"> </w:t>
      </w:r>
      <w:r>
        <w:t>client</w:t>
      </w:r>
      <w:r>
        <w:rPr>
          <w:spacing w:val="-4"/>
        </w:rPr>
        <w:t xml:space="preserve"> </w:t>
      </w:r>
      <w:r>
        <w:t>may</w:t>
      </w:r>
      <w:r>
        <w:rPr>
          <w:spacing w:val="-3"/>
        </w:rPr>
        <w:t xml:space="preserve"> </w:t>
      </w:r>
      <w:r>
        <w:t>show</w:t>
      </w:r>
      <w:r>
        <w:rPr>
          <w:spacing w:val="-4"/>
        </w:rPr>
        <w:t xml:space="preserve"> </w:t>
      </w:r>
      <w:r>
        <w:t>optimism</w:t>
      </w:r>
      <w:r>
        <w:rPr>
          <w:spacing w:val="-6"/>
        </w:rPr>
        <w:t xml:space="preserve"> </w:t>
      </w:r>
      <w:r>
        <w:t>about</w:t>
      </w:r>
      <w:r>
        <w:rPr>
          <w:spacing w:val="-1"/>
        </w:rPr>
        <w:t xml:space="preserve"> </w:t>
      </w:r>
      <w:r>
        <w:t>change</w:t>
      </w:r>
      <w:r>
        <w:rPr>
          <w:spacing w:val="-4"/>
        </w:rPr>
        <w:t xml:space="preserve"> </w:t>
      </w:r>
      <w:r>
        <w:t>and</w:t>
      </w:r>
      <w:r>
        <w:rPr>
          <w:spacing w:val="-3"/>
        </w:rPr>
        <w:t xml:space="preserve"> </w:t>
      </w:r>
      <w:r>
        <w:t>an</w:t>
      </w:r>
      <w:r>
        <w:rPr>
          <w:spacing w:val="-3"/>
        </w:rPr>
        <w:t xml:space="preserve"> </w:t>
      </w:r>
      <w:r>
        <w:t>intention</w:t>
      </w:r>
      <w:r>
        <w:rPr>
          <w:spacing w:val="-3"/>
        </w:rPr>
        <w:t xml:space="preserve"> </w:t>
      </w:r>
      <w:r>
        <w:t>to</w:t>
      </w:r>
      <w:r>
        <w:rPr>
          <w:spacing w:val="-1"/>
        </w:rPr>
        <w:t xml:space="preserve"> </w:t>
      </w:r>
      <w:r>
        <w:t>change.</w:t>
      </w:r>
    </w:p>
    <w:p w14:paraId="15AF0209" w14:textId="77777777" w:rsidR="00DB6E1F" w:rsidRDefault="00F666A6">
      <w:pPr>
        <w:pStyle w:val="ListParagraph"/>
        <w:numPr>
          <w:ilvl w:val="0"/>
          <w:numId w:val="92"/>
        </w:numPr>
        <w:tabs>
          <w:tab w:val="left" w:pos="1799"/>
          <w:tab w:val="left" w:pos="1800"/>
        </w:tabs>
        <w:ind w:left="1799" w:right="2337"/>
        <w:rPr>
          <w:rFonts w:ascii="Symbol" w:hAnsi="Symbol"/>
        </w:rPr>
      </w:pPr>
      <w:r>
        <w:rPr>
          <w:b/>
        </w:rPr>
        <w:t>Decreased</w:t>
      </w:r>
      <w:r>
        <w:rPr>
          <w:b/>
          <w:spacing w:val="-4"/>
        </w:rPr>
        <w:t xml:space="preserve"> </w:t>
      </w:r>
      <w:r>
        <w:rPr>
          <w:b/>
        </w:rPr>
        <w:t>sustain</w:t>
      </w:r>
      <w:r>
        <w:rPr>
          <w:b/>
          <w:spacing w:val="-4"/>
        </w:rPr>
        <w:t xml:space="preserve"> </w:t>
      </w:r>
      <w:r>
        <w:rPr>
          <w:b/>
        </w:rPr>
        <w:t>talk:</w:t>
      </w:r>
      <w:r>
        <w:rPr>
          <w:b/>
          <w:spacing w:val="-4"/>
        </w:rPr>
        <w:t xml:space="preserve"> </w:t>
      </w:r>
      <w:r>
        <w:t>As</w:t>
      </w:r>
      <w:r>
        <w:rPr>
          <w:spacing w:val="-5"/>
        </w:rPr>
        <w:t xml:space="preserve"> </w:t>
      </w:r>
      <w:r>
        <w:t>change</w:t>
      </w:r>
      <w:r>
        <w:rPr>
          <w:spacing w:val="-2"/>
        </w:rPr>
        <w:t xml:space="preserve"> </w:t>
      </w:r>
      <w:r>
        <w:t>talk</w:t>
      </w:r>
      <w:r>
        <w:rPr>
          <w:spacing w:val="-2"/>
        </w:rPr>
        <w:t xml:space="preserve"> </w:t>
      </w:r>
      <w:r>
        <w:t>increases,</w:t>
      </w:r>
      <w:r>
        <w:rPr>
          <w:spacing w:val="-3"/>
        </w:rPr>
        <w:t xml:space="preserve"> </w:t>
      </w:r>
      <w:r>
        <w:t>sustain</w:t>
      </w:r>
      <w:r>
        <w:rPr>
          <w:spacing w:val="-4"/>
        </w:rPr>
        <w:t xml:space="preserve"> </w:t>
      </w:r>
      <w:r>
        <w:t>talk</w:t>
      </w:r>
      <w:r>
        <w:rPr>
          <w:spacing w:val="-2"/>
        </w:rPr>
        <w:t xml:space="preserve"> </w:t>
      </w:r>
      <w:r>
        <w:t>decreases.</w:t>
      </w:r>
      <w:r>
        <w:rPr>
          <w:spacing w:val="-3"/>
        </w:rPr>
        <w:t xml:space="preserve"> </w:t>
      </w:r>
      <w:r>
        <w:t>When</w:t>
      </w:r>
      <w:r>
        <w:rPr>
          <w:spacing w:val="-4"/>
        </w:rPr>
        <w:t xml:space="preserve"> </w:t>
      </w:r>
      <w:r>
        <w:t>change</w:t>
      </w:r>
      <w:r>
        <w:rPr>
          <w:spacing w:val="-2"/>
        </w:rPr>
        <w:t xml:space="preserve"> </w:t>
      </w:r>
      <w:r>
        <w:t>talk overtakes sustain talk, it is a sign that the client is moving toward change.</w:t>
      </w:r>
    </w:p>
    <w:p w14:paraId="75EDE038" w14:textId="77777777" w:rsidR="00DB6E1F" w:rsidRDefault="00F666A6">
      <w:pPr>
        <w:pStyle w:val="ListParagraph"/>
        <w:numPr>
          <w:ilvl w:val="0"/>
          <w:numId w:val="92"/>
        </w:numPr>
        <w:tabs>
          <w:tab w:val="left" w:pos="1799"/>
          <w:tab w:val="left" w:pos="1800"/>
        </w:tabs>
        <w:spacing w:before="59"/>
        <w:ind w:left="1799" w:right="1848" w:hanging="360"/>
        <w:rPr>
          <w:rFonts w:ascii="Symbol" w:hAnsi="Symbol"/>
        </w:rPr>
      </w:pPr>
      <w:r>
        <w:rPr>
          <w:b/>
        </w:rPr>
        <w:t>Resolve:</w:t>
      </w:r>
      <w:r>
        <w:rPr>
          <w:b/>
          <w:spacing w:val="-5"/>
        </w:rPr>
        <w:t xml:space="preserve"> </w:t>
      </w:r>
      <w:r>
        <w:t>The</w:t>
      </w:r>
      <w:r>
        <w:rPr>
          <w:spacing w:val="-1"/>
        </w:rPr>
        <w:t xml:space="preserve"> </w:t>
      </w:r>
      <w:r>
        <w:t>client</w:t>
      </w:r>
      <w:r>
        <w:rPr>
          <w:spacing w:val="-2"/>
        </w:rPr>
        <w:t xml:space="preserve"> </w:t>
      </w:r>
      <w:r>
        <w:t>seems</w:t>
      </w:r>
      <w:r>
        <w:rPr>
          <w:spacing w:val="-4"/>
        </w:rPr>
        <w:t xml:space="preserve"> </w:t>
      </w:r>
      <w:r>
        <w:t>more</w:t>
      </w:r>
      <w:r>
        <w:rPr>
          <w:spacing w:val="-1"/>
        </w:rPr>
        <w:t xml:space="preserve"> </w:t>
      </w:r>
      <w:r>
        <w:t>relaxed.</w:t>
      </w:r>
      <w:r>
        <w:rPr>
          <w:spacing w:val="-5"/>
        </w:rPr>
        <w:t xml:space="preserve"> </w:t>
      </w:r>
      <w:r>
        <w:t>The</w:t>
      </w:r>
      <w:r>
        <w:rPr>
          <w:spacing w:val="-1"/>
        </w:rPr>
        <w:t xml:space="preserve"> </w:t>
      </w:r>
      <w:r>
        <w:t>client</w:t>
      </w:r>
      <w:r>
        <w:rPr>
          <w:spacing w:val="-1"/>
        </w:rPr>
        <w:t xml:space="preserve"> </w:t>
      </w:r>
      <w:r>
        <w:t>talks</w:t>
      </w:r>
      <w:r>
        <w:rPr>
          <w:spacing w:val="-2"/>
        </w:rPr>
        <w:t xml:space="preserve"> </w:t>
      </w:r>
      <w:r>
        <w:t>less</w:t>
      </w:r>
      <w:r>
        <w:rPr>
          <w:spacing w:val="-4"/>
        </w:rPr>
        <w:t xml:space="preserve"> </w:t>
      </w:r>
      <w:r>
        <w:t>about</w:t>
      </w:r>
      <w:r>
        <w:rPr>
          <w:spacing w:val="-4"/>
        </w:rPr>
        <w:t xml:space="preserve"> </w:t>
      </w:r>
      <w:r>
        <w:t>the</w:t>
      </w:r>
      <w:r>
        <w:rPr>
          <w:spacing w:val="-1"/>
        </w:rPr>
        <w:t xml:space="preserve"> </w:t>
      </w:r>
      <w:r>
        <w:t>problem,</w:t>
      </w:r>
      <w:r>
        <w:rPr>
          <w:spacing w:val="-4"/>
        </w:rPr>
        <w:t xml:space="preserve"> </w:t>
      </w:r>
      <w:r>
        <w:t>and</w:t>
      </w:r>
      <w:r>
        <w:rPr>
          <w:spacing w:val="-3"/>
        </w:rPr>
        <w:t xml:space="preserve"> </w:t>
      </w:r>
      <w:r>
        <w:t>sometimes expresses a sense of resolution.</w:t>
      </w:r>
    </w:p>
    <w:p w14:paraId="41BFB317" w14:textId="77777777" w:rsidR="00DB6E1F" w:rsidRDefault="00F666A6">
      <w:pPr>
        <w:pStyle w:val="ListParagraph"/>
        <w:numPr>
          <w:ilvl w:val="0"/>
          <w:numId w:val="92"/>
        </w:numPr>
        <w:tabs>
          <w:tab w:val="left" w:pos="1799"/>
          <w:tab w:val="left" w:pos="1800"/>
        </w:tabs>
        <w:ind w:left="1799" w:right="1585"/>
        <w:rPr>
          <w:rFonts w:ascii="Symbol" w:hAnsi="Symbol"/>
        </w:rPr>
      </w:pPr>
      <w:r>
        <w:rPr>
          <w:b/>
        </w:rPr>
        <w:t>Questions</w:t>
      </w:r>
      <w:r>
        <w:rPr>
          <w:b/>
          <w:spacing w:val="-1"/>
        </w:rPr>
        <w:t xml:space="preserve"> </w:t>
      </w:r>
      <w:r>
        <w:rPr>
          <w:b/>
        </w:rPr>
        <w:t>about</w:t>
      </w:r>
      <w:r>
        <w:rPr>
          <w:b/>
          <w:spacing w:val="-2"/>
        </w:rPr>
        <w:t xml:space="preserve"> </w:t>
      </w:r>
      <w:r>
        <w:rPr>
          <w:b/>
        </w:rPr>
        <w:t>change:</w:t>
      </w:r>
      <w:r>
        <w:rPr>
          <w:b/>
          <w:spacing w:val="-3"/>
        </w:rPr>
        <w:t xml:space="preserve"> </w:t>
      </w:r>
      <w:r>
        <w:t>The</w:t>
      </w:r>
      <w:r>
        <w:rPr>
          <w:spacing w:val="-1"/>
        </w:rPr>
        <w:t xml:space="preserve"> </w:t>
      </w:r>
      <w:r>
        <w:t>client</w:t>
      </w:r>
      <w:r>
        <w:rPr>
          <w:spacing w:val="-4"/>
        </w:rPr>
        <w:t xml:space="preserve"> </w:t>
      </w:r>
      <w:r>
        <w:t>asks</w:t>
      </w:r>
      <w:r>
        <w:rPr>
          <w:spacing w:val="-4"/>
        </w:rPr>
        <w:t xml:space="preserve"> </w:t>
      </w:r>
      <w:r>
        <w:t>what</w:t>
      </w:r>
      <w:r>
        <w:rPr>
          <w:spacing w:val="-4"/>
        </w:rPr>
        <w:t xml:space="preserve"> </w:t>
      </w:r>
      <w:r>
        <w:t>to</w:t>
      </w:r>
      <w:r>
        <w:rPr>
          <w:spacing w:val="-3"/>
        </w:rPr>
        <w:t xml:space="preserve"> </w:t>
      </w:r>
      <w:r>
        <w:t>do</w:t>
      </w:r>
      <w:r>
        <w:rPr>
          <w:spacing w:val="-1"/>
        </w:rPr>
        <w:t xml:space="preserve"> </w:t>
      </w:r>
      <w:r>
        <w:t>about</w:t>
      </w:r>
      <w:r>
        <w:rPr>
          <w:spacing w:val="-2"/>
        </w:rPr>
        <w:t xml:space="preserve"> </w:t>
      </w:r>
      <w:r>
        <w:t>the</w:t>
      </w:r>
      <w:r>
        <w:rPr>
          <w:spacing w:val="-4"/>
        </w:rPr>
        <w:t xml:space="preserve"> </w:t>
      </w:r>
      <w:r>
        <w:t>problem,</w:t>
      </w:r>
      <w:r>
        <w:rPr>
          <w:spacing w:val="-4"/>
        </w:rPr>
        <w:t xml:space="preserve"> </w:t>
      </w:r>
      <w:r>
        <w:t>how</w:t>
      </w:r>
      <w:r>
        <w:rPr>
          <w:spacing w:val="-1"/>
        </w:rPr>
        <w:t xml:space="preserve"> </w:t>
      </w:r>
      <w:r>
        <w:t>people</w:t>
      </w:r>
      <w:r>
        <w:rPr>
          <w:spacing w:val="-1"/>
        </w:rPr>
        <w:t xml:space="preserve"> </w:t>
      </w:r>
      <w:r>
        <w:t>change</w:t>
      </w:r>
      <w:r>
        <w:rPr>
          <w:spacing w:val="-4"/>
        </w:rPr>
        <w:t xml:space="preserve"> </w:t>
      </w:r>
      <w:r>
        <w:t>if</w:t>
      </w:r>
      <w:r>
        <w:rPr>
          <w:spacing w:val="-2"/>
        </w:rPr>
        <w:t xml:space="preserve"> </w:t>
      </w:r>
      <w:r>
        <w:t>they want to, and so forth. For example: “What do people do to get off pain pills?”</w:t>
      </w:r>
    </w:p>
    <w:p w14:paraId="72463ED0" w14:textId="77777777" w:rsidR="00DB6E1F" w:rsidRDefault="00F666A6">
      <w:pPr>
        <w:pStyle w:val="ListParagraph"/>
        <w:numPr>
          <w:ilvl w:val="0"/>
          <w:numId w:val="92"/>
        </w:numPr>
        <w:tabs>
          <w:tab w:val="left" w:pos="1800"/>
        </w:tabs>
        <w:spacing w:before="61"/>
        <w:ind w:left="1799" w:right="1620" w:hanging="360"/>
        <w:jc w:val="both"/>
        <w:rPr>
          <w:rFonts w:ascii="Symbol" w:hAnsi="Symbol"/>
        </w:rPr>
      </w:pPr>
      <w:r>
        <w:rPr>
          <w:b/>
        </w:rPr>
        <w:t>Envisioning:</w:t>
      </w:r>
      <w:r>
        <w:rPr>
          <w:b/>
          <w:spacing w:val="-5"/>
        </w:rPr>
        <w:t xml:space="preserve"> </w:t>
      </w:r>
      <w:r>
        <w:t>The</w:t>
      </w:r>
      <w:r>
        <w:rPr>
          <w:spacing w:val="-4"/>
        </w:rPr>
        <w:t xml:space="preserve"> </w:t>
      </w:r>
      <w:r>
        <w:t>client</w:t>
      </w:r>
      <w:r>
        <w:rPr>
          <w:spacing w:val="-1"/>
        </w:rPr>
        <w:t xml:space="preserve"> </w:t>
      </w:r>
      <w:r>
        <w:t>begins</w:t>
      </w:r>
      <w:r>
        <w:rPr>
          <w:spacing w:val="-2"/>
        </w:rPr>
        <w:t xml:space="preserve"> </w:t>
      </w:r>
      <w:r>
        <w:t>to</w:t>
      </w:r>
      <w:r>
        <w:rPr>
          <w:spacing w:val="-3"/>
        </w:rPr>
        <w:t xml:space="preserve"> </w:t>
      </w:r>
      <w:r>
        <w:t>talk</w:t>
      </w:r>
      <w:r>
        <w:rPr>
          <w:spacing w:val="-4"/>
        </w:rPr>
        <w:t xml:space="preserve"> </w:t>
      </w:r>
      <w:r>
        <w:t>about</w:t>
      </w:r>
      <w:r>
        <w:rPr>
          <w:spacing w:val="-1"/>
        </w:rPr>
        <w:t xml:space="preserve"> </w:t>
      </w:r>
      <w:r>
        <w:t>life</w:t>
      </w:r>
      <w:r>
        <w:rPr>
          <w:spacing w:val="-1"/>
        </w:rPr>
        <w:t xml:space="preserve"> </w:t>
      </w:r>
      <w:r>
        <w:t>after</w:t>
      </w:r>
      <w:r>
        <w:rPr>
          <w:spacing w:val="-2"/>
        </w:rPr>
        <w:t xml:space="preserve"> </w:t>
      </w:r>
      <w:r>
        <w:t>a</w:t>
      </w:r>
      <w:r>
        <w:rPr>
          <w:spacing w:val="-4"/>
        </w:rPr>
        <w:t xml:space="preserve"> </w:t>
      </w:r>
      <w:r>
        <w:t>change,</w:t>
      </w:r>
      <w:r>
        <w:rPr>
          <w:spacing w:val="-2"/>
        </w:rPr>
        <w:t xml:space="preserve"> </w:t>
      </w:r>
      <w:r>
        <w:t>anticipate</w:t>
      </w:r>
      <w:r>
        <w:rPr>
          <w:spacing w:val="-1"/>
        </w:rPr>
        <w:t xml:space="preserve"> </w:t>
      </w:r>
      <w:r>
        <w:t>difficulties,</w:t>
      </w:r>
      <w:r>
        <w:rPr>
          <w:spacing w:val="-4"/>
        </w:rPr>
        <w:t xml:space="preserve"> </w:t>
      </w:r>
      <w:r>
        <w:t>or</w:t>
      </w:r>
      <w:r>
        <w:rPr>
          <w:spacing w:val="-2"/>
        </w:rPr>
        <w:t xml:space="preserve"> </w:t>
      </w:r>
      <w:r>
        <w:t>discuss</w:t>
      </w:r>
      <w:r>
        <w:rPr>
          <w:spacing w:val="-4"/>
        </w:rPr>
        <w:t xml:space="preserve"> </w:t>
      </w:r>
      <w:r>
        <w:t>the advantages</w:t>
      </w:r>
      <w:r>
        <w:rPr>
          <w:spacing w:val="-5"/>
        </w:rPr>
        <w:t xml:space="preserve"> </w:t>
      </w:r>
      <w:r>
        <w:t>of</w:t>
      </w:r>
      <w:r>
        <w:rPr>
          <w:spacing w:val="-6"/>
        </w:rPr>
        <w:t xml:space="preserve"> </w:t>
      </w:r>
      <w:r>
        <w:t>change.</w:t>
      </w:r>
      <w:r>
        <w:rPr>
          <w:spacing w:val="-3"/>
        </w:rPr>
        <w:t xml:space="preserve"> </w:t>
      </w:r>
      <w:r>
        <w:t>Envisioning</w:t>
      </w:r>
      <w:r>
        <w:rPr>
          <w:spacing w:val="-4"/>
        </w:rPr>
        <w:t xml:space="preserve"> </w:t>
      </w:r>
      <w:r>
        <w:t>requires</w:t>
      </w:r>
      <w:r>
        <w:rPr>
          <w:spacing w:val="-3"/>
        </w:rPr>
        <w:t xml:space="preserve"> </w:t>
      </w:r>
      <w:r>
        <w:t>imagining</w:t>
      </w:r>
      <w:r>
        <w:rPr>
          <w:spacing w:val="-6"/>
        </w:rPr>
        <w:t xml:space="preserve"> </w:t>
      </w:r>
      <w:r>
        <w:t>something</w:t>
      </w:r>
      <w:r>
        <w:rPr>
          <w:spacing w:val="-4"/>
        </w:rPr>
        <w:t xml:space="preserve"> </w:t>
      </w:r>
      <w:r>
        <w:t>different—not</w:t>
      </w:r>
      <w:r>
        <w:rPr>
          <w:spacing w:val="-3"/>
        </w:rPr>
        <w:t xml:space="preserve"> </w:t>
      </w:r>
      <w:r>
        <w:t>necessarily</w:t>
      </w:r>
      <w:r>
        <w:rPr>
          <w:spacing w:val="-2"/>
        </w:rPr>
        <w:t xml:space="preserve"> </w:t>
      </w:r>
      <w:r>
        <w:t>how</w:t>
      </w:r>
      <w:r>
        <w:rPr>
          <w:spacing w:val="-5"/>
        </w:rPr>
        <w:t xml:space="preserve"> </w:t>
      </w:r>
      <w:r>
        <w:t>to get to that something different, but simply imagining how things could be different.</w:t>
      </w:r>
    </w:p>
    <w:p w14:paraId="0BE49A04" w14:textId="77777777" w:rsidR="00DB6E1F" w:rsidRDefault="00F666A6">
      <w:pPr>
        <w:pStyle w:val="ListParagraph"/>
        <w:numPr>
          <w:ilvl w:val="0"/>
          <w:numId w:val="92"/>
        </w:numPr>
        <w:tabs>
          <w:tab w:val="left" w:pos="1799"/>
          <w:tab w:val="left" w:pos="1800"/>
        </w:tabs>
        <w:spacing w:before="58"/>
        <w:ind w:left="1799" w:right="1649"/>
        <w:rPr>
          <w:rFonts w:ascii="Symbol" w:hAnsi="Symbol"/>
        </w:rPr>
      </w:pPr>
      <w:r>
        <w:rPr>
          <w:b/>
        </w:rPr>
        <w:t>Taking</w:t>
      </w:r>
      <w:r>
        <w:rPr>
          <w:b/>
          <w:spacing w:val="-3"/>
        </w:rPr>
        <w:t xml:space="preserve"> </w:t>
      </w:r>
      <w:r>
        <w:rPr>
          <w:b/>
        </w:rPr>
        <w:t>steps:</w:t>
      </w:r>
      <w:r>
        <w:rPr>
          <w:b/>
          <w:spacing w:val="-3"/>
        </w:rPr>
        <w:t xml:space="preserve"> </w:t>
      </w:r>
      <w:r>
        <w:t>The</w:t>
      </w:r>
      <w:r>
        <w:rPr>
          <w:spacing w:val="-1"/>
        </w:rPr>
        <w:t xml:space="preserve"> </w:t>
      </w:r>
      <w:r>
        <w:t>client</w:t>
      </w:r>
      <w:r>
        <w:rPr>
          <w:spacing w:val="-2"/>
        </w:rPr>
        <w:t xml:space="preserve"> </w:t>
      </w:r>
      <w:r>
        <w:t>begins</w:t>
      </w:r>
      <w:r>
        <w:rPr>
          <w:spacing w:val="-2"/>
        </w:rPr>
        <w:t xml:space="preserve"> </w:t>
      </w:r>
      <w:r>
        <w:t>to</w:t>
      </w:r>
      <w:r>
        <w:rPr>
          <w:spacing w:val="-3"/>
        </w:rPr>
        <w:t xml:space="preserve"> </w:t>
      </w:r>
      <w:r>
        <w:t>experiment</w:t>
      </w:r>
      <w:r>
        <w:rPr>
          <w:spacing w:val="-4"/>
        </w:rPr>
        <w:t xml:space="preserve"> </w:t>
      </w:r>
      <w:r>
        <w:t>with</w:t>
      </w:r>
      <w:r>
        <w:rPr>
          <w:spacing w:val="-5"/>
        </w:rPr>
        <w:t xml:space="preserve"> </w:t>
      </w:r>
      <w:r>
        <w:t>small</w:t>
      </w:r>
      <w:r>
        <w:rPr>
          <w:spacing w:val="-2"/>
        </w:rPr>
        <w:t xml:space="preserve"> </w:t>
      </w:r>
      <w:r>
        <w:t>steps</w:t>
      </w:r>
      <w:r>
        <w:rPr>
          <w:spacing w:val="-4"/>
        </w:rPr>
        <w:t xml:space="preserve"> </w:t>
      </w:r>
      <w:r>
        <w:t>toward</w:t>
      </w:r>
      <w:r>
        <w:rPr>
          <w:spacing w:val="-3"/>
        </w:rPr>
        <w:t xml:space="preserve"> </w:t>
      </w:r>
      <w:r>
        <w:t>change</w:t>
      </w:r>
      <w:r>
        <w:rPr>
          <w:spacing w:val="-2"/>
        </w:rPr>
        <w:t xml:space="preserve"> </w:t>
      </w:r>
      <w:r>
        <w:t>(e.g.,</w:t>
      </w:r>
      <w:r>
        <w:rPr>
          <w:spacing w:val="-2"/>
        </w:rPr>
        <w:t xml:space="preserve"> </w:t>
      </w:r>
      <w:r>
        <w:t>going</w:t>
      </w:r>
      <w:r>
        <w:rPr>
          <w:spacing w:val="-3"/>
        </w:rPr>
        <w:t xml:space="preserve"> </w:t>
      </w:r>
      <w:r>
        <w:t>to</w:t>
      </w:r>
      <w:r>
        <w:rPr>
          <w:spacing w:val="-3"/>
        </w:rPr>
        <w:t xml:space="preserve"> </w:t>
      </w:r>
      <w:r>
        <w:t>an</w:t>
      </w:r>
      <w:r>
        <w:rPr>
          <w:spacing w:val="-3"/>
        </w:rPr>
        <w:t xml:space="preserve"> </w:t>
      </w:r>
      <w:r>
        <w:t>AA meeting, going without drinking for a few days, reading a self-help b</w:t>
      </w:r>
      <w:r>
        <w:t>ook). Affirming small change steps helps the client build self-efficacy and confidence.</w:t>
      </w:r>
    </w:p>
    <w:p w14:paraId="5BF54705" w14:textId="77777777" w:rsidR="00DB6E1F" w:rsidRDefault="00F666A6">
      <w:pPr>
        <w:spacing w:before="162"/>
        <w:ind w:left="1438" w:right="1491"/>
      </w:pPr>
      <w:r>
        <w:t>When you notice</w:t>
      </w:r>
      <w:r>
        <w:rPr>
          <w:spacing w:val="-1"/>
        </w:rPr>
        <w:t xml:space="preserve"> </w:t>
      </w:r>
      <w:r>
        <w:t>these signs of readiness</w:t>
      </w:r>
      <w:r>
        <w:rPr>
          <w:spacing w:val="-1"/>
        </w:rPr>
        <w:t xml:space="preserve"> </w:t>
      </w:r>
      <w:r>
        <w:t>to change, it is a good</w:t>
      </w:r>
      <w:r>
        <w:rPr>
          <w:spacing w:val="-2"/>
        </w:rPr>
        <w:t xml:space="preserve"> </w:t>
      </w:r>
      <w:r>
        <w:t>time</w:t>
      </w:r>
      <w:r>
        <w:rPr>
          <w:spacing w:val="-1"/>
        </w:rPr>
        <w:t xml:space="preserve"> </w:t>
      </w:r>
      <w:r>
        <w:t>to offer the</w:t>
      </w:r>
      <w:r>
        <w:rPr>
          <w:spacing w:val="-1"/>
        </w:rPr>
        <w:t xml:space="preserve"> </w:t>
      </w:r>
      <w:r>
        <w:t>client a</w:t>
      </w:r>
      <w:r>
        <w:rPr>
          <w:spacing w:val="-1"/>
        </w:rPr>
        <w:t xml:space="preserve"> </w:t>
      </w:r>
      <w:r>
        <w:t>recapitulation summary in which you restate his or her change talk and minim</w:t>
      </w:r>
      <w:r>
        <w:t xml:space="preserve">ize reflections of sustain talk. </w:t>
      </w:r>
      <w:r>
        <w:rPr>
          <w:b/>
        </w:rPr>
        <w:t>The recapitulation</w:t>
      </w:r>
      <w:r>
        <w:rPr>
          <w:b/>
          <w:spacing w:val="-3"/>
        </w:rPr>
        <w:t xml:space="preserve"> </w:t>
      </w:r>
      <w:r>
        <w:rPr>
          <w:b/>
        </w:rPr>
        <w:t>summary</w:t>
      </w:r>
      <w:r>
        <w:rPr>
          <w:b/>
          <w:spacing w:val="-1"/>
        </w:rPr>
        <w:t xml:space="preserve"> </w:t>
      </w:r>
      <w:r>
        <w:rPr>
          <w:b/>
        </w:rPr>
        <w:t>is</w:t>
      </w:r>
      <w:r>
        <w:rPr>
          <w:b/>
          <w:spacing w:val="-4"/>
        </w:rPr>
        <w:t xml:space="preserve"> </w:t>
      </w:r>
      <w:r>
        <w:rPr>
          <w:b/>
        </w:rPr>
        <w:t>a</w:t>
      </w:r>
      <w:r>
        <w:rPr>
          <w:b/>
          <w:spacing w:val="-2"/>
        </w:rPr>
        <w:t xml:space="preserve"> </w:t>
      </w:r>
      <w:r>
        <w:rPr>
          <w:b/>
        </w:rPr>
        <w:t>good</w:t>
      </w:r>
      <w:r>
        <w:rPr>
          <w:b/>
          <w:spacing w:val="-3"/>
        </w:rPr>
        <w:t xml:space="preserve"> </w:t>
      </w:r>
      <w:r>
        <w:rPr>
          <w:b/>
        </w:rPr>
        <w:t>way</w:t>
      </w:r>
      <w:r>
        <w:rPr>
          <w:b/>
          <w:spacing w:val="-3"/>
        </w:rPr>
        <w:t xml:space="preserve"> </w:t>
      </w:r>
      <w:r>
        <w:rPr>
          <w:b/>
        </w:rPr>
        <w:t>to</w:t>
      </w:r>
      <w:r>
        <w:rPr>
          <w:b/>
          <w:spacing w:val="-3"/>
        </w:rPr>
        <w:t xml:space="preserve"> </w:t>
      </w:r>
      <w:r>
        <w:rPr>
          <w:b/>
        </w:rPr>
        <w:t>transition</w:t>
      </w:r>
      <w:r>
        <w:rPr>
          <w:b/>
          <w:spacing w:val="-5"/>
        </w:rPr>
        <w:t xml:space="preserve"> </w:t>
      </w:r>
      <w:r>
        <w:rPr>
          <w:b/>
        </w:rPr>
        <w:t>into</w:t>
      </w:r>
      <w:r>
        <w:rPr>
          <w:b/>
          <w:spacing w:val="-3"/>
        </w:rPr>
        <w:t xml:space="preserve"> </w:t>
      </w:r>
      <w:r>
        <w:rPr>
          <w:b/>
        </w:rPr>
        <w:t>asking</w:t>
      </w:r>
      <w:r>
        <w:rPr>
          <w:b/>
          <w:spacing w:val="-1"/>
        </w:rPr>
        <w:t xml:space="preserve"> </w:t>
      </w:r>
      <w:r>
        <w:rPr>
          <w:b/>
        </w:rPr>
        <w:t>key</w:t>
      </w:r>
      <w:r>
        <w:rPr>
          <w:b/>
          <w:spacing w:val="-1"/>
        </w:rPr>
        <w:t xml:space="preserve"> </w:t>
      </w:r>
      <w:r>
        <w:rPr>
          <w:b/>
        </w:rPr>
        <w:t>questions</w:t>
      </w:r>
      <w:r>
        <w:rPr>
          <w:b/>
          <w:spacing w:val="-2"/>
        </w:rPr>
        <w:t xml:space="preserve"> </w:t>
      </w:r>
      <w:r>
        <w:t>(Miller</w:t>
      </w:r>
      <w:r>
        <w:rPr>
          <w:spacing w:val="-2"/>
        </w:rPr>
        <w:t xml:space="preserve"> </w:t>
      </w:r>
      <w:r>
        <w:t>&amp;</w:t>
      </w:r>
      <w:r>
        <w:rPr>
          <w:spacing w:val="-4"/>
        </w:rPr>
        <w:t xml:space="preserve"> </w:t>
      </w:r>
      <w:r>
        <w:t>Rollnick,</w:t>
      </w:r>
      <w:r>
        <w:rPr>
          <w:spacing w:val="-2"/>
        </w:rPr>
        <w:t xml:space="preserve"> </w:t>
      </w:r>
      <w:r>
        <w:t>2013).</w:t>
      </w:r>
    </w:p>
    <w:p w14:paraId="6BB2742A" w14:textId="77777777" w:rsidR="00DB6E1F" w:rsidRDefault="00DB6E1F">
      <w:pPr>
        <w:pStyle w:val="BodyText"/>
        <w:spacing w:before="5"/>
        <w:rPr>
          <w:sz w:val="16"/>
        </w:rPr>
      </w:pPr>
    </w:p>
    <w:p w14:paraId="381F57EF" w14:textId="77777777" w:rsidR="00DB6E1F" w:rsidRDefault="00F666A6">
      <w:pPr>
        <w:pStyle w:val="Heading4"/>
        <w:spacing w:before="1"/>
      </w:pPr>
      <w:r>
        <w:t>Asking</w:t>
      </w:r>
      <w:r>
        <w:rPr>
          <w:spacing w:val="-8"/>
        </w:rPr>
        <w:t xml:space="preserve"> </w:t>
      </w:r>
      <w:r>
        <w:t>key</w:t>
      </w:r>
      <w:r>
        <w:rPr>
          <w:spacing w:val="-5"/>
        </w:rPr>
        <w:t xml:space="preserve"> </w:t>
      </w:r>
      <w:r>
        <w:rPr>
          <w:spacing w:val="-2"/>
        </w:rPr>
        <w:t>questions</w:t>
      </w:r>
    </w:p>
    <w:p w14:paraId="257D3C39" w14:textId="77777777" w:rsidR="00DB6E1F" w:rsidRDefault="00F666A6">
      <w:pPr>
        <w:spacing w:before="83"/>
        <w:ind w:left="1440"/>
      </w:pPr>
      <w:r>
        <w:rPr>
          <w:b/>
          <w:spacing w:val="-4"/>
        </w:rPr>
        <w:t>To</w:t>
      </w:r>
      <w:r>
        <w:rPr>
          <w:b/>
        </w:rPr>
        <w:t xml:space="preserve"> </w:t>
      </w:r>
      <w:r>
        <w:rPr>
          <w:b/>
          <w:spacing w:val="-4"/>
        </w:rPr>
        <w:t>help</w:t>
      </w:r>
      <w:r>
        <w:rPr>
          <w:b/>
          <w:spacing w:val="-9"/>
        </w:rPr>
        <w:t xml:space="preserve"> </w:t>
      </w:r>
      <w:r>
        <w:rPr>
          <w:b/>
          <w:spacing w:val="-4"/>
        </w:rPr>
        <w:t>a</w:t>
      </w:r>
      <w:r>
        <w:rPr>
          <w:b/>
          <w:spacing w:val="-9"/>
        </w:rPr>
        <w:t xml:space="preserve"> </w:t>
      </w:r>
      <w:r>
        <w:rPr>
          <w:b/>
          <w:spacing w:val="-4"/>
        </w:rPr>
        <w:t>client</w:t>
      </w:r>
      <w:r>
        <w:rPr>
          <w:b/>
          <w:spacing w:val="-8"/>
        </w:rPr>
        <w:t xml:space="preserve"> </w:t>
      </w:r>
      <w:r>
        <w:rPr>
          <w:b/>
          <w:spacing w:val="-4"/>
        </w:rPr>
        <w:t>move</w:t>
      </w:r>
      <w:r>
        <w:rPr>
          <w:b/>
          <w:spacing w:val="-9"/>
        </w:rPr>
        <w:t xml:space="preserve"> </w:t>
      </w:r>
      <w:r>
        <w:rPr>
          <w:b/>
          <w:spacing w:val="-4"/>
        </w:rPr>
        <w:t>from</w:t>
      </w:r>
      <w:r>
        <w:rPr>
          <w:b/>
          <w:spacing w:val="-5"/>
        </w:rPr>
        <w:t xml:space="preserve"> </w:t>
      </w:r>
      <w:r>
        <w:rPr>
          <w:b/>
          <w:spacing w:val="-4"/>
        </w:rPr>
        <w:t>preparing</w:t>
      </w:r>
      <w:r>
        <w:rPr>
          <w:b/>
          <w:spacing w:val="-7"/>
        </w:rPr>
        <w:t xml:space="preserve"> </w:t>
      </w:r>
      <w:r>
        <w:rPr>
          <w:b/>
          <w:spacing w:val="-4"/>
        </w:rPr>
        <w:t>to</w:t>
      </w:r>
      <w:r>
        <w:rPr>
          <w:b/>
          <w:spacing w:val="-9"/>
        </w:rPr>
        <w:t xml:space="preserve"> </w:t>
      </w:r>
      <w:r>
        <w:rPr>
          <w:b/>
          <w:spacing w:val="-4"/>
        </w:rPr>
        <w:t>mobilizing</w:t>
      </w:r>
      <w:r>
        <w:rPr>
          <w:b/>
          <w:spacing w:val="-7"/>
        </w:rPr>
        <w:t xml:space="preserve"> </w:t>
      </w:r>
      <w:r>
        <w:rPr>
          <w:b/>
          <w:spacing w:val="-4"/>
        </w:rPr>
        <w:t>for</w:t>
      </w:r>
      <w:r>
        <w:rPr>
          <w:b/>
          <w:spacing w:val="-5"/>
        </w:rPr>
        <w:t xml:space="preserve"> </w:t>
      </w:r>
      <w:r>
        <w:rPr>
          <w:b/>
          <w:spacing w:val="-4"/>
        </w:rPr>
        <w:t>change,</w:t>
      </w:r>
      <w:r>
        <w:rPr>
          <w:b/>
          <w:spacing w:val="-8"/>
        </w:rPr>
        <w:t xml:space="preserve"> </w:t>
      </w:r>
      <w:r>
        <w:rPr>
          <w:b/>
          <w:spacing w:val="-4"/>
        </w:rPr>
        <w:t>ask</w:t>
      </w:r>
      <w:r>
        <w:rPr>
          <w:b/>
          <w:spacing w:val="-7"/>
        </w:rPr>
        <w:t xml:space="preserve"> </w:t>
      </w:r>
      <w:r>
        <w:rPr>
          <w:b/>
          <w:spacing w:val="-4"/>
        </w:rPr>
        <w:t>key</w:t>
      </w:r>
      <w:r>
        <w:rPr>
          <w:b/>
          <w:spacing w:val="-5"/>
        </w:rPr>
        <w:t xml:space="preserve"> </w:t>
      </w:r>
      <w:r>
        <w:rPr>
          <w:b/>
          <w:spacing w:val="-4"/>
        </w:rPr>
        <w:t>questions</w:t>
      </w:r>
      <w:r>
        <w:rPr>
          <w:b/>
          <w:spacing w:val="-7"/>
        </w:rPr>
        <w:t xml:space="preserve"> </w:t>
      </w:r>
      <w:r>
        <w:rPr>
          <w:spacing w:val="-4"/>
        </w:rPr>
        <w:t>(Miller</w:t>
      </w:r>
      <w:r>
        <w:rPr>
          <w:spacing w:val="-9"/>
        </w:rPr>
        <w:t xml:space="preserve"> </w:t>
      </w:r>
      <w:r>
        <w:rPr>
          <w:spacing w:val="-4"/>
        </w:rPr>
        <w:t>&amp;</w:t>
      </w:r>
      <w:r>
        <w:rPr>
          <w:spacing w:val="-8"/>
        </w:rPr>
        <w:t xml:space="preserve"> </w:t>
      </w:r>
      <w:r>
        <w:rPr>
          <w:spacing w:val="-4"/>
        </w:rPr>
        <w:t>Rollnick,</w:t>
      </w:r>
      <w:r>
        <w:rPr>
          <w:spacing w:val="-8"/>
        </w:rPr>
        <w:t xml:space="preserve"> </w:t>
      </w:r>
      <w:r>
        <w:rPr>
          <w:spacing w:val="-4"/>
        </w:rPr>
        <w:t>2013):</w:t>
      </w:r>
    </w:p>
    <w:p w14:paraId="507C2CB9" w14:textId="77777777" w:rsidR="00DB6E1F" w:rsidRDefault="00F666A6">
      <w:pPr>
        <w:pStyle w:val="ListParagraph"/>
        <w:numPr>
          <w:ilvl w:val="0"/>
          <w:numId w:val="92"/>
        </w:numPr>
        <w:tabs>
          <w:tab w:val="left" w:pos="1800"/>
          <w:tab w:val="left" w:pos="1801"/>
        </w:tabs>
        <w:ind w:left="1800"/>
        <w:rPr>
          <w:rFonts w:ascii="Symbol" w:hAnsi="Symbol"/>
        </w:rPr>
      </w:pPr>
      <w:r>
        <w:t>“What</w:t>
      </w:r>
      <w:r>
        <w:rPr>
          <w:spacing w:val="-4"/>
        </w:rPr>
        <w:t xml:space="preserve"> </w:t>
      </w:r>
      <w:r>
        <w:t>do</w:t>
      </w:r>
      <w:r>
        <w:rPr>
          <w:spacing w:val="-3"/>
        </w:rPr>
        <w:t xml:space="preserve"> </w:t>
      </w:r>
      <w:r>
        <w:t>you</w:t>
      </w:r>
      <w:r>
        <w:rPr>
          <w:spacing w:val="-3"/>
        </w:rPr>
        <w:t xml:space="preserve"> </w:t>
      </w:r>
      <w:r>
        <w:t>think</w:t>
      </w:r>
      <w:r>
        <w:rPr>
          <w:spacing w:val="-4"/>
        </w:rPr>
        <w:t xml:space="preserve"> </w:t>
      </w:r>
      <w:r>
        <w:t>you</w:t>
      </w:r>
      <w:r>
        <w:rPr>
          <w:spacing w:val="-5"/>
        </w:rPr>
        <w:t xml:space="preserve"> </w:t>
      </w:r>
      <w:r>
        <w:t>will</w:t>
      </w:r>
      <w:r>
        <w:rPr>
          <w:spacing w:val="-2"/>
        </w:rPr>
        <w:t xml:space="preserve"> </w:t>
      </w:r>
      <w:r>
        <w:t>do</w:t>
      </w:r>
      <w:r>
        <w:rPr>
          <w:spacing w:val="-1"/>
        </w:rPr>
        <w:t xml:space="preserve"> </w:t>
      </w:r>
      <w:r>
        <w:t>about</w:t>
      </w:r>
      <w:r>
        <w:rPr>
          <w:spacing w:val="-1"/>
        </w:rPr>
        <w:t xml:space="preserve"> </w:t>
      </w:r>
      <w:r>
        <w:t>your</w:t>
      </w:r>
      <w:r>
        <w:rPr>
          <w:spacing w:val="-1"/>
        </w:rPr>
        <w:t xml:space="preserve"> </w:t>
      </w:r>
      <w:r>
        <w:rPr>
          <w:spacing w:val="-2"/>
        </w:rPr>
        <w:t>drinking?”</w:t>
      </w:r>
    </w:p>
    <w:p w14:paraId="46CCA320" w14:textId="77777777" w:rsidR="00DB6E1F" w:rsidRDefault="00F666A6">
      <w:pPr>
        <w:pStyle w:val="ListParagraph"/>
        <w:numPr>
          <w:ilvl w:val="0"/>
          <w:numId w:val="92"/>
        </w:numPr>
        <w:tabs>
          <w:tab w:val="left" w:pos="1800"/>
          <w:tab w:val="left" w:pos="1801"/>
        </w:tabs>
        <w:spacing w:before="61"/>
        <w:ind w:left="1800"/>
        <w:rPr>
          <w:rFonts w:ascii="Symbol" w:hAnsi="Symbol"/>
        </w:rPr>
      </w:pPr>
      <w:r>
        <w:t>“After</w:t>
      </w:r>
      <w:r>
        <w:rPr>
          <w:spacing w:val="-8"/>
        </w:rPr>
        <w:t xml:space="preserve"> </w:t>
      </w:r>
      <w:r>
        <w:t>reviewing</w:t>
      </w:r>
      <w:r>
        <w:rPr>
          <w:spacing w:val="-7"/>
        </w:rPr>
        <w:t xml:space="preserve"> </w:t>
      </w:r>
      <w:r>
        <w:t>the</w:t>
      </w:r>
      <w:r>
        <w:rPr>
          <w:spacing w:val="-3"/>
        </w:rPr>
        <w:t xml:space="preserve"> </w:t>
      </w:r>
      <w:r>
        <w:t>situation,</w:t>
      </w:r>
      <w:r>
        <w:rPr>
          <w:spacing w:val="-3"/>
        </w:rPr>
        <w:t xml:space="preserve"> </w:t>
      </w:r>
      <w:r>
        <w:t>what’s</w:t>
      </w:r>
      <w:r>
        <w:rPr>
          <w:spacing w:val="-4"/>
        </w:rPr>
        <w:t xml:space="preserve"> </w:t>
      </w:r>
      <w:r>
        <w:t>the</w:t>
      </w:r>
      <w:r>
        <w:rPr>
          <w:spacing w:val="-3"/>
        </w:rPr>
        <w:t xml:space="preserve"> </w:t>
      </w:r>
      <w:r>
        <w:t>next</w:t>
      </w:r>
      <w:r>
        <w:rPr>
          <w:spacing w:val="-3"/>
        </w:rPr>
        <w:t xml:space="preserve"> </w:t>
      </w:r>
      <w:r>
        <w:t>step</w:t>
      </w:r>
      <w:r>
        <w:rPr>
          <w:spacing w:val="-5"/>
        </w:rPr>
        <w:t xml:space="preserve"> </w:t>
      </w:r>
      <w:r>
        <w:t>for</w:t>
      </w:r>
      <w:r>
        <w:rPr>
          <w:spacing w:val="-3"/>
        </w:rPr>
        <w:t xml:space="preserve"> </w:t>
      </w:r>
      <w:r>
        <w:rPr>
          <w:spacing w:val="-2"/>
        </w:rPr>
        <w:t>you?”</w:t>
      </w:r>
    </w:p>
    <w:p w14:paraId="339AEE5F" w14:textId="77777777" w:rsidR="00DB6E1F" w:rsidRDefault="00F666A6">
      <w:pPr>
        <w:pStyle w:val="ListParagraph"/>
        <w:numPr>
          <w:ilvl w:val="0"/>
          <w:numId w:val="92"/>
        </w:numPr>
        <w:tabs>
          <w:tab w:val="left" w:pos="1800"/>
          <w:tab w:val="left" w:pos="1801"/>
        </w:tabs>
        <w:ind w:left="1800"/>
        <w:rPr>
          <w:rFonts w:ascii="Symbol" w:hAnsi="Symbol"/>
        </w:rPr>
      </w:pPr>
      <w:r>
        <w:t>“What</w:t>
      </w:r>
      <w:r>
        <w:rPr>
          <w:spacing w:val="-4"/>
        </w:rPr>
        <w:t xml:space="preserve"> </w:t>
      </w:r>
      <w:r>
        <w:t>do</w:t>
      </w:r>
      <w:r>
        <w:rPr>
          <w:spacing w:val="-3"/>
        </w:rPr>
        <w:t xml:space="preserve"> </w:t>
      </w:r>
      <w:r>
        <w:t>you</w:t>
      </w:r>
      <w:r>
        <w:rPr>
          <w:spacing w:val="-3"/>
        </w:rPr>
        <w:t xml:space="preserve"> </w:t>
      </w:r>
      <w:r>
        <w:t>want</w:t>
      </w:r>
      <w:r>
        <w:rPr>
          <w:spacing w:val="-4"/>
        </w:rPr>
        <w:t xml:space="preserve"> </w:t>
      </w:r>
      <w:r>
        <w:t>to</w:t>
      </w:r>
      <w:r>
        <w:rPr>
          <w:spacing w:val="-1"/>
        </w:rPr>
        <w:t xml:space="preserve"> </w:t>
      </w:r>
      <w:r>
        <w:t>do</w:t>
      </w:r>
      <w:r>
        <w:rPr>
          <w:spacing w:val="-3"/>
        </w:rPr>
        <w:t xml:space="preserve"> </w:t>
      </w:r>
      <w:r>
        <w:t>about</w:t>
      </w:r>
      <w:r>
        <w:rPr>
          <w:spacing w:val="-1"/>
        </w:rPr>
        <w:t xml:space="preserve"> </w:t>
      </w:r>
      <w:r>
        <w:t>your</w:t>
      </w:r>
      <w:r>
        <w:rPr>
          <w:spacing w:val="-2"/>
        </w:rPr>
        <w:t xml:space="preserve"> </w:t>
      </w:r>
      <w:r>
        <w:t>drug</w:t>
      </w:r>
      <w:r>
        <w:rPr>
          <w:spacing w:val="-2"/>
        </w:rPr>
        <w:t xml:space="preserve"> </w:t>
      </w:r>
      <w:r>
        <w:rPr>
          <w:spacing w:val="-4"/>
        </w:rPr>
        <w:t>use?”</w:t>
      </w:r>
    </w:p>
    <w:p w14:paraId="59B793FE" w14:textId="77777777" w:rsidR="00DB6E1F" w:rsidRDefault="00F666A6">
      <w:pPr>
        <w:pStyle w:val="ListParagraph"/>
        <w:numPr>
          <w:ilvl w:val="0"/>
          <w:numId w:val="92"/>
        </w:numPr>
        <w:tabs>
          <w:tab w:val="left" w:pos="1800"/>
          <w:tab w:val="left" w:pos="1801"/>
        </w:tabs>
        <w:ind w:left="1801"/>
        <w:rPr>
          <w:rFonts w:ascii="Symbol" w:hAnsi="Symbol"/>
        </w:rPr>
      </w:pPr>
      <w:r>
        <w:t>“What</w:t>
      </w:r>
      <w:r>
        <w:rPr>
          <w:spacing w:val="-5"/>
        </w:rPr>
        <w:t xml:space="preserve"> </w:t>
      </w:r>
      <w:r>
        <w:t>can</w:t>
      </w:r>
      <w:r>
        <w:rPr>
          <w:spacing w:val="-5"/>
        </w:rPr>
        <w:t xml:space="preserve"> </w:t>
      </w:r>
      <w:r>
        <w:t>you</w:t>
      </w:r>
      <w:r>
        <w:rPr>
          <w:spacing w:val="-3"/>
        </w:rPr>
        <w:t xml:space="preserve"> </w:t>
      </w:r>
      <w:r>
        <w:t>do</w:t>
      </w:r>
      <w:r>
        <w:rPr>
          <w:spacing w:val="-1"/>
        </w:rPr>
        <w:t xml:space="preserve"> </w:t>
      </w:r>
      <w:r>
        <w:t>about</w:t>
      </w:r>
      <w:r>
        <w:rPr>
          <w:spacing w:val="-3"/>
        </w:rPr>
        <w:t xml:space="preserve"> </w:t>
      </w:r>
      <w:r>
        <w:t>your</w:t>
      </w:r>
      <w:r>
        <w:rPr>
          <w:spacing w:val="-2"/>
        </w:rPr>
        <w:t xml:space="preserve"> smoking?”</w:t>
      </w:r>
    </w:p>
    <w:p w14:paraId="72B55D2C" w14:textId="77777777" w:rsidR="00DB6E1F" w:rsidRDefault="00F666A6">
      <w:pPr>
        <w:pStyle w:val="ListParagraph"/>
        <w:numPr>
          <w:ilvl w:val="0"/>
          <w:numId w:val="92"/>
        </w:numPr>
        <w:tabs>
          <w:tab w:val="left" w:pos="1801"/>
          <w:tab w:val="left" w:pos="1802"/>
        </w:tabs>
        <w:spacing w:before="59"/>
        <w:ind w:left="1801"/>
        <w:rPr>
          <w:rFonts w:ascii="Symbol" w:hAnsi="Symbol"/>
        </w:rPr>
      </w:pPr>
      <w:r>
        <w:t>“Where</w:t>
      </w:r>
      <w:r>
        <w:rPr>
          <w:spacing w:val="-2"/>
        </w:rPr>
        <w:t xml:space="preserve"> </w:t>
      </w:r>
      <w:r>
        <w:t>do</w:t>
      </w:r>
      <w:r>
        <w:rPr>
          <w:spacing w:val="-3"/>
        </w:rPr>
        <w:t xml:space="preserve"> </w:t>
      </w:r>
      <w:r>
        <w:t>you</w:t>
      </w:r>
      <w:r>
        <w:rPr>
          <w:spacing w:val="-4"/>
        </w:rPr>
        <w:t xml:space="preserve"> </w:t>
      </w:r>
      <w:r>
        <w:t>go</w:t>
      </w:r>
      <w:r>
        <w:rPr>
          <w:spacing w:val="-1"/>
        </w:rPr>
        <w:t xml:space="preserve"> </w:t>
      </w:r>
      <w:r>
        <w:t>from</w:t>
      </w:r>
      <w:r>
        <w:rPr>
          <w:spacing w:val="-3"/>
        </w:rPr>
        <w:t xml:space="preserve"> </w:t>
      </w:r>
      <w:r>
        <w:rPr>
          <w:spacing w:val="-2"/>
        </w:rPr>
        <w:t>here?”</w:t>
      </w:r>
    </w:p>
    <w:p w14:paraId="32C46263" w14:textId="77777777" w:rsidR="00DB6E1F" w:rsidRDefault="00F666A6">
      <w:pPr>
        <w:pStyle w:val="ListParagraph"/>
        <w:numPr>
          <w:ilvl w:val="0"/>
          <w:numId w:val="92"/>
        </w:numPr>
        <w:tabs>
          <w:tab w:val="left" w:pos="1801"/>
          <w:tab w:val="left" w:pos="1802"/>
        </w:tabs>
        <w:spacing w:before="58"/>
        <w:ind w:left="1801"/>
        <w:rPr>
          <w:rFonts w:ascii="Symbol" w:hAnsi="Symbol"/>
        </w:rPr>
      </w:pPr>
      <w:r>
        <w:t>“What</w:t>
      </w:r>
      <w:r>
        <w:rPr>
          <w:spacing w:val="-4"/>
        </w:rPr>
        <w:t xml:space="preserve"> </w:t>
      </w:r>
      <w:r>
        <w:t>you</w:t>
      </w:r>
      <w:r>
        <w:rPr>
          <w:spacing w:val="-4"/>
        </w:rPr>
        <w:t xml:space="preserve"> </w:t>
      </w:r>
      <w:r>
        <w:t>might</w:t>
      </w:r>
      <w:r>
        <w:rPr>
          <w:spacing w:val="-1"/>
        </w:rPr>
        <w:t xml:space="preserve"> </w:t>
      </w:r>
      <w:r>
        <w:t>do</w:t>
      </w:r>
      <w:r>
        <w:rPr>
          <w:spacing w:val="-2"/>
        </w:rPr>
        <w:t xml:space="preserve"> next?”</w:t>
      </w:r>
    </w:p>
    <w:p w14:paraId="32FF3E1E" w14:textId="77777777" w:rsidR="00DB6E1F" w:rsidRDefault="00F666A6">
      <w:pPr>
        <w:pStyle w:val="BodyText"/>
        <w:spacing w:before="161"/>
        <w:ind w:left="1441" w:right="1444"/>
      </w:pPr>
      <w:r>
        <w:t>When the client responds with change talk (e.g., “I intend to stop using heroin”),</w:t>
      </w:r>
      <w:r>
        <w:rPr>
          <w:spacing w:val="-1"/>
        </w:rPr>
        <w:t xml:space="preserve"> </w:t>
      </w:r>
      <w:r>
        <w:t>you can move forward to</w:t>
      </w:r>
      <w:r>
        <w:rPr>
          <w:spacing w:val="-2"/>
        </w:rPr>
        <w:t xml:space="preserve"> </w:t>
      </w:r>
      <w:r>
        <w:t>the planning</w:t>
      </w:r>
      <w:r>
        <w:rPr>
          <w:spacing w:val="-2"/>
        </w:rPr>
        <w:t xml:space="preserve"> </w:t>
      </w:r>
      <w:r>
        <w:t>process.</w:t>
      </w:r>
      <w:r>
        <w:rPr>
          <w:spacing w:val="-1"/>
        </w:rPr>
        <w:t xml:space="preserve"> </w:t>
      </w:r>
      <w:r>
        <w:t>If</w:t>
      </w:r>
      <w:r>
        <w:rPr>
          <w:spacing w:val="-4"/>
        </w:rPr>
        <w:t xml:space="preserve"> </w:t>
      </w:r>
      <w:r>
        <w:t>the client responds</w:t>
      </w:r>
      <w:r>
        <w:rPr>
          <w:spacing w:val="-1"/>
        </w:rPr>
        <w:t xml:space="preserve"> </w:t>
      </w:r>
      <w:r>
        <w:t>with</w:t>
      </w:r>
      <w:r>
        <w:rPr>
          <w:spacing w:val="-4"/>
        </w:rPr>
        <w:t xml:space="preserve"> </w:t>
      </w:r>
      <w:r>
        <w:t>sustain</w:t>
      </w:r>
      <w:r>
        <w:rPr>
          <w:spacing w:val="-2"/>
        </w:rPr>
        <w:t xml:space="preserve"> </w:t>
      </w:r>
      <w:r>
        <w:t>talk</w:t>
      </w:r>
      <w:r>
        <w:rPr>
          <w:spacing w:val="-3"/>
        </w:rPr>
        <w:t xml:space="preserve"> </w:t>
      </w:r>
      <w:r>
        <w:t>(e.g.,</w:t>
      </w:r>
      <w:r>
        <w:rPr>
          <w:spacing w:val="-3"/>
        </w:rPr>
        <w:t xml:space="preserve"> </w:t>
      </w:r>
      <w:r>
        <w:t>“It</w:t>
      </w:r>
      <w:r>
        <w:rPr>
          <w:spacing w:val="-3"/>
        </w:rPr>
        <w:t xml:space="preserve"> </w:t>
      </w:r>
      <w:r>
        <w:t>would</w:t>
      </w:r>
      <w:r>
        <w:rPr>
          <w:spacing w:val="-1"/>
        </w:rPr>
        <w:t xml:space="preserve"> </w:t>
      </w:r>
      <w:r>
        <w:t>be</w:t>
      </w:r>
      <w:r>
        <w:rPr>
          <w:spacing w:val="-6"/>
        </w:rPr>
        <w:t xml:space="preserve"> </w:t>
      </w:r>
      <w:r>
        <w:t>too hard</w:t>
      </w:r>
      <w:r>
        <w:rPr>
          <w:spacing w:val="-2"/>
        </w:rPr>
        <w:t xml:space="preserve"> </w:t>
      </w:r>
      <w:r>
        <w:t>for</w:t>
      </w:r>
      <w:r>
        <w:rPr>
          <w:spacing w:val="-4"/>
        </w:rPr>
        <w:t xml:space="preserve"> </w:t>
      </w:r>
      <w:r>
        <w:t>me</w:t>
      </w:r>
      <w:r>
        <w:rPr>
          <w:spacing w:val="-3"/>
        </w:rPr>
        <w:t xml:space="preserve"> </w:t>
      </w:r>
      <w:r>
        <w:t>to</w:t>
      </w:r>
      <w:r>
        <w:rPr>
          <w:spacing w:val="-2"/>
        </w:rPr>
        <w:t xml:space="preserve"> </w:t>
      </w:r>
      <w:r>
        <w:t>quit using her</w:t>
      </w:r>
      <w:r>
        <w:t>oin right now”), you should go back to the evoking process. Remember that change is not a linear process for most people.</w:t>
      </w:r>
    </w:p>
    <w:p w14:paraId="04FEC9B0" w14:textId="77777777" w:rsidR="00DB6E1F" w:rsidRDefault="00F666A6">
      <w:pPr>
        <w:spacing w:before="162"/>
        <w:ind w:left="1441" w:right="1491"/>
      </w:pPr>
      <w:r>
        <w:rPr>
          <w:b/>
        </w:rPr>
        <w:t>Do</w:t>
      </w:r>
      <w:r>
        <w:rPr>
          <w:b/>
          <w:spacing w:val="-3"/>
        </w:rPr>
        <w:t xml:space="preserve"> </w:t>
      </w:r>
      <w:r>
        <w:rPr>
          <w:b/>
        </w:rPr>
        <w:t>not</w:t>
      </w:r>
      <w:r>
        <w:rPr>
          <w:b/>
          <w:spacing w:val="-2"/>
        </w:rPr>
        <w:t xml:space="preserve"> </w:t>
      </w:r>
      <w:r>
        <w:rPr>
          <w:b/>
        </w:rPr>
        <w:t>jump</w:t>
      </w:r>
      <w:r>
        <w:rPr>
          <w:b/>
          <w:spacing w:val="-5"/>
        </w:rPr>
        <w:t xml:space="preserve"> </w:t>
      </w:r>
      <w:r>
        <w:rPr>
          <w:b/>
        </w:rPr>
        <w:t>into</w:t>
      </w:r>
      <w:r>
        <w:rPr>
          <w:b/>
          <w:spacing w:val="-3"/>
        </w:rPr>
        <w:t xml:space="preserve"> </w:t>
      </w:r>
      <w:r>
        <w:rPr>
          <w:b/>
        </w:rPr>
        <w:t>the</w:t>
      </w:r>
      <w:r>
        <w:rPr>
          <w:b/>
          <w:spacing w:val="-2"/>
        </w:rPr>
        <w:t xml:space="preserve"> </w:t>
      </w:r>
      <w:r>
        <w:rPr>
          <w:b/>
        </w:rPr>
        <w:t>planning</w:t>
      </w:r>
      <w:r>
        <w:rPr>
          <w:b/>
          <w:spacing w:val="-1"/>
        </w:rPr>
        <w:t xml:space="preserve"> </w:t>
      </w:r>
      <w:r>
        <w:rPr>
          <w:b/>
        </w:rPr>
        <w:t>process</w:t>
      </w:r>
      <w:r>
        <w:rPr>
          <w:b/>
          <w:spacing w:val="-3"/>
        </w:rPr>
        <w:t xml:space="preserve"> </w:t>
      </w:r>
      <w:r>
        <w:rPr>
          <w:b/>
        </w:rPr>
        <w:t>if</w:t>
      </w:r>
      <w:r>
        <w:rPr>
          <w:b/>
          <w:spacing w:val="-2"/>
        </w:rPr>
        <w:t xml:space="preserve"> </w:t>
      </w:r>
      <w:r>
        <w:rPr>
          <w:b/>
        </w:rPr>
        <w:t>the</w:t>
      </w:r>
      <w:r>
        <w:rPr>
          <w:b/>
          <w:spacing w:val="-5"/>
        </w:rPr>
        <w:t xml:space="preserve"> </w:t>
      </w:r>
      <w:r>
        <w:rPr>
          <w:b/>
        </w:rPr>
        <w:t>client</w:t>
      </w:r>
      <w:r>
        <w:rPr>
          <w:b/>
          <w:spacing w:val="-4"/>
        </w:rPr>
        <w:t xml:space="preserve"> </w:t>
      </w:r>
      <w:r>
        <w:rPr>
          <w:b/>
        </w:rPr>
        <w:t>expresses</w:t>
      </w:r>
      <w:r>
        <w:rPr>
          <w:b/>
          <w:spacing w:val="-2"/>
        </w:rPr>
        <w:t xml:space="preserve"> </w:t>
      </w:r>
      <w:r>
        <w:rPr>
          <w:b/>
        </w:rPr>
        <w:t>enough</w:t>
      </w:r>
      <w:r>
        <w:rPr>
          <w:b/>
          <w:spacing w:val="-5"/>
        </w:rPr>
        <w:t xml:space="preserve"> </w:t>
      </w:r>
      <w:r>
        <w:rPr>
          <w:b/>
        </w:rPr>
        <w:t>sustain</w:t>
      </w:r>
      <w:r>
        <w:rPr>
          <w:b/>
          <w:spacing w:val="-5"/>
        </w:rPr>
        <w:t xml:space="preserve"> </w:t>
      </w:r>
      <w:r>
        <w:rPr>
          <w:b/>
        </w:rPr>
        <w:t>talk</w:t>
      </w:r>
      <w:r>
        <w:rPr>
          <w:b/>
          <w:spacing w:val="-2"/>
        </w:rPr>
        <w:t xml:space="preserve"> </w:t>
      </w:r>
      <w:r>
        <w:rPr>
          <w:b/>
        </w:rPr>
        <w:t>to</w:t>
      </w:r>
      <w:r>
        <w:rPr>
          <w:b/>
          <w:spacing w:val="-3"/>
        </w:rPr>
        <w:t xml:space="preserve"> </w:t>
      </w:r>
      <w:r>
        <w:rPr>
          <w:b/>
        </w:rPr>
        <w:t>indicate</w:t>
      </w:r>
      <w:r>
        <w:rPr>
          <w:b/>
          <w:spacing w:val="-3"/>
        </w:rPr>
        <w:t xml:space="preserve"> </w:t>
      </w:r>
      <w:r>
        <w:rPr>
          <w:b/>
        </w:rPr>
        <w:t>not</w:t>
      </w:r>
      <w:r>
        <w:rPr>
          <w:b/>
          <w:spacing w:val="-2"/>
        </w:rPr>
        <w:t xml:space="preserve"> </w:t>
      </w:r>
      <w:r>
        <w:rPr>
          <w:b/>
        </w:rPr>
        <w:t>being ready to take the next step</w:t>
      </w:r>
      <w:r>
        <w:t>. The ambivalence about taking the next step may be uncertainty about giving up the substance use behavior or a lack of confidence about being able to make the change.</w:t>
      </w:r>
    </w:p>
    <w:p w14:paraId="3D8C0EAC" w14:textId="77777777" w:rsidR="00DB6E1F" w:rsidRDefault="00DB6E1F">
      <w:pPr>
        <w:sectPr w:rsidR="00DB6E1F">
          <w:pgSz w:w="12240" w:h="15840"/>
          <w:pgMar w:top="1200" w:right="0" w:bottom="780" w:left="0" w:header="763" w:footer="585" w:gutter="0"/>
          <w:cols w:space="720"/>
        </w:sectPr>
      </w:pPr>
    </w:p>
    <w:p w14:paraId="411BBCFE" w14:textId="77777777" w:rsidR="00DB6E1F" w:rsidRDefault="00DB6E1F">
      <w:pPr>
        <w:pStyle w:val="BodyText"/>
        <w:spacing w:before="7"/>
        <w:rPr>
          <w:sz w:val="15"/>
        </w:rPr>
      </w:pPr>
    </w:p>
    <w:p w14:paraId="602E3450" w14:textId="77777777" w:rsidR="00DB6E1F" w:rsidRDefault="00F666A6">
      <w:pPr>
        <w:pStyle w:val="Heading3"/>
        <w:spacing w:before="47"/>
      </w:pPr>
      <w:bookmarkStart w:id="115" w:name="Planning"/>
      <w:bookmarkEnd w:id="115"/>
      <w:r>
        <w:rPr>
          <w:spacing w:val="-2"/>
        </w:rPr>
        <w:t>Planning</w:t>
      </w:r>
    </w:p>
    <w:p w14:paraId="6799CB4F" w14:textId="77777777" w:rsidR="00DB6E1F" w:rsidRDefault="00F666A6">
      <w:pPr>
        <w:spacing w:before="144"/>
        <w:ind w:left="1439" w:right="1491"/>
      </w:pPr>
      <w:r>
        <w:rPr>
          <w:b/>
        </w:rPr>
        <w:t>Your</w:t>
      </w:r>
      <w:r>
        <w:rPr>
          <w:b/>
          <w:spacing w:val="-1"/>
        </w:rPr>
        <w:t xml:space="preserve"> </w:t>
      </w:r>
      <w:r>
        <w:rPr>
          <w:b/>
        </w:rPr>
        <w:t>task</w:t>
      </w:r>
      <w:r>
        <w:rPr>
          <w:b/>
          <w:spacing w:val="-4"/>
        </w:rPr>
        <w:t xml:space="preserve"> </w:t>
      </w:r>
      <w:r>
        <w:rPr>
          <w:b/>
        </w:rPr>
        <w:t>in</w:t>
      </w:r>
      <w:r>
        <w:rPr>
          <w:b/>
          <w:spacing w:val="-3"/>
        </w:rPr>
        <w:t xml:space="preserve"> </w:t>
      </w:r>
      <w:r>
        <w:rPr>
          <w:b/>
        </w:rPr>
        <w:t>the</w:t>
      </w:r>
      <w:r>
        <w:rPr>
          <w:b/>
          <w:spacing w:val="-3"/>
        </w:rPr>
        <w:t xml:space="preserve"> </w:t>
      </w:r>
      <w:r>
        <w:rPr>
          <w:b/>
        </w:rPr>
        <w:t>process</w:t>
      </w:r>
      <w:r>
        <w:rPr>
          <w:b/>
          <w:spacing w:val="-4"/>
        </w:rPr>
        <w:t xml:space="preserve"> </w:t>
      </w:r>
      <w:r>
        <w:rPr>
          <w:b/>
        </w:rPr>
        <w:t>is</w:t>
      </w:r>
      <w:r>
        <w:rPr>
          <w:b/>
          <w:spacing w:val="-5"/>
        </w:rPr>
        <w:t xml:space="preserve"> </w:t>
      </w:r>
      <w:r>
        <w:rPr>
          <w:b/>
        </w:rPr>
        <w:t>to</w:t>
      </w:r>
      <w:r>
        <w:rPr>
          <w:b/>
          <w:spacing w:val="-3"/>
        </w:rPr>
        <w:t xml:space="preserve"> </w:t>
      </w:r>
      <w:r>
        <w:rPr>
          <w:b/>
        </w:rPr>
        <w:t>help</w:t>
      </w:r>
      <w:r>
        <w:rPr>
          <w:b/>
          <w:spacing w:val="-2"/>
        </w:rPr>
        <w:t xml:space="preserve"> </w:t>
      </w:r>
      <w:r>
        <w:rPr>
          <w:b/>
        </w:rPr>
        <w:t>the</w:t>
      </w:r>
      <w:r>
        <w:rPr>
          <w:b/>
          <w:spacing w:val="-3"/>
        </w:rPr>
        <w:t xml:space="preserve"> </w:t>
      </w:r>
      <w:r>
        <w:rPr>
          <w:b/>
        </w:rPr>
        <w:t>client</w:t>
      </w:r>
      <w:r>
        <w:rPr>
          <w:b/>
          <w:spacing w:val="-2"/>
        </w:rPr>
        <w:t xml:space="preserve"> </w:t>
      </w:r>
      <w:r>
        <w:rPr>
          <w:b/>
        </w:rPr>
        <w:t>develop</w:t>
      </w:r>
      <w:r>
        <w:rPr>
          <w:b/>
          <w:spacing w:val="-4"/>
        </w:rPr>
        <w:t xml:space="preserve"> </w:t>
      </w:r>
      <w:r>
        <w:rPr>
          <w:b/>
        </w:rPr>
        <w:t>a</w:t>
      </w:r>
      <w:r>
        <w:rPr>
          <w:b/>
          <w:spacing w:val="-3"/>
        </w:rPr>
        <w:t xml:space="preserve"> </w:t>
      </w:r>
      <w:r>
        <w:rPr>
          <w:b/>
        </w:rPr>
        <w:t>change</w:t>
      </w:r>
      <w:r>
        <w:rPr>
          <w:b/>
          <w:spacing w:val="-3"/>
        </w:rPr>
        <w:t xml:space="preserve"> </w:t>
      </w:r>
      <w:r>
        <w:rPr>
          <w:b/>
        </w:rPr>
        <w:t>plan</w:t>
      </w:r>
      <w:r>
        <w:rPr>
          <w:b/>
          <w:spacing w:val="-3"/>
        </w:rPr>
        <w:t xml:space="preserve"> </w:t>
      </w:r>
      <w:r>
        <w:rPr>
          <w:b/>
        </w:rPr>
        <w:t>that</w:t>
      </w:r>
      <w:r>
        <w:rPr>
          <w:b/>
          <w:spacing w:val="-4"/>
        </w:rPr>
        <w:t xml:space="preserve"> </w:t>
      </w:r>
      <w:r>
        <w:rPr>
          <w:b/>
        </w:rPr>
        <w:t>is</w:t>
      </w:r>
      <w:r>
        <w:rPr>
          <w:b/>
          <w:spacing w:val="-1"/>
        </w:rPr>
        <w:t xml:space="preserve"> </w:t>
      </w:r>
      <w:r>
        <w:rPr>
          <w:b/>
        </w:rPr>
        <w:t>acceptable,</w:t>
      </w:r>
      <w:r>
        <w:rPr>
          <w:b/>
          <w:spacing w:val="-1"/>
        </w:rPr>
        <w:t xml:space="preserve"> </w:t>
      </w:r>
      <w:r>
        <w:rPr>
          <w:b/>
        </w:rPr>
        <w:t>accessible,</w:t>
      </w:r>
      <w:r>
        <w:rPr>
          <w:b/>
          <w:spacing w:val="-4"/>
        </w:rPr>
        <w:t xml:space="preserve"> </w:t>
      </w:r>
      <w:r>
        <w:rPr>
          <w:b/>
        </w:rPr>
        <w:t xml:space="preserve">and appropriate. </w:t>
      </w:r>
      <w:r>
        <w:t>Once a client decides to change a substance use behavior, he or she may already have ideas about how to make that change. For example, a client may have previously stopp</w:t>
      </w:r>
      <w:r>
        <w:t>ed smoking cannabis and already knows what worked in the past. Your task is to simply reinforce the client’s plan.</w:t>
      </w:r>
    </w:p>
    <w:p w14:paraId="12198545" w14:textId="77777777" w:rsidR="00DB6E1F" w:rsidRDefault="00F666A6">
      <w:pPr>
        <w:spacing w:before="159"/>
        <w:ind w:left="1439" w:right="1450"/>
      </w:pPr>
      <w:r>
        <w:t>Don’t assume that all clients need a structured method to develop a change plan. Many people can</w:t>
      </w:r>
      <w:r>
        <w:rPr>
          <w:spacing w:val="40"/>
        </w:rPr>
        <w:t xml:space="preserve"> </w:t>
      </w:r>
      <w:r>
        <w:t>make significant lifestyle changes and initi</w:t>
      </w:r>
      <w:r>
        <w:t xml:space="preserve">ate recovery from SUDs without formal assistance (Kelly, Bergman, Hoeppner, Vilsaint, &amp; White, 2017). </w:t>
      </w:r>
      <w:r>
        <w:rPr>
          <w:b/>
        </w:rPr>
        <w:t>For clients who need help developing a change plan, remember</w:t>
      </w:r>
      <w:r>
        <w:rPr>
          <w:b/>
          <w:spacing w:val="-4"/>
        </w:rPr>
        <w:t xml:space="preserve"> </w:t>
      </w:r>
      <w:r>
        <w:rPr>
          <w:b/>
        </w:rPr>
        <w:t>to</w:t>
      </w:r>
      <w:r>
        <w:rPr>
          <w:b/>
          <w:spacing w:val="-3"/>
        </w:rPr>
        <w:t xml:space="preserve"> </w:t>
      </w:r>
      <w:r>
        <w:rPr>
          <w:b/>
        </w:rPr>
        <w:t>continue</w:t>
      </w:r>
      <w:r>
        <w:rPr>
          <w:b/>
          <w:spacing w:val="-2"/>
        </w:rPr>
        <w:t xml:space="preserve"> </w:t>
      </w:r>
      <w:r>
        <w:rPr>
          <w:b/>
        </w:rPr>
        <w:t>using</w:t>
      </w:r>
      <w:r>
        <w:rPr>
          <w:b/>
          <w:spacing w:val="-1"/>
        </w:rPr>
        <w:t xml:space="preserve"> </w:t>
      </w:r>
      <w:r>
        <w:rPr>
          <w:b/>
        </w:rPr>
        <w:t>MI</w:t>
      </w:r>
      <w:r>
        <w:rPr>
          <w:b/>
          <w:spacing w:val="-3"/>
        </w:rPr>
        <w:t xml:space="preserve"> </w:t>
      </w:r>
      <w:r>
        <w:rPr>
          <w:b/>
        </w:rPr>
        <w:t>techniques</w:t>
      </w:r>
      <w:r>
        <w:rPr>
          <w:b/>
          <w:spacing w:val="-1"/>
        </w:rPr>
        <w:t xml:space="preserve"> </w:t>
      </w:r>
      <w:r>
        <w:rPr>
          <w:b/>
        </w:rPr>
        <w:t>and</w:t>
      </w:r>
      <w:r>
        <w:rPr>
          <w:b/>
          <w:spacing w:val="-3"/>
        </w:rPr>
        <w:t xml:space="preserve"> </w:t>
      </w:r>
      <w:r>
        <w:rPr>
          <w:b/>
        </w:rPr>
        <w:t>OARS</w:t>
      </w:r>
      <w:r>
        <w:rPr>
          <w:b/>
          <w:spacing w:val="-3"/>
        </w:rPr>
        <w:t xml:space="preserve"> </w:t>
      </w:r>
      <w:r>
        <w:rPr>
          <w:b/>
        </w:rPr>
        <w:t>to</w:t>
      </w:r>
      <w:r>
        <w:rPr>
          <w:b/>
          <w:spacing w:val="-3"/>
        </w:rPr>
        <w:t xml:space="preserve"> </w:t>
      </w:r>
      <w:r>
        <w:rPr>
          <w:b/>
        </w:rPr>
        <w:t>move</w:t>
      </w:r>
      <w:r>
        <w:rPr>
          <w:b/>
          <w:spacing w:val="-3"/>
        </w:rPr>
        <w:t xml:space="preserve"> </w:t>
      </w:r>
      <w:r>
        <w:rPr>
          <w:b/>
        </w:rPr>
        <w:t>the</w:t>
      </w:r>
      <w:r>
        <w:rPr>
          <w:b/>
          <w:spacing w:val="-3"/>
        </w:rPr>
        <w:t xml:space="preserve"> </w:t>
      </w:r>
      <w:r>
        <w:rPr>
          <w:b/>
        </w:rPr>
        <w:t>process</w:t>
      </w:r>
      <w:r>
        <w:rPr>
          <w:b/>
          <w:spacing w:val="-4"/>
        </w:rPr>
        <w:t xml:space="preserve"> </w:t>
      </w:r>
      <w:r>
        <w:rPr>
          <w:b/>
        </w:rPr>
        <w:t>from</w:t>
      </w:r>
      <w:r>
        <w:rPr>
          <w:b/>
          <w:spacing w:val="-2"/>
        </w:rPr>
        <w:t xml:space="preserve"> </w:t>
      </w:r>
      <w:r>
        <w:rPr>
          <w:b/>
          <w:i/>
        </w:rPr>
        <w:t>why</w:t>
      </w:r>
      <w:r>
        <w:rPr>
          <w:b/>
          <w:i/>
          <w:spacing w:val="-5"/>
        </w:rPr>
        <w:t xml:space="preserve"> </w:t>
      </w:r>
      <w:r>
        <w:rPr>
          <w:b/>
        </w:rPr>
        <w:t>change</w:t>
      </w:r>
      <w:r>
        <w:rPr>
          <w:b/>
          <w:spacing w:val="-3"/>
        </w:rPr>
        <w:t xml:space="preserve"> </w:t>
      </w:r>
      <w:r>
        <w:rPr>
          <w:b/>
        </w:rPr>
        <w:t>and</w:t>
      </w:r>
      <w:r>
        <w:rPr>
          <w:b/>
          <w:spacing w:val="-2"/>
        </w:rPr>
        <w:t xml:space="preserve"> </w:t>
      </w:r>
      <w:r>
        <w:rPr>
          <w:b/>
          <w:i/>
        </w:rPr>
        <w:t xml:space="preserve">what </w:t>
      </w:r>
      <w:r>
        <w:rPr>
          <w:b/>
        </w:rPr>
        <w:t>to</w:t>
      </w:r>
      <w:r>
        <w:rPr>
          <w:b/>
          <w:spacing w:val="-1"/>
        </w:rPr>
        <w:t xml:space="preserve"> </w:t>
      </w:r>
      <w:r>
        <w:rPr>
          <w:b/>
        </w:rPr>
        <w:t>change</w:t>
      </w:r>
      <w:r>
        <w:rPr>
          <w:b/>
          <w:spacing w:val="-1"/>
        </w:rPr>
        <w:t xml:space="preserve"> </w:t>
      </w:r>
      <w:r>
        <w:rPr>
          <w:b/>
        </w:rPr>
        <w:t>to</w:t>
      </w:r>
      <w:r>
        <w:rPr>
          <w:b/>
          <w:spacing w:val="-3"/>
        </w:rPr>
        <w:t xml:space="preserve"> </w:t>
      </w:r>
      <w:r>
        <w:rPr>
          <w:b/>
          <w:i/>
        </w:rPr>
        <w:t>how</w:t>
      </w:r>
      <w:r>
        <w:rPr>
          <w:b/>
          <w:i/>
          <w:spacing w:val="-1"/>
        </w:rPr>
        <w:t xml:space="preserve"> </w:t>
      </w:r>
      <w:r>
        <w:rPr>
          <w:b/>
        </w:rPr>
        <w:t>to</w:t>
      </w:r>
      <w:r>
        <w:rPr>
          <w:b/>
          <w:spacing w:val="-1"/>
        </w:rPr>
        <w:t xml:space="preserve"> </w:t>
      </w:r>
      <w:r>
        <w:rPr>
          <w:b/>
        </w:rPr>
        <w:t>change</w:t>
      </w:r>
      <w:r>
        <w:rPr>
          <w:b/>
          <w:spacing w:val="-1"/>
        </w:rPr>
        <w:t xml:space="preserve"> </w:t>
      </w:r>
      <w:r>
        <w:t>(Miller</w:t>
      </w:r>
      <w:r>
        <w:rPr>
          <w:spacing w:val="-2"/>
        </w:rPr>
        <w:t xml:space="preserve"> </w:t>
      </w:r>
      <w:r>
        <w:t>&amp; Rollnick, 2013).</w:t>
      </w:r>
      <w:r>
        <w:rPr>
          <w:spacing w:val="-2"/>
        </w:rPr>
        <w:t xml:space="preserve"> </w:t>
      </w:r>
      <w:r>
        <w:t>A change plan</w:t>
      </w:r>
      <w:r>
        <w:rPr>
          <w:spacing w:val="-1"/>
        </w:rPr>
        <w:t xml:space="preserve"> </w:t>
      </w:r>
      <w:r>
        <w:t>is like a</w:t>
      </w:r>
      <w:r>
        <w:rPr>
          <w:spacing w:val="-3"/>
        </w:rPr>
        <w:t xml:space="preserve"> </w:t>
      </w:r>
      <w:r>
        <w:t>treatment</w:t>
      </w:r>
      <w:r>
        <w:rPr>
          <w:spacing w:val="-2"/>
        </w:rPr>
        <w:t xml:space="preserve"> </w:t>
      </w:r>
      <w:r>
        <w:t>plan</w:t>
      </w:r>
      <w:r>
        <w:rPr>
          <w:spacing w:val="-1"/>
        </w:rPr>
        <w:t xml:space="preserve"> </w:t>
      </w:r>
      <w:r>
        <w:t>but broader (e.g., going</w:t>
      </w:r>
      <w:r>
        <w:rPr>
          <w:spacing w:val="-1"/>
        </w:rPr>
        <w:t xml:space="preserve"> </w:t>
      </w:r>
      <w:r>
        <w:t>to an</w:t>
      </w:r>
      <w:r>
        <w:rPr>
          <w:spacing w:val="-1"/>
        </w:rPr>
        <w:t xml:space="preserve"> </w:t>
      </w:r>
      <w:r>
        <w:t>addiction</w:t>
      </w:r>
      <w:r>
        <w:rPr>
          <w:spacing w:val="-3"/>
        </w:rPr>
        <w:t xml:space="preserve"> </w:t>
      </w:r>
      <w:r>
        <w:t>treatment</w:t>
      </w:r>
      <w:r>
        <w:rPr>
          <w:spacing w:val="-2"/>
        </w:rPr>
        <w:t xml:space="preserve"> </w:t>
      </w:r>
      <w:r>
        <w:t>program</w:t>
      </w:r>
      <w:r>
        <w:rPr>
          <w:spacing w:val="-1"/>
        </w:rPr>
        <w:t xml:space="preserve"> </w:t>
      </w:r>
      <w:r>
        <w:t>may be</w:t>
      </w:r>
      <w:r>
        <w:rPr>
          <w:spacing w:val="-2"/>
        </w:rPr>
        <w:t xml:space="preserve"> </w:t>
      </w:r>
      <w:r>
        <w:t>part of</w:t>
      </w:r>
      <w:r>
        <w:rPr>
          <w:spacing w:val="-2"/>
        </w:rPr>
        <w:t xml:space="preserve"> </w:t>
      </w:r>
      <w:r>
        <w:t>a change</w:t>
      </w:r>
      <w:r>
        <w:rPr>
          <w:spacing w:val="-2"/>
        </w:rPr>
        <w:t xml:space="preserve"> </w:t>
      </w:r>
      <w:r>
        <w:t>plan), and</w:t>
      </w:r>
      <w:r>
        <w:rPr>
          <w:spacing w:val="-3"/>
        </w:rPr>
        <w:t xml:space="preserve"> </w:t>
      </w:r>
      <w:r>
        <w:t>the client, rather than you or the treatment program, is the driver of t</w:t>
      </w:r>
      <w:r>
        <w:t>he planning process (Miller &amp; Rollnick, 2013).</w:t>
      </w:r>
    </w:p>
    <w:p w14:paraId="781A6D4C" w14:textId="77777777" w:rsidR="00DB6E1F" w:rsidRDefault="00DB6E1F">
      <w:pPr>
        <w:pStyle w:val="BodyText"/>
        <w:spacing w:before="6"/>
        <w:rPr>
          <w:sz w:val="16"/>
        </w:rPr>
      </w:pPr>
    </w:p>
    <w:p w14:paraId="28DFF685" w14:textId="77777777" w:rsidR="00DB6E1F" w:rsidRDefault="00F666A6">
      <w:pPr>
        <w:pStyle w:val="Heading4"/>
      </w:pPr>
      <w:bookmarkStart w:id="116" w:name="Identifying_a_change_goal"/>
      <w:bookmarkEnd w:id="116"/>
      <w:r>
        <w:t>Identifying</w:t>
      </w:r>
      <w:r>
        <w:rPr>
          <w:spacing w:val="-10"/>
        </w:rPr>
        <w:t xml:space="preserve"> </w:t>
      </w:r>
      <w:r>
        <w:t>a</w:t>
      </w:r>
      <w:r>
        <w:rPr>
          <w:spacing w:val="-5"/>
        </w:rPr>
        <w:t xml:space="preserve"> </w:t>
      </w:r>
      <w:r>
        <w:t>change</w:t>
      </w:r>
      <w:r>
        <w:rPr>
          <w:spacing w:val="-8"/>
        </w:rPr>
        <w:t xml:space="preserve"> </w:t>
      </w:r>
      <w:r>
        <w:rPr>
          <w:spacing w:val="-4"/>
        </w:rPr>
        <w:t>goal</w:t>
      </w:r>
    </w:p>
    <w:p w14:paraId="3301142C" w14:textId="77777777" w:rsidR="00DB6E1F" w:rsidRDefault="00F666A6">
      <w:pPr>
        <w:pStyle w:val="BodyText"/>
        <w:spacing w:before="83"/>
        <w:ind w:left="1439" w:right="1491"/>
      </w:pPr>
      <w:r>
        <w:rPr>
          <w:b/>
        </w:rPr>
        <w:t>Part</w:t>
      </w:r>
      <w:r>
        <w:rPr>
          <w:b/>
          <w:spacing w:val="-1"/>
        </w:rPr>
        <w:t xml:space="preserve"> </w:t>
      </w:r>
      <w:r>
        <w:rPr>
          <w:b/>
        </w:rPr>
        <w:t>of</w:t>
      </w:r>
      <w:r>
        <w:rPr>
          <w:b/>
          <w:spacing w:val="-2"/>
        </w:rPr>
        <w:t xml:space="preserve"> </w:t>
      </w:r>
      <w:r>
        <w:rPr>
          <w:b/>
        </w:rPr>
        <w:t>planning</w:t>
      </w:r>
      <w:r>
        <w:rPr>
          <w:b/>
          <w:spacing w:val="-2"/>
        </w:rPr>
        <w:t xml:space="preserve"> </w:t>
      </w:r>
      <w:r>
        <w:rPr>
          <w:b/>
        </w:rPr>
        <w:t>is</w:t>
      </w:r>
      <w:r>
        <w:rPr>
          <w:b/>
          <w:spacing w:val="-1"/>
        </w:rPr>
        <w:t xml:space="preserve"> </w:t>
      </w:r>
      <w:r>
        <w:rPr>
          <w:b/>
        </w:rPr>
        <w:t>working</w:t>
      </w:r>
      <w:r>
        <w:rPr>
          <w:b/>
          <w:spacing w:val="-2"/>
        </w:rPr>
        <w:t xml:space="preserve"> </w:t>
      </w:r>
      <w:r>
        <w:rPr>
          <w:b/>
        </w:rPr>
        <w:t>with</w:t>
      </w:r>
      <w:r>
        <w:rPr>
          <w:b/>
          <w:spacing w:val="-2"/>
        </w:rPr>
        <w:t xml:space="preserve"> </w:t>
      </w:r>
      <w:r>
        <w:rPr>
          <w:b/>
        </w:rPr>
        <w:t>the</w:t>
      </w:r>
      <w:r>
        <w:rPr>
          <w:b/>
          <w:spacing w:val="-4"/>
        </w:rPr>
        <w:t xml:space="preserve"> </w:t>
      </w:r>
      <w:r>
        <w:rPr>
          <w:b/>
        </w:rPr>
        <w:t>client</w:t>
      </w:r>
      <w:r>
        <w:rPr>
          <w:b/>
          <w:spacing w:val="-1"/>
        </w:rPr>
        <w:t xml:space="preserve"> </w:t>
      </w:r>
      <w:r>
        <w:rPr>
          <w:b/>
        </w:rPr>
        <w:t>to</w:t>
      </w:r>
      <w:r>
        <w:rPr>
          <w:b/>
          <w:spacing w:val="-2"/>
        </w:rPr>
        <w:t xml:space="preserve"> </w:t>
      </w:r>
      <w:r>
        <w:rPr>
          <w:b/>
        </w:rPr>
        <w:t>identify</w:t>
      </w:r>
      <w:r>
        <w:rPr>
          <w:b/>
          <w:spacing w:val="-1"/>
        </w:rPr>
        <w:t xml:space="preserve"> </w:t>
      </w:r>
      <w:r>
        <w:rPr>
          <w:b/>
        </w:rPr>
        <w:t>or</w:t>
      </w:r>
      <w:r>
        <w:rPr>
          <w:b/>
          <w:spacing w:val="-1"/>
        </w:rPr>
        <w:t xml:space="preserve"> </w:t>
      </w:r>
      <w:r>
        <w:rPr>
          <w:b/>
        </w:rPr>
        <w:t>clarify</w:t>
      </w:r>
      <w:r>
        <w:rPr>
          <w:b/>
          <w:spacing w:val="-1"/>
        </w:rPr>
        <w:t xml:space="preserve"> </w:t>
      </w:r>
      <w:r>
        <w:rPr>
          <w:b/>
        </w:rPr>
        <w:t>a</w:t>
      </w:r>
      <w:r>
        <w:rPr>
          <w:b/>
          <w:spacing w:val="-4"/>
        </w:rPr>
        <w:t xml:space="preserve"> </w:t>
      </w:r>
      <w:r>
        <w:rPr>
          <w:b/>
        </w:rPr>
        <w:t>change</w:t>
      </w:r>
      <w:r>
        <w:rPr>
          <w:b/>
          <w:spacing w:val="-2"/>
        </w:rPr>
        <w:t xml:space="preserve"> </w:t>
      </w:r>
      <w:r>
        <w:rPr>
          <w:b/>
        </w:rPr>
        <w:t>goal.</w:t>
      </w:r>
      <w:r>
        <w:rPr>
          <w:b/>
          <w:spacing w:val="-1"/>
        </w:rPr>
        <w:t xml:space="preserve"> </w:t>
      </w:r>
      <w:r>
        <w:t>At</w:t>
      </w:r>
      <w:r>
        <w:rPr>
          <w:spacing w:val="-3"/>
        </w:rPr>
        <w:t xml:space="preserve"> </w:t>
      </w:r>
      <w:r>
        <w:t>this</w:t>
      </w:r>
      <w:r>
        <w:rPr>
          <w:spacing w:val="-1"/>
        </w:rPr>
        <w:t xml:space="preserve"> </w:t>
      </w:r>
      <w:r>
        <w:t>point,</w:t>
      </w:r>
      <w:r>
        <w:rPr>
          <w:spacing w:val="-3"/>
        </w:rPr>
        <w:t xml:space="preserve"> </w:t>
      </w:r>
      <w:r>
        <w:t>the</w:t>
      </w:r>
      <w:r>
        <w:rPr>
          <w:spacing w:val="-3"/>
        </w:rPr>
        <w:t xml:space="preserve"> </w:t>
      </w:r>
      <w:r>
        <w:t>client may have identified a change goal. For example, when you ask a key question such as “What do you want to do about the drinking?” the client might say, “I want to cut back to two drinks a day on weekends.” In this situation, the focus shifts to devel</w:t>
      </w:r>
      <w:r>
        <w:t>oping a plan with specific steps the client might take to reach the change goal. If the client is vague about a change goal and says, “I really need to do something about my drinking,” the first step is to help the client clarify the change goal.</w:t>
      </w:r>
    </w:p>
    <w:p w14:paraId="4B6FBD3E" w14:textId="77777777" w:rsidR="00DB6E1F" w:rsidRDefault="00F666A6">
      <w:pPr>
        <w:pStyle w:val="BodyText"/>
        <w:spacing w:before="159"/>
        <w:ind w:left="1439"/>
        <w:jc w:val="both"/>
      </w:pPr>
      <w:r>
        <w:t>Here</w:t>
      </w:r>
      <w:r>
        <w:rPr>
          <w:spacing w:val="-3"/>
        </w:rPr>
        <w:t xml:space="preserve"> </w:t>
      </w:r>
      <w:r>
        <w:t>is</w:t>
      </w:r>
      <w:r>
        <w:rPr>
          <w:spacing w:val="-2"/>
        </w:rPr>
        <w:t xml:space="preserve"> </w:t>
      </w:r>
      <w:r>
        <w:t>an</w:t>
      </w:r>
      <w:r>
        <w:rPr>
          <w:spacing w:val="-5"/>
        </w:rPr>
        <w:t xml:space="preserve"> </w:t>
      </w:r>
      <w:r>
        <w:t>example</w:t>
      </w:r>
      <w:r>
        <w:rPr>
          <w:spacing w:val="-4"/>
        </w:rPr>
        <w:t xml:space="preserve"> </w:t>
      </w:r>
      <w:r>
        <w:t>of</w:t>
      </w:r>
      <w:r>
        <w:rPr>
          <w:spacing w:val="-4"/>
        </w:rPr>
        <w:t xml:space="preserve"> </w:t>
      </w:r>
      <w:r>
        <w:t>a</w:t>
      </w:r>
      <w:r>
        <w:rPr>
          <w:spacing w:val="-2"/>
        </w:rPr>
        <w:t xml:space="preserve"> </w:t>
      </w:r>
      <w:r>
        <w:t>dialog</w:t>
      </w:r>
      <w:r>
        <w:rPr>
          <w:spacing w:val="-2"/>
        </w:rPr>
        <w:t xml:space="preserve"> </w:t>
      </w:r>
      <w:r>
        <w:t>that</w:t>
      </w:r>
      <w:r>
        <w:rPr>
          <w:spacing w:val="-4"/>
        </w:rPr>
        <w:t xml:space="preserve"> </w:t>
      </w:r>
      <w:r>
        <w:t>helps</w:t>
      </w:r>
      <w:r>
        <w:rPr>
          <w:spacing w:val="-2"/>
        </w:rPr>
        <w:t xml:space="preserve"> </w:t>
      </w:r>
      <w:r>
        <w:t>the</w:t>
      </w:r>
      <w:r>
        <w:rPr>
          <w:spacing w:val="-4"/>
        </w:rPr>
        <w:t xml:space="preserve"> </w:t>
      </w:r>
      <w:r>
        <w:t>client</w:t>
      </w:r>
      <w:r>
        <w:rPr>
          <w:spacing w:val="-4"/>
        </w:rPr>
        <w:t xml:space="preserve"> </w:t>
      </w:r>
      <w:r>
        <w:t>get</w:t>
      </w:r>
      <w:r>
        <w:rPr>
          <w:spacing w:val="-4"/>
        </w:rPr>
        <w:t xml:space="preserve"> </w:t>
      </w:r>
      <w:r>
        <w:t>more</w:t>
      </w:r>
      <w:r>
        <w:rPr>
          <w:spacing w:val="-3"/>
        </w:rPr>
        <w:t xml:space="preserve"> </w:t>
      </w:r>
      <w:r>
        <w:rPr>
          <w:spacing w:val="-2"/>
        </w:rPr>
        <w:t>specific:</w:t>
      </w:r>
    </w:p>
    <w:p w14:paraId="18BBC486" w14:textId="77777777" w:rsidR="00DB6E1F" w:rsidRDefault="00F666A6">
      <w:pPr>
        <w:pStyle w:val="ListParagraph"/>
        <w:numPr>
          <w:ilvl w:val="0"/>
          <w:numId w:val="92"/>
        </w:numPr>
        <w:tabs>
          <w:tab w:val="left" w:pos="1800"/>
        </w:tabs>
        <w:spacing w:before="61"/>
        <w:ind w:left="1799" w:right="1687"/>
        <w:jc w:val="both"/>
        <w:rPr>
          <w:rFonts w:ascii="Symbol" w:hAnsi="Symbol"/>
        </w:rPr>
      </w:pPr>
      <w:r>
        <w:rPr>
          <w:b/>
        </w:rPr>
        <w:t>Counselor:</w:t>
      </w:r>
      <w:r>
        <w:rPr>
          <w:b/>
          <w:spacing w:val="-3"/>
        </w:rPr>
        <w:t xml:space="preserve"> </w:t>
      </w:r>
      <w:r>
        <w:t>You</w:t>
      </w:r>
      <w:r>
        <w:rPr>
          <w:spacing w:val="-3"/>
        </w:rPr>
        <w:t xml:space="preserve"> </w:t>
      </w:r>
      <w:r>
        <w:t>are</w:t>
      </w:r>
      <w:r>
        <w:rPr>
          <w:spacing w:val="-4"/>
        </w:rPr>
        <w:t xml:space="preserve"> </w:t>
      </w:r>
      <w:r>
        <w:t>committed</w:t>
      </w:r>
      <w:r>
        <w:rPr>
          <w:spacing w:val="-3"/>
        </w:rPr>
        <w:t xml:space="preserve"> </w:t>
      </w:r>
      <w:r>
        <w:t>to</w:t>
      </w:r>
      <w:r>
        <w:rPr>
          <w:spacing w:val="-3"/>
        </w:rPr>
        <w:t xml:space="preserve"> </w:t>
      </w:r>
      <w:r>
        <w:t>making</w:t>
      </w:r>
      <w:r>
        <w:rPr>
          <w:spacing w:val="-3"/>
        </w:rPr>
        <w:t xml:space="preserve"> </w:t>
      </w:r>
      <w:r>
        <w:t>some</w:t>
      </w:r>
      <w:r>
        <w:rPr>
          <w:spacing w:val="-4"/>
        </w:rPr>
        <w:t xml:space="preserve"> </w:t>
      </w:r>
      <w:r>
        <w:t>changes</w:t>
      </w:r>
      <w:r>
        <w:rPr>
          <w:spacing w:val="-2"/>
        </w:rPr>
        <w:t xml:space="preserve"> </w:t>
      </w:r>
      <w:r>
        <w:t>to</w:t>
      </w:r>
      <w:r>
        <w:rPr>
          <w:spacing w:val="-3"/>
        </w:rPr>
        <w:t xml:space="preserve"> </w:t>
      </w:r>
      <w:r>
        <w:t>your</w:t>
      </w:r>
      <w:r>
        <w:rPr>
          <w:spacing w:val="-2"/>
        </w:rPr>
        <w:t xml:space="preserve"> </w:t>
      </w:r>
      <w:r>
        <w:t>drinking.</w:t>
      </w:r>
      <w:r>
        <w:rPr>
          <w:spacing w:val="-2"/>
        </w:rPr>
        <w:t xml:space="preserve"> </w:t>
      </w:r>
      <w:r>
        <w:rPr>
          <w:i/>
        </w:rPr>
        <w:t>(Reflection)</w:t>
      </w:r>
      <w:r>
        <w:rPr>
          <w:i/>
          <w:spacing w:val="-2"/>
        </w:rPr>
        <w:t xml:space="preserve"> </w:t>
      </w:r>
      <w:r>
        <w:t>What</w:t>
      </w:r>
      <w:r>
        <w:rPr>
          <w:spacing w:val="-4"/>
        </w:rPr>
        <w:t xml:space="preserve"> </w:t>
      </w:r>
      <w:r>
        <w:t xml:space="preserve">would that look like? </w:t>
      </w:r>
      <w:r>
        <w:rPr>
          <w:i/>
        </w:rPr>
        <w:t>(Open question)</w:t>
      </w:r>
    </w:p>
    <w:p w14:paraId="766F09B7" w14:textId="77777777" w:rsidR="00DB6E1F" w:rsidRDefault="00F666A6">
      <w:pPr>
        <w:pStyle w:val="ListParagraph"/>
        <w:numPr>
          <w:ilvl w:val="0"/>
          <w:numId w:val="92"/>
        </w:numPr>
        <w:tabs>
          <w:tab w:val="left" w:pos="1800"/>
        </w:tabs>
        <w:ind w:left="1799" w:right="1789"/>
        <w:jc w:val="both"/>
        <w:rPr>
          <w:rFonts w:ascii="Symbol" w:hAnsi="Symbol"/>
        </w:rPr>
      </w:pPr>
      <w:r>
        <w:rPr>
          <w:b/>
        </w:rPr>
        <w:t>Client:</w:t>
      </w:r>
      <w:r>
        <w:rPr>
          <w:b/>
          <w:spacing w:val="-4"/>
        </w:rPr>
        <w:t xml:space="preserve"> </w:t>
      </w:r>
      <w:r>
        <w:t>Well,</w:t>
      </w:r>
      <w:r>
        <w:rPr>
          <w:spacing w:val="-1"/>
        </w:rPr>
        <w:t xml:space="preserve"> </w:t>
      </w:r>
      <w:r>
        <w:t>I</w:t>
      </w:r>
      <w:r>
        <w:rPr>
          <w:spacing w:val="-4"/>
        </w:rPr>
        <w:t xml:space="preserve"> </w:t>
      </w:r>
      <w:r>
        <w:t>tried</w:t>
      </w:r>
      <w:r>
        <w:rPr>
          <w:spacing w:val="-4"/>
        </w:rPr>
        <w:t xml:space="preserve"> </w:t>
      </w:r>
      <w:r>
        <w:t>to</w:t>
      </w:r>
      <w:r>
        <w:rPr>
          <w:spacing w:val="-2"/>
        </w:rPr>
        <w:t xml:space="preserve"> </w:t>
      </w:r>
      <w:r>
        <w:t>cut back to</w:t>
      </w:r>
      <w:r>
        <w:rPr>
          <w:spacing w:val="-2"/>
        </w:rPr>
        <w:t xml:space="preserve"> </w:t>
      </w:r>
      <w:r>
        <w:t>one drink</w:t>
      </w:r>
      <w:r>
        <w:rPr>
          <w:spacing w:val="-3"/>
        </w:rPr>
        <w:t xml:space="preserve"> </w:t>
      </w:r>
      <w:r>
        <w:t>a</w:t>
      </w:r>
      <w:r>
        <w:rPr>
          <w:spacing w:val="-1"/>
        </w:rPr>
        <w:t xml:space="preserve"> </w:t>
      </w:r>
      <w:r>
        <w:t>day,</w:t>
      </w:r>
      <w:r>
        <w:rPr>
          <w:spacing w:val="-3"/>
        </w:rPr>
        <w:t xml:space="preserve"> </w:t>
      </w:r>
      <w:r>
        <w:t>but</w:t>
      </w:r>
      <w:r>
        <w:rPr>
          <w:spacing w:val="-3"/>
        </w:rPr>
        <w:t xml:space="preserve"> </w:t>
      </w:r>
      <w:r>
        <w:t>all</w:t>
      </w:r>
      <w:r>
        <w:rPr>
          <w:spacing w:val="-3"/>
        </w:rPr>
        <w:t xml:space="preserve"> </w:t>
      </w:r>
      <w:r>
        <w:t>I</w:t>
      </w:r>
      <w:r>
        <w:rPr>
          <w:spacing w:val="-1"/>
        </w:rPr>
        <w:t xml:space="preserve"> </w:t>
      </w:r>
      <w:r>
        <w:t>could</w:t>
      </w:r>
      <w:r>
        <w:rPr>
          <w:spacing w:val="-4"/>
        </w:rPr>
        <w:t xml:space="preserve"> </w:t>
      </w:r>
      <w:r>
        <w:t>think about</w:t>
      </w:r>
      <w:r>
        <w:rPr>
          <w:spacing w:val="-3"/>
        </w:rPr>
        <w:t xml:space="preserve"> </w:t>
      </w:r>
      <w:r>
        <w:t>was</w:t>
      </w:r>
      <w:r>
        <w:rPr>
          <w:spacing w:val="-6"/>
        </w:rPr>
        <w:t xml:space="preserve"> </w:t>
      </w:r>
      <w:r>
        <w:t>going</w:t>
      </w:r>
      <w:r>
        <w:rPr>
          <w:spacing w:val="-2"/>
        </w:rPr>
        <w:t xml:space="preserve"> </w:t>
      </w:r>
      <w:r>
        <w:t>to</w:t>
      </w:r>
      <w:r>
        <w:rPr>
          <w:spacing w:val="-2"/>
        </w:rPr>
        <w:t xml:space="preserve"> </w:t>
      </w:r>
      <w:r>
        <w:t>the bar and</w:t>
      </w:r>
      <w:r>
        <w:rPr>
          <w:spacing w:val="-1"/>
        </w:rPr>
        <w:t xml:space="preserve"> </w:t>
      </w:r>
      <w:r>
        <w:t>getting</w:t>
      </w:r>
      <w:r>
        <w:rPr>
          <w:spacing w:val="-1"/>
        </w:rPr>
        <w:t xml:space="preserve"> </w:t>
      </w:r>
      <w:r>
        <w:t>drunk. I cut</w:t>
      </w:r>
      <w:r>
        <w:rPr>
          <w:spacing w:val="-2"/>
        </w:rPr>
        <w:t xml:space="preserve"> </w:t>
      </w:r>
      <w:r>
        <w:t>back for</w:t>
      </w:r>
      <w:r>
        <w:rPr>
          <w:spacing w:val="-3"/>
        </w:rPr>
        <w:t xml:space="preserve"> </w:t>
      </w:r>
      <w:r>
        <w:t>2 days but did</w:t>
      </w:r>
      <w:r>
        <w:rPr>
          <w:spacing w:val="-3"/>
        </w:rPr>
        <w:t xml:space="preserve"> </w:t>
      </w:r>
      <w:r>
        <w:t>end</w:t>
      </w:r>
      <w:r>
        <w:rPr>
          <w:spacing w:val="-1"/>
        </w:rPr>
        <w:t xml:space="preserve"> </w:t>
      </w:r>
      <w:r>
        <w:t>up</w:t>
      </w:r>
      <w:r>
        <w:rPr>
          <w:spacing w:val="-3"/>
        </w:rPr>
        <w:t xml:space="preserve"> </w:t>
      </w:r>
      <w:r>
        <w:t>back at</w:t>
      </w:r>
      <w:r>
        <w:rPr>
          <w:spacing w:val="-2"/>
        </w:rPr>
        <w:t xml:space="preserve"> </w:t>
      </w:r>
      <w:r>
        <w:t>the bar,</w:t>
      </w:r>
      <w:r>
        <w:rPr>
          <w:spacing w:val="-2"/>
        </w:rPr>
        <w:t xml:space="preserve"> </w:t>
      </w:r>
      <w:r>
        <w:t>and</w:t>
      </w:r>
      <w:r>
        <w:rPr>
          <w:spacing w:val="-1"/>
        </w:rPr>
        <w:t xml:space="preserve"> </w:t>
      </w:r>
      <w:r>
        <w:t>then</w:t>
      </w:r>
      <w:r>
        <w:rPr>
          <w:spacing w:val="-1"/>
        </w:rPr>
        <w:t xml:space="preserve"> </w:t>
      </w:r>
      <w:r>
        <w:t>it</w:t>
      </w:r>
      <w:r>
        <w:rPr>
          <w:spacing w:val="-2"/>
        </w:rPr>
        <w:t xml:space="preserve"> </w:t>
      </w:r>
      <w:r>
        <w:t>just got worse from there. At this point, I don’t think I can just cut back.</w:t>
      </w:r>
    </w:p>
    <w:p w14:paraId="1CD4A4CC" w14:textId="77777777" w:rsidR="00DB6E1F" w:rsidRDefault="00F666A6">
      <w:pPr>
        <w:pStyle w:val="ListParagraph"/>
        <w:numPr>
          <w:ilvl w:val="0"/>
          <w:numId w:val="92"/>
        </w:numPr>
        <w:tabs>
          <w:tab w:val="left" w:pos="1799"/>
          <w:tab w:val="left" w:pos="1800"/>
        </w:tabs>
        <w:spacing w:before="59"/>
        <w:ind w:left="1799" w:right="1684"/>
        <w:rPr>
          <w:rFonts w:ascii="Symbol" w:hAnsi="Symbol"/>
        </w:rPr>
      </w:pPr>
      <w:r>
        <w:rPr>
          <w:b/>
        </w:rPr>
        <w:t xml:space="preserve">Counselor: </w:t>
      </w:r>
      <w:r>
        <w:t>You made a good-faith effort to control the drinking and learned a lot from that experiment.</w:t>
      </w:r>
      <w:r>
        <w:rPr>
          <w:spacing w:val="-5"/>
        </w:rPr>
        <w:t xml:space="preserve"> </w:t>
      </w:r>
      <w:r>
        <w:rPr>
          <w:i/>
        </w:rPr>
        <w:t>(Affirmation)</w:t>
      </w:r>
      <w:r>
        <w:rPr>
          <w:i/>
          <w:spacing w:val="-1"/>
        </w:rPr>
        <w:t xml:space="preserve"> </w:t>
      </w:r>
      <w:r>
        <w:t>You</w:t>
      </w:r>
      <w:r>
        <w:rPr>
          <w:spacing w:val="-3"/>
        </w:rPr>
        <w:t xml:space="preserve"> </w:t>
      </w:r>
      <w:r>
        <w:t>now</w:t>
      </w:r>
      <w:r>
        <w:rPr>
          <w:spacing w:val="-1"/>
        </w:rPr>
        <w:t xml:space="preserve"> </w:t>
      </w:r>
      <w:r>
        <w:t>think</w:t>
      </w:r>
      <w:r>
        <w:rPr>
          <w:spacing w:val="-4"/>
        </w:rPr>
        <w:t xml:space="preserve"> </w:t>
      </w:r>
      <w:r>
        <w:t>that</w:t>
      </w:r>
      <w:r>
        <w:rPr>
          <w:spacing w:val="-4"/>
        </w:rPr>
        <w:t xml:space="preserve"> </w:t>
      </w:r>
      <w:r>
        <w:t>cutting</w:t>
      </w:r>
      <w:r>
        <w:rPr>
          <w:spacing w:val="-3"/>
        </w:rPr>
        <w:t xml:space="preserve"> </w:t>
      </w:r>
      <w:r>
        <w:t>back</w:t>
      </w:r>
      <w:r>
        <w:rPr>
          <w:spacing w:val="-1"/>
        </w:rPr>
        <w:t xml:space="preserve"> </w:t>
      </w:r>
      <w:r>
        <w:t>is</w:t>
      </w:r>
      <w:r>
        <w:rPr>
          <w:spacing w:val="-2"/>
        </w:rPr>
        <w:t xml:space="preserve"> </w:t>
      </w:r>
      <w:r>
        <w:t>probably</w:t>
      </w:r>
      <w:r>
        <w:rPr>
          <w:spacing w:val="-1"/>
        </w:rPr>
        <w:t xml:space="preserve"> </w:t>
      </w:r>
      <w:r>
        <w:t>not</w:t>
      </w:r>
      <w:r>
        <w:rPr>
          <w:spacing w:val="-1"/>
        </w:rPr>
        <w:t xml:space="preserve"> </w:t>
      </w:r>
      <w:r>
        <w:t>a</w:t>
      </w:r>
      <w:r>
        <w:rPr>
          <w:spacing w:val="-5"/>
        </w:rPr>
        <w:t xml:space="preserve"> </w:t>
      </w:r>
      <w:r>
        <w:t>good</w:t>
      </w:r>
      <w:r>
        <w:rPr>
          <w:spacing w:val="-5"/>
        </w:rPr>
        <w:t xml:space="preserve"> </w:t>
      </w:r>
      <w:r>
        <w:t>strate</w:t>
      </w:r>
      <w:r>
        <w:t>gy</w:t>
      </w:r>
      <w:r>
        <w:rPr>
          <w:spacing w:val="-1"/>
        </w:rPr>
        <w:t xml:space="preserve"> </w:t>
      </w:r>
      <w:r>
        <w:t>for</w:t>
      </w:r>
      <w:r>
        <w:rPr>
          <w:spacing w:val="-2"/>
        </w:rPr>
        <w:t xml:space="preserve"> </w:t>
      </w:r>
      <w:r>
        <w:t xml:space="preserve">you. </w:t>
      </w:r>
      <w:r>
        <w:rPr>
          <w:i/>
          <w:spacing w:val="-2"/>
        </w:rPr>
        <w:t>(Reflection)</w:t>
      </w:r>
    </w:p>
    <w:p w14:paraId="24C2EE91" w14:textId="77777777" w:rsidR="00DB6E1F" w:rsidRDefault="00F666A6">
      <w:pPr>
        <w:pStyle w:val="ListParagraph"/>
        <w:numPr>
          <w:ilvl w:val="0"/>
          <w:numId w:val="92"/>
        </w:numPr>
        <w:tabs>
          <w:tab w:val="left" w:pos="1799"/>
          <w:tab w:val="left" w:pos="1800"/>
        </w:tabs>
        <w:spacing w:before="61"/>
        <w:ind w:left="1799"/>
        <w:rPr>
          <w:rFonts w:ascii="Symbol" w:hAnsi="Symbol"/>
        </w:rPr>
      </w:pPr>
      <w:r>
        <w:rPr>
          <w:b/>
        </w:rPr>
        <w:t>Client:</w:t>
      </w:r>
      <w:r>
        <w:rPr>
          <w:b/>
          <w:spacing w:val="-5"/>
        </w:rPr>
        <w:t xml:space="preserve"> </w:t>
      </w:r>
      <w:r>
        <w:t>Yeah.</w:t>
      </w:r>
      <w:r>
        <w:rPr>
          <w:spacing w:val="-2"/>
        </w:rPr>
        <w:t xml:space="preserve"> </w:t>
      </w:r>
      <w:r>
        <w:t>It’s</w:t>
      </w:r>
      <w:r>
        <w:rPr>
          <w:spacing w:val="-2"/>
        </w:rPr>
        <w:t xml:space="preserve"> </w:t>
      </w:r>
      <w:r>
        <w:t>time</w:t>
      </w:r>
      <w:r>
        <w:rPr>
          <w:spacing w:val="-4"/>
        </w:rPr>
        <w:t xml:space="preserve"> </w:t>
      </w:r>
      <w:r>
        <w:t>to</w:t>
      </w:r>
      <w:r>
        <w:rPr>
          <w:spacing w:val="-2"/>
        </w:rPr>
        <w:t xml:space="preserve"> </w:t>
      </w:r>
      <w:r>
        <w:t>quit.</w:t>
      </w:r>
      <w:r>
        <w:rPr>
          <w:spacing w:val="-2"/>
        </w:rPr>
        <w:t xml:space="preserve"> </w:t>
      </w:r>
      <w:r>
        <w:t>But</w:t>
      </w:r>
      <w:r>
        <w:rPr>
          <w:spacing w:val="-1"/>
        </w:rPr>
        <w:t xml:space="preserve"> </w:t>
      </w:r>
      <w:r>
        <w:t>I’m</w:t>
      </w:r>
      <w:r>
        <w:rPr>
          <w:spacing w:val="-1"/>
        </w:rPr>
        <w:t xml:space="preserve"> </w:t>
      </w:r>
      <w:r>
        <w:t>not</w:t>
      </w:r>
      <w:r>
        <w:rPr>
          <w:spacing w:val="-1"/>
        </w:rPr>
        <w:t xml:space="preserve"> </w:t>
      </w:r>
      <w:r>
        <w:t>sure</w:t>
      </w:r>
      <w:r>
        <w:rPr>
          <w:spacing w:val="-4"/>
        </w:rPr>
        <w:t xml:space="preserve"> </w:t>
      </w:r>
      <w:r>
        <w:t>I</w:t>
      </w:r>
      <w:r>
        <w:rPr>
          <w:spacing w:val="-2"/>
        </w:rPr>
        <w:t xml:space="preserve"> </w:t>
      </w:r>
      <w:r>
        <w:t>can</w:t>
      </w:r>
      <w:r>
        <w:rPr>
          <w:spacing w:val="-2"/>
        </w:rPr>
        <w:t xml:space="preserve"> </w:t>
      </w:r>
      <w:r>
        <w:t>do</w:t>
      </w:r>
      <w:r>
        <w:rPr>
          <w:spacing w:val="-3"/>
        </w:rPr>
        <w:t xml:space="preserve"> </w:t>
      </w:r>
      <w:r>
        <w:t>that</w:t>
      </w:r>
      <w:r>
        <w:rPr>
          <w:spacing w:val="-4"/>
        </w:rPr>
        <w:t xml:space="preserve"> </w:t>
      </w:r>
      <w:r>
        <w:t>on</w:t>
      </w:r>
      <w:r>
        <w:rPr>
          <w:spacing w:val="-5"/>
        </w:rPr>
        <w:t xml:space="preserve"> </w:t>
      </w:r>
      <w:r>
        <w:t>my</w:t>
      </w:r>
      <w:r>
        <w:rPr>
          <w:spacing w:val="-2"/>
        </w:rPr>
        <w:t xml:space="preserve"> </w:t>
      </w:r>
      <w:r>
        <w:rPr>
          <w:spacing w:val="-4"/>
        </w:rPr>
        <w:t>own.</w:t>
      </w:r>
    </w:p>
    <w:p w14:paraId="6546FCF3" w14:textId="77777777" w:rsidR="00DB6E1F" w:rsidRDefault="00F666A6">
      <w:pPr>
        <w:pStyle w:val="ListParagraph"/>
        <w:numPr>
          <w:ilvl w:val="0"/>
          <w:numId w:val="92"/>
        </w:numPr>
        <w:tabs>
          <w:tab w:val="left" w:pos="1800"/>
          <w:tab w:val="left" w:pos="1801"/>
        </w:tabs>
        <w:ind w:left="1800" w:right="1655"/>
        <w:rPr>
          <w:rFonts w:ascii="Symbol" w:hAnsi="Symbol"/>
        </w:rPr>
      </w:pPr>
      <w:r>
        <w:rPr>
          <w:b/>
        </w:rPr>
        <w:t>Counselor:</w:t>
      </w:r>
      <w:r>
        <w:rPr>
          <w:b/>
          <w:spacing w:val="-3"/>
        </w:rPr>
        <w:t xml:space="preserve"> </w:t>
      </w:r>
      <w:r>
        <w:t>You’re</w:t>
      </w:r>
      <w:r>
        <w:rPr>
          <w:spacing w:val="-1"/>
        </w:rPr>
        <w:t xml:space="preserve"> </w:t>
      </w:r>
      <w:r>
        <w:t>ready</w:t>
      </w:r>
      <w:r>
        <w:rPr>
          <w:spacing w:val="-3"/>
        </w:rPr>
        <w:t xml:space="preserve"> </w:t>
      </w:r>
      <w:r>
        <w:t>to</w:t>
      </w:r>
      <w:r>
        <w:rPr>
          <w:spacing w:val="-6"/>
        </w:rPr>
        <w:t xml:space="preserve"> </w:t>
      </w:r>
      <w:r>
        <w:t>quit</w:t>
      </w:r>
      <w:r>
        <w:rPr>
          <w:spacing w:val="-2"/>
        </w:rPr>
        <w:t xml:space="preserve"> </w:t>
      </w:r>
      <w:r>
        <w:t>drinking</w:t>
      </w:r>
      <w:r>
        <w:rPr>
          <w:spacing w:val="-3"/>
        </w:rPr>
        <w:t xml:space="preserve"> </w:t>
      </w:r>
      <w:r>
        <w:t>completely</w:t>
      </w:r>
      <w:r>
        <w:rPr>
          <w:spacing w:val="-1"/>
        </w:rPr>
        <w:t xml:space="preserve"> </w:t>
      </w:r>
      <w:r>
        <w:t>and</w:t>
      </w:r>
      <w:r>
        <w:rPr>
          <w:spacing w:val="-3"/>
        </w:rPr>
        <w:t xml:space="preserve"> </w:t>
      </w:r>
      <w:r>
        <w:t>realize</w:t>
      </w:r>
      <w:r>
        <w:rPr>
          <w:spacing w:val="-1"/>
        </w:rPr>
        <w:t xml:space="preserve"> </w:t>
      </w:r>
      <w:r>
        <w:t>that</w:t>
      </w:r>
      <w:r>
        <w:rPr>
          <w:spacing w:val="-2"/>
        </w:rPr>
        <w:t xml:space="preserve"> </w:t>
      </w:r>
      <w:r>
        <w:t>you</w:t>
      </w:r>
      <w:r>
        <w:rPr>
          <w:spacing w:val="-3"/>
        </w:rPr>
        <w:t xml:space="preserve"> </w:t>
      </w:r>
      <w:r>
        <w:t>could</w:t>
      </w:r>
      <w:r>
        <w:rPr>
          <w:spacing w:val="-3"/>
        </w:rPr>
        <w:t xml:space="preserve"> </w:t>
      </w:r>
      <w:r>
        <w:t>use</w:t>
      </w:r>
      <w:r>
        <w:rPr>
          <w:spacing w:val="-4"/>
        </w:rPr>
        <w:t xml:space="preserve"> </w:t>
      </w:r>
      <w:r>
        <w:t>some</w:t>
      </w:r>
      <w:r>
        <w:rPr>
          <w:spacing w:val="-4"/>
        </w:rPr>
        <w:t xml:space="preserve"> </w:t>
      </w:r>
      <w:r>
        <w:t>help</w:t>
      </w:r>
      <w:r>
        <w:rPr>
          <w:spacing w:val="-3"/>
        </w:rPr>
        <w:t xml:space="preserve"> </w:t>
      </w:r>
      <w:r>
        <w:t>with making that kind of change</w:t>
      </w:r>
      <w:r>
        <w:rPr>
          <w:i/>
        </w:rPr>
        <w:t>. (Reflection)</w:t>
      </w:r>
    </w:p>
    <w:p w14:paraId="6F62F308" w14:textId="77777777" w:rsidR="00DB6E1F" w:rsidRDefault="00F666A6">
      <w:pPr>
        <w:pStyle w:val="ListParagraph"/>
        <w:numPr>
          <w:ilvl w:val="0"/>
          <w:numId w:val="92"/>
        </w:numPr>
        <w:tabs>
          <w:tab w:val="left" w:pos="1800"/>
          <w:tab w:val="left" w:pos="1801"/>
        </w:tabs>
        <w:spacing w:before="61"/>
        <w:ind w:left="1800"/>
        <w:rPr>
          <w:rFonts w:ascii="Symbol" w:hAnsi="Symbol"/>
        </w:rPr>
      </w:pPr>
      <w:r>
        <w:rPr>
          <w:b/>
        </w:rPr>
        <w:t>Client:</w:t>
      </w:r>
      <w:r>
        <w:rPr>
          <w:b/>
          <w:spacing w:val="-6"/>
        </w:rPr>
        <w:t xml:space="preserve"> </w:t>
      </w:r>
      <w:r>
        <w:t>Yeah.</w:t>
      </w:r>
      <w:r>
        <w:rPr>
          <w:spacing w:val="-2"/>
        </w:rPr>
        <w:t xml:space="preserve"> </w:t>
      </w:r>
      <w:r>
        <w:t>It’s</w:t>
      </w:r>
      <w:r>
        <w:rPr>
          <w:spacing w:val="-2"/>
        </w:rPr>
        <w:t xml:space="preserve"> </w:t>
      </w:r>
      <w:r>
        <w:t>time</w:t>
      </w:r>
      <w:r>
        <w:rPr>
          <w:spacing w:val="-4"/>
        </w:rPr>
        <w:t xml:space="preserve"> </w:t>
      </w:r>
      <w:r>
        <w:t>to</w:t>
      </w:r>
      <w:r>
        <w:rPr>
          <w:spacing w:val="-3"/>
        </w:rPr>
        <w:t xml:space="preserve"> </w:t>
      </w:r>
      <w:r>
        <w:t>give</w:t>
      </w:r>
      <w:r>
        <w:rPr>
          <w:spacing w:val="-1"/>
        </w:rPr>
        <w:t xml:space="preserve"> </w:t>
      </w:r>
      <w:r>
        <w:t>it</w:t>
      </w:r>
      <w:r>
        <w:rPr>
          <w:spacing w:val="-1"/>
        </w:rPr>
        <w:t xml:space="preserve"> </w:t>
      </w:r>
      <w:r>
        <w:rPr>
          <w:spacing w:val="-5"/>
        </w:rPr>
        <w:t>up.</w:t>
      </w:r>
    </w:p>
    <w:p w14:paraId="4212644E" w14:textId="77777777" w:rsidR="00DB6E1F" w:rsidRDefault="00F666A6">
      <w:pPr>
        <w:pStyle w:val="ListParagraph"/>
        <w:numPr>
          <w:ilvl w:val="0"/>
          <w:numId w:val="92"/>
        </w:numPr>
        <w:tabs>
          <w:tab w:val="left" w:pos="1800"/>
          <w:tab w:val="left" w:pos="1801"/>
        </w:tabs>
        <w:spacing w:before="56"/>
        <w:ind w:left="1800"/>
        <w:rPr>
          <w:rFonts w:ascii="Symbol" w:hAnsi="Symbol"/>
        </w:rPr>
      </w:pPr>
      <w:r>
        <w:rPr>
          <w:b/>
        </w:rPr>
        <w:t>Counselor:</w:t>
      </w:r>
      <w:r>
        <w:rPr>
          <w:b/>
          <w:spacing w:val="-8"/>
        </w:rPr>
        <w:t xml:space="preserve"> </w:t>
      </w:r>
      <w:r>
        <w:t>Let’s</w:t>
      </w:r>
      <w:r>
        <w:rPr>
          <w:spacing w:val="-4"/>
        </w:rPr>
        <w:t xml:space="preserve"> </w:t>
      </w:r>
      <w:r>
        <w:t>review</w:t>
      </w:r>
      <w:r>
        <w:rPr>
          <w:spacing w:val="-6"/>
        </w:rPr>
        <w:t xml:space="preserve"> </w:t>
      </w:r>
      <w:r>
        <w:t>the</w:t>
      </w:r>
      <w:r>
        <w:rPr>
          <w:spacing w:val="-7"/>
        </w:rPr>
        <w:t xml:space="preserve"> </w:t>
      </w:r>
      <w:r>
        <w:t>conversation,</w:t>
      </w:r>
      <w:r>
        <w:rPr>
          <w:spacing w:val="-6"/>
        </w:rPr>
        <w:t xml:space="preserve"> </w:t>
      </w:r>
      <w:r>
        <w:rPr>
          <w:i/>
        </w:rPr>
        <w:t>(Summarization)</w:t>
      </w:r>
      <w:r>
        <w:rPr>
          <w:i/>
          <w:spacing w:val="-4"/>
        </w:rPr>
        <w:t xml:space="preserve"> </w:t>
      </w:r>
      <w:r>
        <w:t>and</w:t>
      </w:r>
      <w:r>
        <w:rPr>
          <w:spacing w:val="-6"/>
        </w:rPr>
        <w:t xml:space="preserve"> </w:t>
      </w:r>
      <w:r>
        <w:t>then</w:t>
      </w:r>
      <w:r>
        <w:rPr>
          <w:spacing w:val="-5"/>
        </w:rPr>
        <w:t xml:space="preserve"> </w:t>
      </w:r>
      <w:r>
        <w:t>talk</w:t>
      </w:r>
      <w:r>
        <w:rPr>
          <w:spacing w:val="-3"/>
        </w:rPr>
        <w:t xml:space="preserve"> </w:t>
      </w:r>
      <w:r>
        <w:t>about</w:t>
      </w:r>
      <w:r>
        <w:rPr>
          <w:spacing w:val="-4"/>
        </w:rPr>
        <w:t xml:space="preserve"> </w:t>
      </w:r>
      <w:r>
        <w:t>next</w:t>
      </w:r>
      <w:r>
        <w:rPr>
          <w:spacing w:val="-3"/>
        </w:rPr>
        <w:t xml:space="preserve"> </w:t>
      </w:r>
      <w:r>
        <w:rPr>
          <w:spacing w:val="-2"/>
        </w:rPr>
        <w:t>steps.</w:t>
      </w:r>
    </w:p>
    <w:p w14:paraId="569EDB7A" w14:textId="77777777" w:rsidR="00DB6E1F" w:rsidRDefault="00F666A6">
      <w:pPr>
        <w:pStyle w:val="BodyText"/>
        <w:spacing w:before="163"/>
        <w:ind w:left="1439" w:right="1491"/>
      </w:pPr>
      <w:r>
        <w:t>The counselor uses OARS to help the client clarify the change goal. The counselor also hears that the client</w:t>
      </w:r>
      <w:r>
        <w:rPr>
          <w:spacing w:val="-1"/>
        </w:rPr>
        <w:t xml:space="preserve"> </w:t>
      </w:r>
      <w:r>
        <w:t>lacks</w:t>
      </w:r>
      <w:r>
        <w:rPr>
          <w:spacing w:val="-2"/>
        </w:rPr>
        <w:t xml:space="preserve"> </w:t>
      </w:r>
      <w:r>
        <w:t>confidence</w:t>
      </w:r>
      <w:r>
        <w:rPr>
          <w:spacing w:val="-4"/>
        </w:rPr>
        <w:t xml:space="preserve"> </w:t>
      </w:r>
      <w:r>
        <w:t>that</w:t>
      </w:r>
      <w:r>
        <w:rPr>
          <w:spacing w:val="-4"/>
        </w:rPr>
        <w:t xml:space="preserve"> </w:t>
      </w:r>
      <w:r>
        <w:t>he</w:t>
      </w:r>
      <w:r>
        <w:rPr>
          <w:spacing w:val="-1"/>
        </w:rPr>
        <w:t xml:space="preserve"> </w:t>
      </w:r>
      <w:r>
        <w:t>or</w:t>
      </w:r>
      <w:r>
        <w:rPr>
          <w:spacing w:val="-5"/>
        </w:rPr>
        <w:t xml:space="preserve"> </w:t>
      </w:r>
      <w:r>
        <w:t>she</w:t>
      </w:r>
      <w:r>
        <w:rPr>
          <w:spacing w:val="-3"/>
        </w:rPr>
        <w:t xml:space="preserve"> </w:t>
      </w:r>
      <w:r>
        <w:t>can</w:t>
      </w:r>
      <w:r>
        <w:rPr>
          <w:spacing w:val="-3"/>
        </w:rPr>
        <w:t xml:space="preserve"> </w:t>
      </w:r>
      <w:r>
        <w:t>achieve</w:t>
      </w:r>
      <w:r>
        <w:rPr>
          <w:spacing w:val="-4"/>
        </w:rPr>
        <w:t xml:space="preserve"> </w:t>
      </w:r>
      <w:r>
        <w:t>the</w:t>
      </w:r>
      <w:r>
        <w:rPr>
          <w:spacing w:val="-4"/>
        </w:rPr>
        <w:t xml:space="preserve"> </w:t>
      </w:r>
      <w:r>
        <w:t>change</w:t>
      </w:r>
      <w:r>
        <w:rPr>
          <w:spacing w:val="-1"/>
        </w:rPr>
        <w:t xml:space="preserve"> </w:t>
      </w:r>
      <w:r>
        <w:t>goal</w:t>
      </w:r>
      <w:r>
        <w:rPr>
          <w:spacing w:val="-2"/>
        </w:rPr>
        <w:t xml:space="preserve"> </w:t>
      </w:r>
      <w:r>
        <w:t>and</w:t>
      </w:r>
      <w:r>
        <w:rPr>
          <w:spacing w:val="-2"/>
        </w:rPr>
        <w:t xml:space="preserve"> </w:t>
      </w:r>
      <w:r>
        <w:t>reinforces</w:t>
      </w:r>
      <w:r>
        <w:rPr>
          <w:spacing w:val="-4"/>
        </w:rPr>
        <w:t xml:space="preserve"> </w:t>
      </w:r>
      <w:r>
        <w:t>the</w:t>
      </w:r>
      <w:r>
        <w:rPr>
          <w:spacing w:val="-1"/>
        </w:rPr>
        <w:t xml:space="preserve"> </w:t>
      </w:r>
      <w:r>
        <w:t>client’s</w:t>
      </w:r>
      <w:r>
        <w:rPr>
          <w:spacing w:val="-2"/>
        </w:rPr>
        <w:t xml:space="preserve"> </w:t>
      </w:r>
      <w:r>
        <w:t>desire</w:t>
      </w:r>
      <w:r>
        <w:rPr>
          <w:spacing w:val="-1"/>
        </w:rPr>
        <w:t xml:space="preserve"> </w:t>
      </w:r>
      <w:r>
        <w:t>for some help in making the change. The next step wi</w:t>
      </w:r>
      <w:r>
        <w:t>th this client is to develop a change plan.</w:t>
      </w:r>
    </w:p>
    <w:p w14:paraId="2756BAAD" w14:textId="77777777" w:rsidR="00DB6E1F" w:rsidRDefault="00DB6E1F">
      <w:pPr>
        <w:pStyle w:val="BodyText"/>
        <w:spacing w:before="6"/>
        <w:rPr>
          <w:sz w:val="16"/>
        </w:rPr>
      </w:pPr>
    </w:p>
    <w:p w14:paraId="45445324" w14:textId="77777777" w:rsidR="00DB6E1F" w:rsidRDefault="00F666A6">
      <w:pPr>
        <w:pStyle w:val="Heading4"/>
      </w:pPr>
      <w:bookmarkStart w:id="117" w:name="Developing_a_change_plan"/>
      <w:bookmarkEnd w:id="117"/>
      <w:r>
        <w:t>Developing</w:t>
      </w:r>
      <w:r>
        <w:rPr>
          <w:spacing w:val="-10"/>
        </w:rPr>
        <w:t xml:space="preserve"> </w:t>
      </w:r>
      <w:r>
        <w:t>a</w:t>
      </w:r>
      <w:r>
        <w:rPr>
          <w:spacing w:val="-7"/>
        </w:rPr>
        <w:t xml:space="preserve"> </w:t>
      </w:r>
      <w:r>
        <w:t>change</w:t>
      </w:r>
      <w:r>
        <w:rPr>
          <w:spacing w:val="-8"/>
        </w:rPr>
        <w:t xml:space="preserve"> </w:t>
      </w:r>
      <w:r>
        <w:rPr>
          <w:spacing w:val="-4"/>
        </w:rPr>
        <w:t>plan</w:t>
      </w:r>
    </w:p>
    <w:p w14:paraId="6936732D" w14:textId="77777777" w:rsidR="00DB6E1F" w:rsidRDefault="00F666A6">
      <w:pPr>
        <w:spacing w:before="83"/>
        <w:ind w:left="1439" w:right="1444"/>
      </w:pPr>
      <w:r>
        <w:rPr>
          <w:b/>
        </w:rPr>
        <w:t xml:space="preserve">Begin with the change goal identified by the client; then, explore specific steps the client can take to achieve it. </w:t>
      </w:r>
      <w:r>
        <w:t>In the planning process, use OARS and pay attention to CAT change talk. As you proceed, carefully</w:t>
      </w:r>
      <w:r>
        <w:rPr>
          <w:spacing w:val="-1"/>
        </w:rPr>
        <w:t xml:space="preserve"> </w:t>
      </w:r>
      <w:r>
        <w:t>note</w:t>
      </w:r>
      <w:r>
        <w:rPr>
          <w:spacing w:val="-3"/>
        </w:rPr>
        <w:t xml:space="preserve"> </w:t>
      </w:r>
      <w:r>
        <w:t>the</w:t>
      </w:r>
      <w:r>
        <w:rPr>
          <w:spacing w:val="-3"/>
        </w:rPr>
        <w:t xml:space="preserve"> </w:t>
      </w:r>
      <w:r>
        <w:t>shift</w:t>
      </w:r>
      <w:r>
        <w:rPr>
          <w:spacing w:val="-1"/>
        </w:rPr>
        <w:t xml:space="preserve"> </w:t>
      </w:r>
      <w:r>
        <w:t>from</w:t>
      </w:r>
      <w:r>
        <w:rPr>
          <w:spacing w:val="-1"/>
        </w:rPr>
        <w:t xml:space="preserve"> </w:t>
      </w:r>
      <w:r>
        <w:t>change</w:t>
      </w:r>
      <w:r>
        <w:rPr>
          <w:spacing w:val="-3"/>
        </w:rPr>
        <w:t xml:space="preserve"> </w:t>
      </w:r>
      <w:r>
        <w:t>talk</w:t>
      </w:r>
      <w:r>
        <w:rPr>
          <w:spacing w:val="-3"/>
        </w:rPr>
        <w:t xml:space="preserve"> </w:t>
      </w:r>
      <w:r>
        <w:t>that</w:t>
      </w:r>
      <w:r>
        <w:rPr>
          <w:spacing w:val="-1"/>
        </w:rPr>
        <w:t xml:space="preserve"> </w:t>
      </w:r>
      <w:r>
        <w:t>is</w:t>
      </w:r>
      <w:r>
        <w:rPr>
          <w:spacing w:val="-3"/>
        </w:rPr>
        <w:t xml:space="preserve"> </w:t>
      </w:r>
      <w:r>
        <w:t>m</w:t>
      </w:r>
      <w:r>
        <w:t>ore</w:t>
      </w:r>
      <w:r>
        <w:rPr>
          <w:spacing w:val="-3"/>
        </w:rPr>
        <w:t xml:space="preserve"> </w:t>
      </w:r>
      <w:r>
        <w:t>general</w:t>
      </w:r>
      <w:r>
        <w:rPr>
          <w:spacing w:val="-1"/>
        </w:rPr>
        <w:t xml:space="preserve"> </w:t>
      </w:r>
      <w:r>
        <w:t>to</w:t>
      </w:r>
      <w:r>
        <w:rPr>
          <w:spacing w:val="-1"/>
        </w:rPr>
        <w:t xml:space="preserve"> </w:t>
      </w:r>
      <w:r>
        <w:t>change</w:t>
      </w:r>
      <w:r>
        <w:rPr>
          <w:spacing w:val="-3"/>
        </w:rPr>
        <w:t xml:space="preserve"> </w:t>
      </w:r>
      <w:r>
        <w:t>talk</w:t>
      </w:r>
      <w:r>
        <w:rPr>
          <w:spacing w:val="-3"/>
        </w:rPr>
        <w:t xml:space="preserve"> </w:t>
      </w:r>
      <w:r>
        <w:t>that</w:t>
      </w:r>
      <w:r>
        <w:rPr>
          <w:spacing w:val="-3"/>
        </w:rPr>
        <w:t xml:space="preserve"> </w:t>
      </w:r>
      <w:r>
        <w:t>is</w:t>
      </w:r>
      <w:r>
        <w:rPr>
          <w:spacing w:val="-1"/>
        </w:rPr>
        <w:t xml:space="preserve"> </w:t>
      </w:r>
      <w:r>
        <w:t>specific</w:t>
      </w:r>
      <w:r>
        <w:rPr>
          <w:spacing w:val="-3"/>
        </w:rPr>
        <w:t xml:space="preserve"> </w:t>
      </w:r>
      <w:r>
        <w:t>to</w:t>
      </w:r>
      <w:r>
        <w:rPr>
          <w:spacing w:val="-2"/>
        </w:rPr>
        <w:t xml:space="preserve"> </w:t>
      </w:r>
      <w:r>
        <w:t>the</w:t>
      </w:r>
      <w:r>
        <w:rPr>
          <w:spacing w:val="-3"/>
        </w:rPr>
        <w:t xml:space="preserve"> </w:t>
      </w:r>
      <w:r>
        <w:t>change plan (Miller &amp; Rollnick, 2013). (See Chapter 6 for information on a developing a change plan.) Some</w:t>
      </w:r>
    </w:p>
    <w:p w14:paraId="68ED8326" w14:textId="77777777" w:rsidR="00DB6E1F" w:rsidRDefault="00DB6E1F">
      <w:pPr>
        <w:sectPr w:rsidR="00DB6E1F">
          <w:pgSz w:w="12240" w:h="15840"/>
          <w:pgMar w:top="1200" w:right="0" w:bottom="780" w:left="0" w:header="763" w:footer="585" w:gutter="0"/>
          <w:cols w:space="720"/>
        </w:sectPr>
      </w:pPr>
    </w:p>
    <w:p w14:paraId="7ACD4808" w14:textId="77777777" w:rsidR="00DB6E1F" w:rsidRDefault="00DB6E1F">
      <w:pPr>
        <w:pStyle w:val="BodyText"/>
        <w:spacing w:before="8"/>
        <w:rPr>
          <w:sz w:val="14"/>
        </w:rPr>
      </w:pPr>
    </w:p>
    <w:p w14:paraId="30514515" w14:textId="77777777" w:rsidR="00DB6E1F" w:rsidRDefault="00F666A6">
      <w:pPr>
        <w:pStyle w:val="BodyText"/>
        <w:spacing w:before="56"/>
        <w:ind w:left="1440"/>
      </w:pPr>
      <w:r>
        <w:t>evidence</w:t>
      </w:r>
      <w:r>
        <w:rPr>
          <w:spacing w:val="-5"/>
        </w:rPr>
        <w:t xml:space="preserve"> </w:t>
      </w:r>
      <w:r>
        <w:t>shows</w:t>
      </w:r>
      <w:r>
        <w:rPr>
          <w:spacing w:val="-5"/>
        </w:rPr>
        <w:t xml:space="preserve"> </w:t>
      </w:r>
      <w:r>
        <w:t>that</w:t>
      </w:r>
      <w:r>
        <w:rPr>
          <w:spacing w:val="-2"/>
        </w:rPr>
        <w:t xml:space="preserve"> </w:t>
      </w:r>
      <w:r>
        <w:t>change</w:t>
      </w:r>
      <w:r>
        <w:rPr>
          <w:spacing w:val="-2"/>
        </w:rPr>
        <w:t xml:space="preserve"> </w:t>
      </w:r>
      <w:r>
        <w:t>talk</w:t>
      </w:r>
      <w:r>
        <w:rPr>
          <w:spacing w:val="-5"/>
        </w:rPr>
        <w:t xml:space="preserve"> </w:t>
      </w:r>
      <w:r>
        <w:t>is</w:t>
      </w:r>
      <w:r>
        <w:rPr>
          <w:spacing w:val="-2"/>
        </w:rPr>
        <w:t xml:space="preserve"> </w:t>
      </w:r>
      <w:r>
        <w:t>related</w:t>
      </w:r>
      <w:r>
        <w:rPr>
          <w:spacing w:val="-6"/>
        </w:rPr>
        <w:t xml:space="preserve"> </w:t>
      </w:r>
      <w:r>
        <w:t>to</w:t>
      </w:r>
      <w:r>
        <w:rPr>
          <w:spacing w:val="-4"/>
        </w:rPr>
        <w:t xml:space="preserve"> </w:t>
      </w:r>
      <w:r>
        <w:t>the</w:t>
      </w:r>
      <w:r>
        <w:rPr>
          <w:spacing w:val="-4"/>
        </w:rPr>
        <w:t xml:space="preserve"> </w:t>
      </w:r>
      <w:r>
        <w:t>completion</w:t>
      </w:r>
      <w:r>
        <w:rPr>
          <w:spacing w:val="-6"/>
        </w:rPr>
        <w:t xml:space="preserve"> </w:t>
      </w:r>
      <w:r>
        <w:t>of</w:t>
      </w:r>
      <w:r>
        <w:rPr>
          <w:spacing w:val="-3"/>
        </w:rPr>
        <w:t xml:space="preserve"> </w:t>
      </w:r>
      <w:r>
        <w:t>a</w:t>
      </w:r>
      <w:r>
        <w:rPr>
          <w:spacing w:val="-6"/>
        </w:rPr>
        <w:t xml:space="preserve"> </w:t>
      </w:r>
      <w:r>
        <w:t>change</w:t>
      </w:r>
      <w:r>
        <w:rPr>
          <w:spacing w:val="-2"/>
        </w:rPr>
        <w:t xml:space="preserve"> </w:t>
      </w:r>
      <w:r>
        <w:t>plan</w:t>
      </w:r>
      <w:r>
        <w:rPr>
          <w:spacing w:val="-3"/>
        </w:rPr>
        <w:t xml:space="preserve"> </w:t>
      </w:r>
      <w:r>
        <w:t>(Roman</w:t>
      </w:r>
      <w:r>
        <w:rPr>
          <w:spacing w:val="-4"/>
        </w:rPr>
        <w:t xml:space="preserve"> </w:t>
      </w:r>
      <w:r>
        <w:t>&amp;</w:t>
      </w:r>
      <w:r>
        <w:rPr>
          <w:spacing w:val="-5"/>
        </w:rPr>
        <w:t xml:space="preserve"> </w:t>
      </w:r>
      <w:r>
        <w:t>Peters,</w:t>
      </w:r>
      <w:r>
        <w:rPr>
          <w:spacing w:val="-4"/>
        </w:rPr>
        <w:t xml:space="preserve"> </w:t>
      </w:r>
      <w:r>
        <w:rPr>
          <w:spacing w:val="-2"/>
        </w:rPr>
        <w:t>2016).</w:t>
      </w:r>
    </w:p>
    <w:p w14:paraId="38D3F8F1" w14:textId="77777777" w:rsidR="00DB6E1F" w:rsidRDefault="00F666A6">
      <w:pPr>
        <w:spacing w:before="161"/>
        <w:ind w:left="1440"/>
      </w:pPr>
      <w:r>
        <w:rPr>
          <w:b/>
        </w:rPr>
        <w:t>Here</w:t>
      </w:r>
      <w:r>
        <w:rPr>
          <w:b/>
          <w:spacing w:val="-4"/>
        </w:rPr>
        <w:t xml:space="preserve"> </w:t>
      </w:r>
      <w:r>
        <w:rPr>
          <w:b/>
        </w:rPr>
        <w:t>are</w:t>
      </w:r>
      <w:r>
        <w:rPr>
          <w:b/>
          <w:spacing w:val="-3"/>
        </w:rPr>
        <w:t xml:space="preserve"> </w:t>
      </w:r>
      <w:r>
        <w:rPr>
          <w:b/>
        </w:rPr>
        <w:t>some</w:t>
      </w:r>
      <w:r>
        <w:rPr>
          <w:b/>
          <w:spacing w:val="-5"/>
        </w:rPr>
        <w:t xml:space="preserve"> </w:t>
      </w:r>
      <w:r>
        <w:rPr>
          <w:b/>
        </w:rPr>
        <w:t>strategies</w:t>
      </w:r>
      <w:r>
        <w:rPr>
          <w:b/>
          <w:spacing w:val="-3"/>
        </w:rPr>
        <w:t xml:space="preserve"> </w:t>
      </w:r>
      <w:r>
        <w:rPr>
          <w:b/>
        </w:rPr>
        <w:t>for</w:t>
      </w:r>
      <w:r>
        <w:rPr>
          <w:b/>
          <w:spacing w:val="-2"/>
        </w:rPr>
        <w:t xml:space="preserve"> </w:t>
      </w:r>
      <w:r>
        <w:rPr>
          <w:b/>
        </w:rPr>
        <w:t>hel</w:t>
      </w:r>
      <w:r>
        <w:rPr>
          <w:b/>
        </w:rPr>
        <w:t>ping</w:t>
      </w:r>
      <w:r>
        <w:rPr>
          <w:b/>
          <w:spacing w:val="-4"/>
        </w:rPr>
        <w:t xml:space="preserve"> </w:t>
      </w:r>
      <w:r>
        <w:rPr>
          <w:b/>
        </w:rPr>
        <w:t>clients</w:t>
      </w:r>
      <w:r>
        <w:rPr>
          <w:b/>
          <w:spacing w:val="-4"/>
        </w:rPr>
        <w:t xml:space="preserve"> </w:t>
      </w:r>
      <w:r>
        <w:rPr>
          <w:b/>
        </w:rPr>
        <w:t>develop</w:t>
      </w:r>
      <w:r>
        <w:rPr>
          <w:b/>
          <w:spacing w:val="-6"/>
        </w:rPr>
        <w:t xml:space="preserve"> </w:t>
      </w:r>
      <w:r>
        <w:rPr>
          <w:b/>
        </w:rPr>
        <w:t>a</w:t>
      </w:r>
      <w:r>
        <w:rPr>
          <w:b/>
          <w:spacing w:val="-4"/>
        </w:rPr>
        <w:t xml:space="preserve"> </w:t>
      </w:r>
      <w:r>
        <w:rPr>
          <w:b/>
        </w:rPr>
        <w:t>change</w:t>
      </w:r>
      <w:r>
        <w:rPr>
          <w:b/>
          <w:spacing w:val="-3"/>
        </w:rPr>
        <w:t xml:space="preserve"> </w:t>
      </w:r>
      <w:r>
        <w:rPr>
          <w:b/>
        </w:rPr>
        <w:t>plan</w:t>
      </w:r>
      <w:r>
        <w:rPr>
          <w:b/>
          <w:spacing w:val="-6"/>
        </w:rPr>
        <w:t xml:space="preserve"> </w:t>
      </w:r>
      <w:r>
        <w:t>(Miller</w:t>
      </w:r>
      <w:r>
        <w:rPr>
          <w:spacing w:val="-5"/>
        </w:rPr>
        <w:t xml:space="preserve"> </w:t>
      </w:r>
      <w:r>
        <w:t>&amp;</w:t>
      </w:r>
      <w:r>
        <w:rPr>
          <w:spacing w:val="-2"/>
        </w:rPr>
        <w:t xml:space="preserve"> </w:t>
      </w:r>
      <w:r>
        <w:t>Rollnick,</w:t>
      </w:r>
      <w:r>
        <w:rPr>
          <w:spacing w:val="-3"/>
        </w:rPr>
        <w:t xml:space="preserve"> </w:t>
      </w:r>
      <w:r>
        <w:rPr>
          <w:spacing w:val="-2"/>
        </w:rPr>
        <w:t>2013):</w:t>
      </w:r>
    </w:p>
    <w:p w14:paraId="370205E0" w14:textId="77777777" w:rsidR="00DB6E1F" w:rsidRDefault="00F666A6">
      <w:pPr>
        <w:pStyle w:val="ListParagraph"/>
        <w:numPr>
          <w:ilvl w:val="0"/>
          <w:numId w:val="92"/>
        </w:numPr>
        <w:tabs>
          <w:tab w:val="left" w:pos="1800"/>
          <w:tab w:val="left" w:pos="1801"/>
        </w:tabs>
        <w:spacing w:before="58"/>
        <w:ind w:left="1800" w:right="1598" w:hanging="360"/>
        <w:rPr>
          <w:rFonts w:ascii="Symbol" w:hAnsi="Symbol"/>
        </w:rPr>
      </w:pPr>
      <w:r>
        <w:rPr>
          <w:b/>
        </w:rPr>
        <w:t>Confirm</w:t>
      </w:r>
      <w:r>
        <w:rPr>
          <w:b/>
          <w:spacing w:val="-3"/>
        </w:rPr>
        <w:t xml:space="preserve"> </w:t>
      </w:r>
      <w:r>
        <w:rPr>
          <w:b/>
        </w:rPr>
        <w:t>the</w:t>
      </w:r>
      <w:r>
        <w:rPr>
          <w:b/>
          <w:spacing w:val="-2"/>
        </w:rPr>
        <w:t xml:space="preserve"> </w:t>
      </w:r>
      <w:r>
        <w:rPr>
          <w:b/>
        </w:rPr>
        <w:t>change</w:t>
      </w:r>
      <w:r>
        <w:rPr>
          <w:b/>
          <w:spacing w:val="-4"/>
        </w:rPr>
        <w:t xml:space="preserve"> </w:t>
      </w:r>
      <w:r>
        <w:rPr>
          <w:b/>
        </w:rPr>
        <w:t>goal.</w:t>
      </w:r>
      <w:r>
        <w:rPr>
          <w:b/>
          <w:spacing w:val="-5"/>
        </w:rPr>
        <w:t xml:space="preserve"> </w:t>
      </w:r>
      <w:r>
        <w:t>Make</w:t>
      </w:r>
      <w:r>
        <w:rPr>
          <w:spacing w:val="-3"/>
        </w:rPr>
        <w:t xml:space="preserve"> </w:t>
      </w:r>
      <w:r>
        <w:t>sure</w:t>
      </w:r>
      <w:r>
        <w:rPr>
          <w:spacing w:val="-3"/>
        </w:rPr>
        <w:t xml:space="preserve"> </w:t>
      </w:r>
      <w:r>
        <w:t>that</w:t>
      </w:r>
      <w:r>
        <w:rPr>
          <w:spacing w:val="-3"/>
        </w:rPr>
        <w:t xml:space="preserve"> </w:t>
      </w:r>
      <w:r>
        <w:t>you</w:t>
      </w:r>
      <w:r>
        <w:rPr>
          <w:spacing w:val="-4"/>
        </w:rPr>
        <w:t xml:space="preserve"> </w:t>
      </w:r>
      <w:r>
        <w:t>and</w:t>
      </w:r>
      <w:r>
        <w:rPr>
          <w:spacing w:val="-2"/>
        </w:rPr>
        <w:t xml:space="preserve"> </w:t>
      </w:r>
      <w:r>
        <w:t>the client</w:t>
      </w:r>
      <w:r>
        <w:rPr>
          <w:spacing w:val="-3"/>
        </w:rPr>
        <w:t xml:space="preserve"> </w:t>
      </w:r>
      <w:r>
        <w:t>agree</w:t>
      </w:r>
      <w:r>
        <w:rPr>
          <w:spacing w:val="-3"/>
        </w:rPr>
        <w:t xml:space="preserve"> </w:t>
      </w:r>
      <w:r>
        <w:t>on</w:t>
      </w:r>
      <w:r>
        <w:rPr>
          <w:spacing w:val="-4"/>
        </w:rPr>
        <w:t xml:space="preserve"> </w:t>
      </w:r>
      <w:r>
        <w:t>what</w:t>
      </w:r>
      <w:r>
        <w:rPr>
          <w:spacing w:val="-3"/>
        </w:rPr>
        <w:t xml:space="preserve"> </w:t>
      </w:r>
      <w:r>
        <w:t>substance use</w:t>
      </w:r>
      <w:r>
        <w:rPr>
          <w:spacing w:val="-3"/>
        </w:rPr>
        <w:t xml:space="preserve"> </w:t>
      </w:r>
      <w:r>
        <w:t xml:space="preserve">behavior the client wants to change and what the ultimate goal is (i.e., to cut back or to abstain). This goal might change as the client takes steps to achieve it. For example, a client who tries to cut back on cannabis use may find that that it is not a </w:t>
      </w:r>
      <w:r>
        <w:t>workable plan and may decide to abstain completely.</w:t>
      </w:r>
    </w:p>
    <w:p w14:paraId="63A8316C" w14:textId="77777777" w:rsidR="00DB6E1F" w:rsidRDefault="00F666A6">
      <w:pPr>
        <w:pStyle w:val="ListParagraph"/>
        <w:numPr>
          <w:ilvl w:val="0"/>
          <w:numId w:val="92"/>
        </w:numPr>
        <w:tabs>
          <w:tab w:val="left" w:pos="1800"/>
          <w:tab w:val="left" w:pos="1801"/>
        </w:tabs>
        <w:spacing w:before="61"/>
        <w:ind w:left="1799" w:right="1463" w:hanging="360"/>
        <w:rPr>
          <w:rFonts w:ascii="Symbol" w:hAnsi="Symbol"/>
        </w:rPr>
      </w:pPr>
      <w:r>
        <w:rPr>
          <w:b/>
        </w:rPr>
        <w:t>Elicit the</w:t>
      </w:r>
      <w:r>
        <w:rPr>
          <w:b/>
          <w:spacing w:val="-3"/>
        </w:rPr>
        <w:t xml:space="preserve"> </w:t>
      </w:r>
      <w:r>
        <w:rPr>
          <w:b/>
        </w:rPr>
        <w:t>client’s</w:t>
      </w:r>
      <w:r>
        <w:rPr>
          <w:b/>
          <w:spacing w:val="-2"/>
        </w:rPr>
        <w:t xml:space="preserve"> </w:t>
      </w:r>
      <w:r>
        <w:rPr>
          <w:b/>
        </w:rPr>
        <w:t>ideas about how to</w:t>
      </w:r>
      <w:r>
        <w:rPr>
          <w:b/>
          <w:spacing w:val="-4"/>
        </w:rPr>
        <w:t xml:space="preserve"> </w:t>
      </w:r>
      <w:r>
        <w:rPr>
          <w:b/>
        </w:rPr>
        <w:t xml:space="preserve">change. </w:t>
      </w:r>
      <w:r>
        <w:t>There</w:t>
      </w:r>
      <w:r>
        <w:rPr>
          <w:spacing w:val="-2"/>
        </w:rPr>
        <w:t xml:space="preserve"> </w:t>
      </w:r>
      <w:r>
        <w:t>may be</w:t>
      </w:r>
      <w:r>
        <w:rPr>
          <w:spacing w:val="-2"/>
        </w:rPr>
        <w:t xml:space="preserve"> </w:t>
      </w:r>
      <w:r>
        <w:t>many different pathways</w:t>
      </w:r>
      <w:r>
        <w:rPr>
          <w:spacing w:val="-2"/>
        </w:rPr>
        <w:t xml:space="preserve"> </w:t>
      </w:r>
      <w:r>
        <w:t>to</w:t>
      </w:r>
      <w:r>
        <w:rPr>
          <w:spacing w:val="-1"/>
        </w:rPr>
        <w:t xml:space="preserve"> </w:t>
      </w:r>
      <w:r>
        <w:t>achieve</w:t>
      </w:r>
      <w:r>
        <w:rPr>
          <w:spacing w:val="-2"/>
        </w:rPr>
        <w:t xml:space="preserve"> </w:t>
      </w:r>
      <w:r>
        <w:t>the desired goal. For example, a client whose goal is to stop drinking may go to AA or SMART Recovery meeting</w:t>
      </w:r>
      <w:r>
        <w:t>s for support, get a prescription for naltrexone (a medication that reduces craving and the pleasurable effects of alcohol [Substance Abuse and Mental Health Services Administration &amp; National Institute on Alcohol Abuse and Alcoholism, 2015]) from a primar</w:t>
      </w:r>
      <w:r>
        <w:t>y care provider, enter an intensive</w:t>
      </w:r>
      <w:r>
        <w:rPr>
          <w:spacing w:val="-1"/>
        </w:rPr>
        <w:t xml:space="preserve"> </w:t>
      </w:r>
      <w:r>
        <w:t>outpatient</w:t>
      </w:r>
      <w:r>
        <w:rPr>
          <w:spacing w:val="-1"/>
        </w:rPr>
        <w:t xml:space="preserve"> </w:t>
      </w:r>
      <w:r>
        <w:t>treatment</w:t>
      </w:r>
      <w:r>
        <w:rPr>
          <w:spacing w:val="-1"/>
        </w:rPr>
        <w:t xml:space="preserve"> </w:t>
      </w:r>
      <w:r>
        <w:t>program,</w:t>
      </w:r>
      <w:r>
        <w:rPr>
          <w:spacing w:val="-1"/>
        </w:rPr>
        <w:t xml:space="preserve"> </w:t>
      </w:r>
      <w:r>
        <w:t>or try some</w:t>
      </w:r>
      <w:r>
        <w:rPr>
          <w:spacing w:val="-1"/>
        </w:rPr>
        <w:t xml:space="preserve"> </w:t>
      </w:r>
      <w:r>
        <w:t>combination of</w:t>
      </w:r>
      <w:r>
        <w:rPr>
          <w:spacing w:val="-1"/>
        </w:rPr>
        <w:t xml:space="preserve"> </w:t>
      </w:r>
      <w:r>
        <w:t>these. Before</w:t>
      </w:r>
      <w:r>
        <w:rPr>
          <w:spacing w:val="-1"/>
        </w:rPr>
        <w:t xml:space="preserve"> </w:t>
      </w:r>
      <w:r>
        <w:t>you jump in</w:t>
      </w:r>
      <w:r>
        <w:rPr>
          <w:spacing w:val="-2"/>
        </w:rPr>
        <w:t xml:space="preserve"> </w:t>
      </w:r>
      <w:r>
        <w:t>with your</w:t>
      </w:r>
      <w:r>
        <w:rPr>
          <w:spacing w:val="-2"/>
        </w:rPr>
        <w:t xml:space="preserve"> </w:t>
      </w:r>
      <w:r>
        <w:t>ideas,</w:t>
      </w:r>
      <w:r>
        <w:rPr>
          <w:spacing w:val="-4"/>
        </w:rPr>
        <w:t xml:space="preserve"> </w:t>
      </w:r>
      <w:r>
        <w:t>elicit</w:t>
      </w:r>
      <w:r>
        <w:rPr>
          <w:spacing w:val="-1"/>
        </w:rPr>
        <w:t xml:space="preserve"> </w:t>
      </w:r>
      <w:r>
        <w:t>the</w:t>
      </w:r>
      <w:r>
        <w:rPr>
          <w:spacing w:val="-1"/>
        </w:rPr>
        <w:t xml:space="preserve"> </w:t>
      </w:r>
      <w:r>
        <w:t>client’s</w:t>
      </w:r>
      <w:r>
        <w:rPr>
          <w:spacing w:val="-2"/>
        </w:rPr>
        <w:t xml:space="preserve"> </w:t>
      </w:r>
      <w:r>
        <w:t>ideas</w:t>
      </w:r>
      <w:r>
        <w:rPr>
          <w:spacing w:val="-2"/>
        </w:rPr>
        <w:t xml:space="preserve"> </w:t>
      </w:r>
      <w:r>
        <w:t>about</w:t>
      </w:r>
      <w:r>
        <w:rPr>
          <w:spacing w:val="-1"/>
        </w:rPr>
        <w:t xml:space="preserve"> </w:t>
      </w:r>
      <w:r>
        <w:t>strategies</w:t>
      </w:r>
      <w:r>
        <w:rPr>
          <w:spacing w:val="-2"/>
        </w:rPr>
        <w:t xml:space="preserve"> </w:t>
      </w:r>
      <w:r>
        <w:t>to</w:t>
      </w:r>
      <w:r>
        <w:rPr>
          <w:spacing w:val="-3"/>
        </w:rPr>
        <w:t xml:space="preserve"> </w:t>
      </w:r>
      <w:r>
        <w:t>make</w:t>
      </w:r>
      <w:r>
        <w:rPr>
          <w:spacing w:val="-1"/>
        </w:rPr>
        <w:t xml:space="preserve"> </w:t>
      </w:r>
      <w:r>
        <w:t>the</w:t>
      </w:r>
      <w:r>
        <w:rPr>
          <w:spacing w:val="-3"/>
        </w:rPr>
        <w:t xml:space="preserve"> </w:t>
      </w:r>
      <w:r>
        <w:t>change.</w:t>
      </w:r>
      <w:r>
        <w:rPr>
          <w:spacing w:val="-2"/>
        </w:rPr>
        <w:t xml:space="preserve"> </w:t>
      </w:r>
      <w:r>
        <w:t>Explore</w:t>
      </w:r>
      <w:r>
        <w:rPr>
          <w:spacing w:val="-6"/>
        </w:rPr>
        <w:t xml:space="preserve"> </w:t>
      </w:r>
      <w:r>
        <w:t>pros</w:t>
      </w:r>
      <w:r>
        <w:rPr>
          <w:spacing w:val="-2"/>
        </w:rPr>
        <w:t xml:space="preserve"> </w:t>
      </w:r>
      <w:r>
        <w:t>and</w:t>
      </w:r>
      <w:r>
        <w:rPr>
          <w:spacing w:val="-3"/>
        </w:rPr>
        <w:t xml:space="preserve"> </w:t>
      </w:r>
      <w:r>
        <w:t>cons</w:t>
      </w:r>
      <w:r>
        <w:rPr>
          <w:spacing w:val="-4"/>
        </w:rPr>
        <w:t xml:space="preserve"> </w:t>
      </w:r>
      <w:r>
        <w:t>of</w:t>
      </w:r>
      <w:r>
        <w:rPr>
          <w:spacing w:val="-2"/>
        </w:rPr>
        <w:t xml:space="preserve"> </w:t>
      </w:r>
      <w:r>
        <w:t>the client’s ideas; determine which appeals to the client most and is most appropriate for this client.</w:t>
      </w:r>
    </w:p>
    <w:p w14:paraId="467CEE46" w14:textId="77777777" w:rsidR="00DB6E1F" w:rsidRDefault="00F666A6">
      <w:pPr>
        <w:pStyle w:val="ListParagraph"/>
        <w:numPr>
          <w:ilvl w:val="0"/>
          <w:numId w:val="92"/>
        </w:numPr>
        <w:tabs>
          <w:tab w:val="left" w:pos="1799"/>
          <w:tab w:val="left" w:pos="1800"/>
        </w:tabs>
        <w:ind w:left="1799" w:right="1567"/>
        <w:rPr>
          <w:rFonts w:ascii="Symbol" w:hAnsi="Symbol"/>
        </w:rPr>
      </w:pPr>
      <w:r>
        <w:rPr>
          <w:b/>
        </w:rPr>
        <w:t xml:space="preserve">Offer a menu of options. </w:t>
      </w:r>
      <w:r>
        <w:t>Use the EPE process (see the section “Developing discrepancy: A values conversation” above) to ask permission to offer suggesti</w:t>
      </w:r>
      <w:r>
        <w:t>ons about accessible treatment options, provide</w:t>
      </w:r>
      <w:r>
        <w:rPr>
          <w:spacing w:val="-4"/>
        </w:rPr>
        <w:t xml:space="preserve"> </w:t>
      </w:r>
      <w:r>
        <w:t>information</w:t>
      </w:r>
      <w:r>
        <w:rPr>
          <w:spacing w:val="-3"/>
        </w:rPr>
        <w:t xml:space="preserve"> </w:t>
      </w:r>
      <w:r>
        <w:t>about</w:t>
      </w:r>
      <w:r>
        <w:rPr>
          <w:spacing w:val="-4"/>
        </w:rPr>
        <w:t xml:space="preserve"> </w:t>
      </w:r>
      <w:r>
        <w:t>those</w:t>
      </w:r>
      <w:r>
        <w:rPr>
          <w:spacing w:val="-4"/>
        </w:rPr>
        <w:t xml:space="preserve"> </w:t>
      </w:r>
      <w:r>
        <w:t>options,</w:t>
      </w:r>
      <w:r>
        <w:rPr>
          <w:spacing w:val="-2"/>
        </w:rPr>
        <w:t xml:space="preserve"> </w:t>
      </w:r>
      <w:r>
        <w:t>and</w:t>
      </w:r>
      <w:r>
        <w:rPr>
          <w:spacing w:val="-5"/>
        </w:rPr>
        <w:t xml:space="preserve"> </w:t>
      </w:r>
      <w:r>
        <w:t>elicit</w:t>
      </w:r>
      <w:r>
        <w:rPr>
          <w:spacing w:val="-4"/>
        </w:rPr>
        <w:t xml:space="preserve"> </w:t>
      </w:r>
      <w:r>
        <w:t>the</w:t>
      </w:r>
      <w:r>
        <w:rPr>
          <w:spacing w:val="-1"/>
        </w:rPr>
        <w:t xml:space="preserve"> </w:t>
      </w:r>
      <w:r>
        <w:t>client’s</w:t>
      </w:r>
      <w:r>
        <w:rPr>
          <w:spacing w:val="-2"/>
        </w:rPr>
        <w:t xml:space="preserve"> </w:t>
      </w:r>
      <w:r>
        <w:t>understanding</w:t>
      </w:r>
      <w:r>
        <w:rPr>
          <w:spacing w:val="-5"/>
        </w:rPr>
        <w:t xml:space="preserve"> </w:t>
      </w:r>
      <w:r>
        <w:t>of</w:t>
      </w:r>
      <w:r>
        <w:rPr>
          <w:spacing w:val="-4"/>
        </w:rPr>
        <w:t xml:space="preserve"> </w:t>
      </w:r>
      <w:r>
        <w:t>options</w:t>
      </w:r>
      <w:r>
        <w:rPr>
          <w:spacing w:val="-4"/>
        </w:rPr>
        <w:t xml:space="preserve"> </w:t>
      </w:r>
      <w:r>
        <w:t>and</w:t>
      </w:r>
      <w:r>
        <w:rPr>
          <w:spacing w:val="-3"/>
        </w:rPr>
        <w:t xml:space="preserve"> </w:t>
      </w:r>
      <w:r>
        <w:t>which ones seem acceptable.</w:t>
      </w:r>
    </w:p>
    <w:p w14:paraId="41CDDECD" w14:textId="77777777" w:rsidR="00DB6E1F" w:rsidRDefault="00F666A6">
      <w:pPr>
        <w:pStyle w:val="ListParagraph"/>
        <w:numPr>
          <w:ilvl w:val="0"/>
          <w:numId w:val="92"/>
        </w:numPr>
        <w:tabs>
          <w:tab w:val="left" w:pos="1799"/>
          <w:tab w:val="left" w:pos="1800"/>
        </w:tabs>
        <w:spacing w:before="58"/>
        <w:ind w:left="1799" w:right="1518" w:hanging="360"/>
        <w:rPr>
          <w:rFonts w:ascii="Symbol" w:hAnsi="Symbol"/>
        </w:rPr>
      </w:pPr>
      <w:r>
        <w:rPr>
          <w:b/>
        </w:rPr>
        <w:t>Summarize</w:t>
      </w:r>
      <w:r>
        <w:rPr>
          <w:b/>
          <w:spacing w:val="-2"/>
        </w:rPr>
        <w:t xml:space="preserve"> </w:t>
      </w:r>
      <w:r>
        <w:rPr>
          <w:b/>
        </w:rPr>
        <w:t>the</w:t>
      </w:r>
      <w:r>
        <w:rPr>
          <w:b/>
          <w:spacing w:val="-2"/>
        </w:rPr>
        <w:t xml:space="preserve"> </w:t>
      </w:r>
      <w:r>
        <w:rPr>
          <w:b/>
        </w:rPr>
        <w:t>change</w:t>
      </w:r>
      <w:r>
        <w:rPr>
          <w:b/>
          <w:spacing w:val="-2"/>
        </w:rPr>
        <w:t xml:space="preserve"> </w:t>
      </w:r>
      <w:r>
        <w:rPr>
          <w:b/>
        </w:rPr>
        <w:t>plan.</w:t>
      </w:r>
      <w:r>
        <w:rPr>
          <w:b/>
          <w:spacing w:val="-1"/>
        </w:rPr>
        <w:t xml:space="preserve"> </w:t>
      </w:r>
      <w:r>
        <w:t>Once</w:t>
      </w:r>
      <w:r>
        <w:rPr>
          <w:spacing w:val="-4"/>
        </w:rPr>
        <w:t xml:space="preserve"> </w:t>
      </w:r>
      <w:r>
        <w:t>you</w:t>
      </w:r>
      <w:r>
        <w:rPr>
          <w:spacing w:val="-3"/>
        </w:rPr>
        <w:t xml:space="preserve"> </w:t>
      </w:r>
      <w:r>
        <w:t>and</w:t>
      </w:r>
      <w:r>
        <w:rPr>
          <w:spacing w:val="-3"/>
        </w:rPr>
        <w:t xml:space="preserve"> </w:t>
      </w:r>
      <w:r>
        <w:t>the</w:t>
      </w:r>
      <w:r>
        <w:rPr>
          <w:spacing w:val="-4"/>
        </w:rPr>
        <w:t xml:space="preserve"> </w:t>
      </w:r>
      <w:r>
        <w:t>client</w:t>
      </w:r>
      <w:r>
        <w:rPr>
          <w:spacing w:val="-6"/>
        </w:rPr>
        <w:t xml:space="preserve"> </w:t>
      </w:r>
      <w:r>
        <w:t>have</w:t>
      </w:r>
      <w:r>
        <w:rPr>
          <w:spacing w:val="-1"/>
        </w:rPr>
        <w:t xml:space="preserve"> </w:t>
      </w:r>
      <w:r>
        <w:t>a</w:t>
      </w:r>
      <w:r>
        <w:rPr>
          <w:spacing w:val="-4"/>
        </w:rPr>
        <w:t xml:space="preserve"> </w:t>
      </w:r>
      <w:r>
        <w:t>clear</w:t>
      </w:r>
      <w:r>
        <w:rPr>
          <w:spacing w:val="-4"/>
        </w:rPr>
        <w:t xml:space="preserve"> </w:t>
      </w:r>
      <w:r>
        <w:t>plan,</w:t>
      </w:r>
      <w:r>
        <w:rPr>
          <w:spacing w:val="-2"/>
        </w:rPr>
        <w:t xml:space="preserve"> </w:t>
      </w:r>
      <w:r>
        <w:t>summarize</w:t>
      </w:r>
      <w:r>
        <w:rPr>
          <w:spacing w:val="-1"/>
        </w:rPr>
        <w:t xml:space="preserve"> </w:t>
      </w:r>
      <w:r>
        <w:t>the</w:t>
      </w:r>
      <w:r>
        <w:rPr>
          <w:spacing w:val="-1"/>
        </w:rPr>
        <w:t xml:space="preserve"> </w:t>
      </w:r>
      <w:r>
        <w:t>plan</w:t>
      </w:r>
      <w:r>
        <w:rPr>
          <w:spacing w:val="-3"/>
        </w:rPr>
        <w:t xml:space="preserve"> </w:t>
      </w:r>
      <w:r>
        <w:t>and</w:t>
      </w:r>
      <w:r>
        <w:rPr>
          <w:spacing w:val="-5"/>
        </w:rPr>
        <w:t xml:space="preserve"> </w:t>
      </w:r>
      <w:r>
        <w:t>the specific steps or pathways the client has identified. Listen for CAT change talk, and reinforce it through reflective listening.</w:t>
      </w:r>
    </w:p>
    <w:p w14:paraId="11E9437B" w14:textId="77777777" w:rsidR="00DB6E1F" w:rsidRDefault="00F666A6">
      <w:pPr>
        <w:pStyle w:val="ListParagraph"/>
        <w:numPr>
          <w:ilvl w:val="0"/>
          <w:numId w:val="92"/>
        </w:numPr>
        <w:tabs>
          <w:tab w:val="left" w:pos="1799"/>
          <w:tab w:val="left" w:pos="1800"/>
        </w:tabs>
        <w:spacing w:before="61"/>
        <w:ind w:left="1799" w:right="1443"/>
        <w:rPr>
          <w:rFonts w:ascii="Symbol" w:hAnsi="Symbol"/>
        </w:rPr>
      </w:pPr>
      <w:r>
        <w:rPr>
          <w:b/>
        </w:rPr>
        <w:t xml:space="preserve">Explore obstacles. </w:t>
      </w:r>
      <w:r>
        <w:t>Once the client applies the change plan to his or her life, there will inevitably be setbacks. Try t</w:t>
      </w:r>
      <w:r>
        <w:t>o anticipate potential obstacles and how the client might respond to them before the client</w:t>
      </w:r>
      <w:r>
        <w:rPr>
          <w:spacing w:val="-1"/>
        </w:rPr>
        <w:t xml:space="preserve"> </w:t>
      </w:r>
      <w:r>
        <w:t>takes</w:t>
      </w:r>
      <w:r>
        <w:rPr>
          <w:spacing w:val="-4"/>
        </w:rPr>
        <w:t xml:space="preserve"> </w:t>
      </w:r>
      <w:r>
        <w:t>steps</w:t>
      </w:r>
      <w:r>
        <w:rPr>
          <w:spacing w:val="-4"/>
        </w:rPr>
        <w:t xml:space="preserve"> </w:t>
      </w:r>
      <w:r>
        <w:t>to</w:t>
      </w:r>
      <w:r>
        <w:rPr>
          <w:spacing w:val="-3"/>
        </w:rPr>
        <w:t xml:space="preserve"> </w:t>
      </w:r>
      <w:r>
        <w:t>implement</w:t>
      </w:r>
      <w:r>
        <w:rPr>
          <w:spacing w:val="-4"/>
        </w:rPr>
        <w:t xml:space="preserve"> </w:t>
      </w:r>
      <w:r>
        <w:t>the</w:t>
      </w:r>
      <w:r>
        <w:rPr>
          <w:spacing w:val="-1"/>
        </w:rPr>
        <w:t xml:space="preserve"> </w:t>
      </w:r>
      <w:r>
        <w:t>plan.</w:t>
      </w:r>
      <w:r>
        <w:rPr>
          <w:spacing w:val="-5"/>
        </w:rPr>
        <w:t xml:space="preserve"> </w:t>
      </w:r>
      <w:r>
        <w:t>Then</w:t>
      </w:r>
      <w:r>
        <w:rPr>
          <w:spacing w:val="-2"/>
        </w:rPr>
        <w:t xml:space="preserve"> </w:t>
      </w:r>
      <w:r>
        <w:t>reevaluate</w:t>
      </w:r>
      <w:r>
        <w:rPr>
          <w:spacing w:val="-1"/>
        </w:rPr>
        <w:t xml:space="preserve"> </w:t>
      </w:r>
      <w:r>
        <w:t>the</w:t>
      </w:r>
      <w:r>
        <w:rPr>
          <w:spacing w:val="-4"/>
        </w:rPr>
        <w:t xml:space="preserve"> </w:t>
      </w:r>
      <w:r>
        <w:t>change</w:t>
      </w:r>
      <w:r>
        <w:rPr>
          <w:spacing w:val="-1"/>
        </w:rPr>
        <w:t xml:space="preserve"> </w:t>
      </w:r>
      <w:r>
        <w:t>plan,</w:t>
      </w:r>
      <w:r>
        <w:rPr>
          <w:spacing w:val="-2"/>
        </w:rPr>
        <w:t xml:space="preserve"> </w:t>
      </w:r>
      <w:r>
        <w:t>and</w:t>
      </w:r>
      <w:r>
        <w:rPr>
          <w:spacing w:val="-5"/>
        </w:rPr>
        <w:t xml:space="preserve"> </w:t>
      </w:r>
      <w:r>
        <w:t>help</w:t>
      </w:r>
      <w:r>
        <w:rPr>
          <w:spacing w:val="-3"/>
        </w:rPr>
        <w:t xml:space="preserve"> </w:t>
      </w:r>
      <w:r>
        <w:t>the</w:t>
      </w:r>
      <w:r>
        <w:rPr>
          <w:spacing w:val="-1"/>
        </w:rPr>
        <w:t xml:space="preserve"> </w:t>
      </w:r>
      <w:r>
        <w:t>client</w:t>
      </w:r>
      <w:r>
        <w:rPr>
          <w:spacing w:val="-1"/>
        </w:rPr>
        <w:t xml:space="preserve"> </w:t>
      </w:r>
      <w:r>
        <w:t>tweak it using the information about what did and didn’t work from prior att</w:t>
      </w:r>
      <w:r>
        <w:t>empts.</w:t>
      </w:r>
    </w:p>
    <w:p w14:paraId="3CCE7377" w14:textId="77777777" w:rsidR="00DB6E1F" w:rsidRDefault="00F666A6">
      <w:pPr>
        <w:pStyle w:val="Heading3"/>
        <w:spacing w:before="163"/>
      </w:pPr>
      <w:bookmarkStart w:id="118" w:name="Strengthening_Commitment_to_Change"/>
      <w:bookmarkEnd w:id="118"/>
      <w:r>
        <w:t>Strengthening</w:t>
      </w:r>
      <w:r>
        <w:rPr>
          <w:spacing w:val="-11"/>
        </w:rPr>
        <w:t xml:space="preserve"> </w:t>
      </w:r>
      <w:r>
        <w:t>Commitment</w:t>
      </w:r>
      <w:r>
        <w:rPr>
          <w:spacing w:val="-11"/>
        </w:rPr>
        <w:t xml:space="preserve"> </w:t>
      </w:r>
      <w:r>
        <w:t>to</w:t>
      </w:r>
      <w:r>
        <w:rPr>
          <w:spacing w:val="-11"/>
        </w:rPr>
        <w:t xml:space="preserve"> </w:t>
      </w:r>
      <w:r>
        <w:rPr>
          <w:spacing w:val="-2"/>
        </w:rPr>
        <w:t>Change</w:t>
      </w:r>
    </w:p>
    <w:p w14:paraId="57307565" w14:textId="77777777" w:rsidR="00DB6E1F" w:rsidRDefault="00F666A6">
      <w:pPr>
        <w:pStyle w:val="BodyText"/>
        <w:spacing w:before="143"/>
        <w:ind w:left="1439" w:right="1444"/>
      </w:pPr>
      <w:r>
        <w:t>The planning process is just the beginning of change. Clients must commit to the plan and show that commitment by taking action. There is some evidence that client commitment change talk is associated with positive AUD outcomes (Romano &amp; Peters, 2016). One</w:t>
      </w:r>
      <w:r>
        <w:t xml:space="preserve"> study found that counselor efforts to elicit client</w:t>
      </w:r>
      <w:r>
        <w:rPr>
          <w:spacing w:val="-1"/>
        </w:rPr>
        <w:t xml:space="preserve"> </w:t>
      </w:r>
      <w:r>
        <w:t>commitment</w:t>
      </w:r>
      <w:r>
        <w:rPr>
          <w:spacing w:val="-1"/>
        </w:rPr>
        <w:t xml:space="preserve"> </w:t>
      </w:r>
      <w:r>
        <w:t>to</w:t>
      </w:r>
      <w:r>
        <w:rPr>
          <w:spacing w:val="-3"/>
        </w:rPr>
        <w:t xml:space="preserve"> </w:t>
      </w:r>
      <w:r>
        <w:t>change</w:t>
      </w:r>
      <w:r>
        <w:rPr>
          <w:spacing w:val="-1"/>
        </w:rPr>
        <w:t xml:space="preserve"> </w:t>
      </w:r>
      <w:r>
        <w:t>alcohol</w:t>
      </w:r>
      <w:r>
        <w:rPr>
          <w:spacing w:val="-2"/>
        </w:rPr>
        <w:t xml:space="preserve"> </w:t>
      </w:r>
      <w:r>
        <w:t>use</w:t>
      </w:r>
      <w:r>
        <w:rPr>
          <w:spacing w:val="-1"/>
        </w:rPr>
        <w:t xml:space="preserve"> </w:t>
      </w:r>
      <w:r>
        <w:t>is</w:t>
      </w:r>
      <w:r>
        <w:rPr>
          <w:spacing w:val="-2"/>
        </w:rPr>
        <w:t xml:space="preserve"> </w:t>
      </w:r>
      <w:r>
        <w:t>associated</w:t>
      </w:r>
      <w:r>
        <w:rPr>
          <w:spacing w:val="-5"/>
        </w:rPr>
        <w:t xml:space="preserve"> </w:t>
      </w:r>
      <w:r>
        <w:t>with</w:t>
      </w:r>
      <w:r>
        <w:rPr>
          <w:spacing w:val="-3"/>
        </w:rPr>
        <w:t xml:space="preserve"> </w:t>
      </w:r>
      <w:r>
        <w:t>reduced</w:t>
      </w:r>
      <w:r>
        <w:rPr>
          <w:spacing w:val="-3"/>
        </w:rPr>
        <w:t xml:space="preserve"> </w:t>
      </w:r>
      <w:r>
        <w:t>alcohol</w:t>
      </w:r>
      <w:r>
        <w:rPr>
          <w:spacing w:val="-5"/>
        </w:rPr>
        <w:t xml:space="preserve"> </w:t>
      </w:r>
      <w:r>
        <w:t>consumption</w:t>
      </w:r>
      <w:r>
        <w:rPr>
          <w:spacing w:val="-5"/>
        </w:rPr>
        <w:t xml:space="preserve"> </w:t>
      </w:r>
      <w:r>
        <w:t>and</w:t>
      </w:r>
      <w:r>
        <w:rPr>
          <w:spacing w:val="-3"/>
        </w:rPr>
        <w:t xml:space="preserve"> </w:t>
      </w:r>
      <w:r>
        <w:t>increased abstinence for clients in outpatient treatment (Magill, Stout, &amp; Apodoaca, 2013).</w:t>
      </w:r>
    </w:p>
    <w:p w14:paraId="7914835F" w14:textId="77777777" w:rsidR="00DB6E1F" w:rsidRDefault="00F666A6">
      <w:pPr>
        <w:spacing w:before="160"/>
        <w:ind w:left="1438" w:right="1444"/>
      </w:pPr>
      <w:r>
        <w:rPr>
          <w:b/>
        </w:rPr>
        <w:t>Usually,</w:t>
      </w:r>
      <w:r>
        <w:rPr>
          <w:b/>
          <w:spacing w:val="-1"/>
        </w:rPr>
        <w:t xml:space="preserve"> </w:t>
      </w:r>
      <w:r>
        <w:rPr>
          <w:b/>
        </w:rPr>
        <w:t>people</w:t>
      </w:r>
      <w:r>
        <w:rPr>
          <w:b/>
          <w:spacing w:val="-3"/>
        </w:rPr>
        <w:t xml:space="preserve"> </w:t>
      </w:r>
      <w:r>
        <w:rPr>
          <w:b/>
        </w:rPr>
        <w:t>express</w:t>
      </w:r>
      <w:r>
        <w:rPr>
          <w:b/>
          <w:spacing w:val="-1"/>
        </w:rPr>
        <w:t xml:space="preserve"> </w:t>
      </w:r>
      <w:r>
        <w:rPr>
          <w:b/>
        </w:rPr>
        <w:t>an</w:t>
      </w:r>
      <w:r>
        <w:rPr>
          <w:b/>
          <w:spacing w:val="-5"/>
        </w:rPr>
        <w:t xml:space="preserve"> </w:t>
      </w:r>
      <w:r>
        <w:rPr>
          <w:b/>
        </w:rPr>
        <w:t>intention</w:t>
      </w:r>
      <w:r>
        <w:rPr>
          <w:b/>
          <w:spacing w:val="-3"/>
        </w:rPr>
        <w:t xml:space="preserve"> </w:t>
      </w:r>
      <w:r>
        <w:rPr>
          <w:b/>
        </w:rPr>
        <w:t>to</w:t>
      </w:r>
      <w:r>
        <w:rPr>
          <w:b/>
          <w:spacing w:val="-5"/>
        </w:rPr>
        <w:t xml:space="preserve"> </w:t>
      </w:r>
      <w:r>
        <w:rPr>
          <w:b/>
        </w:rPr>
        <w:t>make</w:t>
      </w:r>
      <w:r>
        <w:rPr>
          <w:b/>
          <w:spacing w:val="-3"/>
        </w:rPr>
        <w:t xml:space="preserve"> </w:t>
      </w:r>
      <w:r>
        <w:rPr>
          <w:b/>
        </w:rPr>
        <w:t>a</w:t>
      </w:r>
      <w:r>
        <w:rPr>
          <w:b/>
          <w:spacing w:val="-3"/>
        </w:rPr>
        <w:t xml:space="preserve"> </w:t>
      </w:r>
      <w:r>
        <w:rPr>
          <w:b/>
        </w:rPr>
        <w:t>change</w:t>
      </w:r>
      <w:r>
        <w:rPr>
          <w:b/>
          <w:spacing w:val="-3"/>
        </w:rPr>
        <w:t xml:space="preserve"> </w:t>
      </w:r>
      <w:r>
        <w:rPr>
          <w:b/>
        </w:rPr>
        <w:t>before</w:t>
      </w:r>
      <w:r>
        <w:rPr>
          <w:b/>
          <w:spacing w:val="-3"/>
        </w:rPr>
        <w:t xml:space="preserve"> </w:t>
      </w:r>
      <w:r>
        <w:rPr>
          <w:b/>
        </w:rPr>
        <w:t>they</w:t>
      </w:r>
      <w:r>
        <w:rPr>
          <w:b/>
          <w:spacing w:val="-1"/>
        </w:rPr>
        <w:t xml:space="preserve"> </w:t>
      </w:r>
      <w:r>
        <w:rPr>
          <w:b/>
        </w:rPr>
        <w:t>make</w:t>
      </w:r>
      <w:r>
        <w:rPr>
          <w:b/>
          <w:spacing w:val="-3"/>
        </w:rPr>
        <w:t xml:space="preserve"> </w:t>
      </w:r>
      <w:r>
        <w:rPr>
          <w:b/>
        </w:rPr>
        <w:t>a</w:t>
      </w:r>
      <w:r>
        <w:rPr>
          <w:b/>
          <w:spacing w:val="-3"/>
        </w:rPr>
        <w:t xml:space="preserve"> </w:t>
      </w:r>
      <w:r>
        <w:rPr>
          <w:b/>
        </w:rPr>
        <w:t>firm</w:t>
      </w:r>
      <w:r>
        <w:rPr>
          <w:b/>
          <w:spacing w:val="-5"/>
        </w:rPr>
        <w:t xml:space="preserve"> </w:t>
      </w:r>
      <w:r>
        <w:rPr>
          <w:b/>
        </w:rPr>
        <w:t>commitment</w:t>
      </w:r>
      <w:r>
        <w:rPr>
          <w:b/>
          <w:spacing w:val="-4"/>
        </w:rPr>
        <w:t xml:space="preserve"> </w:t>
      </w:r>
      <w:r>
        <w:rPr>
          <w:b/>
        </w:rPr>
        <w:t>to</w:t>
      </w:r>
      <w:r>
        <w:rPr>
          <w:b/>
          <w:spacing w:val="-3"/>
        </w:rPr>
        <w:t xml:space="preserve"> </w:t>
      </w:r>
      <w:r>
        <w:rPr>
          <w:b/>
        </w:rPr>
        <w:t xml:space="preserve">taking action. </w:t>
      </w:r>
      <w:r>
        <w:t>You can evoke the client’s intention to take action by as</w:t>
      </w:r>
      <w:r>
        <w:t xml:space="preserve">king open questions: “What are you </w:t>
      </w:r>
      <w:r>
        <w:rPr>
          <w:b/>
        </w:rPr>
        <w:t xml:space="preserve">willing </w:t>
      </w:r>
      <w:r>
        <w:t xml:space="preserve">to do this week?” or “What specific steps of the change plan are you </w:t>
      </w:r>
      <w:r>
        <w:rPr>
          <w:b/>
        </w:rPr>
        <w:t xml:space="preserve">ready </w:t>
      </w:r>
      <w:r>
        <w:t>to take?” (Miller &amp; Rollnick,</w:t>
      </w:r>
      <w:r>
        <w:rPr>
          <w:spacing w:val="-2"/>
        </w:rPr>
        <w:t xml:space="preserve"> </w:t>
      </w:r>
      <w:r>
        <w:t>2013). Remember</w:t>
      </w:r>
      <w:r>
        <w:rPr>
          <w:spacing w:val="-3"/>
        </w:rPr>
        <w:t xml:space="preserve"> </w:t>
      </w:r>
      <w:r>
        <w:t>that the client</w:t>
      </w:r>
      <w:r>
        <w:rPr>
          <w:spacing w:val="-2"/>
        </w:rPr>
        <w:t xml:space="preserve"> </w:t>
      </w:r>
      <w:r>
        <w:t>may have</w:t>
      </w:r>
      <w:r>
        <w:rPr>
          <w:spacing w:val="-2"/>
        </w:rPr>
        <w:t xml:space="preserve"> </w:t>
      </w:r>
      <w:r>
        <w:t>an end</w:t>
      </w:r>
      <w:r>
        <w:rPr>
          <w:spacing w:val="-1"/>
        </w:rPr>
        <w:t xml:space="preserve"> </w:t>
      </w:r>
      <w:r>
        <w:t>goal (e.g., to quit drinking) and</w:t>
      </w:r>
      <w:r>
        <w:rPr>
          <w:spacing w:val="-1"/>
        </w:rPr>
        <w:t xml:space="preserve"> </w:t>
      </w:r>
      <w:r>
        <w:t xml:space="preserve">intermediate action steps </w:t>
      </w:r>
      <w:r>
        <w:t>to achieving that goal (e.g., filling a naltrexone prescription, going to an AA meeting).</w:t>
      </w:r>
    </w:p>
    <w:p w14:paraId="2300D1FE" w14:textId="77777777" w:rsidR="00DB6E1F" w:rsidRDefault="00F666A6">
      <w:pPr>
        <w:tabs>
          <w:tab w:val="left" w:pos="6344"/>
        </w:tabs>
        <w:spacing w:before="159"/>
        <w:ind w:left="1438" w:right="1474"/>
      </w:pPr>
      <w:r>
        <w:t>Once</w:t>
      </w:r>
      <w:r>
        <w:rPr>
          <w:spacing w:val="-1"/>
        </w:rPr>
        <w:t xml:space="preserve"> </w:t>
      </w:r>
      <w:r>
        <w:t>the</w:t>
      </w:r>
      <w:r>
        <w:rPr>
          <w:spacing w:val="-1"/>
        </w:rPr>
        <w:t xml:space="preserve"> </w:t>
      </w:r>
      <w:r>
        <w:t>client</w:t>
      </w:r>
      <w:r>
        <w:rPr>
          <w:spacing w:val="-4"/>
        </w:rPr>
        <w:t xml:space="preserve"> </w:t>
      </w:r>
      <w:r>
        <w:t>has</w:t>
      </w:r>
      <w:r>
        <w:rPr>
          <w:spacing w:val="-4"/>
        </w:rPr>
        <w:t xml:space="preserve"> </w:t>
      </w:r>
      <w:r>
        <w:t>expressed</w:t>
      </w:r>
      <w:r>
        <w:rPr>
          <w:spacing w:val="-3"/>
        </w:rPr>
        <w:t xml:space="preserve"> </w:t>
      </w:r>
      <w:r>
        <w:t>an</w:t>
      </w:r>
      <w:r>
        <w:rPr>
          <w:spacing w:val="-3"/>
        </w:rPr>
        <w:t xml:space="preserve"> </w:t>
      </w:r>
      <w:r>
        <w:t>intention</w:t>
      </w:r>
      <w:r>
        <w:rPr>
          <w:spacing w:val="-3"/>
        </w:rPr>
        <w:t xml:space="preserve"> </w:t>
      </w:r>
      <w:r>
        <w:t>to</w:t>
      </w:r>
      <w:r>
        <w:rPr>
          <w:spacing w:val="-1"/>
        </w:rPr>
        <w:t xml:space="preserve"> </w:t>
      </w:r>
      <w:r>
        <w:t>change,</w:t>
      </w:r>
      <w:r>
        <w:rPr>
          <w:spacing w:val="-4"/>
        </w:rPr>
        <w:t xml:space="preserve"> </w:t>
      </w:r>
      <w:r>
        <w:t>elicit</w:t>
      </w:r>
      <w:r>
        <w:rPr>
          <w:spacing w:val="-1"/>
        </w:rPr>
        <w:t xml:space="preserve"> </w:t>
      </w:r>
      <w:r>
        <w:t>commitment</w:t>
      </w:r>
      <w:r>
        <w:rPr>
          <w:spacing w:val="-4"/>
        </w:rPr>
        <w:t xml:space="preserve"> </w:t>
      </w:r>
      <w:r>
        <w:t>change</w:t>
      </w:r>
      <w:r>
        <w:rPr>
          <w:spacing w:val="-1"/>
        </w:rPr>
        <w:t xml:space="preserve"> </w:t>
      </w:r>
      <w:r>
        <w:t>talk.</w:t>
      </w:r>
      <w:r>
        <w:rPr>
          <w:spacing w:val="-2"/>
        </w:rPr>
        <w:t xml:space="preserve"> </w:t>
      </w:r>
      <w:r>
        <w:t>Try</w:t>
      </w:r>
      <w:r>
        <w:rPr>
          <w:spacing w:val="-3"/>
        </w:rPr>
        <w:t xml:space="preserve"> </w:t>
      </w:r>
      <w:r>
        <w:t>asking</w:t>
      </w:r>
      <w:r>
        <w:rPr>
          <w:spacing w:val="-3"/>
        </w:rPr>
        <w:t xml:space="preserve"> </w:t>
      </w:r>
      <w:r>
        <w:t>an</w:t>
      </w:r>
      <w:r>
        <w:rPr>
          <w:spacing w:val="-5"/>
        </w:rPr>
        <w:t xml:space="preserve"> </w:t>
      </w:r>
      <w:r>
        <w:t xml:space="preserve">open question that invites the client to explore his or her commitment more clearly: “What would help you strengthen your commitment to </w:t>
      </w:r>
      <w:r>
        <w:rPr>
          <w:rFonts w:ascii="Times New Roman" w:hAnsi="Times New Roman"/>
          <w:u w:val="single"/>
        </w:rPr>
        <w:tab/>
      </w:r>
      <w:r>
        <w:rPr>
          <w:rFonts w:ascii="Times New Roman" w:hAnsi="Times New Roman"/>
        </w:rPr>
        <w:t xml:space="preserve"> </w:t>
      </w:r>
      <w:r>
        <w:rPr>
          <w:i/>
        </w:rPr>
        <w:t>[name the step or ultimate goal for change, for example, getting that prescription from your doctor for naltrexone]</w:t>
      </w:r>
      <w:r>
        <w:t xml:space="preserve">?” </w:t>
      </w:r>
      <w:r>
        <w:t>(Miller &amp; Rollnick, 2013).</w:t>
      </w:r>
    </w:p>
    <w:p w14:paraId="7184C820" w14:textId="77777777" w:rsidR="00DB6E1F" w:rsidRDefault="00F666A6">
      <w:pPr>
        <w:spacing w:before="159"/>
        <w:ind w:left="1438"/>
      </w:pPr>
      <w:r>
        <w:rPr>
          <w:b/>
          <w:spacing w:val="-4"/>
        </w:rPr>
        <w:t>Other</w:t>
      </w:r>
      <w:r>
        <w:rPr>
          <w:b/>
          <w:spacing w:val="-11"/>
        </w:rPr>
        <w:t xml:space="preserve"> </w:t>
      </w:r>
      <w:r>
        <w:rPr>
          <w:b/>
          <w:spacing w:val="-4"/>
        </w:rPr>
        <w:t>strategies</w:t>
      </w:r>
      <w:r>
        <w:rPr>
          <w:b/>
          <w:spacing w:val="-9"/>
        </w:rPr>
        <w:t xml:space="preserve"> </w:t>
      </w:r>
      <w:r>
        <w:rPr>
          <w:b/>
          <w:spacing w:val="-4"/>
        </w:rPr>
        <w:t>to</w:t>
      </w:r>
      <w:r>
        <w:rPr>
          <w:b/>
          <w:spacing w:val="-11"/>
        </w:rPr>
        <w:t xml:space="preserve"> </w:t>
      </w:r>
      <w:r>
        <w:rPr>
          <w:b/>
          <w:spacing w:val="-4"/>
        </w:rPr>
        <w:t>strengthen</w:t>
      </w:r>
      <w:r>
        <w:rPr>
          <w:b/>
          <w:spacing w:val="-10"/>
        </w:rPr>
        <w:t xml:space="preserve"> </w:t>
      </w:r>
      <w:r>
        <w:rPr>
          <w:b/>
          <w:spacing w:val="-4"/>
        </w:rPr>
        <w:t>commitment</w:t>
      </w:r>
      <w:r>
        <w:rPr>
          <w:b/>
          <w:spacing w:val="-9"/>
        </w:rPr>
        <w:t xml:space="preserve"> </w:t>
      </w:r>
      <w:r>
        <w:rPr>
          <w:b/>
          <w:spacing w:val="-4"/>
        </w:rPr>
        <w:t>to</w:t>
      </w:r>
      <w:r>
        <w:rPr>
          <w:b/>
          <w:spacing w:val="-7"/>
        </w:rPr>
        <w:t xml:space="preserve"> </w:t>
      </w:r>
      <w:r>
        <w:rPr>
          <w:b/>
          <w:spacing w:val="-4"/>
        </w:rPr>
        <w:t>action</w:t>
      </w:r>
      <w:r>
        <w:rPr>
          <w:b/>
          <w:spacing w:val="-10"/>
        </w:rPr>
        <w:t xml:space="preserve"> </w:t>
      </w:r>
      <w:r>
        <w:rPr>
          <w:b/>
          <w:spacing w:val="-4"/>
        </w:rPr>
        <w:t>steps</w:t>
      </w:r>
      <w:r>
        <w:rPr>
          <w:b/>
          <w:spacing w:val="-6"/>
        </w:rPr>
        <w:t xml:space="preserve"> </w:t>
      </w:r>
      <w:r>
        <w:rPr>
          <w:b/>
          <w:spacing w:val="-4"/>
        </w:rPr>
        <w:t>and</w:t>
      </w:r>
      <w:r>
        <w:rPr>
          <w:b/>
          <w:spacing w:val="-10"/>
        </w:rPr>
        <w:t xml:space="preserve"> </w:t>
      </w:r>
      <w:r>
        <w:rPr>
          <w:b/>
          <w:spacing w:val="-4"/>
        </w:rPr>
        <w:t>change</w:t>
      </w:r>
      <w:r>
        <w:rPr>
          <w:b/>
          <w:spacing w:val="-9"/>
        </w:rPr>
        <w:t xml:space="preserve"> </w:t>
      </w:r>
      <w:r>
        <w:rPr>
          <w:b/>
          <w:spacing w:val="-4"/>
        </w:rPr>
        <w:t>goals</w:t>
      </w:r>
      <w:r>
        <w:rPr>
          <w:b/>
          <w:spacing w:val="-9"/>
        </w:rPr>
        <w:t xml:space="preserve"> </w:t>
      </w:r>
      <w:r>
        <w:rPr>
          <w:b/>
          <w:spacing w:val="-4"/>
        </w:rPr>
        <w:t>include</w:t>
      </w:r>
      <w:r>
        <w:rPr>
          <w:b/>
          <w:spacing w:val="-10"/>
        </w:rPr>
        <w:t xml:space="preserve"> </w:t>
      </w:r>
      <w:r>
        <w:rPr>
          <w:spacing w:val="-4"/>
        </w:rPr>
        <w:t>(Miller</w:t>
      </w:r>
      <w:r>
        <w:rPr>
          <w:spacing w:val="-10"/>
        </w:rPr>
        <w:t xml:space="preserve"> </w:t>
      </w:r>
      <w:r>
        <w:rPr>
          <w:spacing w:val="-4"/>
        </w:rPr>
        <w:t>&amp;</w:t>
      </w:r>
      <w:r>
        <w:rPr>
          <w:spacing w:val="-9"/>
        </w:rPr>
        <w:t xml:space="preserve"> </w:t>
      </w:r>
      <w:r>
        <w:rPr>
          <w:spacing w:val="-4"/>
        </w:rPr>
        <w:t>Rollnick,</w:t>
      </w:r>
      <w:r>
        <w:rPr>
          <w:spacing w:val="-6"/>
        </w:rPr>
        <w:t xml:space="preserve"> </w:t>
      </w:r>
      <w:r>
        <w:rPr>
          <w:spacing w:val="-4"/>
        </w:rPr>
        <w:t>2013):</w:t>
      </w:r>
    </w:p>
    <w:p w14:paraId="0DFE5F13" w14:textId="77777777" w:rsidR="00DB6E1F" w:rsidRDefault="00F666A6">
      <w:pPr>
        <w:pStyle w:val="ListParagraph"/>
        <w:numPr>
          <w:ilvl w:val="0"/>
          <w:numId w:val="92"/>
        </w:numPr>
        <w:tabs>
          <w:tab w:val="left" w:pos="1798"/>
          <w:tab w:val="left" w:pos="1799"/>
        </w:tabs>
        <w:spacing w:before="61"/>
        <w:ind w:left="1798"/>
        <w:rPr>
          <w:rFonts w:ascii="Symbol" w:hAnsi="Symbol"/>
        </w:rPr>
      </w:pPr>
      <w:r>
        <w:t>Exploring</w:t>
      </w:r>
      <w:r>
        <w:rPr>
          <w:spacing w:val="-7"/>
        </w:rPr>
        <w:t xml:space="preserve"> </w:t>
      </w:r>
      <w:r>
        <w:t>any</w:t>
      </w:r>
      <w:r>
        <w:rPr>
          <w:spacing w:val="-5"/>
        </w:rPr>
        <w:t xml:space="preserve"> </w:t>
      </w:r>
      <w:r>
        <w:t>ambivalence</w:t>
      </w:r>
      <w:r>
        <w:rPr>
          <w:spacing w:val="-6"/>
        </w:rPr>
        <w:t xml:space="preserve"> </w:t>
      </w:r>
      <w:r>
        <w:t>clients</w:t>
      </w:r>
      <w:r>
        <w:rPr>
          <w:spacing w:val="-4"/>
        </w:rPr>
        <w:t xml:space="preserve"> </w:t>
      </w:r>
      <w:r>
        <w:t>have</w:t>
      </w:r>
      <w:r>
        <w:rPr>
          <w:spacing w:val="-2"/>
        </w:rPr>
        <w:t xml:space="preserve"> </w:t>
      </w:r>
      <w:r>
        <w:t>about</w:t>
      </w:r>
      <w:r>
        <w:rPr>
          <w:spacing w:val="-3"/>
        </w:rPr>
        <w:t xml:space="preserve"> </w:t>
      </w:r>
      <w:r>
        <w:t>change</w:t>
      </w:r>
      <w:r>
        <w:rPr>
          <w:spacing w:val="-7"/>
        </w:rPr>
        <w:t xml:space="preserve"> </w:t>
      </w:r>
      <w:r>
        <w:t>goals</w:t>
      </w:r>
      <w:r>
        <w:rPr>
          <w:spacing w:val="-6"/>
        </w:rPr>
        <w:t xml:space="preserve"> </w:t>
      </w:r>
      <w:r>
        <w:t>or</w:t>
      </w:r>
      <w:r>
        <w:rPr>
          <w:spacing w:val="-3"/>
        </w:rPr>
        <w:t xml:space="preserve"> </w:t>
      </w:r>
      <w:r>
        <w:t>specific</w:t>
      </w:r>
      <w:r>
        <w:rPr>
          <w:spacing w:val="-4"/>
        </w:rPr>
        <w:t xml:space="preserve"> </w:t>
      </w:r>
      <w:r>
        <w:t>elements</w:t>
      </w:r>
      <w:r>
        <w:rPr>
          <w:spacing w:val="-5"/>
        </w:rPr>
        <w:t xml:space="preserve"> </w:t>
      </w:r>
      <w:r>
        <w:t>of</w:t>
      </w:r>
      <w:r>
        <w:rPr>
          <w:spacing w:val="-4"/>
        </w:rPr>
        <w:t xml:space="preserve"> </w:t>
      </w:r>
      <w:r>
        <w:t>change</w:t>
      </w:r>
      <w:r>
        <w:rPr>
          <w:spacing w:val="-3"/>
        </w:rPr>
        <w:t xml:space="preserve"> </w:t>
      </w:r>
      <w:r>
        <w:rPr>
          <w:spacing w:val="-2"/>
        </w:rPr>
        <w:t>plans.</w:t>
      </w:r>
    </w:p>
    <w:p w14:paraId="729221A8" w14:textId="77777777" w:rsidR="00DB6E1F" w:rsidRDefault="00DB6E1F">
      <w:pPr>
        <w:rPr>
          <w:rFonts w:ascii="Symbol" w:hAnsi="Symbol"/>
        </w:rPr>
        <w:sectPr w:rsidR="00DB6E1F">
          <w:pgSz w:w="12240" w:h="15840"/>
          <w:pgMar w:top="1200" w:right="0" w:bottom="780" w:left="0" w:header="763" w:footer="585" w:gutter="0"/>
          <w:cols w:space="720"/>
        </w:sectPr>
      </w:pPr>
    </w:p>
    <w:p w14:paraId="6B222E5A" w14:textId="77777777" w:rsidR="00DB6E1F" w:rsidRDefault="00DB6E1F">
      <w:pPr>
        <w:pStyle w:val="BodyText"/>
        <w:rPr>
          <w:sz w:val="11"/>
        </w:rPr>
      </w:pPr>
    </w:p>
    <w:p w14:paraId="19592A82" w14:textId="77777777" w:rsidR="00DB6E1F" w:rsidRDefault="00F666A6">
      <w:pPr>
        <w:pStyle w:val="ListParagraph"/>
        <w:numPr>
          <w:ilvl w:val="0"/>
          <w:numId w:val="92"/>
        </w:numPr>
        <w:tabs>
          <w:tab w:val="left" w:pos="1800"/>
          <w:tab w:val="left" w:pos="1801"/>
        </w:tabs>
        <w:spacing w:before="101"/>
        <w:ind w:left="1800"/>
        <w:rPr>
          <w:rFonts w:ascii="Symbol" w:hAnsi="Symbol"/>
        </w:rPr>
      </w:pPr>
      <w:r>
        <w:t>Reinforcing</w:t>
      </w:r>
      <w:r>
        <w:rPr>
          <w:spacing w:val="-5"/>
        </w:rPr>
        <w:t xml:space="preserve"> </w:t>
      </w:r>
      <w:r>
        <w:t>CAT</w:t>
      </w:r>
      <w:r>
        <w:rPr>
          <w:spacing w:val="-4"/>
        </w:rPr>
        <w:t xml:space="preserve"> </w:t>
      </w:r>
      <w:r>
        <w:t>change</w:t>
      </w:r>
      <w:r>
        <w:rPr>
          <w:spacing w:val="-7"/>
        </w:rPr>
        <w:t xml:space="preserve"> </w:t>
      </w:r>
      <w:r>
        <w:t>talk</w:t>
      </w:r>
      <w:r>
        <w:rPr>
          <w:spacing w:val="-3"/>
        </w:rPr>
        <w:t xml:space="preserve"> </w:t>
      </w:r>
      <w:r>
        <w:t>through</w:t>
      </w:r>
      <w:r>
        <w:rPr>
          <w:spacing w:val="-6"/>
        </w:rPr>
        <w:t xml:space="preserve"> </w:t>
      </w:r>
      <w:r>
        <w:t>reflective</w:t>
      </w:r>
      <w:r>
        <w:rPr>
          <w:spacing w:val="-6"/>
        </w:rPr>
        <w:t xml:space="preserve"> </w:t>
      </w:r>
      <w:r>
        <w:rPr>
          <w:spacing w:val="-2"/>
        </w:rPr>
        <w:t>listening.</w:t>
      </w:r>
    </w:p>
    <w:p w14:paraId="0CC081CA" w14:textId="77777777" w:rsidR="00DB6E1F" w:rsidRDefault="00F666A6">
      <w:pPr>
        <w:pStyle w:val="ListParagraph"/>
        <w:numPr>
          <w:ilvl w:val="0"/>
          <w:numId w:val="92"/>
        </w:numPr>
        <w:tabs>
          <w:tab w:val="left" w:pos="1800"/>
          <w:tab w:val="left" w:pos="1801"/>
        </w:tabs>
        <w:ind w:left="1800"/>
        <w:rPr>
          <w:rFonts w:ascii="Symbol" w:hAnsi="Symbol"/>
        </w:rPr>
      </w:pPr>
      <w:r>
        <w:t>Inviting</w:t>
      </w:r>
      <w:r>
        <w:rPr>
          <w:spacing w:val="-7"/>
        </w:rPr>
        <w:t xml:space="preserve"> </w:t>
      </w:r>
      <w:r>
        <w:t>clients</w:t>
      </w:r>
      <w:r>
        <w:rPr>
          <w:spacing w:val="-6"/>
        </w:rPr>
        <w:t xml:space="preserve"> </w:t>
      </w:r>
      <w:r>
        <w:t>to</w:t>
      </w:r>
      <w:r>
        <w:rPr>
          <w:spacing w:val="-3"/>
        </w:rPr>
        <w:t xml:space="preserve"> </w:t>
      </w:r>
      <w:r>
        <w:t>state</w:t>
      </w:r>
      <w:r>
        <w:rPr>
          <w:spacing w:val="-6"/>
        </w:rPr>
        <w:t xml:space="preserve"> </w:t>
      </w:r>
      <w:r>
        <w:t>their</w:t>
      </w:r>
      <w:r>
        <w:rPr>
          <w:spacing w:val="-3"/>
        </w:rPr>
        <w:t xml:space="preserve"> </w:t>
      </w:r>
      <w:r>
        <w:t>commitment</w:t>
      </w:r>
      <w:r>
        <w:rPr>
          <w:spacing w:val="-6"/>
        </w:rPr>
        <w:t xml:space="preserve"> </w:t>
      </w:r>
      <w:r>
        <w:t>to</w:t>
      </w:r>
      <w:r>
        <w:rPr>
          <w:spacing w:val="-3"/>
        </w:rPr>
        <w:t xml:space="preserve"> </w:t>
      </w:r>
      <w:r>
        <w:t>their</w:t>
      </w:r>
      <w:r>
        <w:rPr>
          <w:spacing w:val="-7"/>
        </w:rPr>
        <w:t xml:space="preserve"> </w:t>
      </w:r>
      <w:r>
        <w:t>significant</w:t>
      </w:r>
      <w:r>
        <w:rPr>
          <w:spacing w:val="-2"/>
        </w:rPr>
        <w:t xml:space="preserve"> others.</w:t>
      </w:r>
    </w:p>
    <w:p w14:paraId="503FDD93" w14:textId="77777777" w:rsidR="00DB6E1F" w:rsidRDefault="00F666A6">
      <w:pPr>
        <w:pStyle w:val="ListParagraph"/>
        <w:numPr>
          <w:ilvl w:val="0"/>
          <w:numId w:val="92"/>
        </w:numPr>
        <w:tabs>
          <w:tab w:val="left" w:pos="1800"/>
          <w:tab w:val="left" w:pos="1801"/>
        </w:tabs>
        <w:spacing w:before="61"/>
        <w:ind w:left="1800"/>
        <w:rPr>
          <w:rFonts w:ascii="Symbol" w:hAnsi="Symbol"/>
        </w:rPr>
      </w:pPr>
      <w:r>
        <w:t>Asking</w:t>
      </w:r>
      <w:r>
        <w:rPr>
          <w:spacing w:val="-7"/>
        </w:rPr>
        <w:t xml:space="preserve"> </w:t>
      </w:r>
      <w:r>
        <w:t>clients</w:t>
      </w:r>
      <w:r>
        <w:rPr>
          <w:spacing w:val="-6"/>
        </w:rPr>
        <w:t xml:space="preserve"> </w:t>
      </w:r>
      <w:r>
        <w:t>to</w:t>
      </w:r>
      <w:r>
        <w:rPr>
          <w:spacing w:val="-5"/>
        </w:rPr>
        <w:t xml:space="preserve"> </w:t>
      </w:r>
      <w:r>
        <w:t>self-monitor</w:t>
      </w:r>
      <w:r>
        <w:rPr>
          <w:spacing w:val="-4"/>
        </w:rPr>
        <w:t xml:space="preserve"> </w:t>
      </w:r>
      <w:r>
        <w:t>by</w:t>
      </w:r>
      <w:r>
        <w:rPr>
          <w:spacing w:val="-6"/>
        </w:rPr>
        <w:t xml:space="preserve"> </w:t>
      </w:r>
      <w:r>
        <w:t>recording</w:t>
      </w:r>
      <w:r>
        <w:rPr>
          <w:spacing w:val="-5"/>
        </w:rPr>
        <w:t xml:space="preserve"> </w:t>
      </w:r>
      <w:r>
        <w:t>progress</w:t>
      </w:r>
      <w:r>
        <w:rPr>
          <w:spacing w:val="-4"/>
        </w:rPr>
        <w:t xml:space="preserve"> </w:t>
      </w:r>
      <w:r>
        <w:t>toward</w:t>
      </w:r>
      <w:r>
        <w:rPr>
          <w:spacing w:val="-5"/>
        </w:rPr>
        <w:t xml:space="preserve"> </w:t>
      </w:r>
      <w:r>
        <w:t>change</w:t>
      </w:r>
      <w:r>
        <w:rPr>
          <w:spacing w:val="-5"/>
        </w:rPr>
        <w:t xml:space="preserve"> </w:t>
      </w:r>
      <w:r>
        <w:t>goals</w:t>
      </w:r>
      <w:r>
        <w:rPr>
          <w:spacing w:val="-4"/>
        </w:rPr>
        <w:t xml:space="preserve"> </w:t>
      </w:r>
      <w:r>
        <w:t>(e.g.,</w:t>
      </w:r>
      <w:r>
        <w:rPr>
          <w:spacing w:val="-4"/>
        </w:rPr>
        <w:t xml:space="preserve"> </w:t>
      </w:r>
      <w:r>
        <w:t>with</w:t>
      </w:r>
      <w:r>
        <w:rPr>
          <w:spacing w:val="-5"/>
        </w:rPr>
        <w:t xml:space="preserve"> </w:t>
      </w:r>
      <w:r>
        <w:t>a</w:t>
      </w:r>
      <w:r>
        <w:rPr>
          <w:spacing w:val="-4"/>
        </w:rPr>
        <w:t xml:space="preserve"> </w:t>
      </w:r>
      <w:r>
        <w:t>drinking</w:t>
      </w:r>
      <w:r>
        <w:rPr>
          <w:spacing w:val="-5"/>
        </w:rPr>
        <w:t xml:space="preserve"> </w:t>
      </w:r>
      <w:r>
        <w:rPr>
          <w:spacing w:val="-2"/>
        </w:rPr>
        <w:t>log).</w:t>
      </w:r>
    </w:p>
    <w:p w14:paraId="3D243D46" w14:textId="77777777" w:rsidR="00DB6E1F" w:rsidRDefault="00F666A6">
      <w:pPr>
        <w:pStyle w:val="ListParagraph"/>
        <w:numPr>
          <w:ilvl w:val="0"/>
          <w:numId w:val="92"/>
        </w:numPr>
        <w:tabs>
          <w:tab w:val="left" w:pos="1800"/>
          <w:tab w:val="left" w:pos="1801"/>
        </w:tabs>
        <w:spacing w:before="58"/>
        <w:ind w:left="1800" w:right="1895"/>
        <w:rPr>
          <w:rFonts w:ascii="Symbol" w:hAnsi="Symbol"/>
        </w:rPr>
      </w:pPr>
      <w:r>
        <w:t>Exploring,</w:t>
      </w:r>
      <w:r>
        <w:rPr>
          <w:spacing w:val="-5"/>
        </w:rPr>
        <w:t xml:space="preserve"> </w:t>
      </w:r>
      <w:r>
        <w:t>with</w:t>
      </w:r>
      <w:r>
        <w:rPr>
          <w:spacing w:val="-4"/>
        </w:rPr>
        <w:t xml:space="preserve"> </w:t>
      </w:r>
      <w:r>
        <w:t>clients’</w:t>
      </w:r>
      <w:r>
        <w:rPr>
          <w:spacing w:val="-3"/>
        </w:rPr>
        <w:t xml:space="preserve"> </w:t>
      </w:r>
      <w:r>
        <w:t>consent,</w:t>
      </w:r>
      <w:r>
        <w:rPr>
          <w:spacing w:val="-5"/>
        </w:rPr>
        <w:t xml:space="preserve"> </w:t>
      </w:r>
      <w:r>
        <w:t>whether</w:t>
      </w:r>
      <w:r>
        <w:rPr>
          <w:spacing w:val="-6"/>
        </w:rPr>
        <w:t xml:space="preserve"> </w:t>
      </w:r>
      <w:r>
        <w:t>supportive</w:t>
      </w:r>
      <w:r>
        <w:rPr>
          <w:spacing w:val="-5"/>
        </w:rPr>
        <w:t xml:space="preserve"> </w:t>
      </w:r>
      <w:r>
        <w:t>significant</w:t>
      </w:r>
      <w:r>
        <w:rPr>
          <w:spacing w:val="-2"/>
        </w:rPr>
        <w:t xml:space="preserve"> </w:t>
      </w:r>
      <w:r>
        <w:t>others</w:t>
      </w:r>
      <w:r>
        <w:rPr>
          <w:spacing w:val="-3"/>
        </w:rPr>
        <w:t xml:space="preserve"> </w:t>
      </w:r>
      <w:r>
        <w:t>can</w:t>
      </w:r>
      <w:r>
        <w:rPr>
          <w:spacing w:val="-4"/>
        </w:rPr>
        <w:t xml:space="preserve"> </w:t>
      </w:r>
      <w:r>
        <w:t>help</w:t>
      </w:r>
      <w:r>
        <w:rPr>
          <w:spacing w:val="-4"/>
        </w:rPr>
        <w:t xml:space="preserve"> </w:t>
      </w:r>
      <w:r>
        <w:t>with</w:t>
      </w:r>
      <w:r>
        <w:rPr>
          <w:spacing w:val="-4"/>
        </w:rPr>
        <w:t xml:space="preserve"> </w:t>
      </w:r>
      <w:r>
        <w:t>medication adherence or other activities that reinforce commitment (e.g., getting to AA meetings).</w:t>
      </w:r>
    </w:p>
    <w:p w14:paraId="324F7D59" w14:textId="77777777" w:rsidR="00DB6E1F" w:rsidRDefault="00F666A6">
      <w:pPr>
        <w:pStyle w:val="BodyText"/>
        <w:spacing w:before="161"/>
        <w:ind w:left="1440" w:right="1491"/>
      </w:pPr>
      <w:r>
        <w:t>The</w:t>
      </w:r>
      <w:r>
        <w:rPr>
          <w:spacing w:val="-1"/>
        </w:rPr>
        <w:t xml:space="preserve"> </w:t>
      </w:r>
      <w:r>
        <w:t>change</w:t>
      </w:r>
      <w:r>
        <w:rPr>
          <w:spacing w:val="-1"/>
        </w:rPr>
        <w:t xml:space="preserve"> </w:t>
      </w:r>
      <w:r>
        <w:t>plan</w:t>
      </w:r>
      <w:r>
        <w:rPr>
          <w:spacing w:val="-3"/>
        </w:rPr>
        <w:t xml:space="preserve"> </w:t>
      </w:r>
      <w:r>
        <w:t>process</w:t>
      </w:r>
      <w:r>
        <w:rPr>
          <w:spacing w:val="-2"/>
        </w:rPr>
        <w:t xml:space="preserve"> </w:t>
      </w:r>
      <w:r>
        <w:t>lends</w:t>
      </w:r>
      <w:r>
        <w:rPr>
          <w:spacing w:val="-2"/>
        </w:rPr>
        <w:t xml:space="preserve"> </w:t>
      </w:r>
      <w:r>
        <w:t>itself</w:t>
      </w:r>
      <w:r>
        <w:rPr>
          <w:spacing w:val="-2"/>
        </w:rPr>
        <w:t xml:space="preserve"> </w:t>
      </w:r>
      <w:r>
        <w:t>to</w:t>
      </w:r>
      <w:r>
        <w:rPr>
          <w:spacing w:val="-1"/>
        </w:rPr>
        <w:t xml:space="preserve"> </w:t>
      </w:r>
      <w:r>
        <w:t>using</w:t>
      </w:r>
      <w:r>
        <w:rPr>
          <w:spacing w:val="-5"/>
        </w:rPr>
        <w:t xml:space="preserve"> </w:t>
      </w:r>
      <w:r>
        <w:t>other</w:t>
      </w:r>
      <w:r>
        <w:rPr>
          <w:spacing w:val="-4"/>
        </w:rPr>
        <w:t xml:space="preserve"> </w:t>
      </w:r>
      <w:r>
        <w:t>counseling</w:t>
      </w:r>
      <w:r>
        <w:rPr>
          <w:spacing w:val="-3"/>
        </w:rPr>
        <w:t xml:space="preserve"> </w:t>
      </w:r>
      <w:r>
        <w:t>methods</w:t>
      </w:r>
      <w:r>
        <w:rPr>
          <w:spacing w:val="-2"/>
        </w:rPr>
        <w:t xml:space="preserve"> </w:t>
      </w:r>
      <w:r>
        <w:t>like</w:t>
      </w:r>
      <w:r>
        <w:rPr>
          <w:spacing w:val="-3"/>
        </w:rPr>
        <w:t xml:space="preserve"> </w:t>
      </w:r>
      <w:r>
        <w:t>CBT</w:t>
      </w:r>
      <w:r>
        <w:rPr>
          <w:spacing w:val="-3"/>
        </w:rPr>
        <w:t xml:space="preserve"> </w:t>
      </w:r>
      <w:r>
        <w:t>and</w:t>
      </w:r>
      <w:r>
        <w:rPr>
          <w:spacing w:val="-3"/>
        </w:rPr>
        <w:t xml:space="preserve"> </w:t>
      </w:r>
      <w:r>
        <w:t>MET.</w:t>
      </w:r>
      <w:r>
        <w:rPr>
          <w:spacing w:val="-2"/>
        </w:rPr>
        <w:t xml:space="preserve"> </w:t>
      </w:r>
      <w:r>
        <w:t>For</w:t>
      </w:r>
      <w:r>
        <w:rPr>
          <w:spacing w:val="-4"/>
        </w:rPr>
        <w:t xml:space="preserve"> </w:t>
      </w:r>
      <w:r>
        <w:t>example, you can encourage clients to monitor their thoughts and feelings in high-risk situations where they are more likely to return to substance use or misuse. Chapter 7 provides more information on relapse prevention. No matter what counseling</w:t>
      </w:r>
      <w:r>
        <w:t xml:space="preserve"> strategies you use, keep to the spirit of MI by working with clients and honoring and respecting their right to and capacity for self-direction.</w:t>
      </w:r>
    </w:p>
    <w:p w14:paraId="2E888DC9" w14:textId="77777777" w:rsidR="00DB6E1F" w:rsidRDefault="00F666A6">
      <w:pPr>
        <w:pStyle w:val="Heading2"/>
        <w:spacing w:before="163"/>
      </w:pPr>
      <w:bookmarkStart w:id="119" w:name="Benefits_of_MI_in_Treating_SUDs"/>
      <w:bookmarkStart w:id="120" w:name="_bookmark23"/>
      <w:bookmarkEnd w:id="119"/>
      <w:bookmarkEnd w:id="120"/>
      <w:r>
        <w:t>Benefits</w:t>
      </w:r>
      <w:r>
        <w:rPr>
          <w:spacing w:val="-3"/>
        </w:rPr>
        <w:t xml:space="preserve"> </w:t>
      </w:r>
      <w:r>
        <w:t>of</w:t>
      </w:r>
      <w:r>
        <w:rPr>
          <w:spacing w:val="-1"/>
        </w:rPr>
        <w:t xml:space="preserve"> </w:t>
      </w:r>
      <w:r>
        <w:t>MI</w:t>
      </w:r>
      <w:r>
        <w:rPr>
          <w:spacing w:val="-1"/>
        </w:rPr>
        <w:t xml:space="preserve"> </w:t>
      </w:r>
      <w:r>
        <w:t>in</w:t>
      </w:r>
      <w:r>
        <w:rPr>
          <w:spacing w:val="1"/>
        </w:rPr>
        <w:t xml:space="preserve"> </w:t>
      </w:r>
      <w:r>
        <w:t>Treating</w:t>
      </w:r>
      <w:r>
        <w:rPr>
          <w:spacing w:val="-1"/>
        </w:rPr>
        <w:t xml:space="preserve"> </w:t>
      </w:r>
      <w:r>
        <w:rPr>
          <w:spacing w:val="-4"/>
        </w:rPr>
        <w:t>SUDs</w:t>
      </w:r>
    </w:p>
    <w:p w14:paraId="47B41250" w14:textId="77777777" w:rsidR="00DB6E1F" w:rsidRDefault="00F666A6">
      <w:pPr>
        <w:pStyle w:val="BodyText"/>
        <w:spacing w:before="150"/>
        <w:ind w:left="1438" w:right="1491" w:firstLine="1"/>
      </w:pPr>
      <w:r>
        <w:t xml:space="preserve">The number of research studies on MI has doubled about every 3 years from 1999 to 2013 (Miller &amp; Rollnick, 2013). Many studies were randomized clinical trials reflecting a range of clinical populations, types of problems, provider settings, types of SUDs, </w:t>
      </w:r>
      <w:r>
        <w:t>and co-occurring substance use and mental disorders (Smedslund et al., 2011). Although some studies report mixed results, the overall scientific evidence suggests that MI is associated with small to strong (and significant) effects for positive substance u</w:t>
      </w:r>
      <w:r>
        <w:t>se behavioral</w:t>
      </w:r>
      <w:r>
        <w:rPr>
          <w:spacing w:val="-1"/>
        </w:rPr>
        <w:t xml:space="preserve"> </w:t>
      </w:r>
      <w:r>
        <w:t>outcomes compared with</w:t>
      </w:r>
      <w:r>
        <w:rPr>
          <w:spacing w:val="-1"/>
        </w:rPr>
        <w:t xml:space="preserve"> </w:t>
      </w:r>
      <w:r>
        <w:t>no treatment. MI</w:t>
      </w:r>
      <w:r>
        <w:rPr>
          <w:spacing w:val="-1"/>
        </w:rPr>
        <w:t xml:space="preserve"> </w:t>
      </w:r>
      <w:r>
        <w:t>is as effective as other counseling approaches (DiClemente et al., 2017). A research review found strong, significant support for MI and combined</w:t>
      </w:r>
      <w:r>
        <w:rPr>
          <w:spacing w:val="-3"/>
        </w:rPr>
        <w:t xml:space="preserve"> </w:t>
      </w:r>
      <w:r>
        <w:t>MI/MET</w:t>
      </w:r>
      <w:r>
        <w:rPr>
          <w:spacing w:val="-1"/>
        </w:rPr>
        <w:t xml:space="preserve"> </w:t>
      </w:r>
      <w:r>
        <w:t>in</w:t>
      </w:r>
      <w:r>
        <w:rPr>
          <w:spacing w:val="-5"/>
        </w:rPr>
        <w:t xml:space="preserve"> </w:t>
      </w:r>
      <w:r>
        <w:t>client</w:t>
      </w:r>
      <w:r>
        <w:rPr>
          <w:spacing w:val="-4"/>
        </w:rPr>
        <w:t xml:space="preserve"> </w:t>
      </w:r>
      <w:r>
        <w:t>outcomes</w:t>
      </w:r>
      <w:r>
        <w:rPr>
          <w:spacing w:val="-4"/>
        </w:rPr>
        <w:t xml:space="preserve"> </w:t>
      </w:r>
      <w:r>
        <w:t>for</w:t>
      </w:r>
      <w:r>
        <w:rPr>
          <w:spacing w:val="-4"/>
        </w:rPr>
        <w:t xml:space="preserve"> </w:t>
      </w:r>
      <w:r>
        <w:t>alcohol,</w:t>
      </w:r>
      <w:r>
        <w:rPr>
          <w:spacing w:val="-4"/>
        </w:rPr>
        <w:t xml:space="preserve"> </w:t>
      </w:r>
      <w:r>
        <w:t>tobacco,</w:t>
      </w:r>
      <w:r>
        <w:rPr>
          <w:spacing w:val="-4"/>
        </w:rPr>
        <w:t xml:space="preserve"> </w:t>
      </w:r>
      <w:r>
        <w:t>and</w:t>
      </w:r>
      <w:r>
        <w:rPr>
          <w:spacing w:val="-3"/>
        </w:rPr>
        <w:t xml:space="preserve"> </w:t>
      </w:r>
      <w:r>
        <w:t>cann</w:t>
      </w:r>
      <w:r>
        <w:t>abis</w:t>
      </w:r>
      <w:r>
        <w:rPr>
          <w:spacing w:val="-2"/>
        </w:rPr>
        <w:t xml:space="preserve"> </w:t>
      </w:r>
      <w:r>
        <w:t>and</w:t>
      </w:r>
      <w:r>
        <w:rPr>
          <w:spacing w:val="-3"/>
        </w:rPr>
        <w:t xml:space="preserve"> </w:t>
      </w:r>
      <w:r>
        <w:t>some</w:t>
      </w:r>
      <w:r>
        <w:rPr>
          <w:spacing w:val="-2"/>
        </w:rPr>
        <w:t xml:space="preserve"> </w:t>
      </w:r>
      <w:r>
        <w:t>support</w:t>
      </w:r>
      <w:r>
        <w:rPr>
          <w:spacing w:val="-1"/>
        </w:rPr>
        <w:t xml:space="preserve"> </w:t>
      </w:r>
      <w:r>
        <w:t>for</w:t>
      </w:r>
      <w:r>
        <w:rPr>
          <w:spacing w:val="-2"/>
        </w:rPr>
        <w:t xml:space="preserve"> </w:t>
      </w:r>
      <w:r>
        <w:t>its</w:t>
      </w:r>
      <w:r>
        <w:rPr>
          <w:spacing w:val="-2"/>
        </w:rPr>
        <w:t xml:space="preserve"> </w:t>
      </w:r>
      <w:r>
        <w:t>use</w:t>
      </w:r>
      <w:r>
        <w:rPr>
          <w:spacing w:val="-4"/>
        </w:rPr>
        <w:t xml:space="preserve"> </w:t>
      </w:r>
      <w:r>
        <w:t>in treating cocaine and combined illicit drug use disorders (DiClemente et al., 2017). Positive outcomes included reduced alcohol, tobacco, and cannabis use; fewer alcohol-related problems; and improved client engagement a</w:t>
      </w:r>
      <w:r>
        <w:t>nd retention (DiClemente et al., 2017). MI and combined MI/MET were effective with adolescents, young adults, college students, adults, and pregnant women.</w:t>
      </w:r>
    </w:p>
    <w:p w14:paraId="622F6D0A" w14:textId="77777777" w:rsidR="00DB6E1F" w:rsidRDefault="00F666A6">
      <w:pPr>
        <w:pStyle w:val="BodyText"/>
        <w:spacing w:before="161"/>
        <w:ind w:left="1437" w:right="1256"/>
      </w:pPr>
      <w:r>
        <w:t>Counselor adherence to MI skills is important for producing client outcomes (Apodaca et al., 2016; M</w:t>
      </w:r>
      <w:r>
        <w:t>agill et al., 2013). For instance, using open questions, simple and complex reflective listening responses, and affirmations</w:t>
      </w:r>
      <w:r>
        <w:rPr>
          <w:spacing w:val="-1"/>
        </w:rPr>
        <w:t xml:space="preserve"> </w:t>
      </w:r>
      <w:r>
        <w:t>is</w:t>
      </w:r>
      <w:r>
        <w:rPr>
          <w:spacing w:val="-3"/>
        </w:rPr>
        <w:t xml:space="preserve"> </w:t>
      </w:r>
      <w:r>
        <w:t>associated</w:t>
      </w:r>
      <w:r>
        <w:rPr>
          <w:spacing w:val="-4"/>
        </w:rPr>
        <w:t xml:space="preserve"> </w:t>
      </w:r>
      <w:r>
        <w:t>with</w:t>
      </w:r>
      <w:r>
        <w:rPr>
          <w:spacing w:val="-2"/>
        </w:rPr>
        <w:t xml:space="preserve"> </w:t>
      </w:r>
      <w:r>
        <w:t>change</w:t>
      </w:r>
      <w:r>
        <w:rPr>
          <w:spacing w:val="-3"/>
        </w:rPr>
        <w:t xml:space="preserve"> </w:t>
      </w:r>
      <w:r>
        <w:t>talk (Apodaca</w:t>
      </w:r>
      <w:r>
        <w:rPr>
          <w:spacing w:val="-2"/>
        </w:rPr>
        <w:t xml:space="preserve"> </w:t>
      </w:r>
      <w:r>
        <w:t>et al.,</w:t>
      </w:r>
      <w:r>
        <w:rPr>
          <w:spacing w:val="-3"/>
        </w:rPr>
        <w:t xml:space="preserve"> </w:t>
      </w:r>
      <w:r>
        <w:t>2016; Romano</w:t>
      </w:r>
      <w:r>
        <w:rPr>
          <w:spacing w:val="-2"/>
        </w:rPr>
        <w:t xml:space="preserve"> </w:t>
      </w:r>
      <w:r>
        <w:t>&amp;</w:t>
      </w:r>
      <w:r>
        <w:rPr>
          <w:spacing w:val="-3"/>
        </w:rPr>
        <w:t xml:space="preserve"> </w:t>
      </w:r>
      <w:r>
        <w:t>Peters,</w:t>
      </w:r>
      <w:r>
        <w:rPr>
          <w:spacing w:val="-3"/>
        </w:rPr>
        <w:t xml:space="preserve"> </w:t>
      </w:r>
      <w:r>
        <w:t>2016).</w:t>
      </w:r>
      <w:r>
        <w:rPr>
          <w:spacing w:val="-4"/>
        </w:rPr>
        <w:t xml:space="preserve"> </w:t>
      </w:r>
      <w:r>
        <w:t>Open</w:t>
      </w:r>
      <w:r>
        <w:rPr>
          <w:spacing w:val="-2"/>
        </w:rPr>
        <w:t xml:space="preserve"> </w:t>
      </w:r>
      <w:r>
        <w:t>questions and reflective listening responses can</w:t>
      </w:r>
      <w:r>
        <w:t xml:space="preserve"> elicit sustain talk when counselors explore ambivalence with clients (Apodaca</w:t>
      </w:r>
      <w:r>
        <w:rPr>
          <w:spacing w:val="-5"/>
        </w:rPr>
        <w:t xml:space="preserve"> </w:t>
      </w:r>
      <w:r>
        <w:t>et</w:t>
      </w:r>
      <w:r>
        <w:rPr>
          <w:spacing w:val="-1"/>
        </w:rPr>
        <w:t xml:space="preserve"> </w:t>
      </w:r>
      <w:r>
        <w:t>al.,</w:t>
      </w:r>
      <w:r>
        <w:rPr>
          <w:spacing w:val="-4"/>
        </w:rPr>
        <w:t xml:space="preserve"> </w:t>
      </w:r>
      <w:r>
        <w:t>2016).</w:t>
      </w:r>
      <w:r>
        <w:rPr>
          <w:spacing w:val="-2"/>
        </w:rPr>
        <w:t xml:space="preserve"> </w:t>
      </w:r>
      <w:r>
        <w:t>However,</w:t>
      </w:r>
      <w:r>
        <w:rPr>
          <w:spacing w:val="-2"/>
        </w:rPr>
        <w:t xml:space="preserve"> </w:t>
      </w:r>
      <w:r>
        <w:t>growing</w:t>
      </w:r>
      <w:r>
        <w:rPr>
          <w:spacing w:val="-5"/>
        </w:rPr>
        <w:t xml:space="preserve"> </w:t>
      </w:r>
      <w:r>
        <w:t>evidence</w:t>
      </w:r>
      <w:r>
        <w:rPr>
          <w:spacing w:val="-1"/>
        </w:rPr>
        <w:t xml:space="preserve"> </w:t>
      </w:r>
      <w:r>
        <w:t>suggests</w:t>
      </w:r>
      <w:r>
        <w:rPr>
          <w:spacing w:val="-2"/>
        </w:rPr>
        <w:t xml:space="preserve"> </w:t>
      </w:r>
      <w:r>
        <w:t>that</w:t>
      </w:r>
      <w:r>
        <w:rPr>
          <w:spacing w:val="-4"/>
        </w:rPr>
        <w:t xml:space="preserve"> </w:t>
      </w:r>
      <w:r>
        <w:t>the</w:t>
      </w:r>
      <w:r>
        <w:rPr>
          <w:spacing w:val="-1"/>
        </w:rPr>
        <w:t xml:space="preserve"> </w:t>
      </w:r>
      <w:r>
        <w:t>amount</w:t>
      </w:r>
      <w:r>
        <w:rPr>
          <w:spacing w:val="-2"/>
        </w:rPr>
        <w:t xml:space="preserve"> </w:t>
      </w:r>
      <w:r>
        <w:t>and</w:t>
      </w:r>
      <w:r>
        <w:rPr>
          <w:spacing w:val="-3"/>
        </w:rPr>
        <w:t xml:space="preserve"> </w:t>
      </w:r>
      <w:r>
        <w:t>strength</w:t>
      </w:r>
      <w:r>
        <w:rPr>
          <w:spacing w:val="-5"/>
        </w:rPr>
        <w:t xml:space="preserve"> </w:t>
      </w:r>
      <w:r>
        <w:t>of</w:t>
      </w:r>
      <w:r>
        <w:rPr>
          <w:spacing w:val="-2"/>
        </w:rPr>
        <w:t xml:space="preserve"> </w:t>
      </w:r>
      <w:r>
        <w:t>client</w:t>
      </w:r>
      <w:r>
        <w:rPr>
          <w:spacing w:val="-1"/>
        </w:rPr>
        <w:t xml:space="preserve"> </w:t>
      </w:r>
      <w:r>
        <w:t>change talk versus sustain talk in counseling sessions are key components of MI associated with behavior change (Gaume</w:t>
      </w:r>
      <w:r>
        <w:rPr>
          <w:spacing w:val="-13"/>
        </w:rPr>
        <w:t xml:space="preserve"> </w:t>
      </w:r>
      <w:r>
        <w:t>et</w:t>
      </w:r>
      <w:r>
        <w:rPr>
          <w:spacing w:val="-12"/>
        </w:rPr>
        <w:t xml:space="preserve"> </w:t>
      </w:r>
      <w:r>
        <w:t>al.,</w:t>
      </w:r>
      <w:r>
        <w:rPr>
          <w:spacing w:val="-13"/>
        </w:rPr>
        <w:t xml:space="preserve"> </w:t>
      </w:r>
      <w:r>
        <w:t>2016;</w:t>
      </w:r>
      <w:r>
        <w:rPr>
          <w:spacing w:val="-12"/>
        </w:rPr>
        <w:t xml:space="preserve"> </w:t>
      </w:r>
      <w:r>
        <w:t>Houck</w:t>
      </w:r>
      <w:r>
        <w:rPr>
          <w:spacing w:val="-13"/>
        </w:rPr>
        <w:t xml:space="preserve"> </w:t>
      </w:r>
      <w:r>
        <w:t>et</w:t>
      </w:r>
      <w:r>
        <w:rPr>
          <w:spacing w:val="-12"/>
        </w:rPr>
        <w:t xml:space="preserve"> </w:t>
      </w:r>
      <w:r>
        <w:t>al.,</w:t>
      </w:r>
      <w:r>
        <w:rPr>
          <w:spacing w:val="-13"/>
        </w:rPr>
        <w:t xml:space="preserve"> </w:t>
      </w:r>
      <w:r>
        <w:t>2018;</w:t>
      </w:r>
      <w:r>
        <w:rPr>
          <w:spacing w:val="-12"/>
        </w:rPr>
        <w:t xml:space="preserve"> </w:t>
      </w:r>
      <w:r>
        <w:t>Lindqvist</w:t>
      </w:r>
      <w:r>
        <w:rPr>
          <w:spacing w:val="-12"/>
        </w:rPr>
        <w:t xml:space="preserve"> </w:t>
      </w:r>
      <w:r>
        <w:t>et</w:t>
      </w:r>
      <w:r>
        <w:rPr>
          <w:spacing w:val="-13"/>
        </w:rPr>
        <w:t xml:space="preserve"> </w:t>
      </w:r>
      <w:r>
        <w:t>al.,</w:t>
      </w:r>
      <w:r>
        <w:rPr>
          <w:spacing w:val="-12"/>
        </w:rPr>
        <w:t xml:space="preserve"> </w:t>
      </w:r>
      <w:r>
        <w:t>2017;</w:t>
      </w:r>
      <w:r>
        <w:rPr>
          <w:spacing w:val="-13"/>
        </w:rPr>
        <w:t xml:space="preserve"> </w:t>
      </w:r>
      <w:r>
        <w:t>Magill</w:t>
      </w:r>
      <w:r>
        <w:rPr>
          <w:spacing w:val="-12"/>
        </w:rPr>
        <w:t xml:space="preserve"> </w:t>
      </w:r>
      <w:r>
        <w:t>et</w:t>
      </w:r>
      <w:r>
        <w:rPr>
          <w:spacing w:val="-13"/>
        </w:rPr>
        <w:t xml:space="preserve"> </w:t>
      </w:r>
      <w:r>
        <w:t>al.,</w:t>
      </w:r>
      <w:r>
        <w:rPr>
          <w:spacing w:val="-12"/>
        </w:rPr>
        <w:t xml:space="preserve"> </w:t>
      </w:r>
      <w:r>
        <w:t>2014).</w:t>
      </w:r>
    </w:p>
    <w:p w14:paraId="5076FAA3" w14:textId="77777777" w:rsidR="00DB6E1F" w:rsidRDefault="00F666A6">
      <w:pPr>
        <w:pStyle w:val="BodyText"/>
        <w:spacing w:before="160"/>
        <w:ind w:left="1438"/>
      </w:pPr>
      <w:r>
        <w:t>Other</w:t>
      </w:r>
      <w:r>
        <w:rPr>
          <w:spacing w:val="-4"/>
        </w:rPr>
        <w:t xml:space="preserve"> </w:t>
      </w:r>
      <w:r>
        <w:t>benefits</w:t>
      </w:r>
      <w:r>
        <w:rPr>
          <w:spacing w:val="-5"/>
        </w:rPr>
        <w:t xml:space="preserve"> </w:t>
      </w:r>
      <w:r>
        <w:t>of</w:t>
      </w:r>
      <w:r>
        <w:rPr>
          <w:spacing w:val="-6"/>
        </w:rPr>
        <w:t xml:space="preserve"> </w:t>
      </w:r>
      <w:r>
        <w:t>MI</w:t>
      </w:r>
      <w:r>
        <w:rPr>
          <w:spacing w:val="-3"/>
        </w:rPr>
        <w:t xml:space="preserve"> </w:t>
      </w:r>
      <w:r>
        <w:t>include</w:t>
      </w:r>
      <w:r>
        <w:rPr>
          <w:spacing w:val="-2"/>
        </w:rPr>
        <w:t xml:space="preserve"> </w:t>
      </w:r>
      <w:r>
        <w:t>(Miller</w:t>
      </w:r>
      <w:r>
        <w:rPr>
          <w:spacing w:val="-5"/>
        </w:rPr>
        <w:t xml:space="preserve"> </w:t>
      </w:r>
      <w:r>
        <w:t>&amp;</w:t>
      </w:r>
      <w:r>
        <w:rPr>
          <w:spacing w:val="-2"/>
        </w:rPr>
        <w:t xml:space="preserve"> </w:t>
      </w:r>
      <w:r>
        <w:t>Rollnick,</w:t>
      </w:r>
      <w:r>
        <w:rPr>
          <w:spacing w:val="-5"/>
        </w:rPr>
        <w:t xml:space="preserve"> </w:t>
      </w:r>
      <w:r>
        <w:rPr>
          <w:spacing w:val="-2"/>
        </w:rPr>
        <w:t>2013):</w:t>
      </w:r>
    </w:p>
    <w:p w14:paraId="7F7A2F87" w14:textId="77777777" w:rsidR="00DB6E1F" w:rsidRDefault="00F666A6">
      <w:pPr>
        <w:pStyle w:val="ListParagraph"/>
        <w:numPr>
          <w:ilvl w:val="0"/>
          <w:numId w:val="92"/>
        </w:numPr>
        <w:tabs>
          <w:tab w:val="left" w:pos="1798"/>
          <w:tab w:val="left" w:pos="1799"/>
        </w:tabs>
        <w:spacing w:before="58"/>
        <w:ind w:left="1798" w:right="1825"/>
        <w:rPr>
          <w:rFonts w:ascii="Symbol" w:hAnsi="Symbol"/>
        </w:rPr>
      </w:pPr>
      <w:r>
        <w:rPr>
          <w:b/>
        </w:rPr>
        <w:t>C</w:t>
      </w:r>
      <w:r>
        <w:rPr>
          <w:b/>
        </w:rPr>
        <w:t xml:space="preserve">ost effectiveness. </w:t>
      </w:r>
      <w:r>
        <w:t>MI can be delivered in brief interventions like SBIRT (screening, brief intervention,</w:t>
      </w:r>
      <w:r>
        <w:rPr>
          <w:spacing w:val="-5"/>
        </w:rPr>
        <w:t xml:space="preserve"> </w:t>
      </w:r>
      <w:r>
        <w:t>and</w:t>
      </w:r>
      <w:r>
        <w:rPr>
          <w:spacing w:val="-4"/>
        </w:rPr>
        <w:t xml:space="preserve"> </w:t>
      </w:r>
      <w:r>
        <w:t>referral</w:t>
      </w:r>
      <w:r>
        <w:rPr>
          <w:spacing w:val="-3"/>
        </w:rPr>
        <w:t xml:space="preserve"> </w:t>
      </w:r>
      <w:r>
        <w:t>to</w:t>
      </w:r>
      <w:r>
        <w:rPr>
          <w:spacing w:val="-2"/>
        </w:rPr>
        <w:t xml:space="preserve"> </w:t>
      </w:r>
      <w:r>
        <w:t>treatment)</w:t>
      </w:r>
      <w:r>
        <w:rPr>
          <w:spacing w:val="-3"/>
        </w:rPr>
        <w:t xml:space="preserve"> </w:t>
      </w:r>
      <w:r>
        <w:t>and</w:t>
      </w:r>
      <w:r>
        <w:rPr>
          <w:spacing w:val="-4"/>
        </w:rPr>
        <w:t xml:space="preserve"> </w:t>
      </w:r>
      <w:r>
        <w:t>FRAMES</w:t>
      </w:r>
      <w:r>
        <w:rPr>
          <w:spacing w:val="-4"/>
        </w:rPr>
        <w:t xml:space="preserve"> </w:t>
      </w:r>
      <w:r>
        <w:t>(</w:t>
      </w:r>
      <w:r>
        <w:rPr>
          <w:b/>
        </w:rPr>
        <w:t>F</w:t>
      </w:r>
      <w:r>
        <w:t>eedback,</w:t>
      </w:r>
      <w:r>
        <w:rPr>
          <w:spacing w:val="-5"/>
        </w:rPr>
        <w:t xml:space="preserve"> </w:t>
      </w:r>
      <w:r>
        <w:rPr>
          <w:b/>
        </w:rPr>
        <w:t>R</w:t>
      </w:r>
      <w:r>
        <w:t>esponsibility,</w:t>
      </w:r>
      <w:r>
        <w:rPr>
          <w:spacing w:val="-5"/>
        </w:rPr>
        <w:t xml:space="preserve"> </w:t>
      </w:r>
      <w:r>
        <w:rPr>
          <w:b/>
        </w:rPr>
        <w:t>A</w:t>
      </w:r>
      <w:r>
        <w:t>dvice,</w:t>
      </w:r>
      <w:r>
        <w:rPr>
          <w:spacing w:val="-3"/>
        </w:rPr>
        <w:t xml:space="preserve"> </w:t>
      </w:r>
      <w:r>
        <w:rPr>
          <w:b/>
        </w:rPr>
        <w:t>M</w:t>
      </w:r>
      <w:r>
        <w:t>enu</w:t>
      </w:r>
      <w:r>
        <w:rPr>
          <w:spacing w:val="-4"/>
        </w:rPr>
        <w:t xml:space="preserve"> </w:t>
      </w:r>
      <w:r>
        <w:t xml:space="preserve">of options, </w:t>
      </w:r>
      <w:r>
        <w:rPr>
          <w:b/>
        </w:rPr>
        <w:t>E</w:t>
      </w:r>
      <w:r>
        <w:t xml:space="preserve">mpathy, and </w:t>
      </w:r>
      <w:r>
        <w:rPr>
          <w:b/>
        </w:rPr>
        <w:t>S</w:t>
      </w:r>
      <w:r>
        <w:t>elf-efficacy, see Chapter 2), which makes it cost effective. In addition, including significant others in MI interventions is also cost effective (Shepard et al., 2016).</w:t>
      </w:r>
    </w:p>
    <w:p w14:paraId="0D7E58F7" w14:textId="77777777" w:rsidR="00DB6E1F" w:rsidRDefault="00F666A6">
      <w:pPr>
        <w:pStyle w:val="ListParagraph"/>
        <w:numPr>
          <w:ilvl w:val="0"/>
          <w:numId w:val="92"/>
        </w:numPr>
        <w:tabs>
          <w:tab w:val="left" w:pos="1800"/>
          <w:tab w:val="left" w:pos="1801"/>
        </w:tabs>
        <w:spacing w:before="62"/>
        <w:ind w:left="1799" w:right="1561" w:hanging="360"/>
        <w:rPr>
          <w:rFonts w:ascii="Symbol" w:hAnsi="Symbol"/>
        </w:rPr>
      </w:pPr>
      <w:r>
        <w:rPr>
          <w:b/>
        </w:rPr>
        <w:t xml:space="preserve">Ease of use. </w:t>
      </w:r>
      <w:r>
        <w:t xml:space="preserve">MI has been adapted and integrated into many settings, including primary </w:t>
      </w:r>
      <w:r>
        <w:t>care facilities,</w:t>
      </w:r>
      <w:r>
        <w:rPr>
          <w:spacing w:val="-5"/>
        </w:rPr>
        <w:t xml:space="preserve"> </w:t>
      </w:r>
      <w:r>
        <w:t>emergency</w:t>
      </w:r>
      <w:r>
        <w:rPr>
          <w:spacing w:val="-2"/>
        </w:rPr>
        <w:t xml:space="preserve"> </w:t>
      </w:r>
      <w:r>
        <w:t>departments,</w:t>
      </w:r>
      <w:r>
        <w:rPr>
          <w:spacing w:val="-3"/>
        </w:rPr>
        <w:t xml:space="preserve"> </w:t>
      </w:r>
      <w:r>
        <w:t>behavioral</w:t>
      </w:r>
      <w:r>
        <w:rPr>
          <w:spacing w:val="-3"/>
        </w:rPr>
        <w:t xml:space="preserve"> </w:t>
      </w:r>
      <w:r>
        <w:t>health</w:t>
      </w:r>
      <w:r>
        <w:rPr>
          <w:spacing w:val="-5"/>
        </w:rPr>
        <w:t xml:space="preserve"> </w:t>
      </w:r>
      <w:r>
        <w:t>centers,</w:t>
      </w:r>
      <w:r>
        <w:rPr>
          <w:spacing w:val="-5"/>
        </w:rPr>
        <w:t xml:space="preserve"> </w:t>
      </w:r>
      <w:r>
        <w:t>and</w:t>
      </w:r>
      <w:r>
        <w:rPr>
          <w:spacing w:val="-4"/>
        </w:rPr>
        <w:t xml:space="preserve"> </w:t>
      </w:r>
      <w:r>
        <w:t>criminal</w:t>
      </w:r>
      <w:r>
        <w:rPr>
          <w:spacing w:val="-3"/>
        </w:rPr>
        <w:t xml:space="preserve"> </w:t>
      </w:r>
      <w:r>
        <w:t>justice</w:t>
      </w:r>
      <w:r>
        <w:rPr>
          <w:spacing w:val="-4"/>
        </w:rPr>
        <w:t xml:space="preserve"> </w:t>
      </w:r>
      <w:r>
        <w:t>and</w:t>
      </w:r>
      <w:r>
        <w:rPr>
          <w:spacing w:val="-4"/>
        </w:rPr>
        <w:t xml:space="preserve"> </w:t>
      </w:r>
      <w:r>
        <w:t>social</w:t>
      </w:r>
      <w:r>
        <w:rPr>
          <w:spacing w:val="-6"/>
        </w:rPr>
        <w:t xml:space="preserve"> </w:t>
      </w:r>
      <w:r>
        <w:t>service agencies.</w:t>
      </w:r>
      <w:r>
        <w:rPr>
          <w:spacing w:val="-3"/>
        </w:rPr>
        <w:t xml:space="preserve"> </w:t>
      </w:r>
      <w:r>
        <w:t>It</w:t>
      </w:r>
      <w:r>
        <w:rPr>
          <w:spacing w:val="-1"/>
        </w:rPr>
        <w:t xml:space="preserve"> </w:t>
      </w:r>
      <w:r>
        <w:t>is</w:t>
      </w:r>
      <w:r>
        <w:rPr>
          <w:spacing w:val="-2"/>
        </w:rPr>
        <w:t xml:space="preserve"> </w:t>
      </w:r>
      <w:r>
        <w:t>useful</w:t>
      </w:r>
      <w:r>
        <w:rPr>
          <w:spacing w:val="-2"/>
        </w:rPr>
        <w:t xml:space="preserve"> </w:t>
      </w:r>
      <w:r>
        <w:t>anywhere</w:t>
      </w:r>
      <w:r>
        <w:rPr>
          <w:spacing w:val="-1"/>
        </w:rPr>
        <w:t xml:space="preserve"> </w:t>
      </w:r>
      <w:r>
        <w:t>that</w:t>
      </w:r>
      <w:r>
        <w:rPr>
          <w:spacing w:val="-2"/>
        </w:rPr>
        <w:t xml:space="preserve"> </w:t>
      </w:r>
      <w:r>
        <w:t>focuses</w:t>
      </w:r>
      <w:r>
        <w:rPr>
          <w:spacing w:val="-4"/>
        </w:rPr>
        <w:t xml:space="preserve"> </w:t>
      </w:r>
      <w:r>
        <w:t>on</w:t>
      </w:r>
      <w:r>
        <w:rPr>
          <w:spacing w:val="-3"/>
        </w:rPr>
        <w:t xml:space="preserve"> </w:t>
      </w:r>
      <w:r>
        <w:t>helping</w:t>
      </w:r>
      <w:r>
        <w:rPr>
          <w:spacing w:val="-3"/>
        </w:rPr>
        <w:t xml:space="preserve"> </w:t>
      </w:r>
      <w:r>
        <w:t>people</w:t>
      </w:r>
      <w:r>
        <w:rPr>
          <w:spacing w:val="-4"/>
        </w:rPr>
        <w:t xml:space="preserve"> </w:t>
      </w:r>
      <w:r>
        <w:t>manage</w:t>
      </w:r>
      <w:r>
        <w:rPr>
          <w:spacing w:val="-2"/>
        </w:rPr>
        <w:t xml:space="preserve"> </w:t>
      </w:r>
      <w:r>
        <w:t>substance</w:t>
      </w:r>
      <w:r>
        <w:rPr>
          <w:spacing w:val="-3"/>
        </w:rPr>
        <w:t xml:space="preserve"> </w:t>
      </w:r>
      <w:r>
        <w:t>misuse</w:t>
      </w:r>
      <w:r>
        <w:rPr>
          <w:spacing w:val="-4"/>
        </w:rPr>
        <w:t xml:space="preserve"> </w:t>
      </w:r>
      <w:r>
        <w:t>and</w:t>
      </w:r>
      <w:r>
        <w:rPr>
          <w:spacing w:val="-3"/>
        </w:rPr>
        <w:t xml:space="preserve"> </w:t>
      </w:r>
      <w:r>
        <w:t>SUDs.</w:t>
      </w:r>
    </w:p>
    <w:p w14:paraId="4327A637" w14:textId="77777777" w:rsidR="00DB6E1F" w:rsidRDefault="00F666A6">
      <w:pPr>
        <w:pStyle w:val="ListParagraph"/>
        <w:numPr>
          <w:ilvl w:val="0"/>
          <w:numId w:val="92"/>
        </w:numPr>
        <w:tabs>
          <w:tab w:val="left" w:pos="1799"/>
          <w:tab w:val="left" w:pos="1800"/>
        </w:tabs>
        <w:spacing w:before="61"/>
        <w:ind w:left="1799"/>
        <w:rPr>
          <w:rFonts w:ascii="Symbol" w:hAnsi="Symbol"/>
        </w:rPr>
      </w:pPr>
      <w:r>
        <w:rPr>
          <w:b/>
        </w:rPr>
        <w:t>Broad</w:t>
      </w:r>
      <w:r>
        <w:rPr>
          <w:b/>
          <w:spacing w:val="-8"/>
        </w:rPr>
        <w:t xml:space="preserve"> </w:t>
      </w:r>
      <w:r>
        <w:rPr>
          <w:b/>
        </w:rPr>
        <w:t>dissemination.</w:t>
      </w:r>
      <w:r>
        <w:rPr>
          <w:b/>
          <w:spacing w:val="-6"/>
        </w:rPr>
        <w:t xml:space="preserve"> </w:t>
      </w:r>
      <w:r>
        <w:t>MI</w:t>
      </w:r>
      <w:r>
        <w:rPr>
          <w:spacing w:val="-5"/>
        </w:rPr>
        <w:t xml:space="preserve"> </w:t>
      </w:r>
      <w:r>
        <w:t>has</w:t>
      </w:r>
      <w:r>
        <w:rPr>
          <w:spacing w:val="-4"/>
        </w:rPr>
        <w:t xml:space="preserve"> </w:t>
      </w:r>
      <w:r>
        <w:t>been</w:t>
      </w:r>
      <w:r>
        <w:rPr>
          <w:spacing w:val="-6"/>
        </w:rPr>
        <w:t xml:space="preserve"> </w:t>
      </w:r>
      <w:r>
        <w:t>disseminated</w:t>
      </w:r>
      <w:r>
        <w:rPr>
          <w:spacing w:val="-5"/>
        </w:rPr>
        <w:t xml:space="preserve"> </w:t>
      </w:r>
      <w:r>
        <w:t>throughout</w:t>
      </w:r>
      <w:r>
        <w:rPr>
          <w:spacing w:val="-4"/>
        </w:rPr>
        <w:t xml:space="preserve"> </w:t>
      </w:r>
      <w:r>
        <w:t>the</w:t>
      </w:r>
      <w:r>
        <w:rPr>
          <w:spacing w:val="-6"/>
        </w:rPr>
        <w:t xml:space="preserve"> </w:t>
      </w:r>
      <w:r>
        <w:t>United</w:t>
      </w:r>
      <w:r>
        <w:rPr>
          <w:spacing w:val="-6"/>
        </w:rPr>
        <w:t xml:space="preserve"> </w:t>
      </w:r>
      <w:r>
        <w:t>States</w:t>
      </w:r>
      <w:r>
        <w:rPr>
          <w:spacing w:val="-6"/>
        </w:rPr>
        <w:t xml:space="preserve"> </w:t>
      </w:r>
      <w:r>
        <w:t>and</w:t>
      </w:r>
      <w:r>
        <w:rPr>
          <w:spacing w:val="-5"/>
        </w:rPr>
        <w:t xml:space="preserve"> </w:t>
      </w:r>
      <w:r>
        <w:rPr>
          <w:spacing w:val="-2"/>
        </w:rPr>
        <w:t>internationally.</w:t>
      </w:r>
    </w:p>
    <w:p w14:paraId="63206571" w14:textId="77777777" w:rsidR="00DB6E1F" w:rsidRDefault="00F666A6">
      <w:pPr>
        <w:pStyle w:val="ListParagraph"/>
        <w:numPr>
          <w:ilvl w:val="0"/>
          <w:numId w:val="92"/>
        </w:numPr>
        <w:tabs>
          <w:tab w:val="left" w:pos="1799"/>
          <w:tab w:val="left" w:pos="1800"/>
        </w:tabs>
        <w:spacing w:before="58"/>
        <w:ind w:left="1799" w:right="1661" w:hanging="360"/>
        <w:rPr>
          <w:rFonts w:ascii="Symbol" w:hAnsi="Symbol"/>
        </w:rPr>
      </w:pPr>
      <w:r>
        <w:rPr>
          <w:b/>
        </w:rPr>
        <w:t>Applicability</w:t>
      </w:r>
      <w:r>
        <w:rPr>
          <w:b/>
          <w:spacing w:val="-5"/>
        </w:rPr>
        <w:t xml:space="preserve"> </w:t>
      </w:r>
      <w:r>
        <w:rPr>
          <w:b/>
        </w:rPr>
        <w:t>to</w:t>
      </w:r>
      <w:r>
        <w:rPr>
          <w:b/>
          <w:spacing w:val="-4"/>
        </w:rPr>
        <w:t xml:space="preserve"> </w:t>
      </w:r>
      <w:r>
        <w:rPr>
          <w:b/>
        </w:rPr>
        <w:t>diverse</w:t>
      </w:r>
      <w:r>
        <w:rPr>
          <w:b/>
          <w:spacing w:val="-4"/>
        </w:rPr>
        <w:t xml:space="preserve"> </w:t>
      </w:r>
      <w:r>
        <w:rPr>
          <w:b/>
        </w:rPr>
        <w:t>health</w:t>
      </w:r>
      <w:r>
        <w:rPr>
          <w:b/>
          <w:spacing w:val="-4"/>
        </w:rPr>
        <w:t xml:space="preserve"> </w:t>
      </w:r>
      <w:r>
        <w:rPr>
          <w:b/>
        </w:rPr>
        <w:t>and</w:t>
      </w:r>
      <w:r>
        <w:rPr>
          <w:b/>
          <w:spacing w:val="-4"/>
        </w:rPr>
        <w:t xml:space="preserve"> </w:t>
      </w:r>
      <w:r>
        <w:rPr>
          <w:b/>
        </w:rPr>
        <w:t>behavioral</w:t>
      </w:r>
      <w:r>
        <w:rPr>
          <w:b/>
          <w:spacing w:val="-2"/>
        </w:rPr>
        <w:t xml:space="preserve"> </w:t>
      </w:r>
      <w:r>
        <w:rPr>
          <w:b/>
        </w:rPr>
        <w:t>health</w:t>
      </w:r>
      <w:r>
        <w:rPr>
          <w:b/>
          <w:spacing w:val="-6"/>
        </w:rPr>
        <w:t xml:space="preserve"> </w:t>
      </w:r>
      <w:r>
        <w:rPr>
          <w:b/>
        </w:rPr>
        <w:t>problems.</w:t>
      </w:r>
      <w:r>
        <w:rPr>
          <w:b/>
          <w:spacing w:val="-2"/>
        </w:rPr>
        <w:t xml:space="preserve"> </w:t>
      </w:r>
      <w:r>
        <w:t>Beyond</w:t>
      </w:r>
      <w:r>
        <w:rPr>
          <w:spacing w:val="-4"/>
        </w:rPr>
        <w:t xml:space="preserve"> </w:t>
      </w:r>
      <w:r>
        <w:t>substance</w:t>
      </w:r>
      <w:r>
        <w:rPr>
          <w:spacing w:val="-2"/>
        </w:rPr>
        <w:t xml:space="preserve"> </w:t>
      </w:r>
      <w:r>
        <w:t>use</w:t>
      </w:r>
      <w:r>
        <w:rPr>
          <w:spacing w:val="-5"/>
        </w:rPr>
        <w:t xml:space="preserve"> </w:t>
      </w:r>
      <w:r>
        <w:t>behaviors, MI has demonstrated benefits across a wide range of behavior change goals.</w:t>
      </w:r>
    </w:p>
    <w:p w14:paraId="6CE09B9B" w14:textId="77777777" w:rsidR="00DB6E1F" w:rsidRDefault="00F666A6">
      <w:pPr>
        <w:pStyle w:val="ListParagraph"/>
        <w:numPr>
          <w:ilvl w:val="0"/>
          <w:numId w:val="92"/>
        </w:numPr>
        <w:tabs>
          <w:tab w:val="left" w:pos="1799"/>
          <w:tab w:val="left" w:pos="1800"/>
        </w:tabs>
        <w:spacing w:before="61"/>
        <w:ind w:left="1799"/>
        <w:rPr>
          <w:rFonts w:ascii="Symbol" w:hAnsi="Symbol"/>
        </w:rPr>
      </w:pPr>
      <w:r>
        <w:rPr>
          <w:b/>
        </w:rPr>
        <w:t>Effectiveness.</w:t>
      </w:r>
      <w:r>
        <w:rPr>
          <w:b/>
          <w:spacing w:val="-7"/>
        </w:rPr>
        <w:t xml:space="preserve"> </w:t>
      </w:r>
      <w:r>
        <w:t>Positive</w:t>
      </w:r>
      <w:r>
        <w:rPr>
          <w:spacing w:val="-6"/>
        </w:rPr>
        <w:t xml:space="preserve"> </w:t>
      </w:r>
      <w:r>
        <w:t>effects</w:t>
      </w:r>
      <w:r>
        <w:rPr>
          <w:spacing w:val="-4"/>
        </w:rPr>
        <w:t xml:space="preserve"> </w:t>
      </w:r>
      <w:r>
        <w:t>fro</w:t>
      </w:r>
      <w:r>
        <w:t>m</w:t>
      </w:r>
      <w:r>
        <w:rPr>
          <w:spacing w:val="-5"/>
        </w:rPr>
        <w:t xml:space="preserve"> </w:t>
      </w:r>
      <w:r>
        <w:t>MI</w:t>
      </w:r>
      <w:r>
        <w:rPr>
          <w:spacing w:val="-6"/>
        </w:rPr>
        <w:t xml:space="preserve"> </w:t>
      </w:r>
      <w:r>
        <w:t>counseling</w:t>
      </w:r>
      <w:r>
        <w:rPr>
          <w:spacing w:val="-5"/>
        </w:rPr>
        <w:t xml:space="preserve"> </w:t>
      </w:r>
      <w:r>
        <w:t>occur</w:t>
      </w:r>
      <w:r>
        <w:rPr>
          <w:spacing w:val="-4"/>
        </w:rPr>
        <w:t xml:space="preserve"> </w:t>
      </w:r>
      <w:r>
        <w:t>across</w:t>
      </w:r>
      <w:r>
        <w:rPr>
          <w:spacing w:val="-6"/>
        </w:rPr>
        <w:t xml:space="preserve"> </w:t>
      </w:r>
      <w:r>
        <w:t>a</w:t>
      </w:r>
      <w:r>
        <w:rPr>
          <w:spacing w:val="-4"/>
        </w:rPr>
        <w:t xml:space="preserve"> </w:t>
      </w:r>
      <w:r>
        <w:t>range</w:t>
      </w:r>
      <w:r>
        <w:rPr>
          <w:spacing w:val="-6"/>
        </w:rPr>
        <w:t xml:space="preserve"> </w:t>
      </w:r>
      <w:r>
        <w:t>of</w:t>
      </w:r>
      <w:r>
        <w:rPr>
          <w:spacing w:val="-7"/>
        </w:rPr>
        <w:t xml:space="preserve"> </w:t>
      </w:r>
      <w:r>
        <w:t>real-life</w:t>
      </w:r>
      <w:r>
        <w:rPr>
          <w:spacing w:val="-3"/>
        </w:rPr>
        <w:t xml:space="preserve"> </w:t>
      </w:r>
      <w:r>
        <w:t>clinical</w:t>
      </w:r>
      <w:r>
        <w:rPr>
          <w:spacing w:val="-4"/>
        </w:rPr>
        <w:t xml:space="preserve"> </w:t>
      </w:r>
      <w:r>
        <w:rPr>
          <w:spacing w:val="-2"/>
        </w:rPr>
        <w:t>settings.</w:t>
      </w:r>
    </w:p>
    <w:p w14:paraId="7FBE774D" w14:textId="77777777" w:rsidR="00DB6E1F" w:rsidRDefault="00DB6E1F">
      <w:pPr>
        <w:rPr>
          <w:rFonts w:ascii="Symbol" w:hAnsi="Symbol"/>
        </w:rPr>
        <w:sectPr w:rsidR="00DB6E1F">
          <w:pgSz w:w="12240" w:h="15840"/>
          <w:pgMar w:top="1200" w:right="0" w:bottom="780" w:left="0" w:header="763" w:footer="585" w:gutter="0"/>
          <w:cols w:space="720"/>
        </w:sectPr>
      </w:pPr>
    </w:p>
    <w:p w14:paraId="48F3B7B0" w14:textId="77777777" w:rsidR="00DB6E1F" w:rsidRDefault="00DB6E1F">
      <w:pPr>
        <w:pStyle w:val="BodyText"/>
        <w:rPr>
          <w:sz w:val="11"/>
        </w:rPr>
      </w:pPr>
    </w:p>
    <w:p w14:paraId="48DAB85F" w14:textId="77777777" w:rsidR="00DB6E1F" w:rsidRDefault="00F666A6">
      <w:pPr>
        <w:pStyle w:val="ListParagraph"/>
        <w:numPr>
          <w:ilvl w:val="0"/>
          <w:numId w:val="92"/>
        </w:numPr>
        <w:tabs>
          <w:tab w:val="left" w:pos="1800"/>
          <w:tab w:val="left" w:pos="1801"/>
        </w:tabs>
        <w:spacing w:before="101"/>
        <w:ind w:left="1800" w:right="1514"/>
        <w:rPr>
          <w:rFonts w:ascii="Symbol" w:hAnsi="Symbol"/>
        </w:rPr>
      </w:pPr>
      <w:r>
        <w:rPr>
          <w:b/>
        </w:rPr>
        <w:t>Ability</w:t>
      </w:r>
      <w:r>
        <w:rPr>
          <w:b/>
          <w:spacing w:val="-1"/>
        </w:rPr>
        <w:t xml:space="preserve"> </w:t>
      </w:r>
      <w:r>
        <w:rPr>
          <w:b/>
        </w:rPr>
        <w:t>to</w:t>
      </w:r>
      <w:r>
        <w:rPr>
          <w:b/>
          <w:spacing w:val="-5"/>
        </w:rPr>
        <w:t xml:space="preserve"> </w:t>
      </w:r>
      <w:r>
        <w:rPr>
          <w:b/>
        </w:rPr>
        <w:t>complement</w:t>
      </w:r>
      <w:r>
        <w:rPr>
          <w:b/>
          <w:spacing w:val="-2"/>
        </w:rPr>
        <w:t xml:space="preserve"> </w:t>
      </w:r>
      <w:r>
        <w:rPr>
          <w:b/>
        </w:rPr>
        <w:t>other</w:t>
      </w:r>
      <w:r>
        <w:rPr>
          <w:b/>
          <w:spacing w:val="-1"/>
        </w:rPr>
        <w:t xml:space="preserve"> </w:t>
      </w:r>
      <w:r>
        <w:rPr>
          <w:b/>
        </w:rPr>
        <w:t>treatment</w:t>
      </w:r>
      <w:r>
        <w:rPr>
          <w:b/>
          <w:spacing w:val="-4"/>
        </w:rPr>
        <w:t xml:space="preserve"> </w:t>
      </w:r>
      <w:r>
        <w:rPr>
          <w:b/>
        </w:rPr>
        <w:t>approaches.</w:t>
      </w:r>
      <w:r>
        <w:rPr>
          <w:b/>
          <w:spacing w:val="-3"/>
        </w:rPr>
        <w:t xml:space="preserve"> </w:t>
      </w:r>
      <w:r>
        <w:t>MI</w:t>
      </w:r>
      <w:r>
        <w:rPr>
          <w:spacing w:val="-2"/>
        </w:rPr>
        <w:t xml:space="preserve"> </w:t>
      </w:r>
      <w:r>
        <w:t>fits</w:t>
      </w:r>
      <w:r>
        <w:rPr>
          <w:spacing w:val="-4"/>
        </w:rPr>
        <w:t xml:space="preserve"> </w:t>
      </w:r>
      <w:r>
        <w:t>well</w:t>
      </w:r>
      <w:r>
        <w:rPr>
          <w:spacing w:val="-5"/>
        </w:rPr>
        <w:t xml:space="preserve"> </w:t>
      </w:r>
      <w:r>
        <w:t>with</w:t>
      </w:r>
      <w:r>
        <w:rPr>
          <w:spacing w:val="-4"/>
        </w:rPr>
        <w:t xml:space="preserve"> </w:t>
      </w:r>
      <w:r>
        <w:t>other</w:t>
      </w:r>
      <w:r>
        <w:rPr>
          <w:spacing w:val="-2"/>
        </w:rPr>
        <w:t xml:space="preserve"> </w:t>
      </w:r>
      <w:r>
        <w:t>counseling</w:t>
      </w:r>
      <w:r>
        <w:rPr>
          <w:spacing w:val="-3"/>
        </w:rPr>
        <w:t xml:space="preserve"> </w:t>
      </w:r>
      <w:r>
        <w:t>approaches, such as CBT. It can enhance client motivation to engage in specialized addiction treatment services and stay in and adhere to treatment.</w:t>
      </w:r>
    </w:p>
    <w:p w14:paraId="09E001C3" w14:textId="77777777" w:rsidR="00DB6E1F" w:rsidRDefault="00F666A6">
      <w:pPr>
        <w:pStyle w:val="ListParagraph"/>
        <w:numPr>
          <w:ilvl w:val="0"/>
          <w:numId w:val="92"/>
        </w:numPr>
        <w:tabs>
          <w:tab w:val="left" w:pos="1800"/>
          <w:tab w:val="left" w:pos="1801"/>
        </w:tabs>
        <w:spacing w:before="58"/>
        <w:ind w:left="1800" w:right="1674" w:hanging="360"/>
        <w:rPr>
          <w:rFonts w:ascii="Symbol" w:hAnsi="Symbol"/>
        </w:rPr>
      </w:pPr>
      <w:r>
        <w:rPr>
          <w:b/>
        </w:rPr>
        <w:t>Ease</w:t>
      </w:r>
      <w:r>
        <w:rPr>
          <w:b/>
          <w:spacing w:val="-3"/>
        </w:rPr>
        <w:t xml:space="preserve"> </w:t>
      </w:r>
      <w:r>
        <w:rPr>
          <w:b/>
        </w:rPr>
        <w:t>of</w:t>
      </w:r>
      <w:r>
        <w:rPr>
          <w:b/>
          <w:spacing w:val="-2"/>
        </w:rPr>
        <w:t xml:space="preserve"> </w:t>
      </w:r>
      <w:r>
        <w:rPr>
          <w:b/>
        </w:rPr>
        <w:t>adoption</w:t>
      </w:r>
      <w:r>
        <w:rPr>
          <w:b/>
          <w:spacing w:val="-3"/>
        </w:rPr>
        <w:t xml:space="preserve"> </w:t>
      </w:r>
      <w:r>
        <w:rPr>
          <w:b/>
        </w:rPr>
        <w:t>by</w:t>
      </w:r>
      <w:r>
        <w:rPr>
          <w:b/>
          <w:spacing w:val="-1"/>
        </w:rPr>
        <w:t xml:space="preserve"> </w:t>
      </w:r>
      <w:r>
        <w:rPr>
          <w:b/>
        </w:rPr>
        <w:t>a</w:t>
      </w:r>
      <w:r>
        <w:rPr>
          <w:b/>
          <w:spacing w:val="-3"/>
        </w:rPr>
        <w:t xml:space="preserve"> </w:t>
      </w:r>
      <w:r>
        <w:rPr>
          <w:b/>
        </w:rPr>
        <w:t>range</w:t>
      </w:r>
      <w:r>
        <w:rPr>
          <w:b/>
          <w:spacing w:val="-3"/>
        </w:rPr>
        <w:t xml:space="preserve"> </w:t>
      </w:r>
      <w:r>
        <w:rPr>
          <w:b/>
        </w:rPr>
        <w:t>of</w:t>
      </w:r>
      <w:r>
        <w:rPr>
          <w:b/>
          <w:spacing w:val="-2"/>
        </w:rPr>
        <w:t xml:space="preserve"> </w:t>
      </w:r>
      <w:r>
        <w:rPr>
          <w:b/>
        </w:rPr>
        <w:t>providers.</w:t>
      </w:r>
      <w:r>
        <w:rPr>
          <w:b/>
          <w:spacing w:val="-3"/>
        </w:rPr>
        <w:t xml:space="preserve"> </w:t>
      </w:r>
      <w:r>
        <w:t>MI</w:t>
      </w:r>
      <w:r>
        <w:rPr>
          <w:spacing w:val="-2"/>
        </w:rPr>
        <w:t xml:space="preserve"> </w:t>
      </w:r>
      <w:r>
        <w:t>can</w:t>
      </w:r>
      <w:r>
        <w:rPr>
          <w:spacing w:val="-3"/>
        </w:rPr>
        <w:t xml:space="preserve"> </w:t>
      </w:r>
      <w:r>
        <w:t>be</w:t>
      </w:r>
      <w:r>
        <w:rPr>
          <w:spacing w:val="-1"/>
        </w:rPr>
        <w:t xml:space="preserve"> </w:t>
      </w:r>
      <w:r>
        <w:t>implemented</w:t>
      </w:r>
      <w:r>
        <w:rPr>
          <w:spacing w:val="-3"/>
        </w:rPr>
        <w:t xml:space="preserve"> </w:t>
      </w:r>
      <w:r>
        <w:t>by primary</w:t>
      </w:r>
      <w:r>
        <w:rPr>
          <w:spacing w:val="-1"/>
        </w:rPr>
        <w:t xml:space="preserve"> </w:t>
      </w:r>
      <w:r>
        <w:t>care</w:t>
      </w:r>
      <w:r>
        <w:rPr>
          <w:spacing w:val="-1"/>
        </w:rPr>
        <w:t xml:space="preserve"> </w:t>
      </w:r>
      <w:r>
        <w:t>and</w:t>
      </w:r>
      <w:r>
        <w:rPr>
          <w:spacing w:val="-3"/>
        </w:rPr>
        <w:t xml:space="preserve"> </w:t>
      </w:r>
      <w:r>
        <w:t>behavioral health profe</w:t>
      </w:r>
      <w:r>
        <w:t>ssionals, peer providers, criminal justice personnel, and various other professionals.</w:t>
      </w:r>
    </w:p>
    <w:p w14:paraId="71B042DE" w14:textId="77777777" w:rsidR="00DB6E1F" w:rsidRDefault="00F666A6">
      <w:pPr>
        <w:pStyle w:val="ListParagraph"/>
        <w:numPr>
          <w:ilvl w:val="0"/>
          <w:numId w:val="92"/>
        </w:numPr>
        <w:tabs>
          <w:tab w:val="left" w:pos="1800"/>
          <w:tab w:val="left" w:pos="1801"/>
        </w:tabs>
        <w:spacing w:before="61"/>
        <w:ind w:left="1800" w:right="1510" w:hanging="360"/>
        <w:rPr>
          <w:rFonts w:ascii="Symbol" w:hAnsi="Symbol"/>
        </w:rPr>
      </w:pPr>
      <w:r>
        <w:rPr>
          <w:b/>
        </w:rPr>
        <w:t>Role</w:t>
      </w:r>
      <w:r>
        <w:rPr>
          <w:b/>
          <w:spacing w:val="-3"/>
        </w:rPr>
        <w:t xml:space="preserve"> </w:t>
      </w:r>
      <w:r>
        <w:rPr>
          <w:b/>
        </w:rPr>
        <w:t>in</w:t>
      </w:r>
      <w:r>
        <w:rPr>
          <w:b/>
          <w:spacing w:val="-5"/>
        </w:rPr>
        <w:t xml:space="preserve"> </w:t>
      </w:r>
      <w:r>
        <w:rPr>
          <w:b/>
        </w:rPr>
        <w:t>mobilizing</w:t>
      </w:r>
      <w:r>
        <w:rPr>
          <w:b/>
          <w:spacing w:val="-3"/>
        </w:rPr>
        <w:t xml:space="preserve"> </w:t>
      </w:r>
      <w:r>
        <w:rPr>
          <w:b/>
        </w:rPr>
        <w:t>client</w:t>
      </w:r>
      <w:r>
        <w:rPr>
          <w:b/>
          <w:spacing w:val="-4"/>
        </w:rPr>
        <w:t xml:space="preserve"> </w:t>
      </w:r>
      <w:r>
        <w:rPr>
          <w:b/>
        </w:rPr>
        <w:t>resources.</w:t>
      </w:r>
      <w:r>
        <w:rPr>
          <w:b/>
          <w:spacing w:val="-3"/>
        </w:rPr>
        <w:t xml:space="preserve"> </w:t>
      </w:r>
      <w:r>
        <w:t>MI</w:t>
      </w:r>
      <w:r>
        <w:rPr>
          <w:spacing w:val="-2"/>
        </w:rPr>
        <w:t xml:space="preserve"> </w:t>
      </w:r>
      <w:r>
        <w:t>is</w:t>
      </w:r>
      <w:r>
        <w:rPr>
          <w:spacing w:val="-2"/>
        </w:rPr>
        <w:t xml:space="preserve"> </w:t>
      </w:r>
      <w:r>
        <w:t>based</w:t>
      </w:r>
      <w:r>
        <w:rPr>
          <w:spacing w:val="-3"/>
        </w:rPr>
        <w:t xml:space="preserve"> </w:t>
      </w:r>
      <w:r>
        <w:t>on</w:t>
      </w:r>
      <w:r>
        <w:rPr>
          <w:spacing w:val="-5"/>
        </w:rPr>
        <w:t xml:space="preserve"> </w:t>
      </w:r>
      <w:r>
        <w:t>person-centered</w:t>
      </w:r>
      <w:r>
        <w:rPr>
          <w:spacing w:val="-3"/>
        </w:rPr>
        <w:t xml:space="preserve"> </w:t>
      </w:r>
      <w:r>
        <w:t>counseling</w:t>
      </w:r>
      <w:r>
        <w:rPr>
          <w:spacing w:val="-3"/>
        </w:rPr>
        <w:t xml:space="preserve"> </w:t>
      </w:r>
      <w:r>
        <w:t>principles.</w:t>
      </w:r>
      <w:r>
        <w:rPr>
          <w:spacing w:val="-2"/>
        </w:rPr>
        <w:t xml:space="preserve"> </w:t>
      </w:r>
      <w:r>
        <w:t>It</w:t>
      </w:r>
      <w:r>
        <w:rPr>
          <w:spacing w:val="-1"/>
        </w:rPr>
        <w:t xml:space="preserve"> </w:t>
      </w:r>
      <w:r>
        <w:t>focuses on mobilizing the client’s own resources for change. It is consistent with the healthcare model of helping people learn to self-manage chronic illnesses like diabetes and heart disease.</w:t>
      </w:r>
    </w:p>
    <w:p w14:paraId="12024539" w14:textId="77777777" w:rsidR="00DB6E1F" w:rsidRDefault="00F666A6">
      <w:pPr>
        <w:pStyle w:val="Heading2"/>
        <w:spacing w:before="163"/>
      </w:pPr>
      <w:bookmarkStart w:id="121" w:name="_bookmark24"/>
      <w:bookmarkEnd w:id="121"/>
      <w:r>
        <w:rPr>
          <w:spacing w:val="-2"/>
        </w:rPr>
        <w:t>Conclusion</w:t>
      </w:r>
    </w:p>
    <w:p w14:paraId="7C2657DF" w14:textId="77777777" w:rsidR="00DB6E1F" w:rsidRDefault="00F666A6">
      <w:pPr>
        <w:pStyle w:val="BodyText"/>
        <w:spacing w:before="152"/>
        <w:ind w:left="1439" w:right="1507"/>
      </w:pPr>
      <w:r>
        <w:t xml:space="preserve">MI is a directed, person-centered counseling style </w:t>
      </w:r>
      <w:r>
        <w:t>that is effective in helping clients change their substance use behaviors. When delivered in the spirit of MI, the core skills of asking open questions, affirming, using reflective listening, and summarizing enhance client motivation and readiness to chang</w:t>
      </w:r>
      <w:r>
        <w:t>e. Counselor empathy, shown through reflective listening and evoking change talk, is another important element of MI’s effectiveness and is associated with positive client outcomes. MI has been adapted</w:t>
      </w:r>
      <w:r>
        <w:rPr>
          <w:spacing w:val="-3"/>
        </w:rPr>
        <w:t xml:space="preserve"> </w:t>
      </w:r>
      <w:r>
        <w:t>for</w:t>
      </w:r>
      <w:r>
        <w:rPr>
          <w:spacing w:val="-4"/>
        </w:rPr>
        <w:t xml:space="preserve"> </w:t>
      </w:r>
      <w:r>
        <w:t>use</w:t>
      </w:r>
      <w:r>
        <w:rPr>
          <w:spacing w:val="-1"/>
        </w:rPr>
        <w:t xml:space="preserve"> </w:t>
      </w:r>
      <w:r>
        <w:t>in</w:t>
      </w:r>
      <w:r>
        <w:rPr>
          <w:spacing w:val="-3"/>
        </w:rPr>
        <w:t xml:space="preserve"> </w:t>
      </w:r>
      <w:r>
        <w:t>brief</w:t>
      </w:r>
      <w:r>
        <w:rPr>
          <w:spacing w:val="-2"/>
        </w:rPr>
        <w:t xml:space="preserve"> </w:t>
      </w:r>
      <w:r>
        <w:t>interventions</w:t>
      </w:r>
      <w:r>
        <w:rPr>
          <w:spacing w:val="-2"/>
        </w:rPr>
        <w:t xml:space="preserve"> </w:t>
      </w:r>
      <w:r>
        <w:t>and</w:t>
      </w:r>
      <w:r>
        <w:rPr>
          <w:spacing w:val="-5"/>
        </w:rPr>
        <w:t xml:space="preserve"> </w:t>
      </w:r>
      <w:r>
        <w:t>across</w:t>
      </w:r>
      <w:r>
        <w:rPr>
          <w:spacing w:val="-2"/>
        </w:rPr>
        <w:t xml:space="preserve"> </w:t>
      </w:r>
      <w:r>
        <w:t>a</w:t>
      </w:r>
      <w:r>
        <w:rPr>
          <w:spacing w:val="-5"/>
        </w:rPr>
        <w:t xml:space="preserve"> </w:t>
      </w:r>
      <w:r>
        <w:t>wide</w:t>
      </w:r>
      <w:r>
        <w:rPr>
          <w:spacing w:val="-1"/>
        </w:rPr>
        <w:t xml:space="preserve"> </w:t>
      </w:r>
      <w:r>
        <w:t>range</w:t>
      </w:r>
      <w:r>
        <w:rPr>
          <w:spacing w:val="-4"/>
        </w:rPr>
        <w:t xml:space="preserve"> </w:t>
      </w:r>
      <w:r>
        <w:t>of</w:t>
      </w:r>
      <w:r>
        <w:rPr>
          <w:spacing w:val="-2"/>
        </w:rPr>
        <w:t xml:space="preserve"> </w:t>
      </w:r>
      <w:r>
        <w:t>clinical</w:t>
      </w:r>
      <w:r>
        <w:rPr>
          <w:spacing w:val="-5"/>
        </w:rPr>
        <w:t xml:space="preserve"> </w:t>
      </w:r>
      <w:r>
        <w:t>settings</w:t>
      </w:r>
      <w:r>
        <w:rPr>
          <w:spacing w:val="-2"/>
        </w:rPr>
        <w:t xml:space="preserve"> </w:t>
      </w:r>
      <w:r>
        <w:t>and</w:t>
      </w:r>
      <w:r>
        <w:rPr>
          <w:spacing w:val="-3"/>
        </w:rPr>
        <w:t xml:space="preserve"> </w:t>
      </w:r>
      <w:r>
        <w:t>client</w:t>
      </w:r>
      <w:r>
        <w:rPr>
          <w:spacing w:val="-1"/>
        </w:rPr>
        <w:t xml:space="preserve"> </w:t>
      </w:r>
      <w:r>
        <w:t>populations. It is compatible with other counseling models and theories of change, including CBT and the SOC.</w:t>
      </w:r>
    </w:p>
    <w:p w14:paraId="660600BE" w14:textId="77777777" w:rsidR="00DB6E1F" w:rsidRDefault="00DB6E1F">
      <w:pPr>
        <w:sectPr w:rsidR="00DB6E1F">
          <w:pgSz w:w="12240" w:h="15840"/>
          <w:pgMar w:top="1200" w:right="0" w:bottom="780" w:left="0" w:header="763" w:footer="585" w:gutter="0"/>
          <w:cols w:space="720"/>
        </w:sectPr>
      </w:pPr>
    </w:p>
    <w:p w14:paraId="0F57673F" w14:textId="77777777" w:rsidR="00DB6E1F" w:rsidRDefault="00DB6E1F">
      <w:pPr>
        <w:pStyle w:val="BodyText"/>
        <w:rPr>
          <w:sz w:val="20"/>
        </w:rPr>
      </w:pPr>
    </w:p>
    <w:p w14:paraId="272096C8" w14:textId="77777777" w:rsidR="00DB6E1F" w:rsidRDefault="00DB6E1F">
      <w:pPr>
        <w:pStyle w:val="BodyText"/>
        <w:rPr>
          <w:sz w:val="20"/>
        </w:rPr>
      </w:pPr>
    </w:p>
    <w:p w14:paraId="284547A8" w14:textId="77777777" w:rsidR="00DB6E1F" w:rsidRDefault="00DB6E1F">
      <w:pPr>
        <w:pStyle w:val="BodyText"/>
        <w:rPr>
          <w:sz w:val="20"/>
        </w:rPr>
      </w:pPr>
    </w:p>
    <w:p w14:paraId="04DAB913" w14:textId="77777777" w:rsidR="00DB6E1F" w:rsidRDefault="00DB6E1F">
      <w:pPr>
        <w:pStyle w:val="BodyText"/>
        <w:rPr>
          <w:sz w:val="20"/>
        </w:rPr>
      </w:pPr>
    </w:p>
    <w:p w14:paraId="55FAB47D" w14:textId="77777777" w:rsidR="00DB6E1F" w:rsidRDefault="00DB6E1F">
      <w:pPr>
        <w:pStyle w:val="BodyText"/>
        <w:rPr>
          <w:sz w:val="20"/>
        </w:rPr>
      </w:pPr>
    </w:p>
    <w:p w14:paraId="0DEB0E28" w14:textId="77777777" w:rsidR="00DB6E1F" w:rsidRDefault="00DB6E1F">
      <w:pPr>
        <w:pStyle w:val="BodyText"/>
        <w:rPr>
          <w:sz w:val="20"/>
        </w:rPr>
      </w:pPr>
    </w:p>
    <w:p w14:paraId="0D8AD9D8" w14:textId="77777777" w:rsidR="00DB6E1F" w:rsidRDefault="00DB6E1F">
      <w:pPr>
        <w:pStyle w:val="BodyText"/>
        <w:rPr>
          <w:sz w:val="20"/>
        </w:rPr>
      </w:pPr>
    </w:p>
    <w:p w14:paraId="22D3E79F" w14:textId="77777777" w:rsidR="00DB6E1F" w:rsidRDefault="00DB6E1F">
      <w:pPr>
        <w:pStyle w:val="BodyText"/>
        <w:rPr>
          <w:sz w:val="20"/>
        </w:rPr>
      </w:pPr>
    </w:p>
    <w:p w14:paraId="3669826C" w14:textId="77777777" w:rsidR="00DB6E1F" w:rsidRDefault="00DB6E1F">
      <w:pPr>
        <w:pStyle w:val="BodyText"/>
        <w:rPr>
          <w:sz w:val="20"/>
        </w:rPr>
      </w:pPr>
    </w:p>
    <w:p w14:paraId="08BD43E7" w14:textId="77777777" w:rsidR="00DB6E1F" w:rsidRDefault="00DB6E1F">
      <w:pPr>
        <w:pStyle w:val="BodyText"/>
        <w:rPr>
          <w:sz w:val="20"/>
        </w:rPr>
      </w:pPr>
    </w:p>
    <w:p w14:paraId="5FE2A026" w14:textId="77777777" w:rsidR="00DB6E1F" w:rsidRDefault="00DB6E1F">
      <w:pPr>
        <w:pStyle w:val="BodyText"/>
        <w:rPr>
          <w:sz w:val="20"/>
        </w:rPr>
      </w:pPr>
    </w:p>
    <w:p w14:paraId="1426CA98" w14:textId="77777777" w:rsidR="00DB6E1F" w:rsidRDefault="00DB6E1F">
      <w:pPr>
        <w:pStyle w:val="BodyText"/>
        <w:rPr>
          <w:sz w:val="20"/>
        </w:rPr>
      </w:pPr>
    </w:p>
    <w:p w14:paraId="2F36D534" w14:textId="77777777" w:rsidR="00DB6E1F" w:rsidRDefault="00DB6E1F">
      <w:pPr>
        <w:pStyle w:val="BodyText"/>
        <w:rPr>
          <w:sz w:val="20"/>
        </w:rPr>
      </w:pPr>
    </w:p>
    <w:p w14:paraId="659DF744" w14:textId="77777777" w:rsidR="00DB6E1F" w:rsidRDefault="00DB6E1F">
      <w:pPr>
        <w:pStyle w:val="BodyText"/>
        <w:rPr>
          <w:sz w:val="20"/>
        </w:rPr>
      </w:pPr>
    </w:p>
    <w:p w14:paraId="7823E190" w14:textId="77777777" w:rsidR="00DB6E1F" w:rsidRDefault="00DB6E1F">
      <w:pPr>
        <w:pStyle w:val="BodyText"/>
        <w:rPr>
          <w:sz w:val="20"/>
        </w:rPr>
      </w:pPr>
    </w:p>
    <w:p w14:paraId="139146CE" w14:textId="77777777" w:rsidR="00DB6E1F" w:rsidRDefault="00DB6E1F">
      <w:pPr>
        <w:pStyle w:val="BodyText"/>
        <w:rPr>
          <w:sz w:val="20"/>
        </w:rPr>
      </w:pPr>
    </w:p>
    <w:p w14:paraId="4755F91E" w14:textId="77777777" w:rsidR="00DB6E1F" w:rsidRDefault="00DB6E1F">
      <w:pPr>
        <w:pStyle w:val="BodyText"/>
        <w:rPr>
          <w:sz w:val="20"/>
        </w:rPr>
      </w:pPr>
    </w:p>
    <w:p w14:paraId="4842DB26" w14:textId="77777777" w:rsidR="00DB6E1F" w:rsidRDefault="00DB6E1F">
      <w:pPr>
        <w:pStyle w:val="BodyText"/>
        <w:rPr>
          <w:sz w:val="20"/>
        </w:rPr>
      </w:pPr>
    </w:p>
    <w:p w14:paraId="47DE262F" w14:textId="77777777" w:rsidR="00DB6E1F" w:rsidRDefault="00DB6E1F">
      <w:pPr>
        <w:pStyle w:val="BodyText"/>
        <w:rPr>
          <w:sz w:val="20"/>
        </w:rPr>
      </w:pPr>
    </w:p>
    <w:p w14:paraId="306BA9B3" w14:textId="77777777" w:rsidR="00DB6E1F" w:rsidRDefault="00DB6E1F">
      <w:pPr>
        <w:pStyle w:val="BodyText"/>
        <w:rPr>
          <w:sz w:val="20"/>
        </w:rPr>
      </w:pPr>
    </w:p>
    <w:p w14:paraId="2D59FC97" w14:textId="77777777" w:rsidR="00DB6E1F" w:rsidRDefault="00DB6E1F">
      <w:pPr>
        <w:pStyle w:val="BodyText"/>
        <w:rPr>
          <w:sz w:val="20"/>
        </w:rPr>
      </w:pPr>
    </w:p>
    <w:p w14:paraId="703BE80C" w14:textId="77777777" w:rsidR="00DB6E1F" w:rsidRDefault="00DB6E1F">
      <w:pPr>
        <w:pStyle w:val="BodyText"/>
        <w:spacing w:before="10"/>
        <w:rPr>
          <w:sz w:val="15"/>
        </w:rPr>
      </w:pPr>
    </w:p>
    <w:p w14:paraId="4542013B" w14:textId="77777777" w:rsidR="00DB6E1F" w:rsidRDefault="00F666A6">
      <w:pPr>
        <w:pStyle w:val="BodyText"/>
        <w:spacing w:before="56"/>
        <w:ind w:left="1444" w:right="1444"/>
        <w:jc w:val="center"/>
      </w:pPr>
      <w:r>
        <w:t>This</w:t>
      </w:r>
      <w:r>
        <w:rPr>
          <w:spacing w:val="-5"/>
        </w:rPr>
        <w:t xml:space="preserve"> </w:t>
      </w:r>
      <w:r>
        <w:t>page</w:t>
      </w:r>
      <w:r>
        <w:rPr>
          <w:spacing w:val="-4"/>
        </w:rPr>
        <w:t xml:space="preserve"> </w:t>
      </w:r>
      <w:r>
        <w:t>intentionally</w:t>
      </w:r>
      <w:r>
        <w:rPr>
          <w:spacing w:val="-4"/>
        </w:rPr>
        <w:t xml:space="preserve"> </w:t>
      </w:r>
      <w:r>
        <w:t>left</w:t>
      </w:r>
      <w:r>
        <w:rPr>
          <w:spacing w:val="-8"/>
        </w:rPr>
        <w:t xml:space="preserve"> </w:t>
      </w:r>
      <w:r>
        <w:rPr>
          <w:spacing w:val="-2"/>
        </w:rPr>
        <w:t>blank.</w:t>
      </w:r>
    </w:p>
    <w:p w14:paraId="10360B6E" w14:textId="77777777" w:rsidR="00DB6E1F" w:rsidRDefault="00DB6E1F">
      <w:pPr>
        <w:jc w:val="center"/>
        <w:sectPr w:rsidR="00DB6E1F">
          <w:pgSz w:w="12240" w:h="15840"/>
          <w:pgMar w:top="1200" w:right="0" w:bottom="780" w:left="0" w:header="763" w:footer="585" w:gutter="0"/>
          <w:cols w:space="720"/>
        </w:sectPr>
      </w:pPr>
    </w:p>
    <w:p w14:paraId="04612A05" w14:textId="77777777" w:rsidR="00DB6E1F" w:rsidRDefault="00DB6E1F">
      <w:pPr>
        <w:pStyle w:val="BodyText"/>
        <w:rPr>
          <w:sz w:val="20"/>
        </w:rPr>
      </w:pPr>
    </w:p>
    <w:p w14:paraId="1E95B7FE" w14:textId="77777777" w:rsidR="00DB6E1F" w:rsidRDefault="00DB6E1F">
      <w:pPr>
        <w:pStyle w:val="BodyText"/>
        <w:rPr>
          <w:sz w:val="20"/>
        </w:rPr>
      </w:pPr>
    </w:p>
    <w:p w14:paraId="70C04B42" w14:textId="77777777" w:rsidR="00DB6E1F" w:rsidRDefault="00F666A6">
      <w:pPr>
        <w:pStyle w:val="Heading1"/>
        <w:spacing w:before="176" w:line="259" w:lineRule="auto"/>
        <w:ind w:left="2640" w:right="1243" w:hanging="344"/>
        <w:jc w:val="left"/>
      </w:pPr>
      <w:bookmarkStart w:id="122" w:name="Chapter_4—From_Precontemplation_to_Conte"/>
      <w:bookmarkStart w:id="123" w:name="_bookmark25"/>
      <w:bookmarkEnd w:id="122"/>
      <w:bookmarkEnd w:id="123"/>
      <w:r>
        <w:t>Chapter</w:t>
      </w:r>
      <w:r>
        <w:rPr>
          <w:spacing w:val="-14"/>
        </w:rPr>
        <w:t xml:space="preserve"> </w:t>
      </w:r>
      <w:r>
        <w:t>4—From</w:t>
      </w:r>
      <w:r>
        <w:rPr>
          <w:spacing w:val="-13"/>
        </w:rPr>
        <w:t xml:space="preserve"> </w:t>
      </w:r>
      <w:r>
        <w:t>Precontemplation</w:t>
      </w:r>
      <w:r>
        <w:rPr>
          <w:spacing w:val="-15"/>
        </w:rPr>
        <w:t xml:space="preserve"> </w:t>
      </w:r>
      <w:r>
        <w:t>to Contemplation: Building Readiness</w:t>
      </w:r>
    </w:p>
    <w:p w14:paraId="1C1427D4" w14:textId="77777777" w:rsidR="00DB6E1F" w:rsidRDefault="00DB6E1F">
      <w:pPr>
        <w:pStyle w:val="BodyText"/>
        <w:spacing w:before="3"/>
        <w:rPr>
          <w:b/>
          <w:sz w:val="39"/>
        </w:rPr>
      </w:pPr>
    </w:p>
    <w:p w14:paraId="4C48A570" w14:textId="77777777" w:rsidR="00DB6E1F" w:rsidRDefault="00F666A6">
      <w:pPr>
        <w:ind w:left="1440" w:right="1555"/>
        <w:rPr>
          <w:sz w:val="20"/>
        </w:rPr>
      </w:pPr>
      <w:r>
        <w:rPr>
          <w:sz w:val="20"/>
        </w:rPr>
        <w:t>“The</w:t>
      </w:r>
      <w:r>
        <w:rPr>
          <w:spacing w:val="-3"/>
          <w:sz w:val="20"/>
        </w:rPr>
        <w:t xml:space="preserve"> </w:t>
      </w:r>
      <w:r>
        <w:rPr>
          <w:sz w:val="20"/>
        </w:rPr>
        <w:t>task</w:t>
      </w:r>
      <w:r>
        <w:rPr>
          <w:spacing w:val="-1"/>
          <w:sz w:val="20"/>
        </w:rPr>
        <w:t xml:space="preserve"> </w:t>
      </w:r>
      <w:r>
        <w:rPr>
          <w:sz w:val="20"/>
        </w:rPr>
        <w:t>for</w:t>
      </w:r>
      <w:r>
        <w:rPr>
          <w:spacing w:val="-2"/>
          <w:sz w:val="20"/>
        </w:rPr>
        <w:t xml:space="preserve"> </w:t>
      </w:r>
      <w:r>
        <w:rPr>
          <w:sz w:val="20"/>
        </w:rPr>
        <w:t>individuals</w:t>
      </w:r>
      <w:r>
        <w:rPr>
          <w:spacing w:val="-3"/>
          <w:sz w:val="20"/>
        </w:rPr>
        <w:t xml:space="preserve"> </w:t>
      </w:r>
      <w:r>
        <w:rPr>
          <w:sz w:val="20"/>
        </w:rPr>
        <w:t>in</w:t>
      </w:r>
      <w:r>
        <w:rPr>
          <w:spacing w:val="-1"/>
          <w:sz w:val="20"/>
        </w:rPr>
        <w:t xml:space="preserve"> </w:t>
      </w:r>
      <w:r>
        <w:rPr>
          <w:sz w:val="20"/>
        </w:rPr>
        <w:t>Precontemplation</w:t>
      </w:r>
      <w:r>
        <w:rPr>
          <w:spacing w:val="-1"/>
          <w:sz w:val="20"/>
        </w:rPr>
        <w:t xml:space="preserve"> </w:t>
      </w:r>
      <w:r>
        <w:rPr>
          <w:sz w:val="20"/>
        </w:rPr>
        <w:t>is</w:t>
      </w:r>
      <w:r>
        <w:rPr>
          <w:spacing w:val="-3"/>
          <w:sz w:val="20"/>
        </w:rPr>
        <w:t xml:space="preserve"> </w:t>
      </w:r>
      <w:r>
        <w:rPr>
          <w:sz w:val="20"/>
        </w:rPr>
        <w:t>to</w:t>
      </w:r>
      <w:r>
        <w:rPr>
          <w:spacing w:val="-2"/>
          <w:sz w:val="20"/>
        </w:rPr>
        <w:t xml:space="preserve"> </w:t>
      </w:r>
      <w:r>
        <w:rPr>
          <w:sz w:val="20"/>
        </w:rPr>
        <w:t>become</w:t>
      </w:r>
      <w:r>
        <w:rPr>
          <w:spacing w:val="-3"/>
          <w:sz w:val="20"/>
        </w:rPr>
        <w:t xml:space="preserve"> </w:t>
      </w:r>
      <w:r>
        <w:rPr>
          <w:sz w:val="20"/>
        </w:rPr>
        <w:t>conscious</w:t>
      </w:r>
      <w:r>
        <w:rPr>
          <w:spacing w:val="-3"/>
          <w:sz w:val="20"/>
        </w:rPr>
        <w:t xml:space="preserve"> </w:t>
      </w:r>
      <w:r>
        <w:rPr>
          <w:sz w:val="20"/>
        </w:rPr>
        <w:t>of</w:t>
      </w:r>
      <w:r>
        <w:rPr>
          <w:spacing w:val="-3"/>
          <w:sz w:val="20"/>
        </w:rPr>
        <w:t xml:space="preserve"> </w:t>
      </w:r>
      <w:r>
        <w:rPr>
          <w:sz w:val="20"/>
        </w:rPr>
        <w:t>and</w:t>
      </w:r>
      <w:r>
        <w:rPr>
          <w:spacing w:val="-1"/>
          <w:sz w:val="20"/>
        </w:rPr>
        <w:t xml:space="preserve"> </w:t>
      </w:r>
      <w:r>
        <w:rPr>
          <w:sz w:val="20"/>
        </w:rPr>
        <w:t>concerned</w:t>
      </w:r>
      <w:r>
        <w:rPr>
          <w:spacing w:val="-1"/>
          <w:sz w:val="20"/>
        </w:rPr>
        <w:t xml:space="preserve"> </w:t>
      </w:r>
      <w:r>
        <w:rPr>
          <w:sz w:val="20"/>
        </w:rPr>
        <w:t>about</w:t>
      </w:r>
      <w:r>
        <w:rPr>
          <w:spacing w:val="-2"/>
          <w:sz w:val="20"/>
        </w:rPr>
        <w:t xml:space="preserve"> </w:t>
      </w:r>
      <w:r>
        <w:rPr>
          <w:sz w:val="20"/>
        </w:rPr>
        <w:t>the</w:t>
      </w:r>
      <w:r>
        <w:rPr>
          <w:spacing w:val="-3"/>
          <w:sz w:val="20"/>
        </w:rPr>
        <w:t xml:space="preserve"> </w:t>
      </w:r>
      <w:r>
        <w:rPr>
          <w:sz w:val="20"/>
        </w:rPr>
        <w:t>current</w:t>
      </w:r>
      <w:r>
        <w:rPr>
          <w:spacing w:val="-2"/>
          <w:sz w:val="20"/>
        </w:rPr>
        <w:t xml:space="preserve"> </w:t>
      </w:r>
      <w:r>
        <w:rPr>
          <w:sz w:val="20"/>
        </w:rPr>
        <w:t>pattern of</w:t>
      </w:r>
      <w:r>
        <w:rPr>
          <w:spacing w:val="-4"/>
          <w:sz w:val="20"/>
        </w:rPr>
        <w:t xml:space="preserve"> </w:t>
      </w:r>
      <w:r>
        <w:rPr>
          <w:sz w:val="20"/>
        </w:rPr>
        <w:t>behavior</w:t>
      </w:r>
      <w:r>
        <w:rPr>
          <w:spacing w:val="-3"/>
          <w:sz w:val="20"/>
        </w:rPr>
        <w:t xml:space="preserve"> </w:t>
      </w:r>
      <w:r>
        <w:rPr>
          <w:sz w:val="20"/>
        </w:rPr>
        <w:t>and/or</w:t>
      </w:r>
      <w:r>
        <w:rPr>
          <w:spacing w:val="-3"/>
          <w:sz w:val="20"/>
        </w:rPr>
        <w:t xml:space="preserve"> </w:t>
      </w:r>
      <w:r>
        <w:rPr>
          <w:sz w:val="20"/>
        </w:rPr>
        <w:t>interested in</w:t>
      </w:r>
      <w:r>
        <w:rPr>
          <w:spacing w:val="-2"/>
          <w:sz w:val="20"/>
        </w:rPr>
        <w:t xml:space="preserve"> </w:t>
      </w:r>
      <w:r>
        <w:rPr>
          <w:sz w:val="20"/>
        </w:rPr>
        <w:t>a</w:t>
      </w:r>
      <w:r>
        <w:rPr>
          <w:spacing w:val="-2"/>
          <w:sz w:val="20"/>
        </w:rPr>
        <w:t xml:space="preserve"> </w:t>
      </w:r>
      <w:r>
        <w:rPr>
          <w:sz w:val="20"/>
        </w:rPr>
        <w:t>new</w:t>
      </w:r>
      <w:r>
        <w:rPr>
          <w:spacing w:val="-4"/>
          <w:sz w:val="20"/>
        </w:rPr>
        <w:t xml:space="preserve"> </w:t>
      </w:r>
      <w:r>
        <w:rPr>
          <w:sz w:val="20"/>
        </w:rPr>
        <w:t>behavior.</w:t>
      </w:r>
      <w:r>
        <w:rPr>
          <w:spacing w:val="-3"/>
          <w:sz w:val="20"/>
        </w:rPr>
        <w:t xml:space="preserve"> </w:t>
      </w:r>
      <w:r>
        <w:rPr>
          <w:sz w:val="20"/>
        </w:rPr>
        <w:t>From</w:t>
      </w:r>
      <w:r>
        <w:rPr>
          <w:spacing w:val="-4"/>
          <w:sz w:val="20"/>
        </w:rPr>
        <w:t xml:space="preserve"> </w:t>
      </w:r>
      <w:r>
        <w:rPr>
          <w:sz w:val="20"/>
        </w:rPr>
        <w:t>a</w:t>
      </w:r>
      <w:r>
        <w:rPr>
          <w:spacing w:val="-2"/>
          <w:sz w:val="20"/>
        </w:rPr>
        <w:t xml:space="preserve"> </w:t>
      </w:r>
      <w:r>
        <w:rPr>
          <w:sz w:val="20"/>
        </w:rPr>
        <w:t>change</w:t>
      </w:r>
      <w:r>
        <w:rPr>
          <w:spacing w:val="-4"/>
          <w:sz w:val="20"/>
        </w:rPr>
        <w:t xml:space="preserve"> </w:t>
      </w:r>
      <w:r>
        <w:rPr>
          <w:sz w:val="20"/>
        </w:rPr>
        <w:t>perspective,</w:t>
      </w:r>
      <w:r>
        <w:rPr>
          <w:spacing w:val="-2"/>
          <w:sz w:val="20"/>
        </w:rPr>
        <w:t xml:space="preserve"> </w:t>
      </w:r>
      <w:r>
        <w:rPr>
          <w:sz w:val="20"/>
        </w:rPr>
        <w:t>it</w:t>
      </w:r>
      <w:r>
        <w:rPr>
          <w:spacing w:val="-3"/>
          <w:sz w:val="20"/>
        </w:rPr>
        <w:t xml:space="preserve"> </w:t>
      </w:r>
      <w:r>
        <w:rPr>
          <w:sz w:val="20"/>
        </w:rPr>
        <w:t>is</w:t>
      </w:r>
      <w:r>
        <w:rPr>
          <w:spacing w:val="-4"/>
          <w:sz w:val="20"/>
        </w:rPr>
        <w:t xml:space="preserve"> </w:t>
      </w:r>
      <w:r>
        <w:rPr>
          <w:sz w:val="20"/>
        </w:rPr>
        <w:t>more</w:t>
      </w:r>
      <w:r>
        <w:rPr>
          <w:spacing w:val="-4"/>
          <w:sz w:val="20"/>
        </w:rPr>
        <w:t xml:space="preserve"> </w:t>
      </w:r>
      <w:r>
        <w:rPr>
          <w:sz w:val="20"/>
        </w:rPr>
        <w:t>important</w:t>
      </w:r>
      <w:r>
        <w:rPr>
          <w:spacing w:val="-3"/>
          <w:sz w:val="20"/>
        </w:rPr>
        <w:t xml:space="preserve"> </w:t>
      </w:r>
      <w:r>
        <w:rPr>
          <w:sz w:val="20"/>
        </w:rPr>
        <w:t>to</w:t>
      </w:r>
      <w:r>
        <w:rPr>
          <w:spacing w:val="-3"/>
          <w:sz w:val="20"/>
        </w:rPr>
        <w:t xml:space="preserve"> </w:t>
      </w:r>
      <w:r>
        <w:rPr>
          <w:sz w:val="20"/>
        </w:rPr>
        <w:t>recognize</w:t>
      </w:r>
      <w:r>
        <w:rPr>
          <w:spacing w:val="-4"/>
          <w:sz w:val="20"/>
        </w:rPr>
        <w:t xml:space="preserve"> </w:t>
      </w:r>
      <w:r>
        <w:rPr>
          <w:sz w:val="20"/>
        </w:rPr>
        <w:t>an individual’s current views on change and address her or his reasons for not wanting to change than it is to understand how the status quo came to be.”</w:t>
      </w:r>
    </w:p>
    <w:p w14:paraId="19FFA716" w14:textId="77777777" w:rsidR="00DB6E1F" w:rsidRDefault="00F666A6">
      <w:pPr>
        <w:pStyle w:val="BodyText"/>
        <w:spacing w:before="116"/>
        <w:ind w:left="5047"/>
      </w:pPr>
      <w:r>
        <w:t>DiClemente,</w:t>
      </w:r>
      <w:r>
        <w:rPr>
          <w:spacing w:val="-6"/>
        </w:rPr>
        <w:t xml:space="preserve"> </w:t>
      </w:r>
      <w:r>
        <w:t>2018,</w:t>
      </w:r>
      <w:r>
        <w:rPr>
          <w:spacing w:val="-5"/>
        </w:rPr>
        <w:t xml:space="preserve"> </w:t>
      </w:r>
      <w:r>
        <w:t>p.</w:t>
      </w:r>
      <w:r>
        <w:rPr>
          <w:spacing w:val="-3"/>
        </w:rPr>
        <w:t xml:space="preserve"> </w:t>
      </w:r>
      <w:r>
        <w:rPr>
          <w:spacing w:val="-5"/>
        </w:rPr>
        <w:t>29</w:t>
      </w:r>
    </w:p>
    <w:p w14:paraId="7FB9B1F5" w14:textId="77777777" w:rsidR="00DB6E1F" w:rsidRDefault="00DB6E1F">
      <w:pPr>
        <w:pStyle w:val="BodyText"/>
        <w:spacing w:before="9"/>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512AEC26" w14:textId="77777777">
        <w:trPr>
          <w:trHeight w:val="2394"/>
        </w:trPr>
        <w:tc>
          <w:tcPr>
            <w:tcW w:w="9350" w:type="dxa"/>
            <w:shd w:val="clear" w:color="auto" w:fill="E7E6E6"/>
          </w:tcPr>
          <w:p w14:paraId="11ED0256" w14:textId="77777777" w:rsidR="00DB6E1F" w:rsidRDefault="00F666A6">
            <w:pPr>
              <w:pStyle w:val="TableParagraph"/>
              <w:spacing w:before="121"/>
              <w:ind w:left="4094"/>
              <w:rPr>
                <w:b/>
                <w:sz w:val="20"/>
              </w:rPr>
            </w:pPr>
            <w:r>
              <w:rPr>
                <w:b/>
                <w:sz w:val="20"/>
              </w:rPr>
              <w:t>Key</w:t>
            </w:r>
            <w:r>
              <w:rPr>
                <w:b/>
                <w:spacing w:val="-6"/>
                <w:sz w:val="20"/>
              </w:rPr>
              <w:t xml:space="preserve"> </w:t>
            </w:r>
            <w:r>
              <w:rPr>
                <w:b/>
                <w:spacing w:val="-2"/>
                <w:sz w:val="20"/>
              </w:rPr>
              <w:t>Messages</w:t>
            </w:r>
          </w:p>
          <w:p w14:paraId="4C7F5A4F" w14:textId="77777777" w:rsidR="00DB6E1F" w:rsidRDefault="00F666A6">
            <w:pPr>
              <w:pStyle w:val="TableParagraph"/>
              <w:numPr>
                <w:ilvl w:val="0"/>
                <w:numId w:val="71"/>
              </w:numPr>
              <w:tabs>
                <w:tab w:val="left" w:pos="467"/>
                <w:tab w:val="left" w:pos="468"/>
              </w:tabs>
              <w:spacing w:before="120"/>
              <w:ind w:right="465"/>
              <w:rPr>
                <w:sz w:val="20"/>
              </w:rPr>
            </w:pPr>
            <w:r>
              <w:rPr>
                <w:sz w:val="20"/>
              </w:rPr>
              <w:t>In</w:t>
            </w:r>
            <w:r>
              <w:rPr>
                <w:spacing w:val="-2"/>
                <w:sz w:val="20"/>
              </w:rPr>
              <w:t xml:space="preserve"> </w:t>
            </w:r>
            <w:r>
              <w:rPr>
                <w:sz w:val="20"/>
              </w:rPr>
              <w:t>the</w:t>
            </w:r>
            <w:r>
              <w:rPr>
                <w:spacing w:val="-4"/>
                <w:sz w:val="20"/>
              </w:rPr>
              <w:t xml:space="preserve"> </w:t>
            </w:r>
            <w:r>
              <w:rPr>
                <w:sz w:val="20"/>
              </w:rPr>
              <w:t>Precontemplation</w:t>
            </w:r>
            <w:r>
              <w:rPr>
                <w:spacing w:val="-2"/>
                <w:sz w:val="20"/>
              </w:rPr>
              <w:t xml:space="preserve"> </w:t>
            </w:r>
            <w:r>
              <w:rPr>
                <w:sz w:val="20"/>
              </w:rPr>
              <w:t>stage,</w:t>
            </w:r>
            <w:r>
              <w:rPr>
                <w:spacing w:val="-2"/>
                <w:sz w:val="20"/>
              </w:rPr>
              <w:t xml:space="preserve"> </w:t>
            </w:r>
            <w:r>
              <w:rPr>
                <w:sz w:val="20"/>
              </w:rPr>
              <w:t>clients</w:t>
            </w:r>
            <w:r>
              <w:rPr>
                <w:spacing w:val="-4"/>
                <w:sz w:val="20"/>
              </w:rPr>
              <w:t xml:space="preserve"> </w:t>
            </w:r>
            <w:r>
              <w:rPr>
                <w:sz w:val="20"/>
              </w:rPr>
              <w:t>do</w:t>
            </w:r>
            <w:r>
              <w:rPr>
                <w:spacing w:val="-3"/>
                <w:sz w:val="20"/>
              </w:rPr>
              <w:t xml:space="preserve"> </w:t>
            </w:r>
            <w:r>
              <w:rPr>
                <w:sz w:val="20"/>
              </w:rPr>
              <w:t>not</w:t>
            </w:r>
            <w:r>
              <w:rPr>
                <w:spacing w:val="-3"/>
                <w:sz w:val="20"/>
              </w:rPr>
              <w:t xml:space="preserve"> </w:t>
            </w:r>
            <w:r>
              <w:rPr>
                <w:sz w:val="20"/>
              </w:rPr>
              <w:t>recognize</w:t>
            </w:r>
            <w:r>
              <w:rPr>
                <w:spacing w:val="-4"/>
                <w:sz w:val="20"/>
              </w:rPr>
              <w:t xml:space="preserve"> </w:t>
            </w:r>
            <w:r>
              <w:rPr>
                <w:sz w:val="20"/>
              </w:rPr>
              <w:t>that</w:t>
            </w:r>
            <w:r>
              <w:rPr>
                <w:spacing w:val="-3"/>
                <w:sz w:val="20"/>
              </w:rPr>
              <w:t xml:space="preserve"> </w:t>
            </w:r>
            <w:r>
              <w:rPr>
                <w:sz w:val="20"/>
              </w:rPr>
              <w:t>they</w:t>
            </w:r>
            <w:r>
              <w:rPr>
                <w:spacing w:val="-2"/>
                <w:sz w:val="20"/>
              </w:rPr>
              <w:t xml:space="preserve"> </w:t>
            </w:r>
            <w:r>
              <w:rPr>
                <w:sz w:val="20"/>
              </w:rPr>
              <w:t>have</w:t>
            </w:r>
            <w:r>
              <w:rPr>
                <w:spacing w:val="-4"/>
                <w:sz w:val="20"/>
              </w:rPr>
              <w:t xml:space="preserve"> </w:t>
            </w:r>
            <w:r>
              <w:rPr>
                <w:sz w:val="20"/>
              </w:rPr>
              <w:t>a</w:t>
            </w:r>
            <w:r>
              <w:rPr>
                <w:spacing w:val="-3"/>
                <w:sz w:val="20"/>
              </w:rPr>
              <w:t xml:space="preserve"> </w:t>
            </w:r>
            <w:r>
              <w:rPr>
                <w:sz w:val="20"/>
              </w:rPr>
              <w:t>problem</w:t>
            </w:r>
            <w:r>
              <w:rPr>
                <w:spacing w:val="-4"/>
                <w:sz w:val="20"/>
              </w:rPr>
              <w:t xml:space="preserve"> </w:t>
            </w:r>
            <w:r>
              <w:rPr>
                <w:sz w:val="20"/>
              </w:rPr>
              <w:t>with</w:t>
            </w:r>
            <w:r>
              <w:rPr>
                <w:spacing w:val="-2"/>
                <w:sz w:val="20"/>
              </w:rPr>
              <w:t xml:space="preserve"> </w:t>
            </w:r>
            <w:r>
              <w:rPr>
                <w:sz w:val="20"/>
              </w:rPr>
              <w:t>substance</w:t>
            </w:r>
            <w:r>
              <w:rPr>
                <w:spacing w:val="-4"/>
                <w:sz w:val="20"/>
              </w:rPr>
              <w:t xml:space="preserve"> </w:t>
            </w:r>
            <w:r>
              <w:rPr>
                <w:sz w:val="20"/>
              </w:rPr>
              <w:t>use</w:t>
            </w:r>
            <w:r>
              <w:rPr>
                <w:spacing w:val="-4"/>
                <w:sz w:val="20"/>
              </w:rPr>
              <w:t xml:space="preserve"> </w:t>
            </w:r>
            <w:r>
              <w:rPr>
                <w:sz w:val="20"/>
              </w:rPr>
              <w:t>or they recognize the problem but are not ready to change their substance use behaviors.</w:t>
            </w:r>
          </w:p>
          <w:p w14:paraId="4CB863F6" w14:textId="77777777" w:rsidR="00DB6E1F" w:rsidRDefault="00F666A6">
            <w:pPr>
              <w:pStyle w:val="TableParagraph"/>
              <w:numPr>
                <w:ilvl w:val="0"/>
                <w:numId w:val="71"/>
              </w:numPr>
              <w:tabs>
                <w:tab w:val="left" w:pos="467"/>
                <w:tab w:val="left" w:pos="468"/>
              </w:tabs>
              <w:spacing w:before="38"/>
              <w:ind w:right="153"/>
              <w:rPr>
                <w:sz w:val="20"/>
              </w:rPr>
            </w:pPr>
            <w:r>
              <w:rPr>
                <w:sz w:val="20"/>
              </w:rPr>
              <w:t>Counselors</w:t>
            </w:r>
            <w:r>
              <w:rPr>
                <w:spacing w:val="-4"/>
                <w:sz w:val="20"/>
              </w:rPr>
              <w:t xml:space="preserve"> </w:t>
            </w:r>
            <w:r>
              <w:rPr>
                <w:sz w:val="20"/>
              </w:rPr>
              <w:t>should</w:t>
            </w:r>
            <w:r>
              <w:rPr>
                <w:spacing w:val="-2"/>
                <w:sz w:val="20"/>
              </w:rPr>
              <w:t xml:space="preserve"> </w:t>
            </w:r>
            <w:r>
              <w:rPr>
                <w:sz w:val="20"/>
              </w:rPr>
              <w:t>be</w:t>
            </w:r>
            <w:r>
              <w:rPr>
                <w:spacing w:val="-4"/>
                <w:sz w:val="20"/>
              </w:rPr>
              <w:t xml:space="preserve"> </w:t>
            </w:r>
            <w:r>
              <w:rPr>
                <w:sz w:val="20"/>
              </w:rPr>
              <w:t>nonjudgmental</w:t>
            </w:r>
            <w:r>
              <w:rPr>
                <w:spacing w:val="-3"/>
                <w:sz w:val="20"/>
              </w:rPr>
              <w:t xml:space="preserve"> </w:t>
            </w:r>
            <w:r>
              <w:rPr>
                <w:sz w:val="20"/>
              </w:rPr>
              <w:t>about</w:t>
            </w:r>
            <w:r>
              <w:rPr>
                <w:spacing w:val="-3"/>
                <w:sz w:val="20"/>
              </w:rPr>
              <w:t xml:space="preserve"> </w:t>
            </w:r>
            <w:r>
              <w:rPr>
                <w:sz w:val="20"/>
              </w:rPr>
              <w:t>clients’</w:t>
            </w:r>
            <w:r>
              <w:rPr>
                <w:spacing w:val="-2"/>
                <w:sz w:val="20"/>
              </w:rPr>
              <w:t xml:space="preserve"> </w:t>
            </w:r>
            <w:r>
              <w:rPr>
                <w:sz w:val="20"/>
              </w:rPr>
              <w:t>low</w:t>
            </w:r>
            <w:r>
              <w:rPr>
                <w:spacing w:val="-2"/>
                <w:sz w:val="20"/>
              </w:rPr>
              <w:t xml:space="preserve"> </w:t>
            </w:r>
            <w:r>
              <w:rPr>
                <w:sz w:val="20"/>
              </w:rPr>
              <w:t>motivation</w:t>
            </w:r>
            <w:r>
              <w:rPr>
                <w:spacing w:val="-2"/>
                <w:sz w:val="20"/>
              </w:rPr>
              <w:t xml:space="preserve"> </w:t>
            </w:r>
            <w:r>
              <w:rPr>
                <w:sz w:val="20"/>
              </w:rPr>
              <w:t>to</w:t>
            </w:r>
            <w:r>
              <w:rPr>
                <w:spacing w:val="-3"/>
                <w:sz w:val="20"/>
              </w:rPr>
              <w:t xml:space="preserve"> </w:t>
            </w:r>
            <w:r>
              <w:rPr>
                <w:sz w:val="20"/>
              </w:rPr>
              <w:t>change</w:t>
            </w:r>
            <w:r>
              <w:rPr>
                <w:spacing w:val="-4"/>
                <w:sz w:val="20"/>
              </w:rPr>
              <w:t xml:space="preserve"> </w:t>
            </w:r>
            <w:r>
              <w:rPr>
                <w:sz w:val="20"/>
              </w:rPr>
              <w:t>and</w:t>
            </w:r>
            <w:r>
              <w:rPr>
                <w:spacing w:val="-2"/>
                <w:sz w:val="20"/>
              </w:rPr>
              <w:t xml:space="preserve"> </w:t>
            </w:r>
            <w:r>
              <w:rPr>
                <w:sz w:val="20"/>
              </w:rPr>
              <w:t>instead</w:t>
            </w:r>
            <w:r>
              <w:rPr>
                <w:spacing w:val="-2"/>
                <w:sz w:val="20"/>
              </w:rPr>
              <w:t xml:space="preserve"> </w:t>
            </w:r>
            <w:r>
              <w:rPr>
                <w:sz w:val="20"/>
              </w:rPr>
              <w:t>focus</w:t>
            </w:r>
            <w:r>
              <w:rPr>
                <w:spacing w:val="-4"/>
                <w:sz w:val="20"/>
              </w:rPr>
              <w:t xml:space="preserve"> </w:t>
            </w:r>
            <w:r>
              <w:rPr>
                <w:sz w:val="20"/>
              </w:rPr>
              <w:t>on</w:t>
            </w:r>
            <w:r>
              <w:rPr>
                <w:spacing w:val="-2"/>
                <w:sz w:val="20"/>
              </w:rPr>
              <w:t xml:space="preserve"> </w:t>
            </w:r>
            <w:r>
              <w:rPr>
                <w:sz w:val="20"/>
              </w:rPr>
              <w:t>building a strong working alliance.</w:t>
            </w:r>
          </w:p>
          <w:p w14:paraId="58DFB759" w14:textId="77777777" w:rsidR="00DB6E1F" w:rsidRDefault="00F666A6">
            <w:pPr>
              <w:pStyle w:val="TableParagraph"/>
              <w:numPr>
                <w:ilvl w:val="0"/>
                <w:numId w:val="71"/>
              </w:numPr>
              <w:tabs>
                <w:tab w:val="left" w:pos="467"/>
                <w:tab w:val="left" w:pos="468"/>
              </w:tabs>
              <w:spacing w:before="41"/>
              <w:ind w:right="145"/>
              <w:rPr>
                <w:sz w:val="20"/>
              </w:rPr>
            </w:pPr>
            <w:r>
              <w:rPr>
                <w:sz w:val="20"/>
              </w:rPr>
              <w:t>A</w:t>
            </w:r>
            <w:r>
              <w:rPr>
                <w:spacing w:val="-3"/>
                <w:sz w:val="20"/>
              </w:rPr>
              <w:t xml:space="preserve"> </w:t>
            </w:r>
            <w:r>
              <w:rPr>
                <w:sz w:val="20"/>
              </w:rPr>
              <w:t>key</w:t>
            </w:r>
            <w:r>
              <w:rPr>
                <w:spacing w:val="-2"/>
                <w:sz w:val="20"/>
              </w:rPr>
              <w:t xml:space="preserve"> </w:t>
            </w:r>
            <w:r>
              <w:rPr>
                <w:sz w:val="20"/>
              </w:rPr>
              <w:t>strategy</w:t>
            </w:r>
            <w:r>
              <w:rPr>
                <w:spacing w:val="-2"/>
                <w:sz w:val="20"/>
              </w:rPr>
              <w:t xml:space="preserve"> </w:t>
            </w:r>
            <w:r>
              <w:rPr>
                <w:sz w:val="20"/>
              </w:rPr>
              <w:t>to</w:t>
            </w:r>
            <w:r>
              <w:rPr>
                <w:spacing w:val="-2"/>
                <w:sz w:val="20"/>
              </w:rPr>
              <w:t xml:space="preserve"> </w:t>
            </w:r>
            <w:r>
              <w:rPr>
                <w:sz w:val="20"/>
              </w:rPr>
              <w:t>helping</w:t>
            </w:r>
            <w:r>
              <w:rPr>
                <w:spacing w:val="-3"/>
                <w:sz w:val="20"/>
              </w:rPr>
              <w:t xml:space="preserve"> </w:t>
            </w:r>
            <w:r>
              <w:rPr>
                <w:sz w:val="20"/>
              </w:rPr>
              <w:t>clients</w:t>
            </w:r>
            <w:r>
              <w:rPr>
                <w:spacing w:val="-4"/>
                <w:sz w:val="20"/>
              </w:rPr>
              <w:t xml:space="preserve"> </w:t>
            </w:r>
            <w:r>
              <w:rPr>
                <w:sz w:val="20"/>
              </w:rPr>
              <w:t>move</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Precontemplation</w:t>
            </w:r>
            <w:r>
              <w:rPr>
                <w:spacing w:val="-2"/>
                <w:sz w:val="20"/>
              </w:rPr>
              <w:t xml:space="preserve"> </w:t>
            </w:r>
            <w:r>
              <w:rPr>
                <w:sz w:val="20"/>
              </w:rPr>
              <w:t>stage</w:t>
            </w:r>
            <w:r>
              <w:rPr>
                <w:spacing w:val="-4"/>
                <w:sz w:val="20"/>
              </w:rPr>
              <w:t xml:space="preserve"> </w:t>
            </w:r>
            <w:r>
              <w:rPr>
                <w:sz w:val="20"/>
              </w:rPr>
              <w:t>to</w:t>
            </w:r>
            <w:r>
              <w:rPr>
                <w:spacing w:val="-3"/>
                <w:sz w:val="20"/>
              </w:rPr>
              <w:t xml:space="preserve"> </w:t>
            </w:r>
            <w:r>
              <w:rPr>
                <w:sz w:val="20"/>
              </w:rPr>
              <w:t>contemplating</w:t>
            </w:r>
            <w:r>
              <w:rPr>
                <w:spacing w:val="-1"/>
                <w:sz w:val="20"/>
              </w:rPr>
              <w:t xml:space="preserve"> </w:t>
            </w:r>
            <w:r>
              <w:rPr>
                <w:sz w:val="20"/>
              </w:rPr>
              <w:t>change</w:t>
            </w:r>
            <w:r>
              <w:rPr>
                <w:spacing w:val="-4"/>
                <w:sz w:val="20"/>
              </w:rPr>
              <w:t xml:space="preserve"> </w:t>
            </w:r>
            <w:r>
              <w:rPr>
                <w:sz w:val="20"/>
              </w:rPr>
              <w:t>is</w:t>
            </w:r>
            <w:r>
              <w:rPr>
                <w:spacing w:val="-4"/>
                <w:sz w:val="20"/>
              </w:rPr>
              <w:t xml:space="preserve"> </w:t>
            </w:r>
            <w:r>
              <w:rPr>
                <w:sz w:val="20"/>
              </w:rPr>
              <w:t>to</w:t>
            </w:r>
            <w:r>
              <w:rPr>
                <w:spacing w:val="-3"/>
                <w:sz w:val="20"/>
              </w:rPr>
              <w:t xml:space="preserve"> </w:t>
            </w:r>
            <w:r>
              <w:rPr>
                <w:sz w:val="20"/>
              </w:rPr>
              <w:t>raise their level of concern and awareness of the risk associated with their current substance use behaviors.</w:t>
            </w:r>
          </w:p>
          <w:p w14:paraId="1989A927" w14:textId="77777777" w:rsidR="00DB6E1F" w:rsidRDefault="00F666A6">
            <w:pPr>
              <w:pStyle w:val="TableParagraph"/>
              <w:numPr>
                <w:ilvl w:val="0"/>
                <w:numId w:val="71"/>
              </w:numPr>
              <w:tabs>
                <w:tab w:val="left" w:pos="467"/>
                <w:tab w:val="left" w:pos="468"/>
              </w:tabs>
              <w:spacing w:before="39"/>
              <w:ind w:hanging="361"/>
              <w:rPr>
                <w:sz w:val="20"/>
              </w:rPr>
            </w:pPr>
            <w:r>
              <w:rPr>
                <w:sz w:val="20"/>
              </w:rPr>
              <w:t>Involving</w:t>
            </w:r>
            <w:r>
              <w:rPr>
                <w:spacing w:val="-7"/>
                <w:sz w:val="20"/>
              </w:rPr>
              <w:t xml:space="preserve"> </w:t>
            </w:r>
            <w:r>
              <w:rPr>
                <w:sz w:val="20"/>
              </w:rPr>
              <w:t>family</w:t>
            </w:r>
            <w:r>
              <w:rPr>
                <w:spacing w:val="-7"/>
                <w:sz w:val="20"/>
              </w:rPr>
              <w:t xml:space="preserve"> </w:t>
            </w:r>
            <w:r>
              <w:rPr>
                <w:sz w:val="20"/>
              </w:rPr>
              <w:t>members</w:t>
            </w:r>
            <w:r>
              <w:rPr>
                <w:spacing w:val="-8"/>
                <w:sz w:val="20"/>
              </w:rPr>
              <w:t xml:space="preserve"> </w:t>
            </w:r>
            <w:r>
              <w:rPr>
                <w:sz w:val="20"/>
              </w:rPr>
              <w:t>and</w:t>
            </w:r>
            <w:r>
              <w:rPr>
                <w:spacing w:val="-6"/>
                <w:sz w:val="20"/>
              </w:rPr>
              <w:t xml:space="preserve"> </w:t>
            </w:r>
            <w:r>
              <w:rPr>
                <w:sz w:val="20"/>
              </w:rPr>
              <w:t>significant</w:t>
            </w:r>
            <w:r>
              <w:rPr>
                <w:spacing w:val="-8"/>
                <w:sz w:val="20"/>
              </w:rPr>
              <w:t xml:space="preserve"> </w:t>
            </w:r>
            <w:r>
              <w:rPr>
                <w:sz w:val="20"/>
              </w:rPr>
              <w:t>others</w:t>
            </w:r>
            <w:r>
              <w:rPr>
                <w:spacing w:val="-8"/>
                <w:sz w:val="20"/>
              </w:rPr>
              <w:t xml:space="preserve"> </w:t>
            </w:r>
            <w:r>
              <w:rPr>
                <w:sz w:val="20"/>
              </w:rPr>
              <w:t>(SOs)</w:t>
            </w:r>
            <w:r>
              <w:rPr>
                <w:spacing w:val="-9"/>
                <w:sz w:val="20"/>
              </w:rPr>
              <w:t xml:space="preserve"> </w:t>
            </w:r>
            <w:r>
              <w:rPr>
                <w:sz w:val="20"/>
              </w:rPr>
              <w:t>can</w:t>
            </w:r>
            <w:r>
              <w:rPr>
                <w:spacing w:val="-7"/>
                <w:sz w:val="20"/>
              </w:rPr>
              <w:t xml:space="preserve"> </w:t>
            </w:r>
            <w:r>
              <w:rPr>
                <w:sz w:val="20"/>
              </w:rPr>
              <w:t>increase</w:t>
            </w:r>
            <w:r>
              <w:rPr>
                <w:spacing w:val="-9"/>
                <w:sz w:val="20"/>
              </w:rPr>
              <w:t xml:space="preserve"> </w:t>
            </w:r>
            <w:r>
              <w:rPr>
                <w:sz w:val="20"/>
              </w:rPr>
              <w:t>clients’</w:t>
            </w:r>
            <w:r>
              <w:rPr>
                <w:spacing w:val="-7"/>
                <w:sz w:val="20"/>
              </w:rPr>
              <w:t xml:space="preserve"> </w:t>
            </w:r>
            <w:r>
              <w:rPr>
                <w:sz w:val="20"/>
              </w:rPr>
              <w:t>concern</w:t>
            </w:r>
            <w:r>
              <w:rPr>
                <w:spacing w:val="-7"/>
                <w:sz w:val="20"/>
              </w:rPr>
              <w:t xml:space="preserve"> </w:t>
            </w:r>
            <w:r>
              <w:rPr>
                <w:sz w:val="20"/>
              </w:rPr>
              <w:t>about</w:t>
            </w:r>
            <w:r>
              <w:rPr>
                <w:spacing w:val="-8"/>
                <w:sz w:val="20"/>
              </w:rPr>
              <w:t xml:space="preserve"> </w:t>
            </w:r>
            <w:r>
              <w:rPr>
                <w:sz w:val="20"/>
              </w:rPr>
              <w:t>substance</w:t>
            </w:r>
            <w:r>
              <w:rPr>
                <w:spacing w:val="-8"/>
                <w:sz w:val="20"/>
              </w:rPr>
              <w:t xml:space="preserve"> </w:t>
            </w:r>
            <w:r>
              <w:rPr>
                <w:spacing w:val="-4"/>
                <w:sz w:val="20"/>
              </w:rPr>
              <w:t>use.</w:t>
            </w:r>
          </w:p>
        </w:tc>
      </w:tr>
    </w:tbl>
    <w:p w14:paraId="76B2435F" w14:textId="77777777" w:rsidR="00DB6E1F" w:rsidRDefault="00F666A6">
      <w:pPr>
        <w:pStyle w:val="BodyText"/>
        <w:spacing w:before="160"/>
        <w:ind w:left="1439" w:right="1491"/>
      </w:pPr>
      <w:r>
        <w:t>Chapter</w:t>
      </w:r>
      <w:r>
        <w:rPr>
          <w:spacing w:val="-3"/>
        </w:rPr>
        <w:t xml:space="preserve"> </w:t>
      </w:r>
      <w:r>
        <w:t>4</w:t>
      </w:r>
      <w:r>
        <w:rPr>
          <w:spacing w:val="-4"/>
        </w:rPr>
        <w:t xml:space="preserve"> </w:t>
      </w:r>
      <w:r>
        <w:t>discusses</w:t>
      </w:r>
      <w:r>
        <w:rPr>
          <w:spacing w:val="-2"/>
        </w:rPr>
        <w:t xml:space="preserve"> </w:t>
      </w:r>
      <w:r>
        <w:t>strategies</w:t>
      </w:r>
      <w:r>
        <w:rPr>
          <w:spacing w:val="-3"/>
        </w:rPr>
        <w:t xml:space="preserve"> </w:t>
      </w:r>
      <w:r>
        <w:t>you</w:t>
      </w:r>
      <w:r>
        <w:rPr>
          <w:spacing w:val="-4"/>
        </w:rPr>
        <w:t xml:space="preserve"> </w:t>
      </w:r>
      <w:r>
        <w:t>can</w:t>
      </w:r>
      <w:r>
        <w:rPr>
          <w:spacing w:val="-4"/>
        </w:rPr>
        <w:t xml:space="preserve"> </w:t>
      </w:r>
      <w:r>
        <w:t>u</w:t>
      </w:r>
      <w:r>
        <w:t>se</w:t>
      </w:r>
      <w:r>
        <w:rPr>
          <w:spacing w:val="-2"/>
        </w:rPr>
        <w:t xml:space="preserve"> </w:t>
      </w:r>
      <w:r>
        <w:t>to</w:t>
      </w:r>
      <w:r>
        <w:rPr>
          <w:spacing w:val="-2"/>
        </w:rPr>
        <w:t xml:space="preserve"> </w:t>
      </w:r>
      <w:r>
        <w:t>help</w:t>
      </w:r>
      <w:r>
        <w:rPr>
          <w:spacing w:val="-4"/>
        </w:rPr>
        <w:t xml:space="preserve"> </w:t>
      </w:r>
      <w:r>
        <w:t>clients</w:t>
      </w:r>
      <w:r>
        <w:rPr>
          <w:spacing w:val="-3"/>
        </w:rPr>
        <w:t xml:space="preserve"> </w:t>
      </w:r>
      <w:r>
        <w:t>raise</w:t>
      </w:r>
      <w:r>
        <w:rPr>
          <w:spacing w:val="-2"/>
        </w:rPr>
        <w:t xml:space="preserve"> </w:t>
      </w:r>
      <w:r>
        <w:t>doubt</w:t>
      </w:r>
      <w:r>
        <w:rPr>
          <w:spacing w:val="-3"/>
        </w:rPr>
        <w:t xml:space="preserve"> </w:t>
      </w:r>
      <w:r>
        <w:t>and</w:t>
      </w:r>
      <w:r>
        <w:rPr>
          <w:spacing w:val="-4"/>
        </w:rPr>
        <w:t xml:space="preserve"> </w:t>
      </w:r>
      <w:r>
        <w:t>concern</w:t>
      </w:r>
      <w:r>
        <w:rPr>
          <w:spacing w:val="-4"/>
        </w:rPr>
        <w:t xml:space="preserve"> </w:t>
      </w:r>
      <w:r>
        <w:t>about</w:t>
      </w:r>
      <w:r>
        <w:rPr>
          <w:spacing w:val="-3"/>
        </w:rPr>
        <w:t xml:space="preserve"> </w:t>
      </w:r>
      <w:r>
        <w:t>their</w:t>
      </w:r>
      <w:r>
        <w:rPr>
          <w:spacing w:val="-3"/>
        </w:rPr>
        <w:t xml:space="preserve"> </w:t>
      </w:r>
      <w:r>
        <w:t>substance use and related health, social, emotional, mental, financial, and legal problems. It highlights areas of focus and key counseling strategies that will help clients move from the Precontemplat</w:t>
      </w:r>
      <w:r>
        <w:t>ion stage to Contemplation. This chapter also addresses issues that may arise for clients mandated to treatment.</w:t>
      </w:r>
    </w:p>
    <w:p w14:paraId="2FCF7DFC" w14:textId="77777777" w:rsidR="00DB6E1F" w:rsidRDefault="00F666A6">
      <w:pPr>
        <w:pStyle w:val="BodyText"/>
        <w:spacing w:before="159"/>
        <w:ind w:left="1439" w:right="1528"/>
        <w:jc w:val="both"/>
      </w:pPr>
      <w:r>
        <w:t>In</w:t>
      </w:r>
      <w:r>
        <w:rPr>
          <w:spacing w:val="-3"/>
        </w:rPr>
        <w:t xml:space="preserve"> </w:t>
      </w:r>
      <w:r>
        <w:t>the</w:t>
      </w:r>
      <w:r>
        <w:rPr>
          <w:spacing w:val="-2"/>
        </w:rPr>
        <w:t xml:space="preserve"> </w:t>
      </w:r>
      <w:r>
        <w:t>Stages</w:t>
      </w:r>
      <w:r>
        <w:rPr>
          <w:spacing w:val="-4"/>
        </w:rPr>
        <w:t xml:space="preserve"> </w:t>
      </w:r>
      <w:r>
        <w:t>of</w:t>
      </w:r>
      <w:r>
        <w:rPr>
          <w:spacing w:val="-4"/>
        </w:rPr>
        <w:t xml:space="preserve"> </w:t>
      </w:r>
      <w:r>
        <w:t>Change</w:t>
      </w:r>
      <w:r>
        <w:rPr>
          <w:spacing w:val="-1"/>
        </w:rPr>
        <w:t xml:space="preserve"> </w:t>
      </w:r>
      <w:r>
        <w:t>(SOC)</w:t>
      </w:r>
      <w:r>
        <w:rPr>
          <w:spacing w:val="-4"/>
        </w:rPr>
        <w:t xml:space="preserve"> </w:t>
      </w:r>
      <w:r>
        <w:t>model,</w:t>
      </w:r>
      <w:r>
        <w:rPr>
          <w:spacing w:val="-2"/>
        </w:rPr>
        <w:t xml:space="preserve"> </w:t>
      </w:r>
      <w:r>
        <w:t>clients</w:t>
      </w:r>
      <w:r>
        <w:rPr>
          <w:spacing w:val="-2"/>
        </w:rPr>
        <w:t xml:space="preserve"> </w:t>
      </w:r>
      <w:r>
        <w:t>who</w:t>
      </w:r>
      <w:r>
        <w:rPr>
          <w:spacing w:val="-1"/>
        </w:rPr>
        <w:t xml:space="preserve"> </w:t>
      </w:r>
      <w:r>
        <w:t>are</w:t>
      </w:r>
      <w:r>
        <w:rPr>
          <w:spacing w:val="-4"/>
        </w:rPr>
        <w:t xml:space="preserve"> </w:t>
      </w:r>
      <w:r>
        <w:t>unconcerned</w:t>
      </w:r>
      <w:r>
        <w:rPr>
          <w:spacing w:val="-3"/>
        </w:rPr>
        <w:t xml:space="preserve"> </w:t>
      </w:r>
      <w:r>
        <w:t>about</w:t>
      </w:r>
      <w:r>
        <w:rPr>
          <w:spacing w:val="-4"/>
        </w:rPr>
        <w:t xml:space="preserve"> </w:t>
      </w:r>
      <w:r>
        <w:t>their</w:t>
      </w:r>
      <w:r>
        <w:rPr>
          <w:spacing w:val="-5"/>
        </w:rPr>
        <w:t xml:space="preserve"> </w:t>
      </w:r>
      <w:r>
        <w:t>current</w:t>
      </w:r>
      <w:r>
        <w:rPr>
          <w:spacing w:val="-2"/>
        </w:rPr>
        <w:t xml:space="preserve"> </w:t>
      </w:r>
      <w:r>
        <w:t>substance</w:t>
      </w:r>
      <w:r>
        <w:rPr>
          <w:spacing w:val="-1"/>
        </w:rPr>
        <w:t xml:space="preserve"> </w:t>
      </w:r>
      <w:r>
        <w:t>use</w:t>
      </w:r>
      <w:r>
        <w:rPr>
          <w:spacing w:val="-3"/>
        </w:rPr>
        <w:t xml:space="preserve"> </w:t>
      </w:r>
      <w:r>
        <w:t>or may</w:t>
      </w:r>
      <w:r>
        <w:rPr>
          <w:spacing w:val="-1"/>
        </w:rPr>
        <w:t xml:space="preserve"> </w:t>
      </w:r>
      <w:r>
        <w:t>be concerned</w:t>
      </w:r>
      <w:r>
        <w:rPr>
          <w:spacing w:val="-1"/>
        </w:rPr>
        <w:t xml:space="preserve"> </w:t>
      </w:r>
      <w:r>
        <w:t>but aren’t considering</w:t>
      </w:r>
      <w:r>
        <w:rPr>
          <w:spacing w:val="-1"/>
        </w:rPr>
        <w:t xml:space="preserve"> </w:t>
      </w:r>
      <w:r>
        <w:t>change are</w:t>
      </w:r>
      <w:r>
        <w:rPr>
          <w:spacing w:val="-2"/>
        </w:rPr>
        <w:t xml:space="preserve"> </w:t>
      </w:r>
      <w:r>
        <w:t>in Precontemplation. They</w:t>
      </w:r>
      <w:r>
        <w:rPr>
          <w:spacing w:val="-1"/>
        </w:rPr>
        <w:t xml:space="preserve"> </w:t>
      </w:r>
      <w:r>
        <w:t>may</w:t>
      </w:r>
      <w:r>
        <w:rPr>
          <w:spacing w:val="-1"/>
        </w:rPr>
        <w:t xml:space="preserve"> </w:t>
      </w:r>
      <w:r>
        <w:t>remain</w:t>
      </w:r>
      <w:r>
        <w:rPr>
          <w:spacing w:val="-1"/>
        </w:rPr>
        <w:t xml:space="preserve"> </w:t>
      </w:r>
      <w:r>
        <w:t>there</w:t>
      </w:r>
      <w:r>
        <w:rPr>
          <w:spacing w:val="-2"/>
        </w:rPr>
        <w:t xml:space="preserve"> </w:t>
      </w:r>
      <w:r>
        <w:t>or in the early Contemplation stage for years, rarely or possibly never thinking about change.</w:t>
      </w:r>
    </w:p>
    <w:p w14:paraId="46210ABB" w14:textId="77777777" w:rsidR="00DB6E1F" w:rsidRDefault="00F666A6">
      <w:pPr>
        <w:spacing w:before="159"/>
        <w:ind w:left="1438" w:right="1491"/>
      </w:pPr>
      <w:r>
        <w:rPr>
          <w:b/>
        </w:rPr>
        <w:t>You can take advantage of many opportunities and scenarios to help someone who is mi</w:t>
      </w:r>
      <w:r>
        <w:rPr>
          <w:b/>
        </w:rPr>
        <w:t>susing substances</w:t>
      </w:r>
      <w:r>
        <w:rPr>
          <w:b/>
          <w:spacing w:val="-5"/>
        </w:rPr>
        <w:t xml:space="preserve"> </w:t>
      </w:r>
      <w:r>
        <w:rPr>
          <w:b/>
        </w:rPr>
        <w:t>start</w:t>
      </w:r>
      <w:r>
        <w:rPr>
          <w:b/>
          <w:spacing w:val="-5"/>
        </w:rPr>
        <w:t xml:space="preserve"> </w:t>
      </w:r>
      <w:r>
        <w:rPr>
          <w:b/>
        </w:rPr>
        <w:t>on</w:t>
      </w:r>
      <w:r>
        <w:rPr>
          <w:b/>
          <w:spacing w:val="-4"/>
        </w:rPr>
        <w:t xml:space="preserve"> </w:t>
      </w:r>
      <w:r>
        <w:rPr>
          <w:b/>
        </w:rPr>
        <w:t>a</w:t>
      </w:r>
      <w:r>
        <w:rPr>
          <w:b/>
          <w:spacing w:val="-4"/>
        </w:rPr>
        <w:t xml:space="preserve"> </w:t>
      </w:r>
      <w:r>
        <w:rPr>
          <w:b/>
        </w:rPr>
        <w:t>journey</w:t>
      </w:r>
      <w:r>
        <w:rPr>
          <w:b/>
          <w:spacing w:val="-2"/>
        </w:rPr>
        <w:t xml:space="preserve"> </w:t>
      </w:r>
      <w:r>
        <w:rPr>
          <w:b/>
        </w:rPr>
        <w:t>toward</w:t>
      </w:r>
      <w:r>
        <w:rPr>
          <w:b/>
          <w:spacing w:val="-6"/>
        </w:rPr>
        <w:t xml:space="preserve"> </w:t>
      </w:r>
      <w:r>
        <w:rPr>
          <w:b/>
        </w:rPr>
        <w:t>change</w:t>
      </w:r>
      <w:r>
        <w:t>—to</w:t>
      </w:r>
      <w:r>
        <w:rPr>
          <w:spacing w:val="-4"/>
        </w:rPr>
        <w:t xml:space="preserve"> </w:t>
      </w:r>
      <w:r>
        <w:t>move</w:t>
      </w:r>
      <w:r>
        <w:rPr>
          <w:spacing w:val="-2"/>
        </w:rPr>
        <w:t xml:space="preserve"> </w:t>
      </w:r>
      <w:r>
        <w:t>from</w:t>
      </w:r>
      <w:r>
        <w:rPr>
          <w:spacing w:val="-4"/>
        </w:rPr>
        <w:t xml:space="preserve"> </w:t>
      </w:r>
      <w:r>
        <w:t>Precontemplation</w:t>
      </w:r>
      <w:r>
        <w:rPr>
          <w:spacing w:val="-4"/>
        </w:rPr>
        <w:t xml:space="preserve"> </w:t>
      </w:r>
      <w:r>
        <w:t>to</w:t>
      </w:r>
      <w:r>
        <w:rPr>
          <w:spacing w:val="-2"/>
        </w:rPr>
        <w:t xml:space="preserve"> </w:t>
      </w:r>
      <w:r>
        <w:t>Contemplation.</w:t>
      </w:r>
      <w:r>
        <w:rPr>
          <w:spacing w:val="-3"/>
        </w:rPr>
        <w:t xml:space="preserve"> </w:t>
      </w:r>
      <w:r>
        <w:t>A client in Precontemplation is often moved to enter the cycle of change by extrinsic sources of motivation. The following situations might lead a person who is misusing a substance to treatment:</w:t>
      </w:r>
    </w:p>
    <w:p w14:paraId="7CA58E22" w14:textId="77777777" w:rsidR="00DB6E1F" w:rsidRDefault="00F666A6">
      <w:pPr>
        <w:pStyle w:val="ListParagraph"/>
        <w:numPr>
          <w:ilvl w:val="0"/>
          <w:numId w:val="92"/>
        </w:numPr>
        <w:tabs>
          <w:tab w:val="left" w:pos="1798"/>
          <w:tab w:val="left" w:pos="1800"/>
        </w:tabs>
        <w:spacing w:before="61"/>
        <w:ind w:left="1799" w:hanging="362"/>
        <w:rPr>
          <w:rFonts w:ascii="Symbol" w:hAnsi="Symbol"/>
        </w:rPr>
      </w:pPr>
      <w:r>
        <w:t>A</w:t>
      </w:r>
      <w:r>
        <w:rPr>
          <w:spacing w:val="-4"/>
        </w:rPr>
        <w:t xml:space="preserve"> </w:t>
      </w:r>
      <w:r>
        <w:t>college</w:t>
      </w:r>
      <w:r>
        <w:rPr>
          <w:spacing w:val="-3"/>
        </w:rPr>
        <w:t xml:space="preserve"> </w:t>
      </w:r>
      <w:r>
        <w:t>coach</w:t>
      </w:r>
      <w:r>
        <w:rPr>
          <w:spacing w:val="-5"/>
        </w:rPr>
        <w:t xml:space="preserve"> </w:t>
      </w:r>
      <w:r>
        <w:t>refers</w:t>
      </w:r>
      <w:r>
        <w:rPr>
          <w:spacing w:val="-6"/>
        </w:rPr>
        <w:t xml:space="preserve"> </w:t>
      </w:r>
      <w:r>
        <w:t>an</w:t>
      </w:r>
      <w:r>
        <w:rPr>
          <w:spacing w:val="-4"/>
        </w:rPr>
        <w:t xml:space="preserve"> </w:t>
      </w:r>
      <w:r>
        <w:t>athlete</w:t>
      </w:r>
      <w:r>
        <w:rPr>
          <w:spacing w:val="-3"/>
        </w:rPr>
        <w:t xml:space="preserve"> </w:t>
      </w:r>
      <w:r>
        <w:t>for</w:t>
      </w:r>
      <w:r>
        <w:rPr>
          <w:spacing w:val="-6"/>
        </w:rPr>
        <w:t xml:space="preserve"> </w:t>
      </w:r>
      <w:r>
        <w:t>treatment</w:t>
      </w:r>
      <w:r>
        <w:rPr>
          <w:spacing w:val="-3"/>
        </w:rPr>
        <w:t xml:space="preserve"> </w:t>
      </w:r>
      <w:r>
        <w:t>after</w:t>
      </w:r>
      <w:r>
        <w:rPr>
          <w:spacing w:val="-4"/>
        </w:rPr>
        <w:t xml:space="preserve"> </w:t>
      </w:r>
      <w:r>
        <w:t>he</w:t>
      </w:r>
      <w:r>
        <w:rPr>
          <w:spacing w:val="-2"/>
        </w:rPr>
        <w:t xml:space="preserve"> </w:t>
      </w:r>
      <w:r>
        <w:t>tes</w:t>
      </w:r>
      <w:r>
        <w:t>ts</w:t>
      </w:r>
      <w:r>
        <w:rPr>
          <w:spacing w:val="-4"/>
        </w:rPr>
        <w:t xml:space="preserve"> </w:t>
      </w:r>
      <w:r>
        <w:t>positive</w:t>
      </w:r>
      <w:r>
        <w:rPr>
          <w:spacing w:val="-3"/>
        </w:rPr>
        <w:t xml:space="preserve"> </w:t>
      </w:r>
      <w:r>
        <w:t>for</w:t>
      </w:r>
      <w:r>
        <w:rPr>
          <w:spacing w:val="-6"/>
        </w:rPr>
        <w:t xml:space="preserve"> </w:t>
      </w:r>
      <w:r>
        <w:t>cocaine</w:t>
      </w:r>
      <w:r>
        <w:rPr>
          <w:spacing w:val="-5"/>
        </w:rPr>
        <w:t xml:space="preserve"> </w:t>
      </w:r>
      <w:r>
        <w:rPr>
          <w:spacing w:val="-4"/>
        </w:rPr>
        <w:t>use.</w:t>
      </w:r>
    </w:p>
    <w:p w14:paraId="764AA543" w14:textId="77777777" w:rsidR="00DB6E1F" w:rsidRDefault="00F666A6">
      <w:pPr>
        <w:pStyle w:val="ListParagraph"/>
        <w:numPr>
          <w:ilvl w:val="0"/>
          <w:numId w:val="92"/>
        </w:numPr>
        <w:tabs>
          <w:tab w:val="left" w:pos="1798"/>
          <w:tab w:val="left" w:pos="1800"/>
        </w:tabs>
        <w:spacing w:before="61"/>
        <w:ind w:left="1799" w:hanging="362"/>
        <w:rPr>
          <w:rFonts w:ascii="Symbol" w:hAnsi="Symbol"/>
        </w:rPr>
      </w:pPr>
      <w:r>
        <w:rPr>
          <w:spacing w:val="-4"/>
        </w:rPr>
        <w:t>A</w:t>
      </w:r>
      <w:r>
        <w:t xml:space="preserve"> </w:t>
      </w:r>
      <w:r>
        <w:rPr>
          <w:spacing w:val="-4"/>
        </w:rPr>
        <w:t>wife</w:t>
      </w:r>
      <w:r>
        <w:rPr>
          <w:spacing w:val="-9"/>
        </w:rPr>
        <w:t xml:space="preserve"> </w:t>
      </w:r>
      <w:r>
        <w:rPr>
          <w:spacing w:val="-4"/>
        </w:rPr>
        <w:t>worries</w:t>
      </w:r>
      <w:r>
        <w:rPr>
          <w:spacing w:val="-9"/>
        </w:rPr>
        <w:t xml:space="preserve"> </w:t>
      </w:r>
      <w:r>
        <w:rPr>
          <w:spacing w:val="-4"/>
        </w:rPr>
        <w:t>about</w:t>
      </w:r>
      <w:r>
        <w:rPr>
          <w:spacing w:val="-7"/>
        </w:rPr>
        <w:t xml:space="preserve"> </w:t>
      </w:r>
      <w:r>
        <w:rPr>
          <w:spacing w:val="-4"/>
        </w:rPr>
        <w:t>her</w:t>
      </w:r>
      <w:r>
        <w:rPr>
          <w:spacing w:val="-10"/>
        </w:rPr>
        <w:t xml:space="preserve"> </w:t>
      </w:r>
      <w:r>
        <w:rPr>
          <w:spacing w:val="-4"/>
        </w:rPr>
        <w:t>husband’s</w:t>
      </w:r>
      <w:r>
        <w:rPr>
          <w:spacing w:val="-7"/>
        </w:rPr>
        <w:t xml:space="preserve"> </w:t>
      </w:r>
      <w:r>
        <w:rPr>
          <w:spacing w:val="-4"/>
        </w:rPr>
        <w:t>drinking</w:t>
      </w:r>
      <w:r>
        <w:rPr>
          <w:spacing w:val="-8"/>
        </w:rPr>
        <w:t xml:space="preserve"> </w:t>
      </w:r>
      <w:r>
        <w:rPr>
          <w:spacing w:val="-4"/>
        </w:rPr>
        <w:t>and</w:t>
      </w:r>
      <w:r>
        <w:rPr>
          <w:spacing w:val="-9"/>
        </w:rPr>
        <w:t xml:space="preserve"> </w:t>
      </w:r>
      <w:r>
        <w:rPr>
          <w:spacing w:val="-4"/>
        </w:rPr>
        <w:t>insists</w:t>
      </w:r>
      <w:r>
        <w:rPr>
          <w:spacing w:val="-7"/>
        </w:rPr>
        <w:t xml:space="preserve"> </w:t>
      </w:r>
      <w:r>
        <w:rPr>
          <w:spacing w:val="-4"/>
        </w:rPr>
        <w:t>she’ll</w:t>
      </w:r>
      <w:r>
        <w:rPr>
          <w:spacing w:val="-10"/>
        </w:rPr>
        <w:t xml:space="preserve"> </w:t>
      </w:r>
      <w:r>
        <w:rPr>
          <w:spacing w:val="-4"/>
        </w:rPr>
        <w:t>file</w:t>
      </w:r>
      <w:r>
        <w:rPr>
          <w:spacing w:val="-9"/>
        </w:rPr>
        <w:t xml:space="preserve"> </w:t>
      </w:r>
      <w:r>
        <w:rPr>
          <w:spacing w:val="-4"/>
        </w:rPr>
        <w:t>for</w:t>
      </w:r>
      <w:r>
        <w:rPr>
          <w:spacing w:val="-7"/>
        </w:rPr>
        <w:t xml:space="preserve"> </w:t>
      </w:r>
      <w:r>
        <w:rPr>
          <w:spacing w:val="-4"/>
        </w:rPr>
        <w:t>divorce</w:t>
      </w:r>
      <w:r>
        <w:rPr>
          <w:spacing w:val="-9"/>
        </w:rPr>
        <w:t xml:space="preserve"> </w:t>
      </w:r>
      <w:r>
        <w:rPr>
          <w:spacing w:val="-4"/>
        </w:rPr>
        <w:t>unless</w:t>
      </w:r>
      <w:r>
        <w:rPr>
          <w:spacing w:val="-7"/>
        </w:rPr>
        <w:t xml:space="preserve"> </w:t>
      </w:r>
      <w:r>
        <w:rPr>
          <w:spacing w:val="-4"/>
        </w:rPr>
        <w:t>he</w:t>
      </w:r>
      <w:r>
        <w:rPr>
          <w:spacing w:val="-8"/>
        </w:rPr>
        <w:t xml:space="preserve"> </w:t>
      </w:r>
      <w:r>
        <w:rPr>
          <w:spacing w:val="-4"/>
        </w:rPr>
        <w:t>gets</w:t>
      </w:r>
      <w:r>
        <w:rPr>
          <w:spacing w:val="-8"/>
        </w:rPr>
        <w:t xml:space="preserve"> </w:t>
      </w:r>
      <w:r>
        <w:rPr>
          <w:spacing w:val="-4"/>
        </w:rPr>
        <w:t>treatment.</w:t>
      </w:r>
    </w:p>
    <w:p w14:paraId="28B2DF5F" w14:textId="77777777" w:rsidR="00DB6E1F" w:rsidRDefault="00F666A6">
      <w:pPr>
        <w:pStyle w:val="ListParagraph"/>
        <w:numPr>
          <w:ilvl w:val="0"/>
          <w:numId w:val="92"/>
        </w:numPr>
        <w:tabs>
          <w:tab w:val="left" w:pos="1799"/>
          <w:tab w:val="left" w:pos="1800"/>
        </w:tabs>
        <w:ind w:left="1799"/>
        <w:rPr>
          <w:rFonts w:ascii="Symbol" w:hAnsi="Symbol"/>
        </w:rPr>
      </w:pPr>
      <w:r>
        <w:t>A</w:t>
      </w:r>
      <w:r>
        <w:rPr>
          <w:spacing w:val="-5"/>
        </w:rPr>
        <w:t xml:space="preserve"> </w:t>
      </w:r>
      <w:r>
        <w:t>tenant</w:t>
      </w:r>
      <w:r>
        <w:rPr>
          <w:spacing w:val="-2"/>
        </w:rPr>
        <w:t xml:space="preserve"> </w:t>
      </w:r>
      <w:r>
        <w:t>is</w:t>
      </w:r>
      <w:r>
        <w:rPr>
          <w:spacing w:val="-5"/>
        </w:rPr>
        <w:t xml:space="preserve"> </w:t>
      </w:r>
      <w:r>
        <w:t>displaced</w:t>
      </w:r>
      <w:r>
        <w:rPr>
          <w:spacing w:val="-4"/>
        </w:rPr>
        <w:t xml:space="preserve"> </w:t>
      </w:r>
      <w:r>
        <w:t>from</w:t>
      </w:r>
      <w:r>
        <w:rPr>
          <w:spacing w:val="-4"/>
        </w:rPr>
        <w:t xml:space="preserve"> </w:t>
      </w:r>
      <w:r>
        <w:t>a</w:t>
      </w:r>
      <w:r>
        <w:rPr>
          <w:spacing w:val="-4"/>
        </w:rPr>
        <w:t xml:space="preserve"> </w:t>
      </w:r>
      <w:r>
        <w:t>federal</w:t>
      </w:r>
      <w:r>
        <w:rPr>
          <w:spacing w:val="-3"/>
        </w:rPr>
        <w:t xml:space="preserve"> </w:t>
      </w:r>
      <w:r>
        <w:t>housing</w:t>
      </w:r>
      <w:r>
        <w:rPr>
          <w:spacing w:val="-3"/>
        </w:rPr>
        <w:t xml:space="preserve"> </w:t>
      </w:r>
      <w:r>
        <w:t>project</w:t>
      </w:r>
      <w:r>
        <w:rPr>
          <w:spacing w:val="-5"/>
        </w:rPr>
        <w:t xml:space="preserve"> </w:t>
      </w:r>
      <w:r>
        <w:t>because</w:t>
      </w:r>
      <w:r>
        <w:rPr>
          <w:spacing w:val="-5"/>
        </w:rPr>
        <w:t xml:space="preserve"> </w:t>
      </w:r>
      <w:r>
        <w:t>of</w:t>
      </w:r>
      <w:r>
        <w:rPr>
          <w:spacing w:val="-3"/>
        </w:rPr>
        <w:t xml:space="preserve"> </w:t>
      </w:r>
      <w:r>
        <w:t>his</w:t>
      </w:r>
      <w:r>
        <w:rPr>
          <w:spacing w:val="-5"/>
        </w:rPr>
        <w:t xml:space="preserve"> </w:t>
      </w:r>
      <w:r>
        <w:t>substance</w:t>
      </w:r>
      <w:r>
        <w:rPr>
          <w:spacing w:val="-4"/>
        </w:rPr>
        <w:t xml:space="preserve"> use.</w:t>
      </w:r>
    </w:p>
    <w:p w14:paraId="713005DE" w14:textId="77777777" w:rsidR="00DB6E1F" w:rsidRDefault="00F666A6">
      <w:pPr>
        <w:pStyle w:val="ListParagraph"/>
        <w:numPr>
          <w:ilvl w:val="0"/>
          <w:numId w:val="92"/>
        </w:numPr>
        <w:tabs>
          <w:tab w:val="left" w:pos="1799"/>
          <w:tab w:val="left" w:pos="1800"/>
        </w:tabs>
        <w:spacing w:before="58"/>
        <w:ind w:left="1799"/>
        <w:rPr>
          <w:rFonts w:ascii="Symbol" w:hAnsi="Symbol"/>
        </w:rPr>
      </w:pPr>
      <w:r>
        <w:t>A</w:t>
      </w:r>
      <w:r>
        <w:rPr>
          <w:spacing w:val="-6"/>
        </w:rPr>
        <w:t xml:space="preserve"> </w:t>
      </w:r>
      <w:r>
        <w:t>driver</w:t>
      </w:r>
      <w:r>
        <w:rPr>
          <w:spacing w:val="-3"/>
        </w:rPr>
        <w:t xml:space="preserve"> </w:t>
      </w:r>
      <w:r>
        <w:t>is</w:t>
      </w:r>
      <w:r>
        <w:rPr>
          <w:spacing w:val="-5"/>
        </w:rPr>
        <w:t xml:space="preserve"> </w:t>
      </w:r>
      <w:r>
        <w:t>referred</w:t>
      </w:r>
      <w:r>
        <w:rPr>
          <w:spacing w:val="-4"/>
        </w:rPr>
        <w:t xml:space="preserve"> </w:t>
      </w:r>
      <w:r>
        <w:t>for</w:t>
      </w:r>
      <w:r>
        <w:rPr>
          <w:spacing w:val="-3"/>
        </w:rPr>
        <w:t xml:space="preserve"> </w:t>
      </w:r>
      <w:r>
        <w:t>treatment</w:t>
      </w:r>
      <w:r>
        <w:rPr>
          <w:spacing w:val="-2"/>
        </w:rPr>
        <w:t xml:space="preserve"> </w:t>
      </w:r>
      <w:r>
        <w:t>by</w:t>
      </w:r>
      <w:r>
        <w:rPr>
          <w:spacing w:val="-4"/>
        </w:rPr>
        <w:t xml:space="preserve"> </w:t>
      </w:r>
      <w:r>
        <w:t>the</w:t>
      </w:r>
      <w:r>
        <w:rPr>
          <w:spacing w:val="-2"/>
        </w:rPr>
        <w:t xml:space="preserve"> </w:t>
      </w:r>
      <w:r>
        <w:t>court</w:t>
      </w:r>
      <w:r>
        <w:rPr>
          <w:spacing w:val="-5"/>
        </w:rPr>
        <w:t xml:space="preserve"> </w:t>
      </w:r>
      <w:r>
        <w:t>for</w:t>
      </w:r>
      <w:r>
        <w:rPr>
          <w:spacing w:val="-5"/>
        </w:rPr>
        <w:t xml:space="preserve"> </w:t>
      </w:r>
      <w:r>
        <w:t>driving</w:t>
      </w:r>
      <w:r>
        <w:rPr>
          <w:spacing w:val="-4"/>
        </w:rPr>
        <w:t xml:space="preserve"> </w:t>
      </w:r>
      <w:r>
        <w:t>while</w:t>
      </w:r>
      <w:r>
        <w:rPr>
          <w:spacing w:val="-2"/>
        </w:rPr>
        <w:t xml:space="preserve"> intoxicated.</w:t>
      </w:r>
    </w:p>
    <w:p w14:paraId="5A5E04FE" w14:textId="77777777" w:rsidR="00DB6E1F" w:rsidRDefault="00F666A6">
      <w:pPr>
        <w:pStyle w:val="ListParagraph"/>
        <w:numPr>
          <w:ilvl w:val="0"/>
          <w:numId w:val="92"/>
        </w:numPr>
        <w:tabs>
          <w:tab w:val="left" w:pos="1799"/>
          <w:tab w:val="left" w:pos="1800"/>
        </w:tabs>
        <w:spacing w:before="61"/>
        <w:ind w:left="1799"/>
        <w:rPr>
          <w:rFonts w:ascii="Symbol" w:hAnsi="Symbol"/>
        </w:rPr>
      </w:pPr>
      <w:r>
        <w:t>A</w:t>
      </w:r>
      <w:r>
        <w:rPr>
          <w:spacing w:val="-6"/>
        </w:rPr>
        <w:t xml:space="preserve"> </w:t>
      </w:r>
      <w:r>
        <w:t>woman</w:t>
      </w:r>
      <w:r>
        <w:rPr>
          <w:spacing w:val="-6"/>
        </w:rPr>
        <w:t xml:space="preserve"> </w:t>
      </w:r>
      <w:r>
        <w:t>tests</w:t>
      </w:r>
      <w:r>
        <w:rPr>
          <w:spacing w:val="-3"/>
        </w:rPr>
        <w:t xml:space="preserve"> </w:t>
      </w:r>
      <w:r>
        <w:t>positive</w:t>
      </w:r>
      <w:r>
        <w:rPr>
          <w:spacing w:val="-2"/>
        </w:rPr>
        <w:t xml:space="preserve"> </w:t>
      </w:r>
      <w:r>
        <w:t>for</w:t>
      </w:r>
      <w:r>
        <w:rPr>
          <w:spacing w:val="-5"/>
        </w:rPr>
        <w:t xml:space="preserve"> </w:t>
      </w:r>
      <w:r>
        <w:t>substances</w:t>
      </w:r>
      <w:r>
        <w:rPr>
          <w:spacing w:val="-4"/>
        </w:rPr>
        <w:t xml:space="preserve"> </w:t>
      </w:r>
      <w:r>
        <w:t>during</w:t>
      </w:r>
      <w:r>
        <w:rPr>
          <w:spacing w:val="-4"/>
        </w:rPr>
        <w:t xml:space="preserve"> </w:t>
      </w:r>
      <w:r>
        <w:t>a</w:t>
      </w:r>
      <w:r>
        <w:rPr>
          <w:spacing w:val="-3"/>
        </w:rPr>
        <w:t xml:space="preserve"> </w:t>
      </w:r>
      <w:r>
        <w:t>prenatal</w:t>
      </w:r>
      <w:r>
        <w:rPr>
          <w:spacing w:val="-3"/>
        </w:rPr>
        <w:t xml:space="preserve"> </w:t>
      </w:r>
      <w:r>
        <w:t>visit</w:t>
      </w:r>
      <w:r>
        <w:rPr>
          <w:spacing w:val="-6"/>
        </w:rPr>
        <w:t xml:space="preserve"> </w:t>
      </w:r>
      <w:r>
        <w:t>to</w:t>
      </w:r>
      <w:r>
        <w:rPr>
          <w:spacing w:val="-2"/>
        </w:rPr>
        <w:t xml:space="preserve"> </w:t>
      </w:r>
      <w:r>
        <w:t>a</w:t>
      </w:r>
      <w:r>
        <w:rPr>
          <w:spacing w:val="-3"/>
        </w:rPr>
        <w:t xml:space="preserve"> </w:t>
      </w:r>
      <w:r>
        <w:t>public</w:t>
      </w:r>
      <w:r>
        <w:rPr>
          <w:spacing w:val="-3"/>
        </w:rPr>
        <w:t xml:space="preserve"> </w:t>
      </w:r>
      <w:r>
        <w:t>health</w:t>
      </w:r>
      <w:r>
        <w:rPr>
          <w:spacing w:val="-4"/>
        </w:rPr>
        <w:t xml:space="preserve"> </w:t>
      </w:r>
      <w:r>
        <w:rPr>
          <w:spacing w:val="-2"/>
        </w:rPr>
        <w:t>clinic.</w:t>
      </w:r>
    </w:p>
    <w:p w14:paraId="63F25B1D" w14:textId="77777777" w:rsidR="00DB6E1F" w:rsidRDefault="00F666A6">
      <w:pPr>
        <w:pStyle w:val="ListParagraph"/>
        <w:numPr>
          <w:ilvl w:val="0"/>
          <w:numId w:val="92"/>
        </w:numPr>
        <w:tabs>
          <w:tab w:val="left" w:pos="1799"/>
          <w:tab w:val="left" w:pos="1800"/>
        </w:tabs>
        <w:ind w:left="1799" w:right="1643"/>
        <w:rPr>
          <w:rFonts w:ascii="Symbol" w:hAnsi="Symbol"/>
        </w:rPr>
      </w:pPr>
      <w:r>
        <w:t>An</w:t>
      </w:r>
      <w:r>
        <w:rPr>
          <w:spacing w:val="-3"/>
        </w:rPr>
        <w:t xml:space="preserve"> </w:t>
      </w:r>
      <w:r>
        <w:t>employer</w:t>
      </w:r>
      <w:r>
        <w:rPr>
          <w:spacing w:val="-3"/>
        </w:rPr>
        <w:t xml:space="preserve"> </w:t>
      </w:r>
      <w:r>
        <w:t>sends</w:t>
      </w:r>
      <w:r>
        <w:rPr>
          <w:spacing w:val="-5"/>
        </w:rPr>
        <w:t xml:space="preserve"> </w:t>
      </w:r>
      <w:r>
        <w:t>an</w:t>
      </w:r>
      <w:r>
        <w:rPr>
          <w:spacing w:val="-4"/>
        </w:rPr>
        <w:t xml:space="preserve"> </w:t>
      </w:r>
      <w:r>
        <w:t>employee</w:t>
      </w:r>
      <w:r>
        <w:rPr>
          <w:spacing w:val="-5"/>
        </w:rPr>
        <w:t xml:space="preserve"> </w:t>
      </w:r>
      <w:r>
        <w:t>whose</w:t>
      </w:r>
      <w:r>
        <w:rPr>
          <w:spacing w:val="-3"/>
        </w:rPr>
        <w:t xml:space="preserve"> </w:t>
      </w:r>
      <w:r>
        <w:t>job</w:t>
      </w:r>
      <w:r>
        <w:rPr>
          <w:spacing w:val="-4"/>
        </w:rPr>
        <w:t xml:space="preserve"> </w:t>
      </w:r>
      <w:r>
        <w:t>performance</w:t>
      </w:r>
      <w:r>
        <w:rPr>
          <w:spacing w:val="-2"/>
        </w:rPr>
        <w:t xml:space="preserve"> </w:t>
      </w:r>
      <w:r>
        <w:t>has</w:t>
      </w:r>
      <w:r>
        <w:rPr>
          <w:spacing w:val="-3"/>
        </w:rPr>
        <w:t xml:space="preserve"> </w:t>
      </w:r>
      <w:r>
        <w:t>declined</w:t>
      </w:r>
      <w:r>
        <w:rPr>
          <w:spacing w:val="-4"/>
        </w:rPr>
        <w:t xml:space="preserve"> </w:t>
      </w:r>
      <w:r>
        <w:t>to</w:t>
      </w:r>
      <w:r>
        <w:rPr>
          <w:spacing w:val="-2"/>
        </w:rPr>
        <w:t xml:space="preserve"> </w:t>
      </w:r>
      <w:r>
        <w:t>the</w:t>
      </w:r>
      <w:r>
        <w:rPr>
          <w:spacing w:val="-2"/>
        </w:rPr>
        <w:t xml:space="preserve"> </w:t>
      </w:r>
      <w:r>
        <w:t>company’s</w:t>
      </w:r>
      <w:r>
        <w:rPr>
          <w:spacing w:val="-5"/>
        </w:rPr>
        <w:t xml:space="preserve"> </w:t>
      </w:r>
      <w:r>
        <w:t>employee assistance program, and the employee is subsequently referred for substance use treatment.</w:t>
      </w:r>
    </w:p>
    <w:p w14:paraId="639E5561" w14:textId="77777777" w:rsidR="00DB6E1F" w:rsidRDefault="00F666A6">
      <w:pPr>
        <w:pStyle w:val="ListParagraph"/>
        <w:numPr>
          <w:ilvl w:val="0"/>
          <w:numId w:val="92"/>
        </w:numPr>
        <w:tabs>
          <w:tab w:val="left" w:pos="1799"/>
          <w:tab w:val="left" w:pos="1800"/>
        </w:tabs>
        <w:spacing w:before="59"/>
        <w:ind w:left="1799" w:right="1612" w:hanging="360"/>
        <w:rPr>
          <w:rFonts w:ascii="Symbol" w:hAnsi="Symbol"/>
        </w:rPr>
      </w:pPr>
      <w:r>
        <w:t>A</w:t>
      </w:r>
      <w:r>
        <w:rPr>
          <w:spacing w:val="-2"/>
        </w:rPr>
        <w:t xml:space="preserve"> </w:t>
      </w:r>
      <w:r>
        <w:t>physician</w:t>
      </w:r>
      <w:r>
        <w:rPr>
          <w:spacing w:val="-3"/>
        </w:rPr>
        <w:t xml:space="preserve"> </w:t>
      </w:r>
      <w:r>
        <w:t>in</w:t>
      </w:r>
      <w:r>
        <w:rPr>
          <w:spacing w:val="-3"/>
        </w:rPr>
        <w:t xml:space="preserve"> </w:t>
      </w:r>
      <w:r>
        <w:t>an</w:t>
      </w:r>
      <w:r>
        <w:rPr>
          <w:spacing w:val="-5"/>
        </w:rPr>
        <w:t xml:space="preserve"> </w:t>
      </w:r>
      <w:r>
        <w:t>emergency</w:t>
      </w:r>
      <w:r>
        <w:rPr>
          <w:spacing w:val="-1"/>
        </w:rPr>
        <w:t xml:space="preserve"> </w:t>
      </w:r>
      <w:r>
        <w:t>department</w:t>
      </w:r>
      <w:r>
        <w:rPr>
          <w:spacing w:val="-1"/>
        </w:rPr>
        <w:t xml:space="preserve"> </w:t>
      </w:r>
      <w:r>
        <w:t>treats</w:t>
      </w:r>
      <w:r>
        <w:rPr>
          <w:spacing w:val="-2"/>
        </w:rPr>
        <w:t xml:space="preserve"> </w:t>
      </w:r>
      <w:r>
        <w:t>a</w:t>
      </w:r>
      <w:r>
        <w:rPr>
          <w:spacing w:val="-4"/>
        </w:rPr>
        <w:t xml:space="preserve"> </w:t>
      </w:r>
      <w:r>
        <w:t>driver</w:t>
      </w:r>
      <w:r>
        <w:rPr>
          <w:spacing w:val="-2"/>
        </w:rPr>
        <w:t xml:space="preserve"> </w:t>
      </w:r>
      <w:r>
        <w:t>involved</w:t>
      </w:r>
      <w:r>
        <w:rPr>
          <w:spacing w:val="-3"/>
        </w:rPr>
        <w:t xml:space="preserve"> </w:t>
      </w:r>
      <w:r>
        <w:t>in</w:t>
      </w:r>
      <w:r>
        <w:rPr>
          <w:spacing w:val="-5"/>
        </w:rPr>
        <w:t xml:space="preserve"> </w:t>
      </w:r>
      <w:r>
        <w:t>a</w:t>
      </w:r>
      <w:r>
        <w:rPr>
          <w:spacing w:val="-2"/>
        </w:rPr>
        <w:t xml:space="preserve"> </w:t>
      </w:r>
      <w:r>
        <w:t>serious</w:t>
      </w:r>
      <w:r>
        <w:rPr>
          <w:spacing w:val="-2"/>
        </w:rPr>
        <w:t xml:space="preserve"> </w:t>
      </w:r>
      <w:r>
        <w:t>automobile</w:t>
      </w:r>
      <w:r>
        <w:rPr>
          <w:spacing w:val="-1"/>
        </w:rPr>
        <w:t xml:space="preserve"> </w:t>
      </w:r>
      <w:r>
        <w:t>crash</w:t>
      </w:r>
      <w:r>
        <w:rPr>
          <w:spacing w:val="-5"/>
        </w:rPr>
        <w:t xml:space="preserve"> </w:t>
      </w:r>
      <w:r>
        <w:t>and discovers alcohol in his system.</w:t>
      </w:r>
    </w:p>
    <w:p w14:paraId="4C3E4F04" w14:textId="77777777" w:rsidR="00DB6E1F" w:rsidRDefault="00F666A6">
      <w:pPr>
        <w:pStyle w:val="ListParagraph"/>
        <w:numPr>
          <w:ilvl w:val="0"/>
          <w:numId w:val="92"/>
        </w:numPr>
        <w:tabs>
          <w:tab w:val="left" w:pos="1799"/>
          <w:tab w:val="left" w:pos="1800"/>
        </w:tabs>
        <w:ind w:left="1799"/>
        <w:rPr>
          <w:rFonts w:ascii="Symbol" w:hAnsi="Symbol"/>
        </w:rPr>
      </w:pPr>
      <w:r>
        <w:t>A</w:t>
      </w:r>
      <w:r>
        <w:rPr>
          <w:spacing w:val="-6"/>
        </w:rPr>
        <w:t xml:space="preserve"> </w:t>
      </w:r>
      <w:r>
        <w:t>family</w:t>
      </w:r>
      <w:r>
        <w:rPr>
          <w:spacing w:val="-2"/>
        </w:rPr>
        <w:t xml:space="preserve"> </w:t>
      </w:r>
      <w:r>
        <w:t>physician</w:t>
      </w:r>
      <w:r>
        <w:rPr>
          <w:spacing w:val="-5"/>
        </w:rPr>
        <w:t xml:space="preserve"> </w:t>
      </w:r>
      <w:r>
        <w:t>screen</w:t>
      </w:r>
      <w:r>
        <w:t>s</w:t>
      </w:r>
      <w:r>
        <w:rPr>
          <w:spacing w:val="-5"/>
        </w:rPr>
        <w:t xml:space="preserve"> </w:t>
      </w:r>
      <w:r>
        <w:t>a</w:t>
      </w:r>
      <w:r>
        <w:rPr>
          <w:spacing w:val="-4"/>
        </w:rPr>
        <w:t xml:space="preserve"> </w:t>
      </w:r>
      <w:r>
        <w:t>patient</w:t>
      </w:r>
      <w:r>
        <w:rPr>
          <w:spacing w:val="-2"/>
        </w:rPr>
        <w:t xml:space="preserve"> </w:t>
      </w:r>
      <w:r>
        <w:t>for</w:t>
      </w:r>
      <w:r>
        <w:rPr>
          <w:spacing w:val="-3"/>
        </w:rPr>
        <w:t xml:space="preserve"> </w:t>
      </w:r>
      <w:r>
        <w:t>alcohol</w:t>
      </w:r>
      <w:r>
        <w:rPr>
          <w:spacing w:val="-4"/>
        </w:rPr>
        <w:t xml:space="preserve"> </w:t>
      </w:r>
      <w:r>
        <w:t>use</w:t>
      </w:r>
      <w:r>
        <w:rPr>
          <w:spacing w:val="-5"/>
        </w:rPr>
        <w:t xml:space="preserve"> </w:t>
      </w:r>
      <w:r>
        <w:t>disorder</w:t>
      </w:r>
      <w:r>
        <w:rPr>
          <w:spacing w:val="-5"/>
        </w:rPr>
        <w:t xml:space="preserve"> </w:t>
      </w:r>
      <w:r>
        <w:t>(AUD)</w:t>
      </w:r>
      <w:r>
        <w:rPr>
          <w:spacing w:val="-3"/>
        </w:rPr>
        <w:t xml:space="preserve"> </w:t>
      </w:r>
      <w:r>
        <w:t>and</w:t>
      </w:r>
      <w:r>
        <w:rPr>
          <w:spacing w:val="-4"/>
        </w:rPr>
        <w:t xml:space="preserve"> </w:t>
      </w:r>
      <w:r>
        <w:t>suggests</w:t>
      </w:r>
      <w:r>
        <w:rPr>
          <w:spacing w:val="-8"/>
        </w:rPr>
        <w:t xml:space="preserve"> </w:t>
      </w:r>
      <w:r>
        <w:t>treatment</w:t>
      </w:r>
      <w:r>
        <w:rPr>
          <w:spacing w:val="-5"/>
        </w:rPr>
        <w:t xml:space="preserve"> </w:t>
      </w:r>
      <w:r>
        <w:t>based</w:t>
      </w:r>
      <w:r>
        <w:rPr>
          <w:spacing w:val="-6"/>
        </w:rPr>
        <w:t xml:space="preserve"> </w:t>
      </w:r>
      <w:r>
        <w:rPr>
          <w:spacing w:val="-5"/>
        </w:rPr>
        <w:t>on</w:t>
      </w:r>
    </w:p>
    <w:p w14:paraId="0D6A320F" w14:textId="77777777" w:rsidR="00DB6E1F" w:rsidRDefault="00DB6E1F">
      <w:pPr>
        <w:rPr>
          <w:rFonts w:ascii="Symbol" w:hAnsi="Symbol"/>
        </w:rPr>
        <w:sectPr w:rsidR="00DB6E1F">
          <w:pgSz w:w="12240" w:h="15840"/>
          <w:pgMar w:top="1200" w:right="0" w:bottom="780" w:left="0" w:header="763" w:footer="585" w:gutter="0"/>
          <w:cols w:space="720"/>
        </w:sectPr>
      </w:pPr>
    </w:p>
    <w:p w14:paraId="3E0F289D" w14:textId="77777777" w:rsidR="00DB6E1F" w:rsidRDefault="00DB6E1F">
      <w:pPr>
        <w:pStyle w:val="BodyText"/>
        <w:spacing w:before="8"/>
        <w:rPr>
          <w:sz w:val="14"/>
        </w:rPr>
      </w:pPr>
    </w:p>
    <w:p w14:paraId="6695ED98" w14:textId="77777777" w:rsidR="00DB6E1F" w:rsidRDefault="00F666A6">
      <w:pPr>
        <w:pStyle w:val="BodyText"/>
        <w:spacing w:before="56"/>
        <w:ind w:left="1800"/>
      </w:pPr>
      <w:r>
        <w:t>the</w:t>
      </w:r>
      <w:r>
        <w:rPr>
          <w:spacing w:val="-5"/>
        </w:rPr>
        <w:t xml:space="preserve"> </w:t>
      </w:r>
      <w:r>
        <w:t>patient’s</w:t>
      </w:r>
      <w:r>
        <w:rPr>
          <w:spacing w:val="-3"/>
        </w:rPr>
        <w:t xml:space="preserve"> </w:t>
      </w:r>
      <w:r>
        <w:t>high</w:t>
      </w:r>
      <w:r>
        <w:rPr>
          <w:spacing w:val="-5"/>
        </w:rPr>
        <w:t xml:space="preserve"> </w:t>
      </w:r>
      <w:r>
        <w:t>score</w:t>
      </w:r>
      <w:r>
        <w:rPr>
          <w:spacing w:val="-4"/>
        </w:rPr>
        <w:t xml:space="preserve"> </w:t>
      </w:r>
      <w:r>
        <w:t>on</w:t>
      </w:r>
      <w:r>
        <w:rPr>
          <w:spacing w:val="-7"/>
        </w:rPr>
        <w:t xml:space="preserve"> </w:t>
      </w:r>
      <w:r>
        <w:t>the</w:t>
      </w:r>
      <w:r>
        <w:rPr>
          <w:spacing w:val="-2"/>
        </w:rPr>
        <w:t xml:space="preserve"> </w:t>
      </w:r>
      <w:r>
        <w:t>Alcohol</w:t>
      </w:r>
      <w:r>
        <w:rPr>
          <w:spacing w:val="-6"/>
        </w:rPr>
        <w:t xml:space="preserve"> </w:t>
      </w:r>
      <w:r>
        <w:t>Use</w:t>
      </w:r>
      <w:r>
        <w:rPr>
          <w:spacing w:val="-6"/>
        </w:rPr>
        <w:t xml:space="preserve"> </w:t>
      </w:r>
      <w:r>
        <w:t>Disorders</w:t>
      </w:r>
      <w:r>
        <w:rPr>
          <w:spacing w:val="-3"/>
        </w:rPr>
        <w:t xml:space="preserve"> </w:t>
      </w:r>
      <w:r>
        <w:t>Identification</w:t>
      </w:r>
      <w:r>
        <w:rPr>
          <w:spacing w:val="-4"/>
        </w:rPr>
        <w:t xml:space="preserve"> </w:t>
      </w:r>
      <w:r>
        <w:rPr>
          <w:spacing w:val="-2"/>
        </w:rPr>
        <w:t>Test.</w:t>
      </w:r>
    </w:p>
    <w:p w14:paraId="20C8C2E7" w14:textId="77777777" w:rsidR="00DB6E1F" w:rsidRDefault="00F666A6">
      <w:pPr>
        <w:pStyle w:val="ListParagraph"/>
        <w:numPr>
          <w:ilvl w:val="0"/>
          <w:numId w:val="92"/>
        </w:numPr>
        <w:tabs>
          <w:tab w:val="left" w:pos="1800"/>
          <w:tab w:val="left" w:pos="1801"/>
        </w:tabs>
        <w:ind w:left="1800" w:right="1742"/>
        <w:rPr>
          <w:rFonts w:ascii="Symbol" w:hAnsi="Symbol"/>
        </w:rPr>
      </w:pPr>
      <w:r>
        <w:t>A</w:t>
      </w:r>
      <w:r>
        <w:rPr>
          <w:spacing w:val="-2"/>
        </w:rPr>
        <w:t xml:space="preserve"> </w:t>
      </w:r>
      <w:r>
        <w:t>mother</w:t>
      </w:r>
      <w:r>
        <w:rPr>
          <w:spacing w:val="-4"/>
        </w:rPr>
        <w:t xml:space="preserve"> </w:t>
      </w:r>
      <w:r>
        <w:t>whose</w:t>
      </w:r>
      <w:r>
        <w:rPr>
          <w:spacing w:val="-1"/>
        </w:rPr>
        <w:t xml:space="preserve"> </w:t>
      </w:r>
      <w:r>
        <w:t>children</w:t>
      </w:r>
      <w:r>
        <w:rPr>
          <w:spacing w:val="-5"/>
        </w:rPr>
        <w:t xml:space="preserve"> </w:t>
      </w:r>
      <w:r>
        <w:t>were</w:t>
      </w:r>
      <w:r>
        <w:rPr>
          <w:spacing w:val="-4"/>
        </w:rPr>
        <w:t xml:space="preserve"> </w:t>
      </w:r>
      <w:r>
        <w:t>taken</w:t>
      </w:r>
      <w:r>
        <w:rPr>
          <w:spacing w:val="-2"/>
        </w:rPr>
        <w:t xml:space="preserve"> </w:t>
      </w:r>
      <w:r>
        <w:t>into</w:t>
      </w:r>
      <w:r>
        <w:rPr>
          <w:spacing w:val="-1"/>
        </w:rPr>
        <w:t xml:space="preserve"> </w:t>
      </w:r>
      <w:r>
        <w:t>custody</w:t>
      </w:r>
      <w:r>
        <w:rPr>
          <w:spacing w:val="-3"/>
        </w:rPr>
        <w:t xml:space="preserve"> </w:t>
      </w:r>
      <w:r>
        <w:t>by</w:t>
      </w:r>
      <w:r>
        <w:rPr>
          <w:spacing w:val="-4"/>
        </w:rPr>
        <w:t xml:space="preserve"> </w:t>
      </w:r>
      <w:r>
        <w:t>Child</w:t>
      </w:r>
      <w:r>
        <w:rPr>
          <w:spacing w:val="-3"/>
        </w:rPr>
        <w:t xml:space="preserve"> </w:t>
      </w:r>
      <w:r>
        <w:t>Protective</w:t>
      </w:r>
      <w:r>
        <w:rPr>
          <w:spacing w:val="-1"/>
        </w:rPr>
        <w:t xml:space="preserve"> </w:t>
      </w:r>
      <w:r>
        <w:t>Services</w:t>
      </w:r>
      <w:r>
        <w:rPr>
          <w:spacing w:val="-2"/>
        </w:rPr>
        <w:t xml:space="preserve"> </w:t>
      </w:r>
      <w:r>
        <w:t>because</w:t>
      </w:r>
      <w:r>
        <w:rPr>
          <w:spacing w:val="-4"/>
        </w:rPr>
        <w:t xml:space="preserve"> </w:t>
      </w:r>
      <w:r>
        <w:t>of</w:t>
      </w:r>
      <w:r>
        <w:rPr>
          <w:spacing w:val="-2"/>
        </w:rPr>
        <w:t xml:space="preserve"> </w:t>
      </w:r>
      <w:r>
        <w:t>neglect learns that she cannot get them back until she stops using substances and seeks treatment.</w:t>
      </w:r>
    </w:p>
    <w:p w14:paraId="50E9D3DC" w14:textId="77777777" w:rsidR="00DB6E1F" w:rsidRDefault="00F666A6">
      <w:pPr>
        <w:pStyle w:val="BodyText"/>
        <w:spacing w:before="159"/>
        <w:ind w:left="1439" w:right="1507"/>
      </w:pPr>
      <w:r>
        <w:t>In</w:t>
      </w:r>
      <w:r>
        <w:rPr>
          <w:spacing w:val="-1"/>
        </w:rPr>
        <w:t xml:space="preserve"> </w:t>
      </w:r>
      <w:r>
        <w:t>each</w:t>
      </w:r>
      <w:r>
        <w:rPr>
          <w:spacing w:val="-1"/>
        </w:rPr>
        <w:t xml:space="preserve"> </w:t>
      </w:r>
      <w:r>
        <w:t>situation, someone</w:t>
      </w:r>
      <w:r>
        <w:rPr>
          <w:spacing w:val="-2"/>
        </w:rPr>
        <w:t xml:space="preserve"> </w:t>
      </w:r>
      <w:r>
        <w:t>with</w:t>
      </w:r>
      <w:r>
        <w:rPr>
          <w:spacing w:val="-1"/>
        </w:rPr>
        <w:t xml:space="preserve"> </w:t>
      </w:r>
      <w:r>
        <w:t>an</w:t>
      </w:r>
      <w:r>
        <w:rPr>
          <w:spacing w:val="-1"/>
        </w:rPr>
        <w:t xml:space="preserve"> </w:t>
      </w:r>
      <w:r>
        <w:t>important relationship</w:t>
      </w:r>
      <w:r>
        <w:rPr>
          <w:spacing w:val="-1"/>
        </w:rPr>
        <w:t xml:space="preserve"> </w:t>
      </w:r>
      <w:r>
        <w:t>to</w:t>
      </w:r>
      <w:r>
        <w:rPr>
          <w:spacing w:val="-1"/>
        </w:rPr>
        <w:t xml:space="preserve"> </w:t>
      </w:r>
      <w:r>
        <w:t>the person</w:t>
      </w:r>
      <w:r>
        <w:rPr>
          <w:spacing w:val="-3"/>
        </w:rPr>
        <w:t xml:space="preserve"> </w:t>
      </w:r>
      <w:r>
        <w:t>misusing</w:t>
      </w:r>
      <w:r>
        <w:rPr>
          <w:spacing w:val="-1"/>
        </w:rPr>
        <w:t xml:space="preserve"> </w:t>
      </w:r>
      <w:r>
        <w:t>substances stated his or her concerns about the person’s substance misuse an</w:t>
      </w:r>
      <w:r>
        <w:t>d its negative effects. The response to these concerns</w:t>
      </w:r>
      <w:r>
        <w:rPr>
          <w:spacing w:val="-4"/>
        </w:rPr>
        <w:t xml:space="preserve"> </w:t>
      </w:r>
      <w:r>
        <w:t>depends,</w:t>
      </w:r>
      <w:r>
        <w:rPr>
          <w:spacing w:val="-2"/>
        </w:rPr>
        <w:t xml:space="preserve"> </w:t>
      </w:r>
      <w:r>
        <w:t>in</w:t>
      </w:r>
      <w:r>
        <w:rPr>
          <w:spacing w:val="-3"/>
        </w:rPr>
        <w:t xml:space="preserve"> </w:t>
      </w:r>
      <w:r>
        <w:t>part,</w:t>
      </w:r>
      <w:r>
        <w:rPr>
          <w:spacing w:val="-4"/>
        </w:rPr>
        <w:t xml:space="preserve"> </w:t>
      </w:r>
      <w:r>
        <w:t>on</w:t>
      </w:r>
      <w:r>
        <w:rPr>
          <w:spacing w:val="-3"/>
        </w:rPr>
        <w:t xml:space="preserve"> </w:t>
      </w:r>
      <w:r>
        <w:t>the</w:t>
      </w:r>
      <w:r>
        <w:rPr>
          <w:spacing w:val="-4"/>
        </w:rPr>
        <w:t xml:space="preserve"> </w:t>
      </w:r>
      <w:r>
        <w:t>person’s</w:t>
      </w:r>
      <w:r>
        <w:rPr>
          <w:spacing w:val="-2"/>
        </w:rPr>
        <w:t xml:space="preserve"> </w:t>
      </w:r>
      <w:r>
        <w:t>perception</w:t>
      </w:r>
      <w:r>
        <w:rPr>
          <w:spacing w:val="-3"/>
        </w:rPr>
        <w:t xml:space="preserve"> </w:t>
      </w:r>
      <w:r>
        <w:t>of</w:t>
      </w:r>
      <w:r>
        <w:rPr>
          <w:spacing w:val="-4"/>
        </w:rPr>
        <w:t xml:space="preserve"> </w:t>
      </w:r>
      <w:r>
        <w:t>the</w:t>
      </w:r>
      <w:r>
        <w:rPr>
          <w:spacing w:val="-2"/>
        </w:rPr>
        <w:t xml:space="preserve"> </w:t>
      </w:r>
      <w:r>
        <w:t>circumstances</w:t>
      </w:r>
      <w:r>
        <w:rPr>
          <w:spacing w:val="-4"/>
        </w:rPr>
        <w:t xml:space="preserve"> </w:t>
      </w:r>
      <w:r>
        <w:t>as</w:t>
      </w:r>
      <w:r>
        <w:rPr>
          <w:spacing w:val="-2"/>
        </w:rPr>
        <w:t xml:space="preserve"> </w:t>
      </w:r>
      <w:r>
        <w:t>well</w:t>
      </w:r>
      <w:r>
        <w:rPr>
          <w:spacing w:val="-2"/>
        </w:rPr>
        <w:t xml:space="preserve"> </w:t>
      </w:r>
      <w:r>
        <w:t>as</w:t>
      </w:r>
      <w:r>
        <w:rPr>
          <w:spacing w:val="-2"/>
        </w:rPr>
        <w:t xml:space="preserve"> </w:t>
      </w:r>
      <w:r>
        <w:t>the way</w:t>
      </w:r>
      <w:r>
        <w:rPr>
          <w:spacing w:val="-1"/>
        </w:rPr>
        <w:t xml:space="preserve"> </w:t>
      </w:r>
      <w:r>
        <w:t xml:space="preserve">feedback about substance misuse is presented. An individual will be better motivated to abstain from or moderate his or her substance use if these concerned others offer relevant information in a supportive and empathic manner rather than in a judgmental, </w:t>
      </w:r>
      <w:r>
        <w:t>dismissive, or confrontational way.</w:t>
      </w:r>
    </w:p>
    <w:p w14:paraId="357184C0" w14:textId="77777777" w:rsidR="00DB6E1F" w:rsidRDefault="00F666A6">
      <w:pPr>
        <w:pStyle w:val="BodyText"/>
        <w:spacing w:before="160"/>
        <w:ind w:left="1439"/>
      </w:pPr>
      <w:r>
        <w:t>Exhibit</w:t>
      </w:r>
      <w:r>
        <w:rPr>
          <w:spacing w:val="-6"/>
        </w:rPr>
        <w:t xml:space="preserve"> </w:t>
      </w:r>
      <w:r>
        <w:t>4.1</w:t>
      </w:r>
      <w:r>
        <w:rPr>
          <w:spacing w:val="-3"/>
        </w:rPr>
        <w:t xml:space="preserve"> </w:t>
      </w:r>
      <w:r>
        <w:t>presents</w:t>
      </w:r>
      <w:r>
        <w:rPr>
          <w:spacing w:val="-5"/>
        </w:rPr>
        <w:t xml:space="preserve"> </w:t>
      </w:r>
      <w:r>
        <w:t>counseling</w:t>
      </w:r>
      <w:r>
        <w:rPr>
          <w:spacing w:val="-5"/>
        </w:rPr>
        <w:t xml:space="preserve"> </w:t>
      </w:r>
      <w:r>
        <w:t>strategies</w:t>
      </w:r>
      <w:r>
        <w:rPr>
          <w:spacing w:val="-5"/>
        </w:rPr>
        <w:t xml:space="preserve"> </w:t>
      </w:r>
      <w:r>
        <w:t>for</w:t>
      </w:r>
      <w:r>
        <w:rPr>
          <w:spacing w:val="-6"/>
        </w:rPr>
        <w:t xml:space="preserve"> </w:t>
      </w:r>
      <w:r>
        <w:rPr>
          <w:spacing w:val="-2"/>
        </w:rPr>
        <w:t>Precontemplation.</w:t>
      </w:r>
    </w:p>
    <w:p w14:paraId="5EFE8DD1" w14:textId="77777777" w:rsidR="00DB6E1F" w:rsidRDefault="00DB6E1F">
      <w:pPr>
        <w:pStyle w:val="BodyText"/>
        <w:spacing w:before="10" w:after="1"/>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251"/>
        <w:gridCol w:w="4944"/>
      </w:tblGrid>
      <w:tr w:rsidR="00DB6E1F" w14:paraId="44280FDA" w14:textId="77777777">
        <w:trPr>
          <w:trHeight w:val="518"/>
        </w:trPr>
        <w:tc>
          <w:tcPr>
            <w:tcW w:w="9350" w:type="dxa"/>
            <w:gridSpan w:val="3"/>
            <w:tcBorders>
              <w:top w:val="nil"/>
              <w:left w:val="nil"/>
              <w:bottom w:val="nil"/>
              <w:right w:val="nil"/>
            </w:tcBorders>
            <w:shd w:val="clear" w:color="auto" w:fill="000000"/>
          </w:tcPr>
          <w:p w14:paraId="6693837C" w14:textId="77777777" w:rsidR="00DB6E1F" w:rsidRDefault="00F666A6">
            <w:pPr>
              <w:pStyle w:val="TableParagraph"/>
              <w:spacing w:before="112"/>
              <w:ind w:left="215"/>
              <w:rPr>
                <w:sz w:val="24"/>
              </w:rPr>
            </w:pPr>
            <w:r>
              <w:rPr>
                <w:color w:val="FFFFFF"/>
                <w:sz w:val="24"/>
              </w:rPr>
              <w:t>Exhibit</w:t>
            </w:r>
            <w:r>
              <w:rPr>
                <w:color w:val="FFFFFF"/>
                <w:spacing w:val="-3"/>
                <w:sz w:val="24"/>
              </w:rPr>
              <w:t xml:space="preserve"> </w:t>
            </w:r>
            <w:r>
              <w:rPr>
                <w:color w:val="FFFFFF"/>
                <w:sz w:val="24"/>
              </w:rPr>
              <w:t>4.1.</w:t>
            </w:r>
            <w:r>
              <w:rPr>
                <w:color w:val="FFFFFF"/>
                <w:spacing w:val="-2"/>
                <w:sz w:val="24"/>
              </w:rPr>
              <w:t xml:space="preserve"> </w:t>
            </w:r>
            <w:r>
              <w:rPr>
                <w:color w:val="FFFFFF"/>
                <w:sz w:val="24"/>
              </w:rPr>
              <w:t>Counseling</w:t>
            </w:r>
            <w:r>
              <w:rPr>
                <w:color w:val="FFFFFF"/>
                <w:spacing w:val="-1"/>
                <w:sz w:val="24"/>
              </w:rPr>
              <w:t xml:space="preserve"> </w:t>
            </w:r>
            <w:r>
              <w:rPr>
                <w:color w:val="FFFFFF"/>
                <w:sz w:val="24"/>
              </w:rPr>
              <w:t>Strategies</w:t>
            </w:r>
            <w:r>
              <w:rPr>
                <w:color w:val="FFFFFF"/>
                <w:spacing w:val="-4"/>
                <w:sz w:val="24"/>
              </w:rPr>
              <w:t xml:space="preserve"> </w:t>
            </w:r>
            <w:r>
              <w:rPr>
                <w:color w:val="FFFFFF"/>
                <w:sz w:val="24"/>
              </w:rPr>
              <w:t>for</w:t>
            </w:r>
            <w:r>
              <w:rPr>
                <w:color w:val="FFFFFF"/>
                <w:spacing w:val="-3"/>
                <w:sz w:val="24"/>
              </w:rPr>
              <w:t xml:space="preserve"> </w:t>
            </w:r>
            <w:r>
              <w:rPr>
                <w:color w:val="FFFFFF"/>
                <w:spacing w:val="-2"/>
                <w:sz w:val="24"/>
              </w:rPr>
              <w:t>Precontemplation</w:t>
            </w:r>
          </w:p>
        </w:tc>
      </w:tr>
      <w:tr w:rsidR="00DB6E1F" w14:paraId="46CF5619" w14:textId="77777777">
        <w:trPr>
          <w:trHeight w:val="359"/>
        </w:trPr>
        <w:tc>
          <w:tcPr>
            <w:tcW w:w="2155" w:type="dxa"/>
          </w:tcPr>
          <w:p w14:paraId="4FF4F5F0" w14:textId="77777777" w:rsidR="00DB6E1F" w:rsidRDefault="00F666A6">
            <w:pPr>
              <w:pStyle w:val="TableParagraph"/>
              <w:spacing w:before="0" w:line="241" w:lineRule="exact"/>
              <w:rPr>
                <w:sz w:val="20"/>
              </w:rPr>
            </w:pPr>
            <w:r>
              <w:rPr>
                <w:sz w:val="20"/>
              </w:rPr>
              <w:t>Client</w:t>
            </w:r>
            <w:r>
              <w:rPr>
                <w:spacing w:val="-9"/>
                <w:sz w:val="20"/>
              </w:rPr>
              <w:t xml:space="preserve"> </w:t>
            </w:r>
            <w:r>
              <w:rPr>
                <w:spacing w:val="-2"/>
                <w:sz w:val="20"/>
              </w:rPr>
              <w:t>Motivation</w:t>
            </w:r>
          </w:p>
        </w:tc>
        <w:tc>
          <w:tcPr>
            <w:tcW w:w="2251" w:type="dxa"/>
          </w:tcPr>
          <w:p w14:paraId="038BC691" w14:textId="77777777" w:rsidR="00DB6E1F" w:rsidRDefault="00F666A6">
            <w:pPr>
              <w:pStyle w:val="TableParagraph"/>
              <w:spacing w:before="0" w:line="241" w:lineRule="exact"/>
              <w:ind w:left="108"/>
              <w:rPr>
                <w:sz w:val="20"/>
              </w:rPr>
            </w:pPr>
            <w:r>
              <w:rPr>
                <w:spacing w:val="-2"/>
                <w:sz w:val="20"/>
              </w:rPr>
              <w:t>Counselor</w:t>
            </w:r>
            <w:r>
              <w:rPr>
                <w:spacing w:val="4"/>
                <w:sz w:val="20"/>
              </w:rPr>
              <w:t xml:space="preserve"> </w:t>
            </w:r>
            <w:r>
              <w:rPr>
                <w:spacing w:val="-2"/>
                <w:sz w:val="20"/>
              </w:rPr>
              <w:t>Focus</w:t>
            </w:r>
          </w:p>
        </w:tc>
        <w:tc>
          <w:tcPr>
            <w:tcW w:w="4944" w:type="dxa"/>
          </w:tcPr>
          <w:p w14:paraId="244D5C01" w14:textId="77777777" w:rsidR="00DB6E1F" w:rsidRDefault="00F666A6">
            <w:pPr>
              <w:pStyle w:val="TableParagraph"/>
              <w:spacing w:before="0" w:line="241" w:lineRule="exact"/>
              <w:ind w:left="105"/>
              <w:rPr>
                <w:sz w:val="20"/>
              </w:rPr>
            </w:pPr>
            <w:r>
              <w:rPr>
                <w:spacing w:val="-2"/>
                <w:sz w:val="20"/>
              </w:rPr>
              <w:t>Counseling</w:t>
            </w:r>
            <w:r>
              <w:rPr>
                <w:spacing w:val="5"/>
                <w:sz w:val="20"/>
              </w:rPr>
              <w:t xml:space="preserve"> </w:t>
            </w:r>
            <w:r>
              <w:rPr>
                <w:spacing w:val="-2"/>
                <w:sz w:val="20"/>
              </w:rPr>
              <w:t>Strategies</w:t>
            </w:r>
          </w:p>
        </w:tc>
      </w:tr>
      <w:tr w:rsidR="00DB6E1F" w14:paraId="55630F6C" w14:textId="77777777">
        <w:trPr>
          <w:trHeight w:val="3801"/>
        </w:trPr>
        <w:tc>
          <w:tcPr>
            <w:tcW w:w="2155" w:type="dxa"/>
          </w:tcPr>
          <w:p w14:paraId="1B26DEB7" w14:textId="77777777" w:rsidR="00DB6E1F" w:rsidRDefault="00F666A6">
            <w:pPr>
              <w:pStyle w:val="TableParagraph"/>
              <w:numPr>
                <w:ilvl w:val="0"/>
                <w:numId w:val="70"/>
              </w:numPr>
              <w:tabs>
                <w:tab w:val="left" w:pos="467"/>
                <w:tab w:val="left" w:pos="468"/>
              </w:tabs>
              <w:spacing w:before="41"/>
              <w:ind w:right="294"/>
              <w:rPr>
                <w:sz w:val="20"/>
              </w:rPr>
            </w:pPr>
            <w:r>
              <w:rPr>
                <w:sz w:val="20"/>
              </w:rPr>
              <w:t>The client is not concerned</w:t>
            </w:r>
            <w:r>
              <w:rPr>
                <w:spacing w:val="-12"/>
                <w:sz w:val="20"/>
              </w:rPr>
              <w:t xml:space="preserve"> </w:t>
            </w:r>
            <w:r>
              <w:rPr>
                <w:sz w:val="20"/>
              </w:rPr>
              <w:t>about substance</w:t>
            </w:r>
            <w:r>
              <w:rPr>
                <w:spacing w:val="-12"/>
                <w:sz w:val="20"/>
              </w:rPr>
              <w:t xml:space="preserve"> </w:t>
            </w:r>
            <w:r>
              <w:rPr>
                <w:sz w:val="20"/>
              </w:rPr>
              <w:t>use</w:t>
            </w:r>
            <w:r>
              <w:rPr>
                <w:spacing w:val="-11"/>
                <w:sz w:val="20"/>
              </w:rPr>
              <w:t xml:space="preserve"> </w:t>
            </w:r>
            <w:r>
              <w:rPr>
                <w:sz w:val="20"/>
              </w:rPr>
              <w:t xml:space="preserve">or lacks awareness about any </w:t>
            </w:r>
            <w:r>
              <w:rPr>
                <w:spacing w:val="-2"/>
                <w:sz w:val="20"/>
              </w:rPr>
              <w:t>problems.</w:t>
            </w:r>
          </w:p>
          <w:p w14:paraId="3D3ADFF5" w14:textId="77777777" w:rsidR="00DB6E1F" w:rsidRDefault="00F666A6">
            <w:pPr>
              <w:pStyle w:val="TableParagraph"/>
              <w:numPr>
                <w:ilvl w:val="0"/>
                <w:numId w:val="70"/>
              </w:numPr>
              <w:tabs>
                <w:tab w:val="left" w:pos="467"/>
                <w:tab w:val="left" w:pos="468"/>
              </w:tabs>
              <w:spacing w:before="39"/>
              <w:ind w:right="87"/>
              <w:rPr>
                <w:sz w:val="20"/>
              </w:rPr>
            </w:pPr>
            <w:r>
              <w:rPr>
                <w:sz w:val="20"/>
              </w:rPr>
              <w:t>The</w:t>
            </w:r>
            <w:r>
              <w:rPr>
                <w:spacing w:val="-11"/>
                <w:sz w:val="20"/>
              </w:rPr>
              <w:t xml:space="preserve"> </w:t>
            </w:r>
            <w:r>
              <w:rPr>
                <w:sz w:val="20"/>
              </w:rPr>
              <w:t>client</w:t>
            </w:r>
            <w:r>
              <w:rPr>
                <w:spacing w:val="-10"/>
                <w:sz w:val="20"/>
              </w:rPr>
              <w:t xml:space="preserve"> </w:t>
            </w:r>
            <w:r>
              <w:rPr>
                <w:sz w:val="20"/>
              </w:rPr>
              <w:t>is</w:t>
            </w:r>
            <w:r>
              <w:rPr>
                <w:spacing w:val="-11"/>
                <w:sz w:val="20"/>
              </w:rPr>
              <w:t xml:space="preserve"> </w:t>
            </w:r>
            <w:r>
              <w:rPr>
                <w:sz w:val="20"/>
              </w:rPr>
              <w:t>not</w:t>
            </w:r>
            <w:r>
              <w:rPr>
                <w:spacing w:val="-10"/>
                <w:sz w:val="20"/>
              </w:rPr>
              <w:t xml:space="preserve"> </w:t>
            </w:r>
            <w:r>
              <w:rPr>
                <w:sz w:val="20"/>
              </w:rPr>
              <w:t>yet considering</w:t>
            </w:r>
            <w:r>
              <w:rPr>
                <w:spacing w:val="-12"/>
                <w:sz w:val="20"/>
              </w:rPr>
              <w:t xml:space="preserve"> </w:t>
            </w:r>
            <w:r>
              <w:rPr>
                <w:sz w:val="20"/>
              </w:rPr>
              <w:t>change or is unwilling or unable to change.</w:t>
            </w:r>
          </w:p>
          <w:p w14:paraId="16AE8CCD" w14:textId="77777777" w:rsidR="00DB6E1F" w:rsidRDefault="00F666A6">
            <w:pPr>
              <w:pStyle w:val="TableParagraph"/>
              <w:numPr>
                <w:ilvl w:val="0"/>
                <w:numId w:val="70"/>
              </w:numPr>
              <w:tabs>
                <w:tab w:val="left" w:pos="467"/>
                <w:tab w:val="left" w:pos="468"/>
              </w:tabs>
              <w:spacing w:before="40"/>
              <w:ind w:right="229"/>
              <w:rPr>
                <w:sz w:val="20"/>
              </w:rPr>
            </w:pPr>
            <w:r>
              <w:rPr>
                <w:sz w:val="20"/>
              </w:rPr>
              <w:t>The</w:t>
            </w:r>
            <w:r>
              <w:rPr>
                <w:spacing w:val="-12"/>
                <w:sz w:val="20"/>
              </w:rPr>
              <w:t xml:space="preserve"> </w:t>
            </w:r>
            <w:r>
              <w:rPr>
                <w:sz w:val="20"/>
              </w:rPr>
              <w:t>client</w:t>
            </w:r>
            <w:r>
              <w:rPr>
                <w:spacing w:val="-11"/>
                <w:sz w:val="20"/>
              </w:rPr>
              <w:t xml:space="preserve"> </w:t>
            </w:r>
            <w:r>
              <w:rPr>
                <w:sz w:val="20"/>
              </w:rPr>
              <w:t>is</w:t>
            </w:r>
            <w:r>
              <w:rPr>
                <w:spacing w:val="-11"/>
                <w:sz w:val="20"/>
              </w:rPr>
              <w:t xml:space="preserve"> </w:t>
            </w:r>
            <w:r>
              <w:rPr>
                <w:sz w:val="20"/>
              </w:rPr>
              <w:t xml:space="preserve">often pressured by others to seek </w:t>
            </w:r>
            <w:r>
              <w:rPr>
                <w:spacing w:val="-2"/>
                <w:sz w:val="20"/>
              </w:rPr>
              <w:t>help.</w:t>
            </w:r>
          </w:p>
        </w:tc>
        <w:tc>
          <w:tcPr>
            <w:tcW w:w="2251" w:type="dxa"/>
          </w:tcPr>
          <w:p w14:paraId="415C634C" w14:textId="77777777" w:rsidR="00DB6E1F" w:rsidRDefault="00F666A6">
            <w:pPr>
              <w:pStyle w:val="TableParagraph"/>
              <w:numPr>
                <w:ilvl w:val="0"/>
                <w:numId w:val="69"/>
              </w:numPr>
              <w:tabs>
                <w:tab w:val="left" w:pos="467"/>
                <w:tab w:val="left" w:pos="468"/>
              </w:tabs>
              <w:spacing w:before="41"/>
              <w:ind w:right="189"/>
              <w:rPr>
                <w:sz w:val="20"/>
              </w:rPr>
            </w:pPr>
            <w:r>
              <w:rPr>
                <w:sz w:val="20"/>
              </w:rPr>
              <w:t>Develop rapport and build trust to establish a strong counseling</w:t>
            </w:r>
            <w:r>
              <w:rPr>
                <w:spacing w:val="-12"/>
                <w:sz w:val="20"/>
              </w:rPr>
              <w:t xml:space="preserve"> </w:t>
            </w:r>
            <w:r>
              <w:rPr>
                <w:sz w:val="20"/>
              </w:rPr>
              <w:t>alliance.</w:t>
            </w:r>
          </w:p>
          <w:p w14:paraId="105A37C0" w14:textId="77777777" w:rsidR="00DB6E1F" w:rsidRDefault="00F666A6">
            <w:pPr>
              <w:pStyle w:val="TableParagraph"/>
              <w:numPr>
                <w:ilvl w:val="0"/>
                <w:numId w:val="69"/>
              </w:numPr>
              <w:tabs>
                <w:tab w:val="left" w:pos="467"/>
                <w:tab w:val="left" w:pos="468"/>
              </w:tabs>
              <w:spacing w:before="40"/>
              <w:ind w:right="198"/>
              <w:rPr>
                <w:sz w:val="20"/>
              </w:rPr>
            </w:pPr>
            <w:r>
              <w:rPr>
                <w:sz w:val="20"/>
              </w:rPr>
              <w:t>Raise doubts and concerns</w:t>
            </w:r>
            <w:r>
              <w:rPr>
                <w:spacing w:val="-12"/>
                <w:sz w:val="20"/>
              </w:rPr>
              <w:t xml:space="preserve"> </w:t>
            </w:r>
            <w:r>
              <w:rPr>
                <w:sz w:val="20"/>
              </w:rPr>
              <w:t>about</w:t>
            </w:r>
            <w:r>
              <w:rPr>
                <w:spacing w:val="-11"/>
                <w:sz w:val="20"/>
              </w:rPr>
              <w:t xml:space="preserve"> </w:t>
            </w:r>
            <w:r>
              <w:rPr>
                <w:sz w:val="20"/>
              </w:rPr>
              <w:t xml:space="preserve">the client’s substance </w:t>
            </w:r>
            <w:r>
              <w:rPr>
                <w:spacing w:val="-4"/>
                <w:sz w:val="20"/>
              </w:rPr>
              <w:t>use.</w:t>
            </w:r>
          </w:p>
          <w:p w14:paraId="70196BC2" w14:textId="77777777" w:rsidR="00DB6E1F" w:rsidRDefault="00F666A6">
            <w:pPr>
              <w:pStyle w:val="TableParagraph"/>
              <w:numPr>
                <w:ilvl w:val="0"/>
                <w:numId w:val="69"/>
              </w:numPr>
              <w:tabs>
                <w:tab w:val="left" w:pos="467"/>
                <w:tab w:val="left" w:pos="468"/>
              </w:tabs>
              <w:spacing w:before="40"/>
              <w:ind w:right="148"/>
              <w:rPr>
                <w:sz w:val="20"/>
              </w:rPr>
            </w:pPr>
            <w:r>
              <w:rPr>
                <w:sz w:val="20"/>
              </w:rPr>
              <w:t xml:space="preserve">Understand special </w:t>
            </w:r>
            <w:r>
              <w:rPr>
                <w:spacing w:val="-2"/>
                <w:sz w:val="20"/>
              </w:rPr>
              <w:t xml:space="preserve">motivational counseling </w:t>
            </w:r>
            <w:r>
              <w:rPr>
                <w:sz w:val="20"/>
              </w:rPr>
              <w:t>considerations for clients</w:t>
            </w:r>
            <w:r>
              <w:rPr>
                <w:spacing w:val="-12"/>
                <w:sz w:val="20"/>
              </w:rPr>
              <w:t xml:space="preserve"> </w:t>
            </w:r>
            <w:r>
              <w:rPr>
                <w:sz w:val="20"/>
              </w:rPr>
              <w:t>mandated</w:t>
            </w:r>
            <w:r>
              <w:rPr>
                <w:spacing w:val="-11"/>
                <w:sz w:val="20"/>
              </w:rPr>
              <w:t xml:space="preserve"> </w:t>
            </w:r>
            <w:r>
              <w:rPr>
                <w:sz w:val="20"/>
              </w:rPr>
              <w:t xml:space="preserve">to </w:t>
            </w:r>
            <w:r>
              <w:rPr>
                <w:spacing w:val="-2"/>
                <w:sz w:val="20"/>
              </w:rPr>
              <w:t>treatment.</w:t>
            </w:r>
          </w:p>
        </w:tc>
        <w:tc>
          <w:tcPr>
            <w:tcW w:w="4944" w:type="dxa"/>
          </w:tcPr>
          <w:p w14:paraId="1A47D55C" w14:textId="77777777" w:rsidR="00DB6E1F" w:rsidRDefault="00F666A6">
            <w:pPr>
              <w:pStyle w:val="TableParagraph"/>
              <w:numPr>
                <w:ilvl w:val="0"/>
                <w:numId w:val="68"/>
              </w:numPr>
              <w:tabs>
                <w:tab w:val="left" w:pos="465"/>
                <w:tab w:val="left" w:pos="466"/>
              </w:tabs>
              <w:spacing w:before="39"/>
              <w:ind w:hanging="361"/>
              <w:rPr>
                <w:sz w:val="20"/>
              </w:rPr>
            </w:pPr>
            <w:r>
              <w:rPr>
                <w:sz w:val="20"/>
              </w:rPr>
              <w:t>Elicit</w:t>
            </w:r>
            <w:r>
              <w:rPr>
                <w:spacing w:val="-6"/>
                <w:sz w:val="20"/>
              </w:rPr>
              <w:t xml:space="preserve"> </w:t>
            </w:r>
            <w:r>
              <w:rPr>
                <w:sz w:val="20"/>
              </w:rPr>
              <w:t>the</w:t>
            </w:r>
            <w:r>
              <w:rPr>
                <w:spacing w:val="-7"/>
                <w:sz w:val="20"/>
              </w:rPr>
              <w:t xml:space="preserve"> </w:t>
            </w:r>
            <w:r>
              <w:rPr>
                <w:sz w:val="20"/>
              </w:rPr>
              <w:t>client’s</w:t>
            </w:r>
            <w:r>
              <w:rPr>
                <w:spacing w:val="-7"/>
                <w:sz w:val="20"/>
              </w:rPr>
              <w:t xml:space="preserve"> </w:t>
            </w:r>
            <w:r>
              <w:rPr>
                <w:sz w:val="20"/>
              </w:rPr>
              <w:t>percepti</w:t>
            </w:r>
            <w:r>
              <w:rPr>
                <w:sz w:val="20"/>
              </w:rPr>
              <w:t>ons</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pacing w:val="-2"/>
                <w:sz w:val="20"/>
              </w:rPr>
              <w:t>problem.</w:t>
            </w:r>
          </w:p>
          <w:p w14:paraId="50D0E2D8" w14:textId="77777777" w:rsidR="00DB6E1F" w:rsidRDefault="00F666A6">
            <w:pPr>
              <w:pStyle w:val="TableParagraph"/>
              <w:numPr>
                <w:ilvl w:val="0"/>
                <w:numId w:val="68"/>
              </w:numPr>
              <w:tabs>
                <w:tab w:val="left" w:pos="465"/>
                <w:tab w:val="left" w:pos="466"/>
              </w:tabs>
              <w:spacing w:before="43"/>
              <w:ind w:hanging="361"/>
              <w:rPr>
                <w:sz w:val="20"/>
              </w:rPr>
            </w:pPr>
            <w:r>
              <w:rPr>
                <w:sz w:val="20"/>
              </w:rPr>
              <w:t>Explore</w:t>
            </w:r>
            <w:r>
              <w:rPr>
                <w:spacing w:val="-6"/>
                <w:sz w:val="20"/>
              </w:rPr>
              <w:t xml:space="preserve"> </w:t>
            </w:r>
            <w:r>
              <w:rPr>
                <w:sz w:val="20"/>
              </w:rPr>
              <w:t>the</w:t>
            </w:r>
            <w:r>
              <w:rPr>
                <w:spacing w:val="-6"/>
                <w:sz w:val="20"/>
              </w:rPr>
              <w:t xml:space="preserve"> </w:t>
            </w:r>
            <w:r>
              <w:rPr>
                <w:sz w:val="20"/>
              </w:rPr>
              <w:t>events</w:t>
            </w:r>
            <w:r>
              <w:rPr>
                <w:spacing w:val="-6"/>
                <w:sz w:val="20"/>
              </w:rPr>
              <w:t xml:space="preserve"> </w:t>
            </w:r>
            <w:r>
              <w:rPr>
                <w:sz w:val="20"/>
              </w:rPr>
              <w:t>that</w:t>
            </w:r>
            <w:r>
              <w:rPr>
                <w:spacing w:val="-5"/>
                <w:sz w:val="20"/>
              </w:rPr>
              <w:t xml:space="preserve"> </w:t>
            </w:r>
            <w:r>
              <w:rPr>
                <w:sz w:val="20"/>
              </w:rPr>
              <w:t>led</w:t>
            </w:r>
            <w:r>
              <w:rPr>
                <w:spacing w:val="-4"/>
                <w:sz w:val="20"/>
              </w:rPr>
              <w:t xml:space="preserve"> </w:t>
            </w:r>
            <w:r>
              <w:rPr>
                <w:sz w:val="20"/>
              </w:rPr>
              <w:t>to</w:t>
            </w:r>
            <w:r>
              <w:rPr>
                <w:spacing w:val="-5"/>
                <w:sz w:val="20"/>
              </w:rPr>
              <w:t xml:space="preserve"> </w:t>
            </w:r>
            <w:r>
              <w:rPr>
                <w:sz w:val="20"/>
              </w:rPr>
              <w:t>entering</w:t>
            </w:r>
            <w:r>
              <w:rPr>
                <w:spacing w:val="-5"/>
                <w:sz w:val="20"/>
              </w:rPr>
              <w:t xml:space="preserve"> </w:t>
            </w:r>
            <w:r>
              <w:rPr>
                <w:spacing w:val="-2"/>
                <w:sz w:val="20"/>
              </w:rPr>
              <w:t>treatment.</w:t>
            </w:r>
          </w:p>
          <w:p w14:paraId="789B49B0" w14:textId="77777777" w:rsidR="00DB6E1F" w:rsidRDefault="00F666A6">
            <w:pPr>
              <w:pStyle w:val="TableParagraph"/>
              <w:numPr>
                <w:ilvl w:val="0"/>
                <w:numId w:val="68"/>
              </w:numPr>
              <w:tabs>
                <w:tab w:val="left" w:pos="465"/>
                <w:tab w:val="left" w:pos="466"/>
              </w:tabs>
              <w:spacing w:before="38"/>
              <w:ind w:right="243"/>
              <w:rPr>
                <w:sz w:val="20"/>
              </w:rPr>
            </w:pPr>
            <w:r>
              <w:rPr>
                <w:sz w:val="20"/>
              </w:rPr>
              <w:t>Assess</w:t>
            </w:r>
            <w:r>
              <w:rPr>
                <w:spacing w:val="-5"/>
                <w:sz w:val="20"/>
              </w:rPr>
              <w:t xml:space="preserve"> </w:t>
            </w:r>
            <w:r>
              <w:rPr>
                <w:sz w:val="20"/>
              </w:rPr>
              <w:t>the</w:t>
            </w:r>
            <w:r>
              <w:rPr>
                <w:spacing w:val="-5"/>
                <w:sz w:val="20"/>
              </w:rPr>
              <w:t xml:space="preserve"> </w:t>
            </w:r>
            <w:r>
              <w:rPr>
                <w:sz w:val="20"/>
              </w:rPr>
              <w:t>client’s</w:t>
            </w:r>
            <w:r>
              <w:rPr>
                <w:spacing w:val="-5"/>
                <w:sz w:val="20"/>
              </w:rPr>
              <w:t xml:space="preserve"> </w:t>
            </w:r>
            <w:r>
              <w:rPr>
                <w:sz w:val="20"/>
              </w:rPr>
              <w:t>stage</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z w:val="20"/>
              </w:rPr>
              <w:t>SOC</w:t>
            </w:r>
            <w:r>
              <w:rPr>
                <w:spacing w:val="-5"/>
                <w:sz w:val="20"/>
              </w:rPr>
              <w:t xml:space="preserve"> </w:t>
            </w:r>
            <w:r>
              <w:rPr>
                <w:sz w:val="20"/>
              </w:rPr>
              <w:t>and</w:t>
            </w:r>
            <w:r>
              <w:rPr>
                <w:spacing w:val="-4"/>
                <w:sz w:val="20"/>
              </w:rPr>
              <w:t xml:space="preserve"> </w:t>
            </w:r>
            <w:r>
              <w:rPr>
                <w:sz w:val="20"/>
              </w:rPr>
              <w:t>readiness</w:t>
            </w:r>
            <w:r>
              <w:rPr>
                <w:spacing w:val="-5"/>
                <w:sz w:val="20"/>
              </w:rPr>
              <w:t xml:space="preserve"> </w:t>
            </w:r>
            <w:r>
              <w:rPr>
                <w:sz w:val="20"/>
              </w:rPr>
              <w:t xml:space="preserve">to </w:t>
            </w:r>
            <w:r>
              <w:rPr>
                <w:spacing w:val="-2"/>
                <w:sz w:val="20"/>
              </w:rPr>
              <w:t>change.</w:t>
            </w:r>
          </w:p>
          <w:p w14:paraId="7866E13E" w14:textId="77777777" w:rsidR="00DB6E1F" w:rsidRDefault="00F666A6">
            <w:pPr>
              <w:pStyle w:val="TableParagraph"/>
              <w:numPr>
                <w:ilvl w:val="0"/>
                <w:numId w:val="68"/>
              </w:numPr>
              <w:tabs>
                <w:tab w:val="left" w:pos="465"/>
                <w:tab w:val="left" w:pos="466"/>
              </w:tabs>
              <w:spacing w:before="41"/>
              <w:ind w:hanging="361"/>
              <w:rPr>
                <w:sz w:val="20"/>
              </w:rPr>
            </w:pPr>
            <w:r>
              <w:rPr>
                <w:sz w:val="20"/>
              </w:rPr>
              <w:t>Commend</w:t>
            </w:r>
            <w:r>
              <w:rPr>
                <w:spacing w:val="-4"/>
                <w:sz w:val="20"/>
              </w:rPr>
              <w:t xml:space="preserve"> </w:t>
            </w:r>
            <w:r>
              <w:rPr>
                <w:sz w:val="20"/>
              </w:rPr>
              <w:t>the</w:t>
            </w:r>
            <w:r>
              <w:rPr>
                <w:spacing w:val="-6"/>
                <w:sz w:val="20"/>
              </w:rPr>
              <w:t xml:space="preserve"> </w:t>
            </w:r>
            <w:r>
              <w:rPr>
                <w:sz w:val="20"/>
              </w:rPr>
              <w:t>client</w:t>
            </w:r>
            <w:r>
              <w:rPr>
                <w:spacing w:val="-4"/>
                <w:sz w:val="20"/>
              </w:rPr>
              <w:t xml:space="preserve"> </w:t>
            </w:r>
            <w:r>
              <w:rPr>
                <w:sz w:val="20"/>
              </w:rPr>
              <w:t>for</w:t>
            </w:r>
            <w:r>
              <w:rPr>
                <w:spacing w:val="-5"/>
                <w:sz w:val="20"/>
              </w:rPr>
              <w:t xml:space="preserve"> </w:t>
            </w:r>
            <w:r>
              <w:rPr>
                <w:sz w:val="20"/>
              </w:rPr>
              <w:t>coming</w:t>
            </w:r>
            <w:r>
              <w:rPr>
                <w:spacing w:val="-4"/>
                <w:sz w:val="20"/>
              </w:rPr>
              <w:t xml:space="preserve"> </w:t>
            </w:r>
            <w:r>
              <w:rPr>
                <w:sz w:val="20"/>
              </w:rPr>
              <w:t>to</w:t>
            </w:r>
            <w:r>
              <w:rPr>
                <w:spacing w:val="-4"/>
                <w:sz w:val="20"/>
              </w:rPr>
              <w:t xml:space="preserve"> </w:t>
            </w:r>
            <w:r>
              <w:rPr>
                <w:spacing w:val="-2"/>
                <w:sz w:val="20"/>
              </w:rPr>
              <w:t>treatment.</w:t>
            </w:r>
          </w:p>
          <w:p w14:paraId="1DDBEE8D" w14:textId="77777777" w:rsidR="00DB6E1F" w:rsidRDefault="00F666A6">
            <w:pPr>
              <w:pStyle w:val="TableParagraph"/>
              <w:numPr>
                <w:ilvl w:val="0"/>
                <w:numId w:val="68"/>
              </w:numPr>
              <w:tabs>
                <w:tab w:val="left" w:pos="464"/>
                <w:tab w:val="left" w:pos="466"/>
              </w:tabs>
              <w:spacing w:before="40"/>
              <w:ind w:hanging="361"/>
              <w:rPr>
                <w:sz w:val="20"/>
              </w:rPr>
            </w:pPr>
            <w:r>
              <w:rPr>
                <w:sz w:val="20"/>
              </w:rPr>
              <w:t>Agree</w:t>
            </w:r>
            <w:r>
              <w:rPr>
                <w:spacing w:val="-5"/>
                <w:sz w:val="20"/>
              </w:rPr>
              <w:t xml:space="preserve"> </w:t>
            </w:r>
            <w:r>
              <w:rPr>
                <w:sz w:val="20"/>
              </w:rPr>
              <w:t>on</w:t>
            </w:r>
            <w:r>
              <w:rPr>
                <w:spacing w:val="-3"/>
                <w:sz w:val="20"/>
              </w:rPr>
              <w:t xml:space="preserve"> </w:t>
            </w:r>
            <w:r>
              <w:rPr>
                <w:sz w:val="20"/>
              </w:rPr>
              <w:t>a</w:t>
            </w:r>
            <w:r>
              <w:rPr>
                <w:spacing w:val="-2"/>
                <w:sz w:val="20"/>
              </w:rPr>
              <w:t xml:space="preserve"> direction.</w:t>
            </w:r>
          </w:p>
          <w:p w14:paraId="195B67C6" w14:textId="77777777" w:rsidR="00DB6E1F" w:rsidRDefault="00F666A6">
            <w:pPr>
              <w:pStyle w:val="TableParagraph"/>
              <w:numPr>
                <w:ilvl w:val="0"/>
                <w:numId w:val="68"/>
              </w:numPr>
              <w:tabs>
                <w:tab w:val="left" w:pos="464"/>
                <w:tab w:val="left" w:pos="466"/>
              </w:tabs>
              <w:spacing w:before="41"/>
              <w:ind w:right="429"/>
              <w:rPr>
                <w:sz w:val="20"/>
              </w:rPr>
            </w:pPr>
            <w:r>
              <w:rPr>
                <w:sz w:val="20"/>
              </w:rPr>
              <w:t>Provide</w:t>
            </w:r>
            <w:r>
              <w:rPr>
                <w:spacing w:val="-6"/>
                <w:sz w:val="20"/>
              </w:rPr>
              <w:t xml:space="preserve"> </w:t>
            </w:r>
            <w:r>
              <w:rPr>
                <w:sz w:val="20"/>
              </w:rPr>
              <w:t>information</w:t>
            </w:r>
            <w:r>
              <w:rPr>
                <w:spacing w:val="-5"/>
                <w:sz w:val="20"/>
              </w:rPr>
              <w:t xml:space="preserve"> </w:t>
            </w:r>
            <w:r>
              <w:rPr>
                <w:sz w:val="20"/>
              </w:rPr>
              <w:t>about</w:t>
            </w:r>
            <w:r>
              <w:rPr>
                <w:spacing w:val="-5"/>
                <w:sz w:val="20"/>
              </w:rPr>
              <w:t xml:space="preserve"> </w:t>
            </w:r>
            <w:r>
              <w:rPr>
                <w:sz w:val="20"/>
              </w:rPr>
              <w:t>the</w:t>
            </w:r>
            <w:r>
              <w:rPr>
                <w:spacing w:val="-6"/>
                <w:sz w:val="20"/>
              </w:rPr>
              <w:t xml:space="preserve"> </w:t>
            </w:r>
            <w:r>
              <w:rPr>
                <w:sz w:val="20"/>
              </w:rPr>
              <w:t>effects</w:t>
            </w:r>
            <w:r>
              <w:rPr>
                <w:spacing w:val="-6"/>
                <w:sz w:val="20"/>
              </w:rPr>
              <w:t xml:space="preserve"> </w:t>
            </w:r>
            <w:r>
              <w:rPr>
                <w:sz w:val="20"/>
              </w:rPr>
              <w:t>and</w:t>
            </w:r>
            <w:r>
              <w:rPr>
                <w:spacing w:val="-6"/>
                <w:sz w:val="20"/>
              </w:rPr>
              <w:t xml:space="preserve"> </w:t>
            </w:r>
            <w:r>
              <w:rPr>
                <w:sz w:val="20"/>
              </w:rPr>
              <w:t>risks</w:t>
            </w:r>
            <w:r>
              <w:rPr>
                <w:spacing w:val="-6"/>
                <w:sz w:val="20"/>
              </w:rPr>
              <w:t xml:space="preserve"> </w:t>
            </w:r>
            <w:r>
              <w:rPr>
                <w:sz w:val="20"/>
              </w:rPr>
              <w:t>of substance misuse.</w:t>
            </w:r>
          </w:p>
          <w:p w14:paraId="62A8D485" w14:textId="77777777" w:rsidR="00DB6E1F" w:rsidRDefault="00F666A6">
            <w:pPr>
              <w:pStyle w:val="TableParagraph"/>
              <w:numPr>
                <w:ilvl w:val="0"/>
                <w:numId w:val="68"/>
              </w:numPr>
              <w:tabs>
                <w:tab w:val="left" w:pos="464"/>
                <w:tab w:val="left" w:pos="466"/>
              </w:tabs>
              <w:spacing w:before="38"/>
              <w:ind w:hanging="361"/>
              <w:rPr>
                <w:sz w:val="20"/>
              </w:rPr>
            </w:pPr>
            <w:r>
              <w:rPr>
                <w:sz w:val="20"/>
              </w:rPr>
              <w:t>Evoke</w:t>
            </w:r>
            <w:r>
              <w:rPr>
                <w:spacing w:val="-9"/>
                <w:sz w:val="20"/>
              </w:rPr>
              <w:t xml:space="preserve"> </w:t>
            </w:r>
            <w:r>
              <w:rPr>
                <w:sz w:val="20"/>
              </w:rPr>
              <w:t>concern</w:t>
            </w:r>
            <w:r>
              <w:rPr>
                <w:spacing w:val="-6"/>
                <w:sz w:val="20"/>
              </w:rPr>
              <w:t xml:space="preserve"> </w:t>
            </w:r>
            <w:r>
              <w:rPr>
                <w:sz w:val="20"/>
              </w:rPr>
              <w:t>about</w:t>
            </w:r>
            <w:r>
              <w:rPr>
                <w:spacing w:val="-7"/>
                <w:sz w:val="20"/>
              </w:rPr>
              <w:t xml:space="preserve"> </w:t>
            </w:r>
            <w:r>
              <w:rPr>
                <w:sz w:val="20"/>
              </w:rPr>
              <w:t>the</w:t>
            </w:r>
            <w:r>
              <w:rPr>
                <w:spacing w:val="-8"/>
                <w:sz w:val="20"/>
              </w:rPr>
              <w:t xml:space="preserve"> </w:t>
            </w:r>
            <w:r>
              <w:rPr>
                <w:sz w:val="20"/>
              </w:rPr>
              <w:t>client’s</w:t>
            </w:r>
            <w:r>
              <w:rPr>
                <w:spacing w:val="-8"/>
                <w:sz w:val="20"/>
              </w:rPr>
              <w:t xml:space="preserve"> </w:t>
            </w:r>
            <w:r>
              <w:rPr>
                <w:sz w:val="20"/>
              </w:rPr>
              <w:t>substance</w:t>
            </w:r>
            <w:r>
              <w:rPr>
                <w:spacing w:val="-8"/>
                <w:sz w:val="20"/>
              </w:rPr>
              <w:t xml:space="preserve"> </w:t>
            </w:r>
            <w:r>
              <w:rPr>
                <w:spacing w:val="-4"/>
                <w:sz w:val="20"/>
              </w:rPr>
              <w:t>use.</w:t>
            </w:r>
          </w:p>
          <w:p w14:paraId="01EDD800" w14:textId="77777777" w:rsidR="00DB6E1F" w:rsidRDefault="00F666A6">
            <w:pPr>
              <w:pStyle w:val="TableParagraph"/>
              <w:numPr>
                <w:ilvl w:val="0"/>
                <w:numId w:val="68"/>
              </w:numPr>
              <w:tabs>
                <w:tab w:val="left" w:pos="465"/>
                <w:tab w:val="left" w:pos="466"/>
              </w:tabs>
              <w:spacing w:before="40"/>
              <w:ind w:hanging="361"/>
              <w:rPr>
                <w:sz w:val="20"/>
              </w:rPr>
            </w:pPr>
            <w:r>
              <w:rPr>
                <w:sz w:val="20"/>
              </w:rPr>
              <w:t>Provide</w:t>
            </w:r>
            <w:r>
              <w:rPr>
                <w:spacing w:val="-10"/>
                <w:sz w:val="20"/>
              </w:rPr>
              <w:t xml:space="preserve"> </w:t>
            </w:r>
            <w:r>
              <w:rPr>
                <w:sz w:val="20"/>
              </w:rPr>
              <w:t>personalized</w:t>
            </w:r>
            <w:r>
              <w:rPr>
                <w:spacing w:val="-9"/>
                <w:sz w:val="20"/>
              </w:rPr>
              <w:t xml:space="preserve"> </w:t>
            </w:r>
            <w:r>
              <w:rPr>
                <w:sz w:val="20"/>
              </w:rPr>
              <w:t>feedback</w:t>
            </w:r>
            <w:r>
              <w:rPr>
                <w:spacing w:val="-8"/>
                <w:sz w:val="20"/>
              </w:rPr>
              <w:t xml:space="preserve"> </w:t>
            </w:r>
            <w:r>
              <w:rPr>
                <w:sz w:val="20"/>
              </w:rPr>
              <w:t>on</w:t>
            </w:r>
            <w:r>
              <w:rPr>
                <w:spacing w:val="-9"/>
                <w:sz w:val="20"/>
              </w:rPr>
              <w:t xml:space="preserve"> </w:t>
            </w:r>
            <w:r>
              <w:rPr>
                <w:sz w:val="20"/>
              </w:rPr>
              <w:t>assessment</w:t>
            </w:r>
            <w:r>
              <w:rPr>
                <w:spacing w:val="-9"/>
                <w:sz w:val="20"/>
              </w:rPr>
              <w:t xml:space="preserve"> </w:t>
            </w:r>
            <w:r>
              <w:rPr>
                <w:spacing w:val="-2"/>
                <w:sz w:val="20"/>
              </w:rPr>
              <w:t>findings.</w:t>
            </w:r>
          </w:p>
          <w:p w14:paraId="1C8417C6" w14:textId="77777777" w:rsidR="00DB6E1F" w:rsidRDefault="00F666A6">
            <w:pPr>
              <w:pStyle w:val="TableParagraph"/>
              <w:numPr>
                <w:ilvl w:val="0"/>
                <w:numId w:val="68"/>
              </w:numPr>
              <w:tabs>
                <w:tab w:val="left" w:pos="465"/>
                <w:tab w:val="left" w:pos="466"/>
              </w:tabs>
              <w:spacing w:before="41"/>
              <w:ind w:left="466" w:right="265" w:hanging="361"/>
              <w:rPr>
                <w:sz w:val="20"/>
              </w:rPr>
            </w:pPr>
            <w:r>
              <w:rPr>
                <w:sz w:val="20"/>
              </w:rPr>
              <w:t>Involve</w:t>
            </w:r>
            <w:r>
              <w:rPr>
                <w:spacing w:val="-6"/>
                <w:sz w:val="20"/>
              </w:rPr>
              <w:t xml:space="preserve"> </w:t>
            </w:r>
            <w:r>
              <w:rPr>
                <w:sz w:val="20"/>
              </w:rPr>
              <w:t>SOs</w:t>
            </w:r>
            <w:r>
              <w:rPr>
                <w:spacing w:val="-6"/>
                <w:sz w:val="20"/>
              </w:rPr>
              <w:t xml:space="preserve"> </w:t>
            </w:r>
            <w:r>
              <w:rPr>
                <w:sz w:val="20"/>
              </w:rPr>
              <w:t>in</w:t>
            </w:r>
            <w:r>
              <w:rPr>
                <w:spacing w:val="-4"/>
                <w:sz w:val="20"/>
              </w:rPr>
              <w:t xml:space="preserve"> </w:t>
            </w:r>
            <w:r>
              <w:rPr>
                <w:sz w:val="20"/>
              </w:rPr>
              <w:t>treatment</w:t>
            </w:r>
            <w:r>
              <w:rPr>
                <w:spacing w:val="-5"/>
                <w:sz w:val="20"/>
              </w:rPr>
              <w:t xml:space="preserve"> </w:t>
            </w:r>
            <w:r>
              <w:rPr>
                <w:sz w:val="20"/>
              </w:rPr>
              <w:t>to</w:t>
            </w:r>
            <w:r>
              <w:rPr>
                <w:spacing w:val="-5"/>
                <w:sz w:val="20"/>
              </w:rPr>
              <w:t xml:space="preserve"> </w:t>
            </w:r>
            <w:r>
              <w:rPr>
                <w:sz w:val="20"/>
              </w:rPr>
              <w:t>raise</w:t>
            </w:r>
            <w:r>
              <w:rPr>
                <w:spacing w:val="-6"/>
                <w:sz w:val="20"/>
              </w:rPr>
              <w:t xml:space="preserve"> </w:t>
            </w:r>
            <w:r>
              <w:rPr>
                <w:sz w:val="20"/>
              </w:rPr>
              <w:t>concern</w:t>
            </w:r>
            <w:r>
              <w:rPr>
                <w:spacing w:val="-4"/>
                <w:sz w:val="20"/>
              </w:rPr>
              <w:t xml:space="preserve"> </w:t>
            </w:r>
            <w:r>
              <w:rPr>
                <w:sz w:val="20"/>
              </w:rPr>
              <w:t>about</w:t>
            </w:r>
            <w:r>
              <w:rPr>
                <w:spacing w:val="-5"/>
                <w:sz w:val="20"/>
              </w:rPr>
              <w:t xml:space="preserve"> </w:t>
            </w:r>
            <w:r>
              <w:rPr>
                <w:sz w:val="20"/>
              </w:rPr>
              <w:t>the client’s substance use.</w:t>
            </w:r>
          </w:p>
          <w:p w14:paraId="1290BB03" w14:textId="77777777" w:rsidR="00DB6E1F" w:rsidRDefault="00F666A6">
            <w:pPr>
              <w:pStyle w:val="TableParagraph"/>
              <w:numPr>
                <w:ilvl w:val="0"/>
                <w:numId w:val="68"/>
              </w:numPr>
              <w:tabs>
                <w:tab w:val="left" w:pos="465"/>
                <w:tab w:val="left" w:pos="466"/>
              </w:tabs>
              <w:spacing w:before="38"/>
              <w:rPr>
                <w:sz w:val="20"/>
              </w:rPr>
            </w:pPr>
            <w:r>
              <w:rPr>
                <w:sz w:val="20"/>
              </w:rPr>
              <w:t>Express</w:t>
            </w:r>
            <w:r>
              <w:rPr>
                <w:spacing w:val="-6"/>
                <w:sz w:val="20"/>
              </w:rPr>
              <w:t xml:space="preserve"> </w:t>
            </w:r>
            <w:r>
              <w:rPr>
                <w:sz w:val="20"/>
              </w:rPr>
              <w:t>concern,</w:t>
            </w:r>
            <w:r>
              <w:rPr>
                <w:spacing w:val="-4"/>
                <w:sz w:val="20"/>
              </w:rPr>
              <w:t xml:space="preserve"> </w:t>
            </w:r>
            <w:r>
              <w:rPr>
                <w:sz w:val="20"/>
              </w:rPr>
              <w:t>and</w:t>
            </w:r>
            <w:r>
              <w:rPr>
                <w:spacing w:val="-4"/>
                <w:sz w:val="20"/>
              </w:rPr>
              <w:t xml:space="preserve"> </w:t>
            </w:r>
            <w:r>
              <w:rPr>
                <w:sz w:val="20"/>
              </w:rPr>
              <w:t>leave</w:t>
            </w:r>
            <w:r>
              <w:rPr>
                <w:spacing w:val="-6"/>
                <w:sz w:val="20"/>
              </w:rPr>
              <w:t xml:space="preserve"> </w:t>
            </w:r>
            <w:r>
              <w:rPr>
                <w:sz w:val="20"/>
              </w:rPr>
              <w:t>the</w:t>
            </w:r>
            <w:r>
              <w:rPr>
                <w:spacing w:val="-6"/>
                <w:sz w:val="20"/>
              </w:rPr>
              <w:t xml:space="preserve"> </w:t>
            </w:r>
            <w:r>
              <w:rPr>
                <w:sz w:val="20"/>
              </w:rPr>
              <w:t>door</w:t>
            </w:r>
            <w:r>
              <w:rPr>
                <w:spacing w:val="-5"/>
                <w:sz w:val="20"/>
              </w:rPr>
              <w:t xml:space="preserve"> </w:t>
            </w:r>
            <w:r>
              <w:rPr>
                <w:spacing w:val="-4"/>
                <w:sz w:val="20"/>
              </w:rPr>
              <w:t>open.</w:t>
            </w:r>
          </w:p>
        </w:tc>
      </w:tr>
    </w:tbl>
    <w:p w14:paraId="545377F4" w14:textId="77777777" w:rsidR="00DB6E1F" w:rsidRDefault="00F666A6">
      <w:pPr>
        <w:pStyle w:val="Heading2"/>
        <w:spacing w:before="8"/>
      </w:pPr>
      <w:bookmarkStart w:id="124" w:name="Develop_Rapport_and_Build_Trust"/>
      <w:bookmarkStart w:id="125" w:name="_bookmark26"/>
      <w:bookmarkEnd w:id="124"/>
      <w:bookmarkEnd w:id="125"/>
      <w:r>
        <w:t>Develop</w:t>
      </w:r>
      <w:r>
        <w:rPr>
          <w:spacing w:val="-4"/>
        </w:rPr>
        <w:t xml:space="preserve"> </w:t>
      </w:r>
      <w:r>
        <w:t>Rapport</w:t>
      </w:r>
      <w:r>
        <w:rPr>
          <w:spacing w:val="-2"/>
        </w:rPr>
        <w:t xml:space="preserve"> </w:t>
      </w:r>
      <w:r>
        <w:t>and</w:t>
      </w:r>
      <w:r>
        <w:rPr>
          <w:spacing w:val="-1"/>
        </w:rPr>
        <w:t xml:space="preserve"> </w:t>
      </w:r>
      <w:r>
        <w:t>Build</w:t>
      </w:r>
      <w:r>
        <w:rPr>
          <w:spacing w:val="-2"/>
        </w:rPr>
        <w:t xml:space="preserve"> </w:t>
      </w:r>
      <w:r>
        <w:rPr>
          <w:spacing w:val="-4"/>
        </w:rPr>
        <w:t>Trust</w:t>
      </w:r>
    </w:p>
    <w:p w14:paraId="212D9DB0" w14:textId="77777777" w:rsidR="00DB6E1F" w:rsidRDefault="00F666A6">
      <w:pPr>
        <w:spacing w:before="150"/>
        <w:ind w:left="1439" w:right="1444"/>
      </w:pPr>
      <w:r>
        <w:rPr>
          <w:b/>
        </w:rPr>
        <w:t>Before you raise the topic of change with people who are not thinking about it, establish rapport and trust.</w:t>
      </w:r>
      <w:r>
        <w:rPr>
          <w:b/>
          <w:spacing w:val="-1"/>
        </w:rPr>
        <w:t xml:space="preserve"> </w:t>
      </w:r>
      <w:r>
        <w:t>The</w:t>
      </w:r>
      <w:r>
        <w:rPr>
          <w:spacing w:val="-4"/>
        </w:rPr>
        <w:t xml:space="preserve"> </w:t>
      </w:r>
      <w:r>
        <w:t>challenge</w:t>
      </w:r>
      <w:r>
        <w:rPr>
          <w:spacing w:val="-4"/>
        </w:rPr>
        <w:t xml:space="preserve"> </w:t>
      </w:r>
      <w:r>
        <w:t>is</w:t>
      </w:r>
      <w:r>
        <w:rPr>
          <w:spacing w:val="-2"/>
        </w:rPr>
        <w:t xml:space="preserve"> </w:t>
      </w:r>
      <w:r>
        <w:t>to</w:t>
      </w:r>
      <w:r>
        <w:rPr>
          <w:spacing w:val="-1"/>
        </w:rPr>
        <w:t xml:space="preserve"> </w:t>
      </w:r>
      <w:r>
        <w:t>create</w:t>
      </w:r>
      <w:r>
        <w:rPr>
          <w:spacing w:val="-4"/>
        </w:rPr>
        <w:t xml:space="preserve"> </w:t>
      </w:r>
      <w:r>
        <w:t>a</w:t>
      </w:r>
      <w:r>
        <w:rPr>
          <w:spacing w:val="-2"/>
        </w:rPr>
        <w:t xml:space="preserve"> </w:t>
      </w:r>
      <w:r>
        <w:t>safe</w:t>
      </w:r>
      <w:r>
        <w:rPr>
          <w:spacing w:val="-4"/>
        </w:rPr>
        <w:t xml:space="preserve"> </w:t>
      </w:r>
      <w:r>
        <w:t>and</w:t>
      </w:r>
      <w:r>
        <w:rPr>
          <w:spacing w:val="-3"/>
        </w:rPr>
        <w:t xml:space="preserve"> </w:t>
      </w:r>
      <w:r>
        <w:t>supportive</w:t>
      </w:r>
      <w:r>
        <w:rPr>
          <w:spacing w:val="-6"/>
        </w:rPr>
        <w:t xml:space="preserve"> </w:t>
      </w:r>
      <w:r>
        <w:t>environment</w:t>
      </w:r>
      <w:r>
        <w:rPr>
          <w:spacing w:val="-2"/>
        </w:rPr>
        <w:t xml:space="preserve"> </w:t>
      </w:r>
      <w:r>
        <w:t>in</w:t>
      </w:r>
      <w:r>
        <w:rPr>
          <w:spacing w:val="-3"/>
        </w:rPr>
        <w:t xml:space="preserve"> </w:t>
      </w:r>
      <w:r>
        <w:t>which</w:t>
      </w:r>
      <w:r>
        <w:rPr>
          <w:spacing w:val="-5"/>
        </w:rPr>
        <w:t xml:space="preserve"> </w:t>
      </w:r>
      <w:r>
        <w:t>clients</w:t>
      </w:r>
      <w:r>
        <w:rPr>
          <w:spacing w:val="-2"/>
        </w:rPr>
        <w:t xml:space="preserve"> </w:t>
      </w:r>
      <w:r>
        <w:t>can</w:t>
      </w:r>
      <w:r>
        <w:rPr>
          <w:spacing w:val="-3"/>
        </w:rPr>
        <w:t xml:space="preserve"> </w:t>
      </w:r>
      <w:r>
        <w:t>feel</w:t>
      </w:r>
      <w:r>
        <w:rPr>
          <w:spacing w:val="-2"/>
        </w:rPr>
        <w:t xml:space="preserve"> </w:t>
      </w:r>
      <w:r>
        <w:t>comfortable about engaging in authentic dialog. As clients become more engaged in counseling, their defensiveness and reluctance to change decreases (Prochaska, Norcross, &amp; DiClemente, 2013). Some motivational strategies for establishing rapport in initial</w:t>
      </w:r>
      <w:r>
        <w:t xml:space="preserve"> conversations about behavior change include:</w:t>
      </w:r>
    </w:p>
    <w:p w14:paraId="6E073ECE" w14:textId="77777777" w:rsidR="00DB6E1F" w:rsidRDefault="00F666A6">
      <w:pPr>
        <w:pStyle w:val="ListParagraph"/>
        <w:numPr>
          <w:ilvl w:val="0"/>
          <w:numId w:val="92"/>
        </w:numPr>
        <w:tabs>
          <w:tab w:val="left" w:pos="1799"/>
          <w:tab w:val="left" w:pos="1800"/>
        </w:tabs>
        <w:spacing w:before="61"/>
        <w:ind w:left="1799" w:right="1963"/>
        <w:rPr>
          <w:rFonts w:ascii="Symbol" w:hAnsi="Symbol"/>
        </w:rPr>
      </w:pPr>
      <w:r>
        <w:rPr>
          <w:b/>
        </w:rPr>
        <w:t>Asking</w:t>
      </w:r>
      <w:r>
        <w:rPr>
          <w:b/>
          <w:spacing w:val="-2"/>
        </w:rPr>
        <w:t xml:space="preserve"> </w:t>
      </w:r>
      <w:r>
        <w:rPr>
          <w:b/>
        </w:rPr>
        <w:t>the</w:t>
      </w:r>
      <w:r>
        <w:rPr>
          <w:b/>
          <w:spacing w:val="-5"/>
        </w:rPr>
        <w:t xml:space="preserve"> </w:t>
      </w:r>
      <w:r>
        <w:rPr>
          <w:b/>
        </w:rPr>
        <w:t>client</w:t>
      </w:r>
      <w:r>
        <w:rPr>
          <w:b/>
          <w:spacing w:val="-2"/>
        </w:rPr>
        <w:t xml:space="preserve"> </w:t>
      </w:r>
      <w:r>
        <w:rPr>
          <w:b/>
        </w:rPr>
        <w:t>for</w:t>
      </w:r>
      <w:r>
        <w:rPr>
          <w:b/>
          <w:spacing w:val="-2"/>
        </w:rPr>
        <w:t xml:space="preserve"> </w:t>
      </w:r>
      <w:r>
        <w:rPr>
          <w:b/>
        </w:rPr>
        <w:t>permission</w:t>
      </w:r>
      <w:r>
        <w:rPr>
          <w:b/>
          <w:spacing w:val="-4"/>
        </w:rPr>
        <w:t xml:space="preserve"> </w:t>
      </w:r>
      <w:r>
        <w:t>to</w:t>
      </w:r>
      <w:r>
        <w:rPr>
          <w:spacing w:val="-2"/>
        </w:rPr>
        <w:t xml:space="preserve"> </w:t>
      </w:r>
      <w:r>
        <w:t>address</w:t>
      </w:r>
      <w:r>
        <w:rPr>
          <w:spacing w:val="-3"/>
        </w:rPr>
        <w:t xml:space="preserve"> </w:t>
      </w:r>
      <w:r>
        <w:t>the</w:t>
      </w:r>
      <w:r>
        <w:rPr>
          <w:spacing w:val="-2"/>
        </w:rPr>
        <w:t xml:space="preserve"> </w:t>
      </w:r>
      <w:r>
        <w:t>topic</w:t>
      </w:r>
      <w:r>
        <w:rPr>
          <w:spacing w:val="-4"/>
        </w:rPr>
        <w:t xml:space="preserve"> </w:t>
      </w:r>
      <w:r>
        <w:t>of</w:t>
      </w:r>
      <w:r>
        <w:rPr>
          <w:spacing w:val="-3"/>
        </w:rPr>
        <w:t xml:space="preserve"> </w:t>
      </w:r>
      <w:r>
        <w:t>changing</w:t>
      </w:r>
      <w:r>
        <w:rPr>
          <w:spacing w:val="-4"/>
        </w:rPr>
        <w:t xml:space="preserve"> </w:t>
      </w:r>
      <w:r>
        <w:t>substance</w:t>
      </w:r>
      <w:r>
        <w:rPr>
          <w:spacing w:val="-2"/>
        </w:rPr>
        <w:t xml:space="preserve"> </w:t>
      </w:r>
      <w:r>
        <w:t>use</w:t>
      </w:r>
      <w:r>
        <w:rPr>
          <w:spacing w:val="-4"/>
        </w:rPr>
        <w:t xml:space="preserve"> </w:t>
      </w:r>
      <w:r>
        <w:t>behaviors;</w:t>
      </w:r>
      <w:r>
        <w:rPr>
          <w:spacing w:val="-4"/>
        </w:rPr>
        <w:t xml:space="preserve"> </w:t>
      </w:r>
      <w:r>
        <w:t>this shows respect for the client’s autonomy.</w:t>
      </w:r>
    </w:p>
    <w:p w14:paraId="270144D2" w14:textId="77777777" w:rsidR="00DB6E1F" w:rsidRDefault="00F666A6">
      <w:pPr>
        <w:pStyle w:val="ListParagraph"/>
        <w:numPr>
          <w:ilvl w:val="0"/>
          <w:numId w:val="92"/>
        </w:numPr>
        <w:tabs>
          <w:tab w:val="left" w:pos="1799"/>
          <w:tab w:val="left" w:pos="1800"/>
        </w:tabs>
        <w:spacing w:before="58"/>
        <w:ind w:left="1799" w:right="1505"/>
        <w:rPr>
          <w:rFonts w:ascii="Symbol" w:hAnsi="Symbol"/>
        </w:rPr>
      </w:pPr>
      <w:r>
        <w:rPr>
          <w:b/>
        </w:rPr>
        <w:t>Telling</w:t>
      </w:r>
      <w:r>
        <w:rPr>
          <w:b/>
          <w:spacing w:val="-1"/>
        </w:rPr>
        <w:t xml:space="preserve"> </w:t>
      </w:r>
      <w:r>
        <w:rPr>
          <w:b/>
        </w:rPr>
        <w:t>the</w:t>
      </w:r>
      <w:r>
        <w:rPr>
          <w:b/>
          <w:spacing w:val="-1"/>
        </w:rPr>
        <w:t xml:space="preserve"> </w:t>
      </w:r>
      <w:r>
        <w:rPr>
          <w:b/>
        </w:rPr>
        <w:t>client</w:t>
      </w:r>
      <w:r>
        <w:rPr>
          <w:b/>
          <w:spacing w:val="-2"/>
        </w:rPr>
        <w:t xml:space="preserve"> </w:t>
      </w:r>
      <w:r>
        <w:rPr>
          <w:b/>
        </w:rPr>
        <w:t>something about how you</w:t>
      </w:r>
      <w:r>
        <w:rPr>
          <w:b/>
          <w:spacing w:val="-1"/>
        </w:rPr>
        <w:t xml:space="preserve"> </w:t>
      </w:r>
      <w:r>
        <w:rPr>
          <w:b/>
        </w:rPr>
        <w:t>or</w:t>
      </w:r>
      <w:r>
        <w:rPr>
          <w:b/>
          <w:spacing w:val="-2"/>
        </w:rPr>
        <w:t xml:space="preserve"> </w:t>
      </w:r>
      <w:r>
        <w:rPr>
          <w:b/>
        </w:rPr>
        <w:t>your program</w:t>
      </w:r>
      <w:r>
        <w:rPr>
          <w:b/>
          <w:spacing w:val="-2"/>
        </w:rPr>
        <w:t xml:space="preserve"> </w:t>
      </w:r>
      <w:r>
        <w:rPr>
          <w:b/>
        </w:rPr>
        <w:t>operates and</w:t>
      </w:r>
      <w:r>
        <w:rPr>
          <w:b/>
          <w:spacing w:val="-1"/>
        </w:rPr>
        <w:t xml:space="preserve"> </w:t>
      </w:r>
      <w:r>
        <w:rPr>
          <w:b/>
        </w:rPr>
        <w:t>h</w:t>
      </w:r>
      <w:r>
        <w:rPr>
          <w:b/>
        </w:rPr>
        <w:t>ow</w:t>
      </w:r>
      <w:r>
        <w:rPr>
          <w:b/>
          <w:spacing w:val="-1"/>
        </w:rPr>
        <w:t xml:space="preserve"> </w:t>
      </w:r>
      <w:r>
        <w:rPr>
          <w:b/>
        </w:rPr>
        <w:t>you</w:t>
      </w:r>
      <w:r>
        <w:rPr>
          <w:b/>
          <w:spacing w:val="-1"/>
        </w:rPr>
        <w:t xml:space="preserve"> </w:t>
      </w:r>
      <w:r>
        <w:rPr>
          <w:b/>
        </w:rPr>
        <w:t>and</w:t>
      </w:r>
      <w:r>
        <w:rPr>
          <w:b/>
          <w:spacing w:val="-1"/>
        </w:rPr>
        <w:t xml:space="preserve"> </w:t>
      </w:r>
      <w:r>
        <w:rPr>
          <w:b/>
        </w:rPr>
        <w:t>the</w:t>
      </w:r>
      <w:r>
        <w:rPr>
          <w:b/>
          <w:spacing w:val="-1"/>
        </w:rPr>
        <w:t xml:space="preserve"> </w:t>
      </w:r>
      <w:r>
        <w:rPr>
          <w:b/>
        </w:rPr>
        <w:t>client could</w:t>
      </w:r>
      <w:r>
        <w:rPr>
          <w:b/>
          <w:spacing w:val="-3"/>
        </w:rPr>
        <w:t xml:space="preserve"> </w:t>
      </w:r>
      <w:r>
        <w:rPr>
          <w:b/>
        </w:rPr>
        <w:t>work</w:t>
      </w:r>
      <w:r>
        <w:rPr>
          <w:b/>
          <w:spacing w:val="-2"/>
        </w:rPr>
        <w:t xml:space="preserve"> </w:t>
      </w:r>
      <w:r>
        <w:rPr>
          <w:b/>
        </w:rPr>
        <w:t>together.</w:t>
      </w:r>
      <w:r>
        <w:rPr>
          <w:b/>
          <w:spacing w:val="-1"/>
        </w:rPr>
        <w:t xml:space="preserve"> </w:t>
      </w:r>
      <w:r>
        <w:t>State</w:t>
      </w:r>
      <w:r>
        <w:rPr>
          <w:spacing w:val="-4"/>
        </w:rPr>
        <w:t xml:space="preserve"> </w:t>
      </w:r>
      <w:r>
        <w:t>how</w:t>
      </w:r>
      <w:r>
        <w:rPr>
          <w:spacing w:val="-4"/>
        </w:rPr>
        <w:t xml:space="preserve"> </w:t>
      </w:r>
      <w:r>
        <w:t>long</w:t>
      </w:r>
      <w:r>
        <w:rPr>
          <w:spacing w:val="-3"/>
        </w:rPr>
        <w:t xml:space="preserve"> </w:t>
      </w:r>
      <w:r>
        <w:t>sessions</w:t>
      </w:r>
      <w:r>
        <w:rPr>
          <w:spacing w:val="-2"/>
        </w:rPr>
        <w:t xml:space="preserve"> </w:t>
      </w:r>
      <w:r>
        <w:t>will</w:t>
      </w:r>
      <w:r>
        <w:rPr>
          <w:spacing w:val="-2"/>
        </w:rPr>
        <w:t xml:space="preserve"> </w:t>
      </w:r>
      <w:r>
        <w:t>last</w:t>
      </w:r>
      <w:r>
        <w:rPr>
          <w:spacing w:val="-4"/>
        </w:rPr>
        <w:t xml:space="preserve"> </w:t>
      </w:r>
      <w:r>
        <w:t>and</w:t>
      </w:r>
      <w:r>
        <w:rPr>
          <w:spacing w:val="-3"/>
        </w:rPr>
        <w:t xml:space="preserve"> </w:t>
      </w:r>
      <w:r>
        <w:t>what</w:t>
      </w:r>
      <w:r>
        <w:rPr>
          <w:spacing w:val="-1"/>
        </w:rPr>
        <w:t xml:space="preserve"> </w:t>
      </w:r>
      <w:r>
        <w:t>you</w:t>
      </w:r>
      <w:r>
        <w:rPr>
          <w:spacing w:val="-5"/>
        </w:rPr>
        <w:t xml:space="preserve"> </w:t>
      </w:r>
      <w:r>
        <w:t>expect</w:t>
      </w:r>
      <w:r>
        <w:rPr>
          <w:spacing w:val="-1"/>
        </w:rPr>
        <w:t xml:space="preserve"> </w:t>
      </w:r>
      <w:r>
        <w:t>to</w:t>
      </w:r>
      <w:r>
        <w:rPr>
          <w:spacing w:val="-1"/>
        </w:rPr>
        <w:t xml:space="preserve"> </w:t>
      </w:r>
      <w:r>
        <w:t>accomplish</w:t>
      </w:r>
      <w:r>
        <w:rPr>
          <w:spacing w:val="-3"/>
        </w:rPr>
        <w:t xml:space="preserve"> </w:t>
      </w:r>
      <w:r>
        <w:t>both</w:t>
      </w:r>
      <w:r>
        <w:rPr>
          <w:spacing w:val="-3"/>
        </w:rPr>
        <w:t xml:space="preserve"> </w:t>
      </w:r>
      <w:r>
        <w:t>now and over a specified time. Try not to overwhelm the new client with all the program’s rules and regulations. Specify what assessments</w:t>
      </w:r>
      <w:r>
        <w:rPr>
          <w:spacing w:val="-1"/>
        </w:rPr>
        <w:t xml:space="preserve"> </w:t>
      </w:r>
      <w:r>
        <w:t>or</w:t>
      </w:r>
      <w:r>
        <w:rPr>
          <w:spacing w:val="-2"/>
        </w:rPr>
        <w:t xml:space="preserve"> </w:t>
      </w:r>
      <w:r>
        <w:t>other formal</w:t>
      </w:r>
      <w:r>
        <w:rPr>
          <w:spacing w:val="-2"/>
        </w:rPr>
        <w:t xml:space="preserve"> </w:t>
      </w:r>
      <w:r>
        <w:t>arrangements</w:t>
      </w:r>
      <w:r>
        <w:rPr>
          <w:spacing w:val="-1"/>
        </w:rPr>
        <w:t xml:space="preserve"> </w:t>
      </w:r>
      <w:r>
        <w:t>will be needed, if appropriate.</w:t>
      </w:r>
    </w:p>
    <w:p w14:paraId="76B9F9FD" w14:textId="77777777" w:rsidR="00DB6E1F" w:rsidRDefault="00F666A6">
      <w:pPr>
        <w:pStyle w:val="ListParagraph"/>
        <w:numPr>
          <w:ilvl w:val="0"/>
          <w:numId w:val="92"/>
        </w:numPr>
        <w:tabs>
          <w:tab w:val="left" w:pos="1800"/>
          <w:tab w:val="left" w:pos="1801"/>
        </w:tabs>
        <w:spacing w:before="61"/>
        <w:ind w:left="1800" w:right="1582" w:hanging="360"/>
        <w:rPr>
          <w:rFonts w:ascii="Symbol" w:hAnsi="Symbol"/>
        </w:rPr>
      </w:pPr>
      <w:r>
        <w:rPr>
          <w:b/>
        </w:rPr>
        <w:t xml:space="preserve">Raising confidentiality issues up front. </w:t>
      </w:r>
      <w:r>
        <w:t xml:space="preserve">You must inform </w:t>
      </w:r>
      <w:r>
        <w:t>the client which information will be kept private,</w:t>
      </w:r>
      <w:r>
        <w:rPr>
          <w:spacing w:val="-4"/>
        </w:rPr>
        <w:t xml:space="preserve"> </w:t>
      </w:r>
      <w:r>
        <w:t>which</w:t>
      </w:r>
      <w:r>
        <w:rPr>
          <w:spacing w:val="-3"/>
        </w:rPr>
        <w:t xml:space="preserve"> </w:t>
      </w:r>
      <w:r>
        <w:t>can</w:t>
      </w:r>
      <w:r>
        <w:rPr>
          <w:spacing w:val="-3"/>
        </w:rPr>
        <w:t xml:space="preserve"> </w:t>
      </w:r>
      <w:r>
        <w:t>be</w:t>
      </w:r>
      <w:r>
        <w:rPr>
          <w:spacing w:val="-2"/>
        </w:rPr>
        <w:t xml:space="preserve"> </w:t>
      </w:r>
      <w:r>
        <w:t>released</w:t>
      </w:r>
      <w:r>
        <w:rPr>
          <w:spacing w:val="-3"/>
        </w:rPr>
        <w:t xml:space="preserve"> </w:t>
      </w:r>
      <w:r>
        <w:t>with</w:t>
      </w:r>
      <w:r>
        <w:rPr>
          <w:spacing w:val="-3"/>
        </w:rPr>
        <w:t xml:space="preserve"> </w:t>
      </w:r>
      <w:r>
        <w:t>permission,</w:t>
      </w:r>
      <w:r>
        <w:rPr>
          <w:spacing w:val="-4"/>
        </w:rPr>
        <w:t xml:space="preserve"> </w:t>
      </w:r>
      <w:r>
        <w:t>and</w:t>
      </w:r>
      <w:r>
        <w:rPr>
          <w:spacing w:val="-3"/>
        </w:rPr>
        <w:t xml:space="preserve"> </w:t>
      </w:r>
      <w:r>
        <w:t>which</w:t>
      </w:r>
      <w:r>
        <w:rPr>
          <w:spacing w:val="-3"/>
        </w:rPr>
        <w:t xml:space="preserve"> </w:t>
      </w:r>
      <w:r>
        <w:t>must</w:t>
      </w:r>
      <w:r>
        <w:rPr>
          <w:spacing w:val="-2"/>
        </w:rPr>
        <w:t xml:space="preserve"> </w:t>
      </w:r>
      <w:r>
        <w:t>be</w:t>
      </w:r>
      <w:r>
        <w:rPr>
          <w:spacing w:val="-1"/>
        </w:rPr>
        <w:t xml:space="preserve"> </w:t>
      </w:r>
      <w:r>
        <w:t>sent</w:t>
      </w:r>
      <w:r>
        <w:rPr>
          <w:spacing w:val="-2"/>
        </w:rPr>
        <w:t xml:space="preserve"> </w:t>
      </w:r>
      <w:r>
        <w:t>back</w:t>
      </w:r>
      <w:r>
        <w:rPr>
          <w:spacing w:val="-4"/>
        </w:rPr>
        <w:t xml:space="preserve"> </w:t>
      </w:r>
      <w:r>
        <w:t>to</w:t>
      </w:r>
      <w:r>
        <w:rPr>
          <w:spacing w:val="-1"/>
        </w:rPr>
        <w:t xml:space="preserve"> </w:t>
      </w:r>
      <w:r>
        <w:t>a</w:t>
      </w:r>
      <w:r>
        <w:rPr>
          <w:spacing w:val="-5"/>
        </w:rPr>
        <w:t xml:space="preserve"> </w:t>
      </w:r>
      <w:r>
        <w:t>referring</w:t>
      </w:r>
      <w:r>
        <w:rPr>
          <w:spacing w:val="-3"/>
        </w:rPr>
        <w:t xml:space="preserve"> </w:t>
      </w:r>
      <w:r>
        <w:t>agency.</w:t>
      </w:r>
    </w:p>
    <w:p w14:paraId="57B8469C" w14:textId="77777777" w:rsidR="00DB6E1F" w:rsidRDefault="00F666A6">
      <w:pPr>
        <w:pStyle w:val="ListParagraph"/>
        <w:numPr>
          <w:ilvl w:val="0"/>
          <w:numId w:val="92"/>
        </w:numPr>
        <w:tabs>
          <w:tab w:val="left" w:pos="1800"/>
          <w:tab w:val="left" w:pos="1801"/>
        </w:tabs>
        <w:spacing w:before="59"/>
        <w:ind w:left="1800" w:right="1628"/>
        <w:rPr>
          <w:rFonts w:ascii="Symbol" w:hAnsi="Symbol"/>
        </w:rPr>
      </w:pPr>
      <w:r>
        <w:rPr>
          <w:b/>
        </w:rPr>
        <w:t>Explaining</w:t>
      </w:r>
      <w:r>
        <w:rPr>
          <w:b/>
          <w:spacing w:val="-4"/>
        </w:rPr>
        <w:t xml:space="preserve"> </w:t>
      </w:r>
      <w:r>
        <w:rPr>
          <w:b/>
        </w:rPr>
        <w:t>that</w:t>
      </w:r>
      <w:r>
        <w:rPr>
          <w:b/>
          <w:spacing w:val="-2"/>
        </w:rPr>
        <w:t xml:space="preserve"> </w:t>
      </w:r>
      <w:r>
        <w:rPr>
          <w:b/>
        </w:rPr>
        <w:t>you</w:t>
      </w:r>
      <w:r>
        <w:rPr>
          <w:b/>
          <w:spacing w:val="-5"/>
        </w:rPr>
        <w:t xml:space="preserve"> </w:t>
      </w:r>
      <w:r>
        <w:rPr>
          <w:b/>
        </w:rPr>
        <w:t>will</w:t>
      </w:r>
      <w:r>
        <w:rPr>
          <w:b/>
          <w:spacing w:val="-3"/>
        </w:rPr>
        <w:t xml:space="preserve"> </w:t>
      </w:r>
      <w:r>
        <w:rPr>
          <w:b/>
        </w:rPr>
        <w:t>not</w:t>
      </w:r>
      <w:r>
        <w:rPr>
          <w:b/>
          <w:spacing w:val="-2"/>
        </w:rPr>
        <w:t xml:space="preserve"> </w:t>
      </w:r>
      <w:r>
        <w:rPr>
          <w:b/>
        </w:rPr>
        <w:t>tell</w:t>
      </w:r>
      <w:r>
        <w:rPr>
          <w:b/>
          <w:spacing w:val="-1"/>
        </w:rPr>
        <w:t xml:space="preserve"> </w:t>
      </w:r>
      <w:r>
        <w:rPr>
          <w:b/>
        </w:rPr>
        <w:t>the</w:t>
      </w:r>
      <w:r>
        <w:rPr>
          <w:b/>
          <w:spacing w:val="-5"/>
        </w:rPr>
        <w:t xml:space="preserve"> </w:t>
      </w:r>
      <w:r>
        <w:rPr>
          <w:b/>
        </w:rPr>
        <w:t>client</w:t>
      </w:r>
      <w:r>
        <w:rPr>
          <w:b/>
          <w:spacing w:val="-2"/>
        </w:rPr>
        <w:t xml:space="preserve"> </w:t>
      </w:r>
      <w:r>
        <w:rPr>
          <w:b/>
        </w:rPr>
        <w:t>what</w:t>
      </w:r>
      <w:r>
        <w:rPr>
          <w:b/>
          <w:spacing w:val="-4"/>
        </w:rPr>
        <w:t xml:space="preserve"> </w:t>
      </w:r>
      <w:r>
        <w:rPr>
          <w:b/>
        </w:rPr>
        <w:t>to</w:t>
      </w:r>
      <w:r>
        <w:rPr>
          <w:b/>
          <w:spacing w:val="-3"/>
        </w:rPr>
        <w:t xml:space="preserve"> </w:t>
      </w:r>
      <w:r>
        <w:rPr>
          <w:b/>
        </w:rPr>
        <w:t>do</w:t>
      </w:r>
      <w:r>
        <w:rPr>
          <w:b/>
          <w:spacing w:val="-3"/>
        </w:rPr>
        <w:t xml:space="preserve"> </w:t>
      </w:r>
      <w:r>
        <w:rPr>
          <w:b/>
        </w:rPr>
        <w:t>or</w:t>
      </w:r>
      <w:r>
        <w:rPr>
          <w:b/>
          <w:spacing w:val="-1"/>
        </w:rPr>
        <w:t xml:space="preserve"> </w:t>
      </w:r>
      <w:r>
        <w:rPr>
          <w:b/>
        </w:rPr>
        <w:t>how</w:t>
      </w:r>
      <w:r>
        <w:rPr>
          <w:b/>
          <w:spacing w:val="-1"/>
        </w:rPr>
        <w:t xml:space="preserve"> </w:t>
      </w:r>
      <w:r>
        <w:rPr>
          <w:b/>
        </w:rPr>
        <w:t>and</w:t>
      </w:r>
      <w:r>
        <w:rPr>
          <w:b/>
          <w:spacing w:val="-3"/>
        </w:rPr>
        <w:t xml:space="preserve"> </w:t>
      </w:r>
      <w:r>
        <w:rPr>
          <w:b/>
        </w:rPr>
        <w:t>whether</w:t>
      </w:r>
      <w:r>
        <w:rPr>
          <w:b/>
          <w:spacing w:val="-4"/>
        </w:rPr>
        <w:t xml:space="preserve"> </w:t>
      </w:r>
      <w:r>
        <w:rPr>
          <w:b/>
        </w:rPr>
        <w:t>to</w:t>
      </w:r>
      <w:r>
        <w:rPr>
          <w:b/>
          <w:spacing w:val="-3"/>
        </w:rPr>
        <w:t xml:space="preserve"> </w:t>
      </w:r>
      <w:r>
        <w:rPr>
          <w:b/>
        </w:rPr>
        <w:t xml:space="preserve">change. </w:t>
      </w:r>
      <w:r>
        <w:t>Rather,</w:t>
      </w:r>
      <w:r>
        <w:rPr>
          <w:spacing w:val="-2"/>
        </w:rPr>
        <w:t xml:space="preserve"> </w:t>
      </w:r>
      <w:r>
        <w:t>you will be asking the client to do most of the talking—giving him or her perspective about what is</w:t>
      </w:r>
    </w:p>
    <w:p w14:paraId="5379B77F" w14:textId="77777777" w:rsidR="00DB6E1F" w:rsidRDefault="00DB6E1F">
      <w:pPr>
        <w:rPr>
          <w:rFonts w:ascii="Symbol" w:hAnsi="Symbol"/>
        </w:rPr>
        <w:sectPr w:rsidR="00DB6E1F">
          <w:headerReference w:type="default" r:id="rId104"/>
          <w:footerReference w:type="default" r:id="rId105"/>
          <w:pgSz w:w="12240" w:h="15840"/>
          <w:pgMar w:top="1200" w:right="0" w:bottom="780" w:left="0" w:header="763" w:footer="585" w:gutter="0"/>
          <w:cols w:space="720"/>
        </w:sectPr>
      </w:pPr>
    </w:p>
    <w:p w14:paraId="7F816165" w14:textId="77777777" w:rsidR="00DB6E1F" w:rsidRDefault="00DB6E1F">
      <w:pPr>
        <w:pStyle w:val="BodyText"/>
        <w:spacing w:before="8"/>
        <w:rPr>
          <w:sz w:val="14"/>
        </w:rPr>
      </w:pPr>
    </w:p>
    <w:p w14:paraId="21824CDD" w14:textId="77777777" w:rsidR="00DB6E1F" w:rsidRDefault="00F666A6">
      <w:pPr>
        <w:pStyle w:val="BodyText"/>
        <w:spacing w:before="56"/>
        <w:ind w:left="1800" w:right="1555"/>
      </w:pPr>
      <w:r>
        <w:t>happening</w:t>
      </w:r>
      <w:r>
        <w:rPr>
          <w:spacing w:val="-2"/>
        </w:rPr>
        <w:t xml:space="preserve"> </w:t>
      </w:r>
      <w:r>
        <w:t>while</w:t>
      </w:r>
      <w:r>
        <w:rPr>
          <w:spacing w:val="-1"/>
        </w:rPr>
        <w:t xml:space="preserve"> </w:t>
      </w:r>
      <w:r>
        <w:t>inviting</w:t>
      </w:r>
      <w:r>
        <w:rPr>
          <w:spacing w:val="-3"/>
        </w:rPr>
        <w:t xml:space="preserve"> </w:t>
      </w:r>
      <w:r>
        <w:t>the</w:t>
      </w:r>
      <w:r>
        <w:rPr>
          <w:spacing w:val="-1"/>
        </w:rPr>
        <w:t xml:space="preserve"> </w:t>
      </w:r>
      <w:r>
        <w:t>client</w:t>
      </w:r>
      <w:r>
        <w:rPr>
          <w:spacing w:val="-4"/>
        </w:rPr>
        <w:t xml:space="preserve"> </w:t>
      </w:r>
      <w:r>
        <w:t>to</w:t>
      </w:r>
      <w:r>
        <w:rPr>
          <w:spacing w:val="-1"/>
        </w:rPr>
        <w:t xml:space="preserve"> </w:t>
      </w:r>
      <w:r>
        <w:t>share</w:t>
      </w:r>
      <w:r>
        <w:rPr>
          <w:spacing w:val="-4"/>
        </w:rPr>
        <w:t xml:space="preserve"> </w:t>
      </w:r>
      <w:r>
        <w:t>his</w:t>
      </w:r>
      <w:r>
        <w:rPr>
          <w:spacing w:val="-2"/>
        </w:rPr>
        <w:t xml:space="preserve"> </w:t>
      </w:r>
      <w:r>
        <w:t>or</w:t>
      </w:r>
      <w:r>
        <w:rPr>
          <w:spacing w:val="-2"/>
        </w:rPr>
        <w:t xml:space="preserve"> </w:t>
      </w:r>
      <w:r>
        <w:t>her</w:t>
      </w:r>
      <w:r>
        <w:rPr>
          <w:spacing w:val="-3"/>
        </w:rPr>
        <w:t xml:space="preserve"> </w:t>
      </w:r>
      <w:r>
        <w:t>own</w:t>
      </w:r>
      <w:r>
        <w:rPr>
          <w:spacing w:val="-3"/>
        </w:rPr>
        <w:t xml:space="preserve"> </w:t>
      </w:r>
      <w:r>
        <w:t>perspective.</w:t>
      </w:r>
      <w:r>
        <w:rPr>
          <w:spacing w:val="-5"/>
        </w:rPr>
        <w:t xml:space="preserve"> </w:t>
      </w:r>
      <w:r>
        <w:t>You</w:t>
      </w:r>
      <w:r>
        <w:rPr>
          <w:spacing w:val="-5"/>
        </w:rPr>
        <w:t xml:space="preserve"> </w:t>
      </w:r>
      <w:r>
        <w:t>can</w:t>
      </w:r>
      <w:r>
        <w:rPr>
          <w:spacing w:val="-3"/>
        </w:rPr>
        <w:t xml:space="preserve"> </w:t>
      </w:r>
      <w:r>
        <w:t>also</w:t>
      </w:r>
      <w:r>
        <w:rPr>
          <w:spacing w:val="-1"/>
        </w:rPr>
        <w:t xml:space="preserve"> </w:t>
      </w:r>
      <w:r>
        <w:t>invite comments about what the client expects or hopes to achieve.</w:t>
      </w:r>
    </w:p>
    <w:p w14:paraId="1ECB86CA" w14:textId="77777777" w:rsidR="00DB6E1F" w:rsidRDefault="00F666A6">
      <w:pPr>
        <w:pStyle w:val="ListParagraph"/>
        <w:numPr>
          <w:ilvl w:val="0"/>
          <w:numId w:val="92"/>
        </w:numPr>
        <w:tabs>
          <w:tab w:val="left" w:pos="1800"/>
          <w:tab w:val="left" w:pos="1801"/>
        </w:tabs>
        <w:spacing w:before="61"/>
        <w:ind w:left="1799" w:right="1474" w:hanging="360"/>
        <w:rPr>
          <w:rFonts w:ascii="Symbol" w:hAnsi="Symbol"/>
        </w:rPr>
      </w:pPr>
      <w:r>
        <w:rPr>
          <w:b/>
        </w:rPr>
        <w:t>Asking the client to tell you why he or she has come to treatment, mentioning what you know about</w:t>
      </w:r>
      <w:r>
        <w:rPr>
          <w:b/>
          <w:spacing w:val="-2"/>
        </w:rPr>
        <w:t xml:space="preserve"> </w:t>
      </w:r>
      <w:r>
        <w:rPr>
          <w:b/>
        </w:rPr>
        <w:t>the</w:t>
      </w:r>
      <w:r>
        <w:rPr>
          <w:b/>
          <w:spacing w:val="-3"/>
        </w:rPr>
        <w:t xml:space="preserve"> </w:t>
      </w:r>
      <w:r>
        <w:rPr>
          <w:b/>
        </w:rPr>
        <w:t>reasons,</w:t>
      </w:r>
      <w:r>
        <w:rPr>
          <w:b/>
          <w:spacing w:val="-1"/>
        </w:rPr>
        <w:t xml:space="preserve"> </w:t>
      </w:r>
      <w:r>
        <w:rPr>
          <w:b/>
        </w:rPr>
        <w:t>and</w:t>
      </w:r>
      <w:r>
        <w:rPr>
          <w:b/>
          <w:spacing w:val="-3"/>
        </w:rPr>
        <w:t xml:space="preserve"> </w:t>
      </w:r>
      <w:r>
        <w:rPr>
          <w:b/>
        </w:rPr>
        <w:t>asking</w:t>
      </w:r>
      <w:r>
        <w:rPr>
          <w:b/>
          <w:spacing w:val="-1"/>
        </w:rPr>
        <w:t xml:space="preserve"> </w:t>
      </w:r>
      <w:r>
        <w:rPr>
          <w:b/>
        </w:rPr>
        <w:t>for</w:t>
      </w:r>
      <w:r>
        <w:rPr>
          <w:b/>
          <w:spacing w:val="-3"/>
        </w:rPr>
        <w:t xml:space="preserve"> </w:t>
      </w:r>
      <w:r>
        <w:rPr>
          <w:b/>
        </w:rPr>
        <w:t>the</w:t>
      </w:r>
      <w:r>
        <w:rPr>
          <w:b/>
          <w:spacing w:val="-3"/>
        </w:rPr>
        <w:t xml:space="preserve"> </w:t>
      </w:r>
      <w:r>
        <w:rPr>
          <w:b/>
        </w:rPr>
        <w:t>client’s</w:t>
      </w:r>
      <w:r>
        <w:rPr>
          <w:b/>
          <w:spacing w:val="-4"/>
        </w:rPr>
        <w:t xml:space="preserve"> </w:t>
      </w:r>
      <w:r>
        <w:rPr>
          <w:b/>
        </w:rPr>
        <w:t>version</w:t>
      </w:r>
      <w:r>
        <w:rPr>
          <w:b/>
          <w:spacing w:val="-5"/>
        </w:rPr>
        <w:t xml:space="preserve"> </w:t>
      </w:r>
      <w:r>
        <w:rPr>
          <w:b/>
        </w:rPr>
        <w:t>or</w:t>
      </w:r>
      <w:r>
        <w:rPr>
          <w:b/>
          <w:spacing w:val="-1"/>
        </w:rPr>
        <w:t xml:space="preserve"> </w:t>
      </w:r>
      <w:r>
        <w:rPr>
          <w:b/>
        </w:rPr>
        <w:t>elaboration</w:t>
      </w:r>
      <w:r>
        <w:rPr>
          <w:b/>
          <w:spacing w:val="-4"/>
        </w:rPr>
        <w:t xml:space="preserve"> </w:t>
      </w:r>
      <w:r>
        <w:t>(Miller</w:t>
      </w:r>
      <w:r>
        <w:rPr>
          <w:spacing w:val="-4"/>
        </w:rPr>
        <w:t xml:space="preserve"> </w:t>
      </w:r>
      <w:r>
        <w:t>&amp;</w:t>
      </w:r>
      <w:r>
        <w:rPr>
          <w:spacing w:val="-1"/>
        </w:rPr>
        <w:t xml:space="preserve"> </w:t>
      </w:r>
      <w:r>
        <w:t>Rollnick,</w:t>
      </w:r>
      <w:r>
        <w:rPr>
          <w:spacing w:val="-1"/>
        </w:rPr>
        <w:t xml:space="preserve"> </w:t>
      </w:r>
      <w:r>
        <w:t>2013).</w:t>
      </w:r>
      <w:r>
        <w:rPr>
          <w:spacing w:val="-2"/>
        </w:rPr>
        <w:t xml:space="preserve"> </w:t>
      </w:r>
      <w:r>
        <w:t>If</w:t>
      </w:r>
      <w:r>
        <w:rPr>
          <w:spacing w:val="-4"/>
        </w:rPr>
        <w:t xml:space="preserve"> </w:t>
      </w:r>
      <w:r>
        <w:t>the client seems particularly hesitant or defensive, one strategy is to choose a topic of interest to the client that can be linked to substance use. (For more information about setting an agenda, see Chapter 3.) Such information might be provide</w:t>
      </w:r>
      <w:r>
        <w:t xml:space="preserve">d by the referral source or can be learned by asking whether the client is dealing with any stressful situations, such as illness, marital discord, or extremely heavy workload. This can lead naturally to questions such as “How does your use of alcohol fit </w:t>
      </w:r>
      <w:r>
        <w:t>into this?” or “How does your use of heroin affect your health?”</w:t>
      </w:r>
    </w:p>
    <w:p w14:paraId="00FEB852" w14:textId="77777777" w:rsidR="00DB6E1F" w:rsidRDefault="00F666A6">
      <w:pPr>
        <w:pStyle w:val="ListParagraph"/>
        <w:numPr>
          <w:ilvl w:val="0"/>
          <w:numId w:val="92"/>
        </w:numPr>
        <w:tabs>
          <w:tab w:val="left" w:pos="1799"/>
          <w:tab w:val="left" w:pos="1800"/>
        </w:tabs>
        <w:spacing w:before="59"/>
        <w:ind w:left="1799" w:right="1520" w:hanging="360"/>
        <w:rPr>
          <w:rFonts w:ascii="Symbol" w:hAnsi="Symbol"/>
        </w:rPr>
      </w:pPr>
      <w:r>
        <w:rPr>
          <w:b/>
        </w:rPr>
        <w:t>Avoiding referring to the client’s “problem” or “substance misuse,” because this may not reflect the</w:t>
      </w:r>
      <w:r>
        <w:rPr>
          <w:b/>
          <w:spacing w:val="-3"/>
        </w:rPr>
        <w:t xml:space="preserve"> </w:t>
      </w:r>
      <w:r>
        <w:rPr>
          <w:b/>
        </w:rPr>
        <w:t>client’s</w:t>
      </w:r>
      <w:r>
        <w:rPr>
          <w:b/>
          <w:spacing w:val="-3"/>
        </w:rPr>
        <w:t xml:space="preserve"> </w:t>
      </w:r>
      <w:r>
        <w:rPr>
          <w:b/>
        </w:rPr>
        <w:t>perspective</w:t>
      </w:r>
      <w:r>
        <w:rPr>
          <w:b/>
          <w:spacing w:val="-3"/>
        </w:rPr>
        <w:t xml:space="preserve"> </w:t>
      </w:r>
      <w:r>
        <w:rPr>
          <w:b/>
        </w:rPr>
        <w:t>about</w:t>
      </w:r>
      <w:r>
        <w:rPr>
          <w:b/>
          <w:spacing w:val="-2"/>
        </w:rPr>
        <w:t xml:space="preserve"> </w:t>
      </w:r>
      <w:r>
        <w:rPr>
          <w:b/>
        </w:rPr>
        <w:t>substance</w:t>
      </w:r>
      <w:r>
        <w:rPr>
          <w:b/>
          <w:spacing w:val="-3"/>
        </w:rPr>
        <w:t xml:space="preserve"> </w:t>
      </w:r>
      <w:r>
        <w:rPr>
          <w:b/>
        </w:rPr>
        <w:t>use</w:t>
      </w:r>
      <w:r>
        <w:rPr>
          <w:b/>
          <w:spacing w:val="-6"/>
        </w:rPr>
        <w:t xml:space="preserve"> </w:t>
      </w:r>
      <w:r>
        <w:t>(Miller</w:t>
      </w:r>
      <w:r>
        <w:rPr>
          <w:spacing w:val="-4"/>
        </w:rPr>
        <w:t xml:space="preserve"> </w:t>
      </w:r>
      <w:r>
        <w:t>&amp;</w:t>
      </w:r>
      <w:r>
        <w:rPr>
          <w:spacing w:val="-1"/>
        </w:rPr>
        <w:t xml:space="preserve"> </w:t>
      </w:r>
      <w:r>
        <w:t>Rollnick,</w:t>
      </w:r>
      <w:r>
        <w:rPr>
          <w:spacing w:val="-4"/>
        </w:rPr>
        <w:t xml:space="preserve"> </w:t>
      </w:r>
      <w:r>
        <w:t>2013).</w:t>
      </w:r>
      <w:r>
        <w:rPr>
          <w:spacing w:val="-2"/>
        </w:rPr>
        <w:t xml:space="preserve"> </w:t>
      </w:r>
      <w:r>
        <w:t>You</w:t>
      </w:r>
      <w:r>
        <w:rPr>
          <w:spacing w:val="-3"/>
        </w:rPr>
        <w:t xml:space="preserve"> </w:t>
      </w:r>
      <w:r>
        <w:t>are</w:t>
      </w:r>
      <w:r>
        <w:rPr>
          <w:spacing w:val="-4"/>
        </w:rPr>
        <w:t xml:space="preserve"> </w:t>
      </w:r>
      <w:r>
        <w:t>trying</w:t>
      </w:r>
      <w:r>
        <w:rPr>
          <w:spacing w:val="-3"/>
        </w:rPr>
        <w:t xml:space="preserve"> </w:t>
      </w:r>
      <w:r>
        <w:t>to</w:t>
      </w:r>
      <w:r>
        <w:rPr>
          <w:spacing w:val="-3"/>
        </w:rPr>
        <w:t xml:space="preserve"> </w:t>
      </w:r>
      <w:r>
        <w:t xml:space="preserve">understand the context in which substances are used and the client’s </w:t>
      </w:r>
      <w:r>
        <w:t>readiness to change. As mentioned previously, labels can raise a person’s defenses.</w:t>
      </w:r>
    </w:p>
    <w:p w14:paraId="46F1D976" w14:textId="77777777" w:rsidR="00DB6E1F" w:rsidRDefault="00F666A6">
      <w:pPr>
        <w:pStyle w:val="ListParagraph"/>
        <w:numPr>
          <w:ilvl w:val="0"/>
          <w:numId w:val="92"/>
        </w:numPr>
        <w:tabs>
          <w:tab w:val="left" w:pos="1799"/>
          <w:tab w:val="left" w:pos="1800"/>
        </w:tabs>
        <w:spacing w:before="59"/>
        <w:ind w:left="1799" w:right="1682" w:hanging="360"/>
        <w:rPr>
          <w:rFonts w:ascii="Symbol" w:hAnsi="Symbol"/>
        </w:rPr>
      </w:pPr>
      <w:r>
        <w:rPr>
          <w:b/>
        </w:rPr>
        <w:t>Aligning</w:t>
      </w:r>
      <w:r>
        <w:rPr>
          <w:b/>
          <w:spacing w:val="-1"/>
        </w:rPr>
        <w:t xml:space="preserve"> </w:t>
      </w:r>
      <w:r>
        <w:rPr>
          <w:b/>
        </w:rPr>
        <w:t>your</w:t>
      </w:r>
      <w:r>
        <w:rPr>
          <w:b/>
          <w:spacing w:val="-4"/>
        </w:rPr>
        <w:t xml:space="preserve"> </w:t>
      </w:r>
      <w:r>
        <w:rPr>
          <w:b/>
        </w:rPr>
        <w:t>counseling</w:t>
      </w:r>
      <w:r>
        <w:rPr>
          <w:b/>
          <w:spacing w:val="-1"/>
        </w:rPr>
        <w:t xml:space="preserve"> </w:t>
      </w:r>
      <w:r>
        <w:rPr>
          <w:b/>
        </w:rPr>
        <w:t>approach</w:t>
      </w:r>
      <w:r>
        <w:rPr>
          <w:b/>
          <w:spacing w:val="-3"/>
        </w:rPr>
        <w:t xml:space="preserve"> </w:t>
      </w:r>
      <w:r>
        <w:rPr>
          <w:b/>
        </w:rPr>
        <w:t>to</w:t>
      </w:r>
      <w:r>
        <w:rPr>
          <w:b/>
          <w:spacing w:val="-3"/>
        </w:rPr>
        <w:t xml:space="preserve"> </w:t>
      </w:r>
      <w:r>
        <w:rPr>
          <w:b/>
        </w:rPr>
        <w:t>the</w:t>
      </w:r>
      <w:r>
        <w:rPr>
          <w:b/>
          <w:spacing w:val="-3"/>
        </w:rPr>
        <w:t xml:space="preserve"> </w:t>
      </w:r>
      <w:r>
        <w:rPr>
          <w:b/>
        </w:rPr>
        <w:t>client’s</w:t>
      </w:r>
      <w:r>
        <w:rPr>
          <w:b/>
          <w:spacing w:val="-4"/>
        </w:rPr>
        <w:t xml:space="preserve"> </w:t>
      </w:r>
      <w:r>
        <w:rPr>
          <w:b/>
        </w:rPr>
        <w:t>current</w:t>
      </w:r>
      <w:r>
        <w:rPr>
          <w:b/>
          <w:spacing w:val="-3"/>
        </w:rPr>
        <w:t xml:space="preserve"> </w:t>
      </w:r>
      <w:r>
        <w:rPr>
          <w:b/>
        </w:rPr>
        <w:t>stage</w:t>
      </w:r>
      <w:r>
        <w:rPr>
          <w:b/>
          <w:spacing w:val="-5"/>
        </w:rPr>
        <w:t xml:space="preserve"> </w:t>
      </w:r>
      <w:r>
        <w:rPr>
          <w:b/>
        </w:rPr>
        <w:t>in</w:t>
      </w:r>
      <w:r>
        <w:rPr>
          <w:b/>
          <w:spacing w:val="-3"/>
        </w:rPr>
        <w:t xml:space="preserve"> </w:t>
      </w:r>
      <w:r>
        <w:rPr>
          <w:b/>
        </w:rPr>
        <w:t>the</w:t>
      </w:r>
      <w:r>
        <w:rPr>
          <w:b/>
          <w:spacing w:val="-3"/>
        </w:rPr>
        <w:t xml:space="preserve"> </w:t>
      </w:r>
      <w:r>
        <w:rPr>
          <w:b/>
        </w:rPr>
        <w:t>SOC.</w:t>
      </w:r>
      <w:r>
        <w:rPr>
          <w:b/>
          <w:spacing w:val="-1"/>
        </w:rPr>
        <w:t xml:space="preserve"> </w:t>
      </w:r>
      <w:r>
        <w:t>For</w:t>
      </w:r>
      <w:r>
        <w:rPr>
          <w:spacing w:val="-4"/>
        </w:rPr>
        <w:t xml:space="preserve"> </w:t>
      </w:r>
      <w:r>
        <w:t>example,</w:t>
      </w:r>
      <w:r>
        <w:rPr>
          <w:spacing w:val="-4"/>
        </w:rPr>
        <w:t xml:space="preserve"> </w:t>
      </w:r>
      <w:r>
        <w:t>move</w:t>
      </w:r>
      <w:r>
        <w:rPr>
          <w:spacing w:val="-2"/>
        </w:rPr>
        <w:t xml:space="preserve"> </w:t>
      </w:r>
      <w:r>
        <w:t>to strategies more appropriate to a later stage in the SOC if you discover tha</w:t>
      </w:r>
      <w:r>
        <w:t>t the client is already contemplating</w:t>
      </w:r>
      <w:r>
        <w:rPr>
          <w:spacing w:val="-2"/>
        </w:rPr>
        <w:t xml:space="preserve"> </w:t>
      </w:r>
      <w:r>
        <w:t>or committed to change. (For</w:t>
      </w:r>
      <w:r>
        <w:rPr>
          <w:spacing w:val="-1"/>
        </w:rPr>
        <w:t xml:space="preserve"> </w:t>
      </w:r>
      <w:r>
        <w:t>more information</w:t>
      </w:r>
      <w:r>
        <w:rPr>
          <w:spacing w:val="-2"/>
        </w:rPr>
        <w:t xml:space="preserve"> </w:t>
      </w:r>
      <w:r>
        <w:t>on</w:t>
      </w:r>
      <w:r>
        <w:rPr>
          <w:spacing w:val="-2"/>
        </w:rPr>
        <w:t xml:space="preserve"> </w:t>
      </w:r>
      <w:r>
        <w:t>the later stages in the SOC, see Chapters 5 and 6.)</w:t>
      </w:r>
    </w:p>
    <w:p w14:paraId="47305C22" w14:textId="77777777" w:rsidR="00DB6E1F" w:rsidRDefault="00DB6E1F">
      <w:pPr>
        <w:pStyle w:val="BodyText"/>
        <w:spacing w:before="2"/>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75B6DBFD" w14:textId="77777777">
        <w:trPr>
          <w:trHeight w:val="2678"/>
        </w:trPr>
        <w:tc>
          <w:tcPr>
            <w:tcW w:w="9350" w:type="dxa"/>
            <w:shd w:val="clear" w:color="auto" w:fill="E7E6E6"/>
          </w:tcPr>
          <w:p w14:paraId="254B689C" w14:textId="77777777" w:rsidR="00DB6E1F" w:rsidRDefault="00F666A6">
            <w:pPr>
              <w:pStyle w:val="TableParagraph"/>
              <w:spacing w:before="123"/>
              <w:ind w:left="2347"/>
              <w:rPr>
                <w:b/>
                <w:sz w:val="20"/>
              </w:rPr>
            </w:pPr>
            <w:r>
              <w:rPr>
                <w:b/>
                <w:sz w:val="20"/>
              </w:rPr>
              <w:t>Counselor</w:t>
            </w:r>
            <w:r>
              <w:rPr>
                <w:b/>
                <w:spacing w:val="-6"/>
                <w:sz w:val="20"/>
              </w:rPr>
              <w:t xml:space="preserve"> </w:t>
            </w:r>
            <w:r>
              <w:rPr>
                <w:b/>
                <w:sz w:val="20"/>
              </w:rPr>
              <w:t>Note:</w:t>
            </w:r>
            <w:r>
              <w:rPr>
                <w:b/>
                <w:spacing w:val="-6"/>
                <w:sz w:val="20"/>
              </w:rPr>
              <w:t xml:space="preserve"> </w:t>
            </w:r>
            <w:r>
              <w:rPr>
                <w:b/>
                <w:sz w:val="20"/>
              </w:rPr>
              <w:t>Agency</w:t>
            </w:r>
            <w:r>
              <w:rPr>
                <w:b/>
                <w:spacing w:val="-6"/>
                <w:sz w:val="20"/>
              </w:rPr>
              <w:t xml:space="preserve"> </w:t>
            </w:r>
            <w:r>
              <w:rPr>
                <w:b/>
                <w:sz w:val="20"/>
              </w:rPr>
              <w:t>Policy</w:t>
            </w:r>
            <w:r>
              <w:rPr>
                <w:b/>
                <w:spacing w:val="-7"/>
                <w:sz w:val="20"/>
              </w:rPr>
              <w:t xml:space="preserve"> </w:t>
            </w:r>
            <w:r>
              <w:rPr>
                <w:b/>
                <w:sz w:val="20"/>
              </w:rPr>
              <w:t>About</w:t>
            </w:r>
            <w:r>
              <w:rPr>
                <w:b/>
                <w:spacing w:val="-5"/>
                <w:sz w:val="20"/>
              </w:rPr>
              <w:t xml:space="preserve"> </w:t>
            </w:r>
            <w:r>
              <w:rPr>
                <w:b/>
                <w:sz w:val="20"/>
              </w:rPr>
              <w:t>Client</w:t>
            </w:r>
            <w:r>
              <w:rPr>
                <w:b/>
                <w:spacing w:val="-5"/>
                <w:sz w:val="20"/>
              </w:rPr>
              <w:t xml:space="preserve"> </w:t>
            </w:r>
            <w:r>
              <w:rPr>
                <w:b/>
                <w:spacing w:val="-2"/>
                <w:sz w:val="20"/>
              </w:rPr>
              <w:t>Intoxication</w:t>
            </w:r>
          </w:p>
          <w:p w14:paraId="58F8DD7F" w14:textId="77777777" w:rsidR="00DB6E1F" w:rsidRDefault="00F666A6">
            <w:pPr>
              <w:pStyle w:val="TableParagraph"/>
              <w:spacing w:before="119"/>
              <w:ind w:right="138"/>
              <w:rPr>
                <w:sz w:val="20"/>
              </w:rPr>
            </w:pPr>
            <w:r>
              <w:rPr>
                <w:b/>
                <w:sz w:val="20"/>
              </w:rPr>
              <w:t>In</w:t>
            </w:r>
            <w:r>
              <w:rPr>
                <w:b/>
                <w:spacing w:val="-2"/>
                <w:sz w:val="20"/>
              </w:rPr>
              <w:t xml:space="preserve"> </w:t>
            </w:r>
            <w:r>
              <w:rPr>
                <w:b/>
                <w:sz w:val="20"/>
              </w:rPr>
              <w:t>your</w:t>
            </w:r>
            <w:r>
              <w:rPr>
                <w:b/>
                <w:spacing w:val="-2"/>
                <w:sz w:val="20"/>
              </w:rPr>
              <w:t xml:space="preserve"> </w:t>
            </w:r>
            <w:r>
              <w:rPr>
                <w:b/>
                <w:sz w:val="20"/>
              </w:rPr>
              <w:t>first</w:t>
            </w:r>
            <w:r>
              <w:rPr>
                <w:b/>
                <w:spacing w:val="-2"/>
                <w:sz w:val="20"/>
              </w:rPr>
              <w:t xml:space="preserve"> </w:t>
            </w:r>
            <w:r>
              <w:rPr>
                <w:b/>
                <w:sz w:val="20"/>
              </w:rPr>
              <w:t>session,</w:t>
            </w:r>
            <w:r>
              <w:rPr>
                <w:b/>
                <w:spacing w:val="-4"/>
                <w:sz w:val="20"/>
              </w:rPr>
              <w:t xml:space="preserve"> </w:t>
            </w:r>
            <w:r>
              <w:rPr>
                <w:b/>
                <w:sz w:val="20"/>
              </w:rPr>
              <w:t>discuss</w:t>
            </w:r>
            <w:r>
              <w:rPr>
                <w:b/>
                <w:spacing w:val="-2"/>
                <w:sz w:val="20"/>
              </w:rPr>
              <w:t xml:space="preserve"> </w:t>
            </w:r>
            <w:r>
              <w:rPr>
                <w:b/>
                <w:sz w:val="20"/>
              </w:rPr>
              <w:t>your</w:t>
            </w:r>
            <w:r>
              <w:rPr>
                <w:b/>
                <w:spacing w:val="-2"/>
                <w:sz w:val="20"/>
              </w:rPr>
              <w:t xml:space="preserve"> </w:t>
            </w:r>
            <w:r>
              <w:rPr>
                <w:b/>
                <w:sz w:val="20"/>
              </w:rPr>
              <w:t>agency’s</w:t>
            </w:r>
            <w:r>
              <w:rPr>
                <w:b/>
                <w:spacing w:val="-3"/>
                <w:sz w:val="20"/>
              </w:rPr>
              <w:t xml:space="preserve"> </w:t>
            </w:r>
            <w:r>
              <w:rPr>
                <w:b/>
                <w:sz w:val="20"/>
              </w:rPr>
              <w:t>policy</w:t>
            </w:r>
            <w:r>
              <w:rPr>
                <w:b/>
                <w:spacing w:val="-4"/>
                <w:sz w:val="20"/>
              </w:rPr>
              <w:t xml:space="preserve"> </w:t>
            </w:r>
            <w:r>
              <w:rPr>
                <w:b/>
                <w:sz w:val="20"/>
              </w:rPr>
              <w:t>on</w:t>
            </w:r>
            <w:r>
              <w:rPr>
                <w:b/>
                <w:spacing w:val="-2"/>
                <w:sz w:val="20"/>
              </w:rPr>
              <w:t xml:space="preserve"> </w:t>
            </w:r>
            <w:r>
              <w:rPr>
                <w:b/>
                <w:sz w:val="20"/>
              </w:rPr>
              <w:t>having</w:t>
            </w:r>
            <w:r>
              <w:rPr>
                <w:b/>
                <w:spacing w:val="-2"/>
                <w:sz w:val="20"/>
              </w:rPr>
              <w:t xml:space="preserve"> </w:t>
            </w:r>
            <w:r>
              <w:rPr>
                <w:b/>
                <w:sz w:val="20"/>
              </w:rPr>
              <w:t>conversations</w:t>
            </w:r>
            <w:r>
              <w:rPr>
                <w:b/>
                <w:spacing w:val="-3"/>
                <w:sz w:val="20"/>
              </w:rPr>
              <w:t xml:space="preserve"> </w:t>
            </w:r>
            <w:r>
              <w:rPr>
                <w:b/>
                <w:sz w:val="20"/>
              </w:rPr>
              <w:t>with</w:t>
            </w:r>
            <w:r>
              <w:rPr>
                <w:b/>
                <w:spacing w:val="-2"/>
                <w:sz w:val="20"/>
              </w:rPr>
              <w:t xml:space="preserve"> </w:t>
            </w:r>
            <w:r>
              <w:rPr>
                <w:b/>
                <w:sz w:val="20"/>
              </w:rPr>
              <w:t>clients</w:t>
            </w:r>
            <w:r>
              <w:rPr>
                <w:b/>
                <w:spacing w:val="-3"/>
                <w:sz w:val="20"/>
              </w:rPr>
              <w:t xml:space="preserve"> </w:t>
            </w:r>
            <w:r>
              <w:rPr>
                <w:b/>
                <w:sz w:val="20"/>
              </w:rPr>
              <w:t>who</w:t>
            </w:r>
            <w:r>
              <w:rPr>
                <w:b/>
                <w:spacing w:val="-2"/>
                <w:sz w:val="20"/>
              </w:rPr>
              <w:t xml:space="preserve"> </w:t>
            </w:r>
            <w:r>
              <w:rPr>
                <w:b/>
                <w:sz w:val="20"/>
              </w:rPr>
              <w:t>are</w:t>
            </w:r>
            <w:r>
              <w:rPr>
                <w:b/>
                <w:spacing w:val="-3"/>
                <w:sz w:val="20"/>
              </w:rPr>
              <w:t xml:space="preserve"> </w:t>
            </w:r>
            <w:r>
              <w:rPr>
                <w:b/>
                <w:sz w:val="20"/>
              </w:rPr>
              <w:t>intoxicated.</w:t>
            </w:r>
            <w:r>
              <w:rPr>
                <w:b/>
                <w:spacing w:val="-4"/>
                <w:sz w:val="20"/>
              </w:rPr>
              <w:t xml:space="preserve"> </w:t>
            </w:r>
            <w:r>
              <w:rPr>
                <w:sz w:val="20"/>
              </w:rPr>
              <w:t>Be transparent about the policy and what actions you will take if the client</w:t>
            </w:r>
            <w:r>
              <w:rPr>
                <w:spacing w:val="-1"/>
                <w:sz w:val="20"/>
              </w:rPr>
              <w:t xml:space="preserve"> </w:t>
            </w:r>
            <w:r>
              <w:rPr>
                <w:sz w:val="20"/>
              </w:rPr>
              <w:t>comes to a session intoxicated. Coming to treatment intoxicated on alcohol or drugs impairs ability to participate in treatm</w:t>
            </w:r>
            <w:r>
              <w:rPr>
                <w:sz w:val="20"/>
              </w:rPr>
              <w:t>ent, whether it is for an initial counseling session, assessment, or individual or group treatment (Miller, Forechimes, &amp; Zweben, 2011).</w:t>
            </w:r>
          </w:p>
          <w:p w14:paraId="5E562D26" w14:textId="77777777" w:rsidR="00DB6E1F" w:rsidRDefault="00F666A6">
            <w:pPr>
              <w:pStyle w:val="TableParagraph"/>
              <w:spacing w:before="120"/>
              <w:ind w:right="169"/>
              <w:rPr>
                <w:sz w:val="20"/>
              </w:rPr>
            </w:pPr>
            <w:r>
              <w:rPr>
                <w:sz w:val="20"/>
              </w:rPr>
              <w:t>Many programs administer breathalyzer tests for alcohol or urinalysis for drugs and reschedule counseling sessions</w:t>
            </w:r>
            <w:r>
              <w:rPr>
                <w:spacing w:val="-3"/>
                <w:sz w:val="20"/>
              </w:rPr>
              <w:t xml:space="preserve"> </w:t>
            </w:r>
            <w:r>
              <w:rPr>
                <w:sz w:val="20"/>
              </w:rPr>
              <w:t>if</w:t>
            </w:r>
            <w:r>
              <w:rPr>
                <w:spacing w:val="-1"/>
                <w:sz w:val="20"/>
              </w:rPr>
              <w:t xml:space="preserve"> </w:t>
            </w:r>
            <w:r>
              <w:rPr>
                <w:sz w:val="20"/>
              </w:rPr>
              <w:t>s</w:t>
            </w:r>
            <w:r>
              <w:rPr>
                <w:sz w:val="20"/>
              </w:rPr>
              <w:t>ubstances</w:t>
            </w:r>
            <w:r>
              <w:rPr>
                <w:spacing w:val="-3"/>
                <w:sz w:val="20"/>
              </w:rPr>
              <w:t xml:space="preserve"> </w:t>
            </w:r>
            <w:r>
              <w:rPr>
                <w:sz w:val="20"/>
              </w:rPr>
              <w:t>are</w:t>
            </w:r>
            <w:r>
              <w:rPr>
                <w:spacing w:val="-3"/>
                <w:sz w:val="20"/>
              </w:rPr>
              <w:t xml:space="preserve"> </w:t>
            </w:r>
            <w:r>
              <w:rPr>
                <w:sz w:val="20"/>
              </w:rPr>
              <w:t>detected</w:t>
            </w:r>
            <w:r>
              <w:rPr>
                <w:spacing w:val="-1"/>
                <w:sz w:val="20"/>
              </w:rPr>
              <w:t xml:space="preserve"> </w:t>
            </w:r>
            <w:r>
              <w:rPr>
                <w:sz w:val="20"/>
              </w:rPr>
              <w:t>at</w:t>
            </w:r>
            <w:r>
              <w:rPr>
                <w:spacing w:val="-2"/>
                <w:sz w:val="20"/>
              </w:rPr>
              <w:t xml:space="preserve"> </w:t>
            </w:r>
            <w:r>
              <w:rPr>
                <w:sz w:val="20"/>
              </w:rPr>
              <w:t>a</w:t>
            </w:r>
            <w:r>
              <w:rPr>
                <w:spacing w:val="-2"/>
                <w:sz w:val="20"/>
              </w:rPr>
              <w:t xml:space="preserve"> </w:t>
            </w:r>
            <w:r>
              <w:rPr>
                <w:sz w:val="20"/>
              </w:rPr>
              <w:t>specified</w:t>
            </w:r>
            <w:r>
              <w:rPr>
                <w:spacing w:val="-1"/>
                <w:sz w:val="20"/>
              </w:rPr>
              <w:t xml:space="preserve"> </w:t>
            </w:r>
            <w:r>
              <w:rPr>
                <w:sz w:val="20"/>
              </w:rPr>
              <w:t>level</w:t>
            </w:r>
            <w:r>
              <w:rPr>
                <w:spacing w:val="-2"/>
                <w:sz w:val="20"/>
              </w:rPr>
              <w:t xml:space="preserve"> </w:t>
            </w:r>
            <w:r>
              <w:rPr>
                <w:sz w:val="20"/>
              </w:rPr>
              <w:t>or</w:t>
            </w:r>
            <w:r>
              <w:rPr>
                <w:spacing w:val="-2"/>
                <w:sz w:val="20"/>
              </w:rPr>
              <w:t xml:space="preserve"> </w:t>
            </w:r>
            <w:r>
              <w:rPr>
                <w:sz w:val="20"/>
              </w:rPr>
              <w:t>if</w:t>
            </w:r>
            <w:r>
              <w:rPr>
                <w:spacing w:val="-1"/>
                <w:sz w:val="20"/>
              </w:rPr>
              <w:t xml:space="preserve"> </w:t>
            </w:r>
            <w:r>
              <w:rPr>
                <w:sz w:val="20"/>
              </w:rPr>
              <w:t>a</w:t>
            </w:r>
            <w:r>
              <w:rPr>
                <w:spacing w:val="-2"/>
                <w:sz w:val="20"/>
              </w:rPr>
              <w:t xml:space="preserve"> </w:t>
            </w:r>
            <w:r>
              <w:rPr>
                <w:sz w:val="20"/>
              </w:rPr>
              <w:t>client</w:t>
            </w:r>
            <w:r>
              <w:rPr>
                <w:spacing w:val="-2"/>
                <w:sz w:val="20"/>
              </w:rPr>
              <w:t xml:space="preserve"> </w:t>
            </w:r>
            <w:r>
              <w:rPr>
                <w:sz w:val="20"/>
              </w:rPr>
              <w:t>appears</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under</w:t>
            </w:r>
            <w:r>
              <w:rPr>
                <w:spacing w:val="-2"/>
                <w:sz w:val="20"/>
              </w:rPr>
              <w:t xml:space="preserve"> </w:t>
            </w:r>
            <w:r>
              <w:rPr>
                <w:sz w:val="20"/>
              </w:rPr>
              <w:t>the</w:t>
            </w:r>
            <w:r>
              <w:rPr>
                <w:spacing w:val="-3"/>
                <w:sz w:val="20"/>
              </w:rPr>
              <w:t xml:space="preserve"> </w:t>
            </w:r>
            <w:r>
              <w:rPr>
                <w:sz w:val="20"/>
              </w:rPr>
              <w:t>influence</w:t>
            </w:r>
            <w:r>
              <w:rPr>
                <w:spacing w:val="-3"/>
                <w:sz w:val="20"/>
              </w:rPr>
              <w:t xml:space="preserve"> </w:t>
            </w:r>
            <w:r>
              <w:rPr>
                <w:sz w:val="20"/>
              </w:rPr>
              <w:t>(Miller</w:t>
            </w:r>
            <w:r>
              <w:rPr>
                <w:spacing w:val="-2"/>
                <w:sz w:val="20"/>
              </w:rPr>
              <w:t xml:space="preserve"> </w:t>
            </w:r>
            <w:r>
              <w:rPr>
                <w:sz w:val="20"/>
              </w:rPr>
              <w:t>et al., 2011). If you determine that a client is intoxicated, ask the client in a nonjudgmental way to leave.</w:t>
            </w:r>
          </w:p>
          <w:p w14:paraId="2B0EE6BE" w14:textId="77777777" w:rsidR="00DB6E1F" w:rsidRDefault="00F666A6">
            <w:pPr>
              <w:pStyle w:val="TableParagraph"/>
              <w:spacing w:before="0" w:line="244" w:lineRule="exact"/>
              <w:rPr>
                <w:sz w:val="20"/>
              </w:rPr>
            </w:pPr>
            <w:r>
              <w:rPr>
                <w:sz w:val="20"/>
              </w:rPr>
              <w:t>Reschedule</w:t>
            </w:r>
            <w:r>
              <w:rPr>
                <w:spacing w:val="-7"/>
                <w:sz w:val="20"/>
              </w:rPr>
              <w:t xml:space="preserve"> </w:t>
            </w:r>
            <w:r>
              <w:rPr>
                <w:sz w:val="20"/>
              </w:rPr>
              <w:t>the</w:t>
            </w:r>
            <w:r>
              <w:rPr>
                <w:spacing w:val="-8"/>
                <w:sz w:val="20"/>
              </w:rPr>
              <w:t xml:space="preserve"> </w:t>
            </w:r>
            <w:r>
              <w:rPr>
                <w:sz w:val="20"/>
              </w:rPr>
              <w:t>appointment,</w:t>
            </w:r>
            <w:r>
              <w:rPr>
                <w:spacing w:val="-5"/>
                <w:sz w:val="20"/>
              </w:rPr>
              <w:t xml:space="preserve"> </w:t>
            </w:r>
            <w:r>
              <w:rPr>
                <w:sz w:val="20"/>
              </w:rPr>
              <w:t>and</w:t>
            </w:r>
            <w:r>
              <w:rPr>
                <w:spacing w:val="-5"/>
                <w:sz w:val="20"/>
              </w:rPr>
              <w:t xml:space="preserve"> </w:t>
            </w:r>
            <w:r>
              <w:rPr>
                <w:sz w:val="20"/>
              </w:rPr>
              <w:t>help</w:t>
            </w:r>
            <w:r>
              <w:rPr>
                <w:spacing w:val="-5"/>
                <w:sz w:val="20"/>
              </w:rPr>
              <w:t xml:space="preserve"> </w:t>
            </w:r>
            <w:r>
              <w:rPr>
                <w:sz w:val="20"/>
              </w:rPr>
              <w:t>the</w:t>
            </w:r>
            <w:r>
              <w:rPr>
                <w:spacing w:val="-7"/>
                <w:sz w:val="20"/>
              </w:rPr>
              <w:t xml:space="preserve"> </w:t>
            </w:r>
            <w:r>
              <w:rPr>
                <w:sz w:val="20"/>
              </w:rPr>
              <w:t>client</w:t>
            </w:r>
            <w:r>
              <w:rPr>
                <w:spacing w:val="-7"/>
                <w:sz w:val="20"/>
              </w:rPr>
              <w:t xml:space="preserve"> </w:t>
            </w:r>
            <w:r>
              <w:rPr>
                <w:sz w:val="20"/>
              </w:rPr>
              <w:t>get</w:t>
            </w:r>
            <w:r>
              <w:rPr>
                <w:spacing w:val="-6"/>
                <w:sz w:val="20"/>
              </w:rPr>
              <w:t xml:space="preserve"> </w:t>
            </w:r>
            <w:r>
              <w:rPr>
                <w:sz w:val="20"/>
              </w:rPr>
              <w:t>home</w:t>
            </w:r>
            <w:r>
              <w:rPr>
                <w:spacing w:val="-4"/>
                <w:sz w:val="20"/>
              </w:rPr>
              <w:t xml:space="preserve"> </w:t>
            </w:r>
            <w:r>
              <w:rPr>
                <w:sz w:val="20"/>
              </w:rPr>
              <w:t>safely</w:t>
            </w:r>
            <w:r>
              <w:rPr>
                <w:spacing w:val="-5"/>
                <w:sz w:val="20"/>
              </w:rPr>
              <w:t xml:space="preserve"> </w:t>
            </w:r>
            <w:r>
              <w:rPr>
                <w:sz w:val="20"/>
              </w:rPr>
              <w:t>(Miller</w:t>
            </w:r>
            <w:r>
              <w:rPr>
                <w:spacing w:val="-6"/>
                <w:sz w:val="20"/>
              </w:rPr>
              <w:t xml:space="preserve"> </w:t>
            </w:r>
            <w:r>
              <w:rPr>
                <w:sz w:val="20"/>
              </w:rPr>
              <w:t>et</w:t>
            </w:r>
            <w:r>
              <w:rPr>
                <w:spacing w:val="-7"/>
                <w:sz w:val="20"/>
              </w:rPr>
              <w:t xml:space="preserve"> </w:t>
            </w:r>
            <w:r>
              <w:rPr>
                <w:sz w:val="20"/>
              </w:rPr>
              <w:t>al.,</w:t>
            </w:r>
            <w:r>
              <w:rPr>
                <w:spacing w:val="-5"/>
                <w:sz w:val="20"/>
              </w:rPr>
              <w:t xml:space="preserve"> </w:t>
            </w:r>
            <w:r>
              <w:rPr>
                <w:spacing w:val="-2"/>
                <w:sz w:val="20"/>
              </w:rPr>
              <w:t>2011).</w:t>
            </w:r>
          </w:p>
        </w:tc>
      </w:tr>
    </w:tbl>
    <w:p w14:paraId="0322785E" w14:textId="77777777" w:rsidR="00DB6E1F" w:rsidRDefault="00F666A6">
      <w:pPr>
        <w:pStyle w:val="Heading3"/>
        <w:spacing w:before="1"/>
      </w:pPr>
      <w:bookmarkStart w:id="126" w:name="Elicit_the_Client’s_Perception_of_the_Pr"/>
      <w:bookmarkEnd w:id="126"/>
      <w:r>
        <w:t>Elicit</w:t>
      </w:r>
      <w:r>
        <w:rPr>
          <w:spacing w:val="-9"/>
        </w:rPr>
        <w:t xml:space="preserve"> </w:t>
      </w:r>
      <w:r>
        <w:t>the</w:t>
      </w:r>
      <w:r>
        <w:rPr>
          <w:spacing w:val="-5"/>
        </w:rPr>
        <w:t xml:space="preserve"> </w:t>
      </w:r>
      <w:r>
        <w:t>Client’s</w:t>
      </w:r>
      <w:r>
        <w:rPr>
          <w:spacing w:val="-5"/>
        </w:rPr>
        <w:t xml:space="preserve"> </w:t>
      </w:r>
      <w:r>
        <w:t>Perception</w:t>
      </w:r>
      <w:r>
        <w:rPr>
          <w:spacing w:val="-7"/>
        </w:rPr>
        <w:t xml:space="preserve"> </w:t>
      </w:r>
      <w:r>
        <w:t>of</w:t>
      </w:r>
      <w:r>
        <w:rPr>
          <w:spacing w:val="-5"/>
        </w:rPr>
        <w:t xml:space="preserve"> </w:t>
      </w:r>
      <w:r>
        <w:t>the</w:t>
      </w:r>
      <w:r>
        <w:rPr>
          <w:spacing w:val="-4"/>
        </w:rPr>
        <w:t xml:space="preserve"> </w:t>
      </w:r>
      <w:r>
        <w:rPr>
          <w:spacing w:val="-2"/>
        </w:rPr>
        <w:t>Problem</w:t>
      </w:r>
    </w:p>
    <w:p w14:paraId="5C706093" w14:textId="77777777" w:rsidR="00DB6E1F" w:rsidRDefault="00F666A6">
      <w:pPr>
        <w:pStyle w:val="BodyText"/>
        <w:spacing w:before="143"/>
        <w:ind w:left="1439" w:right="1491"/>
      </w:pPr>
      <w:r>
        <w:rPr>
          <w:b/>
        </w:rPr>
        <w:t xml:space="preserve">To engage clients, invite them to explain their understanding of the problem. </w:t>
      </w:r>
      <w:r>
        <w:t>Be direct, but remain nonjudgmental.</w:t>
      </w:r>
      <w:r>
        <w:rPr>
          <w:spacing w:val="-4"/>
        </w:rPr>
        <w:t xml:space="preserve"> </w:t>
      </w:r>
      <w:r>
        <w:t>You</w:t>
      </w:r>
      <w:r>
        <w:rPr>
          <w:spacing w:val="-4"/>
        </w:rPr>
        <w:t xml:space="preserve"> </w:t>
      </w:r>
      <w:r>
        <w:t>might</w:t>
      </w:r>
      <w:r>
        <w:rPr>
          <w:spacing w:val="-3"/>
        </w:rPr>
        <w:t xml:space="preserve"> </w:t>
      </w:r>
      <w:r>
        <w:t>say,</w:t>
      </w:r>
      <w:r>
        <w:rPr>
          <w:spacing w:val="-3"/>
        </w:rPr>
        <w:t xml:space="preserve"> </w:t>
      </w:r>
      <w:r>
        <w:t>“Can</w:t>
      </w:r>
      <w:r>
        <w:rPr>
          <w:spacing w:val="-4"/>
        </w:rPr>
        <w:t xml:space="preserve"> </w:t>
      </w:r>
      <w:r>
        <w:t>you</w:t>
      </w:r>
      <w:r>
        <w:rPr>
          <w:spacing w:val="-4"/>
        </w:rPr>
        <w:t xml:space="preserve"> </w:t>
      </w:r>
      <w:r>
        <w:t>tell</w:t>
      </w:r>
      <w:r>
        <w:rPr>
          <w:spacing w:val="-4"/>
        </w:rPr>
        <w:t xml:space="preserve"> </w:t>
      </w:r>
      <w:r>
        <w:t>me</w:t>
      </w:r>
      <w:r>
        <w:rPr>
          <w:spacing w:val="-3"/>
        </w:rPr>
        <w:t xml:space="preserve"> </w:t>
      </w:r>
      <w:r>
        <w:t>a</w:t>
      </w:r>
      <w:r>
        <w:rPr>
          <w:spacing w:val="-1"/>
        </w:rPr>
        <w:t xml:space="preserve"> </w:t>
      </w:r>
      <w:r>
        <w:t>bit</w:t>
      </w:r>
      <w:r>
        <w:rPr>
          <w:spacing w:val="-3"/>
        </w:rPr>
        <w:t xml:space="preserve"> </w:t>
      </w:r>
      <w:r>
        <w:t>about what brings</w:t>
      </w:r>
      <w:r>
        <w:rPr>
          <w:spacing w:val="-1"/>
        </w:rPr>
        <w:t xml:space="preserve"> </w:t>
      </w:r>
      <w:r>
        <w:t>you</w:t>
      </w:r>
      <w:r>
        <w:rPr>
          <w:spacing w:val="-2"/>
        </w:rPr>
        <w:t xml:space="preserve"> </w:t>
      </w:r>
      <w:r>
        <w:t>here today?”</w:t>
      </w:r>
      <w:r>
        <w:rPr>
          <w:spacing w:val="-2"/>
        </w:rPr>
        <w:t xml:space="preserve"> </w:t>
      </w:r>
      <w:r>
        <w:t>or</w:t>
      </w:r>
      <w:r>
        <w:rPr>
          <w:spacing w:val="-3"/>
        </w:rPr>
        <w:t xml:space="preserve"> </w:t>
      </w:r>
      <w:r>
        <w:t>“I’d</w:t>
      </w:r>
      <w:r>
        <w:rPr>
          <w:spacing w:val="-1"/>
        </w:rPr>
        <w:t xml:space="preserve"> </w:t>
      </w:r>
      <w:r>
        <w:t>like to understand your perspective on why you’re here. Can we start there?” Asking these open questions invites clients to tell you their story and shows your genuine interest in their perspective.</w:t>
      </w:r>
    </w:p>
    <w:p w14:paraId="5E35CA9C" w14:textId="77777777" w:rsidR="00DB6E1F" w:rsidRDefault="00F666A6">
      <w:pPr>
        <w:pStyle w:val="Heading3"/>
        <w:spacing w:before="163"/>
      </w:pPr>
      <w:bookmarkStart w:id="127" w:name="Explore_the_Events_That_Led_to_Entering_"/>
      <w:bookmarkEnd w:id="127"/>
      <w:r>
        <w:t>Explore</w:t>
      </w:r>
      <w:r>
        <w:rPr>
          <w:spacing w:val="-6"/>
        </w:rPr>
        <w:t xml:space="preserve"> </w:t>
      </w:r>
      <w:r>
        <w:t>the</w:t>
      </w:r>
      <w:r>
        <w:rPr>
          <w:spacing w:val="-6"/>
        </w:rPr>
        <w:t xml:space="preserve"> </w:t>
      </w:r>
      <w:r>
        <w:t>Events</w:t>
      </w:r>
      <w:r>
        <w:rPr>
          <w:spacing w:val="-4"/>
        </w:rPr>
        <w:t xml:space="preserve"> </w:t>
      </w:r>
      <w:r>
        <w:t>That</w:t>
      </w:r>
      <w:r>
        <w:rPr>
          <w:spacing w:val="-6"/>
        </w:rPr>
        <w:t xml:space="preserve"> </w:t>
      </w:r>
      <w:r>
        <w:t>Led</w:t>
      </w:r>
      <w:r>
        <w:rPr>
          <w:spacing w:val="-5"/>
        </w:rPr>
        <w:t xml:space="preserve"> </w:t>
      </w:r>
      <w:r>
        <w:t>to</w:t>
      </w:r>
      <w:r>
        <w:rPr>
          <w:spacing w:val="-5"/>
        </w:rPr>
        <w:t xml:space="preserve"> </w:t>
      </w:r>
      <w:r>
        <w:t>Entering</w:t>
      </w:r>
      <w:r>
        <w:rPr>
          <w:spacing w:val="-6"/>
        </w:rPr>
        <w:t xml:space="preserve"> </w:t>
      </w:r>
      <w:r>
        <w:rPr>
          <w:spacing w:val="-2"/>
        </w:rPr>
        <w:t>Treatment</w:t>
      </w:r>
    </w:p>
    <w:p w14:paraId="50AAA008" w14:textId="77777777" w:rsidR="00DB6E1F" w:rsidRDefault="00F666A6">
      <w:pPr>
        <w:spacing w:before="143"/>
        <w:ind w:left="1439" w:right="1491"/>
        <w:rPr>
          <w:b/>
        </w:rPr>
      </w:pPr>
      <w:r>
        <w:rPr>
          <w:b/>
        </w:rPr>
        <w:t>Explore</w:t>
      </w:r>
      <w:r>
        <w:rPr>
          <w:b/>
        </w:rPr>
        <w:t xml:space="preserve"> what brought the</w:t>
      </w:r>
      <w:r>
        <w:rPr>
          <w:b/>
          <w:spacing w:val="-1"/>
        </w:rPr>
        <w:t xml:space="preserve"> </w:t>
      </w:r>
      <w:r>
        <w:rPr>
          <w:b/>
        </w:rPr>
        <w:t xml:space="preserve">client to treatment, starting by recognizing his or her emotional state. </w:t>
      </w:r>
      <w:r>
        <w:t>The emotional state in which the client comes to treatment is an important part of the context in which counseling begins. A client referred to treatment will exhibi</w:t>
      </w:r>
      <w:r>
        <w:t>t a range of emotions associated with the experiences</w:t>
      </w:r>
      <w:r>
        <w:rPr>
          <w:spacing w:val="-2"/>
        </w:rPr>
        <w:t xml:space="preserve"> </w:t>
      </w:r>
      <w:r>
        <w:t>that</w:t>
      </w:r>
      <w:r>
        <w:rPr>
          <w:spacing w:val="-2"/>
        </w:rPr>
        <w:t xml:space="preserve"> </w:t>
      </w:r>
      <w:r>
        <w:t>led</w:t>
      </w:r>
      <w:r>
        <w:rPr>
          <w:spacing w:val="-5"/>
        </w:rPr>
        <w:t xml:space="preserve"> </w:t>
      </w:r>
      <w:r>
        <w:t>to</w:t>
      </w:r>
      <w:r>
        <w:rPr>
          <w:spacing w:val="-3"/>
        </w:rPr>
        <w:t xml:space="preserve"> </w:t>
      </w:r>
      <w:r>
        <w:t>counseling—for</w:t>
      </w:r>
      <w:r>
        <w:rPr>
          <w:spacing w:val="-2"/>
        </w:rPr>
        <w:t xml:space="preserve"> </w:t>
      </w:r>
      <w:r>
        <w:t>example,</w:t>
      </w:r>
      <w:r>
        <w:rPr>
          <w:spacing w:val="-2"/>
        </w:rPr>
        <w:t xml:space="preserve"> </w:t>
      </w:r>
      <w:r>
        <w:t>an</w:t>
      </w:r>
      <w:r>
        <w:rPr>
          <w:spacing w:val="-3"/>
        </w:rPr>
        <w:t xml:space="preserve"> </w:t>
      </w:r>
      <w:r>
        <w:t>arrest,</w:t>
      </w:r>
      <w:r>
        <w:rPr>
          <w:spacing w:val="-2"/>
        </w:rPr>
        <w:t xml:space="preserve"> </w:t>
      </w:r>
      <w:r>
        <w:t>a</w:t>
      </w:r>
      <w:r>
        <w:rPr>
          <w:spacing w:val="-4"/>
        </w:rPr>
        <w:t xml:space="preserve"> </w:t>
      </w:r>
      <w:r>
        <w:t>confrontation</w:t>
      </w:r>
      <w:r>
        <w:rPr>
          <w:spacing w:val="-5"/>
        </w:rPr>
        <w:t xml:space="preserve"> </w:t>
      </w:r>
      <w:r>
        <w:t>with</w:t>
      </w:r>
      <w:r>
        <w:rPr>
          <w:spacing w:val="-5"/>
        </w:rPr>
        <w:t xml:space="preserve"> </w:t>
      </w:r>
      <w:r>
        <w:t>a</w:t>
      </w:r>
      <w:r>
        <w:rPr>
          <w:spacing w:val="-2"/>
        </w:rPr>
        <w:t xml:space="preserve"> </w:t>
      </w:r>
      <w:r>
        <w:t>spouse</w:t>
      </w:r>
      <w:r>
        <w:rPr>
          <w:spacing w:val="-4"/>
        </w:rPr>
        <w:t xml:space="preserve"> </w:t>
      </w:r>
      <w:r>
        <w:t>or</w:t>
      </w:r>
      <w:r>
        <w:rPr>
          <w:spacing w:val="-4"/>
        </w:rPr>
        <w:t xml:space="preserve"> </w:t>
      </w:r>
      <w:r>
        <w:t>employer, or a health crisis.</w:t>
      </w:r>
      <w:r>
        <w:rPr>
          <w:spacing w:val="-2"/>
        </w:rPr>
        <w:t xml:space="preserve"> </w:t>
      </w:r>
      <w:r>
        <w:t>People</w:t>
      </w:r>
      <w:r>
        <w:rPr>
          <w:spacing w:val="-1"/>
        </w:rPr>
        <w:t xml:space="preserve"> </w:t>
      </w:r>
      <w:r>
        <w:t>may enter treatment</w:t>
      </w:r>
      <w:r>
        <w:rPr>
          <w:spacing w:val="-1"/>
        </w:rPr>
        <w:t xml:space="preserve"> </w:t>
      </w:r>
      <w:r>
        <w:t>feeling shaken, angry,</w:t>
      </w:r>
      <w:r>
        <w:rPr>
          <w:spacing w:val="-1"/>
        </w:rPr>
        <w:t xml:space="preserve"> </w:t>
      </w:r>
      <w:r>
        <w:t>withdrawn,</w:t>
      </w:r>
      <w:r>
        <w:rPr>
          <w:spacing w:val="-1"/>
        </w:rPr>
        <w:t xml:space="preserve"> </w:t>
      </w:r>
      <w:r>
        <w:t>ashamed,</w:t>
      </w:r>
      <w:r>
        <w:rPr>
          <w:spacing w:val="-1"/>
        </w:rPr>
        <w:t xml:space="preserve"> </w:t>
      </w:r>
      <w:r>
        <w:t>terrified,</w:t>
      </w:r>
      <w:r>
        <w:rPr>
          <w:spacing w:val="-1"/>
        </w:rPr>
        <w:t xml:space="preserve"> </w:t>
      </w:r>
      <w:r>
        <w:t xml:space="preserve">or relieved and are often experiencing a combination of feelings. </w:t>
      </w:r>
      <w:r>
        <w:rPr>
          <w:b/>
        </w:rPr>
        <w:t>Strong emotions can become obstacles to change if you do not acknowledge them through reflective listening.</w:t>
      </w:r>
    </w:p>
    <w:p w14:paraId="3CCA392F" w14:textId="77777777" w:rsidR="00DB6E1F" w:rsidRDefault="00F666A6">
      <w:pPr>
        <w:spacing w:before="160"/>
        <w:ind w:left="1439" w:right="1555"/>
      </w:pPr>
      <w:r>
        <w:rPr>
          <w:b/>
        </w:rPr>
        <w:t>Your</w:t>
      </w:r>
      <w:r>
        <w:rPr>
          <w:b/>
          <w:spacing w:val="-1"/>
        </w:rPr>
        <w:t xml:space="preserve"> </w:t>
      </w:r>
      <w:r>
        <w:rPr>
          <w:b/>
        </w:rPr>
        <w:t>initial</w:t>
      </w:r>
      <w:r>
        <w:rPr>
          <w:b/>
          <w:spacing w:val="-3"/>
        </w:rPr>
        <w:t xml:space="preserve"> </w:t>
      </w:r>
      <w:r>
        <w:rPr>
          <w:b/>
        </w:rPr>
        <w:t>conversation</w:t>
      </w:r>
      <w:r>
        <w:rPr>
          <w:b/>
          <w:spacing w:val="-5"/>
        </w:rPr>
        <w:t xml:space="preserve"> </w:t>
      </w:r>
      <w:r>
        <w:rPr>
          <w:b/>
        </w:rPr>
        <w:t>with</w:t>
      </w:r>
      <w:r>
        <w:rPr>
          <w:b/>
          <w:spacing w:val="-3"/>
        </w:rPr>
        <w:t xml:space="preserve"> </w:t>
      </w:r>
      <w:r>
        <w:rPr>
          <w:b/>
        </w:rPr>
        <w:t>clients</w:t>
      </w:r>
      <w:r>
        <w:rPr>
          <w:b/>
          <w:spacing w:val="-1"/>
        </w:rPr>
        <w:t xml:space="preserve"> </w:t>
      </w:r>
      <w:r>
        <w:rPr>
          <w:b/>
        </w:rPr>
        <w:t>should</w:t>
      </w:r>
      <w:r>
        <w:rPr>
          <w:b/>
          <w:spacing w:val="-2"/>
        </w:rPr>
        <w:t xml:space="preserve"> </w:t>
      </w:r>
      <w:r>
        <w:rPr>
          <w:b/>
        </w:rPr>
        <w:t>focus</w:t>
      </w:r>
      <w:r>
        <w:rPr>
          <w:b/>
          <w:spacing w:val="-1"/>
        </w:rPr>
        <w:t xml:space="preserve"> </w:t>
      </w:r>
      <w:r>
        <w:rPr>
          <w:b/>
        </w:rPr>
        <w:t>on</w:t>
      </w:r>
      <w:r>
        <w:rPr>
          <w:b/>
          <w:spacing w:val="-6"/>
        </w:rPr>
        <w:t xml:space="preserve"> </w:t>
      </w:r>
      <w:r>
        <w:rPr>
          <w:b/>
        </w:rPr>
        <w:t>their</w:t>
      </w:r>
      <w:r>
        <w:rPr>
          <w:b/>
          <w:spacing w:val="-2"/>
        </w:rPr>
        <w:t xml:space="preserve"> </w:t>
      </w:r>
      <w:r>
        <w:rPr>
          <w:b/>
        </w:rPr>
        <w:t>recent</w:t>
      </w:r>
      <w:r>
        <w:rPr>
          <w:b/>
          <w:spacing w:val="-2"/>
        </w:rPr>
        <w:t xml:space="preserve"> </w:t>
      </w:r>
      <w:r>
        <w:rPr>
          <w:b/>
        </w:rPr>
        <w:t>experience.</w:t>
      </w:r>
      <w:r>
        <w:rPr>
          <w:b/>
          <w:spacing w:val="-1"/>
        </w:rPr>
        <w:t xml:space="preserve"> </w:t>
      </w:r>
      <w:r>
        <w:t>Fo</w:t>
      </w:r>
      <w:r>
        <w:t>r</w:t>
      </w:r>
      <w:r>
        <w:rPr>
          <w:spacing w:val="-2"/>
        </w:rPr>
        <w:t xml:space="preserve"> </w:t>
      </w:r>
      <w:r>
        <w:t>example,</w:t>
      </w:r>
      <w:r>
        <w:rPr>
          <w:spacing w:val="-4"/>
        </w:rPr>
        <w:t xml:space="preserve"> </w:t>
      </w:r>
      <w:r>
        <w:t>an</w:t>
      </w:r>
      <w:r>
        <w:rPr>
          <w:spacing w:val="-3"/>
        </w:rPr>
        <w:t xml:space="preserve"> </w:t>
      </w:r>
      <w:r>
        <w:t>athlete is likely to be concerned about his or her continued participation in sports, as well as athletic performance; an</w:t>
      </w:r>
      <w:r>
        <w:rPr>
          <w:spacing w:val="-3"/>
        </w:rPr>
        <w:t xml:space="preserve"> </w:t>
      </w:r>
      <w:r>
        <w:t>employee</w:t>
      </w:r>
      <w:r>
        <w:rPr>
          <w:spacing w:val="-2"/>
        </w:rPr>
        <w:t xml:space="preserve"> </w:t>
      </w:r>
      <w:r>
        <w:t>may want to keep</w:t>
      </w:r>
      <w:r>
        <w:rPr>
          <w:spacing w:val="-1"/>
        </w:rPr>
        <w:t xml:space="preserve"> </w:t>
      </w:r>
      <w:r>
        <w:t>his</w:t>
      </w:r>
      <w:r>
        <w:rPr>
          <w:spacing w:val="-2"/>
        </w:rPr>
        <w:t xml:space="preserve"> </w:t>
      </w:r>
      <w:r>
        <w:t>or her job; and a driver</w:t>
      </w:r>
      <w:r>
        <w:rPr>
          <w:spacing w:val="-3"/>
        </w:rPr>
        <w:t xml:space="preserve"> </w:t>
      </w:r>
      <w:r>
        <w:t>is probably worried</w:t>
      </w:r>
      <w:r>
        <w:rPr>
          <w:spacing w:val="-1"/>
        </w:rPr>
        <w:t xml:space="preserve"> </w:t>
      </w:r>
      <w:r>
        <w:t>about</w:t>
      </w:r>
      <w:r>
        <w:rPr>
          <w:spacing w:val="-2"/>
        </w:rPr>
        <w:t xml:space="preserve"> </w:t>
      </w:r>
      <w:r>
        <w:t>the</w:t>
      </w:r>
    </w:p>
    <w:p w14:paraId="35009797" w14:textId="77777777" w:rsidR="00DB6E1F" w:rsidRDefault="00DB6E1F">
      <w:pPr>
        <w:sectPr w:rsidR="00DB6E1F">
          <w:pgSz w:w="12240" w:h="15840"/>
          <w:pgMar w:top="1200" w:right="0" w:bottom="780" w:left="0" w:header="763" w:footer="585" w:gutter="0"/>
          <w:cols w:space="720"/>
        </w:sectPr>
      </w:pPr>
    </w:p>
    <w:p w14:paraId="72C45BB0" w14:textId="77777777" w:rsidR="00DB6E1F" w:rsidRDefault="00DB6E1F">
      <w:pPr>
        <w:pStyle w:val="BodyText"/>
        <w:spacing w:before="8"/>
        <w:rPr>
          <w:sz w:val="14"/>
        </w:rPr>
      </w:pPr>
    </w:p>
    <w:p w14:paraId="71FE54FD" w14:textId="77777777" w:rsidR="00DB6E1F" w:rsidRDefault="00F666A6">
      <w:pPr>
        <w:pStyle w:val="BodyText"/>
        <w:spacing w:before="56"/>
        <w:ind w:left="1439" w:right="1491"/>
      </w:pPr>
      <w:r>
        <w:t>possibility of losin</w:t>
      </w:r>
      <w:r>
        <w:t>g his or her license, going to jail, or injuring someone. A pregnant woman wants a healthy</w:t>
      </w:r>
      <w:r>
        <w:rPr>
          <w:spacing w:val="-1"/>
        </w:rPr>
        <w:t xml:space="preserve"> </w:t>
      </w:r>
      <w:r>
        <w:t>child;</w:t>
      </w:r>
      <w:r>
        <w:rPr>
          <w:spacing w:val="-3"/>
        </w:rPr>
        <w:t xml:space="preserve"> </w:t>
      </w:r>
      <w:r>
        <w:t>a</w:t>
      </w:r>
      <w:r>
        <w:rPr>
          <w:spacing w:val="-4"/>
        </w:rPr>
        <w:t xml:space="preserve"> </w:t>
      </w:r>
      <w:r>
        <w:t>mother</w:t>
      </w:r>
      <w:r>
        <w:rPr>
          <w:spacing w:val="-5"/>
        </w:rPr>
        <w:t xml:space="preserve"> </w:t>
      </w:r>
      <w:r>
        <w:t>may</w:t>
      </w:r>
      <w:r>
        <w:rPr>
          <w:spacing w:val="-1"/>
        </w:rPr>
        <w:t xml:space="preserve"> </w:t>
      </w:r>
      <w:r>
        <w:t>want</w:t>
      </w:r>
      <w:r>
        <w:rPr>
          <w:spacing w:val="-4"/>
        </w:rPr>
        <w:t xml:space="preserve"> </w:t>
      </w:r>
      <w:r>
        <w:t>to</w:t>
      </w:r>
      <w:r>
        <w:rPr>
          <w:spacing w:val="-1"/>
        </w:rPr>
        <w:t xml:space="preserve"> </w:t>
      </w:r>
      <w:r>
        <w:t>regain</w:t>
      </w:r>
      <w:r>
        <w:rPr>
          <w:spacing w:val="-5"/>
        </w:rPr>
        <w:t xml:space="preserve"> </w:t>
      </w:r>
      <w:r>
        <w:t>custody</w:t>
      </w:r>
      <w:r>
        <w:rPr>
          <w:spacing w:val="-3"/>
        </w:rPr>
        <w:t xml:space="preserve"> </w:t>
      </w:r>
      <w:r>
        <w:t>of</w:t>
      </w:r>
      <w:r>
        <w:rPr>
          <w:spacing w:val="-4"/>
        </w:rPr>
        <w:t xml:space="preserve"> </w:t>
      </w:r>
      <w:r>
        <w:t>her</w:t>
      </w:r>
      <w:r>
        <w:rPr>
          <w:spacing w:val="-2"/>
        </w:rPr>
        <w:t xml:space="preserve"> </w:t>
      </w:r>
      <w:r>
        <w:t>children;</w:t>
      </w:r>
      <w:r>
        <w:rPr>
          <w:spacing w:val="-3"/>
        </w:rPr>
        <w:t xml:space="preserve"> </w:t>
      </w:r>
      <w:r>
        <w:t>and</w:t>
      </w:r>
      <w:r>
        <w:rPr>
          <w:spacing w:val="-3"/>
        </w:rPr>
        <w:t xml:space="preserve"> </w:t>
      </w:r>
      <w:r>
        <w:t>a</w:t>
      </w:r>
      <w:r>
        <w:rPr>
          <w:spacing w:val="-2"/>
        </w:rPr>
        <w:t xml:space="preserve"> </w:t>
      </w:r>
      <w:r>
        <w:t>concerned</w:t>
      </w:r>
      <w:r>
        <w:rPr>
          <w:spacing w:val="-3"/>
        </w:rPr>
        <w:t xml:space="preserve"> </w:t>
      </w:r>
      <w:r>
        <w:t>husband</w:t>
      </w:r>
      <w:r>
        <w:rPr>
          <w:spacing w:val="-3"/>
        </w:rPr>
        <w:t xml:space="preserve"> </w:t>
      </w:r>
      <w:r>
        <w:t>needs specific guidance on encouraging his spouse to enter treatment.</w:t>
      </w:r>
    </w:p>
    <w:p w14:paraId="450F5709" w14:textId="77777777" w:rsidR="00DB6E1F" w:rsidRDefault="00F666A6">
      <w:pPr>
        <w:pStyle w:val="BodyText"/>
        <w:spacing w:before="159"/>
        <w:ind w:left="1439" w:right="1444"/>
      </w:pPr>
      <w:r>
        <w:t>Many</w:t>
      </w:r>
      <w:r>
        <w:rPr>
          <w:spacing w:val="-1"/>
        </w:rPr>
        <w:t xml:space="preserve"> </w:t>
      </w:r>
      <w:r>
        <w:t>people</w:t>
      </w:r>
      <w:r>
        <w:rPr>
          <w:spacing w:val="-4"/>
        </w:rPr>
        <w:t xml:space="preserve"> </w:t>
      </w:r>
      <w:r>
        <w:t>with</w:t>
      </w:r>
      <w:r>
        <w:rPr>
          <w:spacing w:val="-5"/>
        </w:rPr>
        <w:t xml:space="preserve"> </w:t>
      </w:r>
      <w:r>
        <w:t>substance</w:t>
      </w:r>
      <w:r>
        <w:rPr>
          <w:spacing w:val="-1"/>
        </w:rPr>
        <w:t xml:space="preserve"> </w:t>
      </w:r>
      <w:r>
        <w:t>use</w:t>
      </w:r>
      <w:r>
        <w:rPr>
          <w:spacing w:val="-4"/>
        </w:rPr>
        <w:t xml:space="preserve"> </w:t>
      </w:r>
      <w:r>
        <w:t>problems</w:t>
      </w:r>
      <w:r>
        <w:rPr>
          <w:spacing w:val="-4"/>
        </w:rPr>
        <w:t xml:space="preserve"> </w:t>
      </w:r>
      <w:r>
        <w:t>seek</w:t>
      </w:r>
      <w:r>
        <w:rPr>
          <w:spacing w:val="-1"/>
        </w:rPr>
        <w:t xml:space="preserve"> </w:t>
      </w:r>
      <w:r>
        <w:t>treatment</w:t>
      </w:r>
      <w:r>
        <w:rPr>
          <w:spacing w:val="-4"/>
        </w:rPr>
        <w:t xml:space="preserve"> </w:t>
      </w:r>
      <w:r>
        <w:t>in</w:t>
      </w:r>
      <w:r>
        <w:rPr>
          <w:spacing w:val="-3"/>
        </w:rPr>
        <w:t xml:space="preserve"> </w:t>
      </w:r>
      <w:r>
        <w:t>response</w:t>
      </w:r>
      <w:r>
        <w:rPr>
          <w:spacing w:val="-4"/>
        </w:rPr>
        <w:t xml:space="preserve"> </w:t>
      </w:r>
      <w:r>
        <w:t>to</w:t>
      </w:r>
      <w:r>
        <w:rPr>
          <w:spacing w:val="-3"/>
        </w:rPr>
        <w:t xml:space="preserve"> </w:t>
      </w:r>
      <w:r>
        <w:t>external</w:t>
      </w:r>
      <w:r>
        <w:rPr>
          <w:spacing w:val="-2"/>
        </w:rPr>
        <w:t xml:space="preserve"> </w:t>
      </w:r>
      <w:r>
        <w:t>pressure</w:t>
      </w:r>
      <w:r>
        <w:rPr>
          <w:spacing w:val="-1"/>
        </w:rPr>
        <w:t xml:space="preserve"> </w:t>
      </w:r>
      <w:r>
        <w:t>from</w:t>
      </w:r>
      <w:r>
        <w:rPr>
          <w:spacing w:val="-1"/>
        </w:rPr>
        <w:t xml:space="preserve"> </w:t>
      </w:r>
      <w:r>
        <w:t>family, friends, employers, healthcare providers, or the legal system (Connors, DiClemente, V</w:t>
      </w:r>
      <w:r>
        <w:t>elasquez, &amp; Donovan, 2013). A client sometimes blames the referring source or someone else for pressuring him or her into treatment and report that the referring provider simply doesn’t view the situation accurately.</w:t>
      </w:r>
    </w:p>
    <w:p w14:paraId="788AC81C" w14:textId="77777777" w:rsidR="00DB6E1F" w:rsidRDefault="00F666A6">
      <w:pPr>
        <w:spacing w:before="1"/>
        <w:ind w:left="1439" w:right="1491"/>
      </w:pPr>
      <w:r>
        <w:rPr>
          <w:b/>
        </w:rPr>
        <w:t>Start with these external sources of mo</w:t>
      </w:r>
      <w:r>
        <w:rPr>
          <w:b/>
        </w:rPr>
        <w:t xml:space="preserve">tivation as a way to raise the client’s awareness about the impact of his or her substance use on others. </w:t>
      </w:r>
      <w:r>
        <w:t>For example, if the client’s wife has insisted he start treatment</w:t>
      </w:r>
      <w:r>
        <w:rPr>
          <w:spacing w:val="-1"/>
        </w:rPr>
        <w:t xml:space="preserve"> </w:t>
      </w:r>
      <w:r>
        <w:t>and the</w:t>
      </w:r>
      <w:r>
        <w:rPr>
          <w:spacing w:val="-1"/>
        </w:rPr>
        <w:t xml:space="preserve"> </w:t>
      </w:r>
      <w:r>
        <w:t>client denies any problem,</w:t>
      </w:r>
      <w:r>
        <w:rPr>
          <w:spacing w:val="-1"/>
        </w:rPr>
        <w:t xml:space="preserve"> </w:t>
      </w:r>
      <w:r>
        <w:t>you</w:t>
      </w:r>
      <w:r>
        <w:rPr>
          <w:spacing w:val="-2"/>
        </w:rPr>
        <w:t xml:space="preserve"> </w:t>
      </w:r>
      <w:r>
        <w:t>might ask,</w:t>
      </w:r>
      <w:r>
        <w:rPr>
          <w:spacing w:val="-1"/>
        </w:rPr>
        <w:t xml:space="preserve"> </w:t>
      </w:r>
      <w:r>
        <w:t>“What kind</w:t>
      </w:r>
      <w:r>
        <w:rPr>
          <w:spacing w:val="-2"/>
        </w:rPr>
        <w:t xml:space="preserve"> </w:t>
      </w:r>
      <w:r>
        <w:t>of things seem to bothe</w:t>
      </w:r>
      <w:r>
        <w:t>r her?” or</w:t>
      </w:r>
      <w:r>
        <w:rPr>
          <w:spacing w:val="-4"/>
        </w:rPr>
        <w:t xml:space="preserve"> </w:t>
      </w:r>
      <w:r>
        <w:t>“What</w:t>
      </w:r>
      <w:r>
        <w:rPr>
          <w:spacing w:val="-4"/>
        </w:rPr>
        <w:t xml:space="preserve"> </w:t>
      </w:r>
      <w:r>
        <w:t>do</w:t>
      </w:r>
      <w:r>
        <w:rPr>
          <w:spacing w:val="-3"/>
        </w:rPr>
        <w:t xml:space="preserve"> </w:t>
      </w:r>
      <w:r>
        <w:t>you</w:t>
      </w:r>
      <w:r>
        <w:rPr>
          <w:spacing w:val="-5"/>
        </w:rPr>
        <w:t xml:space="preserve"> </w:t>
      </w:r>
      <w:r>
        <w:t>think</w:t>
      </w:r>
      <w:r>
        <w:rPr>
          <w:spacing w:val="-4"/>
        </w:rPr>
        <w:t xml:space="preserve"> </w:t>
      </w:r>
      <w:r>
        <w:t>makes</w:t>
      </w:r>
      <w:r>
        <w:rPr>
          <w:spacing w:val="-2"/>
        </w:rPr>
        <w:t xml:space="preserve"> </w:t>
      </w:r>
      <w:r>
        <w:t>her</w:t>
      </w:r>
      <w:r>
        <w:rPr>
          <w:spacing w:val="-2"/>
        </w:rPr>
        <w:t xml:space="preserve"> </w:t>
      </w:r>
      <w:r>
        <w:t>believe</w:t>
      </w:r>
      <w:r>
        <w:rPr>
          <w:spacing w:val="-1"/>
        </w:rPr>
        <w:t xml:space="preserve"> </w:t>
      </w:r>
      <w:r>
        <w:t>there</w:t>
      </w:r>
      <w:r>
        <w:rPr>
          <w:spacing w:val="-1"/>
        </w:rPr>
        <w:t xml:space="preserve"> </w:t>
      </w:r>
      <w:r>
        <w:t>is</w:t>
      </w:r>
      <w:r>
        <w:rPr>
          <w:spacing w:val="-4"/>
        </w:rPr>
        <w:t xml:space="preserve"> </w:t>
      </w:r>
      <w:r>
        <w:t>a</w:t>
      </w:r>
      <w:r>
        <w:rPr>
          <w:spacing w:val="-2"/>
        </w:rPr>
        <w:t xml:space="preserve"> </w:t>
      </w:r>
      <w:r>
        <w:t>problem</w:t>
      </w:r>
      <w:r>
        <w:rPr>
          <w:spacing w:val="-1"/>
        </w:rPr>
        <w:t xml:space="preserve"> </w:t>
      </w:r>
      <w:r>
        <w:t>associated</w:t>
      </w:r>
      <w:r>
        <w:rPr>
          <w:spacing w:val="-3"/>
        </w:rPr>
        <w:t xml:space="preserve"> </w:t>
      </w:r>
      <w:r>
        <w:t>with</w:t>
      </w:r>
      <w:r>
        <w:rPr>
          <w:spacing w:val="-3"/>
        </w:rPr>
        <w:t xml:space="preserve"> </w:t>
      </w:r>
      <w:r>
        <w:t>your</w:t>
      </w:r>
      <w:r>
        <w:rPr>
          <w:spacing w:val="-2"/>
        </w:rPr>
        <w:t xml:space="preserve"> </w:t>
      </w:r>
      <w:r>
        <w:t>drinking?”</w:t>
      </w:r>
      <w:r>
        <w:rPr>
          <w:spacing w:val="-1"/>
        </w:rPr>
        <w:t xml:space="preserve"> </w:t>
      </w:r>
      <w:r>
        <w:t>If</w:t>
      </w:r>
      <w:r>
        <w:rPr>
          <w:spacing w:val="-4"/>
        </w:rPr>
        <w:t xml:space="preserve"> </w:t>
      </w:r>
      <w:r>
        <w:t>the</w:t>
      </w:r>
      <w:r>
        <w:rPr>
          <w:spacing w:val="-4"/>
        </w:rPr>
        <w:t xml:space="preserve"> </w:t>
      </w:r>
      <w:r>
        <w:t>wife’s perceptions are inconsistent with the client’s, you might suggest that the wife come to treatment so that you can explore their different perspectives.</w:t>
      </w:r>
    </w:p>
    <w:p w14:paraId="7F2BE430" w14:textId="77777777" w:rsidR="00DB6E1F" w:rsidRDefault="00F666A6">
      <w:pPr>
        <w:pStyle w:val="BodyText"/>
        <w:spacing w:before="159"/>
        <w:ind w:left="1438" w:right="1444"/>
        <w:rPr>
          <w:b/>
        </w:rPr>
      </w:pPr>
      <w:r>
        <w:t>Similarly, you may have to review and confirm a referring agency’s account or the physical evidence forwarded by a healthcare provider to help you introduce alternative viewpoints to the client in nonthreatening ways. If the client thinks a probation offic</w:t>
      </w:r>
      <w:r>
        <w:t>er is the problem, you can ask, “Why do you think</w:t>
      </w:r>
      <w:r>
        <w:rPr>
          <w:spacing w:val="-1"/>
        </w:rPr>
        <w:t xml:space="preserve"> </w:t>
      </w:r>
      <w:r>
        <w:t>your</w:t>
      </w:r>
      <w:r>
        <w:rPr>
          <w:spacing w:val="-2"/>
        </w:rPr>
        <w:t xml:space="preserve"> </w:t>
      </w:r>
      <w:r>
        <w:t>probation</w:t>
      </w:r>
      <w:r>
        <w:rPr>
          <w:spacing w:val="-5"/>
        </w:rPr>
        <w:t xml:space="preserve"> </w:t>
      </w:r>
      <w:r>
        <w:t>officer</w:t>
      </w:r>
      <w:r>
        <w:rPr>
          <w:spacing w:val="-2"/>
        </w:rPr>
        <w:t xml:space="preserve"> </w:t>
      </w:r>
      <w:r>
        <w:t>believes</w:t>
      </w:r>
      <w:r>
        <w:rPr>
          <w:spacing w:val="-4"/>
        </w:rPr>
        <w:t xml:space="preserve"> </w:t>
      </w:r>
      <w:r>
        <w:t>you</w:t>
      </w:r>
      <w:r>
        <w:rPr>
          <w:spacing w:val="-5"/>
        </w:rPr>
        <w:t xml:space="preserve"> </w:t>
      </w:r>
      <w:r>
        <w:t>have</w:t>
      </w:r>
      <w:r>
        <w:rPr>
          <w:spacing w:val="-4"/>
        </w:rPr>
        <w:t xml:space="preserve"> </w:t>
      </w:r>
      <w:r>
        <w:t>a</w:t>
      </w:r>
      <w:r>
        <w:rPr>
          <w:spacing w:val="-2"/>
        </w:rPr>
        <w:t xml:space="preserve"> </w:t>
      </w:r>
      <w:r>
        <w:t>problem?”</w:t>
      </w:r>
      <w:r>
        <w:rPr>
          <w:spacing w:val="-3"/>
        </w:rPr>
        <w:t xml:space="preserve"> </w:t>
      </w:r>
      <w:r>
        <w:t>This</w:t>
      </w:r>
      <w:r>
        <w:rPr>
          <w:spacing w:val="-4"/>
        </w:rPr>
        <w:t xml:space="preserve"> </w:t>
      </w:r>
      <w:r>
        <w:t>lets</w:t>
      </w:r>
      <w:r>
        <w:rPr>
          <w:spacing w:val="-1"/>
        </w:rPr>
        <w:t xml:space="preserve"> </w:t>
      </w:r>
      <w:r>
        <w:t>the</w:t>
      </w:r>
      <w:r>
        <w:rPr>
          <w:spacing w:val="-1"/>
        </w:rPr>
        <w:t xml:space="preserve"> </w:t>
      </w:r>
      <w:r>
        <w:t>client</w:t>
      </w:r>
      <w:r>
        <w:rPr>
          <w:spacing w:val="-1"/>
        </w:rPr>
        <w:t xml:space="preserve"> </w:t>
      </w:r>
      <w:r>
        <w:t>express</w:t>
      </w:r>
      <w:r>
        <w:rPr>
          <w:spacing w:val="-2"/>
        </w:rPr>
        <w:t xml:space="preserve"> </w:t>
      </w:r>
      <w:r>
        <w:t>the</w:t>
      </w:r>
      <w:r>
        <w:rPr>
          <w:spacing w:val="-4"/>
        </w:rPr>
        <w:t xml:space="preserve"> </w:t>
      </w:r>
      <w:r>
        <w:t>problem</w:t>
      </w:r>
      <w:r>
        <w:rPr>
          <w:spacing w:val="-1"/>
        </w:rPr>
        <w:t xml:space="preserve"> </w:t>
      </w:r>
      <w:r>
        <w:t>from the perspective of the referring party and can raise awareness. Use reflective listening responses to let t</w:t>
      </w:r>
      <w:r>
        <w:t xml:space="preserve">he client know you are listening. </w:t>
      </w:r>
      <w:r>
        <w:rPr>
          <w:b/>
        </w:rPr>
        <w:t>Avoid agreeing or disagreeing with the client’s position.</w:t>
      </w:r>
    </w:p>
    <w:p w14:paraId="51DDF5C1" w14:textId="77777777" w:rsidR="00DB6E1F" w:rsidRDefault="00F666A6">
      <w:pPr>
        <w:pStyle w:val="Heading3"/>
        <w:spacing w:before="163"/>
      </w:pPr>
      <w:bookmarkStart w:id="128" w:name="Assess_the_Client’s_SOC_and_Readiness_to"/>
      <w:bookmarkEnd w:id="128"/>
      <w:r>
        <w:t>Assess</w:t>
      </w:r>
      <w:r>
        <w:rPr>
          <w:spacing w:val="-6"/>
        </w:rPr>
        <w:t xml:space="preserve"> </w:t>
      </w:r>
      <w:r>
        <w:t>the</w:t>
      </w:r>
      <w:r>
        <w:rPr>
          <w:spacing w:val="-6"/>
        </w:rPr>
        <w:t xml:space="preserve"> </w:t>
      </w:r>
      <w:r>
        <w:t>Client’s</w:t>
      </w:r>
      <w:r>
        <w:rPr>
          <w:spacing w:val="-7"/>
        </w:rPr>
        <w:t xml:space="preserve"> </w:t>
      </w:r>
      <w:r>
        <w:t>SOC</w:t>
      </w:r>
      <w:r>
        <w:rPr>
          <w:spacing w:val="-8"/>
        </w:rPr>
        <w:t xml:space="preserve"> </w:t>
      </w:r>
      <w:r>
        <w:t>and</w:t>
      </w:r>
      <w:r>
        <w:rPr>
          <w:spacing w:val="-8"/>
        </w:rPr>
        <w:t xml:space="preserve"> </w:t>
      </w:r>
      <w:r>
        <w:t>Readiness</w:t>
      </w:r>
      <w:r>
        <w:rPr>
          <w:spacing w:val="-5"/>
        </w:rPr>
        <w:t xml:space="preserve"> </w:t>
      </w:r>
      <w:r>
        <w:t>to</w:t>
      </w:r>
      <w:r>
        <w:rPr>
          <w:spacing w:val="-6"/>
        </w:rPr>
        <w:t xml:space="preserve"> </w:t>
      </w:r>
      <w:r>
        <w:rPr>
          <w:spacing w:val="-2"/>
        </w:rPr>
        <w:t>Change</w:t>
      </w:r>
    </w:p>
    <w:p w14:paraId="4B29D1BE" w14:textId="77777777" w:rsidR="00DB6E1F" w:rsidRDefault="00F666A6">
      <w:pPr>
        <w:spacing w:before="144"/>
        <w:ind w:left="1438" w:right="1491" w:firstLine="1"/>
      </w:pPr>
      <w:r>
        <w:rPr>
          <w:b/>
        </w:rPr>
        <w:t>When</w:t>
      </w:r>
      <w:r>
        <w:rPr>
          <w:b/>
          <w:spacing w:val="-3"/>
        </w:rPr>
        <w:t xml:space="preserve"> </w:t>
      </w:r>
      <w:r>
        <w:rPr>
          <w:b/>
        </w:rPr>
        <w:t>you</w:t>
      </w:r>
      <w:r>
        <w:rPr>
          <w:b/>
          <w:spacing w:val="-3"/>
        </w:rPr>
        <w:t xml:space="preserve"> </w:t>
      </w:r>
      <w:r>
        <w:rPr>
          <w:b/>
        </w:rPr>
        <w:t>first</w:t>
      </w:r>
      <w:r>
        <w:rPr>
          <w:b/>
          <w:spacing w:val="-2"/>
        </w:rPr>
        <w:t xml:space="preserve"> </w:t>
      </w:r>
      <w:r>
        <w:rPr>
          <w:b/>
        </w:rPr>
        <w:t>meet</w:t>
      </w:r>
      <w:r>
        <w:rPr>
          <w:b/>
          <w:spacing w:val="-4"/>
        </w:rPr>
        <w:t xml:space="preserve"> </w:t>
      </w:r>
      <w:r>
        <w:rPr>
          <w:b/>
        </w:rPr>
        <w:t>the</w:t>
      </w:r>
      <w:r>
        <w:rPr>
          <w:b/>
          <w:spacing w:val="-2"/>
        </w:rPr>
        <w:t xml:space="preserve"> </w:t>
      </w:r>
      <w:r>
        <w:rPr>
          <w:b/>
        </w:rPr>
        <w:t>client,</w:t>
      </w:r>
      <w:r>
        <w:rPr>
          <w:b/>
          <w:spacing w:val="-1"/>
        </w:rPr>
        <w:t xml:space="preserve"> </w:t>
      </w:r>
      <w:r>
        <w:rPr>
          <w:b/>
        </w:rPr>
        <w:t>determine</w:t>
      </w:r>
      <w:r>
        <w:rPr>
          <w:b/>
          <w:spacing w:val="-2"/>
        </w:rPr>
        <w:t xml:space="preserve"> </w:t>
      </w:r>
      <w:r>
        <w:rPr>
          <w:b/>
        </w:rPr>
        <w:t>his</w:t>
      </w:r>
      <w:r>
        <w:rPr>
          <w:b/>
          <w:spacing w:val="-1"/>
        </w:rPr>
        <w:t xml:space="preserve"> </w:t>
      </w:r>
      <w:r>
        <w:rPr>
          <w:b/>
        </w:rPr>
        <w:t>or</w:t>
      </w:r>
      <w:r>
        <w:rPr>
          <w:b/>
          <w:spacing w:val="-1"/>
        </w:rPr>
        <w:t xml:space="preserve"> </w:t>
      </w:r>
      <w:r>
        <w:rPr>
          <w:b/>
        </w:rPr>
        <w:t>her</w:t>
      </w:r>
      <w:r>
        <w:rPr>
          <w:b/>
          <w:spacing w:val="-5"/>
        </w:rPr>
        <w:t xml:space="preserve"> </w:t>
      </w:r>
      <w:r>
        <w:rPr>
          <w:b/>
        </w:rPr>
        <w:t>readiness</w:t>
      </w:r>
      <w:r>
        <w:rPr>
          <w:b/>
          <w:spacing w:val="-1"/>
        </w:rPr>
        <w:t xml:space="preserve"> </w:t>
      </w:r>
      <w:r>
        <w:rPr>
          <w:b/>
        </w:rPr>
        <w:t>to</w:t>
      </w:r>
      <w:r>
        <w:rPr>
          <w:b/>
          <w:spacing w:val="-4"/>
        </w:rPr>
        <w:t xml:space="preserve"> </w:t>
      </w:r>
      <w:r>
        <w:rPr>
          <w:b/>
        </w:rPr>
        <w:t>change</w:t>
      </w:r>
      <w:r>
        <w:rPr>
          <w:b/>
          <w:spacing w:val="-3"/>
        </w:rPr>
        <w:t xml:space="preserve"> </w:t>
      </w:r>
      <w:r>
        <w:rPr>
          <w:b/>
        </w:rPr>
        <w:t>and</w:t>
      </w:r>
      <w:r>
        <w:rPr>
          <w:b/>
          <w:spacing w:val="-3"/>
        </w:rPr>
        <w:t xml:space="preserve"> </w:t>
      </w:r>
      <w:r>
        <w:rPr>
          <w:b/>
        </w:rPr>
        <w:t>where</w:t>
      </w:r>
      <w:r>
        <w:rPr>
          <w:b/>
          <w:spacing w:val="-3"/>
        </w:rPr>
        <w:t xml:space="preserve"> </w:t>
      </w:r>
      <w:r>
        <w:rPr>
          <w:b/>
        </w:rPr>
        <w:t>he</w:t>
      </w:r>
      <w:r>
        <w:rPr>
          <w:b/>
          <w:spacing w:val="-2"/>
        </w:rPr>
        <w:t xml:space="preserve"> </w:t>
      </w:r>
      <w:r>
        <w:rPr>
          <w:b/>
        </w:rPr>
        <w:t>or</w:t>
      </w:r>
      <w:r>
        <w:rPr>
          <w:b/>
          <w:spacing w:val="-1"/>
        </w:rPr>
        <w:t xml:space="preserve"> </w:t>
      </w:r>
      <w:r>
        <w:rPr>
          <w:b/>
        </w:rPr>
        <w:t>she</w:t>
      </w:r>
      <w:r>
        <w:rPr>
          <w:b/>
          <w:spacing w:val="-2"/>
        </w:rPr>
        <w:t xml:space="preserve"> </w:t>
      </w:r>
      <w:r>
        <w:rPr>
          <w:b/>
        </w:rPr>
        <w:t>is</w:t>
      </w:r>
      <w:r>
        <w:rPr>
          <w:b/>
          <w:spacing w:val="-4"/>
        </w:rPr>
        <w:t xml:space="preserve"> </w:t>
      </w:r>
      <w:r>
        <w:rPr>
          <w:b/>
        </w:rPr>
        <w:t>in</w:t>
      </w:r>
      <w:r>
        <w:rPr>
          <w:b/>
          <w:spacing w:val="-3"/>
        </w:rPr>
        <w:t xml:space="preserve"> </w:t>
      </w:r>
      <w:r>
        <w:rPr>
          <w:b/>
        </w:rPr>
        <w:t xml:space="preserve">the SOC; this determines what counseling strategies are likely to work. </w:t>
      </w:r>
      <w:r>
        <w:t>It is tempting to assume that the client with obvious signs of a substance use disorder (SUD) must already be contemplating or ready for change.</w:t>
      </w:r>
      <w:r>
        <w:rPr>
          <w:spacing w:val="-1"/>
        </w:rPr>
        <w:t xml:space="preserve"> </w:t>
      </w:r>
      <w:r>
        <w:t>However,</w:t>
      </w:r>
      <w:r>
        <w:rPr>
          <w:spacing w:val="-1"/>
        </w:rPr>
        <w:t xml:space="preserve"> </w:t>
      </w:r>
      <w:r>
        <w:t>such</w:t>
      </w:r>
      <w:r>
        <w:rPr>
          <w:spacing w:val="-4"/>
        </w:rPr>
        <w:t xml:space="preserve"> </w:t>
      </w:r>
      <w:r>
        <w:t>assumptions</w:t>
      </w:r>
      <w:r>
        <w:rPr>
          <w:spacing w:val="-3"/>
        </w:rPr>
        <w:t xml:space="preserve"> </w:t>
      </w:r>
      <w:r>
        <w:t>may be</w:t>
      </w:r>
      <w:r>
        <w:rPr>
          <w:spacing w:val="-3"/>
        </w:rPr>
        <w:t xml:space="preserve"> </w:t>
      </w:r>
      <w:r>
        <w:t>wrong.</w:t>
      </w:r>
      <w:r>
        <w:rPr>
          <w:spacing w:val="-1"/>
        </w:rPr>
        <w:t xml:space="preserve"> </w:t>
      </w:r>
      <w:r>
        <w:t>The new</w:t>
      </w:r>
      <w:r>
        <w:rPr>
          <w:spacing w:val="-3"/>
        </w:rPr>
        <w:t xml:space="preserve"> </w:t>
      </w:r>
      <w:r>
        <w:t>client</w:t>
      </w:r>
      <w:r>
        <w:rPr>
          <w:spacing w:val="-3"/>
        </w:rPr>
        <w:t xml:space="preserve"> </w:t>
      </w:r>
      <w:r>
        <w:t>could</w:t>
      </w:r>
      <w:r>
        <w:rPr>
          <w:spacing w:val="-2"/>
        </w:rPr>
        <w:t xml:space="preserve"> </w:t>
      </w:r>
      <w:r>
        <w:t>be</w:t>
      </w:r>
      <w:r>
        <w:rPr>
          <w:spacing w:val="-3"/>
        </w:rPr>
        <w:t xml:space="preserve"> </w:t>
      </w:r>
      <w:r>
        <w:t>at any point</w:t>
      </w:r>
      <w:r>
        <w:rPr>
          <w:spacing w:val="-2"/>
        </w:rPr>
        <w:t xml:space="preserve"> </w:t>
      </w:r>
      <w:r>
        <w:t>on</w:t>
      </w:r>
      <w:r>
        <w:rPr>
          <w:spacing w:val="-4"/>
        </w:rPr>
        <w:t xml:space="preserve"> </w:t>
      </w:r>
      <w:r>
        <w:t>the severity continuum (from substance misuse to severe SUD), could have few or many associated health or social problems, and could be at any stage of readiness to change. The strategies you use to engage clients i</w:t>
      </w:r>
      <w:r>
        <w:t xml:space="preserve">n initial conversations about change should be guided by your assessment of the client’s motivation and </w:t>
      </w:r>
      <w:r>
        <w:rPr>
          <w:spacing w:val="-2"/>
        </w:rPr>
        <w:t>readiness.</w:t>
      </w:r>
    </w:p>
    <w:p w14:paraId="1E603DB1" w14:textId="77777777" w:rsidR="00DB6E1F" w:rsidRDefault="00DB6E1F">
      <w:pPr>
        <w:pStyle w:val="BodyText"/>
        <w:spacing w:before="6"/>
        <w:rPr>
          <w:sz w:val="16"/>
        </w:rPr>
      </w:pPr>
    </w:p>
    <w:p w14:paraId="6D2B76B4" w14:textId="77777777" w:rsidR="00DB6E1F" w:rsidRDefault="00F666A6">
      <w:pPr>
        <w:pStyle w:val="Heading4"/>
      </w:pPr>
      <w:bookmarkStart w:id="129" w:name="The_Importance_and_Confidence_Rulers"/>
      <w:bookmarkEnd w:id="129"/>
      <w:r>
        <w:t>The</w:t>
      </w:r>
      <w:r>
        <w:rPr>
          <w:spacing w:val="-9"/>
        </w:rPr>
        <w:t xml:space="preserve"> </w:t>
      </w:r>
      <w:r>
        <w:t>Importance</w:t>
      </w:r>
      <w:r>
        <w:rPr>
          <w:spacing w:val="-9"/>
        </w:rPr>
        <w:t xml:space="preserve"> </w:t>
      </w:r>
      <w:r>
        <w:t>and</w:t>
      </w:r>
      <w:r>
        <w:rPr>
          <w:spacing w:val="-8"/>
        </w:rPr>
        <w:t xml:space="preserve"> </w:t>
      </w:r>
      <w:r>
        <w:t>Confidence</w:t>
      </w:r>
      <w:r>
        <w:rPr>
          <w:spacing w:val="-9"/>
        </w:rPr>
        <w:t xml:space="preserve"> </w:t>
      </w:r>
      <w:r>
        <w:rPr>
          <w:spacing w:val="-2"/>
        </w:rPr>
        <w:t>Rulers</w:t>
      </w:r>
    </w:p>
    <w:p w14:paraId="3775DB91" w14:textId="77777777" w:rsidR="00DB6E1F" w:rsidRDefault="00F666A6">
      <w:pPr>
        <w:spacing w:before="83"/>
        <w:ind w:left="1439" w:right="1444"/>
      </w:pPr>
      <w:r>
        <w:rPr>
          <w:b/>
        </w:rPr>
        <w:t>The simplest way to assess the client’s readiness to change is to use the Importance Ruler and the Confidence</w:t>
      </w:r>
      <w:r>
        <w:rPr>
          <w:b/>
          <w:spacing w:val="-3"/>
        </w:rPr>
        <w:t xml:space="preserve"> </w:t>
      </w:r>
      <w:r>
        <w:rPr>
          <w:b/>
        </w:rPr>
        <w:t>Ruler</w:t>
      </w:r>
      <w:r>
        <w:rPr>
          <w:b/>
          <w:spacing w:val="-1"/>
        </w:rPr>
        <w:t xml:space="preserve"> </w:t>
      </w:r>
      <w:r>
        <w:rPr>
          <w:b/>
        </w:rPr>
        <w:t>described</w:t>
      </w:r>
      <w:r>
        <w:rPr>
          <w:b/>
          <w:spacing w:val="-3"/>
        </w:rPr>
        <w:t xml:space="preserve"> </w:t>
      </w:r>
      <w:r>
        <w:rPr>
          <w:b/>
        </w:rPr>
        <w:t>in</w:t>
      </w:r>
      <w:r>
        <w:rPr>
          <w:b/>
          <w:spacing w:val="-3"/>
        </w:rPr>
        <w:t xml:space="preserve"> </w:t>
      </w:r>
      <w:r>
        <w:rPr>
          <w:b/>
        </w:rPr>
        <w:t>Chapter</w:t>
      </w:r>
      <w:r>
        <w:rPr>
          <w:b/>
          <w:spacing w:val="-4"/>
        </w:rPr>
        <w:t xml:space="preserve"> </w:t>
      </w:r>
      <w:r>
        <w:rPr>
          <w:b/>
        </w:rPr>
        <w:t>3</w:t>
      </w:r>
      <w:r>
        <w:rPr>
          <w:b/>
          <w:spacing w:val="-1"/>
        </w:rPr>
        <w:t xml:space="preserve"> </w:t>
      </w:r>
      <w:r>
        <w:t>(see</w:t>
      </w:r>
      <w:r>
        <w:rPr>
          <w:spacing w:val="-4"/>
        </w:rPr>
        <w:t xml:space="preserve"> </w:t>
      </w:r>
      <w:r>
        <w:t>Exhibit</w:t>
      </w:r>
      <w:r>
        <w:rPr>
          <w:spacing w:val="-4"/>
        </w:rPr>
        <w:t xml:space="preserve"> </w:t>
      </w:r>
      <w:r>
        <w:t>3.9</w:t>
      </w:r>
      <w:r>
        <w:rPr>
          <w:spacing w:val="-1"/>
        </w:rPr>
        <w:t xml:space="preserve"> </w:t>
      </w:r>
      <w:r>
        <w:t>and</w:t>
      </w:r>
      <w:r>
        <w:rPr>
          <w:spacing w:val="-3"/>
        </w:rPr>
        <w:t xml:space="preserve"> </w:t>
      </w:r>
      <w:r>
        <w:t>Exhibit</w:t>
      </w:r>
      <w:r>
        <w:rPr>
          <w:spacing w:val="-1"/>
        </w:rPr>
        <w:t xml:space="preserve"> </w:t>
      </w:r>
      <w:r>
        <w:t>3.10,</w:t>
      </w:r>
      <w:r>
        <w:rPr>
          <w:spacing w:val="-2"/>
        </w:rPr>
        <w:t xml:space="preserve"> </w:t>
      </w:r>
      <w:r>
        <w:t>respectively).</w:t>
      </w:r>
      <w:r>
        <w:rPr>
          <w:spacing w:val="-5"/>
        </w:rPr>
        <w:t xml:space="preserve"> </w:t>
      </w:r>
      <w:r>
        <w:t>The</w:t>
      </w:r>
      <w:r>
        <w:rPr>
          <w:spacing w:val="-1"/>
        </w:rPr>
        <w:t xml:space="preserve"> </w:t>
      </w:r>
      <w:r>
        <w:t>Importance Ruler indicates how important it is for the client t</w:t>
      </w:r>
      <w:r>
        <w:t>o make a change right now. The Confidence Ruler indicates a client’s sense of self-efficacy about making a change right now. Together, they indicate how ready the client is to change target behaviors. Clients in Precontemplation will typically be at the lo</w:t>
      </w:r>
      <w:r>
        <w:t>wer end of the rulers, generally between 0 and 3.</w:t>
      </w:r>
    </w:p>
    <w:p w14:paraId="3F750D09" w14:textId="77777777" w:rsidR="00DB6E1F" w:rsidRDefault="00F666A6">
      <w:pPr>
        <w:spacing w:before="160"/>
        <w:ind w:left="1439" w:right="1491"/>
        <w:rPr>
          <w:b/>
        </w:rPr>
      </w:pPr>
      <w:r>
        <w:t>Keep in mind that these numerical assessments are neither fixed nor always linear. The client moves forward or backward across stages or jumps from one part of the continuum to another, in either direction</w:t>
      </w:r>
      <w:r>
        <w:rPr>
          <w:spacing w:val="-5"/>
        </w:rPr>
        <w:t xml:space="preserve"> </w:t>
      </w:r>
      <w:r>
        <w:t>and</w:t>
      </w:r>
      <w:r>
        <w:rPr>
          <w:spacing w:val="-3"/>
        </w:rPr>
        <w:t xml:space="preserve"> </w:t>
      </w:r>
      <w:r>
        <w:t>at</w:t>
      </w:r>
      <w:r>
        <w:rPr>
          <w:spacing w:val="-4"/>
        </w:rPr>
        <w:t xml:space="preserve"> </w:t>
      </w:r>
      <w:r>
        <w:t>various</w:t>
      </w:r>
      <w:r>
        <w:rPr>
          <w:spacing w:val="-2"/>
        </w:rPr>
        <w:t xml:space="preserve"> </w:t>
      </w:r>
      <w:r>
        <w:t>times.</w:t>
      </w:r>
      <w:r>
        <w:rPr>
          <w:spacing w:val="-5"/>
        </w:rPr>
        <w:t xml:space="preserve"> </w:t>
      </w:r>
      <w:r>
        <w:rPr>
          <w:b/>
        </w:rPr>
        <w:t>Your</w:t>
      </w:r>
      <w:r>
        <w:rPr>
          <w:b/>
          <w:spacing w:val="-1"/>
        </w:rPr>
        <w:t xml:space="preserve"> </w:t>
      </w:r>
      <w:r>
        <w:rPr>
          <w:b/>
        </w:rPr>
        <w:t>role</w:t>
      </w:r>
      <w:r>
        <w:rPr>
          <w:b/>
          <w:spacing w:val="-3"/>
        </w:rPr>
        <w:t xml:space="preserve"> </w:t>
      </w:r>
      <w:r>
        <w:rPr>
          <w:b/>
        </w:rPr>
        <w:t>is</w:t>
      </w:r>
      <w:r>
        <w:rPr>
          <w:b/>
          <w:spacing w:val="-1"/>
        </w:rPr>
        <w:t xml:space="preserve"> </w:t>
      </w:r>
      <w:r>
        <w:rPr>
          <w:b/>
        </w:rPr>
        <w:t>to</w:t>
      </w:r>
      <w:r>
        <w:rPr>
          <w:b/>
          <w:spacing w:val="-3"/>
        </w:rPr>
        <w:t xml:space="preserve"> </w:t>
      </w:r>
      <w:r>
        <w:rPr>
          <w:b/>
        </w:rPr>
        <w:t>facilitate</w:t>
      </w:r>
      <w:r>
        <w:rPr>
          <w:b/>
          <w:spacing w:val="-3"/>
        </w:rPr>
        <w:t xml:space="preserve"> </w:t>
      </w:r>
      <w:r>
        <w:rPr>
          <w:b/>
        </w:rPr>
        <w:t>movement</w:t>
      </w:r>
      <w:r>
        <w:rPr>
          <w:b/>
          <w:spacing w:val="-4"/>
        </w:rPr>
        <w:t xml:space="preserve"> </w:t>
      </w:r>
      <w:r>
        <w:rPr>
          <w:b/>
        </w:rPr>
        <w:t>in</w:t>
      </w:r>
      <w:r>
        <w:rPr>
          <w:b/>
          <w:spacing w:val="-1"/>
        </w:rPr>
        <w:t xml:space="preserve"> </w:t>
      </w:r>
      <w:r>
        <w:rPr>
          <w:b/>
        </w:rPr>
        <w:t>the</w:t>
      </w:r>
      <w:r>
        <w:rPr>
          <w:b/>
          <w:spacing w:val="-2"/>
        </w:rPr>
        <w:t xml:space="preserve"> </w:t>
      </w:r>
      <w:r>
        <w:rPr>
          <w:b/>
        </w:rPr>
        <w:t>direction</w:t>
      </w:r>
      <w:r>
        <w:rPr>
          <w:b/>
          <w:spacing w:val="-3"/>
        </w:rPr>
        <w:t xml:space="preserve"> </w:t>
      </w:r>
      <w:r>
        <w:rPr>
          <w:b/>
        </w:rPr>
        <w:t>of</w:t>
      </w:r>
      <w:r>
        <w:rPr>
          <w:b/>
          <w:spacing w:val="-2"/>
        </w:rPr>
        <w:t xml:space="preserve"> </w:t>
      </w:r>
      <w:r>
        <w:rPr>
          <w:b/>
        </w:rPr>
        <w:t>positive</w:t>
      </w:r>
      <w:r>
        <w:rPr>
          <w:b/>
          <w:spacing w:val="-3"/>
        </w:rPr>
        <w:t xml:space="preserve"> </w:t>
      </w:r>
      <w:r>
        <w:rPr>
          <w:b/>
        </w:rPr>
        <w:t>change.</w:t>
      </w:r>
    </w:p>
    <w:p w14:paraId="0881F76D" w14:textId="77777777" w:rsidR="00DB6E1F" w:rsidRDefault="00DB6E1F">
      <w:pPr>
        <w:pStyle w:val="BodyText"/>
        <w:spacing w:before="4"/>
        <w:rPr>
          <w:b/>
          <w:sz w:val="16"/>
        </w:rPr>
      </w:pPr>
    </w:p>
    <w:p w14:paraId="7CFDCC50" w14:textId="77777777" w:rsidR="00DB6E1F" w:rsidRDefault="00F666A6">
      <w:pPr>
        <w:pStyle w:val="Heading4"/>
        <w:spacing w:before="1"/>
      </w:pPr>
      <w:bookmarkStart w:id="130" w:name="Identification_of_the_client’s_style_of_"/>
      <w:bookmarkEnd w:id="130"/>
      <w:r>
        <w:t>Identification</w:t>
      </w:r>
      <w:r>
        <w:rPr>
          <w:spacing w:val="-8"/>
        </w:rPr>
        <w:t xml:space="preserve"> </w:t>
      </w:r>
      <w:r>
        <w:t>of</w:t>
      </w:r>
      <w:r>
        <w:rPr>
          <w:spacing w:val="-6"/>
        </w:rPr>
        <w:t xml:space="preserve"> </w:t>
      </w:r>
      <w:r>
        <w:t>the</w:t>
      </w:r>
      <w:r>
        <w:rPr>
          <w:spacing w:val="-6"/>
        </w:rPr>
        <w:t xml:space="preserve"> </w:t>
      </w:r>
      <w:r>
        <w:t>client’s</w:t>
      </w:r>
      <w:r>
        <w:rPr>
          <w:spacing w:val="-7"/>
        </w:rPr>
        <w:t xml:space="preserve"> </w:t>
      </w:r>
      <w:r>
        <w:t>style</w:t>
      </w:r>
      <w:r>
        <w:rPr>
          <w:spacing w:val="-5"/>
        </w:rPr>
        <w:t xml:space="preserve"> </w:t>
      </w:r>
      <w:r>
        <w:t>of</w:t>
      </w:r>
      <w:r>
        <w:rPr>
          <w:spacing w:val="-7"/>
        </w:rPr>
        <w:t xml:space="preserve"> </w:t>
      </w:r>
      <w:r>
        <w:rPr>
          <w:spacing w:val="-2"/>
        </w:rPr>
        <w:t>Precontemplation</w:t>
      </w:r>
    </w:p>
    <w:p w14:paraId="2F94105A" w14:textId="77777777" w:rsidR="00DB6E1F" w:rsidRDefault="00F666A6">
      <w:pPr>
        <w:spacing w:before="85"/>
        <w:ind w:left="1439" w:right="1555"/>
      </w:pPr>
      <w:r>
        <w:rPr>
          <w:b/>
        </w:rPr>
        <w:t>You should tailor your counseling approach to the ways in which the client talks about being in Precontemplation.</w:t>
      </w:r>
      <w:r>
        <w:rPr>
          <w:b/>
          <w:spacing w:val="-1"/>
        </w:rPr>
        <w:t xml:space="preserve"> </w:t>
      </w:r>
      <w:r>
        <w:t>Clients</w:t>
      </w:r>
      <w:r>
        <w:rPr>
          <w:spacing w:val="-4"/>
        </w:rPr>
        <w:t xml:space="preserve"> </w:t>
      </w:r>
      <w:r>
        <w:t>will</w:t>
      </w:r>
      <w:r>
        <w:rPr>
          <w:spacing w:val="-2"/>
        </w:rPr>
        <w:t xml:space="preserve"> </w:t>
      </w:r>
      <w:r>
        <w:t>present</w:t>
      </w:r>
      <w:r>
        <w:rPr>
          <w:spacing w:val="-2"/>
        </w:rPr>
        <w:t xml:space="preserve"> </w:t>
      </w:r>
      <w:r>
        <w:t>with</w:t>
      </w:r>
      <w:r>
        <w:rPr>
          <w:spacing w:val="-3"/>
        </w:rPr>
        <w:t xml:space="preserve"> </w:t>
      </w:r>
      <w:r>
        <w:t>different</w:t>
      </w:r>
      <w:r>
        <w:rPr>
          <w:spacing w:val="-6"/>
        </w:rPr>
        <w:t xml:space="preserve"> </w:t>
      </w:r>
      <w:r>
        <w:t>expressions</w:t>
      </w:r>
      <w:r>
        <w:rPr>
          <w:spacing w:val="-4"/>
        </w:rPr>
        <w:t xml:space="preserve"> </w:t>
      </w:r>
      <w:r>
        <w:t>of</w:t>
      </w:r>
      <w:r>
        <w:rPr>
          <w:spacing w:val="-2"/>
        </w:rPr>
        <w:t xml:space="preserve"> </w:t>
      </w:r>
      <w:r>
        <w:t>sustain</w:t>
      </w:r>
      <w:r>
        <w:rPr>
          <w:spacing w:val="-3"/>
        </w:rPr>
        <w:t xml:space="preserve"> </w:t>
      </w:r>
      <w:r>
        <w:t>talk</w:t>
      </w:r>
      <w:r>
        <w:rPr>
          <w:spacing w:val="-6"/>
        </w:rPr>
        <w:t xml:space="preserve"> </w:t>
      </w:r>
      <w:r>
        <w:t>(see</w:t>
      </w:r>
      <w:r>
        <w:rPr>
          <w:spacing w:val="-4"/>
        </w:rPr>
        <w:t xml:space="preserve"> </w:t>
      </w:r>
      <w:r>
        <w:t>Chapter</w:t>
      </w:r>
      <w:r>
        <w:rPr>
          <w:spacing w:val="-4"/>
        </w:rPr>
        <w:t xml:space="preserve"> </w:t>
      </w:r>
      <w:r>
        <w:t>3),</w:t>
      </w:r>
      <w:r>
        <w:rPr>
          <w:spacing w:val="-4"/>
        </w:rPr>
        <w:t xml:space="preserve"> </w:t>
      </w:r>
      <w:r>
        <w:t>which is the status quo side of ambivalence about changing su</w:t>
      </w:r>
      <w:r>
        <w:t>bstance use behaviors. Exhibit 4.2 describes</w:t>
      </w:r>
    </w:p>
    <w:p w14:paraId="5E4406C3" w14:textId="77777777" w:rsidR="00DB6E1F" w:rsidRDefault="00DB6E1F">
      <w:pPr>
        <w:sectPr w:rsidR="00DB6E1F">
          <w:pgSz w:w="12240" w:h="15840"/>
          <w:pgMar w:top="1200" w:right="0" w:bottom="780" w:left="0" w:header="763" w:footer="585" w:gutter="0"/>
          <w:cols w:space="720"/>
        </w:sectPr>
      </w:pPr>
    </w:p>
    <w:p w14:paraId="72C45E46" w14:textId="77777777" w:rsidR="00DB6E1F" w:rsidRDefault="00DB6E1F">
      <w:pPr>
        <w:pStyle w:val="BodyText"/>
        <w:spacing w:before="8"/>
        <w:rPr>
          <w:sz w:val="14"/>
        </w:rPr>
      </w:pPr>
    </w:p>
    <w:p w14:paraId="726191CC" w14:textId="77777777" w:rsidR="00DB6E1F" w:rsidRDefault="00F666A6">
      <w:pPr>
        <w:pStyle w:val="BodyText"/>
        <w:spacing w:before="56"/>
        <w:ind w:left="1440" w:right="1491"/>
      </w:pPr>
      <w:r>
        <w:t>different</w:t>
      </w:r>
      <w:r>
        <w:rPr>
          <w:spacing w:val="-2"/>
        </w:rPr>
        <w:t xml:space="preserve"> </w:t>
      </w:r>
      <w:r>
        <w:t>styles</w:t>
      </w:r>
      <w:r>
        <w:rPr>
          <w:spacing w:val="-5"/>
        </w:rPr>
        <w:t xml:space="preserve"> </w:t>
      </w:r>
      <w:r>
        <w:t>of</w:t>
      </w:r>
      <w:r>
        <w:rPr>
          <w:spacing w:val="-6"/>
        </w:rPr>
        <w:t xml:space="preserve"> </w:t>
      </w:r>
      <w:r>
        <w:t>expressions</w:t>
      </w:r>
      <w:r>
        <w:rPr>
          <w:spacing w:val="-5"/>
        </w:rPr>
        <w:t xml:space="preserve"> </w:t>
      </w:r>
      <w:r>
        <w:t>of</w:t>
      </w:r>
      <w:r>
        <w:rPr>
          <w:spacing w:val="-3"/>
        </w:rPr>
        <w:t xml:space="preserve"> </w:t>
      </w:r>
      <w:r>
        <w:t>ambivalence</w:t>
      </w:r>
      <w:r>
        <w:rPr>
          <w:spacing w:val="-2"/>
        </w:rPr>
        <w:t xml:space="preserve"> </w:t>
      </w:r>
      <w:r>
        <w:t>about</w:t>
      </w:r>
      <w:r>
        <w:rPr>
          <w:spacing w:val="-5"/>
        </w:rPr>
        <w:t xml:space="preserve"> </w:t>
      </w:r>
      <w:r>
        <w:t>change</w:t>
      </w:r>
      <w:r>
        <w:rPr>
          <w:spacing w:val="-2"/>
        </w:rPr>
        <w:t xml:space="preserve"> </w:t>
      </w:r>
      <w:r>
        <w:t>during</w:t>
      </w:r>
      <w:r>
        <w:rPr>
          <w:spacing w:val="-4"/>
        </w:rPr>
        <w:t xml:space="preserve"> </w:t>
      </w:r>
      <w:r>
        <w:t>the</w:t>
      </w:r>
      <w:r>
        <w:rPr>
          <w:spacing w:val="-2"/>
        </w:rPr>
        <w:t xml:space="preserve"> </w:t>
      </w:r>
      <w:r>
        <w:t>Precontemplation</w:t>
      </w:r>
      <w:r>
        <w:rPr>
          <w:spacing w:val="-4"/>
        </w:rPr>
        <w:t xml:space="preserve"> </w:t>
      </w:r>
      <w:r>
        <w:t>stage</w:t>
      </w:r>
      <w:r>
        <w:rPr>
          <w:spacing w:val="-5"/>
        </w:rPr>
        <w:t xml:space="preserve"> </w:t>
      </w:r>
      <w:r>
        <w:t xml:space="preserve">(known as the 5 Rs) and counseling strategies aligned with these different expressions of sustain talk during </w:t>
      </w:r>
      <w:r>
        <w:rPr>
          <w:spacing w:val="-2"/>
        </w:rPr>
        <w:t>Precontemplation.</w:t>
      </w:r>
    </w:p>
    <w:p w14:paraId="24232E61" w14:textId="77777777" w:rsidR="00DB6E1F" w:rsidRDefault="00DB6E1F">
      <w:pPr>
        <w:pStyle w:val="BodyText"/>
        <w:spacing w:before="8"/>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7920"/>
      </w:tblGrid>
      <w:tr w:rsidR="00DB6E1F" w14:paraId="2DC8B745" w14:textId="77777777">
        <w:trPr>
          <w:trHeight w:val="525"/>
        </w:trPr>
        <w:tc>
          <w:tcPr>
            <w:tcW w:w="9350" w:type="dxa"/>
            <w:gridSpan w:val="2"/>
            <w:tcBorders>
              <w:top w:val="nil"/>
              <w:left w:val="nil"/>
              <w:bottom w:val="nil"/>
              <w:right w:val="nil"/>
            </w:tcBorders>
            <w:shd w:val="clear" w:color="auto" w:fill="000000"/>
          </w:tcPr>
          <w:p w14:paraId="74B70F09" w14:textId="77777777" w:rsidR="00DB6E1F" w:rsidRDefault="00F666A6">
            <w:pPr>
              <w:pStyle w:val="TableParagraph"/>
              <w:spacing w:before="114"/>
              <w:ind w:left="215"/>
              <w:rPr>
                <w:sz w:val="24"/>
              </w:rPr>
            </w:pPr>
            <w:r>
              <w:rPr>
                <w:color w:val="FFFFFF"/>
                <w:sz w:val="24"/>
              </w:rPr>
              <w:t>Exhibit</w:t>
            </w:r>
            <w:r>
              <w:rPr>
                <w:color w:val="FFFFFF"/>
                <w:spacing w:val="-4"/>
                <w:sz w:val="24"/>
              </w:rPr>
              <w:t xml:space="preserve"> </w:t>
            </w:r>
            <w:r>
              <w:rPr>
                <w:color w:val="FFFFFF"/>
                <w:sz w:val="24"/>
              </w:rPr>
              <w:t>4.2.</w:t>
            </w:r>
            <w:r>
              <w:rPr>
                <w:color w:val="FFFFFF"/>
                <w:spacing w:val="-2"/>
                <w:sz w:val="24"/>
              </w:rPr>
              <w:t xml:space="preserve"> </w:t>
            </w:r>
            <w:r>
              <w:rPr>
                <w:color w:val="FFFFFF"/>
                <w:sz w:val="24"/>
              </w:rPr>
              <w:t>Styles</w:t>
            </w:r>
            <w:r>
              <w:rPr>
                <w:color w:val="FFFFFF"/>
                <w:spacing w:val="-3"/>
                <w:sz w:val="24"/>
              </w:rPr>
              <w:t xml:space="preserve"> </w:t>
            </w:r>
            <w:r>
              <w:rPr>
                <w:color w:val="FFFFFF"/>
                <w:sz w:val="24"/>
              </w:rPr>
              <w:t>of Expression</w:t>
            </w:r>
            <w:r>
              <w:rPr>
                <w:color w:val="FFFFFF"/>
                <w:spacing w:val="-1"/>
                <w:sz w:val="24"/>
              </w:rPr>
              <w:t xml:space="preserve"> </w:t>
            </w:r>
            <w:r>
              <w:rPr>
                <w:color w:val="FFFFFF"/>
                <w:sz w:val="24"/>
              </w:rPr>
              <w:t>in</w:t>
            </w:r>
            <w:r>
              <w:rPr>
                <w:color w:val="FFFFFF"/>
                <w:spacing w:val="-4"/>
                <w:sz w:val="24"/>
              </w:rPr>
              <w:t xml:space="preserve"> </w:t>
            </w:r>
            <w:r>
              <w:rPr>
                <w:color w:val="FFFFFF"/>
                <w:sz w:val="24"/>
              </w:rPr>
              <w:t>the</w:t>
            </w:r>
            <w:r>
              <w:rPr>
                <w:color w:val="FFFFFF"/>
                <w:spacing w:val="-3"/>
                <w:sz w:val="24"/>
              </w:rPr>
              <w:t xml:space="preserve"> </w:t>
            </w:r>
            <w:r>
              <w:rPr>
                <w:color w:val="FFFFFF"/>
                <w:sz w:val="24"/>
              </w:rPr>
              <w:t>Precontemplation Stage:</w:t>
            </w:r>
            <w:r>
              <w:rPr>
                <w:color w:val="FFFFFF"/>
                <w:spacing w:val="-4"/>
                <w:sz w:val="24"/>
              </w:rPr>
              <w:t xml:space="preserve"> </w:t>
            </w:r>
            <w:r>
              <w:rPr>
                <w:color w:val="FFFFFF"/>
                <w:sz w:val="24"/>
              </w:rPr>
              <w:t>The</w:t>
            </w:r>
            <w:r>
              <w:rPr>
                <w:color w:val="FFFFFF"/>
                <w:spacing w:val="-1"/>
                <w:sz w:val="24"/>
              </w:rPr>
              <w:t xml:space="preserve"> </w:t>
            </w:r>
            <w:r>
              <w:rPr>
                <w:color w:val="FFFFFF"/>
                <w:sz w:val="24"/>
              </w:rPr>
              <w:t>5</w:t>
            </w:r>
            <w:r>
              <w:rPr>
                <w:color w:val="FFFFFF"/>
                <w:spacing w:val="-3"/>
                <w:sz w:val="24"/>
              </w:rPr>
              <w:t xml:space="preserve"> </w:t>
            </w:r>
            <w:r>
              <w:rPr>
                <w:color w:val="FFFFFF"/>
                <w:spacing w:val="-5"/>
                <w:sz w:val="24"/>
              </w:rPr>
              <w:t>Rs</w:t>
            </w:r>
          </w:p>
        </w:tc>
      </w:tr>
      <w:tr w:rsidR="00DB6E1F" w14:paraId="0AE25DD3" w14:textId="77777777">
        <w:trPr>
          <w:trHeight w:val="851"/>
        </w:trPr>
        <w:tc>
          <w:tcPr>
            <w:tcW w:w="9350" w:type="dxa"/>
            <w:gridSpan w:val="2"/>
            <w:tcBorders>
              <w:top w:val="nil"/>
            </w:tcBorders>
          </w:tcPr>
          <w:p w14:paraId="082B943B" w14:textId="77777777" w:rsidR="00DB6E1F" w:rsidRDefault="00F666A6">
            <w:pPr>
              <w:pStyle w:val="TableParagraph"/>
              <w:spacing w:before="0"/>
              <w:ind w:right="117"/>
              <w:rPr>
                <w:sz w:val="20"/>
              </w:rPr>
            </w:pPr>
            <w:r>
              <w:rPr>
                <w:sz w:val="20"/>
              </w:rPr>
              <w:t>Individuals</w:t>
            </w:r>
            <w:r>
              <w:rPr>
                <w:spacing w:val="-4"/>
                <w:sz w:val="20"/>
              </w:rPr>
              <w:t xml:space="preserve"> </w:t>
            </w:r>
            <w:r>
              <w:rPr>
                <w:sz w:val="20"/>
              </w:rPr>
              <w:t>with</w:t>
            </w:r>
            <w:r>
              <w:rPr>
                <w:spacing w:val="-2"/>
                <w:sz w:val="20"/>
              </w:rPr>
              <w:t xml:space="preserve"> </w:t>
            </w:r>
            <w:r>
              <w:rPr>
                <w:sz w:val="20"/>
              </w:rPr>
              <w:t>addictive</w:t>
            </w:r>
            <w:r>
              <w:rPr>
                <w:spacing w:val="-4"/>
                <w:sz w:val="20"/>
              </w:rPr>
              <w:t xml:space="preserve"> </w:t>
            </w:r>
            <w:r>
              <w:rPr>
                <w:sz w:val="20"/>
              </w:rPr>
              <w:t>behaviors</w:t>
            </w:r>
            <w:r>
              <w:rPr>
                <w:spacing w:val="-2"/>
                <w:sz w:val="20"/>
              </w:rPr>
              <w:t xml:space="preserve"> </w:t>
            </w:r>
            <w:r>
              <w:rPr>
                <w:sz w:val="20"/>
              </w:rPr>
              <w:t>who</w:t>
            </w:r>
            <w:r>
              <w:rPr>
                <w:spacing w:val="-3"/>
                <w:sz w:val="20"/>
              </w:rPr>
              <w:t xml:space="preserve"> </w:t>
            </w:r>
            <w:r>
              <w:rPr>
                <w:sz w:val="20"/>
              </w:rPr>
              <w:t>are</w:t>
            </w:r>
            <w:r>
              <w:rPr>
                <w:spacing w:val="-4"/>
                <w:sz w:val="20"/>
              </w:rPr>
              <w:t xml:space="preserve"> </w:t>
            </w:r>
            <w:r>
              <w:rPr>
                <w:sz w:val="20"/>
              </w:rPr>
              <w:t>not</w:t>
            </w:r>
            <w:r>
              <w:rPr>
                <w:spacing w:val="-3"/>
                <w:sz w:val="20"/>
              </w:rPr>
              <w:t xml:space="preserve"> </w:t>
            </w:r>
            <w:r>
              <w:rPr>
                <w:sz w:val="20"/>
              </w:rPr>
              <w:t>yet</w:t>
            </w:r>
            <w:r>
              <w:rPr>
                <w:spacing w:val="-3"/>
                <w:sz w:val="20"/>
              </w:rPr>
              <w:t xml:space="preserve"> </w:t>
            </w:r>
            <w:r>
              <w:rPr>
                <w:sz w:val="20"/>
              </w:rPr>
              <w:t>contemplating</w:t>
            </w:r>
            <w:r>
              <w:rPr>
                <w:spacing w:val="-3"/>
                <w:sz w:val="20"/>
              </w:rPr>
              <w:t xml:space="preserve"> </w:t>
            </w:r>
            <w:r>
              <w:rPr>
                <w:sz w:val="20"/>
              </w:rPr>
              <w:t>change</w:t>
            </w:r>
            <w:r>
              <w:rPr>
                <w:spacing w:val="-4"/>
                <w:sz w:val="20"/>
              </w:rPr>
              <w:t xml:space="preserve"> </w:t>
            </w:r>
            <w:r>
              <w:rPr>
                <w:sz w:val="20"/>
              </w:rPr>
              <w:t>usually</w:t>
            </w:r>
            <w:r>
              <w:rPr>
                <w:spacing w:val="-2"/>
                <w:sz w:val="20"/>
              </w:rPr>
              <w:t xml:space="preserve"> </w:t>
            </w:r>
            <w:r>
              <w:rPr>
                <w:sz w:val="20"/>
              </w:rPr>
              <w:t>express</w:t>
            </w:r>
            <w:r>
              <w:rPr>
                <w:spacing w:val="-4"/>
                <w:sz w:val="20"/>
              </w:rPr>
              <w:t xml:space="preserve"> </w:t>
            </w:r>
            <w:r>
              <w:rPr>
                <w:sz w:val="20"/>
              </w:rPr>
              <w:t>sustain</w:t>
            </w:r>
            <w:r>
              <w:rPr>
                <w:spacing w:val="-2"/>
                <w:sz w:val="20"/>
              </w:rPr>
              <w:t xml:space="preserve"> </w:t>
            </w:r>
            <w:r>
              <w:rPr>
                <w:sz w:val="20"/>
              </w:rPr>
              <w:t>talk</w:t>
            </w:r>
            <w:r>
              <w:rPr>
                <w:spacing w:val="-2"/>
                <w:sz w:val="20"/>
              </w:rPr>
              <w:t xml:space="preserve"> </w:t>
            </w:r>
            <w:r>
              <w:rPr>
                <w:sz w:val="20"/>
              </w:rPr>
              <w:t>in</w:t>
            </w:r>
            <w:r>
              <w:rPr>
                <w:spacing w:val="-2"/>
                <w:sz w:val="20"/>
              </w:rPr>
              <w:t xml:space="preserve"> </w:t>
            </w:r>
            <w:r>
              <w:rPr>
                <w:sz w:val="20"/>
              </w:rPr>
              <w:t>one</w:t>
            </w:r>
            <w:r>
              <w:rPr>
                <w:spacing w:val="-4"/>
                <w:sz w:val="20"/>
              </w:rPr>
              <w:t xml:space="preserve"> </w:t>
            </w:r>
            <w:r>
              <w:rPr>
                <w:sz w:val="20"/>
              </w:rPr>
              <w:t>or more of five different ways. Identifying each client’s style of expression helps determine the counseling approach to follow.</w:t>
            </w:r>
          </w:p>
        </w:tc>
      </w:tr>
      <w:tr w:rsidR="00DB6E1F" w14:paraId="609C2680" w14:textId="77777777">
        <w:trPr>
          <w:trHeight w:val="1341"/>
        </w:trPr>
        <w:tc>
          <w:tcPr>
            <w:tcW w:w="1430" w:type="dxa"/>
          </w:tcPr>
          <w:p w14:paraId="29361895" w14:textId="77777777" w:rsidR="00DB6E1F" w:rsidRDefault="00F666A6">
            <w:pPr>
              <w:pStyle w:val="TableParagraph"/>
              <w:rPr>
                <w:sz w:val="20"/>
              </w:rPr>
            </w:pPr>
            <w:r>
              <w:rPr>
                <w:spacing w:val="-2"/>
                <w:sz w:val="20"/>
              </w:rPr>
              <w:t>Reveling</w:t>
            </w:r>
          </w:p>
        </w:tc>
        <w:tc>
          <w:tcPr>
            <w:tcW w:w="7920" w:type="dxa"/>
          </w:tcPr>
          <w:p w14:paraId="1B59D70F" w14:textId="77777777" w:rsidR="00DB6E1F" w:rsidRDefault="00F666A6">
            <w:pPr>
              <w:pStyle w:val="TableParagraph"/>
              <w:ind w:left="108" w:right="156"/>
              <w:rPr>
                <w:sz w:val="20"/>
              </w:rPr>
            </w:pPr>
            <w:r>
              <w:rPr>
                <w:sz w:val="20"/>
              </w:rPr>
              <w:t>Clients</w:t>
            </w:r>
            <w:r>
              <w:rPr>
                <w:spacing w:val="-4"/>
                <w:sz w:val="20"/>
              </w:rPr>
              <w:t xml:space="preserve"> </w:t>
            </w:r>
            <w:r>
              <w:rPr>
                <w:sz w:val="20"/>
              </w:rPr>
              <w:t>are</w:t>
            </w:r>
            <w:r>
              <w:rPr>
                <w:spacing w:val="-4"/>
                <w:sz w:val="20"/>
              </w:rPr>
              <w:t xml:space="preserve"> </w:t>
            </w:r>
            <w:r>
              <w:rPr>
                <w:sz w:val="20"/>
              </w:rPr>
              <w:t>still</w:t>
            </w:r>
            <w:r>
              <w:rPr>
                <w:spacing w:val="-1"/>
                <w:sz w:val="20"/>
              </w:rPr>
              <w:t xml:space="preserve"> </w:t>
            </w:r>
            <w:r>
              <w:rPr>
                <w:sz w:val="20"/>
              </w:rPr>
              <w:t>focused</w:t>
            </w:r>
            <w:r>
              <w:rPr>
                <w:spacing w:val="-2"/>
                <w:sz w:val="20"/>
              </w:rPr>
              <w:t xml:space="preserve"> </w:t>
            </w:r>
            <w:r>
              <w:rPr>
                <w:sz w:val="20"/>
              </w:rPr>
              <w:t>on</w:t>
            </w:r>
            <w:r>
              <w:rPr>
                <w:spacing w:val="-2"/>
                <w:sz w:val="20"/>
              </w:rPr>
              <w:t xml:space="preserve"> </w:t>
            </w:r>
            <w:r>
              <w:rPr>
                <w:sz w:val="20"/>
              </w:rPr>
              <w:t>good</w:t>
            </w:r>
            <w:r>
              <w:rPr>
                <w:spacing w:val="-2"/>
                <w:sz w:val="20"/>
              </w:rPr>
              <w:t xml:space="preserve"> </w:t>
            </w:r>
            <w:r>
              <w:rPr>
                <w:sz w:val="20"/>
              </w:rPr>
              <w:t>experiences</w:t>
            </w:r>
            <w:r>
              <w:rPr>
                <w:spacing w:val="-4"/>
                <w:sz w:val="20"/>
              </w:rPr>
              <w:t xml:space="preserve"> </w:t>
            </w:r>
            <w:r>
              <w:rPr>
                <w:sz w:val="20"/>
              </w:rPr>
              <w:t>about</w:t>
            </w:r>
            <w:r>
              <w:rPr>
                <w:spacing w:val="-3"/>
                <w:sz w:val="20"/>
              </w:rPr>
              <w:t xml:space="preserve"> </w:t>
            </w:r>
            <w:r>
              <w:rPr>
                <w:sz w:val="20"/>
              </w:rPr>
              <w:t>substance</w:t>
            </w:r>
            <w:r>
              <w:rPr>
                <w:spacing w:val="-4"/>
                <w:sz w:val="20"/>
              </w:rPr>
              <w:t xml:space="preserve"> </w:t>
            </w:r>
            <w:r>
              <w:rPr>
                <w:sz w:val="20"/>
              </w:rPr>
              <w:t>use</w:t>
            </w:r>
            <w:r>
              <w:rPr>
                <w:spacing w:val="-4"/>
                <w:sz w:val="20"/>
              </w:rPr>
              <w:t xml:space="preserve"> </w:t>
            </w:r>
            <w:r>
              <w:rPr>
                <w:sz w:val="20"/>
              </w:rPr>
              <w:t>and</w:t>
            </w:r>
            <w:r>
              <w:rPr>
                <w:spacing w:val="-2"/>
                <w:sz w:val="20"/>
              </w:rPr>
              <w:t xml:space="preserve"> </w:t>
            </w:r>
            <w:r>
              <w:rPr>
                <w:sz w:val="20"/>
              </w:rPr>
              <w:t>have</w:t>
            </w:r>
            <w:r>
              <w:rPr>
                <w:spacing w:val="-4"/>
                <w:sz w:val="20"/>
              </w:rPr>
              <w:t xml:space="preserve"> </w:t>
            </w:r>
            <w:r>
              <w:rPr>
                <w:sz w:val="20"/>
              </w:rPr>
              <w:t>not</w:t>
            </w:r>
            <w:r>
              <w:rPr>
                <w:spacing w:val="-3"/>
                <w:sz w:val="20"/>
              </w:rPr>
              <w:t xml:space="preserve"> </w:t>
            </w:r>
            <w:r>
              <w:rPr>
                <w:sz w:val="20"/>
              </w:rPr>
              <w:t>necessarily experienced many substance</w:t>
            </w:r>
            <w:r>
              <w:rPr>
                <w:sz w:val="20"/>
              </w:rPr>
              <w:t>-use–related negative consequences. Providing objective, nonjudgmental feedback about their substance use and associated health risks or other negative consequences can raise doubt about their ability to avoid negative effects of substance use on their liv</w:t>
            </w:r>
            <w:r>
              <w:rPr>
                <w:sz w:val="20"/>
              </w:rPr>
              <w:t>es.</w:t>
            </w:r>
          </w:p>
        </w:tc>
      </w:tr>
      <w:tr w:rsidR="00DB6E1F" w14:paraId="74386BBC" w14:textId="77777777">
        <w:trPr>
          <w:trHeight w:val="1096"/>
        </w:trPr>
        <w:tc>
          <w:tcPr>
            <w:tcW w:w="1430" w:type="dxa"/>
          </w:tcPr>
          <w:p w14:paraId="617DE459" w14:textId="77777777" w:rsidR="00DB6E1F" w:rsidRDefault="00F666A6">
            <w:pPr>
              <w:pStyle w:val="TableParagraph"/>
              <w:rPr>
                <w:sz w:val="20"/>
              </w:rPr>
            </w:pPr>
            <w:r>
              <w:rPr>
                <w:spacing w:val="-2"/>
                <w:sz w:val="20"/>
              </w:rPr>
              <w:t>Reluctance</w:t>
            </w:r>
          </w:p>
        </w:tc>
        <w:tc>
          <w:tcPr>
            <w:tcW w:w="7920" w:type="dxa"/>
          </w:tcPr>
          <w:p w14:paraId="35AE2118" w14:textId="77777777" w:rsidR="00DB6E1F" w:rsidRDefault="00F666A6">
            <w:pPr>
              <w:pStyle w:val="TableParagraph"/>
              <w:ind w:left="108" w:right="99"/>
              <w:rPr>
                <w:sz w:val="20"/>
              </w:rPr>
            </w:pPr>
            <w:r>
              <w:rPr>
                <w:sz w:val="20"/>
              </w:rPr>
              <w:t>Clients lack knowledge about the dimensions of the problem or the personal impact it can</w:t>
            </w:r>
            <w:r>
              <w:rPr>
                <w:spacing w:val="40"/>
                <w:sz w:val="20"/>
              </w:rPr>
              <w:t xml:space="preserve"> </w:t>
            </w:r>
            <w:r>
              <w:rPr>
                <w:sz w:val="20"/>
              </w:rPr>
              <w:t>have to think change is necessary. They often respond to nonjudgmental feedback about how substance</w:t>
            </w:r>
            <w:r>
              <w:rPr>
                <w:spacing w:val="-3"/>
                <w:sz w:val="20"/>
              </w:rPr>
              <w:t xml:space="preserve"> </w:t>
            </w:r>
            <w:r>
              <w:rPr>
                <w:sz w:val="20"/>
              </w:rPr>
              <w:t>use</w:t>
            </w:r>
            <w:r>
              <w:rPr>
                <w:spacing w:val="-3"/>
                <w:sz w:val="20"/>
              </w:rPr>
              <w:t xml:space="preserve"> </w:t>
            </w:r>
            <w:r>
              <w:rPr>
                <w:sz w:val="20"/>
              </w:rPr>
              <w:t>is</w:t>
            </w:r>
            <w:r>
              <w:rPr>
                <w:spacing w:val="-4"/>
                <w:sz w:val="20"/>
              </w:rPr>
              <w:t xml:space="preserve"> </w:t>
            </w:r>
            <w:r>
              <w:rPr>
                <w:sz w:val="20"/>
              </w:rPr>
              <w:t>affecting</w:t>
            </w:r>
            <w:r>
              <w:rPr>
                <w:spacing w:val="-2"/>
                <w:sz w:val="20"/>
              </w:rPr>
              <w:t xml:space="preserve"> </w:t>
            </w:r>
            <w:r>
              <w:rPr>
                <w:sz w:val="20"/>
              </w:rPr>
              <w:t>their</w:t>
            </w:r>
            <w:r>
              <w:rPr>
                <w:spacing w:val="-2"/>
                <w:sz w:val="20"/>
              </w:rPr>
              <w:t xml:space="preserve"> </w:t>
            </w:r>
            <w:r>
              <w:rPr>
                <w:sz w:val="20"/>
              </w:rPr>
              <w:t>lives.</w:t>
            </w:r>
            <w:r>
              <w:rPr>
                <w:spacing w:val="-2"/>
                <w:sz w:val="20"/>
              </w:rPr>
              <w:t xml:space="preserve"> </w:t>
            </w:r>
            <w:r>
              <w:rPr>
                <w:sz w:val="20"/>
              </w:rPr>
              <w:t>They</w:t>
            </w:r>
            <w:r>
              <w:rPr>
                <w:spacing w:val="-2"/>
                <w:sz w:val="20"/>
              </w:rPr>
              <w:t xml:space="preserve"> </w:t>
            </w:r>
            <w:r>
              <w:rPr>
                <w:sz w:val="20"/>
              </w:rPr>
              <w:t>also</w:t>
            </w:r>
            <w:r>
              <w:rPr>
                <w:spacing w:val="-2"/>
                <w:sz w:val="20"/>
              </w:rPr>
              <w:t xml:space="preserve"> </w:t>
            </w:r>
            <w:r>
              <w:rPr>
                <w:sz w:val="20"/>
              </w:rPr>
              <w:t>respond</w:t>
            </w:r>
            <w:r>
              <w:rPr>
                <w:spacing w:val="-2"/>
                <w:sz w:val="20"/>
              </w:rPr>
              <w:t xml:space="preserve"> </w:t>
            </w:r>
            <w:r>
              <w:rPr>
                <w:sz w:val="20"/>
              </w:rPr>
              <w:t>to</w:t>
            </w:r>
            <w:r>
              <w:rPr>
                <w:spacing w:val="-2"/>
                <w:sz w:val="20"/>
              </w:rPr>
              <w:t xml:space="preserve"> </w:t>
            </w:r>
            <w:r>
              <w:rPr>
                <w:sz w:val="20"/>
              </w:rPr>
              <w:t>reassurance</w:t>
            </w:r>
            <w:r>
              <w:rPr>
                <w:spacing w:val="-3"/>
                <w:sz w:val="20"/>
              </w:rPr>
              <w:t xml:space="preserve"> </w:t>
            </w:r>
            <w:r>
              <w:rPr>
                <w:sz w:val="20"/>
              </w:rPr>
              <w:t>that</w:t>
            </w:r>
            <w:r>
              <w:rPr>
                <w:spacing w:val="-2"/>
                <w:sz w:val="20"/>
              </w:rPr>
              <w:t xml:space="preserve"> </w:t>
            </w:r>
            <w:r>
              <w:rPr>
                <w:sz w:val="20"/>
              </w:rPr>
              <w:t>they</w:t>
            </w:r>
            <w:r>
              <w:rPr>
                <w:spacing w:val="-2"/>
                <w:sz w:val="20"/>
              </w:rPr>
              <w:t xml:space="preserve"> </w:t>
            </w:r>
            <w:r>
              <w:rPr>
                <w:sz w:val="20"/>
              </w:rPr>
              <w:t>will</w:t>
            </w:r>
            <w:r>
              <w:rPr>
                <w:spacing w:val="-2"/>
                <w:sz w:val="20"/>
              </w:rPr>
              <w:t xml:space="preserve"> </w:t>
            </w:r>
            <w:r>
              <w:rPr>
                <w:sz w:val="20"/>
              </w:rPr>
              <w:t>be</w:t>
            </w:r>
            <w:r>
              <w:rPr>
                <w:spacing w:val="-3"/>
                <w:sz w:val="20"/>
              </w:rPr>
              <w:t xml:space="preserve"> </w:t>
            </w:r>
            <w:r>
              <w:rPr>
                <w:sz w:val="20"/>
              </w:rPr>
              <w:t>able</w:t>
            </w:r>
            <w:r>
              <w:rPr>
                <w:spacing w:val="-3"/>
                <w:sz w:val="20"/>
              </w:rPr>
              <w:t xml:space="preserve"> </w:t>
            </w:r>
            <w:r>
              <w:rPr>
                <w:sz w:val="20"/>
              </w:rPr>
              <w:t>to function without the addictive behavior.</w:t>
            </w:r>
          </w:p>
        </w:tc>
      </w:tr>
      <w:tr w:rsidR="00DB6E1F" w14:paraId="311B06ED" w14:textId="77777777">
        <w:trPr>
          <w:trHeight w:val="1096"/>
        </w:trPr>
        <w:tc>
          <w:tcPr>
            <w:tcW w:w="1430" w:type="dxa"/>
          </w:tcPr>
          <w:p w14:paraId="3389F938" w14:textId="77777777" w:rsidR="00DB6E1F" w:rsidRDefault="00F666A6">
            <w:pPr>
              <w:pStyle w:val="TableParagraph"/>
              <w:rPr>
                <w:sz w:val="20"/>
              </w:rPr>
            </w:pPr>
            <w:r>
              <w:rPr>
                <w:spacing w:val="-2"/>
                <w:sz w:val="20"/>
              </w:rPr>
              <w:t>Rebellion</w:t>
            </w:r>
          </w:p>
        </w:tc>
        <w:tc>
          <w:tcPr>
            <w:tcW w:w="7920" w:type="dxa"/>
          </w:tcPr>
          <w:p w14:paraId="4F2A9ECD" w14:textId="77777777" w:rsidR="00DB6E1F" w:rsidRDefault="00F666A6">
            <w:pPr>
              <w:pStyle w:val="TableParagraph"/>
              <w:ind w:left="108" w:right="156"/>
              <w:rPr>
                <w:sz w:val="20"/>
              </w:rPr>
            </w:pPr>
            <w:r>
              <w:rPr>
                <w:sz w:val="20"/>
              </w:rPr>
              <w:t>Clients are afr</w:t>
            </w:r>
            <w:r>
              <w:rPr>
                <w:sz w:val="20"/>
              </w:rPr>
              <w:t>aid of losing control over their lives and have a large investment in their substance of choice. Your challenge is to help them make more positive choices for themselves</w:t>
            </w:r>
            <w:r>
              <w:rPr>
                <w:spacing w:val="-5"/>
                <w:sz w:val="20"/>
              </w:rPr>
              <w:t xml:space="preserve"> </w:t>
            </w:r>
            <w:r>
              <w:rPr>
                <w:sz w:val="20"/>
              </w:rPr>
              <w:t>rather</w:t>
            </w:r>
            <w:r>
              <w:rPr>
                <w:spacing w:val="-4"/>
                <w:sz w:val="20"/>
              </w:rPr>
              <w:t xml:space="preserve"> </w:t>
            </w:r>
            <w:r>
              <w:rPr>
                <w:sz w:val="20"/>
              </w:rPr>
              <w:t>than</w:t>
            </w:r>
            <w:r>
              <w:rPr>
                <w:spacing w:val="-3"/>
                <w:sz w:val="20"/>
              </w:rPr>
              <w:t xml:space="preserve"> </w:t>
            </w:r>
            <w:r>
              <w:rPr>
                <w:sz w:val="20"/>
              </w:rPr>
              <w:t>rebel</w:t>
            </w:r>
            <w:r>
              <w:rPr>
                <w:spacing w:val="-2"/>
                <w:sz w:val="20"/>
              </w:rPr>
              <w:t xml:space="preserve"> </w:t>
            </w:r>
            <w:r>
              <w:rPr>
                <w:sz w:val="20"/>
              </w:rPr>
              <w:t>against</w:t>
            </w:r>
            <w:r>
              <w:rPr>
                <w:spacing w:val="-4"/>
                <w:sz w:val="20"/>
              </w:rPr>
              <w:t xml:space="preserve"> </w:t>
            </w:r>
            <w:r>
              <w:rPr>
                <w:sz w:val="20"/>
              </w:rPr>
              <w:t>what</w:t>
            </w:r>
            <w:r>
              <w:rPr>
                <w:spacing w:val="-4"/>
                <w:sz w:val="20"/>
              </w:rPr>
              <w:t xml:space="preserve"> </w:t>
            </w:r>
            <w:r>
              <w:rPr>
                <w:sz w:val="20"/>
              </w:rPr>
              <w:t>they</w:t>
            </w:r>
            <w:r>
              <w:rPr>
                <w:spacing w:val="-3"/>
                <w:sz w:val="20"/>
              </w:rPr>
              <w:t xml:space="preserve"> </w:t>
            </w:r>
            <w:r>
              <w:rPr>
                <w:sz w:val="20"/>
              </w:rPr>
              <w:t>view</w:t>
            </w:r>
            <w:r>
              <w:rPr>
                <w:spacing w:val="-5"/>
                <w:sz w:val="20"/>
              </w:rPr>
              <w:t xml:space="preserve"> </w:t>
            </w:r>
            <w:r>
              <w:rPr>
                <w:sz w:val="20"/>
              </w:rPr>
              <w:t>as</w:t>
            </w:r>
            <w:r>
              <w:rPr>
                <w:spacing w:val="-5"/>
                <w:sz w:val="20"/>
              </w:rPr>
              <w:t xml:space="preserve"> </w:t>
            </w:r>
            <w:r>
              <w:rPr>
                <w:sz w:val="20"/>
              </w:rPr>
              <w:t>pressure</w:t>
            </w:r>
            <w:r>
              <w:rPr>
                <w:spacing w:val="-5"/>
                <w:sz w:val="20"/>
              </w:rPr>
              <w:t xml:space="preserve"> </w:t>
            </w:r>
            <w:r>
              <w:rPr>
                <w:sz w:val="20"/>
              </w:rPr>
              <w:t>to</w:t>
            </w:r>
            <w:r>
              <w:rPr>
                <w:spacing w:val="-3"/>
                <w:sz w:val="20"/>
              </w:rPr>
              <w:t xml:space="preserve"> </w:t>
            </w:r>
            <w:r>
              <w:rPr>
                <w:sz w:val="20"/>
              </w:rPr>
              <w:t>change.</w:t>
            </w:r>
            <w:r>
              <w:rPr>
                <w:spacing w:val="-4"/>
                <w:sz w:val="20"/>
              </w:rPr>
              <w:t xml:space="preserve"> </w:t>
            </w:r>
            <w:r>
              <w:rPr>
                <w:sz w:val="20"/>
              </w:rPr>
              <w:t>Emphasizing personal choice and responsibility can work well with them.</w:t>
            </w:r>
          </w:p>
        </w:tc>
      </w:tr>
      <w:tr w:rsidR="00DB6E1F" w14:paraId="4AC3ACB4" w14:textId="77777777">
        <w:trPr>
          <w:trHeight w:val="1828"/>
        </w:trPr>
        <w:tc>
          <w:tcPr>
            <w:tcW w:w="1430" w:type="dxa"/>
          </w:tcPr>
          <w:p w14:paraId="74E56D83" w14:textId="77777777" w:rsidR="00DB6E1F" w:rsidRDefault="00F666A6">
            <w:pPr>
              <w:pStyle w:val="TableParagraph"/>
              <w:rPr>
                <w:sz w:val="20"/>
              </w:rPr>
            </w:pPr>
            <w:r>
              <w:rPr>
                <w:spacing w:val="-2"/>
                <w:sz w:val="20"/>
              </w:rPr>
              <w:t>Resignation</w:t>
            </w:r>
          </w:p>
        </w:tc>
        <w:tc>
          <w:tcPr>
            <w:tcW w:w="7920" w:type="dxa"/>
          </w:tcPr>
          <w:p w14:paraId="20A73C5E" w14:textId="77777777" w:rsidR="00DB6E1F" w:rsidRDefault="00F666A6">
            <w:pPr>
              <w:pStyle w:val="TableParagraph"/>
              <w:ind w:left="108" w:right="156"/>
              <w:rPr>
                <w:sz w:val="20"/>
              </w:rPr>
            </w:pPr>
            <w:r>
              <w:rPr>
                <w:sz w:val="20"/>
              </w:rPr>
              <w:t>Clients</w:t>
            </w:r>
            <w:r>
              <w:rPr>
                <w:spacing w:val="-3"/>
                <w:sz w:val="20"/>
              </w:rPr>
              <w:t xml:space="preserve"> </w:t>
            </w:r>
            <w:r>
              <w:rPr>
                <w:sz w:val="20"/>
              </w:rPr>
              <w:t>may</w:t>
            </w:r>
            <w:r>
              <w:rPr>
                <w:spacing w:val="-4"/>
                <w:sz w:val="20"/>
              </w:rPr>
              <w:t xml:space="preserve"> </w:t>
            </w:r>
            <w:r>
              <w:rPr>
                <w:sz w:val="20"/>
              </w:rPr>
              <w:t>feel</w:t>
            </w:r>
            <w:r>
              <w:rPr>
                <w:spacing w:val="-5"/>
                <w:sz w:val="20"/>
              </w:rPr>
              <w:t xml:space="preserve"> </w:t>
            </w:r>
            <w:r>
              <w:rPr>
                <w:sz w:val="20"/>
              </w:rPr>
              <w:t>hopeless,</w:t>
            </w:r>
            <w:r>
              <w:rPr>
                <w:spacing w:val="-4"/>
                <w:sz w:val="20"/>
              </w:rPr>
              <w:t xml:space="preserve"> </w:t>
            </w:r>
            <w:r>
              <w:rPr>
                <w:sz w:val="20"/>
              </w:rPr>
              <w:t>helpless,</w:t>
            </w:r>
            <w:r>
              <w:rPr>
                <w:spacing w:val="-4"/>
                <w:sz w:val="20"/>
              </w:rPr>
              <w:t xml:space="preserve"> </w:t>
            </w:r>
            <w:r>
              <w:rPr>
                <w:sz w:val="20"/>
              </w:rPr>
              <w:t>and</w:t>
            </w:r>
            <w:r>
              <w:rPr>
                <w:spacing w:val="-4"/>
                <w:sz w:val="20"/>
              </w:rPr>
              <w:t xml:space="preserve"> </w:t>
            </w:r>
            <w:r>
              <w:rPr>
                <w:sz w:val="20"/>
              </w:rPr>
              <w:t>overwhelmed</w:t>
            </w:r>
            <w:r>
              <w:rPr>
                <w:spacing w:val="-4"/>
                <w:sz w:val="20"/>
              </w:rPr>
              <w:t xml:space="preserve"> </w:t>
            </w:r>
            <w:r>
              <w:rPr>
                <w:sz w:val="20"/>
              </w:rPr>
              <w:t>by</w:t>
            </w:r>
            <w:r>
              <w:rPr>
                <w:spacing w:val="-4"/>
                <w:sz w:val="20"/>
              </w:rPr>
              <w:t xml:space="preserve"> </w:t>
            </w:r>
            <w:r>
              <w:rPr>
                <w:sz w:val="20"/>
              </w:rPr>
              <w:t>the</w:t>
            </w:r>
            <w:r>
              <w:rPr>
                <w:spacing w:val="-5"/>
                <w:sz w:val="20"/>
              </w:rPr>
              <w:t xml:space="preserve"> </w:t>
            </w:r>
            <w:r>
              <w:rPr>
                <w:sz w:val="20"/>
              </w:rPr>
              <w:t>energy</w:t>
            </w:r>
            <w:r>
              <w:rPr>
                <w:spacing w:val="-4"/>
                <w:sz w:val="20"/>
              </w:rPr>
              <w:t xml:space="preserve"> </w:t>
            </w:r>
            <w:r>
              <w:rPr>
                <w:sz w:val="20"/>
              </w:rPr>
              <w:t>required</w:t>
            </w:r>
            <w:r>
              <w:rPr>
                <w:spacing w:val="-3"/>
                <w:sz w:val="20"/>
              </w:rPr>
              <w:t xml:space="preserve"> </w:t>
            </w:r>
            <w:r>
              <w:rPr>
                <w:sz w:val="20"/>
              </w:rPr>
              <w:t>to</w:t>
            </w:r>
            <w:r>
              <w:rPr>
                <w:spacing w:val="-4"/>
                <w:sz w:val="20"/>
              </w:rPr>
              <w:t xml:space="preserve"> </w:t>
            </w:r>
            <w:r>
              <w:rPr>
                <w:sz w:val="20"/>
              </w:rPr>
              <w:t>change.</w:t>
            </w:r>
            <w:r>
              <w:rPr>
                <w:spacing w:val="-5"/>
                <w:sz w:val="20"/>
              </w:rPr>
              <w:t xml:space="preserve"> </w:t>
            </w:r>
            <w:r>
              <w:rPr>
                <w:sz w:val="20"/>
              </w:rPr>
              <w:t>They probably have been in treatment many times before or have tried repeatedly with little success to quit on their own. These clients must regain hope and optimism about their capacity for change. Explore with them specific barriers to change and success</w:t>
            </w:r>
            <w:r>
              <w:rPr>
                <w:sz w:val="20"/>
              </w:rPr>
              <w:t>ful change attempts with other behaviors. Offer information about how treatment has helped many people who thought they couldn’t change, and link them to others in recovery who can provide additional hope and support.</w:t>
            </w:r>
          </w:p>
        </w:tc>
      </w:tr>
      <w:tr w:rsidR="00DB6E1F" w14:paraId="6394A62D" w14:textId="77777777">
        <w:trPr>
          <w:trHeight w:val="1341"/>
        </w:trPr>
        <w:tc>
          <w:tcPr>
            <w:tcW w:w="1430" w:type="dxa"/>
          </w:tcPr>
          <w:p w14:paraId="4FC544F7" w14:textId="77777777" w:rsidR="00DB6E1F" w:rsidRDefault="00F666A6">
            <w:pPr>
              <w:pStyle w:val="TableParagraph"/>
              <w:rPr>
                <w:sz w:val="20"/>
              </w:rPr>
            </w:pPr>
            <w:r>
              <w:rPr>
                <w:spacing w:val="-2"/>
                <w:sz w:val="20"/>
              </w:rPr>
              <w:t>Rationalization</w:t>
            </w:r>
          </w:p>
        </w:tc>
        <w:tc>
          <w:tcPr>
            <w:tcW w:w="7920" w:type="dxa"/>
          </w:tcPr>
          <w:p w14:paraId="5DF38DD2" w14:textId="77777777" w:rsidR="00DB6E1F" w:rsidRDefault="00F666A6">
            <w:pPr>
              <w:pStyle w:val="TableParagraph"/>
              <w:ind w:left="108" w:right="131"/>
              <w:rPr>
                <w:sz w:val="20"/>
              </w:rPr>
            </w:pPr>
            <w:r>
              <w:rPr>
                <w:sz w:val="20"/>
              </w:rPr>
              <w:t>Clients think they ha</w:t>
            </w:r>
            <w:r>
              <w:rPr>
                <w:sz w:val="20"/>
              </w:rPr>
              <w:t>ve all the answers and that substance use may be a problem for others but not for them. Using double-sided reflection (see Chapter 3), rather than arguing for change,</w:t>
            </w:r>
            <w:r>
              <w:rPr>
                <w:spacing w:val="-4"/>
                <w:sz w:val="20"/>
              </w:rPr>
              <w:t xml:space="preserve"> </w:t>
            </w:r>
            <w:r>
              <w:rPr>
                <w:sz w:val="20"/>
              </w:rPr>
              <w:t>seems</w:t>
            </w:r>
            <w:r>
              <w:rPr>
                <w:spacing w:val="-5"/>
                <w:sz w:val="20"/>
              </w:rPr>
              <w:t xml:space="preserve"> </w:t>
            </w:r>
            <w:r>
              <w:rPr>
                <w:sz w:val="20"/>
              </w:rPr>
              <w:t>the</w:t>
            </w:r>
            <w:r>
              <w:rPr>
                <w:spacing w:val="-5"/>
                <w:sz w:val="20"/>
              </w:rPr>
              <w:t xml:space="preserve"> </w:t>
            </w:r>
            <w:r>
              <w:rPr>
                <w:sz w:val="20"/>
              </w:rPr>
              <w:t>most</w:t>
            </w:r>
            <w:r>
              <w:rPr>
                <w:spacing w:val="-5"/>
                <w:sz w:val="20"/>
              </w:rPr>
              <w:t xml:space="preserve"> </w:t>
            </w:r>
            <w:r>
              <w:rPr>
                <w:sz w:val="20"/>
              </w:rPr>
              <w:t>effective</w:t>
            </w:r>
            <w:r>
              <w:rPr>
                <w:spacing w:val="-3"/>
                <w:sz w:val="20"/>
              </w:rPr>
              <w:t xml:space="preserve"> </w:t>
            </w:r>
            <w:r>
              <w:rPr>
                <w:sz w:val="20"/>
              </w:rPr>
              <w:t>strategy</w:t>
            </w:r>
            <w:r>
              <w:rPr>
                <w:spacing w:val="-4"/>
                <w:sz w:val="20"/>
              </w:rPr>
              <w:t xml:space="preserve"> </w:t>
            </w:r>
            <w:r>
              <w:rPr>
                <w:sz w:val="20"/>
              </w:rPr>
              <w:t>for</w:t>
            </w:r>
            <w:r>
              <w:rPr>
                <w:spacing w:val="-5"/>
                <w:sz w:val="20"/>
              </w:rPr>
              <w:t xml:space="preserve"> </w:t>
            </w:r>
            <w:r>
              <w:rPr>
                <w:sz w:val="20"/>
              </w:rPr>
              <w:t>clients</w:t>
            </w:r>
            <w:r>
              <w:rPr>
                <w:spacing w:val="-5"/>
                <w:sz w:val="20"/>
              </w:rPr>
              <w:t xml:space="preserve"> </w:t>
            </w:r>
            <w:r>
              <w:rPr>
                <w:sz w:val="20"/>
              </w:rPr>
              <w:t>expressing</w:t>
            </w:r>
            <w:r>
              <w:rPr>
                <w:spacing w:val="-5"/>
                <w:sz w:val="20"/>
              </w:rPr>
              <w:t xml:space="preserve"> </w:t>
            </w:r>
            <w:r>
              <w:rPr>
                <w:sz w:val="20"/>
              </w:rPr>
              <w:t>rationalizations.</w:t>
            </w:r>
            <w:r>
              <w:rPr>
                <w:spacing w:val="-5"/>
                <w:sz w:val="20"/>
              </w:rPr>
              <w:t xml:space="preserve"> </w:t>
            </w:r>
            <w:r>
              <w:rPr>
                <w:sz w:val="20"/>
              </w:rPr>
              <w:t>Acknowledge wh</w:t>
            </w:r>
            <w:r>
              <w:rPr>
                <w:sz w:val="20"/>
              </w:rPr>
              <w:t>at these clients say, but point out any reservations they may have expressed earlier about current substance use.</w:t>
            </w:r>
          </w:p>
        </w:tc>
      </w:tr>
      <w:tr w:rsidR="00DB6E1F" w14:paraId="24177951" w14:textId="77777777">
        <w:trPr>
          <w:trHeight w:val="405"/>
        </w:trPr>
        <w:tc>
          <w:tcPr>
            <w:tcW w:w="9350" w:type="dxa"/>
            <w:gridSpan w:val="2"/>
          </w:tcPr>
          <w:p w14:paraId="58B7F3F9" w14:textId="77777777" w:rsidR="00DB6E1F" w:rsidRDefault="00F666A6">
            <w:pPr>
              <w:pStyle w:val="TableParagraph"/>
              <w:spacing w:before="80"/>
              <w:rPr>
                <w:i/>
                <w:sz w:val="20"/>
              </w:rPr>
            </w:pPr>
            <w:r>
              <w:rPr>
                <w:i/>
                <w:sz w:val="20"/>
              </w:rPr>
              <w:t>Source:</w:t>
            </w:r>
            <w:r>
              <w:rPr>
                <w:i/>
                <w:spacing w:val="-11"/>
                <w:sz w:val="20"/>
              </w:rPr>
              <w:t xml:space="preserve"> </w:t>
            </w:r>
            <w:r>
              <w:rPr>
                <w:i/>
                <w:sz w:val="20"/>
              </w:rPr>
              <w:t>DiClemente,</w:t>
            </w:r>
            <w:r>
              <w:rPr>
                <w:i/>
                <w:spacing w:val="-9"/>
                <w:sz w:val="20"/>
              </w:rPr>
              <w:t xml:space="preserve"> </w:t>
            </w:r>
            <w:r>
              <w:rPr>
                <w:i/>
                <w:spacing w:val="-2"/>
                <w:sz w:val="20"/>
              </w:rPr>
              <w:t>2018.</w:t>
            </w:r>
          </w:p>
        </w:tc>
      </w:tr>
    </w:tbl>
    <w:p w14:paraId="3395D472" w14:textId="77777777" w:rsidR="00DB6E1F" w:rsidRDefault="00DB6E1F">
      <w:pPr>
        <w:pStyle w:val="BodyText"/>
        <w:spacing w:before="1"/>
        <w:rPr>
          <w:sz w:val="17"/>
        </w:rPr>
      </w:pPr>
    </w:p>
    <w:p w14:paraId="1603DFD9" w14:textId="77777777" w:rsidR="00DB6E1F" w:rsidRDefault="00F666A6">
      <w:pPr>
        <w:pStyle w:val="Heading4"/>
      </w:pPr>
      <w:bookmarkStart w:id="131" w:name="Readiness_assessment_instruments"/>
      <w:bookmarkEnd w:id="131"/>
      <w:r>
        <w:t>Readiness</w:t>
      </w:r>
      <w:r>
        <w:rPr>
          <w:spacing w:val="-14"/>
        </w:rPr>
        <w:t xml:space="preserve"> </w:t>
      </w:r>
      <w:r>
        <w:t>assessment</w:t>
      </w:r>
      <w:r>
        <w:rPr>
          <w:spacing w:val="-13"/>
        </w:rPr>
        <w:t xml:space="preserve"> </w:t>
      </w:r>
      <w:r>
        <w:rPr>
          <w:spacing w:val="-2"/>
        </w:rPr>
        <w:t>instruments</w:t>
      </w:r>
    </w:p>
    <w:p w14:paraId="2DAF57C8" w14:textId="77777777" w:rsidR="00DB6E1F" w:rsidRDefault="00F666A6">
      <w:pPr>
        <w:spacing w:before="83"/>
        <w:ind w:left="1440" w:right="1491"/>
      </w:pPr>
      <w:r>
        <w:rPr>
          <w:b/>
        </w:rPr>
        <w:t xml:space="preserve">Use assessment tools to help determine the client’s readiness to change and place in the SOC. </w:t>
      </w:r>
      <w:r>
        <w:t xml:space="preserve">These instruments can give overall scores that correspond to levels of readiness to change. You may find it useful to </w:t>
      </w:r>
      <w:r>
        <w:rPr>
          <w:b/>
        </w:rPr>
        <w:t>explore client responses to specific questio</w:t>
      </w:r>
      <w:r>
        <w:rPr>
          <w:b/>
        </w:rPr>
        <w:t xml:space="preserve">ns </w:t>
      </w:r>
      <w:r>
        <w:t>to raise awareness of his or her substance use and</w:t>
      </w:r>
      <w:r>
        <w:rPr>
          <w:spacing w:val="-2"/>
        </w:rPr>
        <w:t xml:space="preserve"> </w:t>
      </w:r>
      <w:r>
        <w:t>what</w:t>
      </w:r>
      <w:r>
        <w:rPr>
          <w:spacing w:val="-3"/>
        </w:rPr>
        <w:t xml:space="preserve"> </w:t>
      </w:r>
      <w:r>
        <w:t>may</w:t>
      </w:r>
      <w:r>
        <w:rPr>
          <w:spacing w:val="-3"/>
        </w:rPr>
        <w:t xml:space="preserve"> </w:t>
      </w:r>
      <w:r>
        <w:t>be getting</w:t>
      </w:r>
      <w:r>
        <w:rPr>
          <w:spacing w:val="-2"/>
        </w:rPr>
        <w:t xml:space="preserve"> </w:t>
      </w:r>
      <w:r>
        <w:t>in</w:t>
      </w:r>
      <w:r>
        <w:rPr>
          <w:spacing w:val="-4"/>
        </w:rPr>
        <w:t xml:space="preserve"> </w:t>
      </w:r>
      <w:r>
        <w:t>the</w:t>
      </w:r>
      <w:r>
        <w:rPr>
          <w:spacing w:val="-3"/>
        </w:rPr>
        <w:t xml:space="preserve"> </w:t>
      </w:r>
      <w:r>
        <w:t>way</w:t>
      </w:r>
      <w:r>
        <w:rPr>
          <w:spacing w:val="-2"/>
        </w:rPr>
        <w:t xml:space="preserve"> </w:t>
      </w:r>
      <w:r>
        <w:t>of</w:t>
      </w:r>
      <w:r>
        <w:rPr>
          <w:spacing w:val="-3"/>
        </w:rPr>
        <w:t xml:space="preserve"> </w:t>
      </w:r>
      <w:r>
        <w:t>making</w:t>
      </w:r>
      <w:r>
        <w:rPr>
          <w:spacing w:val="-2"/>
        </w:rPr>
        <w:t xml:space="preserve"> </w:t>
      </w:r>
      <w:r>
        <w:t>a</w:t>
      </w:r>
      <w:r>
        <w:rPr>
          <w:spacing w:val="-1"/>
        </w:rPr>
        <w:t xml:space="preserve"> </w:t>
      </w:r>
      <w:r>
        <w:t>change.</w:t>
      </w:r>
      <w:r>
        <w:rPr>
          <w:spacing w:val="-1"/>
        </w:rPr>
        <w:t xml:space="preserve"> </w:t>
      </w:r>
      <w:r>
        <w:t>Several</w:t>
      </w:r>
      <w:r>
        <w:rPr>
          <w:spacing w:val="-1"/>
        </w:rPr>
        <w:t xml:space="preserve"> </w:t>
      </w:r>
      <w:r>
        <w:t>assessment</w:t>
      </w:r>
      <w:r>
        <w:rPr>
          <w:spacing w:val="-3"/>
        </w:rPr>
        <w:t xml:space="preserve"> </w:t>
      </w:r>
      <w:r>
        <w:t>tools</w:t>
      </w:r>
      <w:r>
        <w:rPr>
          <w:spacing w:val="-4"/>
        </w:rPr>
        <w:t xml:space="preserve"> </w:t>
      </w:r>
      <w:r>
        <w:t>widely</w:t>
      </w:r>
      <w:r>
        <w:rPr>
          <w:spacing w:val="-2"/>
        </w:rPr>
        <w:t xml:space="preserve"> </w:t>
      </w:r>
      <w:r>
        <w:t>used</w:t>
      </w:r>
      <w:r>
        <w:rPr>
          <w:spacing w:val="-2"/>
        </w:rPr>
        <w:t xml:space="preserve"> </w:t>
      </w:r>
      <w:r>
        <w:t>in</w:t>
      </w:r>
      <w:r>
        <w:rPr>
          <w:spacing w:val="-2"/>
        </w:rPr>
        <w:t xml:space="preserve"> </w:t>
      </w:r>
      <w:r>
        <w:t>clinical and research settings are discussed briefly below and presented in full in Appendix B:</w:t>
      </w:r>
    </w:p>
    <w:p w14:paraId="3AC7663A" w14:textId="77777777" w:rsidR="00DB6E1F" w:rsidRDefault="00F666A6">
      <w:pPr>
        <w:pStyle w:val="ListParagraph"/>
        <w:numPr>
          <w:ilvl w:val="0"/>
          <w:numId w:val="92"/>
        </w:numPr>
        <w:tabs>
          <w:tab w:val="left" w:pos="1800"/>
          <w:tab w:val="left" w:pos="1801"/>
        </w:tabs>
        <w:spacing w:before="59"/>
        <w:ind w:left="1800" w:right="1543"/>
        <w:rPr>
          <w:rFonts w:ascii="Symbol" w:hAnsi="Symbol"/>
        </w:rPr>
      </w:pPr>
      <w:r>
        <w:rPr>
          <w:b/>
        </w:rPr>
        <w:t xml:space="preserve">The University </w:t>
      </w:r>
      <w:r>
        <w:rPr>
          <w:b/>
        </w:rPr>
        <w:t xml:space="preserve">of Rhode Island Change Assessment Scale (URICA) </w:t>
      </w:r>
      <w:r>
        <w:t>was originally developed to measure a client’s change stage in psychotherapy (McConnaughy, Prochaska, &amp; Velicer, 1983) in terms</w:t>
      </w:r>
      <w:r>
        <w:rPr>
          <w:spacing w:val="-4"/>
        </w:rPr>
        <w:t xml:space="preserve"> </w:t>
      </w:r>
      <w:r>
        <w:t>of</w:t>
      </w:r>
      <w:r>
        <w:rPr>
          <w:spacing w:val="-2"/>
        </w:rPr>
        <w:t xml:space="preserve"> </w:t>
      </w:r>
      <w:r>
        <w:t>four</w:t>
      </w:r>
      <w:r>
        <w:rPr>
          <w:spacing w:val="-2"/>
        </w:rPr>
        <w:t xml:space="preserve"> </w:t>
      </w:r>
      <w:r>
        <w:t>stages</w:t>
      </w:r>
      <w:r>
        <w:rPr>
          <w:spacing w:val="-4"/>
        </w:rPr>
        <w:t xml:space="preserve"> </w:t>
      </w:r>
      <w:r>
        <w:t>of</w:t>
      </w:r>
      <w:r>
        <w:rPr>
          <w:spacing w:val="-2"/>
        </w:rPr>
        <w:t xml:space="preserve"> </w:t>
      </w:r>
      <w:r>
        <w:t>the</w:t>
      </w:r>
      <w:r>
        <w:rPr>
          <w:spacing w:val="-6"/>
        </w:rPr>
        <w:t xml:space="preserve"> </w:t>
      </w:r>
      <w:r>
        <w:t>SOC:</w:t>
      </w:r>
      <w:r>
        <w:rPr>
          <w:spacing w:val="-3"/>
        </w:rPr>
        <w:t xml:space="preserve"> </w:t>
      </w:r>
      <w:r>
        <w:t>Precontemplation,</w:t>
      </w:r>
      <w:r>
        <w:rPr>
          <w:spacing w:val="-2"/>
        </w:rPr>
        <w:t xml:space="preserve"> </w:t>
      </w:r>
      <w:r>
        <w:t>Contemplation,</w:t>
      </w:r>
      <w:r>
        <w:rPr>
          <w:spacing w:val="-2"/>
        </w:rPr>
        <w:t xml:space="preserve"> </w:t>
      </w:r>
      <w:r>
        <w:t>Action,</w:t>
      </w:r>
      <w:r>
        <w:rPr>
          <w:spacing w:val="-4"/>
        </w:rPr>
        <w:t xml:space="preserve"> </w:t>
      </w:r>
      <w:r>
        <w:t>and</w:t>
      </w:r>
      <w:r>
        <w:rPr>
          <w:spacing w:val="-5"/>
        </w:rPr>
        <w:t xml:space="preserve"> </w:t>
      </w:r>
      <w:r>
        <w:t>Maintenance.</w:t>
      </w:r>
      <w:r>
        <w:rPr>
          <w:spacing w:val="-3"/>
        </w:rPr>
        <w:t xml:space="preserve"> </w:t>
      </w:r>
      <w:r>
        <w:t>It</w:t>
      </w:r>
      <w:r>
        <w:rPr>
          <w:spacing w:val="-1"/>
        </w:rPr>
        <w:t xml:space="preserve"> </w:t>
      </w:r>
      <w:r>
        <w:t>has been adapted for addiction</w:t>
      </w:r>
      <w:r>
        <w:rPr>
          <w:spacing w:val="-2"/>
        </w:rPr>
        <w:t xml:space="preserve"> </w:t>
      </w:r>
      <w:r>
        <w:t>treatment and is</w:t>
      </w:r>
      <w:r>
        <w:rPr>
          <w:spacing w:val="-1"/>
        </w:rPr>
        <w:t xml:space="preserve"> </w:t>
      </w:r>
      <w:r>
        <w:t>the</w:t>
      </w:r>
      <w:r>
        <w:rPr>
          <w:spacing w:val="-1"/>
        </w:rPr>
        <w:t xml:space="preserve"> </w:t>
      </w:r>
      <w:r>
        <w:t>most</w:t>
      </w:r>
      <w:r>
        <w:rPr>
          <w:spacing w:val="-1"/>
        </w:rPr>
        <w:t xml:space="preserve"> </w:t>
      </w:r>
      <w:r>
        <w:t>common</w:t>
      </w:r>
      <w:r>
        <w:rPr>
          <w:spacing w:val="-2"/>
        </w:rPr>
        <w:t xml:space="preserve"> </w:t>
      </w:r>
      <w:r>
        <w:t>way of</w:t>
      </w:r>
      <w:r>
        <w:rPr>
          <w:spacing w:val="-2"/>
        </w:rPr>
        <w:t xml:space="preserve"> </w:t>
      </w:r>
      <w:r>
        <w:t>measuring the client’s stage of change in clinical settings (Connors et al., 2013).</w:t>
      </w:r>
    </w:p>
    <w:p w14:paraId="0EA99F5B" w14:textId="77777777" w:rsidR="00DB6E1F" w:rsidRDefault="00DB6E1F">
      <w:pPr>
        <w:rPr>
          <w:rFonts w:ascii="Symbol" w:hAnsi="Symbol"/>
        </w:rPr>
        <w:sectPr w:rsidR="00DB6E1F">
          <w:pgSz w:w="12240" w:h="15840"/>
          <w:pgMar w:top="1200" w:right="0" w:bottom="780" w:left="0" w:header="763" w:footer="585" w:gutter="0"/>
          <w:cols w:space="720"/>
        </w:sectPr>
      </w:pPr>
    </w:p>
    <w:p w14:paraId="1C532932" w14:textId="77777777" w:rsidR="00DB6E1F" w:rsidRDefault="00DB6E1F">
      <w:pPr>
        <w:pStyle w:val="BodyText"/>
        <w:rPr>
          <w:sz w:val="11"/>
        </w:rPr>
      </w:pPr>
    </w:p>
    <w:p w14:paraId="3D60336A" w14:textId="77777777" w:rsidR="00DB6E1F" w:rsidRDefault="00F666A6">
      <w:pPr>
        <w:pStyle w:val="ListParagraph"/>
        <w:numPr>
          <w:ilvl w:val="0"/>
          <w:numId w:val="67"/>
        </w:numPr>
        <w:tabs>
          <w:tab w:val="left" w:pos="2519"/>
          <w:tab w:val="left" w:pos="2520"/>
        </w:tabs>
        <w:spacing w:before="101"/>
        <w:ind w:right="1600" w:hanging="359"/>
      </w:pPr>
      <w:r>
        <w:t>The scale has 32 items—8 items for each of the 4 stage-specific subsca</w:t>
      </w:r>
      <w:r>
        <w:t>les. A client rates items on a 5-point scale from 1 (strong disagreement) to 5 (strong agreement). The instrument</w:t>
      </w:r>
      <w:r>
        <w:rPr>
          <w:spacing w:val="-4"/>
        </w:rPr>
        <w:t xml:space="preserve"> </w:t>
      </w:r>
      <w:r>
        <w:t>covers</w:t>
      </w:r>
      <w:r>
        <w:rPr>
          <w:spacing w:val="-2"/>
        </w:rPr>
        <w:t xml:space="preserve"> </w:t>
      </w:r>
      <w:r>
        <w:t>a</w:t>
      </w:r>
      <w:r>
        <w:rPr>
          <w:spacing w:val="-2"/>
        </w:rPr>
        <w:t xml:space="preserve"> </w:t>
      </w:r>
      <w:r>
        <w:t>range</w:t>
      </w:r>
      <w:r>
        <w:rPr>
          <w:spacing w:val="-4"/>
        </w:rPr>
        <w:t xml:space="preserve"> </w:t>
      </w:r>
      <w:r>
        <w:t>of</w:t>
      </w:r>
      <w:r>
        <w:rPr>
          <w:spacing w:val="-2"/>
        </w:rPr>
        <w:t xml:space="preserve"> </w:t>
      </w:r>
      <w:r>
        <w:t>concerns</w:t>
      </w:r>
      <w:r>
        <w:rPr>
          <w:spacing w:val="-4"/>
        </w:rPr>
        <w:t xml:space="preserve"> </w:t>
      </w:r>
      <w:r>
        <w:t>and</w:t>
      </w:r>
      <w:r>
        <w:rPr>
          <w:spacing w:val="-3"/>
        </w:rPr>
        <w:t xml:space="preserve"> </w:t>
      </w:r>
      <w:r>
        <w:t>asks</w:t>
      </w:r>
      <w:r>
        <w:rPr>
          <w:spacing w:val="-4"/>
        </w:rPr>
        <w:t xml:space="preserve"> </w:t>
      </w:r>
      <w:r>
        <w:t>clients</w:t>
      </w:r>
      <w:r>
        <w:rPr>
          <w:spacing w:val="-2"/>
        </w:rPr>
        <w:t xml:space="preserve"> </w:t>
      </w:r>
      <w:r>
        <w:t>general</w:t>
      </w:r>
      <w:r>
        <w:rPr>
          <w:spacing w:val="-2"/>
        </w:rPr>
        <w:t xml:space="preserve"> </w:t>
      </w:r>
      <w:r>
        <w:t>questions</w:t>
      </w:r>
      <w:r>
        <w:rPr>
          <w:spacing w:val="-4"/>
        </w:rPr>
        <w:t xml:space="preserve"> </w:t>
      </w:r>
      <w:r>
        <w:t>about</w:t>
      </w:r>
      <w:r>
        <w:rPr>
          <w:spacing w:val="-4"/>
        </w:rPr>
        <w:t xml:space="preserve"> </w:t>
      </w:r>
      <w:r>
        <w:t>the</w:t>
      </w:r>
      <w:r>
        <w:rPr>
          <w:spacing w:val="-2"/>
        </w:rPr>
        <w:t xml:space="preserve"> </w:t>
      </w:r>
      <w:r>
        <w:t>client’s “problem.” URICA subscales have good internal consistency and</w:t>
      </w:r>
      <w:r>
        <w:t xml:space="preserve"> validity for SUDs (Field, Adinoff, Harris, Ball, &amp; Carroll, 2009).</w:t>
      </w:r>
    </w:p>
    <w:p w14:paraId="2EA13197" w14:textId="77777777" w:rsidR="00DB6E1F" w:rsidRDefault="00F666A6">
      <w:pPr>
        <w:pStyle w:val="ListParagraph"/>
        <w:numPr>
          <w:ilvl w:val="0"/>
          <w:numId w:val="67"/>
        </w:numPr>
        <w:tabs>
          <w:tab w:val="left" w:pos="2519"/>
          <w:tab w:val="left" w:pos="2520"/>
        </w:tabs>
        <w:spacing w:before="59"/>
        <w:ind w:left="2520" w:right="1437"/>
      </w:pPr>
      <w:r>
        <w:t>To use this tool, the client is asked to identify a specific “problem” (e.g., cocaine use) and then fills out the form keeping the specific problem in mind. There may be more than one “pro</w:t>
      </w:r>
      <w:r>
        <w:t>blem”</w:t>
      </w:r>
      <w:r>
        <w:rPr>
          <w:spacing w:val="-1"/>
        </w:rPr>
        <w:t xml:space="preserve"> </w:t>
      </w:r>
      <w:r>
        <w:t>for</w:t>
      </w:r>
      <w:r>
        <w:rPr>
          <w:spacing w:val="-2"/>
        </w:rPr>
        <w:t xml:space="preserve"> </w:t>
      </w:r>
      <w:r>
        <w:t>which</w:t>
      </w:r>
      <w:r>
        <w:rPr>
          <w:spacing w:val="-3"/>
        </w:rPr>
        <w:t xml:space="preserve"> </w:t>
      </w:r>
      <w:r>
        <w:t>the</w:t>
      </w:r>
      <w:r>
        <w:rPr>
          <w:spacing w:val="-4"/>
        </w:rPr>
        <w:t xml:space="preserve"> </w:t>
      </w:r>
      <w:r>
        <w:t>client</w:t>
      </w:r>
      <w:r>
        <w:rPr>
          <w:spacing w:val="-1"/>
        </w:rPr>
        <w:t xml:space="preserve"> </w:t>
      </w:r>
      <w:r>
        <w:t>is</w:t>
      </w:r>
      <w:r>
        <w:rPr>
          <w:spacing w:val="-2"/>
        </w:rPr>
        <w:t xml:space="preserve"> </w:t>
      </w:r>
      <w:r>
        <w:t>seeking</w:t>
      </w:r>
      <w:r>
        <w:rPr>
          <w:spacing w:val="-3"/>
        </w:rPr>
        <w:t xml:space="preserve"> </w:t>
      </w:r>
      <w:r>
        <w:t>help,</w:t>
      </w:r>
      <w:r>
        <w:rPr>
          <w:spacing w:val="-2"/>
        </w:rPr>
        <w:t xml:space="preserve"> </w:t>
      </w:r>
      <w:r>
        <w:t>so</w:t>
      </w:r>
      <w:r>
        <w:rPr>
          <w:spacing w:val="-1"/>
        </w:rPr>
        <w:t xml:space="preserve"> </w:t>
      </w:r>
      <w:r>
        <w:t>you</w:t>
      </w:r>
      <w:r>
        <w:rPr>
          <w:spacing w:val="-5"/>
        </w:rPr>
        <w:t xml:space="preserve"> </w:t>
      </w:r>
      <w:r>
        <w:t>may</w:t>
      </w:r>
      <w:r>
        <w:rPr>
          <w:spacing w:val="-3"/>
        </w:rPr>
        <w:t xml:space="preserve"> </w:t>
      </w:r>
      <w:r>
        <w:t>want</w:t>
      </w:r>
      <w:r>
        <w:rPr>
          <w:spacing w:val="-4"/>
        </w:rPr>
        <w:t xml:space="preserve"> </w:t>
      </w:r>
      <w:r>
        <w:t>to</w:t>
      </w:r>
      <w:r>
        <w:rPr>
          <w:spacing w:val="-1"/>
        </w:rPr>
        <w:t xml:space="preserve"> </w:t>
      </w:r>
      <w:r>
        <w:t>have</w:t>
      </w:r>
      <w:r>
        <w:rPr>
          <w:spacing w:val="-1"/>
        </w:rPr>
        <w:t xml:space="preserve"> </w:t>
      </w:r>
      <w:r>
        <w:t>the</w:t>
      </w:r>
      <w:r>
        <w:rPr>
          <w:spacing w:val="-1"/>
        </w:rPr>
        <w:t xml:space="preserve"> </w:t>
      </w:r>
      <w:r>
        <w:t>client</w:t>
      </w:r>
      <w:r>
        <w:rPr>
          <w:spacing w:val="-1"/>
        </w:rPr>
        <w:t xml:space="preserve"> </w:t>
      </w:r>
      <w:r>
        <w:t>fill</w:t>
      </w:r>
      <w:r>
        <w:rPr>
          <w:spacing w:val="-2"/>
        </w:rPr>
        <w:t xml:space="preserve"> </w:t>
      </w:r>
      <w:r>
        <w:t>out</w:t>
      </w:r>
      <w:r>
        <w:rPr>
          <w:spacing w:val="-1"/>
        </w:rPr>
        <w:t xml:space="preserve"> </w:t>
      </w:r>
      <w:r>
        <w:t>the instrument more than once. You can use the URICA to track a client’s movement through</w:t>
      </w:r>
      <w:r>
        <w:rPr>
          <w:spacing w:val="40"/>
        </w:rPr>
        <w:t xml:space="preserve"> </w:t>
      </w:r>
      <w:r>
        <w:t>the SOC by asking the client to fill it out periodically.</w:t>
      </w:r>
    </w:p>
    <w:p w14:paraId="78F83DA7" w14:textId="77777777" w:rsidR="00DB6E1F" w:rsidRDefault="00F666A6">
      <w:pPr>
        <w:pStyle w:val="ListParagraph"/>
        <w:numPr>
          <w:ilvl w:val="0"/>
          <w:numId w:val="92"/>
        </w:numPr>
        <w:tabs>
          <w:tab w:val="left" w:pos="1800"/>
          <w:tab w:val="left" w:pos="1801"/>
        </w:tabs>
        <w:spacing w:before="61"/>
        <w:ind w:left="1799" w:right="1438" w:hanging="360"/>
        <w:rPr>
          <w:rFonts w:ascii="Symbol" w:hAnsi="Symbol"/>
        </w:rPr>
      </w:pPr>
      <w:r>
        <w:rPr>
          <w:b/>
        </w:rPr>
        <w:t>The</w:t>
      </w:r>
      <w:r>
        <w:rPr>
          <w:b/>
          <w:spacing w:val="-3"/>
        </w:rPr>
        <w:t xml:space="preserve"> </w:t>
      </w:r>
      <w:r>
        <w:rPr>
          <w:b/>
        </w:rPr>
        <w:t>Stages</w:t>
      </w:r>
      <w:r>
        <w:rPr>
          <w:b/>
          <w:spacing w:val="-2"/>
        </w:rPr>
        <w:t xml:space="preserve"> </w:t>
      </w:r>
      <w:r>
        <w:rPr>
          <w:b/>
        </w:rPr>
        <w:t>of</w:t>
      </w:r>
      <w:r>
        <w:rPr>
          <w:b/>
          <w:spacing w:val="-5"/>
        </w:rPr>
        <w:t xml:space="preserve"> </w:t>
      </w:r>
      <w:r>
        <w:rPr>
          <w:b/>
        </w:rPr>
        <w:t>Change</w:t>
      </w:r>
      <w:r>
        <w:rPr>
          <w:b/>
          <w:spacing w:val="-3"/>
        </w:rPr>
        <w:t xml:space="preserve"> </w:t>
      </w:r>
      <w:r>
        <w:rPr>
          <w:b/>
        </w:rPr>
        <w:t>Readiness</w:t>
      </w:r>
      <w:r>
        <w:rPr>
          <w:b/>
          <w:spacing w:val="-2"/>
        </w:rPr>
        <w:t xml:space="preserve"> </w:t>
      </w:r>
      <w:r>
        <w:rPr>
          <w:b/>
        </w:rPr>
        <w:t>and</w:t>
      </w:r>
      <w:r>
        <w:rPr>
          <w:b/>
          <w:spacing w:val="-5"/>
        </w:rPr>
        <w:t xml:space="preserve"> </w:t>
      </w:r>
      <w:r>
        <w:rPr>
          <w:b/>
        </w:rPr>
        <w:t>Treatment</w:t>
      </w:r>
      <w:r>
        <w:rPr>
          <w:b/>
          <w:spacing w:val="-4"/>
        </w:rPr>
        <w:t xml:space="preserve"> </w:t>
      </w:r>
      <w:r>
        <w:rPr>
          <w:b/>
        </w:rPr>
        <w:t>Eagerness</w:t>
      </w:r>
      <w:r>
        <w:rPr>
          <w:b/>
          <w:spacing w:val="-2"/>
        </w:rPr>
        <w:t xml:space="preserve"> </w:t>
      </w:r>
      <w:r>
        <w:rPr>
          <w:b/>
        </w:rPr>
        <w:t>Scale</w:t>
      </w:r>
      <w:r>
        <w:rPr>
          <w:b/>
          <w:spacing w:val="-5"/>
        </w:rPr>
        <w:t xml:space="preserve"> </w:t>
      </w:r>
      <w:r>
        <w:rPr>
          <w:b/>
        </w:rPr>
        <w:t>(SOCRATES)</w:t>
      </w:r>
      <w:r>
        <w:rPr>
          <w:b/>
          <w:spacing w:val="-3"/>
        </w:rPr>
        <w:t xml:space="preserve"> </w:t>
      </w:r>
      <w:r>
        <w:t>measures</w:t>
      </w:r>
      <w:r>
        <w:rPr>
          <w:spacing w:val="-2"/>
        </w:rPr>
        <w:t xml:space="preserve"> </w:t>
      </w:r>
      <w:r>
        <w:t>readiness</w:t>
      </w:r>
      <w:r>
        <w:rPr>
          <w:spacing w:val="-2"/>
        </w:rPr>
        <w:t xml:space="preserve"> </w:t>
      </w:r>
      <w:r>
        <w:t>to change.</w:t>
      </w:r>
      <w:r>
        <w:rPr>
          <w:spacing w:val="-1"/>
        </w:rPr>
        <w:t xml:space="preserve"> </w:t>
      </w:r>
      <w:r>
        <w:t>The</w:t>
      </w:r>
      <w:r>
        <w:rPr>
          <w:spacing w:val="-3"/>
        </w:rPr>
        <w:t xml:space="preserve"> </w:t>
      </w:r>
      <w:r>
        <w:t>original</w:t>
      </w:r>
      <w:r>
        <w:rPr>
          <w:spacing w:val="-1"/>
        </w:rPr>
        <w:t xml:space="preserve"> </w:t>
      </w:r>
      <w:r>
        <w:t>SOCRATES</w:t>
      </w:r>
      <w:r>
        <w:rPr>
          <w:spacing w:val="-2"/>
        </w:rPr>
        <w:t xml:space="preserve"> </w:t>
      </w:r>
      <w:r>
        <w:t>was</w:t>
      </w:r>
      <w:r>
        <w:rPr>
          <w:spacing w:val="-3"/>
        </w:rPr>
        <w:t xml:space="preserve"> </w:t>
      </w:r>
      <w:r>
        <w:t>a</w:t>
      </w:r>
      <w:r>
        <w:rPr>
          <w:spacing w:val="-3"/>
        </w:rPr>
        <w:t xml:space="preserve"> </w:t>
      </w:r>
      <w:r>
        <w:t>32-item</w:t>
      </w:r>
      <w:r>
        <w:rPr>
          <w:spacing w:val="-2"/>
        </w:rPr>
        <w:t xml:space="preserve"> </w:t>
      </w:r>
      <w:r>
        <w:t>questionnaire that</w:t>
      </w:r>
      <w:r>
        <w:rPr>
          <w:spacing w:val="-1"/>
        </w:rPr>
        <w:t xml:space="preserve"> </w:t>
      </w:r>
      <w:r>
        <w:t>used</w:t>
      </w:r>
      <w:r>
        <w:rPr>
          <w:spacing w:val="-2"/>
        </w:rPr>
        <w:t xml:space="preserve"> </w:t>
      </w:r>
      <w:r>
        <w:t>a</w:t>
      </w:r>
      <w:r>
        <w:rPr>
          <w:spacing w:val="-3"/>
        </w:rPr>
        <w:t xml:space="preserve"> </w:t>
      </w:r>
      <w:r>
        <w:t>5-point</w:t>
      </w:r>
      <w:r>
        <w:rPr>
          <w:spacing w:val="-3"/>
        </w:rPr>
        <w:t xml:space="preserve"> </w:t>
      </w:r>
      <w:r>
        <w:t>scale ranging</w:t>
      </w:r>
      <w:r>
        <w:rPr>
          <w:spacing w:val="-2"/>
        </w:rPr>
        <w:t xml:space="preserve"> </w:t>
      </w:r>
      <w:r>
        <w:t>from 5 (strongly agree) to 1 (strongly disagree). A 19-item version was developed for clinical use and is a self-administered paper-and-pencil questionnaire (Mil</w:t>
      </w:r>
      <w:r>
        <w:t>ler &amp; Tonigan, 1996). The SOCRATES 8A is for alcohol use, and the SOCRATES 8D is for drug use. The items on the short version assess the recognition of the problem, ambivalence, and efforts to take steps.</w:t>
      </w:r>
    </w:p>
    <w:p w14:paraId="66621AAA" w14:textId="77777777" w:rsidR="00DB6E1F" w:rsidRDefault="00F666A6">
      <w:pPr>
        <w:spacing w:before="59"/>
        <w:ind w:left="1799" w:right="1491"/>
      </w:pPr>
      <w:r>
        <w:rPr>
          <w:b/>
        </w:rPr>
        <w:t>SOCRATES</w:t>
      </w:r>
      <w:r>
        <w:rPr>
          <w:b/>
          <w:spacing w:val="-3"/>
        </w:rPr>
        <w:t xml:space="preserve"> </w:t>
      </w:r>
      <w:r>
        <w:rPr>
          <w:b/>
        </w:rPr>
        <w:t>provides</w:t>
      </w:r>
      <w:r>
        <w:rPr>
          <w:b/>
          <w:spacing w:val="-4"/>
        </w:rPr>
        <w:t xml:space="preserve"> </w:t>
      </w:r>
      <w:r>
        <w:rPr>
          <w:b/>
        </w:rPr>
        <w:t>clients</w:t>
      </w:r>
      <w:r>
        <w:rPr>
          <w:b/>
          <w:spacing w:val="-4"/>
        </w:rPr>
        <w:t xml:space="preserve"> </w:t>
      </w:r>
      <w:r>
        <w:rPr>
          <w:b/>
        </w:rPr>
        <w:t>with</w:t>
      </w:r>
      <w:r>
        <w:rPr>
          <w:b/>
          <w:spacing w:val="-3"/>
        </w:rPr>
        <w:t xml:space="preserve"> </w:t>
      </w:r>
      <w:r>
        <w:rPr>
          <w:b/>
        </w:rPr>
        <w:t>feedback</w:t>
      </w:r>
      <w:r>
        <w:rPr>
          <w:b/>
          <w:spacing w:val="-2"/>
        </w:rPr>
        <w:t xml:space="preserve"> </w:t>
      </w:r>
      <w:r>
        <w:rPr>
          <w:b/>
        </w:rPr>
        <w:t>about</w:t>
      </w:r>
      <w:r>
        <w:rPr>
          <w:b/>
          <w:spacing w:val="-2"/>
        </w:rPr>
        <w:t xml:space="preserve"> </w:t>
      </w:r>
      <w:r>
        <w:rPr>
          <w:b/>
        </w:rPr>
        <w:t>their</w:t>
      </w:r>
      <w:r>
        <w:rPr>
          <w:b/>
          <w:spacing w:val="-4"/>
        </w:rPr>
        <w:t xml:space="preserve"> </w:t>
      </w:r>
      <w:r>
        <w:rPr>
          <w:b/>
        </w:rPr>
        <w:t>scores</w:t>
      </w:r>
      <w:r>
        <w:rPr>
          <w:b/>
          <w:spacing w:val="-1"/>
        </w:rPr>
        <w:t xml:space="preserve"> </w:t>
      </w:r>
      <w:r>
        <w:rPr>
          <w:b/>
        </w:rPr>
        <w:t>as</w:t>
      </w:r>
      <w:r>
        <w:rPr>
          <w:b/>
          <w:spacing w:val="-1"/>
        </w:rPr>
        <w:t xml:space="preserve"> </w:t>
      </w:r>
      <w:r>
        <w:rPr>
          <w:b/>
        </w:rPr>
        <w:t>a</w:t>
      </w:r>
      <w:r>
        <w:rPr>
          <w:b/>
          <w:spacing w:val="-5"/>
        </w:rPr>
        <w:t xml:space="preserve"> </w:t>
      </w:r>
      <w:r>
        <w:rPr>
          <w:b/>
        </w:rPr>
        <w:t>starting</w:t>
      </w:r>
      <w:r>
        <w:rPr>
          <w:b/>
          <w:spacing w:val="-4"/>
        </w:rPr>
        <w:t xml:space="preserve"> </w:t>
      </w:r>
      <w:r>
        <w:rPr>
          <w:b/>
        </w:rPr>
        <w:t>point</w:t>
      </w:r>
      <w:r>
        <w:rPr>
          <w:b/>
          <w:spacing w:val="-2"/>
        </w:rPr>
        <w:t xml:space="preserve"> </w:t>
      </w:r>
      <w:r>
        <w:rPr>
          <w:b/>
        </w:rPr>
        <w:t>for</w:t>
      </w:r>
      <w:r>
        <w:rPr>
          <w:b/>
          <w:spacing w:val="-1"/>
        </w:rPr>
        <w:t xml:space="preserve"> </w:t>
      </w:r>
      <w:r>
        <w:rPr>
          <w:b/>
        </w:rPr>
        <w:t xml:space="preserve">discussion. </w:t>
      </w:r>
      <w:r>
        <w:t>Changes in scores over time can help you learn the impact of an intervention on problem recognition, ambivalence, and progress on making changes.</w:t>
      </w:r>
    </w:p>
    <w:p w14:paraId="5CA5D448" w14:textId="77777777" w:rsidR="00DB6E1F" w:rsidRDefault="00F666A6">
      <w:pPr>
        <w:pStyle w:val="ListParagraph"/>
        <w:numPr>
          <w:ilvl w:val="0"/>
          <w:numId w:val="92"/>
        </w:numPr>
        <w:tabs>
          <w:tab w:val="left" w:pos="1799"/>
          <w:tab w:val="left" w:pos="1800"/>
        </w:tabs>
        <w:spacing w:before="58"/>
        <w:ind w:left="1799" w:right="1457" w:hanging="360"/>
        <w:rPr>
          <w:rFonts w:ascii="Symbol" w:hAnsi="Symbol"/>
        </w:rPr>
      </w:pPr>
      <w:r>
        <w:rPr>
          <w:b/>
        </w:rPr>
        <w:t xml:space="preserve">The Readiness To Change Questionnaire </w:t>
      </w:r>
      <w:r>
        <w:t>was developed to help healthcare providers who are not addiction treatme</w:t>
      </w:r>
      <w:r>
        <w:t>nt specialists assess the stage of change of clients misusing alcohol (Rollnick, Heather,</w:t>
      </w:r>
      <w:r>
        <w:rPr>
          <w:spacing w:val="-2"/>
        </w:rPr>
        <w:t xml:space="preserve"> </w:t>
      </w:r>
      <w:r>
        <w:t>Gold,</w:t>
      </w:r>
      <w:r>
        <w:rPr>
          <w:spacing w:val="-4"/>
        </w:rPr>
        <w:t xml:space="preserve"> </w:t>
      </w:r>
      <w:r>
        <w:t>&amp;</w:t>
      </w:r>
      <w:r>
        <w:rPr>
          <w:spacing w:val="-1"/>
        </w:rPr>
        <w:t xml:space="preserve"> </w:t>
      </w:r>
      <w:r>
        <w:t>Hall,</w:t>
      </w:r>
      <w:r>
        <w:rPr>
          <w:spacing w:val="-4"/>
        </w:rPr>
        <w:t xml:space="preserve"> </w:t>
      </w:r>
      <w:r>
        <w:t>1992).</w:t>
      </w:r>
      <w:r>
        <w:rPr>
          <w:spacing w:val="-2"/>
        </w:rPr>
        <w:t xml:space="preserve"> </w:t>
      </w:r>
      <w:r>
        <w:t>The</w:t>
      </w:r>
      <w:r>
        <w:rPr>
          <w:spacing w:val="-4"/>
        </w:rPr>
        <w:t xml:space="preserve"> </w:t>
      </w:r>
      <w:r>
        <w:t>12</w:t>
      </w:r>
      <w:r>
        <w:rPr>
          <w:spacing w:val="-3"/>
        </w:rPr>
        <w:t xml:space="preserve"> </w:t>
      </w:r>
      <w:r>
        <w:t>items,</w:t>
      </w:r>
      <w:r>
        <w:rPr>
          <w:spacing w:val="-4"/>
        </w:rPr>
        <w:t xml:space="preserve"> </w:t>
      </w:r>
      <w:r>
        <w:t>which</w:t>
      </w:r>
      <w:r>
        <w:rPr>
          <w:spacing w:val="-5"/>
        </w:rPr>
        <w:t xml:space="preserve"> </w:t>
      </w:r>
      <w:r>
        <w:t>were</w:t>
      </w:r>
      <w:r>
        <w:rPr>
          <w:spacing w:val="-1"/>
        </w:rPr>
        <w:t xml:space="preserve"> </w:t>
      </w:r>
      <w:r>
        <w:t>adapted</w:t>
      </w:r>
      <w:r>
        <w:rPr>
          <w:spacing w:val="-3"/>
        </w:rPr>
        <w:t xml:space="preserve"> </w:t>
      </w:r>
      <w:r>
        <w:t>from</w:t>
      </w:r>
      <w:r>
        <w:rPr>
          <w:spacing w:val="-1"/>
        </w:rPr>
        <w:t xml:space="preserve"> </w:t>
      </w:r>
      <w:r>
        <w:t>the</w:t>
      </w:r>
      <w:r>
        <w:rPr>
          <w:spacing w:val="-1"/>
        </w:rPr>
        <w:t xml:space="preserve"> </w:t>
      </w:r>
      <w:r>
        <w:t>URICA,</w:t>
      </w:r>
      <w:r>
        <w:rPr>
          <w:spacing w:val="-6"/>
        </w:rPr>
        <w:t xml:space="preserve"> </w:t>
      </w:r>
      <w:r>
        <w:t>are</w:t>
      </w:r>
      <w:r>
        <w:rPr>
          <w:spacing w:val="-1"/>
        </w:rPr>
        <w:t xml:space="preserve"> </w:t>
      </w:r>
      <w:r>
        <w:t>associated</w:t>
      </w:r>
      <w:r>
        <w:rPr>
          <w:spacing w:val="-3"/>
        </w:rPr>
        <w:t xml:space="preserve"> </w:t>
      </w:r>
      <w:r>
        <w:t>with 3 stages—Precontemplation, Contemplation, and Action—and reflect typical att</w:t>
      </w:r>
      <w:r>
        <w:t>itudes of clients in each readiness level. For example, a person not yet contemplating change would likely give a positive response to the statement</w:t>
      </w:r>
      <w:r>
        <w:rPr>
          <w:spacing w:val="-2"/>
        </w:rPr>
        <w:t xml:space="preserve"> </w:t>
      </w:r>
      <w:r>
        <w:t>“It’s</w:t>
      </w:r>
      <w:r>
        <w:rPr>
          <w:spacing w:val="-2"/>
        </w:rPr>
        <w:t xml:space="preserve"> </w:t>
      </w:r>
      <w:r>
        <w:t>a</w:t>
      </w:r>
      <w:r>
        <w:rPr>
          <w:spacing w:val="-2"/>
        </w:rPr>
        <w:t xml:space="preserve"> </w:t>
      </w:r>
      <w:r>
        <w:t>waste</w:t>
      </w:r>
      <w:r>
        <w:rPr>
          <w:spacing w:val="-2"/>
        </w:rPr>
        <w:t xml:space="preserve"> </w:t>
      </w:r>
      <w:r>
        <w:t>of</w:t>
      </w:r>
      <w:r>
        <w:rPr>
          <w:spacing w:val="-2"/>
        </w:rPr>
        <w:t xml:space="preserve"> </w:t>
      </w:r>
      <w:r>
        <w:t>time</w:t>
      </w:r>
      <w:r>
        <w:rPr>
          <w:spacing w:val="-2"/>
        </w:rPr>
        <w:t xml:space="preserve"> </w:t>
      </w:r>
      <w:r>
        <w:t>thinking</w:t>
      </w:r>
      <w:r>
        <w:rPr>
          <w:spacing w:val="-1"/>
        </w:rPr>
        <w:t xml:space="preserve"> </w:t>
      </w:r>
      <w:r>
        <w:t>about</w:t>
      </w:r>
      <w:r>
        <w:rPr>
          <w:spacing w:val="-2"/>
        </w:rPr>
        <w:t xml:space="preserve"> </w:t>
      </w:r>
      <w:r>
        <w:t>my drinking</w:t>
      </w:r>
      <w:r>
        <w:rPr>
          <w:spacing w:val="-1"/>
        </w:rPr>
        <w:t xml:space="preserve"> </w:t>
      </w:r>
      <w:r>
        <w:t>because I</w:t>
      </w:r>
      <w:r>
        <w:rPr>
          <w:spacing w:val="-3"/>
        </w:rPr>
        <w:t xml:space="preserve"> </w:t>
      </w:r>
      <w:r>
        <w:t>do not have a problem,” whereas a person already</w:t>
      </w:r>
      <w:r>
        <w:t xml:space="preserve"> taking action would probably agree with the statement “I am actively working on my drinking problem.” Another individual already contemplating change would likely agree with the item “Sometimes I think I should quit or cut down on my drinking.” A 5- point</w:t>
      </w:r>
      <w:r>
        <w:t xml:space="preserve"> scale is used for rating responses, from 5 (strongly agree) to 1 (strongly disagree).</w:t>
      </w:r>
    </w:p>
    <w:p w14:paraId="60CDB6E8" w14:textId="77777777" w:rsidR="00DB6E1F" w:rsidRDefault="00F666A6">
      <w:pPr>
        <w:pStyle w:val="Heading3"/>
        <w:spacing w:before="165"/>
      </w:pPr>
      <w:bookmarkStart w:id="132" w:name="Commend_the_Client_for_Coming_to_Treatme"/>
      <w:bookmarkEnd w:id="132"/>
      <w:r>
        <w:t>Commend</w:t>
      </w:r>
      <w:r>
        <w:rPr>
          <w:spacing w:val="-6"/>
        </w:rPr>
        <w:t xml:space="preserve"> </w:t>
      </w:r>
      <w:r>
        <w:t>the</w:t>
      </w:r>
      <w:r>
        <w:rPr>
          <w:spacing w:val="-5"/>
        </w:rPr>
        <w:t xml:space="preserve"> </w:t>
      </w:r>
      <w:r>
        <w:t>Client</w:t>
      </w:r>
      <w:r>
        <w:rPr>
          <w:spacing w:val="-9"/>
        </w:rPr>
        <w:t xml:space="preserve"> </w:t>
      </w:r>
      <w:r>
        <w:t>for</w:t>
      </w:r>
      <w:r>
        <w:rPr>
          <w:spacing w:val="-6"/>
        </w:rPr>
        <w:t xml:space="preserve"> </w:t>
      </w:r>
      <w:r>
        <w:t>Coming</w:t>
      </w:r>
      <w:r>
        <w:rPr>
          <w:spacing w:val="-6"/>
        </w:rPr>
        <w:t xml:space="preserve"> </w:t>
      </w:r>
      <w:r>
        <w:t>to</w:t>
      </w:r>
      <w:r>
        <w:rPr>
          <w:spacing w:val="-3"/>
        </w:rPr>
        <w:t xml:space="preserve"> </w:t>
      </w:r>
      <w:r>
        <w:rPr>
          <w:spacing w:val="-2"/>
        </w:rPr>
        <w:t>Treatment</w:t>
      </w:r>
    </w:p>
    <w:p w14:paraId="4EEEB992" w14:textId="77777777" w:rsidR="00DB6E1F" w:rsidRDefault="00F666A6">
      <w:pPr>
        <w:pStyle w:val="BodyText"/>
        <w:spacing w:before="143"/>
        <w:ind w:left="1439" w:right="1444"/>
      </w:pPr>
      <w:r>
        <w:rPr>
          <w:b/>
        </w:rPr>
        <w:t>Offering clients affirmations over responsible behaviors, like entering treatment, can increase their confidence</w:t>
      </w:r>
      <w:r>
        <w:rPr>
          <w:b/>
          <w:spacing w:val="-3"/>
        </w:rPr>
        <w:t xml:space="preserve"> </w:t>
      </w:r>
      <w:r>
        <w:rPr>
          <w:b/>
        </w:rPr>
        <w:t>that</w:t>
      </w:r>
      <w:r>
        <w:rPr>
          <w:b/>
          <w:spacing w:val="-4"/>
        </w:rPr>
        <w:t xml:space="preserve"> </w:t>
      </w:r>
      <w:r>
        <w:rPr>
          <w:b/>
        </w:rPr>
        <w:t>change</w:t>
      </w:r>
      <w:r>
        <w:rPr>
          <w:b/>
          <w:spacing w:val="-3"/>
        </w:rPr>
        <w:t xml:space="preserve"> </w:t>
      </w:r>
      <w:r>
        <w:rPr>
          <w:b/>
        </w:rPr>
        <w:t>is</w:t>
      </w:r>
      <w:r>
        <w:rPr>
          <w:b/>
          <w:spacing w:val="-4"/>
        </w:rPr>
        <w:t xml:space="preserve"> </w:t>
      </w:r>
      <w:r>
        <w:rPr>
          <w:b/>
        </w:rPr>
        <w:t>possible.</w:t>
      </w:r>
      <w:r>
        <w:rPr>
          <w:b/>
          <w:spacing w:val="-1"/>
        </w:rPr>
        <w:t xml:space="preserve"> </w:t>
      </w:r>
      <w:r>
        <w:t>Clients</w:t>
      </w:r>
      <w:r>
        <w:rPr>
          <w:spacing w:val="-4"/>
        </w:rPr>
        <w:t xml:space="preserve"> </w:t>
      </w:r>
      <w:r>
        <w:t>referred</w:t>
      </w:r>
      <w:r>
        <w:rPr>
          <w:spacing w:val="-3"/>
        </w:rPr>
        <w:t xml:space="preserve"> </w:t>
      </w:r>
      <w:r>
        <w:t>for</w:t>
      </w:r>
      <w:r>
        <w:rPr>
          <w:spacing w:val="-2"/>
        </w:rPr>
        <w:t xml:space="preserve"> </w:t>
      </w:r>
      <w:r>
        <w:t>treatment</w:t>
      </w:r>
      <w:r>
        <w:rPr>
          <w:spacing w:val="-4"/>
        </w:rPr>
        <w:t xml:space="preserve"> </w:t>
      </w:r>
      <w:r>
        <w:t>may</w:t>
      </w:r>
      <w:r>
        <w:rPr>
          <w:spacing w:val="-1"/>
        </w:rPr>
        <w:t xml:space="preserve"> </w:t>
      </w:r>
      <w:r>
        <w:t>feel</w:t>
      </w:r>
      <w:r>
        <w:rPr>
          <w:spacing w:val="-4"/>
        </w:rPr>
        <w:t xml:space="preserve"> </w:t>
      </w:r>
      <w:r>
        <w:t>they</w:t>
      </w:r>
      <w:r>
        <w:rPr>
          <w:spacing w:val="-4"/>
        </w:rPr>
        <w:t xml:space="preserve"> </w:t>
      </w:r>
      <w:r>
        <w:t>have</w:t>
      </w:r>
      <w:r>
        <w:rPr>
          <w:spacing w:val="-2"/>
        </w:rPr>
        <w:t xml:space="preserve"> </w:t>
      </w:r>
      <w:r>
        <w:t>little</w:t>
      </w:r>
      <w:r>
        <w:rPr>
          <w:spacing w:val="-4"/>
        </w:rPr>
        <w:t xml:space="preserve"> </w:t>
      </w:r>
      <w:r>
        <w:t>control</w:t>
      </w:r>
      <w:r>
        <w:rPr>
          <w:spacing w:val="-5"/>
        </w:rPr>
        <w:t xml:space="preserve"> </w:t>
      </w:r>
      <w:r>
        <w:t>in</w:t>
      </w:r>
      <w:r>
        <w:rPr>
          <w:spacing w:val="-3"/>
        </w:rPr>
        <w:t xml:space="preserve"> </w:t>
      </w:r>
      <w:r>
        <w:t xml:space="preserve">the process. Some will expect to be criticized or </w:t>
      </w:r>
      <w:r>
        <w:t xml:space="preserve">blamed; some will expect you to cure them; and still others will hope that counseling can solve all their problems without too much effort. Whatever their expectations, affirm their courage for coming to treatment by saying things like, “It took you a lot </w:t>
      </w:r>
      <w:r>
        <w:t>of effort to get here. You are determined to figure out what’s going on and how you can change things.” For example, you can praise a client’s decision to come to treatment rather than risk losing custody of her child by saying, “You must care very much ab</w:t>
      </w:r>
      <w:r>
        <w:t>out your child.” Such affirmations are supportive and remind clients that they are capable of making good choices that match their values.</w:t>
      </w:r>
    </w:p>
    <w:p w14:paraId="37520755" w14:textId="77777777" w:rsidR="00DB6E1F" w:rsidRDefault="00F666A6">
      <w:pPr>
        <w:pStyle w:val="Heading3"/>
        <w:spacing w:before="163"/>
      </w:pPr>
      <w:bookmarkStart w:id="133" w:name="Agree_on_a_Direction"/>
      <w:bookmarkEnd w:id="133"/>
      <w:r>
        <w:t>Agree</w:t>
      </w:r>
      <w:r>
        <w:rPr>
          <w:spacing w:val="-7"/>
        </w:rPr>
        <w:t xml:space="preserve"> </w:t>
      </w:r>
      <w:r>
        <w:t>on</w:t>
      </w:r>
      <w:r>
        <w:rPr>
          <w:spacing w:val="-4"/>
        </w:rPr>
        <w:t xml:space="preserve"> </w:t>
      </w:r>
      <w:r>
        <w:t>a</w:t>
      </w:r>
      <w:r>
        <w:rPr>
          <w:spacing w:val="-4"/>
        </w:rPr>
        <w:t xml:space="preserve"> </w:t>
      </w:r>
      <w:r>
        <w:rPr>
          <w:spacing w:val="-2"/>
        </w:rPr>
        <w:t>Direction</w:t>
      </w:r>
    </w:p>
    <w:p w14:paraId="60F013EE" w14:textId="77777777" w:rsidR="00DB6E1F" w:rsidRDefault="00F666A6">
      <w:pPr>
        <w:spacing w:before="141"/>
        <w:ind w:left="1439" w:right="1491"/>
        <w:rPr>
          <w:b/>
        </w:rPr>
      </w:pPr>
      <w:r>
        <w:rPr>
          <w:b/>
        </w:rPr>
        <w:t>In helping clients who are not yet thinking seriously of changing, plan your strategies carefull</w:t>
      </w:r>
      <w:r>
        <w:rPr>
          <w:b/>
        </w:rPr>
        <w:t xml:space="preserve">y and work with them to find an acceptable pathway. </w:t>
      </w:r>
      <w:r>
        <w:t xml:space="preserve">Some clients will agree on one option but not on another. It may be appropriate to give advice based on your own experience and concern. </w:t>
      </w:r>
      <w:r>
        <w:rPr>
          <w:b/>
        </w:rPr>
        <w:t>However, always</w:t>
      </w:r>
      <w:r>
        <w:rPr>
          <w:b/>
          <w:spacing w:val="-1"/>
        </w:rPr>
        <w:t xml:space="preserve"> </w:t>
      </w:r>
      <w:r>
        <w:rPr>
          <w:b/>
        </w:rPr>
        <w:t>ask</w:t>
      </w:r>
      <w:r>
        <w:rPr>
          <w:b/>
          <w:spacing w:val="-2"/>
        </w:rPr>
        <w:t xml:space="preserve"> </w:t>
      </w:r>
      <w:r>
        <w:rPr>
          <w:b/>
        </w:rPr>
        <w:t>permission</w:t>
      </w:r>
      <w:r>
        <w:rPr>
          <w:b/>
          <w:spacing w:val="-3"/>
        </w:rPr>
        <w:t xml:space="preserve"> </w:t>
      </w:r>
      <w:r>
        <w:rPr>
          <w:b/>
        </w:rPr>
        <w:t>to</w:t>
      </w:r>
      <w:r>
        <w:rPr>
          <w:b/>
          <w:spacing w:val="-3"/>
        </w:rPr>
        <w:t xml:space="preserve"> </w:t>
      </w:r>
      <w:r>
        <w:rPr>
          <w:b/>
        </w:rPr>
        <w:t>offer</w:t>
      </w:r>
      <w:r>
        <w:rPr>
          <w:b/>
          <w:spacing w:val="-1"/>
        </w:rPr>
        <w:t xml:space="preserve"> </w:t>
      </w:r>
      <w:r>
        <w:rPr>
          <w:b/>
        </w:rPr>
        <w:t>advice</w:t>
      </w:r>
      <w:r>
        <w:rPr>
          <w:b/>
          <w:spacing w:val="-3"/>
        </w:rPr>
        <w:t xml:space="preserve"> </w:t>
      </w:r>
      <w:r>
        <w:rPr>
          <w:b/>
        </w:rPr>
        <w:t>and</w:t>
      </w:r>
      <w:r>
        <w:rPr>
          <w:b/>
          <w:spacing w:val="-3"/>
        </w:rPr>
        <w:t xml:space="preserve"> </w:t>
      </w:r>
      <w:r>
        <w:rPr>
          <w:b/>
        </w:rPr>
        <w:t>make</w:t>
      </w:r>
      <w:r>
        <w:rPr>
          <w:b/>
          <w:spacing w:val="-3"/>
        </w:rPr>
        <w:t xml:space="preserve"> </w:t>
      </w:r>
      <w:r>
        <w:rPr>
          <w:b/>
        </w:rPr>
        <w:t>sure</w:t>
      </w:r>
      <w:r>
        <w:rPr>
          <w:b/>
          <w:spacing w:val="-4"/>
        </w:rPr>
        <w:t xml:space="preserve"> </w:t>
      </w:r>
      <w:r>
        <w:rPr>
          <w:b/>
        </w:rPr>
        <w:t>that</w:t>
      </w:r>
      <w:r>
        <w:rPr>
          <w:b/>
          <w:spacing w:val="-2"/>
        </w:rPr>
        <w:t xml:space="preserve"> </w:t>
      </w:r>
      <w:r>
        <w:rPr>
          <w:b/>
        </w:rPr>
        <w:t>clients</w:t>
      </w:r>
      <w:r>
        <w:rPr>
          <w:b/>
          <w:spacing w:val="-3"/>
        </w:rPr>
        <w:t xml:space="preserve"> </w:t>
      </w:r>
      <w:r>
        <w:rPr>
          <w:b/>
        </w:rPr>
        <w:t>want</w:t>
      </w:r>
      <w:r>
        <w:rPr>
          <w:b/>
          <w:spacing w:val="-2"/>
        </w:rPr>
        <w:t xml:space="preserve"> </w:t>
      </w:r>
      <w:r>
        <w:rPr>
          <w:b/>
        </w:rPr>
        <w:t>to</w:t>
      </w:r>
      <w:r>
        <w:rPr>
          <w:b/>
          <w:spacing w:val="-3"/>
        </w:rPr>
        <w:t xml:space="preserve"> </w:t>
      </w:r>
      <w:r>
        <w:rPr>
          <w:b/>
        </w:rPr>
        <w:t>hear</w:t>
      </w:r>
      <w:r>
        <w:rPr>
          <w:b/>
          <w:spacing w:val="-3"/>
        </w:rPr>
        <w:t xml:space="preserve"> </w:t>
      </w:r>
      <w:r>
        <w:rPr>
          <w:b/>
        </w:rPr>
        <w:t>what</w:t>
      </w:r>
      <w:r>
        <w:rPr>
          <w:b/>
          <w:spacing w:val="-2"/>
        </w:rPr>
        <w:t xml:space="preserve"> </w:t>
      </w:r>
      <w:r>
        <w:rPr>
          <w:b/>
        </w:rPr>
        <w:t>you</w:t>
      </w:r>
      <w:r>
        <w:rPr>
          <w:b/>
          <w:spacing w:val="-3"/>
        </w:rPr>
        <w:t xml:space="preserve"> </w:t>
      </w:r>
      <w:r>
        <w:rPr>
          <w:b/>
        </w:rPr>
        <w:t>have</w:t>
      </w:r>
      <w:r>
        <w:rPr>
          <w:b/>
          <w:spacing w:val="-4"/>
        </w:rPr>
        <w:t xml:space="preserve"> </w:t>
      </w:r>
      <w:r>
        <w:rPr>
          <w:b/>
        </w:rPr>
        <w:t>to</w:t>
      </w:r>
      <w:r>
        <w:rPr>
          <w:b/>
          <w:spacing w:val="-3"/>
        </w:rPr>
        <w:t xml:space="preserve"> </w:t>
      </w:r>
      <w:r>
        <w:rPr>
          <w:b/>
        </w:rPr>
        <w:t>say.</w:t>
      </w:r>
    </w:p>
    <w:p w14:paraId="7539794F" w14:textId="77777777" w:rsidR="00DB6E1F" w:rsidRDefault="00DB6E1F">
      <w:pPr>
        <w:sectPr w:rsidR="00DB6E1F">
          <w:pgSz w:w="12240" w:h="15840"/>
          <w:pgMar w:top="1200" w:right="0" w:bottom="780" w:left="0" w:header="763" w:footer="585" w:gutter="0"/>
          <w:cols w:space="720"/>
        </w:sectPr>
      </w:pPr>
    </w:p>
    <w:p w14:paraId="38EFC276" w14:textId="77777777" w:rsidR="00DB6E1F" w:rsidRDefault="00DB6E1F">
      <w:pPr>
        <w:pStyle w:val="BodyText"/>
        <w:spacing w:before="8"/>
        <w:rPr>
          <w:b/>
          <w:sz w:val="14"/>
        </w:rPr>
      </w:pPr>
    </w:p>
    <w:p w14:paraId="6103FEF5" w14:textId="77777777" w:rsidR="00DB6E1F" w:rsidRDefault="00F666A6">
      <w:pPr>
        <w:pStyle w:val="BodyText"/>
        <w:spacing w:before="56"/>
        <w:ind w:left="1440" w:right="1787"/>
        <w:jc w:val="both"/>
      </w:pPr>
      <w:r>
        <w:t>Asking</w:t>
      </w:r>
      <w:r>
        <w:rPr>
          <w:spacing w:val="-1"/>
        </w:rPr>
        <w:t xml:space="preserve"> </w:t>
      </w:r>
      <w:r>
        <w:t>permission</w:t>
      </w:r>
      <w:r>
        <w:rPr>
          <w:spacing w:val="-1"/>
        </w:rPr>
        <w:t xml:space="preserve"> </w:t>
      </w:r>
      <w:r>
        <w:t>demonstrates</w:t>
      </w:r>
      <w:r>
        <w:rPr>
          <w:spacing w:val="-2"/>
        </w:rPr>
        <w:t xml:space="preserve"> </w:t>
      </w:r>
      <w:r>
        <w:t>respect for client autonomy</w:t>
      </w:r>
      <w:r>
        <w:rPr>
          <w:spacing w:val="-1"/>
        </w:rPr>
        <w:t xml:space="preserve"> </w:t>
      </w:r>
      <w:r>
        <w:t>and</w:t>
      </w:r>
      <w:r>
        <w:rPr>
          <w:spacing w:val="-1"/>
        </w:rPr>
        <w:t xml:space="preserve"> </w:t>
      </w:r>
      <w:r>
        <w:t>is consistent</w:t>
      </w:r>
      <w:r>
        <w:rPr>
          <w:spacing w:val="-2"/>
        </w:rPr>
        <w:t xml:space="preserve"> </w:t>
      </w:r>
      <w:r>
        <w:t>with</w:t>
      </w:r>
      <w:r>
        <w:rPr>
          <w:spacing w:val="-1"/>
        </w:rPr>
        <w:t xml:space="preserve"> </w:t>
      </w:r>
      <w:r>
        <w:t>person-centered counseling</w:t>
      </w:r>
      <w:r>
        <w:rPr>
          <w:spacing w:val="-3"/>
        </w:rPr>
        <w:t xml:space="preserve"> </w:t>
      </w:r>
      <w:r>
        <w:t>principles</w:t>
      </w:r>
      <w:r>
        <w:rPr>
          <w:spacing w:val="-4"/>
        </w:rPr>
        <w:t xml:space="preserve"> </w:t>
      </w:r>
      <w:r>
        <w:t>and</w:t>
      </w:r>
      <w:r>
        <w:rPr>
          <w:spacing w:val="-3"/>
        </w:rPr>
        <w:t xml:space="preserve"> </w:t>
      </w:r>
      <w:r>
        <w:t>the</w:t>
      </w:r>
      <w:r>
        <w:rPr>
          <w:spacing w:val="-1"/>
        </w:rPr>
        <w:t xml:space="preserve"> </w:t>
      </w:r>
      <w:r>
        <w:t>spirit</w:t>
      </w:r>
      <w:r>
        <w:rPr>
          <w:spacing w:val="-4"/>
        </w:rPr>
        <w:t xml:space="preserve"> </w:t>
      </w:r>
      <w:r>
        <w:t>of</w:t>
      </w:r>
      <w:r>
        <w:rPr>
          <w:spacing w:val="-5"/>
        </w:rPr>
        <w:t xml:space="preserve"> </w:t>
      </w:r>
      <w:r>
        <w:t>MI</w:t>
      </w:r>
      <w:r>
        <w:rPr>
          <w:spacing w:val="-1"/>
        </w:rPr>
        <w:t xml:space="preserve"> </w:t>
      </w:r>
      <w:r>
        <w:t>(as</w:t>
      </w:r>
      <w:r>
        <w:rPr>
          <w:spacing w:val="-2"/>
        </w:rPr>
        <w:t xml:space="preserve"> </w:t>
      </w:r>
      <w:r>
        <w:t>discussed</w:t>
      </w:r>
      <w:r>
        <w:rPr>
          <w:spacing w:val="-3"/>
        </w:rPr>
        <w:t xml:space="preserve"> </w:t>
      </w:r>
      <w:r>
        <w:t>in</w:t>
      </w:r>
      <w:r>
        <w:rPr>
          <w:spacing w:val="-3"/>
        </w:rPr>
        <w:t xml:space="preserve"> </w:t>
      </w:r>
      <w:r>
        <w:t>Chapter</w:t>
      </w:r>
      <w:r>
        <w:rPr>
          <w:spacing w:val="-4"/>
        </w:rPr>
        <w:t xml:space="preserve"> </w:t>
      </w:r>
      <w:r>
        <w:t>3).</w:t>
      </w:r>
      <w:r>
        <w:rPr>
          <w:spacing w:val="-2"/>
        </w:rPr>
        <w:t xml:space="preserve"> </w:t>
      </w:r>
      <w:r>
        <w:t>For</w:t>
      </w:r>
      <w:r>
        <w:rPr>
          <w:spacing w:val="-2"/>
        </w:rPr>
        <w:t xml:space="preserve"> </w:t>
      </w:r>
      <w:r>
        <w:t>example:</w:t>
      </w:r>
      <w:r>
        <w:rPr>
          <w:spacing w:val="-3"/>
        </w:rPr>
        <w:t xml:space="preserve"> </w:t>
      </w:r>
      <w:r>
        <w:t>“I’d</w:t>
      </w:r>
      <w:r>
        <w:rPr>
          <w:spacing w:val="-2"/>
        </w:rPr>
        <w:t xml:space="preserve"> </w:t>
      </w:r>
      <w:r>
        <w:t>like</w:t>
      </w:r>
      <w:r>
        <w:rPr>
          <w:spacing w:val="-1"/>
        </w:rPr>
        <w:t xml:space="preserve"> </w:t>
      </w:r>
      <w:r>
        <w:t>to</w:t>
      </w:r>
      <w:r>
        <w:rPr>
          <w:spacing w:val="-1"/>
        </w:rPr>
        <w:t xml:space="preserve"> </w:t>
      </w:r>
      <w:r>
        <w:t>tell</w:t>
      </w:r>
      <w:r>
        <w:rPr>
          <w:spacing w:val="-2"/>
        </w:rPr>
        <w:t xml:space="preserve"> </w:t>
      </w:r>
      <w:r>
        <w:t>you about what we could do here. Would that be all right?”</w:t>
      </w:r>
    </w:p>
    <w:p w14:paraId="7158F1E4" w14:textId="77777777" w:rsidR="00DB6E1F" w:rsidRDefault="00F666A6">
      <w:pPr>
        <w:pStyle w:val="BodyText"/>
        <w:spacing w:before="159"/>
        <w:ind w:left="1439" w:right="1491"/>
      </w:pPr>
      <w:r>
        <w:t>Whenever you express a different viewpoint from that of the client, do so in a way that is supportive, not</w:t>
      </w:r>
      <w:r>
        <w:rPr>
          <w:spacing w:val="-2"/>
        </w:rPr>
        <w:t xml:space="preserve"> </w:t>
      </w:r>
      <w:r>
        <w:t>authoritative</w:t>
      </w:r>
      <w:r>
        <w:rPr>
          <w:spacing w:val="-4"/>
        </w:rPr>
        <w:t xml:space="preserve"> </w:t>
      </w:r>
      <w:r>
        <w:t>or</w:t>
      </w:r>
      <w:r>
        <w:rPr>
          <w:spacing w:val="-5"/>
        </w:rPr>
        <w:t xml:space="preserve"> </w:t>
      </w:r>
      <w:r>
        <w:t>confrontational.</w:t>
      </w:r>
      <w:r>
        <w:rPr>
          <w:spacing w:val="-3"/>
        </w:rPr>
        <w:t xml:space="preserve"> </w:t>
      </w:r>
      <w:r>
        <w:t>The</w:t>
      </w:r>
      <w:r>
        <w:rPr>
          <w:spacing w:val="-1"/>
        </w:rPr>
        <w:t xml:space="preserve"> </w:t>
      </w:r>
      <w:r>
        <w:t>client</w:t>
      </w:r>
      <w:r>
        <w:rPr>
          <w:spacing w:val="-2"/>
        </w:rPr>
        <w:t xml:space="preserve"> </w:t>
      </w:r>
      <w:r>
        <w:t>still</w:t>
      </w:r>
      <w:r>
        <w:rPr>
          <w:spacing w:val="-5"/>
        </w:rPr>
        <w:t xml:space="preserve"> </w:t>
      </w:r>
      <w:r>
        <w:t>has</w:t>
      </w:r>
      <w:r>
        <w:rPr>
          <w:spacing w:val="-2"/>
        </w:rPr>
        <w:t xml:space="preserve"> </w:t>
      </w:r>
      <w:r>
        <w:t>the</w:t>
      </w:r>
      <w:r>
        <w:rPr>
          <w:spacing w:val="-2"/>
        </w:rPr>
        <w:t xml:space="preserve"> </w:t>
      </w:r>
      <w:r>
        <w:t>choice of</w:t>
      </w:r>
      <w:r>
        <w:rPr>
          <w:spacing w:val="-3"/>
        </w:rPr>
        <w:t xml:space="preserve"> </w:t>
      </w:r>
      <w:r>
        <w:t>whether</w:t>
      </w:r>
      <w:r>
        <w:rPr>
          <w:spacing w:val="-4"/>
        </w:rPr>
        <w:t xml:space="preserve"> </w:t>
      </w:r>
      <w:r>
        <w:t>to</w:t>
      </w:r>
      <w:r>
        <w:rPr>
          <w:spacing w:val="-3"/>
        </w:rPr>
        <w:t xml:space="preserve"> </w:t>
      </w:r>
      <w:r>
        <w:t>accept</w:t>
      </w:r>
      <w:r>
        <w:rPr>
          <w:spacing w:val="-4"/>
        </w:rPr>
        <w:t xml:space="preserve"> </w:t>
      </w:r>
      <w:r>
        <w:t>your</w:t>
      </w:r>
      <w:r>
        <w:rPr>
          <w:spacing w:val="-2"/>
        </w:rPr>
        <w:t xml:space="preserve"> </w:t>
      </w:r>
      <w:r>
        <w:t>advice</w:t>
      </w:r>
      <w:r>
        <w:rPr>
          <w:spacing w:val="-1"/>
        </w:rPr>
        <w:t xml:space="preserve"> </w:t>
      </w:r>
      <w:r>
        <w:t>and to agree to a plan. It is not necessary at the beginning of the process to agree on treatment goals; however,</w:t>
      </w:r>
      <w:r>
        <w:rPr>
          <w:spacing w:val="-2"/>
        </w:rPr>
        <w:t xml:space="preserve"> </w:t>
      </w:r>
      <w:r>
        <w:t>you</w:t>
      </w:r>
      <w:r>
        <w:rPr>
          <w:spacing w:val="-1"/>
        </w:rPr>
        <w:t xml:space="preserve"> </w:t>
      </w:r>
      <w:r>
        <w:t>can</w:t>
      </w:r>
      <w:r>
        <w:rPr>
          <w:spacing w:val="-1"/>
        </w:rPr>
        <w:t xml:space="preserve"> </w:t>
      </w:r>
      <w:r>
        <w:t>use</w:t>
      </w:r>
      <w:r>
        <w:rPr>
          <w:spacing w:val="-2"/>
        </w:rPr>
        <w:t xml:space="preserve"> </w:t>
      </w:r>
      <w:r>
        <w:t>motivational strategies,</w:t>
      </w:r>
      <w:r>
        <w:rPr>
          <w:spacing w:val="-2"/>
        </w:rPr>
        <w:t xml:space="preserve"> </w:t>
      </w:r>
      <w:r>
        <w:t>like</w:t>
      </w:r>
      <w:r>
        <w:rPr>
          <w:spacing w:val="-2"/>
        </w:rPr>
        <w:t xml:space="preserve"> </w:t>
      </w:r>
      <w:r>
        <w:t>the</w:t>
      </w:r>
      <w:r>
        <w:rPr>
          <w:spacing w:val="-2"/>
        </w:rPr>
        <w:t xml:space="preserve"> </w:t>
      </w:r>
      <w:r>
        <w:t>agenda mapping</w:t>
      </w:r>
      <w:r>
        <w:rPr>
          <w:spacing w:val="-1"/>
        </w:rPr>
        <w:t xml:space="preserve"> </w:t>
      </w:r>
      <w:r>
        <w:t>discussed</w:t>
      </w:r>
      <w:r>
        <w:rPr>
          <w:spacing w:val="-5"/>
        </w:rPr>
        <w:t xml:space="preserve"> </w:t>
      </w:r>
      <w:r>
        <w:t>in</w:t>
      </w:r>
      <w:r>
        <w:rPr>
          <w:spacing w:val="-1"/>
        </w:rPr>
        <w:t xml:space="preserve"> </w:t>
      </w:r>
      <w:r>
        <w:t xml:space="preserve">Chapter 3, to agree on how to proceed </w:t>
      </w:r>
      <w:r>
        <w:t>in the current conversation.</w:t>
      </w:r>
    </w:p>
    <w:p w14:paraId="7C449F73" w14:textId="77777777" w:rsidR="00DB6E1F" w:rsidRDefault="00F666A6">
      <w:pPr>
        <w:spacing w:before="159"/>
        <w:ind w:left="1439" w:right="1444"/>
        <w:rPr>
          <w:b/>
        </w:rPr>
      </w:pPr>
      <w:r>
        <w:t>Throughout</w:t>
      </w:r>
      <w:r>
        <w:rPr>
          <w:spacing w:val="-4"/>
        </w:rPr>
        <w:t xml:space="preserve"> </w:t>
      </w:r>
      <w:r>
        <w:t>the</w:t>
      </w:r>
      <w:r>
        <w:rPr>
          <w:spacing w:val="-1"/>
        </w:rPr>
        <w:t xml:space="preserve"> </w:t>
      </w:r>
      <w:r>
        <w:t>process</w:t>
      </w:r>
      <w:r>
        <w:rPr>
          <w:spacing w:val="-4"/>
        </w:rPr>
        <w:t xml:space="preserve"> </w:t>
      </w:r>
      <w:r>
        <w:t>of</w:t>
      </w:r>
      <w:r>
        <w:rPr>
          <w:spacing w:val="-5"/>
        </w:rPr>
        <w:t xml:space="preserve"> </w:t>
      </w:r>
      <w:r>
        <w:t>establishing</w:t>
      </w:r>
      <w:r>
        <w:rPr>
          <w:spacing w:val="-3"/>
        </w:rPr>
        <w:t xml:space="preserve"> </w:t>
      </w:r>
      <w:r>
        <w:t>rapport</w:t>
      </w:r>
      <w:r>
        <w:rPr>
          <w:spacing w:val="-4"/>
        </w:rPr>
        <w:t xml:space="preserve"> </w:t>
      </w:r>
      <w:r>
        <w:t>and</w:t>
      </w:r>
      <w:r>
        <w:rPr>
          <w:spacing w:val="-3"/>
        </w:rPr>
        <w:t xml:space="preserve"> </w:t>
      </w:r>
      <w:r>
        <w:t>building</w:t>
      </w:r>
      <w:r>
        <w:rPr>
          <w:spacing w:val="-3"/>
        </w:rPr>
        <w:t xml:space="preserve"> </w:t>
      </w:r>
      <w:r>
        <w:t>trust,</w:t>
      </w:r>
      <w:r>
        <w:rPr>
          <w:spacing w:val="-2"/>
        </w:rPr>
        <w:t xml:space="preserve"> </w:t>
      </w:r>
      <w:r>
        <w:t>use</w:t>
      </w:r>
      <w:r>
        <w:rPr>
          <w:spacing w:val="-1"/>
        </w:rPr>
        <w:t xml:space="preserve"> </w:t>
      </w:r>
      <w:r>
        <w:t>the</w:t>
      </w:r>
      <w:r>
        <w:rPr>
          <w:spacing w:val="-1"/>
        </w:rPr>
        <w:t xml:space="preserve"> </w:t>
      </w:r>
      <w:r>
        <w:t>OARS</w:t>
      </w:r>
      <w:r>
        <w:rPr>
          <w:spacing w:val="-7"/>
        </w:rPr>
        <w:t xml:space="preserve"> </w:t>
      </w:r>
      <w:r>
        <w:t>(asking</w:t>
      </w:r>
      <w:r>
        <w:rPr>
          <w:spacing w:val="-3"/>
        </w:rPr>
        <w:t xml:space="preserve"> </w:t>
      </w:r>
      <w:r>
        <w:rPr>
          <w:b/>
        </w:rPr>
        <w:t>O</w:t>
      </w:r>
      <w:r>
        <w:t>pen</w:t>
      </w:r>
      <w:r>
        <w:rPr>
          <w:spacing w:val="-3"/>
        </w:rPr>
        <w:t xml:space="preserve"> </w:t>
      </w:r>
      <w:r>
        <w:t xml:space="preserve">questions, </w:t>
      </w:r>
      <w:r>
        <w:rPr>
          <w:b/>
        </w:rPr>
        <w:t>A</w:t>
      </w:r>
      <w:r>
        <w:t xml:space="preserve">ffirming, </w:t>
      </w:r>
      <w:r>
        <w:rPr>
          <w:b/>
        </w:rPr>
        <w:t>R</w:t>
      </w:r>
      <w:r>
        <w:t xml:space="preserve">eflective listening, and </w:t>
      </w:r>
      <w:r>
        <w:rPr>
          <w:b/>
        </w:rPr>
        <w:t>S</w:t>
      </w:r>
      <w:r>
        <w:t xml:space="preserve">ummarizing) approach and person-centered counseling principles (described in Chapter 3) to create a sense of safety and respect for the client, as well as a genuine interest in the client’s perspective and well-being. </w:t>
      </w:r>
      <w:r>
        <w:rPr>
          <w:b/>
        </w:rPr>
        <w:t xml:space="preserve">Emphasizing personal autonomy will go </w:t>
      </w:r>
      <w:r>
        <w:rPr>
          <w:b/>
        </w:rPr>
        <w:t>a long way toward showing the client that you are not pressuring him or her to change.</w:t>
      </w:r>
    </w:p>
    <w:p w14:paraId="6FA60712" w14:textId="77777777" w:rsidR="00DB6E1F" w:rsidRDefault="00F666A6">
      <w:pPr>
        <w:pStyle w:val="Heading2"/>
        <w:spacing w:before="166"/>
      </w:pPr>
      <w:bookmarkStart w:id="134" w:name="Raise_Doubts_and_Concerns_About_the_Clie"/>
      <w:bookmarkStart w:id="135" w:name="_bookmark27"/>
      <w:bookmarkEnd w:id="134"/>
      <w:bookmarkEnd w:id="135"/>
      <w:r>
        <w:t>Raise</w:t>
      </w:r>
      <w:r>
        <w:rPr>
          <w:spacing w:val="-2"/>
        </w:rPr>
        <w:t xml:space="preserve"> </w:t>
      </w:r>
      <w:r>
        <w:t>Doubts</w:t>
      </w:r>
      <w:r>
        <w:rPr>
          <w:spacing w:val="-2"/>
        </w:rPr>
        <w:t xml:space="preserve"> </w:t>
      </w:r>
      <w:r>
        <w:t>and</w:t>
      </w:r>
      <w:r>
        <w:rPr>
          <w:spacing w:val="-2"/>
        </w:rPr>
        <w:t xml:space="preserve"> </w:t>
      </w:r>
      <w:r>
        <w:t>Concerns</w:t>
      </w:r>
      <w:r>
        <w:rPr>
          <w:spacing w:val="-2"/>
        </w:rPr>
        <w:t xml:space="preserve"> </w:t>
      </w:r>
      <w:r>
        <w:t>About</w:t>
      </w:r>
      <w:r>
        <w:rPr>
          <w:spacing w:val="-2"/>
        </w:rPr>
        <w:t xml:space="preserve"> </w:t>
      </w:r>
      <w:r>
        <w:t>the</w:t>
      </w:r>
      <w:r>
        <w:rPr>
          <w:spacing w:val="-2"/>
        </w:rPr>
        <w:t xml:space="preserve"> </w:t>
      </w:r>
      <w:r>
        <w:t>Client’s</w:t>
      </w:r>
      <w:r>
        <w:rPr>
          <w:spacing w:val="-2"/>
        </w:rPr>
        <w:t xml:space="preserve"> </w:t>
      </w:r>
      <w:r>
        <w:t>Substance</w:t>
      </w:r>
      <w:r>
        <w:rPr>
          <w:spacing w:val="-1"/>
        </w:rPr>
        <w:t xml:space="preserve"> </w:t>
      </w:r>
      <w:r>
        <w:rPr>
          <w:spacing w:val="-5"/>
        </w:rPr>
        <w:t>Use</w:t>
      </w:r>
    </w:p>
    <w:p w14:paraId="4F6A26F6" w14:textId="77777777" w:rsidR="00DB6E1F" w:rsidRDefault="00F666A6">
      <w:pPr>
        <w:spacing w:before="150"/>
        <w:ind w:left="1439" w:right="1491"/>
      </w:pPr>
      <w:r>
        <w:t>Once</w:t>
      </w:r>
      <w:r>
        <w:rPr>
          <w:spacing w:val="-4"/>
        </w:rPr>
        <w:t xml:space="preserve"> </w:t>
      </w:r>
      <w:r>
        <w:t>you</w:t>
      </w:r>
      <w:r>
        <w:rPr>
          <w:spacing w:val="-3"/>
        </w:rPr>
        <w:t xml:space="preserve"> </w:t>
      </w:r>
      <w:r>
        <w:t>have</w:t>
      </w:r>
      <w:r>
        <w:rPr>
          <w:spacing w:val="-4"/>
        </w:rPr>
        <w:t xml:space="preserve"> </w:t>
      </w:r>
      <w:r>
        <w:t>engaged</w:t>
      </w:r>
      <w:r>
        <w:rPr>
          <w:spacing w:val="-3"/>
        </w:rPr>
        <w:t xml:space="preserve"> </w:t>
      </w:r>
      <w:r>
        <w:t>the</w:t>
      </w:r>
      <w:r>
        <w:rPr>
          <w:spacing w:val="-1"/>
        </w:rPr>
        <w:t xml:space="preserve"> </w:t>
      </w:r>
      <w:r>
        <w:t>client</w:t>
      </w:r>
      <w:r>
        <w:rPr>
          <w:spacing w:val="-4"/>
        </w:rPr>
        <w:t xml:space="preserve"> </w:t>
      </w:r>
      <w:r>
        <w:t>and</w:t>
      </w:r>
      <w:r>
        <w:rPr>
          <w:spacing w:val="-3"/>
        </w:rPr>
        <w:t xml:space="preserve"> </w:t>
      </w:r>
      <w:r>
        <w:t>developed</w:t>
      </w:r>
      <w:r>
        <w:rPr>
          <w:spacing w:val="-3"/>
        </w:rPr>
        <w:t xml:space="preserve"> </w:t>
      </w:r>
      <w:r>
        <w:t>rapport,</w:t>
      </w:r>
      <w:r>
        <w:rPr>
          <w:spacing w:val="-2"/>
        </w:rPr>
        <w:t xml:space="preserve"> </w:t>
      </w:r>
      <w:r>
        <w:rPr>
          <w:b/>
        </w:rPr>
        <w:t>use</w:t>
      </w:r>
      <w:r>
        <w:rPr>
          <w:b/>
          <w:spacing w:val="-5"/>
        </w:rPr>
        <w:t xml:space="preserve"> </w:t>
      </w:r>
      <w:r>
        <w:rPr>
          <w:b/>
        </w:rPr>
        <w:t>the</w:t>
      </w:r>
      <w:r>
        <w:rPr>
          <w:b/>
          <w:spacing w:val="-3"/>
        </w:rPr>
        <w:t xml:space="preserve"> </w:t>
      </w:r>
      <w:r>
        <w:rPr>
          <w:b/>
        </w:rPr>
        <w:t>following</w:t>
      </w:r>
      <w:r>
        <w:rPr>
          <w:b/>
          <w:spacing w:val="-1"/>
        </w:rPr>
        <w:t xml:space="preserve"> </w:t>
      </w:r>
      <w:r>
        <w:rPr>
          <w:b/>
        </w:rPr>
        <w:t>strategies</w:t>
      </w:r>
      <w:r>
        <w:rPr>
          <w:b/>
          <w:spacing w:val="-3"/>
        </w:rPr>
        <w:t xml:space="preserve"> </w:t>
      </w:r>
      <w:r>
        <w:rPr>
          <w:b/>
        </w:rPr>
        <w:t>to</w:t>
      </w:r>
      <w:r>
        <w:rPr>
          <w:b/>
          <w:spacing w:val="-3"/>
        </w:rPr>
        <w:t xml:space="preserve"> </w:t>
      </w:r>
      <w:r>
        <w:rPr>
          <w:b/>
        </w:rPr>
        <w:t>increase</w:t>
      </w:r>
      <w:r>
        <w:rPr>
          <w:b/>
          <w:spacing w:val="-3"/>
        </w:rPr>
        <w:t xml:space="preserve"> </w:t>
      </w:r>
      <w:r>
        <w:rPr>
          <w:b/>
        </w:rPr>
        <w:t>the client’s readiness to change and move closer to Contemplation</w:t>
      </w:r>
      <w:r>
        <w:t>.</w:t>
      </w:r>
    </w:p>
    <w:p w14:paraId="36659B16" w14:textId="77777777" w:rsidR="00DB6E1F" w:rsidRDefault="00F666A6">
      <w:pPr>
        <w:pStyle w:val="Heading3"/>
        <w:spacing w:before="164"/>
      </w:pPr>
      <w:bookmarkStart w:id="136" w:name="Provide_Information_About_the_Effects_an"/>
      <w:bookmarkEnd w:id="136"/>
      <w:r>
        <w:t>Provide</w:t>
      </w:r>
      <w:r>
        <w:rPr>
          <w:spacing w:val="-9"/>
        </w:rPr>
        <w:t xml:space="preserve"> </w:t>
      </w:r>
      <w:r>
        <w:t>Information</w:t>
      </w:r>
      <w:r>
        <w:rPr>
          <w:spacing w:val="-6"/>
        </w:rPr>
        <w:t xml:space="preserve"> </w:t>
      </w:r>
      <w:r>
        <w:t>About</w:t>
      </w:r>
      <w:r>
        <w:rPr>
          <w:spacing w:val="-6"/>
        </w:rPr>
        <w:t xml:space="preserve"> </w:t>
      </w:r>
      <w:r>
        <w:t>the</w:t>
      </w:r>
      <w:r>
        <w:rPr>
          <w:spacing w:val="-9"/>
        </w:rPr>
        <w:t xml:space="preserve"> </w:t>
      </w:r>
      <w:r>
        <w:t>Effects</w:t>
      </w:r>
      <w:r>
        <w:rPr>
          <w:spacing w:val="-7"/>
        </w:rPr>
        <w:t xml:space="preserve"> </w:t>
      </w:r>
      <w:r>
        <w:t>and</w:t>
      </w:r>
      <w:r>
        <w:rPr>
          <w:spacing w:val="-8"/>
        </w:rPr>
        <w:t xml:space="preserve"> </w:t>
      </w:r>
      <w:r>
        <w:t>Risks</w:t>
      </w:r>
      <w:r>
        <w:rPr>
          <w:spacing w:val="-9"/>
        </w:rPr>
        <w:t xml:space="preserve"> </w:t>
      </w:r>
      <w:r>
        <w:t>of</w:t>
      </w:r>
      <w:r>
        <w:rPr>
          <w:spacing w:val="-6"/>
        </w:rPr>
        <w:t xml:space="preserve"> </w:t>
      </w:r>
      <w:r>
        <w:t>Substance</w:t>
      </w:r>
      <w:r>
        <w:rPr>
          <w:spacing w:val="-7"/>
        </w:rPr>
        <w:t xml:space="preserve"> </w:t>
      </w:r>
      <w:r>
        <w:rPr>
          <w:spacing w:val="-2"/>
        </w:rPr>
        <w:t>Misuse</w:t>
      </w:r>
    </w:p>
    <w:p w14:paraId="72FB6E29" w14:textId="77777777" w:rsidR="00DB6E1F" w:rsidRDefault="00F666A6">
      <w:pPr>
        <w:spacing w:before="141"/>
        <w:ind w:left="1439" w:right="1491"/>
      </w:pPr>
      <w:r>
        <w:rPr>
          <w:b/>
        </w:rPr>
        <w:t>Psychoeducational programs can increase clients’ ambivalence about substance misuse and related problems</w:t>
      </w:r>
      <w:r>
        <w:rPr>
          <w:b/>
          <w:spacing w:val="-1"/>
        </w:rPr>
        <w:t xml:space="preserve"> </w:t>
      </w:r>
      <w:r>
        <w:rPr>
          <w:b/>
        </w:rPr>
        <w:t>and</w:t>
      </w:r>
      <w:r>
        <w:rPr>
          <w:b/>
          <w:spacing w:val="-3"/>
        </w:rPr>
        <w:t xml:space="preserve"> </w:t>
      </w:r>
      <w:r>
        <w:rPr>
          <w:b/>
        </w:rPr>
        <w:t>move</w:t>
      </w:r>
      <w:r>
        <w:rPr>
          <w:b/>
          <w:spacing w:val="-3"/>
        </w:rPr>
        <w:t xml:space="preserve"> </w:t>
      </w:r>
      <w:r>
        <w:rPr>
          <w:b/>
        </w:rPr>
        <w:t>them</w:t>
      </w:r>
      <w:r>
        <w:rPr>
          <w:b/>
          <w:spacing w:val="-4"/>
        </w:rPr>
        <w:t xml:space="preserve"> </w:t>
      </w:r>
      <w:r>
        <w:rPr>
          <w:b/>
        </w:rPr>
        <w:t>toward</w:t>
      </w:r>
      <w:r>
        <w:rPr>
          <w:b/>
          <w:spacing w:val="-5"/>
        </w:rPr>
        <w:t xml:space="preserve"> </w:t>
      </w:r>
      <w:r>
        <w:rPr>
          <w:b/>
        </w:rPr>
        <w:t>contemplation</w:t>
      </w:r>
      <w:r>
        <w:rPr>
          <w:b/>
          <w:spacing w:val="-3"/>
        </w:rPr>
        <w:t xml:space="preserve"> </w:t>
      </w:r>
      <w:r>
        <w:rPr>
          <w:b/>
        </w:rPr>
        <w:t>of</w:t>
      </w:r>
      <w:r>
        <w:rPr>
          <w:b/>
          <w:spacing w:val="-5"/>
        </w:rPr>
        <w:t xml:space="preserve"> </w:t>
      </w:r>
      <w:r>
        <w:rPr>
          <w:b/>
        </w:rPr>
        <w:t>change</w:t>
      </w:r>
      <w:r>
        <w:rPr>
          <w:b/>
          <w:spacing w:val="-2"/>
        </w:rPr>
        <w:t xml:space="preserve"> </w:t>
      </w:r>
      <w:r>
        <w:t>(Yeh,</w:t>
      </w:r>
      <w:r>
        <w:rPr>
          <w:spacing w:val="-2"/>
        </w:rPr>
        <w:t xml:space="preserve"> </w:t>
      </w:r>
      <w:r>
        <w:t>Tung,</w:t>
      </w:r>
      <w:r>
        <w:rPr>
          <w:spacing w:val="-2"/>
        </w:rPr>
        <w:t xml:space="preserve"> </w:t>
      </w:r>
      <w:r>
        <w:rPr>
          <w:color w:val="303030"/>
        </w:rPr>
        <w:t>Horng,</w:t>
      </w:r>
      <w:r>
        <w:rPr>
          <w:color w:val="303030"/>
          <w:spacing w:val="-4"/>
        </w:rPr>
        <w:t xml:space="preserve"> </w:t>
      </w:r>
      <w:r>
        <w:rPr>
          <w:color w:val="303030"/>
        </w:rPr>
        <w:t>&amp;</w:t>
      </w:r>
      <w:r>
        <w:rPr>
          <w:color w:val="303030"/>
          <w:spacing w:val="-1"/>
        </w:rPr>
        <w:t xml:space="preserve"> </w:t>
      </w:r>
      <w:r>
        <w:rPr>
          <w:color w:val="303030"/>
        </w:rPr>
        <w:t>Sung</w:t>
      </w:r>
      <w:r>
        <w:t>,</w:t>
      </w:r>
      <w:r>
        <w:rPr>
          <w:spacing w:val="-2"/>
        </w:rPr>
        <w:t xml:space="preserve"> </w:t>
      </w:r>
      <w:r>
        <w:t>2017).</w:t>
      </w:r>
      <w:r>
        <w:rPr>
          <w:spacing w:val="-2"/>
        </w:rPr>
        <w:t xml:space="preserve"> </w:t>
      </w:r>
      <w:r>
        <w:t>Be</w:t>
      </w:r>
      <w:r>
        <w:rPr>
          <w:spacing w:val="-2"/>
        </w:rPr>
        <w:t xml:space="preserve"> </w:t>
      </w:r>
      <w:r>
        <w:t xml:space="preserve">sure </w:t>
      </w:r>
      <w:r>
        <w:rPr>
          <w:spacing w:val="-4"/>
        </w:rPr>
        <w:t>to:</w:t>
      </w:r>
    </w:p>
    <w:p w14:paraId="32BE0C90" w14:textId="77777777" w:rsidR="00DB6E1F" w:rsidRDefault="00F666A6">
      <w:pPr>
        <w:pStyle w:val="ListParagraph"/>
        <w:numPr>
          <w:ilvl w:val="0"/>
          <w:numId w:val="92"/>
        </w:numPr>
        <w:tabs>
          <w:tab w:val="left" w:pos="1800"/>
          <w:tab w:val="left" w:pos="1801"/>
        </w:tabs>
        <w:spacing w:before="61"/>
        <w:ind w:left="1800" w:right="1872"/>
        <w:rPr>
          <w:rFonts w:ascii="Symbol" w:hAnsi="Symbol"/>
        </w:rPr>
      </w:pPr>
      <w:r>
        <w:t>Provide</w:t>
      </w:r>
      <w:r>
        <w:rPr>
          <w:spacing w:val="-2"/>
        </w:rPr>
        <w:t xml:space="preserve"> </w:t>
      </w:r>
      <w:r>
        <w:t>basic</w:t>
      </w:r>
      <w:r>
        <w:rPr>
          <w:spacing w:val="-3"/>
        </w:rPr>
        <w:t xml:space="preserve"> </w:t>
      </w:r>
      <w:r>
        <w:t>information</w:t>
      </w:r>
      <w:r>
        <w:rPr>
          <w:spacing w:val="-3"/>
        </w:rPr>
        <w:t xml:space="preserve"> </w:t>
      </w:r>
      <w:r>
        <w:t>about</w:t>
      </w:r>
      <w:r>
        <w:rPr>
          <w:spacing w:val="-3"/>
        </w:rPr>
        <w:t xml:space="preserve"> </w:t>
      </w:r>
      <w:r>
        <w:t>substance</w:t>
      </w:r>
      <w:r>
        <w:rPr>
          <w:spacing w:val="-2"/>
        </w:rPr>
        <w:t xml:space="preserve"> </w:t>
      </w:r>
      <w:r>
        <w:t>use</w:t>
      </w:r>
      <w:r>
        <w:rPr>
          <w:spacing w:val="-4"/>
        </w:rPr>
        <w:t xml:space="preserve"> </w:t>
      </w:r>
      <w:r>
        <w:t>early</w:t>
      </w:r>
      <w:r>
        <w:rPr>
          <w:spacing w:val="-2"/>
        </w:rPr>
        <w:t xml:space="preserve"> </w:t>
      </w:r>
      <w:r>
        <w:t>in</w:t>
      </w:r>
      <w:r>
        <w:rPr>
          <w:spacing w:val="-6"/>
        </w:rPr>
        <w:t xml:space="preserve"> </w:t>
      </w:r>
      <w:r>
        <w:t>the</w:t>
      </w:r>
      <w:r>
        <w:rPr>
          <w:spacing w:val="-2"/>
        </w:rPr>
        <w:t xml:space="preserve"> </w:t>
      </w:r>
      <w:r>
        <w:t>t</w:t>
      </w:r>
      <w:r>
        <w:t>reatment</w:t>
      </w:r>
      <w:r>
        <w:rPr>
          <w:spacing w:val="-4"/>
        </w:rPr>
        <w:t xml:space="preserve"> </w:t>
      </w:r>
      <w:r>
        <w:t>process</w:t>
      </w:r>
      <w:r>
        <w:rPr>
          <w:spacing w:val="-3"/>
        </w:rPr>
        <w:t xml:space="preserve"> </w:t>
      </w:r>
      <w:r>
        <w:t>if</w:t>
      </w:r>
      <w:r>
        <w:rPr>
          <w:spacing w:val="-5"/>
        </w:rPr>
        <w:t xml:space="preserve"> </w:t>
      </w:r>
      <w:r>
        <w:t>clients</w:t>
      </w:r>
      <w:r>
        <w:rPr>
          <w:spacing w:val="-3"/>
        </w:rPr>
        <w:t xml:space="preserve"> </w:t>
      </w:r>
      <w:r>
        <w:t>have</w:t>
      </w:r>
      <w:r>
        <w:rPr>
          <w:spacing w:val="-2"/>
        </w:rPr>
        <w:t xml:space="preserve"> </w:t>
      </w:r>
      <w:r>
        <w:t>not been exposed to drug and alcohol education before.</w:t>
      </w:r>
    </w:p>
    <w:p w14:paraId="3FF4B8EB" w14:textId="77777777" w:rsidR="00DB6E1F" w:rsidRDefault="00F666A6">
      <w:pPr>
        <w:pStyle w:val="ListParagraph"/>
        <w:numPr>
          <w:ilvl w:val="0"/>
          <w:numId w:val="92"/>
        </w:numPr>
        <w:tabs>
          <w:tab w:val="left" w:pos="1800"/>
          <w:tab w:val="left" w:pos="1801"/>
        </w:tabs>
        <w:ind w:left="1799" w:right="1646" w:hanging="360"/>
        <w:rPr>
          <w:rFonts w:ascii="Symbol" w:hAnsi="Symbol"/>
        </w:rPr>
      </w:pPr>
      <w:r>
        <w:t>Use</w:t>
      </w:r>
      <w:r>
        <w:rPr>
          <w:spacing w:val="-2"/>
        </w:rPr>
        <w:t xml:space="preserve"> </w:t>
      </w:r>
      <w:r>
        <w:t>the</w:t>
      </w:r>
      <w:r>
        <w:rPr>
          <w:spacing w:val="-4"/>
        </w:rPr>
        <w:t xml:space="preserve"> </w:t>
      </w:r>
      <w:r>
        <w:t>motivational</w:t>
      </w:r>
      <w:r>
        <w:rPr>
          <w:spacing w:val="-2"/>
        </w:rPr>
        <w:t xml:space="preserve"> </w:t>
      </w:r>
      <w:r>
        <w:t>strategy</w:t>
      </w:r>
      <w:r>
        <w:rPr>
          <w:spacing w:val="-2"/>
        </w:rPr>
        <w:t xml:space="preserve"> </w:t>
      </w:r>
      <w:r>
        <w:t>of</w:t>
      </w:r>
      <w:r>
        <w:rPr>
          <w:spacing w:val="-5"/>
        </w:rPr>
        <w:t xml:space="preserve"> </w:t>
      </w:r>
      <w:r>
        <w:t>Elicit-Provide-Elicit</w:t>
      </w:r>
      <w:r>
        <w:rPr>
          <w:spacing w:val="-2"/>
        </w:rPr>
        <w:t xml:space="preserve"> </w:t>
      </w:r>
      <w:r>
        <w:t>(EPE,</w:t>
      </w:r>
      <w:r>
        <w:rPr>
          <w:spacing w:val="-2"/>
        </w:rPr>
        <w:t xml:space="preserve"> </w:t>
      </w:r>
      <w:r>
        <w:t>described</w:t>
      </w:r>
      <w:r>
        <w:rPr>
          <w:spacing w:val="-2"/>
        </w:rPr>
        <w:t xml:space="preserve"> </w:t>
      </w:r>
      <w:r>
        <w:t>in</w:t>
      </w:r>
      <w:r>
        <w:rPr>
          <w:spacing w:val="-3"/>
        </w:rPr>
        <w:t xml:space="preserve"> </w:t>
      </w:r>
      <w:r>
        <w:t>Chapter</w:t>
      </w:r>
      <w:r>
        <w:rPr>
          <w:spacing w:val="-4"/>
        </w:rPr>
        <w:t xml:space="preserve"> </w:t>
      </w:r>
      <w:r>
        <w:t>3)</w:t>
      </w:r>
      <w:r>
        <w:rPr>
          <w:spacing w:val="-4"/>
        </w:rPr>
        <w:t xml:space="preserve"> </w:t>
      </w:r>
      <w:r>
        <w:t>to</w:t>
      </w:r>
      <w:r>
        <w:rPr>
          <w:spacing w:val="-3"/>
        </w:rPr>
        <w:t xml:space="preserve"> </w:t>
      </w:r>
      <w:r>
        <w:t>engage</w:t>
      </w:r>
      <w:r>
        <w:rPr>
          <w:spacing w:val="-2"/>
        </w:rPr>
        <w:t xml:space="preserve"> </w:t>
      </w:r>
      <w:r>
        <w:t>clients in a joint discussion rather than lecture them (Miller &amp; Rollnick, 2013).</w:t>
      </w:r>
    </w:p>
    <w:p w14:paraId="2A66E996" w14:textId="77777777" w:rsidR="00DB6E1F" w:rsidRDefault="00F666A6">
      <w:pPr>
        <w:pStyle w:val="ListParagraph"/>
        <w:numPr>
          <w:ilvl w:val="0"/>
          <w:numId w:val="92"/>
        </w:numPr>
        <w:tabs>
          <w:tab w:val="left" w:pos="1799"/>
          <w:tab w:val="left" w:pos="1800"/>
          <w:tab w:val="left" w:pos="10167"/>
        </w:tabs>
        <w:spacing w:before="59"/>
        <w:ind w:left="1799" w:right="1628"/>
        <w:rPr>
          <w:rFonts w:ascii="Symbol" w:hAnsi="Symbol"/>
        </w:rPr>
      </w:pPr>
      <w:r>
        <w:t xml:space="preserve">Ask permission, for example, “Would it be okay to tell you a bit about the effects of </w:t>
      </w:r>
      <w:r>
        <w:rPr>
          <w:rFonts w:ascii="Times New Roman" w:hAnsi="Times New Roman"/>
          <w:u w:val="single"/>
        </w:rPr>
        <w:tab/>
      </w:r>
      <w:r>
        <w:t>?”</w:t>
      </w:r>
      <w:r>
        <w:rPr>
          <w:spacing w:val="-13"/>
        </w:rPr>
        <w:t xml:space="preserve"> </w:t>
      </w:r>
      <w:r>
        <w:t xml:space="preserve">or ask them to describe what they know about the effects or risks of the substances </w:t>
      </w:r>
      <w:r>
        <w:t>used.</w:t>
      </w:r>
    </w:p>
    <w:p w14:paraId="491BEDA4" w14:textId="77777777" w:rsidR="00DB6E1F" w:rsidRDefault="00F666A6">
      <w:pPr>
        <w:pStyle w:val="ListParagraph"/>
        <w:numPr>
          <w:ilvl w:val="0"/>
          <w:numId w:val="92"/>
        </w:numPr>
        <w:tabs>
          <w:tab w:val="left" w:pos="1800"/>
          <w:tab w:val="left" w:pos="1801"/>
        </w:tabs>
        <w:ind w:left="1800"/>
        <w:rPr>
          <w:rFonts w:ascii="Symbol" w:hAnsi="Symbol"/>
        </w:rPr>
      </w:pPr>
      <w:r>
        <w:t>Talk</w:t>
      </w:r>
      <w:r>
        <w:rPr>
          <w:spacing w:val="-5"/>
        </w:rPr>
        <w:t xml:space="preserve"> </w:t>
      </w:r>
      <w:r>
        <w:t>about</w:t>
      </w:r>
      <w:r>
        <w:rPr>
          <w:spacing w:val="-2"/>
        </w:rPr>
        <w:t xml:space="preserve"> </w:t>
      </w:r>
      <w:r>
        <w:t>what</w:t>
      </w:r>
      <w:r>
        <w:rPr>
          <w:spacing w:val="-2"/>
        </w:rPr>
        <w:t xml:space="preserve"> </w:t>
      </w:r>
      <w:r>
        <w:t>happens</w:t>
      </w:r>
      <w:r>
        <w:rPr>
          <w:spacing w:val="-3"/>
        </w:rPr>
        <w:t xml:space="preserve"> </w:t>
      </w:r>
      <w:r>
        <w:t>to</w:t>
      </w:r>
      <w:r>
        <w:rPr>
          <w:spacing w:val="-2"/>
        </w:rPr>
        <w:t xml:space="preserve"> </w:t>
      </w:r>
      <w:r>
        <w:t>any</w:t>
      </w:r>
      <w:r>
        <w:rPr>
          <w:spacing w:val="-4"/>
        </w:rPr>
        <w:t xml:space="preserve"> </w:t>
      </w:r>
      <w:r>
        <w:t>user</w:t>
      </w:r>
      <w:r>
        <w:rPr>
          <w:spacing w:val="-5"/>
        </w:rPr>
        <w:t xml:space="preserve"> </w:t>
      </w:r>
      <w:r>
        <w:t>of</w:t>
      </w:r>
      <w:r>
        <w:rPr>
          <w:spacing w:val="-5"/>
        </w:rPr>
        <w:t xml:space="preserve"> </w:t>
      </w:r>
      <w:r>
        <w:t>the</w:t>
      </w:r>
      <w:r>
        <w:rPr>
          <w:spacing w:val="-2"/>
        </w:rPr>
        <w:t xml:space="preserve"> </w:t>
      </w:r>
      <w:r>
        <w:t>substance</w:t>
      </w:r>
      <w:r>
        <w:rPr>
          <w:spacing w:val="-5"/>
        </w:rPr>
        <w:t xml:space="preserve"> </w:t>
      </w:r>
      <w:r>
        <w:t>rather</w:t>
      </w:r>
      <w:r>
        <w:rPr>
          <w:spacing w:val="-5"/>
        </w:rPr>
        <w:t xml:space="preserve"> </w:t>
      </w:r>
      <w:r>
        <w:t>than</w:t>
      </w:r>
      <w:r>
        <w:rPr>
          <w:spacing w:val="-4"/>
        </w:rPr>
        <w:t xml:space="preserve"> </w:t>
      </w:r>
      <w:r>
        <w:t>referring</w:t>
      </w:r>
      <w:r>
        <w:rPr>
          <w:spacing w:val="-4"/>
        </w:rPr>
        <w:t xml:space="preserve"> </w:t>
      </w:r>
      <w:r>
        <w:t>just</w:t>
      </w:r>
      <w:r>
        <w:rPr>
          <w:spacing w:val="-2"/>
        </w:rPr>
        <w:t xml:space="preserve"> </w:t>
      </w:r>
      <w:r>
        <w:t>to</w:t>
      </w:r>
      <w:r>
        <w:rPr>
          <w:spacing w:val="-2"/>
        </w:rPr>
        <w:t xml:space="preserve"> </w:t>
      </w:r>
      <w:r>
        <w:t>the</w:t>
      </w:r>
      <w:r>
        <w:rPr>
          <w:spacing w:val="-4"/>
        </w:rPr>
        <w:t xml:space="preserve"> </w:t>
      </w:r>
      <w:r>
        <w:rPr>
          <w:spacing w:val="-2"/>
        </w:rPr>
        <w:t>client.</w:t>
      </w:r>
    </w:p>
    <w:p w14:paraId="4F7897BA" w14:textId="77777777" w:rsidR="00DB6E1F" w:rsidRDefault="00F666A6">
      <w:pPr>
        <w:pStyle w:val="ListParagraph"/>
        <w:numPr>
          <w:ilvl w:val="0"/>
          <w:numId w:val="92"/>
        </w:numPr>
        <w:tabs>
          <w:tab w:val="left" w:pos="1800"/>
          <w:tab w:val="left" w:pos="1801"/>
        </w:tabs>
        <w:spacing w:before="61"/>
        <w:ind w:left="1800"/>
        <w:rPr>
          <w:rFonts w:ascii="Symbol" w:hAnsi="Symbol"/>
        </w:rPr>
      </w:pPr>
      <w:r>
        <w:t>State</w:t>
      </w:r>
      <w:r>
        <w:rPr>
          <w:spacing w:val="-8"/>
        </w:rPr>
        <w:t xml:space="preserve"> </w:t>
      </w:r>
      <w:r>
        <w:t>what</w:t>
      </w:r>
      <w:r>
        <w:rPr>
          <w:spacing w:val="-2"/>
        </w:rPr>
        <w:t xml:space="preserve"> </w:t>
      </w:r>
      <w:r>
        <w:rPr>
          <w:b/>
        </w:rPr>
        <w:t>experts</w:t>
      </w:r>
      <w:r>
        <w:rPr>
          <w:b/>
          <w:spacing w:val="-3"/>
        </w:rPr>
        <w:t xml:space="preserve"> </w:t>
      </w:r>
      <w:r>
        <w:t>have</w:t>
      </w:r>
      <w:r>
        <w:rPr>
          <w:spacing w:val="-2"/>
        </w:rPr>
        <w:t xml:space="preserve"> </w:t>
      </w:r>
      <w:r>
        <w:t>found,</w:t>
      </w:r>
      <w:r>
        <w:rPr>
          <w:spacing w:val="-3"/>
        </w:rPr>
        <w:t xml:space="preserve"> </w:t>
      </w:r>
      <w:r>
        <w:t>not</w:t>
      </w:r>
      <w:r>
        <w:rPr>
          <w:spacing w:val="-3"/>
        </w:rPr>
        <w:t xml:space="preserve"> </w:t>
      </w:r>
      <w:r>
        <w:t>what</w:t>
      </w:r>
      <w:r>
        <w:rPr>
          <w:spacing w:val="-5"/>
        </w:rPr>
        <w:t xml:space="preserve"> </w:t>
      </w:r>
      <w:r>
        <w:rPr>
          <w:b/>
        </w:rPr>
        <w:t>you</w:t>
      </w:r>
      <w:r>
        <w:rPr>
          <w:b/>
          <w:spacing w:val="-4"/>
        </w:rPr>
        <w:t xml:space="preserve"> </w:t>
      </w:r>
      <w:r>
        <w:t>think</w:t>
      </w:r>
      <w:r>
        <w:rPr>
          <w:spacing w:val="-3"/>
        </w:rPr>
        <w:t xml:space="preserve"> </w:t>
      </w:r>
      <w:r>
        <w:rPr>
          <w:spacing w:val="-2"/>
        </w:rPr>
        <w:t>happens.</w:t>
      </w:r>
    </w:p>
    <w:p w14:paraId="60618AAB" w14:textId="77777777" w:rsidR="00DB6E1F" w:rsidRDefault="00F666A6">
      <w:pPr>
        <w:pStyle w:val="ListParagraph"/>
        <w:numPr>
          <w:ilvl w:val="0"/>
          <w:numId w:val="92"/>
        </w:numPr>
        <w:tabs>
          <w:tab w:val="left" w:pos="1800"/>
          <w:tab w:val="left" w:pos="1801"/>
        </w:tabs>
        <w:spacing w:before="58"/>
        <w:ind w:left="1800" w:right="1717"/>
        <w:rPr>
          <w:rFonts w:ascii="Symbol" w:hAnsi="Symbol"/>
        </w:rPr>
      </w:pPr>
      <w:r>
        <w:t>Provide</w:t>
      </w:r>
      <w:r>
        <w:rPr>
          <w:spacing w:val="-4"/>
        </w:rPr>
        <w:t xml:space="preserve"> </w:t>
      </w:r>
      <w:r>
        <w:t>small</w:t>
      </w:r>
      <w:r>
        <w:rPr>
          <w:spacing w:val="-5"/>
        </w:rPr>
        <w:t xml:space="preserve"> </w:t>
      </w:r>
      <w:r>
        <w:t>chunks</w:t>
      </w:r>
      <w:r>
        <w:rPr>
          <w:spacing w:val="-4"/>
        </w:rPr>
        <w:t xml:space="preserve"> </w:t>
      </w:r>
      <w:r>
        <w:t>of</w:t>
      </w:r>
      <w:r>
        <w:rPr>
          <w:spacing w:val="-2"/>
        </w:rPr>
        <w:t xml:space="preserve"> </w:t>
      </w:r>
      <w:r>
        <w:t>information</w:t>
      </w:r>
      <w:r>
        <w:rPr>
          <w:spacing w:val="-5"/>
        </w:rPr>
        <w:t xml:space="preserve"> </w:t>
      </w:r>
      <w:r>
        <w:t>then</w:t>
      </w:r>
      <w:r>
        <w:rPr>
          <w:spacing w:val="-5"/>
        </w:rPr>
        <w:t xml:space="preserve"> </w:t>
      </w:r>
      <w:r>
        <w:t>elicit</w:t>
      </w:r>
      <w:r>
        <w:rPr>
          <w:spacing w:val="-4"/>
        </w:rPr>
        <w:t xml:space="preserve"> </w:t>
      </w:r>
      <w:r>
        <w:t>the</w:t>
      </w:r>
      <w:r>
        <w:rPr>
          <w:spacing w:val="-1"/>
        </w:rPr>
        <w:t xml:space="preserve"> </w:t>
      </w:r>
      <w:r>
        <w:t>client’s</w:t>
      </w:r>
      <w:r>
        <w:rPr>
          <w:spacing w:val="-2"/>
        </w:rPr>
        <w:t xml:space="preserve"> </w:t>
      </w:r>
      <w:r>
        <w:t>understanding.</w:t>
      </w:r>
      <w:r>
        <w:rPr>
          <w:spacing w:val="-3"/>
        </w:rPr>
        <w:t xml:space="preserve"> </w:t>
      </w:r>
      <w:r>
        <w:t>For</w:t>
      </w:r>
      <w:r>
        <w:rPr>
          <w:spacing w:val="-2"/>
        </w:rPr>
        <w:t xml:space="preserve"> </w:t>
      </w:r>
      <w:r>
        <w:t>example,</w:t>
      </w:r>
      <w:r>
        <w:rPr>
          <w:spacing w:val="-4"/>
        </w:rPr>
        <w:t xml:space="preserve"> </w:t>
      </w:r>
      <w:r>
        <w:t>“What</w:t>
      </w:r>
      <w:r>
        <w:rPr>
          <w:spacing w:val="-1"/>
        </w:rPr>
        <w:t xml:space="preserve"> </w:t>
      </w:r>
      <w:r>
        <w:t>do you make of all this?”</w:t>
      </w:r>
    </w:p>
    <w:p w14:paraId="1911A2A2" w14:textId="77777777" w:rsidR="00DB6E1F" w:rsidRDefault="00F666A6">
      <w:pPr>
        <w:pStyle w:val="ListParagraph"/>
        <w:numPr>
          <w:ilvl w:val="0"/>
          <w:numId w:val="92"/>
        </w:numPr>
        <w:tabs>
          <w:tab w:val="left" w:pos="1800"/>
          <w:tab w:val="left" w:pos="1801"/>
        </w:tabs>
        <w:spacing w:before="61"/>
        <w:ind w:left="1799" w:right="1441" w:hanging="360"/>
        <w:rPr>
          <w:rFonts w:ascii="Symbol" w:hAnsi="Symbol"/>
        </w:rPr>
      </w:pPr>
      <w:r>
        <w:t>Describe the</w:t>
      </w:r>
      <w:r>
        <w:rPr>
          <w:spacing w:val="-1"/>
        </w:rPr>
        <w:t xml:space="preserve"> </w:t>
      </w:r>
      <w:r>
        <w:t>addiction process in biological</w:t>
      </w:r>
      <w:r>
        <w:rPr>
          <w:spacing w:val="-2"/>
        </w:rPr>
        <w:t xml:space="preserve"> </w:t>
      </w:r>
      <w:r>
        <w:t>terms.</w:t>
      </w:r>
      <w:r>
        <w:rPr>
          <w:spacing w:val="-2"/>
        </w:rPr>
        <w:t xml:space="preserve"> </w:t>
      </w:r>
      <w:r>
        <w:t>Understanding facts</w:t>
      </w:r>
      <w:r>
        <w:rPr>
          <w:spacing w:val="-1"/>
        </w:rPr>
        <w:t xml:space="preserve"> </w:t>
      </w:r>
      <w:r>
        <w:t>about</w:t>
      </w:r>
      <w:r>
        <w:rPr>
          <w:spacing w:val="-1"/>
        </w:rPr>
        <w:t xml:space="preserve"> </w:t>
      </w:r>
      <w:r>
        <w:t>addiction can increase hope</w:t>
      </w:r>
      <w:r>
        <w:rPr>
          <w:spacing w:val="-1"/>
        </w:rPr>
        <w:t xml:space="preserve"> </w:t>
      </w:r>
      <w:r>
        <w:t>as</w:t>
      </w:r>
      <w:r>
        <w:rPr>
          <w:spacing w:val="-4"/>
        </w:rPr>
        <w:t xml:space="preserve"> </w:t>
      </w:r>
      <w:r>
        <w:t>well</w:t>
      </w:r>
      <w:r>
        <w:rPr>
          <w:spacing w:val="-5"/>
        </w:rPr>
        <w:t xml:space="preserve"> </w:t>
      </w:r>
      <w:r>
        <w:t>as</w:t>
      </w:r>
      <w:r>
        <w:rPr>
          <w:spacing w:val="-2"/>
        </w:rPr>
        <w:t xml:space="preserve"> </w:t>
      </w:r>
      <w:r>
        <w:t>readiness</w:t>
      </w:r>
      <w:r>
        <w:rPr>
          <w:spacing w:val="-2"/>
        </w:rPr>
        <w:t xml:space="preserve"> </w:t>
      </w:r>
      <w:r>
        <w:t>to</w:t>
      </w:r>
      <w:r>
        <w:rPr>
          <w:spacing w:val="-1"/>
        </w:rPr>
        <w:t xml:space="preserve"> </w:t>
      </w:r>
      <w:r>
        <w:t>change.</w:t>
      </w:r>
      <w:r>
        <w:rPr>
          <w:spacing w:val="-2"/>
        </w:rPr>
        <w:t xml:space="preserve"> </w:t>
      </w:r>
      <w:r>
        <w:t>For</w:t>
      </w:r>
      <w:r>
        <w:rPr>
          <w:spacing w:val="-4"/>
        </w:rPr>
        <w:t xml:space="preserve"> </w:t>
      </w:r>
      <w:r>
        <w:t>example,</w:t>
      </w:r>
      <w:r>
        <w:rPr>
          <w:spacing w:val="-4"/>
        </w:rPr>
        <w:t xml:space="preserve"> </w:t>
      </w:r>
      <w:r>
        <w:t>“When</w:t>
      </w:r>
      <w:r>
        <w:rPr>
          <w:spacing w:val="-3"/>
        </w:rPr>
        <w:t xml:space="preserve"> </w:t>
      </w:r>
      <w:r>
        <w:t>you</w:t>
      </w:r>
      <w:r>
        <w:rPr>
          <w:spacing w:val="-5"/>
        </w:rPr>
        <w:t xml:space="preserve"> </w:t>
      </w:r>
      <w:r>
        <w:t>first</w:t>
      </w:r>
      <w:r>
        <w:rPr>
          <w:spacing w:val="-1"/>
        </w:rPr>
        <w:t xml:space="preserve"> </w:t>
      </w:r>
      <w:r>
        <w:t>start</w:t>
      </w:r>
      <w:r>
        <w:rPr>
          <w:spacing w:val="-1"/>
        </w:rPr>
        <w:t xml:space="preserve"> </w:t>
      </w:r>
      <w:r>
        <w:t>using</w:t>
      </w:r>
      <w:r>
        <w:rPr>
          <w:spacing w:val="-5"/>
        </w:rPr>
        <w:t xml:space="preserve"> </w:t>
      </w:r>
      <w:r>
        <w:t>substances,</w:t>
      </w:r>
      <w:r>
        <w:rPr>
          <w:spacing w:val="-2"/>
        </w:rPr>
        <w:t xml:space="preserve"> </w:t>
      </w:r>
      <w:r>
        <w:t>it</w:t>
      </w:r>
      <w:r>
        <w:rPr>
          <w:spacing w:val="-1"/>
        </w:rPr>
        <w:t xml:space="preserve"> </w:t>
      </w:r>
      <w:r>
        <w:t>provides a pleasurable sensation. As you keep using substances, your mind begins to believe that you need these substances in the same way you need life-sustaining things like food—that you need them to survive. You’re not stronger than this process, but y</w:t>
      </w:r>
      <w:r>
        <w:t>ou can be smarter, and you can regain your independence from substances.”</w:t>
      </w:r>
    </w:p>
    <w:p w14:paraId="5498D287" w14:textId="77777777" w:rsidR="00DB6E1F" w:rsidRDefault="00DB6E1F">
      <w:pPr>
        <w:pStyle w:val="BodyText"/>
        <w:spacing w:before="2"/>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4EA75973" w14:textId="77777777">
        <w:trPr>
          <w:trHeight w:val="503"/>
        </w:trPr>
        <w:tc>
          <w:tcPr>
            <w:tcW w:w="9350" w:type="dxa"/>
            <w:shd w:val="clear" w:color="auto" w:fill="050505"/>
          </w:tcPr>
          <w:p w14:paraId="05D16F4C" w14:textId="77777777" w:rsidR="00DB6E1F" w:rsidRDefault="00F666A6">
            <w:pPr>
              <w:pStyle w:val="TableParagraph"/>
              <w:spacing w:before="102"/>
              <w:ind w:left="938"/>
              <w:rPr>
                <w:sz w:val="24"/>
              </w:rPr>
            </w:pPr>
            <w:r>
              <w:rPr>
                <w:color w:val="FFFFFF"/>
                <w:sz w:val="24"/>
              </w:rPr>
              <w:t>Expert</w:t>
            </w:r>
            <w:r>
              <w:rPr>
                <w:color w:val="FFFFFF"/>
                <w:spacing w:val="-7"/>
                <w:sz w:val="24"/>
              </w:rPr>
              <w:t xml:space="preserve"> </w:t>
            </w:r>
            <w:r>
              <w:rPr>
                <w:color w:val="FFFFFF"/>
                <w:sz w:val="24"/>
              </w:rPr>
              <w:t>Comment:</w:t>
            </w:r>
            <w:r>
              <w:rPr>
                <w:color w:val="FFFFFF"/>
                <w:spacing w:val="-5"/>
                <w:sz w:val="24"/>
              </w:rPr>
              <w:t xml:space="preserve"> </w:t>
            </w:r>
            <w:r>
              <w:rPr>
                <w:color w:val="FFFFFF"/>
                <w:sz w:val="24"/>
              </w:rPr>
              <w:t>Liver</w:t>
            </w:r>
            <w:r>
              <w:rPr>
                <w:color w:val="FFFFFF"/>
                <w:spacing w:val="-3"/>
                <w:sz w:val="24"/>
              </w:rPr>
              <w:t xml:space="preserve"> </w:t>
            </w:r>
            <w:r>
              <w:rPr>
                <w:color w:val="FFFFFF"/>
                <w:sz w:val="24"/>
              </w:rPr>
              <w:t>Transplantation—Precontemplation</w:t>
            </w:r>
            <w:r>
              <w:rPr>
                <w:color w:val="FFFFFF"/>
                <w:spacing w:val="-4"/>
                <w:sz w:val="24"/>
              </w:rPr>
              <w:t xml:space="preserve"> </w:t>
            </w:r>
            <w:r>
              <w:rPr>
                <w:color w:val="FFFFFF"/>
                <w:sz w:val="24"/>
              </w:rPr>
              <w:t>to</w:t>
            </w:r>
            <w:r>
              <w:rPr>
                <w:color w:val="FFFFFF"/>
                <w:spacing w:val="-4"/>
                <w:sz w:val="24"/>
              </w:rPr>
              <w:t xml:space="preserve"> </w:t>
            </w:r>
            <w:r>
              <w:rPr>
                <w:color w:val="FFFFFF"/>
                <w:spacing w:val="-2"/>
                <w:sz w:val="24"/>
              </w:rPr>
              <w:t>Contemplation</w:t>
            </w:r>
          </w:p>
        </w:tc>
      </w:tr>
      <w:tr w:rsidR="00DB6E1F" w14:paraId="23F3426C" w14:textId="77777777">
        <w:trPr>
          <w:trHeight w:val="733"/>
        </w:trPr>
        <w:tc>
          <w:tcPr>
            <w:tcW w:w="9350" w:type="dxa"/>
          </w:tcPr>
          <w:p w14:paraId="051F7C61" w14:textId="77777777" w:rsidR="00DB6E1F" w:rsidRDefault="00F666A6">
            <w:pPr>
              <w:pStyle w:val="TableParagraph"/>
              <w:spacing w:before="0" w:line="240" w:lineRule="atLeast"/>
              <w:ind w:right="506"/>
              <w:jc w:val="both"/>
              <w:rPr>
                <w:sz w:val="20"/>
              </w:rPr>
            </w:pPr>
            <w:r>
              <w:rPr>
                <w:sz w:val="20"/>
              </w:rPr>
              <w:t>The</w:t>
            </w:r>
            <w:r>
              <w:rPr>
                <w:spacing w:val="-2"/>
                <w:sz w:val="20"/>
              </w:rPr>
              <w:t xml:space="preserve"> </w:t>
            </w:r>
            <w:r>
              <w:rPr>
                <w:sz w:val="20"/>
              </w:rPr>
              <w:t>client</w:t>
            </w:r>
            <w:r>
              <w:rPr>
                <w:spacing w:val="-1"/>
                <w:sz w:val="20"/>
              </w:rPr>
              <w:t xml:space="preserve"> </w:t>
            </w:r>
            <w:r>
              <w:rPr>
                <w:sz w:val="20"/>
              </w:rPr>
              <w:t>in Precontemplation can appear</w:t>
            </w:r>
            <w:r>
              <w:rPr>
                <w:spacing w:val="-1"/>
                <w:sz w:val="20"/>
              </w:rPr>
              <w:t xml:space="preserve"> </w:t>
            </w:r>
            <w:r>
              <w:rPr>
                <w:sz w:val="20"/>
              </w:rPr>
              <w:t>in surprising</w:t>
            </w:r>
            <w:r>
              <w:rPr>
                <w:spacing w:val="-1"/>
                <w:sz w:val="20"/>
              </w:rPr>
              <w:t xml:space="preserve"> </w:t>
            </w:r>
            <w:r>
              <w:rPr>
                <w:sz w:val="20"/>
              </w:rPr>
              <w:t>medical</w:t>
            </w:r>
            <w:r>
              <w:rPr>
                <w:spacing w:val="-1"/>
                <w:sz w:val="20"/>
              </w:rPr>
              <w:t xml:space="preserve"> </w:t>
            </w:r>
            <w:r>
              <w:rPr>
                <w:sz w:val="20"/>
              </w:rPr>
              <w:t>settings.</w:t>
            </w:r>
            <w:r>
              <w:rPr>
                <w:spacing w:val="-1"/>
                <w:sz w:val="20"/>
              </w:rPr>
              <w:t xml:space="preserve"> </w:t>
            </w:r>
            <w:r>
              <w:rPr>
                <w:sz w:val="20"/>
              </w:rPr>
              <w:t>It</w:t>
            </w:r>
            <w:r>
              <w:rPr>
                <w:spacing w:val="-1"/>
                <w:sz w:val="20"/>
              </w:rPr>
              <w:t xml:space="preserve"> </w:t>
            </w:r>
            <w:r>
              <w:rPr>
                <w:sz w:val="20"/>
              </w:rPr>
              <w:t>is</w:t>
            </w:r>
            <w:r>
              <w:rPr>
                <w:spacing w:val="-2"/>
                <w:sz w:val="20"/>
              </w:rPr>
              <w:t xml:space="preserve"> </w:t>
            </w:r>
            <w:r>
              <w:rPr>
                <w:sz w:val="20"/>
              </w:rPr>
              <w:t>not</w:t>
            </w:r>
            <w:r>
              <w:rPr>
                <w:spacing w:val="-1"/>
                <w:sz w:val="20"/>
              </w:rPr>
              <w:t xml:space="preserve"> </w:t>
            </w:r>
            <w:r>
              <w:rPr>
                <w:sz w:val="20"/>
              </w:rPr>
              <w:t>uncommon for</w:t>
            </w:r>
            <w:r>
              <w:rPr>
                <w:spacing w:val="-1"/>
                <w:sz w:val="20"/>
              </w:rPr>
              <w:t xml:space="preserve"> </w:t>
            </w:r>
            <w:r>
              <w:rPr>
                <w:sz w:val="20"/>
              </w:rPr>
              <w:t>me</w:t>
            </w:r>
            <w:r>
              <w:rPr>
                <w:spacing w:val="-2"/>
                <w:sz w:val="20"/>
              </w:rPr>
              <w:t xml:space="preserve"> </w:t>
            </w:r>
            <w:r>
              <w:rPr>
                <w:sz w:val="20"/>
              </w:rPr>
              <w:t xml:space="preserve">to find </w:t>
            </w:r>
            <w:r>
              <w:rPr>
                <w:sz w:val="20"/>
              </w:rPr>
              <w:t>myself</w:t>
            </w:r>
            <w:r>
              <w:rPr>
                <w:spacing w:val="-4"/>
                <w:sz w:val="20"/>
              </w:rPr>
              <w:t xml:space="preserve"> </w:t>
            </w:r>
            <w:r>
              <w:rPr>
                <w:sz w:val="20"/>
              </w:rPr>
              <w:t>sitting</w:t>
            </w:r>
            <w:r>
              <w:rPr>
                <w:spacing w:val="-3"/>
                <w:sz w:val="20"/>
              </w:rPr>
              <w:t xml:space="preserve"> </w:t>
            </w:r>
            <w:r>
              <w:rPr>
                <w:sz w:val="20"/>
              </w:rPr>
              <w:t>across</w:t>
            </w:r>
            <w:r>
              <w:rPr>
                <w:spacing w:val="-4"/>
                <w:sz w:val="20"/>
              </w:rPr>
              <w:t xml:space="preserve"> </w:t>
            </w:r>
            <w:r>
              <w:rPr>
                <w:sz w:val="20"/>
              </w:rPr>
              <w:t>from</w:t>
            </w:r>
            <w:r>
              <w:rPr>
                <w:spacing w:val="-4"/>
                <w:sz w:val="20"/>
              </w:rPr>
              <w:t xml:space="preserve"> </w:t>
            </w:r>
            <w:r>
              <w:rPr>
                <w:sz w:val="20"/>
              </w:rPr>
              <w:t>a</w:t>
            </w:r>
            <w:r>
              <w:rPr>
                <w:spacing w:val="-2"/>
                <w:sz w:val="20"/>
              </w:rPr>
              <w:t xml:space="preserve"> </w:t>
            </w:r>
            <w:r>
              <w:rPr>
                <w:sz w:val="20"/>
              </w:rPr>
              <w:t>client</w:t>
            </w:r>
            <w:r>
              <w:rPr>
                <w:spacing w:val="-2"/>
                <w:sz w:val="20"/>
              </w:rPr>
              <w:t xml:space="preserve"> </w:t>
            </w:r>
            <w:r>
              <w:rPr>
                <w:sz w:val="20"/>
              </w:rPr>
              <w:t>with</w:t>
            </w:r>
            <w:r>
              <w:rPr>
                <w:spacing w:val="-2"/>
                <w:sz w:val="20"/>
              </w:rPr>
              <w:t xml:space="preserve"> </w:t>
            </w:r>
            <w:r>
              <w:rPr>
                <w:sz w:val="20"/>
              </w:rPr>
              <w:t>end-stage</w:t>
            </w:r>
            <w:r>
              <w:rPr>
                <w:spacing w:val="-4"/>
                <w:sz w:val="20"/>
              </w:rPr>
              <w:t xml:space="preserve"> </w:t>
            </w:r>
            <w:r>
              <w:rPr>
                <w:sz w:val="20"/>
              </w:rPr>
              <w:t>liver</w:t>
            </w:r>
            <w:r>
              <w:rPr>
                <w:spacing w:val="-3"/>
                <w:sz w:val="20"/>
              </w:rPr>
              <w:t xml:space="preserve"> </w:t>
            </w:r>
            <w:r>
              <w:rPr>
                <w:sz w:val="20"/>
              </w:rPr>
              <w:t>disease</w:t>
            </w:r>
            <w:r>
              <w:rPr>
                <w:spacing w:val="-4"/>
                <w:sz w:val="20"/>
              </w:rPr>
              <w:t xml:space="preserve"> </w:t>
            </w:r>
            <w:r>
              <w:rPr>
                <w:sz w:val="20"/>
              </w:rPr>
              <w:t>being</w:t>
            </w:r>
            <w:r>
              <w:rPr>
                <w:spacing w:val="-1"/>
                <w:sz w:val="20"/>
              </w:rPr>
              <w:t xml:space="preserve"> </w:t>
            </w:r>
            <w:r>
              <w:rPr>
                <w:sz w:val="20"/>
              </w:rPr>
              <w:t>evaluated</w:t>
            </w:r>
            <w:r>
              <w:rPr>
                <w:spacing w:val="-2"/>
                <w:sz w:val="20"/>
              </w:rPr>
              <w:t xml:space="preserve"> </w:t>
            </w:r>
            <w:r>
              <w:rPr>
                <w:sz w:val="20"/>
              </w:rPr>
              <w:t>for</w:t>
            </w:r>
            <w:r>
              <w:rPr>
                <w:spacing w:val="-3"/>
                <w:sz w:val="20"/>
              </w:rPr>
              <w:t xml:space="preserve"> </w:t>
            </w:r>
            <w:r>
              <w:rPr>
                <w:sz w:val="20"/>
              </w:rPr>
              <w:t>a</w:t>
            </w:r>
            <w:r>
              <w:rPr>
                <w:spacing w:val="-2"/>
                <w:sz w:val="20"/>
              </w:rPr>
              <w:t xml:space="preserve"> </w:t>
            </w:r>
            <w:r>
              <w:rPr>
                <w:sz w:val="20"/>
              </w:rPr>
              <w:t>liver</w:t>
            </w:r>
            <w:r>
              <w:rPr>
                <w:spacing w:val="-3"/>
                <w:sz w:val="20"/>
              </w:rPr>
              <w:t xml:space="preserve"> </w:t>
            </w:r>
            <w:r>
              <w:rPr>
                <w:sz w:val="20"/>
              </w:rPr>
              <w:t>transplant.</w:t>
            </w:r>
            <w:r>
              <w:rPr>
                <w:spacing w:val="-3"/>
                <w:sz w:val="20"/>
              </w:rPr>
              <w:t xml:space="preserve"> </w:t>
            </w:r>
            <w:r>
              <w:rPr>
                <w:sz w:val="20"/>
              </w:rPr>
              <w:t>From</w:t>
            </w:r>
            <w:r>
              <w:rPr>
                <w:spacing w:val="-4"/>
                <w:sz w:val="20"/>
              </w:rPr>
              <w:t xml:space="preserve"> </w:t>
            </w:r>
            <w:r>
              <w:rPr>
                <w:sz w:val="20"/>
              </w:rPr>
              <w:t>a medical perspective, the cause of the client’s liver disease appears to be alcoholic hepatitis, which led to</w:t>
            </w:r>
          </w:p>
        </w:tc>
      </w:tr>
    </w:tbl>
    <w:p w14:paraId="4647F104" w14:textId="77777777" w:rsidR="00DB6E1F" w:rsidRDefault="00DB6E1F">
      <w:pPr>
        <w:spacing w:line="240" w:lineRule="atLeast"/>
        <w:jc w:val="both"/>
        <w:rPr>
          <w:sz w:val="20"/>
        </w:rPr>
        <w:sectPr w:rsidR="00DB6E1F">
          <w:pgSz w:w="12240" w:h="15840"/>
          <w:pgMar w:top="1200" w:right="0" w:bottom="780" w:left="0" w:header="763" w:footer="585" w:gutter="0"/>
          <w:cols w:space="720"/>
        </w:sectPr>
      </w:pPr>
    </w:p>
    <w:p w14:paraId="50F600BE"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4159CFFD" w14:textId="77777777">
        <w:trPr>
          <w:trHeight w:val="8493"/>
        </w:trPr>
        <w:tc>
          <w:tcPr>
            <w:tcW w:w="9350" w:type="dxa"/>
          </w:tcPr>
          <w:p w14:paraId="08874E25" w14:textId="77777777" w:rsidR="00DB6E1F" w:rsidRDefault="00F666A6">
            <w:pPr>
              <w:pStyle w:val="TableParagraph"/>
              <w:ind w:right="122"/>
              <w:rPr>
                <w:sz w:val="20"/>
              </w:rPr>
            </w:pPr>
            <w:r>
              <w:rPr>
                <w:sz w:val="20"/>
              </w:rPr>
              <w:t>cirrhosis. A variety of laboratory and other information further supports a history of years of alcohol misuse.</w:t>
            </w:r>
            <w:r>
              <w:rPr>
                <w:spacing w:val="40"/>
                <w:sz w:val="20"/>
              </w:rPr>
              <w:t xml:space="preserve"> </w:t>
            </w:r>
            <w:r>
              <w:rPr>
                <w:sz w:val="20"/>
              </w:rPr>
              <w:t>The</w:t>
            </w:r>
            <w:r>
              <w:rPr>
                <w:spacing w:val="-3"/>
                <w:sz w:val="20"/>
              </w:rPr>
              <w:t xml:space="preserve"> </w:t>
            </w:r>
            <w:r>
              <w:rPr>
                <w:sz w:val="20"/>
              </w:rPr>
              <w:t>diagnosis</w:t>
            </w:r>
            <w:r>
              <w:rPr>
                <w:spacing w:val="-3"/>
                <w:sz w:val="20"/>
              </w:rPr>
              <w:t xml:space="preserve"> </w:t>
            </w:r>
            <w:r>
              <w:rPr>
                <w:sz w:val="20"/>
              </w:rPr>
              <w:t>of</w:t>
            </w:r>
            <w:r>
              <w:rPr>
                <w:spacing w:val="-3"/>
                <w:sz w:val="20"/>
              </w:rPr>
              <w:t xml:space="preserve"> </w:t>
            </w:r>
            <w:r>
              <w:rPr>
                <w:sz w:val="20"/>
              </w:rPr>
              <w:t>AUD</w:t>
            </w:r>
            <w:r>
              <w:rPr>
                <w:spacing w:val="-2"/>
                <w:sz w:val="20"/>
              </w:rPr>
              <w:t xml:space="preserve"> </w:t>
            </w:r>
            <w:r>
              <w:rPr>
                <w:sz w:val="20"/>
              </w:rPr>
              <w:t>is</w:t>
            </w:r>
            <w:r>
              <w:rPr>
                <w:spacing w:val="-3"/>
                <w:sz w:val="20"/>
              </w:rPr>
              <w:t xml:space="preserve"> </w:t>
            </w:r>
            <w:r>
              <w:rPr>
                <w:sz w:val="20"/>
              </w:rPr>
              <w:t>not</w:t>
            </w:r>
            <w:r>
              <w:rPr>
                <w:spacing w:val="-2"/>
                <w:sz w:val="20"/>
              </w:rPr>
              <w:t xml:space="preserve"> </w:t>
            </w:r>
            <w:r>
              <w:rPr>
                <w:sz w:val="20"/>
              </w:rPr>
              <w:t>only</w:t>
            </w:r>
            <w:r>
              <w:rPr>
                <w:spacing w:val="-1"/>
                <w:sz w:val="20"/>
              </w:rPr>
              <w:t xml:space="preserve"> </w:t>
            </w:r>
            <w:r>
              <w:rPr>
                <w:sz w:val="20"/>
              </w:rPr>
              <w:t>supported</w:t>
            </w:r>
            <w:r>
              <w:rPr>
                <w:spacing w:val="-1"/>
                <w:sz w:val="20"/>
              </w:rPr>
              <w:t xml:space="preserve"> </w:t>
            </w:r>
            <w:r>
              <w:rPr>
                <w:sz w:val="20"/>
              </w:rPr>
              <w:t>by</w:t>
            </w:r>
            <w:r>
              <w:rPr>
                <w:spacing w:val="-1"/>
                <w:sz w:val="20"/>
              </w:rPr>
              <w:t xml:space="preserve"> </w:t>
            </w:r>
            <w:r>
              <w:rPr>
                <w:sz w:val="20"/>
              </w:rPr>
              <w:t>the</w:t>
            </w:r>
            <w:r>
              <w:rPr>
                <w:spacing w:val="-3"/>
                <w:sz w:val="20"/>
              </w:rPr>
              <w:t xml:space="preserve"> </w:t>
            </w:r>
            <w:r>
              <w:rPr>
                <w:sz w:val="20"/>
              </w:rPr>
              <w:t>medical information</w:t>
            </w:r>
            <w:r>
              <w:rPr>
                <w:spacing w:val="-1"/>
                <w:sz w:val="20"/>
              </w:rPr>
              <w:t xml:space="preserve"> </w:t>
            </w:r>
            <w:r>
              <w:rPr>
                <w:sz w:val="20"/>
              </w:rPr>
              <w:t>but</w:t>
            </w:r>
            <w:r>
              <w:rPr>
                <w:spacing w:val="-2"/>
                <w:sz w:val="20"/>
              </w:rPr>
              <w:t xml:space="preserve"> </w:t>
            </w:r>
            <w:r>
              <w:rPr>
                <w:sz w:val="20"/>
              </w:rPr>
              <w:t>also</w:t>
            </w:r>
            <w:r>
              <w:rPr>
                <w:spacing w:val="-2"/>
                <w:sz w:val="20"/>
              </w:rPr>
              <w:t xml:space="preserve"> </w:t>
            </w:r>
            <w:r>
              <w:rPr>
                <w:sz w:val="20"/>
              </w:rPr>
              <w:t>is</w:t>
            </w:r>
            <w:r>
              <w:rPr>
                <w:spacing w:val="-2"/>
                <w:sz w:val="20"/>
              </w:rPr>
              <w:t xml:space="preserve"> </w:t>
            </w:r>
            <w:r>
              <w:rPr>
                <w:sz w:val="20"/>
              </w:rPr>
              <w:t>made</w:t>
            </w:r>
            <w:r>
              <w:rPr>
                <w:spacing w:val="-3"/>
                <w:sz w:val="20"/>
              </w:rPr>
              <w:t xml:space="preserve"> </w:t>
            </w:r>
            <w:r>
              <w:rPr>
                <w:sz w:val="20"/>
              </w:rPr>
              <w:t>clear</w:t>
            </w:r>
            <w:r>
              <w:rPr>
                <w:spacing w:val="-2"/>
                <w:sz w:val="20"/>
              </w:rPr>
              <w:t xml:space="preserve"> </w:t>
            </w:r>
            <w:r>
              <w:rPr>
                <w:sz w:val="20"/>
              </w:rPr>
              <w:t>when</w:t>
            </w:r>
            <w:r>
              <w:rPr>
                <w:spacing w:val="-1"/>
                <w:sz w:val="20"/>
              </w:rPr>
              <w:t xml:space="preserve"> </w:t>
            </w:r>
            <w:r>
              <w:rPr>
                <w:sz w:val="20"/>
              </w:rPr>
              <w:t>the</w:t>
            </w:r>
            <w:r>
              <w:rPr>
                <w:spacing w:val="-3"/>
                <w:sz w:val="20"/>
              </w:rPr>
              <w:t xml:space="preserve"> </w:t>
            </w:r>
            <w:r>
              <w:rPr>
                <w:sz w:val="20"/>
              </w:rPr>
              <w:t>person’s family indicates years of alcohol</w:t>
            </w:r>
            <w:r>
              <w:rPr>
                <w:sz w:val="20"/>
              </w:rPr>
              <w:t xml:space="preserve"> misuse despite intensely negative consequences, such as being charged with driving while intoxicated and marital stress related to the drinking. Yet, despite what might seem to be an overwhelming</w:t>
            </w:r>
            <w:r>
              <w:rPr>
                <w:spacing w:val="-3"/>
                <w:sz w:val="20"/>
              </w:rPr>
              <w:t xml:space="preserve"> </w:t>
            </w:r>
            <w:r>
              <w:rPr>
                <w:sz w:val="20"/>
              </w:rPr>
              <w:t>amount</w:t>
            </w:r>
            <w:r>
              <w:rPr>
                <w:spacing w:val="-3"/>
                <w:sz w:val="20"/>
              </w:rPr>
              <w:t xml:space="preserve"> </w:t>
            </w:r>
            <w:r>
              <w:rPr>
                <w:sz w:val="20"/>
              </w:rPr>
              <w:t>of</w:t>
            </w:r>
            <w:r>
              <w:rPr>
                <w:spacing w:val="-4"/>
                <w:sz w:val="20"/>
              </w:rPr>
              <w:t xml:space="preserve"> </w:t>
            </w:r>
            <w:r>
              <w:rPr>
                <w:sz w:val="20"/>
              </w:rPr>
              <w:t>evidence,</w:t>
            </w:r>
            <w:r>
              <w:rPr>
                <w:spacing w:val="-2"/>
                <w:sz w:val="20"/>
              </w:rPr>
              <w:t xml:space="preserve"> </w:t>
            </w:r>
            <w:r>
              <w:rPr>
                <w:sz w:val="20"/>
              </w:rPr>
              <w:t>the</w:t>
            </w:r>
            <w:r>
              <w:rPr>
                <w:spacing w:val="-4"/>
                <w:sz w:val="20"/>
              </w:rPr>
              <w:t xml:space="preserve"> </w:t>
            </w:r>
            <w:r>
              <w:rPr>
                <w:sz w:val="20"/>
              </w:rPr>
              <w:t>client</w:t>
            </w:r>
            <w:r>
              <w:rPr>
                <w:spacing w:val="-3"/>
                <w:sz w:val="20"/>
              </w:rPr>
              <w:t xml:space="preserve"> </w:t>
            </w:r>
            <w:r>
              <w:rPr>
                <w:sz w:val="20"/>
              </w:rPr>
              <w:t>himself,</w:t>
            </w:r>
            <w:r>
              <w:rPr>
                <w:spacing w:val="-2"/>
                <w:sz w:val="20"/>
              </w:rPr>
              <w:t xml:space="preserve"> </w:t>
            </w:r>
            <w:r>
              <w:rPr>
                <w:sz w:val="20"/>
              </w:rPr>
              <w:t>for</w:t>
            </w:r>
            <w:r>
              <w:rPr>
                <w:spacing w:val="-3"/>
                <w:sz w:val="20"/>
              </w:rPr>
              <w:t xml:space="preserve"> </w:t>
            </w:r>
            <w:r>
              <w:rPr>
                <w:sz w:val="20"/>
              </w:rPr>
              <w:t>a variety</w:t>
            </w:r>
            <w:r>
              <w:rPr>
                <w:spacing w:val="-2"/>
                <w:sz w:val="20"/>
              </w:rPr>
              <w:t xml:space="preserve"> </w:t>
            </w:r>
            <w:r>
              <w:rPr>
                <w:sz w:val="20"/>
              </w:rPr>
              <w:t>of</w:t>
            </w:r>
            <w:r>
              <w:rPr>
                <w:spacing w:val="-4"/>
                <w:sz w:val="20"/>
              </w:rPr>
              <w:t xml:space="preserve"> </w:t>
            </w:r>
            <w:r>
              <w:rPr>
                <w:sz w:val="20"/>
              </w:rPr>
              <w:t>dynamic</w:t>
            </w:r>
            <w:r>
              <w:rPr>
                <w:spacing w:val="-3"/>
                <w:sz w:val="20"/>
              </w:rPr>
              <w:t xml:space="preserve"> </w:t>
            </w:r>
            <w:r>
              <w:rPr>
                <w:sz w:val="20"/>
              </w:rPr>
              <w:t>and</w:t>
            </w:r>
            <w:r>
              <w:rPr>
                <w:spacing w:val="-2"/>
                <w:sz w:val="20"/>
              </w:rPr>
              <w:t xml:space="preserve"> </w:t>
            </w:r>
            <w:r>
              <w:rPr>
                <w:sz w:val="20"/>
              </w:rPr>
              <w:t>motivational</w:t>
            </w:r>
            <w:r>
              <w:rPr>
                <w:spacing w:val="-3"/>
                <w:sz w:val="20"/>
              </w:rPr>
              <w:t xml:space="preserve"> </w:t>
            </w:r>
            <w:r>
              <w:rPr>
                <w:sz w:val="20"/>
              </w:rPr>
              <w:t>reasons,</w:t>
            </w:r>
            <w:r>
              <w:rPr>
                <w:spacing w:val="-2"/>
                <w:sz w:val="20"/>
              </w:rPr>
              <w:t xml:space="preserve"> </w:t>
            </w:r>
            <w:r>
              <w:rPr>
                <w:sz w:val="20"/>
              </w:rPr>
              <w:t>cannot see himself as having a problem with alcohol. The client may feel guilty that he caused his liver damage and think he doesn’t deserve this life-saving intervention. Or he may be fearful that if he examines his alcoh</w:t>
            </w:r>
            <w:r>
              <w:rPr>
                <w:sz w:val="20"/>
              </w:rPr>
              <w:t>ol use too closely and shares his history, he may not be considered for transplantation at all. He may even have</w:t>
            </w:r>
            <w:r>
              <w:rPr>
                <w:spacing w:val="40"/>
                <w:sz w:val="20"/>
              </w:rPr>
              <w:t xml:space="preserve"> </w:t>
            </w:r>
            <w:r>
              <w:rPr>
                <w:sz w:val="20"/>
              </w:rPr>
              <w:t>already been told that if he is actively drinking, he will not be listed for transplantation.</w:t>
            </w:r>
          </w:p>
          <w:p w14:paraId="49CDA21B" w14:textId="77777777" w:rsidR="00DB6E1F" w:rsidRDefault="00F666A6">
            <w:pPr>
              <w:pStyle w:val="TableParagraph"/>
              <w:spacing w:before="119"/>
              <w:ind w:right="169" w:hanging="1"/>
              <w:rPr>
                <w:sz w:val="20"/>
              </w:rPr>
            </w:pPr>
            <w:r>
              <w:rPr>
                <w:sz w:val="20"/>
              </w:rPr>
              <w:t>It is important for me as a counselor not to be s</w:t>
            </w:r>
            <w:r>
              <w:rPr>
                <w:sz w:val="20"/>
              </w:rPr>
              <w:t>urprised or judgmental about the client not wanting to see his problematic</w:t>
            </w:r>
            <w:r>
              <w:rPr>
                <w:spacing w:val="-3"/>
                <w:sz w:val="20"/>
              </w:rPr>
              <w:t xml:space="preserve"> </w:t>
            </w:r>
            <w:r>
              <w:rPr>
                <w:sz w:val="20"/>
              </w:rPr>
              <w:t>relationship</w:t>
            </w:r>
            <w:r>
              <w:rPr>
                <w:spacing w:val="-2"/>
                <w:sz w:val="20"/>
              </w:rPr>
              <w:t xml:space="preserve"> </w:t>
            </w:r>
            <w:r>
              <w:rPr>
                <w:sz w:val="20"/>
              </w:rPr>
              <w:t>with alcohol.</w:t>
            </w:r>
            <w:r>
              <w:rPr>
                <w:spacing w:val="-3"/>
                <w:sz w:val="20"/>
              </w:rPr>
              <w:t xml:space="preserve"> </w:t>
            </w:r>
            <w:r>
              <w:rPr>
                <w:sz w:val="20"/>
              </w:rPr>
              <w:t>The</w:t>
            </w:r>
            <w:r>
              <w:rPr>
                <w:spacing w:val="-4"/>
                <w:sz w:val="20"/>
              </w:rPr>
              <w:t xml:space="preserve"> </w:t>
            </w:r>
            <w:r>
              <w:rPr>
                <w:sz w:val="20"/>
              </w:rPr>
              <w:t>simple</w:t>
            </w:r>
            <w:r>
              <w:rPr>
                <w:spacing w:val="-1"/>
                <w:sz w:val="20"/>
              </w:rPr>
              <w:t xml:space="preserve"> </w:t>
            </w:r>
            <w:r>
              <w:rPr>
                <w:sz w:val="20"/>
              </w:rPr>
              <w:t>fact</w:t>
            </w:r>
            <w:r>
              <w:rPr>
                <w:spacing w:val="-3"/>
                <w:sz w:val="20"/>
              </w:rPr>
              <w:t xml:space="preserve"> </w:t>
            </w:r>
            <w:r>
              <w:rPr>
                <w:sz w:val="20"/>
              </w:rPr>
              <w:t>is</w:t>
            </w:r>
            <w:r>
              <w:rPr>
                <w:spacing w:val="-4"/>
                <w:sz w:val="20"/>
              </w:rPr>
              <w:t xml:space="preserve"> </w:t>
            </w:r>
            <w:r>
              <w:rPr>
                <w:sz w:val="20"/>
              </w:rPr>
              <w:t>that</w:t>
            </w:r>
            <w:r>
              <w:rPr>
                <w:spacing w:val="-3"/>
                <w:sz w:val="20"/>
              </w:rPr>
              <w:t xml:space="preserve"> </w:t>
            </w:r>
            <w:r>
              <w:rPr>
                <w:sz w:val="20"/>
              </w:rPr>
              <w:t>he</w:t>
            </w:r>
            <w:r>
              <w:rPr>
                <w:spacing w:val="-4"/>
                <w:sz w:val="20"/>
              </w:rPr>
              <w:t xml:space="preserve"> </w:t>
            </w:r>
            <w:r>
              <w:rPr>
                <w:sz w:val="20"/>
              </w:rPr>
              <w:t>has</w:t>
            </w:r>
            <w:r>
              <w:rPr>
                <w:spacing w:val="-4"/>
                <w:sz w:val="20"/>
              </w:rPr>
              <w:t xml:space="preserve"> </w:t>
            </w:r>
            <w:r>
              <w:rPr>
                <w:sz w:val="20"/>
              </w:rPr>
              <w:t>never</w:t>
            </w:r>
            <w:r>
              <w:rPr>
                <w:spacing w:val="-3"/>
                <w:sz w:val="20"/>
              </w:rPr>
              <w:t xml:space="preserve"> </w:t>
            </w:r>
            <w:r>
              <w:rPr>
                <w:sz w:val="20"/>
              </w:rPr>
              <w:t>connected</w:t>
            </w:r>
            <w:r>
              <w:rPr>
                <w:spacing w:val="-2"/>
                <w:sz w:val="20"/>
              </w:rPr>
              <w:t xml:space="preserve"> </w:t>
            </w:r>
            <w:r>
              <w:rPr>
                <w:sz w:val="20"/>
              </w:rPr>
              <w:t>his</w:t>
            </w:r>
            <w:r>
              <w:rPr>
                <w:spacing w:val="-2"/>
                <w:sz w:val="20"/>
              </w:rPr>
              <w:t xml:space="preserve"> </w:t>
            </w:r>
            <w:r>
              <w:rPr>
                <w:sz w:val="20"/>
              </w:rPr>
              <w:t>health</w:t>
            </w:r>
            <w:r>
              <w:rPr>
                <w:spacing w:val="-2"/>
                <w:sz w:val="20"/>
              </w:rPr>
              <w:t xml:space="preserve"> </w:t>
            </w:r>
            <w:r>
              <w:rPr>
                <w:sz w:val="20"/>
              </w:rPr>
              <w:t>problems</w:t>
            </w:r>
            <w:r>
              <w:rPr>
                <w:spacing w:val="-2"/>
                <w:sz w:val="20"/>
              </w:rPr>
              <w:t xml:space="preserve"> </w:t>
            </w:r>
            <w:r>
              <w:rPr>
                <w:sz w:val="20"/>
              </w:rPr>
              <w:t>with his use of alcohol. To confront the client with the overwhelming evidence about hi</w:t>
            </w:r>
            <w:r>
              <w:rPr>
                <w:sz w:val="20"/>
              </w:rPr>
              <w:t>s problem drinking only makes him more defensive, reinforces his denial, and strengthens his feelings of guilt and shame.</w:t>
            </w:r>
          </w:p>
          <w:p w14:paraId="70D0B647" w14:textId="77777777" w:rsidR="00DB6E1F" w:rsidRDefault="00F666A6">
            <w:pPr>
              <w:pStyle w:val="TableParagraph"/>
              <w:spacing w:before="120"/>
              <w:rPr>
                <w:sz w:val="20"/>
              </w:rPr>
            </w:pPr>
            <w:r>
              <w:rPr>
                <w:sz w:val="20"/>
              </w:rPr>
              <w:t>During</w:t>
            </w:r>
            <w:r>
              <w:rPr>
                <w:spacing w:val="-3"/>
                <w:sz w:val="20"/>
              </w:rPr>
              <w:t xml:space="preserve"> </w:t>
            </w:r>
            <w:r>
              <w:rPr>
                <w:sz w:val="20"/>
              </w:rPr>
              <w:t>assessment,</w:t>
            </w:r>
            <w:r>
              <w:rPr>
                <w:spacing w:val="-2"/>
                <w:sz w:val="20"/>
              </w:rPr>
              <w:t xml:space="preserve"> </w:t>
            </w:r>
            <w:r>
              <w:rPr>
                <w:sz w:val="20"/>
              </w:rPr>
              <w:t>I</w:t>
            </w:r>
            <w:r>
              <w:rPr>
                <w:spacing w:val="-3"/>
                <w:sz w:val="20"/>
              </w:rPr>
              <w:t xml:space="preserve"> </w:t>
            </w:r>
            <w:r>
              <w:rPr>
                <w:sz w:val="20"/>
              </w:rPr>
              <w:t>take</w:t>
            </w:r>
            <w:r>
              <w:rPr>
                <w:spacing w:val="-4"/>
                <w:sz w:val="20"/>
              </w:rPr>
              <w:t xml:space="preserve"> </w:t>
            </w:r>
            <w:r>
              <w:rPr>
                <w:sz w:val="20"/>
              </w:rPr>
              <w:t>every</w:t>
            </w:r>
            <w:r>
              <w:rPr>
                <w:spacing w:val="-2"/>
                <w:sz w:val="20"/>
              </w:rPr>
              <w:t xml:space="preserve"> </w:t>
            </w:r>
            <w:r>
              <w:rPr>
                <w:sz w:val="20"/>
              </w:rPr>
              <w:t>opportunity</w:t>
            </w:r>
            <w:r>
              <w:rPr>
                <w:spacing w:val="-2"/>
                <w:sz w:val="20"/>
              </w:rPr>
              <w:t xml:space="preserve"> </w:t>
            </w:r>
            <w:r>
              <w:rPr>
                <w:sz w:val="20"/>
              </w:rPr>
              <w:t>to</w:t>
            </w:r>
            <w:r>
              <w:rPr>
                <w:spacing w:val="-2"/>
                <w:sz w:val="20"/>
              </w:rPr>
              <w:t xml:space="preserve"> </w:t>
            </w:r>
            <w:r>
              <w:rPr>
                <w:sz w:val="20"/>
              </w:rPr>
              <w:t>connect</w:t>
            </w:r>
            <w:r>
              <w:rPr>
                <w:spacing w:val="-2"/>
                <w:sz w:val="20"/>
              </w:rPr>
              <w:t xml:space="preserve"> </w:t>
            </w:r>
            <w:r>
              <w:rPr>
                <w:sz w:val="20"/>
              </w:rPr>
              <w:t>with</w:t>
            </w:r>
            <w:r>
              <w:rPr>
                <w:spacing w:val="-2"/>
                <w:sz w:val="20"/>
              </w:rPr>
              <w:t xml:space="preserve"> </w:t>
            </w:r>
            <w:r>
              <w:rPr>
                <w:sz w:val="20"/>
              </w:rPr>
              <w:t>the</w:t>
            </w:r>
            <w:r>
              <w:rPr>
                <w:spacing w:val="-6"/>
                <w:sz w:val="20"/>
              </w:rPr>
              <w:t xml:space="preserve"> </w:t>
            </w:r>
            <w:r>
              <w:rPr>
                <w:sz w:val="20"/>
              </w:rPr>
              <w:t>client’s</w:t>
            </w:r>
            <w:r>
              <w:rPr>
                <w:spacing w:val="-4"/>
                <w:sz w:val="20"/>
              </w:rPr>
              <w:t xml:space="preserve"> </w:t>
            </w:r>
            <w:r>
              <w:rPr>
                <w:sz w:val="20"/>
              </w:rPr>
              <w:t>history</w:t>
            </w:r>
            <w:r>
              <w:rPr>
                <w:spacing w:val="-2"/>
                <w:sz w:val="20"/>
              </w:rPr>
              <w:t xml:space="preserve"> </w:t>
            </w:r>
            <w:r>
              <w:rPr>
                <w:sz w:val="20"/>
              </w:rPr>
              <w:t>and</w:t>
            </w:r>
            <w:r>
              <w:rPr>
                <w:spacing w:val="-2"/>
                <w:sz w:val="20"/>
              </w:rPr>
              <w:t xml:space="preserve"> </w:t>
            </w:r>
            <w:r>
              <w:rPr>
                <w:sz w:val="20"/>
              </w:rPr>
              <w:t>current</w:t>
            </w:r>
            <w:r>
              <w:rPr>
                <w:spacing w:val="-3"/>
                <w:sz w:val="20"/>
              </w:rPr>
              <w:t xml:space="preserve"> </w:t>
            </w:r>
            <w:r>
              <w:rPr>
                <w:sz w:val="20"/>
              </w:rPr>
              <w:t>situation</w:t>
            </w:r>
            <w:r>
              <w:rPr>
                <w:spacing w:val="-2"/>
                <w:sz w:val="20"/>
              </w:rPr>
              <w:t xml:space="preserve"> </w:t>
            </w:r>
            <w:r>
              <w:rPr>
                <w:sz w:val="20"/>
              </w:rPr>
              <w:t>without excessive self-disclosu</w:t>
            </w:r>
            <w:r>
              <w:rPr>
                <w:sz w:val="20"/>
              </w:rPr>
              <w:t xml:space="preserve">re. Being particularly sensitive to what the client needs and what he fears, I will help support the therapeutic alliance by asking him to share the positive side of his alcohol and drug use, thus acknowledging that, from his perspective, his use serves a </w:t>
            </w:r>
            <w:r>
              <w:rPr>
                <w:sz w:val="20"/>
              </w:rPr>
              <w:t>purpose.</w:t>
            </w:r>
          </w:p>
          <w:p w14:paraId="11EDC525" w14:textId="77777777" w:rsidR="00DB6E1F" w:rsidRDefault="00F666A6">
            <w:pPr>
              <w:pStyle w:val="TableParagraph"/>
              <w:spacing w:before="120"/>
              <w:ind w:right="169"/>
              <w:rPr>
                <w:sz w:val="20"/>
              </w:rPr>
            </w:pPr>
            <w:r>
              <w:rPr>
                <w:sz w:val="20"/>
              </w:rPr>
              <w:t>In a situation such as this, it is not uncommon for me, after completing a thorough assessment, to provide the client with a medical perspective on alcohol dependence. I will talk about changes in brain chemistry, reward systems, issues of toleran</w:t>
            </w:r>
            <w:r>
              <w:rPr>
                <w:sz w:val="20"/>
              </w:rPr>
              <w:t>ce, genetic factors, and different chemical responses to alcohol, as well as other biological processes that support addictive disease, depending on the client’s educational background and medical understanding. I may go into great detail. If the client ha</w:t>
            </w:r>
            <w:r>
              <w:rPr>
                <w:sz w:val="20"/>
              </w:rPr>
              <w:t>s fewer years of education, I will compare addiction</w:t>
            </w:r>
            <w:r>
              <w:rPr>
                <w:spacing w:val="-2"/>
                <w:sz w:val="20"/>
              </w:rPr>
              <w:t xml:space="preserve"> </w:t>
            </w:r>
            <w:r>
              <w:rPr>
                <w:sz w:val="20"/>
              </w:rPr>
              <w:t>to</w:t>
            </w:r>
            <w:r>
              <w:rPr>
                <w:spacing w:val="-2"/>
                <w:sz w:val="20"/>
              </w:rPr>
              <w:t xml:space="preserve"> </w:t>
            </w:r>
            <w:r>
              <w:rPr>
                <w:sz w:val="20"/>
              </w:rPr>
              <w:t>other,</w:t>
            </w:r>
            <w:r>
              <w:rPr>
                <w:spacing w:val="-2"/>
                <w:sz w:val="20"/>
              </w:rPr>
              <w:t xml:space="preserve"> </w:t>
            </w:r>
            <w:r>
              <w:rPr>
                <w:sz w:val="20"/>
              </w:rPr>
              <w:t>more</w:t>
            </w:r>
            <w:r>
              <w:rPr>
                <w:spacing w:val="-4"/>
                <w:sz w:val="20"/>
              </w:rPr>
              <w:t xml:space="preserve"> </w:t>
            </w:r>
            <w:r>
              <w:rPr>
                <w:sz w:val="20"/>
              </w:rPr>
              <w:t>familiar</w:t>
            </w:r>
            <w:r>
              <w:rPr>
                <w:spacing w:val="-3"/>
                <w:sz w:val="20"/>
              </w:rPr>
              <w:t xml:space="preserve"> </w:t>
            </w:r>
            <w:r>
              <w:rPr>
                <w:sz w:val="20"/>
              </w:rPr>
              <w:t>diseases, such</w:t>
            </w:r>
            <w:r>
              <w:rPr>
                <w:spacing w:val="-2"/>
                <w:sz w:val="20"/>
              </w:rPr>
              <w:t xml:space="preserve"> </w:t>
            </w:r>
            <w:r>
              <w:rPr>
                <w:sz w:val="20"/>
              </w:rPr>
              <w:t>as</w:t>
            </w:r>
            <w:r>
              <w:rPr>
                <w:spacing w:val="-4"/>
                <w:sz w:val="20"/>
              </w:rPr>
              <w:t xml:space="preserve"> </w:t>
            </w:r>
            <w:r>
              <w:rPr>
                <w:sz w:val="20"/>
              </w:rPr>
              <w:t>diabetes.</w:t>
            </w:r>
            <w:r>
              <w:rPr>
                <w:spacing w:val="-1"/>
                <w:sz w:val="20"/>
              </w:rPr>
              <w:t xml:space="preserve"> </w:t>
            </w:r>
            <w:r>
              <w:rPr>
                <w:sz w:val="20"/>
              </w:rPr>
              <w:t>As</w:t>
            </w:r>
            <w:r>
              <w:rPr>
                <w:spacing w:val="-4"/>
                <w:sz w:val="20"/>
              </w:rPr>
              <w:t xml:space="preserve"> </w:t>
            </w:r>
            <w:r>
              <w:rPr>
                <w:sz w:val="20"/>
              </w:rPr>
              <w:t>the</w:t>
            </w:r>
            <w:r>
              <w:rPr>
                <w:spacing w:val="-4"/>
                <w:sz w:val="20"/>
              </w:rPr>
              <w:t xml:space="preserve"> </w:t>
            </w:r>
            <w:r>
              <w:rPr>
                <w:sz w:val="20"/>
              </w:rPr>
              <w:t>client</w:t>
            </w:r>
            <w:r>
              <w:rPr>
                <w:spacing w:val="-2"/>
                <w:sz w:val="20"/>
              </w:rPr>
              <w:t xml:space="preserve"> </w:t>
            </w:r>
            <w:r>
              <w:rPr>
                <w:sz w:val="20"/>
              </w:rPr>
              <w:t>asks</w:t>
            </w:r>
            <w:r>
              <w:rPr>
                <w:spacing w:val="-4"/>
                <w:sz w:val="20"/>
              </w:rPr>
              <w:t xml:space="preserve"> </w:t>
            </w:r>
            <w:r>
              <w:rPr>
                <w:sz w:val="20"/>
              </w:rPr>
              <w:t>questions,</w:t>
            </w:r>
            <w:r>
              <w:rPr>
                <w:spacing w:val="-3"/>
                <w:sz w:val="20"/>
              </w:rPr>
              <w:t xml:space="preserve"> </w:t>
            </w:r>
            <w:r>
              <w:rPr>
                <w:sz w:val="20"/>
              </w:rPr>
              <w:t>he</w:t>
            </w:r>
            <w:r>
              <w:rPr>
                <w:spacing w:val="-4"/>
                <w:sz w:val="20"/>
              </w:rPr>
              <w:t xml:space="preserve"> </w:t>
            </w:r>
            <w:r>
              <w:rPr>
                <w:sz w:val="20"/>
              </w:rPr>
              <w:t>sees</w:t>
            </w:r>
            <w:r>
              <w:rPr>
                <w:spacing w:val="-4"/>
                <w:sz w:val="20"/>
              </w:rPr>
              <w:t xml:space="preserve"> </w:t>
            </w:r>
            <w:r>
              <w:rPr>
                <w:sz w:val="20"/>
              </w:rPr>
              <w:t>a</w:t>
            </w:r>
            <w:r>
              <w:rPr>
                <w:spacing w:val="-2"/>
                <w:sz w:val="20"/>
              </w:rPr>
              <w:t xml:space="preserve"> </w:t>
            </w:r>
            <w:r>
              <w:rPr>
                <w:sz w:val="20"/>
              </w:rPr>
              <w:t>new</w:t>
            </w:r>
            <w:r>
              <w:rPr>
                <w:spacing w:val="-4"/>
                <w:sz w:val="20"/>
              </w:rPr>
              <w:t xml:space="preserve"> </w:t>
            </w:r>
            <w:r>
              <w:rPr>
                <w:sz w:val="20"/>
              </w:rPr>
              <w:t>picture of addictive disease and sees himself in that picture. By tailoring the presentation to each client and encouraging questions throughout, I provide him and his family, if present, with important information about the biological factors supporting a</w:t>
            </w:r>
            <w:r>
              <w:rPr>
                <w:sz w:val="20"/>
              </w:rPr>
              <w:t>lcohol dependence. This knowledge often leads to self-diagnosis.</w:t>
            </w:r>
          </w:p>
          <w:p w14:paraId="69B0DFF3" w14:textId="77777777" w:rsidR="00DB6E1F" w:rsidRDefault="00F666A6">
            <w:pPr>
              <w:pStyle w:val="TableParagraph"/>
              <w:spacing w:before="121"/>
              <w:ind w:left="108" w:right="252"/>
              <w:rPr>
                <w:sz w:val="20"/>
              </w:rPr>
            </w:pPr>
            <w:r>
              <w:rPr>
                <w:sz w:val="20"/>
              </w:rPr>
              <w:t>This</w:t>
            </w:r>
            <w:r>
              <w:rPr>
                <w:spacing w:val="-4"/>
                <w:sz w:val="20"/>
              </w:rPr>
              <w:t xml:space="preserve"> </w:t>
            </w:r>
            <w:r>
              <w:rPr>
                <w:sz w:val="20"/>
              </w:rPr>
              <w:t>psychoeducational</w:t>
            </w:r>
            <w:r>
              <w:rPr>
                <w:spacing w:val="-3"/>
                <w:sz w:val="20"/>
              </w:rPr>
              <w:t xml:space="preserve"> </w:t>
            </w:r>
            <w:r>
              <w:rPr>
                <w:sz w:val="20"/>
              </w:rPr>
              <w:t>reframing</w:t>
            </w:r>
            <w:r>
              <w:rPr>
                <w:spacing w:val="-3"/>
                <w:sz w:val="20"/>
              </w:rPr>
              <w:t xml:space="preserve"> </w:t>
            </w:r>
            <w:r>
              <w:rPr>
                <w:sz w:val="20"/>
              </w:rPr>
              <w:t>gives</w:t>
            </w:r>
            <w:r>
              <w:rPr>
                <w:spacing w:val="-4"/>
                <w:sz w:val="20"/>
              </w:rPr>
              <w:t xml:space="preserve"> </w:t>
            </w:r>
            <w:r>
              <w:rPr>
                <w:sz w:val="20"/>
              </w:rPr>
              <w:t>the</w:t>
            </w:r>
            <w:r>
              <w:rPr>
                <w:spacing w:val="-4"/>
                <w:sz w:val="20"/>
              </w:rPr>
              <w:t xml:space="preserve"> </w:t>
            </w:r>
            <w:r>
              <w:rPr>
                <w:sz w:val="20"/>
              </w:rPr>
              <w:t>client</w:t>
            </w:r>
            <w:r>
              <w:rPr>
                <w:spacing w:val="-3"/>
                <w:sz w:val="20"/>
              </w:rPr>
              <w:t xml:space="preserve"> </w:t>
            </w:r>
            <w:r>
              <w:rPr>
                <w:sz w:val="20"/>
              </w:rPr>
              <w:t>a</w:t>
            </w:r>
            <w:r>
              <w:rPr>
                <w:spacing w:val="-3"/>
                <w:sz w:val="20"/>
              </w:rPr>
              <w:t xml:space="preserve"> </w:t>
            </w:r>
            <w:r>
              <w:rPr>
                <w:sz w:val="20"/>
              </w:rPr>
              <w:t>different</w:t>
            </w:r>
            <w:r>
              <w:rPr>
                <w:spacing w:val="-3"/>
                <w:sz w:val="20"/>
              </w:rPr>
              <w:t xml:space="preserve"> </w:t>
            </w:r>
            <w:r>
              <w:rPr>
                <w:sz w:val="20"/>
              </w:rPr>
              <w:t>view</w:t>
            </w:r>
            <w:r>
              <w:rPr>
                <w:spacing w:val="-5"/>
                <w:sz w:val="20"/>
              </w:rPr>
              <w:t xml:space="preserve"> </w:t>
            </w:r>
            <w:r>
              <w:rPr>
                <w:sz w:val="20"/>
              </w:rPr>
              <w:t>on</w:t>
            </w:r>
            <w:r>
              <w:rPr>
                <w:spacing w:val="-2"/>
                <w:sz w:val="20"/>
              </w:rPr>
              <w:t xml:space="preserve"> </w:t>
            </w:r>
            <w:r>
              <w:rPr>
                <w:sz w:val="20"/>
              </w:rPr>
              <w:t>his</w:t>
            </w:r>
            <w:r>
              <w:rPr>
                <w:spacing w:val="-4"/>
                <w:sz w:val="20"/>
              </w:rPr>
              <w:t xml:space="preserve"> </w:t>
            </w:r>
            <w:r>
              <w:rPr>
                <w:sz w:val="20"/>
              </w:rPr>
              <w:t>relationship</w:t>
            </w:r>
            <w:r>
              <w:rPr>
                <w:spacing w:val="-2"/>
                <w:sz w:val="20"/>
              </w:rPr>
              <w:t xml:space="preserve"> </w:t>
            </w:r>
            <w:r>
              <w:rPr>
                <w:sz w:val="20"/>
              </w:rPr>
              <w:t>with</w:t>
            </w:r>
            <w:r>
              <w:rPr>
                <w:spacing w:val="-2"/>
                <w:sz w:val="20"/>
              </w:rPr>
              <w:t xml:space="preserve"> </w:t>
            </w:r>
            <w:r>
              <w:rPr>
                <w:sz w:val="20"/>
              </w:rPr>
              <w:t>alcohol,</w:t>
            </w:r>
            <w:r>
              <w:rPr>
                <w:spacing w:val="-2"/>
                <w:sz w:val="20"/>
              </w:rPr>
              <w:t xml:space="preserve"> </w:t>
            </w:r>
            <w:r>
              <w:rPr>
                <w:sz w:val="20"/>
              </w:rPr>
              <w:t>taking</w:t>
            </w:r>
            <w:r>
              <w:rPr>
                <w:spacing w:val="-3"/>
                <w:sz w:val="20"/>
              </w:rPr>
              <w:t xml:space="preserve"> </w:t>
            </w:r>
            <w:r>
              <w:rPr>
                <w:sz w:val="20"/>
              </w:rPr>
              <w:t>away some of the guilt and shame that was based on him thinking of the disease as a</w:t>
            </w:r>
            <w:r>
              <w:rPr>
                <w:sz w:val="20"/>
              </w:rPr>
              <w:t xml:space="preserve"> moral failing. The very act of self-diagnosis is a movement from Precontemplation to Contemplation. It can be accomplished by a simple cognitive reframe within the context of a thorough and caring assessment completed in a professional, yet genuinely comp</w:t>
            </w:r>
            <w:r>
              <w:rPr>
                <w:sz w:val="20"/>
              </w:rPr>
              <w:t>assionate manner.</w:t>
            </w:r>
          </w:p>
          <w:p w14:paraId="418C605E" w14:textId="77777777" w:rsidR="00DB6E1F" w:rsidRDefault="00F666A6">
            <w:pPr>
              <w:pStyle w:val="TableParagraph"/>
              <w:spacing w:before="121"/>
              <w:ind w:left="108"/>
              <w:rPr>
                <w:i/>
                <w:sz w:val="20"/>
              </w:rPr>
            </w:pPr>
            <w:r>
              <w:rPr>
                <w:i/>
                <w:sz w:val="20"/>
              </w:rPr>
              <w:t>Jeffrey</w:t>
            </w:r>
            <w:r>
              <w:rPr>
                <w:i/>
                <w:spacing w:val="-7"/>
                <w:sz w:val="20"/>
              </w:rPr>
              <w:t xml:space="preserve"> </w:t>
            </w:r>
            <w:r>
              <w:rPr>
                <w:i/>
                <w:sz w:val="20"/>
              </w:rPr>
              <w:t>M.</w:t>
            </w:r>
            <w:r>
              <w:rPr>
                <w:i/>
                <w:spacing w:val="-7"/>
                <w:sz w:val="20"/>
              </w:rPr>
              <w:t xml:space="preserve"> </w:t>
            </w:r>
            <w:r>
              <w:rPr>
                <w:i/>
                <w:sz w:val="20"/>
              </w:rPr>
              <w:t>Georgi,</w:t>
            </w:r>
            <w:r>
              <w:rPr>
                <w:i/>
                <w:spacing w:val="-7"/>
                <w:sz w:val="20"/>
              </w:rPr>
              <w:t xml:space="preserve"> </w:t>
            </w:r>
            <w:r>
              <w:rPr>
                <w:i/>
                <w:sz w:val="20"/>
              </w:rPr>
              <w:t>M.Div.,</w:t>
            </w:r>
            <w:r>
              <w:rPr>
                <w:i/>
                <w:spacing w:val="-6"/>
                <w:sz w:val="20"/>
              </w:rPr>
              <w:t xml:space="preserve"> </w:t>
            </w:r>
            <w:r>
              <w:rPr>
                <w:i/>
                <w:sz w:val="20"/>
              </w:rPr>
              <w:t>Consensus</w:t>
            </w:r>
            <w:r>
              <w:rPr>
                <w:i/>
                <w:spacing w:val="-8"/>
                <w:sz w:val="20"/>
              </w:rPr>
              <w:t xml:space="preserve"> </w:t>
            </w:r>
            <w:r>
              <w:rPr>
                <w:i/>
                <w:sz w:val="20"/>
              </w:rPr>
              <w:t>Panel</w:t>
            </w:r>
            <w:r>
              <w:rPr>
                <w:i/>
                <w:spacing w:val="-7"/>
                <w:sz w:val="20"/>
              </w:rPr>
              <w:t xml:space="preserve"> </w:t>
            </w:r>
            <w:r>
              <w:rPr>
                <w:i/>
                <w:spacing w:val="-2"/>
                <w:sz w:val="20"/>
              </w:rPr>
              <w:t>Member</w:t>
            </w:r>
          </w:p>
        </w:tc>
      </w:tr>
    </w:tbl>
    <w:p w14:paraId="2D8CEE95" w14:textId="77777777" w:rsidR="00DB6E1F" w:rsidRDefault="00DB6E1F">
      <w:pPr>
        <w:pStyle w:val="BodyText"/>
        <w:spacing w:before="3"/>
        <w:rPr>
          <w:sz w:val="8"/>
        </w:rPr>
      </w:pPr>
    </w:p>
    <w:p w14:paraId="12A9A385" w14:textId="77777777" w:rsidR="00DB6E1F" w:rsidRDefault="00F666A6">
      <w:pPr>
        <w:pStyle w:val="BodyText"/>
        <w:spacing w:before="57"/>
        <w:ind w:left="1439" w:right="1444"/>
      </w:pPr>
      <w:r>
        <w:t>Similarly, people who have driven under the influence of alcohol may be surprised to learn how few drinks are needed to meet the definition of legal intoxication and how drinking at these levels affects their responses. Women hoping to have children may no</w:t>
      </w:r>
      <w:r>
        <w:t>t understand how substances can diminish fertility</w:t>
      </w:r>
      <w:r>
        <w:rPr>
          <w:spacing w:val="-4"/>
        </w:rPr>
        <w:t xml:space="preserve"> </w:t>
      </w:r>
      <w:r>
        <w:t>and</w:t>
      </w:r>
      <w:r>
        <w:rPr>
          <w:spacing w:val="-4"/>
        </w:rPr>
        <w:t xml:space="preserve"> </w:t>
      </w:r>
      <w:r>
        <w:t>potentially</w:t>
      </w:r>
      <w:r>
        <w:rPr>
          <w:spacing w:val="-2"/>
        </w:rPr>
        <w:t xml:space="preserve"> </w:t>
      </w:r>
      <w:r>
        <w:t>harm</w:t>
      </w:r>
      <w:r>
        <w:rPr>
          <w:spacing w:val="-2"/>
        </w:rPr>
        <w:t xml:space="preserve"> </w:t>
      </w:r>
      <w:r>
        <w:t>the</w:t>
      </w:r>
      <w:r>
        <w:rPr>
          <w:spacing w:val="-2"/>
        </w:rPr>
        <w:t xml:space="preserve"> </w:t>
      </w:r>
      <w:r>
        <w:t>fetus</w:t>
      </w:r>
      <w:r>
        <w:rPr>
          <w:spacing w:val="-3"/>
        </w:rPr>
        <w:t xml:space="preserve"> </w:t>
      </w:r>
      <w:r>
        <w:t>even</w:t>
      </w:r>
      <w:r>
        <w:rPr>
          <w:spacing w:val="-4"/>
        </w:rPr>
        <w:t xml:space="preserve"> </w:t>
      </w:r>
      <w:r>
        <w:t>before</w:t>
      </w:r>
      <w:r>
        <w:rPr>
          <w:spacing w:val="-3"/>
        </w:rPr>
        <w:t xml:space="preserve"> </w:t>
      </w:r>
      <w:r>
        <w:t>they</w:t>
      </w:r>
      <w:r>
        <w:rPr>
          <w:spacing w:val="-1"/>
        </w:rPr>
        <w:t xml:space="preserve"> </w:t>
      </w:r>
      <w:r>
        <w:t>know</w:t>
      </w:r>
      <w:r>
        <w:rPr>
          <w:spacing w:val="-5"/>
        </w:rPr>
        <w:t xml:space="preserve"> </w:t>
      </w:r>
      <w:r>
        <w:t>they</w:t>
      </w:r>
      <w:r>
        <w:rPr>
          <w:spacing w:val="-2"/>
        </w:rPr>
        <w:t xml:space="preserve"> </w:t>
      </w:r>
      <w:r>
        <w:t>are</w:t>
      </w:r>
      <w:r>
        <w:rPr>
          <w:spacing w:val="-2"/>
        </w:rPr>
        <w:t xml:space="preserve"> </w:t>
      </w:r>
      <w:r>
        <w:t>pregnant.</w:t>
      </w:r>
      <w:r>
        <w:rPr>
          <w:spacing w:val="-3"/>
        </w:rPr>
        <w:t xml:space="preserve"> </w:t>
      </w:r>
      <w:r>
        <w:t>Clients</w:t>
      </w:r>
      <w:r>
        <w:rPr>
          <w:spacing w:val="-5"/>
        </w:rPr>
        <w:t xml:space="preserve"> </w:t>
      </w:r>
      <w:r>
        <w:t>may</w:t>
      </w:r>
      <w:r>
        <w:rPr>
          <w:spacing w:val="-4"/>
        </w:rPr>
        <w:t xml:space="preserve"> </w:t>
      </w:r>
      <w:r>
        <w:t>not</w:t>
      </w:r>
      <w:r>
        <w:rPr>
          <w:spacing w:val="-2"/>
        </w:rPr>
        <w:t xml:space="preserve"> </w:t>
      </w:r>
      <w:r>
        <w:t>realize how alcohol interacts with other medications they are taking for depression or hypertension.</w:t>
      </w:r>
    </w:p>
    <w:p w14:paraId="10F2F38B" w14:textId="77777777" w:rsidR="00DB6E1F" w:rsidRDefault="00DB6E1F">
      <w:pPr>
        <w:pStyle w:val="BodyText"/>
        <w:spacing w:before="3" w:after="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106E7F4" w14:textId="77777777">
        <w:trPr>
          <w:trHeight w:val="2313"/>
        </w:trPr>
        <w:tc>
          <w:tcPr>
            <w:tcW w:w="9350" w:type="dxa"/>
            <w:shd w:val="clear" w:color="auto" w:fill="E7E6E6"/>
          </w:tcPr>
          <w:p w14:paraId="5375E73F" w14:textId="77777777" w:rsidR="00DB6E1F" w:rsidRDefault="00F666A6">
            <w:pPr>
              <w:pStyle w:val="TableParagraph"/>
              <w:spacing w:before="121"/>
              <w:ind w:left="1979"/>
              <w:rPr>
                <w:b/>
                <w:sz w:val="20"/>
              </w:rPr>
            </w:pPr>
            <w:r>
              <w:rPr>
                <w:b/>
                <w:sz w:val="20"/>
              </w:rPr>
              <w:t>Counselor</w:t>
            </w:r>
            <w:r>
              <w:rPr>
                <w:b/>
                <w:spacing w:val="-7"/>
                <w:sz w:val="20"/>
              </w:rPr>
              <w:t xml:space="preserve"> </w:t>
            </w:r>
            <w:r>
              <w:rPr>
                <w:b/>
                <w:sz w:val="20"/>
              </w:rPr>
              <w:t>Note:</w:t>
            </w:r>
            <w:r>
              <w:rPr>
                <w:b/>
                <w:spacing w:val="-6"/>
                <w:sz w:val="20"/>
              </w:rPr>
              <w:t xml:space="preserve"> </w:t>
            </w:r>
            <w:r>
              <w:rPr>
                <w:b/>
                <w:sz w:val="20"/>
              </w:rPr>
              <w:t>Use</w:t>
            </w:r>
            <w:r>
              <w:rPr>
                <w:b/>
                <w:spacing w:val="-7"/>
                <w:sz w:val="20"/>
              </w:rPr>
              <w:t xml:space="preserve"> </w:t>
            </w:r>
            <w:r>
              <w:rPr>
                <w:b/>
                <w:sz w:val="20"/>
              </w:rPr>
              <w:t>Motivational</w:t>
            </w:r>
            <w:r>
              <w:rPr>
                <w:b/>
                <w:spacing w:val="-8"/>
                <w:sz w:val="20"/>
              </w:rPr>
              <w:t xml:space="preserve"> </w:t>
            </w:r>
            <w:r>
              <w:rPr>
                <w:b/>
                <w:sz w:val="20"/>
              </w:rPr>
              <w:t>Language</w:t>
            </w:r>
            <w:r>
              <w:rPr>
                <w:b/>
                <w:spacing w:val="-4"/>
                <w:sz w:val="20"/>
              </w:rPr>
              <w:t xml:space="preserve"> </w:t>
            </w:r>
            <w:r>
              <w:rPr>
                <w:b/>
                <w:sz w:val="20"/>
              </w:rPr>
              <w:t>in</w:t>
            </w:r>
            <w:r>
              <w:rPr>
                <w:b/>
                <w:spacing w:val="-6"/>
                <w:sz w:val="20"/>
              </w:rPr>
              <w:t xml:space="preserve"> </w:t>
            </w:r>
            <w:r>
              <w:rPr>
                <w:b/>
                <w:sz w:val="20"/>
              </w:rPr>
              <w:t>Written</w:t>
            </w:r>
            <w:r>
              <w:rPr>
                <w:b/>
                <w:spacing w:val="-6"/>
                <w:sz w:val="20"/>
              </w:rPr>
              <w:t xml:space="preserve"> </w:t>
            </w:r>
            <w:r>
              <w:rPr>
                <w:b/>
                <w:spacing w:val="-2"/>
                <w:sz w:val="20"/>
              </w:rPr>
              <w:t>Materials</w:t>
            </w:r>
          </w:p>
          <w:p w14:paraId="6D354E3A" w14:textId="77777777" w:rsidR="00DB6E1F" w:rsidRDefault="00F666A6">
            <w:pPr>
              <w:pStyle w:val="TableParagraph"/>
              <w:spacing w:before="118"/>
              <w:ind w:right="169"/>
              <w:rPr>
                <w:sz w:val="20"/>
              </w:rPr>
            </w:pPr>
            <w:r>
              <w:rPr>
                <w:sz w:val="20"/>
              </w:rPr>
              <w:t>Remember</w:t>
            </w:r>
            <w:r>
              <w:rPr>
                <w:spacing w:val="-2"/>
                <w:sz w:val="20"/>
              </w:rPr>
              <w:t xml:space="preserve"> </w:t>
            </w:r>
            <w:r>
              <w:rPr>
                <w:sz w:val="20"/>
              </w:rPr>
              <w:t>that</w:t>
            </w:r>
            <w:r>
              <w:rPr>
                <w:spacing w:val="-2"/>
                <w:sz w:val="20"/>
              </w:rPr>
              <w:t xml:space="preserve"> </w:t>
            </w:r>
            <w:r>
              <w:rPr>
                <w:sz w:val="20"/>
              </w:rPr>
              <w:t>the</w:t>
            </w:r>
            <w:r>
              <w:rPr>
                <w:spacing w:val="-3"/>
                <w:sz w:val="20"/>
              </w:rPr>
              <w:t xml:space="preserve"> </w:t>
            </w:r>
            <w:r>
              <w:rPr>
                <w:sz w:val="20"/>
              </w:rPr>
              <w:t>effective strategies</w:t>
            </w:r>
            <w:r>
              <w:rPr>
                <w:spacing w:val="-1"/>
                <w:sz w:val="20"/>
              </w:rPr>
              <w:t xml:space="preserve"> </w:t>
            </w:r>
            <w:r>
              <w:rPr>
                <w:sz w:val="20"/>
              </w:rPr>
              <w:t>for</w:t>
            </w:r>
            <w:r>
              <w:rPr>
                <w:spacing w:val="-2"/>
                <w:sz w:val="20"/>
              </w:rPr>
              <w:t xml:space="preserve"> </w:t>
            </w:r>
            <w:r>
              <w:rPr>
                <w:sz w:val="20"/>
              </w:rPr>
              <w:t>increasing</w:t>
            </w:r>
            <w:r>
              <w:rPr>
                <w:spacing w:val="-2"/>
                <w:sz w:val="20"/>
              </w:rPr>
              <w:t xml:space="preserve"> </w:t>
            </w:r>
            <w:r>
              <w:rPr>
                <w:sz w:val="20"/>
              </w:rPr>
              <w:t>motivation</w:t>
            </w:r>
            <w:r>
              <w:rPr>
                <w:spacing w:val="-1"/>
                <w:sz w:val="20"/>
              </w:rPr>
              <w:t xml:space="preserve"> </w:t>
            </w:r>
            <w:r>
              <w:rPr>
                <w:sz w:val="20"/>
              </w:rPr>
              <w:t>in</w:t>
            </w:r>
            <w:r>
              <w:rPr>
                <w:spacing w:val="-1"/>
                <w:sz w:val="20"/>
              </w:rPr>
              <w:t xml:space="preserve"> </w:t>
            </w:r>
            <w:r>
              <w:rPr>
                <w:sz w:val="20"/>
              </w:rPr>
              <w:t>face-to-face</w:t>
            </w:r>
            <w:r>
              <w:rPr>
                <w:spacing w:val="-3"/>
                <w:sz w:val="20"/>
              </w:rPr>
              <w:t xml:space="preserve"> </w:t>
            </w:r>
            <w:r>
              <w:rPr>
                <w:sz w:val="20"/>
              </w:rPr>
              <w:t>contacts</w:t>
            </w:r>
            <w:r>
              <w:rPr>
                <w:spacing w:val="-3"/>
                <w:sz w:val="20"/>
              </w:rPr>
              <w:t xml:space="preserve"> </w:t>
            </w:r>
            <w:r>
              <w:rPr>
                <w:sz w:val="20"/>
              </w:rPr>
              <w:t>also</w:t>
            </w:r>
            <w:r>
              <w:rPr>
                <w:spacing w:val="-2"/>
                <w:sz w:val="20"/>
              </w:rPr>
              <w:t xml:space="preserve"> </w:t>
            </w:r>
            <w:r>
              <w:rPr>
                <w:sz w:val="20"/>
              </w:rPr>
              <w:t>apply</w:t>
            </w:r>
            <w:r>
              <w:rPr>
                <w:spacing w:val="-1"/>
                <w:sz w:val="20"/>
              </w:rPr>
              <w:t xml:space="preserve"> </w:t>
            </w:r>
            <w:r>
              <w:rPr>
                <w:sz w:val="20"/>
              </w:rPr>
              <w:t>to</w:t>
            </w:r>
            <w:r>
              <w:rPr>
                <w:spacing w:val="-2"/>
                <w:sz w:val="20"/>
              </w:rPr>
              <w:t xml:space="preserve"> </w:t>
            </w:r>
            <w:r>
              <w:rPr>
                <w:sz w:val="20"/>
              </w:rPr>
              <w:t>written language.</w:t>
            </w:r>
            <w:r>
              <w:rPr>
                <w:spacing w:val="-4"/>
                <w:sz w:val="20"/>
              </w:rPr>
              <w:t xml:space="preserve"> </w:t>
            </w:r>
            <w:r>
              <w:rPr>
                <w:sz w:val="20"/>
              </w:rPr>
              <w:t>Brochures,</w:t>
            </w:r>
            <w:r>
              <w:rPr>
                <w:spacing w:val="-3"/>
                <w:sz w:val="20"/>
              </w:rPr>
              <w:t xml:space="preserve"> </w:t>
            </w:r>
            <w:r>
              <w:rPr>
                <w:sz w:val="20"/>
              </w:rPr>
              <w:t>fliers,</w:t>
            </w:r>
            <w:r>
              <w:rPr>
                <w:spacing w:val="-3"/>
                <w:sz w:val="20"/>
              </w:rPr>
              <w:t xml:space="preserve"> </w:t>
            </w:r>
            <w:r>
              <w:rPr>
                <w:sz w:val="20"/>
              </w:rPr>
              <w:t>educational</w:t>
            </w:r>
            <w:r>
              <w:rPr>
                <w:spacing w:val="-4"/>
                <w:sz w:val="20"/>
              </w:rPr>
              <w:t xml:space="preserve"> </w:t>
            </w:r>
            <w:r>
              <w:rPr>
                <w:sz w:val="20"/>
              </w:rPr>
              <w:t>materials,</w:t>
            </w:r>
            <w:r>
              <w:rPr>
                <w:spacing w:val="-3"/>
                <w:sz w:val="20"/>
              </w:rPr>
              <w:t xml:space="preserve"> </w:t>
            </w:r>
            <w:r>
              <w:rPr>
                <w:sz w:val="20"/>
              </w:rPr>
              <w:t>and</w:t>
            </w:r>
            <w:r>
              <w:rPr>
                <w:spacing w:val="-3"/>
                <w:sz w:val="20"/>
              </w:rPr>
              <w:t xml:space="preserve"> </w:t>
            </w:r>
            <w:r>
              <w:rPr>
                <w:sz w:val="20"/>
              </w:rPr>
              <w:t>advertisements</w:t>
            </w:r>
            <w:r>
              <w:rPr>
                <w:spacing w:val="-3"/>
                <w:sz w:val="20"/>
              </w:rPr>
              <w:t xml:space="preserve"> </w:t>
            </w:r>
            <w:r>
              <w:rPr>
                <w:sz w:val="20"/>
              </w:rPr>
              <w:t>can</w:t>
            </w:r>
            <w:r>
              <w:rPr>
                <w:spacing w:val="-3"/>
                <w:sz w:val="20"/>
              </w:rPr>
              <w:t xml:space="preserve"> </w:t>
            </w:r>
            <w:r>
              <w:rPr>
                <w:sz w:val="20"/>
              </w:rPr>
              <w:t>help</w:t>
            </w:r>
            <w:r>
              <w:rPr>
                <w:spacing w:val="-3"/>
                <w:sz w:val="20"/>
              </w:rPr>
              <w:t xml:space="preserve"> </w:t>
            </w:r>
            <w:r>
              <w:rPr>
                <w:sz w:val="20"/>
              </w:rPr>
              <w:t>a</w:t>
            </w:r>
            <w:r>
              <w:rPr>
                <w:spacing w:val="-4"/>
                <w:sz w:val="20"/>
              </w:rPr>
              <w:t xml:space="preserve"> </w:t>
            </w:r>
            <w:r>
              <w:rPr>
                <w:sz w:val="20"/>
              </w:rPr>
              <w:t>client</w:t>
            </w:r>
            <w:r>
              <w:rPr>
                <w:spacing w:val="-4"/>
                <w:sz w:val="20"/>
              </w:rPr>
              <w:t xml:space="preserve"> </w:t>
            </w:r>
            <w:r>
              <w:rPr>
                <w:sz w:val="20"/>
              </w:rPr>
              <w:t>think</w:t>
            </w:r>
            <w:r>
              <w:rPr>
                <w:spacing w:val="-3"/>
                <w:sz w:val="20"/>
              </w:rPr>
              <w:t xml:space="preserve"> </w:t>
            </w:r>
            <w:r>
              <w:rPr>
                <w:sz w:val="20"/>
              </w:rPr>
              <w:t>differently</w:t>
            </w:r>
            <w:r>
              <w:rPr>
                <w:spacing w:val="-3"/>
                <w:sz w:val="20"/>
              </w:rPr>
              <w:t xml:space="preserve"> </w:t>
            </w:r>
            <w:r>
              <w:rPr>
                <w:sz w:val="20"/>
              </w:rPr>
              <w:t xml:space="preserve">about change. However, judgmental language like “abuse” or “denial” is just as off-putting in writing as it is when spoken in counseling sessions. </w:t>
            </w:r>
            <w:r>
              <w:rPr>
                <w:b/>
                <w:sz w:val="20"/>
              </w:rPr>
              <w:t xml:space="preserve">You should provide all written material in plain language </w:t>
            </w:r>
            <w:r>
              <w:rPr>
                <w:sz w:val="20"/>
              </w:rPr>
              <w:t>with motivation in mind.</w:t>
            </w:r>
            <w:r>
              <w:rPr>
                <w:spacing w:val="-2"/>
                <w:sz w:val="20"/>
              </w:rPr>
              <w:t xml:space="preserve"> </w:t>
            </w:r>
            <w:r>
              <w:rPr>
                <w:sz w:val="20"/>
              </w:rPr>
              <w:t>If</w:t>
            </w:r>
            <w:r>
              <w:rPr>
                <w:spacing w:val="-3"/>
                <w:sz w:val="20"/>
              </w:rPr>
              <w:t xml:space="preserve"> </w:t>
            </w:r>
            <w:r>
              <w:rPr>
                <w:sz w:val="20"/>
              </w:rPr>
              <w:t>your</w:t>
            </w:r>
            <w:r>
              <w:rPr>
                <w:spacing w:val="-2"/>
                <w:sz w:val="20"/>
              </w:rPr>
              <w:t xml:space="preserve"> </w:t>
            </w:r>
            <w:r>
              <w:rPr>
                <w:sz w:val="20"/>
              </w:rPr>
              <w:t>brochure</w:t>
            </w:r>
            <w:r>
              <w:rPr>
                <w:spacing w:val="-3"/>
                <w:sz w:val="20"/>
              </w:rPr>
              <w:t xml:space="preserve"> </w:t>
            </w:r>
            <w:r>
              <w:rPr>
                <w:sz w:val="20"/>
              </w:rPr>
              <w:t>starts</w:t>
            </w:r>
            <w:r>
              <w:rPr>
                <w:spacing w:val="-1"/>
                <w:sz w:val="20"/>
              </w:rPr>
              <w:t xml:space="preserve"> </w:t>
            </w:r>
            <w:r>
              <w:rPr>
                <w:sz w:val="20"/>
              </w:rPr>
              <w:t>with</w:t>
            </w:r>
            <w:r>
              <w:rPr>
                <w:spacing w:val="-1"/>
                <w:sz w:val="20"/>
              </w:rPr>
              <w:t xml:space="preserve"> </w:t>
            </w:r>
            <w:r>
              <w:rPr>
                <w:sz w:val="20"/>
              </w:rPr>
              <w:t>a</w:t>
            </w:r>
            <w:r>
              <w:rPr>
                <w:spacing w:val="-2"/>
                <w:sz w:val="20"/>
              </w:rPr>
              <w:t xml:space="preserve"> </w:t>
            </w:r>
            <w:r>
              <w:rPr>
                <w:sz w:val="20"/>
              </w:rPr>
              <w:t>long</w:t>
            </w:r>
            <w:r>
              <w:rPr>
                <w:spacing w:val="-2"/>
                <w:sz w:val="20"/>
              </w:rPr>
              <w:t xml:space="preserve"> </w:t>
            </w:r>
            <w:r>
              <w:rPr>
                <w:sz w:val="20"/>
              </w:rPr>
              <w:t>list</w:t>
            </w:r>
            <w:r>
              <w:rPr>
                <w:spacing w:val="-2"/>
                <w:sz w:val="20"/>
              </w:rPr>
              <w:t xml:space="preserve"> </w:t>
            </w:r>
            <w:r>
              <w:rPr>
                <w:sz w:val="20"/>
              </w:rPr>
              <w:t>of</w:t>
            </w:r>
            <w:r>
              <w:rPr>
                <w:spacing w:val="-3"/>
                <w:sz w:val="20"/>
              </w:rPr>
              <w:t xml:space="preserve"> </w:t>
            </w:r>
            <w:r>
              <w:rPr>
                <w:sz w:val="20"/>
              </w:rPr>
              <w:t>rules,</w:t>
            </w:r>
            <w:r>
              <w:rPr>
                <w:spacing w:val="-1"/>
                <w:sz w:val="20"/>
              </w:rPr>
              <w:t xml:space="preserve"> </w:t>
            </w:r>
            <w:r>
              <w:rPr>
                <w:sz w:val="20"/>
              </w:rPr>
              <w:t>the</w:t>
            </w:r>
            <w:r>
              <w:rPr>
                <w:spacing w:val="-3"/>
                <w:sz w:val="20"/>
              </w:rPr>
              <w:t xml:space="preserve"> </w:t>
            </w:r>
            <w:r>
              <w:rPr>
                <w:sz w:val="20"/>
              </w:rPr>
              <w:t>client</w:t>
            </w:r>
            <w:r>
              <w:rPr>
                <w:spacing w:val="-2"/>
                <w:sz w:val="20"/>
              </w:rPr>
              <w:t xml:space="preserve"> </w:t>
            </w:r>
            <w:r>
              <w:rPr>
                <w:sz w:val="20"/>
              </w:rPr>
              <w:t>may</w:t>
            </w:r>
            <w:r>
              <w:rPr>
                <w:spacing w:val="-1"/>
                <w:sz w:val="20"/>
              </w:rPr>
              <w:t xml:space="preserve"> </w:t>
            </w:r>
            <w:r>
              <w:rPr>
                <w:sz w:val="20"/>
              </w:rPr>
              <w:t>be</w:t>
            </w:r>
            <w:r>
              <w:rPr>
                <w:spacing w:val="-3"/>
                <w:sz w:val="20"/>
              </w:rPr>
              <w:t xml:space="preserve"> </w:t>
            </w:r>
            <w:r>
              <w:rPr>
                <w:sz w:val="20"/>
              </w:rPr>
              <w:t>scared</w:t>
            </w:r>
            <w:r>
              <w:rPr>
                <w:spacing w:val="-1"/>
                <w:sz w:val="20"/>
              </w:rPr>
              <w:t xml:space="preserve"> </w:t>
            </w:r>
            <w:r>
              <w:rPr>
                <w:sz w:val="20"/>
              </w:rPr>
              <w:t>away</w:t>
            </w:r>
            <w:r>
              <w:rPr>
                <w:spacing w:val="-1"/>
                <w:sz w:val="20"/>
              </w:rPr>
              <w:t xml:space="preserve"> </w:t>
            </w:r>
            <w:r>
              <w:rPr>
                <w:sz w:val="20"/>
              </w:rPr>
              <w:t>rather</w:t>
            </w:r>
            <w:r>
              <w:rPr>
                <w:spacing w:val="-2"/>
                <w:sz w:val="20"/>
              </w:rPr>
              <w:t xml:space="preserve"> </w:t>
            </w:r>
            <w:r>
              <w:rPr>
                <w:sz w:val="20"/>
              </w:rPr>
              <w:t>than</w:t>
            </w:r>
            <w:r>
              <w:rPr>
                <w:spacing w:val="-1"/>
                <w:sz w:val="20"/>
              </w:rPr>
              <w:t xml:space="preserve"> </w:t>
            </w:r>
            <w:r>
              <w:rPr>
                <w:sz w:val="20"/>
              </w:rPr>
              <w:t>encouraged</w:t>
            </w:r>
            <w:r>
              <w:rPr>
                <w:spacing w:val="-1"/>
                <w:sz w:val="20"/>
              </w:rPr>
              <w:t xml:space="preserve"> </w:t>
            </w:r>
            <w:r>
              <w:rPr>
                <w:sz w:val="20"/>
              </w:rPr>
              <w:t xml:space="preserve">to begin treatment. </w:t>
            </w:r>
            <w:r>
              <w:rPr>
                <w:b/>
                <w:sz w:val="20"/>
              </w:rPr>
              <w:t>Review written materials from the viewpoint of the client</w:t>
            </w:r>
            <w:r>
              <w:rPr>
                <w:sz w:val="20"/>
              </w:rPr>
              <w:t xml:space="preserve">, and keep in mind your role as a partner in a change process for which the client </w:t>
            </w:r>
            <w:r>
              <w:rPr>
                <w:sz w:val="20"/>
              </w:rPr>
              <w:t>must take ultimate responsibility.</w:t>
            </w:r>
          </w:p>
        </w:tc>
      </w:tr>
    </w:tbl>
    <w:p w14:paraId="70FD503B" w14:textId="77777777" w:rsidR="00DB6E1F" w:rsidRDefault="00F666A6">
      <w:pPr>
        <w:pStyle w:val="Heading3"/>
        <w:spacing w:before="2"/>
      </w:pPr>
      <w:bookmarkStart w:id="137" w:name="Evoke_Concern_About_the_Client’s_Substan"/>
      <w:bookmarkEnd w:id="137"/>
      <w:r>
        <w:t>Evoke</w:t>
      </w:r>
      <w:r>
        <w:rPr>
          <w:spacing w:val="-8"/>
        </w:rPr>
        <w:t xml:space="preserve"> </w:t>
      </w:r>
      <w:r>
        <w:t>Concern</w:t>
      </w:r>
      <w:r>
        <w:rPr>
          <w:spacing w:val="-7"/>
        </w:rPr>
        <w:t xml:space="preserve"> </w:t>
      </w:r>
      <w:r>
        <w:t>About</w:t>
      </w:r>
      <w:r>
        <w:rPr>
          <w:spacing w:val="-8"/>
        </w:rPr>
        <w:t xml:space="preserve"> </w:t>
      </w:r>
      <w:r>
        <w:t>the</w:t>
      </w:r>
      <w:r>
        <w:rPr>
          <w:spacing w:val="-8"/>
        </w:rPr>
        <w:t xml:space="preserve"> </w:t>
      </w:r>
      <w:r>
        <w:t>Client’s</w:t>
      </w:r>
      <w:r>
        <w:rPr>
          <w:spacing w:val="-9"/>
        </w:rPr>
        <w:t xml:space="preserve"> </w:t>
      </w:r>
      <w:r>
        <w:t>Substance</w:t>
      </w:r>
      <w:r>
        <w:rPr>
          <w:spacing w:val="-8"/>
        </w:rPr>
        <w:t xml:space="preserve"> </w:t>
      </w:r>
      <w:r>
        <w:rPr>
          <w:spacing w:val="-5"/>
        </w:rPr>
        <w:t>Use</w:t>
      </w:r>
    </w:p>
    <w:p w14:paraId="40FBEA69" w14:textId="77777777" w:rsidR="00DB6E1F" w:rsidRDefault="00DB6E1F">
      <w:pPr>
        <w:sectPr w:rsidR="00DB6E1F">
          <w:pgSz w:w="12240" w:h="15840"/>
          <w:pgMar w:top="1200" w:right="0" w:bottom="780" w:left="0" w:header="763" w:footer="585" w:gutter="0"/>
          <w:cols w:space="720"/>
        </w:sectPr>
      </w:pPr>
    </w:p>
    <w:p w14:paraId="1B5C851B" w14:textId="77777777" w:rsidR="00DB6E1F" w:rsidRDefault="00DB6E1F">
      <w:pPr>
        <w:pStyle w:val="BodyText"/>
        <w:spacing w:before="8"/>
        <w:rPr>
          <w:b/>
          <w:sz w:val="14"/>
        </w:rPr>
      </w:pPr>
    </w:p>
    <w:p w14:paraId="476B10CF" w14:textId="77777777" w:rsidR="00DB6E1F" w:rsidRDefault="00F666A6">
      <w:pPr>
        <w:spacing w:before="56"/>
        <w:ind w:left="1440" w:right="1491"/>
      </w:pPr>
      <w:r>
        <w:rPr>
          <w:b/>
        </w:rPr>
        <w:t xml:space="preserve">You can help move clients from Precontemplation to Contemplation by raising doubts about the harmlessness of their substance use and concerns about their substance use behaviors. </w:t>
      </w:r>
      <w:r>
        <w:t>As clients move beyond the Precontemplation stage and become aware of or ackn</w:t>
      </w:r>
      <w:r>
        <w:t>owledge some problems in relation</w:t>
      </w:r>
      <w:r>
        <w:rPr>
          <w:spacing w:val="-5"/>
        </w:rPr>
        <w:t xml:space="preserve"> </w:t>
      </w:r>
      <w:r>
        <w:t>to</w:t>
      </w:r>
      <w:r>
        <w:rPr>
          <w:spacing w:val="-3"/>
        </w:rPr>
        <w:t xml:space="preserve"> </w:t>
      </w:r>
      <w:r>
        <w:t>their</w:t>
      </w:r>
      <w:r>
        <w:rPr>
          <w:spacing w:val="-5"/>
        </w:rPr>
        <w:t xml:space="preserve"> </w:t>
      </w:r>
      <w:r>
        <w:t>substance</w:t>
      </w:r>
      <w:r>
        <w:rPr>
          <w:spacing w:val="-6"/>
        </w:rPr>
        <w:t xml:space="preserve"> </w:t>
      </w:r>
      <w:r>
        <w:t>use,</w:t>
      </w:r>
      <w:r>
        <w:rPr>
          <w:spacing w:val="-2"/>
        </w:rPr>
        <w:t xml:space="preserve"> </w:t>
      </w:r>
      <w:r>
        <w:t>change</w:t>
      </w:r>
      <w:r>
        <w:rPr>
          <w:spacing w:val="-1"/>
        </w:rPr>
        <w:t xml:space="preserve"> </w:t>
      </w:r>
      <w:r>
        <w:t>becomes</w:t>
      </w:r>
      <w:r>
        <w:rPr>
          <w:spacing w:val="-2"/>
        </w:rPr>
        <w:t xml:space="preserve"> </w:t>
      </w:r>
      <w:r>
        <w:t>increasingly</w:t>
      </w:r>
      <w:r>
        <w:rPr>
          <w:spacing w:val="-1"/>
        </w:rPr>
        <w:t xml:space="preserve"> </w:t>
      </w:r>
      <w:r>
        <w:t>possible.</w:t>
      </w:r>
      <w:r>
        <w:rPr>
          <w:spacing w:val="-3"/>
        </w:rPr>
        <w:t xml:space="preserve"> </w:t>
      </w:r>
      <w:r>
        <w:t>Such</w:t>
      </w:r>
      <w:r>
        <w:rPr>
          <w:spacing w:val="-3"/>
        </w:rPr>
        <w:t xml:space="preserve"> </w:t>
      </w:r>
      <w:r>
        <w:t>clients</w:t>
      </w:r>
      <w:r>
        <w:rPr>
          <w:spacing w:val="-2"/>
        </w:rPr>
        <w:t xml:space="preserve"> </w:t>
      </w:r>
      <w:r>
        <w:t>become</w:t>
      </w:r>
      <w:r>
        <w:rPr>
          <w:spacing w:val="-4"/>
        </w:rPr>
        <w:t xml:space="preserve"> </w:t>
      </w:r>
      <w:r>
        <w:t>more</w:t>
      </w:r>
      <w:r>
        <w:rPr>
          <w:spacing w:val="-1"/>
        </w:rPr>
        <w:t xml:space="preserve"> </w:t>
      </w:r>
      <w:r>
        <w:t>aware of conflict and feel greater ambivalence (Miller &amp; Rollnick, 2013).</w:t>
      </w:r>
    </w:p>
    <w:p w14:paraId="7170B149" w14:textId="77777777" w:rsidR="00DB6E1F" w:rsidRDefault="00F666A6">
      <w:pPr>
        <w:pStyle w:val="Heading5"/>
        <w:ind w:left="1439" w:right="1491"/>
        <w:rPr>
          <w:b w:val="0"/>
        </w:rPr>
      </w:pPr>
      <w:r>
        <w:t>One</w:t>
      </w:r>
      <w:r>
        <w:rPr>
          <w:spacing w:val="-3"/>
        </w:rPr>
        <w:t xml:space="preserve"> </w:t>
      </w:r>
      <w:r>
        <w:t>way</w:t>
      </w:r>
      <w:r>
        <w:rPr>
          <w:spacing w:val="-1"/>
        </w:rPr>
        <w:t xml:space="preserve"> </w:t>
      </w:r>
      <w:r>
        <w:t>to</w:t>
      </w:r>
      <w:r>
        <w:rPr>
          <w:spacing w:val="-5"/>
        </w:rPr>
        <w:t xml:space="preserve"> </w:t>
      </w:r>
      <w:r>
        <w:t>raise</w:t>
      </w:r>
      <w:r>
        <w:rPr>
          <w:spacing w:val="-2"/>
        </w:rPr>
        <w:t xml:space="preserve"> </w:t>
      </w:r>
      <w:r>
        <w:t>concern</w:t>
      </w:r>
      <w:r>
        <w:rPr>
          <w:spacing w:val="-3"/>
        </w:rPr>
        <w:t xml:space="preserve"> </w:t>
      </w:r>
      <w:r>
        <w:t>in</w:t>
      </w:r>
      <w:r>
        <w:rPr>
          <w:spacing w:val="-3"/>
        </w:rPr>
        <w:t xml:space="preserve"> </w:t>
      </w:r>
      <w:r>
        <w:t>the</w:t>
      </w:r>
      <w:r>
        <w:rPr>
          <w:spacing w:val="-3"/>
        </w:rPr>
        <w:t xml:space="preserve"> </w:t>
      </w:r>
      <w:r>
        <w:t>client</w:t>
      </w:r>
      <w:r>
        <w:rPr>
          <w:spacing w:val="-2"/>
        </w:rPr>
        <w:t xml:space="preserve"> </w:t>
      </w:r>
      <w:r>
        <w:t>is</w:t>
      </w:r>
      <w:r>
        <w:rPr>
          <w:spacing w:val="-1"/>
        </w:rPr>
        <w:t xml:space="preserve"> </w:t>
      </w:r>
      <w:r>
        <w:t>to</w:t>
      </w:r>
      <w:r>
        <w:rPr>
          <w:spacing w:val="-3"/>
        </w:rPr>
        <w:t xml:space="preserve"> </w:t>
      </w:r>
      <w:r>
        <w:t>explore</w:t>
      </w:r>
      <w:r>
        <w:rPr>
          <w:spacing w:val="-3"/>
        </w:rPr>
        <w:t xml:space="preserve"> </w:t>
      </w:r>
      <w:r>
        <w:t>the</w:t>
      </w:r>
      <w:r>
        <w:rPr>
          <w:spacing w:val="-2"/>
        </w:rPr>
        <w:t xml:space="preserve"> </w:t>
      </w:r>
      <w:r>
        <w:t>“pos</w:t>
      </w:r>
      <w:r>
        <w:t>itive”</w:t>
      </w:r>
      <w:r>
        <w:rPr>
          <w:spacing w:val="-2"/>
        </w:rPr>
        <w:t xml:space="preserve"> </w:t>
      </w:r>
      <w:r>
        <w:t>and</w:t>
      </w:r>
      <w:r>
        <w:rPr>
          <w:spacing w:val="-3"/>
        </w:rPr>
        <w:t xml:space="preserve"> </w:t>
      </w:r>
      <w:r>
        <w:t>“less-positive”</w:t>
      </w:r>
      <w:r>
        <w:rPr>
          <w:spacing w:val="-4"/>
        </w:rPr>
        <w:t xml:space="preserve"> </w:t>
      </w:r>
      <w:r>
        <w:t>aspects</w:t>
      </w:r>
      <w:r>
        <w:rPr>
          <w:spacing w:val="-1"/>
        </w:rPr>
        <w:t xml:space="preserve"> </w:t>
      </w:r>
      <w:r>
        <w:t>of</w:t>
      </w:r>
      <w:r>
        <w:rPr>
          <w:spacing w:val="-2"/>
        </w:rPr>
        <w:t xml:space="preserve"> </w:t>
      </w:r>
      <w:r>
        <w:t>his</w:t>
      </w:r>
      <w:r>
        <w:rPr>
          <w:spacing w:val="-1"/>
        </w:rPr>
        <w:t xml:space="preserve"> </w:t>
      </w:r>
      <w:r>
        <w:t xml:space="preserve">or her substance use. </w:t>
      </w:r>
      <w:r>
        <w:rPr>
          <w:b w:val="0"/>
        </w:rPr>
        <w:t>For example:</w:t>
      </w:r>
    </w:p>
    <w:p w14:paraId="0B4E206E" w14:textId="77777777" w:rsidR="00DB6E1F" w:rsidRDefault="00F666A6">
      <w:pPr>
        <w:pStyle w:val="ListParagraph"/>
        <w:numPr>
          <w:ilvl w:val="0"/>
          <w:numId w:val="92"/>
        </w:numPr>
        <w:tabs>
          <w:tab w:val="left" w:pos="1799"/>
          <w:tab w:val="left" w:pos="1800"/>
        </w:tabs>
        <w:spacing w:before="61"/>
        <w:ind w:left="1799" w:right="1741"/>
        <w:rPr>
          <w:rFonts w:ascii="Symbol" w:hAnsi="Symbol"/>
        </w:rPr>
      </w:pPr>
      <w:r>
        <w:t>Start</w:t>
      </w:r>
      <w:r>
        <w:rPr>
          <w:spacing w:val="-1"/>
        </w:rPr>
        <w:t xml:space="preserve"> </w:t>
      </w:r>
      <w:r>
        <w:t>with</w:t>
      </w:r>
      <w:r>
        <w:rPr>
          <w:spacing w:val="-3"/>
        </w:rPr>
        <w:t xml:space="preserve"> </w:t>
      </w:r>
      <w:r>
        <w:t>the</w:t>
      </w:r>
      <w:r>
        <w:rPr>
          <w:spacing w:val="-4"/>
        </w:rPr>
        <w:t xml:space="preserve"> </w:t>
      </w:r>
      <w:r>
        <w:t>client’s</w:t>
      </w:r>
      <w:r>
        <w:rPr>
          <w:spacing w:val="-5"/>
        </w:rPr>
        <w:t xml:space="preserve"> </w:t>
      </w:r>
      <w:r>
        <w:t>views</w:t>
      </w:r>
      <w:r>
        <w:rPr>
          <w:spacing w:val="-2"/>
        </w:rPr>
        <w:t xml:space="preserve"> </w:t>
      </w:r>
      <w:r>
        <w:t>on</w:t>
      </w:r>
      <w:r>
        <w:rPr>
          <w:spacing w:val="-2"/>
        </w:rPr>
        <w:t xml:space="preserve"> </w:t>
      </w:r>
      <w:r>
        <w:t>possible</w:t>
      </w:r>
      <w:r>
        <w:rPr>
          <w:spacing w:val="-4"/>
        </w:rPr>
        <w:t xml:space="preserve"> </w:t>
      </w:r>
      <w:r>
        <w:t>“benefits”</w:t>
      </w:r>
      <w:r>
        <w:rPr>
          <w:spacing w:val="-1"/>
        </w:rPr>
        <w:t xml:space="preserve"> </w:t>
      </w:r>
      <w:r>
        <w:t>of</w:t>
      </w:r>
      <w:r>
        <w:rPr>
          <w:spacing w:val="-7"/>
        </w:rPr>
        <w:t xml:space="preserve"> </w:t>
      </w:r>
      <w:r>
        <w:t>alcohol</w:t>
      </w:r>
      <w:r>
        <w:rPr>
          <w:spacing w:val="-4"/>
        </w:rPr>
        <w:t xml:space="preserve"> </w:t>
      </w:r>
      <w:r>
        <w:t>or</w:t>
      </w:r>
      <w:r>
        <w:rPr>
          <w:spacing w:val="-4"/>
        </w:rPr>
        <w:t xml:space="preserve"> </w:t>
      </w:r>
      <w:r>
        <w:t>drugs</w:t>
      </w:r>
      <w:r>
        <w:rPr>
          <w:spacing w:val="-2"/>
        </w:rPr>
        <w:t xml:space="preserve"> </w:t>
      </w:r>
      <w:r>
        <w:t>and</w:t>
      </w:r>
      <w:r>
        <w:rPr>
          <w:spacing w:val="-3"/>
        </w:rPr>
        <w:t xml:space="preserve"> </w:t>
      </w:r>
      <w:r>
        <w:t>move</w:t>
      </w:r>
      <w:r>
        <w:rPr>
          <w:spacing w:val="-4"/>
        </w:rPr>
        <w:t xml:space="preserve"> </w:t>
      </w:r>
      <w:r>
        <w:t>to</w:t>
      </w:r>
      <w:r>
        <w:rPr>
          <w:spacing w:val="-1"/>
        </w:rPr>
        <w:t xml:space="preserve"> </w:t>
      </w:r>
      <w:r>
        <w:t xml:space="preserve">less-beneficial aspects rather than simply ask about </w:t>
      </w:r>
      <w:r>
        <w:rPr>
          <w:b/>
        </w:rPr>
        <w:t xml:space="preserve">bad things </w:t>
      </w:r>
      <w:r>
        <w:t xml:space="preserve">or </w:t>
      </w:r>
      <w:r>
        <w:rPr>
          <w:b/>
        </w:rPr>
        <w:t xml:space="preserve">problems </w:t>
      </w:r>
      <w:r>
        <w:t>associated with substance use.</w:t>
      </w:r>
    </w:p>
    <w:p w14:paraId="4F3EC672" w14:textId="77777777" w:rsidR="00DB6E1F" w:rsidRDefault="00F666A6">
      <w:pPr>
        <w:pStyle w:val="ListParagraph"/>
        <w:numPr>
          <w:ilvl w:val="0"/>
          <w:numId w:val="92"/>
        </w:numPr>
        <w:tabs>
          <w:tab w:val="left" w:pos="1799"/>
          <w:tab w:val="left" w:pos="1800"/>
        </w:tabs>
        <w:spacing w:before="58"/>
        <w:ind w:left="1799" w:right="1670" w:hanging="360"/>
        <w:rPr>
          <w:rFonts w:ascii="Symbol" w:hAnsi="Symbol"/>
        </w:rPr>
      </w:pPr>
      <w:r>
        <w:t>Do</w:t>
      </w:r>
      <w:r>
        <w:rPr>
          <w:spacing w:val="-3"/>
        </w:rPr>
        <w:t xml:space="preserve"> </w:t>
      </w:r>
      <w:r>
        <w:t>not</w:t>
      </w:r>
      <w:r>
        <w:rPr>
          <w:spacing w:val="-4"/>
        </w:rPr>
        <w:t xml:space="preserve"> </w:t>
      </w:r>
      <w:r>
        <w:t>focus</w:t>
      </w:r>
      <w:r>
        <w:rPr>
          <w:spacing w:val="-2"/>
        </w:rPr>
        <w:t xml:space="preserve"> </w:t>
      </w:r>
      <w:r>
        <w:t>only</w:t>
      </w:r>
      <w:r>
        <w:rPr>
          <w:spacing w:val="-3"/>
        </w:rPr>
        <w:t xml:space="preserve"> </w:t>
      </w:r>
      <w:r>
        <w:t>on</w:t>
      </w:r>
      <w:r>
        <w:rPr>
          <w:spacing w:val="-3"/>
        </w:rPr>
        <w:t xml:space="preserve"> </w:t>
      </w:r>
      <w:r>
        <w:t>negative</w:t>
      </w:r>
      <w:r>
        <w:rPr>
          <w:spacing w:val="-1"/>
        </w:rPr>
        <w:t xml:space="preserve"> </w:t>
      </w:r>
      <w:r>
        <w:t>aspects</w:t>
      </w:r>
      <w:r>
        <w:rPr>
          <w:spacing w:val="-4"/>
        </w:rPr>
        <w:t xml:space="preserve"> </w:t>
      </w:r>
      <w:r>
        <w:t>of</w:t>
      </w:r>
      <w:r>
        <w:rPr>
          <w:spacing w:val="-4"/>
        </w:rPr>
        <w:t xml:space="preserve"> </w:t>
      </w:r>
      <w:r>
        <w:t>substance</w:t>
      </w:r>
      <w:r>
        <w:rPr>
          <w:spacing w:val="-4"/>
        </w:rPr>
        <w:t xml:space="preserve"> </w:t>
      </w:r>
      <w:r>
        <w:t>use</w:t>
      </w:r>
      <w:r>
        <w:rPr>
          <w:spacing w:val="-1"/>
        </w:rPr>
        <w:t xml:space="preserve"> </w:t>
      </w:r>
      <w:r>
        <w:t>because</w:t>
      </w:r>
      <w:r>
        <w:rPr>
          <w:spacing w:val="-1"/>
        </w:rPr>
        <w:t xml:space="preserve"> </w:t>
      </w:r>
      <w:r>
        <w:t>the</w:t>
      </w:r>
      <w:r>
        <w:rPr>
          <w:spacing w:val="-4"/>
        </w:rPr>
        <w:t xml:space="preserve"> </w:t>
      </w:r>
      <w:r>
        <w:t>client</w:t>
      </w:r>
      <w:r>
        <w:rPr>
          <w:spacing w:val="-4"/>
        </w:rPr>
        <w:t xml:space="preserve"> </w:t>
      </w:r>
      <w:r>
        <w:t>could</w:t>
      </w:r>
      <w:r>
        <w:rPr>
          <w:spacing w:val="-4"/>
        </w:rPr>
        <w:t xml:space="preserve"> </w:t>
      </w:r>
      <w:r>
        <w:t>end</w:t>
      </w:r>
      <w:r>
        <w:rPr>
          <w:spacing w:val="-3"/>
        </w:rPr>
        <w:t xml:space="preserve"> </w:t>
      </w:r>
      <w:r>
        <w:t>up</w:t>
      </w:r>
      <w:r>
        <w:rPr>
          <w:spacing w:val="-3"/>
        </w:rPr>
        <w:t xml:space="preserve"> </w:t>
      </w:r>
      <w:r>
        <w:t>defending his or her substance use while you push for unwanted change.</w:t>
      </w:r>
    </w:p>
    <w:p w14:paraId="364FDCE1" w14:textId="77777777" w:rsidR="00DB6E1F" w:rsidRDefault="00F666A6">
      <w:pPr>
        <w:pStyle w:val="ListParagraph"/>
        <w:numPr>
          <w:ilvl w:val="0"/>
          <w:numId w:val="92"/>
        </w:numPr>
        <w:tabs>
          <w:tab w:val="left" w:pos="1798"/>
          <w:tab w:val="left" w:pos="1800"/>
        </w:tabs>
        <w:spacing w:before="61"/>
        <w:ind w:left="1799" w:right="1573"/>
        <w:rPr>
          <w:rFonts w:ascii="Symbol" w:hAnsi="Symbol"/>
        </w:rPr>
      </w:pPr>
      <w:r>
        <w:t>Avoid</w:t>
      </w:r>
      <w:r>
        <w:rPr>
          <w:spacing w:val="-2"/>
        </w:rPr>
        <w:t xml:space="preserve"> </w:t>
      </w:r>
      <w:r>
        <w:t>spending</w:t>
      </w:r>
      <w:r>
        <w:rPr>
          <w:spacing w:val="-1"/>
        </w:rPr>
        <w:t xml:space="preserve"> </w:t>
      </w:r>
      <w:r>
        <w:t>too</w:t>
      </w:r>
      <w:r>
        <w:rPr>
          <w:spacing w:val="-2"/>
        </w:rPr>
        <w:t xml:space="preserve"> </w:t>
      </w:r>
      <w:r>
        <w:t>much</w:t>
      </w:r>
      <w:r>
        <w:rPr>
          <w:spacing w:val="-2"/>
        </w:rPr>
        <w:t xml:space="preserve"> </w:t>
      </w:r>
      <w:r>
        <w:t>time</w:t>
      </w:r>
      <w:r>
        <w:rPr>
          <w:spacing w:val="-3"/>
        </w:rPr>
        <w:t xml:space="preserve"> </w:t>
      </w:r>
      <w:r>
        <w:t>exploring</w:t>
      </w:r>
      <w:r>
        <w:rPr>
          <w:spacing w:val="-2"/>
        </w:rPr>
        <w:t xml:space="preserve"> </w:t>
      </w:r>
      <w:r>
        <w:t>the</w:t>
      </w:r>
      <w:r>
        <w:rPr>
          <w:spacing w:val="-3"/>
        </w:rPr>
        <w:t xml:space="preserve"> </w:t>
      </w:r>
      <w:r>
        <w:t>“good” things</w:t>
      </w:r>
      <w:r>
        <w:rPr>
          <w:spacing w:val="-1"/>
        </w:rPr>
        <w:t xml:space="preserve"> </w:t>
      </w:r>
      <w:r>
        <w:t>about substance use</w:t>
      </w:r>
      <w:r>
        <w:rPr>
          <w:spacing w:val="-3"/>
        </w:rPr>
        <w:t xml:space="preserve"> </w:t>
      </w:r>
      <w:r>
        <w:t>that may reinforce sustain talk. Higher levels of client sustain talk is associated with lower motivation to</w:t>
      </w:r>
      <w:r>
        <w:t xml:space="preserve"> change and negative</w:t>
      </w:r>
      <w:r>
        <w:rPr>
          <w:spacing w:val="-5"/>
        </w:rPr>
        <w:t xml:space="preserve"> </w:t>
      </w:r>
      <w:r>
        <w:t>treatment</w:t>
      </w:r>
      <w:r>
        <w:rPr>
          <w:spacing w:val="-5"/>
        </w:rPr>
        <w:t xml:space="preserve"> </w:t>
      </w:r>
      <w:r>
        <w:t>outcomes</w:t>
      </w:r>
      <w:r>
        <w:rPr>
          <w:spacing w:val="-5"/>
        </w:rPr>
        <w:t xml:space="preserve"> </w:t>
      </w:r>
      <w:r>
        <w:t>(Lindqvist,</w:t>
      </w:r>
      <w:r>
        <w:rPr>
          <w:spacing w:val="-3"/>
        </w:rPr>
        <w:t xml:space="preserve"> </w:t>
      </w:r>
      <w:r>
        <w:t>Forsberg,</w:t>
      </w:r>
      <w:r>
        <w:rPr>
          <w:spacing w:val="-5"/>
        </w:rPr>
        <w:t xml:space="preserve"> </w:t>
      </w:r>
      <w:r>
        <w:t>Enebrink,</w:t>
      </w:r>
      <w:r>
        <w:rPr>
          <w:spacing w:val="-3"/>
        </w:rPr>
        <w:t xml:space="preserve"> </w:t>
      </w:r>
      <w:r>
        <w:t>Andersson,</w:t>
      </w:r>
      <w:r>
        <w:rPr>
          <w:spacing w:val="-3"/>
        </w:rPr>
        <w:t xml:space="preserve"> </w:t>
      </w:r>
      <w:r>
        <w:t>&amp;</w:t>
      </w:r>
      <w:r>
        <w:rPr>
          <w:spacing w:val="-5"/>
        </w:rPr>
        <w:t xml:space="preserve"> </w:t>
      </w:r>
      <w:r>
        <w:t>Rosendahl,</w:t>
      </w:r>
      <w:r>
        <w:rPr>
          <w:spacing w:val="-3"/>
        </w:rPr>
        <w:t xml:space="preserve"> </w:t>
      </w:r>
      <w:r>
        <w:t>2017;</w:t>
      </w:r>
      <w:r>
        <w:rPr>
          <w:spacing w:val="-4"/>
        </w:rPr>
        <w:t xml:space="preserve"> </w:t>
      </w:r>
      <w:r>
        <w:t>Magill et al., 2014).</w:t>
      </w:r>
    </w:p>
    <w:p w14:paraId="30D978EF" w14:textId="77777777" w:rsidR="00DB6E1F" w:rsidRDefault="00F666A6">
      <w:pPr>
        <w:pStyle w:val="ListParagraph"/>
        <w:numPr>
          <w:ilvl w:val="0"/>
          <w:numId w:val="92"/>
        </w:numPr>
        <w:tabs>
          <w:tab w:val="left" w:pos="1799"/>
          <w:tab w:val="left" w:pos="1800"/>
        </w:tabs>
        <w:spacing w:before="61"/>
        <w:ind w:left="1798" w:right="1631" w:hanging="360"/>
        <w:rPr>
          <w:rFonts w:ascii="Symbol" w:hAnsi="Symbol"/>
        </w:rPr>
      </w:pPr>
      <w:r>
        <w:t>Be</w:t>
      </w:r>
      <w:r>
        <w:rPr>
          <w:spacing w:val="-1"/>
        </w:rPr>
        <w:t xml:space="preserve"> </w:t>
      </w:r>
      <w:r>
        <w:t>aware</w:t>
      </w:r>
      <w:r>
        <w:rPr>
          <w:spacing w:val="-1"/>
        </w:rPr>
        <w:t xml:space="preserve"> </w:t>
      </w:r>
      <w:r>
        <w:t>that</w:t>
      </w:r>
      <w:r>
        <w:rPr>
          <w:spacing w:val="-1"/>
        </w:rPr>
        <w:t xml:space="preserve"> </w:t>
      </w:r>
      <w:r>
        <w:t>the</w:t>
      </w:r>
      <w:r>
        <w:rPr>
          <w:spacing w:val="-4"/>
        </w:rPr>
        <w:t xml:space="preserve"> </w:t>
      </w:r>
      <w:r>
        <w:t>client</w:t>
      </w:r>
      <w:r>
        <w:rPr>
          <w:spacing w:val="-4"/>
        </w:rPr>
        <w:t xml:space="preserve"> </w:t>
      </w:r>
      <w:r>
        <w:t>may</w:t>
      </w:r>
      <w:r>
        <w:rPr>
          <w:spacing w:val="-1"/>
        </w:rPr>
        <w:t xml:space="preserve"> </w:t>
      </w:r>
      <w:r>
        <w:t>not</w:t>
      </w:r>
      <w:r>
        <w:rPr>
          <w:spacing w:val="-1"/>
        </w:rPr>
        <w:t xml:space="preserve"> </w:t>
      </w:r>
      <w:r>
        <w:t>be</w:t>
      </w:r>
      <w:r>
        <w:rPr>
          <w:spacing w:val="-1"/>
        </w:rPr>
        <w:t xml:space="preserve"> </w:t>
      </w:r>
      <w:r>
        <w:t>ready</w:t>
      </w:r>
      <w:r>
        <w:rPr>
          <w:spacing w:val="-3"/>
        </w:rPr>
        <w:t xml:space="preserve"> </w:t>
      </w:r>
      <w:r>
        <w:t>to</w:t>
      </w:r>
      <w:r>
        <w:rPr>
          <w:spacing w:val="-1"/>
        </w:rPr>
        <w:t xml:space="preserve"> </w:t>
      </w:r>
      <w:r>
        <w:t>accept</w:t>
      </w:r>
      <w:r>
        <w:rPr>
          <w:spacing w:val="-1"/>
        </w:rPr>
        <w:t xml:space="preserve"> </w:t>
      </w:r>
      <w:r>
        <w:t>he</w:t>
      </w:r>
      <w:r>
        <w:rPr>
          <w:spacing w:val="-1"/>
        </w:rPr>
        <w:t xml:space="preserve"> </w:t>
      </w:r>
      <w:r>
        <w:t>or</w:t>
      </w:r>
      <w:r>
        <w:rPr>
          <w:spacing w:val="-4"/>
        </w:rPr>
        <w:t xml:space="preserve"> </w:t>
      </w:r>
      <w:r>
        <w:t>she</w:t>
      </w:r>
      <w:r>
        <w:rPr>
          <w:spacing w:val="-1"/>
        </w:rPr>
        <w:t xml:space="preserve"> </w:t>
      </w:r>
      <w:r>
        <w:t>has</w:t>
      </w:r>
      <w:r>
        <w:rPr>
          <w:spacing w:val="-4"/>
        </w:rPr>
        <w:t xml:space="preserve"> </w:t>
      </w:r>
      <w:r>
        <w:t>experienced</w:t>
      </w:r>
      <w:r>
        <w:rPr>
          <w:spacing w:val="-6"/>
        </w:rPr>
        <w:t xml:space="preserve"> </w:t>
      </w:r>
      <w:r>
        <w:t>any</w:t>
      </w:r>
      <w:r>
        <w:rPr>
          <w:spacing w:val="-1"/>
        </w:rPr>
        <w:t xml:space="preserve"> </w:t>
      </w:r>
      <w:r>
        <w:t>harmful</w:t>
      </w:r>
      <w:r>
        <w:rPr>
          <w:spacing w:val="-5"/>
        </w:rPr>
        <w:t xml:space="preserve"> </w:t>
      </w:r>
      <w:r>
        <w:t xml:space="preserve">effects of substance use. By showing that </w:t>
      </w:r>
      <w:r>
        <w:t>you understand why the client “values” alcohol or drug experiences, you help the client become more open to accepting possible problems. For example, you might ask, “Help me understand what you like about your drinking. What do you enjoy about it?” Then as</w:t>
      </w:r>
      <w:r>
        <w:t>k, “What do you like less about drinking?” The client who cannot recognize any things that he or she “likes less” about substance use is probably not ready to consider change and may need more information.</w:t>
      </w:r>
    </w:p>
    <w:p w14:paraId="22013075" w14:textId="77777777" w:rsidR="00DB6E1F" w:rsidRDefault="00F666A6">
      <w:pPr>
        <w:pStyle w:val="ListParagraph"/>
        <w:numPr>
          <w:ilvl w:val="0"/>
          <w:numId w:val="92"/>
        </w:numPr>
        <w:tabs>
          <w:tab w:val="left" w:pos="1798"/>
          <w:tab w:val="left" w:pos="1799"/>
        </w:tabs>
        <w:spacing w:before="59"/>
        <w:ind w:left="1798" w:right="1523"/>
        <w:rPr>
          <w:rFonts w:ascii="Symbol" w:hAnsi="Symbol"/>
        </w:rPr>
      </w:pPr>
      <w:r>
        <w:t>After</w:t>
      </w:r>
      <w:r>
        <w:rPr>
          <w:spacing w:val="-3"/>
        </w:rPr>
        <w:t xml:space="preserve"> </w:t>
      </w:r>
      <w:r>
        <w:t>this</w:t>
      </w:r>
      <w:r>
        <w:rPr>
          <w:spacing w:val="-4"/>
        </w:rPr>
        <w:t xml:space="preserve"> </w:t>
      </w:r>
      <w:r>
        <w:t>exploration,</w:t>
      </w:r>
      <w:r>
        <w:rPr>
          <w:spacing w:val="-3"/>
        </w:rPr>
        <w:t xml:space="preserve"> </w:t>
      </w:r>
      <w:r>
        <w:t>summarize</w:t>
      </w:r>
      <w:r>
        <w:rPr>
          <w:spacing w:val="-4"/>
        </w:rPr>
        <w:t xml:space="preserve"> </w:t>
      </w:r>
      <w:r>
        <w:t>the</w:t>
      </w:r>
      <w:r>
        <w:rPr>
          <w:spacing w:val="-2"/>
        </w:rPr>
        <w:t xml:space="preserve"> </w:t>
      </w:r>
      <w:r>
        <w:t>interchange</w:t>
      </w:r>
      <w:r>
        <w:rPr>
          <w:spacing w:val="-2"/>
        </w:rPr>
        <w:t xml:space="preserve"> </w:t>
      </w:r>
      <w:r>
        <w:t>in</w:t>
      </w:r>
      <w:r>
        <w:rPr>
          <w:spacing w:val="-3"/>
        </w:rPr>
        <w:t xml:space="preserve"> </w:t>
      </w:r>
      <w:r>
        <w:t>personal</w:t>
      </w:r>
      <w:r>
        <w:rPr>
          <w:spacing w:val="-3"/>
        </w:rPr>
        <w:t xml:space="preserve"> </w:t>
      </w:r>
      <w:r>
        <w:t>language</w:t>
      </w:r>
      <w:r>
        <w:rPr>
          <w:spacing w:val="-4"/>
        </w:rPr>
        <w:t xml:space="preserve"> </w:t>
      </w:r>
      <w:r>
        <w:t>so</w:t>
      </w:r>
      <w:r>
        <w:rPr>
          <w:spacing w:val="-3"/>
        </w:rPr>
        <w:t xml:space="preserve"> </w:t>
      </w:r>
      <w:r>
        <w:t>that</w:t>
      </w:r>
      <w:r>
        <w:rPr>
          <w:spacing w:val="-4"/>
        </w:rPr>
        <w:t xml:space="preserve"> </w:t>
      </w:r>
      <w:r>
        <w:t>the</w:t>
      </w:r>
      <w:r>
        <w:rPr>
          <w:spacing w:val="-2"/>
        </w:rPr>
        <w:t xml:space="preserve"> </w:t>
      </w:r>
      <w:r>
        <w:t>client</w:t>
      </w:r>
      <w:r>
        <w:rPr>
          <w:spacing w:val="-4"/>
        </w:rPr>
        <w:t xml:space="preserve"> </w:t>
      </w:r>
      <w:r>
        <w:t>can</w:t>
      </w:r>
      <w:r>
        <w:rPr>
          <w:spacing w:val="-3"/>
        </w:rPr>
        <w:t xml:space="preserve"> </w:t>
      </w:r>
      <w:r>
        <w:t>clearly hear any ambivalence that is developing.</w:t>
      </w:r>
    </w:p>
    <w:p w14:paraId="22ACC4DC" w14:textId="77777777" w:rsidR="00DB6E1F" w:rsidRDefault="00F666A6">
      <w:pPr>
        <w:pStyle w:val="BodyText"/>
        <w:spacing w:before="159"/>
        <w:ind w:left="1437" w:right="1491"/>
      </w:pPr>
      <w:r>
        <w:t>As</w:t>
      </w:r>
      <w:r>
        <w:rPr>
          <w:spacing w:val="-1"/>
        </w:rPr>
        <w:t xml:space="preserve"> </w:t>
      </w:r>
      <w:r>
        <w:t>mentioned</w:t>
      </w:r>
      <w:r>
        <w:rPr>
          <w:spacing w:val="-2"/>
        </w:rPr>
        <w:t xml:space="preserve"> </w:t>
      </w:r>
      <w:r>
        <w:t>in</w:t>
      </w:r>
      <w:r>
        <w:rPr>
          <w:spacing w:val="-2"/>
        </w:rPr>
        <w:t xml:space="preserve"> </w:t>
      </w:r>
      <w:r>
        <w:t>Chapter</w:t>
      </w:r>
      <w:r>
        <w:rPr>
          <w:spacing w:val="-3"/>
        </w:rPr>
        <w:t xml:space="preserve"> </w:t>
      </w:r>
      <w:r>
        <w:t>3,</w:t>
      </w:r>
      <w:r>
        <w:rPr>
          <w:spacing w:val="-3"/>
        </w:rPr>
        <w:t xml:space="preserve"> </w:t>
      </w:r>
      <w:r>
        <w:t>you</w:t>
      </w:r>
      <w:r>
        <w:rPr>
          <w:spacing w:val="-4"/>
        </w:rPr>
        <w:t xml:space="preserve"> </w:t>
      </w:r>
      <w:r>
        <w:t>can</w:t>
      </w:r>
      <w:r>
        <w:rPr>
          <w:spacing w:val="-2"/>
        </w:rPr>
        <w:t xml:space="preserve"> </w:t>
      </w:r>
      <w:r>
        <w:rPr>
          <w:b/>
        </w:rPr>
        <w:t>use</w:t>
      </w:r>
      <w:r>
        <w:rPr>
          <w:b/>
          <w:spacing w:val="-2"/>
        </w:rPr>
        <w:t xml:space="preserve"> </w:t>
      </w:r>
      <w:r>
        <w:rPr>
          <w:b/>
        </w:rPr>
        <w:t>double-sided</w:t>
      </w:r>
      <w:r>
        <w:rPr>
          <w:b/>
          <w:spacing w:val="-2"/>
        </w:rPr>
        <w:t xml:space="preserve"> </w:t>
      </w:r>
      <w:r>
        <w:rPr>
          <w:b/>
        </w:rPr>
        <w:t>reflections to</w:t>
      </w:r>
      <w:r>
        <w:rPr>
          <w:b/>
          <w:spacing w:val="-4"/>
        </w:rPr>
        <w:t xml:space="preserve"> </w:t>
      </w:r>
      <w:r>
        <w:rPr>
          <w:b/>
        </w:rPr>
        <w:t>respond</w:t>
      </w:r>
      <w:r>
        <w:rPr>
          <w:b/>
          <w:spacing w:val="-2"/>
        </w:rPr>
        <w:t xml:space="preserve"> </w:t>
      </w:r>
      <w:r>
        <w:rPr>
          <w:b/>
        </w:rPr>
        <w:t>to</w:t>
      </w:r>
      <w:r>
        <w:rPr>
          <w:b/>
          <w:spacing w:val="-3"/>
        </w:rPr>
        <w:t xml:space="preserve"> </w:t>
      </w:r>
      <w:r>
        <w:rPr>
          <w:b/>
        </w:rPr>
        <w:t>client</w:t>
      </w:r>
      <w:r>
        <w:rPr>
          <w:b/>
          <w:spacing w:val="-1"/>
        </w:rPr>
        <w:t xml:space="preserve"> </w:t>
      </w:r>
      <w:r>
        <w:rPr>
          <w:b/>
        </w:rPr>
        <w:t>ambivalence</w:t>
      </w:r>
      <w:r>
        <w:rPr>
          <w:b/>
          <w:spacing w:val="-2"/>
        </w:rPr>
        <w:t xml:space="preserve"> </w:t>
      </w:r>
      <w:r>
        <w:rPr>
          <w:b/>
        </w:rPr>
        <w:t xml:space="preserve">and sustain talk </w:t>
      </w:r>
      <w:r>
        <w:t>(Miller &amp; Rollnick, 2013). For exampl</w:t>
      </w:r>
      <w:r>
        <w:t>e, you can say, “So, drinking helps you relax. Yet, you say you sometimes resent all the money you are spending, and it’s hard for you to get to work on time, especially Monday mornings.” Chapter 5 provides additional guidance on working with ambivalence.</w:t>
      </w:r>
    </w:p>
    <w:p w14:paraId="5908E2EB" w14:textId="77777777" w:rsidR="00DB6E1F" w:rsidRDefault="00F666A6">
      <w:pPr>
        <w:spacing w:before="159"/>
        <w:ind w:left="1437" w:right="1491"/>
      </w:pPr>
      <w:r>
        <w:t>You</w:t>
      </w:r>
      <w:r>
        <w:rPr>
          <w:spacing w:val="-2"/>
        </w:rPr>
        <w:t xml:space="preserve"> </w:t>
      </w:r>
      <w:r>
        <w:t>can</w:t>
      </w:r>
      <w:r>
        <w:rPr>
          <w:spacing w:val="-4"/>
        </w:rPr>
        <w:t xml:space="preserve"> </w:t>
      </w:r>
      <w:r>
        <w:t>also</w:t>
      </w:r>
      <w:r>
        <w:rPr>
          <w:spacing w:val="-2"/>
        </w:rPr>
        <w:t xml:space="preserve"> </w:t>
      </w:r>
      <w:r>
        <w:rPr>
          <w:b/>
        </w:rPr>
        <w:t>move</w:t>
      </w:r>
      <w:r>
        <w:rPr>
          <w:b/>
          <w:spacing w:val="-4"/>
        </w:rPr>
        <w:t xml:space="preserve"> </w:t>
      </w:r>
      <w:r>
        <w:rPr>
          <w:b/>
        </w:rPr>
        <w:t>clients</w:t>
      </w:r>
      <w:r>
        <w:rPr>
          <w:b/>
          <w:spacing w:val="-3"/>
        </w:rPr>
        <w:t xml:space="preserve"> </w:t>
      </w:r>
      <w:r>
        <w:rPr>
          <w:b/>
        </w:rPr>
        <w:t>toward</w:t>
      </w:r>
      <w:r>
        <w:rPr>
          <w:b/>
          <w:spacing w:val="-2"/>
        </w:rPr>
        <w:t xml:space="preserve"> </w:t>
      </w:r>
      <w:r>
        <w:rPr>
          <w:b/>
        </w:rPr>
        <w:t>the</w:t>
      </w:r>
      <w:r>
        <w:rPr>
          <w:b/>
          <w:spacing w:val="-2"/>
        </w:rPr>
        <w:t xml:space="preserve"> </w:t>
      </w:r>
      <w:r>
        <w:rPr>
          <w:b/>
        </w:rPr>
        <w:t>Contemplation</w:t>
      </w:r>
      <w:r>
        <w:rPr>
          <w:b/>
          <w:spacing w:val="-4"/>
        </w:rPr>
        <w:t xml:space="preserve"> </w:t>
      </w:r>
      <w:r>
        <w:rPr>
          <w:b/>
        </w:rPr>
        <w:t>stage</w:t>
      </w:r>
      <w:r>
        <w:rPr>
          <w:b/>
          <w:spacing w:val="-2"/>
        </w:rPr>
        <w:t xml:space="preserve"> </w:t>
      </w:r>
      <w:r>
        <w:rPr>
          <w:b/>
        </w:rPr>
        <w:t>by</w:t>
      </w:r>
      <w:r>
        <w:rPr>
          <w:b/>
          <w:spacing w:val="-2"/>
        </w:rPr>
        <w:t xml:space="preserve"> </w:t>
      </w:r>
      <w:r>
        <w:rPr>
          <w:b/>
        </w:rPr>
        <w:t>having them</w:t>
      </w:r>
      <w:r>
        <w:rPr>
          <w:b/>
          <w:spacing w:val="-3"/>
        </w:rPr>
        <w:t xml:space="preserve"> </w:t>
      </w:r>
      <w:r>
        <w:rPr>
          <w:b/>
        </w:rPr>
        <w:t>consider the</w:t>
      </w:r>
      <w:r>
        <w:rPr>
          <w:b/>
          <w:spacing w:val="-2"/>
        </w:rPr>
        <w:t xml:space="preserve"> </w:t>
      </w:r>
      <w:r>
        <w:rPr>
          <w:b/>
        </w:rPr>
        <w:t>many</w:t>
      </w:r>
      <w:r>
        <w:rPr>
          <w:b/>
          <w:spacing w:val="-2"/>
        </w:rPr>
        <w:t xml:space="preserve"> </w:t>
      </w:r>
      <w:r>
        <w:rPr>
          <w:b/>
        </w:rPr>
        <w:t>ways</w:t>
      </w:r>
      <w:r>
        <w:rPr>
          <w:b/>
          <w:spacing w:val="-3"/>
        </w:rPr>
        <w:t xml:space="preserve"> </w:t>
      </w:r>
      <w:r>
        <w:rPr>
          <w:b/>
        </w:rPr>
        <w:t xml:space="preserve">in which substance use can affect life experiences. </w:t>
      </w:r>
      <w:r>
        <w:t>For example, you might ask, “How is your substance use affecting your studies? How is your drinking affecting your family life?”</w:t>
      </w:r>
    </w:p>
    <w:p w14:paraId="44F637A6" w14:textId="77777777" w:rsidR="00DB6E1F" w:rsidRDefault="00F666A6">
      <w:pPr>
        <w:pStyle w:val="BodyText"/>
        <w:spacing w:before="161"/>
        <w:ind w:left="1437" w:right="1491"/>
      </w:pPr>
      <w:r>
        <w:t>As you explore the effects of substance use in the individual’s life, use balanced reflective listening: “Help</w:t>
      </w:r>
      <w:r>
        <w:rPr>
          <w:spacing w:val="-5"/>
        </w:rPr>
        <w:t xml:space="preserve"> </w:t>
      </w:r>
      <w:r>
        <w:t>me</w:t>
      </w:r>
      <w:r>
        <w:rPr>
          <w:spacing w:val="-1"/>
        </w:rPr>
        <w:t xml:space="preserve"> </w:t>
      </w:r>
      <w:r>
        <w:t>understand.</w:t>
      </w:r>
      <w:r>
        <w:rPr>
          <w:spacing w:val="-2"/>
        </w:rPr>
        <w:t xml:space="preserve"> </w:t>
      </w:r>
      <w:r>
        <w:t>Y</w:t>
      </w:r>
      <w:r>
        <w:t>ou’ve</w:t>
      </w:r>
      <w:r>
        <w:rPr>
          <w:spacing w:val="-1"/>
        </w:rPr>
        <w:t xml:space="preserve"> </w:t>
      </w:r>
      <w:r>
        <w:t>been</w:t>
      </w:r>
      <w:r>
        <w:rPr>
          <w:spacing w:val="-3"/>
        </w:rPr>
        <w:t xml:space="preserve"> </w:t>
      </w:r>
      <w:r>
        <w:t>saying</w:t>
      </w:r>
      <w:r>
        <w:rPr>
          <w:spacing w:val="-3"/>
        </w:rPr>
        <w:t xml:space="preserve"> </w:t>
      </w:r>
      <w:r>
        <w:t>you</w:t>
      </w:r>
      <w:r>
        <w:rPr>
          <w:spacing w:val="-3"/>
        </w:rPr>
        <w:t xml:space="preserve"> </w:t>
      </w:r>
      <w:r>
        <w:t>see</w:t>
      </w:r>
      <w:r>
        <w:rPr>
          <w:spacing w:val="-1"/>
        </w:rPr>
        <w:t xml:space="preserve"> </w:t>
      </w:r>
      <w:r>
        <w:t>no</w:t>
      </w:r>
      <w:r>
        <w:rPr>
          <w:spacing w:val="-3"/>
        </w:rPr>
        <w:t xml:space="preserve"> </w:t>
      </w:r>
      <w:r>
        <w:t>need</w:t>
      </w:r>
      <w:r>
        <w:rPr>
          <w:spacing w:val="-3"/>
        </w:rPr>
        <w:t xml:space="preserve"> </w:t>
      </w:r>
      <w:r>
        <w:t>to</w:t>
      </w:r>
      <w:r>
        <w:rPr>
          <w:spacing w:val="-1"/>
        </w:rPr>
        <w:t xml:space="preserve"> </w:t>
      </w:r>
      <w:r>
        <w:t>change,</w:t>
      </w:r>
      <w:r>
        <w:rPr>
          <w:spacing w:val="-3"/>
        </w:rPr>
        <w:t xml:space="preserve"> </w:t>
      </w:r>
      <w:r>
        <w:rPr>
          <w:b/>
        </w:rPr>
        <w:t>and</w:t>
      </w:r>
      <w:r>
        <w:rPr>
          <w:b/>
          <w:spacing w:val="-3"/>
        </w:rPr>
        <w:t xml:space="preserve"> </w:t>
      </w:r>
      <w:r>
        <w:t>you</w:t>
      </w:r>
      <w:r>
        <w:rPr>
          <w:spacing w:val="-5"/>
        </w:rPr>
        <w:t xml:space="preserve"> </w:t>
      </w:r>
      <w:r>
        <w:t>are</w:t>
      </w:r>
      <w:r>
        <w:rPr>
          <w:spacing w:val="-1"/>
        </w:rPr>
        <w:t xml:space="preserve"> </w:t>
      </w:r>
      <w:r>
        <w:t>concerned</w:t>
      </w:r>
      <w:r>
        <w:rPr>
          <w:spacing w:val="-2"/>
        </w:rPr>
        <w:t xml:space="preserve"> </w:t>
      </w:r>
      <w:r>
        <w:t>about losing your family. I</w:t>
      </w:r>
      <w:r>
        <w:rPr>
          <w:spacing w:val="-2"/>
        </w:rPr>
        <w:t xml:space="preserve"> </w:t>
      </w:r>
      <w:r>
        <w:t>don’t</w:t>
      </w:r>
      <w:r>
        <w:rPr>
          <w:spacing w:val="-1"/>
        </w:rPr>
        <w:t xml:space="preserve"> </w:t>
      </w:r>
      <w:r>
        <w:t>see how</w:t>
      </w:r>
      <w:r>
        <w:rPr>
          <w:spacing w:val="-1"/>
        </w:rPr>
        <w:t xml:space="preserve"> </w:t>
      </w:r>
      <w:r>
        <w:t>this fits</w:t>
      </w:r>
      <w:r>
        <w:rPr>
          <w:spacing w:val="-1"/>
        </w:rPr>
        <w:t xml:space="preserve"> </w:t>
      </w:r>
      <w:r>
        <w:t>together. I’m wondering if</w:t>
      </w:r>
      <w:r>
        <w:rPr>
          <w:spacing w:val="-2"/>
        </w:rPr>
        <w:t xml:space="preserve"> </w:t>
      </w:r>
      <w:r>
        <w:t>this is</w:t>
      </w:r>
      <w:r>
        <w:rPr>
          <w:spacing w:val="-1"/>
        </w:rPr>
        <w:t xml:space="preserve"> </w:t>
      </w:r>
      <w:r>
        <w:t>confusing for you,</w:t>
      </w:r>
      <w:r>
        <w:rPr>
          <w:spacing w:val="-1"/>
        </w:rPr>
        <w:t xml:space="preserve"> </w:t>
      </w:r>
      <w:r>
        <w:t>too.”</w:t>
      </w:r>
    </w:p>
    <w:p w14:paraId="34C1B2D2" w14:textId="77777777" w:rsidR="00DB6E1F" w:rsidRDefault="00F666A6">
      <w:pPr>
        <w:pStyle w:val="Heading3"/>
        <w:spacing w:before="164"/>
      </w:pPr>
      <w:bookmarkStart w:id="138" w:name="Provide_Personalized_Feedback_on_Assessm"/>
      <w:bookmarkEnd w:id="138"/>
      <w:r>
        <w:t>Provide</w:t>
      </w:r>
      <w:r>
        <w:rPr>
          <w:spacing w:val="-11"/>
        </w:rPr>
        <w:t xml:space="preserve"> </w:t>
      </w:r>
      <w:r>
        <w:t>Personalized</w:t>
      </w:r>
      <w:r>
        <w:rPr>
          <w:spacing w:val="-9"/>
        </w:rPr>
        <w:t xml:space="preserve"> </w:t>
      </w:r>
      <w:r>
        <w:t>Feedback</w:t>
      </w:r>
      <w:r>
        <w:rPr>
          <w:spacing w:val="-9"/>
        </w:rPr>
        <w:t xml:space="preserve"> </w:t>
      </w:r>
      <w:r>
        <w:t>on</w:t>
      </w:r>
      <w:r>
        <w:rPr>
          <w:spacing w:val="-10"/>
        </w:rPr>
        <w:t xml:space="preserve"> </w:t>
      </w:r>
      <w:r>
        <w:t>Assessment</w:t>
      </w:r>
      <w:r>
        <w:rPr>
          <w:spacing w:val="-12"/>
        </w:rPr>
        <w:t xml:space="preserve"> </w:t>
      </w:r>
      <w:r>
        <w:rPr>
          <w:spacing w:val="-2"/>
        </w:rPr>
        <w:t>Findings</w:t>
      </w:r>
    </w:p>
    <w:p w14:paraId="05F60220" w14:textId="77777777" w:rsidR="00DB6E1F" w:rsidRDefault="00F666A6">
      <w:pPr>
        <w:spacing w:before="143"/>
        <w:ind w:left="1439" w:right="1555"/>
      </w:pPr>
      <w:r>
        <w:rPr>
          <w:b/>
        </w:rPr>
        <w:t>Another effective strate</w:t>
      </w:r>
      <w:r>
        <w:rPr>
          <w:b/>
        </w:rPr>
        <w:t xml:space="preserve">gy for raising doubt and concern is to provide clients with personalized feedback about assessment findings. </w:t>
      </w:r>
      <w:r>
        <w:t>As mentioned in Chapter 2, giving personalized feedback about clients’ substance use is effective (Davis, Houck, Rowell, Benson, &amp; Smith, 2015; DiClemente, Corno, Graydon, Wiprovnick, &amp; Knoblach, 2017; Field et al., 2014; Kahler et al., 2018; McDevitt-Murp</w:t>
      </w:r>
      <w:r>
        <w:t>hy et al.; 2014; Miller et al., 2013; Walker et al., 2017). In brief interventions, the feedback is usually short and focused</w:t>
      </w:r>
      <w:r>
        <w:rPr>
          <w:spacing w:val="-5"/>
        </w:rPr>
        <w:t xml:space="preserve"> </w:t>
      </w:r>
      <w:r>
        <w:t>on</w:t>
      </w:r>
      <w:r>
        <w:rPr>
          <w:spacing w:val="-3"/>
        </w:rPr>
        <w:t xml:space="preserve"> </w:t>
      </w:r>
      <w:r>
        <w:t>screening</w:t>
      </w:r>
      <w:r>
        <w:rPr>
          <w:spacing w:val="-3"/>
        </w:rPr>
        <w:t xml:space="preserve"> </w:t>
      </w:r>
      <w:r>
        <w:t>results.</w:t>
      </w:r>
      <w:r>
        <w:rPr>
          <w:spacing w:val="-2"/>
        </w:rPr>
        <w:t xml:space="preserve"> </w:t>
      </w:r>
      <w:r>
        <w:t>In</w:t>
      </w:r>
      <w:r>
        <w:rPr>
          <w:spacing w:val="-3"/>
        </w:rPr>
        <w:t xml:space="preserve"> </w:t>
      </w:r>
      <w:r>
        <w:t>specialty</w:t>
      </w:r>
      <w:r>
        <w:rPr>
          <w:spacing w:val="-1"/>
        </w:rPr>
        <w:t xml:space="preserve"> </w:t>
      </w:r>
      <w:r>
        <w:t>addiction</w:t>
      </w:r>
      <w:r>
        <w:rPr>
          <w:spacing w:val="-3"/>
        </w:rPr>
        <w:t xml:space="preserve"> </w:t>
      </w:r>
      <w:r>
        <w:t>treatment</w:t>
      </w:r>
      <w:r>
        <w:rPr>
          <w:spacing w:val="-1"/>
        </w:rPr>
        <w:t xml:space="preserve"> </w:t>
      </w:r>
      <w:r>
        <w:t>settings,</w:t>
      </w:r>
      <w:r>
        <w:rPr>
          <w:spacing w:val="-1"/>
        </w:rPr>
        <w:t xml:space="preserve"> </w:t>
      </w:r>
      <w:r>
        <w:t>feedback</w:t>
      </w:r>
      <w:r>
        <w:rPr>
          <w:spacing w:val="-6"/>
        </w:rPr>
        <w:t xml:space="preserve"> </w:t>
      </w:r>
      <w:r>
        <w:t>can</w:t>
      </w:r>
      <w:r>
        <w:rPr>
          <w:spacing w:val="-3"/>
        </w:rPr>
        <w:t xml:space="preserve"> </w:t>
      </w:r>
      <w:r>
        <w:t>focus</w:t>
      </w:r>
      <w:r>
        <w:rPr>
          <w:spacing w:val="-4"/>
        </w:rPr>
        <w:t xml:space="preserve"> </w:t>
      </w:r>
      <w:r>
        <w:t>on</w:t>
      </w:r>
      <w:r>
        <w:rPr>
          <w:spacing w:val="-3"/>
        </w:rPr>
        <w:t xml:space="preserve"> </w:t>
      </w:r>
      <w:r>
        <w:t>results</w:t>
      </w:r>
      <w:r>
        <w:rPr>
          <w:spacing w:val="-4"/>
        </w:rPr>
        <w:t xml:space="preserve"> </w:t>
      </w:r>
      <w:r>
        <w:t>of a comprehensive assessment, whic</w:t>
      </w:r>
      <w:r>
        <w:t>h often includes:</w:t>
      </w:r>
    </w:p>
    <w:p w14:paraId="49BC4550" w14:textId="77777777" w:rsidR="00DB6E1F" w:rsidRDefault="00DB6E1F">
      <w:pPr>
        <w:sectPr w:rsidR="00DB6E1F">
          <w:pgSz w:w="12240" w:h="15840"/>
          <w:pgMar w:top="1200" w:right="0" w:bottom="780" w:left="0" w:header="763" w:footer="585" w:gutter="0"/>
          <w:cols w:space="720"/>
        </w:sectPr>
      </w:pPr>
    </w:p>
    <w:p w14:paraId="56BBF709" w14:textId="77777777" w:rsidR="00DB6E1F" w:rsidRDefault="00DB6E1F">
      <w:pPr>
        <w:pStyle w:val="BodyText"/>
        <w:rPr>
          <w:sz w:val="11"/>
        </w:rPr>
      </w:pPr>
    </w:p>
    <w:p w14:paraId="04010078" w14:textId="77777777" w:rsidR="00DB6E1F" w:rsidRDefault="00F666A6">
      <w:pPr>
        <w:pStyle w:val="ListParagraph"/>
        <w:numPr>
          <w:ilvl w:val="0"/>
          <w:numId w:val="92"/>
        </w:numPr>
        <w:tabs>
          <w:tab w:val="left" w:pos="1800"/>
          <w:tab w:val="left" w:pos="1801"/>
        </w:tabs>
        <w:spacing w:before="101"/>
        <w:ind w:left="1800"/>
        <w:rPr>
          <w:rFonts w:ascii="Symbol" w:hAnsi="Symbol"/>
        </w:rPr>
      </w:pPr>
      <w:r>
        <w:t>Substance</w:t>
      </w:r>
      <w:r>
        <w:rPr>
          <w:spacing w:val="-4"/>
        </w:rPr>
        <w:t xml:space="preserve"> </w:t>
      </w:r>
      <w:r>
        <w:t>use</w:t>
      </w:r>
      <w:r>
        <w:rPr>
          <w:spacing w:val="-3"/>
        </w:rPr>
        <w:t xml:space="preserve"> </w:t>
      </w:r>
      <w:r>
        <w:t>patterns</w:t>
      </w:r>
      <w:r>
        <w:rPr>
          <w:spacing w:val="-7"/>
        </w:rPr>
        <w:t xml:space="preserve"> </w:t>
      </w:r>
      <w:r>
        <w:t>and</w:t>
      </w:r>
      <w:r>
        <w:rPr>
          <w:spacing w:val="-5"/>
        </w:rPr>
        <w:t xml:space="preserve"> </w:t>
      </w:r>
      <w:r>
        <w:rPr>
          <w:spacing w:val="-2"/>
        </w:rPr>
        <w:t>history.</w:t>
      </w:r>
    </w:p>
    <w:p w14:paraId="357BBA29" w14:textId="77777777" w:rsidR="00DB6E1F" w:rsidRDefault="00F666A6">
      <w:pPr>
        <w:pStyle w:val="ListParagraph"/>
        <w:numPr>
          <w:ilvl w:val="0"/>
          <w:numId w:val="92"/>
        </w:numPr>
        <w:tabs>
          <w:tab w:val="left" w:pos="1800"/>
          <w:tab w:val="left" w:pos="1801"/>
        </w:tabs>
        <w:ind w:left="1800"/>
        <w:rPr>
          <w:rFonts w:ascii="Symbol" w:hAnsi="Symbol"/>
        </w:rPr>
      </w:pPr>
      <w:r>
        <w:rPr>
          <w:i/>
        </w:rPr>
        <w:t>Diagnostic</w:t>
      </w:r>
      <w:r>
        <w:rPr>
          <w:i/>
          <w:spacing w:val="-8"/>
        </w:rPr>
        <w:t xml:space="preserve"> </w:t>
      </w:r>
      <w:r>
        <w:rPr>
          <w:i/>
        </w:rPr>
        <w:t>and</w:t>
      </w:r>
      <w:r>
        <w:rPr>
          <w:i/>
          <w:spacing w:val="-6"/>
        </w:rPr>
        <w:t xml:space="preserve"> </w:t>
      </w:r>
      <w:r>
        <w:rPr>
          <w:i/>
        </w:rPr>
        <w:t>Statistical</w:t>
      </w:r>
      <w:r>
        <w:rPr>
          <w:i/>
          <w:spacing w:val="-7"/>
        </w:rPr>
        <w:t xml:space="preserve"> </w:t>
      </w:r>
      <w:r>
        <w:rPr>
          <w:i/>
        </w:rPr>
        <w:t>Manual</w:t>
      </w:r>
      <w:r>
        <w:rPr>
          <w:i/>
          <w:spacing w:val="-5"/>
        </w:rPr>
        <w:t xml:space="preserve"> </w:t>
      </w:r>
      <w:r>
        <w:rPr>
          <w:i/>
        </w:rPr>
        <w:t>of</w:t>
      </w:r>
      <w:r>
        <w:rPr>
          <w:i/>
          <w:spacing w:val="-5"/>
        </w:rPr>
        <w:t xml:space="preserve"> </w:t>
      </w:r>
      <w:r>
        <w:rPr>
          <w:i/>
        </w:rPr>
        <w:t>Mental</w:t>
      </w:r>
      <w:r>
        <w:rPr>
          <w:i/>
          <w:spacing w:val="-4"/>
        </w:rPr>
        <w:t xml:space="preserve"> </w:t>
      </w:r>
      <w:r>
        <w:rPr>
          <w:i/>
        </w:rPr>
        <w:t>Disorders</w:t>
      </w:r>
      <w:r>
        <w:t>,</w:t>
      </w:r>
      <w:r>
        <w:rPr>
          <w:spacing w:val="-5"/>
        </w:rPr>
        <w:t xml:space="preserve"> </w:t>
      </w:r>
      <w:r>
        <w:t>Fifth</w:t>
      </w:r>
      <w:r>
        <w:rPr>
          <w:spacing w:val="-6"/>
        </w:rPr>
        <w:t xml:space="preserve"> </w:t>
      </w:r>
      <w:r>
        <w:t>Edition,</w:t>
      </w:r>
      <w:r>
        <w:rPr>
          <w:spacing w:val="-5"/>
        </w:rPr>
        <w:t xml:space="preserve"> </w:t>
      </w:r>
      <w:r>
        <w:t>diagnostic</w:t>
      </w:r>
      <w:r>
        <w:rPr>
          <w:spacing w:val="-7"/>
        </w:rPr>
        <w:t xml:space="preserve"> </w:t>
      </w:r>
      <w:r>
        <w:t>criteria</w:t>
      </w:r>
      <w:r>
        <w:rPr>
          <w:spacing w:val="-5"/>
        </w:rPr>
        <w:t xml:space="preserve"> </w:t>
      </w:r>
      <w:r>
        <w:t>for</w:t>
      </w:r>
      <w:r>
        <w:rPr>
          <w:spacing w:val="-4"/>
        </w:rPr>
        <w:t xml:space="preserve"> </w:t>
      </w:r>
      <w:r>
        <w:rPr>
          <w:spacing w:val="-2"/>
        </w:rPr>
        <w:t>SUDs.</w:t>
      </w:r>
    </w:p>
    <w:p w14:paraId="66A18412" w14:textId="77777777" w:rsidR="00DB6E1F" w:rsidRDefault="00F666A6">
      <w:pPr>
        <w:pStyle w:val="ListParagraph"/>
        <w:numPr>
          <w:ilvl w:val="0"/>
          <w:numId w:val="92"/>
        </w:numPr>
        <w:tabs>
          <w:tab w:val="left" w:pos="1800"/>
          <w:tab w:val="left" w:pos="1801"/>
        </w:tabs>
        <w:spacing w:before="61"/>
        <w:ind w:left="1800"/>
        <w:rPr>
          <w:rFonts w:ascii="Symbol" w:hAnsi="Symbol"/>
        </w:rPr>
      </w:pPr>
      <w:r>
        <w:t>General</w:t>
      </w:r>
      <w:r>
        <w:rPr>
          <w:spacing w:val="-6"/>
        </w:rPr>
        <w:t xml:space="preserve"> </w:t>
      </w:r>
      <w:r>
        <w:t>functioning</w:t>
      </w:r>
      <w:r>
        <w:rPr>
          <w:spacing w:val="-5"/>
        </w:rPr>
        <w:t xml:space="preserve"> </w:t>
      </w:r>
      <w:r>
        <w:t>and</w:t>
      </w:r>
      <w:r>
        <w:rPr>
          <w:spacing w:val="-5"/>
        </w:rPr>
        <w:t xml:space="preserve"> </w:t>
      </w:r>
      <w:r>
        <w:t>links</w:t>
      </w:r>
      <w:r>
        <w:rPr>
          <w:spacing w:val="-4"/>
        </w:rPr>
        <w:t xml:space="preserve"> </w:t>
      </w:r>
      <w:r>
        <w:t>between</w:t>
      </w:r>
      <w:r>
        <w:rPr>
          <w:spacing w:val="-5"/>
        </w:rPr>
        <w:t xml:space="preserve"> </w:t>
      </w:r>
      <w:r>
        <w:t>substance</w:t>
      </w:r>
      <w:r>
        <w:rPr>
          <w:spacing w:val="-6"/>
        </w:rPr>
        <w:t xml:space="preserve"> </w:t>
      </w:r>
      <w:r>
        <w:t>use</w:t>
      </w:r>
      <w:r>
        <w:rPr>
          <w:spacing w:val="-6"/>
        </w:rPr>
        <w:t xml:space="preserve"> </w:t>
      </w:r>
      <w:r>
        <w:t>and</w:t>
      </w:r>
      <w:r>
        <w:rPr>
          <w:spacing w:val="-5"/>
        </w:rPr>
        <w:t xml:space="preserve"> </w:t>
      </w:r>
      <w:r>
        <w:t>lowered</w:t>
      </w:r>
      <w:r>
        <w:rPr>
          <w:spacing w:val="-4"/>
        </w:rPr>
        <w:t xml:space="preserve"> </w:t>
      </w:r>
      <w:r>
        <w:rPr>
          <w:spacing w:val="-2"/>
        </w:rPr>
        <w:t>functioning.</w:t>
      </w:r>
    </w:p>
    <w:p w14:paraId="5D5483D3" w14:textId="77777777" w:rsidR="00DB6E1F" w:rsidRDefault="00F666A6">
      <w:pPr>
        <w:pStyle w:val="ListParagraph"/>
        <w:numPr>
          <w:ilvl w:val="0"/>
          <w:numId w:val="92"/>
        </w:numPr>
        <w:tabs>
          <w:tab w:val="left" w:pos="1800"/>
          <w:tab w:val="left" w:pos="1801"/>
        </w:tabs>
        <w:spacing w:before="58"/>
        <w:ind w:left="1801"/>
        <w:rPr>
          <w:rFonts w:ascii="Symbol" w:hAnsi="Symbol"/>
        </w:rPr>
      </w:pPr>
      <w:r>
        <w:t>Health</w:t>
      </w:r>
      <w:r>
        <w:rPr>
          <w:spacing w:val="-7"/>
        </w:rPr>
        <w:t xml:space="preserve"> </w:t>
      </w:r>
      <w:r>
        <w:t>and</w:t>
      </w:r>
      <w:r>
        <w:rPr>
          <w:spacing w:val="-5"/>
        </w:rPr>
        <w:t xml:space="preserve"> </w:t>
      </w:r>
      <w:r>
        <w:t>biomedical</w:t>
      </w:r>
      <w:r>
        <w:rPr>
          <w:spacing w:val="-6"/>
        </w:rPr>
        <w:t xml:space="preserve"> </w:t>
      </w:r>
      <w:r>
        <w:t>effects</w:t>
      </w:r>
      <w:r>
        <w:rPr>
          <w:spacing w:val="-4"/>
        </w:rPr>
        <w:t xml:space="preserve"> </w:t>
      </w:r>
      <w:r>
        <w:t>including</w:t>
      </w:r>
      <w:r>
        <w:rPr>
          <w:spacing w:val="-5"/>
        </w:rPr>
        <w:t xml:space="preserve"> </w:t>
      </w:r>
      <w:r>
        <w:t>sleep</w:t>
      </w:r>
      <w:r>
        <w:rPr>
          <w:spacing w:val="-7"/>
        </w:rPr>
        <w:t xml:space="preserve"> </w:t>
      </w:r>
      <w:r>
        <w:t>disorders,</w:t>
      </w:r>
      <w:r>
        <w:rPr>
          <w:spacing w:val="-4"/>
        </w:rPr>
        <w:t xml:space="preserve"> </w:t>
      </w:r>
      <w:r>
        <w:t>HIV,</w:t>
      </w:r>
      <w:r>
        <w:rPr>
          <w:spacing w:val="-4"/>
        </w:rPr>
        <w:t xml:space="preserve"> </w:t>
      </w:r>
      <w:r>
        <w:t>and</w:t>
      </w:r>
      <w:r>
        <w:rPr>
          <w:spacing w:val="-4"/>
        </w:rPr>
        <w:t xml:space="preserve"> </w:t>
      </w:r>
      <w:r>
        <w:rPr>
          <w:spacing w:val="-2"/>
        </w:rPr>
        <w:t>diabetes.</w:t>
      </w:r>
    </w:p>
    <w:p w14:paraId="0E5214F7" w14:textId="77777777" w:rsidR="00DB6E1F" w:rsidRDefault="00F666A6">
      <w:pPr>
        <w:pStyle w:val="ListParagraph"/>
        <w:numPr>
          <w:ilvl w:val="0"/>
          <w:numId w:val="92"/>
        </w:numPr>
        <w:tabs>
          <w:tab w:val="left" w:pos="1801"/>
          <w:tab w:val="left" w:pos="1802"/>
        </w:tabs>
        <w:ind w:left="1801"/>
        <w:rPr>
          <w:rFonts w:ascii="Symbol" w:hAnsi="Symbol"/>
        </w:rPr>
      </w:pPr>
      <w:r>
        <w:t>Neuropsychological</w:t>
      </w:r>
      <w:r>
        <w:rPr>
          <w:spacing w:val="-9"/>
        </w:rPr>
        <w:t xml:space="preserve"> </w:t>
      </w:r>
      <w:r>
        <w:t>effects</w:t>
      </w:r>
      <w:r>
        <w:rPr>
          <w:spacing w:val="-8"/>
        </w:rPr>
        <w:t xml:space="preserve"> </w:t>
      </w:r>
      <w:r>
        <w:t>of</w:t>
      </w:r>
      <w:r>
        <w:rPr>
          <w:spacing w:val="-6"/>
        </w:rPr>
        <w:t xml:space="preserve"> </w:t>
      </w:r>
      <w:r>
        <w:t>long-term</w:t>
      </w:r>
      <w:r>
        <w:rPr>
          <w:spacing w:val="-5"/>
        </w:rPr>
        <w:t xml:space="preserve"> </w:t>
      </w:r>
      <w:r>
        <w:t>substance</w:t>
      </w:r>
      <w:r>
        <w:rPr>
          <w:spacing w:val="-5"/>
        </w:rPr>
        <w:t xml:space="preserve"> </w:t>
      </w:r>
      <w:r>
        <w:rPr>
          <w:spacing w:val="-4"/>
        </w:rPr>
        <w:t>use.</w:t>
      </w:r>
    </w:p>
    <w:p w14:paraId="7DFAFD00" w14:textId="77777777" w:rsidR="00DB6E1F" w:rsidRDefault="00F666A6">
      <w:pPr>
        <w:pStyle w:val="ListParagraph"/>
        <w:numPr>
          <w:ilvl w:val="0"/>
          <w:numId w:val="92"/>
        </w:numPr>
        <w:tabs>
          <w:tab w:val="left" w:pos="1801"/>
          <w:tab w:val="left" w:pos="1802"/>
        </w:tabs>
        <w:spacing w:before="61"/>
        <w:ind w:left="1801" w:right="1902" w:hanging="360"/>
        <w:rPr>
          <w:rFonts w:ascii="Symbol" w:hAnsi="Symbol"/>
        </w:rPr>
      </w:pPr>
      <w:r>
        <w:t>Family</w:t>
      </w:r>
      <w:r>
        <w:rPr>
          <w:spacing w:val="-1"/>
        </w:rPr>
        <w:t xml:space="preserve"> </w:t>
      </w:r>
      <w:r>
        <w:t>history</w:t>
      </w:r>
      <w:r>
        <w:rPr>
          <w:spacing w:val="-4"/>
        </w:rPr>
        <w:t xml:space="preserve"> </w:t>
      </w:r>
      <w:r>
        <w:t>of</w:t>
      </w:r>
      <w:r>
        <w:rPr>
          <w:spacing w:val="-5"/>
        </w:rPr>
        <w:t xml:space="preserve"> </w:t>
      </w:r>
      <w:r>
        <w:t>mental</w:t>
      </w:r>
      <w:r>
        <w:rPr>
          <w:spacing w:val="-4"/>
        </w:rPr>
        <w:t xml:space="preserve"> </w:t>
      </w:r>
      <w:r>
        <w:t>disorders</w:t>
      </w:r>
      <w:r>
        <w:rPr>
          <w:spacing w:val="-3"/>
        </w:rPr>
        <w:t xml:space="preserve"> </w:t>
      </w:r>
      <w:r>
        <w:t>and</w:t>
      </w:r>
      <w:r>
        <w:rPr>
          <w:spacing w:val="-3"/>
        </w:rPr>
        <w:t xml:space="preserve"> </w:t>
      </w:r>
      <w:r>
        <w:t>SUDs,</w:t>
      </w:r>
      <w:r>
        <w:rPr>
          <w:spacing w:val="-4"/>
        </w:rPr>
        <w:t xml:space="preserve"> </w:t>
      </w:r>
      <w:r>
        <w:t>which</w:t>
      </w:r>
      <w:r>
        <w:rPr>
          <w:spacing w:val="-3"/>
        </w:rPr>
        <w:t xml:space="preserve"> </w:t>
      </w:r>
      <w:r>
        <w:t>put</w:t>
      </w:r>
      <w:r>
        <w:rPr>
          <w:spacing w:val="-1"/>
        </w:rPr>
        <w:t xml:space="preserve"> </w:t>
      </w:r>
      <w:r>
        <w:t>clients</w:t>
      </w:r>
      <w:r>
        <w:rPr>
          <w:spacing w:val="-4"/>
        </w:rPr>
        <w:t xml:space="preserve"> </w:t>
      </w:r>
      <w:r>
        <w:t>at</w:t>
      </w:r>
      <w:r>
        <w:rPr>
          <w:spacing w:val="-1"/>
        </w:rPr>
        <w:t xml:space="preserve"> </w:t>
      </w:r>
      <w:r>
        <w:t>risk</w:t>
      </w:r>
      <w:r>
        <w:rPr>
          <w:spacing w:val="-1"/>
        </w:rPr>
        <w:t xml:space="preserve"> </w:t>
      </w:r>
      <w:r>
        <w:t>for</w:t>
      </w:r>
      <w:r>
        <w:rPr>
          <w:spacing w:val="-2"/>
        </w:rPr>
        <w:t xml:space="preserve"> </w:t>
      </w:r>
      <w:r>
        <w:t>SUDs</w:t>
      </w:r>
      <w:r>
        <w:rPr>
          <w:spacing w:val="-2"/>
        </w:rPr>
        <w:t xml:space="preserve"> </w:t>
      </w:r>
      <w:r>
        <w:t>and</w:t>
      </w:r>
      <w:r>
        <w:rPr>
          <w:spacing w:val="-3"/>
        </w:rPr>
        <w:t xml:space="preserve"> </w:t>
      </w:r>
      <w:r>
        <w:t>co-occurring substance use and mental disorders (CODs).</w:t>
      </w:r>
    </w:p>
    <w:p w14:paraId="20C8EED3" w14:textId="77777777" w:rsidR="00DB6E1F" w:rsidRDefault="00F666A6">
      <w:pPr>
        <w:pStyle w:val="ListParagraph"/>
        <w:numPr>
          <w:ilvl w:val="0"/>
          <w:numId w:val="92"/>
        </w:numPr>
        <w:tabs>
          <w:tab w:val="left" w:pos="1800"/>
          <w:tab w:val="left" w:pos="1801"/>
        </w:tabs>
        <w:ind w:left="1801"/>
        <w:rPr>
          <w:rFonts w:ascii="Symbol" w:hAnsi="Symbol"/>
        </w:rPr>
      </w:pPr>
      <w:r>
        <w:t>CODs</w:t>
      </w:r>
      <w:r>
        <w:rPr>
          <w:spacing w:val="-7"/>
        </w:rPr>
        <w:t xml:space="preserve"> </w:t>
      </w:r>
      <w:r>
        <w:t>and</w:t>
      </w:r>
      <w:r>
        <w:rPr>
          <w:spacing w:val="-3"/>
        </w:rPr>
        <w:t xml:space="preserve"> </w:t>
      </w:r>
      <w:r>
        <w:t>effects</w:t>
      </w:r>
      <w:r>
        <w:rPr>
          <w:spacing w:val="-4"/>
        </w:rPr>
        <w:t xml:space="preserve"> </w:t>
      </w:r>
      <w:r>
        <w:t>of</w:t>
      </w:r>
      <w:r>
        <w:rPr>
          <w:spacing w:val="-2"/>
        </w:rPr>
        <w:t xml:space="preserve"> </w:t>
      </w:r>
      <w:r>
        <w:t>substance</w:t>
      </w:r>
      <w:r>
        <w:rPr>
          <w:spacing w:val="-1"/>
        </w:rPr>
        <w:t xml:space="preserve"> </w:t>
      </w:r>
      <w:r>
        <w:t>use</w:t>
      </w:r>
      <w:r>
        <w:rPr>
          <w:spacing w:val="-4"/>
        </w:rPr>
        <w:t xml:space="preserve"> </w:t>
      </w:r>
      <w:r>
        <w:t>on</w:t>
      </w:r>
      <w:r>
        <w:rPr>
          <w:spacing w:val="-5"/>
        </w:rPr>
        <w:t xml:space="preserve"> </w:t>
      </w:r>
      <w:r>
        <w:t>mental</w:t>
      </w:r>
      <w:r>
        <w:rPr>
          <w:spacing w:val="-2"/>
        </w:rPr>
        <w:t xml:space="preserve"> illness.</w:t>
      </w:r>
    </w:p>
    <w:p w14:paraId="577ED803" w14:textId="77777777" w:rsidR="00DB6E1F" w:rsidRDefault="00F666A6">
      <w:pPr>
        <w:pStyle w:val="ListParagraph"/>
        <w:numPr>
          <w:ilvl w:val="0"/>
          <w:numId w:val="92"/>
        </w:numPr>
        <w:tabs>
          <w:tab w:val="left" w:pos="1800"/>
          <w:tab w:val="left" w:pos="1801"/>
        </w:tabs>
        <w:spacing w:before="56"/>
        <w:ind w:left="1801"/>
        <w:rPr>
          <w:rFonts w:ascii="Symbol" w:hAnsi="Symbol"/>
        </w:rPr>
      </w:pPr>
      <w:r>
        <w:t>Functional</w:t>
      </w:r>
      <w:r>
        <w:rPr>
          <w:spacing w:val="-4"/>
        </w:rPr>
        <w:t xml:space="preserve"> </w:t>
      </w:r>
      <w:r>
        <w:t>analysis</w:t>
      </w:r>
      <w:r>
        <w:rPr>
          <w:spacing w:val="-6"/>
        </w:rPr>
        <w:t xml:space="preserve"> </w:t>
      </w:r>
      <w:r>
        <w:t>of</w:t>
      </w:r>
      <w:r>
        <w:rPr>
          <w:spacing w:val="-3"/>
        </w:rPr>
        <w:t xml:space="preserve"> </w:t>
      </w:r>
      <w:r>
        <w:t>substance</w:t>
      </w:r>
      <w:r>
        <w:rPr>
          <w:spacing w:val="-3"/>
        </w:rPr>
        <w:t xml:space="preserve"> </w:t>
      </w:r>
      <w:r>
        <w:t>use</w:t>
      </w:r>
      <w:r>
        <w:rPr>
          <w:spacing w:val="-5"/>
        </w:rPr>
        <w:t xml:space="preserve"> </w:t>
      </w:r>
      <w:r>
        <w:rPr>
          <w:spacing w:val="-2"/>
        </w:rPr>
        <w:t>triggers.</w:t>
      </w:r>
    </w:p>
    <w:p w14:paraId="3831D03E" w14:textId="77777777" w:rsidR="00DB6E1F" w:rsidRDefault="00F666A6">
      <w:pPr>
        <w:spacing w:before="164"/>
        <w:ind w:left="1441" w:right="1491"/>
      </w:pPr>
      <w:r>
        <w:rPr>
          <w:b/>
        </w:rPr>
        <w:t xml:space="preserve">Provide clients with personalized feedback on the risks associated with their own substance use and how their consumption compares with others of the same culture, age, or gender. </w:t>
      </w:r>
      <w:r>
        <w:t>When clients hear about</w:t>
      </w:r>
      <w:r>
        <w:rPr>
          <w:spacing w:val="-2"/>
        </w:rPr>
        <w:t xml:space="preserve"> </w:t>
      </w:r>
      <w:r>
        <w:t>assessment</w:t>
      </w:r>
      <w:r>
        <w:rPr>
          <w:spacing w:val="-5"/>
        </w:rPr>
        <w:t xml:space="preserve"> </w:t>
      </w:r>
      <w:r>
        <w:t>results</w:t>
      </w:r>
      <w:r>
        <w:rPr>
          <w:spacing w:val="-5"/>
        </w:rPr>
        <w:t xml:space="preserve"> </w:t>
      </w:r>
      <w:r>
        <w:t>and</w:t>
      </w:r>
      <w:r>
        <w:rPr>
          <w:spacing w:val="-4"/>
        </w:rPr>
        <w:t xml:space="preserve"> </w:t>
      </w:r>
      <w:r>
        <w:t>understand</w:t>
      </w:r>
      <w:r>
        <w:rPr>
          <w:spacing w:val="-4"/>
        </w:rPr>
        <w:t xml:space="preserve"> </w:t>
      </w:r>
      <w:r>
        <w:t>the</w:t>
      </w:r>
      <w:r>
        <w:rPr>
          <w:spacing w:val="-2"/>
        </w:rPr>
        <w:t xml:space="preserve"> </w:t>
      </w:r>
      <w:r>
        <w:t>risks</w:t>
      </w:r>
      <w:r>
        <w:rPr>
          <w:spacing w:val="-3"/>
        </w:rPr>
        <w:t xml:space="preserve"> </w:t>
      </w:r>
      <w:r>
        <w:t>and</w:t>
      </w:r>
      <w:r>
        <w:rPr>
          <w:spacing w:val="-4"/>
        </w:rPr>
        <w:t xml:space="preserve"> </w:t>
      </w:r>
      <w:r>
        <w:t>cons</w:t>
      </w:r>
      <w:r>
        <w:t>equences,</w:t>
      </w:r>
      <w:r>
        <w:rPr>
          <w:spacing w:val="-5"/>
        </w:rPr>
        <w:t xml:space="preserve"> </w:t>
      </w:r>
      <w:r>
        <w:t>many</w:t>
      </w:r>
      <w:r>
        <w:rPr>
          <w:spacing w:val="-2"/>
        </w:rPr>
        <w:t xml:space="preserve"> </w:t>
      </w:r>
      <w:r>
        <w:t>recognize</w:t>
      </w:r>
      <w:r>
        <w:rPr>
          <w:spacing w:val="-2"/>
        </w:rPr>
        <w:t xml:space="preserve"> </w:t>
      </w:r>
      <w:r>
        <w:t>the</w:t>
      </w:r>
      <w:r>
        <w:rPr>
          <w:spacing w:val="-5"/>
        </w:rPr>
        <w:t xml:space="preserve"> </w:t>
      </w:r>
      <w:r>
        <w:t>gap</w:t>
      </w:r>
      <w:r>
        <w:rPr>
          <w:spacing w:val="-4"/>
        </w:rPr>
        <w:t xml:space="preserve"> </w:t>
      </w:r>
      <w:r>
        <w:t>between where they are and where their values lie.</w:t>
      </w:r>
    </w:p>
    <w:p w14:paraId="6A0EBC9A" w14:textId="77777777" w:rsidR="00DB6E1F" w:rsidRDefault="00F666A6">
      <w:pPr>
        <w:spacing w:before="159"/>
        <w:ind w:left="1440" w:right="1444"/>
      </w:pPr>
      <w:r>
        <w:rPr>
          <w:b/>
        </w:rPr>
        <w:t>To make findings from an assessment a useful part of the counseling process, make sure the client understands</w:t>
      </w:r>
      <w:r>
        <w:rPr>
          <w:b/>
          <w:spacing w:val="-1"/>
        </w:rPr>
        <w:t xml:space="preserve"> </w:t>
      </w:r>
      <w:r>
        <w:rPr>
          <w:b/>
        </w:rPr>
        <w:t>the</w:t>
      </w:r>
      <w:r>
        <w:rPr>
          <w:b/>
          <w:spacing w:val="-2"/>
        </w:rPr>
        <w:t xml:space="preserve"> </w:t>
      </w:r>
      <w:r>
        <w:rPr>
          <w:b/>
        </w:rPr>
        <w:t>value</w:t>
      </w:r>
      <w:r>
        <w:rPr>
          <w:b/>
          <w:spacing w:val="-2"/>
        </w:rPr>
        <w:t xml:space="preserve"> </w:t>
      </w:r>
      <w:r>
        <w:rPr>
          <w:b/>
        </w:rPr>
        <w:t>of</w:t>
      </w:r>
      <w:r>
        <w:rPr>
          <w:b/>
          <w:spacing w:val="-6"/>
        </w:rPr>
        <w:t xml:space="preserve"> </w:t>
      </w:r>
      <w:r>
        <w:rPr>
          <w:b/>
        </w:rPr>
        <w:t>such</w:t>
      </w:r>
      <w:r>
        <w:rPr>
          <w:b/>
          <w:spacing w:val="-3"/>
        </w:rPr>
        <w:t xml:space="preserve"> </w:t>
      </w:r>
      <w:r>
        <w:rPr>
          <w:b/>
        </w:rPr>
        <w:t>information</w:t>
      </w:r>
      <w:r>
        <w:rPr>
          <w:b/>
          <w:spacing w:val="-3"/>
        </w:rPr>
        <w:t xml:space="preserve"> </w:t>
      </w:r>
      <w:r>
        <w:rPr>
          <w:b/>
        </w:rPr>
        <w:t>and</w:t>
      </w:r>
      <w:r>
        <w:rPr>
          <w:b/>
          <w:spacing w:val="-3"/>
        </w:rPr>
        <w:t xml:space="preserve"> </w:t>
      </w:r>
      <w:r>
        <w:rPr>
          <w:b/>
        </w:rPr>
        <w:t>believes</w:t>
      </w:r>
      <w:r>
        <w:rPr>
          <w:b/>
          <w:spacing w:val="-1"/>
        </w:rPr>
        <w:t xml:space="preserve"> </w:t>
      </w:r>
      <w:r>
        <w:rPr>
          <w:b/>
        </w:rPr>
        <w:t>the</w:t>
      </w:r>
      <w:r>
        <w:rPr>
          <w:b/>
          <w:spacing w:val="-5"/>
        </w:rPr>
        <w:t xml:space="preserve"> </w:t>
      </w:r>
      <w:r>
        <w:rPr>
          <w:b/>
        </w:rPr>
        <w:t>results</w:t>
      </w:r>
      <w:r>
        <w:rPr>
          <w:b/>
          <w:spacing w:val="-4"/>
        </w:rPr>
        <w:t xml:space="preserve"> </w:t>
      </w:r>
      <w:r>
        <w:rPr>
          <w:b/>
        </w:rPr>
        <w:t>will</w:t>
      </w:r>
      <w:r>
        <w:rPr>
          <w:b/>
          <w:spacing w:val="-3"/>
        </w:rPr>
        <w:t xml:space="preserve"> </w:t>
      </w:r>
      <w:r>
        <w:rPr>
          <w:b/>
        </w:rPr>
        <w:t>be</w:t>
      </w:r>
      <w:r>
        <w:rPr>
          <w:b/>
          <w:spacing w:val="-3"/>
        </w:rPr>
        <w:t xml:space="preserve"> </w:t>
      </w:r>
      <w:r>
        <w:rPr>
          <w:b/>
        </w:rPr>
        <w:t>helpful.</w:t>
      </w:r>
      <w:r>
        <w:rPr>
          <w:b/>
          <w:spacing w:val="-1"/>
        </w:rPr>
        <w:t xml:space="preserve"> </w:t>
      </w:r>
      <w:r>
        <w:t>If</w:t>
      </w:r>
      <w:r>
        <w:rPr>
          <w:spacing w:val="-2"/>
        </w:rPr>
        <w:t xml:space="preserve"> </w:t>
      </w:r>
      <w:r>
        <w:t>possible,</w:t>
      </w:r>
      <w:r>
        <w:rPr>
          <w:spacing w:val="-4"/>
        </w:rPr>
        <w:t xml:space="preserve"> </w:t>
      </w:r>
      <w:r>
        <w:t>schedule formal assessments after the client has had at least one session with you or use a motivational interviewing (MI) assessment strategy that involves having a brief MI conversation before and after the assessment (see C</w:t>
      </w:r>
      <w:r>
        <w:t>hapter 8 for more information). This approach will help establish rapport, determine the client’s readiness for change, and measure his or her potential response to personalized feedback.</w:t>
      </w:r>
    </w:p>
    <w:p w14:paraId="5266573B" w14:textId="77777777" w:rsidR="00DB6E1F" w:rsidRDefault="00F666A6">
      <w:pPr>
        <w:spacing w:before="160"/>
        <w:ind w:left="1440" w:right="1477"/>
      </w:pPr>
      <w:r>
        <w:t xml:space="preserve">Start a standard assessment by </w:t>
      </w:r>
      <w:r>
        <w:rPr>
          <w:b/>
        </w:rPr>
        <w:t>explaining what types of tests or que</w:t>
      </w:r>
      <w:r>
        <w:rPr>
          <w:b/>
        </w:rPr>
        <w:t>stionnaires will be administered and</w:t>
      </w:r>
      <w:r>
        <w:rPr>
          <w:b/>
          <w:spacing w:val="-3"/>
        </w:rPr>
        <w:t xml:space="preserve"> </w:t>
      </w:r>
      <w:r>
        <w:rPr>
          <w:b/>
        </w:rPr>
        <w:t>what</w:t>
      </w:r>
      <w:r>
        <w:rPr>
          <w:b/>
          <w:spacing w:val="-2"/>
        </w:rPr>
        <w:t xml:space="preserve"> </w:t>
      </w:r>
      <w:r>
        <w:rPr>
          <w:b/>
        </w:rPr>
        <w:t>information</w:t>
      </w:r>
      <w:r>
        <w:rPr>
          <w:b/>
          <w:spacing w:val="-3"/>
        </w:rPr>
        <w:t xml:space="preserve"> </w:t>
      </w:r>
      <w:r>
        <w:rPr>
          <w:b/>
        </w:rPr>
        <w:t>these</w:t>
      </w:r>
      <w:r>
        <w:rPr>
          <w:b/>
          <w:spacing w:val="-3"/>
        </w:rPr>
        <w:t xml:space="preserve"> </w:t>
      </w:r>
      <w:r>
        <w:rPr>
          <w:b/>
        </w:rPr>
        <w:t>tools</w:t>
      </w:r>
      <w:r>
        <w:rPr>
          <w:b/>
          <w:spacing w:val="-4"/>
        </w:rPr>
        <w:t xml:space="preserve"> </w:t>
      </w:r>
      <w:r>
        <w:rPr>
          <w:b/>
        </w:rPr>
        <w:t>will</w:t>
      </w:r>
      <w:r>
        <w:rPr>
          <w:b/>
          <w:spacing w:val="-3"/>
        </w:rPr>
        <w:t xml:space="preserve"> </w:t>
      </w:r>
      <w:r>
        <w:rPr>
          <w:b/>
        </w:rPr>
        <w:t>reveal.</w:t>
      </w:r>
      <w:r>
        <w:rPr>
          <w:b/>
          <w:spacing w:val="-1"/>
        </w:rPr>
        <w:t xml:space="preserve"> </w:t>
      </w:r>
      <w:r>
        <w:t>Estimate</w:t>
      </w:r>
      <w:r>
        <w:rPr>
          <w:spacing w:val="-1"/>
        </w:rPr>
        <w:t xml:space="preserve"> </w:t>
      </w:r>
      <w:r>
        <w:t>how</w:t>
      </w:r>
      <w:r>
        <w:rPr>
          <w:spacing w:val="-1"/>
        </w:rPr>
        <w:t xml:space="preserve"> </w:t>
      </w:r>
      <w:r>
        <w:t>long</w:t>
      </w:r>
      <w:r>
        <w:rPr>
          <w:spacing w:val="-3"/>
        </w:rPr>
        <w:t xml:space="preserve"> </w:t>
      </w:r>
      <w:r>
        <w:t>the</w:t>
      </w:r>
      <w:r>
        <w:rPr>
          <w:spacing w:val="-1"/>
        </w:rPr>
        <w:t xml:space="preserve"> </w:t>
      </w:r>
      <w:r>
        <w:t>process</w:t>
      </w:r>
      <w:r>
        <w:rPr>
          <w:spacing w:val="-2"/>
        </w:rPr>
        <w:t xml:space="preserve"> </w:t>
      </w:r>
      <w:r>
        <w:t>usually</w:t>
      </w:r>
      <w:r>
        <w:rPr>
          <w:spacing w:val="-1"/>
        </w:rPr>
        <w:t xml:space="preserve"> </w:t>
      </w:r>
      <w:r>
        <w:t>takes,</w:t>
      </w:r>
      <w:r>
        <w:rPr>
          <w:spacing w:val="-4"/>
        </w:rPr>
        <w:t xml:space="preserve"> </w:t>
      </w:r>
      <w:r>
        <w:t>and</w:t>
      </w:r>
      <w:r>
        <w:rPr>
          <w:spacing w:val="-3"/>
        </w:rPr>
        <w:t xml:space="preserve"> </w:t>
      </w:r>
      <w:r>
        <w:t>give</w:t>
      </w:r>
      <w:r>
        <w:rPr>
          <w:spacing w:val="-4"/>
        </w:rPr>
        <w:t xml:space="preserve"> </w:t>
      </w:r>
      <w:r>
        <w:t>any other</w:t>
      </w:r>
      <w:r>
        <w:rPr>
          <w:spacing w:val="-2"/>
        </w:rPr>
        <w:t xml:space="preserve"> </w:t>
      </w:r>
      <w:r>
        <w:t>necessary</w:t>
      </w:r>
      <w:r>
        <w:rPr>
          <w:spacing w:val="-4"/>
        </w:rPr>
        <w:t xml:space="preserve"> </w:t>
      </w:r>
      <w:r>
        <w:t>instructions.</w:t>
      </w:r>
      <w:r>
        <w:rPr>
          <w:spacing w:val="-1"/>
        </w:rPr>
        <w:t xml:space="preserve"> </w:t>
      </w:r>
      <w:r>
        <w:t>Make</w:t>
      </w:r>
      <w:r>
        <w:rPr>
          <w:spacing w:val="-1"/>
        </w:rPr>
        <w:t xml:space="preserve"> </w:t>
      </w:r>
      <w:r>
        <w:t>sure</w:t>
      </w:r>
      <w:r>
        <w:rPr>
          <w:spacing w:val="-4"/>
        </w:rPr>
        <w:t xml:space="preserve"> </w:t>
      </w:r>
      <w:r>
        <w:t>the</w:t>
      </w:r>
      <w:r>
        <w:rPr>
          <w:spacing w:val="-4"/>
        </w:rPr>
        <w:t xml:space="preserve"> </w:t>
      </w:r>
      <w:r>
        <w:t>client</w:t>
      </w:r>
      <w:r>
        <w:rPr>
          <w:spacing w:val="-2"/>
        </w:rPr>
        <w:t xml:space="preserve"> </w:t>
      </w:r>
      <w:r>
        <w:t>is</w:t>
      </w:r>
      <w:r>
        <w:rPr>
          <w:spacing w:val="-2"/>
        </w:rPr>
        <w:t xml:space="preserve"> </w:t>
      </w:r>
      <w:r>
        <w:t>comfortable</w:t>
      </w:r>
      <w:r>
        <w:rPr>
          <w:spacing w:val="-1"/>
        </w:rPr>
        <w:t xml:space="preserve"> </w:t>
      </w:r>
      <w:r>
        <w:t>with</w:t>
      </w:r>
      <w:r>
        <w:rPr>
          <w:spacing w:val="-3"/>
        </w:rPr>
        <w:t xml:space="preserve"> </w:t>
      </w:r>
      <w:r>
        <w:t>the</w:t>
      </w:r>
      <w:r>
        <w:rPr>
          <w:spacing w:val="-4"/>
        </w:rPr>
        <w:t xml:space="preserve"> </w:t>
      </w:r>
      <w:r>
        <w:t>assessment</w:t>
      </w:r>
      <w:r>
        <w:rPr>
          <w:spacing w:val="-4"/>
        </w:rPr>
        <w:t xml:space="preserve"> </w:t>
      </w:r>
      <w:r>
        <w:t>format</w:t>
      </w:r>
      <w:r>
        <w:rPr>
          <w:spacing w:val="-2"/>
        </w:rPr>
        <w:t xml:space="preserve"> </w:t>
      </w:r>
      <w:r>
        <w:t>(e.g.,</w:t>
      </w:r>
      <w:r>
        <w:rPr>
          <w:spacing w:val="-2"/>
        </w:rPr>
        <w:t xml:space="preserve"> </w:t>
      </w:r>
      <w:r>
        <w:t>have self-administered tests available in the client’s first language, do a face-to-face interview instead of a self-administered assessment if the client has cognitive challenges).</w:t>
      </w:r>
    </w:p>
    <w:p w14:paraId="3B2D52DE" w14:textId="77777777" w:rsidR="00DB6E1F" w:rsidRDefault="00DB6E1F">
      <w:pPr>
        <w:pStyle w:val="BodyText"/>
        <w:spacing w:before="2"/>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4BDFB674" w14:textId="77777777">
        <w:trPr>
          <w:trHeight w:val="5058"/>
        </w:trPr>
        <w:tc>
          <w:tcPr>
            <w:tcW w:w="9350" w:type="dxa"/>
            <w:shd w:val="clear" w:color="auto" w:fill="E7E6E6"/>
          </w:tcPr>
          <w:p w14:paraId="54D0DFB8" w14:textId="77777777" w:rsidR="00DB6E1F" w:rsidRDefault="00F666A6">
            <w:pPr>
              <w:pStyle w:val="TableParagraph"/>
              <w:spacing w:before="121"/>
              <w:ind w:left="2827"/>
              <w:rPr>
                <w:b/>
                <w:sz w:val="20"/>
              </w:rPr>
            </w:pPr>
            <w:r>
              <w:rPr>
                <w:b/>
                <w:sz w:val="20"/>
              </w:rPr>
              <w:t>Counselor</w:t>
            </w:r>
            <w:r>
              <w:rPr>
                <w:b/>
                <w:spacing w:val="-5"/>
                <w:sz w:val="20"/>
              </w:rPr>
              <w:t xml:space="preserve"> </w:t>
            </w:r>
            <w:r>
              <w:rPr>
                <w:b/>
                <w:sz w:val="20"/>
              </w:rPr>
              <w:t>Note:</w:t>
            </w:r>
            <w:r>
              <w:rPr>
                <w:b/>
                <w:spacing w:val="-6"/>
                <w:sz w:val="20"/>
              </w:rPr>
              <w:t xml:space="preserve"> </w:t>
            </w:r>
            <w:r>
              <w:rPr>
                <w:b/>
                <w:sz w:val="20"/>
              </w:rPr>
              <w:t>Description</w:t>
            </w:r>
            <w:r>
              <w:rPr>
                <w:b/>
                <w:spacing w:val="-7"/>
                <w:sz w:val="20"/>
              </w:rPr>
              <w:t xml:space="preserve"> </w:t>
            </w:r>
            <w:r>
              <w:rPr>
                <w:b/>
                <w:sz w:val="20"/>
              </w:rPr>
              <w:t>of</w:t>
            </w:r>
            <w:r>
              <w:rPr>
                <w:b/>
                <w:spacing w:val="-7"/>
                <w:sz w:val="20"/>
              </w:rPr>
              <w:t xml:space="preserve"> </w:t>
            </w:r>
            <w:r>
              <w:rPr>
                <w:b/>
                <w:sz w:val="20"/>
              </w:rPr>
              <w:t>a</w:t>
            </w:r>
            <w:r>
              <w:rPr>
                <w:b/>
                <w:spacing w:val="-6"/>
                <w:sz w:val="20"/>
              </w:rPr>
              <w:t xml:space="preserve"> </w:t>
            </w:r>
            <w:r>
              <w:rPr>
                <w:b/>
                <w:sz w:val="20"/>
              </w:rPr>
              <w:t>Typical</w:t>
            </w:r>
            <w:r>
              <w:rPr>
                <w:b/>
                <w:spacing w:val="-5"/>
                <w:sz w:val="20"/>
              </w:rPr>
              <w:t xml:space="preserve"> Day</w:t>
            </w:r>
          </w:p>
          <w:p w14:paraId="6C238436" w14:textId="77777777" w:rsidR="00DB6E1F" w:rsidRDefault="00F666A6">
            <w:pPr>
              <w:pStyle w:val="TableParagraph"/>
              <w:spacing w:before="121"/>
              <w:ind w:right="252"/>
              <w:rPr>
                <w:sz w:val="20"/>
              </w:rPr>
            </w:pPr>
            <w:r>
              <w:rPr>
                <w:sz w:val="20"/>
              </w:rPr>
              <w:t>An informal way to engage cl</w:t>
            </w:r>
            <w:r>
              <w:rPr>
                <w:sz w:val="20"/>
              </w:rPr>
              <w:t>ients, build rapport as part of</w:t>
            </w:r>
            <w:r>
              <w:rPr>
                <w:spacing w:val="-3"/>
                <w:sz w:val="20"/>
              </w:rPr>
              <w:t xml:space="preserve"> </w:t>
            </w:r>
            <w:r>
              <w:rPr>
                <w:sz w:val="20"/>
              </w:rPr>
              <w:t>an assessment, and encourage clients to talk about substance</w:t>
            </w:r>
            <w:r>
              <w:rPr>
                <w:spacing w:val="-4"/>
                <w:sz w:val="20"/>
              </w:rPr>
              <w:t xml:space="preserve"> </w:t>
            </w:r>
            <w:r>
              <w:rPr>
                <w:sz w:val="20"/>
              </w:rPr>
              <w:t>use</w:t>
            </w:r>
            <w:r>
              <w:rPr>
                <w:spacing w:val="-4"/>
                <w:sz w:val="20"/>
              </w:rPr>
              <w:t xml:space="preserve"> </w:t>
            </w:r>
            <w:r>
              <w:rPr>
                <w:sz w:val="20"/>
              </w:rPr>
              <w:t>patterns</w:t>
            </w:r>
            <w:r>
              <w:rPr>
                <w:spacing w:val="-4"/>
                <w:sz w:val="20"/>
              </w:rPr>
              <w:t xml:space="preserve"> </w:t>
            </w:r>
            <w:r>
              <w:rPr>
                <w:sz w:val="20"/>
              </w:rPr>
              <w:t>in</w:t>
            </w:r>
            <w:r>
              <w:rPr>
                <w:spacing w:val="-2"/>
                <w:sz w:val="20"/>
              </w:rPr>
              <w:t xml:space="preserve"> </w:t>
            </w:r>
            <w:r>
              <w:rPr>
                <w:sz w:val="20"/>
              </w:rPr>
              <w:t>a</w:t>
            </w:r>
            <w:r>
              <w:rPr>
                <w:spacing w:val="-4"/>
                <w:sz w:val="20"/>
              </w:rPr>
              <w:t xml:space="preserve"> </w:t>
            </w:r>
            <w:r>
              <w:rPr>
                <w:sz w:val="20"/>
              </w:rPr>
              <w:t>nonjudgmental</w:t>
            </w:r>
            <w:r>
              <w:rPr>
                <w:spacing w:val="-3"/>
                <w:sz w:val="20"/>
              </w:rPr>
              <w:t xml:space="preserve"> </w:t>
            </w:r>
            <w:r>
              <w:rPr>
                <w:sz w:val="20"/>
              </w:rPr>
              <w:t>framework</w:t>
            </w:r>
            <w:r>
              <w:rPr>
                <w:spacing w:val="-2"/>
                <w:sz w:val="20"/>
              </w:rPr>
              <w:t xml:space="preserve"> </w:t>
            </w:r>
            <w:r>
              <w:rPr>
                <w:sz w:val="20"/>
              </w:rPr>
              <w:t>is</w:t>
            </w:r>
            <w:r>
              <w:rPr>
                <w:spacing w:val="-4"/>
                <w:sz w:val="20"/>
              </w:rPr>
              <w:t xml:space="preserve"> </w:t>
            </w:r>
            <w:r>
              <w:rPr>
                <w:sz w:val="20"/>
              </w:rPr>
              <w:t>to</w:t>
            </w:r>
            <w:r>
              <w:rPr>
                <w:spacing w:val="-2"/>
                <w:sz w:val="20"/>
              </w:rPr>
              <w:t xml:space="preserve"> </w:t>
            </w:r>
            <w:r>
              <w:rPr>
                <w:sz w:val="20"/>
              </w:rPr>
              <w:t>ask</w:t>
            </w:r>
            <w:r>
              <w:rPr>
                <w:spacing w:val="-2"/>
                <w:sz w:val="20"/>
              </w:rPr>
              <w:t xml:space="preserve"> </w:t>
            </w:r>
            <w:r>
              <w:rPr>
                <w:sz w:val="20"/>
              </w:rPr>
              <w:t>them</w:t>
            </w:r>
            <w:r>
              <w:rPr>
                <w:spacing w:val="-4"/>
                <w:sz w:val="20"/>
              </w:rPr>
              <w:t xml:space="preserve"> </w:t>
            </w:r>
            <w:r>
              <w:rPr>
                <w:sz w:val="20"/>
              </w:rPr>
              <w:t>to</w:t>
            </w:r>
            <w:r>
              <w:rPr>
                <w:spacing w:val="-2"/>
                <w:sz w:val="20"/>
              </w:rPr>
              <w:t xml:space="preserve"> </w:t>
            </w:r>
            <w:r>
              <w:rPr>
                <w:sz w:val="20"/>
              </w:rPr>
              <w:t>describe</w:t>
            </w:r>
            <w:r>
              <w:rPr>
                <w:spacing w:val="-4"/>
                <w:sz w:val="20"/>
              </w:rPr>
              <w:t xml:space="preserve"> </w:t>
            </w:r>
            <w:r>
              <w:rPr>
                <w:sz w:val="20"/>
              </w:rPr>
              <w:t>a</w:t>
            </w:r>
            <w:r>
              <w:rPr>
                <w:spacing w:val="-2"/>
                <w:sz w:val="20"/>
              </w:rPr>
              <w:t xml:space="preserve"> </w:t>
            </w:r>
            <w:r>
              <w:rPr>
                <w:sz w:val="20"/>
              </w:rPr>
              <w:t>typical</w:t>
            </w:r>
            <w:r>
              <w:rPr>
                <w:spacing w:val="-3"/>
                <w:sz w:val="20"/>
              </w:rPr>
              <w:t xml:space="preserve"> </w:t>
            </w:r>
            <w:r>
              <w:rPr>
                <w:sz w:val="20"/>
              </w:rPr>
              <w:t>day</w:t>
            </w:r>
            <w:r>
              <w:rPr>
                <w:spacing w:val="-2"/>
                <w:sz w:val="20"/>
              </w:rPr>
              <w:t xml:space="preserve"> </w:t>
            </w:r>
            <w:r>
              <w:rPr>
                <w:sz w:val="20"/>
              </w:rPr>
              <w:t>(Rollnick,</w:t>
            </w:r>
            <w:r>
              <w:rPr>
                <w:spacing w:val="-2"/>
                <w:sz w:val="20"/>
              </w:rPr>
              <w:t xml:space="preserve"> </w:t>
            </w:r>
            <w:r>
              <w:rPr>
                <w:sz w:val="20"/>
              </w:rPr>
              <w:t>Miller, &amp; Butler, 2008). This approach can help you understand the co</w:t>
            </w:r>
            <w:r>
              <w:rPr>
                <w:sz w:val="20"/>
              </w:rPr>
              <w:t>ntext of clients’ substance use. For example, it may reveal how much of each day is spent trying to get drugs and how little time is left to spend with loved ones. By asking about both behaviors and feelings, you can learn much about what substance use mea</w:t>
            </w:r>
            <w:r>
              <w:rPr>
                <w:sz w:val="20"/>
              </w:rPr>
              <w:t>ns to clients and how difficult or simple it may be to give it up. This strategy invites clients to tell a story; that story provides important details about clients’ substance use patterns and related negative effects.</w:t>
            </w:r>
          </w:p>
          <w:p w14:paraId="2993FAD0" w14:textId="77777777" w:rsidR="00DB6E1F" w:rsidRDefault="00F666A6">
            <w:pPr>
              <w:pStyle w:val="TableParagraph"/>
              <w:numPr>
                <w:ilvl w:val="0"/>
                <w:numId w:val="66"/>
              </w:numPr>
              <w:tabs>
                <w:tab w:val="left" w:pos="467"/>
                <w:tab w:val="left" w:pos="468"/>
              </w:tabs>
              <w:spacing w:before="119"/>
              <w:ind w:right="261"/>
              <w:rPr>
                <w:sz w:val="20"/>
              </w:rPr>
            </w:pPr>
            <w:r>
              <w:rPr>
                <w:b/>
                <w:sz w:val="20"/>
              </w:rPr>
              <w:t>Start</w:t>
            </w:r>
            <w:r>
              <w:rPr>
                <w:b/>
                <w:spacing w:val="-2"/>
                <w:sz w:val="20"/>
              </w:rPr>
              <w:t xml:space="preserve"> </w:t>
            </w:r>
            <w:r>
              <w:rPr>
                <w:b/>
                <w:sz w:val="20"/>
              </w:rPr>
              <w:t>by</w:t>
            </w:r>
            <w:r>
              <w:rPr>
                <w:b/>
                <w:spacing w:val="-4"/>
                <w:sz w:val="20"/>
              </w:rPr>
              <w:t xml:space="preserve"> </w:t>
            </w:r>
            <w:r>
              <w:rPr>
                <w:b/>
                <w:sz w:val="20"/>
              </w:rPr>
              <w:t>asking</w:t>
            </w:r>
            <w:r>
              <w:rPr>
                <w:b/>
                <w:spacing w:val="-4"/>
                <w:sz w:val="20"/>
              </w:rPr>
              <w:t xml:space="preserve"> </w:t>
            </w:r>
            <w:r>
              <w:rPr>
                <w:b/>
                <w:sz w:val="20"/>
              </w:rPr>
              <w:t>permission.</w:t>
            </w:r>
            <w:r>
              <w:rPr>
                <w:b/>
                <w:spacing w:val="-3"/>
                <w:sz w:val="20"/>
              </w:rPr>
              <w:t xml:space="preserve"> </w:t>
            </w:r>
            <w:r>
              <w:rPr>
                <w:sz w:val="20"/>
              </w:rPr>
              <w:t>“It</w:t>
            </w:r>
            <w:r>
              <w:rPr>
                <w:spacing w:val="-3"/>
                <w:sz w:val="20"/>
              </w:rPr>
              <w:t xml:space="preserve"> </w:t>
            </w:r>
            <w:r>
              <w:rPr>
                <w:sz w:val="20"/>
              </w:rPr>
              <w:t>would</w:t>
            </w:r>
            <w:r>
              <w:rPr>
                <w:spacing w:val="-2"/>
                <w:sz w:val="20"/>
              </w:rPr>
              <w:t xml:space="preserve"> </w:t>
            </w:r>
            <w:r>
              <w:rPr>
                <w:sz w:val="20"/>
              </w:rPr>
              <w:t>help</w:t>
            </w:r>
            <w:r>
              <w:rPr>
                <w:spacing w:val="-2"/>
                <w:sz w:val="20"/>
              </w:rPr>
              <w:t xml:space="preserve"> </w:t>
            </w:r>
            <w:r>
              <w:rPr>
                <w:sz w:val="20"/>
              </w:rPr>
              <w:t>me</w:t>
            </w:r>
            <w:r>
              <w:rPr>
                <w:spacing w:val="-4"/>
                <w:sz w:val="20"/>
              </w:rPr>
              <w:t xml:space="preserve"> </w:t>
            </w:r>
            <w:r>
              <w:rPr>
                <w:sz w:val="20"/>
              </w:rPr>
              <w:t>to</w:t>
            </w:r>
            <w:r>
              <w:rPr>
                <w:spacing w:val="-3"/>
                <w:sz w:val="20"/>
              </w:rPr>
              <w:t xml:space="preserve"> </w:t>
            </w:r>
            <w:r>
              <w:rPr>
                <w:sz w:val="20"/>
              </w:rPr>
              <w:t>understand</w:t>
            </w:r>
            <w:r>
              <w:rPr>
                <w:spacing w:val="-2"/>
                <w:sz w:val="20"/>
              </w:rPr>
              <w:t xml:space="preserve"> </w:t>
            </w:r>
            <w:r>
              <w:rPr>
                <w:sz w:val="20"/>
              </w:rPr>
              <w:t>how</w:t>
            </w:r>
            <w:r>
              <w:rPr>
                <w:spacing w:val="-2"/>
                <w:sz w:val="20"/>
              </w:rPr>
              <w:t xml:space="preserve"> </w:t>
            </w:r>
            <w:r>
              <w:rPr>
                <w:i/>
                <w:sz w:val="20"/>
              </w:rPr>
              <w:t>[name</w:t>
            </w:r>
            <w:r>
              <w:rPr>
                <w:i/>
                <w:spacing w:val="-2"/>
                <w:sz w:val="20"/>
              </w:rPr>
              <w:t xml:space="preserve"> </w:t>
            </w:r>
            <w:r>
              <w:rPr>
                <w:i/>
                <w:sz w:val="20"/>
              </w:rPr>
              <w:t>the</w:t>
            </w:r>
            <w:r>
              <w:rPr>
                <w:i/>
                <w:spacing w:val="-2"/>
                <w:sz w:val="20"/>
              </w:rPr>
              <w:t xml:space="preserve"> </w:t>
            </w:r>
            <w:r>
              <w:rPr>
                <w:i/>
                <w:sz w:val="20"/>
              </w:rPr>
              <w:t>substance</w:t>
            </w:r>
            <w:r>
              <w:rPr>
                <w:i/>
                <w:spacing w:val="-5"/>
                <w:sz w:val="20"/>
              </w:rPr>
              <w:t xml:space="preserve"> </w:t>
            </w:r>
            <w:r>
              <w:rPr>
                <w:i/>
                <w:sz w:val="20"/>
              </w:rPr>
              <w:t>use</w:t>
            </w:r>
            <w:r>
              <w:rPr>
                <w:i/>
                <w:spacing w:val="-2"/>
                <w:sz w:val="20"/>
              </w:rPr>
              <w:t xml:space="preserve"> </w:t>
            </w:r>
            <w:r>
              <w:rPr>
                <w:i/>
                <w:sz w:val="20"/>
              </w:rPr>
              <w:t>behavior,</w:t>
            </w:r>
            <w:r>
              <w:rPr>
                <w:i/>
                <w:spacing w:val="-2"/>
                <w:sz w:val="20"/>
              </w:rPr>
              <w:t xml:space="preserve"> </w:t>
            </w:r>
            <w:r>
              <w:rPr>
                <w:i/>
                <w:sz w:val="20"/>
              </w:rPr>
              <w:t xml:space="preserve">such as drinking or smoking cannabis] </w:t>
            </w:r>
            <w:r>
              <w:rPr>
                <w:sz w:val="20"/>
              </w:rPr>
              <w:t>fits into to your life. Would it be okay if we spend a few minutes going through a typical day from beginning to end? Let’s start from t</w:t>
            </w:r>
            <w:r>
              <w:rPr>
                <w:sz w:val="20"/>
              </w:rPr>
              <w:t>he time you get up in the morning.”</w:t>
            </w:r>
          </w:p>
          <w:p w14:paraId="2D09C652" w14:textId="77777777" w:rsidR="00DB6E1F" w:rsidRDefault="00F666A6">
            <w:pPr>
              <w:pStyle w:val="TableParagraph"/>
              <w:numPr>
                <w:ilvl w:val="0"/>
                <w:numId w:val="66"/>
              </w:numPr>
              <w:tabs>
                <w:tab w:val="left" w:pos="467"/>
                <w:tab w:val="left" w:pos="468"/>
              </w:tabs>
              <w:spacing w:before="39"/>
              <w:ind w:hanging="361"/>
              <w:rPr>
                <w:b/>
                <w:sz w:val="20"/>
              </w:rPr>
            </w:pPr>
            <w:r>
              <w:rPr>
                <w:b/>
                <w:sz w:val="20"/>
              </w:rPr>
              <w:t>Be</w:t>
            </w:r>
            <w:r>
              <w:rPr>
                <w:b/>
                <w:spacing w:val="-1"/>
                <w:sz w:val="20"/>
              </w:rPr>
              <w:t xml:space="preserve"> </w:t>
            </w:r>
            <w:r>
              <w:rPr>
                <w:b/>
                <w:spacing w:val="-2"/>
                <w:sz w:val="20"/>
              </w:rPr>
              <w:t>curious.</w:t>
            </w:r>
          </w:p>
          <w:p w14:paraId="6B09F993" w14:textId="77777777" w:rsidR="00DB6E1F" w:rsidRDefault="00F666A6">
            <w:pPr>
              <w:pStyle w:val="TableParagraph"/>
              <w:numPr>
                <w:ilvl w:val="0"/>
                <w:numId w:val="66"/>
              </w:numPr>
              <w:tabs>
                <w:tab w:val="left" w:pos="467"/>
                <w:tab w:val="left" w:pos="468"/>
              </w:tabs>
              <w:spacing w:before="40"/>
              <w:ind w:right="200"/>
              <w:rPr>
                <w:sz w:val="20"/>
              </w:rPr>
            </w:pPr>
            <w:r>
              <w:rPr>
                <w:b/>
                <w:sz w:val="20"/>
              </w:rPr>
              <w:t>Avoid</w:t>
            </w:r>
            <w:r>
              <w:rPr>
                <w:b/>
                <w:spacing w:val="-2"/>
                <w:sz w:val="20"/>
              </w:rPr>
              <w:t xml:space="preserve"> </w:t>
            </w:r>
            <w:r>
              <w:rPr>
                <w:b/>
                <w:sz w:val="20"/>
              </w:rPr>
              <w:t>the</w:t>
            </w:r>
            <w:r>
              <w:rPr>
                <w:b/>
                <w:spacing w:val="-2"/>
                <w:sz w:val="20"/>
              </w:rPr>
              <w:t xml:space="preserve"> </w:t>
            </w:r>
            <w:r>
              <w:rPr>
                <w:b/>
                <w:sz w:val="20"/>
              </w:rPr>
              <w:t>use</w:t>
            </w:r>
            <w:r>
              <w:rPr>
                <w:b/>
                <w:spacing w:val="-2"/>
                <w:sz w:val="20"/>
              </w:rPr>
              <w:t xml:space="preserve"> </w:t>
            </w:r>
            <w:r>
              <w:rPr>
                <w:b/>
                <w:sz w:val="20"/>
              </w:rPr>
              <w:t>of</w:t>
            </w:r>
            <w:r>
              <w:rPr>
                <w:b/>
                <w:spacing w:val="-4"/>
                <w:sz w:val="20"/>
              </w:rPr>
              <w:t xml:space="preserve"> </w:t>
            </w:r>
            <w:r>
              <w:rPr>
                <w:b/>
                <w:sz w:val="20"/>
              </w:rPr>
              <w:t>the</w:t>
            </w:r>
            <w:r>
              <w:rPr>
                <w:b/>
                <w:spacing w:val="-2"/>
                <w:sz w:val="20"/>
              </w:rPr>
              <w:t xml:space="preserve"> </w:t>
            </w:r>
            <w:r>
              <w:rPr>
                <w:b/>
                <w:sz w:val="20"/>
              </w:rPr>
              <w:t>word</w:t>
            </w:r>
            <w:r>
              <w:rPr>
                <w:b/>
                <w:spacing w:val="-5"/>
                <w:sz w:val="20"/>
              </w:rPr>
              <w:t xml:space="preserve"> </w:t>
            </w:r>
            <w:r>
              <w:rPr>
                <w:b/>
                <w:sz w:val="20"/>
              </w:rPr>
              <w:t>“problem”</w:t>
            </w:r>
            <w:r>
              <w:rPr>
                <w:b/>
                <w:spacing w:val="-3"/>
                <w:sz w:val="20"/>
              </w:rPr>
              <w:t xml:space="preserve"> </w:t>
            </w:r>
            <w:r>
              <w:rPr>
                <w:sz w:val="20"/>
              </w:rPr>
              <w:t>(unless</w:t>
            </w:r>
            <w:r>
              <w:rPr>
                <w:spacing w:val="-4"/>
                <w:sz w:val="20"/>
              </w:rPr>
              <w:t xml:space="preserve"> </w:t>
            </w:r>
            <w:r>
              <w:rPr>
                <w:sz w:val="20"/>
              </w:rPr>
              <w:t>the</w:t>
            </w:r>
            <w:r>
              <w:rPr>
                <w:spacing w:val="-4"/>
                <w:sz w:val="20"/>
              </w:rPr>
              <w:t xml:space="preserve"> </w:t>
            </w:r>
            <w:r>
              <w:rPr>
                <w:sz w:val="20"/>
              </w:rPr>
              <w:t>client</w:t>
            </w:r>
            <w:r>
              <w:rPr>
                <w:spacing w:val="-3"/>
                <w:sz w:val="20"/>
              </w:rPr>
              <w:t xml:space="preserve"> </w:t>
            </w:r>
            <w:r>
              <w:rPr>
                <w:sz w:val="20"/>
              </w:rPr>
              <w:t>uses</w:t>
            </w:r>
            <w:r>
              <w:rPr>
                <w:spacing w:val="-4"/>
                <w:sz w:val="20"/>
              </w:rPr>
              <w:t xml:space="preserve"> </w:t>
            </w:r>
            <w:r>
              <w:rPr>
                <w:sz w:val="20"/>
              </w:rPr>
              <w:t>it)</w:t>
            </w:r>
            <w:r>
              <w:rPr>
                <w:spacing w:val="-3"/>
                <w:sz w:val="20"/>
              </w:rPr>
              <w:t xml:space="preserve"> </w:t>
            </w:r>
            <w:r>
              <w:rPr>
                <w:sz w:val="20"/>
              </w:rPr>
              <w:t>in</w:t>
            </w:r>
            <w:r>
              <w:rPr>
                <w:spacing w:val="-2"/>
                <w:sz w:val="20"/>
              </w:rPr>
              <w:t xml:space="preserve"> </w:t>
            </w:r>
            <w:r>
              <w:rPr>
                <w:sz w:val="20"/>
              </w:rPr>
              <w:t>relation</w:t>
            </w:r>
            <w:r>
              <w:rPr>
                <w:spacing w:val="-2"/>
                <w:sz w:val="20"/>
              </w:rPr>
              <w:t xml:space="preserve"> </w:t>
            </w:r>
            <w:r>
              <w:rPr>
                <w:sz w:val="20"/>
              </w:rPr>
              <w:t>to</w:t>
            </w:r>
            <w:r>
              <w:rPr>
                <w:spacing w:val="-3"/>
                <w:sz w:val="20"/>
              </w:rPr>
              <w:t xml:space="preserve"> </w:t>
            </w:r>
            <w:r>
              <w:rPr>
                <w:sz w:val="20"/>
              </w:rPr>
              <w:t>substance</w:t>
            </w:r>
            <w:r>
              <w:rPr>
                <w:spacing w:val="-4"/>
                <w:sz w:val="20"/>
              </w:rPr>
              <w:t xml:space="preserve"> </w:t>
            </w:r>
            <w:r>
              <w:rPr>
                <w:sz w:val="20"/>
              </w:rPr>
              <w:t>use,</w:t>
            </w:r>
            <w:r>
              <w:rPr>
                <w:spacing w:val="-2"/>
                <w:sz w:val="20"/>
              </w:rPr>
              <w:t xml:space="preserve"> </w:t>
            </w:r>
            <w:r>
              <w:rPr>
                <w:sz w:val="20"/>
              </w:rPr>
              <w:t>otherwise</w:t>
            </w:r>
            <w:r>
              <w:rPr>
                <w:spacing w:val="-4"/>
                <w:sz w:val="20"/>
              </w:rPr>
              <w:t xml:space="preserve"> </w:t>
            </w:r>
            <w:r>
              <w:rPr>
                <w:sz w:val="20"/>
              </w:rPr>
              <w:t>you might create discord (Rosengren, 2018).</w:t>
            </w:r>
          </w:p>
          <w:p w14:paraId="78B868AC" w14:textId="77777777" w:rsidR="00DB6E1F" w:rsidRDefault="00F666A6">
            <w:pPr>
              <w:pStyle w:val="TableParagraph"/>
              <w:numPr>
                <w:ilvl w:val="0"/>
                <w:numId w:val="66"/>
              </w:numPr>
              <w:tabs>
                <w:tab w:val="left" w:pos="467"/>
                <w:tab w:val="left" w:pos="468"/>
              </w:tabs>
              <w:spacing w:before="41"/>
              <w:ind w:right="675"/>
              <w:rPr>
                <w:sz w:val="20"/>
              </w:rPr>
            </w:pPr>
            <w:r>
              <w:rPr>
                <w:b/>
                <w:sz w:val="20"/>
              </w:rPr>
              <w:t>Follow</w:t>
            </w:r>
            <w:r>
              <w:rPr>
                <w:b/>
                <w:spacing w:val="-3"/>
                <w:sz w:val="20"/>
              </w:rPr>
              <w:t xml:space="preserve"> </w:t>
            </w:r>
            <w:r>
              <w:rPr>
                <w:b/>
                <w:sz w:val="20"/>
              </w:rPr>
              <w:t>the</w:t>
            </w:r>
            <w:r>
              <w:rPr>
                <w:b/>
                <w:spacing w:val="-3"/>
                <w:sz w:val="20"/>
              </w:rPr>
              <w:t xml:space="preserve"> </w:t>
            </w:r>
            <w:r>
              <w:rPr>
                <w:b/>
                <w:sz w:val="20"/>
              </w:rPr>
              <w:t>client</w:t>
            </w:r>
            <w:r>
              <w:rPr>
                <w:b/>
                <w:spacing w:val="-3"/>
                <w:sz w:val="20"/>
              </w:rPr>
              <w:t xml:space="preserve"> </w:t>
            </w:r>
            <w:r>
              <w:rPr>
                <w:b/>
                <w:sz w:val="20"/>
              </w:rPr>
              <w:t>through</w:t>
            </w:r>
            <w:r>
              <w:rPr>
                <w:b/>
                <w:spacing w:val="-2"/>
                <w:sz w:val="20"/>
              </w:rPr>
              <w:t xml:space="preserve"> </w:t>
            </w:r>
            <w:r>
              <w:rPr>
                <w:b/>
                <w:sz w:val="20"/>
              </w:rPr>
              <w:t>the</w:t>
            </w:r>
            <w:r>
              <w:rPr>
                <w:b/>
                <w:spacing w:val="-5"/>
                <w:sz w:val="20"/>
              </w:rPr>
              <w:t xml:space="preserve"> </w:t>
            </w:r>
            <w:r>
              <w:rPr>
                <w:b/>
                <w:sz w:val="20"/>
              </w:rPr>
              <w:t>sequence</w:t>
            </w:r>
            <w:r>
              <w:rPr>
                <w:b/>
                <w:spacing w:val="-3"/>
                <w:sz w:val="20"/>
              </w:rPr>
              <w:t xml:space="preserve"> </w:t>
            </w:r>
            <w:r>
              <w:rPr>
                <w:b/>
                <w:sz w:val="20"/>
              </w:rPr>
              <w:t>of</w:t>
            </w:r>
            <w:r>
              <w:rPr>
                <w:b/>
                <w:spacing w:val="-4"/>
                <w:sz w:val="20"/>
              </w:rPr>
              <w:t xml:space="preserve"> </w:t>
            </w:r>
            <w:r>
              <w:rPr>
                <w:b/>
                <w:sz w:val="20"/>
              </w:rPr>
              <w:t>events</w:t>
            </w:r>
            <w:r>
              <w:rPr>
                <w:b/>
                <w:spacing w:val="-3"/>
                <w:sz w:val="20"/>
              </w:rPr>
              <w:t xml:space="preserve"> </w:t>
            </w:r>
            <w:r>
              <w:rPr>
                <w:b/>
                <w:sz w:val="20"/>
              </w:rPr>
              <w:t>for</w:t>
            </w:r>
            <w:r>
              <w:rPr>
                <w:b/>
                <w:spacing w:val="-2"/>
                <w:sz w:val="20"/>
              </w:rPr>
              <w:t xml:space="preserve"> </w:t>
            </w:r>
            <w:r>
              <w:rPr>
                <w:b/>
                <w:sz w:val="20"/>
              </w:rPr>
              <w:t>an</w:t>
            </w:r>
            <w:r>
              <w:rPr>
                <w:b/>
                <w:spacing w:val="-2"/>
                <w:sz w:val="20"/>
              </w:rPr>
              <w:t xml:space="preserve"> </w:t>
            </w:r>
            <w:r>
              <w:rPr>
                <w:b/>
                <w:sz w:val="20"/>
              </w:rPr>
              <w:t>entire</w:t>
            </w:r>
            <w:r>
              <w:rPr>
                <w:b/>
                <w:spacing w:val="-3"/>
                <w:sz w:val="20"/>
              </w:rPr>
              <w:t xml:space="preserve"> </w:t>
            </w:r>
            <w:r>
              <w:rPr>
                <w:b/>
                <w:sz w:val="20"/>
              </w:rPr>
              <w:t>day,</w:t>
            </w:r>
            <w:r>
              <w:rPr>
                <w:b/>
                <w:spacing w:val="-4"/>
                <w:sz w:val="20"/>
              </w:rPr>
              <w:t xml:space="preserve"> </w:t>
            </w:r>
            <w:r>
              <w:rPr>
                <w:b/>
                <w:sz w:val="20"/>
              </w:rPr>
              <w:t>focusing</w:t>
            </w:r>
            <w:r>
              <w:rPr>
                <w:b/>
                <w:spacing w:val="-4"/>
                <w:sz w:val="20"/>
              </w:rPr>
              <w:t xml:space="preserve"> </w:t>
            </w:r>
            <w:r>
              <w:rPr>
                <w:b/>
                <w:sz w:val="20"/>
              </w:rPr>
              <w:t>on</w:t>
            </w:r>
            <w:r>
              <w:rPr>
                <w:b/>
                <w:spacing w:val="-2"/>
                <w:sz w:val="20"/>
              </w:rPr>
              <w:t xml:space="preserve"> </w:t>
            </w:r>
            <w:r>
              <w:rPr>
                <w:b/>
                <w:sz w:val="20"/>
              </w:rPr>
              <w:t>both</w:t>
            </w:r>
            <w:r>
              <w:rPr>
                <w:b/>
                <w:spacing w:val="-2"/>
                <w:sz w:val="20"/>
              </w:rPr>
              <w:t xml:space="preserve"> </w:t>
            </w:r>
            <w:r>
              <w:rPr>
                <w:b/>
                <w:sz w:val="20"/>
              </w:rPr>
              <w:t>behaviors</w:t>
            </w:r>
            <w:r>
              <w:rPr>
                <w:b/>
                <w:spacing w:val="-3"/>
                <w:sz w:val="20"/>
              </w:rPr>
              <w:t xml:space="preserve"> </w:t>
            </w:r>
            <w:r>
              <w:rPr>
                <w:b/>
                <w:sz w:val="20"/>
              </w:rPr>
              <w:t>and feelings</w:t>
            </w:r>
            <w:r>
              <w:rPr>
                <w:sz w:val="20"/>
              </w:rPr>
              <w:t>. Keep asking, “What happens when… ?”</w:t>
            </w:r>
          </w:p>
          <w:p w14:paraId="55947A74" w14:textId="77777777" w:rsidR="00DB6E1F" w:rsidRDefault="00F666A6">
            <w:pPr>
              <w:pStyle w:val="TableParagraph"/>
              <w:numPr>
                <w:ilvl w:val="0"/>
                <w:numId w:val="66"/>
              </w:numPr>
              <w:tabs>
                <w:tab w:val="left" w:pos="467"/>
                <w:tab w:val="left" w:pos="468"/>
              </w:tabs>
              <w:spacing w:before="39"/>
              <w:ind w:hanging="361"/>
              <w:rPr>
                <w:sz w:val="20"/>
              </w:rPr>
            </w:pPr>
            <w:r>
              <w:rPr>
                <w:b/>
                <w:sz w:val="20"/>
              </w:rPr>
              <w:t>Ask</w:t>
            </w:r>
            <w:r>
              <w:rPr>
                <w:b/>
                <w:spacing w:val="-6"/>
                <w:sz w:val="20"/>
              </w:rPr>
              <w:t xml:space="preserve"> </w:t>
            </w:r>
            <w:r>
              <w:rPr>
                <w:b/>
                <w:sz w:val="20"/>
              </w:rPr>
              <w:t>questions</w:t>
            </w:r>
            <w:r>
              <w:rPr>
                <w:b/>
                <w:spacing w:val="-5"/>
                <w:sz w:val="20"/>
              </w:rPr>
              <w:t xml:space="preserve"> </w:t>
            </w:r>
            <w:r>
              <w:rPr>
                <w:b/>
                <w:sz w:val="20"/>
              </w:rPr>
              <w:t>carefully</w:t>
            </w:r>
            <w:r>
              <w:rPr>
                <w:b/>
                <w:spacing w:val="-7"/>
                <w:sz w:val="20"/>
              </w:rPr>
              <w:t xml:space="preserve"> </w:t>
            </w:r>
            <w:r>
              <w:rPr>
                <w:b/>
                <w:sz w:val="20"/>
              </w:rPr>
              <w:t>and</w:t>
            </w:r>
            <w:r>
              <w:rPr>
                <w:b/>
                <w:spacing w:val="-4"/>
                <w:sz w:val="20"/>
              </w:rPr>
              <w:t xml:space="preserve"> </w:t>
            </w:r>
            <w:r>
              <w:rPr>
                <w:b/>
                <w:sz w:val="20"/>
              </w:rPr>
              <w:t>slowly.</w:t>
            </w:r>
            <w:r>
              <w:rPr>
                <w:b/>
                <w:spacing w:val="-7"/>
                <w:sz w:val="20"/>
              </w:rPr>
              <w:t xml:space="preserve"> </w:t>
            </w:r>
            <w:r>
              <w:rPr>
                <w:sz w:val="20"/>
              </w:rPr>
              <w:t>Do</w:t>
            </w:r>
            <w:r>
              <w:rPr>
                <w:spacing w:val="-5"/>
                <w:sz w:val="20"/>
              </w:rPr>
              <w:t xml:space="preserve"> </w:t>
            </w:r>
            <w:r>
              <w:rPr>
                <w:sz w:val="20"/>
              </w:rPr>
              <w:t>not</w:t>
            </w:r>
            <w:r>
              <w:rPr>
                <w:spacing w:val="-6"/>
                <w:sz w:val="20"/>
              </w:rPr>
              <w:t xml:space="preserve"> </w:t>
            </w:r>
            <w:r>
              <w:rPr>
                <w:sz w:val="20"/>
              </w:rPr>
              <w:t>add</w:t>
            </w:r>
            <w:r>
              <w:rPr>
                <w:spacing w:val="-4"/>
                <w:sz w:val="20"/>
              </w:rPr>
              <w:t xml:space="preserve"> </w:t>
            </w:r>
            <w:r>
              <w:rPr>
                <w:sz w:val="20"/>
              </w:rPr>
              <w:t>your</w:t>
            </w:r>
            <w:r>
              <w:rPr>
                <w:spacing w:val="-6"/>
                <w:sz w:val="20"/>
              </w:rPr>
              <w:t xml:space="preserve"> </w:t>
            </w:r>
            <w:r>
              <w:rPr>
                <w:sz w:val="20"/>
              </w:rPr>
              <w:t>own</w:t>
            </w:r>
            <w:r>
              <w:rPr>
                <w:spacing w:val="-4"/>
                <w:sz w:val="20"/>
              </w:rPr>
              <w:t xml:space="preserve"> </w:t>
            </w:r>
            <w:r>
              <w:rPr>
                <w:sz w:val="20"/>
              </w:rPr>
              <w:t>thoughts</w:t>
            </w:r>
            <w:r>
              <w:rPr>
                <w:spacing w:val="-7"/>
                <w:sz w:val="20"/>
              </w:rPr>
              <w:t xml:space="preserve"> </w:t>
            </w:r>
            <w:r>
              <w:rPr>
                <w:sz w:val="20"/>
              </w:rPr>
              <w:t>about</w:t>
            </w:r>
            <w:r>
              <w:rPr>
                <w:spacing w:val="-5"/>
                <w:sz w:val="20"/>
              </w:rPr>
              <w:t xml:space="preserve"> </w:t>
            </w:r>
            <w:r>
              <w:rPr>
                <w:sz w:val="20"/>
              </w:rPr>
              <w:t>why</w:t>
            </w:r>
            <w:r>
              <w:rPr>
                <w:spacing w:val="-5"/>
                <w:sz w:val="20"/>
              </w:rPr>
              <w:t xml:space="preserve"> </w:t>
            </w:r>
            <w:r>
              <w:rPr>
                <w:sz w:val="20"/>
              </w:rPr>
              <w:t>certain</w:t>
            </w:r>
            <w:r>
              <w:rPr>
                <w:spacing w:val="-4"/>
                <w:sz w:val="20"/>
              </w:rPr>
              <w:t xml:space="preserve"> </w:t>
            </w:r>
            <w:r>
              <w:rPr>
                <w:sz w:val="20"/>
              </w:rPr>
              <w:t>events</w:t>
            </w:r>
            <w:r>
              <w:rPr>
                <w:spacing w:val="-7"/>
                <w:sz w:val="20"/>
              </w:rPr>
              <w:t xml:space="preserve"> </w:t>
            </w:r>
            <w:r>
              <w:rPr>
                <w:spacing w:val="-2"/>
                <w:sz w:val="20"/>
              </w:rPr>
              <w:t>transpired.</w:t>
            </w:r>
          </w:p>
          <w:p w14:paraId="3C2AAA9A" w14:textId="77777777" w:rsidR="00DB6E1F" w:rsidRDefault="00F666A6">
            <w:pPr>
              <w:pStyle w:val="TableParagraph"/>
              <w:numPr>
                <w:ilvl w:val="0"/>
                <w:numId w:val="66"/>
              </w:numPr>
              <w:tabs>
                <w:tab w:val="left" w:pos="467"/>
                <w:tab w:val="left" w:pos="468"/>
              </w:tabs>
              <w:spacing w:before="40"/>
              <w:ind w:hanging="361"/>
              <w:rPr>
                <w:b/>
                <w:sz w:val="20"/>
              </w:rPr>
            </w:pPr>
            <w:r>
              <w:rPr>
                <w:b/>
                <w:sz w:val="20"/>
              </w:rPr>
              <w:t>Let</w:t>
            </w:r>
            <w:r>
              <w:rPr>
                <w:b/>
                <w:spacing w:val="-4"/>
                <w:sz w:val="20"/>
              </w:rPr>
              <w:t xml:space="preserve"> </w:t>
            </w:r>
            <w:r>
              <w:rPr>
                <w:b/>
                <w:sz w:val="20"/>
              </w:rPr>
              <w:t>the</w:t>
            </w:r>
            <w:r>
              <w:rPr>
                <w:b/>
                <w:spacing w:val="-4"/>
                <w:sz w:val="20"/>
              </w:rPr>
              <w:t xml:space="preserve"> </w:t>
            </w:r>
            <w:r>
              <w:rPr>
                <w:b/>
                <w:sz w:val="20"/>
              </w:rPr>
              <w:t>client</w:t>
            </w:r>
            <w:r>
              <w:rPr>
                <w:b/>
                <w:spacing w:val="-3"/>
                <w:sz w:val="20"/>
              </w:rPr>
              <w:t xml:space="preserve"> </w:t>
            </w:r>
            <w:r>
              <w:rPr>
                <w:b/>
                <w:sz w:val="20"/>
              </w:rPr>
              <w:t>use</w:t>
            </w:r>
            <w:r>
              <w:rPr>
                <w:b/>
                <w:spacing w:val="-3"/>
                <w:sz w:val="20"/>
              </w:rPr>
              <w:t xml:space="preserve"> </w:t>
            </w:r>
            <w:r>
              <w:rPr>
                <w:b/>
                <w:sz w:val="20"/>
              </w:rPr>
              <w:t>his</w:t>
            </w:r>
            <w:r>
              <w:rPr>
                <w:b/>
                <w:spacing w:val="-3"/>
                <w:sz w:val="20"/>
              </w:rPr>
              <w:t xml:space="preserve"> </w:t>
            </w:r>
            <w:r>
              <w:rPr>
                <w:b/>
                <w:sz w:val="20"/>
              </w:rPr>
              <w:t>or</w:t>
            </w:r>
            <w:r>
              <w:rPr>
                <w:b/>
                <w:spacing w:val="-3"/>
                <w:sz w:val="20"/>
              </w:rPr>
              <w:t xml:space="preserve"> </w:t>
            </w:r>
            <w:r>
              <w:rPr>
                <w:b/>
                <w:sz w:val="20"/>
              </w:rPr>
              <w:t>her</w:t>
            </w:r>
            <w:r>
              <w:rPr>
                <w:b/>
                <w:spacing w:val="-2"/>
                <w:sz w:val="20"/>
              </w:rPr>
              <w:t xml:space="preserve"> </w:t>
            </w:r>
            <w:r>
              <w:rPr>
                <w:b/>
                <w:sz w:val="20"/>
              </w:rPr>
              <w:t>own</w:t>
            </w:r>
            <w:r>
              <w:rPr>
                <w:b/>
                <w:spacing w:val="-3"/>
                <w:sz w:val="20"/>
              </w:rPr>
              <w:t xml:space="preserve"> </w:t>
            </w:r>
            <w:r>
              <w:rPr>
                <w:b/>
                <w:spacing w:val="-2"/>
                <w:sz w:val="20"/>
              </w:rPr>
              <w:t>words.</w:t>
            </w:r>
          </w:p>
        </w:tc>
      </w:tr>
    </w:tbl>
    <w:p w14:paraId="6067582E" w14:textId="77777777" w:rsidR="00DB6E1F" w:rsidRDefault="00DB6E1F">
      <w:pPr>
        <w:rPr>
          <w:sz w:val="20"/>
        </w:rPr>
        <w:sectPr w:rsidR="00DB6E1F">
          <w:pgSz w:w="12240" w:h="15840"/>
          <w:pgMar w:top="1200" w:right="0" w:bottom="780" w:left="0" w:header="763" w:footer="585" w:gutter="0"/>
          <w:cols w:space="720"/>
        </w:sectPr>
      </w:pPr>
    </w:p>
    <w:p w14:paraId="77AEC6F5"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153790B7" w14:textId="77777777">
        <w:trPr>
          <w:trHeight w:val="294"/>
        </w:trPr>
        <w:tc>
          <w:tcPr>
            <w:tcW w:w="9350" w:type="dxa"/>
            <w:shd w:val="clear" w:color="auto" w:fill="E7E6E6"/>
          </w:tcPr>
          <w:p w14:paraId="07139493" w14:textId="77777777" w:rsidR="00DB6E1F" w:rsidRDefault="00F666A6">
            <w:pPr>
              <w:pStyle w:val="TableParagraph"/>
              <w:numPr>
                <w:ilvl w:val="0"/>
                <w:numId w:val="65"/>
              </w:numPr>
              <w:tabs>
                <w:tab w:val="left" w:pos="467"/>
                <w:tab w:val="left" w:pos="468"/>
              </w:tabs>
              <w:spacing w:before="0"/>
              <w:ind w:hanging="361"/>
              <w:rPr>
                <w:sz w:val="20"/>
              </w:rPr>
            </w:pPr>
            <w:r>
              <w:rPr>
                <w:b/>
                <w:sz w:val="20"/>
              </w:rPr>
              <w:t>Ask</w:t>
            </w:r>
            <w:r>
              <w:rPr>
                <w:b/>
                <w:spacing w:val="-5"/>
                <w:sz w:val="20"/>
              </w:rPr>
              <w:t xml:space="preserve"> </w:t>
            </w:r>
            <w:r>
              <w:rPr>
                <w:b/>
                <w:sz w:val="20"/>
              </w:rPr>
              <w:t>for</w:t>
            </w:r>
            <w:r>
              <w:rPr>
                <w:b/>
                <w:spacing w:val="-4"/>
                <w:sz w:val="20"/>
              </w:rPr>
              <w:t xml:space="preserve"> </w:t>
            </w:r>
            <w:r>
              <w:rPr>
                <w:b/>
                <w:sz w:val="20"/>
              </w:rPr>
              <w:t>clarification</w:t>
            </w:r>
            <w:r>
              <w:rPr>
                <w:b/>
                <w:spacing w:val="-4"/>
                <w:sz w:val="20"/>
              </w:rPr>
              <w:t xml:space="preserve"> </w:t>
            </w:r>
            <w:r>
              <w:rPr>
                <w:sz w:val="20"/>
              </w:rPr>
              <w:t>only</w:t>
            </w:r>
            <w:r>
              <w:rPr>
                <w:spacing w:val="-4"/>
                <w:sz w:val="20"/>
              </w:rPr>
              <w:t xml:space="preserve"> </w:t>
            </w:r>
            <w:r>
              <w:rPr>
                <w:sz w:val="20"/>
              </w:rPr>
              <w:t>if</w:t>
            </w:r>
            <w:r>
              <w:rPr>
                <w:spacing w:val="-6"/>
                <w:sz w:val="20"/>
              </w:rPr>
              <w:t xml:space="preserve"> </w:t>
            </w:r>
            <w:r>
              <w:rPr>
                <w:sz w:val="20"/>
              </w:rPr>
              <w:t>you</w:t>
            </w:r>
            <w:r>
              <w:rPr>
                <w:spacing w:val="-3"/>
                <w:sz w:val="20"/>
              </w:rPr>
              <w:t xml:space="preserve"> </w:t>
            </w:r>
            <w:r>
              <w:rPr>
                <w:sz w:val="20"/>
              </w:rPr>
              <w:t>do</w:t>
            </w:r>
            <w:r>
              <w:rPr>
                <w:spacing w:val="-5"/>
                <w:sz w:val="20"/>
              </w:rPr>
              <w:t xml:space="preserve"> </w:t>
            </w:r>
            <w:r>
              <w:rPr>
                <w:sz w:val="20"/>
              </w:rPr>
              <w:t>not</w:t>
            </w:r>
            <w:r>
              <w:rPr>
                <w:spacing w:val="-7"/>
                <w:sz w:val="20"/>
              </w:rPr>
              <w:t xml:space="preserve"> </w:t>
            </w:r>
            <w:r>
              <w:rPr>
                <w:sz w:val="20"/>
              </w:rPr>
              <w:t>understand</w:t>
            </w:r>
            <w:r>
              <w:rPr>
                <w:spacing w:val="-3"/>
                <w:sz w:val="20"/>
              </w:rPr>
              <w:t xml:space="preserve"> </w:t>
            </w:r>
            <w:r>
              <w:rPr>
                <w:sz w:val="20"/>
              </w:rPr>
              <w:t>a</w:t>
            </w:r>
            <w:r>
              <w:rPr>
                <w:spacing w:val="-5"/>
                <w:sz w:val="20"/>
              </w:rPr>
              <w:t xml:space="preserve"> </w:t>
            </w:r>
            <w:r>
              <w:rPr>
                <w:sz w:val="20"/>
              </w:rPr>
              <w:t>term</w:t>
            </w:r>
            <w:r>
              <w:rPr>
                <w:spacing w:val="-5"/>
                <w:sz w:val="20"/>
              </w:rPr>
              <w:t xml:space="preserve"> </w:t>
            </w:r>
            <w:r>
              <w:rPr>
                <w:sz w:val="20"/>
              </w:rPr>
              <w:t>the</w:t>
            </w:r>
            <w:r>
              <w:rPr>
                <w:spacing w:val="-6"/>
                <w:sz w:val="20"/>
              </w:rPr>
              <w:t xml:space="preserve"> </w:t>
            </w:r>
            <w:r>
              <w:rPr>
                <w:sz w:val="20"/>
              </w:rPr>
              <w:t>client</w:t>
            </w:r>
            <w:r>
              <w:rPr>
                <w:spacing w:val="-5"/>
                <w:sz w:val="20"/>
              </w:rPr>
              <w:t xml:space="preserve"> </w:t>
            </w:r>
            <w:r>
              <w:rPr>
                <w:sz w:val="20"/>
              </w:rPr>
              <w:t>uses</w:t>
            </w:r>
            <w:r>
              <w:rPr>
                <w:spacing w:val="-5"/>
                <w:sz w:val="20"/>
              </w:rPr>
              <w:t xml:space="preserve"> </w:t>
            </w:r>
            <w:r>
              <w:rPr>
                <w:sz w:val="20"/>
              </w:rPr>
              <w:t>or</w:t>
            </w:r>
            <w:r>
              <w:rPr>
                <w:spacing w:val="-5"/>
                <w:sz w:val="20"/>
              </w:rPr>
              <w:t xml:space="preserve"> </w:t>
            </w:r>
            <w:r>
              <w:rPr>
                <w:sz w:val="20"/>
              </w:rPr>
              <w:t>if</w:t>
            </w:r>
            <w:r>
              <w:rPr>
                <w:spacing w:val="-3"/>
                <w:sz w:val="20"/>
              </w:rPr>
              <w:t xml:space="preserve"> </w:t>
            </w:r>
            <w:r>
              <w:rPr>
                <w:sz w:val="20"/>
              </w:rPr>
              <w:t>some</w:t>
            </w:r>
            <w:r>
              <w:rPr>
                <w:spacing w:val="-6"/>
                <w:sz w:val="20"/>
              </w:rPr>
              <w:t xml:space="preserve"> </w:t>
            </w:r>
            <w:r>
              <w:rPr>
                <w:sz w:val="20"/>
              </w:rPr>
              <w:t>information</w:t>
            </w:r>
            <w:r>
              <w:rPr>
                <w:spacing w:val="-4"/>
                <w:sz w:val="20"/>
              </w:rPr>
              <w:t xml:space="preserve"> </w:t>
            </w:r>
            <w:r>
              <w:rPr>
                <w:sz w:val="20"/>
              </w:rPr>
              <w:t>is</w:t>
            </w:r>
            <w:r>
              <w:rPr>
                <w:spacing w:val="-5"/>
                <w:sz w:val="20"/>
              </w:rPr>
              <w:t xml:space="preserve"> </w:t>
            </w:r>
            <w:r>
              <w:rPr>
                <w:spacing w:val="-2"/>
                <w:sz w:val="20"/>
              </w:rPr>
              <w:t>missing.</w:t>
            </w:r>
          </w:p>
        </w:tc>
      </w:tr>
    </w:tbl>
    <w:p w14:paraId="0FB770A2" w14:textId="77777777" w:rsidR="00DB6E1F" w:rsidRDefault="00DB6E1F">
      <w:pPr>
        <w:pStyle w:val="BodyText"/>
        <w:spacing w:before="6"/>
        <w:rPr>
          <w:sz w:val="8"/>
        </w:rPr>
      </w:pPr>
    </w:p>
    <w:p w14:paraId="0B68BA84" w14:textId="77777777" w:rsidR="00DB6E1F" w:rsidRDefault="00F666A6">
      <w:pPr>
        <w:spacing w:before="57"/>
        <w:ind w:left="1440" w:right="1491"/>
      </w:pPr>
      <w:r>
        <w:rPr>
          <w:b/>
        </w:rPr>
        <w:t xml:space="preserve">Once the client completes the assessment, review findings with the client. </w:t>
      </w:r>
      <w:r>
        <w:t xml:space="preserve">Present personalized feedback to the client in a way that is likely to increase his or her awareness and develop discrepancy between the client’s substance use and values. Appendix </w:t>
      </w:r>
      <w:r>
        <w:t xml:space="preserve">C provides a link to the </w:t>
      </w:r>
      <w:r>
        <w:rPr>
          <w:i/>
        </w:rPr>
        <w:t>Motivational Enhancement</w:t>
      </w:r>
      <w:r>
        <w:rPr>
          <w:i/>
          <w:spacing w:val="-1"/>
        </w:rPr>
        <w:t xml:space="preserve"> </w:t>
      </w:r>
      <w:r>
        <w:rPr>
          <w:i/>
        </w:rPr>
        <w:t>Therapy</w:t>
      </w:r>
      <w:r>
        <w:rPr>
          <w:i/>
          <w:spacing w:val="-5"/>
        </w:rPr>
        <w:t xml:space="preserve"> </w:t>
      </w:r>
      <w:r>
        <w:rPr>
          <w:i/>
        </w:rPr>
        <w:t>Manual</w:t>
      </w:r>
      <w:r>
        <w:t>,</w:t>
      </w:r>
      <w:r>
        <w:rPr>
          <w:spacing w:val="-2"/>
        </w:rPr>
        <w:t xml:space="preserve"> </w:t>
      </w:r>
      <w:r>
        <w:t>which</w:t>
      </w:r>
      <w:r>
        <w:rPr>
          <w:spacing w:val="-3"/>
        </w:rPr>
        <w:t xml:space="preserve"> </w:t>
      </w:r>
      <w:r>
        <w:t>includes</w:t>
      </w:r>
      <w:r>
        <w:rPr>
          <w:spacing w:val="-2"/>
        </w:rPr>
        <w:t xml:space="preserve"> </w:t>
      </w:r>
      <w:r>
        <w:t>an</w:t>
      </w:r>
      <w:r>
        <w:rPr>
          <w:spacing w:val="-5"/>
        </w:rPr>
        <w:t xml:space="preserve"> </w:t>
      </w:r>
      <w:r>
        <w:t>example</w:t>
      </w:r>
      <w:r>
        <w:rPr>
          <w:spacing w:val="-3"/>
        </w:rPr>
        <w:t xml:space="preserve"> </w:t>
      </w:r>
      <w:r>
        <w:t>of</w:t>
      </w:r>
      <w:r>
        <w:rPr>
          <w:spacing w:val="-2"/>
        </w:rPr>
        <w:t xml:space="preserve"> </w:t>
      </w:r>
      <w:r>
        <w:t>a</w:t>
      </w:r>
      <w:r>
        <w:rPr>
          <w:spacing w:val="-4"/>
        </w:rPr>
        <w:t xml:space="preserve"> </w:t>
      </w:r>
      <w:r>
        <w:t>personal</w:t>
      </w:r>
      <w:r>
        <w:rPr>
          <w:spacing w:val="-2"/>
        </w:rPr>
        <w:t xml:space="preserve"> </w:t>
      </w:r>
      <w:r>
        <w:t>feedback</w:t>
      </w:r>
      <w:r>
        <w:rPr>
          <w:spacing w:val="-1"/>
        </w:rPr>
        <w:t xml:space="preserve"> </w:t>
      </w:r>
      <w:r>
        <w:t>report</w:t>
      </w:r>
      <w:r>
        <w:rPr>
          <w:spacing w:val="-2"/>
        </w:rPr>
        <w:t xml:space="preserve"> </w:t>
      </w:r>
      <w:r>
        <w:t>to</w:t>
      </w:r>
      <w:r>
        <w:rPr>
          <w:spacing w:val="-1"/>
        </w:rPr>
        <w:t xml:space="preserve"> </w:t>
      </w:r>
      <w:r>
        <w:t>include</w:t>
      </w:r>
      <w:r>
        <w:rPr>
          <w:spacing w:val="-4"/>
        </w:rPr>
        <w:t xml:space="preserve"> </w:t>
      </w:r>
      <w:r>
        <w:t>in</w:t>
      </w:r>
      <w:r>
        <w:rPr>
          <w:spacing w:val="-3"/>
        </w:rPr>
        <w:t xml:space="preserve"> </w:t>
      </w:r>
      <w:r>
        <w:t xml:space="preserve">a comprehensive assessment. You should adapt this report for the specific kinds of assessment information you gather at </w:t>
      </w:r>
      <w:r>
        <w:t>your program.</w:t>
      </w:r>
    </w:p>
    <w:p w14:paraId="4BC80E41" w14:textId="77777777" w:rsidR="00DB6E1F" w:rsidRDefault="00F666A6">
      <w:pPr>
        <w:spacing w:before="159"/>
        <w:ind w:left="1440" w:right="1514"/>
        <w:jc w:val="both"/>
      </w:pPr>
      <w:r>
        <w:rPr>
          <w:b/>
        </w:rPr>
        <w:t>When</w:t>
      </w:r>
      <w:r>
        <w:rPr>
          <w:b/>
          <w:spacing w:val="-3"/>
        </w:rPr>
        <w:t xml:space="preserve"> </w:t>
      </w:r>
      <w:r>
        <w:rPr>
          <w:b/>
        </w:rPr>
        <w:t>providing</w:t>
      </w:r>
      <w:r>
        <w:rPr>
          <w:b/>
          <w:spacing w:val="-3"/>
        </w:rPr>
        <w:t xml:space="preserve"> </w:t>
      </w:r>
      <w:r>
        <w:rPr>
          <w:b/>
        </w:rPr>
        <w:t>extensive</w:t>
      </w:r>
      <w:r>
        <w:rPr>
          <w:b/>
          <w:spacing w:val="-5"/>
        </w:rPr>
        <w:t xml:space="preserve"> </w:t>
      </w:r>
      <w:r>
        <w:rPr>
          <w:b/>
        </w:rPr>
        <w:t>feedback</w:t>
      </w:r>
      <w:r>
        <w:rPr>
          <w:b/>
          <w:spacing w:val="-2"/>
        </w:rPr>
        <w:t xml:space="preserve"> </w:t>
      </w:r>
      <w:r>
        <w:rPr>
          <w:b/>
        </w:rPr>
        <w:t>about</w:t>
      </w:r>
      <w:r>
        <w:rPr>
          <w:b/>
          <w:spacing w:val="-2"/>
        </w:rPr>
        <w:t xml:space="preserve"> </w:t>
      </w:r>
      <w:r>
        <w:rPr>
          <w:b/>
        </w:rPr>
        <w:t>assessment</w:t>
      </w:r>
      <w:r>
        <w:rPr>
          <w:b/>
          <w:spacing w:val="-2"/>
        </w:rPr>
        <w:t xml:space="preserve"> </w:t>
      </w:r>
      <w:r>
        <w:rPr>
          <w:b/>
        </w:rPr>
        <w:t>results,</w:t>
      </w:r>
      <w:r>
        <w:rPr>
          <w:b/>
          <w:spacing w:val="-4"/>
        </w:rPr>
        <w:t xml:space="preserve"> </w:t>
      </w:r>
      <w:r>
        <w:rPr>
          <w:b/>
        </w:rPr>
        <w:t>divide</w:t>
      </w:r>
      <w:r>
        <w:rPr>
          <w:b/>
          <w:spacing w:val="-6"/>
        </w:rPr>
        <w:t xml:space="preserve"> </w:t>
      </w:r>
      <w:r>
        <w:rPr>
          <w:b/>
        </w:rPr>
        <w:t>it</w:t>
      </w:r>
      <w:r>
        <w:rPr>
          <w:b/>
          <w:spacing w:val="-4"/>
        </w:rPr>
        <w:t xml:space="preserve"> </w:t>
      </w:r>
      <w:r>
        <w:rPr>
          <w:b/>
        </w:rPr>
        <w:t>into</w:t>
      </w:r>
      <w:r>
        <w:rPr>
          <w:b/>
          <w:spacing w:val="-3"/>
        </w:rPr>
        <w:t xml:space="preserve"> </w:t>
      </w:r>
      <w:r>
        <w:rPr>
          <w:b/>
        </w:rPr>
        <w:t>small</w:t>
      </w:r>
      <w:r>
        <w:rPr>
          <w:b/>
          <w:spacing w:val="-3"/>
        </w:rPr>
        <w:t xml:space="preserve"> </w:t>
      </w:r>
      <w:r>
        <w:rPr>
          <w:b/>
        </w:rPr>
        <w:t>chunks,</w:t>
      </w:r>
      <w:r>
        <w:rPr>
          <w:b/>
          <w:spacing w:val="-1"/>
        </w:rPr>
        <w:t xml:space="preserve"> </w:t>
      </w:r>
      <w:r>
        <w:rPr>
          <w:b/>
        </w:rPr>
        <w:t>and</w:t>
      </w:r>
      <w:r>
        <w:rPr>
          <w:b/>
          <w:spacing w:val="-3"/>
        </w:rPr>
        <w:t xml:space="preserve"> </w:t>
      </w:r>
      <w:r>
        <w:rPr>
          <w:b/>
        </w:rPr>
        <w:t>use</w:t>
      </w:r>
      <w:r>
        <w:rPr>
          <w:b/>
          <w:spacing w:val="-5"/>
        </w:rPr>
        <w:t xml:space="preserve"> </w:t>
      </w:r>
      <w:r>
        <w:rPr>
          <w:b/>
        </w:rPr>
        <w:t>the EPE approach,</w:t>
      </w:r>
      <w:r>
        <w:rPr>
          <w:b/>
          <w:spacing w:val="-1"/>
        </w:rPr>
        <w:t xml:space="preserve"> </w:t>
      </w:r>
      <w:r>
        <w:t>otherwise, the client</w:t>
      </w:r>
      <w:r>
        <w:rPr>
          <w:spacing w:val="-1"/>
        </w:rPr>
        <w:t xml:space="preserve"> </w:t>
      </w:r>
      <w:r>
        <w:t>might feel</w:t>
      </w:r>
      <w:r>
        <w:rPr>
          <w:spacing w:val="-2"/>
        </w:rPr>
        <w:t xml:space="preserve"> </w:t>
      </w:r>
      <w:r>
        <w:t>overwhelmed. You</w:t>
      </w:r>
      <w:r>
        <w:rPr>
          <w:spacing w:val="-2"/>
        </w:rPr>
        <w:t xml:space="preserve"> </w:t>
      </w:r>
      <w:r>
        <w:t>may</w:t>
      </w:r>
      <w:r>
        <w:rPr>
          <w:spacing w:val="-1"/>
        </w:rPr>
        <w:t xml:space="preserve"> </w:t>
      </w:r>
      <w:r>
        <w:t>only need</w:t>
      </w:r>
      <w:r>
        <w:rPr>
          <w:spacing w:val="-2"/>
        </w:rPr>
        <w:t xml:space="preserve"> </w:t>
      </w:r>
      <w:r>
        <w:t>to provide one</w:t>
      </w:r>
      <w:r>
        <w:rPr>
          <w:spacing w:val="-1"/>
        </w:rPr>
        <w:t xml:space="preserve"> </w:t>
      </w:r>
      <w:r>
        <w:t>or two pieces of feedback to raise doubts and concerns and to move the client toward Contemplation.</w:t>
      </w:r>
    </w:p>
    <w:p w14:paraId="54D7A536" w14:textId="77777777" w:rsidR="00DB6E1F" w:rsidRDefault="00F666A6">
      <w:pPr>
        <w:pStyle w:val="Heading3"/>
      </w:pPr>
      <w:bookmarkStart w:id="139" w:name="Involve_Significant_Others"/>
      <w:bookmarkEnd w:id="139"/>
      <w:r>
        <w:t>Involve</w:t>
      </w:r>
      <w:r>
        <w:rPr>
          <w:spacing w:val="-11"/>
        </w:rPr>
        <w:t xml:space="preserve"> </w:t>
      </w:r>
      <w:r>
        <w:t>Significant</w:t>
      </w:r>
      <w:r>
        <w:rPr>
          <w:spacing w:val="-11"/>
        </w:rPr>
        <w:t xml:space="preserve"> </w:t>
      </w:r>
      <w:r>
        <w:rPr>
          <w:spacing w:val="-2"/>
        </w:rPr>
        <w:t>Others</w:t>
      </w:r>
    </w:p>
    <w:p w14:paraId="6FE9DB09" w14:textId="77777777" w:rsidR="00DB6E1F" w:rsidRDefault="00F666A6">
      <w:pPr>
        <w:spacing w:before="143"/>
        <w:ind w:left="1440" w:right="1491"/>
      </w:pPr>
      <w:r>
        <w:rPr>
          <w:b/>
        </w:rPr>
        <w:t xml:space="preserve">Including people with whom the client has a close relationship can make treatment more effective. </w:t>
      </w:r>
      <w:r>
        <w:t>Many</w:t>
      </w:r>
      <w:r>
        <w:rPr>
          <w:spacing w:val="-1"/>
        </w:rPr>
        <w:t xml:space="preserve"> </w:t>
      </w:r>
      <w:r>
        <w:t>people</w:t>
      </w:r>
      <w:r>
        <w:rPr>
          <w:spacing w:val="-4"/>
        </w:rPr>
        <w:t xml:space="preserve"> </w:t>
      </w:r>
      <w:r>
        <w:t>who</w:t>
      </w:r>
      <w:r>
        <w:rPr>
          <w:spacing w:val="-3"/>
        </w:rPr>
        <w:t xml:space="preserve"> </w:t>
      </w:r>
      <w:r>
        <w:t>misuse</w:t>
      </w:r>
      <w:r>
        <w:rPr>
          <w:spacing w:val="-4"/>
        </w:rPr>
        <w:t xml:space="preserve"> </w:t>
      </w:r>
      <w:r>
        <w:t>substanc</w:t>
      </w:r>
      <w:r>
        <w:t>es</w:t>
      </w:r>
      <w:r>
        <w:rPr>
          <w:spacing w:val="-4"/>
        </w:rPr>
        <w:t xml:space="preserve"> </w:t>
      </w:r>
      <w:r>
        <w:t>or</w:t>
      </w:r>
      <w:r>
        <w:rPr>
          <w:spacing w:val="-4"/>
        </w:rPr>
        <w:t xml:space="preserve"> </w:t>
      </w:r>
      <w:r>
        <w:t>who</w:t>
      </w:r>
      <w:r>
        <w:rPr>
          <w:spacing w:val="-1"/>
        </w:rPr>
        <w:t xml:space="preserve"> </w:t>
      </w:r>
      <w:r>
        <w:t>have</w:t>
      </w:r>
      <w:r>
        <w:rPr>
          <w:spacing w:val="-1"/>
        </w:rPr>
        <w:t xml:space="preserve"> </w:t>
      </w:r>
      <w:r>
        <w:t>SUDs</w:t>
      </w:r>
      <w:r>
        <w:rPr>
          <w:spacing w:val="-2"/>
        </w:rPr>
        <w:t xml:space="preserve"> </w:t>
      </w:r>
      <w:r>
        <w:t>respond</w:t>
      </w:r>
      <w:r>
        <w:rPr>
          <w:spacing w:val="-3"/>
        </w:rPr>
        <w:t xml:space="preserve"> </w:t>
      </w:r>
      <w:r>
        <w:t>to</w:t>
      </w:r>
      <w:r>
        <w:rPr>
          <w:spacing w:val="-3"/>
        </w:rPr>
        <w:t xml:space="preserve"> </w:t>
      </w:r>
      <w:r>
        <w:t>motivation</w:t>
      </w:r>
      <w:r>
        <w:rPr>
          <w:spacing w:val="-3"/>
        </w:rPr>
        <w:t xml:space="preserve"> </w:t>
      </w:r>
      <w:r>
        <w:t>from</w:t>
      </w:r>
      <w:r>
        <w:rPr>
          <w:spacing w:val="-3"/>
        </w:rPr>
        <w:t xml:space="preserve"> </w:t>
      </w:r>
      <w:r>
        <w:t>spouses</w:t>
      </w:r>
      <w:r>
        <w:rPr>
          <w:spacing w:val="-2"/>
        </w:rPr>
        <w:t xml:space="preserve"> </w:t>
      </w:r>
      <w:r>
        <w:t>and</w:t>
      </w:r>
      <w:r>
        <w:rPr>
          <w:spacing w:val="-3"/>
        </w:rPr>
        <w:t xml:space="preserve"> </w:t>
      </w:r>
      <w:r>
        <w:t>SOs</w:t>
      </w:r>
      <w:r>
        <w:rPr>
          <w:spacing w:val="-2"/>
        </w:rPr>
        <w:t xml:space="preserve"> </w:t>
      </w:r>
      <w:r>
        <w:t>to enter treatment (Connors et al., 2013). An SO is typically a parent, spouse, live-in partner, or other family member but can be any person with a close personal relationship to the client.</w:t>
      </w:r>
    </w:p>
    <w:p w14:paraId="7984E0FA" w14:textId="77777777" w:rsidR="00DB6E1F" w:rsidRDefault="00F666A6">
      <w:pPr>
        <w:pStyle w:val="BodyText"/>
        <w:spacing w:before="160"/>
        <w:ind w:left="1439" w:right="1444"/>
      </w:pPr>
      <w:r>
        <w:t>S</w:t>
      </w:r>
      <w:r>
        <w:t>upportive</w:t>
      </w:r>
      <w:r>
        <w:rPr>
          <w:spacing w:val="-1"/>
        </w:rPr>
        <w:t xml:space="preserve"> </w:t>
      </w:r>
      <w:r>
        <w:t>SOs can help clients become intrinsically rather than just</w:t>
      </w:r>
      <w:r>
        <w:rPr>
          <w:spacing w:val="-1"/>
        </w:rPr>
        <w:t xml:space="preserve"> </w:t>
      </w:r>
      <w:r>
        <w:t>extrinsically</w:t>
      </w:r>
      <w:r>
        <w:rPr>
          <w:spacing w:val="-3"/>
        </w:rPr>
        <w:t xml:space="preserve"> </w:t>
      </w:r>
      <w:r>
        <w:t>motivated for behavior change (Bourke, Magill, &amp; Apodaca, 2016). Including supportive SOs is cost effective and can foster positive</w:t>
      </w:r>
      <w:r>
        <w:rPr>
          <w:spacing w:val="-2"/>
        </w:rPr>
        <w:t xml:space="preserve"> </w:t>
      </w:r>
      <w:r>
        <w:t>client</w:t>
      </w:r>
      <w:r>
        <w:rPr>
          <w:spacing w:val="-5"/>
        </w:rPr>
        <w:t xml:space="preserve"> </w:t>
      </w:r>
      <w:r>
        <w:t>outcomes,</w:t>
      </w:r>
      <w:r>
        <w:rPr>
          <w:spacing w:val="-3"/>
        </w:rPr>
        <w:t xml:space="preserve"> </w:t>
      </w:r>
      <w:r>
        <w:t>including</w:t>
      </w:r>
      <w:r>
        <w:rPr>
          <w:spacing w:val="-3"/>
        </w:rPr>
        <w:t xml:space="preserve"> </w:t>
      </w:r>
      <w:r>
        <w:t>increased</w:t>
      </w:r>
      <w:r>
        <w:rPr>
          <w:spacing w:val="-4"/>
        </w:rPr>
        <w:t xml:space="preserve"> </w:t>
      </w:r>
      <w:r>
        <w:t>clie</w:t>
      </w:r>
      <w:r>
        <w:t>nt</w:t>
      </w:r>
      <w:r>
        <w:rPr>
          <w:spacing w:val="-2"/>
        </w:rPr>
        <w:t xml:space="preserve"> </w:t>
      </w:r>
      <w:r>
        <w:t>change</w:t>
      </w:r>
      <w:r>
        <w:rPr>
          <w:spacing w:val="-2"/>
        </w:rPr>
        <w:t xml:space="preserve"> </w:t>
      </w:r>
      <w:r>
        <w:t>talk;</w:t>
      </w:r>
      <w:r>
        <w:rPr>
          <w:spacing w:val="-2"/>
        </w:rPr>
        <w:t xml:space="preserve"> </w:t>
      </w:r>
      <w:r>
        <w:t>increased</w:t>
      </w:r>
      <w:r>
        <w:rPr>
          <w:spacing w:val="-4"/>
        </w:rPr>
        <w:t xml:space="preserve"> </w:t>
      </w:r>
      <w:r>
        <w:t>client</w:t>
      </w:r>
      <w:r>
        <w:rPr>
          <w:spacing w:val="-5"/>
        </w:rPr>
        <w:t xml:space="preserve"> </w:t>
      </w:r>
      <w:r>
        <w:t>commitment</w:t>
      </w:r>
      <w:r>
        <w:rPr>
          <w:spacing w:val="-5"/>
        </w:rPr>
        <w:t xml:space="preserve"> </w:t>
      </w:r>
      <w:r>
        <w:t>to</w:t>
      </w:r>
      <w:r>
        <w:rPr>
          <w:spacing w:val="-4"/>
        </w:rPr>
        <w:t xml:space="preserve"> </w:t>
      </w:r>
      <w:r>
        <w:t>change; and reduced substance use, alcohol consumption, and alcohol-related consequences (Apodaca, Magill, Longabaugh, Jackson, &amp; Monti, 2013; Bourke et al., 2016; Monti et al., 2014; Shepard et al., 2016; Smeerdijk et al., 2015).</w:t>
      </w:r>
    </w:p>
    <w:p w14:paraId="79B7C8A2" w14:textId="77777777" w:rsidR="00DB6E1F" w:rsidRDefault="00F666A6">
      <w:pPr>
        <w:pStyle w:val="BodyText"/>
        <w:spacing w:before="159"/>
        <w:ind w:left="1439" w:right="1491"/>
      </w:pPr>
      <w:r>
        <w:t>SOs can encourage clients</w:t>
      </w:r>
      <w:r>
        <w:t xml:space="preserve"> to use their inner resources to identify, implement, and sustain actions leading</w:t>
      </w:r>
      <w:r>
        <w:rPr>
          <w:spacing w:val="-2"/>
        </w:rPr>
        <w:t xml:space="preserve"> </w:t>
      </w:r>
      <w:r>
        <w:t>to</w:t>
      </w:r>
      <w:r>
        <w:rPr>
          <w:spacing w:val="-3"/>
        </w:rPr>
        <w:t xml:space="preserve"> </w:t>
      </w:r>
      <w:r>
        <w:t>a</w:t>
      </w:r>
      <w:r>
        <w:rPr>
          <w:spacing w:val="-2"/>
        </w:rPr>
        <w:t xml:space="preserve"> </w:t>
      </w:r>
      <w:r>
        <w:t>lifestyle</w:t>
      </w:r>
      <w:r>
        <w:rPr>
          <w:spacing w:val="-3"/>
        </w:rPr>
        <w:t xml:space="preserve"> </w:t>
      </w:r>
      <w:r>
        <w:t>free</w:t>
      </w:r>
      <w:r>
        <w:rPr>
          <w:spacing w:val="-1"/>
        </w:rPr>
        <w:t xml:space="preserve"> </w:t>
      </w:r>
      <w:r>
        <w:t>from</w:t>
      </w:r>
      <w:r>
        <w:rPr>
          <w:spacing w:val="-3"/>
        </w:rPr>
        <w:t xml:space="preserve"> </w:t>
      </w:r>
      <w:r>
        <w:t>substance</w:t>
      </w:r>
      <w:r>
        <w:rPr>
          <w:spacing w:val="-6"/>
        </w:rPr>
        <w:t xml:space="preserve"> </w:t>
      </w:r>
      <w:r>
        <w:t>misuse.</w:t>
      </w:r>
      <w:r>
        <w:rPr>
          <w:spacing w:val="-2"/>
        </w:rPr>
        <w:t xml:space="preserve"> </w:t>
      </w:r>
      <w:r>
        <w:t>They</w:t>
      </w:r>
      <w:r>
        <w:rPr>
          <w:spacing w:val="-3"/>
        </w:rPr>
        <w:t xml:space="preserve"> </w:t>
      </w:r>
      <w:r>
        <w:t>can</w:t>
      </w:r>
      <w:r>
        <w:rPr>
          <w:spacing w:val="-3"/>
        </w:rPr>
        <w:t xml:space="preserve"> </w:t>
      </w:r>
      <w:r>
        <w:t>be</w:t>
      </w:r>
      <w:r>
        <w:rPr>
          <w:spacing w:val="-1"/>
        </w:rPr>
        <w:t xml:space="preserve"> </w:t>
      </w:r>
      <w:r>
        <w:t>important</w:t>
      </w:r>
      <w:r>
        <w:rPr>
          <w:spacing w:val="-1"/>
        </w:rPr>
        <w:t xml:space="preserve"> </w:t>
      </w:r>
      <w:r>
        <w:t>in</w:t>
      </w:r>
      <w:r>
        <w:rPr>
          <w:spacing w:val="-3"/>
        </w:rPr>
        <w:t xml:space="preserve"> </w:t>
      </w:r>
      <w:r>
        <w:t>increasing</w:t>
      </w:r>
      <w:r>
        <w:rPr>
          <w:spacing w:val="-3"/>
        </w:rPr>
        <w:t xml:space="preserve"> </w:t>
      </w:r>
      <w:r>
        <w:t>clients’</w:t>
      </w:r>
      <w:r>
        <w:rPr>
          <w:spacing w:val="-2"/>
        </w:rPr>
        <w:t xml:space="preserve"> </w:t>
      </w:r>
      <w:r>
        <w:t>readiness to change by addressing substance use in the following ways:</w:t>
      </w:r>
    </w:p>
    <w:p w14:paraId="1A98EBC2" w14:textId="77777777" w:rsidR="00DB6E1F" w:rsidRDefault="00F666A6">
      <w:pPr>
        <w:pStyle w:val="ListParagraph"/>
        <w:numPr>
          <w:ilvl w:val="0"/>
          <w:numId w:val="92"/>
        </w:numPr>
        <w:tabs>
          <w:tab w:val="left" w:pos="1799"/>
          <w:tab w:val="left" w:pos="1800"/>
        </w:tabs>
        <w:spacing w:before="61"/>
        <w:ind w:left="1799"/>
        <w:rPr>
          <w:rFonts w:ascii="Symbol" w:hAnsi="Symbol"/>
        </w:rPr>
      </w:pPr>
      <w:r>
        <w:t>Reminding</w:t>
      </w:r>
      <w:r>
        <w:rPr>
          <w:spacing w:val="-6"/>
        </w:rPr>
        <w:t xml:space="preserve"> </w:t>
      </w:r>
      <w:r>
        <w:t>clients</w:t>
      </w:r>
      <w:r>
        <w:rPr>
          <w:spacing w:val="-3"/>
        </w:rPr>
        <w:t xml:space="preserve"> </w:t>
      </w:r>
      <w:r>
        <w:t>about</w:t>
      </w:r>
      <w:r>
        <w:rPr>
          <w:spacing w:val="-3"/>
        </w:rPr>
        <w:t xml:space="preserve"> </w:t>
      </w:r>
      <w:r>
        <w:t>the</w:t>
      </w:r>
      <w:r>
        <w:rPr>
          <w:spacing w:val="-2"/>
        </w:rPr>
        <w:t xml:space="preserve"> </w:t>
      </w:r>
      <w:r>
        <w:t>importance</w:t>
      </w:r>
      <w:r>
        <w:rPr>
          <w:spacing w:val="-5"/>
        </w:rPr>
        <w:t xml:space="preserve"> </w:t>
      </w:r>
      <w:r>
        <w:t>of</w:t>
      </w:r>
      <w:r>
        <w:rPr>
          <w:spacing w:val="-4"/>
        </w:rPr>
        <w:t xml:space="preserve"> </w:t>
      </w:r>
      <w:r>
        <w:t>family,</w:t>
      </w:r>
      <w:r>
        <w:rPr>
          <w:spacing w:val="-5"/>
        </w:rPr>
        <w:t xml:space="preserve"> </w:t>
      </w:r>
      <w:r>
        <w:t>their</w:t>
      </w:r>
      <w:r>
        <w:rPr>
          <w:spacing w:val="-3"/>
        </w:rPr>
        <w:t xml:space="preserve"> </w:t>
      </w:r>
      <w:r>
        <w:t>relationship</w:t>
      </w:r>
      <w:r>
        <w:rPr>
          <w:spacing w:val="-4"/>
        </w:rPr>
        <w:t xml:space="preserve"> </w:t>
      </w:r>
      <w:r>
        <w:t>to</w:t>
      </w:r>
      <w:r>
        <w:rPr>
          <w:spacing w:val="-5"/>
        </w:rPr>
        <w:t xml:space="preserve"> </w:t>
      </w:r>
      <w:r>
        <w:t>an</w:t>
      </w:r>
      <w:r>
        <w:rPr>
          <w:spacing w:val="-3"/>
        </w:rPr>
        <w:t xml:space="preserve"> </w:t>
      </w:r>
      <w:r>
        <w:t>SO</w:t>
      </w:r>
      <w:r>
        <w:rPr>
          <w:spacing w:val="-3"/>
        </w:rPr>
        <w:t xml:space="preserve"> </w:t>
      </w:r>
      <w:r>
        <w:t>in</w:t>
      </w:r>
      <w:r>
        <w:rPr>
          <w:spacing w:val="-7"/>
        </w:rPr>
        <w:t xml:space="preserve"> </w:t>
      </w:r>
      <w:r>
        <w:t>their</w:t>
      </w:r>
      <w:r>
        <w:rPr>
          <w:spacing w:val="-3"/>
        </w:rPr>
        <w:t xml:space="preserve"> </w:t>
      </w:r>
      <w:r>
        <w:t>lives,</w:t>
      </w:r>
      <w:r>
        <w:rPr>
          <w:spacing w:val="-5"/>
        </w:rPr>
        <w:t xml:space="preserve"> </w:t>
      </w:r>
      <w:r>
        <w:t>or</w:t>
      </w:r>
      <w:r>
        <w:rPr>
          <w:spacing w:val="-3"/>
        </w:rPr>
        <w:t xml:space="preserve"> </w:t>
      </w:r>
      <w:r>
        <w:rPr>
          <w:spacing w:val="-4"/>
        </w:rPr>
        <w:t>both</w:t>
      </w:r>
    </w:p>
    <w:p w14:paraId="77994385" w14:textId="77777777" w:rsidR="00DB6E1F" w:rsidRDefault="00F666A6">
      <w:pPr>
        <w:pStyle w:val="ListParagraph"/>
        <w:numPr>
          <w:ilvl w:val="0"/>
          <w:numId w:val="92"/>
        </w:numPr>
        <w:tabs>
          <w:tab w:val="left" w:pos="1798"/>
          <w:tab w:val="left" w:pos="1800"/>
        </w:tabs>
        <w:ind w:left="1799" w:hanging="362"/>
        <w:rPr>
          <w:rFonts w:ascii="Symbol" w:hAnsi="Symbol"/>
        </w:rPr>
      </w:pPr>
      <w:r>
        <w:t>Providing</w:t>
      </w:r>
      <w:r>
        <w:rPr>
          <w:spacing w:val="-7"/>
        </w:rPr>
        <w:t xml:space="preserve"> </w:t>
      </w:r>
      <w:r>
        <w:t>helpful</w:t>
      </w:r>
      <w:r>
        <w:rPr>
          <w:spacing w:val="-4"/>
        </w:rPr>
        <w:t xml:space="preserve"> </w:t>
      </w:r>
      <w:r>
        <w:t>feedback</w:t>
      </w:r>
      <w:r>
        <w:rPr>
          <w:spacing w:val="-5"/>
        </w:rPr>
        <w:t xml:space="preserve"> </w:t>
      </w:r>
      <w:r>
        <w:t>to</w:t>
      </w:r>
      <w:r>
        <w:rPr>
          <w:spacing w:val="-3"/>
        </w:rPr>
        <w:t xml:space="preserve"> </w:t>
      </w:r>
      <w:r>
        <w:t>clients</w:t>
      </w:r>
      <w:r>
        <w:rPr>
          <w:spacing w:val="-4"/>
        </w:rPr>
        <w:t xml:space="preserve"> </w:t>
      </w:r>
      <w:r>
        <w:t>about</w:t>
      </w:r>
      <w:r>
        <w:rPr>
          <w:spacing w:val="-5"/>
        </w:rPr>
        <w:t xml:space="preserve"> </w:t>
      </w:r>
      <w:r>
        <w:t>the</w:t>
      </w:r>
      <w:r>
        <w:rPr>
          <w:spacing w:val="-3"/>
        </w:rPr>
        <w:t xml:space="preserve"> </w:t>
      </w:r>
      <w:r>
        <w:t>negative</w:t>
      </w:r>
      <w:r>
        <w:rPr>
          <w:spacing w:val="-3"/>
        </w:rPr>
        <w:t xml:space="preserve"> </w:t>
      </w:r>
      <w:r>
        <w:t>effects</w:t>
      </w:r>
      <w:r>
        <w:rPr>
          <w:spacing w:val="-5"/>
        </w:rPr>
        <w:t xml:space="preserve"> </w:t>
      </w:r>
      <w:r>
        <w:t>of</w:t>
      </w:r>
      <w:r>
        <w:rPr>
          <w:spacing w:val="-7"/>
        </w:rPr>
        <w:t xml:space="preserve"> </w:t>
      </w:r>
      <w:r>
        <w:t>their</w:t>
      </w:r>
      <w:r>
        <w:rPr>
          <w:spacing w:val="-3"/>
        </w:rPr>
        <w:t xml:space="preserve"> </w:t>
      </w:r>
      <w:r>
        <w:t>substance</w:t>
      </w:r>
      <w:r>
        <w:rPr>
          <w:spacing w:val="-6"/>
        </w:rPr>
        <w:t xml:space="preserve"> </w:t>
      </w:r>
      <w:r>
        <w:t>use</w:t>
      </w:r>
      <w:r>
        <w:rPr>
          <w:spacing w:val="-2"/>
        </w:rPr>
        <w:t xml:space="preserve"> behavior</w:t>
      </w:r>
    </w:p>
    <w:p w14:paraId="4DC0418C" w14:textId="77777777" w:rsidR="00DB6E1F" w:rsidRDefault="00F666A6">
      <w:pPr>
        <w:pStyle w:val="ListParagraph"/>
        <w:numPr>
          <w:ilvl w:val="0"/>
          <w:numId w:val="92"/>
        </w:numPr>
        <w:tabs>
          <w:tab w:val="left" w:pos="1798"/>
          <w:tab w:val="left" w:pos="1800"/>
        </w:tabs>
        <w:spacing w:before="61"/>
        <w:ind w:left="1799" w:hanging="362"/>
        <w:rPr>
          <w:rFonts w:ascii="Symbol" w:hAnsi="Symbol"/>
        </w:rPr>
      </w:pPr>
      <w:r>
        <w:t>Encouraging</w:t>
      </w:r>
      <w:r>
        <w:rPr>
          <w:spacing w:val="-6"/>
        </w:rPr>
        <w:t xml:space="preserve"> </w:t>
      </w:r>
      <w:r>
        <w:t>clients</w:t>
      </w:r>
      <w:r>
        <w:rPr>
          <w:spacing w:val="-4"/>
        </w:rPr>
        <w:t xml:space="preserve"> </w:t>
      </w:r>
      <w:r>
        <w:t>to</w:t>
      </w:r>
      <w:r>
        <w:rPr>
          <w:spacing w:val="-3"/>
        </w:rPr>
        <w:t xml:space="preserve"> </w:t>
      </w:r>
      <w:r>
        <w:t>change</w:t>
      </w:r>
      <w:r>
        <w:rPr>
          <w:spacing w:val="-5"/>
        </w:rPr>
        <w:t xml:space="preserve"> </w:t>
      </w:r>
      <w:r>
        <w:t>substance</w:t>
      </w:r>
      <w:r>
        <w:rPr>
          <w:spacing w:val="-5"/>
        </w:rPr>
        <w:t xml:space="preserve"> </w:t>
      </w:r>
      <w:r>
        <w:t>use</w:t>
      </w:r>
      <w:r>
        <w:rPr>
          <w:spacing w:val="-3"/>
        </w:rPr>
        <w:t xml:space="preserve"> </w:t>
      </w:r>
      <w:r>
        <w:rPr>
          <w:spacing w:val="-2"/>
        </w:rPr>
        <w:t>behaviors</w:t>
      </w:r>
    </w:p>
    <w:p w14:paraId="639F77FE" w14:textId="77777777" w:rsidR="00DB6E1F" w:rsidRDefault="00F666A6">
      <w:pPr>
        <w:pStyle w:val="ListParagraph"/>
        <w:numPr>
          <w:ilvl w:val="0"/>
          <w:numId w:val="92"/>
        </w:numPr>
        <w:tabs>
          <w:tab w:val="left" w:pos="1799"/>
          <w:tab w:val="left" w:pos="1800"/>
        </w:tabs>
        <w:spacing w:before="58"/>
        <w:ind w:left="1799"/>
        <w:rPr>
          <w:rFonts w:ascii="Symbol" w:hAnsi="Symbol"/>
        </w:rPr>
      </w:pPr>
      <w:r>
        <w:t>Alerting</w:t>
      </w:r>
      <w:r>
        <w:rPr>
          <w:spacing w:val="-8"/>
        </w:rPr>
        <w:t xml:space="preserve"> </w:t>
      </w:r>
      <w:r>
        <w:t>clients</w:t>
      </w:r>
      <w:r>
        <w:rPr>
          <w:spacing w:val="-6"/>
        </w:rPr>
        <w:t xml:space="preserve"> </w:t>
      </w:r>
      <w:r>
        <w:t>to</w:t>
      </w:r>
      <w:r>
        <w:rPr>
          <w:spacing w:val="-3"/>
        </w:rPr>
        <w:t xml:space="preserve"> </w:t>
      </w:r>
      <w:r>
        <w:t>social</w:t>
      </w:r>
      <w:r>
        <w:rPr>
          <w:spacing w:val="-4"/>
        </w:rPr>
        <w:t xml:space="preserve"> </w:t>
      </w:r>
      <w:r>
        <w:t>and</w:t>
      </w:r>
      <w:r>
        <w:rPr>
          <w:spacing w:val="-6"/>
        </w:rPr>
        <w:t xml:space="preserve"> </w:t>
      </w:r>
      <w:r>
        <w:t>individual</w:t>
      </w:r>
      <w:r>
        <w:rPr>
          <w:spacing w:val="-4"/>
        </w:rPr>
        <w:t xml:space="preserve"> </w:t>
      </w:r>
      <w:r>
        <w:t>coping</w:t>
      </w:r>
      <w:r>
        <w:rPr>
          <w:spacing w:val="-5"/>
        </w:rPr>
        <w:t xml:space="preserve"> </w:t>
      </w:r>
      <w:r>
        <w:t>resources</w:t>
      </w:r>
      <w:r>
        <w:rPr>
          <w:spacing w:val="-4"/>
        </w:rPr>
        <w:t xml:space="preserve"> </w:t>
      </w:r>
      <w:r>
        <w:t>that</w:t>
      </w:r>
      <w:r>
        <w:rPr>
          <w:spacing w:val="-7"/>
        </w:rPr>
        <w:t xml:space="preserve"> </w:t>
      </w:r>
      <w:r>
        <w:t>support</w:t>
      </w:r>
      <w:r>
        <w:rPr>
          <w:spacing w:val="-6"/>
        </w:rPr>
        <w:t xml:space="preserve"> </w:t>
      </w:r>
      <w:r>
        <w:rPr>
          <w:spacing w:val="-2"/>
        </w:rPr>
        <w:t>recovery</w:t>
      </w:r>
    </w:p>
    <w:p w14:paraId="77CB26D5" w14:textId="77777777" w:rsidR="00DB6E1F" w:rsidRDefault="00F666A6">
      <w:pPr>
        <w:pStyle w:val="ListParagraph"/>
        <w:numPr>
          <w:ilvl w:val="0"/>
          <w:numId w:val="92"/>
        </w:numPr>
        <w:tabs>
          <w:tab w:val="left" w:pos="1799"/>
          <w:tab w:val="left" w:pos="1800"/>
        </w:tabs>
        <w:spacing w:before="58"/>
        <w:ind w:left="1799"/>
        <w:rPr>
          <w:rFonts w:ascii="Symbol" w:hAnsi="Symbol"/>
        </w:rPr>
      </w:pPr>
      <w:r>
        <w:t>Providing</w:t>
      </w:r>
      <w:r>
        <w:rPr>
          <w:spacing w:val="-9"/>
        </w:rPr>
        <w:t xml:space="preserve"> </w:t>
      </w:r>
      <w:r>
        <w:t>positive</w:t>
      </w:r>
      <w:r>
        <w:rPr>
          <w:spacing w:val="-8"/>
        </w:rPr>
        <w:t xml:space="preserve"> </w:t>
      </w:r>
      <w:r>
        <w:t>reinforcement</w:t>
      </w:r>
      <w:r>
        <w:rPr>
          <w:spacing w:val="-4"/>
        </w:rPr>
        <w:t xml:space="preserve"> </w:t>
      </w:r>
      <w:r>
        <w:t>for</w:t>
      </w:r>
      <w:r>
        <w:rPr>
          <w:spacing w:val="-6"/>
        </w:rPr>
        <w:t xml:space="preserve"> </w:t>
      </w:r>
      <w:r>
        <w:t>using</w:t>
      </w:r>
      <w:r>
        <w:rPr>
          <w:spacing w:val="-6"/>
        </w:rPr>
        <w:t xml:space="preserve"> </w:t>
      </w:r>
      <w:r>
        <w:t>social/coping</w:t>
      </w:r>
      <w:r>
        <w:rPr>
          <w:spacing w:val="-6"/>
        </w:rPr>
        <w:t xml:space="preserve"> </w:t>
      </w:r>
      <w:r>
        <w:t>resources</w:t>
      </w:r>
      <w:r>
        <w:rPr>
          <w:spacing w:val="-6"/>
        </w:rPr>
        <w:t xml:space="preserve"> </w:t>
      </w:r>
      <w:r>
        <w:t>to</w:t>
      </w:r>
      <w:r>
        <w:rPr>
          <w:spacing w:val="-7"/>
        </w:rPr>
        <w:t xml:space="preserve"> </w:t>
      </w:r>
      <w:r>
        <w:t>change</w:t>
      </w:r>
      <w:r>
        <w:rPr>
          <w:spacing w:val="-5"/>
        </w:rPr>
        <w:t xml:space="preserve"> </w:t>
      </w:r>
      <w:r>
        <w:t>substance</w:t>
      </w:r>
      <w:r>
        <w:rPr>
          <w:spacing w:val="-4"/>
        </w:rPr>
        <w:t xml:space="preserve"> </w:t>
      </w:r>
      <w:r>
        <w:rPr>
          <w:spacing w:val="-5"/>
        </w:rPr>
        <w:t>use</w:t>
      </w:r>
    </w:p>
    <w:p w14:paraId="479DB83B" w14:textId="77777777" w:rsidR="00DB6E1F" w:rsidRDefault="00DB6E1F">
      <w:pPr>
        <w:pStyle w:val="BodyText"/>
        <w:spacing w:before="6"/>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20E8B1B4" w14:textId="77777777">
        <w:trPr>
          <w:trHeight w:val="503"/>
        </w:trPr>
        <w:tc>
          <w:tcPr>
            <w:tcW w:w="9350" w:type="dxa"/>
            <w:shd w:val="clear" w:color="auto" w:fill="050505"/>
          </w:tcPr>
          <w:p w14:paraId="08B19D35" w14:textId="77777777" w:rsidR="00DB6E1F" w:rsidRDefault="00F666A6">
            <w:pPr>
              <w:pStyle w:val="TableParagraph"/>
              <w:spacing w:before="102"/>
              <w:ind w:left="113"/>
              <w:jc w:val="center"/>
              <w:rPr>
                <w:sz w:val="24"/>
              </w:rPr>
            </w:pPr>
            <w:r>
              <w:rPr>
                <w:color w:val="FFFFFF"/>
                <w:sz w:val="24"/>
              </w:rPr>
              <w:t>Expert</w:t>
            </w:r>
            <w:r>
              <w:rPr>
                <w:color w:val="FFFFFF"/>
                <w:spacing w:val="-3"/>
                <w:sz w:val="24"/>
              </w:rPr>
              <w:t xml:space="preserve"> </w:t>
            </w:r>
            <w:r>
              <w:rPr>
                <w:color w:val="FFFFFF"/>
                <w:sz w:val="24"/>
              </w:rPr>
              <w:t>Comment:</w:t>
            </w:r>
            <w:r>
              <w:rPr>
                <w:color w:val="FFFFFF"/>
                <w:spacing w:val="-3"/>
                <w:sz w:val="24"/>
              </w:rPr>
              <w:t xml:space="preserve"> </w:t>
            </w:r>
            <w:r>
              <w:rPr>
                <w:color w:val="FFFFFF"/>
                <w:sz w:val="24"/>
              </w:rPr>
              <w:t>Involving</w:t>
            </w:r>
            <w:r>
              <w:rPr>
                <w:color w:val="FFFFFF"/>
                <w:spacing w:val="-2"/>
                <w:sz w:val="24"/>
              </w:rPr>
              <w:t xml:space="preserve"> </w:t>
            </w:r>
            <w:r>
              <w:rPr>
                <w:color w:val="FFFFFF"/>
                <w:sz w:val="24"/>
              </w:rPr>
              <w:t>an</w:t>
            </w:r>
            <w:r>
              <w:rPr>
                <w:color w:val="FFFFFF"/>
                <w:spacing w:val="-2"/>
                <w:sz w:val="24"/>
              </w:rPr>
              <w:t xml:space="preserve"> </w:t>
            </w:r>
            <w:r>
              <w:rPr>
                <w:color w:val="FFFFFF"/>
                <w:sz w:val="24"/>
              </w:rPr>
              <w:t>SO</w:t>
            </w:r>
            <w:r>
              <w:rPr>
                <w:color w:val="FFFFFF"/>
                <w:spacing w:val="-1"/>
                <w:sz w:val="24"/>
              </w:rPr>
              <w:t xml:space="preserve"> </w:t>
            </w:r>
            <w:r>
              <w:rPr>
                <w:color w:val="FFFFFF"/>
                <w:sz w:val="24"/>
              </w:rPr>
              <w:t>in</w:t>
            </w:r>
            <w:r>
              <w:rPr>
                <w:color w:val="FFFFFF"/>
                <w:spacing w:val="-3"/>
                <w:sz w:val="24"/>
              </w:rPr>
              <w:t xml:space="preserve"> </w:t>
            </w:r>
            <w:r>
              <w:rPr>
                <w:color w:val="FFFFFF"/>
                <w:sz w:val="24"/>
              </w:rPr>
              <w:t>the Change</w:t>
            </w:r>
            <w:r>
              <w:rPr>
                <w:color w:val="FFFFFF"/>
                <w:spacing w:val="-2"/>
                <w:sz w:val="24"/>
              </w:rPr>
              <w:t xml:space="preserve"> Process</w:t>
            </w:r>
          </w:p>
        </w:tc>
      </w:tr>
      <w:tr w:rsidR="00DB6E1F" w14:paraId="666052FF" w14:textId="77777777">
        <w:trPr>
          <w:trHeight w:val="2438"/>
        </w:trPr>
        <w:tc>
          <w:tcPr>
            <w:tcW w:w="9350" w:type="dxa"/>
          </w:tcPr>
          <w:p w14:paraId="19F609C1" w14:textId="77777777" w:rsidR="00DB6E1F" w:rsidRDefault="00F666A6">
            <w:pPr>
              <w:pStyle w:val="TableParagraph"/>
              <w:rPr>
                <w:sz w:val="20"/>
              </w:rPr>
            </w:pPr>
            <w:r>
              <w:rPr>
                <w:sz w:val="20"/>
              </w:rPr>
              <w:t>I have found that actively involving an SO, such as a spouse, relative, or friend, in motivational counseling can affect a client’s commitment to change. The SO provides helpful input for clients who are ambivalent about changing</w:t>
            </w:r>
            <w:r>
              <w:rPr>
                <w:spacing w:val="-3"/>
                <w:sz w:val="20"/>
              </w:rPr>
              <w:t xml:space="preserve"> </w:t>
            </w:r>
            <w:r>
              <w:rPr>
                <w:sz w:val="20"/>
              </w:rPr>
              <w:t>addictive</w:t>
            </w:r>
            <w:r>
              <w:rPr>
                <w:spacing w:val="-4"/>
                <w:sz w:val="20"/>
              </w:rPr>
              <w:t xml:space="preserve"> </w:t>
            </w:r>
            <w:r>
              <w:rPr>
                <w:sz w:val="20"/>
              </w:rPr>
              <w:t>behaviors.</w:t>
            </w:r>
            <w:r>
              <w:rPr>
                <w:spacing w:val="-1"/>
                <w:sz w:val="20"/>
              </w:rPr>
              <w:t xml:space="preserve"> </w:t>
            </w:r>
            <w:r>
              <w:rPr>
                <w:sz w:val="20"/>
              </w:rPr>
              <w:t>SO</w:t>
            </w:r>
            <w:r>
              <w:rPr>
                <w:spacing w:val="-3"/>
                <w:sz w:val="20"/>
              </w:rPr>
              <w:t xml:space="preserve"> </w:t>
            </w:r>
            <w:r>
              <w:rPr>
                <w:sz w:val="20"/>
              </w:rPr>
              <w:t>fe</w:t>
            </w:r>
            <w:r>
              <w:rPr>
                <w:sz w:val="20"/>
              </w:rPr>
              <w:t>edback</w:t>
            </w:r>
            <w:r>
              <w:rPr>
                <w:spacing w:val="-2"/>
                <w:sz w:val="20"/>
              </w:rPr>
              <w:t xml:space="preserve"> </w:t>
            </w:r>
            <w:r>
              <w:rPr>
                <w:sz w:val="20"/>
              </w:rPr>
              <w:t>can</w:t>
            </w:r>
            <w:r>
              <w:rPr>
                <w:spacing w:val="-2"/>
                <w:sz w:val="20"/>
              </w:rPr>
              <w:t xml:space="preserve"> </w:t>
            </w:r>
            <w:r>
              <w:rPr>
                <w:sz w:val="20"/>
              </w:rPr>
              <w:t>raise</w:t>
            </w:r>
            <w:r>
              <w:rPr>
                <w:spacing w:val="-4"/>
                <w:sz w:val="20"/>
              </w:rPr>
              <w:t xml:space="preserve"> </w:t>
            </w:r>
            <w:r>
              <w:rPr>
                <w:sz w:val="20"/>
              </w:rPr>
              <w:t>the</w:t>
            </w:r>
            <w:r>
              <w:rPr>
                <w:spacing w:val="-4"/>
                <w:sz w:val="20"/>
              </w:rPr>
              <w:t xml:space="preserve"> </w:t>
            </w:r>
            <w:r>
              <w:rPr>
                <w:sz w:val="20"/>
              </w:rPr>
              <w:t>client’s</w:t>
            </w:r>
            <w:r>
              <w:rPr>
                <w:spacing w:val="-4"/>
                <w:sz w:val="20"/>
              </w:rPr>
              <w:t xml:space="preserve"> </w:t>
            </w:r>
            <w:r>
              <w:rPr>
                <w:sz w:val="20"/>
              </w:rPr>
              <w:t>awareness</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negative</w:t>
            </w:r>
            <w:r>
              <w:rPr>
                <w:spacing w:val="-4"/>
                <w:sz w:val="20"/>
              </w:rPr>
              <w:t xml:space="preserve"> </w:t>
            </w:r>
            <w:r>
              <w:rPr>
                <w:sz w:val="20"/>
              </w:rPr>
              <w:t>effects</w:t>
            </w:r>
            <w:r>
              <w:rPr>
                <w:spacing w:val="-4"/>
                <w:sz w:val="20"/>
              </w:rPr>
              <w:t xml:space="preserve"> </w:t>
            </w:r>
            <w:r>
              <w:rPr>
                <w:sz w:val="20"/>
              </w:rPr>
              <w:t>of</w:t>
            </w:r>
            <w:r>
              <w:rPr>
                <w:spacing w:val="-2"/>
                <w:sz w:val="20"/>
              </w:rPr>
              <w:t xml:space="preserve"> </w:t>
            </w:r>
            <w:r>
              <w:rPr>
                <w:sz w:val="20"/>
              </w:rPr>
              <w:t>substance use. The SO can also offer needed support in sustaining the client’s commitment to change.</w:t>
            </w:r>
          </w:p>
          <w:p w14:paraId="0EE0EFE8" w14:textId="77777777" w:rsidR="00DB6E1F" w:rsidRDefault="00F666A6">
            <w:pPr>
              <w:pStyle w:val="TableParagraph"/>
              <w:spacing w:before="118"/>
              <w:ind w:right="169"/>
              <w:rPr>
                <w:sz w:val="20"/>
              </w:rPr>
            </w:pPr>
            <w:r>
              <w:rPr>
                <w:sz w:val="20"/>
              </w:rPr>
              <w:t>Before involving the SO, I determine whether the SO has a positive relationship with the</w:t>
            </w:r>
            <w:r>
              <w:rPr>
                <w:sz w:val="20"/>
              </w:rPr>
              <w:t xml:space="preserve"> client and a genuine investment in affecting the change process. SOs with strong ties to the client and an interest in helping the client change substance use can help support change; those who lack these qualities can make this process more</w:t>
            </w:r>
            <w:r>
              <w:rPr>
                <w:spacing w:val="-3"/>
                <w:sz w:val="20"/>
              </w:rPr>
              <w:t xml:space="preserve"> </w:t>
            </w:r>
            <w:r>
              <w:rPr>
                <w:sz w:val="20"/>
              </w:rPr>
              <w:t>difficult.</w:t>
            </w:r>
            <w:r>
              <w:rPr>
                <w:spacing w:val="-2"/>
                <w:sz w:val="20"/>
              </w:rPr>
              <w:t xml:space="preserve"> </w:t>
            </w:r>
            <w:r>
              <w:rPr>
                <w:sz w:val="20"/>
              </w:rPr>
              <w:t>Before</w:t>
            </w:r>
            <w:r>
              <w:rPr>
                <w:spacing w:val="-3"/>
                <w:sz w:val="20"/>
              </w:rPr>
              <w:t xml:space="preserve"> </w:t>
            </w:r>
            <w:r>
              <w:rPr>
                <w:sz w:val="20"/>
              </w:rPr>
              <w:t>involving</w:t>
            </w:r>
            <w:r>
              <w:rPr>
                <w:spacing w:val="-2"/>
                <w:sz w:val="20"/>
              </w:rPr>
              <w:t xml:space="preserve"> </w:t>
            </w:r>
            <w:r>
              <w:rPr>
                <w:sz w:val="20"/>
              </w:rPr>
              <w:t>the</w:t>
            </w:r>
            <w:r>
              <w:rPr>
                <w:spacing w:val="-3"/>
                <w:sz w:val="20"/>
              </w:rPr>
              <w:t xml:space="preserve"> </w:t>
            </w:r>
            <w:r>
              <w:rPr>
                <w:sz w:val="20"/>
              </w:rPr>
              <w:t>SO,</w:t>
            </w:r>
            <w:r>
              <w:rPr>
                <w:spacing w:val="-1"/>
                <w:sz w:val="20"/>
              </w:rPr>
              <w:t xml:space="preserve"> </w:t>
            </w:r>
            <w:r>
              <w:rPr>
                <w:sz w:val="20"/>
              </w:rPr>
              <w:t>I</w:t>
            </w:r>
            <w:r>
              <w:rPr>
                <w:spacing w:val="-2"/>
                <w:sz w:val="20"/>
              </w:rPr>
              <w:t xml:space="preserve"> </w:t>
            </w:r>
            <w:r>
              <w:rPr>
                <w:sz w:val="20"/>
              </w:rPr>
              <w:t>assess</w:t>
            </w:r>
            <w:r>
              <w:rPr>
                <w:spacing w:val="-3"/>
                <w:sz w:val="20"/>
              </w:rPr>
              <w:t xml:space="preserve"> </w:t>
            </w:r>
            <w:r>
              <w:rPr>
                <w:sz w:val="20"/>
              </w:rPr>
              <w:t>the</w:t>
            </w:r>
            <w:r>
              <w:rPr>
                <w:spacing w:val="-3"/>
                <w:sz w:val="20"/>
              </w:rPr>
              <w:t xml:space="preserve"> </w:t>
            </w:r>
            <w:r>
              <w:rPr>
                <w:sz w:val="20"/>
              </w:rPr>
              <w:t>interactions</w:t>
            </w:r>
            <w:r>
              <w:rPr>
                <w:spacing w:val="-3"/>
                <w:sz w:val="20"/>
              </w:rPr>
              <w:t xml:space="preserve"> </w:t>
            </w:r>
            <w:r>
              <w:rPr>
                <w:sz w:val="20"/>
              </w:rPr>
              <w:t>between</w:t>
            </w:r>
            <w:r>
              <w:rPr>
                <w:spacing w:val="-1"/>
                <w:sz w:val="20"/>
              </w:rPr>
              <w:t xml:space="preserve"> </w:t>
            </w:r>
            <w:r>
              <w:rPr>
                <w:sz w:val="20"/>
              </w:rPr>
              <w:t>the</w:t>
            </w:r>
            <w:r>
              <w:rPr>
                <w:spacing w:val="-3"/>
                <w:sz w:val="20"/>
              </w:rPr>
              <w:t xml:space="preserve"> </w:t>
            </w:r>
            <w:r>
              <w:rPr>
                <w:sz w:val="20"/>
              </w:rPr>
              <w:t>client</w:t>
            </w:r>
            <w:r>
              <w:rPr>
                <w:spacing w:val="-2"/>
                <w:sz w:val="20"/>
              </w:rPr>
              <w:t xml:space="preserve"> </w:t>
            </w:r>
            <w:r>
              <w:rPr>
                <w:sz w:val="20"/>
              </w:rPr>
              <w:t>and</w:t>
            </w:r>
            <w:r>
              <w:rPr>
                <w:spacing w:val="-1"/>
                <w:sz w:val="20"/>
              </w:rPr>
              <w:t xml:space="preserve"> </w:t>
            </w:r>
            <w:r>
              <w:rPr>
                <w:sz w:val="20"/>
              </w:rPr>
              <w:t>the</w:t>
            </w:r>
            <w:r>
              <w:rPr>
                <w:spacing w:val="-3"/>
                <w:sz w:val="20"/>
              </w:rPr>
              <w:t xml:space="preserve"> </w:t>
            </w:r>
            <w:r>
              <w:rPr>
                <w:sz w:val="20"/>
              </w:rPr>
              <w:t>SO.</w:t>
            </w:r>
            <w:r>
              <w:rPr>
                <w:spacing w:val="-2"/>
                <w:sz w:val="20"/>
              </w:rPr>
              <w:t xml:space="preserve"> </w:t>
            </w:r>
            <w:r>
              <w:rPr>
                <w:sz w:val="20"/>
              </w:rPr>
              <w:t>I</w:t>
            </w:r>
            <w:r>
              <w:rPr>
                <w:spacing w:val="-2"/>
                <w:sz w:val="20"/>
              </w:rPr>
              <w:t xml:space="preserve"> </w:t>
            </w:r>
            <w:r>
              <w:rPr>
                <w:sz w:val="20"/>
              </w:rPr>
              <w:t>am</w:t>
            </w:r>
            <w:r>
              <w:rPr>
                <w:spacing w:val="-3"/>
                <w:sz w:val="20"/>
              </w:rPr>
              <w:t xml:space="preserve"> </w:t>
            </w:r>
            <w:r>
              <w:rPr>
                <w:sz w:val="20"/>
              </w:rPr>
              <w:t>particularly interested in learning whether the client’s motivational statements are supported by the SO.</w:t>
            </w:r>
          </w:p>
        </w:tc>
      </w:tr>
    </w:tbl>
    <w:p w14:paraId="185CF7ED" w14:textId="77777777" w:rsidR="00DB6E1F" w:rsidRDefault="00DB6E1F">
      <w:pPr>
        <w:rPr>
          <w:sz w:val="20"/>
        </w:rPr>
        <w:sectPr w:rsidR="00DB6E1F">
          <w:pgSz w:w="12240" w:h="15840"/>
          <w:pgMar w:top="1200" w:right="0" w:bottom="780" w:left="0" w:header="763" w:footer="585" w:gutter="0"/>
          <w:cols w:space="720"/>
        </w:sectPr>
      </w:pPr>
    </w:p>
    <w:p w14:paraId="419FF92B"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030A3633" w14:textId="77777777">
        <w:trPr>
          <w:trHeight w:val="2425"/>
        </w:trPr>
        <w:tc>
          <w:tcPr>
            <w:tcW w:w="9350" w:type="dxa"/>
          </w:tcPr>
          <w:p w14:paraId="3126B7B2" w14:textId="77777777" w:rsidR="00DB6E1F" w:rsidRDefault="00F666A6">
            <w:pPr>
              <w:pStyle w:val="TableParagraph"/>
              <w:ind w:right="117"/>
              <w:rPr>
                <w:sz w:val="20"/>
              </w:rPr>
            </w:pPr>
            <w:r>
              <w:rPr>
                <w:sz w:val="20"/>
              </w:rPr>
              <w:t>Following</w:t>
            </w:r>
            <w:r>
              <w:rPr>
                <w:spacing w:val="-3"/>
                <w:sz w:val="20"/>
              </w:rPr>
              <w:t xml:space="preserve"> </w:t>
            </w:r>
            <w:r>
              <w:rPr>
                <w:sz w:val="20"/>
              </w:rPr>
              <w:t>this</w:t>
            </w:r>
            <w:r>
              <w:rPr>
                <w:spacing w:val="-4"/>
                <w:sz w:val="20"/>
              </w:rPr>
              <w:t xml:space="preserve"> </w:t>
            </w:r>
            <w:r>
              <w:rPr>
                <w:sz w:val="20"/>
              </w:rPr>
              <w:t>brief</w:t>
            </w:r>
            <w:r>
              <w:rPr>
                <w:spacing w:val="-4"/>
                <w:sz w:val="20"/>
              </w:rPr>
              <w:t xml:space="preserve"> </w:t>
            </w:r>
            <w:r>
              <w:rPr>
                <w:sz w:val="20"/>
              </w:rPr>
              <w:t>assessment,</w:t>
            </w:r>
            <w:r>
              <w:rPr>
                <w:spacing w:val="-2"/>
                <w:sz w:val="20"/>
              </w:rPr>
              <w:t xml:space="preserve"> </w:t>
            </w:r>
            <w:r>
              <w:rPr>
                <w:sz w:val="20"/>
              </w:rPr>
              <w:t>I</w:t>
            </w:r>
            <w:r>
              <w:rPr>
                <w:spacing w:val="-3"/>
                <w:sz w:val="20"/>
              </w:rPr>
              <w:t xml:space="preserve"> </w:t>
            </w:r>
            <w:r>
              <w:rPr>
                <w:sz w:val="20"/>
              </w:rPr>
              <w:t>use</w:t>
            </w:r>
            <w:r>
              <w:rPr>
                <w:spacing w:val="-4"/>
                <w:sz w:val="20"/>
              </w:rPr>
              <w:t xml:space="preserve"> </w:t>
            </w:r>
            <w:r>
              <w:rPr>
                <w:sz w:val="20"/>
              </w:rPr>
              <w:t>many</w:t>
            </w:r>
            <w:r>
              <w:rPr>
                <w:spacing w:val="-2"/>
                <w:sz w:val="20"/>
              </w:rPr>
              <w:t xml:space="preserve"> </w:t>
            </w:r>
            <w:r>
              <w:rPr>
                <w:sz w:val="20"/>
              </w:rPr>
              <w:t>dif</w:t>
            </w:r>
            <w:r>
              <w:rPr>
                <w:sz w:val="20"/>
              </w:rPr>
              <w:t>ferent</w:t>
            </w:r>
            <w:r>
              <w:rPr>
                <w:spacing w:val="-2"/>
                <w:sz w:val="20"/>
              </w:rPr>
              <w:t xml:space="preserve"> </w:t>
            </w:r>
            <w:r>
              <w:rPr>
                <w:sz w:val="20"/>
              </w:rPr>
              <w:t>commitment-enhancing</w:t>
            </w:r>
            <w:r>
              <w:rPr>
                <w:spacing w:val="-3"/>
                <w:sz w:val="20"/>
              </w:rPr>
              <w:t xml:space="preserve"> </w:t>
            </w:r>
            <w:r>
              <w:rPr>
                <w:sz w:val="20"/>
              </w:rPr>
              <w:t>strategies</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SO</w:t>
            </w:r>
            <w:r>
              <w:rPr>
                <w:spacing w:val="-3"/>
                <w:sz w:val="20"/>
              </w:rPr>
              <w:t xml:space="preserve"> </w:t>
            </w:r>
            <w:r>
              <w:rPr>
                <w:sz w:val="20"/>
              </w:rPr>
              <w:t>to</w:t>
            </w:r>
            <w:r>
              <w:rPr>
                <w:spacing w:val="-2"/>
                <w:sz w:val="20"/>
              </w:rPr>
              <w:t xml:space="preserve"> </w:t>
            </w:r>
            <w:r>
              <w:rPr>
                <w:sz w:val="20"/>
              </w:rPr>
              <w:t>help</w:t>
            </w:r>
            <w:r>
              <w:rPr>
                <w:spacing w:val="-2"/>
                <w:sz w:val="20"/>
              </w:rPr>
              <w:t xml:space="preserve"> </w:t>
            </w:r>
            <w:r>
              <w:rPr>
                <w:sz w:val="20"/>
              </w:rPr>
              <w:t>him or her affect the motivational process. I try to ask questions that will help the SO feel optimistic about the client’s ability to change. For example, I may ask the SO the following questions:</w:t>
            </w:r>
          </w:p>
          <w:p w14:paraId="3561EFAC" w14:textId="77777777" w:rsidR="00DB6E1F" w:rsidRDefault="00F666A6">
            <w:pPr>
              <w:pStyle w:val="TableParagraph"/>
              <w:numPr>
                <w:ilvl w:val="0"/>
                <w:numId w:val="64"/>
              </w:numPr>
              <w:tabs>
                <w:tab w:val="left" w:pos="467"/>
                <w:tab w:val="left" w:pos="468"/>
              </w:tabs>
              <w:spacing w:before="119"/>
              <w:ind w:left="467" w:hanging="361"/>
              <w:rPr>
                <w:sz w:val="20"/>
              </w:rPr>
            </w:pPr>
            <w:r>
              <w:rPr>
                <w:sz w:val="20"/>
              </w:rPr>
              <w:t>“Have</w:t>
            </w:r>
            <w:r>
              <w:rPr>
                <w:spacing w:val="-6"/>
                <w:sz w:val="20"/>
              </w:rPr>
              <w:t xml:space="preserve"> </w:t>
            </w:r>
            <w:r>
              <w:rPr>
                <w:sz w:val="20"/>
              </w:rPr>
              <w:t>you</w:t>
            </w:r>
            <w:r>
              <w:rPr>
                <w:spacing w:val="-5"/>
                <w:sz w:val="20"/>
              </w:rPr>
              <w:t xml:space="preserve"> </w:t>
            </w:r>
            <w:r>
              <w:rPr>
                <w:sz w:val="20"/>
              </w:rPr>
              <w:t>noticed</w:t>
            </w:r>
            <w:r>
              <w:rPr>
                <w:spacing w:val="-4"/>
                <w:sz w:val="20"/>
              </w:rPr>
              <w:t xml:space="preserve"> </w:t>
            </w:r>
            <w:r>
              <w:rPr>
                <w:sz w:val="20"/>
              </w:rPr>
              <w:t>what</w:t>
            </w:r>
            <w:r>
              <w:rPr>
                <w:spacing w:val="-5"/>
                <w:sz w:val="20"/>
              </w:rPr>
              <w:t xml:space="preserve"> </w:t>
            </w:r>
            <w:r>
              <w:rPr>
                <w:sz w:val="20"/>
              </w:rPr>
              <w:t>efforts</w:t>
            </w:r>
            <w:r>
              <w:rPr>
                <w:spacing w:val="-6"/>
                <w:sz w:val="20"/>
              </w:rPr>
              <w:t xml:space="preserve"> </w:t>
            </w:r>
            <w:r>
              <w:rPr>
                <w:sz w:val="20"/>
              </w:rPr>
              <w:t>Jack</w:t>
            </w:r>
            <w:r>
              <w:rPr>
                <w:spacing w:val="-4"/>
                <w:sz w:val="20"/>
              </w:rPr>
              <w:t xml:space="preserve"> </w:t>
            </w:r>
            <w:r>
              <w:rPr>
                <w:sz w:val="20"/>
              </w:rPr>
              <w:t>has</w:t>
            </w:r>
            <w:r>
              <w:rPr>
                <w:spacing w:val="-4"/>
                <w:sz w:val="20"/>
              </w:rPr>
              <w:t xml:space="preserve"> </w:t>
            </w:r>
            <w:r>
              <w:rPr>
                <w:sz w:val="20"/>
              </w:rPr>
              <w:t>made</w:t>
            </w:r>
            <w:r>
              <w:rPr>
                <w:spacing w:val="-6"/>
                <w:sz w:val="20"/>
              </w:rPr>
              <w:t xml:space="preserve"> </w:t>
            </w:r>
            <w:r>
              <w:rPr>
                <w:sz w:val="20"/>
              </w:rPr>
              <w:t>to</w:t>
            </w:r>
            <w:r>
              <w:rPr>
                <w:spacing w:val="-4"/>
                <w:sz w:val="20"/>
              </w:rPr>
              <w:t xml:space="preserve"> </w:t>
            </w:r>
            <w:r>
              <w:rPr>
                <w:sz w:val="20"/>
              </w:rPr>
              <w:t>change</w:t>
            </w:r>
            <w:r>
              <w:rPr>
                <w:spacing w:val="-6"/>
                <w:sz w:val="20"/>
              </w:rPr>
              <w:t xml:space="preserve"> </w:t>
            </w:r>
            <w:r>
              <w:rPr>
                <w:sz w:val="20"/>
              </w:rPr>
              <w:t>his</w:t>
            </w:r>
            <w:r>
              <w:rPr>
                <w:spacing w:val="-6"/>
                <w:sz w:val="20"/>
              </w:rPr>
              <w:t xml:space="preserve"> </w:t>
            </w:r>
            <w:r>
              <w:rPr>
                <w:spacing w:val="-2"/>
                <w:sz w:val="20"/>
              </w:rPr>
              <w:t>drinking?”</w:t>
            </w:r>
          </w:p>
          <w:p w14:paraId="09346251" w14:textId="77777777" w:rsidR="00DB6E1F" w:rsidRDefault="00F666A6">
            <w:pPr>
              <w:pStyle w:val="TableParagraph"/>
              <w:numPr>
                <w:ilvl w:val="0"/>
                <w:numId w:val="64"/>
              </w:numPr>
              <w:tabs>
                <w:tab w:val="left" w:pos="467"/>
                <w:tab w:val="left" w:pos="468"/>
              </w:tabs>
              <w:spacing w:before="40"/>
              <w:ind w:left="467" w:hanging="361"/>
              <w:rPr>
                <w:sz w:val="20"/>
              </w:rPr>
            </w:pPr>
            <w:r>
              <w:rPr>
                <w:sz w:val="20"/>
              </w:rPr>
              <w:t>“What</w:t>
            </w:r>
            <w:r>
              <w:rPr>
                <w:spacing w:val="-5"/>
                <w:sz w:val="20"/>
              </w:rPr>
              <w:t xml:space="preserve"> </w:t>
            </w:r>
            <w:r>
              <w:rPr>
                <w:sz w:val="20"/>
              </w:rPr>
              <w:t>has</w:t>
            </w:r>
            <w:r>
              <w:rPr>
                <w:spacing w:val="-6"/>
                <w:sz w:val="20"/>
              </w:rPr>
              <w:t xml:space="preserve"> </w:t>
            </w:r>
            <w:r>
              <w:rPr>
                <w:sz w:val="20"/>
              </w:rPr>
              <w:t>been</w:t>
            </w:r>
            <w:r>
              <w:rPr>
                <w:spacing w:val="-4"/>
                <w:sz w:val="20"/>
              </w:rPr>
              <w:t xml:space="preserve"> </w:t>
            </w:r>
            <w:r>
              <w:rPr>
                <w:sz w:val="20"/>
              </w:rPr>
              <w:t>most</w:t>
            </w:r>
            <w:r>
              <w:rPr>
                <w:spacing w:val="-5"/>
                <w:sz w:val="20"/>
              </w:rPr>
              <w:t xml:space="preserve"> </w:t>
            </w:r>
            <w:r>
              <w:rPr>
                <w:sz w:val="20"/>
              </w:rPr>
              <w:t>helpful</w:t>
            </w:r>
            <w:r>
              <w:rPr>
                <w:spacing w:val="-3"/>
                <w:sz w:val="20"/>
              </w:rPr>
              <w:t xml:space="preserve"> </w:t>
            </w:r>
            <w:r>
              <w:rPr>
                <w:sz w:val="20"/>
              </w:rPr>
              <w:t>to</w:t>
            </w:r>
            <w:r>
              <w:rPr>
                <w:spacing w:val="-5"/>
                <w:sz w:val="20"/>
              </w:rPr>
              <w:t xml:space="preserve"> </w:t>
            </w:r>
            <w:r>
              <w:rPr>
                <w:sz w:val="20"/>
              </w:rPr>
              <w:t>you</w:t>
            </w:r>
            <w:r>
              <w:rPr>
                <w:spacing w:val="-4"/>
                <w:sz w:val="20"/>
              </w:rPr>
              <w:t xml:space="preserve"> </w:t>
            </w:r>
            <w:r>
              <w:rPr>
                <w:sz w:val="20"/>
              </w:rPr>
              <w:t>in</w:t>
            </w:r>
            <w:r>
              <w:rPr>
                <w:spacing w:val="-4"/>
                <w:sz w:val="20"/>
              </w:rPr>
              <w:t xml:space="preserve"> </w:t>
            </w:r>
            <w:r>
              <w:rPr>
                <w:sz w:val="20"/>
              </w:rPr>
              <w:t>helping</w:t>
            </w:r>
            <w:r>
              <w:rPr>
                <w:spacing w:val="-5"/>
                <w:sz w:val="20"/>
              </w:rPr>
              <w:t xml:space="preserve"> </w:t>
            </w:r>
            <w:r>
              <w:rPr>
                <w:sz w:val="20"/>
              </w:rPr>
              <w:t>Jack</w:t>
            </w:r>
            <w:r>
              <w:rPr>
                <w:spacing w:val="-4"/>
                <w:sz w:val="20"/>
              </w:rPr>
              <w:t xml:space="preserve"> </w:t>
            </w:r>
            <w:r>
              <w:rPr>
                <w:sz w:val="20"/>
              </w:rPr>
              <w:t>deal</w:t>
            </w:r>
            <w:r>
              <w:rPr>
                <w:spacing w:val="-5"/>
                <w:sz w:val="20"/>
              </w:rPr>
              <w:t xml:space="preserve"> </w:t>
            </w:r>
            <w:r>
              <w:rPr>
                <w:sz w:val="20"/>
              </w:rPr>
              <w:t>with</w:t>
            </w:r>
            <w:r>
              <w:rPr>
                <w:spacing w:val="-4"/>
                <w:sz w:val="20"/>
              </w:rPr>
              <w:t xml:space="preserve"> </w:t>
            </w:r>
            <w:r>
              <w:rPr>
                <w:sz w:val="20"/>
              </w:rPr>
              <w:t>the</w:t>
            </w:r>
            <w:r>
              <w:rPr>
                <w:spacing w:val="-6"/>
                <w:sz w:val="20"/>
              </w:rPr>
              <w:t xml:space="preserve"> </w:t>
            </w:r>
            <w:r>
              <w:rPr>
                <w:spacing w:val="-2"/>
                <w:sz w:val="20"/>
              </w:rPr>
              <w:t>drinking?”</w:t>
            </w:r>
          </w:p>
          <w:p w14:paraId="39AC862F" w14:textId="77777777" w:rsidR="00DB6E1F" w:rsidRDefault="00F666A6">
            <w:pPr>
              <w:pStyle w:val="TableParagraph"/>
              <w:numPr>
                <w:ilvl w:val="0"/>
                <w:numId w:val="64"/>
              </w:numPr>
              <w:tabs>
                <w:tab w:val="left" w:pos="467"/>
                <w:tab w:val="left" w:pos="468"/>
              </w:tabs>
              <w:spacing w:before="40" w:line="278" w:lineRule="auto"/>
              <w:ind w:left="107" w:right="1513" w:hanging="1"/>
              <w:rPr>
                <w:sz w:val="20"/>
              </w:rPr>
            </w:pPr>
            <w:r>
              <w:rPr>
                <w:sz w:val="20"/>
              </w:rPr>
              <w:t>“What is different now that leads you to feel better about Jack’s ability to change?” Through</w:t>
            </w:r>
            <w:r>
              <w:rPr>
                <w:spacing w:val="-2"/>
                <w:sz w:val="20"/>
              </w:rPr>
              <w:t xml:space="preserve"> </w:t>
            </w:r>
            <w:r>
              <w:rPr>
                <w:sz w:val="20"/>
              </w:rPr>
              <w:t>techniques</w:t>
            </w:r>
            <w:r>
              <w:rPr>
                <w:spacing w:val="-4"/>
                <w:sz w:val="20"/>
              </w:rPr>
              <w:t xml:space="preserve"> </w:t>
            </w:r>
            <w:r>
              <w:rPr>
                <w:sz w:val="20"/>
              </w:rPr>
              <w:t>such</w:t>
            </w:r>
            <w:r>
              <w:rPr>
                <w:spacing w:val="-2"/>
                <w:sz w:val="20"/>
              </w:rPr>
              <w:t xml:space="preserve"> </w:t>
            </w:r>
            <w:r>
              <w:rPr>
                <w:sz w:val="20"/>
              </w:rPr>
              <w:t>as</w:t>
            </w:r>
            <w:r>
              <w:rPr>
                <w:spacing w:val="-4"/>
                <w:sz w:val="20"/>
              </w:rPr>
              <w:t xml:space="preserve"> </w:t>
            </w:r>
            <w:r>
              <w:rPr>
                <w:sz w:val="20"/>
              </w:rPr>
              <w:t>eliciting</w:t>
            </w:r>
            <w:r>
              <w:rPr>
                <w:spacing w:val="-3"/>
                <w:sz w:val="20"/>
              </w:rPr>
              <w:t xml:space="preserve"> </w:t>
            </w:r>
            <w:r>
              <w:rPr>
                <w:sz w:val="20"/>
              </w:rPr>
              <w:t>change</w:t>
            </w:r>
            <w:r>
              <w:rPr>
                <w:spacing w:val="-4"/>
                <w:sz w:val="20"/>
              </w:rPr>
              <w:t xml:space="preserve"> </w:t>
            </w:r>
            <w:r>
              <w:rPr>
                <w:sz w:val="20"/>
              </w:rPr>
              <w:t>talk</w:t>
            </w:r>
            <w:r>
              <w:rPr>
                <w:spacing w:val="-3"/>
                <w:sz w:val="20"/>
              </w:rPr>
              <w:t xml:space="preserve"> </w:t>
            </w:r>
            <w:r>
              <w:rPr>
                <w:sz w:val="20"/>
              </w:rPr>
              <w:t>from</w:t>
            </w:r>
            <w:r>
              <w:rPr>
                <w:spacing w:val="-4"/>
                <w:sz w:val="20"/>
              </w:rPr>
              <w:t xml:space="preserve"> </w:t>
            </w:r>
            <w:r>
              <w:rPr>
                <w:sz w:val="20"/>
              </w:rPr>
              <w:t>clients,</w:t>
            </w:r>
            <w:r>
              <w:rPr>
                <w:spacing w:val="-2"/>
                <w:sz w:val="20"/>
              </w:rPr>
              <w:t xml:space="preserve"> </w:t>
            </w:r>
            <w:r>
              <w:rPr>
                <w:sz w:val="20"/>
              </w:rPr>
              <w:t>SOs</w:t>
            </w:r>
            <w:r>
              <w:rPr>
                <w:spacing w:val="-4"/>
                <w:sz w:val="20"/>
              </w:rPr>
              <w:t xml:space="preserve"> </w:t>
            </w:r>
            <w:r>
              <w:rPr>
                <w:sz w:val="20"/>
              </w:rPr>
              <w:t>can</w:t>
            </w:r>
            <w:r>
              <w:rPr>
                <w:spacing w:val="-2"/>
                <w:sz w:val="20"/>
              </w:rPr>
              <w:t xml:space="preserve"> </w:t>
            </w:r>
            <w:r>
              <w:rPr>
                <w:sz w:val="20"/>
              </w:rPr>
              <w:t>help</w:t>
            </w:r>
            <w:r>
              <w:rPr>
                <w:spacing w:val="-2"/>
                <w:sz w:val="20"/>
              </w:rPr>
              <w:t xml:space="preserve"> </w:t>
            </w:r>
            <w:r>
              <w:rPr>
                <w:sz w:val="20"/>
              </w:rPr>
              <w:t>the</w:t>
            </w:r>
            <w:r>
              <w:rPr>
                <w:spacing w:val="-4"/>
                <w:sz w:val="20"/>
              </w:rPr>
              <w:t xml:space="preserve"> </w:t>
            </w:r>
            <w:r>
              <w:rPr>
                <w:sz w:val="20"/>
              </w:rPr>
              <w:t>change</w:t>
            </w:r>
            <w:r>
              <w:rPr>
                <w:spacing w:val="-4"/>
                <w:sz w:val="20"/>
              </w:rPr>
              <w:t xml:space="preserve"> </w:t>
            </w:r>
            <w:r>
              <w:rPr>
                <w:sz w:val="20"/>
              </w:rPr>
              <w:t>process.</w:t>
            </w:r>
          </w:p>
          <w:p w14:paraId="2AA47ADD" w14:textId="77777777" w:rsidR="00DB6E1F" w:rsidRDefault="00F666A6">
            <w:pPr>
              <w:pStyle w:val="TableParagraph"/>
              <w:spacing w:before="84"/>
              <w:ind w:left="108"/>
              <w:rPr>
                <w:i/>
                <w:sz w:val="20"/>
              </w:rPr>
            </w:pPr>
            <w:r>
              <w:rPr>
                <w:i/>
                <w:sz w:val="20"/>
              </w:rPr>
              <w:t>Allen</w:t>
            </w:r>
            <w:r>
              <w:rPr>
                <w:i/>
                <w:spacing w:val="-7"/>
                <w:sz w:val="20"/>
              </w:rPr>
              <w:t xml:space="preserve"> </w:t>
            </w:r>
            <w:r>
              <w:rPr>
                <w:i/>
                <w:sz w:val="20"/>
              </w:rPr>
              <w:t>Zweben,</w:t>
            </w:r>
            <w:r>
              <w:rPr>
                <w:i/>
                <w:spacing w:val="-6"/>
                <w:sz w:val="20"/>
              </w:rPr>
              <w:t xml:space="preserve"> </w:t>
            </w:r>
            <w:r>
              <w:rPr>
                <w:i/>
                <w:sz w:val="20"/>
              </w:rPr>
              <w:t>D.S.W.,</w:t>
            </w:r>
            <w:r>
              <w:rPr>
                <w:i/>
                <w:spacing w:val="-7"/>
                <w:sz w:val="20"/>
              </w:rPr>
              <w:t xml:space="preserve"> </w:t>
            </w:r>
            <w:r>
              <w:rPr>
                <w:i/>
                <w:sz w:val="20"/>
              </w:rPr>
              <w:t>Consensus</w:t>
            </w:r>
            <w:r>
              <w:rPr>
                <w:i/>
                <w:spacing w:val="-8"/>
                <w:sz w:val="20"/>
              </w:rPr>
              <w:t xml:space="preserve"> </w:t>
            </w:r>
            <w:r>
              <w:rPr>
                <w:i/>
                <w:sz w:val="20"/>
              </w:rPr>
              <w:t>Panel</w:t>
            </w:r>
            <w:r>
              <w:rPr>
                <w:i/>
                <w:spacing w:val="-7"/>
                <w:sz w:val="20"/>
              </w:rPr>
              <w:t xml:space="preserve"> </w:t>
            </w:r>
            <w:r>
              <w:rPr>
                <w:i/>
                <w:spacing w:val="-2"/>
                <w:sz w:val="20"/>
              </w:rPr>
              <w:t>Member</w:t>
            </w:r>
          </w:p>
        </w:tc>
      </w:tr>
    </w:tbl>
    <w:p w14:paraId="39CDE1B3" w14:textId="77777777" w:rsidR="00DB6E1F" w:rsidRDefault="00DB6E1F">
      <w:pPr>
        <w:pStyle w:val="BodyText"/>
        <w:spacing w:before="6"/>
        <w:rPr>
          <w:sz w:val="8"/>
        </w:rPr>
      </w:pPr>
    </w:p>
    <w:p w14:paraId="2A585916" w14:textId="77777777" w:rsidR="00DB6E1F" w:rsidRDefault="00F666A6">
      <w:pPr>
        <w:pStyle w:val="Heading5"/>
        <w:spacing w:before="57"/>
      </w:pPr>
      <w:r>
        <w:t>Before</w:t>
      </w:r>
      <w:r>
        <w:rPr>
          <w:spacing w:val="-4"/>
        </w:rPr>
        <w:t xml:space="preserve"> </w:t>
      </w:r>
      <w:r>
        <w:t>involving</w:t>
      </w:r>
      <w:r>
        <w:rPr>
          <w:spacing w:val="-4"/>
        </w:rPr>
        <w:t xml:space="preserve"> </w:t>
      </w:r>
      <w:r>
        <w:t>an</w:t>
      </w:r>
      <w:r>
        <w:rPr>
          <w:spacing w:val="-4"/>
        </w:rPr>
        <w:t xml:space="preserve"> </w:t>
      </w:r>
      <w:r>
        <w:t>SO</w:t>
      </w:r>
      <w:r>
        <w:rPr>
          <w:spacing w:val="-3"/>
        </w:rPr>
        <w:t xml:space="preserve"> </w:t>
      </w:r>
      <w:r>
        <w:t>in</w:t>
      </w:r>
      <w:r>
        <w:rPr>
          <w:spacing w:val="-4"/>
        </w:rPr>
        <w:t xml:space="preserve"> </w:t>
      </w:r>
      <w:r>
        <w:t>the</w:t>
      </w:r>
      <w:r>
        <w:rPr>
          <w:spacing w:val="-4"/>
        </w:rPr>
        <w:t xml:space="preserve"> </w:t>
      </w:r>
      <w:r>
        <w:t>client’s</w:t>
      </w:r>
      <w:r>
        <w:rPr>
          <w:spacing w:val="-3"/>
        </w:rPr>
        <w:t xml:space="preserve"> </w:t>
      </w:r>
      <w:r>
        <w:rPr>
          <w:spacing w:val="-2"/>
        </w:rPr>
        <w:t>treatment:</w:t>
      </w:r>
    </w:p>
    <w:p w14:paraId="1A5E6F4B" w14:textId="77777777" w:rsidR="00DB6E1F" w:rsidRDefault="00F666A6">
      <w:pPr>
        <w:pStyle w:val="ListParagraph"/>
        <w:numPr>
          <w:ilvl w:val="0"/>
          <w:numId w:val="92"/>
        </w:numPr>
        <w:tabs>
          <w:tab w:val="left" w:pos="1800"/>
          <w:tab w:val="left" w:pos="1801"/>
        </w:tabs>
        <w:spacing w:before="58"/>
        <w:ind w:left="1800"/>
        <w:rPr>
          <w:rFonts w:ascii="Symbol" w:hAnsi="Symbol"/>
        </w:rPr>
      </w:pPr>
      <w:r>
        <w:t>Ask</w:t>
      </w:r>
      <w:r>
        <w:rPr>
          <w:spacing w:val="-5"/>
        </w:rPr>
        <w:t xml:space="preserve"> </w:t>
      </w:r>
      <w:r>
        <w:t>the</w:t>
      </w:r>
      <w:r>
        <w:rPr>
          <w:spacing w:val="-4"/>
        </w:rPr>
        <w:t xml:space="preserve"> </w:t>
      </w:r>
      <w:r>
        <w:t>client</w:t>
      </w:r>
      <w:r>
        <w:rPr>
          <w:spacing w:val="-3"/>
        </w:rPr>
        <w:t xml:space="preserve"> </w:t>
      </w:r>
      <w:r>
        <w:t>for</w:t>
      </w:r>
      <w:r>
        <w:rPr>
          <w:spacing w:val="-4"/>
        </w:rPr>
        <w:t xml:space="preserve"> </w:t>
      </w:r>
      <w:r>
        <w:t>permission</w:t>
      </w:r>
      <w:r>
        <w:rPr>
          <w:spacing w:val="-3"/>
        </w:rPr>
        <w:t xml:space="preserve"> </w:t>
      </w:r>
      <w:r>
        <w:t>to</w:t>
      </w:r>
      <w:r>
        <w:rPr>
          <w:spacing w:val="-4"/>
        </w:rPr>
        <w:t xml:space="preserve"> </w:t>
      </w:r>
      <w:r>
        <w:t>contact</w:t>
      </w:r>
      <w:r>
        <w:rPr>
          <w:spacing w:val="-4"/>
        </w:rPr>
        <w:t xml:space="preserve"> </w:t>
      </w:r>
      <w:r>
        <w:t>the</w:t>
      </w:r>
      <w:r>
        <w:rPr>
          <w:spacing w:val="-2"/>
        </w:rPr>
        <w:t xml:space="preserve"> </w:t>
      </w:r>
      <w:r>
        <w:rPr>
          <w:spacing w:val="-5"/>
        </w:rPr>
        <w:t>SO.</w:t>
      </w:r>
    </w:p>
    <w:p w14:paraId="33E062F8" w14:textId="77777777" w:rsidR="00DB6E1F" w:rsidRDefault="00F666A6">
      <w:pPr>
        <w:pStyle w:val="ListParagraph"/>
        <w:numPr>
          <w:ilvl w:val="0"/>
          <w:numId w:val="92"/>
        </w:numPr>
        <w:tabs>
          <w:tab w:val="left" w:pos="1799"/>
          <w:tab w:val="left" w:pos="1800"/>
        </w:tabs>
        <w:ind w:left="1799"/>
        <w:rPr>
          <w:rFonts w:ascii="Symbol" w:hAnsi="Symbol"/>
        </w:rPr>
      </w:pPr>
      <w:r>
        <w:t>Describe</w:t>
      </w:r>
      <w:r>
        <w:rPr>
          <w:spacing w:val="-2"/>
        </w:rPr>
        <w:t xml:space="preserve"> </w:t>
      </w:r>
      <w:r>
        <w:t>the</w:t>
      </w:r>
      <w:r>
        <w:rPr>
          <w:spacing w:val="-4"/>
        </w:rPr>
        <w:t xml:space="preserve"> </w:t>
      </w:r>
      <w:r>
        <w:t>benefits</w:t>
      </w:r>
      <w:r>
        <w:rPr>
          <w:spacing w:val="-3"/>
        </w:rPr>
        <w:t xml:space="preserve"> </w:t>
      </w:r>
      <w:r>
        <w:t>of</w:t>
      </w:r>
      <w:r>
        <w:rPr>
          <w:spacing w:val="-5"/>
        </w:rPr>
        <w:t xml:space="preserve"> </w:t>
      </w:r>
      <w:r>
        <w:t>SO</w:t>
      </w:r>
      <w:r>
        <w:rPr>
          <w:spacing w:val="-4"/>
        </w:rPr>
        <w:t xml:space="preserve"> </w:t>
      </w:r>
      <w:r>
        <w:rPr>
          <w:spacing w:val="-2"/>
        </w:rPr>
        <w:t>support.</w:t>
      </w:r>
    </w:p>
    <w:p w14:paraId="42418BF3" w14:textId="77777777" w:rsidR="00DB6E1F" w:rsidRDefault="00F666A6">
      <w:pPr>
        <w:pStyle w:val="ListParagraph"/>
        <w:numPr>
          <w:ilvl w:val="0"/>
          <w:numId w:val="92"/>
        </w:numPr>
        <w:tabs>
          <w:tab w:val="left" w:pos="1799"/>
          <w:tab w:val="left" w:pos="1800"/>
        </w:tabs>
        <w:spacing w:before="61"/>
        <w:ind w:left="1799"/>
        <w:rPr>
          <w:rFonts w:ascii="Symbol" w:hAnsi="Symbol"/>
        </w:rPr>
      </w:pPr>
      <w:r>
        <w:t>Review</w:t>
      </w:r>
      <w:r>
        <w:rPr>
          <w:spacing w:val="-8"/>
        </w:rPr>
        <w:t xml:space="preserve"> </w:t>
      </w:r>
      <w:r>
        <w:t>confidentiality</w:t>
      </w:r>
      <w:r>
        <w:rPr>
          <w:spacing w:val="-8"/>
        </w:rPr>
        <w:t xml:space="preserve"> </w:t>
      </w:r>
      <w:r>
        <w:rPr>
          <w:spacing w:val="-2"/>
        </w:rPr>
        <w:t>concerns.</w:t>
      </w:r>
    </w:p>
    <w:p w14:paraId="67A2CA88" w14:textId="77777777" w:rsidR="00DB6E1F" w:rsidRDefault="00F666A6">
      <w:pPr>
        <w:pStyle w:val="ListParagraph"/>
        <w:numPr>
          <w:ilvl w:val="0"/>
          <w:numId w:val="92"/>
        </w:numPr>
        <w:tabs>
          <w:tab w:val="left" w:pos="1800"/>
          <w:tab w:val="left" w:pos="1801"/>
        </w:tabs>
        <w:spacing w:before="58"/>
        <w:ind w:left="1800"/>
        <w:rPr>
          <w:rFonts w:ascii="Symbol" w:hAnsi="Symbol"/>
        </w:rPr>
      </w:pPr>
      <w:r>
        <w:t>If</w:t>
      </w:r>
      <w:r>
        <w:rPr>
          <w:spacing w:val="-4"/>
        </w:rPr>
        <w:t xml:space="preserve"> </w:t>
      </w:r>
      <w:r>
        <w:t>the</w:t>
      </w:r>
      <w:r>
        <w:rPr>
          <w:spacing w:val="-2"/>
        </w:rPr>
        <w:t xml:space="preserve"> </w:t>
      </w:r>
      <w:r>
        <w:t>client</w:t>
      </w:r>
      <w:r>
        <w:rPr>
          <w:spacing w:val="-3"/>
        </w:rPr>
        <w:t xml:space="preserve"> </w:t>
      </w:r>
      <w:r>
        <w:t>agrees,</w:t>
      </w:r>
      <w:r>
        <w:rPr>
          <w:spacing w:val="-5"/>
        </w:rPr>
        <w:t xml:space="preserve"> </w:t>
      </w:r>
      <w:r>
        <w:t>obtain</w:t>
      </w:r>
      <w:r>
        <w:rPr>
          <w:spacing w:val="-6"/>
        </w:rPr>
        <w:t xml:space="preserve"> </w:t>
      </w:r>
      <w:r>
        <w:t>the</w:t>
      </w:r>
      <w:r>
        <w:rPr>
          <w:spacing w:val="-3"/>
        </w:rPr>
        <w:t xml:space="preserve"> </w:t>
      </w:r>
      <w:r>
        <w:t>necessary</w:t>
      </w:r>
      <w:r>
        <w:rPr>
          <w:spacing w:val="-2"/>
        </w:rPr>
        <w:t xml:space="preserve"> </w:t>
      </w:r>
      <w:r>
        <w:t>written</w:t>
      </w:r>
      <w:r>
        <w:rPr>
          <w:spacing w:val="-4"/>
        </w:rPr>
        <w:t xml:space="preserve"> </w:t>
      </w:r>
      <w:r>
        <w:rPr>
          <w:spacing w:val="-2"/>
        </w:rPr>
        <w:t>releases.</w:t>
      </w:r>
    </w:p>
    <w:p w14:paraId="6B40BAC4" w14:textId="77777777" w:rsidR="00DB6E1F" w:rsidRDefault="00F666A6">
      <w:pPr>
        <w:pStyle w:val="Heading5"/>
        <w:spacing w:before="161"/>
      </w:pPr>
      <w:r>
        <w:t>Some</w:t>
      </w:r>
      <w:r>
        <w:rPr>
          <w:spacing w:val="-5"/>
        </w:rPr>
        <w:t xml:space="preserve"> </w:t>
      </w:r>
      <w:r>
        <w:t>strategies</w:t>
      </w:r>
      <w:r>
        <w:rPr>
          <w:spacing w:val="-2"/>
        </w:rPr>
        <w:t xml:space="preserve"> </w:t>
      </w:r>
      <w:r>
        <w:t>for</w:t>
      </w:r>
      <w:r>
        <w:rPr>
          <w:spacing w:val="-2"/>
        </w:rPr>
        <w:t xml:space="preserve"> </w:t>
      </w:r>
      <w:r>
        <w:t>engaging</w:t>
      </w:r>
      <w:r>
        <w:rPr>
          <w:spacing w:val="-1"/>
        </w:rPr>
        <w:t xml:space="preserve"> </w:t>
      </w:r>
      <w:r>
        <w:t>an</w:t>
      </w:r>
      <w:r>
        <w:rPr>
          <w:spacing w:val="-4"/>
        </w:rPr>
        <w:t xml:space="preserve"> </w:t>
      </w:r>
      <w:r>
        <w:t>SO</w:t>
      </w:r>
      <w:r>
        <w:rPr>
          <w:spacing w:val="-3"/>
        </w:rPr>
        <w:t xml:space="preserve"> </w:t>
      </w:r>
      <w:r>
        <w:t>in</w:t>
      </w:r>
      <w:r>
        <w:rPr>
          <w:spacing w:val="-3"/>
        </w:rPr>
        <w:t xml:space="preserve"> </w:t>
      </w:r>
      <w:r>
        <w:t>an</w:t>
      </w:r>
      <w:r>
        <w:rPr>
          <w:spacing w:val="-4"/>
        </w:rPr>
        <w:t xml:space="preserve"> </w:t>
      </w:r>
      <w:r>
        <w:t>initial</w:t>
      </w:r>
      <w:r>
        <w:rPr>
          <w:spacing w:val="-4"/>
        </w:rPr>
        <w:t xml:space="preserve"> </w:t>
      </w:r>
      <w:r>
        <w:t>meeting</w:t>
      </w:r>
      <w:r>
        <w:rPr>
          <w:spacing w:val="-1"/>
        </w:rPr>
        <w:t xml:space="preserve"> </w:t>
      </w:r>
      <w:r>
        <w:t>with</w:t>
      </w:r>
      <w:r>
        <w:rPr>
          <w:spacing w:val="-6"/>
        </w:rPr>
        <w:t xml:space="preserve"> </w:t>
      </w:r>
      <w:r>
        <w:t>you</w:t>
      </w:r>
      <w:r>
        <w:rPr>
          <w:spacing w:val="-3"/>
        </w:rPr>
        <w:t xml:space="preserve"> </w:t>
      </w:r>
      <w:r>
        <w:t>and</w:t>
      </w:r>
      <w:r>
        <w:rPr>
          <w:spacing w:val="-4"/>
        </w:rPr>
        <w:t xml:space="preserve"> </w:t>
      </w:r>
      <w:r>
        <w:t>the</w:t>
      </w:r>
      <w:r>
        <w:rPr>
          <w:spacing w:val="-3"/>
        </w:rPr>
        <w:t xml:space="preserve"> </w:t>
      </w:r>
      <w:r>
        <w:t>client</w:t>
      </w:r>
      <w:r>
        <w:rPr>
          <w:spacing w:val="-4"/>
        </w:rPr>
        <w:t xml:space="preserve"> </w:t>
      </w:r>
      <w:r>
        <w:t>include</w:t>
      </w:r>
      <w:r>
        <w:rPr>
          <w:spacing w:val="-7"/>
        </w:rPr>
        <w:t xml:space="preserve"> </w:t>
      </w:r>
      <w:r>
        <w:t>the</w:t>
      </w:r>
      <w:r>
        <w:rPr>
          <w:spacing w:val="-3"/>
        </w:rPr>
        <w:t xml:space="preserve"> </w:t>
      </w:r>
      <w:r>
        <w:rPr>
          <w:spacing w:val="-2"/>
        </w:rPr>
        <w:t>following:</w:t>
      </w:r>
    </w:p>
    <w:p w14:paraId="2D49D89B" w14:textId="77777777" w:rsidR="00DB6E1F" w:rsidRDefault="00F666A6">
      <w:pPr>
        <w:pStyle w:val="ListParagraph"/>
        <w:numPr>
          <w:ilvl w:val="0"/>
          <w:numId w:val="92"/>
        </w:numPr>
        <w:tabs>
          <w:tab w:val="left" w:pos="1800"/>
          <w:tab w:val="left" w:pos="1801"/>
        </w:tabs>
        <w:spacing w:before="61"/>
        <w:ind w:left="1800"/>
        <w:rPr>
          <w:rFonts w:ascii="Symbol" w:hAnsi="Symbol"/>
        </w:rPr>
      </w:pPr>
      <w:r>
        <w:t>Use</w:t>
      </w:r>
      <w:r>
        <w:rPr>
          <w:spacing w:val="-8"/>
        </w:rPr>
        <w:t xml:space="preserve"> </w:t>
      </w:r>
      <w:r>
        <w:t>MI</w:t>
      </w:r>
      <w:r>
        <w:rPr>
          <w:spacing w:val="-3"/>
        </w:rPr>
        <w:t xml:space="preserve"> </w:t>
      </w:r>
      <w:r>
        <w:t>strategies</w:t>
      </w:r>
      <w:r>
        <w:rPr>
          <w:spacing w:val="-5"/>
        </w:rPr>
        <w:t xml:space="preserve"> </w:t>
      </w:r>
      <w:r>
        <w:t>to</w:t>
      </w:r>
      <w:r>
        <w:rPr>
          <w:spacing w:val="-3"/>
        </w:rPr>
        <w:t xml:space="preserve"> </w:t>
      </w:r>
      <w:r>
        <w:t>engage</w:t>
      </w:r>
      <w:r>
        <w:rPr>
          <w:spacing w:val="-2"/>
        </w:rPr>
        <w:t xml:space="preserve"> </w:t>
      </w:r>
      <w:r>
        <w:t>the</w:t>
      </w:r>
      <w:r>
        <w:rPr>
          <w:spacing w:val="-3"/>
        </w:rPr>
        <w:t xml:space="preserve"> </w:t>
      </w:r>
      <w:r>
        <w:t>SO</w:t>
      </w:r>
      <w:r>
        <w:rPr>
          <w:spacing w:val="-3"/>
        </w:rPr>
        <w:t xml:space="preserve"> </w:t>
      </w:r>
      <w:r>
        <w:t>in</w:t>
      </w:r>
      <w:r>
        <w:rPr>
          <w:spacing w:val="-4"/>
        </w:rPr>
        <w:t xml:space="preserve"> </w:t>
      </w:r>
      <w:r>
        <w:t>the</w:t>
      </w:r>
      <w:r>
        <w:rPr>
          <w:spacing w:val="-6"/>
        </w:rPr>
        <w:t xml:space="preserve"> </w:t>
      </w:r>
      <w:r>
        <w:t>counseling</w:t>
      </w:r>
      <w:r>
        <w:rPr>
          <w:spacing w:val="-6"/>
        </w:rPr>
        <w:t xml:space="preserve"> </w:t>
      </w:r>
      <w:r>
        <w:t>process</w:t>
      </w:r>
      <w:r>
        <w:rPr>
          <w:spacing w:val="-5"/>
        </w:rPr>
        <w:t xml:space="preserve"> </w:t>
      </w:r>
      <w:r>
        <w:t>(Belmontes,</w:t>
      </w:r>
      <w:r>
        <w:rPr>
          <w:spacing w:val="-3"/>
        </w:rPr>
        <w:t xml:space="preserve"> </w:t>
      </w:r>
      <w:r>
        <w:rPr>
          <w:spacing w:val="-2"/>
        </w:rPr>
        <w:t>2018).</w:t>
      </w:r>
    </w:p>
    <w:p w14:paraId="05077F44" w14:textId="77777777" w:rsidR="00DB6E1F" w:rsidRDefault="00F666A6">
      <w:pPr>
        <w:pStyle w:val="ListParagraph"/>
        <w:numPr>
          <w:ilvl w:val="0"/>
          <w:numId w:val="92"/>
        </w:numPr>
        <w:tabs>
          <w:tab w:val="left" w:pos="1800"/>
          <w:tab w:val="left" w:pos="1801"/>
        </w:tabs>
        <w:ind w:left="1800"/>
        <w:rPr>
          <w:rFonts w:ascii="Symbol" w:hAnsi="Symbol"/>
        </w:rPr>
      </w:pPr>
      <w:r>
        <w:t>Praise</w:t>
      </w:r>
      <w:r>
        <w:rPr>
          <w:spacing w:val="-6"/>
        </w:rPr>
        <w:t xml:space="preserve"> </w:t>
      </w:r>
      <w:r>
        <w:t>the</w:t>
      </w:r>
      <w:r>
        <w:rPr>
          <w:spacing w:val="-2"/>
        </w:rPr>
        <w:t xml:space="preserve"> </w:t>
      </w:r>
      <w:r>
        <w:t>SO</w:t>
      </w:r>
      <w:r>
        <w:rPr>
          <w:spacing w:val="-3"/>
        </w:rPr>
        <w:t xml:space="preserve"> </w:t>
      </w:r>
      <w:r>
        <w:t>for</w:t>
      </w:r>
      <w:r>
        <w:rPr>
          <w:spacing w:val="-3"/>
        </w:rPr>
        <w:t xml:space="preserve"> </w:t>
      </w:r>
      <w:r>
        <w:t>his</w:t>
      </w:r>
      <w:r>
        <w:rPr>
          <w:spacing w:val="-5"/>
        </w:rPr>
        <w:t xml:space="preserve"> </w:t>
      </w:r>
      <w:r>
        <w:t>or</w:t>
      </w:r>
      <w:r>
        <w:rPr>
          <w:spacing w:val="-3"/>
        </w:rPr>
        <w:t xml:space="preserve"> </w:t>
      </w:r>
      <w:r>
        <w:t>her</w:t>
      </w:r>
      <w:r>
        <w:rPr>
          <w:spacing w:val="-8"/>
        </w:rPr>
        <w:t xml:space="preserve"> </w:t>
      </w:r>
      <w:r>
        <w:t>willingness</w:t>
      </w:r>
      <w:r>
        <w:rPr>
          <w:spacing w:val="-3"/>
        </w:rPr>
        <w:t xml:space="preserve"> </w:t>
      </w:r>
      <w:r>
        <w:t>to</w:t>
      </w:r>
      <w:r>
        <w:rPr>
          <w:spacing w:val="-2"/>
        </w:rPr>
        <w:t xml:space="preserve"> </w:t>
      </w:r>
      <w:r>
        <w:t>participate</w:t>
      </w:r>
      <w:r>
        <w:rPr>
          <w:spacing w:val="-2"/>
        </w:rPr>
        <w:t xml:space="preserve"> </w:t>
      </w:r>
      <w:r>
        <w:t>in</w:t>
      </w:r>
      <w:r>
        <w:rPr>
          <w:spacing w:val="-6"/>
        </w:rPr>
        <w:t xml:space="preserve"> </w:t>
      </w:r>
      <w:r>
        <w:t>the</w:t>
      </w:r>
      <w:r>
        <w:rPr>
          <w:spacing w:val="-2"/>
        </w:rPr>
        <w:t xml:space="preserve"> </w:t>
      </w:r>
      <w:r>
        <w:t>client’s</w:t>
      </w:r>
      <w:r>
        <w:rPr>
          <w:spacing w:val="-5"/>
        </w:rPr>
        <w:t xml:space="preserve"> </w:t>
      </w:r>
      <w:r>
        <w:t>efforts</w:t>
      </w:r>
      <w:r>
        <w:rPr>
          <w:spacing w:val="-3"/>
        </w:rPr>
        <w:t xml:space="preserve"> </w:t>
      </w:r>
      <w:r>
        <w:t>to</w:t>
      </w:r>
      <w:r>
        <w:rPr>
          <w:spacing w:val="-3"/>
        </w:rPr>
        <w:t xml:space="preserve"> </w:t>
      </w:r>
      <w:r>
        <w:rPr>
          <w:spacing w:val="-2"/>
        </w:rPr>
        <w:t>change.</w:t>
      </w:r>
    </w:p>
    <w:p w14:paraId="0BA9F5B9" w14:textId="77777777" w:rsidR="00DB6E1F" w:rsidRDefault="00F666A6">
      <w:pPr>
        <w:pStyle w:val="ListParagraph"/>
        <w:numPr>
          <w:ilvl w:val="0"/>
          <w:numId w:val="92"/>
        </w:numPr>
        <w:tabs>
          <w:tab w:val="left" w:pos="1800"/>
          <w:tab w:val="left" w:pos="1801"/>
        </w:tabs>
        <w:spacing w:before="61"/>
        <w:ind w:left="1800"/>
        <w:rPr>
          <w:rFonts w:ascii="Symbol" w:hAnsi="Symbol"/>
        </w:rPr>
      </w:pPr>
      <w:r>
        <w:t>Offer</w:t>
      </w:r>
      <w:r>
        <w:rPr>
          <w:spacing w:val="-7"/>
        </w:rPr>
        <w:t xml:space="preserve"> </w:t>
      </w:r>
      <w:r>
        <w:t>conversation</w:t>
      </w:r>
      <w:r>
        <w:rPr>
          <w:spacing w:val="-5"/>
        </w:rPr>
        <w:t xml:space="preserve"> </w:t>
      </w:r>
      <w:r>
        <w:t>guidelines</w:t>
      </w:r>
      <w:r>
        <w:rPr>
          <w:spacing w:val="-4"/>
        </w:rPr>
        <w:t xml:space="preserve"> </w:t>
      </w:r>
      <w:r>
        <w:t>(e.g.,</w:t>
      </w:r>
      <w:r>
        <w:rPr>
          <w:spacing w:val="-4"/>
        </w:rPr>
        <w:t xml:space="preserve"> </w:t>
      </w:r>
      <w:r>
        <w:t>use</w:t>
      </w:r>
      <w:r>
        <w:rPr>
          <w:spacing w:val="-6"/>
        </w:rPr>
        <w:t xml:space="preserve"> </w:t>
      </w:r>
      <w:r>
        <w:t>“I”</w:t>
      </w:r>
      <w:r>
        <w:rPr>
          <w:spacing w:val="-5"/>
        </w:rPr>
        <w:t xml:space="preserve"> </w:t>
      </w:r>
      <w:r>
        <w:t>statements,</w:t>
      </w:r>
      <w:r>
        <w:rPr>
          <w:spacing w:val="-6"/>
        </w:rPr>
        <w:t xml:space="preserve"> </w:t>
      </w:r>
      <w:r>
        <w:t>don’t</w:t>
      </w:r>
      <w:r>
        <w:rPr>
          <w:spacing w:val="-4"/>
        </w:rPr>
        <w:t xml:space="preserve"> </w:t>
      </w:r>
      <w:r>
        <w:t>use</w:t>
      </w:r>
      <w:r>
        <w:rPr>
          <w:spacing w:val="-3"/>
        </w:rPr>
        <w:t xml:space="preserve"> </w:t>
      </w:r>
      <w:r>
        <w:t>language</w:t>
      </w:r>
      <w:r>
        <w:rPr>
          <w:spacing w:val="-3"/>
        </w:rPr>
        <w:t xml:space="preserve"> </w:t>
      </w:r>
      <w:r>
        <w:t>that</w:t>
      </w:r>
      <w:r>
        <w:rPr>
          <w:spacing w:val="-3"/>
        </w:rPr>
        <w:t xml:space="preserve"> </w:t>
      </w:r>
      <w:r>
        <w:t>blames</w:t>
      </w:r>
      <w:r>
        <w:rPr>
          <w:spacing w:val="-6"/>
        </w:rPr>
        <w:t xml:space="preserve"> </w:t>
      </w:r>
      <w:r>
        <w:t>or</w:t>
      </w:r>
      <w:r>
        <w:rPr>
          <w:spacing w:val="-6"/>
        </w:rPr>
        <w:t xml:space="preserve"> </w:t>
      </w:r>
      <w:r>
        <w:rPr>
          <w:spacing w:val="-2"/>
        </w:rPr>
        <w:t>shames).</w:t>
      </w:r>
    </w:p>
    <w:p w14:paraId="12447F85" w14:textId="77777777" w:rsidR="00DB6E1F" w:rsidRDefault="00F666A6">
      <w:pPr>
        <w:pStyle w:val="ListParagraph"/>
        <w:numPr>
          <w:ilvl w:val="0"/>
          <w:numId w:val="92"/>
        </w:numPr>
        <w:tabs>
          <w:tab w:val="left" w:pos="1800"/>
          <w:tab w:val="left" w:pos="1801"/>
        </w:tabs>
        <w:spacing w:before="58"/>
        <w:ind w:left="1800" w:right="1944" w:hanging="360"/>
        <w:rPr>
          <w:rFonts w:ascii="Symbol" w:hAnsi="Symbol"/>
        </w:rPr>
      </w:pPr>
      <w:r>
        <w:t>Define the SO’s role (e.g., offering emotional/instrumental support, giving helpful feedback, reinforcing</w:t>
      </w:r>
      <w:r>
        <w:rPr>
          <w:spacing w:val="-2"/>
        </w:rPr>
        <w:t xml:space="preserve"> </w:t>
      </w:r>
      <w:r>
        <w:t>positive</w:t>
      </w:r>
      <w:r>
        <w:rPr>
          <w:spacing w:val="-2"/>
        </w:rPr>
        <w:t xml:space="preserve"> </w:t>
      </w:r>
      <w:r>
        <w:t>reasons</w:t>
      </w:r>
      <w:r>
        <w:rPr>
          <w:spacing w:val="-2"/>
        </w:rPr>
        <w:t xml:space="preserve"> </w:t>
      </w:r>
      <w:r>
        <w:t>for</w:t>
      </w:r>
      <w:r>
        <w:rPr>
          <w:spacing w:val="-4"/>
        </w:rPr>
        <w:t xml:space="preserve"> </w:t>
      </w:r>
      <w:r>
        <w:t>change,</w:t>
      </w:r>
      <w:r>
        <w:rPr>
          <w:spacing w:val="-4"/>
        </w:rPr>
        <w:t xml:space="preserve"> </w:t>
      </w:r>
      <w:r>
        <w:t>working</w:t>
      </w:r>
      <w:r>
        <w:rPr>
          <w:spacing w:val="-3"/>
        </w:rPr>
        <w:t xml:space="preserve"> </w:t>
      </w:r>
      <w:r>
        <w:t>with</w:t>
      </w:r>
      <w:r>
        <w:rPr>
          <w:spacing w:val="-5"/>
        </w:rPr>
        <w:t xml:space="preserve"> </w:t>
      </w:r>
      <w:r>
        <w:t>client</w:t>
      </w:r>
      <w:r>
        <w:rPr>
          <w:spacing w:val="-2"/>
        </w:rPr>
        <w:t xml:space="preserve"> </w:t>
      </w:r>
      <w:r>
        <w:t>to</w:t>
      </w:r>
      <w:r>
        <w:rPr>
          <w:spacing w:val="-2"/>
        </w:rPr>
        <w:t xml:space="preserve"> </w:t>
      </w:r>
      <w:r>
        <w:t>chan</w:t>
      </w:r>
      <w:r>
        <w:t>ge</w:t>
      </w:r>
      <w:r>
        <w:rPr>
          <w:spacing w:val="-4"/>
        </w:rPr>
        <w:t xml:space="preserve"> </w:t>
      </w:r>
      <w:r>
        <w:t>substance</w:t>
      </w:r>
      <w:r>
        <w:rPr>
          <w:spacing w:val="-6"/>
        </w:rPr>
        <w:t xml:space="preserve"> </w:t>
      </w:r>
      <w:r>
        <w:t>use</w:t>
      </w:r>
      <w:r>
        <w:rPr>
          <w:spacing w:val="-2"/>
        </w:rPr>
        <w:t xml:space="preserve"> </w:t>
      </w:r>
      <w:r>
        <w:t>behavior).</w:t>
      </w:r>
    </w:p>
    <w:p w14:paraId="68DCC577" w14:textId="77777777" w:rsidR="00DB6E1F" w:rsidRDefault="00F666A6">
      <w:pPr>
        <w:pStyle w:val="ListParagraph"/>
        <w:numPr>
          <w:ilvl w:val="0"/>
          <w:numId w:val="92"/>
        </w:numPr>
        <w:tabs>
          <w:tab w:val="left" w:pos="1799"/>
          <w:tab w:val="left" w:pos="1800"/>
        </w:tabs>
        <w:ind w:left="1799" w:right="1610"/>
        <w:rPr>
          <w:rFonts w:ascii="Symbol" w:hAnsi="Symbol"/>
        </w:rPr>
      </w:pPr>
      <w:r>
        <w:t>Be</w:t>
      </w:r>
      <w:r>
        <w:rPr>
          <w:spacing w:val="-2"/>
        </w:rPr>
        <w:t xml:space="preserve"> </w:t>
      </w:r>
      <w:r>
        <w:t>optimistic</w:t>
      </w:r>
      <w:r>
        <w:rPr>
          <w:spacing w:val="-2"/>
        </w:rPr>
        <w:t xml:space="preserve"> </w:t>
      </w:r>
      <w:r>
        <w:t>about</w:t>
      </w:r>
      <w:r>
        <w:rPr>
          <w:spacing w:val="-2"/>
        </w:rPr>
        <w:t xml:space="preserve"> </w:t>
      </w:r>
      <w:r>
        <w:t>how</w:t>
      </w:r>
      <w:r>
        <w:rPr>
          <w:spacing w:val="-5"/>
        </w:rPr>
        <w:t xml:space="preserve"> </w:t>
      </w:r>
      <w:r>
        <w:t>the</w:t>
      </w:r>
      <w:r>
        <w:rPr>
          <w:spacing w:val="-2"/>
        </w:rPr>
        <w:t xml:space="preserve"> </w:t>
      </w:r>
      <w:r>
        <w:t>SO’s</w:t>
      </w:r>
      <w:r>
        <w:rPr>
          <w:spacing w:val="-5"/>
        </w:rPr>
        <w:t xml:space="preserve"> </w:t>
      </w:r>
      <w:r>
        <w:t>support</w:t>
      </w:r>
      <w:r>
        <w:rPr>
          <w:spacing w:val="-2"/>
        </w:rPr>
        <w:t xml:space="preserve"> </w:t>
      </w:r>
      <w:r>
        <w:t>and</w:t>
      </w:r>
      <w:r>
        <w:rPr>
          <w:spacing w:val="-4"/>
        </w:rPr>
        <w:t xml:space="preserve"> </w:t>
      </w:r>
      <w:r>
        <w:t>nonjudgmental</w:t>
      </w:r>
      <w:r>
        <w:rPr>
          <w:spacing w:val="-3"/>
        </w:rPr>
        <w:t xml:space="preserve"> </w:t>
      </w:r>
      <w:r>
        <w:t>feedback</w:t>
      </w:r>
      <w:r>
        <w:rPr>
          <w:spacing w:val="-3"/>
        </w:rPr>
        <w:t xml:space="preserve"> </w:t>
      </w:r>
      <w:r>
        <w:t>can</w:t>
      </w:r>
      <w:r>
        <w:rPr>
          <w:spacing w:val="-4"/>
        </w:rPr>
        <w:t xml:space="preserve"> </w:t>
      </w:r>
      <w:r>
        <w:t>be</w:t>
      </w:r>
      <w:r>
        <w:rPr>
          <w:spacing w:val="-2"/>
        </w:rPr>
        <w:t xml:space="preserve"> </w:t>
      </w:r>
      <w:r>
        <w:t>an</w:t>
      </w:r>
      <w:r>
        <w:rPr>
          <w:spacing w:val="-4"/>
        </w:rPr>
        <w:t xml:space="preserve"> </w:t>
      </w:r>
      <w:r>
        <w:t>important</w:t>
      </w:r>
      <w:r>
        <w:rPr>
          <w:spacing w:val="-2"/>
        </w:rPr>
        <w:t xml:space="preserve"> </w:t>
      </w:r>
      <w:r>
        <w:t>factor in increasing the client’s motivation to change.</w:t>
      </w:r>
    </w:p>
    <w:p w14:paraId="78905040" w14:textId="77777777" w:rsidR="00DB6E1F" w:rsidRDefault="00F666A6">
      <w:pPr>
        <w:pStyle w:val="ListParagraph"/>
        <w:numPr>
          <w:ilvl w:val="0"/>
          <w:numId w:val="92"/>
        </w:numPr>
        <w:tabs>
          <w:tab w:val="left" w:pos="1800"/>
          <w:tab w:val="left" w:pos="1801"/>
        </w:tabs>
        <w:spacing w:before="59"/>
        <w:ind w:left="1800" w:right="1511"/>
        <w:rPr>
          <w:rFonts w:ascii="Symbol" w:hAnsi="Symbol"/>
        </w:rPr>
      </w:pPr>
      <w:r>
        <w:t>Invite</w:t>
      </w:r>
      <w:r>
        <w:rPr>
          <w:spacing w:val="-3"/>
        </w:rPr>
        <w:t xml:space="preserve"> </w:t>
      </w:r>
      <w:r>
        <w:t>the SO</w:t>
      </w:r>
      <w:r>
        <w:rPr>
          <w:spacing w:val="-3"/>
        </w:rPr>
        <w:t xml:space="preserve"> </w:t>
      </w:r>
      <w:r>
        <w:t>to</w:t>
      </w:r>
      <w:r>
        <w:rPr>
          <w:spacing w:val="-2"/>
        </w:rPr>
        <w:t xml:space="preserve"> </w:t>
      </w:r>
      <w:r>
        <w:t>be</w:t>
      </w:r>
      <w:r>
        <w:rPr>
          <w:spacing w:val="-3"/>
        </w:rPr>
        <w:t xml:space="preserve"> </w:t>
      </w:r>
      <w:r>
        <w:t>on</w:t>
      </w:r>
      <w:r>
        <w:rPr>
          <w:spacing w:val="-1"/>
        </w:rPr>
        <w:t xml:space="preserve"> </w:t>
      </w:r>
      <w:r>
        <w:t>the</w:t>
      </w:r>
      <w:r>
        <w:rPr>
          <w:spacing w:val="-3"/>
        </w:rPr>
        <w:t xml:space="preserve"> </w:t>
      </w:r>
      <w:r>
        <w:t>client’s</w:t>
      </w:r>
      <w:r>
        <w:rPr>
          <w:spacing w:val="-1"/>
        </w:rPr>
        <w:t xml:space="preserve"> </w:t>
      </w:r>
      <w:r>
        <w:t>team that</w:t>
      </w:r>
      <w:r>
        <w:rPr>
          <w:spacing w:val="-3"/>
        </w:rPr>
        <w:t xml:space="preserve"> </w:t>
      </w:r>
      <w:r>
        <w:t>is working</w:t>
      </w:r>
      <w:r>
        <w:rPr>
          <w:spacing w:val="-4"/>
        </w:rPr>
        <w:t xml:space="preserve"> </w:t>
      </w:r>
      <w:r>
        <w:t>to</w:t>
      </w:r>
      <w:r>
        <w:rPr>
          <w:spacing w:val="-2"/>
        </w:rPr>
        <w:t xml:space="preserve"> </w:t>
      </w:r>
      <w:r>
        <w:t>reduce</w:t>
      </w:r>
      <w:r>
        <w:rPr>
          <w:spacing w:val="-3"/>
        </w:rPr>
        <w:t xml:space="preserve"> </w:t>
      </w:r>
      <w:r>
        <w:t>the impact</w:t>
      </w:r>
      <w:r>
        <w:rPr>
          <w:spacing w:val="-3"/>
        </w:rPr>
        <w:t xml:space="preserve"> </w:t>
      </w:r>
      <w:r>
        <w:t>of</w:t>
      </w:r>
      <w:r>
        <w:rPr>
          <w:spacing w:val="-4"/>
        </w:rPr>
        <w:t xml:space="preserve"> </w:t>
      </w:r>
      <w:r>
        <w:t>substance</w:t>
      </w:r>
      <w:r>
        <w:rPr>
          <w:spacing w:val="-3"/>
        </w:rPr>
        <w:t xml:space="preserve"> </w:t>
      </w:r>
      <w:r>
        <w:t>misuse</w:t>
      </w:r>
      <w:r>
        <w:rPr>
          <w:spacing w:val="-3"/>
        </w:rPr>
        <w:t xml:space="preserve"> </w:t>
      </w:r>
      <w:r>
        <w:t>on the couple or family.</w:t>
      </w:r>
    </w:p>
    <w:p w14:paraId="5363A847" w14:textId="77777777" w:rsidR="00DB6E1F" w:rsidRDefault="00F666A6">
      <w:pPr>
        <w:pStyle w:val="ListParagraph"/>
        <w:numPr>
          <w:ilvl w:val="0"/>
          <w:numId w:val="92"/>
        </w:numPr>
        <w:tabs>
          <w:tab w:val="left" w:pos="1800"/>
          <w:tab w:val="left" w:pos="1801"/>
        </w:tabs>
        <w:ind w:left="1800" w:right="2022"/>
        <w:rPr>
          <w:rFonts w:ascii="Symbol" w:hAnsi="Symbol"/>
        </w:rPr>
      </w:pPr>
      <w:r>
        <w:t>Provide</w:t>
      </w:r>
      <w:r>
        <w:rPr>
          <w:spacing w:val="-1"/>
        </w:rPr>
        <w:t xml:space="preserve"> </w:t>
      </w:r>
      <w:r>
        <w:t>brief</w:t>
      </w:r>
      <w:r>
        <w:rPr>
          <w:spacing w:val="-2"/>
        </w:rPr>
        <w:t xml:space="preserve"> </w:t>
      </w:r>
      <w:r>
        <w:t>instructions</w:t>
      </w:r>
      <w:r>
        <w:rPr>
          <w:spacing w:val="-5"/>
        </w:rPr>
        <w:t xml:space="preserve"> </w:t>
      </w:r>
      <w:r>
        <w:t>to</w:t>
      </w:r>
      <w:r>
        <w:rPr>
          <w:spacing w:val="-1"/>
        </w:rPr>
        <w:t xml:space="preserve"> </w:t>
      </w:r>
      <w:r>
        <w:t>the</w:t>
      </w:r>
      <w:r>
        <w:rPr>
          <w:spacing w:val="-4"/>
        </w:rPr>
        <w:t xml:space="preserve"> </w:t>
      </w:r>
      <w:r>
        <w:t>SO</w:t>
      </w:r>
      <w:r>
        <w:rPr>
          <w:spacing w:val="-4"/>
        </w:rPr>
        <w:t xml:space="preserve"> </w:t>
      </w:r>
      <w:r>
        <w:t>on</w:t>
      </w:r>
      <w:r>
        <w:rPr>
          <w:spacing w:val="-3"/>
        </w:rPr>
        <w:t xml:space="preserve"> </w:t>
      </w:r>
      <w:r>
        <w:t>how</w:t>
      </w:r>
      <w:r>
        <w:rPr>
          <w:spacing w:val="-1"/>
        </w:rPr>
        <w:t xml:space="preserve"> </w:t>
      </w:r>
      <w:r>
        <w:t>to</w:t>
      </w:r>
      <w:r>
        <w:rPr>
          <w:spacing w:val="-1"/>
        </w:rPr>
        <w:t xml:space="preserve"> </w:t>
      </w:r>
      <w:r>
        <w:t>ask</w:t>
      </w:r>
      <w:r>
        <w:rPr>
          <w:spacing w:val="-4"/>
        </w:rPr>
        <w:t xml:space="preserve"> </w:t>
      </w:r>
      <w:r>
        <w:t>open</w:t>
      </w:r>
      <w:r>
        <w:rPr>
          <w:spacing w:val="-3"/>
        </w:rPr>
        <w:t xml:space="preserve"> </w:t>
      </w:r>
      <w:r>
        <w:t>questions,</w:t>
      </w:r>
      <w:r>
        <w:rPr>
          <w:spacing w:val="-4"/>
        </w:rPr>
        <w:t xml:space="preserve"> </w:t>
      </w:r>
      <w:r>
        <w:t>use</w:t>
      </w:r>
      <w:r>
        <w:rPr>
          <w:spacing w:val="-1"/>
        </w:rPr>
        <w:t xml:space="preserve"> </w:t>
      </w:r>
      <w:r>
        <w:t>reflective</w:t>
      </w:r>
      <w:r>
        <w:rPr>
          <w:spacing w:val="-1"/>
        </w:rPr>
        <w:t xml:space="preserve"> </w:t>
      </w:r>
      <w:r>
        <w:t>listening,</w:t>
      </w:r>
      <w:r>
        <w:rPr>
          <w:spacing w:val="-2"/>
        </w:rPr>
        <w:t xml:space="preserve"> </w:t>
      </w:r>
      <w:r>
        <w:t>and support client change talk (Smeerdijk et al., 2015).</w:t>
      </w:r>
    </w:p>
    <w:p w14:paraId="313B7D8A" w14:textId="77777777" w:rsidR="00DB6E1F" w:rsidRDefault="00F666A6">
      <w:pPr>
        <w:pStyle w:val="ListParagraph"/>
        <w:numPr>
          <w:ilvl w:val="0"/>
          <w:numId w:val="92"/>
        </w:numPr>
        <w:tabs>
          <w:tab w:val="left" w:pos="1800"/>
          <w:tab w:val="left" w:pos="1801"/>
        </w:tabs>
        <w:spacing w:before="61"/>
        <w:ind w:left="1800" w:right="1675"/>
        <w:rPr>
          <w:rFonts w:ascii="Symbol" w:hAnsi="Symbol"/>
        </w:rPr>
      </w:pPr>
      <w:r>
        <w:t>Invite</w:t>
      </w:r>
      <w:r>
        <w:rPr>
          <w:spacing w:val="-4"/>
        </w:rPr>
        <w:t xml:space="preserve"> </w:t>
      </w:r>
      <w:r>
        <w:t>the</w:t>
      </w:r>
      <w:r>
        <w:rPr>
          <w:spacing w:val="-1"/>
        </w:rPr>
        <w:t xml:space="preserve"> </w:t>
      </w:r>
      <w:r>
        <w:t>SO</w:t>
      </w:r>
      <w:r>
        <w:rPr>
          <w:spacing w:val="-4"/>
        </w:rPr>
        <w:t xml:space="preserve"> </w:t>
      </w:r>
      <w:r>
        <w:t>to</w:t>
      </w:r>
      <w:r>
        <w:rPr>
          <w:spacing w:val="-3"/>
        </w:rPr>
        <w:t xml:space="preserve"> </w:t>
      </w:r>
      <w:r>
        <w:t>identify</w:t>
      </w:r>
      <w:r>
        <w:rPr>
          <w:spacing w:val="-1"/>
        </w:rPr>
        <w:t xml:space="preserve"> </w:t>
      </w:r>
      <w:r>
        <w:t>the</w:t>
      </w:r>
      <w:r>
        <w:rPr>
          <w:spacing w:val="-1"/>
        </w:rPr>
        <w:t xml:space="preserve"> </w:t>
      </w:r>
      <w:r>
        <w:t>family’s</w:t>
      </w:r>
      <w:r>
        <w:rPr>
          <w:spacing w:val="-4"/>
        </w:rPr>
        <w:t xml:space="preserve"> </w:t>
      </w:r>
      <w:r>
        <w:t>values</w:t>
      </w:r>
      <w:r>
        <w:rPr>
          <w:spacing w:val="-2"/>
        </w:rPr>
        <w:t xml:space="preserve"> </w:t>
      </w:r>
      <w:r>
        <w:t>and</w:t>
      </w:r>
      <w:r>
        <w:rPr>
          <w:spacing w:val="-3"/>
        </w:rPr>
        <w:t xml:space="preserve"> </w:t>
      </w:r>
      <w:r>
        <w:t>how</w:t>
      </w:r>
      <w:r>
        <w:rPr>
          <w:spacing w:val="-1"/>
        </w:rPr>
        <w:t xml:space="preserve"> </w:t>
      </w:r>
      <w:r>
        <w:t>the</w:t>
      </w:r>
      <w:r>
        <w:rPr>
          <w:spacing w:val="-1"/>
        </w:rPr>
        <w:t xml:space="preserve"> </w:t>
      </w:r>
      <w:r>
        <w:t>substance</w:t>
      </w:r>
      <w:r>
        <w:rPr>
          <w:spacing w:val="-4"/>
        </w:rPr>
        <w:t xml:space="preserve"> </w:t>
      </w:r>
      <w:r>
        <w:t>use</w:t>
      </w:r>
      <w:r>
        <w:rPr>
          <w:spacing w:val="-1"/>
        </w:rPr>
        <w:t xml:space="preserve"> </w:t>
      </w:r>
      <w:r>
        <w:t>behavior</w:t>
      </w:r>
      <w:r>
        <w:rPr>
          <w:spacing w:val="-4"/>
        </w:rPr>
        <w:t xml:space="preserve"> </w:t>
      </w:r>
      <w:r>
        <w:t>might</w:t>
      </w:r>
      <w:r>
        <w:rPr>
          <w:spacing w:val="-1"/>
        </w:rPr>
        <w:t xml:space="preserve"> </w:t>
      </w:r>
      <w:r>
        <w:t>not</w:t>
      </w:r>
      <w:r>
        <w:rPr>
          <w:spacing w:val="-1"/>
        </w:rPr>
        <w:t xml:space="preserve"> </w:t>
      </w:r>
      <w:r>
        <w:t>fit</w:t>
      </w:r>
      <w:r>
        <w:rPr>
          <w:spacing w:val="-4"/>
        </w:rPr>
        <w:t xml:space="preserve"> </w:t>
      </w:r>
      <w:r>
        <w:t>with those values (Belmontes, 2018).</w:t>
      </w:r>
    </w:p>
    <w:p w14:paraId="524BF77D" w14:textId="77777777" w:rsidR="00DB6E1F" w:rsidRDefault="00F666A6">
      <w:pPr>
        <w:pStyle w:val="ListParagraph"/>
        <w:numPr>
          <w:ilvl w:val="0"/>
          <w:numId w:val="92"/>
        </w:numPr>
        <w:tabs>
          <w:tab w:val="left" w:pos="1800"/>
          <w:tab w:val="left" w:pos="1801"/>
        </w:tabs>
        <w:spacing w:before="58"/>
        <w:ind w:left="1800" w:right="1551" w:hanging="360"/>
        <w:rPr>
          <w:rFonts w:ascii="Symbol" w:hAnsi="Symbol"/>
        </w:rPr>
      </w:pPr>
      <w:r>
        <w:t>Reinforce</w:t>
      </w:r>
      <w:r>
        <w:rPr>
          <w:spacing w:val="-2"/>
        </w:rPr>
        <w:t xml:space="preserve"> </w:t>
      </w:r>
      <w:r>
        <w:t>positive</w:t>
      </w:r>
      <w:r>
        <w:rPr>
          <w:spacing w:val="-2"/>
        </w:rPr>
        <w:t xml:space="preserve"> </w:t>
      </w:r>
      <w:r>
        <w:t>comments</w:t>
      </w:r>
      <w:r>
        <w:rPr>
          <w:spacing w:val="-3"/>
        </w:rPr>
        <w:t xml:space="preserve"> </w:t>
      </w:r>
      <w:r>
        <w:t>made</w:t>
      </w:r>
      <w:r>
        <w:rPr>
          <w:spacing w:val="-2"/>
        </w:rPr>
        <w:t xml:space="preserve"> </w:t>
      </w:r>
      <w:r>
        <w:t>by</w:t>
      </w:r>
      <w:r>
        <w:rPr>
          <w:spacing w:val="-4"/>
        </w:rPr>
        <w:t xml:space="preserve"> </w:t>
      </w:r>
      <w:r>
        <w:t>the</w:t>
      </w:r>
      <w:r>
        <w:rPr>
          <w:spacing w:val="-2"/>
        </w:rPr>
        <w:t xml:space="preserve"> </w:t>
      </w:r>
      <w:r>
        <w:t>SO</w:t>
      </w:r>
      <w:r>
        <w:rPr>
          <w:spacing w:val="-2"/>
        </w:rPr>
        <w:t xml:space="preserve"> </w:t>
      </w:r>
      <w:r>
        <w:t>about</w:t>
      </w:r>
      <w:r>
        <w:rPr>
          <w:spacing w:val="-2"/>
        </w:rPr>
        <w:t xml:space="preserve"> </w:t>
      </w:r>
      <w:r>
        <w:t>the</w:t>
      </w:r>
      <w:r>
        <w:rPr>
          <w:spacing w:val="-2"/>
        </w:rPr>
        <w:t xml:space="preserve"> </w:t>
      </w:r>
      <w:r>
        <w:t>client’s</w:t>
      </w:r>
      <w:r>
        <w:rPr>
          <w:spacing w:val="-3"/>
        </w:rPr>
        <w:t xml:space="preserve"> </w:t>
      </w:r>
      <w:r>
        <w:t>curre</w:t>
      </w:r>
      <w:r>
        <w:t>nt</w:t>
      </w:r>
      <w:r>
        <w:rPr>
          <w:spacing w:val="-2"/>
        </w:rPr>
        <w:t xml:space="preserve"> </w:t>
      </w:r>
      <w:r>
        <w:t>change</w:t>
      </w:r>
      <w:r>
        <w:rPr>
          <w:spacing w:val="-5"/>
        </w:rPr>
        <w:t xml:space="preserve"> </w:t>
      </w:r>
      <w:r>
        <w:t>efforts.</w:t>
      </w:r>
      <w:r>
        <w:rPr>
          <w:spacing w:val="-8"/>
        </w:rPr>
        <w:t xml:space="preserve"> </w:t>
      </w:r>
      <w:r>
        <w:t>Refocus</w:t>
      </w:r>
      <w:r>
        <w:rPr>
          <w:spacing w:val="-3"/>
        </w:rPr>
        <w:t xml:space="preserve"> </w:t>
      </w:r>
      <w:r>
        <w:t>the conversation if the feedback from the SO is negative or reinforces the client’s sustain talk.</w:t>
      </w:r>
    </w:p>
    <w:p w14:paraId="476266E1" w14:textId="77777777" w:rsidR="00DB6E1F" w:rsidRDefault="00F666A6">
      <w:pPr>
        <w:pStyle w:val="ListParagraph"/>
        <w:numPr>
          <w:ilvl w:val="0"/>
          <w:numId w:val="92"/>
        </w:numPr>
        <w:tabs>
          <w:tab w:val="left" w:pos="1800"/>
          <w:tab w:val="left" w:pos="1801"/>
        </w:tabs>
        <w:spacing w:before="61"/>
        <w:ind w:left="1799" w:right="1440" w:hanging="360"/>
        <w:rPr>
          <w:rFonts w:ascii="Symbol" w:hAnsi="Symbol"/>
        </w:rPr>
      </w:pPr>
      <w:r>
        <w:t>Use</w:t>
      </w:r>
      <w:r>
        <w:rPr>
          <w:spacing w:val="-1"/>
        </w:rPr>
        <w:t xml:space="preserve"> </w:t>
      </w:r>
      <w:r>
        <w:t>EPE</w:t>
      </w:r>
      <w:r>
        <w:rPr>
          <w:spacing w:val="-4"/>
        </w:rPr>
        <w:t xml:space="preserve"> </w:t>
      </w:r>
      <w:r>
        <w:t>to</w:t>
      </w:r>
      <w:r>
        <w:rPr>
          <w:spacing w:val="-3"/>
        </w:rPr>
        <w:t xml:space="preserve"> </w:t>
      </w:r>
      <w:r>
        <w:t>give</w:t>
      </w:r>
      <w:r>
        <w:rPr>
          <w:spacing w:val="-4"/>
        </w:rPr>
        <w:t xml:space="preserve"> </w:t>
      </w:r>
      <w:r>
        <w:t>the</w:t>
      </w:r>
      <w:r>
        <w:rPr>
          <w:spacing w:val="-1"/>
        </w:rPr>
        <w:t xml:space="preserve"> </w:t>
      </w:r>
      <w:r>
        <w:t>SO</w:t>
      </w:r>
      <w:r>
        <w:rPr>
          <w:spacing w:val="-2"/>
        </w:rPr>
        <w:t xml:space="preserve"> </w:t>
      </w:r>
      <w:r>
        <w:t>information</w:t>
      </w:r>
      <w:r>
        <w:rPr>
          <w:spacing w:val="-5"/>
        </w:rPr>
        <w:t xml:space="preserve"> </w:t>
      </w:r>
      <w:r>
        <w:t>on</w:t>
      </w:r>
      <w:r>
        <w:rPr>
          <w:spacing w:val="-3"/>
        </w:rPr>
        <w:t xml:space="preserve"> </w:t>
      </w:r>
      <w:r>
        <w:t>support</w:t>
      </w:r>
      <w:r>
        <w:rPr>
          <w:spacing w:val="-4"/>
        </w:rPr>
        <w:t xml:space="preserve"> </w:t>
      </w:r>
      <w:r>
        <w:t>services</w:t>
      </w:r>
      <w:r>
        <w:rPr>
          <w:spacing w:val="-2"/>
        </w:rPr>
        <w:t xml:space="preserve"> </w:t>
      </w:r>
      <w:r>
        <w:t>(e.g.,</w:t>
      </w:r>
      <w:r>
        <w:rPr>
          <w:spacing w:val="-2"/>
        </w:rPr>
        <w:t xml:space="preserve"> </w:t>
      </w:r>
      <w:r>
        <w:t>Al-Anon,</w:t>
      </w:r>
      <w:r>
        <w:rPr>
          <w:spacing w:val="-4"/>
        </w:rPr>
        <w:t xml:space="preserve"> </w:t>
      </w:r>
      <w:r>
        <w:t>family</w:t>
      </w:r>
      <w:r>
        <w:rPr>
          <w:spacing w:val="-1"/>
        </w:rPr>
        <w:t xml:space="preserve"> </w:t>
      </w:r>
      <w:r>
        <w:t>peer</w:t>
      </w:r>
      <w:r>
        <w:rPr>
          <w:spacing w:val="-2"/>
        </w:rPr>
        <w:t xml:space="preserve"> </w:t>
      </w:r>
      <w:r>
        <w:t>support</w:t>
      </w:r>
      <w:r>
        <w:rPr>
          <w:spacing w:val="-1"/>
        </w:rPr>
        <w:t xml:space="preserve"> </w:t>
      </w:r>
      <w:r>
        <w:t>providers, individual counseling) that will help focus on his or her own recovery while supporting the client.</w:t>
      </w:r>
    </w:p>
    <w:p w14:paraId="251191DE" w14:textId="77777777" w:rsidR="00DB6E1F" w:rsidRDefault="00F666A6">
      <w:pPr>
        <w:pStyle w:val="ListParagraph"/>
        <w:numPr>
          <w:ilvl w:val="0"/>
          <w:numId w:val="92"/>
        </w:numPr>
        <w:tabs>
          <w:tab w:val="left" w:pos="1800"/>
          <w:tab w:val="left" w:pos="1801"/>
        </w:tabs>
        <w:ind w:left="1799" w:right="1461" w:hanging="360"/>
        <w:rPr>
          <w:rFonts w:ascii="Symbol" w:hAnsi="Symbol"/>
        </w:rPr>
      </w:pPr>
      <w:r>
        <w:t>If</w:t>
      </w:r>
      <w:r>
        <w:rPr>
          <w:spacing w:val="-2"/>
        </w:rPr>
        <w:t xml:space="preserve"> </w:t>
      </w:r>
      <w:r>
        <w:t>the</w:t>
      </w:r>
      <w:r>
        <w:rPr>
          <w:spacing w:val="-1"/>
        </w:rPr>
        <w:t xml:space="preserve"> </w:t>
      </w:r>
      <w:r>
        <w:t>SO</w:t>
      </w:r>
      <w:r>
        <w:rPr>
          <w:spacing w:val="-4"/>
        </w:rPr>
        <w:t xml:space="preserve"> </w:t>
      </w:r>
      <w:r>
        <w:t>cannot</w:t>
      </w:r>
      <w:r>
        <w:rPr>
          <w:spacing w:val="-4"/>
        </w:rPr>
        <w:t xml:space="preserve"> </w:t>
      </w:r>
      <w:r>
        <w:t>be</w:t>
      </w:r>
      <w:r>
        <w:rPr>
          <w:spacing w:val="-1"/>
        </w:rPr>
        <w:t xml:space="preserve"> </w:t>
      </w:r>
      <w:r>
        <w:t>supportive</w:t>
      </w:r>
      <w:r>
        <w:rPr>
          <w:spacing w:val="-4"/>
        </w:rPr>
        <w:t xml:space="preserve"> </w:t>
      </w:r>
      <w:r>
        <w:t>and</w:t>
      </w:r>
      <w:r>
        <w:rPr>
          <w:spacing w:val="-3"/>
        </w:rPr>
        <w:t xml:space="preserve"> </w:t>
      </w:r>
      <w:r>
        <w:t>nonconfrontational</w:t>
      </w:r>
      <w:r>
        <w:rPr>
          <w:spacing w:val="-2"/>
        </w:rPr>
        <w:t xml:space="preserve"> </w:t>
      </w:r>
      <w:r>
        <w:t>or</w:t>
      </w:r>
      <w:r>
        <w:rPr>
          <w:spacing w:val="-2"/>
        </w:rPr>
        <w:t xml:space="preserve"> </w:t>
      </w:r>
      <w:r>
        <w:t>has</w:t>
      </w:r>
      <w:r>
        <w:rPr>
          <w:spacing w:val="-4"/>
        </w:rPr>
        <w:t xml:space="preserve"> </w:t>
      </w:r>
      <w:r>
        <w:t>substance</w:t>
      </w:r>
      <w:r>
        <w:rPr>
          <w:spacing w:val="-4"/>
        </w:rPr>
        <w:t xml:space="preserve"> </w:t>
      </w:r>
      <w:r>
        <w:t>misuse</w:t>
      </w:r>
      <w:r>
        <w:rPr>
          <w:spacing w:val="-4"/>
        </w:rPr>
        <w:t xml:space="preserve"> </w:t>
      </w:r>
      <w:r>
        <w:t>or</w:t>
      </w:r>
      <w:r>
        <w:rPr>
          <w:spacing w:val="-2"/>
        </w:rPr>
        <w:t xml:space="preserve"> </w:t>
      </w:r>
      <w:r>
        <w:t>behavioral</w:t>
      </w:r>
      <w:r>
        <w:rPr>
          <w:spacing w:val="-5"/>
        </w:rPr>
        <w:t xml:space="preserve"> </w:t>
      </w:r>
      <w:r>
        <w:t>health concerns that interfere with his or her abilit</w:t>
      </w:r>
      <w:r>
        <w:t>y to participate fully and supportively in the client’s treatment, consider limiting the SO’s role to mainly information sharing. Refer the SO to SUD treatment or behavioral health services and a recovery support group (e.g., Al-Anon).</w:t>
      </w:r>
    </w:p>
    <w:p w14:paraId="2E15BA1B" w14:textId="77777777" w:rsidR="00DB6E1F" w:rsidRDefault="00F666A6">
      <w:pPr>
        <w:pStyle w:val="ListParagraph"/>
        <w:numPr>
          <w:ilvl w:val="0"/>
          <w:numId w:val="92"/>
        </w:numPr>
        <w:tabs>
          <w:tab w:val="left" w:pos="1799"/>
          <w:tab w:val="left" w:pos="1800"/>
        </w:tabs>
        <w:spacing w:before="59"/>
        <w:ind w:left="1799" w:right="1472" w:hanging="360"/>
        <w:rPr>
          <w:rFonts w:ascii="Symbol" w:hAnsi="Symbol"/>
        </w:rPr>
      </w:pPr>
      <w:r>
        <w:t>If the SO cannot att</w:t>
      </w:r>
      <w:r>
        <w:t>end counseling sessions with the client, invite the SO to the session figuratively by</w:t>
      </w:r>
      <w:r>
        <w:rPr>
          <w:spacing w:val="-1"/>
        </w:rPr>
        <w:t xml:space="preserve"> </w:t>
      </w:r>
      <w:r>
        <w:t>evoking</w:t>
      </w:r>
      <w:r>
        <w:rPr>
          <w:spacing w:val="-3"/>
        </w:rPr>
        <w:t xml:space="preserve"> </w:t>
      </w:r>
      <w:r>
        <w:t>and</w:t>
      </w:r>
      <w:r>
        <w:rPr>
          <w:spacing w:val="-3"/>
        </w:rPr>
        <w:t xml:space="preserve"> </w:t>
      </w:r>
      <w:r>
        <w:t>reinforcing</w:t>
      </w:r>
      <w:r>
        <w:rPr>
          <w:spacing w:val="-5"/>
        </w:rPr>
        <w:t xml:space="preserve"> </w:t>
      </w:r>
      <w:r>
        <w:t>client</w:t>
      </w:r>
      <w:r>
        <w:rPr>
          <w:spacing w:val="-2"/>
        </w:rPr>
        <w:t xml:space="preserve"> </w:t>
      </w:r>
      <w:r>
        <w:t>change</w:t>
      </w:r>
      <w:r>
        <w:rPr>
          <w:spacing w:val="-4"/>
        </w:rPr>
        <w:t xml:space="preserve"> </w:t>
      </w:r>
      <w:r>
        <w:t>talk</w:t>
      </w:r>
      <w:r>
        <w:rPr>
          <w:spacing w:val="-1"/>
        </w:rPr>
        <w:t xml:space="preserve"> </w:t>
      </w:r>
      <w:r>
        <w:t>associated with</w:t>
      </w:r>
      <w:r>
        <w:rPr>
          <w:spacing w:val="-3"/>
        </w:rPr>
        <w:t xml:space="preserve"> </w:t>
      </w:r>
      <w:r>
        <w:t>the</w:t>
      </w:r>
      <w:r>
        <w:rPr>
          <w:spacing w:val="-4"/>
        </w:rPr>
        <w:t xml:space="preserve"> </w:t>
      </w:r>
      <w:r>
        <w:t>significance</w:t>
      </w:r>
      <w:r>
        <w:rPr>
          <w:spacing w:val="-4"/>
        </w:rPr>
        <w:t xml:space="preserve"> </w:t>
      </w:r>
      <w:r>
        <w:t>of</w:t>
      </w:r>
      <w:r>
        <w:rPr>
          <w:spacing w:val="-4"/>
        </w:rPr>
        <w:t xml:space="preserve"> </w:t>
      </w:r>
      <w:r>
        <w:t>family</w:t>
      </w:r>
      <w:r>
        <w:rPr>
          <w:spacing w:val="-4"/>
        </w:rPr>
        <w:t xml:space="preserve"> </w:t>
      </w:r>
      <w:r>
        <w:t>and</w:t>
      </w:r>
      <w:r>
        <w:rPr>
          <w:spacing w:val="-3"/>
        </w:rPr>
        <w:t xml:space="preserve"> </w:t>
      </w:r>
      <w:r>
        <w:t>friends</w:t>
      </w:r>
      <w:r>
        <w:rPr>
          <w:spacing w:val="-2"/>
        </w:rPr>
        <w:t xml:space="preserve"> </w:t>
      </w:r>
      <w:r>
        <w:t>in the client’s motivation to change (Sarpavaara, 2015). For example, yo</w:t>
      </w:r>
      <w:r>
        <w:t>u might ask, “You have mentioned that your relationship with your daughter is very important to you. How would not drinking, impact the quality of your relationship?”</w:t>
      </w:r>
    </w:p>
    <w:p w14:paraId="12916A17" w14:textId="77777777" w:rsidR="00DB6E1F" w:rsidRDefault="00F666A6">
      <w:pPr>
        <w:pStyle w:val="BodyText"/>
        <w:spacing w:before="159"/>
        <w:ind w:left="1439"/>
      </w:pPr>
      <w:r>
        <w:t>For</w:t>
      </w:r>
      <w:r>
        <w:rPr>
          <w:spacing w:val="-6"/>
        </w:rPr>
        <w:t xml:space="preserve"> </w:t>
      </w:r>
      <w:r>
        <w:t>more</w:t>
      </w:r>
      <w:r>
        <w:rPr>
          <w:spacing w:val="-3"/>
        </w:rPr>
        <w:t xml:space="preserve"> </w:t>
      </w:r>
      <w:r>
        <w:t>information</w:t>
      </w:r>
      <w:r>
        <w:rPr>
          <w:spacing w:val="-6"/>
        </w:rPr>
        <w:t xml:space="preserve"> </w:t>
      </w:r>
      <w:r>
        <w:t>on</w:t>
      </w:r>
      <w:r>
        <w:rPr>
          <w:spacing w:val="-4"/>
        </w:rPr>
        <w:t xml:space="preserve"> </w:t>
      </w:r>
      <w:r>
        <w:t>families</w:t>
      </w:r>
      <w:r>
        <w:rPr>
          <w:spacing w:val="-5"/>
        </w:rPr>
        <w:t xml:space="preserve"> </w:t>
      </w:r>
      <w:r>
        <w:t>and</w:t>
      </w:r>
      <w:r>
        <w:rPr>
          <w:spacing w:val="-4"/>
        </w:rPr>
        <w:t xml:space="preserve"> </w:t>
      </w:r>
      <w:r>
        <w:t>SUD</w:t>
      </w:r>
      <w:r>
        <w:rPr>
          <w:spacing w:val="-5"/>
        </w:rPr>
        <w:t xml:space="preserve"> </w:t>
      </w:r>
      <w:r>
        <w:t>treatment,</w:t>
      </w:r>
      <w:r>
        <w:rPr>
          <w:spacing w:val="-5"/>
        </w:rPr>
        <w:t xml:space="preserve"> </w:t>
      </w:r>
      <w:r>
        <w:t>see</w:t>
      </w:r>
      <w:r>
        <w:rPr>
          <w:spacing w:val="-6"/>
        </w:rPr>
        <w:t xml:space="preserve"> </w:t>
      </w:r>
      <w:r>
        <w:t>Treatment</w:t>
      </w:r>
      <w:r>
        <w:rPr>
          <w:spacing w:val="-4"/>
        </w:rPr>
        <w:t xml:space="preserve"> </w:t>
      </w:r>
      <w:r>
        <w:t>Improvement</w:t>
      </w:r>
      <w:r>
        <w:rPr>
          <w:spacing w:val="-3"/>
        </w:rPr>
        <w:t xml:space="preserve"> </w:t>
      </w:r>
      <w:r>
        <w:t>Protocol</w:t>
      </w:r>
      <w:r>
        <w:rPr>
          <w:spacing w:val="-4"/>
        </w:rPr>
        <w:t xml:space="preserve"> </w:t>
      </w:r>
      <w:r>
        <w:t>(TIP)</w:t>
      </w:r>
      <w:r>
        <w:rPr>
          <w:spacing w:val="-5"/>
        </w:rPr>
        <w:t xml:space="preserve"> 39:</w:t>
      </w:r>
    </w:p>
    <w:p w14:paraId="6F9FA462" w14:textId="77777777" w:rsidR="00DB6E1F" w:rsidRDefault="00DB6E1F">
      <w:pPr>
        <w:sectPr w:rsidR="00DB6E1F">
          <w:pgSz w:w="12240" w:h="15840"/>
          <w:pgMar w:top="1200" w:right="0" w:bottom="780" w:left="0" w:header="763" w:footer="585" w:gutter="0"/>
          <w:cols w:space="720"/>
        </w:sectPr>
      </w:pPr>
    </w:p>
    <w:p w14:paraId="5A722E00" w14:textId="77777777" w:rsidR="00DB6E1F" w:rsidRDefault="00DB6E1F">
      <w:pPr>
        <w:pStyle w:val="BodyText"/>
        <w:spacing w:before="8"/>
        <w:rPr>
          <w:sz w:val="14"/>
        </w:rPr>
      </w:pPr>
    </w:p>
    <w:p w14:paraId="695B8D24" w14:textId="77777777" w:rsidR="00DB6E1F" w:rsidRDefault="00F666A6">
      <w:pPr>
        <w:spacing w:before="56"/>
        <w:ind w:left="1440" w:right="1491"/>
      </w:pPr>
      <w:r>
        <w:rPr>
          <w:i/>
        </w:rPr>
        <w:t>Substance</w:t>
      </w:r>
      <w:r>
        <w:rPr>
          <w:i/>
          <w:spacing w:val="-3"/>
        </w:rPr>
        <w:t xml:space="preserve"> </w:t>
      </w:r>
      <w:r>
        <w:rPr>
          <w:i/>
        </w:rPr>
        <w:t>Abuse</w:t>
      </w:r>
      <w:r>
        <w:rPr>
          <w:i/>
          <w:spacing w:val="-5"/>
        </w:rPr>
        <w:t xml:space="preserve"> </w:t>
      </w:r>
      <w:r>
        <w:rPr>
          <w:i/>
        </w:rPr>
        <w:t>Treatment</w:t>
      </w:r>
      <w:r>
        <w:rPr>
          <w:i/>
          <w:spacing w:val="-2"/>
        </w:rPr>
        <w:t xml:space="preserve"> </w:t>
      </w:r>
      <w:r>
        <w:rPr>
          <w:i/>
        </w:rPr>
        <w:t>and</w:t>
      </w:r>
      <w:r>
        <w:rPr>
          <w:i/>
          <w:spacing w:val="-4"/>
        </w:rPr>
        <w:t xml:space="preserve"> </w:t>
      </w:r>
      <w:r>
        <w:rPr>
          <w:i/>
        </w:rPr>
        <w:t>Family</w:t>
      </w:r>
      <w:r>
        <w:rPr>
          <w:i/>
          <w:spacing w:val="-3"/>
        </w:rPr>
        <w:t xml:space="preserve"> </w:t>
      </w:r>
      <w:r>
        <w:rPr>
          <w:i/>
        </w:rPr>
        <w:t>Therapy</w:t>
      </w:r>
      <w:r>
        <w:rPr>
          <w:i/>
          <w:spacing w:val="-3"/>
        </w:rPr>
        <w:t xml:space="preserve"> </w:t>
      </w:r>
      <w:r>
        <w:t>(Substance</w:t>
      </w:r>
      <w:r>
        <w:rPr>
          <w:spacing w:val="-2"/>
        </w:rPr>
        <w:t xml:space="preserve"> </w:t>
      </w:r>
      <w:r>
        <w:t>Abuse</w:t>
      </w:r>
      <w:r>
        <w:rPr>
          <w:spacing w:val="-5"/>
        </w:rPr>
        <w:t xml:space="preserve"> </w:t>
      </w:r>
      <w:r>
        <w:t>and</w:t>
      </w:r>
      <w:r>
        <w:rPr>
          <w:spacing w:val="-4"/>
        </w:rPr>
        <w:t xml:space="preserve"> </w:t>
      </w:r>
      <w:r>
        <w:t>Mental</w:t>
      </w:r>
      <w:r>
        <w:rPr>
          <w:spacing w:val="-3"/>
        </w:rPr>
        <w:t xml:space="preserve"> </w:t>
      </w:r>
      <w:r>
        <w:t>Health</w:t>
      </w:r>
      <w:r>
        <w:rPr>
          <w:spacing w:val="-4"/>
        </w:rPr>
        <w:t xml:space="preserve"> </w:t>
      </w:r>
      <w:r>
        <w:t>Services Administration, 2015a).</w:t>
      </w:r>
    </w:p>
    <w:p w14:paraId="7842816E" w14:textId="77777777" w:rsidR="00DB6E1F" w:rsidRDefault="00F666A6">
      <w:pPr>
        <w:pStyle w:val="Heading3"/>
      </w:pPr>
      <w:bookmarkStart w:id="140" w:name="Express_Concern,_and_Leave_the_Door_Open"/>
      <w:bookmarkEnd w:id="140"/>
      <w:r>
        <w:t>Express</w:t>
      </w:r>
      <w:r>
        <w:rPr>
          <w:spacing w:val="-7"/>
        </w:rPr>
        <w:t xml:space="preserve"> </w:t>
      </w:r>
      <w:r>
        <w:t>Concern,</w:t>
      </w:r>
      <w:r>
        <w:rPr>
          <w:spacing w:val="-6"/>
        </w:rPr>
        <w:t xml:space="preserve"> </w:t>
      </w:r>
      <w:r>
        <w:t>and</w:t>
      </w:r>
      <w:r>
        <w:rPr>
          <w:spacing w:val="-5"/>
        </w:rPr>
        <w:t xml:space="preserve"> </w:t>
      </w:r>
      <w:r>
        <w:t>Leave</w:t>
      </w:r>
      <w:r>
        <w:rPr>
          <w:spacing w:val="-7"/>
        </w:rPr>
        <w:t xml:space="preserve"> </w:t>
      </w:r>
      <w:r>
        <w:t>the</w:t>
      </w:r>
      <w:r>
        <w:rPr>
          <w:spacing w:val="-7"/>
        </w:rPr>
        <w:t xml:space="preserve"> </w:t>
      </w:r>
      <w:r>
        <w:t>Door</w:t>
      </w:r>
      <w:r>
        <w:rPr>
          <w:spacing w:val="-7"/>
        </w:rPr>
        <w:t xml:space="preserve"> </w:t>
      </w:r>
      <w:r>
        <w:rPr>
          <w:spacing w:val="-4"/>
        </w:rPr>
        <w:t>Open</w:t>
      </w:r>
    </w:p>
    <w:p w14:paraId="2A6C539F" w14:textId="77777777" w:rsidR="00DB6E1F" w:rsidRDefault="00F666A6">
      <w:pPr>
        <w:spacing w:before="143"/>
        <w:ind w:left="1439" w:right="1491"/>
      </w:pPr>
      <w:r>
        <w:t>In the initial engagement and assessment phase, if the client remain</w:t>
      </w:r>
      <w:r>
        <w:t>s in Precontemplation and you cannot</w:t>
      </w:r>
      <w:r>
        <w:rPr>
          <w:spacing w:val="-4"/>
        </w:rPr>
        <w:t xml:space="preserve"> </w:t>
      </w:r>
      <w:r>
        <w:t>mutually</w:t>
      </w:r>
      <w:r>
        <w:rPr>
          <w:spacing w:val="-3"/>
        </w:rPr>
        <w:t xml:space="preserve"> </w:t>
      </w:r>
      <w:r>
        <w:t>agree</w:t>
      </w:r>
      <w:r>
        <w:rPr>
          <w:spacing w:val="-4"/>
        </w:rPr>
        <w:t xml:space="preserve"> </w:t>
      </w:r>
      <w:r>
        <w:t>on</w:t>
      </w:r>
      <w:r>
        <w:rPr>
          <w:spacing w:val="-5"/>
        </w:rPr>
        <w:t xml:space="preserve"> </w:t>
      </w:r>
      <w:r>
        <w:t>treatment</w:t>
      </w:r>
      <w:r>
        <w:rPr>
          <w:spacing w:val="-1"/>
        </w:rPr>
        <w:t xml:space="preserve"> </w:t>
      </w:r>
      <w:r>
        <w:t>goals,</w:t>
      </w:r>
      <w:r>
        <w:rPr>
          <w:spacing w:val="-2"/>
        </w:rPr>
        <w:t xml:space="preserve"> </w:t>
      </w:r>
      <w:r>
        <w:rPr>
          <w:b/>
        </w:rPr>
        <w:t>express</w:t>
      </w:r>
      <w:r>
        <w:rPr>
          <w:b/>
          <w:spacing w:val="-4"/>
        </w:rPr>
        <w:t xml:space="preserve"> </w:t>
      </w:r>
      <w:r>
        <w:rPr>
          <w:b/>
        </w:rPr>
        <w:t>concern</w:t>
      </w:r>
      <w:r>
        <w:rPr>
          <w:b/>
          <w:spacing w:val="-3"/>
        </w:rPr>
        <w:t xml:space="preserve"> </w:t>
      </w:r>
      <w:r>
        <w:rPr>
          <w:b/>
        </w:rPr>
        <w:t>about</w:t>
      </w:r>
      <w:r>
        <w:rPr>
          <w:b/>
          <w:spacing w:val="-2"/>
        </w:rPr>
        <w:t xml:space="preserve"> </w:t>
      </w:r>
      <w:r>
        <w:rPr>
          <w:b/>
        </w:rPr>
        <w:t>the</w:t>
      </w:r>
      <w:r>
        <w:rPr>
          <w:b/>
          <w:spacing w:val="-3"/>
        </w:rPr>
        <w:t xml:space="preserve"> </w:t>
      </w:r>
      <w:r>
        <w:rPr>
          <w:b/>
        </w:rPr>
        <w:t>client’s</w:t>
      </w:r>
      <w:r>
        <w:rPr>
          <w:b/>
          <w:spacing w:val="-1"/>
        </w:rPr>
        <w:t xml:space="preserve"> </w:t>
      </w:r>
      <w:r>
        <w:rPr>
          <w:b/>
        </w:rPr>
        <w:t>substance</w:t>
      </w:r>
      <w:r>
        <w:rPr>
          <w:b/>
          <w:spacing w:val="-3"/>
        </w:rPr>
        <w:t xml:space="preserve"> </w:t>
      </w:r>
      <w:r>
        <w:rPr>
          <w:b/>
        </w:rPr>
        <w:t>misuse</w:t>
      </w:r>
      <w:r>
        <w:rPr>
          <w:b/>
          <w:spacing w:val="-3"/>
        </w:rPr>
        <w:t xml:space="preserve"> </w:t>
      </w:r>
      <w:r>
        <w:rPr>
          <w:b/>
        </w:rPr>
        <w:t>and leave the door open for the client to return to treatment any time</w:t>
      </w:r>
      <w:r>
        <w:t>. Do this by:</w:t>
      </w:r>
    </w:p>
    <w:p w14:paraId="18D0BB94" w14:textId="77777777" w:rsidR="00DB6E1F" w:rsidRDefault="00F666A6">
      <w:pPr>
        <w:pStyle w:val="ListParagraph"/>
        <w:numPr>
          <w:ilvl w:val="0"/>
          <w:numId w:val="92"/>
        </w:numPr>
        <w:tabs>
          <w:tab w:val="left" w:pos="1799"/>
          <w:tab w:val="left" w:pos="1800"/>
        </w:tabs>
        <w:ind w:left="1799"/>
        <w:rPr>
          <w:rFonts w:ascii="Symbol" w:hAnsi="Symbol"/>
        </w:rPr>
      </w:pPr>
      <w:r>
        <w:t>Summarizing</w:t>
      </w:r>
      <w:r>
        <w:rPr>
          <w:spacing w:val="-9"/>
        </w:rPr>
        <w:t xml:space="preserve"> </w:t>
      </w:r>
      <w:r>
        <w:t>your</w:t>
      </w:r>
      <w:r>
        <w:rPr>
          <w:spacing w:val="-5"/>
        </w:rPr>
        <w:t xml:space="preserve"> </w:t>
      </w:r>
      <w:r>
        <w:t>concern</w:t>
      </w:r>
      <w:r>
        <w:rPr>
          <w:spacing w:val="-6"/>
        </w:rPr>
        <w:t xml:space="preserve"> </w:t>
      </w:r>
      <w:r>
        <w:t>based</w:t>
      </w:r>
      <w:r>
        <w:rPr>
          <w:spacing w:val="-4"/>
        </w:rPr>
        <w:t xml:space="preserve"> </w:t>
      </w:r>
      <w:r>
        <w:t>on</w:t>
      </w:r>
      <w:r>
        <w:rPr>
          <w:spacing w:val="-5"/>
        </w:rPr>
        <w:t xml:space="preserve"> </w:t>
      </w:r>
      <w:r>
        <w:t>screening</w:t>
      </w:r>
      <w:r>
        <w:rPr>
          <w:spacing w:val="-4"/>
        </w:rPr>
        <w:t xml:space="preserve"> </w:t>
      </w:r>
      <w:r>
        <w:t>or</w:t>
      </w:r>
      <w:r>
        <w:rPr>
          <w:spacing w:val="-3"/>
        </w:rPr>
        <w:t xml:space="preserve"> </w:t>
      </w:r>
      <w:r>
        <w:t>assessment</w:t>
      </w:r>
      <w:r>
        <w:rPr>
          <w:spacing w:val="-3"/>
        </w:rPr>
        <w:t xml:space="preserve"> </w:t>
      </w:r>
      <w:r>
        <w:t>results</w:t>
      </w:r>
      <w:r>
        <w:rPr>
          <w:spacing w:val="-6"/>
        </w:rPr>
        <w:t xml:space="preserve"> </w:t>
      </w:r>
      <w:r>
        <w:t>or</w:t>
      </w:r>
      <w:r>
        <w:rPr>
          <w:spacing w:val="-3"/>
        </w:rPr>
        <w:t xml:space="preserve"> </w:t>
      </w:r>
      <w:r>
        <w:t>feedback</w:t>
      </w:r>
      <w:r>
        <w:rPr>
          <w:spacing w:val="-5"/>
        </w:rPr>
        <w:t xml:space="preserve"> </w:t>
      </w:r>
      <w:r>
        <w:t>from</w:t>
      </w:r>
      <w:r>
        <w:rPr>
          <w:spacing w:val="-4"/>
        </w:rPr>
        <w:t xml:space="preserve"> SOs.</w:t>
      </w:r>
    </w:p>
    <w:p w14:paraId="1AB8D4D1" w14:textId="77777777" w:rsidR="00DB6E1F" w:rsidRDefault="00F666A6">
      <w:pPr>
        <w:pStyle w:val="ListParagraph"/>
        <w:numPr>
          <w:ilvl w:val="0"/>
          <w:numId w:val="92"/>
        </w:numPr>
        <w:tabs>
          <w:tab w:val="left" w:pos="1799"/>
          <w:tab w:val="left" w:pos="1800"/>
        </w:tabs>
        <w:spacing w:before="61"/>
        <w:ind w:left="1799"/>
        <w:rPr>
          <w:rFonts w:ascii="Symbol" w:hAnsi="Symbol"/>
        </w:rPr>
      </w:pPr>
      <w:r>
        <w:t>Presenting</w:t>
      </w:r>
      <w:r>
        <w:rPr>
          <w:spacing w:val="-9"/>
        </w:rPr>
        <w:t xml:space="preserve"> </w:t>
      </w:r>
      <w:r>
        <w:t>feedback</w:t>
      </w:r>
      <w:r>
        <w:rPr>
          <w:spacing w:val="-4"/>
        </w:rPr>
        <w:t xml:space="preserve"> </w:t>
      </w:r>
      <w:r>
        <w:t>in</w:t>
      </w:r>
      <w:r>
        <w:rPr>
          <w:spacing w:val="-7"/>
        </w:rPr>
        <w:t xml:space="preserve"> </w:t>
      </w:r>
      <w:r>
        <w:t>a</w:t>
      </w:r>
      <w:r>
        <w:rPr>
          <w:spacing w:val="-5"/>
        </w:rPr>
        <w:t xml:space="preserve"> </w:t>
      </w:r>
      <w:r>
        <w:t>factual,</w:t>
      </w:r>
      <w:r>
        <w:rPr>
          <w:spacing w:val="-5"/>
        </w:rPr>
        <w:t xml:space="preserve"> </w:t>
      </w:r>
      <w:r>
        <w:t>nonjudgmental</w:t>
      </w:r>
      <w:r>
        <w:rPr>
          <w:spacing w:val="-8"/>
        </w:rPr>
        <w:t xml:space="preserve"> </w:t>
      </w:r>
      <w:r>
        <w:rPr>
          <w:spacing w:val="-4"/>
        </w:rPr>
        <w:t>way.</w:t>
      </w:r>
    </w:p>
    <w:p w14:paraId="3FC9044F" w14:textId="77777777" w:rsidR="00DB6E1F" w:rsidRDefault="00F666A6">
      <w:pPr>
        <w:pStyle w:val="ListParagraph"/>
        <w:numPr>
          <w:ilvl w:val="0"/>
          <w:numId w:val="92"/>
        </w:numPr>
        <w:tabs>
          <w:tab w:val="left" w:pos="1800"/>
          <w:tab w:val="left" w:pos="1801"/>
        </w:tabs>
        <w:spacing w:before="58"/>
        <w:ind w:left="1800"/>
        <w:rPr>
          <w:rFonts w:ascii="Symbol" w:hAnsi="Symbol"/>
        </w:rPr>
      </w:pPr>
      <w:r>
        <w:t>Reminding</w:t>
      </w:r>
      <w:r>
        <w:rPr>
          <w:spacing w:val="-5"/>
        </w:rPr>
        <w:t xml:space="preserve"> </w:t>
      </w:r>
      <w:r>
        <w:t>the</w:t>
      </w:r>
      <w:r>
        <w:rPr>
          <w:spacing w:val="-5"/>
        </w:rPr>
        <w:t xml:space="preserve"> </w:t>
      </w:r>
      <w:r>
        <w:t>client</w:t>
      </w:r>
      <w:r>
        <w:rPr>
          <w:spacing w:val="-5"/>
        </w:rPr>
        <w:t xml:space="preserve"> </w:t>
      </w:r>
      <w:r>
        <w:t>that</w:t>
      </w:r>
      <w:r>
        <w:rPr>
          <w:spacing w:val="-4"/>
        </w:rPr>
        <w:t xml:space="preserve"> </w:t>
      </w:r>
      <w:r>
        <w:t>you</w:t>
      </w:r>
      <w:r>
        <w:rPr>
          <w:spacing w:val="-4"/>
        </w:rPr>
        <w:t xml:space="preserve"> </w:t>
      </w:r>
      <w:r>
        <w:t>respect</w:t>
      </w:r>
      <w:r>
        <w:rPr>
          <w:spacing w:val="-2"/>
        </w:rPr>
        <w:t xml:space="preserve"> </w:t>
      </w:r>
      <w:r>
        <w:t>his</w:t>
      </w:r>
      <w:r>
        <w:rPr>
          <w:spacing w:val="-5"/>
        </w:rPr>
        <w:t xml:space="preserve"> </w:t>
      </w:r>
      <w:r>
        <w:t>or</w:t>
      </w:r>
      <w:r>
        <w:rPr>
          <w:spacing w:val="-4"/>
        </w:rPr>
        <w:t xml:space="preserve"> </w:t>
      </w:r>
      <w:r>
        <w:t>her</w:t>
      </w:r>
      <w:r>
        <w:rPr>
          <w:spacing w:val="-3"/>
        </w:rPr>
        <w:t xml:space="preserve"> </w:t>
      </w:r>
      <w:r>
        <w:t>decision,</w:t>
      </w:r>
      <w:r>
        <w:rPr>
          <w:spacing w:val="-3"/>
        </w:rPr>
        <w:t xml:space="preserve"> </w:t>
      </w:r>
      <w:r>
        <w:t>even</w:t>
      </w:r>
      <w:r>
        <w:rPr>
          <w:spacing w:val="-4"/>
        </w:rPr>
        <w:t xml:space="preserve"> </w:t>
      </w:r>
      <w:r>
        <w:t>if</w:t>
      </w:r>
      <w:r>
        <w:rPr>
          <w:spacing w:val="-4"/>
        </w:rPr>
        <w:t xml:space="preserve"> </w:t>
      </w:r>
      <w:r>
        <w:t>data</w:t>
      </w:r>
      <w:r>
        <w:rPr>
          <w:spacing w:val="-3"/>
        </w:rPr>
        <w:t xml:space="preserve"> </w:t>
      </w:r>
      <w:r>
        <w:t>suggest</w:t>
      </w:r>
      <w:r>
        <w:rPr>
          <w:spacing w:val="-2"/>
        </w:rPr>
        <w:t xml:space="preserve"> </w:t>
      </w:r>
      <w:r>
        <w:t>a</w:t>
      </w:r>
      <w:r>
        <w:rPr>
          <w:spacing w:val="-3"/>
        </w:rPr>
        <w:t xml:space="preserve"> </w:t>
      </w:r>
      <w:r>
        <w:t>different</w:t>
      </w:r>
      <w:r>
        <w:rPr>
          <w:spacing w:val="-2"/>
        </w:rPr>
        <w:t xml:space="preserve"> choice.</w:t>
      </w:r>
    </w:p>
    <w:p w14:paraId="1DB70EE3" w14:textId="77777777" w:rsidR="00DB6E1F" w:rsidRDefault="00F666A6">
      <w:pPr>
        <w:pStyle w:val="Heading5"/>
        <w:numPr>
          <w:ilvl w:val="0"/>
          <w:numId w:val="92"/>
        </w:numPr>
        <w:tabs>
          <w:tab w:val="left" w:pos="1800"/>
          <w:tab w:val="left" w:pos="1801"/>
        </w:tabs>
        <w:spacing w:before="60"/>
        <w:ind w:left="1800"/>
        <w:rPr>
          <w:rFonts w:ascii="Symbol" w:hAnsi="Symbol"/>
          <w:b w:val="0"/>
        </w:rPr>
      </w:pPr>
      <w:r>
        <w:t>Emphasize</w:t>
      </w:r>
      <w:r>
        <w:rPr>
          <w:spacing w:val="-6"/>
        </w:rPr>
        <w:t xml:space="preserve"> </w:t>
      </w:r>
      <w:r>
        <w:t>personal</w:t>
      </w:r>
      <w:r>
        <w:rPr>
          <w:spacing w:val="-4"/>
        </w:rPr>
        <w:t xml:space="preserve"> </w:t>
      </w:r>
      <w:r>
        <w:t>choice</w:t>
      </w:r>
      <w:r>
        <w:rPr>
          <w:spacing w:val="-6"/>
        </w:rPr>
        <w:t xml:space="preserve"> </w:t>
      </w:r>
      <w:r>
        <w:t>to</w:t>
      </w:r>
      <w:r>
        <w:rPr>
          <w:spacing w:val="-4"/>
        </w:rPr>
        <w:t xml:space="preserve"> </w:t>
      </w:r>
      <w:r>
        <w:t>maintain</w:t>
      </w:r>
      <w:r>
        <w:rPr>
          <w:spacing w:val="-6"/>
        </w:rPr>
        <w:t xml:space="preserve"> </w:t>
      </w:r>
      <w:r>
        <w:t>rapport</w:t>
      </w:r>
      <w:r>
        <w:rPr>
          <w:spacing w:val="-5"/>
        </w:rPr>
        <w:t xml:space="preserve"> </w:t>
      </w:r>
      <w:r>
        <w:t>with</w:t>
      </w:r>
      <w:r>
        <w:rPr>
          <w:spacing w:val="-6"/>
        </w:rPr>
        <w:t xml:space="preserve"> </w:t>
      </w:r>
      <w:r>
        <w:t>clients</w:t>
      </w:r>
      <w:r>
        <w:rPr>
          <w:spacing w:val="-3"/>
        </w:rPr>
        <w:t xml:space="preserve"> </w:t>
      </w:r>
      <w:r>
        <w:t>in</w:t>
      </w:r>
      <w:r>
        <w:rPr>
          <w:spacing w:val="-3"/>
        </w:rPr>
        <w:t xml:space="preserve"> </w:t>
      </w:r>
      <w:r>
        <w:rPr>
          <w:spacing w:val="-2"/>
        </w:rPr>
        <w:t>Precontemplation.</w:t>
      </w:r>
    </w:p>
    <w:p w14:paraId="12C2D92F" w14:textId="77777777" w:rsidR="00DB6E1F" w:rsidRDefault="00F666A6">
      <w:pPr>
        <w:pStyle w:val="ListParagraph"/>
        <w:numPr>
          <w:ilvl w:val="0"/>
          <w:numId w:val="92"/>
        </w:numPr>
        <w:tabs>
          <w:tab w:val="left" w:pos="1800"/>
          <w:tab w:val="left" w:pos="1801"/>
        </w:tabs>
        <w:spacing w:before="61"/>
        <w:ind w:left="1800" w:right="1802"/>
        <w:rPr>
          <w:rFonts w:ascii="Symbol" w:hAnsi="Symbol"/>
        </w:rPr>
      </w:pPr>
      <w:r>
        <w:t>Making</w:t>
      </w:r>
      <w:r>
        <w:rPr>
          <w:spacing w:val="-2"/>
        </w:rPr>
        <w:t xml:space="preserve"> </w:t>
      </w:r>
      <w:r>
        <w:t>sure</w:t>
      </w:r>
      <w:r>
        <w:rPr>
          <w:spacing w:val="-4"/>
        </w:rPr>
        <w:t xml:space="preserve"> </w:t>
      </w:r>
      <w:r>
        <w:t>the</w:t>
      </w:r>
      <w:r>
        <w:rPr>
          <w:spacing w:val="-4"/>
        </w:rPr>
        <w:t xml:space="preserve"> </w:t>
      </w:r>
      <w:r>
        <w:t>client</w:t>
      </w:r>
      <w:r>
        <w:rPr>
          <w:spacing w:val="-1"/>
        </w:rPr>
        <w:t xml:space="preserve"> </w:t>
      </w:r>
      <w:r>
        <w:t>has</w:t>
      </w:r>
      <w:r>
        <w:rPr>
          <w:spacing w:val="-7"/>
        </w:rPr>
        <w:t xml:space="preserve"> </w:t>
      </w:r>
      <w:r>
        <w:t>your</w:t>
      </w:r>
      <w:r>
        <w:rPr>
          <w:spacing w:val="-5"/>
        </w:rPr>
        <w:t xml:space="preserve"> </w:t>
      </w:r>
      <w:r>
        <w:t>contact</w:t>
      </w:r>
      <w:r>
        <w:rPr>
          <w:spacing w:val="-1"/>
        </w:rPr>
        <w:t xml:space="preserve"> </w:t>
      </w:r>
      <w:r>
        <w:t>information</w:t>
      </w:r>
      <w:r>
        <w:rPr>
          <w:spacing w:val="-3"/>
        </w:rPr>
        <w:t xml:space="preserve"> </w:t>
      </w:r>
      <w:r>
        <w:t>and</w:t>
      </w:r>
      <w:r>
        <w:rPr>
          <w:spacing w:val="-3"/>
        </w:rPr>
        <w:t xml:space="preserve"> </w:t>
      </w:r>
      <w:r>
        <w:t>appropriate</w:t>
      </w:r>
      <w:r>
        <w:rPr>
          <w:spacing w:val="-4"/>
        </w:rPr>
        <w:t xml:space="preserve"> </w:t>
      </w:r>
      <w:r>
        <w:t>crisis</w:t>
      </w:r>
      <w:r>
        <w:rPr>
          <w:spacing w:val="-4"/>
        </w:rPr>
        <w:t xml:space="preserve"> </w:t>
      </w:r>
      <w:r>
        <w:t>or</w:t>
      </w:r>
      <w:r>
        <w:rPr>
          <w:spacing w:val="-2"/>
        </w:rPr>
        <w:t xml:space="preserve"> </w:t>
      </w:r>
      <w:r>
        <w:t>emergency</w:t>
      </w:r>
      <w:r>
        <w:rPr>
          <w:spacing w:val="-3"/>
        </w:rPr>
        <w:t xml:space="preserve"> </w:t>
      </w:r>
      <w:r>
        <w:t>contact information before ending the session.</w:t>
      </w:r>
    </w:p>
    <w:p w14:paraId="581294D3" w14:textId="77777777" w:rsidR="00DB6E1F" w:rsidRDefault="00F666A6">
      <w:pPr>
        <w:pStyle w:val="ListParagraph"/>
        <w:numPr>
          <w:ilvl w:val="0"/>
          <w:numId w:val="92"/>
        </w:numPr>
        <w:tabs>
          <w:tab w:val="left" w:pos="1800"/>
          <w:tab w:val="left" w:pos="1801"/>
        </w:tabs>
        <w:spacing w:before="58"/>
        <w:ind w:left="1800" w:right="1640" w:hanging="360"/>
        <w:rPr>
          <w:rFonts w:ascii="Symbol" w:hAnsi="Symbol"/>
        </w:rPr>
      </w:pPr>
      <w:r>
        <w:t>Asking</w:t>
      </w:r>
      <w:r>
        <w:rPr>
          <w:spacing w:val="-2"/>
        </w:rPr>
        <w:t xml:space="preserve"> </w:t>
      </w:r>
      <w:r>
        <w:t>the</w:t>
      </w:r>
      <w:r>
        <w:rPr>
          <w:spacing w:val="-1"/>
        </w:rPr>
        <w:t xml:space="preserve"> </w:t>
      </w:r>
      <w:r>
        <w:t>client’s</w:t>
      </w:r>
      <w:r>
        <w:rPr>
          <w:spacing w:val="-2"/>
        </w:rPr>
        <w:t xml:space="preserve"> </w:t>
      </w:r>
      <w:r>
        <w:t>permission</w:t>
      </w:r>
      <w:r>
        <w:rPr>
          <w:spacing w:val="-3"/>
        </w:rPr>
        <w:t xml:space="preserve"> </w:t>
      </w:r>
      <w:r>
        <w:t>for</w:t>
      </w:r>
      <w:r>
        <w:rPr>
          <w:spacing w:val="-4"/>
        </w:rPr>
        <w:t xml:space="preserve"> </w:t>
      </w:r>
      <w:r>
        <w:t>you</w:t>
      </w:r>
      <w:r>
        <w:rPr>
          <w:spacing w:val="-5"/>
        </w:rPr>
        <w:t xml:space="preserve"> </w:t>
      </w:r>
      <w:r>
        <w:t>or</w:t>
      </w:r>
      <w:r>
        <w:rPr>
          <w:spacing w:val="-2"/>
        </w:rPr>
        <w:t xml:space="preserve"> </w:t>
      </w:r>
      <w:r>
        <w:t>someone</w:t>
      </w:r>
      <w:r>
        <w:rPr>
          <w:spacing w:val="-1"/>
        </w:rPr>
        <w:t xml:space="preserve"> </w:t>
      </w:r>
      <w:r>
        <w:t>at</w:t>
      </w:r>
      <w:r>
        <w:rPr>
          <w:spacing w:val="-4"/>
        </w:rPr>
        <w:t xml:space="preserve"> </w:t>
      </w:r>
      <w:r>
        <w:t>your</w:t>
      </w:r>
      <w:r>
        <w:rPr>
          <w:spacing w:val="-2"/>
        </w:rPr>
        <w:t xml:space="preserve"> </w:t>
      </w:r>
      <w:r>
        <w:t>program</w:t>
      </w:r>
      <w:r>
        <w:rPr>
          <w:spacing w:val="-3"/>
        </w:rPr>
        <w:t xml:space="preserve"> </w:t>
      </w:r>
      <w:r>
        <w:t>to</w:t>
      </w:r>
      <w:r>
        <w:rPr>
          <w:spacing w:val="-3"/>
        </w:rPr>
        <w:t xml:space="preserve"> </w:t>
      </w:r>
      <w:r>
        <w:t>contact</w:t>
      </w:r>
      <w:r>
        <w:rPr>
          <w:spacing w:val="-1"/>
        </w:rPr>
        <w:t xml:space="preserve"> </w:t>
      </w:r>
      <w:r>
        <w:t>him</w:t>
      </w:r>
      <w:r>
        <w:rPr>
          <w:spacing w:val="-3"/>
        </w:rPr>
        <w:t xml:space="preserve"> </w:t>
      </w:r>
      <w:r>
        <w:t>or</w:t>
      </w:r>
      <w:r>
        <w:rPr>
          <w:spacing w:val="-2"/>
        </w:rPr>
        <w:t xml:space="preserve"> </w:t>
      </w:r>
      <w:r>
        <w:t>her</w:t>
      </w:r>
      <w:r>
        <w:rPr>
          <w:spacing w:val="-5"/>
        </w:rPr>
        <w:t xml:space="preserve"> </w:t>
      </w:r>
      <w:r>
        <w:t>by</w:t>
      </w:r>
      <w:r>
        <w:rPr>
          <w:spacing w:val="-1"/>
        </w:rPr>
        <w:t xml:space="preserve"> </w:t>
      </w:r>
      <w:r>
        <w:t>phone in a month to check in briefly. If the client says yes, follow up. This is an opportunity to assess the situation and encourage the client to return to treatment if desired.</w:t>
      </w:r>
    </w:p>
    <w:p w14:paraId="5BE437B2" w14:textId="77777777" w:rsidR="00DB6E1F" w:rsidRDefault="00F666A6">
      <w:pPr>
        <w:pStyle w:val="Heading2"/>
        <w:spacing w:before="166" w:line="259" w:lineRule="auto"/>
        <w:ind w:right="1491"/>
      </w:pPr>
      <w:bookmarkStart w:id="141" w:name="Understand_Special_Motivational_Counseli"/>
      <w:bookmarkStart w:id="142" w:name="_bookmark28"/>
      <w:bookmarkEnd w:id="141"/>
      <w:bookmarkEnd w:id="142"/>
      <w:r>
        <w:t>Understand</w:t>
      </w:r>
      <w:r>
        <w:rPr>
          <w:spacing w:val="-10"/>
        </w:rPr>
        <w:t xml:space="preserve"> </w:t>
      </w:r>
      <w:r>
        <w:t>Special</w:t>
      </w:r>
      <w:r>
        <w:rPr>
          <w:spacing w:val="-10"/>
        </w:rPr>
        <w:t xml:space="preserve"> </w:t>
      </w:r>
      <w:r>
        <w:t>Motivational</w:t>
      </w:r>
      <w:r>
        <w:rPr>
          <w:spacing w:val="-9"/>
        </w:rPr>
        <w:t xml:space="preserve"> </w:t>
      </w:r>
      <w:r>
        <w:t>Counseling</w:t>
      </w:r>
      <w:r>
        <w:rPr>
          <w:spacing w:val="-9"/>
        </w:rPr>
        <w:t xml:space="preserve"> </w:t>
      </w:r>
      <w:r>
        <w:t>Considerations for Clients Mandat</w:t>
      </w:r>
      <w:r>
        <w:t>ed to Treatment</w:t>
      </w:r>
    </w:p>
    <w:p w14:paraId="5D3987B8" w14:textId="77777777" w:rsidR="00DB6E1F" w:rsidRDefault="00F666A6">
      <w:pPr>
        <w:pStyle w:val="BodyText"/>
        <w:spacing w:before="115"/>
        <w:ind w:left="1439" w:right="1491"/>
      </w:pPr>
      <w:r>
        <w:t>An increasing</w:t>
      </w:r>
      <w:r>
        <w:rPr>
          <w:spacing w:val="-1"/>
        </w:rPr>
        <w:t xml:space="preserve"> </w:t>
      </w:r>
      <w:r>
        <w:t>number</w:t>
      </w:r>
      <w:r>
        <w:rPr>
          <w:spacing w:val="-2"/>
        </w:rPr>
        <w:t xml:space="preserve"> </w:t>
      </w:r>
      <w:r>
        <w:t>of</w:t>
      </w:r>
      <w:r>
        <w:rPr>
          <w:spacing w:val="-3"/>
        </w:rPr>
        <w:t xml:space="preserve"> </w:t>
      </w:r>
      <w:r>
        <w:t>clients are</w:t>
      </w:r>
      <w:r>
        <w:rPr>
          <w:spacing w:val="-2"/>
        </w:rPr>
        <w:t xml:space="preserve"> </w:t>
      </w:r>
      <w:r>
        <w:t>mandated</w:t>
      </w:r>
      <w:r>
        <w:rPr>
          <w:spacing w:val="-1"/>
        </w:rPr>
        <w:t xml:space="preserve"> </w:t>
      </w:r>
      <w:r>
        <w:t>to</w:t>
      </w:r>
      <w:r>
        <w:rPr>
          <w:spacing w:val="-1"/>
        </w:rPr>
        <w:t xml:space="preserve"> </w:t>
      </w:r>
      <w:r>
        <w:t>treatment</w:t>
      </w:r>
      <w:r>
        <w:rPr>
          <w:spacing w:val="-2"/>
        </w:rPr>
        <w:t xml:space="preserve"> </w:t>
      </w:r>
      <w:r>
        <w:t>(i.e.,</w:t>
      </w:r>
      <w:r>
        <w:rPr>
          <w:spacing w:val="-2"/>
        </w:rPr>
        <w:t xml:space="preserve"> </w:t>
      </w:r>
      <w:r>
        <w:t>ordered</w:t>
      </w:r>
      <w:r>
        <w:rPr>
          <w:spacing w:val="-1"/>
        </w:rPr>
        <w:t xml:space="preserve"> </w:t>
      </w:r>
      <w:r>
        <w:t>to attend) by an</w:t>
      </w:r>
      <w:r>
        <w:rPr>
          <w:spacing w:val="-3"/>
        </w:rPr>
        <w:t xml:space="preserve"> </w:t>
      </w:r>
      <w:r>
        <w:t>employer, an employee assistance program, or the criminal justice system. In such cases, failure to enter and remain in</w:t>
      </w:r>
      <w:r>
        <w:rPr>
          <w:spacing w:val="-3"/>
        </w:rPr>
        <w:t xml:space="preserve"> </w:t>
      </w:r>
      <w:r>
        <w:t>treatment</w:t>
      </w:r>
      <w:r>
        <w:rPr>
          <w:spacing w:val="-4"/>
        </w:rPr>
        <w:t xml:space="preserve"> </w:t>
      </w:r>
      <w:r>
        <w:t>may</w:t>
      </w:r>
      <w:r>
        <w:rPr>
          <w:spacing w:val="-1"/>
        </w:rPr>
        <w:t xml:space="preserve"> </w:t>
      </w:r>
      <w:r>
        <w:t>result</w:t>
      </w:r>
      <w:r>
        <w:rPr>
          <w:spacing w:val="-2"/>
        </w:rPr>
        <w:t xml:space="preserve"> </w:t>
      </w:r>
      <w:r>
        <w:t>in</w:t>
      </w:r>
      <w:r>
        <w:rPr>
          <w:spacing w:val="-4"/>
        </w:rPr>
        <w:t xml:space="preserve"> </w:t>
      </w:r>
      <w:r>
        <w:t>punish</w:t>
      </w:r>
      <w:r>
        <w:t>ment</w:t>
      </w:r>
      <w:r>
        <w:rPr>
          <w:spacing w:val="-4"/>
        </w:rPr>
        <w:t xml:space="preserve"> </w:t>
      </w:r>
      <w:r>
        <w:t>or</w:t>
      </w:r>
      <w:r>
        <w:rPr>
          <w:spacing w:val="-2"/>
        </w:rPr>
        <w:t xml:space="preserve"> </w:t>
      </w:r>
      <w:r>
        <w:t>negative</w:t>
      </w:r>
      <w:r>
        <w:rPr>
          <w:spacing w:val="-4"/>
        </w:rPr>
        <w:t xml:space="preserve"> </w:t>
      </w:r>
      <w:r>
        <w:t>consequences</w:t>
      </w:r>
      <w:r>
        <w:rPr>
          <w:spacing w:val="-4"/>
        </w:rPr>
        <w:t xml:space="preserve"> </w:t>
      </w:r>
      <w:r>
        <w:t>(e.g.,</w:t>
      </w:r>
      <w:r>
        <w:rPr>
          <w:spacing w:val="-2"/>
        </w:rPr>
        <w:t xml:space="preserve"> </w:t>
      </w:r>
      <w:r>
        <w:t>job</w:t>
      </w:r>
      <w:r>
        <w:rPr>
          <w:spacing w:val="-3"/>
        </w:rPr>
        <w:t xml:space="preserve"> </w:t>
      </w:r>
      <w:r>
        <w:t>loss,</w:t>
      </w:r>
      <w:r>
        <w:rPr>
          <w:spacing w:val="-2"/>
        </w:rPr>
        <w:t xml:space="preserve"> </w:t>
      </w:r>
      <w:r>
        <w:t>revocation</w:t>
      </w:r>
      <w:r>
        <w:rPr>
          <w:spacing w:val="-5"/>
        </w:rPr>
        <w:t xml:space="preserve"> </w:t>
      </w:r>
      <w:r>
        <w:t>of</w:t>
      </w:r>
      <w:r>
        <w:rPr>
          <w:spacing w:val="-2"/>
        </w:rPr>
        <w:t xml:space="preserve"> </w:t>
      </w:r>
      <w:r>
        <w:t>probation or parole, prosecution, imprisonment), often for a specified time or until satisfactory completion.</w:t>
      </w:r>
    </w:p>
    <w:p w14:paraId="031898CE" w14:textId="77777777" w:rsidR="00DB6E1F" w:rsidRDefault="00F666A6">
      <w:pPr>
        <w:pStyle w:val="BodyText"/>
        <w:spacing w:before="159"/>
        <w:ind w:left="1439" w:right="1555"/>
      </w:pPr>
      <w:r>
        <w:rPr>
          <w:b/>
        </w:rPr>
        <w:t xml:space="preserve">Your challenge is to engage clients who are mandated to the treatment process. </w:t>
      </w:r>
      <w:r>
        <w:t>Although many of these clients are at the Precontemplation stage, t</w:t>
      </w:r>
      <w:r>
        <w:t>he temptation is to use Action stage interventions immediately that are not compatible with the client’s motivation level. This can be counterproductive. Clients</w:t>
      </w:r>
      <w:r>
        <w:rPr>
          <w:spacing w:val="-2"/>
        </w:rPr>
        <w:t xml:space="preserve"> </w:t>
      </w:r>
      <w:r>
        <w:t>arrive</w:t>
      </w:r>
      <w:r>
        <w:rPr>
          <w:spacing w:val="-4"/>
        </w:rPr>
        <w:t xml:space="preserve"> </w:t>
      </w:r>
      <w:r>
        <w:t>with</w:t>
      </w:r>
      <w:r>
        <w:rPr>
          <w:spacing w:val="-3"/>
        </w:rPr>
        <w:t xml:space="preserve"> </w:t>
      </w:r>
      <w:r>
        <w:t>strong</w:t>
      </w:r>
      <w:r>
        <w:rPr>
          <w:spacing w:val="-5"/>
        </w:rPr>
        <w:t xml:space="preserve"> </w:t>
      </w:r>
      <w:r>
        <w:t>emotions</w:t>
      </w:r>
      <w:r>
        <w:rPr>
          <w:spacing w:val="-3"/>
        </w:rPr>
        <w:t xml:space="preserve"> </w:t>
      </w:r>
      <w:r>
        <w:t>because</w:t>
      </w:r>
      <w:r>
        <w:rPr>
          <w:spacing w:val="-1"/>
        </w:rPr>
        <w:t xml:space="preserve"> </w:t>
      </w:r>
      <w:r>
        <w:t>of</w:t>
      </w:r>
      <w:r>
        <w:rPr>
          <w:spacing w:val="-5"/>
        </w:rPr>
        <w:t xml:space="preserve"> </w:t>
      </w:r>
      <w:r>
        <w:t>the</w:t>
      </w:r>
      <w:r>
        <w:rPr>
          <w:spacing w:val="-4"/>
        </w:rPr>
        <w:t xml:space="preserve"> </w:t>
      </w:r>
      <w:r>
        <w:t>referral</w:t>
      </w:r>
      <w:r>
        <w:rPr>
          <w:spacing w:val="-2"/>
        </w:rPr>
        <w:t xml:space="preserve"> </w:t>
      </w:r>
      <w:r>
        <w:t>process</w:t>
      </w:r>
      <w:r>
        <w:rPr>
          <w:spacing w:val="-4"/>
        </w:rPr>
        <w:t xml:space="preserve"> </w:t>
      </w:r>
      <w:r>
        <w:t>and</w:t>
      </w:r>
      <w:r>
        <w:rPr>
          <w:spacing w:val="-3"/>
        </w:rPr>
        <w:t xml:space="preserve"> </w:t>
      </w:r>
      <w:r>
        <w:t>the</w:t>
      </w:r>
      <w:r>
        <w:rPr>
          <w:spacing w:val="-4"/>
        </w:rPr>
        <w:t xml:space="preserve"> </w:t>
      </w:r>
      <w:r>
        <w:t>consequences</w:t>
      </w:r>
      <w:r>
        <w:rPr>
          <w:spacing w:val="-2"/>
        </w:rPr>
        <w:t xml:space="preserve"> </w:t>
      </w:r>
      <w:r>
        <w:t>they</w:t>
      </w:r>
      <w:r>
        <w:rPr>
          <w:spacing w:val="-3"/>
        </w:rPr>
        <w:t xml:space="preserve"> </w:t>
      </w:r>
      <w:r>
        <w:t>will</w:t>
      </w:r>
      <w:r>
        <w:rPr>
          <w:spacing w:val="-2"/>
        </w:rPr>
        <w:t xml:space="preserve"> </w:t>
      </w:r>
      <w:r>
        <w:t>fac</w:t>
      </w:r>
      <w:r>
        <w:t>e if they do not succeed in changing a pattern of use they may not believe is problematic.</w:t>
      </w:r>
    </w:p>
    <w:p w14:paraId="61AACD15" w14:textId="77777777" w:rsidR="00DB6E1F" w:rsidRDefault="00F666A6">
      <w:pPr>
        <w:spacing w:before="160"/>
        <w:ind w:left="1438" w:right="1444"/>
      </w:pPr>
      <w:r>
        <w:t>In</w:t>
      </w:r>
      <w:r>
        <w:rPr>
          <w:spacing w:val="-3"/>
        </w:rPr>
        <w:t xml:space="preserve"> </w:t>
      </w:r>
      <w:r>
        <w:t>addition,</w:t>
      </w:r>
      <w:r>
        <w:rPr>
          <w:spacing w:val="-2"/>
        </w:rPr>
        <w:t xml:space="preserve"> </w:t>
      </w:r>
      <w:r>
        <w:t>evidence</w:t>
      </w:r>
      <w:r>
        <w:rPr>
          <w:spacing w:val="-1"/>
        </w:rPr>
        <w:t xml:space="preserve"> </w:t>
      </w:r>
      <w:r>
        <w:t>shows</w:t>
      </w:r>
      <w:r>
        <w:rPr>
          <w:spacing w:val="-2"/>
        </w:rPr>
        <w:t xml:space="preserve"> </w:t>
      </w:r>
      <w:r>
        <w:t>that</w:t>
      </w:r>
      <w:r>
        <w:rPr>
          <w:spacing w:val="-1"/>
        </w:rPr>
        <w:t xml:space="preserve"> </w:t>
      </w:r>
      <w:r>
        <w:t>clients</w:t>
      </w:r>
      <w:r>
        <w:rPr>
          <w:spacing w:val="-4"/>
        </w:rPr>
        <w:t xml:space="preserve"> </w:t>
      </w:r>
      <w:r>
        <w:t>mandated</w:t>
      </w:r>
      <w:r>
        <w:rPr>
          <w:spacing w:val="-2"/>
        </w:rPr>
        <w:t xml:space="preserve"> </w:t>
      </w:r>
      <w:r>
        <w:t>to</w:t>
      </w:r>
      <w:r>
        <w:rPr>
          <w:spacing w:val="-3"/>
        </w:rPr>
        <w:t xml:space="preserve"> </w:t>
      </w:r>
      <w:r>
        <w:t>treatment</w:t>
      </w:r>
      <w:r>
        <w:rPr>
          <w:spacing w:val="-4"/>
        </w:rPr>
        <w:t xml:space="preserve"> </w:t>
      </w:r>
      <w:r>
        <w:t>tend</w:t>
      </w:r>
      <w:r>
        <w:rPr>
          <w:spacing w:val="-5"/>
        </w:rPr>
        <w:t xml:space="preserve"> </w:t>
      </w:r>
      <w:r>
        <w:t>to</w:t>
      </w:r>
      <w:r>
        <w:rPr>
          <w:spacing w:val="-3"/>
        </w:rPr>
        <w:t xml:space="preserve"> </w:t>
      </w:r>
      <w:r>
        <w:t>engage</w:t>
      </w:r>
      <w:r>
        <w:rPr>
          <w:spacing w:val="-1"/>
        </w:rPr>
        <w:t xml:space="preserve"> </w:t>
      </w:r>
      <w:r>
        <w:t>in</w:t>
      </w:r>
      <w:r>
        <w:rPr>
          <w:spacing w:val="-3"/>
        </w:rPr>
        <w:t xml:space="preserve"> </w:t>
      </w:r>
      <w:r>
        <w:t>a</w:t>
      </w:r>
      <w:r>
        <w:rPr>
          <w:spacing w:val="-2"/>
        </w:rPr>
        <w:t xml:space="preserve"> </w:t>
      </w:r>
      <w:r>
        <w:t>great</w:t>
      </w:r>
      <w:r>
        <w:rPr>
          <w:spacing w:val="-1"/>
        </w:rPr>
        <w:t xml:space="preserve"> </w:t>
      </w:r>
      <w:r>
        <w:t>deal</w:t>
      </w:r>
      <w:r>
        <w:rPr>
          <w:spacing w:val="-5"/>
        </w:rPr>
        <w:t xml:space="preserve"> </w:t>
      </w:r>
      <w:r>
        <w:t>of</w:t>
      </w:r>
      <w:r>
        <w:rPr>
          <w:spacing w:val="-2"/>
        </w:rPr>
        <w:t xml:space="preserve"> </w:t>
      </w:r>
      <w:r>
        <w:t>sustain talk, which is consistent with being in the Precontemplation</w:t>
      </w:r>
      <w:r>
        <w:t xml:space="preserve"> stage and predicts negative substance use treatment outcomes (Apodaca et al., 2014; Moyers, Houck, Glynn, Hallgren, &amp; Manuel, 2017). </w:t>
      </w:r>
      <w:r>
        <w:rPr>
          <w:b/>
        </w:rPr>
        <w:t>An important</w:t>
      </w:r>
      <w:r>
        <w:rPr>
          <w:b/>
          <w:spacing w:val="-1"/>
        </w:rPr>
        <w:t xml:space="preserve"> </w:t>
      </w:r>
      <w:r>
        <w:rPr>
          <w:b/>
        </w:rPr>
        <w:t>motivational strategy with these</w:t>
      </w:r>
      <w:r>
        <w:rPr>
          <w:b/>
          <w:spacing w:val="-2"/>
        </w:rPr>
        <w:t xml:space="preserve"> </w:t>
      </w:r>
      <w:r>
        <w:rPr>
          <w:b/>
        </w:rPr>
        <w:t>clients</w:t>
      </w:r>
      <w:r>
        <w:rPr>
          <w:b/>
          <w:spacing w:val="-1"/>
        </w:rPr>
        <w:t xml:space="preserve"> </w:t>
      </w:r>
      <w:r>
        <w:rPr>
          <w:b/>
        </w:rPr>
        <w:t>is</w:t>
      </w:r>
      <w:r>
        <w:rPr>
          <w:b/>
          <w:spacing w:val="-1"/>
        </w:rPr>
        <w:t xml:space="preserve"> </w:t>
      </w:r>
      <w:r>
        <w:rPr>
          <w:b/>
        </w:rPr>
        <w:t>to lessen or</w:t>
      </w:r>
      <w:r>
        <w:rPr>
          <w:b/>
          <w:spacing w:val="-1"/>
        </w:rPr>
        <w:t xml:space="preserve"> </w:t>
      </w:r>
      <w:r>
        <w:rPr>
          <w:b/>
        </w:rPr>
        <w:t>“soften”</w:t>
      </w:r>
      <w:r>
        <w:rPr>
          <w:b/>
          <w:spacing w:val="-1"/>
        </w:rPr>
        <w:t xml:space="preserve"> </w:t>
      </w:r>
      <w:r>
        <w:rPr>
          <w:b/>
        </w:rPr>
        <w:t>sustain talk before trying to evoke change talk</w:t>
      </w:r>
      <w:r>
        <w:rPr>
          <w:b/>
          <w:spacing w:val="-1"/>
        </w:rPr>
        <w:t xml:space="preserve"> </w:t>
      </w:r>
      <w:r>
        <w:t>(Moyers</w:t>
      </w:r>
      <w:r>
        <w:rPr>
          <w:spacing w:val="-1"/>
        </w:rPr>
        <w:t xml:space="preserve"> </w:t>
      </w:r>
      <w:r>
        <w:t>et al.,</w:t>
      </w:r>
      <w:r>
        <w:rPr>
          <w:spacing w:val="-1"/>
        </w:rPr>
        <w:t xml:space="preserve"> </w:t>
      </w:r>
      <w:r>
        <w:t>2017). (See Chapter</w:t>
      </w:r>
      <w:r>
        <w:rPr>
          <w:spacing w:val="-1"/>
        </w:rPr>
        <w:t xml:space="preserve"> </w:t>
      </w:r>
      <w:r>
        <w:t>3 for strategies</w:t>
      </w:r>
      <w:r>
        <w:rPr>
          <w:spacing w:val="-1"/>
        </w:rPr>
        <w:t xml:space="preserve"> </w:t>
      </w:r>
      <w:r>
        <w:t>for</w:t>
      </w:r>
      <w:r>
        <w:rPr>
          <w:spacing w:val="-1"/>
        </w:rPr>
        <w:t xml:space="preserve"> </w:t>
      </w:r>
      <w:r>
        <w:t>responding to sustain talk</w:t>
      </w:r>
      <w:r>
        <w:rPr>
          <w:spacing w:val="-3"/>
        </w:rPr>
        <w:t xml:space="preserve"> </w:t>
      </w:r>
      <w:r>
        <w:t>that you can apply to clients who are mandated to treatment.)</w:t>
      </w:r>
    </w:p>
    <w:p w14:paraId="708A8BF3" w14:textId="77777777" w:rsidR="00DB6E1F" w:rsidRDefault="00F666A6">
      <w:pPr>
        <w:pStyle w:val="BodyText"/>
        <w:spacing w:before="159"/>
        <w:ind w:left="1438" w:right="1453"/>
      </w:pPr>
      <w:r>
        <w:t>Despite these obstacles, clients mandated to treatment have si</w:t>
      </w:r>
      <w:r>
        <w:t>milar treatment outcomes as those who attend treatment voluntarily (Kiluk et al., 2015). If you use motivational counseling strategies appropriate</w:t>
      </w:r>
      <w:r>
        <w:rPr>
          <w:spacing w:val="-3"/>
        </w:rPr>
        <w:t xml:space="preserve"> </w:t>
      </w:r>
      <w:r>
        <w:t>to</w:t>
      </w:r>
      <w:r>
        <w:rPr>
          <w:spacing w:val="-2"/>
        </w:rPr>
        <w:t xml:space="preserve"> </w:t>
      </w:r>
      <w:r>
        <w:t>their</w:t>
      </w:r>
      <w:r>
        <w:rPr>
          <w:spacing w:val="-2"/>
        </w:rPr>
        <w:t xml:space="preserve"> </w:t>
      </w:r>
      <w:r>
        <w:t>stage in</w:t>
      </w:r>
      <w:r>
        <w:rPr>
          <w:spacing w:val="-2"/>
        </w:rPr>
        <w:t xml:space="preserve"> </w:t>
      </w:r>
      <w:r>
        <w:t>the</w:t>
      </w:r>
      <w:r>
        <w:rPr>
          <w:spacing w:val="-1"/>
        </w:rPr>
        <w:t xml:space="preserve"> </w:t>
      </w:r>
      <w:r>
        <w:t>SOC,</w:t>
      </w:r>
      <w:r>
        <w:rPr>
          <w:spacing w:val="-3"/>
        </w:rPr>
        <w:t xml:space="preserve"> </w:t>
      </w:r>
      <w:r>
        <w:t>they</w:t>
      </w:r>
      <w:r>
        <w:rPr>
          <w:spacing w:val="-3"/>
        </w:rPr>
        <w:t xml:space="preserve"> </w:t>
      </w:r>
      <w:r>
        <w:t>may</w:t>
      </w:r>
      <w:r>
        <w:rPr>
          <w:spacing w:val="-2"/>
        </w:rPr>
        <w:t xml:space="preserve"> </w:t>
      </w:r>
      <w:r>
        <w:t>become invested</w:t>
      </w:r>
      <w:r>
        <w:rPr>
          <w:spacing w:val="-2"/>
        </w:rPr>
        <w:t xml:space="preserve"> </w:t>
      </w:r>
      <w:r>
        <w:t>in</w:t>
      </w:r>
      <w:r>
        <w:rPr>
          <w:spacing w:val="-4"/>
        </w:rPr>
        <w:t xml:space="preserve"> </w:t>
      </w:r>
      <w:r>
        <w:t>the change</w:t>
      </w:r>
      <w:r>
        <w:rPr>
          <w:spacing w:val="-5"/>
        </w:rPr>
        <w:t xml:space="preserve"> </w:t>
      </w:r>
      <w:r>
        <w:t>process</w:t>
      </w:r>
      <w:r>
        <w:rPr>
          <w:spacing w:val="-3"/>
        </w:rPr>
        <w:t xml:space="preserve"> </w:t>
      </w:r>
      <w:r>
        <w:t>and</w:t>
      </w:r>
      <w:r>
        <w:rPr>
          <w:spacing w:val="-2"/>
        </w:rPr>
        <w:t xml:space="preserve"> </w:t>
      </w:r>
      <w:r>
        <w:t>benefit</w:t>
      </w:r>
      <w:r>
        <w:rPr>
          <w:spacing w:val="-3"/>
        </w:rPr>
        <w:t xml:space="preserve"> </w:t>
      </w:r>
      <w:r>
        <w:t>from the opportunity to</w:t>
      </w:r>
      <w:r>
        <w:t xml:space="preserve"> consider the consequences of use and the possibility of change.</w:t>
      </w:r>
    </w:p>
    <w:p w14:paraId="0E27DAA6" w14:textId="77777777" w:rsidR="00DB6E1F" w:rsidRDefault="00F666A6">
      <w:pPr>
        <w:spacing w:before="162"/>
        <w:ind w:left="1438" w:right="1444"/>
      </w:pPr>
      <w:r>
        <w:rPr>
          <w:b/>
        </w:rPr>
        <w:t>You</w:t>
      </w:r>
      <w:r>
        <w:rPr>
          <w:b/>
          <w:spacing w:val="-3"/>
        </w:rPr>
        <w:t xml:space="preserve"> </w:t>
      </w:r>
      <w:r>
        <w:rPr>
          <w:b/>
        </w:rPr>
        <w:t>may</w:t>
      </w:r>
      <w:r>
        <w:rPr>
          <w:b/>
          <w:spacing w:val="-1"/>
        </w:rPr>
        <w:t xml:space="preserve"> </w:t>
      </w:r>
      <w:r>
        <w:rPr>
          <w:b/>
        </w:rPr>
        <w:t>have</w:t>
      </w:r>
      <w:r>
        <w:rPr>
          <w:b/>
          <w:spacing w:val="-5"/>
        </w:rPr>
        <w:t xml:space="preserve"> </w:t>
      </w:r>
      <w:r>
        <w:rPr>
          <w:b/>
        </w:rPr>
        <w:t>to</w:t>
      </w:r>
      <w:r>
        <w:rPr>
          <w:b/>
          <w:spacing w:val="-3"/>
        </w:rPr>
        <w:t xml:space="preserve"> </w:t>
      </w:r>
      <w:r>
        <w:rPr>
          <w:b/>
        </w:rPr>
        <w:t>spend</w:t>
      </w:r>
      <w:r>
        <w:rPr>
          <w:b/>
          <w:spacing w:val="-3"/>
        </w:rPr>
        <w:t xml:space="preserve"> </w:t>
      </w:r>
      <w:r>
        <w:rPr>
          <w:b/>
        </w:rPr>
        <w:t>your</w:t>
      </w:r>
      <w:r>
        <w:rPr>
          <w:b/>
          <w:spacing w:val="-1"/>
        </w:rPr>
        <w:t xml:space="preserve"> </w:t>
      </w:r>
      <w:r>
        <w:rPr>
          <w:b/>
        </w:rPr>
        <w:t>first</w:t>
      </w:r>
      <w:r>
        <w:rPr>
          <w:b/>
          <w:spacing w:val="-4"/>
        </w:rPr>
        <w:t xml:space="preserve"> </w:t>
      </w:r>
      <w:r>
        <w:rPr>
          <w:b/>
        </w:rPr>
        <w:t>session</w:t>
      </w:r>
      <w:r>
        <w:rPr>
          <w:b/>
          <w:spacing w:val="-3"/>
        </w:rPr>
        <w:t xml:space="preserve"> </w:t>
      </w:r>
      <w:r>
        <w:rPr>
          <w:b/>
        </w:rPr>
        <w:t>“decontaminating”</w:t>
      </w:r>
      <w:r>
        <w:rPr>
          <w:b/>
          <w:spacing w:val="-2"/>
        </w:rPr>
        <w:t xml:space="preserve"> </w:t>
      </w:r>
      <w:r>
        <w:rPr>
          <w:b/>
        </w:rPr>
        <w:t>the</w:t>
      </w:r>
      <w:r>
        <w:rPr>
          <w:b/>
          <w:spacing w:val="-5"/>
        </w:rPr>
        <w:t xml:space="preserve"> </w:t>
      </w:r>
      <w:r>
        <w:rPr>
          <w:b/>
        </w:rPr>
        <w:t>referral</w:t>
      </w:r>
      <w:r>
        <w:rPr>
          <w:b/>
          <w:spacing w:val="-3"/>
        </w:rPr>
        <w:t xml:space="preserve"> </w:t>
      </w:r>
      <w:r>
        <w:rPr>
          <w:b/>
        </w:rPr>
        <w:t>process.</w:t>
      </w:r>
      <w:r>
        <w:rPr>
          <w:b/>
          <w:spacing w:val="-2"/>
        </w:rPr>
        <w:t xml:space="preserve"> </w:t>
      </w:r>
      <w:r>
        <w:t>Some</w:t>
      </w:r>
      <w:r>
        <w:rPr>
          <w:spacing w:val="-1"/>
        </w:rPr>
        <w:t xml:space="preserve"> </w:t>
      </w:r>
      <w:r>
        <w:t>counselors</w:t>
      </w:r>
      <w:r>
        <w:rPr>
          <w:spacing w:val="-4"/>
        </w:rPr>
        <w:t xml:space="preserve"> </w:t>
      </w:r>
      <w:r>
        <w:t>say explicitly, “I’m sorry you came through the door this way.” Important principles to keep in mind are to:</w:t>
      </w:r>
    </w:p>
    <w:p w14:paraId="29FBBF0A" w14:textId="77777777" w:rsidR="00DB6E1F" w:rsidRDefault="00F666A6">
      <w:pPr>
        <w:pStyle w:val="ListParagraph"/>
        <w:numPr>
          <w:ilvl w:val="0"/>
          <w:numId w:val="92"/>
        </w:numPr>
        <w:tabs>
          <w:tab w:val="left" w:pos="1798"/>
          <w:tab w:val="left" w:pos="1800"/>
        </w:tabs>
        <w:ind w:left="1799" w:hanging="362"/>
        <w:rPr>
          <w:rFonts w:ascii="Symbol" w:hAnsi="Symbol"/>
        </w:rPr>
      </w:pPr>
      <w:r>
        <w:t>Honor</w:t>
      </w:r>
      <w:r>
        <w:rPr>
          <w:spacing w:val="-5"/>
        </w:rPr>
        <w:t xml:space="preserve"> </w:t>
      </w:r>
      <w:r>
        <w:t>the</w:t>
      </w:r>
      <w:r>
        <w:rPr>
          <w:spacing w:val="-1"/>
        </w:rPr>
        <w:t xml:space="preserve"> </w:t>
      </w:r>
      <w:r>
        <w:t>client’s</w:t>
      </w:r>
      <w:r>
        <w:rPr>
          <w:spacing w:val="-3"/>
        </w:rPr>
        <w:t xml:space="preserve"> </w:t>
      </w:r>
      <w:r>
        <w:t>anger</w:t>
      </w:r>
      <w:r>
        <w:rPr>
          <w:spacing w:val="-2"/>
        </w:rPr>
        <w:t xml:space="preserve"> </w:t>
      </w:r>
      <w:r>
        <w:t>and</w:t>
      </w:r>
      <w:r>
        <w:rPr>
          <w:spacing w:val="-4"/>
        </w:rPr>
        <w:t xml:space="preserve"> </w:t>
      </w:r>
      <w:r>
        <w:t>sense</w:t>
      </w:r>
      <w:r>
        <w:rPr>
          <w:spacing w:val="-4"/>
        </w:rPr>
        <w:t xml:space="preserve"> </w:t>
      </w:r>
      <w:r>
        <w:t>of</w:t>
      </w:r>
      <w:r>
        <w:rPr>
          <w:spacing w:val="-2"/>
        </w:rPr>
        <w:t xml:space="preserve"> powerlessness.</w:t>
      </w:r>
    </w:p>
    <w:p w14:paraId="39DCA6F8" w14:textId="77777777" w:rsidR="00DB6E1F" w:rsidRDefault="00DB6E1F">
      <w:pPr>
        <w:rPr>
          <w:rFonts w:ascii="Symbol" w:hAnsi="Symbol"/>
        </w:rPr>
        <w:sectPr w:rsidR="00DB6E1F">
          <w:pgSz w:w="12240" w:h="15840"/>
          <w:pgMar w:top="1200" w:right="0" w:bottom="780" w:left="0" w:header="763" w:footer="585" w:gutter="0"/>
          <w:cols w:space="720"/>
        </w:sectPr>
      </w:pPr>
    </w:p>
    <w:p w14:paraId="60FE44BE" w14:textId="77777777" w:rsidR="00DB6E1F" w:rsidRDefault="00DB6E1F">
      <w:pPr>
        <w:pStyle w:val="BodyText"/>
        <w:rPr>
          <w:sz w:val="11"/>
        </w:rPr>
      </w:pPr>
    </w:p>
    <w:p w14:paraId="15A02643" w14:textId="77777777" w:rsidR="00DB6E1F" w:rsidRDefault="00F666A6">
      <w:pPr>
        <w:pStyle w:val="ListParagraph"/>
        <w:numPr>
          <w:ilvl w:val="0"/>
          <w:numId w:val="92"/>
        </w:numPr>
        <w:tabs>
          <w:tab w:val="left" w:pos="1800"/>
          <w:tab w:val="left" w:pos="1801"/>
        </w:tabs>
        <w:spacing w:before="101"/>
        <w:ind w:left="1800"/>
        <w:rPr>
          <w:rFonts w:ascii="Symbol" w:hAnsi="Symbol"/>
        </w:rPr>
      </w:pPr>
      <w:r>
        <w:t>Avoid</w:t>
      </w:r>
      <w:r>
        <w:rPr>
          <w:spacing w:val="-5"/>
        </w:rPr>
        <w:t xml:space="preserve"> </w:t>
      </w:r>
      <w:r>
        <w:t>assumptions</w:t>
      </w:r>
      <w:r>
        <w:rPr>
          <w:spacing w:val="-4"/>
        </w:rPr>
        <w:t xml:space="preserve"> </w:t>
      </w:r>
      <w:r>
        <w:t>about</w:t>
      </w:r>
      <w:r>
        <w:rPr>
          <w:spacing w:val="-6"/>
        </w:rPr>
        <w:t xml:space="preserve"> </w:t>
      </w:r>
      <w:r>
        <w:t>the</w:t>
      </w:r>
      <w:r>
        <w:rPr>
          <w:spacing w:val="-3"/>
        </w:rPr>
        <w:t xml:space="preserve"> </w:t>
      </w:r>
      <w:r>
        <w:t>type</w:t>
      </w:r>
      <w:r>
        <w:rPr>
          <w:spacing w:val="-3"/>
        </w:rPr>
        <w:t xml:space="preserve"> </w:t>
      </w:r>
      <w:r>
        <w:t>of</w:t>
      </w:r>
      <w:r>
        <w:rPr>
          <w:spacing w:val="-6"/>
        </w:rPr>
        <w:t xml:space="preserve"> </w:t>
      </w:r>
      <w:r>
        <w:t>treatment</w:t>
      </w:r>
      <w:r>
        <w:rPr>
          <w:spacing w:val="-3"/>
        </w:rPr>
        <w:t xml:space="preserve"> </w:t>
      </w:r>
      <w:r>
        <w:rPr>
          <w:spacing w:val="-2"/>
        </w:rPr>
        <w:t>needed.</w:t>
      </w:r>
    </w:p>
    <w:p w14:paraId="3BE887C5" w14:textId="77777777" w:rsidR="00DB6E1F" w:rsidRDefault="00F666A6">
      <w:pPr>
        <w:pStyle w:val="ListParagraph"/>
        <w:numPr>
          <w:ilvl w:val="0"/>
          <w:numId w:val="92"/>
        </w:numPr>
        <w:tabs>
          <w:tab w:val="left" w:pos="1800"/>
          <w:tab w:val="left" w:pos="1801"/>
        </w:tabs>
        <w:ind w:left="1800" w:right="1892"/>
        <w:rPr>
          <w:rFonts w:ascii="Symbol" w:hAnsi="Symbol"/>
        </w:rPr>
      </w:pPr>
      <w:r>
        <w:t>Make</w:t>
      </w:r>
      <w:r>
        <w:rPr>
          <w:spacing w:val="-4"/>
        </w:rPr>
        <w:t xml:space="preserve"> </w:t>
      </w:r>
      <w:r>
        <w:t>it</w:t>
      </w:r>
      <w:r>
        <w:rPr>
          <w:spacing w:val="-1"/>
        </w:rPr>
        <w:t xml:space="preserve"> </w:t>
      </w:r>
      <w:r>
        <w:t>clear</w:t>
      </w:r>
      <w:r>
        <w:rPr>
          <w:spacing w:val="-5"/>
        </w:rPr>
        <w:t xml:space="preserve"> </w:t>
      </w:r>
      <w:r>
        <w:t>that</w:t>
      </w:r>
      <w:r>
        <w:rPr>
          <w:spacing w:val="-4"/>
        </w:rPr>
        <w:t xml:space="preserve"> </w:t>
      </w:r>
      <w:r>
        <w:t>you</w:t>
      </w:r>
      <w:r>
        <w:rPr>
          <w:spacing w:val="-5"/>
        </w:rPr>
        <w:t xml:space="preserve"> </w:t>
      </w:r>
      <w:r>
        <w:t>will</w:t>
      </w:r>
      <w:r>
        <w:rPr>
          <w:spacing w:val="-5"/>
        </w:rPr>
        <w:t xml:space="preserve"> </w:t>
      </w:r>
      <w:r>
        <w:t>help</w:t>
      </w:r>
      <w:r>
        <w:rPr>
          <w:spacing w:val="-3"/>
        </w:rPr>
        <w:t xml:space="preserve"> </w:t>
      </w:r>
      <w:r>
        <w:t>the</w:t>
      </w:r>
      <w:r>
        <w:rPr>
          <w:spacing w:val="-1"/>
        </w:rPr>
        <w:t xml:space="preserve"> </w:t>
      </w:r>
      <w:r>
        <w:t>client explore</w:t>
      </w:r>
      <w:r>
        <w:rPr>
          <w:spacing w:val="-2"/>
        </w:rPr>
        <w:t xml:space="preserve"> </w:t>
      </w:r>
      <w:r>
        <w:t>what</w:t>
      </w:r>
      <w:r>
        <w:rPr>
          <w:spacing w:val="-1"/>
        </w:rPr>
        <w:t xml:space="preserve"> </w:t>
      </w:r>
      <w:r>
        <w:t>he</w:t>
      </w:r>
      <w:r>
        <w:rPr>
          <w:spacing w:val="-4"/>
        </w:rPr>
        <w:t xml:space="preserve"> </w:t>
      </w:r>
      <w:r>
        <w:t>or</w:t>
      </w:r>
      <w:r>
        <w:rPr>
          <w:spacing w:val="-2"/>
        </w:rPr>
        <w:t xml:space="preserve"> </w:t>
      </w:r>
      <w:r>
        <w:t>she</w:t>
      </w:r>
      <w:r>
        <w:rPr>
          <w:spacing w:val="-4"/>
        </w:rPr>
        <w:t xml:space="preserve"> </w:t>
      </w:r>
      <w:r>
        <w:t>perceives</w:t>
      </w:r>
      <w:r>
        <w:rPr>
          <w:spacing w:val="-2"/>
        </w:rPr>
        <w:t xml:space="preserve"> </w:t>
      </w:r>
      <w:r>
        <w:t>is</w:t>
      </w:r>
      <w:r>
        <w:rPr>
          <w:spacing w:val="-2"/>
        </w:rPr>
        <w:t xml:space="preserve"> </w:t>
      </w:r>
      <w:r>
        <w:t>needed</w:t>
      </w:r>
      <w:r>
        <w:rPr>
          <w:spacing w:val="-3"/>
        </w:rPr>
        <w:t xml:space="preserve"> </w:t>
      </w:r>
      <w:r>
        <w:t>and</w:t>
      </w:r>
      <w:r>
        <w:rPr>
          <w:spacing w:val="-3"/>
        </w:rPr>
        <w:t xml:space="preserve"> </w:t>
      </w:r>
      <w:r>
        <w:t>useful from your time together.</w:t>
      </w:r>
    </w:p>
    <w:p w14:paraId="62AD6994" w14:textId="77777777" w:rsidR="00DB6E1F" w:rsidRDefault="00F666A6">
      <w:pPr>
        <w:pStyle w:val="Heading5"/>
        <w:ind w:right="1491"/>
        <w:rPr>
          <w:b w:val="0"/>
        </w:rPr>
      </w:pPr>
      <w:r>
        <w:t>When</w:t>
      </w:r>
      <w:r>
        <w:rPr>
          <w:spacing w:val="-3"/>
        </w:rPr>
        <w:t xml:space="preserve"> </w:t>
      </w:r>
      <w:r>
        <w:t>working</w:t>
      </w:r>
      <w:r>
        <w:rPr>
          <w:spacing w:val="-3"/>
        </w:rPr>
        <w:t xml:space="preserve"> </w:t>
      </w:r>
      <w:r>
        <w:t>with</w:t>
      </w:r>
      <w:r>
        <w:rPr>
          <w:spacing w:val="-5"/>
        </w:rPr>
        <w:t xml:space="preserve"> </w:t>
      </w:r>
      <w:r>
        <w:t>clients</w:t>
      </w:r>
      <w:r>
        <w:rPr>
          <w:spacing w:val="-4"/>
        </w:rPr>
        <w:t xml:space="preserve"> </w:t>
      </w:r>
      <w:r>
        <w:t>who</w:t>
      </w:r>
      <w:r>
        <w:rPr>
          <w:spacing w:val="-3"/>
        </w:rPr>
        <w:t xml:space="preserve"> </w:t>
      </w:r>
      <w:r>
        <w:t>are</w:t>
      </w:r>
      <w:r>
        <w:rPr>
          <w:spacing w:val="-3"/>
        </w:rPr>
        <w:t xml:space="preserve"> </w:t>
      </w:r>
      <w:r>
        <w:t>mandated</w:t>
      </w:r>
      <w:r>
        <w:rPr>
          <w:spacing w:val="-3"/>
        </w:rPr>
        <w:t xml:space="preserve"> </w:t>
      </w:r>
      <w:r>
        <w:t>to</w:t>
      </w:r>
      <w:r>
        <w:rPr>
          <w:spacing w:val="-3"/>
        </w:rPr>
        <w:t xml:space="preserve"> </w:t>
      </w:r>
      <w:r>
        <w:t>treatment,</w:t>
      </w:r>
      <w:r>
        <w:rPr>
          <w:spacing w:val="-4"/>
        </w:rPr>
        <w:t xml:space="preserve"> </w:t>
      </w:r>
      <w:r>
        <w:t>you</w:t>
      </w:r>
      <w:r>
        <w:rPr>
          <w:spacing w:val="-3"/>
        </w:rPr>
        <w:t xml:space="preserve"> </w:t>
      </w:r>
      <w:r>
        <w:t>are</w:t>
      </w:r>
      <w:r>
        <w:rPr>
          <w:spacing w:val="-3"/>
        </w:rPr>
        <w:t xml:space="preserve"> </w:t>
      </w:r>
      <w:r>
        <w:t>required</w:t>
      </w:r>
      <w:r>
        <w:rPr>
          <w:spacing w:val="-3"/>
        </w:rPr>
        <w:t xml:space="preserve"> </w:t>
      </w:r>
      <w:r>
        <w:t>to</w:t>
      </w:r>
      <w:r>
        <w:rPr>
          <w:spacing w:val="-3"/>
        </w:rPr>
        <w:t xml:space="preserve"> </w:t>
      </w:r>
      <w:r>
        <w:t>establish</w:t>
      </w:r>
      <w:r>
        <w:rPr>
          <w:spacing w:val="-3"/>
        </w:rPr>
        <w:t xml:space="preserve"> </w:t>
      </w:r>
      <w:r>
        <w:t xml:space="preserve">what information will be shared with the referring agency. </w:t>
      </w:r>
      <w:r>
        <w:rPr>
          <w:b w:val="0"/>
        </w:rPr>
        <w:t>In addition, you should:</w:t>
      </w:r>
    </w:p>
    <w:p w14:paraId="31B84AE0" w14:textId="77777777" w:rsidR="00DB6E1F" w:rsidRDefault="00F666A6">
      <w:pPr>
        <w:pStyle w:val="ListParagraph"/>
        <w:numPr>
          <w:ilvl w:val="0"/>
          <w:numId w:val="92"/>
        </w:numPr>
        <w:tabs>
          <w:tab w:val="left" w:pos="1800"/>
          <w:tab w:val="left" w:pos="1801"/>
        </w:tabs>
        <w:spacing w:before="61"/>
        <w:ind w:left="1800" w:right="1987"/>
        <w:rPr>
          <w:rFonts w:ascii="Symbol" w:hAnsi="Symbol"/>
        </w:rPr>
      </w:pPr>
      <w:r>
        <w:t>Formalize</w:t>
      </w:r>
      <w:r>
        <w:rPr>
          <w:spacing w:val="-1"/>
        </w:rPr>
        <w:t xml:space="preserve"> </w:t>
      </w:r>
      <w:r>
        <w:t>the</w:t>
      </w:r>
      <w:r>
        <w:rPr>
          <w:spacing w:val="-4"/>
        </w:rPr>
        <w:t xml:space="preserve"> </w:t>
      </w:r>
      <w:r>
        <w:t>release</w:t>
      </w:r>
      <w:r>
        <w:rPr>
          <w:spacing w:val="-4"/>
        </w:rPr>
        <w:t xml:space="preserve"> </w:t>
      </w:r>
      <w:r>
        <w:t>of</w:t>
      </w:r>
      <w:r>
        <w:rPr>
          <w:spacing w:val="-2"/>
        </w:rPr>
        <w:t xml:space="preserve"> </w:t>
      </w:r>
      <w:r>
        <w:t>information</w:t>
      </w:r>
      <w:r>
        <w:rPr>
          <w:spacing w:val="-5"/>
        </w:rPr>
        <w:t xml:space="preserve"> </w:t>
      </w:r>
      <w:r>
        <w:t>with</w:t>
      </w:r>
      <w:r>
        <w:rPr>
          <w:spacing w:val="-5"/>
        </w:rPr>
        <w:t xml:space="preserve"> </w:t>
      </w:r>
      <w:r>
        <w:t>clients</w:t>
      </w:r>
      <w:r>
        <w:rPr>
          <w:spacing w:val="-4"/>
        </w:rPr>
        <w:t xml:space="preserve"> </w:t>
      </w:r>
      <w:r>
        <w:t>and</w:t>
      </w:r>
      <w:r>
        <w:rPr>
          <w:spacing w:val="-3"/>
        </w:rPr>
        <w:t xml:space="preserve"> </w:t>
      </w:r>
      <w:r>
        <w:t>the</w:t>
      </w:r>
      <w:r>
        <w:rPr>
          <w:spacing w:val="-1"/>
        </w:rPr>
        <w:t xml:space="preserve"> </w:t>
      </w:r>
      <w:r>
        <w:t>agency</w:t>
      </w:r>
      <w:r>
        <w:rPr>
          <w:spacing w:val="-3"/>
        </w:rPr>
        <w:t xml:space="preserve"> </w:t>
      </w:r>
      <w:r>
        <w:t>through</w:t>
      </w:r>
      <w:r>
        <w:rPr>
          <w:spacing w:val="-3"/>
        </w:rPr>
        <w:t xml:space="preserve"> </w:t>
      </w:r>
      <w:r>
        <w:t>a</w:t>
      </w:r>
      <w:r>
        <w:rPr>
          <w:spacing w:val="-4"/>
        </w:rPr>
        <w:t xml:space="preserve"> </w:t>
      </w:r>
      <w:r>
        <w:t>written</w:t>
      </w:r>
      <w:r>
        <w:rPr>
          <w:spacing w:val="-3"/>
        </w:rPr>
        <w:t xml:space="preserve"> </w:t>
      </w:r>
      <w:r>
        <w:t>consent</w:t>
      </w:r>
      <w:r>
        <w:rPr>
          <w:spacing w:val="-4"/>
        </w:rPr>
        <w:t xml:space="preserve"> </w:t>
      </w:r>
      <w:r>
        <w:t>for release of information that adheres to federal confidentiality regulations.</w:t>
      </w:r>
    </w:p>
    <w:p w14:paraId="061D53BD" w14:textId="77777777" w:rsidR="00DB6E1F" w:rsidRDefault="00F666A6">
      <w:pPr>
        <w:pStyle w:val="ListParagraph"/>
        <w:numPr>
          <w:ilvl w:val="0"/>
          <w:numId w:val="92"/>
        </w:numPr>
        <w:tabs>
          <w:tab w:val="left" w:pos="1800"/>
          <w:tab w:val="left" w:pos="1801"/>
        </w:tabs>
        <w:spacing w:before="58"/>
        <w:ind w:left="1800" w:right="1558"/>
        <w:rPr>
          <w:rFonts w:ascii="Symbol" w:hAnsi="Symbol"/>
        </w:rPr>
      </w:pPr>
      <w:r>
        <w:t>I</w:t>
      </w:r>
      <w:r>
        <w:t>nform</w:t>
      </w:r>
      <w:r>
        <w:rPr>
          <w:spacing w:val="-3"/>
        </w:rPr>
        <w:t xml:space="preserve"> </w:t>
      </w:r>
      <w:r>
        <w:t>clients</w:t>
      </w:r>
      <w:r>
        <w:rPr>
          <w:spacing w:val="-4"/>
        </w:rPr>
        <w:t xml:space="preserve"> </w:t>
      </w:r>
      <w:r>
        <w:t>about</w:t>
      </w:r>
      <w:r>
        <w:rPr>
          <w:spacing w:val="-4"/>
        </w:rPr>
        <w:t xml:space="preserve"> </w:t>
      </w:r>
      <w:r>
        <w:t>what</w:t>
      </w:r>
      <w:r>
        <w:rPr>
          <w:spacing w:val="-4"/>
        </w:rPr>
        <w:t xml:space="preserve"> </w:t>
      </w:r>
      <w:r>
        <w:t>information</w:t>
      </w:r>
      <w:r>
        <w:rPr>
          <w:spacing w:val="-5"/>
        </w:rPr>
        <w:t xml:space="preserve"> </w:t>
      </w:r>
      <w:r>
        <w:t>(e.g.,</w:t>
      </w:r>
      <w:r>
        <w:rPr>
          <w:spacing w:val="-2"/>
        </w:rPr>
        <w:t xml:space="preserve"> </w:t>
      </w:r>
      <w:r>
        <w:t>attendance,</w:t>
      </w:r>
      <w:r>
        <w:rPr>
          <w:spacing w:val="-2"/>
        </w:rPr>
        <w:t xml:space="preserve"> </w:t>
      </w:r>
      <w:r>
        <w:t>urine</w:t>
      </w:r>
      <w:r>
        <w:rPr>
          <w:spacing w:val="-4"/>
        </w:rPr>
        <w:t xml:space="preserve"> </w:t>
      </w:r>
      <w:r>
        <w:t>test</w:t>
      </w:r>
      <w:r>
        <w:rPr>
          <w:spacing w:val="-4"/>
        </w:rPr>
        <w:t xml:space="preserve"> </w:t>
      </w:r>
      <w:r>
        <w:t>results,</w:t>
      </w:r>
      <w:r>
        <w:rPr>
          <w:spacing w:val="-2"/>
        </w:rPr>
        <w:t xml:space="preserve"> </w:t>
      </w:r>
      <w:r>
        <w:t>treatment</w:t>
      </w:r>
      <w:r>
        <w:rPr>
          <w:spacing w:val="-4"/>
        </w:rPr>
        <w:t xml:space="preserve"> </w:t>
      </w:r>
      <w:r>
        <w:t>participation) will be released, and get their consent to share this information.</w:t>
      </w:r>
    </w:p>
    <w:p w14:paraId="2E221D67" w14:textId="77777777" w:rsidR="00DB6E1F" w:rsidRDefault="00F666A6">
      <w:pPr>
        <w:pStyle w:val="ListParagraph"/>
        <w:numPr>
          <w:ilvl w:val="0"/>
          <w:numId w:val="92"/>
        </w:numPr>
        <w:tabs>
          <w:tab w:val="left" w:pos="1800"/>
          <w:tab w:val="left" w:pos="1801"/>
        </w:tabs>
        <w:spacing w:before="61"/>
        <w:ind w:left="1800" w:right="1506" w:hanging="360"/>
        <w:rPr>
          <w:rFonts w:ascii="Symbol" w:hAnsi="Symbol"/>
        </w:rPr>
      </w:pPr>
      <w:r>
        <w:t>Be</w:t>
      </w:r>
      <w:r>
        <w:rPr>
          <w:spacing w:val="-1"/>
        </w:rPr>
        <w:t xml:space="preserve"> </w:t>
      </w:r>
      <w:r>
        <w:t>sure</w:t>
      </w:r>
      <w:r>
        <w:rPr>
          <w:spacing w:val="-4"/>
        </w:rPr>
        <w:t xml:space="preserve"> </w:t>
      </w:r>
      <w:r>
        <w:t>clients</w:t>
      </w:r>
      <w:r>
        <w:rPr>
          <w:spacing w:val="-4"/>
        </w:rPr>
        <w:t xml:space="preserve"> </w:t>
      </w:r>
      <w:r>
        <w:t>understand</w:t>
      </w:r>
      <w:r>
        <w:rPr>
          <w:spacing w:val="-5"/>
        </w:rPr>
        <w:t xml:space="preserve"> </w:t>
      </w:r>
      <w:r>
        <w:t>which</w:t>
      </w:r>
      <w:r>
        <w:rPr>
          <w:spacing w:val="-3"/>
        </w:rPr>
        <w:t xml:space="preserve"> </w:t>
      </w:r>
      <w:r>
        <w:t>choices</w:t>
      </w:r>
      <w:r>
        <w:rPr>
          <w:spacing w:val="-4"/>
        </w:rPr>
        <w:t xml:space="preserve"> </w:t>
      </w:r>
      <w:r>
        <w:t>they</w:t>
      </w:r>
      <w:r>
        <w:rPr>
          <w:spacing w:val="-3"/>
        </w:rPr>
        <w:t xml:space="preserve"> </w:t>
      </w:r>
      <w:r>
        <w:t>have</w:t>
      </w:r>
      <w:r>
        <w:rPr>
          <w:spacing w:val="-1"/>
        </w:rPr>
        <w:t xml:space="preserve"> </w:t>
      </w:r>
      <w:r>
        <w:t>about</w:t>
      </w:r>
      <w:r>
        <w:rPr>
          <w:spacing w:val="-1"/>
        </w:rPr>
        <w:t xml:space="preserve"> </w:t>
      </w:r>
      <w:r>
        <w:t>the</w:t>
      </w:r>
      <w:r>
        <w:rPr>
          <w:spacing w:val="-1"/>
        </w:rPr>
        <w:t xml:space="preserve"> </w:t>
      </w:r>
      <w:r>
        <w:t>information</w:t>
      </w:r>
      <w:r>
        <w:rPr>
          <w:spacing w:val="-5"/>
        </w:rPr>
        <w:t xml:space="preserve"> </w:t>
      </w:r>
      <w:r>
        <w:t>to</w:t>
      </w:r>
      <w:r>
        <w:rPr>
          <w:spacing w:val="-1"/>
        </w:rPr>
        <w:t xml:space="preserve"> </w:t>
      </w:r>
      <w:r>
        <w:t>be</w:t>
      </w:r>
      <w:r>
        <w:rPr>
          <w:spacing w:val="-1"/>
        </w:rPr>
        <w:t xml:space="preserve"> </w:t>
      </w:r>
      <w:r>
        <w:t>released</w:t>
      </w:r>
      <w:r>
        <w:rPr>
          <w:spacing w:val="-5"/>
        </w:rPr>
        <w:t xml:space="preserve"> </w:t>
      </w:r>
      <w:r>
        <w:t>and</w:t>
      </w:r>
      <w:r>
        <w:rPr>
          <w:spacing w:val="-3"/>
        </w:rPr>
        <w:t xml:space="preserve"> </w:t>
      </w:r>
      <w:r>
        <w:t>which choices are not yours or theirs to make (e.g., information related to child abuse or neglect).</w:t>
      </w:r>
    </w:p>
    <w:p w14:paraId="6DCEC48B" w14:textId="77777777" w:rsidR="00DB6E1F" w:rsidRDefault="00F666A6">
      <w:pPr>
        <w:pStyle w:val="ListParagraph"/>
        <w:numPr>
          <w:ilvl w:val="0"/>
          <w:numId w:val="92"/>
        </w:numPr>
        <w:tabs>
          <w:tab w:val="left" w:pos="1800"/>
          <w:tab w:val="left" w:pos="1801"/>
        </w:tabs>
        <w:ind w:left="1800"/>
        <w:rPr>
          <w:rFonts w:ascii="Symbol" w:hAnsi="Symbol"/>
        </w:rPr>
      </w:pPr>
      <w:r>
        <w:t>Take</w:t>
      </w:r>
      <w:r>
        <w:rPr>
          <w:spacing w:val="-4"/>
        </w:rPr>
        <w:t xml:space="preserve"> </w:t>
      </w:r>
      <w:r>
        <w:t>into</w:t>
      </w:r>
      <w:r>
        <w:rPr>
          <w:spacing w:val="-4"/>
        </w:rPr>
        <w:t xml:space="preserve"> </w:t>
      </w:r>
      <w:r>
        <w:t>account</w:t>
      </w:r>
      <w:r>
        <w:rPr>
          <w:spacing w:val="-2"/>
        </w:rPr>
        <w:t xml:space="preserve"> </w:t>
      </w:r>
      <w:r>
        <w:t>the</w:t>
      </w:r>
      <w:r>
        <w:rPr>
          <w:spacing w:val="-5"/>
        </w:rPr>
        <w:t xml:space="preserve"> </w:t>
      </w:r>
      <w:r>
        <w:t>role</w:t>
      </w:r>
      <w:r>
        <w:rPr>
          <w:spacing w:val="-5"/>
        </w:rPr>
        <w:t xml:space="preserve"> </w:t>
      </w:r>
      <w:r>
        <w:t>of</w:t>
      </w:r>
      <w:r>
        <w:rPr>
          <w:spacing w:val="-3"/>
        </w:rPr>
        <w:t xml:space="preserve"> </w:t>
      </w:r>
      <w:r>
        <w:t>the</w:t>
      </w:r>
      <w:r>
        <w:rPr>
          <w:spacing w:val="-4"/>
        </w:rPr>
        <w:t xml:space="preserve"> </w:t>
      </w:r>
      <w:r>
        <w:t>clients’</w:t>
      </w:r>
      <w:r>
        <w:rPr>
          <w:spacing w:val="-3"/>
        </w:rPr>
        <w:t xml:space="preserve"> </w:t>
      </w:r>
      <w:r>
        <w:t>attorneys</w:t>
      </w:r>
      <w:r>
        <w:rPr>
          <w:spacing w:val="-5"/>
        </w:rPr>
        <w:t xml:space="preserve"> </w:t>
      </w:r>
      <w:r>
        <w:t>(if</w:t>
      </w:r>
      <w:r>
        <w:rPr>
          <w:spacing w:val="-5"/>
        </w:rPr>
        <w:t xml:space="preserve"> </w:t>
      </w:r>
      <w:r>
        <w:t>any)</w:t>
      </w:r>
      <w:r>
        <w:rPr>
          <w:spacing w:val="-3"/>
        </w:rPr>
        <w:t xml:space="preserve"> </w:t>
      </w:r>
      <w:r>
        <w:t>in</w:t>
      </w:r>
      <w:r>
        <w:rPr>
          <w:spacing w:val="-4"/>
        </w:rPr>
        <w:t xml:space="preserve"> </w:t>
      </w:r>
      <w:r>
        <w:t>releasing</w:t>
      </w:r>
      <w:r>
        <w:rPr>
          <w:spacing w:val="-3"/>
        </w:rPr>
        <w:t xml:space="preserve"> </w:t>
      </w:r>
      <w:r>
        <w:rPr>
          <w:spacing w:val="-2"/>
        </w:rPr>
        <w:t>information.</w:t>
      </w:r>
    </w:p>
    <w:p w14:paraId="3056F751" w14:textId="77777777" w:rsidR="00DB6E1F" w:rsidRDefault="00F666A6">
      <w:pPr>
        <w:pStyle w:val="ListParagraph"/>
        <w:numPr>
          <w:ilvl w:val="0"/>
          <w:numId w:val="92"/>
        </w:numPr>
        <w:tabs>
          <w:tab w:val="left" w:pos="1800"/>
          <w:tab w:val="left" w:pos="1801"/>
        </w:tabs>
        <w:spacing w:before="61"/>
        <w:ind w:left="1800"/>
        <w:rPr>
          <w:rFonts w:ascii="Symbol" w:hAnsi="Symbol"/>
        </w:rPr>
      </w:pPr>
      <w:r>
        <w:t>Clearly</w:t>
      </w:r>
      <w:r>
        <w:rPr>
          <w:spacing w:val="-4"/>
        </w:rPr>
        <w:t xml:space="preserve"> </w:t>
      </w:r>
      <w:r>
        <w:t>delineate</w:t>
      </w:r>
      <w:r>
        <w:rPr>
          <w:spacing w:val="-7"/>
        </w:rPr>
        <w:t xml:space="preserve"> </w:t>
      </w:r>
      <w:r>
        <w:t>different</w:t>
      </w:r>
      <w:r>
        <w:rPr>
          <w:spacing w:val="-4"/>
        </w:rPr>
        <w:t xml:space="preserve"> </w:t>
      </w:r>
      <w:r>
        <w:t>levels</w:t>
      </w:r>
      <w:r>
        <w:rPr>
          <w:spacing w:val="-7"/>
        </w:rPr>
        <w:t xml:space="preserve"> </w:t>
      </w:r>
      <w:r>
        <w:t>of</w:t>
      </w:r>
      <w:r>
        <w:rPr>
          <w:spacing w:val="-7"/>
        </w:rPr>
        <w:t xml:space="preserve"> </w:t>
      </w:r>
      <w:r>
        <w:rPr>
          <w:spacing w:val="-2"/>
        </w:rPr>
        <w:t>permission.</w:t>
      </w:r>
    </w:p>
    <w:p w14:paraId="135AAAC8" w14:textId="77777777" w:rsidR="00DB6E1F" w:rsidRDefault="00F666A6">
      <w:pPr>
        <w:pStyle w:val="ListParagraph"/>
        <w:numPr>
          <w:ilvl w:val="0"/>
          <w:numId w:val="92"/>
        </w:numPr>
        <w:tabs>
          <w:tab w:val="left" w:pos="1800"/>
          <w:tab w:val="left" w:pos="1801"/>
        </w:tabs>
        <w:spacing w:before="58"/>
        <w:ind w:left="1800" w:right="1601" w:hanging="360"/>
        <w:rPr>
          <w:rFonts w:ascii="Symbol" w:hAnsi="Symbol"/>
        </w:rPr>
      </w:pPr>
      <w:r>
        <w:t>Be</w:t>
      </w:r>
      <w:r>
        <w:rPr>
          <w:spacing w:val="-1"/>
        </w:rPr>
        <w:t xml:space="preserve"> </w:t>
      </w:r>
      <w:r>
        <w:t>clear</w:t>
      </w:r>
      <w:r>
        <w:rPr>
          <w:spacing w:val="-2"/>
        </w:rPr>
        <w:t xml:space="preserve"> </w:t>
      </w:r>
      <w:r>
        <w:t>with</w:t>
      </w:r>
      <w:r>
        <w:rPr>
          <w:spacing w:val="-3"/>
        </w:rPr>
        <w:t xml:space="preserve"> </w:t>
      </w:r>
      <w:r>
        <w:t>clients</w:t>
      </w:r>
      <w:r>
        <w:rPr>
          <w:spacing w:val="-4"/>
        </w:rPr>
        <w:t xml:space="preserve"> </w:t>
      </w:r>
      <w:r>
        <w:t>about</w:t>
      </w:r>
      <w:r>
        <w:rPr>
          <w:spacing w:val="-6"/>
        </w:rPr>
        <w:t xml:space="preserve"> </w:t>
      </w:r>
      <w:r>
        <w:t>consequences</w:t>
      </w:r>
      <w:r>
        <w:rPr>
          <w:spacing w:val="-2"/>
        </w:rPr>
        <w:t xml:space="preserve"> </w:t>
      </w:r>
      <w:r>
        <w:t>they</w:t>
      </w:r>
      <w:r>
        <w:rPr>
          <w:spacing w:val="-3"/>
        </w:rPr>
        <w:t xml:space="preserve"> </w:t>
      </w:r>
      <w:r>
        <w:t>may</w:t>
      </w:r>
      <w:r>
        <w:rPr>
          <w:spacing w:val="-3"/>
        </w:rPr>
        <w:t xml:space="preserve"> </w:t>
      </w:r>
      <w:r>
        <w:t>experience</w:t>
      </w:r>
      <w:r>
        <w:rPr>
          <w:spacing w:val="-1"/>
        </w:rPr>
        <w:t xml:space="preserve"> </w:t>
      </w:r>
      <w:r>
        <w:t>from</w:t>
      </w:r>
      <w:r>
        <w:rPr>
          <w:spacing w:val="-2"/>
        </w:rPr>
        <w:t xml:space="preserve"> </w:t>
      </w:r>
      <w:r>
        <w:t>the</w:t>
      </w:r>
      <w:r>
        <w:rPr>
          <w:spacing w:val="-1"/>
        </w:rPr>
        <w:t xml:space="preserve"> </w:t>
      </w:r>
      <w:r>
        <w:t>referring</w:t>
      </w:r>
      <w:r>
        <w:rPr>
          <w:spacing w:val="-3"/>
        </w:rPr>
        <w:t xml:space="preserve"> </w:t>
      </w:r>
      <w:r>
        <w:t>agency</w:t>
      </w:r>
      <w:r>
        <w:rPr>
          <w:spacing w:val="-1"/>
        </w:rPr>
        <w:t xml:space="preserve"> </w:t>
      </w:r>
      <w:r>
        <w:t>if</w:t>
      </w:r>
      <w:r>
        <w:rPr>
          <w:spacing w:val="-5"/>
        </w:rPr>
        <w:t xml:space="preserve"> </w:t>
      </w:r>
      <w:r>
        <w:t>they</w:t>
      </w:r>
      <w:r>
        <w:rPr>
          <w:spacing w:val="-1"/>
        </w:rPr>
        <w:t xml:space="preserve"> </w:t>
      </w:r>
      <w:r>
        <w:t>do not participate in treatment as required. Motivational strategies to help maintain a collaborative working alliance with clients while presenting such consequences (Stinson &amp; Clark, 2017) include:</w:t>
      </w:r>
    </w:p>
    <w:p w14:paraId="185671A8" w14:textId="77777777" w:rsidR="00DB6E1F" w:rsidRDefault="00F666A6">
      <w:pPr>
        <w:pStyle w:val="ListParagraph"/>
        <w:numPr>
          <w:ilvl w:val="1"/>
          <w:numId w:val="92"/>
        </w:numPr>
        <w:tabs>
          <w:tab w:val="left" w:pos="2159"/>
          <w:tab w:val="left" w:pos="2161"/>
        </w:tabs>
        <w:ind w:left="2160" w:hanging="361"/>
      </w:pPr>
      <w:r>
        <w:t>Acknowledge</w:t>
      </w:r>
      <w:r>
        <w:rPr>
          <w:spacing w:val="-7"/>
        </w:rPr>
        <w:t xml:space="preserve"> </w:t>
      </w:r>
      <w:r>
        <w:t>clients’</w:t>
      </w:r>
      <w:r>
        <w:rPr>
          <w:spacing w:val="-6"/>
        </w:rPr>
        <w:t xml:space="preserve"> </w:t>
      </w:r>
      <w:r>
        <w:t>ambivalence</w:t>
      </w:r>
      <w:r>
        <w:rPr>
          <w:spacing w:val="-7"/>
        </w:rPr>
        <w:t xml:space="preserve"> </w:t>
      </w:r>
      <w:r>
        <w:t>about</w:t>
      </w:r>
      <w:r>
        <w:rPr>
          <w:spacing w:val="-7"/>
        </w:rPr>
        <w:t xml:space="preserve"> </w:t>
      </w:r>
      <w:r>
        <w:t>participating</w:t>
      </w:r>
      <w:r>
        <w:rPr>
          <w:spacing w:val="-8"/>
        </w:rPr>
        <w:t xml:space="preserve"> </w:t>
      </w:r>
      <w:r>
        <w:t>in</w:t>
      </w:r>
      <w:r>
        <w:rPr>
          <w:spacing w:val="-6"/>
        </w:rPr>
        <w:t xml:space="preserve"> </w:t>
      </w:r>
      <w:r>
        <w:rPr>
          <w:spacing w:val="-2"/>
        </w:rPr>
        <w:t>counseling.</w:t>
      </w:r>
    </w:p>
    <w:p w14:paraId="4752F9F2" w14:textId="77777777" w:rsidR="00DB6E1F" w:rsidRDefault="00F666A6">
      <w:pPr>
        <w:pStyle w:val="ListParagraph"/>
        <w:numPr>
          <w:ilvl w:val="1"/>
          <w:numId w:val="92"/>
        </w:numPr>
        <w:tabs>
          <w:tab w:val="left" w:pos="2159"/>
          <w:tab w:val="left" w:pos="2161"/>
        </w:tabs>
        <w:spacing w:before="61"/>
        <w:ind w:left="2160" w:right="1719"/>
      </w:pPr>
      <w:r>
        <w:t>Differentiate</w:t>
      </w:r>
      <w:r>
        <w:rPr>
          <w:spacing w:val="-4"/>
        </w:rPr>
        <w:t xml:space="preserve"> </w:t>
      </w:r>
      <w:r>
        <w:t>your</w:t>
      </w:r>
      <w:r>
        <w:rPr>
          <w:spacing w:val="-2"/>
        </w:rPr>
        <w:t xml:space="preserve"> </w:t>
      </w:r>
      <w:r>
        <w:t>role</w:t>
      </w:r>
      <w:r>
        <w:rPr>
          <w:spacing w:val="-2"/>
        </w:rPr>
        <w:t xml:space="preserve"> </w:t>
      </w:r>
      <w:r>
        <w:t>from</w:t>
      </w:r>
      <w:r>
        <w:rPr>
          <w:spacing w:val="-1"/>
        </w:rPr>
        <w:t xml:space="preserve"> </w:t>
      </w:r>
      <w:r>
        <w:t>the</w:t>
      </w:r>
      <w:r>
        <w:rPr>
          <w:spacing w:val="-2"/>
        </w:rPr>
        <w:t xml:space="preserve"> </w:t>
      </w:r>
      <w:r>
        <w:t>authority</w:t>
      </w:r>
      <w:r>
        <w:rPr>
          <w:spacing w:val="-4"/>
        </w:rPr>
        <w:t xml:space="preserve"> </w:t>
      </w:r>
      <w:r>
        <w:t>of</w:t>
      </w:r>
      <w:r>
        <w:rPr>
          <w:spacing w:val="-5"/>
        </w:rPr>
        <w:t xml:space="preserve"> </w:t>
      </w:r>
      <w:r>
        <w:t>the</w:t>
      </w:r>
      <w:r>
        <w:rPr>
          <w:spacing w:val="-2"/>
        </w:rPr>
        <w:t xml:space="preserve"> </w:t>
      </w:r>
      <w:r>
        <w:t>referring</w:t>
      </w:r>
      <w:r>
        <w:rPr>
          <w:spacing w:val="-3"/>
        </w:rPr>
        <w:t xml:space="preserve"> </w:t>
      </w:r>
      <w:r>
        <w:t>agency</w:t>
      </w:r>
      <w:r>
        <w:rPr>
          <w:spacing w:val="-1"/>
        </w:rPr>
        <w:t xml:space="preserve"> </w:t>
      </w:r>
      <w:r>
        <w:t>(e.g.,</w:t>
      </w:r>
      <w:r>
        <w:rPr>
          <w:spacing w:val="-2"/>
        </w:rPr>
        <w:t xml:space="preserve"> </w:t>
      </w:r>
      <w:r>
        <w:t>“I</w:t>
      </w:r>
      <w:r>
        <w:rPr>
          <w:spacing w:val="-5"/>
        </w:rPr>
        <w:t xml:space="preserve"> </w:t>
      </w:r>
      <w:r>
        <w:t>am</w:t>
      </w:r>
      <w:r>
        <w:rPr>
          <w:spacing w:val="-3"/>
        </w:rPr>
        <w:t xml:space="preserve"> </w:t>
      </w:r>
      <w:r>
        <w:t>here</w:t>
      </w:r>
      <w:r>
        <w:rPr>
          <w:spacing w:val="-1"/>
        </w:rPr>
        <w:t xml:space="preserve"> </w:t>
      </w:r>
      <w:r>
        <w:t>to</w:t>
      </w:r>
      <w:r>
        <w:rPr>
          <w:spacing w:val="-1"/>
        </w:rPr>
        <w:t xml:space="preserve"> </w:t>
      </w:r>
      <w:r>
        <w:t>help</w:t>
      </w:r>
      <w:r>
        <w:rPr>
          <w:spacing w:val="-5"/>
        </w:rPr>
        <w:t xml:space="preserve"> </w:t>
      </w:r>
      <w:r>
        <w:t>you make some decisions</w:t>
      </w:r>
      <w:r>
        <w:rPr>
          <w:spacing w:val="-1"/>
        </w:rPr>
        <w:t xml:space="preserve"> </w:t>
      </w:r>
      <w:r>
        <w:t>about how you</w:t>
      </w:r>
      <w:r>
        <w:rPr>
          <w:spacing w:val="-2"/>
        </w:rPr>
        <w:t xml:space="preserve"> </w:t>
      </w:r>
      <w:r>
        <w:t>might</w:t>
      </w:r>
      <w:r>
        <w:rPr>
          <w:spacing w:val="-1"/>
        </w:rPr>
        <w:t xml:space="preserve"> </w:t>
      </w:r>
      <w:r>
        <w:t>want to change, not</w:t>
      </w:r>
      <w:r>
        <w:rPr>
          <w:spacing w:val="-1"/>
        </w:rPr>
        <w:t xml:space="preserve"> </w:t>
      </w:r>
      <w:r>
        <w:t>to pressure</w:t>
      </w:r>
      <w:r>
        <w:rPr>
          <w:spacing w:val="-1"/>
        </w:rPr>
        <w:t xml:space="preserve"> </w:t>
      </w:r>
      <w:r>
        <w:t>you</w:t>
      </w:r>
      <w:r>
        <w:rPr>
          <w:spacing w:val="-2"/>
        </w:rPr>
        <w:t xml:space="preserve"> </w:t>
      </w:r>
      <w:r>
        <w:t>to change”).</w:t>
      </w:r>
    </w:p>
    <w:p w14:paraId="554B906E" w14:textId="77777777" w:rsidR="00DB6E1F" w:rsidRDefault="00F666A6">
      <w:pPr>
        <w:pStyle w:val="ListParagraph"/>
        <w:numPr>
          <w:ilvl w:val="1"/>
          <w:numId w:val="92"/>
        </w:numPr>
        <w:tabs>
          <w:tab w:val="left" w:pos="2159"/>
          <w:tab w:val="left" w:pos="2161"/>
        </w:tabs>
        <w:ind w:left="2160" w:hanging="361"/>
      </w:pPr>
      <w:r>
        <w:t>Describe</w:t>
      </w:r>
      <w:r>
        <w:rPr>
          <w:spacing w:val="-6"/>
        </w:rPr>
        <w:t xml:space="preserve"> </w:t>
      </w:r>
      <w:r>
        <w:t>the</w:t>
      </w:r>
      <w:r>
        <w:rPr>
          <w:spacing w:val="-7"/>
        </w:rPr>
        <w:t xml:space="preserve"> </w:t>
      </w:r>
      <w:r>
        <w:t>consequences</w:t>
      </w:r>
      <w:r>
        <w:rPr>
          <w:spacing w:val="-6"/>
        </w:rPr>
        <w:t xml:space="preserve"> </w:t>
      </w:r>
      <w:r>
        <w:t>of</w:t>
      </w:r>
      <w:r>
        <w:rPr>
          <w:spacing w:val="-5"/>
        </w:rPr>
        <w:t xml:space="preserve"> </w:t>
      </w:r>
      <w:r>
        <w:t>not</w:t>
      </w:r>
      <w:r>
        <w:rPr>
          <w:spacing w:val="-4"/>
        </w:rPr>
        <w:t xml:space="preserve"> </w:t>
      </w:r>
      <w:r>
        <w:t>participating</w:t>
      </w:r>
      <w:r>
        <w:rPr>
          <w:spacing w:val="-6"/>
        </w:rPr>
        <w:t xml:space="preserve"> </w:t>
      </w:r>
      <w:r>
        <w:t>in</w:t>
      </w:r>
      <w:r>
        <w:rPr>
          <w:spacing w:val="-5"/>
        </w:rPr>
        <w:t xml:space="preserve"> </w:t>
      </w:r>
      <w:r>
        <w:t>treatment</w:t>
      </w:r>
      <w:r>
        <w:rPr>
          <w:spacing w:val="-4"/>
        </w:rPr>
        <w:t xml:space="preserve"> </w:t>
      </w:r>
      <w:r>
        <w:t>in</w:t>
      </w:r>
      <w:r>
        <w:rPr>
          <w:spacing w:val="-6"/>
        </w:rPr>
        <w:t xml:space="preserve"> </w:t>
      </w:r>
      <w:r>
        <w:t>a</w:t>
      </w:r>
      <w:r>
        <w:rPr>
          <w:spacing w:val="-4"/>
        </w:rPr>
        <w:t xml:space="preserve"> </w:t>
      </w:r>
      <w:r>
        <w:t>neutral,</w:t>
      </w:r>
      <w:r>
        <w:rPr>
          <w:spacing w:val="-5"/>
        </w:rPr>
        <w:t xml:space="preserve"> </w:t>
      </w:r>
      <w:r>
        <w:t>nonjudgmental</w:t>
      </w:r>
      <w:r>
        <w:rPr>
          <w:spacing w:val="-7"/>
        </w:rPr>
        <w:t xml:space="preserve"> </w:t>
      </w:r>
      <w:r>
        <w:rPr>
          <w:spacing w:val="-2"/>
        </w:rPr>
        <w:t>tone.</w:t>
      </w:r>
    </w:p>
    <w:p w14:paraId="4EF0ABCB" w14:textId="77777777" w:rsidR="00DB6E1F" w:rsidRDefault="00F666A6">
      <w:pPr>
        <w:pStyle w:val="ListParagraph"/>
        <w:numPr>
          <w:ilvl w:val="1"/>
          <w:numId w:val="92"/>
        </w:numPr>
        <w:tabs>
          <w:tab w:val="left" w:pos="2159"/>
          <w:tab w:val="left" w:pos="2161"/>
        </w:tabs>
        <w:ind w:left="2160" w:right="1819"/>
      </w:pPr>
      <w:r>
        <w:t>Avoid</w:t>
      </w:r>
      <w:r>
        <w:rPr>
          <w:spacing w:val="-3"/>
        </w:rPr>
        <w:t xml:space="preserve"> </w:t>
      </w:r>
      <w:r>
        <w:t>siding</w:t>
      </w:r>
      <w:r>
        <w:rPr>
          <w:spacing w:val="-5"/>
        </w:rPr>
        <w:t xml:space="preserve"> </w:t>
      </w:r>
      <w:r>
        <w:t>with</w:t>
      </w:r>
      <w:r>
        <w:rPr>
          <w:spacing w:val="-3"/>
        </w:rPr>
        <w:t xml:space="preserve"> </w:t>
      </w:r>
      <w:r>
        <w:t>clients</w:t>
      </w:r>
      <w:r>
        <w:rPr>
          <w:spacing w:val="-4"/>
        </w:rPr>
        <w:t xml:space="preserve"> </w:t>
      </w:r>
      <w:r>
        <w:t>or</w:t>
      </w:r>
      <w:r>
        <w:rPr>
          <w:spacing w:val="-5"/>
        </w:rPr>
        <w:t xml:space="preserve"> </w:t>
      </w:r>
      <w:r>
        <w:t>the</w:t>
      </w:r>
      <w:r>
        <w:rPr>
          <w:spacing w:val="-2"/>
        </w:rPr>
        <w:t xml:space="preserve"> </w:t>
      </w:r>
      <w:r>
        <w:t>referring</w:t>
      </w:r>
      <w:r>
        <w:rPr>
          <w:spacing w:val="-3"/>
        </w:rPr>
        <w:t xml:space="preserve"> </w:t>
      </w:r>
      <w:r>
        <w:t>agency</w:t>
      </w:r>
      <w:r>
        <w:rPr>
          <w:spacing w:val="-1"/>
        </w:rPr>
        <w:t xml:space="preserve"> </w:t>
      </w:r>
      <w:r>
        <w:t>about</w:t>
      </w:r>
      <w:r>
        <w:rPr>
          <w:spacing w:val="-4"/>
        </w:rPr>
        <w:t xml:space="preserve"> </w:t>
      </w:r>
      <w:r>
        <w:t>the</w:t>
      </w:r>
      <w:r>
        <w:rPr>
          <w:spacing w:val="-2"/>
        </w:rPr>
        <w:t xml:space="preserve"> </w:t>
      </w:r>
      <w:r>
        <w:t>fairness</w:t>
      </w:r>
      <w:r>
        <w:rPr>
          <w:spacing w:val="-4"/>
        </w:rPr>
        <w:t xml:space="preserve"> </w:t>
      </w:r>
      <w:r>
        <w:t>of</w:t>
      </w:r>
      <w:r>
        <w:rPr>
          <w:spacing w:val="-5"/>
        </w:rPr>
        <w:t xml:space="preserve"> </w:t>
      </w:r>
      <w:r>
        <w:t>possible consequences and punishments. Take a neutral stance.</w:t>
      </w:r>
    </w:p>
    <w:p w14:paraId="01FB70CD" w14:textId="77777777" w:rsidR="00DB6E1F" w:rsidRDefault="00F666A6">
      <w:pPr>
        <w:pStyle w:val="BodyText"/>
        <w:tabs>
          <w:tab w:val="left" w:pos="2159"/>
        </w:tabs>
        <w:spacing w:before="58" w:line="256" w:lineRule="auto"/>
        <w:ind w:left="2160" w:right="2157" w:hanging="360"/>
      </w:pPr>
      <w:r>
        <w:rPr>
          <w:spacing w:val="-10"/>
        </w:rPr>
        <w:t>‒</w:t>
      </w:r>
      <w:r>
        <w:tab/>
        <w:t>Emphasize</w:t>
      </w:r>
      <w:r>
        <w:rPr>
          <w:spacing w:val="-2"/>
        </w:rPr>
        <w:t xml:space="preserve"> </w:t>
      </w:r>
      <w:r>
        <w:t>personal</w:t>
      </w:r>
      <w:r>
        <w:rPr>
          <w:spacing w:val="-4"/>
        </w:rPr>
        <w:t xml:space="preserve"> </w:t>
      </w:r>
      <w:r>
        <w:t>choice/responsibility</w:t>
      </w:r>
      <w:r>
        <w:rPr>
          <w:spacing w:val="-4"/>
        </w:rPr>
        <w:t xml:space="preserve"> </w:t>
      </w:r>
      <w:r>
        <w:t>(e.g.,</w:t>
      </w:r>
      <w:r>
        <w:rPr>
          <w:spacing w:val="-4"/>
        </w:rPr>
        <w:t xml:space="preserve"> </w:t>
      </w:r>
      <w:r>
        <w:t>“It’s</w:t>
      </w:r>
      <w:r>
        <w:rPr>
          <w:spacing w:val="-3"/>
        </w:rPr>
        <w:t xml:space="preserve"> </w:t>
      </w:r>
      <w:r>
        <w:t>up</w:t>
      </w:r>
      <w:r>
        <w:rPr>
          <w:spacing w:val="-4"/>
        </w:rPr>
        <w:t xml:space="preserve"> </w:t>
      </w:r>
      <w:r>
        <w:t>to</w:t>
      </w:r>
      <w:r>
        <w:rPr>
          <w:spacing w:val="-4"/>
        </w:rPr>
        <w:t xml:space="preserve"> </w:t>
      </w:r>
      <w:r>
        <w:t>you</w:t>
      </w:r>
      <w:r>
        <w:rPr>
          <w:spacing w:val="-5"/>
        </w:rPr>
        <w:t xml:space="preserve"> </w:t>
      </w:r>
      <w:r>
        <w:t>whether</w:t>
      </w:r>
      <w:r>
        <w:rPr>
          <w:spacing w:val="-5"/>
        </w:rPr>
        <w:t xml:space="preserve"> </w:t>
      </w:r>
      <w:r>
        <w:t>you</w:t>
      </w:r>
      <w:r>
        <w:rPr>
          <w:spacing w:val="-4"/>
        </w:rPr>
        <w:t xml:space="preserve"> </w:t>
      </w:r>
      <w:r>
        <w:t>participate</w:t>
      </w:r>
      <w:r>
        <w:rPr>
          <w:spacing w:val="-2"/>
        </w:rPr>
        <w:t xml:space="preserve"> </w:t>
      </w:r>
      <w:r>
        <w:t xml:space="preserve">in </w:t>
      </w:r>
      <w:r>
        <w:rPr>
          <w:spacing w:val="-2"/>
        </w:rPr>
        <w:t>treatment”).</w:t>
      </w:r>
    </w:p>
    <w:p w14:paraId="26232B16" w14:textId="77777777" w:rsidR="00DB6E1F" w:rsidRDefault="00F666A6">
      <w:pPr>
        <w:pStyle w:val="BodyText"/>
        <w:spacing w:before="167"/>
        <w:ind w:left="1439" w:right="1491"/>
      </w:pPr>
      <w:r>
        <w:t>Exhibit</w:t>
      </w:r>
      <w:r>
        <w:rPr>
          <w:spacing w:val="-2"/>
        </w:rPr>
        <w:t xml:space="preserve"> </w:t>
      </w:r>
      <w:r>
        <w:t>4.3</w:t>
      </w:r>
      <w:r>
        <w:rPr>
          <w:spacing w:val="-1"/>
        </w:rPr>
        <w:t xml:space="preserve"> </w:t>
      </w:r>
      <w:r>
        <w:t>provides</w:t>
      </w:r>
      <w:r>
        <w:rPr>
          <w:spacing w:val="-4"/>
        </w:rPr>
        <w:t xml:space="preserve"> </w:t>
      </w:r>
      <w:r>
        <w:t>an</w:t>
      </w:r>
      <w:r>
        <w:rPr>
          <w:spacing w:val="-3"/>
        </w:rPr>
        <w:t xml:space="preserve"> </w:t>
      </w:r>
      <w:r>
        <w:t>example</w:t>
      </w:r>
      <w:r>
        <w:rPr>
          <w:spacing w:val="-4"/>
        </w:rPr>
        <w:t xml:space="preserve"> </w:t>
      </w:r>
      <w:r>
        <w:t>of</w:t>
      </w:r>
      <w:r>
        <w:rPr>
          <w:spacing w:val="-2"/>
        </w:rPr>
        <w:t xml:space="preserve"> </w:t>
      </w:r>
      <w:r>
        <w:t>an</w:t>
      </w:r>
      <w:r>
        <w:rPr>
          <w:spacing w:val="-3"/>
        </w:rPr>
        <w:t xml:space="preserve"> </w:t>
      </w:r>
      <w:r>
        <w:t>initial</w:t>
      </w:r>
      <w:r>
        <w:rPr>
          <w:spacing w:val="-5"/>
        </w:rPr>
        <w:t xml:space="preserve"> </w:t>
      </w:r>
      <w:r>
        <w:t>conversation</w:t>
      </w:r>
      <w:r>
        <w:rPr>
          <w:spacing w:val="-3"/>
        </w:rPr>
        <w:t xml:space="preserve"> </w:t>
      </w:r>
      <w:r>
        <w:t>with</w:t>
      </w:r>
      <w:r>
        <w:rPr>
          <w:spacing w:val="-5"/>
        </w:rPr>
        <w:t xml:space="preserve"> </w:t>
      </w:r>
      <w:r>
        <w:t>a</w:t>
      </w:r>
      <w:r>
        <w:rPr>
          <w:spacing w:val="-2"/>
        </w:rPr>
        <w:t xml:space="preserve"> </w:t>
      </w:r>
      <w:r>
        <w:t>client</w:t>
      </w:r>
      <w:r>
        <w:rPr>
          <w:spacing w:val="-1"/>
        </w:rPr>
        <w:t xml:space="preserve"> </w:t>
      </w:r>
      <w:r>
        <w:t>who</w:t>
      </w:r>
      <w:r>
        <w:rPr>
          <w:spacing w:val="-1"/>
        </w:rPr>
        <w:t xml:space="preserve"> </w:t>
      </w:r>
      <w:r>
        <w:t>has</w:t>
      </w:r>
      <w:r>
        <w:rPr>
          <w:spacing w:val="-2"/>
        </w:rPr>
        <w:t xml:space="preserve"> </w:t>
      </w:r>
      <w:r>
        <w:t>been</w:t>
      </w:r>
      <w:r>
        <w:rPr>
          <w:spacing w:val="-3"/>
        </w:rPr>
        <w:t xml:space="preserve"> </w:t>
      </w:r>
      <w:r>
        <w:t>required</w:t>
      </w:r>
      <w:r>
        <w:rPr>
          <w:spacing w:val="-5"/>
        </w:rPr>
        <w:t xml:space="preserve"> </w:t>
      </w:r>
      <w:r>
        <w:t>to</w:t>
      </w:r>
      <w:r>
        <w:rPr>
          <w:spacing w:val="-3"/>
        </w:rPr>
        <w:t xml:space="preserve"> </w:t>
      </w:r>
      <w:r>
        <w:t>attend counseling as a condition of parole.</w:t>
      </w:r>
    </w:p>
    <w:p w14:paraId="2E38B0D4" w14:textId="77777777" w:rsidR="00DB6E1F" w:rsidRDefault="00DB6E1F">
      <w:pPr>
        <w:pStyle w:val="BodyText"/>
        <w:spacing w:before="2"/>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0DA5609B" w14:textId="77777777">
        <w:trPr>
          <w:trHeight w:val="503"/>
        </w:trPr>
        <w:tc>
          <w:tcPr>
            <w:tcW w:w="9350" w:type="dxa"/>
            <w:shd w:val="clear" w:color="auto" w:fill="050505"/>
          </w:tcPr>
          <w:p w14:paraId="4FE48A95" w14:textId="77777777" w:rsidR="00DB6E1F" w:rsidRDefault="00F666A6">
            <w:pPr>
              <w:pStyle w:val="TableParagraph"/>
              <w:spacing w:before="102"/>
              <w:ind w:left="210"/>
              <w:rPr>
                <w:sz w:val="24"/>
              </w:rPr>
            </w:pPr>
            <w:r>
              <w:rPr>
                <w:color w:val="FFFFFF"/>
                <w:sz w:val="24"/>
              </w:rPr>
              <w:t>Exhibit</w:t>
            </w:r>
            <w:r>
              <w:rPr>
                <w:color w:val="FFFFFF"/>
                <w:spacing w:val="-4"/>
                <w:sz w:val="24"/>
              </w:rPr>
              <w:t xml:space="preserve"> </w:t>
            </w:r>
            <w:r>
              <w:rPr>
                <w:color w:val="FFFFFF"/>
                <w:sz w:val="24"/>
              </w:rPr>
              <w:t>4.3.</w:t>
            </w:r>
            <w:r>
              <w:rPr>
                <w:color w:val="FFFFFF"/>
                <w:spacing w:val="-1"/>
                <w:sz w:val="24"/>
              </w:rPr>
              <w:t xml:space="preserve"> </w:t>
            </w:r>
            <w:r>
              <w:rPr>
                <w:color w:val="FFFFFF"/>
                <w:sz w:val="24"/>
              </w:rPr>
              <w:t>An</w:t>
            </w:r>
            <w:r>
              <w:rPr>
                <w:color w:val="FFFFFF"/>
                <w:spacing w:val="1"/>
                <w:sz w:val="24"/>
              </w:rPr>
              <w:t xml:space="preserve"> </w:t>
            </w:r>
            <w:r>
              <w:rPr>
                <w:color w:val="FFFFFF"/>
                <w:sz w:val="24"/>
              </w:rPr>
              <w:t>Opening</w:t>
            </w:r>
            <w:r>
              <w:rPr>
                <w:color w:val="FFFFFF"/>
                <w:spacing w:val="-3"/>
                <w:sz w:val="24"/>
              </w:rPr>
              <w:t xml:space="preserve"> </w:t>
            </w:r>
            <w:r>
              <w:rPr>
                <w:color w:val="FFFFFF"/>
                <w:sz w:val="24"/>
              </w:rPr>
              <w:t>Dialog</w:t>
            </w:r>
            <w:r>
              <w:rPr>
                <w:color w:val="FFFFFF"/>
                <w:spacing w:val="-1"/>
                <w:sz w:val="24"/>
              </w:rPr>
              <w:t xml:space="preserve"> </w:t>
            </w:r>
            <w:r>
              <w:rPr>
                <w:color w:val="FFFFFF"/>
                <w:sz w:val="24"/>
              </w:rPr>
              <w:t>With</w:t>
            </w:r>
            <w:r>
              <w:rPr>
                <w:color w:val="FFFFFF"/>
                <w:spacing w:val="-2"/>
                <w:sz w:val="24"/>
              </w:rPr>
              <w:t xml:space="preserve"> </w:t>
            </w:r>
            <w:r>
              <w:rPr>
                <w:color w:val="FFFFFF"/>
                <w:sz w:val="24"/>
              </w:rPr>
              <w:t>a Client</w:t>
            </w:r>
            <w:r>
              <w:rPr>
                <w:color w:val="FFFFFF"/>
                <w:spacing w:val="-2"/>
                <w:sz w:val="24"/>
              </w:rPr>
              <w:t xml:space="preserve"> </w:t>
            </w:r>
            <w:r>
              <w:rPr>
                <w:color w:val="FFFFFF"/>
                <w:sz w:val="24"/>
              </w:rPr>
              <w:t>Who</w:t>
            </w:r>
            <w:r>
              <w:rPr>
                <w:color w:val="FFFFFF"/>
                <w:spacing w:val="-2"/>
                <w:sz w:val="24"/>
              </w:rPr>
              <w:t xml:space="preserve"> </w:t>
            </w:r>
            <w:r>
              <w:rPr>
                <w:color w:val="FFFFFF"/>
                <w:sz w:val="24"/>
              </w:rPr>
              <w:t>Has</w:t>
            </w:r>
            <w:r>
              <w:rPr>
                <w:color w:val="FFFFFF"/>
                <w:spacing w:val="-1"/>
                <w:sz w:val="24"/>
              </w:rPr>
              <w:t xml:space="preserve"> </w:t>
            </w:r>
            <w:r>
              <w:rPr>
                <w:color w:val="FFFFFF"/>
                <w:sz w:val="24"/>
              </w:rPr>
              <w:t>Been</w:t>
            </w:r>
            <w:r>
              <w:rPr>
                <w:color w:val="FFFFFF"/>
                <w:spacing w:val="-2"/>
                <w:sz w:val="24"/>
              </w:rPr>
              <w:t xml:space="preserve"> </w:t>
            </w:r>
            <w:r>
              <w:rPr>
                <w:color w:val="FFFFFF"/>
                <w:sz w:val="24"/>
              </w:rPr>
              <w:t>Mandated</w:t>
            </w:r>
            <w:r>
              <w:rPr>
                <w:color w:val="FFFFFF"/>
                <w:spacing w:val="-2"/>
                <w:sz w:val="24"/>
              </w:rPr>
              <w:t xml:space="preserve"> </w:t>
            </w:r>
            <w:r>
              <w:rPr>
                <w:color w:val="FFFFFF"/>
                <w:sz w:val="24"/>
              </w:rPr>
              <w:t>to</w:t>
            </w:r>
            <w:r>
              <w:rPr>
                <w:color w:val="FFFFFF"/>
                <w:spacing w:val="-4"/>
                <w:sz w:val="24"/>
              </w:rPr>
              <w:t xml:space="preserve"> </w:t>
            </w:r>
            <w:r>
              <w:rPr>
                <w:color w:val="FFFFFF"/>
                <w:spacing w:val="-2"/>
                <w:sz w:val="24"/>
              </w:rPr>
              <w:t>Treatment</w:t>
            </w:r>
          </w:p>
        </w:tc>
      </w:tr>
      <w:tr w:rsidR="00DB6E1F" w14:paraId="015F22D5" w14:textId="77777777">
        <w:trPr>
          <w:trHeight w:val="3774"/>
        </w:trPr>
        <w:tc>
          <w:tcPr>
            <w:tcW w:w="9350" w:type="dxa"/>
          </w:tcPr>
          <w:p w14:paraId="1C77D20F" w14:textId="77777777" w:rsidR="00DB6E1F" w:rsidRDefault="00F666A6">
            <w:pPr>
              <w:pStyle w:val="TableParagraph"/>
              <w:rPr>
                <w:sz w:val="20"/>
              </w:rPr>
            </w:pPr>
            <w:r>
              <w:rPr>
                <w:sz w:val="20"/>
              </w:rPr>
              <w:t>This dialog illustrates the first meeting between a counselor and a client who is required to attend group counseling as a condition of parole. The counselor is seeking ways to affirm the client, to find incentives that matter</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client,</w:t>
            </w:r>
            <w:r>
              <w:rPr>
                <w:spacing w:val="-2"/>
                <w:sz w:val="20"/>
              </w:rPr>
              <w:t xml:space="preserve"> </w:t>
            </w:r>
            <w:r>
              <w:rPr>
                <w:sz w:val="20"/>
              </w:rPr>
              <w:t>to</w:t>
            </w:r>
            <w:r>
              <w:rPr>
                <w:spacing w:val="-3"/>
                <w:sz w:val="20"/>
              </w:rPr>
              <w:t xml:space="preserve"> </w:t>
            </w:r>
            <w:r>
              <w:rPr>
                <w:sz w:val="20"/>
              </w:rPr>
              <w:t>support</w:t>
            </w:r>
            <w:r>
              <w:rPr>
                <w:spacing w:val="-3"/>
                <w:sz w:val="20"/>
              </w:rPr>
              <w:t xml:space="preserve"> </w:t>
            </w:r>
            <w:r>
              <w:rPr>
                <w:sz w:val="20"/>
              </w:rPr>
              <w:t>the</w:t>
            </w:r>
            <w:r>
              <w:rPr>
                <w:spacing w:val="-3"/>
                <w:sz w:val="20"/>
              </w:rPr>
              <w:t xml:space="preserve"> </w:t>
            </w:r>
            <w:r>
              <w:rPr>
                <w:sz w:val="20"/>
              </w:rPr>
              <w:t>client</w:t>
            </w:r>
            <w:r>
              <w:rPr>
                <w:spacing w:val="-3"/>
                <w:sz w:val="20"/>
              </w:rPr>
              <w:t xml:space="preserve"> </w:t>
            </w:r>
            <w:r>
              <w:rPr>
                <w:sz w:val="20"/>
              </w:rPr>
              <w:t>in</w:t>
            </w:r>
            <w:r>
              <w:rPr>
                <w:spacing w:val="-2"/>
                <w:sz w:val="20"/>
              </w:rPr>
              <w:t xml:space="preserve"> </w:t>
            </w:r>
            <w:r>
              <w:rPr>
                <w:sz w:val="20"/>
              </w:rPr>
              <w:t>achieving</w:t>
            </w:r>
            <w:r>
              <w:rPr>
                <w:spacing w:val="-3"/>
                <w:sz w:val="20"/>
              </w:rPr>
              <w:t xml:space="preserve"> </w:t>
            </w:r>
            <w:r>
              <w:rPr>
                <w:sz w:val="20"/>
              </w:rPr>
              <w:t>his</w:t>
            </w:r>
            <w:r>
              <w:rPr>
                <w:spacing w:val="-3"/>
                <w:sz w:val="20"/>
              </w:rPr>
              <w:t xml:space="preserve"> </w:t>
            </w:r>
            <w:r>
              <w:rPr>
                <w:sz w:val="20"/>
              </w:rPr>
              <w:t>most</w:t>
            </w:r>
            <w:r>
              <w:rPr>
                <w:spacing w:val="-3"/>
                <w:sz w:val="20"/>
              </w:rPr>
              <w:t xml:space="preserve"> </w:t>
            </w:r>
            <w:r>
              <w:rPr>
                <w:sz w:val="20"/>
              </w:rPr>
              <w:t>important</w:t>
            </w:r>
            <w:r>
              <w:rPr>
                <w:spacing w:val="-3"/>
                <w:sz w:val="20"/>
              </w:rPr>
              <w:t xml:space="preserve"> </w:t>
            </w:r>
            <w:r>
              <w:rPr>
                <w:sz w:val="20"/>
              </w:rPr>
              <w:t>personal</w:t>
            </w:r>
            <w:r>
              <w:rPr>
                <w:spacing w:val="-3"/>
                <w:sz w:val="20"/>
              </w:rPr>
              <w:t xml:space="preserve"> </w:t>
            </w:r>
            <w:r>
              <w:rPr>
                <w:sz w:val="20"/>
              </w:rPr>
              <w:t>goals,</w:t>
            </w:r>
            <w:r>
              <w:rPr>
                <w:spacing w:val="-2"/>
                <w:sz w:val="20"/>
              </w:rPr>
              <w:t xml:space="preserve"> </w:t>
            </w:r>
            <w:r>
              <w:rPr>
                <w:sz w:val="20"/>
              </w:rPr>
              <w:t>and</w:t>
            </w:r>
            <w:r>
              <w:rPr>
                <w:spacing w:val="-2"/>
                <w:sz w:val="20"/>
              </w:rPr>
              <w:t xml:space="preserve"> </w:t>
            </w:r>
            <w:r>
              <w:rPr>
                <w:sz w:val="20"/>
              </w:rPr>
              <w:t>to</w:t>
            </w:r>
            <w:r>
              <w:rPr>
                <w:spacing w:val="-3"/>
                <w:sz w:val="20"/>
              </w:rPr>
              <w:t xml:space="preserve"> </w:t>
            </w:r>
            <w:r>
              <w:rPr>
                <w:sz w:val="20"/>
              </w:rPr>
              <w:t>help</w:t>
            </w:r>
            <w:r>
              <w:rPr>
                <w:spacing w:val="-2"/>
                <w:sz w:val="20"/>
              </w:rPr>
              <w:t xml:space="preserve"> </w:t>
            </w:r>
            <w:r>
              <w:rPr>
                <w:sz w:val="20"/>
              </w:rPr>
              <w:t>the</w:t>
            </w:r>
            <w:r>
              <w:rPr>
                <w:spacing w:val="-3"/>
                <w:sz w:val="20"/>
              </w:rPr>
              <w:t xml:space="preserve"> </w:t>
            </w:r>
            <w:r>
              <w:rPr>
                <w:sz w:val="20"/>
              </w:rPr>
              <w:t>client regain control by choosing to engage in treatment with an open mind.</w:t>
            </w:r>
          </w:p>
          <w:p w14:paraId="3BC24252" w14:textId="77777777" w:rsidR="00DB6E1F" w:rsidRDefault="00F666A6">
            <w:pPr>
              <w:pStyle w:val="TableParagraph"/>
              <w:spacing w:before="120"/>
              <w:rPr>
                <w:sz w:val="20"/>
              </w:rPr>
            </w:pPr>
            <w:r>
              <w:rPr>
                <w:sz w:val="20"/>
              </w:rPr>
              <w:t>The</w:t>
            </w:r>
            <w:r>
              <w:rPr>
                <w:spacing w:val="-4"/>
                <w:sz w:val="20"/>
              </w:rPr>
              <w:t xml:space="preserve"> </w:t>
            </w:r>
            <w:r>
              <w:rPr>
                <w:sz w:val="20"/>
              </w:rPr>
              <w:t>setting</w:t>
            </w:r>
            <w:r>
              <w:rPr>
                <w:spacing w:val="-3"/>
                <w:sz w:val="20"/>
              </w:rPr>
              <w:t xml:space="preserve"> </w:t>
            </w:r>
            <w:r>
              <w:rPr>
                <w:sz w:val="20"/>
              </w:rPr>
              <w:t>is</w:t>
            </w:r>
            <w:r>
              <w:rPr>
                <w:spacing w:val="-4"/>
                <w:sz w:val="20"/>
              </w:rPr>
              <w:t xml:space="preserve"> </w:t>
            </w:r>
            <w:r>
              <w:rPr>
                <w:sz w:val="20"/>
              </w:rPr>
              <w:t>an</w:t>
            </w:r>
            <w:r>
              <w:rPr>
                <w:spacing w:val="-2"/>
                <w:sz w:val="20"/>
              </w:rPr>
              <w:t xml:space="preserve"> </w:t>
            </w:r>
            <w:r>
              <w:rPr>
                <w:sz w:val="20"/>
              </w:rPr>
              <w:t>outpatient</w:t>
            </w:r>
            <w:r>
              <w:rPr>
                <w:spacing w:val="-3"/>
                <w:sz w:val="20"/>
              </w:rPr>
              <w:t xml:space="preserve"> </w:t>
            </w:r>
            <w:r>
              <w:rPr>
                <w:sz w:val="20"/>
              </w:rPr>
              <w:t>treatment</w:t>
            </w:r>
            <w:r>
              <w:rPr>
                <w:spacing w:val="-3"/>
                <w:sz w:val="20"/>
              </w:rPr>
              <w:t xml:space="preserve"> </w:t>
            </w:r>
            <w:r>
              <w:rPr>
                <w:sz w:val="20"/>
              </w:rPr>
              <w:t>program</w:t>
            </w:r>
            <w:r>
              <w:rPr>
                <w:spacing w:val="-4"/>
                <w:sz w:val="20"/>
              </w:rPr>
              <w:t xml:space="preserve"> </w:t>
            </w:r>
            <w:r>
              <w:rPr>
                <w:sz w:val="20"/>
              </w:rPr>
              <w:t>that</w:t>
            </w:r>
            <w:r>
              <w:rPr>
                <w:spacing w:val="-3"/>
                <w:sz w:val="20"/>
              </w:rPr>
              <w:t xml:space="preserve"> </w:t>
            </w:r>
            <w:r>
              <w:rPr>
                <w:sz w:val="20"/>
              </w:rPr>
              <w:t>accepts</w:t>
            </w:r>
            <w:r>
              <w:rPr>
                <w:spacing w:val="-4"/>
                <w:sz w:val="20"/>
              </w:rPr>
              <w:t xml:space="preserve"> </w:t>
            </w:r>
            <w:r>
              <w:rPr>
                <w:sz w:val="20"/>
              </w:rPr>
              <w:t>private</w:t>
            </w:r>
            <w:r>
              <w:rPr>
                <w:spacing w:val="-4"/>
                <w:sz w:val="20"/>
              </w:rPr>
              <w:t xml:space="preserve"> </w:t>
            </w:r>
            <w:r>
              <w:rPr>
                <w:sz w:val="20"/>
              </w:rPr>
              <w:t>and</w:t>
            </w:r>
            <w:r>
              <w:rPr>
                <w:spacing w:val="-2"/>
                <w:sz w:val="20"/>
              </w:rPr>
              <w:t xml:space="preserve"> </w:t>
            </w:r>
            <w:r>
              <w:rPr>
                <w:sz w:val="20"/>
              </w:rPr>
              <w:t>court-ordered</w:t>
            </w:r>
            <w:r>
              <w:rPr>
                <w:spacing w:val="-2"/>
                <w:sz w:val="20"/>
              </w:rPr>
              <w:t xml:space="preserve"> </w:t>
            </w:r>
            <w:r>
              <w:rPr>
                <w:sz w:val="20"/>
              </w:rPr>
              <w:t>referrals</w:t>
            </w:r>
            <w:r>
              <w:rPr>
                <w:spacing w:val="-4"/>
                <w:sz w:val="20"/>
              </w:rPr>
              <w:t xml:space="preserve"> </w:t>
            </w:r>
            <w:r>
              <w:rPr>
                <w:sz w:val="20"/>
              </w:rPr>
              <w:t>to</w:t>
            </w:r>
            <w:r>
              <w:rPr>
                <w:spacing w:val="-3"/>
                <w:sz w:val="20"/>
              </w:rPr>
              <w:t xml:space="preserve"> </w:t>
            </w:r>
            <w:r>
              <w:rPr>
                <w:sz w:val="20"/>
              </w:rPr>
              <w:t>a</w:t>
            </w:r>
            <w:r>
              <w:rPr>
                <w:spacing w:val="-3"/>
                <w:sz w:val="20"/>
              </w:rPr>
              <w:t xml:space="preserve"> </w:t>
            </w:r>
            <w:r>
              <w:rPr>
                <w:sz w:val="20"/>
              </w:rPr>
              <w:t>counsel</w:t>
            </w:r>
            <w:r>
              <w:rPr>
                <w:sz w:val="20"/>
              </w:rPr>
              <w:t>ing group for people who use substances. The program uses a cognitive–behavioral approach. The primary interventional tool is rational behavior training. This is the first session between the counselor and the court- ordered probation client.</w:t>
            </w:r>
          </w:p>
          <w:p w14:paraId="26771876" w14:textId="77777777" w:rsidR="00DB6E1F" w:rsidRDefault="00F666A6">
            <w:pPr>
              <w:pStyle w:val="TableParagraph"/>
              <w:spacing w:before="121" w:line="357" w:lineRule="auto"/>
              <w:ind w:right="3742"/>
              <w:rPr>
                <w:sz w:val="20"/>
              </w:rPr>
            </w:pPr>
            <w:r>
              <w:rPr>
                <w:b/>
                <w:sz w:val="20"/>
              </w:rPr>
              <w:t>Counselor:</w:t>
            </w:r>
            <w:r>
              <w:rPr>
                <w:b/>
                <w:spacing w:val="-4"/>
                <w:sz w:val="20"/>
              </w:rPr>
              <w:t xml:space="preserve"> </w:t>
            </w:r>
            <w:r>
              <w:rPr>
                <w:sz w:val="20"/>
              </w:rPr>
              <w:t>Good</w:t>
            </w:r>
            <w:r>
              <w:rPr>
                <w:spacing w:val="-3"/>
                <w:sz w:val="20"/>
              </w:rPr>
              <w:t xml:space="preserve"> </w:t>
            </w:r>
            <w:r>
              <w:rPr>
                <w:sz w:val="20"/>
              </w:rPr>
              <w:t>morning.</w:t>
            </w:r>
            <w:r>
              <w:rPr>
                <w:spacing w:val="-4"/>
                <w:sz w:val="20"/>
              </w:rPr>
              <w:t xml:space="preserve"> </w:t>
            </w:r>
            <w:r>
              <w:rPr>
                <w:sz w:val="20"/>
              </w:rPr>
              <w:t>My</w:t>
            </w:r>
            <w:r>
              <w:rPr>
                <w:spacing w:val="-3"/>
                <w:sz w:val="20"/>
              </w:rPr>
              <w:t xml:space="preserve"> </w:t>
            </w:r>
            <w:r>
              <w:rPr>
                <w:sz w:val="20"/>
              </w:rPr>
              <w:t>name</w:t>
            </w:r>
            <w:r>
              <w:rPr>
                <w:spacing w:val="-5"/>
                <w:sz w:val="20"/>
              </w:rPr>
              <w:t xml:space="preserve"> </w:t>
            </w:r>
            <w:r>
              <w:rPr>
                <w:sz w:val="20"/>
              </w:rPr>
              <w:t>is</w:t>
            </w:r>
            <w:r>
              <w:rPr>
                <w:spacing w:val="-5"/>
                <w:sz w:val="20"/>
              </w:rPr>
              <w:t xml:space="preserve"> </w:t>
            </w:r>
            <w:r>
              <w:rPr>
                <w:sz w:val="20"/>
              </w:rPr>
              <w:t>Jeff.</w:t>
            </w:r>
            <w:r>
              <w:rPr>
                <w:spacing w:val="-4"/>
                <w:sz w:val="20"/>
              </w:rPr>
              <w:t xml:space="preserve"> </w:t>
            </w:r>
            <w:r>
              <w:rPr>
                <w:sz w:val="20"/>
              </w:rPr>
              <w:t>You</w:t>
            </w:r>
            <w:r>
              <w:rPr>
                <w:spacing w:val="-3"/>
                <w:sz w:val="20"/>
              </w:rPr>
              <w:t xml:space="preserve"> </w:t>
            </w:r>
            <w:r>
              <w:rPr>
                <w:sz w:val="20"/>
              </w:rPr>
              <w:t>must</w:t>
            </w:r>
            <w:r>
              <w:rPr>
                <w:spacing w:val="-3"/>
                <w:sz w:val="20"/>
              </w:rPr>
              <w:t xml:space="preserve"> </w:t>
            </w:r>
            <w:r>
              <w:rPr>
                <w:sz w:val="20"/>
              </w:rPr>
              <w:t>be</w:t>
            </w:r>
            <w:r>
              <w:rPr>
                <w:spacing w:val="-5"/>
                <w:sz w:val="20"/>
              </w:rPr>
              <w:t xml:space="preserve"> </w:t>
            </w:r>
            <w:r>
              <w:rPr>
                <w:sz w:val="20"/>
              </w:rPr>
              <w:t>Paul. Client: Yep.</w:t>
            </w:r>
          </w:p>
          <w:p w14:paraId="41F22415" w14:textId="77777777" w:rsidR="00DB6E1F" w:rsidRDefault="00F666A6">
            <w:pPr>
              <w:pStyle w:val="TableParagraph"/>
              <w:spacing w:before="0"/>
              <w:ind w:left="108" w:right="142" w:hanging="1"/>
              <w:rPr>
                <w:i/>
                <w:sz w:val="20"/>
              </w:rPr>
            </w:pPr>
            <w:r>
              <w:rPr>
                <w:b/>
                <w:sz w:val="20"/>
              </w:rPr>
              <w:t xml:space="preserve">Counselor: </w:t>
            </w:r>
            <w:r>
              <w:rPr>
                <w:sz w:val="20"/>
              </w:rPr>
              <w:t>Come on in, and sit wherever you’re comfortable. I got some information from your probation officer,</w:t>
            </w:r>
            <w:r>
              <w:rPr>
                <w:spacing w:val="-1"/>
                <w:sz w:val="20"/>
              </w:rPr>
              <w:t xml:space="preserve"> </w:t>
            </w:r>
            <w:r>
              <w:rPr>
                <w:sz w:val="20"/>
              </w:rPr>
              <w:t>but</w:t>
            </w:r>
            <w:r>
              <w:rPr>
                <w:spacing w:val="-2"/>
                <w:sz w:val="20"/>
              </w:rPr>
              <w:t xml:space="preserve"> </w:t>
            </w:r>
            <w:r>
              <w:rPr>
                <w:sz w:val="20"/>
              </w:rPr>
              <w:t>what</w:t>
            </w:r>
            <w:r>
              <w:rPr>
                <w:spacing w:val="-2"/>
                <w:sz w:val="20"/>
              </w:rPr>
              <w:t xml:space="preserve"> </w:t>
            </w:r>
            <w:r>
              <w:rPr>
                <w:sz w:val="20"/>
              </w:rPr>
              <w:t>would</w:t>
            </w:r>
            <w:r>
              <w:rPr>
                <w:spacing w:val="-1"/>
                <w:sz w:val="20"/>
              </w:rPr>
              <w:t xml:space="preserve"> </w:t>
            </w:r>
            <w:r>
              <w:rPr>
                <w:sz w:val="20"/>
              </w:rPr>
              <w:t>really</w:t>
            </w:r>
            <w:r>
              <w:rPr>
                <w:spacing w:val="-1"/>
                <w:sz w:val="20"/>
              </w:rPr>
              <w:t xml:space="preserve"> </w:t>
            </w:r>
            <w:r>
              <w:rPr>
                <w:sz w:val="20"/>
              </w:rPr>
              <w:t>help</w:t>
            </w:r>
            <w:r>
              <w:rPr>
                <w:spacing w:val="-1"/>
                <w:sz w:val="20"/>
              </w:rPr>
              <w:t xml:space="preserve"> </w:t>
            </w:r>
            <w:r>
              <w:rPr>
                <w:sz w:val="20"/>
              </w:rPr>
              <w:t>me</w:t>
            </w:r>
            <w:r>
              <w:rPr>
                <w:spacing w:val="-3"/>
                <w:sz w:val="20"/>
              </w:rPr>
              <w:t xml:space="preserve"> </w:t>
            </w:r>
            <w:r>
              <w:rPr>
                <w:sz w:val="20"/>
              </w:rPr>
              <w:t>is</w:t>
            </w:r>
            <w:r>
              <w:rPr>
                <w:spacing w:val="-3"/>
                <w:sz w:val="20"/>
              </w:rPr>
              <w:t xml:space="preserve"> </w:t>
            </w:r>
            <w:r>
              <w:rPr>
                <w:sz w:val="20"/>
              </w:rPr>
              <w:t>to</w:t>
            </w:r>
            <w:r>
              <w:rPr>
                <w:spacing w:val="-1"/>
                <w:sz w:val="20"/>
              </w:rPr>
              <w:t xml:space="preserve"> </w:t>
            </w:r>
            <w:r>
              <w:rPr>
                <w:sz w:val="20"/>
              </w:rPr>
              <w:t>hear</w:t>
            </w:r>
            <w:r>
              <w:rPr>
                <w:spacing w:val="-2"/>
                <w:sz w:val="20"/>
              </w:rPr>
              <w:t xml:space="preserve"> </w:t>
            </w:r>
            <w:r>
              <w:rPr>
                <w:sz w:val="20"/>
              </w:rPr>
              <w:t>from</w:t>
            </w:r>
            <w:r>
              <w:rPr>
                <w:spacing w:val="-3"/>
                <w:sz w:val="20"/>
              </w:rPr>
              <w:t xml:space="preserve"> </w:t>
            </w:r>
            <w:r>
              <w:rPr>
                <w:sz w:val="20"/>
              </w:rPr>
              <w:t>you,</w:t>
            </w:r>
            <w:r>
              <w:rPr>
                <w:spacing w:val="-1"/>
                <w:sz w:val="20"/>
              </w:rPr>
              <w:t xml:space="preserve"> </w:t>
            </w:r>
            <w:r>
              <w:rPr>
                <w:sz w:val="20"/>
              </w:rPr>
              <w:t>Paul,</w:t>
            </w:r>
            <w:r>
              <w:rPr>
                <w:spacing w:val="-1"/>
                <w:sz w:val="20"/>
              </w:rPr>
              <w:t xml:space="preserve"> </w:t>
            </w:r>
            <w:r>
              <w:rPr>
                <w:sz w:val="20"/>
              </w:rPr>
              <w:t>a</w:t>
            </w:r>
            <w:r>
              <w:rPr>
                <w:spacing w:val="-1"/>
                <w:sz w:val="20"/>
              </w:rPr>
              <w:t xml:space="preserve"> </w:t>
            </w:r>
            <w:r>
              <w:rPr>
                <w:sz w:val="20"/>
              </w:rPr>
              <w:t>bit</w:t>
            </w:r>
            <w:r>
              <w:rPr>
                <w:spacing w:val="-2"/>
                <w:sz w:val="20"/>
              </w:rPr>
              <w:t xml:space="preserve"> </w:t>
            </w:r>
            <w:r>
              <w:rPr>
                <w:sz w:val="20"/>
              </w:rPr>
              <w:t>more</w:t>
            </w:r>
            <w:r>
              <w:rPr>
                <w:spacing w:val="-3"/>
                <w:sz w:val="20"/>
              </w:rPr>
              <w:t xml:space="preserve"> </w:t>
            </w:r>
            <w:r>
              <w:rPr>
                <w:sz w:val="20"/>
              </w:rPr>
              <w:t>about</w:t>
            </w:r>
            <w:r>
              <w:rPr>
                <w:spacing w:val="-2"/>
                <w:sz w:val="20"/>
              </w:rPr>
              <w:t xml:space="preserve"> </w:t>
            </w:r>
            <w:r>
              <w:rPr>
                <w:sz w:val="20"/>
              </w:rPr>
              <w:t>what’s</w:t>
            </w:r>
            <w:r>
              <w:rPr>
                <w:spacing w:val="-3"/>
                <w:sz w:val="20"/>
              </w:rPr>
              <w:t xml:space="preserve"> </w:t>
            </w:r>
            <w:r>
              <w:rPr>
                <w:sz w:val="20"/>
              </w:rPr>
              <w:t>g</w:t>
            </w:r>
            <w:r>
              <w:rPr>
                <w:sz w:val="20"/>
              </w:rPr>
              <w:t>oing</w:t>
            </w:r>
            <w:r>
              <w:rPr>
                <w:spacing w:val="-2"/>
                <w:sz w:val="20"/>
              </w:rPr>
              <w:t xml:space="preserve"> </w:t>
            </w:r>
            <w:r>
              <w:rPr>
                <w:sz w:val="20"/>
              </w:rPr>
              <w:t>on</w:t>
            </w:r>
            <w:r>
              <w:rPr>
                <w:spacing w:val="-1"/>
                <w:sz w:val="20"/>
              </w:rPr>
              <w:t xml:space="preserve"> </w:t>
            </w:r>
            <w:r>
              <w:rPr>
                <w:sz w:val="20"/>
              </w:rPr>
              <w:t>in</w:t>
            </w:r>
            <w:r>
              <w:rPr>
                <w:spacing w:val="-1"/>
                <w:sz w:val="20"/>
              </w:rPr>
              <w:t xml:space="preserve"> </w:t>
            </w:r>
            <w:r>
              <w:rPr>
                <w:sz w:val="20"/>
              </w:rPr>
              <w:t>your</w:t>
            </w:r>
            <w:r>
              <w:rPr>
                <w:spacing w:val="-2"/>
                <w:sz w:val="20"/>
              </w:rPr>
              <w:t xml:space="preserve"> </w:t>
            </w:r>
            <w:r>
              <w:rPr>
                <w:sz w:val="20"/>
              </w:rPr>
              <w:t xml:space="preserve">life, and how we might help. </w:t>
            </w:r>
            <w:r>
              <w:rPr>
                <w:i/>
                <w:sz w:val="20"/>
              </w:rPr>
              <w:t>(Open question in the form of a statement)</w:t>
            </w:r>
          </w:p>
        </w:tc>
      </w:tr>
    </w:tbl>
    <w:p w14:paraId="39C7F9C1" w14:textId="77777777" w:rsidR="00DB6E1F" w:rsidRDefault="00DB6E1F">
      <w:pPr>
        <w:rPr>
          <w:sz w:val="20"/>
        </w:rPr>
        <w:sectPr w:rsidR="00DB6E1F">
          <w:pgSz w:w="12240" w:h="15840"/>
          <w:pgMar w:top="1200" w:right="0" w:bottom="780" w:left="0" w:header="763" w:footer="585" w:gutter="0"/>
          <w:cols w:space="720"/>
        </w:sectPr>
      </w:pPr>
    </w:p>
    <w:p w14:paraId="47C539AE"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46129627" w14:textId="77777777">
        <w:trPr>
          <w:trHeight w:val="12289"/>
        </w:trPr>
        <w:tc>
          <w:tcPr>
            <w:tcW w:w="9350" w:type="dxa"/>
          </w:tcPr>
          <w:p w14:paraId="7442A1F9" w14:textId="77777777" w:rsidR="00DB6E1F" w:rsidRDefault="00F666A6">
            <w:pPr>
              <w:pStyle w:val="TableParagraph"/>
              <w:rPr>
                <w:sz w:val="20"/>
              </w:rPr>
            </w:pPr>
            <w:r>
              <w:rPr>
                <w:b/>
                <w:sz w:val="20"/>
              </w:rPr>
              <w:t>Client:</w:t>
            </w:r>
            <w:r>
              <w:rPr>
                <w:b/>
                <w:spacing w:val="-5"/>
                <w:sz w:val="20"/>
              </w:rPr>
              <w:t xml:space="preserve"> </w:t>
            </w:r>
            <w:r>
              <w:rPr>
                <w:sz w:val="20"/>
              </w:rPr>
              <w:t>The</w:t>
            </w:r>
            <w:r>
              <w:rPr>
                <w:spacing w:val="-5"/>
                <w:sz w:val="20"/>
              </w:rPr>
              <w:t xml:space="preserve"> </w:t>
            </w:r>
            <w:r>
              <w:rPr>
                <w:sz w:val="20"/>
              </w:rPr>
              <w:t>biggest</w:t>
            </w:r>
            <w:r>
              <w:rPr>
                <w:spacing w:val="-4"/>
                <w:sz w:val="20"/>
              </w:rPr>
              <w:t xml:space="preserve"> </w:t>
            </w:r>
            <w:r>
              <w:rPr>
                <w:sz w:val="20"/>
              </w:rPr>
              <w:t>thing</w:t>
            </w:r>
            <w:r>
              <w:rPr>
                <w:spacing w:val="-5"/>
                <w:sz w:val="20"/>
              </w:rPr>
              <w:t xml:space="preserve"> </w:t>
            </w:r>
            <w:r>
              <w:rPr>
                <w:sz w:val="20"/>
              </w:rPr>
              <w:t>is</w:t>
            </w:r>
            <w:r>
              <w:rPr>
                <w:spacing w:val="-5"/>
                <w:sz w:val="20"/>
              </w:rPr>
              <w:t xml:space="preserve"> </w:t>
            </w:r>
            <w:r>
              <w:rPr>
                <w:sz w:val="20"/>
              </w:rPr>
              <w:t>this</w:t>
            </w:r>
            <w:r>
              <w:rPr>
                <w:spacing w:val="-5"/>
                <w:sz w:val="20"/>
              </w:rPr>
              <w:t xml:space="preserve"> </w:t>
            </w:r>
            <w:r>
              <w:rPr>
                <w:sz w:val="20"/>
              </w:rPr>
              <w:t>4-year</w:t>
            </w:r>
            <w:r>
              <w:rPr>
                <w:spacing w:val="-3"/>
                <w:sz w:val="20"/>
              </w:rPr>
              <w:t xml:space="preserve"> </w:t>
            </w:r>
            <w:r>
              <w:rPr>
                <w:sz w:val="20"/>
              </w:rPr>
              <w:t>sentence</w:t>
            </w:r>
            <w:r>
              <w:rPr>
                <w:spacing w:val="-5"/>
                <w:sz w:val="20"/>
              </w:rPr>
              <w:t xml:space="preserve"> </w:t>
            </w:r>
            <w:r>
              <w:rPr>
                <w:sz w:val="20"/>
              </w:rPr>
              <w:t>hanging</w:t>
            </w:r>
            <w:r>
              <w:rPr>
                <w:spacing w:val="-4"/>
                <w:sz w:val="20"/>
              </w:rPr>
              <w:t xml:space="preserve"> </w:t>
            </w:r>
            <w:r>
              <w:rPr>
                <w:sz w:val="20"/>
              </w:rPr>
              <w:t>over</w:t>
            </w:r>
            <w:r>
              <w:rPr>
                <w:spacing w:val="-4"/>
                <w:sz w:val="20"/>
              </w:rPr>
              <w:t xml:space="preserve"> </w:t>
            </w:r>
            <w:r>
              <w:rPr>
                <w:sz w:val="20"/>
              </w:rPr>
              <w:t>me</w:t>
            </w:r>
            <w:r>
              <w:rPr>
                <w:spacing w:val="-5"/>
                <w:sz w:val="20"/>
              </w:rPr>
              <w:t xml:space="preserve"> </w:t>
            </w:r>
            <w:r>
              <w:rPr>
                <w:sz w:val="20"/>
              </w:rPr>
              <w:t>and</w:t>
            </w:r>
            <w:r>
              <w:rPr>
                <w:spacing w:val="-3"/>
                <w:sz w:val="20"/>
              </w:rPr>
              <w:t xml:space="preserve"> </w:t>
            </w:r>
            <w:r>
              <w:rPr>
                <w:sz w:val="20"/>
              </w:rPr>
              <w:t>this</w:t>
            </w:r>
            <w:r>
              <w:rPr>
                <w:spacing w:val="-5"/>
                <w:sz w:val="20"/>
              </w:rPr>
              <w:t xml:space="preserve"> </w:t>
            </w:r>
            <w:r>
              <w:rPr>
                <w:sz w:val="20"/>
              </w:rPr>
              <w:t>crap</w:t>
            </w:r>
            <w:r>
              <w:rPr>
                <w:spacing w:val="-4"/>
                <w:sz w:val="20"/>
              </w:rPr>
              <w:t xml:space="preserve"> </w:t>
            </w:r>
            <w:r>
              <w:rPr>
                <w:sz w:val="20"/>
              </w:rPr>
              <w:t>I</w:t>
            </w:r>
            <w:r>
              <w:rPr>
                <w:spacing w:val="-4"/>
                <w:sz w:val="20"/>
              </w:rPr>
              <w:t xml:space="preserve"> </w:t>
            </w:r>
            <w:r>
              <w:rPr>
                <w:sz w:val="20"/>
              </w:rPr>
              <w:t>have</w:t>
            </w:r>
            <w:r>
              <w:rPr>
                <w:spacing w:val="-5"/>
                <w:sz w:val="20"/>
              </w:rPr>
              <w:t xml:space="preserve"> </w:t>
            </w:r>
            <w:r>
              <w:rPr>
                <w:sz w:val="20"/>
              </w:rPr>
              <w:t>to</w:t>
            </w:r>
            <w:r>
              <w:rPr>
                <w:spacing w:val="-2"/>
                <w:sz w:val="20"/>
              </w:rPr>
              <w:t xml:space="preserve"> </w:t>
            </w:r>
            <w:r>
              <w:rPr>
                <w:sz w:val="20"/>
              </w:rPr>
              <w:t>do</w:t>
            </w:r>
            <w:r>
              <w:rPr>
                <w:spacing w:val="-4"/>
                <w:sz w:val="20"/>
              </w:rPr>
              <w:t xml:space="preserve"> </w:t>
            </w:r>
            <w:r>
              <w:rPr>
                <w:sz w:val="20"/>
              </w:rPr>
              <w:t>to</w:t>
            </w:r>
            <w:r>
              <w:rPr>
                <w:spacing w:val="-5"/>
                <w:sz w:val="20"/>
              </w:rPr>
              <w:t xml:space="preserve"> </w:t>
            </w:r>
            <w:r>
              <w:rPr>
                <w:sz w:val="20"/>
              </w:rPr>
              <w:t>stay</w:t>
            </w:r>
            <w:r>
              <w:rPr>
                <w:spacing w:val="-3"/>
                <w:sz w:val="20"/>
              </w:rPr>
              <w:t xml:space="preserve"> </w:t>
            </w:r>
            <w:r>
              <w:rPr>
                <w:sz w:val="20"/>
              </w:rPr>
              <w:t>out</w:t>
            </w:r>
            <w:r>
              <w:rPr>
                <w:spacing w:val="-4"/>
                <w:sz w:val="20"/>
              </w:rPr>
              <w:t xml:space="preserve"> </w:t>
            </w:r>
            <w:r>
              <w:rPr>
                <w:sz w:val="20"/>
              </w:rPr>
              <w:t>of</w:t>
            </w:r>
            <w:r>
              <w:rPr>
                <w:spacing w:val="-6"/>
                <w:sz w:val="20"/>
              </w:rPr>
              <w:t xml:space="preserve"> </w:t>
            </w:r>
            <w:r>
              <w:rPr>
                <w:spacing w:val="-2"/>
                <w:sz w:val="20"/>
              </w:rPr>
              <w:t>prison.</w:t>
            </w:r>
          </w:p>
          <w:p w14:paraId="3B4CBE86" w14:textId="77777777" w:rsidR="00DB6E1F" w:rsidRDefault="00F666A6">
            <w:pPr>
              <w:pStyle w:val="TableParagraph"/>
              <w:spacing w:before="121"/>
              <w:ind w:right="81" w:hanging="1"/>
              <w:rPr>
                <w:sz w:val="20"/>
              </w:rPr>
            </w:pPr>
            <w:r>
              <w:rPr>
                <w:b/>
                <w:sz w:val="20"/>
              </w:rPr>
              <w:t>Counselor:</w:t>
            </w:r>
            <w:r>
              <w:rPr>
                <w:b/>
                <w:spacing w:val="-2"/>
                <w:sz w:val="20"/>
              </w:rPr>
              <w:t xml:space="preserve"> </w:t>
            </w:r>
            <w:r>
              <w:rPr>
                <w:sz w:val="20"/>
              </w:rPr>
              <w:t>Well,</w:t>
            </w:r>
            <w:r>
              <w:rPr>
                <w:spacing w:val="-1"/>
                <w:sz w:val="20"/>
              </w:rPr>
              <w:t xml:space="preserve"> </w:t>
            </w:r>
            <w:r>
              <w:rPr>
                <w:sz w:val="20"/>
              </w:rPr>
              <w:t>again,</w:t>
            </w:r>
            <w:r>
              <w:rPr>
                <w:spacing w:val="-1"/>
                <w:sz w:val="20"/>
              </w:rPr>
              <w:t xml:space="preserve"> </w:t>
            </w:r>
            <w:r>
              <w:rPr>
                <w:sz w:val="20"/>
              </w:rPr>
              <w:t>Paul,</w:t>
            </w:r>
            <w:r>
              <w:rPr>
                <w:spacing w:val="-1"/>
                <w:sz w:val="20"/>
              </w:rPr>
              <w:t xml:space="preserve"> </w:t>
            </w:r>
            <w:r>
              <w:rPr>
                <w:sz w:val="20"/>
              </w:rPr>
              <w:t>it</w:t>
            </w:r>
            <w:r>
              <w:rPr>
                <w:spacing w:val="-2"/>
                <w:sz w:val="20"/>
              </w:rPr>
              <w:t xml:space="preserve"> </w:t>
            </w:r>
            <w:r>
              <w:rPr>
                <w:sz w:val="20"/>
              </w:rPr>
              <w:t>sounds</w:t>
            </w:r>
            <w:r>
              <w:rPr>
                <w:spacing w:val="-3"/>
                <w:sz w:val="20"/>
              </w:rPr>
              <w:t xml:space="preserve"> </w:t>
            </w:r>
            <w:r>
              <w:rPr>
                <w:sz w:val="20"/>
              </w:rPr>
              <w:t>like</w:t>
            </w:r>
            <w:r>
              <w:rPr>
                <w:spacing w:val="-3"/>
                <w:sz w:val="20"/>
              </w:rPr>
              <w:t xml:space="preserve"> </w:t>
            </w:r>
            <w:r>
              <w:rPr>
                <w:sz w:val="20"/>
              </w:rPr>
              <w:t>you’re</w:t>
            </w:r>
            <w:r>
              <w:rPr>
                <w:spacing w:val="-3"/>
                <w:sz w:val="20"/>
              </w:rPr>
              <w:t xml:space="preserve"> </w:t>
            </w:r>
            <w:r>
              <w:rPr>
                <w:sz w:val="20"/>
              </w:rPr>
              <w:t>busy</w:t>
            </w:r>
            <w:r>
              <w:rPr>
                <w:spacing w:val="-1"/>
                <w:sz w:val="20"/>
              </w:rPr>
              <w:t xml:space="preserve"> </w:t>
            </w:r>
            <w:r>
              <w:rPr>
                <w:sz w:val="20"/>
              </w:rPr>
              <w:t>and</w:t>
            </w:r>
            <w:r>
              <w:rPr>
                <w:spacing w:val="-4"/>
                <w:sz w:val="20"/>
              </w:rPr>
              <w:t xml:space="preserve"> </w:t>
            </w:r>
            <w:r>
              <w:rPr>
                <w:sz w:val="20"/>
              </w:rPr>
              <w:t>you</w:t>
            </w:r>
            <w:r>
              <w:rPr>
                <w:spacing w:val="-1"/>
                <w:sz w:val="20"/>
              </w:rPr>
              <w:t xml:space="preserve"> </w:t>
            </w:r>
            <w:r>
              <w:rPr>
                <w:sz w:val="20"/>
              </w:rPr>
              <w:t>have</w:t>
            </w:r>
            <w:r>
              <w:rPr>
                <w:spacing w:val="-3"/>
                <w:sz w:val="20"/>
              </w:rPr>
              <w:t xml:space="preserve"> </w:t>
            </w:r>
            <w:r>
              <w:rPr>
                <w:sz w:val="20"/>
              </w:rPr>
              <w:t>a</w:t>
            </w:r>
            <w:r>
              <w:rPr>
                <w:spacing w:val="-2"/>
                <w:sz w:val="20"/>
              </w:rPr>
              <w:t xml:space="preserve"> </w:t>
            </w:r>
            <w:r>
              <w:rPr>
                <w:sz w:val="20"/>
              </w:rPr>
              <w:t>lot</w:t>
            </w:r>
            <w:r>
              <w:rPr>
                <w:spacing w:val="-2"/>
                <w:sz w:val="20"/>
              </w:rPr>
              <w:t xml:space="preserve"> </w:t>
            </w:r>
            <w:r>
              <w:rPr>
                <w:sz w:val="20"/>
              </w:rPr>
              <w:t>of</w:t>
            </w:r>
            <w:r>
              <w:rPr>
                <w:spacing w:val="-3"/>
                <w:sz w:val="20"/>
              </w:rPr>
              <w:t xml:space="preserve"> </w:t>
            </w:r>
            <w:r>
              <w:rPr>
                <w:sz w:val="20"/>
              </w:rPr>
              <w:t>pressures.</w:t>
            </w:r>
            <w:r>
              <w:rPr>
                <w:spacing w:val="-2"/>
                <w:sz w:val="20"/>
              </w:rPr>
              <w:t xml:space="preserve"> </w:t>
            </w:r>
            <w:r>
              <w:rPr>
                <w:i/>
                <w:sz w:val="20"/>
              </w:rPr>
              <w:t>(Reflection)</w:t>
            </w:r>
            <w:r>
              <w:rPr>
                <w:i/>
                <w:spacing w:val="-3"/>
                <w:sz w:val="20"/>
              </w:rPr>
              <w:t xml:space="preserve"> </w:t>
            </w:r>
            <w:r>
              <w:rPr>
                <w:sz w:val="20"/>
              </w:rPr>
              <w:t>But</w:t>
            </w:r>
            <w:r>
              <w:rPr>
                <w:spacing w:val="-2"/>
                <w:sz w:val="20"/>
              </w:rPr>
              <w:t xml:space="preserve"> </w:t>
            </w:r>
            <w:r>
              <w:rPr>
                <w:sz w:val="20"/>
              </w:rPr>
              <w:t>I</w:t>
            </w:r>
            <w:r>
              <w:rPr>
                <w:spacing w:val="-2"/>
                <w:sz w:val="20"/>
              </w:rPr>
              <w:t xml:space="preserve"> </w:t>
            </w:r>
            <w:r>
              <w:rPr>
                <w:sz w:val="20"/>
              </w:rPr>
              <w:t>wonder if there’s something the program offers that you could use.</w:t>
            </w:r>
          </w:p>
          <w:p w14:paraId="0A35F845" w14:textId="77777777" w:rsidR="00DB6E1F" w:rsidRDefault="00F666A6">
            <w:pPr>
              <w:pStyle w:val="TableParagraph"/>
              <w:spacing w:before="119"/>
              <w:rPr>
                <w:sz w:val="20"/>
              </w:rPr>
            </w:pPr>
            <w:r>
              <w:rPr>
                <w:b/>
                <w:sz w:val="20"/>
              </w:rPr>
              <w:t>Client:</w:t>
            </w:r>
            <w:r>
              <w:rPr>
                <w:b/>
                <w:spacing w:val="-5"/>
                <w:sz w:val="20"/>
              </w:rPr>
              <w:t xml:space="preserve"> </w:t>
            </w:r>
            <w:r>
              <w:rPr>
                <w:sz w:val="20"/>
              </w:rPr>
              <w:t>What</w:t>
            </w:r>
            <w:r>
              <w:rPr>
                <w:spacing w:val="-5"/>
                <w:sz w:val="20"/>
              </w:rPr>
              <w:t xml:space="preserve"> </w:t>
            </w:r>
            <w:r>
              <w:rPr>
                <w:sz w:val="20"/>
              </w:rPr>
              <w:t>I</w:t>
            </w:r>
            <w:r>
              <w:rPr>
                <w:spacing w:val="-5"/>
                <w:sz w:val="20"/>
              </w:rPr>
              <w:t xml:space="preserve"> </w:t>
            </w:r>
            <w:r>
              <w:rPr>
                <w:sz w:val="20"/>
              </w:rPr>
              <w:t>need</w:t>
            </w:r>
            <w:r>
              <w:rPr>
                <w:spacing w:val="-4"/>
                <w:sz w:val="20"/>
              </w:rPr>
              <w:t xml:space="preserve"> </w:t>
            </w:r>
            <w:r>
              <w:rPr>
                <w:sz w:val="20"/>
              </w:rPr>
              <w:t>from</w:t>
            </w:r>
            <w:r>
              <w:rPr>
                <w:spacing w:val="-6"/>
                <w:sz w:val="20"/>
              </w:rPr>
              <w:t xml:space="preserve"> </w:t>
            </w:r>
            <w:r>
              <w:rPr>
                <w:sz w:val="20"/>
              </w:rPr>
              <w:t>you</w:t>
            </w:r>
            <w:r>
              <w:rPr>
                <w:spacing w:val="-3"/>
                <w:sz w:val="20"/>
              </w:rPr>
              <w:t xml:space="preserve"> </w:t>
            </w:r>
            <w:r>
              <w:rPr>
                <w:sz w:val="20"/>
              </w:rPr>
              <w:t>is</w:t>
            </w:r>
            <w:r>
              <w:rPr>
                <w:spacing w:val="-6"/>
                <w:sz w:val="20"/>
              </w:rPr>
              <w:t xml:space="preserve"> </w:t>
            </w:r>
            <w:r>
              <w:rPr>
                <w:sz w:val="20"/>
              </w:rPr>
              <w:t>to</w:t>
            </w:r>
            <w:r>
              <w:rPr>
                <w:spacing w:val="-5"/>
                <w:sz w:val="20"/>
              </w:rPr>
              <w:t xml:space="preserve"> </w:t>
            </w:r>
            <w:r>
              <w:rPr>
                <w:sz w:val="20"/>
              </w:rPr>
              <w:t>get</w:t>
            </w:r>
            <w:r>
              <w:rPr>
                <w:spacing w:val="-5"/>
                <w:sz w:val="20"/>
              </w:rPr>
              <w:t xml:space="preserve"> </w:t>
            </w:r>
            <w:r>
              <w:rPr>
                <w:sz w:val="20"/>
              </w:rPr>
              <w:t>that</w:t>
            </w:r>
            <w:r>
              <w:rPr>
                <w:spacing w:val="-5"/>
                <w:sz w:val="20"/>
              </w:rPr>
              <w:t xml:space="preserve"> </w:t>
            </w:r>
            <w:r>
              <w:rPr>
                <w:sz w:val="20"/>
              </w:rPr>
              <w:t>blasted</w:t>
            </w:r>
            <w:r>
              <w:rPr>
                <w:spacing w:val="-4"/>
                <w:sz w:val="20"/>
              </w:rPr>
              <w:t xml:space="preserve"> </w:t>
            </w:r>
            <w:r>
              <w:rPr>
                <w:sz w:val="20"/>
              </w:rPr>
              <w:t>probation</w:t>
            </w:r>
            <w:r>
              <w:rPr>
                <w:spacing w:val="-3"/>
                <w:sz w:val="20"/>
              </w:rPr>
              <w:t xml:space="preserve"> </w:t>
            </w:r>
            <w:r>
              <w:rPr>
                <w:sz w:val="20"/>
              </w:rPr>
              <w:t>officer</w:t>
            </w:r>
            <w:r>
              <w:rPr>
                <w:spacing w:val="-5"/>
                <w:sz w:val="20"/>
              </w:rPr>
              <w:t xml:space="preserve"> </w:t>
            </w:r>
            <w:r>
              <w:rPr>
                <w:sz w:val="20"/>
              </w:rPr>
              <w:t>off</w:t>
            </w:r>
            <w:r>
              <w:rPr>
                <w:spacing w:val="-6"/>
                <w:sz w:val="20"/>
              </w:rPr>
              <w:t xml:space="preserve"> </w:t>
            </w:r>
            <w:r>
              <w:rPr>
                <w:sz w:val="20"/>
              </w:rPr>
              <w:t>my</w:t>
            </w:r>
            <w:r>
              <w:rPr>
                <w:spacing w:val="-4"/>
                <w:sz w:val="20"/>
              </w:rPr>
              <w:t xml:space="preserve"> </w:t>
            </w:r>
            <w:r>
              <w:rPr>
                <w:spacing w:val="-2"/>
                <w:sz w:val="20"/>
              </w:rPr>
              <w:t>back.</w:t>
            </w:r>
          </w:p>
          <w:p w14:paraId="53821D85" w14:textId="77777777" w:rsidR="00DB6E1F" w:rsidRDefault="00F666A6">
            <w:pPr>
              <w:pStyle w:val="TableParagraph"/>
              <w:spacing w:before="120"/>
              <w:ind w:left="108"/>
              <w:rPr>
                <w:sz w:val="20"/>
              </w:rPr>
            </w:pPr>
            <w:r>
              <w:rPr>
                <w:b/>
                <w:sz w:val="20"/>
              </w:rPr>
              <w:t>Counselor:</w:t>
            </w:r>
            <w:r>
              <w:rPr>
                <w:b/>
                <w:spacing w:val="-6"/>
                <w:sz w:val="20"/>
              </w:rPr>
              <w:t xml:space="preserve"> </w:t>
            </w:r>
            <w:r>
              <w:rPr>
                <w:sz w:val="20"/>
              </w:rPr>
              <w:t>I’m</w:t>
            </w:r>
            <w:r>
              <w:rPr>
                <w:spacing w:val="-6"/>
                <w:sz w:val="20"/>
              </w:rPr>
              <w:t xml:space="preserve"> </w:t>
            </w:r>
            <w:r>
              <w:rPr>
                <w:sz w:val="20"/>
              </w:rPr>
              <w:t>not</w:t>
            </w:r>
            <w:r>
              <w:rPr>
                <w:spacing w:val="-5"/>
                <w:sz w:val="20"/>
              </w:rPr>
              <w:t xml:space="preserve"> </w:t>
            </w:r>
            <w:r>
              <w:rPr>
                <w:sz w:val="20"/>
              </w:rPr>
              <w:t>exactly</w:t>
            </w:r>
            <w:r>
              <w:rPr>
                <w:spacing w:val="-4"/>
                <w:sz w:val="20"/>
              </w:rPr>
              <w:t xml:space="preserve"> </w:t>
            </w:r>
            <w:r>
              <w:rPr>
                <w:sz w:val="20"/>
              </w:rPr>
              <w:t>sure</w:t>
            </w:r>
            <w:r>
              <w:rPr>
                <w:spacing w:val="-6"/>
                <w:sz w:val="20"/>
              </w:rPr>
              <w:t xml:space="preserve"> </w:t>
            </w:r>
            <w:r>
              <w:rPr>
                <w:sz w:val="20"/>
              </w:rPr>
              <w:t>what</w:t>
            </w:r>
            <w:r>
              <w:rPr>
                <w:spacing w:val="-6"/>
                <w:sz w:val="20"/>
              </w:rPr>
              <w:t xml:space="preserve"> </w:t>
            </w:r>
            <w:r>
              <w:rPr>
                <w:sz w:val="20"/>
              </w:rPr>
              <w:t>you</w:t>
            </w:r>
            <w:r>
              <w:rPr>
                <w:spacing w:val="-4"/>
                <w:sz w:val="20"/>
              </w:rPr>
              <w:t xml:space="preserve"> </w:t>
            </w:r>
            <w:r>
              <w:rPr>
                <w:sz w:val="20"/>
              </w:rPr>
              <w:t>mean,</w:t>
            </w:r>
            <w:r>
              <w:rPr>
                <w:spacing w:val="-4"/>
                <w:sz w:val="20"/>
              </w:rPr>
              <w:t xml:space="preserve"> </w:t>
            </w:r>
            <w:r>
              <w:rPr>
                <w:spacing w:val="-2"/>
                <w:sz w:val="20"/>
              </w:rPr>
              <w:t>Paul.</w:t>
            </w:r>
          </w:p>
          <w:p w14:paraId="41B368D5" w14:textId="77777777" w:rsidR="00DB6E1F" w:rsidRDefault="00F666A6">
            <w:pPr>
              <w:pStyle w:val="TableParagraph"/>
              <w:spacing w:before="121"/>
              <w:ind w:left="108"/>
              <w:rPr>
                <w:sz w:val="20"/>
              </w:rPr>
            </w:pPr>
            <w:r>
              <w:rPr>
                <w:b/>
                <w:sz w:val="20"/>
              </w:rPr>
              <w:t>Client:</w:t>
            </w:r>
            <w:r>
              <w:rPr>
                <w:b/>
                <w:spacing w:val="-2"/>
                <w:sz w:val="20"/>
              </w:rPr>
              <w:t xml:space="preserve"> </w:t>
            </w:r>
            <w:r>
              <w:rPr>
                <w:sz w:val="20"/>
              </w:rPr>
              <w:t>What</w:t>
            </w:r>
            <w:r>
              <w:rPr>
                <w:spacing w:val="-2"/>
                <w:sz w:val="20"/>
              </w:rPr>
              <w:t xml:space="preserve"> </w:t>
            </w:r>
            <w:r>
              <w:rPr>
                <w:sz w:val="20"/>
              </w:rPr>
              <w:t>I</w:t>
            </w:r>
            <w:r>
              <w:rPr>
                <w:spacing w:val="-2"/>
                <w:sz w:val="20"/>
              </w:rPr>
              <w:t xml:space="preserve"> </w:t>
            </w:r>
            <w:r>
              <w:rPr>
                <w:sz w:val="20"/>
              </w:rPr>
              <w:t>mean</w:t>
            </w:r>
            <w:r>
              <w:rPr>
                <w:spacing w:val="-1"/>
                <w:sz w:val="20"/>
              </w:rPr>
              <w:t xml:space="preserve"> </w:t>
            </w:r>
            <w:r>
              <w:rPr>
                <w:sz w:val="20"/>
              </w:rPr>
              <w:t>is</w:t>
            </w:r>
            <w:r>
              <w:rPr>
                <w:spacing w:val="-3"/>
                <w:sz w:val="20"/>
              </w:rPr>
              <w:t xml:space="preserve"> </w:t>
            </w:r>
            <w:r>
              <w:rPr>
                <w:sz w:val="20"/>
              </w:rPr>
              <w:t>that,</w:t>
            </w:r>
            <w:r>
              <w:rPr>
                <w:spacing w:val="-1"/>
                <w:sz w:val="20"/>
              </w:rPr>
              <w:t xml:space="preserve"> </w:t>
            </w:r>
            <w:r>
              <w:rPr>
                <w:sz w:val="20"/>
              </w:rPr>
              <w:t>I’m</w:t>
            </w:r>
            <w:r>
              <w:rPr>
                <w:spacing w:val="-3"/>
                <w:sz w:val="20"/>
              </w:rPr>
              <w:t xml:space="preserve"> </w:t>
            </w:r>
            <w:r>
              <w:rPr>
                <w:sz w:val="20"/>
              </w:rPr>
              <w:t>already</w:t>
            </w:r>
            <w:r>
              <w:rPr>
                <w:spacing w:val="-1"/>
                <w:sz w:val="20"/>
              </w:rPr>
              <w:t xml:space="preserve"> </w:t>
            </w:r>
            <w:r>
              <w:rPr>
                <w:sz w:val="20"/>
              </w:rPr>
              <w:t>running</w:t>
            </w:r>
            <w:r>
              <w:rPr>
                <w:spacing w:val="-2"/>
                <w:sz w:val="20"/>
              </w:rPr>
              <w:t xml:space="preserve"> </w:t>
            </w:r>
            <w:r>
              <w:rPr>
                <w:sz w:val="20"/>
              </w:rPr>
              <w:t>all</w:t>
            </w:r>
            <w:r>
              <w:rPr>
                <w:spacing w:val="-2"/>
                <w:sz w:val="20"/>
              </w:rPr>
              <w:t xml:space="preserve"> </w:t>
            </w:r>
            <w:r>
              <w:rPr>
                <w:sz w:val="20"/>
              </w:rPr>
              <w:t>over</w:t>
            </w:r>
            <w:r>
              <w:rPr>
                <w:spacing w:val="-2"/>
                <w:sz w:val="20"/>
              </w:rPr>
              <w:t xml:space="preserve"> </w:t>
            </w:r>
            <w:r>
              <w:rPr>
                <w:sz w:val="20"/>
              </w:rPr>
              <w:t>the</w:t>
            </w:r>
            <w:r>
              <w:rPr>
                <w:spacing w:val="-1"/>
                <w:sz w:val="20"/>
              </w:rPr>
              <w:t xml:space="preserve"> </w:t>
            </w:r>
            <w:r>
              <w:rPr>
                <w:sz w:val="20"/>
              </w:rPr>
              <w:t>place</w:t>
            </w:r>
            <w:r>
              <w:rPr>
                <w:spacing w:val="-3"/>
                <w:sz w:val="20"/>
              </w:rPr>
              <w:t xml:space="preserve"> </w:t>
            </w:r>
            <w:r>
              <w:rPr>
                <w:sz w:val="20"/>
              </w:rPr>
              <w:t>to</w:t>
            </w:r>
            <w:r>
              <w:rPr>
                <w:spacing w:val="-2"/>
                <w:sz w:val="20"/>
              </w:rPr>
              <w:t xml:space="preserve"> </w:t>
            </w:r>
            <w:r>
              <w:rPr>
                <w:sz w:val="20"/>
              </w:rPr>
              <w:t>give</w:t>
            </w:r>
            <w:r>
              <w:rPr>
                <w:spacing w:val="-3"/>
                <w:sz w:val="20"/>
              </w:rPr>
              <w:t xml:space="preserve"> </w:t>
            </w:r>
            <w:r>
              <w:rPr>
                <w:sz w:val="20"/>
              </w:rPr>
              <w:t>urine</w:t>
            </w:r>
            <w:r>
              <w:rPr>
                <w:spacing w:val="-1"/>
                <w:sz w:val="20"/>
              </w:rPr>
              <w:t xml:space="preserve"> </w:t>
            </w:r>
            <w:r>
              <w:rPr>
                <w:sz w:val="20"/>
              </w:rPr>
              <w:t>samples</w:t>
            </w:r>
            <w:r>
              <w:rPr>
                <w:spacing w:val="-3"/>
                <w:sz w:val="20"/>
              </w:rPr>
              <w:t xml:space="preserve"> </w:t>
            </w:r>
            <w:r>
              <w:rPr>
                <w:sz w:val="20"/>
              </w:rPr>
              <w:t>and</w:t>
            </w:r>
            <w:r>
              <w:rPr>
                <w:spacing w:val="-1"/>
                <w:sz w:val="20"/>
              </w:rPr>
              <w:t xml:space="preserve"> </w:t>
            </w:r>
            <w:r>
              <w:rPr>
                <w:sz w:val="20"/>
              </w:rPr>
              <w:t>meet</w:t>
            </w:r>
            <w:r>
              <w:rPr>
                <w:spacing w:val="-2"/>
                <w:sz w:val="20"/>
              </w:rPr>
              <w:t xml:space="preserve"> </w:t>
            </w:r>
            <w:r>
              <w:rPr>
                <w:sz w:val="20"/>
              </w:rPr>
              <w:t>all</w:t>
            </w:r>
            <w:r>
              <w:rPr>
                <w:spacing w:val="-2"/>
                <w:sz w:val="20"/>
              </w:rPr>
              <w:t xml:space="preserve"> </w:t>
            </w:r>
            <w:r>
              <w:rPr>
                <w:sz w:val="20"/>
              </w:rPr>
              <w:t>the</w:t>
            </w:r>
            <w:r>
              <w:rPr>
                <w:spacing w:val="-3"/>
                <w:sz w:val="20"/>
              </w:rPr>
              <w:t xml:space="preserve"> </w:t>
            </w:r>
            <w:r>
              <w:rPr>
                <w:sz w:val="20"/>
              </w:rPr>
              <w:t>other conditions of probation, and now the court says I’ve got to do this treatment program to stay out of jail.</w:t>
            </w:r>
          </w:p>
          <w:p w14:paraId="1AC99457" w14:textId="77777777" w:rsidR="00DB6E1F" w:rsidRDefault="00F666A6">
            <w:pPr>
              <w:pStyle w:val="TableParagraph"/>
              <w:spacing w:before="119"/>
              <w:ind w:left="108"/>
              <w:rPr>
                <w:i/>
                <w:sz w:val="20"/>
              </w:rPr>
            </w:pPr>
            <w:r>
              <w:rPr>
                <w:b/>
                <w:sz w:val="20"/>
              </w:rPr>
              <w:t>Counselor:</w:t>
            </w:r>
            <w:r>
              <w:rPr>
                <w:b/>
                <w:spacing w:val="-5"/>
                <w:sz w:val="20"/>
              </w:rPr>
              <w:t xml:space="preserve"> </w:t>
            </w:r>
            <w:r>
              <w:rPr>
                <w:sz w:val="20"/>
              </w:rPr>
              <w:t>I’m</w:t>
            </w:r>
            <w:r>
              <w:rPr>
                <w:spacing w:val="-6"/>
                <w:sz w:val="20"/>
              </w:rPr>
              <w:t xml:space="preserve"> </w:t>
            </w:r>
            <w:r>
              <w:rPr>
                <w:sz w:val="20"/>
              </w:rPr>
              <w:t>still</w:t>
            </w:r>
            <w:r>
              <w:rPr>
                <w:spacing w:val="-5"/>
                <w:sz w:val="20"/>
              </w:rPr>
              <w:t xml:space="preserve"> </w:t>
            </w:r>
            <w:r>
              <w:rPr>
                <w:sz w:val="20"/>
              </w:rPr>
              <w:t>a</w:t>
            </w:r>
            <w:r>
              <w:rPr>
                <w:spacing w:val="-5"/>
                <w:sz w:val="20"/>
              </w:rPr>
              <w:t xml:space="preserve"> </w:t>
            </w:r>
            <w:r>
              <w:rPr>
                <w:sz w:val="20"/>
              </w:rPr>
              <w:t>little</w:t>
            </w:r>
            <w:r>
              <w:rPr>
                <w:spacing w:val="-5"/>
                <w:sz w:val="20"/>
              </w:rPr>
              <w:t xml:space="preserve"> </w:t>
            </w:r>
            <w:r>
              <w:rPr>
                <w:sz w:val="20"/>
              </w:rPr>
              <w:t>confused.</w:t>
            </w:r>
            <w:r>
              <w:rPr>
                <w:spacing w:val="-5"/>
                <w:sz w:val="20"/>
              </w:rPr>
              <w:t xml:space="preserve"> </w:t>
            </w:r>
            <w:r>
              <w:rPr>
                <w:sz w:val="20"/>
              </w:rPr>
              <w:t>What</w:t>
            </w:r>
            <w:r>
              <w:rPr>
                <w:spacing w:val="-5"/>
                <w:sz w:val="20"/>
              </w:rPr>
              <w:t xml:space="preserve"> </w:t>
            </w:r>
            <w:r>
              <w:rPr>
                <w:sz w:val="20"/>
              </w:rPr>
              <w:t>is</w:t>
            </w:r>
            <w:r>
              <w:rPr>
                <w:spacing w:val="-5"/>
                <w:sz w:val="20"/>
              </w:rPr>
              <w:t xml:space="preserve"> </w:t>
            </w:r>
            <w:r>
              <w:rPr>
                <w:sz w:val="20"/>
              </w:rPr>
              <w:t>it</w:t>
            </w:r>
            <w:r>
              <w:rPr>
                <w:spacing w:val="-5"/>
                <w:sz w:val="20"/>
              </w:rPr>
              <w:t xml:space="preserve"> </w:t>
            </w:r>
            <w:r>
              <w:rPr>
                <w:sz w:val="20"/>
              </w:rPr>
              <w:t>that</w:t>
            </w:r>
            <w:r>
              <w:rPr>
                <w:spacing w:val="-5"/>
                <w:sz w:val="20"/>
              </w:rPr>
              <w:t xml:space="preserve"> </w:t>
            </w:r>
            <w:r>
              <w:rPr>
                <w:sz w:val="20"/>
              </w:rPr>
              <w:t>I</w:t>
            </w:r>
            <w:r>
              <w:rPr>
                <w:spacing w:val="-5"/>
                <w:sz w:val="20"/>
              </w:rPr>
              <w:t xml:space="preserve"> </w:t>
            </w:r>
            <w:r>
              <w:rPr>
                <w:sz w:val="20"/>
              </w:rPr>
              <w:t>can</w:t>
            </w:r>
            <w:r>
              <w:rPr>
                <w:spacing w:val="-4"/>
                <w:sz w:val="20"/>
              </w:rPr>
              <w:t xml:space="preserve"> </w:t>
            </w:r>
            <w:r>
              <w:rPr>
                <w:sz w:val="20"/>
              </w:rPr>
              <w:t>do</w:t>
            </w:r>
            <w:r>
              <w:rPr>
                <w:spacing w:val="-5"/>
                <w:sz w:val="20"/>
              </w:rPr>
              <w:t xml:space="preserve"> </w:t>
            </w:r>
            <w:r>
              <w:rPr>
                <w:sz w:val="20"/>
              </w:rPr>
              <w:t>that</w:t>
            </w:r>
            <w:r>
              <w:rPr>
                <w:spacing w:val="-4"/>
                <w:sz w:val="20"/>
              </w:rPr>
              <w:t xml:space="preserve"> </w:t>
            </w:r>
            <w:r>
              <w:rPr>
                <w:sz w:val="20"/>
              </w:rPr>
              <w:t>might</w:t>
            </w:r>
            <w:r>
              <w:rPr>
                <w:spacing w:val="-5"/>
                <w:sz w:val="20"/>
              </w:rPr>
              <w:t xml:space="preserve"> </w:t>
            </w:r>
            <w:r>
              <w:rPr>
                <w:sz w:val="20"/>
              </w:rPr>
              <w:t>help?</w:t>
            </w:r>
            <w:r>
              <w:rPr>
                <w:spacing w:val="-7"/>
                <w:sz w:val="20"/>
              </w:rPr>
              <w:t xml:space="preserve"> </w:t>
            </w:r>
            <w:r>
              <w:rPr>
                <w:i/>
                <w:sz w:val="20"/>
              </w:rPr>
              <w:t>(Open</w:t>
            </w:r>
            <w:r>
              <w:rPr>
                <w:i/>
                <w:spacing w:val="-4"/>
                <w:sz w:val="20"/>
              </w:rPr>
              <w:t xml:space="preserve"> </w:t>
            </w:r>
            <w:r>
              <w:rPr>
                <w:i/>
                <w:spacing w:val="-2"/>
                <w:sz w:val="20"/>
              </w:rPr>
              <w:t>question)</w:t>
            </w:r>
          </w:p>
          <w:p w14:paraId="424C82BB" w14:textId="77777777" w:rsidR="00DB6E1F" w:rsidRDefault="00F666A6">
            <w:pPr>
              <w:pStyle w:val="TableParagraph"/>
              <w:spacing w:before="120"/>
              <w:ind w:left="108"/>
              <w:rPr>
                <w:sz w:val="20"/>
              </w:rPr>
            </w:pPr>
            <w:r>
              <w:rPr>
                <w:b/>
                <w:sz w:val="20"/>
              </w:rPr>
              <w:t>Client:</w:t>
            </w:r>
            <w:r>
              <w:rPr>
                <w:b/>
                <w:spacing w:val="-5"/>
                <w:sz w:val="20"/>
              </w:rPr>
              <w:t xml:space="preserve"> </w:t>
            </w:r>
            <w:r>
              <w:rPr>
                <w:sz w:val="20"/>
              </w:rPr>
              <w:t>You</w:t>
            </w:r>
            <w:r>
              <w:rPr>
                <w:spacing w:val="-4"/>
                <w:sz w:val="20"/>
              </w:rPr>
              <w:t xml:space="preserve"> </w:t>
            </w:r>
            <w:r>
              <w:rPr>
                <w:sz w:val="20"/>
              </w:rPr>
              <w:t>can</w:t>
            </w:r>
            <w:r>
              <w:rPr>
                <w:spacing w:val="-3"/>
                <w:sz w:val="20"/>
              </w:rPr>
              <w:t xml:space="preserve"> </w:t>
            </w:r>
            <w:r>
              <w:rPr>
                <w:sz w:val="20"/>
              </w:rPr>
              <w:t>tell</w:t>
            </w:r>
            <w:r>
              <w:rPr>
                <w:spacing w:val="-5"/>
                <w:sz w:val="20"/>
              </w:rPr>
              <w:t xml:space="preserve"> </w:t>
            </w:r>
            <w:r>
              <w:rPr>
                <w:sz w:val="20"/>
              </w:rPr>
              <w:t>my</w:t>
            </w:r>
            <w:r>
              <w:rPr>
                <w:spacing w:val="-4"/>
                <w:sz w:val="20"/>
              </w:rPr>
              <w:t xml:space="preserve"> </w:t>
            </w:r>
            <w:r>
              <w:rPr>
                <w:sz w:val="20"/>
              </w:rPr>
              <w:t>probation</w:t>
            </w:r>
            <w:r>
              <w:rPr>
                <w:spacing w:val="-3"/>
                <w:sz w:val="20"/>
              </w:rPr>
              <w:t xml:space="preserve"> </w:t>
            </w:r>
            <w:r>
              <w:rPr>
                <w:sz w:val="20"/>
              </w:rPr>
              <w:t>officer</w:t>
            </w:r>
            <w:r>
              <w:rPr>
                <w:spacing w:val="-5"/>
                <w:sz w:val="20"/>
              </w:rPr>
              <w:t xml:space="preserve"> </w:t>
            </w:r>
            <w:r>
              <w:rPr>
                <w:sz w:val="20"/>
              </w:rPr>
              <w:t>I</w:t>
            </w:r>
            <w:r>
              <w:rPr>
                <w:spacing w:val="-4"/>
                <w:sz w:val="20"/>
              </w:rPr>
              <w:t xml:space="preserve"> </w:t>
            </w:r>
            <w:r>
              <w:rPr>
                <w:sz w:val="20"/>
              </w:rPr>
              <w:t>don’t</w:t>
            </w:r>
            <w:r>
              <w:rPr>
                <w:spacing w:val="-5"/>
                <w:sz w:val="20"/>
              </w:rPr>
              <w:t xml:space="preserve"> </w:t>
            </w:r>
            <w:r>
              <w:rPr>
                <w:sz w:val="20"/>
              </w:rPr>
              <w:t>need</w:t>
            </w:r>
            <w:r>
              <w:rPr>
                <w:spacing w:val="-4"/>
                <w:sz w:val="20"/>
              </w:rPr>
              <w:t xml:space="preserve"> </w:t>
            </w:r>
            <w:r>
              <w:rPr>
                <w:sz w:val="20"/>
              </w:rPr>
              <w:t>to</w:t>
            </w:r>
            <w:r>
              <w:rPr>
                <w:spacing w:val="-4"/>
                <w:sz w:val="20"/>
              </w:rPr>
              <w:t xml:space="preserve"> </w:t>
            </w:r>
            <w:r>
              <w:rPr>
                <w:sz w:val="20"/>
              </w:rPr>
              <w:t>be</w:t>
            </w:r>
            <w:r>
              <w:rPr>
                <w:spacing w:val="-6"/>
                <w:sz w:val="20"/>
              </w:rPr>
              <w:t xml:space="preserve"> </w:t>
            </w:r>
            <w:r>
              <w:rPr>
                <w:sz w:val="20"/>
              </w:rPr>
              <w:t>here</w:t>
            </w:r>
            <w:r>
              <w:rPr>
                <w:spacing w:val="-5"/>
                <w:sz w:val="20"/>
              </w:rPr>
              <w:t xml:space="preserve"> </w:t>
            </w:r>
            <w:r>
              <w:rPr>
                <w:sz w:val="20"/>
              </w:rPr>
              <w:t>and</w:t>
            </w:r>
            <w:r>
              <w:rPr>
                <w:spacing w:val="-4"/>
                <w:sz w:val="20"/>
              </w:rPr>
              <w:t xml:space="preserve"> </w:t>
            </w:r>
            <w:r>
              <w:rPr>
                <w:sz w:val="20"/>
              </w:rPr>
              <w:t>that</w:t>
            </w:r>
            <w:r>
              <w:rPr>
                <w:spacing w:val="-4"/>
                <w:sz w:val="20"/>
              </w:rPr>
              <w:t xml:space="preserve"> </w:t>
            </w:r>
            <w:r>
              <w:rPr>
                <w:sz w:val="20"/>
              </w:rPr>
              <w:t>she</w:t>
            </w:r>
            <w:r>
              <w:rPr>
                <w:spacing w:val="-6"/>
                <w:sz w:val="20"/>
              </w:rPr>
              <w:t xml:space="preserve"> </w:t>
            </w:r>
            <w:r>
              <w:rPr>
                <w:sz w:val="20"/>
              </w:rPr>
              <w:t>should</w:t>
            </w:r>
            <w:r>
              <w:rPr>
                <w:spacing w:val="-3"/>
                <w:sz w:val="20"/>
              </w:rPr>
              <w:t xml:space="preserve"> </w:t>
            </w:r>
            <w:r>
              <w:rPr>
                <w:sz w:val="20"/>
              </w:rPr>
              <w:t>stay</w:t>
            </w:r>
            <w:r>
              <w:rPr>
                <w:spacing w:val="-4"/>
                <w:sz w:val="20"/>
              </w:rPr>
              <w:t xml:space="preserve"> </w:t>
            </w:r>
            <w:r>
              <w:rPr>
                <w:sz w:val="20"/>
              </w:rPr>
              <w:t>out</w:t>
            </w:r>
            <w:r>
              <w:rPr>
                <w:spacing w:val="-4"/>
                <w:sz w:val="20"/>
              </w:rPr>
              <w:t xml:space="preserve"> </w:t>
            </w:r>
            <w:r>
              <w:rPr>
                <w:sz w:val="20"/>
              </w:rPr>
              <w:t>of</w:t>
            </w:r>
            <w:r>
              <w:rPr>
                <w:spacing w:val="-6"/>
                <w:sz w:val="20"/>
              </w:rPr>
              <w:t xml:space="preserve"> </w:t>
            </w:r>
            <w:r>
              <w:rPr>
                <w:sz w:val="20"/>
              </w:rPr>
              <w:t>my</w:t>
            </w:r>
            <w:r>
              <w:rPr>
                <w:spacing w:val="-4"/>
                <w:sz w:val="20"/>
              </w:rPr>
              <w:t xml:space="preserve"> </w:t>
            </w:r>
            <w:r>
              <w:rPr>
                <w:spacing w:val="-2"/>
                <w:sz w:val="20"/>
              </w:rPr>
              <w:t>business.</w:t>
            </w:r>
          </w:p>
          <w:p w14:paraId="0C401176" w14:textId="77777777" w:rsidR="00DB6E1F" w:rsidRDefault="00F666A6">
            <w:pPr>
              <w:pStyle w:val="TableParagraph"/>
              <w:spacing w:before="118"/>
              <w:ind w:left="108" w:right="117"/>
              <w:rPr>
                <w:sz w:val="20"/>
              </w:rPr>
            </w:pPr>
            <w:r>
              <w:rPr>
                <w:b/>
                <w:sz w:val="20"/>
              </w:rPr>
              <w:t xml:space="preserve">Counselor: </w:t>
            </w:r>
            <w:r>
              <w:rPr>
                <w:sz w:val="20"/>
              </w:rPr>
              <w:t>I may be wrong, Paul, but as I understand it, that’s not an option for either one of us. I want to support</w:t>
            </w:r>
            <w:r>
              <w:rPr>
                <w:spacing w:val="-1"/>
                <w:sz w:val="20"/>
              </w:rPr>
              <w:t xml:space="preserve"> </w:t>
            </w:r>
            <w:r>
              <w:rPr>
                <w:sz w:val="20"/>
              </w:rPr>
              <w:t>you</w:t>
            </w:r>
            <w:r>
              <w:rPr>
                <w:spacing w:val="-1"/>
                <w:sz w:val="20"/>
              </w:rPr>
              <w:t xml:space="preserve"> </w:t>
            </w:r>
            <w:r>
              <w:rPr>
                <w:sz w:val="20"/>
              </w:rPr>
              <w:t>so</w:t>
            </w:r>
            <w:r>
              <w:rPr>
                <w:spacing w:val="-1"/>
                <w:sz w:val="20"/>
              </w:rPr>
              <w:t xml:space="preserve"> </w:t>
            </w:r>
            <w:r>
              <w:rPr>
                <w:sz w:val="20"/>
              </w:rPr>
              <w:t>that</w:t>
            </w:r>
            <w:r>
              <w:rPr>
                <w:spacing w:val="-4"/>
                <w:sz w:val="20"/>
              </w:rPr>
              <w:t xml:space="preserve"> </w:t>
            </w:r>
            <w:r>
              <w:rPr>
                <w:sz w:val="20"/>
              </w:rPr>
              <w:t>you</w:t>
            </w:r>
            <w:r>
              <w:rPr>
                <w:spacing w:val="-3"/>
                <w:sz w:val="20"/>
              </w:rPr>
              <w:t xml:space="preserve"> </w:t>
            </w:r>
            <w:r>
              <w:rPr>
                <w:sz w:val="20"/>
              </w:rPr>
              <w:t>don’t</w:t>
            </w:r>
            <w:r>
              <w:rPr>
                <w:spacing w:val="-4"/>
                <w:sz w:val="20"/>
              </w:rPr>
              <w:t xml:space="preserve"> </w:t>
            </w:r>
            <w:r>
              <w:rPr>
                <w:sz w:val="20"/>
              </w:rPr>
              <w:t>conflict</w:t>
            </w:r>
            <w:r>
              <w:rPr>
                <w:spacing w:val="-2"/>
                <w:sz w:val="20"/>
              </w:rPr>
              <w:t xml:space="preserve"> </w:t>
            </w:r>
            <w:r>
              <w:rPr>
                <w:sz w:val="20"/>
              </w:rPr>
              <w:t>with</w:t>
            </w:r>
            <w:r>
              <w:rPr>
                <w:spacing w:val="-1"/>
                <w:sz w:val="20"/>
              </w:rPr>
              <w:t xml:space="preserve"> </w:t>
            </w:r>
            <w:r>
              <w:rPr>
                <w:sz w:val="20"/>
              </w:rPr>
              <w:t>your</w:t>
            </w:r>
            <w:r>
              <w:rPr>
                <w:spacing w:val="-2"/>
                <w:sz w:val="20"/>
              </w:rPr>
              <w:t xml:space="preserve"> </w:t>
            </w:r>
            <w:r>
              <w:rPr>
                <w:sz w:val="20"/>
              </w:rPr>
              <w:t>probation</w:t>
            </w:r>
            <w:r>
              <w:rPr>
                <w:spacing w:val="-4"/>
                <w:sz w:val="20"/>
              </w:rPr>
              <w:t xml:space="preserve"> </w:t>
            </w:r>
            <w:r>
              <w:rPr>
                <w:sz w:val="20"/>
              </w:rPr>
              <w:t>officer.</w:t>
            </w:r>
            <w:r>
              <w:rPr>
                <w:spacing w:val="-2"/>
                <w:sz w:val="20"/>
              </w:rPr>
              <w:t xml:space="preserve"> </w:t>
            </w:r>
            <w:r>
              <w:rPr>
                <w:sz w:val="20"/>
              </w:rPr>
              <w:t>F</w:t>
            </w:r>
            <w:r>
              <w:rPr>
                <w:sz w:val="20"/>
              </w:rPr>
              <w:t>or</w:t>
            </w:r>
            <w:r>
              <w:rPr>
                <w:spacing w:val="-2"/>
                <w:sz w:val="20"/>
              </w:rPr>
              <w:t xml:space="preserve"> </w:t>
            </w:r>
            <w:r>
              <w:rPr>
                <w:sz w:val="20"/>
              </w:rPr>
              <w:t>you</w:t>
            </w:r>
            <w:r>
              <w:rPr>
                <w:spacing w:val="-1"/>
                <w:sz w:val="20"/>
              </w:rPr>
              <w:t xml:space="preserve"> </w:t>
            </w:r>
            <w:r>
              <w:rPr>
                <w:sz w:val="20"/>
              </w:rPr>
              <w:t>and</w:t>
            </w:r>
            <w:r>
              <w:rPr>
                <w:spacing w:val="-1"/>
                <w:sz w:val="20"/>
              </w:rPr>
              <w:t xml:space="preserve"> </w:t>
            </w:r>
            <w:r>
              <w:rPr>
                <w:sz w:val="20"/>
              </w:rPr>
              <w:t>her</w:t>
            </w:r>
            <w:r>
              <w:rPr>
                <w:spacing w:val="-2"/>
                <w:sz w:val="20"/>
              </w:rPr>
              <w:t xml:space="preserve"> </w:t>
            </w:r>
            <w:r>
              <w:rPr>
                <w:sz w:val="20"/>
              </w:rPr>
              <w:t>to</w:t>
            </w:r>
            <w:r>
              <w:rPr>
                <w:spacing w:val="-2"/>
                <w:sz w:val="20"/>
              </w:rPr>
              <w:t xml:space="preserve"> </w:t>
            </w:r>
            <w:r>
              <w:rPr>
                <w:sz w:val="20"/>
              </w:rPr>
              <w:t>be</w:t>
            </w:r>
            <w:r>
              <w:rPr>
                <w:spacing w:val="-5"/>
                <w:sz w:val="20"/>
              </w:rPr>
              <w:t xml:space="preserve"> </w:t>
            </w:r>
            <w:r>
              <w:rPr>
                <w:sz w:val="20"/>
              </w:rPr>
              <w:t>in</w:t>
            </w:r>
            <w:r>
              <w:rPr>
                <w:spacing w:val="-1"/>
                <w:sz w:val="20"/>
              </w:rPr>
              <w:t xml:space="preserve"> </w:t>
            </w:r>
            <w:r>
              <w:rPr>
                <w:sz w:val="20"/>
              </w:rPr>
              <w:t>an</w:t>
            </w:r>
            <w:r>
              <w:rPr>
                <w:spacing w:val="-1"/>
                <w:sz w:val="20"/>
              </w:rPr>
              <w:t xml:space="preserve"> </w:t>
            </w:r>
            <w:r>
              <w:rPr>
                <w:sz w:val="20"/>
              </w:rPr>
              <w:t>angry</w:t>
            </w:r>
            <w:r>
              <w:rPr>
                <w:spacing w:val="-1"/>
                <w:sz w:val="20"/>
              </w:rPr>
              <w:t xml:space="preserve"> </w:t>
            </w:r>
            <w:r>
              <w:rPr>
                <w:sz w:val="20"/>
              </w:rPr>
              <w:t>relationship seems</w:t>
            </w:r>
            <w:r>
              <w:rPr>
                <w:spacing w:val="-1"/>
                <w:sz w:val="20"/>
              </w:rPr>
              <w:t xml:space="preserve"> </w:t>
            </w:r>
            <w:r>
              <w:rPr>
                <w:sz w:val="20"/>
              </w:rPr>
              <w:t>a recipe for disaster. I get the</w:t>
            </w:r>
            <w:r>
              <w:rPr>
                <w:spacing w:val="-1"/>
                <w:sz w:val="20"/>
              </w:rPr>
              <w:t xml:space="preserve"> </w:t>
            </w:r>
            <w:r>
              <w:rPr>
                <w:sz w:val="20"/>
              </w:rPr>
              <w:t>sense from</w:t>
            </w:r>
            <w:r>
              <w:rPr>
                <w:spacing w:val="-1"/>
                <w:sz w:val="20"/>
              </w:rPr>
              <w:t xml:space="preserve"> </w:t>
            </w:r>
            <w:r>
              <w:rPr>
                <w:sz w:val="20"/>
              </w:rPr>
              <w:t>listening to you that</w:t>
            </w:r>
            <w:r>
              <w:rPr>
                <w:spacing w:val="-2"/>
                <w:sz w:val="20"/>
              </w:rPr>
              <w:t xml:space="preserve"> </w:t>
            </w:r>
            <w:r>
              <w:rPr>
                <w:sz w:val="20"/>
              </w:rPr>
              <w:t>you’re</w:t>
            </w:r>
            <w:r>
              <w:rPr>
                <w:spacing w:val="-1"/>
                <w:sz w:val="20"/>
              </w:rPr>
              <w:t xml:space="preserve"> </w:t>
            </w:r>
            <w:r>
              <w:rPr>
                <w:sz w:val="20"/>
              </w:rPr>
              <w:t>really committed to yourself</w:t>
            </w:r>
            <w:r>
              <w:rPr>
                <w:spacing w:val="-2"/>
                <w:sz w:val="20"/>
              </w:rPr>
              <w:t xml:space="preserve"> </w:t>
            </w:r>
            <w:r>
              <w:rPr>
                <w:b/>
                <w:sz w:val="20"/>
              </w:rPr>
              <w:t xml:space="preserve">and </w:t>
            </w:r>
            <w:r>
              <w:rPr>
                <w:sz w:val="20"/>
              </w:rPr>
              <w:t xml:space="preserve">to your family. </w:t>
            </w:r>
            <w:r>
              <w:rPr>
                <w:i/>
                <w:sz w:val="20"/>
              </w:rPr>
              <w:t xml:space="preserve">(Affirmation) </w:t>
            </w:r>
            <w:r>
              <w:rPr>
                <w:sz w:val="20"/>
              </w:rPr>
              <w:t>The last thing you want to do is to wind up in prison facing that 4-year sentence.</w:t>
            </w:r>
          </w:p>
          <w:p w14:paraId="10EA80F6" w14:textId="77777777" w:rsidR="00DB6E1F" w:rsidRDefault="00F666A6">
            <w:pPr>
              <w:pStyle w:val="TableParagraph"/>
              <w:spacing w:before="123"/>
              <w:ind w:left="108"/>
              <w:rPr>
                <w:sz w:val="20"/>
              </w:rPr>
            </w:pPr>
            <w:r>
              <w:rPr>
                <w:b/>
                <w:sz w:val="20"/>
              </w:rPr>
              <w:t>Client:</w:t>
            </w:r>
            <w:r>
              <w:rPr>
                <w:b/>
                <w:spacing w:val="-5"/>
                <w:sz w:val="20"/>
              </w:rPr>
              <w:t xml:space="preserve"> </w:t>
            </w:r>
            <w:r>
              <w:rPr>
                <w:sz w:val="20"/>
              </w:rPr>
              <w:t>You</w:t>
            </w:r>
            <w:r>
              <w:rPr>
                <w:spacing w:val="-4"/>
                <w:sz w:val="20"/>
              </w:rPr>
              <w:t xml:space="preserve"> </w:t>
            </w:r>
            <w:r>
              <w:rPr>
                <w:sz w:val="20"/>
              </w:rPr>
              <w:t>got</w:t>
            </w:r>
            <w:r>
              <w:rPr>
                <w:spacing w:val="-5"/>
                <w:sz w:val="20"/>
              </w:rPr>
              <w:t xml:space="preserve"> </w:t>
            </w:r>
            <w:r>
              <w:rPr>
                <w:sz w:val="20"/>
              </w:rPr>
              <w:t>that</w:t>
            </w:r>
            <w:r>
              <w:rPr>
                <w:spacing w:val="-5"/>
                <w:sz w:val="20"/>
              </w:rPr>
              <w:t xml:space="preserve"> </w:t>
            </w:r>
            <w:r>
              <w:rPr>
                <w:spacing w:val="-2"/>
                <w:sz w:val="20"/>
              </w:rPr>
              <w:t>straight.</w:t>
            </w:r>
          </w:p>
          <w:p w14:paraId="0F620D79" w14:textId="77777777" w:rsidR="00DB6E1F" w:rsidRDefault="00F666A6">
            <w:pPr>
              <w:pStyle w:val="TableParagraph"/>
              <w:spacing w:before="118"/>
              <w:ind w:left="108"/>
              <w:rPr>
                <w:i/>
                <w:sz w:val="20"/>
              </w:rPr>
            </w:pPr>
            <w:r>
              <w:rPr>
                <w:b/>
                <w:sz w:val="20"/>
              </w:rPr>
              <w:t>Counselor:</w:t>
            </w:r>
            <w:r>
              <w:rPr>
                <w:b/>
                <w:spacing w:val="-5"/>
                <w:sz w:val="20"/>
              </w:rPr>
              <w:t xml:space="preserve"> </w:t>
            </w:r>
            <w:r>
              <w:rPr>
                <w:sz w:val="20"/>
              </w:rPr>
              <w:t>So,</w:t>
            </w:r>
            <w:r>
              <w:rPr>
                <w:spacing w:val="-4"/>
                <w:sz w:val="20"/>
              </w:rPr>
              <w:t xml:space="preserve"> </w:t>
            </w:r>
            <w:r>
              <w:rPr>
                <w:sz w:val="20"/>
              </w:rPr>
              <w:t>it</w:t>
            </w:r>
            <w:r>
              <w:rPr>
                <w:spacing w:val="-5"/>
                <w:sz w:val="20"/>
              </w:rPr>
              <w:t xml:space="preserve"> </w:t>
            </w:r>
            <w:r>
              <w:rPr>
                <w:sz w:val="20"/>
              </w:rPr>
              <w:t>seems</w:t>
            </w:r>
            <w:r>
              <w:rPr>
                <w:spacing w:val="-6"/>
                <w:sz w:val="20"/>
              </w:rPr>
              <w:t xml:space="preserve"> </w:t>
            </w:r>
            <w:r>
              <w:rPr>
                <w:sz w:val="20"/>
              </w:rPr>
              <w:t>to</w:t>
            </w:r>
            <w:r>
              <w:rPr>
                <w:spacing w:val="-5"/>
                <w:sz w:val="20"/>
              </w:rPr>
              <w:t xml:space="preserve"> </w:t>
            </w:r>
            <w:r>
              <w:rPr>
                <w:sz w:val="20"/>
              </w:rPr>
              <w:t>me</w:t>
            </w:r>
            <w:r>
              <w:rPr>
                <w:spacing w:val="-3"/>
                <w:sz w:val="20"/>
              </w:rPr>
              <w:t xml:space="preserve"> </w:t>
            </w:r>
            <w:r>
              <w:rPr>
                <w:sz w:val="20"/>
              </w:rPr>
              <w:t>you’ve</w:t>
            </w:r>
            <w:r>
              <w:rPr>
                <w:spacing w:val="-6"/>
                <w:sz w:val="20"/>
              </w:rPr>
              <w:t xml:space="preserve"> </w:t>
            </w:r>
            <w:r>
              <w:rPr>
                <w:sz w:val="20"/>
              </w:rPr>
              <w:t>made</w:t>
            </w:r>
            <w:r>
              <w:rPr>
                <w:spacing w:val="-6"/>
                <w:sz w:val="20"/>
              </w:rPr>
              <w:t xml:space="preserve"> </w:t>
            </w:r>
            <w:r>
              <w:rPr>
                <w:sz w:val="20"/>
              </w:rPr>
              <w:t>some</w:t>
            </w:r>
            <w:r>
              <w:rPr>
                <w:spacing w:val="-6"/>
                <w:sz w:val="20"/>
              </w:rPr>
              <w:t xml:space="preserve"> </w:t>
            </w:r>
            <w:r>
              <w:rPr>
                <w:sz w:val="20"/>
              </w:rPr>
              <w:t>good</w:t>
            </w:r>
            <w:r>
              <w:rPr>
                <w:spacing w:val="-4"/>
                <w:sz w:val="20"/>
              </w:rPr>
              <w:t xml:space="preserve"> </w:t>
            </w:r>
            <w:r>
              <w:rPr>
                <w:sz w:val="20"/>
              </w:rPr>
              <w:t>choices</w:t>
            </w:r>
            <w:r>
              <w:rPr>
                <w:spacing w:val="-4"/>
                <w:sz w:val="20"/>
              </w:rPr>
              <w:t xml:space="preserve"> </w:t>
            </w:r>
            <w:r>
              <w:rPr>
                <w:sz w:val="20"/>
              </w:rPr>
              <w:t>so</w:t>
            </w:r>
            <w:r>
              <w:rPr>
                <w:spacing w:val="-5"/>
                <w:sz w:val="20"/>
              </w:rPr>
              <w:t xml:space="preserve"> </w:t>
            </w:r>
            <w:r>
              <w:rPr>
                <w:sz w:val="20"/>
              </w:rPr>
              <w:t>far.</w:t>
            </w:r>
            <w:r>
              <w:rPr>
                <w:spacing w:val="-5"/>
                <w:sz w:val="20"/>
              </w:rPr>
              <w:t xml:space="preserve"> </w:t>
            </w:r>
            <w:r>
              <w:rPr>
                <w:i/>
                <w:spacing w:val="-2"/>
                <w:sz w:val="20"/>
              </w:rPr>
              <w:t>(Reframe)</w:t>
            </w:r>
          </w:p>
          <w:p w14:paraId="3FABA5F6" w14:textId="77777777" w:rsidR="00DB6E1F" w:rsidRDefault="00F666A6">
            <w:pPr>
              <w:pStyle w:val="TableParagraph"/>
              <w:spacing w:before="121"/>
              <w:ind w:left="108"/>
              <w:rPr>
                <w:sz w:val="20"/>
              </w:rPr>
            </w:pPr>
            <w:r>
              <w:rPr>
                <w:b/>
                <w:sz w:val="20"/>
              </w:rPr>
              <w:t>Client:</w:t>
            </w:r>
            <w:r>
              <w:rPr>
                <w:b/>
                <w:spacing w:val="-5"/>
                <w:sz w:val="20"/>
              </w:rPr>
              <w:t xml:space="preserve"> </w:t>
            </w:r>
            <w:r>
              <w:rPr>
                <w:sz w:val="20"/>
              </w:rPr>
              <w:t>What</w:t>
            </w:r>
            <w:r>
              <w:rPr>
                <w:spacing w:val="-4"/>
                <w:sz w:val="20"/>
              </w:rPr>
              <w:t xml:space="preserve"> </w:t>
            </w:r>
            <w:r>
              <w:rPr>
                <w:sz w:val="20"/>
              </w:rPr>
              <w:t>do</w:t>
            </w:r>
            <w:r>
              <w:rPr>
                <w:spacing w:val="-4"/>
                <w:sz w:val="20"/>
              </w:rPr>
              <w:t xml:space="preserve"> </w:t>
            </w:r>
            <w:r>
              <w:rPr>
                <w:sz w:val="20"/>
              </w:rPr>
              <w:t>you</w:t>
            </w:r>
            <w:r>
              <w:rPr>
                <w:spacing w:val="-3"/>
                <w:sz w:val="20"/>
              </w:rPr>
              <w:t xml:space="preserve"> </w:t>
            </w:r>
            <w:r>
              <w:rPr>
                <w:spacing w:val="-2"/>
                <w:sz w:val="20"/>
              </w:rPr>
              <w:t>mean?</w:t>
            </w:r>
          </w:p>
          <w:p w14:paraId="370AA163" w14:textId="77777777" w:rsidR="00DB6E1F" w:rsidRDefault="00F666A6">
            <w:pPr>
              <w:pStyle w:val="TableParagraph"/>
              <w:spacing w:before="118"/>
              <w:ind w:left="108" w:right="169"/>
              <w:rPr>
                <w:i/>
                <w:sz w:val="20"/>
              </w:rPr>
            </w:pPr>
            <w:r>
              <w:rPr>
                <w:b/>
                <w:sz w:val="20"/>
              </w:rPr>
              <w:t>Counselor:</w:t>
            </w:r>
            <w:r>
              <w:rPr>
                <w:b/>
                <w:spacing w:val="-3"/>
                <w:sz w:val="20"/>
              </w:rPr>
              <w:t xml:space="preserve"> </w:t>
            </w:r>
            <w:r>
              <w:rPr>
                <w:sz w:val="20"/>
              </w:rPr>
              <w:t>Well,</w:t>
            </w:r>
            <w:r>
              <w:rPr>
                <w:spacing w:val="-2"/>
                <w:sz w:val="20"/>
              </w:rPr>
              <w:t xml:space="preserve"> </w:t>
            </w:r>
            <w:r>
              <w:rPr>
                <w:sz w:val="20"/>
              </w:rPr>
              <w:t>you</w:t>
            </w:r>
            <w:r>
              <w:rPr>
                <w:spacing w:val="-2"/>
                <w:sz w:val="20"/>
              </w:rPr>
              <w:t xml:space="preserve"> </w:t>
            </w:r>
            <w:r>
              <w:rPr>
                <w:sz w:val="20"/>
              </w:rPr>
              <w:t>could</w:t>
            </w:r>
            <w:r>
              <w:rPr>
                <w:spacing w:val="-2"/>
                <w:sz w:val="20"/>
              </w:rPr>
              <w:t xml:space="preserve"> </w:t>
            </w:r>
            <w:r>
              <w:rPr>
                <w:sz w:val="20"/>
              </w:rPr>
              <w:t>have</w:t>
            </w:r>
            <w:r>
              <w:rPr>
                <w:spacing w:val="-4"/>
                <w:sz w:val="20"/>
              </w:rPr>
              <w:t xml:space="preserve"> </w:t>
            </w:r>
            <w:r>
              <w:rPr>
                <w:sz w:val="20"/>
              </w:rPr>
              <w:t>just</w:t>
            </w:r>
            <w:r>
              <w:rPr>
                <w:spacing w:val="-3"/>
                <w:sz w:val="20"/>
              </w:rPr>
              <w:t xml:space="preserve"> </w:t>
            </w:r>
            <w:r>
              <w:rPr>
                <w:sz w:val="20"/>
              </w:rPr>
              <w:t>blown</w:t>
            </w:r>
            <w:r>
              <w:rPr>
                <w:spacing w:val="-2"/>
                <w:sz w:val="20"/>
              </w:rPr>
              <w:t xml:space="preserve"> </w:t>
            </w:r>
            <w:r>
              <w:rPr>
                <w:sz w:val="20"/>
              </w:rPr>
              <w:t>this</w:t>
            </w:r>
            <w:r>
              <w:rPr>
                <w:spacing w:val="-4"/>
                <w:sz w:val="20"/>
              </w:rPr>
              <w:t xml:space="preserve"> </w:t>
            </w:r>
            <w:r>
              <w:rPr>
                <w:sz w:val="20"/>
              </w:rPr>
              <w:t>whole</w:t>
            </w:r>
            <w:r>
              <w:rPr>
                <w:spacing w:val="-4"/>
                <w:sz w:val="20"/>
              </w:rPr>
              <w:t xml:space="preserve"> </w:t>
            </w:r>
            <w:r>
              <w:rPr>
                <w:sz w:val="20"/>
              </w:rPr>
              <w:t>appointment</w:t>
            </w:r>
            <w:r>
              <w:rPr>
                <w:spacing w:val="-3"/>
                <w:sz w:val="20"/>
              </w:rPr>
              <w:t xml:space="preserve"> </w:t>
            </w:r>
            <w:r>
              <w:rPr>
                <w:sz w:val="20"/>
              </w:rPr>
              <w:t>off,</w:t>
            </w:r>
            <w:r>
              <w:rPr>
                <w:spacing w:val="-2"/>
                <w:sz w:val="20"/>
              </w:rPr>
              <w:t xml:space="preserve"> </w:t>
            </w:r>
            <w:r>
              <w:rPr>
                <w:sz w:val="20"/>
              </w:rPr>
              <w:t>but</w:t>
            </w:r>
            <w:r>
              <w:rPr>
                <w:spacing w:val="-3"/>
                <w:sz w:val="20"/>
              </w:rPr>
              <w:t xml:space="preserve"> </w:t>
            </w:r>
            <w:r>
              <w:rPr>
                <w:sz w:val="20"/>
              </w:rPr>
              <w:t>you</w:t>
            </w:r>
            <w:r>
              <w:rPr>
                <w:spacing w:val="-2"/>
                <w:sz w:val="20"/>
              </w:rPr>
              <w:t xml:space="preserve"> </w:t>
            </w:r>
            <w:r>
              <w:rPr>
                <w:sz w:val="20"/>
              </w:rPr>
              <w:t>didn't.</w:t>
            </w:r>
            <w:r>
              <w:rPr>
                <w:spacing w:val="-3"/>
                <w:sz w:val="20"/>
              </w:rPr>
              <w:t xml:space="preserve"> </w:t>
            </w:r>
            <w:r>
              <w:rPr>
                <w:sz w:val="20"/>
              </w:rPr>
              <w:t>You</w:t>
            </w:r>
            <w:r>
              <w:rPr>
                <w:spacing w:val="-2"/>
                <w:sz w:val="20"/>
              </w:rPr>
              <w:t xml:space="preserve"> </w:t>
            </w:r>
            <w:r>
              <w:rPr>
                <w:sz w:val="20"/>
              </w:rPr>
              <w:t>made</w:t>
            </w:r>
            <w:r>
              <w:rPr>
                <w:spacing w:val="-4"/>
                <w:sz w:val="20"/>
              </w:rPr>
              <w:t xml:space="preserve"> </w:t>
            </w:r>
            <w:r>
              <w:rPr>
                <w:sz w:val="20"/>
              </w:rPr>
              <w:t>a</w:t>
            </w:r>
            <w:r>
              <w:rPr>
                <w:spacing w:val="-3"/>
                <w:sz w:val="20"/>
              </w:rPr>
              <w:t xml:space="preserve"> </w:t>
            </w:r>
            <w:r>
              <w:rPr>
                <w:sz w:val="20"/>
              </w:rPr>
              <w:t>series</w:t>
            </w:r>
            <w:r>
              <w:rPr>
                <w:spacing w:val="-4"/>
                <w:sz w:val="20"/>
              </w:rPr>
              <w:t xml:space="preserve"> </w:t>
            </w:r>
            <w:r>
              <w:rPr>
                <w:sz w:val="20"/>
              </w:rPr>
              <w:t>of choices that make it clear to me that you’re committed to your family, yourself, your business, and for that matter your freedom. I can respect that commitment and would like to support you in</w:t>
            </w:r>
            <w:r>
              <w:rPr>
                <w:spacing w:val="-1"/>
                <w:sz w:val="20"/>
              </w:rPr>
              <w:t xml:space="preserve"> </w:t>
            </w:r>
            <w:r>
              <w:rPr>
                <w:sz w:val="20"/>
              </w:rPr>
              <w:t xml:space="preserve">honoring the choices you’ve already made. </w:t>
            </w:r>
            <w:r>
              <w:rPr>
                <w:i/>
                <w:sz w:val="20"/>
              </w:rPr>
              <w:t>(Affirmation and e</w:t>
            </w:r>
            <w:r>
              <w:rPr>
                <w:i/>
                <w:sz w:val="20"/>
              </w:rPr>
              <w:t>mphasizing personal autonomy)</w:t>
            </w:r>
          </w:p>
          <w:p w14:paraId="2DDE36B2" w14:textId="77777777" w:rsidR="00DB6E1F" w:rsidRDefault="00F666A6">
            <w:pPr>
              <w:pStyle w:val="TableParagraph"/>
              <w:spacing w:before="123"/>
              <w:ind w:left="108"/>
              <w:rPr>
                <w:sz w:val="20"/>
              </w:rPr>
            </w:pPr>
            <w:r>
              <w:rPr>
                <w:b/>
                <w:sz w:val="20"/>
              </w:rPr>
              <w:t>Client:</w:t>
            </w:r>
            <w:r>
              <w:rPr>
                <w:b/>
                <w:spacing w:val="-5"/>
                <w:sz w:val="20"/>
              </w:rPr>
              <w:t xml:space="preserve"> </w:t>
            </w:r>
            <w:r>
              <w:rPr>
                <w:sz w:val="20"/>
              </w:rPr>
              <w:t>Does</w:t>
            </w:r>
            <w:r>
              <w:rPr>
                <w:spacing w:val="-5"/>
                <w:sz w:val="20"/>
              </w:rPr>
              <w:t xml:space="preserve"> </w:t>
            </w:r>
            <w:r>
              <w:rPr>
                <w:sz w:val="20"/>
              </w:rPr>
              <w:t>that</w:t>
            </w:r>
            <w:r>
              <w:rPr>
                <w:spacing w:val="-4"/>
                <w:sz w:val="20"/>
              </w:rPr>
              <w:t xml:space="preserve"> </w:t>
            </w:r>
            <w:r>
              <w:rPr>
                <w:sz w:val="20"/>
              </w:rPr>
              <w:t>mean</w:t>
            </w:r>
            <w:r>
              <w:rPr>
                <w:spacing w:val="-3"/>
                <w:sz w:val="20"/>
              </w:rPr>
              <w:t xml:space="preserve"> </w:t>
            </w:r>
            <w:r>
              <w:rPr>
                <w:sz w:val="20"/>
              </w:rPr>
              <w:t>I’m</w:t>
            </w:r>
            <w:r>
              <w:rPr>
                <w:spacing w:val="-5"/>
                <w:sz w:val="20"/>
              </w:rPr>
              <w:t xml:space="preserve"> </w:t>
            </w:r>
            <w:r>
              <w:rPr>
                <w:sz w:val="20"/>
              </w:rPr>
              <w:t>not</w:t>
            </w:r>
            <w:r>
              <w:rPr>
                <w:spacing w:val="-5"/>
                <w:sz w:val="20"/>
              </w:rPr>
              <w:t xml:space="preserve"> </w:t>
            </w:r>
            <w:r>
              <w:rPr>
                <w:sz w:val="20"/>
              </w:rPr>
              <w:t>going</w:t>
            </w:r>
            <w:r>
              <w:rPr>
                <w:spacing w:val="-4"/>
                <w:sz w:val="20"/>
              </w:rPr>
              <w:t xml:space="preserve"> </w:t>
            </w:r>
            <w:r>
              <w:rPr>
                <w:sz w:val="20"/>
              </w:rPr>
              <w:t>to</w:t>
            </w:r>
            <w:r>
              <w:rPr>
                <w:spacing w:val="-4"/>
                <w:sz w:val="20"/>
              </w:rPr>
              <w:t xml:space="preserve"> </w:t>
            </w:r>
            <w:r>
              <w:rPr>
                <w:sz w:val="20"/>
              </w:rPr>
              <w:t>have</w:t>
            </w:r>
            <w:r>
              <w:rPr>
                <w:spacing w:val="-5"/>
                <w:sz w:val="20"/>
              </w:rPr>
              <w:t xml:space="preserve"> </w:t>
            </w:r>
            <w:r>
              <w:rPr>
                <w:sz w:val="20"/>
              </w:rPr>
              <w:t>to</w:t>
            </w:r>
            <w:r>
              <w:rPr>
                <w:spacing w:val="-4"/>
                <w:sz w:val="20"/>
              </w:rPr>
              <w:t xml:space="preserve"> </w:t>
            </w:r>
            <w:r>
              <w:rPr>
                <w:sz w:val="20"/>
              </w:rPr>
              <w:t>come</w:t>
            </w:r>
            <w:r>
              <w:rPr>
                <w:spacing w:val="-5"/>
                <w:sz w:val="20"/>
              </w:rPr>
              <w:t xml:space="preserve"> </w:t>
            </w:r>
            <w:r>
              <w:rPr>
                <w:sz w:val="20"/>
              </w:rPr>
              <w:t>to</w:t>
            </w:r>
            <w:r>
              <w:rPr>
                <w:spacing w:val="-5"/>
                <w:sz w:val="20"/>
              </w:rPr>
              <w:t xml:space="preserve"> </w:t>
            </w:r>
            <w:r>
              <w:rPr>
                <w:sz w:val="20"/>
              </w:rPr>
              <w:t>these</w:t>
            </w:r>
            <w:r>
              <w:rPr>
                <w:spacing w:val="-5"/>
                <w:sz w:val="20"/>
              </w:rPr>
              <w:t xml:space="preserve"> </w:t>
            </w:r>
            <w:r>
              <w:rPr>
                <w:spacing w:val="-2"/>
                <w:sz w:val="20"/>
              </w:rPr>
              <w:t>classes?</w:t>
            </w:r>
          </w:p>
          <w:p w14:paraId="40E51B70" w14:textId="77777777" w:rsidR="00DB6E1F" w:rsidRDefault="00F666A6">
            <w:pPr>
              <w:pStyle w:val="TableParagraph"/>
              <w:spacing w:before="118"/>
              <w:ind w:left="108"/>
              <w:rPr>
                <w:i/>
                <w:sz w:val="20"/>
              </w:rPr>
            </w:pPr>
            <w:r>
              <w:rPr>
                <w:b/>
                <w:sz w:val="20"/>
              </w:rPr>
              <w:t>Counselor:</w:t>
            </w:r>
            <w:r>
              <w:rPr>
                <w:b/>
                <w:spacing w:val="-2"/>
                <w:sz w:val="20"/>
              </w:rPr>
              <w:t xml:space="preserve"> </w:t>
            </w:r>
            <w:r>
              <w:rPr>
                <w:sz w:val="20"/>
              </w:rPr>
              <w:t>No,</w:t>
            </w:r>
            <w:r>
              <w:rPr>
                <w:spacing w:val="-2"/>
                <w:sz w:val="20"/>
              </w:rPr>
              <w:t xml:space="preserve"> </w:t>
            </w:r>
            <w:r>
              <w:rPr>
                <w:sz w:val="20"/>
              </w:rPr>
              <w:t>I</w:t>
            </w:r>
            <w:r>
              <w:rPr>
                <w:spacing w:val="-4"/>
                <w:sz w:val="20"/>
              </w:rPr>
              <w:t xml:space="preserve"> </w:t>
            </w:r>
            <w:r>
              <w:rPr>
                <w:sz w:val="20"/>
              </w:rPr>
              <w:t>don’t</w:t>
            </w:r>
            <w:r>
              <w:rPr>
                <w:spacing w:val="-4"/>
                <w:sz w:val="20"/>
              </w:rPr>
              <w:t xml:space="preserve"> </w:t>
            </w:r>
            <w:r>
              <w:rPr>
                <w:sz w:val="20"/>
              </w:rPr>
              <w:t>have</w:t>
            </w:r>
            <w:r>
              <w:rPr>
                <w:spacing w:val="-3"/>
                <w:sz w:val="20"/>
              </w:rPr>
              <w:t xml:space="preserve"> </w:t>
            </w:r>
            <w:r>
              <w:rPr>
                <w:sz w:val="20"/>
              </w:rPr>
              <w:t>the</w:t>
            </w:r>
            <w:r>
              <w:rPr>
                <w:spacing w:val="-3"/>
                <w:sz w:val="20"/>
              </w:rPr>
              <w:t xml:space="preserve"> </w:t>
            </w:r>
            <w:r>
              <w:rPr>
                <w:sz w:val="20"/>
              </w:rPr>
              <w:t>power</w:t>
            </w:r>
            <w:r>
              <w:rPr>
                <w:spacing w:val="-2"/>
                <w:sz w:val="20"/>
              </w:rPr>
              <w:t xml:space="preserve"> </w:t>
            </w:r>
            <w:r>
              <w:rPr>
                <w:sz w:val="20"/>
              </w:rPr>
              <w:t>to</w:t>
            </w:r>
            <w:r>
              <w:rPr>
                <w:spacing w:val="-1"/>
                <w:sz w:val="20"/>
              </w:rPr>
              <w:t xml:space="preserve"> </w:t>
            </w:r>
            <w:r>
              <w:rPr>
                <w:sz w:val="20"/>
              </w:rPr>
              <w:t>make</w:t>
            </w:r>
            <w:r>
              <w:rPr>
                <w:spacing w:val="-3"/>
                <w:sz w:val="20"/>
              </w:rPr>
              <w:t xml:space="preserve"> </w:t>
            </w:r>
            <w:r>
              <w:rPr>
                <w:sz w:val="20"/>
              </w:rPr>
              <w:t>that</w:t>
            </w:r>
            <w:r>
              <w:rPr>
                <w:spacing w:val="-2"/>
                <w:sz w:val="20"/>
              </w:rPr>
              <w:t xml:space="preserve"> </w:t>
            </w:r>
            <w:r>
              <w:rPr>
                <w:sz w:val="20"/>
              </w:rPr>
              <w:t>kind</w:t>
            </w:r>
            <w:r>
              <w:rPr>
                <w:spacing w:val="-1"/>
                <w:sz w:val="20"/>
              </w:rPr>
              <w:t xml:space="preserve"> </w:t>
            </w:r>
            <w:r>
              <w:rPr>
                <w:sz w:val="20"/>
              </w:rPr>
              <w:t>of</w:t>
            </w:r>
            <w:r>
              <w:rPr>
                <w:spacing w:val="-5"/>
                <w:sz w:val="20"/>
              </w:rPr>
              <w:t xml:space="preserve"> </w:t>
            </w:r>
            <w:r>
              <w:rPr>
                <w:sz w:val="20"/>
              </w:rPr>
              <w:t>decision.</w:t>
            </w:r>
            <w:r>
              <w:rPr>
                <w:spacing w:val="-2"/>
                <w:sz w:val="20"/>
              </w:rPr>
              <w:t xml:space="preserve"> </w:t>
            </w:r>
            <w:r>
              <w:rPr>
                <w:sz w:val="20"/>
              </w:rPr>
              <w:t>However,</w:t>
            </w:r>
            <w:r>
              <w:rPr>
                <w:spacing w:val="-1"/>
                <w:sz w:val="20"/>
              </w:rPr>
              <w:t xml:space="preserve"> </w:t>
            </w:r>
            <w:r>
              <w:rPr>
                <w:sz w:val="20"/>
              </w:rPr>
              <w:t>you</w:t>
            </w:r>
            <w:r>
              <w:rPr>
                <w:spacing w:val="-1"/>
                <w:sz w:val="20"/>
              </w:rPr>
              <w:t xml:space="preserve"> </w:t>
            </w:r>
            <w:r>
              <w:rPr>
                <w:sz w:val="20"/>
              </w:rPr>
              <w:t>and</w:t>
            </w:r>
            <w:r>
              <w:rPr>
                <w:spacing w:val="-1"/>
                <w:sz w:val="20"/>
              </w:rPr>
              <w:t xml:space="preserve"> </w:t>
            </w:r>
            <w:r>
              <w:rPr>
                <w:sz w:val="20"/>
              </w:rPr>
              <w:t>I</w:t>
            </w:r>
            <w:r>
              <w:rPr>
                <w:spacing w:val="-4"/>
                <w:sz w:val="20"/>
              </w:rPr>
              <w:t xml:space="preserve"> </w:t>
            </w:r>
            <w:r>
              <w:rPr>
                <w:sz w:val="20"/>
              </w:rPr>
              <w:t>can</w:t>
            </w:r>
            <w:r>
              <w:rPr>
                <w:spacing w:val="-1"/>
                <w:sz w:val="20"/>
              </w:rPr>
              <w:t xml:space="preserve"> </w:t>
            </w:r>
            <w:r>
              <w:rPr>
                <w:sz w:val="20"/>
              </w:rPr>
              <w:t>work</w:t>
            </w:r>
            <w:r>
              <w:rPr>
                <w:spacing w:val="-1"/>
                <w:sz w:val="20"/>
              </w:rPr>
              <w:t xml:space="preserve"> </w:t>
            </w:r>
            <w:r>
              <w:rPr>
                <w:sz w:val="20"/>
              </w:rPr>
              <w:t>together</w:t>
            </w:r>
            <w:r>
              <w:rPr>
                <w:spacing w:val="-2"/>
                <w:sz w:val="20"/>
              </w:rPr>
              <w:t xml:space="preserve"> </w:t>
            </w:r>
            <w:r>
              <w:rPr>
                <w:sz w:val="20"/>
              </w:rPr>
              <w:t xml:space="preserve">to figure out how you might use this course to benefit you. </w:t>
            </w:r>
            <w:r>
              <w:rPr>
                <w:i/>
                <w:sz w:val="20"/>
              </w:rPr>
              <w:t>(Partnership)</w:t>
            </w:r>
          </w:p>
          <w:p w14:paraId="305A6A2F" w14:textId="77777777" w:rsidR="00DB6E1F" w:rsidRDefault="00F666A6">
            <w:pPr>
              <w:pStyle w:val="TableParagraph"/>
              <w:spacing w:before="121"/>
              <w:ind w:left="108" w:right="142" w:hanging="1"/>
              <w:rPr>
                <w:sz w:val="20"/>
              </w:rPr>
            </w:pPr>
            <w:r>
              <w:rPr>
                <w:b/>
                <w:sz w:val="20"/>
              </w:rPr>
              <w:t>Client:</w:t>
            </w:r>
            <w:r>
              <w:rPr>
                <w:b/>
                <w:spacing w:val="-2"/>
                <w:sz w:val="20"/>
              </w:rPr>
              <w:t xml:space="preserve"> </w:t>
            </w:r>
            <w:r>
              <w:rPr>
                <w:sz w:val="20"/>
              </w:rPr>
              <w:t>I</w:t>
            </w:r>
            <w:r>
              <w:rPr>
                <w:spacing w:val="-3"/>
                <w:sz w:val="20"/>
              </w:rPr>
              <w:t xml:space="preserve"> </w:t>
            </w:r>
            <w:r>
              <w:rPr>
                <w:sz w:val="20"/>
              </w:rPr>
              <w:t>can’t</w:t>
            </w:r>
            <w:r>
              <w:rPr>
                <w:spacing w:val="-2"/>
                <w:sz w:val="20"/>
              </w:rPr>
              <w:t xml:space="preserve"> </w:t>
            </w:r>
            <w:r>
              <w:rPr>
                <w:sz w:val="20"/>
              </w:rPr>
              <w:t>imagine</w:t>
            </w:r>
            <w:r>
              <w:rPr>
                <w:spacing w:val="-3"/>
                <w:sz w:val="20"/>
              </w:rPr>
              <w:t xml:space="preserve"> </w:t>
            </w:r>
            <w:r>
              <w:rPr>
                <w:sz w:val="20"/>
              </w:rPr>
              <w:t>getting</w:t>
            </w:r>
            <w:r>
              <w:rPr>
                <w:spacing w:val="-2"/>
                <w:sz w:val="20"/>
              </w:rPr>
              <w:t xml:space="preserve"> </w:t>
            </w:r>
            <w:r>
              <w:rPr>
                <w:sz w:val="20"/>
              </w:rPr>
              <w:t>anything</w:t>
            </w:r>
            <w:r>
              <w:rPr>
                <w:spacing w:val="-3"/>
                <w:sz w:val="20"/>
              </w:rPr>
              <w:t xml:space="preserve"> </w:t>
            </w:r>
            <w:r>
              <w:rPr>
                <w:sz w:val="20"/>
              </w:rPr>
              <w:t>out</w:t>
            </w:r>
            <w:r>
              <w:rPr>
                <w:spacing w:val="-2"/>
                <w:sz w:val="20"/>
              </w:rPr>
              <w:t xml:space="preserve"> </w:t>
            </w:r>
            <w:r>
              <w:rPr>
                <w:sz w:val="20"/>
              </w:rPr>
              <w:t>of</w:t>
            </w:r>
            <w:r>
              <w:rPr>
                <w:spacing w:val="-3"/>
                <w:sz w:val="20"/>
              </w:rPr>
              <w:t xml:space="preserve"> </w:t>
            </w:r>
            <w:r>
              <w:rPr>
                <w:sz w:val="20"/>
              </w:rPr>
              <w:t>sitting</w:t>
            </w:r>
            <w:r>
              <w:rPr>
                <w:spacing w:val="-2"/>
                <w:sz w:val="20"/>
              </w:rPr>
              <w:t xml:space="preserve"> </w:t>
            </w:r>
            <w:r>
              <w:rPr>
                <w:sz w:val="20"/>
              </w:rPr>
              <w:t>around</w:t>
            </w:r>
            <w:r>
              <w:rPr>
                <w:spacing w:val="-4"/>
                <w:sz w:val="20"/>
              </w:rPr>
              <w:t xml:space="preserve"> </w:t>
            </w:r>
            <w:r>
              <w:rPr>
                <w:sz w:val="20"/>
              </w:rPr>
              <w:t>with</w:t>
            </w:r>
            <w:r>
              <w:rPr>
                <w:spacing w:val="-2"/>
                <w:sz w:val="20"/>
              </w:rPr>
              <w:t xml:space="preserve"> </w:t>
            </w:r>
            <w:r>
              <w:rPr>
                <w:sz w:val="20"/>
              </w:rPr>
              <w:t>a</w:t>
            </w:r>
            <w:r>
              <w:rPr>
                <w:spacing w:val="-2"/>
                <w:sz w:val="20"/>
              </w:rPr>
              <w:t xml:space="preserve"> </w:t>
            </w:r>
            <w:r>
              <w:rPr>
                <w:sz w:val="20"/>
              </w:rPr>
              <w:t>bunch</w:t>
            </w:r>
            <w:r>
              <w:rPr>
                <w:spacing w:val="-2"/>
                <w:sz w:val="20"/>
              </w:rPr>
              <w:t xml:space="preserve"> </w:t>
            </w:r>
            <w:r>
              <w:rPr>
                <w:sz w:val="20"/>
              </w:rPr>
              <w:t>of</w:t>
            </w:r>
            <w:r>
              <w:rPr>
                <w:spacing w:val="-3"/>
                <w:sz w:val="20"/>
              </w:rPr>
              <w:t xml:space="preserve"> </w:t>
            </w:r>
            <w:r>
              <w:rPr>
                <w:sz w:val="20"/>
              </w:rPr>
              <w:t>drunks,</w:t>
            </w:r>
            <w:r>
              <w:rPr>
                <w:spacing w:val="-2"/>
                <w:sz w:val="20"/>
              </w:rPr>
              <w:t xml:space="preserve"> </w:t>
            </w:r>
            <w:r>
              <w:rPr>
                <w:sz w:val="20"/>
              </w:rPr>
              <w:t>talking</w:t>
            </w:r>
            <w:r>
              <w:rPr>
                <w:spacing w:val="-2"/>
                <w:sz w:val="20"/>
              </w:rPr>
              <w:t xml:space="preserve"> </w:t>
            </w:r>
            <w:r>
              <w:rPr>
                <w:sz w:val="20"/>
              </w:rPr>
              <w:t>about</w:t>
            </w:r>
            <w:r>
              <w:rPr>
                <w:spacing w:val="-3"/>
                <w:sz w:val="20"/>
              </w:rPr>
              <w:t xml:space="preserve"> </w:t>
            </w:r>
            <w:r>
              <w:rPr>
                <w:sz w:val="20"/>
              </w:rPr>
              <w:t>our</w:t>
            </w:r>
            <w:r>
              <w:rPr>
                <w:spacing w:val="-2"/>
                <w:sz w:val="20"/>
              </w:rPr>
              <w:t xml:space="preserve"> </w:t>
            </w:r>
            <w:r>
              <w:rPr>
                <w:sz w:val="20"/>
              </w:rPr>
              <w:t>feelings, and whining about all the bad things going on in our lives.</w:t>
            </w:r>
          </w:p>
          <w:p w14:paraId="17A86664" w14:textId="77777777" w:rsidR="00DB6E1F" w:rsidRDefault="00F666A6">
            <w:pPr>
              <w:pStyle w:val="TableParagraph"/>
              <w:spacing w:before="119"/>
              <w:ind w:left="108" w:right="169"/>
              <w:rPr>
                <w:i/>
                <w:sz w:val="20"/>
              </w:rPr>
            </w:pPr>
            <w:r>
              <w:rPr>
                <w:b/>
                <w:sz w:val="20"/>
              </w:rPr>
              <w:t>Counsel</w:t>
            </w:r>
            <w:r>
              <w:rPr>
                <w:b/>
                <w:sz w:val="20"/>
              </w:rPr>
              <w:t>or:</w:t>
            </w:r>
            <w:r>
              <w:rPr>
                <w:b/>
                <w:spacing w:val="-2"/>
                <w:sz w:val="20"/>
              </w:rPr>
              <w:t xml:space="preserve"> </w:t>
            </w:r>
            <w:r>
              <w:rPr>
                <w:sz w:val="20"/>
              </w:rPr>
              <w:t>You</w:t>
            </w:r>
            <w:r>
              <w:rPr>
                <w:spacing w:val="-1"/>
                <w:sz w:val="20"/>
              </w:rPr>
              <w:t xml:space="preserve"> </w:t>
            </w:r>
            <w:r>
              <w:rPr>
                <w:sz w:val="20"/>
              </w:rPr>
              <w:t>just</w:t>
            </w:r>
            <w:r>
              <w:rPr>
                <w:spacing w:val="-2"/>
                <w:sz w:val="20"/>
              </w:rPr>
              <w:t xml:space="preserve"> </w:t>
            </w:r>
            <w:r>
              <w:rPr>
                <w:sz w:val="20"/>
              </w:rPr>
              <w:t>don’t</w:t>
            </w:r>
            <w:r>
              <w:rPr>
                <w:spacing w:val="-2"/>
                <w:sz w:val="20"/>
              </w:rPr>
              <w:t xml:space="preserve"> </w:t>
            </w:r>
            <w:r>
              <w:rPr>
                <w:sz w:val="20"/>
              </w:rPr>
              <w:t>seem</w:t>
            </w:r>
            <w:r>
              <w:rPr>
                <w:spacing w:val="-3"/>
                <w:sz w:val="20"/>
              </w:rPr>
              <w:t xml:space="preserve"> </w:t>
            </w:r>
            <w:r>
              <w:rPr>
                <w:sz w:val="20"/>
              </w:rPr>
              <w:t>like</w:t>
            </w:r>
            <w:r>
              <w:rPr>
                <w:spacing w:val="-3"/>
                <w:sz w:val="20"/>
              </w:rPr>
              <w:t xml:space="preserve"> </w:t>
            </w:r>
            <w:r>
              <w:rPr>
                <w:sz w:val="20"/>
              </w:rPr>
              <w:t>a</w:t>
            </w:r>
            <w:r>
              <w:rPr>
                <w:spacing w:val="-1"/>
                <w:sz w:val="20"/>
              </w:rPr>
              <w:t xml:space="preserve"> </w:t>
            </w:r>
            <w:r>
              <w:rPr>
                <w:sz w:val="20"/>
              </w:rPr>
              <w:t>whiner</w:t>
            </w:r>
            <w:r>
              <w:rPr>
                <w:spacing w:val="-2"/>
                <w:sz w:val="20"/>
              </w:rPr>
              <w:t xml:space="preserve"> </w:t>
            </w:r>
            <w:r>
              <w:rPr>
                <w:sz w:val="20"/>
              </w:rPr>
              <w:t>to me.</w:t>
            </w:r>
            <w:r>
              <w:rPr>
                <w:spacing w:val="-2"/>
                <w:sz w:val="20"/>
              </w:rPr>
              <w:t xml:space="preserve"> </w:t>
            </w:r>
            <w:r>
              <w:rPr>
                <w:sz w:val="20"/>
              </w:rPr>
              <w:t>And</w:t>
            </w:r>
            <w:r>
              <w:rPr>
                <w:spacing w:val="-1"/>
                <w:sz w:val="20"/>
              </w:rPr>
              <w:t xml:space="preserve"> </w:t>
            </w:r>
            <w:r>
              <w:rPr>
                <w:sz w:val="20"/>
              </w:rPr>
              <w:t>in</w:t>
            </w:r>
            <w:r>
              <w:rPr>
                <w:spacing w:val="-1"/>
                <w:sz w:val="20"/>
              </w:rPr>
              <w:t xml:space="preserve"> </w:t>
            </w:r>
            <w:r>
              <w:rPr>
                <w:sz w:val="20"/>
              </w:rPr>
              <w:t>any</w:t>
            </w:r>
            <w:r>
              <w:rPr>
                <w:spacing w:val="-1"/>
                <w:sz w:val="20"/>
              </w:rPr>
              <w:t xml:space="preserve"> </w:t>
            </w:r>
            <w:r>
              <w:rPr>
                <w:sz w:val="20"/>
              </w:rPr>
              <w:t>case,</w:t>
            </w:r>
            <w:r>
              <w:rPr>
                <w:spacing w:val="-1"/>
                <w:sz w:val="20"/>
              </w:rPr>
              <w:t xml:space="preserve"> </w:t>
            </w:r>
            <w:r>
              <w:rPr>
                <w:sz w:val="20"/>
              </w:rPr>
              <w:t>that’s</w:t>
            </w:r>
            <w:r>
              <w:rPr>
                <w:spacing w:val="-3"/>
                <w:sz w:val="20"/>
              </w:rPr>
              <w:t xml:space="preserve"> </w:t>
            </w:r>
            <w:r>
              <w:rPr>
                <w:sz w:val="20"/>
              </w:rPr>
              <w:t>not</w:t>
            </w:r>
            <w:r>
              <w:rPr>
                <w:spacing w:val="-2"/>
                <w:sz w:val="20"/>
              </w:rPr>
              <w:t xml:space="preserve"> </w:t>
            </w:r>
            <w:r>
              <w:rPr>
                <w:sz w:val="20"/>
              </w:rPr>
              <w:t>what</w:t>
            </w:r>
            <w:r>
              <w:rPr>
                <w:spacing w:val="-2"/>
                <w:sz w:val="20"/>
              </w:rPr>
              <w:t xml:space="preserve"> </w:t>
            </w:r>
            <w:r>
              <w:rPr>
                <w:sz w:val="20"/>
              </w:rPr>
              <w:t>this</w:t>
            </w:r>
            <w:r>
              <w:rPr>
                <w:spacing w:val="-3"/>
                <w:sz w:val="20"/>
              </w:rPr>
              <w:t xml:space="preserve"> </w:t>
            </w:r>
            <w:r>
              <w:rPr>
                <w:sz w:val="20"/>
              </w:rPr>
              <w:t>group</w:t>
            </w:r>
            <w:r>
              <w:rPr>
                <w:spacing w:val="-1"/>
                <w:sz w:val="20"/>
              </w:rPr>
              <w:t xml:space="preserve"> </w:t>
            </w:r>
            <w:r>
              <w:rPr>
                <w:sz w:val="20"/>
              </w:rPr>
              <w:t>is</w:t>
            </w:r>
            <w:r>
              <w:rPr>
                <w:spacing w:val="-3"/>
                <w:sz w:val="20"/>
              </w:rPr>
              <w:t xml:space="preserve"> </w:t>
            </w:r>
            <w:r>
              <w:rPr>
                <w:sz w:val="20"/>
              </w:rPr>
              <w:t>about.</w:t>
            </w:r>
            <w:r>
              <w:rPr>
                <w:spacing w:val="-2"/>
                <w:sz w:val="20"/>
              </w:rPr>
              <w:t xml:space="preserve"> </w:t>
            </w:r>
            <w:r>
              <w:rPr>
                <w:sz w:val="20"/>
              </w:rPr>
              <w:t>What we</w:t>
            </w:r>
            <w:r>
              <w:rPr>
                <w:spacing w:val="-2"/>
                <w:sz w:val="20"/>
              </w:rPr>
              <w:t xml:space="preserve"> </w:t>
            </w:r>
            <w:r>
              <w:rPr>
                <w:sz w:val="20"/>
              </w:rPr>
              <w:t>really do</w:t>
            </w:r>
            <w:r>
              <w:rPr>
                <w:spacing w:val="-1"/>
                <w:sz w:val="20"/>
              </w:rPr>
              <w:t xml:space="preserve"> </w:t>
            </w:r>
            <w:r>
              <w:rPr>
                <w:sz w:val="20"/>
              </w:rPr>
              <w:t>is</w:t>
            </w:r>
            <w:r>
              <w:rPr>
                <w:spacing w:val="-2"/>
                <w:sz w:val="20"/>
              </w:rPr>
              <w:t xml:space="preserve"> </w:t>
            </w:r>
            <w:r>
              <w:rPr>
                <w:sz w:val="20"/>
              </w:rPr>
              <w:t>give</w:t>
            </w:r>
            <w:r>
              <w:rPr>
                <w:spacing w:val="-2"/>
                <w:sz w:val="20"/>
              </w:rPr>
              <w:t xml:space="preserve"> </w:t>
            </w:r>
            <w:r>
              <w:rPr>
                <w:sz w:val="20"/>
              </w:rPr>
              <w:t>people</w:t>
            </w:r>
            <w:r>
              <w:rPr>
                <w:spacing w:val="-2"/>
                <w:sz w:val="20"/>
              </w:rPr>
              <w:t xml:space="preserve"> </w:t>
            </w:r>
            <w:r>
              <w:rPr>
                <w:sz w:val="20"/>
              </w:rPr>
              <w:t>the</w:t>
            </w:r>
            <w:r>
              <w:rPr>
                <w:spacing w:val="-2"/>
                <w:sz w:val="20"/>
              </w:rPr>
              <w:t xml:space="preserve"> </w:t>
            </w:r>
            <w:r>
              <w:rPr>
                <w:sz w:val="20"/>
              </w:rPr>
              <w:t>opportunity to</w:t>
            </w:r>
            <w:r>
              <w:rPr>
                <w:spacing w:val="-1"/>
                <w:sz w:val="20"/>
              </w:rPr>
              <w:t xml:space="preserve"> </w:t>
            </w:r>
            <w:r>
              <w:rPr>
                <w:sz w:val="20"/>
              </w:rPr>
              <w:t>learn new</w:t>
            </w:r>
            <w:r>
              <w:rPr>
                <w:spacing w:val="-2"/>
                <w:sz w:val="20"/>
              </w:rPr>
              <w:t xml:space="preserve"> </w:t>
            </w:r>
            <w:r>
              <w:rPr>
                <w:sz w:val="20"/>
              </w:rPr>
              <w:t>skills</w:t>
            </w:r>
            <w:r>
              <w:rPr>
                <w:spacing w:val="-2"/>
                <w:sz w:val="20"/>
              </w:rPr>
              <w:t xml:space="preserve"> </w:t>
            </w:r>
            <w:r>
              <w:rPr>
                <w:sz w:val="20"/>
              </w:rPr>
              <w:t>and apply those</w:t>
            </w:r>
            <w:r>
              <w:rPr>
                <w:spacing w:val="-2"/>
                <w:sz w:val="20"/>
              </w:rPr>
              <w:t xml:space="preserve"> </w:t>
            </w:r>
            <w:r>
              <w:rPr>
                <w:sz w:val="20"/>
              </w:rPr>
              <w:t>skills</w:t>
            </w:r>
            <w:r>
              <w:rPr>
                <w:spacing w:val="-2"/>
                <w:sz w:val="20"/>
              </w:rPr>
              <w:t xml:space="preserve"> </w:t>
            </w:r>
            <w:r>
              <w:rPr>
                <w:sz w:val="20"/>
              </w:rPr>
              <w:t>in their</w:t>
            </w:r>
            <w:r>
              <w:rPr>
                <w:spacing w:val="-1"/>
                <w:sz w:val="20"/>
              </w:rPr>
              <w:t xml:space="preserve"> </w:t>
            </w:r>
            <w:r>
              <w:rPr>
                <w:sz w:val="20"/>
              </w:rPr>
              <w:t>daily lives</w:t>
            </w:r>
            <w:r>
              <w:rPr>
                <w:spacing w:val="-2"/>
                <w:sz w:val="20"/>
              </w:rPr>
              <w:t xml:space="preserve"> </w:t>
            </w:r>
            <w:r>
              <w:rPr>
                <w:sz w:val="20"/>
              </w:rPr>
              <w:t xml:space="preserve">to make their lives more enjoyable and meaningful. What you’ve already shown me today is that you can use some of those skills to support even further the good choices that you’ve already made. </w:t>
            </w:r>
            <w:r>
              <w:rPr>
                <w:i/>
                <w:sz w:val="20"/>
              </w:rPr>
              <w:t>(Affirmation)</w:t>
            </w:r>
          </w:p>
          <w:p w14:paraId="326CD196" w14:textId="77777777" w:rsidR="00DB6E1F" w:rsidRDefault="00F666A6">
            <w:pPr>
              <w:pStyle w:val="TableParagraph"/>
              <w:spacing w:before="120"/>
              <w:ind w:left="108" w:right="169"/>
              <w:rPr>
                <w:sz w:val="20"/>
              </w:rPr>
            </w:pPr>
            <w:r>
              <w:rPr>
                <w:b/>
                <w:sz w:val="20"/>
              </w:rPr>
              <w:t>Client:</w:t>
            </w:r>
            <w:r>
              <w:rPr>
                <w:b/>
                <w:spacing w:val="-2"/>
                <w:sz w:val="20"/>
              </w:rPr>
              <w:t xml:space="preserve"> </w:t>
            </w:r>
            <w:r>
              <w:rPr>
                <w:sz w:val="20"/>
              </w:rPr>
              <w:t>That’s</w:t>
            </w:r>
            <w:r>
              <w:rPr>
                <w:spacing w:val="-3"/>
                <w:sz w:val="20"/>
              </w:rPr>
              <w:t xml:space="preserve"> </w:t>
            </w:r>
            <w:r>
              <w:rPr>
                <w:sz w:val="20"/>
              </w:rPr>
              <w:t>just</w:t>
            </w:r>
            <w:r>
              <w:rPr>
                <w:spacing w:val="-2"/>
                <w:sz w:val="20"/>
              </w:rPr>
              <w:t xml:space="preserve"> </w:t>
            </w:r>
            <w:r>
              <w:rPr>
                <w:sz w:val="20"/>
              </w:rPr>
              <w:t>a</w:t>
            </w:r>
            <w:r>
              <w:rPr>
                <w:spacing w:val="-1"/>
                <w:sz w:val="20"/>
              </w:rPr>
              <w:t xml:space="preserve"> </w:t>
            </w:r>
            <w:r>
              <w:rPr>
                <w:sz w:val="20"/>
              </w:rPr>
              <w:t>bunch</w:t>
            </w:r>
            <w:r>
              <w:rPr>
                <w:spacing w:val="-1"/>
                <w:sz w:val="20"/>
              </w:rPr>
              <w:t xml:space="preserve"> </w:t>
            </w:r>
            <w:r>
              <w:rPr>
                <w:sz w:val="20"/>
              </w:rPr>
              <w:t>of</w:t>
            </w:r>
            <w:r>
              <w:rPr>
                <w:spacing w:val="-3"/>
                <w:sz w:val="20"/>
              </w:rPr>
              <w:t xml:space="preserve"> </w:t>
            </w:r>
            <w:r>
              <w:rPr>
                <w:sz w:val="20"/>
              </w:rPr>
              <w:t>shrink</w:t>
            </w:r>
            <w:r>
              <w:rPr>
                <w:spacing w:val="-2"/>
                <w:sz w:val="20"/>
              </w:rPr>
              <w:t xml:space="preserve"> </w:t>
            </w:r>
            <w:r>
              <w:rPr>
                <w:sz w:val="20"/>
              </w:rPr>
              <w:t>talk.</w:t>
            </w:r>
            <w:r>
              <w:rPr>
                <w:spacing w:val="-2"/>
                <w:sz w:val="20"/>
              </w:rPr>
              <w:t xml:space="preserve"> </w:t>
            </w:r>
            <w:r>
              <w:rPr>
                <w:sz w:val="20"/>
              </w:rPr>
              <w:t>I</w:t>
            </w:r>
            <w:r>
              <w:rPr>
                <w:spacing w:val="-2"/>
                <w:sz w:val="20"/>
              </w:rPr>
              <w:t xml:space="preserve"> </w:t>
            </w:r>
            <w:r>
              <w:rPr>
                <w:sz w:val="20"/>
              </w:rPr>
              <w:t>al</w:t>
            </w:r>
            <w:r>
              <w:rPr>
                <w:sz w:val="20"/>
              </w:rPr>
              <w:t>ready</w:t>
            </w:r>
            <w:r>
              <w:rPr>
                <w:spacing w:val="-1"/>
                <w:sz w:val="20"/>
              </w:rPr>
              <w:t xml:space="preserve"> </w:t>
            </w:r>
            <w:r>
              <w:rPr>
                <w:sz w:val="20"/>
              </w:rPr>
              <w:t>told</w:t>
            </w:r>
            <w:r>
              <w:rPr>
                <w:spacing w:val="-4"/>
                <w:sz w:val="20"/>
              </w:rPr>
              <w:t xml:space="preserve"> </w:t>
            </w:r>
            <w:r>
              <w:rPr>
                <w:sz w:val="20"/>
              </w:rPr>
              <w:t>you,</w:t>
            </w:r>
            <w:r>
              <w:rPr>
                <w:spacing w:val="-4"/>
                <w:sz w:val="20"/>
              </w:rPr>
              <w:t xml:space="preserve"> </w:t>
            </w:r>
            <w:r>
              <w:rPr>
                <w:sz w:val="20"/>
              </w:rPr>
              <w:t>all</w:t>
            </w:r>
            <w:r>
              <w:rPr>
                <w:spacing w:val="-2"/>
                <w:sz w:val="20"/>
              </w:rPr>
              <w:t xml:space="preserve"> </w:t>
            </w:r>
            <w:r>
              <w:rPr>
                <w:sz w:val="20"/>
              </w:rPr>
              <w:t>I</w:t>
            </w:r>
            <w:r>
              <w:rPr>
                <w:spacing w:val="-2"/>
                <w:sz w:val="20"/>
              </w:rPr>
              <w:t xml:space="preserve"> </w:t>
            </w:r>
            <w:r>
              <w:rPr>
                <w:sz w:val="20"/>
              </w:rPr>
              <w:t>need</w:t>
            </w:r>
            <w:r>
              <w:rPr>
                <w:spacing w:val="-1"/>
                <w:sz w:val="20"/>
              </w:rPr>
              <w:t xml:space="preserve"> </w:t>
            </w:r>
            <w:r>
              <w:rPr>
                <w:sz w:val="20"/>
              </w:rPr>
              <w:t>is</w:t>
            </w:r>
            <w:r>
              <w:rPr>
                <w:spacing w:val="-3"/>
                <w:sz w:val="20"/>
              </w:rPr>
              <w:t xml:space="preserve"> </w:t>
            </w:r>
            <w:r>
              <w:rPr>
                <w:sz w:val="20"/>
              </w:rPr>
              <w:t>to</w:t>
            </w:r>
            <w:r>
              <w:rPr>
                <w:spacing w:val="-2"/>
                <w:sz w:val="20"/>
              </w:rPr>
              <w:t xml:space="preserve"> </w:t>
            </w:r>
            <w:r>
              <w:rPr>
                <w:sz w:val="20"/>
              </w:rPr>
              <w:t>get</w:t>
            </w:r>
            <w:r>
              <w:rPr>
                <w:spacing w:val="-2"/>
                <w:sz w:val="20"/>
              </w:rPr>
              <w:t xml:space="preserve"> </w:t>
            </w:r>
            <w:r>
              <w:rPr>
                <w:sz w:val="20"/>
              </w:rPr>
              <w:t>my</w:t>
            </w:r>
            <w:r>
              <w:rPr>
                <w:spacing w:val="-1"/>
                <w:sz w:val="20"/>
              </w:rPr>
              <w:t xml:space="preserve"> </w:t>
            </w:r>
            <w:r>
              <w:rPr>
                <w:sz w:val="20"/>
              </w:rPr>
              <w:t>probation</w:t>
            </w:r>
            <w:r>
              <w:rPr>
                <w:spacing w:val="-1"/>
                <w:sz w:val="20"/>
              </w:rPr>
              <w:t xml:space="preserve"> </w:t>
            </w:r>
            <w:r>
              <w:rPr>
                <w:sz w:val="20"/>
              </w:rPr>
              <w:t>officer</w:t>
            </w:r>
            <w:r>
              <w:rPr>
                <w:spacing w:val="-2"/>
                <w:sz w:val="20"/>
              </w:rPr>
              <w:t xml:space="preserve"> </w:t>
            </w:r>
            <w:r>
              <w:rPr>
                <w:sz w:val="20"/>
              </w:rPr>
              <w:t>off</w:t>
            </w:r>
            <w:r>
              <w:rPr>
                <w:spacing w:val="-3"/>
                <w:sz w:val="20"/>
              </w:rPr>
              <w:t xml:space="preserve"> </w:t>
            </w:r>
            <w:r>
              <w:rPr>
                <w:sz w:val="20"/>
              </w:rPr>
              <w:t>my</w:t>
            </w:r>
            <w:r>
              <w:rPr>
                <w:spacing w:val="-1"/>
                <w:sz w:val="20"/>
              </w:rPr>
              <w:t xml:space="preserve"> </w:t>
            </w:r>
            <w:r>
              <w:rPr>
                <w:sz w:val="20"/>
              </w:rPr>
              <w:t>back and live my life the way I want to live it.</w:t>
            </w:r>
          </w:p>
          <w:p w14:paraId="13B1375E" w14:textId="77777777" w:rsidR="00DB6E1F" w:rsidRDefault="00F666A6">
            <w:pPr>
              <w:pStyle w:val="TableParagraph"/>
              <w:spacing w:before="119"/>
              <w:ind w:left="108" w:right="142" w:hanging="1"/>
              <w:rPr>
                <w:i/>
                <w:sz w:val="20"/>
              </w:rPr>
            </w:pPr>
            <w:r>
              <w:rPr>
                <w:b/>
                <w:sz w:val="20"/>
              </w:rPr>
              <w:t xml:space="preserve">Counselor: </w:t>
            </w:r>
            <w:r>
              <w:rPr>
                <w:sz w:val="20"/>
              </w:rPr>
              <w:t>Completing this program is going to help you do that. I think from what you’ve already demonstrated that you’ll do well in the group. I believe you can learn something that you can use in your daily life and perhaps teach some of the other people in the gr</w:t>
            </w:r>
            <w:r>
              <w:rPr>
                <w:sz w:val="20"/>
              </w:rPr>
              <w:t xml:space="preserve">oup as well. I am certainly willing to work with you to help you accomplish your goal in terms of meeting the requirements of probation. My suggestion is that you take it one group at a time and see how it goes. All I would ask of you is what, in a sense, </w:t>
            </w:r>
            <w:r>
              <w:rPr>
                <w:sz w:val="20"/>
              </w:rPr>
              <w:t>you have already demonstrated,</w:t>
            </w:r>
            <w:r>
              <w:rPr>
                <w:spacing w:val="-2"/>
                <w:sz w:val="20"/>
              </w:rPr>
              <w:t xml:space="preserve"> </w:t>
            </w:r>
            <w:r>
              <w:rPr>
                <w:sz w:val="20"/>
              </w:rPr>
              <w:t>and</w:t>
            </w:r>
            <w:r>
              <w:rPr>
                <w:spacing w:val="-2"/>
                <w:sz w:val="20"/>
              </w:rPr>
              <w:t xml:space="preserve"> </w:t>
            </w:r>
            <w:r>
              <w:rPr>
                <w:sz w:val="20"/>
              </w:rPr>
              <w:t>that</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z w:val="20"/>
              </w:rPr>
              <w:t>willingness</w:t>
            </w:r>
            <w:r>
              <w:rPr>
                <w:spacing w:val="-3"/>
                <w:sz w:val="20"/>
              </w:rPr>
              <w:t xml:space="preserve"> </w:t>
            </w:r>
            <w:r>
              <w:rPr>
                <w:sz w:val="20"/>
              </w:rPr>
              <w:t>to</w:t>
            </w:r>
            <w:r>
              <w:rPr>
                <w:spacing w:val="-3"/>
                <w:sz w:val="20"/>
              </w:rPr>
              <w:t xml:space="preserve"> </w:t>
            </w:r>
            <w:r>
              <w:rPr>
                <w:sz w:val="20"/>
              </w:rPr>
              <w:t>keep</w:t>
            </w:r>
            <w:r>
              <w:rPr>
                <w:spacing w:val="-2"/>
                <w:sz w:val="20"/>
              </w:rPr>
              <w:t xml:space="preserve"> </w:t>
            </w:r>
            <w:r>
              <w:rPr>
                <w:sz w:val="20"/>
              </w:rPr>
              <w:t>your</w:t>
            </w:r>
            <w:r>
              <w:rPr>
                <w:spacing w:val="-3"/>
                <w:sz w:val="20"/>
              </w:rPr>
              <w:t xml:space="preserve"> </w:t>
            </w:r>
            <w:r>
              <w:rPr>
                <w:sz w:val="20"/>
              </w:rPr>
              <w:t>mind</w:t>
            </w:r>
            <w:r>
              <w:rPr>
                <w:spacing w:val="-2"/>
                <w:sz w:val="20"/>
              </w:rPr>
              <w:t xml:space="preserve"> </w:t>
            </w:r>
            <w:r>
              <w:rPr>
                <w:sz w:val="20"/>
              </w:rPr>
              <w:t>open</w:t>
            </w:r>
            <w:r>
              <w:rPr>
                <w:spacing w:val="-2"/>
                <w:sz w:val="20"/>
              </w:rPr>
              <w:t xml:space="preserve"> </w:t>
            </w:r>
            <w:r>
              <w:rPr>
                <w:sz w:val="20"/>
              </w:rPr>
              <w:t>and</w:t>
            </w:r>
            <w:r>
              <w:rPr>
                <w:spacing w:val="-2"/>
                <w:sz w:val="20"/>
              </w:rPr>
              <w:t xml:space="preserve"> </w:t>
            </w:r>
            <w:r>
              <w:rPr>
                <w:sz w:val="20"/>
              </w:rPr>
              <w:t>keep</w:t>
            </w:r>
            <w:r>
              <w:rPr>
                <w:spacing w:val="-2"/>
                <w:sz w:val="20"/>
              </w:rPr>
              <w:t xml:space="preserve"> </w:t>
            </w:r>
            <w:r>
              <w:rPr>
                <w:sz w:val="20"/>
              </w:rPr>
              <w:t>your</w:t>
            </w:r>
            <w:r>
              <w:rPr>
                <w:spacing w:val="-3"/>
                <w:sz w:val="20"/>
              </w:rPr>
              <w:t xml:space="preserve"> </w:t>
            </w:r>
            <w:r>
              <w:rPr>
                <w:sz w:val="20"/>
              </w:rPr>
              <w:t>goals</w:t>
            </w:r>
            <w:r>
              <w:rPr>
                <w:spacing w:val="-3"/>
                <w:sz w:val="20"/>
              </w:rPr>
              <w:t xml:space="preserve"> </w:t>
            </w:r>
            <w:r>
              <w:rPr>
                <w:sz w:val="20"/>
              </w:rPr>
              <w:t>for</w:t>
            </w:r>
            <w:r>
              <w:rPr>
                <w:spacing w:val="-3"/>
                <w:sz w:val="20"/>
              </w:rPr>
              <w:t xml:space="preserve"> </w:t>
            </w:r>
            <w:r>
              <w:rPr>
                <w:sz w:val="20"/>
              </w:rPr>
              <w:t>life</w:t>
            </w:r>
            <w:r>
              <w:rPr>
                <w:spacing w:val="-3"/>
                <w:sz w:val="20"/>
              </w:rPr>
              <w:t xml:space="preserve"> </w:t>
            </w:r>
            <w:r>
              <w:rPr>
                <w:sz w:val="20"/>
              </w:rPr>
              <w:t>clearly</w:t>
            </w:r>
            <w:r>
              <w:rPr>
                <w:spacing w:val="-2"/>
                <w:sz w:val="20"/>
              </w:rPr>
              <w:t xml:space="preserve"> </w:t>
            </w:r>
            <w:r>
              <w:rPr>
                <w:sz w:val="20"/>
              </w:rPr>
              <w:t>in</w:t>
            </w:r>
            <w:r>
              <w:rPr>
                <w:spacing w:val="-2"/>
                <w:sz w:val="20"/>
              </w:rPr>
              <w:t xml:space="preserve"> </w:t>
            </w:r>
            <w:r>
              <w:rPr>
                <w:sz w:val="20"/>
              </w:rPr>
              <w:t>front</w:t>
            </w:r>
            <w:r>
              <w:rPr>
                <w:spacing w:val="-3"/>
                <w:sz w:val="20"/>
              </w:rPr>
              <w:t xml:space="preserve"> </w:t>
            </w:r>
            <w:r>
              <w:rPr>
                <w:sz w:val="20"/>
              </w:rPr>
              <w:t>of you. I see that you’re committed to your family, you’re committed to yourself, and you’re committed to your freedom. I want t</w:t>
            </w:r>
            <w:r>
              <w:rPr>
                <w:sz w:val="20"/>
              </w:rPr>
              <w:t xml:space="preserve">o support all three of those goals. </w:t>
            </w:r>
            <w:r>
              <w:rPr>
                <w:i/>
                <w:sz w:val="20"/>
              </w:rPr>
              <w:t>(Affirmation)</w:t>
            </w:r>
          </w:p>
          <w:p w14:paraId="10A5DCC1" w14:textId="77777777" w:rsidR="00DB6E1F" w:rsidRDefault="00F666A6">
            <w:pPr>
              <w:pStyle w:val="TableParagraph"/>
              <w:spacing w:before="121"/>
              <w:ind w:left="109" w:right="252" w:hanging="1"/>
              <w:rPr>
                <w:sz w:val="20"/>
              </w:rPr>
            </w:pPr>
            <w:r>
              <w:rPr>
                <w:b/>
                <w:sz w:val="20"/>
              </w:rPr>
              <w:t>Client:</w:t>
            </w:r>
            <w:r>
              <w:rPr>
                <w:b/>
                <w:spacing w:val="-2"/>
                <w:sz w:val="20"/>
              </w:rPr>
              <w:t xml:space="preserve"> </w:t>
            </w:r>
            <w:r>
              <w:rPr>
                <w:sz w:val="20"/>
              </w:rPr>
              <w:t>Well,</w:t>
            </w:r>
            <w:r>
              <w:rPr>
                <w:spacing w:val="-1"/>
                <w:sz w:val="20"/>
              </w:rPr>
              <w:t xml:space="preserve"> </w:t>
            </w:r>
            <w:r>
              <w:rPr>
                <w:sz w:val="20"/>
              </w:rPr>
              <w:t>I</w:t>
            </w:r>
            <w:r>
              <w:rPr>
                <w:spacing w:val="-2"/>
                <w:sz w:val="20"/>
              </w:rPr>
              <w:t xml:space="preserve"> </w:t>
            </w:r>
            <w:r>
              <w:rPr>
                <w:sz w:val="20"/>
              </w:rPr>
              <w:t>guess</w:t>
            </w:r>
            <w:r>
              <w:rPr>
                <w:spacing w:val="-3"/>
                <w:sz w:val="20"/>
              </w:rPr>
              <w:t xml:space="preserve"> </w:t>
            </w:r>
            <w:r>
              <w:rPr>
                <w:sz w:val="20"/>
              </w:rPr>
              <w:t>I</w:t>
            </w:r>
            <w:r>
              <w:rPr>
                <w:spacing w:val="-2"/>
                <w:sz w:val="20"/>
              </w:rPr>
              <w:t xml:space="preserve"> </w:t>
            </w:r>
            <w:r>
              <w:rPr>
                <w:sz w:val="20"/>
              </w:rPr>
              <w:t>can</w:t>
            </w:r>
            <w:r>
              <w:rPr>
                <w:spacing w:val="-1"/>
                <w:sz w:val="20"/>
              </w:rPr>
              <w:t xml:space="preserve"> </w:t>
            </w:r>
            <w:r>
              <w:rPr>
                <w:sz w:val="20"/>
              </w:rPr>
              <w:t>do</w:t>
            </w:r>
            <w:r>
              <w:rPr>
                <w:spacing w:val="-2"/>
                <w:sz w:val="20"/>
              </w:rPr>
              <w:t xml:space="preserve"> </w:t>
            </w:r>
            <w:r>
              <w:rPr>
                <w:sz w:val="20"/>
              </w:rPr>
              <w:t>this</w:t>
            </w:r>
            <w:r>
              <w:rPr>
                <w:spacing w:val="-3"/>
                <w:sz w:val="20"/>
              </w:rPr>
              <w:t xml:space="preserve"> </w:t>
            </w:r>
            <w:r>
              <w:rPr>
                <w:sz w:val="20"/>
              </w:rPr>
              <w:t>group</w:t>
            </w:r>
            <w:r>
              <w:rPr>
                <w:spacing w:val="-1"/>
                <w:sz w:val="20"/>
              </w:rPr>
              <w:t xml:space="preserve"> </w:t>
            </w:r>
            <w:r>
              <w:rPr>
                <w:sz w:val="20"/>
              </w:rPr>
              <w:t>thing,</w:t>
            </w:r>
            <w:r>
              <w:rPr>
                <w:spacing w:val="-1"/>
                <w:sz w:val="20"/>
              </w:rPr>
              <w:t xml:space="preserve"> </w:t>
            </w:r>
            <w:r>
              <w:rPr>
                <w:sz w:val="20"/>
              </w:rPr>
              <w:t>at</w:t>
            </w:r>
            <w:r>
              <w:rPr>
                <w:spacing w:val="-2"/>
                <w:sz w:val="20"/>
              </w:rPr>
              <w:t xml:space="preserve"> </w:t>
            </w:r>
            <w:r>
              <w:rPr>
                <w:sz w:val="20"/>
              </w:rPr>
              <w:t>least</w:t>
            </w:r>
            <w:r>
              <w:rPr>
                <w:spacing w:val="-2"/>
                <w:sz w:val="20"/>
              </w:rPr>
              <w:t xml:space="preserve"> </w:t>
            </w:r>
            <w:r>
              <w:rPr>
                <w:sz w:val="20"/>
              </w:rPr>
              <w:t>for</w:t>
            </w:r>
            <w:r>
              <w:rPr>
                <w:spacing w:val="-2"/>
                <w:sz w:val="20"/>
              </w:rPr>
              <w:t xml:space="preserve"> </w:t>
            </w:r>
            <w:r>
              <w:rPr>
                <w:sz w:val="20"/>
              </w:rPr>
              <w:t>now.</w:t>
            </w:r>
            <w:r>
              <w:rPr>
                <w:spacing w:val="-2"/>
                <w:sz w:val="20"/>
              </w:rPr>
              <w:t xml:space="preserve"> </w:t>
            </w:r>
            <w:r>
              <w:rPr>
                <w:sz w:val="20"/>
              </w:rPr>
              <w:t>I’m</w:t>
            </w:r>
            <w:r>
              <w:rPr>
                <w:spacing w:val="-3"/>
                <w:sz w:val="20"/>
              </w:rPr>
              <w:t xml:space="preserve"> </w:t>
            </w:r>
            <w:r>
              <w:rPr>
                <w:sz w:val="20"/>
              </w:rPr>
              <w:t>still</w:t>
            </w:r>
            <w:r>
              <w:rPr>
                <w:spacing w:val="-2"/>
                <w:sz w:val="20"/>
              </w:rPr>
              <w:t xml:space="preserve"> </w:t>
            </w:r>
            <w:r>
              <w:rPr>
                <w:sz w:val="20"/>
              </w:rPr>
              <w:t>not</w:t>
            </w:r>
            <w:r>
              <w:rPr>
                <w:spacing w:val="-2"/>
                <w:sz w:val="20"/>
              </w:rPr>
              <w:t xml:space="preserve"> </w:t>
            </w:r>
            <w:r>
              <w:rPr>
                <w:sz w:val="20"/>
              </w:rPr>
              <w:t>sure</w:t>
            </w:r>
            <w:r>
              <w:rPr>
                <w:spacing w:val="-3"/>
                <w:sz w:val="20"/>
              </w:rPr>
              <w:t xml:space="preserve"> </w:t>
            </w:r>
            <w:r>
              <w:rPr>
                <w:sz w:val="20"/>
              </w:rPr>
              <w:t>what</w:t>
            </w:r>
            <w:r>
              <w:rPr>
                <w:spacing w:val="-2"/>
                <w:sz w:val="20"/>
              </w:rPr>
              <w:t xml:space="preserve"> </w:t>
            </w:r>
            <w:r>
              <w:rPr>
                <w:sz w:val="20"/>
              </w:rPr>
              <w:t>I’m</w:t>
            </w:r>
            <w:r>
              <w:rPr>
                <w:spacing w:val="-3"/>
                <w:sz w:val="20"/>
              </w:rPr>
              <w:t xml:space="preserve"> </w:t>
            </w:r>
            <w:r>
              <w:rPr>
                <w:sz w:val="20"/>
              </w:rPr>
              <w:t>going</w:t>
            </w:r>
            <w:r>
              <w:rPr>
                <w:spacing w:val="-2"/>
                <w:sz w:val="20"/>
              </w:rPr>
              <w:t xml:space="preserve"> </w:t>
            </w:r>
            <w:r>
              <w:rPr>
                <w:sz w:val="20"/>
              </w:rPr>
              <w:t>to</w:t>
            </w:r>
            <w:r>
              <w:rPr>
                <w:spacing w:val="-2"/>
                <w:sz w:val="20"/>
              </w:rPr>
              <w:t xml:space="preserve"> </w:t>
            </w:r>
            <w:r>
              <w:rPr>
                <w:sz w:val="20"/>
              </w:rPr>
              <w:t>get</w:t>
            </w:r>
            <w:r>
              <w:rPr>
                <w:spacing w:val="-2"/>
                <w:sz w:val="20"/>
              </w:rPr>
              <w:t xml:space="preserve"> </w:t>
            </w:r>
            <w:r>
              <w:rPr>
                <w:sz w:val="20"/>
              </w:rPr>
              <w:t>from sitting around with a bunch of other guys, telling stories, but I’m willing to give it a try.</w:t>
            </w:r>
          </w:p>
        </w:tc>
      </w:tr>
    </w:tbl>
    <w:p w14:paraId="52173F4B" w14:textId="77777777" w:rsidR="00DB6E1F" w:rsidRDefault="00DB6E1F">
      <w:pPr>
        <w:rPr>
          <w:sz w:val="20"/>
        </w:rPr>
        <w:sectPr w:rsidR="00DB6E1F">
          <w:pgSz w:w="12240" w:h="15840"/>
          <w:pgMar w:top="1200" w:right="0" w:bottom="780" w:left="0" w:header="763" w:footer="585" w:gutter="0"/>
          <w:cols w:space="720"/>
        </w:sectPr>
      </w:pPr>
    </w:p>
    <w:p w14:paraId="60E3F404"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8EE2FC5" w14:textId="77777777">
        <w:trPr>
          <w:trHeight w:val="1540"/>
        </w:trPr>
        <w:tc>
          <w:tcPr>
            <w:tcW w:w="9350" w:type="dxa"/>
          </w:tcPr>
          <w:p w14:paraId="24151A24" w14:textId="77777777" w:rsidR="00DB6E1F" w:rsidRDefault="00F666A6">
            <w:pPr>
              <w:pStyle w:val="TableParagraph"/>
              <w:ind w:right="169"/>
              <w:rPr>
                <w:sz w:val="20"/>
              </w:rPr>
            </w:pPr>
            <w:r>
              <w:rPr>
                <w:b/>
                <w:sz w:val="20"/>
              </w:rPr>
              <w:t>Counselor:</w:t>
            </w:r>
            <w:r>
              <w:rPr>
                <w:b/>
                <w:spacing w:val="-3"/>
                <w:sz w:val="20"/>
              </w:rPr>
              <w:t xml:space="preserve"> </w:t>
            </w:r>
            <w:r>
              <w:rPr>
                <w:sz w:val="20"/>
              </w:rPr>
              <w:t>That</w:t>
            </w:r>
            <w:r>
              <w:rPr>
                <w:spacing w:val="-3"/>
                <w:sz w:val="20"/>
              </w:rPr>
              <w:t xml:space="preserve"> </w:t>
            </w:r>
            <w:r>
              <w:rPr>
                <w:sz w:val="20"/>
              </w:rPr>
              <w:t>sounds</w:t>
            </w:r>
            <w:r>
              <w:rPr>
                <w:spacing w:val="-3"/>
                <w:sz w:val="20"/>
              </w:rPr>
              <w:t xml:space="preserve"> </w:t>
            </w:r>
            <w:r>
              <w:rPr>
                <w:sz w:val="20"/>
              </w:rPr>
              <w:t>reasonable</w:t>
            </w:r>
            <w:r>
              <w:rPr>
                <w:spacing w:val="-3"/>
                <w:sz w:val="20"/>
              </w:rPr>
              <w:t xml:space="preserve"> </w:t>
            </w:r>
            <w:r>
              <w:rPr>
                <w:sz w:val="20"/>
              </w:rPr>
              <w:t>and</w:t>
            </w:r>
            <w:r>
              <w:rPr>
                <w:spacing w:val="-2"/>
                <w:sz w:val="20"/>
              </w:rPr>
              <w:t xml:space="preserve"> </w:t>
            </w:r>
            <w:r>
              <w:rPr>
                <w:sz w:val="20"/>
              </w:rPr>
              <w:t>like</w:t>
            </w:r>
            <w:r>
              <w:rPr>
                <w:spacing w:val="-3"/>
                <w:sz w:val="20"/>
              </w:rPr>
              <w:t xml:space="preserve"> </w:t>
            </w:r>
            <w:r>
              <w:rPr>
                <w:sz w:val="20"/>
              </w:rPr>
              <w:t>another</w:t>
            </w:r>
            <w:r>
              <w:rPr>
                <w:spacing w:val="-3"/>
                <w:sz w:val="20"/>
              </w:rPr>
              <w:t xml:space="preserve"> </w:t>
            </w:r>
            <w:r>
              <w:rPr>
                <w:sz w:val="20"/>
              </w:rPr>
              <w:t>good</w:t>
            </w:r>
            <w:r>
              <w:rPr>
                <w:spacing w:val="-2"/>
                <w:sz w:val="20"/>
              </w:rPr>
              <w:t xml:space="preserve"> </w:t>
            </w:r>
            <w:r>
              <w:rPr>
                <w:sz w:val="20"/>
              </w:rPr>
              <w:t>choice</w:t>
            </w:r>
            <w:r>
              <w:rPr>
                <w:spacing w:val="-3"/>
                <w:sz w:val="20"/>
              </w:rPr>
              <w:t xml:space="preserve"> </w:t>
            </w:r>
            <w:r>
              <w:rPr>
                <w:sz w:val="20"/>
              </w:rPr>
              <w:t>to</w:t>
            </w:r>
            <w:r>
              <w:rPr>
                <w:spacing w:val="-3"/>
                <w:sz w:val="20"/>
              </w:rPr>
              <w:t xml:space="preserve"> </w:t>
            </w:r>
            <w:r>
              <w:rPr>
                <w:sz w:val="20"/>
              </w:rPr>
              <w:t>me,</w:t>
            </w:r>
            <w:r>
              <w:rPr>
                <w:spacing w:val="-2"/>
                <w:sz w:val="20"/>
              </w:rPr>
              <w:t xml:space="preserve"> </w:t>
            </w:r>
            <w:r>
              <w:rPr>
                <w:sz w:val="20"/>
              </w:rPr>
              <w:t>Paul.</w:t>
            </w:r>
            <w:r>
              <w:rPr>
                <w:spacing w:val="-3"/>
                <w:sz w:val="20"/>
              </w:rPr>
              <w:t xml:space="preserve"> </w:t>
            </w:r>
            <w:r>
              <w:rPr>
                <w:sz w:val="20"/>
              </w:rPr>
              <w:t>(</w:t>
            </w:r>
            <w:r>
              <w:rPr>
                <w:i/>
                <w:sz w:val="20"/>
              </w:rPr>
              <w:t>Affirmation</w:t>
            </w:r>
            <w:r>
              <w:rPr>
                <w:sz w:val="20"/>
              </w:rPr>
              <w:t>)</w:t>
            </w:r>
            <w:r>
              <w:rPr>
                <w:spacing w:val="-3"/>
                <w:sz w:val="20"/>
              </w:rPr>
              <w:t xml:space="preserve"> </w:t>
            </w:r>
            <w:r>
              <w:rPr>
                <w:sz w:val="20"/>
              </w:rPr>
              <w:t>Let</w:t>
            </w:r>
            <w:r>
              <w:rPr>
                <w:spacing w:val="-3"/>
                <w:sz w:val="20"/>
              </w:rPr>
              <w:t xml:space="preserve"> </w:t>
            </w:r>
            <w:r>
              <w:rPr>
                <w:sz w:val="20"/>
              </w:rPr>
              <w:t>me</w:t>
            </w:r>
            <w:r>
              <w:rPr>
                <w:spacing w:val="-3"/>
                <w:sz w:val="20"/>
              </w:rPr>
              <w:t xml:space="preserve"> </w:t>
            </w:r>
            <w:r>
              <w:rPr>
                <w:sz w:val="20"/>
              </w:rPr>
              <w:t>give</w:t>
            </w:r>
            <w:r>
              <w:rPr>
                <w:spacing w:val="-3"/>
                <w:sz w:val="20"/>
              </w:rPr>
              <w:t xml:space="preserve"> </w:t>
            </w:r>
            <w:r>
              <w:rPr>
                <w:sz w:val="20"/>
              </w:rPr>
              <w:t>you</w:t>
            </w:r>
            <w:r>
              <w:rPr>
                <w:spacing w:val="-2"/>
                <w:sz w:val="20"/>
              </w:rPr>
              <w:t xml:space="preserve"> </w:t>
            </w:r>
            <w:r>
              <w:rPr>
                <w:sz w:val="20"/>
              </w:rPr>
              <w:t>a handbook that will tell you a lit</w:t>
            </w:r>
            <w:r>
              <w:rPr>
                <w:sz w:val="20"/>
              </w:rPr>
              <w:t>tle bit more about the group, and I’ll see you tomorrow night at 6:30 at this office for our first group. It’s been nice to meet you. I look forward to getting to know you better.</w:t>
            </w:r>
          </w:p>
          <w:p w14:paraId="5898A501" w14:textId="77777777" w:rsidR="00DB6E1F" w:rsidRDefault="00F666A6">
            <w:pPr>
              <w:pStyle w:val="TableParagraph"/>
              <w:spacing w:before="120"/>
              <w:rPr>
                <w:sz w:val="20"/>
              </w:rPr>
            </w:pPr>
            <w:r>
              <w:rPr>
                <w:b/>
                <w:sz w:val="20"/>
              </w:rPr>
              <w:t>Client:</w:t>
            </w:r>
            <w:r>
              <w:rPr>
                <w:b/>
                <w:spacing w:val="-5"/>
                <w:sz w:val="20"/>
              </w:rPr>
              <w:t xml:space="preserve"> </w:t>
            </w:r>
            <w:r>
              <w:rPr>
                <w:sz w:val="20"/>
              </w:rPr>
              <w:t>I'll</w:t>
            </w:r>
            <w:r>
              <w:rPr>
                <w:spacing w:val="-3"/>
                <w:sz w:val="20"/>
              </w:rPr>
              <w:t xml:space="preserve"> </w:t>
            </w:r>
            <w:r>
              <w:rPr>
                <w:sz w:val="20"/>
              </w:rPr>
              <w:t>see</w:t>
            </w:r>
            <w:r>
              <w:rPr>
                <w:spacing w:val="-6"/>
                <w:sz w:val="20"/>
              </w:rPr>
              <w:t xml:space="preserve"> </w:t>
            </w:r>
            <w:r>
              <w:rPr>
                <w:sz w:val="20"/>
              </w:rPr>
              <w:t>you</w:t>
            </w:r>
            <w:r>
              <w:rPr>
                <w:spacing w:val="-3"/>
                <w:sz w:val="20"/>
              </w:rPr>
              <w:t xml:space="preserve"> </w:t>
            </w:r>
            <w:r>
              <w:rPr>
                <w:sz w:val="20"/>
              </w:rPr>
              <w:t>tomorrow</w:t>
            </w:r>
            <w:r>
              <w:rPr>
                <w:spacing w:val="-6"/>
                <w:sz w:val="20"/>
              </w:rPr>
              <w:t xml:space="preserve"> </w:t>
            </w:r>
            <w:r>
              <w:rPr>
                <w:sz w:val="20"/>
              </w:rPr>
              <w:t>night.</w:t>
            </w:r>
            <w:r>
              <w:rPr>
                <w:spacing w:val="-5"/>
                <w:sz w:val="20"/>
              </w:rPr>
              <w:t xml:space="preserve"> </w:t>
            </w:r>
            <w:r>
              <w:rPr>
                <w:sz w:val="20"/>
              </w:rPr>
              <w:t>You</w:t>
            </w:r>
            <w:r>
              <w:rPr>
                <w:spacing w:val="-4"/>
                <w:sz w:val="20"/>
              </w:rPr>
              <w:t xml:space="preserve"> </w:t>
            </w:r>
            <w:r>
              <w:rPr>
                <w:sz w:val="20"/>
              </w:rPr>
              <w:t>know,</w:t>
            </w:r>
            <w:r>
              <w:rPr>
                <w:spacing w:val="-3"/>
                <w:sz w:val="20"/>
              </w:rPr>
              <w:t xml:space="preserve"> </w:t>
            </w:r>
            <w:r>
              <w:rPr>
                <w:sz w:val="20"/>
              </w:rPr>
              <w:t>this</w:t>
            </w:r>
            <w:r>
              <w:rPr>
                <w:spacing w:val="-6"/>
                <w:sz w:val="20"/>
              </w:rPr>
              <w:t xml:space="preserve"> </w:t>
            </w:r>
            <w:r>
              <w:rPr>
                <w:sz w:val="20"/>
              </w:rPr>
              <w:t>wasn’t</w:t>
            </w:r>
            <w:r>
              <w:rPr>
                <w:spacing w:val="-5"/>
                <w:sz w:val="20"/>
              </w:rPr>
              <w:t xml:space="preserve"> </w:t>
            </w:r>
            <w:r>
              <w:rPr>
                <w:sz w:val="20"/>
              </w:rPr>
              <w:t>as</w:t>
            </w:r>
            <w:r>
              <w:rPr>
                <w:spacing w:val="-5"/>
                <w:sz w:val="20"/>
              </w:rPr>
              <w:t xml:space="preserve"> </w:t>
            </w:r>
            <w:r>
              <w:rPr>
                <w:sz w:val="20"/>
              </w:rPr>
              <w:t>bad</w:t>
            </w:r>
            <w:r>
              <w:rPr>
                <w:spacing w:val="-4"/>
                <w:sz w:val="20"/>
              </w:rPr>
              <w:t xml:space="preserve"> </w:t>
            </w:r>
            <w:r>
              <w:rPr>
                <w:sz w:val="20"/>
              </w:rPr>
              <w:t>as</w:t>
            </w:r>
            <w:r>
              <w:rPr>
                <w:spacing w:val="-6"/>
                <w:sz w:val="20"/>
              </w:rPr>
              <w:t xml:space="preserve"> </w:t>
            </w:r>
            <w:r>
              <w:rPr>
                <w:sz w:val="20"/>
              </w:rPr>
              <w:t>I</w:t>
            </w:r>
            <w:r>
              <w:rPr>
                <w:spacing w:val="-4"/>
                <w:sz w:val="20"/>
              </w:rPr>
              <w:t xml:space="preserve"> </w:t>
            </w:r>
            <w:r>
              <w:rPr>
                <w:sz w:val="20"/>
              </w:rPr>
              <w:t>thought</w:t>
            </w:r>
            <w:r>
              <w:rPr>
                <w:spacing w:val="-5"/>
                <w:sz w:val="20"/>
              </w:rPr>
              <w:t xml:space="preserve"> </w:t>
            </w:r>
            <w:r>
              <w:rPr>
                <w:sz w:val="20"/>
              </w:rPr>
              <w:t>it</w:t>
            </w:r>
            <w:r>
              <w:rPr>
                <w:spacing w:val="-5"/>
                <w:sz w:val="20"/>
              </w:rPr>
              <w:t xml:space="preserve"> </w:t>
            </w:r>
            <w:r>
              <w:rPr>
                <w:sz w:val="20"/>
              </w:rPr>
              <w:t>would</w:t>
            </w:r>
            <w:r>
              <w:rPr>
                <w:spacing w:val="-4"/>
                <w:sz w:val="20"/>
              </w:rPr>
              <w:t xml:space="preserve"> </w:t>
            </w:r>
            <w:r>
              <w:rPr>
                <w:spacing w:val="-5"/>
                <w:sz w:val="20"/>
              </w:rPr>
              <w:t>be.</w:t>
            </w:r>
          </w:p>
          <w:p w14:paraId="72FEED9A" w14:textId="77777777" w:rsidR="00DB6E1F" w:rsidRDefault="00F666A6">
            <w:pPr>
              <w:pStyle w:val="TableParagraph"/>
              <w:spacing w:before="120"/>
              <w:rPr>
                <w:i/>
                <w:sz w:val="20"/>
              </w:rPr>
            </w:pPr>
            <w:r>
              <w:rPr>
                <w:i/>
                <w:sz w:val="20"/>
              </w:rPr>
              <w:t>Jeffrey</w:t>
            </w:r>
            <w:r>
              <w:rPr>
                <w:i/>
                <w:spacing w:val="-7"/>
                <w:sz w:val="20"/>
              </w:rPr>
              <w:t xml:space="preserve"> </w:t>
            </w:r>
            <w:r>
              <w:rPr>
                <w:i/>
                <w:sz w:val="20"/>
              </w:rPr>
              <w:t>M.</w:t>
            </w:r>
            <w:r>
              <w:rPr>
                <w:i/>
                <w:spacing w:val="-7"/>
                <w:sz w:val="20"/>
              </w:rPr>
              <w:t xml:space="preserve"> </w:t>
            </w:r>
            <w:r>
              <w:rPr>
                <w:i/>
                <w:sz w:val="20"/>
              </w:rPr>
              <w:t>Georgi,</w:t>
            </w:r>
            <w:r>
              <w:rPr>
                <w:i/>
                <w:spacing w:val="-7"/>
                <w:sz w:val="20"/>
              </w:rPr>
              <w:t xml:space="preserve"> </w:t>
            </w:r>
            <w:r>
              <w:rPr>
                <w:i/>
                <w:sz w:val="20"/>
              </w:rPr>
              <w:t>M.Div.,</w:t>
            </w:r>
            <w:r>
              <w:rPr>
                <w:i/>
                <w:spacing w:val="-6"/>
                <w:sz w:val="20"/>
              </w:rPr>
              <w:t xml:space="preserve"> </w:t>
            </w:r>
            <w:r>
              <w:rPr>
                <w:i/>
                <w:sz w:val="20"/>
              </w:rPr>
              <w:t>Consensus</w:t>
            </w:r>
            <w:r>
              <w:rPr>
                <w:i/>
                <w:spacing w:val="-8"/>
                <w:sz w:val="20"/>
              </w:rPr>
              <w:t xml:space="preserve"> </w:t>
            </w:r>
            <w:r>
              <w:rPr>
                <w:i/>
                <w:sz w:val="20"/>
              </w:rPr>
              <w:t>Panel</w:t>
            </w:r>
            <w:r>
              <w:rPr>
                <w:i/>
                <w:spacing w:val="-7"/>
                <w:sz w:val="20"/>
              </w:rPr>
              <w:t xml:space="preserve"> </w:t>
            </w:r>
            <w:r>
              <w:rPr>
                <w:i/>
                <w:spacing w:val="-2"/>
                <w:sz w:val="20"/>
              </w:rPr>
              <w:t>Member</w:t>
            </w:r>
          </w:p>
        </w:tc>
      </w:tr>
    </w:tbl>
    <w:p w14:paraId="24AB781A" w14:textId="77777777" w:rsidR="00DB6E1F" w:rsidRDefault="00DB6E1F">
      <w:pPr>
        <w:pStyle w:val="BodyText"/>
        <w:spacing w:before="6"/>
        <w:rPr>
          <w:sz w:val="8"/>
        </w:rPr>
      </w:pPr>
    </w:p>
    <w:p w14:paraId="612B479F" w14:textId="77777777" w:rsidR="00DB6E1F" w:rsidRDefault="00F666A6">
      <w:pPr>
        <w:pStyle w:val="BodyText"/>
        <w:spacing w:before="56"/>
        <w:ind w:left="1439" w:right="1491"/>
      </w:pPr>
      <w:r>
        <w:t>Although this counseling scenario relies primarily on cognitive–behavioral therapy strategies, the counselor</w:t>
      </w:r>
      <w:r>
        <w:rPr>
          <w:spacing w:val="-2"/>
        </w:rPr>
        <w:t xml:space="preserve"> </w:t>
      </w:r>
      <w:r>
        <w:t>engages</w:t>
      </w:r>
      <w:r>
        <w:rPr>
          <w:spacing w:val="-2"/>
        </w:rPr>
        <w:t xml:space="preserve"> </w:t>
      </w:r>
      <w:r>
        <w:t>the</w:t>
      </w:r>
      <w:r>
        <w:rPr>
          <w:spacing w:val="-4"/>
        </w:rPr>
        <w:t xml:space="preserve"> </w:t>
      </w:r>
      <w:r>
        <w:t>client</w:t>
      </w:r>
      <w:r>
        <w:rPr>
          <w:spacing w:val="-1"/>
        </w:rPr>
        <w:t xml:space="preserve"> </w:t>
      </w:r>
      <w:r>
        <w:t>in</w:t>
      </w:r>
      <w:r>
        <w:rPr>
          <w:spacing w:val="-3"/>
        </w:rPr>
        <w:t xml:space="preserve"> </w:t>
      </w:r>
      <w:r>
        <w:t>the</w:t>
      </w:r>
      <w:r>
        <w:rPr>
          <w:spacing w:val="-1"/>
        </w:rPr>
        <w:t xml:space="preserve"> </w:t>
      </w:r>
      <w:r>
        <w:t>spirit</w:t>
      </w:r>
      <w:r>
        <w:rPr>
          <w:spacing w:val="-1"/>
        </w:rPr>
        <w:t xml:space="preserve"> </w:t>
      </w:r>
      <w:r>
        <w:t>of</w:t>
      </w:r>
      <w:r>
        <w:rPr>
          <w:spacing w:val="-5"/>
        </w:rPr>
        <w:t xml:space="preserve"> </w:t>
      </w:r>
      <w:r>
        <w:t>MI</w:t>
      </w:r>
      <w:r>
        <w:rPr>
          <w:spacing w:val="-5"/>
        </w:rPr>
        <w:t xml:space="preserve"> </w:t>
      </w:r>
      <w:r>
        <w:t>by</w:t>
      </w:r>
      <w:r>
        <w:rPr>
          <w:spacing w:val="-3"/>
        </w:rPr>
        <w:t xml:space="preserve"> </w:t>
      </w:r>
      <w:r>
        <w:t>emphasizing</w:t>
      </w:r>
      <w:r>
        <w:rPr>
          <w:spacing w:val="-3"/>
        </w:rPr>
        <w:t xml:space="preserve"> </w:t>
      </w:r>
      <w:r>
        <w:t>partnership</w:t>
      </w:r>
      <w:r>
        <w:rPr>
          <w:spacing w:val="-3"/>
        </w:rPr>
        <w:t xml:space="preserve"> </w:t>
      </w:r>
      <w:r>
        <w:t>and</w:t>
      </w:r>
      <w:r>
        <w:rPr>
          <w:spacing w:val="-3"/>
        </w:rPr>
        <w:t xml:space="preserve"> </w:t>
      </w:r>
      <w:r>
        <w:t>acceptance</w:t>
      </w:r>
      <w:r>
        <w:rPr>
          <w:spacing w:val="-1"/>
        </w:rPr>
        <w:t xml:space="preserve"> </w:t>
      </w:r>
      <w:r>
        <w:t>of</w:t>
      </w:r>
      <w:r>
        <w:rPr>
          <w:spacing w:val="-2"/>
        </w:rPr>
        <w:t xml:space="preserve"> </w:t>
      </w:r>
      <w:r>
        <w:t>the</w:t>
      </w:r>
      <w:r>
        <w:rPr>
          <w:spacing w:val="-4"/>
        </w:rPr>
        <w:t xml:space="preserve"> </w:t>
      </w:r>
      <w:r>
        <w:t>client. The counselor also uses affirmations and maintains a nonjudgmental, neutral tone throughout the conversation, emphasizing the client’s autonomy and values. This approach is consistent with an effective way to engage a client in Precontemplation who</w:t>
      </w:r>
      <w:r>
        <w:t xml:space="preserve"> has been mandated to treatment.</w:t>
      </w:r>
    </w:p>
    <w:p w14:paraId="54679838" w14:textId="77777777" w:rsidR="00DB6E1F" w:rsidRDefault="00F666A6">
      <w:pPr>
        <w:pStyle w:val="Heading2"/>
        <w:spacing w:before="163"/>
      </w:pPr>
      <w:bookmarkStart w:id="143" w:name="_bookmark29"/>
      <w:bookmarkEnd w:id="143"/>
      <w:r>
        <w:rPr>
          <w:spacing w:val="-2"/>
        </w:rPr>
        <w:t>Conclusion</w:t>
      </w:r>
    </w:p>
    <w:p w14:paraId="2547870B" w14:textId="77777777" w:rsidR="00DB6E1F" w:rsidRDefault="00F666A6">
      <w:pPr>
        <w:pStyle w:val="BodyText"/>
        <w:spacing w:before="153"/>
        <w:ind w:left="1440" w:right="1507"/>
      </w:pPr>
      <w:r>
        <w:t>The first</w:t>
      </w:r>
      <w:r>
        <w:rPr>
          <w:spacing w:val="-3"/>
        </w:rPr>
        <w:t xml:space="preserve"> </w:t>
      </w:r>
      <w:r>
        <w:t>step</w:t>
      </w:r>
      <w:r>
        <w:rPr>
          <w:spacing w:val="-2"/>
        </w:rPr>
        <w:t xml:space="preserve"> </w:t>
      </w:r>
      <w:r>
        <w:t>in</w:t>
      </w:r>
      <w:r>
        <w:rPr>
          <w:spacing w:val="-4"/>
        </w:rPr>
        <w:t xml:space="preserve"> </w:t>
      </w:r>
      <w:r>
        <w:t>working</w:t>
      </w:r>
      <w:r>
        <w:rPr>
          <w:spacing w:val="-2"/>
        </w:rPr>
        <w:t xml:space="preserve"> </w:t>
      </w:r>
      <w:r>
        <w:t>with</w:t>
      </w:r>
      <w:r>
        <w:rPr>
          <w:spacing w:val="-2"/>
        </w:rPr>
        <w:t xml:space="preserve"> </w:t>
      </w:r>
      <w:r>
        <w:t>clients</w:t>
      </w:r>
      <w:r>
        <w:rPr>
          <w:spacing w:val="-1"/>
        </w:rPr>
        <w:t xml:space="preserve"> </w:t>
      </w:r>
      <w:r>
        <w:t>in</w:t>
      </w:r>
      <w:r>
        <w:rPr>
          <w:spacing w:val="-4"/>
        </w:rPr>
        <w:t xml:space="preserve"> </w:t>
      </w:r>
      <w:r>
        <w:t>the</w:t>
      </w:r>
      <w:r>
        <w:rPr>
          <w:spacing w:val="-2"/>
        </w:rPr>
        <w:t xml:space="preserve"> </w:t>
      </w:r>
      <w:r>
        <w:t>Precontemplation</w:t>
      </w:r>
      <w:r>
        <w:rPr>
          <w:spacing w:val="-1"/>
        </w:rPr>
        <w:t xml:space="preserve"> </w:t>
      </w:r>
      <w:r>
        <w:t>stage</w:t>
      </w:r>
      <w:r>
        <w:rPr>
          <w:spacing w:val="-3"/>
        </w:rPr>
        <w:t xml:space="preserve"> </w:t>
      </w:r>
      <w:r>
        <w:t>of</w:t>
      </w:r>
      <w:r>
        <w:rPr>
          <w:spacing w:val="-1"/>
        </w:rPr>
        <w:t xml:space="preserve"> </w:t>
      </w:r>
      <w:r>
        <w:t>the</w:t>
      </w:r>
      <w:r>
        <w:rPr>
          <w:spacing w:val="-3"/>
        </w:rPr>
        <w:t xml:space="preserve"> </w:t>
      </w:r>
      <w:r>
        <w:t>SOC</w:t>
      </w:r>
      <w:r>
        <w:rPr>
          <w:spacing w:val="-1"/>
        </w:rPr>
        <w:t xml:space="preserve"> </w:t>
      </w:r>
      <w:r>
        <w:t>is</w:t>
      </w:r>
      <w:r>
        <w:rPr>
          <w:spacing w:val="-6"/>
        </w:rPr>
        <w:t xml:space="preserve"> </w:t>
      </w:r>
      <w:r>
        <w:t>to develop</w:t>
      </w:r>
      <w:r>
        <w:rPr>
          <w:spacing w:val="-2"/>
        </w:rPr>
        <w:t xml:space="preserve"> </w:t>
      </w:r>
      <w:r>
        <w:t>rapport and establish a counseling alliance. The next step is to assess their readiness to change, then help them begi</w:t>
      </w:r>
      <w:r>
        <w:t>n to develop an awareness that their use of substances is linked to problems in their lives.</w:t>
      </w:r>
    </w:p>
    <w:p w14:paraId="44147DA6" w14:textId="77777777" w:rsidR="00DB6E1F" w:rsidRDefault="00F666A6">
      <w:pPr>
        <w:pStyle w:val="BodyText"/>
        <w:ind w:left="1440" w:right="1444"/>
      </w:pPr>
      <w:r>
        <w:t>Motivational</w:t>
      </w:r>
      <w:r>
        <w:rPr>
          <w:spacing w:val="-6"/>
        </w:rPr>
        <w:t xml:space="preserve"> </w:t>
      </w:r>
      <w:r>
        <w:t>counseling</w:t>
      </w:r>
      <w:r>
        <w:rPr>
          <w:spacing w:val="-4"/>
        </w:rPr>
        <w:t xml:space="preserve"> </w:t>
      </w:r>
      <w:r>
        <w:t>strategies</w:t>
      </w:r>
      <w:r>
        <w:rPr>
          <w:spacing w:val="-3"/>
        </w:rPr>
        <w:t xml:space="preserve"> </w:t>
      </w:r>
      <w:r>
        <w:t>from</w:t>
      </w:r>
      <w:r>
        <w:rPr>
          <w:spacing w:val="-3"/>
        </w:rPr>
        <w:t xml:space="preserve"> </w:t>
      </w:r>
      <w:r>
        <w:t>motivational</w:t>
      </w:r>
      <w:r>
        <w:rPr>
          <w:spacing w:val="-8"/>
        </w:rPr>
        <w:t xml:space="preserve"> </w:t>
      </w:r>
      <w:r>
        <w:t>enhancement</w:t>
      </w:r>
      <w:r>
        <w:rPr>
          <w:spacing w:val="-3"/>
        </w:rPr>
        <w:t xml:space="preserve"> </w:t>
      </w:r>
      <w:r>
        <w:t>therapy</w:t>
      </w:r>
      <w:r>
        <w:rPr>
          <w:spacing w:val="-5"/>
        </w:rPr>
        <w:t xml:space="preserve"> </w:t>
      </w:r>
      <w:r>
        <w:t>(e.g.,</w:t>
      </w:r>
      <w:r>
        <w:rPr>
          <w:spacing w:val="-3"/>
        </w:rPr>
        <w:t xml:space="preserve"> </w:t>
      </w:r>
      <w:r>
        <w:t>providing</w:t>
      </w:r>
      <w:r>
        <w:rPr>
          <w:spacing w:val="-4"/>
        </w:rPr>
        <w:t xml:space="preserve"> </w:t>
      </w:r>
      <w:r>
        <w:t>personalized feedback about assessment results) and MI (e.g., using refle</w:t>
      </w:r>
      <w:r>
        <w:t>ctive listening to engage, emphasizing personal choice and responsibility, exploring discrepancy) are suited to helping clients move from Precontemplation to Contemplation.</w:t>
      </w:r>
    </w:p>
    <w:p w14:paraId="61251C2C" w14:textId="77777777" w:rsidR="00DB6E1F" w:rsidRDefault="00DB6E1F">
      <w:pPr>
        <w:sectPr w:rsidR="00DB6E1F">
          <w:pgSz w:w="12240" w:h="15840"/>
          <w:pgMar w:top="1200" w:right="0" w:bottom="780" w:left="0" w:header="763" w:footer="585" w:gutter="0"/>
          <w:cols w:space="720"/>
        </w:sectPr>
      </w:pPr>
    </w:p>
    <w:p w14:paraId="67B6C023" w14:textId="77777777" w:rsidR="00DB6E1F" w:rsidRDefault="00DB6E1F">
      <w:pPr>
        <w:pStyle w:val="BodyText"/>
        <w:spacing w:before="12"/>
        <w:rPr>
          <w:sz w:val="18"/>
        </w:rPr>
      </w:pPr>
    </w:p>
    <w:p w14:paraId="68F5FE17" w14:textId="77777777" w:rsidR="00DB6E1F" w:rsidRDefault="00F666A6">
      <w:pPr>
        <w:pStyle w:val="Heading1"/>
        <w:spacing w:line="259" w:lineRule="auto"/>
        <w:ind w:left="2426" w:right="1491" w:firstLine="177"/>
        <w:jc w:val="left"/>
      </w:pPr>
      <w:bookmarkStart w:id="144" w:name="Chapter_5—From_Contemplation_to_Preparat"/>
      <w:bookmarkStart w:id="145" w:name="_bookmark30"/>
      <w:bookmarkEnd w:id="144"/>
      <w:bookmarkEnd w:id="145"/>
      <w:r>
        <w:t>Chapter 5—From Contemplation to Preparation:</w:t>
      </w:r>
      <w:r>
        <w:rPr>
          <w:spacing w:val="-20"/>
        </w:rPr>
        <w:t xml:space="preserve"> </w:t>
      </w:r>
      <w:r>
        <w:t>Increasing</w:t>
      </w:r>
      <w:r>
        <w:rPr>
          <w:spacing w:val="-18"/>
        </w:rPr>
        <w:t xml:space="preserve"> </w:t>
      </w:r>
      <w:r>
        <w:t>Commitment</w:t>
      </w:r>
    </w:p>
    <w:p w14:paraId="4021B077" w14:textId="77777777" w:rsidR="00DB6E1F" w:rsidRDefault="00DB6E1F">
      <w:pPr>
        <w:pStyle w:val="BodyText"/>
        <w:spacing w:before="5"/>
        <w:rPr>
          <w:b/>
          <w:sz w:val="39"/>
        </w:rPr>
      </w:pPr>
    </w:p>
    <w:p w14:paraId="677BA596" w14:textId="77777777" w:rsidR="00DB6E1F" w:rsidRDefault="00F666A6">
      <w:pPr>
        <w:ind w:left="1440" w:right="1491"/>
        <w:rPr>
          <w:sz w:val="20"/>
        </w:rPr>
      </w:pPr>
      <w:r>
        <w:rPr>
          <w:sz w:val="20"/>
        </w:rPr>
        <w:t>“The reasons for change need to be important and substantive enough to move the individual into deciding to make the effort to change. The task for individuals in Contemplation is to resolve their decisional balance consideration</w:t>
      </w:r>
      <w:r>
        <w:rPr>
          <w:spacing w:val="-2"/>
          <w:sz w:val="20"/>
        </w:rPr>
        <w:t xml:space="preserve"> </w:t>
      </w:r>
      <w:r>
        <w:rPr>
          <w:sz w:val="20"/>
        </w:rPr>
        <w:t>in</w:t>
      </w:r>
      <w:r>
        <w:rPr>
          <w:spacing w:val="-2"/>
          <w:sz w:val="20"/>
        </w:rPr>
        <w:t xml:space="preserve"> </w:t>
      </w:r>
      <w:r>
        <w:rPr>
          <w:sz w:val="20"/>
        </w:rPr>
        <w:t>favor</w:t>
      </w:r>
      <w:r>
        <w:rPr>
          <w:spacing w:val="-3"/>
          <w:sz w:val="20"/>
        </w:rPr>
        <w:t xml:space="preserve"> </w:t>
      </w:r>
      <w:r>
        <w:rPr>
          <w:sz w:val="20"/>
        </w:rPr>
        <w:t>of</w:t>
      </w:r>
      <w:r>
        <w:rPr>
          <w:spacing w:val="-4"/>
          <w:sz w:val="20"/>
        </w:rPr>
        <w:t xml:space="preserve"> </w:t>
      </w:r>
      <w:r>
        <w:rPr>
          <w:sz w:val="20"/>
        </w:rPr>
        <w:t>change.</w:t>
      </w:r>
      <w:r>
        <w:rPr>
          <w:spacing w:val="-3"/>
          <w:sz w:val="20"/>
        </w:rPr>
        <w:t xml:space="preserve"> </w:t>
      </w:r>
      <w:r>
        <w:rPr>
          <w:sz w:val="20"/>
        </w:rPr>
        <w:t>The</w:t>
      </w:r>
      <w:r>
        <w:rPr>
          <w:spacing w:val="-4"/>
          <w:sz w:val="20"/>
        </w:rPr>
        <w:t xml:space="preserve"> </w:t>
      </w:r>
      <w:r>
        <w:rPr>
          <w:sz w:val="20"/>
        </w:rPr>
        <w:t>decision</w:t>
      </w:r>
      <w:r>
        <w:rPr>
          <w:spacing w:val="-2"/>
          <w:sz w:val="20"/>
        </w:rPr>
        <w:t xml:space="preserve"> </w:t>
      </w:r>
      <w:r>
        <w:rPr>
          <w:sz w:val="20"/>
        </w:rPr>
        <w:t>to</w:t>
      </w:r>
      <w:r>
        <w:rPr>
          <w:spacing w:val="-3"/>
          <w:sz w:val="20"/>
        </w:rPr>
        <w:t xml:space="preserve"> </w:t>
      </w:r>
      <w:r>
        <w:rPr>
          <w:sz w:val="20"/>
        </w:rPr>
        <w:t>change</w:t>
      </w:r>
      <w:r>
        <w:rPr>
          <w:spacing w:val="-4"/>
          <w:sz w:val="20"/>
        </w:rPr>
        <w:t xml:space="preserve"> </w:t>
      </w:r>
      <w:r>
        <w:rPr>
          <w:sz w:val="20"/>
        </w:rPr>
        <w:t>marks</w:t>
      </w:r>
      <w:r>
        <w:rPr>
          <w:spacing w:val="-4"/>
          <w:sz w:val="20"/>
        </w:rPr>
        <w:t xml:space="preserve"> </w:t>
      </w:r>
      <w:r>
        <w:rPr>
          <w:sz w:val="20"/>
        </w:rPr>
        <w:t>the</w:t>
      </w:r>
      <w:r>
        <w:rPr>
          <w:spacing w:val="-4"/>
          <w:sz w:val="20"/>
        </w:rPr>
        <w:t xml:space="preserve"> </w:t>
      </w:r>
      <w:r>
        <w:rPr>
          <w:sz w:val="20"/>
        </w:rPr>
        <w:t>transition</w:t>
      </w:r>
      <w:r>
        <w:rPr>
          <w:spacing w:val="-2"/>
          <w:sz w:val="20"/>
        </w:rPr>
        <w:t xml:space="preserve"> </w:t>
      </w:r>
      <w:r>
        <w:rPr>
          <w:sz w:val="20"/>
        </w:rPr>
        <w:t>out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Contemplation</w:t>
      </w:r>
      <w:r>
        <w:rPr>
          <w:spacing w:val="-2"/>
          <w:sz w:val="20"/>
        </w:rPr>
        <w:t xml:space="preserve"> </w:t>
      </w:r>
      <w:r>
        <w:rPr>
          <w:sz w:val="20"/>
        </w:rPr>
        <w:t>stage</w:t>
      </w:r>
      <w:r>
        <w:rPr>
          <w:spacing w:val="-4"/>
          <w:sz w:val="20"/>
        </w:rPr>
        <w:t xml:space="preserve"> </w:t>
      </w:r>
      <w:r>
        <w:rPr>
          <w:sz w:val="20"/>
        </w:rPr>
        <w:t>and into Preparation.”</w:t>
      </w:r>
    </w:p>
    <w:p w14:paraId="0D8C5BF7" w14:textId="77777777" w:rsidR="00DB6E1F" w:rsidRDefault="00F666A6">
      <w:pPr>
        <w:pStyle w:val="BodyText"/>
        <w:spacing w:before="116"/>
        <w:ind w:left="1444" w:right="1445"/>
        <w:jc w:val="center"/>
      </w:pPr>
      <w:r>
        <w:t>DiClemente,</w:t>
      </w:r>
      <w:r>
        <w:rPr>
          <w:spacing w:val="-6"/>
        </w:rPr>
        <w:t xml:space="preserve"> </w:t>
      </w:r>
      <w:r>
        <w:t>2018,</w:t>
      </w:r>
      <w:r>
        <w:rPr>
          <w:spacing w:val="-5"/>
        </w:rPr>
        <w:t xml:space="preserve"> </w:t>
      </w:r>
      <w:r>
        <w:t>p.</w:t>
      </w:r>
      <w:r>
        <w:rPr>
          <w:spacing w:val="-3"/>
        </w:rPr>
        <w:t xml:space="preserve"> </w:t>
      </w:r>
      <w:r>
        <w:rPr>
          <w:spacing w:val="-5"/>
        </w:rPr>
        <w:t>29</w:t>
      </w:r>
    </w:p>
    <w:p w14:paraId="5CB0B87E" w14:textId="77777777" w:rsidR="00DB6E1F" w:rsidRDefault="00DB6E1F">
      <w:pPr>
        <w:pStyle w:val="BodyText"/>
        <w:spacing w:before="2"/>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52461397" w14:textId="77777777">
        <w:trPr>
          <w:trHeight w:val="2150"/>
        </w:trPr>
        <w:tc>
          <w:tcPr>
            <w:tcW w:w="9350" w:type="dxa"/>
            <w:shd w:val="clear" w:color="auto" w:fill="E7E6E6"/>
          </w:tcPr>
          <w:p w14:paraId="02A2A899" w14:textId="77777777" w:rsidR="00DB6E1F" w:rsidRDefault="00F666A6">
            <w:pPr>
              <w:pStyle w:val="TableParagraph"/>
              <w:spacing w:before="121"/>
              <w:ind w:left="5"/>
              <w:jc w:val="center"/>
              <w:rPr>
                <w:b/>
                <w:sz w:val="20"/>
              </w:rPr>
            </w:pPr>
            <w:r>
              <w:rPr>
                <w:b/>
                <w:sz w:val="20"/>
              </w:rPr>
              <w:t>Key</w:t>
            </w:r>
            <w:r>
              <w:rPr>
                <w:b/>
                <w:spacing w:val="-6"/>
                <w:sz w:val="20"/>
              </w:rPr>
              <w:t xml:space="preserve"> </w:t>
            </w:r>
            <w:r>
              <w:rPr>
                <w:b/>
                <w:spacing w:val="-2"/>
                <w:sz w:val="20"/>
              </w:rPr>
              <w:t>Messages</w:t>
            </w:r>
          </w:p>
          <w:p w14:paraId="352A9B7F" w14:textId="77777777" w:rsidR="00DB6E1F" w:rsidRDefault="00F666A6">
            <w:pPr>
              <w:pStyle w:val="TableParagraph"/>
              <w:numPr>
                <w:ilvl w:val="0"/>
                <w:numId w:val="63"/>
              </w:numPr>
              <w:tabs>
                <w:tab w:val="left" w:pos="467"/>
                <w:tab w:val="left" w:pos="468"/>
              </w:tabs>
              <w:spacing w:before="120"/>
              <w:ind w:hanging="361"/>
              <w:rPr>
                <w:sz w:val="20"/>
              </w:rPr>
            </w:pPr>
            <w:r>
              <w:rPr>
                <w:sz w:val="20"/>
              </w:rPr>
              <w:t>Clients</w:t>
            </w:r>
            <w:r>
              <w:rPr>
                <w:spacing w:val="-8"/>
                <w:sz w:val="20"/>
              </w:rPr>
              <w:t xml:space="preserve"> </w:t>
            </w:r>
            <w:r>
              <w:rPr>
                <w:sz w:val="20"/>
              </w:rPr>
              <w:t>in</w:t>
            </w:r>
            <w:r>
              <w:rPr>
                <w:spacing w:val="-6"/>
                <w:sz w:val="20"/>
              </w:rPr>
              <w:t xml:space="preserve"> </w:t>
            </w:r>
            <w:r>
              <w:rPr>
                <w:sz w:val="20"/>
              </w:rPr>
              <w:t>Contemplation</w:t>
            </w:r>
            <w:r>
              <w:rPr>
                <w:spacing w:val="-6"/>
                <w:sz w:val="20"/>
              </w:rPr>
              <w:t xml:space="preserve"> </w:t>
            </w:r>
            <w:r>
              <w:rPr>
                <w:sz w:val="20"/>
              </w:rPr>
              <w:t>begin</w:t>
            </w:r>
            <w:r>
              <w:rPr>
                <w:spacing w:val="-5"/>
                <w:sz w:val="20"/>
              </w:rPr>
              <w:t xml:space="preserve"> </w:t>
            </w:r>
            <w:r>
              <w:rPr>
                <w:sz w:val="20"/>
              </w:rPr>
              <w:t>to</w:t>
            </w:r>
            <w:r>
              <w:rPr>
                <w:spacing w:val="-7"/>
                <w:sz w:val="20"/>
              </w:rPr>
              <w:t xml:space="preserve"> </w:t>
            </w:r>
            <w:r>
              <w:rPr>
                <w:sz w:val="20"/>
              </w:rPr>
              <w:t>recognize</w:t>
            </w:r>
            <w:r>
              <w:rPr>
                <w:spacing w:val="-8"/>
                <w:sz w:val="20"/>
              </w:rPr>
              <w:t xml:space="preserve"> </w:t>
            </w:r>
            <w:r>
              <w:rPr>
                <w:sz w:val="20"/>
              </w:rPr>
              <w:t>concerns</w:t>
            </w:r>
            <w:r>
              <w:rPr>
                <w:spacing w:val="-7"/>
                <w:sz w:val="20"/>
              </w:rPr>
              <w:t xml:space="preserve"> </w:t>
            </w:r>
            <w:r>
              <w:rPr>
                <w:sz w:val="20"/>
              </w:rPr>
              <w:t>about</w:t>
            </w:r>
            <w:r>
              <w:rPr>
                <w:spacing w:val="-7"/>
                <w:sz w:val="20"/>
              </w:rPr>
              <w:t xml:space="preserve"> </w:t>
            </w:r>
            <w:r>
              <w:rPr>
                <w:sz w:val="20"/>
              </w:rPr>
              <w:t>substance</w:t>
            </w:r>
            <w:r>
              <w:rPr>
                <w:spacing w:val="-7"/>
                <w:sz w:val="20"/>
              </w:rPr>
              <w:t xml:space="preserve"> </w:t>
            </w:r>
            <w:r>
              <w:rPr>
                <w:sz w:val="20"/>
              </w:rPr>
              <w:t>use</w:t>
            </w:r>
            <w:r>
              <w:rPr>
                <w:spacing w:val="-8"/>
                <w:sz w:val="20"/>
              </w:rPr>
              <w:t xml:space="preserve"> </w:t>
            </w:r>
            <w:r>
              <w:rPr>
                <w:sz w:val="20"/>
              </w:rPr>
              <w:t>but</w:t>
            </w:r>
            <w:r>
              <w:rPr>
                <w:spacing w:val="-6"/>
                <w:sz w:val="20"/>
              </w:rPr>
              <w:t xml:space="preserve"> </w:t>
            </w:r>
            <w:r>
              <w:rPr>
                <w:sz w:val="20"/>
              </w:rPr>
              <w:t>are</w:t>
            </w:r>
            <w:r>
              <w:rPr>
                <w:spacing w:val="-8"/>
                <w:sz w:val="20"/>
              </w:rPr>
              <w:t xml:space="preserve"> </w:t>
            </w:r>
            <w:r>
              <w:rPr>
                <w:sz w:val="20"/>
              </w:rPr>
              <w:t>ambivalent</w:t>
            </w:r>
            <w:r>
              <w:rPr>
                <w:spacing w:val="-6"/>
                <w:sz w:val="20"/>
              </w:rPr>
              <w:t xml:space="preserve"> </w:t>
            </w:r>
            <w:r>
              <w:rPr>
                <w:sz w:val="20"/>
              </w:rPr>
              <w:t>about</w:t>
            </w:r>
            <w:r>
              <w:rPr>
                <w:spacing w:val="-7"/>
                <w:sz w:val="20"/>
              </w:rPr>
              <w:t xml:space="preserve"> </w:t>
            </w:r>
            <w:r>
              <w:rPr>
                <w:spacing w:val="-2"/>
                <w:sz w:val="20"/>
              </w:rPr>
              <w:t>change.</w:t>
            </w:r>
          </w:p>
          <w:p w14:paraId="3E9C2D88" w14:textId="77777777" w:rsidR="00DB6E1F" w:rsidRDefault="00F666A6">
            <w:pPr>
              <w:pStyle w:val="TableParagraph"/>
              <w:numPr>
                <w:ilvl w:val="0"/>
                <w:numId w:val="63"/>
              </w:numPr>
              <w:tabs>
                <w:tab w:val="left" w:pos="467"/>
                <w:tab w:val="left" w:pos="468"/>
              </w:tabs>
              <w:spacing w:before="38"/>
              <w:ind w:hanging="361"/>
              <w:rPr>
                <w:sz w:val="20"/>
              </w:rPr>
            </w:pPr>
            <w:r>
              <w:rPr>
                <w:sz w:val="20"/>
              </w:rPr>
              <w:t>You</w:t>
            </w:r>
            <w:r>
              <w:rPr>
                <w:spacing w:val="-7"/>
                <w:sz w:val="20"/>
              </w:rPr>
              <w:t xml:space="preserve"> </w:t>
            </w:r>
            <w:r>
              <w:rPr>
                <w:sz w:val="20"/>
              </w:rPr>
              <w:t>can</w:t>
            </w:r>
            <w:r>
              <w:rPr>
                <w:spacing w:val="-6"/>
                <w:sz w:val="20"/>
              </w:rPr>
              <w:t xml:space="preserve"> </w:t>
            </w:r>
            <w:r>
              <w:rPr>
                <w:sz w:val="20"/>
              </w:rPr>
              <w:t>use</w:t>
            </w:r>
            <w:r>
              <w:rPr>
                <w:spacing w:val="-8"/>
                <w:sz w:val="20"/>
              </w:rPr>
              <w:t xml:space="preserve"> </w:t>
            </w:r>
            <w:r>
              <w:rPr>
                <w:sz w:val="20"/>
              </w:rPr>
              <w:t>motivational</w:t>
            </w:r>
            <w:r>
              <w:rPr>
                <w:spacing w:val="-7"/>
                <w:sz w:val="20"/>
              </w:rPr>
              <w:t xml:space="preserve"> </w:t>
            </w:r>
            <w:r>
              <w:rPr>
                <w:sz w:val="20"/>
              </w:rPr>
              <w:t>counseling</w:t>
            </w:r>
            <w:r>
              <w:rPr>
                <w:spacing w:val="-5"/>
                <w:sz w:val="20"/>
              </w:rPr>
              <w:t xml:space="preserve"> </w:t>
            </w:r>
            <w:r>
              <w:rPr>
                <w:sz w:val="20"/>
              </w:rPr>
              <w:t>strategies</w:t>
            </w:r>
            <w:r>
              <w:rPr>
                <w:spacing w:val="-8"/>
                <w:sz w:val="20"/>
              </w:rPr>
              <w:t xml:space="preserve"> </w:t>
            </w:r>
            <w:r>
              <w:rPr>
                <w:sz w:val="20"/>
              </w:rPr>
              <w:t>to</w:t>
            </w:r>
            <w:r>
              <w:rPr>
                <w:spacing w:val="-7"/>
                <w:sz w:val="20"/>
              </w:rPr>
              <w:t xml:space="preserve"> </w:t>
            </w:r>
            <w:r>
              <w:rPr>
                <w:sz w:val="20"/>
              </w:rPr>
              <w:t>help</w:t>
            </w:r>
            <w:r>
              <w:rPr>
                <w:spacing w:val="-7"/>
                <w:sz w:val="20"/>
              </w:rPr>
              <w:t xml:space="preserve"> </w:t>
            </w:r>
            <w:r>
              <w:rPr>
                <w:sz w:val="20"/>
              </w:rPr>
              <w:t>clients</w:t>
            </w:r>
            <w:r>
              <w:rPr>
                <w:spacing w:val="-8"/>
                <w:sz w:val="20"/>
              </w:rPr>
              <w:t xml:space="preserve"> </w:t>
            </w:r>
            <w:r>
              <w:rPr>
                <w:sz w:val="20"/>
              </w:rPr>
              <w:t>resolve</w:t>
            </w:r>
            <w:r>
              <w:rPr>
                <w:spacing w:val="-8"/>
                <w:sz w:val="20"/>
              </w:rPr>
              <w:t xml:space="preserve"> </w:t>
            </w:r>
            <w:r>
              <w:rPr>
                <w:sz w:val="20"/>
              </w:rPr>
              <w:t>ambivalence</w:t>
            </w:r>
            <w:r>
              <w:rPr>
                <w:spacing w:val="-8"/>
                <w:sz w:val="20"/>
              </w:rPr>
              <w:t xml:space="preserve"> </w:t>
            </w:r>
            <w:r>
              <w:rPr>
                <w:sz w:val="20"/>
              </w:rPr>
              <w:t>about</w:t>
            </w:r>
            <w:r>
              <w:rPr>
                <w:spacing w:val="-7"/>
                <w:sz w:val="20"/>
              </w:rPr>
              <w:t xml:space="preserve"> </w:t>
            </w:r>
            <w:r>
              <w:rPr>
                <w:spacing w:val="-2"/>
                <w:sz w:val="20"/>
              </w:rPr>
              <w:t>change.</w:t>
            </w:r>
          </w:p>
          <w:p w14:paraId="088B9573" w14:textId="77777777" w:rsidR="00DB6E1F" w:rsidRDefault="00F666A6">
            <w:pPr>
              <w:pStyle w:val="TableParagraph"/>
              <w:numPr>
                <w:ilvl w:val="0"/>
                <w:numId w:val="63"/>
              </w:numPr>
              <w:tabs>
                <w:tab w:val="left" w:pos="467"/>
                <w:tab w:val="left" w:pos="468"/>
              </w:tabs>
              <w:spacing w:before="40"/>
              <w:ind w:right="243"/>
              <w:rPr>
                <w:sz w:val="20"/>
              </w:rPr>
            </w:pPr>
            <w:r>
              <w:rPr>
                <w:sz w:val="20"/>
              </w:rPr>
              <w:t>When</w:t>
            </w:r>
            <w:r>
              <w:rPr>
                <w:spacing w:val="-2"/>
                <w:sz w:val="20"/>
              </w:rPr>
              <w:t xml:space="preserve"> </w:t>
            </w:r>
            <w:r>
              <w:rPr>
                <w:sz w:val="20"/>
              </w:rPr>
              <w:t>using</w:t>
            </w:r>
            <w:r>
              <w:rPr>
                <w:spacing w:val="-3"/>
                <w:sz w:val="20"/>
              </w:rPr>
              <w:t xml:space="preserve"> </w:t>
            </w:r>
            <w:r>
              <w:rPr>
                <w:sz w:val="20"/>
              </w:rPr>
              <w:t>a</w:t>
            </w:r>
            <w:r>
              <w:rPr>
                <w:spacing w:val="-2"/>
                <w:sz w:val="20"/>
              </w:rPr>
              <w:t xml:space="preserve"> </w:t>
            </w:r>
            <w:r>
              <w:rPr>
                <w:sz w:val="20"/>
              </w:rPr>
              <w:t>decisional</w:t>
            </w:r>
            <w:r>
              <w:rPr>
                <w:spacing w:val="-3"/>
                <w:sz w:val="20"/>
              </w:rPr>
              <w:t xml:space="preserve"> </w:t>
            </w:r>
            <w:r>
              <w:rPr>
                <w:sz w:val="20"/>
              </w:rPr>
              <w:t>balance</w:t>
            </w:r>
            <w:r>
              <w:rPr>
                <w:spacing w:val="-4"/>
                <w:sz w:val="20"/>
              </w:rPr>
              <w:t xml:space="preserve"> </w:t>
            </w:r>
            <w:r>
              <w:rPr>
                <w:sz w:val="20"/>
              </w:rPr>
              <w:t>(DB)</w:t>
            </w:r>
            <w:r>
              <w:rPr>
                <w:spacing w:val="-3"/>
                <w:sz w:val="20"/>
              </w:rPr>
              <w:t xml:space="preserve"> </w:t>
            </w:r>
            <w:r>
              <w:rPr>
                <w:sz w:val="20"/>
              </w:rPr>
              <w:t>strategy,</w:t>
            </w:r>
            <w:r>
              <w:rPr>
                <w:spacing w:val="-2"/>
                <w:sz w:val="20"/>
              </w:rPr>
              <w:t xml:space="preserve"> </w:t>
            </w:r>
            <w:r>
              <w:rPr>
                <w:sz w:val="20"/>
              </w:rPr>
              <w:t>you</w:t>
            </w:r>
            <w:r>
              <w:rPr>
                <w:spacing w:val="-2"/>
                <w:sz w:val="20"/>
              </w:rPr>
              <w:t xml:space="preserve"> </w:t>
            </w:r>
            <w:r>
              <w:rPr>
                <w:sz w:val="20"/>
              </w:rPr>
              <w:t>briefly</w:t>
            </w:r>
            <w:r>
              <w:rPr>
                <w:spacing w:val="-2"/>
                <w:sz w:val="20"/>
              </w:rPr>
              <w:t xml:space="preserve"> </w:t>
            </w:r>
            <w:r>
              <w:rPr>
                <w:sz w:val="20"/>
              </w:rPr>
              <w:t>reflect</w:t>
            </w:r>
            <w:r>
              <w:rPr>
                <w:spacing w:val="-3"/>
                <w:sz w:val="20"/>
              </w:rPr>
              <w:t xml:space="preserve"> </w:t>
            </w:r>
            <w:r>
              <w:rPr>
                <w:sz w:val="20"/>
              </w:rPr>
              <w:t>clients’</w:t>
            </w:r>
            <w:r>
              <w:rPr>
                <w:spacing w:val="-2"/>
                <w:sz w:val="20"/>
              </w:rPr>
              <w:t xml:space="preserve"> </w:t>
            </w:r>
            <w:r>
              <w:rPr>
                <w:sz w:val="20"/>
              </w:rPr>
              <w:t>reasons</w:t>
            </w:r>
            <w:r>
              <w:rPr>
                <w:spacing w:val="-4"/>
                <w:sz w:val="20"/>
              </w:rPr>
              <w:t xml:space="preserve"> </w:t>
            </w:r>
            <w:r>
              <w:rPr>
                <w:sz w:val="20"/>
              </w:rPr>
              <w:t>for</w:t>
            </w:r>
            <w:r>
              <w:rPr>
                <w:spacing w:val="-3"/>
                <w:sz w:val="20"/>
              </w:rPr>
              <w:t xml:space="preserve"> </w:t>
            </w:r>
            <w:r>
              <w:rPr>
                <w:sz w:val="20"/>
              </w:rPr>
              <w:t>continuing</w:t>
            </w:r>
            <w:r>
              <w:rPr>
                <w:spacing w:val="-3"/>
                <w:sz w:val="20"/>
              </w:rPr>
              <w:t xml:space="preserve"> </w:t>
            </w:r>
            <w:r>
              <w:rPr>
                <w:sz w:val="20"/>
              </w:rPr>
              <w:t>substance use (i.e., sustain talk) but emphasize clients’ reasons for ch</w:t>
            </w:r>
            <w:r>
              <w:rPr>
                <w:sz w:val="20"/>
              </w:rPr>
              <w:t>ange (i.e., change talk).</w:t>
            </w:r>
          </w:p>
          <w:p w14:paraId="6DF1047D" w14:textId="77777777" w:rsidR="00DB6E1F" w:rsidRDefault="00F666A6">
            <w:pPr>
              <w:pStyle w:val="TableParagraph"/>
              <w:numPr>
                <w:ilvl w:val="0"/>
                <w:numId w:val="63"/>
              </w:numPr>
              <w:tabs>
                <w:tab w:val="left" w:pos="467"/>
                <w:tab w:val="left" w:pos="468"/>
              </w:tabs>
              <w:spacing w:before="41"/>
              <w:ind w:right="1033"/>
              <w:rPr>
                <w:sz w:val="20"/>
              </w:rPr>
            </w:pPr>
            <w:r>
              <w:rPr>
                <w:sz w:val="20"/>
              </w:rPr>
              <w:t>Motivational</w:t>
            </w:r>
            <w:r>
              <w:rPr>
                <w:spacing w:val="-3"/>
                <w:sz w:val="20"/>
              </w:rPr>
              <w:t xml:space="preserve"> </w:t>
            </w:r>
            <w:r>
              <w:rPr>
                <w:sz w:val="20"/>
              </w:rPr>
              <w:t>counseling</w:t>
            </w:r>
            <w:r>
              <w:rPr>
                <w:spacing w:val="-3"/>
                <w:sz w:val="20"/>
              </w:rPr>
              <w:t xml:space="preserve"> </w:t>
            </w:r>
            <w:r>
              <w:rPr>
                <w:sz w:val="20"/>
              </w:rPr>
              <w:t>strategies</w:t>
            </w:r>
            <w:r>
              <w:rPr>
                <w:spacing w:val="-4"/>
                <w:sz w:val="20"/>
              </w:rPr>
              <w:t xml:space="preserve"> </w:t>
            </w:r>
            <w:r>
              <w:rPr>
                <w:sz w:val="20"/>
              </w:rPr>
              <w:t>to</w:t>
            </w:r>
            <w:r>
              <w:rPr>
                <w:spacing w:val="-3"/>
                <w:sz w:val="20"/>
              </w:rPr>
              <w:t xml:space="preserve"> </w:t>
            </w:r>
            <w:r>
              <w:rPr>
                <w:sz w:val="20"/>
              </w:rPr>
              <w:t>enhance</w:t>
            </w:r>
            <w:r>
              <w:rPr>
                <w:spacing w:val="-4"/>
                <w:sz w:val="20"/>
              </w:rPr>
              <w:t xml:space="preserve"> </w:t>
            </w:r>
            <w:r>
              <w:rPr>
                <w:sz w:val="20"/>
              </w:rPr>
              <w:t>commitment</w:t>
            </w:r>
            <w:r>
              <w:rPr>
                <w:spacing w:val="-3"/>
                <w:sz w:val="20"/>
              </w:rPr>
              <w:t xml:space="preserve"> </w:t>
            </w:r>
            <w:r>
              <w:rPr>
                <w:sz w:val="20"/>
              </w:rPr>
              <w:t>to</w:t>
            </w:r>
            <w:r>
              <w:rPr>
                <w:spacing w:val="-3"/>
                <w:sz w:val="20"/>
              </w:rPr>
              <w:t xml:space="preserve"> </w:t>
            </w:r>
            <w:r>
              <w:rPr>
                <w:sz w:val="20"/>
              </w:rPr>
              <w:t>change</w:t>
            </w:r>
            <w:r>
              <w:rPr>
                <w:spacing w:val="-4"/>
                <w:sz w:val="20"/>
              </w:rPr>
              <w:t xml:space="preserve"> </w:t>
            </w:r>
            <w:r>
              <w:rPr>
                <w:sz w:val="20"/>
              </w:rPr>
              <w:t>move</w:t>
            </w:r>
            <w:r>
              <w:rPr>
                <w:spacing w:val="-4"/>
                <w:sz w:val="20"/>
              </w:rPr>
              <w:t xml:space="preserve"> </w:t>
            </w:r>
            <w:r>
              <w:rPr>
                <w:sz w:val="20"/>
              </w:rPr>
              <w:t>clients</w:t>
            </w:r>
            <w:r>
              <w:rPr>
                <w:spacing w:val="-2"/>
                <w:sz w:val="20"/>
              </w:rPr>
              <w:t xml:space="preserve"> </w:t>
            </w:r>
            <w:r>
              <w:rPr>
                <w:sz w:val="20"/>
              </w:rPr>
              <w:t>closer</w:t>
            </w:r>
            <w:r>
              <w:rPr>
                <w:spacing w:val="-3"/>
                <w:sz w:val="20"/>
              </w:rPr>
              <w:t xml:space="preserve"> </w:t>
            </w:r>
            <w:r>
              <w:rPr>
                <w:sz w:val="20"/>
              </w:rPr>
              <w:t>to</w:t>
            </w:r>
            <w:r>
              <w:rPr>
                <w:spacing w:val="-3"/>
                <w:sz w:val="20"/>
              </w:rPr>
              <w:t xml:space="preserve"> </w:t>
            </w:r>
            <w:r>
              <w:rPr>
                <w:sz w:val="20"/>
              </w:rPr>
              <w:t>the Preparation stage and taking steps to change.</w:t>
            </w:r>
          </w:p>
        </w:tc>
      </w:tr>
    </w:tbl>
    <w:p w14:paraId="656A5C26" w14:textId="77777777" w:rsidR="00DB6E1F" w:rsidRDefault="00F666A6">
      <w:pPr>
        <w:pStyle w:val="BodyText"/>
        <w:spacing w:before="159"/>
        <w:ind w:left="1438" w:right="1444" w:firstLine="1"/>
      </w:pPr>
      <w:r>
        <w:t>Chapter 5 describes strategies to increase clients’ commitment to change by normalizing and resolving ambivalence about change and enhancing clients’ decision-making capabilities. Central to most strategies is the process of evoking and exploring reasons t</w:t>
      </w:r>
      <w:r>
        <w:t>o change through asking open question and reflective</w:t>
      </w:r>
      <w:r>
        <w:rPr>
          <w:spacing w:val="-4"/>
        </w:rPr>
        <w:t xml:space="preserve"> </w:t>
      </w:r>
      <w:r>
        <w:t>listening.</w:t>
      </w:r>
      <w:r>
        <w:rPr>
          <w:spacing w:val="-3"/>
        </w:rPr>
        <w:t xml:space="preserve"> </w:t>
      </w:r>
      <w:r>
        <w:t>The</w:t>
      </w:r>
      <w:r>
        <w:rPr>
          <w:spacing w:val="-4"/>
        </w:rPr>
        <w:t xml:space="preserve"> </w:t>
      </w:r>
      <w:r>
        <w:t>chapter</w:t>
      </w:r>
      <w:r>
        <w:rPr>
          <w:spacing w:val="-2"/>
        </w:rPr>
        <w:t xml:space="preserve"> </w:t>
      </w:r>
      <w:r>
        <w:t>begins</w:t>
      </w:r>
      <w:r>
        <w:rPr>
          <w:spacing w:val="-4"/>
        </w:rPr>
        <w:t xml:space="preserve"> </w:t>
      </w:r>
      <w:r>
        <w:t>with</w:t>
      </w:r>
      <w:r>
        <w:rPr>
          <w:spacing w:val="-3"/>
        </w:rPr>
        <w:t xml:space="preserve"> </w:t>
      </w:r>
      <w:r>
        <w:t>a</w:t>
      </w:r>
      <w:r>
        <w:rPr>
          <w:spacing w:val="-2"/>
        </w:rPr>
        <w:t xml:space="preserve"> </w:t>
      </w:r>
      <w:r>
        <w:t>discussion</w:t>
      </w:r>
      <w:r>
        <w:rPr>
          <w:spacing w:val="-3"/>
        </w:rPr>
        <w:t xml:space="preserve"> </w:t>
      </w:r>
      <w:r>
        <w:t>of</w:t>
      </w:r>
      <w:r>
        <w:rPr>
          <w:spacing w:val="-5"/>
        </w:rPr>
        <w:t xml:space="preserve"> </w:t>
      </w:r>
      <w:r>
        <w:t>ambivalence,</w:t>
      </w:r>
      <w:r>
        <w:rPr>
          <w:spacing w:val="-3"/>
        </w:rPr>
        <w:t xml:space="preserve"> </w:t>
      </w:r>
      <w:r>
        <w:t>extrinsic</w:t>
      </w:r>
      <w:r>
        <w:rPr>
          <w:spacing w:val="-2"/>
        </w:rPr>
        <w:t xml:space="preserve"> </w:t>
      </w:r>
      <w:r>
        <w:t>(external)</w:t>
      </w:r>
      <w:r>
        <w:rPr>
          <w:spacing w:val="-4"/>
        </w:rPr>
        <w:t xml:space="preserve"> </w:t>
      </w:r>
      <w:r>
        <w:t>and</w:t>
      </w:r>
      <w:r>
        <w:rPr>
          <w:spacing w:val="-3"/>
        </w:rPr>
        <w:t xml:space="preserve"> </w:t>
      </w:r>
      <w:r>
        <w:t>intrinsic (internal) motivation, and ways to help clients connect with internal motivators to enhance decision mak</w:t>
      </w:r>
      <w:r>
        <w:t>ing and their commitment to change. It then focuses on DB strategies—ways to explore the costs and benefits of change and clients’ values about changing substance use behaviors. Chapter 5 also addresses the importance of self-efficacy in clients’ decisions</w:t>
      </w:r>
      <w:r>
        <w:t xml:space="preserve"> to change and provides strategies for enhancing commitment to change once clients decide to change.</w:t>
      </w:r>
    </w:p>
    <w:p w14:paraId="3C5E04E8" w14:textId="77777777" w:rsidR="00DB6E1F" w:rsidRDefault="00F666A6">
      <w:pPr>
        <w:pStyle w:val="BodyText"/>
        <w:spacing w:before="161"/>
        <w:ind w:left="1438"/>
      </w:pPr>
      <w:r>
        <w:t>Exhibit</w:t>
      </w:r>
      <w:r>
        <w:rPr>
          <w:spacing w:val="-5"/>
        </w:rPr>
        <w:t xml:space="preserve"> </w:t>
      </w:r>
      <w:r>
        <w:t>5.1</w:t>
      </w:r>
      <w:r>
        <w:rPr>
          <w:spacing w:val="-4"/>
        </w:rPr>
        <w:t xml:space="preserve"> </w:t>
      </w:r>
      <w:r>
        <w:t>presents</w:t>
      </w:r>
      <w:r>
        <w:rPr>
          <w:spacing w:val="-4"/>
        </w:rPr>
        <w:t xml:space="preserve"> </w:t>
      </w:r>
      <w:r>
        <w:t>counseling</w:t>
      </w:r>
      <w:r>
        <w:rPr>
          <w:spacing w:val="-4"/>
        </w:rPr>
        <w:t xml:space="preserve"> </w:t>
      </w:r>
      <w:r>
        <w:t>strategies</w:t>
      </w:r>
      <w:r>
        <w:rPr>
          <w:spacing w:val="-7"/>
        </w:rPr>
        <w:t xml:space="preserve"> </w:t>
      </w:r>
      <w:r>
        <w:t>for</w:t>
      </w:r>
      <w:r>
        <w:rPr>
          <w:spacing w:val="-6"/>
        </w:rPr>
        <w:t xml:space="preserve"> </w:t>
      </w:r>
      <w:r>
        <w:rPr>
          <w:spacing w:val="-2"/>
        </w:rPr>
        <w:t>Contemplation.</w:t>
      </w:r>
    </w:p>
    <w:p w14:paraId="7DEF0FB8" w14:textId="77777777" w:rsidR="00DB6E1F" w:rsidRDefault="00DB6E1F">
      <w:pPr>
        <w:pStyle w:val="BodyText"/>
        <w:spacing w:before="8"/>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1620"/>
        <w:gridCol w:w="5400"/>
      </w:tblGrid>
      <w:tr w:rsidR="00DB6E1F" w14:paraId="0E3E6DDE" w14:textId="77777777">
        <w:trPr>
          <w:trHeight w:val="520"/>
        </w:trPr>
        <w:tc>
          <w:tcPr>
            <w:tcW w:w="9535" w:type="dxa"/>
            <w:gridSpan w:val="3"/>
            <w:tcBorders>
              <w:top w:val="nil"/>
              <w:left w:val="nil"/>
              <w:bottom w:val="nil"/>
              <w:right w:val="nil"/>
            </w:tcBorders>
            <w:shd w:val="clear" w:color="auto" w:fill="000000"/>
          </w:tcPr>
          <w:p w14:paraId="573B0512" w14:textId="77777777" w:rsidR="00DB6E1F" w:rsidRDefault="00F666A6">
            <w:pPr>
              <w:pStyle w:val="TableParagraph"/>
              <w:spacing w:before="114"/>
              <w:ind w:left="112"/>
              <w:rPr>
                <w:sz w:val="24"/>
              </w:rPr>
            </w:pPr>
            <w:r>
              <w:rPr>
                <w:color w:val="FFFFFF"/>
                <w:sz w:val="24"/>
              </w:rPr>
              <w:t>Exhibit</w:t>
            </w:r>
            <w:r>
              <w:rPr>
                <w:color w:val="FFFFFF"/>
                <w:spacing w:val="-3"/>
                <w:sz w:val="24"/>
              </w:rPr>
              <w:t xml:space="preserve"> </w:t>
            </w:r>
            <w:r>
              <w:rPr>
                <w:color w:val="FFFFFF"/>
                <w:sz w:val="24"/>
              </w:rPr>
              <w:t>5.1.</w:t>
            </w:r>
            <w:r>
              <w:rPr>
                <w:color w:val="FFFFFF"/>
                <w:spacing w:val="-2"/>
                <w:sz w:val="24"/>
              </w:rPr>
              <w:t xml:space="preserve"> </w:t>
            </w:r>
            <w:r>
              <w:rPr>
                <w:color w:val="FFFFFF"/>
                <w:sz w:val="24"/>
              </w:rPr>
              <w:t>Counseling</w:t>
            </w:r>
            <w:r>
              <w:rPr>
                <w:color w:val="FFFFFF"/>
                <w:spacing w:val="-1"/>
                <w:sz w:val="24"/>
              </w:rPr>
              <w:t xml:space="preserve"> </w:t>
            </w:r>
            <w:r>
              <w:rPr>
                <w:color w:val="FFFFFF"/>
                <w:sz w:val="24"/>
              </w:rPr>
              <w:t>Strategies</w:t>
            </w:r>
            <w:r>
              <w:rPr>
                <w:color w:val="FFFFFF"/>
                <w:spacing w:val="-4"/>
                <w:sz w:val="24"/>
              </w:rPr>
              <w:t xml:space="preserve"> </w:t>
            </w:r>
            <w:r>
              <w:rPr>
                <w:color w:val="FFFFFF"/>
                <w:sz w:val="24"/>
              </w:rPr>
              <w:t>for</w:t>
            </w:r>
            <w:r>
              <w:rPr>
                <w:color w:val="FFFFFF"/>
                <w:spacing w:val="-3"/>
                <w:sz w:val="24"/>
              </w:rPr>
              <w:t xml:space="preserve"> </w:t>
            </w:r>
            <w:r>
              <w:rPr>
                <w:color w:val="FFFFFF"/>
                <w:spacing w:val="-2"/>
                <w:sz w:val="24"/>
              </w:rPr>
              <w:t>Contemplation</w:t>
            </w:r>
          </w:p>
        </w:tc>
      </w:tr>
      <w:tr w:rsidR="00DB6E1F" w14:paraId="7FA9A711" w14:textId="77777777">
        <w:trPr>
          <w:trHeight w:val="359"/>
        </w:trPr>
        <w:tc>
          <w:tcPr>
            <w:tcW w:w="2515" w:type="dxa"/>
          </w:tcPr>
          <w:p w14:paraId="0C098776" w14:textId="77777777" w:rsidR="00DB6E1F" w:rsidRDefault="00F666A6">
            <w:pPr>
              <w:pStyle w:val="TableParagraph"/>
              <w:spacing w:before="0" w:line="241" w:lineRule="exact"/>
              <w:rPr>
                <w:sz w:val="20"/>
              </w:rPr>
            </w:pPr>
            <w:r>
              <w:rPr>
                <w:sz w:val="20"/>
              </w:rPr>
              <w:t>Client</w:t>
            </w:r>
            <w:r>
              <w:rPr>
                <w:spacing w:val="-9"/>
                <w:sz w:val="20"/>
              </w:rPr>
              <w:t xml:space="preserve"> </w:t>
            </w:r>
            <w:r>
              <w:rPr>
                <w:spacing w:val="-2"/>
                <w:sz w:val="20"/>
              </w:rPr>
              <w:t>Motivation</w:t>
            </w:r>
          </w:p>
        </w:tc>
        <w:tc>
          <w:tcPr>
            <w:tcW w:w="1620" w:type="dxa"/>
          </w:tcPr>
          <w:p w14:paraId="649E7AFA" w14:textId="77777777" w:rsidR="00DB6E1F" w:rsidRDefault="00F666A6">
            <w:pPr>
              <w:pStyle w:val="TableParagraph"/>
              <w:spacing w:before="0" w:line="241" w:lineRule="exact"/>
              <w:ind w:left="108"/>
              <w:rPr>
                <w:sz w:val="20"/>
              </w:rPr>
            </w:pPr>
            <w:r>
              <w:rPr>
                <w:spacing w:val="-2"/>
                <w:sz w:val="20"/>
              </w:rPr>
              <w:t>Counselor</w:t>
            </w:r>
            <w:r>
              <w:rPr>
                <w:spacing w:val="4"/>
                <w:sz w:val="20"/>
              </w:rPr>
              <w:t xml:space="preserve"> </w:t>
            </w:r>
            <w:r>
              <w:rPr>
                <w:spacing w:val="-2"/>
                <w:sz w:val="20"/>
              </w:rPr>
              <w:t>Focus</w:t>
            </w:r>
          </w:p>
        </w:tc>
        <w:tc>
          <w:tcPr>
            <w:tcW w:w="5400" w:type="dxa"/>
          </w:tcPr>
          <w:p w14:paraId="2EE0C31B" w14:textId="77777777" w:rsidR="00DB6E1F" w:rsidRDefault="00F666A6">
            <w:pPr>
              <w:pStyle w:val="TableParagraph"/>
              <w:spacing w:before="0" w:line="241" w:lineRule="exact"/>
              <w:ind w:left="108"/>
              <w:rPr>
                <w:sz w:val="20"/>
              </w:rPr>
            </w:pPr>
            <w:r>
              <w:rPr>
                <w:spacing w:val="-2"/>
                <w:sz w:val="20"/>
              </w:rPr>
              <w:t>Counseling</w:t>
            </w:r>
            <w:r>
              <w:rPr>
                <w:spacing w:val="5"/>
                <w:sz w:val="20"/>
              </w:rPr>
              <w:t xml:space="preserve"> </w:t>
            </w:r>
            <w:r>
              <w:rPr>
                <w:spacing w:val="-2"/>
                <w:sz w:val="20"/>
              </w:rPr>
              <w:t>Strategies</w:t>
            </w:r>
          </w:p>
        </w:tc>
      </w:tr>
      <w:tr w:rsidR="00DB6E1F" w14:paraId="0EF26E24" w14:textId="77777777">
        <w:trPr>
          <w:trHeight w:val="3232"/>
        </w:trPr>
        <w:tc>
          <w:tcPr>
            <w:tcW w:w="2515" w:type="dxa"/>
          </w:tcPr>
          <w:p w14:paraId="2A7B2339" w14:textId="77777777" w:rsidR="00DB6E1F" w:rsidRDefault="00F666A6">
            <w:pPr>
              <w:pStyle w:val="TableParagraph"/>
              <w:numPr>
                <w:ilvl w:val="0"/>
                <w:numId w:val="62"/>
              </w:numPr>
              <w:tabs>
                <w:tab w:val="left" w:pos="467"/>
                <w:tab w:val="left" w:pos="468"/>
              </w:tabs>
              <w:spacing w:before="41"/>
              <w:ind w:right="111"/>
              <w:rPr>
                <w:sz w:val="20"/>
              </w:rPr>
            </w:pPr>
            <w:r>
              <w:rPr>
                <w:sz w:val="20"/>
              </w:rPr>
              <w:t>The client acknowledges</w:t>
            </w:r>
            <w:r>
              <w:rPr>
                <w:spacing w:val="-12"/>
                <w:sz w:val="20"/>
              </w:rPr>
              <w:t xml:space="preserve"> </w:t>
            </w:r>
            <w:r>
              <w:rPr>
                <w:sz w:val="20"/>
              </w:rPr>
              <w:t xml:space="preserve">concerns and is considering the possibility of change but is ambivalent and </w:t>
            </w:r>
            <w:r>
              <w:rPr>
                <w:spacing w:val="-2"/>
                <w:sz w:val="20"/>
              </w:rPr>
              <w:t>uncertain.</w:t>
            </w:r>
          </w:p>
          <w:p w14:paraId="510318D9" w14:textId="77777777" w:rsidR="00DB6E1F" w:rsidRDefault="00F666A6">
            <w:pPr>
              <w:pStyle w:val="TableParagraph"/>
              <w:numPr>
                <w:ilvl w:val="0"/>
                <w:numId w:val="62"/>
              </w:numPr>
              <w:tabs>
                <w:tab w:val="left" w:pos="467"/>
                <w:tab w:val="left" w:pos="468"/>
              </w:tabs>
              <w:spacing w:before="39"/>
              <w:ind w:right="110"/>
              <w:rPr>
                <w:sz w:val="20"/>
              </w:rPr>
            </w:pPr>
            <w:r>
              <w:rPr>
                <w:sz w:val="20"/>
              </w:rPr>
              <w:t>The client begins to reflect on his or her substance</w:t>
            </w:r>
            <w:r>
              <w:rPr>
                <w:spacing w:val="-11"/>
                <w:sz w:val="20"/>
              </w:rPr>
              <w:t xml:space="preserve"> </w:t>
            </w:r>
            <w:r>
              <w:rPr>
                <w:sz w:val="20"/>
              </w:rPr>
              <w:t>use</w:t>
            </w:r>
            <w:r>
              <w:rPr>
                <w:spacing w:val="-11"/>
                <w:sz w:val="20"/>
              </w:rPr>
              <w:t xml:space="preserve"> </w:t>
            </w:r>
            <w:r>
              <w:rPr>
                <w:sz w:val="20"/>
              </w:rPr>
              <w:t>behavior and considers choices and</w:t>
            </w:r>
            <w:r>
              <w:rPr>
                <w:spacing w:val="-12"/>
                <w:sz w:val="20"/>
              </w:rPr>
              <w:t xml:space="preserve"> </w:t>
            </w:r>
            <w:r>
              <w:rPr>
                <w:sz w:val="20"/>
              </w:rPr>
              <w:t>options</w:t>
            </w:r>
            <w:r>
              <w:rPr>
                <w:spacing w:val="-11"/>
                <w:sz w:val="20"/>
              </w:rPr>
              <w:t xml:space="preserve"> </w:t>
            </w:r>
            <w:r>
              <w:rPr>
                <w:sz w:val="20"/>
              </w:rPr>
              <w:t>for</w:t>
            </w:r>
            <w:r>
              <w:rPr>
                <w:spacing w:val="-11"/>
                <w:sz w:val="20"/>
              </w:rPr>
              <w:t xml:space="preserve"> </w:t>
            </w:r>
            <w:r>
              <w:rPr>
                <w:sz w:val="20"/>
              </w:rPr>
              <w:t>change.</w:t>
            </w:r>
          </w:p>
        </w:tc>
        <w:tc>
          <w:tcPr>
            <w:tcW w:w="1620" w:type="dxa"/>
          </w:tcPr>
          <w:p w14:paraId="7EDD202F" w14:textId="77777777" w:rsidR="00DB6E1F" w:rsidRDefault="00F666A6">
            <w:pPr>
              <w:pStyle w:val="TableParagraph"/>
              <w:numPr>
                <w:ilvl w:val="0"/>
                <w:numId w:val="61"/>
              </w:numPr>
              <w:tabs>
                <w:tab w:val="left" w:pos="468"/>
                <w:tab w:val="left" w:pos="469"/>
              </w:tabs>
              <w:spacing w:before="41"/>
              <w:ind w:right="113"/>
              <w:rPr>
                <w:sz w:val="20"/>
              </w:rPr>
            </w:pPr>
            <w:r>
              <w:rPr>
                <w:spacing w:val="-2"/>
                <w:sz w:val="20"/>
              </w:rPr>
              <w:t xml:space="preserve">Normalize </w:t>
            </w:r>
            <w:r>
              <w:rPr>
                <w:sz w:val="20"/>
              </w:rPr>
              <w:t xml:space="preserve">and resolve </w:t>
            </w:r>
            <w:r>
              <w:rPr>
                <w:spacing w:val="-2"/>
                <w:sz w:val="20"/>
              </w:rPr>
              <w:t>client’s ambivalence about change.</w:t>
            </w:r>
          </w:p>
          <w:p w14:paraId="0428A5BC" w14:textId="77777777" w:rsidR="00DB6E1F" w:rsidRDefault="00F666A6">
            <w:pPr>
              <w:pStyle w:val="TableParagraph"/>
              <w:numPr>
                <w:ilvl w:val="0"/>
                <w:numId w:val="61"/>
              </w:numPr>
              <w:tabs>
                <w:tab w:val="left" w:pos="468"/>
                <w:tab w:val="left" w:pos="469"/>
              </w:tabs>
              <w:spacing w:before="39"/>
              <w:ind w:right="110" w:hanging="361"/>
              <w:rPr>
                <w:sz w:val="20"/>
              </w:rPr>
            </w:pPr>
            <w:r>
              <w:rPr>
                <w:sz w:val="20"/>
              </w:rPr>
              <w:t>Help the client</w:t>
            </w:r>
            <w:r>
              <w:rPr>
                <w:spacing w:val="-12"/>
                <w:sz w:val="20"/>
              </w:rPr>
              <w:t xml:space="preserve"> </w:t>
            </w:r>
            <w:r>
              <w:rPr>
                <w:sz w:val="20"/>
              </w:rPr>
              <w:t>tip</w:t>
            </w:r>
            <w:r>
              <w:rPr>
                <w:spacing w:val="-11"/>
                <w:sz w:val="20"/>
              </w:rPr>
              <w:t xml:space="preserve"> </w:t>
            </w:r>
            <w:r>
              <w:rPr>
                <w:sz w:val="20"/>
              </w:rPr>
              <w:t xml:space="preserve">the DB scales </w:t>
            </w:r>
            <w:r>
              <w:rPr>
                <w:spacing w:val="-2"/>
                <w:sz w:val="20"/>
              </w:rPr>
              <w:t>toward change.</w:t>
            </w:r>
          </w:p>
        </w:tc>
        <w:tc>
          <w:tcPr>
            <w:tcW w:w="5400" w:type="dxa"/>
          </w:tcPr>
          <w:p w14:paraId="266ADE1D" w14:textId="77777777" w:rsidR="00DB6E1F" w:rsidRDefault="00F666A6">
            <w:pPr>
              <w:pStyle w:val="TableParagraph"/>
              <w:numPr>
                <w:ilvl w:val="0"/>
                <w:numId w:val="60"/>
              </w:numPr>
              <w:tabs>
                <w:tab w:val="left" w:pos="468"/>
                <w:tab w:val="left" w:pos="469"/>
              </w:tabs>
              <w:spacing w:before="39"/>
              <w:ind w:hanging="361"/>
              <w:rPr>
                <w:sz w:val="20"/>
              </w:rPr>
            </w:pPr>
            <w:r>
              <w:rPr>
                <w:sz w:val="20"/>
              </w:rPr>
              <w:t>Shift</w:t>
            </w:r>
            <w:r>
              <w:rPr>
                <w:spacing w:val="-7"/>
                <w:sz w:val="20"/>
              </w:rPr>
              <w:t xml:space="preserve"> </w:t>
            </w:r>
            <w:r>
              <w:rPr>
                <w:sz w:val="20"/>
              </w:rPr>
              <w:t>focus</w:t>
            </w:r>
            <w:r>
              <w:rPr>
                <w:spacing w:val="-6"/>
                <w:sz w:val="20"/>
              </w:rPr>
              <w:t xml:space="preserve"> </w:t>
            </w:r>
            <w:r>
              <w:rPr>
                <w:sz w:val="20"/>
              </w:rPr>
              <w:t>from</w:t>
            </w:r>
            <w:r>
              <w:rPr>
                <w:spacing w:val="-4"/>
                <w:sz w:val="20"/>
              </w:rPr>
              <w:t xml:space="preserve"> </w:t>
            </w:r>
            <w:r>
              <w:rPr>
                <w:sz w:val="20"/>
              </w:rPr>
              <w:t>extrinsic</w:t>
            </w:r>
            <w:r>
              <w:rPr>
                <w:spacing w:val="-7"/>
                <w:sz w:val="20"/>
              </w:rPr>
              <w:t xml:space="preserve"> </w:t>
            </w:r>
            <w:r>
              <w:rPr>
                <w:sz w:val="20"/>
              </w:rPr>
              <w:t>to</w:t>
            </w:r>
            <w:r>
              <w:rPr>
                <w:spacing w:val="-6"/>
                <w:sz w:val="20"/>
              </w:rPr>
              <w:t xml:space="preserve"> </w:t>
            </w:r>
            <w:r>
              <w:rPr>
                <w:sz w:val="20"/>
              </w:rPr>
              <w:t>intrinsic</w:t>
            </w:r>
            <w:r>
              <w:rPr>
                <w:spacing w:val="-7"/>
                <w:sz w:val="20"/>
              </w:rPr>
              <w:t xml:space="preserve"> </w:t>
            </w:r>
            <w:r>
              <w:rPr>
                <w:spacing w:val="-2"/>
                <w:sz w:val="20"/>
              </w:rPr>
              <w:t>motivation.</w:t>
            </w:r>
          </w:p>
          <w:p w14:paraId="6CD7B694" w14:textId="77777777" w:rsidR="00DB6E1F" w:rsidRDefault="00F666A6">
            <w:pPr>
              <w:pStyle w:val="TableParagraph"/>
              <w:numPr>
                <w:ilvl w:val="0"/>
                <w:numId w:val="60"/>
              </w:numPr>
              <w:tabs>
                <w:tab w:val="left" w:pos="468"/>
                <w:tab w:val="left" w:pos="469"/>
              </w:tabs>
              <w:spacing w:before="40"/>
              <w:ind w:hanging="361"/>
              <w:rPr>
                <w:sz w:val="20"/>
              </w:rPr>
            </w:pPr>
            <w:r>
              <w:rPr>
                <w:sz w:val="20"/>
              </w:rPr>
              <w:t>Summarize</w:t>
            </w:r>
            <w:r>
              <w:rPr>
                <w:spacing w:val="-10"/>
                <w:sz w:val="20"/>
              </w:rPr>
              <w:t xml:space="preserve"> </w:t>
            </w:r>
            <w:r>
              <w:rPr>
                <w:sz w:val="20"/>
              </w:rPr>
              <w:t>client</w:t>
            </w:r>
            <w:r>
              <w:rPr>
                <w:spacing w:val="-8"/>
                <w:sz w:val="20"/>
              </w:rPr>
              <w:t xml:space="preserve"> </w:t>
            </w:r>
            <w:r>
              <w:rPr>
                <w:spacing w:val="-2"/>
                <w:sz w:val="20"/>
              </w:rPr>
              <w:t>concerns.</w:t>
            </w:r>
          </w:p>
          <w:p w14:paraId="2A8446E0" w14:textId="77777777" w:rsidR="00DB6E1F" w:rsidRDefault="00F666A6">
            <w:pPr>
              <w:pStyle w:val="TableParagraph"/>
              <w:numPr>
                <w:ilvl w:val="0"/>
                <w:numId w:val="60"/>
              </w:numPr>
              <w:tabs>
                <w:tab w:val="left" w:pos="468"/>
                <w:tab w:val="left" w:pos="469"/>
              </w:tabs>
              <w:spacing w:before="41"/>
              <w:ind w:hanging="361"/>
              <w:rPr>
                <w:sz w:val="20"/>
              </w:rPr>
            </w:pPr>
            <w:r>
              <w:rPr>
                <w:sz w:val="20"/>
              </w:rPr>
              <w:t>Assess</w:t>
            </w:r>
            <w:r>
              <w:rPr>
                <w:spacing w:val="-6"/>
                <w:sz w:val="20"/>
              </w:rPr>
              <w:t xml:space="preserve"> </w:t>
            </w:r>
            <w:r>
              <w:rPr>
                <w:sz w:val="20"/>
              </w:rPr>
              <w:t>where</w:t>
            </w:r>
            <w:r>
              <w:rPr>
                <w:spacing w:val="-6"/>
                <w:sz w:val="20"/>
              </w:rPr>
              <w:t xml:space="preserve"> </w:t>
            </w:r>
            <w:r>
              <w:rPr>
                <w:sz w:val="20"/>
              </w:rPr>
              <w:t>the</w:t>
            </w:r>
            <w:r>
              <w:rPr>
                <w:spacing w:val="-6"/>
                <w:sz w:val="20"/>
              </w:rPr>
              <w:t xml:space="preserve"> </w:t>
            </w:r>
            <w:r>
              <w:rPr>
                <w:sz w:val="20"/>
              </w:rPr>
              <w:t>client</w:t>
            </w:r>
            <w:r>
              <w:rPr>
                <w:spacing w:val="-5"/>
                <w:sz w:val="20"/>
              </w:rPr>
              <w:t xml:space="preserve"> </w:t>
            </w:r>
            <w:r>
              <w:rPr>
                <w:sz w:val="20"/>
              </w:rPr>
              <w:t>is</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decisional</w:t>
            </w:r>
            <w:r>
              <w:rPr>
                <w:spacing w:val="-3"/>
                <w:sz w:val="20"/>
              </w:rPr>
              <w:t xml:space="preserve"> </w:t>
            </w:r>
            <w:r>
              <w:rPr>
                <w:spacing w:val="-2"/>
                <w:sz w:val="20"/>
              </w:rPr>
              <w:t>scale.</w:t>
            </w:r>
          </w:p>
          <w:p w14:paraId="2F9FC3A3" w14:textId="77777777" w:rsidR="00DB6E1F" w:rsidRDefault="00F666A6">
            <w:pPr>
              <w:pStyle w:val="TableParagraph"/>
              <w:numPr>
                <w:ilvl w:val="0"/>
                <w:numId w:val="60"/>
              </w:numPr>
              <w:tabs>
                <w:tab w:val="left" w:pos="468"/>
                <w:tab w:val="left" w:pos="469"/>
              </w:tabs>
              <w:spacing w:before="40"/>
              <w:ind w:hanging="361"/>
              <w:rPr>
                <w:sz w:val="20"/>
              </w:rPr>
            </w:pPr>
            <w:r>
              <w:rPr>
                <w:sz w:val="20"/>
              </w:rPr>
              <w:t>Explore</w:t>
            </w:r>
            <w:r>
              <w:rPr>
                <w:spacing w:val="-8"/>
                <w:sz w:val="20"/>
              </w:rPr>
              <w:t xml:space="preserve"> </w:t>
            </w:r>
            <w:r>
              <w:rPr>
                <w:sz w:val="20"/>
              </w:rPr>
              <w:t>pros/cons</w:t>
            </w:r>
            <w:r>
              <w:rPr>
                <w:spacing w:val="-8"/>
                <w:sz w:val="20"/>
              </w:rPr>
              <w:t xml:space="preserve"> </w:t>
            </w:r>
            <w:r>
              <w:rPr>
                <w:sz w:val="20"/>
              </w:rPr>
              <w:t>of</w:t>
            </w:r>
            <w:r>
              <w:rPr>
                <w:spacing w:val="-6"/>
                <w:sz w:val="20"/>
              </w:rPr>
              <w:t xml:space="preserve"> </w:t>
            </w:r>
            <w:r>
              <w:rPr>
                <w:sz w:val="20"/>
              </w:rPr>
              <w:t>substance</w:t>
            </w:r>
            <w:r>
              <w:rPr>
                <w:spacing w:val="-8"/>
                <w:sz w:val="20"/>
              </w:rPr>
              <w:t xml:space="preserve"> </w:t>
            </w:r>
            <w:r>
              <w:rPr>
                <w:sz w:val="20"/>
              </w:rPr>
              <w:t>use</w:t>
            </w:r>
            <w:r>
              <w:rPr>
                <w:spacing w:val="-7"/>
                <w:sz w:val="20"/>
              </w:rPr>
              <w:t xml:space="preserve"> </w:t>
            </w:r>
            <w:r>
              <w:rPr>
                <w:sz w:val="20"/>
              </w:rPr>
              <w:t>and</w:t>
            </w:r>
            <w:r>
              <w:rPr>
                <w:spacing w:val="-6"/>
                <w:sz w:val="20"/>
              </w:rPr>
              <w:t xml:space="preserve"> </w:t>
            </w:r>
            <w:r>
              <w:rPr>
                <w:sz w:val="20"/>
              </w:rPr>
              <w:t>behavior</w:t>
            </w:r>
            <w:r>
              <w:rPr>
                <w:spacing w:val="-7"/>
                <w:sz w:val="20"/>
              </w:rPr>
              <w:t xml:space="preserve"> </w:t>
            </w:r>
            <w:r>
              <w:rPr>
                <w:spacing w:val="-2"/>
                <w:sz w:val="20"/>
              </w:rPr>
              <w:t>change.</w:t>
            </w:r>
          </w:p>
          <w:p w14:paraId="1F2109E7" w14:textId="77777777" w:rsidR="00DB6E1F" w:rsidRDefault="00F666A6">
            <w:pPr>
              <w:pStyle w:val="TableParagraph"/>
              <w:numPr>
                <w:ilvl w:val="0"/>
                <w:numId w:val="60"/>
              </w:numPr>
              <w:tabs>
                <w:tab w:val="left" w:pos="468"/>
                <w:tab w:val="left" w:pos="469"/>
              </w:tabs>
              <w:spacing w:before="41"/>
              <w:ind w:hanging="361"/>
              <w:rPr>
                <w:sz w:val="20"/>
              </w:rPr>
            </w:pPr>
            <w:r>
              <w:rPr>
                <w:sz w:val="20"/>
              </w:rPr>
              <w:t>Reexplore</w:t>
            </w:r>
            <w:r>
              <w:rPr>
                <w:spacing w:val="-7"/>
                <w:sz w:val="20"/>
              </w:rPr>
              <w:t xml:space="preserve"> </w:t>
            </w:r>
            <w:r>
              <w:rPr>
                <w:sz w:val="20"/>
              </w:rPr>
              <w:t>values</w:t>
            </w:r>
            <w:r>
              <w:rPr>
                <w:spacing w:val="-7"/>
                <w:sz w:val="20"/>
              </w:rPr>
              <w:t xml:space="preserve"> </w:t>
            </w:r>
            <w:r>
              <w:rPr>
                <w:sz w:val="20"/>
              </w:rPr>
              <w:t>in</w:t>
            </w:r>
            <w:r>
              <w:rPr>
                <w:spacing w:val="-5"/>
                <w:sz w:val="20"/>
              </w:rPr>
              <w:t xml:space="preserve"> </w:t>
            </w:r>
            <w:r>
              <w:rPr>
                <w:sz w:val="20"/>
              </w:rPr>
              <w:t>relation</w:t>
            </w:r>
            <w:r>
              <w:rPr>
                <w:spacing w:val="-5"/>
                <w:sz w:val="20"/>
              </w:rPr>
              <w:t xml:space="preserve"> </w:t>
            </w:r>
            <w:r>
              <w:rPr>
                <w:sz w:val="20"/>
              </w:rPr>
              <w:t>to</w:t>
            </w:r>
            <w:r>
              <w:rPr>
                <w:spacing w:val="-5"/>
                <w:sz w:val="20"/>
              </w:rPr>
              <w:t xml:space="preserve"> </w:t>
            </w:r>
            <w:r>
              <w:rPr>
                <w:spacing w:val="-2"/>
                <w:sz w:val="20"/>
              </w:rPr>
              <w:t>change.</w:t>
            </w:r>
          </w:p>
          <w:p w14:paraId="5185938C" w14:textId="77777777" w:rsidR="00DB6E1F" w:rsidRDefault="00F666A6">
            <w:pPr>
              <w:pStyle w:val="TableParagraph"/>
              <w:numPr>
                <w:ilvl w:val="0"/>
                <w:numId w:val="60"/>
              </w:numPr>
              <w:tabs>
                <w:tab w:val="left" w:pos="468"/>
                <w:tab w:val="left" w:pos="469"/>
              </w:tabs>
              <w:spacing w:before="38"/>
              <w:ind w:hanging="361"/>
              <w:rPr>
                <w:sz w:val="20"/>
              </w:rPr>
            </w:pPr>
            <w:r>
              <w:rPr>
                <w:sz w:val="20"/>
              </w:rPr>
              <w:t>Emphasize</w:t>
            </w:r>
            <w:r>
              <w:rPr>
                <w:spacing w:val="-8"/>
                <w:sz w:val="20"/>
              </w:rPr>
              <w:t xml:space="preserve"> </w:t>
            </w:r>
            <w:r>
              <w:rPr>
                <w:sz w:val="20"/>
              </w:rPr>
              <w:t>personal</w:t>
            </w:r>
            <w:r>
              <w:rPr>
                <w:spacing w:val="-7"/>
                <w:sz w:val="20"/>
              </w:rPr>
              <w:t xml:space="preserve"> </w:t>
            </w:r>
            <w:r>
              <w:rPr>
                <w:sz w:val="20"/>
              </w:rPr>
              <w:t>choice</w:t>
            </w:r>
            <w:r>
              <w:rPr>
                <w:spacing w:val="-8"/>
                <w:sz w:val="20"/>
              </w:rPr>
              <w:t xml:space="preserve"> </w:t>
            </w:r>
            <w:r>
              <w:rPr>
                <w:sz w:val="20"/>
              </w:rPr>
              <w:t>and</w:t>
            </w:r>
            <w:r>
              <w:rPr>
                <w:spacing w:val="-7"/>
                <w:sz w:val="20"/>
              </w:rPr>
              <w:t xml:space="preserve"> </w:t>
            </w:r>
            <w:r>
              <w:rPr>
                <w:spacing w:val="-2"/>
                <w:sz w:val="20"/>
              </w:rPr>
              <w:t>responsibility.</w:t>
            </w:r>
          </w:p>
          <w:p w14:paraId="0C7A3748" w14:textId="77777777" w:rsidR="00DB6E1F" w:rsidRDefault="00F666A6">
            <w:pPr>
              <w:pStyle w:val="TableParagraph"/>
              <w:numPr>
                <w:ilvl w:val="0"/>
                <w:numId w:val="60"/>
              </w:numPr>
              <w:tabs>
                <w:tab w:val="left" w:pos="468"/>
                <w:tab w:val="left" w:pos="469"/>
              </w:tabs>
              <w:spacing w:before="40"/>
              <w:ind w:right="184"/>
              <w:rPr>
                <w:sz w:val="20"/>
              </w:rPr>
            </w:pPr>
            <w:r>
              <w:rPr>
                <w:sz w:val="20"/>
              </w:rPr>
              <w:t>Explore</w:t>
            </w:r>
            <w:r>
              <w:rPr>
                <w:spacing w:val="-7"/>
                <w:sz w:val="20"/>
              </w:rPr>
              <w:t xml:space="preserve"> </w:t>
            </w:r>
            <w:r>
              <w:rPr>
                <w:sz w:val="20"/>
              </w:rPr>
              <w:t>client’s</w:t>
            </w:r>
            <w:r>
              <w:rPr>
                <w:spacing w:val="-7"/>
                <w:sz w:val="20"/>
              </w:rPr>
              <w:t xml:space="preserve"> </w:t>
            </w:r>
            <w:r>
              <w:rPr>
                <w:sz w:val="20"/>
              </w:rPr>
              <w:t>understanding</w:t>
            </w:r>
            <w:r>
              <w:rPr>
                <w:spacing w:val="-6"/>
                <w:sz w:val="20"/>
              </w:rPr>
              <w:t xml:space="preserve"> </w:t>
            </w:r>
            <w:r>
              <w:rPr>
                <w:sz w:val="20"/>
              </w:rPr>
              <w:t>of</w:t>
            </w:r>
            <w:r>
              <w:rPr>
                <w:spacing w:val="-7"/>
                <w:sz w:val="20"/>
              </w:rPr>
              <w:t xml:space="preserve"> </w:t>
            </w:r>
            <w:r>
              <w:rPr>
                <w:sz w:val="20"/>
              </w:rPr>
              <w:t>change</w:t>
            </w:r>
            <w:r>
              <w:rPr>
                <w:spacing w:val="-7"/>
                <w:sz w:val="20"/>
              </w:rPr>
              <w:t xml:space="preserve"> </w:t>
            </w:r>
            <w:r>
              <w:rPr>
                <w:sz w:val="20"/>
              </w:rPr>
              <w:t>and</w:t>
            </w:r>
            <w:r>
              <w:rPr>
                <w:spacing w:val="-5"/>
                <w:sz w:val="20"/>
              </w:rPr>
              <w:t xml:space="preserve"> </w:t>
            </w:r>
            <w:r>
              <w:rPr>
                <w:sz w:val="20"/>
              </w:rPr>
              <w:t>expectations of treatment.</w:t>
            </w:r>
          </w:p>
          <w:p w14:paraId="47A77B54" w14:textId="77777777" w:rsidR="00DB6E1F" w:rsidRDefault="00F666A6">
            <w:pPr>
              <w:pStyle w:val="TableParagraph"/>
              <w:numPr>
                <w:ilvl w:val="0"/>
                <w:numId w:val="60"/>
              </w:numPr>
              <w:tabs>
                <w:tab w:val="left" w:pos="468"/>
                <w:tab w:val="left" w:pos="469"/>
              </w:tabs>
              <w:spacing w:before="41"/>
              <w:ind w:hanging="361"/>
              <w:rPr>
                <w:sz w:val="20"/>
              </w:rPr>
            </w:pPr>
            <w:r>
              <w:rPr>
                <w:w w:val="95"/>
                <w:sz w:val="20"/>
              </w:rPr>
              <w:t>Reintroduce</w:t>
            </w:r>
            <w:r>
              <w:rPr>
                <w:spacing w:val="34"/>
                <w:sz w:val="20"/>
              </w:rPr>
              <w:t xml:space="preserve"> </w:t>
            </w:r>
            <w:r>
              <w:rPr>
                <w:spacing w:val="-2"/>
                <w:sz w:val="20"/>
              </w:rPr>
              <w:t>feedback.</w:t>
            </w:r>
          </w:p>
          <w:p w14:paraId="7F332BDD" w14:textId="77777777" w:rsidR="00DB6E1F" w:rsidRDefault="00F666A6">
            <w:pPr>
              <w:pStyle w:val="TableParagraph"/>
              <w:numPr>
                <w:ilvl w:val="0"/>
                <w:numId w:val="60"/>
              </w:numPr>
              <w:tabs>
                <w:tab w:val="left" w:pos="468"/>
                <w:tab w:val="left" w:pos="469"/>
              </w:tabs>
              <w:spacing w:before="41"/>
              <w:ind w:hanging="361"/>
              <w:rPr>
                <w:sz w:val="20"/>
              </w:rPr>
            </w:pPr>
            <w:r>
              <w:rPr>
                <w:spacing w:val="-2"/>
                <w:sz w:val="20"/>
              </w:rPr>
              <w:t>Explore</w:t>
            </w:r>
            <w:r>
              <w:rPr>
                <w:spacing w:val="12"/>
                <w:sz w:val="20"/>
              </w:rPr>
              <w:t xml:space="preserve"> </w:t>
            </w:r>
            <w:r>
              <w:rPr>
                <w:spacing w:val="-2"/>
                <w:sz w:val="20"/>
              </w:rPr>
              <w:t>self-efficacy.</w:t>
            </w:r>
          </w:p>
          <w:p w14:paraId="6926C221" w14:textId="77777777" w:rsidR="00DB6E1F" w:rsidRDefault="00F666A6">
            <w:pPr>
              <w:pStyle w:val="TableParagraph"/>
              <w:numPr>
                <w:ilvl w:val="0"/>
                <w:numId w:val="60"/>
              </w:numPr>
              <w:tabs>
                <w:tab w:val="left" w:pos="467"/>
                <w:tab w:val="left" w:pos="468"/>
              </w:tabs>
              <w:spacing w:before="40"/>
              <w:ind w:left="467"/>
              <w:rPr>
                <w:sz w:val="20"/>
              </w:rPr>
            </w:pPr>
            <w:r>
              <w:rPr>
                <w:sz w:val="20"/>
              </w:rPr>
              <w:t>Summarize</w:t>
            </w:r>
            <w:r>
              <w:rPr>
                <w:spacing w:val="-11"/>
                <w:sz w:val="20"/>
              </w:rPr>
              <w:t xml:space="preserve"> </w:t>
            </w:r>
            <w:r>
              <w:rPr>
                <w:sz w:val="20"/>
              </w:rPr>
              <w:t>change</w:t>
            </w:r>
            <w:r>
              <w:rPr>
                <w:spacing w:val="-10"/>
                <w:sz w:val="20"/>
              </w:rPr>
              <w:t xml:space="preserve"> </w:t>
            </w:r>
            <w:r>
              <w:rPr>
                <w:spacing w:val="-4"/>
                <w:sz w:val="20"/>
              </w:rPr>
              <w:t>talk.</w:t>
            </w:r>
          </w:p>
        </w:tc>
      </w:tr>
    </w:tbl>
    <w:p w14:paraId="0578221D" w14:textId="77777777" w:rsidR="00DB6E1F" w:rsidRDefault="00DB6E1F">
      <w:pPr>
        <w:rPr>
          <w:sz w:val="20"/>
        </w:rPr>
        <w:sectPr w:rsidR="00DB6E1F">
          <w:headerReference w:type="default" r:id="rId106"/>
          <w:footerReference w:type="default" r:id="rId107"/>
          <w:pgSz w:w="12240" w:h="15840"/>
          <w:pgMar w:top="1200" w:right="0" w:bottom="780" w:left="0" w:header="763" w:footer="585" w:gutter="0"/>
          <w:cols w:space="720"/>
        </w:sectPr>
      </w:pPr>
    </w:p>
    <w:p w14:paraId="6CC16D80" w14:textId="77777777" w:rsidR="00DB6E1F" w:rsidRDefault="00DB6E1F">
      <w:pPr>
        <w:pStyle w:val="BodyText"/>
        <w:spacing w:before="3" w:after="1"/>
        <w:rPr>
          <w:sz w:val="19"/>
        </w:rPr>
      </w:pPr>
    </w:p>
    <w:tbl>
      <w:tblPr>
        <w:tblW w:w="0" w:type="auto"/>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1620"/>
        <w:gridCol w:w="5400"/>
      </w:tblGrid>
      <w:tr w:rsidR="00DB6E1F" w14:paraId="3784C0D4" w14:textId="77777777">
        <w:trPr>
          <w:trHeight w:val="294"/>
        </w:trPr>
        <w:tc>
          <w:tcPr>
            <w:tcW w:w="2515" w:type="dxa"/>
          </w:tcPr>
          <w:p w14:paraId="5392C5D4" w14:textId="77777777" w:rsidR="00DB6E1F" w:rsidRDefault="00DB6E1F">
            <w:pPr>
              <w:pStyle w:val="TableParagraph"/>
              <w:spacing w:before="0"/>
              <w:ind w:left="0"/>
              <w:rPr>
                <w:rFonts w:ascii="Times New Roman"/>
              </w:rPr>
            </w:pPr>
          </w:p>
        </w:tc>
        <w:tc>
          <w:tcPr>
            <w:tcW w:w="1620" w:type="dxa"/>
          </w:tcPr>
          <w:p w14:paraId="40BC3972" w14:textId="77777777" w:rsidR="00DB6E1F" w:rsidRDefault="00DB6E1F">
            <w:pPr>
              <w:pStyle w:val="TableParagraph"/>
              <w:spacing w:before="0"/>
              <w:ind w:left="0"/>
              <w:rPr>
                <w:rFonts w:ascii="Times New Roman"/>
              </w:rPr>
            </w:pPr>
          </w:p>
        </w:tc>
        <w:tc>
          <w:tcPr>
            <w:tcW w:w="5400" w:type="dxa"/>
          </w:tcPr>
          <w:p w14:paraId="0FF4A5AE" w14:textId="77777777" w:rsidR="00DB6E1F" w:rsidRDefault="00F666A6">
            <w:pPr>
              <w:pStyle w:val="TableParagraph"/>
              <w:numPr>
                <w:ilvl w:val="0"/>
                <w:numId w:val="59"/>
              </w:numPr>
              <w:tabs>
                <w:tab w:val="left" w:pos="467"/>
                <w:tab w:val="left" w:pos="468"/>
              </w:tabs>
              <w:spacing w:before="0"/>
              <w:rPr>
                <w:sz w:val="20"/>
              </w:rPr>
            </w:pPr>
            <w:r>
              <w:rPr>
                <w:sz w:val="20"/>
              </w:rPr>
              <w:t>Enhance</w:t>
            </w:r>
            <w:r>
              <w:rPr>
                <w:spacing w:val="-9"/>
                <w:sz w:val="20"/>
              </w:rPr>
              <w:t xml:space="preserve"> </w:t>
            </w:r>
            <w:r>
              <w:rPr>
                <w:sz w:val="20"/>
              </w:rPr>
              <w:t>commitment</w:t>
            </w:r>
            <w:r>
              <w:rPr>
                <w:spacing w:val="-8"/>
                <w:sz w:val="20"/>
              </w:rPr>
              <w:t xml:space="preserve"> </w:t>
            </w:r>
            <w:r>
              <w:rPr>
                <w:sz w:val="20"/>
              </w:rPr>
              <w:t>to</w:t>
            </w:r>
            <w:r>
              <w:rPr>
                <w:spacing w:val="-7"/>
                <w:sz w:val="20"/>
              </w:rPr>
              <w:t xml:space="preserve"> </w:t>
            </w:r>
            <w:r>
              <w:rPr>
                <w:spacing w:val="-2"/>
                <w:sz w:val="20"/>
              </w:rPr>
              <w:t>change.</w:t>
            </w:r>
          </w:p>
        </w:tc>
      </w:tr>
    </w:tbl>
    <w:p w14:paraId="7AE65CD4" w14:textId="77777777" w:rsidR="00DB6E1F" w:rsidRDefault="00F666A6">
      <w:pPr>
        <w:pStyle w:val="Heading2"/>
        <w:spacing w:before="3"/>
      </w:pPr>
      <w:bookmarkStart w:id="146" w:name="Normalize_and_Resolve_Ambivalence"/>
      <w:bookmarkStart w:id="147" w:name="_bookmark31"/>
      <w:bookmarkEnd w:id="146"/>
      <w:bookmarkEnd w:id="147"/>
      <w:r>
        <w:t>Normalize</w:t>
      </w:r>
      <w:r>
        <w:rPr>
          <w:spacing w:val="-1"/>
        </w:rPr>
        <w:t xml:space="preserve"> </w:t>
      </w:r>
      <w:r>
        <w:t>and</w:t>
      </w:r>
      <w:r>
        <w:rPr>
          <w:spacing w:val="-4"/>
        </w:rPr>
        <w:t xml:space="preserve"> </w:t>
      </w:r>
      <w:r>
        <w:t>Resolve</w:t>
      </w:r>
      <w:r>
        <w:rPr>
          <w:spacing w:val="1"/>
        </w:rPr>
        <w:t xml:space="preserve"> </w:t>
      </w:r>
      <w:r>
        <w:rPr>
          <w:spacing w:val="-2"/>
        </w:rPr>
        <w:t>Ambivalence</w:t>
      </w:r>
    </w:p>
    <w:p w14:paraId="72842CB8" w14:textId="77777777" w:rsidR="00DB6E1F" w:rsidRDefault="00F666A6">
      <w:pPr>
        <w:pStyle w:val="BodyText"/>
        <w:spacing w:before="152"/>
        <w:ind w:left="1438" w:right="1491" w:firstLine="1"/>
      </w:pPr>
      <w:r>
        <w:rPr>
          <w:b/>
        </w:rPr>
        <w:t xml:space="preserve">You must be prepared to address ambivalence to help clients move through the Stages of Change (SOC) process. </w:t>
      </w:r>
      <w:r>
        <w:t>Ambivalence is a normal part of any change process. Ambivalence is uncomfortable because it involves conflicting motivations about change (Miller &amp;</w:t>
      </w:r>
      <w:r>
        <w:t xml:space="preserve"> Rollnick, 2013). For example, a client may enjoy drinking because it relaxes him or her but may feel guilty about losing a job because of drinking and putting his or her family in financial risk. Clients often have conflicting feelings and motivations (Mi</w:t>
      </w:r>
      <w:r>
        <w:t>ller &amp; Rollnick, 2013). During Contemplation, ambivalence is strong. As you help clients move</w:t>
      </w:r>
      <w:r>
        <w:rPr>
          <w:spacing w:val="-4"/>
        </w:rPr>
        <w:t xml:space="preserve"> </w:t>
      </w:r>
      <w:r>
        <w:t>toward</w:t>
      </w:r>
      <w:r>
        <w:rPr>
          <w:spacing w:val="-5"/>
        </w:rPr>
        <w:t xml:space="preserve"> </w:t>
      </w:r>
      <w:r>
        <w:t>Preparation</w:t>
      </w:r>
      <w:r>
        <w:rPr>
          <w:spacing w:val="-5"/>
        </w:rPr>
        <w:t xml:space="preserve"> </w:t>
      </w:r>
      <w:r>
        <w:t>and</w:t>
      </w:r>
      <w:r>
        <w:rPr>
          <w:spacing w:val="-3"/>
        </w:rPr>
        <w:t xml:space="preserve"> </w:t>
      </w:r>
      <w:r>
        <w:t>Action,</w:t>
      </w:r>
      <w:r>
        <w:rPr>
          <w:spacing w:val="-2"/>
        </w:rPr>
        <w:t xml:space="preserve"> </w:t>
      </w:r>
      <w:r>
        <w:t>ambivalence</w:t>
      </w:r>
      <w:r>
        <w:rPr>
          <w:spacing w:val="-1"/>
        </w:rPr>
        <w:t xml:space="preserve"> </w:t>
      </w:r>
      <w:r>
        <w:t>lessens.</w:t>
      </w:r>
      <w:r>
        <w:rPr>
          <w:spacing w:val="-3"/>
        </w:rPr>
        <w:t xml:space="preserve"> </w:t>
      </w:r>
      <w:r>
        <w:t>Miller</w:t>
      </w:r>
      <w:r>
        <w:rPr>
          <w:spacing w:val="-2"/>
        </w:rPr>
        <w:t xml:space="preserve"> </w:t>
      </w:r>
      <w:r>
        <w:t>and</w:t>
      </w:r>
      <w:r>
        <w:rPr>
          <w:spacing w:val="-3"/>
        </w:rPr>
        <w:t xml:space="preserve"> </w:t>
      </w:r>
      <w:r>
        <w:t>Rollnick</w:t>
      </w:r>
      <w:r>
        <w:rPr>
          <w:spacing w:val="-4"/>
        </w:rPr>
        <w:t xml:space="preserve"> </w:t>
      </w:r>
      <w:r>
        <w:t>(2013)</w:t>
      </w:r>
      <w:r>
        <w:rPr>
          <w:spacing w:val="-4"/>
        </w:rPr>
        <w:t xml:space="preserve"> </w:t>
      </w:r>
      <w:r>
        <w:t>use</w:t>
      </w:r>
      <w:r>
        <w:rPr>
          <w:spacing w:val="-4"/>
        </w:rPr>
        <w:t xml:space="preserve"> </w:t>
      </w:r>
      <w:r>
        <w:t>the</w:t>
      </w:r>
      <w:r>
        <w:rPr>
          <w:spacing w:val="-4"/>
        </w:rPr>
        <w:t xml:space="preserve"> </w:t>
      </w:r>
      <w:r>
        <w:t xml:space="preserve">metaphor of a hill of ambivalence wherein clients move up the hill during Precontemplation/Contemplation and then journey down the hill through the resolution of ambivalence, which moves them into Preparation and Action (Exhibit 5.2). Chapter 2 provides a </w:t>
      </w:r>
      <w:r>
        <w:t>thorough description of DARN CAT (</w:t>
      </w:r>
      <w:r>
        <w:rPr>
          <w:b/>
        </w:rPr>
        <w:t>D</w:t>
      </w:r>
      <w:r>
        <w:t xml:space="preserve">esire, </w:t>
      </w:r>
      <w:r>
        <w:rPr>
          <w:b/>
        </w:rPr>
        <w:t>A</w:t>
      </w:r>
      <w:r>
        <w:t xml:space="preserve">bility, </w:t>
      </w:r>
      <w:r>
        <w:rPr>
          <w:b/>
        </w:rPr>
        <w:t>R</w:t>
      </w:r>
      <w:r>
        <w:t xml:space="preserve">easons, </w:t>
      </w:r>
      <w:r>
        <w:rPr>
          <w:b/>
        </w:rPr>
        <w:t>N</w:t>
      </w:r>
      <w:r>
        <w:t xml:space="preserve">eed, </w:t>
      </w:r>
      <w:r>
        <w:rPr>
          <w:b/>
        </w:rPr>
        <w:t>C</w:t>
      </w:r>
      <w:r>
        <w:t xml:space="preserve">ommitment </w:t>
      </w:r>
      <w:r>
        <w:rPr>
          <w:b/>
        </w:rPr>
        <w:t>A</w:t>
      </w:r>
      <w:r>
        <w:t xml:space="preserve">ctivation, </w:t>
      </w:r>
      <w:r>
        <w:rPr>
          <w:b/>
        </w:rPr>
        <w:t>T</w:t>
      </w:r>
      <w:r>
        <w:t>aking steps) change talk.</w:t>
      </w:r>
    </w:p>
    <w:p w14:paraId="53B48AD9" w14:textId="77777777" w:rsidR="00DB6E1F" w:rsidRDefault="00DB6E1F">
      <w:pPr>
        <w:pStyle w:val="BodyText"/>
        <w:spacing w:before="8"/>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2C46F4A" w14:textId="77777777">
        <w:trPr>
          <w:trHeight w:val="523"/>
        </w:trPr>
        <w:tc>
          <w:tcPr>
            <w:tcW w:w="9350" w:type="dxa"/>
            <w:tcBorders>
              <w:top w:val="nil"/>
              <w:left w:val="nil"/>
              <w:bottom w:val="nil"/>
              <w:right w:val="nil"/>
            </w:tcBorders>
            <w:shd w:val="clear" w:color="auto" w:fill="000000"/>
          </w:tcPr>
          <w:p w14:paraId="503F9859" w14:textId="77777777" w:rsidR="00DB6E1F" w:rsidRDefault="00F666A6">
            <w:pPr>
              <w:pStyle w:val="TableParagraph"/>
              <w:spacing w:before="112"/>
              <w:ind w:left="215"/>
              <w:rPr>
                <w:sz w:val="24"/>
              </w:rPr>
            </w:pPr>
            <w:r>
              <w:rPr>
                <w:color w:val="FFFFFF"/>
                <w:sz w:val="24"/>
              </w:rPr>
              <w:t>Exhibit</w:t>
            </w:r>
            <w:r>
              <w:rPr>
                <w:color w:val="FFFFFF"/>
                <w:spacing w:val="-5"/>
                <w:sz w:val="24"/>
              </w:rPr>
              <w:t xml:space="preserve"> </w:t>
            </w:r>
            <w:r>
              <w:rPr>
                <w:color w:val="FFFFFF"/>
                <w:sz w:val="24"/>
              </w:rPr>
              <w:t>5.2.</w:t>
            </w:r>
            <w:r>
              <w:rPr>
                <w:color w:val="FFFFFF"/>
                <w:spacing w:val="-4"/>
                <w:sz w:val="24"/>
              </w:rPr>
              <w:t xml:space="preserve"> </w:t>
            </w:r>
            <w:r>
              <w:rPr>
                <w:color w:val="FFFFFF"/>
                <w:sz w:val="24"/>
              </w:rPr>
              <w:t>The</w:t>
            </w:r>
            <w:r>
              <w:rPr>
                <w:color w:val="FFFFFF"/>
                <w:spacing w:val="-3"/>
                <w:sz w:val="24"/>
              </w:rPr>
              <w:t xml:space="preserve"> </w:t>
            </w:r>
            <w:r>
              <w:rPr>
                <w:color w:val="FFFFFF"/>
                <w:sz w:val="24"/>
              </w:rPr>
              <w:t>Motivational Interviewing</w:t>
            </w:r>
            <w:r>
              <w:rPr>
                <w:color w:val="FFFFFF"/>
                <w:spacing w:val="-2"/>
                <w:sz w:val="24"/>
              </w:rPr>
              <w:t xml:space="preserve"> </w:t>
            </w:r>
            <w:r>
              <w:rPr>
                <w:color w:val="FFFFFF"/>
                <w:sz w:val="24"/>
              </w:rPr>
              <w:t>(MI)</w:t>
            </w:r>
            <w:r>
              <w:rPr>
                <w:color w:val="FFFFFF"/>
                <w:spacing w:val="-1"/>
                <w:sz w:val="24"/>
              </w:rPr>
              <w:t xml:space="preserve"> </w:t>
            </w:r>
            <w:r>
              <w:rPr>
                <w:color w:val="FFFFFF"/>
                <w:sz w:val="24"/>
              </w:rPr>
              <w:t>Hill</w:t>
            </w:r>
            <w:r>
              <w:rPr>
                <w:color w:val="FFFFFF"/>
                <w:spacing w:val="-1"/>
                <w:sz w:val="24"/>
              </w:rPr>
              <w:t xml:space="preserve"> </w:t>
            </w:r>
            <w:r>
              <w:rPr>
                <w:color w:val="FFFFFF"/>
                <w:sz w:val="24"/>
              </w:rPr>
              <w:t>of</w:t>
            </w:r>
            <w:r>
              <w:rPr>
                <w:color w:val="FFFFFF"/>
                <w:spacing w:val="-2"/>
                <w:sz w:val="24"/>
              </w:rPr>
              <w:t xml:space="preserve"> Ambivalence</w:t>
            </w:r>
          </w:p>
        </w:tc>
      </w:tr>
      <w:tr w:rsidR="00DB6E1F" w14:paraId="6AFB67B8" w14:textId="77777777">
        <w:trPr>
          <w:trHeight w:val="2733"/>
        </w:trPr>
        <w:tc>
          <w:tcPr>
            <w:tcW w:w="9350" w:type="dxa"/>
            <w:tcBorders>
              <w:top w:val="nil"/>
            </w:tcBorders>
          </w:tcPr>
          <w:p w14:paraId="34EE455F" w14:textId="77777777" w:rsidR="00DB6E1F" w:rsidRDefault="00DB6E1F">
            <w:pPr>
              <w:pStyle w:val="TableParagraph"/>
              <w:spacing w:before="11"/>
              <w:ind w:left="0"/>
              <w:rPr>
                <w:sz w:val="27"/>
              </w:rPr>
            </w:pPr>
          </w:p>
          <w:p w14:paraId="33E81F09" w14:textId="77777777" w:rsidR="00DB6E1F" w:rsidRDefault="00F666A6">
            <w:pPr>
              <w:pStyle w:val="TableParagraph"/>
              <w:spacing w:before="0"/>
              <w:ind w:left="461"/>
              <w:rPr>
                <w:sz w:val="20"/>
              </w:rPr>
            </w:pPr>
            <w:r>
              <w:rPr>
                <w:noProof/>
                <w:sz w:val="20"/>
              </w:rPr>
              <w:drawing>
                <wp:inline distT="0" distB="0" distL="0" distR="0" wp14:anchorId="7D61596A" wp14:editId="1AB027FA">
                  <wp:extent cx="4560646" cy="1477327"/>
                  <wp:effectExtent l="0" t="0" r="0" b="0"/>
                  <wp:docPr id="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8.png"/>
                          <pic:cNvPicPr/>
                        </pic:nvPicPr>
                        <pic:blipFill>
                          <a:blip r:embed="rId108" cstate="print"/>
                          <a:stretch>
                            <a:fillRect/>
                          </a:stretch>
                        </pic:blipFill>
                        <pic:spPr>
                          <a:xfrm>
                            <a:off x="0" y="0"/>
                            <a:ext cx="4560646" cy="1477327"/>
                          </a:xfrm>
                          <a:prstGeom prst="rect">
                            <a:avLst/>
                          </a:prstGeom>
                        </pic:spPr>
                      </pic:pic>
                    </a:graphicData>
                  </a:graphic>
                </wp:inline>
              </w:drawing>
            </w:r>
          </w:p>
        </w:tc>
      </w:tr>
      <w:tr w:rsidR="00DB6E1F" w14:paraId="718B89FF" w14:textId="77777777">
        <w:trPr>
          <w:trHeight w:val="650"/>
        </w:trPr>
        <w:tc>
          <w:tcPr>
            <w:tcW w:w="9350" w:type="dxa"/>
          </w:tcPr>
          <w:p w14:paraId="49C6FAAD" w14:textId="77777777" w:rsidR="00DB6E1F" w:rsidRDefault="00F666A6">
            <w:pPr>
              <w:pStyle w:val="TableParagraph"/>
              <w:spacing w:before="80"/>
              <w:ind w:right="169" w:hanging="1"/>
              <w:rPr>
                <w:i/>
                <w:sz w:val="20"/>
              </w:rPr>
            </w:pPr>
            <w:r>
              <w:rPr>
                <w:i/>
                <w:sz w:val="20"/>
              </w:rPr>
              <w:t>Source:</w:t>
            </w:r>
            <w:r>
              <w:rPr>
                <w:i/>
                <w:spacing w:val="-3"/>
                <w:sz w:val="20"/>
              </w:rPr>
              <w:t xml:space="preserve"> </w:t>
            </w:r>
            <w:r>
              <w:rPr>
                <w:i/>
                <w:sz w:val="20"/>
              </w:rPr>
              <w:t>Miller</w:t>
            </w:r>
            <w:r>
              <w:rPr>
                <w:i/>
                <w:spacing w:val="-4"/>
                <w:sz w:val="20"/>
              </w:rPr>
              <w:t xml:space="preserve"> </w:t>
            </w:r>
            <w:r>
              <w:rPr>
                <w:i/>
                <w:sz w:val="20"/>
              </w:rPr>
              <w:t>&amp;</w:t>
            </w:r>
            <w:r>
              <w:rPr>
                <w:i/>
                <w:spacing w:val="-2"/>
                <w:sz w:val="20"/>
              </w:rPr>
              <w:t xml:space="preserve"> </w:t>
            </w:r>
            <w:r>
              <w:rPr>
                <w:i/>
                <w:sz w:val="20"/>
              </w:rPr>
              <w:t>Rollnick,</w:t>
            </w:r>
            <w:r>
              <w:rPr>
                <w:i/>
                <w:spacing w:val="-2"/>
                <w:sz w:val="20"/>
              </w:rPr>
              <w:t xml:space="preserve"> </w:t>
            </w:r>
            <w:r>
              <w:rPr>
                <w:i/>
                <w:sz w:val="20"/>
              </w:rPr>
              <w:t>2013.</w:t>
            </w:r>
            <w:r>
              <w:rPr>
                <w:i/>
                <w:spacing w:val="-3"/>
                <w:sz w:val="20"/>
              </w:rPr>
              <w:t xml:space="preserve"> </w:t>
            </w:r>
            <w:r>
              <w:rPr>
                <w:sz w:val="20"/>
              </w:rPr>
              <w:t>Motivational</w:t>
            </w:r>
            <w:r>
              <w:rPr>
                <w:spacing w:val="-3"/>
                <w:sz w:val="20"/>
              </w:rPr>
              <w:t xml:space="preserve"> </w:t>
            </w:r>
            <w:r>
              <w:rPr>
                <w:sz w:val="20"/>
              </w:rPr>
              <w:t>Interviewing:</w:t>
            </w:r>
            <w:r>
              <w:rPr>
                <w:spacing w:val="-1"/>
                <w:sz w:val="20"/>
              </w:rPr>
              <w:t xml:space="preserve"> </w:t>
            </w:r>
            <w:r>
              <w:rPr>
                <w:sz w:val="20"/>
              </w:rPr>
              <w:t>Helping</w:t>
            </w:r>
            <w:r>
              <w:rPr>
                <w:spacing w:val="-3"/>
                <w:sz w:val="20"/>
              </w:rPr>
              <w:t xml:space="preserve"> </w:t>
            </w:r>
            <w:r>
              <w:rPr>
                <w:sz w:val="20"/>
              </w:rPr>
              <w:t>People</w:t>
            </w:r>
            <w:r>
              <w:rPr>
                <w:spacing w:val="-4"/>
                <w:sz w:val="20"/>
              </w:rPr>
              <w:t xml:space="preserve"> </w:t>
            </w:r>
            <w:r>
              <w:rPr>
                <w:sz w:val="20"/>
              </w:rPr>
              <w:t>Change</w:t>
            </w:r>
            <w:r>
              <w:rPr>
                <w:spacing w:val="-4"/>
                <w:sz w:val="20"/>
              </w:rPr>
              <w:t xml:space="preserve"> </w:t>
            </w:r>
            <w:r>
              <w:rPr>
                <w:sz w:val="20"/>
              </w:rPr>
              <w:t>(3rd</w:t>
            </w:r>
            <w:r>
              <w:rPr>
                <w:spacing w:val="-2"/>
                <w:sz w:val="20"/>
              </w:rPr>
              <w:t xml:space="preserve"> </w:t>
            </w:r>
            <w:r>
              <w:rPr>
                <w:sz w:val="20"/>
              </w:rPr>
              <w:t>ed.),</w:t>
            </w:r>
            <w:r>
              <w:rPr>
                <w:spacing w:val="-3"/>
                <w:sz w:val="20"/>
              </w:rPr>
              <w:t xml:space="preserve"> </w:t>
            </w:r>
            <w:r>
              <w:rPr>
                <w:i/>
                <w:sz w:val="20"/>
              </w:rPr>
              <w:t>p.</w:t>
            </w:r>
            <w:r>
              <w:rPr>
                <w:i/>
                <w:spacing w:val="-3"/>
                <w:sz w:val="20"/>
              </w:rPr>
              <w:t xml:space="preserve"> </w:t>
            </w:r>
            <w:r>
              <w:rPr>
                <w:i/>
                <w:sz w:val="20"/>
              </w:rPr>
              <w:t>164.</w:t>
            </w:r>
            <w:r>
              <w:rPr>
                <w:i/>
                <w:spacing w:val="-3"/>
                <w:sz w:val="20"/>
              </w:rPr>
              <w:t xml:space="preserve"> </w:t>
            </w:r>
            <w:r>
              <w:rPr>
                <w:i/>
                <w:sz w:val="20"/>
              </w:rPr>
              <w:t>Adapted with permission from Guilford Press.</w:t>
            </w:r>
          </w:p>
        </w:tc>
      </w:tr>
    </w:tbl>
    <w:p w14:paraId="113A02F6" w14:textId="77777777" w:rsidR="00DB6E1F" w:rsidRDefault="00F666A6">
      <w:pPr>
        <w:pStyle w:val="Heading5"/>
        <w:spacing w:before="165"/>
      </w:pPr>
      <w:r>
        <w:t>The</w:t>
      </w:r>
      <w:r>
        <w:rPr>
          <w:spacing w:val="-6"/>
        </w:rPr>
        <w:t xml:space="preserve"> </w:t>
      </w:r>
      <w:r>
        <w:t>two</w:t>
      </w:r>
      <w:r>
        <w:rPr>
          <w:spacing w:val="-5"/>
        </w:rPr>
        <w:t xml:space="preserve"> </w:t>
      </w:r>
      <w:r>
        <w:t>key</w:t>
      </w:r>
      <w:r>
        <w:rPr>
          <w:spacing w:val="-4"/>
        </w:rPr>
        <w:t xml:space="preserve"> </w:t>
      </w:r>
      <w:r>
        <w:t>motivational</w:t>
      </w:r>
      <w:r>
        <w:rPr>
          <w:spacing w:val="-5"/>
        </w:rPr>
        <w:t xml:space="preserve"> </w:t>
      </w:r>
      <w:r>
        <w:t>strategies</w:t>
      </w:r>
      <w:r>
        <w:rPr>
          <w:spacing w:val="-4"/>
        </w:rPr>
        <w:t xml:space="preserve"> </w:t>
      </w:r>
      <w:r>
        <w:t>you</w:t>
      </w:r>
      <w:r>
        <w:rPr>
          <w:spacing w:val="-5"/>
        </w:rPr>
        <w:t xml:space="preserve"> </w:t>
      </w:r>
      <w:r>
        <w:t>can</w:t>
      </w:r>
      <w:r>
        <w:rPr>
          <w:spacing w:val="-4"/>
        </w:rPr>
        <w:t xml:space="preserve"> </w:t>
      </w:r>
      <w:r>
        <w:t>use</w:t>
      </w:r>
      <w:r>
        <w:rPr>
          <w:spacing w:val="-5"/>
        </w:rPr>
        <w:t xml:space="preserve"> </w:t>
      </w:r>
      <w:r>
        <w:t>to</w:t>
      </w:r>
      <w:r>
        <w:rPr>
          <w:spacing w:val="-5"/>
        </w:rPr>
        <w:t xml:space="preserve"> </w:t>
      </w:r>
      <w:r>
        <w:t>resolve</w:t>
      </w:r>
      <w:r>
        <w:rPr>
          <w:spacing w:val="-4"/>
        </w:rPr>
        <w:t xml:space="preserve"> </w:t>
      </w:r>
      <w:r>
        <w:t>ambivalence</w:t>
      </w:r>
      <w:r>
        <w:rPr>
          <w:spacing w:val="-5"/>
        </w:rPr>
        <w:t xml:space="preserve"> </w:t>
      </w:r>
      <w:r>
        <w:t>in</w:t>
      </w:r>
      <w:r>
        <w:rPr>
          <w:spacing w:val="-7"/>
        </w:rPr>
        <w:t xml:space="preserve"> </w:t>
      </w:r>
      <w:r>
        <w:t>Contemplation</w:t>
      </w:r>
      <w:r>
        <w:rPr>
          <w:spacing w:val="-4"/>
        </w:rPr>
        <w:t xml:space="preserve"> are:</w:t>
      </w:r>
    </w:p>
    <w:p w14:paraId="79904CA3" w14:textId="77777777" w:rsidR="00DB6E1F" w:rsidRDefault="00F666A6">
      <w:pPr>
        <w:pStyle w:val="ListParagraph"/>
        <w:numPr>
          <w:ilvl w:val="0"/>
          <w:numId w:val="58"/>
        </w:numPr>
        <w:tabs>
          <w:tab w:val="left" w:pos="1801"/>
        </w:tabs>
        <w:spacing w:before="58" w:line="259" w:lineRule="auto"/>
        <w:ind w:right="1545" w:hanging="360"/>
      </w:pPr>
      <w:r>
        <w:rPr>
          <w:b/>
        </w:rPr>
        <w:t>Normalizing</w:t>
      </w:r>
      <w:r>
        <w:rPr>
          <w:b/>
          <w:spacing w:val="-2"/>
        </w:rPr>
        <w:t xml:space="preserve"> </w:t>
      </w:r>
      <w:r>
        <w:rPr>
          <w:b/>
        </w:rPr>
        <w:t>ambivalence.</w:t>
      </w:r>
      <w:r>
        <w:rPr>
          <w:b/>
          <w:spacing w:val="-2"/>
        </w:rPr>
        <w:t xml:space="preserve"> </w:t>
      </w:r>
      <w:r>
        <w:t>As</w:t>
      </w:r>
      <w:r>
        <w:rPr>
          <w:spacing w:val="-1"/>
        </w:rPr>
        <w:t xml:space="preserve"> </w:t>
      </w:r>
      <w:r>
        <w:t>they</w:t>
      </w:r>
      <w:r>
        <w:rPr>
          <w:spacing w:val="-2"/>
        </w:rPr>
        <w:t xml:space="preserve"> </w:t>
      </w:r>
      <w:r>
        <w:t>move</w:t>
      </w:r>
      <w:r>
        <w:rPr>
          <w:spacing w:val="-3"/>
        </w:rPr>
        <w:t xml:space="preserve"> </w:t>
      </w:r>
      <w:r>
        <w:t>closer</w:t>
      </w:r>
      <w:r>
        <w:rPr>
          <w:spacing w:val="-1"/>
        </w:rPr>
        <w:t xml:space="preserve"> </w:t>
      </w:r>
      <w:r>
        <w:t>to a</w:t>
      </w:r>
      <w:r>
        <w:rPr>
          <w:spacing w:val="-4"/>
        </w:rPr>
        <w:t xml:space="preserve"> </w:t>
      </w:r>
      <w:r>
        <w:t>decision</w:t>
      </w:r>
      <w:r>
        <w:rPr>
          <w:spacing w:val="-4"/>
        </w:rPr>
        <w:t xml:space="preserve"> </w:t>
      </w:r>
      <w:r>
        <w:t>to</w:t>
      </w:r>
      <w:r>
        <w:rPr>
          <w:spacing w:val="-2"/>
        </w:rPr>
        <w:t xml:space="preserve"> </w:t>
      </w:r>
      <w:r>
        <w:t>change,</w:t>
      </w:r>
      <w:r>
        <w:rPr>
          <w:spacing w:val="-3"/>
        </w:rPr>
        <w:t xml:space="preserve"> </w:t>
      </w:r>
      <w:r>
        <w:t>clients</w:t>
      </w:r>
      <w:r>
        <w:rPr>
          <w:spacing w:val="-3"/>
        </w:rPr>
        <w:t xml:space="preserve"> </w:t>
      </w:r>
      <w:r>
        <w:t>often</w:t>
      </w:r>
      <w:r>
        <w:rPr>
          <w:spacing w:val="-2"/>
        </w:rPr>
        <w:t xml:space="preserve"> </w:t>
      </w:r>
      <w:r>
        <w:t>feel</w:t>
      </w:r>
      <w:r>
        <w:rPr>
          <w:spacing w:val="-1"/>
        </w:rPr>
        <w:t xml:space="preserve"> </w:t>
      </w:r>
      <w:r>
        <w:t xml:space="preserve">increasing conflict and doubt about whether they can or want to change. </w:t>
      </w:r>
      <w:r>
        <w:rPr>
          <w:b/>
        </w:rPr>
        <w:t xml:space="preserve">Reassure clients that conflicting feelings, uncertainties, and reservations are common. </w:t>
      </w:r>
      <w:r>
        <w:t>Normalize ambivalence by explaining that many</w:t>
      </w:r>
      <w:r>
        <w:rPr>
          <w:spacing w:val="-3"/>
        </w:rPr>
        <w:t xml:space="preserve"> </w:t>
      </w:r>
      <w:r>
        <w:t>clients</w:t>
      </w:r>
      <w:r>
        <w:rPr>
          <w:spacing w:val="-4"/>
        </w:rPr>
        <w:t xml:space="preserve"> </w:t>
      </w:r>
      <w:r>
        <w:t>exp</w:t>
      </w:r>
      <w:r>
        <w:t>erience</w:t>
      </w:r>
      <w:r>
        <w:rPr>
          <w:spacing w:val="-4"/>
        </w:rPr>
        <w:t xml:space="preserve"> </w:t>
      </w:r>
      <w:r>
        <w:t>similar</w:t>
      </w:r>
      <w:r>
        <w:rPr>
          <w:spacing w:val="-2"/>
        </w:rPr>
        <w:t xml:space="preserve"> </w:t>
      </w:r>
      <w:r>
        <w:t>strong</w:t>
      </w:r>
      <w:r>
        <w:rPr>
          <w:spacing w:val="-3"/>
        </w:rPr>
        <w:t xml:space="preserve"> </w:t>
      </w:r>
      <w:r>
        <w:t>ambivalence</w:t>
      </w:r>
      <w:r>
        <w:rPr>
          <w:spacing w:val="-4"/>
        </w:rPr>
        <w:t xml:space="preserve"> </w:t>
      </w:r>
      <w:r>
        <w:t>at</w:t>
      </w:r>
      <w:r>
        <w:rPr>
          <w:spacing w:val="-1"/>
        </w:rPr>
        <w:t xml:space="preserve"> </w:t>
      </w:r>
      <w:r>
        <w:t>this</w:t>
      </w:r>
      <w:r>
        <w:rPr>
          <w:spacing w:val="-2"/>
        </w:rPr>
        <w:t xml:space="preserve"> </w:t>
      </w:r>
      <w:r>
        <w:t>stage,</w:t>
      </w:r>
      <w:r>
        <w:rPr>
          <w:spacing w:val="-4"/>
        </w:rPr>
        <w:t xml:space="preserve"> </w:t>
      </w:r>
      <w:r>
        <w:t>even</w:t>
      </w:r>
      <w:r>
        <w:rPr>
          <w:spacing w:val="-3"/>
        </w:rPr>
        <w:t xml:space="preserve"> </w:t>
      </w:r>
      <w:r>
        <w:t>when</w:t>
      </w:r>
      <w:r>
        <w:rPr>
          <w:spacing w:val="-5"/>
        </w:rPr>
        <w:t xml:space="preserve"> </w:t>
      </w:r>
      <w:r>
        <w:t>they</w:t>
      </w:r>
      <w:r>
        <w:rPr>
          <w:spacing w:val="-1"/>
        </w:rPr>
        <w:t xml:space="preserve"> </w:t>
      </w:r>
      <w:r>
        <w:t>believe</w:t>
      </w:r>
      <w:r>
        <w:rPr>
          <w:spacing w:val="-4"/>
        </w:rPr>
        <w:t xml:space="preserve"> </w:t>
      </w:r>
      <w:r>
        <w:t>they</w:t>
      </w:r>
      <w:r>
        <w:rPr>
          <w:spacing w:val="-1"/>
        </w:rPr>
        <w:t xml:space="preserve"> </w:t>
      </w:r>
      <w:r>
        <w:t>have resolved their mixed feelings and are nearing a decision. Clients need to understand that many people go back and forth between wanting to maintain the status quo and wantin</w:t>
      </w:r>
      <w:r>
        <w:t>g to change and yet have been able to stay on track by continuing to explore and discuss their ambivalence.</w:t>
      </w:r>
    </w:p>
    <w:p w14:paraId="2FD90F0A" w14:textId="77777777" w:rsidR="00DB6E1F" w:rsidRDefault="00F666A6">
      <w:pPr>
        <w:pStyle w:val="ListParagraph"/>
        <w:numPr>
          <w:ilvl w:val="0"/>
          <w:numId w:val="58"/>
        </w:numPr>
        <w:tabs>
          <w:tab w:val="left" w:pos="1800"/>
        </w:tabs>
        <w:spacing w:before="158" w:line="259" w:lineRule="auto"/>
        <w:ind w:left="1798" w:right="1611" w:hanging="360"/>
      </w:pPr>
      <w:r>
        <w:rPr>
          <w:b/>
        </w:rPr>
        <w:t xml:space="preserve">Evoking DARN change talk. </w:t>
      </w:r>
      <w:r>
        <w:t xml:space="preserve">DARN refers to clients’ </w:t>
      </w:r>
      <w:r>
        <w:rPr>
          <w:b/>
        </w:rPr>
        <w:t>d</w:t>
      </w:r>
      <w:r>
        <w:t xml:space="preserve">esire, </w:t>
      </w:r>
      <w:r>
        <w:rPr>
          <w:b/>
        </w:rPr>
        <w:t>a</w:t>
      </w:r>
      <w:r>
        <w:t xml:space="preserve">bility, </w:t>
      </w:r>
      <w:r>
        <w:rPr>
          <w:b/>
        </w:rPr>
        <w:t>r</w:t>
      </w:r>
      <w:r>
        <w:t xml:space="preserve">easons, and </w:t>
      </w:r>
      <w:r>
        <w:rPr>
          <w:b/>
        </w:rPr>
        <w:t>n</w:t>
      </w:r>
      <w:r>
        <w:t xml:space="preserve">eed to change. During Contemplation, help clients move up the hill </w:t>
      </w:r>
      <w:r>
        <w:t>of ambivalence and guide them toward Preparation</w:t>
      </w:r>
      <w:r>
        <w:rPr>
          <w:spacing w:val="-3"/>
        </w:rPr>
        <w:t xml:space="preserve"> </w:t>
      </w:r>
      <w:r>
        <w:t>by</w:t>
      </w:r>
      <w:r>
        <w:rPr>
          <w:spacing w:val="-3"/>
        </w:rPr>
        <w:t xml:space="preserve"> </w:t>
      </w:r>
      <w:r>
        <w:t>evoking</w:t>
      </w:r>
      <w:r>
        <w:rPr>
          <w:spacing w:val="-3"/>
        </w:rPr>
        <w:t xml:space="preserve"> </w:t>
      </w:r>
      <w:r>
        <w:t>and</w:t>
      </w:r>
      <w:r>
        <w:rPr>
          <w:spacing w:val="-3"/>
        </w:rPr>
        <w:t xml:space="preserve"> </w:t>
      </w:r>
      <w:r>
        <w:t>reflecting</w:t>
      </w:r>
      <w:r>
        <w:rPr>
          <w:spacing w:val="-3"/>
        </w:rPr>
        <w:t xml:space="preserve"> </w:t>
      </w:r>
      <w:r>
        <w:t>DARN</w:t>
      </w:r>
      <w:r>
        <w:rPr>
          <w:spacing w:val="-4"/>
        </w:rPr>
        <w:t xml:space="preserve"> </w:t>
      </w:r>
      <w:r>
        <w:t>change</w:t>
      </w:r>
      <w:r>
        <w:rPr>
          <w:spacing w:val="-1"/>
        </w:rPr>
        <w:t xml:space="preserve"> </w:t>
      </w:r>
      <w:r>
        <w:t>talk.</w:t>
      </w:r>
      <w:r>
        <w:rPr>
          <w:spacing w:val="-2"/>
        </w:rPr>
        <w:t xml:space="preserve"> </w:t>
      </w:r>
      <w:r>
        <w:t>Use</w:t>
      </w:r>
      <w:r>
        <w:rPr>
          <w:spacing w:val="-4"/>
        </w:rPr>
        <w:t xml:space="preserve"> </w:t>
      </w:r>
      <w:r>
        <w:t>open</w:t>
      </w:r>
      <w:r>
        <w:rPr>
          <w:spacing w:val="-3"/>
        </w:rPr>
        <w:t xml:space="preserve"> </w:t>
      </w:r>
      <w:r>
        <w:t>questions:</w:t>
      </w:r>
      <w:r>
        <w:rPr>
          <w:spacing w:val="-3"/>
        </w:rPr>
        <w:t xml:space="preserve"> </w:t>
      </w:r>
      <w:r>
        <w:t>“How</w:t>
      </w:r>
      <w:r>
        <w:rPr>
          <w:spacing w:val="-1"/>
        </w:rPr>
        <w:t xml:space="preserve"> </w:t>
      </w:r>
      <w:r>
        <w:t>would</w:t>
      </w:r>
      <w:r>
        <w:rPr>
          <w:spacing w:val="-3"/>
        </w:rPr>
        <w:t xml:space="preserve"> </w:t>
      </w:r>
      <w:r>
        <w:t>you</w:t>
      </w:r>
      <w:r>
        <w:rPr>
          <w:spacing w:val="-3"/>
        </w:rPr>
        <w:t xml:space="preserve"> </w:t>
      </w:r>
      <w:r>
        <w:t>like things to</w:t>
      </w:r>
      <w:r>
        <w:rPr>
          <w:spacing w:val="-1"/>
        </w:rPr>
        <w:t xml:space="preserve"> </w:t>
      </w:r>
      <w:r>
        <w:t>change so</w:t>
      </w:r>
      <w:r>
        <w:rPr>
          <w:spacing w:val="-1"/>
        </w:rPr>
        <w:t xml:space="preserve"> </w:t>
      </w:r>
      <w:r>
        <w:t>you</w:t>
      </w:r>
      <w:r>
        <w:rPr>
          <w:spacing w:val="-1"/>
        </w:rPr>
        <w:t xml:space="preserve"> </w:t>
      </w:r>
      <w:r>
        <w:t>don’t feel</w:t>
      </w:r>
      <w:r>
        <w:rPr>
          <w:spacing w:val="-3"/>
        </w:rPr>
        <w:t xml:space="preserve"> </w:t>
      </w:r>
      <w:r>
        <w:t>scared</w:t>
      </w:r>
      <w:r>
        <w:rPr>
          <w:spacing w:val="-3"/>
        </w:rPr>
        <w:t xml:space="preserve"> </w:t>
      </w:r>
      <w:r>
        <w:t>when</w:t>
      </w:r>
      <w:r>
        <w:rPr>
          <w:spacing w:val="-3"/>
        </w:rPr>
        <w:t xml:space="preserve"> </w:t>
      </w:r>
      <w:r>
        <w:t>you</w:t>
      </w:r>
      <w:r>
        <w:rPr>
          <w:spacing w:val="-1"/>
        </w:rPr>
        <w:t xml:space="preserve"> </w:t>
      </w:r>
      <w:r>
        <w:t>can’t remember</w:t>
      </w:r>
      <w:r>
        <w:rPr>
          <w:spacing w:val="-2"/>
        </w:rPr>
        <w:t xml:space="preserve"> </w:t>
      </w:r>
      <w:r>
        <w:t>what happened</w:t>
      </w:r>
      <w:r>
        <w:rPr>
          <w:spacing w:val="-1"/>
        </w:rPr>
        <w:t xml:space="preserve"> </w:t>
      </w:r>
      <w:r>
        <w:t xml:space="preserve">after drinking the night before?” Exhibit 3.8 in Chapter 3 offers more examples of open questions that evoke DARN change talk. Use reflective listening responses to highlight the change talk. </w:t>
      </w:r>
      <w:r>
        <w:rPr>
          <w:b/>
        </w:rPr>
        <w:t>Remember that the goal is to</w:t>
      </w:r>
      <w:r>
        <w:rPr>
          <w:b/>
          <w:spacing w:val="-1"/>
        </w:rPr>
        <w:t xml:space="preserve"> </w:t>
      </w:r>
      <w:r>
        <w:rPr>
          <w:b/>
        </w:rPr>
        <w:t>guide</w:t>
      </w:r>
      <w:r>
        <w:rPr>
          <w:b/>
          <w:spacing w:val="-1"/>
        </w:rPr>
        <w:t xml:space="preserve"> </w:t>
      </w:r>
      <w:r>
        <w:rPr>
          <w:b/>
        </w:rPr>
        <w:t>clients to make the arguments</w:t>
      </w:r>
      <w:r>
        <w:rPr>
          <w:b/>
        </w:rPr>
        <w:t xml:space="preserve"> for change </w:t>
      </w:r>
      <w:r>
        <w:t>(Miller &amp; Rollnick,</w:t>
      </w:r>
      <w:r>
        <w:rPr>
          <w:spacing w:val="-2"/>
        </w:rPr>
        <w:t xml:space="preserve"> </w:t>
      </w:r>
      <w:r>
        <w:t>2013).</w:t>
      </w:r>
      <w:r>
        <w:rPr>
          <w:spacing w:val="-1"/>
        </w:rPr>
        <w:t xml:space="preserve"> </w:t>
      </w:r>
      <w:r>
        <w:t xml:space="preserve">The key is to avoid jumping too quickly into evoking CAT (i.e., </w:t>
      </w:r>
      <w:r>
        <w:rPr>
          <w:b/>
        </w:rPr>
        <w:t>c</w:t>
      </w:r>
      <w:r>
        <w:t xml:space="preserve">ommitment, </w:t>
      </w:r>
      <w:r>
        <w:rPr>
          <w:b/>
        </w:rPr>
        <w:t>a</w:t>
      </w:r>
      <w:r>
        <w:t xml:space="preserve">ctivation, and </w:t>
      </w:r>
      <w:r>
        <w:rPr>
          <w:b/>
        </w:rPr>
        <w:t>t</w:t>
      </w:r>
      <w:r>
        <w:t>aking steps)</w:t>
      </w:r>
    </w:p>
    <w:p w14:paraId="3522B5FF" w14:textId="77777777" w:rsidR="00DB6E1F" w:rsidRDefault="00DB6E1F">
      <w:pPr>
        <w:spacing w:line="259" w:lineRule="auto"/>
        <w:sectPr w:rsidR="00DB6E1F">
          <w:pgSz w:w="12240" w:h="15840"/>
          <w:pgMar w:top="1200" w:right="0" w:bottom="780" w:left="0" w:header="763" w:footer="585" w:gutter="0"/>
          <w:cols w:space="720"/>
        </w:sectPr>
      </w:pPr>
    </w:p>
    <w:p w14:paraId="0FACB66E" w14:textId="77777777" w:rsidR="00DB6E1F" w:rsidRDefault="00DB6E1F">
      <w:pPr>
        <w:pStyle w:val="BodyText"/>
        <w:spacing w:before="8"/>
        <w:rPr>
          <w:sz w:val="14"/>
        </w:rPr>
      </w:pPr>
    </w:p>
    <w:p w14:paraId="6FDF55AD" w14:textId="77777777" w:rsidR="00DB6E1F" w:rsidRDefault="00F666A6">
      <w:pPr>
        <w:pStyle w:val="BodyText"/>
        <w:spacing w:before="56" w:line="256" w:lineRule="auto"/>
        <w:ind w:left="1799" w:right="1491"/>
      </w:pPr>
      <w:r>
        <w:t>change</w:t>
      </w:r>
      <w:r>
        <w:rPr>
          <w:spacing w:val="-1"/>
        </w:rPr>
        <w:t xml:space="preserve"> </w:t>
      </w:r>
      <w:r>
        <w:t>talk,</w:t>
      </w:r>
      <w:r>
        <w:rPr>
          <w:spacing w:val="-4"/>
        </w:rPr>
        <w:t xml:space="preserve"> </w:t>
      </w:r>
      <w:r>
        <w:t>solving</w:t>
      </w:r>
      <w:r>
        <w:rPr>
          <w:spacing w:val="-2"/>
        </w:rPr>
        <w:t xml:space="preserve"> </w:t>
      </w:r>
      <w:r>
        <w:t>problems</w:t>
      </w:r>
      <w:r>
        <w:rPr>
          <w:spacing w:val="-2"/>
        </w:rPr>
        <w:t xml:space="preserve"> </w:t>
      </w:r>
      <w:r>
        <w:t>in</w:t>
      </w:r>
      <w:r>
        <w:rPr>
          <w:spacing w:val="-3"/>
        </w:rPr>
        <w:t xml:space="preserve"> </w:t>
      </w:r>
      <w:r>
        <w:t>response</w:t>
      </w:r>
      <w:r>
        <w:rPr>
          <w:spacing w:val="-1"/>
        </w:rPr>
        <w:t xml:space="preserve"> </w:t>
      </w:r>
      <w:r>
        <w:t>to</w:t>
      </w:r>
      <w:r>
        <w:rPr>
          <w:spacing w:val="-1"/>
        </w:rPr>
        <w:t xml:space="preserve"> </w:t>
      </w:r>
      <w:r>
        <w:t>ambivalence,</w:t>
      </w:r>
      <w:r>
        <w:rPr>
          <w:spacing w:val="-4"/>
        </w:rPr>
        <w:t xml:space="preserve"> </w:t>
      </w:r>
      <w:r>
        <w:t>or</w:t>
      </w:r>
      <w:r>
        <w:rPr>
          <w:spacing w:val="-4"/>
        </w:rPr>
        <w:t xml:space="preserve"> </w:t>
      </w:r>
      <w:r>
        <w:t>making</w:t>
      </w:r>
      <w:r>
        <w:rPr>
          <w:spacing w:val="-3"/>
        </w:rPr>
        <w:t xml:space="preserve"> </w:t>
      </w:r>
      <w:r>
        <w:t>a</w:t>
      </w:r>
      <w:r>
        <w:rPr>
          <w:spacing w:val="-2"/>
        </w:rPr>
        <w:t xml:space="preserve"> </w:t>
      </w:r>
      <w:r>
        <w:t>plan</w:t>
      </w:r>
      <w:r>
        <w:rPr>
          <w:spacing w:val="-5"/>
        </w:rPr>
        <w:t xml:space="preserve"> </w:t>
      </w:r>
      <w:r>
        <w:t>of</w:t>
      </w:r>
      <w:r>
        <w:rPr>
          <w:spacing w:val="-2"/>
        </w:rPr>
        <w:t xml:space="preserve"> </w:t>
      </w:r>
      <w:r>
        <w:t>action.</w:t>
      </w:r>
      <w:r>
        <w:rPr>
          <w:spacing w:val="-2"/>
        </w:rPr>
        <w:t xml:space="preserve"> </w:t>
      </w:r>
      <w:r>
        <w:t>The</w:t>
      </w:r>
      <w:r>
        <w:rPr>
          <w:spacing w:val="-4"/>
        </w:rPr>
        <w:t xml:space="preserve"> </w:t>
      </w:r>
      <w:r>
        <w:t>client</w:t>
      </w:r>
      <w:r>
        <w:rPr>
          <w:spacing w:val="-4"/>
        </w:rPr>
        <w:t xml:space="preserve"> </w:t>
      </w:r>
      <w:r>
        <w:t>has to climb up the hill of ambivalence before easing down the other side.</w:t>
      </w:r>
    </w:p>
    <w:p w14:paraId="65E6C522" w14:textId="77777777" w:rsidR="00DB6E1F" w:rsidRDefault="00F666A6">
      <w:pPr>
        <w:pStyle w:val="Heading3"/>
        <w:spacing w:before="167"/>
      </w:pPr>
      <w:bookmarkStart w:id="148" w:name="Shift_the_Focus_From_Extrinsic_to_Intrin"/>
      <w:bookmarkEnd w:id="148"/>
      <w:r>
        <w:t>Shift</w:t>
      </w:r>
      <w:r>
        <w:rPr>
          <w:spacing w:val="-6"/>
        </w:rPr>
        <w:t xml:space="preserve"> </w:t>
      </w:r>
      <w:r>
        <w:t>the</w:t>
      </w:r>
      <w:r>
        <w:rPr>
          <w:spacing w:val="-9"/>
        </w:rPr>
        <w:t xml:space="preserve"> </w:t>
      </w:r>
      <w:r>
        <w:t>Focus</w:t>
      </w:r>
      <w:r>
        <w:rPr>
          <w:spacing w:val="-7"/>
        </w:rPr>
        <w:t xml:space="preserve"> </w:t>
      </w:r>
      <w:r>
        <w:t>From</w:t>
      </w:r>
      <w:r>
        <w:rPr>
          <w:spacing w:val="-7"/>
        </w:rPr>
        <w:t xml:space="preserve"> </w:t>
      </w:r>
      <w:r>
        <w:t>Extrinsic</w:t>
      </w:r>
      <w:r>
        <w:rPr>
          <w:spacing w:val="-5"/>
        </w:rPr>
        <w:t xml:space="preserve"> </w:t>
      </w:r>
      <w:r>
        <w:t>to</w:t>
      </w:r>
      <w:r>
        <w:rPr>
          <w:spacing w:val="-5"/>
        </w:rPr>
        <w:t xml:space="preserve"> </w:t>
      </w:r>
      <w:r>
        <w:t>Intrinsic</w:t>
      </w:r>
      <w:r>
        <w:rPr>
          <w:spacing w:val="-6"/>
        </w:rPr>
        <w:t xml:space="preserve"> </w:t>
      </w:r>
      <w:r>
        <w:rPr>
          <w:spacing w:val="-2"/>
        </w:rPr>
        <w:t>Motivation</w:t>
      </w:r>
    </w:p>
    <w:p w14:paraId="612589C8" w14:textId="77777777" w:rsidR="00DB6E1F" w:rsidRDefault="00F666A6">
      <w:pPr>
        <w:spacing w:before="143"/>
        <w:ind w:left="1439" w:right="1491"/>
      </w:pPr>
      <w:r>
        <w:rPr>
          <w:b/>
        </w:rPr>
        <w:t>To help clients prepare for change, explore the range of both extrinsic and intrinsic motivators that have</w:t>
      </w:r>
      <w:r>
        <w:rPr>
          <w:b/>
          <w:spacing w:val="-3"/>
        </w:rPr>
        <w:t xml:space="preserve"> </w:t>
      </w:r>
      <w:r>
        <w:rPr>
          <w:b/>
        </w:rPr>
        <w:t>brought</w:t>
      </w:r>
      <w:r>
        <w:rPr>
          <w:b/>
          <w:spacing w:val="-2"/>
        </w:rPr>
        <w:t xml:space="preserve"> </w:t>
      </w:r>
      <w:r>
        <w:rPr>
          <w:b/>
        </w:rPr>
        <w:t>them</w:t>
      </w:r>
      <w:r>
        <w:rPr>
          <w:b/>
          <w:spacing w:val="-4"/>
        </w:rPr>
        <w:t xml:space="preserve"> </w:t>
      </w:r>
      <w:r>
        <w:rPr>
          <w:b/>
        </w:rPr>
        <w:t>to</w:t>
      </w:r>
      <w:r>
        <w:rPr>
          <w:b/>
          <w:spacing w:val="-3"/>
        </w:rPr>
        <w:t xml:space="preserve"> </w:t>
      </w:r>
      <w:r>
        <w:rPr>
          <w:b/>
        </w:rPr>
        <w:t>this</w:t>
      </w:r>
      <w:r>
        <w:rPr>
          <w:b/>
          <w:spacing w:val="-4"/>
        </w:rPr>
        <w:t xml:space="preserve"> </w:t>
      </w:r>
      <w:r>
        <w:rPr>
          <w:b/>
        </w:rPr>
        <w:t>point.</w:t>
      </w:r>
      <w:r>
        <w:rPr>
          <w:b/>
          <w:spacing w:val="-2"/>
        </w:rPr>
        <w:t xml:space="preserve"> </w:t>
      </w:r>
      <w:r>
        <w:t>Many</w:t>
      </w:r>
      <w:r>
        <w:rPr>
          <w:spacing w:val="-2"/>
        </w:rPr>
        <w:t xml:space="preserve"> </w:t>
      </w:r>
      <w:r>
        <w:t>clients</w:t>
      </w:r>
      <w:r>
        <w:rPr>
          <w:spacing w:val="-4"/>
        </w:rPr>
        <w:t xml:space="preserve"> </w:t>
      </w:r>
      <w:r>
        <w:t>move</w:t>
      </w:r>
      <w:r>
        <w:rPr>
          <w:spacing w:val="-2"/>
        </w:rPr>
        <w:t xml:space="preserve"> </w:t>
      </w:r>
      <w:r>
        <w:t>through</w:t>
      </w:r>
      <w:r>
        <w:rPr>
          <w:spacing w:val="-3"/>
        </w:rPr>
        <w:t xml:space="preserve"> </w:t>
      </w:r>
      <w:r>
        <w:t>the</w:t>
      </w:r>
      <w:r>
        <w:rPr>
          <w:spacing w:val="-2"/>
        </w:rPr>
        <w:t xml:space="preserve"> </w:t>
      </w:r>
      <w:r>
        <w:t>Contemplation</w:t>
      </w:r>
      <w:r>
        <w:rPr>
          <w:spacing w:val="-5"/>
        </w:rPr>
        <w:t xml:space="preserve"> </w:t>
      </w:r>
      <w:r>
        <w:t>stage</w:t>
      </w:r>
      <w:r>
        <w:rPr>
          <w:spacing w:val="-2"/>
        </w:rPr>
        <w:t xml:space="preserve"> </w:t>
      </w:r>
      <w:r>
        <w:t>acknowledging only the extrinsic motivators that push them to change an</w:t>
      </w:r>
      <w:r>
        <w:t xml:space="preserve">d that brought them to treatment. External motivators may pressure clients into treatment, including a spouse, employer, healthcare provider, family member, friend, or the child welfare or criminal justice system. </w:t>
      </w:r>
      <w:r>
        <w:rPr>
          <w:b/>
        </w:rPr>
        <w:t>Extrinsic motivators can help bring client</w:t>
      </w:r>
      <w:r>
        <w:rPr>
          <w:b/>
        </w:rPr>
        <w:t xml:space="preserve">s into and stay in treatment, but intrinsic motivators are important for significant, long- lasting change </w:t>
      </w:r>
      <w:r>
        <w:t>(Flannery, 2017; Kwasnicka, Dombrowski, White, &amp; Sniehotta, 2016; Mahmoodabad, Tonekaboni, Farmanbar, Fallahzadeh, &amp; Kamalikhah, 2017).</w:t>
      </w:r>
    </w:p>
    <w:p w14:paraId="7823B517" w14:textId="77777777" w:rsidR="00DB6E1F" w:rsidRDefault="00F666A6">
      <w:pPr>
        <w:pStyle w:val="Heading5"/>
        <w:spacing w:before="160"/>
        <w:ind w:left="1439" w:right="1491"/>
      </w:pPr>
      <w:r>
        <w:t>You</w:t>
      </w:r>
      <w:r>
        <w:rPr>
          <w:spacing w:val="-4"/>
        </w:rPr>
        <w:t xml:space="preserve"> </w:t>
      </w:r>
      <w:r>
        <w:t>can</w:t>
      </w:r>
      <w:r>
        <w:rPr>
          <w:spacing w:val="-4"/>
        </w:rPr>
        <w:t xml:space="preserve"> </w:t>
      </w:r>
      <w:r>
        <w:t>help</w:t>
      </w:r>
      <w:r>
        <w:rPr>
          <w:spacing w:val="-4"/>
        </w:rPr>
        <w:t xml:space="preserve"> </w:t>
      </w:r>
      <w:r>
        <w:t>clients</w:t>
      </w:r>
      <w:r>
        <w:rPr>
          <w:spacing w:val="-2"/>
        </w:rPr>
        <w:t xml:space="preserve"> </w:t>
      </w:r>
      <w:r>
        <w:t>develop</w:t>
      </w:r>
      <w:r>
        <w:rPr>
          <w:spacing w:val="-4"/>
        </w:rPr>
        <w:t xml:space="preserve"> </w:t>
      </w:r>
      <w:r>
        <w:t>intrinsic</w:t>
      </w:r>
      <w:r>
        <w:rPr>
          <w:spacing w:val="-2"/>
        </w:rPr>
        <w:t xml:space="preserve"> </w:t>
      </w:r>
      <w:r>
        <w:t>motivation</w:t>
      </w:r>
      <w:r>
        <w:rPr>
          <w:spacing w:val="-4"/>
        </w:rPr>
        <w:t xml:space="preserve"> </w:t>
      </w:r>
      <w:r>
        <w:t>by</w:t>
      </w:r>
      <w:r>
        <w:rPr>
          <w:spacing w:val="-4"/>
        </w:rPr>
        <w:t xml:space="preserve"> </w:t>
      </w:r>
      <w:r>
        <w:t>assisting</w:t>
      </w:r>
      <w:r>
        <w:rPr>
          <w:spacing w:val="-2"/>
        </w:rPr>
        <w:t xml:space="preserve"> </w:t>
      </w:r>
      <w:r>
        <w:t>them</w:t>
      </w:r>
      <w:r>
        <w:rPr>
          <w:spacing w:val="-5"/>
        </w:rPr>
        <w:t xml:space="preserve"> </w:t>
      </w:r>
      <w:r>
        <w:t>in</w:t>
      </w:r>
      <w:r>
        <w:rPr>
          <w:spacing w:val="-4"/>
        </w:rPr>
        <w:t xml:space="preserve"> </w:t>
      </w:r>
      <w:r>
        <w:t>recognizing</w:t>
      </w:r>
      <w:r>
        <w:rPr>
          <w:spacing w:val="-2"/>
        </w:rPr>
        <w:t xml:space="preserve"> </w:t>
      </w:r>
      <w:r>
        <w:t>the</w:t>
      </w:r>
      <w:r>
        <w:rPr>
          <w:spacing w:val="-4"/>
        </w:rPr>
        <w:t xml:space="preserve"> </w:t>
      </w:r>
      <w:r>
        <w:t>discrepancies between “where they are” and “where they want to be”:</w:t>
      </w:r>
    </w:p>
    <w:p w14:paraId="0CE721BA" w14:textId="77777777" w:rsidR="00DB6E1F" w:rsidRDefault="00F666A6">
      <w:pPr>
        <w:pStyle w:val="ListParagraph"/>
        <w:numPr>
          <w:ilvl w:val="0"/>
          <w:numId w:val="92"/>
        </w:numPr>
        <w:tabs>
          <w:tab w:val="left" w:pos="1799"/>
          <w:tab w:val="left" w:pos="1800"/>
        </w:tabs>
        <w:spacing w:before="59"/>
        <w:ind w:left="1799" w:right="1947" w:hanging="360"/>
        <w:rPr>
          <w:rFonts w:ascii="Symbol" w:hAnsi="Symbol"/>
        </w:rPr>
      </w:pPr>
      <w:r>
        <w:t>Invite</w:t>
      </w:r>
      <w:r>
        <w:rPr>
          <w:spacing w:val="-1"/>
        </w:rPr>
        <w:t xml:space="preserve"> </w:t>
      </w:r>
      <w:r>
        <w:t>clients</w:t>
      </w:r>
      <w:r>
        <w:rPr>
          <w:spacing w:val="-4"/>
        </w:rPr>
        <w:t xml:space="preserve"> </w:t>
      </w:r>
      <w:r>
        <w:t>to</w:t>
      </w:r>
      <w:r>
        <w:rPr>
          <w:spacing w:val="-3"/>
        </w:rPr>
        <w:t xml:space="preserve"> </w:t>
      </w:r>
      <w:r>
        <w:t>explore</w:t>
      </w:r>
      <w:r>
        <w:rPr>
          <w:spacing w:val="-4"/>
        </w:rPr>
        <w:t xml:space="preserve"> </w:t>
      </w:r>
      <w:r>
        <w:t>their</w:t>
      </w:r>
      <w:r>
        <w:rPr>
          <w:spacing w:val="-2"/>
        </w:rPr>
        <w:t xml:space="preserve"> </w:t>
      </w:r>
      <w:r>
        <w:t>life</w:t>
      </w:r>
      <w:r>
        <w:rPr>
          <w:spacing w:val="-2"/>
        </w:rPr>
        <w:t xml:space="preserve"> </w:t>
      </w:r>
      <w:r>
        <w:t>goals</w:t>
      </w:r>
      <w:r>
        <w:rPr>
          <w:spacing w:val="-2"/>
        </w:rPr>
        <w:t xml:space="preserve"> </w:t>
      </w:r>
      <w:r>
        <w:t>and</w:t>
      </w:r>
      <w:r>
        <w:rPr>
          <w:spacing w:val="-3"/>
        </w:rPr>
        <w:t xml:space="preserve"> </w:t>
      </w:r>
      <w:r>
        <w:t>values,</w:t>
      </w:r>
      <w:r>
        <w:rPr>
          <w:spacing w:val="-4"/>
        </w:rPr>
        <w:t xml:space="preserve"> </w:t>
      </w:r>
      <w:r>
        <w:t>which</w:t>
      </w:r>
      <w:r>
        <w:rPr>
          <w:spacing w:val="-3"/>
        </w:rPr>
        <w:t xml:space="preserve"> </w:t>
      </w:r>
      <w:r>
        <w:t>can</w:t>
      </w:r>
      <w:r>
        <w:rPr>
          <w:spacing w:val="-3"/>
        </w:rPr>
        <w:t xml:space="preserve"> </w:t>
      </w:r>
      <w:r>
        <w:t>strengthen</w:t>
      </w:r>
      <w:r>
        <w:rPr>
          <w:spacing w:val="-3"/>
        </w:rPr>
        <w:t xml:space="preserve"> </w:t>
      </w:r>
      <w:r>
        <w:t>internal</w:t>
      </w:r>
      <w:r>
        <w:rPr>
          <w:spacing w:val="-7"/>
        </w:rPr>
        <w:t xml:space="preserve"> </w:t>
      </w:r>
      <w:r>
        <w:t>motivation.</w:t>
      </w:r>
      <w:r>
        <w:rPr>
          <w:spacing w:val="-2"/>
        </w:rPr>
        <w:t xml:space="preserve"> </w:t>
      </w:r>
      <w:r>
        <w:t>In searching for answers, clients often reevaluate past mistakes and activities that were self- destructive or harmful to others.</w:t>
      </w:r>
    </w:p>
    <w:p w14:paraId="1A05A57A" w14:textId="77777777" w:rsidR="00DB6E1F" w:rsidRDefault="00F666A6">
      <w:pPr>
        <w:pStyle w:val="ListParagraph"/>
        <w:numPr>
          <w:ilvl w:val="0"/>
          <w:numId w:val="92"/>
        </w:numPr>
        <w:tabs>
          <w:tab w:val="left" w:pos="1799"/>
          <w:tab w:val="left" w:pos="1800"/>
        </w:tabs>
        <w:ind w:left="1799" w:right="1458"/>
        <w:rPr>
          <w:rFonts w:ascii="Symbol" w:hAnsi="Symbol"/>
        </w:rPr>
      </w:pPr>
      <w:r>
        <w:t>Encourage</w:t>
      </w:r>
      <w:r>
        <w:rPr>
          <w:spacing w:val="-4"/>
        </w:rPr>
        <w:t xml:space="preserve"> </w:t>
      </w:r>
      <w:r>
        <w:t>this</w:t>
      </w:r>
      <w:r>
        <w:rPr>
          <w:spacing w:val="-2"/>
        </w:rPr>
        <w:t xml:space="preserve"> </w:t>
      </w:r>
      <w:r>
        <w:t>exploration</w:t>
      </w:r>
      <w:r>
        <w:rPr>
          <w:spacing w:val="-5"/>
        </w:rPr>
        <w:t xml:space="preserve"> </w:t>
      </w:r>
      <w:r>
        <w:t>through</w:t>
      </w:r>
      <w:r>
        <w:rPr>
          <w:spacing w:val="-3"/>
        </w:rPr>
        <w:t xml:space="preserve"> </w:t>
      </w:r>
      <w:r>
        <w:t>asking</w:t>
      </w:r>
      <w:r>
        <w:rPr>
          <w:spacing w:val="-5"/>
        </w:rPr>
        <w:t xml:space="preserve"> </w:t>
      </w:r>
      <w:r>
        <w:t>open</w:t>
      </w:r>
      <w:r>
        <w:rPr>
          <w:spacing w:val="-3"/>
        </w:rPr>
        <w:t xml:space="preserve"> </w:t>
      </w:r>
      <w:r>
        <w:t>questions</w:t>
      </w:r>
      <w:r>
        <w:rPr>
          <w:spacing w:val="-2"/>
        </w:rPr>
        <w:t xml:space="preserve"> </w:t>
      </w:r>
      <w:r>
        <w:t>about</w:t>
      </w:r>
      <w:r>
        <w:rPr>
          <w:spacing w:val="-1"/>
        </w:rPr>
        <w:t xml:space="preserve"> </w:t>
      </w:r>
      <w:r>
        <w:t>client</w:t>
      </w:r>
      <w:r>
        <w:rPr>
          <w:spacing w:val="-1"/>
        </w:rPr>
        <w:t xml:space="preserve"> </w:t>
      </w:r>
      <w:r>
        <w:t>goals:</w:t>
      </w:r>
      <w:r>
        <w:rPr>
          <w:spacing w:val="-3"/>
        </w:rPr>
        <w:t xml:space="preserve"> </w:t>
      </w:r>
      <w:r>
        <w:t>“Where</w:t>
      </w:r>
      <w:r>
        <w:rPr>
          <w:spacing w:val="-1"/>
        </w:rPr>
        <w:t xml:space="preserve"> </w:t>
      </w:r>
      <w:r>
        <w:t>would</w:t>
      </w:r>
      <w:r>
        <w:rPr>
          <w:spacing w:val="-3"/>
        </w:rPr>
        <w:t xml:space="preserve"> </w:t>
      </w:r>
      <w:r>
        <w:t>you</w:t>
      </w:r>
      <w:r>
        <w:rPr>
          <w:spacing w:val="-3"/>
        </w:rPr>
        <w:t xml:space="preserve"> </w:t>
      </w:r>
      <w:r>
        <w:t>like to be in 5 years?” and “How</w:t>
      </w:r>
      <w:r>
        <w:t xml:space="preserve"> does your substance use fit or not fit with your goals?”</w:t>
      </w:r>
    </w:p>
    <w:p w14:paraId="65AA090B" w14:textId="77777777" w:rsidR="00DB6E1F" w:rsidRDefault="00F666A6">
      <w:pPr>
        <w:pStyle w:val="ListParagraph"/>
        <w:numPr>
          <w:ilvl w:val="0"/>
          <w:numId w:val="92"/>
        </w:numPr>
        <w:tabs>
          <w:tab w:val="left" w:pos="1799"/>
          <w:tab w:val="left" w:pos="1800"/>
        </w:tabs>
        <w:spacing w:before="61"/>
        <w:ind w:left="1799" w:right="1545" w:hanging="360"/>
        <w:rPr>
          <w:rFonts w:ascii="Symbol" w:hAnsi="Symbol"/>
        </w:rPr>
      </w:pPr>
      <w:r>
        <w:t>Highlight</w:t>
      </w:r>
      <w:r>
        <w:rPr>
          <w:spacing w:val="-2"/>
        </w:rPr>
        <w:t xml:space="preserve"> </w:t>
      </w:r>
      <w:r>
        <w:t>clients’</w:t>
      </w:r>
      <w:r>
        <w:rPr>
          <w:spacing w:val="-2"/>
        </w:rPr>
        <w:t xml:space="preserve"> </w:t>
      </w:r>
      <w:r>
        <w:t>recognition</w:t>
      </w:r>
      <w:r>
        <w:rPr>
          <w:spacing w:val="-3"/>
        </w:rPr>
        <w:t xml:space="preserve"> </w:t>
      </w:r>
      <w:r>
        <w:t>of</w:t>
      </w:r>
      <w:r>
        <w:rPr>
          <w:spacing w:val="-2"/>
        </w:rPr>
        <w:t xml:space="preserve"> </w:t>
      </w:r>
      <w:r>
        <w:t>discrepancies</w:t>
      </w:r>
      <w:r>
        <w:rPr>
          <w:spacing w:val="-2"/>
        </w:rPr>
        <w:t xml:space="preserve"> </w:t>
      </w:r>
      <w:r>
        <w:t>between</w:t>
      </w:r>
      <w:r>
        <w:rPr>
          <w:spacing w:val="-5"/>
        </w:rPr>
        <w:t xml:space="preserve"> </w:t>
      </w:r>
      <w:r>
        <w:t>the</w:t>
      </w:r>
      <w:r>
        <w:rPr>
          <w:spacing w:val="-2"/>
        </w:rPr>
        <w:t xml:space="preserve"> </w:t>
      </w:r>
      <w:r>
        <w:t>current</w:t>
      </w:r>
      <w:r>
        <w:rPr>
          <w:spacing w:val="-2"/>
        </w:rPr>
        <w:t xml:space="preserve"> </w:t>
      </w:r>
      <w:r>
        <w:t>situation</w:t>
      </w:r>
      <w:r>
        <w:rPr>
          <w:spacing w:val="-3"/>
        </w:rPr>
        <w:t xml:space="preserve"> </w:t>
      </w:r>
      <w:r>
        <w:t>and</w:t>
      </w:r>
      <w:r>
        <w:rPr>
          <w:spacing w:val="-5"/>
        </w:rPr>
        <w:t xml:space="preserve"> </w:t>
      </w:r>
      <w:r>
        <w:t>their</w:t>
      </w:r>
      <w:r>
        <w:rPr>
          <w:spacing w:val="-2"/>
        </w:rPr>
        <w:t xml:space="preserve"> </w:t>
      </w:r>
      <w:r>
        <w:t>hopes</w:t>
      </w:r>
      <w:r>
        <w:rPr>
          <w:spacing w:val="-4"/>
        </w:rPr>
        <w:t xml:space="preserve"> </w:t>
      </w:r>
      <w:r>
        <w:t>for</w:t>
      </w:r>
      <w:r>
        <w:rPr>
          <w:spacing w:val="-5"/>
        </w:rPr>
        <w:t xml:space="preserve"> </w:t>
      </w:r>
      <w:r>
        <w:t>the future through reflective listening. Awareness of discrepancy often evokes desire change talk, a</w:t>
      </w:r>
      <w:r>
        <w:t>n essential source of intrinsic motivation.</w:t>
      </w:r>
    </w:p>
    <w:p w14:paraId="4729CF06" w14:textId="77777777" w:rsidR="00DB6E1F" w:rsidRDefault="00F666A6">
      <w:pPr>
        <w:pStyle w:val="BodyText"/>
        <w:spacing w:before="159"/>
        <w:ind w:left="1439" w:right="1555"/>
      </w:pPr>
      <w:r>
        <w:t>Sometimes,</w:t>
      </w:r>
      <w:r>
        <w:rPr>
          <w:spacing w:val="-4"/>
        </w:rPr>
        <w:t xml:space="preserve"> </w:t>
      </w:r>
      <w:r>
        <w:t>intrinsic</w:t>
      </w:r>
      <w:r>
        <w:rPr>
          <w:spacing w:val="-4"/>
        </w:rPr>
        <w:t xml:space="preserve"> </w:t>
      </w:r>
      <w:r>
        <w:t>motivation</w:t>
      </w:r>
      <w:r>
        <w:rPr>
          <w:spacing w:val="-3"/>
        </w:rPr>
        <w:t xml:space="preserve"> </w:t>
      </w:r>
      <w:r>
        <w:t>emerges</w:t>
      </w:r>
      <w:r>
        <w:rPr>
          <w:spacing w:val="-3"/>
        </w:rPr>
        <w:t xml:space="preserve"> </w:t>
      </w:r>
      <w:r>
        <w:t>from</w:t>
      </w:r>
      <w:r>
        <w:rPr>
          <w:spacing w:val="-2"/>
        </w:rPr>
        <w:t xml:space="preserve"> </w:t>
      </w:r>
      <w:r>
        <w:t>role</w:t>
      </w:r>
      <w:r>
        <w:rPr>
          <w:spacing w:val="-4"/>
        </w:rPr>
        <w:t xml:space="preserve"> </w:t>
      </w:r>
      <w:r>
        <w:t>conflicts</w:t>
      </w:r>
      <w:r>
        <w:rPr>
          <w:spacing w:val="-3"/>
        </w:rPr>
        <w:t xml:space="preserve"> </w:t>
      </w:r>
      <w:r>
        <w:t>and</w:t>
      </w:r>
      <w:r>
        <w:rPr>
          <w:spacing w:val="-3"/>
        </w:rPr>
        <w:t xml:space="preserve"> </w:t>
      </w:r>
      <w:r>
        <w:t>family</w:t>
      </w:r>
      <w:r>
        <w:rPr>
          <w:spacing w:val="-4"/>
        </w:rPr>
        <w:t xml:space="preserve"> </w:t>
      </w:r>
      <w:r>
        <w:t>or</w:t>
      </w:r>
      <w:r>
        <w:rPr>
          <w:spacing w:val="-4"/>
        </w:rPr>
        <w:t xml:space="preserve"> </w:t>
      </w:r>
      <w:r>
        <w:t>community</w:t>
      </w:r>
      <w:r>
        <w:rPr>
          <w:spacing w:val="-2"/>
        </w:rPr>
        <w:t xml:space="preserve"> </w:t>
      </w:r>
      <w:r>
        <w:t>expectations.</w:t>
      </w:r>
      <w:r>
        <w:rPr>
          <w:spacing w:val="-3"/>
        </w:rPr>
        <w:t xml:space="preserve"> </w:t>
      </w:r>
      <w:r>
        <w:t>For example, a single mother who lost her job because of substance use may have a strong motivation to get and keep another job to provide for her children. For other clients, substance misuse has cut their cultural or community ties. For example, they sto</w:t>
      </w:r>
      <w:r>
        <w:t xml:space="preserve">p going to church or neglect culturally affirmed roles, such as helping others or serving as role models for young people. A desire to reconnect with cultural traditions as a source of identity and strength can be a powerful motivator for some clients, as </w:t>
      </w:r>
      <w:r>
        <w:t>can the desire to regain others’ respect. Positive change also leads to improved self-image and self-esteem.</w:t>
      </w:r>
    </w:p>
    <w:p w14:paraId="29F805D4" w14:textId="77777777" w:rsidR="00DB6E1F" w:rsidRDefault="00DB6E1F">
      <w:pPr>
        <w:pStyle w:val="BodyText"/>
        <w:spacing w:before="3"/>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0B1DF5B" w14:textId="77777777">
        <w:trPr>
          <w:trHeight w:val="503"/>
        </w:trPr>
        <w:tc>
          <w:tcPr>
            <w:tcW w:w="9350" w:type="dxa"/>
            <w:shd w:val="clear" w:color="auto" w:fill="050505"/>
          </w:tcPr>
          <w:p w14:paraId="2B045807" w14:textId="77777777" w:rsidR="00DB6E1F" w:rsidRDefault="00F666A6">
            <w:pPr>
              <w:pStyle w:val="TableParagraph"/>
              <w:spacing w:before="102"/>
              <w:ind w:left="417"/>
              <w:rPr>
                <w:sz w:val="24"/>
              </w:rPr>
            </w:pPr>
            <w:r>
              <w:rPr>
                <w:color w:val="FFFFFF"/>
                <w:sz w:val="24"/>
              </w:rPr>
              <w:t>Expert</w:t>
            </w:r>
            <w:r>
              <w:rPr>
                <w:color w:val="FFFFFF"/>
                <w:spacing w:val="-5"/>
                <w:sz w:val="24"/>
              </w:rPr>
              <w:t xml:space="preserve"> </w:t>
            </w:r>
            <w:r>
              <w:rPr>
                <w:color w:val="FFFFFF"/>
                <w:sz w:val="24"/>
              </w:rPr>
              <w:t>Comment:</w:t>
            </w:r>
            <w:r>
              <w:rPr>
                <w:color w:val="FFFFFF"/>
                <w:spacing w:val="-3"/>
                <w:sz w:val="24"/>
              </w:rPr>
              <w:t xml:space="preserve"> </w:t>
            </w:r>
            <w:r>
              <w:rPr>
                <w:color w:val="FFFFFF"/>
                <w:sz w:val="24"/>
              </w:rPr>
              <w:t>Linking</w:t>
            </w:r>
            <w:r>
              <w:rPr>
                <w:color w:val="FFFFFF"/>
                <w:spacing w:val="-4"/>
                <w:sz w:val="24"/>
              </w:rPr>
              <w:t xml:space="preserve"> </w:t>
            </w:r>
            <w:r>
              <w:rPr>
                <w:color w:val="FFFFFF"/>
                <w:sz w:val="24"/>
              </w:rPr>
              <w:t>Family, Community,</w:t>
            </w:r>
            <w:r>
              <w:rPr>
                <w:color w:val="FFFFFF"/>
                <w:spacing w:val="-1"/>
                <w:sz w:val="24"/>
              </w:rPr>
              <w:t xml:space="preserve"> </w:t>
            </w:r>
            <w:r>
              <w:rPr>
                <w:color w:val="FFFFFF"/>
                <w:sz w:val="24"/>
              </w:rPr>
              <w:t>and</w:t>
            </w:r>
            <w:r>
              <w:rPr>
                <w:color w:val="FFFFFF"/>
                <w:spacing w:val="-2"/>
                <w:sz w:val="24"/>
              </w:rPr>
              <w:t xml:space="preserve"> </w:t>
            </w:r>
            <w:r>
              <w:rPr>
                <w:color w:val="FFFFFF"/>
                <w:sz w:val="24"/>
              </w:rPr>
              <w:t>Cultural Values</w:t>
            </w:r>
            <w:r>
              <w:rPr>
                <w:color w:val="FFFFFF"/>
                <w:spacing w:val="-4"/>
                <w:sz w:val="24"/>
              </w:rPr>
              <w:t xml:space="preserve"> </w:t>
            </w:r>
            <w:r>
              <w:rPr>
                <w:color w:val="FFFFFF"/>
                <w:sz w:val="24"/>
              </w:rPr>
              <w:t>to</w:t>
            </w:r>
            <w:r>
              <w:rPr>
                <w:color w:val="FFFFFF"/>
                <w:spacing w:val="-2"/>
                <w:sz w:val="24"/>
              </w:rPr>
              <w:t xml:space="preserve"> </w:t>
            </w:r>
            <w:r>
              <w:rPr>
                <w:color w:val="FFFFFF"/>
                <w:sz w:val="24"/>
              </w:rPr>
              <w:t>a</w:t>
            </w:r>
            <w:r>
              <w:rPr>
                <w:color w:val="FFFFFF"/>
                <w:spacing w:val="-4"/>
                <w:sz w:val="24"/>
              </w:rPr>
              <w:t xml:space="preserve"> </w:t>
            </w:r>
            <w:r>
              <w:rPr>
                <w:color w:val="FFFFFF"/>
                <w:sz w:val="24"/>
              </w:rPr>
              <w:t xml:space="preserve">Desire for </w:t>
            </w:r>
            <w:r>
              <w:rPr>
                <w:color w:val="FFFFFF"/>
                <w:spacing w:val="-2"/>
                <w:sz w:val="24"/>
              </w:rPr>
              <w:t>Change</w:t>
            </w:r>
          </w:p>
        </w:tc>
      </w:tr>
      <w:tr w:rsidR="00DB6E1F" w14:paraId="256F3A81" w14:textId="77777777">
        <w:trPr>
          <w:trHeight w:val="3006"/>
        </w:trPr>
        <w:tc>
          <w:tcPr>
            <w:tcW w:w="9350" w:type="dxa"/>
          </w:tcPr>
          <w:p w14:paraId="22D28598" w14:textId="77777777" w:rsidR="00DB6E1F" w:rsidRDefault="00F666A6">
            <w:pPr>
              <w:pStyle w:val="TableParagraph"/>
              <w:ind w:right="169"/>
              <w:rPr>
                <w:sz w:val="20"/>
              </w:rPr>
            </w:pPr>
            <w:r>
              <w:rPr>
                <w:sz w:val="20"/>
              </w:rPr>
              <w:t>Working with a group of</w:t>
            </w:r>
            <w:r>
              <w:rPr>
                <w:spacing w:val="-1"/>
                <w:sz w:val="20"/>
              </w:rPr>
              <w:t xml:space="preserve"> </w:t>
            </w:r>
            <w:r>
              <w:rPr>
                <w:sz w:val="20"/>
              </w:rPr>
              <w:t>Latino men in the</w:t>
            </w:r>
            <w:r>
              <w:rPr>
                <w:spacing w:val="-1"/>
                <w:sz w:val="20"/>
              </w:rPr>
              <w:t xml:space="preserve"> </w:t>
            </w:r>
            <w:r>
              <w:rPr>
                <w:sz w:val="20"/>
              </w:rPr>
              <w:t>Southwest who wer</w:t>
            </w:r>
            <w:r>
              <w:rPr>
                <w:sz w:val="20"/>
              </w:rPr>
              <w:t>e</w:t>
            </w:r>
            <w:r>
              <w:rPr>
                <w:spacing w:val="-1"/>
                <w:sz w:val="20"/>
              </w:rPr>
              <w:t xml:space="preserve"> </w:t>
            </w:r>
            <w:r>
              <w:rPr>
                <w:sz w:val="20"/>
              </w:rPr>
              <w:t>mandated into treatment as</w:t>
            </w:r>
            <w:r>
              <w:rPr>
                <w:spacing w:val="-1"/>
                <w:sz w:val="20"/>
              </w:rPr>
              <w:t xml:space="preserve"> </w:t>
            </w:r>
            <w:r>
              <w:rPr>
                <w:sz w:val="20"/>
              </w:rPr>
              <w:t>a condition of parole</w:t>
            </w:r>
            <w:r>
              <w:rPr>
                <w:spacing w:val="-4"/>
                <w:sz w:val="20"/>
              </w:rPr>
              <w:t xml:space="preserve"> </w:t>
            </w:r>
            <w:r>
              <w:rPr>
                <w:sz w:val="20"/>
              </w:rPr>
              <w:t>and</w:t>
            </w:r>
            <w:r>
              <w:rPr>
                <w:spacing w:val="-2"/>
                <w:sz w:val="20"/>
              </w:rPr>
              <w:t xml:space="preserve"> </w:t>
            </w:r>
            <w:r>
              <w:rPr>
                <w:sz w:val="20"/>
              </w:rPr>
              <w:t>had</w:t>
            </w:r>
            <w:r>
              <w:rPr>
                <w:spacing w:val="-2"/>
                <w:sz w:val="20"/>
              </w:rPr>
              <w:t xml:space="preserve"> </w:t>
            </w:r>
            <w:r>
              <w:rPr>
                <w:sz w:val="20"/>
              </w:rPr>
              <w:t>spent</w:t>
            </w:r>
            <w:r>
              <w:rPr>
                <w:spacing w:val="-3"/>
                <w:sz w:val="20"/>
              </w:rPr>
              <w:t xml:space="preserve"> </w:t>
            </w:r>
            <w:r>
              <w:rPr>
                <w:sz w:val="20"/>
              </w:rPr>
              <w:t>most</w:t>
            </w:r>
            <w:r>
              <w:rPr>
                <w:spacing w:val="-3"/>
                <w:sz w:val="20"/>
              </w:rPr>
              <w:t xml:space="preserve"> </w:t>
            </w:r>
            <w:r>
              <w:rPr>
                <w:sz w:val="20"/>
              </w:rPr>
              <w:t>of</w:t>
            </w:r>
            <w:r>
              <w:rPr>
                <w:spacing w:val="-4"/>
                <w:sz w:val="20"/>
              </w:rPr>
              <w:t xml:space="preserve"> </w:t>
            </w:r>
            <w:r>
              <w:rPr>
                <w:sz w:val="20"/>
              </w:rPr>
              <w:t>their</w:t>
            </w:r>
            <w:r>
              <w:rPr>
                <w:spacing w:val="-3"/>
                <w:sz w:val="20"/>
              </w:rPr>
              <w:t xml:space="preserve"> </w:t>
            </w:r>
            <w:r>
              <w:rPr>
                <w:sz w:val="20"/>
              </w:rPr>
              <w:t>lives</w:t>
            </w:r>
            <w:r>
              <w:rPr>
                <w:spacing w:val="-4"/>
                <w:sz w:val="20"/>
              </w:rPr>
              <w:t xml:space="preserve"> </w:t>
            </w:r>
            <w:r>
              <w:rPr>
                <w:sz w:val="20"/>
              </w:rPr>
              <w:t>in</w:t>
            </w:r>
            <w:r>
              <w:rPr>
                <w:spacing w:val="-2"/>
                <w:sz w:val="20"/>
              </w:rPr>
              <w:t xml:space="preserve"> </w:t>
            </w:r>
            <w:r>
              <w:rPr>
                <w:sz w:val="20"/>
              </w:rPr>
              <w:t>prisons,</w:t>
            </w:r>
            <w:r>
              <w:rPr>
                <w:spacing w:val="-2"/>
                <w:sz w:val="20"/>
              </w:rPr>
              <w:t xml:space="preserve"> </w:t>
            </w:r>
            <w:r>
              <w:rPr>
                <w:sz w:val="20"/>
              </w:rPr>
              <w:t>we</w:t>
            </w:r>
            <w:r>
              <w:rPr>
                <w:spacing w:val="-1"/>
                <w:sz w:val="20"/>
              </w:rPr>
              <w:t xml:space="preserve"> </w:t>
            </w:r>
            <w:r>
              <w:rPr>
                <w:sz w:val="20"/>
              </w:rPr>
              <w:t>found</w:t>
            </w:r>
            <w:r>
              <w:rPr>
                <w:spacing w:val="-2"/>
                <w:sz w:val="20"/>
              </w:rPr>
              <w:t xml:space="preserve"> </w:t>
            </w:r>
            <w:r>
              <w:rPr>
                <w:sz w:val="20"/>
              </w:rPr>
              <w:t>that</w:t>
            </w:r>
            <w:r>
              <w:rPr>
                <w:spacing w:val="-3"/>
                <w:sz w:val="20"/>
              </w:rPr>
              <w:t xml:space="preserve"> </w:t>
            </w:r>
            <w:r>
              <w:rPr>
                <w:sz w:val="20"/>
              </w:rPr>
              <w:t>as</w:t>
            </w:r>
            <w:r>
              <w:rPr>
                <w:spacing w:val="-4"/>
                <w:sz w:val="20"/>
              </w:rPr>
              <w:t xml:space="preserve"> </w:t>
            </w:r>
            <w:r>
              <w:rPr>
                <w:sz w:val="20"/>
              </w:rPr>
              <w:t>these</w:t>
            </w:r>
            <w:r>
              <w:rPr>
                <w:spacing w:val="-4"/>
                <w:sz w:val="20"/>
              </w:rPr>
              <w:t xml:space="preserve"> </w:t>
            </w:r>
            <w:r>
              <w:rPr>
                <w:sz w:val="20"/>
              </w:rPr>
              <w:t>men</w:t>
            </w:r>
            <w:r>
              <w:rPr>
                <w:spacing w:val="-2"/>
                <w:sz w:val="20"/>
              </w:rPr>
              <w:t xml:space="preserve"> </w:t>
            </w:r>
            <w:r>
              <w:rPr>
                <w:sz w:val="20"/>
              </w:rPr>
              <w:t>aged,</w:t>
            </w:r>
            <w:r>
              <w:rPr>
                <w:spacing w:val="-3"/>
                <w:sz w:val="20"/>
              </w:rPr>
              <w:t xml:space="preserve"> </w:t>
            </w:r>
            <w:r>
              <w:rPr>
                <w:sz w:val="20"/>
              </w:rPr>
              <w:t>they</w:t>
            </w:r>
            <w:r>
              <w:rPr>
                <w:spacing w:val="-2"/>
                <w:sz w:val="20"/>
              </w:rPr>
              <w:t xml:space="preserve"> </w:t>
            </w:r>
            <w:r>
              <w:rPr>
                <w:sz w:val="20"/>
              </w:rPr>
              <w:t>seemed</w:t>
            </w:r>
            <w:r>
              <w:rPr>
                <w:spacing w:val="-2"/>
                <w:sz w:val="20"/>
              </w:rPr>
              <w:t xml:space="preserve"> </w:t>
            </w:r>
            <w:r>
              <w:rPr>
                <w:sz w:val="20"/>
              </w:rPr>
              <w:t>to</w:t>
            </w:r>
            <w:r>
              <w:rPr>
                <w:spacing w:val="-3"/>
                <w:sz w:val="20"/>
              </w:rPr>
              <w:t xml:space="preserve"> </w:t>
            </w:r>
            <w:r>
              <w:rPr>
                <w:sz w:val="20"/>
              </w:rPr>
              <w:t>tire</w:t>
            </w:r>
            <w:r>
              <w:rPr>
                <w:spacing w:val="-4"/>
                <w:sz w:val="20"/>
              </w:rPr>
              <w:t xml:space="preserve"> </w:t>
            </w:r>
            <w:r>
              <w:rPr>
                <w:sz w:val="20"/>
              </w:rPr>
              <w:t>of criminal</w:t>
            </w:r>
            <w:r>
              <w:rPr>
                <w:spacing w:val="-2"/>
                <w:sz w:val="20"/>
              </w:rPr>
              <w:t xml:space="preserve"> </w:t>
            </w:r>
            <w:r>
              <w:rPr>
                <w:sz w:val="20"/>
              </w:rPr>
              <w:t>life.</w:t>
            </w:r>
            <w:r>
              <w:rPr>
                <w:spacing w:val="-2"/>
                <w:sz w:val="20"/>
              </w:rPr>
              <w:t xml:space="preserve"> </w:t>
            </w:r>
            <w:r>
              <w:rPr>
                <w:sz w:val="20"/>
              </w:rPr>
              <w:t>In</w:t>
            </w:r>
            <w:r>
              <w:rPr>
                <w:spacing w:val="-1"/>
                <w:sz w:val="20"/>
              </w:rPr>
              <w:t xml:space="preserve"> </w:t>
            </w:r>
            <w:r>
              <w:rPr>
                <w:sz w:val="20"/>
              </w:rPr>
              <w:t>counseling,</w:t>
            </w:r>
            <w:r>
              <w:rPr>
                <w:spacing w:val="-1"/>
                <w:sz w:val="20"/>
              </w:rPr>
              <w:t xml:space="preserve"> </w:t>
            </w:r>
            <w:r>
              <w:rPr>
                <w:sz w:val="20"/>
              </w:rPr>
              <w:t>some</w:t>
            </w:r>
            <w:r>
              <w:rPr>
                <w:spacing w:val="-3"/>
                <w:sz w:val="20"/>
              </w:rPr>
              <w:t xml:space="preserve"> </w:t>
            </w:r>
            <w:r>
              <w:rPr>
                <w:sz w:val="20"/>
              </w:rPr>
              <w:t>expressed</w:t>
            </w:r>
            <w:r>
              <w:rPr>
                <w:spacing w:val="-1"/>
                <w:sz w:val="20"/>
              </w:rPr>
              <w:t xml:space="preserve"> </w:t>
            </w:r>
            <w:r>
              <w:rPr>
                <w:sz w:val="20"/>
              </w:rPr>
              <w:t>concerns</w:t>
            </w:r>
            <w:r>
              <w:rPr>
                <w:spacing w:val="-3"/>
                <w:sz w:val="20"/>
              </w:rPr>
              <w:t xml:space="preserve"> </w:t>
            </w:r>
            <w:r>
              <w:rPr>
                <w:sz w:val="20"/>
              </w:rPr>
              <w:t>about</w:t>
            </w:r>
            <w:r>
              <w:rPr>
                <w:spacing w:val="-2"/>
                <w:sz w:val="20"/>
              </w:rPr>
              <w:t xml:space="preserve"> </w:t>
            </w:r>
            <w:r>
              <w:rPr>
                <w:sz w:val="20"/>
              </w:rPr>
              <w:t>losing</w:t>
            </w:r>
            <w:r>
              <w:rPr>
                <w:spacing w:val="-2"/>
                <w:sz w:val="20"/>
              </w:rPr>
              <w:t xml:space="preserve"> </w:t>
            </w:r>
            <w:r>
              <w:rPr>
                <w:sz w:val="20"/>
              </w:rPr>
              <w:t>touch</w:t>
            </w:r>
            <w:r>
              <w:rPr>
                <w:spacing w:val="-1"/>
                <w:sz w:val="20"/>
              </w:rPr>
              <w:t xml:space="preserve"> </w:t>
            </w:r>
            <w:r>
              <w:rPr>
                <w:sz w:val="20"/>
              </w:rPr>
              <w:t>with</w:t>
            </w:r>
            <w:r>
              <w:rPr>
                <w:spacing w:val="-1"/>
                <w:sz w:val="20"/>
              </w:rPr>
              <w:t xml:space="preserve"> </w:t>
            </w:r>
            <w:r>
              <w:rPr>
                <w:sz w:val="20"/>
              </w:rPr>
              <w:t>their</w:t>
            </w:r>
            <w:r>
              <w:rPr>
                <w:spacing w:val="-2"/>
                <w:sz w:val="20"/>
              </w:rPr>
              <w:t xml:space="preserve"> </w:t>
            </w:r>
            <w:r>
              <w:rPr>
                <w:sz w:val="20"/>
              </w:rPr>
              <w:t>families</w:t>
            </w:r>
            <w:r>
              <w:rPr>
                <w:spacing w:val="-3"/>
                <w:sz w:val="20"/>
              </w:rPr>
              <w:t xml:space="preserve"> </w:t>
            </w:r>
            <w:r>
              <w:rPr>
                <w:sz w:val="20"/>
              </w:rPr>
              <w:t>and</w:t>
            </w:r>
            <w:r>
              <w:rPr>
                <w:spacing w:val="-1"/>
                <w:sz w:val="20"/>
              </w:rPr>
              <w:t xml:space="preserve"> </w:t>
            </w:r>
            <w:r>
              <w:rPr>
                <w:sz w:val="20"/>
              </w:rPr>
              <w:t>culture,</w:t>
            </w:r>
            <w:r>
              <w:rPr>
                <w:spacing w:val="-1"/>
                <w:sz w:val="20"/>
              </w:rPr>
              <w:t xml:space="preserve"> </w:t>
            </w:r>
            <w:r>
              <w:rPr>
                <w:sz w:val="20"/>
              </w:rPr>
              <w:t>and many</w:t>
            </w:r>
            <w:r>
              <w:rPr>
                <w:spacing w:val="-2"/>
                <w:sz w:val="20"/>
              </w:rPr>
              <w:t xml:space="preserve"> </w:t>
            </w:r>
            <w:r>
              <w:rPr>
                <w:sz w:val="20"/>
              </w:rPr>
              <w:t>reported</w:t>
            </w:r>
            <w:r>
              <w:rPr>
                <w:spacing w:val="-3"/>
                <w:sz w:val="20"/>
              </w:rPr>
              <w:t xml:space="preserve"> </w:t>
            </w:r>
            <w:r>
              <w:rPr>
                <w:sz w:val="20"/>
              </w:rPr>
              <w:t>a</w:t>
            </w:r>
            <w:r>
              <w:rPr>
                <w:spacing w:val="-3"/>
                <w:sz w:val="20"/>
              </w:rPr>
              <w:t xml:space="preserve"> </w:t>
            </w:r>
            <w:r>
              <w:rPr>
                <w:sz w:val="20"/>
              </w:rPr>
              <w:t>desire</w:t>
            </w:r>
            <w:r>
              <w:rPr>
                <w:spacing w:val="-4"/>
                <w:sz w:val="20"/>
              </w:rPr>
              <w:t xml:space="preserve"> </w:t>
            </w:r>
            <w:r>
              <w:rPr>
                <w:sz w:val="20"/>
              </w:rPr>
              <w:t>to serve</w:t>
            </w:r>
            <w:r>
              <w:rPr>
                <w:spacing w:val="-4"/>
                <w:sz w:val="20"/>
              </w:rPr>
              <w:t xml:space="preserve"> </w:t>
            </w:r>
            <w:r>
              <w:rPr>
                <w:sz w:val="20"/>
              </w:rPr>
              <w:t>as</w:t>
            </w:r>
            <w:r>
              <w:rPr>
                <w:spacing w:val="-2"/>
                <w:sz w:val="20"/>
              </w:rPr>
              <w:t xml:space="preserve"> </w:t>
            </w:r>
            <w:r>
              <w:rPr>
                <w:sz w:val="20"/>
              </w:rPr>
              <w:t>male</w:t>
            </w:r>
            <w:r>
              <w:rPr>
                <w:spacing w:val="-4"/>
                <w:sz w:val="20"/>
              </w:rPr>
              <w:t xml:space="preserve"> </w:t>
            </w:r>
            <w:r>
              <w:rPr>
                <w:sz w:val="20"/>
              </w:rPr>
              <w:t>role</w:t>
            </w:r>
            <w:r>
              <w:rPr>
                <w:spacing w:val="-4"/>
                <w:sz w:val="20"/>
              </w:rPr>
              <w:t xml:space="preserve"> </w:t>
            </w:r>
            <w:r>
              <w:rPr>
                <w:sz w:val="20"/>
              </w:rPr>
              <w:t>models</w:t>
            </w:r>
            <w:r>
              <w:rPr>
                <w:spacing w:val="-4"/>
                <w:sz w:val="20"/>
              </w:rPr>
              <w:t xml:space="preserve"> </w:t>
            </w:r>
            <w:r>
              <w:rPr>
                <w:sz w:val="20"/>
              </w:rPr>
              <w:t>for</w:t>
            </w:r>
            <w:r>
              <w:rPr>
                <w:spacing w:val="-3"/>
                <w:sz w:val="20"/>
              </w:rPr>
              <w:t xml:space="preserve"> </w:t>
            </w:r>
            <w:r>
              <w:rPr>
                <w:sz w:val="20"/>
              </w:rPr>
              <w:t>their</w:t>
            </w:r>
            <w:r>
              <w:rPr>
                <w:spacing w:val="-3"/>
                <w:sz w:val="20"/>
              </w:rPr>
              <w:t xml:space="preserve"> </w:t>
            </w:r>
            <w:r>
              <w:rPr>
                <w:sz w:val="20"/>
              </w:rPr>
              <w:t>sons</w:t>
            </w:r>
            <w:r>
              <w:rPr>
                <w:spacing w:val="-4"/>
                <w:sz w:val="20"/>
              </w:rPr>
              <w:t xml:space="preserve"> </w:t>
            </w:r>
            <w:r>
              <w:rPr>
                <w:sz w:val="20"/>
              </w:rPr>
              <w:t>and</w:t>
            </w:r>
            <w:r>
              <w:rPr>
                <w:spacing w:val="-2"/>
                <w:sz w:val="20"/>
              </w:rPr>
              <w:t xml:space="preserve"> </w:t>
            </w:r>
            <w:r>
              <w:rPr>
                <w:sz w:val="20"/>
              </w:rPr>
              <w:t>nephews.</w:t>
            </w:r>
            <w:r>
              <w:rPr>
                <w:spacing w:val="-1"/>
                <w:sz w:val="20"/>
              </w:rPr>
              <w:t xml:space="preserve"> </w:t>
            </w:r>
            <w:r>
              <w:rPr>
                <w:sz w:val="20"/>
              </w:rPr>
              <w:t>They</w:t>
            </w:r>
            <w:r>
              <w:rPr>
                <w:spacing w:val="-2"/>
                <w:sz w:val="20"/>
              </w:rPr>
              <w:t xml:space="preserve"> </w:t>
            </w:r>
            <w:r>
              <w:rPr>
                <w:sz w:val="20"/>
              </w:rPr>
              <w:t>all</w:t>
            </w:r>
            <w:r>
              <w:rPr>
                <w:spacing w:val="-3"/>
                <w:sz w:val="20"/>
              </w:rPr>
              <w:t xml:space="preserve"> </w:t>
            </w:r>
            <w:r>
              <w:rPr>
                <w:sz w:val="20"/>
              </w:rPr>
              <w:t>wanted</w:t>
            </w:r>
            <w:r>
              <w:rPr>
                <w:spacing w:val="-2"/>
                <w:sz w:val="20"/>
              </w:rPr>
              <w:t xml:space="preserve"> </w:t>
            </w:r>
            <w:r>
              <w:rPr>
                <w:sz w:val="20"/>
              </w:rPr>
              <w:t>to</w:t>
            </w:r>
            <w:r>
              <w:rPr>
                <w:spacing w:val="-3"/>
                <w:sz w:val="20"/>
              </w:rPr>
              <w:t xml:space="preserve"> </w:t>
            </w:r>
            <w:r>
              <w:rPr>
                <w:sz w:val="20"/>
              </w:rPr>
              <w:t xml:space="preserve">restore their own sense of pride and self-worth in the small community where many of their families had lived for </w:t>
            </w:r>
            <w:r>
              <w:rPr>
                <w:spacing w:val="-2"/>
                <w:sz w:val="20"/>
              </w:rPr>
              <w:t>generations.</w:t>
            </w:r>
          </w:p>
          <w:p w14:paraId="015BE267" w14:textId="77777777" w:rsidR="00DB6E1F" w:rsidRDefault="00F666A6">
            <w:pPr>
              <w:pStyle w:val="TableParagraph"/>
              <w:spacing w:before="119"/>
              <w:ind w:right="117"/>
              <w:rPr>
                <w:sz w:val="20"/>
              </w:rPr>
            </w:pPr>
            <w:r>
              <w:rPr>
                <w:sz w:val="20"/>
              </w:rPr>
              <w:t>Newly</w:t>
            </w:r>
            <w:r>
              <w:rPr>
                <w:spacing w:val="-2"/>
                <w:sz w:val="20"/>
              </w:rPr>
              <w:t xml:space="preserve"> </w:t>
            </w:r>
            <w:r>
              <w:rPr>
                <w:sz w:val="20"/>
              </w:rPr>
              <w:t>trained</w:t>
            </w:r>
            <w:r>
              <w:rPr>
                <w:spacing w:val="-2"/>
                <w:sz w:val="20"/>
              </w:rPr>
              <w:t xml:space="preserve"> </w:t>
            </w:r>
            <w:r>
              <w:rPr>
                <w:sz w:val="20"/>
              </w:rPr>
              <w:t>in</w:t>
            </w:r>
            <w:r>
              <w:rPr>
                <w:spacing w:val="-2"/>
                <w:sz w:val="20"/>
              </w:rPr>
              <w:t xml:space="preserve"> </w:t>
            </w:r>
            <w:r>
              <w:rPr>
                <w:sz w:val="20"/>
              </w:rPr>
              <w:t>MI,</w:t>
            </w:r>
            <w:r>
              <w:rPr>
                <w:spacing w:val="-2"/>
                <w:sz w:val="20"/>
              </w:rPr>
              <w:t xml:space="preserve"> </w:t>
            </w:r>
            <w:r>
              <w:rPr>
                <w:sz w:val="20"/>
              </w:rPr>
              <w:t>we</w:t>
            </w:r>
            <w:r>
              <w:rPr>
                <w:spacing w:val="-4"/>
                <w:sz w:val="20"/>
              </w:rPr>
              <w:t xml:space="preserve"> </w:t>
            </w:r>
            <w:r>
              <w:rPr>
                <w:sz w:val="20"/>
              </w:rPr>
              <w:t>recognized</w:t>
            </w:r>
            <w:r>
              <w:rPr>
                <w:spacing w:val="-2"/>
                <w:sz w:val="20"/>
              </w:rPr>
              <w:t xml:space="preserve"> </w:t>
            </w:r>
            <w:r>
              <w:rPr>
                <w:sz w:val="20"/>
              </w:rPr>
              <w:t>a</w:t>
            </w:r>
            <w:r>
              <w:rPr>
                <w:spacing w:val="-2"/>
                <w:sz w:val="20"/>
              </w:rPr>
              <w:t xml:space="preserve"> </w:t>
            </w:r>
            <w:r>
              <w:rPr>
                <w:sz w:val="20"/>
              </w:rPr>
              <w:t>large,</w:t>
            </w:r>
            <w:r>
              <w:rPr>
                <w:spacing w:val="-2"/>
                <w:sz w:val="20"/>
              </w:rPr>
              <w:t xml:space="preserve"> </w:t>
            </w:r>
            <w:r>
              <w:rPr>
                <w:sz w:val="20"/>
              </w:rPr>
              <w:t>untapped</w:t>
            </w:r>
            <w:r>
              <w:rPr>
                <w:spacing w:val="-2"/>
                <w:sz w:val="20"/>
              </w:rPr>
              <w:t xml:space="preserve"> </w:t>
            </w:r>
            <w:r>
              <w:rPr>
                <w:sz w:val="20"/>
              </w:rPr>
              <w:t>source</w:t>
            </w:r>
            <w:r>
              <w:rPr>
                <w:spacing w:val="-4"/>
                <w:sz w:val="20"/>
              </w:rPr>
              <w:t xml:space="preserve"> </w:t>
            </w:r>
            <w:r>
              <w:rPr>
                <w:sz w:val="20"/>
              </w:rPr>
              <w:t>of</w:t>
            </w:r>
            <w:r>
              <w:rPr>
                <w:spacing w:val="-4"/>
                <w:sz w:val="20"/>
              </w:rPr>
              <w:t xml:space="preserve"> </w:t>
            </w:r>
            <w:r>
              <w:rPr>
                <w:sz w:val="20"/>
              </w:rPr>
              <w:t>self-motivation</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population</w:t>
            </w:r>
            <w:r>
              <w:rPr>
                <w:spacing w:val="-2"/>
                <w:sz w:val="20"/>
              </w:rPr>
              <w:t xml:space="preserve"> </w:t>
            </w:r>
            <w:r>
              <w:rPr>
                <w:sz w:val="20"/>
              </w:rPr>
              <w:t>that</w:t>
            </w:r>
            <w:r>
              <w:rPr>
                <w:spacing w:val="-3"/>
                <w:sz w:val="20"/>
              </w:rPr>
              <w:t xml:space="preserve"> </w:t>
            </w:r>
            <w:r>
              <w:rPr>
                <w:sz w:val="20"/>
              </w:rPr>
              <w:t>we</w:t>
            </w:r>
            <w:r>
              <w:rPr>
                <w:spacing w:val="-4"/>
                <w:sz w:val="20"/>
              </w:rPr>
              <w:t xml:space="preserve"> </w:t>
            </w:r>
            <w:r>
              <w:rPr>
                <w:sz w:val="20"/>
              </w:rPr>
              <w:t>had</w:t>
            </w:r>
            <w:r>
              <w:rPr>
                <w:spacing w:val="-2"/>
                <w:sz w:val="20"/>
              </w:rPr>
              <w:t xml:space="preserve"> </w:t>
            </w:r>
            <w:r>
              <w:rPr>
                <w:sz w:val="20"/>
              </w:rPr>
              <w:t>long before decided did not want help. We had to change our previous beliefs about this population as not wanting treatment to seeing these men as requesting help and support to maintain themselves outside the prison system and in the community.</w:t>
            </w:r>
          </w:p>
          <w:p w14:paraId="3D093627" w14:textId="77777777" w:rsidR="00DB6E1F" w:rsidRDefault="00F666A6">
            <w:pPr>
              <w:pStyle w:val="TableParagraph"/>
              <w:spacing w:before="123"/>
              <w:rPr>
                <w:i/>
                <w:sz w:val="20"/>
              </w:rPr>
            </w:pPr>
            <w:r>
              <w:rPr>
                <w:i/>
                <w:sz w:val="20"/>
              </w:rPr>
              <w:t>Carole</w:t>
            </w:r>
            <w:r>
              <w:rPr>
                <w:i/>
                <w:spacing w:val="-7"/>
                <w:sz w:val="20"/>
              </w:rPr>
              <w:t xml:space="preserve"> </w:t>
            </w:r>
            <w:r>
              <w:rPr>
                <w:i/>
                <w:sz w:val="20"/>
              </w:rPr>
              <w:t>Jan</w:t>
            </w:r>
            <w:r>
              <w:rPr>
                <w:i/>
                <w:sz w:val="20"/>
              </w:rPr>
              <w:t>is</w:t>
            </w:r>
            <w:r>
              <w:rPr>
                <w:i/>
                <w:spacing w:val="-6"/>
                <w:sz w:val="20"/>
              </w:rPr>
              <w:t xml:space="preserve"> </w:t>
            </w:r>
            <w:r>
              <w:rPr>
                <w:i/>
                <w:sz w:val="20"/>
              </w:rPr>
              <w:t>Otero,</w:t>
            </w:r>
            <w:r>
              <w:rPr>
                <w:i/>
                <w:spacing w:val="-7"/>
                <w:sz w:val="20"/>
              </w:rPr>
              <w:t xml:space="preserve"> </w:t>
            </w:r>
            <w:r>
              <w:rPr>
                <w:i/>
                <w:sz w:val="20"/>
              </w:rPr>
              <w:t>M.A.,</w:t>
            </w:r>
            <w:r>
              <w:rPr>
                <w:i/>
                <w:spacing w:val="-6"/>
                <w:sz w:val="20"/>
              </w:rPr>
              <w:t xml:space="preserve"> </w:t>
            </w:r>
            <w:r>
              <w:rPr>
                <w:i/>
                <w:sz w:val="20"/>
              </w:rPr>
              <w:t>Consensus</w:t>
            </w:r>
            <w:r>
              <w:rPr>
                <w:i/>
                <w:spacing w:val="-8"/>
                <w:sz w:val="20"/>
              </w:rPr>
              <w:t xml:space="preserve"> </w:t>
            </w:r>
            <w:r>
              <w:rPr>
                <w:i/>
                <w:sz w:val="20"/>
              </w:rPr>
              <w:t>Panel</w:t>
            </w:r>
            <w:r>
              <w:rPr>
                <w:i/>
                <w:spacing w:val="-7"/>
                <w:sz w:val="20"/>
              </w:rPr>
              <w:t xml:space="preserve"> </w:t>
            </w:r>
            <w:r>
              <w:rPr>
                <w:i/>
                <w:spacing w:val="-2"/>
                <w:sz w:val="20"/>
              </w:rPr>
              <w:t>Member</w:t>
            </w:r>
          </w:p>
        </w:tc>
      </w:tr>
    </w:tbl>
    <w:p w14:paraId="37243EFB" w14:textId="77777777" w:rsidR="00DB6E1F" w:rsidRDefault="00F666A6">
      <w:pPr>
        <w:spacing w:before="158"/>
        <w:ind w:left="1440" w:right="1491"/>
      </w:pPr>
      <w:r>
        <w:rPr>
          <w:b/>
        </w:rPr>
        <w:t>Helping clients shift from extrinsic to intrinsic motivation helps them move from contemplating change</w:t>
      </w:r>
      <w:r>
        <w:rPr>
          <w:b/>
          <w:spacing w:val="-2"/>
        </w:rPr>
        <w:t xml:space="preserve"> </w:t>
      </w:r>
      <w:r>
        <w:rPr>
          <w:b/>
        </w:rPr>
        <w:t>to</w:t>
      </w:r>
      <w:r>
        <w:rPr>
          <w:b/>
          <w:spacing w:val="-3"/>
        </w:rPr>
        <w:t xml:space="preserve"> </w:t>
      </w:r>
      <w:r>
        <w:rPr>
          <w:b/>
        </w:rPr>
        <w:t>deciding</w:t>
      </w:r>
      <w:r>
        <w:rPr>
          <w:b/>
          <w:spacing w:val="-4"/>
        </w:rPr>
        <w:t xml:space="preserve"> </w:t>
      </w:r>
      <w:r>
        <w:rPr>
          <w:b/>
        </w:rPr>
        <w:t>to</w:t>
      </w:r>
      <w:r>
        <w:rPr>
          <w:b/>
          <w:spacing w:val="-3"/>
        </w:rPr>
        <w:t xml:space="preserve"> </w:t>
      </w:r>
      <w:r>
        <w:rPr>
          <w:b/>
        </w:rPr>
        <w:t>act.</w:t>
      </w:r>
      <w:r>
        <w:rPr>
          <w:b/>
          <w:spacing w:val="-3"/>
        </w:rPr>
        <w:t xml:space="preserve"> </w:t>
      </w:r>
      <w:r>
        <w:t>Start</w:t>
      </w:r>
      <w:r>
        <w:rPr>
          <w:spacing w:val="-1"/>
        </w:rPr>
        <w:t xml:space="preserve"> </w:t>
      </w:r>
      <w:r>
        <w:t>with</w:t>
      </w:r>
      <w:r>
        <w:rPr>
          <w:spacing w:val="-3"/>
        </w:rPr>
        <w:t xml:space="preserve"> </w:t>
      </w:r>
      <w:r>
        <w:t>clients’</w:t>
      </w:r>
      <w:r>
        <w:rPr>
          <w:spacing w:val="-2"/>
        </w:rPr>
        <w:t xml:space="preserve"> </w:t>
      </w:r>
      <w:r>
        <w:t>current</w:t>
      </w:r>
      <w:r>
        <w:rPr>
          <w:spacing w:val="-1"/>
        </w:rPr>
        <w:t xml:space="preserve"> </w:t>
      </w:r>
      <w:r>
        <w:t>situations,</w:t>
      </w:r>
      <w:r>
        <w:rPr>
          <w:spacing w:val="-4"/>
        </w:rPr>
        <w:t xml:space="preserve"> </w:t>
      </w:r>
      <w:r>
        <w:t>and</w:t>
      </w:r>
      <w:r>
        <w:rPr>
          <w:spacing w:val="-3"/>
        </w:rPr>
        <w:t xml:space="preserve"> </w:t>
      </w:r>
      <w:r>
        <w:t>find</w:t>
      </w:r>
      <w:r>
        <w:rPr>
          <w:spacing w:val="-3"/>
        </w:rPr>
        <w:t xml:space="preserve"> </w:t>
      </w:r>
      <w:r>
        <w:t>a</w:t>
      </w:r>
      <w:r>
        <w:rPr>
          <w:spacing w:val="-2"/>
        </w:rPr>
        <w:t xml:space="preserve"> </w:t>
      </w:r>
      <w:r>
        <w:t>natural</w:t>
      </w:r>
      <w:r>
        <w:rPr>
          <w:spacing w:val="-2"/>
        </w:rPr>
        <w:t xml:space="preserve"> </w:t>
      </w:r>
      <w:r>
        <w:t>link</w:t>
      </w:r>
      <w:r>
        <w:rPr>
          <w:spacing w:val="-1"/>
        </w:rPr>
        <w:t xml:space="preserve"> </w:t>
      </w:r>
      <w:r>
        <w:t>between</w:t>
      </w:r>
      <w:r>
        <w:rPr>
          <w:spacing w:val="-5"/>
        </w:rPr>
        <w:t xml:space="preserve"> </w:t>
      </w:r>
      <w:r>
        <w:t>existing</w:t>
      </w:r>
    </w:p>
    <w:p w14:paraId="0490EE0A" w14:textId="77777777" w:rsidR="00DB6E1F" w:rsidRDefault="00DB6E1F">
      <w:pPr>
        <w:sectPr w:rsidR="00DB6E1F">
          <w:pgSz w:w="12240" w:h="15840"/>
          <w:pgMar w:top="1200" w:right="0" w:bottom="780" w:left="0" w:header="763" w:footer="585" w:gutter="0"/>
          <w:cols w:space="720"/>
        </w:sectPr>
      </w:pPr>
    </w:p>
    <w:p w14:paraId="4708BAB7" w14:textId="77777777" w:rsidR="00DB6E1F" w:rsidRDefault="00DB6E1F">
      <w:pPr>
        <w:pStyle w:val="BodyText"/>
        <w:spacing w:before="8"/>
        <w:rPr>
          <w:sz w:val="14"/>
        </w:rPr>
      </w:pPr>
    </w:p>
    <w:p w14:paraId="34EFEA74" w14:textId="77777777" w:rsidR="00DB6E1F" w:rsidRDefault="00F666A6">
      <w:pPr>
        <w:pStyle w:val="BodyText"/>
        <w:spacing w:before="56"/>
        <w:ind w:left="1440" w:right="1491" w:hanging="1"/>
      </w:pPr>
      <w:r>
        <w:t>external</w:t>
      </w:r>
      <w:r>
        <w:rPr>
          <w:spacing w:val="-4"/>
        </w:rPr>
        <w:t xml:space="preserve"> </w:t>
      </w:r>
      <w:r>
        <w:t>motivators</w:t>
      </w:r>
      <w:r>
        <w:rPr>
          <w:spacing w:val="-1"/>
        </w:rPr>
        <w:t xml:space="preserve"> </w:t>
      </w:r>
      <w:r>
        <w:t>and</w:t>
      </w:r>
      <w:r>
        <w:rPr>
          <w:spacing w:val="-2"/>
        </w:rPr>
        <w:t xml:space="preserve"> </w:t>
      </w:r>
      <w:r>
        <w:t>intrinsic</w:t>
      </w:r>
      <w:r>
        <w:rPr>
          <w:spacing w:val="-1"/>
        </w:rPr>
        <w:t xml:space="preserve"> </w:t>
      </w:r>
      <w:r>
        <w:t>ones</w:t>
      </w:r>
      <w:r>
        <w:rPr>
          <w:spacing w:val="-4"/>
        </w:rPr>
        <w:t xml:space="preserve"> </w:t>
      </w:r>
      <w:r>
        <w:t>that</w:t>
      </w:r>
      <w:r>
        <w:rPr>
          <w:spacing w:val="-2"/>
        </w:rPr>
        <w:t xml:space="preserve"> </w:t>
      </w:r>
      <w:r>
        <w:t>they</w:t>
      </w:r>
      <w:r>
        <w:rPr>
          <w:spacing w:val="-2"/>
        </w:rPr>
        <w:t xml:space="preserve"> </w:t>
      </w:r>
      <w:r>
        <w:t>may not be</w:t>
      </w:r>
      <w:r>
        <w:rPr>
          <w:spacing w:val="-3"/>
        </w:rPr>
        <w:t xml:space="preserve"> </w:t>
      </w:r>
      <w:r>
        <w:t>aware</w:t>
      </w:r>
      <w:r>
        <w:rPr>
          <w:spacing w:val="-3"/>
        </w:rPr>
        <w:t xml:space="preserve"> </w:t>
      </w:r>
      <w:r>
        <w:t>of</w:t>
      </w:r>
      <w:r>
        <w:rPr>
          <w:spacing w:val="-3"/>
        </w:rPr>
        <w:t xml:space="preserve"> </w:t>
      </w:r>
      <w:r>
        <w:t>or</w:t>
      </w:r>
      <w:r>
        <w:rPr>
          <w:spacing w:val="-1"/>
        </w:rPr>
        <w:t xml:space="preserve"> </w:t>
      </w:r>
      <w:r>
        <w:t>find</w:t>
      </w:r>
      <w:r>
        <w:rPr>
          <w:spacing w:val="-2"/>
        </w:rPr>
        <w:t xml:space="preserve"> </w:t>
      </w:r>
      <w:r>
        <w:t>easy</w:t>
      </w:r>
      <w:r>
        <w:rPr>
          <w:spacing w:val="-2"/>
        </w:rPr>
        <w:t xml:space="preserve"> </w:t>
      </w:r>
      <w:r>
        <w:t>to describe.</w:t>
      </w:r>
      <w:r>
        <w:rPr>
          <w:spacing w:val="-4"/>
        </w:rPr>
        <w:t xml:space="preserve"> </w:t>
      </w:r>
      <w:r>
        <w:t>Through compassionate and respectful exploration, you may discover untapped intrinsic motivation.</w:t>
      </w:r>
    </w:p>
    <w:p w14:paraId="73023429" w14:textId="77777777" w:rsidR="00DB6E1F" w:rsidRDefault="00F666A6">
      <w:pPr>
        <w:pStyle w:val="Heading5"/>
        <w:ind w:right="1491"/>
      </w:pPr>
      <w:r>
        <w:t>Along</w:t>
      </w:r>
      <w:r>
        <w:rPr>
          <w:spacing w:val="-4"/>
        </w:rPr>
        <w:t xml:space="preserve"> </w:t>
      </w:r>
      <w:r>
        <w:t>with</w:t>
      </w:r>
      <w:r>
        <w:rPr>
          <w:spacing w:val="-2"/>
        </w:rPr>
        <w:t xml:space="preserve"> </w:t>
      </w:r>
      <w:r>
        <w:t>MI</w:t>
      </w:r>
      <w:r>
        <w:rPr>
          <w:spacing w:val="-3"/>
        </w:rPr>
        <w:t xml:space="preserve"> </w:t>
      </w:r>
      <w:r>
        <w:t>techniques</w:t>
      </w:r>
      <w:r>
        <w:rPr>
          <w:spacing w:val="-4"/>
        </w:rPr>
        <w:t xml:space="preserve"> </w:t>
      </w:r>
      <w:r>
        <w:t>presented</w:t>
      </w:r>
      <w:r>
        <w:rPr>
          <w:spacing w:val="-3"/>
        </w:rPr>
        <w:t xml:space="preserve"> </w:t>
      </w:r>
      <w:r>
        <w:t>in</w:t>
      </w:r>
      <w:r>
        <w:rPr>
          <w:spacing w:val="-3"/>
        </w:rPr>
        <w:t xml:space="preserve"> </w:t>
      </w:r>
      <w:r>
        <w:t>Chapter</w:t>
      </w:r>
      <w:r>
        <w:rPr>
          <w:spacing w:val="-4"/>
        </w:rPr>
        <w:t xml:space="preserve"> </w:t>
      </w:r>
      <w:r>
        <w:t>3,</w:t>
      </w:r>
      <w:r>
        <w:rPr>
          <w:spacing w:val="-4"/>
        </w:rPr>
        <w:t xml:space="preserve"> </w:t>
      </w:r>
      <w:r>
        <w:t>use</w:t>
      </w:r>
      <w:r>
        <w:rPr>
          <w:spacing w:val="-3"/>
        </w:rPr>
        <w:t xml:space="preserve"> </w:t>
      </w:r>
      <w:r>
        <w:t>these</w:t>
      </w:r>
      <w:r>
        <w:rPr>
          <w:spacing w:val="-2"/>
        </w:rPr>
        <w:t xml:space="preserve"> </w:t>
      </w:r>
      <w:r>
        <w:t>strategies</w:t>
      </w:r>
      <w:r>
        <w:rPr>
          <w:spacing w:val="-1"/>
        </w:rPr>
        <w:t xml:space="preserve"> </w:t>
      </w:r>
      <w:r>
        <w:t>to</w:t>
      </w:r>
      <w:r>
        <w:rPr>
          <w:spacing w:val="-6"/>
        </w:rPr>
        <w:t xml:space="preserve"> </w:t>
      </w:r>
      <w:r>
        <w:t>identify</w:t>
      </w:r>
      <w:r>
        <w:rPr>
          <w:spacing w:val="-1"/>
        </w:rPr>
        <w:t xml:space="preserve"> </w:t>
      </w:r>
      <w:r>
        <w:t>and</w:t>
      </w:r>
      <w:r>
        <w:rPr>
          <w:spacing w:val="-3"/>
        </w:rPr>
        <w:t xml:space="preserve"> </w:t>
      </w:r>
      <w:r>
        <w:t>strengthen intrinsic motivation:</w:t>
      </w:r>
    </w:p>
    <w:p w14:paraId="369808CC" w14:textId="77777777" w:rsidR="00DB6E1F" w:rsidRDefault="00F666A6">
      <w:pPr>
        <w:pStyle w:val="ListParagraph"/>
        <w:numPr>
          <w:ilvl w:val="0"/>
          <w:numId w:val="92"/>
        </w:numPr>
        <w:tabs>
          <w:tab w:val="left" w:pos="1800"/>
          <w:tab w:val="left" w:pos="1801"/>
        </w:tabs>
        <w:ind w:left="1799" w:right="1481" w:hanging="360"/>
        <w:rPr>
          <w:rFonts w:ascii="Symbol" w:hAnsi="Symbol"/>
        </w:rPr>
      </w:pPr>
      <w:r>
        <w:rPr>
          <w:b/>
        </w:rPr>
        <w:t>Show</w:t>
      </w:r>
      <w:r>
        <w:rPr>
          <w:b/>
          <w:spacing w:val="-1"/>
        </w:rPr>
        <w:t xml:space="preserve"> </w:t>
      </w:r>
      <w:r>
        <w:rPr>
          <w:b/>
        </w:rPr>
        <w:t>genuine</w:t>
      </w:r>
      <w:r>
        <w:rPr>
          <w:b/>
          <w:spacing w:val="-3"/>
        </w:rPr>
        <w:t xml:space="preserve"> </w:t>
      </w:r>
      <w:r>
        <w:rPr>
          <w:b/>
        </w:rPr>
        <w:t>curiosity</w:t>
      </w:r>
      <w:r>
        <w:rPr>
          <w:b/>
          <w:spacing w:val="-3"/>
        </w:rPr>
        <w:t xml:space="preserve"> </w:t>
      </w:r>
      <w:r>
        <w:rPr>
          <w:b/>
        </w:rPr>
        <w:t>about</w:t>
      </w:r>
      <w:r>
        <w:rPr>
          <w:b/>
          <w:spacing w:val="-1"/>
        </w:rPr>
        <w:t xml:space="preserve"> </w:t>
      </w:r>
      <w:r>
        <w:rPr>
          <w:b/>
        </w:rPr>
        <w:t>clients.</w:t>
      </w:r>
      <w:r>
        <w:rPr>
          <w:b/>
          <w:spacing w:val="-3"/>
        </w:rPr>
        <w:t xml:space="preserve"> </w:t>
      </w:r>
      <w:r>
        <w:t>Show</w:t>
      </w:r>
      <w:r>
        <w:rPr>
          <w:spacing w:val="-1"/>
        </w:rPr>
        <w:t xml:space="preserve"> </w:t>
      </w:r>
      <w:r>
        <w:t>interest</w:t>
      </w:r>
      <w:r>
        <w:rPr>
          <w:spacing w:val="-2"/>
        </w:rPr>
        <w:t xml:space="preserve"> </w:t>
      </w:r>
      <w:r>
        <w:t>in</w:t>
      </w:r>
      <w:r>
        <w:rPr>
          <w:spacing w:val="-2"/>
        </w:rPr>
        <w:t xml:space="preserve"> </w:t>
      </w:r>
      <w:r>
        <w:t>their</w:t>
      </w:r>
      <w:r>
        <w:rPr>
          <w:spacing w:val="-2"/>
        </w:rPr>
        <w:t xml:space="preserve"> </w:t>
      </w:r>
      <w:r>
        <w:t>lives</w:t>
      </w:r>
      <w:r>
        <w:rPr>
          <w:spacing w:val="-2"/>
        </w:rPr>
        <w:t xml:space="preserve"> </w:t>
      </w:r>
      <w:r>
        <w:t>at</w:t>
      </w:r>
      <w:r>
        <w:rPr>
          <w:spacing w:val="-1"/>
        </w:rPr>
        <w:t xml:space="preserve"> </w:t>
      </w:r>
      <w:r>
        <w:t>the</w:t>
      </w:r>
      <w:r>
        <w:rPr>
          <w:spacing w:val="-4"/>
        </w:rPr>
        <w:t xml:space="preserve"> </w:t>
      </w:r>
      <w:r>
        <w:t>first</w:t>
      </w:r>
      <w:r>
        <w:rPr>
          <w:spacing w:val="-4"/>
        </w:rPr>
        <w:t xml:space="preserve"> </w:t>
      </w:r>
      <w:r>
        <w:t>meeting</w:t>
      </w:r>
      <w:r>
        <w:rPr>
          <w:spacing w:val="-3"/>
        </w:rPr>
        <w:t xml:space="preserve"> </w:t>
      </w:r>
      <w:r>
        <w:t>and</w:t>
      </w:r>
      <w:r>
        <w:rPr>
          <w:spacing w:val="-4"/>
        </w:rPr>
        <w:t xml:space="preserve"> </w:t>
      </w:r>
      <w:r>
        <w:t>over</w:t>
      </w:r>
      <w:r>
        <w:rPr>
          <w:spacing w:val="-5"/>
        </w:rPr>
        <w:t xml:space="preserve"> </w:t>
      </w:r>
      <w:r>
        <w:t>time. Because clients’ desire to change is rarely limited to substance use, they may f</w:t>
      </w:r>
      <w:r>
        <w:t>ind it easier to talk about changing other behaviors. Most clients have concerns about several areas of their lives and wish to reconnect with their community, improve their finances, find work, or fall in love. Many are highly functional and productive in</w:t>
      </w:r>
      <w:r>
        <w:t xml:space="preserve"> some aspects of their lives and take great pride in special skills, knowledge, or other abilities they do not want to lose.</w:t>
      </w:r>
    </w:p>
    <w:p w14:paraId="0196565A" w14:textId="77777777" w:rsidR="00DB6E1F" w:rsidRDefault="00F666A6">
      <w:pPr>
        <w:pStyle w:val="ListParagraph"/>
        <w:numPr>
          <w:ilvl w:val="0"/>
          <w:numId w:val="92"/>
        </w:numPr>
        <w:tabs>
          <w:tab w:val="left" w:pos="1799"/>
          <w:tab w:val="left" w:pos="1800"/>
        </w:tabs>
        <w:spacing w:before="59"/>
        <w:ind w:left="1799" w:right="1792"/>
        <w:rPr>
          <w:rFonts w:ascii="Symbol" w:hAnsi="Symbol"/>
        </w:rPr>
      </w:pPr>
      <w:r>
        <w:rPr>
          <w:b/>
        </w:rPr>
        <w:t>Do not wait</w:t>
      </w:r>
      <w:r>
        <w:rPr>
          <w:b/>
          <w:spacing w:val="-1"/>
        </w:rPr>
        <w:t xml:space="preserve"> </w:t>
      </w:r>
      <w:r>
        <w:rPr>
          <w:b/>
        </w:rPr>
        <w:t>for</w:t>
      </w:r>
      <w:r>
        <w:rPr>
          <w:b/>
          <w:spacing w:val="-1"/>
        </w:rPr>
        <w:t xml:space="preserve"> </w:t>
      </w:r>
      <w:r>
        <w:rPr>
          <w:b/>
        </w:rPr>
        <w:t>clients to</w:t>
      </w:r>
      <w:r>
        <w:rPr>
          <w:b/>
          <w:spacing w:val="-2"/>
        </w:rPr>
        <w:t xml:space="preserve"> </w:t>
      </w:r>
      <w:r>
        <w:rPr>
          <w:b/>
        </w:rPr>
        <w:t xml:space="preserve">talk spontaneously about their substance use. </w:t>
      </w:r>
      <w:r>
        <w:t>Show interest, and ask how their substance use affects these aspects of their lives. Even with clients who do not acknowledge</w:t>
      </w:r>
      <w:r>
        <w:rPr>
          <w:spacing w:val="-2"/>
        </w:rPr>
        <w:t xml:space="preserve"> </w:t>
      </w:r>
      <w:r>
        <w:t>any</w:t>
      </w:r>
      <w:r>
        <w:rPr>
          <w:spacing w:val="-2"/>
        </w:rPr>
        <w:t xml:space="preserve"> </w:t>
      </w:r>
      <w:r>
        <w:t>problems,</w:t>
      </w:r>
      <w:r>
        <w:rPr>
          <w:spacing w:val="-3"/>
        </w:rPr>
        <w:t xml:space="preserve"> </w:t>
      </w:r>
      <w:r>
        <w:t>question</w:t>
      </w:r>
      <w:r>
        <w:rPr>
          <w:spacing w:val="-4"/>
        </w:rPr>
        <w:t xml:space="preserve"> </w:t>
      </w:r>
      <w:r>
        <w:t>them</w:t>
      </w:r>
      <w:r>
        <w:rPr>
          <w:spacing w:val="-2"/>
        </w:rPr>
        <w:t xml:space="preserve"> </w:t>
      </w:r>
      <w:r>
        <w:t>about</w:t>
      </w:r>
      <w:r>
        <w:rPr>
          <w:spacing w:val="-2"/>
        </w:rPr>
        <w:t xml:space="preserve"> </w:t>
      </w:r>
      <w:r>
        <w:t>their</w:t>
      </w:r>
      <w:r>
        <w:rPr>
          <w:spacing w:val="-3"/>
        </w:rPr>
        <w:t xml:space="preserve"> </w:t>
      </w:r>
      <w:r>
        <w:t>lives</w:t>
      </w:r>
      <w:r>
        <w:rPr>
          <w:spacing w:val="-5"/>
        </w:rPr>
        <w:t xml:space="preserve"> </w:t>
      </w:r>
      <w:r>
        <w:t>to</w:t>
      </w:r>
      <w:r>
        <w:rPr>
          <w:spacing w:val="-2"/>
        </w:rPr>
        <w:t xml:space="preserve"> </w:t>
      </w:r>
      <w:r>
        <w:t>show</w:t>
      </w:r>
      <w:r>
        <w:rPr>
          <w:spacing w:val="-2"/>
        </w:rPr>
        <w:t xml:space="preserve"> </w:t>
      </w:r>
      <w:r>
        <w:t>concern</w:t>
      </w:r>
      <w:r>
        <w:rPr>
          <w:spacing w:val="-4"/>
        </w:rPr>
        <w:t xml:space="preserve"> </w:t>
      </w:r>
      <w:r>
        <w:t>and</w:t>
      </w:r>
      <w:r>
        <w:rPr>
          <w:spacing w:val="-6"/>
        </w:rPr>
        <w:t xml:space="preserve"> </w:t>
      </w:r>
      <w:r>
        <w:t>strengthen</w:t>
      </w:r>
      <w:r>
        <w:rPr>
          <w:spacing w:val="-6"/>
        </w:rPr>
        <w:t xml:space="preserve"> </w:t>
      </w:r>
      <w:r>
        <w:t>the counseling alliance.</w:t>
      </w:r>
    </w:p>
    <w:p w14:paraId="7F7B5ECF" w14:textId="77777777" w:rsidR="00DB6E1F" w:rsidRDefault="00F666A6">
      <w:pPr>
        <w:pStyle w:val="ListParagraph"/>
        <w:numPr>
          <w:ilvl w:val="0"/>
          <w:numId w:val="92"/>
        </w:numPr>
        <w:tabs>
          <w:tab w:val="left" w:pos="1800"/>
        </w:tabs>
        <w:spacing w:before="61"/>
        <w:ind w:left="1799" w:right="1484" w:hanging="360"/>
        <w:jc w:val="both"/>
        <w:rPr>
          <w:rFonts w:ascii="Symbol" w:hAnsi="Symbol"/>
        </w:rPr>
      </w:pPr>
      <w:r>
        <w:rPr>
          <w:b/>
        </w:rPr>
        <w:t>Reframe</w:t>
      </w:r>
      <w:r>
        <w:rPr>
          <w:b/>
          <w:spacing w:val="-2"/>
        </w:rPr>
        <w:t xml:space="preserve"> </w:t>
      </w:r>
      <w:r>
        <w:rPr>
          <w:b/>
        </w:rPr>
        <w:t>clients’ negative statements about external pressure to</w:t>
      </w:r>
      <w:r>
        <w:rPr>
          <w:b/>
          <w:spacing w:val="-2"/>
        </w:rPr>
        <w:t xml:space="preserve"> </w:t>
      </w:r>
      <w:r>
        <w:rPr>
          <w:b/>
        </w:rPr>
        <w:t>get</w:t>
      </w:r>
      <w:r>
        <w:rPr>
          <w:b/>
          <w:spacing w:val="-1"/>
        </w:rPr>
        <w:t xml:space="preserve"> </w:t>
      </w:r>
      <w:r>
        <w:rPr>
          <w:b/>
        </w:rPr>
        <w:t xml:space="preserve">treatment. </w:t>
      </w:r>
      <w:r>
        <w:t>For</w:t>
      </w:r>
      <w:r>
        <w:rPr>
          <w:spacing w:val="-1"/>
        </w:rPr>
        <w:t xml:space="preserve"> </w:t>
      </w:r>
      <w:r>
        <w:t>example, help clients</w:t>
      </w:r>
      <w:r>
        <w:rPr>
          <w:spacing w:val="-2"/>
        </w:rPr>
        <w:t xml:space="preserve"> </w:t>
      </w:r>
      <w:r>
        <w:t>reframe</w:t>
      </w:r>
      <w:r>
        <w:rPr>
          <w:spacing w:val="-1"/>
        </w:rPr>
        <w:t xml:space="preserve"> </w:t>
      </w:r>
      <w:r>
        <w:t>anger</w:t>
      </w:r>
      <w:r>
        <w:rPr>
          <w:spacing w:val="-4"/>
        </w:rPr>
        <w:t xml:space="preserve"> </w:t>
      </w:r>
      <w:r>
        <w:t>expressed</w:t>
      </w:r>
      <w:r>
        <w:rPr>
          <w:spacing w:val="-3"/>
        </w:rPr>
        <w:t xml:space="preserve"> </w:t>
      </w:r>
      <w:r>
        <w:t>toward</w:t>
      </w:r>
      <w:r>
        <w:rPr>
          <w:spacing w:val="-3"/>
        </w:rPr>
        <w:t xml:space="preserve"> </w:t>
      </w:r>
      <w:r>
        <w:t>their</w:t>
      </w:r>
      <w:r>
        <w:rPr>
          <w:spacing w:val="-5"/>
        </w:rPr>
        <w:t xml:space="preserve"> </w:t>
      </w:r>
      <w:r>
        <w:t>spouse</w:t>
      </w:r>
      <w:r>
        <w:rPr>
          <w:spacing w:val="-4"/>
        </w:rPr>
        <w:t xml:space="preserve"> </w:t>
      </w:r>
      <w:r>
        <w:t>who</w:t>
      </w:r>
      <w:r>
        <w:rPr>
          <w:spacing w:val="-1"/>
        </w:rPr>
        <w:t xml:space="preserve"> </w:t>
      </w:r>
      <w:r>
        <w:t>has</w:t>
      </w:r>
      <w:r>
        <w:rPr>
          <w:spacing w:val="-4"/>
        </w:rPr>
        <w:t xml:space="preserve"> </w:t>
      </w:r>
      <w:r>
        <w:t>pressured</w:t>
      </w:r>
      <w:r>
        <w:rPr>
          <w:spacing w:val="-5"/>
        </w:rPr>
        <w:t xml:space="preserve"> </w:t>
      </w:r>
      <w:r>
        <w:t>them</w:t>
      </w:r>
      <w:r>
        <w:rPr>
          <w:spacing w:val="-1"/>
        </w:rPr>
        <w:t xml:space="preserve"> </w:t>
      </w:r>
      <w:r>
        <w:t>to</w:t>
      </w:r>
      <w:r>
        <w:rPr>
          <w:spacing w:val="-3"/>
        </w:rPr>
        <w:t xml:space="preserve"> </w:t>
      </w:r>
      <w:r>
        <w:t>enter</w:t>
      </w:r>
      <w:r>
        <w:rPr>
          <w:spacing w:val="-4"/>
        </w:rPr>
        <w:t xml:space="preserve"> </w:t>
      </w:r>
      <w:r>
        <w:t>treatment</w:t>
      </w:r>
      <w:r>
        <w:rPr>
          <w:spacing w:val="-2"/>
        </w:rPr>
        <w:t xml:space="preserve"> </w:t>
      </w:r>
      <w:r>
        <w:t>as seeing their spouse as caring and invested in the marriage</w:t>
      </w:r>
    </w:p>
    <w:p w14:paraId="3AF11A2B" w14:textId="77777777" w:rsidR="00DB6E1F" w:rsidRDefault="00F666A6">
      <w:pPr>
        <w:pStyle w:val="ListParagraph"/>
        <w:numPr>
          <w:ilvl w:val="0"/>
          <w:numId w:val="92"/>
        </w:numPr>
        <w:tabs>
          <w:tab w:val="left" w:pos="1799"/>
          <w:tab w:val="left" w:pos="1800"/>
        </w:tabs>
        <w:spacing w:before="59"/>
        <w:ind w:left="1799" w:right="1689"/>
        <w:rPr>
          <w:rFonts w:ascii="Symbol" w:hAnsi="Symbol"/>
        </w:rPr>
      </w:pPr>
      <w:r>
        <w:rPr>
          <w:b/>
        </w:rPr>
        <w:t>Identify an</w:t>
      </w:r>
      <w:r>
        <w:rPr>
          <w:b/>
        </w:rPr>
        <w:t xml:space="preserve">d strengthen intrinsic motivation of clients who have been mandated to treatment. </w:t>
      </w:r>
      <w:r>
        <w:t>Emphasize</w:t>
      </w:r>
      <w:r>
        <w:rPr>
          <w:spacing w:val="-2"/>
        </w:rPr>
        <w:t xml:space="preserve"> </w:t>
      </w:r>
      <w:r>
        <w:t>personal</w:t>
      </w:r>
      <w:r>
        <w:rPr>
          <w:spacing w:val="-6"/>
        </w:rPr>
        <w:t xml:space="preserve"> </w:t>
      </w:r>
      <w:r>
        <w:t>choice</w:t>
      </w:r>
      <w:r>
        <w:rPr>
          <w:spacing w:val="-5"/>
        </w:rPr>
        <w:t xml:space="preserve"> </w:t>
      </w:r>
      <w:r>
        <w:t>and</w:t>
      </w:r>
      <w:r>
        <w:rPr>
          <w:spacing w:val="-4"/>
        </w:rPr>
        <w:t xml:space="preserve"> </w:t>
      </w:r>
      <w:r>
        <w:t>responsibility</w:t>
      </w:r>
      <w:r>
        <w:rPr>
          <w:spacing w:val="-2"/>
        </w:rPr>
        <w:t xml:space="preserve"> </w:t>
      </w:r>
      <w:r>
        <w:t>with</w:t>
      </w:r>
      <w:r>
        <w:rPr>
          <w:spacing w:val="-4"/>
        </w:rPr>
        <w:t xml:space="preserve"> </w:t>
      </w:r>
      <w:r>
        <w:t>these</w:t>
      </w:r>
      <w:r>
        <w:rPr>
          <w:spacing w:val="-3"/>
        </w:rPr>
        <w:t xml:space="preserve"> </w:t>
      </w:r>
      <w:r>
        <w:t>clients.</w:t>
      </w:r>
      <w:r>
        <w:rPr>
          <w:spacing w:val="-4"/>
        </w:rPr>
        <w:t xml:space="preserve"> </w:t>
      </w:r>
      <w:r>
        <w:t>Help</w:t>
      </w:r>
      <w:r>
        <w:rPr>
          <w:spacing w:val="-4"/>
        </w:rPr>
        <w:t xml:space="preserve"> </w:t>
      </w:r>
      <w:r>
        <w:t>clients</w:t>
      </w:r>
      <w:r>
        <w:rPr>
          <w:spacing w:val="-3"/>
        </w:rPr>
        <w:t xml:space="preserve"> </w:t>
      </w:r>
      <w:r>
        <w:t>understand</w:t>
      </w:r>
      <w:r>
        <w:rPr>
          <w:spacing w:val="-4"/>
        </w:rPr>
        <w:t xml:space="preserve"> </w:t>
      </w:r>
      <w:r>
        <w:t>that</w:t>
      </w:r>
      <w:r>
        <w:rPr>
          <w:spacing w:val="-5"/>
        </w:rPr>
        <w:t xml:space="preserve"> </w:t>
      </w:r>
      <w:r>
        <w:t>they can freely choose to change because doing so makes good sense and is desirable, not because negative consequences will happen if they choose not to change.</w:t>
      </w:r>
    </w:p>
    <w:p w14:paraId="4E85C973" w14:textId="77777777" w:rsidR="00DB6E1F" w:rsidRDefault="00F666A6">
      <w:pPr>
        <w:pStyle w:val="Heading3"/>
        <w:spacing w:before="165"/>
      </w:pPr>
      <w:bookmarkStart w:id="149" w:name="Summarize_Client_Concerns"/>
      <w:bookmarkEnd w:id="149"/>
      <w:r>
        <w:t>Summarize</w:t>
      </w:r>
      <w:r>
        <w:rPr>
          <w:spacing w:val="-10"/>
        </w:rPr>
        <w:t xml:space="preserve"> </w:t>
      </w:r>
      <w:r>
        <w:t>Client</w:t>
      </w:r>
      <w:r>
        <w:rPr>
          <w:spacing w:val="-9"/>
        </w:rPr>
        <w:t xml:space="preserve"> </w:t>
      </w:r>
      <w:r>
        <w:rPr>
          <w:spacing w:val="-2"/>
        </w:rPr>
        <w:t>Concerns</w:t>
      </w:r>
    </w:p>
    <w:p w14:paraId="7D8E14D8" w14:textId="77777777" w:rsidR="00DB6E1F" w:rsidRDefault="00F666A6">
      <w:pPr>
        <w:spacing w:before="141"/>
        <w:ind w:left="1439" w:right="1491"/>
      </w:pPr>
      <w:r>
        <w:t>As you evoke DARN change talk and explore intrinsic and extrinsic mot</w:t>
      </w:r>
      <w:r>
        <w:t>ivations, you gather important information for helping the client resolve ambivalence about change. You have a working knowledge, and perhaps even a written list, of issues and areas about which the client has conflicting feelings and which are important i</w:t>
      </w:r>
      <w:r>
        <w:t xml:space="preserve">ntrinsic motivators for changing substance use behaviors. </w:t>
      </w:r>
      <w:r>
        <w:rPr>
          <w:b/>
        </w:rPr>
        <w:t>A first step in helping the</w:t>
      </w:r>
      <w:r>
        <w:rPr>
          <w:b/>
          <w:spacing w:val="-2"/>
        </w:rPr>
        <w:t xml:space="preserve"> </w:t>
      </w:r>
      <w:r>
        <w:rPr>
          <w:b/>
        </w:rPr>
        <w:t>client</w:t>
      </w:r>
      <w:r>
        <w:rPr>
          <w:b/>
          <w:spacing w:val="-1"/>
        </w:rPr>
        <w:t xml:space="preserve"> </w:t>
      </w:r>
      <w:r>
        <w:rPr>
          <w:b/>
        </w:rPr>
        <w:t>to</w:t>
      </w:r>
      <w:r>
        <w:rPr>
          <w:b/>
          <w:spacing w:val="-4"/>
        </w:rPr>
        <w:t xml:space="preserve"> </w:t>
      </w:r>
      <w:r>
        <w:rPr>
          <w:b/>
        </w:rPr>
        <w:t>weigh</w:t>
      </w:r>
      <w:r>
        <w:rPr>
          <w:b/>
          <w:spacing w:val="-2"/>
        </w:rPr>
        <w:t xml:space="preserve"> </w:t>
      </w:r>
      <w:r>
        <w:rPr>
          <w:b/>
        </w:rPr>
        <w:t>the</w:t>
      </w:r>
      <w:r>
        <w:rPr>
          <w:b/>
          <w:spacing w:val="-2"/>
        </w:rPr>
        <w:t xml:space="preserve"> </w:t>
      </w:r>
      <w:r>
        <w:rPr>
          <w:b/>
        </w:rPr>
        <w:t>pros and</w:t>
      </w:r>
      <w:r>
        <w:rPr>
          <w:b/>
          <w:spacing w:val="-2"/>
        </w:rPr>
        <w:t xml:space="preserve"> </w:t>
      </w:r>
      <w:r>
        <w:rPr>
          <w:b/>
        </w:rPr>
        <w:t>cons of</w:t>
      </w:r>
      <w:r>
        <w:rPr>
          <w:b/>
          <w:spacing w:val="-3"/>
        </w:rPr>
        <w:t xml:space="preserve"> </w:t>
      </w:r>
      <w:r>
        <w:rPr>
          <w:b/>
        </w:rPr>
        <w:t>change</w:t>
      </w:r>
      <w:r>
        <w:rPr>
          <w:b/>
          <w:spacing w:val="-2"/>
        </w:rPr>
        <w:t xml:space="preserve"> </w:t>
      </w:r>
      <w:r>
        <w:rPr>
          <w:b/>
        </w:rPr>
        <w:t>is to</w:t>
      </w:r>
      <w:r>
        <w:rPr>
          <w:b/>
          <w:spacing w:val="-4"/>
        </w:rPr>
        <w:t xml:space="preserve"> </w:t>
      </w:r>
      <w:r>
        <w:rPr>
          <w:b/>
        </w:rPr>
        <w:t>organize</w:t>
      </w:r>
      <w:r>
        <w:rPr>
          <w:b/>
          <w:spacing w:val="-4"/>
        </w:rPr>
        <w:t xml:space="preserve"> </w:t>
      </w:r>
      <w:r>
        <w:rPr>
          <w:b/>
        </w:rPr>
        <w:t>the</w:t>
      </w:r>
      <w:r>
        <w:rPr>
          <w:b/>
          <w:spacing w:val="-2"/>
        </w:rPr>
        <w:t xml:space="preserve"> </w:t>
      </w:r>
      <w:r>
        <w:rPr>
          <w:b/>
        </w:rPr>
        <w:t>list</w:t>
      </w:r>
      <w:r>
        <w:rPr>
          <w:b/>
          <w:spacing w:val="-1"/>
        </w:rPr>
        <w:t xml:space="preserve"> </w:t>
      </w:r>
      <w:r>
        <w:rPr>
          <w:b/>
        </w:rPr>
        <w:t>of</w:t>
      </w:r>
      <w:r>
        <w:rPr>
          <w:b/>
          <w:spacing w:val="-4"/>
        </w:rPr>
        <w:t xml:space="preserve"> </w:t>
      </w:r>
      <w:r>
        <w:rPr>
          <w:b/>
        </w:rPr>
        <w:t>concerns and</w:t>
      </w:r>
      <w:r>
        <w:rPr>
          <w:b/>
          <w:spacing w:val="-2"/>
        </w:rPr>
        <w:t xml:space="preserve"> </w:t>
      </w:r>
      <w:r>
        <w:rPr>
          <w:b/>
        </w:rPr>
        <w:t>present</w:t>
      </w:r>
      <w:r>
        <w:rPr>
          <w:b/>
          <w:spacing w:val="-1"/>
        </w:rPr>
        <w:t xml:space="preserve"> </w:t>
      </w:r>
      <w:r>
        <w:rPr>
          <w:b/>
        </w:rPr>
        <w:t>them</w:t>
      </w:r>
      <w:r>
        <w:rPr>
          <w:b/>
          <w:spacing w:val="-3"/>
        </w:rPr>
        <w:t xml:space="preserve"> </w:t>
      </w:r>
      <w:r>
        <w:rPr>
          <w:b/>
        </w:rPr>
        <w:t>to the client in a</w:t>
      </w:r>
      <w:r>
        <w:rPr>
          <w:b/>
          <w:spacing w:val="-2"/>
        </w:rPr>
        <w:t xml:space="preserve"> </w:t>
      </w:r>
      <w:r>
        <w:rPr>
          <w:b/>
        </w:rPr>
        <w:t>careful summary that expresses empathy, develops discr</w:t>
      </w:r>
      <w:r>
        <w:rPr>
          <w:b/>
        </w:rPr>
        <w:t>epancy,</w:t>
      </w:r>
      <w:r>
        <w:rPr>
          <w:b/>
          <w:spacing w:val="-1"/>
        </w:rPr>
        <w:t xml:space="preserve"> </w:t>
      </w:r>
      <w:r>
        <w:rPr>
          <w:b/>
        </w:rPr>
        <w:t>and shifts</w:t>
      </w:r>
      <w:r>
        <w:rPr>
          <w:b/>
          <w:spacing w:val="-1"/>
        </w:rPr>
        <w:t xml:space="preserve"> </w:t>
      </w:r>
      <w:r>
        <w:rPr>
          <w:b/>
        </w:rPr>
        <w:t xml:space="preserve">the balance toward change. </w:t>
      </w:r>
      <w:r>
        <w:t>Because you should reach agreement on these issues, the summary should end by asking whether the client agrees that these are his or</w:t>
      </w:r>
      <w:r>
        <w:rPr>
          <w:spacing w:val="-1"/>
        </w:rPr>
        <w:t xml:space="preserve"> </w:t>
      </w:r>
      <w:r>
        <w:t>her concerns about the substance use. You</w:t>
      </w:r>
      <w:r>
        <w:rPr>
          <w:spacing w:val="-1"/>
        </w:rPr>
        <w:t xml:space="preserve"> </w:t>
      </w:r>
      <w:r>
        <w:t>might ask, “Is this accurate?” or “</w:t>
      </w:r>
      <w:r>
        <w:t>Did I leave anything out?”</w:t>
      </w:r>
    </w:p>
    <w:p w14:paraId="4EC29B07" w14:textId="77777777" w:rsidR="00DB6E1F" w:rsidRDefault="00F666A6">
      <w:pPr>
        <w:pStyle w:val="Heading2"/>
        <w:spacing w:before="164"/>
      </w:pPr>
      <w:bookmarkStart w:id="150" w:name="Help_Tip_the_Decisional_Balance_Toward_C"/>
      <w:bookmarkStart w:id="151" w:name="_bookmark32"/>
      <w:bookmarkEnd w:id="150"/>
      <w:bookmarkEnd w:id="151"/>
      <w:r>
        <w:t>Help</w:t>
      </w:r>
      <w:r>
        <w:rPr>
          <w:spacing w:val="-4"/>
        </w:rPr>
        <w:t xml:space="preserve"> </w:t>
      </w:r>
      <w:r>
        <w:t>Tip</w:t>
      </w:r>
      <w:r>
        <w:rPr>
          <w:spacing w:val="-1"/>
        </w:rPr>
        <w:t xml:space="preserve"> </w:t>
      </w:r>
      <w:r>
        <w:t>the</w:t>
      </w:r>
      <w:r>
        <w:rPr>
          <w:spacing w:val="-4"/>
        </w:rPr>
        <w:t xml:space="preserve"> </w:t>
      </w:r>
      <w:r>
        <w:t>Decisional</w:t>
      </w:r>
      <w:r>
        <w:rPr>
          <w:spacing w:val="-3"/>
        </w:rPr>
        <w:t xml:space="preserve"> </w:t>
      </w:r>
      <w:r>
        <w:t>Balance</w:t>
      </w:r>
      <w:r>
        <w:rPr>
          <w:spacing w:val="-4"/>
        </w:rPr>
        <w:t xml:space="preserve"> </w:t>
      </w:r>
      <w:r>
        <w:t>Toward</w:t>
      </w:r>
      <w:r>
        <w:rPr>
          <w:spacing w:val="-1"/>
        </w:rPr>
        <w:t xml:space="preserve"> </w:t>
      </w:r>
      <w:r>
        <w:rPr>
          <w:spacing w:val="-2"/>
        </w:rPr>
        <w:t>Change</w:t>
      </w:r>
    </w:p>
    <w:p w14:paraId="1AC23F6D" w14:textId="77777777" w:rsidR="00DB6E1F" w:rsidRDefault="00F666A6">
      <w:pPr>
        <w:pStyle w:val="BodyText"/>
        <w:spacing w:before="152"/>
        <w:ind w:left="1439" w:right="1437"/>
      </w:pPr>
      <w:r>
        <w:t>For any decision, most people naturally weigh costs and benefits of the potential action. In behavioral change, these considerations are called “decisional balancing.” This is a proce</w:t>
      </w:r>
      <w:r>
        <w:t xml:space="preserve">ss of appraising or evaluating the “good” aspects of substance use—the reasons </w:t>
      </w:r>
      <w:r>
        <w:rPr>
          <w:b/>
        </w:rPr>
        <w:t xml:space="preserve">not to change </w:t>
      </w:r>
      <w:r>
        <w:t xml:space="preserve">(expressed through sustain talk)—and the “less-good” aspects—the reasons </w:t>
      </w:r>
      <w:r>
        <w:rPr>
          <w:b/>
        </w:rPr>
        <w:t xml:space="preserve">to change </w:t>
      </w:r>
      <w:r>
        <w:t>(expressed through change talk). DB originated with Janis and Mann (1977) as a m</w:t>
      </w:r>
      <w:r>
        <w:t>otivational counseling strategy. It is used widely in substance use</w:t>
      </w:r>
      <w:r>
        <w:rPr>
          <w:spacing w:val="-2"/>
        </w:rPr>
        <w:t xml:space="preserve"> </w:t>
      </w:r>
      <w:r>
        <w:t>disorder (SUD) treatment</w:t>
      </w:r>
      <w:r>
        <w:rPr>
          <w:spacing w:val="-2"/>
        </w:rPr>
        <w:t xml:space="preserve"> </w:t>
      </w:r>
      <w:r>
        <w:t>to explore benefits and</w:t>
      </w:r>
      <w:r>
        <w:rPr>
          <w:spacing w:val="-1"/>
        </w:rPr>
        <w:t xml:space="preserve"> </w:t>
      </w:r>
      <w:r>
        <w:t>costs</w:t>
      </w:r>
      <w:r>
        <w:rPr>
          <w:spacing w:val="-2"/>
        </w:rPr>
        <w:t xml:space="preserve"> </w:t>
      </w:r>
      <w:r>
        <w:t>of</w:t>
      </w:r>
      <w:r>
        <w:rPr>
          <w:spacing w:val="-2"/>
        </w:rPr>
        <w:t xml:space="preserve"> </w:t>
      </w:r>
      <w:r>
        <w:t>continued</w:t>
      </w:r>
      <w:r>
        <w:rPr>
          <w:spacing w:val="-1"/>
        </w:rPr>
        <w:t xml:space="preserve"> </w:t>
      </w:r>
      <w:r>
        <w:t>substance</w:t>
      </w:r>
      <w:r>
        <w:rPr>
          <w:spacing w:val="-2"/>
        </w:rPr>
        <w:t xml:space="preserve"> </w:t>
      </w:r>
      <w:r>
        <w:t>use and</w:t>
      </w:r>
      <w:r>
        <w:rPr>
          <w:spacing w:val="-3"/>
        </w:rPr>
        <w:t xml:space="preserve"> </w:t>
      </w:r>
      <w:r>
        <w:t>of changing substance use behaviors</w:t>
      </w:r>
      <w:r>
        <w:rPr>
          <w:b/>
        </w:rPr>
        <w:t xml:space="preserve">. </w:t>
      </w:r>
      <w:r>
        <w:t>Research on DB in SUD treatment has shown that DB is associated with</w:t>
      </w:r>
      <w:r>
        <w:rPr>
          <w:spacing w:val="-2"/>
        </w:rPr>
        <w:t xml:space="preserve"> </w:t>
      </w:r>
      <w:r>
        <w:t>increased</w:t>
      </w:r>
      <w:r>
        <w:rPr>
          <w:spacing w:val="-4"/>
        </w:rPr>
        <w:t xml:space="preserve"> </w:t>
      </w:r>
      <w:r>
        <w:t>motivation</w:t>
      </w:r>
      <w:r>
        <w:rPr>
          <w:spacing w:val="-4"/>
        </w:rPr>
        <w:t xml:space="preserve"> </w:t>
      </w:r>
      <w:r>
        <w:t>to change</w:t>
      </w:r>
      <w:r>
        <w:rPr>
          <w:spacing w:val="-3"/>
        </w:rPr>
        <w:t xml:space="preserve"> </w:t>
      </w:r>
      <w:r>
        <w:t>in</w:t>
      </w:r>
      <w:r>
        <w:rPr>
          <w:spacing w:val="-2"/>
        </w:rPr>
        <w:t xml:space="preserve"> </w:t>
      </w:r>
      <w:r>
        <w:t>diverse</w:t>
      </w:r>
      <w:r>
        <w:rPr>
          <w:spacing w:val="-3"/>
        </w:rPr>
        <w:t xml:space="preserve"> </w:t>
      </w:r>
      <w:r>
        <w:t>client</w:t>
      </w:r>
      <w:r>
        <w:rPr>
          <w:spacing w:val="-3"/>
        </w:rPr>
        <w:t xml:space="preserve"> </w:t>
      </w:r>
      <w:r>
        <w:t>populations</w:t>
      </w:r>
      <w:r>
        <w:rPr>
          <w:spacing w:val="-1"/>
        </w:rPr>
        <w:t xml:space="preserve"> </w:t>
      </w:r>
      <w:r>
        <w:t>and</w:t>
      </w:r>
      <w:r>
        <w:rPr>
          <w:spacing w:val="-2"/>
        </w:rPr>
        <w:t xml:space="preserve"> </w:t>
      </w:r>
      <w:r>
        <w:t>favorable</w:t>
      </w:r>
      <w:r>
        <w:rPr>
          <w:spacing w:val="-3"/>
        </w:rPr>
        <w:t xml:space="preserve"> </w:t>
      </w:r>
      <w:r>
        <w:t>client</w:t>
      </w:r>
      <w:r>
        <w:rPr>
          <w:spacing w:val="-3"/>
        </w:rPr>
        <w:t xml:space="preserve"> </w:t>
      </w:r>
      <w:r>
        <w:t>outcomes (Elliot</w:t>
      </w:r>
      <w:r>
        <w:rPr>
          <w:spacing w:val="-3"/>
        </w:rPr>
        <w:t xml:space="preserve"> </w:t>
      </w:r>
      <w:r>
        <w:t>&amp; Carey, 2013; Foster &amp; Neighbors, 2013; Hennessy, Tanner-Smith, &amp; Steinka-Fry, 2015).</w:t>
      </w:r>
    </w:p>
    <w:p w14:paraId="2907F0F2" w14:textId="77777777" w:rsidR="00DB6E1F" w:rsidRDefault="00F666A6">
      <w:pPr>
        <w:pStyle w:val="BodyText"/>
        <w:spacing w:before="158"/>
        <w:ind w:left="1438"/>
      </w:pPr>
      <w:r>
        <w:t>M</w:t>
      </w:r>
      <w:r>
        <w:t>otivation</w:t>
      </w:r>
      <w:r>
        <w:rPr>
          <w:spacing w:val="-8"/>
        </w:rPr>
        <w:t xml:space="preserve"> </w:t>
      </w:r>
      <w:r>
        <w:t>to</w:t>
      </w:r>
      <w:r>
        <w:rPr>
          <w:spacing w:val="-2"/>
        </w:rPr>
        <w:t xml:space="preserve"> </w:t>
      </w:r>
      <w:r>
        <w:t>reduce</w:t>
      </w:r>
      <w:r>
        <w:rPr>
          <w:spacing w:val="-5"/>
        </w:rPr>
        <w:t xml:space="preserve"> </w:t>
      </w:r>
      <w:r>
        <w:t>or</w:t>
      </w:r>
      <w:r>
        <w:rPr>
          <w:spacing w:val="-5"/>
        </w:rPr>
        <w:t xml:space="preserve"> </w:t>
      </w:r>
      <w:r>
        <w:t>stop</w:t>
      </w:r>
      <w:r>
        <w:rPr>
          <w:spacing w:val="-4"/>
        </w:rPr>
        <w:t xml:space="preserve"> </w:t>
      </w:r>
      <w:r>
        <w:t>substance</w:t>
      </w:r>
      <w:r>
        <w:rPr>
          <w:spacing w:val="-2"/>
        </w:rPr>
        <w:t xml:space="preserve"> </w:t>
      </w:r>
      <w:r>
        <w:t>use</w:t>
      </w:r>
      <w:r>
        <w:rPr>
          <w:spacing w:val="-2"/>
        </w:rPr>
        <w:t xml:space="preserve"> </w:t>
      </w:r>
      <w:r>
        <w:t>increases</w:t>
      </w:r>
      <w:r>
        <w:rPr>
          <w:spacing w:val="-5"/>
        </w:rPr>
        <w:t xml:space="preserve"> </w:t>
      </w:r>
      <w:r>
        <w:t>when</w:t>
      </w:r>
      <w:r>
        <w:rPr>
          <w:spacing w:val="-3"/>
        </w:rPr>
        <w:t xml:space="preserve"> </w:t>
      </w:r>
      <w:r>
        <w:t>the</w:t>
      </w:r>
      <w:r>
        <w:rPr>
          <w:spacing w:val="-2"/>
        </w:rPr>
        <w:t xml:space="preserve"> </w:t>
      </w:r>
      <w:r>
        <w:t>costs</w:t>
      </w:r>
      <w:r>
        <w:rPr>
          <w:spacing w:val="-5"/>
        </w:rPr>
        <w:t xml:space="preserve"> </w:t>
      </w:r>
      <w:r>
        <w:t>of</w:t>
      </w:r>
      <w:r>
        <w:rPr>
          <w:spacing w:val="-5"/>
        </w:rPr>
        <w:t xml:space="preserve"> </w:t>
      </w:r>
      <w:r>
        <w:t>use</w:t>
      </w:r>
      <w:r>
        <w:rPr>
          <w:spacing w:val="-5"/>
        </w:rPr>
        <w:t xml:space="preserve"> </w:t>
      </w:r>
      <w:r>
        <w:t>outweigh</w:t>
      </w:r>
      <w:r>
        <w:rPr>
          <w:spacing w:val="-3"/>
        </w:rPr>
        <w:t xml:space="preserve"> </w:t>
      </w:r>
      <w:r>
        <w:t>the</w:t>
      </w:r>
      <w:r>
        <w:rPr>
          <w:spacing w:val="-5"/>
        </w:rPr>
        <w:t xml:space="preserve"> </w:t>
      </w:r>
      <w:r>
        <w:t>benefits</w:t>
      </w:r>
      <w:r>
        <w:rPr>
          <w:spacing w:val="-4"/>
        </w:rPr>
        <w:t xml:space="preserve"> </w:t>
      </w:r>
      <w:r>
        <w:rPr>
          <w:spacing w:val="-5"/>
        </w:rPr>
        <w:t>and</w:t>
      </w:r>
    </w:p>
    <w:p w14:paraId="30B33E2B" w14:textId="77777777" w:rsidR="00DB6E1F" w:rsidRDefault="00DB6E1F">
      <w:pPr>
        <w:sectPr w:rsidR="00DB6E1F">
          <w:pgSz w:w="12240" w:h="15840"/>
          <w:pgMar w:top="1200" w:right="0" w:bottom="780" w:left="0" w:header="763" w:footer="585" w:gutter="0"/>
          <w:cols w:space="720"/>
        </w:sectPr>
      </w:pPr>
    </w:p>
    <w:p w14:paraId="6764D1AF" w14:textId="77777777" w:rsidR="00DB6E1F" w:rsidRDefault="00DB6E1F">
      <w:pPr>
        <w:pStyle w:val="BodyText"/>
        <w:spacing w:before="8"/>
        <w:rPr>
          <w:sz w:val="14"/>
        </w:rPr>
      </w:pPr>
    </w:p>
    <w:p w14:paraId="21CD0D27" w14:textId="77777777" w:rsidR="00DB6E1F" w:rsidRDefault="00F666A6">
      <w:pPr>
        <w:spacing w:before="56"/>
        <w:ind w:left="1440" w:right="1491"/>
        <w:rPr>
          <w:b/>
        </w:rPr>
      </w:pPr>
      <w:r>
        <w:t>when the pros of changing substance use outweigh the cons (Connors, DiClemente, Velasquez, &amp; Donovan,</w:t>
      </w:r>
      <w:r>
        <w:rPr>
          <w:spacing w:val="-4"/>
        </w:rPr>
        <w:t xml:space="preserve"> </w:t>
      </w:r>
      <w:r>
        <w:t>2013).</w:t>
      </w:r>
      <w:r>
        <w:rPr>
          <w:spacing w:val="-5"/>
        </w:rPr>
        <w:t xml:space="preserve"> </w:t>
      </w:r>
      <w:r>
        <w:rPr>
          <w:b/>
        </w:rPr>
        <w:t>Your</w:t>
      </w:r>
      <w:r>
        <w:rPr>
          <w:b/>
          <w:spacing w:val="-1"/>
        </w:rPr>
        <w:t xml:space="preserve"> </w:t>
      </w:r>
      <w:r>
        <w:rPr>
          <w:b/>
        </w:rPr>
        <w:t>task</w:t>
      </w:r>
      <w:r>
        <w:rPr>
          <w:b/>
          <w:spacing w:val="-4"/>
        </w:rPr>
        <w:t xml:space="preserve"> </w:t>
      </w:r>
      <w:r>
        <w:rPr>
          <w:b/>
        </w:rPr>
        <w:t>is</w:t>
      </w:r>
      <w:r>
        <w:rPr>
          <w:b/>
          <w:spacing w:val="-1"/>
        </w:rPr>
        <w:t xml:space="preserve"> </w:t>
      </w:r>
      <w:r>
        <w:rPr>
          <w:b/>
        </w:rPr>
        <w:t>to</w:t>
      </w:r>
      <w:r>
        <w:rPr>
          <w:b/>
          <w:spacing w:val="-3"/>
        </w:rPr>
        <w:t xml:space="preserve"> </w:t>
      </w:r>
      <w:r>
        <w:rPr>
          <w:b/>
        </w:rPr>
        <w:t>help</w:t>
      </w:r>
      <w:r>
        <w:rPr>
          <w:b/>
          <w:spacing w:val="-3"/>
        </w:rPr>
        <w:t xml:space="preserve"> </w:t>
      </w:r>
      <w:r>
        <w:rPr>
          <w:b/>
        </w:rPr>
        <w:t>clients</w:t>
      </w:r>
      <w:r>
        <w:rPr>
          <w:b/>
          <w:spacing w:val="-1"/>
        </w:rPr>
        <w:t xml:space="preserve"> </w:t>
      </w:r>
      <w:r>
        <w:rPr>
          <w:b/>
        </w:rPr>
        <w:t>recognize</w:t>
      </w:r>
      <w:r>
        <w:rPr>
          <w:b/>
          <w:spacing w:val="-5"/>
        </w:rPr>
        <w:t xml:space="preserve"> </w:t>
      </w:r>
      <w:r>
        <w:rPr>
          <w:b/>
        </w:rPr>
        <w:t>and</w:t>
      </w:r>
      <w:r>
        <w:rPr>
          <w:b/>
          <w:spacing w:val="-3"/>
        </w:rPr>
        <w:t xml:space="preserve"> </w:t>
      </w:r>
      <w:r>
        <w:rPr>
          <w:b/>
        </w:rPr>
        <w:t>weigh</w:t>
      </w:r>
      <w:r>
        <w:rPr>
          <w:b/>
          <w:spacing w:val="-3"/>
        </w:rPr>
        <w:t xml:space="preserve"> </w:t>
      </w:r>
      <w:r>
        <w:rPr>
          <w:b/>
        </w:rPr>
        <w:t>negative</w:t>
      </w:r>
      <w:r>
        <w:rPr>
          <w:b/>
          <w:spacing w:val="-3"/>
        </w:rPr>
        <w:t xml:space="preserve"> </w:t>
      </w:r>
      <w:r>
        <w:rPr>
          <w:b/>
        </w:rPr>
        <w:t>aspects</w:t>
      </w:r>
      <w:r>
        <w:rPr>
          <w:b/>
          <w:spacing w:val="-1"/>
        </w:rPr>
        <w:t xml:space="preserve"> </w:t>
      </w:r>
      <w:r>
        <w:rPr>
          <w:b/>
        </w:rPr>
        <w:t>of</w:t>
      </w:r>
      <w:r>
        <w:rPr>
          <w:b/>
          <w:spacing w:val="-2"/>
        </w:rPr>
        <w:t xml:space="preserve"> </w:t>
      </w:r>
      <w:r>
        <w:rPr>
          <w:b/>
        </w:rPr>
        <w:t>substance</w:t>
      </w:r>
      <w:r>
        <w:rPr>
          <w:b/>
          <w:spacing w:val="-3"/>
        </w:rPr>
        <w:t xml:space="preserve"> </w:t>
      </w:r>
      <w:r>
        <w:rPr>
          <w:b/>
        </w:rPr>
        <w:t>use to tip the scale in favor of change.</w:t>
      </w:r>
    </w:p>
    <w:p w14:paraId="527E5E32" w14:textId="77777777" w:rsidR="00DB6E1F" w:rsidRDefault="00F666A6">
      <w:pPr>
        <w:pStyle w:val="Heading3"/>
      </w:pPr>
      <w:bookmarkStart w:id="152" w:name="Assess_Where_the_Client_Is_on_the_Decisi"/>
      <w:bookmarkEnd w:id="152"/>
      <w:r>
        <w:t>Assess</w:t>
      </w:r>
      <w:r>
        <w:rPr>
          <w:spacing w:val="-7"/>
        </w:rPr>
        <w:t xml:space="preserve"> </w:t>
      </w:r>
      <w:r>
        <w:t>Where</w:t>
      </w:r>
      <w:r>
        <w:rPr>
          <w:spacing w:val="-4"/>
        </w:rPr>
        <w:t xml:space="preserve"> </w:t>
      </w:r>
      <w:r>
        <w:t>the</w:t>
      </w:r>
      <w:r>
        <w:rPr>
          <w:spacing w:val="-6"/>
        </w:rPr>
        <w:t xml:space="preserve"> </w:t>
      </w:r>
      <w:r>
        <w:t>Client</w:t>
      </w:r>
      <w:r>
        <w:rPr>
          <w:spacing w:val="-9"/>
        </w:rPr>
        <w:t xml:space="preserve"> </w:t>
      </w:r>
      <w:r>
        <w:t>Is</w:t>
      </w:r>
      <w:r>
        <w:rPr>
          <w:spacing w:val="-5"/>
        </w:rPr>
        <w:t xml:space="preserve"> </w:t>
      </w:r>
      <w:r>
        <w:t>on</w:t>
      </w:r>
      <w:r>
        <w:rPr>
          <w:spacing w:val="-5"/>
        </w:rPr>
        <w:t xml:space="preserve"> </w:t>
      </w:r>
      <w:r>
        <w:t>the</w:t>
      </w:r>
      <w:r>
        <w:rPr>
          <w:spacing w:val="-7"/>
        </w:rPr>
        <w:t xml:space="preserve"> </w:t>
      </w:r>
      <w:r>
        <w:t>Decisional</w:t>
      </w:r>
      <w:r>
        <w:rPr>
          <w:spacing w:val="-4"/>
        </w:rPr>
        <w:t xml:space="preserve"> </w:t>
      </w:r>
      <w:r>
        <w:rPr>
          <w:spacing w:val="-2"/>
        </w:rPr>
        <w:t>Scale</w:t>
      </w:r>
    </w:p>
    <w:p w14:paraId="54F07383" w14:textId="77777777" w:rsidR="00DB6E1F" w:rsidRDefault="00F666A6">
      <w:pPr>
        <w:pStyle w:val="BodyText"/>
        <w:spacing w:before="143"/>
        <w:ind w:left="1439" w:right="1491"/>
      </w:pPr>
      <w:r>
        <w:rPr>
          <w:b/>
        </w:rPr>
        <w:t>Start by getting a</w:t>
      </w:r>
      <w:r>
        <w:rPr>
          <w:b/>
          <w:spacing w:val="-2"/>
        </w:rPr>
        <w:t xml:space="preserve"> </w:t>
      </w:r>
      <w:r>
        <w:rPr>
          <w:b/>
        </w:rPr>
        <w:t>sense of</w:t>
      </w:r>
      <w:r>
        <w:rPr>
          <w:b/>
          <w:spacing w:val="-2"/>
        </w:rPr>
        <w:t xml:space="preserve"> </w:t>
      </w:r>
      <w:r>
        <w:rPr>
          <w:b/>
        </w:rPr>
        <w:t>where the</w:t>
      </w:r>
      <w:r>
        <w:rPr>
          <w:b/>
          <w:spacing w:val="-2"/>
        </w:rPr>
        <w:t xml:space="preserve"> </w:t>
      </w:r>
      <w:r>
        <w:rPr>
          <w:b/>
        </w:rPr>
        <w:t>client is</w:t>
      </w:r>
      <w:r>
        <w:rPr>
          <w:b/>
          <w:spacing w:val="-1"/>
        </w:rPr>
        <w:t xml:space="preserve"> </w:t>
      </w:r>
      <w:r>
        <w:rPr>
          <w:b/>
        </w:rPr>
        <w:t>with</w:t>
      </w:r>
      <w:r>
        <w:rPr>
          <w:b/>
          <w:spacing w:val="-2"/>
        </w:rPr>
        <w:t xml:space="preserve"> </w:t>
      </w:r>
      <w:r>
        <w:rPr>
          <w:b/>
        </w:rPr>
        <w:t xml:space="preserve">regard to the decision-making process. </w:t>
      </w:r>
      <w:r>
        <w:t>The</w:t>
      </w:r>
      <w:r>
        <w:rPr>
          <w:spacing w:val="-1"/>
        </w:rPr>
        <w:t xml:space="preserve"> </w:t>
      </w:r>
      <w:r>
        <w:t>Alcohol De</w:t>
      </w:r>
      <w:r>
        <w:t>cisional Balance Scale and the Drug Use Decisional Balance Scale in Appendix B are validated instruments</w:t>
      </w:r>
      <w:r>
        <w:rPr>
          <w:spacing w:val="-1"/>
        </w:rPr>
        <w:t xml:space="preserve"> </w:t>
      </w:r>
      <w:r>
        <w:t>that</w:t>
      </w:r>
      <w:r>
        <w:rPr>
          <w:spacing w:val="-3"/>
        </w:rPr>
        <w:t xml:space="preserve"> </w:t>
      </w:r>
      <w:r>
        <w:t>ask</w:t>
      </w:r>
      <w:r>
        <w:rPr>
          <w:spacing w:val="-3"/>
        </w:rPr>
        <w:t xml:space="preserve"> </w:t>
      </w:r>
      <w:r>
        <w:t>clients</w:t>
      </w:r>
      <w:r>
        <w:rPr>
          <w:spacing w:val="-1"/>
        </w:rPr>
        <w:t xml:space="preserve"> </w:t>
      </w:r>
      <w:r>
        <w:t>to</w:t>
      </w:r>
      <w:r>
        <w:rPr>
          <w:spacing w:val="-2"/>
        </w:rPr>
        <w:t xml:space="preserve"> </w:t>
      </w:r>
      <w:r>
        <w:t>rate,</w:t>
      </w:r>
      <w:r>
        <w:rPr>
          <w:spacing w:val="-3"/>
        </w:rPr>
        <w:t xml:space="preserve"> </w:t>
      </w:r>
      <w:r>
        <w:t>on</w:t>
      </w:r>
      <w:r>
        <w:rPr>
          <w:spacing w:val="-2"/>
        </w:rPr>
        <w:t xml:space="preserve"> </w:t>
      </w:r>
      <w:r>
        <w:t>a</w:t>
      </w:r>
      <w:r>
        <w:rPr>
          <w:spacing w:val="-1"/>
        </w:rPr>
        <w:t xml:space="preserve"> </w:t>
      </w:r>
      <w:r>
        <w:t>scale</w:t>
      </w:r>
      <w:r>
        <w:rPr>
          <w:spacing w:val="-3"/>
        </w:rPr>
        <w:t xml:space="preserve"> </w:t>
      </w:r>
      <w:r>
        <w:t>of</w:t>
      </w:r>
      <w:r>
        <w:rPr>
          <w:spacing w:val="-4"/>
        </w:rPr>
        <w:t xml:space="preserve"> </w:t>
      </w:r>
      <w:r>
        <w:t>1 to</w:t>
      </w:r>
      <w:r>
        <w:rPr>
          <w:spacing w:val="-2"/>
        </w:rPr>
        <w:t xml:space="preserve"> </w:t>
      </w:r>
      <w:r>
        <w:t>5, the</w:t>
      </w:r>
      <w:r>
        <w:rPr>
          <w:spacing w:val="-3"/>
        </w:rPr>
        <w:t xml:space="preserve"> </w:t>
      </w:r>
      <w:r>
        <w:t>importance</w:t>
      </w:r>
      <w:r>
        <w:rPr>
          <w:spacing w:val="-3"/>
        </w:rPr>
        <w:t xml:space="preserve"> </w:t>
      </w:r>
      <w:r>
        <w:t>of</w:t>
      </w:r>
      <w:r>
        <w:rPr>
          <w:spacing w:val="-1"/>
        </w:rPr>
        <w:t xml:space="preserve"> </w:t>
      </w:r>
      <w:r>
        <w:t>statements</w:t>
      </w:r>
      <w:r>
        <w:rPr>
          <w:spacing w:val="-3"/>
        </w:rPr>
        <w:t xml:space="preserve"> </w:t>
      </w:r>
      <w:r>
        <w:t>like</w:t>
      </w:r>
      <w:r>
        <w:rPr>
          <w:spacing w:val="-3"/>
        </w:rPr>
        <w:t xml:space="preserve"> </w:t>
      </w:r>
      <w:r>
        <w:t>“Having</w:t>
      </w:r>
      <w:r>
        <w:rPr>
          <w:spacing w:val="-2"/>
        </w:rPr>
        <w:t xml:space="preserve"> </w:t>
      </w:r>
      <w:r>
        <w:t>to lie to others about my drinking bothers me” in making a decision about changing substance use behaviors (Prochaska et al., 1994). The scores give you and the client a sense of where the client is with regard to reporting more pros versus more cons for c</w:t>
      </w:r>
      <w:r>
        <w:t>ontinued substance use. You can also explore specific items on the measure on which the client scores high (e.g., “Some people close to me are disappointed in me because of my drug use”) as a way to build discrepancy between the client’s values and substan</w:t>
      </w:r>
      <w:r>
        <w:t>ce use, thus evoking change talk.</w:t>
      </w:r>
    </w:p>
    <w:p w14:paraId="278C5024" w14:textId="77777777" w:rsidR="00DB6E1F" w:rsidRDefault="00F666A6">
      <w:pPr>
        <w:pStyle w:val="Heading3"/>
        <w:spacing w:before="163"/>
      </w:pPr>
      <w:bookmarkStart w:id="153" w:name="Explore_the_Pros_and_Cons_of_Substance_U"/>
      <w:bookmarkEnd w:id="153"/>
      <w:r>
        <w:t>Explore</w:t>
      </w:r>
      <w:r>
        <w:rPr>
          <w:spacing w:val="-6"/>
        </w:rPr>
        <w:t xml:space="preserve"> </w:t>
      </w:r>
      <w:r>
        <w:t>the</w:t>
      </w:r>
      <w:r>
        <w:rPr>
          <w:spacing w:val="-3"/>
        </w:rPr>
        <w:t xml:space="preserve"> </w:t>
      </w:r>
      <w:r>
        <w:t>Pros</w:t>
      </w:r>
      <w:r>
        <w:rPr>
          <w:spacing w:val="-5"/>
        </w:rPr>
        <w:t xml:space="preserve"> </w:t>
      </w:r>
      <w:r>
        <w:t>and</w:t>
      </w:r>
      <w:r>
        <w:rPr>
          <w:spacing w:val="-4"/>
        </w:rPr>
        <w:t xml:space="preserve"> </w:t>
      </w:r>
      <w:r>
        <w:t>Cons</w:t>
      </w:r>
      <w:r>
        <w:rPr>
          <w:spacing w:val="-7"/>
        </w:rPr>
        <w:t xml:space="preserve"> </w:t>
      </w:r>
      <w:r>
        <w:t>of</w:t>
      </w:r>
      <w:r>
        <w:rPr>
          <w:spacing w:val="-7"/>
        </w:rPr>
        <w:t xml:space="preserve"> </w:t>
      </w:r>
      <w:r>
        <w:t>Substance</w:t>
      </w:r>
      <w:r>
        <w:rPr>
          <w:spacing w:val="-8"/>
        </w:rPr>
        <w:t xml:space="preserve"> </w:t>
      </w:r>
      <w:r>
        <w:t>Use</w:t>
      </w:r>
      <w:r>
        <w:rPr>
          <w:spacing w:val="-5"/>
        </w:rPr>
        <w:t xml:space="preserve"> </w:t>
      </w:r>
      <w:r>
        <w:t>and</w:t>
      </w:r>
      <w:r>
        <w:rPr>
          <w:spacing w:val="-7"/>
        </w:rPr>
        <w:t xml:space="preserve"> </w:t>
      </w:r>
      <w:r>
        <w:t>Behavior</w:t>
      </w:r>
      <w:r>
        <w:rPr>
          <w:spacing w:val="-5"/>
        </w:rPr>
        <w:t xml:space="preserve"> </w:t>
      </w:r>
      <w:r>
        <w:rPr>
          <w:spacing w:val="-2"/>
        </w:rPr>
        <w:t>Change</w:t>
      </w:r>
    </w:p>
    <w:p w14:paraId="4CEB4FF7" w14:textId="77777777" w:rsidR="00DB6E1F" w:rsidRDefault="00F666A6">
      <w:pPr>
        <w:pStyle w:val="BodyText"/>
        <w:spacing w:before="141"/>
        <w:ind w:left="1439" w:right="1491"/>
      </w:pPr>
      <w:r>
        <w:t>Weighing</w:t>
      </w:r>
      <w:r>
        <w:rPr>
          <w:spacing w:val="-3"/>
        </w:rPr>
        <w:t xml:space="preserve"> </w:t>
      </w:r>
      <w:r>
        <w:t>benefits</w:t>
      </w:r>
      <w:r>
        <w:rPr>
          <w:spacing w:val="-4"/>
        </w:rPr>
        <w:t xml:space="preserve"> </w:t>
      </w:r>
      <w:r>
        <w:t>and</w:t>
      </w:r>
      <w:r>
        <w:rPr>
          <w:spacing w:val="-3"/>
        </w:rPr>
        <w:t xml:space="preserve"> </w:t>
      </w:r>
      <w:r>
        <w:t>costs</w:t>
      </w:r>
      <w:r>
        <w:rPr>
          <w:spacing w:val="-2"/>
        </w:rPr>
        <w:t xml:space="preserve"> </w:t>
      </w:r>
      <w:r>
        <w:t>of</w:t>
      </w:r>
      <w:r>
        <w:rPr>
          <w:spacing w:val="-4"/>
        </w:rPr>
        <w:t xml:space="preserve"> </w:t>
      </w:r>
      <w:r>
        <w:t>substance</w:t>
      </w:r>
      <w:r>
        <w:rPr>
          <w:spacing w:val="-1"/>
        </w:rPr>
        <w:t xml:space="preserve"> </w:t>
      </w:r>
      <w:r>
        <w:t>use</w:t>
      </w:r>
      <w:r>
        <w:rPr>
          <w:spacing w:val="-1"/>
        </w:rPr>
        <w:t xml:space="preserve"> </w:t>
      </w:r>
      <w:r>
        <w:t>and</w:t>
      </w:r>
      <w:r>
        <w:rPr>
          <w:spacing w:val="-3"/>
        </w:rPr>
        <w:t xml:space="preserve"> </w:t>
      </w:r>
      <w:r>
        <w:t>change</w:t>
      </w:r>
      <w:r>
        <w:rPr>
          <w:spacing w:val="-1"/>
        </w:rPr>
        <w:t xml:space="preserve"> </w:t>
      </w:r>
      <w:r>
        <w:t>is</w:t>
      </w:r>
      <w:r>
        <w:rPr>
          <w:spacing w:val="-2"/>
        </w:rPr>
        <w:t xml:space="preserve"> </w:t>
      </w:r>
      <w:r>
        <w:t>at</w:t>
      </w:r>
      <w:r>
        <w:rPr>
          <w:spacing w:val="-4"/>
        </w:rPr>
        <w:t xml:space="preserve"> </w:t>
      </w:r>
      <w:r>
        <w:t>the</w:t>
      </w:r>
      <w:r>
        <w:rPr>
          <w:spacing w:val="-1"/>
        </w:rPr>
        <w:t xml:space="preserve"> </w:t>
      </w:r>
      <w:r>
        <w:t>heart</w:t>
      </w:r>
      <w:r>
        <w:rPr>
          <w:spacing w:val="-4"/>
        </w:rPr>
        <w:t xml:space="preserve"> </w:t>
      </w:r>
      <w:r>
        <w:t>of</w:t>
      </w:r>
      <w:r>
        <w:rPr>
          <w:spacing w:val="-4"/>
        </w:rPr>
        <w:t xml:space="preserve"> </w:t>
      </w:r>
      <w:r>
        <w:t>DB</w:t>
      </w:r>
      <w:r>
        <w:rPr>
          <w:spacing w:val="-4"/>
        </w:rPr>
        <w:t xml:space="preserve"> </w:t>
      </w:r>
      <w:r>
        <w:t>work.</w:t>
      </w:r>
      <w:r>
        <w:rPr>
          <w:spacing w:val="-2"/>
        </w:rPr>
        <w:t xml:space="preserve"> </w:t>
      </w:r>
      <w:r>
        <w:t>To</w:t>
      </w:r>
      <w:r>
        <w:rPr>
          <w:spacing w:val="-3"/>
        </w:rPr>
        <w:t xml:space="preserve"> </w:t>
      </w:r>
      <w:r>
        <w:t>accomplish</w:t>
      </w:r>
      <w:r>
        <w:rPr>
          <w:spacing w:val="-5"/>
        </w:rPr>
        <w:t xml:space="preserve"> </w:t>
      </w:r>
      <w:r>
        <w:t xml:space="preserve">this, </w:t>
      </w:r>
      <w:r>
        <w:rPr>
          <w:b/>
        </w:rPr>
        <w:t>invite</w:t>
      </w:r>
      <w:r>
        <w:rPr>
          <w:b/>
          <w:spacing w:val="-2"/>
        </w:rPr>
        <w:t xml:space="preserve"> </w:t>
      </w:r>
      <w:r>
        <w:rPr>
          <w:b/>
        </w:rPr>
        <w:t>the</w:t>
      </w:r>
      <w:r>
        <w:rPr>
          <w:b/>
          <w:spacing w:val="-4"/>
        </w:rPr>
        <w:t xml:space="preserve"> </w:t>
      </w:r>
      <w:r>
        <w:rPr>
          <w:b/>
        </w:rPr>
        <w:t>client</w:t>
      </w:r>
      <w:r>
        <w:rPr>
          <w:b/>
          <w:spacing w:val="-3"/>
        </w:rPr>
        <w:t xml:space="preserve"> </w:t>
      </w:r>
      <w:r>
        <w:rPr>
          <w:b/>
        </w:rPr>
        <w:t>to</w:t>
      </w:r>
      <w:r>
        <w:rPr>
          <w:b/>
          <w:spacing w:val="-4"/>
        </w:rPr>
        <w:t xml:space="preserve"> </w:t>
      </w:r>
      <w:r>
        <w:rPr>
          <w:b/>
        </w:rPr>
        <w:t>write</w:t>
      </w:r>
      <w:r>
        <w:rPr>
          <w:b/>
          <w:spacing w:val="-2"/>
        </w:rPr>
        <w:t xml:space="preserve"> </w:t>
      </w:r>
      <w:r>
        <w:rPr>
          <w:b/>
        </w:rPr>
        <w:t>out</w:t>
      </w:r>
      <w:r>
        <w:rPr>
          <w:b/>
          <w:spacing w:val="-1"/>
        </w:rPr>
        <w:t xml:space="preserve"> </w:t>
      </w:r>
      <w:r>
        <w:rPr>
          <w:b/>
        </w:rPr>
        <w:t>a</w:t>
      </w:r>
      <w:r>
        <w:rPr>
          <w:b/>
          <w:spacing w:val="-2"/>
        </w:rPr>
        <w:t xml:space="preserve"> </w:t>
      </w:r>
      <w:r>
        <w:rPr>
          <w:b/>
        </w:rPr>
        <w:t>list</w:t>
      </w:r>
      <w:r>
        <w:rPr>
          <w:b/>
          <w:spacing w:val="-1"/>
        </w:rPr>
        <w:t xml:space="preserve"> </w:t>
      </w:r>
      <w:r>
        <w:rPr>
          <w:b/>
        </w:rPr>
        <w:t>of</w:t>
      </w:r>
      <w:r>
        <w:rPr>
          <w:b/>
          <w:spacing w:val="-1"/>
        </w:rPr>
        <w:t xml:space="preserve"> </w:t>
      </w:r>
      <w:r>
        <w:rPr>
          <w:b/>
        </w:rPr>
        <w:t>positives</w:t>
      </w:r>
      <w:r>
        <w:rPr>
          <w:b/>
          <w:spacing w:val="-3"/>
        </w:rPr>
        <w:t xml:space="preserve"> </w:t>
      </w:r>
      <w:r>
        <w:rPr>
          <w:b/>
        </w:rPr>
        <w:t>and</w:t>
      </w:r>
      <w:r>
        <w:rPr>
          <w:b/>
          <w:spacing w:val="-2"/>
        </w:rPr>
        <w:t xml:space="preserve"> </w:t>
      </w:r>
      <w:r>
        <w:rPr>
          <w:b/>
        </w:rPr>
        <w:t>negatives of</w:t>
      </w:r>
      <w:r>
        <w:rPr>
          <w:b/>
          <w:spacing w:val="-4"/>
        </w:rPr>
        <w:t xml:space="preserve"> </w:t>
      </w:r>
      <w:r>
        <w:rPr>
          <w:b/>
        </w:rPr>
        <w:t>substance</w:t>
      </w:r>
      <w:r>
        <w:rPr>
          <w:b/>
          <w:spacing w:val="-2"/>
        </w:rPr>
        <w:t xml:space="preserve"> </w:t>
      </w:r>
      <w:r>
        <w:rPr>
          <w:b/>
        </w:rPr>
        <w:t>use</w:t>
      </w:r>
      <w:r>
        <w:rPr>
          <w:b/>
          <w:spacing w:val="-4"/>
        </w:rPr>
        <w:t xml:space="preserve"> </w:t>
      </w:r>
      <w:r>
        <w:rPr>
          <w:b/>
        </w:rPr>
        <w:t>and</w:t>
      </w:r>
      <w:r>
        <w:rPr>
          <w:b/>
          <w:spacing w:val="-2"/>
        </w:rPr>
        <w:t xml:space="preserve"> </w:t>
      </w:r>
      <w:r>
        <w:rPr>
          <w:b/>
        </w:rPr>
        <w:t>changing</w:t>
      </w:r>
      <w:r>
        <w:rPr>
          <w:b/>
          <w:spacing w:val="-2"/>
        </w:rPr>
        <w:t xml:space="preserve"> </w:t>
      </w:r>
      <w:r>
        <w:rPr>
          <w:b/>
        </w:rPr>
        <w:t xml:space="preserve">substance use behaviors. </w:t>
      </w:r>
      <w:r>
        <w:t>This can be a homework assignment that is discussed at the next session, or the list can be generated during a session. Putting the items on paper makes it seem more “real” to t</w:t>
      </w:r>
      <w:r>
        <w:t>he client and can</w:t>
      </w:r>
      <w:r>
        <w:rPr>
          <w:spacing w:val="-2"/>
        </w:rPr>
        <w:t xml:space="preserve"> </w:t>
      </w:r>
      <w:r>
        <w:t>help</w:t>
      </w:r>
      <w:r>
        <w:rPr>
          <w:spacing w:val="-2"/>
        </w:rPr>
        <w:t xml:space="preserve"> </w:t>
      </w:r>
      <w:r>
        <w:t>structure the conversation.</w:t>
      </w:r>
      <w:r>
        <w:rPr>
          <w:spacing w:val="-1"/>
        </w:rPr>
        <w:t xml:space="preserve"> </w:t>
      </w:r>
      <w:r>
        <w:t>You</w:t>
      </w:r>
      <w:r>
        <w:rPr>
          <w:spacing w:val="-2"/>
        </w:rPr>
        <w:t xml:space="preserve"> </w:t>
      </w:r>
      <w:r>
        <w:t>can</w:t>
      </w:r>
      <w:r>
        <w:rPr>
          <w:spacing w:val="-2"/>
        </w:rPr>
        <w:t xml:space="preserve"> </w:t>
      </w:r>
      <w:r>
        <w:t>generate</w:t>
      </w:r>
      <w:r>
        <w:rPr>
          <w:spacing w:val="-5"/>
        </w:rPr>
        <w:t xml:space="preserve"> </w:t>
      </w:r>
      <w:r>
        <w:t>a</w:t>
      </w:r>
      <w:r>
        <w:rPr>
          <w:spacing w:val="-1"/>
        </w:rPr>
        <w:t xml:space="preserve"> </w:t>
      </w:r>
      <w:r>
        <w:t>list</w:t>
      </w:r>
      <w:r>
        <w:rPr>
          <w:spacing w:val="-3"/>
        </w:rPr>
        <w:t xml:space="preserve"> </w:t>
      </w:r>
      <w:r>
        <w:t>of</w:t>
      </w:r>
      <w:r>
        <w:rPr>
          <w:spacing w:val="-1"/>
        </w:rPr>
        <w:t xml:space="preserve"> </w:t>
      </w:r>
      <w:r>
        <w:t>the</w:t>
      </w:r>
      <w:r>
        <w:rPr>
          <w:spacing w:val="-3"/>
        </w:rPr>
        <w:t xml:space="preserve"> </w:t>
      </w:r>
      <w:r>
        <w:t>pros</w:t>
      </w:r>
      <w:r>
        <w:rPr>
          <w:spacing w:val="-3"/>
        </w:rPr>
        <w:t xml:space="preserve"> </w:t>
      </w:r>
      <w:r>
        <w:t>and</w:t>
      </w:r>
      <w:r>
        <w:rPr>
          <w:spacing w:val="-2"/>
        </w:rPr>
        <w:t xml:space="preserve"> </w:t>
      </w:r>
      <w:r>
        <w:t>cons</w:t>
      </w:r>
      <w:r>
        <w:rPr>
          <w:spacing w:val="-3"/>
        </w:rPr>
        <w:t xml:space="preserve"> </w:t>
      </w:r>
      <w:r>
        <w:t>of</w:t>
      </w:r>
      <w:r>
        <w:rPr>
          <w:spacing w:val="-1"/>
        </w:rPr>
        <w:t xml:space="preserve"> </w:t>
      </w:r>
      <w:r>
        <w:t>substance use and</w:t>
      </w:r>
      <w:r>
        <w:rPr>
          <w:spacing w:val="-2"/>
        </w:rPr>
        <w:t xml:space="preserve"> </w:t>
      </w:r>
      <w:r>
        <w:t>a list of pros and cons of changing substance use behaviors separately or use a grid</w:t>
      </w:r>
      <w:r>
        <w:rPr>
          <w:spacing w:val="-1"/>
        </w:rPr>
        <w:t xml:space="preserve"> </w:t>
      </w:r>
      <w:r>
        <w:t xml:space="preserve">like the one in Exhibit </w:t>
      </w:r>
      <w:r>
        <w:rPr>
          <w:spacing w:val="-4"/>
        </w:rPr>
        <w:t>5.3.</w:t>
      </w:r>
    </w:p>
    <w:p w14:paraId="7A679D3B" w14:textId="77777777" w:rsidR="00DB6E1F" w:rsidRDefault="00DB6E1F">
      <w:pPr>
        <w:pStyle w:val="BodyText"/>
        <w:spacing w:before="9"/>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6"/>
        <w:gridCol w:w="4404"/>
      </w:tblGrid>
      <w:tr w:rsidR="00DB6E1F" w14:paraId="6A4AC11A" w14:textId="77777777">
        <w:trPr>
          <w:trHeight w:val="520"/>
        </w:trPr>
        <w:tc>
          <w:tcPr>
            <w:tcW w:w="9350" w:type="dxa"/>
            <w:gridSpan w:val="2"/>
            <w:tcBorders>
              <w:top w:val="nil"/>
              <w:left w:val="nil"/>
              <w:bottom w:val="nil"/>
              <w:right w:val="nil"/>
            </w:tcBorders>
            <w:shd w:val="clear" w:color="auto" w:fill="000000"/>
          </w:tcPr>
          <w:p w14:paraId="7407CCDA" w14:textId="77777777" w:rsidR="00DB6E1F" w:rsidRDefault="00F666A6">
            <w:pPr>
              <w:pStyle w:val="TableParagraph"/>
              <w:spacing w:before="114"/>
              <w:ind w:left="215"/>
              <w:rPr>
                <w:sz w:val="24"/>
              </w:rPr>
            </w:pPr>
            <w:r>
              <w:rPr>
                <w:color w:val="FFFFFF"/>
                <w:sz w:val="24"/>
              </w:rPr>
              <w:t>Exhibit</w:t>
            </w:r>
            <w:r>
              <w:rPr>
                <w:color w:val="FFFFFF"/>
                <w:spacing w:val="-4"/>
                <w:sz w:val="24"/>
              </w:rPr>
              <w:t xml:space="preserve"> </w:t>
            </w:r>
            <w:r>
              <w:rPr>
                <w:color w:val="FFFFFF"/>
                <w:sz w:val="24"/>
              </w:rPr>
              <w:t>5.3.</w:t>
            </w:r>
            <w:r>
              <w:rPr>
                <w:color w:val="FFFFFF"/>
                <w:spacing w:val="-5"/>
                <w:sz w:val="24"/>
              </w:rPr>
              <w:t xml:space="preserve"> </w:t>
            </w:r>
            <w:r>
              <w:rPr>
                <w:color w:val="FFFFFF"/>
                <w:sz w:val="24"/>
              </w:rPr>
              <w:t>Decisional</w:t>
            </w:r>
            <w:r>
              <w:rPr>
                <w:color w:val="FFFFFF"/>
                <w:spacing w:val="-2"/>
                <w:sz w:val="24"/>
              </w:rPr>
              <w:t xml:space="preserve"> </w:t>
            </w:r>
            <w:r>
              <w:rPr>
                <w:color w:val="FFFFFF"/>
                <w:sz w:val="24"/>
              </w:rPr>
              <w:t>Balance</w:t>
            </w:r>
            <w:r>
              <w:rPr>
                <w:color w:val="FFFFFF"/>
                <w:spacing w:val="-2"/>
                <w:sz w:val="24"/>
              </w:rPr>
              <w:t xml:space="preserve"> </w:t>
            </w:r>
            <w:r>
              <w:rPr>
                <w:color w:val="FFFFFF"/>
                <w:sz w:val="24"/>
              </w:rPr>
              <w:t>Sheet</w:t>
            </w:r>
            <w:r>
              <w:rPr>
                <w:color w:val="FFFFFF"/>
                <w:spacing w:val="-3"/>
                <w:sz w:val="24"/>
              </w:rPr>
              <w:t xml:space="preserve"> </w:t>
            </w:r>
            <w:r>
              <w:rPr>
                <w:color w:val="FFFFFF"/>
                <w:sz w:val="24"/>
              </w:rPr>
              <w:t>for</w:t>
            </w:r>
            <w:r>
              <w:rPr>
                <w:color w:val="FFFFFF"/>
                <w:spacing w:val="-2"/>
                <w:sz w:val="24"/>
              </w:rPr>
              <w:t xml:space="preserve"> </w:t>
            </w:r>
            <w:r>
              <w:rPr>
                <w:color w:val="FFFFFF"/>
                <w:sz w:val="24"/>
              </w:rPr>
              <w:t>Substance</w:t>
            </w:r>
            <w:r>
              <w:rPr>
                <w:color w:val="FFFFFF"/>
                <w:spacing w:val="-1"/>
                <w:sz w:val="24"/>
              </w:rPr>
              <w:t xml:space="preserve"> </w:t>
            </w:r>
            <w:r>
              <w:rPr>
                <w:color w:val="FFFFFF"/>
                <w:spacing w:val="-5"/>
                <w:sz w:val="24"/>
              </w:rPr>
              <w:t>Use</w:t>
            </w:r>
          </w:p>
        </w:tc>
      </w:tr>
      <w:tr w:rsidR="00DB6E1F" w14:paraId="4FB8E973" w14:textId="77777777">
        <w:trPr>
          <w:trHeight w:val="359"/>
        </w:trPr>
        <w:tc>
          <w:tcPr>
            <w:tcW w:w="4946" w:type="dxa"/>
          </w:tcPr>
          <w:p w14:paraId="50DEF0AA" w14:textId="77777777" w:rsidR="00DB6E1F" w:rsidRDefault="00F666A6">
            <w:pPr>
              <w:pStyle w:val="TableParagraph"/>
              <w:spacing w:before="0" w:line="241" w:lineRule="exact"/>
              <w:rPr>
                <w:sz w:val="20"/>
              </w:rPr>
            </w:pPr>
            <w:r>
              <w:rPr>
                <w:sz w:val="20"/>
              </w:rPr>
              <w:t>Reasons</w:t>
            </w:r>
            <w:r>
              <w:rPr>
                <w:spacing w:val="-8"/>
                <w:sz w:val="20"/>
              </w:rPr>
              <w:t xml:space="preserve"> </w:t>
            </w:r>
            <w:r>
              <w:rPr>
                <w:sz w:val="20"/>
              </w:rPr>
              <w:t>to</w:t>
            </w:r>
            <w:r>
              <w:rPr>
                <w:spacing w:val="-6"/>
                <w:sz w:val="20"/>
              </w:rPr>
              <w:t xml:space="preserve"> </w:t>
            </w:r>
            <w:r>
              <w:rPr>
                <w:sz w:val="20"/>
              </w:rPr>
              <w:t>Continue</w:t>
            </w:r>
            <w:r>
              <w:rPr>
                <w:spacing w:val="-7"/>
                <w:sz w:val="20"/>
              </w:rPr>
              <w:t xml:space="preserve"> </w:t>
            </w:r>
            <w:r>
              <w:rPr>
                <w:sz w:val="20"/>
              </w:rPr>
              <w:t>Substance</w:t>
            </w:r>
            <w:r>
              <w:rPr>
                <w:spacing w:val="-8"/>
                <w:sz w:val="20"/>
              </w:rPr>
              <w:t xml:space="preserve"> </w:t>
            </w:r>
            <w:r>
              <w:rPr>
                <w:sz w:val="20"/>
              </w:rPr>
              <w:t>Use</w:t>
            </w:r>
            <w:r>
              <w:rPr>
                <w:spacing w:val="-7"/>
                <w:sz w:val="20"/>
              </w:rPr>
              <w:t xml:space="preserve"> </w:t>
            </w:r>
            <w:r>
              <w:rPr>
                <w:sz w:val="20"/>
              </w:rPr>
              <w:t>(Status</w:t>
            </w:r>
            <w:r>
              <w:rPr>
                <w:spacing w:val="-7"/>
                <w:sz w:val="20"/>
              </w:rPr>
              <w:t xml:space="preserve"> </w:t>
            </w:r>
            <w:r>
              <w:rPr>
                <w:spacing w:val="-4"/>
                <w:sz w:val="20"/>
              </w:rPr>
              <w:t>Quo)</w:t>
            </w:r>
          </w:p>
        </w:tc>
        <w:tc>
          <w:tcPr>
            <w:tcW w:w="4404" w:type="dxa"/>
          </w:tcPr>
          <w:p w14:paraId="13C38B05" w14:textId="77777777" w:rsidR="00DB6E1F" w:rsidRDefault="00F666A6">
            <w:pPr>
              <w:pStyle w:val="TableParagraph"/>
              <w:spacing w:before="0" w:line="241" w:lineRule="exact"/>
              <w:ind w:left="105"/>
              <w:rPr>
                <w:sz w:val="20"/>
              </w:rPr>
            </w:pPr>
            <w:r>
              <w:rPr>
                <w:sz w:val="20"/>
              </w:rPr>
              <w:t>Reasons</w:t>
            </w:r>
            <w:r>
              <w:rPr>
                <w:spacing w:val="-9"/>
                <w:sz w:val="20"/>
              </w:rPr>
              <w:t xml:space="preserve"> </w:t>
            </w:r>
            <w:r>
              <w:rPr>
                <w:sz w:val="20"/>
              </w:rPr>
              <w:t>to</w:t>
            </w:r>
            <w:r>
              <w:rPr>
                <w:spacing w:val="-6"/>
                <w:sz w:val="20"/>
              </w:rPr>
              <w:t xml:space="preserve"> </w:t>
            </w:r>
            <w:r>
              <w:rPr>
                <w:sz w:val="20"/>
              </w:rPr>
              <w:t>Change</w:t>
            </w:r>
            <w:r>
              <w:rPr>
                <w:spacing w:val="-8"/>
                <w:sz w:val="20"/>
              </w:rPr>
              <w:t xml:space="preserve"> </w:t>
            </w:r>
            <w:r>
              <w:rPr>
                <w:sz w:val="20"/>
              </w:rPr>
              <w:t>Substance</w:t>
            </w:r>
            <w:r>
              <w:rPr>
                <w:spacing w:val="-5"/>
                <w:sz w:val="20"/>
              </w:rPr>
              <w:t xml:space="preserve"> </w:t>
            </w:r>
            <w:r>
              <w:rPr>
                <w:sz w:val="20"/>
              </w:rPr>
              <w:t>Use</w:t>
            </w:r>
            <w:r>
              <w:rPr>
                <w:spacing w:val="-8"/>
                <w:sz w:val="20"/>
              </w:rPr>
              <w:t xml:space="preserve"> </w:t>
            </w:r>
            <w:r>
              <w:rPr>
                <w:spacing w:val="-2"/>
                <w:sz w:val="20"/>
              </w:rPr>
              <w:t>(Change)</w:t>
            </w:r>
          </w:p>
        </w:tc>
      </w:tr>
      <w:tr w:rsidR="00DB6E1F" w14:paraId="14B89724" w14:textId="77777777">
        <w:trPr>
          <w:trHeight w:val="362"/>
        </w:trPr>
        <w:tc>
          <w:tcPr>
            <w:tcW w:w="4946" w:type="dxa"/>
          </w:tcPr>
          <w:p w14:paraId="03E0C82F" w14:textId="77777777" w:rsidR="00DB6E1F" w:rsidRDefault="00F666A6">
            <w:pPr>
              <w:pStyle w:val="TableParagraph"/>
              <w:rPr>
                <w:sz w:val="20"/>
              </w:rPr>
            </w:pPr>
            <w:r>
              <w:rPr>
                <w:sz w:val="20"/>
              </w:rPr>
              <w:t>Positives</w:t>
            </w:r>
            <w:r>
              <w:rPr>
                <w:spacing w:val="-8"/>
                <w:sz w:val="20"/>
              </w:rPr>
              <w:t xml:space="preserve"> </w:t>
            </w:r>
            <w:r>
              <w:rPr>
                <w:sz w:val="20"/>
              </w:rPr>
              <w:t>of</w:t>
            </w:r>
            <w:r>
              <w:rPr>
                <w:spacing w:val="-8"/>
                <w:sz w:val="20"/>
              </w:rPr>
              <w:t xml:space="preserve"> </w:t>
            </w:r>
            <w:r>
              <w:rPr>
                <w:sz w:val="20"/>
              </w:rPr>
              <w:t>substance</w:t>
            </w:r>
            <w:r>
              <w:rPr>
                <w:spacing w:val="-8"/>
                <w:sz w:val="20"/>
              </w:rPr>
              <w:t xml:space="preserve"> </w:t>
            </w:r>
            <w:r>
              <w:rPr>
                <w:spacing w:val="-5"/>
                <w:sz w:val="20"/>
              </w:rPr>
              <w:t>use</w:t>
            </w:r>
          </w:p>
        </w:tc>
        <w:tc>
          <w:tcPr>
            <w:tcW w:w="4404" w:type="dxa"/>
          </w:tcPr>
          <w:p w14:paraId="616C59A9" w14:textId="77777777" w:rsidR="00DB6E1F" w:rsidRDefault="00F666A6">
            <w:pPr>
              <w:pStyle w:val="TableParagraph"/>
              <w:ind w:left="105"/>
              <w:rPr>
                <w:sz w:val="20"/>
              </w:rPr>
            </w:pPr>
            <w:r>
              <w:rPr>
                <w:sz w:val="20"/>
              </w:rPr>
              <w:t>Negatives</w:t>
            </w:r>
            <w:r>
              <w:rPr>
                <w:spacing w:val="-10"/>
                <w:sz w:val="20"/>
              </w:rPr>
              <w:t xml:space="preserve"> </w:t>
            </w:r>
            <w:r>
              <w:rPr>
                <w:sz w:val="20"/>
              </w:rPr>
              <w:t>of</w:t>
            </w:r>
            <w:r>
              <w:rPr>
                <w:spacing w:val="-6"/>
                <w:sz w:val="20"/>
              </w:rPr>
              <w:t xml:space="preserve"> </w:t>
            </w:r>
            <w:r>
              <w:rPr>
                <w:sz w:val="20"/>
              </w:rPr>
              <w:t>substance</w:t>
            </w:r>
            <w:r>
              <w:rPr>
                <w:spacing w:val="-9"/>
                <w:sz w:val="20"/>
              </w:rPr>
              <w:t xml:space="preserve"> </w:t>
            </w:r>
            <w:r>
              <w:rPr>
                <w:spacing w:val="-5"/>
                <w:sz w:val="20"/>
              </w:rPr>
              <w:t>use</w:t>
            </w:r>
          </w:p>
        </w:tc>
      </w:tr>
      <w:tr w:rsidR="00DB6E1F" w14:paraId="23260F59" w14:textId="77777777">
        <w:trPr>
          <w:trHeight w:val="364"/>
        </w:trPr>
        <w:tc>
          <w:tcPr>
            <w:tcW w:w="4946" w:type="dxa"/>
          </w:tcPr>
          <w:p w14:paraId="088B0564" w14:textId="77777777" w:rsidR="00DB6E1F" w:rsidRDefault="00F666A6">
            <w:pPr>
              <w:pStyle w:val="TableParagraph"/>
              <w:spacing w:before="3"/>
              <w:rPr>
                <w:sz w:val="20"/>
              </w:rPr>
            </w:pPr>
            <w:r>
              <w:rPr>
                <w:sz w:val="20"/>
              </w:rPr>
              <w:t>Negatives</w:t>
            </w:r>
            <w:r>
              <w:rPr>
                <w:spacing w:val="-10"/>
                <w:sz w:val="20"/>
              </w:rPr>
              <w:t xml:space="preserve"> </w:t>
            </w:r>
            <w:r>
              <w:rPr>
                <w:sz w:val="20"/>
              </w:rPr>
              <w:t>of</w:t>
            </w:r>
            <w:r>
              <w:rPr>
                <w:spacing w:val="-9"/>
                <w:sz w:val="20"/>
              </w:rPr>
              <w:t xml:space="preserve"> </w:t>
            </w:r>
            <w:r>
              <w:rPr>
                <w:sz w:val="20"/>
              </w:rPr>
              <w:t>changing</w:t>
            </w:r>
            <w:r>
              <w:rPr>
                <w:spacing w:val="-6"/>
                <w:sz w:val="20"/>
              </w:rPr>
              <w:t xml:space="preserve"> </w:t>
            </w:r>
            <w:r>
              <w:rPr>
                <w:sz w:val="20"/>
              </w:rPr>
              <w:t>substance</w:t>
            </w:r>
            <w:r>
              <w:rPr>
                <w:spacing w:val="-10"/>
                <w:sz w:val="20"/>
              </w:rPr>
              <w:t xml:space="preserve"> </w:t>
            </w:r>
            <w:r>
              <w:rPr>
                <w:spacing w:val="-5"/>
                <w:sz w:val="20"/>
              </w:rPr>
              <w:t>use</w:t>
            </w:r>
          </w:p>
        </w:tc>
        <w:tc>
          <w:tcPr>
            <w:tcW w:w="4404" w:type="dxa"/>
          </w:tcPr>
          <w:p w14:paraId="585A817A" w14:textId="77777777" w:rsidR="00DB6E1F" w:rsidRDefault="00F666A6">
            <w:pPr>
              <w:pStyle w:val="TableParagraph"/>
              <w:spacing w:before="3"/>
              <w:ind w:left="105"/>
              <w:rPr>
                <w:sz w:val="20"/>
              </w:rPr>
            </w:pPr>
            <w:r>
              <w:rPr>
                <w:sz w:val="20"/>
              </w:rPr>
              <w:t>Positives</w:t>
            </w:r>
            <w:r>
              <w:rPr>
                <w:spacing w:val="-9"/>
                <w:sz w:val="20"/>
              </w:rPr>
              <w:t xml:space="preserve"> </w:t>
            </w:r>
            <w:r>
              <w:rPr>
                <w:sz w:val="20"/>
              </w:rPr>
              <w:t>of</w:t>
            </w:r>
            <w:r>
              <w:rPr>
                <w:spacing w:val="-9"/>
                <w:sz w:val="20"/>
              </w:rPr>
              <w:t xml:space="preserve"> </w:t>
            </w:r>
            <w:r>
              <w:rPr>
                <w:sz w:val="20"/>
              </w:rPr>
              <w:t>changing</w:t>
            </w:r>
            <w:r>
              <w:rPr>
                <w:spacing w:val="-8"/>
                <w:sz w:val="20"/>
              </w:rPr>
              <w:t xml:space="preserve"> </w:t>
            </w:r>
            <w:r>
              <w:rPr>
                <w:sz w:val="20"/>
              </w:rPr>
              <w:t>substance</w:t>
            </w:r>
            <w:r>
              <w:rPr>
                <w:spacing w:val="-9"/>
                <w:sz w:val="20"/>
              </w:rPr>
              <w:t xml:space="preserve"> </w:t>
            </w:r>
            <w:r>
              <w:rPr>
                <w:spacing w:val="-5"/>
                <w:sz w:val="20"/>
              </w:rPr>
              <w:t>use</w:t>
            </w:r>
          </w:p>
        </w:tc>
      </w:tr>
      <w:tr w:rsidR="00DB6E1F" w14:paraId="340B8173" w14:textId="77777777">
        <w:trPr>
          <w:trHeight w:val="405"/>
        </w:trPr>
        <w:tc>
          <w:tcPr>
            <w:tcW w:w="9350" w:type="dxa"/>
            <w:gridSpan w:val="2"/>
          </w:tcPr>
          <w:p w14:paraId="06277DA3" w14:textId="77777777" w:rsidR="00DB6E1F" w:rsidRDefault="00F666A6">
            <w:pPr>
              <w:pStyle w:val="TableParagraph"/>
              <w:spacing w:before="80"/>
              <w:rPr>
                <w:i/>
                <w:sz w:val="20"/>
              </w:rPr>
            </w:pPr>
            <w:r>
              <w:rPr>
                <w:i/>
                <w:sz w:val="20"/>
              </w:rPr>
              <w:t>Source:</w:t>
            </w:r>
            <w:r>
              <w:rPr>
                <w:i/>
                <w:spacing w:val="-6"/>
                <w:sz w:val="20"/>
              </w:rPr>
              <w:t xml:space="preserve"> </w:t>
            </w:r>
            <w:r>
              <w:rPr>
                <w:i/>
                <w:sz w:val="20"/>
              </w:rPr>
              <w:t>Connors</w:t>
            </w:r>
            <w:r>
              <w:rPr>
                <w:i/>
                <w:spacing w:val="-6"/>
                <w:sz w:val="20"/>
              </w:rPr>
              <w:t xml:space="preserve"> </w:t>
            </w:r>
            <w:r>
              <w:rPr>
                <w:i/>
                <w:sz w:val="20"/>
              </w:rPr>
              <w:t>et</w:t>
            </w:r>
            <w:r>
              <w:rPr>
                <w:i/>
                <w:spacing w:val="-5"/>
                <w:sz w:val="20"/>
              </w:rPr>
              <w:t xml:space="preserve"> </w:t>
            </w:r>
            <w:r>
              <w:rPr>
                <w:i/>
                <w:sz w:val="20"/>
              </w:rPr>
              <w:t>al.,</w:t>
            </w:r>
            <w:r>
              <w:rPr>
                <w:i/>
                <w:spacing w:val="-5"/>
                <w:sz w:val="20"/>
              </w:rPr>
              <w:t xml:space="preserve"> </w:t>
            </w:r>
            <w:r>
              <w:rPr>
                <w:i/>
                <w:spacing w:val="-2"/>
                <w:sz w:val="20"/>
              </w:rPr>
              <w:t>2013.</w:t>
            </w:r>
          </w:p>
        </w:tc>
      </w:tr>
    </w:tbl>
    <w:p w14:paraId="3871EB33" w14:textId="77777777" w:rsidR="00DB6E1F" w:rsidRDefault="00F666A6">
      <w:pPr>
        <w:spacing w:before="166"/>
        <w:ind w:left="1439" w:right="1491"/>
      </w:pPr>
      <w:r>
        <w:rPr>
          <w:b/>
        </w:rPr>
        <w:t xml:space="preserve">Presenting to clients a long list of reasons to change and a short list of reasons not to change may finally upset the balance and tip the scale toward change. </w:t>
      </w:r>
      <w:r>
        <w:t>However, the opposite (i.e., a long list of reasons</w:t>
      </w:r>
      <w:r>
        <w:rPr>
          <w:spacing w:val="-3"/>
        </w:rPr>
        <w:t xml:space="preserve"> </w:t>
      </w:r>
      <w:r>
        <w:t>not</w:t>
      </w:r>
      <w:r>
        <w:rPr>
          <w:spacing w:val="-3"/>
        </w:rPr>
        <w:t xml:space="preserve"> </w:t>
      </w:r>
      <w:r>
        <w:t>to change</w:t>
      </w:r>
      <w:r>
        <w:t xml:space="preserve"> and</w:t>
      </w:r>
      <w:r>
        <w:rPr>
          <w:spacing w:val="-4"/>
        </w:rPr>
        <w:t xml:space="preserve"> </w:t>
      </w:r>
      <w:r>
        <w:t>a</w:t>
      </w:r>
      <w:r>
        <w:rPr>
          <w:spacing w:val="-1"/>
        </w:rPr>
        <w:t xml:space="preserve"> </w:t>
      </w:r>
      <w:r>
        <w:t>short</w:t>
      </w:r>
      <w:r>
        <w:rPr>
          <w:spacing w:val="-3"/>
        </w:rPr>
        <w:t xml:space="preserve"> </w:t>
      </w:r>
      <w:r>
        <w:t>life</w:t>
      </w:r>
      <w:r>
        <w:rPr>
          <w:spacing w:val="-3"/>
        </w:rPr>
        <w:t xml:space="preserve"> </w:t>
      </w:r>
      <w:r>
        <w:t>of</w:t>
      </w:r>
      <w:r>
        <w:rPr>
          <w:spacing w:val="-1"/>
        </w:rPr>
        <w:t xml:space="preserve"> </w:t>
      </w:r>
      <w:r>
        <w:t>reason</w:t>
      </w:r>
      <w:r>
        <w:rPr>
          <w:spacing w:val="-4"/>
        </w:rPr>
        <w:t xml:space="preserve"> </w:t>
      </w:r>
      <w:r>
        <w:t>to change) can</w:t>
      </w:r>
      <w:r>
        <w:rPr>
          <w:spacing w:val="-2"/>
        </w:rPr>
        <w:t xml:space="preserve"> </w:t>
      </w:r>
      <w:r>
        <w:t>show how</w:t>
      </w:r>
      <w:r>
        <w:rPr>
          <w:spacing w:val="-3"/>
        </w:rPr>
        <w:t xml:space="preserve"> </w:t>
      </w:r>
      <w:r>
        <w:t>much</w:t>
      </w:r>
      <w:r>
        <w:rPr>
          <w:spacing w:val="-7"/>
        </w:rPr>
        <w:t xml:space="preserve"> </w:t>
      </w:r>
      <w:r>
        <w:t>work</w:t>
      </w:r>
      <w:r>
        <w:rPr>
          <w:spacing w:val="-3"/>
        </w:rPr>
        <w:t xml:space="preserve"> </w:t>
      </w:r>
      <w:r>
        <w:t>remains</w:t>
      </w:r>
      <w:r>
        <w:rPr>
          <w:spacing w:val="-1"/>
        </w:rPr>
        <w:t xml:space="preserve"> </w:t>
      </w:r>
      <w:r>
        <w:t>and</w:t>
      </w:r>
      <w:r>
        <w:rPr>
          <w:spacing w:val="-4"/>
        </w:rPr>
        <w:t xml:space="preserve"> </w:t>
      </w:r>
      <w:r>
        <w:t>can be used to prevent premature decision making.</w:t>
      </w:r>
    </w:p>
    <w:p w14:paraId="0558D5E1" w14:textId="77777777" w:rsidR="00DB6E1F" w:rsidRDefault="00F666A6">
      <w:pPr>
        <w:pStyle w:val="BodyText"/>
        <w:spacing w:before="160"/>
        <w:ind w:left="1438" w:right="1453"/>
      </w:pPr>
      <w:r>
        <w:t xml:space="preserve">Recognize that many clients find that one or two reasons to change counterbalance the weight of many reasons not to change and vice </w:t>
      </w:r>
      <w:r>
        <w:t>versa. Therefore, it is not just the number of reasons to change or not change but the</w:t>
      </w:r>
      <w:r>
        <w:rPr>
          <w:spacing w:val="-3"/>
        </w:rPr>
        <w:t xml:space="preserve"> </w:t>
      </w:r>
      <w:r>
        <w:t>strength</w:t>
      </w:r>
      <w:r>
        <w:rPr>
          <w:spacing w:val="-4"/>
        </w:rPr>
        <w:t xml:space="preserve"> </w:t>
      </w:r>
      <w:r>
        <w:t>of</w:t>
      </w:r>
      <w:r>
        <w:rPr>
          <w:spacing w:val="-4"/>
        </w:rPr>
        <w:t xml:space="preserve"> </w:t>
      </w:r>
      <w:r>
        <w:t>each</w:t>
      </w:r>
      <w:r>
        <w:rPr>
          <w:spacing w:val="-2"/>
        </w:rPr>
        <w:t xml:space="preserve"> </w:t>
      </w:r>
      <w:r>
        <w:t>reason</w:t>
      </w:r>
      <w:r>
        <w:rPr>
          <w:spacing w:val="-4"/>
        </w:rPr>
        <w:t xml:space="preserve"> </w:t>
      </w:r>
      <w:r>
        <w:t>that</w:t>
      </w:r>
      <w:r>
        <w:rPr>
          <w:spacing w:val="-3"/>
        </w:rPr>
        <w:t xml:space="preserve"> </w:t>
      </w:r>
      <w:r>
        <w:t>matters.</w:t>
      </w:r>
      <w:r>
        <w:rPr>
          <w:spacing w:val="-3"/>
        </w:rPr>
        <w:t xml:space="preserve"> </w:t>
      </w:r>
      <w:r>
        <w:rPr>
          <w:b/>
        </w:rPr>
        <w:t>Explore</w:t>
      </w:r>
      <w:r>
        <w:rPr>
          <w:b/>
          <w:spacing w:val="-2"/>
        </w:rPr>
        <w:t xml:space="preserve"> </w:t>
      </w:r>
      <w:r>
        <w:rPr>
          <w:b/>
        </w:rPr>
        <w:t>the</w:t>
      </w:r>
      <w:r>
        <w:rPr>
          <w:b/>
          <w:spacing w:val="-2"/>
        </w:rPr>
        <w:t xml:space="preserve"> </w:t>
      </w:r>
      <w:r>
        <w:rPr>
          <w:b/>
        </w:rPr>
        <w:t>relative</w:t>
      </w:r>
      <w:r>
        <w:rPr>
          <w:b/>
          <w:spacing w:val="-2"/>
        </w:rPr>
        <w:t xml:space="preserve"> </w:t>
      </w:r>
      <w:r>
        <w:rPr>
          <w:b/>
        </w:rPr>
        <w:t>strength</w:t>
      </w:r>
      <w:r>
        <w:rPr>
          <w:b/>
          <w:spacing w:val="-2"/>
        </w:rPr>
        <w:t xml:space="preserve"> </w:t>
      </w:r>
      <w:r>
        <w:rPr>
          <w:b/>
        </w:rPr>
        <w:t>of</w:t>
      </w:r>
      <w:r>
        <w:rPr>
          <w:b/>
          <w:spacing w:val="-1"/>
        </w:rPr>
        <w:t xml:space="preserve"> </w:t>
      </w:r>
      <w:r>
        <w:rPr>
          <w:b/>
        </w:rPr>
        <w:t>each</w:t>
      </w:r>
      <w:r>
        <w:rPr>
          <w:b/>
          <w:spacing w:val="-2"/>
        </w:rPr>
        <w:t xml:space="preserve"> </w:t>
      </w:r>
      <w:r>
        <w:rPr>
          <w:b/>
        </w:rPr>
        <w:t>motivational factor,</w:t>
      </w:r>
      <w:r>
        <w:rPr>
          <w:b/>
          <w:spacing w:val="-1"/>
        </w:rPr>
        <w:t xml:space="preserve"> </w:t>
      </w:r>
      <w:r>
        <w:rPr>
          <w:b/>
        </w:rPr>
        <w:t>and</w:t>
      </w:r>
      <w:r>
        <w:rPr>
          <w:b/>
          <w:spacing w:val="-3"/>
        </w:rPr>
        <w:t xml:space="preserve"> </w:t>
      </w:r>
      <w:r>
        <w:rPr>
          <w:b/>
        </w:rPr>
        <w:t>highlight</w:t>
      </w:r>
      <w:r>
        <w:rPr>
          <w:b/>
          <w:spacing w:val="-4"/>
        </w:rPr>
        <w:t xml:space="preserve"> </w:t>
      </w:r>
      <w:r>
        <w:rPr>
          <w:b/>
        </w:rPr>
        <w:t>the</w:t>
      </w:r>
      <w:r>
        <w:rPr>
          <w:b/>
          <w:spacing w:val="-3"/>
        </w:rPr>
        <w:t xml:space="preserve"> </w:t>
      </w:r>
      <w:r>
        <w:rPr>
          <w:b/>
        </w:rPr>
        <w:t>weight</w:t>
      </w:r>
      <w:r>
        <w:rPr>
          <w:b/>
          <w:spacing w:val="-4"/>
        </w:rPr>
        <w:t xml:space="preserve"> </w:t>
      </w:r>
      <w:r>
        <w:rPr>
          <w:b/>
        </w:rPr>
        <w:t>clients</w:t>
      </w:r>
      <w:r>
        <w:rPr>
          <w:b/>
          <w:spacing w:val="-1"/>
        </w:rPr>
        <w:t xml:space="preserve"> </w:t>
      </w:r>
      <w:r>
        <w:rPr>
          <w:b/>
        </w:rPr>
        <w:t>place</w:t>
      </w:r>
      <w:r>
        <w:rPr>
          <w:b/>
          <w:spacing w:val="-3"/>
        </w:rPr>
        <w:t xml:space="preserve"> </w:t>
      </w:r>
      <w:r>
        <w:rPr>
          <w:b/>
        </w:rPr>
        <w:t>on</w:t>
      </w:r>
      <w:r>
        <w:rPr>
          <w:b/>
          <w:spacing w:val="-3"/>
        </w:rPr>
        <w:t xml:space="preserve"> </w:t>
      </w:r>
      <w:r>
        <w:rPr>
          <w:b/>
        </w:rPr>
        <w:t>each</w:t>
      </w:r>
      <w:r>
        <w:rPr>
          <w:b/>
          <w:spacing w:val="-5"/>
        </w:rPr>
        <w:t xml:space="preserve"> </w:t>
      </w:r>
      <w:r>
        <w:rPr>
          <w:b/>
        </w:rPr>
        <w:t>change</w:t>
      </w:r>
      <w:r>
        <w:rPr>
          <w:b/>
          <w:spacing w:val="-3"/>
        </w:rPr>
        <w:t xml:space="preserve"> </w:t>
      </w:r>
      <w:r>
        <w:rPr>
          <w:b/>
        </w:rPr>
        <w:t xml:space="preserve">factor. </w:t>
      </w:r>
      <w:r>
        <w:t>Reasons</w:t>
      </w:r>
      <w:r>
        <w:rPr>
          <w:spacing w:val="-2"/>
        </w:rPr>
        <w:t xml:space="preserve"> </w:t>
      </w:r>
      <w:r>
        <w:t>for</w:t>
      </w:r>
      <w:r>
        <w:rPr>
          <w:spacing w:val="-4"/>
        </w:rPr>
        <w:t xml:space="preserve"> </w:t>
      </w:r>
      <w:r>
        <w:t>and</w:t>
      </w:r>
      <w:r>
        <w:rPr>
          <w:spacing w:val="-3"/>
        </w:rPr>
        <w:t xml:space="preserve"> </w:t>
      </w:r>
      <w:r>
        <w:t>against</w:t>
      </w:r>
      <w:r>
        <w:rPr>
          <w:spacing w:val="-1"/>
        </w:rPr>
        <w:t xml:space="preserve"> </w:t>
      </w:r>
      <w:r>
        <w:t>continuing substance use, or for and against aspects of change, are highly individual. Factors that shift the balance toward positive change for one person may barely matter to another. Also, the value or weight given to a particula</w:t>
      </w:r>
      <w:r>
        <w:t>r item in this inventory of pros and cons is likely to change over time.</w:t>
      </w:r>
    </w:p>
    <w:p w14:paraId="3C11BDC1" w14:textId="77777777" w:rsidR="00DB6E1F" w:rsidRDefault="00F666A6">
      <w:pPr>
        <w:pStyle w:val="BodyText"/>
        <w:spacing w:before="159"/>
        <w:ind w:left="1438" w:right="1444" w:hanging="1"/>
      </w:pPr>
      <w:r>
        <w:t>Whether</w:t>
      </w:r>
      <w:r>
        <w:rPr>
          <w:spacing w:val="-4"/>
        </w:rPr>
        <w:t xml:space="preserve"> </w:t>
      </w:r>
      <w:r>
        <w:t>or</w:t>
      </w:r>
      <w:r>
        <w:rPr>
          <w:spacing w:val="-2"/>
        </w:rPr>
        <w:t xml:space="preserve"> </w:t>
      </w:r>
      <w:r>
        <w:t>not</w:t>
      </w:r>
      <w:r>
        <w:rPr>
          <w:spacing w:val="-4"/>
        </w:rPr>
        <w:t xml:space="preserve"> </w:t>
      </w:r>
      <w:r>
        <w:t>you</w:t>
      </w:r>
      <w:r>
        <w:rPr>
          <w:spacing w:val="-3"/>
        </w:rPr>
        <w:t xml:space="preserve"> </w:t>
      </w:r>
      <w:r>
        <w:t>use</w:t>
      </w:r>
      <w:r>
        <w:rPr>
          <w:spacing w:val="-4"/>
        </w:rPr>
        <w:t xml:space="preserve"> </w:t>
      </w:r>
      <w:r>
        <w:t>a</w:t>
      </w:r>
      <w:r>
        <w:rPr>
          <w:spacing w:val="-4"/>
        </w:rPr>
        <w:t xml:space="preserve"> </w:t>
      </w:r>
      <w:r>
        <w:t>written</w:t>
      </w:r>
      <w:r>
        <w:rPr>
          <w:spacing w:val="-5"/>
        </w:rPr>
        <w:t xml:space="preserve"> </w:t>
      </w:r>
      <w:r>
        <w:t>worksheet,</w:t>
      </w:r>
      <w:r>
        <w:rPr>
          <w:spacing w:val="-2"/>
        </w:rPr>
        <w:t xml:space="preserve"> </w:t>
      </w:r>
      <w:r>
        <w:rPr>
          <w:b/>
        </w:rPr>
        <w:t>always</w:t>
      </w:r>
      <w:r>
        <w:rPr>
          <w:b/>
          <w:spacing w:val="-4"/>
        </w:rPr>
        <w:t xml:space="preserve"> </w:t>
      </w:r>
      <w:r>
        <w:rPr>
          <w:b/>
        </w:rPr>
        <w:t>listen</w:t>
      </w:r>
      <w:r>
        <w:rPr>
          <w:b/>
          <w:spacing w:val="-3"/>
        </w:rPr>
        <w:t xml:space="preserve"> </w:t>
      </w:r>
      <w:r>
        <w:rPr>
          <w:b/>
        </w:rPr>
        <w:t>carefully</w:t>
      </w:r>
      <w:r>
        <w:rPr>
          <w:b/>
          <w:spacing w:val="-3"/>
        </w:rPr>
        <w:t xml:space="preserve"> </w:t>
      </w:r>
      <w:r>
        <w:rPr>
          <w:b/>
        </w:rPr>
        <w:t>when</w:t>
      </w:r>
      <w:r>
        <w:rPr>
          <w:b/>
          <w:spacing w:val="-3"/>
        </w:rPr>
        <w:t xml:space="preserve"> </w:t>
      </w:r>
      <w:r>
        <w:rPr>
          <w:b/>
        </w:rPr>
        <w:t>clients</w:t>
      </w:r>
      <w:r>
        <w:rPr>
          <w:b/>
          <w:spacing w:val="-1"/>
        </w:rPr>
        <w:t xml:space="preserve"> </w:t>
      </w:r>
      <w:r>
        <w:rPr>
          <w:b/>
        </w:rPr>
        <w:t>express</w:t>
      </w:r>
      <w:r>
        <w:rPr>
          <w:b/>
          <w:spacing w:val="-4"/>
        </w:rPr>
        <w:t xml:space="preserve"> </w:t>
      </w:r>
      <w:r>
        <w:rPr>
          <w:b/>
        </w:rPr>
        <w:t xml:space="preserve">ambivalence. </w:t>
      </w:r>
      <w:r>
        <w:t>Both sides of ambivalence, expressed through sustain talk and change talk, are pr</w:t>
      </w:r>
      <w:r>
        <w:t>esent in clients at the same time (Miller &amp; Rollnick, 2013). You may hear both in a single client statement—for example, “I get</w:t>
      </w:r>
    </w:p>
    <w:p w14:paraId="0FA9649E" w14:textId="77777777" w:rsidR="00DB6E1F" w:rsidRDefault="00DB6E1F">
      <w:pPr>
        <w:sectPr w:rsidR="00DB6E1F">
          <w:pgSz w:w="12240" w:h="15840"/>
          <w:pgMar w:top="1200" w:right="0" w:bottom="780" w:left="0" w:header="763" w:footer="585" w:gutter="0"/>
          <w:cols w:space="720"/>
        </w:sectPr>
      </w:pPr>
    </w:p>
    <w:p w14:paraId="7085AA28" w14:textId="77777777" w:rsidR="00DB6E1F" w:rsidRDefault="00DB6E1F">
      <w:pPr>
        <w:pStyle w:val="BodyText"/>
        <w:spacing w:before="8"/>
        <w:rPr>
          <w:sz w:val="14"/>
        </w:rPr>
      </w:pPr>
    </w:p>
    <w:p w14:paraId="52DDB98A" w14:textId="77777777" w:rsidR="00DB6E1F" w:rsidRDefault="00F666A6">
      <w:pPr>
        <w:pStyle w:val="BodyText"/>
        <w:spacing w:before="56"/>
        <w:ind w:left="1440" w:right="1555"/>
      </w:pPr>
      <w:r>
        <w:t>so energized</w:t>
      </w:r>
      <w:r>
        <w:rPr>
          <w:spacing w:val="-1"/>
        </w:rPr>
        <w:t xml:space="preserve"> </w:t>
      </w:r>
      <w:r>
        <w:t>when I snort cocaine,</w:t>
      </w:r>
      <w:r>
        <w:rPr>
          <w:spacing w:val="-2"/>
        </w:rPr>
        <w:t xml:space="preserve"> </w:t>
      </w:r>
      <w:r>
        <w:t>but it’s</w:t>
      </w:r>
      <w:r>
        <w:rPr>
          <w:spacing w:val="-2"/>
        </w:rPr>
        <w:t xml:space="preserve"> </w:t>
      </w:r>
      <w:r>
        <w:t>so</w:t>
      </w:r>
      <w:r>
        <w:rPr>
          <w:spacing w:val="-1"/>
        </w:rPr>
        <w:t xml:space="preserve"> </w:t>
      </w:r>
      <w:r>
        <w:t>expensive. I’m</w:t>
      </w:r>
      <w:r>
        <w:rPr>
          <w:spacing w:val="-1"/>
        </w:rPr>
        <w:t xml:space="preserve"> </w:t>
      </w:r>
      <w:r>
        <w:t>not</w:t>
      </w:r>
      <w:r>
        <w:rPr>
          <w:spacing w:val="-2"/>
        </w:rPr>
        <w:t xml:space="preserve"> </w:t>
      </w:r>
      <w:r>
        <w:t>sure how</w:t>
      </w:r>
      <w:r>
        <w:rPr>
          <w:spacing w:val="-2"/>
        </w:rPr>
        <w:t xml:space="preserve"> </w:t>
      </w:r>
      <w:r>
        <w:t>I’ll pay</w:t>
      </w:r>
      <w:r>
        <w:rPr>
          <w:spacing w:val="-1"/>
        </w:rPr>
        <w:t xml:space="preserve"> </w:t>
      </w:r>
      <w:r>
        <w:t>the bills this</w:t>
      </w:r>
      <w:r>
        <w:rPr>
          <w:spacing w:val="-2"/>
        </w:rPr>
        <w:t xml:space="preserve"> </w:t>
      </w:r>
      <w:r>
        <w:t>month.” Although discussing with clients what they like about drinking or using drugs may establish rapport, increasing</w:t>
      </w:r>
      <w:r>
        <w:rPr>
          <w:spacing w:val="-3"/>
        </w:rPr>
        <w:t xml:space="preserve"> </w:t>
      </w:r>
      <w:r>
        <w:t>expressions</w:t>
      </w:r>
      <w:r>
        <w:rPr>
          <w:spacing w:val="-4"/>
        </w:rPr>
        <w:t xml:space="preserve"> </w:t>
      </w:r>
      <w:r>
        <w:t>of</w:t>
      </w:r>
      <w:r>
        <w:rPr>
          <w:spacing w:val="-5"/>
        </w:rPr>
        <w:t xml:space="preserve"> </w:t>
      </w:r>
      <w:r>
        <w:t>sustain</w:t>
      </w:r>
      <w:r>
        <w:rPr>
          <w:spacing w:val="-3"/>
        </w:rPr>
        <w:t xml:space="preserve"> </w:t>
      </w:r>
      <w:r>
        <w:t>talk</w:t>
      </w:r>
      <w:r>
        <w:rPr>
          <w:spacing w:val="-1"/>
        </w:rPr>
        <w:t xml:space="preserve"> </w:t>
      </w:r>
      <w:r>
        <w:t>is</w:t>
      </w:r>
      <w:r>
        <w:rPr>
          <w:spacing w:val="-4"/>
        </w:rPr>
        <w:t xml:space="preserve"> </w:t>
      </w:r>
      <w:r>
        <w:t>associated</w:t>
      </w:r>
      <w:r>
        <w:rPr>
          <w:spacing w:val="-3"/>
        </w:rPr>
        <w:t xml:space="preserve"> </w:t>
      </w:r>
      <w:r>
        <w:t>with</w:t>
      </w:r>
      <w:r>
        <w:rPr>
          <w:spacing w:val="-3"/>
        </w:rPr>
        <w:t xml:space="preserve"> </w:t>
      </w:r>
      <w:r>
        <w:t>negative</w:t>
      </w:r>
      <w:r>
        <w:rPr>
          <w:spacing w:val="-1"/>
        </w:rPr>
        <w:t xml:space="preserve"> </w:t>
      </w:r>
      <w:r>
        <w:t>client</w:t>
      </w:r>
      <w:r>
        <w:rPr>
          <w:spacing w:val="-4"/>
        </w:rPr>
        <w:t xml:space="preserve"> </w:t>
      </w:r>
      <w:r>
        <w:t>outcomes</w:t>
      </w:r>
      <w:r>
        <w:rPr>
          <w:spacing w:val="-4"/>
        </w:rPr>
        <w:t xml:space="preserve"> </w:t>
      </w:r>
      <w:r>
        <w:t>(Foster,</w:t>
      </w:r>
      <w:r>
        <w:rPr>
          <w:spacing w:val="-2"/>
        </w:rPr>
        <w:t xml:space="preserve"> </w:t>
      </w:r>
      <w:r>
        <w:t>Neighbors,</w:t>
      </w:r>
      <w:r>
        <w:rPr>
          <w:spacing w:val="-4"/>
        </w:rPr>
        <w:t xml:space="preserve"> </w:t>
      </w:r>
      <w:r>
        <w:t>&amp; Pai,</w:t>
      </w:r>
      <w:r>
        <w:rPr>
          <w:spacing w:val="-4"/>
        </w:rPr>
        <w:t xml:space="preserve"> </w:t>
      </w:r>
      <w:r>
        <w:t>2015;</w:t>
      </w:r>
      <w:r>
        <w:rPr>
          <w:spacing w:val="-1"/>
        </w:rPr>
        <w:t xml:space="preserve"> </w:t>
      </w:r>
      <w:r>
        <w:t>Houck</w:t>
      </w:r>
      <w:r>
        <w:rPr>
          <w:spacing w:val="-4"/>
        </w:rPr>
        <w:t xml:space="preserve"> </w:t>
      </w:r>
      <w:r>
        <w:t>&amp;</w:t>
      </w:r>
      <w:r>
        <w:rPr>
          <w:spacing w:val="-4"/>
        </w:rPr>
        <w:t xml:space="preserve"> </w:t>
      </w:r>
      <w:r>
        <w:t>Moyers,</w:t>
      </w:r>
      <w:r>
        <w:rPr>
          <w:spacing w:val="-2"/>
        </w:rPr>
        <w:t xml:space="preserve"> </w:t>
      </w:r>
      <w:r>
        <w:t>2015;</w:t>
      </w:r>
      <w:r>
        <w:rPr>
          <w:spacing w:val="-3"/>
        </w:rPr>
        <w:t xml:space="preserve"> </w:t>
      </w:r>
      <w:r>
        <w:t>Lindqvist</w:t>
      </w:r>
      <w:r>
        <w:t>,</w:t>
      </w:r>
      <w:r>
        <w:rPr>
          <w:spacing w:val="-4"/>
        </w:rPr>
        <w:t xml:space="preserve"> </w:t>
      </w:r>
      <w:r>
        <w:t>Forsberg,</w:t>
      </w:r>
      <w:r>
        <w:rPr>
          <w:spacing w:val="-4"/>
        </w:rPr>
        <w:t xml:space="preserve"> </w:t>
      </w:r>
      <w:r>
        <w:t>Enebrink,</w:t>
      </w:r>
      <w:r>
        <w:rPr>
          <w:spacing w:val="-2"/>
        </w:rPr>
        <w:t xml:space="preserve"> </w:t>
      </w:r>
      <w:r>
        <w:t>Andersson,</w:t>
      </w:r>
      <w:r>
        <w:rPr>
          <w:spacing w:val="-4"/>
        </w:rPr>
        <w:t xml:space="preserve"> </w:t>
      </w:r>
      <w:r>
        <w:t>&amp;</w:t>
      </w:r>
      <w:r>
        <w:rPr>
          <w:spacing w:val="-1"/>
        </w:rPr>
        <w:t xml:space="preserve"> </w:t>
      </w:r>
      <w:r>
        <w:t>Rosendahl,</w:t>
      </w:r>
      <w:r>
        <w:rPr>
          <w:spacing w:val="-2"/>
        </w:rPr>
        <w:t xml:space="preserve"> </w:t>
      </w:r>
      <w:r>
        <w:t>2017;</w:t>
      </w:r>
      <w:r>
        <w:rPr>
          <w:spacing w:val="-3"/>
        </w:rPr>
        <w:t xml:space="preserve"> </w:t>
      </w:r>
      <w:r>
        <w:t>Magill et al., 2014).</w:t>
      </w:r>
    </w:p>
    <w:p w14:paraId="1F23CA76" w14:textId="77777777" w:rsidR="00DB6E1F" w:rsidRDefault="00F666A6">
      <w:pPr>
        <w:spacing w:before="159"/>
        <w:ind w:left="1439" w:right="1491"/>
      </w:pPr>
      <w:r>
        <w:rPr>
          <w:b/>
        </w:rPr>
        <w:t>In DB, explore both sides of ambivalence, but avoid reinforcing sustain talk</w:t>
      </w:r>
      <w:r>
        <w:t xml:space="preserve">, </w:t>
      </w:r>
      <w:r>
        <w:rPr>
          <w:b/>
        </w:rPr>
        <w:t>which can be counterproductive</w:t>
      </w:r>
      <w:r>
        <w:rPr>
          <w:b/>
          <w:spacing w:val="-3"/>
        </w:rPr>
        <w:t xml:space="preserve"> </w:t>
      </w:r>
      <w:r>
        <w:t>(Krigel</w:t>
      </w:r>
      <w:r>
        <w:rPr>
          <w:spacing w:val="-4"/>
        </w:rPr>
        <w:t xml:space="preserve"> </w:t>
      </w:r>
      <w:r>
        <w:t>et</w:t>
      </w:r>
      <w:r>
        <w:rPr>
          <w:spacing w:val="-1"/>
        </w:rPr>
        <w:t xml:space="preserve"> </w:t>
      </w:r>
      <w:r>
        <w:t>al.,</w:t>
      </w:r>
      <w:r>
        <w:rPr>
          <w:spacing w:val="-4"/>
        </w:rPr>
        <w:t xml:space="preserve"> </w:t>
      </w:r>
      <w:r>
        <w:t>2017;</w:t>
      </w:r>
      <w:r>
        <w:rPr>
          <w:spacing w:val="-3"/>
        </w:rPr>
        <w:t xml:space="preserve"> </w:t>
      </w:r>
      <w:r>
        <w:t>Lindqvist</w:t>
      </w:r>
      <w:r>
        <w:rPr>
          <w:spacing w:val="-4"/>
        </w:rPr>
        <w:t xml:space="preserve"> </w:t>
      </w:r>
      <w:r>
        <w:t>et</w:t>
      </w:r>
      <w:r>
        <w:rPr>
          <w:spacing w:val="-1"/>
        </w:rPr>
        <w:t xml:space="preserve"> </w:t>
      </w:r>
      <w:r>
        <w:t>al.,</w:t>
      </w:r>
      <w:r>
        <w:rPr>
          <w:spacing w:val="-4"/>
        </w:rPr>
        <w:t xml:space="preserve"> </w:t>
      </w:r>
      <w:r>
        <w:t>2017;</w:t>
      </w:r>
      <w:r>
        <w:rPr>
          <w:spacing w:val="-3"/>
        </w:rPr>
        <w:t xml:space="preserve"> </w:t>
      </w:r>
      <w:r>
        <w:t>Miller</w:t>
      </w:r>
      <w:r>
        <w:rPr>
          <w:spacing w:val="-4"/>
        </w:rPr>
        <w:t xml:space="preserve"> </w:t>
      </w:r>
      <w:r>
        <w:t>&amp;</w:t>
      </w:r>
      <w:r>
        <w:rPr>
          <w:spacing w:val="-1"/>
        </w:rPr>
        <w:t xml:space="preserve"> </w:t>
      </w:r>
      <w:r>
        <w:t>Rose,</w:t>
      </w:r>
      <w:r>
        <w:rPr>
          <w:spacing w:val="-2"/>
        </w:rPr>
        <w:t xml:space="preserve"> </w:t>
      </w:r>
      <w:r>
        <w:t>2013).</w:t>
      </w:r>
      <w:r>
        <w:rPr>
          <w:spacing w:val="-2"/>
        </w:rPr>
        <w:t xml:space="preserve"> </w:t>
      </w:r>
      <w:r>
        <w:t>Once</w:t>
      </w:r>
      <w:r>
        <w:rPr>
          <w:spacing w:val="-1"/>
        </w:rPr>
        <w:t xml:space="preserve"> </w:t>
      </w:r>
      <w:r>
        <w:t>a</w:t>
      </w:r>
      <w:r>
        <w:rPr>
          <w:spacing w:val="-5"/>
        </w:rPr>
        <w:t xml:space="preserve"> </w:t>
      </w:r>
      <w:r>
        <w:t>client</w:t>
      </w:r>
      <w:r>
        <w:rPr>
          <w:spacing w:val="-1"/>
        </w:rPr>
        <w:t xml:space="preserve"> </w:t>
      </w:r>
      <w:r>
        <w:t>decides to change a substance use behavior, a DB exercise on the pros and cons of change may increase commitment to change (Miller &amp; Rose, 2013). Carefully consider your own intention and the client’s stage in the SOC before using a structure</w:t>
      </w:r>
      <w:r>
        <w:t>d DB that explores both sides of client ambivalence equally.</w:t>
      </w:r>
    </w:p>
    <w:p w14:paraId="3B1AD6DA" w14:textId="77777777" w:rsidR="00DB6E1F" w:rsidRDefault="00F666A6">
      <w:pPr>
        <w:pStyle w:val="BodyText"/>
        <w:spacing w:before="160"/>
        <w:ind w:left="1440"/>
      </w:pPr>
      <w:r>
        <w:t>Exhibit</w:t>
      </w:r>
      <w:r>
        <w:rPr>
          <w:spacing w:val="-2"/>
        </w:rPr>
        <w:t xml:space="preserve"> </w:t>
      </w:r>
      <w:r>
        <w:t>5.4</w:t>
      </w:r>
      <w:r>
        <w:rPr>
          <w:spacing w:val="-2"/>
        </w:rPr>
        <w:t xml:space="preserve"> </w:t>
      </w:r>
      <w:r>
        <w:t>describes</w:t>
      </w:r>
      <w:r>
        <w:rPr>
          <w:spacing w:val="-5"/>
        </w:rPr>
        <w:t xml:space="preserve"> </w:t>
      </w:r>
      <w:r>
        <w:t>other</w:t>
      </w:r>
      <w:r>
        <w:rPr>
          <w:spacing w:val="-8"/>
        </w:rPr>
        <w:t xml:space="preserve"> </w:t>
      </w:r>
      <w:r>
        <w:t>issues</w:t>
      </w:r>
      <w:r>
        <w:rPr>
          <w:spacing w:val="-3"/>
        </w:rPr>
        <w:t xml:space="preserve"> </w:t>
      </w:r>
      <w:r>
        <w:t>that</w:t>
      </w:r>
      <w:r>
        <w:rPr>
          <w:spacing w:val="-5"/>
        </w:rPr>
        <w:t xml:space="preserve"> </w:t>
      </w:r>
      <w:r>
        <w:t>may</w:t>
      </w:r>
      <w:r>
        <w:rPr>
          <w:spacing w:val="-2"/>
        </w:rPr>
        <w:t xml:space="preserve"> </w:t>
      </w:r>
      <w:r>
        <w:t>arise</w:t>
      </w:r>
      <w:r>
        <w:rPr>
          <w:spacing w:val="-1"/>
        </w:rPr>
        <w:t xml:space="preserve"> </w:t>
      </w:r>
      <w:r>
        <w:t>as</w:t>
      </w:r>
      <w:r>
        <w:rPr>
          <w:spacing w:val="-5"/>
        </w:rPr>
        <w:t xml:space="preserve"> </w:t>
      </w:r>
      <w:r>
        <w:t>clients</w:t>
      </w:r>
      <w:r>
        <w:rPr>
          <w:spacing w:val="-3"/>
        </w:rPr>
        <w:t xml:space="preserve"> </w:t>
      </w:r>
      <w:r>
        <w:t>explore</w:t>
      </w:r>
      <w:r>
        <w:rPr>
          <w:spacing w:val="-2"/>
        </w:rPr>
        <w:t xml:space="preserve"> </w:t>
      </w:r>
      <w:r>
        <w:t>pros</w:t>
      </w:r>
      <w:r>
        <w:rPr>
          <w:spacing w:val="-3"/>
        </w:rPr>
        <w:t xml:space="preserve"> </w:t>
      </w:r>
      <w:r>
        <w:t>and</w:t>
      </w:r>
      <w:r>
        <w:rPr>
          <w:spacing w:val="-6"/>
        </w:rPr>
        <w:t xml:space="preserve"> </w:t>
      </w:r>
      <w:r>
        <w:t>cons</w:t>
      </w:r>
      <w:r>
        <w:rPr>
          <w:spacing w:val="-5"/>
        </w:rPr>
        <w:t xml:space="preserve"> </w:t>
      </w:r>
      <w:r>
        <w:t>of</w:t>
      </w:r>
      <w:r>
        <w:rPr>
          <w:spacing w:val="-2"/>
        </w:rPr>
        <w:t xml:space="preserve"> change.</w:t>
      </w:r>
    </w:p>
    <w:p w14:paraId="0FB135B3" w14:textId="77777777" w:rsidR="00DB6E1F" w:rsidRDefault="00DB6E1F">
      <w:pPr>
        <w:pStyle w:val="BodyText"/>
        <w:rPr>
          <w:sz w:val="20"/>
        </w:rPr>
      </w:pPr>
    </w:p>
    <w:p w14:paraId="1C65D8F7" w14:textId="77777777" w:rsidR="00DB6E1F" w:rsidRDefault="00DB6E1F">
      <w:pPr>
        <w:pStyle w:val="BodyText"/>
        <w:spacing w:before="2"/>
        <w:rPr>
          <w:sz w:val="21"/>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7963"/>
      </w:tblGrid>
      <w:tr w:rsidR="00DB6E1F" w14:paraId="025DCEB0" w14:textId="77777777">
        <w:trPr>
          <w:trHeight w:val="549"/>
        </w:trPr>
        <w:tc>
          <w:tcPr>
            <w:tcW w:w="9302" w:type="dxa"/>
            <w:gridSpan w:val="2"/>
            <w:tcBorders>
              <w:top w:val="nil"/>
              <w:left w:val="nil"/>
              <w:bottom w:val="nil"/>
              <w:right w:val="nil"/>
            </w:tcBorders>
            <w:shd w:val="clear" w:color="auto" w:fill="000000"/>
          </w:tcPr>
          <w:p w14:paraId="0A413368" w14:textId="77777777" w:rsidR="00DB6E1F" w:rsidRDefault="00F666A6">
            <w:pPr>
              <w:pStyle w:val="TableParagraph"/>
              <w:spacing w:before="131"/>
              <w:ind w:left="213"/>
              <w:rPr>
                <w:sz w:val="24"/>
              </w:rPr>
            </w:pPr>
            <w:r>
              <w:rPr>
                <w:color w:val="FFFFFF"/>
                <w:sz w:val="24"/>
              </w:rPr>
              <w:t>Exhibit</w:t>
            </w:r>
            <w:r>
              <w:rPr>
                <w:color w:val="FFFFFF"/>
                <w:spacing w:val="-2"/>
                <w:sz w:val="24"/>
              </w:rPr>
              <w:t xml:space="preserve"> </w:t>
            </w:r>
            <w:r>
              <w:rPr>
                <w:color w:val="FFFFFF"/>
                <w:sz w:val="24"/>
              </w:rPr>
              <w:t>5.4.</w:t>
            </w:r>
            <w:r>
              <w:rPr>
                <w:color w:val="FFFFFF"/>
                <w:spacing w:val="-2"/>
                <w:sz w:val="24"/>
              </w:rPr>
              <w:t xml:space="preserve"> </w:t>
            </w:r>
            <w:r>
              <w:rPr>
                <w:color w:val="FFFFFF"/>
                <w:sz w:val="24"/>
              </w:rPr>
              <w:t>Other</w:t>
            </w:r>
            <w:r>
              <w:rPr>
                <w:color w:val="FFFFFF"/>
                <w:spacing w:val="-2"/>
                <w:sz w:val="24"/>
              </w:rPr>
              <w:t xml:space="preserve"> </w:t>
            </w:r>
            <w:r>
              <w:rPr>
                <w:color w:val="FFFFFF"/>
                <w:sz w:val="24"/>
              </w:rPr>
              <w:t>Issues</w:t>
            </w:r>
            <w:r>
              <w:rPr>
                <w:color w:val="FFFFFF"/>
                <w:spacing w:val="-3"/>
                <w:sz w:val="24"/>
              </w:rPr>
              <w:t xml:space="preserve"> </w:t>
            </w:r>
            <w:r>
              <w:rPr>
                <w:color w:val="FFFFFF"/>
                <w:sz w:val="24"/>
              </w:rPr>
              <w:t>in Decisional</w:t>
            </w:r>
            <w:r>
              <w:rPr>
                <w:color w:val="FFFFFF"/>
                <w:spacing w:val="-2"/>
                <w:sz w:val="24"/>
              </w:rPr>
              <w:t xml:space="preserve"> Balance</w:t>
            </w:r>
          </w:p>
        </w:tc>
      </w:tr>
      <w:tr w:rsidR="00DB6E1F" w14:paraId="25D95FA3" w14:textId="77777777">
        <w:trPr>
          <w:trHeight w:val="1091"/>
        </w:trPr>
        <w:tc>
          <w:tcPr>
            <w:tcW w:w="1339" w:type="dxa"/>
          </w:tcPr>
          <w:p w14:paraId="63CEE85D" w14:textId="77777777" w:rsidR="00DB6E1F" w:rsidRDefault="00F666A6">
            <w:pPr>
              <w:pStyle w:val="TableParagraph"/>
              <w:spacing w:before="0" w:line="241" w:lineRule="exact"/>
              <w:rPr>
                <w:sz w:val="20"/>
              </w:rPr>
            </w:pPr>
            <w:r>
              <w:rPr>
                <w:sz w:val="20"/>
              </w:rPr>
              <w:t>Loss</w:t>
            </w:r>
            <w:r>
              <w:rPr>
                <w:spacing w:val="-6"/>
                <w:sz w:val="20"/>
              </w:rPr>
              <w:t xml:space="preserve"> </w:t>
            </w:r>
            <w:r>
              <w:rPr>
                <w:sz w:val="20"/>
              </w:rPr>
              <w:t>and</w:t>
            </w:r>
            <w:r>
              <w:rPr>
                <w:spacing w:val="-3"/>
                <w:sz w:val="20"/>
              </w:rPr>
              <w:t xml:space="preserve"> </w:t>
            </w:r>
            <w:r>
              <w:rPr>
                <w:spacing w:val="-2"/>
                <w:sz w:val="20"/>
              </w:rPr>
              <w:t>grief</w:t>
            </w:r>
          </w:p>
        </w:tc>
        <w:tc>
          <w:tcPr>
            <w:tcW w:w="7963" w:type="dxa"/>
          </w:tcPr>
          <w:p w14:paraId="13B51AFF" w14:textId="77777777" w:rsidR="00DB6E1F" w:rsidRDefault="00F666A6">
            <w:pPr>
              <w:pStyle w:val="TableParagraph"/>
              <w:spacing w:before="0"/>
              <w:ind w:left="108" w:right="96"/>
              <w:rPr>
                <w:sz w:val="20"/>
              </w:rPr>
            </w:pPr>
            <w:r>
              <w:rPr>
                <w:sz w:val="20"/>
              </w:rPr>
              <w:t>Giving</w:t>
            </w:r>
            <w:r>
              <w:rPr>
                <w:spacing w:val="-2"/>
                <w:sz w:val="20"/>
              </w:rPr>
              <w:t xml:space="preserve"> </w:t>
            </w:r>
            <w:r>
              <w:rPr>
                <w:sz w:val="20"/>
              </w:rPr>
              <w:t>up</w:t>
            </w:r>
            <w:r>
              <w:rPr>
                <w:spacing w:val="-1"/>
                <w:sz w:val="20"/>
              </w:rPr>
              <w:t xml:space="preserve"> </w:t>
            </w:r>
            <w:r>
              <w:rPr>
                <w:sz w:val="20"/>
              </w:rPr>
              <w:t>a</w:t>
            </w:r>
            <w:r>
              <w:rPr>
                <w:spacing w:val="-2"/>
                <w:sz w:val="20"/>
              </w:rPr>
              <w:t xml:space="preserve"> </w:t>
            </w:r>
            <w:r>
              <w:rPr>
                <w:sz w:val="20"/>
              </w:rPr>
              <w:t>way</w:t>
            </w:r>
            <w:r>
              <w:rPr>
                <w:spacing w:val="-1"/>
                <w:sz w:val="20"/>
              </w:rPr>
              <w:t xml:space="preserve"> </w:t>
            </w:r>
            <w:r>
              <w:rPr>
                <w:sz w:val="20"/>
              </w:rPr>
              <w:t>of</w:t>
            </w:r>
            <w:r>
              <w:rPr>
                <w:spacing w:val="-3"/>
                <w:sz w:val="20"/>
              </w:rPr>
              <w:t xml:space="preserve"> </w:t>
            </w:r>
            <w:r>
              <w:rPr>
                <w:sz w:val="20"/>
              </w:rPr>
              <w:t>life</w:t>
            </w:r>
            <w:r>
              <w:rPr>
                <w:spacing w:val="-3"/>
                <w:sz w:val="20"/>
              </w:rPr>
              <w:t xml:space="preserve"> </w:t>
            </w:r>
            <w:r>
              <w:rPr>
                <w:sz w:val="20"/>
              </w:rPr>
              <w:t>can</w:t>
            </w:r>
            <w:r>
              <w:rPr>
                <w:spacing w:val="-1"/>
                <w:sz w:val="20"/>
              </w:rPr>
              <w:t xml:space="preserve"> </w:t>
            </w:r>
            <w:r>
              <w:rPr>
                <w:sz w:val="20"/>
              </w:rPr>
              <w:t>be as</w:t>
            </w:r>
            <w:r>
              <w:rPr>
                <w:spacing w:val="-3"/>
                <w:sz w:val="20"/>
              </w:rPr>
              <w:t xml:space="preserve"> </w:t>
            </w:r>
            <w:r>
              <w:rPr>
                <w:sz w:val="20"/>
              </w:rPr>
              <w:t>intense</w:t>
            </w:r>
            <w:r>
              <w:rPr>
                <w:spacing w:val="-3"/>
                <w:sz w:val="20"/>
              </w:rPr>
              <w:t xml:space="preserve"> </w:t>
            </w:r>
            <w:r>
              <w:rPr>
                <w:sz w:val="20"/>
              </w:rPr>
              <w:t>as</w:t>
            </w:r>
            <w:r>
              <w:rPr>
                <w:spacing w:val="-3"/>
                <w:sz w:val="20"/>
              </w:rPr>
              <w:t xml:space="preserve"> </w:t>
            </w:r>
            <w:r>
              <w:rPr>
                <w:sz w:val="20"/>
              </w:rPr>
              <w:t>the</w:t>
            </w:r>
            <w:r>
              <w:rPr>
                <w:spacing w:val="-3"/>
                <w:sz w:val="20"/>
              </w:rPr>
              <w:t xml:space="preserve"> </w:t>
            </w:r>
            <w:r>
              <w:rPr>
                <w:sz w:val="20"/>
              </w:rPr>
              <w:t>loss</w:t>
            </w:r>
            <w:r>
              <w:rPr>
                <w:spacing w:val="-3"/>
                <w:sz w:val="20"/>
              </w:rPr>
              <w:t xml:space="preserve"> </w:t>
            </w:r>
            <w:r>
              <w:rPr>
                <w:sz w:val="20"/>
              </w:rPr>
              <w:t>of</w:t>
            </w:r>
            <w:r>
              <w:rPr>
                <w:spacing w:val="-3"/>
                <w:sz w:val="20"/>
              </w:rPr>
              <w:t xml:space="preserve"> </w:t>
            </w:r>
            <w:r>
              <w:rPr>
                <w:sz w:val="20"/>
              </w:rPr>
              <w:t>a</w:t>
            </w:r>
            <w:r>
              <w:rPr>
                <w:spacing w:val="-2"/>
                <w:sz w:val="20"/>
              </w:rPr>
              <w:t xml:space="preserve"> </w:t>
            </w:r>
            <w:r>
              <w:rPr>
                <w:sz w:val="20"/>
              </w:rPr>
              <w:t>close</w:t>
            </w:r>
            <w:r>
              <w:rPr>
                <w:spacing w:val="-3"/>
                <w:sz w:val="20"/>
              </w:rPr>
              <w:t xml:space="preserve"> </w:t>
            </w:r>
            <w:r>
              <w:rPr>
                <w:sz w:val="20"/>
              </w:rPr>
              <w:t>friend.</w:t>
            </w:r>
            <w:r>
              <w:rPr>
                <w:spacing w:val="-2"/>
                <w:sz w:val="20"/>
              </w:rPr>
              <w:t xml:space="preserve"> </w:t>
            </w:r>
            <w:r>
              <w:rPr>
                <w:sz w:val="20"/>
              </w:rPr>
              <w:t>Many</w:t>
            </w:r>
            <w:r>
              <w:rPr>
                <w:spacing w:val="-1"/>
                <w:sz w:val="20"/>
              </w:rPr>
              <w:t xml:space="preserve"> </w:t>
            </w:r>
            <w:r>
              <w:rPr>
                <w:sz w:val="20"/>
              </w:rPr>
              <w:t>clients</w:t>
            </w:r>
            <w:r>
              <w:rPr>
                <w:spacing w:val="-3"/>
                <w:sz w:val="20"/>
              </w:rPr>
              <w:t xml:space="preserve"> </w:t>
            </w:r>
            <w:r>
              <w:rPr>
                <w:sz w:val="20"/>
              </w:rPr>
              <w:t>need</w:t>
            </w:r>
            <w:r>
              <w:rPr>
                <w:spacing w:val="-1"/>
                <w:sz w:val="20"/>
              </w:rPr>
              <w:t xml:space="preserve"> </w:t>
            </w:r>
            <w:r>
              <w:rPr>
                <w:sz w:val="20"/>
              </w:rPr>
              <w:t>time</w:t>
            </w:r>
            <w:r>
              <w:rPr>
                <w:spacing w:val="-3"/>
                <w:sz w:val="20"/>
              </w:rPr>
              <w:t xml:space="preserve"> </w:t>
            </w:r>
            <w:r>
              <w:rPr>
                <w:sz w:val="20"/>
              </w:rPr>
              <w:t>for grieving.</w:t>
            </w:r>
            <w:r>
              <w:rPr>
                <w:spacing w:val="-1"/>
                <w:sz w:val="20"/>
              </w:rPr>
              <w:t xml:space="preserve"> </w:t>
            </w:r>
            <w:r>
              <w:rPr>
                <w:sz w:val="20"/>
              </w:rPr>
              <w:t>They have</w:t>
            </w:r>
            <w:r>
              <w:rPr>
                <w:spacing w:val="-2"/>
                <w:sz w:val="20"/>
              </w:rPr>
              <w:t xml:space="preserve"> </w:t>
            </w:r>
            <w:r>
              <w:rPr>
                <w:sz w:val="20"/>
              </w:rPr>
              <w:t>to</w:t>
            </w:r>
            <w:r>
              <w:rPr>
                <w:spacing w:val="-1"/>
                <w:sz w:val="20"/>
              </w:rPr>
              <w:t xml:space="preserve"> </w:t>
            </w:r>
            <w:r>
              <w:rPr>
                <w:sz w:val="20"/>
              </w:rPr>
              <w:t>acknowledge</w:t>
            </w:r>
            <w:r>
              <w:rPr>
                <w:spacing w:val="-2"/>
                <w:sz w:val="20"/>
              </w:rPr>
              <w:t xml:space="preserve"> </w:t>
            </w:r>
            <w:r>
              <w:rPr>
                <w:sz w:val="20"/>
              </w:rPr>
              <w:t>and mourn this</w:t>
            </w:r>
            <w:r>
              <w:rPr>
                <w:spacing w:val="-2"/>
                <w:sz w:val="20"/>
              </w:rPr>
              <w:t xml:space="preserve"> </w:t>
            </w:r>
            <w:r>
              <w:rPr>
                <w:sz w:val="20"/>
              </w:rPr>
              <w:t>loss</w:t>
            </w:r>
            <w:r>
              <w:rPr>
                <w:spacing w:val="-2"/>
                <w:sz w:val="20"/>
              </w:rPr>
              <w:t xml:space="preserve"> </w:t>
            </w:r>
            <w:r>
              <w:rPr>
                <w:sz w:val="20"/>
              </w:rPr>
              <w:t>before</w:t>
            </w:r>
            <w:r>
              <w:rPr>
                <w:spacing w:val="-2"/>
                <w:sz w:val="20"/>
              </w:rPr>
              <w:t xml:space="preserve"> </w:t>
            </w:r>
            <w:r>
              <w:rPr>
                <w:sz w:val="20"/>
              </w:rPr>
              <w:t>they are</w:t>
            </w:r>
            <w:r>
              <w:rPr>
                <w:spacing w:val="-2"/>
                <w:sz w:val="20"/>
              </w:rPr>
              <w:t xml:space="preserve"> </w:t>
            </w:r>
            <w:r>
              <w:rPr>
                <w:sz w:val="20"/>
              </w:rPr>
              <w:t>ready to</w:t>
            </w:r>
            <w:r>
              <w:rPr>
                <w:spacing w:val="-1"/>
                <w:sz w:val="20"/>
              </w:rPr>
              <w:t xml:space="preserve"> </w:t>
            </w:r>
            <w:r>
              <w:rPr>
                <w:sz w:val="20"/>
              </w:rPr>
              <w:t>build</w:t>
            </w:r>
            <w:r>
              <w:rPr>
                <w:spacing w:val="-3"/>
                <w:sz w:val="20"/>
              </w:rPr>
              <w:t xml:space="preserve"> </w:t>
            </w:r>
            <w:r>
              <w:rPr>
                <w:sz w:val="20"/>
              </w:rPr>
              <w:t>a strong attachment to recovery. Pushing them to change too fast can weaken determination. Patienc</w:t>
            </w:r>
            <w:r>
              <w:rPr>
                <w:sz w:val="20"/>
              </w:rPr>
              <w:t>e and empathy are reassuring at this time.</w:t>
            </w:r>
          </w:p>
        </w:tc>
      </w:tr>
      <w:tr w:rsidR="00DB6E1F" w14:paraId="464C69B2" w14:textId="77777777">
        <w:trPr>
          <w:trHeight w:val="1583"/>
        </w:trPr>
        <w:tc>
          <w:tcPr>
            <w:tcW w:w="1339" w:type="dxa"/>
          </w:tcPr>
          <w:p w14:paraId="1F36B022" w14:textId="77777777" w:rsidR="00DB6E1F" w:rsidRDefault="00F666A6">
            <w:pPr>
              <w:pStyle w:val="TableParagraph"/>
              <w:ind w:right="47"/>
              <w:rPr>
                <w:sz w:val="20"/>
              </w:rPr>
            </w:pPr>
            <w:r>
              <w:rPr>
                <w:spacing w:val="-2"/>
                <w:sz w:val="20"/>
              </w:rPr>
              <w:t xml:space="preserve">Reservations </w:t>
            </w:r>
            <w:r>
              <w:rPr>
                <w:sz w:val="20"/>
              </w:rPr>
              <w:t>or</w:t>
            </w:r>
            <w:r>
              <w:rPr>
                <w:spacing w:val="-2"/>
                <w:sz w:val="20"/>
              </w:rPr>
              <w:t xml:space="preserve"> reluctance</w:t>
            </w:r>
          </w:p>
        </w:tc>
        <w:tc>
          <w:tcPr>
            <w:tcW w:w="7963" w:type="dxa"/>
          </w:tcPr>
          <w:p w14:paraId="100FB982" w14:textId="77777777" w:rsidR="00DB6E1F" w:rsidRDefault="00F666A6">
            <w:pPr>
              <w:pStyle w:val="TableParagraph"/>
              <w:ind w:left="108" w:right="121"/>
              <w:rPr>
                <w:sz w:val="20"/>
              </w:rPr>
            </w:pPr>
            <w:r>
              <w:rPr>
                <w:sz w:val="20"/>
              </w:rPr>
              <w:t>Serious</w:t>
            </w:r>
            <w:r>
              <w:rPr>
                <w:spacing w:val="-2"/>
                <w:sz w:val="20"/>
              </w:rPr>
              <w:t xml:space="preserve"> </w:t>
            </w:r>
            <w:r>
              <w:rPr>
                <w:sz w:val="20"/>
              </w:rPr>
              <w:t>reservations</w:t>
            </w:r>
            <w:r>
              <w:rPr>
                <w:spacing w:val="-2"/>
                <w:sz w:val="20"/>
              </w:rPr>
              <w:t xml:space="preserve"> </w:t>
            </w:r>
            <w:r>
              <w:rPr>
                <w:sz w:val="20"/>
              </w:rPr>
              <w:t>about</w:t>
            </w:r>
            <w:r>
              <w:rPr>
                <w:spacing w:val="-1"/>
                <w:sz w:val="20"/>
              </w:rPr>
              <w:t xml:space="preserve"> </w:t>
            </w:r>
            <w:r>
              <w:rPr>
                <w:sz w:val="20"/>
              </w:rPr>
              <w:t>change</w:t>
            </w:r>
            <w:r>
              <w:rPr>
                <w:spacing w:val="-2"/>
                <w:sz w:val="20"/>
              </w:rPr>
              <w:t xml:space="preserve"> </w:t>
            </w:r>
            <w:r>
              <w:rPr>
                <w:sz w:val="20"/>
              </w:rPr>
              <w:t>can be</w:t>
            </w:r>
            <w:r>
              <w:rPr>
                <w:spacing w:val="-2"/>
                <w:sz w:val="20"/>
              </w:rPr>
              <w:t xml:space="preserve"> </w:t>
            </w:r>
            <w:r>
              <w:rPr>
                <w:sz w:val="20"/>
              </w:rPr>
              <w:t>a</w:t>
            </w:r>
            <w:r>
              <w:rPr>
                <w:spacing w:val="-1"/>
                <w:sz w:val="20"/>
              </w:rPr>
              <w:t xml:space="preserve"> </w:t>
            </w:r>
            <w:r>
              <w:rPr>
                <w:sz w:val="20"/>
              </w:rPr>
              <w:t>signal</w:t>
            </w:r>
            <w:r>
              <w:rPr>
                <w:spacing w:val="-1"/>
                <w:sz w:val="20"/>
              </w:rPr>
              <w:t xml:space="preserve"> </w:t>
            </w:r>
            <w:r>
              <w:rPr>
                <w:sz w:val="20"/>
              </w:rPr>
              <w:t>that</w:t>
            </w:r>
            <w:r>
              <w:rPr>
                <w:spacing w:val="-1"/>
                <w:sz w:val="20"/>
              </w:rPr>
              <w:t xml:space="preserve"> </w:t>
            </w:r>
            <w:r>
              <w:rPr>
                <w:sz w:val="20"/>
              </w:rPr>
              <w:t>you</w:t>
            </w:r>
            <w:r>
              <w:rPr>
                <w:spacing w:val="-3"/>
                <w:sz w:val="20"/>
              </w:rPr>
              <w:t xml:space="preserve"> </w:t>
            </w:r>
            <w:r>
              <w:rPr>
                <w:sz w:val="20"/>
              </w:rPr>
              <w:t>and clients</w:t>
            </w:r>
            <w:r>
              <w:rPr>
                <w:spacing w:val="-2"/>
                <w:sz w:val="20"/>
              </w:rPr>
              <w:t xml:space="preserve"> </w:t>
            </w:r>
            <w:r>
              <w:rPr>
                <w:sz w:val="20"/>
              </w:rPr>
              <w:t>have</w:t>
            </w:r>
            <w:r>
              <w:rPr>
                <w:spacing w:val="-2"/>
                <w:sz w:val="20"/>
              </w:rPr>
              <w:t xml:space="preserve"> </w:t>
            </w:r>
            <w:r>
              <w:rPr>
                <w:sz w:val="20"/>
              </w:rPr>
              <w:t>different</w:t>
            </w:r>
            <w:r>
              <w:rPr>
                <w:spacing w:val="-1"/>
                <w:sz w:val="20"/>
              </w:rPr>
              <w:t xml:space="preserve"> </w:t>
            </w:r>
            <w:r>
              <w:rPr>
                <w:sz w:val="20"/>
              </w:rPr>
              <w:t>views.</w:t>
            </w:r>
            <w:r>
              <w:rPr>
                <w:spacing w:val="-1"/>
                <w:sz w:val="20"/>
              </w:rPr>
              <w:t xml:space="preserve"> </w:t>
            </w:r>
            <w:r>
              <w:rPr>
                <w:sz w:val="20"/>
              </w:rPr>
              <w:t>As clients move into the Preparation stage, they may become defensive if pushed to commit to change before they are ready or if their goals conflict with yours. They may express this reluctance</w:t>
            </w:r>
            <w:r>
              <w:rPr>
                <w:spacing w:val="-5"/>
                <w:sz w:val="20"/>
              </w:rPr>
              <w:t xml:space="preserve"> </w:t>
            </w:r>
            <w:r>
              <w:rPr>
                <w:sz w:val="20"/>
              </w:rPr>
              <w:t>in</w:t>
            </w:r>
            <w:r>
              <w:rPr>
                <w:spacing w:val="-3"/>
                <w:sz w:val="20"/>
              </w:rPr>
              <w:t xml:space="preserve"> </w:t>
            </w:r>
            <w:r>
              <w:rPr>
                <w:sz w:val="20"/>
              </w:rPr>
              <w:t>behaviors</w:t>
            </w:r>
            <w:r>
              <w:rPr>
                <w:spacing w:val="-5"/>
                <w:sz w:val="20"/>
              </w:rPr>
              <w:t xml:space="preserve"> </w:t>
            </w:r>
            <w:r>
              <w:rPr>
                <w:sz w:val="20"/>
              </w:rPr>
              <w:t>rather</w:t>
            </w:r>
            <w:r>
              <w:rPr>
                <w:spacing w:val="-2"/>
                <w:sz w:val="20"/>
              </w:rPr>
              <w:t xml:space="preserve"> </w:t>
            </w:r>
            <w:r>
              <w:rPr>
                <w:sz w:val="20"/>
              </w:rPr>
              <w:t>than</w:t>
            </w:r>
            <w:r>
              <w:rPr>
                <w:spacing w:val="-3"/>
                <w:sz w:val="20"/>
              </w:rPr>
              <w:t xml:space="preserve"> </w:t>
            </w:r>
            <w:r>
              <w:rPr>
                <w:sz w:val="20"/>
              </w:rPr>
              <w:t>words.</w:t>
            </w:r>
            <w:r>
              <w:rPr>
                <w:spacing w:val="-4"/>
                <w:sz w:val="20"/>
              </w:rPr>
              <w:t xml:space="preserve"> </w:t>
            </w:r>
            <w:r>
              <w:rPr>
                <w:sz w:val="20"/>
              </w:rPr>
              <w:t>For</w:t>
            </w:r>
            <w:r>
              <w:rPr>
                <w:spacing w:val="-4"/>
                <w:sz w:val="20"/>
              </w:rPr>
              <w:t xml:space="preserve"> </w:t>
            </w:r>
            <w:r>
              <w:rPr>
                <w:sz w:val="20"/>
              </w:rPr>
              <w:t>example,</w:t>
            </w:r>
            <w:r>
              <w:rPr>
                <w:spacing w:val="-3"/>
                <w:sz w:val="20"/>
              </w:rPr>
              <w:t xml:space="preserve"> </w:t>
            </w:r>
            <w:r>
              <w:rPr>
                <w:sz w:val="20"/>
              </w:rPr>
              <w:t>some</w:t>
            </w:r>
            <w:r>
              <w:rPr>
                <w:spacing w:val="-5"/>
                <w:sz w:val="20"/>
              </w:rPr>
              <w:t xml:space="preserve"> </w:t>
            </w:r>
            <w:r>
              <w:rPr>
                <w:sz w:val="20"/>
              </w:rPr>
              <w:t>will</w:t>
            </w:r>
            <w:r>
              <w:rPr>
                <w:spacing w:val="-4"/>
                <w:sz w:val="20"/>
              </w:rPr>
              <w:t xml:space="preserve"> </w:t>
            </w:r>
            <w:r>
              <w:rPr>
                <w:sz w:val="20"/>
              </w:rPr>
              <w:t>miss</w:t>
            </w:r>
            <w:r>
              <w:rPr>
                <w:spacing w:val="-5"/>
                <w:sz w:val="20"/>
              </w:rPr>
              <w:t xml:space="preserve"> </w:t>
            </w:r>
            <w:r>
              <w:rPr>
                <w:sz w:val="20"/>
              </w:rPr>
              <w:t>ap</w:t>
            </w:r>
            <w:r>
              <w:rPr>
                <w:sz w:val="20"/>
              </w:rPr>
              <w:t>pointments,</w:t>
            </w:r>
            <w:r>
              <w:rPr>
                <w:spacing w:val="-3"/>
                <w:sz w:val="20"/>
              </w:rPr>
              <w:t xml:space="preserve"> </w:t>
            </w:r>
            <w:r>
              <w:rPr>
                <w:sz w:val="20"/>
              </w:rPr>
              <w:t>sending a message that they need more time and want to slow the process. Continue to explore ambivalence with these clients, and reassess where they are in the change process.</w:t>
            </w:r>
          </w:p>
        </w:tc>
      </w:tr>
      <w:tr w:rsidR="00DB6E1F" w14:paraId="08C4DE6A" w14:textId="77777777">
        <w:trPr>
          <w:trHeight w:val="1585"/>
        </w:trPr>
        <w:tc>
          <w:tcPr>
            <w:tcW w:w="1339" w:type="dxa"/>
          </w:tcPr>
          <w:p w14:paraId="7C7FB7B7" w14:textId="77777777" w:rsidR="00DB6E1F" w:rsidRDefault="00F666A6">
            <w:pPr>
              <w:pStyle w:val="TableParagraph"/>
              <w:ind w:right="350"/>
              <w:rPr>
                <w:sz w:val="20"/>
              </w:rPr>
            </w:pPr>
            <w:r>
              <w:rPr>
                <w:spacing w:val="-2"/>
                <w:sz w:val="20"/>
              </w:rPr>
              <w:t>Premature decision making</w:t>
            </w:r>
          </w:p>
        </w:tc>
        <w:tc>
          <w:tcPr>
            <w:tcW w:w="7963" w:type="dxa"/>
          </w:tcPr>
          <w:p w14:paraId="4AB7D074" w14:textId="77777777" w:rsidR="00DB6E1F" w:rsidRDefault="00F666A6">
            <w:pPr>
              <w:pStyle w:val="TableParagraph"/>
              <w:ind w:left="108" w:right="96"/>
              <w:rPr>
                <w:sz w:val="20"/>
              </w:rPr>
            </w:pPr>
            <w:r>
              <w:rPr>
                <w:sz w:val="20"/>
              </w:rPr>
              <w:t>DB exercises give you a sense of whether clients are ready for change. If clients’ description of pros</w:t>
            </w:r>
            <w:r>
              <w:rPr>
                <w:spacing w:val="-4"/>
                <w:sz w:val="20"/>
              </w:rPr>
              <w:t xml:space="preserve"> </w:t>
            </w:r>
            <w:r>
              <w:rPr>
                <w:sz w:val="20"/>
              </w:rPr>
              <w:t>and</w:t>
            </w:r>
            <w:r>
              <w:rPr>
                <w:spacing w:val="-2"/>
                <w:sz w:val="20"/>
              </w:rPr>
              <w:t xml:space="preserve"> </w:t>
            </w:r>
            <w:r>
              <w:rPr>
                <w:sz w:val="20"/>
              </w:rPr>
              <w:t>cons</w:t>
            </w:r>
            <w:r>
              <w:rPr>
                <w:spacing w:val="-4"/>
                <w:sz w:val="20"/>
              </w:rPr>
              <w:t xml:space="preserve"> </w:t>
            </w:r>
            <w:r>
              <w:rPr>
                <w:sz w:val="20"/>
              </w:rPr>
              <w:t>is</w:t>
            </w:r>
            <w:r>
              <w:rPr>
                <w:spacing w:val="-4"/>
                <w:sz w:val="20"/>
              </w:rPr>
              <w:t xml:space="preserve"> </w:t>
            </w:r>
            <w:r>
              <w:rPr>
                <w:sz w:val="20"/>
              </w:rPr>
              <w:t>unclear,</w:t>
            </w:r>
            <w:r>
              <w:rPr>
                <w:spacing w:val="-2"/>
                <w:sz w:val="20"/>
              </w:rPr>
              <w:t xml:space="preserve"> </w:t>
            </w:r>
            <w:r>
              <w:rPr>
                <w:sz w:val="20"/>
              </w:rPr>
              <w:t>they</w:t>
            </w:r>
            <w:r>
              <w:rPr>
                <w:spacing w:val="-2"/>
                <w:sz w:val="20"/>
              </w:rPr>
              <w:t xml:space="preserve"> </w:t>
            </w:r>
            <w:r>
              <w:rPr>
                <w:sz w:val="20"/>
              </w:rPr>
              <w:t>may</w:t>
            </w:r>
            <w:r>
              <w:rPr>
                <w:spacing w:val="-2"/>
                <w:sz w:val="20"/>
              </w:rPr>
              <w:t xml:space="preserve"> </w:t>
            </w:r>
            <w:r>
              <w:rPr>
                <w:sz w:val="20"/>
              </w:rPr>
              <w:t>express</w:t>
            </w:r>
            <w:r>
              <w:rPr>
                <w:spacing w:val="-4"/>
                <w:sz w:val="20"/>
              </w:rPr>
              <w:t xml:space="preserve"> </w:t>
            </w:r>
            <w:r>
              <w:rPr>
                <w:sz w:val="20"/>
              </w:rPr>
              <w:t>goals</w:t>
            </w:r>
            <w:r>
              <w:rPr>
                <w:spacing w:val="-4"/>
                <w:sz w:val="20"/>
              </w:rPr>
              <w:t xml:space="preserve"> </w:t>
            </w:r>
            <w:r>
              <w:rPr>
                <w:sz w:val="20"/>
              </w:rPr>
              <w:t>for</w:t>
            </w:r>
            <w:r>
              <w:rPr>
                <w:spacing w:val="-3"/>
                <w:sz w:val="20"/>
              </w:rPr>
              <w:t xml:space="preserve"> </w:t>
            </w:r>
            <w:r>
              <w:rPr>
                <w:sz w:val="20"/>
              </w:rPr>
              <w:t>change</w:t>
            </w:r>
            <w:r>
              <w:rPr>
                <w:spacing w:val="-1"/>
                <w:sz w:val="20"/>
              </w:rPr>
              <w:t xml:space="preserve"> </w:t>
            </w:r>
            <w:r>
              <w:rPr>
                <w:sz w:val="20"/>
              </w:rPr>
              <w:t>that</w:t>
            </w:r>
            <w:r>
              <w:rPr>
                <w:spacing w:val="-3"/>
                <w:sz w:val="20"/>
              </w:rPr>
              <w:t xml:space="preserve"> </w:t>
            </w:r>
            <w:r>
              <w:rPr>
                <w:sz w:val="20"/>
              </w:rPr>
              <w:t>are</w:t>
            </w:r>
            <w:r>
              <w:rPr>
                <w:spacing w:val="-4"/>
                <w:sz w:val="20"/>
              </w:rPr>
              <w:t xml:space="preserve"> </w:t>
            </w:r>
            <w:r>
              <w:rPr>
                <w:sz w:val="20"/>
              </w:rPr>
              <w:t>unrealistic</w:t>
            </w:r>
            <w:r>
              <w:rPr>
                <w:spacing w:val="-3"/>
                <w:sz w:val="20"/>
              </w:rPr>
              <w:t xml:space="preserve"> </w:t>
            </w:r>
            <w:r>
              <w:rPr>
                <w:sz w:val="20"/>
              </w:rPr>
              <w:t>or</w:t>
            </w:r>
            <w:r>
              <w:rPr>
                <w:spacing w:val="-3"/>
                <w:sz w:val="20"/>
              </w:rPr>
              <w:t xml:space="preserve"> </w:t>
            </w:r>
            <w:r>
              <w:rPr>
                <w:sz w:val="20"/>
              </w:rPr>
              <w:t>reflect a</w:t>
            </w:r>
            <w:r>
              <w:rPr>
                <w:spacing w:val="-2"/>
                <w:sz w:val="20"/>
              </w:rPr>
              <w:t xml:space="preserve"> </w:t>
            </w:r>
            <w:r>
              <w:rPr>
                <w:sz w:val="20"/>
              </w:rPr>
              <w:t>lack of understanding of their abilities and resources. Clients may say what they think you want to hear. Clients who are not ready to decide to change will let you know. Allowing clients to set themselves up for failure can result in them stopping the cha</w:t>
            </w:r>
            <w:r>
              <w:rPr>
                <w:sz w:val="20"/>
              </w:rPr>
              <w:t>nge process altogether or losing trust in you. Delay the commitment process, and return to Contemplation.</w:t>
            </w:r>
          </w:p>
        </w:tc>
      </w:tr>
      <w:tr w:rsidR="00DB6E1F" w14:paraId="50976162" w14:textId="77777777">
        <w:trPr>
          <w:trHeight w:val="1828"/>
        </w:trPr>
        <w:tc>
          <w:tcPr>
            <w:tcW w:w="1339" w:type="dxa"/>
          </w:tcPr>
          <w:p w14:paraId="03954E0C" w14:textId="77777777" w:rsidR="00DB6E1F" w:rsidRDefault="00F666A6">
            <w:pPr>
              <w:pStyle w:val="TableParagraph"/>
              <w:rPr>
                <w:sz w:val="20"/>
              </w:rPr>
            </w:pPr>
            <w:r>
              <w:rPr>
                <w:sz w:val="20"/>
              </w:rPr>
              <w:t>Keeping</w:t>
            </w:r>
            <w:r>
              <w:rPr>
                <w:spacing w:val="-11"/>
                <w:sz w:val="20"/>
              </w:rPr>
              <w:t xml:space="preserve"> </w:t>
            </w:r>
            <w:r>
              <w:rPr>
                <w:spacing w:val="-4"/>
                <w:sz w:val="20"/>
              </w:rPr>
              <w:t>pace</w:t>
            </w:r>
          </w:p>
        </w:tc>
        <w:tc>
          <w:tcPr>
            <w:tcW w:w="7963" w:type="dxa"/>
          </w:tcPr>
          <w:p w14:paraId="11DFC50E" w14:textId="77777777" w:rsidR="00DB6E1F" w:rsidRDefault="00F666A6">
            <w:pPr>
              <w:pStyle w:val="TableParagraph"/>
              <w:ind w:left="108" w:right="96"/>
              <w:rPr>
                <w:sz w:val="20"/>
              </w:rPr>
            </w:pPr>
            <w:r>
              <w:rPr>
                <w:sz w:val="20"/>
              </w:rPr>
              <w:t>Some clients enter treatment after they have stopped using substances on their own. Others stop substance use the day they call the prog</w:t>
            </w:r>
            <w:r>
              <w:rPr>
                <w:sz w:val="20"/>
              </w:rPr>
              <w:t>ram for the first appointment. They have already made</w:t>
            </w:r>
            <w:r>
              <w:rPr>
                <w:spacing w:val="-4"/>
                <w:sz w:val="20"/>
              </w:rPr>
              <w:t xml:space="preserve"> </w:t>
            </w:r>
            <w:r>
              <w:rPr>
                <w:sz w:val="20"/>
              </w:rPr>
              <w:t>a</w:t>
            </w:r>
            <w:r>
              <w:rPr>
                <w:spacing w:val="-3"/>
                <w:sz w:val="20"/>
              </w:rPr>
              <w:t xml:space="preserve"> </w:t>
            </w:r>
            <w:r>
              <w:rPr>
                <w:sz w:val="20"/>
              </w:rPr>
              <w:t>commitment</w:t>
            </w:r>
            <w:r>
              <w:rPr>
                <w:spacing w:val="-3"/>
                <w:sz w:val="20"/>
              </w:rPr>
              <w:t xml:space="preserve"> </w:t>
            </w:r>
            <w:r>
              <w:rPr>
                <w:sz w:val="20"/>
              </w:rPr>
              <w:t>to</w:t>
            </w:r>
            <w:r>
              <w:rPr>
                <w:spacing w:val="-3"/>
                <w:sz w:val="20"/>
              </w:rPr>
              <w:t xml:space="preserve"> </w:t>
            </w:r>
            <w:r>
              <w:rPr>
                <w:sz w:val="20"/>
              </w:rPr>
              <w:t>stop.</w:t>
            </w:r>
            <w:r>
              <w:rPr>
                <w:spacing w:val="-3"/>
                <w:sz w:val="20"/>
              </w:rPr>
              <w:t xml:space="preserve"> </w:t>
            </w:r>
            <w:r>
              <w:rPr>
                <w:sz w:val="20"/>
              </w:rPr>
              <w:t>If</w:t>
            </w:r>
            <w:r>
              <w:rPr>
                <w:spacing w:val="-4"/>
                <w:sz w:val="20"/>
              </w:rPr>
              <w:t xml:space="preserve"> </w:t>
            </w:r>
            <w:r>
              <w:rPr>
                <w:sz w:val="20"/>
              </w:rPr>
              <w:t>you</w:t>
            </w:r>
            <w:r>
              <w:rPr>
                <w:spacing w:val="-2"/>
                <w:sz w:val="20"/>
              </w:rPr>
              <w:t xml:space="preserve"> </w:t>
            </w:r>
            <w:r>
              <w:rPr>
                <w:sz w:val="20"/>
              </w:rPr>
              <w:t>try</w:t>
            </w:r>
            <w:r>
              <w:rPr>
                <w:spacing w:val="-2"/>
                <w:sz w:val="20"/>
              </w:rPr>
              <w:t xml:space="preserve"> </w:t>
            </w:r>
            <w:r>
              <w:rPr>
                <w:sz w:val="20"/>
              </w:rPr>
              <w:t>to</w:t>
            </w:r>
            <w:r>
              <w:rPr>
                <w:spacing w:val="-3"/>
                <w:sz w:val="20"/>
              </w:rPr>
              <w:t xml:space="preserve"> </w:t>
            </w:r>
            <w:r>
              <w:rPr>
                <w:sz w:val="20"/>
              </w:rPr>
              <w:t>elicit</w:t>
            </w:r>
            <w:r>
              <w:rPr>
                <w:spacing w:val="-3"/>
                <w:sz w:val="20"/>
              </w:rPr>
              <w:t xml:space="preserve"> </w:t>
            </w:r>
            <w:r>
              <w:rPr>
                <w:sz w:val="20"/>
              </w:rPr>
              <w:t>these</w:t>
            </w:r>
            <w:r>
              <w:rPr>
                <w:spacing w:val="-4"/>
                <w:sz w:val="20"/>
              </w:rPr>
              <w:t xml:space="preserve"> </w:t>
            </w:r>
            <w:r>
              <w:rPr>
                <w:sz w:val="20"/>
              </w:rPr>
              <w:t>clients’</w:t>
            </w:r>
            <w:r>
              <w:rPr>
                <w:spacing w:val="-2"/>
                <w:sz w:val="20"/>
              </w:rPr>
              <w:t xml:space="preserve"> </w:t>
            </w:r>
            <w:r>
              <w:rPr>
                <w:sz w:val="20"/>
              </w:rPr>
              <w:t>concerns</w:t>
            </w:r>
            <w:r>
              <w:rPr>
                <w:spacing w:val="-4"/>
                <w:sz w:val="20"/>
              </w:rPr>
              <w:t xml:space="preserve"> </w:t>
            </w:r>
            <w:r>
              <w:rPr>
                <w:sz w:val="20"/>
              </w:rPr>
              <w:t>or</w:t>
            </w:r>
            <w:r>
              <w:rPr>
                <w:spacing w:val="-3"/>
                <w:sz w:val="20"/>
              </w:rPr>
              <w:t xml:space="preserve"> </w:t>
            </w:r>
            <w:r>
              <w:rPr>
                <w:sz w:val="20"/>
              </w:rPr>
              <w:t>conduct</w:t>
            </w:r>
            <w:r>
              <w:rPr>
                <w:spacing w:val="-3"/>
                <w:sz w:val="20"/>
              </w:rPr>
              <w:t xml:space="preserve"> </w:t>
            </w:r>
            <w:r>
              <w:rPr>
                <w:sz w:val="20"/>
              </w:rPr>
              <w:t>DB</w:t>
            </w:r>
            <w:r>
              <w:rPr>
                <w:spacing w:val="-3"/>
                <w:sz w:val="20"/>
              </w:rPr>
              <w:t xml:space="preserve"> </w:t>
            </w:r>
            <w:r>
              <w:rPr>
                <w:sz w:val="20"/>
              </w:rPr>
              <w:t>exercises, you might evoke sustain talk unnecessarily and miss an important opportunity to provide the encouragement, inc</w:t>
            </w:r>
            <w:r>
              <w:rPr>
                <w:sz w:val="20"/>
              </w:rPr>
              <w:t>entives, and skills needed to help action-oriented and action-ready individuals make progress. Move with these clients immediately to create a change plan and enter the Action stage, but be alert for ambivalence that may remain or develop.</w:t>
            </w:r>
          </w:p>
        </w:tc>
      </w:tr>
      <w:tr w:rsidR="00DB6E1F" w14:paraId="301E89C1" w14:textId="77777777">
        <w:trPr>
          <w:trHeight w:val="2330"/>
        </w:trPr>
        <w:tc>
          <w:tcPr>
            <w:tcW w:w="1339" w:type="dxa"/>
          </w:tcPr>
          <w:p w14:paraId="5A7FC863" w14:textId="77777777" w:rsidR="00DB6E1F" w:rsidRDefault="00F666A6">
            <w:pPr>
              <w:pStyle w:val="TableParagraph"/>
              <w:rPr>
                <w:sz w:val="20"/>
              </w:rPr>
            </w:pPr>
            <w:r>
              <w:rPr>
                <w:sz w:val="20"/>
              </w:rPr>
              <w:t>Free</w:t>
            </w:r>
            <w:r>
              <w:rPr>
                <w:spacing w:val="-7"/>
                <w:sz w:val="20"/>
              </w:rPr>
              <w:t xml:space="preserve"> </w:t>
            </w:r>
            <w:r>
              <w:rPr>
                <w:spacing w:val="-2"/>
                <w:sz w:val="20"/>
              </w:rPr>
              <w:t>choice</w:t>
            </w:r>
          </w:p>
        </w:tc>
        <w:tc>
          <w:tcPr>
            <w:tcW w:w="7963" w:type="dxa"/>
          </w:tcPr>
          <w:p w14:paraId="73376B5B" w14:textId="77777777" w:rsidR="00DB6E1F" w:rsidRDefault="00F666A6">
            <w:pPr>
              <w:pStyle w:val="TableParagraph"/>
              <w:ind w:left="108" w:right="96"/>
              <w:rPr>
                <w:sz w:val="20"/>
              </w:rPr>
            </w:pPr>
            <w:r>
              <w:rPr>
                <w:sz w:val="20"/>
              </w:rPr>
              <w:t>Cli</w:t>
            </w:r>
            <w:r>
              <w:rPr>
                <w:sz w:val="20"/>
              </w:rPr>
              <w:t>ents may begin using drugs or alcohol out of rebelliousness toward their family or society. Substance use may be an expression of continued freedom—freedom from the demands of others</w:t>
            </w:r>
            <w:r>
              <w:rPr>
                <w:spacing w:val="-4"/>
                <w:sz w:val="20"/>
              </w:rPr>
              <w:t xml:space="preserve"> </w:t>
            </w:r>
            <w:r>
              <w:rPr>
                <w:sz w:val="20"/>
              </w:rPr>
              <w:t>to</w:t>
            </w:r>
            <w:r>
              <w:rPr>
                <w:spacing w:val="-3"/>
                <w:sz w:val="20"/>
              </w:rPr>
              <w:t xml:space="preserve"> </w:t>
            </w:r>
            <w:r>
              <w:rPr>
                <w:sz w:val="20"/>
              </w:rPr>
              <w:t>act</w:t>
            </w:r>
            <w:r>
              <w:rPr>
                <w:spacing w:val="-3"/>
                <w:sz w:val="20"/>
              </w:rPr>
              <w:t xml:space="preserve"> </w:t>
            </w:r>
            <w:r>
              <w:rPr>
                <w:sz w:val="20"/>
              </w:rPr>
              <w:t>or</w:t>
            </w:r>
            <w:r>
              <w:rPr>
                <w:spacing w:val="-3"/>
                <w:sz w:val="20"/>
              </w:rPr>
              <w:t xml:space="preserve"> </w:t>
            </w:r>
            <w:r>
              <w:rPr>
                <w:sz w:val="20"/>
              </w:rPr>
              <w:t>live</w:t>
            </w:r>
            <w:r>
              <w:rPr>
                <w:spacing w:val="-4"/>
                <w:sz w:val="20"/>
              </w:rPr>
              <w:t xml:space="preserve"> </w:t>
            </w:r>
            <w:r>
              <w:rPr>
                <w:sz w:val="20"/>
              </w:rPr>
              <w:t>in</w:t>
            </w:r>
            <w:r>
              <w:rPr>
                <w:spacing w:val="-2"/>
                <w:sz w:val="20"/>
              </w:rPr>
              <w:t xml:space="preserve"> </w:t>
            </w:r>
            <w:r>
              <w:rPr>
                <w:sz w:val="20"/>
              </w:rPr>
              <w:t>a</w:t>
            </w:r>
            <w:r>
              <w:rPr>
                <w:spacing w:val="-2"/>
                <w:sz w:val="20"/>
              </w:rPr>
              <w:t xml:space="preserve"> </w:t>
            </w:r>
            <w:r>
              <w:rPr>
                <w:sz w:val="20"/>
              </w:rPr>
              <w:t>certain</w:t>
            </w:r>
            <w:r>
              <w:rPr>
                <w:spacing w:val="-2"/>
                <w:sz w:val="20"/>
              </w:rPr>
              <w:t xml:space="preserve"> </w:t>
            </w:r>
            <w:r>
              <w:rPr>
                <w:sz w:val="20"/>
              </w:rPr>
              <w:t>way.</w:t>
            </w:r>
            <w:r>
              <w:rPr>
                <w:spacing w:val="-3"/>
                <w:sz w:val="20"/>
              </w:rPr>
              <w:t xml:space="preserve"> </w:t>
            </w:r>
            <w:r>
              <w:rPr>
                <w:sz w:val="20"/>
              </w:rPr>
              <w:t>You</w:t>
            </w:r>
            <w:r>
              <w:rPr>
                <w:spacing w:val="-2"/>
                <w:sz w:val="20"/>
              </w:rPr>
              <w:t xml:space="preserve"> </w:t>
            </w:r>
            <w:r>
              <w:rPr>
                <w:sz w:val="20"/>
              </w:rPr>
              <w:t>may</w:t>
            </w:r>
            <w:r>
              <w:rPr>
                <w:spacing w:val="-2"/>
                <w:sz w:val="20"/>
              </w:rPr>
              <w:t xml:space="preserve"> </w:t>
            </w:r>
            <w:r>
              <w:rPr>
                <w:sz w:val="20"/>
              </w:rPr>
              <w:t>hear</w:t>
            </w:r>
            <w:r>
              <w:rPr>
                <w:spacing w:val="-3"/>
                <w:sz w:val="20"/>
              </w:rPr>
              <w:t xml:space="preserve"> </w:t>
            </w:r>
            <w:r>
              <w:rPr>
                <w:sz w:val="20"/>
              </w:rPr>
              <w:t>clients</w:t>
            </w:r>
            <w:r>
              <w:rPr>
                <w:spacing w:val="-2"/>
                <w:sz w:val="20"/>
              </w:rPr>
              <w:t xml:space="preserve"> </w:t>
            </w:r>
            <w:r>
              <w:rPr>
                <w:sz w:val="20"/>
              </w:rPr>
              <w:t>say</w:t>
            </w:r>
            <w:r>
              <w:rPr>
                <w:spacing w:val="-2"/>
                <w:sz w:val="20"/>
              </w:rPr>
              <w:t xml:space="preserve"> </w:t>
            </w:r>
            <w:r>
              <w:rPr>
                <w:sz w:val="20"/>
              </w:rPr>
              <w:t>that</w:t>
            </w:r>
            <w:r>
              <w:rPr>
                <w:spacing w:val="-3"/>
                <w:sz w:val="20"/>
              </w:rPr>
              <w:t xml:space="preserve"> </w:t>
            </w:r>
            <w:r>
              <w:rPr>
                <w:sz w:val="20"/>
              </w:rPr>
              <w:t>they</w:t>
            </w:r>
            <w:r>
              <w:rPr>
                <w:spacing w:val="-2"/>
                <w:sz w:val="20"/>
              </w:rPr>
              <w:t xml:space="preserve"> </w:t>
            </w:r>
            <w:r>
              <w:rPr>
                <w:sz w:val="20"/>
              </w:rPr>
              <w:t>canno</w:t>
            </w:r>
            <w:r>
              <w:rPr>
                <w:sz w:val="20"/>
              </w:rPr>
              <w:t>t</w:t>
            </w:r>
            <w:r>
              <w:rPr>
                <w:spacing w:val="-3"/>
                <w:sz w:val="20"/>
              </w:rPr>
              <w:t xml:space="preserve"> </w:t>
            </w:r>
            <w:r>
              <w:rPr>
                <w:sz w:val="20"/>
              </w:rPr>
              <w:t>change</w:t>
            </w:r>
            <w:r>
              <w:rPr>
                <w:spacing w:val="-4"/>
                <w:sz w:val="20"/>
              </w:rPr>
              <w:t xml:space="preserve"> </w:t>
            </w:r>
            <w:r>
              <w:rPr>
                <w:sz w:val="20"/>
              </w:rPr>
              <w:t>because they do not want to lose their freedom. Because this belief is tied to some clients’ early-forged identities, it may be a strong factor in their list of reasons not to change. However, as clients age, they may be</w:t>
            </w:r>
            <w:r>
              <w:rPr>
                <w:spacing w:val="-2"/>
                <w:sz w:val="20"/>
              </w:rPr>
              <w:t xml:space="preserve"> </w:t>
            </w:r>
            <w:r>
              <w:rPr>
                <w:sz w:val="20"/>
              </w:rPr>
              <w:t>more willing to</w:t>
            </w:r>
            <w:r>
              <w:rPr>
                <w:spacing w:val="-1"/>
                <w:sz w:val="20"/>
              </w:rPr>
              <w:t xml:space="preserve"> </w:t>
            </w:r>
            <w:r>
              <w:rPr>
                <w:sz w:val="20"/>
              </w:rPr>
              <w:t>explore</w:t>
            </w:r>
            <w:r>
              <w:rPr>
                <w:spacing w:val="-2"/>
                <w:sz w:val="20"/>
              </w:rPr>
              <w:t xml:space="preserve"> </w:t>
            </w:r>
            <w:r>
              <w:rPr>
                <w:sz w:val="20"/>
              </w:rPr>
              <w:t>whether</w:t>
            </w:r>
            <w:r>
              <w:rPr>
                <w:spacing w:val="-1"/>
                <w:sz w:val="20"/>
              </w:rPr>
              <w:t xml:space="preserve"> </w:t>
            </w:r>
            <w:r>
              <w:rPr>
                <w:sz w:val="20"/>
              </w:rPr>
              <w:t>“freedom to</w:t>
            </w:r>
            <w:r>
              <w:rPr>
                <w:spacing w:val="-1"/>
                <w:sz w:val="20"/>
              </w:rPr>
              <w:t xml:space="preserve"> </w:t>
            </w:r>
            <w:r>
              <w:rPr>
                <w:sz w:val="20"/>
              </w:rPr>
              <w:t>rebel” is</w:t>
            </w:r>
            <w:r>
              <w:rPr>
                <w:spacing w:val="-2"/>
                <w:sz w:val="20"/>
              </w:rPr>
              <w:t xml:space="preserve"> </w:t>
            </w:r>
            <w:r>
              <w:rPr>
                <w:sz w:val="20"/>
              </w:rPr>
              <w:t>actually freedom or</w:t>
            </w:r>
            <w:r>
              <w:rPr>
                <w:spacing w:val="-1"/>
                <w:sz w:val="20"/>
              </w:rPr>
              <w:t xml:space="preserve"> </w:t>
            </w:r>
            <w:r>
              <w:rPr>
                <w:sz w:val="20"/>
              </w:rPr>
              <w:t>its opposite. If</w:t>
            </w:r>
            <w:r>
              <w:rPr>
                <w:spacing w:val="-1"/>
                <w:sz w:val="20"/>
              </w:rPr>
              <w:t xml:space="preserve"> </w:t>
            </w:r>
            <w:r>
              <w:rPr>
                <w:sz w:val="20"/>
              </w:rPr>
              <w:t>you address</w:t>
            </w:r>
            <w:r>
              <w:rPr>
                <w:spacing w:val="-1"/>
                <w:sz w:val="20"/>
              </w:rPr>
              <w:t xml:space="preserve"> </w:t>
            </w:r>
            <w:r>
              <w:rPr>
                <w:sz w:val="20"/>
              </w:rPr>
              <w:t>this</w:t>
            </w:r>
            <w:r>
              <w:rPr>
                <w:spacing w:val="-1"/>
                <w:sz w:val="20"/>
              </w:rPr>
              <w:t xml:space="preserve"> </w:t>
            </w:r>
            <w:r>
              <w:rPr>
                <w:sz w:val="20"/>
              </w:rPr>
              <w:t>issue, you can reframe</w:t>
            </w:r>
            <w:r>
              <w:rPr>
                <w:spacing w:val="-1"/>
                <w:sz w:val="20"/>
              </w:rPr>
              <w:t xml:space="preserve"> </w:t>
            </w:r>
            <w:r>
              <w:rPr>
                <w:sz w:val="20"/>
              </w:rPr>
              <w:t>the</w:t>
            </w:r>
            <w:r>
              <w:rPr>
                <w:spacing w:val="-1"/>
                <w:sz w:val="20"/>
              </w:rPr>
              <w:t xml:space="preserve"> </w:t>
            </w:r>
            <w:r>
              <w:rPr>
                <w:sz w:val="20"/>
              </w:rPr>
              <w:t>rebellion as</w:t>
            </w:r>
            <w:r>
              <w:rPr>
                <w:spacing w:val="-1"/>
                <w:sz w:val="20"/>
              </w:rPr>
              <w:t xml:space="preserve"> </w:t>
            </w:r>
            <w:r>
              <w:rPr>
                <w:sz w:val="20"/>
              </w:rPr>
              <w:t>reflection of</w:t>
            </w:r>
            <w:r>
              <w:rPr>
                <w:spacing w:val="-1"/>
                <w:sz w:val="20"/>
              </w:rPr>
              <w:t xml:space="preserve"> </w:t>
            </w:r>
            <w:r>
              <w:rPr>
                <w:sz w:val="20"/>
              </w:rPr>
              <w:t>a limitation of choices</w:t>
            </w:r>
            <w:r>
              <w:rPr>
                <w:spacing w:val="-5"/>
                <w:sz w:val="20"/>
              </w:rPr>
              <w:t xml:space="preserve"> </w:t>
            </w:r>
            <w:r>
              <w:rPr>
                <w:sz w:val="20"/>
              </w:rPr>
              <w:t>(i.e.,</w:t>
            </w:r>
            <w:r>
              <w:rPr>
                <w:spacing w:val="-4"/>
                <w:sz w:val="20"/>
              </w:rPr>
              <w:t xml:space="preserve"> </w:t>
            </w:r>
            <w:r>
              <w:rPr>
                <w:sz w:val="20"/>
              </w:rPr>
              <w:t>the</w:t>
            </w:r>
            <w:r>
              <w:rPr>
                <w:spacing w:val="-6"/>
                <w:sz w:val="20"/>
              </w:rPr>
              <w:t xml:space="preserve"> </w:t>
            </w:r>
            <w:r>
              <w:rPr>
                <w:sz w:val="20"/>
              </w:rPr>
              <w:t>person</w:t>
            </w:r>
            <w:r>
              <w:rPr>
                <w:spacing w:val="-5"/>
                <w:sz w:val="20"/>
              </w:rPr>
              <w:t xml:space="preserve"> </w:t>
            </w:r>
            <w:r>
              <w:rPr>
                <w:sz w:val="20"/>
              </w:rPr>
              <w:t>must</w:t>
            </w:r>
            <w:r>
              <w:rPr>
                <w:spacing w:val="-2"/>
                <w:sz w:val="20"/>
              </w:rPr>
              <w:t xml:space="preserve"> </w:t>
            </w:r>
            <w:r>
              <w:rPr>
                <w:sz w:val="20"/>
              </w:rPr>
              <w:t>do</w:t>
            </w:r>
            <w:r>
              <w:rPr>
                <w:spacing w:val="-6"/>
                <w:sz w:val="20"/>
              </w:rPr>
              <w:t xml:space="preserve"> </w:t>
            </w:r>
            <w:r>
              <w:rPr>
                <w:sz w:val="20"/>
              </w:rPr>
              <w:t>the</w:t>
            </w:r>
            <w:r>
              <w:rPr>
                <w:spacing w:val="-6"/>
                <w:sz w:val="20"/>
              </w:rPr>
              <w:t xml:space="preserve"> </w:t>
            </w:r>
            <w:r>
              <w:rPr>
                <w:sz w:val="20"/>
              </w:rPr>
              <w:t>opposite</w:t>
            </w:r>
            <w:r>
              <w:rPr>
                <w:spacing w:val="-6"/>
                <w:sz w:val="20"/>
              </w:rPr>
              <w:t xml:space="preserve"> </w:t>
            </w:r>
            <w:r>
              <w:rPr>
                <w:sz w:val="20"/>
              </w:rPr>
              <w:t>of</w:t>
            </w:r>
            <w:r>
              <w:rPr>
                <w:spacing w:val="-6"/>
                <w:sz w:val="20"/>
              </w:rPr>
              <w:t xml:space="preserve"> </w:t>
            </w:r>
            <w:r>
              <w:rPr>
                <w:sz w:val="20"/>
              </w:rPr>
              <w:t>what</w:t>
            </w:r>
            <w:r>
              <w:rPr>
                <w:spacing w:val="-6"/>
                <w:sz w:val="20"/>
              </w:rPr>
              <w:t xml:space="preserve"> </w:t>
            </w:r>
            <w:r>
              <w:rPr>
                <w:sz w:val="20"/>
              </w:rPr>
              <w:t>is</w:t>
            </w:r>
            <w:r>
              <w:rPr>
                <w:spacing w:val="-6"/>
                <w:sz w:val="20"/>
              </w:rPr>
              <w:t xml:space="preserve"> </w:t>
            </w:r>
            <w:r>
              <w:rPr>
                <w:sz w:val="20"/>
              </w:rPr>
              <w:t>expected).</w:t>
            </w:r>
            <w:r>
              <w:rPr>
                <w:spacing w:val="-5"/>
                <w:sz w:val="20"/>
              </w:rPr>
              <w:t xml:space="preserve"> </w:t>
            </w:r>
            <w:r>
              <w:rPr>
                <w:sz w:val="20"/>
              </w:rPr>
              <w:t>As</w:t>
            </w:r>
            <w:r>
              <w:rPr>
                <w:spacing w:val="-6"/>
                <w:sz w:val="20"/>
              </w:rPr>
              <w:t xml:space="preserve"> </w:t>
            </w:r>
            <w:r>
              <w:rPr>
                <w:sz w:val="20"/>
              </w:rPr>
              <w:t>clients</w:t>
            </w:r>
            <w:r>
              <w:rPr>
                <w:spacing w:val="-6"/>
                <w:sz w:val="20"/>
              </w:rPr>
              <w:t xml:space="preserve"> </w:t>
            </w:r>
            <w:r>
              <w:rPr>
                <w:sz w:val="20"/>
              </w:rPr>
              <w:t>age,</w:t>
            </w:r>
            <w:r>
              <w:rPr>
                <w:spacing w:val="-5"/>
                <w:sz w:val="20"/>
              </w:rPr>
              <w:t xml:space="preserve"> </w:t>
            </w:r>
            <w:r>
              <w:rPr>
                <w:sz w:val="20"/>
              </w:rPr>
              <w:t>they</w:t>
            </w:r>
            <w:r>
              <w:rPr>
                <w:spacing w:val="-2"/>
                <w:sz w:val="20"/>
              </w:rPr>
              <w:t xml:space="preserve"> </w:t>
            </w:r>
            <w:r>
              <w:rPr>
                <w:sz w:val="20"/>
              </w:rPr>
              <w:t>may</w:t>
            </w:r>
            <w:r>
              <w:rPr>
                <w:spacing w:val="-5"/>
                <w:sz w:val="20"/>
              </w:rPr>
              <w:t xml:space="preserve"> be</w:t>
            </w:r>
          </w:p>
        </w:tc>
      </w:tr>
    </w:tbl>
    <w:p w14:paraId="1E978928" w14:textId="77777777" w:rsidR="00DB6E1F" w:rsidRDefault="00DB6E1F">
      <w:pPr>
        <w:rPr>
          <w:sz w:val="20"/>
        </w:rPr>
        <w:sectPr w:rsidR="00DB6E1F">
          <w:pgSz w:w="12240" w:h="15840"/>
          <w:pgMar w:top="1200" w:right="0" w:bottom="780" w:left="0" w:header="763" w:footer="585" w:gutter="0"/>
          <w:cols w:space="720"/>
        </w:sectPr>
      </w:pPr>
    </w:p>
    <w:p w14:paraId="3675876B"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7963"/>
      </w:tblGrid>
      <w:tr w:rsidR="00DB6E1F" w14:paraId="2C60BB0C" w14:textId="77777777">
        <w:trPr>
          <w:trHeight w:val="2330"/>
        </w:trPr>
        <w:tc>
          <w:tcPr>
            <w:tcW w:w="1339" w:type="dxa"/>
          </w:tcPr>
          <w:p w14:paraId="55D8DD13" w14:textId="77777777" w:rsidR="00DB6E1F" w:rsidRDefault="00DB6E1F">
            <w:pPr>
              <w:pStyle w:val="TableParagraph"/>
              <w:spacing w:before="0"/>
              <w:ind w:left="0"/>
              <w:rPr>
                <w:rFonts w:ascii="Times New Roman"/>
              </w:rPr>
            </w:pPr>
          </w:p>
        </w:tc>
        <w:tc>
          <w:tcPr>
            <w:tcW w:w="7963" w:type="dxa"/>
          </w:tcPr>
          <w:p w14:paraId="7BA60D7F" w14:textId="77777777" w:rsidR="00DB6E1F" w:rsidRDefault="00F666A6">
            <w:pPr>
              <w:pStyle w:val="TableParagraph"/>
              <w:ind w:left="108" w:right="96"/>
              <w:rPr>
                <w:sz w:val="20"/>
              </w:rPr>
            </w:pPr>
            <w:r>
              <w:rPr>
                <w:sz w:val="20"/>
              </w:rPr>
              <w:t>more</w:t>
            </w:r>
            <w:r>
              <w:rPr>
                <w:spacing w:val="-4"/>
                <w:sz w:val="20"/>
              </w:rPr>
              <w:t xml:space="preserve"> </w:t>
            </w:r>
            <w:r>
              <w:rPr>
                <w:sz w:val="20"/>
              </w:rPr>
              <w:t>open</w:t>
            </w:r>
            <w:r>
              <w:rPr>
                <w:spacing w:val="-2"/>
                <w:sz w:val="20"/>
              </w:rPr>
              <w:t xml:space="preserve"> </w:t>
            </w:r>
            <w:r>
              <w:rPr>
                <w:sz w:val="20"/>
              </w:rPr>
              <w:t>to</w:t>
            </w:r>
            <w:r>
              <w:rPr>
                <w:spacing w:val="-3"/>
                <w:sz w:val="20"/>
              </w:rPr>
              <w:t xml:space="preserve"> </w:t>
            </w:r>
            <w:r>
              <w:rPr>
                <w:sz w:val="20"/>
              </w:rPr>
              <w:t>making</w:t>
            </w:r>
            <w:r>
              <w:rPr>
                <w:spacing w:val="-3"/>
                <w:sz w:val="20"/>
              </w:rPr>
              <w:t xml:space="preserve"> </w:t>
            </w:r>
            <w:r>
              <w:rPr>
                <w:sz w:val="20"/>
              </w:rPr>
              <w:t>a</w:t>
            </w:r>
            <w:r>
              <w:rPr>
                <w:spacing w:val="-2"/>
                <w:sz w:val="20"/>
              </w:rPr>
              <w:t xml:space="preserve"> </w:t>
            </w:r>
            <w:r>
              <w:rPr>
                <w:sz w:val="20"/>
              </w:rPr>
              <w:t>choice</w:t>
            </w:r>
            <w:r>
              <w:rPr>
                <w:spacing w:val="-4"/>
                <w:sz w:val="20"/>
              </w:rPr>
              <w:t xml:space="preserve"> </w:t>
            </w:r>
            <w:r>
              <w:rPr>
                <w:sz w:val="20"/>
              </w:rPr>
              <w:t>that</w:t>
            </w:r>
            <w:r>
              <w:rPr>
                <w:spacing w:val="-3"/>
                <w:sz w:val="20"/>
              </w:rPr>
              <w:t xml:space="preserve"> </w:t>
            </w:r>
            <w:r>
              <w:rPr>
                <w:sz w:val="20"/>
              </w:rPr>
              <w:t>represents</w:t>
            </w:r>
            <w:r>
              <w:rPr>
                <w:spacing w:val="-4"/>
                <w:sz w:val="20"/>
              </w:rPr>
              <w:t xml:space="preserve"> </w:t>
            </w:r>
            <w:r>
              <w:rPr>
                <w:sz w:val="20"/>
              </w:rPr>
              <w:t>real</w:t>
            </w:r>
            <w:r>
              <w:rPr>
                <w:spacing w:val="-1"/>
                <w:sz w:val="20"/>
              </w:rPr>
              <w:t xml:space="preserve"> </w:t>
            </w:r>
            <w:r>
              <w:rPr>
                <w:sz w:val="20"/>
              </w:rPr>
              <w:t>freedom—the</w:t>
            </w:r>
            <w:r>
              <w:rPr>
                <w:spacing w:val="-4"/>
                <w:sz w:val="20"/>
              </w:rPr>
              <w:t xml:space="preserve"> </w:t>
            </w:r>
            <w:r>
              <w:rPr>
                <w:sz w:val="20"/>
              </w:rPr>
              <w:t>freedom</w:t>
            </w:r>
            <w:r>
              <w:rPr>
                <w:spacing w:val="-4"/>
                <w:sz w:val="20"/>
              </w:rPr>
              <w:t xml:space="preserve"> </w:t>
            </w:r>
            <w:r>
              <w:rPr>
                <w:sz w:val="20"/>
              </w:rPr>
              <w:t>not</w:t>
            </w:r>
            <w:r>
              <w:rPr>
                <w:spacing w:val="-3"/>
                <w:sz w:val="20"/>
              </w:rPr>
              <w:t xml:space="preserve"> </w:t>
            </w:r>
            <w:r>
              <w:rPr>
                <w:sz w:val="20"/>
              </w:rPr>
              <w:t>to</w:t>
            </w:r>
            <w:r>
              <w:rPr>
                <w:spacing w:val="-3"/>
                <w:sz w:val="20"/>
              </w:rPr>
              <w:t xml:space="preserve"> </w:t>
            </w:r>
            <w:r>
              <w:rPr>
                <w:sz w:val="20"/>
              </w:rPr>
              <w:t>rebel</w:t>
            </w:r>
            <w:r>
              <w:rPr>
                <w:spacing w:val="-1"/>
                <w:sz w:val="20"/>
              </w:rPr>
              <w:t xml:space="preserve"> </w:t>
            </w:r>
            <w:r>
              <w:rPr>
                <w:sz w:val="20"/>
              </w:rPr>
              <w:t>but</w:t>
            </w:r>
            <w:r>
              <w:rPr>
                <w:spacing w:val="-3"/>
                <w:sz w:val="20"/>
              </w:rPr>
              <w:t xml:space="preserve"> </w:t>
            </w:r>
            <w:r>
              <w:rPr>
                <w:sz w:val="20"/>
              </w:rPr>
              <w:t>to do what they truly choose.</w:t>
            </w:r>
          </w:p>
        </w:tc>
      </w:tr>
    </w:tbl>
    <w:p w14:paraId="15F48338" w14:textId="77777777" w:rsidR="00DB6E1F" w:rsidRDefault="00F666A6">
      <w:pPr>
        <w:pStyle w:val="Heading3"/>
        <w:spacing w:before="1"/>
      </w:pPr>
      <w:bookmarkStart w:id="154" w:name="Reexplore_Values_in_Relation_to_Change"/>
      <w:bookmarkEnd w:id="154"/>
      <w:r>
        <w:t>Reexplore</w:t>
      </w:r>
      <w:r>
        <w:rPr>
          <w:spacing w:val="-10"/>
        </w:rPr>
        <w:t xml:space="preserve"> </w:t>
      </w:r>
      <w:r>
        <w:t>Values</w:t>
      </w:r>
      <w:r>
        <w:rPr>
          <w:spacing w:val="-6"/>
        </w:rPr>
        <w:t xml:space="preserve"> </w:t>
      </w:r>
      <w:r>
        <w:t>in</w:t>
      </w:r>
      <w:r>
        <w:rPr>
          <w:spacing w:val="-9"/>
        </w:rPr>
        <w:t xml:space="preserve"> </w:t>
      </w:r>
      <w:r>
        <w:t>Relation</w:t>
      </w:r>
      <w:r>
        <w:rPr>
          <w:spacing w:val="-5"/>
        </w:rPr>
        <w:t xml:space="preserve"> </w:t>
      </w:r>
      <w:r>
        <w:t>to</w:t>
      </w:r>
      <w:r>
        <w:rPr>
          <w:spacing w:val="-6"/>
        </w:rPr>
        <w:t xml:space="preserve"> </w:t>
      </w:r>
      <w:r>
        <w:rPr>
          <w:spacing w:val="-2"/>
        </w:rPr>
        <w:t>Change</w:t>
      </w:r>
    </w:p>
    <w:p w14:paraId="605AB63C" w14:textId="77777777" w:rsidR="00DB6E1F" w:rsidRDefault="00F666A6">
      <w:pPr>
        <w:pStyle w:val="BodyText"/>
        <w:spacing w:before="143"/>
        <w:ind w:left="1439" w:right="1491"/>
      </w:pPr>
      <w:r>
        <w:rPr>
          <w:b/>
        </w:rPr>
        <w:t>Use DB exercises as opportunities to help clients explore and articulate their values and to connect these values with positive</w:t>
      </w:r>
      <w:r>
        <w:rPr>
          <w:b/>
          <w:spacing w:val="-1"/>
        </w:rPr>
        <w:t xml:space="preserve"> </w:t>
      </w:r>
      <w:r>
        <w:rPr>
          <w:b/>
        </w:rPr>
        <w:t xml:space="preserve">change. </w:t>
      </w:r>
      <w:r>
        <w:t>Clients’ values influence their reasons for and against change. For example, an adolescent involved in drug dealing with</w:t>
      </w:r>
      <w:r>
        <w:t xml:space="preserve"> a neighborhood gang may say that leaving the gang</w:t>
      </w:r>
      <w:r>
        <w:rPr>
          <w:spacing w:val="-2"/>
        </w:rPr>
        <w:t xml:space="preserve"> </w:t>
      </w:r>
      <w:r>
        <w:t>is</w:t>
      </w:r>
      <w:r>
        <w:rPr>
          <w:spacing w:val="-2"/>
        </w:rPr>
        <w:t xml:space="preserve"> </w:t>
      </w:r>
      <w:r>
        <w:t>not</w:t>
      </w:r>
      <w:r>
        <w:rPr>
          <w:spacing w:val="-2"/>
        </w:rPr>
        <w:t xml:space="preserve"> </w:t>
      </w:r>
      <w:r>
        <w:t>possible</w:t>
      </w:r>
      <w:r>
        <w:rPr>
          <w:spacing w:val="-4"/>
        </w:rPr>
        <w:t xml:space="preserve"> </w:t>
      </w:r>
      <w:r>
        <w:t>because</w:t>
      </w:r>
      <w:r>
        <w:rPr>
          <w:spacing w:val="-1"/>
        </w:rPr>
        <w:t xml:space="preserve"> </w:t>
      </w:r>
      <w:r>
        <w:t>of</w:t>
      </w:r>
      <w:r>
        <w:rPr>
          <w:spacing w:val="-4"/>
        </w:rPr>
        <w:t xml:space="preserve"> </w:t>
      </w:r>
      <w:r>
        <w:t>his</w:t>
      </w:r>
      <w:r>
        <w:rPr>
          <w:spacing w:val="-2"/>
        </w:rPr>
        <w:t xml:space="preserve"> </w:t>
      </w:r>
      <w:r>
        <w:t>loyalty</w:t>
      </w:r>
      <w:r>
        <w:rPr>
          <w:spacing w:val="-1"/>
        </w:rPr>
        <w:t xml:space="preserve"> </w:t>
      </w:r>
      <w:r>
        <w:t>to</w:t>
      </w:r>
      <w:r>
        <w:rPr>
          <w:spacing w:val="-3"/>
        </w:rPr>
        <w:t xml:space="preserve"> </w:t>
      </w:r>
      <w:r>
        <w:t>the</w:t>
      </w:r>
      <w:r>
        <w:rPr>
          <w:spacing w:val="-4"/>
        </w:rPr>
        <w:t xml:space="preserve"> </w:t>
      </w:r>
      <w:r>
        <w:t>other</w:t>
      </w:r>
      <w:r>
        <w:rPr>
          <w:spacing w:val="-5"/>
        </w:rPr>
        <w:t xml:space="preserve"> </w:t>
      </w:r>
      <w:r>
        <w:t>members.</w:t>
      </w:r>
      <w:r>
        <w:rPr>
          <w:spacing w:val="-3"/>
        </w:rPr>
        <w:t xml:space="preserve"> </w:t>
      </w:r>
      <w:r>
        <w:t>Loyalty</w:t>
      </w:r>
      <w:r>
        <w:rPr>
          <w:spacing w:val="-3"/>
        </w:rPr>
        <w:t xml:space="preserve"> </w:t>
      </w:r>
      <w:r>
        <w:t>and</w:t>
      </w:r>
      <w:r>
        <w:rPr>
          <w:spacing w:val="-3"/>
        </w:rPr>
        <w:t xml:space="preserve"> </w:t>
      </w:r>
      <w:r>
        <w:t>belonging</w:t>
      </w:r>
      <w:r>
        <w:rPr>
          <w:spacing w:val="-3"/>
        </w:rPr>
        <w:t xml:space="preserve"> </w:t>
      </w:r>
      <w:r>
        <w:t>are</w:t>
      </w:r>
      <w:r>
        <w:rPr>
          <w:spacing w:val="-1"/>
        </w:rPr>
        <w:t xml:space="preserve"> </w:t>
      </w:r>
      <w:r>
        <w:t>important values to him. Relate them to other groups that inspire similar allegiance, such as a sports team or scoutin</w:t>
      </w:r>
      <w:r>
        <w:t>g—organizations that create a sense of belonging and reflect his core values. A young woman with a family history of hard work and academic achievement may wish to return to those values by finishing high school and becoming financially independent.</w:t>
      </w:r>
    </w:p>
    <w:p w14:paraId="130E1329" w14:textId="77777777" w:rsidR="00DB6E1F" w:rsidRDefault="00F666A6">
      <w:pPr>
        <w:pStyle w:val="BodyText"/>
        <w:spacing w:before="160"/>
        <w:ind w:left="1439" w:right="1491"/>
      </w:pPr>
      <w:r>
        <w:t>Hearin</w:t>
      </w:r>
      <w:r>
        <w:t>g themselves articulate their core values helps clients increase their commitment to positive change.</w:t>
      </w:r>
      <w:r>
        <w:rPr>
          <w:spacing w:val="-2"/>
        </w:rPr>
        <w:t xml:space="preserve"> </w:t>
      </w:r>
      <w:r>
        <w:t>If</w:t>
      </w:r>
      <w:r>
        <w:rPr>
          <w:spacing w:val="-2"/>
        </w:rPr>
        <w:t xml:space="preserve"> </w:t>
      </w:r>
      <w:r>
        <w:t>they</w:t>
      </w:r>
      <w:r>
        <w:rPr>
          <w:spacing w:val="-1"/>
        </w:rPr>
        <w:t xml:space="preserve"> </w:t>
      </w:r>
      <w:r>
        <w:t>can</w:t>
      </w:r>
      <w:r>
        <w:rPr>
          <w:spacing w:val="-3"/>
        </w:rPr>
        <w:t xml:space="preserve"> </w:t>
      </w:r>
      <w:r>
        <w:t>frame</w:t>
      </w:r>
      <w:r>
        <w:rPr>
          <w:spacing w:val="-1"/>
        </w:rPr>
        <w:t xml:space="preserve"> </w:t>
      </w:r>
      <w:r>
        <w:t>the</w:t>
      </w:r>
      <w:r>
        <w:rPr>
          <w:spacing w:val="-1"/>
        </w:rPr>
        <w:t xml:space="preserve"> </w:t>
      </w:r>
      <w:r>
        <w:t>process</w:t>
      </w:r>
      <w:r>
        <w:rPr>
          <w:spacing w:val="-4"/>
        </w:rPr>
        <w:t xml:space="preserve"> </w:t>
      </w:r>
      <w:r>
        <w:t>of</w:t>
      </w:r>
      <w:r>
        <w:rPr>
          <w:spacing w:val="-2"/>
        </w:rPr>
        <w:t xml:space="preserve"> </w:t>
      </w:r>
      <w:r>
        <w:t>change</w:t>
      </w:r>
      <w:r>
        <w:rPr>
          <w:spacing w:val="-4"/>
        </w:rPr>
        <w:t xml:space="preserve"> </w:t>
      </w:r>
      <w:r>
        <w:t>within</w:t>
      </w:r>
      <w:r>
        <w:rPr>
          <w:spacing w:val="-3"/>
        </w:rPr>
        <w:t xml:space="preserve"> </w:t>
      </w:r>
      <w:r>
        <w:t>the</w:t>
      </w:r>
      <w:r>
        <w:rPr>
          <w:spacing w:val="-1"/>
        </w:rPr>
        <w:t xml:space="preserve"> </w:t>
      </w:r>
      <w:r>
        <w:t>larger</w:t>
      </w:r>
      <w:r>
        <w:rPr>
          <w:spacing w:val="-4"/>
        </w:rPr>
        <w:t xml:space="preserve"> </w:t>
      </w:r>
      <w:r>
        <w:t>context</w:t>
      </w:r>
      <w:r>
        <w:rPr>
          <w:spacing w:val="-1"/>
        </w:rPr>
        <w:t xml:space="preserve"> </w:t>
      </w:r>
      <w:r>
        <w:t>of</w:t>
      </w:r>
      <w:r>
        <w:rPr>
          <w:spacing w:val="-5"/>
        </w:rPr>
        <w:t xml:space="preserve"> </w:t>
      </w:r>
      <w:r>
        <w:t>values</w:t>
      </w:r>
      <w:r>
        <w:rPr>
          <w:spacing w:val="-2"/>
        </w:rPr>
        <w:t xml:space="preserve"> </w:t>
      </w:r>
      <w:r>
        <w:t>shared</w:t>
      </w:r>
      <w:r>
        <w:rPr>
          <w:spacing w:val="-5"/>
        </w:rPr>
        <w:t xml:space="preserve"> </w:t>
      </w:r>
      <w:r>
        <w:t>with</w:t>
      </w:r>
      <w:r>
        <w:rPr>
          <w:spacing w:val="-5"/>
        </w:rPr>
        <w:t xml:space="preserve"> </w:t>
      </w:r>
      <w:r>
        <w:t>their family, community, and culture, they may find it easier to contemplate change.</w:t>
      </w:r>
    </w:p>
    <w:p w14:paraId="1E01CCEF" w14:textId="77777777" w:rsidR="00DB6E1F" w:rsidRDefault="00F666A6">
      <w:pPr>
        <w:pStyle w:val="Heading3"/>
        <w:spacing w:before="163"/>
      </w:pPr>
      <w:bookmarkStart w:id="155" w:name="Emphasize_Personal_Choice_and_Responsibi"/>
      <w:bookmarkEnd w:id="155"/>
      <w:r>
        <w:t>Emphasize</w:t>
      </w:r>
      <w:r>
        <w:rPr>
          <w:spacing w:val="-9"/>
        </w:rPr>
        <w:t xml:space="preserve"> </w:t>
      </w:r>
      <w:r>
        <w:t>Personal</w:t>
      </w:r>
      <w:r>
        <w:rPr>
          <w:spacing w:val="-7"/>
        </w:rPr>
        <w:t xml:space="preserve"> </w:t>
      </w:r>
      <w:r>
        <w:t>Choice</w:t>
      </w:r>
      <w:r>
        <w:rPr>
          <w:spacing w:val="-9"/>
        </w:rPr>
        <w:t xml:space="preserve"> </w:t>
      </w:r>
      <w:r>
        <w:t>and</w:t>
      </w:r>
      <w:r>
        <w:rPr>
          <w:spacing w:val="-8"/>
        </w:rPr>
        <w:t xml:space="preserve"> </w:t>
      </w:r>
      <w:r>
        <w:rPr>
          <w:spacing w:val="-2"/>
        </w:rPr>
        <w:t>Responsibility</w:t>
      </w:r>
    </w:p>
    <w:p w14:paraId="461FB9C7" w14:textId="77777777" w:rsidR="00DB6E1F" w:rsidRDefault="00F666A6">
      <w:pPr>
        <w:spacing w:before="143"/>
        <w:ind w:left="1439" w:right="1444"/>
      </w:pPr>
      <w:r>
        <w:rPr>
          <w:b/>
        </w:rPr>
        <w:t>In a motivational approach to counseling, you don’t “give” a client a choice. The choice is not yours to give; rather, it is t</w:t>
      </w:r>
      <w:r>
        <w:rPr>
          <w:b/>
        </w:rPr>
        <w:t xml:space="preserve">he client’s to make. </w:t>
      </w:r>
      <w:r>
        <w:t>Your task is to help the client make choices that are in his or her best interest and that align with his or her values and goals. Consistently emphasize the client’s responsibility</w:t>
      </w:r>
      <w:r>
        <w:rPr>
          <w:spacing w:val="-1"/>
        </w:rPr>
        <w:t xml:space="preserve"> </w:t>
      </w:r>
      <w:r>
        <w:t>and</w:t>
      </w:r>
      <w:r>
        <w:rPr>
          <w:spacing w:val="-3"/>
        </w:rPr>
        <w:t xml:space="preserve"> </w:t>
      </w:r>
      <w:r>
        <w:t>freedom</w:t>
      </w:r>
      <w:r>
        <w:rPr>
          <w:spacing w:val="-3"/>
        </w:rPr>
        <w:t xml:space="preserve"> </w:t>
      </w:r>
      <w:r>
        <w:t>of</w:t>
      </w:r>
      <w:r>
        <w:rPr>
          <w:spacing w:val="-2"/>
        </w:rPr>
        <w:t xml:space="preserve"> </w:t>
      </w:r>
      <w:r>
        <w:t>choice.</w:t>
      </w:r>
      <w:r>
        <w:rPr>
          <w:spacing w:val="-4"/>
        </w:rPr>
        <w:t xml:space="preserve"> </w:t>
      </w:r>
      <w:r>
        <w:t>The</w:t>
      </w:r>
      <w:r>
        <w:rPr>
          <w:spacing w:val="-1"/>
        </w:rPr>
        <w:t xml:space="preserve"> </w:t>
      </w:r>
      <w:r>
        <w:t>client</w:t>
      </w:r>
      <w:r>
        <w:rPr>
          <w:spacing w:val="-2"/>
        </w:rPr>
        <w:t xml:space="preserve"> </w:t>
      </w:r>
      <w:r>
        <w:t>should</w:t>
      </w:r>
      <w:r>
        <w:rPr>
          <w:spacing w:val="-3"/>
        </w:rPr>
        <w:t xml:space="preserve"> </w:t>
      </w:r>
      <w:r>
        <w:t>be</w:t>
      </w:r>
      <w:r>
        <w:rPr>
          <w:spacing w:val="-1"/>
        </w:rPr>
        <w:t xml:space="preserve"> </w:t>
      </w:r>
      <w:r>
        <w:t>used</w:t>
      </w:r>
      <w:r>
        <w:rPr>
          <w:spacing w:val="-5"/>
        </w:rPr>
        <w:t xml:space="preserve"> </w:t>
      </w:r>
      <w:r>
        <w:t>to</w:t>
      </w:r>
      <w:r>
        <w:rPr>
          <w:spacing w:val="-1"/>
        </w:rPr>
        <w:t xml:space="preserve"> </w:t>
      </w:r>
      <w:r>
        <w:t>h</w:t>
      </w:r>
      <w:r>
        <w:t>earing</w:t>
      </w:r>
      <w:r>
        <w:rPr>
          <w:spacing w:val="-3"/>
        </w:rPr>
        <w:t xml:space="preserve"> </w:t>
      </w:r>
      <w:r>
        <w:t>you</w:t>
      </w:r>
      <w:r>
        <w:rPr>
          <w:spacing w:val="-5"/>
        </w:rPr>
        <w:t xml:space="preserve"> </w:t>
      </w:r>
      <w:r>
        <w:t>make</w:t>
      </w:r>
      <w:r>
        <w:rPr>
          <w:spacing w:val="-1"/>
        </w:rPr>
        <w:t xml:space="preserve"> </w:t>
      </w:r>
      <w:r>
        <w:t>statements</w:t>
      </w:r>
      <w:r>
        <w:rPr>
          <w:spacing w:val="-2"/>
        </w:rPr>
        <w:t xml:space="preserve"> </w:t>
      </w:r>
      <w:r>
        <w:t>such</w:t>
      </w:r>
      <w:r>
        <w:rPr>
          <w:spacing w:val="-3"/>
        </w:rPr>
        <w:t xml:space="preserve"> </w:t>
      </w:r>
      <w:r>
        <w:t>as:</w:t>
      </w:r>
    </w:p>
    <w:p w14:paraId="4A26CFAC" w14:textId="77777777" w:rsidR="00DB6E1F" w:rsidRDefault="00F666A6">
      <w:pPr>
        <w:pStyle w:val="ListParagraph"/>
        <w:numPr>
          <w:ilvl w:val="0"/>
          <w:numId w:val="92"/>
        </w:numPr>
        <w:tabs>
          <w:tab w:val="left" w:pos="1799"/>
          <w:tab w:val="left" w:pos="1800"/>
        </w:tabs>
        <w:spacing w:before="58"/>
        <w:ind w:left="1799"/>
        <w:rPr>
          <w:rFonts w:ascii="Symbol" w:hAnsi="Symbol"/>
        </w:rPr>
      </w:pPr>
      <w:r>
        <w:t>“It’s</w:t>
      </w:r>
      <w:r>
        <w:rPr>
          <w:spacing w:val="-2"/>
        </w:rPr>
        <w:t xml:space="preserve"> </w:t>
      </w:r>
      <w:r>
        <w:t>up</w:t>
      </w:r>
      <w:r>
        <w:rPr>
          <w:spacing w:val="-5"/>
        </w:rPr>
        <w:t xml:space="preserve"> </w:t>
      </w:r>
      <w:r>
        <w:t>to</w:t>
      </w:r>
      <w:r>
        <w:rPr>
          <w:spacing w:val="-2"/>
        </w:rPr>
        <w:t xml:space="preserve"> </w:t>
      </w:r>
      <w:r>
        <w:t>you</w:t>
      </w:r>
      <w:r>
        <w:rPr>
          <w:spacing w:val="-3"/>
        </w:rPr>
        <w:t xml:space="preserve"> </w:t>
      </w:r>
      <w:r>
        <w:t>to decide</w:t>
      </w:r>
      <w:r>
        <w:rPr>
          <w:spacing w:val="-2"/>
        </w:rPr>
        <w:t xml:space="preserve"> </w:t>
      </w:r>
      <w:r>
        <w:t>what</w:t>
      </w:r>
      <w:r>
        <w:rPr>
          <w:spacing w:val="-1"/>
        </w:rPr>
        <w:t xml:space="preserve"> </w:t>
      </w:r>
      <w:r>
        <w:t>to</w:t>
      </w:r>
      <w:r>
        <w:rPr>
          <w:spacing w:val="-2"/>
        </w:rPr>
        <w:t xml:space="preserve"> </w:t>
      </w:r>
      <w:r>
        <w:t>do</w:t>
      </w:r>
      <w:r>
        <w:rPr>
          <w:spacing w:val="-3"/>
        </w:rPr>
        <w:t xml:space="preserve"> </w:t>
      </w:r>
      <w:r>
        <w:t>about</w:t>
      </w:r>
      <w:r>
        <w:rPr>
          <w:spacing w:val="-3"/>
        </w:rPr>
        <w:t xml:space="preserve"> </w:t>
      </w:r>
      <w:r>
        <w:rPr>
          <w:spacing w:val="-2"/>
        </w:rPr>
        <w:t>this.”</w:t>
      </w:r>
    </w:p>
    <w:p w14:paraId="4DF9E528" w14:textId="77777777" w:rsidR="00DB6E1F" w:rsidRDefault="00F666A6">
      <w:pPr>
        <w:pStyle w:val="ListParagraph"/>
        <w:numPr>
          <w:ilvl w:val="0"/>
          <w:numId w:val="92"/>
        </w:numPr>
        <w:tabs>
          <w:tab w:val="left" w:pos="1799"/>
          <w:tab w:val="left" w:pos="1800"/>
        </w:tabs>
        <w:spacing w:before="61"/>
        <w:ind w:left="1799"/>
        <w:rPr>
          <w:rFonts w:ascii="Symbol" w:hAnsi="Symbol"/>
        </w:rPr>
      </w:pPr>
      <w:r>
        <w:t>“No</w:t>
      </w:r>
      <w:r>
        <w:rPr>
          <w:spacing w:val="-3"/>
        </w:rPr>
        <w:t xml:space="preserve"> </w:t>
      </w:r>
      <w:r>
        <w:t>one</w:t>
      </w:r>
      <w:r>
        <w:rPr>
          <w:spacing w:val="-4"/>
        </w:rPr>
        <w:t xml:space="preserve"> </w:t>
      </w:r>
      <w:r>
        <w:t>can</w:t>
      </w:r>
      <w:r>
        <w:rPr>
          <w:spacing w:val="-3"/>
        </w:rPr>
        <w:t xml:space="preserve"> </w:t>
      </w:r>
      <w:r>
        <w:t>decide</w:t>
      </w:r>
      <w:r>
        <w:rPr>
          <w:spacing w:val="-2"/>
        </w:rPr>
        <w:t xml:space="preserve"> </w:t>
      </w:r>
      <w:r>
        <w:t>this</w:t>
      </w:r>
      <w:r>
        <w:rPr>
          <w:spacing w:val="-2"/>
        </w:rPr>
        <w:t xml:space="preserve"> </w:t>
      </w:r>
      <w:r>
        <w:t>for</w:t>
      </w:r>
      <w:r>
        <w:rPr>
          <w:spacing w:val="-4"/>
        </w:rPr>
        <w:t xml:space="preserve"> you.”</w:t>
      </w:r>
    </w:p>
    <w:p w14:paraId="06D90A0C" w14:textId="77777777" w:rsidR="00DB6E1F" w:rsidRDefault="00F666A6">
      <w:pPr>
        <w:pStyle w:val="ListParagraph"/>
        <w:numPr>
          <w:ilvl w:val="0"/>
          <w:numId w:val="92"/>
        </w:numPr>
        <w:tabs>
          <w:tab w:val="left" w:pos="1799"/>
          <w:tab w:val="left" w:pos="1800"/>
        </w:tabs>
        <w:ind w:left="1799"/>
        <w:rPr>
          <w:rFonts w:ascii="Symbol" w:hAnsi="Symbol"/>
        </w:rPr>
      </w:pPr>
      <w:r>
        <w:t>“No</w:t>
      </w:r>
      <w:r>
        <w:rPr>
          <w:spacing w:val="-3"/>
        </w:rPr>
        <w:t xml:space="preserve"> </w:t>
      </w:r>
      <w:r>
        <w:t>one</w:t>
      </w:r>
      <w:r>
        <w:rPr>
          <w:spacing w:val="-4"/>
        </w:rPr>
        <w:t xml:space="preserve"> </w:t>
      </w:r>
      <w:r>
        <w:t>can</w:t>
      </w:r>
      <w:r>
        <w:rPr>
          <w:spacing w:val="-3"/>
        </w:rPr>
        <w:t xml:space="preserve"> </w:t>
      </w:r>
      <w:r>
        <w:t>change</w:t>
      </w:r>
      <w:r>
        <w:rPr>
          <w:spacing w:val="-4"/>
        </w:rPr>
        <w:t xml:space="preserve"> </w:t>
      </w:r>
      <w:r>
        <w:t>your</w:t>
      </w:r>
      <w:r>
        <w:rPr>
          <w:spacing w:val="-2"/>
        </w:rPr>
        <w:t xml:space="preserve"> </w:t>
      </w:r>
      <w:r>
        <w:t>drug</w:t>
      </w:r>
      <w:r>
        <w:rPr>
          <w:spacing w:val="-3"/>
        </w:rPr>
        <w:t xml:space="preserve"> </w:t>
      </w:r>
      <w:r>
        <w:t>use</w:t>
      </w:r>
      <w:r>
        <w:rPr>
          <w:spacing w:val="-1"/>
        </w:rPr>
        <w:t xml:space="preserve"> </w:t>
      </w:r>
      <w:r>
        <w:t>for</w:t>
      </w:r>
      <w:r>
        <w:rPr>
          <w:spacing w:val="-5"/>
        </w:rPr>
        <w:t xml:space="preserve"> </w:t>
      </w:r>
      <w:r>
        <w:t>you.</w:t>
      </w:r>
      <w:r>
        <w:rPr>
          <w:spacing w:val="-2"/>
        </w:rPr>
        <w:t xml:space="preserve"> </w:t>
      </w:r>
      <w:r>
        <w:t>Only</w:t>
      </w:r>
      <w:r>
        <w:rPr>
          <w:spacing w:val="-3"/>
        </w:rPr>
        <w:t xml:space="preserve"> </w:t>
      </w:r>
      <w:r>
        <w:t>you</w:t>
      </w:r>
      <w:r>
        <w:rPr>
          <w:spacing w:val="-2"/>
        </w:rPr>
        <w:t xml:space="preserve"> can.”</w:t>
      </w:r>
    </w:p>
    <w:p w14:paraId="4F633205" w14:textId="77777777" w:rsidR="00DB6E1F" w:rsidRDefault="00F666A6">
      <w:pPr>
        <w:pStyle w:val="ListParagraph"/>
        <w:numPr>
          <w:ilvl w:val="0"/>
          <w:numId w:val="92"/>
        </w:numPr>
        <w:tabs>
          <w:tab w:val="left" w:pos="1800"/>
          <w:tab w:val="left" w:pos="1801"/>
        </w:tabs>
        <w:spacing w:before="59"/>
        <w:ind w:left="1800"/>
        <w:rPr>
          <w:rFonts w:ascii="Symbol" w:hAnsi="Symbol"/>
        </w:rPr>
      </w:pPr>
      <w:r>
        <w:t>“You</w:t>
      </w:r>
      <w:r>
        <w:rPr>
          <w:spacing w:val="-4"/>
        </w:rPr>
        <w:t xml:space="preserve"> </w:t>
      </w:r>
      <w:r>
        <w:t>can</w:t>
      </w:r>
      <w:r>
        <w:rPr>
          <w:spacing w:val="-3"/>
        </w:rPr>
        <w:t xml:space="preserve"> </w:t>
      </w:r>
      <w:r>
        <w:t>decide</w:t>
      </w:r>
      <w:r>
        <w:rPr>
          <w:spacing w:val="-2"/>
        </w:rPr>
        <w:t xml:space="preserve"> </w:t>
      </w:r>
      <w:r>
        <w:t>to</w:t>
      </w:r>
      <w:r>
        <w:rPr>
          <w:spacing w:val="-1"/>
        </w:rPr>
        <w:t xml:space="preserve"> </w:t>
      </w:r>
      <w:r>
        <w:t>go</w:t>
      </w:r>
      <w:r>
        <w:rPr>
          <w:spacing w:val="-4"/>
        </w:rPr>
        <w:t xml:space="preserve"> </w:t>
      </w:r>
      <w:r>
        <w:t>on</w:t>
      </w:r>
      <w:r>
        <w:rPr>
          <w:spacing w:val="-3"/>
        </w:rPr>
        <w:t xml:space="preserve"> </w:t>
      </w:r>
      <w:r>
        <w:t>drinking</w:t>
      </w:r>
      <w:r>
        <w:rPr>
          <w:spacing w:val="-4"/>
        </w:rPr>
        <w:t xml:space="preserve"> </w:t>
      </w:r>
      <w:r>
        <w:t>or</w:t>
      </w:r>
      <w:r>
        <w:rPr>
          <w:spacing w:val="-2"/>
        </w:rPr>
        <w:t xml:space="preserve"> </w:t>
      </w:r>
      <w:r>
        <w:t>to</w:t>
      </w:r>
      <w:r>
        <w:rPr>
          <w:spacing w:val="-3"/>
        </w:rPr>
        <w:t xml:space="preserve"> </w:t>
      </w:r>
      <w:r>
        <w:rPr>
          <w:spacing w:val="-2"/>
        </w:rPr>
        <w:t>change.”</w:t>
      </w:r>
    </w:p>
    <w:p w14:paraId="2B82C47B" w14:textId="77777777" w:rsidR="00DB6E1F" w:rsidRDefault="00F666A6">
      <w:pPr>
        <w:pStyle w:val="Heading3"/>
        <w:spacing w:before="164"/>
      </w:pPr>
      <w:bookmarkStart w:id="156" w:name="Explore_the_Client’s_Understanding_of_Ch"/>
      <w:bookmarkEnd w:id="156"/>
      <w:r>
        <w:t>Explore</w:t>
      </w:r>
      <w:r>
        <w:rPr>
          <w:spacing w:val="-9"/>
        </w:rPr>
        <w:t xml:space="preserve"> </w:t>
      </w:r>
      <w:r>
        <w:t>the</w:t>
      </w:r>
      <w:r>
        <w:rPr>
          <w:spacing w:val="-8"/>
        </w:rPr>
        <w:t xml:space="preserve"> </w:t>
      </w:r>
      <w:r>
        <w:t>Client’s</w:t>
      </w:r>
      <w:r>
        <w:rPr>
          <w:spacing w:val="-10"/>
        </w:rPr>
        <w:t xml:space="preserve"> </w:t>
      </w:r>
      <w:r>
        <w:t>Understanding</w:t>
      </w:r>
      <w:r>
        <w:rPr>
          <w:spacing w:val="-8"/>
        </w:rPr>
        <w:t xml:space="preserve"> </w:t>
      </w:r>
      <w:r>
        <w:t>of</w:t>
      </w:r>
      <w:r>
        <w:rPr>
          <w:spacing w:val="-8"/>
        </w:rPr>
        <w:t xml:space="preserve"> </w:t>
      </w:r>
      <w:r>
        <w:t>Change</w:t>
      </w:r>
      <w:r>
        <w:rPr>
          <w:spacing w:val="-8"/>
        </w:rPr>
        <w:t xml:space="preserve"> </w:t>
      </w:r>
      <w:r>
        <w:t>and</w:t>
      </w:r>
      <w:r>
        <w:rPr>
          <w:spacing w:val="-7"/>
        </w:rPr>
        <w:t xml:space="preserve"> </w:t>
      </w:r>
      <w:r>
        <w:t>Expectations</w:t>
      </w:r>
      <w:r>
        <w:rPr>
          <w:spacing w:val="-7"/>
        </w:rPr>
        <w:t xml:space="preserve"> </w:t>
      </w:r>
      <w:r>
        <w:t>of</w:t>
      </w:r>
      <w:r>
        <w:rPr>
          <w:spacing w:val="-9"/>
        </w:rPr>
        <w:t xml:space="preserve"> </w:t>
      </w:r>
      <w:r>
        <w:rPr>
          <w:spacing w:val="-2"/>
        </w:rPr>
        <w:t>Treatment</w:t>
      </w:r>
    </w:p>
    <w:p w14:paraId="52B87448" w14:textId="77777777" w:rsidR="00DB6E1F" w:rsidRDefault="00F666A6">
      <w:pPr>
        <w:spacing w:before="143"/>
        <w:ind w:left="1439" w:right="1555"/>
      </w:pPr>
      <w:r>
        <w:rPr>
          <w:b/>
        </w:rPr>
        <w:t>In</w:t>
      </w:r>
      <w:r>
        <w:rPr>
          <w:b/>
          <w:spacing w:val="-3"/>
        </w:rPr>
        <w:t xml:space="preserve"> </w:t>
      </w:r>
      <w:r>
        <w:rPr>
          <w:b/>
        </w:rPr>
        <w:t>working</w:t>
      </w:r>
      <w:r>
        <w:rPr>
          <w:b/>
          <w:spacing w:val="-3"/>
        </w:rPr>
        <w:t xml:space="preserve"> </w:t>
      </w:r>
      <w:r>
        <w:rPr>
          <w:b/>
        </w:rPr>
        <w:t>toward</w:t>
      </w:r>
      <w:r>
        <w:rPr>
          <w:b/>
          <w:spacing w:val="-3"/>
        </w:rPr>
        <w:t xml:space="preserve"> </w:t>
      </w:r>
      <w:r>
        <w:rPr>
          <w:b/>
        </w:rPr>
        <w:t>a</w:t>
      </w:r>
      <w:r>
        <w:rPr>
          <w:b/>
          <w:spacing w:val="-3"/>
        </w:rPr>
        <w:t xml:space="preserve"> </w:t>
      </w:r>
      <w:r>
        <w:rPr>
          <w:b/>
        </w:rPr>
        <w:t>decision,</w:t>
      </w:r>
      <w:r>
        <w:rPr>
          <w:b/>
          <w:spacing w:val="-1"/>
        </w:rPr>
        <w:t xml:space="preserve"> </w:t>
      </w:r>
      <w:r>
        <w:rPr>
          <w:b/>
        </w:rPr>
        <w:t>understand</w:t>
      </w:r>
      <w:r>
        <w:rPr>
          <w:b/>
          <w:spacing w:val="-3"/>
        </w:rPr>
        <w:t xml:space="preserve"> </w:t>
      </w:r>
      <w:r>
        <w:rPr>
          <w:b/>
        </w:rPr>
        <w:t>what</w:t>
      </w:r>
      <w:r>
        <w:rPr>
          <w:b/>
          <w:spacing w:val="-2"/>
        </w:rPr>
        <w:t xml:space="preserve"> </w:t>
      </w:r>
      <w:r>
        <w:rPr>
          <w:b/>
        </w:rPr>
        <w:t>change</w:t>
      </w:r>
      <w:r>
        <w:rPr>
          <w:b/>
          <w:spacing w:val="-3"/>
        </w:rPr>
        <w:t xml:space="preserve"> </w:t>
      </w:r>
      <w:r>
        <w:rPr>
          <w:b/>
        </w:rPr>
        <w:t>means</w:t>
      </w:r>
      <w:r>
        <w:rPr>
          <w:b/>
          <w:spacing w:val="-1"/>
        </w:rPr>
        <w:t xml:space="preserve"> </w:t>
      </w:r>
      <w:r>
        <w:rPr>
          <w:b/>
        </w:rPr>
        <w:t>to</w:t>
      </w:r>
      <w:r>
        <w:rPr>
          <w:b/>
          <w:spacing w:val="-5"/>
        </w:rPr>
        <w:t xml:space="preserve"> </w:t>
      </w:r>
      <w:r>
        <w:rPr>
          <w:b/>
        </w:rPr>
        <w:t>clients</w:t>
      </w:r>
      <w:r>
        <w:rPr>
          <w:b/>
          <w:spacing w:val="-4"/>
        </w:rPr>
        <w:t xml:space="preserve"> </w:t>
      </w:r>
      <w:r>
        <w:rPr>
          <w:b/>
        </w:rPr>
        <w:t>and</w:t>
      </w:r>
      <w:r>
        <w:rPr>
          <w:b/>
          <w:spacing w:val="-3"/>
        </w:rPr>
        <w:t xml:space="preserve"> </w:t>
      </w:r>
      <w:r>
        <w:rPr>
          <w:b/>
        </w:rPr>
        <w:t>what</w:t>
      </w:r>
      <w:r>
        <w:rPr>
          <w:b/>
          <w:spacing w:val="-2"/>
        </w:rPr>
        <w:t xml:space="preserve"> </w:t>
      </w:r>
      <w:r>
        <w:rPr>
          <w:b/>
        </w:rPr>
        <w:t>their</w:t>
      </w:r>
      <w:r>
        <w:rPr>
          <w:b/>
          <w:spacing w:val="-1"/>
        </w:rPr>
        <w:t xml:space="preserve"> </w:t>
      </w:r>
      <w:r>
        <w:rPr>
          <w:b/>
        </w:rPr>
        <w:t>expectations of</w:t>
      </w:r>
      <w:r>
        <w:rPr>
          <w:b/>
          <w:spacing w:val="-1"/>
        </w:rPr>
        <w:t xml:space="preserve"> </w:t>
      </w:r>
      <w:r>
        <w:rPr>
          <w:b/>
        </w:rPr>
        <w:t>treatment</w:t>
      </w:r>
      <w:r>
        <w:rPr>
          <w:b/>
          <w:spacing w:val="-1"/>
        </w:rPr>
        <w:t xml:space="preserve"> </w:t>
      </w:r>
      <w:r>
        <w:rPr>
          <w:b/>
        </w:rPr>
        <w:t xml:space="preserve">are. </w:t>
      </w:r>
      <w:r>
        <w:t>Some</w:t>
      </w:r>
      <w:r>
        <w:rPr>
          <w:spacing w:val="-3"/>
        </w:rPr>
        <w:t xml:space="preserve"> </w:t>
      </w:r>
      <w:r>
        <w:t>clients</w:t>
      </w:r>
      <w:r>
        <w:rPr>
          <w:spacing w:val="-1"/>
        </w:rPr>
        <w:t xml:space="preserve"> </w:t>
      </w:r>
      <w:r>
        <w:t>believe</w:t>
      </w:r>
      <w:r>
        <w:rPr>
          <w:spacing w:val="-3"/>
        </w:rPr>
        <w:t xml:space="preserve"> </w:t>
      </w:r>
      <w:r>
        <w:t>that</w:t>
      </w:r>
      <w:r>
        <w:rPr>
          <w:spacing w:val="-3"/>
        </w:rPr>
        <w:t xml:space="preserve"> </w:t>
      </w:r>
      <w:r>
        <w:t>quitting</w:t>
      </w:r>
      <w:r>
        <w:rPr>
          <w:spacing w:val="-1"/>
        </w:rPr>
        <w:t xml:space="preserve"> </w:t>
      </w:r>
      <w:r>
        <w:t>or</w:t>
      </w:r>
      <w:r>
        <w:rPr>
          <w:spacing w:val="-1"/>
        </w:rPr>
        <w:t xml:space="preserve"> </w:t>
      </w:r>
      <w:r>
        <w:t>cutting</w:t>
      </w:r>
      <w:r>
        <w:rPr>
          <w:spacing w:val="-1"/>
        </w:rPr>
        <w:t xml:space="preserve"> </w:t>
      </w:r>
      <w:r>
        <w:t>down</w:t>
      </w:r>
      <w:r>
        <w:rPr>
          <w:spacing w:val="-4"/>
        </w:rPr>
        <w:t xml:space="preserve"> </w:t>
      </w:r>
      <w:r>
        <w:t>means</w:t>
      </w:r>
      <w:r>
        <w:rPr>
          <w:spacing w:val="-3"/>
        </w:rPr>
        <w:t xml:space="preserve"> </w:t>
      </w:r>
      <w:r>
        <w:t>changing</w:t>
      </w:r>
      <w:r>
        <w:rPr>
          <w:spacing w:val="-1"/>
        </w:rPr>
        <w:t xml:space="preserve"> </w:t>
      </w:r>
      <w:r>
        <w:t>their</w:t>
      </w:r>
      <w:r>
        <w:rPr>
          <w:spacing w:val="-1"/>
        </w:rPr>
        <w:t xml:space="preserve"> </w:t>
      </w:r>
      <w:r>
        <w:t>entire</w:t>
      </w:r>
      <w:r>
        <w:rPr>
          <w:spacing w:val="-3"/>
        </w:rPr>
        <w:t xml:space="preserve"> </w:t>
      </w:r>
      <w:r>
        <w:t>life— moving from their neighborhood or cutting ties with all their friends, even their family. Some believe they</w:t>
      </w:r>
      <w:r>
        <w:rPr>
          <w:spacing w:val="-1"/>
        </w:rPr>
        <w:t xml:space="preserve"> </w:t>
      </w:r>
      <w:r>
        <w:t>have</w:t>
      </w:r>
      <w:r>
        <w:rPr>
          <w:spacing w:val="-4"/>
        </w:rPr>
        <w:t xml:space="preserve"> </w:t>
      </w:r>
      <w:r>
        <w:t>to</w:t>
      </w:r>
      <w:r>
        <w:rPr>
          <w:spacing w:val="-3"/>
        </w:rPr>
        <w:t xml:space="preserve"> </w:t>
      </w:r>
      <w:r>
        <w:t>change</w:t>
      </w:r>
      <w:r>
        <w:rPr>
          <w:spacing w:val="-4"/>
        </w:rPr>
        <w:t xml:space="preserve"> </w:t>
      </w:r>
      <w:r>
        <w:t>everything</w:t>
      </w:r>
      <w:r>
        <w:rPr>
          <w:spacing w:val="-3"/>
        </w:rPr>
        <w:t xml:space="preserve"> </w:t>
      </w:r>
      <w:r>
        <w:t>overnight.</w:t>
      </w:r>
      <w:r>
        <w:rPr>
          <w:spacing w:val="-5"/>
        </w:rPr>
        <w:t xml:space="preserve"> </w:t>
      </w:r>
      <w:r>
        <w:t>This</w:t>
      </w:r>
      <w:r>
        <w:rPr>
          <w:spacing w:val="-2"/>
        </w:rPr>
        <w:t xml:space="preserve"> </w:t>
      </w:r>
      <w:r>
        <w:t>can</w:t>
      </w:r>
      <w:r>
        <w:rPr>
          <w:spacing w:val="-3"/>
        </w:rPr>
        <w:t xml:space="preserve"> </w:t>
      </w:r>
      <w:r>
        <w:t>be</w:t>
      </w:r>
      <w:r>
        <w:rPr>
          <w:spacing w:val="-4"/>
        </w:rPr>
        <w:t xml:space="preserve"> </w:t>
      </w:r>
      <w:r>
        <w:t>overwhelming.</w:t>
      </w:r>
      <w:r>
        <w:rPr>
          <w:spacing w:val="-2"/>
        </w:rPr>
        <w:t xml:space="preserve"> </w:t>
      </w:r>
      <w:r>
        <w:t>Tell</w:t>
      </w:r>
      <w:r>
        <w:rPr>
          <w:spacing w:val="-2"/>
        </w:rPr>
        <w:t xml:space="preserve"> </w:t>
      </w:r>
      <w:r>
        <w:t>clients</w:t>
      </w:r>
      <w:r>
        <w:rPr>
          <w:spacing w:val="-4"/>
        </w:rPr>
        <w:t xml:space="preserve"> </w:t>
      </w:r>
      <w:r>
        <w:t>who</w:t>
      </w:r>
      <w:r>
        <w:rPr>
          <w:spacing w:val="-1"/>
        </w:rPr>
        <w:t xml:space="preserve"> </w:t>
      </w:r>
      <w:r>
        <w:t>have</w:t>
      </w:r>
      <w:r>
        <w:rPr>
          <w:spacing w:val="-1"/>
        </w:rPr>
        <w:t xml:space="preserve"> </w:t>
      </w:r>
      <w:r>
        <w:t>never</w:t>
      </w:r>
      <w:r>
        <w:rPr>
          <w:spacing w:val="-2"/>
        </w:rPr>
        <w:t xml:space="preserve"> </w:t>
      </w:r>
      <w:r>
        <w:t>been in treatment before about the level of motivation and openness required to get the most from their treatment experience (Raylu &amp; Kaur, 2012).</w:t>
      </w:r>
    </w:p>
    <w:p w14:paraId="0951C095" w14:textId="77777777" w:rsidR="00DB6E1F" w:rsidRDefault="00F666A6">
      <w:pPr>
        <w:pStyle w:val="BodyText"/>
        <w:spacing w:before="159"/>
        <w:ind w:left="1439" w:right="1444"/>
      </w:pPr>
      <w:r>
        <w:t>In exploring these meanings and expectations with the client, you will get a sense of which actions the clien</w:t>
      </w:r>
      <w:r>
        <w:t>t</w:t>
      </w:r>
      <w:r>
        <w:rPr>
          <w:spacing w:val="-4"/>
        </w:rPr>
        <w:t xml:space="preserve"> </w:t>
      </w:r>
      <w:r>
        <w:t>might</w:t>
      </w:r>
      <w:r>
        <w:rPr>
          <w:spacing w:val="-1"/>
        </w:rPr>
        <w:t xml:space="preserve"> </w:t>
      </w:r>
      <w:r>
        <w:t>consider</w:t>
      </w:r>
      <w:r>
        <w:rPr>
          <w:spacing w:val="-2"/>
        </w:rPr>
        <w:t xml:space="preserve"> </w:t>
      </w:r>
      <w:r>
        <w:t>and</w:t>
      </w:r>
      <w:r>
        <w:rPr>
          <w:spacing w:val="-4"/>
        </w:rPr>
        <w:t xml:space="preserve"> </w:t>
      </w:r>
      <w:r>
        <w:t>which</w:t>
      </w:r>
      <w:r>
        <w:rPr>
          <w:spacing w:val="-3"/>
        </w:rPr>
        <w:t xml:space="preserve"> </w:t>
      </w:r>
      <w:r>
        <w:t>he</w:t>
      </w:r>
      <w:r>
        <w:rPr>
          <w:spacing w:val="-4"/>
        </w:rPr>
        <w:t xml:space="preserve"> </w:t>
      </w:r>
      <w:r>
        <w:t>or</w:t>
      </w:r>
      <w:r>
        <w:rPr>
          <w:spacing w:val="-2"/>
        </w:rPr>
        <w:t xml:space="preserve"> </w:t>
      </w:r>
      <w:r>
        <w:t>she</w:t>
      </w:r>
      <w:r>
        <w:rPr>
          <w:spacing w:val="-4"/>
        </w:rPr>
        <w:t xml:space="preserve"> </w:t>
      </w:r>
      <w:r>
        <w:t>will</w:t>
      </w:r>
      <w:r>
        <w:rPr>
          <w:spacing w:val="-1"/>
        </w:rPr>
        <w:t xml:space="preserve"> </w:t>
      </w:r>
      <w:r>
        <w:t>not.</w:t>
      </w:r>
      <w:r>
        <w:rPr>
          <w:spacing w:val="-2"/>
        </w:rPr>
        <w:t xml:space="preserve"> </w:t>
      </w:r>
      <w:r>
        <w:t>For</w:t>
      </w:r>
      <w:r>
        <w:rPr>
          <w:spacing w:val="-2"/>
        </w:rPr>
        <w:t xml:space="preserve"> </w:t>
      </w:r>
      <w:r>
        <w:t>example,</w:t>
      </w:r>
      <w:r>
        <w:rPr>
          <w:spacing w:val="-4"/>
        </w:rPr>
        <w:t xml:space="preserve"> </w:t>
      </w:r>
      <w:r>
        <w:t>a</w:t>
      </w:r>
      <w:r>
        <w:rPr>
          <w:spacing w:val="-2"/>
        </w:rPr>
        <w:t xml:space="preserve"> </w:t>
      </w:r>
      <w:r>
        <w:t>client</w:t>
      </w:r>
      <w:r>
        <w:rPr>
          <w:spacing w:val="-5"/>
        </w:rPr>
        <w:t xml:space="preserve"> </w:t>
      </w:r>
      <w:r>
        <w:t>might</w:t>
      </w:r>
      <w:r>
        <w:rPr>
          <w:spacing w:val="-1"/>
        </w:rPr>
        <w:t xml:space="preserve"> </w:t>
      </w:r>
      <w:r>
        <w:t>state</w:t>
      </w:r>
      <w:r>
        <w:rPr>
          <w:spacing w:val="-1"/>
        </w:rPr>
        <w:t xml:space="preserve"> </w:t>
      </w:r>
      <w:r>
        <w:t>that</w:t>
      </w:r>
      <w:r>
        <w:rPr>
          <w:spacing w:val="-1"/>
        </w:rPr>
        <w:t xml:space="preserve"> </w:t>
      </w:r>
      <w:r>
        <w:t>she</w:t>
      </w:r>
      <w:r>
        <w:rPr>
          <w:spacing w:val="-4"/>
        </w:rPr>
        <w:t xml:space="preserve"> </w:t>
      </w:r>
      <w:r>
        <w:t>could</w:t>
      </w:r>
      <w:r>
        <w:rPr>
          <w:spacing w:val="-3"/>
        </w:rPr>
        <w:t xml:space="preserve"> </w:t>
      </w:r>
      <w:r>
        <w:t>never move from her neighborhood, a well-known drug market, because her family is there. Another says he will not consider anything but cutting down on his drin</w:t>
      </w:r>
      <w:r>
        <w:t>king. A third client may just as strongly state that total abstinence and a stay in a therapeutic community are the only options, as all others have failed.</w:t>
      </w:r>
    </w:p>
    <w:p w14:paraId="2055C01D" w14:textId="77777777" w:rsidR="00DB6E1F" w:rsidRDefault="00DB6E1F">
      <w:pPr>
        <w:sectPr w:rsidR="00DB6E1F">
          <w:pgSz w:w="12240" w:h="15840"/>
          <w:pgMar w:top="1200" w:right="0" w:bottom="780" w:left="0" w:header="763" w:footer="585" w:gutter="0"/>
          <w:cols w:space="720"/>
        </w:sectPr>
      </w:pPr>
    </w:p>
    <w:p w14:paraId="14B7E3EA" w14:textId="77777777" w:rsidR="00DB6E1F" w:rsidRDefault="00DB6E1F">
      <w:pPr>
        <w:pStyle w:val="BodyText"/>
        <w:spacing w:before="8"/>
        <w:rPr>
          <w:sz w:val="14"/>
        </w:rPr>
      </w:pPr>
    </w:p>
    <w:p w14:paraId="6DAF5781" w14:textId="77777777" w:rsidR="00DB6E1F" w:rsidRDefault="00F666A6">
      <w:pPr>
        <w:spacing w:before="56"/>
        <w:ind w:left="1439" w:right="1555"/>
      </w:pPr>
      <w:r>
        <w:rPr>
          <w:b/>
        </w:rPr>
        <w:t xml:space="preserve">By exploring treatment expectations with clients, you introduce information about the benefits of treatment and can begin a discussion about available options. </w:t>
      </w:r>
      <w:r>
        <w:t>When clients’ expectations about treatment match what actually happens and they have positive ex</w:t>
      </w:r>
      <w:r>
        <w:t>pectations about treatment, they have better outcomes (Kuusisto, Knuuttila, &amp; Saarnio, 2011). It is never too soon to elicit clients’ expectations</w:t>
      </w:r>
      <w:r>
        <w:rPr>
          <w:spacing w:val="-1"/>
        </w:rPr>
        <w:t xml:space="preserve"> </w:t>
      </w:r>
      <w:r>
        <w:t>about</w:t>
      </w:r>
      <w:r>
        <w:rPr>
          <w:spacing w:val="-1"/>
        </w:rPr>
        <w:t xml:space="preserve"> </w:t>
      </w:r>
      <w:r>
        <w:t>treatment through reflective listening. Show that</w:t>
      </w:r>
      <w:r>
        <w:rPr>
          <w:spacing w:val="-1"/>
        </w:rPr>
        <w:t xml:space="preserve"> </w:t>
      </w:r>
      <w:r>
        <w:t>you understand their concerns, and</w:t>
      </w:r>
      <w:r>
        <w:rPr>
          <w:spacing w:val="-4"/>
        </w:rPr>
        <w:t xml:space="preserve"> </w:t>
      </w:r>
      <w:r>
        <w:t>provide</w:t>
      </w:r>
      <w:r>
        <w:rPr>
          <w:spacing w:val="-5"/>
        </w:rPr>
        <w:t xml:space="preserve"> </w:t>
      </w:r>
      <w:r>
        <w:t>accurate</w:t>
      </w:r>
      <w:r>
        <w:rPr>
          <w:spacing w:val="-2"/>
        </w:rPr>
        <w:t xml:space="preserve"> </w:t>
      </w:r>
      <w:r>
        <w:t>i</w:t>
      </w:r>
      <w:r>
        <w:t>nformation</w:t>
      </w:r>
      <w:r>
        <w:rPr>
          <w:spacing w:val="-4"/>
        </w:rPr>
        <w:t xml:space="preserve"> </w:t>
      </w:r>
      <w:r>
        <w:t>about</w:t>
      </w:r>
      <w:r>
        <w:rPr>
          <w:spacing w:val="-3"/>
        </w:rPr>
        <w:t xml:space="preserve"> </w:t>
      </w:r>
      <w:r>
        <w:t>your</w:t>
      </w:r>
      <w:r>
        <w:rPr>
          <w:spacing w:val="-3"/>
        </w:rPr>
        <w:t xml:space="preserve"> </w:t>
      </w:r>
      <w:r>
        <w:t>treatment</w:t>
      </w:r>
      <w:r>
        <w:rPr>
          <w:spacing w:val="-3"/>
        </w:rPr>
        <w:t xml:space="preserve"> </w:t>
      </w:r>
      <w:r>
        <w:t>program and</w:t>
      </w:r>
      <w:r>
        <w:rPr>
          <w:spacing w:val="-4"/>
        </w:rPr>
        <w:t xml:space="preserve"> </w:t>
      </w:r>
      <w:r>
        <w:t>the</w:t>
      </w:r>
      <w:r>
        <w:rPr>
          <w:spacing w:val="-2"/>
        </w:rPr>
        <w:t xml:space="preserve"> </w:t>
      </w:r>
      <w:r>
        <w:t>benefits</w:t>
      </w:r>
      <w:r>
        <w:rPr>
          <w:spacing w:val="-3"/>
        </w:rPr>
        <w:t xml:space="preserve"> </w:t>
      </w:r>
      <w:r>
        <w:t>of</w:t>
      </w:r>
      <w:r>
        <w:rPr>
          <w:spacing w:val="-5"/>
        </w:rPr>
        <w:t xml:space="preserve"> </w:t>
      </w:r>
      <w:r>
        <w:t>treatment</w:t>
      </w:r>
      <w:r>
        <w:rPr>
          <w:spacing w:val="-2"/>
        </w:rPr>
        <w:t xml:space="preserve"> </w:t>
      </w:r>
      <w:r>
        <w:t>using motivational strategies like Elicit-Provide-Elicit (described in Chapter 3).</w:t>
      </w:r>
    </w:p>
    <w:p w14:paraId="7ABCE559" w14:textId="77777777" w:rsidR="00DB6E1F" w:rsidRDefault="00F666A6">
      <w:pPr>
        <w:pStyle w:val="Heading3"/>
        <w:spacing w:before="163"/>
      </w:pPr>
      <w:bookmarkStart w:id="157" w:name="Reintroduce_Feedback"/>
      <w:bookmarkEnd w:id="157"/>
      <w:r>
        <w:rPr>
          <w:w w:val="95"/>
        </w:rPr>
        <w:t>Reintroduce</w:t>
      </w:r>
      <w:r>
        <w:rPr>
          <w:spacing w:val="49"/>
        </w:rPr>
        <w:t xml:space="preserve"> </w:t>
      </w:r>
      <w:r>
        <w:rPr>
          <w:spacing w:val="-2"/>
        </w:rPr>
        <w:t>Feedback</w:t>
      </w:r>
    </w:p>
    <w:p w14:paraId="3BB78058" w14:textId="77777777" w:rsidR="00DB6E1F" w:rsidRDefault="00F666A6">
      <w:pPr>
        <w:pStyle w:val="BodyText"/>
        <w:spacing w:before="143"/>
        <w:ind w:left="1440" w:right="866"/>
      </w:pPr>
      <w:r>
        <w:rPr>
          <w:b/>
        </w:rPr>
        <w:t xml:space="preserve">Use personalized feedback after assessments to motivate clients. </w:t>
      </w:r>
      <w:r>
        <w:t xml:space="preserve">Continue to use assessment results to influence clients’ decisional considerations. Objective medical, social, and neuropsychological feedback </w:t>
      </w:r>
      <w:r>
        <w:rPr>
          <w:spacing w:val="-2"/>
        </w:rPr>
        <w:t>prompts</w:t>
      </w:r>
      <w:r>
        <w:rPr>
          <w:spacing w:val="-5"/>
        </w:rPr>
        <w:t xml:space="preserve"> </w:t>
      </w:r>
      <w:r>
        <w:rPr>
          <w:spacing w:val="-2"/>
        </w:rPr>
        <w:t>many</w:t>
      </w:r>
      <w:r>
        <w:rPr>
          <w:spacing w:val="-4"/>
        </w:rPr>
        <w:t xml:space="preserve"> </w:t>
      </w:r>
      <w:r>
        <w:rPr>
          <w:spacing w:val="-2"/>
        </w:rPr>
        <w:t>clients</w:t>
      </w:r>
      <w:r>
        <w:rPr>
          <w:spacing w:val="-5"/>
        </w:rPr>
        <w:t xml:space="preserve"> </w:t>
      </w:r>
      <w:r>
        <w:rPr>
          <w:spacing w:val="-2"/>
        </w:rPr>
        <w:t>to</w:t>
      </w:r>
      <w:r>
        <w:rPr>
          <w:spacing w:val="-4"/>
        </w:rPr>
        <w:t xml:space="preserve"> </w:t>
      </w:r>
      <w:r>
        <w:rPr>
          <w:spacing w:val="-2"/>
        </w:rPr>
        <w:t>contemplate</w:t>
      </w:r>
      <w:r>
        <w:rPr>
          <w:spacing w:val="-4"/>
        </w:rPr>
        <w:t xml:space="preserve"> </w:t>
      </w:r>
      <w:r>
        <w:rPr>
          <w:spacing w:val="-2"/>
        </w:rPr>
        <w:t>change.</w:t>
      </w:r>
      <w:r>
        <w:rPr>
          <w:spacing w:val="-5"/>
        </w:rPr>
        <w:t xml:space="preserve"> </w:t>
      </w:r>
      <w:r>
        <w:rPr>
          <w:spacing w:val="-2"/>
        </w:rPr>
        <w:t>Revi</w:t>
      </w:r>
      <w:r>
        <w:rPr>
          <w:spacing w:val="-2"/>
        </w:rPr>
        <w:t>ewing</w:t>
      </w:r>
      <w:r>
        <w:rPr>
          <w:spacing w:val="-6"/>
        </w:rPr>
        <w:t xml:space="preserve"> </w:t>
      </w:r>
      <w:r>
        <w:rPr>
          <w:spacing w:val="-2"/>
        </w:rPr>
        <w:t>assessment</w:t>
      </w:r>
      <w:r>
        <w:rPr>
          <w:spacing w:val="-4"/>
        </w:rPr>
        <w:t xml:space="preserve"> </w:t>
      </w:r>
      <w:r>
        <w:rPr>
          <w:spacing w:val="-2"/>
        </w:rPr>
        <w:t>information</w:t>
      </w:r>
      <w:r>
        <w:rPr>
          <w:spacing w:val="-8"/>
        </w:rPr>
        <w:t xml:space="preserve"> </w:t>
      </w:r>
      <w:r>
        <w:rPr>
          <w:spacing w:val="-2"/>
        </w:rPr>
        <w:t>can</w:t>
      </w:r>
      <w:r>
        <w:rPr>
          <w:spacing w:val="-4"/>
        </w:rPr>
        <w:t xml:space="preserve"> </w:t>
      </w:r>
      <w:r>
        <w:rPr>
          <w:spacing w:val="-2"/>
        </w:rPr>
        <w:t>refocus</w:t>
      </w:r>
      <w:r>
        <w:rPr>
          <w:spacing w:val="-3"/>
        </w:rPr>
        <w:t xml:space="preserve"> </w:t>
      </w:r>
      <w:r>
        <w:rPr>
          <w:spacing w:val="-2"/>
        </w:rPr>
        <w:t>clients</w:t>
      </w:r>
      <w:r>
        <w:rPr>
          <w:spacing w:val="-5"/>
        </w:rPr>
        <w:t xml:space="preserve"> </w:t>
      </w:r>
      <w:r>
        <w:rPr>
          <w:spacing w:val="-2"/>
        </w:rPr>
        <w:t>on</w:t>
      </w:r>
      <w:r>
        <w:rPr>
          <w:spacing w:val="-5"/>
        </w:rPr>
        <w:t xml:space="preserve"> </w:t>
      </w:r>
      <w:r>
        <w:rPr>
          <w:spacing w:val="-2"/>
        </w:rPr>
        <w:t>the</w:t>
      </w:r>
      <w:r>
        <w:rPr>
          <w:spacing w:val="-4"/>
        </w:rPr>
        <w:t xml:space="preserve"> </w:t>
      </w:r>
      <w:r>
        <w:rPr>
          <w:spacing w:val="-2"/>
        </w:rPr>
        <w:t xml:space="preserve">need </w:t>
      </w:r>
      <w:r>
        <w:t>for</w:t>
      </w:r>
      <w:r>
        <w:rPr>
          <w:spacing w:val="-12"/>
        </w:rPr>
        <w:t xml:space="preserve"> </w:t>
      </w:r>
      <w:r>
        <w:t>change.</w:t>
      </w:r>
      <w:r>
        <w:rPr>
          <w:spacing w:val="-12"/>
        </w:rPr>
        <w:t xml:space="preserve"> </w:t>
      </w:r>
      <w:r>
        <w:t>Reintroducing</w:t>
      </w:r>
      <w:r>
        <w:rPr>
          <w:spacing w:val="-13"/>
        </w:rPr>
        <w:t xml:space="preserve"> </w:t>
      </w:r>
      <w:r>
        <w:t>objective</w:t>
      </w:r>
      <w:r>
        <w:rPr>
          <w:spacing w:val="-11"/>
        </w:rPr>
        <w:t xml:space="preserve"> </w:t>
      </w:r>
      <w:r>
        <w:t>assessment</w:t>
      </w:r>
      <w:r>
        <w:rPr>
          <w:spacing w:val="-11"/>
        </w:rPr>
        <w:t xml:space="preserve"> </w:t>
      </w:r>
      <w:r>
        <w:t>data</w:t>
      </w:r>
      <w:r>
        <w:rPr>
          <w:spacing w:val="-12"/>
        </w:rPr>
        <w:t xml:space="preserve"> </w:t>
      </w:r>
      <w:r>
        <w:t>reminds</w:t>
      </w:r>
      <w:r>
        <w:rPr>
          <w:spacing w:val="-12"/>
        </w:rPr>
        <w:t xml:space="preserve"> </w:t>
      </w:r>
      <w:r>
        <w:t>clients</w:t>
      </w:r>
      <w:r>
        <w:rPr>
          <w:spacing w:val="-12"/>
        </w:rPr>
        <w:t xml:space="preserve"> </w:t>
      </w:r>
      <w:r>
        <w:t>of</w:t>
      </w:r>
      <w:r>
        <w:rPr>
          <w:spacing w:val="-12"/>
        </w:rPr>
        <w:t xml:space="preserve"> </w:t>
      </w:r>
      <w:r>
        <w:t>earlier</w:t>
      </w:r>
      <w:r>
        <w:rPr>
          <w:spacing w:val="-12"/>
        </w:rPr>
        <w:t xml:space="preserve"> </w:t>
      </w:r>
      <w:r>
        <w:t>insights</w:t>
      </w:r>
      <w:r>
        <w:rPr>
          <w:spacing w:val="-12"/>
        </w:rPr>
        <w:t xml:space="preserve"> </w:t>
      </w:r>
      <w:r>
        <w:t>into</w:t>
      </w:r>
      <w:r>
        <w:rPr>
          <w:spacing w:val="-10"/>
        </w:rPr>
        <w:t xml:space="preserve"> </w:t>
      </w:r>
      <w:r>
        <w:t>the</w:t>
      </w:r>
      <w:r>
        <w:rPr>
          <w:spacing w:val="-11"/>
        </w:rPr>
        <w:t xml:space="preserve"> </w:t>
      </w:r>
      <w:r>
        <w:t>need</w:t>
      </w:r>
      <w:r>
        <w:rPr>
          <w:spacing w:val="-12"/>
        </w:rPr>
        <w:t xml:space="preserve"> </w:t>
      </w:r>
      <w:r>
        <w:t>for</w:t>
      </w:r>
      <w:r>
        <w:rPr>
          <w:spacing w:val="-12"/>
        </w:rPr>
        <w:t xml:space="preserve"> </w:t>
      </w:r>
      <w:r>
        <w:t>change.</w:t>
      </w:r>
    </w:p>
    <w:p w14:paraId="09C370EF" w14:textId="77777777" w:rsidR="00DB6E1F" w:rsidRDefault="00F666A6">
      <w:pPr>
        <w:pStyle w:val="BodyText"/>
        <w:spacing w:before="159"/>
        <w:ind w:left="1439" w:right="1491"/>
      </w:pPr>
      <w:r>
        <w:t>For</w:t>
      </w:r>
      <w:r>
        <w:rPr>
          <w:spacing w:val="-2"/>
        </w:rPr>
        <w:t xml:space="preserve"> </w:t>
      </w:r>
      <w:r>
        <w:t>example,</w:t>
      </w:r>
      <w:r>
        <w:rPr>
          <w:spacing w:val="-2"/>
        </w:rPr>
        <w:t xml:space="preserve"> </w:t>
      </w:r>
      <w:r>
        <w:t>a</w:t>
      </w:r>
      <w:r>
        <w:rPr>
          <w:spacing w:val="-4"/>
        </w:rPr>
        <w:t xml:space="preserve"> </w:t>
      </w:r>
      <w:r>
        <w:t>client</w:t>
      </w:r>
      <w:r>
        <w:rPr>
          <w:spacing w:val="-4"/>
        </w:rPr>
        <w:t xml:space="preserve"> </w:t>
      </w:r>
      <w:r>
        <w:t>may</w:t>
      </w:r>
      <w:r>
        <w:rPr>
          <w:spacing w:val="-1"/>
        </w:rPr>
        <w:t xml:space="preserve"> </w:t>
      </w:r>
      <w:r>
        <w:t>be</w:t>
      </w:r>
      <w:r>
        <w:rPr>
          <w:spacing w:val="-1"/>
        </w:rPr>
        <w:t xml:space="preserve"> </w:t>
      </w:r>
      <w:r>
        <w:t>intrinsically</w:t>
      </w:r>
      <w:r>
        <w:rPr>
          <w:spacing w:val="-3"/>
        </w:rPr>
        <w:t xml:space="preserve"> </w:t>
      </w:r>
      <w:r>
        <w:t>motivated</w:t>
      </w:r>
      <w:r>
        <w:rPr>
          <w:spacing w:val="-3"/>
        </w:rPr>
        <w:t xml:space="preserve"> </w:t>
      </w:r>
      <w:r>
        <w:t>to</w:t>
      </w:r>
      <w:r>
        <w:rPr>
          <w:spacing w:val="-3"/>
        </w:rPr>
        <w:t xml:space="preserve"> </w:t>
      </w:r>
      <w:r>
        <w:t>stop</w:t>
      </w:r>
      <w:r>
        <w:rPr>
          <w:spacing w:val="-3"/>
        </w:rPr>
        <w:t xml:space="preserve"> </w:t>
      </w:r>
      <w:r>
        <w:t>alcohol</w:t>
      </w:r>
      <w:r>
        <w:rPr>
          <w:spacing w:val="-5"/>
        </w:rPr>
        <w:t xml:space="preserve"> </w:t>
      </w:r>
      <w:r>
        <w:t>misuse because</w:t>
      </w:r>
      <w:r>
        <w:rPr>
          <w:spacing w:val="-1"/>
        </w:rPr>
        <w:t xml:space="preserve"> </w:t>
      </w:r>
      <w:r>
        <w:t>of</w:t>
      </w:r>
      <w:r>
        <w:rPr>
          <w:spacing w:val="-4"/>
        </w:rPr>
        <w:t xml:space="preserve"> </w:t>
      </w:r>
      <w:r>
        <w:t>health</w:t>
      </w:r>
      <w:r>
        <w:rPr>
          <w:spacing w:val="-5"/>
        </w:rPr>
        <w:t xml:space="preserve"> </w:t>
      </w:r>
      <w:r>
        <w:t>concerns yet feel overwhelmed by fear that quitting is impossible. Reintroducing feedback from the medical assessment about the risk of serious liver damage or a family history of heart disease could add significant additional weig</w:t>
      </w:r>
      <w:r>
        <w:t>ht to the DB and tip the balance in the direction of change.</w:t>
      </w:r>
    </w:p>
    <w:p w14:paraId="29D046CF" w14:textId="77777777" w:rsidR="00DB6E1F" w:rsidRDefault="00F666A6">
      <w:pPr>
        <w:pStyle w:val="Heading3"/>
      </w:pPr>
      <w:bookmarkStart w:id="158" w:name="Explore_Self-Efficacy"/>
      <w:bookmarkEnd w:id="158"/>
      <w:r>
        <w:rPr>
          <w:w w:val="95"/>
        </w:rPr>
        <w:t>Explore</w:t>
      </w:r>
      <w:r>
        <w:rPr>
          <w:spacing w:val="47"/>
        </w:rPr>
        <w:t xml:space="preserve"> </w:t>
      </w:r>
      <w:r>
        <w:rPr>
          <w:w w:val="95"/>
        </w:rPr>
        <w:t>Self-</w:t>
      </w:r>
      <w:r>
        <w:rPr>
          <w:spacing w:val="-2"/>
          <w:w w:val="95"/>
        </w:rPr>
        <w:t>Efficacy</w:t>
      </w:r>
    </w:p>
    <w:p w14:paraId="36393FB4" w14:textId="77777777" w:rsidR="00DB6E1F" w:rsidRDefault="00F666A6">
      <w:pPr>
        <w:spacing w:before="143"/>
        <w:ind w:left="1439" w:right="1444"/>
      </w:pPr>
      <w:r>
        <w:rPr>
          <w:b/>
        </w:rPr>
        <w:t>By listening for self-efficacy statements from clients, you can discover what they feel they can and cannot</w:t>
      </w:r>
      <w:r>
        <w:rPr>
          <w:b/>
          <w:spacing w:val="-2"/>
        </w:rPr>
        <w:t xml:space="preserve"> </w:t>
      </w:r>
      <w:r>
        <w:rPr>
          <w:b/>
        </w:rPr>
        <w:t>do.</w:t>
      </w:r>
      <w:r>
        <w:rPr>
          <w:b/>
          <w:spacing w:val="-1"/>
        </w:rPr>
        <w:t xml:space="preserve"> </w:t>
      </w:r>
      <w:r>
        <w:t>Self-efficacy</w:t>
      </w:r>
      <w:r>
        <w:rPr>
          <w:spacing w:val="-1"/>
        </w:rPr>
        <w:t xml:space="preserve"> </w:t>
      </w:r>
      <w:r>
        <w:t>is</w:t>
      </w:r>
      <w:r>
        <w:rPr>
          <w:spacing w:val="-2"/>
        </w:rPr>
        <w:t xml:space="preserve"> </w:t>
      </w:r>
      <w:r>
        <w:t>a</w:t>
      </w:r>
      <w:r>
        <w:rPr>
          <w:spacing w:val="-5"/>
        </w:rPr>
        <w:t xml:space="preserve"> </w:t>
      </w:r>
      <w:r>
        <w:t>critical</w:t>
      </w:r>
      <w:r>
        <w:rPr>
          <w:spacing w:val="-2"/>
        </w:rPr>
        <w:t xml:space="preserve"> </w:t>
      </w:r>
      <w:r>
        <w:t>determinant</w:t>
      </w:r>
      <w:r>
        <w:rPr>
          <w:spacing w:val="-4"/>
        </w:rPr>
        <w:t xml:space="preserve"> </w:t>
      </w:r>
      <w:r>
        <w:t>of</w:t>
      </w:r>
      <w:r>
        <w:rPr>
          <w:spacing w:val="-2"/>
        </w:rPr>
        <w:t xml:space="preserve"> </w:t>
      </w:r>
      <w:r>
        <w:t>behavior</w:t>
      </w:r>
      <w:r>
        <w:rPr>
          <w:spacing w:val="-4"/>
        </w:rPr>
        <w:t xml:space="preserve"> </w:t>
      </w:r>
      <w:r>
        <w:t>change—it</w:t>
      </w:r>
      <w:r>
        <w:rPr>
          <w:spacing w:val="-1"/>
        </w:rPr>
        <w:t xml:space="preserve"> </w:t>
      </w:r>
      <w:r>
        <w:t>is</w:t>
      </w:r>
      <w:r>
        <w:rPr>
          <w:spacing w:val="-4"/>
        </w:rPr>
        <w:t xml:space="preserve"> </w:t>
      </w:r>
      <w:r>
        <w:t>the</w:t>
      </w:r>
      <w:r>
        <w:rPr>
          <w:spacing w:val="-4"/>
        </w:rPr>
        <w:t xml:space="preserve"> </w:t>
      </w:r>
      <w:r>
        <w:t>belief</w:t>
      </w:r>
      <w:r>
        <w:rPr>
          <w:spacing w:val="-2"/>
        </w:rPr>
        <w:t xml:space="preserve"> </w:t>
      </w:r>
      <w:r>
        <w:t>that</w:t>
      </w:r>
      <w:r>
        <w:rPr>
          <w:spacing w:val="-4"/>
        </w:rPr>
        <w:t xml:space="preserve"> </w:t>
      </w:r>
      <w:r>
        <w:t>they</w:t>
      </w:r>
      <w:r>
        <w:rPr>
          <w:spacing w:val="-3"/>
        </w:rPr>
        <w:t xml:space="preserve"> </w:t>
      </w:r>
      <w:r>
        <w:t>can</w:t>
      </w:r>
      <w:r>
        <w:rPr>
          <w:spacing w:val="-3"/>
        </w:rPr>
        <w:t xml:space="preserve"> </w:t>
      </w:r>
      <w:r>
        <w:t>act</w:t>
      </w:r>
      <w:r>
        <w:rPr>
          <w:spacing w:val="-1"/>
        </w:rPr>
        <w:t xml:space="preserve"> </w:t>
      </w:r>
      <w:r>
        <w:t>in</w:t>
      </w:r>
      <w:r>
        <w:rPr>
          <w:spacing w:val="-3"/>
        </w:rPr>
        <w:t xml:space="preserve"> </w:t>
      </w:r>
      <w:r>
        <w:t>a certain way or perform a particular task. Even clients who admit to having a serious problem are not likely to move toward positive change unless they have some hope of success. Self-efficacy can be thought of as hope or optimism, but clients do not have</w:t>
      </w:r>
      <w:r>
        <w:t xml:space="preserve"> to have an overall optimistic view to believe a certain behavior can be changed.</w:t>
      </w:r>
    </w:p>
    <w:p w14:paraId="4D4DA153" w14:textId="77777777" w:rsidR="00DB6E1F" w:rsidRDefault="00F666A6">
      <w:pPr>
        <w:pStyle w:val="BodyText"/>
        <w:spacing w:before="160"/>
        <w:ind w:left="1439"/>
      </w:pPr>
      <w:r>
        <w:t>Statements</w:t>
      </w:r>
      <w:r>
        <w:rPr>
          <w:spacing w:val="-7"/>
        </w:rPr>
        <w:t xml:space="preserve"> </w:t>
      </w:r>
      <w:r>
        <w:t>about</w:t>
      </w:r>
      <w:r>
        <w:rPr>
          <w:spacing w:val="-7"/>
        </w:rPr>
        <w:t xml:space="preserve"> </w:t>
      </w:r>
      <w:r>
        <w:t>self-efficacy</w:t>
      </w:r>
      <w:r>
        <w:rPr>
          <w:spacing w:val="-4"/>
        </w:rPr>
        <w:t xml:space="preserve"> </w:t>
      </w:r>
      <w:r>
        <w:t>could</w:t>
      </w:r>
      <w:r>
        <w:rPr>
          <w:spacing w:val="-6"/>
        </w:rPr>
        <w:t xml:space="preserve"> </w:t>
      </w:r>
      <w:r>
        <w:t>include</w:t>
      </w:r>
      <w:r>
        <w:rPr>
          <w:spacing w:val="-6"/>
        </w:rPr>
        <w:t xml:space="preserve"> </w:t>
      </w:r>
      <w:r>
        <w:t>the</w:t>
      </w:r>
      <w:r>
        <w:rPr>
          <w:spacing w:val="-4"/>
        </w:rPr>
        <w:t xml:space="preserve"> </w:t>
      </w:r>
      <w:r>
        <w:rPr>
          <w:spacing w:val="-2"/>
        </w:rPr>
        <w:t>following:</w:t>
      </w:r>
    </w:p>
    <w:p w14:paraId="3632CB30" w14:textId="77777777" w:rsidR="00DB6E1F" w:rsidRDefault="00F666A6">
      <w:pPr>
        <w:pStyle w:val="ListParagraph"/>
        <w:numPr>
          <w:ilvl w:val="0"/>
          <w:numId w:val="92"/>
        </w:numPr>
        <w:tabs>
          <w:tab w:val="left" w:pos="1799"/>
          <w:tab w:val="left" w:pos="1800"/>
        </w:tabs>
        <w:spacing w:before="61"/>
        <w:ind w:left="1799"/>
        <w:rPr>
          <w:rFonts w:ascii="Symbol" w:hAnsi="Symbol"/>
        </w:rPr>
      </w:pPr>
      <w:r>
        <w:t>“I</w:t>
      </w:r>
      <w:r>
        <w:rPr>
          <w:spacing w:val="-1"/>
        </w:rPr>
        <w:t xml:space="preserve"> </w:t>
      </w:r>
      <w:r>
        <w:t>can’t</w:t>
      </w:r>
      <w:r>
        <w:rPr>
          <w:spacing w:val="-3"/>
        </w:rPr>
        <w:t xml:space="preserve"> </w:t>
      </w:r>
      <w:r>
        <w:t>do</w:t>
      </w:r>
      <w:r>
        <w:rPr>
          <w:spacing w:val="-1"/>
        </w:rPr>
        <w:t xml:space="preserve"> </w:t>
      </w:r>
      <w:r>
        <w:rPr>
          <w:spacing w:val="-2"/>
        </w:rPr>
        <w:t>that.”</w:t>
      </w:r>
    </w:p>
    <w:p w14:paraId="55A9C8B4" w14:textId="77777777" w:rsidR="00DB6E1F" w:rsidRDefault="00F666A6">
      <w:pPr>
        <w:pStyle w:val="ListParagraph"/>
        <w:numPr>
          <w:ilvl w:val="0"/>
          <w:numId w:val="92"/>
        </w:numPr>
        <w:tabs>
          <w:tab w:val="left" w:pos="1799"/>
          <w:tab w:val="left" w:pos="1800"/>
        </w:tabs>
        <w:ind w:left="1799"/>
        <w:rPr>
          <w:rFonts w:ascii="Symbol" w:hAnsi="Symbol"/>
        </w:rPr>
      </w:pPr>
      <w:r>
        <w:t>“That</w:t>
      </w:r>
      <w:r>
        <w:rPr>
          <w:spacing w:val="-1"/>
        </w:rPr>
        <w:t xml:space="preserve"> </w:t>
      </w:r>
      <w:r>
        <w:t>is</w:t>
      </w:r>
      <w:r>
        <w:rPr>
          <w:spacing w:val="-2"/>
        </w:rPr>
        <w:t xml:space="preserve"> </w:t>
      </w:r>
      <w:r>
        <w:t>beyond</w:t>
      </w:r>
      <w:r>
        <w:rPr>
          <w:spacing w:val="-4"/>
        </w:rPr>
        <w:t xml:space="preserve"> </w:t>
      </w:r>
      <w:r>
        <w:t>my</w:t>
      </w:r>
      <w:r>
        <w:rPr>
          <w:spacing w:val="-3"/>
        </w:rPr>
        <w:t xml:space="preserve"> </w:t>
      </w:r>
      <w:r>
        <w:rPr>
          <w:spacing w:val="-2"/>
        </w:rPr>
        <w:t>powers.”</w:t>
      </w:r>
    </w:p>
    <w:p w14:paraId="6D857A2E" w14:textId="77777777" w:rsidR="00DB6E1F" w:rsidRDefault="00F666A6">
      <w:pPr>
        <w:pStyle w:val="ListParagraph"/>
        <w:numPr>
          <w:ilvl w:val="0"/>
          <w:numId w:val="92"/>
        </w:numPr>
        <w:tabs>
          <w:tab w:val="left" w:pos="1799"/>
          <w:tab w:val="left" w:pos="1800"/>
        </w:tabs>
        <w:spacing w:before="58"/>
        <w:ind w:left="1799"/>
        <w:rPr>
          <w:rFonts w:ascii="Symbol" w:hAnsi="Symbol"/>
        </w:rPr>
      </w:pPr>
      <w:r>
        <w:t>“That</w:t>
      </w:r>
      <w:r>
        <w:rPr>
          <w:spacing w:val="-4"/>
        </w:rPr>
        <w:t xml:space="preserve"> </w:t>
      </w:r>
      <w:r>
        <w:t>would</w:t>
      </w:r>
      <w:r>
        <w:rPr>
          <w:spacing w:val="-3"/>
        </w:rPr>
        <w:t xml:space="preserve"> </w:t>
      </w:r>
      <w:r>
        <w:t xml:space="preserve">be </w:t>
      </w:r>
      <w:r>
        <w:rPr>
          <w:spacing w:val="-2"/>
        </w:rPr>
        <w:t>easy.”</w:t>
      </w:r>
    </w:p>
    <w:p w14:paraId="34AD19EB" w14:textId="77777777" w:rsidR="00DB6E1F" w:rsidRDefault="00F666A6">
      <w:pPr>
        <w:pStyle w:val="ListParagraph"/>
        <w:numPr>
          <w:ilvl w:val="0"/>
          <w:numId w:val="92"/>
        </w:numPr>
        <w:tabs>
          <w:tab w:val="left" w:pos="1800"/>
          <w:tab w:val="left" w:pos="1801"/>
        </w:tabs>
        <w:spacing w:before="58"/>
        <w:ind w:left="1800"/>
        <w:rPr>
          <w:rFonts w:ascii="Symbol" w:hAnsi="Symbol"/>
        </w:rPr>
      </w:pPr>
      <w:r>
        <w:t>“I</w:t>
      </w:r>
      <w:r>
        <w:rPr>
          <w:spacing w:val="-2"/>
        </w:rPr>
        <w:t xml:space="preserve"> </w:t>
      </w:r>
      <w:r>
        <w:t>think I</w:t>
      </w:r>
      <w:r>
        <w:rPr>
          <w:spacing w:val="-4"/>
        </w:rPr>
        <w:t xml:space="preserve"> </w:t>
      </w:r>
      <w:r>
        <w:t>can</w:t>
      </w:r>
      <w:r>
        <w:rPr>
          <w:spacing w:val="-4"/>
        </w:rPr>
        <w:t xml:space="preserve"> </w:t>
      </w:r>
      <w:r>
        <w:t>manage</w:t>
      </w:r>
      <w:r>
        <w:rPr>
          <w:spacing w:val="-3"/>
        </w:rPr>
        <w:t xml:space="preserve"> </w:t>
      </w:r>
      <w:r>
        <w:rPr>
          <w:spacing w:val="-2"/>
        </w:rPr>
        <w:t>that.”</w:t>
      </w:r>
    </w:p>
    <w:p w14:paraId="6FC812BA" w14:textId="77777777" w:rsidR="00DB6E1F" w:rsidRDefault="00F666A6">
      <w:pPr>
        <w:pStyle w:val="BodyText"/>
        <w:spacing w:before="164"/>
        <w:ind w:left="1439" w:right="1491"/>
      </w:pPr>
      <w:r>
        <w:t>Self-efficacy is</w:t>
      </w:r>
      <w:r>
        <w:t xml:space="preserve"> not a global measure, like self-esteem. Rather, it is behavior specific. Underlying any discussion</w:t>
      </w:r>
      <w:r>
        <w:rPr>
          <w:spacing w:val="-5"/>
        </w:rPr>
        <w:t xml:space="preserve"> </w:t>
      </w:r>
      <w:r>
        <w:t>of</w:t>
      </w:r>
      <w:r>
        <w:rPr>
          <w:spacing w:val="-3"/>
        </w:rPr>
        <w:t xml:space="preserve"> </w:t>
      </w:r>
      <w:r>
        <w:t>self-efficacy</w:t>
      </w:r>
      <w:r>
        <w:rPr>
          <w:spacing w:val="-2"/>
        </w:rPr>
        <w:t xml:space="preserve"> </w:t>
      </w:r>
      <w:r>
        <w:t>is</w:t>
      </w:r>
      <w:r>
        <w:rPr>
          <w:spacing w:val="-5"/>
        </w:rPr>
        <w:t xml:space="preserve"> </w:t>
      </w:r>
      <w:r>
        <w:t>the</w:t>
      </w:r>
      <w:r>
        <w:rPr>
          <w:spacing w:val="-2"/>
        </w:rPr>
        <w:t xml:space="preserve"> </w:t>
      </w:r>
      <w:r>
        <w:t>question</w:t>
      </w:r>
      <w:r>
        <w:rPr>
          <w:spacing w:val="-5"/>
        </w:rPr>
        <w:t xml:space="preserve"> </w:t>
      </w:r>
      <w:r>
        <w:t>“Efficacy</w:t>
      </w:r>
      <w:r>
        <w:rPr>
          <w:spacing w:val="-4"/>
        </w:rPr>
        <w:t xml:space="preserve"> </w:t>
      </w:r>
      <w:r>
        <w:t>to</w:t>
      </w:r>
      <w:r>
        <w:rPr>
          <w:spacing w:val="-4"/>
        </w:rPr>
        <w:t xml:space="preserve"> </w:t>
      </w:r>
      <w:r>
        <w:t>perform</w:t>
      </w:r>
      <w:r>
        <w:rPr>
          <w:spacing w:val="-4"/>
        </w:rPr>
        <w:t xml:space="preserve"> </w:t>
      </w:r>
      <w:r>
        <w:t>what</w:t>
      </w:r>
      <w:r>
        <w:rPr>
          <w:spacing w:val="-2"/>
        </w:rPr>
        <w:t xml:space="preserve"> </w:t>
      </w:r>
      <w:r>
        <w:t>specific</w:t>
      </w:r>
      <w:r>
        <w:rPr>
          <w:spacing w:val="-3"/>
        </w:rPr>
        <w:t xml:space="preserve"> </w:t>
      </w:r>
      <w:r>
        <w:t>behavior?”</w:t>
      </w:r>
      <w:r>
        <w:rPr>
          <w:spacing w:val="-2"/>
        </w:rPr>
        <w:t xml:space="preserve"> </w:t>
      </w:r>
      <w:r>
        <w:t>There</w:t>
      </w:r>
      <w:r>
        <w:rPr>
          <w:spacing w:val="-2"/>
        </w:rPr>
        <w:t xml:space="preserve"> </w:t>
      </w:r>
      <w:r>
        <w:t>are</w:t>
      </w:r>
      <w:r>
        <w:rPr>
          <w:spacing w:val="-2"/>
        </w:rPr>
        <w:t xml:space="preserve"> </w:t>
      </w:r>
      <w:r>
        <w:t>five categories of self-efficacy related to SUDs (DiClemente, Carbonari, Montgomery, &amp; Hughes, 1994: Glozah, Adu, &amp; Komesuor, 2015):</w:t>
      </w:r>
    </w:p>
    <w:p w14:paraId="698358E9" w14:textId="77777777" w:rsidR="00DB6E1F" w:rsidRDefault="00F666A6">
      <w:pPr>
        <w:pStyle w:val="ListParagraph"/>
        <w:numPr>
          <w:ilvl w:val="0"/>
          <w:numId w:val="92"/>
        </w:numPr>
        <w:tabs>
          <w:tab w:val="left" w:pos="1799"/>
          <w:tab w:val="left" w:pos="1800"/>
        </w:tabs>
        <w:spacing w:before="59"/>
        <w:ind w:left="1799" w:right="1454"/>
        <w:rPr>
          <w:rFonts w:ascii="Symbol" w:hAnsi="Symbol"/>
        </w:rPr>
      </w:pPr>
      <w:r>
        <w:rPr>
          <w:b/>
        </w:rPr>
        <w:t xml:space="preserve">Coping self-efficacy </w:t>
      </w:r>
      <w:r>
        <w:t>is dealing successfully with</w:t>
      </w:r>
      <w:r>
        <w:rPr>
          <w:spacing w:val="-1"/>
        </w:rPr>
        <w:t xml:space="preserve"> </w:t>
      </w:r>
      <w:r>
        <w:t>situations that tempt one to use</w:t>
      </w:r>
      <w:r>
        <w:rPr>
          <w:spacing w:val="-2"/>
        </w:rPr>
        <w:t xml:space="preserve"> </w:t>
      </w:r>
      <w:r>
        <w:t>substances, such as by</w:t>
      </w:r>
      <w:r>
        <w:rPr>
          <w:spacing w:val="-1"/>
        </w:rPr>
        <w:t xml:space="preserve"> </w:t>
      </w:r>
      <w:r>
        <w:t>being</w:t>
      </w:r>
      <w:r>
        <w:rPr>
          <w:spacing w:val="-3"/>
        </w:rPr>
        <w:t xml:space="preserve"> </w:t>
      </w:r>
      <w:r>
        <w:t>assertive</w:t>
      </w:r>
      <w:r>
        <w:rPr>
          <w:spacing w:val="-4"/>
        </w:rPr>
        <w:t xml:space="preserve"> </w:t>
      </w:r>
      <w:r>
        <w:t>with</w:t>
      </w:r>
      <w:r>
        <w:rPr>
          <w:spacing w:val="-3"/>
        </w:rPr>
        <w:t xml:space="preserve"> </w:t>
      </w:r>
      <w:r>
        <w:t>friends</w:t>
      </w:r>
      <w:r>
        <w:rPr>
          <w:spacing w:val="-2"/>
        </w:rPr>
        <w:t xml:space="preserve"> </w:t>
      </w:r>
      <w:r>
        <w:t>or</w:t>
      </w:r>
      <w:r>
        <w:rPr>
          <w:spacing w:val="-2"/>
        </w:rPr>
        <w:t xml:space="preserve"> </w:t>
      </w:r>
      <w:r>
        <w:t>talking</w:t>
      </w:r>
      <w:r>
        <w:rPr>
          <w:spacing w:val="-3"/>
        </w:rPr>
        <w:t xml:space="preserve"> </w:t>
      </w:r>
      <w:r>
        <w:t>with</w:t>
      </w:r>
      <w:r>
        <w:rPr>
          <w:spacing w:val="-3"/>
        </w:rPr>
        <w:t xml:space="preserve"> </w:t>
      </w:r>
      <w:r>
        <w:t>someone</w:t>
      </w:r>
      <w:r>
        <w:rPr>
          <w:spacing w:val="-1"/>
        </w:rPr>
        <w:t xml:space="preserve"> </w:t>
      </w:r>
      <w:r>
        <w:t>when</w:t>
      </w:r>
      <w:r>
        <w:rPr>
          <w:spacing w:val="-3"/>
        </w:rPr>
        <w:t xml:space="preserve"> </w:t>
      </w:r>
      <w:r>
        <w:t>upset</w:t>
      </w:r>
      <w:r>
        <w:rPr>
          <w:spacing w:val="-1"/>
        </w:rPr>
        <w:t xml:space="preserve"> </w:t>
      </w:r>
      <w:r>
        <w:t>rather</w:t>
      </w:r>
      <w:r>
        <w:rPr>
          <w:spacing w:val="-2"/>
        </w:rPr>
        <w:t xml:space="preserve"> </w:t>
      </w:r>
      <w:r>
        <w:t>than</w:t>
      </w:r>
      <w:r>
        <w:rPr>
          <w:spacing w:val="-5"/>
        </w:rPr>
        <w:t xml:space="preserve"> </w:t>
      </w:r>
      <w:r>
        <w:t>using</w:t>
      </w:r>
      <w:r>
        <w:rPr>
          <w:spacing w:val="-3"/>
        </w:rPr>
        <w:t xml:space="preserve"> </w:t>
      </w:r>
      <w:r>
        <w:t>the</w:t>
      </w:r>
      <w:r>
        <w:rPr>
          <w:spacing w:val="-1"/>
        </w:rPr>
        <w:t xml:space="preserve"> </w:t>
      </w:r>
      <w:r>
        <w:t>substance.</w:t>
      </w:r>
    </w:p>
    <w:p w14:paraId="6EF6DFD9" w14:textId="77777777" w:rsidR="00DB6E1F" w:rsidRDefault="00F666A6">
      <w:pPr>
        <w:pStyle w:val="ListParagraph"/>
        <w:numPr>
          <w:ilvl w:val="0"/>
          <w:numId w:val="92"/>
        </w:numPr>
        <w:tabs>
          <w:tab w:val="left" w:pos="1800"/>
          <w:tab w:val="left" w:pos="1801"/>
        </w:tabs>
        <w:ind w:left="1799" w:right="2190" w:hanging="360"/>
        <w:rPr>
          <w:rFonts w:ascii="Symbol" w:hAnsi="Symbol"/>
        </w:rPr>
      </w:pPr>
      <w:r>
        <w:rPr>
          <w:b/>
        </w:rPr>
        <w:t>Treatment</w:t>
      </w:r>
      <w:r>
        <w:rPr>
          <w:b/>
          <w:spacing w:val="-4"/>
        </w:rPr>
        <w:t xml:space="preserve"> </w:t>
      </w:r>
      <w:r>
        <w:rPr>
          <w:b/>
        </w:rPr>
        <w:t>behavior</w:t>
      </w:r>
      <w:r>
        <w:rPr>
          <w:b/>
          <w:spacing w:val="-6"/>
        </w:rPr>
        <w:t xml:space="preserve"> </w:t>
      </w:r>
      <w:r>
        <w:rPr>
          <w:b/>
        </w:rPr>
        <w:t>self-efficacy</w:t>
      </w:r>
      <w:r>
        <w:rPr>
          <w:b/>
          <w:spacing w:val="-3"/>
        </w:rPr>
        <w:t xml:space="preserve"> </w:t>
      </w:r>
      <w:r>
        <w:t>involves</w:t>
      </w:r>
      <w:r>
        <w:rPr>
          <w:spacing w:val="-6"/>
        </w:rPr>
        <w:t xml:space="preserve"> </w:t>
      </w:r>
      <w:r>
        <w:t>the</w:t>
      </w:r>
      <w:r>
        <w:rPr>
          <w:spacing w:val="-5"/>
        </w:rPr>
        <w:t xml:space="preserve"> </w:t>
      </w:r>
      <w:r>
        <w:t>client’s</w:t>
      </w:r>
      <w:r>
        <w:rPr>
          <w:spacing w:val="-6"/>
        </w:rPr>
        <w:t xml:space="preserve"> </w:t>
      </w:r>
      <w:r>
        <w:t>ability</w:t>
      </w:r>
      <w:r>
        <w:rPr>
          <w:spacing w:val="-3"/>
        </w:rPr>
        <w:t xml:space="preserve"> </w:t>
      </w:r>
      <w:r>
        <w:t>to</w:t>
      </w:r>
      <w:r>
        <w:rPr>
          <w:spacing w:val="-3"/>
        </w:rPr>
        <w:t xml:space="preserve"> </w:t>
      </w:r>
      <w:r>
        <w:t>perform</w:t>
      </w:r>
      <w:r>
        <w:rPr>
          <w:spacing w:val="-3"/>
        </w:rPr>
        <w:t xml:space="preserve"> </w:t>
      </w:r>
      <w:r>
        <w:t>behaviors</w:t>
      </w:r>
      <w:r>
        <w:rPr>
          <w:spacing w:val="-4"/>
        </w:rPr>
        <w:t xml:space="preserve"> </w:t>
      </w:r>
      <w:r>
        <w:t>related</w:t>
      </w:r>
      <w:r>
        <w:rPr>
          <w:spacing w:val="-4"/>
        </w:rPr>
        <w:t xml:space="preserve"> </w:t>
      </w:r>
      <w:r>
        <w:t>to treatment, such as self-monitoring or sti</w:t>
      </w:r>
      <w:r>
        <w:t>mulus control.</w:t>
      </w:r>
    </w:p>
    <w:p w14:paraId="0FF675AE" w14:textId="77777777" w:rsidR="00DB6E1F" w:rsidRDefault="00F666A6">
      <w:pPr>
        <w:pStyle w:val="ListParagraph"/>
        <w:numPr>
          <w:ilvl w:val="0"/>
          <w:numId w:val="92"/>
        </w:numPr>
        <w:tabs>
          <w:tab w:val="left" w:pos="1800"/>
          <w:tab w:val="left" w:pos="1801"/>
        </w:tabs>
        <w:spacing w:before="61"/>
        <w:ind w:left="1800"/>
        <w:rPr>
          <w:rFonts w:ascii="Symbol" w:hAnsi="Symbol"/>
        </w:rPr>
      </w:pPr>
      <w:r>
        <w:rPr>
          <w:b/>
        </w:rPr>
        <w:t>Recovery</w:t>
      </w:r>
      <w:r>
        <w:rPr>
          <w:b/>
          <w:spacing w:val="-7"/>
        </w:rPr>
        <w:t xml:space="preserve"> </w:t>
      </w:r>
      <w:r>
        <w:rPr>
          <w:b/>
        </w:rPr>
        <w:t>self-efficacy</w:t>
      </w:r>
      <w:r>
        <w:rPr>
          <w:b/>
          <w:spacing w:val="-4"/>
        </w:rPr>
        <w:t xml:space="preserve"> </w:t>
      </w:r>
      <w:r>
        <w:t>is</w:t>
      </w:r>
      <w:r>
        <w:rPr>
          <w:spacing w:val="-6"/>
        </w:rPr>
        <w:t xml:space="preserve"> </w:t>
      </w:r>
      <w:r>
        <w:t>the</w:t>
      </w:r>
      <w:r>
        <w:rPr>
          <w:spacing w:val="-3"/>
        </w:rPr>
        <w:t xml:space="preserve"> </w:t>
      </w:r>
      <w:r>
        <w:t>ability</w:t>
      </w:r>
      <w:r>
        <w:rPr>
          <w:spacing w:val="-5"/>
        </w:rPr>
        <w:t xml:space="preserve"> </w:t>
      </w:r>
      <w:r>
        <w:t>to</w:t>
      </w:r>
      <w:r>
        <w:rPr>
          <w:spacing w:val="-5"/>
        </w:rPr>
        <w:t xml:space="preserve"> </w:t>
      </w:r>
      <w:r>
        <w:t>recover</w:t>
      </w:r>
      <w:r>
        <w:rPr>
          <w:spacing w:val="-4"/>
        </w:rPr>
        <w:t xml:space="preserve"> </w:t>
      </w:r>
      <w:r>
        <w:t>from</w:t>
      </w:r>
      <w:r>
        <w:rPr>
          <w:spacing w:val="-3"/>
        </w:rPr>
        <w:t xml:space="preserve"> </w:t>
      </w:r>
      <w:r>
        <w:t>a</w:t>
      </w:r>
      <w:r>
        <w:rPr>
          <w:spacing w:val="-7"/>
        </w:rPr>
        <w:t xml:space="preserve"> </w:t>
      </w:r>
      <w:r>
        <w:t>recurrence</w:t>
      </w:r>
      <w:r>
        <w:rPr>
          <w:spacing w:val="-6"/>
        </w:rPr>
        <w:t xml:space="preserve"> </w:t>
      </w:r>
      <w:r>
        <w:t>of</w:t>
      </w:r>
      <w:r>
        <w:rPr>
          <w:spacing w:val="-6"/>
        </w:rPr>
        <w:t xml:space="preserve"> </w:t>
      </w:r>
      <w:r>
        <w:t>the</w:t>
      </w:r>
      <w:r>
        <w:rPr>
          <w:spacing w:val="-4"/>
        </w:rPr>
        <w:t xml:space="preserve"> </w:t>
      </w:r>
      <w:r>
        <w:t>addictive</w:t>
      </w:r>
      <w:r>
        <w:rPr>
          <w:spacing w:val="-5"/>
        </w:rPr>
        <w:t xml:space="preserve"> </w:t>
      </w:r>
      <w:r>
        <w:rPr>
          <w:spacing w:val="-2"/>
        </w:rPr>
        <w:t>behavior.</w:t>
      </w:r>
    </w:p>
    <w:p w14:paraId="7D0D52C6" w14:textId="77777777" w:rsidR="00DB6E1F" w:rsidRDefault="00F666A6">
      <w:pPr>
        <w:pStyle w:val="ListParagraph"/>
        <w:numPr>
          <w:ilvl w:val="0"/>
          <w:numId w:val="92"/>
        </w:numPr>
        <w:tabs>
          <w:tab w:val="left" w:pos="1799"/>
          <w:tab w:val="left" w:pos="1800"/>
        </w:tabs>
        <w:spacing w:before="58"/>
        <w:ind w:left="1799"/>
        <w:rPr>
          <w:rFonts w:ascii="Symbol" w:hAnsi="Symbol"/>
        </w:rPr>
      </w:pPr>
      <w:r>
        <w:rPr>
          <w:b/>
        </w:rPr>
        <w:t>Control</w:t>
      </w:r>
      <w:r>
        <w:rPr>
          <w:b/>
          <w:spacing w:val="-7"/>
        </w:rPr>
        <w:t xml:space="preserve"> </w:t>
      </w:r>
      <w:r>
        <w:rPr>
          <w:b/>
        </w:rPr>
        <w:t>self-efficacy</w:t>
      </w:r>
      <w:r>
        <w:rPr>
          <w:b/>
          <w:spacing w:val="-2"/>
        </w:rPr>
        <w:t xml:space="preserve"> </w:t>
      </w:r>
      <w:r>
        <w:t>is</w:t>
      </w:r>
      <w:r>
        <w:rPr>
          <w:spacing w:val="-6"/>
        </w:rPr>
        <w:t xml:space="preserve"> </w:t>
      </w:r>
      <w:r>
        <w:t>confidence</w:t>
      </w:r>
      <w:r>
        <w:rPr>
          <w:spacing w:val="-2"/>
        </w:rPr>
        <w:t xml:space="preserve"> </w:t>
      </w:r>
      <w:r>
        <w:t>in</w:t>
      </w:r>
      <w:r>
        <w:rPr>
          <w:spacing w:val="-6"/>
        </w:rPr>
        <w:t xml:space="preserve"> </w:t>
      </w:r>
      <w:r>
        <w:t>one’s</w:t>
      </w:r>
      <w:r>
        <w:rPr>
          <w:spacing w:val="-5"/>
        </w:rPr>
        <w:t xml:space="preserve"> </w:t>
      </w:r>
      <w:r>
        <w:t>ability</w:t>
      </w:r>
      <w:r>
        <w:rPr>
          <w:spacing w:val="-5"/>
        </w:rPr>
        <w:t xml:space="preserve"> </w:t>
      </w:r>
      <w:r>
        <w:t>to</w:t>
      </w:r>
      <w:r>
        <w:rPr>
          <w:spacing w:val="-4"/>
        </w:rPr>
        <w:t xml:space="preserve"> </w:t>
      </w:r>
      <w:r>
        <w:t>control</w:t>
      </w:r>
      <w:r>
        <w:rPr>
          <w:spacing w:val="-3"/>
        </w:rPr>
        <w:t xml:space="preserve"> </w:t>
      </w:r>
      <w:r>
        <w:t>behavior</w:t>
      </w:r>
      <w:r>
        <w:rPr>
          <w:spacing w:val="-6"/>
        </w:rPr>
        <w:t xml:space="preserve"> </w:t>
      </w:r>
      <w:r>
        <w:t>in</w:t>
      </w:r>
      <w:r>
        <w:rPr>
          <w:spacing w:val="-4"/>
        </w:rPr>
        <w:t xml:space="preserve"> </w:t>
      </w:r>
      <w:r>
        <w:t>risky</w:t>
      </w:r>
      <w:r>
        <w:rPr>
          <w:spacing w:val="-2"/>
        </w:rPr>
        <w:t xml:space="preserve"> situations.</w:t>
      </w:r>
    </w:p>
    <w:p w14:paraId="032D6979" w14:textId="77777777" w:rsidR="00DB6E1F" w:rsidRDefault="00F666A6">
      <w:pPr>
        <w:pStyle w:val="ListParagraph"/>
        <w:numPr>
          <w:ilvl w:val="0"/>
          <w:numId w:val="92"/>
        </w:numPr>
        <w:tabs>
          <w:tab w:val="left" w:pos="1799"/>
          <w:tab w:val="left" w:pos="1800"/>
        </w:tabs>
        <w:spacing w:before="58"/>
        <w:ind w:left="1799"/>
        <w:rPr>
          <w:rFonts w:ascii="Symbol" w:hAnsi="Symbol"/>
        </w:rPr>
      </w:pPr>
      <w:r>
        <w:rPr>
          <w:b/>
        </w:rPr>
        <w:t>Abstinence</w:t>
      </w:r>
      <w:r>
        <w:rPr>
          <w:b/>
          <w:spacing w:val="-9"/>
        </w:rPr>
        <w:t xml:space="preserve"> </w:t>
      </w:r>
      <w:r>
        <w:rPr>
          <w:b/>
        </w:rPr>
        <w:t>self-efficacy</w:t>
      </w:r>
      <w:r>
        <w:rPr>
          <w:b/>
          <w:spacing w:val="-4"/>
        </w:rPr>
        <w:t xml:space="preserve"> </w:t>
      </w:r>
      <w:r>
        <w:t>is</w:t>
      </w:r>
      <w:r>
        <w:rPr>
          <w:spacing w:val="-6"/>
        </w:rPr>
        <w:t xml:space="preserve"> </w:t>
      </w:r>
      <w:r>
        <w:t>confidence</w:t>
      </w:r>
      <w:r>
        <w:rPr>
          <w:spacing w:val="-5"/>
        </w:rPr>
        <w:t xml:space="preserve"> </w:t>
      </w:r>
      <w:r>
        <w:t>in</w:t>
      </w:r>
      <w:r>
        <w:rPr>
          <w:spacing w:val="-5"/>
        </w:rPr>
        <w:t xml:space="preserve"> </w:t>
      </w:r>
      <w:r>
        <w:t>one’s</w:t>
      </w:r>
      <w:r>
        <w:rPr>
          <w:spacing w:val="-4"/>
        </w:rPr>
        <w:t xml:space="preserve"> </w:t>
      </w:r>
      <w:r>
        <w:t>ability</w:t>
      </w:r>
      <w:r>
        <w:rPr>
          <w:spacing w:val="-2"/>
        </w:rPr>
        <w:t xml:space="preserve"> </w:t>
      </w:r>
      <w:r>
        <w:t>to</w:t>
      </w:r>
      <w:r>
        <w:rPr>
          <w:spacing w:val="-3"/>
        </w:rPr>
        <w:t xml:space="preserve"> </w:t>
      </w:r>
      <w:r>
        <w:t>abstain</w:t>
      </w:r>
      <w:r>
        <w:rPr>
          <w:spacing w:val="-5"/>
        </w:rPr>
        <w:t xml:space="preserve"> </w:t>
      </w:r>
      <w:r>
        <w:t>despite</w:t>
      </w:r>
      <w:r>
        <w:rPr>
          <w:spacing w:val="-4"/>
        </w:rPr>
        <w:t xml:space="preserve"> </w:t>
      </w:r>
      <w:r>
        <w:t>cues</w:t>
      </w:r>
      <w:r>
        <w:rPr>
          <w:spacing w:val="-6"/>
        </w:rPr>
        <w:t xml:space="preserve"> </w:t>
      </w:r>
      <w:r>
        <w:t>or</w:t>
      </w:r>
      <w:r>
        <w:rPr>
          <w:spacing w:val="-5"/>
        </w:rPr>
        <w:t xml:space="preserve"> </w:t>
      </w:r>
      <w:r>
        <w:t>triggers</w:t>
      </w:r>
      <w:r>
        <w:rPr>
          <w:spacing w:val="-3"/>
        </w:rPr>
        <w:t xml:space="preserve"> </w:t>
      </w:r>
      <w:r>
        <w:t>to</w:t>
      </w:r>
      <w:r>
        <w:rPr>
          <w:spacing w:val="-4"/>
        </w:rPr>
        <w:t xml:space="preserve"> use.</w:t>
      </w:r>
    </w:p>
    <w:p w14:paraId="0033FE09" w14:textId="77777777" w:rsidR="00DB6E1F" w:rsidRDefault="00F666A6">
      <w:pPr>
        <w:spacing w:before="161"/>
        <w:ind w:left="1439"/>
      </w:pPr>
      <w:r>
        <w:rPr>
          <w:b/>
        </w:rPr>
        <w:t>Explore</w:t>
      </w:r>
      <w:r>
        <w:rPr>
          <w:b/>
          <w:spacing w:val="-8"/>
        </w:rPr>
        <w:t xml:space="preserve"> </w:t>
      </w:r>
      <w:r>
        <w:rPr>
          <w:b/>
        </w:rPr>
        <w:t>clients’</w:t>
      </w:r>
      <w:r>
        <w:rPr>
          <w:b/>
          <w:spacing w:val="-6"/>
        </w:rPr>
        <w:t xml:space="preserve"> </w:t>
      </w:r>
      <w:r>
        <w:rPr>
          <w:b/>
        </w:rPr>
        <w:t>sense</w:t>
      </w:r>
      <w:r>
        <w:rPr>
          <w:b/>
          <w:spacing w:val="-5"/>
        </w:rPr>
        <w:t xml:space="preserve"> </w:t>
      </w:r>
      <w:r>
        <w:rPr>
          <w:b/>
        </w:rPr>
        <w:t>of</w:t>
      </w:r>
      <w:r>
        <w:rPr>
          <w:b/>
          <w:spacing w:val="-4"/>
        </w:rPr>
        <w:t xml:space="preserve"> </w:t>
      </w:r>
      <w:r>
        <w:rPr>
          <w:b/>
        </w:rPr>
        <w:t>self-efficacy</w:t>
      </w:r>
      <w:r>
        <w:rPr>
          <w:b/>
          <w:spacing w:val="-5"/>
        </w:rPr>
        <w:t xml:space="preserve"> </w:t>
      </w:r>
      <w:r>
        <w:rPr>
          <w:b/>
        </w:rPr>
        <w:t>as</w:t>
      </w:r>
      <w:r>
        <w:rPr>
          <w:b/>
          <w:spacing w:val="-3"/>
        </w:rPr>
        <w:t xml:space="preserve"> </w:t>
      </w:r>
      <w:r>
        <w:rPr>
          <w:b/>
        </w:rPr>
        <w:t>they</w:t>
      </w:r>
      <w:r>
        <w:rPr>
          <w:b/>
          <w:spacing w:val="-4"/>
        </w:rPr>
        <w:t xml:space="preserve"> </w:t>
      </w:r>
      <w:r>
        <w:rPr>
          <w:b/>
        </w:rPr>
        <w:t>move</w:t>
      </w:r>
      <w:r>
        <w:rPr>
          <w:b/>
          <w:spacing w:val="-5"/>
        </w:rPr>
        <w:t xml:space="preserve"> </w:t>
      </w:r>
      <w:r>
        <w:rPr>
          <w:b/>
        </w:rPr>
        <w:t>toward</w:t>
      </w:r>
      <w:r>
        <w:rPr>
          <w:b/>
          <w:spacing w:val="-5"/>
        </w:rPr>
        <w:t xml:space="preserve"> </w:t>
      </w:r>
      <w:r>
        <w:rPr>
          <w:b/>
        </w:rPr>
        <w:t>Preparation.</w:t>
      </w:r>
      <w:r>
        <w:rPr>
          <w:b/>
          <w:spacing w:val="-3"/>
        </w:rPr>
        <w:t xml:space="preserve"> </w:t>
      </w:r>
      <w:r>
        <w:t>This</w:t>
      </w:r>
      <w:r>
        <w:rPr>
          <w:spacing w:val="-6"/>
        </w:rPr>
        <w:t xml:space="preserve"> </w:t>
      </w:r>
      <w:r>
        <w:t>may</w:t>
      </w:r>
      <w:r>
        <w:rPr>
          <w:spacing w:val="-3"/>
        </w:rPr>
        <w:t xml:space="preserve"> </w:t>
      </w:r>
      <w:r>
        <w:t>help</w:t>
      </w:r>
      <w:r>
        <w:rPr>
          <w:spacing w:val="-7"/>
        </w:rPr>
        <w:t xml:space="preserve"> </w:t>
      </w:r>
      <w:r>
        <w:t>you</w:t>
      </w:r>
      <w:r>
        <w:rPr>
          <w:spacing w:val="-5"/>
        </w:rPr>
        <w:t xml:space="preserve"> </w:t>
      </w:r>
      <w:r>
        <w:rPr>
          <w:spacing w:val="-2"/>
        </w:rPr>
        <w:t>determine</w:t>
      </w:r>
    </w:p>
    <w:p w14:paraId="65A53FCA" w14:textId="77777777" w:rsidR="00DB6E1F" w:rsidRDefault="00DB6E1F">
      <w:pPr>
        <w:sectPr w:rsidR="00DB6E1F">
          <w:pgSz w:w="12240" w:h="15840"/>
          <w:pgMar w:top="1200" w:right="0" w:bottom="780" w:left="0" w:header="763" w:footer="585" w:gutter="0"/>
          <w:cols w:space="720"/>
        </w:sectPr>
      </w:pPr>
    </w:p>
    <w:p w14:paraId="0F8D12C7" w14:textId="77777777" w:rsidR="00DB6E1F" w:rsidRDefault="00DB6E1F">
      <w:pPr>
        <w:pStyle w:val="BodyText"/>
        <w:spacing w:before="8"/>
        <w:rPr>
          <w:sz w:val="14"/>
        </w:rPr>
      </w:pPr>
    </w:p>
    <w:p w14:paraId="3216232D" w14:textId="77777777" w:rsidR="00DB6E1F" w:rsidRDefault="00F666A6">
      <w:pPr>
        <w:pStyle w:val="BodyText"/>
        <w:spacing w:before="56"/>
        <w:ind w:left="1440" w:right="1525"/>
        <w:jc w:val="both"/>
      </w:pPr>
      <w:r>
        <w:t>more specifically</w:t>
      </w:r>
      <w:r>
        <w:rPr>
          <w:spacing w:val="-2"/>
        </w:rPr>
        <w:t xml:space="preserve"> </w:t>
      </w:r>
      <w:r>
        <w:t>whether self-efficacy is</w:t>
      </w:r>
      <w:r>
        <w:rPr>
          <w:spacing w:val="-2"/>
        </w:rPr>
        <w:t xml:space="preserve"> </w:t>
      </w:r>
      <w:r>
        <w:t>a potential</w:t>
      </w:r>
      <w:r>
        <w:rPr>
          <w:spacing w:val="-3"/>
        </w:rPr>
        <w:t xml:space="preserve"> </w:t>
      </w:r>
      <w:r>
        <w:t>support</w:t>
      </w:r>
      <w:r>
        <w:rPr>
          <w:spacing w:val="-2"/>
        </w:rPr>
        <w:t xml:space="preserve"> </w:t>
      </w:r>
      <w:r>
        <w:t>or</w:t>
      </w:r>
      <w:r>
        <w:rPr>
          <w:spacing w:val="-3"/>
        </w:rPr>
        <w:t xml:space="preserve"> </w:t>
      </w:r>
      <w:r>
        <w:t>obstacle to change. Remember,</w:t>
      </w:r>
      <w:r>
        <w:rPr>
          <w:spacing w:val="-2"/>
        </w:rPr>
        <w:t xml:space="preserve"> </w:t>
      </w:r>
      <w:r>
        <w:t>you</w:t>
      </w:r>
      <w:r>
        <w:rPr>
          <w:spacing w:val="-1"/>
        </w:rPr>
        <w:t xml:space="preserve"> </w:t>
      </w:r>
      <w:r>
        <w:t>can enhance</w:t>
      </w:r>
      <w:r>
        <w:rPr>
          <w:spacing w:val="-2"/>
        </w:rPr>
        <w:t xml:space="preserve"> </w:t>
      </w:r>
      <w:r>
        <w:t>client</w:t>
      </w:r>
      <w:r>
        <w:rPr>
          <w:spacing w:val="-2"/>
        </w:rPr>
        <w:t xml:space="preserve"> </w:t>
      </w:r>
      <w:r>
        <w:t>self-efficacy</w:t>
      </w:r>
      <w:r>
        <w:rPr>
          <w:spacing w:val="-3"/>
        </w:rPr>
        <w:t xml:space="preserve"> </w:t>
      </w:r>
      <w:r>
        <w:t>by</w:t>
      </w:r>
      <w:r>
        <w:rPr>
          <w:spacing w:val="-2"/>
        </w:rPr>
        <w:t xml:space="preserve"> </w:t>
      </w:r>
      <w:r>
        <w:t>using</w:t>
      </w:r>
      <w:r>
        <w:rPr>
          <w:spacing w:val="-3"/>
        </w:rPr>
        <w:t xml:space="preserve"> </w:t>
      </w:r>
      <w:r>
        <w:t>the</w:t>
      </w:r>
      <w:r>
        <w:rPr>
          <w:spacing w:val="-4"/>
        </w:rPr>
        <w:t xml:space="preserve"> </w:t>
      </w:r>
      <w:r>
        <w:t>Confidence</w:t>
      </w:r>
      <w:r>
        <w:rPr>
          <w:spacing w:val="-2"/>
        </w:rPr>
        <w:t xml:space="preserve"> </w:t>
      </w:r>
      <w:r>
        <w:t>Ruler</w:t>
      </w:r>
      <w:r>
        <w:rPr>
          <w:spacing w:val="-2"/>
        </w:rPr>
        <w:t xml:space="preserve"> </w:t>
      </w:r>
      <w:r>
        <w:t>(see</w:t>
      </w:r>
      <w:r>
        <w:rPr>
          <w:spacing w:val="-2"/>
        </w:rPr>
        <w:t xml:space="preserve"> </w:t>
      </w:r>
      <w:r>
        <w:t>Exhibit</w:t>
      </w:r>
      <w:r>
        <w:rPr>
          <w:spacing w:val="-4"/>
        </w:rPr>
        <w:t xml:space="preserve"> </w:t>
      </w:r>
      <w:r>
        <w:t>3.10)</w:t>
      </w:r>
      <w:r>
        <w:rPr>
          <w:spacing w:val="-4"/>
        </w:rPr>
        <w:t xml:space="preserve"> </w:t>
      </w:r>
      <w:r>
        <w:t>and</w:t>
      </w:r>
      <w:r>
        <w:rPr>
          <w:spacing w:val="-5"/>
        </w:rPr>
        <w:t xml:space="preserve"> </w:t>
      </w:r>
      <w:r>
        <w:t>eliciting</w:t>
      </w:r>
      <w:r>
        <w:rPr>
          <w:spacing w:val="-3"/>
        </w:rPr>
        <w:t xml:space="preserve"> </w:t>
      </w:r>
      <w:r>
        <w:t>confidence</w:t>
      </w:r>
      <w:r>
        <w:rPr>
          <w:spacing w:val="-4"/>
        </w:rPr>
        <w:t xml:space="preserve"> </w:t>
      </w:r>
      <w:r>
        <w:t>talk (see the section “Evoking hope and confidence to support self-efficacy” in Chapter 3).</w:t>
      </w:r>
    </w:p>
    <w:p w14:paraId="165048BF" w14:textId="77777777" w:rsidR="00DB6E1F" w:rsidRDefault="00F666A6">
      <w:pPr>
        <w:pStyle w:val="Heading3"/>
        <w:jc w:val="both"/>
      </w:pPr>
      <w:bookmarkStart w:id="159" w:name="Summarize_Change_Talk"/>
      <w:bookmarkEnd w:id="159"/>
      <w:r>
        <w:t>Summarize</w:t>
      </w:r>
      <w:r>
        <w:rPr>
          <w:spacing w:val="-12"/>
        </w:rPr>
        <w:t xml:space="preserve"> </w:t>
      </w:r>
      <w:r>
        <w:t>Change</w:t>
      </w:r>
      <w:r>
        <w:rPr>
          <w:spacing w:val="-11"/>
        </w:rPr>
        <w:t xml:space="preserve"> </w:t>
      </w:r>
      <w:r>
        <w:rPr>
          <w:spacing w:val="-4"/>
        </w:rPr>
        <w:t>Talk</w:t>
      </w:r>
    </w:p>
    <w:p w14:paraId="2103813C" w14:textId="77777777" w:rsidR="00DB6E1F" w:rsidRDefault="00F666A6">
      <w:pPr>
        <w:pStyle w:val="BodyText"/>
        <w:spacing w:before="143"/>
        <w:ind w:left="1439" w:right="1495"/>
        <w:jc w:val="both"/>
      </w:pPr>
      <w:r>
        <w:t>As</w:t>
      </w:r>
      <w:r>
        <w:rPr>
          <w:spacing w:val="-2"/>
        </w:rPr>
        <w:t xml:space="preserve"> </w:t>
      </w:r>
      <w:r>
        <w:t>the</w:t>
      </w:r>
      <w:r>
        <w:rPr>
          <w:spacing w:val="-1"/>
        </w:rPr>
        <w:t xml:space="preserve"> </w:t>
      </w:r>
      <w:r>
        <w:t>client</w:t>
      </w:r>
      <w:r>
        <w:rPr>
          <w:spacing w:val="-1"/>
        </w:rPr>
        <w:t xml:space="preserve"> </w:t>
      </w:r>
      <w:r>
        <w:t>transitions</w:t>
      </w:r>
      <w:r>
        <w:rPr>
          <w:spacing w:val="-3"/>
        </w:rPr>
        <w:t xml:space="preserve"> </w:t>
      </w:r>
      <w:r>
        <w:t>from</w:t>
      </w:r>
      <w:r>
        <w:rPr>
          <w:spacing w:val="-1"/>
        </w:rPr>
        <w:t xml:space="preserve"> </w:t>
      </w:r>
      <w:r>
        <w:t>Contemplation</w:t>
      </w:r>
      <w:r>
        <w:rPr>
          <w:spacing w:val="-3"/>
        </w:rPr>
        <w:t xml:space="preserve"> </w:t>
      </w:r>
      <w:r>
        <w:t>to</w:t>
      </w:r>
      <w:r>
        <w:rPr>
          <w:spacing w:val="-3"/>
        </w:rPr>
        <w:t xml:space="preserve"> </w:t>
      </w:r>
      <w:r>
        <w:t>Preparation,</w:t>
      </w:r>
      <w:r>
        <w:rPr>
          <w:spacing w:val="-3"/>
        </w:rPr>
        <w:t xml:space="preserve"> </w:t>
      </w:r>
      <w:r>
        <w:t>you</w:t>
      </w:r>
      <w:r>
        <w:rPr>
          <w:spacing w:val="-4"/>
        </w:rPr>
        <w:t xml:space="preserve"> </w:t>
      </w:r>
      <w:r>
        <w:t>will</w:t>
      </w:r>
      <w:r>
        <w:rPr>
          <w:spacing w:val="-2"/>
        </w:rPr>
        <w:t xml:space="preserve"> </w:t>
      </w:r>
      <w:r>
        <w:t>notice</w:t>
      </w:r>
      <w:r>
        <w:rPr>
          <w:spacing w:val="-2"/>
        </w:rPr>
        <w:t xml:space="preserve"> </w:t>
      </w:r>
      <w:r>
        <w:t>that</w:t>
      </w:r>
      <w:r>
        <w:rPr>
          <w:spacing w:val="-3"/>
        </w:rPr>
        <w:t xml:space="preserve"> </w:t>
      </w:r>
      <w:r>
        <w:t>the</w:t>
      </w:r>
      <w:r>
        <w:rPr>
          <w:spacing w:val="-2"/>
        </w:rPr>
        <w:t xml:space="preserve"> </w:t>
      </w:r>
      <w:r>
        <w:t>client</w:t>
      </w:r>
      <w:r>
        <w:rPr>
          <w:spacing w:val="-2"/>
        </w:rPr>
        <w:t xml:space="preserve"> </w:t>
      </w:r>
      <w:r>
        <w:t>has</w:t>
      </w:r>
      <w:r>
        <w:rPr>
          <w:spacing w:val="-3"/>
        </w:rPr>
        <w:t xml:space="preserve"> </w:t>
      </w:r>
      <w:r>
        <w:t>moved</w:t>
      </w:r>
      <w:r>
        <w:rPr>
          <w:spacing w:val="-4"/>
        </w:rPr>
        <w:t xml:space="preserve"> </w:t>
      </w:r>
      <w:r>
        <w:t>to the</w:t>
      </w:r>
      <w:r>
        <w:rPr>
          <w:spacing w:val="-1"/>
        </w:rPr>
        <w:t xml:space="preserve"> </w:t>
      </w:r>
      <w:r>
        <w:t>top</w:t>
      </w:r>
      <w:r>
        <w:rPr>
          <w:spacing w:val="-4"/>
        </w:rPr>
        <w:t xml:space="preserve"> </w:t>
      </w:r>
      <w:r>
        <w:t>of</w:t>
      </w:r>
      <w:r>
        <w:rPr>
          <w:spacing w:val="-1"/>
        </w:rPr>
        <w:t xml:space="preserve"> </w:t>
      </w:r>
      <w:r>
        <w:t>the</w:t>
      </w:r>
      <w:r>
        <w:rPr>
          <w:spacing w:val="-3"/>
        </w:rPr>
        <w:t xml:space="preserve"> </w:t>
      </w:r>
      <w:r>
        <w:t>MI</w:t>
      </w:r>
      <w:r>
        <w:rPr>
          <w:spacing w:val="-1"/>
        </w:rPr>
        <w:t xml:space="preserve"> </w:t>
      </w:r>
      <w:r>
        <w:t>Hill</w:t>
      </w:r>
      <w:r>
        <w:rPr>
          <w:spacing w:val="-4"/>
        </w:rPr>
        <w:t xml:space="preserve"> </w:t>
      </w:r>
      <w:r>
        <w:t>of</w:t>
      </w:r>
      <w:r>
        <w:rPr>
          <w:spacing w:val="-1"/>
        </w:rPr>
        <w:t xml:space="preserve"> </w:t>
      </w:r>
      <w:r>
        <w:t>Ambivalenc</w:t>
      </w:r>
      <w:r>
        <w:t>e</w:t>
      </w:r>
      <w:r>
        <w:rPr>
          <w:spacing w:val="-2"/>
        </w:rPr>
        <w:t xml:space="preserve"> </w:t>
      </w:r>
      <w:r>
        <w:t>(see</w:t>
      </w:r>
      <w:r>
        <w:rPr>
          <w:spacing w:val="-1"/>
        </w:rPr>
        <w:t xml:space="preserve"> </w:t>
      </w:r>
      <w:r>
        <w:t>Exhibit</w:t>
      </w:r>
      <w:r>
        <w:rPr>
          <w:spacing w:val="-3"/>
        </w:rPr>
        <w:t xml:space="preserve"> </w:t>
      </w:r>
      <w:r>
        <w:t>5.2</w:t>
      </w:r>
      <w:r>
        <w:rPr>
          <w:spacing w:val="-1"/>
        </w:rPr>
        <w:t xml:space="preserve"> </w:t>
      </w:r>
      <w:r>
        <w:t>above)</w:t>
      </w:r>
      <w:r>
        <w:rPr>
          <w:spacing w:val="-1"/>
        </w:rPr>
        <w:t xml:space="preserve"> </w:t>
      </w:r>
      <w:r>
        <w:t>and</w:t>
      </w:r>
      <w:r>
        <w:rPr>
          <w:spacing w:val="-2"/>
        </w:rPr>
        <w:t xml:space="preserve"> </w:t>
      </w:r>
      <w:r>
        <w:t>is</w:t>
      </w:r>
      <w:r>
        <w:rPr>
          <w:spacing w:val="-3"/>
        </w:rPr>
        <w:t xml:space="preserve"> </w:t>
      </w:r>
      <w:r>
        <w:t>expressing</w:t>
      </w:r>
      <w:r>
        <w:rPr>
          <w:spacing w:val="-2"/>
        </w:rPr>
        <w:t xml:space="preserve"> </w:t>
      </w:r>
      <w:r>
        <w:t>less</w:t>
      </w:r>
      <w:r>
        <w:rPr>
          <w:spacing w:val="-1"/>
        </w:rPr>
        <w:t xml:space="preserve"> </w:t>
      </w:r>
      <w:r>
        <w:t>sustain</w:t>
      </w:r>
      <w:r>
        <w:rPr>
          <w:spacing w:val="-2"/>
        </w:rPr>
        <w:t xml:space="preserve"> </w:t>
      </w:r>
      <w:r>
        <w:t>talk</w:t>
      </w:r>
      <w:r>
        <w:rPr>
          <w:spacing w:val="-1"/>
        </w:rPr>
        <w:t xml:space="preserve"> </w:t>
      </w:r>
      <w:r>
        <w:t>and</w:t>
      </w:r>
      <w:r>
        <w:rPr>
          <w:spacing w:val="-4"/>
        </w:rPr>
        <w:t xml:space="preserve"> </w:t>
      </w:r>
      <w:r>
        <w:t>more change talk. This is a good time to offer a recapitulation summary, as described in Exhibit 5.5.</w:t>
      </w:r>
    </w:p>
    <w:p w14:paraId="1E8196F7" w14:textId="77777777" w:rsidR="00DB6E1F" w:rsidRDefault="00DB6E1F">
      <w:pPr>
        <w:pStyle w:val="BodyText"/>
        <w:spacing w:before="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BB8EB26" w14:textId="77777777">
        <w:trPr>
          <w:trHeight w:val="506"/>
        </w:trPr>
        <w:tc>
          <w:tcPr>
            <w:tcW w:w="9350" w:type="dxa"/>
            <w:shd w:val="clear" w:color="auto" w:fill="050505"/>
          </w:tcPr>
          <w:p w14:paraId="6C895619" w14:textId="77777777" w:rsidR="00DB6E1F" w:rsidRDefault="00F666A6">
            <w:pPr>
              <w:pStyle w:val="TableParagraph"/>
              <w:spacing w:before="105"/>
              <w:ind w:left="210"/>
              <w:rPr>
                <w:sz w:val="24"/>
              </w:rPr>
            </w:pPr>
            <w:r>
              <w:rPr>
                <w:color w:val="FFFFFF"/>
                <w:sz w:val="24"/>
              </w:rPr>
              <w:t>Exhibit</w:t>
            </w:r>
            <w:r>
              <w:rPr>
                <w:color w:val="FFFFFF"/>
                <w:spacing w:val="-3"/>
                <w:sz w:val="24"/>
              </w:rPr>
              <w:t xml:space="preserve"> </w:t>
            </w:r>
            <w:r>
              <w:rPr>
                <w:color w:val="FFFFFF"/>
                <w:sz w:val="24"/>
              </w:rPr>
              <w:t>5.5.</w:t>
            </w:r>
            <w:r>
              <w:rPr>
                <w:color w:val="FFFFFF"/>
                <w:spacing w:val="-2"/>
                <w:sz w:val="24"/>
              </w:rPr>
              <w:t xml:space="preserve"> </w:t>
            </w:r>
            <w:r>
              <w:rPr>
                <w:color w:val="FFFFFF"/>
                <w:sz w:val="24"/>
              </w:rPr>
              <w:t xml:space="preserve">Recapitulation </w:t>
            </w:r>
            <w:r>
              <w:rPr>
                <w:color w:val="FFFFFF"/>
                <w:spacing w:val="-2"/>
                <w:sz w:val="24"/>
              </w:rPr>
              <w:t>Summary</w:t>
            </w:r>
          </w:p>
        </w:tc>
      </w:tr>
      <w:tr w:rsidR="00DB6E1F" w14:paraId="6A18298A" w14:textId="77777777">
        <w:trPr>
          <w:trHeight w:val="3541"/>
        </w:trPr>
        <w:tc>
          <w:tcPr>
            <w:tcW w:w="9350" w:type="dxa"/>
          </w:tcPr>
          <w:p w14:paraId="30220A91" w14:textId="77777777" w:rsidR="00DB6E1F" w:rsidRDefault="00F666A6">
            <w:pPr>
              <w:pStyle w:val="TableParagraph"/>
              <w:spacing w:before="0"/>
              <w:ind w:right="132"/>
              <w:rPr>
                <w:sz w:val="20"/>
              </w:rPr>
            </w:pPr>
            <w:r>
              <w:rPr>
                <w:sz w:val="20"/>
              </w:rPr>
              <w:t>At</w:t>
            </w:r>
            <w:r>
              <w:rPr>
                <w:spacing w:val="-1"/>
                <w:sz w:val="20"/>
              </w:rPr>
              <w:t xml:space="preserve"> </w:t>
            </w:r>
            <w:r>
              <w:rPr>
                <w:sz w:val="20"/>
              </w:rPr>
              <w:t>the</w:t>
            </w:r>
            <w:r>
              <w:rPr>
                <w:spacing w:val="-3"/>
                <w:sz w:val="20"/>
              </w:rPr>
              <w:t xml:space="preserve"> </w:t>
            </w:r>
            <w:r>
              <w:rPr>
                <w:sz w:val="20"/>
              </w:rPr>
              <w:t>end</w:t>
            </w:r>
            <w:r>
              <w:rPr>
                <w:spacing w:val="-1"/>
                <w:sz w:val="20"/>
              </w:rPr>
              <w:t xml:space="preserve"> </w:t>
            </w:r>
            <w:r>
              <w:rPr>
                <w:sz w:val="20"/>
              </w:rPr>
              <w:t>of</w:t>
            </w:r>
            <w:r>
              <w:rPr>
                <w:spacing w:val="-3"/>
                <w:sz w:val="20"/>
              </w:rPr>
              <w:t xml:space="preserve"> </w:t>
            </w:r>
            <w:r>
              <w:rPr>
                <w:sz w:val="20"/>
              </w:rPr>
              <w:t>DB</w:t>
            </w:r>
            <w:r>
              <w:rPr>
                <w:spacing w:val="-2"/>
                <w:sz w:val="20"/>
              </w:rPr>
              <w:t xml:space="preserve"> </w:t>
            </w:r>
            <w:r>
              <w:rPr>
                <w:sz w:val="20"/>
              </w:rPr>
              <w:t>exercises,</w:t>
            </w:r>
            <w:r>
              <w:rPr>
                <w:spacing w:val="-1"/>
                <w:sz w:val="20"/>
              </w:rPr>
              <w:t xml:space="preserve"> </w:t>
            </w:r>
            <w:r>
              <w:rPr>
                <w:sz w:val="20"/>
              </w:rPr>
              <w:t>you</w:t>
            </w:r>
            <w:r>
              <w:rPr>
                <w:spacing w:val="-1"/>
                <w:sz w:val="20"/>
              </w:rPr>
              <w:t xml:space="preserve"> </w:t>
            </w:r>
            <w:r>
              <w:rPr>
                <w:sz w:val="20"/>
              </w:rPr>
              <w:t>may</w:t>
            </w:r>
            <w:r>
              <w:rPr>
                <w:spacing w:val="-1"/>
                <w:sz w:val="20"/>
              </w:rPr>
              <w:t xml:space="preserve"> </w:t>
            </w:r>
            <w:r>
              <w:rPr>
                <w:sz w:val="20"/>
              </w:rPr>
              <w:t>sense</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client</w:t>
            </w:r>
            <w:r>
              <w:rPr>
                <w:spacing w:val="-2"/>
                <w:sz w:val="20"/>
              </w:rPr>
              <w:t xml:space="preserve"> </w:t>
            </w:r>
            <w:r>
              <w:rPr>
                <w:sz w:val="20"/>
              </w:rPr>
              <w:t>is</w:t>
            </w:r>
            <w:r>
              <w:rPr>
                <w:spacing w:val="-1"/>
                <w:sz w:val="20"/>
              </w:rPr>
              <w:t xml:space="preserve"> </w:t>
            </w:r>
            <w:r>
              <w:rPr>
                <w:sz w:val="20"/>
              </w:rPr>
              <w:t>ready</w:t>
            </w:r>
            <w:r>
              <w:rPr>
                <w:spacing w:val="-1"/>
                <w:sz w:val="20"/>
              </w:rPr>
              <w:t xml:space="preserve"> </w:t>
            </w:r>
            <w:r>
              <w:rPr>
                <w:sz w:val="20"/>
              </w:rPr>
              <w:t>to</w:t>
            </w:r>
            <w:r>
              <w:rPr>
                <w:spacing w:val="-2"/>
                <w:sz w:val="20"/>
              </w:rPr>
              <w:t xml:space="preserve"> </w:t>
            </w:r>
            <w:r>
              <w:rPr>
                <w:sz w:val="20"/>
              </w:rPr>
              <w:t>commit</w:t>
            </w:r>
            <w:r>
              <w:rPr>
                <w:spacing w:val="-2"/>
                <w:sz w:val="20"/>
              </w:rPr>
              <w:t xml:space="preserve"> </w:t>
            </w:r>
            <w:r>
              <w:rPr>
                <w:sz w:val="20"/>
              </w:rPr>
              <w:t>to</w:t>
            </w:r>
            <w:r>
              <w:rPr>
                <w:spacing w:val="-2"/>
                <w:sz w:val="20"/>
              </w:rPr>
              <w:t xml:space="preserve"> </w:t>
            </w:r>
            <w:r>
              <w:rPr>
                <w:sz w:val="20"/>
              </w:rPr>
              <w:t>change.</w:t>
            </w:r>
            <w:r>
              <w:rPr>
                <w:spacing w:val="-2"/>
                <w:sz w:val="20"/>
              </w:rPr>
              <w:t xml:space="preserve"> </w:t>
            </w:r>
            <w:r>
              <w:rPr>
                <w:sz w:val="20"/>
              </w:rPr>
              <w:t>At</w:t>
            </w:r>
            <w:r>
              <w:rPr>
                <w:spacing w:val="-2"/>
                <w:sz w:val="20"/>
              </w:rPr>
              <w:t xml:space="preserve"> </w:t>
            </w:r>
            <w:r>
              <w:rPr>
                <w:sz w:val="20"/>
              </w:rPr>
              <w:t>this</w:t>
            </w:r>
            <w:r>
              <w:rPr>
                <w:spacing w:val="-3"/>
                <w:sz w:val="20"/>
              </w:rPr>
              <w:t xml:space="preserve"> </w:t>
            </w:r>
            <w:r>
              <w:rPr>
                <w:sz w:val="20"/>
              </w:rPr>
              <w:t>point,</w:t>
            </w:r>
            <w:r>
              <w:rPr>
                <w:spacing w:val="-1"/>
                <w:sz w:val="20"/>
              </w:rPr>
              <w:t xml:space="preserve"> </w:t>
            </w:r>
            <w:r>
              <w:rPr>
                <w:sz w:val="20"/>
              </w:rPr>
              <w:t>you</w:t>
            </w:r>
            <w:r>
              <w:rPr>
                <w:spacing w:val="-1"/>
                <w:sz w:val="20"/>
              </w:rPr>
              <w:t xml:space="preserve"> </w:t>
            </w:r>
            <w:r>
              <w:rPr>
                <w:sz w:val="20"/>
              </w:rPr>
              <w:t>should summarize the client’s current situation as reflected in your interactions thus far. The purpose of the summary</w:t>
            </w:r>
            <w:r>
              <w:rPr>
                <w:spacing w:val="40"/>
                <w:sz w:val="20"/>
              </w:rPr>
              <w:t xml:space="preserve"> </w:t>
            </w:r>
            <w:r>
              <w:rPr>
                <w:sz w:val="20"/>
              </w:rPr>
              <w:t xml:space="preserve">is to draw together as many reasons for change as possible while pointing out the client’s reluctance or </w:t>
            </w:r>
            <w:r>
              <w:rPr>
                <w:spacing w:val="-2"/>
                <w:sz w:val="20"/>
              </w:rPr>
              <w:t>ambivalence.</w:t>
            </w:r>
          </w:p>
          <w:p w14:paraId="24FC1699" w14:textId="77777777" w:rsidR="00DB6E1F" w:rsidRDefault="00F666A6">
            <w:pPr>
              <w:pStyle w:val="TableParagraph"/>
              <w:spacing w:before="121"/>
              <w:rPr>
                <w:sz w:val="20"/>
              </w:rPr>
            </w:pPr>
            <w:r>
              <w:rPr>
                <w:sz w:val="20"/>
              </w:rPr>
              <w:t>Your</w:t>
            </w:r>
            <w:r>
              <w:rPr>
                <w:spacing w:val="-5"/>
                <w:sz w:val="20"/>
              </w:rPr>
              <w:t xml:space="preserve"> </w:t>
            </w:r>
            <w:r>
              <w:rPr>
                <w:sz w:val="20"/>
              </w:rPr>
              <w:t>summary</w:t>
            </w:r>
            <w:r>
              <w:rPr>
                <w:spacing w:val="-5"/>
                <w:sz w:val="20"/>
              </w:rPr>
              <w:t xml:space="preserve"> </w:t>
            </w:r>
            <w:r>
              <w:rPr>
                <w:sz w:val="20"/>
              </w:rPr>
              <w:t>should</w:t>
            </w:r>
            <w:r>
              <w:rPr>
                <w:spacing w:val="-4"/>
                <w:sz w:val="20"/>
              </w:rPr>
              <w:t xml:space="preserve"> </w:t>
            </w:r>
            <w:r>
              <w:rPr>
                <w:sz w:val="20"/>
              </w:rPr>
              <w:t>include</w:t>
            </w:r>
            <w:r>
              <w:rPr>
                <w:spacing w:val="-5"/>
                <w:sz w:val="20"/>
              </w:rPr>
              <w:t xml:space="preserve"> </w:t>
            </w:r>
            <w:r>
              <w:rPr>
                <w:sz w:val="20"/>
              </w:rPr>
              <w:t>as</w:t>
            </w:r>
            <w:r>
              <w:rPr>
                <w:spacing w:val="-6"/>
                <w:sz w:val="20"/>
              </w:rPr>
              <w:t xml:space="preserve"> </w:t>
            </w:r>
            <w:r>
              <w:rPr>
                <w:sz w:val="20"/>
              </w:rPr>
              <w:t>many</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following</w:t>
            </w:r>
            <w:r>
              <w:rPr>
                <w:spacing w:val="-5"/>
                <w:sz w:val="20"/>
              </w:rPr>
              <w:t xml:space="preserve"> </w:t>
            </w:r>
            <w:r>
              <w:rPr>
                <w:sz w:val="20"/>
              </w:rPr>
              <w:t>elements</w:t>
            </w:r>
            <w:r>
              <w:rPr>
                <w:spacing w:val="-6"/>
                <w:sz w:val="20"/>
              </w:rPr>
              <w:t xml:space="preserve"> </w:t>
            </w:r>
            <w:r>
              <w:rPr>
                <w:sz w:val="20"/>
              </w:rPr>
              <w:t>as</w:t>
            </w:r>
            <w:r>
              <w:rPr>
                <w:spacing w:val="-6"/>
                <w:sz w:val="20"/>
              </w:rPr>
              <w:t xml:space="preserve"> </w:t>
            </w:r>
            <w:r>
              <w:rPr>
                <w:spacing w:val="-2"/>
                <w:sz w:val="20"/>
              </w:rPr>
              <w:t>possible:</w:t>
            </w:r>
          </w:p>
          <w:p w14:paraId="75FBAEB7" w14:textId="77777777" w:rsidR="00DB6E1F" w:rsidRDefault="00F666A6">
            <w:pPr>
              <w:pStyle w:val="TableParagraph"/>
              <w:numPr>
                <w:ilvl w:val="0"/>
                <w:numId w:val="57"/>
              </w:numPr>
              <w:tabs>
                <w:tab w:val="left" w:pos="467"/>
                <w:tab w:val="left" w:pos="468"/>
              </w:tabs>
              <w:spacing w:before="117"/>
              <w:ind w:left="467" w:hanging="361"/>
              <w:rPr>
                <w:sz w:val="20"/>
              </w:rPr>
            </w:pPr>
            <w:r>
              <w:rPr>
                <w:sz w:val="20"/>
              </w:rPr>
              <w:t>A</w:t>
            </w:r>
            <w:r>
              <w:rPr>
                <w:spacing w:val="-5"/>
                <w:sz w:val="20"/>
              </w:rPr>
              <w:t xml:space="preserve"> </w:t>
            </w:r>
            <w:r>
              <w:rPr>
                <w:sz w:val="20"/>
              </w:rPr>
              <w:t>summary</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client’s</w:t>
            </w:r>
            <w:r>
              <w:rPr>
                <w:spacing w:val="-6"/>
                <w:sz w:val="20"/>
              </w:rPr>
              <w:t xml:space="preserve"> </w:t>
            </w:r>
            <w:r>
              <w:rPr>
                <w:sz w:val="20"/>
              </w:rPr>
              <w:t>own</w:t>
            </w:r>
            <w:r>
              <w:rPr>
                <w:spacing w:val="-3"/>
                <w:sz w:val="20"/>
              </w:rPr>
              <w:t xml:space="preserve"> </w:t>
            </w:r>
            <w:r>
              <w:rPr>
                <w:sz w:val="20"/>
              </w:rPr>
              <w:t>perceptions</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pacing w:val="-2"/>
                <w:sz w:val="20"/>
              </w:rPr>
              <w:t>problem</w:t>
            </w:r>
          </w:p>
          <w:p w14:paraId="536A9917" w14:textId="77777777" w:rsidR="00DB6E1F" w:rsidRDefault="00F666A6">
            <w:pPr>
              <w:pStyle w:val="TableParagraph"/>
              <w:numPr>
                <w:ilvl w:val="0"/>
                <w:numId w:val="57"/>
              </w:numPr>
              <w:tabs>
                <w:tab w:val="left" w:pos="467"/>
                <w:tab w:val="left" w:pos="468"/>
              </w:tabs>
              <w:spacing w:before="41"/>
              <w:ind w:left="467" w:hanging="361"/>
              <w:rPr>
                <w:sz w:val="20"/>
              </w:rPr>
            </w:pPr>
            <w:r>
              <w:rPr>
                <w:sz w:val="20"/>
              </w:rPr>
              <w:t>A</w:t>
            </w:r>
            <w:r>
              <w:rPr>
                <w:spacing w:val="-8"/>
                <w:sz w:val="20"/>
              </w:rPr>
              <w:t xml:space="preserve"> </w:t>
            </w:r>
            <w:r>
              <w:rPr>
                <w:sz w:val="20"/>
              </w:rPr>
              <w:t>summary</w:t>
            </w:r>
            <w:r>
              <w:rPr>
                <w:spacing w:val="-6"/>
                <w:sz w:val="20"/>
              </w:rPr>
              <w:t xml:space="preserve"> </w:t>
            </w:r>
            <w:r>
              <w:rPr>
                <w:sz w:val="20"/>
              </w:rPr>
              <w:t>of</w:t>
            </w:r>
            <w:r>
              <w:rPr>
                <w:spacing w:val="-8"/>
                <w:sz w:val="20"/>
              </w:rPr>
              <w:t xml:space="preserve"> </w:t>
            </w:r>
            <w:r>
              <w:rPr>
                <w:sz w:val="20"/>
              </w:rPr>
              <w:t>the</w:t>
            </w:r>
            <w:r>
              <w:rPr>
                <w:spacing w:val="-8"/>
                <w:sz w:val="20"/>
              </w:rPr>
              <w:t xml:space="preserve"> </w:t>
            </w:r>
            <w:r>
              <w:rPr>
                <w:sz w:val="20"/>
              </w:rPr>
              <w:t>client’s</w:t>
            </w:r>
            <w:r>
              <w:rPr>
                <w:spacing w:val="-8"/>
                <w:sz w:val="20"/>
              </w:rPr>
              <w:t xml:space="preserve"> </w:t>
            </w:r>
            <w:r>
              <w:rPr>
                <w:sz w:val="20"/>
              </w:rPr>
              <w:t>ambivalence,</w:t>
            </w:r>
            <w:r>
              <w:rPr>
                <w:spacing w:val="-6"/>
                <w:sz w:val="20"/>
              </w:rPr>
              <w:t xml:space="preserve"> </w:t>
            </w:r>
            <w:r>
              <w:rPr>
                <w:sz w:val="20"/>
              </w:rPr>
              <w:t>including</w:t>
            </w:r>
            <w:r>
              <w:rPr>
                <w:spacing w:val="-7"/>
                <w:sz w:val="20"/>
              </w:rPr>
              <w:t xml:space="preserve"> </w:t>
            </w:r>
            <w:r>
              <w:rPr>
                <w:sz w:val="20"/>
              </w:rPr>
              <w:t>what</w:t>
            </w:r>
            <w:r>
              <w:rPr>
                <w:spacing w:val="-7"/>
                <w:sz w:val="20"/>
              </w:rPr>
              <w:t xml:space="preserve"> </w:t>
            </w:r>
            <w:r>
              <w:rPr>
                <w:sz w:val="20"/>
              </w:rPr>
              <w:t>remains</w:t>
            </w:r>
            <w:r>
              <w:rPr>
                <w:spacing w:val="-8"/>
                <w:sz w:val="20"/>
              </w:rPr>
              <w:t xml:space="preserve"> </w:t>
            </w:r>
            <w:r>
              <w:rPr>
                <w:sz w:val="20"/>
              </w:rPr>
              <w:t>positive</w:t>
            </w:r>
            <w:r>
              <w:rPr>
                <w:spacing w:val="-8"/>
                <w:sz w:val="20"/>
              </w:rPr>
              <w:t xml:space="preserve"> </w:t>
            </w:r>
            <w:r>
              <w:rPr>
                <w:sz w:val="20"/>
              </w:rPr>
              <w:t>or</w:t>
            </w:r>
            <w:r>
              <w:rPr>
                <w:spacing w:val="-7"/>
                <w:sz w:val="20"/>
              </w:rPr>
              <w:t xml:space="preserve"> </w:t>
            </w:r>
            <w:r>
              <w:rPr>
                <w:sz w:val="20"/>
              </w:rPr>
              <w:t>attractive</w:t>
            </w:r>
            <w:r>
              <w:rPr>
                <w:spacing w:val="-8"/>
                <w:sz w:val="20"/>
              </w:rPr>
              <w:t xml:space="preserve"> </w:t>
            </w:r>
            <w:r>
              <w:rPr>
                <w:sz w:val="20"/>
              </w:rPr>
              <w:t>about</w:t>
            </w:r>
            <w:r>
              <w:rPr>
                <w:spacing w:val="-6"/>
                <w:sz w:val="20"/>
              </w:rPr>
              <w:t xml:space="preserve"> </w:t>
            </w:r>
            <w:r>
              <w:rPr>
                <w:sz w:val="20"/>
              </w:rPr>
              <w:t>substance</w:t>
            </w:r>
            <w:r>
              <w:rPr>
                <w:spacing w:val="-8"/>
                <w:sz w:val="20"/>
              </w:rPr>
              <w:t xml:space="preserve"> </w:t>
            </w:r>
            <w:r>
              <w:rPr>
                <w:spacing w:val="-5"/>
                <w:sz w:val="20"/>
              </w:rPr>
              <w:t>use</w:t>
            </w:r>
          </w:p>
          <w:p w14:paraId="3B7FF5E0" w14:textId="77777777" w:rsidR="00DB6E1F" w:rsidRDefault="00F666A6">
            <w:pPr>
              <w:pStyle w:val="TableParagraph"/>
              <w:numPr>
                <w:ilvl w:val="0"/>
                <w:numId w:val="57"/>
              </w:numPr>
              <w:tabs>
                <w:tab w:val="left" w:pos="467"/>
                <w:tab w:val="left" w:pos="468"/>
              </w:tabs>
              <w:spacing w:before="40"/>
              <w:ind w:left="467" w:hanging="361"/>
              <w:rPr>
                <w:sz w:val="20"/>
              </w:rPr>
            </w:pPr>
            <w:r>
              <w:rPr>
                <w:sz w:val="20"/>
              </w:rPr>
              <w:t>A</w:t>
            </w:r>
            <w:r>
              <w:rPr>
                <w:spacing w:val="-5"/>
                <w:sz w:val="20"/>
              </w:rPr>
              <w:t xml:space="preserve"> </w:t>
            </w:r>
            <w:r>
              <w:rPr>
                <w:sz w:val="20"/>
              </w:rPr>
              <w:t>review</w:t>
            </w:r>
            <w:r>
              <w:rPr>
                <w:spacing w:val="-6"/>
                <w:sz w:val="20"/>
              </w:rPr>
              <w:t xml:space="preserve"> </w:t>
            </w:r>
            <w:r>
              <w:rPr>
                <w:sz w:val="20"/>
              </w:rPr>
              <w:t>of</w:t>
            </w:r>
            <w:r>
              <w:rPr>
                <w:spacing w:val="-6"/>
                <w:sz w:val="20"/>
              </w:rPr>
              <w:t xml:space="preserve"> </w:t>
            </w:r>
            <w:r>
              <w:rPr>
                <w:sz w:val="20"/>
              </w:rPr>
              <w:t>objective</w:t>
            </w:r>
            <w:r>
              <w:rPr>
                <w:spacing w:val="-6"/>
                <w:sz w:val="20"/>
              </w:rPr>
              <w:t xml:space="preserve"> </w:t>
            </w:r>
            <w:r>
              <w:rPr>
                <w:sz w:val="20"/>
              </w:rPr>
              <w:t>evidence</w:t>
            </w:r>
            <w:r>
              <w:rPr>
                <w:spacing w:val="-6"/>
                <w:sz w:val="20"/>
              </w:rPr>
              <w:t xml:space="preserve"> </w:t>
            </w:r>
            <w:r>
              <w:rPr>
                <w:sz w:val="20"/>
              </w:rPr>
              <w:t>you</w:t>
            </w:r>
            <w:r>
              <w:rPr>
                <w:spacing w:val="-4"/>
                <w:sz w:val="20"/>
              </w:rPr>
              <w:t xml:space="preserve"> </w:t>
            </w:r>
            <w:r>
              <w:rPr>
                <w:sz w:val="20"/>
              </w:rPr>
              <w:t>have</w:t>
            </w:r>
            <w:r>
              <w:rPr>
                <w:spacing w:val="-6"/>
                <w:sz w:val="20"/>
              </w:rPr>
              <w:t xml:space="preserve"> </w:t>
            </w:r>
            <w:r>
              <w:rPr>
                <w:sz w:val="20"/>
              </w:rPr>
              <w:t>regarding</w:t>
            </w:r>
            <w:r>
              <w:rPr>
                <w:spacing w:val="-4"/>
                <w:sz w:val="20"/>
              </w:rPr>
              <w:t xml:space="preserve"> </w:t>
            </w:r>
            <w:r>
              <w:rPr>
                <w:sz w:val="20"/>
              </w:rPr>
              <w:t>the</w:t>
            </w:r>
            <w:r>
              <w:rPr>
                <w:spacing w:val="-6"/>
                <w:sz w:val="20"/>
              </w:rPr>
              <w:t xml:space="preserve"> </w:t>
            </w:r>
            <w:r>
              <w:rPr>
                <w:sz w:val="20"/>
              </w:rPr>
              <w:t>presence</w:t>
            </w:r>
            <w:r>
              <w:rPr>
                <w:spacing w:val="-6"/>
                <w:sz w:val="20"/>
              </w:rPr>
              <w:t xml:space="preserve"> </w:t>
            </w:r>
            <w:r>
              <w:rPr>
                <w:sz w:val="20"/>
              </w:rPr>
              <w:t>of</w:t>
            </w:r>
            <w:r>
              <w:rPr>
                <w:spacing w:val="-6"/>
                <w:sz w:val="20"/>
              </w:rPr>
              <w:t xml:space="preserve"> </w:t>
            </w:r>
            <w:r>
              <w:rPr>
                <w:sz w:val="20"/>
              </w:rPr>
              <w:t>risks</w:t>
            </w:r>
            <w:r>
              <w:rPr>
                <w:spacing w:val="-6"/>
                <w:sz w:val="20"/>
              </w:rPr>
              <w:t xml:space="preserve"> </w:t>
            </w:r>
            <w:r>
              <w:rPr>
                <w:sz w:val="20"/>
              </w:rPr>
              <w:t>and</w:t>
            </w:r>
            <w:r>
              <w:rPr>
                <w:spacing w:val="-4"/>
                <w:sz w:val="20"/>
              </w:rPr>
              <w:t xml:space="preserve"> </w:t>
            </w:r>
            <w:r>
              <w:rPr>
                <w:spacing w:val="-2"/>
                <w:sz w:val="20"/>
              </w:rPr>
              <w:t>problems</w:t>
            </w:r>
          </w:p>
          <w:p w14:paraId="37086925" w14:textId="77777777" w:rsidR="00DB6E1F" w:rsidRDefault="00F666A6">
            <w:pPr>
              <w:pStyle w:val="TableParagraph"/>
              <w:numPr>
                <w:ilvl w:val="0"/>
                <w:numId w:val="57"/>
              </w:numPr>
              <w:tabs>
                <w:tab w:val="left" w:pos="467"/>
                <w:tab w:val="left" w:pos="468"/>
              </w:tabs>
              <w:spacing w:before="41"/>
              <w:ind w:left="467" w:hanging="361"/>
              <w:rPr>
                <w:sz w:val="20"/>
              </w:rPr>
            </w:pPr>
            <w:r>
              <w:rPr>
                <w:sz w:val="20"/>
              </w:rPr>
              <w:t>Your</w:t>
            </w:r>
            <w:r>
              <w:rPr>
                <w:spacing w:val="-7"/>
                <w:sz w:val="20"/>
              </w:rPr>
              <w:t xml:space="preserve"> </w:t>
            </w:r>
            <w:r>
              <w:rPr>
                <w:sz w:val="20"/>
              </w:rPr>
              <w:t>assessment</w:t>
            </w:r>
            <w:r>
              <w:rPr>
                <w:spacing w:val="-6"/>
                <w:sz w:val="20"/>
              </w:rPr>
              <w:t xml:space="preserve"> </w:t>
            </w:r>
            <w:r>
              <w:rPr>
                <w:sz w:val="20"/>
              </w:rPr>
              <w:t>of</w:t>
            </w:r>
            <w:r>
              <w:rPr>
                <w:spacing w:val="-7"/>
                <w:sz w:val="20"/>
              </w:rPr>
              <w:t xml:space="preserve"> </w:t>
            </w:r>
            <w:r>
              <w:rPr>
                <w:sz w:val="20"/>
              </w:rPr>
              <w:t>the</w:t>
            </w:r>
            <w:r>
              <w:rPr>
                <w:spacing w:val="-8"/>
                <w:sz w:val="20"/>
              </w:rPr>
              <w:t xml:space="preserve"> </w:t>
            </w:r>
            <w:r>
              <w:rPr>
                <w:sz w:val="20"/>
              </w:rPr>
              <w:t>client’s</w:t>
            </w:r>
            <w:r>
              <w:rPr>
                <w:spacing w:val="-7"/>
                <w:sz w:val="20"/>
              </w:rPr>
              <w:t xml:space="preserve"> </w:t>
            </w:r>
            <w:r>
              <w:rPr>
                <w:sz w:val="20"/>
              </w:rPr>
              <w:t>situation,</w:t>
            </w:r>
            <w:r>
              <w:rPr>
                <w:spacing w:val="-5"/>
                <w:sz w:val="20"/>
              </w:rPr>
              <w:t xml:space="preserve"> </w:t>
            </w:r>
            <w:r>
              <w:rPr>
                <w:sz w:val="20"/>
              </w:rPr>
              <w:t>particularly</w:t>
            </w:r>
            <w:r>
              <w:rPr>
                <w:spacing w:val="-6"/>
                <w:sz w:val="20"/>
              </w:rPr>
              <w:t xml:space="preserve"> </w:t>
            </w:r>
            <w:r>
              <w:rPr>
                <w:sz w:val="20"/>
              </w:rPr>
              <w:t>when</w:t>
            </w:r>
            <w:r>
              <w:rPr>
                <w:spacing w:val="-5"/>
                <w:sz w:val="20"/>
              </w:rPr>
              <w:t xml:space="preserve"> </w:t>
            </w:r>
            <w:r>
              <w:rPr>
                <w:sz w:val="20"/>
              </w:rPr>
              <w:t>it</w:t>
            </w:r>
            <w:r>
              <w:rPr>
                <w:spacing w:val="-7"/>
                <w:sz w:val="20"/>
              </w:rPr>
              <w:t xml:space="preserve"> </w:t>
            </w:r>
            <w:r>
              <w:rPr>
                <w:sz w:val="20"/>
              </w:rPr>
              <w:t>aligns</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z w:val="20"/>
              </w:rPr>
              <w:t>client’s</w:t>
            </w:r>
            <w:r>
              <w:rPr>
                <w:spacing w:val="-7"/>
                <w:sz w:val="20"/>
              </w:rPr>
              <w:t xml:space="preserve"> </w:t>
            </w:r>
            <w:r>
              <w:rPr>
                <w:sz w:val="20"/>
              </w:rPr>
              <w:t>own</w:t>
            </w:r>
            <w:r>
              <w:rPr>
                <w:spacing w:val="-6"/>
                <w:sz w:val="20"/>
              </w:rPr>
              <w:t xml:space="preserve"> </w:t>
            </w:r>
            <w:r>
              <w:rPr>
                <w:spacing w:val="-2"/>
                <w:sz w:val="20"/>
              </w:rPr>
              <w:t>concerns</w:t>
            </w:r>
          </w:p>
          <w:p w14:paraId="58B670F4" w14:textId="77777777" w:rsidR="00DB6E1F" w:rsidRDefault="00F666A6">
            <w:pPr>
              <w:pStyle w:val="TableParagraph"/>
              <w:numPr>
                <w:ilvl w:val="0"/>
                <w:numId w:val="57"/>
              </w:numPr>
              <w:tabs>
                <w:tab w:val="left" w:pos="467"/>
                <w:tab w:val="left" w:pos="468"/>
              </w:tabs>
              <w:spacing w:before="40" w:line="259" w:lineRule="auto"/>
              <w:ind w:right="429" w:hanging="1"/>
              <w:rPr>
                <w:sz w:val="20"/>
              </w:rPr>
            </w:pPr>
            <w:r>
              <w:rPr>
                <w:sz w:val="20"/>
              </w:rPr>
              <w:t>A summary of the client’s change talk, emphasizing desire, ability, reasons, and need to change Remember</w:t>
            </w:r>
            <w:r>
              <w:rPr>
                <w:spacing w:val="-3"/>
                <w:sz w:val="20"/>
              </w:rPr>
              <w:t xml:space="preserve"> </w:t>
            </w:r>
            <w:r>
              <w:rPr>
                <w:sz w:val="20"/>
              </w:rPr>
              <w:t>to</w:t>
            </w:r>
            <w:r>
              <w:rPr>
                <w:spacing w:val="-3"/>
                <w:sz w:val="20"/>
              </w:rPr>
              <w:t xml:space="preserve"> </w:t>
            </w:r>
            <w:r>
              <w:rPr>
                <w:sz w:val="20"/>
              </w:rPr>
              <w:t>recognize</w:t>
            </w:r>
            <w:r>
              <w:rPr>
                <w:spacing w:val="-4"/>
                <w:sz w:val="20"/>
              </w:rPr>
              <w:t xml:space="preserve"> </w:t>
            </w:r>
            <w:r>
              <w:rPr>
                <w:sz w:val="20"/>
              </w:rPr>
              <w:t>the</w:t>
            </w:r>
            <w:r>
              <w:rPr>
                <w:spacing w:val="-1"/>
                <w:sz w:val="20"/>
              </w:rPr>
              <w:t xml:space="preserve"> </w:t>
            </w:r>
            <w:r>
              <w:rPr>
                <w:sz w:val="20"/>
              </w:rPr>
              <w:t>client’s</w:t>
            </w:r>
            <w:r>
              <w:rPr>
                <w:spacing w:val="-4"/>
                <w:sz w:val="20"/>
              </w:rPr>
              <w:t xml:space="preserve"> </w:t>
            </w:r>
            <w:r>
              <w:rPr>
                <w:sz w:val="20"/>
              </w:rPr>
              <w:t>sustain</w:t>
            </w:r>
            <w:r>
              <w:rPr>
                <w:spacing w:val="-2"/>
                <w:sz w:val="20"/>
              </w:rPr>
              <w:t xml:space="preserve"> </w:t>
            </w:r>
            <w:r>
              <w:rPr>
                <w:sz w:val="20"/>
              </w:rPr>
              <w:t>talk</w:t>
            </w:r>
            <w:r>
              <w:rPr>
                <w:spacing w:val="-2"/>
                <w:sz w:val="20"/>
              </w:rPr>
              <w:t xml:space="preserve"> </w:t>
            </w:r>
            <w:r>
              <w:rPr>
                <w:sz w:val="20"/>
              </w:rPr>
              <w:t>(i.e.,</w:t>
            </w:r>
            <w:r>
              <w:rPr>
                <w:spacing w:val="-2"/>
                <w:sz w:val="20"/>
              </w:rPr>
              <w:t xml:space="preserve"> </w:t>
            </w:r>
            <w:r>
              <w:rPr>
                <w:sz w:val="20"/>
              </w:rPr>
              <w:t>reasons</w:t>
            </w:r>
            <w:r>
              <w:rPr>
                <w:spacing w:val="-4"/>
                <w:sz w:val="20"/>
              </w:rPr>
              <w:t xml:space="preserve"> </w:t>
            </w:r>
            <w:r>
              <w:rPr>
                <w:sz w:val="20"/>
              </w:rPr>
              <w:t>for</w:t>
            </w:r>
            <w:r>
              <w:rPr>
                <w:spacing w:val="-3"/>
                <w:sz w:val="20"/>
              </w:rPr>
              <w:t xml:space="preserve"> </w:t>
            </w:r>
            <w:r>
              <w:rPr>
                <w:sz w:val="20"/>
              </w:rPr>
              <w:t>staying</w:t>
            </w:r>
            <w:r>
              <w:rPr>
                <w:spacing w:val="-3"/>
                <w:sz w:val="20"/>
              </w:rPr>
              <w:t xml:space="preserve"> </w:t>
            </w:r>
            <w:r>
              <w:rPr>
                <w:sz w:val="20"/>
              </w:rPr>
              <w:t>with</w:t>
            </w:r>
            <w:r>
              <w:rPr>
                <w:spacing w:val="-2"/>
                <w:sz w:val="20"/>
              </w:rPr>
              <w:t xml:space="preserve"> </w:t>
            </w:r>
            <w:r>
              <w:rPr>
                <w:sz w:val="20"/>
              </w:rPr>
              <w:t>the</w:t>
            </w:r>
            <w:r>
              <w:rPr>
                <w:spacing w:val="-4"/>
                <w:sz w:val="20"/>
              </w:rPr>
              <w:t xml:space="preserve"> </w:t>
            </w:r>
            <w:r>
              <w:rPr>
                <w:sz w:val="20"/>
              </w:rPr>
              <w:t>status</w:t>
            </w:r>
            <w:r>
              <w:rPr>
                <w:spacing w:val="-4"/>
                <w:sz w:val="20"/>
              </w:rPr>
              <w:t xml:space="preserve"> </w:t>
            </w:r>
            <w:r>
              <w:rPr>
                <w:sz w:val="20"/>
              </w:rPr>
              <w:t>quo),</w:t>
            </w:r>
            <w:r>
              <w:rPr>
                <w:spacing w:val="-2"/>
                <w:sz w:val="20"/>
              </w:rPr>
              <w:t xml:space="preserve"> </w:t>
            </w:r>
            <w:r>
              <w:rPr>
                <w:sz w:val="20"/>
              </w:rPr>
              <w:t>but</w:t>
            </w:r>
            <w:r>
              <w:rPr>
                <w:spacing w:val="-3"/>
                <w:sz w:val="20"/>
              </w:rPr>
              <w:t xml:space="preserve"> </w:t>
            </w:r>
            <w:r>
              <w:rPr>
                <w:sz w:val="20"/>
              </w:rPr>
              <w:t>emphasize client change talk to tip the balance in favor of</w:t>
            </w:r>
            <w:r>
              <w:rPr>
                <w:sz w:val="20"/>
              </w:rPr>
              <w:t xml:space="preserve"> change.</w:t>
            </w:r>
          </w:p>
        </w:tc>
      </w:tr>
    </w:tbl>
    <w:p w14:paraId="3BFE785D" w14:textId="77777777" w:rsidR="00DB6E1F" w:rsidRDefault="00F666A6">
      <w:pPr>
        <w:pStyle w:val="Heading3"/>
        <w:spacing w:before="2"/>
        <w:jc w:val="both"/>
      </w:pPr>
      <w:bookmarkStart w:id="160" w:name="Enhance_Commitment_to_Change"/>
      <w:bookmarkEnd w:id="160"/>
      <w:r>
        <w:t>Enhance</w:t>
      </w:r>
      <w:r>
        <w:rPr>
          <w:spacing w:val="-10"/>
        </w:rPr>
        <w:t xml:space="preserve"> </w:t>
      </w:r>
      <w:r>
        <w:t>Commitment</w:t>
      </w:r>
      <w:r>
        <w:rPr>
          <w:spacing w:val="-8"/>
        </w:rPr>
        <w:t xml:space="preserve"> </w:t>
      </w:r>
      <w:r>
        <w:t>to</w:t>
      </w:r>
      <w:r>
        <w:rPr>
          <w:spacing w:val="-6"/>
        </w:rPr>
        <w:t xml:space="preserve"> </w:t>
      </w:r>
      <w:r>
        <w:rPr>
          <w:spacing w:val="-2"/>
        </w:rPr>
        <w:t>Change</w:t>
      </w:r>
    </w:p>
    <w:p w14:paraId="2C5C4A79" w14:textId="77777777" w:rsidR="00DB6E1F" w:rsidRDefault="00F666A6">
      <w:pPr>
        <w:spacing w:before="143"/>
        <w:ind w:left="1440" w:right="1951"/>
        <w:jc w:val="both"/>
      </w:pPr>
      <w:r>
        <w:rPr>
          <w:b/>
        </w:rPr>
        <w:t>You should still reinforce</w:t>
      </w:r>
      <w:r>
        <w:rPr>
          <w:b/>
          <w:spacing w:val="-1"/>
        </w:rPr>
        <w:t xml:space="preserve"> </w:t>
      </w:r>
      <w:r>
        <w:rPr>
          <w:b/>
        </w:rPr>
        <w:t>the client’s commitment to</w:t>
      </w:r>
      <w:r>
        <w:rPr>
          <w:b/>
          <w:spacing w:val="-1"/>
        </w:rPr>
        <w:t xml:space="preserve"> </w:t>
      </w:r>
      <w:r>
        <w:rPr>
          <w:b/>
        </w:rPr>
        <w:t xml:space="preserve">change even after the client has decided to change and has begun to set goals. </w:t>
      </w:r>
      <w:r>
        <w:t>You should expect client indecision at any point in the change process.</w:t>
      </w:r>
      <w:r>
        <w:rPr>
          <w:spacing w:val="-6"/>
        </w:rPr>
        <w:t xml:space="preserve"> </w:t>
      </w:r>
      <w:r>
        <w:t>Additional</w:t>
      </w:r>
      <w:r>
        <w:rPr>
          <w:spacing w:val="-3"/>
        </w:rPr>
        <w:t xml:space="preserve"> </w:t>
      </w:r>
      <w:r>
        <w:t>strategies</w:t>
      </w:r>
      <w:r>
        <w:rPr>
          <w:spacing w:val="-3"/>
        </w:rPr>
        <w:t xml:space="preserve"> </w:t>
      </w:r>
      <w:r>
        <w:t>that</w:t>
      </w:r>
      <w:r>
        <w:rPr>
          <w:spacing w:val="-5"/>
        </w:rPr>
        <w:t xml:space="preserve"> </w:t>
      </w:r>
      <w:r>
        <w:t>enhance</w:t>
      </w:r>
      <w:r>
        <w:rPr>
          <w:spacing w:val="-5"/>
        </w:rPr>
        <w:t xml:space="preserve"> </w:t>
      </w:r>
      <w:r>
        <w:t>commitment</w:t>
      </w:r>
      <w:r>
        <w:rPr>
          <w:spacing w:val="-2"/>
        </w:rPr>
        <w:t xml:space="preserve"> </w:t>
      </w:r>
      <w:r>
        <w:t>at</w:t>
      </w:r>
      <w:r>
        <w:rPr>
          <w:spacing w:val="-2"/>
        </w:rPr>
        <w:t xml:space="preserve"> </w:t>
      </w:r>
      <w:r>
        <w:t>this</w:t>
      </w:r>
      <w:r>
        <w:rPr>
          <w:spacing w:val="-5"/>
        </w:rPr>
        <w:t xml:space="preserve"> </w:t>
      </w:r>
      <w:r>
        <w:t>point</w:t>
      </w:r>
      <w:r>
        <w:rPr>
          <w:spacing w:val="-2"/>
        </w:rPr>
        <w:t xml:space="preserve"> </w:t>
      </w:r>
      <w:r>
        <w:t>include</w:t>
      </w:r>
      <w:r>
        <w:rPr>
          <w:spacing w:val="-4"/>
        </w:rPr>
        <w:t xml:space="preserve"> </w:t>
      </w:r>
      <w:r>
        <w:t>asking</w:t>
      </w:r>
      <w:r>
        <w:rPr>
          <w:spacing w:val="-4"/>
        </w:rPr>
        <w:t xml:space="preserve"> </w:t>
      </w:r>
      <w:r>
        <w:t>key</w:t>
      </w:r>
      <w:r>
        <w:rPr>
          <w:spacing w:val="-2"/>
        </w:rPr>
        <w:t xml:space="preserve"> </w:t>
      </w:r>
      <w:r>
        <w:t>questions, taking small steps, going public, and envisioning.</w:t>
      </w:r>
    </w:p>
    <w:p w14:paraId="6BA1D0C2" w14:textId="77777777" w:rsidR="00DB6E1F" w:rsidRDefault="00DB6E1F">
      <w:pPr>
        <w:pStyle w:val="BodyText"/>
        <w:spacing w:before="5"/>
        <w:rPr>
          <w:sz w:val="16"/>
        </w:rPr>
      </w:pPr>
    </w:p>
    <w:p w14:paraId="39D28349" w14:textId="77777777" w:rsidR="00DB6E1F" w:rsidRDefault="00F666A6">
      <w:pPr>
        <w:pStyle w:val="Heading4"/>
        <w:spacing w:before="1"/>
      </w:pPr>
      <w:bookmarkStart w:id="161" w:name="Asking_key_questions"/>
      <w:bookmarkEnd w:id="161"/>
      <w:r>
        <w:t>Asking</w:t>
      </w:r>
      <w:r>
        <w:rPr>
          <w:spacing w:val="-8"/>
        </w:rPr>
        <w:t xml:space="preserve"> </w:t>
      </w:r>
      <w:r>
        <w:t>key</w:t>
      </w:r>
      <w:r>
        <w:rPr>
          <w:spacing w:val="-5"/>
        </w:rPr>
        <w:t xml:space="preserve"> </w:t>
      </w:r>
      <w:r>
        <w:rPr>
          <w:spacing w:val="-2"/>
        </w:rPr>
        <w:t>questions</w:t>
      </w:r>
    </w:p>
    <w:p w14:paraId="5C035512" w14:textId="77777777" w:rsidR="00DB6E1F" w:rsidRDefault="00F666A6">
      <w:pPr>
        <w:spacing w:before="83"/>
        <w:ind w:left="1439" w:right="1465"/>
        <w:rPr>
          <w:b/>
        </w:rPr>
      </w:pPr>
      <w:r>
        <w:rPr>
          <w:b/>
        </w:rPr>
        <w:t>After the summary, ask a key question</w:t>
      </w:r>
      <w:r>
        <w:rPr>
          <w:rFonts w:ascii="Arial" w:hAnsi="Arial"/>
          <w:b/>
        </w:rPr>
        <w:t>—</w:t>
      </w:r>
      <w:r>
        <w:rPr>
          <w:b/>
        </w:rPr>
        <w:t xml:space="preserve">for example, “What do you think you will do now?” </w:t>
      </w:r>
      <w:r>
        <w:t>(see the section “Asking key questions” in Chapter 3)—to help the client move over the top of the MI Hill of Ambivalence toward Preparation. Key questions will elicit C</w:t>
      </w:r>
      <w:r>
        <w:t>AT change talk. One of the main signs that the client</w:t>
      </w:r>
      <w:r>
        <w:rPr>
          <w:spacing w:val="-1"/>
        </w:rPr>
        <w:t xml:space="preserve"> </w:t>
      </w:r>
      <w:r>
        <w:t>is intending and committed</w:t>
      </w:r>
      <w:r>
        <w:rPr>
          <w:spacing w:val="-2"/>
        </w:rPr>
        <w:t xml:space="preserve"> </w:t>
      </w:r>
      <w:r>
        <w:t>to taking steps is an increase in CAT</w:t>
      </w:r>
      <w:r>
        <w:rPr>
          <w:spacing w:val="-1"/>
        </w:rPr>
        <w:t xml:space="preserve"> </w:t>
      </w:r>
      <w:r>
        <w:t>change talk</w:t>
      </w:r>
      <w:r>
        <w:rPr>
          <w:spacing w:val="-1"/>
        </w:rPr>
        <w:t xml:space="preserve"> </w:t>
      </w:r>
      <w:r>
        <w:t>(Miller &amp;</w:t>
      </w:r>
      <w:r>
        <w:rPr>
          <w:spacing w:val="-1"/>
        </w:rPr>
        <w:t xml:space="preserve"> </w:t>
      </w:r>
      <w:r>
        <w:t xml:space="preserve">Rollnick, 2013). The client is making statements of </w:t>
      </w:r>
      <w:r>
        <w:rPr>
          <w:b/>
        </w:rPr>
        <w:t xml:space="preserve">commitment </w:t>
      </w:r>
      <w:r>
        <w:t>(e.g., “I will call the treatment facility to set up</w:t>
      </w:r>
      <w:r>
        <w:rPr>
          <w:spacing w:val="40"/>
        </w:rPr>
        <w:t xml:space="preserve"> </w:t>
      </w:r>
      <w:r>
        <w:t>an</w:t>
      </w:r>
      <w:r>
        <w:rPr>
          <w:spacing w:val="-3"/>
        </w:rPr>
        <w:t xml:space="preserve"> </w:t>
      </w:r>
      <w:r>
        <w:t>intake”),</w:t>
      </w:r>
      <w:r>
        <w:rPr>
          <w:spacing w:val="-2"/>
        </w:rPr>
        <w:t xml:space="preserve"> </w:t>
      </w:r>
      <w:r>
        <w:rPr>
          <w:b/>
        </w:rPr>
        <w:t>activation</w:t>
      </w:r>
      <w:r>
        <w:rPr>
          <w:b/>
          <w:spacing w:val="-3"/>
        </w:rPr>
        <w:t xml:space="preserve"> </w:t>
      </w:r>
      <w:r>
        <w:t>(e.g.,</w:t>
      </w:r>
      <w:r>
        <w:rPr>
          <w:spacing w:val="-2"/>
        </w:rPr>
        <w:t xml:space="preserve"> </w:t>
      </w:r>
      <w:r>
        <w:t>“I</w:t>
      </w:r>
      <w:r>
        <w:rPr>
          <w:spacing w:val="-2"/>
        </w:rPr>
        <w:t xml:space="preserve"> </w:t>
      </w:r>
      <w:r>
        <w:t>am</w:t>
      </w:r>
      <w:r>
        <w:rPr>
          <w:spacing w:val="-3"/>
        </w:rPr>
        <w:t xml:space="preserve"> </w:t>
      </w:r>
      <w:r>
        <w:t>willing</w:t>
      </w:r>
      <w:r>
        <w:rPr>
          <w:spacing w:val="-3"/>
        </w:rPr>
        <w:t xml:space="preserve"> </w:t>
      </w:r>
      <w:r>
        <w:t>to</w:t>
      </w:r>
      <w:r>
        <w:rPr>
          <w:spacing w:val="-1"/>
        </w:rPr>
        <w:t xml:space="preserve"> </w:t>
      </w:r>
      <w:r>
        <w:t>stop</w:t>
      </w:r>
      <w:r>
        <w:rPr>
          <w:spacing w:val="-3"/>
        </w:rPr>
        <w:t xml:space="preserve"> </w:t>
      </w:r>
      <w:r>
        <w:t>smoking</w:t>
      </w:r>
      <w:r>
        <w:rPr>
          <w:spacing w:val="-2"/>
        </w:rPr>
        <w:t xml:space="preserve"> </w:t>
      </w:r>
      <w:r>
        <w:t>marijuana</w:t>
      </w:r>
      <w:r>
        <w:rPr>
          <w:spacing w:val="-1"/>
        </w:rPr>
        <w:t xml:space="preserve"> </w:t>
      </w:r>
      <w:r>
        <w:t>for</w:t>
      </w:r>
      <w:r>
        <w:rPr>
          <w:spacing w:val="-2"/>
        </w:rPr>
        <w:t xml:space="preserve"> </w:t>
      </w:r>
      <w:r>
        <w:t>a</w:t>
      </w:r>
      <w:r>
        <w:rPr>
          <w:spacing w:val="-4"/>
        </w:rPr>
        <w:t xml:space="preserve"> </w:t>
      </w:r>
      <w:r>
        <w:t>month),</w:t>
      </w:r>
      <w:r>
        <w:rPr>
          <w:spacing w:val="-4"/>
        </w:rPr>
        <w:t xml:space="preserve"> </w:t>
      </w:r>
      <w:r>
        <w:t>and</w:t>
      </w:r>
      <w:r>
        <w:rPr>
          <w:spacing w:val="-3"/>
        </w:rPr>
        <w:t xml:space="preserve"> </w:t>
      </w:r>
      <w:r>
        <w:rPr>
          <w:b/>
        </w:rPr>
        <w:t>taking</w:t>
      </w:r>
      <w:r>
        <w:rPr>
          <w:b/>
          <w:spacing w:val="-3"/>
        </w:rPr>
        <w:t xml:space="preserve"> </w:t>
      </w:r>
      <w:r>
        <w:rPr>
          <w:b/>
        </w:rPr>
        <w:t>steps</w:t>
      </w:r>
      <w:r>
        <w:rPr>
          <w:b/>
          <w:spacing w:val="-4"/>
        </w:rPr>
        <w:t xml:space="preserve"> </w:t>
      </w:r>
      <w:r>
        <w:t xml:space="preserve">(e.g., “I looked up the schedule for Narcotics Anonymous meetings on its website”) (Miller &amp; Rollnick, 2013). </w:t>
      </w:r>
      <w:r>
        <w:rPr>
          <w:b/>
        </w:rPr>
        <w:t>Reinforce CAT change talk through reflective listening and summarizing.</w:t>
      </w:r>
    </w:p>
    <w:p w14:paraId="06E36D4F" w14:textId="77777777" w:rsidR="00DB6E1F" w:rsidRDefault="00DB6E1F">
      <w:pPr>
        <w:pStyle w:val="BodyText"/>
        <w:spacing w:before="6"/>
        <w:rPr>
          <w:b/>
          <w:sz w:val="16"/>
        </w:rPr>
      </w:pPr>
    </w:p>
    <w:p w14:paraId="5DE5140A" w14:textId="77777777" w:rsidR="00DB6E1F" w:rsidRDefault="00F666A6">
      <w:pPr>
        <w:pStyle w:val="Heading4"/>
      </w:pPr>
      <w:bookmarkStart w:id="162" w:name="Taking_small_steps"/>
      <w:bookmarkEnd w:id="162"/>
      <w:r>
        <w:t>Taking</w:t>
      </w:r>
      <w:r>
        <w:rPr>
          <w:spacing w:val="-9"/>
        </w:rPr>
        <w:t xml:space="preserve"> </w:t>
      </w:r>
      <w:r>
        <w:t>small</w:t>
      </w:r>
      <w:r>
        <w:rPr>
          <w:spacing w:val="-8"/>
        </w:rPr>
        <w:t xml:space="preserve"> </w:t>
      </w:r>
      <w:r>
        <w:rPr>
          <w:spacing w:val="-4"/>
        </w:rPr>
        <w:t>steps</w:t>
      </w:r>
    </w:p>
    <w:p w14:paraId="383EA125" w14:textId="77777777" w:rsidR="00DB6E1F" w:rsidRDefault="00F666A6">
      <w:pPr>
        <w:spacing w:before="85"/>
        <w:ind w:left="1439" w:right="1465"/>
      </w:pPr>
      <w:r>
        <w:t>You have asked the client key questions such as “What’</w:t>
      </w:r>
      <w:r>
        <w:t>s next?” and have presented options to emphasize the client’s choice to change and to select areas of focus. Remind the client that he or she</w:t>
      </w:r>
      <w:r>
        <w:rPr>
          <w:spacing w:val="40"/>
        </w:rPr>
        <w:t xml:space="preserve"> </w:t>
      </w:r>
      <w:r>
        <w:t xml:space="preserve">has choices and can control the change process to reinforce commitment. </w:t>
      </w:r>
      <w:r>
        <w:rPr>
          <w:b/>
        </w:rPr>
        <w:t xml:space="preserve">Reassure the client who is overwhelmed by </w:t>
      </w:r>
      <w:r>
        <w:rPr>
          <w:b/>
        </w:rPr>
        <w:t xml:space="preserve">thinking of change that he or she can set the pace and begin with small steps. </w:t>
      </w:r>
      <w:r>
        <w:t>Some clients</w:t>
      </w:r>
      <w:r>
        <w:rPr>
          <w:spacing w:val="-2"/>
        </w:rPr>
        <w:t xml:space="preserve"> </w:t>
      </w:r>
      <w:r>
        <w:t>respond</w:t>
      </w:r>
      <w:r>
        <w:rPr>
          <w:spacing w:val="-5"/>
        </w:rPr>
        <w:t xml:space="preserve"> </w:t>
      </w:r>
      <w:r>
        <w:t>well</w:t>
      </w:r>
      <w:r>
        <w:rPr>
          <w:spacing w:val="-2"/>
        </w:rPr>
        <w:t xml:space="preserve"> </w:t>
      </w:r>
      <w:r>
        <w:t>to</w:t>
      </w:r>
      <w:r>
        <w:rPr>
          <w:spacing w:val="-3"/>
        </w:rPr>
        <w:t xml:space="preserve"> </w:t>
      </w:r>
      <w:r>
        <w:t>stories</w:t>
      </w:r>
      <w:r>
        <w:rPr>
          <w:spacing w:val="-1"/>
        </w:rPr>
        <w:t xml:space="preserve"> </w:t>
      </w:r>
      <w:r>
        <w:t>of</w:t>
      </w:r>
      <w:r>
        <w:rPr>
          <w:spacing w:val="-5"/>
        </w:rPr>
        <w:t xml:space="preserve"> </w:t>
      </w:r>
      <w:r>
        <w:t>others</w:t>
      </w:r>
      <w:r>
        <w:rPr>
          <w:spacing w:val="-4"/>
        </w:rPr>
        <w:t xml:space="preserve"> </w:t>
      </w:r>
      <w:r>
        <w:t>who</w:t>
      </w:r>
      <w:r>
        <w:rPr>
          <w:spacing w:val="-3"/>
        </w:rPr>
        <w:t xml:space="preserve"> </w:t>
      </w:r>
      <w:r>
        <w:t>made</w:t>
      </w:r>
      <w:r>
        <w:rPr>
          <w:spacing w:val="-1"/>
        </w:rPr>
        <w:t xml:space="preserve"> </w:t>
      </w:r>
      <w:r>
        <w:t>large,</w:t>
      </w:r>
      <w:r>
        <w:rPr>
          <w:spacing w:val="-2"/>
        </w:rPr>
        <w:t xml:space="preserve"> </w:t>
      </w:r>
      <w:r>
        <w:t>seemingly</w:t>
      </w:r>
      <w:r>
        <w:rPr>
          <w:spacing w:val="-3"/>
        </w:rPr>
        <w:t xml:space="preserve"> </w:t>
      </w:r>
      <w:r>
        <w:t>impossible</w:t>
      </w:r>
      <w:r>
        <w:rPr>
          <w:spacing w:val="-4"/>
        </w:rPr>
        <w:t xml:space="preserve"> </w:t>
      </w:r>
      <w:r>
        <w:t>life</w:t>
      </w:r>
      <w:r>
        <w:rPr>
          <w:spacing w:val="-1"/>
        </w:rPr>
        <w:t xml:space="preserve"> </w:t>
      </w:r>
      <w:r>
        <w:t>changes</w:t>
      </w:r>
      <w:r>
        <w:rPr>
          <w:spacing w:val="-4"/>
        </w:rPr>
        <w:t xml:space="preserve"> </w:t>
      </w:r>
      <w:r>
        <w:t>one</w:t>
      </w:r>
      <w:r>
        <w:rPr>
          <w:spacing w:val="-4"/>
        </w:rPr>
        <w:t xml:space="preserve"> </w:t>
      </w:r>
      <w:r>
        <w:t>step</w:t>
      </w:r>
      <w:r>
        <w:rPr>
          <w:spacing w:val="-3"/>
        </w:rPr>
        <w:t xml:space="preserve"> </w:t>
      </w:r>
      <w:r>
        <w:t>at</w:t>
      </w:r>
      <w:r>
        <w:rPr>
          <w:spacing w:val="-2"/>
        </w:rPr>
        <w:t xml:space="preserve"> </w:t>
      </w:r>
      <w:r>
        <w:t>a</w:t>
      </w:r>
    </w:p>
    <w:p w14:paraId="55B8D64A" w14:textId="77777777" w:rsidR="00DB6E1F" w:rsidRDefault="00DB6E1F">
      <w:pPr>
        <w:sectPr w:rsidR="00DB6E1F">
          <w:pgSz w:w="12240" w:h="15840"/>
          <w:pgMar w:top="1200" w:right="0" w:bottom="780" w:left="0" w:header="763" w:footer="585" w:gutter="0"/>
          <w:cols w:space="720"/>
        </w:sectPr>
      </w:pPr>
    </w:p>
    <w:p w14:paraId="2F01CA86" w14:textId="77777777" w:rsidR="00DB6E1F" w:rsidRDefault="00DB6E1F">
      <w:pPr>
        <w:pStyle w:val="BodyText"/>
        <w:spacing w:before="8"/>
        <w:rPr>
          <w:sz w:val="14"/>
        </w:rPr>
      </w:pPr>
    </w:p>
    <w:p w14:paraId="72C330E5" w14:textId="77777777" w:rsidR="00DB6E1F" w:rsidRDefault="00F666A6">
      <w:pPr>
        <w:pStyle w:val="BodyText"/>
        <w:spacing w:before="56"/>
        <w:ind w:left="1440"/>
      </w:pPr>
      <w:r>
        <w:t>time.</w:t>
      </w:r>
      <w:r>
        <w:rPr>
          <w:spacing w:val="-9"/>
        </w:rPr>
        <w:t xml:space="preserve"> </w:t>
      </w:r>
      <w:r>
        <w:t>Don’t</w:t>
      </w:r>
      <w:r>
        <w:rPr>
          <w:spacing w:val="-2"/>
        </w:rPr>
        <w:t xml:space="preserve"> </w:t>
      </w:r>
      <w:r>
        <w:t>underestimate</w:t>
      </w:r>
      <w:r>
        <w:rPr>
          <w:spacing w:val="-5"/>
        </w:rPr>
        <w:t xml:space="preserve"> </w:t>
      </w:r>
      <w:r>
        <w:t>the</w:t>
      </w:r>
      <w:r>
        <w:rPr>
          <w:spacing w:val="-3"/>
        </w:rPr>
        <w:t xml:space="preserve"> </w:t>
      </w:r>
      <w:r>
        <w:t>value</w:t>
      </w:r>
      <w:r>
        <w:rPr>
          <w:spacing w:val="-4"/>
        </w:rPr>
        <w:t xml:space="preserve"> </w:t>
      </w:r>
      <w:r>
        <w:t>of</w:t>
      </w:r>
      <w:r>
        <w:rPr>
          <w:spacing w:val="-4"/>
        </w:rPr>
        <w:t xml:space="preserve"> </w:t>
      </w:r>
      <w:r>
        <w:t>such</w:t>
      </w:r>
      <w:r>
        <w:rPr>
          <w:spacing w:val="-4"/>
        </w:rPr>
        <w:t xml:space="preserve"> </w:t>
      </w:r>
      <w:r>
        <w:t>stories</w:t>
      </w:r>
      <w:r>
        <w:rPr>
          <w:spacing w:val="-3"/>
        </w:rPr>
        <w:t xml:space="preserve"> </w:t>
      </w:r>
      <w:r>
        <w:t>and</w:t>
      </w:r>
      <w:r>
        <w:rPr>
          <w:spacing w:val="-5"/>
        </w:rPr>
        <w:t xml:space="preserve"> </w:t>
      </w:r>
      <w:r>
        <w:t>models</w:t>
      </w:r>
      <w:r>
        <w:rPr>
          <w:spacing w:val="-3"/>
        </w:rPr>
        <w:t xml:space="preserve"> </w:t>
      </w:r>
      <w:r>
        <w:t>in</w:t>
      </w:r>
      <w:r>
        <w:rPr>
          <w:spacing w:val="-5"/>
        </w:rPr>
        <w:t xml:space="preserve"> </w:t>
      </w:r>
      <w:r>
        <w:t>enhancing</w:t>
      </w:r>
      <w:r>
        <w:rPr>
          <w:spacing w:val="-4"/>
        </w:rPr>
        <w:t xml:space="preserve"> </w:t>
      </w:r>
      <w:r>
        <w:rPr>
          <w:spacing w:val="-2"/>
        </w:rPr>
        <w:t>motivation.</w:t>
      </w:r>
    </w:p>
    <w:p w14:paraId="4537C690" w14:textId="77777777" w:rsidR="00DB6E1F" w:rsidRDefault="00DB6E1F">
      <w:pPr>
        <w:pStyle w:val="BodyText"/>
        <w:spacing w:before="7"/>
        <w:rPr>
          <w:sz w:val="16"/>
        </w:rPr>
      </w:pPr>
    </w:p>
    <w:p w14:paraId="07C96872" w14:textId="77777777" w:rsidR="00DB6E1F" w:rsidRDefault="00F666A6">
      <w:pPr>
        <w:pStyle w:val="Heading4"/>
      </w:pPr>
      <w:bookmarkStart w:id="163" w:name="Going_public"/>
      <w:bookmarkEnd w:id="163"/>
      <w:r>
        <w:t>Going</w:t>
      </w:r>
      <w:r>
        <w:rPr>
          <w:spacing w:val="-8"/>
        </w:rPr>
        <w:t xml:space="preserve"> </w:t>
      </w:r>
      <w:r>
        <w:rPr>
          <w:spacing w:val="-2"/>
        </w:rPr>
        <w:t>public</w:t>
      </w:r>
    </w:p>
    <w:p w14:paraId="54B880A1" w14:textId="77777777" w:rsidR="00DB6E1F" w:rsidRDefault="00F666A6">
      <w:pPr>
        <w:pStyle w:val="BodyText"/>
        <w:spacing w:before="83"/>
        <w:ind w:left="1439" w:right="1555"/>
      </w:pPr>
      <w:r>
        <w:rPr>
          <w:b/>
        </w:rPr>
        <w:t xml:space="preserve">Sharing a commitment to change with at least one other person besides the counselor can keep clients accountable. </w:t>
      </w:r>
      <w:r>
        <w:t>Telling a significant other about one’s desire to change usually enhances commitment</w:t>
      </w:r>
      <w:r>
        <w:rPr>
          <w:spacing w:val="-4"/>
        </w:rPr>
        <w:t xml:space="preserve"> </w:t>
      </w:r>
      <w:r>
        <w:t>to</w:t>
      </w:r>
      <w:r>
        <w:rPr>
          <w:spacing w:val="-3"/>
        </w:rPr>
        <w:t xml:space="preserve"> </w:t>
      </w:r>
      <w:r>
        <w:t>change.</w:t>
      </w:r>
      <w:r>
        <w:rPr>
          <w:spacing w:val="-2"/>
        </w:rPr>
        <w:t xml:space="preserve"> </w:t>
      </w:r>
      <w:r>
        <w:t>“Going</w:t>
      </w:r>
      <w:r>
        <w:rPr>
          <w:spacing w:val="-3"/>
        </w:rPr>
        <w:t xml:space="preserve"> </w:t>
      </w:r>
      <w:r>
        <w:t>public”</w:t>
      </w:r>
      <w:r>
        <w:rPr>
          <w:spacing w:val="-1"/>
        </w:rPr>
        <w:t xml:space="preserve"> </w:t>
      </w:r>
      <w:r>
        <w:t>can</w:t>
      </w:r>
      <w:r>
        <w:rPr>
          <w:spacing w:val="-5"/>
        </w:rPr>
        <w:t xml:space="preserve"> </w:t>
      </w:r>
      <w:r>
        <w:t>be</w:t>
      </w:r>
      <w:r>
        <w:rPr>
          <w:spacing w:val="-1"/>
        </w:rPr>
        <w:t xml:space="preserve"> </w:t>
      </w:r>
      <w:r>
        <w:t>a</w:t>
      </w:r>
      <w:r>
        <w:rPr>
          <w:spacing w:val="-5"/>
        </w:rPr>
        <w:t xml:space="preserve"> </w:t>
      </w:r>
      <w:r>
        <w:t>critical</w:t>
      </w:r>
      <w:r>
        <w:rPr>
          <w:spacing w:val="-2"/>
        </w:rPr>
        <w:t xml:space="preserve"> </w:t>
      </w:r>
      <w:r>
        <w:t>step</w:t>
      </w:r>
      <w:r>
        <w:rPr>
          <w:spacing w:val="-3"/>
        </w:rPr>
        <w:t xml:space="preserve"> </w:t>
      </w:r>
      <w:r>
        <w:t>for</w:t>
      </w:r>
      <w:r>
        <w:rPr>
          <w:spacing w:val="-1"/>
        </w:rPr>
        <w:t xml:space="preserve"> </w:t>
      </w:r>
      <w:r>
        <w:t>a</w:t>
      </w:r>
      <w:r>
        <w:rPr>
          <w:spacing w:val="-5"/>
        </w:rPr>
        <w:t xml:space="preserve"> </w:t>
      </w:r>
      <w:r>
        <w:t>client</w:t>
      </w:r>
      <w:r>
        <w:rPr>
          <w:spacing w:val="-4"/>
        </w:rPr>
        <w:t xml:space="preserve"> </w:t>
      </w:r>
      <w:r>
        <w:t>who</w:t>
      </w:r>
      <w:r>
        <w:rPr>
          <w:spacing w:val="-3"/>
        </w:rPr>
        <w:t xml:space="preserve"> </w:t>
      </w:r>
      <w:r>
        <w:t>may</w:t>
      </w:r>
      <w:r>
        <w:rPr>
          <w:spacing w:val="-3"/>
        </w:rPr>
        <w:t xml:space="preserve"> </w:t>
      </w:r>
      <w:r>
        <w:t>not</w:t>
      </w:r>
      <w:r>
        <w:rPr>
          <w:spacing w:val="-1"/>
        </w:rPr>
        <w:t xml:space="preserve"> </w:t>
      </w:r>
      <w:r>
        <w:t>have</w:t>
      </w:r>
      <w:r>
        <w:rPr>
          <w:spacing w:val="-1"/>
        </w:rPr>
        <w:t xml:space="preserve"> </w:t>
      </w:r>
      <w:r>
        <w:t>been</w:t>
      </w:r>
      <w:r>
        <w:rPr>
          <w:spacing w:val="-3"/>
        </w:rPr>
        <w:t xml:space="preserve"> </w:t>
      </w:r>
      <w:r>
        <w:t>ready to tell others until this point. Alcoholics Anonymous (AA) has applied the clinical wisdom of public commitment to change through use of the “white chip.” An attendee at an AA meeting who has an intention to quit drinking can pick up a white chip. Th</w:t>
      </w:r>
      <w:r>
        <w:t>e white chip is also called a Beginner’s Chip or Surrender Chip and is a public acknowledgment of the person’s intention to start recovery.</w:t>
      </w:r>
    </w:p>
    <w:p w14:paraId="452B8890" w14:textId="77777777" w:rsidR="00DB6E1F" w:rsidRDefault="00DB6E1F">
      <w:pPr>
        <w:pStyle w:val="BodyText"/>
        <w:spacing w:before="6"/>
        <w:rPr>
          <w:sz w:val="16"/>
        </w:rPr>
      </w:pPr>
    </w:p>
    <w:p w14:paraId="3222E19E" w14:textId="77777777" w:rsidR="00DB6E1F" w:rsidRDefault="00F666A6">
      <w:pPr>
        <w:pStyle w:val="Heading4"/>
      </w:pPr>
      <w:bookmarkStart w:id="164" w:name="Envisioning"/>
      <w:bookmarkEnd w:id="164"/>
      <w:r>
        <w:rPr>
          <w:spacing w:val="-2"/>
        </w:rPr>
        <w:t>Envisioning</w:t>
      </w:r>
    </w:p>
    <w:p w14:paraId="7F36340D" w14:textId="77777777" w:rsidR="00DB6E1F" w:rsidRDefault="00F666A6">
      <w:pPr>
        <w:pStyle w:val="BodyText"/>
        <w:spacing w:before="83"/>
        <w:ind w:left="1439" w:right="1444"/>
      </w:pPr>
      <w:r>
        <w:rPr>
          <w:b/>
        </w:rPr>
        <w:t>Helping clients visualize their life after change can be a powerful motivator and an effective means of</w:t>
      </w:r>
      <w:r>
        <w:rPr>
          <w:b/>
        </w:rPr>
        <w:t xml:space="preserve"> strengthening their</w:t>
      </w:r>
      <w:r>
        <w:rPr>
          <w:b/>
          <w:spacing w:val="-2"/>
        </w:rPr>
        <w:t xml:space="preserve"> </w:t>
      </w:r>
      <w:r>
        <w:rPr>
          <w:b/>
        </w:rPr>
        <w:t xml:space="preserve">commitment. </w:t>
      </w:r>
      <w:r>
        <w:t>In</w:t>
      </w:r>
      <w:r>
        <w:rPr>
          <w:spacing w:val="-1"/>
        </w:rPr>
        <w:t xml:space="preserve"> </w:t>
      </w:r>
      <w:r>
        <w:t>addition, stories</w:t>
      </w:r>
      <w:r>
        <w:rPr>
          <w:spacing w:val="-2"/>
        </w:rPr>
        <w:t xml:space="preserve"> </w:t>
      </w:r>
      <w:r>
        <w:t>about how</w:t>
      </w:r>
      <w:r>
        <w:rPr>
          <w:spacing w:val="-2"/>
        </w:rPr>
        <w:t xml:space="preserve"> </w:t>
      </w:r>
      <w:r>
        <w:t>others have successfully</w:t>
      </w:r>
      <w:r>
        <w:rPr>
          <w:spacing w:val="-1"/>
        </w:rPr>
        <w:t xml:space="preserve"> </w:t>
      </w:r>
      <w:r>
        <w:t>achieved their goals can be excellent motivators. An exercise for envisioning change is to ask clients to picture themselves after a year has passed, during which time</w:t>
      </w:r>
      <w:r>
        <w:t xml:space="preserve"> they have made the changes they desire in the areas</w:t>
      </w:r>
      <w:r>
        <w:rPr>
          <w:spacing w:val="-4"/>
        </w:rPr>
        <w:t xml:space="preserve"> </w:t>
      </w:r>
      <w:r>
        <w:t>of</w:t>
      </w:r>
      <w:r>
        <w:rPr>
          <w:spacing w:val="-2"/>
        </w:rPr>
        <w:t xml:space="preserve"> </w:t>
      </w:r>
      <w:r>
        <w:t>their</w:t>
      </w:r>
      <w:r>
        <w:rPr>
          <w:spacing w:val="-5"/>
        </w:rPr>
        <w:t xml:space="preserve"> </w:t>
      </w:r>
      <w:r>
        <w:t>lives</w:t>
      </w:r>
      <w:r>
        <w:rPr>
          <w:spacing w:val="-4"/>
        </w:rPr>
        <w:t xml:space="preserve"> </w:t>
      </w:r>
      <w:r>
        <w:t>most</w:t>
      </w:r>
      <w:r>
        <w:rPr>
          <w:spacing w:val="-1"/>
        </w:rPr>
        <w:t xml:space="preserve"> </w:t>
      </w:r>
      <w:r>
        <w:t>hurt</w:t>
      </w:r>
      <w:r>
        <w:rPr>
          <w:spacing w:val="-1"/>
        </w:rPr>
        <w:t xml:space="preserve"> </w:t>
      </w:r>
      <w:r>
        <w:t>by</w:t>
      </w:r>
      <w:r>
        <w:rPr>
          <w:spacing w:val="-3"/>
        </w:rPr>
        <w:t xml:space="preserve"> </w:t>
      </w:r>
      <w:r>
        <w:t>their</w:t>
      </w:r>
      <w:r>
        <w:rPr>
          <w:spacing w:val="-2"/>
        </w:rPr>
        <w:t xml:space="preserve"> </w:t>
      </w:r>
      <w:r>
        <w:t>substance</w:t>
      </w:r>
      <w:r>
        <w:rPr>
          <w:spacing w:val="-1"/>
        </w:rPr>
        <w:t xml:space="preserve"> </w:t>
      </w:r>
      <w:r>
        <w:t>use.</w:t>
      </w:r>
      <w:r>
        <w:rPr>
          <w:spacing w:val="-5"/>
        </w:rPr>
        <w:t xml:space="preserve"> </w:t>
      </w:r>
      <w:r>
        <w:t>Some</w:t>
      </w:r>
      <w:r>
        <w:rPr>
          <w:spacing w:val="-1"/>
        </w:rPr>
        <w:t xml:space="preserve"> </w:t>
      </w:r>
      <w:r>
        <w:t>clients</w:t>
      </w:r>
      <w:r>
        <w:rPr>
          <w:spacing w:val="-4"/>
        </w:rPr>
        <w:t xml:space="preserve"> </w:t>
      </w:r>
      <w:r>
        <w:t>may</w:t>
      </w:r>
      <w:r>
        <w:rPr>
          <w:spacing w:val="-1"/>
        </w:rPr>
        <w:t xml:space="preserve"> </w:t>
      </w:r>
      <w:r>
        <w:t>find</w:t>
      </w:r>
      <w:r>
        <w:rPr>
          <w:spacing w:val="-3"/>
        </w:rPr>
        <w:t xml:space="preserve"> </w:t>
      </w:r>
      <w:r>
        <w:t>it</w:t>
      </w:r>
      <w:r>
        <w:rPr>
          <w:spacing w:val="-4"/>
        </w:rPr>
        <w:t xml:space="preserve"> </w:t>
      </w:r>
      <w:r>
        <w:t>valuable</w:t>
      </w:r>
      <w:r>
        <w:rPr>
          <w:spacing w:val="-1"/>
        </w:rPr>
        <w:t xml:space="preserve"> </w:t>
      </w:r>
      <w:r>
        <w:t>to</w:t>
      </w:r>
      <w:r>
        <w:rPr>
          <w:spacing w:val="-3"/>
        </w:rPr>
        <w:t xml:space="preserve"> </w:t>
      </w:r>
      <w:r>
        <w:t>write</w:t>
      </w:r>
      <w:r>
        <w:rPr>
          <w:spacing w:val="-1"/>
        </w:rPr>
        <w:t xml:space="preserve"> </w:t>
      </w:r>
      <w:r>
        <w:t>a</w:t>
      </w:r>
      <w:r>
        <w:rPr>
          <w:spacing w:val="-5"/>
        </w:rPr>
        <w:t xml:space="preserve"> </w:t>
      </w:r>
      <w:r>
        <w:t>letter</w:t>
      </w:r>
      <w:r>
        <w:rPr>
          <w:spacing w:val="-2"/>
        </w:rPr>
        <w:t xml:space="preserve"> </w:t>
      </w:r>
      <w:r>
        <w:t>to themselves that is dated in the future and describes what life will be like at that point. The lett</w:t>
      </w:r>
      <w:r>
        <w:t xml:space="preserve">er can have the tone of a vacation postcard (“Wishing you were here!”). Others will be more comfortable describing these scenes to you. Chapter 3 provides more information MI strategies to strengthen </w:t>
      </w:r>
      <w:r>
        <w:rPr>
          <w:spacing w:val="-2"/>
        </w:rPr>
        <w:t>commitment.</w:t>
      </w:r>
    </w:p>
    <w:p w14:paraId="5D77C5C4" w14:textId="77777777" w:rsidR="00DB6E1F" w:rsidRDefault="00F666A6">
      <w:pPr>
        <w:pStyle w:val="Heading2"/>
        <w:spacing w:before="164"/>
      </w:pPr>
      <w:bookmarkStart w:id="165" w:name="_bookmark33"/>
      <w:bookmarkEnd w:id="165"/>
      <w:r>
        <w:rPr>
          <w:spacing w:val="-2"/>
        </w:rPr>
        <w:t>Conclusion</w:t>
      </w:r>
    </w:p>
    <w:p w14:paraId="56EAD189" w14:textId="77777777" w:rsidR="00DB6E1F" w:rsidRDefault="00F666A6">
      <w:pPr>
        <w:pStyle w:val="BodyText"/>
        <w:spacing w:before="152"/>
        <w:ind w:left="1439" w:right="1491"/>
      </w:pPr>
      <w:r>
        <w:t>To help clients move from Contemp</w:t>
      </w:r>
      <w:r>
        <w:t>lation to Preparation, explore and resolve ambivalence about change. Help clients climb the MI Hill of Ambivalence and journey down the other side toward commitment</w:t>
      </w:r>
      <w:r>
        <w:rPr>
          <w:spacing w:val="-1"/>
        </w:rPr>
        <w:t xml:space="preserve"> </w:t>
      </w:r>
      <w:r>
        <w:t>and</w:t>
      </w:r>
      <w:r>
        <w:rPr>
          <w:spacing w:val="-5"/>
        </w:rPr>
        <w:t xml:space="preserve"> </w:t>
      </w:r>
      <w:r>
        <w:t>change.</w:t>
      </w:r>
      <w:r>
        <w:rPr>
          <w:spacing w:val="-5"/>
        </w:rPr>
        <w:t xml:space="preserve"> </w:t>
      </w:r>
      <w:r>
        <w:t>DB</w:t>
      </w:r>
      <w:r>
        <w:rPr>
          <w:spacing w:val="-2"/>
        </w:rPr>
        <w:t xml:space="preserve"> </w:t>
      </w:r>
      <w:r>
        <w:t>exercises</w:t>
      </w:r>
      <w:r>
        <w:rPr>
          <w:spacing w:val="-4"/>
        </w:rPr>
        <w:t xml:space="preserve"> </w:t>
      </w:r>
      <w:r>
        <w:t>can</w:t>
      </w:r>
      <w:r>
        <w:rPr>
          <w:spacing w:val="-2"/>
        </w:rPr>
        <w:t xml:space="preserve"> </w:t>
      </w:r>
      <w:r>
        <w:t>help</w:t>
      </w:r>
      <w:r>
        <w:rPr>
          <w:spacing w:val="-3"/>
        </w:rPr>
        <w:t xml:space="preserve"> </w:t>
      </w:r>
      <w:r>
        <w:t>clients</w:t>
      </w:r>
      <w:r>
        <w:rPr>
          <w:spacing w:val="-2"/>
        </w:rPr>
        <w:t xml:space="preserve"> </w:t>
      </w:r>
      <w:r>
        <w:t>explore</w:t>
      </w:r>
      <w:r>
        <w:rPr>
          <w:spacing w:val="-3"/>
        </w:rPr>
        <w:t xml:space="preserve"> </w:t>
      </w:r>
      <w:r>
        <w:t>ambivalence,</w:t>
      </w:r>
      <w:r>
        <w:rPr>
          <w:spacing w:val="-2"/>
        </w:rPr>
        <w:t xml:space="preserve"> </w:t>
      </w:r>
      <w:r>
        <w:t>clarify</w:t>
      </w:r>
      <w:r>
        <w:rPr>
          <w:spacing w:val="-1"/>
        </w:rPr>
        <w:t xml:space="preserve"> </w:t>
      </w:r>
      <w:r>
        <w:t>reasons</w:t>
      </w:r>
      <w:r>
        <w:rPr>
          <w:spacing w:val="-4"/>
        </w:rPr>
        <w:t xml:space="preserve"> </w:t>
      </w:r>
      <w:r>
        <w:t>to</w:t>
      </w:r>
      <w:r>
        <w:rPr>
          <w:spacing w:val="-3"/>
        </w:rPr>
        <w:t xml:space="preserve"> </w:t>
      </w:r>
      <w:r>
        <w:t xml:space="preserve">change, and identify barriers to change (e.g., reasons to continue substance use). When tipping the balance in favor of change, emphasize reflections of change talk, minimize the focus on sustain talk, and use motivational strategies to enhance commitment </w:t>
      </w:r>
      <w:r>
        <w:t>and facilitate clients’ movement into Preparation.</w:t>
      </w:r>
    </w:p>
    <w:p w14:paraId="09754CBD" w14:textId="77777777" w:rsidR="00DB6E1F" w:rsidRDefault="00DB6E1F">
      <w:pPr>
        <w:sectPr w:rsidR="00DB6E1F">
          <w:pgSz w:w="12240" w:h="15840"/>
          <w:pgMar w:top="1200" w:right="0" w:bottom="780" w:left="0" w:header="763" w:footer="585" w:gutter="0"/>
          <w:cols w:space="720"/>
        </w:sectPr>
      </w:pPr>
    </w:p>
    <w:p w14:paraId="740DAB93" w14:textId="77777777" w:rsidR="00DB6E1F" w:rsidRDefault="00DB6E1F">
      <w:pPr>
        <w:pStyle w:val="BodyText"/>
        <w:spacing w:before="12"/>
        <w:rPr>
          <w:sz w:val="18"/>
        </w:rPr>
      </w:pPr>
    </w:p>
    <w:p w14:paraId="4B7C1A17" w14:textId="77777777" w:rsidR="00DB6E1F" w:rsidRDefault="00F666A6">
      <w:pPr>
        <w:pStyle w:val="Heading1"/>
      </w:pPr>
      <w:bookmarkStart w:id="166" w:name="Chapter_6—From_Preparation_to_Action:_In"/>
      <w:bookmarkStart w:id="167" w:name="_bookmark34"/>
      <w:bookmarkEnd w:id="166"/>
      <w:bookmarkEnd w:id="167"/>
      <w:r>
        <w:t>Chapter</w:t>
      </w:r>
      <w:r>
        <w:rPr>
          <w:spacing w:val="-6"/>
        </w:rPr>
        <w:t xml:space="preserve"> </w:t>
      </w:r>
      <w:r>
        <w:t>6—From</w:t>
      </w:r>
      <w:r>
        <w:rPr>
          <w:spacing w:val="-3"/>
        </w:rPr>
        <w:t xml:space="preserve"> </w:t>
      </w:r>
      <w:r>
        <w:t>Preparation</w:t>
      </w:r>
      <w:r>
        <w:rPr>
          <w:spacing w:val="-4"/>
        </w:rPr>
        <w:t xml:space="preserve"> </w:t>
      </w:r>
      <w:r>
        <w:t>to</w:t>
      </w:r>
      <w:r>
        <w:rPr>
          <w:spacing w:val="-2"/>
        </w:rPr>
        <w:t xml:space="preserve"> Action:</w:t>
      </w:r>
    </w:p>
    <w:p w14:paraId="7301CF93" w14:textId="77777777" w:rsidR="00DB6E1F" w:rsidRDefault="00F666A6">
      <w:pPr>
        <w:spacing w:before="45"/>
        <w:ind w:left="1444" w:right="1444"/>
        <w:jc w:val="center"/>
        <w:rPr>
          <w:b/>
          <w:sz w:val="48"/>
        </w:rPr>
      </w:pPr>
      <w:r>
        <w:rPr>
          <w:b/>
          <w:sz w:val="48"/>
        </w:rPr>
        <w:t>Initiating</w:t>
      </w:r>
      <w:r>
        <w:rPr>
          <w:b/>
          <w:spacing w:val="-5"/>
          <w:sz w:val="48"/>
        </w:rPr>
        <w:t xml:space="preserve"> </w:t>
      </w:r>
      <w:r>
        <w:rPr>
          <w:b/>
          <w:spacing w:val="-2"/>
          <w:sz w:val="48"/>
        </w:rPr>
        <w:t>Change</w:t>
      </w:r>
    </w:p>
    <w:p w14:paraId="278537D6" w14:textId="77777777" w:rsidR="00DB6E1F" w:rsidRDefault="00DB6E1F">
      <w:pPr>
        <w:pStyle w:val="BodyText"/>
        <w:spacing w:before="5"/>
        <w:rPr>
          <w:b/>
          <w:sz w:val="43"/>
        </w:rPr>
      </w:pPr>
    </w:p>
    <w:p w14:paraId="3CBBC2EA" w14:textId="77777777" w:rsidR="00DB6E1F" w:rsidRDefault="00F666A6">
      <w:pPr>
        <w:ind w:left="1440" w:right="1873"/>
        <w:jc w:val="both"/>
        <w:rPr>
          <w:sz w:val="20"/>
        </w:rPr>
      </w:pPr>
      <w:r>
        <w:rPr>
          <w:sz w:val="20"/>
        </w:rPr>
        <w:t>”The</w:t>
      </w:r>
      <w:r>
        <w:rPr>
          <w:spacing w:val="-2"/>
          <w:sz w:val="20"/>
        </w:rPr>
        <w:t xml:space="preserve"> </w:t>
      </w:r>
      <w:r>
        <w:rPr>
          <w:sz w:val="20"/>
        </w:rPr>
        <w:t>Preparation stage</w:t>
      </w:r>
      <w:r>
        <w:rPr>
          <w:spacing w:val="-2"/>
          <w:sz w:val="20"/>
        </w:rPr>
        <w:t xml:space="preserve"> </w:t>
      </w:r>
      <w:r>
        <w:rPr>
          <w:sz w:val="20"/>
        </w:rPr>
        <w:t>of</w:t>
      </w:r>
      <w:r>
        <w:rPr>
          <w:spacing w:val="-2"/>
          <w:sz w:val="20"/>
        </w:rPr>
        <w:t xml:space="preserve"> </w:t>
      </w:r>
      <w:r>
        <w:rPr>
          <w:sz w:val="20"/>
        </w:rPr>
        <w:t>change</w:t>
      </w:r>
      <w:r>
        <w:rPr>
          <w:spacing w:val="-2"/>
          <w:sz w:val="20"/>
        </w:rPr>
        <w:t xml:space="preserve"> </w:t>
      </w:r>
      <w:r>
        <w:rPr>
          <w:sz w:val="20"/>
        </w:rPr>
        <w:t>entails</w:t>
      </w:r>
      <w:r>
        <w:rPr>
          <w:spacing w:val="-2"/>
          <w:sz w:val="20"/>
        </w:rPr>
        <w:t xml:space="preserve"> </w:t>
      </w:r>
      <w:r>
        <w:rPr>
          <w:sz w:val="20"/>
        </w:rPr>
        <w:t>developing</w:t>
      </w:r>
      <w:r>
        <w:rPr>
          <w:spacing w:val="-1"/>
          <w:sz w:val="20"/>
        </w:rPr>
        <w:t xml:space="preserve"> </w:t>
      </w:r>
      <w:r>
        <w:rPr>
          <w:sz w:val="20"/>
        </w:rPr>
        <w:t>a plan of</w:t>
      </w:r>
      <w:r>
        <w:rPr>
          <w:spacing w:val="-2"/>
          <w:sz w:val="20"/>
        </w:rPr>
        <w:t xml:space="preserve"> </w:t>
      </w:r>
      <w:r>
        <w:rPr>
          <w:sz w:val="20"/>
        </w:rPr>
        <w:t>action and creating</w:t>
      </w:r>
      <w:r>
        <w:rPr>
          <w:spacing w:val="-1"/>
          <w:sz w:val="20"/>
        </w:rPr>
        <w:t xml:space="preserve"> </w:t>
      </w:r>
      <w:r>
        <w:rPr>
          <w:sz w:val="20"/>
        </w:rPr>
        <w:t>the</w:t>
      </w:r>
      <w:r>
        <w:rPr>
          <w:spacing w:val="-2"/>
          <w:sz w:val="20"/>
        </w:rPr>
        <w:t xml:space="preserve"> </w:t>
      </w:r>
      <w:r>
        <w:rPr>
          <w:sz w:val="20"/>
        </w:rPr>
        <w:t>commitment</w:t>
      </w:r>
      <w:r>
        <w:rPr>
          <w:spacing w:val="-1"/>
          <w:sz w:val="20"/>
        </w:rPr>
        <w:t xml:space="preserve"> </w:t>
      </w:r>
      <w:r>
        <w:rPr>
          <w:sz w:val="20"/>
        </w:rPr>
        <w:t>needed to implement</w:t>
      </w:r>
      <w:r>
        <w:rPr>
          <w:spacing w:val="-3"/>
          <w:sz w:val="20"/>
        </w:rPr>
        <w:t xml:space="preserve"> </w:t>
      </w:r>
      <w:r>
        <w:rPr>
          <w:sz w:val="20"/>
        </w:rPr>
        <w:t>that</w:t>
      </w:r>
      <w:r>
        <w:rPr>
          <w:spacing w:val="-3"/>
          <w:sz w:val="20"/>
        </w:rPr>
        <w:t xml:space="preserve"> </w:t>
      </w:r>
      <w:r>
        <w:rPr>
          <w:sz w:val="20"/>
        </w:rPr>
        <w:t>plan.</w:t>
      </w:r>
      <w:r>
        <w:rPr>
          <w:spacing w:val="-3"/>
          <w:sz w:val="20"/>
        </w:rPr>
        <w:t xml:space="preserve"> </w:t>
      </w:r>
      <w:r>
        <w:rPr>
          <w:sz w:val="20"/>
        </w:rPr>
        <w:t>Decisions</w:t>
      </w:r>
      <w:r>
        <w:rPr>
          <w:spacing w:val="-4"/>
          <w:sz w:val="20"/>
        </w:rPr>
        <w:t xml:space="preserve"> </w:t>
      </w:r>
      <w:r>
        <w:rPr>
          <w:sz w:val="20"/>
        </w:rPr>
        <w:t>do</w:t>
      </w:r>
      <w:r>
        <w:rPr>
          <w:spacing w:val="-3"/>
          <w:sz w:val="20"/>
        </w:rPr>
        <w:t xml:space="preserve"> </w:t>
      </w:r>
      <w:r>
        <w:rPr>
          <w:sz w:val="20"/>
        </w:rPr>
        <w:t>not</w:t>
      </w:r>
      <w:r>
        <w:rPr>
          <w:spacing w:val="-3"/>
          <w:sz w:val="20"/>
        </w:rPr>
        <w:t xml:space="preserve"> </w:t>
      </w:r>
      <w:r>
        <w:rPr>
          <w:sz w:val="20"/>
        </w:rPr>
        <w:t>translate</w:t>
      </w:r>
      <w:r>
        <w:rPr>
          <w:spacing w:val="-4"/>
          <w:sz w:val="20"/>
        </w:rPr>
        <w:t xml:space="preserve"> </w:t>
      </w:r>
      <w:r>
        <w:rPr>
          <w:sz w:val="20"/>
        </w:rPr>
        <w:t>automatically</w:t>
      </w:r>
      <w:r>
        <w:rPr>
          <w:spacing w:val="-2"/>
          <w:sz w:val="20"/>
        </w:rPr>
        <w:t xml:space="preserve"> </w:t>
      </w:r>
      <w:r>
        <w:rPr>
          <w:sz w:val="20"/>
        </w:rPr>
        <w:t>into</w:t>
      </w:r>
      <w:r>
        <w:rPr>
          <w:spacing w:val="-3"/>
          <w:sz w:val="20"/>
        </w:rPr>
        <w:t xml:space="preserve"> </w:t>
      </w:r>
      <w:r>
        <w:rPr>
          <w:sz w:val="20"/>
        </w:rPr>
        <w:t>action.</w:t>
      </w:r>
      <w:r>
        <w:rPr>
          <w:spacing w:val="-3"/>
          <w:sz w:val="20"/>
        </w:rPr>
        <w:t xml:space="preserve"> </w:t>
      </w:r>
      <w:r>
        <w:rPr>
          <w:sz w:val="20"/>
        </w:rPr>
        <w:t>To</w:t>
      </w:r>
      <w:r>
        <w:rPr>
          <w:spacing w:val="-3"/>
          <w:sz w:val="20"/>
        </w:rPr>
        <w:t xml:space="preserve"> </w:t>
      </w:r>
      <w:r>
        <w:rPr>
          <w:sz w:val="20"/>
        </w:rPr>
        <w:t>change</w:t>
      </w:r>
      <w:r>
        <w:rPr>
          <w:spacing w:val="-4"/>
          <w:sz w:val="20"/>
        </w:rPr>
        <w:t xml:space="preserve"> </w:t>
      </w:r>
      <w:r>
        <w:rPr>
          <w:sz w:val="20"/>
        </w:rPr>
        <w:t>a</w:t>
      </w:r>
      <w:r>
        <w:rPr>
          <w:spacing w:val="-2"/>
          <w:sz w:val="20"/>
        </w:rPr>
        <w:t xml:space="preserve"> </w:t>
      </w:r>
      <w:r>
        <w:rPr>
          <w:sz w:val="20"/>
        </w:rPr>
        <w:t>behavior,</w:t>
      </w:r>
      <w:r>
        <w:rPr>
          <w:spacing w:val="-2"/>
          <w:sz w:val="20"/>
        </w:rPr>
        <w:t xml:space="preserve"> </w:t>
      </w:r>
      <w:r>
        <w:rPr>
          <w:sz w:val="20"/>
        </w:rPr>
        <w:t>one</w:t>
      </w:r>
      <w:r>
        <w:rPr>
          <w:spacing w:val="-4"/>
          <w:sz w:val="20"/>
        </w:rPr>
        <w:t xml:space="preserve"> </w:t>
      </w:r>
      <w:r>
        <w:rPr>
          <w:sz w:val="20"/>
        </w:rPr>
        <w:t>needs</w:t>
      </w:r>
      <w:r>
        <w:rPr>
          <w:spacing w:val="-4"/>
          <w:sz w:val="20"/>
        </w:rPr>
        <w:t xml:space="preserve"> </w:t>
      </w:r>
      <w:r>
        <w:rPr>
          <w:sz w:val="20"/>
        </w:rPr>
        <w:t>to focus</w:t>
      </w:r>
      <w:r>
        <w:rPr>
          <w:spacing w:val="-2"/>
          <w:sz w:val="20"/>
        </w:rPr>
        <w:t xml:space="preserve"> </w:t>
      </w:r>
      <w:r>
        <w:rPr>
          <w:sz w:val="20"/>
        </w:rPr>
        <w:t>attention on breaking</w:t>
      </w:r>
      <w:r>
        <w:rPr>
          <w:spacing w:val="-1"/>
          <w:sz w:val="20"/>
        </w:rPr>
        <w:t xml:space="preserve"> </w:t>
      </w:r>
      <w:r>
        <w:rPr>
          <w:sz w:val="20"/>
        </w:rPr>
        <w:t>the</w:t>
      </w:r>
      <w:r>
        <w:rPr>
          <w:spacing w:val="-2"/>
          <w:sz w:val="20"/>
        </w:rPr>
        <w:t xml:space="preserve"> </w:t>
      </w:r>
      <w:r>
        <w:rPr>
          <w:sz w:val="20"/>
        </w:rPr>
        <w:t>old pattern and creating</w:t>
      </w:r>
      <w:r>
        <w:rPr>
          <w:spacing w:val="-1"/>
          <w:sz w:val="20"/>
        </w:rPr>
        <w:t xml:space="preserve"> </w:t>
      </w:r>
      <w:r>
        <w:rPr>
          <w:sz w:val="20"/>
        </w:rPr>
        <w:t>a</w:t>
      </w:r>
      <w:r>
        <w:rPr>
          <w:spacing w:val="-3"/>
          <w:sz w:val="20"/>
        </w:rPr>
        <w:t xml:space="preserve"> </w:t>
      </w:r>
      <w:r>
        <w:rPr>
          <w:sz w:val="20"/>
        </w:rPr>
        <w:t>new</w:t>
      </w:r>
      <w:r>
        <w:rPr>
          <w:spacing w:val="-2"/>
          <w:sz w:val="20"/>
        </w:rPr>
        <w:t xml:space="preserve"> </w:t>
      </w:r>
      <w:r>
        <w:rPr>
          <w:sz w:val="20"/>
        </w:rPr>
        <w:t>one.</w:t>
      </w:r>
      <w:r>
        <w:rPr>
          <w:spacing w:val="-1"/>
          <w:sz w:val="20"/>
        </w:rPr>
        <w:t xml:space="preserve"> </w:t>
      </w:r>
      <w:r>
        <w:rPr>
          <w:sz w:val="20"/>
        </w:rPr>
        <w:t>Planning</w:t>
      </w:r>
      <w:r>
        <w:rPr>
          <w:spacing w:val="-1"/>
          <w:sz w:val="20"/>
        </w:rPr>
        <w:t xml:space="preserve"> </w:t>
      </w:r>
      <w:r>
        <w:rPr>
          <w:sz w:val="20"/>
        </w:rPr>
        <w:t>is</w:t>
      </w:r>
      <w:r>
        <w:rPr>
          <w:spacing w:val="-2"/>
          <w:sz w:val="20"/>
        </w:rPr>
        <w:t xml:space="preserve"> </w:t>
      </w:r>
      <w:r>
        <w:rPr>
          <w:sz w:val="20"/>
        </w:rPr>
        <w:t>the</w:t>
      </w:r>
      <w:r>
        <w:rPr>
          <w:spacing w:val="-2"/>
          <w:sz w:val="20"/>
        </w:rPr>
        <w:t xml:space="preserve"> </w:t>
      </w:r>
      <w:r>
        <w:rPr>
          <w:sz w:val="20"/>
        </w:rPr>
        <w:t>activity that</w:t>
      </w:r>
      <w:r>
        <w:rPr>
          <w:spacing w:val="-1"/>
          <w:sz w:val="20"/>
        </w:rPr>
        <w:t xml:space="preserve"> </w:t>
      </w:r>
      <w:r>
        <w:rPr>
          <w:sz w:val="20"/>
        </w:rPr>
        <w:t>organizes</w:t>
      </w:r>
      <w:r>
        <w:rPr>
          <w:spacing w:val="-2"/>
          <w:sz w:val="20"/>
        </w:rPr>
        <w:t xml:space="preserve"> </w:t>
      </w:r>
      <w:r>
        <w:rPr>
          <w:sz w:val="20"/>
        </w:rPr>
        <w:t>the environment and develops the strategies for making change.”</w:t>
      </w:r>
    </w:p>
    <w:p w14:paraId="0A31715D" w14:textId="77777777" w:rsidR="00DB6E1F" w:rsidRDefault="00F666A6">
      <w:pPr>
        <w:pStyle w:val="BodyText"/>
        <w:spacing w:before="116"/>
        <w:ind w:left="4819"/>
        <w:jc w:val="both"/>
      </w:pPr>
      <w:r>
        <w:t>DiClemente,</w:t>
      </w:r>
      <w:r>
        <w:rPr>
          <w:spacing w:val="-6"/>
        </w:rPr>
        <w:t xml:space="preserve"> </w:t>
      </w:r>
      <w:r>
        <w:t>2018,</w:t>
      </w:r>
      <w:r>
        <w:rPr>
          <w:spacing w:val="-6"/>
        </w:rPr>
        <w:t xml:space="preserve"> </w:t>
      </w:r>
      <w:r>
        <w:t>pp.</w:t>
      </w:r>
      <w:r>
        <w:rPr>
          <w:spacing w:val="-3"/>
        </w:rPr>
        <w:t xml:space="preserve"> </w:t>
      </w:r>
      <w:r>
        <w:rPr>
          <w:spacing w:val="-4"/>
        </w:rPr>
        <w:t>29‒30</w:t>
      </w:r>
    </w:p>
    <w:p w14:paraId="25D6B4E9" w14:textId="77777777" w:rsidR="00DB6E1F" w:rsidRDefault="00DB6E1F">
      <w:pPr>
        <w:pStyle w:val="BodyText"/>
        <w:spacing w:before="4"/>
        <w:rPr>
          <w:sz w:val="18"/>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7DC8B3B" w14:textId="77777777">
        <w:trPr>
          <w:trHeight w:val="1818"/>
        </w:trPr>
        <w:tc>
          <w:tcPr>
            <w:tcW w:w="9350" w:type="dxa"/>
            <w:shd w:val="clear" w:color="auto" w:fill="E7E6E6"/>
          </w:tcPr>
          <w:p w14:paraId="38E703FF" w14:textId="77777777" w:rsidR="00DB6E1F" w:rsidRDefault="00F666A6">
            <w:pPr>
              <w:pStyle w:val="TableParagraph"/>
              <w:spacing w:before="123"/>
              <w:ind w:left="4094"/>
              <w:rPr>
                <w:b/>
                <w:sz w:val="20"/>
              </w:rPr>
            </w:pPr>
            <w:r>
              <w:rPr>
                <w:b/>
                <w:sz w:val="20"/>
              </w:rPr>
              <w:t>Key</w:t>
            </w:r>
            <w:r>
              <w:rPr>
                <w:b/>
                <w:spacing w:val="-6"/>
                <w:sz w:val="20"/>
              </w:rPr>
              <w:t xml:space="preserve"> </w:t>
            </w:r>
            <w:r>
              <w:rPr>
                <w:b/>
                <w:spacing w:val="-2"/>
                <w:sz w:val="20"/>
              </w:rPr>
              <w:t>Messages</w:t>
            </w:r>
          </w:p>
          <w:p w14:paraId="11910DB4" w14:textId="77777777" w:rsidR="00DB6E1F" w:rsidRDefault="00F666A6">
            <w:pPr>
              <w:pStyle w:val="TableParagraph"/>
              <w:numPr>
                <w:ilvl w:val="0"/>
                <w:numId w:val="56"/>
              </w:numPr>
              <w:tabs>
                <w:tab w:val="left" w:pos="467"/>
                <w:tab w:val="left" w:pos="468"/>
              </w:tabs>
              <w:spacing w:before="118"/>
              <w:ind w:right="805"/>
              <w:rPr>
                <w:sz w:val="20"/>
              </w:rPr>
            </w:pPr>
            <w:r>
              <w:rPr>
                <w:sz w:val="20"/>
              </w:rPr>
              <w:t>During</w:t>
            </w:r>
            <w:r>
              <w:rPr>
                <w:spacing w:val="-4"/>
                <w:sz w:val="20"/>
              </w:rPr>
              <w:t xml:space="preserve"> </w:t>
            </w:r>
            <w:r>
              <w:rPr>
                <w:sz w:val="20"/>
              </w:rPr>
              <w:t>the</w:t>
            </w:r>
            <w:r>
              <w:rPr>
                <w:spacing w:val="-5"/>
                <w:sz w:val="20"/>
              </w:rPr>
              <w:t xml:space="preserve"> </w:t>
            </w:r>
            <w:r>
              <w:rPr>
                <w:sz w:val="20"/>
              </w:rPr>
              <w:t>Preparation</w:t>
            </w:r>
            <w:r>
              <w:rPr>
                <w:spacing w:val="-3"/>
                <w:sz w:val="20"/>
              </w:rPr>
              <w:t xml:space="preserve"> </w:t>
            </w:r>
            <w:r>
              <w:rPr>
                <w:sz w:val="20"/>
              </w:rPr>
              <w:t>stage,</w:t>
            </w:r>
            <w:r>
              <w:rPr>
                <w:spacing w:val="-1"/>
                <w:sz w:val="20"/>
              </w:rPr>
              <w:t xml:space="preserve"> </w:t>
            </w:r>
            <w:r>
              <w:rPr>
                <w:sz w:val="20"/>
              </w:rPr>
              <w:t>clients</w:t>
            </w:r>
            <w:r>
              <w:rPr>
                <w:spacing w:val="-5"/>
                <w:sz w:val="20"/>
              </w:rPr>
              <w:t xml:space="preserve"> </w:t>
            </w:r>
            <w:r>
              <w:rPr>
                <w:sz w:val="20"/>
              </w:rPr>
              <w:t>are</w:t>
            </w:r>
            <w:r>
              <w:rPr>
                <w:spacing w:val="-5"/>
                <w:sz w:val="20"/>
              </w:rPr>
              <w:t xml:space="preserve"> </w:t>
            </w:r>
            <w:r>
              <w:rPr>
                <w:sz w:val="20"/>
              </w:rPr>
              <w:t>considering</w:t>
            </w:r>
            <w:r>
              <w:rPr>
                <w:spacing w:val="-4"/>
                <w:sz w:val="20"/>
              </w:rPr>
              <w:t xml:space="preserve"> </w:t>
            </w:r>
            <w:r>
              <w:rPr>
                <w:sz w:val="20"/>
              </w:rPr>
              <w:t>possible</w:t>
            </w:r>
            <w:r>
              <w:rPr>
                <w:spacing w:val="-5"/>
                <w:sz w:val="20"/>
              </w:rPr>
              <w:t xml:space="preserve"> </w:t>
            </w:r>
            <w:r>
              <w:rPr>
                <w:sz w:val="20"/>
              </w:rPr>
              <w:t>paths</w:t>
            </w:r>
            <w:r>
              <w:rPr>
                <w:spacing w:val="-5"/>
                <w:sz w:val="20"/>
              </w:rPr>
              <w:t xml:space="preserve"> </w:t>
            </w:r>
            <w:r>
              <w:rPr>
                <w:sz w:val="20"/>
              </w:rPr>
              <w:t>toward</w:t>
            </w:r>
            <w:r>
              <w:rPr>
                <w:spacing w:val="-3"/>
                <w:sz w:val="20"/>
              </w:rPr>
              <w:t xml:space="preserve"> </w:t>
            </w:r>
            <w:r>
              <w:rPr>
                <w:sz w:val="20"/>
              </w:rPr>
              <w:t>changing</w:t>
            </w:r>
            <w:r>
              <w:rPr>
                <w:spacing w:val="-4"/>
                <w:sz w:val="20"/>
              </w:rPr>
              <w:t xml:space="preserve"> </w:t>
            </w:r>
            <w:r>
              <w:rPr>
                <w:sz w:val="20"/>
              </w:rPr>
              <w:t>substance</w:t>
            </w:r>
            <w:r>
              <w:rPr>
                <w:spacing w:val="-5"/>
                <w:sz w:val="20"/>
              </w:rPr>
              <w:t xml:space="preserve"> </w:t>
            </w:r>
            <w:r>
              <w:rPr>
                <w:sz w:val="20"/>
              </w:rPr>
              <w:t>use behaviors and beginning to take small steps to reac</w:t>
            </w:r>
            <w:r>
              <w:rPr>
                <w:sz w:val="20"/>
              </w:rPr>
              <w:t>h the final change goal.</w:t>
            </w:r>
          </w:p>
          <w:p w14:paraId="04C7717C" w14:textId="77777777" w:rsidR="00DB6E1F" w:rsidRDefault="00F666A6">
            <w:pPr>
              <w:pStyle w:val="TableParagraph"/>
              <w:numPr>
                <w:ilvl w:val="0"/>
                <w:numId w:val="56"/>
              </w:numPr>
              <w:tabs>
                <w:tab w:val="left" w:pos="467"/>
                <w:tab w:val="left" w:pos="468"/>
              </w:tabs>
              <w:spacing w:before="0"/>
              <w:ind w:right="139"/>
              <w:rPr>
                <w:sz w:val="20"/>
              </w:rPr>
            </w:pPr>
            <w:r>
              <w:rPr>
                <w:sz w:val="20"/>
              </w:rPr>
              <w:t>You</w:t>
            </w:r>
            <w:r>
              <w:rPr>
                <w:spacing w:val="-3"/>
                <w:sz w:val="20"/>
              </w:rPr>
              <w:t xml:space="preserve"> </w:t>
            </w:r>
            <w:r>
              <w:rPr>
                <w:sz w:val="20"/>
              </w:rPr>
              <w:t>can</w:t>
            </w:r>
            <w:r>
              <w:rPr>
                <w:spacing w:val="-3"/>
                <w:sz w:val="20"/>
              </w:rPr>
              <w:t xml:space="preserve"> </w:t>
            </w:r>
            <w:r>
              <w:rPr>
                <w:sz w:val="20"/>
              </w:rPr>
              <w:t>support</w:t>
            </w:r>
            <w:r>
              <w:rPr>
                <w:spacing w:val="-3"/>
                <w:sz w:val="20"/>
              </w:rPr>
              <w:t xml:space="preserve"> </w:t>
            </w:r>
            <w:r>
              <w:rPr>
                <w:sz w:val="20"/>
              </w:rPr>
              <w:t>clients’</w:t>
            </w:r>
            <w:r>
              <w:rPr>
                <w:spacing w:val="-3"/>
                <w:sz w:val="20"/>
              </w:rPr>
              <w:t xml:space="preserve"> </w:t>
            </w:r>
            <w:r>
              <w:rPr>
                <w:sz w:val="20"/>
              </w:rPr>
              <w:t>movement</w:t>
            </w:r>
            <w:r>
              <w:rPr>
                <w:spacing w:val="-3"/>
                <w:sz w:val="20"/>
              </w:rPr>
              <w:t xml:space="preserve"> </w:t>
            </w:r>
            <w:r>
              <w:rPr>
                <w:sz w:val="20"/>
              </w:rPr>
              <w:t>from</w:t>
            </w:r>
            <w:r>
              <w:rPr>
                <w:spacing w:val="-4"/>
                <w:sz w:val="20"/>
              </w:rPr>
              <w:t xml:space="preserve"> </w:t>
            </w:r>
            <w:r>
              <w:rPr>
                <w:sz w:val="20"/>
              </w:rPr>
              <w:t>Preparation</w:t>
            </w:r>
            <w:r>
              <w:rPr>
                <w:spacing w:val="-3"/>
                <w:sz w:val="20"/>
              </w:rPr>
              <w:t xml:space="preserve"> </w:t>
            </w:r>
            <w:r>
              <w:rPr>
                <w:sz w:val="20"/>
              </w:rPr>
              <w:t>to</w:t>
            </w:r>
            <w:r>
              <w:rPr>
                <w:spacing w:val="-3"/>
                <w:sz w:val="20"/>
              </w:rPr>
              <w:t xml:space="preserve"> </w:t>
            </w:r>
            <w:r>
              <w:rPr>
                <w:sz w:val="20"/>
              </w:rPr>
              <w:t>Action</w:t>
            </w:r>
            <w:r>
              <w:rPr>
                <w:spacing w:val="-3"/>
                <w:sz w:val="20"/>
              </w:rPr>
              <w:t xml:space="preserve"> </w:t>
            </w:r>
            <w:r>
              <w:rPr>
                <w:sz w:val="20"/>
              </w:rPr>
              <w:t>by</w:t>
            </w:r>
            <w:r>
              <w:rPr>
                <w:spacing w:val="-3"/>
                <w:sz w:val="20"/>
              </w:rPr>
              <w:t xml:space="preserve"> </w:t>
            </w:r>
            <w:r>
              <w:rPr>
                <w:sz w:val="20"/>
              </w:rPr>
              <w:t>exploring</w:t>
            </w:r>
            <w:r>
              <w:rPr>
                <w:spacing w:val="-3"/>
                <w:sz w:val="20"/>
              </w:rPr>
              <w:t xml:space="preserve"> </w:t>
            </w:r>
            <w:r>
              <w:rPr>
                <w:sz w:val="20"/>
              </w:rPr>
              <w:t>client</w:t>
            </w:r>
            <w:r>
              <w:rPr>
                <w:spacing w:val="-3"/>
                <w:sz w:val="20"/>
              </w:rPr>
              <w:t xml:space="preserve"> </w:t>
            </w:r>
            <w:r>
              <w:rPr>
                <w:sz w:val="20"/>
              </w:rPr>
              <w:t>change</w:t>
            </w:r>
            <w:r>
              <w:rPr>
                <w:spacing w:val="-4"/>
                <w:sz w:val="20"/>
              </w:rPr>
              <w:t xml:space="preserve"> </w:t>
            </w:r>
            <w:r>
              <w:rPr>
                <w:sz w:val="20"/>
              </w:rPr>
              <w:t>goals</w:t>
            </w:r>
            <w:r>
              <w:rPr>
                <w:spacing w:val="-4"/>
                <w:sz w:val="20"/>
              </w:rPr>
              <w:t xml:space="preserve"> </w:t>
            </w:r>
            <w:r>
              <w:rPr>
                <w:sz w:val="20"/>
              </w:rPr>
              <w:t>and</w:t>
            </w:r>
            <w:r>
              <w:rPr>
                <w:spacing w:val="-3"/>
                <w:sz w:val="20"/>
              </w:rPr>
              <w:t xml:space="preserve"> </w:t>
            </w:r>
            <w:r>
              <w:rPr>
                <w:sz w:val="20"/>
              </w:rPr>
              <w:t>helping them develop a change plan.</w:t>
            </w:r>
          </w:p>
          <w:p w14:paraId="72595346" w14:textId="77777777" w:rsidR="00DB6E1F" w:rsidRDefault="00F666A6">
            <w:pPr>
              <w:pStyle w:val="TableParagraph"/>
              <w:numPr>
                <w:ilvl w:val="0"/>
                <w:numId w:val="56"/>
              </w:numPr>
              <w:tabs>
                <w:tab w:val="left" w:pos="467"/>
                <w:tab w:val="left" w:pos="468"/>
              </w:tabs>
              <w:spacing w:before="39"/>
              <w:ind w:hanging="361"/>
              <w:rPr>
                <w:sz w:val="20"/>
              </w:rPr>
            </w:pPr>
            <w:r>
              <w:rPr>
                <w:sz w:val="20"/>
              </w:rPr>
              <w:t>You</w:t>
            </w:r>
            <w:r>
              <w:rPr>
                <w:spacing w:val="-6"/>
                <w:sz w:val="20"/>
              </w:rPr>
              <w:t xml:space="preserve"> </w:t>
            </w:r>
            <w:r>
              <w:rPr>
                <w:sz w:val="20"/>
              </w:rPr>
              <w:t>can</w:t>
            </w:r>
            <w:r>
              <w:rPr>
                <w:spacing w:val="-5"/>
                <w:sz w:val="20"/>
              </w:rPr>
              <w:t xml:space="preserve"> </w:t>
            </w:r>
            <w:r>
              <w:rPr>
                <w:sz w:val="20"/>
              </w:rPr>
              <w:t>maintain</w:t>
            </w:r>
            <w:r>
              <w:rPr>
                <w:spacing w:val="-6"/>
                <w:sz w:val="20"/>
              </w:rPr>
              <w:t xml:space="preserve"> </w:t>
            </w:r>
            <w:r>
              <w:rPr>
                <w:sz w:val="20"/>
              </w:rPr>
              <w:t>a</w:t>
            </w:r>
            <w:r>
              <w:rPr>
                <w:spacing w:val="-6"/>
                <w:sz w:val="20"/>
              </w:rPr>
              <w:t xml:space="preserve"> </w:t>
            </w:r>
            <w:r>
              <w:rPr>
                <w:sz w:val="20"/>
              </w:rPr>
              <w:t>client-centered</w:t>
            </w:r>
            <w:r>
              <w:rPr>
                <w:spacing w:val="-5"/>
                <w:sz w:val="20"/>
              </w:rPr>
              <w:t xml:space="preserve"> </w:t>
            </w:r>
            <w:r>
              <w:rPr>
                <w:sz w:val="20"/>
              </w:rPr>
              <w:t>focus</w:t>
            </w:r>
            <w:r>
              <w:rPr>
                <w:spacing w:val="-8"/>
                <w:sz w:val="20"/>
              </w:rPr>
              <w:t xml:space="preserve"> </w:t>
            </w:r>
            <w:r>
              <w:rPr>
                <w:sz w:val="20"/>
              </w:rPr>
              <w:t>by</w:t>
            </w:r>
            <w:r>
              <w:rPr>
                <w:spacing w:val="-5"/>
                <w:sz w:val="20"/>
              </w:rPr>
              <w:t xml:space="preserve"> </w:t>
            </w:r>
            <w:r>
              <w:rPr>
                <w:sz w:val="20"/>
              </w:rPr>
              <w:t>eliciting</w:t>
            </w:r>
            <w:r>
              <w:rPr>
                <w:spacing w:val="-6"/>
                <w:sz w:val="20"/>
              </w:rPr>
              <w:t xml:space="preserve"> </w:t>
            </w:r>
            <w:r>
              <w:rPr>
                <w:sz w:val="20"/>
              </w:rPr>
              <w:t>clients’</w:t>
            </w:r>
            <w:r>
              <w:rPr>
                <w:spacing w:val="-4"/>
                <w:sz w:val="20"/>
              </w:rPr>
              <w:t xml:space="preserve"> </w:t>
            </w:r>
            <w:r>
              <w:rPr>
                <w:sz w:val="20"/>
              </w:rPr>
              <w:t>change</w:t>
            </w:r>
            <w:r>
              <w:rPr>
                <w:spacing w:val="-7"/>
                <w:sz w:val="20"/>
              </w:rPr>
              <w:t xml:space="preserve"> </w:t>
            </w:r>
            <w:r>
              <w:rPr>
                <w:sz w:val="20"/>
              </w:rPr>
              <w:t>goals</w:t>
            </w:r>
            <w:r>
              <w:rPr>
                <w:spacing w:val="-7"/>
                <w:sz w:val="20"/>
              </w:rPr>
              <w:t xml:space="preserve"> </w:t>
            </w:r>
            <w:r>
              <w:rPr>
                <w:sz w:val="20"/>
              </w:rPr>
              <w:t>and</w:t>
            </w:r>
            <w:r>
              <w:rPr>
                <w:spacing w:val="-6"/>
                <w:sz w:val="20"/>
              </w:rPr>
              <w:t xml:space="preserve"> </w:t>
            </w:r>
            <w:r>
              <w:rPr>
                <w:sz w:val="20"/>
              </w:rPr>
              <w:t>not</w:t>
            </w:r>
            <w:r>
              <w:rPr>
                <w:spacing w:val="-6"/>
                <w:sz w:val="20"/>
              </w:rPr>
              <w:t xml:space="preserve"> </w:t>
            </w:r>
            <w:r>
              <w:rPr>
                <w:sz w:val="20"/>
              </w:rPr>
              <w:t>imposing</w:t>
            </w:r>
            <w:r>
              <w:rPr>
                <w:spacing w:val="-6"/>
                <w:sz w:val="20"/>
              </w:rPr>
              <w:t xml:space="preserve"> </w:t>
            </w:r>
            <w:r>
              <w:rPr>
                <w:sz w:val="20"/>
              </w:rPr>
              <w:t>goals</w:t>
            </w:r>
            <w:r>
              <w:rPr>
                <w:spacing w:val="-8"/>
                <w:sz w:val="20"/>
              </w:rPr>
              <w:t xml:space="preserve"> </w:t>
            </w:r>
            <w:r>
              <w:rPr>
                <w:sz w:val="20"/>
              </w:rPr>
              <w:t>on</w:t>
            </w:r>
            <w:r>
              <w:rPr>
                <w:spacing w:val="-5"/>
                <w:sz w:val="20"/>
              </w:rPr>
              <w:t xml:space="preserve"> </w:t>
            </w:r>
            <w:r>
              <w:rPr>
                <w:spacing w:val="-2"/>
                <w:sz w:val="20"/>
              </w:rPr>
              <w:t>them.</w:t>
            </w:r>
          </w:p>
        </w:tc>
      </w:tr>
    </w:tbl>
    <w:p w14:paraId="12D6385E" w14:textId="77777777" w:rsidR="00DB6E1F" w:rsidRDefault="00F666A6">
      <w:pPr>
        <w:pStyle w:val="BodyText"/>
        <w:spacing w:before="119"/>
        <w:ind w:left="1439" w:right="1491"/>
      </w:pPr>
      <w:r>
        <w:t>Chapter 6 describes the process of identifying and clarifying change goals. It also focuses on how and when</w:t>
      </w:r>
      <w:r>
        <w:rPr>
          <w:spacing w:val="-2"/>
        </w:rPr>
        <w:t xml:space="preserve"> </w:t>
      </w:r>
      <w:r>
        <w:t>to</w:t>
      </w:r>
      <w:r>
        <w:rPr>
          <w:spacing w:val="-1"/>
        </w:rPr>
        <w:t xml:space="preserve"> </w:t>
      </w:r>
      <w:r>
        <w:t>develop</w:t>
      </w:r>
      <w:r>
        <w:rPr>
          <w:spacing w:val="-2"/>
        </w:rPr>
        <w:t xml:space="preserve"> </w:t>
      </w:r>
      <w:r>
        <w:t>a</w:t>
      </w:r>
      <w:r>
        <w:rPr>
          <w:spacing w:val="-4"/>
        </w:rPr>
        <w:t xml:space="preserve"> </w:t>
      </w:r>
      <w:r>
        <w:t>change</w:t>
      </w:r>
      <w:r>
        <w:rPr>
          <w:spacing w:val="-4"/>
        </w:rPr>
        <w:t xml:space="preserve"> </w:t>
      </w:r>
      <w:r>
        <w:t>plan</w:t>
      </w:r>
      <w:r>
        <w:rPr>
          <w:spacing w:val="-3"/>
        </w:rPr>
        <w:t xml:space="preserve"> </w:t>
      </w:r>
      <w:r>
        <w:t>with</w:t>
      </w:r>
      <w:r>
        <w:rPr>
          <w:spacing w:val="-3"/>
        </w:rPr>
        <w:t xml:space="preserve"> </w:t>
      </w:r>
      <w:r>
        <w:t>the</w:t>
      </w:r>
      <w:r>
        <w:rPr>
          <w:spacing w:val="-4"/>
        </w:rPr>
        <w:t xml:space="preserve"> </w:t>
      </w:r>
      <w:r>
        <w:t>client</w:t>
      </w:r>
      <w:r>
        <w:rPr>
          <w:spacing w:val="-4"/>
        </w:rPr>
        <w:t xml:space="preserve"> </w:t>
      </w:r>
      <w:r>
        <w:t>and</w:t>
      </w:r>
      <w:r>
        <w:rPr>
          <w:spacing w:val="-3"/>
        </w:rPr>
        <w:t xml:space="preserve"> </w:t>
      </w:r>
      <w:r>
        <w:t>suggests</w:t>
      </w:r>
      <w:r>
        <w:rPr>
          <w:spacing w:val="-2"/>
        </w:rPr>
        <w:t xml:space="preserve"> </w:t>
      </w:r>
      <w:r>
        <w:t>ways</w:t>
      </w:r>
      <w:r>
        <w:rPr>
          <w:spacing w:val="-4"/>
        </w:rPr>
        <w:t xml:space="preserve"> </w:t>
      </w:r>
      <w:r>
        <w:t>to</w:t>
      </w:r>
      <w:r>
        <w:rPr>
          <w:spacing w:val="-3"/>
        </w:rPr>
        <w:t xml:space="preserve"> </w:t>
      </w:r>
      <w:r>
        <w:t>ensure</w:t>
      </w:r>
      <w:r>
        <w:rPr>
          <w:spacing w:val="-4"/>
        </w:rPr>
        <w:t xml:space="preserve"> </w:t>
      </w:r>
      <w:r>
        <w:t>a</w:t>
      </w:r>
      <w:r>
        <w:rPr>
          <w:spacing w:val="-2"/>
        </w:rPr>
        <w:t xml:space="preserve"> </w:t>
      </w:r>
      <w:r>
        <w:t>sound</w:t>
      </w:r>
      <w:r>
        <w:rPr>
          <w:spacing w:val="-3"/>
        </w:rPr>
        <w:t xml:space="preserve"> </w:t>
      </w:r>
      <w:r>
        <w:t>plan</w:t>
      </w:r>
      <w:r>
        <w:rPr>
          <w:spacing w:val="-2"/>
        </w:rPr>
        <w:t xml:space="preserve"> </w:t>
      </w:r>
      <w:r>
        <w:t>by</w:t>
      </w:r>
      <w:r>
        <w:rPr>
          <w:spacing w:val="-1"/>
        </w:rPr>
        <w:t xml:space="preserve"> </w:t>
      </w:r>
      <w:r>
        <w:t>offering</w:t>
      </w:r>
      <w:r>
        <w:rPr>
          <w:spacing w:val="-3"/>
        </w:rPr>
        <w:t xml:space="preserve"> </w:t>
      </w:r>
      <w:r>
        <w:t xml:space="preserve">the client a menu of options, contracting for change, identifying and lowering barriers to action, and enlisting social support. This chapter also describes your tasks while the client moves into the Action stage, like helping the client initiate the plan </w:t>
      </w:r>
      <w:r>
        <w:t>and evaluating the effectiveness of the plan.</w:t>
      </w:r>
    </w:p>
    <w:p w14:paraId="3F3D3122" w14:textId="77777777" w:rsidR="00DB6E1F" w:rsidRDefault="00F666A6">
      <w:pPr>
        <w:spacing w:before="160"/>
        <w:ind w:left="1438" w:right="1444"/>
      </w:pPr>
      <w:r>
        <w:t xml:space="preserve">In earlier stages of the Stages of Change (SOC) approach, you use motivational strategies to increase clients’ readiness. </w:t>
      </w:r>
      <w:r>
        <w:rPr>
          <w:b/>
        </w:rPr>
        <w:t>In Preparation, you use motivational strategies to strengthen clients’ commitment and he</w:t>
      </w:r>
      <w:r>
        <w:rPr>
          <w:b/>
        </w:rPr>
        <w:t xml:space="preserve">lp them make a firm decision to change. </w:t>
      </w:r>
      <w:r>
        <w:t>Clients who commit to change and believe change is possible</w:t>
      </w:r>
      <w:r>
        <w:rPr>
          <w:spacing w:val="-1"/>
        </w:rPr>
        <w:t xml:space="preserve"> </w:t>
      </w:r>
      <w:r>
        <w:t>are</w:t>
      </w:r>
      <w:r>
        <w:rPr>
          <w:spacing w:val="-1"/>
        </w:rPr>
        <w:t xml:space="preserve"> </w:t>
      </w:r>
      <w:r>
        <w:t>prepared</w:t>
      </w:r>
      <w:r>
        <w:rPr>
          <w:spacing w:val="-3"/>
        </w:rPr>
        <w:t xml:space="preserve"> </w:t>
      </w:r>
      <w:r>
        <w:t>for</w:t>
      </w:r>
      <w:r>
        <w:rPr>
          <w:spacing w:val="-4"/>
        </w:rPr>
        <w:t xml:space="preserve"> </w:t>
      </w:r>
      <w:r>
        <w:t>the</w:t>
      </w:r>
      <w:r>
        <w:rPr>
          <w:spacing w:val="-1"/>
        </w:rPr>
        <w:t xml:space="preserve"> </w:t>
      </w:r>
      <w:r>
        <w:t>Action</w:t>
      </w:r>
      <w:r>
        <w:rPr>
          <w:spacing w:val="-3"/>
        </w:rPr>
        <w:t xml:space="preserve"> </w:t>
      </w:r>
      <w:r>
        <w:t>stage.</w:t>
      </w:r>
      <w:r>
        <w:rPr>
          <w:spacing w:val="-5"/>
        </w:rPr>
        <w:t xml:space="preserve"> </w:t>
      </w:r>
      <w:r>
        <w:t>Clients</w:t>
      </w:r>
      <w:r>
        <w:rPr>
          <w:spacing w:val="-4"/>
        </w:rPr>
        <w:t xml:space="preserve"> </w:t>
      </w:r>
      <w:r>
        <w:t>who</w:t>
      </w:r>
      <w:r>
        <w:rPr>
          <w:spacing w:val="-1"/>
        </w:rPr>
        <w:t xml:space="preserve"> </w:t>
      </w:r>
      <w:r>
        <w:t>are</w:t>
      </w:r>
      <w:r>
        <w:rPr>
          <w:spacing w:val="-4"/>
        </w:rPr>
        <w:t xml:space="preserve"> </w:t>
      </w:r>
      <w:r>
        <w:t>actively</w:t>
      </w:r>
      <w:r>
        <w:rPr>
          <w:spacing w:val="-1"/>
        </w:rPr>
        <w:t xml:space="preserve"> </w:t>
      </w:r>
      <w:r>
        <w:t>taking</w:t>
      </w:r>
      <w:r>
        <w:rPr>
          <w:spacing w:val="-3"/>
        </w:rPr>
        <w:t xml:space="preserve"> </w:t>
      </w:r>
      <w:r>
        <w:t>steps</w:t>
      </w:r>
      <w:r>
        <w:rPr>
          <w:spacing w:val="-4"/>
        </w:rPr>
        <w:t xml:space="preserve"> </w:t>
      </w:r>
      <w:r>
        <w:t>to</w:t>
      </w:r>
      <w:r>
        <w:rPr>
          <w:spacing w:val="-1"/>
        </w:rPr>
        <w:t xml:space="preserve"> </w:t>
      </w:r>
      <w:r>
        <w:t>change</w:t>
      </w:r>
      <w:r>
        <w:rPr>
          <w:spacing w:val="-4"/>
        </w:rPr>
        <w:t xml:space="preserve"> </w:t>
      </w:r>
      <w:r>
        <w:t>substance</w:t>
      </w:r>
      <w:r>
        <w:rPr>
          <w:spacing w:val="-4"/>
        </w:rPr>
        <w:t xml:space="preserve"> </w:t>
      </w:r>
      <w:r>
        <w:t>use behaviors</w:t>
      </w:r>
      <w:r>
        <w:rPr>
          <w:spacing w:val="-1"/>
        </w:rPr>
        <w:t xml:space="preserve"> </w:t>
      </w:r>
      <w:r>
        <w:t>have better</w:t>
      </w:r>
      <w:r>
        <w:rPr>
          <w:spacing w:val="-4"/>
        </w:rPr>
        <w:t xml:space="preserve"> </w:t>
      </w:r>
      <w:r>
        <w:t>long-term</w:t>
      </w:r>
      <w:r>
        <w:rPr>
          <w:spacing w:val="-2"/>
        </w:rPr>
        <w:t xml:space="preserve"> </w:t>
      </w:r>
      <w:r>
        <w:t>outcomes</w:t>
      </w:r>
      <w:r>
        <w:rPr>
          <w:spacing w:val="-1"/>
        </w:rPr>
        <w:t xml:space="preserve"> </w:t>
      </w:r>
      <w:r>
        <w:t>after</w:t>
      </w:r>
      <w:r>
        <w:rPr>
          <w:spacing w:val="-1"/>
        </w:rPr>
        <w:t xml:space="preserve"> </w:t>
      </w:r>
      <w:r>
        <w:t>treatment</w:t>
      </w:r>
      <w:r>
        <w:rPr>
          <w:spacing w:val="-3"/>
        </w:rPr>
        <w:t xml:space="preserve"> </w:t>
      </w:r>
      <w:r>
        <w:t>th</w:t>
      </w:r>
      <w:r>
        <w:t>an</w:t>
      </w:r>
      <w:r>
        <w:rPr>
          <w:spacing w:val="-2"/>
        </w:rPr>
        <w:t xml:space="preserve"> </w:t>
      </w:r>
      <w:r>
        <w:t>clients</w:t>
      </w:r>
      <w:r>
        <w:rPr>
          <w:spacing w:val="-1"/>
        </w:rPr>
        <w:t xml:space="preserve"> </w:t>
      </w:r>
      <w:r>
        <w:t>who have not</w:t>
      </w:r>
      <w:r>
        <w:rPr>
          <w:spacing w:val="-3"/>
        </w:rPr>
        <w:t xml:space="preserve"> </w:t>
      </w:r>
      <w:r>
        <w:t>reached</w:t>
      </w:r>
      <w:r>
        <w:rPr>
          <w:spacing w:val="-2"/>
        </w:rPr>
        <w:t xml:space="preserve"> </w:t>
      </w:r>
      <w:r>
        <w:t>this stage of the SOC (Heather &amp; McCambridge, 2013).</w:t>
      </w:r>
    </w:p>
    <w:p w14:paraId="2992CE07" w14:textId="77777777" w:rsidR="00DB6E1F" w:rsidRDefault="00F666A6">
      <w:pPr>
        <w:pStyle w:val="BodyText"/>
        <w:spacing w:before="160"/>
        <w:ind w:left="1437" w:right="1474"/>
      </w:pPr>
      <w:r>
        <w:rPr>
          <w:b/>
        </w:rPr>
        <w:t xml:space="preserve">Your task is to help clients set clear goals for change in preparation for developing a change plan. </w:t>
      </w:r>
      <w:r>
        <w:t>Changing any longstanding behavior requires preparation and planning. Clients must see change as being in their best interest</w:t>
      </w:r>
      <w:r>
        <w:rPr>
          <w:spacing w:val="-3"/>
        </w:rPr>
        <w:t xml:space="preserve"> </w:t>
      </w:r>
      <w:r>
        <w:t>before</w:t>
      </w:r>
      <w:r>
        <w:rPr>
          <w:spacing w:val="-1"/>
        </w:rPr>
        <w:t xml:space="preserve"> </w:t>
      </w:r>
      <w:r>
        <w:t>they can</w:t>
      </w:r>
      <w:r>
        <w:rPr>
          <w:spacing w:val="-2"/>
        </w:rPr>
        <w:t xml:space="preserve"> </w:t>
      </w:r>
      <w:r>
        <w:t>move into</w:t>
      </w:r>
      <w:r>
        <w:rPr>
          <w:spacing w:val="-1"/>
        </w:rPr>
        <w:t xml:space="preserve"> </w:t>
      </w:r>
      <w:r>
        <w:t>the Action stage. Developing a change plan that</w:t>
      </w:r>
      <w:r>
        <w:rPr>
          <w:spacing w:val="-1"/>
        </w:rPr>
        <w:t xml:space="preserve"> </w:t>
      </w:r>
      <w:r>
        <w:t>is accessible,</w:t>
      </w:r>
      <w:r>
        <w:rPr>
          <w:spacing w:val="-2"/>
        </w:rPr>
        <w:t xml:space="preserve"> </w:t>
      </w:r>
      <w:r>
        <w:t>acceptable,</w:t>
      </w:r>
      <w:r>
        <w:rPr>
          <w:spacing w:val="-4"/>
        </w:rPr>
        <w:t xml:space="preserve"> </w:t>
      </w:r>
      <w:r>
        <w:t>and</w:t>
      </w:r>
      <w:r>
        <w:rPr>
          <w:spacing w:val="-3"/>
        </w:rPr>
        <w:t xml:space="preserve"> </w:t>
      </w:r>
      <w:r>
        <w:t>appropriate</w:t>
      </w:r>
      <w:r>
        <w:rPr>
          <w:spacing w:val="-4"/>
        </w:rPr>
        <w:t xml:space="preserve"> </w:t>
      </w:r>
      <w:r>
        <w:t>for</w:t>
      </w:r>
      <w:r>
        <w:rPr>
          <w:spacing w:val="-4"/>
        </w:rPr>
        <w:t xml:space="preserve"> </w:t>
      </w:r>
      <w:r>
        <w:t>each</w:t>
      </w:r>
      <w:r>
        <w:rPr>
          <w:spacing w:val="-5"/>
        </w:rPr>
        <w:t xml:space="preserve"> </w:t>
      </w:r>
      <w:r>
        <w:t>clie</w:t>
      </w:r>
      <w:r>
        <w:t>nt</w:t>
      </w:r>
      <w:r>
        <w:rPr>
          <w:spacing w:val="-4"/>
        </w:rPr>
        <w:t xml:space="preserve"> </w:t>
      </w:r>
      <w:r>
        <w:t>is</w:t>
      </w:r>
      <w:r>
        <w:rPr>
          <w:spacing w:val="-2"/>
        </w:rPr>
        <w:t xml:space="preserve"> </w:t>
      </w:r>
      <w:r>
        <w:t>key.</w:t>
      </w:r>
      <w:r>
        <w:rPr>
          <w:spacing w:val="-3"/>
        </w:rPr>
        <w:t xml:space="preserve"> </w:t>
      </w:r>
      <w:r>
        <w:t>The</w:t>
      </w:r>
      <w:r>
        <w:rPr>
          <w:spacing w:val="-1"/>
        </w:rPr>
        <w:t xml:space="preserve"> </w:t>
      </w:r>
      <w:r>
        <w:t>negative</w:t>
      </w:r>
      <w:r>
        <w:rPr>
          <w:spacing w:val="-4"/>
        </w:rPr>
        <w:t xml:space="preserve"> </w:t>
      </w:r>
      <w:r>
        <w:t>consequences</w:t>
      </w:r>
      <w:r>
        <w:rPr>
          <w:spacing w:val="-4"/>
        </w:rPr>
        <w:t xml:space="preserve"> </w:t>
      </w:r>
      <w:r>
        <w:t>of</w:t>
      </w:r>
      <w:r>
        <w:rPr>
          <w:spacing w:val="-2"/>
        </w:rPr>
        <w:t xml:space="preserve"> </w:t>
      </w:r>
      <w:r>
        <w:t>ignoring</w:t>
      </w:r>
      <w:r>
        <w:rPr>
          <w:spacing w:val="-3"/>
        </w:rPr>
        <w:t xml:space="preserve"> </w:t>
      </w:r>
      <w:r>
        <w:t>the Preparation stage can be a brief course of action followed by rapid return to substance use. By the end of the Preparation stage, clients should have a plan for change that guides them into the Action st</w:t>
      </w:r>
      <w:r>
        <w:t>age.</w:t>
      </w:r>
    </w:p>
    <w:p w14:paraId="7FF6B2DD" w14:textId="77777777" w:rsidR="00DB6E1F" w:rsidRDefault="00F666A6">
      <w:pPr>
        <w:pStyle w:val="BodyText"/>
        <w:spacing w:before="159"/>
        <w:ind w:left="1437"/>
        <w:jc w:val="both"/>
      </w:pPr>
      <w:r>
        <w:t>Exhibit</w:t>
      </w:r>
      <w:r>
        <w:rPr>
          <w:spacing w:val="-7"/>
        </w:rPr>
        <w:t xml:space="preserve"> </w:t>
      </w:r>
      <w:r>
        <w:t>6.1</w:t>
      </w:r>
      <w:r>
        <w:rPr>
          <w:spacing w:val="-4"/>
        </w:rPr>
        <w:t xml:space="preserve"> </w:t>
      </w:r>
      <w:r>
        <w:t>presents</w:t>
      </w:r>
      <w:r>
        <w:rPr>
          <w:spacing w:val="-3"/>
        </w:rPr>
        <w:t xml:space="preserve"> </w:t>
      </w:r>
      <w:r>
        <w:t>counseling</w:t>
      </w:r>
      <w:r>
        <w:rPr>
          <w:spacing w:val="-6"/>
        </w:rPr>
        <w:t xml:space="preserve"> </w:t>
      </w:r>
      <w:r>
        <w:t>strategies</w:t>
      </w:r>
      <w:r>
        <w:rPr>
          <w:spacing w:val="-7"/>
        </w:rPr>
        <w:t xml:space="preserve"> </w:t>
      </w:r>
      <w:r>
        <w:t>for</w:t>
      </w:r>
      <w:r>
        <w:rPr>
          <w:spacing w:val="-7"/>
        </w:rPr>
        <w:t xml:space="preserve"> </w:t>
      </w:r>
      <w:r>
        <w:t>Preparation</w:t>
      </w:r>
      <w:r>
        <w:rPr>
          <w:spacing w:val="-5"/>
        </w:rPr>
        <w:t xml:space="preserve"> </w:t>
      </w:r>
      <w:r>
        <w:t>and</w:t>
      </w:r>
      <w:r>
        <w:rPr>
          <w:spacing w:val="-5"/>
        </w:rPr>
        <w:t xml:space="preserve"> </w:t>
      </w:r>
      <w:r>
        <w:rPr>
          <w:spacing w:val="-2"/>
        </w:rPr>
        <w:t>Action.</w:t>
      </w:r>
    </w:p>
    <w:p w14:paraId="3638BDB3" w14:textId="77777777" w:rsidR="00DB6E1F" w:rsidRDefault="00DB6E1F">
      <w:pPr>
        <w:pStyle w:val="BodyText"/>
        <w:spacing w:before="7"/>
        <w:rPr>
          <w:sz w:val="9"/>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2136"/>
        <w:gridCol w:w="2398"/>
        <w:gridCol w:w="3636"/>
      </w:tblGrid>
      <w:tr w:rsidR="00DB6E1F" w14:paraId="53188FA2" w14:textId="77777777">
        <w:trPr>
          <w:trHeight w:val="439"/>
        </w:trPr>
        <w:tc>
          <w:tcPr>
            <w:tcW w:w="9351" w:type="dxa"/>
            <w:gridSpan w:val="4"/>
            <w:tcBorders>
              <w:top w:val="nil"/>
              <w:left w:val="nil"/>
              <w:bottom w:val="nil"/>
              <w:right w:val="nil"/>
            </w:tcBorders>
            <w:shd w:val="clear" w:color="auto" w:fill="000000"/>
          </w:tcPr>
          <w:p w14:paraId="39D247C8" w14:textId="77777777" w:rsidR="00DB6E1F" w:rsidRDefault="00F666A6">
            <w:pPr>
              <w:pStyle w:val="TableParagraph"/>
              <w:spacing w:before="74"/>
              <w:ind w:left="213"/>
              <w:rPr>
                <w:sz w:val="24"/>
              </w:rPr>
            </w:pPr>
            <w:r>
              <w:rPr>
                <w:color w:val="FFFFFF"/>
                <w:sz w:val="24"/>
              </w:rPr>
              <w:t>Exhibit</w:t>
            </w:r>
            <w:r>
              <w:rPr>
                <w:color w:val="FFFFFF"/>
                <w:spacing w:val="-5"/>
                <w:sz w:val="24"/>
              </w:rPr>
              <w:t xml:space="preserve"> </w:t>
            </w:r>
            <w:r>
              <w:rPr>
                <w:color w:val="FFFFFF"/>
                <w:sz w:val="24"/>
              </w:rPr>
              <w:t>6.1.</w:t>
            </w:r>
            <w:r>
              <w:rPr>
                <w:color w:val="FFFFFF"/>
                <w:spacing w:val="-1"/>
                <w:sz w:val="24"/>
              </w:rPr>
              <w:t xml:space="preserve"> </w:t>
            </w:r>
            <w:r>
              <w:rPr>
                <w:color w:val="FFFFFF"/>
                <w:sz w:val="24"/>
              </w:rPr>
              <w:t>Counseling</w:t>
            </w:r>
            <w:r>
              <w:rPr>
                <w:color w:val="FFFFFF"/>
                <w:spacing w:val="-2"/>
                <w:sz w:val="24"/>
              </w:rPr>
              <w:t xml:space="preserve"> </w:t>
            </w:r>
            <w:r>
              <w:rPr>
                <w:color w:val="FFFFFF"/>
                <w:sz w:val="24"/>
              </w:rPr>
              <w:t>Strategies</w:t>
            </w:r>
            <w:r>
              <w:rPr>
                <w:color w:val="FFFFFF"/>
                <w:spacing w:val="-3"/>
                <w:sz w:val="24"/>
              </w:rPr>
              <w:t xml:space="preserve"> </w:t>
            </w:r>
            <w:r>
              <w:rPr>
                <w:color w:val="FFFFFF"/>
                <w:sz w:val="24"/>
              </w:rPr>
              <w:t>for</w:t>
            </w:r>
            <w:r>
              <w:rPr>
                <w:color w:val="FFFFFF"/>
                <w:spacing w:val="-4"/>
                <w:sz w:val="24"/>
              </w:rPr>
              <w:t xml:space="preserve"> </w:t>
            </w:r>
            <w:r>
              <w:rPr>
                <w:color w:val="FFFFFF"/>
                <w:sz w:val="24"/>
              </w:rPr>
              <w:t>Preparation</w:t>
            </w:r>
            <w:r>
              <w:rPr>
                <w:color w:val="FFFFFF"/>
                <w:spacing w:val="-4"/>
                <w:sz w:val="24"/>
              </w:rPr>
              <w:t xml:space="preserve"> </w:t>
            </w:r>
            <w:r>
              <w:rPr>
                <w:color w:val="FFFFFF"/>
                <w:sz w:val="24"/>
              </w:rPr>
              <w:t>and</w:t>
            </w:r>
            <w:r>
              <w:rPr>
                <w:color w:val="FFFFFF"/>
                <w:spacing w:val="-2"/>
                <w:sz w:val="24"/>
              </w:rPr>
              <w:t xml:space="preserve"> Action</w:t>
            </w:r>
          </w:p>
        </w:tc>
      </w:tr>
      <w:tr w:rsidR="00DB6E1F" w14:paraId="583AADE3" w14:textId="77777777">
        <w:trPr>
          <w:trHeight w:val="359"/>
        </w:trPr>
        <w:tc>
          <w:tcPr>
            <w:tcW w:w="1181" w:type="dxa"/>
          </w:tcPr>
          <w:p w14:paraId="704B1ABB" w14:textId="77777777" w:rsidR="00DB6E1F" w:rsidRDefault="00F666A6">
            <w:pPr>
              <w:pStyle w:val="TableParagraph"/>
              <w:spacing w:before="0" w:line="241" w:lineRule="exact"/>
              <w:rPr>
                <w:sz w:val="20"/>
              </w:rPr>
            </w:pPr>
            <w:r>
              <w:rPr>
                <w:spacing w:val="-5"/>
                <w:sz w:val="20"/>
              </w:rPr>
              <w:t>SOC</w:t>
            </w:r>
          </w:p>
        </w:tc>
        <w:tc>
          <w:tcPr>
            <w:tcW w:w="2136" w:type="dxa"/>
          </w:tcPr>
          <w:p w14:paraId="0C4D72D2" w14:textId="77777777" w:rsidR="00DB6E1F" w:rsidRDefault="00F666A6">
            <w:pPr>
              <w:pStyle w:val="TableParagraph"/>
              <w:spacing w:before="0" w:line="241" w:lineRule="exact"/>
              <w:rPr>
                <w:sz w:val="20"/>
              </w:rPr>
            </w:pPr>
            <w:r>
              <w:rPr>
                <w:sz w:val="20"/>
              </w:rPr>
              <w:t>Client</w:t>
            </w:r>
            <w:r>
              <w:rPr>
                <w:spacing w:val="-9"/>
                <w:sz w:val="20"/>
              </w:rPr>
              <w:t xml:space="preserve"> </w:t>
            </w:r>
            <w:r>
              <w:rPr>
                <w:spacing w:val="-2"/>
                <w:sz w:val="20"/>
              </w:rPr>
              <w:t>Motivation</w:t>
            </w:r>
          </w:p>
        </w:tc>
        <w:tc>
          <w:tcPr>
            <w:tcW w:w="2398" w:type="dxa"/>
          </w:tcPr>
          <w:p w14:paraId="123A9192" w14:textId="77777777" w:rsidR="00DB6E1F" w:rsidRDefault="00F666A6">
            <w:pPr>
              <w:pStyle w:val="TableParagraph"/>
              <w:spacing w:before="0" w:line="241" w:lineRule="exact"/>
              <w:rPr>
                <w:sz w:val="20"/>
              </w:rPr>
            </w:pPr>
            <w:r>
              <w:rPr>
                <w:spacing w:val="-2"/>
                <w:sz w:val="20"/>
              </w:rPr>
              <w:t>Counselor</w:t>
            </w:r>
            <w:r>
              <w:rPr>
                <w:spacing w:val="4"/>
                <w:sz w:val="20"/>
              </w:rPr>
              <w:t xml:space="preserve"> </w:t>
            </w:r>
            <w:r>
              <w:rPr>
                <w:spacing w:val="-2"/>
                <w:sz w:val="20"/>
              </w:rPr>
              <w:t>Focus</w:t>
            </w:r>
          </w:p>
        </w:tc>
        <w:tc>
          <w:tcPr>
            <w:tcW w:w="3636" w:type="dxa"/>
          </w:tcPr>
          <w:p w14:paraId="6BEF591D" w14:textId="77777777" w:rsidR="00DB6E1F" w:rsidRDefault="00F666A6">
            <w:pPr>
              <w:pStyle w:val="TableParagraph"/>
              <w:spacing w:before="0" w:line="241" w:lineRule="exact"/>
              <w:rPr>
                <w:sz w:val="20"/>
              </w:rPr>
            </w:pPr>
            <w:r>
              <w:rPr>
                <w:spacing w:val="-2"/>
                <w:sz w:val="20"/>
              </w:rPr>
              <w:t>Counseling</w:t>
            </w:r>
            <w:r>
              <w:rPr>
                <w:spacing w:val="5"/>
                <w:sz w:val="20"/>
              </w:rPr>
              <w:t xml:space="preserve"> </w:t>
            </w:r>
            <w:r>
              <w:rPr>
                <w:spacing w:val="-2"/>
                <w:sz w:val="20"/>
              </w:rPr>
              <w:t>Strategies</w:t>
            </w:r>
          </w:p>
        </w:tc>
      </w:tr>
      <w:tr w:rsidR="00DB6E1F" w14:paraId="751972D7" w14:textId="77777777">
        <w:trPr>
          <w:trHeight w:val="1341"/>
        </w:trPr>
        <w:tc>
          <w:tcPr>
            <w:tcW w:w="1181" w:type="dxa"/>
          </w:tcPr>
          <w:p w14:paraId="5E2DBD26" w14:textId="77777777" w:rsidR="00DB6E1F" w:rsidRDefault="00F666A6">
            <w:pPr>
              <w:pStyle w:val="TableParagraph"/>
              <w:rPr>
                <w:sz w:val="20"/>
              </w:rPr>
            </w:pPr>
            <w:r>
              <w:rPr>
                <w:spacing w:val="-2"/>
                <w:sz w:val="20"/>
              </w:rPr>
              <w:t>Preparation</w:t>
            </w:r>
          </w:p>
        </w:tc>
        <w:tc>
          <w:tcPr>
            <w:tcW w:w="2136" w:type="dxa"/>
          </w:tcPr>
          <w:p w14:paraId="1BBE32EC" w14:textId="77777777" w:rsidR="00DB6E1F" w:rsidRDefault="00F666A6">
            <w:pPr>
              <w:pStyle w:val="TableParagraph"/>
              <w:spacing w:before="0"/>
              <w:ind w:right="19"/>
              <w:rPr>
                <w:sz w:val="20"/>
              </w:rPr>
            </w:pPr>
            <w:r>
              <w:rPr>
                <w:sz w:val="20"/>
              </w:rPr>
              <w:t>The</w:t>
            </w:r>
            <w:r>
              <w:rPr>
                <w:spacing w:val="-8"/>
                <w:sz w:val="20"/>
              </w:rPr>
              <w:t xml:space="preserve"> </w:t>
            </w:r>
            <w:r>
              <w:rPr>
                <w:sz w:val="20"/>
              </w:rPr>
              <w:t>client</w:t>
            </w:r>
            <w:r>
              <w:rPr>
                <w:spacing w:val="-7"/>
                <w:sz w:val="20"/>
              </w:rPr>
              <w:t xml:space="preserve"> </w:t>
            </w:r>
            <w:r>
              <w:rPr>
                <w:sz w:val="20"/>
              </w:rPr>
              <w:t>is</w:t>
            </w:r>
            <w:r>
              <w:rPr>
                <w:spacing w:val="-8"/>
                <w:sz w:val="20"/>
              </w:rPr>
              <w:t xml:space="preserve"> </w:t>
            </w:r>
            <w:r>
              <w:rPr>
                <w:sz w:val="20"/>
              </w:rPr>
              <w:t>committed and</w:t>
            </w:r>
            <w:r>
              <w:rPr>
                <w:spacing w:val="-4"/>
                <w:sz w:val="20"/>
              </w:rPr>
              <w:t xml:space="preserve"> </w:t>
            </w:r>
            <w:r>
              <w:rPr>
                <w:sz w:val="20"/>
              </w:rPr>
              <w:t>planning</w:t>
            </w:r>
            <w:r>
              <w:rPr>
                <w:spacing w:val="-5"/>
                <w:sz w:val="20"/>
              </w:rPr>
              <w:t xml:space="preserve"> </w:t>
            </w:r>
            <w:r>
              <w:rPr>
                <w:sz w:val="20"/>
              </w:rPr>
              <w:t>to</w:t>
            </w:r>
            <w:r>
              <w:rPr>
                <w:spacing w:val="-7"/>
                <w:sz w:val="20"/>
              </w:rPr>
              <w:t xml:space="preserve"> </w:t>
            </w:r>
            <w:r>
              <w:rPr>
                <w:sz w:val="20"/>
              </w:rPr>
              <w:t>make</w:t>
            </w:r>
            <w:r>
              <w:rPr>
                <w:spacing w:val="-6"/>
                <w:sz w:val="20"/>
              </w:rPr>
              <w:t xml:space="preserve"> </w:t>
            </w:r>
            <w:r>
              <w:rPr>
                <w:sz w:val="20"/>
              </w:rPr>
              <w:t>a change in the near future but is still considering</w:t>
            </w:r>
            <w:r>
              <w:rPr>
                <w:spacing w:val="-12"/>
                <w:sz w:val="20"/>
              </w:rPr>
              <w:t xml:space="preserve"> </w:t>
            </w:r>
            <w:r>
              <w:rPr>
                <w:sz w:val="20"/>
              </w:rPr>
              <w:t>what</w:t>
            </w:r>
            <w:r>
              <w:rPr>
                <w:spacing w:val="-11"/>
                <w:sz w:val="20"/>
              </w:rPr>
              <w:t xml:space="preserve"> </w:t>
            </w:r>
            <w:r>
              <w:rPr>
                <w:sz w:val="20"/>
              </w:rPr>
              <w:t>to</w:t>
            </w:r>
            <w:r>
              <w:rPr>
                <w:spacing w:val="-11"/>
                <w:sz w:val="20"/>
              </w:rPr>
              <w:t xml:space="preserve"> </w:t>
            </w:r>
            <w:r>
              <w:rPr>
                <w:sz w:val="20"/>
              </w:rPr>
              <w:t>do.</w:t>
            </w:r>
          </w:p>
        </w:tc>
        <w:tc>
          <w:tcPr>
            <w:tcW w:w="2398" w:type="dxa"/>
          </w:tcPr>
          <w:p w14:paraId="6AB45296" w14:textId="77777777" w:rsidR="00DB6E1F" w:rsidRDefault="00F666A6">
            <w:pPr>
              <w:pStyle w:val="TableParagraph"/>
              <w:numPr>
                <w:ilvl w:val="0"/>
                <w:numId w:val="55"/>
              </w:numPr>
              <w:tabs>
                <w:tab w:val="left" w:pos="271"/>
              </w:tabs>
              <w:spacing w:before="35" w:line="213" w:lineRule="auto"/>
              <w:ind w:right="383"/>
              <w:rPr>
                <w:sz w:val="20"/>
              </w:rPr>
            </w:pPr>
            <w:r>
              <w:rPr>
                <w:sz w:val="20"/>
              </w:rPr>
              <w:t>Explore</w:t>
            </w:r>
            <w:r>
              <w:rPr>
                <w:spacing w:val="-12"/>
                <w:sz w:val="20"/>
              </w:rPr>
              <w:t xml:space="preserve"> </w:t>
            </w:r>
            <w:r>
              <w:rPr>
                <w:sz w:val="20"/>
              </w:rPr>
              <w:t>client</w:t>
            </w:r>
            <w:r>
              <w:rPr>
                <w:spacing w:val="-11"/>
                <w:sz w:val="20"/>
              </w:rPr>
              <w:t xml:space="preserve"> </w:t>
            </w:r>
            <w:r>
              <w:rPr>
                <w:sz w:val="20"/>
              </w:rPr>
              <w:t xml:space="preserve">change </w:t>
            </w:r>
            <w:r>
              <w:rPr>
                <w:spacing w:val="-2"/>
                <w:sz w:val="20"/>
              </w:rPr>
              <w:t>goals.</w:t>
            </w:r>
          </w:p>
          <w:p w14:paraId="22D12FF1" w14:textId="77777777" w:rsidR="00DB6E1F" w:rsidRDefault="00F666A6">
            <w:pPr>
              <w:pStyle w:val="TableParagraph"/>
              <w:numPr>
                <w:ilvl w:val="0"/>
                <w:numId w:val="55"/>
              </w:numPr>
              <w:tabs>
                <w:tab w:val="left" w:pos="271"/>
              </w:tabs>
              <w:spacing w:before="12"/>
              <w:rPr>
                <w:sz w:val="20"/>
              </w:rPr>
            </w:pPr>
            <w:r>
              <w:rPr>
                <w:sz w:val="20"/>
              </w:rPr>
              <w:t>Develop</w:t>
            </w:r>
            <w:r>
              <w:rPr>
                <w:spacing w:val="-6"/>
                <w:sz w:val="20"/>
              </w:rPr>
              <w:t xml:space="preserve"> </w:t>
            </w:r>
            <w:r>
              <w:rPr>
                <w:sz w:val="20"/>
              </w:rPr>
              <w:t>a</w:t>
            </w:r>
            <w:r>
              <w:rPr>
                <w:spacing w:val="-6"/>
                <w:sz w:val="20"/>
              </w:rPr>
              <w:t xml:space="preserve"> </w:t>
            </w:r>
            <w:r>
              <w:rPr>
                <w:sz w:val="20"/>
              </w:rPr>
              <w:t>change</w:t>
            </w:r>
            <w:r>
              <w:rPr>
                <w:spacing w:val="-7"/>
                <w:sz w:val="20"/>
              </w:rPr>
              <w:t xml:space="preserve"> </w:t>
            </w:r>
            <w:r>
              <w:rPr>
                <w:spacing w:val="-4"/>
                <w:sz w:val="20"/>
              </w:rPr>
              <w:t>plan.</w:t>
            </w:r>
          </w:p>
        </w:tc>
        <w:tc>
          <w:tcPr>
            <w:tcW w:w="3636" w:type="dxa"/>
          </w:tcPr>
          <w:p w14:paraId="4E28F629" w14:textId="77777777" w:rsidR="00DB6E1F" w:rsidRDefault="00F666A6">
            <w:pPr>
              <w:pStyle w:val="TableParagraph"/>
              <w:numPr>
                <w:ilvl w:val="0"/>
                <w:numId w:val="54"/>
              </w:numPr>
              <w:tabs>
                <w:tab w:val="left" w:pos="271"/>
              </w:tabs>
              <w:spacing w:before="14"/>
              <w:ind w:hanging="191"/>
              <w:rPr>
                <w:sz w:val="20"/>
              </w:rPr>
            </w:pPr>
            <w:r>
              <w:rPr>
                <w:sz w:val="20"/>
              </w:rPr>
              <w:t>Clarify</w:t>
            </w:r>
            <w:r>
              <w:rPr>
                <w:spacing w:val="-5"/>
                <w:sz w:val="20"/>
              </w:rPr>
              <w:t xml:space="preserve"> </w:t>
            </w:r>
            <w:r>
              <w:rPr>
                <w:sz w:val="20"/>
              </w:rPr>
              <w:t>the</w:t>
            </w:r>
            <w:r>
              <w:rPr>
                <w:spacing w:val="-7"/>
                <w:sz w:val="20"/>
              </w:rPr>
              <w:t xml:space="preserve"> </w:t>
            </w:r>
            <w:r>
              <w:rPr>
                <w:sz w:val="20"/>
              </w:rPr>
              <w:t>client’s</w:t>
            </w:r>
            <w:r>
              <w:rPr>
                <w:spacing w:val="-7"/>
                <w:sz w:val="20"/>
              </w:rPr>
              <w:t xml:space="preserve"> </w:t>
            </w:r>
            <w:r>
              <w:rPr>
                <w:sz w:val="20"/>
              </w:rPr>
              <w:t>own</w:t>
            </w:r>
            <w:r>
              <w:rPr>
                <w:spacing w:val="-5"/>
                <w:sz w:val="20"/>
              </w:rPr>
              <w:t xml:space="preserve"> </w:t>
            </w:r>
            <w:r>
              <w:rPr>
                <w:spacing w:val="-2"/>
                <w:sz w:val="20"/>
              </w:rPr>
              <w:t>goals.</w:t>
            </w:r>
          </w:p>
          <w:p w14:paraId="147852EC" w14:textId="77777777" w:rsidR="00DB6E1F" w:rsidRDefault="00F666A6">
            <w:pPr>
              <w:pStyle w:val="TableParagraph"/>
              <w:numPr>
                <w:ilvl w:val="0"/>
                <w:numId w:val="54"/>
              </w:numPr>
              <w:tabs>
                <w:tab w:val="left" w:pos="271"/>
              </w:tabs>
              <w:spacing w:before="5"/>
              <w:ind w:hanging="191"/>
              <w:rPr>
                <w:sz w:val="20"/>
              </w:rPr>
            </w:pPr>
            <w:r>
              <w:rPr>
                <w:sz w:val="20"/>
              </w:rPr>
              <w:t>Sample</w:t>
            </w:r>
            <w:r>
              <w:rPr>
                <w:spacing w:val="-9"/>
                <w:sz w:val="20"/>
              </w:rPr>
              <w:t xml:space="preserve"> </w:t>
            </w:r>
            <w:r>
              <w:rPr>
                <w:sz w:val="20"/>
              </w:rPr>
              <w:t>goals;</w:t>
            </w:r>
            <w:r>
              <w:rPr>
                <w:spacing w:val="-8"/>
                <w:sz w:val="20"/>
              </w:rPr>
              <w:t xml:space="preserve"> </w:t>
            </w:r>
            <w:r>
              <w:rPr>
                <w:sz w:val="20"/>
              </w:rPr>
              <w:t>encourage</w:t>
            </w:r>
            <w:r>
              <w:rPr>
                <w:spacing w:val="-8"/>
                <w:sz w:val="20"/>
              </w:rPr>
              <w:t xml:space="preserve"> </w:t>
            </w:r>
            <w:r>
              <w:rPr>
                <w:spacing w:val="-2"/>
                <w:sz w:val="20"/>
              </w:rPr>
              <w:t>experimenting.</w:t>
            </w:r>
          </w:p>
          <w:p w14:paraId="6711DAE9" w14:textId="77777777" w:rsidR="00DB6E1F" w:rsidRDefault="00F666A6">
            <w:pPr>
              <w:pStyle w:val="TableParagraph"/>
              <w:numPr>
                <w:ilvl w:val="0"/>
                <w:numId w:val="54"/>
              </w:numPr>
              <w:tabs>
                <w:tab w:val="left" w:pos="271"/>
              </w:tabs>
              <w:spacing w:before="4"/>
              <w:ind w:hanging="191"/>
              <w:rPr>
                <w:sz w:val="20"/>
              </w:rPr>
            </w:pPr>
            <w:r>
              <w:rPr>
                <w:sz w:val="20"/>
              </w:rPr>
              <w:t>Elicit</w:t>
            </w:r>
            <w:r>
              <w:rPr>
                <w:spacing w:val="-6"/>
                <w:sz w:val="20"/>
              </w:rPr>
              <w:t xml:space="preserve"> </w:t>
            </w:r>
            <w:r>
              <w:rPr>
                <w:sz w:val="20"/>
              </w:rPr>
              <w:t>change</w:t>
            </w:r>
            <w:r>
              <w:rPr>
                <w:spacing w:val="-7"/>
                <w:sz w:val="20"/>
              </w:rPr>
              <w:t xml:space="preserve"> </w:t>
            </w:r>
            <w:r>
              <w:rPr>
                <w:sz w:val="20"/>
              </w:rPr>
              <w:t>strategies</w:t>
            </w:r>
            <w:r>
              <w:rPr>
                <w:spacing w:val="-7"/>
                <w:sz w:val="20"/>
              </w:rPr>
              <w:t xml:space="preserve"> </w:t>
            </w:r>
            <w:r>
              <w:rPr>
                <w:sz w:val="20"/>
              </w:rPr>
              <w:t>from</w:t>
            </w:r>
            <w:r>
              <w:rPr>
                <w:spacing w:val="-7"/>
                <w:sz w:val="20"/>
              </w:rPr>
              <w:t xml:space="preserve"> </w:t>
            </w:r>
            <w:r>
              <w:rPr>
                <w:sz w:val="20"/>
              </w:rPr>
              <w:t>the</w:t>
            </w:r>
            <w:r>
              <w:rPr>
                <w:spacing w:val="-7"/>
                <w:sz w:val="20"/>
              </w:rPr>
              <w:t xml:space="preserve"> </w:t>
            </w:r>
            <w:r>
              <w:rPr>
                <w:spacing w:val="-2"/>
                <w:sz w:val="20"/>
              </w:rPr>
              <w:t>client.</w:t>
            </w:r>
          </w:p>
          <w:p w14:paraId="3307F8CF" w14:textId="77777777" w:rsidR="00DB6E1F" w:rsidRDefault="00F666A6">
            <w:pPr>
              <w:pStyle w:val="TableParagraph"/>
              <w:numPr>
                <w:ilvl w:val="0"/>
                <w:numId w:val="54"/>
              </w:numPr>
              <w:tabs>
                <w:tab w:val="left" w:pos="271"/>
              </w:tabs>
              <w:spacing w:before="5"/>
              <w:ind w:hanging="191"/>
              <w:rPr>
                <w:sz w:val="20"/>
              </w:rPr>
            </w:pPr>
            <w:r>
              <w:rPr>
                <w:sz w:val="20"/>
              </w:rPr>
              <w:t>Offer</w:t>
            </w:r>
            <w:r>
              <w:rPr>
                <w:spacing w:val="-4"/>
                <w:sz w:val="20"/>
              </w:rPr>
              <w:t xml:space="preserve"> </w:t>
            </w:r>
            <w:r>
              <w:rPr>
                <w:sz w:val="20"/>
              </w:rPr>
              <w:t>a</w:t>
            </w:r>
            <w:r>
              <w:rPr>
                <w:spacing w:val="-4"/>
                <w:sz w:val="20"/>
              </w:rPr>
              <w:t xml:space="preserve"> </w:t>
            </w:r>
            <w:r>
              <w:rPr>
                <w:sz w:val="20"/>
              </w:rPr>
              <w:t>menu</w:t>
            </w:r>
            <w:r>
              <w:rPr>
                <w:spacing w:val="-3"/>
                <w:sz w:val="20"/>
              </w:rPr>
              <w:t xml:space="preserve"> </w:t>
            </w:r>
            <w:r>
              <w:rPr>
                <w:sz w:val="20"/>
              </w:rPr>
              <w:t>of</w:t>
            </w:r>
            <w:r>
              <w:rPr>
                <w:spacing w:val="-5"/>
                <w:sz w:val="20"/>
              </w:rPr>
              <w:t xml:space="preserve"> </w:t>
            </w:r>
            <w:r>
              <w:rPr>
                <w:sz w:val="20"/>
              </w:rPr>
              <w:t>change</w:t>
            </w:r>
            <w:r>
              <w:rPr>
                <w:spacing w:val="-5"/>
                <w:sz w:val="20"/>
              </w:rPr>
              <w:t xml:space="preserve"> </w:t>
            </w:r>
            <w:r>
              <w:rPr>
                <w:spacing w:val="-2"/>
                <w:sz w:val="20"/>
              </w:rPr>
              <w:t>options.</w:t>
            </w:r>
          </w:p>
          <w:p w14:paraId="53E0E0B5" w14:textId="77777777" w:rsidR="00DB6E1F" w:rsidRDefault="00F666A6">
            <w:pPr>
              <w:pStyle w:val="TableParagraph"/>
              <w:numPr>
                <w:ilvl w:val="0"/>
                <w:numId w:val="54"/>
              </w:numPr>
              <w:tabs>
                <w:tab w:val="left" w:pos="271"/>
              </w:tabs>
              <w:spacing w:before="6"/>
              <w:ind w:hanging="191"/>
              <w:rPr>
                <w:sz w:val="20"/>
              </w:rPr>
            </w:pPr>
            <w:r>
              <w:rPr>
                <w:sz w:val="20"/>
              </w:rPr>
              <w:t>Negotiate</w:t>
            </w:r>
            <w:r>
              <w:rPr>
                <w:spacing w:val="-9"/>
                <w:sz w:val="20"/>
              </w:rPr>
              <w:t xml:space="preserve"> </w:t>
            </w:r>
            <w:r>
              <w:rPr>
                <w:sz w:val="20"/>
              </w:rPr>
              <w:t>a</w:t>
            </w:r>
            <w:r>
              <w:rPr>
                <w:spacing w:val="-7"/>
                <w:sz w:val="20"/>
              </w:rPr>
              <w:t xml:space="preserve"> </w:t>
            </w:r>
            <w:r>
              <w:rPr>
                <w:sz w:val="20"/>
              </w:rPr>
              <w:t>behavioral</w:t>
            </w:r>
            <w:r>
              <w:rPr>
                <w:spacing w:val="-8"/>
                <w:sz w:val="20"/>
              </w:rPr>
              <w:t xml:space="preserve"> </w:t>
            </w:r>
            <w:r>
              <w:rPr>
                <w:spacing w:val="-2"/>
                <w:sz w:val="20"/>
              </w:rPr>
              <w:t>contract.</w:t>
            </w:r>
          </w:p>
        </w:tc>
      </w:tr>
    </w:tbl>
    <w:p w14:paraId="6C57A24E" w14:textId="77777777" w:rsidR="00DB6E1F" w:rsidRDefault="00DB6E1F">
      <w:pPr>
        <w:rPr>
          <w:sz w:val="20"/>
        </w:rPr>
        <w:sectPr w:rsidR="00DB6E1F">
          <w:headerReference w:type="default" r:id="rId109"/>
          <w:footerReference w:type="default" r:id="rId110"/>
          <w:pgSz w:w="12240" w:h="15840"/>
          <w:pgMar w:top="1200" w:right="0" w:bottom="780" w:left="0" w:header="763" w:footer="585" w:gutter="0"/>
          <w:cols w:space="720"/>
        </w:sectPr>
      </w:pPr>
    </w:p>
    <w:p w14:paraId="78FA8271" w14:textId="77777777" w:rsidR="00DB6E1F" w:rsidRDefault="00DB6E1F">
      <w:pPr>
        <w:pStyle w:val="BodyText"/>
        <w:spacing w:before="11"/>
        <w:rPr>
          <w:sz w:val="18"/>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2136"/>
        <w:gridCol w:w="2398"/>
        <w:gridCol w:w="3636"/>
      </w:tblGrid>
      <w:tr w:rsidR="00DB6E1F" w14:paraId="541768FA" w14:textId="77777777">
        <w:trPr>
          <w:trHeight w:val="439"/>
        </w:trPr>
        <w:tc>
          <w:tcPr>
            <w:tcW w:w="9351" w:type="dxa"/>
            <w:gridSpan w:val="4"/>
            <w:tcBorders>
              <w:top w:val="nil"/>
              <w:left w:val="nil"/>
              <w:bottom w:val="nil"/>
              <w:right w:val="nil"/>
            </w:tcBorders>
            <w:shd w:val="clear" w:color="auto" w:fill="000000"/>
          </w:tcPr>
          <w:p w14:paraId="3D6B2FD9" w14:textId="77777777" w:rsidR="00DB6E1F" w:rsidRDefault="00F666A6">
            <w:pPr>
              <w:pStyle w:val="TableParagraph"/>
              <w:spacing w:before="74"/>
              <w:ind w:left="213"/>
              <w:rPr>
                <w:sz w:val="24"/>
              </w:rPr>
            </w:pPr>
            <w:r>
              <w:rPr>
                <w:color w:val="FFFFFF"/>
                <w:sz w:val="24"/>
              </w:rPr>
              <w:t>Exhibit</w:t>
            </w:r>
            <w:r>
              <w:rPr>
                <w:color w:val="FFFFFF"/>
                <w:spacing w:val="-5"/>
                <w:sz w:val="24"/>
              </w:rPr>
              <w:t xml:space="preserve"> </w:t>
            </w:r>
            <w:r>
              <w:rPr>
                <w:color w:val="FFFFFF"/>
                <w:sz w:val="24"/>
              </w:rPr>
              <w:t>6.1.</w:t>
            </w:r>
            <w:r>
              <w:rPr>
                <w:color w:val="FFFFFF"/>
                <w:spacing w:val="-1"/>
                <w:sz w:val="24"/>
              </w:rPr>
              <w:t xml:space="preserve"> </w:t>
            </w:r>
            <w:r>
              <w:rPr>
                <w:color w:val="FFFFFF"/>
                <w:sz w:val="24"/>
              </w:rPr>
              <w:t>Counseling</w:t>
            </w:r>
            <w:r>
              <w:rPr>
                <w:color w:val="FFFFFF"/>
                <w:spacing w:val="-2"/>
                <w:sz w:val="24"/>
              </w:rPr>
              <w:t xml:space="preserve"> </w:t>
            </w:r>
            <w:r>
              <w:rPr>
                <w:color w:val="FFFFFF"/>
                <w:sz w:val="24"/>
              </w:rPr>
              <w:t>Strategies</w:t>
            </w:r>
            <w:r>
              <w:rPr>
                <w:color w:val="FFFFFF"/>
                <w:spacing w:val="-3"/>
                <w:sz w:val="24"/>
              </w:rPr>
              <w:t xml:space="preserve"> </w:t>
            </w:r>
            <w:r>
              <w:rPr>
                <w:color w:val="FFFFFF"/>
                <w:sz w:val="24"/>
              </w:rPr>
              <w:t>for</w:t>
            </w:r>
            <w:r>
              <w:rPr>
                <w:color w:val="FFFFFF"/>
                <w:spacing w:val="-4"/>
                <w:sz w:val="24"/>
              </w:rPr>
              <w:t xml:space="preserve"> </w:t>
            </w:r>
            <w:r>
              <w:rPr>
                <w:color w:val="FFFFFF"/>
                <w:sz w:val="24"/>
              </w:rPr>
              <w:t>Preparation</w:t>
            </w:r>
            <w:r>
              <w:rPr>
                <w:color w:val="FFFFFF"/>
                <w:spacing w:val="-4"/>
                <w:sz w:val="24"/>
              </w:rPr>
              <w:t xml:space="preserve"> </w:t>
            </w:r>
            <w:r>
              <w:rPr>
                <w:color w:val="FFFFFF"/>
                <w:sz w:val="24"/>
              </w:rPr>
              <w:t>and</w:t>
            </w:r>
            <w:r>
              <w:rPr>
                <w:color w:val="FFFFFF"/>
                <w:spacing w:val="-2"/>
                <w:sz w:val="24"/>
              </w:rPr>
              <w:t xml:space="preserve"> Action</w:t>
            </w:r>
          </w:p>
        </w:tc>
      </w:tr>
      <w:tr w:rsidR="00DB6E1F" w14:paraId="0F1C3018" w14:textId="77777777">
        <w:trPr>
          <w:trHeight w:val="359"/>
        </w:trPr>
        <w:tc>
          <w:tcPr>
            <w:tcW w:w="1181" w:type="dxa"/>
          </w:tcPr>
          <w:p w14:paraId="21233429" w14:textId="77777777" w:rsidR="00DB6E1F" w:rsidRDefault="00F666A6">
            <w:pPr>
              <w:pStyle w:val="TableParagraph"/>
              <w:spacing w:before="0" w:line="241" w:lineRule="exact"/>
              <w:rPr>
                <w:sz w:val="20"/>
              </w:rPr>
            </w:pPr>
            <w:r>
              <w:rPr>
                <w:spacing w:val="-5"/>
                <w:sz w:val="20"/>
              </w:rPr>
              <w:t>SOC</w:t>
            </w:r>
          </w:p>
        </w:tc>
        <w:tc>
          <w:tcPr>
            <w:tcW w:w="2136" w:type="dxa"/>
          </w:tcPr>
          <w:p w14:paraId="5E94CD9A" w14:textId="77777777" w:rsidR="00DB6E1F" w:rsidRDefault="00F666A6">
            <w:pPr>
              <w:pStyle w:val="TableParagraph"/>
              <w:spacing w:before="0" w:line="241" w:lineRule="exact"/>
              <w:rPr>
                <w:sz w:val="20"/>
              </w:rPr>
            </w:pPr>
            <w:r>
              <w:rPr>
                <w:sz w:val="20"/>
              </w:rPr>
              <w:t>Client</w:t>
            </w:r>
            <w:r>
              <w:rPr>
                <w:spacing w:val="-9"/>
                <w:sz w:val="20"/>
              </w:rPr>
              <w:t xml:space="preserve"> </w:t>
            </w:r>
            <w:r>
              <w:rPr>
                <w:spacing w:val="-2"/>
                <w:sz w:val="20"/>
              </w:rPr>
              <w:t>Motivation</w:t>
            </w:r>
          </w:p>
        </w:tc>
        <w:tc>
          <w:tcPr>
            <w:tcW w:w="2398" w:type="dxa"/>
          </w:tcPr>
          <w:p w14:paraId="0DA07C71" w14:textId="77777777" w:rsidR="00DB6E1F" w:rsidRDefault="00F666A6">
            <w:pPr>
              <w:pStyle w:val="TableParagraph"/>
              <w:spacing w:before="0" w:line="241" w:lineRule="exact"/>
              <w:rPr>
                <w:sz w:val="20"/>
              </w:rPr>
            </w:pPr>
            <w:r>
              <w:rPr>
                <w:spacing w:val="-2"/>
                <w:sz w:val="20"/>
              </w:rPr>
              <w:t>Counselor</w:t>
            </w:r>
            <w:r>
              <w:rPr>
                <w:spacing w:val="4"/>
                <w:sz w:val="20"/>
              </w:rPr>
              <w:t xml:space="preserve"> </w:t>
            </w:r>
            <w:r>
              <w:rPr>
                <w:spacing w:val="-2"/>
                <w:sz w:val="20"/>
              </w:rPr>
              <w:t>Focus</w:t>
            </w:r>
          </w:p>
        </w:tc>
        <w:tc>
          <w:tcPr>
            <w:tcW w:w="3636" w:type="dxa"/>
          </w:tcPr>
          <w:p w14:paraId="60D2B951" w14:textId="77777777" w:rsidR="00DB6E1F" w:rsidRDefault="00F666A6">
            <w:pPr>
              <w:pStyle w:val="TableParagraph"/>
              <w:spacing w:before="0" w:line="241" w:lineRule="exact"/>
              <w:rPr>
                <w:sz w:val="20"/>
              </w:rPr>
            </w:pPr>
            <w:r>
              <w:rPr>
                <w:spacing w:val="-2"/>
                <w:sz w:val="20"/>
              </w:rPr>
              <w:t>Counseling</w:t>
            </w:r>
            <w:r>
              <w:rPr>
                <w:spacing w:val="5"/>
                <w:sz w:val="20"/>
              </w:rPr>
              <w:t xml:space="preserve"> </w:t>
            </w:r>
            <w:r>
              <w:rPr>
                <w:spacing w:val="-2"/>
                <w:sz w:val="20"/>
              </w:rPr>
              <w:t>Strategies</w:t>
            </w:r>
          </w:p>
        </w:tc>
      </w:tr>
      <w:tr w:rsidR="00DB6E1F" w14:paraId="6A656C68" w14:textId="77777777">
        <w:trPr>
          <w:trHeight w:val="554"/>
        </w:trPr>
        <w:tc>
          <w:tcPr>
            <w:tcW w:w="1181" w:type="dxa"/>
          </w:tcPr>
          <w:p w14:paraId="476DD020" w14:textId="77777777" w:rsidR="00DB6E1F" w:rsidRDefault="00DB6E1F">
            <w:pPr>
              <w:pStyle w:val="TableParagraph"/>
              <w:spacing w:before="0"/>
              <w:ind w:left="0"/>
              <w:rPr>
                <w:rFonts w:ascii="Times New Roman"/>
                <w:sz w:val="20"/>
              </w:rPr>
            </w:pPr>
          </w:p>
        </w:tc>
        <w:tc>
          <w:tcPr>
            <w:tcW w:w="2136" w:type="dxa"/>
          </w:tcPr>
          <w:p w14:paraId="5AD6396F" w14:textId="77777777" w:rsidR="00DB6E1F" w:rsidRDefault="00DB6E1F">
            <w:pPr>
              <w:pStyle w:val="TableParagraph"/>
              <w:spacing w:before="0"/>
              <w:ind w:left="0"/>
              <w:rPr>
                <w:rFonts w:ascii="Times New Roman"/>
                <w:sz w:val="20"/>
              </w:rPr>
            </w:pPr>
          </w:p>
        </w:tc>
        <w:tc>
          <w:tcPr>
            <w:tcW w:w="2398" w:type="dxa"/>
          </w:tcPr>
          <w:p w14:paraId="6766410C" w14:textId="77777777" w:rsidR="00DB6E1F" w:rsidRDefault="00DB6E1F">
            <w:pPr>
              <w:pStyle w:val="TableParagraph"/>
              <w:spacing w:before="0"/>
              <w:ind w:left="0"/>
              <w:rPr>
                <w:rFonts w:ascii="Times New Roman"/>
                <w:sz w:val="20"/>
              </w:rPr>
            </w:pPr>
          </w:p>
        </w:tc>
        <w:tc>
          <w:tcPr>
            <w:tcW w:w="3636" w:type="dxa"/>
          </w:tcPr>
          <w:p w14:paraId="58DA4E83" w14:textId="77777777" w:rsidR="00DB6E1F" w:rsidRDefault="00F666A6">
            <w:pPr>
              <w:pStyle w:val="TableParagraph"/>
              <w:numPr>
                <w:ilvl w:val="0"/>
                <w:numId w:val="53"/>
              </w:numPr>
              <w:tabs>
                <w:tab w:val="left" w:pos="271"/>
              </w:tabs>
              <w:spacing w:before="0" w:line="229" w:lineRule="exact"/>
              <w:ind w:hanging="191"/>
              <w:rPr>
                <w:sz w:val="20"/>
              </w:rPr>
            </w:pPr>
            <w:r>
              <w:rPr>
                <w:sz w:val="20"/>
              </w:rPr>
              <w:t>Explore</w:t>
            </w:r>
            <w:r>
              <w:rPr>
                <w:spacing w:val="-7"/>
                <w:sz w:val="20"/>
              </w:rPr>
              <w:t xml:space="preserve"> </w:t>
            </w:r>
            <w:r>
              <w:rPr>
                <w:sz w:val="20"/>
              </w:rPr>
              <w:t>and</w:t>
            </w:r>
            <w:r>
              <w:rPr>
                <w:spacing w:val="-4"/>
                <w:sz w:val="20"/>
              </w:rPr>
              <w:t xml:space="preserve"> </w:t>
            </w:r>
            <w:r>
              <w:rPr>
                <w:sz w:val="20"/>
              </w:rPr>
              <w:t>lower</w:t>
            </w:r>
            <w:r>
              <w:rPr>
                <w:spacing w:val="-6"/>
                <w:sz w:val="20"/>
              </w:rPr>
              <w:t xml:space="preserve"> </w:t>
            </w:r>
            <w:r>
              <w:rPr>
                <w:sz w:val="20"/>
              </w:rPr>
              <w:t>barriers</w:t>
            </w:r>
            <w:r>
              <w:rPr>
                <w:spacing w:val="-6"/>
                <w:sz w:val="20"/>
              </w:rPr>
              <w:t xml:space="preserve"> </w:t>
            </w:r>
            <w:r>
              <w:rPr>
                <w:sz w:val="20"/>
              </w:rPr>
              <w:t>to</w:t>
            </w:r>
            <w:r>
              <w:rPr>
                <w:spacing w:val="-2"/>
                <w:sz w:val="20"/>
              </w:rPr>
              <w:t xml:space="preserve"> action.</w:t>
            </w:r>
          </w:p>
          <w:p w14:paraId="4A02D9AC" w14:textId="77777777" w:rsidR="00DB6E1F" w:rsidRDefault="00F666A6">
            <w:pPr>
              <w:pStyle w:val="TableParagraph"/>
              <w:numPr>
                <w:ilvl w:val="0"/>
                <w:numId w:val="53"/>
              </w:numPr>
              <w:tabs>
                <w:tab w:val="left" w:pos="467"/>
                <w:tab w:val="left" w:pos="468"/>
              </w:tabs>
              <w:spacing w:before="31"/>
              <w:ind w:left="467" w:hanging="361"/>
              <w:rPr>
                <w:sz w:val="20"/>
              </w:rPr>
            </w:pPr>
            <w:r>
              <w:rPr>
                <w:sz w:val="20"/>
              </w:rPr>
              <w:t>Enlist</w:t>
            </w:r>
            <w:r>
              <w:rPr>
                <w:spacing w:val="-8"/>
                <w:sz w:val="20"/>
              </w:rPr>
              <w:t xml:space="preserve"> </w:t>
            </w:r>
            <w:r>
              <w:rPr>
                <w:sz w:val="20"/>
              </w:rPr>
              <w:t>social</w:t>
            </w:r>
            <w:r>
              <w:rPr>
                <w:spacing w:val="-8"/>
                <w:sz w:val="20"/>
              </w:rPr>
              <w:t xml:space="preserve"> </w:t>
            </w:r>
            <w:r>
              <w:rPr>
                <w:spacing w:val="-2"/>
                <w:sz w:val="20"/>
              </w:rPr>
              <w:t>support.</w:t>
            </w:r>
          </w:p>
        </w:tc>
      </w:tr>
      <w:tr w:rsidR="00DB6E1F" w14:paraId="73AE085D" w14:textId="77777777">
        <w:trPr>
          <w:trHeight w:val="1117"/>
        </w:trPr>
        <w:tc>
          <w:tcPr>
            <w:tcW w:w="1181" w:type="dxa"/>
          </w:tcPr>
          <w:p w14:paraId="4FFCB237" w14:textId="77777777" w:rsidR="00DB6E1F" w:rsidRDefault="00F666A6">
            <w:pPr>
              <w:pStyle w:val="TableParagraph"/>
              <w:rPr>
                <w:sz w:val="20"/>
              </w:rPr>
            </w:pPr>
            <w:r>
              <w:rPr>
                <w:spacing w:val="-2"/>
                <w:sz w:val="20"/>
              </w:rPr>
              <w:t>Action</w:t>
            </w:r>
          </w:p>
        </w:tc>
        <w:tc>
          <w:tcPr>
            <w:tcW w:w="2136" w:type="dxa"/>
          </w:tcPr>
          <w:p w14:paraId="2C4DB90E" w14:textId="77777777" w:rsidR="00DB6E1F" w:rsidRDefault="00F666A6">
            <w:pPr>
              <w:pStyle w:val="TableParagraph"/>
              <w:ind w:right="147"/>
              <w:rPr>
                <w:sz w:val="20"/>
              </w:rPr>
            </w:pPr>
            <w:r>
              <w:rPr>
                <w:sz w:val="20"/>
              </w:rPr>
              <w:t>The client actively takes</w:t>
            </w:r>
            <w:r>
              <w:rPr>
                <w:spacing w:val="-12"/>
                <w:sz w:val="20"/>
              </w:rPr>
              <w:t xml:space="preserve"> </w:t>
            </w:r>
            <w:r>
              <w:rPr>
                <w:sz w:val="20"/>
              </w:rPr>
              <w:t>steps</w:t>
            </w:r>
            <w:r>
              <w:rPr>
                <w:spacing w:val="-11"/>
                <w:sz w:val="20"/>
              </w:rPr>
              <w:t xml:space="preserve"> </w:t>
            </w:r>
            <w:r>
              <w:rPr>
                <w:sz w:val="20"/>
              </w:rPr>
              <w:t>to</w:t>
            </w:r>
            <w:r>
              <w:rPr>
                <w:spacing w:val="-11"/>
                <w:sz w:val="20"/>
              </w:rPr>
              <w:t xml:space="preserve"> </w:t>
            </w:r>
            <w:r>
              <w:rPr>
                <w:sz w:val="20"/>
              </w:rPr>
              <w:t>change but is not yet stable.</w:t>
            </w:r>
          </w:p>
        </w:tc>
        <w:tc>
          <w:tcPr>
            <w:tcW w:w="2398" w:type="dxa"/>
          </w:tcPr>
          <w:p w14:paraId="3CC11618" w14:textId="77777777" w:rsidR="00DB6E1F" w:rsidRDefault="00F666A6">
            <w:pPr>
              <w:pStyle w:val="TableParagraph"/>
              <w:numPr>
                <w:ilvl w:val="0"/>
                <w:numId w:val="52"/>
              </w:numPr>
              <w:tabs>
                <w:tab w:val="left" w:pos="271"/>
              </w:tabs>
              <w:spacing w:before="41"/>
              <w:ind w:right="527"/>
              <w:rPr>
                <w:sz w:val="20"/>
              </w:rPr>
            </w:pPr>
            <w:r>
              <w:rPr>
                <w:sz w:val="20"/>
              </w:rPr>
              <w:t>Support</w:t>
            </w:r>
            <w:r>
              <w:rPr>
                <w:spacing w:val="-12"/>
                <w:sz w:val="20"/>
              </w:rPr>
              <w:t xml:space="preserve"> </w:t>
            </w:r>
            <w:r>
              <w:rPr>
                <w:sz w:val="20"/>
              </w:rPr>
              <w:t>the</w:t>
            </w:r>
            <w:r>
              <w:rPr>
                <w:spacing w:val="-11"/>
                <w:sz w:val="20"/>
              </w:rPr>
              <w:t xml:space="preserve"> </w:t>
            </w:r>
            <w:r>
              <w:rPr>
                <w:sz w:val="20"/>
              </w:rPr>
              <w:t>client’s action steps.</w:t>
            </w:r>
          </w:p>
          <w:p w14:paraId="56795F8C" w14:textId="77777777" w:rsidR="00DB6E1F" w:rsidRDefault="00F666A6">
            <w:pPr>
              <w:pStyle w:val="TableParagraph"/>
              <w:numPr>
                <w:ilvl w:val="0"/>
                <w:numId w:val="52"/>
              </w:numPr>
              <w:tabs>
                <w:tab w:val="left" w:pos="271"/>
              </w:tabs>
              <w:spacing w:before="38"/>
              <w:rPr>
                <w:sz w:val="20"/>
              </w:rPr>
            </w:pPr>
            <w:r>
              <w:rPr>
                <w:sz w:val="20"/>
              </w:rPr>
              <w:t>Evaluate</w:t>
            </w:r>
            <w:r>
              <w:rPr>
                <w:spacing w:val="-8"/>
                <w:sz w:val="20"/>
              </w:rPr>
              <w:t xml:space="preserve"> </w:t>
            </w:r>
            <w:r>
              <w:rPr>
                <w:sz w:val="20"/>
              </w:rPr>
              <w:t>the</w:t>
            </w:r>
            <w:r>
              <w:rPr>
                <w:spacing w:val="-8"/>
                <w:sz w:val="20"/>
              </w:rPr>
              <w:t xml:space="preserve"> </w:t>
            </w:r>
            <w:r>
              <w:rPr>
                <w:sz w:val="20"/>
              </w:rPr>
              <w:t>change</w:t>
            </w:r>
            <w:r>
              <w:rPr>
                <w:spacing w:val="-7"/>
                <w:sz w:val="20"/>
              </w:rPr>
              <w:t xml:space="preserve"> </w:t>
            </w:r>
            <w:r>
              <w:rPr>
                <w:spacing w:val="-4"/>
                <w:sz w:val="20"/>
              </w:rPr>
              <w:t>plan.</w:t>
            </w:r>
          </w:p>
        </w:tc>
        <w:tc>
          <w:tcPr>
            <w:tcW w:w="3636" w:type="dxa"/>
          </w:tcPr>
          <w:p w14:paraId="09536CFB" w14:textId="77777777" w:rsidR="00DB6E1F" w:rsidRDefault="00F666A6">
            <w:pPr>
              <w:pStyle w:val="TableParagraph"/>
              <w:numPr>
                <w:ilvl w:val="0"/>
                <w:numId w:val="51"/>
              </w:numPr>
              <w:tabs>
                <w:tab w:val="left" w:pos="271"/>
              </w:tabs>
              <w:spacing w:before="41"/>
              <w:ind w:right="112"/>
              <w:rPr>
                <w:sz w:val="20"/>
              </w:rPr>
            </w:pPr>
            <w:r>
              <w:rPr>
                <w:sz w:val="20"/>
              </w:rPr>
              <w:t>Help</w:t>
            </w:r>
            <w:r>
              <w:rPr>
                <w:spacing w:val="-7"/>
                <w:sz w:val="20"/>
              </w:rPr>
              <w:t xml:space="preserve"> </w:t>
            </w:r>
            <w:r>
              <w:rPr>
                <w:sz w:val="20"/>
              </w:rPr>
              <w:t>the</w:t>
            </w:r>
            <w:r>
              <w:rPr>
                <w:spacing w:val="-9"/>
                <w:sz w:val="20"/>
              </w:rPr>
              <w:t xml:space="preserve"> </w:t>
            </w:r>
            <w:r>
              <w:rPr>
                <w:sz w:val="20"/>
              </w:rPr>
              <w:t>client</w:t>
            </w:r>
            <w:r>
              <w:rPr>
                <w:spacing w:val="-8"/>
                <w:sz w:val="20"/>
              </w:rPr>
              <w:t xml:space="preserve"> </w:t>
            </w:r>
            <w:r>
              <w:rPr>
                <w:sz w:val="20"/>
              </w:rPr>
              <w:t>determine</w:t>
            </w:r>
            <w:r>
              <w:rPr>
                <w:spacing w:val="-6"/>
                <w:sz w:val="20"/>
              </w:rPr>
              <w:t xml:space="preserve"> </w:t>
            </w:r>
            <w:r>
              <w:rPr>
                <w:sz w:val="20"/>
              </w:rPr>
              <w:t>which</w:t>
            </w:r>
            <w:r>
              <w:rPr>
                <w:spacing w:val="-7"/>
                <w:sz w:val="20"/>
              </w:rPr>
              <w:t xml:space="preserve"> </w:t>
            </w:r>
            <w:r>
              <w:rPr>
                <w:sz w:val="20"/>
              </w:rPr>
              <w:t xml:space="preserve">change strategies are working and which are </w:t>
            </w:r>
            <w:r>
              <w:rPr>
                <w:spacing w:val="-4"/>
                <w:sz w:val="20"/>
              </w:rPr>
              <w:t>not.</w:t>
            </w:r>
          </w:p>
          <w:p w14:paraId="60889AF8" w14:textId="77777777" w:rsidR="00DB6E1F" w:rsidRDefault="00F666A6">
            <w:pPr>
              <w:pStyle w:val="TableParagraph"/>
              <w:numPr>
                <w:ilvl w:val="0"/>
                <w:numId w:val="51"/>
              </w:numPr>
              <w:tabs>
                <w:tab w:val="left" w:pos="467"/>
                <w:tab w:val="left" w:pos="468"/>
              </w:tabs>
              <w:spacing w:before="39"/>
              <w:ind w:left="467" w:hanging="361"/>
              <w:rPr>
                <w:sz w:val="20"/>
              </w:rPr>
            </w:pPr>
            <w:r>
              <w:rPr>
                <w:sz w:val="20"/>
              </w:rPr>
              <w:t>Change</w:t>
            </w:r>
            <w:r>
              <w:rPr>
                <w:spacing w:val="-7"/>
                <w:sz w:val="20"/>
              </w:rPr>
              <w:t xml:space="preserve"> </w:t>
            </w:r>
            <w:r>
              <w:rPr>
                <w:sz w:val="20"/>
              </w:rPr>
              <w:t>the</w:t>
            </w:r>
            <w:r>
              <w:rPr>
                <w:spacing w:val="-6"/>
                <w:sz w:val="20"/>
              </w:rPr>
              <w:t xml:space="preserve"> </w:t>
            </w:r>
            <w:r>
              <w:rPr>
                <w:sz w:val="20"/>
              </w:rPr>
              <w:t>strategies</w:t>
            </w:r>
            <w:r>
              <w:rPr>
                <w:spacing w:val="-7"/>
                <w:sz w:val="20"/>
              </w:rPr>
              <w:t xml:space="preserve"> </w:t>
            </w:r>
            <w:r>
              <w:rPr>
                <w:sz w:val="20"/>
              </w:rPr>
              <w:t>as</w:t>
            </w:r>
            <w:r>
              <w:rPr>
                <w:spacing w:val="-6"/>
                <w:sz w:val="20"/>
              </w:rPr>
              <w:t xml:space="preserve"> </w:t>
            </w:r>
            <w:r>
              <w:rPr>
                <w:spacing w:val="-2"/>
                <w:sz w:val="20"/>
              </w:rPr>
              <w:t>needed.</w:t>
            </w:r>
          </w:p>
        </w:tc>
      </w:tr>
    </w:tbl>
    <w:p w14:paraId="7683C3AE" w14:textId="77777777" w:rsidR="00DB6E1F" w:rsidRDefault="00F666A6">
      <w:pPr>
        <w:pStyle w:val="Heading2"/>
        <w:spacing w:before="9"/>
      </w:pPr>
      <w:bookmarkStart w:id="168" w:name="Explore_Client_Change_Goals"/>
      <w:bookmarkStart w:id="169" w:name="_bookmark35"/>
      <w:bookmarkEnd w:id="168"/>
      <w:bookmarkEnd w:id="169"/>
      <w:r>
        <w:t>Explore</w:t>
      </w:r>
      <w:r>
        <w:rPr>
          <w:spacing w:val="-2"/>
        </w:rPr>
        <w:t xml:space="preserve"> </w:t>
      </w:r>
      <w:r>
        <w:t>Client</w:t>
      </w:r>
      <w:r>
        <w:rPr>
          <w:spacing w:val="-2"/>
        </w:rPr>
        <w:t xml:space="preserve"> </w:t>
      </w:r>
      <w:r>
        <w:t>Change</w:t>
      </w:r>
      <w:r>
        <w:rPr>
          <w:spacing w:val="-2"/>
        </w:rPr>
        <w:t xml:space="preserve"> </w:t>
      </w:r>
      <w:r>
        <w:rPr>
          <w:spacing w:val="-4"/>
        </w:rPr>
        <w:t>Goals</w:t>
      </w:r>
    </w:p>
    <w:p w14:paraId="37F6D9A1" w14:textId="77777777" w:rsidR="00DB6E1F" w:rsidRDefault="00F666A6">
      <w:pPr>
        <w:pStyle w:val="BodyText"/>
        <w:spacing w:before="152"/>
        <w:ind w:left="1440" w:right="1444"/>
        <w:rPr>
          <w:b/>
        </w:rPr>
      </w:pPr>
      <w:r>
        <w:t>Once</w:t>
      </w:r>
      <w:r>
        <w:rPr>
          <w:spacing w:val="-1"/>
        </w:rPr>
        <w:t xml:space="preserve"> </w:t>
      </w:r>
      <w:r>
        <w:t>the</w:t>
      </w:r>
      <w:r>
        <w:rPr>
          <w:spacing w:val="-1"/>
        </w:rPr>
        <w:t xml:space="preserve"> </w:t>
      </w:r>
      <w:r>
        <w:t>client</w:t>
      </w:r>
      <w:r>
        <w:rPr>
          <w:spacing w:val="-4"/>
        </w:rPr>
        <w:t xml:space="preserve"> </w:t>
      </w:r>
      <w:r>
        <w:t>has</w:t>
      </w:r>
      <w:r>
        <w:rPr>
          <w:spacing w:val="-2"/>
        </w:rPr>
        <w:t xml:space="preserve"> </w:t>
      </w:r>
      <w:r>
        <w:t>decided</w:t>
      </w:r>
      <w:r>
        <w:rPr>
          <w:spacing w:val="-3"/>
        </w:rPr>
        <w:t xml:space="preserve"> </w:t>
      </w:r>
      <w:r>
        <w:t>to</w:t>
      </w:r>
      <w:r>
        <w:rPr>
          <w:spacing w:val="-3"/>
        </w:rPr>
        <w:t xml:space="preserve"> </w:t>
      </w:r>
      <w:r>
        <w:t>make</w:t>
      </w:r>
      <w:r>
        <w:rPr>
          <w:spacing w:val="-1"/>
        </w:rPr>
        <w:t xml:space="preserve"> </w:t>
      </w:r>
      <w:r>
        <w:t>a</w:t>
      </w:r>
      <w:r>
        <w:rPr>
          <w:spacing w:val="-4"/>
        </w:rPr>
        <w:t xml:space="preserve"> </w:t>
      </w:r>
      <w:r>
        <w:t>positive</w:t>
      </w:r>
      <w:r>
        <w:rPr>
          <w:spacing w:val="-4"/>
        </w:rPr>
        <w:t xml:space="preserve"> </w:t>
      </w:r>
      <w:r>
        <w:t>change</w:t>
      </w:r>
      <w:r>
        <w:rPr>
          <w:spacing w:val="-1"/>
        </w:rPr>
        <w:t xml:space="preserve"> </w:t>
      </w:r>
      <w:r>
        <w:t>and</w:t>
      </w:r>
      <w:r>
        <w:rPr>
          <w:spacing w:val="-3"/>
        </w:rPr>
        <w:t xml:space="preserve"> </w:t>
      </w:r>
      <w:r>
        <w:t>the</w:t>
      </w:r>
      <w:r>
        <w:rPr>
          <w:spacing w:val="-4"/>
        </w:rPr>
        <w:t xml:space="preserve"> </w:t>
      </w:r>
      <w:r>
        <w:t>commitment</w:t>
      </w:r>
      <w:r>
        <w:rPr>
          <w:spacing w:val="-4"/>
        </w:rPr>
        <w:t xml:space="preserve"> </w:t>
      </w:r>
      <w:r>
        <w:t>is</w:t>
      </w:r>
      <w:r>
        <w:rPr>
          <w:spacing w:val="-2"/>
        </w:rPr>
        <w:t xml:space="preserve"> </w:t>
      </w:r>
      <w:r>
        <w:t>clear,</w:t>
      </w:r>
      <w:r>
        <w:rPr>
          <w:spacing w:val="-2"/>
        </w:rPr>
        <w:t xml:space="preserve"> </w:t>
      </w:r>
      <w:r>
        <w:t>goals</w:t>
      </w:r>
      <w:r>
        <w:rPr>
          <w:spacing w:val="-2"/>
        </w:rPr>
        <w:t xml:space="preserve"> </w:t>
      </w:r>
      <w:r>
        <w:t>should</w:t>
      </w:r>
      <w:r>
        <w:rPr>
          <w:spacing w:val="-3"/>
        </w:rPr>
        <w:t xml:space="preserve"> </w:t>
      </w:r>
      <w:r>
        <w:t>be</w:t>
      </w:r>
      <w:r>
        <w:rPr>
          <w:spacing w:val="-1"/>
        </w:rPr>
        <w:t xml:space="preserve"> </w:t>
      </w:r>
      <w:r>
        <w:t>set. Setting goals is part of the exploring and envisioning activities in the early and middle parts of the Preparation stage. Having sum</w:t>
      </w:r>
      <w:r>
        <w:t xml:space="preserve">marized and reviewed the client’s decisional considerations, you should now be prepared to ask about ways in which the client might want to address some of the reasons to change listed on the positive side of the decisional balance sheet. </w:t>
      </w:r>
      <w:r>
        <w:rPr>
          <w:b/>
        </w:rPr>
        <w:t>The process of ta</w:t>
      </w:r>
      <w:r>
        <w:rPr>
          <w:b/>
        </w:rPr>
        <w:t>lking about and setting goals strengthens commitment to change.</w:t>
      </w:r>
    </w:p>
    <w:p w14:paraId="1407D33A" w14:textId="77777777" w:rsidR="00DB6E1F" w:rsidRDefault="00F666A6">
      <w:pPr>
        <w:pStyle w:val="Heading3"/>
        <w:spacing w:before="163"/>
      </w:pPr>
      <w:bookmarkStart w:id="170" w:name="Clarify_the_Client’s_Goals"/>
      <w:bookmarkEnd w:id="170"/>
      <w:r>
        <w:t>Clarify</w:t>
      </w:r>
      <w:r>
        <w:rPr>
          <w:spacing w:val="-8"/>
        </w:rPr>
        <w:t xml:space="preserve"> </w:t>
      </w:r>
      <w:r>
        <w:t>the</w:t>
      </w:r>
      <w:r>
        <w:rPr>
          <w:spacing w:val="-7"/>
        </w:rPr>
        <w:t xml:space="preserve"> </w:t>
      </w:r>
      <w:r>
        <w:t>Client’s</w:t>
      </w:r>
      <w:r>
        <w:rPr>
          <w:spacing w:val="-7"/>
        </w:rPr>
        <w:t xml:space="preserve"> </w:t>
      </w:r>
      <w:r>
        <w:rPr>
          <w:spacing w:val="-4"/>
        </w:rPr>
        <w:t>Goals</w:t>
      </w:r>
    </w:p>
    <w:p w14:paraId="0B3F1477" w14:textId="77777777" w:rsidR="00DB6E1F" w:rsidRDefault="00F666A6">
      <w:pPr>
        <w:spacing w:before="140"/>
        <w:ind w:left="1439" w:right="1491"/>
      </w:pPr>
      <w:r>
        <w:rPr>
          <w:b/>
        </w:rPr>
        <w:t>Help</w:t>
      </w:r>
      <w:r>
        <w:rPr>
          <w:b/>
          <w:spacing w:val="-3"/>
        </w:rPr>
        <w:t xml:space="preserve"> </w:t>
      </w:r>
      <w:r>
        <w:rPr>
          <w:b/>
        </w:rPr>
        <w:t>the</w:t>
      </w:r>
      <w:r>
        <w:rPr>
          <w:b/>
          <w:spacing w:val="-3"/>
        </w:rPr>
        <w:t xml:space="preserve"> </w:t>
      </w:r>
      <w:r>
        <w:rPr>
          <w:b/>
        </w:rPr>
        <w:t>client</w:t>
      </w:r>
      <w:r>
        <w:rPr>
          <w:b/>
          <w:spacing w:val="-4"/>
        </w:rPr>
        <w:t xml:space="preserve"> </w:t>
      </w:r>
      <w:r>
        <w:rPr>
          <w:b/>
        </w:rPr>
        <w:t>set</w:t>
      </w:r>
      <w:r>
        <w:rPr>
          <w:b/>
          <w:spacing w:val="-4"/>
        </w:rPr>
        <w:t xml:space="preserve"> </w:t>
      </w:r>
      <w:r>
        <w:rPr>
          <w:b/>
        </w:rPr>
        <w:t>goals</w:t>
      </w:r>
      <w:r>
        <w:rPr>
          <w:b/>
          <w:spacing w:val="-4"/>
        </w:rPr>
        <w:t xml:space="preserve"> </w:t>
      </w:r>
      <w:r>
        <w:rPr>
          <w:b/>
        </w:rPr>
        <w:t>that</w:t>
      </w:r>
      <w:r>
        <w:rPr>
          <w:b/>
          <w:spacing w:val="-2"/>
        </w:rPr>
        <w:t xml:space="preserve"> </w:t>
      </w:r>
      <w:r>
        <w:rPr>
          <w:b/>
        </w:rPr>
        <w:t>are</w:t>
      </w:r>
      <w:r>
        <w:rPr>
          <w:b/>
          <w:spacing w:val="-3"/>
        </w:rPr>
        <w:t xml:space="preserve"> </w:t>
      </w:r>
      <w:r>
        <w:rPr>
          <w:b/>
        </w:rPr>
        <w:t>as</w:t>
      </w:r>
      <w:r>
        <w:rPr>
          <w:b/>
          <w:spacing w:val="-1"/>
        </w:rPr>
        <w:t xml:space="preserve"> </w:t>
      </w:r>
      <w:r>
        <w:rPr>
          <w:b/>
        </w:rPr>
        <w:t>realistic</w:t>
      </w:r>
      <w:r>
        <w:rPr>
          <w:b/>
          <w:spacing w:val="-1"/>
        </w:rPr>
        <w:t xml:space="preserve"> </w:t>
      </w:r>
      <w:r>
        <w:rPr>
          <w:b/>
        </w:rPr>
        <w:t>and</w:t>
      </w:r>
      <w:r>
        <w:rPr>
          <w:b/>
          <w:spacing w:val="-3"/>
        </w:rPr>
        <w:t xml:space="preserve"> </w:t>
      </w:r>
      <w:r>
        <w:rPr>
          <w:b/>
        </w:rPr>
        <w:t>specific</w:t>
      </w:r>
      <w:r>
        <w:rPr>
          <w:b/>
          <w:spacing w:val="-1"/>
        </w:rPr>
        <w:t xml:space="preserve"> </w:t>
      </w:r>
      <w:r>
        <w:rPr>
          <w:b/>
        </w:rPr>
        <w:t>as</w:t>
      </w:r>
      <w:r>
        <w:rPr>
          <w:b/>
          <w:spacing w:val="-1"/>
        </w:rPr>
        <w:t xml:space="preserve"> </w:t>
      </w:r>
      <w:r>
        <w:rPr>
          <w:b/>
        </w:rPr>
        <w:t>possible</w:t>
      </w:r>
      <w:r>
        <w:rPr>
          <w:b/>
          <w:spacing w:val="-3"/>
        </w:rPr>
        <w:t xml:space="preserve"> </w:t>
      </w:r>
      <w:r>
        <w:rPr>
          <w:b/>
        </w:rPr>
        <w:t>and</w:t>
      </w:r>
      <w:r>
        <w:rPr>
          <w:b/>
          <w:spacing w:val="-3"/>
        </w:rPr>
        <w:t xml:space="preserve"> </w:t>
      </w:r>
      <w:r>
        <w:rPr>
          <w:b/>
        </w:rPr>
        <w:t>that</w:t>
      </w:r>
      <w:r>
        <w:rPr>
          <w:b/>
          <w:spacing w:val="-2"/>
        </w:rPr>
        <w:t xml:space="preserve"> </w:t>
      </w:r>
      <w:r>
        <w:rPr>
          <w:b/>
        </w:rPr>
        <w:t>address</w:t>
      </w:r>
      <w:r>
        <w:rPr>
          <w:b/>
          <w:spacing w:val="-1"/>
        </w:rPr>
        <w:t xml:space="preserve"> </w:t>
      </w:r>
      <w:r>
        <w:rPr>
          <w:b/>
        </w:rPr>
        <w:t>the</w:t>
      </w:r>
      <w:r>
        <w:rPr>
          <w:b/>
          <w:spacing w:val="-5"/>
        </w:rPr>
        <w:t xml:space="preserve"> </w:t>
      </w:r>
      <w:r>
        <w:rPr>
          <w:b/>
        </w:rPr>
        <w:t>concerns</w:t>
      </w:r>
      <w:r>
        <w:rPr>
          <w:b/>
          <w:spacing w:val="-1"/>
        </w:rPr>
        <w:t xml:space="preserve"> </w:t>
      </w:r>
      <w:r>
        <w:rPr>
          <w:b/>
        </w:rPr>
        <w:t xml:space="preserve">he or she described earlier about substance use. </w:t>
      </w:r>
      <w:r>
        <w:t xml:space="preserve">The client may set goals in multiple areas, not just substance use. He or she may work toward goals such as regaining custody of children, getting a job, becoming financially independent, leaving an abusive </w:t>
      </w:r>
      <w:r>
        <w:t>relationship, and returning to school. The client who sets several goals may need help deciding which to focus on first.</w:t>
      </w:r>
    </w:p>
    <w:p w14:paraId="0E00DC25" w14:textId="77777777" w:rsidR="00DB6E1F" w:rsidRDefault="00F666A6">
      <w:pPr>
        <w:spacing w:before="162"/>
        <w:ind w:left="1438" w:right="1491" w:firstLine="1"/>
      </w:pPr>
      <w:r>
        <w:rPr>
          <w:b/>
        </w:rPr>
        <w:t>Early on, goals should be short term, measurable, and realistic so that clients can begin measuring success and feeling good about them</w:t>
      </w:r>
      <w:r>
        <w:rPr>
          <w:b/>
        </w:rPr>
        <w:t xml:space="preserve">selves as well as hopeful about the change. </w:t>
      </w:r>
      <w:r>
        <w:t>If goals seem unreachable to you, discuss your concerns. Use OARS (</w:t>
      </w:r>
      <w:r>
        <w:rPr>
          <w:b/>
        </w:rPr>
        <w:t>O</w:t>
      </w:r>
      <w:r>
        <w:t xml:space="preserve">pen questions, </w:t>
      </w:r>
      <w:r>
        <w:rPr>
          <w:b/>
        </w:rPr>
        <w:t>A</w:t>
      </w:r>
      <w:r>
        <w:t xml:space="preserve">ffirmations, </w:t>
      </w:r>
      <w:r>
        <w:rPr>
          <w:b/>
        </w:rPr>
        <w:t>R</w:t>
      </w:r>
      <w:r>
        <w:t xml:space="preserve">eflective listening, and </w:t>
      </w:r>
      <w:r>
        <w:rPr>
          <w:b/>
        </w:rPr>
        <w:t>S</w:t>
      </w:r>
      <w:r>
        <w:t xml:space="preserve">ummarization) to help clients clarify their goals, decide on which goal to focus first, </w:t>
      </w:r>
      <w:r>
        <w:t>and identify steps</w:t>
      </w:r>
      <w:r>
        <w:rPr>
          <w:spacing w:val="-1"/>
        </w:rPr>
        <w:t xml:space="preserve"> </w:t>
      </w:r>
      <w:r>
        <w:t>to achieving</w:t>
      </w:r>
      <w:r>
        <w:rPr>
          <w:spacing w:val="-4"/>
        </w:rPr>
        <w:t xml:space="preserve"> </w:t>
      </w:r>
      <w:r>
        <w:t>their</w:t>
      </w:r>
      <w:r>
        <w:rPr>
          <w:spacing w:val="-1"/>
        </w:rPr>
        <w:t xml:space="preserve"> </w:t>
      </w:r>
      <w:r>
        <w:t>goals.</w:t>
      </w:r>
      <w:r>
        <w:rPr>
          <w:spacing w:val="-4"/>
        </w:rPr>
        <w:t xml:space="preserve"> </w:t>
      </w:r>
      <w:r>
        <w:t>For</w:t>
      </w:r>
      <w:r>
        <w:rPr>
          <w:spacing w:val="-3"/>
        </w:rPr>
        <w:t xml:space="preserve"> </w:t>
      </w:r>
      <w:r>
        <w:t>example,</w:t>
      </w:r>
      <w:r>
        <w:rPr>
          <w:spacing w:val="-3"/>
        </w:rPr>
        <w:t xml:space="preserve"> </w:t>
      </w:r>
      <w:r>
        <w:t>if</w:t>
      </w:r>
      <w:r>
        <w:rPr>
          <w:spacing w:val="-3"/>
        </w:rPr>
        <w:t xml:space="preserve"> </w:t>
      </w:r>
      <w:r>
        <w:t>one goal</w:t>
      </w:r>
      <w:r>
        <w:rPr>
          <w:spacing w:val="-1"/>
        </w:rPr>
        <w:t xml:space="preserve"> </w:t>
      </w:r>
      <w:r>
        <w:t>is</w:t>
      </w:r>
      <w:r>
        <w:rPr>
          <w:spacing w:val="-3"/>
        </w:rPr>
        <w:t xml:space="preserve"> </w:t>
      </w:r>
      <w:r>
        <w:t>to</w:t>
      </w:r>
      <w:r>
        <w:rPr>
          <w:spacing w:val="-2"/>
        </w:rPr>
        <w:t xml:space="preserve"> </w:t>
      </w:r>
      <w:r>
        <w:t>get a</w:t>
      </w:r>
      <w:r>
        <w:rPr>
          <w:spacing w:val="-3"/>
        </w:rPr>
        <w:t xml:space="preserve"> </w:t>
      </w:r>
      <w:r>
        <w:t>job,</w:t>
      </w:r>
      <w:r>
        <w:rPr>
          <w:spacing w:val="-3"/>
        </w:rPr>
        <w:t xml:space="preserve"> </w:t>
      </w:r>
      <w:r>
        <w:t>you</w:t>
      </w:r>
      <w:r>
        <w:rPr>
          <w:spacing w:val="-4"/>
        </w:rPr>
        <w:t xml:space="preserve"> </w:t>
      </w:r>
      <w:r>
        <w:t>can</w:t>
      </w:r>
      <w:r>
        <w:rPr>
          <w:spacing w:val="-2"/>
        </w:rPr>
        <w:t xml:space="preserve"> </w:t>
      </w:r>
      <w:r>
        <w:t>start with</w:t>
      </w:r>
      <w:r>
        <w:rPr>
          <w:spacing w:val="-2"/>
        </w:rPr>
        <w:t xml:space="preserve"> </w:t>
      </w:r>
      <w:r>
        <w:t>an</w:t>
      </w:r>
      <w:r>
        <w:rPr>
          <w:spacing w:val="-4"/>
        </w:rPr>
        <w:t xml:space="preserve"> </w:t>
      </w:r>
      <w:r>
        <w:t>open question: “What do you think is the first step toward meeting this goal?” The goal is the vision, and the steps are the specific tasks that cl</w:t>
      </w:r>
      <w:r>
        <w:t>ients perform to meet the goal.</w:t>
      </w:r>
    </w:p>
    <w:p w14:paraId="520A32C9" w14:textId="77777777" w:rsidR="00DB6E1F" w:rsidRDefault="00F666A6">
      <w:pPr>
        <w:pStyle w:val="BodyText"/>
        <w:spacing w:before="160"/>
        <w:ind w:left="1437" w:right="1491"/>
      </w:pPr>
      <w:r>
        <w:rPr>
          <w:b/>
        </w:rPr>
        <w:t>Setting</w:t>
      </w:r>
      <w:r>
        <w:rPr>
          <w:b/>
          <w:spacing w:val="-2"/>
        </w:rPr>
        <w:t xml:space="preserve"> </w:t>
      </w:r>
      <w:r>
        <w:rPr>
          <w:b/>
        </w:rPr>
        <w:t>goals</w:t>
      </w:r>
      <w:r>
        <w:rPr>
          <w:b/>
          <w:spacing w:val="-2"/>
        </w:rPr>
        <w:t xml:space="preserve"> </w:t>
      </w:r>
      <w:r>
        <w:rPr>
          <w:b/>
        </w:rPr>
        <w:t>is a</w:t>
      </w:r>
      <w:r>
        <w:rPr>
          <w:b/>
          <w:spacing w:val="-5"/>
        </w:rPr>
        <w:t xml:space="preserve"> </w:t>
      </w:r>
      <w:r>
        <w:rPr>
          <w:b/>
        </w:rPr>
        <w:t>joint</w:t>
      </w:r>
      <w:r>
        <w:rPr>
          <w:b/>
          <w:spacing w:val="-3"/>
        </w:rPr>
        <w:t xml:space="preserve"> </w:t>
      </w:r>
      <w:r>
        <w:rPr>
          <w:b/>
        </w:rPr>
        <w:t>process.</w:t>
      </w:r>
      <w:r>
        <w:rPr>
          <w:b/>
          <w:spacing w:val="-2"/>
        </w:rPr>
        <w:t xml:space="preserve"> </w:t>
      </w:r>
      <w:r>
        <w:rPr>
          <w:b/>
        </w:rPr>
        <w:t>The</w:t>
      </w:r>
      <w:r>
        <w:rPr>
          <w:b/>
          <w:spacing w:val="-4"/>
        </w:rPr>
        <w:t xml:space="preserve"> </w:t>
      </w:r>
      <w:r>
        <w:rPr>
          <w:b/>
        </w:rPr>
        <w:t>counselor and</w:t>
      </w:r>
      <w:r>
        <w:rPr>
          <w:b/>
          <w:spacing w:val="-2"/>
        </w:rPr>
        <w:t xml:space="preserve"> </w:t>
      </w:r>
      <w:r>
        <w:rPr>
          <w:b/>
        </w:rPr>
        <w:t>client</w:t>
      </w:r>
      <w:r>
        <w:rPr>
          <w:b/>
          <w:spacing w:val="-1"/>
        </w:rPr>
        <w:t xml:space="preserve"> </w:t>
      </w:r>
      <w:r>
        <w:rPr>
          <w:b/>
        </w:rPr>
        <w:t>work</w:t>
      </w:r>
      <w:r>
        <w:rPr>
          <w:b/>
          <w:spacing w:val="-4"/>
        </w:rPr>
        <w:t xml:space="preserve"> </w:t>
      </w:r>
      <w:r>
        <w:rPr>
          <w:b/>
        </w:rPr>
        <w:t>together,</w:t>
      </w:r>
      <w:r>
        <w:rPr>
          <w:b/>
          <w:spacing w:val="-4"/>
        </w:rPr>
        <w:t xml:space="preserve"> </w:t>
      </w:r>
      <w:r>
        <w:t>moving</w:t>
      </w:r>
      <w:r>
        <w:rPr>
          <w:spacing w:val="-1"/>
        </w:rPr>
        <w:t xml:space="preserve"> </w:t>
      </w:r>
      <w:r>
        <w:t>from</w:t>
      </w:r>
      <w:r>
        <w:rPr>
          <w:spacing w:val="-2"/>
        </w:rPr>
        <w:t xml:space="preserve"> </w:t>
      </w:r>
      <w:r>
        <w:t>general</w:t>
      </w:r>
      <w:r>
        <w:rPr>
          <w:spacing w:val="-4"/>
        </w:rPr>
        <w:t xml:space="preserve"> </w:t>
      </w:r>
      <w:r>
        <w:t>ideas</w:t>
      </w:r>
      <w:r>
        <w:rPr>
          <w:spacing w:val="-1"/>
        </w:rPr>
        <w:t xml:space="preserve"> </w:t>
      </w:r>
      <w:r>
        <w:t>and visions to specific goals. Seeing how the client sets goals and the types of goals he or she sets provides information on the client’s sense of self-efficacy, level of commitment, and readiness for change. The more hopeful a client feels about the futu</w:t>
      </w:r>
      <w:r>
        <w:t>re, the more likely he or she is to achieve treatment goals.</w:t>
      </w:r>
    </w:p>
    <w:p w14:paraId="6C4B1D76" w14:textId="77777777" w:rsidR="00DB6E1F" w:rsidRDefault="00F666A6">
      <w:pPr>
        <w:pStyle w:val="BodyText"/>
        <w:spacing w:before="159"/>
        <w:ind w:left="1436" w:right="1491"/>
      </w:pPr>
      <w:r>
        <w:rPr>
          <w:b/>
        </w:rPr>
        <w:t>Make</w:t>
      </w:r>
      <w:r>
        <w:rPr>
          <w:b/>
          <w:spacing w:val="-3"/>
        </w:rPr>
        <w:t xml:space="preserve"> </w:t>
      </w:r>
      <w:r>
        <w:rPr>
          <w:b/>
        </w:rPr>
        <w:t>identifying</w:t>
      </w:r>
      <w:r>
        <w:rPr>
          <w:b/>
          <w:spacing w:val="-1"/>
        </w:rPr>
        <w:t xml:space="preserve"> </w:t>
      </w:r>
      <w:r>
        <w:rPr>
          <w:b/>
        </w:rPr>
        <w:t>and</w:t>
      </w:r>
      <w:r>
        <w:rPr>
          <w:b/>
          <w:spacing w:val="-3"/>
        </w:rPr>
        <w:t xml:space="preserve"> </w:t>
      </w:r>
      <w:r>
        <w:rPr>
          <w:b/>
        </w:rPr>
        <w:t>clarifying</w:t>
      </w:r>
      <w:r>
        <w:rPr>
          <w:b/>
          <w:spacing w:val="-4"/>
        </w:rPr>
        <w:t xml:space="preserve"> </w:t>
      </w:r>
      <w:r>
        <w:rPr>
          <w:b/>
        </w:rPr>
        <w:t>treatment</w:t>
      </w:r>
      <w:r>
        <w:rPr>
          <w:b/>
          <w:spacing w:val="-2"/>
        </w:rPr>
        <w:t xml:space="preserve"> </w:t>
      </w:r>
      <w:r>
        <w:rPr>
          <w:b/>
        </w:rPr>
        <w:t>goals</w:t>
      </w:r>
      <w:r>
        <w:rPr>
          <w:b/>
          <w:spacing w:val="-1"/>
        </w:rPr>
        <w:t xml:space="preserve"> </w:t>
      </w:r>
      <w:r>
        <w:rPr>
          <w:b/>
        </w:rPr>
        <w:t>a</w:t>
      </w:r>
      <w:r>
        <w:rPr>
          <w:b/>
          <w:spacing w:val="-5"/>
        </w:rPr>
        <w:t xml:space="preserve"> </w:t>
      </w:r>
      <w:r>
        <w:rPr>
          <w:b/>
        </w:rPr>
        <w:t>client-driven</w:t>
      </w:r>
      <w:r>
        <w:rPr>
          <w:b/>
          <w:spacing w:val="-3"/>
        </w:rPr>
        <w:t xml:space="preserve"> </w:t>
      </w:r>
      <w:r>
        <w:rPr>
          <w:b/>
        </w:rPr>
        <w:t>process.</w:t>
      </w:r>
      <w:r>
        <w:rPr>
          <w:b/>
          <w:spacing w:val="-3"/>
        </w:rPr>
        <w:t xml:space="preserve"> </w:t>
      </w:r>
      <w:r>
        <w:t>Doing</w:t>
      </w:r>
      <w:r>
        <w:rPr>
          <w:spacing w:val="-3"/>
        </w:rPr>
        <w:t xml:space="preserve"> </w:t>
      </w:r>
      <w:r>
        <w:t>so</w:t>
      </w:r>
      <w:r>
        <w:rPr>
          <w:spacing w:val="-1"/>
        </w:rPr>
        <w:t xml:space="preserve"> </w:t>
      </w:r>
      <w:r>
        <w:t>is</w:t>
      </w:r>
      <w:r>
        <w:rPr>
          <w:spacing w:val="-4"/>
        </w:rPr>
        <w:t xml:space="preserve"> </w:t>
      </w:r>
      <w:r>
        <w:t>consistent</w:t>
      </w:r>
      <w:r>
        <w:rPr>
          <w:spacing w:val="-4"/>
        </w:rPr>
        <w:t xml:space="preserve"> </w:t>
      </w:r>
      <w:r>
        <w:t>with</w:t>
      </w:r>
      <w:r>
        <w:rPr>
          <w:spacing w:val="-5"/>
        </w:rPr>
        <w:t xml:space="preserve"> </w:t>
      </w:r>
      <w:r>
        <w:t>the principles of person-centered counseling and the spirit of motivational interviewing (MI). It is up to the client to decide what actions to take or treatment options to seek to address a substance use problem. Matching the client to the preferred subst</w:t>
      </w:r>
      <w:r>
        <w:t>ance use disorder (SUD) treatment options can help reduce alcohol consumption and improve drug-related outcomes (Friedrichs, Spies, Härter, &amp; Buchholz, 2016). In a systematic review, brief motivational alcohol interventions for adolescents had significantl</w:t>
      </w:r>
      <w:r>
        <w:t>y larger effects on alcohol consumption if they included goal-setting exercises (Tanner-Smith &amp; Lipsey, 2015).</w:t>
      </w:r>
    </w:p>
    <w:p w14:paraId="18B62CE8" w14:textId="77777777" w:rsidR="00DB6E1F" w:rsidRDefault="00F666A6">
      <w:pPr>
        <w:spacing w:before="160"/>
        <w:ind w:left="1436" w:right="1491"/>
      </w:pPr>
      <w:r>
        <w:rPr>
          <w:b/>
        </w:rPr>
        <w:t>Your</w:t>
      </w:r>
      <w:r>
        <w:rPr>
          <w:b/>
          <w:spacing w:val="-1"/>
        </w:rPr>
        <w:t xml:space="preserve"> </w:t>
      </w:r>
      <w:r>
        <w:rPr>
          <w:b/>
        </w:rPr>
        <w:t>task</w:t>
      </w:r>
      <w:r>
        <w:rPr>
          <w:b/>
          <w:spacing w:val="-5"/>
        </w:rPr>
        <w:t xml:space="preserve"> </w:t>
      </w:r>
      <w:r>
        <w:rPr>
          <w:b/>
        </w:rPr>
        <w:t>is</w:t>
      </w:r>
      <w:r>
        <w:rPr>
          <w:b/>
          <w:spacing w:val="-3"/>
        </w:rPr>
        <w:t xml:space="preserve"> </w:t>
      </w:r>
      <w:r>
        <w:rPr>
          <w:b/>
        </w:rPr>
        <w:t>to</w:t>
      </w:r>
      <w:r>
        <w:rPr>
          <w:b/>
          <w:spacing w:val="-3"/>
        </w:rPr>
        <w:t xml:space="preserve"> </w:t>
      </w:r>
      <w:r>
        <w:rPr>
          <w:b/>
        </w:rPr>
        <w:t>help</w:t>
      </w:r>
      <w:r>
        <w:rPr>
          <w:b/>
          <w:spacing w:val="-5"/>
        </w:rPr>
        <w:t xml:space="preserve"> </w:t>
      </w:r>
      <w:r>
        <w:rPr>
          <w:b/>
        </w:rPr>
        <w:t>clients</w:t>
      </w:r>
      <w:r>
        <w:rPr>
          <w:b/>
          <w:spacing w:val="-4"/>
        </w:rPr>
        <w:t xml:space="preserve"> </w:t>
      </w:r>
      <w:r>
        <w:rPr>
          <w:b/>
        </w:rPr>
        <w:t>identify</w:t>
      </w:r>
      <w:r>
        <w:rPr>
          <w:b/>
          <w:spacing w:val="-3"/>
        </w:rPr>
        <w:t xml:space="preserve"> </w:t>
      </w:r>
      <w:r>
        <w:rPr>
          <w:b/>
        </w:rPr>
        <w:t>their</w:t>
      </w:r>
      <w:r>
        <w:rPr>
          <w:b/>
          <w:spacing w:val="-3"/>
        </w:rPr>
        <w:t xml:space="preserve"> </w:t>
      </w:r>
      <w:r>
        <w:rPr>
          <w:b/>
        </w:rPr>
        <w:t>preferred</w:t>
      </w:r>
      <w:r>
        <w:rPr>
          <w:b/>
          <w:spacing w:val="-5"/>
        </w:rPr>
        <w:t xml:space="preserve"> </w:t>
      </w:r>
      <w:r>
        <w:rPr>
          <w:b/>
        </w:rPr>
        <w:t>change</w:t>
      </w:r>
      <w:r>
        <w:rPr>
          <w:b/>
          <w:spacing w:val="-3"/>
        </w:rPr>
        <w:t xml:space="preserve"> </w:t>
      </w:r>
      <w:r>
        <w:rPr>
          <w:b/>
        </w:rPr>
        <w:t>goals</w:t>
      </w:r>
      <w:r>
        <w:rPr>
          <w:b/>
          <w:spacing w:val="-1"/>
        </w:rPr>
        <w:t xml:space="preserve"> </w:t>
      </w:r>
      <w:r>
        <w:rPr>
          <w:b/>
        </w:rPr>
        <w:t>and</w:t>
      </w:r>
      <w:r>
        <w:rPr>
          <w:b/>
          <w:spacing w:val="-3"/>
        </w:rPr>
        <w:t xml:space="preserve"> </w:t>
      </w:r>
      <w:r>
        <w:rPr>
          <w:b/>
        </w:rPr>
        <w:t>to</w:t>
      </w:r>
      <w:r>
        <w:rPr>
          <w:b/>
          <w:spacing w:val="-3"/>
        </w:rPr>
        <w:t xml:space="preserve"> </w:t>
      </w:r>
      <w:r>
        <w:rPr>
          <w:b/>
        </w:rPr>
        <w:t>enhance</w:t>
      </w:r>
      <w:r>
        <w:rPr>
          <w:b/>
          <w:spacing w:val="-5"/>
        </w:rPr>
        <w:t xml:space="preserve"> </w:t>
      </w:r>
      <w:r>
        <w:rPr>
          <w:b/>
        </w:rPr>
        <w:t>their</w:t>
      </w:r>
      <w:r>
        <w:rPr>
          <w:b/>
          <w:spacing w:val="-1"/>
        </w:rPr>
        <w:t xml:space="preserve"> </w:t>
      </w:r>
      <w:r>
        <w:rPr>
          <w:b/>
        </w:rPr>
        <w:t>decision</w:t>
      </w:r>
      <w:r>
        <w:rPr>
          <w:b/>
          <w:spacing w:val="-3"/>
        </w:rPr>
        <w:t xml:space="preserve"> </w:t>
      </w:r>
      <w:r>
        <w:rPr>
          <w:b/>
        </w:rPr>
        <w:t xml:space="preserve">making by teaching them about their treatment options. </w:t>
      </w:r>
      <w:r>
        <w:t>(See Chapter 3 for more information about and</w:t>
      </w:r>
    </w:p>
    <w:p w14:paraId="1FE58FA2" w14:textId="77777777" w:rsidR="00DB6E1F" w:rsidRDefault="00DB6E1F">
      <w:pPr>
        <w:sectPr w:rsidR="00DB6E1F">
          <w:pgSz w:w="12240" w:h="15840"/>
          <w:pgMar w:top="1200" w:right="0" w:bottom="780" w:left="0" w:header="763" w:footer="585" w:gutter="0"/>
          <w:cols w:space="720"/>
        </w:sectPr>
      </w:pPr>
    </w:p>
    <w:p w14:paraId="44C3FB0A" w14:textId="77777777" w:rsidR="00DB6E1F" w:rsidRDefault="00DB6E1F">
      <w:pPr>
        <w:pStyle w:val="BodyText"/>
        <w:spacing w:before="8"/>
        <w:rPr>
          <w:sz w:val="14"/>
        </w:rPr>
      </w:pPr>
    </w:p>
    <w:p w14:paraId="2D828986" w14:textId="77777777" w:rsidR="00DB6E1F" w:rsidRDefault="00F666A6">
      <w:pPr>
        <w:pStyle w:val="BodyText"/>
        <w:spacing w:before="56"/>
        <w:ind w:left="1440"/>
      </w:pPr>
      <w:r>
        <w:t>strategies</w:t>
      </w:r>
      <w:r>
        <w:rPr>
          <w:spacing w:val="-5"/>
        </w:rPr>
        <w:t xml:space="preserve"> </w:t>
      </w:r>
      <w:r>
        <w:t>for</w:t>
      </w:r>
      <w:r>
        <w:rPr>
          <w:spacing w:val="-5"/>
        </w:rPr>
        <w:t xml:space="preserve"> </w:t>
      </w:r>
      <w:r>
        <w:t>identifying</w:t>
      </w:r>
      <w:r>
        <w:rPr>
          <w:spacing w:val="-6"/>
        </w:rPr>
        <w:t xml:space="preserve"> </w:t>
      </w:r>
      <w:r>
        <w:t>change</w:t>
      </w:r>
      <w:r>
        <w:rPr>
          <w:spacing w:val="-4"/>
        </w:rPr>
        <w:t xml:space="preserve"> </w:t>
      </w:r>
      <w:r>
        <w:t>goals</w:t>
      </w:r>
      <w:r>
        <w:rPr>
          <w:spacing w:val="-5"/>
        </w:rPr>
        <w:t xml:space="preserve"> </w:t>
      </w:r>
      <w:r>
        <w:t>using</w:t>
      </w:r>
      <w:r>
        <w:rPr>
          <w:spacing w:val="-7"/>
        </w:rPr>
        <w:t xml:space="preserve"> </w:t>
      </w:r>
      <w:r>
        <w:rPr>
          <w:spacing w:val="-4"/>
        </w:rPr>
        <w:t>MI.)</w:t>
      </w:r>
    </w:p>
    <w:p w14:paraId="03E299D3" w14:textId="77777777" w:rsidR="00DB6E1F" w:rsidRDefault="00F666A6">
      <w:pPr>
        <w:pStyle w:val="BodyText"/>
        <w:spacing w:before="159"/>
        <w:ind w:left="1440" w:right="1491"/>
      </w:pPr>
      <w:r>
        <w:rPr>
          <w:b/>
        </w:rPr>
        <w:t>Remember</w:t>
      </w:r>
      <w:r>
        <w:rPr>
          <w:b/>
          <w:spacing w:val="-1"/>
        </w:rPr>
        <w:t xml:space="preserve"> </w:t>
      </w:r>
      <w:r>
        <w:rPr>
          <w:b/>
        </w:rPr>
        <w:t>that the</w:t>
      </w:r>
      <w:r>
        <w:rPr>
          <w:b/>
          <w:spacing w:val="-1"/>
        </w:rPr>
        <w:t xml:space="preserve"> </w:t>
      </w:r>
      <w:r>
        <w:rPr>
          <w:b/>
        </w:rPr>
        <w:t>client’s preferred</w:t>
      </w:r>
      <w:r>
        <w:rPr>
          <w:b/>
          <w:spacing w:val="-3"/>
        </w:rPr>
        <w:t xml:space="preserve"> </w:t>
      </w:r>
      <w:r>
        <w:rPr>
          <w:b/>
        </w:rPr>
        <w:t>treatment</w:t>
      </w:r>
      <w:r>
        <w:rPr>
          <w:b/>
          <w:spacing w:val="-2"/>
        </w:rPr>
        <w:t xml:space="preserve"> </w:t>
      </w:r>
      <w:r>
        <w:rPr>
          <w:b/>
        </w:rPr>
        <w:t>goals may</w:t>
      </w:r>
      <w:r>
        <w:rPr>
          <w:b/>
          <w:spacing w:val="-1"/>
        </w:rPr>
        <w:t xml:space="preserve"> </w:t>
      </w:r>
      <w:r>
        <w:rPr>
          <w:b/>
        </w:rPr>
        <w:t>not match</w:t>
      </w:r>
      <w:r>
        <w:rPr>
          <w:b/>
          <w:spacing w:val="-3"/>
        </w:rPr>
        <w:t xml:space="preserve"> </w:t>
      </w:r>
      <w:r>
        <w:rPr>
          <w:b/>
        </w:rPr>
        <w:t>what you</w:t>
      </w:r>
      <w:r>
        <w:rPr>
          <w:b/>
          <w:spacing w:val="-3"/>
        </w:rPr>
        <w:t xml:space="preserve"> </w:t>
      </w:r>
      <w:r>
        <w:rPr>
          <w:b/>
        </w:rPr>
        <w:t xml:space="preserve">prefer. </w:t>
      </w:r>
      <w:r>
        <w:t>A</w:t>
      </w:r>
      <w:r>
        <w:rPr>
          <w:spacing w:val="-3"/>
        </w:rPr>
        <w:t xml:space="preserve"> </w:t>
      </w:r>
      <w:r>
        <w:t>cli</w:t>
      </w:r>
      <w:r>
        <w:t>ent</w:t>
      </w:r>
      <w:r>
        <w:rPr>
          <w:spacing w:val="-2"/>
        </w:rPr>
        <w:t xml:space="preserve"> </w:t>
      </w:r>
      <w:r>
        <w:t>might choose a</w:t>
      </w:r>
      <w:r>
        <w:rPr>
          <w:spacing w:val="-4"/>
        </w:rPr>
        <w:t xml:space="preserve"> </w:t>
      </w:r>
      <w:r>
        <w:t>course</w:t>
      </w:r>
      <w:r>
        <w:rPr>
          <w:spacing w:val="-3"/>
        </w:rPr>
        <w:t xml:space="preserve"> </w:t>
      </w:r>
      <w:r>
        <w:t>of</w:t>
      </w:r>
      <w:r>
        <w:rPr>
          <w:spacing w:val="-1"/>
        </w:rPr>
        <w:t xml:space="preserve"> </w:t>
      </w:r>
      <w:r>
        <w:t>action</w:t>
      </w:r>
      <w:r>
        <w:rPr>
          <w:spacing w:val="-4"/>
        </w:rPr>
        <w:t xml:space="preserve"> </w:t>
      </w:r>
      <w:r>
        <w:t>with</w:t>
      </w:r>
      <w:r>
        <w:rPr>
          <w:spacing w:val="-2"/>
        </w:rPr>
        <w:t xml:space="preserve"> </w:t>
      </w:r>
      <w:r>
        <w:t>which</w:t>
      </w:r>
      <w:r>
        <w:rPr>
          <w:spacing w:val="-4"/>
        </w:rPr>
        <w:t xml:space="preserve"> </w:t>
      </w:r>
      <w:r>
        <w:t>you</w:t>
      </w:r>
      <w:r>
        <w:rPr>
          <w:spacing w:val="-2"/>
        </w:rPr>
        <w:t xml:space="preserve"> </w:t>
      </w:r>
      <w:r>
        <w:t>do not</w:t>
      </w:r>
      <w:r>
        <w:rPr>
          <w:spacing w:val="-3"/>
        </w:rPr>
        <w:t xml:space="preserve"> </w:t>
      </w:r>
      <w:r>
        <w:t>agree or</w:t>
      </w:r>
      <w:r>
        <w:rPr>
          <w:spacing w:val="-4"/>
        </w:rPr>
        <w:t xml:space="preserve"> </w:t>
      </w:r>
      <w:r>
        <w:t>that</w:t>
      </w:r>
      <w:r>
        <w:rPr>
          <w:spacing w:val="-1"/>
        </w:rPr>
        <w:t xml:space="preserve"> </w:t>
      </w:r>
      <w:r>
        <w:t>is</w:t>
      </w:r>
      <w:r>
        <w:rPr>
          <w:spacing w:val="-1"/>
        </w:rPr>
        <w:t xml:space="preserve"> </w:t>
      </w:r>
      <w:r>
        <w:t>not</w:t>
      </w:r>
      <w:r>
        <w:rPr>
          <w:spacing w:val="-1"/>
        </w:rPr>
        <w:t xml:space="preserve"> </w:t>
      </w:r>
      <w:r>
        <w:t>in</w:t>
      </w:r>
      <w:r>
        <w:rPr>
          <w:spacing w:val="-2"/>
        </w:rPr>
        <w:t xml:space="preserve"> </w:t>
      </w:r>
      <w:r>
        <w:t>line</w:t>
      </w:r>
      <w:r>
        <w:rPr>
          <w:spacing w:val="-3"/>
        </w:rPr>
        <w:t xml:space="preserve"> </w:t>
      </w:r>
      <w:r>
        <w:t>with</w:t>
      </w:r>
      <w:r>
        <w:rPr>
          <w:spacing w:val="-3"/>
        </w:rPr>
        <w:t xml:space="preserve"> </w:t>
      </w:r>
      <w:r>
        <w:t>the treatment</w:t>
      </w:r>
      <w:r>
        <w:rPr>
          <w:spacing w:val="-3"/>
        </w:rPr>
        <w:t xml:space="preserve"> </w:t>
      </w:r>
      <w:r>
        <w:t>agency’s policies. A decision to reduce but not completely stop substance use, for example, may go against the agency’s policy of zero tolerance for illicit substance use. Exhibit 6.2 offers some strategies for addressing these types of situations.</w:t>
      </w:r>
    </w:p>
    <w:p w14:paraId="2733D359" w14:textId="77777777" w:rsidR="00DB6E1F" w:rsidRDefault="00DB6E1F">
      <w:pPr>
        <w:pStyle w:val="BodyText"/>
        <w:spacing w:before="3" w:after="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4D3A2FA6" w14:textId="77777777">
        <w:trPr>
          <w:trHeight w:val="503"/>
        </w:trPr>
        <w:tc>
          <w:tcPr>
            <w:tcW w:w="9350" w:type="dxa"/>
            <w:shd w:val="clear" w:color="auto" w:fill="050505"/>
          </w:tcPr>
          <w:p w14:paraId="0A3FD0CE" w14:textId="77777777" w:rsidR="00DB6E1F" w:rsidRDefault="00F666A6">
            <w:pPr>
              <w:pStyle w:val="TableParagraph"/>
              <w:spacing w:before="102"/>
              <w:ind w:left="210"/>
              <w:rPr>
                <w:sz w:val="24"/>
              </w:rPr>
            </w:pPr>
            <w:r>
              <w:rPr>
                <w:color w:val="FFFFFF"/>
                <w:sz w:val="24"/>
              </w:rPr>
              <w:t>Exhibi</w:t>
            </w:r>
            <w:r>
              <w:rPr>
                <w:color w:val="FFFFFF"/>
                <w:sz w:val="24"/>
              </w:rPr>
              <w:t>t</w:t>
            </w:r>
            <w:r>
              <w:rPr>
                <w:color w:val="FFFFFF"/>
                <w:spacing w:val="-3"/>
                <w:sz w:val="24"/>
              </w:rPr>
              <w:t xml:space="preserve"> </w:t>
            </w:r>
            <w:r>
              <w:rPr>
                <w:color w:val="FFFFFF"/>
                <w:sz w:val="24"/>
              </w:rPr>
              <w:t>6.2.</w:t>
            </w:r>
            <w:r>
              <w:rPr>
                <w:color w:val="FFFFFF"/>
                <w:spacing w:val="-1"/>
                <w:sz w:val="24"/>
              </w:rPr>
              <w:t xml:space="preserve"> </w:t>
            </w:r>
            <w:r>
              <w:rPr>
                <w:color w:val="FFFFFF"/>
                <w:sz w:val="24"/>
              </w:rPr>
              <w:t>When</w:t>
            </w:r>
            <w:r>
              <w:rPr>
                <w:color w:val="FFFFFF"/>
                <w:spacing w:val="-2"/>
                <w:sz w:val="24"/>
              </w:rPr>
              <w:t xml:space="preserve"> </w:t>
            </w:r>
            <w:r>
              <w:rPr>
                <w:color w:val="FFFFFF"/>
                <w:sz w:val="24"/>
              </w:rPr>
              <w:t>Treatment</w:t>
            </w:r>
            <w:r>
              <w:rPr>
                <w:color w:val="FFFFFF"/>
                <w:spacing w:val="-2"/>
                <w:sz w:val="24"/>
              </w:rPr>
              <w:t xml:space="preserve"> </w:t>
            </w:r>
            <w:r>
              <w:rPr>
                <w:color w:val="FFFFFF"/>
                <w:sz w:val="24"/>
              </w:rPr>
              <w:t>Goals</w:t>
            </w:r>
            <w:r>
              <w:rPr>
                <w:color w:val="FFFFFF"/>
                <w:spacing w:val="-3"/>
                <w:sz w:val="24"/>
              </w:rPr>
              <w:t xml:space="preserve"> </w:t>
            </w:r>
            <w:r>
              <w:rPr>
                <w:color w:val="FFFFFF"/>
                <w:spacing w:val="-2"/>
                <w:sz w:val="24"/>
              </w:rPr>
              <w:t>Differ</w:t>
            </w:r>
          </w:p>
        </w:tc>
      </w:tr>
      <w:tr w:rsidR="00DB6E1F" w14:paraId="3B014ACD" w14:textId="77777777">
        <w:trPr>
          <w:trHeight w:val="9443"/>
        </w:trPr>
        <w:tc>
          <w:tcPr>
            <w:tcW w:w="9350" w:type="dxa"/>
          </w:tcPr>
          <w:p w14:paraId="4C42D1B7" w14:textId="77777777" w:rsidR="00DB6E1F" w:rsidRDefault="00F666A6">
            <w:pPr>
              <w:pStyle w:val="TableParagraph"/>
              <w:rPr>
                <w:sz w:val="20"/>
              </w:rPr>
            </w:pPr>
            <w:r>
              <w:rPr>
                <w:b/>
                <w:sz w:val="20"/>
              </w:rPr>
              <w:t xml:space="preserve">What do you do when the client’s goals differ from yours or those of your agency? </w:t>
            </w:r>
            <w:r>
              <w:rPr>
                <w:sz w:val="20"/>
              </w:rPr>
              <w:t>This issue arises in all behavioral</w:t>
            </w:r>
            <w:r>
              <w:rPr>
                <w:spacing w:val="-3"/>
                <w:sz w:val="20"/>
              </w:rPr>
              <w:t xml:space="preserve"> </w:t>
            </w:r>
            <w:r>
              <w:rPr>
                <w:sz w:val="20"/>
              </w:rPr>
              <w:t>health</w:t>
            </w:r>
            <w:r>
              <w:rPr>
                <w:spacing w:val="-2"/>
                <w:sz w:val="20"/>
              </w:rPr>
              <w:t xml:space="preserve"> </w:t>
            </w:r>
            <w:r>
              <w:rPr>
                <w:sz w:val="20"/>
              </w:rPr>
              <w:t>services</w:t>
            </w:r>
            <w:r>
              <w:rPr>
                <w:spacing w:val="-4"/>
                <w:sz w:val="20"/>
              </w:rPr>
              <w:t xml:space="preserve"> </w:t>
            </w:r>
            <w:r>
              <w:rPr>
                <w:sz w:val="20"/>
              </w:rPr>
              <w:t>but</w:t>
            </w:r>
            <w:r>
              <w:rPr>
                <w:spacing w:val="-2"/>
                <w:sz w:val="20"/>
              </w:rPr>
              <w:t xml:space="preserve"> </w:t>
            </w:r>
            <w:r>
              <w:rPr>
                <w:sz w:val="20"/>
              </w:rPr>
              <w:t>especially</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motivational</w:t>
            </w:r>
            <w:r>
              <w:rPr>
                <w:spacing w:val="-3"/>
                <w:sz w:val="20"/>
              </w:rPr>
              <w:t xml:space="preserve"> </w:t>
            </w:r>
            <w:r>
              <w:rPr>
                <w:sz w:val="20"/>
              </w:rPr>
              <w:t>approach,</w:t>
            </w:r>
            <w:r>
              <w:rPr>
                <w:spacing w:val="-2"/>
                <w:sz w:val="20"/>
              </w:rPr>
              <w:t xml:space="preserve"> </w:t>
            </w:r>
            <w:r>
              <w:rPr>
                <w:sz w:val="20"/>
              </w:rPr>
              <w:t>where</w:t>
            </w:r>
            <w:r>
              <w:rPr>
                <w:spacing w:val="-4"/>
                <w:sz w:val="20"/>
              </w:rPr>
              <w:t xml:space="preserve"> </w:t>
            </w:r>
            <w:r>
              <w:rPr>
                <w:sz w:val="20"/>
              </w:rPr>
              <w:t>you</w:t>
            </w:r>
            <w:r>
              <w:rPr>
                <w:spacing w:val="-2"/>
                <w:sz w:val="20"/>
              </w:rPr>
              <w:t xml:space="preserve"> </w:t>
            </w:r>
            <w:r>
              <w:rPr>
                <w:sz w:val="20"/>
              </w:rPr>
              <w:t>listen</w:t>
            </w:r>
            <w:r>
              <w:rPr>
                <w:spacing w:val="-2"/>
                <w:sz w:val="20"/>
              </w:rPr>
              <w:t xml:space="preserve"> </w:t>
            </w:r>
            <w:r>
              <w:rPr>
                <w:sz w:val="20"/>
              </w:rPr>
              <w:t>reflectively</w:t>
            </w:r>
            <w:r>
              <w:rPr>
                <w:spacing w:val="-2"/>
                <w:sz w:val="20"/>
              </w:rPr>
              <w:t xml:space="preserve"> </w:t>
            </w:r>
            <w:r>
              <w:rPr>
                <w:sz w:val="20"/>
              </w:rPr>
              <w:t>to</w:t>
            </w:r>
            <w:r>
              <w:rPr>
                <w:spacing w:val="-3"/>
                <w:sz w:val="20"/>
              </w:rPr>
              <w:t xml:space="preserve"> </w:t>
            </w:r>
            <w:r>
              <w:rPr>
                <w:sz w:val="20"/>
              </w:rPr>
              <w:t>a</w:t>
            </w:r>
            <w:r>
              <w:rPr>
                <w:spacing w:val="-3"/>
                <w:sz w:val="20"/>
              </w:rPr>
              <w:t xml:space="preserve"> </w:t>
            </w:r>
            <w:r>
              <w:rPr>
                <w:sz w:val="20"/>
              </w:rPr>
              <w:t>client</w:t>
            </w:r>
            <w:r>
              <w:rPr>
                <w:spacing w:val="-3"/>
                <w:sz w:val="20"/>
              </w:rPr>
              <w:t xml:space="preserve"> </w:t>
            </w:r>
            <w:r>
              <w:rPr>
                <w:sz w:val="20"/>
              </w:rPr>
              <w:t>a</w:t>
            </w:r>
            <w:r>
              <w:rPr>
                <w:sz w:val="20"/>
              </w:rPr>
              <w:t>nd actively involve him or her in decision making. As you elicit goals for change and treatment, a client may not choose goals that you think are right for him or her.</w:t>
            </w:r>
          </w:p>
          <w:p w14:paraId="3A742E3A" w14:textId="77777777" w:rsidR="00DB6E1F" w:rsidRDefault="00F666A6">
            <w:pPr>
              <w:pStyle w:val="TableParagraph"/>
              <w:spacing w:before="120"/>
              <w:rPr>
                <w:sz w:val="20"/>
              </w:rPr>
            </w:pPr>
            <w:r>
              <w:rPr>
                <w:sz w:val="20"/>
              </w:rPr>
              <w:t>Before</w:t>
            </w:r>
            <w:r>
              <w:rPr>
                <w:spacing w:val="-2"/>
                <w:sz w:val="20"/>
              </w:rPr>
              <w:t xml:space="preserve"> </w:t>
            </w:r>
            <w:r>
              <w:rPr>
                <w:sz w:val="20"/>
              </w:rPr>
              <w:t>exploring</w:t>
            </w:r>
            <w:r>
              <w:rPr>
                <w:spacing w:val="-1"/>
                <w:sz w:val="20"/>
              </w:rPr>
              <w:t xml:space="preserve"> </w:t>
            </w:r>
            <w:r>
              <w:rPr>
                <w:sz w:val="20"/>
              </w:rPr>
              <w:t>different</w:t>
            </w:r>
            <w:r>
              <w:rPr>
                <w:spacing w:val="-1"/>
                <w:sz w:val="20"/>
              </w:rPr>
              <w:t xml:space="preserve"> </w:t>
            </w:r>
            <w:r>
              <w:rPr>
                <w:sz w:val="20"/>
              </w:rPr>
              <w:t>ways</w:t>
            </w:r>
            <w:r>
              <w:rPr>
                <w:spacing w:val="-2"/>
                <w:sz w:val="20"/>
              </w:rPr>
              <w:t xml:space="preserve"> </w:t>
            </w:r>
            <w:r>
              <w:rPr>
                <w:sz w:val="20"/>
              </w:rPr>
              <w:t>of</w:t>
            </w:r>
            <w:r>
              <w:rPr>
                <w:spacing w:val="-2"/>
                <w:sz w:val="20"/>
              </w:rPr>
              <w:t xml:space="preserve"> </w:t>
            </w:r>
            <w:r>
              <w:rPr>
                <w:sz w:val="20"/>
              </w:rPr>
              <w:t>handling</w:t>
            </w:r>
            <w:r>
              <w:rPr>
                <w:spacing w:val="-1"/>
                <w:sz w:val="20"/>
              </w:rPr>
              <w:t xml:space="preserve"> </w:t>
            </w:r>
            <w:r>
              <w:rPr>
                <w:sz w:val="20"/>
              </w:rPr>
              <w:t>this</w:t>
            </w:r>
            <w:r>
              <w:rPr>
                <w:spacing w:val="-2"/>
                <w:sz w:val="20"/>
              </w:rPr>
              <w:t xml:space="preserve"> </w:t>
            </w:r>
            <w:r>
              <w:rPr>
                <w:sz w:val="20"/>
              </w:rPr>
              <w:t>common situation,</w:t>
            </w:r>
            <w:r>
              <w:rPr>
                <w:spacing w:val="-1"/>
                <w:sz w:val="20"/>
              </w:rPr>
              <w:t xml:space="preserve"> </w:t>
            </w:r>
            <w:r>
              <w:rPr>
                <w:sz w:val="20"/>
              </w:rPr>
              <w:t>try</w:t>
            </w:r>
            <w:r>
              <w:rPr>
                <w:spacing w:val="-2"/>
                <w:sz w:val="20"/>
              </w:rPr>
              <w:t xml:space="preserve"> </w:t>
            </w:r>
            <w:r>
              <w:rPr>
                <w:sz w:val="20"/>
              </w:rPr>
              <w:t>to</w:t>
            </w:r>
            <w:r>
              <w:rPr>
                <w:spacing w:val="-1"/>
                <w:sz w:val="20"/>
              </w:rPr>
              <w:t xml:space="preserve"> </w:t>
            </w:r>
            <w:r>
              <w:rPr>
                <w:sz w:val="20"/>
              </w:rPr>
              <w:t>clarify how</w:t>
            </w:r>
            <w:r>
              <w:rPr>
                <w:spacing w:val="-2"/>
                <w:sz w:val="20"/>
              </w:rPr>
              <w:t xml:space="preserve"> </w:t>
            </w:r>
            <w:r>
              <w:rPr>
                <w:sz w:val="20"/>
              </w:rPr>
              <w:t>the</w:t>
            </w:r>
            <w:r>
              <w:rPr>
                <w:spacing w:val="-2"/>
                <w:sz w:val="20"/>
              </w:rPr>
              <w:t xml:space="preserve"> </w:t>
            </w:r>
            <w:r>
              <w:rPr>
                <w:sz w:val="20"/>
              </w:rPr>
              <w:t>client’s</w:t>
            </w:r>
            <w:r>
              <w:rPr>
                <w:spacing w:val="-2"/>
                <w:sz w:val="20"/>
              </w:rPr>
              <w:t xml:space="preserve"> </w:t>
            </w:r>
            <w:r>
              <w:rPr>
                <w:sz w:val="20"/>
              </w:rPr>
              <w:t>goals</w:t>
            </w:r>
            <w:r>
              <w:rPr>
                <w:spacing w:val="-2"/>
                <w:sz w:val="20"/>
              </w:rPr>
              <w:t xml:space="preserve"> </w:t>
            </w:r>
            <w:r>
              <w:rPr>
                <w:sz w:val="20"/>
              </w:rPr>
              <w:t>and your own (or your agency’s goals) do not match. For a client, goals are by definition the objectives he or she is motivated (ready, willing, and able) to work toward. If the client is not motivated to work toward it, it i</w:t>
            </w:r>
            <w:r>
              <w:rPr>
                <w:sz w:val="20"/>
              </w:rPr>
              <w:t>s not a goal.</w:t>
            </w:r>
            <w:r>
              <w:rPr>
                <w:spacing w:val="-3"/>
                <w:sz w:val="20"/>
              </w:rPr>
              <w:t xml:space="preserve"> </w:t>
            </w:r>
            <w:r>
              <w:rPr>
                <w:sz w:val="20"/>
              </w:rPr>
              <w:t>You</w:t>
            </w:r>
            <w:r>
              <w:rPr>
                <w:spacing w:val="-2"/>
                <w:sz w:val="20"/>
              </w:rPr>
              <w:t xml:space="preserve"> </w:t>
            </w:r>
            <w:r>
              <w:rPr>
                <w:sz w:val="20"/>
              </w:rPr>
              <w:t>or</w:t>
            </w:r>
            <w:r>
              <w:rPr>
                <w:spacing w:val="-3"/>
                <w:sz w:val="20"/>
              </w:rPr>
              <w:t xml:space="preserve"> </w:t>
            </w:r>
            <w:r>
              <w:rPr>
                <w:sz w:val="20"/>
              </w:rPr>
              <w:t>your</w:t>
            </w:r>
            <w:r>
              <w:rPr>
                <w:spacing w:val="-3"/>
                <w:sz w:val="20"/>
              </w:rPr>
              <w:t xml:space="preserve"> </w:t>
            </w:r>
            <w:r>
              <w:rPr>
                <w:sz w:val="20"/>
              </w:rPr>
              <w:t>agency,</w:t>
            </w:r>
            <w:r>
              <w:rPr>
                <w:spacing w:val="-2"/>
                <w:sz w:val="20"/>
              </w:rPr>
              <w:t xml:space="preserve"> </w:t>
            </w:r>
            <w:r>
              <w:rPr>
                <w:sz w:val="20"/>
              </w:rPr>
              <w:t>however,</w:t>
            </w:r>
            <w:r>
              <w:rPr>
                <w:spacing w:val="-2"/>
                <w:sz w:val="20"/>
              </w:rPr>
              <w:t xml:space="preserve"> </w:t>
            </w:r>
            <w:r>
              <w:rPr>
                <w:sz w:val="20"/>
              </w:rPr>
              <w:t>may</w:t>
            </w:r>
            <w:r>
              <w:rPr>
                <w:spacing w:val="-2"/>
                <w:sz w:val="20"/>
              </w:rPr>
              <w:t xml:space="preserve"> </w:t>
            </w:r>
            <w:r>
              <w:rPr>
                <w:sz w:val="20"/>
              </w:rPr>
              <w:t>have</w:t>
            </w:r>
            <w:r>
              <w:rPr>
                <w:spacing w:val="-1"/>
                <w:sz w:val="20"/>
              </w:rPr>
              <w:t xml:space="preserve"> </w:t>
            </w:r>
            <w:r>
              <w:rPr>
                <w:sz w:val="20"/>
              </w:rPr>
              <w:t>specific</w:t>
            </w:r>
            <w:r>
              <w:rPr>
                <w:spacing w:val="-4"/>
                <w:sz w:val="20"/>
              </w:rPr>
              <w:t xml:space="preserve"> </w:t>
            </w:r>
            <w:r>
              <w:rPr>
                <w:sz w:val="20"/>
              </w:rPr>
              <w:t>plans</w:t>
            </w:r>
            <w:r>
              <w:rPr>
                <w:spacing w:val="-2"/>
                <w:sz w:val="20"/>
              </w:rPr>
              <w:t xml:space="preserve"> </w:t>
            </w:r>
            <w:r>
              <w:rPr>
                <w:sz w:val="20"/>
              </w:rPr>
              <w:t>or</w:t>
            </w:r>
            <w:r>
              <w:rPr>
                <w:spacing w:val="-3"/>
                <w:sz w:val="20"/>
              </w:rPr>
              <w:t xml:space="preserve"> </w:t>
            </w:r>
            <w:r>
              <w:rPr>
                <w:sz w:val="20"/>
              </w:rPr>
              <w:t>hopes</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client.</w:t>
            </w:r>
            <w:r>
              <w:rPr>
                <w:spacing w:val="-3"/>
                <w:sz w:val="20"/>
              </w:rPr>
              <w:t xml:space="preserve"> </w:t>
            </w:r>
            <w:r>
              <w:rPr>
                <w:sz w:val="20"/>
              </w:rPr>
              <w:t>You</w:t>
            </w:r>
            <w:r>
              <w:rPr>
                <w:spacing w:val="-2"/>
                <w:sz w:val="20"/>
              </w:rPr>
              <w:t xml:space="preserve"> </w:t>
            </w:r>
            <w:r>
              <w:rPr>
                <w:sz w:val="20"/>
              </w:rPr>
              <w:t>cannot</w:t>
            </w:r>
            <w:r>
              <w:rPr>
                <w:spacing w:val="-2"/>
                <w:sz w:val="20"/>
              </w:rPr>
              <w:t xml:space="preserve"> </w:t>
            </w:r>
            <w:r>
              <w:rPr>
                <w:sz w:val="20"/>
              </w:rPr>
              <w:t>push</w:t>
            </w:r>
            <w:r>
              <w:rPr>
                <w:spacing w:val="-2"/>
                <w:sz w:val="20"/>
              </w:rPr>
              <w:t xml:space="preserve"> </w:t>
            </w:r>
            <w:r>
              <w:rPr>
                <w:sz w:val="20"/>
              </w:rPr>
              <w:t>your</w:t>
            </w:r>
            <w:r>
              <w:rPr>
                <w:spacing w:val="-5"/>
                <w:sz w:val="20"/>
              </w:rPr>
              <w:t xml:space="preserve"> </w:t>
            </w:r>
            <w:r>
              <w:rPr>
                <w:sz w:val="20"/>
              </w:rPr>
              <w:t>hopes and plans</w:t>
            </w:r>
            <w:r>
              <w:rPr>
                <w:spacing w:val="-2"/>
                <w:sz w:val="20"/>
              </w:rPr>
              <w:t xml:space="preserve"> </w:t>
            </w:r>
            <w:r>
              <w:rPr>
                <w:sz w:val="20"/>
              </w:rPr>
              <w:t>onto the</w:t>
            </w:r>
            <w:r>
              <w:rPr>
                <w:spacing w:val="-2"/>
                <w:sz w:val="20"/>
              </w:rPr>
              <w:t xml:space="preserve"> </w:t>
            </w:r>
            <w:r>
              <w:rPr>
                <w:sz w:val="20"/>
              </w:rPr>
              <w:t>client.</w:t>
            </w:r>
            <w:r>
              <w:rPr>
                <w:spacing w:val="-1"/>
                <w:sz w:val="20"/>
              </w:rPr>
              <w:t xml:space="preserve"> </w:t>
            </w:r>
            <w:r>
              <w:rPr>
                <w:sz w:val="20"/>
              </w:rPr>
              <w:t>This</w:t>
            </w:r>
            <w:r>
              <w:rPr>
                <w:spacing w:val="-2"/>
                <w:sz w:val="20"/>
              </w:rPr>
              <w:t xml:space="preserve"> </w:t>
            </w:r>
            <w:r>
              <w:rPr>
                <w:sz w:val="20"/>
              </w:rPr>
              <w:t>situation can become</w:t>
            </w:r>
            <w:r>
              <w:rPr>
                <w:spacing w:val="-2"/>
                <w:sz w:val="20"/>
              </w:rPr>
              <w:t xml:space="preserve"> </w:t>
            </w:r>
            <w:r>
              <w:rPr>
                <w:sz w:val="20"/>
              </w:rPr>
              <w:t>an ethical</w:t>
            </w:r>
            <w:r>
              <w:rPr>
                <w:spacing w:val="-1"/>
                <w:sz w:val="20"/>
              </w:rPr>
              <w:t xml:space="preserve"> </w:t>
            </w:r>
            <w:r>
              <w:rPr>
                <w:sz w:val="20"/>
              </w:rPr>
              <w:t>problem</w:t>
            </w:r>
            <w:r>
              <w:rPr>
                <w:spacing w:val="-2"/>
                <w:sz w:val="20"/>
              </w:rPr>
              <w:t xml:space="preserve"> </w:t>
            </w:r>
            <w:r>
              <w:rPr>
                <w:sz w:val="20"/>
              </w:rPr>
              <w:t>if</w:t>
            </w:r>
            <w:r>
              <w:rPr>
                <w:spacing w:val="-2"/>
                <w:sz w:val="20"/>
              </w:rPr>
              <w:t xml:space="preserve"> </w:t>
            </w:r>
            <w:r>
              <w:rPr>
                <w:sz w:val="20"/>
              </w:rPr>
              <w:t>you focus</w:t>
            </w:r>
            <w:r>
              <w:rPr>
                <w:spacing w:val="-2"/>
                <w:sz w:val="20"/>
              </w:rPr>
              <w:t xml:space="preserve"> </w:t>
            </w:r>
            <w:r>
              <w:rPr>
                <w:sz w:val="20"/>
              </w:rPr>
              <w:t>too much on trying</w:t>
            </w:r>
            <w:r>
              <w:rPr>
                <w:spacing w:val="-1"/>
                <w:sz w:val="20"/>
              </w:rPr>
              <w:t xml:space="preserve"> </w:t>
            </w:r>
            <w:r>
              <w:rPr>
                <w:sz w:val="20"/>
              </w:rPr>
              <w:t>to</w:t>
            </w:r>
            <w:r>
              <w:rPr>
                <w:spacing w:val="-1"/>
                <w:sz w:val="20"/>
              </w:rPr>
              <w:t xml:space="preserve"> </w:t>
            </w:r>
            <w:r>
              <w:rPr>
                <w:sz w:val="20"/>
              </w:rPr>
              <w:t>get</w:t>
            </w:r>
            <w:r>
              <w:rPr>
                <w:spacing w:val="-1"/>
                <w:sz w:val="20"/>
              </w:rPr>
              <w:t xml:space="preserve"> </w:t>
            </w:r>
            <w:r>
              <w:rPr>
                <w:sz w:val="20"/>
              </w:rPr>
              <w:t xml:space="preserve">a client to change in the </w:t>
            </w:r>
            <w:r>
              <w:rPr>
                <w:sz w:val="20"/>
              </w:rPr>
              <w:t>direction of your or the agency’s goals (Miller &amp; Rollnick, 2013).</w:t>
            </w:r>
          </w:p>
          <w:p w14:paraId="161E2B42" w14:textId="77777777" w:rsidR="00DB6E1F" w:rsidRDefault="00F666A6">
            <w:pPr>
              <w:pStyle w:val="TableParagraph"/>
              <w:spacing w:before="120"/>
              <w:rPr>
                <w:sz w:val="20"/>
              </w:rPr>
            </w:pPr>
            <w:r>
              <w:rPr>
                <w:sz w:val="20"/>
              </w:rPr>
              <w:t>What</w:t>
            </w:r>
            <w:r>
              <w:rPr>
                <w:spacing w:val="-6"/>
                <w:sz w:val="20"/>
              </w:rPr>
              <w:t xml:space="preserve"> </w:t>
            </w:r>
            <w:r>
              <w:rPr>
                <w:sz w:val="20"/>
              </w:rPr>
              <w:t>are</w:t>
            </w:r>
            <w:r>
              <w:rPr>
                <w:spacing w:val="-6"/>
                <w:sz w:val="20"/>
              </w:rPr>
              <w:t xml:space="preserve"> </w:t>
            </w:r>
            <w:r>
              <w:rPr>
                <w:sz w:val="20"/>
              </w:rPr>
              <w:t>your</w:t>
            </w:r>
            <w:r>
              <w:rPr>
                <w:spacing w:val="-6"/>
                <w:sz w:val="20"/>
              </w:rPr>
              <w:t xml:space="preserve"> </w:t>
            </w:r>
            <w:r>
              <w:rPr>
                <w:sz w:val="20"/>
              </w:rPr>
              <w:t>clinical</w:t>
            </w:r>
            <w:r>
              <w:rPr>
                <w:spacing w:val="-5"/>
                <w:sz w:val="20"/>
              </w:rPr>
              <w:t xml:space="preserve"> </w:t>
            </w:r>
            <w:r>
              <w:rPr>
                <w:sz w:val="20"/>
              </w:rPr>
              <w:t>options</w:t>
            </w:r>
            <w:r>
              <w:rPr>
                <w:spacing w:val="-7"/>
                <w:sz w:val="20"/>
              </w:rPr>
              <w:t xml:space="preserve"> </w:t>
            </w:r>
            <w:r>
              <w:rPr>
                <w:sz w:val="20"/>
              </w:rPr>
              <w:t>when</w:t>
            </w:r>
            <w:r>
              <w:rPr>
                <w:spacing w:val="-4"/>
                <w:sz w:val="20"/>
              </w:rPr>
              <w:t xml:space="preserve"> </w:t>
            </w:r>
            <w:r>
              <w:rPr>
                <w:sz w:val="20"/>
              </w:rPr>
              <w:t>goals</w:t>
            </w:r>
            <w:r>
              <w:rPr>
                <w:spacing w:val="-7"/>
                <w:sz w:val="20"/>
              </w:rPr>
              <w:t xml:space="preserve"> </w:t>
            </w:r>
            <w:r>
              <w:rPr>
                <w:sz w:val="20"/>
              </w:rPr>
              <w:t>differ?</w:t>
            </w:r>
            <w:r>
              <w:rPr>
                <w:spacing w:val="-6"/>
                <w:sz w:val="20"/>
              </w:rPr>
              <w:t xml:space="preserve"> </w:t>
            </w:r>
            <w:r>
              <w:rPr>
                <w:sz w:val="20"/>
              </w:rPr>
              <w:t>You</w:t>
            </w:r>
            <w:r>
              <w:rPr>
                <w:spacing w:val="-5"/>
                <w:sz w:val="20"/>
              </w:rPr>
              <w:t xml:space="preserve"> </w:t>
            </w:r>
            <w:r>
              <w:rPr>
                <w:sz w:val="20"/>
              </w:rPr>
              <w:t>can</w:t>
            </w:r>
            <w:r>
              <w:rPr>
                <w:spacing w:val="-4"/>
                <w:sz w:val="20"/>
              </w:rPr>
              <w:t xml:space="preserve"> </w:t>
            </w:r>
            <w:r>
              <w:rPr>
                <w:sz w:val="20"/>
              </w:rPr>
              <w:t>choose</w:t>
            </w:r>
            <w:r>
              <w:rPr>
                <w:spacing w:val="-7"/>
                <w:sz w:val="20"/>
              </w:rPr>
              <w:t xml:space="preserve"> </w:t>
            </w:r>
            <w:r>
              <w:rPr>
                <w:sz w:val="20"/>
              </w:rPr>
              <w:t>from</w:t>
            </w:r>
            <w:r>
              <w:rPr>
                <w:spacing w:val="-6"/>
                <w:sz w:val="20"/>
              </w:rPr>
              <w:t xml:space="preserve"> </w:t>
            </w:r>
            <w:r>
              <w:rPr>
                <w:sz w:val="20"/>
              </w:rPr>
              <w:t>the</w:t>
            </w:r>
            <w:r>
              <w:rPr>
                <w:spacing w:val="-6"/>
                <w:sz w:val="20"/>
              </w:rPr>
              <w:t xml:space="preserve"> </w:t>
            </w:r>
            <w:r>
              <w:rPr>
                <w:sz w:val="20"/>
              </w:rPr>
              <w:t>following</w:t>
            </w:r>
            <w:r>
              <w:rPr>
                <w:spacing w:val="-5"/>
                <w:sz w:val="20"/>
              </w:rPr>
              <w:t xml:space="preserve"> </w:t>
            </w:r>
            <w:r>
              <w:rPr>
                <w:spacing w:val="-2"/>
                <w:sz w:val="20"/>
              </w:rPr>
              <w:t>strategies:</w:t>
            </w:r>
          </w:p>
          <w:p w14:paraId="1E6E41B2" w14:textId="77777777" w:rsidR="00DB6E1F" w:rsidRDefault="00F666A6">
            <w:pPr>
              <w:pStyle w:val="TableParagraph"/>
              <w:numPr>
                <w:ilvl w:val="0"/>
                <w:numId w:val="50"/>
              </w:numPr>
              <w:tabs>
                <w:tab w:val="left" w:pos="468"/>
              </w:tabs>
              <w:spacing w:before="119"/>
              <w:ind w:hanging="361"/>
              <w:jc w:val="both"/>
              <w:rPr>
                <w:sz w:val="20"/>
              </w:rPr>
            </w:pPr>
            <w:r>
              <w:rPr>
                <w:b/>
                <w:sz w:val="20"/>
              </w:rPr>
              <w:t>Negotiate</w:t>
            </w:r>
            <w:r>
              <w:rPr>
                <w:b/>
                <w:spacing w:val="-5"/>
                <w:sz w:val="20"/>
              </w:rPr>
              <w:t xml:space="preserve"> </w:t>
            </w:r>
            <w:r>
              <w:rPr>
                <w:sz w:val="20"/>
              </w:rPr>
              <w:t>(i.e.,</w:t>
            </w:r>
            <w:r>
              <w:rPr>
                <w:spacing w:val="-4"/>
                <w:sz w:val="20"/>
              </w:rPr>
              <w:t xml:space="preserve"> </w:t>
            </w:r>
            <w:r>
              <w:rPr>
                <w:sz w:val="20"/>
              </w:rPr>
              <w:t>figure</w:t>
            </w:r>
            <w:r>
              <w:rPr>
                <w:spacing w:val="-5"/>
                <w:sz w:val="20"/>
              </w:rPr>
              <w:t xml:space="preserve"> </w:t>
            </w:r>
            <w:r>
              <w:rPr>
                <w:sz w:val="20"/>
              </w:rPr>
              <w:t>out</w:t>
            </w:r>
            <w:r>
              <w:rPr>
                <w:spacing w:val="-4"/>
                <w:sz w:val="20"/>
              </w:rPr>
              <w:t xml:space="preserve"> </w:t>
            </w:r>
            <w:r>
              <w:rPr>
                <w:sz w:val="20"/>
              </w:rPr>
              <w:t>how</w:t>
            </w:r>
            <w:r>
              <w:rPr>
                <w:spacing w:val="-6"/>
                <w:sz w:val="20"/>
              </w:rPr>
              <w:t xml:space="preserve"> </w:t>
            </w:r>
            <w:r>
              <w:rPr>
                <w:sz w:val="20"/>
              </w:rPr>
              <w:t>to</w:t>
            </w:r>
            <w:r>
              <w:rPr>
                <w:spacing w:val="-3"/>
                <w:sz w:val="20"/>
              </w:rPr>
              <w:t xml:space="preserve"> </w:t>
            </w:r>
            <w:r>
              <w:rPr>
                <w:sz w:val="20"/>
              </w:rPr>
              <w:t>work</w:t>
            </w:r>
            <w:r>
              <w:rPr>
                <w:spacing w:val="-4"/>
                <w:sz w:val="20"/>
              </w:rPr>
              <w:t xml:space="preserve"> </w:t>
            </w:r>
            <w:r>
              <w:rPr>
                <w:sz w:val="20"/>
              </w:rPr>
              <w:t>out</w:t>
            </w:r>
            <w:r>
              <w:rPr>
                <w:spacing w:val="-4"/>
                <w:sz w:val="20"/>
              </w:rPr>
              <w:t xml:space="preserve"> </w:t>
            </w:r>
            <w:r>
              <w:rPr>
                <w:sz w:val="20"/>
              </w:rPr>
              <w:t>the</w:t>
            </w:r>
            <w:r>
              <w:rPr>
                <w:spacing w:val="-6"/>
                <w:sz w:val="20"/>
              </w:rPr>
              <w:t xml:space="preserve"> </w:t>
            </w:r>
            <w:r>
              <w:rPr>
                <w:spacing w:val="-2"/>
                <w:sz w:val="20"/>
              </w:rPr>
              <w:t>differences)</w:t>
            </w:r>
          </w:p>
          <w:p w14:paraId="06DAFE6B" w14:textId="77777777" w:rsidR="00DB6E1F" w:rsidRDefault="00F666A6">
            <w:pPr>
              <w:pStyle w:val="TableParagraph"/>
              <w:numPr>
                <w:ilvl w:val="1"/>
                <w:numId w:val="50"/>
              </w:numPr>
              <w:tabs>
                <w:tab w:val="left" w:pos="828"/>
              </w:tabs>
              <w:spacing w:before="41"/>
              <w:ind w:right="527"/>
              <w:jc w:val="both"/>
              <w:rPr>
                <w:sz w:val="20"/>
              </w:rPr>
            </w:pPr>
            <w:r>
              <w:rPr>
                <w:sz w:val="20"/>
              </w:rPr>
              <w:t>Rework</w:t>
            </w:r>
            <w:r>
              <w:rPr>
                <w:spacing w:val="-2"/>
                <w:sz w:val="20"/>
              </w:rPr>
              <w:t xml:space="preserve"> </w:t>
            </w:r>
            <w:r>
              <w:rPr>
                <w:sz w:val="20"/>
              </w:rPr>
              <w:t>the</w:t>
            </w:r>
            <w:r>
              <w:rPr>
                <w:spacing w:val="-3"/>
                <w:sz w:val="20"/>
              </w:rPr>
              <w:t xml:space="preserve"> </w:t>
            </w:r>
            <w:r>
              <w:rPr>
                <w:sz w:val="20"/>
              </w:rPr>
              <w:t>agenda</w:t>
            </w:r>
            <w:r>
              <w:rPr>
                <w:spacing w:val="-2"/>
                <w:sz w:val="20"/>
              </w:rPr>
              <w:t xml:space="preserve"> </w:t>
            </w:r>
            <w:r>
              <w:rPr>
                <w:sz w:val="20"/>
              </w:rPr>
              <w:t>and</w:t>
            </w:r>
            <w:r>
              <w:rPr>
                <w:spacing w:val="-2"/>
                <w:sz w:val="20"/>
              </w:rPr>
              <w:t xml:space="preserve"> </w:t>
            </w:r>
            <w:r>
              <w:rPr>
                <w:sz w:val="20"/>
              </w:rPr>
              <w:t>be</w:t>
            </w:r>
            <w:r>
              <w:rPr>
                <w:spacing w:val="-3"/>
                <w:sz w:val="20"/>
              </w:rPr>
              <w:t xml:space="preserve"> </w:t>
            </w:r>
            <w:r>
              <w:rPr>
                <w:sz w:val="20"/>
              </w:rPr>
              <w:t>open</w:t>
            </w:r>
            <w:r>
              <w:rPr>
                <w:spacing w:val="-2"/>
                <w:sz w:val="20"/>
              </w:rPr>
              <w:t xml:space="preserve"> </w:t>
            </w:r>
            <w:r>
              <w:rPr>
                <w:sz w:val="20"/>
              </w:rPr>
              <w:t>about</w:t>
            </w:r>
            <w:r>
              <w:rPr>
                <w:spacing w:val="-2"/>
                <w:sz w:val="20"/>
              </w:rPr>
              <w:t xml:space="preserve"> </w:t>
            </w:r>
            <w:r>
              <w:rPr>
                <w:sz w:val="20"/>
              </w:rPr>
              <w:t>your</w:t>
            </w:r>
            <w:r>
              <w:rPr>
                <w:spacing w:val="-2"/>
                <w:sz w:val="20"/>
              </w:rPr>
              <w:t xml:space="preserve"> </w:t>
            </w:r>
            <w:r>
              <w:rPr>
                <w:sz w:val="20"/>
              </w:rPr>
              <w:t>concerns</w:t>
            </w:r>
            <w:r>
              <w:rPr>
                <w:spacing w:val="-3"/>
                <w:sz w:val="20"/>
              </w:rPr>
              <w:t xml:space="preserve"> </w:t>
            </w:r>
            <w:r>
              <w:rPr>
                <w:sz w:val="20"/>
              </w:rPr>
              <w:t>as</w:t>
            </w:r>
            <w:r>
              <w:rPr>
                <w:spacing w:val="-3"/>
                <w:sz w:val="20"/>
              </w:rPr>
              <w:t xml:space="preserve"> </w:t>
            </w:r>
            <w:r>
              <w:rPr>
                <w:sz w:val="20"/>
              </w:rPr>
              <w:t>well</w:t>
            </w:r>
            <w:r>
              <w:rPr>
                <w:spacing w:val="-2"/>
                <w:sz w:val="20"/>
              </w:rPr>
              <w:t xml:space="preserve"> </w:t>
            </w:r>
            <w:r>
              <w:rPr>
                <w:sz w:val="20"/>
              </w:rPr>
              <w:t>as</w:t>
            </w:r>
            <w:r>
              <w:rPr>
                <w:spacing w:val="-3"/>
                <w:sz w:val="20"/>
              </w:rPr>
              <w:t xml:space="preserve"> </w:t>
            </w:r>
            <w:r>
              <w:rPr>
                <w:sz w:val="20"/>
              </w:rPr>
              <w:t>your</w:t>
            </w:r>
            <w:r>
              <w:rPr>
                <w:spacing w:val="-2"/>
                <w:sz w:val="20"/>
              </w:rPr>
              <w:t xml:space="preserve"> </w:t>
            </w:r>
            <w:r>
              <w:rPr>
                <w:sz w:val="20"/>
              </w:rPr>
              <w:t>hopes</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client (Miller</w:t>
            </w:r>
            <w:r>
              <w:rPr>
                <w:spacing w:val="-2"/>
                <w:sz w:val="20"/>
              </w:rPr>
              <w:t xml:space="preserve"> </w:t>
            </w:r>
            <w:r>
              <w:rPr>
                <w:sz w:val="20"/>
              </w:rPr>
              <w:t>&amp; Rollnick, 2013).</w:t>
            </w:r>
          </w:p>
          <w:p w14:paraId="1A5EFD8E" w14:textId="77777777" w:rsidR="00DB6E1F" w:rsidRDefault="00F666A6">
            <w:pPr>
              <w:pStyle w:val="TableParagraph"/>
              <w:numPr>
                <w:ilvl w:val="1"/>
                <w:numId w:val="50"/>
              </w:numPr>
              <w:tabs>
                <w:tab w:val="left" w:pos="828"/>
              </w:tabs>
              <w:spacing w:before="0" w:line="255" w:lineRule="exact"/>
              <w:ind w:hanging="361"/>
              <w:jc w:val="both"/>
              <w:rPr>
                <w:sz w:val="20"/>
              </w:rPr>
            </w:pPr>
            <w:r>
              <w:rPr>
                <w:sz w:val="20"/>
              </w:rPr>
              <w:t>Find</w:t>
            </w:r>
            <w:r>
              <w:rPr>
                <w:spacing w:val="-4"/>
                <w:sz w:val="20"/>
              </w:rPr>
              <w:t xml:space="preserve"> </w:t>
            </w:r>
            <w:r>
              <w:rPr>
                <w:sz w:val="20"/>
              </w:rPr>
              <w:t>goals</w:t>
            </w:r>
            <w:r>
              <w:rPr>
                <w:spacing w:val="-6"/>
                <w:sz w:val="20"/>
              </w:rPr>
              <w:t xml:space="preserve"> </w:t>
            </w:r>
            <w:r>
              <w:rPr>
                <w:sz w:val="20"/>
              </w:rPr>
              <w:t>on</w:t>
            </w:r>
            <w:r>
              <w:rPr>
                <w:spacing w:val="-4"/>
                <w:sz w:val="20"/>
              </w:rPr>
              <w:t xml:space="preserve"> </w:t>
            </w:r>
            <w:r>
              <w:rPr>
                <w:sz w:val="20"/>
              </w:rPr>
              <w:t>which</w:t>
            </w:r>
            <w:r>
              <w:rPr>
                <w:spacing w:val="-4"/>
                <w:sz w:val="20"/>
              </w:rPr>
              <w:t xml:space="preserve"> </w:t>
            </w:r>
            <w:r>
              <w:rPr>
                <w:sz w:val="20"/>
              </w:rPr>
              <w:t>you</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client</w:t>
            </w:r>
            <w:r>
              <w:rPr>
                <w:spacing w:val="-5"/>
                <w:sz w:val="20"/>
              </w:rPr>
              <w:t xml:space="preserve"> </w:t>
            </w:r>
            <w:r>
              <w:rPr>
                <w:sz w:val="20"/>
              </w:rPr>
              <w:t>can</w:t>
            </w:r>
            <w:r>
              <w:rPr>
                <w:spacing w:val="-4"/>
                <w:sz w:val="20"/>
              </w:rPr>
              <w:t xml:space="preserve"> </w:t>
            </w:r>
            <w:r>
              <w:rPr>
                <w:sz w:val="20"/>
              </w:rPr>
              <w:t>agree,</w:t>
            </w:r>
            <w:r>
              <w:rPr>
                <w:spacing w:val="-4"/>
                <w:sz w:val="20"/>
              </w:rPr>
              <w:t xml:space="preserve"> </w:t>
            </w:r>
            <w:r>
              <w:rPr>
                <w:sz w:val="20"/>
              </w:rPr>
              <w:t>and</w:t>
            </w:r>
            <w:r>
              <w:rPr>
                <w:spacing w:val="-4"/>
                <w:sz w:val="20"/>
              </w:rPr>
              <w:t xml:space="preserve"> </w:t>
            </w:r>
            <w:r>
              <w:rPr>
                <w:sz w:val="20"/>
              </w:rPr>
              <w:t>work</w:t>
            </w:r>
            <w:r>
              <w:rPr>
                <w:spacing w:val="-4"/>
                <w:sz w:val="20"/>
              </w:rPr>
              <w:t xml:space="preserve"> </w:t>
            </w:r>
            <w:r>
              <w:rPr>
                <w:sz w:val="20"/>
              </w:rPr>
              <w:t>together</w:t>
            </w:r>
            <w:r>
              <w:rPr>
                <w:spacing w:val="-5"/>
                <w:sz w:val="20"/>
              </w:rPr>
              <w:t xml:space="preserve"> </w:t>
            </w:r>
            <w:r>
              <w:rPr>
                <w:sz w:val="20"/>
              </w:rPr>
              <w:t>on</w:t>
            </w:r>
            <w:r>
              <w:rPr>
                <w:spacing w:val="-4"/>
                <w:sz w:val="20"/>
              </w:rPr>
              <w:t xml:space="preserve"> </w:t>
            </w:r>
            <w:r>
              <w:rPr>
                <w:spacing w:val="-2"/>
                <w:sz w:val="20"/>
              </w:rPr>
              <w:t>those.</w:t>
            </w:r>
          </w:p>
          <w:p w14:paraId="4931EA48" w14:textId="77777777" w:rsidR="00DB6E1F" w:rsidRDefault="00F666A6">
            <w:pPr>
              <w:pStyle w:val="TableParagraph"/>
              <w:numPr>
                <w:ilvl w:val="1"/>
                <w:numId w:val="50"/>
              </w:numPr>
              <w:tabs>
                <w:tab w:val="left" w:pos="828"/>
              </w:tabs>
              <w:spacing w:before="0"/>
              <w:ind w:right="169"/>
              <w:jc w:val="both"/>
              <w:rPr>
                <w:sz w:val="20"/>
              </w:rPr>
            </w:pPr>
            <w:r>
              <w:rPr>
                <w:sz w:val="20"/>
              </w:rPr>
              <w:t>Start</w:t>
            </w:r>
            <w:r>
              <w:rPr>
                <w:spacing w:val="-1"/>
                <w:sz w:val="20"/>
              </w:rPr>
              <w:t xml:space="preserve"> </w:t>
            </w:r>
            <w:r>
              <w:rPr>
                <w:sz w:val="20"/>
              </w:rPr>
              <w:t>with areas</w:t>
            </w:r>
            <w:r>
              <w:rPr>
                <w:spacing w:val="-2"/>
                <w:sz w:val="20"/>
              </w:rPr>
              <w:t xml:space="preserve"> </w:t>
            </w:r>
            <w:r>
              <w:rPr>
                <w:sz w:val="20"/>
              </w:rPr>
              <w:t>in which the</w:t>
            </w:r>
            <w:r>
              <w:rPr>
                <w:spacing w:val="-2"/>
                <w:sz w:val="20"/>
              </w:rPr>
              <w:t xml:space="preserve"> </w:t>
            </w:r>
            <w:r>
              <w:rPr>
                <w:sz w:val="20"/>
              </w:rPr>
              <w:t>client</w:t>
            </w:r>
            <w:r>
              <w:rPr>
                <w:spacing w:val="-1"/>
                <w:sz w:val="20"/>
              </w:rPr>
              <w:t xml:space="preserve"> </w:t>
            </w:r>
            <w:r>
              <w:rPr>
                <w:sz w:val="20"/>
              </w:rPr>
              <w:t>is</w:t>
            </w:r>
            <w:r>
              <w:rPr>
                <w:spacing w:val="-2"/>
                <w:sz w:val="20"/>
              </w:rPr>
              <w:t xml:space="preserve"> </w:t>
            </w:r>
            <w:r>
              <w:rPr>
                <w:sz w:val="20"/>
              </w:rPr>
              <w:t>motivated to change. Women with alcohol</w:t>
            </w:r>
            <w:r>
              <w:rPr>
                <w:spacing w:val="-1"/>
                <w:sz w:val="20"/>
              </w:rPr>
              <w:t xml:space="preserve"> </w:t>
            </w:r>
            <w:r>
              <w:rPr>
                <w:sz w:val="20"/>
              </w:rPr>
              <w:t>or</w:t>
            </w:r>
            <w:r>
              <w:rPr>
                <w:spacing w:val="-1"/>
                <w:sz w:val="20"/>
              </w:rPr>
              <w:t xml:space="preserve"> </w:t>
            </w:r>
            <w:r>
              <w:rPr>
                <w:sz w:val="20"/>
              </w:rPr>
              <w:t>drug</w:t>
            </w:r>
            <w:r>
              <w:rPr>
                <w:spacing w:val="-4"/>
                <w:sz w:val="20"/>
              </w:rPr>
              <w:t xml:space="preserve"> </w:t>
            </w:r>
            <w:r>
              <w:rPr>
                <w:sz w:val="20"/>
              </w:rPr>
              <w:t>use</w:t>
            </w:r>
            <w:r>
              <w:rPr>
                <w:spacing w:val="-2"/>
                <w:sz w:val="20"/>
              </w:rPr>
              <w:t xml:space="preserve"> </w:t>
            </w:r>
            <w:r>
              <w:rPr>
                <w:sz w:val="20"/>
              </w:rPr>
              <w:t>disorders, for</w:t>
            </w:r>
            <w:r>
              <w:rPr>
                <w:spacing w:val="-3"/>
                <w:sz w:val="20"/>
              </w:rPr>
              <w:t xml:space="preserve"> </w:t>
            </w:r>
            <w:r>
              <w:rPr>
                <w:sz w:val="20"/>
              </w:rPr>
              <w:t>example,</w:t>
            </w:r>
            <w:r>
              <w:rPr>
                <w:spacing w:val="-2"/>
                <w:sz w:val="20"/>
              </w:rPr>
              <w:t xml:space="preserve"> </w:t>
            </w:r>
            <w:r>
              <w:rPr>
                <w:sz w:val="20"/>
              </w:rPr>
              <w:t>often</w:t>
            </w:r>
            <w:r>
              <w:rPr>
                <w:spacing w:val="-2"/>
                <w:sz w:val="20"/>
              </w:rPr>
              <w:t xml:space="preserve"> </w:t>
            </w:r>
            <w:r>
              <w:rPr>
                <w:sz w:val="20"/>
              </w:rPr>
              <w:t>come</w:t>
            </w:r>
            <w:r>
              <w:rPr>
                <w:spacing w:val="-4"/>
                <w:sz w:val="20"/>
              </w:rPr>
              <w:t xml:space="preserve"> </w:t>
            </w:r>
            <w:r>
              <w:rPr>
                <w:sz w:val="20"/>
              </w:rPr>
              <w:t>to</w:t>
            </w:r>
            <w:r>
              <w:rPr>
                <w:spacing w:val="-3"/>
                <w:sz w:val="20"/>
              </w:rPr>
              <w:t xml:space="preserve"> </w:t>
            </w:r>
            <w:r>
              <w:rPr>
                <w:sz w:val="20"/>
              </w:rPr>
              <w:t>treatment</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wide</w:t>
            </w:r>
            <w:r>
              <w:rPr>
                <w:spacing w:val="-4"/>
                <w:sz w:val="20"/>
              </w:rPr>
              <w:t xml:space="preserve"> </w:t>
            </w:r>
            <w:r>
              <w:rPr>
                <w:sz w:val="20"/>
              </w:rPr>
              <w:t>range</w:t>
            </w:r>
            <w:r>
              <w:rPr>
                <w:spacing w:val="-4"/>
                <w:sz w:val="20"/>
              </w:rPr>
              <w:t xml:space="preserve"> </w:t>
            </w:r>
            <w:r>
              <w:rPr>
                <w:sz w:val="20"/>
              </w:rPr>
              <w:t>of</w:t>
            </w:r>
            <w:r>
              <w:rPr>
                <w:spacing w:val="-2"/>
                <w:sz w:val="20"/>
              </w:rPr>
              <w:t xml:space="preserve"> </w:t>
            </w:r>
            <w:r>
              <w:rPr>
                <w:sz w:val="20"/>
              </w:rPr>
              <w:t>other</w:t>
            </w:r>
            <w:r>
              <w:rPr>
                <w:spacing w:val="-3"/>
                <w:sz w:val="20"/>
              </w:rPr>
              <w:t xml:space="preserve"> </w:t>
            </w:r>
            <w:r>
              <w:rPr>
                <w:sz w:val="20"/>
              </w:rPr>
              <w:t>problems, many</w:t>
            </w:r>
            <w:r>
              <w:rPr>
                <w:spacing w:val="-2"/>
                <w:sz w:val="20"/>
              </w:rPr>
              <w:t xml:space="preserve"> </w:t>
            </w:r>
            <w:r>
              <w:rPr>
                <w:sz w:val="20"/>
              </w:rPr>
              <w:t>of</w:t>
            </w:r>
            <w:r>
              <w:rPr>
                <w:spacing w:val="-4"/>
                <w:sz w:val="20"/>
              </w:rPr>
              <w:t xml:space="preserve"> </w:t>
            </w:r>
            <w:r>
              <w:rPr>
                <w:sz w:val="20"/>
              </w:rPr>
              <w:t>which</w:t>
            </w:r>
            <w:r>
              <w:rPr>
                <w:spacing w:val="-2"/>
                <w:sz w:val="20"/>
              </w:rPr>
              <w:t xml:space="preserve"> </w:t>
            </w:r>
            <w:r>
              <w:rPr>
                <w:sz w:val="20"/>
              </w:rPr>
              <w:t>they</w:t>
            </w:r>
            <w:r>
              <w:rPr>
                <w:spacing w:val="-2"/>
                <w:sz w:val="20"/>
              </w:rPr>
              <w:t xml:space="preserve"> </w:t>
            </w:r>
            <w:r>
              <w:rPr>
                <w:sz w:val="20"/>
              </w:rPr>
              <w:t>see</w:t>
            </w:r>
            <w:r>
              <w:rPr>
                <w:spacing w:val="-4"/>
                <w:sz w:val="20"/>
              </w:rPr>
              <w:t xml:space="preserve"> </w:t>
            </w:r>
            <w:r>
              <w:rPr>
                <w:sz w:val="20"/>
              </w:rPr>
              <w:t>as more pressing than making a change in substance use.</w:t>
            </w:r>
          </w:p>
          <w:p w14:paraId="1AF5A0C1" w14:textId="77777777" w:rsidR="00DB6E1F" w:rsidRDefault="00F666A6">
            <w:pPr>
              <w:pStyle w:val="TableParagraph"/>
              <w:numPr>
                <w:ilvl w:val="1"/>
                <w:numId w:val="50"/>
              </w:numPr>
              <w:tabs>
                <w:tab w:val="left" w:pos="828"/>
              </w:tabs>
              <w:ind w:right="184"/>
              <w:jc w:val="both"/>
              <w:rPr>
                <w:sz w:val="20"/>
              </w:rPr>
            </w:pPr>
            <w:r>
              <w:rPr>
                <w:sz w:val="20"/>
              </w:rPr>
              <w:t>Start</w:t>
            </w:r>
            <w:r>
              <w:rPr>
                <w:spacing w:val="-3"/>
                <w:sz w:val="20"/>
              </w:rPr>
              <w:t xml:space="preserve"> </w:t>
            </w:r>
            <w:r>
              <w:rPr>
                <w:sz w:val="20"/>
              </w:rPr>
              <w:t>with</w:t>
            </w:r>
            <w:r>
              <w:rPr>
                <w:spacing w:val="-2"/>
                <w:sz w:val="20"/>
              </w:rPr>
              <w:t xml:space="preserve"> </w:t>
            </w:r>
            <w:r>
              <w:rPr>
                <w:sz w:val="20"/>
              </w:rPr>
              <w:t>the</w:t>
            </w:r>
            <w:r>
              <w:rPr>
                <w:spacing w:val="-4"/>
                <w:sz w:val="20"/>
              </w:rPr>
              <w:t xml:space="preserve"> </w:t>
            </w:r>
            <w:r>
              <w:rPr>
                <w:sz w:val="20"/>
              </w:rPr>
              <w:t>problems</w:t>
            </w:r>
            <w:r>
              <w:rPr>
                <w:spacing w:val="-4"/>
                <w:sz w:val="20"/>
              </w:rPr>
              <w:t xml:space="preserve"> </w:t>
            </w:r>
            <w:r>
              <w:rPr>
                <w:sz w:val="20"/>
              </w:rPr>
              <w:t>that</w:t>
            </w:r>
            <w:r>
              <w:rPr>
                <w:spacing w:val="-3"/>
                <w:sz w:val="20"/>
              </w:rPr>
              <w:t xml:space="preserve"> </w:t>
            </w:r>
            <w:r>
              <w:rPr>
                <w:sz w:val="20"/>
              </w:rPr>
              <w:t>the</w:t>
            </w:r>
            <w:r>
              <w:rPr>
                <w:spacing w:val="-4"/>
                <w:sz w:val="20"/>
              </w:rPr>
              <w:t xml:space="preserve"> </w:t>
            </w:r>
            <w:r>
              <w:rPr>
                <w:sz w:val="20"/>
              </w:rPr>
              <w:t>client</w:t>
            </w:r>
            <w:r>
              <w:rPr>
                <w:spacing w:val="-3"/>
                <w:sz w:val="20"/>
              </w:rPr>
              <w:t xml:space="preserve"> </w:t>
            </w:r>
            <w:r>
              <w:rPr>
                <w:sz w:val="20"/>
              </w:rPr>
              <w:t>feels</w:t>
            </w:r>
            <w:r>
              <w:rPr>
                <w:spacing w:val="-4"/>
                <w:sz w:val="20"/>
              </w:rPr>
              <w:t xml:space="preserve"> </w:t>
            </w:r>
            <w:r>
              <w:rPr>
                <w:sz w:val="20"/>
              </w:rPr>
              <w:t>are</w:t>
            </w:r>
            <w:r>
              <w:rPr>
                <w:spacing w:val="-4"/>
                <w:sz w:val="20"/>
              </w:rPr>
              <w:t xml:space="preserve"> </w:t>
            </w:r>
            <w:r>
              <w:rPr>
                <w:sz w:val="20"/>
              </w:rPr>
              <w:t>most</w:t>
            </w:r>
            <w:r>
              <w:rPr>
                <w:spacing w:val="-3"/>
                <w:sz w:val="20"/>
              </w:rPr>
              <w:t xml:space="preserve"> </w:t>
            </w:r>
            <w:r>
              <w:rPr>
                <w:sz w:val="20"/>
              </w:rPr>
              <w:t>urgent,</w:t>
            </w:r>
            <w:r>
              <w:rPr>
                <w:spacing w:val="-2"/>
                <w:sz w:val="20"/>
              </w:rPr>
              <w:t xml:space="preserve"> </w:t>
            </w:r>
            <w:r>
              <w:rPr>
                <w:sz w:val="20"/>
              </w:rPr>
              <w:t>and</w:t>
            </w:r>
            <w:r>
              <w:rPr>
                <w:spacing w:val="-2"/>
                <w:sz w:val="20"/>
              </w:rPr>
              <w:t xml:space="preserve"> </w:t>
            </w:r>
            <w:r>
              <w:rPr>
                <w:sz w:val="20"/>
              </w:rPr>
              <w:t>then</w:t>
            </w:r>
            <w:r>
              <w:rPr>
                <w:spacing w:val="-2"/>
                <w:sz w:val="20"/>
              </w:rPr>
              <w:t xml:space="preserve"> </w:t>
            </w:r>
            <w:r>
              <w:rPr>
                <w:sz w:val="20"/>
              </w:rPr>
              <w:t>address</w:t>
            </w:r>
            <w:r>
              <w:rPr>
                <w:spacing w:val="-4"/>
                <w:sz w:val="20"/>
              </w:rPr>
              <w:t xml:space="preserve"> </w:t>
            </w:r>
            <w:r>
              <w:rPr>
                <w:sz w:val="20"/>
              </w:rPr>
              <w:t>substance</w:t>
            </w:r>
            <w:r>
              <w:rPr>
                <w:spacing w:val="-1"/>
                <w:sz w:val="20"/>
              </w:rPr>
              <w:t xml:space="preserve"> </w:t>
            </w:r>
            <w:r>
              <w:rPr>
                <w:sz w:val="20"/>
              </w:rPr>
              <w:t>use</w:t>
            </w:r>
            <w:r>
              <w:rPr>
                <w:spacing w:val="-4"/>
                <w:sz w:val="20"/>
              </w:rPr>
              <w:t xml:space="preserve"> </w:t>
            </w:r>
            <w:r>
              <w:rPr>
                <w:sz w:val="20"/>
              </w:rPr>
              <w:t>when</w:t>
            </w:r>
            <w:r>
              <w:rPr>
                <w:spacing w:val="-2"/>
                <w:sz w:val="20"/>
              </w:rPr>
              <w:t xml:space="preserve"> </w:t>
            </w:r>
            <w:r>
              <w:rPr>
                <w:sz w:val="20"/>
              </w:rPr>
              <w:t>its relationship to other problems becomes obvious.</w:t>
            </w:r>
          </w:p>
          <w:p w14:paraId="5C24C25C" w14:textId="77777777" w:rsidR="00DB6E1F" w:rsidRDefault="00F666A6">
            <w:pPr>
              <w:pStyle w:val="TableParagraph"/>
              <w:numPr>
                <w:ilvl w:val="0"/>
                <w:numId w:val="50"/>
              </w:numPr>
              <w:tabs>
                <w:tab w:val="left" w:pos="468"/>
              </w:tabs>
              <w:spacing w:before="57"/>
              <w:ind w:hanging="361"/>
              <w:jc w:val="both"/>
              <w:rPr>
                <w:sz w:val="20"/>
              </w:rPr>
            </w:pPr>
            <w:r>
              <w:rPr>
                <w:b/>
                <w:sz w:val="20"/>
              </w:rPr>
              <w:t>Approximate</w:t>
            </w:r>
            <w:r>
              <w:rPr>
                <w:b/>
                <w:spacing w:val="-5"/>
                <w:sz w:val="20"/>
              </w:rPr>
              <w:t xml:space="preserve"> </w:t>
            </w:r>
            <w:r>
              <w:rPr>
                <w:sz w:val="20"/>
              </w:rPr>
              <w:t>(i.e.,</w:t>
            </w:r>
            <w:r>
              <w:rPr>
                <w:spacing w:val="-4"/>
                <w:sz w:val="20"/>
              </w:rPr>
              <w:t xml:space="preserve"> </w:t>
            </w:r>
            <w:r>
              <w:rPr>
                <w:sz w:val="20"/>
              </w:rPr>
              <w:t>try</w:t>
            </w:r>
            <w:r>
              <w:rPr>
                <w:spacing w:val="-5"/>
                <w:sz w:val="20"/>
              </w:rPr>
              <w:t xml:space="preserve"> </w:t>
            </w:r>
            <w:r>
              <w:rPr>
                <w:sz w:val="20"/>
              </w:rPr>
              <w:t>to</w:t>
            </w:r>
            <w:r>
              <w:rPr>
                <w:spacing w:val="-4"/>
                <w:sz w:val="20"/>
              </w:rPr>
              <w:t xml:space="preserve"> </w:t>
            </w:r>
            <w:r>
              <w:rPr>
                <w:sz w:val="20"/>
              </w:rPr>
              <w:t>find</w:t>
            </w:r>
            <w:r>
              <w:rPr>
                <w:spacing w:val="-4"/>
                <w:sz w:val="20"/>
              </w:rPr>
              <w:t xml:space="preserve"> </w:t>
            </w:r>
            <w:r>
              <w:rPr>
                <w:sz w:val="20"/>
              </w:rPr>
              <w:t>an</w:t>
            </w:r>
            <w:r>
              <w:rPr>
                <w:spacing w:val="-4"/>
                <w:sz w:val="20"/>
              </w:rPr>
              <w:t xml:space="preserve"> </w:t>
            </w:r>
            <w:r>
              <w:rPr>
                <w:sz w:val="20"/>
              </w:rPr>
              <w:t>agreed-on</w:t>
            </w:r>
            <w:r>
              <w:rPr>
                <w:spacing w:val="-4"/>
                <w:sz w:val="20"/>
              </w:rPr>
              <w:t xml:space="preserve"> </w:t>
            </w:r>
            <w:r>
              <w:rPr>
                <w:sz w:val="20"/>
              </w:rPr>
              <w:t>goal</w:t>
            </w:r>
            <w:r>
              <w:rPr>
                <w:spacing w:val="-5"/>
                <w:sz w:val="20"/>
              </w:rPr>
              <w:t xml:space="preserve"> </w:t>
            </w:r>
            <w:r>
              <w:rPr>
                <w:sz w:val="20"/>
              </w:rPr>
              <w:t>that</w:t>
            </w:r>
            <w:r>
              <w:rPr>
                <w:spacing w:val="-5"/>
                <w:sz w:val="20"/>
              </w:rPr>
              <w:t xml:space="preserve"> </w:t>
            </w:r>
            <w:r>
              <w:rPr>
                <w:sz w:val="20"/>
              </w:rPr>
              <w:t>is</w:t>
            </w:r>
            <w:r>
              <w:rPr>
                <w:spacing w:val="-5"/>
                <w:sz w:val="20"/>
              </w:rPr>
              <w:t xml:space="preserve"> </w:t>
            </w:r>
            <w:r>
              <w:rPr>
                <w:spacing w:val="-2"/>
                <w:sz w:val="20"/>
              </w:rPr>
              <w:t>similar)</w:t>
            </w:r>
          </w:p>
          <w:p w14:paraId="094130BF" w14:textId="77777777" w:rsidR="00DB6E1F" w:rsidRDefault="00F666A6">
            <w:pPr>
              <w:pStyle w:val="TableParagraph"/>
              <w:numPr>
                <w:ilvl w:val="1"/>
                <w:numId w:val="50"/>
              </w:numPr>
              <w:tabs>
                <w:tab w:val="left" w:pos="827"/>
                <w:tab w:val="left" w:pos="828"/>
              </w:tabs>
              <w:spacing w:before="41"/>
              <w:ind w:right="202"/>
              <w:rPr>
                <w:sz w:val="20"/>
              </w:rPr>
            </w:pPr>
            <w:r>
              <w:rPr>
                <w:sz w:val="20"/>
              </w:rPr>
              <w:t>Even</w:t>
            </w:r>
            <w:r>
              <w:rPr>
                <w:spacing w:val="-2"/>
                <w:sz w:val="20"/>
              </w:rPr>
              <w:t xml:space="preserve"> </w:t>
            </w:r>
            <w:r>
              <w:rPr>
                <w:sz w:val="20"/>
              </w:rPr>
              <w:t>if</w:t>
            </w:r>
            <w:r>
              <w:rPr>
                <w:spacing w:val="-4"/>
                <w:sz w:val="20"/>
              </w:rPr>
              <w:t xml:space="preserve"> </w:t>
            </w:r>
            <w:r>
              <w:rPr>
                <w:sz w:val="20"/>
              </w:rPr>
              <w:t>a</w:t>
            </w:r>
            <w:r>
              <w:rPr>
                <w:spacing w:val="-3"/>
                <w:sz w:val="20"/>
              </w:rPr>
              <w:t xml:space="preserve"> </w:t>
            </w:r>
            <w:r>
              <w:rPr>
                <w:sz w:val="20"/>
              </w:rPr>
              <w:t>client</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willing</w:t>
            </w:r>
            <w:r>
              <w:rPr>
                <w:spacing w:val="-3"/>
                <w:sz w:val="20"/>
              </w:rPr>
              <w:t xml:space="preserve"> </w:t>
            </w:r>
            <w:r>
              <w:rPr>
                <w:sz w:val="20"/>
              </w:rPr>
              <w:t>to</w:t>
            </w:r>
            <w:r>
              <w:rPr>
                <w:spacing w:val="-3"/>
                <w:sz w:val="20"/>
              </w:rPr>
              <w:t xml:space="preserve"> </w:t>
            </w:r>
            <w:r>
              <w:rPr>
                <w:sz w:val="20"/>
              </w:rPr>
              <w:t>accept</w:t>
            </w:r>
            <w:r>
              <w:rPr>
                <w:spacing w:val="-3"/>
                <w:sz w:val="20"/>
              </w:rPr>
              <w:t xml:space="preserve"> </w:t>
            </w:r>
            <w:r>
              <w:rPr>
                <w:sz w:val="20"/>
              </w:rPr>
              <w:t>your</w:t>
            </w:r>
            <w:r>
              <w:rPr>
                <w:spacing w:val="-3"/>
                <w:sz w:val="20"/>
              </w:rPr>
              <w:t xml:space="preserve"> </w:t>
            </w:r>
            <w:r>
              <w:rPr>
                <w:sz w:val="20"/>
              </w:rPr>
              <w:t>recommendations,</w:t>
            </w:r>
            <w:r>
              <w:rPr>
                <w:spacing w:val="-2"/>
                <w:sz w:val="20"/>
              </w:rPr>
              <w:t xml:space="preserve"> </w:t>
            </w:r>
            <w:r>
              <w:rPr>
                <w:sz w:val="20"/>
              </w:rPr>
              <w:t>consider</w:t>
            </w:r>
            <w:r>
              <w:rPr>
                <w:spacing w:val="-4"/>
                <w:sz w:val="20"/>
              </w:rPr>
              <w:t xml:space="preserve"> </w:t>
            </w:r>
            <w:r>
              <w:rPr>
                <w:sz w:val="20"/>
              </w:rPr>
              <w:t>the</w:t>
            </w:r>
            <w:r>
              <w:rPr>
                <w:spacing w:val="-4"/>
                <w:sz w:val="20"/>
              </w:rPr>
              <w:t xml:space="preserve"> </w:t>
            </w:r>
            <w:r>
              <w:rPr>
                <w:sz w:val="20"/>
              </w:rPr>
              <w:t>possibility</w:t>
            </w:r>
            <w:r>
              <w:rPr>
                <w:spacing w:val="-2"/>
                <w:sz w:val="20"/>
              </w:rPr>
              <w:t xml:space="preserve"> </w:t>
            </w:r>
            <w:r>
              <w:rPr>
                <w:sz w:val="20"/>
              </w:rPr>
              <w:t>of</w:t>
            </w:r>
            <w:r>
              <w:rPr>
                <w:spacing w:val="-2"/>
                <w:sz w:val="20"/>
              </w:rPr>
              <w:t xml:space="preserve"> </w:t>
            </w:r>
            <w:r>
              <w:rPr>
                <w:sz w:val="20"/>
              </w:rPr>
              <w:t>agreeing</w:t>
            </w:r>
            <w:r>
              <w:rPr>
                <w:spacing w:val="-3"/>
                <w:sz w:val="20"/>
              </w:rPr>
              <w:t xml:space="preserve"> </w:t>
            </w:r>
            <w:r>
              <w:rPr>
                <w:sz w:val="20"/>
              </w:rPr>
              <w:t>on</w:t>
            </w:r>
            <w:r>
              <w:rPr>
                <w:spacing w:val="-2"/>
                <w:sz w:val="20"/>
              </w:rPr>
              <w:t xml:space="preserve"> </w:t>
            </w:r>
            <w:r>
              <w:rPr>
                <w:sz w:val="20"/>
              </w:rPr>
              <w:t>a goal that is still a step in the right direction. Your hope, for example, might be that the client would eventually become free from all psychoactive substance use. The client, however, is most concerned about cocaine and is not ready to talk about chang</w:t>
            </w:r>
            <w:r>
              <w:rPr>
                <w:sz w:val="20"/>
              </w:rPr>
              <w:t>ing cannabis, tobacco, or alcohol use.</w:t>
            </w:r>
          </w:p>
          <w:p w14:paraId="24F7C364" w14:textId="77777777" w:rsidR="00DB6E1F" w:rsidRDefault="00F666A6">
            <w:pPr>
              <w:pStyle w:val="TableParagraph"/>
              <w:numPr>
                <w:ilvl w:val="1"/>
                <w:numId w:val="50"/>
              </w:numPr>
              <w:tabs>
                <w:tab w:val="left" w:pos="827"/>
                <w:tab w:val="left" w:pos="828"/>
              </w:tabs>
              <w:spacing w:before="2"/>
              <w:ind w:right="412"/>
              <w:rPr>
                <w:sz w:val="20"/>
              </w:rPr>
            </w:pPr>
            <w:r>
              <w:rPr>
                <w:sz w:val="20"/>
              </w:rPr>
              <w:t>Rather</w:t>
            </w:r>
            <w:r>
              <w:rPr>
                <w:spacing w:val="-3"/>
                <w:sz w:val="20"/>
              </w:rPr>
              <w:t xml:space="preserve"> </w:t>
            </w:r>
            <w:r>
              <w:rPr>
                <w:sz w:val="20"/>
              </w:rPr>
              <w:t>than</w:t>
            </w:r>
            <w:r>
              <w:rPr>
                <w:spacing w:val="-2"/>
                <w:sz w:val="20"/>
              </w:rPr>
              <w:t xml:space="preserve"> </w:t>
            </w:r>
            <w:r>
              <w:rPr>
                <w:sz w:val="20"/>
              </w:rPr>
              <w:t>dismiss</w:t>
            </w:r>
            <w:r>
              <w:rPr>
                <w:spacing w:val="-4"/>
                <w:sz w:val="20"/>
              </w:rPr>
              <w:t xml:space="preserve"> </w:t>
            </w:r>
            <w:r>
              <w:rPr>
                <w:sz w:val="20"/>
              </w:rPr>
              <w:t>the</w:t>
            </w:r>
            <w:r>
              <w:rPr>
                <w:spacing w:val="-4"/>
                <w:sz w:val="20"/>
              </w:rPr>
              <w:t xml:space="preserve"> </w:t>
            </w:r>
            <w:r>
              <w:rPr>
                <w:sz w:val="20"/>
              </w:rPr>
              <w:t>client</w:t>
            </w:r>
            <w:r>
              <w:rPr>
                <w:spacing w:val="-3"/>
                <w:sz w:val="20"/>
              </w:rPr>
              <w:t xml:space="preserve"> </w:t>
            </w:r>
            <w:r>
              <w:rPr>
                <w:sz w:val="20"/>
              </w:rPr>
              <w:t>for</w:t>
            </w:r>
            <w:r>
              <w:rPr>
                <w:spacing w:val="-3"/>
                <w:sz w:val="20"/>
              </w:rPr>
              <w:t xml:space="preserve"> </w:t>
            </w:r>
            <w:r>
              <w:rPr>
                <w:sz w:val="20"/>
              </w:rPr>
              <w:t>not</w:t>
            </w:r>
            <w:r>
              <w:rPr>
                <w:spacing w:val="-3"/>
                <w:sz w:val="20"/>
              </w:rPr>
              <w:t xml:space="preserve"> </w:t>
            </w:r>
            <w:r>
              <w:rPr>
                <w:sz w:val="20"/>
              </w:rPr>
              <w:t>accepting</w:t>
            </w:r>
            <w:r>
              <w:rPr>
                <w:spacing w:val="-3"/>
                <w:sz w:val="20"/>
              </w:rPr>
              <w:t xml:space="preserve"> </w:t>
            </w:r>
            <w:r>
              <w:rPr>
                <w:sz w:val="20"/>
              </w:rPr>
              <w:t>a</w:t>
            </w:r>
            <w:r>
              <w:rPr>
                <w:spacing w:val="-3"/>
                <w:sz w:val="20"/>
              </w:rPr>
              <w:t xml:space="preserve"> </w:t>
            </w:r>
            <w:r>
              <w:rPr>
                <w:sz w:val="20"/>
              </w:rPr>
              <w:t>goal</w:t>
            </w:r>
            <w:r>
              <w:rPr>
                <w:spacing w:val="-3"/>
                <w:sz w:val="20"/>
              </w:rPr>
              <w:t xml:space="preserve"> </w:t>
            </w:r>
            <w:r>
              <w:rPr>
                <w:sz w:val="20"/>
              </w:rPr>
              <w:t>of</w:t>
            </w:r>
            <w:r>
              <w:rPr>
                <w:spacing w:val="-4"/>
                <w:sz w:val="20"/>
              </w:rPr>
              <w:t xml:space="preserve"> </w:t>
            </w:r>
            <w:r>
              <w:rPr>
                <w:sz w:val="20"/>
              </w:rPr>
              <w:t>immediate</w:t>
            </w:r>
            <w:r>
              <w:rPr>
                <w:spacing w:val="-4"/>
                <w:sz w:val="20"/>
              </w:rPr>
              <w:t xml:space="preserve"> </w:t>
            </w:r>
            <w:r>
              <w:rPr>
                <w:sz w:val="20"/>
              </w:rPr>
              <w:t>abstinence</w:t>
            </w:r>
            <w:r>
              <w:rPr>
                <w:spacing w:val="-4"/>
                <w:sz w:val="20"/>
              </w:rPr>
              <w:t xml:space="preserve"> </w:t>
            </w:r>
            <w:r>
              <w:rPr>
                <w:sz w:val="20"/>
              </w:rPr>
              <w:t>from</w:t>
            </w:r>
            <w:r>
              <w:rPr>
                <w:spacing w:val="-4"/>
                <w:sz w:val="20"/>
              </w:rPr>
              <w:t xml:space="preserve"> </w:t>
            </w:r>
            <w:r>
              <w:rPr>
                <w:sz w:val="20"/>
              </w:rPr>
              <w:t>all</w:t>
            </w:r>
            <w:r>
              <w:rPr>
                <w:spacing w:val="-3"/>
                <w:sz w:val="20"/>
              </w:rPr>
              <w:t xml:space="preserve"> </w:t>
            </w:r>
            <w:r>
              <w:rPr>
                <w:sz w:val="20"/>
              </w:rPr>
              <w:t>substances, focus on stopping cocaine use, and then consider next steps.</w:t>
            </w:r>
          </w:p>
          <w:p w14:paraId="500F890D" w14:textId="77777777" w:rsidR="00DB6E1F" w:rsidRDefault="00F666A6">
            <w:pPr>
              <w:pStyle w:val="TableParagraph"/>
              <w:numPr>
                <w:ilvl w:val="0"/>
                <w:numId w:val="50"/>
              </w:numPr>
              <w:tabs>
                <w:tab w:val="left" w:pos="467"/>
                <w:tab w:val="left" w:pos="468"/>
              </w:tabs>
              <w:spacing w:before="57"/>
              <w:ind w:hanging="361"/>
              <w:rPr>
                <w:b/>
                <w:sz w:val="20"/>
              </w:rPr>
            </w:pPr>
            <w:r>
              <w:rPr>
                <w:b/>
                <w:spacing w:val="-2"/>
                <w:sz w:val="20"/>
              </w:rPr>
              <w:t>Refer</w:t>
            </w:r>
          </w:p>
          <w:p w14:paraId="7F099AA0" w14:textId="77777777" w:rsidR="00DB6E1F" w:rsidRDefault="00F666A6">
            <w:pPr>
              <w:pStyle w:val="TableParagraph"/>
              <w:numPr>
                <w:ilvl w:val="1"/>
                <w:numId w:val="50"/>
              </w:numPr>
              <w:tabs>
                <w:tab w:val="left" w:pos="827"/>
                <w:tab w:val="left" w:pos="828"/>
              </w:tabs>
              <w:spacing w:before="41"/>
              <w:ind w:right="97"/>
              <w:rPr>
                <w:sz w:val="20"/>
              </w:rPr>
            </w:pPr>
            <w:r>
              <w:rPr>
                <w:sz w:val="20"/>
              </w:rPr>
              <w:t>If</w:t>
            </w:r>
            <w:r>
              <w:rPr>
                <w:spacing w:val="-4"/>
                <w:sz w:val="20"/>
              </w:rPr>
              <w:t xml:space="preserve"> </w:t>
            </w:r>
            <w:r>
              <w:rPr>
                <w:sz w:val="20"/>
              </w:rPr>
              <w:t>you</w:t>
            </w:r>
            <w:r>
              <w:rPr>
                <w:spacing w:val="-2"/>
                <w:sz w:val="20"/>
              </w:rPr>
              <w:t xml:space="preserve"> </w:t>
            </w:r>
            <w:r>
              <w:rPr>
                <w:sz w:val="20"/>
              </w:rPr>
              <w:t>can’t</w:t>
            </w:r>
            <w:r>
              <w:rPr>
                <w:spacing w:val="-3"/>
                <w:sz w:val="20"/>
              </w:rPr>
              <w:t xml:space="preserve"> </w:t>
            </w:r>
            <w:r>
              <w:rPr>
                <w:sz w:val="20"/>
              </w:rPr>
              <w:t>help</w:t>
            </w:r>
            <w:r>
              <w:rPr>
                <w:spacing w:val="-2"/>
                <w:sz w:val="20"/>
              </w:rPr>
              <w:t xml:space="preserve"> </w:t>
            </w:r>
            <w:r>
              <w:rPr>
                <w:sz w:val="20"/>
              </w:rPr>
              <w:t>the</w:t>
            </w:r>
            <w:r>
              <w:rPr>
                <w:spacing w:val="-4"/>
                <w:sz w:val="20"/>
              </w:rPr>
              <w:t xml:space="preserve"> </w:t>
            </w:r>
            <w:r>
              <w:rPr>
                <w:sz w:val="20"/>
              </w:rPr>
              <w:t>client</w:t>
            </w:r>
            <w:r>
              <w:rPr>
                <w:spacing w:val="-3"/>
                <w:sz w:val="20"/>
              </w:rPr>
              <w:t xml:space="preserve"> </w:t>
            </w:r>
            <w:r>
              <w:rPr>
                <w:sz w:val="20"/>
              </w:rPr>
              <w:t>with</w:t>
            </w:r>
            <w:r>
              <w:rPr>
                <w:spacing w:val="-2"/>
                <w:sz w:val="20"/>
              </w:rPr>
              <w:t xml:space="preserve"> </w:t>
            </w:r>
            <w:r>
              <w:rPr>
                <w:sz w:val="20"/>
              </w:rPr>
              <w:t>treatment</w:t>
            </w:r>
            <w:r>
              <w:rPr>
                <w:spacing w:val="-3"/>
                <w:sz w:val="20"/>
              </w:rPr>
              <w:t xml:space="preserve"> </w:t>
            </w:r>
            <w:r>
              <w:rPr>
                <w:sz w:val="20"/>
              </w:rPr>
              <w:t>goals</w:t>
            </w:r>
            <w:r>
              <w:rPr>
                <w:spacing w:val="-2"/>
                <w:sz w:val="20"/>
              </w:rPr>
              <w:t xml:space="preserve"> </w:t>
            </w:r>
            <w:r>
              <w:rPr>
                <w:sz w:val="20"/>
              </w:rPr>
              <w:t>even</w:t>
            </w:r>
            <w:r>
              <w:rPr>
                <w:spacing w:val="-2"/>
                <w:sz w:val="20"/>
              </w:rPr>
              <w:t xml:space="preserve"> </w:t>
            </w:r>
            <w:r>
              <w:rPr>
                <w:sz w:val="20"/>
              </w:rPr>
              <w:t>after</w:t>
            </w:r>
            <w:r>
              <w:rPr>
                <w:spacing w:val="-3"/>
                <w:sz w:val="20"/>
              </w:rPr>
              <w:t xml:space="preserve"> </w:t>
            </w:r>
            <w:r>
              <w:rPr>
                <w:sz w:val="20"/>
              </w:rPr>
              <w:t>trying</w:t>
            </w:r>
            <w:r>
              <w:rPr>
                <w:spacing w:val="-3"/>
                <w:sz w:val="20"/>
              </w:rPr>
              <w:t xml:space="preserve"> </w:t>
            </w:r>
            <w:r>
              <w:rPr>
                <w:sz w:val="20"/>
              </w:rPr>
              <w:t>to</w:t>
            </w:r>
            <w:r>
              <w:rPr>
                <w:spacing w:val="-3"/>
                <w:sz w:val="20"/>
              </w:rPr>
              <w:t xml:space="preserve"> </w:t>
            </w:r>
            <w:r>
              <w:rPr>
                <w:sz w:val="20"/>
              </w:rPr>
              <w:t>negotiate</w:t>
            </w:r>
            <w:r>
              <w:rPr>
                <w:spacing w:val="-4"/>
                <w:sz w:val="20"/>
              </w:rPr>
              <w:t xml:space="preserve"> </w:t>
            </w:r>
            <w:r>
              <w:rPr>
                <w:sz w:val="20"/>
              </w:rPr>
              <w:t>or</w:t>
            </w:r>
            <w:r>
              <w:rPr>
                <w:spacing w:val="-3"/>
                <w:sz w:val="20"/>
              </w:rPr>
              <w:t xml:space="preserve"> </w:t>
            </w:r>
            <w:r>
              <w:rPr>
                <w:sz w:val="20"/>
              </w:rPr>
              <w:t>approximate,</w:t>
            </w:r>
            <w:r>
              <w:rPr>
                <w:spacing w:val="-2"/>
                <w:sz w:val="20"/>
              </w:rPr>
              <w:t xml:space="preserve"> </w:t>
            </w:r>
            <w:r>
              <w:rPr>
                <w:sz w:val="20"/>
              </w:rPr>
              <w:t>refer</w:t>
            </w:r>
            <w:r>
              <w:rPr>
                <w:spacing w:val="-3"/>
                <w:sz w:val="20"/>
              </w:rPr>
              <w:t xml:space="preserve"> </w:t>
            </w:r>
            <w:r>
              <w:rPr>
                <w:sz w:val="20"/>
              </w:rPr>
              <w:t>the client to another provider or program.</w:t>
            </w:r>
          </w:p>
          <w:p w14:paraId="2E7DE356" w14:textId="77777777" w:rsidR="00DB6E1F" w:rsidRDefault="00F666A6">
            <w:pPr>
              <w:pStyle w:val="TableParagraph"/>
              <w:numPr>
                <w:ilvl w:val="1"/>
                <w:numId w:val="50"/>
              </w:numPr>
              <w:tabs>
                <w:tab w:val="left" w:pos="827"/>
                <w:tab w:val="left" w:pos="828"/>
              </w:tabs>
              <w:spacing w:before="0" w:line="255" w:lineRule="exact"/>
              <w:ind w:hanging="361"/>
              <w:rPr>
                <w:sz w:val="20"/>
              </w:rPr>
            </w:pPr>
            <w:r>
              <w:rPr>
                <w:sz w:val="20"/>
              </w:rPr>
              <w:t>Work</w:t>
            </w:r>
            <w:r>
              <w:rPr>
                <w:spacing w:val="-6"/>
                <w:sz w:val="20"/>
              </w:rPr>
              <w:t xml:space="preserve"> </w:t>
            </w:r>
            <w:r>
              <w:rPr>
                <w:sz w:val="20"/>
              </w:rPr>
              <w:t>within</w:t>
            </w:r>
            <w:r>
              <w:rPr>
                <w:spacing w:val="-6"/>
                <w:sz w:val="20"/>
              </w:rPr>
              <w:t xml:space="preserve"> </w:t>
            </w:r>
            <w:r>
              <w:rPr>
                <w:sz w:val="20"/>
              </w:rPr>
              <w:t>state</w:t>
            </w:r>
            <w:r>
              <w:rPr>
                <w:spacing w:val="-7"/>
                <w:sz w:val="20"/>
              </w:rPr>
              <w:t xml:space="preserve"> </w:t>
            </w:r>
            <w:r>
              <w:rPr>
                <w:sz w:val="20"/>
              </w:rPr>
              <w:t>licensing</w:t>
            </w:r>
            <w:r>
              <w:rPr>
                <w:spacing w:val="-7"/>
                <w:sz w:val="20"/>
              </w:rPr>
              <w:t xml:space="preserve"> </w:t>
            </w:r>
            <w:r>
              <w:rPr>
                <w:sz w:val="20"/>
              </w:rPr>
              <w:t>and</w:t>
            </w:r>
            <w:r>
              <w:rPr>
                <w:spacing w:val="-5"/>
                <w:sz w:val="20"/>
              </w:rPr>
              <w:t xml:space="preserve"> </w:t>
            </w:r>
            <w:r>
              <w:rPr>
                <w:sz w:val="20"/>
              </w:rPr>
              <w:t>professional</w:t>
            </w:r>
            <w:r>
              <w:rPr>
                <w:spacing w:val="-7"/>
                <w:sz w:val="20"/>
              </w:rPr>
              <w:t xml:space="preserve"> </w:t>
            </w:r>
            <w:r>
              <w:rPr>
                <w:sz w:val="20"/>
              </w:rPr>
              <w:t>ethical</w:t>
            </w:r>
            <w:r>
              <w:rPr>
                <w:spacing w:val="-6"/>
                <w:sz w:val="20"/>
              </w:rPr>
              <w:t xml:space="preserve"> </w:t>
            </w:r>
            <w:r>
              <w:rPr>
                <w:sz w:val="20"/>
              </w:rPr>
              <w:t>codes</w:t>
            </w:r>
            <w:r>
              <w:rPr>
                <w:spacing w:val="-7"/>
                <w:sz w:val="20"/>
              </w:rPr>
              <w:t xml:space="preserve"> </w:t>
            </w:r>
            <w:r>
              <w:rPr>
                <w:sz w:val="20"/>
              </w:rPr>
              <w:t>to</w:t>
            </w:r>
            <w:r>
              <w:rPr>
                <w:spacing w:val="-7"/>
                <w:sz w:val="20"/>
              </w:rPr>
              <w:t xml:space="preserve"> </w:t>
            </w:r>
            <w:r>
              <w:rPr>
                <w:sz w:val="20"/>
              </w:rPr>
              <w:t>avoid</w:t>
            </w:r>
            <w:r>
              <w:rPr>
                <w:spacing w:val="-6"/>
                <w:sz w:val="20"/>
              </w:rPr>
              <w:t xml:space="preserve"> </w:t>
            </w:r>
            <w:r>
              <w:rPr>
                <w:sz w:val="20"/>
              </w:rPr>
              <w:t>suddenly</w:t>
            </w:r>
            <w:r>
              <w:rPr>
                <w:spacing w:val="-5"/>
                <w:sz w:val="20"/>
              </w:rPr>
              <w:t xml:space="preserve"> </w:t>
            </w:r>
            <w:r>
              <w:rPr>
                <w:sz w:val="20"/>
              </w:rPr>
              <w:t>ending</w:t>
            </w:r>
            <w:r>
              <w:rPr>
                <w:spacing w:val="-8"/>
                <w:sz w:val="20"/>
              </w:rPr>
              <w:t xml:space="preserve"> </w:t>
            </w:r>
            <w:r>
              <w:rPr>
                <w:spacing w:val="-2"/>
                <w:sz w:val="20"/>
              </w:rPr>
              <w:t>treatment.</w:t>
            </w:r>
          </w:p>
          <w:p w14:paraId="2E8733C8" w14:textId="77777777" w:rsidR="00DB6E1F" w:rsidRDefault="00F666A6">
            <w:pPr>
              <w:pStyle w:val="TableParagraph"/>
              <w:numPr>
                <w:ilvl w:val="1"/>
                <w:numId w:val="50"/>
              </w:numPr>
              <w:tabs>
                <w:tab w:val="left" w:pos="827"/>
                <w:tab w:val="left" w:pos="828"/>
              </w:tabs>
              <w:spacing w:before="0"/>
              <w:ind w:right="1100"/>
              <w:rPr>
                <w:sz w:val="20"/>
              </w:rPr>
            </w:pPr>
            <w:r>
              <w:rPr>
                <w:sz w:val="20"/>
              </w:rPr>
              <w:t>Offer</w:t>
            </w:r>
            <w:r>
              <w:rPr>
                <w:spacing w:val="-3"/>
                <w:sz w:val="20"/>
              </w:rPr>
              <w:t xml:space="preserve"> </w:t>
            </w:r>
            <w:r>
              <w:rPr>
                <w:sz w:val="20"/>
              </w:rPr>
              <w:t>a</w:t>
            </w:r>
            <w:r>
              <w:rPr>
                <w:spacing w:val="-3"/>
                <w:sz w:val="20"/>
              </w:rPr>
              <w:t xml:space="preserve"> </w:t>
            </w:r>
            <w:r>
              <w:rPr>
                <w:sz w:val="20"/>
              </w:rPr>
              <w:t>menu</w:t>
            </w:r>
            <w:r>
              <w:rPr>
                <w:spacing w:val="-2"/>
                <w:sz w:val="20"/>
              </w:rPr>
              <w:t xml:space="preserve"> </w:t>
            </w:r>
            <w:r>
              <w:rPr>
                <w:sz w:val="20"/>
              </w:rPr>
              <w:t>of</w:t>
            </w:r>
            <w:r>
              <w:rPr>
                <w:spacing w:val="-4"/>
                <w:sz w:val="20"/>
              </w:rPr>
              <w:t xml:space="preserve"> </w:t>
            </w:r>
            <w:r>
              <w:rPr>
                <w:sz w:val="20"/>
              </w:rPr>
              <w:t>options,</w:t>
            </w:r>
            <w:r>
              <w:rPr>
                <w:spacing w:val="-2"/>
                <w:sz w:val="20"/>
              </w:rPr>
              <w:t xml:space="preserve"> </w:t>
            </w:r>
            <w:r>
              <w:rPr>
                <w:sz w:val="20"/>
              </w:rPr>
              <w:t>and</w:t>
            </w:r>
            <w:r>
              <w:rPr>
                <w:spacing w:val="-2"/>
                <w:sz w:val="20"/>
              </w:rPr>
              <w:t xml:space="preserve"> </w:t>
            </w:r>
            <w:r>
              <w:rPr>
                <w:sz w:val="20"/>
              </w:rPr>
              <w:t>take</w:t>
            </w:r>
            <w:r>
              <w:rPr>
                <w:spacing w:val="-4"/>
                <w:sz w:val="20"/>
              </w:rPr>
              <w:t xml:space="preserve"> </w:t>
            </w:r>
            <w:r>
              <w:rPr>
                <w:sz w:val="20"/>
              </w:rPr>
              <w:t>an</w:t>
            </w:r>
            <w:r>
              <w:rPr>
                <w:spacing w:val="-2"/>
                <w:sz w:val="20"/>
              </w:rPr>
              <w:t xml:space="preserve"> </w:t>
            </w:r>
            <w:r>
              <w:rPr>
                <w:sz w:val="20"/>
              </w:rPr>
              <w:t>active</w:t>
            </w:r>
            <w:r>
              <w:rPr>
                <w:spacing w:val="-4"/>
                <w:sz w:val="20"/>
              </w:rPr>
              <w:t xml:space="preserve"> </w:t>
            </w:r>
            <w:r>
              <w:rPr>
                <w:sz w:val="20"/>
              </w:rPr>
              <w:t>role</w:t>
            </w:r>
            <w:r>
              <w:rPr>
                <w:spacing w:val="-4"/>
                <w:sz w:val="20"/>
              </w:rPr>
              <w:t xml:space="preserve"> </w:t>
            </w:r>
            <w:r>
              <w:rPr>
                <w:sz w:val="20"/>
              </w:rPr>
              <w:t>in</w:t>
            </w:r>
            <w:r>
              <w:rPr>
                <w:spacing w:val="-2"/>
                <w:sz w:val="20"/>
              </w:rPr>
              <w:t xml:space="preserve"> </w:t>
            </w:r>
            <w:r>
              <w:rPr>
                <w:sz w:val="20"/>
              </w:rPr>
              <w:t>linking</w:t>
            </w:r>
            <w:r>
              <w:rPr>
                <w:spacing w:val="-3"/>
                <w:sz w:val="20"/>
              </w:rPr>
              <w:t xml:space="preserve"> </w:t>
            </w:r>
            <w:r>
              <w:rPr>
                <w:sz w:val="20"/>
              </w:rPr>
              <w:t>the</w:t>
            </w:r>
            <w:r>
              <w:rPr>
                <w:spacing w:val="-4"/>
                <w:sz w:val="20"/>
              </w:rPr>
              <w:t xml:space="preserve"> </w:t>
            </w:r>
            <w:r>
              <w:rPr>
                <w:sz w:val="20"/>
              </w:rPr>
              <w:t>client</w:t>
            </w:r>
            <w:r>
              <w:rPr>
                <w:spacing w:val="-3"/>
                <w:sz w:val="20"/>
              </w:rPr>
              <w:t xml:space="preserve"> </w:t>
            </w:r>
            <w:r>
              <w:rPr>
                <w:sz w:val="20"/>
              </w:rPr>
              <w:t>to</w:t>
            </w:r>
            <w:r>
              <w:rPr>
                <w:spacing w:val="-3"/>
                <w:sz w:val="20"/>
              </w:rPr>
              <w:t xml:space="preserve"> </w:t>
            </w:r>
            <w:r>
              <w:rPr>
                <w:sz w:val="20"/>
              </w:rPr>
              <w:t>other</w:t>
            </w:r>
            <w:r>
              <w:rPr>
                <w:spacing w:val="-3"/>
                <w:sz w:val="20"/>
              </w:rPr>
              <w:t xml:space="preserve"> </w:t>
            </w:r>
            <w:r>
              <w:rPr>
                <w:sz w:val="20"/>
              </w:rPr>
              <w:t>treatment</w:t>
            </w:r>
            <w:r>
              <w:rPr>
                <w:spacing w:val="-3"/>
                <w:sz w:val="20"/>
              </w:rPr>
              <w:t xml:space="preserve"> </w:t>
            </w:r>
            <w:r>
              <w:rPr>
                <w:sz w:val="20"/>
              </w:rPr>
              <w:t>and community-based services.</w:t>
            </w:r>
          </w:p>
          <w:p w14:paraId="13DA5BD2" w14:textId="77777777" w:rsidR="00DB6E1F" w:rsidRDefault="00F666A6">
            <w:pPr>
              <w:pStyle w:val="TableParagraph"/>
              <w:numPr>
                <w:ilvl w:val="1"/>
                <w:numId w:val="50"/>
              </w:numPr>
              <w:tabs>
                <w:tab w:val="left" w:pos="827"/>
                <w:tab w:val="left" w:pos="828"/>
              </w:tabs>
              <w:spacing w:before="0"/>
              <w:ind w:right="219"/>
              <w:rPr>
                <w:sz w:val="20"/>
              </w:rPr>
            </w:pPr>
            <w:r>
              <w:rPr>
                <w:sz w:val="20"/>
              </w:rPr>
              <w:t>Be</w:t>
            </w:r>
            <w:r>
              <w:rPr>
                <w:spacing w:val="-3"/>
                <w:sz w:val="20"/>
              </w:rPr>
              <w:t xml:space="preserve"> </w:t>
            </w:r>
            <w:r>
              <w:rPr>
                <w:sz w:val="20"/>
              </w:rPr>
              <w:t>open</w:t>
            </w:r>
            <w:r>
              <w:rPr>
                <w:spacing w:val="-2"/>
                <w:sz w:val="20"/>
              </w:rPr>
              <w:t xml:space="preserve"> </w:t>
            </w:r>
            <w:r>
              <w:rPr>
                <w:sz w:val="20"/>
              </w:rPr>
              <w:t>in</w:t>
            </w:r>
            <w:r>
              <w:rPr>
                <w:spacing w:val="-2"/>
                <w:sz w:val="20"/>
              </w:rPr>
              <w:t xml:space="preserve"> </w:t>
            </w:r>
            <w:r>
              <w:rPr>
                <w:sz w:val="20"/>
              </w:rPr>
              <w:t>a</w:t>
            </w:r>
            <w:r>
              <w:rPr>
                <w:spacing w:val="-3"/>
                <w:sz w:val="20"/>
              </w:rPr>
              <w:t xml:space="preserve"> </w:t>
            </w:r>
            <w:r>
              <w:rPr>
                <w:sz w:val="20"/>
              </w:rPr>
              <w:t>nonjudgmental</w:t>
            </w:r>
            <w:r>
              <w:rPr>
                <w:spacing w:val="-3"/>
                <w:sz w:val="20"/>
              </w:rPr>
              <w:t xml:space="preserve"> </w:t>
            </w:r>
            <w:r>
              <w:rPr>
                <w:sz w:val="20"/>
              </w:rPr>
              <w:t>and</w:t>
            </w:r>
            <w:r>
              <w:rPr>
                <w:spacing w:val="-2"/>
                <w:sz w:val="20"/>
              </w:rPr>
              <w:t xml:space="preserve"> </w:t>
            </w:r>
            <w:r>
              <w:rPr>
                <w:sz w:val="20"/>
              </w:rPr>
              <w:t>neutral</w:t>
            </w:r>
            <w:r>
              <w:rPr>
                <w:spacing w:val="-3"/>
                <w:sz w:val="20"/>
              </w:rPr>
              <w:t xml:space="preserve"> </w:t>
            </w:r>
            <w:r>
              <w:rPr>
                <w:sz w:val="20"/>
              </w:rPr>
              <w:t>way</w:t>
            </w:r>
            <w:r>
              <w:rPr>
                <w:spacing w:val="-2"/>
                <w:sz w:val="20"/>
              </w:rPr>
              <w:t xml:space="preserve"> </w:t>
            </w:r>
            <w:r>
              <w:rPr>
                <w:sz w:val="20"/>
              </w:rPr>
              <w:t>about</w:t>
            </w:r>
            <w:r>
              <w:rPr>
                <w:spacing w:val="-4"/>
                <w:sz w:val="20"/>
              </w:rPr>
              <w:t xml:space="preserve"> </w:t>
            </w:r>
            <w:r>
              <w:rPr>
                <w:sz w:val="20"/>
              </w:rPr>
              <w:t>the</w:t>
            </w:r>
            <w:r>
              <w:rPr>
                <w:spacing w:val="-3"/>
                <w:sz w:val="20"/>
              </w:rPr>
              <w:t xml:space="preserve"> </w:t>
            </w:r>
            <w:r>
              <w:rPr>
                <w:sz w:val="20"/>
              </w:rPr>
              <w:t>fact</w:t>
            </w:r>
            <w:r>
              <w:rPr>
                <w:spacing w:val="-3"/>
                <w:sz w:val="20"/>
              </w:rPr>
              <w:t xml:space="preserve"> </w:t>
            </w:r>
            <w:r>
              <w:rPr>
                <w:sz w:val="20"/>
              </w:rPr>
              <w:t>that</w:t>
            </w:r>
            <w:r>
              <w:rPr>
                <w:spacing w:val="-3"/>
                <w:sz w:val="20"/>
              </w:rPr>
              <w:t xml:space="preserve"> </w:t>
            </w:r>
            <w:r>
              <w:rPr>
                <w:sz w:val="20"/>
              </w:rPr>
              <w:t>you</w:t>
            </w:r>
            <w:r>
              <w:rPr>
                <w:spacing w:val="-2"/>
                <w:sz w:val="20"/>
              </w:rPr>
              <w:t xml:space="preserve"> </w:t>
            </w:r>
            <w:r>
              <w:rPr>
                <w:sz w:val="20"/>
              </w:rPr>
              <w:t>cannot</w:t>
            </w:r>
            <w:r>
              <w:rPr>
                <w:spacing w:val="-3"/>
                <w:sz w:val="20"/>
              </w:rPr>
              <w:t xml:space="preserve"> </w:t>
            </w:r>
            <w:r>
              <w:rPr>
                <w:sz w:val="20"/>
              </w:rPr>
              <w:t>help</w:t>
            </w:r>
            <w:r>
              <w:rPr>
                <w:spacing w:val="-2"/>
                <w:sz w:val="20"/>
              </w:rPr>
              <w:t xml:space="preserve"> </w:t>
            </w:r>
            <w:r>
              <w:rPr>
                <w:sz w:val="20"/>
              </w:rPr>
              <w:t>the</w:t>
            </w:r>
            <w:r>
              <w:rPr>
                <w:spacing w:val="-3"/>
                <w:sz w:val="20"/>
              </w:rPr>
              <w:t xml:space="preserve"> </w:t>
            </w:r>
            <w:r>
              <w:rPr>
                <w:sz w:val="20"/>
              </w:rPr>
              <w:t>client</w:t>
            </w:r>
            <w:r>
              <w:rPr>
                <w:spacing w:val="-3"/>
                <w:sz w:val="20"/>
              </w:rPr>
              <w:t xml:space="preserve"> </w:t>
            </w:r>
            <w:r>
              <w:rPr>
                <w:sz w:val="20"/>
              </w:rPr>
              <w:t>with</w:t>
            </w:r>
            <w:r>
              <w:rPr>
                <w:spacing w:val="-2"/>
                <w:sz w:val="20"/>
              </w:rPr>
              <w:t xml:space="preserve"> </w:t>
            </w:r>
            <w:r>
              <w:rPr>
                <w:sz w:val="20"/>
              </w:rPr>
              <w:t>his</w:t>
            </w:r>
            <w:r>
              <w:rPr>
                <w:spacing w:val="-3"/>
                <w:sz w:val="20"/>
              </w:rPr>
              <w:t xml:space="preserve"> </w:t>
            </w:r>
            <w:r>
              <w:rPr>
                <w:sz w:val="20"/>
              </w:rPr>
              <w:t>or her treatment goal (Moyers &amp; Houck, 2011).</w:t>
            </w:r>
          </w:p>
        </w:tc>
      </w:tr>
    </w:tbl>
    <w:p w14:paraId="3B9F6733" w14:textId="77777777" w:rsidR="00DB6E1F" w:rsidRDefault="00F666A6">
      <w:pPr>
        <w:pStyle w:val="Heading3"/>
        <w:spacing w:before="3"/>
      </w:pPr>
      <w:bookmarkStart w:id="171" w:name="Sample_Goals_and_Encourage_Experimenting"/>
      <w:bookmarkEnd w:id="171"/>
      <w:r>
        <w:t>Sample</w:t>
      </w:r>
      <w:r>
        <w:rPr>
          <w:spacing w:val="-9"/>
        </w:rPr>
        <w:t xml:space="preserve"> </w:t>
      </w:r>
      <w:r>
        <w:t>Goals</w:t>
      </w:r>
      <w:r>
        <w:rPr>
          <w:spacing w:val="-8"/>
        </w:rPr>
        <w:t xml:space="preserve"> </w:t>
      </w:r>
      <w:r>
        <w:t>and</w:t>
      </w:r>
      <w:r>
        <w:rPr>
          <w:spacing w:val="-7"/>
        </w:rPr>
        <w:t xml:space="preserve"> </w:t>
      </w:r>
      <w:r>
        <w:t>Encourage</w:t>
      </w:r>
      <w:r>
        <w:rPr>
          <w:spacing w:val="-9"/>
        </w:rPr>
        <w:t xml:space="preserve"> </w:t>
      </w:r>
      <w:r>
        <w:rPr>
          <w:spacing w:val="-2"/>
        </w:rPr>
        <w:t>Experimenting</w:t>
      </w:r>
    </w:p>
    <w:p w14:paraId="6D46E95D" w14:textId="77777777" w:rsidR="00DB6E1F" w:rsidRDefault="00F666A6">
      <w:pPr>
        <w:spacing w:before="145" w:line="237" w:lineRule="auto"/>
        <w:ind w:left="1439" w:right="1849"/>
      </w:pPr>
      <w:r>
        <w:rPr>
          <w:b/>
        </w:rPr>
        <w:t>You</w:t>
      </w:r>
      <w:r>
        <w:rPr>
          <w:b/>
          <w:spacing w:val="-2"/>
        </w:rPr>
        <w:t xml:space="preserve"> </w:t>
      </w:r>
      <w:r>
        <w:rPr>
          <w:b/>
        </w:rPr>
        <w:t>may need</w:t>
      </w:r>
      <w:r>
        <w:rPr>
          <w:b/>
          <w:spacing w:val="-2"/>
        </w:rPr>
        <w:t xml:space="preserve"> </w:t>
      </w:r>
      <w:r>
        <w:rPr>
          <w:b/>
        </w:rPr>
        <w:t>to</w:t>
      </w:r>
      <w:r>
        <w:rPr>
          <w:b/>
          <w:spacing w:val="-2"/>
        </w:rPr>
        <w:t xml:space="preserve"> </w:t>
      </w:r>
      <w:r>
        <w:rPr>
          <w:b/>
        </w:rPr>
        <w:t>help</w:t>
      </w:r>
      <w:r>
        <w:rPr>
          <w:b/>
          <w:spacing w:val="-4"/>
        </w:rPr>
        <w:t xml:space="preserve"> </w:t>
      </w:r>
      <w:r>
        <w:rPr>
          <w:b/>
        </w:rPr>
        <w:t>some</w:t>
      </w:r>
      <w:r>
        <w:rPr>
          <w:b/>
          <w:spacing w:val="-2"/>
        </w:rPr>
        <w:t xml:space="preserve"> </w:t>
      </w:r>
      <w:r>
        <w:rPr>
          <w:b/>
        </w:rPr>
        <w:t>clients</w:t>
      </w:r>
      <w:r>
        <w:rPr>
          <w:b/>
          <w:spacing w:val="-2"/>
        </w:rPr>
        <w:t xml:space="preserve"> </w:t>
      </w:r>
      <w:r>
        <w:rPr>
          <w:b/>
        </w:rPr>
        <w:t>sample</w:t>
      </w:r>
      <w:r>
        <w:rPr>
          <w:b/>
          <w:spacing w:val="-2"/>
        </w:rPr>
        <w:t xml:space="preserve"> </w:t>
      </w:r>
      <w:r>
        <w:rPr>
          <w:b/>
        </w:rPr>
        <w:t>or</w:t>
      </w:r>
      <w:r>
        <w:rPr>
          <w:b/>
          <w:spacing w:val="-3"/>
        </w:rPr>
        <w:t xml:space="preserve"> </w:t>
      </w:r>
      <w:r>
        <w:rPr>
          <w:b/>
        </w:rPr>
        <w:t>try out</w:t>
      </w:r>
      <w:r>
        <w:rPr>
          <w:b/>
          <w:spacing w:val="-3"/>
        </w:rPr>
        <w:t xml:space="preserve"> </w:t>
      </w:r>
      <w:r>
        <w:rPr>
          <w:b/>
        </w:rPr>
        <w:t>their</w:t>
      </w:r>
      <w:r>
        <w:rPr>
          <w:b/>
          <w:spacing w:val="-2"/>
        </w:rPr>
        <w:t xml:space="preserve"> </w:t>
      </w:r>
      <w:r>
        <w:rPr>
          <w:b/>
        </w:rPr>
        <w:t>goals before</w:t>
      </w:r>
      <w:r>
        <w:rPr>
          <w:b/>
          <w:spacing w:val="-4"/>
        </w:rPr>
        <w:t xml:space="preserve"> </w:t>
      </w:r>
      <w:r>
        <w:rPr>
          <w:b/>
        </w:rPr>
        <w:t>getting them to</w:t>
      </w:r>
      <w:r>
        <w:rPr>
          <w:b/>
          <w:spacing w:val="-2"/>
        </w:rPr>
        <w:t xml:space="preserve"> </w:t>
      </w:r>
      <w:r>
        <w:rPr>
          <w:b/>
        </w:rPr>
        <w:t>commit</w:t>
      </w:r>
      <w:r>
        <w:rPr>
          <w:b/>
          <w:spacing w:val="-3"/>
        </w:rPr>
        <w:t xml:space="preserve"> </w:t>
      </w:r>
      <w:r>
        <w:rPr>
          <w:b/>
        </w:rPr>
        <w:t>to long-term</w:t>
      </w:r>
      <w:r>
        <w:rPr>
          <w:b/>
          <w:spacing w:val="-9"/>
        </w:rPr>
        <w:t xml:space="preserve"> </w:t>
      </w:r>
      <w:r>
        <w:rPr>
          <w:b/>
        </w:rPr>
        <w:t>change.</w:t>
      </w:r>
      <w:r>
        <w:rPr>
          <w:b/>
          <w:spacing w:val="-4"/>
        </w:rPr>
        <w:t xml:space="preserve"> </w:t>
      </w:r>
      <w:r>
        <w:t>For</w:t>
      </w:r>
      <w:r>
        <w:rPr>
          <w:spacing w:val="-7"/>
        </w:rPr>
        <w:t xml:space="preserve"> </w:t>
      </w:r>
      <w:r>
        <w:t>instance,</w:t>
      </w:r>
      <w:r>
        <w:rPr>
          <w:spacing w:val="-5"/>
        </w:rPr>
        <w:t xml:space="preserve"> </w:t>
      </w:r>
      <w:r>
        <w:t>some</w:t>
      </w:r>
      <w:r>
        <w:rPr>
          <w:spacing w:val="-4"/>
        </w:rPr>
        <w:t xml:space="preserve"> </w:t>
      </w:r>
      <w:r>
        <w:t>clients</w:t>
      </w:r>
      <w:r>
        <w:rPr>
          <w:spacing w:val="-5"/>
        </w:rPr>
        <w:t xml:space="preserve"> </w:t>
      </w:r>
      <w:r>
        <w:t>benefit</w:t>
      </w:r>
      <w:r>
        <w:rPr>
          <w:spacing w:val="-4"/>
        </w:rPr>
        <w:t xml:space="preserve"> </w:t>
      </w:r>
      <w:r>
        <w:t>from</w:t>
      </w:r>
      <w:r>
        <w:rPr>
          <w:spacing w:val="-5"/>
        </w:rPr>
        <w:t xml:space="preserve"> </w:t>
      </w:r>
      <w:r>
        <w:t>experimenting</w:t>
      </w:r>
      <w:r>
        <w:rPr>
          <w:spacing w:val="-6"/>
        </w:rPr>
        <w:t xml:space="preserve"> </w:t>
      </w:r>
      <w:r>
        <w:t>with</w:t>
      </w:r>
      <w:r>
        <w:rPr>
          <w:spacing w:val="-6"/>
        </w:rPr>
        <w:t xml:space="preserve"> </w:t>
      </w:r>
      <w:r>
        <w:t>abstinence</w:t>
      </w:r>
      <w:r>
        <w:rPr>
          <w:spacing w:val="-7"/>
        </w:rPr>
        <w:t xml:space="preserve"> </w:t>
      </w:r>
      <w:r>
        <w:t>or</w:t>
      </w:r>
      <w:r>
        <w:rPr>
          <w:spacing w:val="-6"/>
        </w:rPr>
        <w:t xml:space="preserve"> </w:t>
      </w:r>
      <w:r>
        <w:rPr>
          <w:spacing w:val="-2"/>
        </w:rPr>
        <w:t>cutting</w:t>
      </w:r>
    </w:p>
    <w:p w14:paraId="54738CD2" w14:textId="77777777" w:rsidR="00DB6E1F" w:rsidRDefault="00DB6E1F">
      <w:pPr>
        <w:spacing w:line="237" w:lineRule="auto"/>
        <w:sectPr w:rsidR="00DB6E1F">
          <w:pgSz w:w="12240" w:h="15840"/>
          <w:pgMar w:top="1200" w:right="0" w:bottom="780" w:left="0" w:header="763" w:footer="585" w:gutter="0"/>
          <w:cols w:space="720"/>
        </w:sectPr>
      </w:pPr>
    </w:p>
    <w:p w14:paraId="6FEE2DD3" w14:textId="77777777" w:rsidR="00DB6E1F" w:rsidRDefault="00DB6E1F">
      <w:pPr>
        <w:pStyle w:val="BodyText"/>
        <w:spacing w:before="8"/>
        <w:rPr>
          <w:sz w:val="14"/>
        </w:rPr>
      </w:pPr>
    </w:p>
    <w:p w14:paraId="1F60FA2E" w14:textId="77777777" w:rsidR="00DB6E1F" w:rsidRDefault="00F666A6">
      <w:pPr>
        <w:pStyle w:val="BodyText"/>
        <w:spacing w:before="56"/>
        <w:ind w:left="1440" w:right="1491"/>
      </w:pPr>
      <w:r>
        <w:t>down</w:t>
      </w:r>
      <w:r>
        <w:rPr>
          <w:spacing w:val="-3"/>
        </w:rPr>
        <w:t xml:space="preserve"> </w:t>
      </w:r>
      <w:r>
        <w:t>their</w:t>
      </w:r>
      <w:r>
        <w:rPr>
          <w:spacing w:val="-2"/>
        </w:rPr>
        <w:t xml:space="preserve"> </w:t>
      </w:r>
      <w:r>
        <w:t>substance</w:t>
      </w:r>
      <w:r>
        <w:rPr>
          <w:spacing w:val="-1"/>
        </w:rPr>
        <w:t xml:space="preserve"> </w:t>
      </w:r>
      <w:r>
        <w:t>use</w:t>
      </w:r>
      <w:r>
        <w:rPr>
          <w:spacing w:val="-4"/>
        </w:rPr>
        <w:t xml:space="preserve"> </w:t>
      </w:r>
      <w:r>
        <w:t>for</w:t>
      </w:r>
      <w:r>
        <w:rPr>
          <w:spacing w:val="-2"/>
        </w:rPr>
        <w:t xml:space="preserve"> </w:t>
      </w:r>
      <w:r>
        <w:t>a</w:t>
      </w:r>
      <w:r>
        <w:rPr>
          <w:spacing w:val="-2"/>
        </w:rPr>
        <w:t xml:space="preserve"> </w:t>
      </w:r>
      <w:r>
        <w:t>short</w:t>
      </w:r>
      <w:r>
        <w:rPr>
          <w:spacing w:val="-3"/>
        </w:rPr>
        <w:t xml:space="preserve"> </w:t>
      </w:r>
      <w:r>
        <w:t>period.</w:t>
      </w:r>
      <w:r>
        <w:rPr>
          <w:spacing w:val="-5"/>
        </w:rPr>
        <w:t xml:space="preserve"> </w:t>
      </w:r>
      <w:r>
        <w:t>The</w:t>
      </w:r>
      <w:r>
        <w:rPr>
          <w:spacing w:val="-1"/>
        </w:rPr>
        <w:t xml:space="preserve"> </w:t>
      </w:r>
      <w:r>
        <w:t>following</w:t>
      </w:r>
      <w:r>
        <w:rPr>
          <w:spacing w:val="-3"/>
        </w:rPr>
        <w:t xml:space="preserve"> </w:t>
      </w:r>
      <w:r>
        <w:t>approaches</w:t>
      </w:r>
      <w:r>
        <w:rPr>
          <w:spacing w:val="-2"/>
        </w:rPr>
        <w:t xml:space="preserve"> </w:t>
      </w:r>
      <w:r>
        <w:t>to</w:t>
      </w:r>
      <w:r>
        <w:rPr>
          <w:spacing w:val="-1"/>
        </w:rPr>
        <w:t xml:space="preserve"> </w:t>
      </w:r>
      <w:r>
        <w:t>goal</w:t>
      </w:r>
      <w:r>
        <w:rPr>
          <w:spacing w:val="-2"/>
        </w:rPr>
        <w:t xml:space="preserve"> </w:t>
      </w:r>
      <w:r>
        <w:t>sampling</w:t>
      </w:r>
      <w:r>
        <w:rPr>
          <w:spacing w:val="-3"/>
        </w:rPr>
        <w:t xml:space="preserve"> </w:t>
      </w:r>
      <w:r>
        <w:t>may</w:t>
      </w:r>
      <w:r>
        <w:rPr>
          <w:spacing w:val="-1"/>
        </w:rPr>
        <w:t xml:space="preserve"> </w:t>
      </w:r>
      <w:r>
        <w:t>be</w:t>
      </w:r>
      <w:r>
        <w:rPr>
          <w:spacing w:val="-4"/>
        </w:rPr>
        <w:t xml:space="preserve"> </w:t>
      </w:r>
      <w:r>
        <w:t>helpful for clients who are not committed to abstinence as a change goal:</w:t>
      </w:r>
    </w:p>
    <w:p w14:paraId="666A7A5F" w14:textId="77777777" w:rsidR="00DB6E1F" w:rsidRDefault="00F666A6">
      <w:pPr>
        <w:pStyle w:val="ListParagraph"/>
        <w:numPr>
          <w:ilvl w:val="0"/>
          <w:numId w:val="92"/>
        </w:numPr>
        <w:tabs>
          <w:tab w:val="left" w:pos="1800"/>
          <w:tab w:val="left" w:pos="1801"/>
        </w:tabs>
        <w:spacing w:before="61"/>
        <w:ind w:left="1799" w:right="1466" w:hanging="360"/>
        <w:rPr>
          <w:rFonts w:ascii="Symbol" w:hAnsi="Symbol"/>
        </w:rPr>
      </w:pPr>
      <w:r>
        <w:rPr>
          <w:b/>
        </w:rPr>
        <w:t>Sobriety</w:t>
      </w:r>
      <w:r>
        <w:rPr>
          <w:b/>
          <w:spacing w:val="-1"/>
        </w:rPr>
        <w:t xml:space="preserve"> </w:t>
      </w:r>
      <w:r>
        <w:rPr>
          <w:b/>
        </w:rPr>
        <w:t>sampling.</w:t>
      </w:r>
      <w:r>
        <w:rPr>
          <w:b/>
          <w:spacing w:val="-3"/>
        </w:rPr>
        <w:t xml:space="preserve"> </w:t>
      </w:r>
      <w:r>
        <w:t>This</w:t>
      </w:r>
      <w:r>
        <w:rPr>
          <w:spacing w:val="-2"/>
        </w:rPr>
        <w:t xml:space="preserve"> </w:t>
      </w:r>
      <w:r>
        <w:t>trial</w:t>
      </w:r>
      <w:r>
        <w:rPr>
          <w:spacing w:val="-2"/>
        </w:rPr>
        <w:t xml:space="preserve"> </w:t>
      </w:r>
      <w:r>
        <w:t>period</w:t>
      </w:r>
      <w:r>
        <w:rPr>
          <w:spacing w:val="-5"/>
        </w:rPr>
        <w:t xml:space="preserve"> </w:t>
      </w:r>
      <w:r>
        <w:t>of</w:t>
      </w:r>
      <w:r>
        <w:rPr>
          <w:spacing w:val="-2"/>
        </w:rPr>
        <w:t xml:space="preserve"> </w:t>
      </w:r>
      <w:r>
        <w:t>abstinence</w:t>
      </w:r>
      <w:r>
        <w:rPr>
          <w:spacing w:val="-4"/>
        </w:rPr>
        <w:t xml:space="preserve"> </w:t>
      </w:r>
      <w:r>
        <w:t>is</w:t>
      </w:r>
      <w:r>
        <w:rPr>
          <w:spacing w:val="-2"/>
        </w:rPr>
        <w:t xml:space="preserve"> </w:t>
      </w:r>
      <w:r>
        <w:t>commonly</w:t>
      </w:r>
      <w:r>
        <w:rPr>
          <w:spacing w:val="-1"/>
        </w:rPr>
        <w:t xml:space="preserve"> </w:t>
      </w:r>
      <w:r>
        <w:t>used</w:t>
      </w:r>
      <w:r>
        <w:rPr>
          <w:spacing w:val="-2"/>
        </w:rPr>
        <w:t xml:space="preserve"> </w:t>
      </w:r>
      <w:r>
        <w:t>with</w:t>
      </w:r>
      <w:r>
        <w:rPr>
          <w:spacing w:val="-3"/>
        </w:rPr>
        <w:t xml:space="preserve"> </w:t>
      </w:r>
      <w:r>
        <w:t>clients</w:t>
      </w:r>
      <w:r>
        <w:rPr>
          <w:spacing w:val="-4"/>
        </w:rPr>
        <w:t xml:space="preserve"> </w:t>
      </w:r>
      <w:r>
        <w:t>who</w:t>
      </w:r>
      <w:r>
        <w:rPr>
          <w:spacing w:val="-1"/>
        </w:rPr>
        <w:t xml:space="preserve"> </w:t>
      </w:r>
      <w:r>
        <w:t>(Boston</w:t>
      </w:r>
      <w:r>
        <w:rPr>
          <w:spacing w:val="-5"/>
        </w:rPr>
        <w:t xml:space="preserve"> </w:t>
      </w:r>
      <w:r>
        <w:t>Center for Treatment Development and Training [BCTDT], 2016):</w:t>
      </w:r>
    </w:p>
    <w:p w14:paraId="1DE5692D" w14:textId="77777777" w:rsidR="00DB6E1F" w:rsidRDefault="00F666A6">
      <w:pPr>
        <w:pStyle w:val="ListParagraph"/>
        <w:numPr>
          <w:ilvl w:val="1"/>
          <w:numId w:val="92"/>
        </w:numPr>
        <w:tabs>
          <w:tab w:val="left" w:pos="2159"/>
          <w:tab w:val="left" w:pos="2160"/>
        </w:tabs>
        <w:spacing w:before="58"/>
        <w:ind w:hanging="361"/>
      </w:pPr>
      <w:r>
        <w:t>Are</w:t>
      </w:r>
      <w:r>
        <w:rPr>
          <w:spacing w:val="-3"/>
        </w:rPr>
        <w:t xml:space="preserve"> </w:t>
      </w:r>
      <w:r>
        <w:t>not</w:t>
      </w:r>
      <w:r>
        <w:rPr>
          <w:spacing w:val="-5"/>
        </w:rPr>
        <w:t xml:space="preserve"> </w:t>
      </w:r>
      <w:r>
        <w:t>interested</w:t>
      </w:r>
      <w:r>
        <w:rPr>
          <w:spacing w:val="-5"/>
        </w:rPr>
        <w:t xml:space="preserve"> </w:t>
      </w:r>
      <w:r>
        <w:t>in</w:t>
      </w:r>
      <w:r>
        <w:rPr>
          <w:spacing w:val="-4"/>
        </w:rPr>
        <w:t xml:space="preserve"> </w:t>
      </w:r>
      <w:r>
        <w:t>abstinence</w:t>
      </w:r>
      <w:r>
        <w:rPr>
          <w:spacing w:val="-3"/>
        </w:rPr>
        <w:t xml:space="preserve"> </w:t>
      </w:r>
      <w:r>
        <w:t>as</w:t>
      </w:r>
      <w:r>
        <w:rPr>
          <w:spacing w:val="-4"/>
        </w:rPr>
        <w:t xml:space="preserve"> </w:t>
      </w:r>
      <w:r>
        <w:t>a</w:t>
      </w:r>
      <w:r>
        <w:rPr>
          <w:spacing w:val="-4"/>
        </w:rPr>
        <w:t xml:space="preserve"> </w:t>
      </w:r>
      <w:r>
        <w:t>treatment</w:t>
      </w:r>
      <w:r>
        <w:rPr>
          <w:spacing w:val="-4"/>
        </w:rPr>
        <w:t xml:space="preserve"> goal.</w:t>
      </w:r>
    </w:p>
    <w:p w14:paraId="0500B4F3" w14:textId="77777777" w:rsidR="00DB6E1F" w:rsidRDefault="00F666A6">
      <w:pPr>
        <w:pStyle w:val="ListParagraph"/>
        <w:numPr>
          <w:ilvl w:val="1"/>
          <w:numId w:val="92"/>
        </w:numPr>
        <w:tabs>
          <w:tab w:val="left" w:pos="2159"/>
          <w:tab w:val="left" w:pos="2160"/>
        </w:tabs>
        <w:ind w:hanging="361"/>
      </w:pPr>
      <w:r>
        <w:t>Express</w:t>
      </w:r>
      <w:r>
        <w:rPr>
          <w:spacing w:val="-8"/>
        </w:rPr>
        <w:t xml:space="preserve"> </w:t>
      </w:r>
      <w:r>
        <w:t>significant</w:t>
      </w:r>
      <w:r>
        <w:rPr>
          <w:spacing w:val="-2"/>
        </w:rPr>
        <w:t xml:space="preserve"> </w:t>
      </w:r>
      <w:r>
        <w:t>need</w:t>
      </w:r>
      <w:r>
        <w:rPr>
          <w:spacing w:val="-5"/>
        </w:rPr>
        <w:t xml:space="preserve"> </w:t>
      </w:r>
      <w:r>
        <w:t>or</w:t>
      </w:r>
      <w:r>
        <w:rPr>
          <w:spacing w:val="-8"/>
        </w:rPr>
        <w:t xml:space="preserve"> </w:t>
      </w:r>
      <w:r>
        <w:t>desire</w:t>
      </w:r>
      <w:r>
        <w:rPr>
          <w:spacing w:val="-1"/>
        </w:rPr>
        <w:t xml:space="preserve"> </w:t>
      </w:r>
      <w:r>
        <w:t>to</w:t>
      </w:r>
      <w:r>
        <w:rPr>
          <w:spacing w:val="-3"/>
        </w:rPr>
        <w:t xml:space="preserve"> </w:t>
      </w:r>
      <w:r>
        <w:t>address</w:t>
      </w:r>
      <w:r>
        <w:rPr>
          <w:spacing w:val="-5"/>
        </w:rPr>
        <w:t xml:space="preserve"> </w:t>
      </w:r>
      <w:r>
        <w:t>misuse</w:t>
      </w:r>
      <w:r>
        <w:rPr>
          <w:spacing w:val="-4"/>
        </w:rPr>
        <w:t xml:space="preserve"> </w:t>
      </w:r>
      <w:r>
        <w:t>but</w:t>
      </w:r>
      <w:r>
        <w:rPr>
          <w:spacing w:val="-3"/>
        </w:rPr>
        <w:t xml:space="preserve"> </w:t>
      </w:r>
      <w:r>
        <w:t>are</w:t>
      </w:r>
      <w:r>
        <w:rPr>
          <w:spacing w:val="-1"/>
        </w:rPr>
        <w:t xml:space="preserve"> </w:t>
      </w:r>
      <w:r>
        <w:t>not</w:t>
      </w:r>
      <w:r>
        <w:rPr>
          <w:spacing w:val="-3"/>
        </w:rPr>
        <w:t xml:space="preserve"> </w:t>
      </w:r>
      <w:r>
        <w:t>ready</w:t>
      </w:r>
      <w:r>
        <w:rPr>
          <w:spacing w:val="-4"/>
        </w:rPr>
        <w:t xml:space="preserve"> </w:t>
      </w:r>
      <w:r>
        <w:t>to</w:t>
      </w:r>
      <w:r>
        <w:rPr>
          <w:spacing w:val="-3"/>
        </w:rPr>
        <w:t xml:space="preserve"> </w:t>
      </w:r>
      <w:r>
        <w:t>commit</w:t>
      </w:r>
      <w:r>
        <w:rPr>
          <w:spacing w:val="-5"/>
        </w:rPr>
        <w:t xml:space="preserve"> </w:t>
      </w:r>
      <w:r>
        <w:t>to</w:t>
      </w:r>
      <w:r>
        <w:rPr>
          <w:spacing w:val="-3"/>
        </w:rPr>
        <w:t xml:space="preserve"> </w:t>
      </w:r>
      <w:r>
        <w:rPr>
          <w:spacing w:val="-2"/>
        </w:rPr>
        <w:t>abstinence.</w:t>
      </w:r>
    </w:p>
    <w:p w14:paraId="072A7A57" w14:textId="77777777" w:rsidR="00DB6E1F" w:rsidRDefault="00F666A6">
      <w:pPr>
        <w:pStyle w:val="ListParagraph"/>
        <w:numPr>
          <w:ilvl w:val="1"/>
          <w:numId w:val="92"/>
        </w:numPr>
        <w:tabs>
          <w:tab w:val="left" w:pos="2159"/>
          <w:tab w:val="left" w:pos="2160"/>
        </w:tabs>
        <w:ind w:hanging="361"/>
      </w:pPr>
      <w:r>
        <w:t>Have</w:t>
      </w:r>
      <w:r>
        <w:rPr>
          <w:spacing w:val="-3"/>
        </w:rPr>
        <w:t xml:space="preserve"> </w:t>
      </w:r>
      <w:r>
        <w:t>had</w:t>
      </w:r>
      <w:r>
        <w:rPr>
          <w:spacing w:val="-7"/>
        </w:rPr>
        <w:t xml:space="preserve"> </w:t>
      </w:r>
      <w:r>
        <w:t>many</w:t>
      </w:r>
      <w:r>
        <w:rPr>
          <w:spacing w:val="-4"/>
        </w:rPr>
        <w:t xml:space="preserve"> </w:t>
      </w:r>
      <w:r>
        <w:t>past</w:t>
      </w:r>
      <w:r>
        <w:rPr>
          <w:spacing w:val="-3"/>
        </w:rPr>
        <w:t xml:space="preserve"> </w:t>
      </w:r>
      <w:r>
        <w:t>unsuccessful</w:t>
      </w:r>
      <w:r>
        <w:rPr>
          <w:spacing w:val="-4"/>
        </w:rPr>
        <w:t xml:space="preserve"> </w:t>
      </w:r>
      <w:r>
        <w:t>attempts</w:t>
      </w:r>
      <w:r>
        <w:rPr>
          <w:spacing w:val="-3"/>
        </w:rPr>
        <w:t xml:space="preserve"> </w:t>
      </w:r>
      <w:r>
        <w:t>at</w:t>
      </w:r>
      <w:r>
        <w:rPr>
          <w:spacing w:val="-6"/>
        </w:rPr>
        <w:t xml:space="preserve"> </w:t>
      </w:r>
      <w:r>
        <w:t>moderate</w:t>
      </w:r>
      <w:r>
        <w:rPr>
          <w:spacing w:val="-3"/>
        </w:rPr>
        <w:t xml:space="preserve"> </w:t>
      </w:r>
      <w:r>
        <w:rPr>
          <w:spacing w:val="-4"/>
        </w:rPr>
        <w:t>use.</w:t>
      </w:r>
    </w:p>
    <w:p w14:paraId="03A40798" w14:textId="77777777" w:rsidR="00DB6E1F" w:rsidRDefault="00F666A6">
      <w:pPr>
        <w:pStyle w:val="BodyText"/>
        <w:spacing w:before="60" w:line="259" w:lineRule="auto"/>
        <w:ind w:left="1798" w:right="1491"/>
      </w:pPr>
      <w:r>
        <w:t>A successful trial of sobriety sampling can enhance clients’ commitment to a goal of abstinence. Even a 2-to-3–week period of abstinence before treatment can lead to positive client outcomes, including</w:t>
      </w:r>
      <w:r>
        <w:rPr>
          <w:spacing w:val="-3"/>
        </w:rPr>
        <w:t xml:space="preserve"> </w:t>
      </w:r>
      <w:r>
        <w:t>reductions</w:t>
      </w:r>
      <w:r>
        <w:rPr>
          <w:spacing w:val="-2"/>
        </w:rPr>
        <w:t xml:space="preserve"> </w:t>
      </w:r>
      <w:r>
        <w:t>in</w:t>
      </w:r>
      <w:r>
        <w:rPr>
          <w:spacing w:val="-2"/>
        </w:rPr>
        <w:t xml:space="preserve"> </w:t>
      </w:r>
      <w:r>
        <w:t>alcohol</w:t>
      </w:r>
      <w:r>
        <w:rPr>
          <w:spacing w:val="-2"/>
        </w:rPr>
        <w:t xml:space="preserve"> </w:t>
      </w:r>
      <w:r>
        <w:t>misuse</w:t>
      </w:r>
      <w:r>
        <w:rPr>
          <w:spacing w:val="-2"/>
        </w:rPr>
        <w:t xml:space="preserve"> </w:t>
      </w:r>
      <w:r>
        <w:t>(Gueorguieva</w:t>
      </w:r>
      <w:r>
        <w:rPr>
          <w:spacing w:val="-4"/>
        </w:rPr>
        <w:t xml:space="preserve"> </w:t>
      </w:r>
      <w:r>
        <w:t>et</w:t>
      </w:r>
      <w:r>
        <w:rPr>
          <w:spacing w:val="-4"/>
        </w:rPr>
        <w:t xml:space="preserve"> </w:t>
      </w:r>
      <w:r>
        <w:t>al.,</w:t>
      </w:r>
      <w:r>
        <w:rPr>
          <w:spacing w:val="-2"/>
        </w:rPr>
        <w:t xml:space="preserve"> </w:t>
      </w:r>
      <w:r>
        <w:t>2014).</w:t>
      </w:r>
      <w:r>
        <w:rPr>
          <w:spacing w:val="-3"/>
        </w:rPr>
        <w:t xml:space="preserve"> </w:t>
      </w:r>
      <w:r>
        <w:t>However,</w:t>
      </w:r>
      <w:r>
        <w:rPr>
          <w:spacing w:val="-2"/>
        </w:rPr>
        <w:t xml:space="preserve"> </w:t>
      </w:r>
      <w:r>
        <w:t>longer</w:t>
      </w:r>
      <w:r>
        <w:rPr>
          <w:spacing w:val="-2"/>
        </w:rPr>
        <w:t xml:space="preserve"> </w:t>
      </w:r>
      <w:r>
        <w:t>periods</w:t>
      </w:r>
      <w:r>
        <w:rPr>
          <w:spacing w:val="-4"/>
        </w:rPr>
        <w:t xml:space="preserve"> </w:t>
      </w:r>
      <w:r>
        <w:t>of</w:t>
      </w:r>
      <w:r>
        <w:rPr>
          <w:spacing w:val="-4"/>
        </w:rPr>
        <w:t xml:space="preserve"> </w:t>
      </w:r>
      <w:r>
        <w:t>trial abstinence</w:t>
      </w:r>
      <w:r>
        <w:rPr>
          <w:spacing w:val="-1"/>
        </w:rPr>
        <w:t xml:space="preserve"> </w:t>
      </w:r>
      <w:r>
        <w:t>may give clients</w:t>
      </w:r>
      <w:r>
        <w:rPr>
          <w:spacing w:val="-1"/>
        </w:rPr>
        <w:t xml:space="preserve"> </w:t>
      </w:r>
      <w:r>
        <w:t>more</w:t>
      </w:r>
      <w:r>
        <w:rPr>
          <w:spacing w:val="-1"/>
        </w:rPr>
        <w:t xml:space="preserve"> </w:t>
      </w:r>
      <w:r>
        <w:t>of an</w:t>
      </w:r>
      <w:r>
        <w:rPr>
          <w:spacing w:val="-2"/>
        </w:rPr>
        <w:t xml:space="preserve"> </w:t>
      </w:r>
      <w:r>
        <w:t>opportunity to experience the benefits</w:t>
      </w:r>
      <w:r>
        <w:rPr>
          <w:spacing w:val="-1"/>
        </w:rPr>
        <w:t xml:space="preserve"> </w:t>
      </w:r>
      <w:r>
        <w:t>of</w:t>
      </w:r>
      <w:r>
        <w:rPr>
          <w:spacing w:val="-1"/>
        </w:rPr>
        <w:t xml:space="preserve"> </w:t>
      </w:r>
      <w:r>
        <w:t>abstinence, like clearer</w:t>
      </w:r>
      <w:r>
        <w:rPr>
          <w:spacing w:val="-3"/>
        </w:rPr>
        <w:t xml:space="preserve"> </w:t>
      </w:r>
      <w:r>
        <w:t>thinking,</w:t>
      </w:r>
      <w:r>
        <w:rPr>
          <w:spacing w:val="-1"/>
        </w:rPr>
        <w:t xml:space="preserve"> </w:t>
      </w:r>
      <w:r>
        <w:t>a</w:t>
      </w:r>
      <w:r>
        <w:rPr>
          <w:spacing w:val="-2"/>
        </w:rPr>
        <w:t xml:space="preserve"> </w:t>
      </w:r>
      <w:r>
        <w:t>better</w:t>
      </w:r>
      <w:r>
        <w:rPr>
          <w:spacing w:val="-3"/>
        </w:rPr>
        <w:t xml:space="preserve"> </w:t>
      </w:r>
      <w:r>
        <w:t>ability</w:t>
      </w:r>
      <w:r>
        <w:rPr>
          <w:spacing w:val="-1"/>
        </w:rPr>
        <w:t xml:space="preserve"> </w:t>
      </w:r>
      <w:r>
        <w:t>to</w:t>
      </w:r>
      <w:r>
        <w:rPr>
          <w:spacing w:val="-1"/>
        </w:rPr>
        <w:t xml:space="preserve"> </w:t>
      </w:r>
      <w:r>
        <w:t>recognize</w:t>
      </w:r>
      <w:r>
        <w:rPr>
          <w:spacing w:val="-2"/>
        </w:rPr>
        <w:t xml:space="preserve"> </w:t>
      </w:r>
      <w:r>
        <w:t>substance</w:t>
      </w:r>
      <w:r>
        <w:rPr>
          <w:spacing w:val="-1"/>
        </w:rPr>
        <w:t xml:space="preserve"> </w:t>
      </w:r>
      <w:r>
        <w:t>use</w:t>
      </w:r>
      <w:r>
        <w:rPr>
          <w:spacing w:val="-2"/>
        </w:rPr>
        <w:t xml:space="preserve"> </w:t>
      </w:r>
      <w:r>
        <w:t>triggers,</w:t>
      </w:r>
      <w:r>
        <w:rPr>
          <w:spacing w:val="-1"/>
        </w:rPr>
        <w:t xml:space="preserve"> </w:t>
      </w:r>
      <w:r>
        <w:t>and</w:t>
      </w:r>
      <w:r>
        <w:rPr>
          <w:spacing w:val="-4"/>
        </w:rPr>
        <w:t xml:space="preserve"> </w:t>
      </w:r>
      <w:r>
        <w:t>more</w:t>
      </w:r>
      <w:r>
        <w:rPr>
          <w:spacing w:val="-3"/>
        </w:rPr>
        <w:t xml:space="preserve"> </w:t>
      </w:r>
      <w:r>
        <w:t>time</w:t>
      </w:r>
      <w:r>
        <w:rPr>
          <w:spacing w:val="-3"/>
        </w:rPr>
        <w:t xml:space="preserve"> </w:t>
      </w:r>
      <w:r>
        <w:t>to</w:t>
      </w:r>
      <w:r>
        <w:rPr>
          <w:spacing w:val="-2"/>
        </w:rPr>
        <w:t xml:space="preserve"> </w:t>
      </w:r>
      <w:r>
        <w:t>experience the positive feeli</w:t>
      </w:r>
      <w:r>
        <w:t>ng of living without substance use (BCTDT, 2016).</w:t>
      </w:r>
    </w:p>
    <w:p w14:paraId="46C3F73C" w14:textId="77777777" w:rsidR="00DB6E1F" w:rsidRDefault="00F666A6">
      <w:pPr>
        <w:pStyle w:val="ListParagraph"/>
        <w:numPr>
          <w:ilvl w:val="0"/>
          <w:numId w:val="92"/>
        </w:numPr>
        <w:tabs>
          <w:tab w:val="left" w:pos="1798"/>
          <w:tab w:val="left" w:pos="1799"/>
        </w:tabs>
        <w:spacing w:before="158"/>
        <w:ind w:right="1527" w:hanging="360"/>
        <w:rPr>
          <w:rFonts w:ascii="Symbol" w:hAnsi="Symbol"/>
        </w:rPr>
      </w:pPr>
      <w:r>
        <w:rPr>
          <w:b/>
        </w:rPr>
        <w:t xml:space="preserve">Tapering down. </w:t>
      </w:r>
      <w:r>
        <w:t>This approach has been widely used with people who smoke to reduce physical dependence and cravings before the quit date and is an option for some substances like alcohol or cannabis. This ap</w:t>
      </w:r>
      <w:r>
        <w:t>proach consists of setting increasingly lower daily and weekly limits on use of the substance while working toward a long-range goal of abstinence. The client keeps careful daily records</w:t>
      </w:r>
      <w:r>
        <w:rPr>
          <w:spacing w:val="-4"/>
        </w:rPr>
        <w:t xml:space="preserve"> </w:t>
      </w:r>
      <w:r>
        <w:t>of</w:t>
      </w:r>
      <w:r>
        <w:rPr>
          <w:spacing w:val="-4"/>
        </w:rPr>
        <w:t xml:space="preserve"> </w:t>
      </w:r>
      <w:r>
        <w:t>consumption</w:t>
      </w:r>
      <w:r>
        <w:rPr>
          <w:spacing w:val="-3"/>
        </w:rPr>
        <w:t xml:space="preserve"> </w:t>
      </w:r>
      <w:r>
        <w:t>and</w:t>
      </w:r>
      <w:r>
        <w:rPr>
          <w:spacing w:val="-3"/>
        </w:rPr>
        <w:t xml:space="preserve"> </w:t>
      </w:r>
      <w:r>
        <w:t>schedules</w:t>
      </w:r>
      <w:r>
        <w:rPr>
          <w:spacing w:val="-3"/>
        </w:rPr>
        <w:t xml:space="preserve"> </w:t>
      </w:r>
      <w:r>
        <w:t>sessions</w:t>
      </w:r>
      <w:r>
        <w:rPr>
          <w:spacing w:val="-3"/>
        </w:rPr>
        <w:t xml:space="preserve"> </w:t>
      </w:r>
      <w:r>
        <w:t>with</w:t>
      </w:r>
      <w:r>
        <w:rPr>
          <w:spacing w:val="-3"/>
        </w:rPr>
        <w:t xml:space="preserve"> </w:t>
      </w:r>
      <w:r>
        <w:t>the</w:t>
      </w:r>
      <w:r>
        <w:rPr>
          <w:spacing w:val="-3"/>
        </w:rPr>
        <w:t xml:space="preserve"> </w:t>
      </w:r>
      <w:r>
        <w:t>counselor</w:t>
      </w:r>
      <w:r>
        <w:rPr>
          <w:spacing w:val="-4"/>
        </w:rPr>
        <w:t xml:space="preserve"> </w:t>
      </w:r>
      <w:r>
        <w:t>as</w:t>
      </w:r>
      <w:r>
        <w:rPr>
          <w:spacing w:val="-3"/>
        </w:rPr>
        <w:t xml:space="preserve"> </w:t>
      </w:r>
      <w:r>
        <w:t>needed.</w:t>
      </w:r>
      <w:r>
        <w:rPr>
          <w:spacing w:val="-3"/>
        </w:rPr>
        <w:t xml:space="preserve"> </w:t>
      </w:r>
      <w:r>
        <w:rPr>
          <w:b/>
        </w:rPr>
        <w:t>T</w:t>
      </w:r>
      <w:r>
        <w:rPr>
          <w:b/>
        </w:rPr>
        <w:t>apering</w:t>
      </w:r>
      <w:r>
        <w:rPr>
          <w:b/>
          <w:spacing w:val="-2"/>
        </w:rPr>
        <w:t xml:space="preserve"> </w:t>
      </w:r>
      <w:r>
        <w:rPr>
          <w:b/>
        </w:rPr>
        <w:t>off</w:t>
      </w:r>
      <w:r>
        <w:rPr>
          <w:b/>
          <w:spacing w:val="-3"/>
        </w:rPr>
        <w:t xml:space="preserve"> </w:t>
      </w:r>
      <w:r>
        <w:rPr>
          <w:b/>
        </w:rPr>
        <w:t>opioids, benzodiazepines, or multiple substances should be done under medical supervision.</w:t>
      </w:r>
    </w:p>
    <w:p w14:paraId="66F0884B" w14:textId="77777777" w:rsidR="00DB6E1F" w:rsidRDefault="00F666A6">
      <w:pPr>
        <w:pStyle w:val="ListParagraph"/>
        <w:numPr>
          <w:ilvl w:val="0"/>
          <w:numId w:val="92"/>
        </w:numPr>
        <w:tabs>
          <w:tab w:val="left" w:pos="1797"/>
          <w:tab w:val="left" w:pos="1798"/>
        </w:tabs>
        <w:spacing w:before="59"/>
        <w:ind w:right="1476" w:hanging="360"/>
        <w:rPr>
          <w:rFonts w:ascii="Symbol" w:hAnsi="Symbol"/>
        </w:rPr>
      </w:pPr>
      <w:r>
        <w:rPr>
          <w:b/>
        </w:rPr>
        <w:t xml:space="preserve">Trial moderation. </w:t>
      </w:r>
      <w:r>
        <w:t>Trial</w:t>
      </w:r>
      <w:r>
        <w:rPr>
          <w:spacing w:val="-4"/>
        </w:rPr>
        <w:t xml:space="preserve"> </w:t>
      </w:r>
      <w:r>
        <w:t>moderation</w:t>
      </w:r>
      <w:r>
        <w:rPr>
          <w:spacing w:val="-4"/>
        </w:rPr>
        <w:t xml:space="preserve"> </w:t>
      </w:r>
      <w:r>
        <w:t>(i.e.,</w:t>
      </w:r>
      <w:r>
        <w:rPr>
          <w:spacing w:val="-1"/>
        </w:rPr>
        <w:t xml:space="preserve"> </w:t>
      </w:r>
      <w:r>
        <w:t>clients</w:t>
      </w:r>
      <w:r>
        <w:rPr>
          <w:spacing w:val="-1"/>
        </w:rPr>
        <w:t xml:space="preserve"> </w:t>
      </w:r>
      <w:r>
        <w:t>try</w:t>
      </w:r>
      <w:r>
        <w:rPr>
          <w:spacing w:val="-2"/>
        </w:rPr>
        <w:t xml:space="preserve"> </w:t>
      </w:r>
      <w:r>
        <w:t>to</w:t>
      </w:r>
      <w:r>
        <w:rPr>
          <w:spacing w:val="-2"/>
        </w:rPr>
        <w:t xml:space="preserve"> </w:t>
      </w:r>
      <w:r>
        <w:t>reduce substance use</w:t>
      </w:r>
      <w:r>
        <w:rPr>
          <w:spacing w:val="-2"/>
        </w:rPr>
        <w:t xml:space="preserve"> </w:t>
      </w:r>
      <w:r>
        <w:t>with</w:t>
      </w:r>
      <w:r>
        <w:rPr>
          <w:spacing w:val="-6"/>
        </w:rPr>
        <w:t xml:space="preserve"> </w:t>
      </w:r>
      <w:r>
        <w:t>careful</w:t>
      </w:r>
      <w:r>
        <w:rPr>
          <w:spacing w:val="-3"/>
        </w:rPr>
        <w:t xml:space="preserve"> </w:t>
      </w:r>
      <w:r>
        <w:t>monitoring) may be the only acceptable goal for some clients who are in Precontemplation. Don’t assume that clients</w:t>
      </w:r>
      <w:r>
        <w:rPr>
          <w:spacing w:val="-3"/>
        </w:rPr>
        <w:t xml:space="preserve"> </w:t>
      </w:r>
      <w:r>
        <w:t>will</w:t>
      </w:r>
      <w:r>
        <w:rPr>
          <w:spacing w:val="-1"/>
        </w:rPr>
        <w:t xml:space="preserve"> </w:t>
      </w:r>
      <w:r>
        <w:t>fail</w:t>
      </w:r>
      <w:r>
        <w:rPr>
          <w:spacing w:val="-1"/>
        </w:rPr>
        <w:t xml:space="preserve"> </w:t>
      </w:r>
      <w:r>
        <w:t>at</w:t>
      </w:r>
      <w:r>
        <w:rPr>
          <w:spacing w:val="-3"/>
        </w:rPr>
        <w:t xml:space="preserve"> </w:t>
      </w:r>
      <w:r>
        <w:t>moderation; however,</w:t>
      </w:r>
      <w:r>
        <w:rPr>
          <w:spacing w:val="-1"/>
        </w:rPr>
        <w:t xml:space="preserve"> </w:t>
      </w:r>
      <w:r>
        <w:t>if</w:t>
      </w:r>
      <w:r>
        <w:rPr>
          <w:spacing w:val="-4"/>
        </w:rPr>
        <w:t xml:space="preserve"> </w:t>
      </w:r>
      <w:r>
        <w:t>the</w:t>
      </w:r>
      <w:r>
        <w:rPr>
          <w:spacing w:val="-3"/>
        </w:rPr>
        <w:t xml:space="preserve"> </w:t>
      </w:r>
      <w:r>
        <w:t>moderation</w:t>
      </w:r>
      <w:r>
        <w:rPr>
          <w:spacing w:val="-2"/>
        </w:rPr>
        <w:t xml:space="preserve"> </w:t>
      </w:r>
      <w:r>
        <w:t>experiment</w:t>
      </w:r>
      <w:r>
        <w:rPr>
          <w:spacing w:val="-3"/>
        </w:rPr>
        <w:t xml:space="preserve"> </w:t>
      </w:r>
      <w:r>
        <w:t>fails</w:t>
      </w:r>
      <w:r>
        <w:rPr>
          <w:spacing w:val="-1"/>
        </w:rPr>
        <w:t xml:space="preserve"> </w:t>
      </w:r>
      <w:r>
        <w:t>after</w:t>
      </w:r>
      <w:r>
        <w:rPr>
          <w:spacing w:val="-3"/>
        </w:rPr>
        <w:t xml:space="preserve"> </w:t>
      </w:r>
      <w:r>
        <w:t>a</w:t>
      </w:r>
      <w:r>
        <w:rPr>
          <w:spacing w:val="-1"/>
        </w:rPr>
        <w:t xml:space="preserve"> </w:t>
      </w:r>
      <w:r>
        <w:t xml:space="preserve">reasonable effort, try to get clients to reconsider abstinence </w:t>
      </w:r>
      <w:r>
        <w:t>as a change goal. Clients can gain insight into their ability to</w:t>
      </w:r>
      <w:r>
        <w:rPr>
          <w:spacing w:val="-1"/>
        </w:rPr>
        <w:t xml:space="preserve"> </w:t>
      </w:r>
      <w:r>
        <w:t>reduce</w:t>
      </w:r>
      <w:r>
        <w:rPr>
          <w:spacing w:val="-4"/>
        </w:rPr>
        <w:t xml:space="preserve"> </w:t>
      </w:r>
      <w:r>
        <w:t>their</w:t>
      </w:r>
      <w:r>
        <w:rPr>
          <w:spacing w:val="-2"/>
        </w:rPr>
        <w:t xml:space="preserve"> </w:t>
      </w:r>
      <w:r>
        <w:t>substance</w:t>
      </w:r>
      <w:r>
        <w:rPr>
          <w:spacing w:val="-1"/>
        </w:rPr>
        <w:t xml:space="preserve"> </w:t>
      </w:r>
      <w:r>
        <w:t>use,</w:t>
      </w:r>
      <w:r>
        <w:rPr>
          <w:spacing w:val="-2"/>
        </w:rPr>
        <w:t xml:space="preserve"> </w:t>
      </w:r>
      <w:r>
        <w:t>and</w:t>
      </w:r>
      <w:r>
        <w:rPr>
          <w:spacing w:val="-5"/>
        </w:rPr>
        <w:t xml:space="preserve"> </w:t>
      </w:r>
      <w:r>
        <w:t>many</w:t>
      </w:r>
      <w:r>
        <w:rPr>
          <w:spacing w:val="-3"/>
        </w:rPr>
        <w:t xml:space="preserve"> </w:t>
      </w:r>
      <w:r>
        <w:t>will</w:t>
      </w:r>
      <w:r>
        <w:rPr>
          <w:spacing w:val="-2"/>
        </w:rPr>
        <w:t xml:space="preserve"> </w:t>
      </w:r>
      <w:r>
        <w:t>ultimately</w:t>
      </w:r>
      <w:r>
        <w:rPr>
          <w:spacing w:val="-1"/>
        </w:rPr>
        <w:t xml:space="preserve"> </w:t>
      </w:r>
      <w:r>
        <w:t>decide</w:t>
      </w:r>
      <w:r>
        <w:rPr>
          <w:spacing w:val="-4"/>
        </w:rPr>
        <w:t xml:space="preserve"> </w:t>
      </w:r>
      <w:r>
        <w:t>to</w:t>
      </w:r>
      <w:r>
        <w:rPr>
          <w:spacing w:val="-1"/>
        </w:rPr>
        <w:t xml:space="preserve"> </w:t>
      </w:r>
      <w:r>
        <w:t>abstain</w:t>
      </w:r>
      <w:r>
        <w:rPr>
          <w:spacing w:val="-2"/>
        </w:rPr>
        <w:t xml:space="preserve"> </w:t>
      </w:r>
      <w:r>
        <w:t>if</w:t>
      </w:r>
      <w:r>
        <w:rPr>
          <w:spacing w:val="-5"/>
        </w:rPr>
        <w:t xml:space="preserve"> </w:t>
      </w:r>
      <w:r>
        <w:t>they</w:t>
      </w:r>
      <w:r>
        <w:rPr>
          <w:spacing w:val="-1"/>
        </w:rPr>
        <w:t xml:space="preserve"> </w:t>
      </w:r>
      <w:r>
        <w:t>cannot</w:t>
      </w:r>
      <w:r>
        <w:rPr>
          <w:spacing w:val="-1"/>
        </w:rPr>
        <w:t xml:space="preserve"> </w:t>
      </w:r>
      <w:r>
        <w:t>reduce</w:t>
      </w:r>
      <w:r>
        <w:rPr>
          <w:spacing w:val="-1"/>
        </w:rPr>
        <w:t xml:space="preserve"> </w:t>
      </w:r>
      <w:r>
        <w:t>their use without negative consequences. Research indicates that clients whose goal is moderation have larger social networks of people who drink daily (Gueorguieva et al., 2014). Therefore, you should address clients’ drinking social network as a potentia</w:t>
      </w:r>
      <w:r>
        <w:t>l barrier to moderation as a long-term goal.</w:t>
      </w:r>
    </w:p>
    <w:p w14:paraId="34A99ABC" w14:textId="77777777" w:rsidR="00DB6E1F" w:rsidRDefault="00F666A6">
      <w:pPr>
        <w:pStyle w:val="Heading2"/>
        <w:spacing w:before="165"/>
      </w:pPr>
      <w:bookmarkStart w:id="172" w:name="Develop_a_Change_Plan"/>
      <w:bookmarkStart w:id="173" w:name="_bookmark36"/>
      <w:bookmarkEnd w:id="172"/>
      <w:bookmarkEnd w:id="173"/>
      <w:r>
        <w:t>Develop</w:t>
      </w:r>
      <w:r>
        <w:rPr>
          <w:spacing w:val="-3"/>
        </w:rPr>
        <w:t xml:space="preserve"> </w:t>
      </w:r>
      <w:r>
        <w:t>a</w:t>
      </w:r>
      <w:r>
        <w:rPr>
          <w:spacing w:val="-2"/>
        </w:rPr>
        <w:t xml:space="preserve"> </w:t>
      </w:r>
      <w:r>
        <w:t>Change</w:t>
      </w:r>
      <w:r>
        <w:rPr>
          <w:spacing w:val="-1"/>
        </w:rPr>
        <w:t xml:space="preserve"> </w:t>
      </w:r>
      <w:r>
        <w:rPr>
          <w:spacing w:val="-4"/>
        </w:rPr>
        <w:t>Plan</w:t>
      </w:r>
    </w:p>
    <w:p w14:paraId="69A1F0F1" w14:textId="77777777" w:rsidR="00DB6E1F" w:rsidRDefault="00F666A6">
      <w:pPr>
        <w:spacing w:before="152"/>
        <w:ind w:left="1439" w:right="1444"/>
      </w:pPr>
      <w:r>
        <w:rPr>
          <w:b/>
        </w:rPr>
        <w:t xml:space="preserve">Your final step in readying the client to act is to work with him or her in creating a plan for change. </w:t>
      </w:r>
      <w:r>
        <w:t>(Chapter</w:t>
      </w:r>
      <w:r>
        <w:rPr>
          <w:spacing w:val="-4"/>
        </w:rPr>
        <w:t xml:space="preserve"> </w:t>
      </w:r>
      <w:r>
        <w:t>3</w:t>
      </w:r>
      <w:r>
        <w:rPr>
          <w:spacing w:val="-1"/>
        </w:rPr>
        <w:t xml:space="preserve"> </w:t>
      </w:r>
      <w:r>
        <w:t>provides</w:t>
      </w:r>
      <w:r>
        <w:rPr>
          <w:spacing w:val="-4"/>
        </w:rPr>
        <w:t xml:space="preserve"> </w:t>
      </w:r>
      <w:r>
        <w:t>a</w:t>
      </w:r>
      <w:r>
        <w:rPr>
          <w:spacing w:val="-2"/>
        </w:rPr>
        <w:t xml:space="preserve"> </w:t>
      </w:r>
      <w:r>
        <w:t>summary</w:t>
      </w:r>
      <w:r>
        <w:rPr>
          <w:spacing w:val="-3"/>
        </w:rPr>
        <w:t xml:space="preserve"> </w:t>
      </w:r>
      <w:r>
        <w:t>of</w:t>
      </w:r>
      <w:r>
        <w:rPr>
          <w:spacing w:val="-4"/>
        </w:rPr>
        <w:t xml:space="preserve"> </w:t>
      </w:r>
      <w:r>
        <w:t>MI-specific</w:t>
      </w:r>
      <w:r>
        <w:rPr>
          <w:spacing w:val="-2"/>
        </w:rPr>
        <w:t xml:space="preserve"> </w:t>
      </w:r>
      <w:r>
        <w:t>strategies</w:t>
      </w:r>
      <w:r>
        <w:rPr>
          <w:spacing w:val="-2"/>
        </w:rPr>
        <w:t xml:space="preserve"> </w:t>
      </w:r>
      <w:r>
        <w:t>for</w:t>
      </w:r>
      <w:r>
        <w:rPr>
          <w:spacing w:val="-2"/>
        </w:rPr>
        <w:t xml:space="preserve"> </w:t>
      </w:r>
      <w:r>
        <w:t>developing</w:t>
      </w:r>
      <w:r>
        <w:rPr>
          <w:spacing w:val="-3"/>
        </w:rPr>
        <w:t xml:space="preserve"> </w:t>
      </w:r>
      <w:r>
        <w:t>a</w:t>
      </w:r>
      <w:r>
        <w:rPr>
          <w:spacing w:val="-2"/>
        </w:rPr>
        <w:t xml:space="preserve"> </w:t>
      </w:r>
      <w:r>
        <w:t>change</w:t>
      </w:r>
      <w:r>
        <w:rPr>
          <w:spacing w:val="-4"/>
        </w:rPr>
        <w:t xml:space="preserve"> </w:t>
      </w:r>
      <w:r>
        <w:t>plan.</w:t>
      </w:r>
      <w:r>
        <w:t>)</w:t>
      </w:r>
      <w:r>
        <w:rPr>
          <w:spacing w:val="-3"/>
        </w:rPr>
        <w:t xml:space="preserve"> </w:t>
      </w:r>
      <w:r>
        <w:t>Think</w:t>
      </w:r>
      <w:r>
        <w:rPr>
          <w:spacing w:val="-2"/>
        </w:rPr>
        <w:t xml:space="preserve"> </w:t>
      </w:r>
      <w:r>
        <w:t>of</w:t>
      </w:r>
      <w:r>
        <w:rPr>
          <w:spacing w:val="-5"/>
        </w:rPr>
        <w:t xml:space="preserve"> </w:t>
      </w:r>
      <w:r>
        <w:t>a</w:t>
      </w:r>
      <w:r>
        <w:rPr>
          <w:spacing w:val="-2"/>
        </w:rPr>
        <w:t xml:space="preserve"> </w:t>
      </w:r>
      <w:r>
        <w:t>change plan as a roadmap for the client to reach his or her change goals. A solid plan for change enhances the client’s self-efficacy and provides an opportunity to consider potential barriers and the likely outcomes of each change strategy. A</w:t>
      </w:r>
      <w:r>
        <w:t>s mentioned in Chapter 3, some clients need no structured change plan.</w:t>
      </w:r>
    </w:p>
    <w:p w14:paraId="04A534CE" w14:textId="77777777" w:rsidR="00DB6E1F" w:rsidRDefault="00F666A6">
      <w:pPr>
        <w:pStyle w:val="Heading5"/>
        <w:spacing w:before="160"/>
        <w:ind w:left="1439"/>
      </w:pPr>
      <w:r>
        <w:t>Use</w:t>
      </w:r>
      <w:r>
        <w:rPr>
          <w:spacing w:val="-6"/>
        </w:rPr>
        <w:t xml:space="preserve"> </w:t>
      </w:r>
      <w:r>
        <w:t>these</w:t>
      </w:r>
      <w:r>
        <w:rPr>
          <w:spacing w:val="-5"/>
        </w:rPr>
        <w:t xml:space="preserve"> </w:t>
      </w:r>
      <w:r>
        <w:t>strategies</w:t>
      </w:r>
      <w:r>
        <w:rPr>
          <w:spacing w:val="-4"/>
        </w:rPr>
        <w:t xml:space="preserve"> </w:t>
      </w:r>
      <w:r>
        <w:t>to</w:t>
      </w:r>
      <w:r>
        <w:rPr>
          <w:spacing w:val="-4"/>
        </w:rPr>
        <w:t xml:space="preserve"> </w:t>
      </w:r>
      <w:r>
        <w:t>work</w:t>
      </w:r>
      <w:r>
        <w:rPr>
          <w:spacing w:val="-2"/>
        </w:rPr>
        <w:t xml:space="preserve"> </w:t>
      </w:r>
      <w:r>
        <w:t>with</w:t>
      </w:r>
      <w:r>
        <w:rPr>
          <w:spacing w:val="-5"/>
        </w:rPr>
        <w:t xml:space="preserve"> </w:t>
      </w:r>
      <w:r>
        <w:t>clients</w:t>
      </w:r>
      <w:r>
        <w:rPr>
          <w:spacing w:val="-5"/>
        </w:rPr>
        <w:t xml:space="preserve"> </w:t>
      </w:r>
      <w:r>
        <w:t>to</w:t>
      </w:r>
      <w:r>
        <w:rPr>
          <w:spacing w:val="-3"/>
        </w:rPr>
        <w:t xml:space="preserve"> </w:t>
      </w:r>
      <w:r>
        <w:t>create</w:t>
      </w:r>
      <w:r>
        <w:rPr>
          <w:spacing w:val="-3"/>
        </w:rPr>
        <w:t xml:space="preserve"> </w:t>
      </w:r>
      <w:r>
        <w:t>a</w:t>
      </w:r>
      <w:r>
        <w:rPr>
          <w:spacing w:val="-4"/>
        </w:rPr>
        <w:t xml:space="preserve"> </w:t>
      </w:r>
      <w:r>
        <w:t>sound</w:t>
      </w:r>
      <w:r>
        <w:rPr>
          <w:spacing w:val="-3"/>
        </w:rPr>
        <w:t xml:space="preserve"> </w:t>
      </w:r>
      <w:r>
        <w:t>change</w:t>
      </w:r>
      <w:r>
        <w:rPr>
          <w:spacing w:val="-3"/>
        </w:rPr>
        <w:t xml:space="preserve"> </w:t>
      </w:r>
      <w:r>
        <w:rPr>
          <w:spacing w:val="-2"/>
        </w:rPr>
        <w:t>plan:</w:t>
      </w:r>
    </w:p>
    <w:p w14:paraId="50E781DA" w14:textId="77777777" w:rsidR="00DB6E1F" w:rsidRDefault="00F666A6">
      <w:pPr>
        <w:pStyle w:val="ListParagraph"/>
        <w:numPr>
          <w:ilvl w:val="0"/>
          <w:numId w:val="92"/>
        </w:numPr>
        <w:tabs>
          <w:tab w:val="left" w:pos="1799"/>
          <w:tab w:val="left" w:pos="1800"/>
        </w:tabs>
        <w:ind w:left="1799"/>
        <w:rPr>
          <w:rFonts w:ascii="Symbol" w:hAnsi="Symbol"/>
        </w:rPr>
      </w:pPr>
      <w:r>
        <w:t>Elicit</w:t>
      </w:r>
      <w:r>
        <w:rPr>
          <w:spacing w:val="-4"/>
        </w:rPr>
        <w:t xml:space="preserve"> </w:t>
      </w:r>
      <w:r>
        <w:t>change</w:t>
      </w:r>
      <w:r>
        <w:rPr>
          <w:spacing w:val="-7"/>
        </w:rPr>
        <w:t xml:space="preserve"> </w:t>
      </w:r>
      <w:r>
        <w:t>strategies</w:t>
      </w:r>
      <w:r>
        <w:rPr>
          <w:spacing w:val="-4"/>
        </w:rPr>
        <w:t xml:space="preserve"> </w:t>
      </w:r>
      <w:r>
        <w:t>from</w:t>
      </w:r>
      <w:r>
        <w:rPr>
          <w:spacing w:val="-4"/>
        </w:rPr>
        <w:t xml:space="preserve"> </w:t>
      </w:r>
      <w:r>
        <w:t>the</w:t>
      </w:r>
      <w:r>
        <w:rPr>
          <w:spacing w:val="-3"/>
        </w:rPr>
        <w:t xml:space="preserve"> </w:t>
      </w:r>
      <w:r>
        <w:rPr>
          <w:spacing w:val="-2"/>
        </w:rPr>
        <w:t>client.</w:t>
      </w:r>
    </w:p>
    <w:p w14:paraId="5C6D58D1" w14:textId="77777777" w:rsidR="00DB6E1F" w:rsidRDefault="00F666A6">
      <w:pPr>
        <w:pStyle w:val="ListParagraph"/>
        <w:numPr>
          <w:ilvl w:val="0"/>
          <w:numId w:val="92"/>
        </w:numPr>
        <w:tabs>
          <w:tab w:val="left" w:pos="1799"/>
          <w:tab w:val="left" w:pos="1800"/>
        </w:tabs>
        <w:spacing w:before="61"/>
        <w:ind w:left="1799"/>
        <w:rPr>
          <w:rFonts w:ascii="Symbol" w:hAnsi="Symbol"/>
        </w:rPr>
      </w:pPr>
      <w:r>
        <w:t>Offer</w:t>
      </w:r>
      <w:r>
        <w:rPr>
          <w:spacing w:val="-2"/>
        </w:rPr>
        <w:t xml:space="preserve"> </w:t>
      </w:r>
      <w:r>
        <w:t>a</w:t>
      </w:r>
      <w:r>
        <w:rPr>
          <w:spacing w:val="-5"/>
        </w:rPr>
        <w:t xml:space="preserve"> </w:t>
      </w:r>
      <w:r>
        <w:t>menu</w:t>
      </w:r>
      <w:r>
        <w:rPr>
          <w:spacing w:val="-2"/>
        </w:rPr>
        <w:t xml:space="preserve"> </w:t>
      </w:r>
      <w:r>
        <w:t>of</w:t>
      </w:r>
      <w:r>
        <w:rPr>
          <w:spacing w:val="-5"/>
        </w:rPr>
        <w:t xml:space="preserve"> </w:t>
      </w:r>
      <w:r>
        <w:t>change</w:t>
      </w:r>
      <w:r>
        <w:rPr>
          <w:spacing w:val="-3"/>
        </w:rPr>
        <w:t xml:space="preserve"> </w:t>
      </w:r>
      <w:r>
        <w:rPr>
          <w:spacing w:val="-2"/>
        </w:rPr>
        <w:t>options.</w:t>
      </w:r>
    </w:p>
    <w:p w14:paraId="69F534D9" w14:textId="77777777" w:rsidR="00DB6E1F" w:rsidRDefault="00F666A6">
      <w:pPr>
        <w:pStyle w:val="ListParagraph"/>
        <w:numPr>
          <w:ilvl w:val="0"/>
          <w:numId w:val="92"/>
        </w:numPr>
        <w:tabs>
          <w:tab w:val="left" w:pos="1800"/>
          <w:tab w:val="left" w:pos="1801"/>
        </w:tabs>
        <w:ind w:left="1800"/>
        <w:rPr>
          <w:rFonts w:ascii="Symbol" w:hAnsi="Symbol"/>
        </w:rPr>
      </w:pPr>
      <w:r>
        <w:t>Negotiate</w:t>
      </w:r>
      <w:r>
        <w:rPr>
          <w:spacing w:val="-4"/>
        </w:rPr>
        <w:t xml:space="preserve"> </w:t>
      </w:r>
      <w:r>
        <w:t>a</w:t>
      </w:r>
      <w:r>
        <w:rPr>
          <w:spacing w:val="-5"/>
        </w:rPr>
        <w:t xml:space="preserve"> </w:t>
      </w:r>
      <w:r>
        <w:t>behavioral</w:t>
      </w:r>
      <w:r>
        <w:rPr>
          <w:spacing w:val="-4"/>
        </w:rPr>
        <w:t xml:space="preserve"> </w:t>
      </w:r>
      <w:r>
        <w:rPr>
          <w:spacing w:val="-2"/>
        </w:rPr>
        <w:t>contract.</w:t>
      </w:r>
    </w:p>
    <w:p w14:paraId="7EF94A63" w14:textId="77777777" w:rsidR="00DB6E1F" w:rsidRDefault="00F666A6">
      <w:pPr>
        <w:pStyle w:val="ListParagraph"/>
        <w:numPr>
          <w:ilvl w:val="0"/>
          <w:numId w:val="92"/>
        </w:numPr>
        <w:tabs>
          <w:tab w:val="left" w:pos="1800"/>
          <w:tab w:val="left" w:pos="1801"/>
        </w:tabs>
        <w:spacing w:before="58"/>
        <w:ind w:left="1800"/>
        <w:rPr>
          <w:rFonts w:ascii="Symbol" w:hAnsi="Symbol"/>
        </w:rPr>
      </w:pPr>
      <w:r>
        <w:t>Explore</w:t>
      </w:r>
      <w:r>
        <w:rPr>
          <w:spacing w:val="-5"/>
        </w:rPr>
        <w:t xml:space="preserve"> </w:t>
      </w:r>
      <w:r>
        <w:t>and</w:t>
      </w:r>
      <w:r>
        <w:rPr>
          <w:spacing w:val="-4"/>
        </w:rPr>
        <w:t xml:space="preserve"> </w:t>
      </w:r>
      <w:r>
        <w:t>lower</w:t>
      </w:r>
      <w:r>
        <w:rPr>
          <w:spacing w:val="-5"/>
        </w:rPr>
        <w:t xml:space="preserve"> </w:t>
      </w:r>
      <w:r>
        <w:t>barriers</w:t>
      </w:r>
      <w:r>
        <w:rPr>
          <w:spacing w:val="-5"/>
        </w:rPr>
        <w:t xml:space="preserve"> </w:t>
      </w:r>
      <w:r>
        <w:t>to</w:t>
      </w:r>
      <w:r>
        <w:rPr>
          <w:spacing w:val="-1"/>
        </w:rPr>
        <w:t xml:space="preserve"> </w:t>
      </w:r>
      <w:r>
        <w:rPr>
          <w:spacing w:val="-2"/>
        </w:rPr>
        <w:t>action.</w:t>
      </w:r>
    </w:p>
    <w:p w14:paraId="3CA7A4D6" w14:textId="77777777" w:rsidR="00DB6E1F" w:rsidRDefault="00F666A6">
      <w:pPr>
        <w:pStyle w:val="ListParagraph"/>
        <w:numPr>
          <w:ilvl w:val="0"/>
          <w:numId w:val="92"/>
        </w:numPr>
        <w:tabs>
          <w:tab w:val="left" w:pos="1800"/>
          <w:tab w:val="left" w:pos="1801"/>
        </w:tabs>
        <w:spacing w:before="59"/>
        <w:ind w:left="1800"/>
        <w:rPr>
          <w:rFonts w:ascii="Symbol" w:hAnsi="Symbol"/>
        </w:rPr>
      </w:pPr>
      <w:r>
        <w:t>Enlist</w:t>
      </w:r>
      <w:r>
        <w:rPr>
          <w:spacing w:val="-3"/>
        </w:rPr>
        <w:t xml:space="preserve"> </w:t>
      </w:r>
      <w:r>
        <w:t>social</w:t>
      </w:r>
      <w:r>
        <w:rPr>
          <w:spacing w:val="-3"/>
        </w:rPr>
        <w:t xml:space="preserve"> </w:t>
      </w:r>
      <w:r>
        <w:rPr>
          <w:spacing w:val="-2"/>
        </w:rPr>
        <w:t>support.</w:t>
      </w:r>
    </w:p>
    <w:p w14:paraId="066B7CBD" w14:textId="77777777" w:rsidR="00DB6E1F" w:rsidRDefault="00F666A6">
      <w:pPr>
        <w:pStyle w:val="Heading3"/>
        <w:spacing w:before="166"/>
      </w:pPr>
      <w:bookmarkStart w:id="174" w:name="Elicit_Change_Strategies_From_the_Client"/>
      <w:bookmarkEnd w:id="174"/>
      <w:r>
        <w:t>Elicit</w:t>
      </w:r>
      <w:r>
        <w:rPr>
          <w:spacing w:val="-10"/>
        </w:rPr>
        <w:t xml:space="preserve"> </w:t>
      </w:r>
      <w:r>
        <w:t>Change</w:t>
      </w:r>
      <w:r>
        <w:rPr>
          <w:spacing w:val="-6"/>
        </w:rPr>
        <w:t xml:space="preserve"> </w:t>
      </w:r>
      <w:r>
        <w:t>Strategies</w:t>
      </w:r>
      <w:r>
        <w:rPr>
          <w:spacing w:val="-8"/>
        </w:rPr>
        <w:t xml:space="preserve"> </w:t>
      </w:r>
      <w:r>
        <w:t>From</w:t>
      </w:r>
      <w:r>
        <w:rPr>
          <w:spacing w:val="-5"/>
        </w:rPr>
        <w:t xml:space="preserve"> </w:t>
      </w:r>
      <w:r>
        <w:t>the</w:t>
      </w:r>
      <w:r>
        <w:rPr>
          <w:spacing w:val="-7"/>
        </w:rPr>
        <w:t xml:space="preserve"> </w:t>
      </w:r>
      <w:r>
        <w:rPr>
          <w:spacing w:val="-2"/>
        </w:rPr>
        <w:t>Client</w:t>
      </w:r>
    </w:p>
    <w:p w14:paraId="649D0DB7" w14:textId="77777777" w:rsidR="00DB6E1F" w:rsidRDefault="00DB6E1F">
      <w:pPr>
        <w:sectPr w:rsidR="00DB6E1F">
          <w:pgSz w:w="12240" w:h="15840"/>
          <w:pgMar w:top="1200" w:right="0" w:bottom="780" w:left="0" w:header="763" w:footer="585" w:gutter="0"/>
          <w:cols w:space="720"/>
        </w:sectPr>
      </w:pPr>
    </w:p>
    <w:p w14:paraId="78240204" w14:textId="77777777" w:rsidR="00DB6E1F" w:rsidRDefault="00DB6E1F">
      <w:pPr>
        <w:pStyle w:val="BodyText"/>
        <w:spacing w:before="8"/>
        <w:rPr>
          <w:b/>
          <w:sz w:val="14"/>
        </w:rPr>
      </w:pPr>
    </w:p>
    <w:p w14:paraId="186E39CF" w14:textId="77777777" w:rsidR="00DB6E1F" w:rsidRDefault="00F666A6">
      <w:pPr>
        <w:spacing w:before="56"/>
        <w:ind w:left="1439" w:right="1444"/>
      </w:pPr>
      <w:r>
        <w:rPr>
          <w:b/>
        </w:rPr>
        <w:t>Work</w:t>
      </w:r>
      <w:r>
        <w:rPr>
          <w:b/>
          <w:spacing w:val="-2"/>
        </w:rPr>
        <w:t xml:space="preserve"> </w:t>
      </w:r>
      <w:r>
        <w:rPr>
          <w:b/>
        </w:rPr>
        <w:t>with</w:t>
      </w:r>
      <w:r>
        <w:rPr>
          <w:b/>
          <w:spacing w:val="-3"/>
        </w:rPr>
        <w:t xml:space="preserve"> </w:t>
      </w:r>
      <w:r>
        <w:rPr>
          <w:b/>
        </w:rPr>
        <w:t>clients</w:t>
      </w:r>
      <w:r>
        <w:rPr>
          <w:b/>
          <w:spacing w:val="-1"/>
        </w:rPr>
        <w:t xml:space="preserve"> </w:t>
      </w:r>
      <w:r>
        <w:rPr>
          <w:b/>
        </w:rPr>
        <w:t>to</w:t>
      </w:r>
      <w:r>
        <w:rPr>
          <w:b/>
          <w:spacing w:val="-3"/>
        </w:rPr>
        <w:t xml:space="preserve"> </w:t>
      </w:r>
      <w:r>
        <w:rPr>
          <w:b/>
        </w:rPr>
        <w:t>develop</w:t>
      </w:r>
      <w:r>
        <w:rPr>
          <w:b/>
          <w:spacing w:val="-3"/>
        </w:rPr>
        <w:t xml:space="preserve"> </w:t>
      </w:r>
      <w:r>
        <w:rPr>
          <w:b/>
        </w:rPr>
        <w:t>a</w:t>
      </w:r>
      <w:r>
        <w:rPr>
          <w:b/>
          <w:spacing w:val="-3"/>
        </w:rPr>
        <w:t xml:space="preserve"> </w:t>
      </w:r>
      <w:r>
        <w:rPr>
          <w:b/>
        </w:rPr>
        <w:t>change</w:t>
      </w:r>
      <w:r>
        <w:rPr>
          <w:b/>
          <w:spacing w:val="-3"/>
        </w:rPr>
        <w:t xml:space="preserve"> </w:t>
      </w:r>
      <w:r>
        <w:rPr>
          <w:b/>
        </w:rPr>
        <w:t>plan</w:t>
      </w:r>
      <w:r>
        <w:rPr>
          <w:b/>
          <w:spacing w:val="-1"/>
        </w:rPr>
        <w:t xml:space="preserve"> </w:t>
      </w:r>
      <w:r>
        <w:rPr>
          <w:b/>
        </w:rPr>
        <w:t>by</w:t>
      </w:r>
      <w:r>
        <w:rPr>
          <w:b/>
          <w:spacing w:val="-1"/>
        </w:rPr>
        <w:t xml:space="preserve"> </w:t>
      </w:r>
      <w:r>
        <w:rPr>
          <w:b/>
        </w:rPr>
        <w:t>eliciting</w:t>
      </w:r>
      <w:r>
        <w:rPr>
          <w:b/>
          <w:spacing w:val="-1"/>
        </w:rPr>
        <w:t xml:space="preserve"> </w:t>
      </w:r>
      <w:r>
        <w:rPr>
          <w:b/>
        </w:rPr>
        <w:t>their</w:t>
      </w:r>
      <w:r>
        <w:rPr>
          <w:b/>
          <w:spacing w:val="-4"/>
        </w:rPr>
        <w:t xml:space="preserve"> </w:t>
      </w:r>
      <w:r>
        <w:rPr>
          <w:b/>
        </w:rPr>
        <w:t>own</w:t>
      </w:r>
      <w:r>
        <w:rPr>
          <w:b/>
          <w:spacing w:val="-5"/>
        </w:rPr>
        <w:t xml:space="preserve"> </w:t>
      </w:r>
      <w:r>
        <w:rPr>
          <w:b/>
        </w:rPr>
        <w:t>ideas</w:t>
      </w:r>
      <w:r>
        <w:rPr>
          <w:b/>
          <w:spacing w:val="-1"/>
        </w:rPr>
        <w:t xml:space="preserve"> </w:t>
      </w:r>
      <w:r>
        <w:rPr>
          <w:b/>
        </w:rPr>
        <w:t>about</w:t>
      </w:r>
      <w:r>
        <w:rPr>
          <w:b/>
          <w:spacing w:val="-2"/>
        </w:rPr>
        <w:t xml:space="preserve"> </w:t>
      </w:r>
      <w:r>
        <w:rPr>
          <w:b/>
        </w:rPr>
        <w:t>what</w:t>
      </w:r>
      <w:r>
        <w:rPr>
          <w:b/>
          <w:spacing w:val="-2"/>
        </w:rPr>
        <w:t xml:space="preserve"> </w:t>
      </w:r>
      <w:r>
        <w:rPr>
          <w:b/>
        </w:rPr>
        <w:t>will</w:t>
      </w:r>
      <w:r>
        <w:rPr>
          <w:b/>
          <w:spacing w:val="-3"/>
        </w:rPr>
        <w:t xml:space="preserve"> </w:t>
      </w:r>
      <w:r>
        <w:rPr>
          <w:b/>
        </w:rPr>
        <w:t>work</w:t>
      </w:r>
      <w:r>
        <w:rPr>
          <w:b/>
          <w:spacing w:val="-2"/>
        </w:rPr>
        <w:t xml:space="preserve"> </w:t>
      </w:r>
      <w:r>
        <w:rPr>
          <w:b/>
        </w:rPr>
        <w:t>for</w:t>
      </w:r>
      <w:r>
        <w:rPr>
          <w:b/>
          <w:spacing w:val="-4"/>
        </w:rPr>
        <w:t xml:space="preserve"> </w:t>
      </w:r>
      <w:r>
        <w:rPr>
          <w:b/>
        </w:rPr>
        <w:t xml:space="preserve">them. </w:t>
      </w:r>
      <w:r>
        <w:t>This approach is a particularly helpful if clients have made past attempts to address substance use behaviors or have been in treatment before. For example, you might begin with a reflection of commitment talk and follow with an open question: “You clearly</w:t>
      </w:r>
      <w:r>
        <w:t xml:space="preserve"> think that giving up cocaine is the best thing for you right now. What steps do you think you can take to reach this goal?”</w:t>
      </w:r>
    </w:p>
    <w:p w14:paraId="57AC7278" w14:textId="77777777" w:rsidR="00DB6E1F" w:rsidRDefault="00F666A6">
      <w:pPr>
        <w:spacing w:before="159"/>
        <w:ind w:left="1439"/>
      </w:pPr>
      <w:r>
        <w:rPr>
          <w:b/>
        </w:rPr>
        <w:t>Help</w:t>
      </w:r>
      <w:r>
        <w:rPr>
          <w:b/>
          <w:spacing w:val="-7"/>
        </w:rPr>
        <w:t xml:space="preserve"> </w:t>
      </w:r>
      <w:r>
        <w:rPr>
          <w:b/>
        </w:rPr>
        <w:t>clients</w:t>
      </w:r>
      <w:r>
        <w:rPr>
          <w:b/>
          <w:spacing w:val="-5"/>
        </w:rPr>
        <w:t xml:space="preserve"> </w:t>
      </w:r>
      <w:r>
        <w:rPr>
          <w:b/>
        </w:rPr>
        <w:t>create</w:t>
      </w:r>
      <w:r>
        <w:rPr>
          <w:b/>
          <w:spacing w:val="-4"/>
        </w:rPr>
        <w:t xml:space="preserve"> </w:t>
      </w:r>
      <w:r>
        <w:rPr>
          <w:b/>
        </w:rPr>
        <w:t>plans</w:t>
      </w:r>
      <w:r>
        <w:rPr>
          <w:b/>
          <w:spacing w:val="-5"/>
        </w:rPr>
        <w:t xml:space="preserve"> </w:t>
      </w:r>
      <w:r>
        <w:rPr>
          <w:b/>
        </w:rPr>
        <w:t>to</w:t>
      </w:r>
      <w:r>
        <w:rPr>
          <w:b/>
          <w:spacing w:val="-5"/>
        </w:rPr>
        <w:t xml:space="preserve"> </w:t>
      </w:r>
      <w:r>
        <w:rPr>
          <w:b/>
        </w:rPr>
        <w:t>match</w:t>
      </w:r>
      <w:r>
        <w:rPr>
          <w:b/>
          <w:spacing w:val="-4"/>
        </w:rPr>
        <w:t xml:space="preserve"> </w:t>
      </w:r>
      <w:r>
        <w:rPr>
          <w:b/>
        </w:rPr>
        <w:t>their</w:t>
      </w:r>
      <w:r>
        <w:rPr>
          <w:b/>
          <w:spacing w:val="-4"/>
        </w:rPr>
        <w:t xml:space="preserve"> </w:t>
      </w:r>
      <w:r>
        <w:rPr>
          <w:b/>
        </w:rPr>
        <w:t>concerns</w:t>
      </w:r>
      <w:r>
        <w:rPr>
          <w:b/>
          <w:spacing w:val="-6"/>
        </w:rPr>
        <w:t xml:space="preserve"> </w:t>
      </w:r>
      <w:r>
        <w:rPr>
          <w:b/>
        </w:rPr>
        <w:t>and</w:t>
      </w:r>
      <w:r>
        <w:rPr>
          <w:b/>
          <w:spacing w:val="-4"/>
        </w:rPr>
        <w:t xml:space="preserve"> </w:t>
      </w:r>
      <w:r>
        <w:rPr>
          <w:b/>
        </w:rPr>
        <w:t>goals.</w:t>
      </w:r>
      <w:r>
        <w:rPr>
          <w:b/>
          <w:spacing w:val="-2"/>
        </w:rPr>
        <w:t xml:space="preserve"> </w:t>
      </w:r>
      <w:r>
        <w:t>Plans</w:t>
      </w:r>
      <w:r>
        <w:rPr>
          <w:spacing w:val="-5"/>
        </w:rPr>
        <w:t xml:space="preserve"> </w:t>
      </w:r>
      <w:r>
        <w:t>will</w:t>
      </w:r>
      <w:r>
        <w:rPr>
          <w:spacing w:val="-4"/>
        </w:rPr>
        <w:t xml:space="preserve"> </w:t>
      </w:r>
      <w:r>
        <w:t>differ</w:t>
      </w:r>
      <w:r>
        <w:rPr>
          <w:spacing w:val="-3"/>
        </w:rPr>
        <w:t xml:space="preserve"> </w:t>
      </w:r>
      <w:r>
        <w:t>among</w:t>
      </w:r>
      <w:r>
        <w:rPr>
          <w:spacing w:val="-4"/>
        </w:rPr>
        <w:t xml:space="preserve"> </w:t>
      </w:r>
      <w:r>
        <w:rPr>
          <w:spacing w:val="-2"/>
        </w:rPr>
        <w:t>clients:</w:t>
      </w:r>
    </w:p>
    <w:p w14:paraId="0DB04F3F" w14:textId="77777777" w:rsidR="00DB6E1F" w:rsidRDefault="00F666A6">
      <w:pPr>
        <w:pStyle w:val="ListParagraph"/>
        <w:numPr>
          <w:ilvl w:val="0"/>
          <w:numId w:val="92"/>
        </w:numPr>
        <w:tabs>
          <w:tab w:val="left" w:pos="1799"/>
          <w:tab w:val="left" w:pos="1800"/>
        </w:tabs>
        <w:spacing w:before="61"/>
        <w:ind w:left="1799"/>
        <w:rPr>
          <w:rFonts w:ascii="Symbol" w:hAnsi="Symbol"/>
        </w:rPr>
      </w:pPr>
      <w:r>
        <w:t>The</w:t>
      </w:r>
      <w:r>
        <w:rPr>
          <w:spacing w:val="-4"/>
        </w:rPr>
        <w:t xml:space="preserve"> </w:t>
      </w:r>
      <w:r>
        <w:t>plan</w:t>
      </w:r>
      <w:r>
        <w:rPr>
          <w:spacing w:val="-3"/>
        </w:rPr>
        <w:t xml:space="preserve"> </w:t>
      </w:r>
      <w:r>
        <w:t>can</w:t>
      </w:r>
      <w:r>
        <w:rPr>
          <w:spacing w:val="-3"/>
        </w:rPr>
        <w:t xml:space="preserve"> </w:t>
      </w:r>
      <w:r>
        <w:t>be</w:t>
      </w:r>
      <w:r>
        <w:rPr>
          <w:spacing w:val="-5"/>
        </w:rPr>
        <w:t xml:space="preserve"> </w:t>
      </w:r>
      <w:r>
        <w:t>very</w:t>
      </w:r>
      <w:r>
        <w:rPr>
          <w:spacing w:val="-4"/>
        </w:rPr>
        <w:t xml:space="preserve"> </w:t>
      </w:r>
      <w:r>
        <w:t>general</w:t>
      </w:r>
      <w:r>
        <w:rPr>
          <w:spacing w:val="-2"/>
        </w:rPr>
        <w:t xml:space="preserve"> </w:t>
      </w:r>
      <w:r>
        <w:t>or</w:t>
      </w:r>
      <w:r>
        <w:rPr>
          <w:spacing w:val="-4"/>
        </w:rPr>
        <w:t xml:space="preserve"> </w:t>
      </w:r>
      <w:r>
        <w:t>very</w:t>
      </w:r>
      <w:r>
        <w:rPr>
          <w:spacing w:val="-2"/>
        </w:rPr>
        <w:t xml:space="preserve"> </w:t>
      </w:r>
      <w:r>
        <w:t>specific</w:t>
      </w:r>
      <w:r>
        <w:rPr>
          <w:spacing w:val="-2"/>
        </w:rPr>
        <w:t xml:space="preserve"> </w:t>
      </w:r>
      <w:r>
        <w:t>and</w:t>
      </w:r>
      <w:r>
        <w:rPr>
          <w:spacing w:val="-4"/>
        </w:rPr>
        <w:t xml:space="preserve"> </w:t>
      </w:r>
      <w:r>
        <w:t>can</w:t>
      </w:r>
      <w:r>
        <w:rPr>
          <w:spacing w:val="-5"/>
        </w:rPr>
        <w:t xml:space="preserve"> </w:t>
      </w:r>
      <w:r>
        <w:t>be</w:t>
      </w:r>
      <w:r>
        <w:rPr>
          <w:spacing w:val="-1"/>
        </w:rPr>
        <w:t xml:space="preserve"> </w:t>
      </w:r>
      <w:r>
        <w:t>short</w:t>
      </w:r>
      <w:r>
        <w:rPr>
          <w:spacing w:val="-4"/>
        </w:rPr>
        <w:t xml:space="preserve"> </w:t>
      </w:r>
      <w:r>
        <w:t>term</w:t>
      </w:r>
      <w:r>
        <w:rPr>
          <w:spacing w:val="-3"/>
        </w:rPr>
        <w:t xml:space="preserve"> </w:t>
      </w:r>
      <w:r>
        <w:t>or</w:t>
      </w:r>
      <w:r>
        <w:rPr>
          <w:spacing w:val="-2"/>
        </w:rPr>
        <w:t xml:space="preserve"> </w:t>
      </w:r>
      <w:r>
        <w:t>long</w:t>
      </w:r>
      <w:r>
        <w:rPr>
          <w:spacing w:val="-3"/>
        </w:rPr>
        <w:t xml:space="preserve"> </w:t>
      </w:r>
      <w:r>
        <w:rPr>
          <w:spacing w:val="-2"/>
        </w:rPr>
        <w:t>term.</w:t>
      </w:r>
    </w:p>
    <w:p w14:paraId="3FDCDBB5" w14:textId="77777777" w:rsidR="00DB6E1F" w:rsidRDefault="00F666A6">
      <w:pPr>
        <w:pStyle w:val="ListParagraph"/>
        <w:numPr>
          <w:ilvl w:val="0"/>
          <w:numId w:val="92"/>
        </w:numPr>
        <w:tabs>
          <w:tab w:val="left" w:pos="1800"/>
          <w:tab w:val="left" w:pos="1801"/>
        </w:tabs>
        <w:ind w:left="1799" w:right="1454" w:hanging="360"/>
        <w:rPr>
          <w:rFonts w:ascii="Symbol" w:hAnsi="Symbol"/>
        </w:rPr>
      </w:pPr>
      <w:r>
        <w:t>Some clients can commit only to a very limited plan, like going home, thinking about change, and returning</w:t>
      </w:r>
      <w:r>
        <w:rPr>
          <w:spacing w:val="-3"/>
        </w:rPr>
        <w:t xml:space="preserve"> </w:t>
      </w:r>
      <w:r>
        <w:t>on</w:t>
      </w:r>
      <w:r>
        <w:rPr>
          <w:spacing w:val="-3"/>
        </w:rPr>
        <w:t xml:space="preserve"> </w:t>
      </w:r>
      <w:r>
        <w:t>a</w:t>
      </w:r>
      <w:r>
        <w:rPr>
          <w:spacing w:val="-5"/>
        </w:rPr>
        <w:t xml:space="preserve"> </w:t>
      </w:r>
      <w:r>
        <w:t>specific</w:t>
      </w:r>
      <w:r>
        <w:rPr>
          <w:spacing w:val="-4"/>
        </w:rPr>
        <w:t xml:space="preserve"> </w:t>
      </w:r>
      <w:r>
        <w:t>date</w:t>
      </w:r>
      <w:r>
        <w:rPr>
          <w:spacing w:val="-4"/>
        </w:rPr>
        <w:t xml:space="preserve"> </w:t>
      </w:r>
      <w:r>
        <w:t>to</w:t>
      </w:r>
      <w:r>
        <w:rPr>
          <w:spacing w:val="-3"/>
        </w:rPr>
        <w:t xml:space="preserve"> </w:t>
      </w:r>
      <w:r>
        <w:t>talk</w:t>
      </w:r>
      <w:r>
        <w:rPr>
          <w:spacing w:val="-1"/>
        </w:rPr>
        <w:t xml:space="preserve"> </w:t>
      </w:r>
      <w:r>
        <w:t>further.</w:t>
      </w:r>
      <w:r>
        <w:rPr>
          <w:spacing w:val="-2"/>
        </w:rPr>
        <w:t xml:space="preserve"> </w:t>
      </w:r>
      <w:r>
        <w:t>Even</w:t>
      </w:r>
      <w:r>
        <w:rPr>
          <w:spacing w:val="-3"/>
        </w:rPr>
        <w:t xml:space="preserve"> </w:t>
      </w:r>
      <w:r>
        <w:t>a</w:t>
      </w:r>
      <w:r>
        <w:rPr>
          <w:spacing w:val="-5"/>
        </w:rPr>
        <w:t xml:space="preserve"> </w:t>
      </w:r>
      <w:r>
        <w:t>small,</w:t>
      </w:r>
      <w:r>
        <w:rPr>
          <w:spacing w:val="-1"/>
        </w:rPr>
        <w:t xml:space="preserve"> </w:t>
      </w:r>
      <w:r>
        <w:t>short-term</w:t>
      </w:r>
      <w:r>
        <w:rPr>
          <w:spacing w:val="-1"/>
        </w:rPr>
        <w:t xml:space="preserve"> </w:t>
      </w:r>
      <w:r>
        <w:t>plan</w:t>
      </w:r>
      <w:r>
        <w:rPr>
          <w:spacing w:val="-2"/>
        </w:rPr>
        <w:t xml:space="preserve"> </w:t>
      </w:r>
      <w:r>
        <w:t>like</w:t>
      </w:r>
      <w:r>
        <w:rPr>
          <w:spacing w:val="-1"/>
        </w:rPr>
        <w:t xml:space="preserve"> </w:t>
      </w:r>
      <w:r>
        <w:t>this</w:t>
      </w:r>
      <w:r>
        <w:rPr>
          <w:spacing w:val="-4"/>
        </w:rPr>
        <w:t xml:space="preserve"> </w:t>
      </w:r>
      <w:r>
        <w:t>can</w:t>
      </w:r>
      <w:r>
        <w:rPr>
          <w:spacing w:val="-3"/>
        </w:rPr>
        <w:t xml:space="preserve"> </w:t>
      </w:r>
      <w:r>
        <w:t>include</w:t>
      </w:r>
      <w:r>
        <w:rPr>
          <w:spacing w:val="-1"/>
        </w:rPr>
        <w:t xml:space="preserve"> </w:t>
      </w:r>
      <w:r>
        <w:t>specific st</w:t>
      </w:r>
      <w:r>
        <w:t>eps for helping clients avoid high-risk situations as well as identifying specific coping strategies.</w:t>
      </w:r>
    </w:p>
    <w:p w14:paraId="16E594F5" w14:textId="77777777" w:rsidR="00DB6E1F" w:rsidRDefault="00F666A6">
      <w:pPr>
        <w:pStyle w:val="ListParagraph"/>
        <w:numPr>
          <w:ilvl w:val="0"/>
          <w:numId w:val="92"/>
        </w:numPr>
        <w:tabs>
          <w:tab w:val="left" w:pos="1800"/>
          <w:tab w:val="left" w:pos="1801"/>
        </w:tabs>
        <w:spacing w:before="59"/>
        <w:ind w:left="1800" w:right="1861"/>
        <w:rPr>
          <w:rFonts w:ascii="Symbol" w:hAnsi="Symbol"/>
        </w:rPr>
      </w:pPr>
      <w:r>
        <w:t>Some</w:t>
      </w:r>
      <w:r>
        <w:rPr>
          <w:spacing w:val="-1"/>
        </w:rPr>
        <w:t xml:space="preserve"> </w:t>
      </w:r>
      <w:r>
        <w:t>plans</w:t>
      </w:r>
      <w:r>
        <w:rPr>
          <w:spacing w:val="-2"/>
        </w:rPr>
        <w:t xml:space="preserve"> </w:t>
      </w:r>
      <w:r>
        <w:t>are</w:t>
      </w:r>
      <w:r>
        <w:rPr>
          <w:spacing w:val="-1"/>
        </w:rPr>
        <w:t xml:space="preserve"> </w:t>
      </w:r>
      <w:r>
        <w:t>very</w:t>
      </w:r>
      <w:r>
        <w:rPr>
          <w:spacing w:val="-3"/>
        </w:rPr>
        <w:t xml:space="preserve"> </w:t>
      </w:r>
      <w:r>
        <w:t>simple,</w:t>
      </w:r>
      <w:r>
        <w:rPr>
          <w:spacing w:val="-2"/>
        </w:rPr>
        <w:t xml:space="preserve"> </w:t>
      </w:r>
      <w:r>
        <w:t>such</w:t>
      </w:r>
      <w:r>
        <w:rPr>
          <w:spacing w:val="-3"/>
        </w:rPr>
        <w:t xml:space="preserve"> </w:t>
      </w:r>
      <w:r>
        <w:t>as</w:t>
      </w:r>
      <w:r>
        <w:rPr>
          <w:spacing w:val="-2"/>
        </w:rPr>
        <w:t xml:space="preserve"> </w:t>
      </w:r>
      <w:r>
        <w:t>stating</w:t>
      </w:r>
      <w:r>
        <w:rPr>
          <w:spacing w:val="-5"/>
        </w:rPr>
        <w:t xml:space="preserve"> </w:t>
      </w:r>
      <w:r>
        <w:t>only</w:t>
      </w:r>
      <w:r>
        <w:rPr>
          <w:spacing w:val="-3"/>
        </w:rPr>
        <w:t xml:space="preserve"> </w:t>
      </w:r>
      <w:r>
        <w:t>that</w:t>
      </w:r>
      <w:r>
        <w:rPr>
          <w:spacing w:val="-2"/>
        </w:rPr>
        <w:t xml:space="preserve"> </w:t>
      </w:r>
      <w:r>
        <w:t>clients</w:t>
      </w:r>
      <w:r>
        <w:rPr>
          <w:spacing w:val="-1"/>
        </w:rPr>
        <w:t xml:space="preserve"> </w:t>
      </w:r>
      <w:r>
        <w:t>will</w:t>
      </w:r>
      <w:r>
        <w:rPr>
          <w:spacing w:val="-5"/>
        </w:rPr>
        <w:t xml:space="preserve"> </w:t>
      </w:r>
      <w:r>
        <w:t>enter</w:t>
      </w:r>
      <w:r>
        <w:rPr>
          <w:spacing w:val="-5"/>
        </w:rPr>
        <w:t xml:space="preserve"> </w:t>
      </w:r>
      <w:r>
        <w:t>outpatient</w:t>
      </w:r>
      <w:r>
        <w:rPr>
          <w:spacing w:val="-4"/>
        </w:rPr>
        <w:t xml:space="preserve"> </w:t>
      </w:r>
      <w:r>
        <w:t>treatment</w:t>
      </w:r>
      <w:r>
        <w:rPr>
          <w:spacing w:val="-4"/>
        </w:rPr>
        <w:t xml:space="preserve"> </w:t>
      </w:r>
      <w:r>
        <w:t>and attend an Alcoholics Anonymous (AA) meeting every day.</w:t>
      </w:r>
    </w:p>
    <w:p w14:paraId="00904B8E" w14:textId="77777777" w:rsidR="00DB6E1F" w:rsidRDefault="00F666A6">
      <w:pPr>
        <w:pStyle w:val="ListParagraph"/>
        <w:numPr>
          <w:ilvl w:val="0"/>
          <w:numId w:val="92"/>
        </w:numPr>
        <w:tabs>
          <w:tab w:val="left" w:pos="1799"/>
          <w:tab w:val="left" w:pos="1800"/>
        </w:tabs>
        <w:ind w:left="1799"/>
        <w:rPr>
          <w:rFonts w:ascii="Symbol" w:hAnsi="Symbol"/>
        </w:rPr>
      </w:pPr>
      <w:r>
        <w:t>Other</w:t>
      </w:r>
      <w:r>
        <w:rPr>
          <w:spacing w:val="-6"/>
        </w:rPr>
        <w:t xml:space="preserve"> </w:t>
      </w:r>
      <w:r>
        <w:t>plans</w:t>
      </w:r>
      <w:r>
        <w:rPr>
          <w:spacing w:val="-4"/>
        </w:rPr>
        <w:t xml:space="preserve"> </w:t>
      </w:r>
      <w:r>
        <w:t>include</w:t>
      </w:r>
      <w:r>
        <w:rPr>
          <w:spacing w:val="-6"/>
        </w:rPr>
        <w:t xml:space="preserve"> </w:t>
      </w:r>
      <w:r>
        <w:t>details</w:t>
      </w:r>
      <w:r>
        <w:rPr>
          <w:spacing w:val="-9"/>
        </w:rPr>
        <w:t xml:space="preserve"> </w:t>
      </w:r>
      <w:r>
        <w:t>(e.g.,</w:t>
      </w:r>
      <w:r>
        <w:rPr>
          <w:spacing w:val="-3"/>
        </w:rPr>
        <w:t xml:space="preserve"> </w:t>
      </w:r>
      <w:r>
        <w:t>transportation</w:t>
      </w:r>
      <w:r>
        <w:rPr>
          <w:spacing w:val="-5"/>
        </w:rPr>
        <w:t xml:space="preserve"> </w:t>
      </w:r>
      <w:r>
        <w:t>to</w:t>
      </w:r>
      <w:r>
        <w:rPr>
          <w:spacing w:val="-3"/>
        </w:rPr>
        <w:t xml:space="preserve"> </w:t>
      </w:r>
      <w:r>
        <w:t>treatment,</w:t>
      </w:r>
      <w:r>
        <w:rPr>
          <w:spacing w:val="-4"/>
        </w:rPr>
        <w:t xml:space="preserve"> </w:t>
      </w:r>
      <w:r>
        <w:t>new</w:t>
      </w:r>
      <w:r>
        <w:rPr>
          <w:spacing w:val="-3"/>
        </w:rPr>
        <w:t xml:space="preserve"> </w:t>
      </w:r>
      <w:r>
        <w:t>ways</w:t>
      </w:r>
      <w:r>
        <w:rPr>
          <w:spacing w:val="-6"/>
        </w:rPr>
        <w:t xml:space="preserve"> </w:t>
      </w:r>
      <w:r>
        <w:t>to</w:t>
      </w:r>
      <w:r>
        <w:rPr>
          <w:spacing w:val="-5"/>
        </w:rPr>
        <w:t xml:space="preserve"> </w:t>
      </w:r>
      <w:r>
        <w:t>spend</w:t>
      </w:r>
      <w:r>
        <w:rPr>
          <w:spacing w:val="-6"/>
        </w:rPr>
        <w:t xml:space="preserve"> </w:t>
      </w:r>
      <w:r>
        <w:rPr>
          <w:spacing w:val="-2"/>
        </w:rPr>
        <w:t>weekends).</w:t>
      </w:r>
    </w:p>
    <w:p w14:paraId="3AAF442D" w14:textId="77777777" w:rsidR="00DB6E1F" w:rsidRDefault="00F666A6">
      <w:pPr>
        <w:pStyle w:val="ListParagraph"/>
        <w:numPr>
          <w:ilvl w:val="0"/>
          <w:numId w:val="92"/>
        </w:numPr>
        <w:tabs>
          <w:tab w:val="left" w:pos="1799"/>
          <w:tab w:val="left" w:pos="1800"/>
        </w:tabs>
        <w:spacing w:before="61"/>
        <w:ind w:left="1799" w:right="1793"/>
        <w:rPr>
          <w:rFonts w:ascii="Symbol" w:hAnsi="Symbol"/>
        </w:rPr>
      </w:pPr>
      <w:r>
        <w:t>Many</w:t>
      </w:r>
      <w:r>
        <w:rPr>
          <w:spacing w:val="-2"/>
        </w:rPr>
        <w:t xml:space="preserve"> </w:t>
      </w:r>
      <w:r>
        <w:t>plans</w:t>
      </w:r>
      <w:r>
        <w:rPr>
          <w:spacing w:val="-3"/>
        </w:rPr>
        <w:t xml:space="preserve"> </w:t>
      </w:r>
      <w:r>
        <w:t>include</w:t>
      </w:r>
      <w:r>
        <w:rPr>
          <w:spacing w:val="-2"/>
        </w:rPr>
        <w:t xml:space="preserve"> </w:t>
      </w:r>
      <w:r>
        <w:t>specific</w:t>
      </w:r>
      <w:r>
        <w:rPr>
          <w:spacing w:val="-4"/>
        </w:rPr>
        <w:t xml:space="preserve"> </w:t>
      </w:r>
      <w:r>
        <w:t>steps</w:t>
      </w:r>
      <w:r>
        <w:rPr>
          <w:spacing w:val="-4"/>
        </w:rPr>
        <w:t xml:space="preserve"> </w:t>
      </w:r>
      <w:r>
        <w:t>to</w:t>
      </w:r>
      <w:r>
        <w:rPr>
          <w:spacing w:val="-3"/>
        </w:rPr>
        <w:t xml:space="preserve"> </w:t>
      </w:r>
      <w:r>
        <w:t>overcome</w:t>
      </w:r>
      <w:r>
        <w:rPr>
          <w:spacing w:val="-4"/>
        </w:rPr>
        <w:t xml:space="preserve"> </w:t>
      </w:r>
      <w:r>
        <w:t>anticipated</w:t>
      </w:r>
      <w:r>
        <w:rPr>
          <w:spacing w:val="-3"/>
        </w:rPr>
        <w:t xml:space="preserve"> </w:t>
      </w:r>
      <w:r>
        <w:t>barriers</w:t>
      </w:r>
      <w:r>
        <w:rPr>
          <w:spacing w:val="-4"/>
        </w:rPr>
        <w:t xml:space="preserve"> </w:t>
      </w:r>
      <w:r>
        <w:t>to</w:t>
      </w:r>
      <w:r>
        <w:rPr>
          <w:spacing w:val="-2"/>
        </w:rPr>
        <w:t xml:space="preserve"> </w:t>
      </w:r>
      <w:r>
        <w:t>success</w:t>
      </w:r>
      <w:r>
        <w:rPr>
          <w:spacing w:val="-5"/>
        </w:rPr>
        <w:t xml:space="preserve"> </w:t>
      </w:r>
      <w:r>
        <w:t>(Exhibit</w:t>
      </w:r>
      <w:r>
        <w:rPr>
          <w:spacing w:val="-2"/>
        </w:rPr>
        <w:t xml:space="preserve"> </w:t>
      </w:r>
      <w:r>
        <w:t>6.3).</w:t>
      </w:r>
      <w:r>
        <w:rPr>
          <w:spacing w:val="-3"/>
        </w:rPr>
        <w:t xml:space="preserve"> </w:t>
      </w:r>
      <w:r>
        <w:t xml:space="preserve">Some plans </w:t>
      </w:r>
      <w:r>
        <w:t>lay out a sequence of steps. For example, working mothers with children who must enter inpatient treatment may develop a sequenced plan for arranging for child care.</w:t>
      </w:r>
    </w:p>
    <w:p w14:paraId="70D75806" w14:textId="77777777" w:rsidR="00DB6E1F" w:rsidRDefault="00DB6E1F">
      <w:pPr>
        <w:pStyle w:val="BodyText"/>
        <w:spacing w:before="1" w:after="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B1BF593" w14:textId="77777777">
        <w:trPr>
          <w:trHeight w:val="503"/>
        </w:trPr>
        <w:tc>
          <w:tcPr>
            <w:tcW w:w="9350" w:type="dxa"/>
            <w:shd w:val="clear" w:color="auto" w:fill="050505"/>
          </w:tcPr>
          <w:p w14:paraId="1058D625" w14:textId="77777777" w:rsidR="00DB6E1F" w:rsidRDefault="00F666A6">
            <w:pPr>
              <w:pStyle w:val="TableParagraph"/>
              <w:spacing w:before="102"/>
              <w:ind w:left="210"/>
              <w:rPr>
                <w:sz w:val="24"/>
              </w:rPr>
            </w:pPr>
            <w:r>
              <w:rPr>
                <w:color w:val="FFFFFF"/>
                <w:sz w:val="24"/>
              </w:rPr>
              <w:t>Exhibit</w:t>
            </w:r>
            <w:r>
              <w:rPr>
                <w:color w:val="FFFFFF"/>
                <w:spacing w:val="-2"/>
                <w:sz w:val="24"/>
              </w:rPr>
              <w:t xml:space="preserve"> </w:t>
            </w:r>
            <w:r>
              <w:rPr>
                <w:color w:val="FFFFFF"/>
                <w:sz w:val="24"/>
              </w:rPr>
              <w:t>6.3.</w:t>
            </w:r>
            <w:r>
              <w:rPr>
                <w:color w:val="FFFFFF"/>
                <w:spacing w:val="-1"/>
                <w:sz w:val="24"/>
              </w:rPr>
              <w:t xml:space="preserve"> </w:t>
            </w:r>
            <w:r>
              <w:rPr>
                <w:color w:val="FFFFFF"/>
                <w:sz w:val="24"/>
              </w:rPr>
              <w:t>Change</w:t>
            </w:r>
            <w:r>
              <w:rPr>
                <w:color w:val="FFFFFF"/>
                <w:spacing w:val="-2"/>
                <w:sz w:val="24"/>
              </w:rPr>
              <w:t xml:space="preserve"> </w:t>
            </w:r>
            <w:r>
              <w:rPr>
                <w:color w:val="FFFFFF"/>
                <w:sz w:val="24"/>
              </w:rPr>
              <w:t>Plan</w:t>
            </w:r>
            <w:r>
              <w:rPr>
                <w:color w:val="FFFFFF"/>
                <w:spacing w:val="-3"/>
                <w:sz w:val="24"/>
              </w:rPr>
              <w:t xml:space="preserve"> </w:t>
            </w:r>
            <w:r>
              <w:rPr>
                <w:color w:val="FFFFFF"/>
                <w:spacing w:val="-2"/>
                <w:sz w:val="24"/>
              </w:rPr>
              <w:t>Worksheet</w:t>
            </w:r>
          </w:p>
        </w:tc>
      </w:tr>
      <w:tr w:rsidR="00DB6E1F" w14:paraId="7BE81719" w14:textId="77777777">
        <w:trPr>
          <w:trHeight w:val="729"/>
        </w:trPr>
        <w:tc>
          <w:tcPr>
            <w:tcW w:w="9350" w:type="dxa"/>
          </w:tcPr>
          <w:p w14:paraId="3AA8E1B8" w14:textId="77777777" w:rsidR="00DB6E1F" w:rsidRDefault="00F666A6">
            <w:pPr>
              <w:pStyle w:val="TableParagraph"/>
              <w:rPr>
                <w:sz w:val="20"/>
              </w:rPr>
            </w:pPr>
            <w:r>
              <w:rPr>
                <w:sz w:val="20"/>
              </w:rPr>
              <w:t>The</w:t>
            </w:r>
            <w:r>
              <w:rPr>
                <w:spacing w:val="-6"/>
                <w:sz w:val="20"/>
              </w:rPr>
              <w:t xml:space="preserve"> </w:t>
            </w:r>
            <w:r>
              <w:rPr>
                <w:sz w:val="20"/>
              </w:rPr>
              <w:t>most</w:t>
            </w:r>
            <w:r>
              <w:rPr>
                <w:spacing w:val="-5"/>
                <w:sz w:val="20"/>
              </w:rPr>
              <w:t xml:space="preserve"> </w:t>
            </w:r>
            <w:r>
              <w:rPr>
                <w:sz w:val="20"/>
              </w:rPr>
              <w:t>important</w:t>
            </w:r>
            <w:r>
              <w:rPr>
                <w:spacing w:val="-5"/>
                <w:sz w:val="20"/>
              </w:rPr>
              <w:t xml:space="preserve"> </w:t>
            </w:r>
            <w:r>
              <w:rPr>
                <w:sz w:val="20"/>
              </w:rPr>
              <w:t>reasons</w:t>
            </w:r>
            <w:r>
              <w:rPr>
                <w:spacing w:val="-6"/>
                <w:sz w:val="20"/>
              </w:rPr>
              <w:t xml:space="preserve"> </w:t>
            </w:r>
            <w:r>
              <w:rPr>
                <w:sz w:val="20"/>
              </w:rPr>
              <w:t>I</w:t>
            </w:r>
            <w:r>
              <w:rPr>
                <w:spacing w:val="-5"/>
                <w:sz w:val="20"/>
              </w:rPr>
              <w:t xml:space="preserve"> </w:t>
            </w:r>
            <w:r>
              <w:rPr>
                <w:sz w:val="20"/>
              </w:rPr>
              <w:t>want</w:t>
            </w:r>
            <w:r>
              <w:rPr>
                <w:spacing w:val="-4"/>
                <w:sz w:val="20"/>
              </w:rPr>
              <w:t xml:space="preserve"> </w:t>
            </w:r>
            <w:r>
              <w:rPr>
                <w:sz w:val="20"/>
              </w:rPr>
              <w:t>to</w:t>
            </w:r>
            <w:r>
              <w:rPr>
                <w:spacing w:val="-5"/>
                <w:sz w:val="20"/>
              </w:rPr>
              <w:t xml:space="preserve"> </w:t>
            </w:r>
            <w:r>
              <w:rPr>
                <w:sz w:val="20"/>
              </w:rPr>
              <w:t>make</w:t>
            </w:r>
            <w:r>
              <w:rPr>
                <w:spacing w:val="-5"/>
                <w:sz w:val="20"/>
              </w:rPr>
              <w:t xml:space="preserve"> </w:t>
            </w:r>
            <w:r>
              <w:rPr>
                <w:sz w:val="20"/>
              </w:rPr>
              <w:t>this</w:t>
            </w:r>
            <w:r>
              <w:rPr>
                <w:spacing w:val="-6"/>
                <w:sz w:val="20"/>
              </w:rPr>
              <w:t xml:space="preserve"> </w:t>
            </w:r>
            <w:r>
              <w:rPr>
                <w:sz w:val="20"/>
              </w:rPr>
              <w:t>change</w:t>
            </w:r>
            <w:r>
              <w:rPr>
                <w:spacing w:val="-6"/>
                <w:sz w:val="20"/>
              </w:rPr>
              <w:t xml:space="preserve"> </w:t>
            </w:r>
            <w:r>
              <w:rPr>
                <w:spacing w:val="-4"/>
                <w:sz w:val="20"/>
              </w:rPr>
              <w:t>are:</w:t>
            </w:r>
          </w:p>
        </w:tc>
      </w:tr>
      <w:tr w:rsidR="00DB6E1F" w14:paraId="363DE58B" w14:textId="77777777">
        <w:trPr>
          <w:trHeight w:val="726"/>
        </w:trPr>
        <w:tc>
          <w:tcPr>
            <w:tcW w:w="9350" w:type="dxa"/>
          </w:tcPr>
          <w:p w14:paraId="11CB1052" w14:textId="77777777" w:rsidR="00DB6E1F" w:rsidRDefault="00F666A6">
            <w:pPr>
              <w:pStyle w:val="TableParagraph"/>
              <w:rPr>
                <w:sz w:val="20"/>
              </w:rPr>
            </w:pPr>
            <w:r>
              <w:rPr>
                <w:sz w:val="20"/>
              </w:rPr>
              <w:t>My</w:t>
            </w:r>
            <w:r>
              <w:rPr>
                <w:spacing w:val="-4"/>
                <w:sz w:val="20"/>
              </w:rPr>
              <w:t xml:space="preserve"> </w:t>
            </w:r>
            <w:r>
              <w:rPr>
                <w:sz w:val="20"/>
              </w:rPr>
              <w:t>main</w:t>
            </w:r>
            <w:r>
              <w:rPr>
                <w:spacing w:val="-4"/>
                <w:sz w:val="20"/>
              </w:rPr>
              <w:t xml:space="preserve"> </w:t>
            </w:r>
            <w:r>
              <w:rPr>
                <w:sz w:val="20"/>
              </w:rPr>
              <w:t>goals</w:t>
            </w:r>
            <w:r>
              <w:rPr>
                <w:spacing w:val="-6"/>
                <w:sz w:val="20"/>
              </w:rPr>
              <w:t xml:space="preserve"> </w:t>
            </w:r>
            <w:r>
              <w:rPr>
                <w:sz w:val="20"/>
              </w:rPr>
              <w:t>for</w:t>
            </w:r>
            <w:r>
              <w:rPr>
                <w:spacing w:val="-3"/>
                <w:sz w:val="20"/>
              </w:rPr>
              <w:t xml:space="preserve"> </w:t>
            </w:r>
            <w:r>
              <w:rPr>
                <w:sz w:val="20"/>
              </w:rPr>
              <w:t>myself</w:t>
            </w:r>
            <w:r>
              <w:rPr>
                <w:spacing w:val="-5"/>
                <w:sz w:val="20"/>
              </w:rPr>
              <w:t xml:space="preserve"> </w:t>
            </w:r>
            <w:r>
              <w:rPr>
                <w:sz w:val="20"/>
              </w:rPr>
              <w:t>in</w:t>
            </w:r>
            <w:r>
              <w:rPr>
                <w:spacing w:val="-4"/>
                <w:sz w:val="20"/>
              </w:rPr>
              <w:t xml:space="preserve"> </w:t>
            </w:r>
            <w:r>
              <w:rPr>
                <w:sz w:val="20"/>
              </w:rPr>
              <w:t>making</w:t>
            </w:r>
            <w:r>
              <w:rPr>
                <w:spacing w:val="-5"/>
                <w:sz w:val="20"/>
              </w:rPr>
              <w:t xml:space="preserve"> </w:t>
            </w:r>
            <w:r>
              <w:rPr>
                <w:sz w:val="20"/>
              </w:rPr>
              <w:t>this</w:t>
            </w:r>
            <w:r>
              <w:rPr>
                <w:spacing w:val="-6"/>
                <w:sz w:val="20"/>
              </w:rPr>
              <w:t xml:space="preserve"> </w:t>
            </w:r>
            <w:r>
              <w:rPr>
                <w:sz w:val="20"/>
              </w:rPr>
              <w:t>change</w:t>
            </w:r>
            <w:r>
              <w:rPr>
                <w:spacing w:val="-5"/>
                <w:sz w:val="20"/>
              </w:rPr>
              <w:t xml:space="preserve"> </w:t>
            </w:r>
            <w:r>
              <w:rPr>
                <w:spacing w:val="-4"/>
                <w:sz w:val="20"/>
              </w:rPr>
              <w:t>are:</w:t>
            </w:r>
          </w:p>
        </w:tc>
      </w:tr>
      <w:tr w:rsidR="00DB6E1F" w14:paraId="3960DFB3" w14:textId="77777777">
        <w:trPr>
          <w:trHeight w:val="1094"/>
        </w:trPr>
        <w:tc>
          <w:tcPr>
            <w:tcW w:w="9350" w:type="dxa"/>
          </w:tcPr>
          <w:p w14:paraId="7F9BD178" w14:textId="77777777" w:rsidR="00DB6E1F" w:rsidRDefault="00F666A6">
            <w:pPr>
              <w:pStyle w:val="TableParagraph"/>
              <w:spacing w:before="3"/>
              <w:rPr>
                <w:sz w:val="20"/>
              </w:rPr>
            </w:pPr>
            <w:r>
              <w:rPr>
                <w:sz w:val="20"/>
              </w:rPr>
              <w:t>I</w:t>
            </w:r>
            <w:r>
              <w:rPr>
                <w:spacing w:val="-4"/>
                <w:sz w:val="20"/>
              </w:rPr>
              <w:t xml:space="preserve"> </w:t>
            </w:r>
            <w:r>
              <w:rPr>
                <w:sz w:val="20"/>
              </w:rPr>
              <w:t>plan</w:t>
            </w:r>
            <w:r>
              <w:rPr>
                <w:spacing w:val="-3"/>
                <w:sz w:val="20"/>
              </w:rPr>
              <w:t xml:space="preserve"> </w:t>
            </w:r>
            <w:r>
              <w:rPr>
                <w:sz w:val="20"/>
              </w:rPr>
              <w:t>to</w:t>
            </w:r>
            <w:r>
              <w:rPr>
                <w:spacing w:val="-4"/>
                <w:sz w:val="20"/>
              </w:rPr>
              <w:t xml:space="preserve"> </w:t>
            </w:r>
            <w:r>
              <w:rPr>
                <w:sz w:val="20"/>
              </w:rPr>
              <w:t>do</w:t>
            </w:r>
            <w:r>
              <w:rPr>
                <w:spacing w:val="-5"/>
                <w:sz w:val="20"/>
              </w:rPr>
              <w:t xml:space="preserve"> </w:t>
            </w:r>
            <w:r>
              <w:rPr>
                <w:sz w:val="20"/>
              </w:rPr>
              <w:t>these</w:t>
            </w:r>
            <w:r>
              <w:rPr>
                <w:spacing w:val="-5"/>
                <w:sz w:val="20"/>
              </w:rPr>
              <w:t xml:space="preserve"> </w:t>
            </w:r>
            <w:r>
              <w:rPr>
                <w:sz w:val="20"/>
              </w:rPr>
              <w:t>things</w:t>
            </w:r>
            <w:r>
              <w:rPr>
                <w:spacing w:val="-4"/>
                <w:sz w:val="20"/>
              </w:rPr>
              <w:t xml:space="preserve"> </w:t>
            </w:r>
            <w:r>
              <w:rPr>
                <w:sz w:val="20"/>
              </w:rPr>
              <w:t>to</w:t>
            </w:r>
            <w:r>
              <w:rPr>
                <w:spacing w:val="-4"/>
                <w:sz w:val="20"/>
              </w:rPr>
              <w:t xml:space="preserve"> </w:t>
            </w:r>
            <w:r>
              <w:rPr>
                <w:sz w:val="20"/>
              </w:rPr>
              <w:t>reach</w:t>
            </w:r>
            <w:r>
              <w:rPr>
                <w:spacing w:val="-3"/>
                <w:sz w:val="20"/>
              </w:rPr>
              <w:t xml:space="preserve"> </w:t>
            </w:r>
            <w:r>
              <w:rPr>
                <w:sz w:val="20"/>
              </w:rPr>
              <w:t>my</w:t>
            </w:r>
            <w:r>
              <w:rPr>
                <w:spacing w:val="-3"/>
                <w:sz w:val="20"/>
              </w:rPr>
              <w:t xml:space="preserve"> </w:t>
            </w:r>
            <w:r>
              <w:rPr>
                <w:spacing w:val="-2"/>
                <w:sz w:val="20"/>
              </w:rPr>
              <w:t>goals:</w:t>
            </w:r>
          </w:p>
          <w:p w14:paraId="17BFEFD8" w14:textId="77777777" w:rsidR="00DB6E1F" w:rsidRDefault="00F666A6">
            <w:pPr>
              <w:pStyle w:val="TableParagraph"/>
              <w:tabs>
                <w:tab w:val="left" w:pos="4754"/>
              </w:tabs>
              <w:spacing w:before="119"/>
              <w:ind w:left="1547"/>
              <w:rPr>
                <w:sz w:val="20"/>
              </w:rPr>
            </w:pPr>
            <w:r>
              <w:rPr>
                <w:sz w:val="20"/>
                <w:u w:val="single"/>
              </w:rPr>
              <w:t>Specific</w:t>
            </w:r>
            <w:r>
              <w:rPr>
                <w:spacing w:val="-10"/>
                <w:sz w:val="20"/>
                <w:u w:val="single"/>
              </w:rPr>
              <w:t xml:space="preserve"> </w:t>
            </w:r>
            <w:r>
              <w:rPr>
                <w:spacing w:val="-2"/>
                <w:sz w:val="20"/>
                <w:u w:val="single"/>
              </w:rPr>
              <w:t>action</w:t>
            </w:r>
            <w:r>
              <w:rPr>
                <w:sz w:val="20"/>
              </w:rPr>
              <w:tab/>
            </w:r>
            <w:r>
              <w:rPr>
                <w:spacing w:val="-4"/>
                <w:sz w:val="20"/>
                <w:u w:val="single"/>
              </w:rPr>
              <w:t>When?</w:t>
            </w:r>
          </w:p>
        </w:tc>
      </w:tr>
      <w:tr w:rsidR="00DB6E1F" w14:paraId="4F3C0489" w14:textId="77777777">
        <w:trPr>
          <w:trHeight w:val="726"/>
        </w:trPr>
        <w:tc>
          <w:tcPr>
            <w:tcW w:w="9350" w:type="dxa"/>
          </w:tcPr>
          <w:p w14:paraId="5472B2A3" w14:textId="77777777" w:rsidR="00DB6E1F" w:rsidRDefault="00F666A6">
            <w:pPr>
              <w:pStyle w:val="TableParagraph"/>
              <w:rPr>
                <w:sz w:val="20"/>
              </w:rPr>
            </w:pPr>
            <w:r>
              <w:rPr>
                <w:sz w:val="20"/>
              </w:rPr>
              <w:t>The</w:t>
            </w:r>
            <w:r>
              <w:rPr>
                <w:spacing w:val="-6"/>
                <w:sz w:val="20"/>
              </w:rPr>
              <w:t xml:space="preserve"> </w:t>
            </w:r>
            <w:r>
              <w:rPr>
                <w:sz w:val="20"/>
              </w:rPr>
              <w:t>first</w:t>
            </w:r>
            <w:r>
              <w:rPr>
                <w:spacing w:val="-4"/>
                <w:sz w:val="20"/>
              </w:rPr>
              <w:t xml:space="preserve"> </w:t>
            </w:r>
            <w:r>
              <w:rPr>
                <w:sz w:val="20"/>
              </w:rPr>
              <w:t>steps</w:t>
            </w:r>
            <w:r>
              <w:rPr>
                <w:spacing w:val="-5"/>
                <w:sz w:val="20"/>
              </w:rPr>
              <w:t xml:space="preserve"> </w:t>
            </w:r>
            <w:r>
              <w:rPr>
                <w:sz w:val="20"/>
              </w:rPr>
              <w:t>I</w:t>
            </w:r>
            <w:r>
              <w:rPr>
                <w:spacing w:val="-5"/>
                <w:sz w:val="20"/>
              </w:rPr>
              <w:t xml:space="preserve"> </w:t>
            </w:r>
            <w:r>
              <w:rPr>
                <w:sz w:val="20"/>
              </w:rPr>
              <w:t>plan</w:t>
            </w:r>
            <w:r>
              <w:rPr>
                <w:spacing w:val="-3"/>
                <w:sz w:val="20"/>
              </w:rPr>
              <w:t xml:space="preserve"> </w:t>
            </w:r>
            <w:r>
              <w:rPr>
                <w:sz w:val="20"/>
              </w:rPr>
              <w:t>to</w:t>
            </w:r>
            <w:r>
              <w:rPr>
                <w:spacing w:val="-4"/>
                <w:sz w:val="20"/>
              </w:rPr>
              <w:t xml:space="preserve"> </w:t>
            </w:r>
            <w:r>
              <w:rPr>
                <w:sz w:val="20"/>
              </w:rPr>
              <w:t>take</w:t>
            </w:r>
            <w:r>
              <w:rPr>
                <w:spacing w:val="-5"/>
                <w:sz w:val="20"/>
              </w:rPr>
              <w:t xml:space="preserve"> </w:t>
            </w:r>
            <w:r>
              <w:rPr>
                <w:sz w:val="20"/>
              </w:rPr>
              <w:t>in</w:t>
            </w:r>
            <w:r>
              <w:rPr>
                <w:spacing w:val="-4"/>
                <w:sz w:val="20"/>
              </w:rPr>
              <w:t xml:space="preserve"> </w:t>
            </w:r>
            <w:r>
              <w:rPr>
                <w:sz w:val="20"/>
              </w:rPr>
              <w:t>changing</w:t>
            </w:r>
            <w:r>
              <w:rPr>
                <w:spacing w:val="-4"/>
                <w:sz w:val="20"/>
              </w:rPr>
              <w:t xml:space="preserve"> are:</w:t>
            </w:r>
          </w:p>
        </w:tc>
      </w:tr>
      <w:tr w:rsidR="00DB6E1F" w14:paraId="66B75597" w14:textId="77777777">
        <w:trPr>
          <w:trHeight w:val="1093"/>
        </w:trPr>
        <w:tc>
          <w:tcPr>
            <w:tcW w:w="9350" w:type="dxa"/>
          </w:tcPr>
          <w:p w14:paraId="4C86D622" w14:textId="77777777" w:rsidR="00DB6E1F" w:rsidRDefault="00F666A6">
            <w:pPr>
              <w:pStyle w:val="TableParagraph"/>
              <w:spacing w:before="3"/>
              <w:ind w:left="122" w:right="4801"/>
              <w:jc w:val="center"/>
              <w:rPr>
                <w:sz w:val="20"/>
              </w:rPr>
            </w:pPr>
            <w:r>
              <w:rPr>
                <w:sz w:val="20"/>
              </w:rPr>
              <w:t>Other</w:t>
            </w:r>
            <w:r>
              <w:rPr>
                <w:spacing w:val="-6"/>
                <w:sz w:val="20"/>
              </w:rPr>
              <w:t xml:space="preserve"> </w:t>
            </w:r>
            <w:r>
              <w:rPr>
                <w:sz w:val="20"/>
              </w:rPr>
              <w:t>people</w:t>
            </w:r>
            <w:r>
              <w:rPr>
                <w:spacing w:val="-6"/>
                <w:sz w:val="20"/>
              </w:rPr>
              <w:t xml:space="preserve"> </w:t>
            </w:r>
            <w:r>
              <w:rPr>
                <w:sz w:val="20"/>
              </w:rPr>
              <w:t>could</w:t>
            </w:r>
            <w:r>
              <w:rPr>
                <w:spacing w:val="-5"/>
                <w:sz w:val="20"/>
              </w:rPr>
              <w:t xml:space="preserve"> </w:t>
            </w:r>
            <w:r>
              <w:rPr>
                <w:sz w:val="20"/>
              </w:rPr>
              <w:t>help</w:t>
            </w:r>
            <w:r>
              <w:rPr>
                <w:spacing w:val="-4"/>
                <w:sz w:val="20"/>
              </w:rPr>
              <w:t xml:space="preserve"> </w:t>
            </w:r>
            <w:r>
              <w:rPr>
                <w:sz w:val="20"/>
              </w:rPr>
              <w:t>me</w:t>
            </w:r>
            <w:r>
              <w:rPr>
                <w:spacing w:val="-7"/>
                <w:sz w:val="20"/>
              </w:rPr>
              <w:t xml:space="preserve"> </w:t>
            </w:r>
            <w:r>
              <w:rPr>
                <w:sz w:val="20"/>
              </w:rPr>
              <w:t>in</w:t>
            </w:r>
            <w:r>
              <w:rPr>
                <w:spacing w:val="-4"/>
                <w:sz w:val="20"/>
              </w:rPr>
              <w:t xml:space="preserve"> </w:t>
            </w:r>
            <w:r>
              <w:rPr>
                <w:sz w:val="20"/>
              </w:rPr>
              <w:t>changing</w:t>
            </w:r>
            <w:r>
              <w:rPr>
                <w:spacing w:val="-5"/>
                <w:sz w:val="20"/>
              </w:rPr>
              <w:t xml:space="preserve"> </w:t>
            </w:r>
            <w:r>
              <w:rPr>
                <w:sz w:val="20"/>
              </w:rPr>
              <w:t>in</w:t>
            </w:r>
            <w:r>
              <w:rPr>
                <w:spacing w:val="-5"/>
                <w:sz w:val="20"/>
              </w:rPr>
              <w:t xml:space="preserve"> </w:t>
            </w:r>
            <w:r>
              <w:rPr>
                <w:sz w:val="20"/>
              </w:rPr>
              <w:t>these</w:t>
            </w:r>
            <w:r>
              <w:rPr>
                <w:spacing w:val="-6"/>
                <w:sz w:val="20"/>
              </w:rPr>
              <w:t xml:space="preserve"> </w:t>
            </w:r>
            <w:r>
              <w:rPr>
                <w:spacing w:val="-4"/>
                <w:sz w:val="20"/>
              </w:rPr>
              <w:t>ways:</w:t>
            </w:r>
          </w:p>
          <w:p w14:paraId="6BD1B270" w14:textId="77777777" w:rsidR="00DB6E1F" w:rsidRDefault="00F666A6">
            <w:pPr>
              <w:pStyle w:val="TableParagraph"/>
              <w:tabs>
                <w:tab w:val="left" w:pos="4072"/>
              </w:tabs>
              <w:spacing w:before="119"/>
              <w:ind w:left="234"/>
              <w:jc w:val="center"/>
              <w:rPr>
                <w:sz w:val="20"/>
              </w:rPr>
            </w:pPr>
            <w:r>
              <w:rPr>
                <w:spacing w:val="-2"/>
                <w:sz w:val="20"/>
                <w:u w:val="single"/>
              </w:rPr>
              <w:t>Person</w:t>
            </w:r>
            <w:r>
              <w:rPr>
                <w:sz w:val="20"/>
              </w:rPr>
              <w:tab/>
            </w:r>
            <w:r>
              <w:rPr>
                <w:sz w:val="20"/>
                <w:u w:val="single"/>
              </w:rPr>
              <w:t>Possible</w:t>
            </w:r>
            <w:r>
              <w:rPr>
                <w:spacing w:val="-6"/>
                <w:sz w:val="20"/>
                <w:u w:val="single"/>
              </w:rPr>
              <w:t xml:space="preserve"> </w:t>
            </w:r>
            <w:r>
              <w:rPr>
                <w:sz w:val="20"/>
                <w:u w:val="single"/>
              </w:rPr>
              <w:t>ways</w:t>
            </w:r>
            <w:r>
              <w:rPr>
                <w:spacing w:val="-6"/>
                <w:sz w:val="20"/>
                <w:u w:val="single"/>
              </w:rPr>
              <w:t xml:space="preserve"> </w:t>
            </w:r>
            <w:r>
              <w:rPr>
                <w:sz w:val="20"/>
                <w:u w:val="single"/>
              </w:rPr>
              <w:t>he</w:t>
            </w:r>
            <w:r>
              <w:rPr>
                <w:spacing w:val="-5"/>
                <w:sz w:val="20"/>
                <w:u w:val="single"/>
              </w:rPr>
              <w:t xml:space="preserve"> </w:t>
            </w:r>
            <w:r>
              <w:rPr>
                <w:sz w:val="20"/>
                <w:u w:val="single"/>
              </w:rPr>
              <w:t>or</w:t>
            </w:r>
            <w:r>
              <w:rPr>
                <w:spacing w:val="-3"/>
                <w:sz w:val="20"/>
                <w:u w:val="single"/>
              </w:rPr>
              <w:t xml:space="preserve"> </w:t>
            </w:r>
            <w:r>
              <w:rPr>
                <w:sz w:val="20"/>
                <w:u w:val="single"/>
              </w:rPr>
              <w:t>she</w:t>
            </w:r>
            <w:r>
              <w:rPr>
                <w:spacing w:val="-5"/>
                <w:sz w:val="20"/>
                <w:u w:val="single"/>
              </w:rPr>
              <w:t xml:space="preserve"> </w:t>
            </w:r>
            <w:r>
              <w:rPr>
                <w:sz w:val="20"/>
                <w:u w:val="single"/>
              </w:rPr>
              <w:t>can</w:t>
            </w:r>
            <w:r>
              <w:rPr>
                <w:spacing w:val="-4"/>
                <w:sz w:val="20"/>
                <w:u w:val="single"/>
              </w:rPr>
              <w:t xml:space="preserve"> help</w:t>
            </w:r>
          </w:p>
        </w:tc>
      </w:tr>
      <w:tr w:rsidR="00DB6E1F" w14:paraId="2A405AA4" w14:textId="77777777">
        <w:trPr>
          <w:trHeight w:val="1091"/>
        </w:trPr>
        <w:tc>
          <w:tcPr>
            <w:tcW w:w="9350" w:type="dxa"/>
          </w:tcPr>
          <w:p w14:paraId="225B7912" w14:textId="77777777" w:rsidR="00DB6E1F" w:rsidRDefault="00F666A6">
            <w:pPr>
              <w:pStyle w:val="TableParagraph"/>
              <w:tabs>
                <w:tab w:val="left" w:pos="3240"/>
              </w:tabs>
              <w:spacing w:line="357" w:lineRule="auto"/>
              <w:ind w:right="3069"/>
              <w:rPr>
                <w:sz w:val="20"/>
              </w:rPr>
            </w:pPr>
            <w:r>
              <w:rPr>
                <w:sz w:val="20"/>
              </w:rPr>
              <w:t>These</w:t>
            </w:r>
            <w:r>
              <w:rPr>
                <w:spacing w:val="-4"/>
                <w:sz w:val="20"/>
              </w:rPr>
              <w:t xml:space="preserve"> </w:t>
            </w:r>
            <w:r>
              <w:rPr>
                <w:sz w:val="20"/>
              </w:rPr>
              <w:t>are</w:t>
            </w:r>
            <w:r>
              <w:rPr>
                <w:spacing w:val="-2"/>
                <w:sz w:val="20"/>
              </w:rPr>
              <w:t xml:space="preserve"> </w:t>
            </w:r>
            <w:r>
              <w:rPr>
                <w:sz w:val="20"/>
              </w:rPr>
              <w:t>some</w:t>
            </w:r>
            <w:r>
              <w:rPr>
                <w:spacing w:val="-4"/>
                <w:sz w:val="20"/>
              </w:rPr>
              <w:t xml:space="preserve"> </w:t>
            </w:r>
            <w:r>
              <w:rPr>
                <w:sz w:val="20"/>
              </w:rPr>
              <w:t>possible</w:t>
            </w:r>
            <w:r>
              <w:rPr>
                <w:spacing w:val="-4"/>
                <w:sz w:val="20"/>
              </w:rPr>
              <w:t xml:space="preserve"> </w:t>
            </w:r>
            <w:r>
              <w:rPr>
                <w:sz w:val="20"/>
              </w:rPr>
              <w:t>obstacles</w:t>
            </w:r>
            <w:r>
              <w:rPr>
                <w:spacing w:val="-4"/>
                <w:sz w:val="20"/>
              </w:rPr>
              <w:t xml:space="preserve"> </w:t>
            </w:r>
            <w:r>
              <w:rPr>
                <w:sz w:val="20"/>
              </w:rPr>
              <w:t>to</w:t>
            </w:r>
            <w:r>
              <w:rPr>
                <w:spacing w:val="-3"/>
                <w:sz w:val="20"/>
              </w:rPr>
              <w:t xml:space="preserve"> </w:t>
            </w:r>
            <w:r>
              <w:rPr>
                <w:sz w:val="20"/>
              </w:rPr>
              <w:t>change</w:t>
            </w:r>
            <w:r>
              <w:rPr>
                <w:spacing w:val="-4"/>
                <w:sz w:val="20"/>
              </w:rPr>
              <w:t xml:space="preserve"> </w:t>
            </w:r>
            <w:r>
              <w:rPr>
                <w:sz w:val="20"/>
              </w:rPr>
              <w:t>and</w:t>
            </w:r>
            <w:r>
              <w:rPr>
                <w:spacing w:val="-2"/>
                <w:sz w:val="20"/>
              </w:rPr>
              <w:t xml:space="preserve"> </w:t>
            </w:r>
            <w:r>
              <w:rPr>
                <w:sz w:val="20"/>
              </w:rPr>
              <w:t>ways</w:t>
            </w:r>
            <w:r>
              <w:rPr>
                <w:spacing w:val="-4"/>
                <w:sz w:val="20"/>
              </w:rPr>
              <w:t xml:space="preserve"> </w:t>
            </w:r>
            <w:r>
              <w:rPr>
                <w:sz w:val="20"/>
              </w:rPr>
              <w:t>I</w:t>
            </w:r>
            <w:r>
              <w:rPr>
                <w:spacing w:val="-3"/>
                <w:sz w:val="20"/>
              </w:rPr>
              <w:t xml:space="preserve"> </w:t>
            </w:r>
            <w:r>
              <w:rPr>
                <w:sz w:val="20"/>
              </w:rPr>
              <w:t>could</w:t>
            </w:r>
            <w:r>
              <w:rPr>
                <w:spacing w:val="-2"/>
                <w:sz w:val="20"/>
              </w:rPr>
              <w:t xml:space="preserve"> </w:t>
            </w:r>
            <w:r>
              <w:rPr>
                <w:sz w:val="20"/>
              </w:rPr>
              <w:t>handle</w:t>
            </w:r>
            <w:r>
              <w:rPr>
                <w:spacing w:val="-4"/>
                <w:sz w:val="20"/>
              </w:rPr>
              <w:t xml:space="preserve"> </w:t>
            </w:r>
            <w:r>
              <w:rPr>
                <w:sz w:val="20"/>
              </w:rPr>
              <w:t>them: Possible obstacles to change</w:t>
            </w:r>
            <w:r>
              <w:rPr>
                <w:sz w:val="20"/>
              </w:rPr>
              <w:tab/>
              <w:t>How to respond</w:t>
            </w:r>
          </w:p>
        </w:tc>
      </w:tr>
      <w:tr w:rsidR="00DB6E1F" w14:paraId="5A29E58F" w14:textId="77777777">
        <w:trPr>
          <w:trHeight w:val="729"/>
        </w:trPr>
        <w:tc>
          <w:tcPr>
            <w:tcW w:w="9350" w:type="dxa"/>
          </w:tcPr>
          <w:p w14:paraId="01E21AC7" w14:textId="77777777" w:rsidR="00DB6E1F" w:rsidRDefault="00F666A6">
            <w:pPr>
              <w:pStyle w:val="TableParagraph"/>
              <w:rPr>
                <w:sz w:val="20"/>
              </w:rPr>
            </w:pPr>
            <w:r>
              <w:rPr>
                <w:sz w:val="20"/>
              </w:rPr>
              <w:t>I</w:t>
            </w:r>
            <w:r>
              <w:rPr>
                <w:spacing w:val="-4"/>
                <w:sz w:val="20"/>
              </w:rPr>
              <w:t xml:space="preserve"> </w:t>
            </w:r>
            <w:r>
              <w:rPr>
                <w:sz w:val="20"/>
              </w:rPr>
              <w:t>will</w:t>
            </w:r>
            <w:r>
              <w:rPr>
                <w:spacing w:val="-4"/>
                <w:sz w:val="20"/>
              </w:rPr>
              <w:t xml:space="preserve"> </w:t>
            </w:r>
            <w:r>
              <w:rPr>
                <w:sz w:val="20"/>
              </w:rPr>
              <w:t>know</w:t>
            </w:r>
            <w:r>
              <w:rPr>
                <w:spacing w:val="-5"/>
                <w:sz w:val="20"/>
              </w:rPr>
              <w:t xml:space="preserve"> </w:t>
            </w:r>
            <w:r>
              <w:rPr>
                <w:sz w:val="20"/>
              </w:rPr>
              <w:t>that</w:t>
            </w:r>
            <w:r>
              <w:rPr>
                <w:spacing w:val="-4"/>
                <w:sz w:val="20"/>
              </w:rPr>
              <w:t xml:space="preserve"> </w:t>
            </w:r>
            <w:r>
              <w:rPr>
                <w:sz w:val="20"/>
              </w:rPr>
              <w:t>my</w:t>
            </w:r>
            <w:r>
              <w:rPr>
                <w:spacing w:val="-2"/>
                <w:sz w:val="20"/>
              </w:rPr>
              <w:t xml:space="preserve"> </w:t>
            </w:r>
            <w:r>
              <w:rPr>
                <w:sz w:val="20"/>
              </w:rPr>
              <w:t>plan</w:t>
            </w:r>
            <w:r>
              <w:rPr>
                <w:spacing w:val="-3"/>
                <w:sz w:val="20"/>
              </w:rPr>
              <w:t xml:space="preserve"> </w:t>
            </w:r>
            <w:r>
              <w:rPr>
                <w:sz w:val="20"/>
              </w:rPr>
              <w:t>is</w:t>
            </w:r>
            <w:r>
              <w:rPr>
                <w:spacing w:val="-5"/>
                <w:sz w:val="20"/>
              </w:rPr>
              <w:t xml:space="preserve"> </w:t>
            </w:r>
            <w:r>
              <w:rPr>
                <w:sz w:val="20"/>
              </w:rPr>
              <w:t>working</w:t>
            </w:r>
            <w:r>
              <w:rPr>
                <w:spacing w:val="-4"/>
                <w:sz w:val="20"/>
              </w:rPr>
              <w:t xml:space="preserve"> </w:t>
            </w:r>
            <w:r>
              <w:rPr>
                <w:sz w:val="20"/>
              </w:rPr>
              <w:t>when</w:t>
            </w:r>
            <w:r>
              <w:rPr>
                <w:spacing w:val="-3"/>
                <w:sz w:val="20"/>
              </w:rPr>
              <w:t xml:space="preserve"> </w:t>
            </w:r>
            <w:r>
              <w:rPr>
                <w:sz w:val="20"/>
              </w:rPr>
              <w:t>I</w:t>
            </w:r>
            <w:r>
              <w:rPr>
                <w:spacing w:val="-3"/>
                <w:sz w:val="20"/>
              </w:rPr>
              <w:t xml:space="preserve"> </w:t>
            </w:r>
            <w:r>
              <w:rPr>
                <w:sz w:val="20"/>
              </w:rPr>
              <w:t>see</w:t>
            </w:r>
            <w:r>
              <w:rPr>
                <w:spacing w:val="-5"/>
                <w:sz w:val="20"/>
              </w:rPr>
              <w:t xml:space="preserve"> </w:t>
            </w:r>
            <w:r>
              <w:rPr>
                <w:sz w:val="20"/>
              </w:rPr>
              <w:t>these</w:t>
            </w:r>
            <w:r>
              <w:rPr>
                <w:spacing w:val="-5"/>
                <w:sz w:val="20"/>
              </w:rPr>
              <w:t xml:space="preserve"> </w:t>
            </w:r>
            <w:r>
              <w:rPr>
                <w:spacing w:val="-2"/>
                <w:sz w:val="20"/>
              </w:rPr>
              <w:t>results:</w:t>
            </w:r>
          </w:p>
        </w:tc>
      </w:tr>
    </w:tbl>
    <w:p w14:paraId="145891AB" w14:textId="77777777" w:rsidR="00DB6E1F" w:rsidRDefault="00DB6E1F">
      <w:pPr>
        <w:rPr>
          <w:sz w:val="20"/>
        </w:rPr>
        <w:sectPr w:rsidR="00DB6E1F">
          <w:pgSz w:w="12240" w:h="15840"/>
          <w:pgMar w:top="1200" w:right="0" w:bottom="780" w:left="0" w:header="763" w:footer="585" w:gutter="0"/>
          <w:cols w:space="720"/>
        </w:sectPr>
      </w:pPr>
    </w:p>
    <w:p w14:paraId="24D91B20"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62C674C" w14:textId="77777777">
        <w:trPr>
          <w:trHeight w:val="647"/>
        </w:trPr>
        <w:tc>
          <w:tcPr>
            <w:tcW w:w="9350" w:type="dxa"/>
          </w:tcPr>
          <w:p w14:paraId="37F25179" w14:textId="77777777" w:rsidR="00DB6E1F" w:rsidRDefault="00F666A6">
            <w:pPr>
              <w:pStyle w:val="TableParagraph"/>
              <w:spacing w:before="80"/>
              <w:rPr>
                <w:i/>
                <w:sz w:val="20"/>
              </w:rPr>
            </w:pPr>
            <w:r>
              <w:rPr>
                <w:i/>
                <w:sz w:val="20"/>
              </w:rPr>
              <w:t>Source:</w:t>
            </w:r>
            <w:r>
              <w:rPr>
                <w:i/>
                <w:spacing w:val="-3"/>
                <w:sz w:val="20"/>
              </w:rPr>
              <w:t xml:space="preserve"> </w:t>
            </w:r>
            <w:r>
              <w:rPr>
                <w:i/>
                <w:sz w:val="20"/>
              </w:rPr>
              <w:t>Miller</w:t>
            </w:r>
            <w:r>
              <w:rPr>
                <w:i/>
                <w:spacing w:val="-4"/>
                <w:sz w:val="20"/>
              </w:rPr>
              <w:t xml:space="preserve"> </w:t>
            </w:r>
            <w:r>
              <w:rPr>
                <w:i/>
                <w:sz w:val="20"/>
              </w:rPr>
              <w:t>&amp;</w:t>
            </w:r>
            <w:r>
              <w:rPr>
                <w:i/>
                <w:spacing w:val="-2"/>
                <w:sz w:val="20"/>
              </w:rPr>
              <w:t xml:space="preserve"> </w:t>
            </w:r>
            <w:r>
              <w:rPr>
                <w:i/>
                <w:sz w:val="20"/>
              </w:rPr>
              <w:t>Rollnick,</w:t>
            </w:r>
            <w:r>
              <w:rPr>
                <w:i/>
                <w:spacing w:val="-2"/>
                <w:sz w:val="20"/>
              </w:rPr>
              <w:t xml:space="preserve"> </w:t>
            </w:r>
            <w:r>
              <w:rPr>
                <w:i/>
                <w:sz w:val="20"/>
              </w:rPr>
              <w:t>2002.</w:t>
            </w:r>
            <w:r>
              <w:rPr>
                <w:i/>
                <w:spacing w:val="-3"/>
                <w:sz w:val="20"/>
              </w:rPr>
              <w:t xml:space="preserve"> </w:t>
            </w:r>
            <w:r>
              <w:rPr>
                <w:sz w:val="20"/>
              </w:rPr>
              <w:t>Motivational</w:t>
            </w:r>
            <w:r>
              <w:rPr>
                <w:spacing w:val="-3"/>
                <w:sz w:val="20"/>
              </w:rPr>
              <w:t xml:space="preserve"> </w:t>
            </w:r>
            <w:r>
              <w:rPr>
                <w:sz w:val="20"/>
              </w:rPr>
              <w:t>Interviewing:</w:t>
            </w:r>
            <w:r>
              <w:rPr>
                <w:spacing w:val="-1"/>
                <w:sz w:val="20"/>
              </w:rPr>
              <w:t xml:space="preserve"> </w:t>
            </w:r>
            <w:r>
              <w:rPr>
                <w:sz w:val="20"/>
              </w:rPr>
              <w:t>Preparing</w:t>
            </w:r>
            <w:r>
              <w:rPr>
                <w:spacing w:val="-3"/>
                <w:sz w:val="20"/>
              </w:rPr>
              <w:t xml:space="preserve"> </w:t>
            </w:r>
            <w:r>
              <w:rPr>
                <w:sz w:val="20"/>
              </w:rPr>
              <w:t>People</w:t>
            </w:r>
            <w:r>
              <w:rPr>
                <w:spacing w:val="-4"/>
                <w:sz w:val="20"/>
              </w:rPr>
              <w:t xml:space="preserve"> </w:t>
            </w:r>
            <w:r>
              <w:rPr>
                <w:sz w:val="20"/>
              </w:rPr>
              <w:t>for</w:t>
            </w:r>
            <w:r>
              <w:rPr>
                <w:spacing w:val="-1"/>
                <w:sz w:val="20"/>
              </w:rPr>
              <w:t xml:space="preserve"> </w:t>
            </w:r>
            <w:r>
              <w:rPr>
                <w:sz w:val="20"/>
              </w:rPr>
              <w:t>Change</w:t>
            </w:r>
            <w:r>
              <w:rPr>
                <w:spacing w:val="-4"/>
                <w:sz w:val="20"/>
              </w:rPr>
              <w:t xml:space="preserve"> </w:t>
            </w:r>
            <w:r>
              <w:rPr>
                <w:sz w:val="20"/>
              </w:rPr>
              <w:t>(2nd</w:t>
            </w:r>
            <w:r>
              <w:rPr>
                <w:spacing w:val="-2"/>
                <w:sz w:val="20"/>
              </w:rPr>
              <w:t xml:space="preserve"> </w:t>
            </w:r>
            <w:r>
              <w:rPr>
                <w:sz w:val="20"/>
              </w:rPr>
              <w:t>ed).</w:t>
            </w:r>
            <w:r>
              <w:rPr>
                <w:spacing w:val="-3"/>
                <w:sz w:val="20"/>
              </w:rPr>
              <w:t xml:space="preserve"> </w:t>
            </w:r>
            <w:r>
              <w:rPr>
                <w:i/>
                <w:sz w:val="20"/>
              </w:rPr>
              <w:t>Adapted</w:t>
            </w:r>
            <w:r>
              <w:rPr>
                <w:i/>
                <w:spacing w:val="-3"/>
                <w:sz w:val="20"/>
              </w:rPr>
              <w:t xml:space="preserve"> </w:t>
            </w:r>
            <w:r>
              <w:rPr>
                <w:i/>
                <w:sz w:val="20"/>
              </w:rPr>
              <w:t>with permission from Guildford Press.</w:t>
            </w:r>
          </w:p>
        </w:tc>
      </w:tr>
    </w:tbl>
    <w:p w14:paraId="5083AE5E" w14:textId="77777777" w:rsidR="00DB6E1F" w:rsidRDefault="00DB6E1F">
      <w:pPr>
        <w:pStyle w:val="BodyText"/>
        <w:spacing w:before="6"/>
        <w:rPr>
          <w:sz w:val="8"/>
        </w:rPr>
      </w:pPr>
    </w:p>
    <w:p w14:paraId="66C52B3B" w14:textId="77777777" w:rsidR="00DB6E1F" w:rsidRDefault="00F666A6">
      <w:pPr>
        <w:spacing w:before="56"/>
        <w:ind w:left="1439" w:right="1450"/>
      </w:pPr>
      <w:r>
        <w:rPr>
          <w:b/>
        </w:rPr>
        <w:t>Create</w:t>
      </w:r>
      <w:r>
        <w:rPr>
          <w:b/>
          <w:spacing w:val="-2"/>
        </w:rPr>
        <w:t xml:space="preserve"> </w:t>
      </w:r>
      <w:r>
        <w:rPr>
          <w:b/>
        </w:rPr>
        <w:t>a</w:t>
      </w:r>
      <w:r>
        <w:rPr>
          <w:b/>
          <w:spacing w:val="-2"/>
        </w:rPr>
        <w:t xml:space="preserve"> </w:t>
      </w:r>
      <w:r>
        <w:rPr>
          <w:b/>
        </w:rPr>
        <w:t>change</w:t>
      </w:r>
      <w:r>
        <w:rPr>
          <w:b/>
          <w:spacing w:val="-4"/>
        </w:rPr>
        <w:t xml:space="preserve"> </w:t>
      </w:r>
      <w:r>
        <w:rPr>
          <w:b/>
        </w:rPr>
        <w:t>plan</w:t>
      </w:r>
      <w:r>
        <w:rPr>
          <w:b/>
          <w:spacing w:val="-2"/>
        </w:rPr>
        <w:t xml:space="preserve"> </w:t>
      </w:r>
      <w:r>
        <w:rPr>
          <w:b/>
        </w:rPr>
        <w:t>using</w:t>
      </w:r>
      <w:r>
        <w:rPr>
          <w:b/>
          <w:spacing w:val="-2"/>
        </w:rPr>
        <w:t xml:space="preserve"> </w:t>
      </w:r>
      <w:r>
        <w:rPr>
          <w:b/>
        </w:rPr>
        <w:t>a</w:t>
      </w:r>
      <w:r>
        <w:rPr>
          <w:b/>
          <w:spacing w:val="-2"/>
        </w:rPr>
        <w:t xml:space="preserve"> </w:t>
      </w:r>
      <w:r>
        <w:rPr>
          <w:b/>
        </w:rPr>
        <w:t>joint</w:t>
      </w:r>
      <w:r>
        <w:rPr>
          <w:b/>
          <w:spacing w:val="-1"/>
        </w:rPr>
        <w:t xml:space="preserve"> </w:t>
      </w:r>
      <w:r>
        <w:rPr>
          <w:b/>
        </w:rPr>
        <w:t>process in</w:t>
      </w:r>
      <w:r>
        <w:rPr>
          <w:b/>
          <w:spacing w:val="-4"/>
        </w:rPr>
        <w:t xml:space="preserve"> </w:t>
      </w:r>
      <w:r>
        <w:rPr>
          <w:b/>
        </w:rPr>
        <w:t>which</w:t>
      </w:r>
      <w:r>
        <w:rPr>
          <w:b/>
          <w:spacing w:val="-4"/>
        </w:rPr>
        <w:t xml:space="preserve"> </w:t>
      </w:r>
      <w:r>
        <w:rPr>
          <w:b/>
        </w:rPr>
        <w:t>you</w:t>
      </w:r>
      <w:r>
        <w:rPr>
          <w:b/>
          <w:spacing w:val="-2"/>
        </w:rPr>
        <w:t xml:space="preserve"> </w:t>
      </w:r>
      <w:r>
        <w:rPr>
          <w:b/>
        </w:rPr>
        <w:t>and</w:t>
      </w:r>
      <w:r>
        <w:rPr>
          <w:b/>
          <w:spacing w:val="-2"/>
        </w:rPr>
        <w:t xml:space="preserve"> </w:t>
      </w:r>
      <w:r>
        <w:rPr>
          <w:b/>
        </w:rPr>
        <w:t>the</w:t>
      </w:r>
      <w:r>
        <w:rPr>
          <w:b/>
          <w:spacing w:val="-1"/>
        </w:rPr>
        <w:t xml:space="preserve"> </w:t>
      </w:r>
      <w:r>
        <w:rPr>
          <w:b/>
        </w:rPr>
        <w:t>client</w:t>
      </w:r>
      <w:r>
        <w:rPr>
          <w:b/>
          <w:spacing w:val="-4"/>
        </w:rPr>
        <w:t xml:space="preserve"> </w:t>
      </w:r>
      <w:r>
        <w:rPr>
          <w:b/>
        </w:rPr>
        <w:t>work</w:t>
      </w:r>
      <w:r>
        <w:rPr>
          <w:b/>
          <w:spacing w:val="-4"/>
        </w:rPr>
        <w:t xml:space="preserve"> </w:t>
      </w:r>
      <w:r>
        <w:rPr>
          <w:b/>
        </w:rPr>
        <w:t xml:space="preserve">together. </w:t>
      </w:r>
      <w:r>
        <w:t>One</w:t>
      </w:r>
      <w:r>
        <w:rPr>
          <w:spacing w:val="-3"/>
        </w:rPr>
        <w:t xml:space="preserve"> </w:t>
      </w:r>
      <w:r>
        <w:t>of</w:t>
      </w:r>
      <w:r>
        <w:rPr>
          <w:spacing w:val="-4"/>
        </w:rPr>
        <w:t xml:space="preserve"> </w:t>
      </w:r>
      <w:r>
        <w:t>your</w:t>
      </w:r>
      <w:r>
        <w:rPr>
          <w:spacing w:val="-3"/>
        </w:rPr>
        <w:t xml:space="preserve"> </w:t>
      </w:r>
      <w:r>
        <w:t>most important tasks is to ensure that the plan is realistic and can be carried out. When the client offers a</w:t>
      </w:r>
      <w:r>
        <w:rPr>
          <w:spacing w:val="40"/>
        </w:rPr>
        <w:t xml:space="preserve"> </w:t>
      </w:r>
      <w:r>
        <w:t xml:space="preserve">plan that seems unrealistic, too ambitious, or not ambitious enough, use shared decision making to rework the plan. The following areas are often </w:t>
      </w:r>
      <w:r>
        <w:t>part of such discussions:</w:t>
      </w:r>
    </w:p>
    <w:p w14:paraId="35186388" w14:textId="77777777" w:rsidR="00DB6E1F" w:rsidRDefault="00F666A6">
      <w:pPr>
        <w:pStyle w:val="ListParagraph"/>
        <w:numPr>
          <w:ilvl w:val="0"/>
          <w:numId w:val="92"/>
        </w:numPr>
        <w:tabs>
          <w:tab w:val="left" w:pos="1800"/>
        </w:tabs>
        <w:spacing w:before="59"/>
        <w:ind w:left="1799" w:right="2025" w:hanging="360"/>
        <w:jc w:val="both"/>
        <w:rPr>
          <w:rFonts w:ascii="Symbol" w:hAnsi="Symbol"/>
        </w:rPr>
      </w:pPr>
      <w:r>
        <w:rPr>
          <w:b/>
        </w:rPr>
        <w:t xml:space="preserve">Intensity and amount of help needed. </w:t>
      </w:r>
      <w:r>
        <w:t>Encourage participation in community-based recovery support groups (e.g., AA, Narcotics Anonymous [NA], SMART Recovery, Women for Sobriety), enrolling</w:t>
      </w:r>
      <w:r>
        <w:rPr>
          <w:spacing w:val="-3"/>
        </w:rPr>
        <w:t xml:space="preserve"> </w:t>
      </w:r>
      <w:r>
        <w:t>in</w:t>
      </w:r>
      <w:r>
        <w:rPr>
          <w:spacing w:val="-3"/>
        </w:rPr>
        <w:t xml:space="preserve"> </w:t>
      </w:r>
      <w:r>
        <w:t>intensive</w:t>
      </w:r>
      <w:r>
        <w:rPr>
          <w:spacing w:val="-4"/>
        </w:rPr>
        <w:t xml:space="preserve"> </w:t>
      </w:r>
      <w:r>
        <w:t>outpatient</w:t>
      </w:r>
      <w:r>
        <w:rPr>
          <w:spacing w:val="-1"/>
        </w:rPr>
        <w:t xml:space="preserve"> </w:t>
      </w:r>
      <w:r>
        <w:t>treatment</w:t>
      </w:r>
      <w:r>
        <w:rPr>
          <w:spacing w:val="-4"/>
        </w:rPr>
        <w:t xml:space="preserve"> </w:t>
      </w:r>
      <w:r>
        <w:t>(IOP),</w:t>
      </w:r>
      <w:r>
        <w:rPr>
          <w:spacing w:val="-4"/>
        </w:rPr>
        <w:t xml:space="preserve"> </w:t>
      </w:r>
      <w:r>
        <w:t>or</w:t>
      </w:r>
      <w:r>
        <w:rPr>
          <w:spacing w:val="-4"/>
        </w:rPr>
        <w:t xml:space="preserve"> </w:t>
      </w:r>
      <w:r>
        <w:t>entering</w:t>
      </w:r>
      <w:r>
        <w:rPr>
          <w:spacing w:val="-3"/>
        </w:rPr>
        <w:t xml:space="preserve"> </w:t>
      </w:r>
      <w:r>
        <w:t>a</w:t>
      </w:r>
      <w:r>
        <w:rPr>
          <w:spacing w:val="-5"/>
        </w:rPr>
        <w:t xml:space="preserve"> </w:t>
      </w:r>
      <w:r>
        <w:t>2-year</w:t>
      </w:r>
      <w:r>
        <w:rPr>
          <w:spacing w:val="-4"/>
        </w:rPr>
        <w:t xml:space="preserve"> </w:t>
      </w:r>
      <w:r>
        <w:t>therapeutic</w:t>
      </w:r>
      <w:r>
        <w:rPr>
          <w:spacing w:val="-4"/>
        </w:rPr>
        <w:t xml:space="preserve"> </w:t>
      </w:r>
      <w:r>
        <w:t>community.</w:t>
      </w:r>
    </w:p>
    <w:p w14:paraId="03AF1DDE" w14:textId="77777777" w:rsidR="00DB6E1F" w:rsidRDefault="00F666A6">
      <w:pPr>
        <w:pStyle w:val="ListParagraph"/>
        <w:numPr>
          <w:ilvl w:val="0"/>
          <w:numId w:val="92"/>
        </w:numPr>
        <w:tabs>
          <w:tab w:val="left" w:pos="1800"/>
        </w:tabs>
        <w:spacing w:before="61"/>
        <w:ind w:left="1799"/>
        <w:jc w:val="both"/>
        <w:rPr>
          <w:rFonts w:ascii="Symbol" w:hAnsi="Symbol"/>
        </w:rPr>
      </w:pPr>
      <w:r>
        <w:rPr>
          <w:b/>
        </w:rPr>
        <w:t>Timeframe.</w:t>
      </w:r>
      <w:r>
        <w:rPr>
          <w:b/>
          <w:spacing w:val="-6"/>
        </w:rPr>
        <w:t xml:space="preserve"> </w:t>
      </w:r>
      <w:r>
        <w:t>Choose</w:t>
      </w:r>
      <w:r>
        <w:rPr>
          <w:spacing w:val="-5"/>
        </w:rPr>
        <w:t xml:space="preserve"> </w:t>
      </w:r>
      <w:r>
        <w:t>a</w:t>
      </w:r>
      <w:r>
        <w:rPr>
          <w:spacing w:val="-3"/>
        </w:rPr>
        <w:t xml:space="preserve"> </w:t>
      </w:r>
      <w:r>
        <w:t>short-term</w:t>
      </w:r>
      <w:r>
        <w:rPr>
          <w:spacing w:val="-4"/>
        </w:rPr>
        <w:t xml:space="preserve"> </w:t>
      </w:r>
      <w:r>
        <w:t>rather</w:t>
      </w:r>
      <w:r>
        <w:rPr>
          <w:spacing w:val="-5"/>
        </w:rPr>
        <w:t xml:space="preserve"> </w:t>
      </w:r>
      <w:r>
        <w:t>than</w:t>
      </w:r>
      <w:r>
        <w:rPr>
          <w:spacing w:val="-4"/>
        </w:rPr>
        <w:t xml:space="preserve"> </w:t>
      </w:r>
      <w:r>
        <w:t>a</w:t>
      </w:r>
      <w:r>
        <w:rPr>
          <w:spacing w:val="-3"/>
        </w:rPr>
        <w:t xml:space="preserve"> </w:t>
      </w:r>
      <w:r>
        <w:t>long-term</w:t>
      </w:r>
      <w:r>
        <w:rPr>
          <w:spacing w:val="-2"/>
        </w:rPr>
        <w:t xml:space="preserve"> </w:t>
      </w:r>
      <w:r>
        <w:t>plan</w:t>
      </w:r>
      <w:r>
        <w:rPr>
          <w:spacing w:val="-4"/>
        </w:rPr>
        <w:t xml:space="preserve"> </w:t>
      </w:r>
      <w:r>
        <w:t>and</w:t>
      </w:r>
      <w:r>
        <w:rPr>
          <w:spacing w:val="-4"/>
        </w:rPr>
        <w:t xml:space="preserve"> </w:t>
      </w:r>
      <w:r>
        <w:t>a</w:t>
      </w:r>
      <w:r>
        <w:rPr>
          <w:spacing w:val="-4"/>
        </w:rPr>
        <w:t xml:space="preserve"> </w:t>
      </w:r>
      <w:r>
        <w:t>start</w:t>
      </w:r>
      <w:r>
        <w:rPr>
          <w:spacing w:val="-5"/>
        </w:rPr>
        <w:t xml:space="preserve"> </w:t>
      </w:r>
      <w:r>
        <w:t>date</w:t>
      </w:r>
      <w:r>
        <w:rPr>
          <w:spacing w:val="-5"/>
        </w:rPr>
        <w:t xml:space="preserve"> </w:t>
      </w:r>
      <w:r>
        <w:t>for</w:t>
      </w:r>
      <w:r>
        <w:rPr>
          <w:spacing w:val="-3"/>
        </w:rPr>
        <w:t xml:space="preserve"> </w:t>
      </w:r>
      <w:r>
        <w:t>the</w:t>
      </w:r>
      <w:r>
        <w:rPr>
          <w:spacing w:val="-1"/>
        </w:rPr>
        <w:t xml:space="preserve"> </w:t>
      </w:r>
      <w:r>
        <w:rPr>
          <w:spacing w:val="-2"/>
        </w:rPr>
        <w:t>plan.</w:t>
      </w:r>
    </w:p>
    <w:p w14:paraId="70198FBC" w14:textId="77777777" w:rsidR="00DB6E1F" w:rsidRDefault="00F666A6">
      <w:pPr>
        <w:pStyle w:val="ListParagraph"/>
        <w:numPr>
          <w:ilvl w:val="0"/>
          <w:numId w:val="92"/>
        </w:numPr>
        <w:tabs>
          <w:tab w:val="left" w:pos="1799"/>
          <w:tab w:val="left" w:pos="1800"/>
        </w:tabs>
        <w:ind w:left="1799" w:right="1443"/>
        <w:rPr>
          <w:rFonts w:ascii="Symbol" w:hAnsi="Symbol"/>
        </w:rPr>
      </w:pPr>
      <w:r>
        <w:rPr>
          <w:b/>
        </w:rPr>
        <w:t xml:space="preserve">Available social support. </w:t>
      </w:r>
      <w:r>
        <w:t>Discuss who will be involved in treatment (e.g., family, Women for</w:t>
      </w:r>
      <w:r>
        <w:rPr>
          <w:spacing w:val="40"/>
        </w:rPr>
        <w:t xml:space="preserve"> </w:t>
      </w:r>
      <w:r>
        <w:t>Sobriety</w:t>
      </w:r>
      <w:r>
        <w:rPr>
          <w:spacing w:val="-4"/>
        </w:rPr>
        <w:t xml:space="preserve"> </w:t>
      </w:r>
      <w:r>
        <w:t>members,</w:t>
      </w:r>
      <w:r>
        <w:rPr>
          <w:spacing w:val="-4"/>
        </w:rPr>
        <w:t xml:space="preserve"> </w:t>
      </w:r>
      <w:r>
        <w:t>community</w:t>
      </w:r>
      <w:r>
        <w:rPr>
          <w:spacing w:val="-4"/>
        </w:rPr>
        <w:t xml:space="preserve"> </w:t>
      </w:r>
      <w:r>
        <w:t>members),</w:t>
      </w:r>
      <w:r>
        <w:rPr>
          <w:spacing w:val="-2"/>
        </w:rPr>
        <w:t xml:space="preserve"> </w:t>
      </w:r>
      <w:r>
        <w:t>where</w:t>
      </w:r>
      <w:r>
        <w:rPr>
          <w:spacing w:val="-1"/>
        </w:rPr>
        <w:t xml:space="preserve"> </w:t>
      </w:r>
      <w:r>
        <w:t>it</w:t>
      </w:r>
      <w:r>
        <w:rPr>
          <w:spacing w:val="-4"/>
        </w:rPr>
        <w:t xml:space="preserve"> </w:t>
      </w:r>
      <w:r>
        <w:t>will</w:t>
      </w:r>
      <w:r>
        <w:rPr>
          <w:spacing w:val="-2"/>
        </w:rPr>
        <w:t xml:space="preserve"> </w:t>
      </w:r>
      <w:r>
        <w:t>take</w:t>
      </w:r>
      <w:r>
        <w:rPr>
          <w:spacing w:val="-4"/>
        </w:rPr>
        <w:t xml:space="preserve"> </w:t>
      </w:r>
      <w:r>
        <w:t>place</w:t>
      </w:r>
      <w:r>
        <w:rPr>
          <w:spacing w:val="-4"/>
        </w:rPr>
        <w:t xml:space="preserve"> </w:t>
      </w:r>
      <w:r>
        <w:t>(e.g.,</w:t>
      </w:r>
      <w:r>
        <w:rPr>
          <w:spacing w:val="-2"/>
        </w:rPr>
        <w:t xml:space="preserve"> </w:t>
      </w:r>
      <w:r>
        <w:t>at</w:t>
      </w:r>
      <w:r>
        <w:rPr>
          <w:spacing w:val="-4"/>
        </w:rPr>
        <w:t xml:space="preserve"> </w:t>
      </w:r>
      <w:r>
        <w:t>home,</w:t>
      </w:r>
      <w:r>
        <w:rPr>
          <w:spacing w:val="-4"/>
        </w:rPr>
        <w:t xml:space="preserve"> </w:t>
      </w:r>
      <w:r>
        <w:t>in</w:t>
      </w:r>
      <w:r>
        <w:rPr>
          <w:spacing w:val="-3"/>
        </w:rPr>
        <w:t xml:space="preserve"> </w:t>
      </w:r>
      <w:r>
        <w:t>t</w:t>
      </w:r>
      <w:r>
        <w:t>he</w:t>
      </w:r>
      <w:r>
        <w:rPr>
          <w:spacing w:val="-1"/>
        </w:rPr>
        <w:t xml:space="preserve"> </w:t>
      </w:r>
      <w:r>
        <w:t>community), and when it will occur (e.g., after work, weekends, twice a week).</w:t>
      </w:r>
    </w:p>
    <w:p w14:paraId="1FAC0115" w14:textId="77777777" w:rsidR="00DB6E1F" w:rsidRDefault="00F666A6">
      <w:pPr>
        <w:pStyle w:val="Heading5"/>
        <w:numPr>
          <w:ilvl w:val="0"/>
          <w:numId w:val="92"/>
        </w:numPr>
        <w:tabs>
          <w:tab w:val="left" w:pos="1799"/>
          <w:tab w:val="left" w:pos="1800"/>
        </w:tabs>
        <w:spacing w:before="61"/>
        <w:ind w:left="1799"/>
        <w:rPr>
          <w:rFonts w:ascii="Symbol" w:hAnsi="Symbol"/>
          <w:b w:val="0"/>
        </w:rPr>
      </w:pPr>
      <w:r>
        <w:t>The</w:t>
      </w:r>
      <w:r>
        <w:rPr>
          <w:spacing w:val="-6"/>
        </w:rPr>
        <w:t xml:space="preserve"> </w:t>
      </w:r>
      <w:r>
        <w:t>order</w:t>
      </w:r>
      <w:r>
        <w:rPr>
          <w:spacing w:val="-2"/>
        </w:rPr>
        <w:t xml:space="preserve"> </w:t>
      </w:r>
      <w:r>
        <w:t>of</w:t>
      </w:r>
      <w:r>
        <w:rPr>
          <w:spacing w:val="-3"/>
        </w:rPr>
        <w:t xml:space="preserve"> </w:t>
      </w:r>
      <w:r>
        <w:t>subgoals</w:t>
      </w:r>
      <w:r>
        <w:rPr>
          <w:spacing w:val="-2"/>
        </w:rPr>
        <w:t xml:space="preserve"> </w:t>
      </w:r>
      <w:r>
        <w:t>and</w:t>
      </w:r>
      <w:r>
        <w:rPr>
          <w:spacing w:val="-6"/>
        </w:rPr>
        <w:t xml:space="preserve"> </w:t>
      </w:r>
      <w:r>
        <w:t>strategies</w:t>
      </w:r>
      <w:r>
        <w:rPr>
          <w:spacing w:val="-2"/>
        </w:rPr>
        <w:t xml:space="preserve"> </w:t>
      </w:r>
      <w:r>
        <w:t>or</w:t>
      </w:r>
      <w:r>
        <w:rPr>
          <w:spacing w:val="-1"/>
        </w:rPr>
        <w:t xml:space="preserve"> </w:t>
      </w:r>
      <w:r>
        <w:t>steps</w:t>
      </w:r>
      <w:r>
        <w:rPr>
          <w:spacing w:val="-2"/>
        </w:rPr>
        <w:t xml:space="preserve"> </w:t>
      </w:r>
      <w:r>
        <w:t>in</w:t>
      </w:r>
      <w:r>
        <w:rPr>
          <w:spacing w:val="-6"/>
        </w:rPr>
        <w:t xml:space="preserve"> </w:t>
      </w:r>
      <w:r>
        <w:t>the</w:t>
      </w:r>
      <w:r>
        <w:rPr>
          <w:spacing w:val="-4"/>
        </w:rPr>
        <w:t xml:space="preserve"> </w:t>
      </w:r>
      <w:r>
        <w:t>plan.</w:t>
      </w:r>
      <w:r>
        <w:rPr>
          <w:spacing w:val="-2"/>
        </w:rPr>
        <w:t xml:space="preserve"> </w:t>
      </w:r>
      <w:r>
        <w:rPr>
          <w:b w:val="0"/>
        </w:rPr>
        <w:t>For</w:t>
      </w:r>
      <w:r>
        <w:rPr>
          <w:b w:val="0"/>
          <w:spacing w:val="-5"/>
        </w:rPr>
        <w:t xml:space="preserve"> </w:t>
      </w:r>
      <w:r>
        <w:rPr>
          <w:b w:val="0"/>
          <w:spacing w:val="-2"/>
        </w:rPr>
        <w:t>example:</w:t>
      </w:r>
    </w:p>
    <w:p w14:paraId="24B237C1" w14:textId="77777777" w:rsidR="00DB6E1F" w:rsidRDefault="00F666A6">
      <w:pPr>
        <w:pStyle w:val="ListParagraph"/>
        <w:numPr>
          <w:ilvl w:val="1"/>
          <w:numId w:val="58"/>
        </w:numPr>
        <w:tabs>
          <w:tab w:val="left" w:pos="2160"/>
        </w:tabs>
        <w:spacing w:before="58"/>
      </w:pPr>
      <w:r>
        <w:t>Stop</w:t>
      </w:r>
      <w:r>
        <w:rPr>
          <w:spacing w:val="-4"/>
        </w:rPr>
        <w:t xml:space="preserve"> </w:t>
      </w:r>
      <w:r>
        <w:t>dealing</w:t>
      </w:r>
      <w:r>
        <w:rPr>
          <w:spacing w:val="-5"/>
        </w:rPr>
        <w:t xml:space="preserve"> </w:t>
      </w:r>
      <w:r>
        <w:rPr>
          <w:spacing w:val="-2"/>
        </w:rPr>
        <w:t>marijuana.</w:t>
      </w:r>
    </w:p>
    <w:p w14:paraId="6411B8A2" w14:textId="77777777" w:rsidR="00DB6E1F" w:rsidRDefault="00F666A6">
      <w:pPr>
        <w:pStyle w:val="ListParagraph"/>
        <w:numPr>
          <w:ilvl w:val="1"/>
          <w:numId w:val="58"/>
        </w:numPr>
        <w:tabs>
          <w:tab w:val="left" w:pos="2160"/>
        </w:tabs>
        <w:spacing w:before="22"/>
      </w:pPr>
      <w:r>
        <w:t>Stop</w:t>
      </w:r>
      <w:r>
        <w:rPr>
          <w:spacing w:val="-5"/>
        </w:rPr>
        <w:t xml:space="preserve"> </w:t>
      </w:r>
      <w:r>
        <w:t>smoking</w:t>
      </w:r>
      <w:r>
        <w:rPr>
          <w:spacing w:val="-5"/>
        </w:rPr>
        <w:t xml:space="preserve"> </w:t>
      </w:r>
      <w:r>
        <w:rPr>
          <w:spacing w:val="-2"/>
        </w:rPr>
        <w:t>marijuana.</w:t>
      </w:r>
    </w:p>
    <w:p w14:paraId="16E510AC" w14:textId="77777777" w:rsidR="00DB6E1F" w:rsidRDefault="00F666A6">
      <w:pPr>
        <w:pStyle w:val="ListParagraph"/>
        <w:numPr>
          <w:ilvl w:val="1"/>
          <w:numId w:val="58"/>
        </w:numPr>
        <w:tabs>
          <w:tab w:val="left" w:pos="2161"/>
        </w:tabs>
        <w:spacing w:before="21"/>
        <w:ind w:left="2160" w:hanging="362"/>
      </w:pPr>
      <w:r>
        <w:t>Call</w:t>
      </w:r>
      <w:r>
        <w:rPr>
          <w:spacing w:val="-3"/>
        </w:rPr>
        <w:t xml:space="preserve"> </w:t>
      </w:r>
      <w:r>
        <w:t>friends</w:t>
      </w:r>
      <w:r>
        <w:rPr>
          <w:spacing w:val="-4"/>
        </w:rPr>
        <w:t xml:space="preserve"> </w:t>
      </w:r>
      <w:r>
        <w:t>or</w:t>
      </w:r>
      <w:r>
        <w:rPr>
          <w:spacing w:val="-3"/>
        </w:rPr>
        <w:t xml:space="preserve"> </w:t>
      </w:r>
      <w:r>
        <w:t>family</w:t>
      </w:r>
      <w:r>
        <w:rPr>
          <w:spacing w:val="-4"/>
        </w:rPr>
        <w:t xml:space="preserve"> </w:t>
      </w:r>
      <w:r>
        <w:t>to</w:t>
      </w:r>
      <w:r>
        <w:rPr>
          <w:spacing w:val="-4"/>
        </w:rPr>
        <w:t xml:space="preserve"> </w:t>
      </w:r>
      <w:r>
        <w:t>tell</w:t>
      </w:r>
      <w:r>
        <w:rPr>
          <w:spacing w:val="-5"/>
        </w:rPr>
        <w:t xml:space="preserve"> </w:t>
      </w:r>
      <w:r>
        <w:t>them</w:t>
      </w:r>
      <w:r>
        <w:rPr>
          <w:spacing w:val="-2"/>
        </w:rPr>
        <w:t xml:space="preserve"> </w:t>
      </w:r>
      <w:r>
        <w:t>about</w:t>
      </w:r>
      <w:r>
        <w:rPr>
          <w:spacing w:val="-1"/>
        </w:rPr>
        <w:t xml:space="preserve"> </w:t>
      </w:r>
      <w:r>
        <w:t>the</w:t>
      </w:r>
      <w:r>
        <w:rPr>
          <w:spacing w:val="-4"/>
        </w:rPr>
        <w:t xml:space="preserve"> </w:t>
      </w:r>
      <w:r>
        <w:rPr>
          <w:spacing w:val="-2"/>
        </w:rPr>
        <w:t>plan.</w:t>
      </w:r>
    </w:p>
    <w:p w14:paraId="6CBD4696" w14:textId="77777777" w:rsidR="00DB6E1F" w:rsidRDefault="00F666A6">
      <w:pPr>
        <w:pStyle w:val="ListParagraph"/>
        <w:numPr>
          <w:ilvl w:val="1"/>
          <w:numId w:val="58"/>
        </w:numPr>
        <w:tabs>
          <w:tab w:val="left" w:pos="2161"/>
        </w:tabs>
        <w:spacing w:before="22"/>
        <w:ind w:left="2160"/>
      </w:pPr>
      <w:r>
        <w:t>Visit</w:t>
      </w:r>
      <w:r>
        <w:rPr>
          <w:spacing w:val="-2"/>
        </w:rPr>
        <w:t xml:space="preserve"> </w:t>
      </w:r>
      <w:r>
        <w:t>friends</w:t>
      </w:r>
      <w:r>
        <w:rPr>
          <w:spacing w:val="-4"/>
        </w:rPr>
        <w:t xml:space="preserve"> </w:t>
      </w:r>
      <w:r>
        <w:t>or</w:t>
      </w:r>
      <w:r>
        <w:rPr>
          <w:spacing w:val="-3"/>
        </w:rPr>
        <w:t xml:space="preserve"> </w:t>
      </w:r>
      <w:r>
        <w:t>family</w:t>
      </w:r>
      <w:r>
        <w:rPr>
          <w:spacing w:val="-3"/>
        </w:rPr>
        <w:t xml:space="preserve"> </w:t>
      </w:r>
      <w:r>
        <w:t>who</w:t>
      </w:r>
      <w:r>
        <w:rPr>
          <w:spacing w:val="-3"/>
        </w:rPr>
        <w:t xml:space="preserve"> </w:t>
      </w:r>
      <w:r>
        <w:t>know</w:t>
      </w:r>
      <w:r>
        <w:rPr>
          <w:spacing w:val="-5"/>
        </w:rPr>
        <w:t xml:space="preserve"> </w:t>
      </w:r>
      <w:r>
        <w:t>about</w:t>
      </w:r>
      <w:r>
        <w:rPr>
          <w:spacing w:val="-4"/>
        </w:rPr>
        <w:t xml:space="preserve"> </w:t>
      </w:r>
      <w:r>
        <w:t>the</w:t>
      </w:r>
      <w:r>
        <w:rPr>
          <w:spacing w:val="-1"/>
        </w:rPr>
        <w:t xml:space="preserve"> </w:t>
      </w:r>
      <w:r>
        <w:rPr>
          <w:spacing w:val="-4"/>
        </w:rPr>
        <w:t>plan.</w:t>
      </w:r>
    </w:p>
    <w:p w14:paraId="3449D9DC" w14:textId="77777777" w:rsidR="00DB6E1F" w:rsidRDefault="00F666A6">
      <w:pPr>
        <w:pStyle w:val="ListParagraph"/>
        <w:numPr>
          <w:ilvl w:val="1"/>
          <w:numId w:val="58"/>
        </w:numPr>
        <w:tabs>
          <w:tab w:val="left" w:pos="2161"/>
        </w:tabs>
        <w:spacing w:before="20"/>
        <w:ind w:left="2160"/>
      </w:pPr>
      <w:r>
        <w:t>Learn</w:t>
      </w:r>
      <w:r>
        <w:rPr>
          <w:spacing w:val="-6"/>
        </w:rPr>
        <w:t xml:space="preserve"> </w:t>
      </w:r>
      <w:r>
        <w:t>relaxation</w:t>
      </w:r>
      <w:r>
        <w:rPr>
          <w:spacing w:val="-6"/>
        </w:rPr>
        <w:t xml:space="preserve"> </w:t>
      </w:r>
      <w:r>
        <w:rPr>
          <w:spacing w:val="-2"/>
        </w:rPr>
        <w:t>techniques.</w:t>
      </w:r>
    </w:p>
    <w:p w14:paraId="1037A005" w14:textId="77777777" w:rsidR="00DB6E1F" w:rsidRDefault="00F666A6">
      <w:pPr>
        <w:pStyle w:val="ListParagraph"/>
        <w:numPr>
          <w:ilvl w:val="1"/>
          <w:numId w:val="58"/>
        </w:numPr>
        <w:tabs>
          <w:tab w:val="left" w:pos="2161"/>
        </w:tabs>
        <w:spacing w:before="19"/>
        <w:ind w:left="2160"/>
      </w:pPr>
      <w:r>
        <w:t>Use</w:t>
      </w:r>
      <w:r>
        <w:rPr>
          <w:spacing w:val="-6"/>
        </w:rPr>
        <w:t xml:space="preserve"> </w:t>
      </w:r>
      <w:r>
        <w:t>relaxation</w:t>
      </w:r>
      <w:r>
        <w:rPr>
          <w:spacing w:val="-6"/>
        </w:rPr>
        <w:t xml:space="preserve"> </w:t>
      </w:r>
      <w:r>
        <w:t>techniques</w:t>
      </w:r>
      <w:r>
        <w:rPr>
          <w:spacing w:val="-8"/>
        </w:rPr>
        <w:t xml:space="preserve"> </w:t>
      </w:r>
      <w:r>
        <w:t>when</w:t>
      </w:r>
      <w:r>
        <w:rPr>
          <w:spacing w:val="-5"/>
        </w:rPr>
        <w:t xml:space="preserve"> </w:t>
      </w:r>
      <w:r>
        <w:t>feeling</w:t>
      </w:r>
      <w:r>
        <w:rPr>
          <w:spacing w:val="-6"/>
        </w:rPr>
        <w:t xml:space="preserve"> </w:t>
      </w:r>
      <w:r>
        <w:t>stressed</w:t>
      </w:r>
      <w:r>
        <w:rPr>
          <w:spacing w:val="-4"/>
        </w:rPr>
        <w:t xml:space="preserve"> </w:t>
      </w:r>
      <w:r>
        <w:t>at</w:t>
      </w:r>
      <w:r>
        <w:rPr>
          <w:spacing w:val="-4"/>
        </w:rPr>
        <w:t xml:space="preserve"> work.</w:t>
      </w:r>
    </w:p>
    <w:p w14:paraId="4102A427" w14:textId="77777777" w:rsidR="00DB6E1F" w:rsidRDefault="00F666A6">
      <w:pPr>
        <w:pStyle w:val="ListParagraph"/>
        <w:numPr>
          <w:ilvl w:val="0"/>
          <w:numId w:val="92"/>
        </w:numPr>
        <w:tabs>
          <w:tab w:val="left" w:pos="1800"/>
          <w:tab w:val="left" w:pos="1801"/>
        </w:tabs>
        <w:spacing w:before="33" w:line="430" w:lineRule="atLeast"/>
        <w:ind w:left="1440" w:right="1622" w:hanging="1"/>
        <w:rPr>
          <w:rFonts w:ascii="Symbol" w:hAnsi="Symbol"/>
        </w:rPr>
      </w:pPr>
      <w:r>
        <w:rPr>
          <w:b/>
        </w:rPr>
        <w:t>Ways</w:t>
      </w:r>
      <w:r>
        <w:rPr>
          <w:b/>
          <w:spacing w:val="-2"/>
        </w:rPr>
        <w:t xml:space="preserve"> </w:t>
      </w:r>
      <w:r>
        <w:rPr>
          <w:b/>
        </w:rPr>
        <w:t>to</w:t>
      </w:r>
      <w:r>
        <w:rPr>
          <w:b/>
          <w:spacing w:val="-4"/>
        </w:rPr>
        <w:t xml:space="preserve"> </w:t>
      </w:r>
      <w:r>
        <w:rPr>
          <w:b/>
        </w:rPr>
        <w:t>address</w:t>
      </w:r>
      <w:r>
        <w:rPr>
          <w:b/>
          <w:spacing w:val="-2"/>
        </w:rPr>
        <w:t xml:space="preserve"> </w:t>
      </w:r>
      <w:r>
        <w:rPr>
          <w:b/>
        </w:rPr>
        <w:t>multiple</w:t>
      </w:r>
      <w:r>
        <w:rPr>
          <w:b/>
          <w:spacing w:val="-6"/>
        </w:rPr>
        <w:t xml:space="preserve"> </w:t>
      </w:r>
      <w:r>
        <w:rPr>
          <w:b/>
        </w:rPr>
        <w:t>problems.</w:t>
      </w:r>
      <w:r>
        <w:rPr>
          <w:b/>
          <w:spacing w:val="-4"/>
        </w:rPr>
        <w:t xml:space="preserve"> </w:t>
      </w:r>
      <w:r>
        <w:t>Consider</w:t>
      </w:r>
      <w:r>
        <w:rPr>
          <w:spacing w:val="-3"/>
        </w:rPr>
        <w:t xml:space="preserve"> </w:t>
      </w:r>
      <w:r>
        <w:t>legal,</w:t>
      </w:r>
      <w:r>
        <w:rPr>
          <w:spacing w:val="-5"/>
        </w:rPr>
        <w:t xml:space="preserve"> </w:t>
      </w:r>
      <w:r>
        <w:t>financial,</w:t>
      </w:r>
      <w:r>
        <w:rPr>
          <w:spacing w:val="-3"/>
        </w:rPr>
        <w:t xml:space="preserve"> </w:t>
      </w:r>
      <w:r>
        <w:t>and</w:t>
      </w:r>
      <w:r>
        <w:rPr>
          <w:spacing w:val="-4"/>
        </w:rPr>
        <w:t xml:space="preserve"> </w:t>
      </w:r>
      <w:r>
        <w:t>health</w:t>
      </w:r>
      <w:r>
        <w:rPr>
          <w:spacing w:val="-4"/>
        </w:rPr>
        <w:t xml:space="preserve"> </w:t>
      </w:r>
      <w:r>
        <w:t>problems,</w:t>
      </w:r>
      <w:r>
        <w:rPr>
          <w:spacing w:val="-3"/>
        </w:rPr>
        <w:t xml:space="preserve"> </w:t>
      </w:r>
      <w:r>
        <w:t>among</w:t>
      </w:r>
      <w:r>
        <w:rPr>
          <w:spacing w:val="-4"/>
        </w:rPr>
        <w:t xml:space="preserve"> </w:t>
      </w:r>
      <w:r>
        <w:t>others. Clients may ask you for information and advice about specific steps to add to the plan. You should:</w:t>
      </w:r>
    </w:p>
    <w:p w14:paraId="1D6038D2" w14:textId="77777777" w:rsidR="00DB6E1F" w:rsidRDefault="00F666A6">
      <w:pPr>
        <w:pStyle w:val="ListParagraph"/>
        <w:numPr>
          <w:ilvl w:val="0"/>
          <w:numId w:val="92"/>
        </w:numPr>
        <w:tabs>
          <w:tab w:val="left" w:pos="1800"/>
          <w:tab w:val="left" w:pos="1801"/>
        </w:tabs>
        <w:ind w:left="1800"/>
        <w:rPr>
          <w:rFonts w:ascii="Symbol" w:hAnsi="Symbol"/>
        </w:rPr>
      </w:pPr>
      <w:r>
        <w:t>Ask</w:t>
      </w:r>
      <w:r>
        <w:rPr>
          <w:spacing w:val="-3"/>
        </w:rPr>
        <w:t xml:space="preserve"> </w:t>
      </w:r>
      <w:r>
        <w:t>permission</w:t>
      </w:r>
      <w:r>
        <w:rPr>
          <w:spacing w:val="-3"/>
        </w:rPr>
        <w:t xml:space="preserve"> </w:t>
      </w:r>
      <w:r>
        <w:t>to</w:t>
      </w:r>
      <w:r>
        <w:rPr>
          <w:spacing w:val="-4"/>
        </w:rPr>
        <w:t xml:space="preserve"> </w:t>
      </w:r>
      <w:r>
        <w:t>offer</w:t>
      </w:r>
      <w:r>
        <w:rPr>
          <w:spacing w:val="-2"/>
        </w:rPr>
        <w:t xml:space="preserve"> advice.</w:t>
      </w:r>
    </w:p>
    <w:p w14:paraId="0F70A32A" w14:textId="77777777" w:rsidR="00DB6E1F" w:rsidRDefault="00F666A6">
      <w:pPr>
        <w:pStyle w:val="ListParagraph"/>
        <w:numPr>
          <w:ilvl w:val="0"/>
          <w:numId w:val="92"/>
        </w:numPr>
        <w:tabs>
          <w:tab w:val="left" w:pos="1800"/>
          <w:tab w:val="left" w:pos="1801"/>
        </w:tabs>
        <w:spacing w:before="61"/>
        <w:ind w:left="1800" w:right="1610" w:hanging="360"/>
        <w:rPr>
          <w:rFonts w:ascii="Symbol" w:hAnsi="Symbol"/>
        </w:rPr>
      </w:pPr>
      <w:r>
        <w:t>Use</w:t>
      </w:r>
      <w:r>
        <w:rPr>
          <w:spacing w:val="-1"/>
        </w:rPr>
        <w:t xml:space="preserve"> </w:t>
      </w:r>
      <w:r>
        <w:t>the</w:t>
      </w:r>
      <w:r>
        <w:rPr>
          <w:spacing w:val="-1"/>
        </w:rPr>
        <w:t xml:space="preserve"> </w:t>
      </w:r>
      <w:r>
        <w:t>Elicit-Provide-Elicit</w:t>
      </w:r>
      <w:r>
        <w:rPr>
          <w:spacing w:val="-4"/>
        </w:rPr>
        <w:t xml:space="preserve"> </w:t>
      </w:r>
      <w:r>
        <w:t>(EPE)</w:t>
      </w:r>
      <w:r>
        <w:rPr>
          <w:spacing w:val="-2"/>
        </w:rPr>
        <w:t xml:space="preserve"> </w:t>
      </w:r>
      <w:r>
        <w:t>approach</w:t>
      </w:r>
      <w:r>
        <w:rPr>
          <w:spacing w:val="-2"/>
        </w:rPr>
        <w:t xml:space="preserve"> </w:t>
      </w:r>
      <w:r>
        <w:t>to</w:t>
      </w:r>
      <w:r>
        <w:rPr>
          <w:spacing w:val="-1"/>
        </w:rPr>
        <w:t xml:space="preserve"> </w:t>
      </w:r>
      <w:r>
        <w:t>keep</w:t>
      </w:r>
      <w:r>
        <w:rPr>
          <w:spacing w:val="-3"/>
        </w:rPr>
        <w:t xml:space="preserve"> </w:t>
      </w:r>
      <w:r>
        <w:t>the</w:t>
      </w:r>
      <w:r>
        <w:rPr>
          <w:spacing w:val="-4"/>
        </w:rPr>
        <w:t xml:space="preserve"> </w:t>
      </w:r>
      <w:r>
        <w:t>client</w:t>
      </w:r>
      <w:r>
        <w:rPr>
          <w:spacing w:val="-2"/>
        </w:rPr>
        <w:t xml:space="preserve"> </w:t>
      </w:r>
      <w:r>
        <w:t>in</w:t>
      </w:r>
      <w:r>
        <w:rPr>
          <w:spacing w:val="-5"/>
        </w:rPr>
        <w:t xml:space="preserve"> </w:t>
      </w:r>
      <w:r>
        <w:t>the</w:t>
      </w:r>
      <w:r>
        <w:rPr>
          <w:spacing w:val="-2"/>
        </w:rPr>
        <w:t xml:space="preserve"> </w:t>
      </w:r>
      <w:r>
        <w:t>center</w:t>
      </w:r>
      <w:r>
        <w:rPr>
          <w:spacing w:val="-5"/>
        </w:rPr>
        <w:t xml:space="preserve"> </w:t>
      </w:r>
      <w:r>
        <w:t>of</w:t>
      </w:r>
      <w:r>
        <w:rPr>
          <w:spacing w:val="-4"/>
        </w:rPr>
        <w:t xml:space="preserve"> </w:t>
      </w:r>
      <w:r>
        <w:t>the</w:t>
      </w:r>
      <w:r>
        <w:rPr>
          <w:spacing w:val="-4"/>
        </w:rPr>
        <w:t xml:space="preserve"> </w:t>
      </w:r>
      <w:r>
        <w:t>conversation</w:t>
      </w:r>
      <w:r>
        <w:rPr>
          <w:spacing w:val="-1"/>
        </w:rPr>
        <w:t xml:space="preserve"> </w:t>
      </w:r>
      <w:r>
        <w:t>(see the section “Developing discrepancy: A values conversation” in Chapter 3).</w:t>
      </w:r>
    </w:p>
    <w:p w14:paraId="6F3031AF" w14:textId="77777777" w:rsidR="00DB6E1F" w:rsidRDefault="00F666A6">
      <w:pPr>
        <w:pStyle w:val="ListParagraph"/>
        <w:numPr>
          <w:ilvl w:val="0"/>
          <w:numId w:val="92"/>
        </w:numPr>
        <w:tabs>
          <w:tab w:val="left" w:pos="1800"/>
          <w:tab w:val="left" w:pos="1801"/>
        </w:tabs>
        <w:spacing w:before="58"/>
        <w:ind w:left="1800"/>
        <w:rPr>
          <w:rFonts w:ascii="Symbol" w:hAnsi="Symbol"/>
        </w:rPr>
      </w:pPr>
      <w:r>
        <w:t>Provide</w:t>
      </w:r>
      <w:r>
        <w:rPr>
          <w:spacing w:val="-6"/>
        </w:rPr>
        <w:t xml:space="preserve"> </w:t>
      </w:r>
      <w:r>
        <w:t>accurate</w:t>
      </w:r>
      <w:r>
        <w:rPr>
          <w:spacing w:val="-3"/>
        </w:rPr>
        <w:t xml:space="preserve"> </w:t>
      </w:r>
      <w:r>
        <w:t>and</w:t>
      </w:r>
      <w:r>
        <w:rPr>
          <w:spacing w:val="-5"/>
        </w:rPr>
        <w:t xml:space="preserve"> </w:t>
      </w:r>
      <w:r>
        <w:t>specific</w:t>
      </w:r>
      <w:r>
        <w:rPr>
          <w:spacing w:val="-4"/>
        </w:rPr>
        <w:t xml:space="preserve"> </w:t>
      </w:r>
      <w:r>
        <w:t>facts,</w:t>
      </w:r>
      <w:r>
        <w:rPr>
          <w:spacing w:val="-6"/>
        </w:rPr>
        <w:t xml:space="preserve"> </w:t>
      </w:r>
      <w:r>
        <w:t>and</w:t>
      </w:r>
      <w:r>
        <w:rPr>
          <w:spacing w:val="-5"/>
        </w:rPr>
        <w:t xml:space="preserve"> </w:t>
      </w:r>
      <w:r>
        <w:t>always</w:t>
      </w:r>
      <w:r>
        <w:rPr>
          <w:spacing w:val="-4"/>
        </w:rPr>
        <w:t xml:space="preserve"> </w:t>
      </w:r>
      <w:r>
        <w:t>ask</w:t>
      </w:r>
      <w:r>
        <w:rPr>
          <w:spacing w:val="-6"/>
        </w:rPr>
        <w:t xml:space="preserve"> </w:t>
      </w:r>
      <w:r>
        <w:t>whether</w:t>
      </w:r>
      <w:r>
        <w:rPr>
          <w:spacing w:val="-6"/>
        </w:rPr>
        <w:t xml:space="preserve"> </w:t>
      </w:r>
      <w:r>
        <w:t>they</w:t>
      </w:r>
      <w:r>
        <w:rPr>
          <w:spacing w:val="-5"/>
        </w:rPr>
        <w:t xml:space="preserve"> </w:t>
      </w:r>
      <w:r>
        <w:t>understand</w:t>
      </w:r>
      <w:r>
        <w:rPr>
          <w:spacing w:val="-5"/>
        </w:rPr>
        <w:t xml:space="preserve"> </w:t>
      </w:r>
      <w:r>
        <w:rPr>
          <w:spacing w:val="-2"/>
        </w:rPr>
        <w:t>them.</w:t>
      </w:r>
    </w:p>
    <w:p w14:paraId="26EF05F4" w14:textId="77777777" w:rsidR="00DB6E1F" w:rsidRDefault="00F666A6">
      <w:pPr>
        <w:pStyle w:val="ListParagraph"/>
        <w:numPr>
          <w:ilvl w:val="0"/>
          <w:numId w:val="92"/>
        </w:numPr>
        <w:tabs>
          <w:tab w:val="left" w:pos="1800"/>
          <w:tab w:val="left" w:pos="1801"/>
        </w:tabs>
        <w:spacing w:before="58"/>
        <w:ind w:left="1800"/>
        <w:rPr>
          <w:rFonts w:ascii="Symbol" w:hAnsi="Symbol"/>
        </w:rPr>
      </w:pPr>
      <w:r>
        <w:t>Elicit</w:t>
      </w:r>
      <w:r>
        <w:rPr>
          <w:spacing w:val="-5"/>
        </w:rPr>
        <w:t xml:space="preserve"> </w:t>
      </w:r>
      <w:r>
        <w:t>responses</w:t>
      </w:r>
      <w:r>
        <w:rPr>
          <w:spacing w:val="-3"/>
        </w:rPr>
        <w:t xml:space="preserve"> </w:t>
      </w:r>
      <w:r>
        <w:t>to</w:t>
      </w:r>
      <w:r>
        <w:rPr>
          <w:spacing w:val="-3"/>
        </w:rPr>
        <w:t xml:space="preserve"> </w:t>
      </w:r>
      <w:r>
        <w:t>such</w:t>
      </w:r>
      <w:r>
        <w:rPr>
          <w:spacing w:val="-3"/>
        </w:rPr>
        <w:t xml:space="preserve"> </w:t>
      </w:r>
      <w:r>
        <w:t>information</w:t>
      </w:r>
      <w:r>
        <w:rPr>
          <w:spacing w:val="-7"/>
        </w:rPr>
        <w:t xml:space="preserve"> </w:t>
      </w:r>
      <w:r>
        <w:t>by</w:t>
      </w:r>
      <w:r>
        <w:rPr>
          <w:spacing w:val="-2"/>
        </w:rPr>
        <w:t xml:space="preserve"> </w:t>
      </w:r>
      <w:r>
        <w:t>asking,</w:t>
      </w:r>
      <w:r>
        <w:rPr>
          <w:spacing w:val="-4"/>
        </w:rPr>
        <w:t xml:space="preserve"> </w:t>
      </w:r>
      <w:r>
        <w:t>“What</w:t>
      </w:r>
      <w:r>
        <w:rPr>
          <w:spacing w:val="-5"/>
        </w:rPr>
        <w:t xml:space="preserve"> </w:t>
      </w:r>
      <w:r>
        <w:t>do</w:t>
      </w:r>
      <w:r>
        <w:rPr>
          <w:spacing w:val="-1"/>
        </w:rPr>
        <w:t xml:space="preserve"> </w:t>
      </w:r>
      <w:r>
        <w:t>you</w:t>
      </w:r>
      <w:r>
        <w:rPr>
          <w:spacing w:val="-5"/>
        </w:rPr>
        <w:t xml:space="preserve"> </w:t>
      </w:r>
      <w:r>
        <w:t>think</w:t>
      </w:r>
      <w:r>
        <w:rPr>
          <w:spacing w:val="-5"/>
        </w:rPr>
        <w:t xml:space="preserve"> </w:t>
      </w:r>
      <w:r>
        <w:t>about</w:t>
      </w:r>
      <w:r>
        <w:rPr>
          <w:spacing w:val="-5"/>
        </w:rPr>
        <w:t xml:space="preserve"> </w:t>
      </w:r>
      <w:r>
        <w:rPr>
          <w:spacing w:val="-2"/>
        </w:rPr>
        <w:t>this?”</w:t>
      </w:r>
    </w:p>
    <w:p w14:paraId="3AC43363" w14:textId="77777777" w:rsidR="00DB6E1F" w:rsidRDefault="00F666A6">
      <w:pPr>
        <w:pStyle w:val="BodyText"/>
        <w:spacing w:before="164"/>
        <w:ind w:left="1440"/>
      </w:pPr>
      <w:r>
        <w:t>The</w:t>
      </w:r>
      <w:r>
        <w:rPr>
          <w:spacing w:val="-5"/>
        </w:rPr>
        <w:t xml:space="preserve"> </w:t>
      </w:r>
      <w:r>
        <w:t>last</w:t>
      </w:r>
      <w:r>
        <w:rPr>
          <w:spacing w:val="-4"/>
        </w:rPr>
        <w:t xml:space="preserve"> </w:t>
      </w:r>
      <w:r>
        <w:t>step</w:t>
      </w:r>
      <w:r>
        <w:rPr>
          <w:spacing w:val="-6"/>
        </w:rPr>
        <w:t xml:space="preserve"> </w:t>
      </w:r>
      <w:r>
        <w:t>in</w:t>
      </w:r>
      <w:r>
        <w:rPr>
          <w:spacing w:val="-4"/>
        </w:rPr>
        <w:t xml:space="preserve"> </w:t>
      </w:r>
      <w:r>
        <w:t>EPE</w:t>
      </w:r>
      <w:r>
        <w:rPr>
          <w:spacing w:val="-3"/>
        </w:rPr>
        <w:t xml:space="preserve"> </w:t>
      </w:r>
      <w:r>
        <w:t>is</w:t>
      </w:r>
      <w:r>
        <w:rPr>
          <w:spacing w:val="-5"/>
        </w:rPr>
        <w:t xml:space="preserve"> </w:t>
      </w:r>
      <w:r>
        <w:t>key</w:t>
      </w:r>
      <w:r>
        <w:rPr>
          <w:spacing w:val="-2"/>
        </w:rPr>
        <w:t xml:space="preserve"> </w:t>
      </w:r>
      <w:r>
        <w:t>to</w:t>
      </w:r>
      <w:r>
        <w:rPr>
          <w:spacing w:val="-2"/>
        </w:rPr>
        <w:t xml:space="preserve"> </w:t>
      </w:r>
      <w:r>
        <w:t>completing</w:t>
      </w:r>
      <w:r>
        <w:rPr>
          <w:spacing w:val="-4"/>
        </w:rPr>
        <w:t xml:space="preserve"> </w:t>
      </w:r>
      <w:r>
        <w:t>the</w:t>
      </w:r>
      <w:r>
        <w:rPr>
          <w:spacing w:val="-2"/>
        </w:rPr>
        <w:t xml:space="preserve"> </w:t>
      </w:r>
      <w:r>
        <w:t>information</w:t>
      </w:r>
      <w:r>
        <w:rPr>
          <w:spacing w:val="-4"/>
        </w:rPr>
        <w:t xml:space="preserve"> </w:t>
      </w:r>
      <w:r>
        <w:t>exchange</w:t>
      </w:r>
      <w:r>
        <w:rPr>
          <w:spacing w:val="-2"/>
        </w:rPr>
        <w:t xml:space="preserve"> </w:t>
      </w:r>
      <w:r>
        <w:t>between</w:t>
      </w:r>
      <w:r>
        <w:rPr>
          <w:spacing w:val="-3"/>
        </w:rPr>
        <w:t xml:space="preserve"> </w:t>
      </w:r>
      <w:r>
        <w:t>you</w:t>
      </w:r>
      <w:r>
        <w:rPr>
          <w:spacing w:val="-6"/>
        </w:rPr>
        <w:t xml:space="preserve"> </w:t>
      </w:r>
      <w:r>
        <w:t>and</w:t>
      </w:r>
      <w:r>
        <w:rPr>
          <w:spacing w:val="-3"/>
        </w:rPr>
        <w:t xml:space="preserve"> </w:t>
      </w:r>
      <w:r>
        <w:t>the</w:t>
      </w:r>
      <w:r>
        <w:rPr>
          <w:spacing w:val="-2"/>
        </w:rPr>
        <w:t xml:space="preserve"> client.</w:t>
      </w:r>
    </w:p>
    <w:p w14:paraId="13F43D53" w14:textId="77777777" w:rsidR="00DB6E1F" w:rsidRDefault="00F666A6">
      <w:pPr>
        <w:pStyle w:val="BodyText"/>
        <w:spacing w:before="159"/>
        <w:ind w:left="1440" w:right="1444"/>
      </w:pPr>
      <w:r>
        <w:t xml:space="preserve">How specific should you be when clients ask what </w:t>
      </w:r>
      <w:r>
        <w:rPr>
          <w:b/>
        </w:rPr>
        <w:t xml:space="preserve">you </w:t>
      </w:r>
      <w:r>
        <w:t>think they should do? Providing your best advice is an</w:t>
      </w:r>
      <w:r>
        <w:rPr>
          <w:spacing w:val="-1"/>
        </w:rPr>
        <w:t xml:space="preserve"> </w:t>
      </w:r>
      <w:r>
        <w:t>important</w:t>
      </w:r>
      <w:r>
        <w:rPr>
          <w:spacing w:val="-2"/>
        </w:rPr>
        <w:t xml:space="preserve"> </w:t>
      </w:r>
      <w:r>
        <w:t>part</w:t>
      </w:r>
      <w:r>
        <w:rPr>
          <w:spacing w:val="-2"/>
        </w:rPr>
        <w:t xml:space="preserve"> </w:t>
      </w:r>
      <w:r>
        <w:t>of</w:t>
      </w:r>
      <w:r>
        <w:rPr>
          <w:spacing w:val="-3"/>
        </w:rPr>
        <w:t xml:space="preserve"> </w:t>
      </w:r>
      <w:r>
        <w:t>your role.</w:t>
      </w:r>
      <w:r>
        <w:rPr>
          <w:spacing w:val="-1"/>
        </w:rPr>
        <w:t xml:space="preserve"> </w:t>
      </w:r>
      <w:r>
        <w:t>It is also</w:t>
      </w:r>
      <w:r>
        <w:rPr>
          <w:spacing w:val="-1"/>
        </w:rPr>
        <w:t xml:space="preserve"> </w:t>
      </w:r>
      <w:r>
        <w:t>appropriate</w:t>
      </w:r>
      <w:r>
        <w:rPr>
          <w:spacing w:val="-2"/>
        </w:rPr>
        <w:t xml:space="preserve"> </w:t>
      </w:r>
      <w:r>
        <w:t>to share</w:t>
      </w:r>
      <w:r>
        <w:rPr>
          <w:spacing w:val="-2"/>
        </w:rPr>
        <w:t xml:space="preserve"> </w:t>
      </w:r>
      <w:r>
        <w:t>your</w:t>
      </w:r>
      <w:r>
        <w:rPr>
          <w:spacing w:val="-2"/>
        </w:rPr>
        <w:t xml:space="preserve"> </w:t>
      </w:r>
      <w:r>
        <w:t>own</w:t>
      </w:r>
      <w:r>
        <w:rPr>
          <w:spacing w:val="-1"/>
        </w:rPr>
        <w:t xml:space="preserve"> </w:t>
      </w:r>
      <w:r>
        <w:t>views</w:t>
      </w:r>
      <w:r>
        <w:rPr>
          <w:spacing w:val="-2"/>
        </w:rPr>
        <w:t xml:space="preserve"> </w:t>
      </w:r>
      <w:r>
        <w:t>and</w:t>
      </w:r>
      <w:r>
        <w:rPr>
          <w:spacing w:val="-1"/>
        </w:rPr>
        <w:t xml:space="preserve"> </w:t>
      </w:r>
      <w:r>
        <w:t>opinions, although</w:t>
      </w:r>
      <w:r>
        <w:rPr>
          <w:spacing w:val="-1"/>
        </w:rPr>
        <w:t xml:space="preserve"> </w:t>
      </w:r>
      <w:r>
        <w:t>it is helpful to “soften” your statements and give clients permission to disagree. For example, you might soften</w:t>
      </w:r>
      <w:r>
        <w:rPr>
          <w:spacing w:val="-3"/>
        </w:rPr>
        <w:t xml:space="preserve"> </w:t>
      </w:r>
      <w:r>
        <w:t>your</w:t>
      </w:r>
      <w:r>
        <w:rPr>
          <w:spacing w:val="-2"/>
        </w:rPr>
        <w:t xml:space="preserve"> </w:t>
      </w:r>
      <w:r>
        <w:t>suggestion</w:t>
      </w:r>
      <w:r>
        <w:rPr>
          <w:spacing w:val="-3"/>
        </w:rPr>
        <w:t xml:space="preserve"> </w:t>
      </w:r>
      <w:r>
        <w:t>by</w:t>
      </w:r>
      <w:r>
        <w:rPr>
          <w:spacing w:val="-3"/>
        </w:rPr>
        <w:t xml:space="preserve"> </w:t>
      </w:r>
      <w:r>
        <w:t>saying,</w:t>
      </w:r>
      <w:r>
        <w:rPr>
          <w:spacing w:val="-2"/>
        </w:rPr>
        <w:t xml:space="preserve"> </w:t>
      </w:r>
      <w:r>
        <w:t>“This</w:t>
      </w:r>
      <w:r>
        <w:rPr>
          <w:spacing w:val="-4"/>
        </w:rPr>
        <w:t xml:space="preserve"> </w:t>
      </w:r>
      <w:r>
        <w:t>may</w:t>
      </w:r>
      <w:r>
        <w:rPr>
          <w:spacing w:val="-3"/>
        </w:rPr>
        <w:t xml:space="preserve"> </w:t>
      </w:r>
      <w:r>
        <w:t>or</w:t>
      </w:r>
      <w:r>
        <w:rPr>
          <w:spacing w:val="-4"/>
        </w:rPr>
        <w:t xml:space="preserve"> </w:t>
      </w:r>
      <w:r>
        <w:t>may</w:t>
      </w:r>
      <w:r>
        <w:rPr>
          <w:spacing w:val="-1"/>
        </w:rPr>
        <w:t xml:space="preserve"> </w:t>
      </w:r>
      <w:r>
        <w:t>not</w:t>
      </w:r>
      <w:r>
        <w:rPr>
          <w:spacing w:val="-1"/>
        </w:rPr>
        <w:t xml:space="preserve"> </w:t>
      </w:r>
      <w:r>
        <w:t>work</w:t>
      </w:r>
      <w:r>
        <w:rPr>
          <w:spacing w:val="-1"/>
        </w:rPr>
        <w:t xml:space="preserve"> </w:t>
      </w:r>
      <w:r>
        <w:t>for</w:t>
      </w:r>
      <w:r>
        <w:rPr>
          <w:spacing w:val="-4"/>
        </w:rPr>
        <w:t xml:space="preserve"> </w:t>
      </w:r>
      <w:r>
        <w:t>you,</w:t>
      </w:r>
      <w:r>
        <w:rPr>
          <w:spacing w:val="-4"/>
        </w:rPr>
        <w:t xml:space="preserve"> </w:t>
      </w:r>
      <w:r>
        <w:t>but</w:t>
      </w:r>
      <w:r>
        <w:rPr>
          <w:spacing w:val="-2"/>
        </w:rPr>
        <w:t xml:space="preserve"> </w:t>
      </w:r>
      <w:r>
        <w:t>a</w:t>
      </w:r>
      <w:r>
        <w:rPr>
          <w:spacing w:val="-2"/>
        </w:rPr>
        <w:t xml:space="preserve"> </w:t>
      </w:r>
      <w:r>
        <w:t>lot</w:t>
      </w:r>
      <w:r>
        <w:rPr>
          <w:spacing w:val="-4"/>
        </w:rPr>
        <w:t xml:space="preserve"> </w:t>
      </w:r>
      <w:r>
        <w:t>of</w:t>
      </w:r>
      <w:r>
        <w:rPr>
          <w:spacing w:val="-4"/>
        </w:rPr>
        <w:t xml:space="preserve"> </w:t>
      </w:r>
      <w:r>
        <w:t>people</w:t>
      </w:r>
      <w:r>
        <w:rPr>
          <w:spacing w:val="-2"/>
        </w:rPr>
        <w:t xml:space="preserve"> </w:t>
      </w:r>
      <w:r>
        <w:t>find</w:t>
      </w:r>
      <w:r>
        <w:rPr>
          <w:spacing w:val="-3"/>
        </w:rPr>
        <w:t xml:space="preserve"> </w:t>
      </w:r>
      <w:r>
        <w:t>it</w:t>
      </w:r>
      <w:r>
        <w:rPr>
          <w:spacing w:val="-2"/>
        </w:rPr>
        <w:t xml:space="preserve"> </w:t>
      </w:r>
      <w:r>
        <w:t>helpfu</w:t>
      </w:r>
      <w:r>
        <w:t>l</w:t>
      </w:r>
      <w:r>
        <w:rPr>
          <w:spacing w:val="-2"/>
        </w:rPr>
        <w:t xml:space="preserve"> </w:t>
      </w:r>
      <w:r>
        <w:t xml:space="preserve">to go to NA meetings to meet others who are trying to stay away from cocaine.” Other techniques of MI, such as developing discrepancy, empathizing, and avoiding arguments, also are useful during this </w:t>
      </w:r>
      <w:r>
        <w:rPr>
          <w:spacing w:val="-2"/>
        </w:rPr>
        <w:t>process.</w:t>
      </w:r>
    </w:p>
    <w:p w14:paraId="1BE16342" w14:textId="77777777" w:rsidR="00DB6E1F" w:rsidRDefault="00F666A6">
      <w:pPr>
        <w:pStyle w:val="BodyText"/>
        <w:spacing w:before="159"/>
        <w:ind w:left="1440" w:right="1491"/>
      </w:pPr>
      <w:r>
        <w:t>The Change Plan Worksheet in Exhibit 6.3 helps clients focus their attention on the details of the plan, increase</w:t>
      </w:r>
      <w:r>
        <w:rPr>
          <w:spacing w:val="-4"/>
        </w:rPr>
        <w:t xml:space="preserve"> </w:t>
      </w:r>
      <w:r>
        <w:t>commitment</w:t>
      </w:r>
      <w:r>
        <w:rPr>
          <w:spacing w:val="-4"/>
        </w:rPr>
        <w:t xml:space="preserve"> </w:t>
      </w:r>
      <w:r>
        <w:t>to</w:t>
      </w:r>
      <w:r>
        <w:rPr>
          <w:spacing w:val="-1"/>
        </w:rPr>
        <w:t xml:space="preserve"> </w:t>
      </w:r>
      <w:r>
        <w:t>change,</w:t>
      </w:r>
      <w:r>
        <w:rPr>
          <w:spacing w:val="-2"/>
        </w:rPr>
        <w:t xml:space="preserve"> </w:t>
      </w:r>
      <w:r>
        <w:t>enlist</w:t>
      </w:r>
      <w:r>
        <w:rPr>
          <w:spacing w:val="-4"/>
        </w:rPr>
        <w:t xml:space="preserve"> </w:t>
      </w:r>
      <w:r>
        <w:t>social</w:t>
      </w:r>
      <w:r>
        <w:rPr>
          <w:spacing w:val="-2"/>
        </w:rPr>
        <w:t xml:space="preserve"> </w:t>
      </w:r>
      <w:r>
        <w:t>support,</w:t>
      </w:r>
      <w:r>
        <w:rPr>
          <w:spacing w:val="-4"/>
        </w:rPr>
        <w:t xml:space="preserve"> </w:t>
      </w:r>
      <w:r>
        <w:t>and</w:t>
      </w:r>
      <w:r>
        <w:rPr>
          <w:spacing w:val="-3"/>
        </w:rPr>
        <w:t xml:space="preserve"> </w:t>
      </w:r>
      <w:r>
        <w:t>troubleshoot</w:t>
      </w:r>
      <w:r>
        <w:rPr>
          <w:spacing w:val="-1"/>
        </w:rPr>
        <w:t xml:space="preserve"> </w:t>
      </w:r>
      <w:r>
        <w:t>potential</w:t>
      </w:r>
      <w:r>
        <w:rPr>
          <w:spacing w:val="-5"/>
        </w:rPr>
        <w:t xml:space="preserve"> </w:t>
      </w:r>
      <w:r>
        <w:t>roadblocks</w:t>
      </w:r>
      <w:r>
        <w:rPr>
          <w:spacing w:val="-4"/>
        </w:rPr>
        <w:t xml:space="preserve"> </w:t>
      </w:r>
      <w:r>
        <w:t>to</w:t>
      </w:r>
      <w:r>
        <w:rPr>
          <w:spacing w:val="-3"/>
        </w:rPr>
        <w:t xml:space="preserve"> </w:t>
      </w:r>
      <w:r>
        <w:t>change.</w:t>
      </w:r>
    </w:p>
    <w:p w14:paraId="30A9A71B" w14:textId="77777777" w:rsidR="00DB6E1F" w:rsidRDefault="00F666A6">
      <w:pPr>
        <w:spacing w:before="159"/>
        <w:ind w:left="1439" w:right="1491"/>
      </w:pPr>
      <w:r>
        <w:rPr>
          <w:b/>
        </w:rPr>
        <w:t>Use the Importance and Confidence Rulers in Exhi</w:t>
      </w:r>
      <w:r>
        <w:rPr>
          <w:b/>
        </w:rPr>
        <w:t>bit 3.9 and Exhibit 3.10 to determine the client’s readiness</w:t>
      </w:r>
      <w:r>
        <w:rPr>
          <w:b/>
          <w:spacing w:val="-2"/>
        </w:rPr>
        <w:t xml:space="preserve"> </w:t>
      </w:r>
      <w:r>
        <w:rPr>
          <w:b/>
        </w:rPr>
        <w:t>and</w:t>
      </w:r>
      <w:r>
        <w:rPr>
          <w:b/>
          <w:spacing w:val="-4"/>
        </w:rPr>
        <w:t xml:space="preserve"> </w:t>
      </w:r>
      <w:r>
        <w:rPr>
          <w:b/>
        </w:rPr>
        <w:t>self-efficacy</w:t>
      </w:r>
      <w:r>
        <w:rPr>
          <w:b/>
          <w:spacing w:val="-4"/>
        </w:rPr>
        <w:t xml:space="preserve"> </w:t>
      </w:r>
      <w:r>
        <w:rPr>
          <w:b/>
        </w:rPr>
        <w:t>about</w:t>
      </w:r>
      <w:r>
        <w:rPr>
          <w:b/>
          <w:spacing w:val="-3"/>
        </w:rPr>
        <w:t xml:space="preserve"> </w:t>
      </w:r>
      <w:r>
        <w:rPr>
          <w:b/>
        </w:rPr>
        <w:t>each</w:t>
      </w:r>
      <w:r>
        <w:rPr>
          <w:b/>
          <w:spacing w:val="-4"/>
        </w:rPr>
        <w:t xml:space="preserve"> </w:t>
      </w:r>
      <w:r>
        <w:rPr>
          <w:b/>
        </w:rPr>
        <w:t>change</w:t>
      </w:r>
      <w:r>
        <w:rPr>
          <w:b/>
          <w:spacing w:val="-4"/>
        </w:rPr>
        <w:t xml:space="preserve"> </w:t>
      </w:r>
      <w:r>
        <w:rPr>
          <w:b/>
        </w:rPr>
        <w:t>goal.</w:t>
      </w:r>
      <w:r>
        <w:rPr>
          <w:b/>
          <w:spacing w:val="-2"/>
        </w:rPr>
        <w:t xml:space="preserve"> </w:t>
      </w:r>
      <w:r>
        <w:t>These</w:t>
      </w:r>
      <w:r>
        <w:rPr>
          <w:spacing w:val="-2"/>
        </w:rPr>
        <w:t xml:space="preserve"> </w:t>
      </w:r>
      <w:r>
        <w:t>tools</w:t>
      </w:r>
      <w:r>
        <w:rPr>
          <w:spacing w:val="-3"/>
        </w:rPr>
        <w:t xml:space="preserve"> </w:t>
      </w:r>
      <w:r>
        <w:t>can</w:t>
      </w:r>
      <w:r>
        <w:rPr>
          <w:spacing w:val="-4"/>
        </w:rPr>
        <w:t xml:space="preserve"> </w:t>
      </w:r>
      <w:r>
        <w:t>help</w:t>
      </w:r>
      <w:r>
        <w:rPr>
          <w:spacing w:val="-4"/>
        </w:rPr>
        <w:t xml:space="preserve"> </w:t>
      </w:r>
      <w:r>
        <w:t>you</w:t>
      </w:r>
      <w:r>
        <w:rPr>
          <w:spacing w:val="-4"/>
        </w:rPr>
        <w:t xml:space="preserve"> </w:t>
      </w:r>
      <w:r>
        <w:t>and</w:t>
      </w:r>
      <w:r>
        <w:rPr>
          <w:spacing w:val="-4"/>
        </w:rPr>
        <w:t xml:space="preserve"> </w:t>
      </w:r>
      <w:r>
        <w:t>the</w:t>
      </w:r>
      <w:r>
        <w:rPr>
          <w:spacing w:val="-2"/>
        </w:rPr>
        <w:t xml:space="preserve"> </w:t>
      </w:r>
      <w:r>
        <w:t>client</w:t>
      </w:r>
      <w:r>
        <w:rPr>
          <w:spacing w:val="-2"/>
        </w:rPr>
        <w:t xml:space="preserve"> </w:t>
      </w:r>
      <w:r>
        <w:t>determine which goals to address first and which strategies to begin with. Ideally, the top goal will be one with</w:t>
      </w:r>
    </w:p>
    <w:p w14:paraId="777C7F43" w14:textId="77777777" w:rsidR="00DB6E1F" w:rsidRDefault="00DB6E1F">
      <w:pPr>
        <w:sectPr w:rsidR="00DB6E1F">
          <w:pgSz w:w="12240" w:h="15840"/>
          <w:pgMar w:top="1200" w:right="0" w:bottom="780" w:left="0" w:header="763" w:footer="585" w:gutter="0"/>
          <w:cols w:space="720"/>
        </w:sectPr>
      </w:pPr>
    </w:p>
    <w:p w14:paraId="7E2B1FFA" w14:textId="77777777" w:rsidR="00DB6E1F" w:rsidRDefault="00DB6E1F">
      <w:pPr>
        <w:pStyle w:val="BodyText"/>
        <w:spacing w:before="8"/>
        <w:rPr>
          <w:sz w:val="14"/>
        </w:rPr>
      </w:pPr>
    </w:p>
    <w:p w14:paraId="5776B6BA" w14:textId="77777777" w:rsidR="00DB6E1F" w:rsidRDefault="00F666A6">
      <w:pPr>
        <w:pStyle w:val="BodyText"/>
        <w:spacing w:before="56"/>
        <w:ind w:left="1440" w:right="1491"/>
      </w:pPr>
      <w:r>
        <w:t>higher</w:t>
      </w:r>
      <w:r>
        <w:rPr>
          <w:spacing w:val="-2"/>
        </w:rPr>
        <w:t xml:space="preserve"> </w:t>
      </w:r>
      <w:r>
        <w:t>ratings</w:t>
      </w:r>
      <w:r>
        <w:rPr>
          <w:spacing w:val="-2"/>
        </w:rPr>
        <w:t xml:space="preserve"> </w:t>
      </w:r>
      <w:r>
        <w:t>on</w:t>
      </w:r>
      <w:r>
        <w:rPr>
          <w:spacing w:val="-3"/>
        </w:rPr>
        <w:t xml:space="preserve"> </w:t>
      </w:r>
      <w:r>
        <w:t>both</w:t>
      </w:r>
      <w:r>
        <w:rPr>
          <w:spacing w:val="-3"/>
        </w:rPr>
        <w:t xml:space="preserve"> </w:t>
      </w:r>
      <w:r>
        <w:t>importance</w:t>
      </w:r>
      <w:r>
        <w:rPr>
          <w:spacing w:val="-1"/>
        </w:rPr>
        <w:t xml:space="preserve"> </w:t>
      </w:r>
      <w:r>
        <w:t>and</w:t>
      </w:r>
      <w:r>
        <w:rPr>
          <w:spacing w:val="-3"/>
        </w:rPr>
        <w:t xml:space="preserve"> </w:t>
      </w:r>
      <w:r>
        <w:t>confidence.</w:t>
      </w:r>
      <w:r>
        <w:rPr>
          <w:spacing w:val="-2"/>
        </w:rPr>
        <w:t xml:space="preserve"> </w:t>
      </w:r>
      <w:r>
        <w:t>If</w:t>
      </w:r>
      <w:r>
        <w:rPr>
          <w:spacing w:val="-7"/>
        </w:rPr>
        <w:t xml:space="preserve"> </w:t>
      </w:r>
      <w:r>
        <w:t>the</w:t>
      </w:r>
      <w:r>
        <w:rPr>
          <w:spacing w:val="-1"/>
        </w:rPr>
        <w:t xml:space="preserve"> </w:t>
      </w:r>
      <w:r>
        <w:t>client</w:t>
      </w:r>
      <w:r>
        <w:rPr>
          <w:spacing w:val="-4"/>
        </w:rPr>
        <w:t xml:space="preserve"> </w:t>
      </w:r>
      <w:r>
        <w:t>rates</w:t>
      </w:r>
      <w:r>
        <w:rPr>
          <w:spacing w:val="-4"/>
        </w:rPr>
        <w:t xml:space="preserve"> </w:t>
      </w:r>
      <w:r>
        <w:t>one</w:t>
      </w:r>
      <w:r>
        <w:rPr>
          <w:spacing w:val="-1"/>
        </w:rPr>
        <w:t xml:space="preserve"> </w:t>
      </w:r>
      <w:r>
        <w:t>goal</w:t>
      </w:r>
      <w:r>
        <w:rPr>
          <w:spacing w:val="-2"/>
        </w:rPr>
        <w:t xml:space="preserve"> </w:t>
      </w:r>
      <w:r>
        <w:t>as</w:t>
      </w:r>
      <w:r>
        <w:rPr>
          <w:spacing w:val="-4"/>
        </w:rPr>
        <w:t xml:space="preserve"> </w:t>
      </w:r>
      <w:r>
        <w:t>high</w:t>
      </w:r>
      <w:r>
        <w:rPr>
          <w:spacing w:val="-3"/>
        </w:rPr>
        <w:t xml:space="preserve"> </w:t>
      </w:r>
      <w:r>
        <w:t>in</w:t>
      </w:r>
      <w:r>
        <w:rPr>
          <w:spacing w:val="-3"/>
        </w:rPr>
        <w:t xml:space="preserve"> </w:t>
      </w:r>
      <w:r>
        <w:t>importance</w:t>
      </w:r>
      <w:r>
        <w:rPr>
          <w:spacing w:val="-1"/>
        </w:rPr>
        <w:t xml:space="preserve"> </w:t>
      </w:r>
      <w:r>
        <w:t>and low in confidence, focus on exploring self-efficacy and evoking confidence talk to prepare the client for taking action.</w:t>
      </w:r>
    </w:p>
    <w:p w14:paraId="004CCF9F" w14:textId="77777777" w:rsidR="00DB6E1F" w:rsidRDefault="00F666A6">
      <w:pPr>
        <w:pStyle w:val="Heading3"/>
      </w:pPr>
      <w:bookmarkStart w:id="175" w:name="Offer_a_Menu_of_Change_Options"/>
      <w:bookmarkEnd w:id="175"/>
      <w:r>
        <w:t>Offer</w:t>
      </w:r>
      <w:r>
        <w:rPr>
          <w:spacing w:val="-6"/>
        </w:rPr>
        <w:t xml:space="preserve"> </w:t>
      </w:r>
      <w:r>
        <w:t>a</w:t>
      </w:r>
      <w:r>
        <w:rPr>
          <w:spacing w:val="-5"/>
        </w:rPr>
        <w:t xml:space="preserve"> </w:t>
      </w:r>
      <w:r>
        <w:t>Menu</w:t>
      </w:r>
      <w:r>
        <w:rPr>
          <w:spacing w:val="-4"/>
        </w:rPr>
        <w:t xml:space="preserve"> </w:t>
      </w:r>
      <w:r>
        <w:t>of</w:t>
      </w:r>
      <w:r>
        <w:rPr>
          <w:spacing w:val="-5"/>
        </w:rPr>
        <w:t xml:space="preserve"> </w:t>
      </w:r>
      <w:r>
        <w:t>Change</w:t>
      </w:r>
      <w:r>
        <w:rPr>
          <w:spacing w:val="-8"/>
        </w:rPr>
        <w:t xml:space="preserve"> </w:t>
      </w:r>
      <w:r>
        <w:rPr>
          <w:spacing w:val="-2"/>
        </w:rPr>
        <w:t>Options</w:t>
      </w:r>
    </w:p>
    <w:p w14:paraId="1DC5B645" w14:textId="77777777" w:rsidR="00DB6E1F" w:rsidRDefault="00F666A6">
      <w:pPr>
        <w:spacing w:before="143"/>
        <w:ind w:left="1439" w:right="1507"/>
      </w:pPr>
      <w:r>
        <w:rPr>
          <w:b/>
        </w:rPr>
        <w:t xml:space="preserve">Enhance clients’ motivation to take action by offering them a variety of treatment choices. </w:t>
      </w:r>
      <w:r>
        <w:t>Choices can</w:t>
      </w:r>
      <w:r>
        <w:rPr>
          <w:spacing w:val="-3"/>
        </w:rPr>
        <w:t xml:space="preserve"> </w:t>
      </w:r>
      <w:r>
        <w:t>be</w:t>
      </w:r>
      <w:r>
        <w:rPr>
          <w:spacing w:val="-1"/>
        </w:rPr>
        <w:t xml:space="preserve"> </w:t>
      </w:r>
      <w:r>
        <w:t>about</w:t>
      </w:r>
      <w:r>
        <w:rPr>
          <w:spacing w:val="-1"/>
        </w:rPr>
        <w:t xml:space="preserve"> </w:t>
      </w:r>
      <w:r>
        <w:t>treatment</w:t>
      </w:r>
      <w:r>
        <w:rPr>
          <w:spacing w:val="-4"/>
        </w:rPr>
        <w:t xml:space="preserve"> </w:t>
      </w:r>
      <w:r>
        <w:t>options</w:t>
      </w:r>
      <w:r>
        <w:rPr>
          <w:spacing w:val="-4"/>
        </w:rPr>
        <w:t xml:space="preserve"> </w:t>
      </w:r>
      <w:r>
        <w:t>or</w:t>
      </w:r>
      <w:r>
        <w:rPr>
          <w:spacing w:val="-2"/>
        </w:rPr>
        <w:t xml:space="preserve"> </w:t>
      </w:r>
      <w:r>
        <w:t>about</w:t>
      </w:r>
      <w:r>
        <w:rPr>
          <w:spacing w:val="-4"/>
        </w:rPr>
        <w:t xml:space="preserve"> </w:t>
      </w:r>
      <w:r>
        <w:t>other</w:t>
      </w:r>
      <w:r>
        <w:rPr>
          <w:spacing w:val="-4"/>
        </w:rPr>
        <w:t xml:space="preserve"> </w:t>
      </w:r>
      <w:r>
        <w:t>types</w:t>
      </w:r>
      <w:r>
        <w:rPr>
          <w:spacing w:val="-4"/>
        </w:rPr>
        <w:t xml:space="preserve"> </w:t>
      </w:r>
      <w:r>
        <w:t>of</w:t>
      </w:r>
      <w:r>
        <w:rPr>
          <w:spacing w:val="-2"/>
        </w:rPr>
        <w:t xml:space="preserve"> </w:t>
      </w:r>
      <w:r>
        <w:t>services.</w:t>
      </w:r>
      <w:r>
        <w:rPr>
          <w:spacing w:val="-1"/>
        </w:rPr>
        <w:t xml:space="preserve"> </w:t>
      </w:r>
      <w:r>
        <w:t>For</w:t>
      </w:r>
      <w:r>
        <w:rPr>
          <w:spacing w:val="-2"/>
        </w:rPr>
        <w:t xml:space="preserve"> </w:t>
      </w:r>
      <w:r>
        <w:t>example,</w:t>
      </w:r>
      <w:r>
        <w:rPr>
          <w:spacing w:val="-2"/>
        </w:rPr>
        <w:t xml:space="preserve"> </w:t>
      </w:r>
      <w:r>
        <w:t>clients</w:t>
      </w:r>
      <w:r>
        <w:rPr>
          <w:spacing w:val="-2"/>
        </w:rPr>
        <w:t xml:space="preserve"> </w:t>
      </w:r>
      <w:r>
        <w:t>who</w:t>
      </w:r>
      <w:r>
        <w:rPr>
          <w:spacing w:val="-3"/>
        </w:rPr>
        <w:t xml:space="preserve"> </w:t>
      </w:r>
      <w:r>
        <w:t>will</w:t>
      </w:r>
      <w:r>
        <w:rPr>
          <w:spacing w:val="-2"/>
        </w:rPr>
        <w:t xml:space="preserve"> </w:t>
      </w:r>
      <w:r>
        <w:t>not</w:t>
      </w:r>
      <w:r>
        <w:rPr>
          <w:spacing w:val="-1"/>
        </w:rPr>
        <w:t xml:space="preserve"> </w:t>
      </w:r>
      <w:r>
        <w:t>go</w:t>
      </w:r>
      <w:r>
        <w:rPr>
          <w:spacing w:val="-3"/>
        </w:rPr>
        <w:t xml:space="preserve"> </w:t>
      </w:r>
      <w:r>
        <w:t>to AA meetings might be willing to go to a Rational Re</w:t>
      </w:r>
      <w:r>
        <w:t>covery, SMART Recovery, or Women for Sobriety group; clients who will not consider abstinence might be willing to decrease their consumption.</w:t>
      </w:r>
    </w:p>
    <w:p w14:paraId="44EE2EB0" w14:textId="77777777" w:rsidR="00DB6E1F" w:rsidRDefault="00F666A6">
      <w:pPr>
        <w:pStyle w:val="Heading5"/>
        <w:spacing w:before="0"/>
        <w:ind w:left="1438" w:right="1491"/>
      </w:pPr>
      <w:r>
        <w:t>Encourage</w:t>
      </w:r>
      <w:r>
        <w:rPr>
          <w:spacing w:val="-5"/>
        </w:rPr>
        <w:t xml:space="preserve"> </w:t>
      </w:r>
      <w:r>
        <w:t>clients</w:t>
      </w:r>
      <w:r>
        <w:rPr>
          <w:spacing w:val="-1"/>
        </w:rPr>
        <w:t xml:space="preserve"> </w:t>
      </w:r>
      <w:r>
        <w:t>to</w:t>
      </w:r>
      <w:r>
        <w:rPr>
          <w:spacing w:val="-5"/>
        </w:rPr>
        <w:t xml:space="preserve"> </w:t>
      </w:r>
      <w:r>
        <w:t>learn</w:t>
      </w:r>
      <w:r>
        <w:rPr>
          <w:spacing w:val="-5"/>
        </w:rPr>
        <w:t xml:space="preserve"> </w:t>
      </w:r>
      <w:r>
        <w:t>about</w:t>
      </w:r>
      <w:r>
        <w:rPr>
          <w:spacing w:val="-1"/>
        </w:rPr>
        <w:t xml:space="preserve"> </w:t>
      </w:r>
      <w:r>
        <w:t>their</w:t>
      </w:r>
      <w:r>
        <w:rPr>
          <w:spacing w:val="-1"/>
        </w:rPr>
        <w:t xml:space="preserve"> </w:t>
      </w:r>
      <w:r>
        <w:t>options</w:t>
      </w:r>
      <w:r>
        <w:rPr>
          <w:spacing w:val="-1"/>
        </w:rPr>
        <w:t xml:space="preserve"> </w:t>
      </w:r>
      <w:r>
        <w:t>and</w:t>
      </w:r>
      <w:r>
        <w:rPr>
          <w:spacing w:val="-3"/>
        </w:rPr>
        <w:t xml:space="preserve"> </w:t>
      </w:r>
      <w:r>
        <w:t>make</w:t>
      </w:r>
      <w:r>
        <w:rPr>
          <w:spacing w:val="-3"/>
        </w:rPr>
        <w:t xml:space="preserve"> </w:t>
      </w:r>
      <w:r>
        <w:t>informed</w:t>
      </w:r>
      <w:r>
        <w:rPr>
          <w:spacing w:val="-3"/>
        </w:rPr>
        <w:t xml:space="preserve"> </w:t>
      </w:r>
      <w:r>
        <w:t>choices</w:t>
      </w:r>
      <w:r>
        <w:rPr>
          <w:spacing w:val="-4"/>
        </w:rPr>
        <w:t xml:space="preserve"> </w:t>
      </w:r>
      <w:r>
        <w:t>to</w:t>
      </w:r>
      <w:r>
        <w:rPr>
          <w:spacing w:val="-3"/>
        </w:rPr>
        <w:t xml:space="preserve"> </w:t>
      </w:r>
      <w:r>
        <w:t>enhance</w:t>
      </w:r>
      <w:r>
        <w:rPr>
          <w:spacing w:val="-3"/>
        </w:rPr>
        <w:t xml:space="preserve"> </w:t>
      </w:r>
      <w:r>
        <w:t>their commitment to the change plan.</w:t>
      </w:r>
    </w:p>
    <w:p w14:paraId="0081F1F4" w14:textId="77777777" w:rsidR="00DB6E1F" w:rsidRDefault="00DB6E1F">
      <w:pPr>
        <w:pStyle w:val="BodyText"/>
        <w:spacing w:before="1" w:after="1"/>
        <w:rPr>
          <w:b/>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7052B9F3" w14:textId="77777777">
        <w:trPr>
          <w:trHeight w:val="503"/>
        </w:trPr>
        <w:tc>
          <w:tcPr>
            <w:tcW w:w="9350" w:type="dxa"/>
            <w:shd w:val="clear" w:color="auto" w:fill="050505"/>
          </w:tcPr>
          <w:p w14:paraId="142BD338" w14:textId="77777777" w:rsidR="00DB6E1F" w:rsidRDefault="00F666A6">
            <w:pPr>
              <w:pStyle w:val="TableParagraph"/>
              <w:spacing w:before="102"/>
              <w:ind w:left="110"/>
              <w:jc w:val="center"/>
              <w:rPr>
                <w:sz w:val="24"/>
              </w:rPr>
            </w:pPr>
            <w:r>
              <w:rPr>
                <w:color w:val="FFFFFF"/>
                <w:sz w:val="24"/>
              </w:rPr>
              <w:t>Expert</w:t>
            </w:r>
            <w:r>
              <w:rPr>
                <w:color w:val="FFFFFF"/>
                <w:spacing w:val="-3"/>
                <w:sz w:val="24"/>
              </w:rPr>
              <w:t xml:space="preserve"> </w:t>
            </w:r>
            <w:r>
              <w:rPr>
                <w:color w:val="FFFFFF"/>
                <w:sz w:val="24"/>
              </w:rPr>
              <w:t>Comment:</w:t>
            </w:r>
            <w:r>
              <w:rPr>
                <w:color w:val="FFFFFF"/>
                <w:spacing w:val="-3"/>
                <w:sz w:val="24"/>
              </w:rPr>
              <w:t xml:space="preserve"> </w:t>
            </w:r>
            <w:r>
              <w:rPr>
                <w:color w:val="FFFFFF"/>
                <w:sz w:val="24"/>
              </w:rPr>
              <w:t>Treatment</w:t>
            </w:r>
            <w:r>
              <w:rPr>
                <w:color w:val="FFFFFF"/>
                <w:spacing w:val="-2"/>
                <w:sz w:val="24"/>
              </w:rPr>
              <w:t xml:space="preserve"> </w:t>
            </w:r>
            <w:r>
              <w:rPr>
                <w:color w:val="FFFFFF"/>
                <w:sz w:val="24"/>
              </w:rPr>
              <w:t>Options</w:t>
            </w:r>
            <w:r>
              <w:rPr>
                <w:color w:val="FFFFFF"/>
                <w:spacing w:val="-3"/>
                <w:sz w:val="24"/>
              </w:rPr>
              <w:t xml:space="preserve"> </w:t>
            </w:r>
            <w:r>
              <w:rPr>
                <w:color w:val="FFFFFF"/>
                <w:sz w:val="24"/>
              </w:rPr>
              <w:t>and</w:t>
            </w:r>
            <w:r>
              <w:rPr>
                <w:color w:val="FFFFFF"/>
                <w:spacing w:val="-2"/>
                <w:sz w:val="24"/>
              </w:rPr>
              <w:t xml:space="preserve"> Resources</w:t>
            </w:r>
          </w:p>
        </w:tc>
      </w:tr>
      <w:tr w:rsidR="00DB6E1F" w14:paraId="1CA659E4" w14:textId="77777777">
        <w:trPr>
          <w:trHeight w:val="6174"/>
        </w:trPr>
        <w:tc>
          <w:tcPr>
            <w:tcW w:w="9350" w:type="dxa"/>
          </w:tcPr>
          <w:p w14:paraId="30B483DF" w14:textId="77777777" w:rsidR="00DB6E1F" w:rsidRDefault="00F666A6">
            <w:pPr>
              <w:pStyle w:val="TableParagraph"/>
              <w:ind w:right="169"/>
              <w:rPr>
                <w:sz w:val="20"/>
              </w:rPr>
            </w:pPr>
            <w:r>
              <w:rPr>
                <w:sz w:val="20"/>
              </w:rPr>
              <w:t>In</w:t>
            </w:r>
            <w:r>
              <w:rPr>
                <w:spacing w:val="-2"/>
                <w:sz w:val="20"/>
              </w:rPr>
              <w:t xml:space="preserve"> </w:t>
            </w:r>
            <w:r>
              <w:rPr>
                <w:sz w:val="20"/>
              </w:rPr>
              <w:t>our</w:t>
            </w:r>
            <w:r>
              <w:rPr>
                <w:spacing w:val="-3"/>
                <w:sz w:val="20"/>
              </w:rPr>
              <w:t xml:space="preserve"> </w:t>
            </w:r>
            <w:r>
              <w:rPr>
                <w:sz w:val="20"/>
              </w:rPr>
              <w:t>alcohol</w:t>
            </w:r>
            <w:r>
              <w:rPr>
                <w:spacing w:val="-3"/>
                <w:sz w:val="20"/>
              </w:rPr>
              <w:t xml:space="preserve"> </w:t>
            </w:r>
            <w:r>
              <w:rPr>
                <w:sz w:val="20"/>
              </w:rPr>
              <w:t>treatment</w:t>
            </w:r>
            <w:r>
              <w:rPr>
                <w:spacing w:val="-3"/>
                <w:sz w:val="20"/>
              </w:rPr>
              <w:t xml:space="preserve"> </w:t>
            </w:r>
            <w:r>
              <w:rPr>
                <w:sz w:val="20"/>
              </w:rPr>
              <w:t>program,</w:t>
            </w:r>
            <w:r>
              <w:rPr>
                <w:spacing w:val="-2"/>
                <w:sz w:val="20"/>
              </w:rPr>
              <w:t xml:space="preserve"> </w:t>
            </w:r>
            <w:r>
              <w:rPr>
                <w:sz w:val="20"/>
              </w:rPr>
              <w:t>I</w:t>
            </w:r>
            <w:r>
              <w:rPr>
                <w:spacing w:val="-3"/>
                <w:sz w:val="20"/>
              </w:rPr>
              <w:t xml:space="preserve"> </w:t>
            </w:r>
            <w:r>
              <w:rPr>
                <w:sz w:val="20"/>
              </w:rPr>
              <w:t>found</w:t>
            </w:r>
            <w:r>
              <w:rPr>
                <w:spacing w:val="-2"/>
                <w:sz w:val="20"/>
              </w:rPr>
              <w:t xml:space="preserve"> </w:t>
            </w:r>
            <w:r>
              <w:rPr>
                <w:sz w:val="20"/>
              </w:rPr>
              <w:t>that</w:t>
            </w:r>
            <w:r>
              <w:rPr>
                <w:spacing w:val="-3"/>
                <w:sz w:val="20"/>
              </w:rPr>
              <w:t xml:space="preserve"> </w:t>
            </w:r>
            <w:r>
              <w:rPr>
                <w:sz w:val="20"/>
              </w:rPr>
              <w:t>having</w:t>
            </w:r>
            <w:r>
              <w:rPr>
                <w:spacing w:val="-3"/>
                <w:sz w:val="20"/>
              </w:rPr>
              <w:t xml:space="preserve"> </w:t>
            </w:r>
            <w:r>
              <w:rPr>
                <w:sz w:val="20"/>
              </w:rPr>
              <w:t>lists</w:t>
            </w:r>
            <w:r>
              <w:rPr>
                <w:spacing w:val="-2"/>
                <w:sz w:val="20"/>
              </w:rPr>
              <w:t xml:space="preserve"> </w:t>
            </w:r>
            <w:r>
              <w:rPr>
                <w:sz w:val="20"/>
              </w:rPr>
              <w:t>of</w:t>
            </w:r>
            <w:r>
              <w:rPr>
                <w:spacing w:val="-4"/>
                <w:sz w:val="20"/>
              </w:rPr>
              <w:t xml:space="preserve"> </w:t>
            </w:r>
            <w:r>
              <w:rPr>
                <w:sz w:val="20"/>
              </w:rPr>
              <w:t>both</w:t>
            </w:r>
            <w:r>
              <w:rPr>
                <w:spacing w:val="-2"/>
                <w:sz w:val="20"/>
              </w:rPr>
              <w:t xml:space="preserve"> </w:t>
            </w:r>
            <w:r>
              <w:rPr>
                <w:sz w:val="20"/>
              </w:rPr>
              <w:t>community</w:t>
            </w:r>
            <w:r>
              <w:rPr>
                <w:spacing w:val="-2"/>
                <w:sz w:val="20"/>
              </w:rPr>
              <w:t xml:space="preserve"> </w:t>
            </w:r>
            <w:r>
              <w:rPr>
                <w:sz w:val="20"/>
              </w:rPr>
              <w:t>resources</w:t>
            </w:r>
            <w:r>
              <w:rPr>
                <w:spacing w:val="-2"/>
                <w:sz w:val="20"/>
              </w:rPr>
              <w:t xml:space="preserve"> </w:t>
            </w:r>
            <w:r>
              <w:rPr>
                <w:sz w:val="20"/>
              </w:rPr>
              <w:t>and</w:t>
            </w:r>
            <w:r>
              <w:rPr>
                <w:spacing w:val="-2"/>
                <w:sz w:val="20"/>
              </w:rPr>
              <w:t xml:space="preserve"> </w:t>
            </w:r>
            <w:r>
              <w:rPr>
                <w:sz w:val="20"/>
              </w:rPr>
              <w:t>diverse</w:t>
            </w:r>
            <w:r>
              <w:rPr>
                <w:spacing w:val="-4"/>
                <w:sz w:val="20"/>
              </w:rPr>
              <w:t xml:space="preserve"> </w:t>
            </w:r>
            <w:r>
              <w:rPr>
                <w:sz w:val="20"/>
              </w:rPr>
              <w:t xml:space="preserve">treatment modules helps counselors and case managers engage clients, </w:t>
            </w:r>
            <w:r>
              <w:rPr>
                <w:sz w:val="20"/>
              </w:rPr>
              <w:t>offer individualized programming, and meet clients’ multiple needs. The following are some options we offer our clients:</w:t>
            </w:r>
          </w:p>
          <w:p w14:paraId="1833C321" w14:textId="77777777" w:rsidR="00DB6E1F" w:rsidRDefault="00F666A6">
            <w:pPr>
              <w:pStyle w:val="TableParagraph"/>
              <w:spacing w:before="122"/>
              <w:rPr>
                <w:sz w:val="20"/>
              </w:rPr>
            </w:pPr>
            <w:r>
              <w:rPr>
                <w:sz w:val="20"/>
              </w:rPr>
              <w:t>Treatment</w:t>
            </w:r>
            <w:r>
              <w:rPr>
                <w:spacing w:val="-10"/>
                <w:sz w:val="20"/>
              </w:rPr>
              <w:t xml:space="preserve"> </w:t>
            </w:r>
            <w:r>
              <w:rPr>
                <w:sz w:val="20"/>
              </w:rPr>
              <w:t>Module</w:t>
            </w:r>
            <w:r>
              <w:rPr>
                <w:spacing w:val="-10"/>
                <w:sz w:val="20"/>
              </w:rPr>
              <w:t xml:space="preserve"> </w:t>
            </w:r>
            <w:r>
              <w:rPr>
                <w:spacing w:val="-2"/>
                <w:sz w:val="20"/>
              </w:rPr>
              <w:t>Options</w:t>
            </w:r>
          </w:p>
          <w:p w14:paraId="14D1768C" w14:textId="77777777" w:rsidR="00DB6E1F" w:rsidRDefault="00F666A6">
            <w:pPr>
              <w:pStyle w:val="TableParagraph"/>
              <w:numPr>
                <w:ilvl w:val="0"/>
                <w:numId w:val="49"/>
              </w:numPr>
              <w:tabs>
                <w:tab w:val="left" w:pos="467"/>
                <w:tab w:val="left" w:pos="468"/>
              </w:tabs>
              <w:spacing w:before="91"/>
              <w:ind w:left="467" w:hanging="361"/>
              <w:rPr>
                <w:sz w:val="20"/>
              </w:rPr>
            </w:pPr>
            <w:r>
              <w:rPr>
                <w:w w:val="95"/>
                <w:sz w:val="20"/>
              </w:rPr>
              <w:t>Values</w:t>
            </w:r>
            <w:r>
              <w:rPr>
                <w:spacing w:val="38"/>
                <w:sz w:val="20"/>
              </w:rPr>
              <w:t xml:space="preserve"> </w:t>
            </w:r>
            <w:r>
              <w:rPr>
                <w:w w:val="95"/>
                <w:sz w:val="20"/>
              </w:rPr>
              <w:t>clarification/decision</w:t>
            </w:r>
            <w:r>
              <w:rPr>
                <w:spacing w:val="42"/>
                <w:sz w:val="20"/>
              </w:rPr>
              <w:t xml:space="preserve"> </w:t>
            </w:r>
            <w:r>
              <w:rPr>
                <w:spacing w:val="-2"/>
                <w:w w:val="95"/>
                <w:sz w:val="20"/>
              </w:rPr>
              <w:t>making</w:t>
            </w:r>
          </w:p>
          <w:p w14:paraId="42BD9D1F" w14:textId="77777777" w:rsidR="00DB6E1F" w:rsidRDefault="00F666A6">
            <w:pPr>
              <w:pStyle w:val="TableParagraph"/>
              <w:numPr>
                <w:ilvl w:val="0"/>
                <w:numId w:val="49"/>
              </w:numPr>
              <w:tabs>
                <w:tab w:val="left" w:pos="467"/>
                <w:tab w:val="left" w:pos="468"/>
              </w:tabs>
              <w:spacing w:before="7"/>
              <w:ind w:left="467" w:hanging="361"/>
              <w:rPr>
                <w:sz w:val="20"/>
              </w:rPr>
            </w:pPr>
            <w:r>
              <w:rPr>
                <w:sz w:val="20"/>
              </w:rPr>
              <w:t>Social-skills</w:t>
            </w:r>
            <w:r>
              <w:rPr>
                <w:spacing w:val="-11"/>
                <w:sz w:val="20"/>
              </w:rPr>
              <w:t xml:space="preserve"> </w:t>
            </w:r>
            <w:r>
              <w:rPr>
                <w:sz w:val="20"/>
              </w:rPr>
              <w:t>training</w:t>
            </w:r>
            <w:r>
              <w:rPr>
                <w:spacing w:val="-10"/>
                <w:sz w:val="20"/>
              </w:rPr>
              <w:t xml:space="preserve"> </w:t>
            </w:r>
            <w:r>
              <w:rPr>
                <w:sz w:val="20"/>
              </w:rPr>
              <w:t>(e.g.,</w:t>
            </w:r>
            <w:r>
              <w:rPr>
                <w:spacing w:val="-9"/>
                <w:sz w:val="20"/>
              </w:rPr>
              <w:t xml:space="preserve"> </w:t>
            </w:r>
            <w:r>
              <w:rPr>
                <w:sz w:val="20"/>
              </w:rPr>
              <w:t>assertiveness,</w:t>
            </w:r>
            <w:r>
              <w:rPr>
                <w:spacing w:val="-9"/>
                <w:sz w:val="20"/>
              </w:rPr>
              <w:t xml:space="preserve"> </w:t>
            </w:r>
            <w:r>
              <w:rPr>
                <w:spacing w:val="-2"/>
                <w:sz w:val="20"/>
              </w:rPr>
              <w:t>communication)</w:t>
            </w:r>
          </w:p>
          <w:p w14:paraId="7F4173F1" w14:textId="77777777" w:rsidR="00DB6E1F" w:rsidRDefault="00F666A6">
            <w:pPr>
              <w:pStyle w:val="TableParagraph"/>
              <w:numPr>
                <w:ilvl w:val="0"/>
                <w:numId w:val="49"/>
              </w:numPr>
              <w:tabs>
                <w:tab w:val="left" w:pos="467"/>
                <w:tab w:val="left" w:pos="468"/>
              </w:tabs>
              <w:spacing w:before="4"/>
              <w:ind w:left="467" w:hanging="361"/>
              <w:rPr>
                <w:sz w:val="20"/>
              </w:rPr>
            </w:pPr>
            <w:r>
              <w:rPr>
                <w:sz w:val="20"/>
              </w:rPr>
              <w:t>Anxiety</w:t>
            </w:r>
            <w:r>
              <w:rPr>
                <w:spacing w:val="-8"/>
                <w:sz w:val="20"/>
              </w:rPr>
              <w:t xml:space="preserve"> </w:t>
            </w:r>
            <w:r>
              <w:rPr>
                <w:spacing w:val="-2"/>
                <w:sz w:val="20"/>
              </w:rPr>
              <w:t>management/relaxation</w:t>
            </w:r>
          </w:p>
          <w:p w14:paraId="0D09E1E9" w14:textId="77777777" w:rsidR="00DB6E1F" w:rsidRDefault="00F666A6">
            <w:pPr>
              <w:pStyle w:val="TableParagraph"/>
              <w:numPr>
                <w:ilvl w:val="0"/>
                <w:numId w:val="49"/>
              </w:numPr>
              <w:tabs>
                <w:tab w:val="left" w:pos="467"/>
                <w:tab w:val="left" w:pos="468"/>
              </w:tabs>
              <w:spacing w:before="4"/>
              <w:ind w:left="467" w:hanging="361"/>
              <w:rPr>
                <w:sz w:val="20"/>
              </w:rPr>
            </w:pPr>
            <w:r>
              <w:rPr>
                <w:sz w:val="20"/>
              </w:rPr>
              <w:t>Anger</w:t>
            </w:r>
            <w:r>
              <w:rPr>
                <w:spacing w:val="-7"/>
                <w:sz w:val="20"/>
              </w:rPr>
              <w:t xml:space="preserve"> </w:t>
            </w:r>
            <w:r>
              <w:rPr>
                <w:spacing w:val="-2"/>
                <w:sz w:val="20"/>
              </w:rPr>
              <w:t>management</w:t>
            </w:r>
          </w:p>
          <w:p w14:paraId="4F2C56C6" w14:textId="77777777" w:rsidR="00DB6E1F" w:rsidRDefault="00F666A6">
            <w:pPr>
              <w:pStyle w:val="TableParagraph"/>
              <w:numPr>
                <w:ilvl w:val="0"/>
                <w:numId w:val="49"/>
              </w:numPr>
              <w:tabs>
                <w:tab w:val="left" w:pos="467"/>
                <w:tab w:val="left" w:pos="468"/>
              </w:tabs>
              <w:spacing w:before="7"/>
              <w:ind w:left="467" w:hanging="361"/>
              <w:rPr>
                <w:sz w:val="20"/>
              </w:rPr>
            </w:pPr>
            <w:r>
              <w:rPr>
                <w:sz w:val="20"/>
              </w:rPr>
              <w:t>Marital</w:t>
            </w:r>
            <w:r>
              <w:rPr>
                <w:spacing w:val="-6"/>
                <w:sz w:val="20"/>
              </w:rPr>
              <w:t xml:space="preserve"> </w:t>
            </w:r>
            <w:r>
              <w:rPr>
                <w:sz w:val="20"/>
              </w:rPr>
              <w:t>and</w:t>
            </w:r>
            <w:r>
              <w:rPr>
                <w:spacing w:val="-5"/>
                <w:sz w:val="20"/>
              </w:rPr>
              <w:t xml:space="preserve"> </w:t>
            </w:r>
            <w:r>
              <w:rPr>
                <w:sz w:val="20"/>
              </w:rPr>
              <w:t>family</w:t>
            </w:r>
            <w:r>
              <w:rPr>
                <w:spacing w:val="-5"/>
                <w:sz w:val="20"/>
              </w:rPr>
              <w:t xml:space="preserve"> </w:t>
            </w:r>
            <w:r>
              <w:rPr>
                <w:spacing w:val="-2"/>
                <w:sz w:val="20"/>
              </w:rPr>
              <w:t>therapy</w:t>
            </w:r>
          </w:p>
          <w:p w14:paraId="7309CD6F" w14:textId="77777777" w:rsidR="00DB6E1F" w:rsidRDefault="00F666A6">
            <w:pPr>
              <w:pStyle w:val="TableParagraph"/>
              <w:numPr>
                <w:ilvl w:val="0"/>
                <w:numId w:val="49"/>
              </w:numPr>
              <w:tabs>
                <w:tab w:val="left" w:pos="466"/>
                <w:tab w:val="left" w:pos="467"/>
              </w:tabs>
              <w:spacing w:before="5"/>
              <w:ind w:left="466"/>
              <w:rPr>
                <w:sz w:val="20"/>
              </w:rPr>
            </w:pPr>
            <w:r>
              <w:rPr>
                <w:sz w:val="20"/>
              </w:rPr>
              <w:t>Adjunctive</w:t>
            </w:r>
            <w:r>
              <w:rPr>
                <w:spacing w:val="-11"/>
                <w:sz w:val="20"/>
              </w:rPr>
              <w:t xml:space="preserve"> </w:t>
            </w:r>
            <w:r>
              <w:rPr>
                <w:sz w:val="20"/>
              </w:rPr>
              <w:t>medication</w:t>
            </w:r>
            <w:r>
              <w:rPr>
                <w:spacing w:val="-9"/>
                <w:sz w:val="20"/>
              </w:rPr>
              <w:t xml:space="preserve"> </w:t>
            </w:r>
            <w:r>
              <w:rPr>
                <w:sz w:val="20"/>
              </w:rPr>
              <w:t>(i.e.,</w:t>
            </w:r>
            <w:r>
              <w:rPr>
                <w:spacing w:val="-9"/>
                <w:sz w:val="20"/>
              </w:rPr>
              <w:t xml:space="preserve"> </w:t>
            </w:r>
            <w:r>
              <w:rPr>
                <w:sz w:val="20"/>
              </w:rPr>
              <w:t>disulfiram,</w:t>
            </w:r>
            <w:r>
              <w:rPr>
                <w:spacing w:val="-9"/>
                <w:sz w:val="20"/>
              </w:rPr>
              <w:t xml:space="preserve"> </w:t>
            </w:r>
            <w:r>
              <w:rPr>
                <w:sz w:val="20"/>
              </w:rPr>
              <w:t>naltrexone,</w:t>
            </w:r>
            <w:r>
              <w:rPr>
                <w:spacing w:val="-9"/>
                <w:sz w:val="20"/>
              </w:rPr>
              <w:t xml:space="preserve"> </w:t>
            </w:r>
            <w:r>
              <w:rPr>
                <w:sz w:val="20"/>
              </w:rPr>
              <w:t>or</w:t>
            </w:r>
            <w:r>
              <w:rPr>
                <w:spacing w:val="-10"/>
                <w:sz w:val="20"/>
              </w:rPr>
              <w:t xml:space="preserve"> </w:t>
            </w:r>
            <w:r>
              <w:rPr>
                <w:spacing w:val="-2"/>
                <w:sz w:val="20"/>
              </w:rPr>
              <w:t>acamprosate)</w:t>
            </w:r>
          </w:p>
          <w:p w14:paraId="5A1AFD8E" w14:textId="77777777" w:rsidR="00DB6E1F" w:rsidRDefault="00F666A6">
            <w:pPr>
              <w:pStyle w:val="TableParagraph"/>
              <w:numPr>
                <w:ilvl w:val="0"/>
                <w:numId w:val="49"/>
              </w:numPr>
              <w:tabs>
                <w:tab w:val="left" w:pos="466"/>
                <w:tab w:val="left" w:pos="467"/>
              </w:tabs>
              <w:spacing w:before="4"/>
              <w:ind w:left="466" w:hanging="361"/>
              <w:rPr>
                <w:sz w:val="20"/>
              </w:rPr>
            </w:pPr>
            <w:r>
              <w:rPr>
                <w:w w:val="95"/>
                <w:sz w:val="20"/>
              </w:rPr>
              <w:t>Problem-solving</w:t>
            </w:r>
            <w:r>
              <w:rPr>
                <w:spacing w:val="46"/>
                <w:sz w:val="20"/>
              </w:rPr>
              <w:t xml:space="preserve"> </w:t>
            </w:r>
            <w:r>
              <w:rPr>
                <w:spacing w:val="-2"/>
                <w:w w:val="95"/>
                <w:sz w:val="20"/>
              </w:rPr>
              <w:t>groups</w:t>
            </w:r>
          </w:p>
          <w:p w14:paraId="587E0F85" w14:textId="77777777" w:rsidR="00DB6E1F" w:rsidRDefault="00F666A6">
            <w:pPr>
              <w:pStyle w:val="TableParagraph"/>
              <w:numPr>
                <w:ilvl w:val="0"/>
                <w:numId w:val="49"/>
              </w:numPr>
              <w:tabs>
                <w:tab w:val="left" w:pos="466"/>
                <w:tab w:val="left" w:pos="467"/>
              </w:tabs>
              <w:spacing w:before="33" w:line="278" w:lineRule="auto"/>
              <w:ind w:right="6508" w:firstLine="0"/>
              <w:rPr>
                <w:sz w:val="20"/>
              </w:rPr>
            </w:pPr>
            <w:r>
              <w:rPr>
                <w:sz w:val="20"/>
              </w:rPr>
              <w:t>Intensive group therapy Community</w:t>
            </w:r>
            <w:r>
              <w:rPr>
                <w:spacing w:val="-11"/>
                <w:sz w:val="20"/>
              </w:rPr>
              <w:t xml:space="preserve"> </w:t>
            </w:r>
            <w:r>
              <w:rPr>
                <w:sz w:val="20"/>
              </w:rPr>
              <w:t>Treatment</w:t>
            </w:r>
            <w:r>
              <w:rPr>
                <w:spacing w:val="-12"/>
                <w:sz w:val="20"/>
              </w:rPr>
              <w:t xml:space="preserve"> </w:t>
            </w:r>
            <w:r>
              <w:rPr>
                <w:spacing w:val="-2"/>
                <w:sz w:val="20"/>
              </w:rPr>
              <w:t>Resources</w:t>
            </w:r>
          </w:p>
          <w:p w14:paraId="77264079" w14:textId="77777777" w:rsidR="00DB6E1F" w:rsidRDefault="00F666A6">
            <w:pPr>
              <w:pStyle w:val="TableParagraph"/>
              <w:numPr>
                <w:ilvl w:val="0"/>
                <w:numId w:val="49"/>
              </w:numPr>
              <w:tabs>
                <w:tab w:val="left" w:pos="466"/>
                <w:tab w:val="left" w:pos="467"/>
              </w:tabs>
              <w:spacing w:before="54"/>
              <w:ind w:left="466" w:hanging="361"/>
              <w:rPr>
                <w:sz w:val="20"/>
              </w:rPr>
            </w:pPr>
            <w:r>
              <w:rPr>
                <w:sz w:val="20"/>
              </w:rPr>
              <w:t>Halfway</w:t>
            </w:r>
            <w:r>
              <w:rPr>
                <w:spacing w:val="-8"/>
                <w:sz w:val="20"/>
              </w:rPr>
              <w:t xml:space="preserve"> </w:t>
            </w:r>
            <w:r>
              <w:rPr>
                <w:spacing w:val="-2"/>
                <w:sz w:val="20"/>
              </w:rPr>
              <w:t>houses</w:t>
            </w:r>
          </w:p>
          <w:p w14:paraId="11845606" w14:textId="77777777" w:rsidR="00DB6E1F" w:rsidRDefault="00F666A6">
            <w:pPr>
              <w:pStyle w:val="TableParagraph"/>
              <w:numPr>
                <w:ilvl w:val="0"/>
                <w:numId w:val="49"/>
              </w:numPr>
              <w:tabs>
                <w:tab w:val="left" w:pos="466"/>
                <w:tab w:val="left" w:pos="467"/>
              </w:tabs>
              <w:spacing w:before="7"/>
              <w:ind w:left="466" w:hanging="361"/>
              <w:rPr>
                <w:sz w:val="20"/>
              </w:rPr>
            </w:pPr>
            <w:r>
              <w:rPr>
                <w:sz w:val="20"/>
              </w:rPr>
              <w:t>Support</w:t>
            </w:r>
            <w:r>
              <w:rPr>
                <w:spacing w:val="-7"/>
                <w:sz w:val="20"/>
              </w:rPr>
              <w:t xml:space="preserve"> </w:t>
            </w:r>
            <w:r>
              <w:rPr>
                <w:sz w:val="20"/>
              </w:rPr>
              <w:t>groups</w:t>
            </w:r>
            <w:r>
              <w:rPr>
                <w:spacing w:val="-8"/>
                <w:sz w:val="20"/>
              </w:rPr>
              <w:t xml:space="preserve"> </w:t>
            </w:r>
            <w:r>
              <w:rPr>
                <w:sz w:val="20"/>
              </w:rPr>
              <w:t>(e.g.,</w:t>
            </w:r>
            <w:r>
              <w:rPr>
                <w:spacing w:val="-6"/>
                <w:sz w:val="20"/>
              </w:rPr>
              <w:t xml:space="preserve"> </w:t>
            </w:r>
            <w:r>
              <w:rPr>
                <w:sz w:val="20"/>
              </w:rPr>
              <w:t>AA,</w:t>
            </w:r>
            <w:r>
              <w:rPr>
                <w:spacing w:val="-6"/>
                <w:sz w:val="20"/>
              </w:rPr>
              <w:t xml:space="preserve"> </w:t>
            </w:r>
            <w:r>
              <w:rPr>
                <w:sz w:val="20"/>
              </w:rPr>
              <w:t>NA,</w:t>
            </w:r>
            <w:r>
              <w:rPr>
                <w:spacing w:val="-6"/>
                <w:sz w:val="20"/>
              </w:rPr>
              <w:t xml:space="preserve"> </w:t>
            </w:r>
            <w:r>
              <w:rPr>
                <w:sz w:val="20"/>
              </w:rPr>
              <w:t>Rational</w:t>
            </w:r>
            <w:r>
              <w:rPr>
                <w:spacing w:val="-7"/>
                <w:sz w:val="20"/>
              </w:rPr>
              <w:t xml:space="preserve"> </w:t>
            </w:r>
            <w:r>
              <w:rPr>
                <w:sz w:val="20"/>
              </w:rPr>
              <w:t>Recovery,</w:t>
            </w:r>
            <w:r>
              <w:rPr>
                <w:spacing w:val="-6"/>
                <w:sz w:val="20"/>
              </w:rPr>
              <w:t xml:space="preserve"> </w:t>
            </w:r>
            <w:r>
              <w:rPr>
                <w:sz w:val="20"/>
              </w:rPr>
              <w:t>SMART</w:t>
            </w:r>
            <w:r>
              <w:rPr>
                <w:spacing w:val="-7"/>
                <w:sz w:val="20"/>
              </w:rPr>
              <w:t xml:space="preserve"> </w:t>
            </w:r>
            <w:r>
              <w:rPr>
                <w:sz w:val="20"/>
              </w:rPr>
              <w:t>Recovery,</w:t>
            </w:r>
            <w:r>
              <w:rPr>
                <w:spacing w:val="-6"/>
                <w:sz w:val="20"/>
              </w:rPr>
              <w:t xml:space="preserve"> </w:t>
            </w:r>
            <w:r>
              <w:rPr>
                <w:sz w:val="20"/>
              </w:rPr>
              <w:t>Women</w:t>
            </w:r>
            <w:r>
              <w:rPr>
                <w:spacing w:val="-6"/>
                <w:sz w:val="20"/>
              </w:rPr>
              <w:t xml:space="preserve"> </w:t>
            </w:r>
            <w:r>
              <w:rPr>
                <w:sz w:val="20"/>
              </w:rPr>
              <w:t>for</w:t>
            </w:r>
            <w:r>
              <w:rPr>
                <w:spacing w:val="-7"/>
                <w:sz w:val="20"/>
              </w:rPr>
              <w:t xml:space="preserve"> </w:t>
            </w:r>
            <w:r>
              <w:rPr>
                <w:spacing w:val="-2"/>
                <w:sz w:val="20"/>
              </w:rPr>
              <w:t>Sobriety)</w:t>
            </w:r>
          </w:p>
          <w:p w14:paraId="1CE4E598" w14:textId="77777777" w:rsidR="00DB6E1F" w:rsidRDefault="00F666A6">
            <w:pPr>
              <w:pStyle w:val="TableParagraph"/>
              <w:numPr>
                <w:ilvl w:val="0"/>
                <w:numId w:val="49"/>
              </w:numPr>
              <w:tabs>
                <w:tab w:val="left" w:pos="466"/>
                <w:tab w:val="left" w:pos="467"/>
              </w:tabs>
              <w:spacing w:before="4"/>
              <w:ind w:left="466" w:hanging="361"/>
              <w:rPr>
                <w:sz w:val="20"/>
              </w:rPr>
            </w:pPr>
            <w:r>
              <w:rPr>
                <w:sz w:val="20"/>
              </w:rPr>
              <w:t>Social</w:t>
            </w:r>
            <w:r>
              <w:rPr>
                <w:spacing w:val="-8"/>
                <w:sz w:val="20"/>
              </w:rPr>
              <w:t xml:space="preserve"> </w:t>
            </w:r>
            <w:r>
              <w:rPr>
                <w:sz w:val="20"/>
              </w:rPr>
              <w:t>services</w:t>
            </w:r>
            <w:r>
              <w:rPr>
                <w:spacing w:val="-9"/>
                <w:sz w:val="20"/>
              </w:rPr>
              <w:t xml:space="preserve"> </w:t>
            </w:r>
            <w:r>
              <w:rPr>
                <w:sz w:val="20"/>
              </w:rPr>
              <w:t>(e.g.,</w:t>
            </w:r>
            <w:r>
              <w:rPr>
                <w:spacing w:val="-8"/>
                <w:sz w:val="20"/>
              </w:rPr>
              <w:t xml:space="preserve"> </w:t>
            </w:r>
            <w:r>
              <w:rPr>
                <w:sz w:val="20"/>
              </w:rPr>
              <w:t>child</w:t>
            </w:r>
            <w:r>
              <w:rPr>
                <w:spacing w:val="-7"/>
                <w:sz w:val="20"/>
              </w:rPr>
              <w:t xml:space="preserve"> </w:t>
            </w:r>
            <w:r>
              <w:rPr>
                <w:sz w:val="20"/>
              </w:rPr>
              <w:t>care,</w:t>
            </w:r>
            <w:r>
              <w:rPr>
                <w:spacing w:val="-7"/>
                <w:sz w:val="20"/>
              </w:rPr>
              <w:t xml:space="preserve"> </w:t>
            </w:r>
            <w:r>
              <w:rPr>
                <w:sz w:val="20"/>
              </w:rPr>
              <w:t>vocational</w:t>
            </w:r>
            <w:r>
              <w:rPr>
                <w:spacing w:val="-8"/>
                <w:sz w:val="20"/>
              </w:rPr>
              <w:t xml:space="preserve"> </w:t>
            </w:r>
            <w:r>
              <w:rPr>
                <w:sz w:val="20"/>
              </w:rPr>
              <w:t>rehabilitation,</w:t>
            </w:r>
            <w:r>
              <w:rPr>
                <w:spacing w:val="-7"/>
                <w:sz w:val="20"/>
              </w:rPr>
              <w:t xml:space="preserve"> </w:t>
            </w:r>
            <w:r>
              <w:rPr>
                <w:sz w:val="20"/>
              </w:rPr>
              <w:t>food,</w:t>
            </w:r>
            <w:r>
              <w:rPr>
                <w:spacing w:val="-7"/>
                <w:sz w:val="20"/>
              </w:rPr>
              <w:t xml:space="preserve"> </w:t>
            </w:r>
            <w:r>
              <w:rPr>
                <w:spacing w:val="-2"/>
                <w:sz w:val="20"/>
              </w:rPr>
              <w:t>shelter)</w:t>
            </w:r>
          </w:p>
          <w:p w14:paraId="1448C1A7" w14:textId="77777777" w:rsidR="00DB6E1F" w:rsidRDefault="00F666A6">
            <w:pPr>
              <w:pStyle w:val="TableParagraph"/>
              <w:numPr>
                <w:ilvl w:val="0"/>
                <w:numId w:val="49"/>
              </w:numPr>
              <w:tabs>
                <w:tab w:val="left" w:pos="466"/>
                <w:tab w:val="left" w:pos="467"/>
              </w:tabs>
              <w:spacing w:before="5"/>
              <w:ind w:left="466" w:hanging="361"/>
              <w:rPr>
                <w:sz w:val="20"/>
              </w:rPr>
            </w:pPr>
            <w:r>
              <w:rPr>
                <w:sz w:val="20"/>
              </w:rPr>
              <w:t>Medical</w:t>
            </w:r>
            <w:r>
              <w:rPr>
                <w:spacing w:val="-10"/>
                <w:sz w:val="20"/>
              </w:rPr>
              <w:t xml:space="preserve"> </w:t>
            </w:r>
            <w:r>
              <w:rPr>
                <w:spacing w:val="-4"/>
                <w:sz w:val="20"/>
              </w:rPr>
              <w:t>care</w:t>
            </w:r>
          </w:p>
          <w:p w14:paraId="4639D772" w14:textId="77777777" w:rsidR="00DB6E1F" w:rsidRDefault="00F666A6">
            <w:pPr>
              <w:pStyle w:val="TableParagraph"/>
              <w:numPr>
                <w:ilvl w:val="0"/>
                <w:numId w:val="49"/>
              </w:numPr>
              <w:tabs>
                <w:tab w:val="left" w:pos="466"/>
                <w:tab w:val="left" w:pos="467"/>
              </w:tabs>
              <w:spacing w:before="7"/>
              <w:ind w:left="466" w:hanging="361"/>
              <w:rPr>
                <w:sz w:val="20"/>
              </w:rPr>
            </w:pPr>
            <w:r>
              <w:rPr>
                <w:spacing w:val="-2"/>
                <w:sz w:val="20"/>
              </w:rPr>
              <w:t>Transportation</w:t>
            </w:r>
          </w:p>
          <w:p w14:paraId="340AF799" w14:textId="77777777" w:rsidR="00DB6E1F" w:rsidRDefault="00F666A6">
            <w:pPr>
              <w:pStyle w:val="TableParagraph"/>
              <w:numPr>
                <w:ilvl w:val="0"/>
                <w:numId w:val="49"/>
              </w:numPr>
              <w:tabs>
                <w:tab w:val="left" w:pos="466"/>
                <w:tab w:val="left" w:pos="467"/>
              </w:tabs>
              <w:spacing w:before="4"/>
              <w:ind w:left="466" w:hanging="361"/>
              <w:rPr>
                <w:sz w:val="20"/>
              </w:rPr>
            </w:pPr>
            <w:r>
              <w:rPr>
                <w:sz w:val="20"/>
              </w:rPr>
              <w:t>Legal</w:t>
            </w:r>
            <w:r>
              <w:rPr>
                <w:spacing w:val="-7"/>
                <w:sz w:val="20"/>
              </w:rPr>
              <w:t xml:space="preserve"> </w:t>
            </w:r>
            <w:r>
              <w:rPr>
                <w:spacing w:val="-2"/>
                <w:sz w:val="20"/>
              </w:rPr>
              <w:t>services</w:t>
            </w:r>
          </w:p>
          <w:p w14:paraId="23C9717D" w14:textId="77777777" w:rsidR="00DB6E1F" w:rsidRDefault="00F666A6">
            <w:pPr>
              <w:pStyle w:val="TableParagraph"/>
              <w:numPr>
                <w:ilvl w:val="0"/>
                <w:numId w:val="49"/>
              </w:numPr>
              <w:tabs>
                <w:tab w:val="left" w:pos="465"/>
                <w:tab w:val="left" w:pos="466"/>
              </w:tabs>
              <w:spacing w:before="4"/>
              <w:ind w:left="465"/>
              <w:rPr>
                <w:sz w:val="20"/>
              </w:rPr>
            </w:pPr>
            <w:r>
              <w:rPr>
                <w:spacing w:val="-2"/>
                <w:sz w:val="20"/>
              </w:rPr>
              <w:t>Psychiatric</w:t>
            </w:r>
            <w:r>
              <w:rPr>
                <w:spacing w:val="9"/>
                <w:sz w:val="20"/>
              </w:rPr>
              <w:t xml:space="preserve"> </w:t>
            </w:r>
            <w:r>
              <w:rPr>
                <w:spacing w:val="-2"/>
                <w:sz w:val="20"/>
              </w:rPr>
              <w:t>services</w:t>
            </w:r>
          </w:p>
          <w:p w14:paraId="02139823" w14:textId="77777777" w:rsidR="00DB6E1F" w:rsidRDefault="00F666A6">
            <w:pPr>
              <w:pStyle w:val="TableParagraph"/>
              <w:numPr>
                <w:ilvl w:val="0"/>
                <w:numId w:val="49"/>
              </w:numPr>
              <w:tabs>
                <w:tab w:val="left" w:pos="465"/>
                <w:tab w:val="left" w:pos="466"/>
              </w:tabs>
              <w:spacing w:before="34"/>
              <w:ind w:left="465" w:hanging="361"/>
              <w:rPr>
                <w:sz w:val="20"/>
              </w:rPr>
            </w:pPr>
            <w:r>
              <w:rPr>
                <w:sz w:val="20"/>
              </w:rPr>
              <w:t>Academic</w:t>
            </w:r>
            <w:r>
              <w:rPr>
                <w:spacing w:val="-9"/>
                <w:sz w:val="20"/>
              </w:rPr>
              <w:t xml:space="preserve"> </w:t>
            </w:r>
            <w:r>
              <w:rPr>
                <w:sz w:val="20"/>
              </w:rPr>
              <w:t>and</w:t>
            </w:r>
            <w:r>
              <w:rPr>
                <w:spacing w:val="-7"/>
                <w:sz w:val="20"/>
              </w:rPr>
              <w:t xml:space="preserve"> </w:t>
            </w:r>
            <w:r>
              <w:rPr>
                <w:sz w:val="20"/>
              </w:rPr>
              <w:t>technical</w:t>
            </w:r>
            <w:r>
              <w:rPr>
                <w:spacing w:val="-8"/>
                <w:sz w:val="20"/>
              </w:rPr>
              <w:t xml:space="preserve"> </w:t>
            </w:r>
            <w:r>
              <w:rPr>
                <w:spacing w:val="-2"/>
                <w:sz w:val="20"/>
              </w:rPr>
              <w:t>schools</w:t>
            </w:r>
          </w:p>
          <w:p w14:paraId="44C03462" w14:textId="77777777" w:rsidR="00DB6E1F" w:rsidRDefault="00F666A6">
            <w:pPr>
              <w:pStyle w:val="TableParagraph"/>
              <w:spacing w:before="79"/>
              <w:ind w:left="105"/>
              <w:rPr>
                <w:i/>
                <w:sz w:val="20"/>
              </w:rPr>
            </w:pPr>
            <w:r>
              <w:rPr>
                <w:i/>
                <w:sz w:val="20"/>
              </w:rPr>
              <w:t>Carlo</w:t>
            </w:r>
            <w:r>
              <w:rPr>
                <w:i/>
                <w:spacing w:val="-7"/>
                <w:sz w:val="20"/>
              </w:rPr>
              <w:t xml:space="preserve"> </w:t>
            </w:r>
            <w:r>
              <w:rPr>
                <w:i/>
                <w:sz w:val="20"/>
              </w:rPr>
              <w:t>C.</w:t>
            </w:r>
            <w:r>
              <w:rPr>
                <w:i/>
                <w:spacing w:val="-7"/>
                <w:sz w:val="20"/>
              </w:rPr>
              <w:t xml:space="preserve"> </w:t>
            </w:r>
            <w:r>
              <w:rPr>
                <w:i/>
                <w:sz w:val="20"/>
              </w:rPr>
              <w:t>DiClemente,</w:t>
            </w:r>
            <w:r>
              <w:rPr>
                <w:i/>
                <w:spacing w:val="-6"/>
                <w:sz w:val="20"/>
              </w:rPr>
              <w:t xml:space="preserve"> </w:t>
            </w:r>
            <w:r>
              <w:rPr>
                <w:i/>
                <w:sz w:val="20"/>
              </w:rPr>
              <w:t>Ph.D.,</w:t>
            </w:r>
            <w:r>
              <w:rPr>
                <w:i/>
                <w:spacing w:val="-7"/>
                <w:sz w:val="20"/>
              </w:rPr>
              <w:t xml:space="preserve"> </w:t>
            </w:r>
            <w:r>
              <w:rPr>
                <w:i/>
                <w:sz w:val="20"/>
              </w:rPr>
              <w:t>Consensus</w:t>
            </w:r>
            <w:r>
              <w:rPr>
                <w:i/>
                <w:spacing w:val="-8"/>
                <w:sz w:val="20"/>
              </w:rPr>
              <w:t xml:space="preserve"> </w:t>
            </w:r>
            <w:r>
              <w:rPr>
                <w:i/>
                <w:sz w:val="20"/>
              </w:rPr>
              <w:t>Panel</w:t>
            </w:r>
            <w:r>
              <w:rPr>
                <w:i/>
                <w:spacing w:val="-7"/>
                <w:sz w:val="20"/>
              </w:rPr>
              <w:t xml:space="preserve"> </w:t>
            </w:r>
            <w:r>
              <w:rPr>
                <w:i/>
                <w:spacing w:val="-2"/>
                <w:sz w:val="20"/>
              </w:rPr>
              <w:t>Member</w:t>
            </w:r>
          </w:p>
        </w:tc>
      </w:tr>
    </w:tbl>
    <w:p w14:paraId="34D3327B" w14:textId="77777777" w:rsidR="00DB6E1F" w:rsidRDefault="00F666A6">
      <w:pPr>
        <w:spacing w:before="161"/>
        <w:ind w:left="1439" w:right="1491"/>
      </w:pPr>
      <w:r>
        <w:rPr>
          <w:b/>
        </w:rPr>
        <w:t>Know</w:t>
      </w:r>
      <w:r>
        <w:rPr>
          <w:b/>
          <w:spacing w:val="-2"/>
        </w:rPr>
        <w:t xml:space="preserve"> </w:t>
      </w:r>
      <w:r>
        <w:rPr>
          <w:b/>
        </w:rPr>
        <w:t>your</w:t>
      </w:r>
      <w:r>
        <w:rPr>
          <w:b/>
          <w:spacing w:val="-4"/>
        </w:rPr>
        <w:t xml:space="preserve"> </w:t>
      </w:r>
      <w:r>
        <w:rPr>
          <w:b/>
        </w:rPr>
        <w:t>community’s</w:t>
      </w:r>
      <w:r>
        <w:rPr>
          <w:b/>
          <w:spacing w:val="-4"/>
        </w:rPr>
        <w:t xml:space="preserve"> </w:t>
      </w:r>
      <w:r>
        <w:rPr>
          <w:b/>
        </w:rPr>
        <w:t>treatment</w:t>
      </w:r>
      <w:r>
        <w:rPr>
          <w:b/>
          <w:spacing w:val="-3"/>
        </w:rPr>
        <w:t xml:space="preserve"> </w:t>
      </w:r>
      <w:r>
        <w:rPr>
          <w:b/>
        </w:rPr>
        <w:t>facilities</w:t>
      </w:r>
      <w:r>
        <w:rPr>
          <w:b/>
          <w:spacing w:val="-2"/>
        </w:rPr>
        <w:t xml:space="preserve"> </w:t>
      </w:r>
      <w:r>
        <w:rPr>
          <w:b/>
        </w:rPr>
        <w:t>and</w:t>
      </w:r>
      <w:r>
        <w:rPr>
          <w:b/>
          <w:spacing w:val="-5"/>
        </w:rPr>
        <w:t xml:space="preserve"> </w:t>
      </w:r>
      <w:r>
        <w:rPr>
          <w:b/>
        </w:rPr>
        <w:t>resources.</w:t>
      </w:r>
      <w:r>
        <w:rPr>
          <w:b/>
          <w:spacing w:val="-2"/>
        </w:rPr>
        <w:t xml:space="preserve"> </w:t>
      </w:r>
      <w:r>
        <w:t>This</w:t>
      </w:r>
      <w:r>
        <w:rPr>
          <w:spacing w:val="-3"/>
        </w:rPr>
        <w:t xml:space="preserve"> </w:t>
      </w:r>
      <w:r>
        <w:t>helps</w:t>
      </w:r>
      <w:r>
        <w:rPr>
          <w:spacing w:val="-3"/>
        </w:rPr>
        <w:t xml:space="preserve"> </w:t>
      </w:r>
      <w:r>
        <w:t>you</w:t>
      </w:r>
      <w:r>
        <w:rPr>
          <w:spacing w:val="-4"/>
        </w:rPr>
        <w:t xml:space="preserve"> </w:t>
      </w:r>
      <w:r>
        <w:t>provide</w:t>
      </w:r>
      <w:r>
        <w:rPr>
          <w:spacing w:val="-2"/>
        </w:rPr>
        <w:t xml:space="preserve"> </w:t>
      </w:r>
      <w:r>
        <w:t>clients</w:t>
      </w:r>
      <w:r>
        <w:rPr>
          <w:spacing w:val="-4"/>
        </w:rPr>
        <w:t xml:space="preserve"> </w:t>
      </w:r>
      <w:r>
        <w:t>with</w:t>
      </w:r>
      <w:r>
        <w:rPr>
          <w:spacing w:val="-5"/>
        </w:rPr>
        <w:t xml:space="preserve"> </w:t>
      </w:r>
      <w:r>
        <w:t>suitable options and makes you an invaluable resource for clients. Offer clients information on:</w:t>
      </w:r>
    </w:p>
    <w:p w14:paraId="25446A6F" w14:textId="77777777" w:rsidR="00DB6E1F" w:rsidRDefault="00F666A6">
      <w:pPr>
        <w:pStyle w:val="ListParagraph"/>
        <w:numPr>
          <w:ilvl w:val="0"/>
          <w:numId w:val="92"/>
        </w:numPr>
        <w:tabs>
          <w:tab w:val="left" w:pos="1799"/>
          <w:tab w:val="left" w:pos="1800"/>
        </w:tabs>
        <w:spacing w:before="39"/>
        <w:ind w:left="1799"/>
        <w:rPr>
          <w:rFonts w:ascii="Symbol" w:hAnsi="Symbol"/>
        </w:rPr>
      </w:pPr>
      <w:r>
        <w:t>Specific</w:t>
      </w:r>
      <w:r>
        <w:rPr>
          <w:spacing w:val="-5"/>
        </w:rPr>
        <w:t xml:space="preserve"> </w:t>
      </w:r>
      <w:r>
        <w:t>contact</w:t>
      </w:r>
      <w:r>
        <w:rPr>
          <w:spacing w:val="-6"/>
        </w:rPr>
        <w:t xml:space="preserve"> </w:t>
      </w:r>
      <w:r>
        <w:rPr>
          <w:spacing w:val="-2"/>
        </w:rPr>
        <w:t>people.</w:t>
      </w:r>
    </w:p>
    <w:p w14:paraId="4CB3DE51" w14:textId="77777777" w:rsidR="00DB6E1F" w:rsidRDefault="00F666A6">
      <w:pPr>
        <w:pStyle w:val="ListParagraph"/>
        <w:numPr>
          <w:ilvl w:val="0"/>
          <w:numId w:val="92"/>
        </w:numPr>
        <w:tabs>
          <w:tab w:val="left" w:pos="1799"/>
          <w:tab w:val="left" w:pos="1800"/>
        </w:tabs>
        <w:ind w:left="1799"/>
        <w:rPr>
          <w:rFonts w:ascii="Symbol" w:hAnsi="Symbol"/>
        </w:rPr>
      </w:pPr>
      <w:r>
        <w:t>Program</w:t>
      </w:r>
      <w:r>
        <w:rPr>
          <w:spacing w:val="-3"/>
        </w:rPr>
        <w:t xml:space="preserve"> </w:t>
      </w:r>
      <w:r>
        <w:rPr>
          <w:spacing w:val="-2"/>
        </w:rPr>
        <w:t>graduates.</w:t>
      </w:r>
    </w:p>
    <w:p w14:paraId="2B64B9E5" w14:textId="77777777" w:rsidR="00DB6E1F" w:rsidRDefault="00F666A6">
      <w:pPr>
        <w:pStyle w:val="ListParagraph"/>
        <w:numPr>
          <w:ilvl w:val="0"/>
          <w:numId w:val="92"/>
        </w:numPr>
        <w:tabs>
          <w:tab w:val="left" w:pos="1799"/>
          <w:tab w:val="left" w:pos="1800"/>
        </w:tabs>
        <w:spacing w:before="61"/>
        <w:ind w:left="1799"/>
        <w:rPr>
          <w:rFonts w:ascii="Symbol" w:hAnsi="Symbol"/>
        </w:rPr>
      </w:pPr>
      <w:r>
        <w:t>Typical</w:t>
      </w:r>
      <w:r>
        <w:rPr>
          <w:spacing w:val="-4"/>
        </w:rPr>
        <w:t xml:space="preserve"> </w:t>
      </w:r>
      <w:r>
        <w:t>space</w:t>
      </w:r>
      <w:r>
        <w:rPr>
          <w:spacing w:val="-4"/>
        </w:rPr>
        <w:t xml:space="preserve"> </w:t>
      </w:r>
      <w:r>
        <w:rPr>
          <w:spacing w:val="-2"/>
        </w:rPr>
        <w:t>availability.</w:t>
      </w:r>
    </w:p>
    <w:p w14:paraId="523C5251" w14:textId="77777777" w:rsidR="00DB6E1F" w:rsidRDefault="00F666A6">
      <w:pPr>
        <w:pStyle w:val="ListParagraph"/>
        <w:numPr>
          <w:ilvl w:val="0"/>
          <w:numId w:val="92"/>
        </w:numPr>
        <w:tabs>
          <w:tab w:val="left" w:pos="1799"/>
          <w:tab w:val="left" w:pos="1800"/>
        </w:tabs>
        <w:ind w:left="1799"/>
        <w:rPr>
          <w:rFonts w:ascii="Symbol" w:hAnsi="Symbol"/>
        </w:rPr>
      </w:pPr>
      <w:r>
        <w:t>Funding</w:t>
      </w:r>
      <w:r>
        <w:rPr>
          <w:spacing w:val="-7"/>
        </w:rPr>
        <w:t xml:space="preserve"> </w:t>
      </w:r>
      <w:r>
        <w:rPr>
          <w:spacing w:val="-2"/>
        </w:rPr>
        <w:t>issues.</w:t>
      </w:r>
    </w:p>
    <w:p w14:paraId="6F2EDC3E" w14:textId="77777777" w:rsidR="00DB6E1F" w:rsidRDefault="00F666A6">
      <w:pPr>
        <w:pStyle w:val="ListParagraph"/>
        <w:numPr>
          <w:ilvl w:val="0"/>
          <w:numId w:val="92"/>
        </w:numPr>
        <w:tabs>
          <w:tab w:val="left" w:pos="1799"/>
          <w:tab w:val="left" w:pos="1800"/>
        </w:tabs>
        <w:spacing w:before="61"/>
        <w:ind w:left="1799"/>
        <w:rPr>
          <w:rFonts w:ascii="Symbol" w:hAnsi="Symbol"/>
        </w:rPr>
      </w:pPr>
      <w:r>
        <w:t>Eligibility</w:t>
      </w:r>
      <w:r>
        <w:rPr>
          <w:spacing w:val="-9"/>
        </w:rPr>
        <w:t xml:space="preserve"> </w:t>
      </w:r>
      <w:r>
        <w:rPr>
          <w:spacing w:val="-2"/>
        </w:rPr>
        <w:t>criteria.</w:t>
      </w:r>
    </w:p>
    <w:p w14:paraId="73C42929" w14:textId="77777777" w:rsidR="00DB6E1F" w:rsidRDefault="00F666A6">
      <w:pPr>
        <w:pStyle w:val="ListParagraph"/>
        <w:numPr>
          <w:ilvl w:val="0"/>
          <w:numId w:val="92"/>
        </w:numPr>
        <w:tabs>
          <w:tab w:val="left" w:pos="1799"/>
          <w:tab w:val="left" w:pos="1800"/>
        </w:tabs>
        <w:spacing w:before="58"/>
        <w:ind w:left="1799"/>
        <w:rPr>
          <w:rFonts w:ascii="Symbol" w:hAnsi="Symbol"/>
        </w:rPr>
      </w:pPr>
      <w:r>
        <w:t>Program</w:t>
      </w:r>
      <w:r>
        <w:rPr>
          <w:spacing w:val="-3"/>
        </w:rPr>
        <w:t xml:space="preserve"> </w:t>
      </w:r>
      <w:r>
        <w:t>rules</w:t>
      </w:r>
      <w:r>
        <w:rPr>
          <w:spacing w:val="-4"/>
        </w:rPr>
        <w:t xml:space="preserve"> </w:t>
      </w:r>
      <w:r>
        <w:t>and</w:t>
      </w:r>
      <w:r>
        <w:rPr>
          <w:spacing w:val="-4"/>
        </w:rPr>
        <w:t xml:space="preserve"> </w:t>
      </w:r>
      <w:r>
        <w:rPr>
          <w:spacing w:val="-2"/>
        </w:rPr>
        <w:t>characteristics.</w:t>
      </w:r>
    </w:p>
    <w:p w14:paraId="476C06CD" w14:textId="77777777" w:rsidR="00DB6E1F" w:rsidRDefault="00DB6E1F">
      <w:pPr>
        <w:rPr>
          <w:rFonts w:ascii="Symbol" w:hAnsi="Symbol"/>
        </w:rPr>
        <w:sectPr w:rsidR="00DB6E1F">
          <w:pgSz w:w="12240" w:h="15840"/>
          <w:pgMar w:top="1200" w:right="0" w:bottom="780" w:left="0" w:header="763" w:footer="585" w:gutter="0"/>
          <w:cols w:space="720"/>
        </w:sectPr>
      </w:pPr>
    </w:p>
    <w:p w14:paraId="164DB886" w14:textId="77777777" w:rsidR="00DB6E1F" w:rsidRDefault="00DB6E1F">
      <w:pPr>
        <w:pStyle w:val="BodyText"/>
        <w:rPr>
          <w:sz w:val="11"/>
        </w:rPr>
      </w:pPr>
    </w:p>
    <w:p w14:paraId="3EAC9C2F" w14:textId="77777777" w:rsidR="00DB6E1F" w:rsidRDefault="00F666A6">
      <w:pPr>
        <w:pStyle w:val="ListParagraph"/>
        <w:numPr>
          <w:ilvl w:val="0"/>
          <w:numId w:val="92"/>
        </w:numPr>
        <w:tabs>
          <w:tab w:val="left" w:pos="1800"/>
          <w:tab w:val="left" w:pos="1801"/>
        </w:tabs>
        <w:spacing w:before="101"/>
        <w:ind w:left="1800"/>
        <w:rPr>
          <w:rFonts w:ascii="Symbol" w:hAnsi="Symbol"/>
        </w:rPr>
      </w:pPr>
      <w:r>
        <w:t>Community</w:t>
      </w:r>
      <w:r>
        <w:rPr>
          <w:spacing w:val="-5"/>
        </w:rPr>
        <w:t xml:space="preserve"> </w:t>
      </w:r>
      <w:r>
        <w:t>resources</w:t>
      </w:r>
      <w:r>
        <w:rPr>
          <w:spacing w:val="-4"/>
        </w:rPr>
        <w:t xml:space="preserve"> </w:t>
      </w:r>
      <w:r>
        <w:t>in</w:t>
      </w:r>
      <w:r>
        <w:rPr>
          <w:spacing w:val="-6"/>
        </w:rPr>
        <w:t xml:space="preserve"> </w:t>
      </w:r>
      <w:r>
        <w:t>other</w:t>
      </w:r>
      <w:r>
        <w:rPr>
          <w:spacing w:val="-4"/>
        </w:rPr>
        <w:t xml:space="preserve"> </w:t>
      </w:r>
      <w:r>
        <w:t>service</w:t>
      </w:r>
      <w:r>
        <w:rPr>
          <w:spacing w:val="-5"/>
        </w:rPr>
        <w:t xml:space="preserve"> </w:t>
      </w:r>
      <w:r>
        <w:t>areas,</w:t>
      </w:r>
      <w:r>
        <w:rPr>
          <w:spacing w:val="-6"/>
        </w:rPr>
        <w:t xml:space="preserve"> </w:t>
      </w:r>
      <w:r>
        <w:t>such</w:t>
      </w:r>
      <w:r>
        <w:rPr>
          <w:spacing w:val="-4"/>
        </w:rPr>
        <w:t xml:space="preserve"> </w:t>
      </w:r>
      <w:r>
        <w:rPr>
          <w:spacing w:val="-5"/>
        </w:rPr>
        <w:t>as:</w:t>
      </w:r>
    </w:p>
    <w:p w14:paraId="7EF0970E" w14:textId="77777777" w:rsidR="00DB6E1F" w:rsidRDefault="00F666A6">
      <w:pPr>
        <w:pStyle w:val="ListParagraph"/>
        <w:numPr>
          <w:ilvl w:val="1"/>
          <w:numId w:val="92"/>
        </w:numPr>
        <w:tabs>
          <w:tab w:val="left" w:pos="2160"/>
          <w:tab w:val="left" w:pos="2161"/>
        </w:tabs>
        <w:ind w:left="2160" w:hanging="361"/>
      </w:pPr>
      <w:r>
        <w:t>Food</w:t>
      </w:r>
      <w:r>
        <w:rPr>
          <w:spacing w:val="-2"/>
        </w:rPr>
        <w:t xml:space="preserve"> banks</w:t>
      </w:r>
    </w:p>
    <w:p w14:paraId="6EDFE813" w14:textId="77777777" w:rsidR="00DB6E1F" w:rsidRDefault="00F666A6">
      <w:pPr>
        <w:pStyle w:val="ListParagraph"/>
        <w:numPr>
          <w:ilvl w:val="1"/>
          <w:numId w:val="92"/>
        </w:numPr>
        <w:tabs>
          <w:tab w:val="left" w:pos="2160"/>
          <w:tab w:val="left" w:pos="2161"/>
        </w:tabs>
        <w:ind w:left="2160" w:hanging="361"/>
      </w:pPr>
      <w:r>
        <w:t>Job</w:t>
      </w:r>
      <w:r>
        <w:rPr>
          <w:spacing w:val="-4"/>
        </w:rPr>
        <w:t xml:space="preserve"> </w:t>
      </w:r>
      <w:r>
        <w:t>training</w:t>
      </w:r>
      <w:r>
        <w:rPr>
          <w:spacing w:val="-4"/>
        </w:rPr>
        <w:t xml:space="preserve"> </w:t>
      </w:r>
      <w:r>
        <w:rPr>
          <w:spacing w:val="-2"/>
        </w:rPr>
        <w:t>programs</w:t>
      </w:r>
    </w:p>
    <w:p w14:paraId="1ED701A3" w14:textId="77777777" w:rsidR="00DB6E1F" w:rsidRDefault="00F666A6">
      <w:pPr>
        <w:pStyle w:val="ListParagraph"/>
        <w:numPr>
          <w:ilvl w:val="1"/>
          <w:numId w:val="92"/>
        </w:numPr>
        <w:tabs>
          <w:tab w:val="left" w:pos="2159"/>
          <w:tab w:val="left" w:pos="2161"/>
        </w:tabs>
        <w:ind w:left="2160" w:hanging="361"/>
      </w:pPr>
      <w:r>
        <w:t>Special</w:t>
      </w:r>
      <w:r>
        <w:rPr>
          <w:spacing w:val="-6"/>
        </w:rPr>
        <w:t xml:space="preserve"> </w:t>
      </w:r>
      <w:r>
        <w:t>programs</w:t>
      </w:r>
      <w:r>
        <w:rPr>
          <w:spacing w:val="-4"/>
        </w:rPr>
        <w:t xml:space="preserve"> </w:t>
      </w:r>
      <w:r>
        <w:t>for</w:t>
      </w:r>
      <w:r>
        <w:rPr>
          <w:spacing w:val="-6"/>
        </w:rPr>
        <w:t xml:space="preserve"> </w:t>
      </w:r>
      <w:r>
        <w:t>clients</w:t>
      </w:r>
      <w:r>
        <w:rPr>
          <w:spacing w:val="-4"/>
        </w:rPr>
        <w:t xml:space="preserve"> </w:t>
      </w:r>
      <w:r>
        <w:t>with</w:t>
      </w:r>
      <w:r>
        <w:rPr>
          <w:spacing w:val="-5"/>
        </w:rPr>
        <w:t xml:space="preserve"> </w:t>
      </w:r>
      <w:r>
        <w:t>co-occurring</w:t>
      </w:r>
      <w:r>
        <w:rPr>
          <w:spacing w:val="-7"/>
        </w:rPr>
        <w:t xml:space="preserve"> </w:t>
      </w:r>
      <w:r>
        <w:t>medical</w:t>
      </w:r>
      <w:r>
        <w:rPr>
          <w:spacing w:val="-7"/>
        </w:rPr>
        <w:t xml:space="preserve"> </w:t>
      </w:r>
      <w:r>
        <w:t>and</w:t>
      </w:r>
      <w:r>
        <w:rPr>
          <w:spacing w:val="-4"/>
        </w:rPr>
        <w:t xml:space="preserve"> </w:t>
      </w:r>
      <w:r>
        <w:t>mental</w:t>
      </w:r>
      <w:r>
        <w:rPr>
          <w:spacing w:val="-3"/>
        </w:rPr>
        <w:t xml:space="preserve"> </w:t>
      </w:r>
      <w:r>
        <w:rPr>
          <w:spacing w:val="-2"/>
        </w:rPr>
        <w:t>disorders</w:t>
      </w:r>
    </w:p>
    <w:p w14:paraId="396690DF" w14:textId="77777777" w:rsidR="00DB6E1F" w:rsidRDefault="00F666A6">
      <w:pPr>
        <w:pStyle w:val="ListParagraph"/>
        <w:numPr>
          <w:ilvl w:val="1"/>
          <w:numId w:val="92"/>
        </w:numPr>
        <w:tabs>
          <w:tab w:val="left" w:pos="2159"/>
          <w:tab w:val="left" w:pos="2161"/>
        </w:tabs>
        <w:spacing w:before="58"/>
        <w:ind w:left="2160" w:hanging="361"/>
      </w:pPr>
      <w:r>
        <w:t>Safe</w:t>
      </w:r>
      <w:r>
        <w:rPr>
          <w:spacing w:val="-7"/>
        </w:rPr>
        <w:t xml:space="preserve"> </w:t>
      </w:r>
      <w:r>
        <w:t>shelters</w:t>
      </w:r>
      <w:r>
        <w:rPr>
          <w:spacing w:val="-4"/>
        </w:rPr>
        <w:t xml:space="preserve"> </w:t>
      </w:r>
      <w:r>
        <w:t>for</w:t>
      </w:r>
      <w:r>
        <w:rPr>
          <w:spacing w:val="-5"/>
        </w:rPr>
        <w:t xml:space="preserve"> </w:t>
      </w:r>
      <w:r>
        <w:t>clients</w:t>
      </w:r>
      <w:r>
        <w:rPr>
          <w:spacing w:val="-7"/>
        </w:rPr>
        <w:t xml:space="preserve"> </w:t>
      </w:r>
      <w:r>
        <w:t>experiencing</w:t>
      </w:r>
      <w:r>
        <w:rPr>
          <w:spacing w:val="-6"/>
        </w:rPr>
        <w:t xml:space="preserve"> </w:t>
      </w:r>
      <w:r>
        <w:t>intimate</w:t>
      </w:r>
      <w:r>
        <w:rPr>
          <w:spacing w:val="-7"/>
        </w:rPr>
        <w:t xml:space="preserve"> </w:t>
      </w:r>
      <w:r>
        <w:t>partner</w:t>
      </w:r>
      <w:r>
        <w:rPr>
          <w:spacing w:val="-6"/>
        </w:rPr>
        <w:t xml:space="preserve"> </w:t>
      </w:r>
      <w:r>
        <w:rPr>
          <w:spacing w:val="-2"/>
        </w:rPr>
        <w:t>violence</w:t>
      </w:r>
    </w:p>
    <w:p w14:paraId="2ED09FDE" w14:textId="77777777" w:rsidR="00DB6E1F" w:rsidRDefault="00F666A6">
      <w:pPr>
        <w:pStyle w:val="BodyText"/>
        <w:spacing w:before="60"/>
        <w:ind w:left="1439" w:right="1491"/>
      </w:pPr>
      <w:r>
        <w:t>In addition, knowledge about clients’ resources, insurance coverage, job situation, parenting responsibilities,</w:t>
      </w:r>
      <w:r>
        <w:rPr>
          <w:spacing w:val="-3"/>
        </w:rPr>
        <w:t xml:space="preserve"> </w:t>
      </w:r>
      <w:r>
        <w:t>and</w:t>
      </w:r>
      <w:r>
        <w:rPr>
          <w:spacing w:val="-6"/>
        </w:rPr>
        <w:t xml:space="preserve"> </w:t>
      </w:r>
      <w:r>
        <w:t>other</w:t>
      </w:r>
      <w:r>
        <w:rPr>
          <w:spacing w:val="-3"/>
        </w:rPr>
        <w:t xml:space="preserve"> </w:t>
      </w:r>
      <w:r>
        <w:t>factors</w:t>
      </w:r>
      <w:r>
        <w:rPr>
          <w:spacing w:val="-5"/>
        </w:rPr>
        <w:t xml:space="preserve"> </w:t>
      </w:r>
      <w:r>
        <w:t>is</w:t>
      </w:r>
      <w:r>
        <w:rPr>
          <w:spacing w:val="-3"/>
        </w:rPr>
        <w:t xml:space="preserve"> </w:t>
      </w:r>
      <w:r>
        <w:t>crucial</w:t>
      </w:r>
      <w:r>
        <w:rPr>
          <w:spacing w:val="-3"/>
        </w:rPr>
        <w:t xml:space="preserve"> </w:t>
      </w:r>
      <w:r>
        <w:t>in</w:t>
      </w:r>
      <w:r>
        <w:rPr>
          <w:spacing w:val="-4"/>
        </w:rPr>
        <w:t xml:space="preserve"> </w:t>
      </w:r>
      <w:r>
        <w:t>considering</w:t>
      </w:r>
      <w:r>
        <w:rPr>
          <w:spacing w:val="-4"/>
        </w:rPr>
        <w:t xml:space="preserve"> </w:t>
      </w:r>
      <w:r>
        <w:t>options.</w:t>
      </w:r>
      <w:r>
        <w:rPr>
          <w:spacing w:val="-3"/>
        </w:rPr>
        <w:t xml:space="preserve"> </w:t>
      </w:r>
      <w:r>
        <w:t>Initial</w:t>
      </w:r>
      <w:r>
        <w:rPr>
          <w:spacing w:val="-3"/>
        </w:rPr>
        <w:t xml:space="preserve"> </w:t>
      </w:r>
      <w:r>
        <w:t>assessment</w:t>
      </w:r>
      <w:r>
        <w:rPr>
          <w:spacing w:val="-2"/>
        </w:rPr>
        <w:t xml:space="preserve"> </w:t>
      </w:r>
      <w:r>
        <w:t>information</w:t>
      </w:r>
      <w:r>
        <w:rPr>
          <w:spacing w:val="-4"/>
        </w:rPr>
        <w:t xml:space="preserve"> </w:t>
      </w:r>
      <w:r>
        <w:t>also helps establish treatment options and priorities.</w:t>
      </w:r>
    </w:p>
    <w:p w14:paraId="1491CDDC" w14:textId="77777777" w:rsidR="00DB6E1F" w:rsidRDefault="00F666A6">
      <w:pPr>
        <w:pStyle w:val="Heading5"/>
        <w:spacing w:before="162"/>
        <w:ind w:left="1439"/>
      </w:pPr>
      <w:r>
        <w:t>When</w:t>
      </w:r>
      <w:r>
        <w:rPr>
          <w:spacing w:val="-6"/>
        </w:rPr>
        <w:t xml:space="preserve"> </w:t>
      </w:r>
      <w:r>
        <w:t>discussing</w:t>
      </w:r>
      <w:r>
        <w:rPr>
          <w:spacing w:val="-3"/>
        </w:rPr>
        <w:t xml:space="preserve"> </w:t>
      </w:r>
      <w:r>
        <w:t>treatment</w:t>
      </w:r>
      <w:r>
        <w:rPr>
          <w:spacing w:val="-4"/>
        </w:rPr>
        <w:t xml:space="preserve"> </w:t>
      </w:r>
      <w:r>
        <w:t>options</w:t>
      </w:r>
      <w:r>
        <w:rPr>
          <w:spacing w:val="-7"/>
        </w:rPr>
        <w:t xml:space="preserve"> </w:t>
      </w:r>
      <w:r>
        <w:t>with</w:t>
      </w:r>
      <w:r>
        <w:rPr>
          <w:spacing w:val="-7"/>
        </w:rPr>
        <w:t xml:space="preserve"> </w:t>
      </w:r>
      <w:r>
        <w:t>clients,</w:t>
      </w:r>
      <w:r>
        <w:rPr>
          <w:spacing w:val="-3"/>
        </w:rPr>
        <w:t xml:space="preserve"> </w:t>
      </w:r>
      <w:r>
        <w:t>be</w:t>
      </w:r>
      <w:r>
        <w:rPr>
          <w:spacing w:val="-5"/>
        </w:rPr>
        <w:t xml:space="preserve"> </w:t>
      </w:r>
      <w:r>
        <w:t>sure</w:t>
      </w:r>
      <w:r>
        <w:rPr>
          <w:spacing w:val="-5"/>
        </w:rPr>
        <w:t xml:space="preserve"> to:</w:t>
      </w:r>
    </w:p>
    <w:p w14:paraId="38932BF7" w14:textId="77777777" w:rsidR="00DB6E1F" w:rsidRDefault="00F666A6">
      <w:pPr>
        <w:pStyle w:val="ListParagraph"/>
        <w:numPr>
          <w:ilvl w:val="0"/>
          <w:numId w:val="92"/>
        </w:numPr>
        <w:tabs>
          <w:tab w:val="left" w:pos="1799"/>
          <w:tab w:val="left" w:pos="1800"/>
        </w:tabs>
        <w:ind w:left="1799"/>
        <w:rPr>
          <w:rFonts w:ascii="Symbol" w:hAnsi="Symbol"/>
        </w:rPr>
      </w:pPr>
      <w:r>
        <w:t>Provide</w:t>
      </w:r>
      <w:r>
        <w:rPr>
          <w:spacing w:val="-6"/>
        </w:rPr>
        <w:t xml:space="preserve"> </w:t>
      </w:r>
      <w:r>
        <w:t>basic</w:t>
      </w:r>
      <w:r>
        <w:rPr>
          <w:spacing w:val="-5"/>
        </w:rPr>
        <w:t xml:space="preserve"> </w:t>
      </w:r>
      <w:r>
        <w:t>information</w:t>
      </w:r>
      <w:r>
        <w:rPr>
          <w:spacing w:val="-6"/>
        </w:rPr>
        <w:t xml:space="preserve"> </w:t>
      </w:r>
      <w:r>
        <w:t>in</w:t>
      </w:r>
      <w:r>
        <w:rPr>
          <w:spacing w:val="-6"/>
        </w:rPr>
        <w:t xml:space="preserve"> </w:t>
      </w:r>
      <w:r>
        <w:t>simple</w:t>
      </w:r>
      <w:r>
        <w:rPr>
          <w:spacing w:val="-4"/>
        </w:rPr>
        <w:t xml:space="preserve"> </w:t>
      </w:r>
      <w:r>
        <w:t>language</w:t>
      </w:r>
      <w:r>
        <w:rPr>
          <w:spacing w:val="-6"/>
        </w:rPr>
        <w:t xml:space="preserve"> </w:t>
      </w:r>
      <w:r>
        <w:t>about</w:t>
      </w:r>
      <w:r>
        <w:rPr>
          <w:spacing w:val="-7"/>
        </w:rPr>
        <w:t xml:space="preserve"> </w:t>
      </w:r>
      <w:r>
        <w:t>levels,</w:t>
      </w:r>
      <w:r>
        <w:rPr>
          <w:spacing w:val="-5"/>
        </w:rPr>
        <w:t xml:space="preserve"> </w:t>
      </w:r>
      <w:r>
        <w:t>intensities,</w:t>
      </w:r>
      <w:r>
        <w:rPr>
          <w:spacing w:val="-5"/>
        </w:rPr>
        <w:t xml:space="preserve"> </w:t>
      </w:r>
      <w:r>
        <w:t>and</w:t>
      </w:r>
      <w:r>
        <w:rPr>
          <w:spacing w:val="-5"/>
        </w:rPr>
        <w:t xml:space="preserve"> </w:t>
      </w:r>
      <w:r>
        <w:t>appropriateness</w:t>
      </w:r>
      <w:r>
        <w:rPr>
          <w:spacing w:val="-7"/>
        </w:rPr>
        <w:t xml:space="preserve"> </w:t>
      </w:r>
      <w:r>
        <w:t>of</w:t>
      </w:r>
      <w:r>
        <w:rPr>
          <w:spacing w:val="-7"/>
        </w:rPr>
        <w:t xml:space="preserve"> </w:t>
      </w:r>
      <w:r>
        <w:rPr>
          <w:spacing w:val="-2"/>
        </w:rPr>
        <w:t>care.</w:t>
      </w:r>
    </w:p>
    <w:p w14:paraId="010A81AB" w14:textId="77777777" w:rsidR="00DB6E1F" w:rsidRDefault="00F666A6">
      <w:pPr>
        <w:pStyle w:val="ListParagraph"/>
        <w:numPr>
          <w:ilvl w:val="0"/>
          <w:numId w:val="92"/>
        </w:numPr>
        <w:tabs>
          <w:tab w:val="left" w:pos="1800"/>
          <w:tab w:val="left" w:pos="1801"/>
        </w:tabs>
        <w:spacing w:before="59"/>
        <w:ind w:left="1800"/>
        <w:rPr>
          <w:rFonts w:ascii="Symbol" w:hAnsi="Symbol"/>
        </w:rPr>
      </w:pPr>
      <w:r>
        <w:t>Avoid</w:t>
      </w:r>
      <w:r>
        <w:rPr>
          <w:spacing w:val="-7"/>
        </w:rPr>
        <w:t xml:space="preserve"> </w:t>
      </w:r>
      <w:r>
        <w:t>professional</w:t>
      </w:r>
      <w:r>
        <w:rPr>
          <w:spacing w:val="-4"/>
        </w:rPr>
        <w:t xml:space="preserve"> </w:t>
      </w:r>
      <w:r>
        <w:t>jargon</w:t>
      </w:r>
      <w:r>
        <w:rPr>
          <w:spacing w:val="-5"/>
        </w:rPr>
        <w:t xml:space="preserve"> </w:t>
      </w:r>
      <w:r>
        <w:t>and</w:t>
      </w:r>
      <w:r>
        <w:rPr>
          <w:spacing w:val="-5"/>
        </w:rPr>
        <w:t xml:space="preserve"> </w:t>
      </w:r>
      <w:r>
        <w:t>technical</w:t>
      </w:r>
      <w:r>
        <w:rPr>
          <w:spacing w:val="-4"/>
        </w:rPr>
        <w:t xml:space="preserve"> </w:t>
      </w:r>
      <w:r>
        <w:t>terms</w:t>
      </w:r>
      <w:r>
        <w:rPr>
          <w:spacing w:val="-4"/>
        </w:rPr>
        <w:t xml:space="preserve"> </w:t>
      </w:r>
      <w:r>
        <w:t>for</w:t>
      </w:r>
      <w:r>
        <w:rPr>
          <w:spacing w:val="-4"/>
        </w:rPr>
        <w:t xml:space="preserve"> </w:t>
      </w:r>
      <w:r>
        <w:t>treatment</w:t>
      </w:r>
      <w:r>
        <w:rPr>
          <w:spacing w:val="-4"/>
        </w:rPr>
        <w:t xml:space="preserve"> </w:t>
      </w:r>
      <w:r>
        <w:t>types</w:t>
      </w:r>
      <w:r>
        <w:rPr>
          <w:spacing w:val="-5"/>
        </w:rPr>
        <w:t xml:space="preserve"> </w:t>
      </w:r>
      <w:r>
        <w:t>or</w:t>
      </w:r>
      <w:r>
        <w:rPr>
          <w:spacing w:val="-4"/>
        </w:rPr>
        <w:t xml:space="preserve"> </w:t>
      </w:r>
      <w:r>
        <w:rPr>
          <w:spacing w:val="-2"/>
        </w:rPr>
        <w:t>philosophies.</w:t>
      </w:r>
    </w:p>
    <w:p w14:paraId="0B1D35EC" w14:textId="77777777" w:rsidR="00DB6E1F" w:rsidRDefault="00F666A6">
      <w:pPr>
        <w:pStyle w:val="ListParagraph"/>
        <w:numPr>
          <w:ilvl w:val="0"/>
          <w:numId w:val="92"/>
        </w:numPr>
        <w:tabs>
          <w:tab w:val="left" w:pos="1800"/>
          <w:tab w:val="left" w:pos="1801"/>
        </w:tabs>
        <w:ind w:left="1800" w:right="1660"/>
        <w:rPr>
          <w:rFonts w:ascii="Symbol" w:hAnsi="Symbol"/>
        </w:rPr>
      </w:pPr>
      <w:r>
        <w:t>Limit</w:t>
      </w:r>
      <w:r>
        <w:rPr>
          <w:spacing w:val="-4"/>
        </w:rPr>
        <w:t xml:space="preserve"> </w:t>
      </w:r>
      <w:r>
        <w:t>options</w:t>
      </w:r>
      <w:r>
        <w:rPr>
          <w:spacing w:val="-4"/>
        </w:rPr>
        <w:t xml:space="preserve"> </w:t>
      </w:r>
      <w:r>
        <w:t>to</w:t>
      </w:r>
      <w:r>
        <w:rPr>
          <w:spacing w:val="-3"/>
        </w:rPr>
        <w:t xml:space="preserve"> </w:t>
      </w:r>
      <w:r>
        <w:t>several</w:t>
      </w:r>
      <w:r>
        <w:rPr>
          <w:spacing w:val="-5"/>
        </w:rPr>
        <w:t xml:space="preserve"> </w:t>
      </w:r>
      <w:r>
        <w:t>that</w:t>
      </w:r>
      <w:r>
        <w:rPr>
          <w:spacing w:val="-1"/>
        </w:rPr>
        <w:t xml:space="preserve"> </w:t>
      </w:r>
      <w:r>
        <w:t>are</w:t>
      </w:r>
      <w:r>
        <w:rPr>
          <w:spacing w:val="-1"/>
        </w:rPr>
        <w:t xml:space="preserve"> </w:t>
      </w:r>
      <w:r>
        <w:t>appropriate,</w:t>
      </w:r>
      <w:r>
        <w:rPr>
          <w:spacing w:val="-2"/>
        </w:rPr>
        <w:t xml:space="preserve"> </w:t>
      </w:r>
      <w:r>
        <w:t>and</w:t>
      </w:r>
      <w:r>
        <w:rPr>
          <w:spacing w:val="-3"/>
        </w:rPr>
        <w:t xml:space="preserve"> </w:t>
      </w:r>
      <w:r>
        <w:t>describe</w:t>
      </w:r>
      <w:r>
        <w:rPr>
          <w:spacing w:val="-1"/>
        </w:rPr>
        <w:t xml:space="preserve"> </w:t>
      </w:r>
      <w:r>
        <w:t>these,</w:t>
      </w:r>
      <w:r>
        <w:rPr>
          <w:spacing w:val="-4"/>
        </w:rPr>
        <w:t xml:space="preserve"> </w:t>
      </w:r>
      <w:r>
        <w:t>one</w:t>
      </w:r>
      <w:r>
        <w:rPr>
          <w:spacing w:val="-1"/>
        </w:rPr>
        <w:t xml:space="preserve"> </w:t>
      </w:r>
      <w:r>
        <w:t>at</w:t>
      </w:r>
      <w:r>
        <w:rPr>
          <w:spacing w:val="-4"/>
        </w:rPr>
        <w:t xml:space="preserve"> </w:t>
      </w:r>
      <w:r>
        <w:t>a</w:t>
      </w:r>
      <w:r>
        <w:rPr>
          <w:spacing w:val="-2"/>
        </w:rPr>
        <w:t xml:space="preserve"> </w:t>
      </w:r>
      <w:r>
        <w:t>time,</w:t>
      </w:r>
      <w:r>
        <w:rPr>
          <w:spacing w:val="-2"/>
        </w:rPr>
        <w:t xml:space="preserve"> </w:t>
      </w:r>
      <w:r>
        <w:t>in</w:t>
      </w:r>
      <w:r>
        <w:rPr>
          <w:spacing w:val="-5"/>
        </w:rPr>
        <w:t xml:space="preserve"> </w:t>
      </w:r>
      <w:r>
        <w:t>language</w:t>
      </w:r>
      <w:r>
        <w:rPr>
          <w:spacing w:val="-1"/>
        </w:rPr>
        <w:t xml:space="preserve"> </w:t>
      </w:r>
      <w:r>
        <w:t>that</w:t>
      </w:r>
      <w:r>
        <w:rPr>
          <w:spacing w:val="-1"/>
        </w:rPr>
        <w:t xml:space="preserve"> </w:t>
      </w:r>
      <w:r>
        <w:t>is understandable and matches clients’ concerns.</w:t>
      </w:r>
    </w:p>
    <w:p w14:paraId="7AAA4612" w14:textId="77777777" w:rsidR="00DB6E1F" w:rsidRDefault="00F666A6">
      <w:pPr>
        <w:pStyle w:val="ListParagraph"/>
        <w:numPr>
          <w:ilvl w:val="0"/>
          <w:numId w:val="92"/>
        </w:numPr>
        <w:tabs>
          <w:tab w:val="left" w:pos="1800"/>
          <w:tab w:val="left" w:pos="1801"/>
        </w:tabs>
        <w:spacing w:before="61"/>
        <w:ind w:left="1800"/>
        <w:rPr>
          <w:rFonts w:ascii="Symbol" w:hAnsi="Symbol"/>
        </w:rPr>
      </w:pPr>
      <w:r>
        <w:t>Describe</w:t>
      </w:r>
      <w:r>
        <w:rPr>
          <w:spacing w:val="-5"/>
        </w:rPr>
        <w:t xml:space="preserve"> </w:t>
      </w:r>
      <w:r>
        <w:t>the</w:t>
      </w:r>
      <w:r>
        <w:rPr>
          <w:spacing w:val="-5"/>
        </w:rPr>
        <w:t xml:space="preserve"> </w:t>
      </w:r>
      <w:r>
        <w:t>purpose</w:t>
      </w:r>
      <w:r>
        <w:rPr>
          <w:spacing w:val="-5"/>
        </w:rPr>
        <w:t xml:space="preserve"> </w:t>
      </w:r>
      <w:r>
        <w:t>of</w:t>
      </w:r>
      <w:r>
        <w:rPr>
          <w:spacing w:val="-5"/>
        </w:rPr>
        <w:t xml:space="preserve"> </w:t>
      </w:r>
      <w:r>
        <w:t>a</w:t>
      </w:r>
      <w:r>
        <w:rPr>
          <w:spacing w:val="-5"/>
        </w:rPr>
        <w:t xml:space="preserve"> </w:t>
      </w:r>
      <w:r>
        <w:t>particular</w:t>
      </w:r>
      <w:r>
        <w:rPr>
          <w:spacing w:val="-3"/>
        </w:rPr>
        <w:t xml:space="preserve"> </w:t>
      </w:r>
      <w:r>
        <w:t>treatment,</w:t>
      </w:r>
      <w:r>
        <w:rPr>
          <w:spacing w:val="-4"/>
        </w:rPr>
        <w:t xml:space="preserve"> </w:t>
      </w:r>
      <w:r>
        <w:t>how</w:t>
      </w:r>
      <w:r>
        <w:rPr>
          <w:spacing w:val="-5"/>
        </w:rPr>
        <w:t xml:space="preserve"> </w:t>
      </w:r>
      <w:r>
        <w:t>it</w:t>
      </w:r>
      <w:r>
        <w:rPr>
          <w:spacing w:val="-3"/>
        </w:rPr>
        <w:t xml:space="preserve"> </w:t>
      </w:r>
      <w:r>
        <w:t>works,</w:t>
      </w:r>
      <w:r>
        <w:rPr>
          <w:spacing w:val="-5"/>
        </w:rPr>
        <w:t xml:space="preserve"> </w:t>
      </w:r>
      <w:r>
        <w:t>and</w:t>
      </w:r>
      <w:r>
        <w:rPr>
          <w:spacing w:val="-4"/>
        </w:rPr>
        <w:t xml:space="preserve"> </w:t>
      </w:r>
      <w:r>
        <w:t>what</w:t>
      </w:r>
      <w:r>
        <w:rPr>
          <w:spacing w:val="-5"/>
        </w:rPr>
        <w:t xml:space="preserve"> </w:t>
      </w:r>
      <w:r>
        <w:t>clients</w:t>
      </w:r>
      <w:r>
        <w:rPr>
          <w:spacing w:val="-4"/>
        </w:rPr>
        <w:t xml:space="preserve"> </w:t>
      </w:r>
      <w:r>
        <w:t>can</w:t>
      </w:r>
      <w:r>
        <w:rPr>
          <w:spacing w:val="-4"/>
        </w:rPr>
        <w:t xml:space="preserve"> </w:t>
      </w:r>
      <w:r>
        <w:rPr>
          <w:spacing w:val="-2"/>
        </w:rPr>
        <w:t>expect.</w:t>
      </w:r>
    </w:p>
    <w:p w14:paraId="714F13BD" w14:textId="77777777" w:rsidR="00DB6E1F" w:rsidRDefault="00F666A6">
      <w:pPr>
        <w:pStyle w:val="ListParagraph"/>
        <w:numPr>
          <w:ilvl w:val="0"/>
          <w:numId w:val="92"/>
        </w:numPr>
        <w:tabs>
          <w:tab w:val="left" w:pos="1800"/>
          <w:tab w:val="left" w:pos="1801"/>
        </w:tabs>
        <w:ind w:left="1800"/>
        <w:rPr>
          <w:rFonts w:ascii="Symbol" w:hAnsi="Symbol"/>
        </w:rPr>
      </w:pPr>
      <w:r>
        <w:t>Ask</w:t>
      </w:r>
      <w:r>
        <w:rPr>
          <w:spacing w:val="-6"/>
        </w:rPr>
        <w:t xml:space="preserve"> </w:t>
      </w:r>
      <w:r>
        <w:t>clients</w:t>
      </w:r>
      <w:r>
        <w:rPr>
          <w:spacing w:val="-3"/>
        </w:rPr>
        <w:t xml:space="preserve"> </w:t>
      </w:r>
      <w:r>
        <w:t>to</w:t>
      </w:r>
      <w:r>
        <w:rPr>
          <w:spacing w:val="-2"/>
        </w:rPr>
        <w:t xml:space="preserve"> </w:t>
      </w:r>
      <w:r>
        <w:t>wait</w:t>
      </w:r>
      <w:r>
        <w:rPr>
          <w:spacing w:val="-2"/>
        </w:rPr>
        <w:t xml:space="preserve"> </w:t>
      </w:r>
      <w:r>
        <w:t>to</w:t>
      </w:r>
      <w:r>
        <w:rPr>
          <w:spacing w:val="-4"/>
        </w:rPr>
        <w:t xml:space="preserve"> </w:t>
      </w:r>
      <w:r>
        <w:t>make</w:t>
      </w:r>
      <w:r>
        <w:rPr>
          <w:spacing w:val="-5"/>
        </w:rPr>
        <w:t xml:space="preserve"> </w:t>
      </w:r>
      <w:r>
        <w:t>a</w:t>
      </w:r>
      <w:r>
        <w:rPr>
          <w:spacing w:val="-3"/>
        </w:rPr>
        <w:t xml:space="preserve"> </w:t>
      </w:r>
      <w:r>
        <w:t>decision</w:t>
      </w:r>
      <w:r>
        <w:rPr>
          <w:spacing w:val="-4"/>
        </w:rPr>
        <w:t xml:space="preserve"> </w:t>
      </w:r>
      <w:r>
        <w:t>about</w:t>
      </w:r>
      <w:r>
        <w:rPr>
          <w:spacing w:val="-5"/>
        </w:rPr>
        <w:t xml:space="preserve"> </w:t>
      </w:r>
      <w:r>
        <w:t>treatment</w:t>
      </w:r>
      <w:r>
        <w:rPr>
          <w:spacing w:val="-4"/>
        </w:rPr>
        <w:t xml:space="preserve"> </w:t>
      </w:r>
      <w:r>
        <w:t>until</w:t>
      </w:r>
      <w:r>
        <w:rPr>
          <w:spacing w:val="-4"/>
        </w:rPr>
        <w:t xml:space="preserve"> </w:t>
      </w:r>
      <w:r>
        <w:t>they</w:t>
      </w:r>
      <w:r>
        <w:rPr>
          <w:spacing w:val="-4"/>
        </w:rPr>
        <w:t xml:space="preserve"> </w:t>
      </w:r>
      <w:r>
        <w:t>understand</w:t>
      </w:r>
      <w:r>
        <w:rPr>
          <w:spacing w:val="-3"/>
        </w:rPr>
        <w:t xml:space="preserve"> </w:t>
      </w:r>
      <w:r>
        <w:t>all</w:t>
      </w:r>
      <w:r>
        <w:rPr>
          <w:spacing w:val="-5"/>
        </w:rPr>
        <w:t xml:space="preserve"> </w:t>
      </w:r>
      <w:r>
        <w:t>the</w:t>
      </w:r>
      <w:r>
        <w:rPr>
          <w:spacing w:val="-2"/>
        </w:rPr>
        <w:t xml:space="preserve"> options.</w:t>
      </w:r>
    </w:p>
    <w:p w14:paraId="01B5312D" w14:textId="77777777" w:rsidR="00DB6E1F" w:rsidRDefault="00F666A6">
      <w:pPr>
        <w:pStyle w:val="ListParagraph"/>
        <w:numPr>
          <w:ilvl w:val="0"/>
          <w:numId w:val="92"/>
        </w:numPr>
        <w:tabs>
          <w:tab w:val="left" w:pos="1800"/>
          <w:tab w:val="left" w:pos="1801"/>
        </w:tabs>
        <w:spacing w:before="58"/>
        <w:ind w:left="1800"/>
        <w:rPr>
          <w:rFonts w:ascii="Symbol" w:hAnsi="Symbol"/>
        </w:rPr>
      </w:pPr>
      <w:r>
        <w:t>Ask</w:t>
      </w:r>
      <w:r>
        <w:rPr>
          <w:spacing w:val="-5"/>
        </w:rPr>
        <w:t xml:space="preserve"> </w:t>
      </w:r>
      <w:r>
        <w:t>clients</w:t>
      </w:r>
      <w:r>
        <w:rPr>
          <w:spacing w:val="-3"/>
        </w:rPr>
        <w:t xml:space="preserve"> </w:t>
      </w:r>
      <w:r>
        <w:t>if</w:t>
      </w:r>
      <w:r>
        <w:rPr>
          <w:spacing w:val="-3"/>
        </w:rPr>
        <w:t xml:space="preserve"> </w:t>
      </w:r>
      <w:r>
        <w:t>they</w:t>
      </w:r>
      <w:r>
        <w:rPr>
          <w:spacing w:val="-2"/>
        </w:rPr>
        <w:t xml:space="preserve"> </w:t>
      </w:r>
      <w:r>
        <w:t>have</w:t>
      </w:r>
      <w:r>
        <w:rPr>
          <w:spacing w:val="-5"/>
        </w:rPr>
        <w:t xml:space="preserve"> </w:t>
      </w:r>
      <w:r>
        <w:t>questions,</w:t>
      </w:r>
      <w:r>
        <w:rPr>
          <w:spacing w:val="-5"/>
        </w:rPr>
        <w:t xml:space="preserve"> </w:t>
      </w:r>
      <w:r>
        <w:t>and</w:t>
      </w:r>
      <w:r>
        <w:rPr>
          <w:spacing w:val="-4"/>
        </w:rPr>
        <w:t xml:space="preserve"> </w:t>
      </w:r>
      <w:r>
        <w:t>ask</w:t>
      </w:r>
      <w:r>
        <w:rPr>
          <w:spacing w:val="-5"/>
        </w:rPr>
        <w:t xml:space="preserve"> </w:t>
      </w:r>
      <w:r>
        <w:t>their</w:t>
      </w:r>
      <w:r>
        <w:rPr>
          <w:spacing w:val="-6"/>
        </w:rPr>
        <w:t xml:space="preserve"> </w:t>
      </w:r>
      <w:r>
        <w:t>opinions</w:t>
      </w:r>
      <w:r>
        <w:rPr>
          <w:spacing w:val="-3"/>
        </w:rPr>
        <w:t xml:space="preserve"> </w:t>
      </w:r>
      <w:r>
        <w:t>about</w:t>
      </w:r>
      <w:r>
        <w:rPr>
          <w:spacing w:val="-2"/>
        </w:rPr>
        <w:t xml:space="preserve"> </w:t>
      </w:r>
      <w:r>
        <w:t>how</w:t>
      </w:r>
      <w:r>
        <w:rPr>
          <w:spacing w:val="-4"/>
        </w:rPr>
        <w:t xml:space="preserve"> </w:t>
      </w:r>
      <w:r>
        <w:t>to</w:t>
      </w:r>
      <w:r>
        <w:rPr>
          <w:spacing w:val="-4"/>
        </w:rPr>
        <w:t xml:space="preserve"> </w:t>
      </w:r>
      <w:r>
        <w:t>handle</w:t>
      </w:r>
      <w:r>
        <w:rPr>
          <w:spacing w:val="-2"/>
        </w:rPr>
        <w:t xml:space="preserve"> </w:t>
      </w:r>
      <w:r>
        <w:t>each</w:t>
      </w:r>
      <w:r>
        <w:rPr>
          <w:spacing w:val="-3"/>
        </w:rPr>
        <w:t xml:space="preserve"> </w:t>
      </w:r>
      <w:r>
        <w:rPr>
          <w:spacing w:val="-2"/>
        </w:rPr>
        <w:t>option.</w:t>
      </w:r>
    </w:p>
    <w:p w14:paraId="1F2C3409" w14:textId="77777777" w:rsidR="00DB6E1F" w:rsidRDefault="00F666A6">
      <w:pPr>
        <w:pStyle w:val="ListParagraph"/>
        <w:numPr>
          <w:ilvl w:val="0"/>
          <w:numId w:val="92"/>
        </w:numPr>
        <w:tabs>
          <w:tab w:val="left" w:pos="1800"/>
          <w:tab w:val="left" w:pos="1801"/>
        </w:tabs>
        <w:spacing w:before="61"/>
        <w:ind w:left="1800" w:right="1636"/>
        <w:rPr>
          <w:rFonts w:ascii="Symbol" w:hAnsi="Symbol"/>
        </w:rPr>
      </w:pPr>
      <w:r>
        <w:t>Review</w:t>
      </w:r>
      <w:r>
        <w:rPr>
          <w:spacing w:val="-4"/>
        </w:rPr>
        <w:t xml:space="preserve"> </w:t>
      </w:r>
      <w:r>
        <w:t>the</w:t>
      </w:r>
      <w:r>
        <w:rPr>
          <w:spacing w:val="-1"/>
        </w:rPr>
        <w:t xml:space="preserve"> </w:t>
      </w:r>
      <w:r>
        <w:t>concept</w:t>
      </w:r>
      <w:r>
        <w:rPr>
          <w:spacing w:val="-1"/>
        </w:rPr>
        <w:t xml:space="preserve"> </w:t>
      </w:r>
      <w:r>
        <w:t>of</w:t>
      </w:r>
      <w:r>
        <w:rPr>
          <w:spacing w:val="-2"/>
        </w:rPr>
        <w:t xml:space="preserve"> </w:t>
      </w:r>
      <w:r>
        <w:t>the</w:t>
      </w:r>
      <w:r>
        <w:rPr>
          <w:spacing w:val="-7"/>
        </w:rPr>
        <w:t xml:space="preserve"> </w:t>
      </w:r>
      <w:r>
        <w:t>SOC;</w:t>
      </w:r>
      <w:r>
        <w:rPr>
          <w:spacing w:val="-1"/>
        </w:rPr>
        <w:t xml:space="preserve"> </w:t>
      </w:r>
      <w:r>
        <w:t>note</w:t>
      </w:r>
      <w:r>
        <w:rPr>
          <w:spacing w:val="-4"/>
        </w:rPr>
        <w:t xml:space="preserve"> </w:t>
      </w:r>
      <w:r>
        <w:t>that</w:t>
      </w:r>
      <w:r>
        <w:rPr>
          <w:spacing w:val="-1"/>
        </w:rPr>
        <w:t xml:space="preserve"> </w:t>
      </w:r>
      <w:r>
        <w:t>it</w:t>
      </w:r>
      <w:r>
        <w:rPr>
          <w:spacing w:val="-1"/>
        </w:rPr>
        <w:t xml:space="preserve"> </w:t>
      </w:r>
      <w:r>
        <w:t>is</w:t>
      </w:r>
      <w:r>
        <w:rPr>
          <w:spacing w:val="-2"/>
        </w:rPr>
        <w:t xml:space="preserve"> </w:t>
      </w:r>
      <w:r>
        <w:t>common</w:t>
      </w:r>
      <w:r>
        <w:rPr>
          <w:spacing w:val="-3"/>
        </w:rPr>
        <w:t xml:space="preserve"> </w:t>
      </w:r>
      <w:r>
        <w:t>for</w:t>
      </w:r>
      <w:r>
        <w:rPr>
          <w:spacing w:val="-2"/>
        </w:rPr>
        <w:t xml:space="preserve"> </w:t>
      </w:r>
      <w:r>
        <w:t>people</w:t>
      </w:r>
      <w:r>
        <w:rPr>
          <w:spacing w:val="-4"/>
        </w:rPr>
        <w:t xml:space="preserve"> </w:t>
      </w:r>
      <w:r>
        <w:t>to</w:t>
      </w:r>
      <w:r>
        <w:rPr>
          <w:spacing w:val="-3"/>
        </w:rPr>
        <w:t xml:space="preserve"> </w:t>
      </w:r>
      <w:r>
        <w:t>go</w:t>
      </w:r>
      <w:r>
        <w:rPr>
          <w:spacing w:val="-3"/>
        </w:rPr>
        <w:t xml:space="preserve"> </w:t>
      </w:r>
      <w:r>
        <w:t>through</w:t>
      </w:r>
      <w:r>
        <w:rPr>
          <w:spacing w:val="-5"/>
        </w:rPr>
        <w:t xml:space="preserve"> </w:t>
      </w:r>
      <w:r>
        <w:t>the</w:t>
      </w:r>
      <w:r>
        <w:rPr>
          <w:spacing w:val="-2"/>
        </w:rPr>
        <w:t xml:space="preserve"> </w:t>
      </w:r>
      <w:r>
        <w:t>stages</w:t>
      </w:r>
      <w:r>
        <w:rPr>
          <w:spacing w:val="-2"/>
        </w:rPr>
        <w:t xml:space="preserve"> </w:t>
      </w:r>
      <w:r>
        <w:t>several times as they move closer to maintaining substance use behavior change and stable recovery.</w:t>
      </w:r>
    </w:p>
    <w:p w14:paraId="7DD508F2" w14:textId="77777777" w:rsidR="00DB6E1F" w:rsidRDefault="00F666A6">
      <w:pPr>
        <w:pStyle w:val="ListParagraph"/>
        <w:numPr>
          <w:ilvl w:val="0"/>
          <w:numId w:val="92"/>
        </w:numPr>
        <w:tabs>
          <w:tab w:val="left" w:pos="1800"/>
          <w:tab w:val="left" w:pos="1801"/>
        </w:tabs>
        <w:ind w:left="1800" w:right="1836"/>
        <w:rPr>
          <w:rFonts w:ascii="Symbol" w:hAnsi="Symbol"/>
        </w:rPr>
      </w:pPr>
      <w:r>
        <w:t>Remind</w:t>
      </w:r>
      <w:r>
        <w:rPr>
          <w:spacing w:val="-6"/>
        </w:rPr>
        <w:t xml:space="preserve"> </w:t>
      </w:r>
      <w:r>
        <w:t>clients</w:t>
      </w:r>
      <w:r>
        <w:rPr>
          <w:spacing w:val="-5"/>
        </w:rPr>
        <w:t xml:space="preserve"> </w:t>
      </w:r>
      <w:r>
        <w:t>that</w:t>
      </w:r>
      <w:r>
        <w:rPr>
          <w:spacing w:val="-2"/>
        </w:rPr>
        <w:t xml:space="preserve"> </w:t>
      </w:r>
      <w:r>
        <w:t>not</w:t>
      </w:r>
      <w:r>
        <w:rPr>
          <w:spacing w:val="-2"/>
        </w:rPr>
        <w:t xml:space="preserve"> </w:t>
      </w:r>
      <w:r>
        <w:t>completing</w:t>
      </w:r>
      <w:r>
        <w:rPr>
          <w:spacing w:val="-3"/>
        </w:rPr>
        <w:t xml:space="preserve"> </w:t>
      </w:r>
      <w:r>
        <w:t>a</w:t>
      </w:r>
      <w:r>
        <w:rPr>
          <w:spacing w:val="-5"/>
        </w:rPr>
        <w:t xml:space="preserve"> </w:t>
      </w:r>
      <w:r>
        <w:t>treatment</w:t>
      </w:r>
      <w:r>
        <w:rPr>
          <w:spacing w:val="-2"/>
        </w:rPr>
        <w:t xml:space="preserve"> </w:t>
      </w:r>
      <w:r>
        <w:t>program</w:t>
      </w:r>
      <w:r>
        <w:rPr>
          <w:spacing w:val="-3"/>
        </w:rPr>
        <w:t xml:space="preserve"> </w:t>
      </w:r>
      <w:r>
        <w:t>and</w:t>
      </w:r>
      <w:r>
        <w:rPr>
          <w:spacing w:val="-3"/>
        </w:rPr>
        <w:t xml:space="preserve"> </w:t>
      </w:r>
      <w:r>
        <w:t>returning</w:t>
      </w:r>
      <w:r>
        <w:rPr>
          <w:spacing w:val="-4"/>
        </w:rPr>
        <w:t xml:space="preserve"> </w:t>
      </w:r>
      <w:r>
        <w:t>to</w:t>
      </w:r>
      <w:r>
        <w:rPr>
          <w:spacing w:val="-4"/>
        </w:rPr>
        <w:t xml:space="preserve"> </w:t>
      </w:r>
      <w:r>
        <w:t>substance</w:t>
      </w:r>
      <w:r>
        <w:rPr>
          <w:spacing w:val="-2"/>
        </w:rPr>
        <w:t xml:space="preserve"> </w:t>
      </w:r>
      <w:r>
        <w:t>use</w:t>
      </w:r>
      <w:r>
        <w:rPr>
          <w:spacing w:val="-3"/>
        </w:rPr>
        <w:t xml:space="preserve"> </w:t>
      </w:r>
      <w:r>
        <w:t>are</w:t>
      </w:r>
      <w:r>
        <w:rPr>
          <w:spacing w:val="-2"/>
        </w:rPr>
        <w:t xml:space="preserve"> </w:t>
      </w:r>
      <w:r>
        <w:t>not failures, but opportunities to reevaluate which change strategies are working or not working.</w:t>
      </w:r>
    </w:p>
    <w:p w14:paraId="70C52E49" w14:textId="77777777" w:rsidR="00DB6E1F" w:rsidRDefault="00F666A6">
      <w:pPr>
        <w:pStyle w:val="ListParagraph"/>
        <w:numPr>
          <w:ilvl w:val="0"/>
          <w:numId w:val="92"/>
        </w:numPr>
        <w:tabs>
          <w:tab w:val="left" w:pos="1800"/>
          <w:tab w:val="left" w:pos="1801"/>
        </w:tabs>
        <w:spacing w:before="61"/>
        <w:ind w:left="1800"/>
        <w:rPr>
          <w:rFonts w:ascii="Symbol" w:hAnsi="Symbol"/>
        </w:rPr>
      </w:pPr>
      <w:r>
        <w:t>Point</w:t>
      </w:r>
      <w:r>
        <w:rPr>
          <w:spacing w:val="-7"/>
        </w:rPr>
        <w:t xml:space="preserve"> </w:t>
      </w:r>
      <w:r>
        <w:t>out</w:t>
      </w:r>
      <w:r>
        <w:rPr>
          <w:spacing w:val="-4"/>
        </w:rPr>
        <w:t xml:space="preserve"> </w:t>
      </w:r>
      <w:r>
        <w:t>that,</w:t>
      </w:r>
      <w:r>
        <w:rPr>
          <w:spacing w:val="-5"/>
        </w:rPr>
        <w:t xml:space="preserve"> </w:t>
      </w:r>
      <w:r>
        <w:t>with</w:t>
      </w:r>
      <w:r>
        <w:rPr>
          <w:spacing w:val="-5"/>
        </w:rPr>
        <w:t xml:space="preserve"> </w:t>
      </w:r>
      <w:r>
        <w:t>all</w:t>
      </w:r>
      <w:r>
        <w:rPr>
          <w:spacing w:val="-2"/>
        </w:rPr>
        <w:t xml:space="preserve"> </w:t>
      </w:r>
      <w:r>
        <w:t>the</w:t>
      </w:r>
      <w:r>
        <w:rPr>
          <w:spacing w:val="-6"/>
        </w:rPr>
        <w:t xml:space="preserve"> </w:t>
      </w:r>
      <w:r>
        <w:t>options,</w:t>
      </w:r>
      <w:r>
        <w:rPr>
          <w:spacing w:val="-2"/>
        </w:rPr>
        <w:t xml:space="preserve"> </w:t>
      </w:r>
      <w:r>
        <w:t>they</w:t>
      </w:r>
      <w:r>
        <w:rPr>
          <w:spacing w:val="-2"/>
        </w:rPr>
        <w:t xml:space="preserve"> </w:t>
      </w:r>
      <w:r>
        <w:t>are</w:t>
      </w:r>
      <w:r>
        <w:rPr>
          <w:spacing w:val="-1"/>
        </w:rPr>
        <w:t xml:space="preserve"> </w:t>
      </w:r>
      <w:r>
        <w:t>certain</w:t>
      </w:r>
      <w:r>
        <w:rPr>
          <w:spacing w:val="-4"/>
        </w:rPr>
        <w:t xml:space="preserve"> </w:t>
      </w:r>
      <w:r>
        <w:t>to</w:t>
      </w:r>
      <w:r>
        <w:rPr>
          <w:spacing w:val="-3"/>
        </w:rPr>
        <w:t xml:space="preserve"> </w:t>
      </w:r>
      <w:r>
        <w:t>find</w:t>
      </w:r>
      <w:r>
        <w:rPr>
          <w:spacing w:val="-4"/>
        </w:rPr>
        <w:t xml:space="preserve"> </w:t>
      </w:r>
      <w:r>
        <w:t>some</w:t>
      </w:r>
      <w:r>
        <w:rPr>
          <w:spacing w:val="-1"/>
        </w:rPr>
        <w:t xml:space="preserve"> </w:t>
      </w:r>
      <w:r>
        <w:t>form</w:t>
      </w:r>
      <w:r>
        <w:rPr>
          <w:spacing w:val="-4"/>
        </w:rPr>
        <w:t xml:space="preserve"> </w:t>
      </w:r>
      <w:r>
        <w:t>of</w:t>
      </w:r>
      <w:r>
        <w:rPr>
          <w:spacing w:val="-2"/>
        </w:rPr>
        <w:t xml:space="preserve"> </w:t>
      </w:r>
      <w:r>
        <w:t>treatment</w:t>
      </w:r>
      <w:r>
        <w:rPr>
          <w:spacing w:val="-2"/>
        </w:rPr>
        <w:t xml:space="preserve"> </w:t>
      </w:r>
      <w:r>
        <w:t>that</w:t>
      </w:r>
      <w:r>
        <w:rPr>
          <w:spacing w:val="-4"/>
        </w:rPr>
        <w:t xml:space="preserve"> </w:t>
      </w:r>
      <w:r>
        <w:t>will</w:t>
      </w:r>
      <w:r>
        <w:rPr>
          <w:spacing w:val="-2"/>
        </w:rPr>
        <w:t xml:space="preserve"> work.</w:t>
      </w:r>
    </w:p>
    <w:p w14:paraId="578DA8D2" w14:textId="77777777" w:rsidR="00DB6E1F" w:rsidRDefault="00F666A6">
      <w:pPr>
        <w:pStyle w:val="ListParagraph"/>
        <w:numPr>
          <w:ilvl w:val="0"/>
          <w:numId w:val="92"/>
        </w:numPr>
        <w:tabs>
          <w:tab w:val="left" w:pos="1800"/>
          <w:tab w:val="left" w:pos="1801"/>
        </w:tabs>
        <w:spacing w:before="56" w:after="7" w:line="379" w:lineRule="auto"/>
        <w:ind w:left="1440" w:right="2096" w:firstLine="0"/>
        <w:rPr>
          <w:rFonts w:ascii="Symbol" w:hAnsi="Symbol"/>
        </w:rPr>
      </w:pPr>
      <w:r>
        <w:t xml:space="preserve">Reassure clients that you are willing to work with them </w:t>
      </w:r>
      <w:r>
        <w:t>until they find the right choice.</w:t>
      </w:r>
      <w:r>
        <w:rPr>
          <w:spacing w:val="40"/>
        </w:rPr>
        <w:t xml:space="preserve"> </w:t>
      </w:r>
      <w:r>
        <w:t>Exhibit</w:t>
      </w:r>
      <w:r>
        <w:rPr>
          <w:spacing w:val="-1"/>
        </w:rPr>
        <w:t xml:space="preserve"> </w:t>
      </w:r>
      <w:r>
        <w:t>6.4</w:t>
      </w:r>
      <w:r>
        <w:rPr>
          <w:spacing w:val="-1"/>
        </w:rPr>
        <w:t xml:space="preserve"> </w:t>
      </w:r>
      <w:r>
        <w:t>provides</w:t>
      </w:r>
      <w:r>
        <w:rPr>
          <w:spacing w:val="-5"/>
        </w:rPr>
        <w:t xml:space="preserve"> </w:t>
      </w:r>
      <w:r>
        <w:t>a</w:t>
      </w:r>
      <w:r>
        <w:rPr>
          <w:spacing w:val="-2"/>
        </w:rPr>
        <w:t xml:space="preserve"> </w:t>
      </w:r>
      <w:r>
        <w:t>change-planning</w:t>
      </w:r>
      <w:r>
        <w:rPr>
          <w:spacing w:val="-3"/>
        </w:rPr>
        <w:t xml:space="preserve"> </w:t>
      </w:r>
      <w:r>
        <w:t>strategy</w:t>
      </w:r>
      <w:r>
        <w:rPr>
          <w:spacing w:val="-3"/>
        </w:rPr>
        <w:t xml:space="preserve"> </w:t>
      </w:r>
      <w:r>
        <w:t>for</w:t>
      </w:r>
      <w:r>
        <w:rPr>
          <w:spacing w:val="-5"/>
        </w:rPr>
        <w:t xml:space="preserve"> </w:t>
      </w:r>
      <w:r>
        <w:t>situations</w:t>
      </w:r>
      <w:r>
        <w:rPr>
          <w:spacing w:val="-3"/>
        </w:rPr>
        <w:t xml:space="preserve"> </w:t>
      </w:r>
      <w:r>
        <w:t>with</w:t>
      </w:r>
      <w:r>
        <w:rPr>
          <w:spacing w:val="-5"/>
        </w:rPr>
        <w:t xml:space="preserve"> </w:t>
      </w:r>
      <w:r>
        <w:t>many</w:t>
      </w:r>
      <w:r>
        <w:rPr>
          <w:spacing w:val="-1"/>
        </w:rPr>
        <w:t xml:space="preserve"> </w:t>
      </w:r>
      <w:r>
        <w:t>possible</w:t>
      </w:r>
      <w:r>
        <w:rPr>
          <w:spacing w:val="-4"/>
        </w:rPr>
        <w:t xml:space="preserve"> </w:t>
      </w:r>
      <w:r>
        <w:t>change</w:t>
      </w:r>
      <w:r>
        <w:rPr>
          <w:spacing w:val="-1"/>
        </w:rPr>
        <w:t xml:space="preserve"> </w:t>
      </w:r>
      <w:r>
        <w:t>options.</w:t>
      </w: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8E07DF0" w14:textId="77777777">
        <w:trPr>
          <w:trHeight w:val="523"/>
        </w:trPr>
        <w:tc>
          <w:tcPr>
            <w:tcW w:w="9350" w:type="dxa"/>
            <w:tcBorders>
              <w:top w:val="nil"/>
              <w:left w:val="nil"/>
              <w:bottom w:val="nil"/>
              <w:right w:val="nil"/>
            </w:tcBorders>
            <w:shd w:val="clear" w:color="auto" w:fill="000000"/>
          </w:tcPr>
          <w:p w14:paraId="70925554" w14:textId="77777777" w:rsidR="00DB6E1F" w:rsidRDefault="00F666A6">
            <w:pPr>
              <w:pStyle w:val="TableParagraph"/>
              <w:spacing w:before="112"/>
              <w:ind w:left="215"/>
              <w:rPr>
                <w:sz w:val="24"/>
              </w:rPr>
            </w:pPr>
            <w:r>
              <w:rPr>
                <w:color w:val="FFFFFF"/>
                <w:sz w:val="24"/>
              </w:rPr>
              <w:t>Exhibit</w:t>
            </w:r>
            <w:r>
              <w:rPr>
                <w:color w:val="FFFFFF"/>
                <w:spacing w:val="-2"/>
                <w:sz w:val="24"/>
              </w:rPr>
              <w:t xml:space="preserve"> </w:t>
            </w:r>
            <w:r>
              <w:rPr>
                <w:color w:val="FFFFFF"/>
                <w:sz w:val="24"/>
              </w:rPr>
              <w:t>6.4.</w:t>
            </w:r>
            <w:r>
              <w:rPr>
                <w:color w:val="FFFFFF"/>
                <w:spacing w:val="-4"/>
                <w:sz w:val="24"/>
              </w:rPr>
              <w:t xml:space="preserve"> </w:t>
            </w:r>
            <w:r>
              <w:rPr>
                <w:color w:val="FFFFFF"/>
                <w:sz w:val="24"/>
              </w:rPr>
              <w:t>Mapping</w:t>
            </w:r>
            <w:r>
              <w:rPr>
                <w:color w:val="FFFFFF"/>
                <w:spacing w:val="-3"/>
                <w:sz w:val="24"/>
              </w:rPr>
              <w:t xml:space="preserve"> </w:t>
            </w:r>
            <w:r>
              <w:rPr>
                <w:color w:val="FFFFFF"/>
                <w:sz w:val="24"/>
              </w:rPr>
              <w:t>a Path</w:t>
            </w:r>
            <w:r>
              <w:rPr>
                <w:color w:val="FFFFFF"/>
                <w:spacing w:val="-2"/>
                <w:sz w:val="24"/>
              </w:rPr>
              <w:t xml:space="preserve"> </w:t>
            </w:r>
            <w:r>
              <w:rPr>
                <w:color w:val="FFFFFF"/>
                <w:sz w:val="24"/>
              </w:rPr>
              <w:t>for</w:t>
            </w:r>
            <w:r>
              <w:rPr>
                <w:color w:val="FFFFFF"/>
                <w:spacing w:val="-3"/>
                <w:sz w:val="24"/>
              </w:rPr>
              <w:t xml:space="preserve"> </w:t>
            </w:r>
            <w:r>
              <w:rPr>
                <w:color w:val="FFFFFF"/>
                <w:sz w:val="24"/>
              </w:rPr>
              <w:t>Change When</w:t>
            </w:r>
            <w:r>
              <w:rPr>
                <w:color w:val="FFFFFF"/>
                <w:spacing w:val="-2"/>
                <w:sz w:val="24"/>
              </w:rPr>
              <w:t xml:space="preserve"> </w:t>
            </w:r>
            <w:r>
              <w:rPr>
                <w:color w:val="FFFFFF"/>
                <w:sz w:val="24"/>
              </w:rPr>
              <w:t>There Are Multiple</w:t>
            </w:r>
            <w:r>
              <w:rPr>
                <w:color w:val="FFFFFF"/>
                <w:spacing w:val="-1"/>
                <w:sz w:val="24"/>
              </w:rPr>
              <w:t xml:space="preserve"> </w:t>
            </w:r>
            <w:r>
              <w:rPr>
                <w:color w:val="FFFFFF"/>
                <w:spacing w:val="-2"/>
                <w:sz w:val="24"/>
              </w:rPr>
              <w:t>Options</w:t>
            </w:r>
          </w:p>
        </w:tc>
      </w:tr>
      <w:tr w:rsidR="00DB6E1F" w14:paraId="66230BD8" w14:textId="77777777">
        <w:trPr>
          <w:trHeight w:val="3381"/>
        </w:trPr>
        <w:tc>
          <w:tcPr>
            <w:tcW w:w="9350" w:type="dxa"/>
            <w:tcBorders>
              <w:top w:val="nil"/>
            </w:tcBorders>
          </w:tcPr>
          <w:p w14:paraId="174C34EF" w14:textId="77777777" w:rsidR="00DB6E1F" w:rsidRDefault="00F666A6">
            <w:pPr>
              <w:pStyle w:val="TableParagraph"/>
              <w:numPr>
                <w:ilvl w:val="0"/>
                <w:numId w:val="48"/>
              </w:numPr>
              <w:tabs>
                <w:tab w:val="left" w:pos="467"/>
                <w:tab w:val="left" w:pos="468"/>
              </w:tabs>
              <w:spacing w:before="36" w:line="216" w:lineRule="auto"/>
              <w:ind w:right="131"/>
              <w:rPr>
                <w:sz w:val="20"/>
              </w:rPr>
            </w:pPr>
            <w:r>
              <w:rPr>
                <w:b/>
                <w:sz w:val="20"/>
              </w:rPr>
              <w:t xml:space="preserve">Confirm the change goal. </w:t>
            </w:r>
            <w:r>
              <w:rPr>
                <w:sz w:val="20"/>
              </w:rPr>
              <w:t>If there are action steps to meet the change goal, decide which step to take first. For</w:t>
            </w:r>
            <w:r>
              <w:rPr>
                <w:spacing w:val="-3"/>
                <w:sz w:val="20"/>
              </w:rPr>
              <w:t xml:space="preserve"> </w:t>
            </w:r>
            <w:r>
              <w:rPr>
                <w:sz w:val="20"/>
              </w:rPr>
              <w:t>example,</w:t>
            </w:r>
            <w:r>
              <w:rPr>
                <w:spacing w:val="-2"/>
                <w:sz w:val="20"/>
              </w:rPr>
              <w:t xml:space="preserve"> </w:t>
            </w:r>
            <w:r>
              <w:rPr>
                <w:sz w:val="20"/>
              </w:rPr>
              <w:t>the</w:t>
            </w:r>
            <w:r>
              <w:rPr>
                <w:spacing w:val="-4"/>
                <w:sz w:val="20"/>
              </w:rPr>
              <w:t xml:space="preserve"> </w:t>
            </w:r>
            <w:r>
              <w:rPr>
                <w:sz w:val="20"/>
              </w:rPr>
              <w:t>client’s</w:t>
            </w:r>
            <w:r>
              <w:rPr>
                <w:spacing w:val="-4"/>
                <w:sz w:val="20"/>
              </w:rPr>
              <w:t xml:space="preserve"> </w:t>
            </w:r>
            <w:r>
              <w:rPr>
                <w:sz w:val="20"/>
              </w:rPr>
              <w:t>goal</w:t>
            </w:r>
            <w:r>
              <w:rPr>
                <w:spacing w:val="-1"/>
                <w:sz w:val="20"/>
              </w:rPr>
              <w:t xml:space="preserve"> </w:t>
            </w:r>
            <w:r>
              <w:rPr>
                <w:sz w:val="20"/>
              </w:rPr>
              <w:t>might</w:t>
            </w:r>
            <w:r>
              <w:rPr>
                <w:spacing w:val="-3"/>
                <w:sz w:val="20"/>
              </w:rPr>
              <w:t xml:space="preserve"> </w:t>
            </w:r>
            <w:r>
              <w:rPr>
                <w:sz w:val="20"/>
              </w:rPr>
              <w:t>be</w:t>
            </w:r>
            <w:r>
              <w:rPr>
                <w:spacing w:val="-4"/>
                <w:sz w:val="20"/>
              </w:rPr>
              <w:t xml:space="preserve"> </w:t>
            </w:r>
            <w:r>
              <w:rPr>
                <w:sz w:val="20"/>
              </w:rPr>
              <w:t>to</w:t>
            </w:r>
            <w:r>
              <w:rPr>
                <w:spacing w:val="-3"/>
                <w:sz w:val="20"/>
              </w:rPr>
              <w:t xml:space="preserve"> </w:t>
            </w:r>
            <w:r>
              <w:rPr>
                <w:sz w:val="20"/>
              </w:rPr>
              <w:t>stop</w:t>
            </w:r>
            <w:r>
              <w:rPr>
                <w:spacing w:val="-2"/>
                <w:sz w:val="20"/>
              </w:rPr>
              <w:t xml:space="preserve"> </w:t>
            </w:r>
            <w:r>
              <w:rPr>
                <w:sz w:val="20"/>
              </w:rPr>
              <w:t>drinking</w:t>
            </w:r>
            <w:r>
              <w:rPr>
                <w:spacing w:val="-3"/>
                <w:sz w:val="20"/>
              </w:rPr>
              <w:t xml:space="preserve"> </w:t>
            </w:r>
            <w:r>
              <w:rPr>
                <w:sz w:val="20"/>
              </w:rPr>
              <w:t>completely.</w:t>
            </w:r>
            <w:r>
              <w:rPr>
                <w:spacing w:val="-3"/>
                <w:sz w:val="20"/>
              </w:rPr>
              <w:t xml:space="preserve"> </w:t>
            </w:r>
            <w:r>
              <w:rPr>
                <w:sz w:val="20"/>
              </w:rPr>
              <w:t>Some</w:t>
            </w:r>
            <w:r>
              <w:rPr>
                <w:spacing w:val="-4"/>
                <w:sz w:val="20"/>
              </w:rPr>
              <w:t xml:space="preserve"> </w:t>
            </w:r>
            <w:r>
              <w:rPr>
                <w:sz w:val="20"/>
              </w:rPr>
              <w:t>action</w:t>
            </w:r>
            <w:r>
              <w:rPr>
                <w:spacing w:val="-2"/>
                <w:sz w:val="20"/>
              </w:rPr>
              <w:t xml:space="preserve"> </w:t>
            </w:r>
            <w:r>
              <w:rPr>
                <w:sz w:val="20"/>
              </w:rPr>
              <w:t>steps</w:t>
            </w:r>
            <w:r>
              <w:rPr>
                <w:spacing w:val="-4"/>
                <w:sz w:val="20"/>
              </w:rPr>
              <w:t xml:space="preserve"> </w:t>
            </w:r>
            <w:r>
              <w:rPr>
                <w:sz w:val="20"/>
              </w:rPr>
              <w:t>might</w:t>
            </w:r>
            <w:r>
              <w:rPr>
                <w:spacing w:val="-3"/>
                <w:sz w:val="20"/>
              </w:rPr>
              <w:t xml:space="preserve"> </w:t>
            </w:r>
            <w:r>
              <w:rPr>
                <w:sz w:val="20"/>
              </w:rPr>
              <w:t>include</w:t>
            </w:r>
            <w:r>
              <w:rPr>
                <w:spacing w:val="-4"/>
                <w:sz w:val="20"/>
              </w:rPr>
              <w:t xml:space="preserve"> </w:t>
            </w:r>
            <w:r>
              <w:rPr>
                <w:sz w:val="20"/>
              </w:rPr>
              <w:t>talking with a healthcare provider about medication, going to an AA meeting, and telling a spouse about the decision. Which step does the client think is most important?</w:t>
            </w:r>
          </w:p>
          <w:p w14:paraId="61977902" w14:textId="77777777" w:rsidR="00DB6E1F" w:rsidRDefault="00F666A6">
            <w:pPr>
              <w:pStyle w:val="TableParagraph"/>
              <w:numPr>
                <w:ilvl w:val="0"/>
                <w:numId w:val="48"/>
              </w:numPr>
              <w:tabs>
                <w:tab w:val="left" w:pos="467"/>
                <w:tab w:val="left" w:pos="468"/>
              </w:tabs>
              <w:spacing w:before="30" w:line="216" w:lineRule="auto"/>
              <w:ind w:right="605"/>
              <w:rPr>
                <w:sz w:val="20"/>
              </w:rPr>
            </w:pPr>
            <w:r>
              <w:rPr>
                <w:b/>
                <w:sz w:val="20"/>
              </w:rPr>
              <w:t>Make</w:t>
            </w:r>
            <w:r>
              <w:rPr>
                <w:b/>
                <w:spacing w:val="-3"/>
                <w:sz w:val="20"/>
              </w:rPr>
              <w:t xml:space="preserve"> </w:t>
            </w:r>
            <w:r>
              <w:rPr>
                <w:b/>
                <w:sz w:val="20"/>
              </w:rPr>
              <w:t>a</w:t>
            </w:r>
            <w:r>
              <w:rPr>
                <w:b/>
                <w:spacing w:val="-3"/>
                <w:sz w:val="20"/>
              </w:rPr>
              <w:t xml:space="preserve"> </w:t>
            </w:r>
            <w:r>
              <w:rPr>
                <w:b/>
                <w:sz w:val="20"/>
              </w:rPr>
              <w:t>list</w:t>
            </w:r>
            <w:r>
              <w:rPr>
                <w:b/>
                <w:spacing w:val="-3"/>
                <w:sz w:val="20"/>
              </w:rPr>
              <w:t xml:space="preserve"> </w:t>
            </w:r>
            <w:r>
              <w:rPr>
                <w:b/>
                <w:sz w:val="20"/>
              </w:rPr>
              <w:t>of</w:t>
            </w:r>
            <w:r>
              <w:rPr>
                <w:b/>
                <w:spacing w:val="-4"/>
                <w:sz w:val="20"/>
              </w:rPr>
              <w:t xml:space="preserve"> </w:t>
            </w:r>
            <w:r>
              <w:rPr>
                <w:b/>
                <w:sz w:val="20"/>
              </w:rPr>
              <w:t>the</w:t>
            </w:r>
            <w:r>
              <w:rPr>
                <w:b/>
                <w:spacing w:val="-3"/>
                <w:sz w:val="20"/>
              </w:rPr>
              <w:t xml:space="preserve"> </w:t>
            </w:r>
            <w:r>
              <w:rPr>
                <w:b/>
                <w:sz w:val="20"/>
              </w:rPr>
              <w:t>change</w:t>
            </w:r>
            <w:r>
              <w:rPr>
                <w:b/>
                <w:spacing w:val="-3"/>
                <w:sz w:val="20"/>
              </w:rPr>
              <w:t xml:space="preserve"> </w:t>
            </w:r>
            <w:r>
              <w:rPr>
                <w:b/>
                <w:sz w:val="20"/>
              </w:rPr>
              <w:t>options</w:t>
            </w:r>
            <w:r>
              <w:rPr>
                <w:b/>
                <w:spacing w:val="-3"/>
                <w:sz w:val="20"/>
              </w:rPr>
              <w:t xml:space="preserve"> </w:t>
            </w:r>
            <w:r>
              <w:rPr>
                <w:b/>
                <w:sz w:val="20"/>
              </w:rPr>
              <w:t>available</w:t>
            </w:r>
            <w:r>
              <w:rPr>
                <w:b/>
                <w:spacing w:val="-3"/>
                <w:sz w:val="20"/>
              </w:rPr>
              <w:t xml:space="preserve"> </w:t>
            </w:r>
            <w:r>
              <w:rPr>
                <w:b/>
                <w:sz w:val="20"/>
              </w:rPr>
              <w:t>to</w:t>
            </w:r>
            <w:r>
              <w:rPr>
                <w:b/>
                <w:spacing w:val="-3"/>
                <w:sz w:val="20"/>
              </w:rPr>
              <w:t xml:space="preserve"> </w:t>
            </w:r>
            <w:r>
              <w:rPr>
                <w:b/>
                <w:sz w:val="20"/>
              </w:rPr>
              <w:t>the</w:t>
            </w:r>
            <w:r>
              <w:rPr>
                <w:b/>
                <w:spacing w:val="-3"/>
                <w:sz w:val="20"/>
              </w:rPr>
              <w:t xml:space="preserve"> </w:t>
            </w:r>
            <w:r>
              <w:rPr>
                <w:b/>
                <w:sz w:val="20"/>
              </w:rPr>
              <w:t>client</w:t>
            </w:r>
            <w:r>
              <w:rPr>
                <w:b/>
                <w:spacing w:val="-3"/>
                <w:sz w:val="20"/>
              </w:rPr>
              <w:t xml:space="preserve"> </w:t>
            </w:r>
            <w:r>
              <w:rPr>
                <w:sz w:val="20"/>
              </w:rPr>
              <w:t>(e.g.,</w:t>
            </w:r>
            <w:r>
              <w:rPr>
                <w:spacing w:val="-3"/>
                <w:sz w:val="20"/>
              </w:rPr>
              <w:t xml:space="preserve"> </w:t>
            </w:r>
            <w:r>
              <w:rPr>
                <w:sz w:val="20"/>
              </w:rPr>
              <w:t>inpatient</w:t>
            </w:r>
            <w:r>
              <w:rPr>
                <w:spacing w:val="-3"/>
                <w:sz w:val="20"/>
              </w:rPr>
              <w:t xml:space="preserve"> </w:t>
            </w:r>
            <w:r>
              <w:rPr>
                <w:sz w:val="20"/>
              </w:rPr>
              <w:t>treatment,</w:t>
            </w:r>
            <w:r>
              <w:rPr>
                <w:spacing w:val="-3"/>
                <w:sz w:val="20"/>
              </w:rPr>
              <w:t xml:space="preserve"> </w:t>
            </w:r>
            <w:r>
              <w:rPr>
                <w:sz w:val="20"/>
              </w:rPr>
              <w:t>community-based recovery support groups, IOP treatment, a sober living house or therapeutic community, medication- assisted treatment).</w:t>
            </w:r>
          </w:p>
          <w:p w14:paraId="0B0A26CF" w14:textId="77777777" w:rsidR="00DB6E1F" w:rsidRDefault="00F666A6">
            <w:pPr>
              <w:pStyle w:val="TableParagraph"/>
              <w:numPr>
                <w:ilvl w:val="0"/>
                <w:numId w:val="48"/>
              </w:numPr>
              <w:tabs>
                <w:tab w:val="left" w:pos="467"/>
                <w:tab w:val="left" w:pos="468"/>
              </w:tabs>
              <w:spacing w:before="31" w:line="216" w:lineRule="auto"/>
              <w:ind w:right="125"/>
              <w:rPr>
                <w:sz w:val="20"/>
              </w:rPr>
            </w:pPr>
            <w:r>
              <w:rPr>
                <w:b/>
                <w:sz w:val="20"/>
              </w:rPr>
              <w:t xml:space="preserve">Elicit the client’s feelings, preferences, or both on the best way to proceed. </w:t>
            </w:r>
            <w:r>
              <w:rPr>
                <w:sz w:val="20"/>
              </w:rPr>
              <w:t>For example, ask, “Here are the</w:t>
            </w:r>
            <w:r>
              <w:rPr>
                <w:spacing w:val="-4"/>
                <w:sz w:val="20"/>
              </w:rPr>
              <w:t xml:space="preserve"> </w:t>
            </w:r>
            <w:r>
              <w:rPr>
                <w:sz w:val="20"/>
              </w:rPr>
              <w:t>different</w:t>
            </w:r>
            <w:r>
              <w:rPr>
                <w:spacing w:val="-3"/>
                <w:sz w:val="20"/>
              </w:rPr>
              <w:t xml:space="preserve"> </w:t>
            </w:r>
            <w:r>
              <w:rPr>
                <w:sz w:val="20"/>
              </w:rPr>
              <w:t>options</w:t>
            </w:r>
            <w:r>
              <w:rPr>
                <w:spacing w:val="-4"/>
                <w:sz w:val="20"/>
              </w:rPr>
              <w:t xml:space="preserve"> </w:t>
            </w:r>
            <w:r>
              <w:rPr>
                <w:sz w:val="20"/>
              </w:rPr>
              <w:t>we</w:t>
            </w:r>
            <w:r>
              <w:rPr>
                <w:spacing w:val="-4"/>
                <w:sz w:val="20"/>
              </w:rPr>
              <w:t xml:space="preserve"> </w:t>
            </w:r>
            <w:r>
              <w:rPr>
                <w:sz w:val="20"/>
              </w:rPr>
              <w:t>have</w:t>
            </w:r>
            <w:r>
              <w:rPr>
                <w:spacing w:val="-1"/>
                <w:sz w:val="20"/>
              </w:rPr>
              <w:t xml:space="preserve"> </w:t>
            </w:r>
            <w:r>
              <w:rPr>
                <w:sz w:val="20"/>
              </w:rPr>
              <w:t>discussed</w:t>
            </w:r>
            <w:r>
              <w:rPr>
                <w:spacing w:val="-2"/>
                <w:sz w:val="20"/>
              </w:rPr>
              <w:t xml:space="preserve"> </w:t>
            </w:r>
            <w:r>
              <w:rPr>
                <w:sz w:val="20"/>
              </w:rPr>
              <w:t>that</w:t>
            </w:r>
            <w:r>
              <w:rPr>
                <w:spacing w:val="-3"/>
                <w:sz w:val="20"/>
              </w:rPr>
              <w:t xml:space="preserve"> </w:t>
            </w:r>
            <w:r>
              <w:rPr>
                <w:sz w:val="20"/>
              </w:rPr>
              <w:t>might</w:t>
            </w:r>
            <w:r>
              <w:rPr>
                <w:spacing w:val="-3"/>
                <w:sz w:val="20"/>
              </w:rPr>
              <w:t xml:space="preserve"> </w:t>
            </w:r>
            <w:r>
              <w:rPr>
                <w:sz w:val="20"/>
              </w:rPr>
              <w:t>work</w:t>
            </w:r>
            <w:r>
              <w:rPr>
                <w:spacing w:val="-2"/>
                <w:sz w:val="20"/>
              </w:rPr>
              <w:t xml:space="preserve"> </w:t>
            </w:r>
            <w:r>
              <w:rPr>
                <w:sz w:val="20"/>
              </w:rPr>
              <w:t>for</w:t>
            </w:r>
            <w:r>
              <w:rPr>
                <w:spacing w:val="-3"/>
                <w:sz w:val="20"/>
              </w:rPr>
              <w:t xml:space="preserve"> </w:t>
            </w:r>
            <w:r>
              <w:rPr>
                <w:sz w:val="20"/>
              </w:rPr>
              <w:t>you.</w:t>
            </w:r>
            <w:r>
              <w:rPr>
                <w:spacing w:val="-3"/>
                <w:sz w:val="20"/>
              </w:rPr>
              <w:t xml:space="preserve"> </w:t>
            </w:r>
            <w:r>
              <w:rPr>
                <w:sz w:val="20"/>
              </w:rPr>
              <w:t>Which</w:t>
            </w:r>
            <w:r>
              <w:rPr>
                <w:spacing w:val="-2"/>
                <w:sz w:val="20"/>
              </w:rPr>
              <w:t xml:space="preserve"> </w:t>
            </w:r>
            <w:r>
              <w:rPr>
                <w:sz w:val="20"/>
              </w:rPr>
              <w:t>one</w:t>
            </w:r>
            <w:r>
              <w:rPr>
                <w:spacing w:val="-4"/>
                <w:sz w:val="20"/>
              </w:rPr>
              <w:t xml:space="preserve"> </w:t>
            </w:r>
            <w:r>
              <w:rPr>
                <w:sz w:val="20"/>
              </w:rPr>
              <w:t>do</w:t>
            </w:r>
            <w:r>
              <w:rPr>
                <w:spacing w:val="-4"/>
                <w:sz w:val="20"/>
              </w:rPr>
              <w:t xml:space="preserve"> </w:t>
            </w:r>
            <w:r>
              <w:rPr>
                <w:sz w:val="20"/>
              </w:rPr>
              <w:t>you</w:t>
            </w:r>
            <w:r>
              <w:rPr>
                <w:spacing w:val="-2"/>
                <w:sz w:val="20"/>
              </w:rPr>
              <w:t xml:space="preserve"> </w:t>
            </w:r>
            <w:r>
              <w:rPr>
                <w:sz w:val="20"/>
              </w:rPr>
              <w:t>like</w:t>
            </w:r>
            <w:r>
              <w:rPr>
                <w:spacing w:val="-4"/>
                <w:sz w:val="20"/>
              </w:rPr>
              <w:t xml:space="preserve"> </w:t>
            </w:r>
            <w:r>
              <w:rPr>
                <w:sz w:val="20"/>
              </w:rPr>
              <w:t>the</w:t>
            </w:r>
            <w:r>
              <w:rPr>
                <w:spacing w:val="-4"/>
                <w:sz w:val="20"/>
              </w:rPr>
              <w:t xml:space="preserve"> </w:t>
            </w:r>
            <w:r>
              <w:rPr>
                <w:sz w:val="20"/>
              </w:rPr>
              <w:t>most?”</w:t>
            </w:r>
            <w:r>
              <w:rPr>
                <w:spacing w:val="-2"/>
                <w:sz w:val="20"/>
              </w:rPr>
              <w:t xml:space="preserve"> </w:t>
            </w:r>
            <w:r>
              <w:rPr>
                <w:sz w:val="20"/>
              </w:rPr>
              <w:t>You</w:t>
            </w:r>
            <w:r>
              <w:rPr>
                <w:spacing w:val="-2"/>
                <w:sz w:val="20"/>
              </w:rPr>
              <w:t xml:space="preserve"> </w:t>
            </w:r>
            <w:r>
              <w:rPr>
                <w:sz w:val="20"/>
              </w:rPr>
              <w:t>can also discuss the pros and cons of different options (i.e., perform a decisional balance).</w:t>
            </w:r>
          </w:p>
          <w:p w14:paraId="1F7F87F3" w14:textId="77777777" w:rsidR="00DB6E1F" w:rsidRDefault="00F666A6">
            <w:pPr>
              <w:pStyle w:val="TableParagraph"/>
              <w:numPr>
                <w:ilvl w:val="0"/>
                <w:numId w:val="48"/>
              </w:numPr>
              <w:tabs>
                <w:tab w:val="left" w:pos="467"/>
                <w:tab w:val="left" w:pos="468"/>
              </w:tabs>
              <w:spacing w:before="33" w:line="213" w:lineRule="auto"/>
              <w:ind w:right="600"/>
              <w:rPr>
                <w:sz w:val="20"/>
              </w:rPr>
            </w:pPr>
            <w:r>
              <w:rPr>
                <w:b/>
                <w:sz w:val="20"/>
              </w:rPr>
              <w:t>Summarize</w:t>
            </w:r>
            <w:r>
              <w:rPr>
                <w:b/>
                <w:spacing w:val="-4"/>
                <w:sz w:val="20"/>
              </w:rPr>
              <w:t xml:space="preserve"> </w:t>
            </w:r>
            <w:r>
              <w:rPr>
                <w:b/>
                <w:sz w:val="20"/>
              </w:rPr>
              <w:t>the</w:t>
            </w:r>
            <w:r>
              <w:rPr>
                <w:b/>
                <w:spacing w:val="-4"/>
                <w:sz w:val="20"/>
              </w:rPr>
              <w:t xml:space="preserve"> </w:t>
            </w:r>
            <w:r>
              <w:rPr>
                <w:b/>
                <w:sz w:val="20"/>
              </w:rPr>
              <w:t>plan</w:t>
            </w:r>
            <w:r>
              <w:rPr>
                <w:b/>
                <w:spacing w:val="-3"/>
                <w:sz w:val="20"/>
              </w:rPr>
              <w:t xml:space="preserve"> </w:t>
            </w:r>
            <w:r>
              <w:rPr>
                <w:b/>
                <w:sz w:val="20"/>
              </w:rPr>
              <w:t>and</w:t>
            </w:r>
            <w:r>
              <w:rPr>
                <w:b/>
                <w:spacing w:val="-3"/>
                <w:sz w:val="20"/>
              </w:rPr>
              <w:t xml:space="preserve"> </w:t>
            </w:r>
            <w:r>
              <w:rPr>
                <w:b/>
                <w:sz w:val="20"/>
              </w:rPr>
              <w:t>strengthen</w:t>
            </w:r>
            <w:r>
              <w:rPr>
                <w:b/>
                <w:spacing w:val="-3"/>
                <w:sz w:val="20"/>
              </w:rPr>
              <w:t xml:space="preserve"> </w:t>
            </w:r>
            <w:r>
              <w:rPr>
                <w:b/>
                <w:sz w:val="20"/>
              </w:rPr>
              <w:t>commitment.</w:t>
            </w:r>
            <w:r>
              <w:rPr>
                <w:b/>
                <w:spacing w:val="-4"/>
                <w:sz w:val="20"/>
              </w:rPr>
              <w:t xml:space="preserve"> </w:t>
            </w:r>
            <w:r>
              <w:rPr>
                <w:sz w:val="20"/>
              </w:rPr>
              <w:t>Summarize</w:t>
            </w:r>
            <w:r>
              <w:rPr>
                <w:spacing w:val="-5"/>
                <w:sz w:val="20"/>
              </w:rPr>
              <w:t xml:space="preserve"> </w:t>
            </w:r>
            <w:r>
              <w:rPr>
                <w:sz w:val="20"/>
              </w:rPr>
              <w:t>the</w:t>
            </w:r>
            <w:r>
              <w:rPr>
                <w:spacing w:val="-5"/>
                <w:sz w:val="20"/>
              </w:rPr>
              <w:t xml:space="preserve"> </w:t>
            </w:r>
            <w:r>
              <w:rPr>
                <w:sz w:val="20"/>
              </w:rPr>
              <w:t>action</w:t>
            </w:r>
            <w:r>
              <w:rPr>
                <w:spacing w:val="-3"/>
                <w:sz w:val="20"/>
              </w:rPr>
              <w:t xml:space="preserve"> </w:t>
            </w:r>
            <w:r>
              <w:rPr>
                <w:sz w:val="20"/>
              </w:rPr>
              <w:t>steps</w:t>
            </w:r>
            <w:r>
              <w:rPr>
                <w:spacing w:val="-5"/>
                <w:sz w:val="20"/>
              </w:rPr>
              <w:t xml:space="preserve"> </w:t>
            </w:r>
            <w:r>
              <w:rPr>
                <w:sz w:val="20"/>
              </w:rPr>
              <w:t>and</w:t>
            </w:r>
            <w:r>
              <w:rPr>
                <w:spacing w:val="-3"/>
                <w:sz w:val="20"/>
              </w:rPr>
              <w:t xml:space="preserve"> </w:t>
            </w:r>
            <w:r>
              <w:rPr>
                <w:sz w:val="20"/>
              </w:rPr>
              <w:t>change</w:t>
            </w:r>
            <w:r>
              <w:rPr>
                <w:spacing w:val="-5"/>
                <w:sz w:val="20"/>
              </w:rPr>
              <w:t xml:space="preserve"> </w:t>
            </w:r>
            <w:r>
              <w:rPr>
                <w:sz w:val="20"/>
              </w:rPr>
              <w:t>goal,</w:t>
            </w:r>
            <w:r>
              <w:rPr>
                <w:spacing w:val="-3"/>
                <w:sz w:val="20"/>
              </w:rPr>
              <w:t xml:space="preserve"> </w:t>
            </w:r>
            <w:r>
              <w:rPr>
                <w:sz w:val="20"/>
              </w:rPr>
              <w:t>then evoke and reflect CAT (</w:t>
            </w:r>
            <w:r>
              <w:rPr>
                <w:b/>
                <w:sz w:val="20"/>
              </w:rPr>
              <w:t>C</w:t>
            </w:r>
            <w:r>
              <w:rPr>
                <w:sz w:val="20"/>
              </w:rPr>
              <w:t xml:space="preserve">ommitment, </w:t>
            </w:r>
            <w:r>
              <w:rPr>
                <w:b/>
                <w:sz w:val="20"/>
              </w:rPr>
              <w:t>A</w:t>
            </w:r>
            <w:r>
              <w:rPr>
                <w:sz w:val="20"/>
              </w:rPr>
              <w:t xml:space="preserve">ctivation, and </w:t>
            </w:r>
            <w:r>
              <w:rPr>
                <w:b/>
                <w:sz w:val="20"/>
              </w:rPr>
              <w:t>T</w:t>
            </w:r>
            <w:r>
              <w:rPr>
                <w:sz w:val="20"/>
              </w:rPr>
              <w:t>aking steps) change talk.</w:t>
            </w:r>
          </w:p>
          <w:p w14:paraId="7A8F4A51" w14:textId="77777777" w:rsidR="00DB6E1F" w:rsidRDefault="00F666A6">
            <w:pPr>
              <w:pStyle w:val="TableParagraph"/>
              <w:numPr>
                <w:ilvl w:val="0"/>
                <w:numId w:val="48"/>
              </w:numPr>
              <w:tabs>
                <w:tab w:val="left" w:pos="467"/>
                <w:tab w:val="left" w:pos="468"/>
              </w:tabs>
              <w:spacing w:before="37"/>
              <w:ind w:right="174"/>
              <w:rPr>
                <w:sz w:val="20"/>
              </w:rPr>
            </w:pPr>
            <w:r>
              <w:rPr>
                <w:b/>
                <w:sz w:val="20"/>
              </w:rPr>
              <w:t>Troubleshoot.</w:t>
            </w:r>
            <w:r>
              <w:rPr>
                <w:b/>
                <w:spacing w:val="-3"/>
                <w:sz w:val="20"/>
              </w:rPr>
              <w:t xml:space="preserve"> </w:t>
            </w:r>
            <w:r>
              <w:rPr>
                <w:sz w:val="20"/>
              </w:rPr>
              <w:t>Explore</w:t>
            </w:r>
            <w:r>
              <w:rPr>
                <w:spacing w:val="-3"/>
                <w:sz w:val="20"/>
              </w:rPr>
              <w:t xml:space="preserve"> </w:t>
            </w:r>
            <w:r>
              <w:rPr>
                <w:sz w:val="20"/>
              </w:rPr>
              <w:t>barriers</w:t>
            </w:r>
            <w:r>
              <w:rPr>
                <w:spacing w:val="-3"/>
                <w:sz w:val="20"/>
              </w:rPr>
              <w:t xml:space="preserve"> </w:t>
            </w:r>
            <w:r>
              <w:rPr>
                <w:sz w:val="20"/>
              </w:rPr>
              <w:t>to</w:t>
            </w:r>
            <w:r>
              <w:rPr>
                <w:spacing w:val="-2"/>
                <w:sz w:val="20"/>
              </w:rPr>
              <w:t xml:space="preserve"> </w:t>
            </w:r>
            <w:r>
              <w:rPr>
                <w:sz w:val="20"/>
              </w:rPr>
              <w:t>taking</w:t>
            </w:r>
            <w:r>
              <w:rPr>
                <w:spacing w:val="-3"/>
                <w:sz w:val="20"/>
              </w:rPr>
              <w:t xml:space="preserve"> </w:t>
            </w:r>
            <w:r>
              <w:rPr>
                <w:sz w:val="20"/>
              </w:rPr>
              <w:t>steps;</w:t>
            </w:r>
            <w:r>
              <w:rPr>
                <w:spacing w:val="-3"/>
                <w:sz w:val="20"/>
              </w:rPr>
              <w:t xml:space="preserve"> </w:t>
            </w:r>
            <w:r>
              <w:rPr>
                <w:sz w:val="20"/>
              </w:rPr>
              <w:t>raise</w:t>
            </w:r>
            <w:r>
              <w:rPr>
                <w:spacing w:val="-3"/>
                <w:sz w:val="20"/>
              </w:rPr>
              <w:t xml:space="preserve"> </w:t>
            </w:r>
            <w:r>
              <w:rPr>
                <w:sz w:val="20"/>
              </w:rPr>
              <w:t>any</w:t>
            </w:r>
            <w:r>
              <w:rPr>
                <w:spacing w:val="-2"/>
                <w:sz w:val="20"/>
              </w:rPr>
              <w:t xml:space="preserve"> </w:t>
            </w:r>
            <w:r>
              <w:rPr>
                <w:sz w:val="20"/>
              </w:rPr>
              <w:t>concerns</w:t>
            </w:r>
            <w:r>
              <w:rPr>
                <w:spacing w:val="-3"/>
                <w:sz w:val="20"/>
              </w:rPr>
              <w:t xml:space="preserve"> </w:t>
            </w:r>
            <w:r>
              <w:rPr>
                <w:sz w:val="20"/>
              </w:rPr>
              <w:t>about</w:t>
            </w:r>
            <w:r>
              <w:rPr>
                <w:spacing w:val="-3"/>
                <w:sz w:val="20"/>
              </w:rPr>
              <w:t xml:space="preserve"> </w:t>
            </w:r>
            <w:r>
              <w:rPr>
                <w:sz w:val="20"/>
              </w:rPr>
              <w:t>how</w:t>
            </w:r>
            <w:r>
              <w:rPr>
                <w:spacing w:val="-3"/>
                <w:sz w:val="20"/>
              </w:rPr>
              <w:t xml:space="preserve"> </w:t>
            </w:r>
            <w:r>
              <w:rPr>
                <w:sz w:val="20"/>
              </w:rPr>
              <w:t>realistic</w:t>
            </w:r>
            <w:r>
              <w:rPr>
                <w:spacing w:val="-3"/>
                <w:sz w:val="20"/>
              </w:rPr>
              <w:t xml:space="preserve"> </w:t>
            </w:r>
            <w:r>
              <w:rPr>
                <w:sz w:val="20"/>
              </w:rPr>
              <w:t>the</w:t>
            </w:r>
            <w:r>
              <w:rPr>
                <w:spacing w:val="-3"/>
                <w:sz w:val="20"/>
              </w:rPr>
              <w:t xml:space="preserve"> </w:t>
            </w:r>
            <w:r>
              <w:rPr>
                <w:sz w:val="20"/>
              </w:rPr>
              <w:t>plan</w:t>
            </w:r>
            <w:r>
              <w:rPr>
                <w:spacing w:val="-2"/>
                <w:sz w:val="20"/>
              </w:rPr>
              <w:t xml:space="preserve"> </w:t>
            </w:r>
            <w:r>
              <w:rPr>
                <w:sz w:val="20"/>
              </w:rPr>
              <w:t>is.</w:t>
            </w:r>
            <w:r>
              <w:rPr>
                <w:spacing w:val="-3"/>
                <w:sz w:val="20"/>
              </w:rPr>
              <w:t xml:space="preserve"> </w:t>
            </w:r>
            <w:r>
              <w:rPr>
                <w:sz w:val="20"/>
              </w:rPr>
              <w:t>Avoid</w:t>
            </w:r>
            <w:r>
              <w:rPr>
                <w:spacing w:val="-2"/>
                <w:sz w:val="20"/>
              </w:rPr>
              <w:t xml:space="preserve"> </w:t>
            </w:r>
            <w:r>
              <w:rPr>
                <w:sz w:val="20"/>
              </w:rPr>
              <w:t>the expert trap (see Chapter 3), and elicit the client’s own ideas about how to manage barriers to change.</w:t>
            </w:r>
          </w:p>
        </w:tc>
      </w:tr>
      <w:tr w:rsidR="00DB6E1F" w14:paraId="7B74E9F2" w14:textId="77777777">
        <w:trPr>
          <w:trHeight w:val="402"/>
        </w:trPr>
        <w:tc>
          <w:tcPr>
            <w:tcW w:w="9350" w:type="dxa"/>
          </w:tcPr>
          <w:p w14:paraId="698A5893" w14:textId="77777777" w:rsidR="00DB6E1F" w:rsidRDefault="00F666A6">
            <w:pPr>
              <w:pStyle w:val="TableParagraph"/>
              <w:spacing w:before="80"/>
              <w:rPr>
                <w:i/>
                <w:sz w:val="20"/>
              </w:rPr>
            </w:pPr>
            <w:r>
              <w:rPr>
                <w:i/>
                <w:sz w:val="20"/>
              </w:rPr>
              <w:t>Source:</w:t>
            </w:r>
            <w:r>
              <w:rPr>
                <w:i/>
                <w:spacing w:val="-8"/>
                <w:sz w:val="20"/>
              </w:rPr>
              <w:t xml:space="preserve"> </w:t>
            </w:r>
            <w:r>
              <w:rPr>
                <w:i/>
                <w:sz w:val="20"/>
              </w:rPr>
              <w:t>Miller</w:t>
            </w:r>
            <w:r>
              <w:rPr>
                <w:i/>
                <w:spacing w:val="-7"/>
                <w:sz w:val="20"/>
              </w:rPr>
              <w:t xml:space="preserve"> </w:t>
            </w:r>
            <w:r>
              <w:rPr>
                <w:i/>
                <w:sz w:val="20"/>
              </w:rPr>
              <w:t>&amp;</w:t>
            </w:r>
            <w:r>
              <w:rPr>
                <w:i/>
                <w:spacing w:val="-5"/>
                <w:sz w:val="20"/>
              </w:rPr>
              <w:t xml:space="preserve"> </w:t>
            </w:r>
            <w:r>
              <w:rPr>
                <w:i/>
                <w:sz w:val="20"/>
              </w:rPr>
              <w:t>Rollnick,</w:t>
            </w:r>
            <w:r>
              <w:rPr>
                <w:i/>
                <w:spacing w:val="-5"/>
                <w:sz w:val="20"/>
              </w:rPr>
              <w:t xml:space="preserve"> </w:t>
            </w:r>
            <w:r>
              <w:rPr>
                <w:i/>
                <w:spacing w:val="-2"/>
                <w:sz w:val="20"/>
              </w:rPr>
              <w:t>2013.</w:t>
            </w:r>
          </w:p>
        </w:tc>
      </w:tr>
    </w:tbl>
    <w:p w14:paraId="4F3FF45B" w14:textId="77777777" w:rsidR="00DB6E1F" w:rsidRDefault="00F666A6">
      <w:pPr>
        <w:pStyle w:val="Heading3"/>
        <w:spacing w:before="8"/>
      </w:pPr>
      <w:bookmarkStart w:id="176" w:name="Negotiate_a_Behavioral_Contract"/>
      <w:bookmarkEnd w:id="176"/>
      <w:r>
        <w:t>Negotiate</w:t>
      </w:r>
      <w:r>
        <w:rPr>
          <w:spacing w:val="-9"/>
        </w:rPr>
        <w:t xml:space="preserve"> </w:t>
      </w:r>
      <w:r>
        <w:t>a</w:t>
      </w:r>
      <w:r>
        <w:rPr>
          <w:spacing w:val="-8"/>
        </w:rPr>
        <w:t xml:space="preserve"> </w:t>
      </w:r>
      <w:r>
        <w:t>Behavioral</w:t>
      </w:r>
      <w:r>
        <w:rPr>
          <w:spacing w:val="-9"/>
        </w:rPr>
        <w:t xml:space="preserve"> </w:t>
      </w:r>
      <w:r>
        <w:rPr>
          <w:spacing w:val="-2"/>
        </w:rPr>
        <w:t>Contract</w:t>
      </w:r>
    </w:p>
    <w:p w14:paraId="638E223F" w14:textId="77777777" w:rsidR="00DB6E1F" w:rsidRDefault="00DB6E1F">
      <w:pPr>
        <w:sectPr w:rsidR="00DB6E1F">
          <w:pgSz w:w="12240" w:h="15840"/>
          <w:pgMar w:top="1200" w:right="0" w:bottom="780" w:left="0" w:header="763" w:footer="585" w:gutter="0"/>
          <w:cols w:space="720"/>
        </w:sectPr>
      </w:pPr>
    </w:p>
    <w:p w14:paraId="5EC4A6E6" w14:textId="77777777" w:rsidR="00DB6E1F" w:rsidRDefault="00DB6E1F">
      <w:pPr>
        <w:pStyle w:val="BodyText"/>
        <w:spacing w:before="8"/>
        <w:rPr>
          <w:b/>
          <w:sz w:val="14"/>
        </w:rPr>
      </w:pPr>
    </w:p>
    <w:p w14:paraId="3943A17E" w14:textId="77777777" w:rsidR="00DB6E1F" w:rsidRDefault="00F666A6">
      <w:pPr>
        <w:spacing w:before="56"/>
        <w:ind w:left="1439" w:right="1491"/>
      </w:pPr>
      <w:r>
        <w:rPr>
          <w:b/>
        </w:rPr>
        <w:t>Develop a</w:t>
      </w:r>
      <w:r>
        <w:rPr>
          <w:b/>
          <w:spacing w:val="-1"/>
        </w:rPr>
        <w:t xml:space="preserve"> </w:t>
      </w:r>
      <w:r>
        <w:rPr>
          <w:b/>
        </w:rPr>
        <w:t xml:space="preserve">written or oral contract to help clients start working on their change plans. </w:t>
      </w:r>
      <w:r>
        <w:t>A contract is a formal</w:t>
      </w:r>
      <w:r>
        <w:rPr>
          <w:spacing w:val="-2"/>
        </w:rPr>
        <w:t xml:space="preserve"> </w:t>
      </w:r>
      <w:r>
        <w:t>agreement</w:t>
      </w:r>
      <w:r>
        <w:rPr>
          <w:spacing w:val="-1"/>
        </w:rPr>
        <w:t xml:space="preserve"> </w:t>
      </w:r>
      <w:r>
        <w:t>between</w:t>
      </w:r>
      <w:r>
        <w:rPr>
          <w:spacing w:val="-3"/>
        </w:rPr>
        <w:t xml:space="preserve"> </w:t>
      </w:r>
      <w:r>
        <w:t>two</w:t>
      </w:r>
      <w:r>
        <w:rPr>
          <w:spacing w:val="-1"/>
        </w:rPr>
        <w:t xml:space="preserve"> </w:t>
      </w:r>
      <w:r>
        <w:t>parties.</w:t>
      </w:r>
      <w:r>
        <w:rPr>
          <w:spacing w:val="-2"/>
        </w:rPr>
        <w:t xml:space="preserve"> </w:t>
      </w:r>
      <w:r>
        <w:t>Clients</w:t>
      </w:r>
      <w:r>
        <w:rPr>
          <w:spacing w:val="-3"/>
        </w:rPr>
        <w:t xml:space="preserve"> </w:t>
      </w:r>
      <w:r>
        <w:t>may</w:t>
      </w:r>
      <w:r>
        <w:rPr>
          <w:spacing w:val="-4"/>
        </w:rPr>
        <w:t xml:space="preserve"> </w:t>
      </w:r>
      <w:r>
        <w:t>choose</w:t>
      </w:r>
      <w:r>
        <w:rPr>
          <w:spacing w:val="-1"/>
        </w:rPr>
        <w:t xml:space="preserve"> </w:t>
      </w:r>
      <w:r>
        <w:t>to</w:t>
      </w:r>
      <w:r>
        <w:rPr>
          <w:spacing w:val="-3"/>
        </w:rPr>
        <w:t xml:space="preserve"> </w:t>
      </w:r>
      <w:r>
        <w:t>make</w:t>
      </w:r>
      <w:r>
        <w:rPr>
          <w:spacing w:val="-1"/>
        </w:rPr>
        <w:t xml:space="preserve"> </w:t>
      </w:r>
      <w:r>
        <w:t>a</w:t>
      </w:r>
      <w:r>
        <w:rPr>
          <w:spacing w:val="-4"/>
        </w:rPr>
        <w:t xml:space="preserve"> </w:t>
      </w:r>
      <w:r>
        <w:t>signed</w:t>
      </w:r>
      <w:r>
        <w:rPr>
          <w:spacing w:val="-3"/>
        </w:rPr>
        <w:t xml:space="preserve"> </w:t>
      </w:r>
      <w:r>
        <w:t>statement</w:t>
      </w:r>
      <w:r>
        <w:rPr>
          <w:spacing w:val="-1"/>
        </w:rPr>
        <w:t xml:space="preserve"> </w:t>
      </w:r>
      <w:r>
        <w:t>at</w:t>
      </w:r>
      <w:r>
        <w:rPr>
          <w:spacing w:val="-1"/>
        </w:rPr>
        <w:t xml:space="preserve"> </w:t>
      </w:r>
      <w:r>
        <w:t>the</w:t>
      </w:r>
      <w:r>
        <w:rPr>
          <w:spacing w:val="-4"/>
        </w:rPr>
        <w:t xml:space="preserve"> </w:t>
      </w:r>
      <w:r>
        <w:t xml:space="preserve">bottom of the Change Plan Worksheet or may prefer a separate document. </w:t>
      </w:r>
      <w:r>
        <w:t>Be sure to:</w:t>
      </w:r>
    </w:p>
    <w:p w14:paraId="729733BD" w14:textId="77777777" w:rsidR="00DB6E1F" w:rsidRDefault="00F666A6">
      <w:pPr>
        <w:pStyle w:val="ListParagraph"/>
        <w:numPr>
          <w:ilvl w:val="0"/>
          <w:numId w:val="92"/>
        </w:numPr>
        <w:tabs>
          <w:tab w:val="left" w:pos="1799"/>
          <w:tab w:val="left" w:pos="1800"/>
        </w:tabs>
        <w:spacing w:before="61"/>
        <w:ind w:left="1799"/>
        <w:rPr>
          <w:rFonts w:ascii="Symbol" w:hAnsi="Symbol"/>
        </w:rPr>
      </w:pPr>
      <w:r>
        <w:t>Explain</w:t>
      </w:r>
      <w:r>
        <w:rPr>
          <w:spacing w:val="-7"/>
        </w:rPr>
        <w:t xml:space="preserve"> </w:t>
      </w:r>
      <w:r>
        <w:t>that</w:t>
      </w:r>
      <w:r>
        <w:rPr>
          <w:spacing w:val="-5"/>
        </w:rPr>
        <w:t xml:space="preserve"> </w:t>
      </w:r>
      <w:r>
        <w:t>others</w:t>
      </w:r>
      <w:r>
        <w:rPr>
          <w:spacing w:val="-3"/>
        </w:rPr>
        <w:t xml:space="preserve"> </w:t>
      </w:r>
      <w:r>
        <w:t>have</w:t>
      </w:r>
      <w:r>
        <w:rPr>
          <w:spacing w:val="-3"/>
        </w:rPr>
        <w:t xml:space="preserve"> </w:t>
      </w:r>
      <w:r>
        <w:t>found</w:t>
      </w:r>
      <w:r>
        <w:rPr>
          <w:spacing w:val="-4"/>
        </w:rPr>
        <w:t xml:space="preserve"> </w:t>
      </w:r>
      <w:r>
        <w:t>contracts</w:t>
      </w:r>
      <w:r>
        <w:rPr>
          <w:spacing w:val="-3"/>
        </w:rPr>
        <w:t xml:space="preserve"> </w:t>
      </w:r>
      <w:r>
        <w:t>useful</w:t>
      </w:r>
      <w:r>
        <w:rPr>
          <w:spacing w:val="-3"/>
        </w:rPr>
        <w:t xml:space="preserve"> </w:t>
      </w:r>
      <w:r>
        <w:t>at</w:t>
      </w:r>
      <w:r>
        <w:rPr>
          <w:spacing w:val="-4"/>
        </w:rPr>
        <w:t xml:space="preserve"> </w:t>
      </w:r>
      <w:r>
        <w:t>this</w:t>
      </w:r>
      <w:r>
        <w:rPr>
          <w:spacing w:val="-5"/>
        </w:rPr>
        <w:t xml:space="preserve"> </w:t>
      </w:r>
      <w:r>
        <w:t>stage,</w:t>
      </w:r>
      <w:r>
        <w:rPr>
          <w:spacing w:val="-5"/>
        </w:rPr>
        <w:t xml:space="preserve"> </w:t>
      </w:r>
      <w:r>
        <w:t>and</w:t>
      </w:r>
      <w:r>
        <w:rPr>
          <w:spacing w:val="-4"/>
        </w:rPr>
        <w:t xml:space="preserve"> </w:t>
      </w:r>
      <w:r>
        <w:t>invite</w:t>
      </w:r>
      <w:r>
        <w:rPr>
          <w:spacing w:val="-2"/>
        </w:rPr>
        <w:t xml:space="preserve"> </w:t>
      </w:r>
      <w:r>
        <w:t>them</w:t>
      </w:r>
      <w:r>
        <w:rPr>
          <w:spacing w:val="-5"/>
        </w:rPr>
        <w:t xml:space="preserve"> </w:t>
      </w:r>
      <w:r>
        <w:t>to</w:t>
      </w:r>
      <w:r>
        <w:rPr>
          <w:spacing w:val="-4"/>
        </w:rPr>
        <w:t xml:space="preserve"> </w:t>
      </w:r>
      <w:r>
        <w:t>try</w:t>
      </w:r>
      <w:r>
        <w:rPr>
          <w:spacing w:val="-2"/>
        </w:rPr>
        <w:t xml:space="preserve"> </w:t>
      </w:r>
      <w:r>
        <w:t>writing</w:t>
      </w:r>
      <w:r>
        <w:rPr>
          <w:spacing w:val="-4"/>
        </w:rPr>
        <w:t xml:space="preserve"> one.</w:t>
      </w:r>
    </w:p>
    <w:p w14:paraId="2DA8D91D" w14:textId="77777777" w:rsidR="00DB6E1F" w:rsidRDefault="00F666A6">
      <w:pPr>
        <w:pStyle w:val="ListParagraph"/>
        <w:numPr>
          <w:ilvl w:val="0"/>
          <w:numId w:val="92"/>
        </w:numPr>
        <w:tabs>
          <w:tab w:val="left" w:pos="1800"/>
          <w:tab w:val="left" w:pos="1801"/>
        </w:tabs>
        <w:spacing w:before="58"/>
        <w:ind w:left="1800" w:right="1483" w:hanging="360"/>
        <w:rPr>
          <w:rFonts w:ascii="Symbol" w:hAnsi="Symbol"/>
        </w:rPr>
      </w:pPr>
      <w:r>
        <w:t xml:space="preserve">Avoid writing contracts for clients. </w:t>
      </w:r>
      <w:r>
        <w:rPr>
          <w:b/>
        </w:rPr>
        <w:t>Composing and signing it is a small but important ritual of “going</w:t>
      </w:r>
      <w:r>
        <w:rPr>
          <w:b/>
          <w:spacing w:val="-2"/>
        </w:rPr>
        <w:t xml:space="preserve"> </w:t>
      </w:r>
      <w:r>
        <w:rPr>
          <w:b/>
        </w:rPr>
        <w:t>public”</w:t>
      </w:r>
      <w:r>
        <w:rPr>
          <w:b/>
          <w:spacing w:val="-3"/>
        </w:rPr>
        <w:t xml:space="preserve"> </w:t>
      </w:r>
      <w:r>
        <w:rPr>
          <w:b/>
        </w:rPr>
        <w:t>that</w:t>
      </w:r>
      <w:r>
        <w:rPr>
          <w:b/>
          <w:spacing w:val="-5"/>
        </w:rPr>
        <w:t xml:space="preserve"> </w:t>
      </w:r>
      <w:r>
        <w:rPr>
          <w:b/>
        </w:rPr>
        <w:t>can</w:t>
      </w:r>
      <w:r>
        <w:rPr>
          <w:b/>
          <w:spacing w:val="-4"/>
        </w:rPr>
        <w:t xml:space="preserve"> </w:t>
      </w:r>
      <w:r>
        <w:rPr>
          <w:b/>
        </w:rPr>
        <w:t>enhance</w:t>
      </w:r>
      <w:r>
        <w:rPr>
          <w:b/>
          <w:spacing w:val="-3"/>
        </w:rPr>
        <w:t xml:space="preserve"> </w:t>
      </w:r>
      <w:r>
        <w:rPr>
          <w:b/>
        </w:rPr>
        <w:t>commitment</w:t>
      </w:r>
      <w:r>
        <w:rPr>
          <w:b/>
          <w:spacing w:val="-5"/>
        </w:rPr>
        <w:t xml:space="preserve"> </w:t>
      </w:r>
      <w:r>
        <w:t>(Connors,</w:t>
      </w:r>
      <w:r>
        <w:rPr>
          <w:spacing w:val="-5"/>
        </w:rPr>
        <w:t xml:space="preserve"> </w:t>
      </w:r>
      <w:r>
        <w:t>DiClemente,</w:t>
      </w:r>
      <w:r>
        <w:rPr>
          <w:spacing w:val="-3"/>
        </w:rPr>
        <w:t xml:space="preserve"> </w:t>
      </w:r>
      <w:r>
        <w:rPr>
          <w:color w:val="303030"/>
        </w:rPr>
        <w:t>Velasquez,</w:t>
      </w:r>
      <w:r>
        <w:rPr>
          <w:color w:val="303030"/>
          <w:spacing w:val="-3"/>
        </w:rPr>
        <w:t xml:space="preserve"> </w:t>
      </w:r>
      <w:r>
        <w:rPr>
          <w:color w:val="303030"/>
        </w:rPr>
        <w:t>&amp;</w:t>
      </w:r>
      <w:r>
        <w:rPr>
          <w:color w:val="303030"/>
          <w:spacing w:val="-5"/>
        </w:rPr>
        <w:t xml:space="preserve"> </w:t>
      </w:r>
      <w:r>
        <w:rPr>
          <w:color w:val="303030"/>
        </w:rPr>
        <w:t>Donovan</w:t>
      </w:r>
      <w:r>
        <w:t>,</w:t>
      </w:r>
      <w:r>
        <w:rPr>
          <w:spacing w:val="-3"/>
        </w:rPr>
        <w:t xml:space="preserve"> </w:t>
      </w:r>
      <w:r>
        <w:t>2013).</w:t>
      </w:r>
    </w:p>
    <w:p w14:paraId="419E0653" w14:textId="77777777" w:rsidR="00DB6E1F" w:rsidRDefault="00F666A6">
      <w:pPr>
        <w:pStyle w:val="ListParagraph"/>
        <w:numPr>
          <w:ilvl w:val="0"/>
          <w:numId w:val="92"/>
        </w:numPr>
        <w:tabs>
          <w:tab w:val="left" w:pos="1800"/>
          <w:tab w:val="left" w:pos="1801"/>
        </w:tabs>
        <w:spacing w:before="61"/>
        <w:ind w:left="1800"/>
        <w:rPr>
          <w:rFonts w:ascii="Symbol" w:hAnsi="Symbol"/>
        </w:rPr>
      </w:pPr>
      <w:r>
        <w:t>Encourage</w:t>
      </w:r>
      <w:r>
        <w:rPr>
          <w:spacing w:val="-4"/>
        </w:rPr>
        <w:t xml:space="preserve"> </w:t>
      </w:r>
      <w:r>
        <w:t>clients</w:t>
      </w:r>
      <w:r>
        <w:rPr>
          <w:spacing w:val="-5"/>
        </w:rPr>
        <w:t xml:space="preserve"> </w:t>
      </w:r>
      <w:r>
        <w:t>to</w:t>
      </w:r>
      <w:r>
        <w:rPr>
          <w:spacing w:val="-3"/>
        </w:rPr>
        <w:t xml:space="preserve"> </w:t>
      </w:r>
      <w:r>
        <w:t>use</w:t>
      </w:r>
      <w:r>
        <w:rPr>
          <w:spacing w:val="-5"/>
        </w:rPr>
        <w:t xml:space="preserve"> </w:t>
      </w:r>
      <w:r>
        <w:t>their</w:t>
      </w:r>
      <w:r>
        <w:rPr>
          <w:spacing w:val="-3"/>
        </w:rPr>
        <w:t xml:space="preserve"> </w:t>
      </w:r>
      <w:r>
        <w:t>own</w:t>
      </w:r>
      <w:r>
        <w:rPr>
          <w:spacing w:val="-3"/>
        </w:rPr>
        <w:t xml:space="preserve"> </w:t>
      </w:r>
      <w:r>
        <w:rPr>
          <w:spacing w:val="-2"/>
        </w:rPr>
        <w:t>words.</w:t>
      </w:r>
    </w:p>
    <w:p w14:paraId="6665815B" w14:textId="77777777" w:rsidR="00DB6E1F" w:rsidRDefault="00F666A6">
      <w:pPr>
        <w:pStyle w:val="ListParagraph"/>
        <w:numPr>
          <w:ilvl w:val="0"/>
          <w:numId w:val="92"/>
        </w:numPr>
        <w:tabs>
          <w:tab w:val="left" w:pos="1800"/>
          <w:tab w:val="left" w:pos="1801"/>
        </w:tabs>
        <w:ind w:left="1800" w:right="1695"/>
        <w:rPr>
          <w:rFonts w:ascii="Symbol" w:hAnsi="Symbol"/>
        </w:rPr>
      </w:pPr>
      <w:r>
        <w:t>Be</w:t>
      </w:r>
      <w:r>
        <w:rPr>
          <w:spacing w:val="-1"/>
        </w:rPr>
        <w:t xml:space="preserve"> </w:t>
      </w:r>
      <w:r>
        <w:t>flexible.</w:t>
      </w:r>
      <w:r>
        <w:rPr>
          <w:spacing w:val="-3"/>
        </w:rPr>
        <w:t xml:space="preserve"> </w:t>
      </w:r>
      <w:r>
        <w:t>With</w:t>
      </w:r>
      <w:r>
        <w:rPr>
          <w:spacing w:val="-5"/>
        </w:rPr>
        <w:t xml:space="preserve"> </w:t>
      </w:r>
      <w:r>
        <w:t>some</w:t>
      </w:r>
      <w:r>
        <w:rPr>
          <w:spacing w:val="-2"/>
        </w:rPr>
        <w:t xml:space="preserve"> </w:t>
      </w:r>
      <w:r>
        <w:t>clients,</w:t>
      </w:r>
      <w:r>
        <w:rPr>
          <w:spacing w:val="-2"/>
        </w:rPr>
        <w:t xml:space="preserve"> </w:t>
      </w:r>
      <w:r>
        <w:t>a</w:t>
      </w:r>
      <w:r>
        <w:rPr>
          <w:spacing w:val="-2"/>
        </w:rPr>
        <w:t xml:space="preserve"> </w:t>
      </w:r>
      <w:r>
        <w:t>handshake</w:t>
      </w:r>
      <w:r>
        <w:rPr>
          <w:spacing w:val="-4"/>
        </w:rPr>
        <w:t xml:space="preserve"> </w:t>
      </w:r>
      <w:r>
        <w:t>is</w:t>
      </w:r>
      <w:r>
        <w:rPr>
          <w:spacing w:val="-2"/>
        </w:rPr>
        <w:t xml:space="preserve"> </w:t>
      </w:r>
      <w:r>
        <w:t>a</w:t>
      </w:r>
      <w:r>
        <w:rPr>
          <w:spacing w:val="-2"/>
        </w:rPr>
        <w:t xml:space="preserve"> </w:t>
      </w:r>
      <w:r>
        <w:t>good</w:t>
      </w:r>
      <w:r>
        <w:rPr>
          <w:spacing w:val="-5"/>
        </w:rPr>
        <w:t xml:space="preserve"> </w:t>
      </w:r>
      <w:r>
        <w:t>substitute</w:t>
      </w:r>
      <w:r>
        <w:rPr>
          <w:spacing w:val="-1"/>
        </w:rPr>
        <w:t xml:space="preserve"> </w:t>
      </w:r>
      <w:r>
        <w:t>for</w:t>
      </w:r>
      <w:r>
        <w:rPr>
          <w:spacing w:val="-2"/>
        </w:rPr>
        <w:t xml:space="preserve"> </w:t>
      </w:r>
      <w:r>
        <w:t>a</w:t>
      </w:r>
      <w:r>
        <w:rPr>
          <w:spacing w:val="-4"/>
        </w:rPr>
        <w:t xml:space="preserve"> </w:t>
      </w:r>
      <w:r>
        <w:t>written</w:t>
      </w:r>
      <w:r>
        <w:rPr>
          <w:spacing w:val="-3"/>
        </w:rPr>
        <w:t xml:space="preserve"> </w:t>
      </w:r>
      <w:r>
        <w:t>contract,</w:t>
      </w:r>
      <w:r>
        <w:rPr>
          <w:spacing w:val="-2"/>
        </w:rPr>
        <w:t xml:space="preserve"> </w:t>
      </w:r>
      <w:r>
        <w:t>particularly with clients who have challenges with reading and writing or whose first language is not English.</w:t>
      </w:r>
    </w:p>
    <w:p w14:paraId="5F206CC7" w14:textId="77777777" w:rsidR="00DB6E1F" w:rsidRDefault="00F666A6">
      <w:pPr>
        <w:pStyle w:val="BodyText"/>
        <w:spacing w:before="159"/>
        <w:ind w:left="1440" w:right="1555"/>
      </w:pPr>
      <w:r>
        <w:t>Establishing</w:t>
      </w:r>
      <w:r>
        <w:rPr>
          <w:spacing w:val="-4"/>
        </w:rPr>
        <w:t xml:space="preserve"> </w:t>
      </w:r>
      <w:r>
        <w:t>a</w:t>
      </w:r>
      <w:r>
        <w:rPr>
          <w:spacing w:val="-3"/>
        </w:rPr>
        <w:t xml:space="preserve"> </w:t>
      </w:r>
      <w:r>
        <w:t>contract</w:t>
      </w:r>
      <w:r>
        <w:rPr>
          <w:spacing w:val="-4"/>
        </w:rPr>
        <w:t xml:space="preserve"> </w:t>
      </w:r>
      <w:r>
        <w:t>raises</w:t>
      </w:r>
      <w:r>
        <w:rPr>
          <w:spacing w:val="-3"/>
        </w:rPr>
        <w:t xml:space="preserve"> </w:t>
      </w:r>
      <w:r>
        <w:t>issues</w:t>
      </w:r>
      <w:r>
        <w:rPr>
          <w:spacing w:val="-4"/>
        </w:rPr>
        <w:t xml:space="preserve"> </w:t>
      </w:r>
      <w:r>
        <w:t>for</w:t>
      </w:r>
      <w:r>
        <w:rPr>
          <w:spacing w:val="-4"/>
        </w:rPr>
        <w:t xml:space="preserve"> </w:t>
      </w:r>
      <w:r>
        <w:t>discussion</w:t>
      </w:r>
      <w:r>
        <w:rPr>
          <w:spacing w:val="-4"/>
        </w:rPr>
        <w:t xml:space="preserve"> </w:t>
      </w:r>
      <w:r>
        <w:t>about</w:t>
      </w:r>
      <w:r>
        <w:rPr>
          <w:spacing w:val="-2"/>
        </w:rPr>
        <w:t xml:space="preserve"> </w:t>
      </w:r>
      <w:r>
        <w:t>the</w:t>
      </w:r>
      <w:r>
        <w:rPr>
          <w:spacing w:val="-2"/>
        </w:rPr>
        <w:t xml:space="preserve"> </w:t>
      </w:r>
      <w:r>
        <w:t>client’s</w:t>
      </w:r>
      <w:r>
        <w:rPr>
          <w:spacing w:val="-3"/>
        </w:rPr>
        <w:t xml:space="preserve"> </w:t>
      </w:r>
      <w:r>
        <w:t>reasons</w:t>
      </w:r>
      <w:r>
        <w:rPr>
          <w:spacing w:val="-3"/>
        </w:rPr>
        <w:t xml:space="preserve"> </w:t>
      </w:r>
      <w:r>
        <w:t>for</w:t>
      </w:r>
      <w:r>
        <w:rPr>
          <w:spacing w:val="-3"/>
        </w:rPr>
        <w:t xml:space="preserve"> </w:t>
      </w:r>
      <w:r>
        <w:t>change.</w:t>
      </w:r>
      <w:r>
        <w:rPr>
          <w:spacing w:val="-3"/>
        </w:rPr>
        <w:t xml:space="preserve"> </w:t>
      </w:r>
      <w:r>
        <w:t>What</w:t>
      </w:r>
      <w:r>
        <w:rPr>
          <w:spacing w:val="-2"/>
        </w:rPr>
        <w:t xml:space="preserve"> </w:t>
      </w:r>
      <w:r>
        <w:t>parties does</w:t>
      </w:r>
      <w:r>
        <w:rPr>
          <w:spacing w:val="-4"/>
        </w:rPr>
        <w:t xml:space="preserve"> </w:t>
      </w:r>
      <w:r>
        <w:t>the</w:t>
      </w:r>
      <w:r>
        <w:rPr>
          <w:spacing w:val="-1"/>
        </w:rPr>
        <w:t xml:space="preserve"> </w:t>
      </w:r>
      <w:r>
        <w:t>contract</w:t>
      </w:r>
      <w:r>
        <w:rPr>
          <w:spacing w:val="-2"/>
        </w:rPr>
        <w:t xml:space="preserve"> </w:t>
      </w:r>
      <w:r>
        <w:t>involve?</w:t>
      </w:r>
      <w:r>
        <w:rPr>
          <w:spacing w:val="-3"/>
        </w:rPr>
        <w:t xml:space="preserve"> </w:t>
      </w:r>
      <w:r>
        <w:t>Some</w:t>
      </w:r>
      <w:r>
        <w:rPr>
          <w:spacing w:val="-1"/>
        </w:rPr>
        <w:t xml:space="preserve"> </w:t>
      </w:r>
      <w:r>
        <w:t>contracts</w:t>
      </w:r>
      <w:r>
        <w:rPr>
          <w:spacing w:val="-2"/>
        </w:rPr>
        <w:t xml:space="preserve"> </w:t>
      </w:r>
      <w:r>
        <w:t>include</w:t>
      </w:r>
      <w:r>
        <w:rPr>
          <w:spacing w:val="-4"/>
        </w:rPr>
        <w:t xml:space="preserve"> </w:t>
      </w:r>
      <w:r>
        <w:t>the</w:t>
      </w:r>
      <w:r>
        <w:rPr>
          <w:spacing w:val="-3"/>
        </w:rPr>
        <w:t xml:space="preserve"> </w:t>
      </w:r>
      <w:r>
        <w:t>counselor</w:t>
      </w:r>
      <w:r>
        <w:rPr>
          <w:spacing w:val="-2"/>
        </w:rPr>
        <w:t xml:space="preserve"> </w:t>
      </w:r>
      <w:r>
        <w:t>as</w:t>
      </w:r>
      <w:r>
        <w:rPr>
          <w:spacing w:val="-2"/>
        </w:rPr>
        <w:t xml:space="preserve"> </w:t>
      </w:r>
      <w:r>
        <w:t>a</w:t>
      </w:r>
      <w:r>
        <w:rPr>
          <w:spacing w:val="-2"/>
        </w:rPr>
        <w:t xml:space="preserve"> </w:t>
      </w:r>
      <w:r>
        <w:t>party</w:t>
      </w:r>
      <w:r>
        <w:rPr>
          <w:spacing w:val="-1"/>
        </w:rPr>
        <w:t xml:space="preserve"> </w:t>
      </w:r>
      <w:r>
        <w:t>in</w:t>
      </w:r>
      <w:r>
        <w:rPr>
          <w:spacing w:val="-5"/>
        </w:rPr>
        <w:t xml:space="preserve"> </w:t>
      </w:r>
      <w:r>
        <w:t>the</w:t>
      </w:r>
      <w:r>
        <w:rPr>
          <w:spacing w:val="-4"/>
        </w:rPr>
        <w:t xml:space="preserve"> </w:t>
      </w:r>
      <w:r>
        <w:t>contract,</w:t>
      </w:r>
      <w:r>
        <w:rPr>
          <w:spacing w:val="-2"/>
        </w:rPr>
        <w:t xml:space="preserve"> </w:t>
      </w:r>
      <w:r>
        <w:t>specifying the counselor’s functions and responsibilities. Other clients regard the contract as a promise to themselves, to a spouse, or to other family members.</w:t>
      </w:r>
    </w:p>
    <w:p w14:paraId="79F9FDA2" w14:textId="77777777" w:rsidR="00DB6E1F" w:rsidRDefault="00F666A6">
      <w:pPr>
        <w:pStyle w:val="BodyText"/>
        <w:spacing w:before="159"/>
        <w:ind w:left="1439" w:right="1564"/>
      </w:pPr>
      <w:r>
        <w:rPr>
          <w:b/>
        </w:rPr>
        <w:t>Contracts are often used in treatment programs that employ behavioral techniques, such as contingency</w:t>
      </w:r>
      <w:r>
        <w:rPr>
          <w:b/>
          <w:spacing w:val="-4"/>
        </w:rPr>
        <w:t xml:space="preserve"> </w:t>
      </w:r>
      <w:r>
        <w:rPr>
          <w:b/>
        </w:rPr>
        <w:t>management</w:t>
      </w:r>
      <w:r>
        <w:rPr>
          <w:b/>
          <w:spacing w:val="-4"/>
        </w:rPr>
        <w:t xml:space="preserve"> </w:t>
      </w:r>
      <w:r>
        <w:rPr>
          <w:b/>
        </w:rPr>
        <w:t>(CM).</w:t>
      </w:r>
      <w:r>
        <w:rPr>
          <w:b/>
          <w:spacing w:val="-2"/>
        </w:rPr>
        <w:t xml:space="preserve"> </w:t>
      </w:r>
      <w:r>
        <w:t>For</w:t>
      </w:r>
      <w:r>
        <w:rPr>
          <w:spacing w:val="-5"/>
        </w:rPr>
        <w:t xml:space="preserve"> </w:t>
      </w:r>
      <w:r>
        <w:t>many</w:t>
      </w:r>
      <w:r>
        <w:rPr>
          <w:spacing w:val="-4"/>
        </w:rPr>
        <w:t xml:space="preserve"> </w:t>
      </w:r>
      <w:r>
        <w:t>counselors,</w:t>
      </w:r>
      <w:r>
        <w:rPr>
          <w:spacing w:val="-3"/>
        </w:rPr>
        <w:t xml:space="preserve"> </w:t>
      </w:r>
      <w:r>
        <w:t>contracts</w:t>
      </w:r>
      <w:r>
        <w:rPr>
          <w:spacing w:val="-4"/>
        </w:rPr>
        <w:t xml:space="preserve"> </w:t>
      </w:r>
      <w:r>
        <w:t>mean</w:t>
      </w:r>
      <w:r>
        <w:rPr>
          <w:spacing w:val="-4"/>
        </w:rPr>
        <w:t xml:space="preserve"> </w:t>
      </w:r>
      <w:r>
        <w:rPr>
          <w:b/>
        </w:rPr>
        <w:t>contingencies</w:t>
      </w:r>
      <w:r>
        <w:rPr>
          <w:b/>
          <w:spacing w:val="-4"/>
        </w:rPr>
        <w:t xml:space="preserve"> </w:t>
      </w:r>
      <w:r>
        <w:t>(i.e.,</w:t>
      </w:r>
      <w:r>
        <w:rPr>
          <w:spacing w:val="-3"/>
        </w:rPr>
        <w:t xml:space="preserve"> </w:t>
      </w:r>
      <w:r>
        <w:t>rewards</w:t>
      </w:r>
      <w:r>
        <w:rPr>
          <w:spacing w:val="-4"/>
        </w:rPr>
        <w:t xml:space="preserve"> </w:t>
      </w:r>
      <w:r>
        <w:t>and consequences), and programs often build contingencies into the struc</w:t>
      </w:r>
      <w:r>
        <w:t>ture of their programs. For example, in many methadone maintenance programs, take-home medications are contingent on substance-free urinalyses. Rewards or incentives have been shown to be highly effective external reinforcers.</w:t>
      </w:r>
      <w:r>
        <w:rPr>
          <w:spacing w:val="-1"/>
        </w:rPr>
        <w:t xml:space="preserve"> </w:t>
      </w:r>
      <w:r>
        <w:t>For</w:t>
      </w:r>
      <w:r>
        <w:rPr>
          <w:spacing w:val="-3"/>
        </w:rPr>
        <w:t xml:space="preserve"> </w:t>
      </w:r>
      <w:r>
        <w:t>instance,</w:t>
      </w:r>
      <w:r>
        <w:rPr>
          <w:spacing w:val="-1"/>
        </w:rPr>
        <w:t xml:space="preserve"> </w:t>
      </w:r>
      <w:r>
        <w:t>CM rewards</w:t>
      </w:r>
      <w:r>
        <w:rPr>
          <w:spacing w:val="-1"/>
        </w:rPr>
        <w:t xml:space="preserve"> </w:t>
      </w:r>
      <w:r>
        <w:t xml:space="preserve">are </w:t>
      </w:r>
      <w:r>
        <w:t>effective</w:t>
      </w:r>
      <w:r>
        <w:rPr>
          <w:spacing w:val="-3"/>
        </w:rPr>
        <w:t xml:space="preserve"> </w:t>
      </w:r>
      <w:r>
        <w:t>in</w:t>
      </w:r>
      <w:r>
        <w:rPr>
          <w:spacing w:val="-4"/>
        </w:rPr>
        <w:t xml:space="preserve"> </w:t>
      </w:r>
      <w:r>
        <w:t>reducing</w:t>
      </w:r>
      <w:r>
        <w:rPr>
          <w:spacing w:val="-2"/>
        </w:rPr>
        <w:t xml:space="preserve"> </w:t>
      </w:r>
      <w:r>
        <w:t>use and</w:t>
      </w:r>
      <w:r>
        <w:rPr>
          <w:spacing w:val="-4"/>
        </w:rPr>
        <w:t xml:space="preserve"> </w:t>
      </w:r>
      <w:r>
        <w:t>misuse</w:t>
      </w:r>
      <w:r>
        <w:rPr>
          <w:spacing w:val="-3"/>
        </w:rPr>
        <w:t xml:space="preserve"> </w:t>
      </w:r>
      <w:r>
        <w:t>of</w:t>
      </w:r>
      <w:r>
        <w:rPr>
          <w:spacing w:val="-3"/>
        </w:rPr>
        <w:t xml:space="preserve"> </w:t>
      </w:r>
      <w:r>
        <w:t>a</w:t>
      </w:r>
      <w:r>
        <w:rPr>
          <w:spacing w:val="-1"/>
        </w:rPr>
        <w:t xml:space="preserve"> </w:t>
      </w:r>
      <w:r>
        <w:t>range</w:t>
      </w:r>
      <w:r>
        <w:rPr>
          <w:spacing w:val="-3"/>
        </w:rPr>
        <w:t xml:space="preserve"> </w:t>
      </w:r>
      <w:r>
        <w:t>of</w:t>
      </w:r>
      <w:r>
        <w:rPr>
          <w:spacing w:val="-1"/>
        </w:rPr>
        <w:t xml:space="preserve"> </w:t>
      </w:r>
      <w:r>
        <w:t>substances including alcohol, tobacco, cannabis, and stimulants, as well as polysubstance use (Aisncough, McNeill, Strang, Calder, &amp; Brose, 2017; Litt, Kadden, &amp; Petry, 2013; Sayegh, Huey, Zara, &amp; Jhaveri,</w:t>
      </w:r>
      <w:r>
        <w:t xml:space="preserve"> 2017).</w:t>
      </w:r>
    </w:p>
    <w:p w14:paraId="06842CE9" w14:textId="77777777" w:rsidR="00DB6E1F" w:rsidRDefault="00F666A6">
      <w:pPr>
        <w:pStyle w:val="BodyText"/>
        <w:spacing w:before="160"/>
        <w:ind w:left="1439" w:right="1491" w:hanging="1"/>
      </w:pPr>
      <w:r>
        <w:t>Clients</w:t>
      </w:r>
      <w:r>
        <w:rPr>
          <w:spacing w:val="-4"/>
        </w:rPr>
        <w:t xml:space="preserve"> </w:t>
      </w:r>
      <w:r>
        <w:t>may</w:t>
      </w:r>
      <w:r>
        <w:rPr>
          <w:spacing w:val="-3"/>
        </w:rPr>
        <w:t xml:space="preserve"> </w:t>
      </w:r>
      <w:r>
        <w:t>decide</w:t>
      </w:r>
      <w:r>
        <w:rPr>
          <w:spacing w:val="-4"/>
        </w:rPr>
        <w:t xml:space="preserve"> </w:t>
      </w:r>
      <w:r>
        <w:t>to</w:t>
      </w:r>
      <w:r>
        <w:rPr>
          <w:spacing w:val="-3"/>
        </w:rPr>
        <w:t xml:space="preserve"> </w:t>
      </w:r>
      <w:r>
        <w:t>include</w:t>
      </w:r>
      <w:r>
        <w:rPr>
          <w:spacing w:val="-1"/>
        </w:rPr>
        <w:t xml:space="preserve"> </w:t>
      </w:r>
      <w:r>
        <w:t>contingencies,</w:t>
      </w:r>
      <w:r>
        <w:rPr>
          <w:spacing w:val="-4"/>
        </w:rPr>
        <w:t xml:space="preserve"> </w:t>
      </w:r>
      <w:r>
        <w:t>especially</w:t>
      </w:r>
      <w:r>
        <w:rPr>
          <w:spacing w:val="-1"/>
        </w:rPr>
        <w:t xml:space="preserve"> </w:t>
      </w:r>
      <w:r>
        <w:t>rewards</w:t>
      </w:r>
      <w:r>
        <w:rPr>
          <w:spacing w:val="-4"/>
        </w:rPr>
        <w:t xml:space="preserve"> </w:t>
      </w:r>
      <w:r>
        <w:t>or</w:t>
      </w:r>
      <w:r>
        <w:rPr>
          <w:spacing w:val="-2"/>
        </w:rPr>
        <w:t xml:space="preserve"> </w:t>
      </w:r>
      <w:r>
        <w:t>positive</w:t>
      </w:r>
      <w:r>
        <w:rPr>
          <w:spacing w:val="-1"/>
        </w:rPr>
        <w:t xml:space="preserve"> </w:t>
      </w:r>
      <w:r>
        <w:t>incentives,</w:t>
      </w:r>
      <w:r>
        <w:rPr>
          <w:spacing w:val="-2"/>
        </w:rPr>
        <w:t xml:space="preserve"> </w:t>
      </w:r>
      <w:r>
        <w:t>in</w:t>
      </w:r>
      <w:r>
        <w:rPr>
          <w:spacing w:val="-3"/>
        </w:rPr>
        <w:t xml:space="preserve"> </w:t>
      </w:r>
      <w:r>
        <w:t>the</w:t>
      </w:r>
      <w:r>
        <w:rPr>
          <w:spacing w:val="-4"/>
        </w:rPr>
        <w:t xml:space="preserve"> </w:t>
      </w:r>
      <w:r>
        <w:t>contract. Rewards can:</w:t>
      </w:r>
    </w:p>
    <w:p w14:paraId="17BBA044" w14:textId="77777777" w:rsidR="00DB6E1F" w:rsidRDefault="00F666A6">
      <w:pPr>
        <w:pStyle w:val="ListParagraph"/>
        <w:numPr>
          <w:ilvl w:val="0"/>
          <w:numId w:val="92"/>
        </w:numPr>
        <w:tabs>
          <w:tab w:val="left" w:pos="1799"/>
          <w:tab w:val="left" w:pos="1800"/>
        </w:tabs>
        <w:spacing w:before="61"/>
        <w:ind w:left="1799"/>
        <w:rPr>
          <w:rFonts w:ascii="Symbol" w:hAnsi="Symbol"/>
        </w:rPr>
      </w:pPr>
      <w:r>
        <w:t>Be</w:t>
      </w:r>
      <w:r>
        <w:rPr>
          <w:spacing w:val="-2"/>
        </w:rPr>
        <w:t xml:space="preserve"> </w:t>
      </w:r>
      <w:r>
        <w:t>highly</w:t>
      </w:r>
      <w:r>
        <w:rPr>
          <w:spacing w:val="-2"/>
        </w:rPr>
        <w:t xml:space="preserve"> individual.</w:t>
      </w:r>
    </w:p>
    <w:p w14:paraId="14001E55" w14:textId="77777777" w:rsidR="00DB6E1F" w:rsidRDefault="00F666A6">
      <w:pPr>
        <w:pStyle w:val="ListParagraph"/>
        <w:numPr>
          <w:ilvl w:val="0"/>
          <w:numId w:val="92"/>
        </w:numPr>
        <w:tabs>
          <w:tab w:val="left" w:pos="1799"/>
          <w:tab w:val="left" w:pos="1800"/>
        </w:tabs>
        <w:ind w:left="1799" w:right="1687"/>
        <w:rPr>
          <w:rFonts w:ascii="Symbol" w:hAnsi="Symbol"/>
        </w:rPr>
      </w:pPr>
      <w:r>
        <w:t>Include</w:t>
      </w:r>
      <w:r>
        <w:rPr>
          <w:spacing w:val="-1"/>
        </w:rPr>
        <w:t xml:space="preserve"> </w:t>
      </w:r>
      <w:r>
        <w:t>enjoyable</w:t>
      </w:r>
      <w:r>
        <w:rPr>
          <w:spacing w:val="-1"/>
        </w:rPr>
        <w:t xml:space="preserve"> </w:t>
      </w:r>
      <w:r>
        <w:t>activities,</w:t>
      </w:r>
      <w:r>
        <w:rPr>
          <w:spacing w:val="-2"/>
        </w:rPr>
        <w:t xml:space="preserve"> </w:t>
      </w:r>
      <w:r>
        <w:t>favorite</w:t>
      </w:r>
      <w:r>
        <w:rPr>
          <w:spacing w:val="-4"/>
        </w:rPr>
        <w:t xml:space="preserve"> </w:t>
      </w:r>
      <w:r>
        <w:t>foods,</w:t>
      </w:r>
      <w:r>
        <w:rPr>
          <w:spacing w:val="-2"/>
        </w:rPr>
        <w:t xml:space="preserve"> </w:t>
      </w:r>
      <w:r>
        <w:t>desired</w:t>
      </w:r>
      <w:r>
        <w:rPr>
          <w:spacing w:val="-5"/>
        </w:rPr>
        <w:t xml:space="preserve"> </w:t>
      </w:r>
      <w:r>
        <w:t>objects,</w:t>
      </w:r>
      <w:r>
        <w:rPr>
          <w:spacing w:val="-4"/>
        </w:rPr>
        <w:t xml:space="preserve"> </w:t>
      </w:r>
      <w:r>
        <w:t>or</w:t>
      </w:r>
      <w:r>
        <w:rPr>
          <w:spacing w:val="-2"/>
        </w:rPr>
        <w:t xml:space="preserve"> </w:t>
      </w:r>
      <w:r>
        <w:t>rituals</w:t>
      </w:r>
      <w:r>
        <w:rPr>
          <w:spacing w:val="-2"/>
        </w:rPr>
        <w:t xml:space="preserve"> </w:t>
      </w:r>
      <w:r>
        <w:t>and</w:t>
      </w:r>
      <w:r>
        <w:rPr>
          <w:spacing w:val="-3"/>
        </w:rPr>
        <w:t xml:space="preserve"> </w:t>
      </w:r>
      <w:r>
        <w:t>ceremonies,</w:t>
      </w:r>
      <w:r>
        <w:rPr>
          <w:spacing w:val="-2"/>
        </w:rPr>
        <w:t xml:space="preserve"> </w:t>
      </w:r>
      <w:r>
        <w:t>all</w:t>
      </w:r>
      <w:r>
        <w:rPr>
          <w:spacing w:val="-5"/>
        </w:rPr>
        <w:t xml:space="preserve"> </w:t>
      </w:r>
      <w:r>
        <w:t>of</w:t>
      </w:r>
      <w:r>
        <w:rPr>
          <w:spacing w:val="-2"/>
        </w:rPr>
        <w:t xml:space="preserve"> </w:t>
      </w:r>
      <w:r>
        <w:t>which can be powerful objective markers of change and reinforcers of commitment.</w:t>
      </w:r>
    </w:p>
    <w:p w14:paraId="63985D3F" w14:textId="77777777" w:rsidR="00DB6E1F" w:rsidRDefault="00F666A6">
      <w:pPr>
        <w:pStyle w:val="ListParagraph"/>
        <w:numPr>
          <w:ilvl w:val="0"/>
          <w:numId w:val="92"/>
        </w:numPr>
        <w:tabs>
          <w:tab w:val="left" w:pos="1799"/>
          <w:tab w:val="left" w:pos="1800"/>
        </w:tabs>
        <w:spacing w:before="61"/>
        <w:ind w:left="1799"/>
        <w:rPr>
          <w:rFonts w:ascii="Symbol" w:hAnsi="Symbol"/>
        </w:rPr>
      </w:pPr>
      <w:r>
        <w:t>Be</w:t>
      </w:r>
      <w:r>
        <w:rPr>
          <w:spacing w:val="-5"/>
        </w:rPr>
        <w:t xml:space="preserve"> </w:t>
      </w:r>
      <w:r>
        <w:t>tied</w:t>
      </w:r>
      <w:r>
        <w:rPr>
          <w:spacing w:val="-6"/>
        </w:rPr>
        <w:t xml:space="preserve"> </w:t>
      </w:r>
      <w:r>
        <w:t>to</w:t>
      </w:r>
      <w:r>
        <w:rPr>
          <w:spacing w:val="-4"/>
        </w:rPr>
        <w:t xml:space="preserve"> </w:t>
      </w:r>
      <w:r>
        <w:t>length</w:t>
      </w:r>
      <w:r>
        <w:rPr>
          <w:spacing w:val="-7"/>
        </w:rPr>
        <w:t xml:space="preserve"> </w:t>
      </w:r>
      <w:r>
        <w:t>of</w:t>
      </w:r>
      <w:r>
        <w:rPr>
          <w:spacing w:val="-3"/>
        </w:rPr>
        <w:t xml:space="preserve"> </w:t>
      </w:r>
      <w:r>
        <w:t>abstinence,</w:t>
      </w:r>
      <w:r>
        <w:rPr>
          <w:spacing w:val="-3"/>
        </w:rPr>
        <w:t xml:space="preserve"> </w:t>
      </w:r>
      <w:r>
        <w:t>quit-date</w:t>
      </w:r>
      <w:r>
        <w:rPr>
          <w:spacing w:val="-6"/>
        </w:rPr>
        <w:t xml:space="preserve"> </w:t>
      </w:r>
      <w:r>
        <w:t>anniversaries,</w:t>
      </w:r>
      <w:r>
        <w:rPr>
          <w:spacing w:val="-3"/>
        </w:rPr>
        <w:t xml:space="preserve"> </w:t>
      </w:r>
      <w:r>
        <w:t>or</w:t>
      </w:r>
      <w:r>
        <w:rPr>
          <w:spacing w:val="-5"/>
        </w:rPr>
        <w:t xml:space="preserve"> </w:t>
      </w:r>
      <w:r>
        <w:t>achievement</w:t>
      </w:r>
      <w:r>
        <w:rPr>
          <w:spacing w:val="-6"/>
        </w:rPr>
        <w:t xml:space="preserve"> </w:t>
      </w:r>
      <w:r>
        <w:t>of</w:t>
      </w:r>
      <w:r>
        <w:rPr>
          <w:spacing w:val="-5"/>
        </w:rPr>
        <w:t xml:space="preserve"> </w:t>
      </w:r>
      <w:r>
        <w:t>subgoals.</w:t>
      </w:r>
      <w:r>
        <w:rPr>
          <w:spacing w:val="-4"/>
        </w:rPr>
        <w:t xml:space="preserve"> </w:t>
      </w:r>
      <w:r>
        <w:t>For</w:t>
      </w:r>
      <w:r>
        <w:rPr>
          <w:spacing w:val="-3"/>
        </w:rPr>
        <w:t xml:space="preserve"> </w:t>
      </w:r>
      <w:r>
        <w:rPr>
          <w:spacing w:val="-2"/>
        </w:rPr>
        <w:t>instance:</w:t>
      </w:r>
    </w:p>
    <w:p w14:paraId="673E26D5" w14:textId="77777777" w:rsidR="00DB6E1F" w:rsidRDefault="00F666A6">
      <w:pPr>
        <w:pStyle w:val="ListParagraph"/>
        <w:numPr>
          <w:ilvl w:val="1"/>
          <w:numId w:val="92"/>
        </w:numPr>
        <w:tabs>
          <w:tab w:val="left" w:pos="2158"/>
          <w:tab w:val="left" w:pos="2159"/>
        </w:tabs>
        <w:spacing w:before="58"/>
        <w:ind w:left="2158" w:right="2276"/>
      </w:pPr>
      <w:r>
        <w:t>A</w:t>
      </w:r>
      <w:r>
        <w:rPr>
          <w:spacing w:val="-2"/>
        </w:rPr>
        <w:t xml:space="preserve"> </w:t>
      </w:r>
      <w:r>
        <w:t>client</w:t>
      </w:r>
      <w:r>
        <w:rPr>
          <w:spacing w:val="-4"/>
        </w:rPr>
        <w:t xml:space="preserve"> </w:t>
      </w:r>
      <w:r>
        <w:t>may</w:t>
      </w:r>
      <w:r>
        <w:rPr>
          <w:spacing w:val="-1"/>
        </w:rPr>
        <w:t xml:space="preserve"> </w:t>
      </w:r>
      <w:r>
        <w:t>plan</w:t>
      </w:r>
      <w:r>
        <w:rPr>
          <w:spacing w:val="-2"/>
        </w:rPr>
        <w:t xml:space="preserve"> </w:t>
      </w:r>
      <w:r>
        <w:t>an</w:t>
      </w:r>
      <w:r>
        <w:rPr>
          <w:spacing w:val="-3"/>
        </w:rPr>
        <w:t xml:space="preserve"> </w:t>
      </w:r>
      <w:r>
        <w:t>afternoon</w:t>
      </w:r>
      <w:r>
        <w:rPr>
          <w:spacing w:val="-5"/>
        </w:rPr>
        <w:t xml:space="preserve"> </w:t>
      </w:r>
      <w:r>
        <w:t>at</w:t>
      </w:r>
      <w:r>
        <w:rPr>
          <w:spacing w:val="-1"/>
        </w:rPr>
        <w:t xml:space="preserve"> </w:t>
      </w:r>
      <w:r>
        <w:t>a</w:t>
      </w:r>
      <w:r>
        <w:rPr>
          <w:spacing w:val="-2"/>
        </w:rPr>
        <w:t xml:space="preserve"> </w:t>
      </w:r>
      <w:r>
        <w:t>baseball</w:t>
      </w:r>
      <w:r>
        <w:rPr>
          <w:spacing w:val="-2"/>
        </w:rPr>
        <w:t xml:space="preserve"> </w:t>
      </w:r>
      <w:r>
        <w:t>game</w:t>
      </w:r>
      <w:r>
        <w:rPr>
          <w:spacing w:val="-4"/>
        </w:rPr>
        <w:t xml:space="preserve"> </w:t>
      </w:r>
      <w:r>
        <w:t>with</w:t>
      </w:r>
      <w:r>
        <w:rPr>
          <w:spacing w:val="-3"/>
        </w:rPr>
        <w:t xml:space="preserve"> </w:t>
      </w:r>
      <w:r>
        <w:t>her</w:t>
      </w:r>
      <w:r>
        <w:rPr>
          <w:spacing w:val="-2"/>
        </w:rPr>
        <w:t xml:space="preserve"> </w:t>
      </w:r>
      <w:r>
        <w:t>son</w:t>
      </w:r>
      <w:r>
        <w:rPr>
          <w:spacing w:val="-5"/>
        </w:rPr>
        <w:t xml:space="preserve"> </w:t>
      </w:r>
      <w:r>
        <w:t>to</w:t>
      </w:r>
      <w:r>
        <w:rPr>
          <w:spacing w:val="-1"/>
        </w:rPr>
        <w:t xml:space="preserve"> </w:t>
      </w:r>
      <w:r>
        <w:t>celebrate</w:t>
      </w:r>
      <w:r>
        <w:rPr>
          <w:spacing w:val="-4"/>
        </w:rPr>
        <w:t xml:space="preserve"> </w:t>
      </w:r>
      <w:r>
        <w:t>a</w:t>
      </w:r>
      <w:r>
        <w:rPr>
          <w:spacing w:val="-4"/>
        </w:rPr>
        <w:t xml:space="preserve"> </w:t>
      </w:r>
      <w:r>
        <w:t>month</w:t>
      </w:r>
      <w:r>
        <w:rPr>
          <w:spacing w:val="-5"/>
        </w:rPr>
        <w:t xml:space="preserve"> </w:t>
      </w:r>
      <w:r>
        <w:t xml:space="preserve">of </w:t>
      </w:r>
      <w:r>
        <w:rPr>
          <w:spacing w:val="-2"/>
        </w:rPr>
        <w:t>abstinence.</w:t>
      </w:r>
    </w:p>
    <w:p w14:paraId="56649743" w14:textId="77777777" w:rsidR="00DB6E1F" w:rsidRDefault="00F666A6">
      <w:pPr>
        <w:pStyle w:val="ListParagraph"/>
        <w:numPr>
          <w:ilvl w:val="1"/>
          <w:numId w:val="92"/>
        </w:numPr>
        <w:tabs>
          <w:tab w:val="left" w:pos="2158"/>
          <w:tab w:val="left" w:pos="2159"/>
        </w:tabs>
        <w:ind w:left="2158" w:hanging="361"/>
      </w:pPr>
      <w:r>
        <w:t>One</w:t>
      </w:r>
      <w:r>
        <w:rPr>
          <w:spacing w:val="-4"/>
        </w:rPr>
        <w:t xml:space="preserve"> </w:t>
      </w:r>
      <w:r>
        <w:t>client</w:t>
      </w:r>
      <w:r>
        <w:rPr>
          <w:spacing w:val="-6"/>
        </w:rPr>
        <w:t xml:space="preserve"> </w:t>
      </w:r>
      <w:r>
        <w:t>might</w:t>
      </w:r>
      <w:r>
        <w:rPr>
          <w:spacing w:val="-1"/>
        </w:rPr>
        <w:t xml:space="preserve"> </w:t>
      </w:r>
      <w:r>
        <w:t>go</w:t>
      </w:r>
      <w:r>
        <w:rPr>
          <w:spacing w:val="-4"/>
        </w:rPr>
        <w:t xml:space="preserve"> </w:t>
      </w:r>
      <w:r>
        <w:t>out</w:t>
      </w:r>
      <w:r>
        <w:rPr>
          <w:spacing w:val="-4"/>
        </w:rPr>
        <w:t xml:space="preserve"> </w:t>
      </w:r>
      <w:r>
        <w:t>to</w:t>
      </w:r>
      <w:r>
        <w:rPr>
          <w:spacing w:val="-3"/>
        </w:rPr>
        <w:t xml:space="preserve"> </w:t>
      </w:r>
      <w:r>
        <w:t>dinner</w:t>
      </w:r>
      <w:r>
        <w:rPr>
          <w:spacing w:val="-3"/>
        </w:rPr>
        <w:t xml:space="preserve"> </w:t>
      </w:r>
      <w:r>
        <w:t>with</w:t>
      </w:r>
      <w:r>
        <w:rPr>
          <w:spacing w:val="-3"/>
        </w:rPr>
        <w:t xml:space="preserve"> </w:t>
      </w:r>
      <w:r>
        <w:t>friends</w:t>
      </w:r>
      <w:r>
        <w:rPr>
          <w:spacing w:val="-4"/>
        </w:rPr>
        <w:t xml:space="preserve"> </w:t>
      </w:r>
      <w:r>
        <w:t>after</w:t>
      </w:r>
      <w:r>
        <w:rPr>
          <w:spacing w:val="-4"/>
        </w:rPr>
        <w:t xml:space="preserve"> </w:t>
      </w:r>
      <w:r>
        <w:t>attending</w:t>
      </w:r>
      <w:r>
        <w:rPr>
          <w:spacing w:val="-4"/>
        </w:rPr>
        <w:t xml:space="preserve"> </w:t>
      </w:r>
      <w:r>
        <w:t>his</w:t>
      </w:r>
      <w:r>
        <w:rPr>
          <w:spacing w:val="-2"/>
        </w:rPr>
        <w:t xml:space="preserve"> </w:t>
      </w:r>
      <w:r>
        <w:t>50th</w:t>
      </w:r>
      <w:r>
        <w:rPr>
          <w:spacing w:val="-3"/>
        </w:rPr>
        <w:t xml:space="preserve"> </w:t>
      </w:r>
      <w:r>
        <w:t>AA</w:t>
      </w:r>
      <w:r>
        <w:rPr>
          <w:spacing w:val="-5"/>
        </w:rPr>
        <w:t xml:space="preserve"> </w:t>
      </w:r>
      <w:r>
        <w:rPr>
          <w:spacing w:val="-2"/>
        </w:rPr>
        <w:t>meeting.</w:t>
      </w:r>
    </w:p>
    <w:p w14:paraId="6C0BD608" w14:textId="77777777" w:rsidR="00DB6E1F" w:rsidRDefault="00F666A6">
      <w:pPr>
        <w:pStyle w:val="ListParagraph"/>
        <w:numPr>
          <w:ilvl w:val="1"/>
          <w:numId w:val="92"/>
        </w:numPr>
        <w:tabs>
          <w:tab w:val="left" w:pos="2158"/>
          <w:tab w:val="left" w:pos="2159"/>
        </w:tabs>
        <w:ind w:left="2158"/>
      </w:pPr>
      <w:r>
        <w:t>Another</w:t>
      </w:r>
      <w:r>
        <w:rPr>
          <w:spacing w:val="-5"/>
        </w:rPr>
        <w:t xml:space="preserve"> </w:t>
      </w:r>
      <w:r>
        <w:t>client</w:t>
      </w:r>
      <w:r>
        <w:rPr>
          <w:spacing w:val="-5"/>
        </w:rPr>
        <w:t xml:space="preserve"> </w:t>
      </w:r>
      <w:r>
        <w:t>may</w:t>
      </w:r>
      <w:r>
        <w:rPr>
          <w:spacing w:val="-2"/>
        </w:rPr>
        <w:t xml:space="preserve"> </w:t>
      </w:r>
      <w:r>
        <w:t>light</w:t>
      </w:r>
      <w:r>
        <w:rPr>
          <w:spacing w:val="-1"/>
        </w:rPr>
        <w:t xml:space="preserve"> </w:t>
      </w:r>
      <w:r>
        <w:t>a</w:t>
      </w:r>
      <w:r>
        <w:rPr>
          <w:spacing w:val="-6"/>
        </w:rPr>
        <w:t xml:space="preserve"> </w:t>
      </w:r>
      <w:r>
        <w:t>candle</w:t>
      </w:r>
      <w:r>
        <w:rPr>
          <w:spacing w:val="-3"/>
        </w:rPr>
        <w:t xml:space="preserve"> </w:t>
      </w:r>
      <w:r>
        <w:t>at</w:t>
      </w:r>
      <w:r>
        <w:rPr>
          <w:spacing w:val="-1"/>
        </w:rPr>
        <w:t xml:space="preserve"> </w:t>
      </w:r>
      <w:r>
        <w:rPr>
          <w:spacing w:val="-2"/>
        </w:rPr>
        <w:t>church.</w:t>
      </w:r>
    </w:p>
    <w:p w14:paraId="1D1ED1F1" w14:textId="77777777" w:rsidR="00DB6E1F" w:rsidRDefault="00F666A6">
      <w:pPr>
        <w:pStyle w:val="ListParagraph"/>
        <w:numPr>
          <w:ilvl w:val="1"/>
          <w:numId w:val="92"/>
        </w:numPr>
        <w:tabs>
          <w:tab w:val="left" w:pos="2158"/>
          <w:tab w:val="left" w:pos="2159"/>
        </w:tabs>
        <w:ind w:left="2158" w:right="2029"/>
      </w:pPr>
      <w:r>
        <w:t>Still</w:t>
      </w:r>
      <w:r>
        <w:rPr>
          <w:spacing w:val="-2"/>
        </w:rPr>
        <w:t xml:space="preserve"> </w:t>
      </w:r>
      <w:r>
        <w:t>another</w:t>
      </w:r>
      <w:r>
        <w:rPr>
          <w:spacing w:val="-4"/>
        </w:rPr>
        <w:t xml:space="preserve"> </w:t>
      </w:r>
      <w:r>
        <w:t>client</w:t>
      </w:r>
      <w:r>
        <w:rPr>
          <w:spacing w:val="-4"/>
        </w:rPr>
        <w:t xml:space="preserve"> </w:t>
      </w:r>
      <w:r>
        <w:t>might</w:t>
      </w:r>
      <w:r>
        <w:rPr>
          <w:spacing w:val="-4"/>
        </w:rPr>
        <w:t xml:space="preserve"> </w:t>
      </w:r>
      <w:r>
        <w:t>hike</w:t>
      </w:r>
      <w:r>
        <w:rPr>
          <w:spacing w:val="-1"/>
        </w:rPr>
        <w:t xml:space="preserve"> </w:t>
      </w:r>
      <w:r>
        <w:t>to</w:t>
      </w:r>
      <w:r>
        <w:rPr>
          <w:spacing w:val="-3"/>
        </w:rPr>
        <w:t xml:space="preserve"> </w:t>
      </w:r>
      <w:r>
        <w:t>the</w:t>
      </w:r>
      <w:r>
        <w:rPr>
          <w:spacing w:val="-1"/>
        </w:rPr>
        <w:t xml:space="preserve"> </w:t>
      </w:r>
      <w:r>
        <w:t>top</w:t>
      </w:r>
      <w:r>
        <w:rPr>
          <w:spacing w:val="-5"/>
        </w:rPr>
        <w:t xml:space="preserve"> </w:t>
      </w:r>
      <w:r>
        <w:t>of</w:t>
      </w:r>
      <w:r>
        <w:rPr>
          <w:spacing w:val="-2"/>
        </w:rPr>
        <w:t xml:space="preserve"> </w:t>
      </w:r>
      <w:r>
        <w:t>a</w:t>
      </w:r>
      <w:r>
        <w:rPr>
          <w:spacing w:val="-2"/>
        </w:rPr>
        <w:t xml:space="preserve"> </w:t>
      </w:r>
      <w:r>
        <w:t>nearby</w:t>
      </w:r>
      <w:r>
        <w:rPr>
          <w:spacing w:val="-3"/>
        </w:rPr>
        <w:t xml:space="preserve"> </w:t>
      </w:r>
      <w:r>
        <w:t>mountain</w:t>
      </w:r>
      <w:r>
        <w:rPr>
          <w:spacing w:val="-3"/>
        </w:rPr>
        <w:t xml:space="preserve"> </w:t>
      </w:r>
      <w:r>
        <w:t>to</w:t>
      </w:r>
      <w:r>
        <w:rPr>
          <w:spacing w:val="-3"/>
        </w:rPr>
        <w:t xml:space="preserve"> </w:t>
      </w:r>
      <w:r>
        <w:t>mark</w:t>
      </w:r>
      <w:r>
        <w:rPr>
          <w:spacing w:val="-4"/>
        </w:rPr>
        <w:t xml:space="preserve"> </w:t>
      </w:r>
      <w:r>
        <w:t>an</w:t>
      </w:r>
      <w:r>
        <w:rPr>
          <w:spacing w:val="-3"/>
        </w:rPr>
        <w:t xml:space="preserve"> </w:t>
      </w:r>
      <w:r>
        <w:t>improvement</w:t>
      </w:r>
      <w:r>
        <w:rPr>
          <w:spacing w:val="-1"/>
        </w:rPr>
        <w:t xml:space="preserve"> </w:t>
      </w:r>
      <w:r>
        <w:t>in energy and health.</w:t>
      </w:r>
    </w:p>
    <w:p w14:paraId="4268C6B8" w14:textId="77777777" w:rsidR="00DB6E1F" w:rsidRDefault="00F666A6">
      <w:pPr>
        <w:pStyle w:val="Heading3"/>
        <w:spacing w:before="65"/>
      </w:pPr>
      <w:bookmarkStart w:id="177" w:name="Explore_and_Lower_Barriers_to_Action"/>
      <w:bookmarkEnd w:id="177"/>
      <w:r>
        <w:t>Explore</w:t>
      </w:r>
      <w:r>
        <w:rPr>
          <w:spacing w:val="-6"/>
        </w:rPr>
        <w:t xml:space="preserve"> </w:t>
      </w:r>
      <w:r>
        <w:t>and</w:t>
      </w:r>
      <w:r>
        <w:rPr>
          <w:spacing w:val="-8"/>
        </w:rPr>
        <w:t xml:space="preserve"> </w:t>
      </w:r>
      <w:r>
        <w:t>Lower</w:t>
      </w:r>
      <w:r>
        <w:rPr>
          <w:spacing w:val="-6"/>
        </w:rPr>
        <w:t xml:space="preserve"> </w:t>
      </w:r>
      <w:r>
        <w:t>Barriers</w:t>
      </w:r>
      <w:r>
        <w:rPr>
          <w:spacing w:val="-5"/>
        </w:rPr>
        <w:t xml:space="preserve"> </w:t>
      </w:r>
      <w:r>
        <w:t>to</w:t>
      </w:r>
      <w:r>
        <w:rPr>
          <w:spacing w:val="-5"/>
        </w:rPr>
        <w:t xml:space="preserve"> </w:t>
      </w:r>
      <w:r>
        <w:rPr>
          <w:spacing w:val="-2"/>
        </w:rPr>
        <w:t>Action</w:t>
      </w:r>
    </w:p>
    <w:p w14:paraId="489C5536" w14:textId="77777777" w:rsidR="00DB6E1F" w:rsidRDefault="00F666A6">
      <w:pPr>
        <w:spacing w:before="141"/>
        <w:ind w:left="1440" w:right="1491"/>
      </w:pPr>
      <w:r>
        <w:rPr>
          <w:b/>
        </w:rPr>
        <w:t>One</w:t>
      </w:r>
      <w:r>
        <w:rPr>
          <w:b/>
          <w:spacing w:val="-3"/>
        </w:rPr>
        <w:t xml:space="preserve"> </w:t>
      </w:r>
      <w:r>
        <w:rPr>
          <w:b/>
        </w:rPr>
        <w:t>category</w:t>
      </w:r>
      <w:r>
        <w:rPr>
          <w:b/>
          <w:spacing w:val="-1"/>
        </w:rPr>
        <w:t xml:space="preserve"> </w:t>
      </w:r>
      <w:r>
        <w:rPr>
          <w:b/>
        </w:rPr>
        <w:t>in</w:t>
      </w:r>
      <w:r>
        <w:rPr>
          <w:b/>
          <w:spacing w:val="-5"/>
        </w:rPr>
        <w:t xml:space="preserve"> </w:t>
      </w:r>
      <w:r>
        <w:rPr>
          <w:b/>
        </w:rPr>
        <w:t>the</w:t>
      </w:r>
      <w:r>
        <w:rPr>
          <w:b/>
          <w:spacing w:val="-3"/>
        </w:rPr>
        <w:t xml:space="preserve"> </w:t>
      </w:r>
      <w:r>
        <w:rPr>
          <w:b/>
        </w:rPr>
        <w:t>Change</w:t>
      </w:r>
      <w:r>
        <w:rPr>
          <w:b/>
          <w:spacing w:val="-3"/>
        </w:rPr>
        <w:t xml:space="preserve"> </w:t>
      </w:r>
      <w:r>
        <w:rPr>
          <w:b/>
        </w:rPr>
        <w:t>Plan</w:t>
      </w:r>
      <w:r>
        <w:rPr>
          <w:b/>
          <w:spacing w:val="-3"/>
        </w:rPr>
        <w:t xml:space="preserve"> </w:t>
      </w:r>
      <w:r>
        <w:rPr>
          <w:b/>
        </w:rPr>
        <w:t>Worksheet</w:t>
      </w:r>
      <w:r>
        <w:rPr>
          <w:b/>
          <w:spacing w:val="-4"/>
        </w:rPr>
        <w:t xml:space="preserve"> </w:t>
      </w:r>
      <w:r>
        <w:rPr>
          <w:b/>
        </w:rPr>
        <w:t>in</w:t>
      </w:r>
      <w:r>
        <w:rPr>
          <w:b/>
          <w:spacing w:val="-3"/>
        </w:rPr>
        <w:t xml:space="preserve"> </w:t>
      </w:r>
      <w:r>
        <w:rPr>
          <w:b/>
        </w:rPr>
        <w:t>Exhibit</w:t>
      </w:r>
      <w:r>
        <w:rPr>
          <w:b/>
          <w:spacing w:val="-1"/>
        </w:rPr>
        <w:t xml:space="preserve"> </w:t>
      </w:r>
      <w:r>
        <w:rPr>
          <w:b/>
        </w:rPr>
        <w:t>6.3</w:t>
      </w:r>
      <w:r>
        <w:rPr>
          <w:b/>
          <w:spacing w:val="-1"/>
        </w:rPr>
        <w:t xml:space="preserve"> </w:t>
      </w:r>
      <w:r>
        <w:rPr>
          <w:b/>
        </w:rPr>
        <w:t>addresses</w:t>
      </w:r>
      <w:r>
        <w:rPr>
          <w:b/>
          <w:spacing w:val="-1"/>
        </w:rPr>
        <w:t xml:space="preserve"> </w:t>
      </w:r>
      <w:r>
        <w:rPr>
          <w:b/>
        </w:rPr>
        <w:t>possible</w:t>
      </w:r>
      <w:r>
        <w:rPr>
          <w:b/>
          <w:spacing w:val="-3"/>
        </w:rPr>
        <w:t xml:space="preserve"> </w:t>
      </w:r>
      <w:r>
        <w:rPr>
          <w:b/>
        </w:rPr>
        <w:t>obstacles</w:t>
      </w:r>
      <w:r>
        <w:rPr>
          <w:b/>
          <w:spacing w:val="-1"/>
        </w:rPr>
        <w:t xml:space="preserve"> </w:t>
      </w:r>
      <w:r>
        <w:rPr>
          <w:b/>
        </w:rPr>
        <w:t>to</w:t>
      </w:r>
      <w:r>
        <w:rPr>
          <w:b/>
          <w:spacing w:val="-5"/>
        </w:rPr>
        <w:t xml:space="preserve"> </w:t>
      </w:r>
      <w:r>
        <w:rPr>
          <w:b/>
        </w:rPr>
        <w:t>change</w:t>
      </w:r>
      <w:r>
        <w:rPr>
          <w:b/>
          <w:spacing w:val="-3"/>
        </w:rPr>
        <w:t xml:space="preserve"> </w:t>
      </w:r>
      <w:r>
        <w:rPr>
          <w:b/>
        </w:rPr>
        <w:t xml:space="preserve">and ways to handle them. </w:t>
      </w:r>
      <w:r>
        <w:t>Identifying barriers to action is an important part of the chang</w:t>
      </w:r>
      <w:r>
        <w:t>e plan. Potential roadblocks to taking action on change goals might include:</w:t>
      </w:r>
    </w:p>
    <w:p w14:paraId="307DE6B0" w14:textId="77777777" w:rsidR="00DB6E1F" w:rsidRDefault="00F666A6">
      <w:pPr>
        <w:pStyle w:val="ListParagraph"/>
        <w:numPr>
          <w:ilvl w:val="0"/>
          <w:numId w:val="92"/>
        </w:numPr>
        <w:tabs>
          <w:tab w:val="left" w:pos="1800"/>
          <w:tab w:val="left" w:pos="1801"/>
        </w:tabs>
        <w:spacing w:before="61"/>
        <w:ind w:left="1800"/>
        <w:rPr>
          <w:rFonts w:ascii="Symbol" w:hAnsi="Symbol"/>
        </w:rPr>
      </w:pPr>
      <w:r>
        <w:t>A</w:t>
      </w:r>
      <w:r>
        <w:rPr>
          <w:spacing w:val="-4"/>
        </w:rPr>
        <w:t xml:space="preserve"> </w:t>
      </w:r>
      <w:r>
        <w:t>lack</w:t>
      </w:r>
      <w:r>
        <w:rPr>
          <w:spacing w:val="-6"/>
        </w:rPr>
        <w:t xml:space="preserve"> </w:t>
      </w:r>
      <w:r>
        <w:t>of</w:t>
      </w:r>
      <w:r>
        <w:rPr>
          <w:spacing w:val="-4"/>
        </w:rPr>
        <w:t xml:space="preserve"> </w:t>
      </w:r>
      <w:r>
        <w:t>non-substance‒using</w:t>
      </w:r>
      <w:r>
        <w:rPr>
          <w:spacing w:val="-5"/>
        </w:rPr>
        <w:t xml:space="preserve"> </w:t>
      </w:r>
      <w:r>
        <w:t>social</w:t>
      </w:r>
      <w:r>
        <w:rPr>
          <w:spacing w:val="-3"/>
        </w:rPr>
        <w:t xml:space="preserve"> </w:t>
      </w:r>
      <w:r>
        <w:rPr>
          <w:spacing w:val="-2"/>
        </w:rPr>
        <w:t>supports.</w:t>
      </w:r>
    </w:p>
    <w:p w14:paraId="6907C141" w14:textId="77777777" w:rsidR="00DB6E1F" w:rsidRDefault="00F666A6">
      <w:pPr>
        <w:pStyle w:val="ListParagraph"/>
        <w:numPr>
          <w:ilvl w:val="0"/>
          <w:numId w:val="92"/>
        </w:numPr>
        <w:tabs>
          <w:tab w:val="left" w:pos="1800"/>
          <w:tab w:val="left" w:pos="1801"/>
        </w:tabs>
        <w:ind w:left="1800"/>
        <w:rPr>
          <w:rFonts w:ascii="Symbol" w:hAnsi="Symbol"/>
        </w:rPr>
      </w:pPr>
      <w:r>
        <w:t>Unsupportive</w:t>
      </w:r>
      <w:r>
        <w:rPr>
          <w:spacing w:val="-6"/>
        </w:rPr>
        <w:t xml:space="preserve"> </w:t>
      </w:r>
      <w:r>
        <w:t>family</w:t>
      </w:r>
      <w:r>
        <w:rPr>
          <w:spacing w:val="-7"/>
        </w:rPr>
        <w:t xml:space="preserve"> </w:t>
      </w:r>
      <w:r>
        <w:rPr>
          <w:spacing w:val="-2"/>
        </w:rPr>
        <w:t>members.</w:t>
      </w:r>
    </w:p>
    <w:p w14:paraId="698DDA37" w14:textId="77777777" w:rsidR="00DB6E1F" w:rsidRDefault="00F666A6">
      <w:pPr>
        <w:pStyle w:val="ListParagraph"/>
        <w:numPr>
          <w:ilvl w:val="0"/>
          <w:numId w:val="92"/>
        </w:numPr>
        <w:tabs>
          <w:tab w:val="left" w:pos="1800"/>
          <w:tab w:val="left" w:pos="1801"/>
        </w:tabs>
        <w:ind w:left="1800"/>
        <w:rPr>
          <w:rFonts w:ascii="Symbol" w:hAnsi="Symbol"/>
        </w:rPr>
      </w:pPr>
      <w:r>
        <w:t>Co-occurring</w:t>
      </w:r>
      <w:r>
        <w:rPr>
          <w:spacing w:val="-5"/>
        </w:rPr>
        <w:t xml:space="preserve"> </w:t>
      </w:r>
      <w:r>
        <w:t>medical</w:t>
      </w:r>
      <w:r>
        <w:rPr>
          <w:spacing w:val="-6"/>
        </w:rPr>
        <w:t xml:space="preserve"> </w:t>
      </w:r>
      <w:r>
        <w:t>or</w:t>
      </w:r>
      <w:r>
        <w:rPr>
          <w:spacing w:val="-7"/>
        </w:rPr>
        <w:t xml:space="preserve"> </w:t>
      </w:r>
      <w:r>
        <w:t>mental</w:t>
      </w:r>
      <w:r>
        <w:rPr>
          <w:spacing w:val="-4"/>
        </w:rPr>
        <w:t xml:space="preserve"> </w:t>
      </w:r>
      <w:r>
        <w:rPr>
          <w:spacing w:val="-2"/>
        </w:rPr>
        <w:t>disorders.</w:t>
      </w:r>
    </w:p>
    <w:p w14:paraId="01F956A3" w14:textId="77777777" w:rsidR="00DB6E1F" w:rsidRDefault="00F666A6">
      <w:pPr>
        <w:pStyle w:val="ListParagraph"/>
        <w:numPr>
          <w:ilvl w:val="0"/>
          <w:numId w:val="92"/>
        </w:numPr>
        <w:tabs>
          <w:tab w:val="left" w:pos="1799"/>
          <w:tab w:val="left" w:pos="1800"/>
        </w:tabs>
        <w:spacing w:before="61"/>
        <w:ind w:left="1799"/>
        <w:rPr>
          <w:rFonts w:ascii="Symbol" w:hAnsi="Symbol"/>
        </w:rPr>
      </w:pPr>
      <w:r>
        <w:t>Distressing</w:t>
      </w:r>
      <w:r>
        <w:rPr>
          <w:spacing w:val="-9"/>
        </w:rPr>
        <w:t xml:space="preserve"> </w:t>
      </w:r>
      <w:r>
        <w:t>side</w:t>
      </w:r>
      <w:r>
        <w:rPr>
          <w:spacing w:val="-7"/>
        </w:rPr>
        <w:t xml:space="preserve"> </w:t>
      </w:r>
      <w:r>
        <w:t>effects</w:t>
      </w:r>
      <w:r>
        <w:rPr>
          <w:spacing w:val="-6"/>
        </w:rPr>
        <w:t xml:space="preserve"> </w:t>
      </w:r>
      <w:r>
        <w:t>from</w:t>
      </w:r>
      <w:r>
        <w:rPr>
          <w:spacing w:val="-7"/>
        </w:rPr>
        <w:t xml:space="preserve"> </w:t>
      </w:r>
      <w:r>
        <w:t>medication-assisted</w:t>
      </w:r>
      <w:r>
        <w:rPr>
          <w:spacing w:val="-9"/>
        </w:rPr>
        <w:t xml:space="preserve"> </w:t>
      </w:r>
      <w:r>
        <w:t>treatment</w:t>
      </w:r>
      <w:r>
        <w:rPr>
          <w:spacing w:val="-8"/>
        </w:rPr>
        <w:t xml:space="preserve"> </w:t>
      </w:r>
      <w:r>
        <w:t>or</w:t>
      </w:r>
      <w:r>
        <w:rPr>
          <w:spacing w:val="-6"/>
        </w:rPr>
        <w:t xml:space="preserve"> </w:t>
      </w:r>
      <w:r>
        <w:t>psychiatric</w:t>
      </w:r>
      <w:r>
        <w:rPr>
          <w:spacing w:val="-7"/>
        </w:rPr>
        <w:t xml:space="preserve"> </w:t>
      </w:r>
      <w:r>
        <w:rPr>
          <w:spacing w:val="-2"/>
        </w:rPr>
        <w:t>medications.</w:t>
      </w:r>
    </w:p>
    <w:p w14:paraId="557D58D8" w14:textId="77777777" w:rsidR="00DB6E1F" w:rsidRDefault="00DB6E1F">
      <w:pPr>
        <w:rPr>
          <w:rFonts w:ascii="Symbol" w:hAnsi="Symbol"/>
        </w:rPr>
        <w:sectPr w:rsidR="00DB6E1F">
          <w:pgSz w:w="12240" w:h="15840"/>
          <w:pgMar w:top="1200" w:right="0" w:bottom="780" w:left="0" w:header="763" w:footer="585" w:gutter="0"/>
          <w:cols w:space="720"/>
        </w:sectPr>
      </w:pPr>
    </w:p>
    <w:p w14:paraId="44C64810" w14:textId="77777777" w:rsidR="00DB6E1F" w:rsidRDefault="00DB6E1F">
      <w:pPr>
        <w:pStyle w:val="BodyText"/>
        <w:rPr>
          <w:sz w:val="11"/>
        </w:rPr>
      </w:pPr>
    </w:p>
    <w:p w14:paraId="05C76662" w14:textId="77777777" w:rsidR="00DB6E1F" w:rsidRDefault="00F666A6">
      <w:pPr>
        <w:pStyle w:val="ListParagraph"/>
        <w:numPr>
          <w:ilvl w:val="0"/>
          <w:numId w:val="92"/>
        </w:numPr>
        <w:tabs>
          <w:tab w:val="left" w:pos="1800"/>
          <w:tab w:val="left" w:pos="1801"/>
        </w:tabs>
        <w:spacing w:before="101"/>
        <w:ind w:left="1800"/>
        <w:rPr>
          <w:rFonts w:ascii="Symbol" w:hAnsi="Symbol"/>
        </w:rPr>
      </w:pPr>
      <w:r>
        <w:t>Physical</w:t>
      </w:r>
      <w:r>
        <w:rPr>
          <w:spacing w:val="-7"/>
        </w:rPr>
        <w:t xml:space="preserve"> </w:t>
      </w:r>
      <w:r>
        <w:t>cravings</w:t>
      </w:r>
      <w:r>
        <w:rPr>
          <w:spacing w:val="-4"/>
        </w:rPr>
        <w:t xml:space="preserve"> </w:t>
      </w:r>
      <w:r>
        <w:t>or</w:t>
      </w:r>
      <w:r>
        <w:rPr>
          <w:spacing w:val="-7"/>
        </w:rPr>
        <w:t xml:space="preserve"> </w:t>
      </w:r>
      <w:r>
        <w:t>withdrawal</w:t>
      </w:r>
      <w:r>
        <w:rPr>
          <w:spacing w:val="-3"/>
        </w:rPr>
        <w:t xml:space="preserve"> </w:t>
      </w:r>
      <w:r>
        <w:rPr>
          <w:spacing w:val="-2"/>
        </w:rPr>
        <w:t>symptoms.</w:t>
      </w:r>
    </w:p>
    <w:p w14:paraId="4DAF658A" w14:textId="77777777" w:rsidR="00DB6E1F" w:rsidRDefault="00F666A6">
      <w:pPr>
        <w:pStyle w:val="ListParagraph"/>
        <w:numPr>
          <w:ilvl w:val="0"/>
          <w:numId w:val="92"/>
        </w:numPr>
        <w:tabs>
          <w:tab w:val="left" w:pos="1800"/>
          <w:tab w:val="left" w:pos="1801"/>
        </w:tabs>
        <w:ind w:left="1800"/>
        <w:rPr>
          <w:rFonts w:ascii="Symbol" w:hAnsi="Symbol"/>
        </w:rPr>
      </w:pPr>
      <w:r>
        <w:t>Legal</w:t>
      </w:r>
      <w:r>
        <w:rPr>
          <w:spacing w:val="-5"/>
        </w:rPr>
        <w:t xml:space="preserve"> </w:t>
      </w:r>
      <w:r>
        <w:t>issues,</w:t>
      </w:r>
      <w:r>
        <w:rPr>
          <w:spacing w:val="-6"/>
        </w:rPr>
        <w:t xml:space="preserve"> </w:t>
      </w:r>
      <w:r>
        <w:t>money-related</w:t>
      </w:r>
      <w:r>
        <w:rPr>
          <w:spacing w:val="-5"/>
        </w:rPr>
        <w:t xml:space="preserve"> </w:t>
      </w:r>
      <w:r>
        <w:t>problems,</w:t>
      </w:r>
      <w:r>
        <w:rPr>
          <w:spacing w:val="-6"/>
        </w:rPr>
        <w:t xml:space="preserve"> </w:t>
      </w:r>
      <w:r>
        <w:t>or</w:t>
      </w:r>
      <w:r>
        <w:rPr>
          <w:spacing w:val="-4"/>
        </w:rPr>
        <w:t xml:space="preserve"> both.</w:t>
      </w:r>
    </w:p>
    <w:p w14:paraId="5CD731DA" w14:textId="77777777" w:rsidR="00DB6E1F" w:rsidRDefault="00F666A6">
      <w:pPr>
        <w:pStyle w:val="ListParagraph"/>
        <w:numPr>
          <w:ilvl w:val="0"/>
          <w:numId w:val="92"/>
        </w:numPr>
        <w:tabs>
          <w:tab w:val="left" w:pos="1800"/>
          <w:tab w:val="left" w:pos="1801"/>
        </w:tabs>
        <w:spacing w:before="61"/>
        <w:ind w:left="1800"/>
        <w:rPr>
          <w:rFonts w:ascii="Symbol" w:hAnsi="Symbol"/>
        </w:rPr>
      </w:pPr>
      <w:r>
        <w:t>Lack</w:t>
      </w:r>
      <w:r>
        <w:rPr>
          <w:spacing w:val="-3"/>
        </w:rPr>
        <w:t xml:space="preserve"> </w:t>
      </w:r>
      <w:r>
        <w:t>of</w:t>
      </w:r>
      <w:r>
        <w:rPr>
          <w:spacing w:val="-4"/>
        </w:rPr>
        <w:t xml:space="preserve"> </w:t>
      </w:r>
      <w:r>
        <w:t>child</w:t>
      </w:r>
      <w:r>
        <w:rPr>
          <w:spacing w:val="-2"/>
        </w:rPr>
        <w:t xml:space="preserve"> care.</w:t>
      </w:r>
    </w:p>
    <w:p w14:paraId="46A0666A" w14:textId="77777777" w:rsidR="00DB6E1F" w:rsidRDefault="00F666A6">
      <w:pPr>
        <w:pStyle w:val="ListParagraph"/>
        <w:numPr>
          <w:ilvl w:val="0"/>
          <w:numId w:val="92"/>
        </w:numPr>
        <w:tabs>
          <w:tab w:val="left" w:pos="1800"/>
          <w:tab w:val="left" w:pos="1801"/>
        </w:tabs>
        <w:spacing w:before="58"/>
        <w:ind w:left="1800"/>
        <w:rPr>
          <w:rFonts w:ascii="Symbol" w:hAnsi="Symbol"/>
        </w:rPr>
      </w:pPr>
      <w:r>
        <w:t>Transportation</w:t>
      </w:r>
      <w:r>
        <w:rPr>
          <w:spacing w:val="-9"/>
        </w:rPr>
        <w:t xml:space="preserve"> </w:t>
      </w:r>
      <w:r>
        <w:rPr>
          <w:spacing w:val="-2"/>
        </w:rPr>
        <w:t>issues.</w:t>
      </w:r>
    </w:p>
    <w:p w14:paraId="1285D1C5" w14:textId="77777777" w:rsidR="00DB6E1F" w:rsidRDefault="00F666A6">
      <w:pPr>
        <w:pStyle w:val="ListParagraph"/>
        <w:numPr>
          <w:ilvl w:val="0"/>
          <w:numId w:val="92"/>
        </w:numPr>
        <w:tabs>
          <w:tab w:val="left" w:pos="1800"/>
          <w:tab w:val="left" w:pos="1801"/>
        </w:tabs>
        <w:spacing w:before="58"/>
        <w:ind w:left="1800"/>
        <w:rPr>
          <w:rFonts w:ascii="Symbol" w:hAnsi="Symbol"/>
        </w:rPr>
      </w:pPr>
      <w:r>
        <w:t>A</w:t>
      </w:r>
      <w:r>
        <w:rPr>
          <w:spacing w:val="-6"/>
        </w:rPr>
        <w:t xml:space="preserve"> </w:t>
      </w:r>
      <w:r>
        <w:t>lack</w:t>
      </w:r>
      <w:r>
        <w:rPr>
          <w:spacing w:val="-5"/>
        </w:rPr>
        <w:t xml:space="preserve"> </w:t>
      </w:r>
      <w:r>
        <w:t>of</w:t>
      </w:r>
      <w:r>
        <w:rPr>
          <w:spacing w:val="-3"/>
        </w:rPr>
        <w:t xml:space="preserve"> </w:t>
      </w:r>
      <w:r>
        <w:t>cultural</w:t>
      </w:r>
      <w:r>
        <w:rPr>
          <w:spacing w:val="-6"/>
        </w:rPr>
        <w:t xml:space="preserve"> </w:t>
      </w:r>
      <w:r>
        <w:t>responsiveness</w:t>
      </w:r>
      <w:r>
        <w:rPr>
          <w:spacing w:val="-5"/>
        </w:rPr>
        <w:t xml:space="preserve"> </w:t>
      </w:r>
      <w:r>
        <w:t>of</w:t>
      </w:r>
      <w:r>
        <w:rPr>
          <w:spacing w:val="-4"/>
        </w:rPr>
        <w:t xml:space="preserve"> </w:t>
      </w:r>
      <w:r>
        <w:t>some</w:t>
      </w:r>
      <w:r>
        <w:rPr>
          <w:spacing w:val="-2"/>
        </w:rPr>
        <w:t xml:space="preserve"> </w:t>
      </w:r>
      <w:r>
        <w:t>agencies,</w:t>
      </w:r>
      <w:r>
        <w:rPr>
          <w:spacing w:val="-5"/>
        </w:rPr>
        <w:t xml:space="preserve"> </w:t>
      </w:r>
      <w:r>
        <w:t>programs,</w:t>
      </w:r>
      <w:r>
        <w:rPr>
          <w:spacing w:val="-5"/>
        </w:rPr>
        <w:t xml:space="preserve"> </w:t>
      </w:r>
      <w:r>
        <w:t>or</w:t>
      </w:r>
      <w:r>
        <w:rPr>
          <w:spacing w:val="-3"/>
        </w:rPr>
        <w:t xml:space="preserve"> </w:t>
      </w:r>
      <w:r>
        <w:rPr>
          <w:spacing w:val="-2"/>
        </w:rPr>
        <w:t>services.</w:t>
      </w:r>
    </w:p>
    <w:p w14:paraId="32CD1D34" w14:textId="77777777" w:rsidR="00DB6E1F" w:rsidRDefault="00F666A6">
      <w:pPr>
        <w:spacing w:before="161"/>
        <w:ind w:left="1440" w:right="1491"/>
      </w:pPr>
      <w:r>
        <w:t>Clients</w:t>
      </w:r>
      <w:r>
        <w:rPr>
          <w:spacing w:val="-2"/>
        </w:rPr>
        <w:t xml:space="preserve"> </w:t>
      </w:r>
      <w:r>
        <w:t>can</w:t>
      </w:r>
      <w:r>
        <w:rPr>
          <w:spacing w:val="-3"/>
        </w:rPr>
        <w:t xml:space="preserve"> </w:t>
      </w:r>
      <w:r>
        <w:t>predict</w:t>
      </w:r>
      <w:r>
        <w:rPr>
          <w:spacing w:val="-2"/>
        </w:rPr>
        <w:t xml:space="preserve"> </w:t>
      </w:r>
      <w:r>
        <w:t>some</w:t>
      </w:r>
      <w:r>
        <w:rPr>
          <w:spacing w:val="-4"/>
        </w:rPr>
        <w:t xml:space="preserve"> </w:t>
      </w:r>
      <w:r>
        <w:t>barriers</w:t>
      </w:r>
      <w:r>
        <w:rPr>
          <w:spacing w:val="-2"/>
        </w:rPr>
        <w:t xml:space="preserve"> </w:t>
      </w:r>
      <w:r>
        <w:t>better</w:t>
      </w:r>
      <w:r>
        <w:rPr>
          <w:spacing w:val="-4"/>
        </w:rPr>
        <w:t xml:space="preserve"> </w:t>
      </w:r>
      <w:r>
        <w:t>than</w:t>
      </w:r>
      <w:r>
        <w:rPr>
          <w:spacing w:val="-3"/>
        </w:rPr>
        <w:t xml:space="preserve"> </w:t>
      </w:r>
      <w:r>
        <w:t>you</w:t>
      </w:r>
      <w:r>
        <w:rPr>
          <w:spacing w:val="-3"/>
        </w:rPr>
        <w:t xml:space="preserve"> </w:t>
      </w:r>
      <w:r>
        <w:t>can,</w:t>
      </w:r>
      <w:r>
        <w:rPr>
          <w:spacing w:val="-2"/>
        </w:rPr>
        <w:t xml:space="preserve"> </w:t>
      </w:r>
      <w:r>
        <w:t xml:space="preserve">so </w:t>
      </w:r>
      <w:r>
        <w:rPr>
          <w:b/>
        </w:rPr>
        <w:t>allow</w:t>
      </w:r>
      <w:r>
        <w:rPr>
          <w:b/>
          <w:spacing w:val="-3"/>
        </w:rPr>
        <w:t xml:space="preserve"> </w:t>
      </w:r>
      <w:r>
        <w:rPr>
          <w:b/>
        </w:rPr>
        <w:t>them</w:t>
      </w:r>
      <w:r>
        <w:rPr>
          <w:b/>
          <w:spacing w:val="-4"/>
        </w:rPr>
        <w:t xml:space="preserve"> </w:t>
      </w:r>
      <w:r>
        <w:rPr>
          <w:b/>
        </w:rPr>
        <w:t>to</w:t>
      </w:r>
      <w:r>
        <w:rPr>
          <w:b/>
          <w:spacing w:val="-3"/>
        </w:rPr>
        <w:t xml:space="preserve"> </w:t>
      </w:r>
      <w:r>
        <w:rPr>
          <w:b/>
        </w:rPr>
        <w:t>identify</w:t>
      </w:r>
      <w:r>
        <w:rPr>
          <w:b/>
          <w:spacing w:val="-3"/>
        </w:rPr>
        <w:t xml:space="preserve"> </w:t>
      </w:r>
      <w:r>
        <w:rPr>
          <w:b/>
        </w:rPr>
        <w:t>and</w:t>
      </w:r>
      <w:r>
        <w:rPr>
          <w:b/>
          <w:spacing w:val="-4"/>
        </w:rPr>
        <w:t xml:space="preserve"> </w:t>
      </w:r>
      <w:r>
        <w:rPr>
          <w:b/>
        </w:rPr>
        <w:t>discuss</w:t>
      </w:r>
      <w:r>
        <w:rPr>
          <w:b/>
          <w:spacing w:val="-1"/>
        </w:rPr>
        <w:t xml:space="preserve"> </w:t>
      </w:r>
      <w:r>
        <w:rPr>
          <w:b/>
        </w:rPr>
        <w:t xml:space="preserve">possible problems. </w:t>
      </w:r>
      <w:r>
        <w:t>Specifically:</w:t>
      </w:r>
    </w:p>
    <w:p w14:paraId="01E614EF" w14:textId="77777777" w:rsidR="00DB6E1F" w:rsidRDefault="00F666A6">
      <w:pPr>
        <w:pStyle w:val="ListParagraph"/>
        <w:numPr>
          <w:ilvl w:val="0"/>
          <w:numId w:val="92"/>
        </w:numPr>
        <w:tabs>
          <w:tab w:val="left" w:pos="1800"/>
          <w:tab w:val="left" w:pos="1801"/>
        </w:tabs>
        <w:spacing w:before="61"/>
        <w:ind w:left="1800"/>
        <w:rPr>
          <w:rFonts w:ascii="Symbol" w:hAnsi="Symbol"/>
        </w:rPr>
      </w:pPr>
      <w:r>
        <w:t>Do</w:t>
      </w:r>
      <w:r>
        <w:rPr>
          <w:spacing w:val="-4"/>
        </w:rPr>
        <w:t xml:space="preserve"> </w:t>
      </w:r>
      <w:r>
        <w:t>not</w:t>
      </w:r>
      <w:r>
        <w:rPr>
          <w:spacing w:val="-5"/>
        </w:rPr>
        <w:t xml:space="preserve"> </w:t>
      </w:r>
      <w:r>
        <w:t>try</w:t>
      </w:r>
      <w:r>
        <w:rPr>
          <w:spacing w:val="-5"/>
        </w:rPr>
        <w:t xml:space="preserve"> </w:t>
      </w:r>
      <w:r>
        <w:t>to</w:t>
      </w:r>
      <w:r>
        <w:rPr>
          <w:spacing w:val="-1"/>
        </w:rPr>
        <w:t xml:space="preserve"> </w:t>
      </w:r>
      <w:r>
        <w:t>predict</w:t>
      </w:r>
      <w:r>
        <w:rPr>
          <w:spacing w:val="-3"/>
        </w:rPr>
        <w:t xml:space="preserve"> </w:t>
      </w:r>
      <w:r>
        <w:t>everything</w:t>
      </w:r>
      <w:r>
        <w:rPr>
          <w:spacing w:val="-3"/>
        </w:rPr>
        <w:t xml:space="preserve"> </w:t>
      </w:r>
      <w:r>
        <w:t>that</w:t>
      </w:r>
      <w:r>
        <w:rPr>
          <w:spacing w:val="-3"/>
        </w:rPr>
        <w:t xml:space="preserve"> </w:t>
      </w:r>
      <w:r>
        <w:t>could</w:t>
      </w:r>
      <w:r>
        <w:rPr>
          <w:spacing w:val="-4"/>
        </w:rPr>
        <w:t xml:space="preserve"> </w:t>
      </w:r>
      <w:r>
        <w:t>go</w:t>
      </w:r>
      <w:r>
        <w:rPr>
          <w:spacing w:val="-3"/>
        </w:rPr>
        <w:t xml:space="preserve"> </w:t>
      </w:r>
      <w:r>
        <w:rPr>
          <w:spacing w:val="-2"/>
        </w:rPr>
        <w:t>wrong.</w:t>
      </w:r>
    </w:p>
    <w:p w14:paraId="72BDBB69" w14:textId="77777777" w:rsidR="00DB6E1F" w:rsidRDefault="00F666A6">
      <w:pPr>
        <w:pStyle w:val="ListParagraph"/>
        <w:numPr>
          <w:ilvl w:val="0"/>
          <w:numId w:val="92"/>
        </w:numPr>
        <w:tabs>
          <w:tab w:val="left" w:pos="1800"/>
          <w:tab w:val="left" w:pos="1801"/>
        </w:tabs>
        <w:ind w:left="1800"/>
        <w:rPr>
          <w:rFonts w:ascii="Symbol" w:hAnsi="Symbol"/>
        </w:rPr>
      </w:pPr>
      <w:r>
        <w:t>Focus</w:t>
      </w:r>
      <w:r>
        <w:rPr>
          <w:spacing w:val="-7"/>
        </w:rPr>
        <w:t xml:space="preserve"> </w:t>
      </w:r>
      <w:r>
        <w:t>on</w:t>
      </w:r>
      <w:r>
        <w:rPr>
          <w:spacing w:val="-4"/>
        </w:rPr>
        <w:t xml:space="preserve"> </w:t>
      </w:r>
      <w:r>
        <w:t>events</w:t>
      </w:r>
      <w:r>
        <w:rPr>
          <w:spacing w:val="-5"/>
        </w:rPr>
        <w:t xml:space="preserve"> </w:t>
      </w:r>
      <w:r>
        <w:t>or</w:t>
      </w:r>
      <w:r>
        <w:rPr>
          <w:spacing w:val="-5"/>
        </w:rPr>
        <w:t xml:space="preserve"> </w:t>
      </w:r>
      <w:r>
        <w:t>situations</w:t>
      </w:r>
      <w:r>
        <w:rPr>
          <w:spacing w:val="-3"/>
        </w:rPr>
        <w:t xml:space="preserve"> </w:t>
      </w:r>
      <w:r>
        <w:t>that</w:t>
      </w:r>
      <w:r>
        <w:rPr>
          <w:spacing w:val="-3"/>
        </w:rPr>
        <w:t xml:space="preserve"> </w:t>
      </w:r>
      <w:r>
        <w:t>are</w:t>
      </w:r>
      <w:r>
        <w:rPr>
          <w:spacing w:val="-3"/>
        </w:rPr>
        <w:t xml:space="preserve"> </w:t>
      </w:r>
      <w:r>
        <w:t>likely</w:t>
      </w:r>
      <w:r>
        <w:rPr>
          <w:spacing w:val="-2"/>
        </w:rPr>
        <w:t xml:space="preserve"> </w:t>
      </w:r>
      <w:r>
        <w:t>to</w:t>
      </w:r>
      <w:r>
        <w:rPr>
          <w:spacing w:val="-2"/>
        </w:rPr>
        <w:t xml:space="preserve"> </w:t>
      </w:r>
      <w:r>
        <w:t>be</w:t>
      </w:r>
      <w:r>
        <w:rPr>
          <w:spacing w:val="-2"/>
        </w:rPr>
        <w:t xml:space="preserve"> problematic.</w:t>
      </w:r>
    </w:p>
    <w:p w14:paraId="73CB99E3" w14:textId="77777777" w:rsidR="00DB6E1F" w:rsidRDefault="00F666A6">
      <w:pPr>
        <w:pStyle w:val="ListParagraph"/>
        <w:numPr>
          <w:ilvl w:val="0"/>
          <w:numId w:val="92"/>
        </w:numPr>
        <w:tabs>
          <w:tab w:val="left" w:pos="1800"/>
          <w:tab w:val="left" w:pos="1801"/>
        </w:tabs>
        <w:spacing w:before="61"/>
        <w:ind w:left="1801"/>
        <w:rPr>
          <w:rFonts w:ascii="Symbol" w:hAnsi="Symbol"/>
        </w:rPr>
      </w:pPr>
      <w:r>
        <w:t>Build</w:t>
      </w:r>
      <w:r>
        <w:rPr>
          <w:spacing w:val="-5"/>
        </w:rPr>
        <w:t xml:space="preserve"> </w:t>
      </w:r>
      <w:r>
        <w:t>alternatives</w:t>
      </w:r>
      <w:r>
        <w:rPr>
          <w:spacing w:val="-5"/>
        </w:rPr>
        <w:t xml:space="preserve"> </w:t>
      </w:r>
      <w:r>
        <w:t>and</w:t>
      </w:r>
      <w:r>
        <w:rPr>
          <w:spacing w:val="-6"/>
        </w:rPr>
        <w:t xml:space="preserve"> </w:t>
      </w:r>
      <w:r>
        <w:t>solutions</w:t>
      </w:r>
      <w:r>
        <w:rPr>
          <w:spacing w:val="-4"/>
        </w:rPr>
        <w:t xml:space="preserve"> </w:t>
      </w:r>
      <w:r>
        <w:t>into</w:t>
      </w:r>
      <w:r>
        <w:rPr>
          <w:spacing w:val="-4"/>
        </w:rPr>
        <w:t xml:space="preserve"> </w:t>
      </w:r>
      <w:r>
        <w:t>the</w:t>
      </w:r>
      <w:r>
        <w:rPr>
          <w:spacing w:val="-5"/>
        </w:rPr>
        <w:t xml:space="preserve"> </w:t>
      </w:r>
      <w:r>
        <w:rPr>
          <w:spacing w:val="-2"/>
        </w:rPr>
        <w:t>plan.</w:t>
      </w:r>
    </w:p>
    <w:p w14:paraId="64DB9C36" w14:textId="77777777" w:rsidR="00DB6E1F" w:rsidRDefault="00F666A6">
      <w:pPr>
        <w:pStyle w:val="ListParagraph"/>
        <w:numPr>
          <w:ilvl w:val="0"/>
          <w:numId w:val="92"/>
        </w:numPr>
        <w:tabs>
          <w:tab w:val="left" w:pos="1800"/>
          <w:tab w:val="left" w:pos="1801"/>
        </w:tabs>
        <w:ind w:left="1801"/>
        <w:rPr>
          <w:rFonts w:ascii="Symbol" w:hAnsi="Symbol"/>
        </w:rPr>
      </w:pPr>
      <w:r>
        <w:t>Before</w:t>
      </w:r>
      <w:r>
        <w:rPr>
          <w:spacing w:val="-8"/>
        </w:rPr>
        <w:t xml:space="preserve"> </w:t>
      </w:r>
      <w:r>
        <w:t>offering</w:t>
      </w:r>
      <w:r>
        <w:rPr>
          <w:spacing w:val="-5"/>
        </w:rPr>
        <w:t xml:space="preserve"> </w:t>
      </w:r>
      <w:r>
        <w:t>advice,</w:t>
      </w:r>
      <w:r>
        <w:rPr>
          <w:spacing w:val="-5"/>
        </w:rPr>
        <w:t xml:space="preserve"> </w:t>
      </w:r>
      <w:r>
        <w:t>explore</w:t>
      </w:r>
      <w:r>
        <w:rPr>
          <w:spacing w:val="-6"/>
        </w:rPr>
        <w:t xml:space="preserve"> </w:t>
      </w:r>
      <w:r>
        <w:t>clients’</w:t>
      </w:r>
      <w:r>
        <w:rPr>
          <w:spacing w:val="-6"/>
        </w:rPr>
        <w:t xml:space="preserve"> </w:t>
      </w:r>
      <w:r>
        <w:t>ideas</w:t>
      </w:r>
      <w:r>
        <w:rPr>
          <w:spacing w:val="-3"/>
        </w:rPr>
        <w:t xml:space="preserve"> </w:t>
      </w:r>
      <w:r>
        <w:t>about</w:t>
      </w:r>
      <w:r>
        <w:rPr>
          <w:spacing w:val="-3"/>
        </w:rPr>
        <w:t xml:space="preserve"> </w:t>
      </w:r>
      <w:r>
        <w:t>how</w:t>
      </w:r>
      <w:r>
        <w:rPr>
          <w:spacing w:val="-3"/>
        </w:rPr>
        <w:t xml:space="preserve"> </w:t>
      </w:r>
      <w:r>
        <w:t>they</w:t>
      </w:r>
      <w:r>
        <w:rPr>
          <w:spacing w:val="-5"/>
        </w:rPr>
        <w:t xml:space="preserve"> </w:t>
      </w:r>
      <w:r>
        <w:t>might</w:t>
      </w:r>
      <w:r>
        <w:rPr>
          <w:spacing w:val="-2"/>
        </w:rPr>
        <w:t xml:space="preserve"> </w:t>
      </w:r>
      <w:r>
        <w:t>handle</w:t>
      </w:r>
      <w:r>
        <w:rPr>
          <w:spacing w:val="-3"/>
        </w:rPr>
        <w:t xml:space="preserve"> </w:t>
      </w:r>
      <w:r>
        <w:t>issues</w:t>
      </w:r>
      <w:r>
        <w:rPr>
          <w:spacing w:val="-6"/>
        </w:rPr>
        <w:t xml:space="preserve"> </w:t>
      </w:r>
      <w:r>
        <w:t>as</w:t>
      </w:r>
      <w:r>
        <w:rPr>
          <w:spacing w:val="-4"/>
        </w:rPr>
        <w:t xml:space="preserve"> </w:t>
      </w:r>
      <w:r>
        <w:t>they</w:t>
      </w:r>
      <w:r>
        <w:rPr>
          <w:spacing w:val="-2"/>
        </w:rPr>
        <w:t xml:space="preserve"> arise.</w:t>
      </w:r>
    </w:p>
    <w:p w14:paraId="5804C278" w14:textId="77777777" w:rsidR="00DB6E1F" w:rsidRDefault="00F666A6">
      <w:pPr>
        <w:pStyle w:val="ListParagraph"/>
        <w:numPr>
          <w:ilvl w:val="0"/>
          <w:numId w:val="92"/>
        </w:numPr>
        <w:tabs>
          <w:tab w:val="left" w:pos="1801"/>
          <w:tab w:val="left" w:pos="1802"/>
        </w:tabs>
        <w:spacing w:before="58"/>
        <w:ind w:left="1801" w:right="1803"/>
        <w:rPr>
          <w:rFonts w:ascii="Symbol" w:hAnsi="Symbol"/>
        </w:rPr>
      </w:pPr>
      <w:r>
        <w:t>Explore</w:t>
      </w:r>
      <w:r>
        <w:rPr>
          <w:spacing w:val="-4"/>
        </w:rPr>
        <w:t xml:space="preserve"> </w:t>
      </w:r>
      <w:r>
        <w:t>the</w:t>
      </w:r>
      <w:r>
        <w:rPr>
          <w:spacing w:val="-4"/>
        </w:rPr>
        <w:t xml:space="preserve"> </w:t>
      </w:r>
      <w:r>
        <w:t>ways</w:t>
      </w:r>
      <w:r>
        <w:rPr>
          <w:spacing w:val="-2"/>
        </w:rPr>
        <w:t xml:space="preserve"> </w:t>
      </w:r>
      <w:r>
        <w:t>clients</w:t>
      </w:r>
      <w:r>
        <w:rPr>
          <w:spacing w:val="-4"/>
        </w:rPr>
        <w:t xml:space="preserve"> </w:t>
      </w:r>
      <w:r>
        <w:t>may</w:t>
      </w:r>
      <w:r>
        <w:rPr>
          <w:spacing w:val="-1"/>
        </w:rPr>
        <w:t xml:space="preserve"> </w:t>
      </w:r>
      <w:r>
        <w:t>have</w:t>
      </w:r>
      <w:r>
        <w:rPr>
          <w:spacing w:val="-4"/>
        </w:rPr>
        <w:t xml:space="preserve"> </w:t>
      </w:r>
      <w:r>
        <w:t>overcome</w:t>
      </w:r>
      <w:r>
        <w:rPr>
          <w:spacing w:val="-1"/>
        </w:rPr>
        <w:t xml:space="preserve"> </w:t>
      </w:r>
      <w:r>
        <w:t>these</w:t>
      </w:r>
      <w:r>
        <w:rPr>
          <w:spacing w:val="-4"/>
        </w:rPr>
        <w:t xml:space="preserve"> </w:t>
      </w:r>
      <w:r>
        <w:t>or</w:t>
      </w:r>
      <w:r>
        <w:rPr>
          <w:spacing w:val="-5"/>
        </w:rPr>
        <w:t xml:space="preserve"> </w:t>
      </w:r>
      <w:r>
        <w:t>similar</w:t>
      </w:r>
      <w:r>
        <w:rPr>
          <w:spacing w:val="-1"/>
        </w:rPr>
        <w:t xml:space="preserve"> </w:t>
      </w:r>
      <w:r>
        <w:t>barriers</w:t>
      </w:r>
      <w:r>
        <w:rPr>
          <w:spacing w:val="-2"/>
        </w:rPr>
        <w:t xml:space="preserve"> </w:t>
      </w:r>
      <w:r>
        <w:t>in</w:t>
      </w:r>
      <w:r>
        <w:rPr>
          <w:spacing w:val="-5"/>
        </w:rPr>
        <w:t xml:space="preserve"> </w:t>
      </w:r>
      <w:r>
        <w:t>the</w:t>
      </w:r>
      <w:r>
        <w:rPr>
          <w:spacing w:val="-1"/>
        </w:rPr>
        <w:t xml:space="preserve"> </w:t>
      </w:r>
      <w:r>
        <w:t>past.</w:t>
      </w:r>
      <w:r>
        <w:rPr>
          <w:spacing w:val="-2"/>
        </w:rPr>
        <w:t xml:space="preserve"> </w:t>
      </w:r>
      <w:r>
        <w:t>Thi</w:t>
      </w:r>
      <w:r>
        <w:t>s</w:t>
      </w:r>
      <w:r>
        <w:rPr>
          <w:spacing w:val="-2"/>
        </w:rPr>
        <w:t xml:space="preserve"> </w:t>
      </w:r>
      <w:r>
        <w:t>is</w:t>
      </w:r>
      <w:r>
        <w:rPr>
          <w:spacing w:val="-2"/>
        </w:rPr>
        <w:t xml:space="preserve"> </w:t>
      </w:r>
      <w:r>
        <w:t>a</w:t>
      </w:r>
      <w:r>
        <w:rPr>
          <w:spacing w:val="-4"/>
        </w:rPr>
        <w:t xml:space="preserve"> </w:t>
      </w:r>
      <w:r>
        <w:t>way</w:t>
      </w:r>
      <w:r>
        <w:rPr>
          <w:spacing w:val="-1"/>
        </w:rPr>
        <w:t xml:space="preserve"> </w:t>
      </w:r>
      <w:r>
        <w:t>to open a conversation about their strengths and coping skills.</w:t>
      </w:r>
    </w:p>
    <w:p w14:paraId="49A5634A" w14:textId="77777777" w:rsidR="00DB6E1F" w:rsidRDefault="00F666A6">
      <w:pPr>
        <w:pStyle w:val="BodyText"/>
        <w:spacing w:before="162"/>
        <w:ind w:left="1440" w:right="1507"/>
      </w:pPr>
      <w:r>
        <w:t>Some problems are evident immediately. For instance, a highly motivated client may plan to attend an IOP</w:t>
      </w:r>
      <w:r>
        <w:rPr>
          <w:spacing w:val="-1"/>
        </w:rPr>
        <w:t xml:space="preserve"> </w:t>
      </w:r>
      <w:r>
        <w:t>treatment</w:t>
      </w:r>
      <w:r>
        <w:rPr>
          <w:spacing w:val="-1"/>
        </w:rPr>
        <w:t xml:space="preserve"> </w:t>
      </w:r>
      <w:r>
        <w:t>program</w:t>
      </w:r>
      <w:r>
        <w:rPr>
          <w:spacing w:val="-3"/>
        </w:rPr>
        <w:t xml:space="preserve"> </w:t>
      </w:r>
      <w:r>
        <w:t>50</w:t>
      </w:r>
      <w:r>
        <w:rPr>
          <w:spacing w:val="-6"/>
        </w:rPr>
        <w:t xml:space="preserve"> </w:t>
      </w:r>
      <w:r>
        <w:t>miles</w:t>
      </w:r>
      <w:r>
        <w:rPr>
          <w:spacing w:val="-4"/>
        </w:rPr>
        <w:t xml:space="preserve"> </w:t>
      </w:r>
      <w:r>
        <w:t>away 3</w:t>
      </w:r>
      <w:r>
        <w:rPr>
          <w:spacing w:val="-3"/>
        </w:rPr>
        <w:t xml:space="preserve"> </w:t>
      </w:r>
      <w:r>
        <w:t>times</w:t>
      </w:r>
      <w:r>
        <w:rPr>
          <w:spacing w:val="-4"/>
        </w:rPr>
        <w:t xml:space="preserve"> </w:t>
      </w:r>
      <w:r>
        <w:t>a</w:t>
      </w:r>
      <w:r>
        <w:rPr>
          <w:spacing w:val="-2"/>
        </w:rPr>
        <w:t xml:space="preserve"> </w:t>
      </w:r>
      <w:r>
        <w:t>week,</w:t>
      </w:r>
      <w:r>
        <w:rPr>
          <w:spacing w:val="-4"/>
        </w:rPr>
        <w:t xml:space="preserve"> </w:t>
      </w:r>
      <w:r>
        <w:t>even</w:t>
      </w:r>
      <w:r>
        <w:rPr>
          <w:spacing w:val="-2"/>
        </w:rPr>
        <w:t xml:space="preserve"> </w:t>
      </w:r>
      <w:r>
        <w:t>though</w:t>
      </w:r>
      <w:r>
        <w:rPr>
          <w:spacing w:val="-3"/>
        </w:rPr>
        <w:t xml:space="preserve"> </w:t>
      </w:r>
      <w:r>
        <w:t>this</w:t>
      </w:r>
      <w:r>
        <w:rPr>
          <w:spacing w:val="-2"/>
        </w:rPr>
        <w:t xml:space="preserve"> </w:t>
      </w:r>
      <w:r>
        <w:t>requires</w:t>
      </w:r>
      <w:r>
        <w:rPr>
          <w:spacing w:val="-6"/>
        </w:rPr>
        <w:t xml:space="preserve"> </w:t>
      </w:r>
      <w:r>
        <w:t>bus</w:t>
      </w:r>
      <w:r>
        <w:rPr>
          <w:spacing w:val="-2"/>
        </w:rPr>
        <w:t xml:space="preserve"> </w:t>
      </w:r>
      <w:r>
        <w:t>and</w:t>
      </w:r>
      <w:r>
        <w:rPr>
          <w:spacing w:val="-3"/>
        </w:rPr>
        <w:t xml:space="preserve"> </w:t>
      </w:r>
      <w:r>
        <w:t>train</w:t>
      </w:r>
      <w:r>
        <w:rPr>
          <w:spacing w:val="-3"/>
        </w:rPr>
        <w:t xml:space="preserve"> </w:t>
      </w:r>
      <w:r>
        <w:t>rides</w:t>
      </w:r>
      <w:r>
        <w:rPr>
          <w:spacing w:val="-2"/>
        </w:rPr>
        <w:t xml:space="preserve"> </w:t>
      </w:r>
      <w:r>
        <w:t xml:space="preserve">and late-night travel. Explore the pros and cons of this </w:t>
      </w:r>
      <w:r>
        <w:t>part of the change plan with the client, and brainstorm alternative solutions, like finding a program closer to home or a family member, case manager, peer support specialist, or program volunteer who can drive the client to the program.</w:t>
      </w:r>
    </w:p>
    <w:p w14:paraId="68DEE4B9" w14:textId="77777777" w:rsidR="00DB6E1F" w:rsidRDefault="00F666A6">
      <w:pPr>
        <w:pStyle w:val="Heading5"/>
        <w:spacing w:before="0"/>
        <w:ind w:right="1444"/>
      </w:pPr>
      <w:r>
        <w:t>Remember,</w:t>
      </w:r>
      <w:r>
        <w:rPr>
          <w:spacing w:val="-5"/>
        </w:rPr>
        <w:t xml:space="preserve"> </w:t>
      </w:r>
      <w:r>
        <w:t>the</w:t>
      </w:r>
      <w:r>
        <w:rPr>
          <w:spacing w:val="-3"/>
        </w:rPr>
        <w:t xml:space="preserve"> </w:t>
      </w:r>
      <w:r>
        <w:t>change</w:t>
      </w:r>
      <w:r>
        <w:rPr>
          <w:spacing w:val="-4"/>
        </w:rPr>
        <w:t xml:space="preserve"> </w:t>
      </w:r>
      <w:r>
        <w:t>plan</w:t>
      </w:r>
      <w:r>
        <w:rPr>
          <w:spacing w:val="-4"/>
        </w:rPr>
        <w:t xml:space="preserve"> </w:t>
      </w:r>
      <w:r>
        <w:t>should</w:t>
      </w:r>
      <w:r>
        <w:rPr>
          <w:spacing w:val="-4"/>
        </w:rPr>
        <w:t xml:space="preserve"> </w:t>
      </w:r>
      <w:r>
        <w:t>include</w:t>
      </w:r>
      <w:r>
        <w:rPr>
          <w:spacing w:val="-3"/>
        </w:rPr>
        <w:t xml:space="preserve"> </w:t>
      </w:r>
      <w:r>
        <w:t>strategies</w:t>
      </w:r>
      <w:r>
        <w:rPr>
          <w:spacing w:val="-5"/>
        </w:rPr>
        <w:t xml:space="preserve"> </w:t>
      </w:r>
      <w:r>
        <w:t>that</w:t>
      </w:r>
      <w:r>
        <w:rPr>
          <w:spacing w:val="-3"/>
        </w:rPr>
        <w:t xml:space="preserve"> </w:t>
      </w:r>
      <w:r>
        <w:t>are</w:t>
      </w:r>
      <w:r>
        <w:rPr>
          <w:spacing w:val="-4"/>
        </w:rPr>
        <w:t xml:space="preserve"> </w:t>
      </w:r>
      <w:r>
        <w:t>accessible,</w:t>
      </w:r>
      <w:r>
        <w:rPr>
          <w:spacing w:val="-2"/>
        </w:rPr>
        <w:t xml:space="preserve"> </w:t>
      </w:r>
      <w:r>
        <w:t>acceptable,</w:t>
      </w:r>
      <w:r>
        <w:rPr>
          <w:spacing w:val="-2"/>
        </w:rPr>
        <w:t xml:space="preserve"> </w:t>
      </w:r>
      <w:r>
        <w:t>and</w:t>
      </w:r>
      <w:r>
        <w:rPr>
          <w:spacing w:val="-4"/>
        </w:rPr>
        <w:t xml:space="preserve"> </w:t>
      </w:r>
      <w:r>
        <w:t>appropriate for each client.</w:t>
      </w:r>
    </w:p>
    <w:p w14:paraId="49F97B0D" w14:textId="77777777" w:rsidR="00DB6E1F" w:rsidRDefault="00F666A6">
      <w:pPr>
        <w:spacing w:before="160"/>
        <w:ind w:left="1440" w:right="1491"/>
      </w:pPr>
      <w:r>
        <w:rPr>
          <w:b/>
        </w:rPr>
        <w:t>You may need to refer clients to another treatment program or other services following initial consultation</w:t>
      </w:r>
      <w:r>
        <w:rPr>
          <w:b/>
          <w:spacing w:val="-3"/>
        </w:rPr>
        <w:t xml:space="preserve"> </w:t>
      </w:r>
      <w:r>
        <w:rPr>
          <w:b/>
        </w:rPr>
        <w:t>or</w:t>
      </w:r>
      <w:r>
        <w:rPr>
          <w:b/>
          <w:spacing w:val="-1"/>
        </w:rPr>
        <w:t xml:space="preserve"> </w:t>
      </w:r>
      <w:r>
        <w:rPr>
          <w:b/>
        </w:rPr>
        <w:t>evaluation,</w:t>
      </w:r>
      <w:r>
        <w:rPr>
          <w:b/>
          <w:spacing w:val="-1"/>
        </w:rPr>
        <w:t xml:space="preserve"> </w:t>
      </w:r>
      <w:r>
        <w:rPr>
          <w:b/>
        </w:rPr>
        <w:t>but</w:t>
      </w:r>
      <w:r>
        <w:rPr>
          <w:b/>
          <w:spacing w:val="-2"/>
        </w:rPr>
        <w:t xml:space="preserve"> </w:t>
      </w:r>
      <w:r>
        <w:rPr>
          <w:b/>
        </w:rPr>
        <w:t>this</w:t>
      </w:r>
      <w:r>
        <w:rPr>
          <w:b/>
          <w:spacing w:val="-1"/>
        </w:rPr>
        <w:t xml:space="preserve"> </w:t>
      </w:r>
      <w:r>
        <w:rPr>
          <w:b/>
        </w:rPr>
        <w:t>too</w:t>
      </w:r>
      <w:r>
        <w:rPr>
          <w:b/>
          <w:spacing w:val="-3"/>
        </w:rPr>
        <w:t xml:space="preserve"> </w:t>
      </w:r>
      <w:r>
        <w:rPr>
          <w:b/>
        </w:rPr>
        <w:t>is</w:t>
      </w:r>
      <w:r>
        <w:rPr>
          <w:b/>
          <w:spacing w:val="-1"/>
        </w:rPr>
        <w:t xml:space="preserve"> </w:t>
      </w:r>
      <w:r>
        <w:rPr>
          <w:b/>
        </w:rPr>
        <w:t>another</w:t>
      </w:r>
      <w:r>
        <w:rPr>
          <w:b/>
          <w:spacing w:val="-4"/>
        </w:rPr>
        <w:t xml:space="preserve"> </w:t>
      </w:r>
      <w:r>
        <w:rPr>
          <w:b/>
        </w:rPr>
        <w:t>common</w:t>
      </w:r>
      <w:r>
        <w:rPr>
          <w:b/>
          <w:spacing w:val="-3"/>
        </w:rPr>
        <w:t xml:space="preserve"> </w:t>
      </w:r>
      <w:r>
        <w:rPr>
          <w:b/>
        </w:rPr>
        <w:t>barrier</w:t>
      </w:r>
      <w:r>
        <w:rPr>
          <w:b/>
          <w:spacing w:val="-1"/>
        </w:rPr>
        <w:t xml:space="preserve"> </w:t>
      </w:r>
      <w:r>
        <w:rPr>
          <w:b/>
        </w:rPr>
        <w:t>to</w:t>
      </w:r>
      <w:r>
        <w:rPr>
          <w:b/>
          <w:spacing w:val="-3"/>
        </w:rPr>
        <w:t xml:space="preserve"> </w:t>
      </w:r>
      <w:r>
        <w:rPr>
          <w:b/>
        </w:rPr>
        <w:t>action.</w:t>
      </w:r>
      <w:r>
        <w:rPr>
          <w:b/>
          <w:spacing w:val="-4"/>
        </w:rPr>
        <w:t xml:space="preserve"> </w:t>
      </w:r>
      <w:r>
        <w:t>When</w:t>
      </w:r>
      <w:r>
        <w:rPr>
          <w:spacing w:val="-3"/>
        </w:rPr>
        <w:t xml:space="preserve"> </w:t>
      </w:r>
      <w:r>
        <w:t>you</w:t>
      </w:r>
      <w:r>
        <w:rPr>
          <w:spacing w:val="-5"/>
        </w:rPr>
        <w:t xml:space="preserve"> </w:t>
      </w:r>
      <w:r>
        <w:t>refer</w:t>
      </w:r>
      <w:r>
        <w:rPr>
          <w:spacing w:val="-4"/>
        </w:rPr>
        <w:t xml:space="preserve"> </w:t>
      </w:r>
      <w:r>
        <w:t>clients:</w:t>
      </w:r>
    </w:p>
    <w:p w14:paraId="02F28681" w14:textId="77777777" w:rsidR="00DB6E1F" w:rsidRDefault="00F666A6">
      <w:pPr>
        <w:pStyle w:val="ListParagraph"/>
        <w:numPr>
          <w:ilvl w:val="0"/>
          <w:numId w:val="92"/>
        </w:numPr>
        <w:tabs>
          <w:tab w:val="left" w:pos="1800"/>
          <w:tab w:val="left" w:pos="1801"/>
        </w:tabs>
        <w:spacing w:before="58"/>
        <w:ind w:left="1800" w:right="1510" w:hanging="360"/>
        <w:rPr>
          <w:rFonts w:ascii="Symbol" w:hAnsi="Symbol"/>
        </w:rPr>
      </w:pPr>
      <w:r>
        <w:t>Ensure</w:t>
      </w:r>
      <w:r>
        <w:rPr>
          <w:spacing w:val="-2"/>
        </w:rPr>
        <w:t xml:space="preserve"> </w:t>
      </w:r>
      <w:r>
        <w:t>they</w:t>
      </w:r>
      <w:r>
        <w:rPr>
          <w:spacing w:val="-2"/>
        </w:rPr>
        <w:t xml:space="preserve"> </w:t>
      </w:r>
      <w:r>
        <w:t>have</w:t>
      </w:r>
      <w:r>
        <w:rPr>
          <w:spacing w:val="-3"/>
        </w:rPr>
        <w:t xml:space="preserve"> </w:t>
      </w:r>
      <w:r>
        <w:rPr>
          <w:b/>
        </w:rPr>
        <w:t>information</w:t>
      </w:r>
      <w:r>
        <w:rPr>
          <w:b/>
          <w:spacing w:val="-3"/>
        </w:rPr>
        <w:t xml:space="preserve"> </w:t>
      </w:r>
      <w:r>
        <w:t>about</w:t>
      </w:r>
      <w:r>
        <w:rPr>
          <w:spacing w:val="-2"/>
        </w:rPr>
        <w:t xml:space="preserve"> </w:t>
      </w:r>
      <w:r>
        <w:t>how</w:t>
      </w:r>
      <w:r>
        <w:rPr>
          <w:spacing w:val="-2"/>
        </w:rPr>
        <w:t xml:space="preserve"> </w:t>
      </w:r>
      <w:r>
        <w:t>to</w:t>
      </w:r>
      <w:r>
        <w:rPr>
          <w:spacing w:val="-2"/>
        </w:rPr>
        <w:t xml:space="preserve"> </w:t>
      </w:r>
      <w:r>
        <w:t>get</w:t>
      </w:r>
      <w:r>
        <w:rPr>
          <w:spacing w:val="-2"/>
        </w:rPr>
        <w:t xml:space="preserve"> </w:t>
      </w:r>
      <w:r>
        <w:t>to</w:t>
      </w:r>
      <w:r>
        <w:rPr>
          <w:spacing w:val="-3"/>
        </w:rPr>
        <w:t xml:space="preserve"> </w:t>
      </w:r>
      <w:r>
        <w:t>the</w:t>
      </w:r>
      <w:r>
        <w:rPr>
          <w:spacing w:val="-4"/>
        </w:rPr>
        <w:t xml:space="preserve"> </w:t>
      </w:r>
      <w:r>
        <w:t>program,</w:t>
      </w:r>
      <w:r>
        <w:rPr>
          <w:spacing w:val="-3"/>
        </w:rPr>
        <w:t xml:space="preserve"> </w:t>
      </w:r>
      <w:r>
        <w:t>whom</w:t>
      </w:r>
      <w:r>
        <w:rPr>
          <w:spacing w:val="-2"/>
        </w:rPr>
        <w:t xml:space="preserve"> </w:t>
      </w:r>
      <w:r>
        <w:t>and</w:t>
      </w:r>
      <w:r>
        <w:rPr>
          <w:spacing w:val="-3"/>
        </w:rPr>
        <w:t xml:space="preserve"> </w:t>
      </w:r>
      <w:r>
        <w:t>when</w:t>
      </w:r>
      <w:r>
        <w:rPr>
          <w:spacing w:val="-5"/>
        </w:rPr>
        <w:t xml:space="preserve"> </w:t>
      </w:r>
      <w:r>
        <w:t>to</w:t>
      </w:r>
      <w:r>
        <w:rPr>
          <w:spacing w:val="-3"/>
        </w:rPr>
        <w:t xml:space="preserve"> </w:t>
      </w:r>
      <w:r>
        <w:t>telephone,</w:t>
      </w:r>
      <w:r>
        <w:rPr>
          <w:spacing w:val="-4"/>
        </w:rPr>
        <w:t xml:space="preserve"> </w:t>
      </w:r>
      <w:r>
        <w:t>and what to expect on the call (e.g., what type of personal information may be requested).</w:t>
      </w:r>
    </w:p>
    <w:p w14:paraId="2D1EC21B" w14:textId="77777777" w:rsidR="00DB6E1F" w:rsidRDefault="00F666A6">
      <w:pPr>
        <w:pStyle w:val="ListParagraph"/>
        <w:numPr>
          <w:ilvl w:val="0"/>
          <w:numId w:val="92"/>
        </w:numPr>
        <w:tabs>
          <w:tab w:val="left" w:pos="1800"/>
          <w:tab w:val="left" w:pos="1801"/>
        </w:tabs>
        <w:ind w:left="1800" w:right="1550" w:hanging="360"/>
        <w:rPr>
          <w:rFonts w:ascii="Symbol" w:hAnsi="Symbol"/>
        </w:rPr>
      </w:pPr>
      <w:r>
        <w:t xml:space="preserve">Give them any </w:t>
      </w:r>
      <w:r>
        <w:rPr>
          <w:b/>
        </w:rPr>
        <w:t>“in</w:t>
      </w:r>
      <w:r>
        <w:rPr>
          <w:b/>
        </w:rPr>
        <w:t xml:space="preserve">sider information” </w:t>
      </w:r>
      <w:r>
        <w:t>you have about the program or provider, which can reduce clients’ anxiety and makes the process easier. For example, you may know that the receptionist at the</w:t>
      </w:r>
      <w:r>
        <w:rPr>
          <w:spacing w:val="-1"/>
        </w:rPr>
        <w:t xml:space="preserve"> </w:t>
      </w:r>
      <w:r>
        <w:t>program</w:t>
      </w:r>
      <w:r>
        <w:rPr>
          <w:spacing w:val="-1"/>
        </w:rPr>
        <w:t xml:space="preserve"> </w:t>
      </w:r>
      <w:r>
        <w:t>is</w:t>
      </w:r>
      <w:r>
        <w:rPr>
          <w:spacing w:val="-4"/>
        </w:rPr>
        <w:t xml:space="preserve"> </w:t>
      </w:r>
      <w:r>
        <w:t>a</w:t>
      </w:r>
      <w:r>
        <w:rPr>
          <w:spacing w:val="-2"/>
        </w:rPr>
        <w:t xml:space="preserve"> </w:t>
      </w:r>
      <w:r>
        <w:t>friendly</w:t>
      </w:r>
      <w:r>
        <w:rPr>
          <w:spacing w:val="-1"/>
        </w:rPr>
        <w:t xml:space="preserve"> </w:t>
      </w:r>
      <w:r>
        <w:t>person</w:t>
      </w:r>
      <w:r>
        <w:rPr>
          <w:spacing w:val="-5"/>
        </w:rPr>
        <w:t xml:space="preserve"> </w:t>
      </w:r>
      <w:r>
        <w:t>or</w:t>
      </w:r>
      <w:r>
        <w:rPr>
          <w:spacing w:val="-4"/>
        </w:rPr>
        <w:t xml:space="preserve"> </w:t>
      </w:r>
      <w:r>
        <w:t>that</w:t>
      </w:r>
      <w:r>
        <w:rPr>
          <w:spacing w:val="-4"/>
        </w:rPr>
        <w:t xml:space="preserve"> </w:t>
      </w:r>
      <w:r>
        <w:t>many</w:t>
      </w:r>
      <w:r>
        <w:rPr>
          <w:spacing w:val="-3"/>
        </w:rPr>
        <w:t xml:space="preserve"> </w:t>
      </w:r>
      <w:r>
        <w:t>people</w:t>
      </w:r>
      <w:r>
        <w:rPr>
          <w:spacing w:val="-4"/>
        </w:rPr>
        <w:t xml:space="preserve"> </w:t>
      </w:r>
      <w:r>
        <w:t>get</w:t>
      </w:r>
      <w:r>
        <w:rPr>
          <w:spacing w:val="-1"/>
        </w:rPr>
        <w:t xml:space="preserve"> </w:t>
      </w:r>
      <w:r>
        <w:t>lost</w:t>
      </w:r>
      <w:r>
        <w:rPr>
          <w:spacing w:val="-1"/>
        </w:rPr>
        <w:t xml:space="preserve"> </w:t>
      </w:r>
      <w:r>
        <w:t>by</w:t>
      </w:r>
      <w:r>
        <w:rPr>
          <w:spacing w:val="-3"/>
        </w:rPr>
        <w:t xml:space="preserve"> </w:t>
      </w:r>
      <w:r>
        <w:t>entering</w:t>
      </w:r>
      <w:r>
        <w:rPr>
          <w:spacing w:val="-3"/>
        </w:rPr>
        <w:t xml:space="preserve"> </w:t>
      </w:r>
      <w:r>
        <w:t>the</w:t>
      </w:r>
      <w:r>
        <w:rPr>
          <w:spacing w:val="-1"/>
        </w:rPr>
        <w:t xml:space="preserve"> </w:t>
      </w:r>
      <w:r>
        <w:t>building</w:t>
      </w:r>
      <w:r>
        <w:rPr>
          <w:spacing w:val="-3"/>
        </w:rPr>
        <w:t xml:space="preserve"> </w:t>
      </w:r>
      <w:r>
        <w:t>on</w:t>
      </w:r>
      <w:r>
        <w:rPr>
          <w:spacing w:val="-3"/>
        </w:rPr>
        <w:t xml:space="preserve"> </w:t>
      </w:r>
      <w:r>
        <w:t>the</w:t>
      </w:r>
      <w:r>
        <w:rPr>
          <w:spacing w:val="-4"/>
        </w:rPr>
        <w:t xml:space="preserve"> </w:t>
      </w:r>
      <w:r>
        <w:t>wrong side or that a nearby diner serves good food.</w:t>
      </w:r>
    </w:p>
    <w:p w14:paraId="100944FB" w14:textId="77777777" w:rsidR="00DB6E1F" w:rsidRDefault="00F666A6">
      <w:pPr>
        <w:pStyle w:val="ListParagraph"/>
        <w:numPr>
          <w:ilvl w:val="0"/>
          <w:numId w:val="92"/>
        </w:numPr>
        <w:tabs>
          <w:tab w:val="left" w:pos="1800"/>
          <w:tab w:val="left" w:pos="1801"/>
        </w:tabs>
        <w:spacing w:before="59"/>
        <w:ind w:left="1800" w:right="1588" w:hanging="360"/>
        <w:rPr>
          <w:rFonts w:ascii="Symbol" w:hAnsi="Symbol"/>
        </w:rPr>
      </w:pPr>
      <w:r>
        <w:t xml:space="preserve">Use </w:t>
      </w:r>
      <w:r>
        <w:rPr>
          <w:b/>
        </w:rPr>
        <w:t>active linkage and referral interventions</w:t>
      </w:r>
      <w:r>
        <w:t>, which enhance client engagement and retention in SUD</w:t>
      </w:r>
      <w:r>
        <w:rPr>
          <w:spacing w:val="-1"/>
        </w:rPr>
        <w:t xml:space="preserve"> </w:t>
      </w:r>
      <w:r>
        <w:t>treatment</w:t>
      </w:r>
      <w:r>
        <w:rPr>
          <w:spacing w:val="-4"/>
        </w:rPr>
        <w:t xml:space="preserve"> </w:t>
      </w:r>
      <w:r>
        <w:t>and</w:t>
      </w:r>
      <w:r>
        <w:rPr>
          <w:spacing w:val="-3"/>
        </w:rPr>
        <w:t xml:space="preserve"> </w:t>
      </w:r>
      <w:r>
        <w:t>ancillary</w:t>
      </w:r>
      <w:r>
        <w:rPr>
          <w:spacing w:val="-1"/>
        </w:rPr>
        <w:t xml:space="preserve"> </w:t>
      </w:r>
      <w:r>
        <w:t>services</w:t>
      </w:r>
      <w:r>
        <w:rPr>
          <w:spacing w:val="-2"/>
        </w:rPr>
        <w:t xml:space="preserve"> </w:t>
      </w:r>
      <w:r>
        <w:t>and</w:t>
      </w:r>
      <w:r>
        <w:rPr>
          <w:spacing w:val="-3"/>
        </w:rPr>
        <w:t xml:space="preserve"> </w:t>
      </w:r>
      <w:r>
        <w:t>improve</w:t>
      </w:r>
      <w:r>
        <w:rPr>
          <w:spacing w:val="-4"/>
        </w:rPr>
        <w:t xml:space="preserve"> </w:t>
      </w:r>
      <w:r>
        <w:t>outcomes</w:t>
      </w:r>
      <w:r>
        <w:rPr>
          <w:spacing w:val="-4"/>
        </w:rPr>
        <w:t xml:space="preserve"> </w:t>
      </w:r>
      <w:r>
        <w:t>(Rapp,</w:t>
      </w:r>
      <w:r>
        <w:rPr>
          <w:spacing w:val="-2"/>
        </w:rPr>
        <w:t xml:space="preserve"> </w:t>
      </w:r>
      <w:r>
        <w:t>Van</w:t>
      </w:r>
      <w:r>
        <w:rPr>
          <w:spacing w:val="-5"/>
        </w:rPr>
        <w:t xml:space="preserve"> </w:t>
      </w:r>
      <w:r>
        <w:t>Den</w:t>
      </w:r>
      <w:r>
        <w:rPr>
          <w:spacing w:val="-3"/>
        </w:rPr>
        <w:t xml:space="preserve"> </w:t>
      </w:r>
      <w:r>
        <w:t>Noortgate,</w:t>
      </w:r>
      <w:r>
        <w:rPr>
          <w:spacing w:val="-2"/>
        </w:rPr>
        <w:t xml:space="preserve"> </w:t>
      </w:r>
      <w:r>
        <w:t>Broekaer</w:t>
      </w:r>
      <w:r>
        <w:t>t, &amp; Vanderplasschen, 2014). Strategies for active referral procedures include:</w:t>
      </w:r>
    </w:p>
    <w:p w14:paraId="4EA7FA05" w14:textId="77777777" w:rsidR="00DB6E1F" w:rsidRDefault="00F666A6">
      <w:pPr>
        <w:pStyle w:val="ListParagraph"/>
        <w:numPr>
          <w:ilvl w:val="1"/>
          <w:numId w:val="92"/>
        </w:numPr>
        <w:tabs>
          <w:tab w:val="left" w:pos="2159"/>
          <w:tab w:val="left" w:pos="2161"/>
        </w:tabs>
        <w:spacing w:before="61"/>
        <w:ind w:right="1438"/>
      </w:pPr>
      <w:r>
        <w:rPr>
          <w:b/>
        </w:rPr>
        <w:t xml:space="preserve">Helping the client make the telephone call to set up the intake appointment at the chosen program. </w:t>
      </w:r>
      <w:r>
        <w:t>Some clients may want to make the phone call from your office; others might w</w:t>
      </w:r>
      <w:r>
        <w:t>ish to call</w:t>
      </w:r>
      <w:r>
        <w:rPr>
          <w:spacing w:val="-1"/>
        </w:rPr>
        <w:t xml:space="preserve"> </w:t>
      </w:r>
      <w:r>
        <w:t>from</w:t>
      </w:r>
      <w:r>
        <w:rPr>
          <w:spacing w:val="-1"/>
        </w:rPr>
        <w:t xml:space="preserve"> </w:t>
      </w:r>
      <w:r>
        <w:t>home</w:t>
      </w:r>
      <w:r>
        <w:rPr>
          <w:spacing w:val="-1"/>
        </w:rPr>
        <w:t xml:space="preserve"> </w:t>
      </w:r>
      <w:r>
        <w:t>and</w:t>
      </w:r>
      <w:r>
        <w:rPr>
          <w:spacing w:val="-2"/>
        </w:rPr>
        <w:t xml:space="preserve"> </w:t>
      </w:r>
      <w:r>
        <w:t>call</w:t>
      </w:r>
      <w:r>
        <w:rPr>
          <w:spacing w:val="-1"/>
        </w:rPr>
        <w:t xml:space="preserve"> </w:t>
      </w:r>
      <w:r>
        <w:t>you</w:t>
      </w:r>
      <w:r>
        <w:rPr>
          <w:spacing w:val="-2"/>
        </w:rPr>
        <w:t xml:space="preserve"> </w:t>
      </w:r>
      <w:r>
        <w:t>later</w:t>
      </w:r>
      <w:r>
        <w:rPr>
          <w:spacing w:val="-1"/>
        </w:rPr>
        <w:t xml:space="preserve"> </w:t>
      </w:r>
      <w:r>
        <w:t>to</w:t>
      </w:r>
      <w:r>
        <w:rPr>
          <w:spacing w:val="-1"/>
        </w:rPr>
        <w:t xml:space="preserve"> </w:t>
      </w:r>
      <w:r>
        <w:t>tell</w:t>
      </w:r>
      <w:r>
        <w:rPr>
          <w:spacing w:val="-4"/>
        </w:rPr>
        <w:t xml:space="preserve"> </w:t>
      </w:r>
      <w:r>
        <w:t>you</w:t>
      </w:r>
      <w:r>
        <w:rPr>
          <w:spacing w:val="-4"/>
        </w:rPr>
        <w:t xml:space="preserve"> </w:t>
      </w:r>
      <w:r>
        <w:t>that</w:t>
      </w:r>
      <w:r>
        <w:rPr>
          <w:spacing w:val="-3"/>
        </w:rPr>
        <w:t xml:space="preserve"> </w:t>
      </w:r>
      <w:r>
        <w:t>they</w:t>
      </w:r>
      <w:r>
        <w:rPr>
          <w:spacing w:val="-5"/>
        </w:rPr>
        <w:t xml:space="preserve"> </w:t>
      </w:r>
      <w:r>
        <w:t>made</w:t>
      </w:r>
      <w:r>
        <w:rPr>
          <w:spacing w:val="-1"/>
        </w:rPr>
        <w:t xml:space="preserve"> </w:t>
      </w:r>
      <w:r>
        <w:t>an</w:t>
      </w:r>
      <w:r>
        <w:rPr>
          <w:spacing w:val="-4"/>
        </w:rPr>
        <w:t xml:space="preserve"> </w:t>
      </w:r>
      <w:r>
        <w:t>appointment.</w:t>
      </w:r>
      <w:r>
        <w:rPr>
          <w:spacing w:val="-1"/>
        </w:rPr>
        <w:t xml:space="preserve"> </w:t>
      </w:r>
      <w:r>
        <w:t>Some</w:t>
      </w:r>
      <w:r>
        <w:rPr>
          <w:spacing w:val="-3"/>
        </w:rPr>
        <w:t xml:space="preserve"> </w:t>
      </w:r>
      <w:r>
        <w:t>clients</w:t>
      </w:r>
      <w:r>
        <w:rPr>
          <w:spacing w:val="-3"/>
        </w:rPr>
        <w:t xml:space="preserve"> </w:t>
      </w:r>
      <w:r>
        <w:t>prefer to think things over first and make the call from your office at the next session.</w:t>
      </w:r>
    </w:p>
    <w:p w14:paraId="1D2F6B6F" w14:textId="77777777" w:rsidR="00DB6E1F" w:rsidRDefault="00F666A6">
      <w:pPr>
        <w:pStyle w:val="ListParagraph"/>
        <w:numPr>
          <w:ilvl w:val="1"/>
          <w:numId w:val="92"/>
        </w:numPr>
        <w:tabs>
          <w:tab w:val="left" w:pos="2159"/>
          <w:tab w:val="left" w:pos="2160"/>
        </w:tabs>
        <w:ind w:right="1850"/>
      </w:pPr>
      <w:r>
        <w:rPr>
          <w:b/>
        </w:rPr>
        <w:t>Following</w:t>
      </w:r>
      <w:r>
        <w:rPr>
          <w:b/>
          <w:spacing w:val="-1"/>
        </w:rPr>
        <w:t xml:space="preserve"> </w:t>
      </w:r>
      <w:r>
        <w:rPr>
          <w:b/>
        </w:rPr>
        <w:t>up</w:t>
      </w:r>
      <w:r>
        <w:rPr>
          <w:b/>
          <w:spacing w:val="-5"/>
        </w:rPr>
        <w:t xml:space="preserve"> </w:t>
      </w:r>
      <w:r>
        <w:rPr>
          <w:b/>
        </w:rPr>
        <w:t>with</w:t>
      </w:r>
      <w:r>
        <w:rPr>
          <w:b/>
          <w:spacing w:val="-5"/>
        </w:rPr>
        <w:t xml:space="preserve"> </w:t>
      </w:r>
      <w:r>
        <w:rPr>
          <w:b/>
        </w:rPr>
        <w:t>clients</w:t>
      </w:r>
      <w:r>
        <w:rPr>
          <w:b/>
          <w:spacing w:val="-4"/>
        </w:rPr>
        <w:t xml:space="preserve"> </w:t>
      </w:r>
      <w:r>
        <w:rPr>
          <w:b/>
        </w:rPr>
        <w:t>and</w:t>
      </w:r>
      <w:r>
        <w:rPr>
          <w:b/>
          <w:spacing w:val="-3"/>
        </w:rPr>
        <w:t xml:space="preserve"> </w:t>
      </w:r>
      <w:r>
        <w:rPr>
          <w:b/>
        </w:rPr>
        <w:t>the</w:t>
      </w:r>
      <w:r>
        <w:rPr>
          <w:b/>
          <w:spacing w:val="-2"/>
        </w:rPr>
        <w:t xml:space="preserve"> </w:t>
      </w:r>
      <w:r>
        <w:rPr>
          <w:b/>
        </w:rPr>
        <w:t>program</w:t>
      </w:r>
      <w:r>
        <w:t>,</w:t>
      </w:r>
      <w:r>
        <w:rPr>
          <w:spacing w:val="-2"/>
        </w:rPr>
        <w:t xml:space="preserve"> </w:t>
      </w:r>
      <w:r>
        <w:t>if</w:t>
      </w:r>
      <w:r>
        <w:rPr>
          <w:spacing w:val="-4"/>
        </w:rPr>
        <w:t xml:space="preserve"> </w:t>
      </w:r>
      <w:r>
        <w:t>possible</w:t>
      </w:r>
      <w:r>
        <w:rPr>
          <w:spacing w:val="-4"/>
        </w:rPr>
        <w:t xml:space="preserve"> </w:t>
      </w:r>
      <w:r>
        <w:t>and</w:t>
      </w:r>
      <w:r>
        <w:rPr>
          <w:spacing w:val="-3"/>
        </w:rPr>
        <w:t xml:space="preserve"> </w:t>
      </w:r>
      <w:r>
        <w:t>with</w:t>
      </w:r>
      <w:r>
        <w:rPr>
          <w:spacing w:val="-3"/>
        </w:rPr>
        <w:t xml:space="preserve"> </w:t>
      </w:r>
      <w:r>
        <w:t>client</w:t>
      </w:r>
      <w:r>
        <w:rPr>
          <w:spacing w:val="-1"/>
        </w:rPr>
        <w:t xml:space="preserve"> </w:t>
      </w:r>
      <w:r>
        <w:t>permission,</w:t>
      </w:r>
      <w:r>
        <w:rPr>
          <w:spacing w:val="-2"/>
        </w:rPr>
        <w:t xml:space="preserve"> </w:t>
      </w:r>
      <w:r>
        <w:t>to</w:t>
      </w:r>
      <w:r>
        <w:rPr>
          <w:spacing w:val="-3"/>
        </w:rPr>
        <w:t xml:space="preserve"> </w:t>
      </w:r>
      <w:r>
        <w:t>ensure that clients are connected to the new service.</w:t>
      </w:r>
    </w:p>
    <w:p w14:paraId="3F393E17" w14:textId="77777777" w:rsidR="00DB6E1F" w:rsidRDefault="00F666A6">
      <w:pPr>
        <w:pStyle w:val="ListParagraph"/>
        <w:numPr>
          <w:ilvl w:val="1"/>
          <w:numId w:val="92"/>
        </w:numPr>
        <w:tabs>
          <w:tab w:val="left" w:pos="2158"/>
          <w:tab w:val="left" w:pos="2159"/>
        </w:tabs>
        <w:spacing w:before="61"/>
        <w:ind w:left="2158"/>
      </w:pPr>
      <w:r>
        <w:rPr>
          <w:b/>
        </w:rPr>
        <w:t>Offering</w:t>
      </w:r>
      <w:r>
        <w:rPr>
          <w:b/>
          <w:spacing w:val="-6"/>
        </w:rPr>
        <w:t xml:space="preserve"> </w:t>
      </w:r>
      <w:r>
        <w:rPr>
          <w:b/>
        </w:rPr>
        <w:t>a</w:t>
      </w:r>
      <w:r>
        <w:rPr>
          <w:b/>
          <w:spacing w:val="-5"/>
        </w:rPr>
        <w:t xml:space="preserve"> </w:t>
      </w:r>
      <w:r>
        <w:rPr>
          <w:b/>
        </w:rPr>
        <w:t>“warm</w:t>
      </w:r>
      <w:r>
        <w:rPr>
          <w:b/>
          <w:spacing w:val="-4"/>
        </w:rPr>
        <w:t xml:space="preserve"> </w:t>
      </w:r>
      <w:r>
        <w:rPr>
          <w:b/>
        </w:rPr>
        <w:t>handoff,”</w:t>
      </w:r>
      <w:r>
        <w:rPr>
          <w:b/>
          <w:spacing w:val="-4"/>
        </w:rPr>
        <w:t xml:space="preserve"> </w:t>
      </w:r>
      <w:r>
        <w:t>if</w:t>
      </w:r>
      <w:r>
        <w:rPr>
          <w:spacing w:val="-4"/>
        </w:rPr>
        <w:t xml:space="preserve"> </w:t>
      </w:r>
      <w:r>
        <w:t>possible,</w:t>
      </w:r>
      <w:r>
        <w:rPr>
          <w:spacing w:val="-4"/>
        </w:rPr>
        <w:t xml:space="preserve"> </w:t>
      </w:r>
      <w:r>
        <w:t>which</w:t>
      </w:r>
      <w:r>
        <w:rPr>
          <w:spacing w:val="-7"/>
        </w:rPr>
        <w:t xml:space="preserve"> </w:t>
      </w:r>
      <w:r>
        <w:t>involves</w:t>
      </w:r>
      <w:r>
        <w:rPr>
          <w:spacing w:val="-6"/>
        </w:rPr>
        <w:t xml:space="preserve"> </w:t>
      </w:r>
      <w:r>
        <w:t>introducing</w:t>
      </w:r>
      <w:r>
        <w:rPr>
          <w:spacing w:val="-4"/>
        </w:rPr>
        <w:t xml:space="preserve"> </w:t>
      </w:r>
      <w:r>
        <w:t>clients</w:t>
      </w:r>
      <w:r>
        <w:rPr>
          <w:spacing w:val="-4"/>
        </w:rPr>
        <w:t xml:space="preserve"> </w:t>
      </w:r>
      <w:r>
        <w:t>to</w:t>
      </w:r>
      <w:r>
        <w:rPr>
          <w:spacing w:val="-3"/>
        </w:rPr>
        <w:t xml:space="preserve"> </w:t>
      </w:r>
      <w:r>
        <w:t>the</w:t>
      </w:r>
      <w:r>
        <w:rPr>
          <w:spacing w:val="-6"/>
        </w:rPr>
        <w:t xml:space="preserve"> </w:t>
      </w:r>
      <w:r>
        <w:t>new</w:t>
      </w:r>
      <w:r>
        <w:rPr>
          <w:spacing w:val="-3"/>
        </w:rPr>
        <w:t xml:space="preserve"> </w:t>
      </w:r>
      <w:r>
        <w:rPr>
          <w:spacing w:val="-2"/>
        </w:rPr>
        <w:t>provider.</w:t>
      </w:r>
    </w:p>
    <w:p w14:paraId="120FDE1C" w14:textId="77777777" w:rsidR="00DB6E1F" w:rsidRDefault="00F666A6">
      <w:pPr>
        <w:pStyle w:val="BodyText"/>
        <w:tabs>
          <w:tab w:val="left" w:pos="2158"/>
        </w:tabs>
        <w:spacing w:before="60" w:line="259" w:lineRule="auto"/>
        <w:ind w:left="2158" w:right="1991" w:hanging="360"/>
      </w:pPr>
      <w:r>
        <w:rPr>
          <w:spacing w:val="-10"/>
        </w:rPr>
        <w:t>‒</w:t>
      </w:r>
      <w:r>
        <w:tab/>
        <w:t>Linking clients to a case manager, peer recovery support specialist, program alumnus, or community-based</w:t>
      </w:r>
      <w:r>
        <w:rPr>
          <w:spacing w:val="-4"/>
        </w:rPr>
        <w:t xml:space="preserve"> </w:t>
      </w:r>
      <w:r>
        <w:t>recovery</w:t>
      </w:r>
      <w:r>
        <w:rPr>
          <w:spacing w:val="-4"/>
        </w:rPr>
        <w:t xml:space="preserve"> </w:t>
      </w:r>
      <w:r>
        <w:t>support</w:t>
      </w:r>
      <w:r>
        <w:rPr>
          <w:spacing w:val="-3"/>
        </w:rPr>
        <w:t xml:space="preserve"> </w:t>
      </w:r>
      <w:r>
        <w:t>group</w:t>
      </w:r>
      <w:r>
        <w:rPr>
          <w:spacing w:val="-4"/>
        </w:rPr>
        <w:t xml:space="preserve"> </w:t>
      </w:r>
      <w:r>
        <w:t>volunteer</w:t>
      </w:r>
      <w:r>
        <w:rPr>
          <w:spacing w:val="-3"/>
        </w:rPr>
        <w:t xml:space="preserve"> </w:t>
      </w:r>
      <w:r>
        <w:t>to</w:t>
      </w:r>
      <w:r>
        <w:rPr>
          <w:spacing w:val="-2"/>
        </w:rPr>
        <w:t xml:space="preserve"> </w:t>
      </w:r>
      <w:r>
        <w:t>act</w:t>
      </w:r>
      <w:r>
        <w:rPr>
          <w:spacing w:val="-2"/>
        </w:rPr>
        <w:t xml:space="preserve"> </w:t>
      </w:r>
      <w:r>
        <w:t>as</w:t>
      </w:r>
      <w:r>
        <w:rPr>
          <w:spacing w:val="-3"/>
        </w:rPr>
        <w:t xml:space="preserve"> </w:t>
      </w:r>
      <w:r>
        <w:t>a</w:t>
      </w:r>
      <w:r>
        <w:rPr>
          <w:spacing w:val="-6"/>
        </w:rPr>
        <w:t xml:space="preserve"> </w:t>
      </w:r>
      <w:r>
        <w:t>liaison</w:t>
      </w:r>
      <w:r>
        <w:rPr>
          <w:spacing w:val="-6"/>
        </w:rPr>
        <w:t xml:space="preserve"> </w:t>
      </w:r>
      <w:r>
        <w:t>and</w:t>
      </w:r>
      <w:r>
        <w:rPr>
          <w:spacing w:val="-3"/>
        </w:rPr>
        <w:t xml:space="preserve"> </w:t>
      </w:r>
      <w:r>
        <w:t>actively</w:t>
      </w:r>
      <w:r>
        <w:rPr>
          <w:spacing w:val="-2"/>
        </w:rPr>
        <w:t xml:space="preserve"> </w:t>
      </w:r>
      <w:r>
        <w:t>engage clients in treatment programs; social, legal, or employment services; or community-based recovery support programs.</w:t>
      </w:r>
    </w:p>
    <w:p w14:paraId="05C8A547" w14:textId="77777777" w:rsidR="00DB6E1F" w:rsidRDefault="00DB6E1F">
      <w:pPr>
        <w:spacing w:line="259" w:lineRule="auto"/>
        <w:sectPr w:rsidR="00DB6E1F">
          <w:pgSz w:w="12240" w:h="15840"/>
          <w:pgMar w:top="1200" w:right="0" w:bottom="780" w:left="0" w:header="763" w:footer="585" w:gutter="0"/>
          <w:cols w:space="720"/>
        </w:sectPr>
      </w:pPr>
    </w:p>
    <w:p w14:paraId="7D7944BE" w14:textId="77777777" w:rsidR="00DB6E1F" w:rsidRDefault="00DB6E1F">
      <w:pPr>
        <w:pStyle w:val="BodyText"/>
        <w:spacing w:before="7"/>
        <w:rPr>
          <w:sz w:val="15"/>
        </w:rPr>
      </w:pPr>
    </w:p>
    <w:p w14:paraId="304F36D1" w14:textId="77777777" w:rsidR="00DB6E1F" w:rsidRDefault="00F666A6">
      <w:pPr>
        <w:pStyle w:val="Heading3"/>
        <w:spacing w:before="47"/>
      </w:pPr>
      <w:bookmarkStart w:id="178" w:name="Enlist_Social_Support"/>
      <w:bookmarkEnd w:id="178"/>
      <w:r>
        <w:t>Enlist</w:t>
      </w:r>
      <w:r>
        <w:rPr>
          <w:spacing w:val="-10"/>
        </w:rPr>
        <w:t xml:space="preserve"> </w:t>
      </w:r>
      <w:r>
        <w:t>Social</w:t>
      </w:r>
      <w:r>
        <w:rPr>
          <w:spacing w:val="-6"/>
        </w:rPr>
        <w:t xml:space="preserve"> </w:t>
      </w:r>
      <w:r>
        <w:rPr>
          <w:spacing w:val="-2"/>
        </w:rPr>
        <w:t>Support</w:t>
      </w:r>
    </w:p>
    <w:p w14:paraId="69F6CB43" w14:textId="77777777" w:rsidR="00DB6E1F" w:rsidRDefault="00F666A6">
      <w:pPr>
        <w:spacing w:before="144"/>
        <w:ind w:left="1440" w:right="1444"/>
      </w:pPr>
      <w:r>
        <w:rPr>
          <w:b/>
        </w:rPr>
        <w:t xml:space="preserve">Help clients enlist social support and build or enhance social networks that support recovery from SUDs. </w:t>
      </w:r>
      <w:r>
        <w:t>Positive social support for substance use behavior change is an important factor in clients’ initiating</w:t>
      </w:r>
      <w:r>
        <w:rPr>
          <w:spacing w:val="-3"/>
        </w:rPr>
        <w:t xml:space="preserve"> </w:t>
      </w:r>
      <w:r>
        <w:t>and</w:t>
      </w:r>
      <w:r>
        <w:rPr>
          <w:spacing w:val="-3"/>
        </w:rPr>
        <w:t xml:space="preserve"> </w:t>
      </w:r>
      <w:r>
        <w:t>sustaining</w:t>
      </w:r>
      <w:r>
        <w:rPr>
          <w:spacing w:val="-3"/>
        </w:rPr>
        <w:t xml:space="preserve"> </w:t>
      </w:r>
      <w:r>
        <w:t>behavior</w:t>
      </w:r>
      <w:r>
        <w:rPr>
          <w:spacing w:val="-4"/>
        </w:rPr>
        <w:t xml:space="preserve"> </w:t>
      </w:r>
      <w:r>
        <w:t>change</w:t>
      </w:r>
      <w:r>
        <w:rPr>
          <w:spacing w:val="-1"/>
        </w:rPr>
        <w:t xml:space="preserve"> </w:t>
      </w:r>
      <w:r>
        <w:t>(Black</w:t>
      </w:r>
      <w:r>
        <w:rPr>
          <w:spacing w:val="-4"/>
        </w:rPr>
        <w:t xml:space="preserve"> </w:t>
      </w:r>
      <w:r>
        <w:t>&amp;</w:t>
      </w:r>
      <w:r>
        <w:rPr>
          <w:spacing w:val="-1"/>
        </w:rPr>
        <w:t xml:space="preserve"> </w:t>
      </w:r>
      <w:r>
        <w:t>Chung,</w:t>
      </w:r>
      <w:r>
        <w:rPr>
          <w:spacing w:val="-2"/>
        </w:rPr>
        <w:t xml:space="preserve"> </w:t>
      </w:r>
      <w:r>
        <w:t>2014;</w:t>
      </w:r>
      <w:r>
        <w:rPr>
          <w:spacing w:val="-1"/>
        </w:rPr>
        <w:t xml:space="preserve"> </w:t>
      </w:r>
      <w:r>
        <w:t>Fergie</w:t>
      </w:r>
      <w:r>
        <w:rPr>
          <w:spacing w:val="-4"/>
        </w:rPr>
        <w:t xml:space="preserve"> </w:t>
      </w:r>
      <w:r>
        <w:t>et</w:t>
      </w:r>
      <w:r>
        <w:rPr>
          <w:spacing w:val="-4"/>
        </w:rPr>
        <w:t xml:space="preserve"> </w:t>
      </w:r>
      <w:r>
        <w:t>al.,</w:t>
      </w:r>
      <w:r>
        <w:rPr>
          <w:spacing w:val="-4"/>
        </w:rPr>
        <w:t xml:space="preserve"> </w:t>
      </w:r>
      <w:r>
        <w:t>2018;</w:t>
      </w:r>
      <w:r>
        <w:rPr>
          <w:spacing w:val="-3"/>
        </w:rPr>
        <w:t xml:space="preserve"> </w:t>
      </w:r>
      <w:r>
        <w:t>Rhoades</w:t>
      </w:r>
      <w:r>
        <w:rPr>
          <w:spacing w:val="-4"/>
        </w:rPr>
        <w:t xml:space="preserve"> </w:t>
      </w:r>
      <w:r>
        <w:t>et</w:t>
      </w:r>
      <w:r>
        <w:rPr>
          <w:spacing w:val="-4"/>
        </w:rPr>
        <w:t xml:space="preserve"> </w:t>
      </w:r>
      <w:r>
        <w:t>al.,</w:t>
      </w:r>
      <w:r>
        <w:rPr>
          <w:spacing w:val="-4"/>
        </w:rPr>
        <w:t xml:space="preserve"> </w:t>
      </w:r>
      <w:r>
        <w:t>2018).</w:t>
      </w:r>
    </w:p>
    <w:p w14:paraId="3BE0B34A" w14:textId="77777777" w:rsidR="00DB6E1F" w:rsidRDefault="00F666A6">
      <w:pPr>
        <w:pStyle w:val="BodyText"/>
        <w:spacing w:before="159"/>
        <w:ind w:left="1439" w:right="1470"/>
      </w:pPr>
      <w:r>
        <w:t>As a counselor, you are a central support for clients, but you cannot provide all the support they need.</w:t>
      </w:r>
      <w:r>
        <w:rPr>
          <w:spacing w:val="40"/>
        </w:rPr>
        <w:t xml:space="preserve"> </w:t>
      </w:r>
      <w:r>
        <w:t>In general, a supportive person is someone who will listen and not be judgmental. This supportive per</w:t>
      </w:r>
      <w:r>
        <w:t>son should have a helpful and encouraging attitude toward clients. Ideally, this person does not use or misuse substances and understands the processes of addiction and change. The Change Plan Worksheet (Exhibit 6.3) includes space for listing supportive i</w:t>
      </w:r>
      <w:r>
        <w:t>ndividuals and describing how they can help.</w:t>
      </w:r>
      <w:r>
        <w:rPr>
          <w:spacing w:val="-2"/>
        </w:rPr>
        <w:t xml:space="preserve"> </w:t>
      </w:r>
      <w:r>
        <w:t>As</w:t>
      </w:r>
      <w:r>
        <w:rPr>
          <w:spacing w:val="-1"/>
        </w:rPr>
        <w:t xml:space="preserve"> </w:t>
      </w:r>
      <w:r>
        <w:t>discussed</w:t>
      </w:r>
      <w:r>
        <w:rPr>
          <w:spacing w:val="-2"/>
        </w:rPr>
        <w:t xml:space="preserve"> </w:t>
      </w:r>
      <w:r>
        <w:t>in</w:t>
      </w:r>
      <w:r>
        <w:rPr>
          <w:spacing w:val="-4"/>
        </w:rPr>
        <w:t xml:space="preserve"> </w:t>
      </w:r>
      <w:r>
        <w:t>Chapter</w:t>
      </w:r>
      <w:r>
        <w:rPr>
          <w:spacing w:val="-1"/>
        </w:rPr>
        <w:t xml:space="preserve"> </w:t>
      </w:r>
      <w:r>
        <w:t>4,</w:t>
      </w:r>
      <w:r>
        <w:rPr>
          <w:spacing w:val="-3"/>
        </w:rPr>
        <w:t xml:space="preserve"> </w:t>
      </w:r>
      <w:r>
        <w:t>concerned</w:t>
      </w:r>
      <w:r>
        <w:rPr>
          <w:spacing w:val="-3"/>
        </w:rPr>
        <w:t xml:space="preserve"> </w:t>
      </w:r>
      <w:r>
        <w:t>significant</w:t>
      </w:r>
      <w:r>
        <w:rPr>
          <w:spacing w:val="-3"/>
        </w:rPr>
        <w:t xml:space="preserve"> </w:t>
      </w:r>
      <w:r>
        <w:t>others</w:t>
      </w:r>
      <w:r>
        <w:rPr>
          <w:spacing w:val="-3"/>
        </w:rPr>
        <w:t xml:space="preserve"> </w:t>
      </w:r>
      <w:r>
        <w:t>can</w:t>
      </w:r>
      <w:r>
        <w:rPr>
          <w:spacing w:val="-4"/>
        </w:rPr>
        <w:t xml:space="preserve"> </w:t>
      </w:r>
      <w:r>
        <w:t>offer</w:t>
      </w:r>
      <w:r>
        <w:rPr>
          <w:spacing w:val="-3"/>
        </w:rPr>
        <w:t xml:space="preserve"> </w:t>
      </w:r>
      <w:r>
        <w:t>support</w:t>
      </w:r>
      <w:r>
        <w:rPr>
          <w:spacing w:val="-1"/>
        </w:rPr>
        <w:t xml:space="preserve"> </w:t>
      </w:r>
      <w:r>
        <w:t>by</w:t>
      </w:r>
      <w:r>
        <w:rPr>
          <w:spacing w:val="-3"/>
        </w:rPr>
        <w:t xml:space="preserve"> </w:t>
      </w:r>
      <w:r>
        <w:t>learning some</w:t>
      </w:r>
      <w:r>
        <w:rPr>
          <w:spacing w:val="-3"/>
        </w:rPr>
        <w:t xml:space="preserve"> </w:t>
      </w:r>
      <w:r>
        <w:t>MI</w:t>
      </w:r>
      <w:r>
        <w:rPr>
          <w:spacing w:val="-4"/>
        </w:rPr>
        <w:t xml:space="preserve"> </w:t>
      </w:r>
      <w:r>
        <w:t>skills (e.g., offering simple reflective listening responses, becoming effective partners in change).</w:t>
      </w:r>
    </w:p>
    <w:p w14:paraId="364AF194" w14:textId="77777777" w:rsidR="00DB6E1F" w:rsidRDefault="00F666A6">
      <w:pPr>
        <w:pStyle w:val="Heading5"/>
        <w:ind w:left="1439"/>
        <w:rPr>
          <w:b w:val="0"/>
        </w:rPr>
      </w:pPr>
      <w:r>
        <w:t>Encourage</w:t>
      </w:r>
      <w:r>
        <w:rPr>
          <w:spacing w:val="-7"/>
        </w:rPr>
        <w:t xml:space="preserve"> </w:t>
      </w:r>
      <w:r>
        <w:t>clients</w:t>
      </w:r>
      <w:r>
        <w:rPr>
          <w:spacing w:val="-4"/>
        </w:rPr>
        <w:t xml:space="preserve"> </w:t>
      </w:r>
      <w:r>
        <w:t>to</w:t>
      </w:r>
      <w:r>
        <w:rPr>
          <w:spacing w:val="-8"/>
        </w:rPr>
        <w:t xml:space="preserve"> </w:t>
      </w:r>
      <w:r>
        <w:t>include</w:t>
      </w:r>
      <w:r>
        <w:rPr>
          <w:spacing w:val="-5"/>
        </w:rPr>
        <w:t xml:space="preserve"> </w:t>
      </w:r>
      <w:r>
        <w:t>social</w:t>
      </w:r>
      <w:r>
        <w:rPr>
          <w:spacing w:val="-3"/>
        </w:rPr>
        <w:t xml:space="preserve"> </w:t>
      </w:r>
      <w:r>
        <w:t>support</w:t>
      </w:r>
      <w:r>
        <w:rPr>
          <w:spacing w:val="-6"/>
        </w:rPr>
        <w:t xml:space="preserve"> </w:t>
      </w:r>
      <w:r>
        <w:t>strategies</w:t>
      </w:r>
      <w:r>
        <w:rPr>
          <w:spacing w:val="-6"/>
        </w:rPr>
        <w:t xml:space="preserve"> </w:t>
      </w:r>
      <w:r>
        <w:t>in</w:t>
      </w:r>
      <w:r>
        <w:rPr>
          <w:spacing w:val="-5"/>
        </w:rPr>
        <w:t xml:space="preserve"> </w:t>
      </w:r>
      <w:r>
        <w:t>their</w:t>
      </w:r>
      <w:r>
        <w:rPr>
          <w:spacing w:val="-5"/>
        </w:rPr>
        <w:t xml:space="preserve"> </w:t>
      </w:r>
      <w:r>
        <w:t>change</w:t>
      </w:r>
      <w:r>
        <w:rPr>
          <w:spacing w:val="-5"/>
        </w:rPr>
        <w:t xml:space="preserve"> </w:t>
      </w:r>
      <w:r>
        <w:t>plans.</w:t>
      </w:r>
      <w:r>
        <w:rPr>
          <w:spacing w:val="-5"/>
        </w:rPr>
        <w:t xml:space="preserve"> </w:t>
      </w:r>
      <w:r>
        <w:rPr>
          <w:b w:val="0"/>
        </w:rPr>
        <w:t>These</w:t>
      </w:r>
      <w:r>
        <w:rPr>
          <w:b w:val="0"/>
          <w:spacing w:val="-3"/>
        </w:rPr>
        <w:t xml:space="preserve"> </w:t>
      </w:r>
      <w:r>
        <w:rPr>
          <w:b w:val="0"/>
          <w:spacing w:val="-2"/>
        </w:rPr>
        <w:t>include:</w:t>
      </w:r>
    </w:p>
    <w:p w14:paraId="7422907B" w14:textId="77777777" w:rsidR="00DB6E1F" w:rsidRDefault="00F666A6">
      <w:pPr>
        <w:pStyle w:val="ListParagraph"/>
        <w:numPr>
          <w:ilvl w:val="0"/>
          <w:numId w:val="92"/>
        </w:numPr>
        <w:tabs>
          <w:tab w:val="left" w:pos="1799"/>
          <w:tab w:val="left" w:pos="1800"/>
        </w:tabs>
        <w:spacing w:before="61"/>
        <w:ind w:left="1799" w:right="1753" w:hanging="360"/>
        <w:rPr>
          <w:rFonts w:ascii="Symbol" w:hAnsi="Symbol"/>
        </w:rPr>
      </w:pPr>
      <w:r>
        <w:rPr>
          <w:b/>
        </w:rPr>
        <w:t>Engaging in activities with friends that don’t involve substa</w:t>
      </w:r>
      <w:r>
        <w:rPr>
          <w:b/>
        </w:rPr>
        <w:t xml:space="preserve">nce use. </w:t>
      </w:r>
      <w:r>
        <w:t>Social support often entails participating</w:t>
      </w:r>
      <w:r>
        <w:rPr>
          <w:spacing w:val="-2"/>
        </w:rPr>
        <w:t xml:space="preserve"> </w:t>
      </w:r>
      <w:r>
        <w:t>in</w:t>
      </w:r>
      <w:r>
        <w:rPr>
          <w:spacing w:val="-3"/>
        </w:rPr>
        <w:t xml:space="preserve"> </w:t>
      </w:r>
      <w:r>
        <w:t>non-substance‒use</w:t>
      </w:r>
      <w:r>
        <w:rPr>
          <w:spacing w:val="-4"/>
        </w:rPr>
        <w:t xml:space="preserve"> </w:t>
      </w:r>
      <w:r>
        <w:t>activities,</w:t>
      </w:r>
      <w:r>
        <w:rPr>
          <w:spacing w:val="-2"/>
        </w:rPr>
        <w:t xml:space="preserve"> </w:t>
      </w:r>
      <w:r>
        <w:t>so</w:t>
      </w:r>
      <w:r>
        <w:rPr>
          <w:spacing w:val="-1"/>
        </w:rPr>
        <w:t xml:space="preserve"> </w:t>
      </w:r>
      <w:r>
        <w:t>close</w:t>
      </w:r>
      <w:r>
        <w:rPr>
          <w:spacing w:val="-6"/>
        </w:rPr>
        <w:t xml:space="preserve"> </w:t>
      </w:r>
      <w:r>
        <w:t>friends</w:t>
      </w:r>
      <w:r>
        <w:rPr>
          <w:spacing w:val="-2"/>
        </w:rPr>
        <w:t xml:space="preserve"> </w:t>
      </w:r>
      <w:r>
        <w:t>with</w:t>
      </w:r>
      <w:r>
        <w:rPr>
          <w:spacing w:val="-5"/>
        </w:rPr>
        <w:t xml:space="preserve"> </w:t>
      </w:r>
      <w:r>
        <w:t>whom</w:t>
      </w:r>
      <w:r>
        <w:rPr>
          <w:spacing w:val="-3"/>
        </w:rPr>
        <w:t xml:space="preserve"> </w:t>
      </w:r>
      <w:r>
        <w:t>clients</w:t>
      </w:r>
      <w:r>
        <w:rPr>
          <w:spacing w:val="-4"/>
        </w:rPr>
        <w:t xml:space="preserve"> </w:t>
      </w:r>
      <w:r>
        <w:t>have</w:t>
      </w:r>
      <w:r>
        <w:rPr>
          <w:spacing w:val="-1"/>
        </w:rPr>
        <w:t xml:space="preserve"> </w:t>
      </w:r>
      <w:r>
        <w:t>a</w:t>
      </w:r>
      <w:r>
        <w:rPr>
          <w:spacing w:val="-5"/>
        </w:rPr>
        <w:t xml:space="preserve"> </w:t>
      </w:r>
      <w:r>
        <w:t>history</w:t>
      </w:r>
      <w:r>
        <w:rPr>
          <w:spacing w:val="-3"/>
        </w:rPr>
        <w:t xml:space="preserve"> </w:t>
      </w:r>
      <w:r>
        <w:t>of shared interests other than substance use are good candidates for this helpful role. Members of social</w:t>
      </w:r>
      <w:r>
        <w:rPr>
          <w:spacing w:val="-1"/>
        </w:rPr>
        <w:t xml:space="preserve"> </w:t>
      </w:r>
      <w:r>
        <w:t>groups</w:t>
      </w:r>
      <w:r>
        <w:rPr>
          <w:spacing w:val="-1"/>
        </w:rPr>
        <w:t xml:space="preserve"> </w:t>
      </w:r>
      <w:r>
        <w:t>who drink</w:t>
      </w:r>
      <w:r>
        <w:rPr>
          <w:spacing w:val="-3"/>
        </w:rPr>
        <w:t xml:space="preserve"> </w:t>
      </w:r>
      <w:r>
        <w:t>and</w:t>
      </w:r>
      <w:r>
        <w:rPr>
          <w:spacing w:val="-1"/>
        </w:rPr>
        <w:t xml:space="preserve"> </w:t>
      </w:r>
      <w:r>
        <w:t>use drugs</w:t>
      </w:r>
      <w:r>
        <w:rPr>
          <w:spacing w:val="-1"/>
        </w:rPr>
        <w:t xml:space="preserve"> </w:t>
      </w:r>
      <w:r>
        <w:t>are</w:t>
      </w:r>
      <w:r>
        <w:rPr>
          <w:spacing w:val="-3"/>
        </w:rPr>
        <w:t xml:space="preserve"> </w:t>
      </w:r>
      <w:r>
        <w:t>not</w:t>
      </w:r>
      <w:r>
        <w:rPr>
          <w:spacing w:val="-3"/>
        </w:rPr>
        <w:t xml:space="preserve"> </w:t>
      </w:r>
      <w:r>
        <w:t>likely to</w:t>
      </w:r>
      <w:r>
        <w:rPr>
          <w:spacing w:val="-2"/>
        </w:rPr>
        <w:t xml:space="preserve"> </w:t>
      </w:r>
      <w:r>
        <w:t>offer</w:t>
      </w:r>
      <w:r>
        <w:rPr>
          <w:spacing w:val="-3"/>
        </w:rPr>
        <w:t xml:space="preserve"> </w:t>
      </w:r>
      <w:r>
        <w:t>the support clients</w:t>
      </w:r>
      <w:r>
        <w:rPr>
          <w:spacing w:val="-3"/>
        </w:rPr>
        <w:t xml:space="preserve"> </w:t>
      </w:r>
      <w:r>
        <w:t>need</w:t>
      </w:r>
      <w:r>
        <w:rPr>
          <w:spacing w:val="-1"/>
        </w:rPr>
        <w:t xml:space="preserve"> </w:t>
      </w:r>
      <w:r>
        <w:t>in</w:t>
      </w:r>
      <w:r>
        <w:rPr>
          <w:spacing w:val="-2"/>
        </w:rPr>
        <w:t xml:space="preserve"> </w:t>
      </w:r>
      <w:r>
        <w:t>recovery.</w:t>
      </w:r>
    </w:p>
    <w:p w14:paraId="6D0DB717" w14:textId="77777777" w:rsidR="00DB6E1F" w:rsidRDefault="00F666A6">
      <w:pPr>
        <w:pStyle w:val="ListParagraph"/>
        <w:numPr>
          <w:ilvl w:val="0"/>
          <w:numId w:val="92"/>
        </w:numPr>
        <w:tabs>
          <w:tab w:val="left" w:pos="1798"/>
          <w:tab w:val="left" w:pos="1800"/>
        </w:tabs>
        <w:spacing w:before="59"/>
        <w:ind w:left="1799" w:right="1506"/>
        <w:rPr>
          <w:rFonts w:ascii="Symbol" w:hAnsi="Symbol"/>
        </w:rPr>
      </w:pPr>
      <w:r>
        <w:rPr>
          <w:b/>
        </w:rPr>
        <w:t>Repairing</w:t>
      </w:r>
      <w:r>
        <w:rPr>
          <w:b/>
          <w:spacing w:val="-2"/>
        </w:rPr>
        <w:t xml:space="preserve"> </w:t>
      </w:r>
      <w:r>
        <w:rPr>
          <w:b/>
        </w:rPr>
        <w:t>or</w:t>
      </w:r>
      <w:r>
        <w:rPr>
          <w:b/>
          <w:spacing w:val="-4"/>
        </w:rPr>
        <w:t xml:space="preserve"> </w:t>
      </w:r>
      <w:r>
        <w:rPr>
          <w:b/>
        </w:rPr>
        <w:t>resuming</w:t>
      </w:r>
      <w:r>
        <w:rPr>
          <w:b/>
          <w:spacing w:val="-4"/>
        </w:rPr>
        <w:t xml:space="preserve"> </w:t>
      </w:r>
      <w:r>
        <w:rPr>
          <w:b/>
        </w:rPr>
        <w:t>connections</w:t>
      </w:r>
      <w:r>
        <w:rPr>
          <w:b/>
          <w:spacing w:val="-5"/>
        </w:rPr>
        <w:t xml:space="preserve"> </w:t>
      </w:r>
      <w:r>
        <w:rPr>
          <w:b/>
        </w:rPr>
        <w:t>with</w:t>
      </w:r>
      <w:r>
        <w:rPr>
          <w:b/>
          <w:spacing w:val="-4"/>
        </w:rPr>
        <w:t xml:space="preserve"> </w:t>
      </w:r>
      <w:r>
        <w:rPr>
          <w:b/>
        </w:rPr>
        <w:t>supportive</w:t>
      </w:r>
      <w:r>
        <w:rPr>
          <w:b/>
          <w:spacing w:val="-4"/>
        </w:rPr>
        <w:t xml:space="preserve"> </w:t>
      </w:r>
      <w:r>
        <w:rPr>
          <w:b/>
        </w:rPr>
        <w:t>family</w:t>
      </w:r>
      <w:r>
        <w:rPr>
          <w:b/>
          <w:spacing w:val="-2"/>
        </w:rPr>
        <w:t xml:space="preserve"> </w:t>
      </w:r>
      <w:r>
        <w:rPr>
          <w:b/>
        </w:rPr>
        <w:t>members</w:t>
      </w:r>
      <w:r>
        <w:rPr>
          <w:b/>
          <w:spacing w:val="-2"/>
        </w:rPr>
        <w:t xml:space="preserve"> </w:t>
      </w:r>
      <w:r>
        <w:rPr>
          <w:b/>
        </w:rPr>
        <w:t>and</w:t>
      </w:r>
      <w:r>
        <w:rPr>
          <w:b/>
          <w:spacing w:val="-8"/>
        </w:rPr>
        <w:t xml:space="preserve"> </w:t>
      </w:r>
      <w:r>
        <w:rPr>
          <w:b/>
        </w:rPr>
        <w:t>significant</w:t>
      </w:r>
      <w:r>
        <w:rPr>
          <w:b/>
          <w:spacing w:val="-3"/>
        </w:rPr>
        <w:t xml:space="preserve"> </w:t>
      </w:r>
      <w:r>
        <w:rPr>
          <w:b/>
        </w:rPr>
        <w:t>others.</w:t>
      </w:r>
      <w:r>
        <w:rPr>
          <w:b/>
          <w:spacing w:val="-2"/>
        </w:rPr>
        <w:t xml:space="preserve"> </w:t>
      </w:r>
      <w:r>
        <w:t>Clients can find supportive people among their family members and close friends as well as in faith-based and spiritual organizations, recreational centers, and community volunteer organizations. To make these connections, e</w:t>
      </w:r>
      <w:r>
        <w:t>ncourage clients to explore and discuss a time in their lives before substance use became a central focus. Ask them what gave meaning to their lives at that time.</w:t>
      </w:r>
    </w:p>
    <w:p w14:paraId="4235E9A9" w14:textId="77777777" w:rsidR="00DB6E1F" w:rsidRDefault="00F666A6">
      <w:pPr>
        <w:pStyle w:val="ListParagraph"/>
        <w:numPr>
          <w:ilvl w:val="0"/>
          <w:numId w:val="92"/>
        </w:numPr>
        <w:tabs>
          <w:tab w:val="left" w:pos="1799"/>
          <w:tab w:val="left" w:pos="1800"/>
        </w:tabs>
        <w:spacing w:before="61"/>
        <w:ind w:left="1799" w:right="1511" w:hanging="360"/>
        <w:rPr>
          <w:rFonts w:ascii="Symbol" w:hAnsi="Symbol"/>
        </w:rPr>
      </w:pPr>
      <w:r>
        <w:rPr>
          <w:b/>
        </w:rPr>
        <w:t xml:space="preserve">Participating in AA or other recovery support groups. </w:t>
      </w:r>
      <w:r>
        <w:t>Recovery groups provide clients with so</w:t>
      </w:r>
      <w:r>
        <w:t>cial support for behavior change, positive role models of recovery, recovering friendship networks, and hope</w:t>
      </w:r>
      <w:r>
        <w:rPr>
          <w:spacing w:val="-3"/>
        </w:rPr>
        <w:t xml:space="preserve"> </w:t>
      </w:r>
      <w:r>
        <w:t>that</w:t>
      </w:r>
      <w:r>
        <w:rPr>
          <w:spacing w:val="-4"/>
        </w:rPr>
        <w:t xml:space="preserve"> </w:t>
      </w:r>
      <w:r>
        <w:t>recovery</w:t>
      </w:r>
      <w:r>
        <w:rPr>
          <w:spacing w:val="-2"/>
        </w:rPr>
        <w:t xml:space="preserve"> </w:t>
      </w:r>
      <w:r>
        <w:t>is</w:t>
      </w:r>
      <w:r>
        <w:rPr>
          <w:spacing w:val="-3"/>
        </w:rPr>
        <w:t xml:space="preserve"> </w:t>
      </w:r>
      <w:r>
        <w:t>possible.</w:t>
      </w:r>
      <w:r>
        <w:rPr>
          <w:spacing w:val="-4"/>
        </w:rPr>
        <w:t xml:space="preserve"> </w:t>
      </w:r>
      <w:r>
        <w:t>Research</w:t>
      </w:r>
      <w:r>
        <w:rPr>
          <w:spacing w:val="-4"/>
        </w:rPr>
        <w:t xml:space="preserve"> </w:t>
      </w:r>
      <w:r>
        <w:t>confirms</w:t>
      </w:r>
      <w:r>
        <w:rPr>
          <w:spacing w:val="-2"/>
        </w:rPr>
        <w:t xml:space="preserve"> </w:t>
      </w:r>
      <w:r>
        <w:t>that</w:t>
      </w:r>
      <w:r>
        <w:rPr>
          <w:spacing w:val="-4"/>
        </w:rPr>
        <w:t xml:space="preserve"> </w:t>
      </w:r>
      <w:r>
        <w:t>participation</w:t>
      </w:r>
      <w:r>
        <w:rPr>
          <w:spacing w:val="-4"/>
        </w:rPr>
        <w:t xml:space="preserve"> </w:t>
      </w:r>
      <w:r>
        <w:t>in</w:t>
      </w:r>
      <w:r>
        <w:rPr>
          <w:spacing w:val="-4"/>
        </w:rPr>
        <w:t xml:space="preserve"> </w:t>
      </w:r>
      <w:r>
        <w:t>AA</w:t>
      </w:r>
      <w:r>
        <w:rPr>
          <w:spacing w:val="-3"/>
        </w:rPr>
        <w:t xml:space="preserve"> </w:t>
      </w:r>
      <w:r>
        <w:t>is</w:t>
      </w:r>
      <w:r>
        <w:rPr>
          <w:spacing w:val="-3"/>
        </w:rPr>
        <w:t xml:space="preserve"> </w:t>
      </w:r>
      <w:r>
        <w:t>associated</w:t>
      </w:r>
      <w:r>
        <w:rPr>
          <w:spacing w:val="-4"/>
        </w:rPr>
        <w:t xml:space="preserve"> </w:t>
      </w:r>
      <w:r>
        <w:t>with</w:t>
      </w:r>
      <w:r>
        <w:rPr>
          <w:spacing w:val="-4"/>
        </w:rPr>
        <w:t xml:space="preserve"> </w:t>
      </w:r>
      <w:r>
        <w:t>positive alcohol-related, psychological, and social outcomes (Humphreys, Blodgett, &amp; Wagner, 2014).</w:t>
      </w:r>
    </w:p>
    <w:p w14:paraId="2951DF6C" w14:textId="77777777" w:rsidR="00DB6E1F" w:rsidRDefault="00F666A6">
      <w:pPr>
        <w:pStyle w:val="ListParagraph"/>
        <w:numPr>
          <w:ilvl w:val="0"/>
          <w:numId w:val="92"/>
        </w:numPr>
        <w:tabs>
          <w:tab w:val="left" w:pos="1799"/>
          <w:tab w:val="left" w:pos="1800"/>
        </w:tabs>
        <w:spacing w:before="58"/>
        <w:ind w:left="1798" w:right="1504" w:hanging="360"/>
        <w:rPr>
          <w:rFonts w:ascii="Symbol" w:hAnsi="Symbol"/>
        </w:rPr>
      </w:pPr>
      <w:r>
        <w:rPr>
          <w:b/>
        </w:rPr>
        <w:t>Connecting</w:t>
      </w:r>
      <w:r>
        <w:rPr>
          <w:b/>
          <w:spacing w:val="-4"/>
        </w:rPr>
        <w:t xml:space="preserve"> </w:t>
      </w:r>
      <w:r>
        <w:rPr>
          <w:b/>
        </w:rPr>
        <w:t>with</w:t>
      </w:r>
      <w:r>
        <w:rPr>
          <w:b/>
          <w:spacing w:val="-4"/>
        </w:rPr>
        <w:t xml:space="preserve"> </w:t>
      </w:r>
      <w:r>
        <w:rPr>
          <w:b/>
        </w:rPr>
        <w:t>addiction-focused</w:t>
      </w:r>
      <w:r>
        <w:rPr>
          <w:b/>
          <w:spacing w:val="-4"/>
        </w:rPr>
        <w:t xml:space="preserve"> </w:t>
      </w:r>
      <w:r>
        <w:rPr>
          <w:b/>
        </w:rPr>
        <w:t>peer</w:t>
      </w:r>
      <w:r>
        <w:rPr>
          <w:b/>
          <w:spacing w:val="-2"/>
        </w:rPr>
        <w:t xml:space="preserve"> </w:t>
      </w:r>
      <w:r>
        <w:rPr>
          <w:b/>
        </w:rPr>
        <w:t>support.</w:t>
      </w:r>
      <w:r>
        <w:rPr>
          <w:b/>
          <w:spacing w:val="-5"/>
        </w:rPr>
        <w:t xml:space="preserve"> </w:t>
      </w:r>
      <w:r>
        <w:t>Peer</w:t>
      </w:r>
      <w:r>
        <w:rPr>
          <w:spacing w:val="-3"/>
        </w:rPr>
        <w:t xml:space="preserve"> </w:t>
      </w:r>
      <w:r>
        <w:t>recovery</w:t>
      </w:r>
      <w:r>
        <w:rPr>
          <w:spacing w:val="-4"/>
        </w:rPr>
        <w:t xml:space="preserve"> </w:t>
      </w:r>
      <w:r>
        <w:t>support</w:t>
      </w:r>
      <w:r>
        <w:rPr>
          <w:spacing w:val="-2"/>
        </w:rPr>
        <w:t xml:space="preserve"> </w:t>
      </w:r>
      <w:r>
        <w:t>specialists</w:t>
      </w:r>
      <w:r>
        <w:rPr>
          <w:spacing w:val="-3"/>
        </w:rPr>
        <w:t xml:space="preserve"> </w:t>
      </w:r>
      <w:r>
        <w:t>can</w:t>
      </w:r>
      <w:r>
        <w:rPr>
          <w:spacing w:val="-4"/>
        </w:rPr>
        <w:t xml:space="preserve"> </w:t>
      </w:r>
      <w:r>
        <w:t>be</w:t>
      </w:r>
      <w:r>
        <w:rPr>
          <w:spacing w:val="-5"/>
        </w:rPr>
        <w:t xml:space="preserve"> </w:t>
      </w:r>
      <w:r>
        <w:t xml:space="preserve">recovery role models and an important source of social support for </w:t>
      </w:r>
      <w:r>
        <w:t>clients. Client participation in peer recovery support services with a peer specialist leads to positive social support and improved substance use outcomes, including decreased alcohol use and hospitalizations as well as better adherence to treatment goals</w:t>
      </w:r>
      <w:r>
        <w:t xml:space="preserve"> after discharge (Bassuk, Hanson, Greene, Richard, &amp; Laudet, 2016). Oxford Houses and similar sober living housing options have built-in social support systems.</w:t>
      </w:r>
    </w:p>
    <w:p w14:paraId="44F502B5" w14:textId="77777777" w:rsidR="00DB6E1F" w:rsidRDefault="00F666A6">
      <w:pPr>
        <w:pStyle w:val="ListParagraph"/>
        <w:numPr>
          <w:ilvl w:val="0"/>
          <w:numId w:val="92"/>
        </w:numPr>
        <w:tabs>
          <w:tab w:val="left" w:pos="1798"/>
          <w:tab w:val="left" w:pos="1800"/>
        </w:tabs>
        <w:spacing w:before="59"/>
        <w:ind w:left="1798" w:right="1564" w:hanging="360"/>
        <w:rPr>
          <w:rFonts w:ascii="Symbol" w:hAnsi="Symbol"/>
        </w:rPr>
      </w:pPr>
      <w:r>
        <w:rPr>
          <w:b/>
        </w:rPr>
        <w:t>Connecting clients with a</w:t>
      </w:r>
      <w:r>
        <w:rPr>
          <w:b/>
          <w:spacing w:val="-2"/>
        </w:rPr>
        <w:t xml:space="preserve"> </w:t>
      </w:r>
      <w:r>
        <w:rPr>
          <w:b/>
        </w:rPr>
        <w:t xml:space="preserve">case manager. </w:t>
      </w:r>
      <w:r>
        <w:t>For</w:t>
      </w:r>
      <w:r>
        <w:rPr>
          <w:spacing w:val="-1"/>
        </w:rPr>
        <w:t xml:space="preserve"> </w:t>
      </w:r>
      <w:r>
        <w:t>some</w:t>
      </w:r>
      <w:r>
        <w:rPr>
          <w:spacing w:val="-1"/>
        </w:rPr>
        <w:t xml:space="preserve"> </w:t>
      </w:r>
      <w:r>
        <w:t>clients, especially those</w:t>
      </w:r>
      <w:r>
        <w:rPr>
          <w:spacing w:val="-1"/>
        </w:rPr>
        <w:t xml:space="preserve"> </w:t>
      </w:r>
      <w:r>
        <w:t>with</w:t>
      </w:r>
      <w:r>
        <w:rPr>
          <w:spacing w:val="-2"/>
        </w:rPr>
        <w:t xml:space="preserve"> </w:t>
      </w:r>
      <w:r>
        <w:t>chronic</w:t>
      </w:r>
      <w:r>
        <w:rPr>
          <w:spacing w:val="-1"/>
        </w:rPr>
        <w:t xml:space="preserve"> </w:t>
      </w:r>
      <w:r>
        <w:t>medical</w:t>
      </w:r>
      <w:r>
        <w:rPr>
          <w:spacing w:val="-1"/>
        </w:rPr>
        <w:t xml:space="preserve"> </w:t>
      </w:r>
      <w:r>
        <w:t>or serious</w:t>
      </w:r>
      <w:r>
        <w:rPr>
          <w:spacing w:val="-4"/>
        </w:rPr>
        <w:t xml:space="preserve"> </w:t>
      </w:r>
      <w:r>
        <w:t>mental</w:t>
      </w:r>
      <w:r>
        <w:rPr>
          <w:spacing w:val="-3"/>
        </w:rPr>
        <w:t xml:space="preserve"> </w:t>
      </w:r>
      <w:r>
        <w:t>illness,</w:t>
      </w:r>
      <w:r>
        <w:rPr>
          <w:spacing w:val="-3"/>
        </w:rPr>
        <w:t xml:space="preserve"> </w:t>
      </w:r>
      <w:r>
        <w:t>case</w:t>
      </w:r>
      <w:r>
        <w:rPr>
          <w:spacing w:val="-4"/>
        </w:rPr>
        <w:t xml:space="preserve"> </w:t>
      </w:r>
      <w:r>
        <w:t>management</w:t>
      </w:r>
      <w:r>
        <w:rPr>
          <w:spacing w:val="-2"/>
        </w:rPr>
        <w:t xml:space="preserve"> </w:t>
      </w:r>
      <w:r>
        <w:t>teams</w:t>
      </w:r>
      <w:r>
        <w:rPr>
          <w:spacing w:val="-3"/>
        </w:rPr>
        <w:t xml:space="preserve"> </w:t>
      </w:r>
      <w:r>
        <w:t>provide</w:t>
      </w:r>
      <w:r>
        <w:rPr>
          <w:spacing w:val="-2"/>
        </w:rPr>
        <w:t xml:space="preserve"> </w:t>
      </w:r>
      <w:r>
        <w:t>a</w:t>
      </w:r>
      <w:r>
        <w:rPr>
          <w:spacing w:val="-3"/>
        </w:rPr>
        <w:t xml:space="preserve"> </w:t>
      </w:r>
      <w:r>
        <w:t>sense</w:t>
      </w:r>
      <w:r>
        <w:rPr>
          <w:spacing w:val="-4"/>
        </w:rPr>
        <w:t xml:space="preserve"> </w:t>
      </w:r>
      <w:r>
        <w:t>of</w:t>
      </w:r>
      <w:r>
        <w:rPr>
          <w:spacing w:val="-3"/>
        </w:rPr>
        <w:t xml:space="preserve"> </w:t>
      </w:r>
      <w:r>
        <w:t>safety,</w:t>
      </w:r>
      <w:r>
        <w:rPr>
          <w:spacing w:val="-3"/>
        </w:rPr>
        <w:t xml:space="preserve"> </w:t>
      </w:r>
      <w:r>
        <w:t>structure,</w:t>
      </w:r>
      <w:r>
        <w:rPr>
          <w:spacing w:val="-3"/>
        </w:rPr>
        <w:t xml:space="preserve"> </w:t>
      </w:r>
      <w:r>
        <w:t>and</w:t>
      </w:r>
      <w:r>
        <w:rPr>
          <w:spacing w:val="-4"/>
        </w:rPr>
        <w:t xml:space="preserve"> </w:t>
      </w:r>
      <w:r>
        <w:t>support.</w:t>
      </w:r>
      <w:r>
        <w:rPr>
          <w:spacing w:val="-4"/>
        </w:rPr>
        <w:t xml:space="preserve"> </w:t>
      </w:r>
      <w:r>
        <w:t>A case manager can also actively link clients to community-based social services, federal and state financial assistance, and other ancillary services that support clients’ recovery efforts.</w:t>
      </w:r>
    </w:p>
    <w:p w14:paraId="0675B6BE" w14:textId="77777777" w:rsidR="00DB6E1F" w:rsidRDefault="00F666A6">
      <w:pPr>
        <w:spacing w:before="162"/>
        <w:ind w:left="1438" w:right="1467"/>
      </w:pPr>
      <w:r>
        <w:rPr>
          <w:b/>
        </w:rPr>
        <w:t>When</w:t>
      </w:r>
      <w:r>
        <w:rPr>
          <w:b/>
          <w:spacing w:val="-4"/>
        </w:rPr>
        <w:t xml:space="preserve"> </w:t>
      </w:r>
      <w:r>
        <w:rPr>
          <w:b/>
        </w:rPr>
        <w:t>helping</w:t>
      </w:r>
      <w:r>
        <w:rPr>
          <w:b/>
          <w:spacing w:val="-2"/>
        </w:rPr>
        <w:t xml:space="preserve"> </w:t>
      </w:r>
      <w:r>
        <w:rPr>
          <w:b/>
        </w:rPr>
        <w:t>clients</w:t>
      </w:r>
      <w:r>
        <w:rPr>
          <w:b/>
          <w:spacing w:val="-2"/>
        </w:rPr>
        <w:t xml:space="preserve"> </w:t>
      </w:r>
      <w:r>
        <w:rPr>
          <w:b/>
        </w:rPr>
        <w:t>enlist</w:t>
      </w:r>
      <w:r>
        <w:rPr>
          <w:b/>
          <w:spacing w:val="-3"/>
        </w:rPr>
        <w:t xml:space="preserve"> </w:t>
      </w:r>
      <w:r>
        <w:rPr>
          <w:b/>
        </w:rPr>
        <w:t>social</w:t>
      </w:r>
      <w:r>
        <w:rPr>
          <w:b/>
          <w:spacing w:val="-4"/>
        </w:rPr>
        <w:t xml:space="preserve"> </w:t>
      </w:r>
      <w:r>
        <w:rPr>
          <w:b/>
        </w:rPr>
        <w:t>support,</w:t>
      </w:r>
      <w:r>
        <w:rPr>
          <w:b/>
          <w:spacing w:val="-2"/>
        </w:rPr>
        <w:t xml:space="preserve"> </w:t>
      </w:r>
      <w:r>
        <w:rPr>
          <w:b/>
        </w:rPr>
        <w:t>be</w:t>
      </w:r>
      <w:r>
        <w:rPr>
          <w:b/>
          <w:spacing w:val="-3"/>
        </w:rPr>
        <w:t xml:space="preserve"> </w:t>
      </w:r>
      <w:r>
        <w:rPr>
          <w:b/>
        </w:rPr>
        <w:t>particularly</w:t>
      </w:r>
      <w:r>
        <w:rPr>
          <w:b/>
          <w:spacing w:val="-2"/>
        </w:rPr>
        <w:t xml:space="preserve"> </w:t>
      </w:r>
      <w:r>
        <w:rPr>
          <w:b/>
        </w:rPr>
        <w:t>alert</w:t>
      </w:r>
      <w:r>
        <w:rPr>
          <w:b/>
          <w:spacing w:val="-3"/>
        </w:rPr>
        <w:t xml:space="preserve"> </w:t>
      </w:r>
      <w:r>
        <w:rPr>
          <w:b/>
        </w:rPr>
        <w:t>for</w:t>
      </w:r>
      <w:r>
        <w:rPr>
          <w:b/>
          <w:spacing w:val="-5"/>
        </w:rPr>
        <w:t xml:space="preserve"> </w:t>
      </w:r>
      <w:r>
        <w:rPr>
          <w:b/>
        </w:rPr>
        <w:t>clients</w:t>
      </w:r>
      <w:r>
        <w:rPr>
          <w:b/>
          <w:spacing w:val="-4"/>
        </w:rPr>
        <w:t xml:space="preserve"> </w:t>
      </w:r>
      <w:r>
        <w:rPr>
          <w:b/>
        </w:rPr>
        <w:t>who</w:t>
      </w:r>
      <w:r>
        <w:rPr>
          <w:b/>
          <w:spacing w:val="-4"/>
        </w:rPr>
        <w:t xml:space="preserve"> </w:t>
      </w:r>
      <w:r>
        <w:rPr>
          <w:b/>
        </w:rPr>
        <w:t>have</w:t>
      </w:r>
      <w:r>
        <w:rPr>
          <w:b/>
          <w:spacing w:val="-4"/>
        </w:rPr>
        <w:t xml:space="preserve"> </w:t>
      </w:r>
      <w:r>
        <w:rPr>
          <w:b/>
        </w:rPr>
        <w:t>limited</w:t>
      </w:r>
      <w:r>
        <w:rPr>
          <w:b/>
          <w:spacing w:val="-4"/>
        </w:rPr>
        <w:t xml:space="preserve"> </w:t>
      </w:r>
      <w:r>
        <w:rPr>
          <w:b/>
        </w:rPr>
        <w:t>social</w:t>
      </w:r>
      <w:r>
        <w:rPr>
          <w:b/>
          <w:spacing w:val="-4"/>
        </w:rPr>
        <w:t xml:space="preserve"> </w:t>
      </w:r>
      <w:r>
        <w:rPr>
          <w:b/>
        </w:rPr>
        <w:t xml:space="preserve">skills or social networks. </w:t>
      </w:r>
      <w:r>
        <w:t>Some clients may have to learn social skills and ways to structure leisure time. Add social skill-building</w:t>
      </w:r>
      <w:r>
        <w:rPr>
          <w:spacing w:val="-1"/>
        </w:rPr>
        <w:t xml:space="preserve"> </w:t>
      </w:r>
      <w:r>
        <w:t>steps into</w:t>
      </w:r>
      <w:r>
        <w:rPr>
          <w:spacing w:val="-1"/>
        </w:rPr>
        <w:t xml:space="preserve"> </w:t>
      </w:r>
      <w:r>
        <w:t>the change</w:t>
      </w:r>
      <w:r>
        <w:rPr>
          <w:spacing w:val="-2"/>
        </w:rPr>
        <w:t xml:space="preserve"> </w:t>
      </w:r>
      <w:r>
        <w:t>plan. Some</w:t>
      </w:r>
      <w:r>
        <w:rPr>
          <w:spacing w:val="-2"/>
        </w:rPr>
        <w:t xml:space="preserve"> </w:t>
      </w:r>
      <w:r>
        <w:t>clients</w:t>
      </w:r>
      <w:r>
        <w:rPr>
          <w:spacing w:val="-2"/>
        </w:rPr>
        <w:t xml:space="preserve"> </w:t>
      </w:r>
      <w:r>
        <w:t>may not</w:t>
      </w:r>
      <w:r>
        <w:rPr>
          <w:spacing w:val="-2"/>
        </w:rPr>
        <w:t xml:space="preserve"> </w:t>
      </w:r>
      <w:r>
        <w:t>be connected</w:t>
      </w:r>
      <w:r>
        <w:rPr>
          <w:spacing w:val="-1"/>
        </w:rPr>
        <w:t xml:space="preserve"> </w:t>
      </w:r>
      <w:r>
        <w:t>to any social network t</w:t>
      </w:r>
      <w:r>
        <w:t>hat is not organized around substance use. Furthermore, addiction may have so narrowed their focus</w:t>
      </w:r>
      <w:r>
        <w:rPr>
          <w:spacing w:val="40"/>
        </w:rPr>
        <w:t xml:space="preserve"> </w:t>
      </w:r>
      <w:r>
        <w:t>to the point where they have trouble recalling activities that once held their interest or appealed to them. However, most people have unfulfilled desires to</w:t>
      </w:r>
      <w:r>
        <w:t xml:space="preserve"> pursue an activity at some time in their lives.</w:t>
      </w:r>
    </w:p>
    <w:p w14:paraId="6CF05A75" w14:textId="77777777" w:rsidR="00DB6E1F" w:rsidRDefault="00F666A6">
      <w:pPr>
        <w:pStyle w:val="BodyText"/>
        <w:ind w:left="1438" w:right="1491"/>
      </w:pPr>
      <w:r>
        <w:t>Ask about these wishes. One client may want to learn ballroom dancing, another to learn a martial art, or</w:t>
      </w:r>
      <w:r>
        <w:rPr>
          <w:spacing w:val="-2"/>
        </w:rPr>
        <w:t xml:space="preserve"> </w:t>
      </w:r>
      <w:r>
        <w:t>still</w:t>
      </w:r>
      <w:r>
        <w:rPr>
          <w:spacing w:val="-5"/>
        </w:rPr>
        <w:t xml:space="preserve"> </w:t>
      </w:r>
      <w:r>
        <w:t>another</w:t>
      </w:r>
      <w:r>
        <w:rPr>
          <w:spacing w:val="-2"/>
        </w:rPr>
        <w:t xml:space="preserve"> </w:t>
      </w:r>
      <w:r>
        <w:t>to</w:t>
      </w:r>
      <w:r>
        <w:rPr>
          <w:spacing w:val="-1"/>
        </w:rPr>
        <w:t xml:space="preserve"> </w:t>
      </w:r>
      <w:r>
        <w:t>take</w:t>
      </w:r>
      <w:r>
        <w:rPr>
          <w:spacing w:val="-4"/>
        </w:rPr>
        <w:t xml:space="preserve"> </w:t>
      </w:r>
      <w:r>
        <w:t>a</w:t>
      </w:r>
      <w:r>
        <w:rPr>
          <w:spacing w:val="-2"/>
        </w:rPr>
        <w:t xml:space="preserve"> </w:t>
      </w:r>
      <w:r>
        <w:t>creative</w:t>
      </w:r>
      <w:r>
        <w:rPr>
          <w:spacing w:val="-1"/>
        </w:rPr>
        <w:t xml:space="preserve"> </w:t>
      </w:r>
      <w:r>
        <w:t>writing</w:t>
      </w:r>
      <w:r>
        <w:rPr>
          <w:spacing w:val="-3"/>
        </w:rPr>
        <w:t xml:space="preserve"> </w:t>
      </w:r>
      <w:r>
        <w:t>class.</w:t>
      </w:r>
      <w:r>
        <w:rPr>
          <w:spacing w:val="-5"/>
        </w:rPr>
        <w:t xml:space="preserve"> </w:t>
      </w:r>
      <w:r>
        <w:t>Planning</w:t>
      </w:r>
      <w:r>
        <w:rPr>
          <w:spacing w:val="-3"/>
        </w:rPr>
        <w:t xml:space="preserve"> </w:t>
      </w:r>
      <w:r>
        <w:t>for</w:t>
      </w:r>
      <w:r>
        <w:rPr>
          <w:spacing w:val="-2"/>
        </w:rPr>
        <w:t xml:space="preserve"> </w:t>
      </w:r>
      <w:r>
        <w:t>change</w:t>
      </w:r>
      <w:r>
        <w:rPr>
          <w:spacing w:val="-4"/>
        </w:rPr>
        <w:t xml:space="preserve"> </w:t>
      </w:r>
      <w:r>
        <w:t>can</w:t>
      </w:r>
      <w:r>
        <w:rPr>
          <w:spacing w:val="-3"/>
        </w:rPr>
        <w:t xml:space="preserve"> </w:t>
      </w:r>
      <w:r>
        <w:t>be</w:t>
      </w:r>
      <w:r>
        <w:rPr>
          <w:spacing w:val="-1"/>
        </w:rPr>
        <w:t xml:space="preserve"> </w:t>
      </w:r>
      <w:r>
        <w:t>a</w:t>
      </w:r>
      <w:r>
        <w:rPr>
          <w:spacing w:val="-4"/>
        </w:rPr>
        <w:t xml:space="preserve"> </w:t>
      </w:r>
      <w:r>
        <w:t>particularly</w:t>
      </w:r>
      <w:r>
        <w:rPr>
          <w:spacing w:val="-3"/>
        </w:rPr>
        <w:t xml:space="preserve"> </w:t>
      </w:r>
      <w:r>
        <w:t>productive time for clients to reconnect with this desire to find fulfilling activities, and seeking such activities provides</w:t>
      </w:r>
    </w:p>
    <w:p w14:paraId="5BCB26A0" w14:textId="77777777" w:rsidR="00DB6E1F" w:rsidRDefault="00DB6E1F">
      <w:pPr>
        <w:sectPr w:rsidR="00DB6E1F">
          <w:pgSz w:w="12240" w:h="15840"/>
          <w:pgMar w:top="1200" w:right="0" w:bottom="780" w:left="0" w:header="763" w:footer="585" w:gutter="0"/>
          <w:cols w:space="720"/>
        </w:sectPr>
      </w:pPr>
    </w:p>
    <w:p w14:paraId="1B95A62A" w14:textId="77777777" w:rsidR="00DB6E1F" w:rsidRDefault="00DB6E1F">
      <w:pPr>
        <w:pStyle w:val="BodyText"/>
        <w:spacing w:before="8"/>
        <w:rPr>
          <w:sz w:val="14"/>
        </w:rPr>
      </w:pPr>
    </w:p>
    <w:p w14:paraId="57144B29" w14:textId="77777777" w:rsidR="00DB6E1F" w:rsidRDefault="00F666A6">
      <w:pPr>
        <w:pStyle w:val="BodyText"/>
        <w:spacing w:before="56"/>
        <w:ind w:left="1440"/>
      </w:pPr>
      <w:r>
        <w:t>opportunities</w:t>
      </w:r>
      <w:r>
        <w:rPr>
          <w:spacing w:val="-4"/>
        </w:rPr>
        <w:t xml:space="preserve"> </w:t>
      </w:r>
      <w:r>
        <w:t>for</w:t>
      </w:r>
      <w:r>
        <w:rPr>
          <w:spacing w:val="-7"/>
        </w:rPr>
        <w:t xml:space="preserve"> </w:t>
      </w:r>
      <w:r>
        <w:t>making</w:t>
      </w:r>
      <w:r>
        <w:rPr>
          <w:spacing w:val="-5"/>
        </w:rPr>
        <w:t xml:space="preserve"> </w:t>
      </w:r>
      <w:r>
        <w:t>new</w:t>
      </w:r>
      <w:r>
        <w:rPr>
          <w:spacing w:val="-2"/>
        </w:rPr>
        <w:t xml:space="preserve"> friends.</w:t>
      </w:r>
    </w:p>
    <w:p w14:paraId="40943CAF" w14:textId="77777777" w:rsidR="00DB6E1F" w:rsidRDefault="00F666A6">
      <w:pPr>
        <w:pStyle w:val="BodyText"/>
        <w:spacing w:before="159"/>
        <w:ind w:left="1440" w:right="1491"/>
      </w:pPr>
      <w:r>
        <w:t>Clients with a carefully drafted change plan, knowledge of both high-risk sit</w:t>
      </w:r>
      <w:r>
        <w:t>uations and potential barriers</w:t>
      </w:r>
      <w:r>
        <w:rPr>
          <w:spacing w:val="-2"/>
        </w:rPr>
        <w:t xml:space="preserve"> </w:t>
      </w:r>
      <w:r>
        <w:t>to</w:t>
      </w:r>
      <w:r>
        <w:rPr>
          <w:spacing w:val="-1"/>
        </w:rPr>
        <w:t xml:space="preserve"> </w:t>
      </w:r>
      <w:r>
        <w:t>getting</w:t>
      </w:r>
      <w:r>
        <w:rPr>
          <w:spacing w:val="-3"/>
        </w:rPr>
        <w:t xml:space="preserve"> </w:t>
      </w:r>
      <w:r>
        <w:t>started,</w:t>
      </w:r>
      <w:r>
        <w:rPr>
          <w:spacing w:val="-4"/>
        </w:rPr>
        <w:t xml:space="preserve"> </w:t>
      </w:r>
      <w:r>
        <w:t>and</w:t>
      </w:r>
      <w:r>
        <w:rPr>
          <w:spacing w:val="-3"/>
        </w:rPr>
        <w:t xml:space="preserve"> </w:t>
      </w:r>
      <w:r>
        <w:t>a</w:t>
      </w:r>
      <w:r>
        <w:rPr>
          <w:spacing w:val="-2"/>
        </w:rPr>
        <w:t xml:space="preserve"> </w:t>
      </w:r>
      <w:r>
        <w:t>group</w:t>
      </w:r>
      <w:r>
        <w:rPr>
          <w:spacing w:val="-5"/>
        </w:rPr>
        <w:t xml:space="preserve"> </w:t>
      </w:r>
      <w:r>
        <w:t>of</w:t>
      </w:r>
      <w:r>
        <w:rPr>
          <w:spacing w:val="-2"/>
        </w:rPr>
        <w:t xml:space="preserve"> </w:t>
      </w:r>
      <w:r>
        <w:t>supportive</w:t>
      </w:r>
      <w:r>
        <w:rPr>
          <w:spacing w:val="-4"/>
        </w:rPr>
        <w:t xml:space="preserve"> </w:t>
      </w:r>
      <w:r>
        <w:t>friends,</w:t>
      </w:r>
      <w:r>
        <w:rPr>
          <w:spacing w:val="-2"/>
        </w:rPr>
        <w:t xml:space="preserve"> </w:t>
      </w:r>
      <w:r>
        <w:t>family</w:t>
      </w:r>
      <w:r>
        <w:rPr>
          <w:spacing w:val="-3"/>
        </w:rPr>
        <w:t xml:space="preserve"> </w:t>
      </w:r>
      <w:r>
        <w:t>members,</w:t>
      </w:r>
      <w:r>
        <w:rPr>
          <w:spacing w:val="-4"/>
        </w:rPr>
        <w:t xml:space="preserve"> </w:t>
      </w:r>
      <w:r>
        <w:t>or</w:t>
      </w:r>
      <w:r>
        <w:rPr>
          <w:spacing w:val="-4"/>
        </w:rPr>
        <w:t xml:space="preserve"> </w:t>
      </w:r>
      <w:r>
        <w:t>recovery</w:t>
      </w:r>
      <w:r>
        <w:rPr>
          <w:spacing w:val="-1"/>
        </w:rPr>
        <w:t xml:space="preserve"> </w:t>
      </w:r>
      <w:r>
        <w:t>supports should be fully prepared and ready to move into the Action stage.</w:t>
      </w:r>
    </w:p>
    <w:p w14:paraId="11E8E8C8" w14:textId="77777777" w:rsidR="00DB6E1F" w:rsidRDefault="00F666A6">
      <w:pPr>
        <w:pStyle w:val="Heading2"/>
        <w:spacing w:before="165"/>
      </w:pPr>
      <w:bookmarkStart w:id="179" w:name="Support_the_Client’s_Action_Steps"/>
      <w:bookmarkStart w:id="180" w:name="_bookmark37"/>
      <w:bookmarkEnd w:id="179"/>
      <w:bookmarkEnd w:id="180"/>
      <w:r>
        <w:t>Support</w:t>
      </w:r>
      <w:r>
        <w:rPr>
          <w:spacing w:val="-3"/>
        </w:rPr>
        <w:t xml:space="preserve"> </w:t>
      </w:r>
      <w:r>
        <w:t>the</w:t>
      </w:r>
      <w:r>
        <w:rPr>
          <w:spacing w:val="-2"/>
        </w:rPr>
        <w:t xml:space="preserve"> </w:t>
      </w:r>
      <w:r>
        <w:t>Client’s</w:t>
      </w:r>
      <w:r>
        <w:rPr>
          <w:spacing w:val="-2"/>
        </w:rPr>
        <w:t xml:space="preserve"> </w:t>
      </w:r>
      <w:r>
        <w:t>Action</w:t>
      </w:r>
      <w:r>
        <w:rPr>
          <w:spacing w:val="-2"/>
        </w:rPr>
        <w:t xml:space="preserve"> </w:t>
      </w:r>
      <w:r>
        <w:rPr>
          <w:spacing w:val="-4"/>
        </w:rPr>
        <w:t>Steps</w:t>
      </w:r>
    </w:p>
    <w:p w14:paraId="2F370704" w14:textId="77777777" w:rsidR="00DB6E1F" w:rsidRDefault="00F666A6">
      <w:pPr>
        <w:pStyle w:val="BodyText"/>
        <w:spacing w:before="152"/>
        <w:ind w:left="1440"/>
      </w:pPr>
      <w:r>
        <w:t>DiClemente</w:t>
      </w:r>
      <w:r>
        <w:rPr>
          <w:spacing w:val="-3"/>
        </w:rPr>
        <w:t xml:space="preserve"> </w:t>
      </w:r>
      <w:r>
        <w:t>(2018)</w:t>
      </w:r>
      <w:r>
        <w:rPr>
          <w:spacing w:val="-2"/>
        </w:rPr>
        <w:t xml:space="preserve"> </w:t>
      </w:r>
      <w:r>
        <w:t>describes</w:t>
      </w:r>
      <w:r>
        <w:rPr>
          <w:spacing w:val="-3"/>
        </w:rPr>
        <w:t xml:space="preserve"> </w:t>
      </w:r>
      <w:r>
        <w:t>four</w:t>
      </w:r>
      <w:r>
        <w:rPr>
          <w:spacing w:val="-6"/>
        </w:rPr>
        <w:t xml:space="preserve"> </w:t>
      </w:r>
      <w:r>
        <w:t>main</w:t>
      </w:r>
      <w:r>
        <w:rPr>
          <w:spacing w:val="-6"/>
        </w:rPr>
        <w:t xml:space="preserve"> </w:t>
      </w:r>
      <w:r>
        <w:t>tasks</w:t>
      </w:r>
      <w:r>
        <w:rPr>
          <w:spacing w:val="-3"/>
        </w:rPr>
        <w:t xml:space="preserve"> </w:t>
      </w:r>
      <w:r>
        <w:t>for</w:t>
      </w:r>
      <w:r>
        <w:rPr>
          <w:spacing w:val="-3"/>
        </w:rPr>
        <w:t xml:space="preserve"> </w:t>
      </w:r>
      <w:r>
        <w:t>client</w:t>
      </w:r>
      <w:r>
        <w:rPr>
          <w:spacing w:val="-2"/>
        </w:rPr>
        <w:t xml:space="preserve"> </w:t>
      </w:r>
      <w:r>
        <w:t>in</w:t>
      </w:r>
      <w:r>
        <w:rPr>
          <w:spacing w:val="-5"/>
        </w:rPr>
        <w:t xml:space="preserve"> </w:t>
      </w:r>
      <w:r>
        <w:t>the</w:t>
      </w:r>
      <w:r>
        <w:rPr>
          <w:spacing w:val="-4"/>
        </w:rPr>
        <w:t xml:space="preserve"> </w:t>
      </w:r>
      <w:r>
        <w:t>Action</w:t>
      </w:r>
      <w:r>
        <w:rPr>
          <w:spacing w:val="-4"/>
        </w:rPr>
        <w:t xml:space="preserve"> </w:t>
      </w:r>
      <w:r>
        <w:t>stage</w:t>
      </w:r>
      <w:r>
        <w:rPr>
          <w:spacing w:val="-5"/>
        </w:rPr>
        <w:t xml:space="preserve"> </w:t>
      </w:r>
      <w:r>
        <w:t>of</w:t>
      </w:r>
      <w:r>
        <w:rPr>
          <w:spacing w:val="-5"/>
        </w:rPr>
        <w:t xml:space="preserve"> </w:t>
      </w:r>
      <w:r>
        <w:t>the</w:t>
      </w:r>
      <w:r>
        <w:rPr>
          <w:spacing w:val="-4"/>
        </w:rPr>
        <w:t xml:space="preserve"> SOC:</w:t>
      </w:r>
    </w:p>
    <w:p w14:paraId="6D14ED6E" w14:textId="77777777" w:rsidR="00DB6E1F" w:rsidRDefault="00F666A6">
      <w:pPr>
        <w:pStyle w:val="ListParagraph"/>
        <w:numPr>
          <w:ilvl w:val="0"/>
          <w:numId w:val="47"/>
        </w:numPr>
        <w:tabs>
          <w:tab w:val="left" w:pos="1801"/>
        </w:tabs>
        <w:spacing w:before="55"/>
      </w:pPr>
      <w:r>
        <w:t>Breaking</w:t>
      </w:r>
      <w:r>
        <w:rPr>
          <w:spacing w:val="-5"/>
        </w:rPr>
        <w:t xml:space="preserve"> </w:t>
      </w:r>
      <w:r>
        <w:t>free</w:t>
      </w:r>
      <w:r>
        <w:rPr>
          <w:spacing w:val="-5"/>
        </w:rPr>
        <w:t xml:space="preserve"> </w:t>
      </w:r>
      <w:r>
        <w:t>of</w:t>
      </w:r>
      <w:r>
        <w:rPr>
          <w:spacing w:val="-3"/>
        </w:rPr>
        <w:t xml:space="preserve"> </w:t>
      </w:r>
      <w:r>
        <w:t>the</w:t>
      </w:r>
      <w:r>
        <w:rPr>
          <w:spacing w:val="-5"/>
        </w:rPr>
        <w:t xml:space="preserve"> </w:t>
      </w:r>
      <w:r>
        <w:t>addiction</w:t>
      </w:r>
      <w:r>
        <w:rPr>
          <w:spacing w:val="-5"/>
        </w:rPr>
        <w:t xml:space="preserve"> </w:t>
      </w:r>
      <w:r>
        <w:t>using</w:t>
      </w:r>
      <w:r>
        <w:rPr>
          <w:spacing w:val="-4"/>
        </w:rPr>
        <w:t xml:space="preserve"> </w:t>
      </w:r>
      <w:r>
        <w:t>the</w:t>
      </w:r>
      <w:r>
        <w:rPr>
          <w:spacing w:val="-5"/>
        </w:rPr>
        <w:t xml:space="preserve"> </w:t>
      </w:r>
      <w:r>
        <w:t>strategies</w:t>
      </w:r>
      <w:r>
        <w:rPr>
          <w:spacing w:val="-4"/>
        </w:rPr>
        <w:t xml:space="preserve"> </w:t>
      </w:r>
      <w:r>
        <w:t>in</w:t>
      </w:r>
      <w:r>
        <w:rPr>
          <w:spacing w:val="-6"/>
        </w:rPr>
        <w:t xml:space="preserve"> </w:t>
      </w:r>
      <w:r>
        <w:t>the</w:t>
      </w:r>
      <w:r>
        <w:rPr>
          <w:spacing w:val="-2"/>
        </w:rPr>
        <w:t xml:space="preserve"> </w:t>
      </w:r>
      <w:r>
        <w:t>change</w:t>
      </w:r>
      <w:r>
        <w:rPr>
          <w:spacing w:val="-2"/>
        </w:rPr>
        <w:t xml:space="preserve"> </w:t>
      </w:r>
      <w:r>
        <w:rPr>
          <w:spacing w:val="-4"/>
        </w:rPr>
        <w:t>plan</w:t>
      </w:r>
    </w:p>
    <w:p w14:paraId="56E59204" w14:textId="77777777" w:rsidR="00DB6E1F" w:rsidRDefault="00F666A6">
      <w:pPr>
        <w:pStyle w:val="ListParagraph"/>
        <w:numPr>
          <w:ilvl w:val="0"/>
          <w:numId w:val="47"/>
        </w:numPr>
        <w:tabs>
          <w:tab w:val="left" w:pos="1801"/>
        </w:tabs>
        <w:spacing w:before="183"/>
      </w:pPr>
      <w:r>
        <w:t>Continuing</w:t>
      </w:r>
      <w:r>
        <w:rPr>
          <w:spacing w:val="-7"/>
        </w:rPr>
        <w:t xml:space="preserve"> </w:t>
      </w:r>
      <w:r>
        <w:t>commitment</w:t>
      </w:r>
      <w:r>
        <w:rPr>
          <w:spacing w:val="-6"/>
        </w:rPr>
        <w:t xml:space="preserve"> </w:t>
      </w:r>
      <w:r>
        <w:t>to</w:t>
      </w:r>
      <w:r>
        <w:rPr>
          <w:spacing w:val="-4"/>
        </w:rPr>
        <w:t xml:space="preserve"> </w:t>
      </w:r>
      <w:r>
        <w:t>change</w:t>
      </w:r>
      <w:r>
        <w:rPr>
          <w:spacing w:val="-4"/>
        </w:rPr>
        <w:t xml:space="preserve"> </w:t>
      </w:r>
      <w:r>
        <w:t>and</w:t>
      </w:r>
      <w:r>
        <w:rPr>
          <w:spacing w:val="-4"/>
        </w:rPr>
        <w:t xml:space="preserve"> </w:t>
      </w:r>
      <w:r>
        <w:t>establishing</w:t>
      </w:r>
      <w:r>
        <w:rPr>
          <w:spacing w:val="-4"/>
        </w:rPr>
        <w:t xml:space="preserve"> </w:t>
      </w:r>
      <w:r>
        <w:t>a</w:t>
      </w:r>
      <w:r>
        <w:rPr>
          <w:spacing w:val="-6"/>
        </w:rPr>
        <w:t xml:space="preserve"> </w:t>
      </w:r>
      <w:r>
        <w:t>new</w:t>
      </w:r>
      <w:r>
        <w:rPr>
          <w:spacing w:val="-2"/>
        </w:rPr>
        <w:t xml:space="preserve"> </w:t>
      </w:r>
      <w:r>
        <w:t>pattern</w:t>
      </w:r>
      <w:r>
        <w:rPr>
          <w:spacing w:val="-7"/>
        </w:rPr>
        <w:t xml:space="preserve"> </w:t>
      </w:r>
      <w:r>
        <w:t>of</w:t>
      </w:r>
      <w:r>
        <w:rPr>
          <w:spacing w:val="-3"/>
        </w:rPr>
        <w:t xml:space="preserve"> </w:t>
      </w:r>
      <w:r>
        <w:rPr>
          <w:spacing w:val="-2"/>
        </w:rPr>
        <w:t>behavior</w:t>
      </w:r>
    </w:p>
    <w:p w14:paraId="401F8370" w14:textId="77777777" w:rsidR="00DB6E1F" w:rsidRDefault="00F666A6">
      <w:pPr>
        <w:pStyle w:val="ListParagraph"/>
        <w:numPr>
          <w:ilvl w:val="0"/>
          <w:numId w:val="47"/>
        </w:numPr>
        <w:tabs>
          <w:tab w:val="left" w:pos="1801"/>
        </w:tabs>
        <w:spacing w:before="180"/>
      </w:pPr>
      <w:r>
        <w:t>Managing</w:t>
      </w:r>
      <w:r>
        <w:rPr>
          <w:spacing w:val="-8"/>
        </w:rPr>
        <w:t xml:space="preserve"> </w:t>
      </w:r>
      <w:r>
        <w:t>internal/external</w:t>
      </w:r>
      <w:r>
        <w:rPr>
          <w:spacing w:val="-8"/>
        </w:rPr>
        <w:t xml:space="preserve"> </w:t>
      </w:r>
      <w:r>
        <w:t>barriers</w:t>
      </w:r>
      <w:r>
        <w:rPr>
          <w:spacing w:val="-5"/>
        </w:rPr>
        <w:t xml:space="preserve"> </w:t>
      </w:r>
      <w:r>
        <w:t>to</w:t>
      </w:r>
      <w:r>
        <w:rPr>
          <w:spacing w:val="-6"/>
        </w:rPr>
        <w:t xml:space="preserve"> </w:t>
      </w:r>
      <w:r>
        <w:t>change</w:t>
      </w:r>
      <w:r>
        <w:rPr>
          <w:spacing w:val="-4"/>
        </w:rPr>
        <w:t xml:space="preserve"> </w:t>
      </w:r>
      <w:r>
        <w:t>(e.g.,</w:t>
      </w:r>
      <w:r>
        <w:rPr>
          <w:spacing w:val="-5"/>
        </w:rPr>
        <w:t xml:space="preserve"> </w:t>
      </w:r>
      <w:r>
        <w:t>physical</w:t>
      </w:r>
      <w:r>
        <w:rPr>
          <w:spacing w:val="-5"/>
        </w:rPr>
        <w:t xml:space="preserve"> </w:t>
      </w:r>
      <w:r>
        <w:t>cravings,</w:t>
      </w:r>
      <w:r>
        <w:rPr>
          <w:spacing w:val="-5"/>
        </w:rPr>
        <w:t xml:space="preserve"> </w:t>
      </w:r>
      <w:r>
        <w:t>lack</w:t>
      </w:r>
      <w:r>
        <w:rPr>
          <w:spacing w:val="-7"/>
        </w:rPr>
        <w:t xml:space="preserve"> </w:t>
      </w:r>
      <w:r>
        <w:t>of</w:t>
      </w:r>
      <w:r>
        <w:rPr>
          <w:spacing w:val="-5"/>
        </w:rPr>
        <w:t xml:space="preserve"> </w:t>
      </w:r>
      <w:r>
        <w:t>positive</w:t>
      </w:r>
      <w:r>
        <w:rPr>
          <w:spacing w:val="-4"/>
        </w:rPr>
        <w:t xml:space="preserve"> </w:t>
      </w:r>
      <w:r>
        <w:t>social</w:t>
      </w:r>
      <w:r>
        <w:rPr>
          <w:spacing w:val="-7"/>
        </w:rPr>
        <w:t xml:space="preserve"> </w:t>
      </w:r>
      <w:r>
        <w:rPr>
          <w:spacing w:val="-2"/>
        </w:rPr>
        <w:t>support)</w:t>
      </w:r>
    </w:p>
    <w:p w14:paraId="14022D51" w14:textId="77777777" w:rsidR="00DB6E1F" w:rsidRDefault="00F666A6">
      <w:pPr>
        <w:pStyle w:val="ListParagraph"/>
        <w:numPr>
          <w:ilvl w:val="0"/>
          <w:numId w:val="47"/>
        </w:numPr>
        <w:tabs>
          <w:tab w:val="left" w:pos="1801"/>
        </w:tabs>
        <w:spacing w:before="183"/>
      </w:pPr>
      <w:r>
        <w:t>Revising</w:t>
      </w:r>
      <w:r>
        <w:rPr>
          <w:spacing w:val="-5"/>
        </w:rPr>
        <w:t xml:space="preserve"> </w:t>
      </w:r>
      <w:r>
        <w:t>and</w:t>
      </w:r>
      <w:r>
        <w:rPr>
          <w:spacing w:val="-5"/>
        </w:rPr>
        <w:t xml:space="preserve"> </w:t>
      </w:r>
      <w:r>
        <w:t>refining</w:t>
      </w:r>
      <w:r>
        <w:rPr>
          <w:spacing w:val="-5"/>
        </w:rPr>
        <w:t xml:space="preserve"> </w:t>
      </w:r>
      <w:r>
        <w:t>the</w:t>
      </w:r>
      <w:r>
        <w:rPr>
          <w:spacing w:val="-3"/>
        </w:rPr>
        <w:t xml:space="preserve"> </w:t>
      </w:r>
      <w:r>
        <w:t>change</w:t>
      </w:r>
      <w:r>
        <w:rPr>
          <w:spacing w:val="-3"/>
        </w:rPr>
        <w:t xml:space="preserve"> </w:t>
      </w:r>
      <w:r>
        <w:rPr>
          <w:spacing w:val="-4"/>
        </w:rPr>
        <w:t>plan</w:t>
      </w:r>
    </w:p>
    <w:p w14:paraId="329136CC" w14:textId="77777777" w:rsidR="00DB6E1F" w:rsidRDefault="00F666A6">
      <w:pPr>
        <w:spacing w:before="182"/>
        <w:ind w:left="1440" w:right="1491"/>
      </w:pPr>
      <w:r>
        <w:rPr>
          <w:b/>
        </w:rPr>
        <w:t>Your role</w:t>
      </w:r>
      <w:r>
        <w:rPr>
          <w:b/>
          <w:spacing w:val="-1"/>
        </w:rPr>
        <w:t xml:space="preserve"> </w:t>
      </w:r>
      <w:r>
        <w:rPr>
          <w:b/>
        </w:rPr>
        <w:t>is to continue using motivational counseling approaches to</w:t>
      </w:r>
      <w:r>
        <w:rPr>
          <w:b/>
          <w:spacing w:val="-1"/>
        </w:rPr>
        <w:t xml:space="preserve"> </w:t>
      </w:r>
      <w:r>
        <w:rPr>
          <w:b/>
        </w:rPr>
        <w:t>support the client in</w:t>
      </w:r>
      <w:r>
        <w:rPr>
          <w:b/>
          <w:spacing w:val="-2"/>
        </w:rPr>
        <w:t xml:space="preserve"> </w:t>
      </w:r>
      <w:r>
        <w:rPr>
          <w:b/>
        </w:rPr>
        <w:t>completing these</w:t>
      </w:r>
      <w:r>
        <w:rPr>
          <w:b/>
          <w:spacing w:val="-3"/>
        </w:rPr>
        <w:t xml:space="preserve"> </w:t>
      </w:r>
      <w:r>
        <w:rPr>
          <w:b/>
        </w:rPr>
        <w:t>tasks</w:t>
      </w:r>
      <w:r>
        <w:rPr>
          <w:b/>
          <w:spacing w:val="-3"/>
        </w:rPr>
        <w:t xml:space="preserve"> </w:t>
      </w:r>
      <w:r>
        <w:rPr>
          <w:b/>
        </w:rPr>
        <w:t>and</w:t>
      </w:r>
      <w:r>
        <w:rPr>
          <w:b/>
          <w:spacing w:val="-3"/>
        </w:rPr>
        <w:t xml:space="preserve"> </w:t>
      </w:r>
      <w:r>
        <w:rPr>
          <w:b/>
        </w:rPr>
        <w:t>moving</w:t>
      </w:r>
      <w:r>
        <w:rPr>
          <w:b/>
          <w:spacing w:val="-3"/>
        </w:rPr>
        <w:t xml:space="preserve"> </w:t>
      </w:r>
      <w:r>
        <w:rPr>
          <w:b/>
        </w:rPr>
        <w:t>into</w:t>
      </w:r>
      <w:r>
        <w:rPr>
          <w:b/>
          <w:spacing w:val="-3"/>
        </w:rPr>
        <w:t xml:space="preserve"> </w:t>
      </w:r>
      <w:r>
        <w:rPr>
          <w:b/>
        </w:rPr>
        <w:t>the</w:t>
      </w:r>
      <w:r>
        <w:rPr>
          <w:b/>
          <w:spacing w:val="-3"/>
        </w:rPr>
        <w:t xml:space="preserve"> </w:t>
      </w:r>
      <w:r>
        <w:rPr>
          <w:b/>
        </w:rPr>
        <w:t>Maintenance</w:t>
      </w:r>
      <w:r>
        <w:rPr>
          <w:b/>
          <w:spacing w:val="-3"/>
        </w:rPr>
        <w:t xml:space="preserve"> </w:t>
      </w:r>
      <w:r>
        <w:rPr>
          <w:b/>
        </w:rPr>
        <w:t>stage</w:t>
      </w:r>
      <w:r>
        <w:rPr>
          <w:b/>
          <w:spacing w:val="-3"/>
        </w:rPr>
        <w:t xml:space="preserve"> </w:t>
      </w:r>
      <w:r>
        <w:rPr>
          <w:b/>
        </w:rPr>
        <w:t>and</w:t>
      </w:r>
      <w:r>
        <w:rPr>
          <w:b/>
          <w:spacing w:val="-3"/>
        </w:rPr>
        <w:t xml:space="preserve"> </w:t>
      </w:r>
      <w:r>
        <w:rPr>
          <w:b/>
        </w:rPr>
        <w:t>stable</w:t>
      </w:r>
      <w:r>
        <w:rPr>
          <w:b/>
          <w:spacing w:val="-3"/>
        </w:rPr>
        <w:t xml:space="preserve"> </w:t>
      </w:r>
      <w:r>
        <w:rPr>
          <w:b/>
        </w:rPr>
        <w:t>recovery.</w:t>
      </w:r>
      <w:r>
        <w:rPr>
          <w:b/>
          <w:spacing w:val="-3"/>
        </w:rPr>
        <w:t xml:space="preserve"> </w:t>
      </w:r>
      <w:r>
        <w:t>To</w:t>
      </w:r>
      <w:r>
        <w:rPr>
          <w:spacing w:val="-1"/>
        </w:rPr>
        <w:t xml:space="preserve"> </w:t>
      </w:r>
      <w:r>
        <w:t>support</w:t>
      </w:r>
      <w:r>
        <w:rPr>
          <w:spacing w:val="-1"/>
        </w:rPr>
        <w:t xml:space="preserve"> </w:t>
      </w:r>
      <w:r>
        <w:t>clients</w:t>
      </w:r>
      <w:r>
        <w:rPr>
          <w:spacing w:val="-2"/>
        </w:rPr>
        <w:t xml:space="preserve"> </w:t>
      </w:r>
      <w:r>
        <w:t>in</w:t>
      </w:r>
      <w:r>
        <w:rPr>
          <w:spacing w:val="-3"/>
        </w:rPr>
        <w:t xml:space="preserve"> </w:t>
      </w:r>
      <w:r>
        <w:t>breaking free of substance use behaviors:</w:t>
      </w:r>
    </w:p>
    <w:p w14:paraId="07EFF6B2" w14:textId="77777777" w:rsidR="00DB6E1F" w:rsidRDefault="00F666A6">
      <w:pPr>
        <w:pStyle w:val="ListParagraph"/>
        <w:numPr>
          <w:ilvl w:val="0"/>
          <w:numId w:val="92"/>
        </w:numPr>
        <w:tabs>
          <w:tab w:val="left" w:pos="1800"/>
          <w:tab w:val="left" w:pos="1801"/>
        </w:tabs>
        <w:spacing w:before="61"/>
        <w:ind w:left="1800" w:right="1436"/>
        <w:rPr>
          <w:rFonts w:ascii="Symbol" w:hAnsi="Symbol"/>
        </w:rPr>
      </w:pPr>
      <w:r>
        <w:t>Encourage clients to set a specific start date for each behavior change (e.g., a smoking quit date, date</w:t>
      </w:r>
      <w:r>
        <w:rPr>
          <w:spacing w:val="-1"/>
        </w:rPr>
        <w:t xml:space="preserve"> </w:t>
      </w:r>
      <w:r>
        <w:t>to</w:t>
      </w:r>
      <w:r>
        <w:rPr>
          <w:spacing w:val="-1"/>
        </w:rPr>
        <w:t xml:space="preserve"> </w:t>
      </w:r>
      <w:r>
        <w:t>enter</w:t>
      </w:r>
      <w:r>
        <w:rPr>
          <w:spacing w:val="-2"/>
        </w:rPr>
        <w:t xml:space="preserve"> </w:t>
      </w:r>
      <w:r>
        <w:t>an</w:t>
      </w:r>
      <w:r>
        <w:rPr>
          <w:spacing w:val="-5"/>
        </w:rPr>
        <w:t xml:space="preserve"> </w:t>
      </w:r>
      <w:r>
        <w:t>inpatient</w:t>
      </w:r>
      <w:r>
        <w:rPr>
          <w:spacing w:val="-4"/>
        </w:rPr>
        <w:t xml:space="preserve"> </w:t>
      </w:r>
      <w:r>
        <w:t>addiction</w:t>
      </w:r>
      <w:r>
        <w:rPr>
          <w:spacing w:val="-3"/>
        </w:rPr>
        <w:t xml:space="preserve"> </w:t>
      </w:r>
      <w:r>
        <w:t>treatment</w:t>
      </w:r>
      <w:r>
        <w:rPr>
          <w:spacing w:val="-4"/>
        </w:rPr>
        <w:t xml:space="preserve"> </w:t>
      </w:r>
      <w:r>
        <w:t>program).</w:t>
      </w:r>
      <w:r>
        <w:rPr>
          <w:spacing w:val="-3"/>
        </w:rPr>
        <w:t xml:space="preserve"> </w:t>
      </w:r>
      <w:r>
        <w:t>Setting</w:t>
      </w:r>
      <w:r>
        <w:rPr>
          <w:spacing w:val="-3"/>
        </w:rPr>
        <w:t xml:space="preserve"> </w:t>
      </w:r>
      <w:r>
        <w:t>a</w:t>
      </w:r>
      <w:r>
        <w:rPr>
          <w:spacing w:val="-2"/>
        </w:rPr>
        <w:t xml:space="preserve"> </w:t>
      </w:r>
      <w:r>
        <w:t>start</w:t>
      </w:r>
      <w:r>
        <w:rPr>
          <w:spacing w:val="-2"/>
        </w:rPr>
        <w:t xml:space="preserve"> </w:t>
      </w:r>
      <w:r>
        <w:t>date</w:t>
      </w:r>
      <w:r>
        <w:rPr>
          <w:spacing w:val="-1"/>
        </w:rPr>
        <w:t xml:space="preserve"> </w:t>
      </w:r>
      <w:r>
        <w:t>increases</w:t>
      </w:r>
      <w:r>
        <w:rPr>
          <w:spacing w:val="-4"/>
        </w:rPr>
        <w:t xml:space="preserve"> </w:t>
      </w:r>
      <w:r>
        <w:t>commitment.</w:t>
      </w:r>
    </w:p>
    <w:p w14:paraId="1BD7C230" w14:textId="77777777" w:rsidR="00DB6E1F" w:rsidRDefault="00F666A6">
      <w:pPr>
        <w:pStyle w:val="ListParagraph"/>
        <w:numPr>
          <w:ilvl w:val="0"/>
          <w:numId w:val="92"/>
        </w:numPr>
        <w:tabs>
          <w:tab w:val="left" w:pos="1800"/>
          <w:tab w:val="left" w:pos="1801"/>
        </w:tabs>
        <w:spacing w:before="58"/>
        <w:ind w:left="1800" w:right="1532" w:hanging="360"/>
        <w:rPr>
          <w:rFonts w:ascii="Symbol" w:hAnsi="Symbol"/>
        </w:rPr>
      </w:pPr>
      <w:r>
        <w:t xml:space="preserve">Help clients create rituals that symbolize them leaving </w:t>
      </w:r>
      <w:r>
        <w:t>old behaviors behind. For example, some clients</w:t>
      </w:r>
      <w:r>
        <w:rPr>
          <w:spacing w:val="-4"/>
        </w:rPr>
        <w:t xml:space="preserve"> </w:t>
      </w:r>
      <w:r>
        <w:t>may</w:t>
      </w:r>
      <w:r>
        <w:rPr>
          <w:spacing w:val="-3"/>
        </w:rPr>
        <w:t xml:space="preserve"> </w:t>
      </w:r>
      <w:r>
        <w:t>make</w:t>
      </w:r>
      <w:r>
        <w:rPr>
          <w:spacing w:val="-4"/>
        </w:rPr>
        <w:t xml:space="preserve"> </w:t>
      </w:r>
      <w:r>
        <w:t>a</w:t>
      </w:r>
      <w:r>
        <w:rPr>
          <w:spacing w:val="-2"/>
        </w:rPr>
        <w:t xml:space="preserve"> </w:t>
      </w:r>
      <w:r>
        <w:t>ritual</w:t>
      </w:r>
      <w:r>
        <w:rPr>
          <w:spacing w:val="-4"/>
        </w:rPr>
        <w:t xml:space="preserve"> </w:t>
      </w:r>
      <w:r>
        <w:t>of</w:t>
      </w:r>
      <w:r>
        <w:rPr>
          <w:spacing w:val="-3"/>
        </w:rPr>
        <w:t xml:space="preserve"> </w:t>
      </w:r>
      <w:r>
        <w:t>burning</w:t>
      </w:r>
      <w:r>
        <w:rPr>
          <w:spacing w:val="-2"/>
        </w:rPr>
        <w:t xml:space="preserve"> </w:t>
      </w:r>
      <w:r>
        <w:t>or</w:t>
      </w:r>
      <w:r>
        <w:rPr>
          <w:spacing w:val="-2"/>
        </w:rPr>
        <w:t xml:space="preserve"> </w:t>
      </w:r>
      <w:r>
        <w:t>disposing</w:t>
      </w:r>
      <w:r>
        <w:rPr>
          <w:spacing w:val="-5"/>
        </w:rPr>
        <w:t xml:space="preserve"> </w:t>
      </w:r>
      <w:r>
        <w:t>of</w:t>
      </w:r>
      <w:r>
        <w:rPr>
          <w:spacing w:val="-2"/>
        </w:rPr>
        <w:t xml:space="preserve"> </w:t>
      </w:r>
      <w:r>
        <w:t>substance</w:t>
      </w:r>
      <w:r>
        <w:rPr>
          <w:spacing w:val="-1"/>
        </w:rPr>
        <w:t xml:space="preserve"> </w:t>
      </w:r>
      <w:r>
        <w:t>paraphernalia,</w:t>
      </w:r>
      <w:r>
        <w:rPr>
          <w:spacing w:val="-4"/>
        </w:rPr>
        <w:t xml:space="preserve"> </w:t>
      </w:r>
      <w:r>
        <w:t>cigarettes,</w:t>
      </w:r>
      <w:r>
        <w:rPr>
          <w:spacing w:val="-2"/>
        </w:rPr>
        <w:t xml:space="preserve"> </w:t>
      </w:r>
      <w:r>
        <w:t>beer</w:t>
      </w:r>
      <w:r>
        <w:rPr>
          <w:spacing w:val="-4"/>
        </w:rPr>
        <w:t xml:space="preserve"> </w:t>
      </w:r>
      <w:r>
        <w:t>mugs, or</w:t>
      </w:r>
      <w:r>
        <w:rPr>
          <w:spacing w:val="-3"/>
        </w:rPr>
        <w:t xml:space="preserve"> </w:t>
      </w:r>
      <w:r>
        <w:t>liquor.</w:t>
      </w:r>
      <w:r>
        <w:rPr>
          <w:spacing w:val="-3"/>
        </w:rPr>
        <w:t xml:space="preserve"> </w:t>
      </w:r>
      <w:r>
        <w:t>Support</w:t>
      </w:r>
      <w:r>
        <w:rPr>
          <w:spacing w:val="-2"/>
        </w:rPr>
        <w:t xml:space="preserve"> </w:t>
      </w:r>
      <w:r>
        <w:t>clients</w:t>
      </w:r>
      <w:r>
        <w:rPr>
          <w:spacing w:val="-3"/>
        </w:rPr>
        <w:t xml:space="preserve"> </w:t>
      </w:r>
      <w:r>
        <w:t>in</w:t>
      </w:r>
      <w:r>
        <w:rPr>
          <w:spacing w:val="-6"/>
        </w:rPr>
        <w:t xml:space="preserve"> </w:t>
      </w:r>
      <w:r>
        <w:t>creating</w:t>
      </w:r>
      <w:r>
        <w:rPr>
          <w:spacing w:val="-3"/>
        </w:rPr>
        <w:t xml:space="preserve"> </w:t>
      </w:r>
      <w:r>
        <w:t>personally</w:t>
      </w:r>
      <w:r>
        <w:rPr>
          <w:spacing w:val="-4"/>
        </w:rPr>
        <w:t xml:space="preserve"> </w:t>
      </w:r>
      <w:r>
        <w:t>meaningful</w:t>
      </w:r>
      <w:r>
        <w:rPr>
          <w:spacing w:val="-3"/>
        </w:rPr>
        <w:t xml:space="preserve"> </w:t>
      </w:r>
      <w:r>
        <w:t>rituals.</w:t>
      </w:r>
      <w:r>
        <w:rPr>
          <w:spacing w:val="-3"/>
        </w:rPr>
        <w:t xml:space="preserve"> </w:t>
      </w:r>
      <w:r>
        <w:t>As</w:t>
      </w:r>
      <w:r>
        <w:rPr>
          <w:spacing w:val="-3"/>
        </w:rPr>
        <w:t xml:space="preserve"> </w:t>
      </w:r>
      <w:r>
        <w:t>mentioned</w:t>
      </w:r>
      <w:r>
        <w:rPr>
          <w:spacing w:val="-6"/>
        </w:rPr>
        <w:t xml:space="preserve"> </w:t>
      </w:r>
      <w:r>
        <w:t>previously,</w:t>
      </w:r>
      <w:r>
        <w:rPr>
          <w:spacing w:val="-5"/>
        </w:rPr>
        <w:t xml:space="preserve"> </w:t>
      </w:r>
      <w:r>
        <w:t>picking up a chip at an AA meeting is a ritual that supports clients’ action steps toward abstinence and a new lifestyle.</w:t>
      </w:r>
    </w:p>
    <w:p w14:paraId="3F4175C4" w14:textId="77777777" w:rsidR="00DB6E1F" w:rsidRDefault="00F666A6">
      <w:pPr>
        <w:pStyle w:val="Heading5"/>
        <w:spacing w:before="162"/>
      </w:pPr>
      <w:r>
        <w:t>To</w:t>
      </w:r>
      <w:r>
        <w:rPr>
          <w:spacing w:val="-5"/>
        </w:rPr>
        <w:t xml:space="preserve"> </w:t>
      </w:r>
      <w:r>
        <w:t>reinforce</w:t>
      </w:r>
      <w:r>
        <w:rPr>
          <w:spacing w:val="-6"/>
        </w:rPr>
        <w:t xml:space="preserve"> </w:t>
      </w:r>
      <w:r>
        <w:t>clients’</w:t>
      </w:r>
      <w:r>
        <w:rPr>
          <w:spacing w:val="-5"/>
        </w:rPr>
        <w:t xml:space="preserve"> </w:t>
      </w:r>
      <w:r>
        <w:t>commitment</w:t>
      </w:r>
      <w:r>
        <w:rPr>
          <w:spacing w:val="-2"/>
        </w:rPr>
        <w:t xml:space="preserve"> </w:t>
      </w:r>
      <w:r>
        <w:t>to</w:t>
      </w:r>
      <w:r>
        <w:rPr>
          <w:spacing w:val="-6"/>
        </w:rPr>
        <w:t xml:space="preserve"> </w:t>
      </w:r>
      <w:r>
        <w:rPr>
          <w:spacing w:val="-2"/>
        </w:rPr>
        <w:t>change:</w:t>
      </w:r>
    </w:p>
    <w:p w14:paraId="4D4FC13C" w14:textId="77777777" w:rsidR="00DB6E1F" w:rsidRDefault="00F666A6">
      <w:pPr>
        <w:pStyle w:val="ListParagraph"/>
        <w:numPr>
          <w:ilvl w:val="0"/>
          <w:numId w:val="92"/>
        </w:numPr>
        <w:tabs>
          <w:tab w:val="left" w:pos="1800"/>
          <w:tab w:val="left" w:pos="1801"/>
        </w:tabs>
        <w:spacing w:before="58"/>
        <w:ind w:left="1801"/>
        <w:rPr>
          <w:rFonts w:ascii="Symbol" w:hAnsi="Symbol"/>
        </w:rPr>
      </w:pPr>
      <w:r>
        <w:t>Continue</w:t>
      </w:r>
      <w:r>
        <w:rPr>
          <w:spacing w:val="-5"/>
        </w:rPr>
        <w:t xml:space="preserve"> </w:t>
      </w:r>
      <w:r>
        <w:t>to</w:t>
      </w:r>
      <w:r>
        <w:rPr>
          <w:spacing w:val="-4"/>
        </w:rPr>
        <w:t xml:space="preserve"> </w:t>
      </w:r>
      <w:r>
        <w:t>evoke</w:t>
      </w:r>
      <w:r>
        <w:rPr>
          <w:spacing w:val="-3"/>
        </w:rPr>
        <w:t xml:space="preserve"> </w:t>
      </w:r>
      <w:r>
        <w:t>and</w:t>
      </w:r>
      <w:r>
        <w:rPr>
          <w:spacing w:val="-4"/>
        </w:rPr>
        <w:t xml:space="preserve"> </w:t>
      </w:r>
      <w:r>
        <w:t>reflect</w:t>
      </w:r>
      <w:r>
        <w:rPr>
          <w:spacing w:val="-4"/>
        </w:rPr>
        <w:t xml:space="preserve"> </w:t>
      </w:r>
      <w:r>
        <w:t>CAT</w:t>
      </w:r>
      <w:r>
        <w:rPr>
          <w:spacing w:val="-2"/>
        </w:rPr>
        <w:t xml:space="preserve"> </w:t>
      </w:r>
      <w:r>
        <w:t>change</w:t>
      </w:r>
      <w:r>
        <w:rPr>
          <w:spacing w:val="-5"/>
        </w:rPr>
        <w:t xml:space="preserve"> </w:t>
      </w:r>
      <w:r>
        <w:t>talk</w:t>
      </w:r>
      <w:r>
        <w:rPr>
          <w:spacing w:val="-4"/>
        </w:rPr>
        <w:t xml:space="preserve"> </w:t>
      </w:r>
      <w:r>
        <w:t>in</w:t>
      </w:r>
      <w:r>
        <w:rPr>
          <w:spacing w:val="-6"/>
        </w:rPr>
        <w:t xml:space="preserve"> </w:t>
      </w:r>
      <w:r>
        <w:t>your</w:t>
      </w:r>
      <w:r>
        <w:rPr>
          <w:spacing w:val="-3"/>
        </w:rPr>
        <w:t xml:space="preserve"> </w:t>
      </w:r>
      <w:r>
        <w:t>ongoing</w:t>
      </w:r>
      <w:r>
        <w:rPr>
          <w:spacing w:val="-5"/>
        </w:rPr>
        <w:t xml:space="preserve"> </w:t>
      </w:r>
      <w:r>
        <w:t>conversations</w:t>
      </w:r>
      <w:r>
        <w:rPr>
          <w:spacing w:val="-5"/>
        </w:rPr>
        <w:t xml:space="preserve"> </w:t>
      </w:r>
      <w:r>
        <w:t>with</w:t>
      </w:r>
      <w:r>
        <w:rPr>
          <w:spacing w:val="-4"/>
        </w:rPr>
        <w:t xml:space="preserve"> </w:t>
      </w:r>
      <w:r>
        <w:rPr>
          <w:spacing w:val="-2"/>
        </w:rPr>
        <w:t>clients.</w:t>
      </w:r>
    </w:p>
    <w:p w14:paraId="07B4FD42" w14:textId="77777777" w:rsidR="00DB6E1F" w:rsidRDefault="00F666A6">
      <w:pPr>
        <w:pStyle w:val="ListParagraph"/>
        <w:numPr>
          <w:ilvl w:val="0"/>
          <w:numId w:val="92"/>
        </w:numPr>
        <w:tabs>
          <w:tab w:val="left" w:pos="1800"/>
          <w:tab w:val="left" w:pos="1801"/>
        </w:tabs>
        <w:spacing w:before="61"/>
        <w:ind w:left="1801"/>
        <w:rPr>
          <w:rFonts w:ascii="Symbol" w:hAnsi="Symbol"/>
        </w:rPr>
      </w:pPr>
      <w:r>
        <w:t>Use</w:t>
      </w:r>
      <w:r>
        <w:rPr>
          <w:spacing w:val="-4"/>
        </w:rPr>
        <w:t xml:space="preserve"> </w:t>
      </w:r>
      <w:r>
        <w:t>reflective</w:t>
      </w:r>
      <w:r>
        <w:rPr>
          <w:spacing w:val="-7"/>
        </w:rPr>
        <w:t xml:space="preserve"> </w:t>
      </w:r>
      <w:r>
        <w:t>listening,</w:t>
      </w:r>
      <w:r>
        <w:rPr>
          <w:spacing w:val="-5"/>
        </w:rPr>
        <w:t xml:space="preserve"> </w:t>
      </w:r>
      <w:r>
        <w:t>summaries,</w:t>
      </w:r>
      <w:r>
        <w:rPr>
          <w:spacing w:val="-7"/>
        </w:rPr>
        <w:t xml:space="preserve"> </w:t>
      </w:r>
      <w:r>
        <w:t>and</w:t>
      </w:r>
      <w:r>
        <w:rPr>
          <w:spacing w:val="-5"/>
        </w:rPr>
        <w:t xml:space="preserve"> </w:t>
      </w:r>
      <w:r>
        <w:rPr>
          <w:spacing w:val="-2"/>
        </w:rPr>
        <w:t>affirmations.</w:t>
      </w:r>
    </w:p>
    <w:p w14:paraId="45647404" w14:textId="77777777" w:rsidR="00DB6E1F" w:rsidRDefault="00F666A6">
      <w:pPr>
        <w:pStyle w:val="ListParagraph"/>
        <w:numPr>
          <w:ilvl w:val="0"/>
          <w:numId w:val="92"/>
        </w:numPr>
        <w:tabs>
          <w:tab w:val="left" w:pos="1801"/>
          <w:tab w:val="left" w:pos="1802"/>
        </w:tabs>
        <w:ind w:left="1800" w:right="1491" w:hanging="360"/>
        <w:rPr>
          <w:rFonts w:ascii="Symbol" w:hAnsi="Symbol"/>
        </w:rPr>
      </w:pPr>
      <w:r>
        <w:t>Manage barriers to change</w:t>
      </w:r>
      <w:r>
        <w:rPr>
          <w:spacing w:val="-1"/>
        </w:rPr>
        <w:t xml:space="preserve"> </w:t>
      </w:r>
      <w:r>
        <w:t>by identifying those barriers (as described above in the section “Explore and Lower Barriers</w:t>
      </w:r>
      <w:r>
        <w:rPr>
          <w:spacing w:val="-1"/>
        </w:rPr>
        <w:t xml:space="preserve"> </w:t>
      </w:r>
      <w:r>
        <w:t>to Action”),</w:t>
      </w:r>
      <w:r>
        <w:rPr>
          <w:spacing w:val="-1"/>
        </w:rPr>
        <w:t xml:space="preserve"> </w:t>
      </w:r>
      <w:r>
        <w:t>working with</w:t>
      </w:r>
      <w:r>
        <w:rPr>
          <w:spacing w:val="-2"/>
        </w:rPr>
        <w:t xml:space="preserve"> </w:t>
      </w:r>
      <w:r>
        <w:t>clients</w:t>
      </w:r>
      <w:r>
        <w:rPr>
          <w:spacing w:val="-1"/>
        </w:rPr>
        <w:t xml:space="preserve"> </w:t>
      </w:r>
      <w:r>
        <w:t>to brainstorm personally relevant strat</w:t>
      </w:r>
      <w:r>
        <w:t>egies for lowering or reducing the impact of those barriers, and offering a menu of treatment options. For example,</w:t>
      </w:r>
      <w:r>
        <w:rPr>
          <w:spacing w:val="-2"/>
        </w:rPr>
        <w:t xml:space="preserve"> </w:t>
      </w:r>
      <w:r>
        <w:t>if</w:t>
      </w:r>
      <w:r>
        <w:rPr>
          <w:spacing w:val="-2"/>
        </w:rPr>
        <w:t xml:space="preserve"> </w:t>
      </w:r>
      <w:r>
        <w:t>a</w:t>
      </w:r>
      <w:r>
        <w:rPr>
          <w:spacing w:val="-4"/>
        </w:rPr>
        <w:t xml:space="preserve"> </w:t>
      </w:r>
      <w:r>
        <w:t>client</w:t>
      </w:r>
      <w:r>
        <w:rPr>
          <w:spacing w:val="-4"/>
        </w:rPr>
        <w:t xml:space="preserve"> </w:t>
      </w:r>
      <w:r>
        <w:t>experiences</w:t>
      </w:r>
      <w:r>
        <w:rPr>
          <w:spacing w:val="-2"/>
        </w:rPr>
        <w:t xml:space="preserve"> </w:t>
      </w:r>
      <w:r>
        <w:t>intense</w:t>
      </w:r>
      <w:r>
        <w:rPr>
          <w:spacing w:val="-1"/>
        </w:rPr>
        <w:t xml:space="preserve"> </w:t>
      </w:r>
      <w:r>
        <w:t>alcohol</w:t>
      </w:r>
      <w:r>
        <w:rPr>
          <w:spacing w:val="-5"/>
        </w:rPr>
        <w:t xml:space="preserve"> </w:t>
      </w:r>
      <w:r>
        <w:t>or</w:t>
      </w:r>
      <w:r>
        <w:rPr>
          <w:spacing w:val="-4"/>
        </w:rPr>
        <w:t xml:space="preserve"> </w:t>
      </w:r>
      <w:r>
        <w:t>drug</w:t>
      </w:r>
      <w:r>
        <w:rPr>
          <w:spacing w:val="-3"/>
        </w:rPr>
        <w:t xml:space="preserve"> </w:t>
      </w:r>
      <w:r>
        <w:t>cravings,</w:t>
      </w:r>
      <w:r>
        <w:rPr>
          <w:spacing w:val="-4"/>
        </w:rPr>
        <w:t xml:space="preserve"> </w:t>
      </w:r>
      <w:r>
        <w:t>you</w:t>
      </w:r>
      <w:r>
        <w:rPr>
          <w:spacing w:val="-5"/>
        </w:rPr>
        <w:t xml:space="preserve"> </w:t>
      </w:r>
      <w:r>
        <w:t>might</w:t>
      </w:r>
      <w:r>
        <w:rPr>
          <w:spacing w:val="-4"/>
        </w:rPr>
        <w:t xml:space="preserve"> </w:t>
      </w:r>
      <w:r>
        <w:t>explore</w:t>
      </w:r>
      <w:r>
        <w:rPr>
          <w:spacing w:val="-2"/>
        </w:rPr>
        <w:t xml:space="preserve"> </w:t>
      </w:r>
      <w:r>
        <w:t>the</w:t>
      </w:r>
      <w:r>
        <w:rPr>
          <w:spacing w:val="-2"/>
        </w:rPr>
        <w:t xml:space="preserve"> </w:t>
      </w:r>
      <w:r>
        <w:t>possibility</w:t>
      </w:r>
      <w:r>
        <w:rPr>
          <w:spacing w:val="-3"/>
        </w:rPr>
        <w:t xml:space="preserve"> </w:t>
      </w:r>
      <w:r>
        <w:t>of referring</w:t>
      </w:r>
      <w:r>
        <w:rPr>
          <w:spacing w:val="-1"/>
        </w:rPr>
        <w:t xml:space="preserve"> </w:t>
      </w:r>
      <w:r>
        <w:t>the</w:t>
      </w:r>
      <w:r>
        <w:rPr>
          <w:spacing w:val="-2"/>
        </w:rPr>
        <w:t xml:space="preserve"> </w:t>
      </w:r>
      <w:r>
        <w:t>client</w:t>
      </w:r>
      <w:r>
        <w:rPr>
          <w:spacing w:val="-2"/>
        </w:rPr>
        <w:t xml:space="preserve"> </w:t>
      </w:r>
      <w:r>
        <w:t>to a</w:t>
      </w:r>
      <w:r>
        <w:rPr>
          <w:spacing w:val="-3"/>
        </w:rPr>
        <w:t xml:space="preserve"> </w:t>
      </w:r>
      <w:r>
        <w:t>medical provider fo</w:t>
      </w:r>
      <w:r>
        <w:t>r a</w:t>
      </w:r>
      <w:r>
        <w:rPr>
          <w:spacing w:val="-3"/>
        </w:rPr>
        <w:t xml:space="preserve"> </w:t>
      </w:r>
      <w:r>
        <w:t>medication</w:t>
      </w:r>
      <w:r>
        <w:rPr>
          <w:spacing w:val="-1"/>
        </w:rPr>
        <w:t xml:space="preserve"> </w:t>
      </w:r>
      <w:r>
        <w:t>evaluation,</w:t>
      </w:r>
      <w:r>
        <w:rPr>
          <w:spacing w:val="-2"/>
        </w:rPr>
        <w:t xml:space="preserve"> </w:t>
      </w:r>
      <w:r>
        <w:t>encouraging</w:t>
      </w:r>
      <w:r>
        <w:rPr>
          <w:spacing w:val="-1"/>
        </w:rPr>
        <w:t xml:space="preserve"> </w:t>
      </w:r>
      <w:r>
        <w:t>participation in</w:t>
      </w:r>
      <w:r>
        <w:rPr>
          <w:spacing w:val="-3"/>
        </w:rPr>
        <w:t xml:space="preserve"> </w:t>
      </w:r>
      <w:r>
        <w:t>a mindfulness meditation group, or both.</w:t>
      </w:r>
    </w:p>
    <w:p w14:paraId="39C38948" w14:textId="77777777" w:rsidR="00DB6E1F" w:rsidRDefault="00F666A6">
      <w:pPr>
        <w:pStyle w:val="ListParagraph"/>
        <w:numPr>
          <w:ilvl w:val="0"/>
          <w:numId w:val="92"/>
        </w:numPr>
        <w:tabs>
          <w:tab w:val="left" w:pos="1800"/>
          <w:tab w:val="left" w:pos="1801"/>
        </w:tabs>
        <w:spacing w:before="59"/>
        <w:ind w:left="1800"/>
        <w:rPr>
          <w:rFonts w:ascii="Symbol" w:hAnsi="Symbol"/>
        </w:rPr>
      </w:pPr>
      <w:r>
        <w:t>Evaluate,</w:t>
      </w:r>
      <w:r>
        <w:rPr>
          <w:spacing w:val="-5"/>
        </w:rPr>
        <w:t xml:space="preserve"> </w:t>
      </w:r>
      <w:r>
        <w:t>revise,</w:t>
      </w:r>
      <w:r>
        <w:rPr>
          <w:spacing w:val="-3"/>
        </w:rPr>
        <w:t xml:space="preserve"> </w:t>
      </w:r>
      <w:r>
        <w:t>and</w:t>
      </w:r>
      <w:r>
        <w:rPr>
          <w:spacing w:val="-4"/>
        </w:rPr>
        <w:t xml:space="preserve"> </w:t>
      </w:r>
      <w:r>
        <w:t>refine</w:t>
      </w:r>
      <w:r>
        <w:rPr>
          <w:spacing w:val="-5"/>
        </w:rPr>
        <w:t xml:space="preserve"> </w:t>
      </w:r>
      <w:r>
        <w:t>the</w:t>
      </w:r>
      <w:r>
        <w:rPr>
          <w:spacing w:val="-2"/>
        </w:rPr>
        <w:t xml:space="preserve"> </w:t>
      </w:r>
      <w:r>
        <w:t>change</w:t>
      </w:r>
      <w:r>
        <w:rPr>
          <w:spacing w:val="-5"/>
        </w:rPr>
        <w:t xml:space="preserve"> </w:t>
      </w:r>
      <w:r>
        <w:t>plan</w:t>
      </w:r>
      <w:r>
        <w:rPr>
          <w:spacing w:val="-4"/>
        </w:rPr>
        <w:t xml:space="preserve"> </w:t>
      </w:r>
      <w:r>
        <w:t>as</w:t>
      </w:r>
      <w:r>
        <w:rPr>
          <w:spacing w:val="-3"/>
        </w:rPr>
        <w:t xml:space="preserve"> </w:t>
      </w:r>
      <w:r>
        <w:t>the</w:t>
      </w:r>
      <w:r>
        <w:rPr>
          <w:spacing w:val="-2"/>
        </w:rPr>
        <w:t xml:space="preserve"> </w:t>
      </w:r>
      <w:r>
        <w:t>final</w:t>
      </w:r>
      <w:r>
        <w:rPr>
          <w:spacing w:val="-3"/>
        </w:rPr>
        <w:t xml:space="preserve"> </w:t>
      </w:r>
      <w:r>
        <w:t>step</w:t>
      </w:r>
      <w:r>
        <w:rPr>
          <w:spacing w:val="-4"/>
        </w:rPr>
        <w:t xml:space="preserve"> </w:t>
      </w:r>
      <w:r>
        <w:t>in</w:t>
      </w:r>
      <w:r>
        <w:rPr>
          <w:spacing w:val="-6"/>
        </w:rPr>
        <w:t xml:space="preserve"> </w:t>
      </w:r>
      <w:r>
        <w:t>the</w:t>
      </w:r>
      <w:r>
        <w:rPr>
          <w:spacing w:val="-2"/>
        </w:rPr>
        <w:t xml:space="preserve"> </w:t>
      </w:r>
      <w:r>
        <w:t>Action</w:t>
      </w:r>
      <w:r>
        <w:rPr>
          <w:spacing w:val="-3"/>
        </w:rPr>
        <w:t xml:space="preserve"> </w:t>
      </w:r>
      <w:r>
        <w:rPr>
          <w:spacing w:val="-2"/>
        </w:rPr>
        <w:t>stage.</w:t>
      </w:r>
    </w:p>
    <w:p w14:paraId="1D76621B" w14:textId="77777777" w:rsidR="00DB6E1F" w:rsidRDefault="00F666A6">
      <w:pPr>
        <w:pStyle w:val="Heading2"/>
        <w:spacing w:before="65"/>
      </w:pPr>
      <w:bookmarkStart w:id="181" w:name="Evaluate_the_Change_Plan"/>
      <w:bookmarkStart w:id="182" w:name="_bookmark38"/>
      <w:bookmarkEnd w:id="181"/>
      <w:bookmarkEnd w:id="182"/>
      <w:r>
        <w:t>Evaluate</w:t>
      </w:r>
      <w:r>
        <w:rPr>
          <w:spacing w:val="-2"/>
        </w:rPr>
        <w:t xml:space="preserve"> </w:t>
      </w:r>
      <w:r>
        <w:t>the</w:t>
      </w:r>
      <w:r>
        <w:rPr>
          <w:spacing w:val="-2"/>
        </w:rPr>
        <w:t xml:space="preserve"> </w:t>
      </w:r>
      <w:r>
        <w:t>Change</w:t>
      </w:r>
      <w:r>
        <w:rPr>
          <w:spacing w:val="-2"/>
        </w:rPr>
        <w:t xml:space="preserve"> </w:t>
      </w:r>
      <w:r>
        <w:rPr>
          <w:spacing w:val="-4"/>
        </w:rPr>
        <w:t>Plan</w:t>
      </w:r>
    </w:p>
    <w:p w14:paraId="619E5C34" w14:textId="77777777" w:rsidR="00DB6E1F" w:rsidRDefault="00F666A6">
      <w:pPr>
        <w:spacing w:before="152"/>
        <w:ind w:left="1438" w:right="1491" w:firstLine="1"/>
      </w:pPr>
      <w:r>
        <w:rPr>
          <w:b/>
        </w:rPr>
        <w:t>Your goal of this stage of the change cycle is to help the client sustain successful actions for a long enough time that he or she gains stability and moves into Maintenance</w:t>
      </w:r>
      <w:r>
        <w:rPr>
          <w:b/>
          <w:spacing w:val="-2"/>
        </w:rPr>
        <w:t xml:space="preserve"> </w:t>
      </w:r>
      <w:r>
        <w:t>(Connors et al., 2013). It is not likely that you and the client will be able to p</w:t>
      </w:r>
      <w:r>
        <w:t>redict all of the issues that will come up as the client initiates the change plan. The client’s circumstances likely will change (e.g., a spouse might file for divorce), unanticipated issues arise (e.g., the client’s drug-using social network might put pr</w:t>
      </w:r>
      <w:r>
        <w:t>essure on the</w:t>
      </w:r>
      <w:r>
        <w:rPr>
          <w:spacing w:val="-1"/>
        </w:rPr>
        <w:t xml:space="preserve"> </w:t>
      </w:r>
      <w:r>
        <w:t>client</w:t>
      </w:r>
      <w:r>
        <w:rPr>
          <w:spacing w:val="-4"/>
        </w:rPr>
        <w:t xml:space="preserve"> </w:t>
      </w:r>
      <w:r>
        <w:t>to</w:t>
      </w:r>
      <w:r>
        <w:rPr>
          <w:spacing w:val="-1"/>
        </w:rPr>
        <w:t xml:space="preserve"> </w:t>
      </w:r>
      <w:r>
        <w:t>return</w:t>
      </w:r>
      <w:r>
        <w:rPr>
          <w:spacing w:val="-3"/>
        </w:rPr>
        <w:t xml:space="preserve"> </w:t>
      </w:r>
      <w:r>
        <w:t>to</w:t>
      </w:r>
      <w:r>
        <w:rPr>
          <w:spacing w:val="-1"/>
        </w:rPr>
        <w:t xml:space="preserve"> </w:t>
      </w:r>
      <w:r>
        <w:t>drug</w:t>
      </w:r>
      <w:r>
        <w:rPr>
          <w:spacing w:val="-5"/>
        </w:rPr>
        <w:t xml:space="preserve"> </w:t>
      </w:r>
      <w:r>
        <w:t>use),</w:t>
      </w:r>
      <w:r>
        <w:rPr>
          <w:spacing w:val="-2"/>
        </w:rPr>
        <w:t xml:space="preserve"> </w:t>
      </w:r>
      <w:r>
        <w:t>and</w:t>
      </w:r>
      <w:r>
        <w:rPr>
          <w:spacing w:val="-3"/>
        </w:rPr>
        <w:t xml:space="preserve"> </w:t>
      </w:r>
      <w:r>
        <w:t>change</w:t>
      </w:r>
      <w:r>
        <w:rPr>
          <w:spacing w:val="-4"/>
        </w:rPr>
        <w:t xml:space="preserve"> </w:t>
      </w:r>
      <w:r>
        <w:t>strategies</w:t>
      </w:r>
      <w:r>
        <w:rPr>
          <w:spacing w:val="-4"/>
        </w:rPr>
        <w:t xml:space="preserve"> </w:t>
      </w:r>
      <w:r>
        <w:t>may</w:t>
      </w:r>
      <w:r>
        <w:rPr>
          <w:spacing w:val="-1"/>
        </w:rPr>
        <w:t xml:space="preserve"> </w:t>
      </w:r>
      <w:r>
        <w:t>not</w:t>
      </w:r>
      <w:r>
        <w:rPr>
          <w:spacing w:val="-1"/>
        </w:rPr>
        <w:t xml:space="preserve"> </w:t>
      </w:r>
      <w:r>
        <w:t>turn</w:t>
      </w:r>
      <w:r>
        <w:rPr>
          <w:spacing w:val="-5"/>
        </w:rPr>
        <w:t xml:space="preserve"> </w:t>
      </w:r>
      <w:r>
        <w:t>out</w:t>
      </w:r>
      <w:r>
        <w:rPr>
          <w:spacing w:val="-4"/>
        </w:rPr>
        <w:t xml:space="preserve"> </w:t>
      </w:r>
      <w:r>
        <w:t>to</w:t>
      </w:r>
      <w:r>
        <w:rPr>
          <w:spacing w:val="-3"/>
        </w:rPr>
        <w:t xml:space="preserve"> </w:t>
      </w:r>
      <w:r>
        <w:t>work</w:t>
      </w:r>
      <w:r>
        <w:rPr>
          <w:spacing w:val="-4"/>
        </w:rPr>
        <w:t xml:space="preserve"> </w:t>
      </w:r>
      <w:r>
        <w:t>well</w:t>
      </w:r>
      <w:r>
        <w:rPr>
          <w:spacing w:val="-2"/>
        </w:rPr>
        <w:t xml:space="preserve"> </w:t>
      </w:r>
      <w:r>
        <w:t>for</w:t>
      </w:r>
      <w:r>
        <w:rPr>
          <w:spacing w:val="-2"/>
        </w:rPr>
        <w:t xml:space="preserve"> </w:t>
      </w:r>
      <w:r>
        <w:t>the</w:t>
      </w:r>
      <w:r>
        <w:rPr>
          <w:spacing w:val="-1"/>
        </w:rPr>
        <w:t xml:space="preserve"> </w:t>
      </w:r>
      <w:r>
        <w:t>client</w:t>
      </w:r>
      <w:r>
        <w:rPr>
          <w:spacing w:val="-1"/>
        </w:rPr>
        <w:t xml:space="preserve"> </w:t>
      </w:r>
      <w:r>
        <w:t>(e.g., the client loses his or her driver’s license and has to find alternative transportation to NA meetings).</w:t>
      </w:r>
    </w:p>
    <w:p w14:paraId="13443227" w14:textId="77777777" w:rsidR="00DB6E1F" w:rsidRDefault="00F666A6">
      <w:pPr>
        <w:pStyle w:val="BodyText"/>
        <w:spacing w:line="267" w:lineRule="exact"/>
        <w:ind w:left="1438"/>
      </w:pPr>
      <w:r>
        <w:t>These</w:t>
      </w:r>
      <w:r>
        <w:rPr>
          <w:spacing w:val="-6"/>
        </w:rPr>
        <w:t xml:space="preserve"> </w:t>
      </w:r>
      <w:r>
        <w:t>unanticipated</w:t>
      </w:r>
      <w:r>
        <w:rPr>
          <w:spacing w:val="-5"/>
        </w:rPr>
        <w:t xml:space="preserve"> </w:t>
      </w:r>
      <w:r>
        <w:t>issues</w:t>
      </w:r>
      <w:r>
        <w:rPr>
          <w:spacing w:val="-6"/>
        </w:rPr>
        <w:t xml:space="preserve"> </w:t>
      </w:r>
      <w:r>
        <w:t>can</w:t>
      </w:r>
      <w:r>
        <w:rPr>
          <w:spacing w:val="-5"/>
        </w:rPr>
        <w:t xml:space="preserve"> </w:t>
      </w:r>
      <w:r>
        <w:t>become</w:t>
      </w:r>
      <w:r>
        <w:rPr>
          <w:spacing w:val="-3"/>
        </w:rPr>
        <w:t xml:space="preserve"> </w:t>
      </w:r>
      <w:r>
        <w:t>a</w:t>
      </w:r>
      <w:r>
        <w:rPr>
          <w:spacing w:val="-4"/>
        </w:rPr>
        <w:t xml:space="preserve"> </w:t>
      </w:r>
      <w:r>
        <w:t>barrier</w:t>
      </w:r>
      <w:r>
        <w:rPr>
          <w:spacing w:val="-4"/>
        </w:rPr>
        <w:t xml:space="preserve"> </w:t>
      </w:r>
      <w:r>
        <w:t>to</w:t>
      </w:r>
      <w:r>
        <w:rPr>
          <w:spacing w:val="-2"/>
        </w:rPr>
        <w:t xml:space="preserve"> </w:t>
      </w:r>
      <w:r>
        <w:t>sustaining</w:t>
      </w:r>
      <w:r>
        <w:rPr>
          <w:spacing w:val="-4"/>
        </w:rPr>
        <w:t xml:space="preserve"> </w:t>
      </w:r>
      <w:r>
        <w:t>change</w:t>
      </w:r>
      <w:r>
        <w:rPr>
          <w:spacing w:val="-3"/>
        </w:rPr>
        <w:t xml:space="preserve"> </w:t>
      </w:r>
      <w:r>
        <w:t>plan</w:t>
      </w:r>
      <w:r>
        <w:rPr>
          <w:spacing w:val="-5"/>
        </w:rPr>
        <w:t xml:space="preserve"> </w:t>
      </w:r>
      <w:r>
        <w:t>actions</w:t>
      </w:r>
      <w:r>
        <w:rPr>
          <w:spacing w:val="-4"/>
        </w:rPr>
        <w:t xml:space="preserve"> </w:t>
      </w:r>
      <w:r>
        <w:t>and</w:t>
      </w:r>
      <w:r>
        <w:rPr>
          <w:spacing w:val="-5"/>
        </w:rPr>
        <w:t xml:space="preserve"> </w:t>
      </w:r>
      <w:r>
        <w:t>may</w:t>
      </w:r>
      <w:r>
        <w:rPr>
          <w:spacing w:val="-3"/>
        </w:rPr>
        <w:t xml:space="preserve"> </w:t>
      </w:r>
      <w:r>
        <w:rPr>
          <w:spacing w:val="-2"/>
        </w:rPr>
        <w:t>require</w:t>
      </w:r>
    </w:p>
    <w:p w14:paraId="3A44ADED" w14:textId="77777777" w:rsidR="00DB6E1F" w:rsidRDefault="00DB6E1F">
      <w:pPr>
        <w:spacing w:line="267" w:lineRule="exact"/>
        <w:sectPr w:rsidR="00DB6E1F">
          <w:headerReference w:type="default" r:id="rId111"/>
          <w:footerReference w:type="default" r:id="rId112"/>
          <w:pgSz w:w="12240" w:h="15840"/>
          <w:pgMar w:top="1200" w:right="0" w:bottom="780" w:left="0" w:header="763" w:footer="585" w:gutter="0"/>
          <w:cols w:space="720"/>
        </w:sectPr>
      </w:pPr>
    </w:p>
    <w:p w14:paraId="77D139EE" w14:textId="77777777" w:rsidR="00DB6E1F" w:rsidRDefault="00DB6E1F">
      <w:pPr>
        <w:pStyle w:val="BodyText"/>
        <w:spacing w:before="8"/>
        <w:rPr>
          <w:sz w:val="14"/>
        </w:rPr>
      </w:pPr>
    </w:p>
    <w:p w14:paraId="30A861B0" w14:textId="77777777" w:rsidR="00DB6E1F" w:rsidRDefault="00F666A6">
      <w:pPr>
        <w:pStyle w:val="BodyText"/>
        <w:spacing w:before="56"/>
        <w:ind w:left="1440"/>
      </w:pPr>
      <w:r>
        <w:t>revisions</w:t>
      </w:r>
      <w:r>
        <w:rPr>
          <w:spacing w:val="-4"/>
        </w:rPr>
        <w:t xml:space="preserve"> </w:t>
      </w:r>
      <w:r>
        <w:t>to</w:t>
      </w:r>
      <w:r>
        <w:rPr>
          <w:spacing w:val="-3"/>
        </w:rPr>
        <w:t xml:space="preserve"> </w:t>
      </w:r>
      <w:r>
        <w:t>the</w:t>
      </w:r>
      <w:r>
        <w:rPr>
          <w:spacing w:val="-3"/>
        </w:rPr>
        <w:t xml:space="preserve"> </w:t>
      </w:r>
      <w:r>
        <w:t>change</w:t>
      </w:r>
      <w:r>
        <w:rPr>
          <w:spacing w:val="-4"/>
        </w:rPr>
        <w:t xml:space="preserve"> </w:t>
      </w:r>
      <w:r>
        <w:t>plan</w:t>
      </w:r>
      <w:r>
        <w:rPr>
          <w:spacing w:val="-4"/>
        </w:rPr>
        <w:t xml:space="preserve"> </w:t>
      </w:r>
      <w:r>
        <w:t>(Connors</w:t>
      </w:r>
      <w:r>
        <w:rPr>
          <w:spacing w:val="-3"/>
        </w:rPr>
        <w:t xml:space="preserve"> </w:t>
      </w:r>
      <w:r>
        <w:t>et</w:t>
      </w:r>
      <w:r>
        <w:rPr>
          <w:spacing w:val="-3"/>
        </w:rPr>
        <w:t xml:space="preserve"> </w:t>
      </w:r>
      <w:r>
        <w:t>al.,</w:t>
      </w:r>
      <w:r>
        <w:rPr>
          <w:spacing w:val="-4"/>
        </w:rPr>
        <w:t xml:space="preserve"> </w:t>
      </w:r>
      <w:r>
        <w:rPr>
          <w:spacing w:val="-2"/>
        </w:rPr>
        <w:t>2013).</w:t>
      </w:r>
    </w:p>
    <w:p w14:paraId="46B86B16" w14:textId="77777777" w:rsidR="00DB6E1F" w:rsidRDefault="00F666A6">
      <w:pPr>
        <w:pStyle w:val="BodyText"/>
        <w:spacing w:before="159"/>
        <w:ind w:left="1440" w:right="1491"/>
      </w:pPr>
      <w:r>
        <w:rPr>
          <w:b/>
        </w:rPr>
        <w:t xml:space="preserve">Your task is to work with the client at each encounter to evaluate the change plan and revise it as necessary. </w:t>
      </w:r>
      <w:r>
        <w:t>Ask the client, “What’s working?” and “What’s not working?” Miller and Rollnick (2013) suggest that counselors think about this process as “flexi</w:t>
      </w:r>
      <w:r>
        <w:t>ble revisiting.” The same strategies used in the planning process of MI apply to revising the change plan, including confirming</w:t>
      </w:r>
      <w:r>
        <w:rPr>
          <w:spacing w:val="-1"/>
        </w:rPr>
        <w:t xml:space="preserve"> </w:t>
      </w:r>
      <w:r>
        <w:t xml:space="preserve">the change goal, eliciting the client’s ideas about how to change, offering a menu of options, summarizing the change plan, and </w:t>
      </w:r>
      <w:r>
        <w:t>exploring obstacles (see Chapter 3). Some strategies for change may need to be removed, whereas others can be adjusted. For example, one client’s goal is to quit drinking, and her action steps include attending three AA meetings a week, including one women</w:t>
      </w:r>
      <w:r>
        <w:t>’s meeting. The client stops going to the women’s</w:t>
      </w:r>
      <w:r>
        <w:rPr>
          <w:spacing w:val="-4"/>
        </w:rPr>
        <w:t xml:space="preserve"> </w:t>
      </w:r>
      <w:r>
        <w:t>meeting</w:t>
      </w:r>
      <w:r>
        <w:rPr>
          <w:spacing w:val="-2"/>
        </w:rPr>
        <w:t xml:space="preserve"> </w:t>
      </w:r>
      <w:r>
        <w:t>because</w:t>
      </w:r>
      <w:r>
        <w:rPr>
          <w:spacing w:val="-7"/>
        </w:rPr>
        <w:t xml:space="preserve"> </w:t>
      </w:r>
      <w:r>
        <w:t>one</w:t>
      </w:r>
      <w:r>
        <w:rPr>
          <w:spacing w:val="-4"/>
        </w:rPr>
        <w:t xml:space="preserve"> </w:t>
      </w:r>
      <w:r>
        <w:t>of</w:t>
      </w:r>
      <w:r>
        <w:rPr>
          <w:spacing w:val="-2"/>
        </w:rPr>
        <w:t xml:space="preserve"> </w:t>
      </w:r>
      <w:r>
        <w:t>the</w:t>
      </w:r>
      <w:r>
        <w:rPr>
          <w:spacing w:val="-2"/>
        </w:rPr>
        <w:t xml:space="preserve"> </w:t>
      </w:r>
      <w:r>
        <w:t>regular</w:t>
      </w:r>
      <w:r>
        <w:rPr>
          <w:spacing w:val="-2"/>
        </w:rPr>
        <w:t xml:space="preserve"> </w:t>
      </w:r>
      <w:r>
        <w:t>attendees</w:t>
      </w:r>
      <w:r>
        <w:rPr>
          <w:spacing w:val="-2"/>
        </w:rPr>
        <w:t xml:space="preserve"> </w:t>
      </w:r>
      <w:r>
        <w:t>is</w:t>
      </w:r>
      <w:r>
        <w:rPr>
          <w:spacing w:val="-2"/>
        </w:rPr>
        <w:t xml:space="preserve"> </w:t>
      </w:r>
      <w:r>
        <w:t>a</w:t>
      </w:r>
      <w:r>
        <w:rPr>
          <w:spacing w:val="-4"/>
        </w:rPr>
        <w:t xml:space="preserve"> </w:t>
      </w:r>
      <w:r>
        <w:t>coworker</w:t>
      </w:r>
      <w:r>
        <w:rPr>
          <w:spacing w:val="-5"/>
        </w:rPr>
        <w:t xml:space="preserve"> </w:t>
      </w:r>
      <w:r>
        <w:t>who</w:t>
      </w:r>
      <w:r>
        <w:rPr>
          <w:spacing w:val="-1"/>
        </w:rPr>
        <w:t xml:space="preserve"> </w:t>
      </w:r>
      <w:r>
        <w:t>likes</w:t>
      </w:r>
      <w:r>
        <w:rPr>
          <w:spacing w:val="-2"/>
        </w:rPr>
        <w:t xml:space="preserve"> </w:t>
      </w:r>
      <w:r>
        <w:t>to gossip,</w:t>
      </w:r>
      <w:r>
        <w:rPr>
          <w:spacing w:val="-1"/>
        </w:rPr>
        <w:t xml:space="preserve"> </w:t>
      </w:r>
      <w:r>
        <w:t>and</w:t>
      </w:r>
      <w:r>
        <w:rPr>
          <w:spacing w:val="-3"/>
        </w:rPr>
        <w:t xml:space="preserve"> </w:t>
      </w:r>
      <w:r>
        <w:t>the</w:t>
      </w:r>
      <w:r>
        <w:rPr>
          <w:spacing w:val="-4"/>
        </w:rPr>
        <w:t xml:space="preserve"> </w:t>
      </w:r>
      <w:r>
        <w:t>client is afraid that the coworker will break her anonymity at work. Your first step is to identify the issue, and the</w:t>
      </w:r>
      <w:r>
        <w:t>n elicit the client’s ideas about what else might work for her.</w:t>
      </w:r>
    </w:p>
    <w:p w14:paraId="2BF11624" w14:textId="77777777" w:rsidR="00DB6E1F" w:rsidRDefault="00F666A6">
      <w:pPr>
        <w:pStyle w:val="BodyText"/>
        <w:spacing w:before="160"/>
        <w:ind w:left="1440"/>
      </w:pPr>
      <w:r>
        <w:t>Open</w:t>
      </w:r>
      <w:r>
        <w:rPr>
          <w:spacing w:val="-7"/>
        </w:rPr>
        <w:t xml:space="preserve"> </w:t>
      </w:r>
      <w:r>
        <w:t>questions</w:t>
      </w:r>
      <w:r>
        <w:rPr>
          <w:spacing w:val="-4"/>
        </w:rPr>
        <w:t xml:space="preserve"> </w:t>
      </w:r>
      <w:r>
        <w:t>to</w:t>
      </w:r>
      <w:r>
        <w:rPr>
          <w:spacing w:val="-2"/>
        </w:rPr>
        <w:t xml:space="preserve"> </w:t>
      </w:r>
      <w:r>
        <w:t>start</w:t>
      </w:r>
      <w:r>
        <w:rPr>
          <w:spacing w:val="-6"/>
        </w:rPr>
        <w:t xml:space="preserve"> </w:t>
      </w:r>
      <w:r>
        <w:t>this</w:t>
      </w:r>
      <w:r>
        <w:rPr>
          <w:spacing w:val="-3"/>
        </w:rPr>
        <w:t xml:space="preserve"> </w:t>
      </w:r>
      <w:r>
        <w:t>process</w:t>
      </w:r>
      <w:r>
        <w:rPr>
          <w:spacing w:val="-3"/>
        </w:rPr>
        <w:t xml:space="preserve"> </w:t>
      </w:r>
      <w:r>
        <w:t>if</w:t>
      </w:r>
      <w:r>
        <w:rPr>
          <w:spacing w:val="-3"/>
        </w:rPr>
        <w:t xml:space="preserve"> </w:t>
      </w:r>
      <w:r>
        <w:t>a</w:t>
      </w:r>
      <w:r>
        <w:rPr>
          <w:spacing w:val="-7"/>
        </w:rPr>
        <w:t xml:space="preserve"> </w:t>
      </w:r>
      <w:r>
        <w:t>change</w:t>
      </w:r>
      <w:r>
        <w:rPr>
          <w:spacing w:val="-2"/>
        </w:rPr>
        <w:t xml:space="preserve"> </w:t>
      </w:r>
      <w:r>
        <w:t>strategy</w:t>
      </w:r>
      <w:r>
        <w:rPr>
          <w:spacing w:val="-3"/>
        </w:rPr>
        <w:t xml:space="preserve"> </w:t>
      </w:r>
      <w:r>
        <w:t>is</w:t>
      </w:r>
      <w:r>
        <w:rPr>
          <w:spacing w:val="-3"/>
        </w:rPr>
        <w:t xml:space="preserve"> </w:t>
      </w:r>
      <w:r>
        <w:t>not</w:t>
      </w:r>
      <w:r>
        <w:rPr>
          <w:spacing w:val="-6"/>
        </w:rPr>
        <w:t xml:space="preserve"> </w:t>
      </w:r>
      <w:r>
        <w:t>working</w:t>
      </w:r>
      <w:r>
        <w:rPr>
          <w:spacing w:val="-3"/>
        </w:rPr>
        <w:t xml:space="preserve"> </w:t>
      </w:r>
      <w:r>
        <w:t>include</w:t>
      </w:r>
      <w:r>
        <w:rPr>
          <w:spacing w:val="-3"/>
        </w:rPr>
        <w:t xml:space="preserve"> </w:t>
      </w:r>
      <w:r>
        <w:t>(Miller</w:t>
      </w:r>
      <w:r>
        <w:rPr>
          <w:spacing w:val="-5"/>
        </w:rPr>
        <w:t xml:space="preserve"> </w:t>
      </w:r>
      <w:r>
        <w:t>&amp;</w:t>
      </w:r>
      <w:r>
        <w:rPr>
          <w:spacing w:val="-3"/>
        </w:rPr>
        <w:t xml:space="preserve"> </w:t>
      </w:r>
      <w:r>
        <w:t>Rollnick,</w:t>
      </w:r>
      <w:r>
        <w:rPr>
          <w:spacing w:val="-5"/>
        </w:rPr>
        <w:t xml:space="preserve"> </w:t>
      </w:r>
      <w:r>
        <w:rPr>
          <w:spacing w:val="-2"/>
        </w:rPr>
        <w:t>2013):</w:t>
      </w:r>
    </w:p>
    <w:p w14:paraId="5AEB332D" w14:textId="77777777" w:rsidR="00DB6E1F" w:rsidRDefault="00F666A6">
      <w:pPr>
        <w:pStyle w:val="ListParagraph"/>
        <w:numPr>
          <w:ilvl w:val="0"/>
          <w:numId w:val="92"/>
        </w:numPr>
        <w:tabs>
          <w:tab w:val="left" w:pos="1800"/>
          <w:tab w:val="left" w:pos="1801"/>
        </w:tabs>
        <w:ind w:left="1800"/>
        <w:rPr>
          <w:rFonts w:ascii="Symbol" w:hAnsi="Symbol"/>
        </w:rPr>
      </w:pPr>
      <w:r>
        <w:t>“What</w:t>
      </w:r>
      <w:r>
        <w:rPr>
          <w:spacing w:val="-5"/>
        </w:rPr>
        <w:t xml:space="preserve"> </w:t>
      </w:r>
      <w:r>
        <w:rPr>
          <w:spacing w:val="-2"/>
        </w:rPr>
        <w:t>now?”</w:t>
      </w:r>
    </w:p>
    <w:p w14:paraId="0C1725DC" w14:textId="77777777" w:rsidR="00DB6E1F" w:rsidRDefault="00F666A6">
      <w:pPr>
        <w:pStyle w:val="ListParagraph"/>
        <w:numPr>
          <w:ilvl w:val="0"/>
          <w:numId w:val="92"/>
        </w:numPr>
        <w:tabs>
          <w:tab w:val="left" w:pos="1800"/>
          <w:tab w:val="left" w:pos="1801"/>
        </w:tabs>
        <w:spacing w:before="61"/>
        <w:ind w:left="1800"/>
        <w:rPr>
          <w:rFonts w:ascii="Symbol" w:hAnsi="Symbol"/>
        </w:rPr>
      </w:pPr>
      <w:r>
        <w:t>“What</w:t>
      </w:r>
      <w:r>
        <w:rPr>
          <w:spacing w:val="-4"/>
        </w:rPr>
        <w:t xml:space="preserve"> </w:t>
      </w:r>
      <w:r>
        <w:t>else</w:t>
      </w:r>
      <w:r>
        <w:rPr>
          <w:spacing w:val="-4"/>
        </w:rPr>
        <w:t xml:space="preserve"> </w:t>
      </w:r>
      <w:r>
        <w:t>might</w:t>
      </w:r>
      <w:r>
        <w:rPr>
          <w:spacing w:val="-3"/>
        </w:rPr>
        <w:t xml:space="preserve"> </w:t>
      </w:r>
      <w:r>
        <w:rPr>
          <w:spacing w:val="-2"/>
        </w:rPr>
        <w:t>work?”</w:t>
      </w:r>
    </w:p>
    <w:p w14:paraId="6F141A99" w14:textId="77777777" w:rsidR="00DB6E1F" w:rsidRDefault="00F666A6">
      <w:pPr>
        <w:pStyle w:val="ListParagraph"/>
        <w:numPr>
          <w:ilvl w:val="0"/>
          <w:numId w:val="92"/>
        </w:numPr>
        <w:tabs>
          <w:tab w:val="left" w:pos="1800"/>
          <w:tab w:val="left" w:pos="1801"/>
        </w:tabs>
        <w:spacing w:before="58"/>
        <w:ind w:left="1800"/>
        <w:rPr>
          <w:rFonts w:ascii="Symbol" w:hAnsi="Symbol"/>
        </w:rPr>
      </w:pPr>
      <w:r>
        <w:t>“What’s</w:t>
      </w:r>
      <w:r>
        <w:rPr>
          <w:spacing w:val="-5"/>
        </w:rPr>
        <w:t xml:space="preserve"> </w:t>
      </w:r>
      <w:r>
        <w:t>your</w:t>
      </w:r>
      <w:r>
        <w:rPr>
          <w:spacing w:val="-3"/>
        </w:rPr>
        <w:t xml:space="preserve"> </w:t>
      </w:r>
      <w:r>
        <w:t>next</w:t>
      </w:r>
      <w:r>
        <w:rPr>
          <w:spacing w:val="-2"/>
        </w:rPr>
        <w:t xml:space="preserve"> </w:t>
      </w:r>
      <w:r>
        <w:rPr>
          <w:spacing w:val="-4"/>
        </w:rPr>
        <w:t>step?</w:t>
      </w:r>
    </w:p>
    <w:p w14:paraId="714D49D4" w14:textId="77777777" w:rsidR="00DB6E1F" w:rsidRDefault="00F666A6">
      <w:pPr>
        <w:pStyle w:val="BodyText"/>
        <w:spacing w:before="161"/>
        <w:ind w:left="1440" w:right="1491"/>
      </w:pPr>
      <w:r>
        <w:t>Avoid jumping in too quickly with your own ideas. Adjusting a change plan, like creating the initial change</w:t>
      </w:r>
      <w:r>
        <w:rPr>
          <w:spacing w:val="-1"/>
        </w:rPr>
        <w:t xml:space="preserve"> </w:t>
      </w:r>
      <w:r>
        <w:t>plan,</w:t>
      </w:r>
      <w:r>
        <w:rPr>
          <w:spacing w:val="-2"/>
        </w:rPr>
        <w:t xml:space="preserve"> </w:t>
      </w:r>
      <w:r>
        <w:t>is</w:t>
      </w:r>
      <w:r>
        <w:rPr>
          <w:spacing w:val="-2"/>
        </w:rPr>
        <w:t xml:space="preserve"> </w:t>
      </w:r>
      <w:r>
        <w:t>a</w:t>
      </w:r>
      <w:r>
        <w:rPr>
          <w:spacing w:val="-2"/>
        </w:rPr>
        <w:t xml:space="preserve"> </w:t>
      </w:r>
      <w:r>
        <w:t>joint</w:t>
      </w:r>
      <w:r>
        <w:rPr>
          <w:spacing w:val="-1"/>
        </w:rPr>
        <w:t xml:space="preserve"> </w:t>
      </w:r>
      <w:r>
        <w:t>process</w:t>
      </w:r>
      <w:r>
        <w:rPr>
          <w:spacing w:val="-2"/>
        </w:rPr>
        <w:t xml:space="preserve"> </w:t>
      </w:r>
      <w:r>
        <w:t>between</w:t>
      </w:r>
      <w:r>
        <w:rPr>
          <w:spacing w:val="-3"/>
        </w:rPr>
        <w:t xml:space="preserve"> </w:t>
      </w:r>
      <w:r>
        <w:t>you</w:t>
      </w:r>
      <w:r>
        <w:rPr>
          <w:spacing w:val="-3"/>
        </w:rPr>
        <w:t xml:space="preserve"> </w:t>
      </w:r>
      <w:r>
        <w:t>and</w:t>
      </w:r>
      <w:r>
        <w:rPr>
          <w:spacing w:val="-3"/>
        </w:rPr>
        <w:t xml:space="preserve"> </w:t>
      </w:r>
      <w:r>
        <w:t>the</w:t>
      </w:r>
      <w:r>
        <w:rPr>
          <w:spacing w:val="-1"/>
        </w:rPr>
        <w:t xml:space="preserve"> </w:t>
      </w:r>
      <w:r>
        <w:t>client;</w:t>
      </w:r>
      <w:r>
        <w:rPr>
          <w:spacing w:val="-3"/>
        </w:rPr>
        <w:t xml:space="preserve"> </w:t>
      </w:r>
      <w:r>
        <w:t>the</w:t>
      </w:r>
      <w:r>
        <w:rPr>
          <w:spacing w:val="-1"/>
        </w:rPr>
        <w:t xml:space="preserve"> </w:t>
      </w:r>
      <w:r>
        <w:t>client’s</w:t>
      </w:r>
      <w:r>
        <w:rPr>
          <w:spacing w:val="-4"/>
        </w:rPr>
        <w:t xml:space="preserve"> </w:t>
      </w:r>
      <w:r>
        <w:t>own</w:t>
      </w:r>
      <w:r>
        <w:rPr>
          <w:spacing w:val="-3"/>
        </w:rPr>
        <w:t xml:space="preserve"> </w:t>
      </w:r>
      <w:r>
        <w:t>ideas</w:t>
      </w:r>
      <w:r>
        <w:rPr>
          <w:spacing w:val="-4"/>
        </w:rPr>
        <w:t xml:space="preserve"> </w:t>
      </w:r>
      <w:r>
        <w:t>and</w:t>
      </w:r>
      <w:r>
        <w:rPr>
          <w:spacing w:val="-3"/>
        </w:rPr>
        <w:t xml:space="preserve"> </w:t>
      </w:r>
      <w:r>
        <w:t>resources</w:t>
      </w:r>
      <w:r>
        <w:rPr>
          <w:spacing w:val="-2"/>
        </w:rPr>
        <w:t xml:space="preserve"> </w:t>
      </w:r>
      <w:r>
        <w:t>are</w:t>
      </w:r>
      <w:r>
        <w:rPr>
          <w:spacing w:val="-1"/>
        </w:rPr>
        <w:t xml:space="preserve"> </w:t>
      </w:r>
      <w:r>
        <w:t>key (Miller</w:t>
      </w:r>
      <w:r>
        <w:rPr>
          <w:spacing w:val="-1"/>
        </w:rPr>
        <w:t xml:space="preserve"> </w:t>
      </w:r>
      <w:r>
        <w:t>&amp; Rollnick,</w:t>
      </w:r>
      <w:r>
        <w:rPr>
          <w:spacing w:val="-1"/>
        </w:rPr>
        <w:t xml:space="preserve"> </w:t>
      </w:r>
      <w:r>
        <w:t>2013). Finally, summarize the</w:t>
      </w:r>
      <w:r>
        <w:rPr>
          <w:spacing w:val="-1"/>
        </w:rPr>
        <w:t xml:space="preserve"> </w:t>
      </w:r>
      <w:r>
        <w:t>new</w:t>
      </w:r>
      <w:r>
        <w:rPr>
          <w:spacing w:val="-1"/>
        </w:rPr>
        <w:t xml:space="preserve"> </w:t>
      </w:r>
      <w:r>
        <w:t>change strategy and</w:t>
      </w:r>
      <w:r>
        <w:rPr>
          <w:spacing w:val="-2"/>
        </w:rPr>
        <w:t xml:space="preserve"> </w:t>
      </w:r>
      <w:r>
        <w:t>explore</w:t>
      </w:r>
      <w:r>
        <w:rPr>
          <w:spacing w:val="-1"/>
        </w:rPr>
        <w:t xml:space="preserve"> </w:t>
      </w:r>
      <w:r>
        <w:t>how</w:t>
      </w:r>
      <w:r>
        <w:rPr>
          <w:spacing w:val="-1"/>
        </w:rPr>
        <w:t xml:space="preserve"> </w:t>
      </w:r>
      <w:r>
        <w:t>the</w:t>
      </w:r>
      <w:r>
        <w:rPr>
          <w:spacing w:val="-1"/>
        </w:rPr>
        <w:t xml:space="preserve"> </w:t>
      </w:r>
      <w:r>
        <w:t>client</w:t>
      </w:r>
      <w:r>
        <w:rPr>
          <w:spacing w:val="-1"/>
        </w:rPr>
        <w:t xml:space="preserve"> </w:t>
      </w:r>
      <w:r>
        <w:t>might respond to any new obstacles that might come up while initiating the revised change plan (Miller &amp; Rollnick, 2013).</w:t>
      </w:r>
    </w:p>
    <w:p w14:paraId="3D1639BC" w14:textId="77777777" w:rsidR="00DB6E1F" w:rsidRDefault="00F666A6">
      <w:pPr>
        <w:pStyle w:val="Heading2"/>
        <w:spacing w:before="164"/>
      </w:pPr>
      <w:bookmarkStart w:id="183" w:name="_bookmark39"/>
      <w:bookmarkEnd w:id="183"/>
      <w:r>
        <w:rPr>
          <w:spacing w:val="-2"/>
        </w:rPr>
        <w:t>Conclusion</w:t>
      </w:r>
    </w:p>
    <w:p w14:paraId="18B1B48C" w14:textId="77777777" w:rsidR="00DB6E1F" w:rsidRDefault="00F666A6">
      <w:pPr>
        <w:pStyle w:val="BodyText"/>
        <w:spacing w:before="152"/>
        <w:ind w:left="1439" w:right="1491"/>
      </w:pPr>
      <w:r>
        <w:t>As clients move from contemplating change into</w:t>
      </w:r>
      <w:r>
        <w:t xml:space="preserve"> preparing for change, your task is to continue to reinforce clients’ commitment to change and take action. You can support clients to take this next step by working together to develop a change plan, imagining possible barriers to change that might occur,</w:t>
      </w:r>
      <w:r>
        <w:t xml:space="preserve"> and enlisting social support for taking action. Change plans are client driven and based on clients’ own goals.</w:t>
      </w:r>
      <w:r>
        <w:rPr>
          <w:spacing w:val="-3"/>
        </w:rPr>
        <w:t xml:space="preserve"> </w:t>
      </w:r>
      <w:r>
        <w:t>Continue</w:t>
      </w:r>
      <w:r>
        <w:rPr>
          <w:spacing w:val="-2"/>
        </w:rPr>
        <w:t xml:space="preserve"> </w:t>
      </w:r>
      <w:r>
        <w:t>to</w:t>
      </w:r>
      <w:r>
        <w:rPr>
          <w:spacing w:val="-2"/>
        </w:rPr>
        <w:t xml:space="preserve"> </w:t>
      </w:r>
      <w:r>
        <w:t>use</w:t>
      </w:r>
      <w:r>
        <w:rPr>
          <w:spacing w:val="-5"/>
        </w:rPr>
        <w:t xml:space="preserve"> </w:t>
      </w:r>
      <w:r>
        <w:t>motivational</w:t>
      </w:r>
      <w:r>
        <w:rPr>
          <w:spacing w:val="-3"/>
        </w:rPr>
        <w:t xml:space="preserve"> </w:t>
      </w:r>
      <w:r>
        <w:t>counseling</w:t>
      </w:r>
      <w:r>
        <w:rPr>
          <w:spacing w:val="-4"/>
        </w:rPr>
        <w:t xml:space="preserve"> </w:t>
      </w:r>
      <w:r>
        <w:t>strategies</w:t>
      </w:r>
      <w:r>
        <w:rPr>
          <w:spacing w:val="-3"/>
        </w:rPr>
        <w:t xml:space="preserve"> </w:t>
      </w:r>
      <w:r>
        <w:t>to</w:t>
      </w:r>
      <w:r>
        <w:rPr>
          <w:spacing w:val="-2"/>
        </w:rPr>
        <w:t xml:space="preserve"> </w:t>
      </w:r>
      <w:r>
        <w:t>help</w:t>
      </w:r>
      <w:r>
        <w:rPr>
          <w:spacing w:val="-6"/>
        </w:rPr>
        <w:t xml:space="preserve"> </w:t>
      </w:r>
      <w:r>
        <w:t>clients</w:t>
      </w:r>
      <w:r>
        <w:rPr>
          <w:spacing w:val="-3"/>
        </w:rPr>
        <w:t xml:space="preserve"> </w:t>
      </w:r>
      <w:r>
        <w:t>identify</w:t>
      </w:r>
      <w:r>
        <w:rPr>
          <w:spacing w:val="-4"/>
        </w:rPr>
        <w:t xml:space="preserve"> </w:t>
      </w:r>
      <w:r>
        <w:t>and</w:t>
      </w:r>
      <w:r>
        <w:rPr>
          <w:spacing w:val="-4"/>
        </w:rPr>
        <w:t xml:space="preserve"> </w:t>
      </w:r>
      <w:r>
        <w:t>clarify</w:t>
      </w:r>
      <w:r>
        <w:rPr>
          <w:spacing w:val="-2"/>
        </w:rPr>
        <w:t xml:space="preserve"> </w:t>
      </w:r>
      <w:r>
        <w:t>their</w:t>
      </w:r>
      <w:r>
        <w:rPr>
          <w:spacing w:val="-3"/>
        </w:rPr>
        <w:t xml:space="preserve"> </w:t>
      </w:r>
      <w:r>
        <w:t>change goals, develop a change plan, and refine a</w:t>
      </w:r>
      <w:r>
        <w:t>nd revise the change plan as needed. Your role is to help clients sustain their goals for change, gain stability, and move into the Maintenance stage of the SOC.</w:t>
      </w:r>
    </w:p>
    <w:p w14:paraId="74680AC4" w14:textId="77777777" w:rsidR="00DB6E1F" w:rsidRDefault="00DB6E1F">
      <w:pPr>
        <w:sectPr w:rsidR="00DB6E1F">
          <w:pgSz w:w="12240" w:h="15840"/>
          <w:pgMar w:top="1200" w:right="0" w:bottom="780" w:left="0" w:header="763" w:footer="585" w:gutter="0"/>
          <w:cols w:space="720"/>
        </w:sectPr>
      </w:pPr>
    </w:p>
    <w:p w14:paraId="5671EBFA" w14:textId="77777777" w:rsidR="00DB6E1F" w:rsidRDefault="00DB6E1F">
      <w:pPr>
        <w:pStyle w:val="BodyText"/>
        <w:rPr>
          <w:sz w:val="20"/>
        </w:rPr>
      </w:pPr>
    </w:p>
    <w:p w14:paraId="6B76A983" w14:textId="77777777" w:rsidR="00DB6E1F" w:rsidRDefault="00DB6E1F">
      <w:pPr>
        <w:pStyle w:val="BodyText"/>
        <w:rPr>
          <w:sz w:val="20"/>
        </w:rPr>
      </w:pPr>
    </w:p>
    <w:p w14:paraId="425202AC" w14:textId="77777777" w:rsidR="00DB6E1F" w:rsidRDefault="00DB6E1F">
      <w:pPr>
        <w:pStyle w:val="BodyText"/>
        <w:rPr>
          <w:sz w:val="20"/>
        </w:rPr>
      </w:pPr>
    </w:p>
    <w:p w14:paraId="5F3D5287" w14:textId="77777777" w:rsidR="00DB6E1F" w:rsidRDefault="00DB6E1F">
      <w:pPr>
        <w:pStyle w:val="BodyText"/>
        <w:rPr>
          <w:sz w:val="20"/>
        </w:rPr>
      </w:pPr>
    </w:p>
    <w:p w14:paraId="4E940146" w14:textId="77777777" w:rsidR="00DB6E1F" w:rsidRDefault="00DB6E1F">
      <w:pPr>
        <w:pStyle w:val="BodyText"/>
        <w:rPr>
          <w:sz w:val="20"/>
        </w:rPr>
      </w:pPr>
    </w:p>
    <w:p w14:paraId="1F01BA6A" w14:textId="77777777" w:rsidR="00DB6E1F" w:rsidRDefault="00DB6E1F">
      <w:pPr>
        <w:pStyle w:val="BodyText"/>
        <w:rPr>
          <w:sz w:val="20"/>
        </w:rPr>
      </w:pPr>
    </w:p>
    <w:p w14:paraId="20594223" w14:textId="77777777" w:rsidR="00DB6E1F" w:rsidRDefault="00DB6E1F">
      <w:pPr>
        <w:pStyle w:val="BodyText"/>
        <w:rPr>
          <w:sz w:val="20"/>
        </w:rPr>
      </w:pPr>
    </w:p>
    <w:p w14:paraId="1B4AF316" w14:textId="77777777" w:rsidR="00DB6E1F" w:rsidRDefault="00DB6E1F">
      <w:pPr>
        <w:pStyle w:val="BodyText"/>
        <w:rPr>
          <w:sz w:val="20"/>
        </w:rPr>
      </w:pPr>
    </w:p>
    <w:p w14:paraId="255C5994" w14:textId="77777777" w:rsidR="00DB6E1F" w:rsidRDefault="00DB6E1F">
      <w:pPr>
        <w:pStyle w:val="BodyText"/>
        <w:rPr>
          <w:sz w:val="20"/>
        </w:rPr>
      </w:pPr>
    </w:p>
    <w:p w14:paraId="62E53A49" w14:textId="77777777" w:rsidR="00DB6E1F" w:rsidRDefault="00DB6E1F">
      <w:pPr>
        <w:pStyle w:val="BodyText"/>
        <w:rPr>
          <w:sz w:val="20"/>
        </w:rPr>
      </w:pPr>
    </w:p>
    <w:p w14:paraId="0EF9F337" w14:textId="77777777" w:rsidR="00DB6E1F" w:rsidRDefault="00DB6E1F">
      <w:pPr>
        <w:pStyle w:val="BodyText"/>
        <w:rPr>
          <w:sz w:val="20"/>
        </w:rPr>
      </w:pPr>
    </w:p>
    <w:p w14:paraId="25F43FA7" w14:textId="77777777" w:rsidR="00DB6E1F" w:rsidRDefault="00DB6E1F">
      <w:pPr>
        <w:pStyle w:val="BodyText"/>
        <w:rPr>
          <w:sz w:val="20"/>
        </w:rPr>
      </w:pPr>
    </w:p>
    <w:p w14:paraId="263AA5C3" w14:textId="77777777" w:rsidR="00DB6E1F" w:rsidRDefault="00DB6E1F">
      <w:pPr>
        <w:pStyle w:val="BodyText"/>
        <w:rPr>
          <w:sz w:val="20"/>
        </w:rPr>
      </w:pPr>
    </w:p>
    <w:p w14:paraId="32F5F73E" w14:textId="77777777" w:rsidR="00DB6E1F" w:rsidRDefault="00DB6E1F">
      <w:pPr>
        <w:pStyle w:val="BodyText"/>
        <w:rPr>
          <w:sz w:val="20"/>
        </w:rPr>
      </w:pPr>
    </w:p>
    <w:p w14:paraId="211AD15A" w14:textId="77777777" w:rsidR="00DB6E1F" w:rsidRDefault="00DB6E1F">
      <w:pPr>
        <w:pStyle w:val="BodyText"/>
        <w:rPr>
          <w:sz w:val="20"/>
        </w:rPr>
      </w:pPr>
    </w:p>
    <w:p w14:paraId="1CDE3CA5" w14:textId="77777777" w:rsidR="00DB6E1F" w:rsidRDefault="00DB6E1F">
      <w:pPr>
        <w:pStyle w:val="BodyText"/>
        <w:rPr>
          <w:sz w:val="20"/>
        </w:rPr>
      </w:pPr>
    </w:p>
    <w:p w14:paraId="14C93C58" w14:textId="77777777" w:rsidR="00DB6E1F" w:rsidRDefault="00DB6E1F">
      <w:pPr>
        <w:pStyle w:val="BodyText"/>
        <w:rPr>
          <w:sz w:val="20"/>
        </w:rPr>
      </w:pPr>
    </w:p>
    <w:p w14:paraId="071CAA81" w14:textId="77777777" w:rsidR="00DB6E1F" w:rsidRDefault="00DB6E1F">
      <w:pPr>
        <w:pStyle w:val="BodyText"/>
        <w:spacing w:before="8"/>
        <w:rPr>
          <w:sz w:val="25"/>
        </w:rPr>
      </w:pPr>
    </w:p>
    <w:p w14:paraId="71C5C29E" w14:textId="77777777" w:rsidR="00DB6E1F" w:rsidRDefault="00F666A6">
      <w:pPr>
        <w:pStyle w:val="BodyText"/>
        <w:spacing w:before="56"/>
        <w:ind w:left="1444" w:right="1444"/>
        <w:jc w:val="center"/>
      </w:pPr>
      <w:r>
        <w:t>This</w:t>
      </w:r>
      <w:r>
        <w:rPr>
          <w:spacing w:val="-5"/>
        </w:rPr>
        <w:t xml:space="preserve"> </w:t>
      </w:r>
      <w:r>
        <w:t>page</w:t>
      </w:r>
      <w:r>
        <w:rPr>
          <w:spacing w:val="-4"/>
        </w:rPr>
        <w:t xml:space="preserve"> </w:t>
      </w:r>
      <w:r>
        <w:t>intentionally</w:t>
      </w:r>
      <w:r>
        <w:rPr>
          <w:spacing w:val="-4"/>
        </w:rPr>
        <w:t xml:space="preserve"> </w:t>
      </w:r>
      <w:r>
        <w:t>left</w:t>
      </w:r>
      <w:r>
        <w:rPr>
          <w:spacing w:val="-8"/>
        </w:rPr>
        <w:t xml:space="preserve"> </w:t>
      </w:r>
      <w:r>
        <w:rPr>
          <w:spacing w:val="-2"/>
        </w:rPr>
        <w:t>blank.</w:t>
      </w:r>
    </w:p>
    <w:p w14:paraId="4AC82A99" w14:textId="77777777" w:rsidR="00DB6E1F" w:rsidRDefault="00DB6E1F">
      <w:pPr>
        <w:jc w:val="center"/>
        <w:sectPr w:rsidR="00DB6E1F">
          <w:pgSz w:w="12240" w:h="15840"/>
          <w:pgMar w:top="1200" w:right="0" w:bottom="780" w:left="0" w:header="763" w:footer="585" w:gutter="0"/>
          <w:cols w:space="720"/>
        </w:sectPr>
      </w:pPr>
    </w:p>
    <w:p w14:paraId="7C170B84" w14:textId="77777777" w:rsidR="00DB6E1F" w:rsidRDefault="00DB6E1F">
      <w:pPr>
        <w:pStyle w:val="BodyText"/>
        <w:spacing w:before="12"/>
        <w:rPr>
          <w:sz w:val="18"/>
        </w:rPr>
      </w:pPr>
    </w:p>
    <w:p w14:paraId="1B21C24A" w14:textId="77777777" w:rsidR="00DB6E1F" w:rsidRDefault="00F666A6">
      <w:pPr>
        <w:pStyle w:val="Heading1"/>
      </w:pPr>
      <w:bookmarkStart w:id="184" w:name="Chapter_7—From_Action_to_Maintenance:_St"/>
      <w:bookmarkStart w:id="185" w:name="_bookmark40"/>
      <w:bookmarkEnd w:id="184"/>
      <w:bookmarkEnd w:id="185"/>
      <w:r>
        <w:t>Chapter</w:t>
      </w:r>
      <w:r>
        <w:rPr>
          <w:spacing w:val="-5"/>
        </w:rPr>
        <w:t xml:space="preserve"> </w:t>
      </w:r>
      <w:r>
        <w:t>7—From</w:t>
      </w:r>
      <w:r>
        <w:rPr>
          <w:spacing w:val="-1"/>
        </w:rPr>
        <w:t xml:space="preserve"> </w:t>
      </w:r>
      <w:r>
        <w:t>Action</w:t>
      </w:r>
      <w:r>
        <w:rPr>
          <w:spacing w:val="-4"/>
        </w:rPr>
        <w:t xml:space="preserve"> </w:t>
      </w:r>
      <w:r>
        <w:t>to</w:t>
      </w:r>
      <w:r>
        <w:rPr>
          <w:spacing w:val="-1"/>
        </w:rPr>
        <w:t xml:space="preserve"> </w:t>
      </w:r>
      <w:r>
        <w:rPr>
          <w:spacing w:val="-2"/>
        </w:rPr>
        <w:t>Maintenance:</w:t>
      </w:r>
    </w:p>
    <w:p w14:paraId="792743C2" w14:textId="77777777" w:rsidR="00DB6E1F" w:rsidRDefault="00F666A6">
      <w:pPr>
        <w:spacing w:before="45"/>
        <w:ind w:left="1444" w:right="1444"/>
        <w:jc w:val="center"/>
        <w:rPr>
          <w:b/>
          <w:sz w:val="48"/>
        </w:rPr>
      </w:pPr>
      <w:r>
        <w:rPr>
          <w:b/>
          <w:sz w:val="48"/>
        </w:rPr>
        <w:t>Stabilizing</w:t>
      </w:r>
      <w:r>
        <w:rPr>
          <w:b/>
          <w:spacing w:val="-6"/>
          <w:sz w:val="48"/>
        </w:rPr>
        <w:t xml:space="preserve"> </w:t>
      </w:r>
      <w:r>
        <w:rPr>
          <w:b/>
          <w:spacing w:val="-2"/>
          <w:sz w:val="48"/>
        </w:rPr>
        <w:t>Change</w:t>
      </w:r>
    </w:p>
    <w:p w14:paraId="725F5020" w14:textId="77777777" w:rsidR="00DB6E1F" w:rsidRDefault="00DB6E1F">
      <w:pPr>
        <w:pStyle w:val="BodyText"/>
        <w:spacing w:before="5"/>
        <w:rPr>
          <w:b/>
          <w:sz w:val="43"/>
        </w:rPr>
      </w:pPr>
    </w:p>
    <w:p w14:paraId="4D91D622" w14:textId="77777777" w:rsidR="00DB6E1F" w:rsidRDefault="00F666A6">
      <w:pPr>
        <w:ind w:left="1440" w:right="1466"/>
        <w:rPr>
          <w:sz w:val="20"/>
        </w:rPr>
      </w:pPr>
      <w:r>
        <w:rPr>
          <w:sz w:val="20"/>
        </w:rPr>
        <w:t>”To become habitual, the new behavior must become integrated into the individual’s lifestyle. This is the task of the Maintenance stage of change. During this stage, the new behavior pattern becomes automatic, requiring less thought</w:t>
      </w:r>
      <w:r>
        <w:rPr>
          <w:spacing w:val="-3"/>
          <w:sz w:val="20"/>
        </w:rPr>
        <w:t xml:space="preserve"> </w:t>
      </w:r>
      <w:r>
        <w:rPr>
          <w:sz w:val="20"/>
        </w:rPr>
        <w:t>or</w:t>
      </w:r>
      <w:r>
        <w:rPr>
          <w:spacing w:val="-3"/>
          <w:sz w:val="20"/>
        </w:rPr>
        <w:t xml:space="preserve"> </w:t>
      </w:r>
      <w:r>
        <w:rPr>
          <w:sz w:val="20"/>
        </w:rPr>
        <w:t>effort</w:t>
      </w:r>
      <w:r>
        <w:rPr>
          <w:spacing w:val="-3"/>
          <w:sz w:val="20"/>
        </w:rPr>
        <w:t xml:space="preserve"> </w:t>
      </w:r>
      <w:r>
        <w:rPr>
          <w:sz w:val="20"/>
        </w:rPr>
        <w:t>to</w:t>
      </w:r>
      <w:r>
        <w:rPr>
          <w:spacing w:val="-3"/>
          <w:sz w:val="20"/>
        </w:rPr>
        <w:t xml:space="preserve"> </w:t>
      </w:r>
      <w:r>
        <w:rPr>
          <w:sz w:val="20"/>
        </w:rPr>
        <w:t>sustain</w:t>
      </w:r>
      <w:r>
        <w:rPr>
          <w:spacing w:val="-2"/>
          <w:sz w:val="20"/>
        </w:rPr>
        <w:t xml:space="preserve"> </w:t>
      </w:r>
      <w:r>
        <w:rPr>
          <w:sz w:val="20"/>
        </w:rPr>
        <w:t>it</w:t>
      </w:r>
      <w:r>
        <w:rPr>
          <w:sz w:val="20"/>
        </w:rPr>
        <w:t>….</w:t>
      </w:r>
      <w:r>
        <w:rPr>
          <w:spacing w:val="-3"/>
          <w:sz w:val="20"/>
        </w:rPr>
        <w:t xml:space="preserve"> </w:t>
      </w:r>
      <w:r>
        <w:rPr>
          <w:sz w:val="20"/>
        </w:rPr>
        <w:t>However, even</w:t>
      </w:r>
      <w:r>
        <w:rPr>
          <w:spacing w:val="-2"/>
          <w:sz w:val="20"/>
        </w:rPr>
        <w:t xml:space="preserve"> </w:t>
      </w:r>
      <w:r>
        <w:rPr>
          <w:sz w:val="20"/>
        </w:rPr>
        <w:t>during</w:t>
      </w:r>
      <w:r>
        <w:rPr>
          <w:spacing w:val="-3"/>
          <w:sz w:val="20"/>
        </w:rPr>
        <w:t xml:space="preserve"> </w:t>
      </w:r>
      <w:r>
        <w:rPr>
          <w:sz w:val="20"/>
        </w:rPr>
        <w:t>Maintenance</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an</w:t>
      </w:r>
      <w:r>
        <w:rPr>
          <w:spacing w:val="-2"/>
          <w:sz w:val="20"/>
        </w:rPr>
        <w:t xml:space="preserve"> </w:t>
      </w:r>
      <w:r>
        <w:rPr>
          <w:sz w:val="20"/>
        </w:rPr>
        <w:t>ever-present</w:t>
      </w:r>
      <w:r>
        <w:rPr>
          <w:spacing w:val="-3"/>
          <w:sz w:val="20"/>
        </w:rPr>
        <w:t xml:space="preserve"> </w:t>
      </w:r>
      <w:r>
        <w:rPr>
          <w:sz w:val="20"/>
        </w:rPr>
        <w:t>danger</w:t>
      </w:r>
      <w:r>
        <w:rPr>
          <w:spacing w:val="-3"/>
          <w:sz w:val="20"/>
        </w:rPr>
        <w:t xml:space="preserve"> </w:t>
      </w:r>
      <w:r>
        <w:rPr>
          <w:sz w:val="20"/>
        </w:rPr>
        <w:t>of</w:t>
      </w:r>
      <w:r>
        <w:rPr>
          <w:spacing w:val="-4"/>
          <w:sz w:val="20"/>
        </w:rPr>
        <w:t xml:space="preserve"> </w:t>
      </w:r>
      <w:r>
        <w:rPr>
          <w:sz w:val="20"/>
        </w:rPr>
        <w:t>reverting</w:t>
      </w:r>
      <w:r>
        <w:rPr>
          <w:spacing w:val="-3"/>
          <w:sz w:val="20"/>
        </w:rPr>
        <w:t xml:space="preserve"> </w:t>
      </w:r>
      <w:r>
        <w:rPr>
          <w:sz w:val="20"/>
        </w:rPr>
        <w:t xml:space="preserve">to the old pattern. In fact, the new behavior becomes fully maintained only when there is little or no energy or effort needed to continue it and the individual can terminate </w:t>
      </w:r>
      <w:r>
        <w:rPr>
          <w:sz w:val="20"/>
        </w:rPr>
        <w:t>the cycle of change.”</w:t>
      </w:r>
    </w:p>
    <w:p w14:paraId="6ED0AF97" w14:textId="77777777" w:rsidR="00DB6E1F" w:rsidRDefault="00F666A6">
      <w:pPr>
        <w:pStyle w:val="BodyText"/>
        <w:spacing w:before="117"/>
        <w:ind w:left="5044"/>
      </w:pPr>
      <w:r>
        <w:t>DiClemente,</w:t>
      </w:r>
      <w:r>
        <w:rPr>
          <w:spacing w:val="-6"/>
        </w:rPr>
        <w:t xml:space="preserve"> </w:t>
      </w:r>
      <w:r>
        <w:t>2018,</w:t>
      </w:r>
      <w:r>
        <w:rPr>
          <w:spacing w:val="-5"/>
        </w:rPr>
        <w:t xml:space="preserve"> </w:t>
      </w:r>
      <w:r>
        <w:t>p.</w:t>
      </w:r>
      <w:r>
        <w:rPr>
          <w:spacing w:val="-3"/>
        </w:rPr>
        <w:t xml:space="preserve"> </w:t>
      </w:r>
      <w:r>
        <w:rPr>
          <w:spacing w:val="-5"/>
        </w:rPr>
        <w:t>31</w:t>
      </w:r>
    </w:p>
    <w:p w14:paraId="56ED1A82" w14:textId="77777777" w:rsidR="00DB6E1F" w:rsidRDefault="00DB6E1F">
      <w:pPr>
        <w:pStyle w:val="BodyText"/>
        <w:spacing w:before="6"/>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576F9A7A" w14:textId="77777777">
        <w:trPr>
          <w:trHeight w:val="2344"/>
        </w:trPr>
        <w:tc>
          <w:tcPr>
            <w:tcW w:w="9350" w:type="dxa"/>
            <w:shd w:val="clear" w:color="auto" w:fill="E7E6E6"/>
          </w:tcPr>
          <w:p w14:paraId="611EC15F" w14:textId="77777777" w:rsidR="00DB6E1F" w:rsidRDefault="00F666A6">
            <w:pPr>
              <w:pStyle w:val="TableParagraph"/>
              <w:spacing w:before="121"/>
              <w:ind w:left="4094"/>
              <w:jc w:val="both"/>
              <w:rPr>
                <w:b/>
                <w:sz w:val="20"/>
              </w:rPr>
            </w:pPr>
            <w:r>
              <w:rPr>
                <w:b/>
                <w:sz w:val="20"/>
              </w:rPr>
              <w:t>Key</w:t>
            </w:r>
            <w:r>
              <w:rPr>
                <w:b/>
                <w:spacing w:val="-6"/>
                <w:sz w:val="20"/>
              </w:rPr>
              <w:t xml:space="preserve"> </w:t>
            </w:r>
            <w:r>
              <w:rPr>
                <w:b/>
                <w:spacing w:val="-2"/>
                <w:sz w:val="20"/>
              </w:rPr>
              <w:t>Messages</w:t>
            </w:r>
          </w:p>
          <w:p w14:paraId="73ED32AC" w14:textId="77777777" w:rsidR="00DB6E1F" w:rsidRDefault="00F666A6">
            <w:pPr>
              <w:pStyle w:val="TableParagraph"/>
              <w:numPr>
                <w:ilvl w:val="0"/>
                <w:numId w:val="46"/>
              </w:numPr>
              <w:tabs>
                <w:tab w:val="left" w:pos="468"/>
              </w:tabs>
              <w:spacing w:before="120"/>
              <w:ind w:right="899"/>
              <w:jc w:val="both"/>
              <w:rPr>
                <w:sz w:val="20"/>
              </w:rPr>
            </w:pPr>
            <w:r>
              <w:rPr>
                <w:sz w:val="20"/>
              </w:rPr>
              <w:t>In</w:t>
            </w:r>
            <w:r>
              <w:rPr>
                <w:spacing w:val="-2"/>
                <w:sz w:val="20"/>
              </w:rPr>
              <w:t xml:space="preserve"> </w:t>
            </w:r>
            <w:r>
              <w:rPr>
                <w:sz w:val="20"/>
              </w:rPr>
              <w:t>the</w:t>
            </w:r>
            <w:r>
              <w:rPr>
                <w:spacing w:val="-4"/>
                <w:sz w:val="20"/>
              </w:rPr>
              <w:t xml:space="preserve"> </w:t>
            </w:r>
            <w:r>
              <w:rPr>
                <w:sz w:val="20"/>
              </w:rPr>
              <w:t>Maintenance</w:t>
            </w:r>
            <w:r>
              <w:rPr>
                <w:spacing w:val="-4"/>
                <w:sz w:val="20"/>
              </w:rPr>
              <w:t xml:space="preserve"> </w:t>
            </w:r>
            <w:r>
              <w:rPr>
                <w:sz w:val="20"/>
              </w:rPr>
              <w:t>stage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Stages</w:t>
            </w:r>
            <w:r>
              <w:rPr>
                <w:spacing w:val="-4"/>
                <w:sz w:val="20"/>
              </w:rPr>
              <w:t xml:space="preserve"> </w:t>
            </w:r>
            <w:r>
              <w:rPr>
                <w:sz w:val="20"/>
              </w:rPr>
              <w:t>of</w:t>
            </w:r>
            <w:r>
              <w:rPr>
                <w:spacing w:val="-4"/>
                <w:sz w:val="20"/>
              </w:rPr>
              <w:t xml:space="preserve"> </w:t>
            </w:r>
            <w:r>
              <w:rPr>
                <w:sz w:val="20"/>
              </w:rPr>
              <w:t>Change</w:t>
            </w:r>
            <w:r>
              <w:rPr>
                <w:spacing w:val="-4"/>
                <w:sz w:val="20"/>
              </w:rPr>
              <w:t xml:space="preserve"> </w:t>
            </w:r>
            <w:r>
              <w:rPr>
                <w:sz w:val="20"/>
              </w:rPr>
              <w:t>(SOC)</w:t>
            </w:r>
            <w:r>
              <w:rPr>
                <w:spacing w:val="-1"/>
                <w:sz w:val="20"/>
              </w:rPr>
              <w:t xml:space="preserve"> </w:t>
            </w:r>
            <w:r>
              <w:rPr>
                <w:sz w:val="20"/>
              </w:rPr>
              <w:t>model,</w:t>
            </w:r>
            <w:r>
              <w:rPr>
                <w:spacing w:val="-2"/>
                <w:sz w:val="20"/>
              </w:rPr>
              <w:t xml:space="preserve"> </w:t>
            </w:r>
            <w:r>
              <w:rPr>
                <w:sz w:val="20"/>
              </w:rPr>
              <w:t>clients</w:t>
            </w:r>
            <w:r>
              <w:rPr>
                <w:spacing w:val="-2"/>
                <w:sz w:val="20"/>
              </w:rPr>
              <w:t xml:space="preserve"> </w:t>
            </w:r>
            <w:r>
              <w:rPr>
                <w:sz w:val="20"/>
              </w:rPr>
              <w:t>work</w:t>
            </w:r>
            <w:r>
              <w:rPr>
                <w:spacing w:val="-2"/>
                <w:sz w:val="20"/>
              </w:rPr>
              <w:t xml:space="preserve"> </w:t>
            </w:r>
            <w:r>
              <w:rPr>
                <w:sz w:val="20"/>
              </w:rPr>
              <w:t>toward</w:t>
            </w:r>
            <w:r>
              <w:rPr>
                <w:spacing w:val="-2"/>
                <w:sz w:val="20"/>
              </w:rPr>
              <w:t xml:space="preserve"> </w:t>
            </w:r>
            <w:r>
              <w:rPr>
                <w:sz w:val="20"/>
              </w:rPr>
              <w:t>stabilizing</w:t>
            </w:r>
            <w:r>
              <w:rPr>
                <w:spacing w:val="-3"/>
                <w:sz w:val="20"/>
              </w:rPr>
              <w:t xml:space="preserve"> </w:t>
            </w:r>
            <w:r>
              <w:rPr>
                <w:sz w:val="20"/>
              </w:rPr>
              <w:t>the substance use behavioral changes they have made.</w:t>
            </w:r>
          </w:p>
          <w:p w14:paraId="6DBDF687" w14:textId="77777777" w:rsidR="00DB6E1F" w:rsidRDefault="00F666A6">
            <w:pPr>
              <w:pStyle w:val="TableParagraph"/>
              <w:numPr>
                <w:ilvl w:val="0"/>
                <w:numId w:val="46"/>
              </w:numPr>
              <w:tabs>
                <w:tab w:val="left" w:pos="468"/>
              </w:tabs>
              <w:spacing w:before="38"/>
              <w:ind w:right="425"/>
              <w:jc w:val="both"/>
              <w:rPr>
                <w:sz w:val="20"/>
              </w:rPr>
            </w:pPr>
            <w:r>
              <w:rPr>
                <w:sz w:val="20"/>
              </w:rPr>
              <w:t>You can support clients in the Maintenance stage by helping them stay motivated, identify triggers that might</w:t>
            </w:r>
            <w:r>
              <w:rPr>
                <w:spacing w:val="-3"/>
                <w:sz w:val="20"/>
              </w:rPr>
              <w:t xml:space="preserve"> </w:t>
            </w:r>
            <w:r>
              <w:rPr>
                <w:sz w:val="20"/>
              </w:rPr>
              <w:t>lead</w:t>
            </w:r>
            <w:r>
              <w:rPr>
                <w:spacing w:val="-2"/>
                <w:sz w:val="20"/>
              </w:rPr>
              <w:t xml:space="preserve"> </w:t>
            </w:r>
            <w:r>
              <w:rPr>
                <w:sz w:val="20"/>
              </w:rPr>
              <w:t>to</w:t>
            </w:r>
            <w:r>
              <w:rPr>
                <w:spacing w:val="-3"/>
                <w:sz w:val="20"/>
              </w:rPr>
              <w:t xml:space="preserve"> </w:t>
            </w:r>
            <w:r>
              <w:rPr>
                <w:sz w:val="20"/>
              </w:rPr>
              <w:t>a</w:t>
            </w:r>
            <w:r>
              <w:rPr>
                <w:spacing w:val="-2"/>
                <w:sz w:val="20"/>
              </w:rPr>
              <w:t xml:space="preserve"> </w:t>
            </w:r>
            <w:r>
              <w:rPr>
                <w:sz w:val="20"/>
              </w:rPr>
              <w:t>return</w:t>
            </w:r>
            <w:r>
              <w:rPr>
                <w:spacing w:val="-2"/>
                <w:sz w:val="20"/>
              </w:rPr>
              <w:t xml:space="preserve"> </w:t>
            </w:r>
            <w:r>
              <w:rPr>
                <w:sz w:val="20"/>
              </w:rPr>
              <w:t>to</w:t>
            </w:r>
            <w:r>
              <w:rPr>
                <w:spacing w:val="-3"/>
                <w:sz w:val="20"/>
              </w:rPr>
              <w:t xml:space="preserve"> </w:t>
            </w:r>
            <w:r>
              <w:rPr>
                <w:sz w:val="20"/>
              </w:rPr>
              <w:t>substance</w:t>
            </w:r>
            <w:r>
              <w:rPr>
                <w:spacing w:val="-4"/>
                <w:sz w:val="20"/>
              </w:rPr>
              <w:t xml:space="preserve"> </w:t>
            </w:r>
            <w:r>
              <w:rPr>
                <w:sz w:val="20"/>
              </w:rPr>
              <w:t>misuse,</w:t>
            </w:r>
            <w:r>
              <w:rPr>
                <w:spacing w:val="-2"/>
                <w:sz w:val="20"/>
              </w:rPr>
              <w:t xml:space="preserve"> </w:t>
            </w:r>
            <w:r>
              <w:rPr>
                <w:sz w:val="20"/>
              </w:rPr>
              <w:t>and</w:t>
            </w:r>
            <w:r>
              <w:rPr>
                <w:spacing w:val="-2"/>
                <w:sz w:val="20"/>
              </w:rPr>
              <w:t xml:space="preserve"> </w:t>
            </w:r>
            <w:r>
              <w:rPr>
                <w:sz w:val="20"/>
              </w:rPr>
              <w:t>develop</w:t>
            </w:r>
            <w:r>
              <w:rPr>
                <w:spacing w:val="-2"/>
                <w:sz w:val="20"/>
              </w:rPr>
              <w:t xml:space="preserve"> </w:t>
            </w:r>
            <w:r>
              <w:rPr>
                <w:sz w:val="20"/>
              </w:rPr>
              <w:t>a</w:t>
            </w:r>
            <w:r>
              <w:rPr>
                <w:spacing w:val="-2"/>
                <w:sz w:val="20"/>
              </w:rPr>
              <w:t xml:space="preserve"> </w:t>
            </w:r>
            <w:r>
              <w:rPr>
                <w:sz w:val="20"/>
              </w:rPr>
              <w:t>plan</w:t>
            </w:r>
            <w:r>
              <w:rPr>
                <w:spacing w:val="-2"/>
                <w:sz w:val="20"/>
              </w:rPr>
              <w:t xml:space="preserve"> </w:t>
            </w:r>
            <w:r>
              <w:rPr>
                <w:sz w:val="20"/>
              </w:rPr>
              <w:t>for</w:t>
            </w:r>
            <w:r>
              <w:rPr>
                <w:spacing w:val="-3"/>
                <w:sz w:val="20"/>
              </w:rPr>
              <w:t xml:space="preserve"> </w:t>
            </w:r>
            <w:r>
              <w:rPr>
                <w:sz w:val="20"/>
              </w:rPr>
              <w:t>coping</w:t>
            </w:r>
            <w:r>
              <w:rPr>
                <w:spacing w:val="-3"/>
                <w:sz w:val="20"/>
              </w:rPr>
              <w:t xml:space="preserve"> </w:t>
            </w:r>
            <w:r>
              <w:rPr>
                <w:sz w:val="20"/>
              </w:rPr>
              <w:t>with</w:t>
            </w:r>
            <w:r>
              <w:rPr>
                <w:spacing w:val="-2"/>
                <w:sz w:val="20"/>
              </w:rPr>
              <w:t xml:space="preserve"> </w:t>
            </w:r>
            <w:r>
              <w:rPr>
                <w:sz w:val="20"/>
              </w:rPr>
              <w:t>situational</w:t>
            </w:r>
            <w:r>
              <w:rPr>
                <w:spacing w:val="-3"/>
                <w:sz w:val="20"/>
              </w:rPr>
              <w:t xml:space="preserve"> </w:t>
            </w:r>
            <w:r>
              <w:rPr>
                <w:sz w:val="20"/>
              </w:rPr>
              <w:t>triggers</w:t>
            </w:r>
            <w:r>
              <w:rPr>
                <w:spacing w:val="-4"/>
                <w:sz w:val="20"/>
              </w:rPr>
              <w:t xml:space="preserve"> </w:t>
            </w:r>
            <w:r>
              <w:rPr>
                <w:sz w:val="20"/>
              </w:rPr>
              <w:t>when they arise.</w:t>
            </w:r>
          </w:p>
          <w:p w14:paraId="2BA79799" w14:textId="77777777" w:rsidR="00DB6E1F" w:rsidRDefault="00F666A6">
            <w:pPr>
              <w:pStyle w:val="TableParagraph"/>
              <w:numPr>
                <w:ilvl w:val="0"/>
                <w:numId w:val="46"/>
              </w:numPr>
              <w:tabs>
                <w:tab w:val="left" w:pos="468"/>
              </w:tabs>
              <w:spacing w:before="42"/>
              <w:ind w:right="405"/>
              <w:jc w:val="both"/>
              <w:rPr>
                <w:sz w:val="20"/>
              </w:rPr>
            </w:pPr>
            <w:r>
              <w:rPr>
                <w:sz w:val="20"/>
              </w:rPr>
              <w:t>Relapse prevention counseling (RPC) using a motivational counseling style can prevent a return to substance</w:t>
            </w:r>
            <w:r>
              <w:rPr>
                <w:spacing w:val="-1"/>
                <w:sz w:val="20"/>
              </w:rPr>
              <w:t xml:space="preserve"> </w:t>
            </w:r>
            <w:r>
              <w:rPr>
                <w:sz w:val="20"/>
              </w:rPr>
              <w:t>misuse</w:t>
            </w:r>
            <w:r>
              <w:rPr>
                <w:spacing w:val="-3"/>
                <w:sz w:val="20"/>
              </w:rPr>
              <w:t xml:space="preserve"> </w:t>
            </w:r>
            <w:r>
              <w:rPr>
                <w:sz w:val="20"/>
              </w:rPr>
              <w:t>and</w:t>
            </w:r>
            <w:r>
              <w:rPr>
                <w:spacing w:val="-2"/>
                <w:sz w:val="20"/>
              </w:rPr>
              <w:t xml:space="preserve"> </w:t>
            </w:r>
            <w:r>
              <w:rPr>
                <w:sz w:val="20"/>
              </w:rPr>
              <w:t>help</w:t>
            </w:r>
            <w:r>
              <w:rPr>
                <w:spacing w:val="-2"/>
                <w:sz w:val="20"/>
              </w:rPr>
              <w:t xml:space="preserve"> </w:t>
            </w:r>
            <w:r>
              <w:rPr>
                <w:sz w:val="20"/>
              </w:rPr>
              <w:t>clients</w:t>
            </w:r>
            <w:r>
              <w:rPr>
                <w:spacing w:val="-4"/>
                <w:sz w:val="20"/>
              </w:rPr>
              <w:t xml:space="preserve"> </w:t>
            </w:r>
            <w:r>
              <w:rPr>
                <w:sz w:val="20"/>
              </w:rPr>
              <w:t>reenter</w:t>
            </w:r>
            <w:r>
              <w:rPr>
                <w:spacing w:val="-3"/>
                <w:sz w:val="20"/>
              </w:rPr>
              <w:t xml:space="preserve"> </w:t>
            </w:r>
            <w:r>
              <w:rPr>
                <w:sz w:val="20"/>
              </w:rPr>
              <w:t>the</w:t>
            </w:r>
            <w:r>
              <w:rPr>
                <w:spacing w:val="-4"/>
                <w:sz w:val="20"/>
              </w:rPr>
              <w:t xml:space="preserve"> </w:t>
            </w:r>
            <w:r>
              <w:rPr>
                <w:sz w:val="20"/>
              </w:rPr>
              <w:t>cycle</w:t>
            </w:r>
            <w:r>
              <w:rPr>
                <w:spacing w:val="-4"/>
                <w:sz w:val="20"/>
              </w:rPr>
              <w:t xml:space="preserve"> </w:t>
            </w:r>
            <w:r>
              <w:rPr>
                <w:sz w:val="20"/>
              </w:rPr>
              <w:t>of</w:t>
            </w:r>
            <w:r>
              <w:rPr>
                <w:spacing w:val="-4"/>
                <w:sz w:val="20"/>
              </w:rPr>
              <w:t xml:space="preserve"> </w:t>
            </w:r>
            <w:r>
              <w:rPr>
                <w:sz w:val="20"/>
              </w:rPr>
              <w:t>change</w:t>
            </w:r>
            <w:r>
              <w:rPr>
                <w:spacing w:val="-4"/>
                <w:sz w:val="20"/>
              </w:rPr>
              <w:t xml:space="preserve"> </w:t>
            </w:r>
            <w:r>
              <w:rPr>
                <w:sz w:val="20"/>
              </w:rPr>
              <w:t>quickly</w:t>
            </w:r>
            <w:r>
              <w:rPr>
                <w:spacing w:val="-2"/>
                <w:sz w:val="20"/>
              </w:rPr>
              <w:t xml:space="preserve"> </w:t>
            </w:r>
            <w:r>
              <w:rPr>
                <w:sz w:val="20"/>
              </w:rPr>
              <w:t>if</w:t>
            </w:r>
            <w:r>
              <w:rPr>
                <w:spacing w:val="-4"/>
                <w:sz w:val="20"/>
              </w:rPr>
              <w:t xml:space="preserve"> </w:t>
            </w:r>
            <w:r>
              <w:rPr>
                <w:sz w:val="20"/>
              </w:rPr>
              <w:t>they</w:t>
            </w:r>
            <w:r>
              <w:rPr>
                <w:spacing w:val="-2"/>
                <w:sz w:val="20"/>
              </w:rPr>
              <w:t xml:space="preserve"> </w:t>
            </w:r>
            <w:r>
              <w:rPr>
                <w:sz w:val="20"/>
              </w:rPr>
              <w:t>do</w:t>
            </w:r>
            <w:r>
              <w:rPr>
                <w:spacing w:val="-3"/>
                <w:sz w:val="20"/>
              </w:rPr>
              <w:t xml:space="preserve"> </w:t>
            </w:r>
            <w:r>
              <w:rPr>
                <w:sz w:val="20"/>
              </w:rPr>
              <w:t>return</w:t>
            </w:r>
            <w:r>
              <w:rPr>
                <w:spacing w:val="-2"/>
                <w:sz w:val="20"/>
              </w:rPr>
              <w:t xml:space="preserve"> </w:t>
            </w:r>
            <w:r>
              <w:rPr>
                <w:sz w:val="20"/>
              </w:rPr>
              <w:t>to</w:t>
            </w:r>
            <w:r>
              <w:rPr>
                <w:spacing w:val="-5"/>
                <w:sz w:val="20"/>
              </w:rPr>
              <w:t xml:space="preserve"> </w:t>
            </w:r>
            <w:r>
              <w:rPr>
                <w:sz w:val="20"/>
              </w:rPr>
              <w:t>substance</w:t>
            </w:r>
            <w:r>
              <w:rPr>
                <w:spacing w:val="-4"/>
                <w:sz w:val="20"/>
              </w:rPr>
              <w:t xml:space="preserve"> </w:t>
            </w:r>
            <w:r>
              <w:rPr>
                <w:sz w:val="20"/>
              </w:rPr>
              <w:t>use.</w:t>
            </w:r>
          </w:p>
        </w:tc>
      </w:tr>
    </w:tbl>
    <w:p w14:paraId="6F86289D" w14:textId="77777777" w:rsidR="00DB6E1F" w:rsidRDefault="00F666A6">
      <w:pPr>
        <w:pStyle w:val="BodyText"/>
        <w:spacing w:before="160"/>
        <w:ind w:left="1439" w:right="1491"/>
      </w:pPr>
      <w:r>
        <w:t>Maintaining change is often more challenging than taking one’s first steps toward change. Chapter 7 addresses ways that you can use motivational strategies to help clients maintain their success in recovering</w:t>
      </w:r>
      <w:r>
        <w:rPr>
          <w:spacing w:val="-4"/>
        </w:rPr>
        <w:t xml:space="preserve"> </w:t>
      </w:r>
      <w:r>
        <w:t>from</w:t>
      </w:r>
      <w:r>
        <w:rPr>
          <w:spacing w:val="-2"/>
        </w:rPr>
        <w:t xml:space="preserve"> </w:t>
      </w:r>
      <w:r>
        <w:t>substance</w:t>
      </w:r>
      <w:r>
        <w:rPr>
          <w:spacing w:val="-5"/>
        </w:rPr>
        <w:t xml:space="preserve"> </w:t>
      </w:r>
      <w:r>
        <w:t>use</w:t>
      </w:r>
      <w:r>
        <w:rPr>
          <w:spacing w:val="-2"/>
        </w:rPr>
        <w:t xml:space="preserve"> </w:t>
      </w:r>
      <w:r>
        <w:t>disorders</w:t>
      </w:r>
      <w:r>
        <w:rPr>
          <w:spacing w:val="-3"/>
        </w:rPr>
        <w:t xml:space="preserve"> </w:t>
      </w:r>
      <w:r>
        <w:t>(SUDs).</w:t>
      </w:r>
      <w:r>
        <w:rPr>
          <w:spacing w:val="-3"/>
        </w:rPr>
        <w:t xml:space="preserve"> </w:t>
      </w:r>
      <w:r>
        <w:t>It</w:t>
      </w:r>
      <w:r>
        <w:rPr>
          <w:spacing w:val="-5"/>
        </w:rPr>
        <w:t xml:space="preserve"> </w:t>
      </w:r>
      <w:r>
        <w:t>present</w:t>
      </w:r>
      <w:r>
        <w:t>s</w:t>
      </w:r>
      <w:r>
        <w:rPr>
          <w:spacing w:val="-3"/>
        </w:rPr>
        <w:t xml:space="preserve"> </w:t>
      </w:r>
      <w:r>
        <w:t>strategies</w:t>
      </w:r>
      <w:r>
        <w:rPr>
          <w:spacing w:val="-3"/>
        </w:rPr>
        <w:t xml:space="preserve"> </w:t>
      </w:r>
      <w:r>
        <w:t>for</w:t>
      </w:r>
      <w:r>
        <w:rPr>
          <w:spacing w:val="-3"/>
        </w:rPr>
        <w:t xml:space="preserve"> </w:t>
      </w:r>
      <w:r>
        <w:t>stabilizing</w:t>
      </w:r>
      <w:r>
        <w:rPr>
          <w:spacing w:val="-4"/>
        </w:rPr>
        <w:t xml:space="preserve"> </w:t>
      </w:r>
      <w:r>
        <w:t>change,</w:t>
      </w:r>
      <w:r>
        <w:rPr>
          <w:spacing w:val="-3"/>
        </w:rPr>
        <w:t xml:space="preserve"> </w:t>
      </w:r>
      <w:r>
        <w:t>supporting lifestyle changes, managing setbacks during Maintenance, and helping clients reenter the cycle of change if a relapse or a return to substance misuse occurs.</w:t>
      </w:r>
    </w:p>
    <w:p w14:paraId="08D0F744" w14:textId="77777777" w:rsidR="00DB6E1F" w:rsidRDefault="00F666A6">
      <w:pPr>
        <w:pStyle w:val="BodyText"/>
        <w:spacing w:before="159"/>
        <w:ind w:left="1439" w:right="1491"/>
      </w:pPr>
      <w:r>
        <w:t>Using</w:t>
      </w:r>
      <w:r>
        <w:rPr>
          <w:spacing w:val="-4"/>
        </w:rPr>
        <w:t xml:space="preserve"> </w:t>
      </w:r>
      <w:r>
        <w:t>a</w:t>
      </w:r>
      <w:r>
        <w:rPr>
          <w:spacing w:val="-3"/>
        </w:rPr>
        <w:t xml:space="preserve"> </w:t>
      </w:r>
      <w:r>
        <w:t>motivational</w:t>
      </w:r>
      <w:r>
        <w:rPr>
          <w:spacing w:val="-3"/>
        </w:rPr>
        <w:t xml:space="preserve"> </w:t>
      </w:r>
      <w:r>
        <w:t>counseling</w:t>
      </w:r>
      <w:r>
        <w:rPr>
          <w:spacing w:val="-3"/>
        </w:rPr>
        <w:t xml:space="preserve"> </w:t>
      </w:r>
      <w:r>
        <w:t>style</w:t>
      </w:r>
      <w:r>
        <w:rPr>
          <w:spacing w:val="-2"/>
        </w:rPr>
        <w:t xml:space="preserve"> </w:t>
      </w:r>
      <w:r>
        <w:t>with</w:t>
      </w:r>
      <w:r>
        <w:rPr>
          <w:spacing w:val="-4"/>
        </w:rPr>
        <w:t xml:space="preserve"> </w:t>
      </w:r>
      <w:r>
        <w:t>clients</w:t>
      </w:r>
      <w:r>
        <w:rPr>
          <w:spacing w:val="-5"/>
        </w:rPr>
        <w:t xml:space="preserve"> </w:t>
      </w:r>
      <w:r>
        <w:t>in</w:t>
      </w:r>
      <w:r>
        <w:rPr>
          <w:spacing w:val="-5"/>
        </w:rPr>
        <w:t xml:space="preserve"> </w:t>
      </w:r>
      <w:r>
        <w:t>the</w:t>
      </w:r>
      <w:r>
        <w:rPr>
          <w:spacing w:val="-2"/>
        </w:rPr>
        <w:t xml:space="preserve"> </w:t>
      </w:r>
      <w:r>
        <w:t>Precontemplation</w:t>
      </w:r>
      <w:r>
        <w:rPr>
          <w:spacing w:val="-4"/>
        </w:rPr>
        <w:t xml:space="preserve"> </w:t>
      </w:r>
      <w:r>
        <w:t>through</w:t>
      </w:r>
      <w:r>
        <w:rPr>
          <w:spacing w:val="-4"/>
        </w:rPr>
        <w:t xml:space="preserve"> </w:t>
      </w:r>
      <w:r>
        <w:t>Preparation</w:t>
      </w:r>
      <w:r>
        <w:rPr>
          <w:spacing w:val="-4"/>
        </w:rPr>
        <w:t xml:space="preserve"> </w:t>
      </w:r>
      <w:r>
        <w:t>stages helps them move toward initiating behavioral change. Yet when clients do take action, they face the reality of stopping or reducing substance use. This obstacle is more difficult than just contemplating a</w:t>
      </w:r>
      <w:r>
        <w:t>ction. Once clients have decided to take action, they are on the downslope of the Motivational Interviewing (MI) Hill of Ambivalence presented in Exhibit 5.2.</w:t>
      </w:r>
    </w:p>
    <w:p w14:paraId="53AA924A" w14:textId="77777777" w:rsidR="00DB6E1F" w:rsidRDefault="00F666A6">
      <w:pPr>
        <w:pStyle w:val="BodyText"/>
        <w:spacing w:before="159"/>
        <w:ind w:left="1439"/>
      </w:pPr>
      <w:r>
        <w:t>Exhibit</w:t>
      </w:r>
      <w:r>
        <w:rPr>
          <w:spacing w:val="-5"/>
        </w:rPr>
        <w:t xml:space="preserve"> </w:t>
      </w:r>
      <w:r>
        <w:t>7.1</w:t>
      </w:r>
      <w:r>
        <w:rPr>
          <w:spacing w:val="-3"/>
        </w:rPr>
        <w:t xml:space="preserve"> </w:t>
      </w:r>
      <w:r>
        <w:t>presents</w:t>
      </w:r>
      <w:r>
        <w:rPr>
          <w:spacing w:val="-5"/>
        </w:rPr>
        <w:t xml:space="preserve"> </w:t>
      </w:r>
      <w:r>
        <w:t>counseling</w:t>
      </w:r>
      <w:r>
        <w:rPr>
          <w:spacing w:val="-5"/>
        </w:rPr>
        <w:t xml:space="preserve"> </w:t>
      </w:r>
      <w:r>
        <w:t>strategies</w:t>
      </w:r>
      <w:r>
        <w:rPr>
          <w:spacing w:val="-6"/>
        </w:rPr>
        <w:t xml:space="preserve"> </w:t>
      </w:r>
      <w:r>
        <w:t>for</w:t>
      </w:r>
      <w:r>
        <w:rPr>
          <w:spacing w:val="-6"/>
        </w:rPr>
        <w:t xml:space="preserve"> </w:t>
      </w:r>
      <w:r>
        <w:t>Action</w:t>
      </w:r>
      <w:r>
        <w:rPr>
          <w:spacing w:val="-5"/>
        </w:rPr>
        <w:t xml:space="preserve"> </w:t>
      </w:r>
      <w:r>
        <w:t>and</w:t>
      </w:r>
      <w:r>
        <w:rPr>
          <w:spacing w:val="-5"/>
        </w:rPr>
        <w:t xml:space="preserve"> </w:t>
      </w:r>
      <w:r>
        <w:rPr>
          <w:spacing w:val="-2"/>
        </w:rPr>
        <w:t>Relapse.</w:t>
      </w:r>
    </w:p>
    <w:p w14:paraId="51BB0FA0" w14:textId="77777777" w:rsidR="00DB6E1F" w:rsidRDefault="00DB6E1F">
      <w:pPr>
        <w:pStyle w:val="BodyText"/>
        <w:spacing w:before="11"/>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2035"/>
        <w:gridCol w:w="1620"/>
        <w:gridCol w:w="4404"/>
      </w:tblGrid>
      <w:tr w:rsidR="00DB6E1F" w14:paraId="6882649F" w14:textId="77777777">
        <w:trPr>
          <w:trHeight w:val="518"/>
        </w:trPr>
        <w:tc>
          <w:tcPr>
            <w:tcW w:w="9350" w:type="dxa"/>
            <w:gridSpan w:val="4"/>
            <w:tcBorders>
              <w:top w:val="nil"/>
              <w:left w:val="nil"/>
              <w:bottom w:val="nil"/>
              <w:right w:val="nil"/>
            </w:tcBorders>
            <w:shd w:val="clear" w:color="auto" w:fill="000000"/>
          </w:tcPr>
          <w:p w14:paraId="105358CD" w14:textId="77777777" w:rsidR="00DB6E1F" w:rsidRDefault="00F666A6">
            <w:pPr>
              <w:pStyle w:val="TableParagraph"/>
              <w:spacing w:before="112"/>
              <w:ind w:left="112"/>
              <w:rPr>
                <w:sz w:val="24"/>
              </w:rPr>
            </w:pPr>
            <w:r>
              <w:rPr>
                <w:color w:val="FFFFFF"/>
                <w:sz w:val="24"/>
              </w:rPr>
              <w:t>Exhibit</w:t>
            </w:r>
            <w:r>
              <w:rPr>
                <w:color w:val="FFFFFF"/>
                <w:spacing w:val="-3"/>
                <w:sz w:val="24"/>
              </w:rPr>
              <w:t xml:space="preserve"> </w:t>
            </w:r>
            <w:r>
              <w:rPr>
                <w:color w:val="FFFFFF"/>
                <w:sz w:val="24"/>
              </w:rPr>
              <w:t>7.1.</w:t>
            </w:r>
            <w:r>
              <w:rPr>
                <w:color w:val="FFFFFF"/>
                <w:spacing w:val="-2"/>
                <w:sz w:val="24"/>
              </w:rPr>
              <w:t xml:space="preserve"> </w:t>
            </w:r>
            <w:r>
              <w:rPr>
                <w:color w:val="FFFFFF"/>
                <w:sz w:val="24"/>
              </w:rPr>
              <w:t>Counseling</w:t>
            </w:r>
            <w:r>
              <w:rPr>
                <w:color w:val="FFFFFF"/>
                <w:spacing w:val="-2"/>
                <w:sz w:val="24"/>
              </w:rPr>
              <w:t xml:space="preserve"> </w:t>
            </w:r>
            <w:r>
              <w:rPr>
                <w:color w:val="FFFFFF"/>
                <w:sz w:val="24"/>
              </w:rPr>
              <w:t>Strategies</w:t>
            </w:r>
            <w:r>
              <w:rPr>
                <w:color w:val="FFFFFF"/>
                <w:spacing w:val="-3"/>
                <w:sz w:val="24"/>
              </w:rPr>
              <w:t xml:space="preserve"> </w:t>
            </w:r>
            <w:r>
              <w:rPr>
                <w:color w:val="FFFFFF"/>
                <w:sz w:val="24"/>
              </w:rPr>
              <w:t>for</w:t>
            </w:r>
            <w:r>
              <w:rPr>
                <w:color w:val="FFFFFF"/>
                <w:spacing w:val="-4"/>
                <w:sz w:val="24"/>
              </w:rPr>
              <w:t xml:space="preserve"> </w:t>
            </w:r>
            <w:r>
              <w:rPr>
                <w:color w:val="FFFFFF"/>
                <w:sz w:val="24"/>
              </w:rPr>
              <w:t>Action</w:t>
            </w:r>
            <w:r>
              <w:rPr>
                <w:color w:val="FFFFFF"/>
                <w:spacing w:val="-1"/>
                <w:sz w:val="24"/>
              </w:rPr>
              <w:t xml:space="preserve"> </w:t>
            </w:r>
            <w:r>
              <w:rPr>
                <w:color w:val="FFFFFF"/>
                <w:sz w:val="24"/>
              </w:rPr>
              <w:t>and</w:t>
            </w:r>
            <w:r>
              <w:rPr>
                <w:color w:val="FFFFFF"/>
                <w:spacing w:val="-2"/>
                <w:sz w:val="24"/>
              </w:rPr>
              <w:t xml:space="preserve"> Relapse</w:t>
            </w:r>
          </w:p>
        </w:tc>
      </w:tr>
      <w:tr w:rsidR="00DB6E1F" w14:paraId="69C81EE8" w14:textId="77777777">
        <w:trPr>
          <w:trHeight w:val="359"/>
        </w:trPr>
        <w:tc>
          <w:tcPr>
            <w:tcW w:w="1291" w:type="dxa"/>
          </w:tcPr>
          <w:p w14:paraId="6D5B11C8" w14:textId="77777777" w:rsidR="00DB6E1F" w:rsidRDefault="00F666A6">
            <w:pPr>
              <w:pStyle w:val="TableParagraph"/>
              <w:spacing w:before="0" w:line="241" w:lineRule="exact"/>
              <w:rPr>
                <w:sz w:val="20"/>
              </w:rPr>
            </w:pPr>
            <w:r>
              <w:rPr>
                <w:spacing w:val="-5"/>
                <w:sz w:val="20"/>
              </w:rPr>
              <w:t>SOC</w:t>
            </w:r>
          </w:p>
        </w:tc>
        <w:tc>
          <w:tcPr>
            <w:tcW w:w="2035" w:type="dxa"/>
          </w:tcPr>
          <w:p w14:paraId="59C626AE" w14:textId="77777777" w:rsidR="00DB6E1F" w:rsidRDefault="00F666A6">
            <w:pPr>
              <w:pStyle w:val="TableParagraph"/>
              <w:spacing w:before="0" w:line="241" w:lineRule="exact"/>
              <w:rPr>
                <w:sz w:val="20"/>
              </w:rPr>
            </w:pPr>
            <w:r>
              <w:rPr>
                <w:sz w:val="20"/>
              </w:rPr>
              <w:t>Client</w:t>
            </w:r>
            <w:r>
              <w:rPr>
                <w:spacing w:val="-9"/>
                <w:sz w:val="20"/>
              </w:rPr>
              <w:t xml:space="preserve"> </w:t>
            </w:r>
            <w:r>
              <w:rPr>
                <w:spacing w:val="-2"/>
                <w:sz w:val="20"/>
              </w:rPr>
              <w:t>Motivation</w:t>
            </w:r>
          </w:p>
        </w:tc>
        <w:tc>
          <w:tcPr>
            <w:tcW w:w="1620" w:type="dxa"/>
          </w:tcPr>
          <w:p w14:paraId="21C6D953" w14:textId="77777777" w:rsidR="00DB6E1F" w:rsidRDefault="00F666A6">
            <w:pPr>
              <w:pStyle w:val="TableParagraph"/>
              <w:spacing w:before="0" w:line="241" w:lineRule="exact"/>
              <w:ind w:left="105"/>
              <w:rPr>
                <w:sz w:val="20"/>
              </w:rPr>
            </w:pPr>
            <w:r>
              <w:rPr>
                <w:spacing w:val="-2"/>
                <w:sz w:val="20"/>
              </w:rPr>
              <w:t>Counselor</w:t>
            </w:r>
            <w:r>
              <w:rPr>
                <w:spacing w:val="4"/>
                <w:sz w:val="20"/>
              </w:rPr>
              <w:t xml:space="preserve"> </w:t>
            </w:r>
            <w:r>
              <w:rPr>
                <w:spacing w:val="-2"/>
                <w:sz w:val="20"/>
              </w:rPr>
              <w:t>Focus</w:t>
            </w:r>
          </w:p>
        </w:tc>
        <w:tc>
          <w:tcPr>
            <w:tcW w:w="4404" w:type="dxa"/>
          </w:tcPr>
          <w:p w14:paraId="648BFF25" w14:textId="77777777" w:rsidR="00DB6E1F" w:rsidRDefault="00F666A6">
            <w:pPr>
              <w:pStyle w:val="TableParagraph"/>
              <w:spacing w:before="0" w:line="241" w:lineRule="exact"/>
              <w:ind w:left="105"/>
              <w:rPr>
                <w:sz w:val="20"/>
              </w:rPr>
            </w:pPr>
            <w:r>
              <w:rPr>
                <w:spacing w:val="-2"/>
                <w:sz w:val="20"/>
              </w:rPr>
              <w:t>Counseling</w:t>
            </w:r>
            <w:r>
              <w:rPr>
                <w:spacing w:val="5"/>
                <w:sz w:val="20"/>
              </w:rPr>
              <w:t xml:space="preserve"> </w:t>
            </w:r>
            <w:r>
              <w:rPr>
                <w:spacing w:val="-2"/>
                <w:sz w:val="20"/>
              </w:rPr>
              <w:t>Strategies</w:t>
            </w:r>
          </w:p>
        </w:tc>
      </w:tr>
      <w:tr w:rsidR="00DB6E1F" w14:paraId="7F4F04A7" w14:textId="77777777">
        <w:trPr>
          <w:trHeight w:val="2073"/>
        </w:trPr>
        <w:tc>
          <w:tcPr>
            <w:tcW w:w="1291" w:type="dxa"/>
          </w:tcPr>
          <w:p w14:paraId="3D569CC6" w14:textId="77777777" w:rsidR="00DB6E1F" w:rsidRDefault="00F666A6">
            <w:pPr>
              <w:pStyle w:val="TableParagraph"/>
              <w:rPr>
                <w:sz w:val="20"/>
              </w:rPr>
            </w:pPr>
            <w:r>
              <w:rPr>
                <w:spacing w:val="-2"/>
                <w:sz w:val="20"/>
              </w:rPr>
              <w:t>Maintenance</w:t>
            </w:r>
          </w:p>
        </w:tc>
        <w:tc>
          <w:tcPr>
            <w:tcW w:w="2035" w:type="dxa"/>
          </w:tcPr>
          <w:p w14:paraId="3EC92063" w14:textId="77777777" w:rsidR="00DB6E1F" w:rsidRDefault="00F666A6">
            <w:pPr>
              <w:pStyle w:val="TableParagraph"/>
              <w:ind w:right="122"/>
              <w:rPr>
                <w:sz w:val="20"/>
              </w:rPr>
            </w:pPr>
            <w:r>
              <w:rPr>
                <w:sz w:val="20"/>
              </w:rPr>
              <w:t>The client has achieved initial goals, such as abstinence, reduced substance use behaviors, or entering treatment, and</w:t>
            </w:r>
            <w:r>
              <w:rPr>
                <w:spacing w:val="-9"/>
                <w:sz w:val="20"/>
              </w:rPr>
              <w:t xml:space="preserve"> </w:t>
            </w:r>
            <w:r>
              <w:rPr>
                <w:sz w:val="20"/>
              </w:rPr>
              <w:t>is</w:t>
            </w:r>
            <w:r>
              <w:rPr>
                <w:spacing w:val="-11"/>
                <w:sz w:val="20"/>
              </w:rPr>
              <w:t xml:space="preserve"> </w:t>
            </w:r>
            <w:r>
              <w:rPr>
                <w:sz w:val="20"/>
              </w:rPr>
              <w:t>now</w:t>
            </w:r>
            <w:r>
              <w:rPr>
                <w:spacing w:val="-11"/>
                <w:sz w:val="20"/>
              </w:rPr>
              <w:t xml:space="preserve"> </w:t>
            </w:r>
            <w:r>
              <w:rPr>
                <w:sz w:val="20"/>
              </w:rPr>
              <w:t>working</w:t>
            </w:r>
            <w:r>
              <w:rPr>
                <w:spacing w:val="-10"/>
                <w:sz w:val="20"/>
              </w:rPr>
              <w:t xml:space="preserve"> </w:t>
            </w:r>
            <w:r>
              <w:rPr>
                <w:sz w:val="20"/>
              </w:rPr>
              <w:t>to maintain these goals.</w:t>
            </w:r>
          </w:p>
        </w:tc>
        <w:tc>
          <w:tcPr>
            <w:tcW w:w="1620" w:type="dxa"/>
          </w:tcPr>
          <w:p w14:paraId="44EC423E" w14:textId="77777777" w:rsidR="00DB6E1F" w:rsidRDefault="00F666A6">
            <w:pPr>
              <w:pStyle w:val="TableParagraph"/>
              <w:numPr>
                <w:ilvl w:val="0"/>
                <w:numId w:val="45"/>
              </w:numPr>
              <w:tabs>
                <w:tab w:val="left" w:pos="465"/>
                <w:tab w:val="left" w:pos="466"/>
              </w:tabs>
              <w:spacing w:before="41"/>
              <w:ind w:right="467"/>
              <w:rPr>
                <w:sz w:val="20"/>
              </w:rPr>
            </w:pPr>
            <w:r>
              <w:rPr>
                <w:spacing w:val="-2"/>
                <w:sz w:val="20"/>
              </w:rPr>
              <w:t>Stabilize client change.</w:t>
            </w:r>
          </w:p>
          <w:p w14:paraId="36B61AEB" w14:textId="77777777" w:rsidR="00DB6E1F" w:rsidRDefault="00F666A6">
            <w:pPr>
              <w:pStyle w:val="TableParagraph"/>
              <w:numPr>
                <w:ilvl w:val="0"/>
                <w:numId w:val="45"/>
              </w:numPr>
              <w:tabs>
                <w:tab w:val="left" w:pos="465"/>
                <w:tab w:val="left" w:pos="466"/>
              </w:tabs>
              <w:spacing w:before="39"/>
              <w:ind w:right="174"/>
              <w:rPr>
                <w:sz w:val="20"/>
              </w:rPr>
            </w:pPr>
            <w:r>
              <w:rPr>
                <w:sz w:val="20"/>
              </w:rPr>
              <w:t>Support</w:t>
            </w:r>
            <w:r>
              <w:rPr>
                <w:spacing w:val="-12"/>
                <w:sz w:val="20"/>
              </w:rPr>
              <w:t xml:space="preserve"> </w:t>
            </w:r>
            <w:r>
              <w:rPr>
                <w:sz w:val="20"/>
              </w:rPr>
              <w:t xml:space="preserve">the </w:t>
            </w:r>
            <w:r>
              <w:rPr>
                <w:spacing w:val="-2"/>
                <w:sz w:val="20"/>
              </w:rPr>
              <w:t>client’s lifestyle changes.</w:t>
            </w:r>
          </w:p>
        </w:tc>
        <w:tc>
          <w:tcPr>
            <w:tcW w:w="4404" w:type="dxa"/>
          </w:tcPr>
          <w:p w14:paraId="03336D69" w14:textId="77777777" w:rsidR="00DB6E1F" w:rsidRDefault="00F666A6">
            <w:pPr>
              <w:pStyle w:val="TableParagraph"/>
              <w:numPr>
                <w:ilvl w:val="0"/>
                <w:numId w:val="44"/>
              </w:numPr>
              <w:tabs>
                <w:tab w:val="left" w:pos="465"/>
                <w:tab w:val="left" w:pos="466"/>
              </w:tabs>
              <w:spacing w:before="39"/>
              <w:ind w:hanging="361"/>
              <w:rPr>
                <w:sz w:val="20"/>
              </w:rPr>
            </w:pPr>
            <w:r>
              <w:rPr>
                <w:sz w:val="20"/>
              </w:rPr>
              <w:t>Engage</w:t>
            </w:r>
            <w:r>
              <w:rPr>
                <w:spacing w:val="-6"/>
                <w:sz w:val="20"/>
              </w:rPr>
              <w:t xml:space="preserve"> </w:t>
            </w:r>
            <w:r>
              <w:rPr>
                <w:sz w:val="20"/>
              </w:rPr>
              <w:t>and</w:t>
            </w:r>
            <w:r>
              <w:rPr>
                <w:spacing w:val="-5"/>
                <w:sz w:val="20"/>
              </w:rPr>
              <w:t xml:space="preserve"> </w:t>
            </w:r>
            <w:r>
              <w:rPr>
                <w:sz w:val="20"/>
              </w:rPr>
              <w:t>retain</w:t>
            </w:r>
            <w:r>
              <w:rPr>
                <w:spacing w:val="-4"/>
                <w:sz w:val="20"/>
              </w:rPr>
              <w:t xml:space="preserve"> </w:t>
            </w:r>
            <w:r>
              <w:rPr>
                <w:sz w:val="20"/>
              </w:rPr>
              <w:t>the</w:t>
            </w:r>
            <w:r>
              <w:rPr>
                <w:spacing w:val="-6"/>
                <w:sz w:val="20"/>
              </w:rPr>
              <w:t xml:space="preserve"> </w:t>
            </w:r>
            <w:r>
              <w:rPr>
                <w:sz w:val="20"/>
              </w:rPr>
              <w:t>client</w:t>
            </w:r>
            <w:r>
              <w:rPr>
                <w:spacing w:val="-5"/>
                <w:sz w:val="20"/>
              </w:rPr>
              <w:t xml:space="preserve"> </w:t>
            </w:r>
            <w:r>
              <w:rPr>
                <w:sz w:val="20"/>
              </w:rPr>
              <w:t>in</w:t>
            </w:r>
            <w:r>
              <w:rPr>
                <w:spacing w:val="-4"/>
                <w:sz w:val="20"/>
              </w:rPr>
              <w:t xml:space="preserve"> </w:t>
            </w:r>
            <w:r>
              <w:rPr>
                <w:sz w:val="20"/>
              </w:rPr>
              <w:t>SUD</w:t>
            </w:r>
            <w:r>
              <w:rPr>
                <w:spacing w:val="-5"/>
                <w:sz w:val="20"/>
              </w:rPr>
              <w:t xml:space="preserve"> </w:t>
            </w:r>
            <w:r>
              <w:rPr>
                <w:spacing w:val="-2"/>
                <w:sz w:val="20"/>
              </w:rPr>
              <w:t>treatment.</w:t>
            </w:r>
          </w:p>
          <w:p w14:paraId="66F905EC" w14:textId="77777777" w:rsidR="00DB6E1F" w:rsidRDefault="00F666A6">
            <w:pPr>
              <w:pStyle w:val="TableParagraph"/>
              <w:numPr>
                <w:ilvl w:val="0"/>
                <w:numId w:val="44"/>
              </w:numPr>
              <w:tabs>
                <w:tab w:val="left" w:pos="465"/>
                <w:tab w:val="left" w:pos="466"/>
              </w:tabs>
              <w:spacing w:before="42"/>
              <w:ind w:hanging="361"/>
              <w:rPr>
                <w:sz w:val="20"/>
              </w:rPr>
            </w:pPr>
            <w:r>
              <w:rPr>
                <w:sz w:val="20"/>
              </w:rPr>
              <w:t>Create</w:t>
            </w:r>
            <w:r>
              <w:rPr>
                <w:spacing w:val="-7"/>
                <w:sz w:val="20"/>
              </w:rPr>
              <w:t xml:space="preserve"> </w:t>
            </w:r>
            <w:r>
              <w:rPr>
                <w:sz w:val="20"/>
              </w:rPr>
              <w:t>a</w:t>
            </w:r>
            <w:r>
              <w:rPr>
                <w:spacing w:val="-5"/>
                <w:sz w:val="20"/>
              </w:rPr>
              <w:t xml:space="preserve"> </w:t>
            </w:r>
            <w:r>
              <w:rPr>
                <w:sz w:val="20"/>
              </w:rPr>
              <w:t>coping</w:t>
            </w:r>
            <w:r>
              <w:rPr>
                <w:spacing w:val="-5"/>
                <w:sz w:val="20"/>
              </w:rPr>
              <w:t xml:space="preserve"> </w:t>
            </w:r>
            <w:r>
              <w:rPr>
                <w:spacing w:val="-4"/>
                <w:sz w:val="20"/>
              </w:rPr>
              <w:t>plan.</w:t>
            </w:r>
          </w:p>
          <w:p w14:paraId="7A651217" w14:textId="77777777" w:rsidR="00DB6E1F" w:rsidRDefault="00F666A6">
            <w:pPr>
              <w:pStyle w:val="TableParagraph"/>
              <w:numPr>
                <w:ilvl w:val="0"/>
                <w:numId w:val="44"/>
              </w:numPr>
              <w:tabs>
                <w:tab w:val="left" w:pos="465"/>
                <w:tab w:val="left" w:pos="466"/>
              </w:tabs>
              <w:spacing w:before="38"/>
              <w:ind w:hanging="361"/>
              <w:rPr>
                <w:sz w:val="20"/>
              </w:rPr>
            </w:pPr>
            <w:r>
              <w:rPr>
                <w:sz w:val="20"/>
              </w:rPr>
              <w:t>Identify</w:t>
            </w:r>
            <w:r>
              <w:rPr>
                <w:spacing w:val="-7"/>
                <w:sz w:val="20"/>
              </w:rPr>
              <w:t xml:space="preserve"> </w:t>
            </w:r>
            <w:r>
              <w:rPr>
                <w:sz w:val="20"/>
              </w:rPr>
              <w:t>new</w:t>
            </w:r>
            <w:r>
              <w:rPr>
                <w:spacing w:val="-8"/>
                <w:sz w:val="20"/>
              </w:rPr>
              <w:t xml:space="preserve"> </w:t>
            </w:r>
            <w:r>
              <w:rPr>
                <w:sz w:val="20"/>
              </w:rPr>
              <w:t>behaviors</w:t>
            </w:r>
            <w:r>
              <w:rPr>
                <w:spacing w:val="-8"/>
                <w:sz w:val="20"/>
              </w:rPr>
              <w:t xml:space="preserve"> </w:t>
            </w:r>
            <w:r>
              <w:rPr>
                <w:sz w:val="20"/>
              </w:rPr>
              <w:t>that</w:t>
            </w:r>
            <w:r>
              <w:rPr>
                <w:spacing w:val="-8"/>
                <w:sz w:val="20"/>
              </w:rPr>
              <w:t xml:space="preserve"> </w:t>
            </w:r>
            <w:r>
              <w:rPr>
                <w:sz w:val="20"/>
              </w:rPr>
              <w:t>reinforce</w:t>
            </w:r>
            <w:r>
              <w:rPr>
                <w:spacing w:val="-8"/>
                <w:sz w:val="20"/>
              </w:rPr>
              <w:t xml:space="preserve"> </w:t>
            </w:r>
            <w:r>
              <w:rPr>
                <w:spacing w:val="-2"/>
                <w:sz w:val="20"/>
              </w:rPr>
              <w:t>change.</w:t>
            </w:r>
          </w:p>
          <w:p w14:paraId="1273E7A8" w14:textId="77777777" w:rsidR="00DB6E1F" w:rsidRDefault="00F666A6">
            <w:pPr>
              <w:pStyle w:val="TableParagraph"/>
              <w:numPr>
                <w:ilvl w:val="0"/>
                <w:numId w:val="44"/>
              </w:numPr>
              <w:tabs>
                <w:tab w:val="left" w:pos="465"/>
                <w:tab w:val="left" w:pos="466"/>
              </w:tabs>
              <w:spacing w:before="41"/>
              <w:ind w:hanging="361"/>
              <w:rPr>
                <w:sz w:val="20"/>
              </w:rPr>
            </w:pPr>
            <w:r>
              <w:rPr>
                <w:sz w:val="20"/>
              </w:rPr>
              <w:t>Identify</w:t>
            </w:r>
            <w:r>
              <w:rPr>
                <w:spacing w:val="-7"/>
                <w:sz w:val="20"/>
              </w:rPr>
              <w:t xml:space="preserve"> </w:t>
            </w:r>
            <w:r>
              <w:rPr>
                <w:sz w:val="20"/>
              </w:rPr>
              <w:t>recovery</w:t>
            </w:r>
            <w:r>
              <w:rPr>
                <w:spacing w:val="-7"/>
                <w:sz w:val="20"/>
              </w:rPr>
              <w:t xml:space="preserve"> </w:t>
            </w:r>
            <w:r>
              <w:rPr>
                <w:sz w:val="20"/>
              </w:rPr>
              <w:t>capital</w:t>
            </w:r>
            <w:r>
              <w:rPr>
                <w:spacing w:val="-8"/>
                <w:sz w:val="20"/>
              </w:rPr>
              <w:t xml:space="preserve"> </w:t>
            </w:r>
            <w:r>
              <w:rPr>
                <w:spacing w:val="-4"/>
                <w:sz w:val="20"/>
              </w:rPr>
              <w:t>(RC).</w:t>
            </w:r>
          </w:p>
          <w:p w14:paraId="038ACFB5" w14:textId="77777777" w:rsidR="00DB6E1F" w:rsidRDefault="00F666A6">
            <w:pPr>
              <w:pStyle w:val="TableParagraph"/>
              <w:numPr>
                <w:ilvl w:val="0"/>
                <w:numId w:val="44"/>
              </w:numPr>
              <w:tabs>
                <w:tab w:val="left" w:pos="465"/>
                <w:tab w:val="left" w:pos="466"/>
              </w:tabs>
              <w:spacing w:before="40"/>
              <w:ind w:hanging="361"/>
              <w:rPr>
                <w:sz w:val="20"/>
              </w:rPr>
            </w:pPr>
            <w:r>
              <w:rPr>
                <w:sz w:val="20"/>
              </w:rPr>
              <w:t>Reinforce</w:t>
            </w:r>
            <w:r>
              <w:rPr>
                <w:spacing w:val="-8"/>
                <w:sz w:val="20"/>
              </w:rPr>
              <w:t xml:space="preserve"> </w:t>
            </w:r>
            <w:r>
              <w:rPr>
                <w:sz w:val="20"/>
              </w:rPr>
              <w:t>family</w:t>
            </w:r>
            <w:r>
              <w:rPr>
                <w:spacing w:val="-7"/>
                <w:sz w:val="20"/>
              </w:rPr>
              <w:t xml:space="preserve"> </w:t>
            </w:r>
            <w:r>
              <w:rPr>
                <w:sz w:val="20"/>
              </w:rPr>
              <w:t>and</w:t>
            </w:r>
            <w:r>
              <w:rPr>
                <w:spacing w:val="-6"/>
                <w:sz w:val="20"/>
              </w:rPr>
              <w:t xml:space="preserve"> </w:t>
            </w:r>
            <w:r>
              <w:rPr>
                <w:sz w:val="20"/>
              </w:rPr>
              <w:t>social</w:t>
            </w:r>
            <w:r>
              <w:rPr>
                <w:spacing w:val="-7"/>
                <w:sz w:val="20"/>
              </w:rPr>
              <w:t xml:space="preserve"> </w:t>
            </w:r>
            <w:r>
              <w:rPr>
                <w:spacing w:val="-2"/>
                <w:sz w:val="20"/>
              </w:rPr>
              <w:t>support.</w:t>
            </w:r>
          </w:p>
        </w:tc>
      </w:tr>
    </w:tbl>
    <w:p w14:paraId="157279D3" w14:textId="77777777" w:rsidR="00DB6E1F" w:rsidRDefault="00DB6E1F">
      <w:pPr>
        <w:rPr>
          <w:sz w:val="20"/>
        </w:rPr>
        <w:sectPr w:rsidR="00DB6E1F">
          <w:headerReference w:type="default" r:id="rId113"/>
          <w:footerReference w:type="default" r:id="rId114"/>
          <w:pgSz w:w="12240" w:h="15840"/>
          <w:pgMar w:top="1200" w:right="0" w:bottom="780" w:left="0" w:header="763" w:footer="585" w:gutter="0"/>
          <w:cols w:space="720"/>
        </w:sectPr>
      </w:pPr>
    </w:p>
    <w:p w14:paraId="63B85091" w14:textId="77777777" w:rsidR="00DB6E1F" w:rsidRDefault="00DB6E1F">
      <w:pPr>
        <w:pStyle w:val="BodyText"/>
        <w:spacing w:before="11"/>
        <w:rPr>
          <w:sz w:val="18"/>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2035"/>
        <w:gridCol w:w="1620"/>
        <w:gridCol w:w="4404"/>
      </w:tblGrid>
      <w:tr w:rsidR="00DB6E1F" w14:paraId="2B4EE102" w14:textId="77777777">
        <w:trPr>
          <w:trHeight w:val="518"/>
        </w:trPr>
        <w:tc>
          <w:tcPr>
            <w:tcW w:w="9350" w:type="dxa"/>
            <w:gridSpan w:val="4"/>
            <w:tcBorders>
              <w:top w:val="nil"/>
              <w:left w:val="nil"/>
              <w:bottom w:val="nil"/>
              <w:right w:val="nil"/>
            </w:tcBorders>
            <w:shd w:val="clear" w:color="auto" w:fill="000000"/>
          </w:tcPr>
          <w:p w14:paraId="30F7BE5E" w14:textId="77777777" w:rsidR="00DB6E1F" w:rsidRDefault="00F666A6">
            <w:pPr>
              <w:pStyle w:val="TableParagraph"/>
              <w:spacing w:before="112"/>
              <w:ind w:left="112"/>
              <w:rPr>
                <w:sz w:val="24"/>
              </w:rPr>
            </w:pPr>
            <w:r>
              <w:rPr>
                <w:color w:val="FFFFFF"/>
                <w:sz w:val="24"/>
              </w:rPr>
              <w:t>Exhibit</w:t>
            </w:r>
            <w:r>
              <w:rPr>
                <w:color w:val="FFFFFF"/>
                <w:spacing w:val="-3"/>
                <w:sz w:val="24"/>
              </w:rPr>
              <w:t xml:space="preserve"> </w:t>
            </w:r>
            <w:r>
              <w:rPr>
                <w:color w:val="FFFFFF"/>
                <w:sz w:val="24"/>
              </w:rPr>
              <w:t>7.1.</w:t>
            </w:r>
            <w:r>
              <w:rPr>
                <w:color w:val="FFFFFF"/>
                <w:spacing w:val="-2"/>
                <w:sz w:val="24"/>
              </w:rPr>
              <w:t xml:space="preserve"> </w:t>
            </w:r>
            <w:r>
              <w:rPr>
                <w:color w:val="FFFFFF"/>
                <w:sz w:val="24"/>
              </w:rPr>
              <w:t>Counseling</w:t>
            </w:r>
            <w:r>
              <w:rPr>
                <w:color w:val="FFFFFF"/>
                <w:spacing w:val="-2"/>
                <w:sz w:val="24"/>
              </w:rPr>
              <w:t xml:space="preserve"> </w:t>
            </w:r>
            <w:r>
              <w:rPr>
                <w:color w:val="FFFFFF"/>
                <w:sz w:val="24"/>
              </w:rPr>
              <w:t>Strategies</w:t>
            </w:r>
            <w:r>
              <w:rPr>
                <w:color w:val="FFFFFF"/>
                <w:spacing w:val="-3"/>
                <w:sz w:val="24"/>
              </w:rPr>
              <w:t xml:space="preserve"> </w:t>
            </w:r>
            <w:r>
              <w:rPr>
                <w:color w:val="FFFFFF"/>
                <w:sz w:val="24"/>
              </w:rPr>
              <w:t>for</w:t>
            </w:r>
            <w:r>
              <w:rPr>
                <w:color w:val="FFFFFF"/>
                <w:spacing w:val="-4"/>
                <w:sz w:val="24"/>
              </w:rPr>
              <w:t xml:space="preserve"> </w:t>
            </w:r>
            <w:r>
              <w:rPr>
                <w:color w:val="FFFFFF"/>
                <w:sz w:val="24"/>
              </w:rPr>
              <w:t>Action</w:t>
            </w:r>
            <w:r>
              <w:rPr>
                <w:color w:val="FFFFFF"/>
                <w:spacing w:val="-1"/>
                <w:sz w:val="24"/>
              </w:rPr>
              <w:t xml:space="preserve"> </w:t>
            </w:r>
            <w:r>
              <w:rPr>
                <w:color w:val="FFFFFF"/>
                <w:sz w:val="24"/>
              </w:rPr>
              <w:t>and</w:t>
            </w:r>
            <w:r>
              <w:rPr>
                <w:color w:val="FFFFFF"/>
                <w:spacing w:val="-2"/>
                <w:sz w:val="24"/>
              </w:rPr>
              <w:t xml:space="preserve"> Relapse</w:t>
            </w:r>
          </w:p>
        </w:tc>
      </w:tr>
      <w:tr w:rsidR="00DB6E1F" w14:paraId="31384E6D" w14:textId="77777777">
        <w:trPr>
          <w:trHeight w:val="359"/>
        </w:trPr>
        <w:tc>
          <w:tcPr>
            <w:tcW w:w="1291" w:type="dxa"/>
          </w:tcPr>
          <w:p w14:paraId="0C1AE0CC" w14:textId="77777777" w:rsidR="00DB6E1F" w:rsidRDefault="00F666A6">
            <w:pPr>
              <w:pStyle w:val="TableParagraph"/>
              <w:spacing w:before="0" w:line="241" w:lineRule="exact"/>
              <w:rPr>
                <w:sz w:val="20"/>
              </w:rPr>
            </w:pPr>
            <w:r>
              <w:rPr>
                <w:spacing w:val="-5"/>
                <w:sz w:val="20"/>
              </w:rPr>
              <w:t>SOC</w:t>
            </w:r>
          </w:p>
        </w:tc>
        <w:tc>
          <w:tcPr>
            <w:tcW w:w="2035" w:type="dxa"/>
          </w:tcPr>
          <w:p w14:paraId="7E2EA821" w14:textId="77777777" w:rsidR="00DB6E1F" w:rsidRDefault="00F666A6">
            <w:pPr>
              <w:pStyle w:val="TableParagraph"/>
              <w:spacing w:before="0" w:line="241" w:lineRule="exact"/>
              <w:rPr>
                <w:sz w:val="20"/>
              </w:rPr>
            </w:pPr>
            <w:r>
              <w:rPr>
                <w:sz w:val="20"/>
              </w:rPr>
              <w:t>Client</w:t>
            </w:r>
            <w:r>
              <w:rPr>
                <w:spacing w:val="-9"/>
                <w:sz w:val="20"/>
              </w:rPr>
              <w:t xml:space="preserve"> </w:t>
            </w:r>
            <w:r>
              <w:rPr>
                <w:spacing w:val="-2"/>
                <w:sz w:val="20"/>
              </w:rPr>
              <w:t>Motivation</w:t>
            </w:r>
          </w:p>
        </w:tc>
        <w:tc>
          <w:tcPr>
            <w:tcW w:w="1620" w:type="dxa"/>
          </w:tcPr>
          <w:p w14:paraId="5EF4F8C4" w14:textId="77777777" w:rsidR="00DB6E1F" w:rsidRDefault="00F666A6">
            <w:pPr>
              <w:pStyle w:val="TableParagraph"/>
              <w:spacing w:before="0" w:line="241" w:lineRule="exact"/>
              <w:ind w:left="105"/>
              <w:rPr>
                <w:sz w:val="20"/>
              </w:rPr>
            </w:pPr>
            <w:r>
              <w:rPr>
                <w:spacing w:val="-2"/>
                <w:sz w:val="20"/>
              </w:rPr>
              <w:t>Counselor</w:t>
            </w:r>
            <w:r>
              <w:rPr>
                <w:spacing w:val="4"/>
                <w:sz w:val="20"/>
              </w:rPr>
              <w:t xml:space="preserve"> </w:t>
            </w:r>
            <w:r>
              <w:rPr>
                <w:spacing w:val="-2"/>
                <w:sz w:val="20"/>
              </w:rPr>
              <w:t>Focus</w:t>
            </w:r>
          </w:p>
        </w:tc>
        <w:tc>
          <w:tcPr>
            <w:tcW w:w="4404" w:type="dxa"/>
          </w:tcPr>
          <w:p w14:paraId="76F85DED" w14:textId="77777777" w:rsidR="00DB6E1F" w:rsidRDefault="00F666A6">
            <w:pPr>
              <w:pStyle w:val="TableParagraph"/>
              <w:spacing w:before="0" w:line="241" w:lineRule="exact"/>
              <w:ind w:left="105"/>
              <w:rPr>
                <w:sz w:val="20"/>
              </w:rPr>
            </w:pPr>
            <w:r>
              <w:rPr>
                <w:spacing w:val="-2"/>
                <w:sz w:val="20"/>
              </w:rPr>
              <w:t>Counseling</w:t>
            </w:r>
            <w:r>
              <w:rPr>
                <w:spacing w:val="5"/>
                <w:sz w:val="20"/>
              </w:rPr>
              <w:t xml:space="preserve"> </w:t>
            </w:r>
            <w:r>
              <w:rPr>
                <w:spacing w:val="-2"/>
                <w:sz w:val="20"/>
              </w:rPr>
              <w:t>Strategies</w:t>
            </w:r>
          </w:p>
        </w:tc>
      </w:tr>
      <w:tr w:rsidR="00DB6E1F" w14:paraId="0525ECE6" w14:textId="77777777">
        <w:trPr>
          <w:trHeight w:val="1096"/>
        </w:trPr>
        <w:tc>
          <w:tcPr>
            <w:tcW w:w="1291" w:type="dxa"/>
          </w:tcPr>
          <w:p w14:paraId="582572DA" w14:textId="77777777" w:rsidR="00DB6E1F" w:rsidRDefault="00F666A6">
            <w:pPr>
              <w:pStyle w:val="TableParagraph"/>
              <w:ind w:right="182"/>
              <w:rPr>
                <w:sz w:val="20"/>
              </w:rPr>
            </w:pPr>
            <w:r>
              <w:rPr>
                <w:sz w:val="20"/>
              </w:rPr>
              <w:t>Relapse</w:t>
            </w:r>
            <w:r>
              <w:rPr>
                <w:spacing w:val="-12"/>
                <w:sz w:val="20"/>
              </w:rPr>
              <w:t xml:space="preserve"> </w:t>
            </w:r>
            <w:r>
              <w:rPr>
                <w:sz w:val="20"/>
              </w:rPr>
              <w:t xml:space="preserve">and </w:t>
            </w:r>
            <w:r>
              <w:rPr>
                <w:spacing w:val="-2"/>
                <w:sz w:val="20"/>
              </w:rPr>
              <w:t>Recycle</w:t>
            </w:r>
          </w:p>
        </w:tc>
        <w:tc>
          <w:tcPr>
            <w:tcW w:w="2035" w:type="dxa"/>
          </w:tcPr>
          <w:p w14:paraId="2FB40B6F" w14:textId="77777777" w:rsidR="00DB6E1F" w:rsidRDefault="00F666A6">
            <w:pPr>
              <w:pStyle w:val="TableParagraph"/>
              <w:rPr>
                <w:sz w:val="20"/>
              </w:rPr>
            </w:pPr>
            <w:r>
              <w:rPr>
                <w:sz w:val="20"/>
              </w:rPr>
              <w:t>The client returns to substance</w:t>
            </w:r>
            <w:r>
              <w:rPr>
                <w:spacing w:val="-12"/>
                <w:sz w:val="20"/>
              </w:rPr>
              <w:t xml:space="preserve"> </w:t>
            </w:r>
            <w:r>
              <w:rPr>
                <w:sz w:val="20"/>
              </w:rPr>
              <w:t>misuse</w:t>
            </w:r>
            <w:r>
              <w:rPr>
                <w:spacing w:val="-11"/>
                <w:sz w:val="20"/>
              </w:rPr>
              <w:t xml:space="preserve"> </w:t>
            </w:r>
            <w:r>
              <w:rPr>
                <w:sz w:val="20"/>
              </w:rPr>
              <w:t>and temporarily exits the change cycle.</w:t>
            </w:r>
          </w:p>
        </w:tc>
        <w:tc>
          <w:tcPr>
            <w:tcW w:w="1620" w:type="dxa"/>
          </w:tcPr>
          <w:p w14:paraId="29276CEE" w14:textId="77777777" w:rsidR="00DB6E1F" w:rsidRDefault="00F666A6">
            <w:pPr>
              <w:pStyle w:val="TableParagraph"/>
              <w:ind w:left="105" w:right="13"/>
              <w:rPr>
                <w:sz w:val="20"/>
              </w:rPr>
            </w:pPr>
            <w:r>
              <w:rPr>
                <w:sz w:val="20"/>
              </w:rPr>
              <w:t>Help</w:t>
            </w:r>
            <w:r>
              <w:rPr>
                <w:spacing w:val="-12"/>
                <w:sz w:val="20"/>
              </w:rPr>
              <w:t xml:space="preserve"> </w:t>
            </w:r>
            <w:r>
              <w:rPr>
                <w:sz w:val="20"/>
              </w:rPr>
              <w:t>the</w:t>
            </w:r>
            <w:r>
              <w:rPr>
                <w:spacing w:val="-11"/>
                <w:sz w:val="20"/>
              </w:rPr>
              <w:t xml:space="preserve"> </w:t>
            </w:r>
            <w:r>
              <w:rPr>
                <w:sz w:val="20"/>
              </w:rPr>
              <w:t>client reenter the change cycle.</w:t>
            </w:r>
          </w:p>
        </w:tc>
        <w:tc>
          <w:tcPr>
            <w:tcW w:w="4404" w:type="dxa"/>
          </w:tcPr>
          <w:p w14:paraId="688AA480" w14:textId="77777777" w:rsidR="00DB6E1F" w:rsidRDefault="00F666A6">
            <w:pPr>
              <w:pStyle w:val="TableParagraph"/>
              <w:numPr>
                <w:ilvl w:val="0"/>
                <w:numId w:val="43"/>
              </w:numPr>
              <w:tabs>
                <w:tab w:val="left" w:pos="465"/>
                <w:tab w:val="left" w:pos="466"/>
              </w:tabs>
              <w:spacing w:before="14"/>
              <w:ind w:hanging="361"/>
              <w:rPr>
                <w:sz w:val="20"/>
              </w:rPr>
            </w:pPr>
            <w:r>
              <w:rPr>
                <w:sz w:val="20"/>
              </w:rPr>
              <w:t>Provide</w:t>
            </w:r>
            <w:r>
              <w:rPr>
                <w:spacing w:val="-11"/>
                <w:sz w:val="20"/>
              </w:rPr>
              <w:t xml:space="preserve"> </w:t>
            </w:r>
            <w:r>
              <w:rPr>
                <w:spacing w:val="-4"/>
                <w:sz w:val="20"/>
              </w:rPr>
              <w:t>RPC.</w:t>
            </w:r>
          </w:p>
          <w:p w14:paraId="29D5ABA0" w14:textId="77777777" w:rsidR="00DB6E1F" w:rsidRDefault="00F666A6">
            <w:pPr>
              <w:pStyle w:val="TableParagraph"/>
              <w:numPr>
                <w:ilvl w:val="0"/>
                <w:numId w:val="43"/>
              </w:numPr>
              <w:tabs>
                <w:tab w:val="left" w:pos="465"/>
                <w:tab w:val="left" w:pos="466"/>
              </w:tabs>
              <w:spacing w:before="5"/>
              <w:ind w:hanging="361"/>
              <w:rPr>
                <w:sz w:val="20"/>
              </w:rPr>
            </w:pPr>
            <w:r>
              <w:rPr>
                <w:sz w:val="20"/>
              </w:rPr>
              <w:t>Reenter</w:t>
            </w:r>
            <w:r>
              <w:rPr>
                <w:spacing w:val="-5"/>
                <w:sz w:val="20"/>
              </w:rPr>
              <w:t xml:space="preserve"> </w:t>
            </w:r>
            <w:r>
              <w:rPr>
                <w:sz w:val="20"/>
              </w:rPr>
              <w:t>the</w:t>
            </w:r>
            <w:r>
              <w:rPr>
                <w:spacing w:val="-6"/>
                <w:sz w:val="20"/>
              </w:rPr>
              <w:t xml:space="preserve"> </w:t>
            </w:r>
            <w:r>
              <w:rPr>
                <w:sz w:val="20"/>
              </w:rPr>
              <w:t>cycle</w:t>
            </w:r>
            <w:r>
              <w:rPr>
                <w:spacing w:val="-5"/>
                <w:sz w:val="20"/>
              </w:rPr>
              <w:t xml:space="preserve"> </w:t>
            </w:r>
            <w:r>
              <w:rPr>
                <w:sz w:val="20"/>
              </w:rPr>
              <w:t>of</w:t>
            </w:r>
            <w:r>
              <w:rPr>
                <w:spacing w:val="-5"/>
                <w:sz w:val="20"/>
              </w:rPr>
              <w:t xml:space="preserve"> </w:t>
            </w:r>
            <w:r>
              <w:rPr>
                <w:spacing w:val="-2"/>
                <w:sz w:val="20"/>
              </w:rPr>
              <w:t>change.</w:t>
            </w:r>
          </w:p>
        </w:tc>
      </w:tr>
    </w:tbl>
    <w:p w14:paraId="1AFDE9E1" w14:textId="77777777" w:rsidR="00DB6E1F" w:rsidRDefault="00F666A6">
      <w:pPr>
        <w:pStyle w:val="Heading2"/>
        <w:spacing w:before="8"/>
      </w:pPr>
      <w:bookmarkStart w:id="186" w:name="Stabilize_Client_Change"/>
      <w:bookmarkStart w:id="187" w:name="_bookmark41"/>
      <w:bookmarkEnd w:id="186"/>
      <w:bookmarkEnd w:id="187"/>
      <w:r>
        <w:t>Stabilize</w:t>
      </w:r>
      <w:r>
        <w:rPr>
          <w:spacing w:val="-2"/>
        </w:rPr>
        <w:t xml:space="preserve"> </w:t>
      </w:r>
      <w:r>
        <w:t>Client</w:t>
      </w:r>
      <w:r>
        <w:rPr>
          <w:spacing w:val="-5"/>
        </w:rPr>
        <w:t xml:space="preserve"> </w:t>
      </w:r>
      <w:r>
        <w:rPr>
          <w:spacing w:val="-2"/>
        </w:rPr>
        <w:t>Change</w:t>
      </w:r>
    </w:p>
    <w:p w14:paraId="1A022AAB" w14:textId="77777777" w:rsidR="00DB6E1F" w:rsidRDefault="00F666A6">
      <w:pPr>
        <w:pStyle w:val="BodyText"/>
        <w:spacing w:before="153"/>
        <w:ind w:left="1439" w:right="1444"/>
      </w:pPr>
      <w:r>
        <w:t>One of the key change goals for many clients is entry into a specialized addiction treatment program. Options include outpatient, intensive outpatient, inpatient, and short- or long-term residential treatment;</w:t>
      </w:r>
      <w:r>
        <w:rPr>
          <w:spacing w:val="-4"/>
        </w:rPr>
        <w:t xml:space="preserve"> </w:t>
      </w:r>
      <w:r>
        <w:t>methadone</w:t>
      </w:r>
      <w:r>
        <w:rPr>
          <w:spacing w:val="-5"/>
        </w:rPr>
        <w:t xml:space="preserve"> </w:t>
      </w:r>
      <w:r>
        <w:t>maintenance</w:t>
      </w:r>
      <w:r>
        <w:rPr>
          <w:spacing w:val="-2"/>
        </w:rPr>
        <w:t xml:space="preserve"> </w:t>
      </w:r>
      <w:r>
        <w:t>treatment;</w:t>
      </w:r>
      <w:r>
        <w:rPr>
          <w:spacing w:val="-2"/>
        </w:rPr>
        <w:t xml:space="preserve"> </w:t>
      </w:r>
      <w:r>
        <w:t>and</w:t>
      </w:r>
      <w:r>
        <w:rPr>
          <w:spacing w:val="-6"/>
        </w:rPr>
        <w:t xml:space="preserve"> </w:t>
      </w:r>
      <w:r>
        <w:t>office-ba</w:t>
      </w:r>
      <w:r>
        <w:t>sed</w:t>
      </w:r>
      <w:r>
        <w:rPr>
          <w:spacing w:val="-6"/>
        </w:rPr>
        <w:t xml:space="preserve"> </w:t>
      </w:r>
      <w:r>
        <w:t>opioid</w:t>
      </w:r>
      <w:r>
        <w:rPr>
          <w:spacing w:val="-6"/>
        </w:rPr>
        <w:t xml:space="preserve"> </w:t>
      </w:r>
      <w:r>
        <w:t>treatment.</w:t>
      </w:r>
      <w:r>
        <w:rPr>
          <w:spacing w:val="-3"/>
        </w:rPr>
        <w:t xml:space="preserve"> </w:t>
      </w:r>
      <w:r>
        <w:t>Making</w:t>
      </w:r>
      <w:r>
        <w:rPr>
          <w:spacing w:val="-6"/>
        </w:rPr>
        <w:t xml:space="preserve"> </w:t>
      </w:r>
      <w:r>
        <w:t>the</w:t>
      </w:r>
      <w:r>
        <w:rPr>
          <w:spacing w:val="-2"/>
        </w:rPr>
        <w:t xml:space="preserve"> </w:t>
      </w:r>
      <w:r>
        <w:t xml:space="preserve">decision to enter treatment is an action step. </w:t>
      </w:r>
      <w:r>
        <w:rPr>
          <w:b/>
        </w:rPr>
        <w:t xml:space="preserve">To maintain that behavior change, you should engage and retain clients in treatment. </w:t>
      </w:r>
      <w:r>
        <w:t>Unfortunately, many clients enter and stop treatment before they achieve their other change</w:t>
      </w:r>
      <w:r>
        <w:t xml:space="preserve"> goals. Engaging and retaining clients in treatment are important strategies for stabilizing substance use</w:t>
      </w:r>
      <w:r>
        <w:rPr>
          <w:spacing w:val="-3"/>
        </w:rPr>
        <w:t xml:space="preserve"> </w:t>
      </w:r>
      <w:r>
        <w:t>behavior</w:t>
      </w:r>
      <w:r>
        <w:rPr>
          <w:spacing w:val="-4"/>
        </w:rPr>
        <w:t xml:space="preserve"> </w:t>
      </w:r>
      <w:r>
        <w:t>change.</w:t>
      </w:r>
      <w:r>
        <w:rPr>
          <w:spacing w:val="-1"/>
        </w:rPr>
        <w:t xml:space="preserve"> </w:t>
      </w:r>
      <w:r>
        <w:t>Other</w:t>
      </w:r>
      <w:r>
        <w:rPr>
          <w:spacing w:val="-4"/>
        </w:rPr>
        <w:t xml:space="preserve"> </w:t>
      </w:r>
      <w:r>
        <w:t>stabilization</w:t>
      </w:r>
      <w:r>
        <w:rPr>
          <w:spacing w:val="-3"/>
        </w:rPr>
        <w:t xml:space="preserve"> </w:t>
      </w:r>
      <w:r>
        <w:t>strategies</w:t>
      </w:r>
      <w:r>
        <w:rPr>
          <w:spacing w:val="-1"/>
        </w:rPr>
        <w:t xml:space="preserve"> </w:t>
      </w:r>
      <w:r>
        <w:t>include</w:t>
      </w:r>
      <w:r>
        <w:rPr>
          <w:spacing w:val="-2"/>
        </w:rPr>
        <w:t xml:space="preserve"> </w:t>
      </w:r>
      <w:r>
        <w:t>identifying</w:t>
      </w:r>
      <w:r>
        <w:rPr>
          <w:spacing w:val="-2"/>
        </w:rPr>
        <w:t xml:space="preserve"> </w:t>
      </w:r>
      <w:r>
        <w:t>high-risk situations</w:t>
      </w:r>
      <w:r>
        <w:rPr>
          <w:spacing w:val="-1"/>
        </w:rPr>
        <w:t xml:space="preserve"> </w:t>
      </w:r>
      <w:r>
        <w:t>and triggers for substance use,</w:t>
      </w:r>
      <w:r>
        <w:rPr>
          <w:spacing w:val="-3"/>
        </w:rPr>
        <w:t xml:space="preserve"> </w:t>
      </w:r>
      <w:r>
        <w:t>creating a</w:t>
      </w:r>
      <w:r>
        <w:rPr>
          <w:spacing w:val="-1"/>
        </w:rPr>
        <w:t xml:space="preserve"> </w:t>
      </w:r>
      <w:r>
        <w:t>coping plan, and</w:t>
      </w:r>
      <w:r>
        <w:rPr>
          <w:spacing w:val="-2"/>
        </w:rPr>
        <w:t xml:space="preserve"> </w:t>
      </w:r>
      <w:r>
        <w:t>helping clients practice and</w:t>
      </w:r>
      <w:r>
        <w:rPr>
          <w:spacing w:val="-2"/>
        </w:rPr>
        <w:t xml:space="preserve"> </w:t>
      </w:r>
      <w:r>
        <w:t>use new coping skills.</w:t>
      </w:r>
    </w:p>
    <w:p w14:paraId="602B9200" w14:textId="77777777" w:rsidR="00DB6E1F" w:rsidRDefault="00F666A6">
      <w:pPr>
        <w:pStyle w:val="Heading3"/>
        <w:spacing w:before="163"/>
      </w:pPr>
      <w:bookmarkStart w:id="188" w:name="Engage_and_Retain_Clients_in_SUD_Treatme"/>
      <w:bookmarkEnd w:id="188"/>
      <w:r>
        <w:t>Engage</w:t>
      </w:r>
      <w:r>
        <w:rPr>
          <w:spacing w:val="-6"/>
        </w:rPr>
        <w:t xml:space="preserve"> </w:t>
      </w:r>
      <w:r>
        <w:t>and</w:t>
      </w:r>
      <w:r>
        <w:rPr>
          <w:spacing w:val="-8"/>
        </w:rPr>
        <w:t xml:space="preserve"> </w:t>
      </w:r>
      <w:r>
        <w:t>Retain</w:t>
      </w:r>
      <w:r>
        <w:rPr>
          <w:spacing w:val="-5"/>
        </w:rPr>
        <w:t xml:space="preserve"> </w:t>
      </w:r>
      <w:r>
        <w:t>Clients</w:t>
      </w:r>
      <w:r>
        <w:rPr>
          <w:spacing w:val="-7"/>
        </w:rPr>
        <w:t xml:space="preserve"> </w:t>
      </w:r>
      <w:r>
        <w:t>in</w:t>
      </w:r>
      <w:r>
        <w:rPr>
          <w:spacing w:val="-6"/>
        </w:rPr>
        <w:t xml:space="preserve"> </w:t>
      </w:r>
      <w:r>
        <w:t>SUD</w:t>
      </w:r>
      <w:r>
        <w:rPr>
          <w:spacing w:val="-5"/>
        </w:rPr>
        <w:t xml:space="preserve"> </w:t>
      </w:r>
      <w:r>
        <w:rPr>
          <w:spacing w:val="-2"/>
        </w:rPr>
        <w:t>Treatment</w:t>
      </w:r>
    </w:p>
    <w:p w14:paraId="028CE677" w14:textId="77777777" w:rsidR="00DB6E1F" w:rsidRDefault="00F666A6">
      <w:pPr>
        <w:spacing w:before="140"/>
        <w:ind w:left="1439" w:right="1460"/>
      </w:pPr>
      <w:r>
        <w:rPr>
          <w:b/>
        </w:rPr>
        <w:t>You play an important role in preventing clients from stopping or dropping out of treatment before completion</w:t>
      </w:r>
      <w:r>
        <w:t xml:space="preserve">—a major concern for SUD treatment </w:t>
      </w:r>
      <w:r>
        <w:t>providers. A consistent predictor of positive client outcomes across SUD treatment services is treatment completion (Brorson, Arnevik, Rand-Hendriksen,</w:t>
      </w:r>
      <w:r>
        <w:rPr>
          <w:spacing w:val="40"/>
        </w:rPr>
        <w:t xml:space="preserve"> </w:t>
      </w:r>
      <w:r>
        <w:t>&amp; Duckert, 2013). Longer lengths of stay in treatment are consistent indicators of reliable behavior cha</w:t>
      </w:r>
      <w:r>
        <w:t>nge</w:t>
      </w:r>
      <w:r>
        <w:rPr>
          <w:spacing w:val="-2"/>
        </w:rPr>
        <w:t xml:space="preserve"> </w:t>
      </w:r>
      <w:r>
        <w:t>and</w:t>
      </w:r>
      <w:r>
        <w:rPr>
          <w:spacing w:val="-4"/>
        </w:rPr>
        <w:t xml:space="preserve"> </w:t>
      </w:r>
      <w:r>
        <w:t>positive</w:t>
      </w:r>
      <w:r>
        <w:rPr>
          <w:spacing w:val="-5"/>
        </w:rPr>
        <w:t xml:space="preserve"> </w:t>
      </w:r>
      <w:r>
        <w:t>treatment</w:t>
      </w:r>
      <w:r>
        <w:rPr>
          <w:spacing w:val="-2"/>
        </w:rPr>
        <w:t xml:space="preserve"> </w:t>
      </w:r>
      <w:r>
        <w:t>outcomes</w:t>
      </w:r>
      <w:r>
        <w:rPr>
          <w:spacing w:val="-2"/>
        </w:rPr>
        <w:t xml:space="preserve"> </w:t>
      </w:r>
      <w:r>
        <w:t>(Running</w:t>
      </w:r>
      <w:r>
        <w:rPr>
          <w:spacing w:val="-4"/>
        </w:rPr>
        <w:t xml:space="preserve"> </w:t>
      </w:r>
      <w:r>
        <w:t>Bear,</w:t>
      </w:r>
      <w:r>
        <w:rPr>
          <w:spacing w:val="-3"/>
        </w:rPr>
        <w:t xml:space="preserve"> </w:t>
      </w:r>
      <w:r>
        <w:t>Beals,</w:t>
      </w:r>
      <w:r>
        <w:rPr>
          <w:spacing w:val="-5"/>
        </w:rPr>
        <w:t xml:space="preserve"> </w:t>
      </w:r>
      <w:r>
        <w:t>Novins,</w:t>
      </w:r>
      <w:r>
        <w:rPr>
          <w:spacing w:val="-5"/>
        </w:rPr>
        <w:t xml:space="preserve"> </w:t>
      </w:r>
      <w:r>
        <w:t>&amp;</w:t>
      </w:r>
      <w:r>
        <w:rPr>
          <w:spacing w:val="-2"/>
        </w:rPr>
        <w:t xml:space="preserve"> </w:t>
      </w:r>
      <w:r>
        <w:t>Manson,</w:t>
      </w:r>
      <w:r>
        <w:rPr>
          <w:spacing w:val="-3"/>
        </w:rPr>
        <w:t xml:space="preserve"> </w:t>
      </w:r>
      <w:r>
        <w:t>2017;</w:t>
      </w:r>
      <w:r>
        <w:rPr>
          <w:spacing w:val="-2"/>
        </w:rPr>
        <w:t xml:space="preserve"> </w:t>
      </w:r>
      <w:r>
        <w:t>Jason,</w:t>
      </w:r>
      <w:r>
        <w:rPr>
          <w:spacing w:val="-3"/>
        </w:rPr>
        <w:t xml:space="preserve"> </w:t>
      </w:r>
      <w:r>
        <w:t>Salina,</w:t>
      </w:r>
      <w:r>
        <w:rPr>
          <w:spacing w:val="-5"/>
        </w:rPr>
        <w:t xml:space="preserve"> </w:t>
      </w:r>
      <w:r>
        <w:t>&amp; Ram, 2016; Turner &amp; Deanne, 2016).</w:t>
      </w:r>
    </w:p>
    <w:p w14:paraId="72721C40" w14:textId="77777777" w:rsidR="00DB6E1F" w:rsidRDefault="00F666A6">
      <w:pPr>
        <w:pStyle w:val="Heading5"/>
        <w:spacing w:before="162"/>
        <w:ind w:left="1439"/>
      </w:pPr>
      <w:r>
        <w:t>Causes</w:t>
      </w:r>
      <w:r>
        <w:rPr>
          <w:spacing w:val="-4"/>
        </w:rPr>
        <w:t xml:space="preserve"> </w:t>
      </w:r>
      <w:r>
        <w:t>of</w:t>
      </w:r>
      <w:r>
        <w:rPr>
          <w:spacing w:val="-5"/>
        </w:rPr>
        <w:t xml:space="preserve"> </w:t>
      </w:r>
      <w:r>
        <w:t>stopping</w:t>
      </w:r>
      <w:r>
        <w:rPr>
          <w:spacing w:val="-3"/>
        </w:rPr>
        <w:t xml:space="preserve"> </w:t>
      </w:r>
      <w:r>
        <w:t>treatment</w:t>
      </w:r>
      <w:r>
        <w:rPr>
          <w:spacing w:val="-4"/>
        </w:rPr>
        <w:t xml:space="preserve"> </w:t>
      </w:r>
      <w:r>
        <w:t>early</w:t>
      </w:r>
      <w:r>
        <w:rPr>
          <w:spacing w:val="-6"/>
        </w:rPr>
        <w:t xml:space="preserve"> </w:t>
      </w:r>
      <w:r>
        <w:rPr>
          <w:spacing w:val="-4"/>
        </w:rPr>
        <w:t>vary:</w:t>
      </w:r>
    </w:p>
    <w:p w14:paraId="1EB2A5DC" w14:textId="77777777" w:rsidR="00DB6E1F" w:rsidRDefault="00F666A6">
      <w:pPr>
        <w:pStyle w:val="ListParagraph"/>
        <w:numPr>
          <w:ilvl w:val="0"/>
          <w:numId w:val="92"/>
        </w:numPr>
        <w:tabs>
          <w:tab w:val="left" w:pos="1799"/>
          <w:tab w:val="left" w:pos="1800"/>
        </w:tabs>
        <w:spacing w:before="58"/>
        <w:ind w:left="1799" w:right="1698" w:hanging="360"/>
        <w:rPr>
          <w:rFonts w:ascii="Symbol" w:hAnsi="Symbol"/>
        </w:rPr>
      </w:pPr>
      <w:r>
        <w:t>For</w:t>
      </w:r>
      <w:r>
        <w:rPr>
          <w:spacing w:val="-2"/>
        </w:rPr>
        <w:t xml:space="preserve"> </w:t>
      </w:r>
      <w:r>
        <w:t>some</w:t>
      </w:r>
      <w:r>
        <w:rPr>
          <w:spacing w:val="-1"/>
        </w:rPr>
        <w:t xml:space="preserve"> </w:t>
      </w:r>
      <w:r>
        <w:t>clients,</w:t>
      </w:r>
      <w:r>
        <w:rPr>
          <w:spacing w:val="-2"/>
        </w:rPr>
        <w:t xml:space="preserve"> </w:t>
      </w:r>
      <w:r>
        <w:t>dropping</w:t>
      </w:r>
      <w:r>
        <w:rPr>
          <w:spacing w:val="-3"/>
        </w:rPr>
        <w:t xml:space="preserve"> </w:t>
      </w:r>
      <w:r>
        <w:t>out,</w:t>
      </w:r>
      <w:r>
        <w:rPr>
          <w:spacing w:val="-4"/>
        </w:rPr>
        <w:t xml:space="preserve"> </w:t>
      </w:r>
      <w:r>
        <w:t>missing</w:t>
      </w:r>
      <w:r>
        <w:rPr>
          <w:spacing w:val="-3"/>
        </w:rPr>
        <w:t xml:space="preserve"> </w:t>
      </w:r>
      <w:r>
        <w:t>appointments,</w:t>
      </w:r>
      <w:r>
        <w:rPr>
          <w:spacing w:val="-4"/>
        </w:rPr>
        <w:t xml:space="preserve"> </w:t>
      </w:r>
      <w:r>
        <w:t>or</w:t>
      </w:r>
      <w:r>
        <w:rPr>
          <w:spacing w:val="-2"/>
        </w:rPr>
        <w:t xml:space="preserve"> </w:t>
      </w:r>
      <w:r>
        <w:t>nonadherence</w:t>
      </w:r>
      <w:r>
        <w:rPr>
          <w:spacing w:val="-2"/>
        </w:rPr>
        <w:t xml:space="preserve"> </w:t>
      </w:r>
      <w:r>
        <w:t>with</w:t>
      </w:r>
      <w:r>
        <w:rPr>
          <w:spacing w:val="-3"/>
        </w:rPr>
        <w:t xml:space="preserve"> </w:t>
      </w:r>
      <w:r>
        <w:t>other</w:t>
      </w:r>
      <w:r>
        <w:rPr>
          <w:spacing w:val="-2"/>
        </w:rPr>
        <w:t xml:space="preserve"> </w:t>
      </w:r>
      <w:r>
        <w:t>aspects</w:t>
      </w:r>
      <w:r>
        <w:rPr>
          <w:spacing w:val="-4"/>
        </w:rPr>
        <w:t xml:space="preserve"> </w:t>
      </w:r>
      <w:r>
        <w:t>of</w:t>
      </w:r>
      <w:r>
        <w:rPr>
          <w:spacing w:val="-2"/>
        </w:rPr>
        <w:t xml:space="preserve"> </w:t>
      </w:r>
      <w:r>
        <w:t xml:space="preserve">the treatment program are clear messages of </w:t>
      </w:r>
      <w:r>
        <w:rPr>
          <w:b/>
        </w:rPr>
        <w:t>disappointment, hopelessness, or changes of heart.</w:t>
      </w:r>
    </w:p>
    <w:p w14:paraId="4691B4F9" w14:textId="77777777" w:rsidR="00DB6E1F" w:rsidRDefault="00F666A6">
      <w:pPr>
        <w:pStyle w:val="ListParagraph"/>
        <w:numPr>
          <w:ilvl w:val="0"/>
          <w:numId w:val="92"/>
        </w:numPr>
        <w:tabs>
          <w:tab w:val="left" w:pos="1798"/>
          <w:tab w:val="left" w:pos="1799"/>
        </w:tabs>
        <w:spacing w:before="61"/>
        <w:ind w:left="1798"/>
        <w:rPr>
          <w:rFonts w:ascii="Symbol" w:hAnsi="Symbol"/>
        </w:rPr>
      </w:pPr>
      <w:r>
        <w:t>Some</w:t>
      </w:r>
      <w:r>
        <w:rPr>
          <w:spacing w:val="-5"/>
        </w:rPr>
        <w:t xml:space="preserve"> </w:t>
      </w:r>
      <w:r>
        <w:t>clients</w:t>
      </w:r>
      <w:r>
        <w:rPr>
          <w:spacing w:val="-4"/>
        </w:rPr>
        <w:t xml:space="preserve"> </w:t>
      </w:r>
      <w:r>
        <w:t>drop</w:t>
      </w:r>
      <w:r>
        <w:rPr>
          <w:spacing w:val="-5"/>
        </w:rPr>
        <w:t xml:space="preserve"> </w:t>
      </w:r>
      <w:r>
        <w:t>out</w:t>
      </w:r>
      <w:r>
        <w:rPr>
          <w:spacing w:val="-6"/>
        </w:rPr>
        <w:t xml:space="preserve"> </w:t>
      </w:r>
      <w:r>
        <w:t>of</w:t>
      </w:r>
      <w:r>
        <w:rPr>
          <w:spacing w:val="-6"/>
        </w:rPr>
        <w:t xml:space="preserve"> </w:t>
      </w:r>
      <w:r>
        <w:t>treatment</w:t>
      </w:r>
      <w:r>
        <w:rPr>
          <w:spacing w:val="-3"/>
        </w:rPr>
        <w:t xml:space="preserve"> </w:t>
      </w:r>
      <w:r>
        <w:rPr>
          <w:b/>
        </w:rPr>
        <w:t>because</w:t>
      </w:r>
      <w:r>
        <w:rPr>
          <w:b/>
          <w:spacing w:val="-5"/>
        </w:rPr>
        <w:t xml:space="preserve"> </w:t>
      </w:r>
      <w:r>
        <w:rPr>
          <w:b/>
        </w:rPr>
        <w:t>their</w:t>
      </w:r>
      <w:r>
        <w:rPr>
          <w:b/>
          <w:spacing w:val="-6"/>
        </w:rPr>
        <w:t xml:space="preserve"> </w:t>
      </w:r>
      <w:r>
        <w:rPr>
          <w:b/>
        </w:rPr>
        <w:t>treatment</w:t>
      </w:r>
      <w:r>
        <w:rPr>
          <w:b/>
          <w:spacing w:val="-4"/>
        </w:rPr>
        <w:t xml:space="preserve"> </w:t>
      </w:r>
      <w:r>
        <w:rPr>
          <w:b/>
        </w:rPr>
        <w:t>or</w:t>
      </w:r>
      <w:r>
        <w:rPr>
          <w:b/>
          <w:spacing w:val="-2"/>
        </w:rPr>
        <w:t xml:space="preserve"> </w:t>
      </w:r>
      <w:r>
        <w:rPr>
          <w:b/>
        </w:rPr>
        <w:t>behavior</w:t>
      </w:r>
      <w:r>
        <w:rPr>
          <w:b/>
          <w:spacing w:val="-6"/>
        </w:rPr>
        <w:t xml:space="preserve"> </w:t>
      </w:r>
      <w:r>
        <w:rPr>
          <w:b/>
        </w:rPr>
        <w:t>change</w:t>
      </w:r>
      <w:r>
        <w:rPr>
          <w:b/>
          <w:spacing w:val="-5"/>
        </w:rPr>
        <w:t xml:space="preserve"> </w:t>
      </w:r>
      <w:r>
        <w:rPr>
          <w:b/>
        </w:rPr>
        <w:t>goals</w:t>
      </w:r>
      <w:r>
        <w:rPr>
          <w:b/>
          <w:spacing w:val="-3"/>
        </w:rPr>
        <w:t xml:space="preserve"> </w:t>
      </w:r>
      <w:r>
        <w:rPr>
          <w:b/>
        </w:rPr>
        <w:t>don’t</w:t>
      </w:r>
      <w:r>
        <w:rPr>
          <w:b/>
          <w:spacing w:val="-5"/>
        </w:rPr>
        <w:t xml:space="preserve"> </w:t>
      </w:r>
      <w:r>
        <w:rPr>
          <w:b/>
          <w:spacing w:val="-2"/>
        </w:rPr>
        <w:t>match</w:t>
      </w:r>
    </w:p>
    <w:p w14:paraId="5ED89C4E" w14:textId="77777777" w:rsidR="00DB6E1F" w:rsidRDefault="00F666A6">
      <w:pPr>
        <w:pStyle w:val="BodyText"/>
        <w:ind w:left="1798"/>
      </w:pPr>
      <w:r>
        <w:t>those</w:t>
      </w:r>
      <w:r>
        <w:rPr>
          <w:spacing w:val="-8"/>
        </w:rPr>
        <w:t xml:space="preserve"> </w:t>
      </w:r>
      <w:r>
        <w:t>of</w:t>
      </w:r>
      <w:r>
        <w:rPr>
          <w:spacing w:val="-7"/>
        </w:rPr>
        <w:t xml:space="preserve"> </w:t>
      </w:r>
      <w:r>
        <w:t>the</w:t>
      </w:r>
      <w:r>
        <w:rPr>
          <w:spacing w:val="-6"/>
        </w:rPr>
        <w:t xml:space="preserve"> </w:t>
      </w:r>
      <w:r>
        <w:t>counselor</w:t>
      </w:r>
      <w:r>
        <w:rPr>
          <w:spacing w:val="-5"/>
        </w:rPr>
        <w:t xml:space="preserve"> </w:t>
      </w:r>
      <w:r>
        <w:t>or</w:t>
      </w:r>
      <w:r>
        <w:rPr>
          <w:spacing w:val="-4"/>
        </w:rPr>
        <w:t xml:space="preserve"> </w:t>
      </w:r>
      <w:r>
        <w:t>program</w:t>
      </w:r>
      <w:r>
        <w:rPr>
          <w:spacing w:val="-6"/>
        </w:rPr>
        <w:t xml:space="preserve"> </w:t>
      </w:r>
      <w:r>
        <w:t>(Connors,</w:t>
      </w:r>
      <w:r>
        <w:rPr>
          <w:spacing w:val="-6"/>
        </w:rPr>
        <w:t xml:space="preserve"> </w:t>
      </w:r>
      <w:r>
        <w:t>DiClemente,</w:t>
      </w:r>
      <w:r>
        <w:rPr>
          <w:spacing w:val="-4"/>
        </w:rPr>
        <w:t xml:space="preserve"> </w:t>
      </w:r>
      <w:r>
        <w:t>Velasquez,</w:t>
      </w:r>
      <w:r>
        <w:rPr>
          <w:spacing w:val="-4"/>
        </w:rPr>
        <w:t xml:space="preserve"> </w:t>
      </w:r>
      <w:r>
        <w:t>&amp;</w:t>
      </w:r>
      <w:r>
        <w:rPr>
          <w:spacing w:val="-6"/>
        </w:rPr>
        <w:t xml:space="preserve"> </w:t>
      </w:r>
      <w:r>
        <w:t>Donovan,</w:t>
      </w:r>
      <w:r>
        <w:rPr>
          <w:spacing w:val="-3"/>
        </w:rPr>
        <w:t xml:space="preserve"> </w:t>
      </w:r>
      <w:r>
        <w:rPr>
          <w:spacing w:val="-2"/>
        </w:rPr>
        <w:t>2013).</w:t>
      </w:r>
    </w:p>
    <w:p w14:paraId="36F15319" w14:textId="77777777" w:rsidR="00DB6E1F" w:rsidRDefault="00F666A6">
      <w:pPr>
        <w:pStyle w:val="ListParagraph"/>
        <w:numPr>
          <w:ilvl w:val="0"/>
          <w:numId w:val="92"/>
        </w:numPr>
        <w:tabs>
          <w:tab w:val="left" w:pos="1798"/>
          <w:tab w:val="left" w:pos="1799"/>
        </w:tabs>
        <w:spacing w:before="61"/>
        <w:ind w:left="1798" w:right="1903" w:hanging="360"/>
        <w:rPr>
          <w:rFonts w:ascii="Symbol" w:hAnsi="Symbol"/>
        </w:rPr>
      </w:pPr>
      <w:r>
        <w:t>Strong</w:t>
      </w:r>
      <w:r>
        <w:rPr>
          <w:spacing w:val="-3"/>
        </w:rPr>
        <w:t xml:space="preserve"> </w:t>
      </w:r>
      <w:r>
        <w:t>evidence</w:t>
      </w:r>
      <w:r>
        <w:rPr>
          <w:spacing w:val="-4"/>
        </w:rPr>
        <w:t xml:space="preserve"> </w:t>
      </w:r>
      <w:r>
        <w:t>shows</w:t>
      </w:r>
      <w:r>
        <w:rPr>
          <w:spacing w:val="-4"/>
        </w:rPr>
        <w:t xml:space="preserve"> </w:t>
      </w:r>
      <w:r>
        <w:t>that</w:t>
      </w:r>
      <w:r>
        <w:rPr>
          <w:spacing w:val="-2"/>
        </w:rPr>
        <w:t xml:space="preserve"> </w:t>
      </w:r>
      <w:r>
        <w:rPr>
          <w:b/>
        </w:rPr>
        <w:t>low</w:t>
      </w:r>
      <w:r>
        <w:rPr>
          <w:b/>
          <w:spacing w:val="-3"/>
        </w:rPr>
        <w:t xml:space="preserve"> </w:t>
      </w:r>
      <w:r>
        <w:rPr>
          <w:b/>
        </w:rPr>
        <w:t>treatment</w:t>
      </w:r>
      <w:r>
        <w:rPr>
          <w:b/>
          <w:spacing w:val="-2"/>
        </w:rPr>
        <w:t xml:space="preserve"> </w:t>
      </w:r>
      <w:r>
        <w:rPr>
          <w:b/>
        </w:rPr>
        <w:t>alliance</w:t>
      </w:r>
      <w:r>
        <w:rPr>
          <w:b/>
          <w:spacing w:val="-3"/>
        </w:rPr>
        <w:t xml:space="preserve"> </w:t>
      </w:r>
      <w:r>
        <w:t>is</w:t>
      </w:r>
      <w:r>
        <w:rPr>
          <w:spacing w:val="-7"/>
        </w:rPr>
        <w:t xml:space="preserve"> </w:t>
      </w:r>
      <w:r>
        <w:t>linked</w:t>
      </w:r>
      <w:r>
        <w:rPr>
          <w:spacing w:val="-3"/>
        </w:rPr>
        <w:t xml:space="preserve"> </w:t>
      </w:r>
      <w:r>
        <w:t>to</w:t>
      </w:r>
      <w:r>
        <w:rPr>
          <w:spacing w:val="-1"/>
        </w:rPr>
        <w:t xml:space="preserve"> </w:t>
      </w:r>
      <w:r>
        <w:t>client</w:t>
      </w:r>
      <w:r>
        <w:rPr>
          <w:spacing w:val="-4"/>
        </w:rPr>
        <w:t xml:space="preserve"> </w:t>
      </w:r>
      <w:r>
        <w:t>dropout</w:t>
      </w:r>
      <w:r>
        <w:rPr>
          <w:spacing w:val="-1"/>
        </w:rPr>
        <w:t xml:space="preserve"> </w:t>
      </w:r>
      <w:r>
        <w:t>in</w:t>
      </w:r>
      <w:r>
        <w:rPr>
          <w:spacing w:val="-5"/>
        </w:rPr>
        <w:t xml:space="preserve"> </w:t>
      </w:r>
      <w:r>
        <w:t>SUD</w:t>
      </w:r>
      <w:r>
        <w:rPr>
          <w:spacing w:val="-1"/>
        </w:rPr>
        <w:t xml:space="preserve"> </w:t>
      </w:r>
      <w:r>
        <w:t>treatment (Brorson et al., 2013).</w:t>
      </w:r>
    </w:p>
    <w:p w14:paraId="630DBC19" w14:textId="77777777" w:rsidR="00DB6E1F" w:rsidRDefault="00F666A6">
      <w:pPr>
        <w:pStyle w:val="ListParagraph"/>
        <w:numPr>
          <w:ilvl w:val="0"/>
          <w:numId w:val="92"/>
        </w:numPr>
        <w:tabs>
          <w:tab w:val="left" w:pos="1798"/>
          <w:tab w:val="left" w:pos="1799"/>
        </w:tabs>
        <w:spacing w:before="58"/>
        <w:ind w:left="1798" w:right="1441"/>
        <w:rPr>
          <w:rFonts w:ascii="Symbol" w:hAnsi="Symbol"/>
        </w:rPr>
      </w:pPr>
      <w:r>
        <w:t xml:space="preserve">Clients with </w:t>
      </w:r>
      <w:r>
        <w:rPr>
          <w:b/>
        </w:rPr>
        <w:t xml:space="preserve">co-occurring substance use and mental disorders (CODs) </w:t>
      </w:r>
      <w:r>
        <w:t xml:space="preserve">and those with </w:t>
      </w:r>
      <w:r>
        <w:rPr>
          <w:b/>
        </w:rPr>
        <w:t>cog</w:t>
      </w:r>
      <w:r>
        <w:rPr>
          <w:b/>
        </w:rPr>
        <w:t>nitive problems</w:t>
      </w:r>
      <w:r>
        <w:rPr>
          <w:b/>
          <w:spacing w:val="-2"/>
        </w:rPr>
        <w:t xml:space="preserve"> </w:t>
      </w:r>
      <w:r>
        <w:t>are</w:t>
      </w:r>
      <w:r>
        <w:rPr>
          <w:spacing w:val="-1"/>
        </w:rPr>
        <w:t xml:space="preserve"> </w:t>
      </w:r>
      <w:r>
        <w:t>especially</w:t>
      </w:r>
      <w:r>
        <w:rPr>
          <w:spacing w:val="-3"/>
        </w:rPr>
        <w:t xml:space="preserve"> </w:t>
      </w:r>
      <w:r>
        <w:t>likely</w:t>
      </w:r>
      <w:r>
        <w:rPr>
          <w:spacing w:val="-1"/>
        </w:rPr>
        <w:t xml:space="preserve"> </w:t>
      </w:r>
      <w:r>
        <w:t>to</w:t>
      </w:r>
      <w:r>
        <w:rPr>
          <w:spacing w:val="-3"/>
        </w:rPr>
        <w:t xml:space="preserve"> </w:t>
      </w:r>
      <w:r>
        <w:t>end</w:t>
      </w:r>
      <w:r>
        <w:rPr>
          <w:spacing w:val="-3"/>
        </w:rPr>
        <w:t xml:space="preserve"> </w:t>
      </w:r>
      <w:r>
        <w:t>treatment</w:t>
      </w:r>
      <w:r>
        <w:rPr>
          <w:spacing w:val="-4"/>
        </w:rPr>
        <w:t xml:space="preserve"> </w:t>
      </w:r>
      <w:r>
        <w:t>early</w:t>
      </w:r>
      <w:r>
        <w:rPr>
          <w:spacing w:val="-6"/>
        </w:rPr>
        <w:t xml:space="preserve"> </w:t>
      </w:r>
      <w:r>
        <w:t>(Running</w:t>
      </w:r>
      <w:r>
        <w:rPr>
          <w:spacing w:val="-3"/>
        </w:rPr>
        <w:t xml:space="preserve"> </w:t>
      </w:r>
      <w:r>
        <w:t>Bear</w:t>
      </w:r>
      <w:r>
        <w:rPr>
          <w:spacing w:val="-2"/>
        </w:rPr>
        <w:t xml:space="preserve"> </w:t>
      </w:r>
      <w:r>
        <w:t>et</w:t>
      </w:r>
      <w:r>
        <w:rPr>
          <w:spacing w:val="-4"/>
        </w:rPr>
        <w:t xml:space="preserve"> </w:t>
      </w:r>
      <w:r>
        <w:t>al.,</w:t>
      </w:r>
      <w:r>
        <w:rPr>
          <w:spacing w:val="-4"/>
        </w:rPr>
        <w:t xml:space="preserve"> </w:t>
      </w:r>
      <w:r>
        <w:t>2017;</w:t>
      </w:r>
      <w:r>
        <w:rPr>
          <w:spacing w:val="-1"/>
        </w:rPr>
        <w:t xml:space="preserve"> </w:t>
      </w:r>
      <w:r>
        <w:t>Brorson</w:t>
      </w:r>
      <w:r>
        <w:rPr>
          <w:spacing w:val="-3"/>
        </w:rPr>
        <w:t xml:space="preserve"> </w:t>
      </w:r>
      <w:r>
        <w:t>et</w:t>
      </w:r>
      <w:r>
        <w:rPr>
          <w:spacing w:val="-4"/>
        </w:rPr>
        <w:t xml:space="preserve"> </w:t>
      </w:r>
      <w:r>
        <w:t>al.,</w:t>
      </w:r>
      <w:r>
        <w:rPr>
          <w:spacing w:val="-4"/>
        </w:rPr>
        <w:t xml:space="preserve"> </w:t>
      </w:r>
      <w:r>
        <w:t xml:space="preserve">2013; Krawczyk et al., 2017; Teeson et al., 2015). For more information about engaging clients with CODs, see Treatment Improvement Protocol (TIP) 42: </w:t>
      </w:r>
      <w:r>
        <w:rPr>
          <w:i/>
        </w:rPr>
        <w:t xml:space="preserve">Substance Abuse Treatment for Persons With Co- Occurring Disorders </w:t>
      </w:r>
      <w:r>
        <w:t>(Substance Abuse and Mental Health Ser</w:t>
      </w:r>
      <w:r>
        <w:t>vices Administration [SAMHSA], 2013).</w:t>
      </w:r>
    </w:p>
    <w:p w14:paraId="20F5F901" w14:textId="77777777" w:rsidR="00DB6E1F" w:rsidRDefault="00F666A6">
      <w:pPr>
        <w:pStyle w:val="ListParagraph"/>
        <w:numPr>
          <w:ilvl w:val="0"/>
          <w:numId w:val="92"/>
        </w:numPr>
        <w:tabs>
          <w:tab w:val="left" w:pos="1799"/>
          <w:tab w:val="left" w:pos="1800"/>
        </w:tabs>
        <w:spacing w:before="62"/>
        <w:ind w:left="1799" w:right="1622" w:hanging="360"/>
        <w:rPr>
          <w:rFonts w:ascii="Symbol" w:hAnsi="Symbol"/>
        </w:rPr>
      </w:pPr>
      <w:r>
        <w:t>For</w:t>
      </w:r>
      <w:r>
        <w:rPr>
          <w:spacing w:val="-5"/>
        </w:rPr>
        <w:t xml:space="preserve"> </w:t>
      </w:r>
      <w:r>
        <w:t>others,</w:t>
      </w:r>
      <w:r>
        <w:rPr>
          <w:spacing w:val="-4"/>
        </w:rPr>
        <w:t xml:space="preserve"> </w:t>
      </w:r>
      <w:r>
        <w:t>dropping</w:t>
      </w:r>
      <w:r>
        <w:rPr>
          <w:spacing w:val="-3"/>
        </w:rPr>
        <w:t xml:space="preserve"> </w:t>
      </w:r>
      <w:r>
        <w:t>out</w:t>
      </w:r>
      <w:r>
        <w:rPr>
          <w:spacing w:val="-4"/>
        </w:rPr>
        <w:t xml:space="preserve"> </w:t>
      </w:r>
      <w:r>
        <w:t>may</w:t>
      </w:r>
      <w:r>
        <w:rPr>
          <w:spacing w:val="-3"/>
        </w:rPr>
        <w:t xml:space="preserve"> </w:t>
      </w:r>
      <w:r>
        <w:t>mean</w:t>
      </w:r>
      <w:r>
        <w:rPr>
          <w:spacing w:val="-5"/>
        </w:rPr>
        <w:t xml:space="preserve"> </w:t>
      </w:r>
      <w:r>
        <w:t>they</w:t>
      </w:r>
      <w:r>
        <w:rPr>
          <w:spacing w:val="-3"/>
        </w:rPr>
        <w:t xml:space="preserve"> </w:t>
      </w:r>
      <w:r>
        <w:t>have</w:t>
      </w:r>
      <w:r>
        <w:rPr>
          <w:spacing w:val="-3"/>
        </w:rPr>
        <w:t xml:space="preserve"> </w:t>
      </w:r>
      <w:r>
        <w:rPr>
          <w:b/>
        </w:rPr>
        <w:t>successfully</w:t>
      </w:r>
      <w:r>
        <w:rPr>
          <w:b/>
          <w:spacing w:val="-3"/>
        </w:rPr>
        <w:t xml:space="preserve"> </w:t>
      </w:r>
      <w:r>
        <w:rPr>
          <w:b/>
        </w:rPr>
        <w:t>changed</w:t>
      </w:r>
      <w:r>
        <w:rPr>
          <w:b/>
          <w:spacing w:val="-3"/>
        </w:rPr>
        <w:t xml:space="preserve"> </w:t>
      </w:r>
      <w:r>
        <w:rPr>
          <w:b/>
        </w:rPr>
        <w:t>their</w:t>
      </w:r>
      <w:r>
        <w:rPr>
          <w:b/>
          <w:spacing w:val="-4"/>
        </w:rPr>
        <w:t xml:space="preserve"> </w:t>
      </w:r>
      <w:r>
        <w:rPr>
          <w:b/>
        </w:rPr>
        <w:t>substance</w:t>
      </w:r>
      <w:r>
        <w:rPr>
          <w:b/>
          <w:spacing w:val="-3"/>
        </w:rPr>
        <w:t xml:space="preserve"> </w:t>
      </w:r>
      <w:r>
        <w:rPr>
          <w:b/>
        </w:rPr>
        <w:t>use</w:t>
      </w:r>
      <w:r>
        <w:rPr>
          <w:b/>
          <w:spacing w:val="-3"/>
        </w:rPr>
        <w:t xml:space="preserve"> </w:t>
      </w:r>
      <w:r>
        <w:rPr>
          <w:b/>
        </w:rPr>
        <w:t xml:space="preserve">behaviors on their own </w:t>
      </w:r>
      <w:r>
        <w:t>(Connors et al., 2013).</w:t>
      </w:r>
    </w:p>
    <w:p w14:paraId="175E60C0" w14:textId="77777777" w:rsidR="00DB6E1F" w:rsidRDefault="00F666A6">
      <w:pPr>
        <w:pStyle w:val="ListParagraph"/>
        <w:numPr>
          <w:ilvl w:val="0"/>
          <w:numId w:val="92"/>
        </w:numPr>
        <w:tabs>
          <w:tab w:val="left" w:pos="1798"/>
          <w:tab w:val="left" w:pos="1799"/>
        </w:tabs>
        <w:spacing w:before="58"/>
        <w:ind w:left="1798" w:right="1791" w:hanging="360"/>
        <w:rPr>
          <w:rFonts w:ascii="Symbol" w:hAnsi="Symbol"/>
        </w:rPr>
      </w:pPr>
      <w:r>
        <w:t xml:space="preserve">Perhaps the strongest predictor of dropout in SUD treatment is </w:t>
      </w:r>
      <w:r>
        <w:rPr>
          <w:b/>
        </w:rPr>
        <w:t>addiction severity at treatment entry.</w:t>
      </w:r>
      <w:r>
        <w:rPr>
          <w:b/>
          <w:spacing w:val="-3"/>
        </w:rPr>
        <w:t xml:space="preserve"> </w:t>
      </w:r>
      <w:r>
        <w:t>For</w:t>
      </w:r>
      <w:r>
        <w:rPr>
          <w:spacing w:val="-4"/>
        </w:rPr>
        <w:t xml:space="preserve"> </w:t>
      </w:r>
      <w:r>
        <w:t>example,</w:t>
      </w:r>
      <w:r>
        <w:rPr>
          <w:spacing w:val="-4"/>
        </w:rPr>
        <w:t xml:space="preserve"> </w:t>
      </w:r>
      <w:r>
        <w:t>one</w:t>
      </w:r>
      <w:r>
        <w:rPr>
          <w:spacing w:val="-1"/>
        </w:rPr>
        <w:t xml:space="preserve"> </w:t>
      </w:r>
      <w:r>
        <w:t>study</w:t>
      </w:r>
      <w:r>
        <w:rPr>
          <w:spacing w:val="-1"/>
        </w:rPr>
        <w:t xml:space="preserve"> </w:t>
      </w:r>
      <w:r>
        <w:t>of</w:t>
      </w:r>
      <w:r>
        <w:rPr>
          <w:spacing w:val="-4"/>
        </w:rPr>
        <w:t xml:space="preserve"> </w:t>
      </w:r>
      <w:r>
        <w:t>men</w:t>
      </w:r>
      <w:r>
        <w:rPr>
          <w:spacing w:val="-3"/>
        </w:rPr>
        <w:t xml:space="preserve"> </w:t>
      </w:r>
      <w:r>
        <w:t>and</w:t>
      </w:r>
      <w:r>
        <w:rPr>
          <w:spacing w:val="-3"/>
        </w:rPr>
        <w:t xml:space="preserve"> </w:t>
      </w:r>
      <w:r>
        <w:t>women</w:t>
      </w:r>
      <w:r>
        <w:rPr>
          <w:spacing w:val="-4"/>
        </w:rPr>
        <w:t xml:space="preserve"> </w:t>
      </w:r>
      <w:r>
        <w:t>in</w:t>
      </w:r>
      <w:r>
        <w:rPr>
          <w:spacing w:val="-5"/>
        </w:rPr>
        <w:t xml:space="preserve"> </w:t>
      </w:r>
      <w:r>
        <w:t>treatment</w:t>
      </w:r>
      <w:r>
        <w:rPr>
          <w:spacing w:val="-4"/>
        </w:rPr>
        <w:t xml:space="preserve"> </w:t>
      </w:r>
      <w:r>
        <w:t>for</w:t>
      </w:r>
      <w:r>
        <w:rPr>
          <w:spacing w:val="-4"/>
        </w:rPr>
        <w:t xml:space="preserve"> </w:t>
      </w:r>
      <w:r>
        <w:t>posttraumatic</w:t>
      </w:r>
      <w:r>
        <w:rPr>
          <w:spacing w:val="-2"/>
        </w:rPr>
        <w:t xml:space="preserve"> </w:t>
      </w:r>
      <w:r>
        <w:t>stress</w:t>
      </w:r>
      <w:r>
        <w:rPr>
          <w:spacing w:val="-2"/>
        </w:rPr>
        <w:t xml:space="preserve"> </w:t>
      </w:r>
      <w:r>
        <w:t xml:space="preserve">disorder found that a diagnosis of both an alcohol use disorder (AUD) and a </w:t>
      </w:r>
      <w:r>
        <w:t>drug use disorder strongly predicted higher dropout rates, drug use severity predicted worse adherence to treatment, and drug use severity or a lifetime diagnosis of an alcohol or drug use disorder predicted worse treatment outcomes (Bedard-Gilligan, Garci</w:t>
      </w:r>
      <w:r>
        <w:t>a, Zoellner, &amp; Feeny 2018).</w:t>
      </w:r>
    </w:p>
    <w:p w14:paraId="1AB260DF" w14:textId="77777777" w:rsidR="00DB6E1F" w:rsidRDefault="00DB6E1F">
      <w:pPr>
        <w:rPr>
          <w:rFonts w:ascii="Symbol" w:hAnsi="Symbol"/>
        </w:rPr>
        <w:sectPr w:rsidR="00DB6E1F">
          <w:pgSz w:w="12240" w:h="15840"/>
          <w:pgMar w:top="1200" w:right="0" w:bottom="780" w:left="0" w:header="763" w:footer="585" w:gutter="0"/>
          <w:cols w:space="720"/>
        </w:sectPr>
      </w:pPr>
    </w:p>
    <w:p w14:paraId="483B0A8D" w14:textId="77777777" w:rsidR="00DB6E1F" w:rsidRDefault="00DB6E1F">
      <w:pPr>
        <w:pStyle w:val="BodyText"/>
        <w:spacing w:before="8"/>
        <w:rPr>
          <w:sz w:val="14"/>
        </w:rPr>
      </w:pPr>
    </w:p>
    <w:p w14:paraId="1C109E43" w14:textId="77777777" w:rsidR="00DB6E1F" w:rsidRDefault="00F666A6">
      <w:pPr>
        <w:pStyle w:val="BodyText"/>
        <w:spacing w:before="56"/>
        <w:ind w:left="1439" w:right="1499"/>
      </w:pPr>
      <w:r>
        <w:t>MI and motivational enhancement therapy are effective in improving treatment adherence to and retention in SUD treatment for certain substances (e.g., cocaine), especially for clients who enter treatment</w:t>
      </w:r>
      <w:r>
        <w:rPr>
          <w:spacing w:val="-4"/>
        </w:rPr>
        <w:t xml:space="preserve"> </w:t>
      </w:r>
      <w:r>
        <w:t>with</w:t>
      </w:r>
      <w:r>
        <w:rPr>
          <w:spacing w:val="-3"/>
        </w:rPr>
        <w:t xml:space="preserve"> </w:t>
      </w:r>
      <w:r>
        <w:t>low</w:t>
      </w:r>
      <w:r>
        <w:rPr>
          <w:spacing w:val="-4"/>
        </w:rPr>
        <w:t xml:space="preserve"> </w:t>
      </w:r>
      <w:r>
        <w:t>motivation</w:t>
      </w:r>
      <w:r>
        <w:rPr>
          <w:spacing w:val="-3"/>
        </w:rPr>
        <w:t xml:space="preserve"> </w:t>
      </w:r>
      <w:r>
        <w:t>to</w:t>
      </w:r>
      <w:r>
        <w:rPr>
          <w:spacing w:val="-1"/>
        </w:rPr>
        <w:t xml:space="preserve"> </w:t>
      </w:r>
      <w:r>
        <w:t>change</w:t>
      </w:r>
      <w:r>
        <w:rPr>
          <w:spacing w:val="-4"/>
        </w:rPr>
        <w:t xml:space="preserve"> </w:t>
      </w:r>
      <w:r>
        <w:t>(DiClemente,</w:t>
      </w:r>
      <w:r>
        <w:rPr>
          <w:spacing w:val="-2"/>
        </w:rPr>
        <w:t xml:space="preserve"> </w:t>
      </w:r>
      <w:r>
        <w:t>Corno,</w:t>
      </w:r>
      <w:r>
        <w:rPr>
          <w:spacing w:val="-2"/>
        </w:rPr>
        <w:t xml:space="preserve"> </w:t>
      </w:r>
      <w:r>
        <w:t>Graydon,</w:t>
      </w:r>
      <w:r>
        <w:rPr>
          <w:spacing w:val="-4"/>
        </w:rPr>
        <w:t xml:space="preserve"> </w:t>
      </w:r>
      <w:r>
        <w:t>Wiprovnick,</w:t>
      </w:r>
      <w:r>
        <w:rPr>
          <w:spacing w:val="-2"/>
        </w:rPr>
        <w:t xml:space="preserve"> </w:t>
      </w:r>
      <w:r>
        <w:t>&amp;</w:t>
      </w:r>
      <w:r>
        <w:rPr>
          <w:spacing w:val="-4"/>
        </w:rPr>
        <w:t xml:space="preserve"> </w:t>
      </w:r>
      <w:r>
        <w:t>Knoblach,</w:t>
      </w:r>
      <w:r>
        <w:rPr>
          <w:spacing w:val="-2"/>
        </w:rPr>
        <w:t xml:space="preserve"> </w:t>
      </w:r>
      <w:r>
        <w:t>2017). Motivational-based strategies that increase client engagement and retention in SUD treatment and reduce client dropout are addressed below.</w:t>
      </w:r>
    </w:p>
    <w:p w14:paraId="44943E6A" w14:textId="77777777" w:rsidR="00DB6E1F" w:rsidRDefault="00DB6E1F">
      <w:pPr>
        <w:pStyle w:val="BodyText"/>
        <w:spacing w:before="5"/>
        <w:rPr>
          <w:sz w:val="16"/>
        </w:rPr>
      </w:pPr>
    </w:p>
    <w:p w14:paraId="062B4CB1" w14:textId="77777777" w:rsidR="00DB6E1F" w:rsidRDefault="00F666A6">
      <w:pPr>
        <w:pStyle w:val="Heading4"/>
      </w:pPr>
      <w:bookmarkStart w:id="189" w:name="Build_a_strong_counseling_alliance"/>
      <w:bookmarkEnd w:id="189"/>
      <w:r>
        <w:t>Build</w:t>
      </w:r>
      <w:r>
        <w:rPr>
          <w:spacing w:val="-8"/>
        </w:rPr>
        <w:t xml:space="preserve"> </w:t>
      </w:r>
      <w:r>
        <w:t>a</w:t>
      </w:r>
      <w:r>
        <w:rPr>
          <w:spacing w:val="-8"/>
        </w:rPr>
        <w:t xml:space="preserve"> </w:t>
      </w:r>
      <w:r>
        <w:t>strong</w:t>
      </w:r>
      <w:r>
        <w:rPr>
          <w:spacing w:val="-4"/>
        </w:rPr>
        <w:t xml:space="preserve"> </w:t>
      </w:r>
      <w:r>
        <w:t>counseling</w:t>
      </w:r>
      <w:r>
        <w:rPr>
          <w:spacing w:val="-8"/>
        </w:rPr>
        <w:t xml:space="preserve"> </w:t>
      </w:r>
      <w:r>
        <w:rPr>
          <w:spacing w:val="-2"/>
        </w:rPr>
        <w:t>alli</w:t>
      </w:r>
      <w:r>
        <w:rPr>
          <w:spacing w:val="-2"/>
        </w:rPr>
        <w:t>ance</w:t>
      </w:r>
    </w:p>
    <w:p w14:paraId="4629D028" w14:textId="77777777" w:rsidR="00DB6E1F" w:rsidRDefault="00F666A6">
      <w:pPr>
        <w:pStyle w:val="BodyText"/>
        <w:spacing w:before="83"/>
        <w:ind w:left="1439" w:right="1507"/>
      </w:pPr>
      <w:r>
        <w:t xml:space="preserve">As noted in Chapters 3 and 4, </w:t>
      </w:r>
      <w:r>
        <w:rPr>
          <w:b/>
        </w:rPr>
        <w:t>your counseling style is an important element for establishing rapport and</w:t>
      </w:r>
      <w:r>
        <w:rPr>
          <w:b/>
          <w:spacing w:val="-2"/>
        </w:rPr>
        <w:t xml:space="preserve"> </w:t>
      </w:r>
      <w:r>
        <w:rPr>
          <w:b/>
        </w:rPr>
        <w:t>building a</w:t>
      </w:r>
      <w:r>
        <w:rPr>
          <w:b/>
          <w:spacing w:val="-2"/>
        </w:rPr>
        <w:t xml:space="preserve"> </w:t>
      </w:r>
      <w:r>
        <w:rPr>
          <w:b/>
        </w:rPr>
        <w:t>trusting</w:t>
      </w:r>
      <w:r>
        <w:rPr>
          <w:b/>
          <w:spacing w:val="-2"/>
        </w:rPr>
        <w:t xml:space="preserve"> </w:t>
      </w:r>
      <w:r>
        <w:rPr>
          <w:b/>
        </w:rPr>
        <w:t>relationship</w:t>
      </w:r>
      <w:r>
        <w:rPr>
          <w:b/>
          <w:spacing w:val="-4"/>
        </w:rPr>
        <w:t xml:space="preserve"> </w:t>
      </w:r>
      <w:r>
        <w:rPr>
          <w:b/>
        </w:rPr>
        <w:t>with</w:t>
      </w:r>
      <w:r>
        <w:rPr>
          <w:b/>
          <w:spacing w:val="-4"/>
        </w:rPr>
        <w:t xml:space="preserve"> </w:t>
      </w:r>
      <w:r>
        <w:rPr>
          <w:b/>
        </w:rPr>
        <w:t>clients.</w:t>
      </w:r>
      <w:r>
        <w:rPr>
          <w:b/>
          <w:spacing w:val="-4"/>
        </w:rPr>
        <w:t xml:space="preserve"> </w:t>
      </w:r>
      <w:r>
        <w:t>MI</w:t>
      </w:r>
      <w:r>
        <w:rPr>
          <w:spacing w:val="-1"/>
        </w:rPr>
        <w:t xml:space="preserve"> </w:t>
      </w:r>
      <w:r>
        <w:t>strategies</w:t>
      </w:r>
      <w:r>
        <w:rPr>
          <w:spacing w:val="-3"/>
        </w:rPr>
        <w:t xml:space="preserve"> </w:t>
      </w:r>
      <w:r>
        <w:t>appropriate</w:t>
      </w:r>
      <w:r>
        <w:rPr>
          <w:spacing w:val="-3"/>
        </w:rPr>
        <w:t xml:space="preserve"> </w:t>
      </w:r>
      <w:r>
        <w:t>during</w:t>
      </w:r>
      <w:r>
        <w:rPr>
          <w:spacing w:val="-2"/>
        </w:rPr>
        <w:t xml:space="preserve"> </w:t>
      </w:r>
      <w:r>
        <w:t>the engaging</w:t>
      </w:r>
      <w:r>
        <w:rPr>
          <w:spacing w:val="-2"/>
        </w:rPr>
        <w:t xml:space="preserve"> </w:t>
      </w:r>
      <w:r>
        <w:t>process (see</w:t>
      </w:r>
      <w:r>
        <w:rPr>
          <w:spacing w:val="-4"/>
        </w:rPr>
        <w:t xml:space="preserve"> </w:t>
      </w:r>
      <w:r>
        <w:t>Chapter</w:t>
      </w:r>
      <w:r>
        <w:rPr>
          <w:spacing w:val="-5"/>
        </w:rPr>
        <w:t xml:space="preserve"> </w:t>
      </w:r>
      <w:r>
        <w:t>3)</w:t>
      </w:r>
      <w:r>
        <w:rPr>
          <w:spacing w:val="-1"/>
        </w:rPr>
        <w:t xml:space="preserve"> </w:t>
      </w:r>
      <w:r>
        <w:t>help</w:t>
      </w:r>
      <w:r>
        <w:rPr>
          <w:spacing w:val="-2"/>
        </w:rPr>
        <w:t xml:space="preserve"> </w:t>
      </w:r>
      <w:r>
        <w:t>you</w:t>
      </w:r>
      <w:r>
        <w:rPr>
          <w:spacing w:val="-3"/>
        </w:rPr>
        <w:t xml:space="preserve"> </w:t>
      </w:r>
      <w:r>
        <w:t>connect</w:t>
      </w:r>
      <w:r>
        <w:rPr>
          <w:spacing w:val="-2"/>
        </w:rPr>
        <w:t xml:space="preserve"> </w:t>
      </w:r>
      <w:r>
        <w:t>with</w:t>
      </w:r>
      <w:r>
        <w:rPr>
          <w:spacing w:val="-3"/>
        </w:rPr>
        <w:t xml:space="preserve"> </w:t>
      </w:r>
      <w:r>
        <w:t>and</w:t>
      </w:r>
      <w:r>
        <w:rPr>
          <w:spacing w:val="-3"/>
        </w:rPr>
        <w:t xml:space="preserve"> </w:t>
      </w:r>
      <w:r>
        <w:t>und</w:t>
      </w:r>
      <w:r>
        <w:t>erstand</w:t>
      </w:r>
      <w:r>
        <w:rPr>
          <w:spacing w:val="-5"/>
        </w:rPr>
        <w:t xml:space="preserve"> </w:t>
      </w:r>
      <w:r>
        <w:t>clients’</w:t>
      </w:r>
      <w:r>
        <w:rPr>
          <w:spacing w:val="-2"/>
        </w:rPr>
        <w:t xml:space="preserve"> </w:t>
      </w:r>
      <w:r>
        <w:t>unique</w:t>
      </w:r>
      <w:r>
        <w:rPr>
          <w:spacing w:val="-1"/>
        </w:rPr>
        <w:t xml:space="preserve"> </w:t>
      </w:r>
      <w:r>
        <w:t>perspectives</w:t>
      </w:r>
      <w:r>
        <w:rPr>
          <w:spacing w:val="-2"/>
        </w:rPr>
        <w:t xml:space="preserve"> </w:t>
      </w:r>
      <w:r>
        <w:t>and</w:t>
      </w:r>
      <w:r>
        <w:rPr>
          <w:spacing w:val="-3"/>
        </w:rPr>
        <w:t xml:space="preserve"> </w:t>
      </w:r>
      <w:r>
        <w:t>personal</w:t>
      </w:r>
      <w:r>
        <w:rPr>
          <w:spacing w:val="-2"/>
        </w:rPr>
        <w:t xml:space="preserve"> </w:t>
      </w:r>
      <w:r>
        <w:t>values. For example, empathy, as expressed through reflective listening, is key in developing rapport with clients and predicts positive treatment alliance and client outcomes (Anderson, Crowley, Himawan, Holmberg, &amp; Uhlin, 2016; Miller &amp; Moyers, 2015; Moy</w:t>
      </w:r>
      <w:r>
        <w:t>ers, 2014; Moyers, Houck, Rice, Longabaugh, &amp; Miller, 2016).</w:t>
      </w:r>
    </w:p>
    <w:p w14:paraId="4D236EAA" w14:textId="77777777" w:rsidR="00DB6E1F" w:rsidRDefault="00F666A6">
      <w:pPr>
        <w:pStyle w:val="BodyText"/>
        <w:spacing w:before="160"/>
        <w:ind w:left="1437" w:right="1491" w:firstLine="1"/>
      </w:pPr>
      <w:r>
        <w:rPr>
          <w:b/>
        </w:rPr>
        <w:t xml:space="preserve">To help clients confide in you, make them feel comfortable and safe within the treatment setting. </w:t>
      </w:r>
      <w:r>
        <w:t>Clients’ natural reactions may depend on such factors as their gender, age, race, ethnicity, sexu</w:t>
      </w:r>
      <w:r>
        <w:t>al or gender</w:t>
      </w:r>
      <w:r>
        <w:rPr>
          <w:spacing w:val="-2"/>
        </w:rPr>
        <w:t xml:space="preserve"> </w:t>
      </w:r>
      <w:r>
        <w:t>identity,</w:t>
      </w:r>
      <w:r>
        <w:rPr>
          <w:spacing w:val="-2"/>
        </w:rPr>
        <w:t xml:space="preserve"> </w:t>
      </w:r>
      <w:r>
        <w:t>and</w:t>
      </w:r>
      <w:r>
        <w:rPr>
          <w:spacing w:val="-3"/>
        </w:rPr>
        <w:t xml:space="preserve"> </w:t>
      </w:r>
      <w:r>
        <w:t>previous</w:t>
      </w:r>
      <w:r>
        <w:rPr>
          <w:spacing w:val="-2"/>
        </w:rPr>
        <w:t xml:space="preserve"> </w:t>
      </w:r>
      <w:r>
        <w:t>experience.</w:t>
      </w:r>
      <w:r>
        <w:rPr>
          <w:spacing w:val="-2"/>
        </w:rPr>
        <w:t xml:space="preserve"> </w:t>
      </w:r>
      <w:r>
        <w:t>For</w:t>
      </w:r>
      <w:r>
        <w:rPr>
          <w:spacing w:val="-2"/>
        </w:rPr>
        <w:t xml:space="preserve"> </w:t>
      </w:r>
      <w:r>
        <w:t>example,</w:t>
      </w:r>
      <w:r>
        <w:rPr>
          <w:spacing w:val="-2"/>
        </w:rPr>
        <w:t xml:space="preserve"> </w:t>
      </w:r>
      <w:r>
        <w:t>some</w:t>
      </w:r>
      <w:r>
        <w:rPr>
          <w:spacing w:val="-4"/>
        </w:rPr>
        <w:t xml:space="preserve"> </w:t>
      </w:r>
      <w:r>
        <w:t>ethnic</w:t>
      </w:r>
      <w:r>
        <w:rPr>
          <w:spacing w:val="-4"/>
        </w:rPr>
        <w:t xml:space="preserve"> </w:t>
      </w:r>
      <w:r>
        <w:t>or</w:t>
      </w:r>
      <w:r>
        <w:rPr>
          <w:spacing w:val="-2"/>
        </w:rPr>
        <w:t xml:space="preserve"> </w:t>
      </w:r>
      <w:r>
        <w:t>racial</w:t>
      </w:r>
      <w:r>
        <w:rPr>
          <w:spacing w:val="-2"/>
        </w:rPr>
        <w:t xml:space="preserve"> </w:t>
      </w:r>
      <w:r>
        <w:t>groups</w:t>
      </w:r>
      <w:r>
        <w:rPr>
          <w:spacing w:val="-2"/>
        </w:rPr>
        <w:t xml:space="preserve"> </w:t>
      </w:r>
      <w:r>
        <w:t>may</w:t>
      </w:r>
      <w:r>
        <w:rPr>
          <w:spacing w:val="-1"/>
        </w:rPr>
        <w:t xml:space="preserve"> </w:t>
      </w:r>
      <w:r>
        <w:t>be</w:t>
      </w:r>
      <w:r>
        <w:rPr>
          <w:spacing w:val="-2"/>
        </w:rPr>
        <w:t xml:space="preserve"> </w:t>
      </w:r>
      <w:r>
        <w:t>hesitant</w:t>
      </w:r>
      <w:r>
        <w:rPr>
          <w:spacing w:val="-4"/>
        </w:rPr>
        <w:t xml:space="preserve"> </w:t>
      </w:r>
      <w:r>
        <w:t>to enter treatment based on negative life experiences, discrimination, or problems encountered with earlier episodes of treatment. Initially, for thes</w:t>
      </w:r>
      <w:r>
        <w:t>e clients and others who have been marginalized or experienced trauma, safety in the treatment setting is a particularly important issue. (See the section “Special Applications of Motivational Interventions” in Chapter 2 for culturally responsive ways to e</w:t>
      </w:r>
      <w:r>
        <w:t>ngage clients in treatment.) You should also consider gender differences regarding the importance of establishing a strong counseling alliance. For example, one study found that women who received intensive MI</w:t>
      </w:r>
      <w:r>
        <w:rPr>
          <w:spacing w:val="-1"/>
        </w:rPr>
        <w:t xml:space="preserve"> </w:t>
      </w:r>
      <w:r>
        <w:t>over nine sessions (versus a single session) s</w:t>
      </w:r>
      <w:r>
        <w:t>howed significantly higher counseling alliance and better alcohol use outcomes than men did (Korcha, Polcin, Evans, Bond, &amp; Galloway, 2015).</w:t>
      </w:r>
    </w:p>
    <w:p w14:paraId="63594B51" w14:textId="77777777" w:rsidR="00DB6E1F" w:rsidRDefault="00DB6E1F">
      <w:pPr>
        <w:pStyle w:val="BodyText"/>
        <w:spacing w:before="7"/>
        <w:rPr>
          <w:sz w:val="16"/>
        </w:rPr>
      </w:pPr>
    </w:p>
    <w:p w14:paraId="73AB6147" w14:textId="77777777" w:rsidR="00DB6E1F" w:rsidRDefault="00F666A6">
      <w:pPr>
        <w:pStyle w:val="Heading4"/>
        <w:jc w:val="both"/>
      </w:pPr>
      <w:bookmarkStart w:id="190" w:name="Inform_clients_about_program_rules_and_e"/>
      <w:bookmarkEnd w:id="190"/>
      <w:r>
        <w:t>Inform</w:t>
      </w:r>
      <w:r>
        <w:rPr>
          <w:spacing w:val="-7"/>
        </w:rPr>
        <w:t xml:space="preserve"> </w:t>
      </w:r>
      <w:r>
        <w:t>clients</w:t>
      </w:r>
      <w:r>
        <w:rPr>
          <w:spacing w:val="-8"/>
        </w:rPr>
        <w:t xml:space="preserve"> </w:t>
      </w:r>
      <w:r>
        <w:t>about</w:t>
      </w:r>
      <w:r>
        <w:rPr>
          <w:spacing w:val="-7"/>
        </w:rPr>
        <w:t xml:space="preserve"> </w:t>
      </w:r>
      <w:r>
        <w:t>program</w:t>
      </w:r>
      <w:r>
        <w:rPr>
          <w:spacing w:val="-6"/>
        </w:rPr>
        <w:t xml:space="preserve"> </w:t>
      </w:r>
      <w:r>
        <w:t>rules</w:t>
      </w:r>
      <w:r>
        <w:rPr>
          <w:spacing w:val="-8"/>
        </w:rPr>
        <w:t xml:space="preserve"> </w:t>
      </w:r>
      <w:r>
        <w:t>and</w:t>
      </w:r>
      <w:r>
        <w:rPr>
          <w:spacing w:val="-6"/>
        </w:rPr>
        <w:t xml:space="preserve"> </w:t>
      </w:r>
      <w:r>
        <w:rPr>
          <w:spacing w:val="-2"/>
        </w:rPr>
        <w:t>expectations</w:t>
      </w:r>
    </w:p>
    <w:p w14:paraId="10BFCE7E" w14:textId="77777777" w:rsidR="00DB6E1F" w:rsidRDefault="00F666A6">
      <w:pPr>
        <w:pStyle w:val="BodyText"/>
        <w:spacing w:before="84"/>
        <w:ind w:left="1440"/>
        <w:jc w:val="both"/>
      </w:pPr>
      <w:r>
        <w:t>Clients</w:t>
      </w:r>
      <w:r>
        <w:rPr>
          <w:spacing w:val="-8"/>
        </w:rPr>
        <w:t xml:space="preserve"> </w:t>
      </w:r>
      <w:r>
        <w:t>must</w:t>
      </w:r>
      <w:r>
        <w:rPr>
          <w:spacing w:val="-4"/>
        </w:rPr>
        <w:t xml:space="preserve"> </w:t>
      </w:r>
      <w:r>
        <w:t>become</w:t>
      </w:r>
      <w:r>
        <w:rPr>
          <w:spacing w:val="-3"/>
        </w:rPr>
        <w:t xml:space="preserve"> </w:t>
      </w:r>
      <w:r>
        <w:t>acquainted</w:t>
      </w:r>
      <w:r>
        <w:rPr>
          <w:spacing w:val="-5"/>
        </w:rPr>
        <w:t xml:space="preserve"> </w:t>
      </w:r>
      <w:r>
        <w:t>with</w:t>
      </w:r>
      <w:r>
        <w:rPr>
          <w:spacing w:val="-7"/>
        </w:rPr>
        <w:t xml:space="preserve"> </w:t>
      </w:r>
      <w:r>
        <w:t>you</w:t>
      </w:r>
      <w:r>
        <w:rPr>
          <w:spacing w:val="-5"/>
        </w:rPr>
        <w:t xml:space="preserve"> </w:t>
      </w:r>
      <w:r>
        <w:t>and</w:t>
      </w:r>
      <w:r>
        <w:rPr>
          <w:spacing w:val="-5"/>
        </w:rPr>
        <w:t xml:space="preserve"> </w:t>
      </w:r>
      <w:r>
        <w:t>the</w:t>
      </w:r>
      <w:r>
        <w:rPr>
          <w:spacing w:val="-6"/>
        </w:rPr>
        <w:t xml:space="preserve"> </w:t>
      </w:r>
      <w:r>
        <w:t>treatment</w:t>
      </w:r>
      <w:r>
        <w:rPr>
          <w:spacing w:val="-3"/>
        </w:rPr>
        <w:t xml:space="preserve"> </w:t>
      </w:r>
      <w:r>
        <w:t>prog</w:t>
      </w:r>
      <w:r>
        <w:t>ram.</w:t>
      </w:r>
      <w:r>
        <w:rPr>
          <w:spacing w:val="-7"/>
        </w:rPr>
        <w:t xml:space="preserve"> </w:t>
      </w:r>
      <w:r>
        <w:t>To</w:t>
      </w:r>
      <w:r>
        <w:rPr>
          <w:spacing w:val="-5"/>
        </w:rPr>
        <w:t xml:space="preserve"> </w:t>
      </w:r>
      <w:r>
        <w:t>accomplish</w:t>
      </w:r>
      <w:r>
        <w:rPr>
          <w:spacing w:val="-5"/>
        </w:rPr>
        <w:t xml:space="preserve"> </w:t>
      </w:r>
      <w:r>
        <w:rPr>
          <w:spacing w:val="-2"/>
        </w:rPr>
        <w:t>this:</w:t>
      </w:r>
    </w:p>
    <w:p w14:paraId="29616841" w14:textId="77777777" w:rsidR="00DB6E1F" w:rsidRDefault="00F666A6">
      <w:pPr>
        <w:pStyle w:val="ListParagraph"/>
        <w:numPr>
          <w:ilvl w:val="0"/>
          <w:numId w:val="92"/>
        </w:numPr>
        <w:tabs>
          <w:tab w:val="left" w:pos="1800"/>
        </w:tabs>
        <w:ind w:left="1799" w:right="1659" w:hanging="360"/>
        <w:jc w:val="both"/>
        <w:rPr>
          <w:rFonts w:ascii="Symbol" w:hAnsi="Symbol"/>
        </w:rPr>
      </w:pPr>
      <w:r>
        <w:t>Tell</w:t>
      </w:r>
      <w:r>
        <w:rPr>
          <w:spacing w:val="-2"/>
        </w:rPr>
        <w:t xml:space="preserve"> </w:t>
      </w:r>
      <w:r>
        <w:t>clients</w:t>
      </w:r>
      <w:r>
        <w:rPr>
          <w:spacing w:val="-2"/>
        </w:rPr>
        <w:t xml:space="preserve"> </w:t>
      </w:r>
      <w:r>
        <w:t>explicitly</w:t>
      </w:r>
      <w:r>
        <w:rPr>
          <w:spacing w:val="-3"/>
        </w:rPr>
        <w:t xml:space="preserve"> </w:t>
      </w:r>
      <w:r>
        <w:t>what</w:t>
      </w:r>
      <w:r>
        <w:rPr>
          <w:spacing w:val="-4"/>
        </w:rPr>
        <w:t xml:space="preserve"> </w:t>
      </w:r>
      <w:r>
        <w:t>treatment</w:t>
      </w:r>
      <w:r>
        <w:rPr>
          <w:spacing w:val="-1"/>
        </w:rPr>
        <w:t xml:space="preserve"> </w:t>
      </w:r>
      <w:r>
        <w:t>involves,</w:t>
      </w:r>
      <w:r>
        <w:rPr>
          <w:spacing w:val="-2"/>
        </w:rPr>
        <w:t xml:space="preserve"> </w:t>
      </w:r>
      <w:r>
        <w:t>what</w:t>
      </w:r>
      <w:r>
        <w:rPr>
          <w:spacing w:val="-1"/>
        </w:rPr>
        <w:t xml:space="preserve"> </w:t>
      </w:r>
      <w:r>
        <w:t>is</w:t>
      </w:r>
      <w:r>
        <w:rPr>
          <w:spacing w:val="-4"/>
        </w:rPr>
        <w:t xml:space="preserve"> </w:t>
      </w:r>
      <w:r>
        <w:t>expected</w:t>
      </w:r>
      <w:r>
        <w:rPr>
          <w:spacing w:val="-5"/>
        </w:rPr>
        <w:t xml:space="preserve"> </w:t>
      </w:r>
      <w:r>
        <w:t>of</w:t>
      </w:r>
      <w:r>
        <w:rPr>
          <w:spacing w:val="-2"/>
        </w:rPr>
        <w:t xml:space="preserve"> </w:t>
      </w:r>
      <w:r>
        <w:t>them,</w:t>
      </w:r>
      <w:r>
        <w:rPr>
          <w:spacing w:val="-4"/>
        </w:rPr>
        <w:t xml:space="preserve"> </w:t>
      </w:r>
      <w:r>
        <w:t>and</w:t>
      </w:r>
      <w:r>
        <w:rPr>
          <w:spacing w:val="-3"/>
        </w:rPr>
        <w:t xml:space="preserve"> </w:t>
      </w:r>
      <w:r>
        <w:t>what</w:t>
      </w:r>
      <w:r>
        <w:rPr>
          <w:spacing w:val="-1"/>
        </w:rPr>
        <w:t xml:space="preserve"> </w:t>
      </w:r>
      <w:r>
        <w:t>rules</w:t>
      </w:r>
      <w:r>
        <w:rPr>
          <w:spacing w:val="-4"/>
        </w:rPr>
        <w:t xml:space="preserve"> </w:t>
      </w:r>
      <w:r>
        <w:t>they</w:t>
      </w:r>
      <w:r>
        <w:rPr>
          <w:spacing w:val="-3"/>
        </w:rPr>
        <w:t xml:space="preserve"> </w:t>
      </w:r>
      <w:r>
        <w:t>must follow. If clients have not been prepared</w:t>
      </w:r>
      <w:r>
        <w:rPr>
          <w:spacing w:val="-2"/>
        </w:rPr>
        <w:t xml:space="preserve"> </w:t>
      </w:r>
      <w:r>
        <w:t>by a</w:t>
      </w:r>
      <w:r>
        <w:rPr>
          <w:spacing w:val="-1"/>
        </w:rPr>
        <w:t xml:space="preserve"> </w:t>
      </w:r>
      <w:r>
        <w:t>referring source, review exactly what will happen in treatment to eliminate and confusion.</w:t>
      </w:r>
    </w:p>
    <w:p w14:paraId="18E94D19" w14:textId="77777777" w:rsidR="00DB6E1F" w:rsidRDefault="00F666A6">
      <w:pPr>
        <w:pStyle w:val="ListParagraph"/>
        <w:numPr>
          <w:ilvl w:val="0"/>
          <w:numId w:val="92"/>
        </w:numPr>
        <w:tabs>
          <w:tab w:val="left" w:pos="1800"/>
        </w:tabs>
        <w:spacing w:before="61"/>
        <w:ind w:left="1799"/>
        <w:jc w:val="both"/>
        <w:rPr>
          <w:rFonts w:ascii="Symbol" w:hAnsi="Symbol"/>
        </w:rPr>
      </w:pPr>
      <w:r>
        <w:t>Use</w:t>
      </w:r>
      <w:r>
        <w:rPr>
          <w:spacing w:val="-4"/>
        </w:rPr>
        <w:t xml:space="preserve"> </w:t>
      </w:r>
      <w:r>
        <w:t>language</w:t>
      </w:r>
      <w:r>
        <w:rPr>
          <w:spacing w:val="-3"/>
        </w:rPr>
        <w:t xml:space="preserve"> </w:t>
      </w:r>
      <w:r>
        <w:t>clients</w:t>
      </w:r>
      <w:r>
        <w:rPr>
          <w:spacing w:val="-4"/>
        </w:rPr>
        <w:t xml:space="preserve"> </w:t>
      </w:r>
      <w:r>
        <w:rPr>
          <w:spacing w:val="-2"/>
        </w:rPr>
        <w:t>understand.</w:t>
      </w:r>
    </w:p>
    <w:p w14:paraId="493F767F" w14:textId="77777777" w:rsidR="00DB6E1F" w:rsidRDefault="00F666A6">
      <w:pPr>
        <w:pStyle w:val="ListParagraph"/>
        <w:numPr>
          <w:ilvl w:val="0"/>
          <w:numId w:val="92"/>
        </w:numPr>
        <w:tabs>
          <w:tab w:val="left" w:pos="1800"/>
        </w:tabs>
        <w:ind w:left="1799"/>
        <w:jc w:val="both"/>
        <w:rPr>
          <w:rFonts w:ascii="Symbol" w:hAnsi="Symbol"/>
        </w:rPr>
      </w:pPr>
      <w:r>
        <w:t>Encourage</w:t>
      </w:r>
      <w:r>
        <w:rPr>
          <w:spacing w:val="-6"/>
        </w:rPr>
        <w:t xml:space="preserve"> </w:t>
      </w:r>
      <w:r>
        <w:t>questions,</w:t>
      </w:r>
      <w:r>
        <w:rPr>
          <w:spacing w:val="-5"/>
        </w:rPr>
        <w:t xml:space="preserve"> </w:t>
      </w:r>
      <w:r>
        <w:t>and</w:t>
      </w:r>
      <w:r>
        <w:rPr>
          <w:spacing w:val="-7"/>
        </w:rPr>
        <w:t xml:space="preserve"> </w:t>
      </w:r>
      <w:r>
        <w:t>provide</w:t>
      </w:r>
      <w:r>
        <w:rPr>
          <w:spacing w:val="-6"/>
        </w:rPr>
        <w:t xml:space="preserve"> </w:t>
      </w:r>
      <w:r>
        <w:t>clarification</w:t>
      </w:r>
      <w:r>
        <w:rPr>
          <w:spacing w:val="-7"/>
        </w:rPr>
        <w:t xml:space="preserve"> </w:t>
      </w:r>
      <w:r>
        <w:t>of</w:t>
      </w:r>
      <w:r>
        <w:rPr>
          <w:spacing w:val="-5"/>
        </w:rPr>
        <w:t xml:space="preserve"> </w:t>
      </w:r>
      <w:r>
        <w:t>anything</w:t>
      </w:r>
      <w:r>
        <w:rPr>
          <w:spacing w:val="-5"/>
        </w:rPr>
        <w:t xml:space="preserve"> </w:t>
      </w:r>
      <w:r>
        <w:t>that</w:t>
      </w:r>
      <w:r>
        <w:rPr>
          <w:spacing w:val="-4"/>
        </w:rPr>
        <w:t xml:space="preserve"> </w:t>
      </w:r>
      <w:r>
        <w:t>seems</w:t>
      </w:r>
      <w:r>
        <w:rPr>
          <w:spacing w:val="-4"/>
        </w:rPr>
        <w:t xml:space="preserve"> </w:t>
      </w:r>
      <w:r>
        <w:rPr>
          <w:spacing w:val="-2"/>
        </w:rPr>
        <w:t>confusing.</w:t>
      </w:r>
    </w:p>
    <w:p w14:paraId="22B1CBBE" w14:textId="77777777" w:rsidR="00DB6E1F" w:rsidRDefault="00F666A6">
      <w:pPr>
        <w:pStyle w:val="ListParagraph"/>
        <w:numPr>
          <w:ilvl w:val="0"/>
          <w:numId w:val="92"/>
        </w:numPr>
        <w:tabs>
          <w:tab w:val="left" w:pos="1799"/>
          <w:tab w:val="left" w:pos="1800"/>
        </w:tabs>
        <w:spacing w:before="58"/>
        <w:ind w:left="1799" w:right="1548" w:hanging="360"/>
        <w:rPr>
          <w:rFonts w:ascii="Symbol" w:hAnsi="Symbol"/>
        </w:rPr>
      </w:pPr>
      <w:r>
        <w:t>Explain</w:t>
      </w:r>
      <w:r>
        <w:rPr>
          <w:spacing w:val="-3"/>
        </w:rPr>
        <w:t xml:space="preserve"> </w:t>
      </w:r>
      <w:r>
        <w:t>what</w:t>
      </w:r>
      <w:r>
        <w:rPr>
          <w:spacing w:val="-2"/>
        </w:rPr>
        <w:t xml:space="preserve"> </w:t>
      </w:r>
      <w:r>
        <w:t>information</w:t>
      </w:r>
      <w:r>
        <w:rPr>
          <w:spacing w:val="-5"/>
        </w:rPr>
        <w:t xml:space="preserve"> </w:t>
      </w:r>
      <w:r>
        <w:t>must</w:t>
      </w:r>
      <w:r>
        <w:rPr>
          <w:spacing w:val="-2"/>
        </w:rPr>
        <w:t xml:space="preserve"> </w:t>
      </w:r>
      <w:r>
        <w:t>be</w:t>
      </w:r>
      <w:r>
        <w:rPr>
          <w:spacing w:val="-1"/>
        </w:rPr>
        <w:t xml:space="preserve"> </w:t>
      </w:r>
      <w:r>
        <w:t>reported</w:t>
      </w:r>
      <w:r>
        <w:rPr>
          <w:spacing w:val="-5"/>
        </w:rPr>
        <w:t xml:space="preserve"> </w:t>
      </w:r>
      <w:r>
        <w:t>to</w:t>
      </w:r>
      <w:r>
        <w:rPr>
          <w:spacing w:val="-1"/>
        </w:rPr>
        <w:t xml:space="preserve"> </w:t>
      </w:r>
      <w:r>
        <w:t>a</w:t>
      </w:r>
      <w:r>
        <w:rPr>
          <w:spacing w:val="-2"/>
        </w:rPr>
        <w:t xml:space="preserve"> </w:t>
      </w:r>
      <w:r>
        <w:t>referring</w:t>
      </w:r>
      <w:r>
        <w:rPr>
          <w:spacing w:val="-3"/>
        </w:rPr>
        <w:t xml:space="preserve"> </w:t>
      </w:r>
      <w:r>
        <w:t>agency</w:t>
      </w:r>
      <w:r>
        <w:rPr>
          <w:spacing w:val="-1"/>
        </w:rPr>
        <w:t xml:space="preserve"> </w:t>
      </w:r>
      <w:r>
        <w:t>that</w:t>
      </w:r>
      <w:r>
        <w:rPr>
          <w:spacing w:val="-1"/>
        </w:rPr>
        <w:t xml:space="preserve"> </w:t>
      </w:r>
      <w:r>
        <w:t>has</w:t>
      </w:r>
      <w:r>
        <w:rPr>
          <w:spacing w:val="-4"/>
        </w:rPr>
        <w:t xml:space="preserve"> </w:t>
      </w:r>
      <w:r>
        <w:t>mandated</w:t>
      </w:r>
      <w:r>
        <w:rPr>
          <w:spacing w:val="-3"/>
        </w:rPr>
        <w:t xml:space="preserve"> </w:t>
      </w:r>
      <w:r>
        <w:t>the</w:t>
      </w:r>
      <w:r>
        <w:rPr>
          <w:spacing w:val="-4"/>
        </w:rPr>
        <w:t xml:space="preserve"> </w:t>
      </w:r>
      <w:r>
        <w:t>treatment, including what it means to consent to release of information. This discussion is part of the regular informed consent process that should happen when clients enter treatment.</w:t>
      </w:r>
    </w:p>
    <w:p w14:paraId="19E1F731" w14:textId="77777777" w:rsidR="00DB6E1F" w:rsidRDefault="00DB6E1F">
      <w:pPr>
        <w:pStyle w:val="BodyText"/>
        <w:spacing w:before="8"/>
        <w:rPr>
          <w:sz w:val="16"/>
        </w:rPr>
      </w:pPr>
    </w:p>
    <w:p w14:paraId="0CD4CB00" w14:textId="77777777" w:rsidR="00DB6E1F" w:rsidRDefault="00F666A6">
      <w:pPr>
        <w:pStyle w:val="Heading4"/>
      </w:pPr>
      <w:bookmarkStart w:id="191" w:name="Address_client_expectations_about_treatm"/>
      <w:bookmarkEnd w:id="191"/>
      <w:r>
        <w:t>Address</w:t>
      </w:r>
      <w:r>
        <w:rPr>
          <w:spacing w:val="-9"/>
        </w:rPr>
        <w:t xml:space="preserve"> </w:t>
      </w:r>
      <w:r>
        <w:t>client</w:t>
      </w:r>
      <w:r>
        <w:rPr>
          <w:spacing w:val="-9"/>
        </w:rPr>
        <w:t xml:space="preserve"> </w:t>
      </w:r>
      <w:r>
        <w:t>expectations</w:t>
      </w:r>
      <w:r>
        <w:rPr>
          <w:spacing w:val="-9"/>
        </w:rPr>
        <w:t xml:space="preserve"> </w:t>
      </w:r>
      <w:r>
        <w:t>ab</w:t>
      </w:r>
      <w:r>
        <w:t>out</w:t>
      </w:r>
      <w:r>
        <w:rPr>
          <w:spacing w:val="-10"/>
        </w:rPr>
        <w:t xml:space="preserve"> </w:t>
      </w:r>
      <w:r>
        <w:rPr>
          <w:spacing w:val="-2"/>
        </w:rPr>
        <w:t>treatment</w:t>
      </w:r>
    </w:p>
    <w:p w14:paraId="5A7C7B51" w14:textId="77777777" w:rsidR="00DB6E1F" w:rsidRDefault="00F666A6">
      <w:pPr>
        <w:spacing w:before="83"/>
        <w:ind w:left="1439" w:right="1491"/>
      </w:pPr>
      <w:r>
        <w:rPr>
          <w:b/>
        </w:rPr>
        <w:t>One of the first things you</w:t>
      </w:r>
      <w:r>
        <w:rPr>
          <w:b/>
          <w:spacing w:val="-2"/>
        </w:rPr>
        <w:t xml:space="preserve"> </w:t>
      </w:r>
      <w:r>
        <w:rPr>
          <w:b/>
        </w:rPr>
        <w:t>should discuss</w:t>
      </w:r>
      <w:r>
        <w:rPr>
          <w:b/>
          <w:spacing w:val="-1"/>
        </w:rPr>
        <w:t xml:space="preserve"> </w:t>
      </w:r>
      <w:r>
        <w:rPr>
          <w:b/>
        </w:rPr>
        <w:t>with new clients</w:t>
      </w:r>
      <w:r>
        <w:rPr>
          <w:b/>
          <w:spacing w:val="-1"/>
        </w:rPr>
        <w:t xml:space="preserve"> </w:t>
      </w:r>
      <w:r>
        <w:rPr>
          <w:b/>
        </w:rPr>
        <w:t>is their expectations</w:t>
      </w:r>
      <w:r>
        <w:rPr>
          <w:b/>
          <w:spacing w:val="-1"/>
        </w:rPr>
        <w:t xml:space="preserve"> </w:t>
      </w:r>
      <w:r>
        <w:rPr>
          <w:b/>
        </w:rPr>
        <w:t>about the treatment process.</w:t>
      </w:r>
      <w:r>
        <w:rPr>
          <w:b/>
          <w:spacing w:val="-1"/>
        </w:rPr>
        <w:t xml:space="preserve"> </w:t>
      </w:r>
      <w:r>
        <w:t>Ask</w:t>
      </w:r>
      <w:r>
        <w:rPr>
          <w:spacing w:val="-4"/>
        </w:rPr>
        <w:t xml:space="preserve"> </w:t>
      </w:r>
      <w:r>
        <w:t>clients</w:t>
      </w:r>
      <w:r>
        <w:rPr>
          <w:spacing w:val="-2"/>
        </w:rPr>
        <w:t xml:space="preserve"> </w:t>
      </w:r>
      <w:r>
        <w:t>about</w:t>
      </w:r>
      <w:r>
        <w:rPr>
          <w:spacing w:val="-1"/>
        </w:rPr>
        <w:t xml:space="preserve"> </w:t>
      </w:r>
      <w:r>
        <w:t>their</w:t>
      </w:r>
      <w:r>
        <w:rPr>
          <w:spacing w:val="-3"/>
        </w:rPr>
        <w:t xml:space="preserve"> </w:t>
      </w:r>
      <w:r>
        <w:t>past</w:t>
      </w:r>
      <w:r>
        <w:rPr>
          <w:spacing w:val="-1"/>
        </w:rPr>
        <w:t xml:space="preserve"> </w:t>
      </w:r>
      <w:r>
        <w:t>treatment</w:t>
      </w:r>
      <w:r>
        <w:rPr>
          <w:spacing w:val="-1"/>
        </w:rPr>
        <w:t xml:space="preserve"> </w:t>
      </w:r>
      <w:r>
        <w:t>experiences</w:t>
      </w:r>
      <w:r>
        <w:rPr>
          <w:spacing w:val="-2"/>
        </w:rPr>
        <w:t xml:space="preserve"> </w:t>
      </w:r>
      <w:r>
        <w:t>and</w:t>
      </w:r>
      <w:r>
        <w:rPr>
          <w:spacing w:val="-5"/>
        </w:rPr>
        <w:t xml:space="preserve"> </w:t>
      </w:r>
      <w:r>
        <w:t>what</w:t>
      </w:r>
      <w:r>
        <w:rPr>
          <w:spacing w:val="-4"/>
        </w:rPr>
        <w:t xml:space="preserve"> </w:t>
      </w:r>
      <w:r>
        <w:t>they</w:t>
      </w:r>
      <w:r>
        <w:rPr>
          <w:spacing w:val="-3"/>
        </w:rPr>
        <w:t xml:space="preserve"> </w:t>
      </w:r>
      <w:r>
        <w:t>think</w:t>
      </w:r>
      <w:r>
        <w:rPr>
          <w:spacing w:val="-4"/>
        </w:rPr>
        <w:t xml:space="preserve"> </w:t>
      </w:r>
      <w:r>
        <w:t>the</w:t>
      </w:r>
      <w:r>
        <w:rPr>
          <w:spacing w:val="-1"/>
        </w:rPr>
        <w:t xml:space="preserve"> </w:t>
      </w:r>
      <w:r>
        <w:t>current</w:t>
      </w:r>
      <w:r>
        <w:rPr>
          <w:spacing w:val="-4"/>
        </w:rPr>
        <w:t xml:space="preserve"> </w:t>
      </w:r>
      <w:r>
        <w:t>treatment experience will be like. Clients who a</w:t>
      </w:r>
      <w:r>
        <w:t>re in SUD treatment for the first time do not know much about what the counseling process entails and tend to underestimate the level of motivation, personal commitment, and responsibility required to take action to change (Raylu &amp; Kaur, 2012). This sugges</w:t>
      </w:r>
      <w:r>
        <w:t xml:space="preserve">ts that </w:t>
      </w:r>
      <w:r>
        <w:rPr>
          <w:b/>
        </w:rPr>
        <w:t xml:space="preserve">clients without previous SUD treatment experience benefit from discussions about treatment expectations and the importance of being open to the counseling process </w:t>
      </w:r>
      <w:r>
        <w:t>(Raylu &amp; Kaur, 2012).</w:t>
      </w:r>
    </w:p>
    <w:p w14:paraId="7493B4BB" w14:textId="77777777" w:rsidR="00DB6E1F" w:rsidRDefault="00DB6E1F">
      <w:pPr>
        <w:sectPr w:rsidR="00DB6E1F">
          <w:pgSz w:w="12240" w:h="15840"/>
          <w:pgMar w:top="1200" w:right="0" w:bottom="780" w:left="0" w:header="763" w:footer="585" w:gutter="0"/>
          <w:cols w:space="720"/>
        </w:sectPr>
      </w:pPr>
    </w:p>
    <w:p w14:paraId="61894FC2" w14:textId="77777777" w:rsidR="00DB6E1F" w:rsidRDefault="00DB6E1F">
      <w:pPr>
        <w:pStyle w:val="BodyText"/>
        <w:spacing w:before="8"/>
        <w:rPr>
          <w:sz w:val="14"/>
        </w:rPr>
      </w:pPr>
    </w:p>
    <w:p w14:paraId="6BC5BFFB" w14:textId="77777777" w:rsidR="00DB6E1F" w:rsidRDefault="00F666A6">
      <w:pPr>
        <w:spacing w:before="56"/>
        <w:ind w:left="1439" w:right="1491"/>
      </w:pPr>
      <w:r>
        <w:rPr>
          <w:b/>
        </w:rPr>
        <w:t>Ask clients for permission to explore their trea</w:t>
      </w:r>
      <w:r>
        <w:rPr>
          <w:b/>
        </w:rPr>
        <w:t xml:space="preserve">tment expectations. </w:t>
      </w:r>
      <w:r>
        <w:t>Ask for elaboration on their initial impressions</w:t>
      </w:r>
      <w:r>
        <w:rPr>
          <w:spacing w:val="-2"/>
        </w:rPr>
        <w:t xml:space="preserve"> </w:t>
      </w:r>
      <w:r>
        <w:t>as</w:t>
      </w:r>
      <w:r>
        <w:rPr>
          <w:spacing w:val="-4"/>
        </w:rPr>
        <w:t xml:space="preserve"> </w:t>
      </w:r>
      <w:r>
        <w:t>well</w:t>
      </w:r>
      <w:r>
        <w:rPr>
          <w:spacing w:val="-2"/>
        </w:rPr>
        <w:t xml:space="preserve"> </w:t>
      </w:r>
      <w:r>
        <w:t>as</w:t>
      </w:r>
      <w:r>
        <w:rPr>
          <w:spacing w:val="-4"/>
        </w:rPr>
        <w:t xml:space="preserve"> </w:t>
      </w:r>
      <w:r>
        <w:t>their</w:t>
      </w:r>
      <w:r>
        <w:rPr>
          <w:spacing w:val="-5"/>
        </w:rPr>
        <w:t xml:space="preserve"> </w:t>
      </w:r>
      <w:r>
        <w:t>expectations,</w:t>
      </w:r>
      <w:r>
        <w:rPr>
          <w:spacing w:val="-2"/>
        </w:rPr>
        <w:t xml:space="preserve"> </w:t>
      </w:r>
      <w:r>
        <w:t>hopes,</w:t>
      </w:r>
      <w:r>
        <w:rPr>
          <w:spacing w:val="-2"/>
        </w:rPr>
        <w:t xml:space="preserve"> </w:t>
      </w:r>
      <w:r>
        <w:t>and</w:t>
      </w:r>
      <w:r>
        <w:rPr>
          <w:spacing w:val="-3"/>
        </w:rPr>
        <w:t xml:space="preserve"> </w:t>
      </w:r>
      <w:r>
        <w:t>fears.</w:t>
      </w:r>
      <w:r>
        <w:rPr>
          <w:spacing w:val="-2"/>
        </w:rPr>
        <w:t xml:space="preserve"> </w:t>
      </w:r>
      <w:r>
        <w:t>Some</w:t>
      </w:r>
      <w:r>
        <w:rPr>
          <w:spacing w:val="-4"/>
        </w:rPr>
        <w:t xml:space="preserve"> </w:t>
      </w:r>
      <w:r>
        <w:t>common</w:t>
      </w:r>
      <w:r>
        <w:rPr>
          <w:spacing w:val="-3"/>
        </w:rPr>
        <w:t xml:space="preserve"> </w:t>
      </w:r>
      <w:r>
        <w:t>client</w:t>
      </w:r>
      <w:r>
        <w:rPr>
          <w:spacing w:val="-4"/>
        </w:rPr>
        <w:t xml:space="preserve"> </w:t>
      </w:r>
      <w:r>
        <w:t>fears</w:t>
      </w:r>
      <w:r>
        <w:rPr>
          <w:spacing w:val="-2"/>
        </w:rPr>
        <w:t xml:space="preserve"> </w:t>
      </w:r>
      <w:r>
        <w:t>about</w:t>
      </w:r>
      <w:r>
        <w:rPr>
          <w:spacing w:val="-1"/>
        </w:rPr>
        <w:t xml:space="preserve"> </w:t>
      </w:r>
      <w:r>
        <w:t>treatment are that:</w:t>
      </w:r>
    </w:p>
    <w:p w14:paraId="1C62FFB7" w14:textId="77777777" w:rsidR="00DB6E1F" w:rsidRDefault="00F666A6">
      <w:pPr>
        <w:pStyle w:val="ListParagraph"/>
        <w:numPr>
          <w:ilvl w:val="0"/>
          <w:numId w:val="92"/>
        </w:numPr>
        <w:tabs>
          <w:tab w:val="left" w:pos="1799"/>
          <w:tab w:val="left" w:pos="1800"/>
        </w:tabs>
        <w:spacing w:before="61"/>
        <w:ind w:left="1799"/>
        <w:rPr>
          <w:rFonts w:ascii="Symbol" w:hAnsi="Symbol"/>
        </w:rPr>
      </w:pPr>
      <w:r>
        <w:t>The</w:t>
      </w:r>
      <w:r>
        <w:rPr>
          <w:spacing w:val="-5"/>
        </w:rPr>
        <w:t xml:space="preserve"> </w:t>
      </w:r>
      <w:r>
        <w:t>counselor</w:t>
      </w:r>
      <w:r>
        <w:rPr>
          <w:spacing w:val="-4"/>
        </w:rPr>
        <w:t xml:space="preserve"> </w:t>
      </w:r>
      <w:r>
        <w:t>will</w:t>
      </w:r>
      <w:r>
        <w:rPr>
          <w:spacing w:val="-4"/>
        </w:rPr>
        <w:t xml:space="preserve"> </w:t>
      </w:r>
      <w:r>
        <w:t>be</w:t>
      </w:r>
      <w:r>
        <w:rPr>
          <w:spacing w:val="-3"/>
        </w:rPr>
        <w:t xml:space="preserve"> </w:t>
      </w:r>
      <w:r>
        <w:t>confrontational</w:t>
      </w:r>
      <w:r>
        <w:rPr>
          <w:spacing w:val="-4"/>
        </w:rPr>
        <w:t xml:space="preserve"> </w:t>
      </w:r>
      <w:r>
        <w:t>and</w:t>
      </w:r>
      <w:r>
        <w:rPr>
          <w:spacing w:val="-6"/>
        </w:rPr>
        <w:t xml:space="preserve"> </w:t>
      </w:r>
      <w:r>
        <w:t>force</w:t>
      </w:r>
      <w:r>
        <w:rPr>
          <w:spacing w:val="-4"/>
        </w:rPr>
        <w:t xml:space="preserve"> </w:t>
      </w:r>
      <w:r>
        <w:t>treatment</w:t>
      </w:r>
      <w:r>
        <w:rPr>
          <w:spacing w:val="-6"/>
        </w:rPr>
        <w:t xml:space="preserve"> </w:t>
      </w:r>
      <w:r>
        <w:t>goals</w:t>
      </w:r>
      <w:r>
        <w:rPr>
          <w:spacing w:val="-6"/>
        </w:rPr>
        <w:t xml:space="preserve"> </w:t>
      </w:r>
      <w:r>
        <w:t>on</w:t>
      </w:r>
      <w:r>
        <w:rPr>
          <w:spacing w:val="-6"/>
        </w:rPr>
        <w:t xml:space="preserve"> </w:t>
      </w:r>
      <w:r>
        <w:rPr>
          <w:spacing w:val="-2"/>
        </w:rPr>
        <w:t>them.</w:t>
      </w:r>
    </w:p>
    <w:p w14:paraId="1CF8C8F4" w14:textId="77777777" w:rsidR="00DB6E1F" w:rsidRDefault="00F666A6">
      <w:pPr>
        <w:pStyle w:val="ListParagraph"/>
        <w:numPr>
          <w:ilvl w:val="0"/>
          <w:numId w:val="92"/>
        </w:numPr>
        <w:tabs>
          <w:tab w:val="left" w:pos="1799"/>
          <w:tab w:val="left" w:pos="1800"/>
        </w:tabs>
        <w:spacing w:before="58"/>
        <w:ind w:left="1799"/>
        <w:rPr>
          <w:rFonts w:ascii="Symbol" w:hAnsi="Symbol"/>
        </w:rPr>
      </w:pPr>
      <w:r>
        <w:t>Treatment</w:t>
      </w:r>
      <w:r>
        <w:rPr>
          <w:spacing w:val="-7"/>
        </w:rPr>
        <w:t xml:space="preserve"> </w:t>
      </w:r>
      <w:r>
        <w:t>will</w:t>
      </w:r>
      <w:r>
        <w:rPr>
          <w:spacing w:val="-5"/>
        </w:rPr>
        <w:t xml:space="preserve"> </w:t>
      </w:r>
      <w:r>
        <w:t>take</w:t>
      </w:r>
      <w:r>
        <w:rPr>
          <w:spacing w:val="-4"/>
        </w:rPr>
        <w:t xml:space="preserve"> </w:t>
      </w:r>
      <w:r>
        <w:t>too</w:t>
      </w:r>
      <w:r>
        <w:rPr>
          <w:spacing w:val="-4"/>
        </w:rPr>
        <w:t xml:space="preserve"> </w:t>
      </w:r>
      <w:r>
        <w:t>long</w:t>
      </w:r>
      <w:r>
        <w:rPr>
          <w:spacing w:val="-3"/>
        </w:rPr>
        <w:t xml:space="preserve"> </w:t>
      </w:r>
      <w:r>
        <w:t>and</w:t>
      </w:r>
      <w:r>
        <w:rPr>
          <w:spacing w:val="-4"/>
        </w:rPr>
        <w:t xml:space="preserve"> </w:t>
      </w:r>
      <w:r>
        <w:t>require</w:t>
      </w:r>
      <w:r>
        <w:rPr>
          <w:spacing w:val="-1"/>
        </w:rPr>
        <w:t xml:space="preserve"> </w:t>
      </w:r>
      <w:r>
        <w:t>the</w:t>
      </w:r>
      <w:r>
        <w:rPr>
          <w:spacing w:val="-4"/>
        </w:rPr>
        <w:t xml:space="preserve"> </w:t>
      </w:r>
      <w:r>
        <w:t>client</w:t>
      </w:r>
      <w:r>
        <w:rPr>
          <w:spacing w:val="-5"/>
        </w:rPr>
        <w:t xml:space="preserve"> </w:t>
      </w:r>
      <w:r>
        <w:t>to</w:t>
      </w:r>
      <w:r>
        <w:rPr>
          <w:spacing w:val="-3"/>
        </w:rPr>
        <w:t xml:space="preserve"> </w:t>
      </w:r>
      <w:r>
        <w:t>give</w:t>
      </w:r>
      <w:r>
        <w:rPr>
          <w:spacing w:val="-2"/>
        </w:rPr>
        <w:t xml:space="preserve"> </w:t>
      </w:r>
      <w:r>
        <w:t>up</w:t>
      </w:r>
      <w:r>
        <w:rPr>
          <w:spacing w:val="-3"/>
        </w:rPr>
        <w:t xml:space="preserve"> </w:t>
      </w:r>
      <w:r>
        <w:t>too</w:t>
      </w:r>
      <w:r>
        <w:rPr>
          <w:spacing w:val="-3"/>
        </w:rPr>
        <w:t xml:space="preserve"> </w:t>
      </w:r>
      <w:r>
        <w:rPr>
          <w:spacing w:val="-2"/>
        </w:rPr>
        <w:t>much.</w:t>
      </w:r>
    </w:p>
    <w:p w14:paraId="0F41F855" w14:textId="77777777" w:rsidR="00DB6E1F" w:rsidRDefault="00F666A6">
      <w:pPr>
        <w:pStyle w:val="ListParagraph"/>
        <w:numPr>
          <w:ilvl w:val="0"/>
          <w:numId w:val="92"/>
        </w:numPr>
        <w:tabs>
          <w:tab w:val="left" w:pos="1799"/>
          <w:tab w:val="left" w:pos="1800"/>
        </w:tabs>
        <w:ind w:left="1799"/>
        <w:rPr>
          <w:rFonts w:ascii="Symbol" w:hAnsi="Symbol"/>
        </w:rPr>
      </w:pPr>
      <w:r>
        <w:t>The</w:t>
      </w:r>
      <w:r>
        <w:rPr>
          <w:spacing w:val="-5"/>
        </w:rPr>
        <w:t xml:space="preserve"> </w:t>
      </w:r>
      <w:r>
        <w:t>rules</w:t>
      </w:r>
      <w:r>
        <w:rPr>
          <w:spacing w:val="-5"/>
        </w:rPr>
        <w:t xml:space="preserve"> </w:t>
      </w:r>
      <w:r>
        <w:t>are</w:t>
      </w:r>
      <w:r>
        <w:rPr>
          <w:spacing w:val="-5"/>
        </w:rPr>
        <w:t xml:space="preserve"> </w:t>
      </w:r>
      <w:r>
        <w:t>too</w:t>
      </w:r>
      <w:r>
        <w:rPr>
          <w:spacing w:val="-3"/>
        </w:rPr>
        <w:t xml:space="preserve"> </w:t>
      </w:r>
      <w:r>
        <w:t>strict,</w:t>
      </w:r>
      <w:r>
        <w:rPr>
          <w:spacing w:val="-5"/>
        </w:rPr>
        <w:t xml:space="preserve"> </w:t>
      </w:r>
      <w:r>
        <w:t>and</w:t>
      </w:r>
      <w:r>
        <w:rPr>
          <w:spacing w:val="-4"/>
        </w:rPr>
        <w:t xml:space="preserve"> </w:t>
      </w:r>
      <w:r>
        <w:t>clients</w:t>
      </w:r>
      <w:r>
        <w:rPr>
          <w:spacing w:val="-6"/>
        </w:rPr>
        <w:t xml:space="preserve"> </w:t>
      </w:r>
      <w:r>
        <w:t>will</w:t>
      </w:r>
      <w:r>
        <w:rPr>
          <w:spacing w:val="-3"/>
        </w:rPr>
        <w:t xml:space="preserve"> </w:t>
      </w:r>
      <w:r>
        <w:t>be</w:t>
      </w:r>
      <w:r>
        <w:rPr>
          <w:spacing w:val="-2"/>
        </w:rPr>
        <w:t xml:space="preserve"> </w:t>
      </w:r>
      <w:r>
        <w:t>discharged</w:t>
      </w:r>
      <w:r>
        <w:rPr>
          <w:spacing w:val="-7"/>
        </w:rPr>
        <w:t xml:space="preserve"> </w:t>
      </w:r>
      <w:r>
        <w:t>for</w:t>
      </w:r>
      <w:r>
        <w:rPr>
          <w:spacing w:val="-3"/>
        </w:rPr>
        <w:t xml:space="preserve"> </w:t>
      </w:r>
      <w:r>
        <w:t>the</w:t>
      </w:r>
      <w:r>
        <w:rPr>
          <w:spacing w:val="-4"/>
        </w:rPr>
        <w:t xml:space="preserve"> </w:t>
      </w:r>
      <w:r>
        <w:t>smallest</w:t>
      </w:r>
      <w:r>
        <w:rPr>
          <w:spacing w:val="-5"/>
        </w:rPr>
        <w:t xml:space="preserve"> </w:t>
      </w:r>
      <w:r>
        <w:rPr>
          <w:spacing w:val="-2"/>
        </w:rPr>
        <w:t>mistake.</w:t>
      </w:r>
    </w:p>
    <w:p w14:paraId="70E0977D" w14:textId="77777777" w:rsidR="00DB6E1F" w:rsidRDefault="00F666A6">
      <w:pPr>
        <w:pStyle w:val="ListParagraph"/>
        <w:numPr>
          <w:ilvl w:val="0"/>
          <w:numId w:val="92"/>
        </w:numPr>
        <w:tabs>
          <w:tab w:val="left" w:pos="1799"/>
          <w:tab w:val="left" w:pos="1800"/>
        </w:tabs>
        <w:spacing w:before="61"/>
        <w:ind w:left="1799"/>
        <w:rPr>
          <w:rFonts w:ascii="Symbol" w:hAnsi="Symbol"/>
        </w:rPr>
      </w:pPr>
      <w:r>
        <w:t>Medication</w:t>
      </w:r>
      <w:r>
        <w:rPr>
          <w:spacing w:val="-10"/>
        </w:rPr>
        <w:t xml:space="preserve"> </w:t>
      </w:r>
      <w:r>
        <w:t>will</w:t>
      </w:r>
      <w:r>
        <w:rPr>
          <w:spacing w:val="-4"/>
        </w:rPr>
        <w:t xml:space="preserve"> </w:t>
      </w:r>
      <w:r>
        <w:t>not</w:t>
      </w:r>
      <w:r>
        <w:rPr>
          <w:spacing w:val="-5"/>
        </w:rPr>
        <w:t xml:space="preserve"> </w:t>
      </w:r>
      <w:r>
        <w:t>be</w:t>
      </w:r>
      <w:r>
        <w:rPr>
          <w:spacing w:val="-3"/>
        </w:rPr>
        <w:t xml:space="preserve"> </w:t>
      </w:r>
      <w:r>
        <w:t>prescribed</w:t>
      </w:r>
      <w:r>
        <w:rPr>
          <w:spacing w:val="-5"/>
        </w:rPr>
        <w:t xml:space="preserve"> </w:t>
      </w:r>
      <w:r>
        <w:t>for</w:t>
      </w:r>
      <w:r>
        <w:rPr>
          <w:spacing w:val="-8"/>
        </w:rPr>
        <w:t xml:space="preserve"> </w:t>
      </w:r>
      <w:r>
        <w:t>painful</w:t>
      </w:r>
      <w:r>
        <w:rPr>
          <w:spacing w:val="-4"/>
        </w:rPr>
        <w:t xml:space="preserve"> </w:t>
      </w:r>
      <w:r>
        <w:t>withdrawal</w:t>
      </w:r>
      <w:r>
        <w:rPr>
          <w:spacing w:val="-4"/>
        </w:rPr>
        <w:t xml:space="preserve"> </w:t>
      </w:r>
      <w:r>
        <w:rPr>
          <w:spacing w:val="-2"/>
        </w:rPr>
        <w:t>symptoms.</w:t>
      </w:r>
    </w:p>
    <w:p w14:paraId="7320829B" w14:textId="77777777" w:rsidR="00DB6E1F" w:rsidRDefault="00F666A6">
      <w:pPr>
        <w:pStyle w:val="ListParagraph"/>
        <w:numPr>
          <w:ilvl w:val="0"/>
          <w:numId w:val="92"/>
        </w:numPr>
        <w:tabs>
          <w:tab w:val="left" w:pos="1800"/>
          <w:tab w:val="left" w:pos="1801"/>
        </w:tabs>
        <w:ind w:left="1800" w:right="1827"/>
        <w:rPr>
          <w:rFonts w:ascii="Symbol" w:hAnsi="Symbol"/>
        </w:rPr>
      </w:pPr>
      <w:r>
        <w:t>The</w:t>
      </w:r>
      <w:r>
        <w:rPr>
          <w:spacing w:val="-2"/>
        </w:rPr>
        <w:t xml:space="preserve"> </w:t>
      </w:r>
      <w:r>
        <w:t>program</w:t>
      </w:r>
      <w:r>
        <w:rPr>
          <w:spacing w:val="-2"/>
        </w:rPr>
        <w:t xml:space="preserve"> </w:t>
      </w:r>
      <w:r>
        <w:t>does</w:t>
      </w:r>
      <w:r>
        <w:rPr>
          <w:spacing w:val="-5"/>
        </w:rPr>
        <w:t xml:space="preserve"> </w:t>
      </w:r>
      <w:r>
        <w:t>not</w:t>
      </w:r>
      <w:r>
        <w:rPr>
          <w:spacing w:val="-5"/>
        </w:rPr>
        <w:t xml:space="preserve"> </w:t>
      </w:r>
      <w:r>
        <w:t>understand</w:t>
      </w:r>
      <w:r>
        <w:rPr>
          <w:spacing w:val="-4"/>
        </w:rPr>
        <w:t xml:space="preserve"> </w:t>
      </w:r>
      <w:r>
        <w:t>women,</w:t>
      </w:r>
      <w:r>
        <w:rPr>
          <w:spacing w:val="-5"/>
        </w:rPr>
        <w:t xml:space="preserve"> </w:t>
      </w:r>
      <w:r>
        <w:t>members</w:t>
      </w:r>
      <w:r>
        <w:rPr>
          <w:spacing w:val="-5"/>
        </w:rPr>
        <w:t xml:space="preserve"> </w:t>
      </w:r>
      <w:r>
        <w:t>of</w:t>
      </w:r>
      <w:r>
        <w:rPr>
          <w:spacing w:val="-3"/>
        </w:rPr>
        <w:t xml:space="preserve"> </w:t>
      </w:r>
      <w:r>
        <w:t>different</w:t>
      </w:r>
      <w:r>
        <w:rPr>
          <w:spacing w:val="-3"/>
        </w:rPr>
        <w:t xml:space="preserve"> </w:t>
      </w:r>
      <w:r>
        <w:t>ethnic/racial</w:t>
      </w:r>
      <w:r>
        <w:rPr>
          <w:spacing w:val="-3"/>
        </w:rPr>
        <w:t xml:space="preserve"> </w:t>
      </w:r>
      <w:r>
        <w:t>groups,</w:t>
      </w:r>
      <w:r>
        <w:rPr>
          <w:spacing w:val="-5"/>
        </w:rPr>
        <w:t xml:space="preserve"> </w:t>
      </w:r>
      <w:r>
        <w:t>or</w:t>
      </w:r>
      <w:r>
        <w:rPr>
          <w:spacing w:val="-3"/>
        </w:rPr>
        <w:t xml:space="preserve"> </w:t>
      </w:r>
      <w:r>
        <w:t>people who use certain substances or combinations of substances.</w:t>
      </w:r>
    </w:p>
    <w:p w14:paraId="413F593D" w14:textId="77777777" w:rsidR="00DB6E1F" w:rsidRDefault="00F666A6">
      <w:pPr>
        <w:pStyle w:val="ListParagraph"/>
        <w:numPr>
          <w:ilvl w:val="0"/>
          <w:numId w:val="92"/>
        </w:numPr>
        <w:tabs>
          <w:tab w:val="left" w:pos="1800"/>
          <w:tab w:val="left" w:pos="1801"/>
        </w:tabs>
        <w:spacing w:before="56"/>
        <w:ind w:left="1800"/>
        <w:rPr>
          <w:rFonts w:ascii="Symbol" w:hAnsi="Symbol"/>
        </w:rPr>
      </w:pPr>
      <w:r>
        <w:t>A</w:t>
      </w:r>
      <w:r>
        <w:rPr>
          <w:spacing w:val="-5"/>
        </w:rPr>
        <w:t xml:space="preserve"> </w:t>
      </w:r>
      <w:r>
        <w:t>spouse</w:t>
      </w:r>
      <w:r>
        <w:rPr>
          <w:spacing w:val="-4"/>
        </w:rPr>
        <w:t xml:space="preserve"> </w:t>
      </w:r>
      <w:r>
        <w:t>or</w:t>
      </w:r>
      <w:r>
        <w:rPr>
          <w:spacing w:val="-4"/>
        </w:rPr>
        <w:t xml:space="preserve"> </w:t>
      </w:r>
      <w:r>
        <w:t>other</w:t>
      </w:r>
      <w:r>
        <w:rPr>
          <w:spacing w:val="-2"/>
        </w:rPr>
        <w:t xml:space="preserve"> </w:t>
      </w:r>
      <w:r>
        <w:t>family</w:t>
      </w:r>
      <w:r>
        <w:rPr>
          <w:spacing w:val="-3"/>
        </w:rPr>
        <w:t xml:space="preserve"> </w:t>
      </w:r>
      <w:r>
        <w:t>member</w:t>
      </w:r>
      <w:r>
        <w:rPr>
          <w:spacing w:val="-5"/>
        </w:rPr>
        <w:t xml:space="preserve"> </w:t>
      </w:r>
      <w:r>
        <w:t>will</w:t>
      </w:r>
      <w:r>
        <w:rPr>
          <w:spacing w:val="-2"/>
        </w:rPr>
        <w:t xml:space="preserve"> </w:t>
      </w:r>
      <w:r>
        <w:t>be</w:t>
      </w:r>
      <w:r>
        <w:rPr>
          <w:spacing w:val="-1"/>
        </w:rPr>
        <w:t xml:space="preserve"> </w:t>
      </w:r>
      <w:r>
        <w:t>required</w:t>
      </w:r>
      <w:r>
        <w:rPr>
          <w:spacing w:val="-5"/>
        </w:rPr>
        <w:t xml:space="preserve"> </w:t>
      </w:r>
      <w:r>
        <w:t>to</w:t>
      </w:r>
      <w:r>
        <w:rPr>
          <w:spacing w:val="-3"/>
        </w:rPr>
        <w:t xml:space="preserve"> </w:t>
      </w:r>
      <w:r>
        <w:rPr>
          <w:spacing w:val="-2"/>
        </w:rPr>
        <w:t>participate.</w:t>
      </w:r>
    </w:p>
    <w:p w14:paraId="364F466A" w14:textId="77777777" w:rsidR="00DB6E1F" w:rsidRDefault="00F666A6">
      <w:pPr>
        <w:spacing w:before="164"/>
        <w:ind w:left="1439" w:right="1491" w:firstLine="1"/>
        <w:rPr>
          <w:b/>
        </w:rPr>
      </w:pPr>
      <w:r>
        <w:t xml:space="preserve">Many clients have negative expectations based on previous treatment. A motivational approach can help you understand their concerns, which is especially important for clients who feel forced into treatment by someone else (e.g., by an employer, the court, </w:t>
      </w:r>
      <w:r>
        <w:t>a spouse). When clients have unrealistic expectations, like believing the treatment program will get their driver’s license reinstated or restore a marriage,</w:t>
      </w:r>
      <w:r>
        <w:rPr>
          <w:spacing w:val="-3"/>
        </w:rPr>
        <w:t xml:space="preserve"> </w:t>
      </w:r>
      <w:r>
        <w:t>be</w:t>
      </w:r>
      <w:r>
        <w:rPr>
          <w:spacing w:val="-3"/>
        </w:rPr>
        <w:t xml:space="preserve"> </w:t>
      </w:r>
      <w:r>
        <w:t>open</w:t>
      </w:r>
      <w:r>
        <w:rPr>
          <w:spacing w:val="-2"/>
        </w:rPr>
        <w:t xml:space="preserve"> </w:t>
      </w:r>
      <w:r>
        <w:t>and</w:t>
      </w:r>
      <w:r>
        <w:rPr>
          <w:spacing w:val="-2"/>
        </w:rPr>
        <w:t xml:space="preserve"> </w:t>
      </w:r>
      <w:r>
        <w:t>honest about</w:t>
      </w:r>
      <w:r>
        <w:rPr>
          <w:spacing w:val="-3"/>
        </w:rPr>
        <w:t xml:space="preserve"> </w:t>
      </w:r>
      <w:r>
        <w:t>what the program can</w:t>
      </w:r>
      <w:r>
        <w:rPr>
          <w:spacing w:val="-4"/>
        </w:rPr>
        <w:t xml:space="preserve"> </w:t>
      </w:r>
      <w:r>
        <w:t>and</w:t>
      </w:r>
      <w:r>
        <w:rPr>
          <w:spacing w:val="-2"/>
        </w:rPr>
        <w:t xml:space="preserve"> </w:t>
      </w:r>
      <w:r>
        <w:t>cannot</w:t>
      </w:r>
      <w:r>
        <w:rPr>
          <w:spacing w:val="-3"/>
        </w:rPr>
        <w:t xml:space="preserve"> </w:t>
      </w:r>
      <w:r>
        <w:t>do.</w:t>
      </w:r>
      <w:r>
        <w:rPr>
          <w:spacing w:val="-3"/>
        </w:rPr>
        <w:t xml:space="preserve"> </w:t>
      </w:r>
      <w:r>
        <w:rPr>
          <w:b/>
        </w:rPr>
        <w:t>Use</w:t>
      </w:r>
      <w:r>
        <w:rPr>
          <w:b/>
          <w:spacing w:val="-4"/>
        </w:rPr>
        <w:t xml:space="preserve"> </w:t>
      </w:r>
      <w:r>
        <w:rPr>
          <w:b/>
        </w:rPr>
        <w:t>OARS</w:t>
      </w:r>
      <w:r>
        <w:rPr>
          <w:b/>
          <w:spacing w:val="-2"/>
        </w:rPr>
        <w:t xml:space="preserve"> </w:t>
      </w:r>
      <w:r>
        <w:rPr>
          <w:b/>
        </w:rPr>
        <w:t>(Open</w:t>
      </w:r>
      <w:r>
        <w:rPr>
          <w:b/>
          <w:spacing w:val="-2"/>
        </w:rPr>
        <w:t xml:space="preserve"> </w:t>
      </w:r>
      <w:r>
        <w:rPr>
          <w:b/>
        </w:rPr>
        <w:t>questions, Affirmation</w:t>
      </w:r>
      <w:r>
        <w:rPr>
          <w:b/>
        </w:rPr>
        <w:t>s, Reflective listening, and Summarization) to explore negative expectations about treatment and the client’s hopes about what treatment can accomplish.</w:t>
      </w:r>
    </w:p>
    <w:p w14:paraId="1A4D0E67" w14:textId="77777777" w:rsidR="00DB6E1F" w:rsidRDefault="00DB6E1F">
      <w:pPr>
        <w:pStyle w:val="BodyText"/>
        <w:spacing w:before="6"/>
        <w:rPr>
          <w:b/>
          <w:sz w:val="16"/>
        </w:rPr>
      </w:pPr>
    </w:p>
    <w:p w14:paraId="192E3A3F" w14:textId="77777777" w:rsidR="00DB6E1F" w:rsidRDefault="00F666A6">
      <w:pPr>
        <w:pStyle w:val="Heading4"/>
      </w:pPr>
      <w:bookmarkStart w:id="192" w:name="Explore_and_resolve_barriers_to_completi"/>
      <w:bookmarkEnd w:id="192"/>
      <w:r>
        <w:t>Explore</w:t>
      </w:r>
      <w:r>
        <w:rPr>
          <w:spacing w:val="-10"/>
        </w:rPr>
        <w:t xml:space="preserve"> </w:t>
      </w:r>
      <w:r>
        <w:t>and</w:t>
      </w:r>
      <w:r>
        <w:rPr>
          <w:spacing w:val="-7"/>
        </w:rPr>
        <w:t xml:space="preserve"> </w:t>
      </w:r>
      <w:r>
        <w:t>resolve</w:t>
      </w:r>
      <w:r>
        <w:rPr>
          <w:spacing w:val="-10"/>
        </w:rPr>
        <w:t xml:space="preserve"> </w:t>
      </w:r>
      <w:r>
        <w:t>barriers</w:t>
      </w:r>
      <w:r>
        <w:rPr>
          <w:spacing w:val="-8"/>
        </w:rPr>
        <w:t xml:space="preserve"> </w:t>
      </w:r>
      <w:r>
        <w:t>to</w:t>
      </w:r>
      <w:r>
        <w:rPr>
          <w:spacing w:val="-7"/>
        </w:rPr>
        <w:t xml:space="preserve"> </w:t>
      </w:r>
      <w:r>
        <w:t>completing</w:t>
      </w:r>
      <w:r>
        <w:rPr>
          <w:spacing w:val="-7"/>
        </w:rPr>
        <w:t xml:space="preserve"> </w:t>
      </w:r>
      <w:r>
        <w:rPr>
          <w:spacing w:val="-2"/>
        </w:rPr>
        <w:t>treatment</w:t>
      </w:r>
    </w:p>
    <w:p w14:paraId="1D7D388A" w14:textId="77777777" w:rsidR="00DB6E1F" w:rsidRDefault="00F666A6">
      <w:pPr>
        <w:spacing w:before="83"/>
        <w:ind w:left="1440" w:right="1507"/>
        <w:rPr>
          <w:b/>
        </w:rPr>
      </w:pPr>
      <w:r>
        <w:rPr>
          <w:b/>
        </w:rPr>
        <w:t>Work with clients to brainstorm and explore solut</w:t>
      </w:r>
      <w:r>
        <w:rPr>
          <w:b/>
        </w:rPr>
        <w:t xml:space="preserve">ions to common issues. </w:t>
      </w:r>
      <w:r>
        <w:t>As treatment progresses, clients may experience barriers that slow their success and could result in them stopping treatment early. Sometimes clients do not feel ready to participate or suddenly rethink their decision to enter treatm</w:t>
      </w:r>
      <w:r>
        <w:t xml:space="preserve">ent. Rethinking participation in treatment is a sign that clients may have returned to the Contemplation stage. If this is the case, reengage the client using the motivational strategies discussed in Chapter 5. </w:t>
      </w:r>
      <w:r>
        <w:rPr>
          <w:b/>
        </w:rPr>
        <w:t>If clients are clearly not ready to participa</w:t>
      </w:r>
      <w:r>
        <w:rPr>
          <w:b/>
        </w:rPr>
        <w:t>te in specialized treatment, leave the door open</w:t>
      </w:r>
      <w:r>
        <w:rPr>
          <w:b/>
          <w:spacing w:val="-2"/>
        </w:rPr>
        <w:t xml:space="preserve"> </w:t>
      </w:r>
      <w:r>
        <w:rPr>
          <w:b/>
        </w:rPr>
        <w:t>for them</w:t>
      </w:r>
      <w:r>
        <w:rPr>
          <w:b/>
          <w:spacing w:val="-1"/>
        </w:rPr>
        <w:t xml:space="preserve"> </w:t>
      </w:r>
      <w:r>
        <w:rPr>
          <w:b/>
        </w:rPr>
        <w:t>to</w:t>
      </w:r>
      <w:r>
        <w:rPr>
          <w:b/>
          <w:spacing w:val="-2"/>
        </w:rPr>
        <w:t xml:space="preserve"> </w:t>
      </w:r>
      <w:r>
        <w:rPr>
          <w:b/>
        </w:rPr>
        <w:t>return</w:t>
      </w:r>
      <w:r>
        <w:rPr>
          <w:b/>
          <w:spacing w:val="-2"/>
        </w:rPr>
        <w:t xml:space="preserve"> </w:t>
      </w:r>
      <w:r>
        <w:rPr>
          <w:b/>
        </w:rPr>
        <w:t>at</w:t>
      </w:r>
      <w:r>
        <w:rPr>
          <w:b/>
          <w:spacing w:val="-3"/>
        </w:rPr>
        <w:t xml:space="preserve"> </w:t>
      </w:r>
      <w:r>
        <w:rPr>
          <w:b/>
        </w:rPr>
        <w:t>another time,</w:t>
      </w:r>
      <w:r>
        <w:rPr>
          <w:b/>
          <w:spacing w:val="-3"/>
        </w:rPr>
        <w:t xml:space="preserve"> </w:t>
      </w:r>
      <w:r>
        <w:rPr>
          <w:b/>
        </w:rPr>
        <w:t>and</w:t>
      </w:r>
      <w:r>
        <w:rPr>
          <w:b/>
          <w:spacing w:val="-2"/>
        </w:rPr>
        <w:t xml:space="preserve"> </w:t>
      </w:r>
      <w:r>
        <w:rPr>
          <w:b/>
        </w:rPr>
        <w:t>provide</w:t>
      </w:r>
      <w:r>
        <w:rPr>
          <w:b/>
          <w:spacing w:val="-4"/>
        </w:rPr>
        <w:t xml:space="preserve"> </w:t>
      </w:r>
      <w:r>
        <w:rPr>
          <w:b/>
        </w:rPr>
        <w:t>a</w:t>
      </w:r>
      <w:r>
        <w:rPr>
          <w:b/>
          <w:spacing w:val="-2"/>
        </w:rPr>
        <w:t xml:space="preserve"> </w:t>
      </w:r>
      <w:r>
        <w:rPr>
          <w:b/>
        </w:rPr>
        <w:t>menu</w:t>
      </w:r>
      <w:r>
        <w:rPr>
          <w:b/>
          <w:spacing w:val="-2"/>
        </w:rPr>
        <w:t xml:space="preserve"> </w:t>
      </w:r>
      <w:r>
        <w:rPr>
          <w:b/>
        </w:rPr>
        <w:t>of</w:t>
      </w:r>
      <w:r>
        <w:rPr>
          <w:b/>
          <w:spacing w:val="-1"/>
        </w:rPr>
        <w:t xml:space="preserve"> </w:t>
      </w:r>
      <w:r>
        <w:rPr>
          <w:b/>
        </w:rPr>
        <w:t>options for</w:t>
      </w:r>
      <w:r>
        <w:rPr>
          <w:b/>
          <w:spacing w:val="-3"/>
        </w:rPr>
        <w:t xml:space="preserve"> </w:t>
      </w:r>
      <w:r>
        <w:rPr>
          <w:b/>
        </w:rPr>
        <w:t>referral</w:t>
      </w:r>
      <w:r>
        <w:rPr>
          <w:b/>
          <w:spacing w:val="-2"/>
        </w:rPr>
        <w:t xml:space="preserve"> </w:t>
      </w:r>
      <w:r>
        <w:rPr>
          <w:b/>
        </w:rPr>
        <w:t>to</w:t>
      </w:r>
      <w:r>
        <w:rPr>
          <w:b/>
          <w:spacing w:val="-2"/>
        </w:rPr>
        <w:t xml:space="preserve"> </w:t>
      </w:r>
      <w:r>
        <w:rPr>
          <w:b/>
        </w:rPr>
        <w:t>other services.</w:t>
      </w:r>
    </w:p>
    <w:p w14:paraId="67EEBBB4" w14:textId="77777777" w:rsidR="00DB6E1F" w:rsidRDefault="00F666A6">
      <w:pPr>
        <w:pStyle w:val="BodyText"/>
        <w:spacing w:before="160"/>
        <w:ind w:left="1440"/>
      </w:pPr>
      <w:r>
        <w:t>During</w:t>
      </w:r>
      <w:r>
        <w:rPr>
          <w:spacing w:val="-8"/>
        </w:rPr>
        <w:t xml:space="preserve"> </w:t>
      </w:r>
      <w:r>
        <w:t>treatment,</w:t>
      </w:r>
      <w:r>
        <w:rPr>
          <w:spacing w:val="-4"/>
        </w:rPr>
        <w:t xml:space="preserve"> </w:t>
      </w:r>
      <w:r>
        <w:t>clients</w:t>
      </w:r>
      <w:r>
        <w:rPr>
          <w:spacing w:val="-7"/>
        </w:rPr>
        <w:t xml:space="preserve"> </w:t>
      </w:r>
      <w:r>
        <w:t>may</w:t>
      </w:r>
      <w:r>
        <w:rPr>
          <w:spacing w:val="-5"/>
        </w:rPr>
        <w:t xml:space="preserve"> </w:t>
      </w:r>
      <w:r>
        <w:t>have</w:t>
      </w:r>
      <w:r>
        <w:rPr>
          <w:spacing w:val="-4"/>
        </w:rPr>
        <w:t xml:space="preserve"> </w:t>
      </w:r>
      <w:r>
        <w:t>negative</w:t>
      </w:r>
      <w:r>
        <w:rPr>
          <w:spacing w:val="-6"/>
        </w:rPr>
        <w:t xml:space="preserve"> </w:t>
      </w:r>
      <w:r>
        <w:t>reactions</w:t>
      </w:r>
      <w:r>
        <w:rPr>
          <w:spacing w:val="-5"/>
        </w:rPr>
        <w:t xml:space="preserve"> </w:t>
      </w:r>
      <w:r>
        <w:t>or</w:t>
      </w:r>
      <w:r>
        <w:rPr>
          <w:spacing w:val="-6"/>
        </w:rPr>
        <w:t xml:space="preserve"> </w:t>
      </w:r>
      <w:r>
        <w:t>embarrassing</w:t>
      </w:r>
      <w:r>
        <w:rPr>
          <w:spacing w:val="-6"/>
        </w:rPr>
        <w:t xml:space="preserve"> </w:t>
      </w:r>
      <w:r>
        <w:t>moments</w:t>
      </w:r>
      <w:r>
        <w:rPr>
          <w:spacing w:val="-4"/>
        </w:rPr>
        <w:t xml:space="preserve"> </w:t>
      </w:r>
      <w:r>
        <w:t>when</w:t>
      </w:r>
      <w:r>
        <w:rPr>
          <w:spacing w:val="-7"/>
        </w:rPr>
        <w:t xml:space="preserve"> </w:t>
      </w:r>
      <w:r>
        <w:rPr>
          <w:spacing w:val="-2"/>
        </w:rPr>
        <w:t>they:</w:t>
      </w:r>
    </w:p>
    <w:p w14:paraId="4CA3E3B9" w14:textId="77777777" w:rsidR="00DB6E1F" w:rsidRDefault="00F666A6">
      <w:pPr>
        <w:pStyle w:val="ListParagraph"/>
        <w:numPr>
          <w:ilvl w:val="0"/>
          <w:numId w:val="92"/>
        </w:numPr>
        <w:tabs>
          <w:tab w:val="left" w:pos="1800"/>
          <w:tab w:val="left" w:pos="1801"/>
        </w:tabs>
        <w:ind w:left="1800"/>
        <w:rPr>
          <w:rFonts w:ascii="Symbol" w:hAnsi="Symbol"/>
        </w:rPr>
      </w:pPr>
      <w:r>
        <w:t>Share</w:t>
      </w:r>
      <w:r>
        <w:rPr>
          <w:spacing w:val="-2"/>
        </w:rPr>
        <w:t xml:space="preserve"> </w:t>
      </w:r>
      <w:r>
        <w:t>with</w:t>
      </w:r>
      <w:r>
        <w:rPr>
          <w:spacing w:val="-5"/>
        </w:rPr>
        <w:t xml:space="preserve"> </w:t>
      </w:r>
      <w:r>
        <w:t>you</w:t>
      </w:r>
      <w:r>
        <w:rPr>
          <w:spacing w:val="-5"/>
        </w:rPr>
        <w:t xml:space="preserve"> </w:t>
      </w:r>
      <w:r>
        <w:t>more</w:t>
      </w:r>
      <w:r>
        <w:rPr>
          <w:spacing w:val="-4"/>
        </w:rPr>
        <w:t xml:space="preserve"> </w:t>
      </w:r>
      <w:r>
        <w:t>than</w:t>
      </w:r>
      <w:r>
        <w:rPr>
          <w:spacing w:val="-3"/>
        </w:rPr>
        <w:t xml:space="preserve"> </w:t>
      </w:r>
      <w:r>
        <w:t>they</w:t>
      </w:r>
      <w:r>
        <w:rPr>
          <w:spacing w:val="-3"/>
        </w:rPr>
        <w:t xml:space="preserve"> </w:t>
      </w:r>
      <w:r>
        <w:t>had</w:t>
      </w:r>
      <w:r>
        <w:rPr>
          <w:spacing w:val="-2"/>
        </w:rPr>
        <w:t xml:space="preserve"> </w:t>
      </w:r>
      <w:r>
        <w:t>planned</w:t>
      </w:r>
      <w:r>
        <w:rPr>
          <w:spacing w:val="-3"/>
        </w:rPr>
        <w:t xml:space="preserve"> </w:t>
      </w:r>
      <w:r>
        <w:t>to</w:t>
      </w:r>
      <w:r>
        <w:rPr>
          <w:spacing w:val="-1"/>
        </w:rPr>
        <w:t xml:space="preserve"> </w:t>
      </w:r>
      <w:r>
        <w:rPr>
          <w:spacing w:val="-2"/>
        </w:rPr>
        <w:t>share.</w:t>
      </w:r>
    </w:p>
    <w:p w14:paraId="4664094C" w14:textId="77777777" w:rsidR="00DB6E1F" w:rsidRDefault="00F666A6">
      <w:pPr>
        <w:pStyle w:val="ListParagraph"/>
        <w:numPr>
          <w:ilvl w:val="0"/>
          <w:numId w:val="92"/>
        </w:numPr>
        <w:tabs>
          <w:tab w:val="left" w:pos="1800"/>
          <w:tab w:val="left" w:pos="1801"/>
        </w:tabs>
        <w:spacing w:before="61"/>
        <w:ind w:left="1800"/>
        <w:rPr>
          <w:rFonts w:ascii="Symbol" w:hAnsi="Symbol"/>
        </w:rPr>
      </w:pPr>
      <w:r>
        <w:t>Experience</w:t>
      </w:r>
      <w:r>
        <w:rPr>
          <w:spacing w:val="-4"/>
        </w:rPr>
        <w:t xml:space="preserve"> </w:t>
      </w:r>
      <w:r>
        <w:t>intense</w:t>
      </w:r>
      <w:r>
        <w:rPr>
          <w:spacing w:val="-7"/>
        </w:rPr>
        <w:t xml:space="preserve"> </w:t>
      </w:r>
      <w:r>
        <w:t>or</w:t>
      </w:r>
      <w:r>
        <w:rPr>
          <w:spacing w:val="-7"/>
        </w:rPr>
        <w:t xml:space="preserve"> </w:t>
      </w:r>
      <w:r>
        <w:t>overwhelming</w:t>
      </w:r>
      <w:r>
        <w:rPr>
          <w:spacing w:val="-7"/>
        </w:rPr>
        <w:t xml:space="preserve"> </w:t>
      </w:r>
      <w:r>
        <w:rPr>
          <w:spacing w:val="-2"/>
        </w:rPr>
        <w:t>emotions.</w:t>
      </w:r>
    </w:p>
    <w:p w14:paraId="06C58154" w14:textId="77777777" w:rsidR="00DB6E1F" w:rsidRDefault="00F666A6">
      <w:pPr>
        <w:pStyle w:val="ListParagraph"/>
        <w:numPr>
          <w:ilvl w:val="0"/>
          <w:numId w:val="92"/>
        </w:numPr>
        <w:tabs>
          <w:tab w:val="left" w:pos="1800"/>
          <w:tab w:val="left" w:pos="1801"/>
        </w:tabs>
        <w:ind w:left="1800"/>
        <w:rPr>
          <w:rFonts w:ascii="Symbol" w:hAnsi="Symbol"/>
        </w:rPr>
      </w:pPr>
      <w:r>
        <w:t>Realize</w:t>
      </w:r>
      <w:r>
        <w:rPr>
          <w:spacing w:val="-4"/>
        </w:rPr>
        <w:t xml:space="preserve"> </w:t>
      </w:r>
      <w:r>
        <w:t>the</w:t>
      </w:r>
      <w:r>
        <w:rPr>
          <w:spacing w:val="-5"/>
        </w:rPr>
        <w:t xml:space="preserve"> </w:t>
      </w:r>
      <w:r>
        <w:t>mismatch</w:t>
      </w:r>
      <w:r>
        <w:rPr>
          <w:spacing w:val="-5"/>
        </w:rPr>
        <w:t xml:space="preserve"> </w:t>
      </w:r>
      <w:r>
        <w:t>in</w:t>
      </w:r>
      <w:r>
        <w:rPr>
          <w:spacing w:val="-5"/>
        </w:rPr>
        <w:t xml:space="preserve"> </w:t>
      </w:r>
      <w:r>
        <w:t>information</w:t>
      </w:r>
      <w:r>
        <w:rPr>
          <w:spacing w:val="-7"/>
        </w:rPr>
        <w:t xml:space="preserve"> </w:t>
      </w:r>
      <w:r>
        <w:t>they</w:t>
      </w:r>
      <w:r>
        <w:rPr>
          <w:spacing w:val="-3"/>
        </w:rPr>
        <w:t xml:space="preserve"> </w:t>
      </w:r>
      <w:r>
        <w:t>have</w:t>
      </w:r>
      <w:r>
        <w:rPr>
          <w:spacing w:val="-4"/>
        </w:rPr>
        <w:t xml:space="preserve"> </w:t>
      </w:r>
      <w:r>
        <w:t>given</w:t>
      </w:r>
      <w:r>
        <w:rPr>
          <w:spacing w:val="-4"/>
        </w:rPr>
        <w:t xml:space="preserve"> you.</w:t>
      </w:r>
    </w:p>
    <w:p w14:paraId="61FF2963" w14:textId="77777777" w:rsidR="00DB6E1F" w:rsidRDefault="00F666A6">
      <w:pPr>
        <w:pStyle w:val="ListParagraph"/>
        <w:numPr>
          <w:ilvl w:val="0"/>
          <w:numId w:val="92"/>
        </w:numPr>
        <w:tabs>
          <w:tab w:val="left" w:pos="1800"/>
          <w:tab w:val="left" w:pos="1801"/>
        </w:tabs>
        <w:spacing w:before="56"/>
        <w:ind w:left="1800"/>
        <w:rPr>
          <w:rFonts w:ascii="Symbol" w:hAnsi="Symbol"/>
        </w:rPr>
      </w:pPr>
      <w:r>
        <w:t>Realize</w:t>
      </w:r>
      <w:r>
        <w:rPr>
          <w:spacing w:val="-2"/>
        </w:rPr>
        <w:t xml:space="preserve"> </w:t>
      </w:r>
      <w:r>
        <w:t>how</w:t>
      </w:r>
      <w:r>
        <w:rPr>
          <w:spacing w:val="-4"/>
        </w:rPr>
        <w:t xml:space="preserve"> </w:t>
      </w:r>
      <w:r>
        <w:t>they</w:t>
      </w:r>
      <w:r>
        <w:rPr>
          <w:spacing w:val="-4"/>
        </w:rPr>
        <w:t xml:space="preserve"> </w:t>
      </w:r>
      <w:r>
        <w:t>have</w:t>
      </w:r>
      <w:r>
        <w:rPr>
          <w:spacing w:val="-1"/>
        </w:rPr>
        <w:t xml:space="preserve"> </w:t>
      </w:r>
      <w:r>
        <w:t>hurt</w:t>
      </w:r>
      <w:r>
        <w:rPr>
          <w:spacing w:val="-4"/>
        </w:rPr>
        <w:t xml:space="preserve"> </w:t>
      </w:r>
      <w:r>
        <w:t>others</w:t>
      </w:r>
      <w:r>
        <w:rPr>
          <w:spacing w:val="-5"/>
        </w:rPr>
        <w:t xml:space="preserve"> </w:t>
      </w:r>
      <w:r>
        <w:t>or</w:t>
      </w:r>
      <w:r>
        <w:rPr>
          <w:spacing w:val="-2"/>
        </w:rPr>
        <w:t xml:space="preserve"> </w:t>
      </w:r>
      <w:r>
        <w:t>their</w:t>
      </w:r>
      <w:r>
        <w:rPr>
          <w:spacing w:val="-4"/>
        </w:rPr>
        <w:t xml:space="preserve"> </w:t>
      </w:r>
      <w:r>
        <w:t>own</w:t>
      </w:r>
      <w:r>
        <w:rPr>
          <w:spacing w:val="-3"/>
        </w:rPr>
        <w:t xml:space="preserve"> </w:t>
      </w:r>
      <w:r>
        <w:rPr>
          <w:spacing w:val="-2"/>
        </w:rPr>
        <w:t>futures.</w:t>
      </w:r>
    </w:p>
    <w:p w14:paraId="14E3ABCF" w14:textId="77777777" w:rsidR="00DB6E1F" w:rsidRDefault="00F666A6">
      <w:pPr>
        <w:pStyle w:val="Heading5"/>
        <w:spacing w:before="163"/>
      </w:pPr>
      <w:r>
        <w:t>You</w:t>
      </w:r>
      <w:r>
        <w:rPr>
          <w:spacing w:val="-5"/>
        </w:rPr>
        <w:t xml:space="preserve"> </w:t>
      </w:r>
      <w:r>
        <w:t>can</w:t>
      </w:r>
      <w:r>
        <w:rPr>
          <w:spacing w:val="-5"/>
        </w:rPr>
        <w:t xml:space="preserve"> </w:t>
      </w:r>
      <w:r>
        <w:t>deal</w:t>
      </w:r>
      <w:r>
        <w:rPr>
          <w:spacing w:val="-3"/>
        </w:rPr>
        <w:t xml:space="preserve"> </w:t>
      </w:r>
      <w:r>
        <w:t>with</w:t>
      </w:r>
      <w:r>
        <w:rPr>
          <w:spacing w:val="-4"/>
        </w:rPr>
        <w:t xml:space="preserve"> </w:t>
      </w:r>
      <w:r>
        <w:t>these</w:t>
      </w:r>
      <w:r>
        <w:rPr>
          <w:spacing w:val="-5"/>
        </w:rPr>
        <w:t xml:space="preserve"> </w:t>
      </w:r>
      <w:r>
        <w:t>difficult</w:t>
      </w:r>
      <w:r>
        <w:rPr>
          <w:spacing w:val="-3"/>
        </w:rPr>
        <w:t xml:space="preserve"> </w:t>
      </w:r>
      <w:r>
        <w:t>reactions</w:t>
      </w:r>
      <w:r>
        <w:rPr>
          <w:spacing w:val="-3"/>
        </w:rPr>
        <w:t xml:space="preserve"> </w:t>
      </w:r>
      <w:r>
        <w:rPr>
          <w:spacing w:val="-5"/>
        </w:rPr>
        <w:t>by:</w:t>
      </w:r>
    </w:p>
    <w:p w14:paraId="7D42ECCD" w14:textId="77777777" w:rsidR="00DB6E1F" w:rsidRDefault="00F666A6">
      <w:pPr>
        <w:pStyle w:val="ListParagraph"/>
        <w:numPr>
          <w:ilvl w:val="0"/>
          <w:numId w:val="92"/>
        </w:numPr>
        <w:tabs>
          <w:tab w:val="left" w:pos="1800"/>
          <w:tab w:val="left" w:pos="1801"/>
        </w:tabs>
        <w:spacing w:before="61"/>
        <w:ind w:left="1800"/>
        <w:rPr>
          <w:rFonts w:ascii="Symbol" w:hAnsi="Symbol"/>
        </w:rPr>
      </w:pPr>
      <w:r>
        <w:t>Anticipating</w:t>
      </w:r>
      <w:r>
        <w:rPr>
          <w:spacing w:val="-5"/>
        </w:rPr>
        <w:t xml:space="preserve"> </w:t>
      </w:r>
      <w:r>
        <w:t>and</w:t>
      </w:r>
      <w:r>
        <w:rPr>
          <w:spacing w:val="-5"/>
        </w:rPr>
        <w:t xml:space="preserve"> </w:t>
      </w:r>
      <w:r>
        <w:t>discussing</w:t>
      </w:r>
      <w:r>
        <w:rPr>
          <w:spacing w:val="-4"/>
        </w:rPr>
        <w:t xml:space="preserve"> </w:t>
      </w:r>
      <w:r>
        <w:t>such</w:t>
      </w:r>
      <w:r>
        <w:rPr>
          <w:spacing w:val="-5"/>
        </w:rPr>
        <w:t xml:space="preserve"> </w:t>
      </w:r>
      <w:r>
        <w:t>problems</w:t>
      </w:r>
      <w:r>
        <w:rPr>
          <w:spacing w:val="-6"/>
        </w:rPr>
        <w:t xml:space="preserve"> </w:t>
      </w:r>
      <w:r>
        <w:t>before</w:t>
      </w:r>
      <w:r>
        <w:rPr>
          <w:spacing w:val="-3"/>
        </w:rPr>
        <w:t xml:space="preserve"> </w:t>
      </w:r>
      <w:r>
        <w:t>they</w:t>
      </w:r>
      <w:r>
        <w:rPr>
          <w:spacing w:val="-5"/>
        </w:rPr>
        <w:t xml:space="preserve"> </w:t>
      </w:r>
      <w:r>
        <w:rPr>
          <w:spacing w:val="-2"/>
        </w:rPr>
        <w:t>occur.</w:t>
      </w:r>
    </w:p>
    <w:p w14:paraId="0B83750E" w14:textId="77777777" w:rsidR="00DB6E1F" w:rsidRDefault="00F666A6">
      <w:pPr>
        <w:pStyle w:val="ListParagraph"/>
        <w:numPr>
          <w:ilvl w:val="0"/>
          <w:numId w:val="92"/>
        </w:numPr>
        <w:tabs>
          <w:tab w:val="left" w:pos="1800"/>
          <w:tab w:val="left" w:pos="1801"/>
        </w:tabs>
        <w:ind w:left="1800"/>
        <w:rPr>
          <w:rFonts w:ascii="Symbol" w:hAnsi="Symbol"/>
        </w:rPr>
      </w:pPr>
      <w:r>
        <w:t>Letting</w:t>
      </w:r>
      <w:r>
        <w:rPr>
          <w:spacing w:val="-7"/>
        </w:rPr>
        <w:t xml:space="preserve"> </w:t>
      </w:r>
      <w:r>
        <w:t>clients</w:t>
      </w:r>
      <w:r>
        <w:rPr>
          <w:spacing w:val="-5"/>
        </w:rPr>
        <w:t xml:space="preserve"> </w:t>
      </w:r>
      <w:r>
        <w:t>know</w:t>
      </w:r>
      <w:r>
        <w:rPr>
          <w:spacing w:val="-2"/>
        </w:rPr>
        <w:t xml:space="preserve"> </w:t>
      </w:r>
      <w:r>
        <w:t>that</w:t>
      </w:r>
      <w:r>
        <w:rPr>
          <w:spacing w:val="-2"/>
        </w:rPr>
        <w:t xml:space="preserve"> </w:t>
      </w:r>
      <w:r>
        <w:t>these</w:t>
      </w:r>
      <w:r>
        <w:rPr>
          <w:spacing w:val="-2"/>
        </w:rPr>
        <w:t xml:space="preserve"> </w:t>
      </w:r>
      <w:r>
        <w:t>reactions</w:t>
      </w:r>
      <w:r>
        <w:rPr>
          <w:spacing w:val="-4"/>
        </w:rPr>
        <w:t xml:space="preserve"> </w:t>
      </w:r>
      <w:r>
        <w:t>are</w:t>
      </w:r>
      <w:r>
        <w:rPr>
          <w:spacing w:val="-2"/>
        </w:rPr>
        <w:t xml:space="preserve"> </w:t>
      </w:r>
      <w:r>
        <w:t>a</w:t>
      </w:r>
      <w:r>
        <w:rPr>
          <w:spacing w:val="-4"/>
        </w:rPr>
        <w:t xml:space="preserve"> </w:t>
      </w:r>
      <w:r>
        <w:t>normal</w:t>
      </w:r>
      <w:r>
        <w:rPr>
          <w:spacing w:val="-6"/>
        </w:rPr>
        <w:t xml:space="preserve"> </w:t>
      </w:r>
      <w:r>
        <w:t>part</w:t>
      </w:r>
      <w:r>
        <w:rPr>
          <w:spacing w:val="-2"/>
        </w:rPr>
        <w:t xml:space="preserve"> </w:t>
      </w:r>
      <w:r>
        <w:t>of</w:t>
      </w:r>
      <w:r>
        <w:rPr>
          <w:spacing w:val="-7"/>
        </w:rPr>
        <w:t xml:space="preserve"> </w:t>
      </w:r>
      <w:r>
        <w:t>the</w:t>
      </w:r>
      <w:r>
        <w:rPr>
          <w:spacing w:val="-2"/>
        </w:rPr>
        <w:t xml:space="preserve"> </w:t>
      </w:r>
      <w:r>
        <w:t>recovery</w:t>
      </w:r>
      <w:r>
        <w:rPr>
          <w:spacing w:val="-2"/>
        </w:rPr>
        <w:t xml:space="preserve"> process.</w:t>
      </w:r>
    </w:p>
    <w:p w14:paraId="4D2E41DF" w14:textId="77777777" w:rsidR="00DB6E1F" w:rsidRDefault="00F666A6">
      <w:pPr>
        <w:pStyle w:val="ListParagraph"/>
        <w:numPr>
          <w:ilvl w:val="0"/>
          <w:numId w:val="92"/>
        </w:numPr>
        <w:tabs>
          <w:tab w:val="left" w:pos="1800"/>
          <w:tab w:val="left" w:pos="1801"/>
        </w:tabs>
        <w:spacing w:before="58"/>
        <w:ind w:left="1800"/>
        <w:rPr>
          <w:rFonts w:ascii="Symbol" w:hAnsi="Symbol"/>
        </w:rPr>
      </w:pPr>
      <w:r>
        <w:t>Working</w:t>
      </w:r>
      <w:r>
        <w:rPr>
          <w:spacing w:val="-8"/>
        </w:rPr>
        <w:t xml:space="preserve"> </w:t>
      </w:r>
      <w:r>
        <w:t>with</w:t>
      </w:r>
      <w:r>
        <w:rPr>
          <w:spacing w:val="-4"/>
        </w:rPr>
        <w:t xml:space="preserve"> </w:t>
      </w:r>
      <w:r>
        <w:t>clients</w:t>
      </w:r>
      <w:r>
        <w:rPr>
          <w:spacing w:val="-4"/>
        </w:rPr>
        <w:t xml:space="preserve"> </w:t>
      </w:r>
      <w:r>
        <w:t>to</w:t>
      </w:r>
      <w:r>
        <w:rPr>
          <w:spacing w:val="-4"/>
        </w:rPr>
        <w:t xml:space="preserve"> </w:t>
      </w:r>
      <w:r>
        <w:t>develop</w:t>
      </w:r>
      <w:r>
        <w:rPr>
          <w:spacing w:val="-3"/>
        </w:rPr>
        <w:t xml:space="preserve"> </w:t>
      </w:r>
      <w:r>
        <w:t>a</w:t>
      </w:r>
      <w:r>
        <w:rPr>
          <w:spacing w:val="-2"/>
        </w:rPr>
        <w:t xml:space="preserve"> </w:t>
      </w:r>
      <w:r>
        <w:t>plan</w:t>
      </w:r>
      <w:r>
        <w:rPr>
          <w:spacing w:val="-6"/>
        </w:rPr>
        <w:t xml:space="preserve"> </w:t>
      </w:r>
      <w:r>
        <w:t>to</w:t>
      </w:r>
      <w:r>
        <w:rPr>
          <w:spacing w:val="-3"/>
        </w:rPr>
        <w:t xml:space="preserve"> </w:t>
      </w:r>
      <w:r>
        <w:t>handle</w:t>
      </w:r>
      <w:r>
        <w:rPr>
          <w:spacing w:val="-2"/>
        </w:rPr>
        <w:t xml:space="preserve"> </w:t>
      </w:r>
      <w:r>
        <w:t>these</w:t>
      </w:r>
      <w:r>
        <w:rPr>
          <w:spacing w:val="-5"/>
        </w:rPr>
        <w:t xml:space="preserve"> </w:t>
      </w:r>
      <w:r>
        <w:t>difficult</w:t>
      </w:r>
      <w:r>
        <w:rPr>
          <w:spacing w:val="-1"/>
        </w:rPr>
        <w:t xml:space="preserve"> </w:t>
      </w:r>
      <w:r>
        <w:rPr>
          <w:spacing w:val="-2"/>
        </w:rPr>
        <w:t>reactions.</w:t>
      </w:r>
    </w:p>
    <w:p w14:paraId="02A1F32A" w14:textId="77777777" w:rsidR="00DB6E1F" w:rsidRDefault="00F666A6">
      <w:pPr>
        <w:pStyle w:val="ListParagraph"/>
        <w:numPr>
          <w:ilvl w:val="0"/>
          <w:numId w:val="92"/>
        </w:numPr>
        <w:tabs>
          <w:tab w:val="left" w:pos="1800"/>
          <w:tab w:val="left" w:pos="1801"/>
        </w:tabs>
        <w:spacing w:before="61"/>
        <w:ind w:left="1800" w:right="1914" w:hanging="360"/>
        <w:rPr>
          <w:rFonts w:ascii="Symbol" w:hAnsi="Symbol"/>
        </w:rPr>
      </w:pPr>
      <w:r>
        <w:t>Exploring</w:t>
      </w:r>
      <w:r>
        <w:rPr>
          <w:spacing w:val="-2"/>
        </w:rPr>
        <w:t xml:space="preserve"> </w:t>
      </w:r>
      <w:r>
        <w:t>previous</w:t>
      </w:r>
      <w:r>
        <w:rPr>
          <w:spacing w:val="-4"/>
        </w:rPr>
        <w:t xml:space="preserve"> </w:t>
      </w:r>
      <w:r>
        <w:t>treatment,</w:t>
      </w:r>
      <w:r>
        <w:rPr>
          <w:spacing w:val="-2"/>
        </w:rPr>
        <w:t xml:space="preserve"> </w:t>
      </w:r>
      <w:r>
        <w:t>including</w:t>
      </w:r>
      <w:r>
        <w:rPr>
          <w:spacing w:val="-2"/>
        </w:rPr>
        <w:t xml:space="preserve"> </w:t>
      </w:r>
      <w:r>
        <w:t>their</w:t>
      </w:r>
      <w:r>
        <w:rPr>
          <w:spacing w:val="-2"/>
        </w:rPr>
        <w:t xml:space="preserve"> </w:t>
      </w:r>
      <w:r>
        <w:t>reasons</w:t>
      </w:r>
      <w:r>
        <w:rPr>
          <w:spacing w:val="-4"/>
        </w:rPr>
        <w:t xml:space="preserve"> </w:t>
      </w:r>
      <w:r>
        <w:t>for</w:t>
      </w:r>
      <w:r>
        <w:rPr>
          <w:spacing w:val="-2"/>
        </w:rPr>
        <w:t xml:space="preserve"> </w:t>
      </w:r>
      <w:r>
        <w:t>leaving</w:t>
      </w:r>
      <w:r>
        <w:rPr>
          <w:spacing w:val="-3"/>
        </w:rPr>
        <w:t xml:space="preserve"> </w:t>
      </w:r>
      <w:r>
        <w:t>early</w:t>
      </w:r>
      <w:r>
        <w:rPr>
          <w:spacing w:val="-1"/>
        </w:rPr>
        <w:t xml:space="preserve"> </w:t>
      </w:r>
      <w:r>
        <w:t>and</w:t>
      </w:r>
      <w:r>
        <w:rPr>
          <w:spacing w:val="-3"/>
        </w:rPr>
        <w:t xml:space="preserve"> </w:t>
      </w:r>
      <w:r>
        <w:t>how</w:t>
      </w:r>
      <w:r>
        <w:rPr>
          <w:spacing w:val="-4"/>
        </w:rPr>
        <w:t xml:space="preserve"> </w:t>
      </w:r>
      <w:r>
        <w:t>to</w:t>
      </w:r>
      <w:r>
        <w:rPr>
          <w:spacing w:val="-3"/>
        </w:rPr>
        <w:t xml:space="preserve"> </w:t>
      </w:r>
      <w:r>
        <w:t>better</w:t>
      </w:r>
      <w:r>
        <w:rPr>
          <w:spacing w:val="-5"/>
        </w:rPr>
        <w:t xml:space="preserve"> </w:t>
      </w:r>
      <w:r>
        <w:t>match current treatment to their needs.</w:t>
      </w:r>
    </w:p>
    <w:p w14:paraId="19FA3BFF" w14:textId="77777777" w:rsidR="00DB6E1F" w:rsidRDefault="00F666A6">
      <w:pPr>
        <w:pStyle w:val="Heading5"/>
        <w:ind w:right="1555"/>
      </w:pPr>
      <w:r>
        <w:t>If</w:t>
      </w:r>
      <w:r>
        <w:rPr>
          <w:spacing w:val="-2"/>
        </w:rPr>
        <w:t xml:space="preserve"> </w:t>
      </w:r>
      <w:r>
        <w:t>this</w:t>
      </w:r>
      <w:r>
        <w:rPr>
          <w:spacing w:val="-4"/>
        </w:rPr>
        <w:t xml:space="preserve"> </w:t>
      </w:r>
      <w:r>
        <w:t>is</w:t>
      </w:r>
      <w:r>
        <w:rPr>
          <w:spacing w:val="-1"/>
        </w:rPr>
        <w:t xml:space="preserve"> </w:t>
      </w:r>
      <w:r>
        <w:t>the</w:t>
      </w:r>
      <w:r>
        <w:rPr>
          <w:spacing w:val="-5"/>
        </w:rPr>
        <w:t xml:space="preserve"> </w:t>
      </w:r>
      <w:r>
        <w:t>client’s</w:t>
      </w:r>
      <w:r>
        <w:rPr>
          <w:spacing w:val="-1"/>
        </w:rPr>
        <w:t xml:space="preserve"> </w:t>
      </w:r>
      <w:r>
        <w:t>first</w:t>
      </w:r>
      <w:r>
        <w:rPr>
          <w:spacing w:val="-4"/>
        </w:rPr>
        <w:t xml:space="preserve"> </w:t>
      </w:r>
      <w:r>
        <w:t>treatment</w:t>
      </w:r>
      <w:r>
        <w:rPr>
          <w:spacing w:val="-2"/>
        </w:rPr>
        <w:t xml:space="preserve"> </w:t>
      </w:r>
      <w:r>
        <w:t>experience,</w:t>
      </w:r>
      <w:r>
        <w:rPr>
          <w:spacing w:val="-1"/>
        </w:rPr>
        <w:t xml:space="preserve"> </w:t>
      </w:r>
      <w:r>
        <w:t>get</w:t>
      </w:r>
      <w:r>
        <w:rPr>
          <w:spacing w:val="-2"/>
        </w:rPr>
        <w:t xml:space="preserve"> </w:t>
      </w:r>
      <w:r>
        <w:t>his</w:t>
      </w:r>
      <w:r>
        <w:rPr>
          <w:spacing w:val="-1"/>
        </w:rPr>
        <w:t xml:space="preserve"> </w:t>
      </w:r>
      <w:r>
        <w:t>or</w:t>
      </w:r>
      <w:r>
        <w:rPr>
          <w:spacing w:val="-1"/>
        </w:rPr>
        <w:t xml:space="preserve"> </w:t>
      </w:r>
      <w:r>
        <w:t>her</w:t>
      </w:r>
      <w:r>
        <w:rPr>
          <w:spacing w:val="-4"/>
        </w:rPr>
        <w:t xml:space="preserve"> </w:t>
      </w:r>
      <w:r>
        <w:t>ideas</w:t>
      </w:r>
      <w:r>
        <w:rPr>
          <w:spacing w:val="-1"/>
        </w:rPr>
        <w:t xml:space="preserve"> </w:t>
      </w:r>
      <w:r>
        <w:t>about</w:t>
      </w:r>
      <w:r>
        <w:rPr>
          <w:spacing w:val="-2"/>
        </w:rPr>
        <w:t xml:space="preserve"> </w:t>
      </w:r>
      <w:r>
        <w:t>what</w:t>
      </w:r>
      <w:r>
        <w:rPr>
          <w:spacing w:val="-4"/>
        </w:rPr>
        <w:t xml:space="preserve"> </w:t>
      </w:r>
      <w:r>
        <w:t>might</w:t>
      </w:r>
      <w:r>
        <w:rPr>
          <w:spacing w:val="-4"/>
        </w:rPr>
        <w:t xml:space="preserve"> </w:t>
      </w:r>
      <w:r>
        <w:t>be</w:t>
      </w:r>
      <w:r>
        <w:rPr>
          <w:spacing w:val="-3"/>
        </w:rPr>
        <w:t xml:space="preserve"> </w:t>
      </w:r>
      <w:r>
        <w:t>a</w:t>
      </w:r>
      <w:r>
        <w:rPr>
          <w:spacing w:val="-3"/>
        </w:rPr>
        <w:t xml:space="preserve"> </w:t>
      </w:r>
      <w:r>
        <w:t>roadblock to completing treatment:</w:t>
      </w:r>
    </w:p>
    <w:p w14:paraId="2FDC5FC9" w14:textId="77777777" w:rsidR="00DB6E1F" w:rsidRDefault="00F666A6">
      <w:pPr>
        <w:pStyle w:val="ListParagraph"/>
        <w:numPr>
          <w:ilvl w:val="0"/>
          <w:numId w:val="92"/>
        </w:numPr>
        <w:tabs>
          <w:tab w:val="left" w:pos="1800"/>
          <w:tab w:val="left" w:pos="1801"/>
        </w:tabs>
        <w:ind w:left="1800"/>
        <w:rPr>
          <w:rFonts w:ascii="Symbol" w:hAnsi="Symbol"/>
        </w:rPr>
      </w:pPr>
      <w:r>
        <w:t>Start</w:t>
      </w:r>
      <w:r>
        <w:rPr>
          <w:spacing w:val="-3"/>
        </w:rPr>
        <w:t xml:space="preserve"> </w:t>
      </w:r>
      <w:r>
        <w:t>with</w:t>
      </w:r>
      <w:r>
        <w:rPr>
          <w:spacing w:val="-4"/>
        </w:rPr>
        <w:t xml:space="preserve"> </w:t>
      </w:r>
      <w:r>
        <w:t>an</w:t>
      </w:r>
      <w:r>
        <w:rPr>
          <w:spacing w:val="-4"/>
        </w:rPr>
        <w:t xml:space="preserve"> </w:t>
      </w:r>
      <w:r>
        <w:t>affirmation,</w:t>
      </w:r>
      <w:r>
        <w:rPr>
          <w:spacing w:val="-3"/>
        </w:rPr>
        <w:t xml:space="preserve"> </w:t>
      </w:r>
      <w:r>
        <w:t>and</w:t>
      </w:r>
      <w:r>
        <w:rPr>
          <w:spacing w:val="-4"/>
        </w:rPr>
        <w:t xml:space="preserve"> </w:t>
      </w:r>
      <w:r>
        <w:t>ask</w:t>
      </w:r>
      <w:r>
        <w:rPr>
          <w:spacing w:val="-2"/>
        </w:rPr>
        <w:t xml:space="preserve"> </w:t>
      </w:r>
      <w:r>
        <w:t>an</w:t>
      </w:r>
      <w:r>
        <w:rPr>
          <w:spacing w:val="-6"/>
        </w:rPr>
        <w:t xml:space="preserve"> </w:t>
      </w:r>
      <w:r>
        <w:t>open</w:t>
      </w:r>
      <w:r>
        <w:rPr>
          <w:spacing w:val="-3"/>
        </w:rPr>
        <w:t xml:space="preserve"> </w:t>
      </w:r>
      <w:r>
        <w:rPr>
          <w:spacing w:val="-2"/>
        </w:rPr>
        <w:t>question:</w:t>
      </w:r>
    </w:p>
    <w:p w14:paraId="34536AB3" w14:textId="77777777" w:rsidR="00DB6E1F" w:rsidRDefault="00F666A6">
      <w:pPr>
        <w:pStyle w:val="BodyText"/>
        <w:spacing w:before="61"/>
        <w:ind w:left="1444" w:right="1238"/>
        <w:jc w:val="center"/>
      </w:pPr>
      <w:r>
        <w:t>“It</w:t>
      </w:r>
      <w:r>
        <w:rPr>
          <w:spacing w:val="-2"/>
        </w:rPr>
        <w:t xml:space="preserve"> </w:t>
      </w:r>
      <w:r>
        <w:t>took</w:t>
      </w:r>
      <w:r>
        <w:rPr>
          <w:spacing w:val="-3"/>
        </w:rPr>
        <w:t xml:space="preserve"> </w:t>
      </w:r>
      <w:r>
        <w:t>a</w:t>
      </w:r>
      <w:r>
        <w:rPr>
          <w:spacing w:val="-5"/>
        </w:rPr>
        <w:t xml:space="preserve"> </w:t>
      </w:r>
      <w:r>
        <w:t>lot</w:t>
      </w:r>
      <w:r>
        <w:rPr>
          <w:spacing w:val="-4"/>
        </w:rPr>
        <w:t xml:space="preserve"> </w:t>
      </w:r>
      <w:r>
        <w:t>of</w:t>
      </w:r>
      <w:r>
        <w:rPr>
          <w:spacing w:val="-3"/>
        </w:rPr>
        <w:t xml:space="preserve"> </w:t>
      </w:r>
      <w:r>
        <w:t>determination</w:t>
      </w:r>
      <w:r>
        <w:rPr>
          <w:spacing w:val="-4"/>
        </w:rPr>
        <w:t xml:space="preserve"> </w:t>
      </w:r>
      <w:r>
        <w:t>and</w:t>
      </w:r>
      <w:r>
        <w:rPr>
          <w:spacing w:val="-3"/>
        </w:rPr>
        <w:t xml:space="preserve"> </w:t>
      </w:r>
      <w:r>
        <w:t>effort</w:t>
      </w:r>
      <w:r>
        <w:rPr>
          <w:spacing w:val="-2"/>
        </w:rPr>
        <w:t xml:space="preserve"> </w:t>
      </w:r>
      <w:r>
        <w:t>for</w:t>
      </w:r>
      <w:r>
        <w:rPr>
          <w:spacing w:val="-5"/>
        </w:rPr>
        <w:t xml:space="preserve"> </w:t>
      </w:r>
      <w:r>
        <w:t>you</w:t>
      </w:r>
      <w:r>
        <w:rPr>
          <w:spacing w:val="-3"/>
        </w:rPr>
        <w:t xml:space="preserve"> </w:t>
      </w:r>
      <w:r>
        <w:t>to</w:t>
      </w:r>
      <w:r>
        <w:rPr>
          <w:spacing w:val="-2"/>
        </w:rPr>
        <w:t xml:space="preserve"> </w:t>
      </w:r>
      <w:r>
        <w:t>be</w:t>
      </w:r>
      <w:r>
        <w:rPr>
          <w:spacing w:val="-5"/>
        </w:rPr>
        <w:t xml:space="preserve"> </w:t>
      </w:r>
      <w:r>
        <w:t>here.</w:t>
      </w:r>
      <w:r>
        <w:rPr>
          <w:spacing w:val="-2"/>
        </w:rPr>
        <w:t xml:space="preserve"> </w:t>
      </w:r>
      <w:r>
        <w:t>Good</w:t>
      </w:r>
      <w:r>
        <w:rPr>
          <w:spacing w:val="-4"/>
        </w:rPr>
        <w:t xml:space="preserve"> </w:t>
      </w:r>
      <w:r>
        <w:t>for</w:t>
      </w:r>
      <w:r>
        <w:rPr>
          <w:spacing w:val="-5"/>
        </w:rPr>
        <w:t xml:space="preserve"> </w:t>
      </w:r>
      <w:r>
        <w:t>you!</w:t>
      </w:r>
      <w:r>
        <w:rPr>
          <w:spacing w:val="-3"/>
        </w:rPr>
        <w:t xml:space="preserve"> </w:t>
      </w:r>
      <w:r>
        <w:t>Sometimes</w:t>
      </w:r>
      <w:r>
        <w:rPr>
          <w:spacing w:val="-4"/>
        </w:rPr>
        <w:t xml:space="preserve"> </w:t>
      </w:r>
      <w:r>
        <w:t>things</w:t>
      </w:r>
      <w:r>
        <w:rPr>
          <w:spacing w:val="-2"/>
        </w:rPr>
        <w:t xml:space="preserve"> </w:t>
      </w:r>
      <w:r>
        <w:rPr>
          <w:spacing w:val="-4"/>
        </w:rPr>
        <w:t>come</w:t>
      </w:r>
    </w:p>
    <w:p w14:paraId="7F313635" w14:textId="77777777" w:rsidR="00DB6E1F" w:rsidRDefault="00DB6E1F">
      <w:pPr>
        <w:jc w:val="center"/>
        <w:sectPr w:rsidR="00DB6E1F">
          <w:pgSz w:w="12240" w:h="15840"/>
          <w:pgMar w:top="1200" w:right="0" w:bottom="780" w:left="0" w:header="763" w:footer="585" w:gutter="0"/>
          <w:cols w:space="720"/>
        </w:sectPr>
      </w:pPr>
    </w:p>
    <w:p w14:paraId="1DF97FA6" w14:textId="77777777" w:rsidR="00DB6E1F" w:rsidRDefault="00DB6E1F">
      <w:pPr>
        <w:pStyle w:val="BodyText"/>
        <w:spacing w:before="8"/>
        <w:rPr>
          <w:sz w:val="14"/>
        </w:rPr>
      </w:pPr>
    </w:p>
    <w:p w14:paraId="07A2C878" w14:textId="77777777" w:rsidR="00DB6E1F" w:rsidRDefault="00F666A6">
      <w:pPr>
        <w:pStyle w:val="BodyText"/>
        <w:spacing w:before="56"/>
        <w:ind w:left="1800" w:right="1444"/>
      </w:pPr>
      <w:r>
        <w:t>up</w:t>
      </w:r>
      <w:r>
        <w:rPr>
          <w:spacing w:val="-3"/>
        </w:rPr>
        <w:t xml:space="preserve"> </w:t>
      </w:r>
      <w:r>
        <w:t>during</w:t>
      </w:r>
      <w:r>
        <w:rPr>
          <w:spacing w:val="-3"/>
        </w:rPr>
        <w:t xml:space="preserve"> </w:t>
      </w:r>
      <w:r>
        <w:t>counseling</w:t>
      </w:r>
      <w:r>
        <w:rPr>
          <w:spacing w:val="-3"/>
        </w:rPr>
        <w:t xml:space="preserve"> </w:t>
      </w:r>
      <w:r>
        <w:t>sessions</w:t>
      </w:r>
      <w:r>
        <w:rPr>
          <w:spacing w:val="-2"/>
        </w:rPr>
        <w:t xml:space="preserve"> </w:t>
      </w:r>
      <w:r>
        <w:t>that</w:t>
      </w:r>
      <w:r>
        <w:rPr>
          <w:spacing w:val="-2"/>
        </w:rPr>
        <w:t xml:space="preserve"> </w:t>
      </w:r>
      <w:r>
        <w:t>are</w:t>
      </w:r>
      <w:r>
        <w:rPr>
          <w:spacing w:val="-1"/>
        </w:rPr>
        <w:t xml:space="preserve"> </w:t>
      </w:r>
      <w:r>
        <w:t>difficult</w:t>
      </w:r>
      <w:r>
        <w:rPr>
          <w:spacing w:val="-1"/>
        </w:rPr>
        <w:t xml:space="preserve"> </w:t>
      </w:r>
      <w:r>
        <w:t>and</w:t>
      </w:r>
      <w:r>
        <w:rPr>
          <w:spacing w:val="-5"/>
        </w:rPr>
        <w:t xml:space="preserve"> </w:t>
      </w:r>
      <w:r>
        <w:t>might</w:t>
      </w:r>
      <w:r>
        <w:rPr>
          <w:spacing w:val="-1"/>
        </w:rPr>
        <w:t xml:space="preserve"> </w:t>
      </w:r>
      <w:r>
        <w:t>make</w:t>
      </w:r>
      <w:r>
        <w:rPr>
          <w:spacing w:val="-4"/>
        </w:rPr>
        <w:t xml:space="preserve"> </w:t>
      </w:r>
      <w:r>
        <w:t>you</w:t>
      </w:r>
      <w:r>
        <w:rPr>
          <w:spacing w:val="-5"/>
        </w:rPr>
        <w:t xml:space="preserve"> </w:t>
      </w:r>
      <w:r>
        <w:t>wonder</w:t>
      </w:r>
      <w:r>
        <w:rPr>
          <w:spacing w:val="-2"/>
        </w:rPr>
        <w:t xml:space="preserve"> </w:t>
      </w:r>
      <w:r>
        <w:t>if</w:t>
      </w:r>
      <w:r>
        <w:rPr>
          <w:spacing w:val="-2"/>
        </w:rPr>
        <w:t xml:space="preserve"> </w:t>
      </w:r>
      <w:r>
        <w:t>staying</w:t>
      </w:r>
      <w:r>
        <w:rPr>
          <w:spacing w:val="-3"/>
        </w:rPr>
        <w:t xml:space="preserve"> </w:t>
      </w:r>
      <w:r>
        <w:t>in</w:t>
      </w:r>
      <w:r>
        <w:rPr>
          <w:spacing w:val="-3"/>
        </w:rPr>
        <w:t xml:space="preserve"> </w:t>
      </w:r>
      <w:r>
        <w:t>treatment</w:t>
      </w:r>
      <w:r>
        <w:rPr>
          <w:spacing w:val="-1"/>
        </w:rPr>
        <w:t xml:space="preserve"> </w:t>
      </w:r>
      <w:r>
        <w:t>is worth the effort. That’s normal. What are some things you can imagine that might make it challenging for you to follow through with your commitment to completing the program?”</w:t>
      </w:r>
    </w:p>
    <w:p w14:paraId="0AF149D0" w14:textId="77777777" w:rsidR="00DB6E1F" w:rsidRDefault="00F666A6">
      <w:pPr>
        <w:pStyle w:val="ListParagraph"/>
        <w:numPr>
          <w:ilvl w:val="0"/>
          <w:numId w:val="92"/>
        </w:numPr>
        <w:tabs>
          <w:tab w:val="left" w:pos="1800"/>
          <w:tab w:val="left" w:pos="1801"/>
        </w:tabs>
        <w:spacing w:before="61"/>
        <w:ind w:left="1800"/>
        <w:rPr>
          <w:rFonts w:ascii="Symbol" w:hAnsi="Symbol"/>
        </w:rPr>
      </w:pPr>
      <w:r>
        <w:t>Follow</w:t>
      </w:r>
      <w:r>
        <w:rPr>
          <w:spacing w:val="-6"/>
        </w:rPr>
        <w:t xml:space="preserve"> </w:t>
      </w:r>
      <w:r>
        <w:t>with</w:t>
      </w:r>
      <w:r>
        <w:rPr>
          <w:spacing w:val="-7"/>
        </w:rPr>
        <w:t xml:space="preserve"> </w:t>
      </w:r>
      <w:r>
        <w:t>refle</w:t>
      </w:r>
      <w:r>
        <w:t>ctive</w:t>
      </w:r>
      <w:r>
        <w:rPr>
          <w:spacing w:val="-5"/>
        </w:rPr>
        <w:t xml:space="preserve"> </w:t>
      </w:r>
      <w:r>
        <w:t>listening</w:t>
      </w:r>
      <w:r>
        <w:rPr>
          <w:spacing w:val="-7"/>
        </w:rPr>
        <w:t xml:space="preserve"> </w:t>
      </w:r>
      <w:r>
        <w:rPr>
          <w:spacing w:val="-2"/>
        </w:rPr>
        <w:t>responses.</w:t>
      </w:r>
    </w:p>
    <w:p w14:paraId="65A95619" w14:textId="77777777" w:rsidR="00DB6E1F" w:rsidRDefault="00F666A6">
      <w:pPr>
        <w:pStyle w:val="ListParagraph"/>
        <w:numPr>
          <w:ilvl w:val="0"/>
          <w:numId w:val="92"/>
        </w:numPr>
        <w:tabs>
          <w:tab w:val="left" w:pos="1800"/>
          <w:tab w:val="left" w:pos="1801"/>
        </w:tabs>
        <w:spacing w:before="58"/>
        <w:ind w:left="1800"/>
        <w:rPr>
          <w:rFonts w:ascii="Symbol" w:hAnsi="Symbol"/>
        </w:rPr>
      </w:pPr>
      <w:r>
        <w:t>Ask</w:t>
      </w:r>
      <w:r>
        <w:rPr>
          <w:spacing w:val="-6"/>
        </w:rPr>
        <w:t xml:space="preserve"> </w:t>
      </w:r>
      <w:r>
        <w:t>the</w:t>
      </w:r>
      <w:r>
        <w:rPr>
          <w:spacing w:val="-6"/>
        </w:rPr>
        <w:t xml:space="preserve"> </w:t>
      </w:r>
      <w:r>
        <w:t>client</w:t>
      </w:r>
      <w:r>
        <w:rPr>
          <w:spacing w:val="-4"/>
        </w:rPr>
        <w:t xml:space="preserve"> </w:t>
      </w:r>
      <w:r>
        <w:t>for</w:t>
      </w:r>
      <w:r>
        <w:rPr>
          <w:spacing w:val="-4"/>
        </w:rPr>
        <w:t xml:space="preserve"> </w:t>
      </w:r>
      <w:r>
        <w:t>ideas</w:t>
      </w:r>
      <w:r>
        <w:rPr>
          <w:spacing w:val="-4"/>
        </w:rPr>
        <w:t xml:space="preserve"> </w:t>
      </w:r>
      <w:r>
        <w:t>about</w:t>
      </w:r>
      <w:r>
        <w:rPr>
          <w:spacing w:val="-3"/>
        </w:rPr>
        <w:t xml:space="preserve"> </w:t>
      </w:r>
      <w:r>
        <w:t>strategies</w:t>
      </w:r>
      <w:r>
        <w:rPr>
          <w:spacing w:val="-6"/>
        </w:rPr>
        <w:t xml:space="preserve"> </w:t>
      </w:r>
      <w:r>
        <w:t>to</w:t>
      </w:r>
      <w:r>
        <w:rPr>
          <w:spacing w:val="-3"/>
        </w:rPr>
        <w:t xml:space="preserve"> </w:t>
      </w:r>
      <w:r>
        <w:t>deal</w:t>
      </w:r>
      <w:r>
        <w:rPr>
          <w:spacing w:val="-7"/>
        </w:rPr>
        <w:t xml:space="preserve"> </w:t>
      </w:r>
      <w:r>
        <w:t>with</w:t>
      </w:r>
      <w:r>
        <w:rPr>
          <w:spacing w:val="-5"/>
        </w:rPr>
        <w:t xml:space="preserve"> </w:t>
      </w:r>
      <w:r>
        <w:t>ambivalence</w:t>
      </w:r>
      <w:r>
        <w:rPr>
          <w:spacing w:val="-3"/>
        </w:rPr>
        <w:t xml:space="preserve"> </w:t>
      </w:r>
      <w:r>
        <w:t>about</w:t>
      </w:r>
      <w:r>
        <w:rPr>
          <w:spacing w:val="-3"/>
        </w:rPr>
        <w:t xml:space="preserve"> </w:t>
      </w:r>
      <w:r>
        <w:t>staying</w:t>
      </w:r>
      <w:r>
        <w:rPr>
          <w:spacing w:val="-5"/>
        </w:rPr>
        <w:t xml:space="preserve"> </w:t>
      </w:r>
      <w:r>
        <w:t>in</w:t>
      </w:r>
      <w:r>
        <w:rPr>
          <w:spacing w:val="-5"/>
        </w:rPr>
        <w:t xml:space="preserve"> </w:t>
      </w:r>
      <w:r>
        <w:rPr>
          <w:spacing w:val="-2"/>
        </w:rPr>
        <w:t>treatment.</w:t>
      </w:r>
    </w:p>
    <w:p w14:paraId="2C58FD5C" w14:textId="77777777" w:rsidR="00DB6E1F" w:rsidRDefault="00F666A6">
      <w:pPr>
        <w:pStyle w:val="ListParagraph"/>
        <w:numPr>
          <w:ilvl w:val="0"/>
          <w:numId w:val="92"/>
        </w:numPr>
        <w:tabs>
          <w:tab w:val="left" w:pos="1800"/>
          <w:tab w:val="left" w:pos="1801"/>
        </w:tabs>
        <w:spacing w:before="58"/>
        <w:ind w:left="1800"/>
        <w:rPr>
          <w:rFonts w:ascii="Symbol" w:hAnsi="Symbol"/>
        </w:rPr>
      </w:pPr>
      <w:r>
        <w:t>Be</w:t>
      </w:r>
      <w:r>
        <w:rPr>
          <w:spacing w:val="-5"/>
        </w:rPr>
        <w:t xml:space="preserve"> </w:t>
      </w:r>
      <w:r>
        <w:t>culturally</w:t>
      </w:r>
      <w:r>
        <w:rPr>
          <w:spacing w:val="-2"/>
        </w:rPr>
        <w:t xml:space="preserve"> </w:t>
      </w:r>
      <w:r>
        <w:t>aware</w:t>
      </w:r>
      <w:r>
        <w:rPr>
          <w:spacing w:val="-2"/>
        </w:rPr>
        <w:t xml:space="preserve"> </w:t>
      </w:r>
      <w:r>
        <w:t>as</w:t>
      </w:r>
      <w:r>
        <w:rPr>
          <w:spacing w:val="-4"/>
        </w:rPr>
        <w:t xml:space="preserve"> </w:t>
      </w:r>
      <w:r>
        <w:t>you</w:t>
      </w:r>
      <w:r>
        <w:rPr>
          <w:spacing w:val="-6"/>
        </w:rPr>
        <w:t xml:space="preserve"> </w:t>
      </w:r>
      <w:r>
        <w:t>help</w:t>
      </w:r>
      <w:r>
        <w:rPr>
          <w:spacing w:val="-3"/>
        </w:rPr>
        <w:t xml:space="preserve"> </w:t>
      </w:r>
      <w:r>
        <w:t>the</w:t>
      </w:r>
      <w:r>
        <w:rPr>
          <w:spacing w:val="-2"/>
        </w:rPr>
        <w:t xml:space="preserve"> </w:t>
      </w:r>
      <w:r>
        <w:t>client</w:t>
      </w:r>
      <w:r>
        <w:rPr>
          <w:spacing w:val="-5"/>
        </w:rPr>
        <w:t xml:space="preserve"> </w:t>
      </w:r>
      <w:r>
        <w:t>manage</w:t>
      </w:r>
      <w:r>
        <w:rPr>
          <w:spacing w:val="-5"/>
        </w:rPr>
        <w:t xml:space="preserve"> </w:t>
      </w:r>
      <w:r>
        <w:t>or</w:t>
      </w:r>
      <w:r>
        <w:rPr>
          <w:spacing w:val="-5"/>
        </w:rPr>
        <w:t xml:space="preserve"> </w:t>
      </w:r>
      <w:r>
        <w:t>try</w:t>
      </w:r>
      <w:r>
        <w:rPr>
          <w:spacing w:val="-2"/>
        </w:rPr>
        <w:t xml:space="preserve"> </w:t>
      </w:r>
      <w:r>
        <w:t>to</w:t>
      </w:r>
      <w:r>
        <w:rPr>
          <w:spacing w:val="-2"/>
        </w:rPr>
        <w:t xml:space="preserve"> </w:t>
      </w:r>
      <w:r>
        <w:t>prevent</w:t>
      </w:r>
      <w:r>
        <w:rPr>
          <w:spacing w:val="-5"/>
        </w:rPr>
        <w:t xml:space="preserve"> </w:t>
      </w:r>
      <w:r>
        <w:t>common</w:t>
      </w:r>
      <w:r>
        <w:rPr>
          <w:spacing w:val="-3"/>
        </w:rPr>
        <w:t xml:space="preserve"> </w:t>
      </w:r>
      <w:r>
        <w:rPr>
          <w:spacing w:val="-2"/>
        </w:rPr>
        <w:t>difficulties.</w:t>
      </w:r>
    </w:p>
    <w:p w14:paraId="6CFC8B0F" w14:textId="77777777" w:rsidR="00DB6E1F" w:rsidRDefault="00F666A6">
      <w:pPr>
        <w:pStyle w:val="Heading4"/>
        <w:spacing w:before="205"/>
      </w:pPr>
      <w:bookmarkStart w:id="193" w:name="Increase_congruence_between_intrinsic_an"/>
      <w:bookmarkEnd w:id="193"/>
      <w:r>
        <w:t>Increase</w:t>
      </w:r>
      <w:r>
        <w:rPr>
          <w:spacing w:val="-9"/>
        </w:rPr>
        <w:t xml:space="preserve"> </w:t>
      </w:r>
      <w:r>
        <w:t>congruence</w:t>
      </w:r>
      <w:r>
        <w:rPr>
          <w:spacing w:val="-8"/>
        </w:rPr>
        <w:t xml:space="preserve"> </w:t>
      </w:r>
      <w:r>
        <w:t>between</w:t>
      </w:r>
      <w:r>
        <w:rPr>
          <w:spacing w:val="-8"/>
        </w:rPr>
        <w:t xml:space="preserve"> </w:t>
      </w:r>
      <w:r>
        <w:t>intrinsic</w:t>
      </w:r>
      <w:r>
        <w:rPr>
          <w:spacing w:val="-12"/>
        </w:rPr>
        <w:t xml:space="preserve"> </w:t>
      </w:r>
      <w:r>
        <w:t>and</w:t>
      </w:r>
      <w:r>
        <w:rPr>
          <w:spacing w:val="-10"/>
        </w:rPr>
        <w:t xml:space="preserve"> </w:t>
      </w:r>
      <w:r>
        <w:t>extrinsic</w:t>
      </w:r>
      <w:r>
        <w:rPr>
          <w:spacing w:val="-12"/>
        </w:rPr>
        <w:t xml:space="preserve"> </w:t>
      </w:r>
      <w:r>
        <w:rPr>
          <w:spacing w:val="-2"/>
        </w:rPr>
        <w:t>motivation</w:t>
      </w:r>
    </w:p>
    <w:p w14:paraId="2F6FBA15" w14:textId="77777777" w:rsidR="00DB6E1F" w:rsidRDefault="00F666A6">
      <w:pPr>
        <w:pStyle w:val="BodyText"/>
        <w:spacing w:before="83"/>
        <w:ind w:left="1439" w:right="1491"/>
      </w:pPr>
      <w:r>
        <w:rPr>
          <w:b/>
        </w:rPr>
        <w:t>Exploring with clients their internal and external reasons for entering and staying in treatment can help</w:t>
      </w:r>
      <w:r>
        <w:rPr>
          <w:b/>
          <w:spacing w:val="-1"/>
        </w:rPr>
        <w:t xml:space="preserve"> </w:t>
      </w:r>
      <w:r>
        <w:rPr>
          <w:b/>
        </w:rPr>
        <w:t>reduce</w:t>
      </w:r>
      <w:r>
        <w:rPr>
          <w:b/>
          <w:spacing w:val="-1"/>
        </w:rPr>
        <w:t xml:space="preserve"> </w:t>
      </w:r>
      <w:r>
        <w:rPr>
          <w:b/>
        </w:rPr>
        <w:t>their</w:t>
      </w:r>
      <w:r>
        <w:rPr>
          <w:b/>
          <w:spacing w:val="-2"/>
        </w:rPr>
        <w:t xml:space="preserve"> </w:t>
      </w:r>
      <w:r>
        <w:rPr>
          <w:b/>
        </w:rPr>
        <w:t>chances</w:t>
      </w:r>
      <w:r>
        <w:rPr>
          <w:b/>
          <w:spacing w:val="-2"/>
        </w:rPr>
        <w:t xml:space="preserve"> </w:t>
      </w:r>
      <w:r>
        <w:rPr>
          <w:b/>
        </w:rPr>
        <w:t xml:space="preserve">of early dropout. </w:t>
      </w:r>
      <w:r>
        <w:t>Self-determination</w:t>
      </w:r>
      <w:r>
        <w:rPr>
          <w:spacing w:val="-1"/>
        </w:rPr>
        <w:t xml:space="preserve"> </w:t>
      </w:r>
      <w:r>
        <w:t>theory</w:t>
      </w:r>
      <w:r>
        <w:rPr>
          <w:spacing w:val="-1"/>
        </w:rPr>
        <w:t xml:space="preserve"> </w:t>
      </w:r>
      <w:r>
        <w:t>proposes</w:t>
      </w:r>
      <w:r>
        <w:rPr>
          <w:spacing w:val="-4"/>
        </w:rPr>
        <w:t xml:space="preserve"> </w:t>
      </w:r>
      <w:r>
        <w:t>that intrinsic</w:t>
      </w:r>
      <w:r>
        <w:rPr>
          <w:spacing w:val="-1"/>
        </w:rPr>
        <w:t xml:space="preserve"> </w:t>
      </w:r>
      <w:r>
        <w:t>(internal) motivation may have a stronger impact on maintaining behavior change than extrinsic (external) motivation, which may be more effective in helping clients initiate behavior change. A meta-analysis of MI</w:t>
      </w:r>
      <w:r>
        <w:rPr>
          <w:spacing w:val="-3"/>
        </w:rPr>
        <w:t xml:space="preserve"> </w:t>
      </w:r>
      <w:r>
        <w:t>(which</w:t>
      </w:r>
      <w:r>
        <w:rPr>
          <w:spacing w:val="-4"/>
        </w:rPr>
        <w:t xml:space="preserve"> </w:t>
      </w:r>
      <w:r>
        <w:t>emphasizes</w:t>
      </w:r>
      <w:r>
        <w:rPr>
          <w:spacing w:val="-3"/>
        </w:rPr>
        <w:t xml:space="preserve"> </w:t>
      </w:r>
      <w:r>
        <w:t>increasing</w:t>
      </w:r>
      <w:r>
        <w:rPr>
          <w:spacing w:val="-4"/>
        </w:rPr>
        <w:t xml:space="preserve"> </w:t>
      </w:r>
      <w:r>
        <w:t>internal</w:t>
      </w:r>
      <w:r>
        <w:rPr>
          <w:spacing w:val="-6"/>
        </w:rPr>
        <w:t xml:space="preserve"> </w:t>
      </w:r>
      <w:r>
        <w:t>motiv</w:t>
      </w:r>
      <w:r>
        <w:t>ation)</w:t>
      </w:r>
      <w:r>
        <w:rPr>
          <w:spacing w:val="-5"/>
        </w:rPr>
        <w:t xml:space="preserve"> </w:t>
      </w:r>
      <w:r>
        <w:t>and</w:t>
      </w:r>
      <w:r>
        <w:rPr>
          <w:spacing w:val="-3"/>
        </w:rPr>
        <w:t xml:space="preserve"> </w:t>
      </w:r>
      <w:r>
        <w:t>contingency</w:t>
      </w:r>
      <w:r>
        <w:rPr>
          <w:spacing w:val="-4"/>
        </w:rPr>
        <w:t xml:space="preserve"> </w:t>
      </w:r>
      <w:r>
        <w:t>management</w:t>
      </w:r>
      <w:r>
        <w:rPr>
          <w:spacing w:val="-4"/>
        </w:rPr>
        <w:t xml:space="preserve"> </w:t>
      </w:r>
      <w:r>
        <w:t>(which</w:t>
      </w:r>
      <w:r>
        <w:rPr>
          <w:spacing w:val="-6"/>
        </w:rPr>
        <w:t xml:space="preserve"> </w:t>
      </w:r>
      <w:r>
        <w:t>emphasizes external motivators) found that both approaches were effective in reducing use of a wide variety of substances (Sayegh, Huey, Zara, &amp; Jhaveri, 2017). The analysis also found evidence to suggest that extri</w:t>
      </w:r>
      <w:r>
        <w:t>nsically focused counseling strategies produced short-term treatment effects, whereas intrinsically focused counseling strategies produced long-term treatment effects.</w:t>
      </w:r>
    </w:p>
    <w:p w14:paraId="6C428660" w14:textId="77777777" w:rsidR="00DB6E1F" w:rsidRDefault="00F666A6">
      <w:pPr>
        <w:pStyle w:val="BodyText"/>
        <w:spacing w:before="160"/>
        <w:ind w:left="1438" w:right="1491"/>
      </w:pPr>
      <w:r>
        <w:t>Help</w:t>
      </w:r>
      <w:r>
        <w:rPr>
          <w:spacing w:val="-3"/>
        </w:rPr>
        <w:t xml:space="preserve"> </w:t>
      </w:r>
      <w:r>
        <w:t>clients</w:t>
      </w:r>
      <w:r>
        <w:rPr>
          <w:spacing w:val="-2"/>
        </w:rPr>
        <w:t xml:space="preserve"> </w:t>
      </w:r>
      <w:r>
        <w:t>increase</w:t>
      </w:r>
      <w:r>
        <w:rPr>
          <w:spacing w:val="-1"/>
        </w:rPr>
        <w:t xml:space="preserve"> </w:t>
      </w:r>
      <w:r>
        <w:t>congruence,</w:t>
      </w:r>
      <w:r>
        <w:rPr>
          <w:spacing w:val="-4"/>
        </w:rPr>
        <w:t xml:space="preserve"> </w:t>
      </w:r>
      <w:r>
        <w:t>or</w:t>
      </w:r>
      <w:r>
        <w:rPr>
          <w:spacing w:val="-2"/>
        </w:rPr>
        <w:t xml:space="preserve"> </w:t>
      </w:r>
      <w:r>
        <w:t>agreement,</w:t>
      </w:r>
      <w:r>
        <w:rPr>
          <w:spacing w:val="-2"/>
        </w:rPr>
        <w:t xml:space="preserve"> </w:t>
      </w:r>
      <w:r>
        <w:t>between</w:t>
      </w:r>
      <w:r>
        <w:rPr>
          <w:spacing w:val="-3"/>
        </w:rPr>
        <w:t xml:space="preserve"> </w:t>
      </w:r>
      <w:r>
        <w:t>internal</w:t>
      </w:r>
      <w:r>
        <w:rPr>
          <w:spacing w:val="-5"/>
        </w:rPr>
        <w:t xml:space="preserve"> </w:t>
      </w:r>
      <w:r>
        <w:t>and</w:t>
      </w:r>
      <w:r>
        <w:rPr>
          <w:spacing w:val="-3"/>
        </w:rPr>
        <w:t xml:space="preserve"> </w:t>
      </w:r>
      <w:r>
        <w:t>external</w:t>
      </w:r>
      <w:r>
        <w:rPr>
          <w:spacing w:val="-5"/>
        </w:rPr>
        <w:t xml:space="preserve"> </w:t>
      </w:r>
      <w:r>
        <w:t>motivations.</w:t>
      </w:r>
      <w:r>
        <w:rPr>
          <w:spacing w:val="-5"/>
        </w:rPr>
        <w:t xml:space="preserve"> </w:t>
      </w:r>
      <w:r>
        <w:t>You</w:t>
      </w:r>
      <w:r>
        <w:rPr>
          <w:spacing w:val="-5"/>
        </w:rPr>
        <w:t xml:space="preserve"> </w:t>
      </w:r>
      <w:r>
        <w:t>can explore external motivations clients may view as forced or unwanted and reframe them as positive reasons that align with their internal reasons for staying in treatment to increase congruence.</w:t>
      </w:r>
    </w:p>
    <w:p w14:paraId="4F2A0D68" w14:textId="77777777" w:rsidR="00DB6E1F" w:rsidRDefault="00DB6E1F">
      <w:pPr>
        <w:pStyle w:val="BodyText"/>
        <w:spacing w:before="5"/>
        <w:rPr>
          <w:sz w:val="16"/>
        </w:rPr>
      </w:pPr>
    </w:p>
    <w:p w14:paraId="1B51246D" w14:textId="77777777" w:rsidR="00DB6E1F" w:rsidRDefault="00F666A6">
      <w:pPr>
        <w:pStyle w:val="Heading4"/>
      </w:pPr>
      <w:bookmarkStart w:id="194" w:name="Explore_client_nonadherence"/>
      <w:bookmarkEnd w:id="194"/>
      <w:r>
        <w:t>Explore</w:t>
      </w:r>
      <w:r>
        <w:rPr>
          <w:spacing w:val="-10"/>
        </w:rPr>
        <w:t xml:space="preserve"> </w:t>
      </w:r>
      <w:r>
        <w:t>client</w:t>
      </w:r>
      <w:r>
        <w:rPr>
          <w:spacing w:val="-7"/>
        </w:rPr>
        <w:t xml:space="preserve"> </w:t>
      </w:r>
      <w:r>
        <w:rPr>
          <w:spacing w:val="-2"/>
        </w:rPr>
        <w:t>nonadherence</w:t>
      </w:r>
    </w:p>
    <w:p w14:paraId="12EF34AE" w14:textId="77777777" w:rsidR="00DB6E1F" w:rsidRDefault="00F666A6">
      <w:pPr>
        <w:pStyle w:val="BodyText"/>
        <w:spacing w:before="84"/>
        <w:ind w:left="1439" w:right="1507"/>
      </w:pPr>
      <w:r>
        <w:t>Clients’ nona</w:t>
      </w:r>
      <w:r>
        <w:t>dherence to treatment is often a sign that they are unhappy with the counseling process. For example, clients may miss appointments, arrive late, fail to complete required forms, or remain silent when asked to participate. Any occurrence of such behavior p</w:t>
      </w:r>
      <w:r>
        <w:t>rovides an opportunity to discuss the reasons for the behavior and learn from it. Often clients are expressing their ambivalence and are not ready to make a change. Explore the behavior in a nonjudgmental, problem-solving manner that helps you discover whe</w:t>
      </w:r>
      <w:r>
        <w:t>ther the behavior was intentional or whether a reasonable explanation for the behavior</w:t>
      </w:r>
      <w:r>
        <w:rPr>
          <w:spacing w:val="-5"/>
        </w:rPr>
        <w:t xml:space="preserve"> </w:t>
      </w:r>
      <w:r>
        <w:t>exists.</w:t>
      </w:r>
      <w:r>
        <w:rPr>
          <w:spacing w:val="-2"/>
        </w:rPr>
        <w:t xml:space="preserve"> </w:t>
      </w:r>
      <w:r>
        <w:t>For</w:t>
      </w:r>
      <w:r>
        <w:rPr>
          <w:spacing w:val="-2"/>
        </w:rPr>
        <w:t xml:space="preserve"> </w:t>
      </w:r>
      <w:r>
        <w:t>example,</w:t>
      </w:r>
      <w:r>
        <w:rPr>
          <w:spacing w:val="-2"/>
        </w:rPr>
        <w:t xml:space="preserve"> </w:t>
      </w:r>
      <w:r>
        <w:t>clients</w:t>
      </w:r>
      <w:r>
        <w:rPr>
          <w:spacing w:val="-4"/>
        </w:rPr>
        <w:t xml:space="preserve"> </w:t>
      </w:r>
      <w:r>
        <w:t>might</w:t>
      </w:r>
      <w:r>
        <w:rPr>
          <w:spacing w:val="-1"/>
        </w:rPr>
        <w:t xml:space="preserve"> </w:t>
      </w:r>
      <w:r>
        <w:t>be</w:t>
      </w:r>
      <w:r>
        <w:rPr>
          <w:spacing w:val="-1"/>
        </w:rPr>
        <w:t xml:space="preserve"> </w:t>
      </w:r>
      <w:r>
        <w:t>late</w:t>
      </w:r>
      <w:r>
        <w:rPr>
          <w:spacing w:val="-1"/>
        </w:rPr>
        <w:t xml:space="preserve"> </w:t>
      </w:r>
      <w:r>
        <w:t>as</w:t>
      </w:r>
      <w:r>
        <w:rPr>
          <w:spacing w:val="-2"/>
        </w:rPr>
        <w:t xml:space="preserve"> </w:t>
      </w:r>
      <w:r>
        <w:t>a</w:t>
      </w:r>
      <w:r>
        <w:rPr>
          <w:spacing w:val="-5"/>
        </w:rPr>
        <w:t xml:space="preserve"> </w:t>
      </w:r>
      <w:r>
        <w:t>sign</w:t>
      </w:r>
      <w:r>
        <w:rPr>
          <w:spacing w:val="-3"/>
        </w:rPr>
        <w:t xml:space="preserve"> </w:t>
      </w:r>
      <w:r>
        <w:t>of</w:t>
      </w:r>
      <w:r>
        <w:rPr>
          <w:spacing w:val="-4"/>
        </w:rPr>
        <w:t xml:space="preserve"> </w:t>
      </w:r>
      <w:r>
        <w:t>“rebelling”</w:t>
      </w:r>
      <w:r>
        <w:rPr>
          <w:spacing w:val="-1"/>
        </w:rPr>
        <w:t xml:space="preserve"> </w:t>
      </w:r>
      <w:r>
        <w:t>against</w:t>
      </w:r>
      <w:r>
        <w:rPr>
          <w:spacing w:val="-6"/>
        </w:rPr>
        <w:t xml:space="preserve"> </w:t>
      </w:r>
      <w:r>
        <w:t>what they</w:t>
      </w:r>
      <w:r>
        <w:rPr>
          <w:spacing w:val="-4"/>
        </w:rPr>
        <w:t xml:space="preserve"> </w:t>
      </w:r>
      <w:r>
        <w:t>think</w:t>
      </w:r>
      <w:r>
        <w:rPr>
          <w:spacing w:val="-2"/>
        </w:rPr>
        <w:t xml:space="preserve"> </w:t>
      </w:r>
      <w:r>
        <w:t>will</w:t>
      </w:r>
      <w:r>
        <w:rPr>
          <w:spacing w:val="-2"/>
        </w:rPr>
        <w:t xml:space="preserve"> </w:t>
      </w:r>
      <w:r>
        <w:t>be a stressful session, or it could simply be that their car broke down.</w:t>
      </w:r>
    </w:p>
    <w:p w14:paraId="7DC4AAD5" w14:textId="77777777" w:rsidR="00DB6E1F" w:rsidRDefault="00F666A6">
      <w:pPr>
        <w:pStyle w:val="BodyText"/>
        <w:spacing w:before="159"/>
        <w:ind w:left="1439" w:right="1466"/>
      </w:pPr>
      <w:r>
        <w:t xml:space="preserve">As with all motivational strategies, </w:t>
      </w:r>
      <w:r>
        <w:rPr>
          <w:b/>
        </w:rPr>
        <w:t xml:space="preserve">you need to draw out clients’ views of and thoughts about the event. </w:t>
      </w:r>
      <w:r>
        <w:t>Generally, if you can get clients to voice their frustrations, they will come</w:t>
      </w:r>
      <w:r>
        <w:t xml:space="preserve"> up with the answers themselves. Asking a question such as “What do you think is getting in the way of being here on time?” is likely to open a dialog. Respond with reflective listening, open questions that evoke change talk, and affirmations.</w:t>
      </w:r>
      <w:r>
        <w:rPr>
          <w:spacing w:val="-2"/>
        </w:rPr>
        <w:t xml:space="preserve"> </w:t>
      </w:r>
      <w:r>
        <w:t>For</w:t>
      </w:r>
      <w:r>
        <w:rPr>
          <w:spacing w:val="-1"/>
        </w:rPr>
        <w:t xml:space="preserve"> </w:t>
      </w:r>
      <w:r>
        <w:t>example,</w:t>
      </w:r>
      <w:r>
        <w:rPr>
          <w:spacing w:val="-3"/>
        </w:rPr>
        <w:t xml:space="preserve"> </w:t>
      </w:r>
      <w:r>
        <w:t>you</w:t>
      </w:r>
      <w:r>
        <w:rPr>
          <w:spacing w:val="-4"/>
        </w:rPr>
        <w:t xml:space="preserve"> </w:t>
      </w:r>
      <w:r>
        <w:t>might ask,</w:t>
      </w:r>
      <w:r>
        <w:rPr>
          <w:spacing w:val="-3"/>
        </w:rPr>
        <w:t xml:space="preserve"> </w:t>
      </w:r>
      <w:r>
        <w:t>“How does</w:t>
      </w:r>
      <w:r>
        <w:rPr>
          <w:spacing w:val="-3"/>
        </w:rPr>
        <w:t xml:space="preserve"> </w:t>
      </w:r>
      <w:r>
        <w:t>being</w:t>
      </w:r>
      <w:r>
        <w:rPr>
          <w:spacing w:val="-2"/>
        </w:rPr>
        <w:t xml:space="preserve"> </w:t>
      </w:r>
      <w:r>
        <w:t>late fit</w:t>
      </w:r>
      <w:r>
        <w:rPr>
          <w:spacing w:val="-3"/>
        </w:rPr>
        <w:t xml:space="preserve"> </w:t>
      </w:r>
      <w:r>
        <w:t>or</w:t>
      </w:r>
      <w:r>
        <w:rPr>
          <w:spacing w:val="-3"/>
        </w:rPr>
        <w:t xml:space="preserve"> </w:t>
      </w:r>
      <w:r>
        <w:t>not</w:t>
      </w:r>
      <w:r>
        <w:rPr>
          <w:spacing w:val="-3"/>
        </w:rPr>
        <w:t xml:space="preserve"> </w:t>
      </w:r>
      <w:r>
        <w:t>fit</w:t>
      </w:r>
      <w:r>
        <w:rPr>
          <w:spacing w:val="-3"/>
        </w:rPr>
        <w:t xml:space="preserve"> </w:t>
      </w:r>
      <w:r>
        <w:t>with</w:t>
      </w:r>
      <w:r>
        <w:rPr>
          <w:spacing w:val="-4"/>
        </w:rPr>
        <w:t xml:space="preserve"> </w:t>
      </w:r>
      <w:r>
        <w:t>your</w:t>
      </w:r>
      <w:r>
        <w:rPr>
          <w:spacing w:val="-3"/>
        </w:rPr>
        <w:t xml:space="preserve"> </w:t>
      </w:r>
      <w:r>
        <w:t>goal</w:t>
      </w:r>
      <w:r>
        <w:rPr>
          <w:spacing w:val="-4"/>
        </w:rPr>
        <w:t xml:space="preserve"> </w:t>
      </w:r>
      <w:r>
        <w:t>of</w:t>
      </w:r>
      <w:r>
        <w:rPr>
          <w:spacing w:val="-1"/>
        </w:rPr>
        <w:t xml:space="preserve"> </w:t>
      </w:r>
      <w:r>
        <w:t>getting</w:t>
      </w:r>
      <w:r>
        <w:rPr>
          <w:spacing w:val="-2"/>
        </w:rPr>
        <w:t xml:space="preserve"> </w:t>
      </w:r>
      <w:r>
        <w:t>the most</w:t>
      </w:r>
      <w:r>
        <w:rPr>
          <w:spacing w:val="-7"/>
        </w:rPr>
        <w:t xml:space="preserve"> </w:t>
      </w:r>
      <w:r>
        <w:t>out</w:t>
      </w:r>
      <w:r>
        <w:rPr>
          <w:spacing w:val="-5"/>
        </w:rPr>
        <w:t xml:space="preserve"> </w:t>
      </w:r>
      <w:r>
        <w:t>of</w:t>
      </w:r>
      <w:r>
        <w:rPr>
          <w:spacing w:val="-3"/>
        </w:rPr>
        <w:t xml:space="preserve"> </w:t>
      </w:r>
      <w:r>
        <w:t>this</w:t>
      </w:r>
      <w:r>
        <w:rPr>
          <w:spacing w:val="-5"/>
        </w:rPr>
        <w:t xml:space="preserve"> </w:t>
      </w:r>
      <w:r>
        <w:t>treatment</w:t>
      </w:r>
      <w:r>
        <w:rPr>
          <w:spacing w:val="-4"/>
        </w:rPr>
        <w:t xml:space="preserve"> </w:t>
      </w:r>
      <w:r>
        <w:t>experience?”</w:t>
      </w:r>
      <w:r>
        <w:rPr>
          <w:spacing w:val="-2"/>
        </w:rPr>
        <w:t xml:space="preserve"> </w:t>
      </w:r>
      <w:r>
        <w:t>Remember</w:t>
      </w:r>
      <w:r>
        <w:rPr>
          <w:spacing w:val="-5"/>
        </w:rPr>
        <w:t xml:space="preserve"> </w:t>
      </w:r>
      <w:r>
        <w:t>to</w:t>
      </w:r>
      <w:r>
        <w:rPr>
          <w:spacing w:val="-2"/>
        </w:rPr>
        <w:t xml:space="preserve"> </w:t>
      </w:r>
      <w:r>
        <w:t>praise</w:t>
      </w:r>
      <w:r>
        <w:rPr>
          <w:spacing w:val="-5"/>
        </w:rPr>
        <w:t xml:space="preserve"> </w:t>
      </w:r>
      <w:r>
        <w:t>the</w:t>
      </w:r>
      <w:r>
        <w:rPr>
          <w:spacing w:val="-4"/>
        </w:rPr>
        <w:t xml:space="preserve"> </w:t>
      </w:r>
      <w:r>
        <w:t>client</w:t>
      </w:r>
      <w:r>
        <w:rPr>
          <w:spacing w:val="-1"/>
        </w:rPr>
        <w:t xml:space="preserve"> </w:t>
      </w:r>
      <w:r>
        <w:t>for</w:t>
      </w:r>
      <w:r>
        <w:rPr>
          <w:spacing w:val="-5"/>
        </w:rPr>
        <w:t xml:space="preserve"> </w:t>
      </w:r>
      <w:r>
        <w:t>simply</w:t>
      </w:r>
      <w:r>
        <w:rPr>
          <w:spacing w:val="-2"/>
        </w:rPr>
        <w:t xml:space="preserve"> </w:t>
      </w:r>
      <w:r>
        <w:t>getting</w:t>
      </w:r>
      <w:r>
        <w:rPr>
          <w:spacing w:val="-4"/>
        </w:rPr>
        <w:t xml:space="preserve"> </w:t>
      </w:r>
      <w:r>
        <w:t>to</w:t>
      </w:r>
      <w:r>
        <w:rPr>
          <w:spacing w:val="-4"/>
        </w:rPr>
        <w:t xml:space="preserve"> </w:t>
      </w:r>
      <w:r>
        <w:t>the</w:t>
      </w:r>
      <w:r>
        <w:rPr>
          <w:spacing w:val="-4"/>
        </w:rPr>
        <w:t xml:space="preserve"> </w:t>
      </w:r>
      <w:r>
        <w:rPr>
          <w:spacing w:val="-2"/>
        </w:rPr>
        <w:t>session.</w:t>
      </w:r>
    </w:p>
    <w:p w14:paraId="7CDAB359" w14:textId="77777777" w:rsidR="00DB6E1F" w:rsidRDefault="00F666A6">
      <w:pPr>
        <w:pStyle w:val="BodyText"/>
        <w:spacing w:before="160"/>
        <w:ind w:left="1439" w:right="1491"/>
      </w:pPr>
      <w:r>
        <w:t>Missed</w:t>
      </w:r>
      <w:r>
        <w:rPr>
          <w:spacing w:val="-3"/>
        </w:rPr>
        <w:t xml:space="preserve"> </w:t>
      </w:r>
      <w:r>
        <w:t>appointments</w:t>
      </w:r>
      <w:r>
        <w:rPr>
          <w:spacing w:val="-4"/>
        </w:rPr>
        <w:t xml:space="preserve"> </w:t>
      </w:r>
      <w:r>
        <w:t>or</w:t>
      </w:r>
      <w:r>
        <w:rPr>
          <w:spacing w:val="-5"/>
        </w:rPr>
        <w:t xml:space="preserve"> </w:t>
      </w:r>
      <w:r>
        <w:t>not</w:t>
      </w:r>
      <w:r>
        <w:rPr>
          <w:spacing w:val="-2"/>
        </w:rPr>
        <w:t xml:space="preserve"> </w:t>
      </w:r>
      <w:r>
        <w:t>showing</w:t>
      </w:r>
      <w:r>
        <w:rPr>
          <w:spacing w:val="-3"/>
        </w:rPr>
        <w:t xml:space="preserve"> </w:t>
      </w:r>
      <w:r>
        <w:t>up</w:t>
      </w:r>
      <w:r>
        <w:rPr>
          <w:spacing w:val="-3"/>
        </w:rPr>
        <w:t xml:space="preserve"> </w:t>
      </w:r>
      <w:r>
        <w:t>for</w:t>
      </w:r>
      <w:r>
        <w:rPr>
          <w:spacing w:val="-2"/>
        </w:rPr>
        <w:t xml:space="preserve"> </w:t>
      </w:r>
      <w:r>
        <w:t>scheduled</w:t>
      </w:r>
      <w:r>
        <w:rPr>
          <w:spacing w:val="-3"/>
        </w:rPr>
        <w:t xml:space="preserve"> </w:t>
      </w:r>
      <w:r>
        <w:t>activities</w:t>
      </w:r>
      <w:r>
        <w:rPr>
          <w:spacing w:val="-2"/>
        </w:rPr>
        <w:t xml:space="preserve"> </w:t>
      </w:r>
      <w:r>
        <w:t>require</w:t>
      </w:r>
      <w:r>
        <w:rPr>
          <w:spacing w:val="-1"/>
        </w:rPr>
        <w:t xml:space="preserve"> </w:t>
      </w:r>
      <w:r>
        <w:t>a</w:t>
      </w:r>
      <w:r>
        <w:rPr>
          <w:spacing w:val="-4"/>
        </w:rPr>
        <w:t xml:space="preserve"> </w:t>
      </w:r>
      <w:r>
        <w:t>more</w:t>
      </w:r>
      <w:r>
        <w:rPr>
          <w:spacing w:val="-6"/>
        </w:rPr>
        <w:t xml:space="preserve"> </w:t>
      </w:r>
      <w:r>
        <w:t>proactive</w:t>
      </w:r>
      <w:r>
        <w:rPr>
          <w:spacing w:val="-1"/>
        </w:rPr>
        <w:t xml:space="preserve"> </w:t>
      </w:r>
      <w:r>
        <w:t>approach. Some strategies for responding to missed appointments are listed in Exhibit 7.2.</w:t>
      </w:r>
    </w:p>
    <w:p w14:paraId="6D1F54D7" w14:textId="77777777" w:rsidR="00DB6E1F" w:rsidRDefault="00DB6E1F">
      <w:pPr>
        <w:pStyle w:val="BodyText"/>
        <w:spacing w:before="4"/>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29D50712" w14:textId="77777777">
        <w:trPr>
          <w:trHeight w:val="503"/>
        </w:trPr>
        <w:tc>
          <w:tcPr>
            <w:tcW w:w="9350" w:type="dxa"/>
            <w:shd w:val="clear" w:color="auto" w:fill="050505"/>
          </w:tcPr>
          <w:p w14:paraId="6606B184" w14:textId="77777777" w:rsidR="00DB6E1F" w:rsidRDefault="00F666A6">
            <w:pPr>
              <w:pStyle w:val="TableParagraph"/>
              <w:spacing w:before="102"/>
              <w:ind w:left="208"/>
              <w:rPr>
                <w:sz w:val="24"/>
              </w:rPr>
            </w:pPr>
            <w:r>
              <w:rPr>
                <w:color w:val="FFFFFF"/>
                <w:sz w:val="24"/>
              </w:rPr>
              <w:t>Exhibit</w:t>
            </w:r>
            <w:r>
              <w:rPr>
                <w:color w:val="FFFFFF"/>
                <w:spacing w:val="-2"/>
                <w:sz w:val="24"/>
              </w:rPr>
              <w:t xml:space="preserve"> </w:t>
            </w:r>
            <w:r>
              <w:rPr>
                <w:color w:val="FFFFFF"/>
                <w:sz w:val="24"/>
              </w:rPr>
              <w:t>7.2.</w:t>
            </w:r>
            <w:r>
              <w:rPr>
                <w:color w:val="FFFFFF"/>
                <w:spacing w:val="-1"/>
                <w:sz w:val="24"/>
              </w:rPr>
              <w:t xml:space="preserve"> </w:t>
            </w:r>
            <w:r>
              <w:rPr>
                <w:color w:val="FFFFFF"/>
                <w:sz w:val="24"/>
              </w:rPr>
              <w:t>Options</w:t>
            </w:r>
            <w:r>
              <w:rPr>
                <w:color w:val="FFFFFF"/>
                <w:spacing w:val="-2"/>
                <w:sz w:val="24"/>
              </w:rPr>
              <w:t xml:space="preserve"> </w:t>
            </w:r>
            <w:r>
              <w:rPr>
                <w:color w:val="FFFFFF"/>
                <w:sz w:val="24"/>
              </w:rPr>
              <w:t>for Responding</w:t>
            </w:r>
            <w:r>
              <w:rPr>
                <w:color w:val="FFFFFF"/>
                <w:spacing w:val="-3"/>
                <w:sz w:val="24"/>
              </w:rPr>
              <w:t xml:space="preserve"> </w:t>
            </w:r>
            <w:r>
              <w:rPr>
                <w:color w:val="FFFFFF"/>
                <w:sz w:val="24"/>
              </w:rPr>
              <w:t>to</w:t>
            </w:r>
            <w:r>
              <w:rPr>
                <w:color w:val="FFFFFF"/>
                <w:spacing w:val="-1"/>
                <w:sz w:val="24"/>
              </w:rPr>
              <w:t xml:space="preserve"> </w:t>
            </w:r>
            <w:r>
              <w:rPr>
                <w:color w:val="FFFFFF"/>
                <w:sz w:val="24"/>
              </w:rPr>
              <w:t>a</w:t>
            </w:r>
            <w:r>
              <w:rPr>
                <w:color w:val="FFFFFF"/>
                <w:spacing w:val="-3"/>
                <w:sz w:val="24"/>
              </w:rPr>
              <w:t xml:space="preserve"> </w:t>
            </w:r>
            <w:r>
              <w:rPr>
                <w:color w:val="FFFFFF"/>
                <w:sz w:val="24"/>
              </w:rPr>
              <w:t>Missed</w:t>
            </w:r>
            <w:r>
              <w:rPr>
                <w:color w:val="FFFFFF"/>
                <w:spacing w:val="-1"/>
                <w:sz w:val="24"/>
              </w:rPr>
              <w:t xml:space="preserve"> </w:t>
            </w:r>
            <w:r>
              <w:rPr>
                <w:color w:val="FFFFFF"/>
                <w:spacing w:val="-2"/>
                <w:sz w:val="24"/>
              </w:rPr>
              <w:t>Appointment</w:t>
            </w:r>
          </w:p>
        </w:tc>
      </w:tr>
      <w:tr w:rsidR="00DB6E1F" w14:paraId="5F873284" w14:textId="77777777">
        <w:trPr>
          <w:trHeight w:val="1218"/>
        </w:trPr>
        <w:tc>
          <w:tcPr>
            <w:tcW w:w="9350" w:type="dxa"/>
          </w:tcPr>
          <w:p w14:paraId="6C7D0984" w14:textId="77777777" w:rsidR="00DB6E1F" w:rsidRDefault="00F666A6">
            <w:pPr>
              <w:pStyle w:val="TableParagraph"/>
              <w:numPr>
                <w:ilvl w:val="0"/>
                <w:numId w:val="42"/>
              </w:numPr>
              <w:tabs>
                <w:tab w:val="left" w:pos="467"/>
                <w:tab w:val="left" w:pos="468"/>
              </w:tabs>
              <w:spacing w:before="38"/>
              <w:ind w:hanging="361"/>
              <w:rPr>
                <w:sz w:val="20"/>
              </w:rPr>
            </w:pPr>
            <w:r>
              <w:rPr>
                <w:sz w:val="20"/>
              </w:rPr>
              <w:t>Place</w:t>
            </w:r>
            <w:r>
              <w:rPr>
                <w:spacing w:val="-7"/>
                <w:sz w:val="20"/>
              </w:rPr>
              <w:t xml:space="preserve"> </w:t>
            </w:r>
            <w:r>
              <w:rPr>
                <w:sz w:val="20"/>
              </w:rPr>
              <w:t>a</w:t>
            </w:r>
            <w:r>
              <w:rPr>
                <w:spacing w:val="-4"/>
                <w:sz w:val="20"/>
              </w:rPr>
              <w:t xml:space="preserve"> </w:t>
            </w:r>
            <w:r>
              <w:rPr>
                <w:sz w:val="20"/>
              </w:rPr>
              <w:t>telephone</w:t>
            </w:r>
            <w:r>
              <w:rPr>
                <w:spacing w:val="-6"/>
                <w:sz w:val="20"/>
              </w:rPr>
              <w:t xml:space="preserve"> </w:t>
            </w:r>
            <w:r>
              <w:rPr>
                <w:spacing w:val="-4"/>
                <w:sz w:val="20"/>
              </w:rPr>
              <w:t>call.</w:t>
            </w:r>
          </w:p>
          <w:p w14:paraId="13E2EDD7" w14:textId="77777777" w:rsidR="00DB6E1F" w:rsidRDefault="00F666A6">
            <w:pPr>
              <w:pStyle w:val="TableParagraph"/>
              <w:numPr>
                <w:ilvl w:val="0"/>
                <w:numId w:val="42"/>
              </w:numPr>
              <w:tabs>
                <w:tab w:val="left" w:pos="467"/>
                <w:tab w:val="left" w:pos="468"/>
              </w:tabs>
              <w:spacing w:before="43"/>
              <w:ind w:hanging="361"/>
              <w:rPr>
                <w:sz w:val="20"/>
              </w:rPr>
            </w:pPr>
            <w:r>
              <w:rPr>
                <w:sz w:val="20"/>
              </w:rPr>
              <w:t>Send</w:t>
            </w:r>
            <w:r>
              <w:rPr>
                <w:spacing w:val="-3"/>
                <w:sz w:val="20"/>
              </w:rPr>
              <w:t xml:space="preserve"> </w:t>
            </w:r>
            <w:r>
              <w:rPr>
                <w:sz w:val="20"/>
              </w:rPr>
              <w:t>a</w:t>
            </w:r>
            <w:r>
              <w:rPr>
                <w:spacing w:val="-4"/>
                <w:sz w:val="20"/>
              </w:rPr>
              <w:t xml:space="preserve"> </w:t>
            </w:r>
            <w:r>
              <w:rPr>
                <w:sz w:val="20"/>
              </w:rPr>
              <w:t>text</w:t>
            </w:r>
            <w:r>
              <w:rPr>
                <w:spacing w:val="-4"/>
                <w:sz w:val="20"/>
              </w:rPr>
              <w:t xml:space="preserve"> </w:t>
            </w:r>
            <w:r>
              <w:rPr>
                <w:spacing w:val="-2"/>
                <w:sz w:val="20"/>
              </w:rPr>
              <w:t>message.</w:t>
            </w:r>
          </w:p>
          <w:p w14:paraId="03CAFF57" w14:textId="77777777" w:rsidR="00DB6E1F" w:rsidRDefault="00F666A6">
            <w:pPr>
              <w:pStyle w:val="TableParagraph"/>
              <w:numPr>
                <w:ilvl w:val="0"/>
                <w:numId w:val="42"/>
              </w:numPr>
              <w:tabs>
                <w:tab w:val="left" w:pos="467"/>
                <w:tab w:val="left" w:pos="468"/>
              </w:tabs>
              <w:spacing w:before="41"/>
              <w:ind w:hanging="361"/>
              <w:rPr>
                <w:sz w:val="20"/>
              </w:rPr>
            </w:pPr>
            <w:r>
              <w:rPr>
                <w:sz w:val="20"/>
              </w:rPr>
              <w:t>Write</w:t>
            </w:r>
            <w:r>
              <w:rPr>
                <w:spacing w:val="-5"/>
                <w:sz w:val="20"/>
              </w:rPr>
              <w:t xml:space="preserve"> </w:t>
            </w:r>
            <w:r>
              <w:rPr>
                <w:sz w:val="20"/>
              </w:rPr>
              <w:t>an</w:t>
            </w:r>
            <w:r>
              <w:rPr>
                <w:spacing w:val="-3"/>
                <w:sz w:val="20"/>
              </w:rPr>
              <w:t xml:space="preserve"> </w:t>
            </w:r>
            <w:r>
              <w:rPr>
                <w:spacing w:val="-2"/>
                <w:sz w:val="20"/>
              </w:rPr>
              <w:t>email.</w:t>
            </w:r>
          </w:p>
          <w:p w14:paraId="1DB262DB" w14:textId="77777777" w:rsidR="00DB6E1F" w:rsidRDefault="00F666A6">
            <w:pPr>
              <w:pStyle w:val="TableParagraph"/>
              <w:numPr>
                <w:ilvl w:val="0"/>
                <w:numId w:val="42"/>
              </w:numPr>
              <w:tabs>
                <w:tab w:val="left" w:pos="467"/>
                <w:tab w:val="left" w:pos="468"/>
              </w:tabs>
              <w:spacing w:before="38"/>
              <w:ind w:hanging="361"/>
              <w:rPr>
                <w:sz w:val="20"/>
              </w:rPr>
            </w:pPr>
            <w:r>
              <w:rPr>
                <w:sz w:val="20"/>
              </w:rPr>
              <w:t>Mail</w:t>
            </w:r>
            <w:r>
              <w:rPr>
                <w:spacing w:val="-6"/>
                <w:sz w:val="20"/>
              </w:rPr>
              <w:t xml:space="preserve"> </w:t>
            </w:r>
            <w:r>
              <w:rPr>
                <w:sz w:val="20"/>
              </w:rPr>
              <w:t>a</w:t>
            </w:r>
            <w:r>
              <w:rPr>
                <w:spacing w:val="-4"/>
                <w:sz w:val="20"/>
              </w:rPr>
              <w:t xml:space="preserve"> </w:t>
            </w:r>
            <w:r>
              <w:rPr>
                <w:sz w:val="20"/>
              </w:rPr>
              <w:t>personal</w:t>
            </w:r>
            <w:r>
              <w:rPr>
                <w:spacing w:val="-5"/>
                <w:sz w:val="20"/>
              </w:rPr>
              <w:t xml:space="preserve"> </w:t>
            </w:r>
            <w:r>
              <w:rPr>
                <w:spacing w:val="-2"/>
                <w:sz w:val="20"/>
              </w:rPr>
              <w:t>letter.</w:t>
            </w:r>
          </w:p>
        </w:tc>
      </w:tr>
    </w:tbl>
    <w:p w14:paraId="60A9CC51" w14:textId="77777777" w:rsidR="00DB6E1F" w:rsidRDefault="00DB6E1F">
      <w:pPr>
        <w:rPr>
          <w:sz w:val="20"/>
        </w:rPr>
        <w:sectPr w:rsidR="00DB6E1F">
          <w:pgSz w:w="12240" w:h="15840"/>
          <w:pgMar w:top="1200" w:right="0" w:bottom="780" w:left="0" w:header="763" w:footer="585" w:gutter="0"/>
          <w:cols w:space="720"/>
        </w:sectPr>
      </w:pPr>
    </w:p>
    <w:p w14:paraId="6D101B83"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140ADFF8" w14:textId="77777777">
        <w:trPr>
          <w:trHeight w:val="1737"/>
        </w:trPr>
        <w:tc>
          <w:tcPr>
            <w:tcW w:w="9350" w:type="dxa"/>
          </w:tcPr>
          <w:p w14:paraId="1DFC537F" w14:textId="77777777" w:rsidR="00DB6E1F" w:rsidRDefault="00F666A6">
            <w:pPr>
              <w:pStyle w:val="TableParagraph"/>
              <w:numPr>
                <w:ilvl w:val="0"/>
                <w:numId w:val="41"/>
              </w:numPr>
              <w:tabs>
                <w:tab w:val="left" w:pos="467"/>
                <w:tab w:val="left" w:pos="468"/>
              </w:tabs>
              <w:spacing w:before="0"/>
              <w:ind w:hanging="361"/>
              <w:rPr>
                <w:sz w:val="20"/>
              </w:rPr>
            </w:pPr>
            <w:r>
              <w:rPr>
                <w:sz w:val="20"/>
              </w:rPr>
              <w:t>Contact</w:t>
            </w:r>
            <w:r>
              <w:rPr>
                <w:spacing w:val="-9"/>
                <w:sz w:val="20"/>
              </w:rPr>
              <w:t xml:space="preserve"> </w:t>
            </w:r>
            <w:r>
              <w:rPr>
                <w:sz w:val="20"/>
              </w:rPr>
              <w:t>preapproved</w:t>
            </w:r>
            <w:r>
              <w:rPr>
                <w:spacing w:val="-7"/>
                <w:sz w:val="20"/>
              </w:rPr>
              <w:t xml:space="preserve"> </w:t>
            </w:r>
            <w:r>
              <w:rPr>
                <w:sz w:val="20"/>
              </w:rPr>
              <w:t>relatives</w:t>
            </w:r>
            <w:r>
              <w:rPr>
                <w:spacing w:val="-9"/>
                <w:sz w:val="20"/>
              </w:rPr>
              <w:t xml:space="preserve"> </w:t>
            </w:r>
            <w:r>
              <w:rPr>
                <w:sz w:val="20"/>
              </w:rPr>
              <w:t>or</w:t>
            </w:r>
            <w:r>
              <w:rPr>
                <w:spacing w:val="-9"/>
                <w:sz w:val="20"/>
              </w:rPr>
              <w:t xml:space="preserve"> </w:t>
            </w:r>
            <w:r>
              <w:rPr>
                <w:sz w:val="20"/>
              </w:rPr>
              <w:t>significant</w:t>
            </w:r>
            <w:r>
              <w:rPr>
                <w:spacing w:val="-8"/>
                <w:sz w:val="20"/>
              </w:rPr>
              <w:t xml:space="preserve"> </w:t>
            </w:r>
            <w:r>
              <w:rPr>
                <w:sz w:val="20"/>
              </w:rPr>
              <w:t>or</w:t>
            </w:r>
            <w:r>
              <w:rPr>
                <w:spacing w:val="-8"/>
                <w:sz w:val="20"/>
              </w:rPr>
              <w:t xml:space="preserve"> </w:t>
            </w:r>
            <w:r>
              <w:rPr>
                <w:sz w:val="20"/>
              </w:rPr>
              <w:t>concerned</w:t>
            </w:r>
            <w:r>
              <w:rPr>
                <w:spacing w:val="-8"/>
                <w:sz w:val="20"/>
              </w:rPr>
              <w:t xml:space="preserve"> </w:t>
            </w:r>
            <w:r>
              <w:rPr>
                <w:spacing w:val="-2"/>
                <w:sz w:val="20"/>
              </w:rPr>
              <w:t>others.</w:t>
            </w:r>
          </w:p>
          <w:p w14:paraId="741BFFFB" w14:textId="77777777" w:rsidR="00DB6E1F" w:rsidRDefault="00F666A6">
            <w:pPr>
              <w:pStyle w:val="TableParagraph"/>
              <w:numPr>
                <w:ilvl w:val="0"/>
                <w:numId w:val="41"/>
              </w:numPr>
              <w:tabs>
                <w:tab w:val="left" w:pos="467"/>
                <w:tab w:val="left" w:pos="468"/>
              </w:tabs>
              <w:spacing w:before="40"/>
              <w:ind w:hanging="361"/>
              <w:rPr>
                <w:sz w:val="20"/>
              </w:rPr>
            </w:pPr>
            <w:r>
              <w:rPr>
                <w:sz w:val="20"/>
              </w:rPr>
              <w:t>Pay</w:t>
            </w:r>
            <w:r>
              <w:rPr>
                <w:spacing w:val="-5"/>
                <w:sz w:val="20"/>
              </w:rPr>
              <w:t xml:space="preserve"> </w:t>
            </w:r>
            <w:r>
              <w:rPr>
                <w:sz w:val="20"/>
              </w:rPr>
              <w:t>the</w:t>
            </w:r>
            <w:r>
              <w:rPr>
                <w:spacing w:val="-6"/>
                <w:sz w:val="20"/>
              </w:rPr>
              <w:t xml:space="preserve"> </w:t>
            </w:r>
            <w:r>
              <w:rPr>
                <w:sz w:val="20"/>
              </w:rPr>
              <w:t>client</w:t>
            </w:r>
            <w:r>
              <w:rPr>
                <w:spacing w:val="-5"/>
                <w:sz w:val="20"/>
              </w:rPr>
              <w:t xml:space="preserve"> </w:t>
            </w:r>
            <w:r>
              <w:rPr>
                <w:sz w:val="20"/>
              </w:rPr>
              <w:t>a</w:t>
            </w:r>
            <w:r>
              <w:rPr>
                <w:spacing w:val="-4"/>
                <w:sz w:val="20"/>
              </w:rPr>
              <w:t xml:space="preserve"> </w:t>
            </w:r>
            <w:r>
              <w:rPr>
                <w:sz w:val="20"/>
              </w:rPr>
              <w:t>personal</w:t>
            </w:r>
            <w:r>
              <w:rPr>
                <w:spacing w:val="-5"/>
                <w:sz w:val="20"/>
              </w:rPr>
              <w:t xml:space="preserve"> </w:t>
            </w:r>
            <w:r>
              <w:rPr>
                <w:sz w:val="20"/>
              </w:rPr>
              <w:t>visit</w:t>
            </w:r>
            <w:r>
              <w:rPr>
                <w:spacing w:val="-3"/>
                <w:sz w:val="20"/>
              </w:rPr>
              <w:t xml:space="preserve"> </w:t>
            </w:r>
            <w:r>
              <w:rPr>
                <w:sz w:val="20"/>
              </w:rPr>
              <w:t>(if</w:t>
            </w:r>
            <w:r>
              <w:rPr>
                <w:spacing w:val="-6"/>
                <w:sz w:val="20"/>
              </w:rPr>
              <w:t xml:space="preserve"> </w:t>
            </w:r>
            <w:r>
              <w:rPr>
                <w:sz w:val="20"/>
              </w:rPr>
              <w:t>appropriate</w:t>
            </w:r>
            <w:r>
              <w:rPr>
                <w:spacing w:val="-6"/>
                <w:sz w:val="20"/>
              </w:rPr>
              <w:t xml:space="preserve"> </w:t>
            </w:r>
            <w:r>
              <w:rPr>
                <w:sz w:val="20"/>
              </w:rPr>
              <w:t>for</w:t>
            </w:r>
            <w:r>
              <w:rPr>
                <w:spacing w:val="-5"/>
                <w:sz w:val="20"/>
              </w:rPr>
              <w:t xml:space="preserve"> </w:t>
            </w:r>
            <w:r>
              <w:rPr>
                <w:sz w:val="20"/>
              </w:rPr>
              <w:t>your</w:t>
            </w:r>
            <w:r>
              <w:rPr>
                <w:spacing w:val="-5"/>
                <w:sz w:val="20"/>
              </w:rPr>
              <w:t xml:space="preserve"> </w:t>
            </w:r>
            <w:r>
              <w:rPr>
                <w:sz w:val="20"/>
              </w:rPr>
              <w:t>role</w:t>
            </w:r>
            <w:r>
              <w:rPr>
                <w:spacing w:val="-6"/>
                <w:sz w:val="20"/>
              </w:rPr>
              <w:t xml:space="preserve"> </w:t>
            </w:r>
            <w:r>
              <w:rPr>
                <w:sz w:val="20"/>
              </w:rPr>
              <w:t>and</w:t>
            </w:r>
            <w:r>
              <w:rPr>
                <w:spacing w:val="-4"/>
                <w:sz w:val="20"/>
              </w:rPr>
              <w:t xml:space="preserve"> </w:t>
            </w:r>
            <w:r>
              <w:rPr>
                <w:sz w:val="20"/>
              </w:rPr>
              <w:t>agency</w:t>
            </w:r>
            <w:r>
              <w:rPr>
                <w:spacing w:val="-4"/>
                <w:sz w:val="20"/>
              </w:rPr>
              <w:t xml:space="preserve"> </w:t>
            </w:r>
            <w:r>
              <w:rPr>
                <w:spacing w:val="-2"/>
                <w:sz w:val="20"/>
              </w:rPr>
              <w:t>policy).</w:t>
            </w:r>
          </w:p>
          <w:p w14:paraId="71384002" w14:textId="77777777" w:rsidR="00DB6E1F" w:rsidRDefault="00F666A6">
            <w:pPr>
              <w:pStyle w:val="TableParagraph"/>
              <w:numPr>
                <w:ilvl w:val="0"/>
                <w:numId w:val="41"/>
              </w:numPr>
              <w:tabs>
                <w:tab w:val="left" w:pos="467"/>
                <w:tab w:val="left" w:pos="468"/>
              </w:tabs>
              <w:spacing w:before="41"/>
              <w:ind w:hanging="361"/>
              <w:rPr>
                <w:sz w:val="20"/>
              </w:rPr>
            </w:pPr>
            <w:r>
              <w:rPr>
                <w:sz w:val="20"/>
              </w:rPr>
              <w:t>Contact</w:t>
            </w:r>
            <w:r>
              <w:rPr>
                <w:spacing w:val="-6"/>
                <w:sz w:val="20"/>
              </w:rPr>
              <w:t xml:space="preserve"> </w:t>
            </w:r>
            <w:r>
              <w:rPr>
                <w:sz w:val="20"/>
              </w:rPr>
              <w:t>the</w:t>
            </w:r>
            <w:r>
              <w:rPr>
                <w:spacing w:val="-7"/>
                <w:sz w:val="20"/>
              </w:rPr>
              <w:t xml:space="preserve"> </w:t>
            </w:r>
            <w:r>
              <w:rPr>
                <w:sz w:val="20"/>
              </w:rPr>
              <w:t>referral</w:t>
            </w:r>
            <w:r>
              <w:rPr>
                <w:spacing w:val="-6"/>
                <w:sz w:val="20"/>
              </w:rPr>
              <w:t xml:space="preserve"> </w:t>
            </w:r>
            <w:r>
              <w:rPr>
                <w:spacing w:val="-2"/>
                <w:sz w:val="20"/>
              </w:rPr>
              <w:t>source.</w:t>
            </w:r>
          </w:p>
          <w:p w14:paraId="15FC8870" w14:textId="77777777" w:rsidR="00DB6E1F" w:rsidRDefault="00F666A6">
            <w:pPr>
              <w:pStyle w:val="TableParagraph"/>
              <w:spacing w:before="39"/>
              <w:ind w:right="559"/>
              <w:jc w:val="both"/>
              <w:rPr>
                <w:sz w:val="20"/>
              </w:rPr>
            </w:pPr>
            <w:r>
              <w:rPr>
                <w:sz w:val="20"/>
              </w:rPr>
              <w:t>As part of the informed consent process, find out from clients which contact methods they prefer, discuss confidentiality and security issues (e.g., protection of clients’ personal health information, agency policies regarding</w:t>
            </w:r>
            <w:r>
              <w:rPr>
                <w:spacing w:val="-4"/>
                <w:sz w:val="20"/>
              </w:rPr>
              <w:t xml:space="preserve"> </w:t>
            </w:r>
            <w:r>
              <w:rPr>
                <w:sz w:val="20"/>
              </w:rPr>
              <w:t>email</w:t>
            </w:r>
            <w:r>
              <w:rPr>
                <w:spacing w:val="-4"/>
                <w:sz w:val="20"/>
              </w:rPr>
              <w:t xml:space="preserve"> </w:t>
            </w:r>
            <w:r>
              <w:rPr>
                <w:sz w:val="20"/>
              </w:rPr>
              <w:t>and</w:t>
            </w:r>
            <w:r>
              <w:rPr>
                <w:spacing w:val="-3"/>
                <w:sz w:val="20"/>
              </w:rPr>
              <w:t xml:space="preserve"> </w:t>
            </w:r>
            <w:r>
              <w:rPr>
                <w:sz w:val="20"/>
              </w:rPr>
              <w:t>texting),</w:t>
            </w:r>
            <w:r>
              <w:rPr>
                <w:spacing w:val="-3"/>
                <w:sz w:val="20"/>
              </w:rPr>
              <w:t xml:space="preserve"> </w:t>
            </w:r>
            <w:r>
              <w:rPr>
                <w:sz w:val="20"/>
              </w:rPr>
              <w:t>and</w:t>
            </w:r>
            <w:r>
              <w:rPr>
                <w:spacing w:val="-3"/>
                <w:sz w:val="20"/>
              </w:rPr>
              <w:t xml:space="preserve"> </w:t>
            </w:r>
            <w:r>
              <w:rPr>
                <w:sz w:val="20"/>
              </w:rPr>
              <w:t>obtai</w:t>
            </w:r>
            <w:r>
              <w:rPr>
                <w:sz w:val="20"/>
              </w:rPr>
              <w:t>n</w:t>
            </w:r>
            <w:r>
              <w:rPr>
                <w:spacing w:val="-3"/>
                <w:sz w:val="20"/>
              </w:rPr>
              <w:t xml:space="preserve"> </w:t>
            </w:r>
            <w:r>
              <w:rPr>
                <w:sz w:val="20"/>
              </w:rPr>
              <w:t>appropriate</w:t>
            </w:r>
            <w:r>
              <w:rPr>
                <w:spacing w:val="-5"/>
                <w:sz w:val="20"/>
              </w:rPr>
              <w:t xml:space="preserve"> </w:t>
            </w:r>
            <w:r>
              <w:rPr>
                <w:sz w:val="20"/>
              </w:rPr>
              <w:t>releases</w:t>
            </w:r>
            <w:r>
              <w:rPr>
                <w:spacing w:val="-5"/>
                <w:sz w:val="20"/>
              </w:rPr>
              <w:t xml:space="preserve"> </w:t>
            </w:r>
            <w:r>
              <w:rPr>
                <w:sz w:val="20"/>
              </w:rPr>
              <w:t>to</w:t>
            </w:r>
            <w:r>
              <w:rPr>
                <w:spacing w:val="-4"/>
                <w:sz w:val="20"/>
              </w:rPr>
              <w:t xml:space="preserve"> </w:t>
            </w:r>
            <w:r>
              <w:rPr>
                <w:sz w:val="20"/>
              </w:rPr>
              <w:t>contact</w:t>
            </w:r>
            <w:r>
              <w:rPr>
                <w:spacing w:val="-4"/>
                <w:sz w:val="20"/>
              </w:rPr>
              <w:t xml:space="preserve"> </w:t>
            </w:r>
            <w:r>
              <w:rPr>
                <w:sz w:val="20"/>
              </w:rPr>
              <w:t>other</w:t>
            </w:r>
            <w:r>
              <w:rPr>
                <w:spacing w:val="-4"/>
                <w:sz w:val="20"/>
              </w:rPr>
              <w:t xml:space="preserve"> </w:t>
            </w:r>
            <w:r>
              <w:rPr>
                <w:sz w:val="20"/>
              </w:rPr>
              <w:t>individuals</w:t>
            </w:r>
            <w:r>
              <w:rPr>
                <w:spacing w:val="-3"/>
                <w:sz w:val="20"/>
              </w:rPr>
              <w:t xml:space="preserve"> </w:t>
            </w:r>
            <w:r>
              <w:rPr>
                <w:sz w:val="20"/>
              </w:rPr>
              <w:t>or</w:t>
            </w:r>
            <w:r>
              <w:rPr>
                <w:spacing w:val="-4"/>
                <w:sz w:val="20"/>
              </w:rPr>
              <w:t xml:space="preserve"> </w:t>
            </w:r>
            <w:r>
              <w:rPr>
                <w:sz w:val="20"/>
              </w:rPr>
              <w:t>organizations.</w:t>
            </w:r>
          </w:p>
        </w:tc>
      </w:tr>
    </w:tbl>
    <w:p w14:paraId="003EF82D" w14:textId="77777777" w:rsidR="00DB6E1F" w:rsidRDefault="00DB6E1F">
      <w:pPr>
        <w:pStyle w:val="BodyText"/>
        <w:spacing w:before="7"/>
        <w:rPr>
          <w:sz w:val="12"/>
        </w:rPr>
      </w:pPr>
    </w:p>
    <w:p w14:paraId="0AC389FA" w14:textId="77777777" w:rsidR="00DB6E1F" w:rsidRDefault="00F666A6">
      <w:pPr>
        <w:pStyle w:val="Heading4"/>
        <w:spacing w:before="47"/>
      </w:pPr>
      <w:bookmarkStart w:id="195" w:name="Reach_out_and_follow_up"/>
      <w:bookmarkEnd w:id="195"/>
      <w:r>
        <w:t>Reach</w:t>
      </w:r>
      <w:r>
        <w:rPr>
          <w:spacing w:val="-6"/>
        </w:rPr>
        <w:t xml:space="preserve"> </w:t>
      </w:r>
      <w:r>
        <w:t>out</w:t>
      </w:r>
      <w:r>
        <w:rPr>
          <w:spacing w:val="-6"/>
        </w:rPr>
        <w:t xml:space="preserve"> </w:t>
      </w:r>
      <w:r>
        <w:t>and</w:t>
      </w:r>
      <w:r>
        <w:rPr>
          <w:spacing w:val="-5"/>
        </w:rPr>
        <w:t xml:space="preserve"> </w:t>
      </w:r>
      <w:r>
        <w:t>follow</w:t>
      </w:r>
      <w:r>
        <w:rPr>
          <w:spacing w:val="-5"/>
        </w:rPr>
        <w:t xml:space="preserve"> up</w:t>
      </w:r>
    </w:p>
    <w:p w14:paraId="0A90F512" w14:textId="77777777" w:rsidR="00DB6E1F" w:rsidRDefault="00F666A6">
      <w:pPr>
        <w:pStyle w:val="BodyText"/>
        <w:spacing w:before="83"/>
        <w:ind w:left="1439" w:right="1491"/>
      </w:pPr>
      <w:r>
        <w:rPr>
          <w:b/>
        </w:rPr>
        <w:t>You might need to reach out to the client following certain events</w:t>
      </w:r>
      <w:r>
        <w:t>, such as a</w:t>
      </w:r>
      <w:r>
        <w:rPr>
          <w:spacing w:val="-1"/>
        </w:rPr>
        <w:t xml:space="preserve"> </w:t>
      </w:r>
      <w:r>
        <w:t>wedding, birth of a</w:t>
      </w:r>
      <w:r>
        <w:rPr>
          <w:spacing w:val="-1"/>
        </w:rPr>
        <w:t xml:space="preserve"> </w:t>
      </w:r>
      <w:r>
        <w:t>child, traumatic injury or illness, or several missed appointments. Doing so shows your personal concern and genuine interest in protecting the counseling relationship and enhancing the recovery process. As mentioned previously, explore the client’s prefer</w:t>
      </w:r>
      <w:r>
        <w:t>red methods for you to reach out if he or she misses appointments</w:t>
      </w:r>
      <w:r>
        <w:rPr>
          <w:spacing w:val="-4"/>
        </w:rPr>
        <w:t xml:space="preserve"> </w:t>
      </w:r>
      <w:r>
        <w:t>or</w:t>
      </w:r>
      <w:r>
        <w:rPr>
          <w:spacing w:val="-2"/>
        </w:rPr>
        <w:t xml:space="preserve"> </w:t>
      </w:r>
      <w:r>
        <w:t>drops</w:t>
      </w:r>
      <w:r>
        <w:rPr>
          <w:spacing w:val="-4"/>
        </w:rPr>
        <w:t xml:space="preserve"> </w:t>
      </w:r>
      <w:r>
        <w:t>out</w:t>
      </w:r>
      <w:r>
        <w:rPr>
          <w:spacing w:val="-4"/>
        </w:rPr>
        <w:t xml:space="preserve"> </w:t>
      </w:r>
      <w:r>
        <w:t>of</w:t>
      </w:r>
      <w:r>
        <w:rPr>
          <w:spacing w:val="-4"/>
        </w:rPr>
        <w:t xml:space="preserve"> </w:t>
      </w:r>
      <w:r>
        <w:t>treatment.</w:t>
      </w:r>
      <w:r>
        <w:rPr>
          <w:spacing w:val="-2"/>
        </w:rPr>
        <w:t xml:space="preserve"> </w:t>
      </w:r>
      <w:r>
        <w:t>Make</w:t>
      </w:r>
      <w:r>
        <w:rPr>
          <w:spacing w:val="-4"/>
        </w:rPr>
        <w:t xml:space="preserve"> </w:t>
      </w:r>
      <w:r>
        <w:t>sure</w:t>
      </w:r>
      <w:r>
        <w:rPr>
          <w:spacing w:val="-1"/>
        </w:rPr>
        <w:t xml:space="preserve"> </w:t>
      </w:r>
      <w:r>
        <w:t>to</w:t>
      </w:r>
      <w:r>
        <w:rPr>
          <w:spacing w:val="-1"/>
        </w:rPr>
        <w:t xml:space="preserve"> </w:t>
      </w:r>
      <w:r>
        <w:t>get</w:t>
      </w:r>
      <w:r>
        <w:rPr>
          <w:spacing w:val="-4"/>
        </w:rPr>
        <w:t xml:space="preserve"> </w:t>
      </w:r>
      <w:r>
        <w:t>written</w:t>
      </w:r>
      <w:r>
        <w:rPr>
          <w:spacing w:val="-5"/>
        </w:rPr>
        <w:t xml:space="preserve"> </w:t>
      </w:r>
      <w:r>
        <w:t>consent</w:t>
      </w:r>
      <w:r>
        <w:rPr>
          <w:spacing w:val="-1"/>
        </w:rPr>
        <w:t xml:space="preserve"> </w:t>
      </w:r>
      <w:r>
        <w:t>to</w:t>
      </w:r>
      <w:r>
        <w:rPr>
          <w:spacing w:val="-1"/>
        </w:rPr>
        <w:t xml:space="preserve"> </w:t>
      </w:r>
      <w:r>
        <w:t>contact</w:t>
      </w:r>
      <w:r>
        <w:rPr>
          <w:spacing w:val="-1"/>
        </w:rPr>
        <w:t xml:space="preserve"> </w:t>
      </w:r>
      <w:r>
        <w:t>relatives,</w:t>
      </w:r>
      <w:r>
        <w:rPr>
          <w:spacing w:val="-2"/>
        </w:rPr>
        <w:t xml:space="preserve"> </w:t>
      </w:r>
      <w:r>
        <w:t xml:space="preserve">friends, or others. In addition, you should be aware of and abide by the client’s cultural rules and values </w:t>
      </w:r>
      <w:r>
        <w:t>about having contact outside the SUD setting.</w:t>
      </w:r>
    </w:p>
    <w:p w14:paraId="76166CB2" w14:textId="77777777" w:rsidR="00DB6E1F" w:rsidRDefault="00F666A6">
      <w:pPr>
        <w:spacing w:before="160"/>
        <w:ind w:left="1439" w:right="1549"/>
      </w:pPr>
      <w:r>
        <w:rPr>
          <w:b/>
        </w:rPr>
        <w:t xml:space="preserve">If clients complete their initial treatment goals and end treatment, follow up with them periodically. </w:t>
      </w:r>
      <w:r>
        <w:t>Setbacks,</w:t>
      </w:r>
      <w:r>
        <w:rPr>
          <w:spacing w:val="-3"/>
        </w:rPr>
        <w:t xml:space="preserve"> </w:t>
      </w:r>
      <w:r>
        <w:t>particularly</w:t>
      </w:r>
      <w:r>
        <w:rPr>
          <w:spacing w:val="-2"/>
        </w:rPr>
        <w:t xml:space="preserve"> </w:t>
      </w:r>
      <w:r>
        <w:t>with</w:t>
      </w:r>
      <w:r>
        <w:rPr>
          <w:spacing w:val="-7"/>
        </w:rPr>
        <w:t xml:space="preserve"> </w:t>
      </w:r>
      <w:r>
        <w:t>maintenance</w:t>
      </w:r>
      <w:r>
        <w:rPr>
          <w:spacing w:val="-3"/>
        </w:rPr>
        <w:t xml:space="preserve"> </w:t>
      </w:r>
      <w:r>
        <w:t>of</w:t>
      </w:r>
      <w:r>
        <w:rPr>
          <w:spacing w:val="-1"/>
        </w:rPr>
        <w:t xml:space="preserve"> </w:t>
      </w:r>
      <w:r>
        <w:t>substance</w:t>
      </w:r>
      <w:r>
        <w:rPr>
          <w:spacing w:val="-3"/>
        </w:rPr>
        <w:t xml:space="preserve"> </w:t>
      </w:r>
      <w:r>
        <w:t>use behavior</w:t>
      </w:r>
      <w:r>
        <w:rPr>
          <w:spacing w:val="-3"/>
        </w:rPr>
        <w:t xml:space="preserve"> </w:t>
      </w:r>
      <w:r>
        <w:t>change,</w:t>
      </w:r>
      <w:r>
        <w:rPr>
          <w:spacing w:val="-3"/>
        </w:rPr>
        <w:t xml:space="preserve"> </w:t>
      </w:r>
      <w:r>
        <w:t>often</w:t>
      </w:r>
      <w:r>
        <w:rPr>
          <w:spacing w:val="-4"/>
        </w:rPr>
        <w:t xml:space="preserve"> </w:t>
      </w:r>
      <w:r>
        <w:t>occurs</w:t>
      </w:r>
      <w:r>
        <w:rPr>
          <w:spacing w:val="-3"/>
        </w:rPr>
        <w:t xml:space="preserve"> </w:t>
      </w:r>
      <w:r>
        <w:t>between</w:t>
      </w:r>
      <w:r>
        <w:rPr>
          <w:spacing w:val="-4"/>
        </w:rPr>
        <w:t xml:space="preserve"> </w:t>
      </w:r>
      <w:r>
        <w:t>3 and 6 months after treatment, and you should plan regular follow-up sessions with clients to reinforce and support maintenance of treatment gains (Miller, Forcehimes, &amp; Zweben, 2011).</w:t>
      </w:r>
    </w:p>
    <w:p w14:paraId="5554F050" w14:textId="77777777" w:rsidR="00DB6E1F" w:rsidRDefault="00F666A6">
      <w:pPr>
        <w:pStyle w:val="Heading3"/>
        <w:spacing w:before="163"/>
      </w:pPr>
      <w:bookmarkStart w:id="196" w:name="Create_a_Coping_Plan"/>
      <w:bookmarkEnd w:id="196"/>
      <w:r>
        <w:t>Create</w:t>
      </w:r>
      <w:r>
        <w:rPr>
          <w:spacing w:val="-7"/>
        </w:rPr>
        <w:t xml:space="preserve"> </w:t>
      </w:r>
      <w:r>
        <w:t>a</w:t>
      </w:r>
      <w:r>
        <w:rPr>
          <w:spacing w:val="-6"/>
        </w:rPr>
        <w:t xml:space="preserve"> </w:t>
      </w:r>
      <w:r>
        <w:t>Coping</w:t>
      </w:r>
      <w:r>
        <w:rPr>
          <w:spacing w:val="-6"/>
        </w:rPr>
        <w:t xml:space="preserve"> </w:t>
      </w:r>
      <w:r>
        <w:rPr>
          <w:spacing w:val="-4"/>
        </w:rPr>
        <w:t>Plan</w:t>
      </w:r>
    </w:p>
    <w:p w14:paraId="3694058E" w14:textId="77777777" w:rsidR="00DB6E1F" w:rsidRDefault="00F666A6">
      <w:pPr>
        <w:spacing w:before="143"/>
        <w:ind w:left="1439" w:right="1491"/>
      </w:pPr>
      <w:r>
        <w:rPr>
          <w:b/>
        </w:rPr>
        <w:t>To</w:t>
      </w:r>
      <w:r>
        <w:rPr>
          <w:b/>
          <w:spacing w:val="-3"/>
        </w:rPr>
        <w:t xml:space="preserve"> </w:t>
      </w:r>
      <w:r>
        <w:rPr>
          <w:b/>
        </w:rPr>
        <w:t>help</w:t>
      </w:r>
      <w:r>
        <w:rPr>
          <w:b/>
          <w:spacing w:val="-3"/>
        </w:rPr>
        <w:t xml:space="preserve"> </w:t>
      </w:r>
      <w:r>
        <w:rPr>
          <w:b/>
        </w:rPr>
        <w:t>clients</w:t>
      </w:r>
      <w:r>
        <w:rPr>
          <w:b/>
          <w:spacing w:val="-1"/>
        </w:rPr>
        <w:t xml:space="preserve"> </w:t>
      </w:r>
      <w:r>
        <w:rPr>
          <w:b/>
        </w:rPr>
        <w:t>move</w:t>
      </w:r>
      <w:r>
        <w:rPr>
          <w:b/>
          <w:spacing w:val="-3"/>
        </w:rPr>
        <w:t xml:space="preserve"> </w:t>
      </w:r>
      <w:r>
        <w:rPr>
          <w:b/>
        </w:rPr>
        <w:t>fully</w:t>
      </w:r>
      <w:r>
        <w:rPr>
          <w:b/>
          <w:spacing w:val="-3"/>
        </w:rPr>
        <w:t xml:space="preserve"> </w:t>
      </w:r>
      <w:r>
        <w:rPr>
          <w:b/>
        </w:rPr>
        <w:t>into</w:t>
      </w:r>
      <w:r>
        <w:rPr>
          <w:b/>
          <w:spacing w:val="-3"/>
        </w:rPr>
        <w:t xml:space="preserve"> </w:t>
      </w:r>
      <w:r>
        <w:rPr>
          <w:b/>
        </w:rPr>
        <w:t>Maintenance,</w:t>
      </w:r>
      <w:r>
        <w:rPr>
          <w:b/>
          <w:spacing w:val="-1"/>
        </w:rPr>
        <w:t xml:space="preserve"> </w:t>
      </w:r>
      <w:r>
        <w:rPr>
          <w:b/>
        </w:rPr>
        <w:t>help</w:t>
      </w:r>
      <w:r>
        <w:rPr>
          <w:b/>
          <w:spacing w:val="-3"/>
        </w:rPr>
        <w:t xml:space="preserve"> </w:t>
      </w:r>
      <w:r>
        <w:rPr>
          <w:b/>
        </w:rPr>
        <w:t>them</w:t>
      </w:r>
      <w:r>
        <w:rPr>
          <w:b/>
          <w:spacing w:val="-2"/>
        </w:rPr>
        <w:t xml:space="preserve"> </w:t>
      </w:r>
      <w:r>
        <w:rPr>
          <w:b/>
        </w:rPr>
        <w:t>stabilize</w:t>
      </w:r>
      <w:r>
        <w:rPr>
          <w:b/>
          <w:spacing w:val="-3"/>
        </w:rPr>
        <w:t xml:space="preserve"> </w:t>
      </w:r>
      <w:r>
        <w:rPr>
          <w:b/>
        </w:rPr>
        <w:t>actual</w:t>
      </w:r>
      <w:r>
        <w:rPr>
          <w:b/>
          <w:spacing w:val="-3"/>
        </w:rPr>
        <w:t xml:space="preserve"> </w:t>
      </w:r>
      <w:r>
        <w:rPr>
          <w:b/>
        </w:rPr>
        <w:t>change</w:t>
      </w:r>
      <w:r>
        <w:rPr>
          <w:b/>
          <w:spacing w:val="-3"/>
        </w:rPr>
        <w:t xml:space="preserve"> </w:t>
      </w:r>
      <w:r>
        <w:rPr>
          <w:b/>
        </w:rPr>
        <w:t>in</w:t>
      </w:r>
      <w:r>
        <w:rPr>
          <w:b/>
          <w:spacing w:val="-3"/>
        </w:rPr>
        <w:t xml:space="preserve"> </w:t>
      </w:r>
      <w:r>
        <w:rPr>
          <w:b/>
        </w:rPr>
        <w:t>their</w:t>
      </w:r>
      <w:r>
        <w:rPr>
          <w:b/>
          <w:spacing w:val="-4"/>
        </w:rPr>
        <w:t xml:space="preserve"> </w:t>
      </w:r>
      <w:r>
        <w:rPr>
          <w:b/>
        </w:rPr>
        <w:t>substance</w:t>
      </w:r>
      <w:r>
        <w:rPr>
          <w:b/>
          <w:spacing w:val="-3"/>
        </w:rPr>
        <w:t xml:space="preserve"> </w:t>
      </w:r>
      <w:r>
        <w:rPr>
          <w:b/>
        </w:rPr>
        <w:t xml:space="preserve">use behavior. </w:t>
      </w:r>
      <w:r>
        <w:t>Support clients’ stabilization by helping them develop a coping plan that lists strategies for managing thoughts, urges, and impulses to drink or use drugs. This planning proce</w:t>
      </w:r>
      <w:r>
        <w:t>ss includes:</w:t>
      </w:r>
    </w:p>
    <w:p w14:paraId="67A5DFEA" w14:textId="77777777" w:rsidR="00DB6E1F" w:rsidRDefault="00F666A6">
      <w:pPr>
        <w:pStyle w:val="ListParagraph"/>
        <w:numPr>
          <w:ilvl w:val="0"/>
          <w:numId w:val="92"/>
        </w:numPr>
        <w:tabs>
          <w:tab w:val="left" w:pos="1800"/>
          <w:tab w:val="left" w:pos="1801"/>
        </w:tabs>
        <w:ind w:left="1800"/>
        <w:rPr>
          <w:rFonts w:ascii="Symbol" w:hAnsi="Symbol"/>
        </w:rPr>
      </w:pPr>
      <w:r>
        <w:t>Assessing</w:t>
      </w:r>
      <w:r>
        <w:rPr>
          <w:spacing w:val="-8"/>
        </w:rPr>
        <w:t xml:space="preserve"> </w:t>
      </w:r>
      <w:r>
        <w:t>and</w:t>
      </w:r>
      <w:r>
        <w:rPr>
          <w:spacing w:val="-9"/>
        </w:rPr>
        <w:t xml:space="preserve"> </w:t>
      </w:r>
      <w:r>
        <w:t>enhancing</w:t>
      </w:r>
      <w:r>
        <w:rPr>
          <w:spacing w:val="-8"/>
        </w:rPr>
        <w:t xml:space="preserve"> </w:t>
      </w:r>
      <w:r>
        <w:t>self-</w:t>
      </w:r>
      <w:r>
        <w:rPr>
          <w:spacing w:val="-2"/>
        </w:rPr>
        <w:t>efficacy.</w:t>
      </w:r>
    </w:p>
    <w:p w14:paraId="618C1136" w14:textId="77777777" w:rsidR="00DB6E1F" w:rsidRDefault="00F666A6">
      <w:pPr>
        <w:pStyle w:val="ListParagraph"/>
        <w:numPr>
          <w:ilvl w:val="0"/>
          <w:numId w:val="92"/>
        </w:numPr>
        <w:tabs>
          <w:tab w:val="left" w:pos="1800"/>
          <w:tab w:val="left" w:pos="1801"/>
        </w:tabs>
        <w:spacing w:before="59"/>
        <w:ind w:left="1800"/>
        <w:rPr>
          <w:rFonts w:ascii="Symbol" w:hAnsi="Symbol"/>
        </w:rPr>
      </w:pPr>
      <w:r>
        <w:t>Identifying</w:t>
      </w:r>
      <w:r>
        <w:rPr>
          <w:spacing w:val="-6"/>
        </w:rPr>
        <w:t xml:space="preserve"> </w:t>
      </w:r>
      <w:r>
        <w:t>high-risk</w:t>
      </w:r>
      <w:r>
        <w:rPr>
          <w:spacing w:val="-3"/>
        </w:rPr>
        <w:t xml:space="preserve"> </w:t>
      </w:r>
      <w:r>
        <w:t>situations</w:t>
      </w:r>
      <w:r>
        <w:rPr>
          <w:spacing w:val="-4"/>
        </w:rPr>
        <w:t xml:space="preserve"> </w:t>
      </w:r>
      <w:r>
        <w:t>that</w:t>
      </w:r>
      <w:r>
        <w:rPr>
          <w:spacing w:val="-6"/>
        </w:rPr>
        <w:t xml:space="preserve"> </w:t>
      </w:r>
      <w:r>
        <w:t>trigger</w:t>
      </w:r>
      <w:r>
        <w:rPr>
          <w:spacing w:val="-5"/>
        </w:rPr>
        <w:t xml:space="preserve"> </w:t>
      </w:r>
      <w:r>
        <w:t>the</w:t>
      </w:r>
      <w:r>
        <w:rPr>
          <w:spacing w:val="-3"/>
        </w:rPr>
        <w:t xml:space="preserve"> </w:t>
      </w:r>
      <w:r>
        <w:t>impulse</w:t>
      </w:r>
      <w:r>
        <w:rPr>
          <w:spacing w:val="-3"/>
        </w:rPr>
        <w:t xml:space="preserve"> </w:t>
      </w:r>
      <w:r>
        <w:t>to</w:t>
      </w:r>
      <w:r>
        <w:rPr>
          <w:spacing w:val="-3"/>
        </w:rPr>
        <w:t xml:space="preserve"> </w:t>
      </w:r>
      <w:r>
        <w:t>drink</w:t>
      </w:r>
      <w:r>
        <w:rPr>
          <w:spacing w:val="-6"/>
        </w:rPr>
        <w:t xml:space="preserve"> </w:t>
      </w:r>
      <w:r>
        <w:t>or</w:t>
      </w:r>
      <w:r>
        <w:rPr>
          <w:spacing w:val="-4"/>
        </w:rPr>
        <w:t xml:space="preserve"> </w:t>
      </w:r>
      <w:r>
        <w:t>use</w:t>
      </w:r>
      <w:r>
        <w:rPr>
          <w:spacing w:val="-5"/>
        </w:rPr>
        <w:t xml:space="preserve"> </w:t>
      </w:r>
      <w:r>
        <w:rPr>
          <w:spacing w:val="-2"/>
        </w:rPr>
        <w:t>drugs.</w:t>
      </w:r>
    </w:p>
    <w:p w14:paraId="557D3276" w14:textId="77777777" w:rsidR="00DB6E1F" w:rsidRDefault="00F666A6">
      <w:pPr>
        <w:pStyle w:val="ListParagraph"/>
        <w:numPr>
          <w:ilvl w:val="0"/>
          <w:numId w:val="92"/>
        </w:numPr>
        <w:tabs>
          <w:tab w:val="left" w:pos="1800"/>
          <w:tab w:val="left" w:pos="1801"/>
        </w:tabs>
        <w:ind w:left="1800"/>
        <w:rPr>
          <w:rFonts w:ascii="Symbol" w:hAnsi="Symbol"/>
        </w:rPr>
      </w:pPr>
      <w:r>
        <w:t>Identifying</w:t>
      </w:r>
      <w:r>
        <w:rPr>
          <w:spacing w:val="-7"/>
        </w:rPr>
        <w:t xml:space="preserve"> </w:t>
      </w:r>
      <w:r>
        <w:t>coping</w:t>
      </w:r>
      <w:r>
        <w:rPr>
          <w:spacing w:val="-6"/>
        </w:rPr>
        <w:t xml:space="preserve"> </w:t>
      </w:r>
      <w:r>
        <w:t>strategies</w:t>
      </w:r>
      <w:r>
        <w:rPr>
          <w:spacing w:val="-5"/>
        </w:rPr>
        <w:t xml:space="preserve"> </w:t>
      </w:r>
      <w:r>
        <w:t>to</w:t>
      </w:r>
      <w:r>
        <w:rPr>
          <w:spacing w:val="-7"/>
        </w:rPr>
        <w:t xml:space="preserve"> </w:t>
      </w:r>
      <w:r>
        <w:t>manage</w:t>
      </w:r>
      <w:r>
        <w:rPr>
          <w:spacing w:val="-5"/>
        </w:rPr>
        <w:t xml:space="preserve"> </w:t>
      </w:r>
      <w:r>
        <w:t>high-risk</w:t>
      </w:r>
      <w:r>
        <w:rPr>
          <w:spacing w:val="-4"/>
        </w:rPr>
        <w:t xml:space="preserve"> </w:t>
      </w:r>
      <w:r>
        <w:rPr>
          <w:spacing w:val="-2"/>
        </w:rPr>
        <w:t>situations.</w:t>
      </w:r>
    </w:p>
    <w:p w14:paraId="3F05BDA5" w14:textId="77777777" w:rsidR="00DB6E1F" w:rsidRDefault="00F666A6">
      <w:pPr>
        <w:pStyle w:val="ListParagraph"/>
        <w:numPr>
          <w:ilvl w:val="0"/>
          <w:numId w:val="92"/>
        </w:numPr>
        <w:tabs>
          <w:tab w:val="left" w:pos="1800"/>
          <w:tab w:val="left" w:pos="1801"/>
        </w:tabs>
        <w:spacing w:before="61"/>
        <w:ind w:left="1800"/>
        <w:rPr>
          <w:rFonts w:ascii="Symbol" w:hAnsi="Symbol"/>
        </w:rPr>
      </w:pPr>
      <w:r>
        <w:t>Helping</w:t>
      </w:r>
      <w:r>
        <w:rPr>
          <w:spacing w:val="-5"/>
        </w:rPr>
        <w:t xml:space="preserve"> </w:t>
      </w:r>
      <w:r>
        <w:t>clients</w:t>
      </w:r>
      <w:r>
        <w:rPr>
          <w:spacing w:val="-4"/>
        </w:rPr>
        <w:t xml:space="preserve"> </w:t>
      </w:r>
      <w:r>
        <w:t>practice</w:t>
      </w:r>
      <w:r>
        <w:rPr>
          <w:spacing w:val="-6"/>
        </w:rPr>
        <w:t xml:space="preserve"> </w:t>
      </w:r>
      <w:r>
        <w:t>and</w:t>
      </w:r>
      <w:r>
        <w:rPr>
          <w:spacing w:val="-5"/>
        </w:rPr>
        <w:t xml:space="preserve"> </w:t>
      </w:r>
      <w:r>
        <w:t>use</w:t>
      </w:r>
      <w:r>
        <w:rPr>
          <w:spacing w:val="-4"/>
        </w:rPr>
        <w:t xml:space="preserve"> </w:t>
      </w:r>
      <w:r>
        <w:t>effective</w:t>
      </w:r>
      <w:r>
        <w:rPr>
          <w:spacing w:val="-6"/>
        </w:rPr>
        <w:t xml:space="preserve"> </w:t>
      </w:r>
      <w:r>
        <w:t>coping</w:t>
      </w:r>
      <w:r>
        <w:rPr>
          <w:spacing w:val="-4"/>
        </w:rPr>
        <w:t xml:space="preserve"> </w:t>
      </w:r>
      <w:r>
        <w:rPr>
          <w:spacing w:val="-2"/>
        </w:rPr>
        <w:t>skills.</w:t>
      </w:r>
    </w:p>
    <w:p w14:paraId="5A49488B" w14:textId="77777777" w:rsidR="00DB6E1F" w:rsidRDefault="00F666A6">
      <w:pPr>
        <w:pStyle w:val="Heading4"/>
        <w:spacing w:before="202"/>
      </w:pPr>
      <w:bookmarkStart w:id="197" w:name="Assess_and_enhance_self-efficacy"/>
      <w:bookmarkEnd w:id="197"/>
      <w:r>
        <w:t>Assess</w:t>
      </w:r>
      <w:r>
        <w:rPr>
          <w:spacing w:val="-9"/>
        </w:rPr>
        <w:t xml:space="preserve"> </w:t>
      </w:r>
      <w:r>
        <w:t>and</w:t>
      </w:r>
      <w:r>
        <w:rPr>
          <w:spacing w:val="-10"/>
        </w:rPr>
        <w:t xml:space="preserve"> </w:t>
      </w:r>
      <w:r>
        <w:t>enhance</w:t>
      </w:r>
      <w:r>
        <w:rPr>
          <w:spacing w:val="-9"/>
        </w:rPr>
        <w:t xml:space="preserve"> </w:t>
      </w:r>
      <w:r>
        <w:t>self-</w:t>
      </w:r>
      <w:r>
        <w:rPr>
          <w:spacing w:val="-2"/>
        </w:rPr>
        <w:t>efficacy</w:t>
      </w:r>
    </w:p>
    <w:p w14:paraId="4870E206" w14:textId="77777777" w:rsidR="00DB6E1F" w:rsidRDefault="00F666A6">
      <w:pPr>
        <w:pStyle w:val="BodyText"/>
        <w:spacing w:before="83"/>
        <w:ind w:left="1439" w:right="1563"/>
      </w:pPr>
      <w:r>
        <w:rPr>
          <w:b/>
        </w:rPr>
        <w:t>Help</w:t>
      </w:r>
      <w:r>
        <w:rPr>
          <w:b/>
          <w:spacing w:val="-3"/>
        </w:rPr>
        <w:t xml:space="preserve"> </w:t>
      </w:r>
      <w:r>
        <w:rPr>
          <w:b/>
        </w:rPr>
        <w:t>clients</w:t>
      </w:r>
      <w:r>
        <w:rPr>
          <w:b/>
          <w:spacing w:val="-4"/>
        </w:rPr>
        <w:t xml:space="preserve"> </w:t>
      </w:r>
      <w:r>
        <w:rPr>
          <w:b/>
        </w:rPr>
        <w:t>improve</w:t>
      </w:r>
      <w:r>
        <w:rPr>
          <w:b/>
          <w:spacing w:val="-5"/>
        </w:rPr>
        <w:t xml:space="preserve"> </w:t>
      </w:r>
      <w:r>
        <w:rPr>
          <w:b/>
        </w:rPr>
        <w:t>their</w:t>
      </w:r>
      <w:r>
        <w:rPr>
          <w:b/>
          <w:spacing w:val="-3"/>
        </w:rPr>
        <w:t xml:space="preserve"> </w:t>
      </w:r>
      <w:r>
        <w:rPr>
          <w:b/>
        </w:rPr>
        <w:t>self-efficacy.</w:t>
      </w:r>
      <w:r>
        <w:rPr>
          <w:b/>
          <w:spacing w:val="-2"/>
        </w:rPr>
        <w:t xml:space="preserve"> </w:t>
      </w:r>
      <w:r>
        <w:t>Self-efficacy</w:t>
      </w:r>
      <w:r>
        <w:rPr>
          <w:spacing w:val="-2"/>
        </w:rPr>
        <w:t xml:space="preserve"> </w:t>
      </w:r>
      <w:r>
        <w:t>is</w:t>
      </w:r>
      <w:r>
        <w:rPr>
          <w:spacing w:val="-2"/>
        </w:rPr>
        <w:t xml:space="preserve"> </w:t>
      </w:r>
      <w:r>
        <w:t>important</w:t>
      </w:r>
      <w:r>
        <w:rPr>
          <w:spacing w:val="-2"/>
        </w:rPr>
        <w:t xml:space="preserve"> </w:t>
      </w:r>
      <w:r>
        <w:t>for</w:t>
      </w:r>
      <w:r>
        <w:rPr>
          <w:spacing w:val="-4"/>
        </w:rPr>
        <w:t xml:space="preserve"> </w:t>
      </w:r>
      <w:r>
        <w:t>changing</w:t>
      </w:r>
      <w:r>
        <w:rPr>
          <w:spacing w:val="-3"/>
        </w:rPr>
        <w:t xml:space="preserve"> </w:t>
      </w:r>
      <w:r>
        <w:t>substance</w:t>
      </w:r>
      <w:r>
        <w:rPr>
          <w:spacing w:val="-2"/>
        </w:rPr>
        <w:t xml:space="preserve"> </w:t>
      </w:r>
      <w:r>
        <w:t>use</w:t>
      </w:r>
      <w:r>
        <w:rPr>
          <w:spacing w:val="-4"/>
        </w:rPr>
        <w:t xml:space="preserve"> </w:t>
      </w:r>
      <w:r>
        <w:t>behaviors as well as sustaining those changes. There is a strong relationship between client self-efficacy and SUD treatment outcomes across a variety of substances (e.g., alcohol, cannabis, cocaine) and different counseling approaches. There is also evide</w:t>
      </w:r>
      <w:r>
        <w:t>nce that a strong counseling alliance helps clients enhance self-efficacy and increase positive treatment outcomes for alcohol use (Kadden &amp; Litt, 2011).</w:t>
      </w:r>
    </w:p>
    <w:p w14:paraId="2D9BDEBE" w14:textId="77777777" w:rsidR="00DB6E1F" w:rsidRDefault="00F666A6">
      <w:pPr>
        <w:pStyle w:val="BodyText"/>
        <w:spacing w:before="160"/>
        <w:ind w:left="1438" w:right="1491" w:firstLine="1"/>
      </w:pPr>
      <w:r>
        <w:t>Clients may have high self-efficacy in some situations and low self-efficacy in others. Several valida</w:t>
      </w:r>
      <w:r>
        <w:t>ted tools can help assess clients’ level of self-efficacy or confidence in how well they would cope with the temptation</w:t>
      </w:r>
      <w:r>
        <w:rPr>
          <w:spacing w:val="-4"/>
        </w:rPr>
        <w:t xml:space="preserve"> </w:t>
      </w:r>
      <w:r>
        <w:t>to</w:t>
      </w:r>
      <w:r>
        <w:rPr>
          <w:spacing w:val="-2"/>
        </w:rPr>
        <w:t xml:space="preserve"> </w:t>
      </w:r>
      <w:r>
        <w:t>use</w:t>
      </w:r>
      <w:r>
        <w:rPr>
          <w:spacing w:val="-5"/>
        </w:rPr>
        <w:t xml:space="preserve"> </w:t>
      </w:r>
      <w:r>
        <w:t>substances</w:t>
      </w:r>
      <w:r>
        <w:rPr>
          <w:spacing w:val="-3"/>
        </w:rPr>
        <w:t xml:space="preserve"> </w:t>
      </w:r>
      <w:r>
        <w:t>in</w:t>
      </w:r>
      <w:r>
        <w:rPr>
          <w:spacing w:val="-4"/>
        </w:rPr>
        <w:t xml:space="preserve"> </w:t>
      </w:r>
      <w:r>
        <w:t>high-risk</w:t>
      </w:r>
      <w:r>
        <w:rPr>
          <w:spacing w:val="-2"/>
        </w:rPr>
        <w:t xml:space="preserve"> </w:t>
      </w:r>
      <w:r>
        <w:t>situations.</w:t>
      </w:r>
      <w:r>
        <w:rPr>
          <w:spacing w:val="-3"/>
        </w:rPr>
        <w:t xml:space="preserve"> </w:t>
      </w:r>
      <w:r>
        <w:t>Scores</w:t>
      </w:r>
      <w:r>
        <w:rPr>
          <w:spacing w:val="-5"/>
        </w:rPr>
        <w:t xml:space="preserve"> </w:t>
      </w:r>
      <w:r>
        <w:t>provide</w:t>
      </w:r>
      <w:r>
        <w:rPr>
          <w:spacing w:val="-2"/>
        </w:rPr>
        <w:t xml:space="preserve"> </w:t>
      </w:r>
      <w:r>
        <w:t>feedback</w:t>
      </w:r>
      <w:r>
        <w:rPr>
          <w:spacing w:val="-5"/>
        </w:rPr>
        <w:t xml:space="preserve"> </w:t>
      </w:r>
      <w:r>
        <w:t>about</w:t>
      </w:r>
      <w:r>
        <w:rPr>
          <w:spacing w:val="-3"/>
        </w:rPr>
        <w:t xml:space="preserve"> </w:t>
      </w:r>
      <w:r>
        <w:t>clients’</w:t>
      </w:r>
      <w:r>
        <w:rPr>
          <w:spacing w:val="-5"/>
        </w:rPr>
        <w:t xml:space="preserve"> </w:t>
      </w:r>
      <w:r>
        <w:t xml:space="preserve">self-efficacy for a specific behavior over a range of </w:t>
      </w:r>
      <w:r>
        <w:t>high-risk situations. Some computerized versions of these instruments generate charts that present clients’ scores in an easy-to-understand way. Descriptions of the Situational Confidence Questionnaire (SCQ)/Brief SCQ (BSCQ) and the Alcohol Abstinence Self</w:t>
      </w:r>
      <w:r>
        <w:t>- Efficacy Scale (AASES), three of the most widely used instruments, follow:</w:t>
      </w:r>
    </w:p>
    <w:p w14:paraId="4FBCDB57" w14:textId="77777777" w:rsidR="00DB6E1F" w:rsidRDefault="00F666A6">
      <w:pPr>
        <w:pStyle w:val="ListParagraph"/>
        <w:numPr>
          <w:ilvl w:val="0"/>
          <w:numId w:val="92"/>
        </w:numPr>
        <w:tabs>
          <w:tab w:val="left" w:pos="1798"/>
          <w:tab w:val="left" w:pos="1799"/>
        </w:tabs>
        <w:spacing w:before="160"/>
        <w:ind w:right="1534" w:hanging="360"/>
        <w:rPr>
          <w:rFonts w:ascii="Symbol" w:hAnsi="Symbol"/>
        </w:rPr>
      </w:pPr>
      <w:r>
        <w:t xml:space="preserve">The </w:t>
      </w:r>
      <w:r>
        <w:rPr>
          <w:b/>
        </w:rPr>
        <w:t xml:space="preserve">SCQ </w:t>
      </w:r>
      <w:r>
        <w:t xml:space="preserve">and </w:t>
      </w:r>
      <w:r>
        <w:rPr>
          <w:b/>
        </w:rPr>
        <w:t xml:space="preserve">BSCQ </w:t>
      </w:r>
      <w:r>
        <w:t>have been used with people who misuse alcohol. The 100-item SCQ asks clients to</w:t>
      </w:r>
      <w:r>
        <w:rPr>
          <w:spacing w:val="-1"/>
        </w:rPr>
        <w:t xml:space="preserve"> </w:t>
      </w:r>
      <w:r>
        <w:t>identify</w:t>
      </w:r>
      <w:r>
        <w:rPr>
          <w:spacing w:val="-4"/>
        </w:rPr>
        <w:t xml:space="preserve"> </w:t>
      </w:r>
      <w:r>
        <w:t>their</w:t>
      </w:r>
      <w:r>
        <w:rPr>
          <w:spacing w:val="-2"/>
        </w:rPr>
        <w:t xml:space="preserve"> </w:t>
      </w:r>
      <w:r>
        <w:t>level</w:t>
      </w:r>
      <w:r>
        <w:rPr>
          <w:spacing w:val="-5"/>
        </w:rPr>
        <w:t xml:space="preserve"> </w:t>
      </w:r>
      <w:r>
        <w:t>of</w:t>
      </w:r>
      <w:r>
        <w:rPr>
          <w:spacing w:val="-4"/>
        </w:rPr>
        <w:t xml:space="preserve"> </w:t>
      </w:r>
      <w:r>
        <w:t>confidence</w:t>
      </w:r>
      <w:r>
        <w:rPr>
          <w:spacing w:val="-1"/>
        </w:rPr>
        <w:t xml:space="preserve"> </w:t>
      </w:r>
      <w:r>
        <w:t>in</w:t>
      </w:r>
      <w:r>
        <w:rPr>
          <w:spacing w:val="-3"/>
        </w:rPr>
        <w:t xml:space="preserve"> </w:t>
      </w:r>
      <w:r>
        <w:t>resisting</w:t>
      </w:r>
      <w:r>
        <w:rPr>
          <w:spacing w:val="-3"/>
        </w:rPr>
        <w:t xml:space="preserve"> </w:t>
      </w:r>
      <w:r>
        <w:t>drinking</w:t>
      </w:r>
      <w:r>
        <w:rPr>
          <w:spacing w:val="-2"/>
        </w:rPr>
        <w:t xml:space="preserve"> </w:t>
      </w:r>
      <w:r>
        <w:t>in</w:t>
      </w:r>
      <w:r>
        <w:rPr>
          <w:spacing w:val="-2"/>
        </w:rPr>
        <w:t xml:space="preserve"> </w:t>
      </w:r>
      <w:r>
        <w:t>8</w:t>
      </w:r>
      <w:r>
        <w:rPr>
          <w:spacing w:val="-1"/>
        </w:rPr>
        <w:t xml:space="preserve"> </w:t>
      </w:r>
      <w:r>
        <w:t>circumstances</w:t>
      </w:r>
      <w:r>
        <w:rPr>
          <w:spacing w:val="-4"/>
        </w:rPr>
        <w:t xml:space="preserve"> </w:t>
      </w:r>
      <w:r>
        <w:t>(Bresl</w:t>
      </w:r>
      <w:r>
        <w:t>in,</w:t>
      </w:r>
      <w:r>
        <w:rPr>
          <w:spacing w:val="-2"/>
        </w:rPr>
        <w:t xml:space="preserve"> </w:t>
      </w:r>
      <w:r>
        <w:t>Sobell,</w:t>
      </w:r>
      <w:r>
        <w:rPr>
          <w:spacing w:val="-1"/>
        </w:rPr>
        <w:t xml:space="preserve"> </w:t>
      </w:r>
      <w:r>
        <w:t>Sobell,</w:t>
      </w:r>
      <w:r>
        <w:rPr>
          <w:spacing w:val="-4"/>
        </w:rPr>
        <w:t xml:space="preserve"> </w:t>
      </w:r>
      <w:r>
        <w:t>&amp;</w:t>
      </w:r>
    </w:p>
    <w:p w14:paraId="1B377AEA" w14:textId="77777777" w:rsidR="00DB6E1F" w:rsidRDefault="00DB6E1F">
      <w:pPr>
        <w:rPr>
          <w:rFonts w:ascii="Symbol" w:hAnsi="Symbol"/>
        </w:rPr>
        <w:sectPr w:rsidR="00DB6E1F">
          <w:pgSz w:w="12240" w:h="15840"/>
          <w:pgMar w:top="1200" w:right="0" w:bottom="780" w:left="0" w:header="763" w:footer="585" w:gutter="0"/>
          <w:cols w:space="720"/>
        </w:sectPr>
      </w:pPr>
    </w:p>
    <w:p w14:paraId="3A732279" w14:textId="77777777" w:rsidR="00DB6E1F" w:rsidRDefault="00DB6E1F">
      <w:pPr>
        <w:pStyle w:val="BodyText"/>
        <w:spacing w:before="8"/>
        <w:rPr>
          <w:sz w:val="14"/>
        </w:rPr>
      </w:pPr>
    </w:p>
    <w:p w14:paraId="6DFE5006" w14:textId="77777777" w:rsidR="00DB6E1F" w:rsidRDefault="00F666A6">
      <w:pPr>
        <w:pStyle w:val="BodyText"/>
        <w:spacing w:before="56"/>
        <w:ind w:left="1800"/>
      </w:pPr>
      <w:r>
        <w:t>Agrawal,</w:t>
      </w:r>
      <w:r>
        <w:rPr>
          <w:spacing w:val="-8"/>
        </w:rPr>
        <w:t xml:space="preserve"> </w:t>
      </w:r>
      <w:r>
        <w:rPr>
          <w:spacing w:val="-2"/>
        </w:rPr>
        <w:t>2000):</w:t>
      </w:r>
    </w:p>
    <w:p w14:paraId="5050EEBD" w14:textId="77777777" w:rsidR="00DB6E1F" w:rsidRDefault="00F666A6">
      <w:pPr>
        <w:pStyle w:val="ListParagraph"/>
        <w:numPr>
          <w:ilvl w:val="1"/>
          <w:numId w:val="92"/>
        </w:numPr>
        <w:tabs>
          <w:tab w:val="left" w:pos="2159"/>
          <w:tab w:val="left" w:pos="2160"/>
        </w:tabs>
        <w:ind w:hanging="361"/>
      </w:pPr>
      <w:r>
        <w:t>Unpleasant</w:t>
      </w:r>
      <w:r>
        <w:rPr>
          <w:spacing w:val="-6"/>
        </w:rPr>
        <w:t xml:space="preserve"> </w:t>
      </w:r>
      <w:r>
        <w:rPr>
          <w:spacing w:val="-2"/>
        </w:rPr>
        <w:t>emotions</w:t>
      </w:r>
    </w:p>
    <w:p w14:paraId="4BE3AC8A" w14:textId="77777777" w:rsidR="00DB6E1F" w:rsidRDefault="00F666A6">
      <w:pPr>
        <w:pStyle w:val="ListParagraph"/>
        <w:numPr>
          <w:ilvl w:val="1"/>
          <w:numId w:val="92"/>
        </w:numPr>
        <w:tabs>
          <w:tab w:val="left" w:pos="2159"/>
          <w:tab w:val="left" w:pos="2160"/>
        </w:tabs>
        <w:ind w:hanging="361"/>
      </w:pPr>
      <w:r>
        <w:t>Physical</w:t>
      </w:r>
      <w:r>
        <w:rPr>
          <w:spacing w:val="-6"/>
        </w:rPr>
        <w:t xml:space="preserve"> </w:t>
      </w:r>
      <w:r>
        <w:rPr>
          <w:spacing w:val="-2"/>
        </w:rPr>
        <w:t>discomfort</w:t>
      </w:r>
    </w:p>
    <w:p w14:paraId="785F08D7" w14:textId="77777777" w:rsidR="00DB6E1F" w:rsidRDefault="00F666A6">
      <w:pPr>
        <w:pStyle w:val="ListParagraph"/>
        <w:numPr>
          <w:ilvl w:val="1"/>
          <w:numId w:val="92"/>
        </w:numPr>
        <w:tabs>
          <w:tab w:val="left" w:pos="2159"/>
          <w:tab w:val="left" w:pos="2160"/>
        </w:tabs>
        <w:spacing w:before="61"/>
        <w:ind w:hanging="361"/>
      </w:pPr>
      <w:r>
        <w:t>Testing</w:t>
      </w:r>
      <w:r>
        <w:rPr>
          <w:spacing w:val="-7"/>
        </w:rPr>
        <w:t xml:space="preserve"> </w:t>
      </w:r>
      <w:r>
        <w:t>personal</w:t>
      </w:r>
      <w:r>
        <w:rPr>
          <w:spacing w:val="-7"/>
        </w:rPr>
        <w:t xml:space="preserve"> </w:t>
      </w:r>
      <w:r>
        <w:t>control</w:t>
      </w:r>
      <w:r>
        <w:rPr>
          <w:spacing w:val="-7"/>
        </w:rPr>
        <w:t xml:space="preserve"> </w:t>
      </w:r>
      <w:r>
        <w:t>over</w:t>
      </w:r>
      <w:r>
        <w:rPr>
          <w:spacing w:val="-4"/>
        </w:rPr>
        <w:t xml:space="preserve"> </w:t>
      </w:r>
      <w:r>
        <w:t>substance</w:t>
      </w:r>
      <w:r>
        <w:rPr>
          <w:spacing w:val="-2"/>
        </w:rPr>
        <w:t xml:space="preserve"> </w:t>
      </w:r>
      <w:r>
        <w:rPr>
          <w:spacing w:val="-5"/>
        </w:rPr>
        <w:t>use</w:t>
      </w:r>
    </w:p>
    <w:p w14:paraId="70E310B8" w14:textId="77777777" w:rsidR="00DB6E1F" w:rsidRDefault="00F666A6">
      <w:pPr>
        <w:pStyle w:val="ListParagraph"/>
        <w:numPr>
          <w:ilvl w:val="1"/>
          <w:numId w:val="92"/>
        </w:numPr>
        <w:tabs>
          <w:tab w:val="left" w:pos="2159"/>
          <w:tab w:val="left" w:pos="2160"/>
        </w:tabs>
        <w:ind w:hanging="361"/>
      </w:pPr>
      <w:r>
        <w:t>Urges</w:t>
      </w:r>
      <w:r>
        <w:rPr>
          <w:spacing w:val="-4"/>
        </w:rPr>
        <w:t xml:space="preserve"> </w:t>
      </w:r>
      <w:r>
        <w:t>and</w:t>
      </w:r>
      <w:r>
        <w:rPr>
          <w:spacing w:val="-4"/>
        </w:rPr>
        <w:t xml:space="preserve"> </w:t>
      </w:r>
      <w:r>
        <w:t>temptations</w:t>
      </w:r>
      <w:r>
        <w:rPr>
          <w:spacing w:val="-5"/>
        </w:rPr>
        <w:t xml:space="preserve"> </w:t>
      </w:r>
      <w:r>
        <w:t>to</w:t>
      </w:r>
      <w:r>
        <w:rPr>
          <w:spacing w:val="-2"/>
        </w:rPr>
        <w:t xml:space="preserve"> drink</w:t>
      </w:r>
    </w:p>
    <w:p w14:paraId="52056358" w14:textId="77777777" w:rsidR="00DB6E1F" w:rsidRDefault="00F666A6">
      <w:pPr>
        <w:pStyle w:val="ListParagraph"/>
        <w:numPr>
          <w:ilvl w:val="1"/>
          <w:numId w:val="92"/>
        </w:numPr>
        <w:tabs>
          <w:tab w:val="left" w:pos="2159"/>
          <w:tab w:val="left" w:pos="2160"/>
        </w:tabs>
        <w:spacing w:before="58"/>
        <w:ind w:hanging="361"/>
      </w:pPr>
      <w:r>
        <w:t>Pleasant</w:t>
      </w:r>
      <w:r>
        <w:rPr>
          <w:spacing w:val="-4"/>
        </w:rPr>
        <w:t xml:space="preserve"> </w:t>
      </w:r>
      <w:r>
        <w:t>times</w:t>
      </w:r>
      <w:r>
        <w:rPr>
          <w:spacing w:val="-4"/>
        </w:rPr>
        <w:t xml:space="preserve"> </w:t>
      </w:r>
      <w:r>
        <w:t>with</w:t>
      </w:r>
      <w:r>
        <w:rPr>
          <w:spacing w:val="-4"/>
        </w:rPr>
        <w:t xml:space="preserve"> </w:t>
      </w:r>
      <w:r>
        <w:rPr>
          <w:spacing w:val="-2"/>
        </w:rPr>
        <w:t>others</w:t>
      </w:r>
    </w:p>
    <w:p w14:paraId="33C11497" w14:textId="77777777" w:rsidR="00DB6E1F" w:rsidRDefault="00F666A6">
      <w:pPr>
        <w:pStyle w:val="ListParagraph"/>
        <w:numPr>
          <w:ilvl w:val="1"/>
          <w:numId w:val="92"/>
        </w:numPr>
        <w:tabs>
          <w:tab w:val="left" w:pos="2159"/>
          <w:tab w:val="left" w:pos="2160"/>
        </w:tabs>
        <w:ind w:hanging="361"/>
      </w:pPr>
      <w:r>
        <w:t>Conflicts</w:t>
      </w:r>
      <w:r>
        <w:rPr>
          <w:spacing w:val="-5"/>
        </w:rPr>
        <w:t xml:space="preserve"> </w:t>
      </w:r>
      <w:r>
        <w:t>with</w:t>
      </w:r>
      <w:r>
        <w:rPr>
          <w:spacing w:val="-5"/>
        </w:rPr>
        <w:t xml:space="preserve"> </w:t>
      </w:r>
      <w:r>
        <w:rPr>
          <w:spacing w:val="-2"/>
        </w:rPr>
        <w:t>others</w:t>
      </w:r>
    </w:p>
    <w:p w14:paraId="113FB4BB" w14:textId="77777777" w:rsidR="00DB6E1F" w:rsidRDefault="00F666A6">
      <w:pPr>
        <w:pStyle w:val="ListParagraph"/>
        <w:numPr>
          <w:ilvl w:val="1"/>
          <w:numId w:val="92"/>
        </w:numPr>
        <w:tabs>
          <w:tab w:val="left" w:pos="2159"/>
          <w:tab w:val="left" w:pos="2160"/>
        </w:tabs>
        <w:ind w:hanging="361"/>
      </w:pPr>
      <w:r>
        <w:t>Pleasant</w:t>
      </w:r>
      <w:r>
        <w:rPr>
          <w:spacing w:val="-6"/>
        </w:rPr>
        <w:t xml:space="preserve"> </w:t>
      </w:r>
      <w:r>
        <w:rPr>
          <w:spacing w:val="-2"/>
        </w:rPr>
        <w:t>emotions</w:t>
      </w:r>
    </w:p>
    <w:p w14:paraId="54053589" w14:textId="77777777" w:rsidR="00DB6E1F" w:rsidRDefault="00F666A6">
      <w:pPr>
        <w:pStyle w:val="ListParagraph"/>
        <w:numPr>
          <w:ilvl w:val="1"/>
          <w:numId w:val="92"/>
        </w:numPr>
        <w:tabs>
          <w:tab w:val="left" w:pos="2159"/>
          <w:tab w:val="left" w:pos="2160"/>
        </w:tabs>
        <w:ind w:hanging="361"/>
      </w:pPr>
      <w:r>
        <w:t>Social</w:t>
      </w:r>
      <w:r>
        <w:rPr>
          <w:spacing w:val="-4"/>
        </w:rPr>
        <w:t xml:space="preserve"> </w:t>
      </w:r>
      <w:r>
        <w:t>pressure</w:t>
      </w:r>
      <w:r>
        <w:rPr>
          <w:spacing w:val="-3"/>
        </w:rPr>
        <w:t xml:space="preserve"> </w:t>
      </w:r>
      <w:r>
        <w:t>to</w:t>
      </w:r>
      <w:r>
        <w:rPr>
          <w:spacing w:val="-2"/>
        </w:rPr>
        <w:t xml:space="preserve"> </w:t>
      </w:r>
      <w:r>
        <w:rPr>
          <w:spacing w:val="-4"/>
        </w:rPr>
        <w:t>drink</w:t>
      </w:r>
    </w:p>
    <w:p w14:paraId="66E3AD2C" w14:textId="77777777" w:rsidR="00DB6E1F" w:rsidRDefault="00F666A6">
      <w:pPr>
        <w:pStyle w:val="BodyText"/>
        <w:spacing w:before="61"/>
        <w:ind w:left="1799" w:right="1454"/>
      </w:pPr>
      <w:r>
        <w:t>Clients are asked to imagine themselves in each situation and rate their confidence on a 6-point scale, ranging from not at all confident (a rating of 0) to totally confident (a rating of 6), that they</w:t>
      </w:r>
      <w:r>
        <w:rPr>
          <w:spacing w:val="40"/>
        </w:rPr>
        <w:t xml:space="preserve"> </w:t>
      </w:r>
      <w:r>
        <w:t>can</w:t>
      </w:r>
      <w:r>
        <w:rPr>
          <w:spacing w:val="-2"/>
        </w:rPr>
        <w:t xml:space="preserve"> </w:t>
      </w:r>
      <w:r>
        <w:t>resist</w:t>
      </w:r>
      <w:r>
        <w:rPr>
          <w:spacing w:val="-3"/>
        </w:rPr>
        <w:t xml:space="preserve"> </w:t>
      </w:r>
      <w:r>
        <w:t>the</w:t>
      </w:r>
      <w:r>
        <w:rPr>
          <w:spacing w:val="-1"/>
        </w:rPr>
        <w:t xml:space="preserve"> </w:t>
      </w:r>
      <w:r>
        <w:t>urge</w:t>
      </w:r>
      <w:r>
        <w:rPr>
          <w:spacing w:val="-1"/>
        </w:rPr>
        <w:t xml:space="preserve"> </w:t>
      </w:r>
      <w:r>
        <w:t>to</w:t>
      </w:r>
      <w:r>
        <w:rPr>
          <w:spacing w:val="-1"/>
        </w:rPr>
        <w:t xml:space="preserve"> </w:t>
      </w:r>
      <w:r>
        <w:t>drink</w:t>
      </w:r>
      <w:r>
        <w:rPr>
          <w:spacing w:val="-3"/>
        </w:rPr>
        <w:t xml:space="preserve"> </w:t>
      </w:r>
      <w:r>
        <w:t>heavily</w:t>
      </w:r>
      <w:r>
        <w:t>.</w:t>
      </w:r>
      <w:r>
        <w:rPr>
          <w:spacing w:val="-3"/>
        </w:rPr>
        <w:t xml:space="preserve"> </w:t>
      </w:r>
      <w:r>
        <w:t>The</w:t>
      </w:r>
      <w:r>
        <w:rPr>
          <w:spacing w:val="-1"/>
        </w:rPr>
        <w:t xml:space="preserve"> </w:t>
      </w:r>
      <w:r>
        <w:t>BSCQ</w:t>
      </w:r>
      <w:r>
        <w:rPr>
          <w:spacing w:val="-1"/>
        </w:rPr>
        <w:t xml:space="preserve"> </w:t>
      </w:r>
      <w:r>
        <w:t>is</w:t>
      </w:r>
      <w:r>
        <w:rPr>
          <w:spacing w:val="-1"/>
        </w:rPr>
        <w:t xml:space="preserve"> </w:t>
      </w:r>
      <w:r>
        <w:t>a</w:t>
      </w:r>
      <w:r>
        <w:rPr>
          <w:spacing w:val="-3"/>
        </w:rPr>
        <w:t xml:space="preserve"> </w:t>
      </w:r>
      <w:r>
        <w:t>shortened</w:t>
      </w:r>
      <w:r>
        <w:rPr>
          <w:spacing w:val="-4"/>
        </w:rPr>
        <w:t xml:space="preserve"> </w:t>
      </w:r>
      <w:r>
        <w:t>8-question</w:t>
      </w:r>
      <w:r>
        <w:rPr>
          <w:spacing w:val="-2"/>
        </w:rPr>
        <w:t xml:space="preserve"> </w:t>
      </w:r>
      <w:r>
        <w:t>form</w:t>
      </w:r>
      <w:r>
        <w:rPr>
          <w:spacing w:val="-2"/>
        </w:rPr>
        <w:t xml:space="preserve"> </w:t>
      </w:r>
      <w:r>
        <w:t>that</w:t>
      </w:r>
      <w:r>
        <w:rPr>
          <w:spacing w:val="-3"/>
        </w:rPr>
        <w:t xml:space="preserve"> </w:t>
      </w:r>
      <w:r>
        <w:t>asks</w:t>
      </w:r>
      <w:r>
        <w:rPr>
          <w:spacing w:val="-1"/>
        </w:rPr>
        <w:t xml:space="preserve"> </w:t>
      </w:r>
      <w:r>
        <w:t>clients</w:t>
      </w:r>
      <w:r>
        <w:rPr>
          <w:spacing w:val="-3"/>
        </w:rPr>
        <w:t xml:space="preserve"> </w:t>
      </w:r>
      <w:r>
        <w:t>to</w:t>
      </w:r>
      <w:r>
        <w:rPr>
          <w:spacing w:val="-2"/>
        </w:rPr>
        <w:t xml:space="preserve"> </w:t>
      </w:r>
      <w:r>
        <w:t>rate these circumstances using a scale of 0% to 100%, with 0% indicating not at all confident and 100% indicating totally confident. The BSCQ and its scoring instruments are available in Appendix B.</w:t>
      </w:r>
    </w:p>
    <w:p w14:paraId="47775A1C" w14:textId="77777777" w:rsidR="00DB6E1F" w:rsidRDefault="00F666A6">
      <w:pPr>
        <w:pStyle w:val="ListParagraph"/>
        <w:numPr>
          <w:ilvl w:val="0"/>
          <w:numId w:val="92"/>
        </w:numPr>
        <w:tabs>
          <w:tab w:val="left" w:pos="1799"/>
          <w:tab w:val="left" w:pos="1800"/>
        </w:tabs>
        <w:spacing w:before="58"/>
        <w:ind w:left="1798" w:right="1506" w:hanging="360"/>
        <w:rPr>
          <w:rFonts w:ascii="Symbol" w:hAnsi="Symbol"/>
        </w:rPr>
      </w:pPr>
      <w:r>
        <w:t xml:space="preserve">The </w:t>
      </w:r>
      <w:r>
        <w:rPr>
          <w:b/>
        </w:rPr>
        <w:t>AASES</w:t>
      </w:r>
      <w:r>
        <w:rPr>
          <w:b/>
          <w:spacing w:val="-1"/>
        </w:rPr>
        <w:t xml:space="preserve"> </w:t>
      </w:r>
      <w:r>
        <w:t>measures</w:t>
      </w:r>
      <w:r>
        <w:rPr>
          <w:spacing w:val="-2"/>
        </w:rPr>
        <w:t xml:space="preserve"> </w:t>
      </w:r>
      <w:r>
        <w:t>an</w:t>
      </w:r>
      <w:r>
        <w:rPr>
          <w:spacing w:val="-1"/>
        </w:rPr>
        <w:t xml:space="preserve"> </w:t>
      </w:r>
      <w:r>
        <w:t>individual’s self-efficacy in</w:t>
      </w:r>
      <w:r>
        <w:rPr>
          <w:spacing w:val="-1"/>
        </w:rPr>
        <w:t xml:space="preserve"> </w:t>
      </w:r>
      <w:r>
        <w:t>absta</w:t>
      </w:r>
      <w:r>
        <w:t>ining</w:t>
      </w:r>
      <w:r>
        <w:rPr>
          <w:spacing w:val="-1"/>
        </w:rPr>
        <w:t xml:space="preserve"> </w:t>
      </w:r>
      <w:r>
        <w:t>from alcohol</w:t>
      </w:r>
      <w:r>
        <w:rPr>
          <w:spacing w:val="-3"/>
        </w:rPr>
        <w:t xml:space="preserve"> </w:t>
      </w:r>
      <w:r>
        <w:t>(DiClemente,</w:t>
      </w:r>
      <w:r>
        <w:rPr>
          <w:spacing w:val="-2"/>
        </w:rPr>
        <w:t xml:space="preserve"> </w:t>
      </w:r>
      <w:r>
        <w:t>Carbonari, Montgomery, &amp; Hughes, 1994). Although similar to the SCQ/BSCQ, the AASES focuses on clients’ confidence</w:t>
      </w:r>
      <w:r>
        <w:rPr>
          <w:spacing w:val="-4"/>
        </w:rPr>
        <w:t xml:space="preserve"> </w:t>
      </w:r>
      <w:r>
        <w:t>in</w:t>
      </w:r>
      <w:r>
        <w:rPr>
          <w:spacing w:val="-3"/>
        </w:rPr>
        <w:t xml:space="preserve"> </w:t>
      </w:r>
      <w:r>
        <w:t>their</w:t>
      </w:r>
      <w:r>
        <w:rPr>
          <w:spacing w:val="-4"/>
        </w:rPr>
        <w:t xml:space="preserve"> </w:t>
      </w:r>
      <w:r>
        <w:t>ability</w:t>
      </w:r>
      <w:r>
        <w:rPr>
          <w:spacing w:val="-3"/>
        </w:rPr>
        <w:t xml:space="preserve"> </w:t>
      </w:r>
      <w:r>
        <w:t>to</w:t>
      </w:r>
      <w:r>
        <w:rPr>
          <w:spacing w:val="-1"/>
        </w:rPr>
        <w:t xml:space="preserve"> </w:t>
      </w:r>
      <w:r>
        <w:t>abstain</w:t>
      </w:r>
      <w:r>
        <w:rPr>
          <w:spacing w:val="-3"/>
        </w:rPr>
        <w:t xml:space="preserve"> </w:t>
      </w:r>
      <w:r>
        <w:t>from</w:t>
      </w:r>
      <w:r>
        <w:rPr>
          <w:spacing w:val="-1"/>
        </w:rPr>
        <w:t xml:space="preserve"> </w:t>
      </w:r>
      <w:r>
        <w:t>drinking</w:t>
      </w:r>
      <w:r>
        <w:rPr>
          <w:spacing w:val="-3"/>
        </w:rPr>
        <w:t xml:space="preserve"> </w:t>
      </w:r>
      <w:r>
        <w:t>across</w:t>
      </w:r>
      <w:r>
        <w:rPr>
          <w:spacing w:val="-4"/>
        </w:rPr>
        <w:t xml:space="preserve"> </w:t>
      </w:r>
      <w:r>
        <w:t>20</w:t>
      </w:r>
      <w:r>
        <w:rPr>
          <w:spacing w:val="-3"/>
        </w:rPr>
        <w:t xml:space="preserve"> </w:t>
      </w:r>
      <w:r>
        <w:t>different</w:t>
      </w:r>
      <w:r>
        <w:rPr>
          <w:spacing w:val="-4"/>
        </w:rPr>
        <w:t xml:space="preserve"> </w:t>
      </w:r>
      <w:r>
        <w:t>situations.</w:t>
      </w:r>
      <w:r>
        <w:rPr>
          <w:spacing w:val="-5"/>
        </w:rPr>
        <w:t xml:space="preserve"> </w:t>
      </w:r>
      <w:r>
        <w:t>The</w:t>
      </w:r>
      <w:r>
        <w:rPr>
          <w:spacing w:val="-1"/>
        </w:rPr>
        <w:t xml:space="preserve"> </w:t>
      </w:r>
      <w:r>
        <w:t>AASES</w:t>
      </w:r>
      <w:r>
        <w:rPr>
          <w:spacing w:val="-2"/>
        </w:rPr>
        <w:t xml:space="preserve"> </w:t>
      </w:r>
      <w:r>
        <w:t xml:space="preserve">consists of 20 items and </w:t>
      </w:r>
      <w:r>
        <w:t>can be used to assess both the temptation to drink and the confidence to abstain. The AASES and its scoring instructions are available in Appendix B.</w:t>
      </w:r>
    </w:p>
    <w:p w14:paraId="48C8B7F1" w14:textId="77777777" w:rsidR="00DB6E1F" w:rsidRDefault="00F666A6">
      <w:pPr>
        <w:spacing w:before="162"/>
        <w:ind w:left="1438" w:right="1444"/>
      </w:pPr>
      <w:r>
        <w:rPr>
          <w:b/>
        </w:rPr>
        <w:t>By</w:t>
      </w:r>
      <w:r>
        <w:rPr>
          <w:b/>
          <w:spacing w:val="-1"/>
        </w:rPr>
        <w:t xml:space="preserve"> </w:t>
      </w:r>
      <w:r>
        <w:rPr>
          <w:b/>
        </w:rPr>
        <w:t>using</w:t>
      </w:r>
      <w:r>
        <w:rPr>
          <w:b/>
          <w:spacing w:val="-1"/>
        </w:rPr>
        <w:t xml:space="preserve"> </w:t>
      </w:r>
      <w:r>
        <w:rPr>
          <w:b/>
        </w:rPr>
        <w:t>these</w:t>
      </w:r>
      <w:r>
        <w:rPr>
          <w:b/>
          <w:spacing w:val="-3"/>
        </w:rPr>
        <w:t xml:space="preserve"> </w:t>
      </w:r>
      <w:r>
        <w:rPr>
          <w:b/>
        </w:rPr>
        <w:t>tools,</w:t>
      </w:r>
      <w:r>
        <w:rPr>
          <w:b/>
          <w:spacing w:val="-4"/>
        </w:rPr>
        <w:t xml:space="preserve"> </w:t>
      </w:r>
      <w:r>
        <w:rPr>
          <w:b/>
        </w:rPr>
        <w:t>clients</w:t>
      </w:r>
      <w:r>
        <w:rPr>
          <w:b/>
          <w:spacing w:val="-2"/>
        </w:rPr>
        <w:t xml:space="preserve"> </w:t>
      </w:r>
      <w:r>
        <w:rPr>
          <w:b/>
        </w:rPr>
        <w:t>can</w:t>
      </w:r>
      <w:r>
        <w:rPr>
          <w:b/>
          <w:spacing w:val="-3"/>
        </w:rPr>
        <w:t xml:space="preserve"> </w:t>
      </w:r>
      <w:r>
        <w:rPr>
          <w:b/>
        </w:rPr>
        <w:t>better</w:t>
      </w:r>
      <w:r>
        <w:rPr>
          <w:b/>
          <w:spacing w:val="-1"/>
        </w:rPr>
        <w:t xml:space="preserve"> </w:t>
      </w:r>
      <w:r>
        <w:rPr>
          <w:b/>
        </w:rPr>
        <w:t>understand</w:t>
      </w:r>
      <w:r>
        <w:rPr>
          <w:b/>
          <w:spacing w:val="-3"/>
        </w:rPr>
        <w:t xml:space="preserve"> </w:t>
      </w:r>
      <w:r>
        <w:rPr>
          <w:b/>
        </w:rPr>
        <w:t>the</w:t>
      </w:r>
      <w:r>
        <w:rPr>
          <w:b/>
          <w:spacing w:val="-2"/>
        </w:rPr>
        <w:t xml:space="preserve"> </w:t>
      </w:r>
      <w:r>
        <w:rPr>
          <w:b/>
        </w:rPr>
        <w:t>high-risk</w:t>
      </w:r>
      <w:r>
        <w:rPr>
          <w:b/>
          <w:spacing w:val="-5"/>
        </w:rPr>
        <w:t xml:space="preserve"> </w:t>
      </w:r>
      <w:r>
        <w:rPr>
          <w:b/>
        </w:rPr>
        <w:t>situations</w:t>
      </w:r>
      <w:r>
        <w:rPr>
          <w:b/>
          <w:spacing w:val="-1"/>
        </w:rPr>
        <w:t xml:space="preserve"> </w:t>
      </w:r>
      <w:r>
        <w:rPr>
          <w:b/>
        </w:rPr>
        <w:t>in</w:t>
      </w:r>
      <w:r>
        <w:rPr>
          <w:b/>
          <w:spacing w:val="-5"/>
        </w:rPr>
        <w:t xml:space="preserve"> </w:t>
      </w:r>
      <w:r>
        <w:rPr>
          <w:b/>
        </w:rPr>
        <w:t>which</w:t>
      </w:r>
      <w:r>
        <w:rPr>
          <w:b/>
          <w:spacing w:val="-3"/>
        </w:rPr>
        <w:t xml:space="preserve"> </w:t>
      </w:r>
      <w:r>
        <w:rPr>
          <w:b/>
        </w:rPr>
        <w:t>they</w:t>
      </w:r>
      <w:r>
        <w:rPr>
          <w:b/>
          <w:spacing w:val="-1"/>
        </w:rPr>
        <w:t xml:space="preserve"> </w:t>
      </w:r>
      <w:r>
        <w:rPr>
          <w:b/>
        </w:rPr>
        <w:t>have</w:t>
      </w:r>
      <w:r>
        <w:rPr>
          <w:b/>
          <w:spacing w:val="-5"/>
        </w:rPr>
        <w:t xml:space="preserve"> </w:t>
      </w:r>
      <w:r>
        <w:rPr>
          <w:b/>
        </w:rPr>
        <w:t>low</w:t>
      </w:r>
      <w:r>
        <w:rPr>
          <w:b/>
          <w:spacing w:val="-3"/>
        </w:rPr>
        <w:t xml:space="preserve"> </w:t>
      </w:r>
      <w:r>
        <w:rPr>
          <w:b/>
        </w:rPr>
        <w:t>self- efficacy.</w:t>
      </w:r>
      <w:r>
        <w:rPr>
          <w:b/>
          <w:spacing w:val="-4"/>
        </w:rPr>
        <w:t xml:space="preserve"> </w:t>
      </w:r>
      <w:r>
        <w:t>This</w:t>
      </w:r>
      <w:r>
        <w:rPr>
          <w:spacing w:val="-3"/>
        </w:rPr>
        <w:t xml:space="preserve"> </w:t>
      </w:r>
      <w:r>
        <w:t>information</w:t>
      </w:r>
      <w:r>
        <w:rPr>
          <w:spacing w:val="-4"/>
        </w:rPr>
        <w:t xml:space="preserve"> </w:t>
      </w:r>
      <w:r>
        <w:t>can</w:t>
      </w:r>
      <w:r>
        <w:rPr>
          <w:spacing w:val="-4"/>
        </w:rPr>
        <w:t xml:space="preserve"> </w:t>
      </w:r>
      <w:r>
        <w:t>be</w:t>
      </w:r>
      <w:r>
        <w:rPr>
          <w:spacing w:val="-2"/>
        </w:rPr>
        <w:t xml:space="preserve"> </w:t>
      </w:r>
      <w:r>
        <w:t>helpful</w:t>
      </w:r>
      <w:r>
        <w:rPr>
          <w:spacing w:val="-3"/>
        </w:rPr>
        <w:t xml:space="preserve"> </w:t>
      </w:r>
      <w:r>
        <w:t>in</w:t>
      </w:r>
      <w:r>
        <w:rPr>
          <w:spacing w:val="-4"/>
        </w:rPr>
        <w:t xml:space="preserve"> </w:t>
      </w:r>
      <w:r>
        <w:t>setting</w:t>
      </w:r>
      <w:r>
        <w:rPr>
          <w:spacing w:val="-4"/>
        </w:rPr>
        <w:t xml:space="preserve"> </w:t>
      </w:r>
      <w:r>
        <w:t>realistic</w:t>
      </w:r>
      <w:r>
        <w:rPr>
          <w:spacing w:val="-3"/>
        </w:rPr>
        <w:t xml:space="preserve"> </w:t>
      </w:r>
      <w:r>
        <w:t>goals</w:t>
      </w:r>
      <w:r>
        <w:rPr>
          <w:spacing w:val="-3"/>
        </w:rPr>
        <w:t xml:space="preserve"> </w:t>
      </w:r>
      <w:r>
        <w:t>and</w:t>
      </w:r>
      <w:r>
        <w:rPr>
          <w:spacing w:val="-3"/>
        </w:rPr>
        <w:t xml:space="preserve"> </w:t>
      </w:r>
      <w:r>
        <w:t>developing</w:t>
      </w:r>
      <w:r>
        <w:rPr>
          <w:spacing w:val="-4"/>
        </w:rPr>
        <w:t xml:space="preserve"> </w:t>
      </w:r>
      <w:r>
        <w:t>an</w:t>
      </w:r>
      <w:r>
        <w:rPr>
          <w:spacing w:val="-4"/>
        </w:rPr>
        <w:t xml:space="preserve"> </w:t>
      </w:r>
      <w:r>
        <w:t>individualized</w:t>
      </w:r>
      <w:r>
        <w:rPr>
          <w:spacing w:val="-4"/>
        </w:rPr>
        <w:t xml:space="preserve"> </w:t>
      </w:r>
      <w:r>
        <w:t>coping plan. Clients who rank many situations as high risk (i.e., low self-efficacy) may need to identify and develop new coping strategies.</w:t>
      </w:r>
    </w:p>
    <w:p w14:paraId="5745753C" w14:textId="77777777" w:rsidR="00DB6E1F" w:rsidRDefault="00F666A6">
      <w:pPr>
        <w:spacing w:before="160"/>
        <w:ind w:left="1438"/>
      </w:pPr>
      <w:r>
        <w:t>Other</w:t>
      </w:r>
      <w:r>
        <w:rPr>
          <w:spacing w:val="-8"/>
        </w:rPr>
        <w:t xml:space="preserve"> </w:t>
      </w:r>
      <w:r>
        <w:rPr>
          <w:b/>
        </w:rPr>
        <w:t>s</w:t>
      </w:r>
      <w:r>
        <w:rPr>
          <w:b/>
        </w:rPr>
        <w:t>trategies</w:t>
      </w:r>
      <w:r>
        <w:rPr>
          <w:b/>
          <w:spacing w:val="-6"/>
        </w:rPr>
        <w:t xml:space="preserve"> </w:t>
      </w:r>
      <w:r>
        <w:rPr>
          <w:b/>
        </w:rPr>
        <w:t>to</w:t>
      </w:r>
      <w:r>
        <w:rPr>
          <w:b/>
          <w:spacing w:val="-5"/>
        </w:rPr>
        <w:t xml:space="preserve"> </w:t>
      </w:r>
      <w:r>
        <w:rPr>
          <w:b/>
        </w:rPr>
        <w:t>enhance</w:t>
      </w:r>
      <w:r>
        <w:rPr>
          <w:b/>
          <w:spacing w:val="-5"/>
        </w:rPr>
        <w:t xml:space="preserve"> </w:t>
      </w:r>
      <w:r>
        <w:rPr>
          <w:b/>
        </w:rPr>
        <w:t>client</w:t>
      </w:r>
      <w:r>
        <w:rPr>
          <w:b/>
          <w:spacing w:val="-4"/>
        </w:rPr>
        <w:t xml:space="preserve"> </w:t>
      </w:r>
      <w:r>
        <w:rPr>
          <w:b/>
        </w:rPr>
        <w:t>self-efficacy</w:t>
      </w:r>
      <w:r>
        <w:rPr>
          <w:b/>
          <w:spacing w:val="-5"/>
        </w:rPr>
        <w:t xml:space="preserve"> </w:t>
      </w:r>
      <w:r>
        <w:rPr>
          <w:b/>
        </w:rPr>
        <w:t>in</w:t>
      </w:r>
      <w:r>
        <w:rPr>
          <w:b/>
          <w:spacing w:val="-5"/>
        </w:rPr>
        <w:t xml:space="preserve"> </w:t>
      </w:r>
      <w:r>
        <w:rPr>
          <w:b/>
        </w:rPr>
        <w:t>Maintenance</w:t>
      </w:r>
      <w:r>
        <w:rPr>
          <w:b/>
          <w:spacing w:val="-5"/>
        </w:rPr>
        <w:t xml:space="preserve"> </w:t>
      </w:r>
      <w:r>
        <w:rPr>
          <w:b/>
        </w:rPr>
        <w:t>include</w:t>
      </w:r>
      <w:r>
        <w:rPr>
          <w:b/>
          <w:spacing w:val="-5"/>
        </w:rPr>
        <w:t xml:space="preserve"> </w:t>
      </w:r>
      <w:r>
        <w:t>(Miller</w:t>
      </w:r>
      <w:r>
        <w:rPr>
          <w:spacing w:val="-5"/>
        </w:rPr>
        <w:t xml:space="preserve"> </w:t>
      </w:r>
      <w:r>
        <w:t>&amp;</w:t>
      </w:r>
      <w:r>
        <w:rPr>
          <w:spacing w:val="-6"/>
        </w:rPr>
        <w:t xml:space="preserve"> </w:t>
      </w:r>
      <w:r>
        <w:t>Rollnick,</w:t>
      </w:r>
      <w:r>
        <w:rPr>
          <w:spacing w:val="-4"/>
        </w:rPr>
        <w:t xml:space="preserve"> </w:t>
      </w:r>
      <w:r>
        <w:rPr>
          <w:spacing w:val="-2"/>
        </w:rPr>
        <w:t>2013):</w:t>
      </w:r>
    </w:p>
    <w:p w14:paraId="1EAF7317" w14:textId="77777777" w:rsidR="00DB6E1F" w:rsidRDefault="00F666A6">
      <w:pPr>
        <w:pStyle w:val="ListParagraph"/>
        <w:numPr>
          <w:ilvl w:val="0"/>
          <w:numId w:val="92"/>
        </w:numPr>
        <w:tabs>
          <w:tab w:val="left" w:pos="1798"/>
          <w:tab w:val="left" w:pos="1799"/>
        </w:tabs>
        <w:ind w:left="1798"/>
        <w:rPr>
          <w:rFonts w:ascii="Symbol" w:hAnsi="Symbol"/>
        </w:rPr>
      </w:pPr>
      <w:r>
        <w:t>Expressing</w:t>
      </w:r>
      <w:r>
        <w:rPr>
          <w:spacing w:val="-6"/>
        </w:rPr>
        <w:t xml:space="preserve"> </w:t>
      </w:r>
      <w:r>
        <w:t>confidence</w:t>
      </w:r>
      <w:r>
        <w:rPr>
          <w:spacing w:val="-6"/>
        </w:rPr>
        <w:t xml:space="preserve"> </w:t>
      </w:r>
      <w:r>
        <w:t>in</w:t>
      </w:r>
      <w:r>
        <w:rPr>
          <w:spacing w:val="-5"/>
        </w:rPr>
        <w:t xml:space="preserve"> </w:t>
      </w:r>
      <w:r>
        <w:t>the</w:t>
      </w:r>
      <w:r>
        <w:rPr>
          <w:spacing w:val="-3"/>
        </w:rPr>
        <w:t xml:space="preserve"> </w:t>
      </w:r>
      <w:r>
        <w:t>client’s</w:t>
      </w:r>
      <w:r>
        <w:rPr>
          <w:spacing w:val="-4"/>
        </w:rPr>
        <w:t xml:space="preserve"> </w:t>
      </w:r>
      <w:r>
        <w:t>ability</w:t>
      </w:r>
      <w:r>
        <w:rPr>
          <w:spacing w:val="-5"/>
        </w:rPr>
        <w:t xml:space="preserve"> </w:t>
      </w:r>
      <w:r>
        <w:t>to</w:t>
      </w:r>
      <w:r>
        <w:rPr>
          <w:spacing w:val="-3"/>
        </w:rPr>
        <w:t xml:space="preserve"> </w:t>
      </w:r>
      <w:r>
        <w:rPr>
          <w:spacing w:val="-2"/>
        </w:rPr>
        <w:t>change.</w:t>
      </w:r>
    </w:p>
    <w:p w14:paraId="4BDEE93C" w14:textId="77777777" w:rsidR="00DB6E1F" w:rsidRDefault="00F666A6">
      <w:pPr>
        <w:pStyle w:val="ListParagraph"/>
        <w:numPr>
          <w:ilvl w:val="0"/>
          <w:numId w:val="92"/>
        </w:numPr>
        <w:tabs>
          <w:tab w:val="left" w:pos="1798"/>
          <w:tab w:val="left" w:pos="1799"/>
        </w:tabs>
        <w:ind w:left="1798"/>
        <w:rPr>
          <w:rFonts w:ascii="Symbol" w:hAnsi="Symbol"/>
        </w:rPr>
      </w:pPr>
      <w:r>
        <w:t>Reviewing</w:t>
      </w:r>
      <w:r>
        <w:rPr>
          <w:spacing w:val="-7"/>
        </w:rPr>
        <w:t xml:space="preserve"> </w:t>
      </w:r>
      <w:r>
        <w:t>past</w:t>
      </w:r>
      <w:r>
        <w:rPr>
          <w:spacing w:val="-5"/>
        </w:rPr>
        <w:t xml:space="preserve"> </w:t>
      </w:r>
      <w:r>
        <w:t>success</w:t>
      </w:r>
      <w:r>
        <w:rPr>
          <w:spacing w:val="-3"/>
        </w:rPr>
        <w:t xml:space="preserve"> </w:t>
      </w:r>
      <w:r>
        <w:t>with</w:t>
      </w:r>
      <w:r>
        <w:rPr>
          <w:spacing w:val="-4"/>
        </w:rPr>
        <w:t xml:space="preserve"> </w:t>
      </w:r>
      <w:r>
        <w:t>changing</w:t>
      </w:r>
      <w:r>
        <w:rPr>
          <w:spacing w:val="-4"/>
        </w:rPr>
        <w:t xml:space="preserve"> </w:t>
      </w:r>
      <w:r>
        <w:t>substance</w:t>
      </w:r>
      <w:r>
        <w:rPr>
          <w:spacing w:val="-3"/>
        </w:rPr>
        <w:t xml:space="preserve"> </w:t>
      </w:r>
      <w:r>
        <w:t>use</w:t>
      </w:r>
      <w:r>
        <w:rPr>
          <w:spacing w:val="-5"/>
        </w:rPr>
        <w:t xml:space="preserve"> </w:t>
      </w:r>
      <w:r>
        <w:t>or</w:t>
      </w:r>
      <w:r>
        <w:rPr>
          <w:spacing w:val="-3"/>
        </w:rPr>
        <w:t xml:space="preserve"> </w:t>
      </w:r>
      <w:r>
        <w:t>other</w:t>
      </w:r>
      <w:r>
        <w:rPr>
          <w:spacing w:val="-3"/>
        </w:rPr>
        <w:t xml:space="preserve"> </w:t>
      </w:r>
      <w:r>
        <w:t>health</w:t>
      </w:r>
      <w:r>
        <w:rPr>
          <w:spacing w:val="-4"/>
        </w:rPr>
        <w:t xml:space="preserve"> </w:t>
      </w:r>
      <w:r>
        <w:rPr>
          <w:spacing w:val="-2"/>
        </w:rPr>
        <w:t>behaviors.</w:t>
      </w:r>
    </w:p>
    <w:p w14:paraId="41A67F42" w14:textId="77777777" w:rsidR="00DB6E1F" w:rsidRDefault="00F666A6">
      <w:pPr>
        <w:pStyle w:val="ListParagraph"/>
        <w:numPr>
          <w:ilvl w:val="0"/>
          <w:numId w:val="92"/>
        </w:numPr>
        <w:tabs>
          <w:tab w:val="left" w:pos="1798"/>
          <w:tab w:val="left" w:pos="1799"/>
        </w:tabs>
        <w:spacing w:before="59"/>
        <w:ind w:left="1798"/>
        <w:rPr>
          <w:rFonts w:ascii="Symbol" w:hAnsi="Symbol"/>
        </w:rPr>
      </w:pPr>
      <w:r>
        <w:t>Reviewing</w:t>
      </w:r>
      <w:r>
        <w:rPr>
          <w:spacing w:val="-5"/>
        </w:rPr>
        <w:t xml:space="preserve"> </w:t>
      </w:r>
      <w:r>
        <w:t>the</w:t>
      </w:r>
      <w:r>
        <w:rPr>
          <w:spacing w:val="-6"/>
        </w:rPr>
        <w:t xml:space="preserve"> </w:t>
      </w:r>
      <w:r>
        <w:t>client’s</w:t>
      </w:r>
      <w:r>
        <w:rPr>
          <w:spacing w:val="-4"/>
        </w:rPr>
        <w:t xml:space="preserve"> </w:t>
      </w:r>
      <w:r>
        <w:t>current</w:t>
      </w:r>
      <w:r>
        <w:rPr>
          <w:spacing w:val="-3"/>
        </w:rPr>
        <w:t xml:space="preserve"> </w:t>
      </w:r>
      <w:r>
        <w:rPr>
          <w:spacing w:val="-2"/>
        </w:rPr>
        <w:t>strengths.</w:t>
      </w:r>
    </w:p>
    <w:p w14:paraId="2B6CE65D" w14:textId="77777777" w:rsidR="00DB6E1F" w:rsidRDefault="00F666A6">
      <w:pPr>
        <w:pStyle w:val="ListParagraph"/>
        <w:numPr>
          <w:ilvl w:val="0"/>
          <w:numId w:val="92"/>
        </w:numPr>
        <w:tabs>
          <w:tab w:val="left" w:pos="1798"/>
          <w:tab w:val="left" w:pos="1799"/>
        </w:tabs>
        <w:ind w:left="1798"/>
        <w:rPr>
          <w:rFonts w:ascii="Symbol" w:hAnsi="Symbol"/>
        </w:rPr>
      </w:pPr>
      <w:r>
        <w:t>Using</w:t>
      </w:r>
      <w:r>
        <w:rPr>
          <w:spacing w:val="-7"/>
        </w:rPr>
        <w:t xml:space="preserve"> </w:t>
      </w:r>
      <w:r>
        <w:t>the</w:t>
      </w:r>
      <w:r>
        <w:rPr>
          <w:spacing w:val="-2"/>
        </w:rPr>
        <w:t xml:space="preserve"> </w:t>
      </w:r>
      <w:r>
        <w:t>Confidence</w:t>
      </w:r>
      <w:r>
        <w:rPr>
          <w:spacing w:val="-6"/>
        </w:rPr>
        <w:t xml:space="preserve"> </w:t>
      </w:r>
      <w:r>
        <w:t>Ruler</w:t>
      </w:r>
      <w:r>
        <w:rPr>
          <w:spacing w:val="-5"/>
        </w:rPr>
        <w:t xml:space="preserve"> </w:t>
      </w:r>
      <w:r>
        <w:t>(Exhibit</w:t>
      </w:r>
      <w:r>
        <w:rPr>
          <w:spacing w:val="-5"/>
        </w:rPr>
        <w:t xml:space="preserve"> </w:t>
      </w:r>
      <w:r>
        <w:t>3.10)</w:t>
      </w:r>
      <w:r>
        <w:rPr>
          <w:spacing w:val="-4"/>
        </w:rPr>
        <w:t xml:space="preserve"> </w:t>
      </w:r>
      <w:r>
        <w:t>to</w:t>
      </w:r>
      <w:r>
        <w:rPr>
          <w:spacing w:val="-4"/>
        </w:rPr>
        <w:t xml:space="preserve"> </w:t>
      </w:r>
      <w:r>
        <w:t>measure</w:t>
      </w:r>
      <w:r>
        <w:rPr>
          <w:spacing w:val="-5"/>
        </w:rPr>
        <w:t xml:space="preserve"> </w:t>
      </w:r>
      <w:r>
        <w:t>coping</w:t>
      </w:r>
      <w:r>
        <w:rPr>
          <w:spacing w:val="-4"/>
        </w:rPr>
        <w:t xml:space="preserve"> </w:t>
      </w:r>
      <w:r>
        <w:rPr>
          <w:spacing w:val="-2"/>
        </w:rPr>
        <w:t>strategies.</w:t>
      </w:r>
    </w:p>
    <w:p w14:paraId="0BCE3A08" w14:textId="77777777" w:rsidR="00DB6E1F" w:rsidRDefault="00F666A6">
      <w:pPr>
        <w:pStyle w:val="ListParagraph"/>
        <w:numPr>
          <w:ilvl w:val="0"/>
          <w:numId w:val="92"/>
        </w:numPr>
        <w:tabs>
          <w:tab w:val="left" w:pos="1798"/>
          <w:tab w:val="left" w:pos="1799"/>
        </w:tabs>
        <w:spacing w:before="58"/>
        <w:ind w:left="1798"/>
        <w:rPr>
          <w:rFonts w:ascii="Symbol" w:hAnsi="Symbol"/>
        </w:rPr>
      </w:pPr>
      <w:r>
        <w:t>Presenting</w:t>
      </w:r>
      <w:r>
        <w:rPr>
          <w:spacing w:val="-7"/>
        </w:rPr>
        <w:t xml:space="preserve"> </w:t>
      </w:r>
      <w:r>
        <w:t>a</w:t>
      </w:r>
      <w:r>
        <w:rPr>
          <w:spacing w:val="-5"/>
        </w:rPr>
        <w:t xml:space="preserve"> </w:t>
      </w:r>
      <w:r>
        <w:t>menu</w:t>
      </w:r>
      <w:r>
        <w:rPr>
          <w:spacing w:val="-6"/>
        </w:rPr>
        <w:t xml:space="preserve"> </w:t>
      </w:r>
      <w:r>
        <w:t>of</w:t>
      </w:r>
      <w:r>
        <w:rPr>
          <w:spacing w:val="-3"/>
        </w:rPr>
        <w:t xml:space="preserve"> </w:t>
      </w:r>
      <w:r>
        <w:t>coping</w:t>
      </w:r>
      <w:r>
        <w:rPr>
          <w:spacing w:val="-4"/>
        </w:rPr>
        <w:t xml:space="preserve"> </w:t>
      </w:r>
      <w:r>
        <w:t>strategies</w:t>
      </w:r>
      <w:r>
        <w:rPr>
          <w:spacing w:val="-3"/>
        </w:rPr>
        <w:t xml:space="preserve"> </w:t>
      </w:r>
      <w:r>
        <w:t>that</w:t>
      </w:r>
      <w:r>
        <w:rPr>
          <w:spacing w:val="-5"/>
        </w:rPr>
        <w:t xml:space="preserve"> </w:t>
      </w:r>
      <w:r>
        <w:t>have</w:t>
      </w:r>
      <w:r>
        <w:rPr>
          <w:spacing w:val="-2"/>
        </w:rPr>
        <w:t xml:space="preserve"> </w:t>
      </w:r>
      <w:r>
        <w:t>a</w:t>
      </w:r>
      <w:r>
        <w:rPr>
          <w:spacing w:val="-3"/>
        </w:rPr>
        <w:t xml:space="preserve"> </w:t>
      </w:r>
      <w:r>
        <w:t>high</w:t>
      </w:r>
      <w:r>
        <w:rPr>
          <w:spacing w:val="-4"/>
        </w:rPr>
        <w:t xml:space="preserve"> </w:t>
      </w:r>
      <w:r>
        <w:t>likelihood</w:t>
      </w:r>
      <w:r>
        <w:rPr>
          <w:spacing w:val="-6"/>
        </w:rPr>
        <w:t xml:space="preserve"> </w:t>
      </w:r>
      <w:r>
        <w:t>of</w:t>
      </w:r>
      <w:r>
        <w:rPr>
          <w:spacing w:val="-3"/>
        </w:rPr>
        <w:t xml:space="preserve"> </w:t>
      </w:r>
      <w:r>
        <w:rPr>
          <w:spacing w:val="-2"/>
        </w:rPr>
        <w:t>success.</w:t>
      </w:r>
    </w:p>
    <w:p w14:paraId="0194F9E2" w14:textId="77777777" w:rsidR="00DB6E1F" w:rsidRDefault="00F666A6">
      <w:pPr>
        <w:pStyle w:val="Heading4"/>
        <w:spacing w:before="203"/>
      </w:pPr>
      <w:bookmarkStart w:id="198" w:name="Identify_high-risk_situations_and_coping"/>
      <w:bookmarkEnd w:id="198"/>
      <w:r>
        <w:t>Identify</w:t>
      </w:r>
      <w:r>
        <w:rPr>
          <w:spacing w:val="-9"/>
        </w:rPr>
        <w:t xml:space="preserve"> </w:t>
      </w:r>
      <w:r>
        <w:t>high-risk</w:t>
      </w:r>
      <w:r>
        <w:rPr>
          <w:spacing w:val="-8"/>
        </w:rPr>
        <w:t xml:space="preserve"> </w:t>
      </w:r>
      <w:r>
        <w:t>situations</w:t>
      </w:r>
      <w:r>
        <w:rPr>
          <w:spacing w:val="-8"/>
        </w:rPr>
        <w:t xml:space="preserve"> </w:t>
      </w:r>
      <w:r>
        <w:t>and</w:t>
      </w:r>
      <w:r>
        <w:rPr>
          <w:spacing w:val="-6"/>
        </w:rPr>
        <w:t xml:space="preserve"> </w:t>
      </w:r>
      <w:r>
        <w:t>coping</w:t>
      </w:r>
      <w:r>
        <w:rPr>
          <w:spacing w:val="-9"/>
        </w:rPr>
        <w:t xml:space="preserve"> </w:t>
      </w:r>
      <w:r>
        <w:rPr>
          <w:spacing w:val="-2"/>
        </w:rPr>
        <w:t>strategies</w:t>
      </w:r>
    </w:p>
    <w:p w14:paraId="4B4316B0" w14:textId="77777777" w:rsidR="00DB6E1F" w:rsidRDefault="00F666A6">
      <w:pPr>
        <w:pStyle w:val="BodyText"/>
        <w:spacing w:before="86"/>
        <w:ind w:left="1439" w:right="1491"/>
      </w:pPr>
      <w:r>
        <w:rPr>
          <w:b/>
        </w:rPr>
        <w:t xml:space="preserve">Another approach to helping clients identify high-risk situations is to use a structured interview </w:t>
      </w:r>
      <w:r>
        <w:t>that identifies</w:t>
      </w:r>
      <w:r>
        <w:rPr>
          <w:spacing w:val="-1"/>
        </w:rPr>
        <w:t xml:space="preserve"> </w:t>
      </w:r>
      <w:r>
        <w:t>the high-risk situation</w:t>
      </w:r>
      <w:r>
        <w:rPr>
          <w:spacing w:val="-2"/>
        </w:rPr>
        <w:t xml:space="preserve"> </w:t>
      </w:r>
      <w:r>
        <w:t>(i.e.,</w:t>
      </w:r>
      <w:r>
        <w:rPr>
          <w:spacing w:val="-1"/>
        </w:rPr>
        <w:t xml:space="preserve"> </w:t>
      </w:r>
      <w:r>
        <w:t>who,</w:t>
      </w:r>
      <w:r>
        <w:rPr>
          <w:spacing w:val="-3"/>
        </w:rPr>
        <w:t xml:space="preserve"> </w:t>
      </w:r>
      <w:r>
        <w:t>where,</w:t>
      </w:r>
      <w:r>
        <w:rPr>
          <w:spacing w:val="-3"/>
        </w:rPr>
        <w:t xml:space="preserve"> </w:t>
      </w:r>
      <w:r>
        <w:t>and</w:t>
      </w:r>
      <w:r>
        <w:rPr>
          <w:spacing w:val="-2"/>
        </w:rPr>
        <w:t xml:space="preserve"> </w:t>
      </w:r>
      <w:r>
        <w:t>when),</w:t>
      </w:r>
      <w:r>
        <w:rPr>
          <w:spacing w:val="-3"/>
        </w:rPr>
        <w:t xml:space="preserve"> </w:t>
      </w:r>
      <w:r>
        <w:t>external</w:t>
      </w:r>
      <w:r>
        <w:rPr>
          <w:spacing w:val="-1"/>
        </w:rPr>
        <w:t xml:space="preserve"> </w:t>
      </w:r>
      <w:r>
        <w:t>triggers</w:t>
      </w:r>
      <w:r>
        <w:rPr>
          <w:spacing w:val="-3"/>
        </w:rPr>
        <w:t xml:space="preserve"> </w:t>
      </w:r>
      <w:r>
        <w:t>(i.e.,</w:t>
      </w:r>
      <w:r>
        <w:rPr>
          <w:spacing w:val="-1"/>
        </w:rPr>
        <w:t xml:space="preserve"> </w:t>
      </w:r>
      <w:r>
        <w:t>what),</w:t>
      </w:r>
      <w:r>
        <w:rPr>
          <w:spacing w:val="-3"/>
        </w:rPr>
        <w:t xml:space="preserve"> </w:t>
      </w:r>
      <w:r>
        <w:t>and</w:t>
      </w:r>
      <w:r>
        <w:rPr>
          <w:spacing w:val="-2"/>
        </w:rPr>
        <w:t xml:space="preserve"> </w:t>
      </w:r>
      <w:r>
        <w:t>internal triggers</w:t>
      </w:r>
      <w:r>
        <w:rPr>
          <w:spacing w:val="-2"/>
        </w:rPr>
        <w:t xml:space="preserve"> </w:t>
      </w:r>
      <w:r>
        <w:t>(i.e.,</w:t>
      </w:r>
      <w:r>
        <w:rPr>
          <w:spacing w:val="-4"/>
        </w:rPr>
        <w:t xml:space="preserve"> </w:t>
      </w:r>
      <w:r>
        <w:t>thoughts,</w:t>
      </w:r>
      <w:r>
        <w:rPr>
          <w:spacing w:val="-4"/>
        </w:rPr>
        <w:t xml:space="preserve"> </w:t>
      </w:r>
      <w:r>
        <w:t>feelings,</w:t>
      </w:r>
      <w:r>
        <w:rPr>
          <w:spacing w:val="-2"/>
        </w:rPr>
        <w:t xml:space="preserve"> </w:t>
      </w:r>
      <w:r>
        <w:t>and</w:t>
      </w:r>
      <w:r>
        <w:rPr>
          <w:spacing w:val="-2"/>
        </w:rPr>
        <w:t xml:space="preserve"> </w:t>
      </w:r>
      <w:r>
        <w:t>ph</w:t>
      </w:r>
      <w:r>
        <w:t>ysical</w:t>
      </w:r>
      <w:r>
        <w:rPr>
          <w:spacing w:val="-2"/>
        </w:rPr>
        <w:t xml:space="preserve"> </w:t>
      </w:r>
      <w:r>
        <w:t>cravings)</w:t>
      </w:r>
      <w:r>
        <w:rPr>
          <w:spacing w:val="-4"/>
        </w:rPr>
        <w:t xml:space="preserve"> </w:t>
      </w:r>
      <w:r>
        <w:t>that</w:t>
      </w:r>
      <w:r>
        <w:rPr>
          <w:spacing w:val="-1"/>
        </w:rPr>
        <w:t xml:space="preserve"> </w:t>
      </w:r>
      <w:r>
        <w:t>led</w:t>
      </w:r>
      <w:r>
        <w:rPr>
          <w:spacing w:val="-5"/>
        </w:rPr>
        <w:t xml:space="preserve"> </w:t>
      </w:r>
      <w:r>
        <w:t>to</w:t>
      </w:r>
      <w:r>
        <w:rPr>
          <w:spacing w:val="-3"/>
        </w:rPr>
        <w:t xml:space="preserve"> </w:t>
      </w:r>
      <w:r>
        <w:t>substance</w:t>
      </w:r>
      <w:r>
        <w:rPr>
          <w:spacing w:val="-1"/>
        </w:rPr>
        <w:t xml:space="preserve"> </w:t>
      </w:r>
      <w:r>
        <w:t>use</w:t>
      </w:r>
      <w:r>
        <w:rPr>
          <w:spacing w:val="-1"/>
        </w:rPr>
        <w:t xml:space="preserve"> </w:t>
      </w:r>
      <w:r>
        <w:t>in</w:t>
      </w:r>
      <w:r>
        <w:rPr>
          <w:spacing w:val="-3"/>
        </w:rPr>
        <w:t xml:space="preserve"> </w:t>
      </w:r>
      <w:r>
        <w:t>the</w:t>
      </w:r>
      <w:r>
        <w:rPr>
          <w:spacing w:val="-1"/>
        </w:rPr>
        <w:t xml:space="preserve"> </w:t>
      </w:r>
      <w:r>
        <w:t>past.</w:t>
      </w:r>
      <w:r>
        <w:rPr>
          <w:spacing w:val="-5"/>
        </w:rPr>
        <w:t xml:space="preserve"> </w:t>
      </w:r>
      <w:r>
        <w:t>Once</w:t>
      </w:r>
      <w:r>
        <w:rPr>
          <w:spacing w:val="-4"/>
        </w:rPr>
        <w:t xml:space="preserve"> </w:t>
      </w:r>
      <w:r>
        <w:t>these situations</w:t>
      </w:r>
      <w:r>
        <w:rPr>
          <w:spacing w:val="-3"/>
        </w:rPr>
        <w:t xml:space="preserve"> </w:t>
      </w:r>
      <w:r>
        <w:t>are identified,</w:t>
      </w:r>
      <w:r>
        <w:rPr>
          <w:spacing w:val="-1"/>
        </w:rPr>
        <w:t xml:space="preserve"> </w:t>
      </w:r>
      <w:r>
        <w:t>clients</w:t>
      </w:r>
      <w:r>
        <w:rPr>
          <w:spacing w:val="-1"/>
        </w:rPr>
        <w:t xml:space="preserve"> </w:t>
      </w:r>
      <w:r>
        <w:t>explore</w:t>
      </w:r>
      <w:r>
        <w:rPr>
          <w:spacing w:val="-3"/>
        </w:rPr>
        <w:t xml:space="preserve"> </w:t>
      </w:r>
      <w:r>
        <w:t>coping</w:t>
      </w:r>
      <w:r>
        <w:rPr>
          <w:spacing w:val="-2"/>
        </w:rPr>
        <w:t xml:space="preserve"> </w:t>
      </w:r>
      <w:r>
        <w:t>strategies</w:t>
      </w:r>
      <w:r>
        <w:rPr>
          <w:spacing w:val="-1"/>
        </w:rPr>
        <w:t xml:space="preserve"> </w:t>
      </w:r>
      <w:r>
        <w:t>to</w:t>
      </w:r>
      <w:r>
        <w:rPr>
          <w:spacing w:val="-2"/>
        </w:rPr>
        <w:t xml:space="preserve"> </w:t>
      </w:r>
      <w:r>
        <w:t>manage</w:t>
      </w:r>
      <w:r>
        <w:rPr>
          <w:spacing w:val="-3"/>
        </w:rPr>
        <w:t xml:space="preserve"> </w:t>
      </w:r>
      <w:r>
        <w:t>these</w:t>
      </w:r>
      <w:r>
        <w:rPr>
          <w:spacing w:val="-3"/>
        </w:rPr>
        <w:t xml:space="preserve"> </w:t>
      </w:r>
      <w:r>
        <w:t>triggers</w:t>
      </w:r>
      <w:r>
        <w:rPr>
          <w:spacing w:val="-1"/>
        </w:rPr>
        <w:t xml:space="preserve"> </w:t>
      </w:r>
      <w:r>
        <w:t>that</w:t>
      </w:r>
      <w:r>
        <w:rPr>
          <w:spacing w:val="-1"/>
        </w:rPr>
        <w:t xml:space="preserve"> </w:t>
      </w:r>
      <w:r>
        <w:t>have</w:t>
      </w:r>
      <w:r>
        <w:rPr>
          <w:spacing w:val="-2"/>
        </w:rPr>
        <w:t xml:space="preserve"> </w:t>
      </w:r>
      <w:r>
        <w:t>worked</w:t>
      </w:r>
      <w:r>
        <w:rPr>
          <w:spacing w:val="-2"/>
        </w:rPr>
        <w:t xml:space="preserve"> </w:t>
      </w:r>
      <w:r>
        <w:t>in the past and that might work now and in the future. Understanding these triggers helps clients target specific strategies for coping with these triggers.</w:t>
      </w:r>
    </w:p>
    <w:p w14:paraId="67CA31A2" w14:textId="77777777" w:rsidR="00DB6E1F" w:rsidRDefault="00F666A6">
      <w:pPr>
        <w:pStyle w:val="BodyText"/>
        <w:spacing w:before="159"/>
        <w:ind w:left="1439"/>
      </w:pPr>
      <w:r>
        <w:t>Strategies</w:t>
      </w:r>
      <w:r>
        <w:rPr>
          <w:spacing w:val="-7"/>
        </w:rPr>
        <w:t xml:space="preserve"> </w:t>
      </w:r>
      <w:r>
        <w:t>for</w:t>
      </w:r>
      <w:r>
        <w:rPr>
          <w:spacing w:val="-6"/>
        </w:rPr>
        <w:t xml:space="preserve"> </w:t>
      </w:r>
      <w:r>
        <w:t>conducting</w:t>
      </w:r>
      <w:r>
        <w:rPr>
          <w:spacing w:val="-5"/>
        </w:rPr>
        <w:t xml:space="preserve"> </w:t>
      </w:r>
      <w:r>
        <w:t>the</w:t>
      </w:r>
      <w:r>
        <w:rPr>
          <w:spacing w:val="-3"/>
        </w:rPr>
        <w:t xml:space="preserve"> </w:t>
      </w:r>
      <w:r>
        <w:t>interview</w:t>
      </w:r>
      <w:r>
        <w:rPr>
          <w:spacing w:val="-5"/>
        </w:rPr>
        <w:t xml:space="preserve"> </w:t>
      </w:r>
      <w:r>
        <w:t>include</w:t>
      </w:r>
      <w:r>
        <w:rPr>
          <w:spacing w:val="-3"/>
        </w:rPr>
        <w:t xml:space="preserve"> </w:t>
      </w:r>
      <w:r>
        <w:t>the</w:t>
      </w:r>
      <w:r>
        <w:rPr>
          <w:spacing w:val="-3"/>
        </w:rPr>
        <w:t xml:space="preserve"> </w:t>
      </w:r>
      <w:r>
        <w:rPr>
          <w:spacing w:val="-2"/>
        </w:rPr>
        <w:t>following:</w:t>
      </w:r>
    </w:p>
    <w:p w14:paraId="52DEF508" w14:textId="77777777" w:rsidR="00DB6E1F" w:rsidRDefault="00F666A6">
      <w:pPr>
        <w:pStyle w:val="ListParagraph"/>
        <w:numPr>
          <w:ilvl w:val="0"/>
          <w:numId w:val="92"/>
        </w:numPr>
        <w:tabs>
          <w:tab w:val="left" w:pos="1799"/>
          <w:tab w:val="left" w:pos="1800"/>
        </w:tabs>
        <w:spacing w:before="59"/>
        <w:ind w:left="1799" w:right="1498" w:hanging="360"/>
        <w:rPr>
          <w:rFonts w:ascii="Symbol" w:hAnsi="Symbol"/>
        </w:rPr>
      </w:pPr>
      <w:r>
        <w:rPr>
          <w:b/>
        </w:rPr>
        <w:t>Let the client know the purpose of t</w:t>
      </w:r>
      <w:r>
        <w:rPr>
          <w:b/>
        </w:rPr>
        <w:t xml:space="preserve">he interview, and ask permission to conduct it. </w:t>
      </w:r>
      <w:r>
        <w:t>For example, you</w:t>
      </w:r>
      <w:r>
        <w:rPr>
          <w:spacing w:val="-1"/>
        </w:rPr>
        <w:t xml:space="preserve"> </w:t>
      </w:r>
      <w:r>
        <w:t>might say, “It can be helpful to explore some of the situations when you drank or used drugs in the past and what led to your decision to use in those situations. Sometimes those can be thoug</w:t>
      </w:r>
      <w:r>
        <w:t>hts or</w:t>
      </w:r>
      <w:r>
        <w:rPr>
          <w:spacing w:val="-2"/>
        </w:rPr>
        <w:t xml:space="preserve"> </w:t>
      </w:r>
      <w:r>
        <w:t>feelings</w:t>
      </w:r>
      <w:r>
        <w:rPr>
          <w:spacing w:val="-2"/>
        </w:rPr>
        <w:t xml:space="preserve"> </w:t>
      </w:r>
      <w:r>
        <w:t>or</w:t>
      </w:r>
      <w:r>
        <w:rPr>
          <w:spacing w:val="-5"/>
        </w:rPr>
        <w:t xml:space="preserve"> </w:t>
      </w:r>
      <w:r>
        <w:t>the</w:t>
      </w:r>
      <w:r>
        <w:rPr>
          <w:spacing w:val="-4"/>
        </w:rPr>
        <w:t xml:space="preserve"> </w:t>
      </w:r>
      <w:r>
        <w:t>situation</w:t>
      </w:r>
      <w:r>
        <w:rPr>
          <w:spacing w:val="-5"/>
        </w:rPr>
        <w:t xml:space="preserve"> </w:t>
      </w:r>
      <w:r>
        <w:t>itself. We</w:t>
      </w:r>
      <w:r>
        <w:rPr>
          <w:spacing w:val="-1"/>
        </w:rPr>
        <w:t xml:space="preserve"> </w:t>
      </w:r>
      <w:r>
        <w:t>sometimes</w:t>
      </w:r>
      <w:r>
        <w:rPr>
          <w:spacing w:val="-2"/>
        </w:rPr>
        <w:t xml:space="preserve"> </w:t>
      </w:r>
      <w:r>
        <w:t>call</w:t>
      </w:r>
      <w:r>
        <w:rPr>
          <w:spacing w:val="-4"/>
        </w:rPr>
        <w:t xml:space="preserve"> </w:t>
      </w:r>
      <w:r>
        <w:t>what</w:t>
      </w:r>
      <w:r>
        <w:rPr>
          <w:spacing w:val="-1"/>
        </w:rPr>
        <w:t xml:space="preserve"> </w:t>
      </w:r>
      <w:r>
        <w:t>led</w:t>
      </w:r>
      <w:r>
        <w:rPr>
          <w:spacing w:val="-3"/>
        </w:rPr>
        <w:t xml:space="preserve"> </w:t>
      </w:r>
      <w:r>
        <w:t>to</w:t>
      </w:r>
      <w:r>
        <w:rPr>
          <w:spacing w:val="-1"/>
        </w:rPr>
        <w:t xml:space="preserve"> </w:t>
      </w:r>
      <w:r>
        <w:t>substance</w:t>
      </w:r>
      <w:r>
        <w:rPr>
          <w:spacing w:val="-1"/>
        </w:rPr>
        <w:t xml:space="preserve"> </w:t>
      </w:r>
      <w:r>
        <w:t>use</w:t>
      </w:r>
      <w:r>
        <w:rPr>
          <w:spacing w:val="-2"/>
        </w:rPr>
        <w:t xml:space="preserve"> </w:t>
      </w:r>
      <w:r>
        <w:t>internal</w:t>
      </w:r>
      <w:r>
        <w:rPr>
          <w:spacing w:val="-2"/>
        </w:rPr>
        <w:t xml:space="preserve"> </w:t>
      </w:r>
      <w:r>
        <w:t>and</w:t>
      </w:r>
      <w:r>
        <w:rPr>
          <w:spacing w:val="-3"/>
        </w:rPr>
        <w:t xml:space="preserve"> </w:t>
      </w:r>
      <w:r>
        <w:t>external</w:t>
      </w:r>
    </w:p>
    <w:p w14:paraId="4E6B244C" w14:textId="77777777" w:rsidR="00DB6E1F" w:rsidRDefault="00DB6E1F">
      <w:pPr>
        <w:rPr>
          <w:rFonts w:ascii="Symbol" w:hAnsi="Symbol"/>
        </w:rPr>
        <w:sectPr w:rsidR="00DB6E1F">
          <w:pgSz w:w="12240" w:h="15840"/>
          <w:pgMar w:top="1200" w:right="0" w:bottom="780" w:left="0" w:header="763" w:footer="585" w:gutter="0"/>
          <w:cols w:space="720"/>
        </w:sectPr>
      </w:pPr>
    </w:p>
    <w:p w14:paraId="7F5C6321" w14:textId="77777777" w:rsidR="00DB6E1F" w:rsidRDefault="00DB6E1F">
      <w:pPr>
        <w:pStyle w:val="BodyText"/>
        <w:spacing w:before="8"/>
        <w:rPr>
          <w:sz w:val="14"/>
        </w:rPr>
      </w:pPr>
    </w:p>
    <w:p w14:paraId="1653DBEE" w14:textId="77777777" w:rsidR="00DB6E1F" w:rsidRDefault="00F666A6">
      <w:pPr>
        <w:pStyle w:val="BodyText"/>
        <w:spacing w:before="56"/>
        <w:ind w:left="1799" w:right="1555"/>
      </w:pPr>
      <w:r>
        <w:t>triggers. Once we know what has ‘triggered’ your drinking or drug use in the past, we can brainstorm</w:t>
      </w:r>
      <w:r>
        <w:rPr>
          <w:spacing w:val="-1"/>
        </w:rPr>
        <w:t xml:space="preserve"> </w:t>
      </w:r>
      <w:r>
        <w:t>ways</w:t>
      </w:r>
      <w:r>
        <w:rPr>
          <w:spacing w:val="-4"/>
        </w:rPr>
        <w:t xml:space="preserve"> </w:t>
      </w:r>
      <w:r>
        <w:t>to</w:t>
      </w:r>
      <w:r>
        <w:rPr>
          <w:spacing w:val="-3"/>
        </w:rPr>
        <w:t xml:space="preserve"> </w:t>
      </w:r>
      <w:r>
        <w:t>cope</w:t>
      </w:r>
      <w:r>
        <w:rPr>
          <w:spacing w:val="-1"/>
        </w:rPr>
        <w:t xml:space="preserve"> </w:t>
      </w:r>
      <w:r>
        <w:t>with</w:t>
      </w:r>
      <w:r>
        <w:rPr>
          <w:spacing w:val="-3"/>
        </w:rPr>
        <w:t xml:space="preserve"> </w:t>
      </w:r>
      <w:r>
        <w:t>those</w:t>
      </w:r>
      <w:r>
        <w:rPr>
          <w:spacing w:val="-1"/>
        </w:rPr>
        <w:t xml:space="preserve"> </w:t>
      </w:r>
      <w:r>
        <w:t>triggers</w:t>
      </w:r>
      <w:r>
        <w:rPr>
          <w:spacing w:val="-2"/>
        </w:rPr>
        <w:t xml:space="preserve"> </w:t>
      </w:r>
      <w:r>
        <w:t>now,</w:t>
      </w:r>
      <w:r>
        <w:rPr>
          <w:spacing w:val="-2"/>
        </w:rPr>
        <w:t xml:space="preserve"> </w:t>
      </w:r>
      <w:r>
        <w:t>instead</w:t>
      </w:r>
      <w:r>
        <w:rPr>
          <w:spacing w:val="-3"/>
        </w:rPr>
        <w:t xml:space="preserve"> </w:t>
      </w:r>
      <w:r>
        <w:t>of</w:t>
      </w:r>
      <w:r>
        <w:rPr>
          <w:spacing w:val="-4"/>
        </w:rPr>
        <w:t xml:space="preserve"> </w:t>
      </w:r>
      <w:r>
        <w:t>drinking</w:t>
      </w:r>
      <w:r>
        <w:rPr>
          <w:spacing w:val="-3"/>
        </w:rPr>
        <w:t xml:space="preserve"> </w:t>
      </w:r>
      <w:r>
        <w:t>or</w:t>
      </w:r>
      <w:r>
        <w:rPr>
          <w:spacing w:val="-2"/>
        </w:rPr>
        <w:t xml:space="preserve"> </w:t>
      </w:r>
      <w:r>
        <w:t>using.</w:t>
      </w:r>
      <w:r>
        <w:rPr>
          <w:spacing w:val="-2"/>
        </w:rPr>
        <w:t xml:space="preserve"> </w:t>
      </w:r>
      <w:r>
        <w:t>Is</w:t>
      </w:r>
      <w:r>
        <w:rPr>
          <w:spacing w:val="-7"/>
        </w:rPr>
        <w:t xml:space="preserve"> </w:t>
      </w:r>
      <w:r>
        <w:t>that</w:t>
      </w:r>
      <w:r>
        <w:rPr>
          <w:spacing w:val="-1"/>
        </w:rPr>
        <w:t xml:space="preserve"> </w:t>
      </w:r>
      <w:r>
        <w:t>okay?”</w:t>
      </w:r>
    </w:p>
    <w:p w14:paraId="2A290584" w14:textId="77777777" w:rsidR="00DB6E1F" w:rsidRDefault="00F666A6">
      <w:pPr>
        <w:pStyle w:val="ListParagraph"/>
        <w:numPr>
          <w:ilvl w:val="0"/>
          <w:numId w:val="92"/>
        </w:numPr>
        <w:tabs>
          <w:tab w:val="left" w:pos="1800"/>
          <w:tab w:val="left" w:pos="1801"/>
        </w:tabs>
        <w:spacing w:before="61"/>
        <w:ind w:left="1799" w:right="1656" w:hanging="360"/>
        <w:rPr>
          <w:rFonts w:ascii="Symbol" w:hAnsi="Symbol"/>
        </w:rPr>
      </w:pPr>
      <w:r>
        <w:rPr>
          <w:b/>
        </w:rPr>
        <w:t>Draw</w:t>
      </w:r>
      <w:r>
        <w:rPr>
          <w:b/>
          <w:spacing w:val="-1"/>
        </w:rPr>
        <w:t xml:space="preserve"> </w:t>
      </w:r>
      <w:r>
        <w:rPr>
          <w:b/>
        </w:rPr>
        <w:t>a</w:t>
      </w:r>
      <w:r>
        <w:rPr>
          <w:b/>
          <w:spacing w:val="-3"/>
        </w:rPr>
        <w:t xml:space="preserve"> </w:t>
      </w:r>
      <w:r>
        <w:rPr>
          <w:b/>
        </w:rPr>
        <w:t>four-column</w:t>
      </w:r>
      <w:r>
        <w:rPr>
          <w:b/>
          <w:spacing w:val="-5"/>
        </w:rPr>
        <w:t xml:space="preserve"> </w:t>
      </w:r>
      <w:r>
        <w:rPr>
          <w:b/>
        </w:rPr>
        <w:t>table</w:t>
      </w:r>
      <w:r>
        <w:rPr>
          <w:b/>
          <w:spacing w:val="-5"/>
        </w:rPr>
        <w:t xml:space="preserve"> </w:t>
      </w:r>
      <w:r>
        <w:rPr>
          <w:b/>
        </w:rPr>
        <w:t>on</w:t>
      </w:r>
      <w:r>
        <w:rPr>
          <w:b/>
          <w:spacing w:val="-2"/>
        </w:rPr>
        <w:t xml:space="preserve"> </w:t>
      </w:r>
      <w:r>
        <w:rPr>
          <w:b/>
        </w:rPr>
        <w:t>a</w:t>
      </w:r>
      <w:r>
        <w:rPr>
          <w:b/>
          <w:spacing w:val="-3"/>
        </w:rPr>
        <w:t xml:space="preserve"> </w:t>
      </w:r>
      <w:r>
        <w:rPr>
          <w:b/>
        </w:rPr>
        <w:t>piece</w:t>
      </w:r>
      <w:r>
        <w:rPr>
          <w:b/>
          <w:spacing w:val="-3"/>
        </w:rPr>
        <w:t xml:space="preserve"> </w:t>
      </w:r>
      <w:r>
        <w:rPr>
          <w:b/>
        </w:rPr>
        <w:t>of</w:t>
      </w:r>
      <w:r>
        <w:rPr>
          <w:b/>
          <w:spacing w:val="-2"/>
        </w:rPr>
        <w:t xml:space="preserve"> </w:t>
      </w:r>
      <w:r>
        <w:rPr>
          <w:b/>
        </w:rPr>
        <w:t>paper</w:t>
      </w:r>
      <w:r>
        <w:rPr>
          <w:b/>
          <w:spacing w:val="-1"/>
        </w:rPr>
        <w:t xml:space="preserve"> </w:t>
      </w:r>
      <w:r>
        <w:rPr>
          <w:b/>
        </w:rPr>
        <w:t>and</w:t>
      </w:r>
      <w:r>
        <w:rPr>
          <w:b/>
          <w:spacing w:val="-3"/>
        </w:rPr>
        <w:t xml:space="preserve"> </w:t>
      </w:r>
      <w:r>
        <w:rPr>
          <w:b/>
        </w:rPr>
        <w:t>label</w:t>
      </w:r>
      <w:r>
        <w:rPr>
          <w:b/>
          <w:spacing w:val="-1"/>
        </w:rPr>
        <w:t xml:space="preserve"> </w:t>
      </w:r>
      <w:r>
        <w:rPr>
          <w:b/>
        </w:rPr>
        <w:t>the</w:t>
      </w:r>
      <w:r>
        <w:rPr>
          <w:b/>
          <w:spacing w:val="-3"/>
        </w:rPr>
        <w:t xml:space="preserve"> </w:t>
      </w:r>
      <w:r>
        <w:rPr>
          <w:b/>
        </w:rPr>
        <w:t>columns</w:t>
      </w:r>
      <w:r>
        <w:rPr>
          <w:b/>
          <w:spacing w:val="-2"/>
        </w:rPr>
        <w:t xml:space="preserve"> </w:t>
      </w:r>
      <w:r>
        <w:t>High-Risk</w:t>
      </w:r>
      <w:r>
        <w:rPr>
          <w:spacing w:val="-7"/>
        </w:rPr>
        <w:t xml:space="preserve"> </w:t>
      </w:r>
      <w:r>
        <w:t>Situation,</w:t>
      </w:r>
      <w:r>
        <w:rPr>
          <w:spacing w:val="-2"/>
        </w:rPr>
        <w:t xml:space="preserve"> </w:t>
      </w:r>
      <w:r>
        <w:t>External Triggers, Internal Triggers, and Coping Strategies as in Exhibit 7.3.</w:t>
      </w:r>
    </w:p>
    <w:p w14:paraId="02C55A72" w14:textId="77777777" w:rsidR="00DB6E1F" w:rsidRDefault="00DB6E1F">
      <w:pPr>
        <w:pStyle w:val="BodyText"/>
        <w:spacing w:before="8"/>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800"/>
        <w:gridCol w:w="2520"/>
        <w:gridCol w:w="2604"/>
      </w:tblGrid>
      <w:tr w:rsidR="00DB6E1F" w14:paraId="65AC1ECC" w14:textId="77777777">
        <w:trPr>
          <w:trHeight w:val="523"/>
        </w:trPr>
        <w:tc>
          <w:tcPr>
            <w:tcW w:w="9350" w:type="dxa"/>
            <w:gridSpan w:val="4"/>
            <w:tcBorders>
              <w:top w:val="nil"/>
              <w:left w:val="nil"/>
              <w:bottom w:val="nil"/>
              <w:right w:val="nil"/>
            </w:tcBorders>
            <w:shd w:val="clear" w:color="auto" w:fill="000000"/>
          </w:tcPr>
          <w:p w14:paraId="682B7172" w14:textId="77777777" w:rsidR="00DB6E1F" w:rsidRDefault="00F666A6">
            <w:pPr>
              <w:pStyle w:val="TableParagraph"/>
              <w:spacing w:before="112"/>
              <w:ind w:left="112"/>
              <w:rPr>
                <w:sz w:val="24"/>
              </w:rPr>
            </w:pPr>
            <w:r>
              <w:rPr>
                <w:color w:val="FFFFFF"/>
                <w:sz w:val="24"/>
              </w:rPr>
              <w:t>Exhibit</w:t>
            </w:r>
            <w:r>
              <w:rPr>
                <w:color w:val="FFFFFF"/>
                <w:spacing w:val="-2"/>
                <w:sz w:val="24"/>
              </w:rPr>
              <w:t xml:space="preserve"> </w:t>
            </w:r>
            <w:r>
              <w:rPr>
                <w:color w:val="FFFFFF"/>
                <w:sz w:val="24"/>
              </w:rPr>
              <w:t>7.3.</w:t>
            </w:r>
            <w:r>
              <w:rPr>
                <w:color w:val="FFFFFF"/>
                <w:spacing w:val="-4"/>
                <w:sz w:val="24"/>
              </w:rPr>
              <w:t xml:space="preserve"> </w:t>
            </w:r>
            <w:r>
              <w:rPr>
                <w:color w:val="FFFFFF"/>
                <w:sz w:val="24"/>
              </w:rPr>
              <w:t>Triggers and</w:t>
            </w:r>
            <w:r>
              <w:rPr>
                <w:color w:val="FFFFFF"/>
                <w:spacing w:val="-4"/>
                <w:sz w:val="24"/>
              </w:rPr>
              <w:t xml:space="preserve"> </w:t>
            </w:r>
            <w:r>
              <w:rPr>
                <w:color w:val="FFFFFF"/>
                <w:sz w:val="24"/>
              </w:rPr>
              <w:t xml:space="preserve">Coping </w:t>
            </w:r>
            <w:r>
              <w:rPr>
                <w:color w:val="FFFFFF"/>
                <w:spacing w:val="-2"/>
                <w:sz w:val="24"/>
              </w:rPr>
              <w:t>Strategies</w:t>
            </w:r>
          </w:p>
        </w:tc>
      </w:tr>
      <w:tr w:rsidR="00DB6E1F" w14:paraId="2758BE3A" w14:textId="77777777">
        <w:trPr>
          <w:trHeight w:val="971"/>
        </w:trPr>
        <w:tc>
          <w:tcPr>
            <w:tcW w:w="2426" w:type="dxa"/>
            <w:tcBorders>
              <w:top w:val="nil"/>
            </w:tcBorders>
          </w:tcPr>
          <w:p w14:paraId="172656AC" w14:textId="77777777" w:rsidR="00DB6E1F" w:rsidRDefault="00F666A6">
            <w:pPr>
              <w:pStyle w:val="TableParagraph"/>
              <w:spacing w:line="357" w:lineRule="auto"/>
              <w:ind w:right="336"/>
              <w:rPr>
                <w:sz w:val="20"/>
              </w:rPr>
            </w:pPr>
            <w:r>
              <w:rPr>
                <w:sz w:val="20"/>
              </w:rPr>
              <w:t>High-Risk Situation (who,</w:t>
            </w:r>
            <w:r>
              <w:rPr>
                <w:spacing w:val="-12"/>
                <w:sz w:val="20"/>
              </w:rPr>
              <w:t xml:space="preserve"> </w:t>
            </w:r>
            <w:r>
              <w:rPr>
                <w:sz w:val="20"/>
              </w:rPr>
              <w:t>where,</w:t>
            </w:r>
            <w:r>
              <w:rPr>
                <w:spacing w:val="-11"/>
                <w:sz w:val="20"/>
              </w:rPr>
              <w:t xml:space="preserve"> </w:t>
            </w:r>
            <w:r>
              <w:rPr>
                <w:sz w:val="20"/>
              </w:rPr>
              <w:t>when)</w:t>
            </w:r>
          </w:p>
        </w:tc>
        <w:tc>
          <w:tcPr>
            <w:tcW w:w="1800" w:type="dxa"/>
            <w:tcBorders>
              <w:top w:val="nil"/>
            </w:tcBorders>
          </w:tcPr>
          <w:p w14:paraId="34D7C0CD" w14:textId="77777777" w:rsidR="00DB6E1F" w:rsidRDefault="00F666A6">
            <w:pPr>
              <w:pStyle w:val="TableParagraph"/>
              <w:spacing w:line="357" w:lineRule="auto"/>
              <w:ind w:left="105" w:right="315"/>
              <w:rPr>
                <w:sz w:val="20"/>
              </w:rPr>
            </w:pPr>
            <w:r>
              <w:rPr>
                <w:sz w:val="20"/>
              </w:rPr>
              <w:t>External</w:t>
            </w:r>
            <w:r>
              <w:rPr>
                <w:spacing w:val="-12"/>
                <w:sz w:val="20"/>
              </w:rPr>
              <w:t xml:space="preserve"> </w:t>
            </w:r>
            <w:r>
              <w:rPr>
                <w:sz w:val="20"/>
              </w:rPr>
              <w:t xml:space="preserve">Triggers </w:t>
            </w:r>
            <w:r>
              <w:rPr>
                <w:spacing w:val="-2"/>
                <w:sz w:val="20"/>
              </w:rPr>
              <w:t>(what)</w:t>
            </w:r>
          </w:p>
        </w:tc>
        <w:tc>
          <w:tcPr>
            <w:tcW w:w="2520" w:type="dxa"/>
            <w:tcBorders>
              <w:top w:val="nil"/>
            </w:tcBorders>
          </w:tcPr>
          <w:p w14:paraId="540C5AC7" w14:textId="77777777" w:rsidR="00DB6E1F" w:rsidRDefault="00F666A6">
            <w:pPr>
              <w:pStyle w:val="TableParagraph"/>
              <w:ind w:left="105"/>
              <w:rPr>
                <w:sz w:val="20"/>
              </w:rPr>
            </w:pPr>
            <w:r>
              <w:rPr>
                <w:sz w:val="20"/>
              </w:rPr>
              <w:t>Internal</w:t>
            </w:r>
            <w:r>
              <w:rPr>
                <w:spacing w:val="-7"/>
                <w:sz w:val="20"/>
              </w:rPr>
              <w:t xml:space="preserve"> </w:t>
            </w:r>
            <w:r>
              <w:rPr>
                <w:spacing w:val="-2"/>
                <w:sz w:val="20"/>
              </w:rPr>
              <w:t>Triggers</w:t>
            </w:r>
          </w:p>
          <w:p w14:paraId="79036A1E" w14:textId="77777777" w:rsidR="00DB6E1F" w:rsidRDefault="00F666A6">
            <w:pPr>
              <w:pStyle w:val="TableParagraph"/>
              <w:spacing w:before="121"/>
              <w:ind w:left="105" w:right="834"/>
              <w:rPr>
                <w:sz w:val="20"/>
              </w:rPr>
            </w:pPr>
            <w:r>
              <w:rPr>
                <w:sz w:val="20"/>
              </w:rPr>
              <w:t>(thoughts,</w:t>
            </w:r>
            <w:r>
              <w:rPr>
                <w:spacing w:val="-12"/>
                <w:sz w:val="20"/>
              </w:rPr>
              <w:t xml:space="preserve"> </w:t>
            </w:r>
            <w:r>
              <w:rPr>
                <w:sz w:val="20"/>
              </w:rPr>
              <w:t xml:space="preserve">feelings, </w:t>
            </w:r>
            <w:r>
              <w:rPr>
                <w:spacing w:val="-2"/>
                <w:sz w:val="20"/>
              </w:rPr>
              <w:t>impulses,</w:t>
            </w:r>
            <w:r>
              <w:rPr>
                <w:spacing w:val="5"/>
                <w:sz w:val="20"/>
              </w:rPr>
              <w:t xml:space="preserve"> </w:t>
            </w:r>
            <w:r>
              <w:rPr>
                <w:spacing w:val="-2"/>
                <w:sz w:val="20"/>
              </w:rPr>
              <w:t>cravings)</w:t>
            </w:r>
          </w:p>
        </w:tc>
        <w:tc>
          <w:tcPr>
            <w:tcW w:w="2604" w:type="dxa"/>
            <w:tcBorders>
              <w:top w:val="nil"/>
            </w:tcBorders>
          </w:tcPr>
          <w:p w14:paraId="130AFB56" w14:textId="77777777" w:rsidR="00DB6E1F" w:rsidRDefault="00F666A6">
            <w:pPr>
              <w:pStyle w:val="TableParagraph"/>
              <w:ind w:left="105"/>
              <w:rPr>
                <w:sz w:val="20"/>
              </w:rPr>
            </w:pPr>
            <w:r>
              <w:rPr>
                <w:sz w:val="20"/>
              </w:rPr>
              <w:t>Coping</w:t>
            </w:r>
            <w:r>
              <w:rPr>
                <w:spacing w:val="-8"/>
                <w:sz w:val="20"/>
              </w:rPr>
              <w:t xml:space="preserve"> </w:t>
            </w:r>
            <w:r>
              <w:rPr>
                <w:spacing w:val="-2"/>
                <w:sz w:val="20"/>
              </w:rPr>
              <w:t>Strategies</w:t>
            </w:r>
          </w:p>
        </w:tc>
      </w:tr>
      <w:tr w:rsidR="00DB6E1F" w14:paraId="58E8400D" w14:textId="77777777">
        <w:trPr>
          <w:trHeight w:val="1216"/>
        </w:trPr>
        <w:tc>
          <w:tcPr>
            <w:tcW w:w="2426" w:type="dxa"/>
          </w:tcPr>
          <w:p w14:paraId="12868274" w14:textId="77777777" w:rsidR="00DB6E1F" w:rsidRDefault="00F666A6">
            <w:pPr>
              <w:pStyle w:val="TableParagraph"/>
              <w:rPr>
                <w:sz w:val="20"/>
              </w:rPr>
            </w:pPr>
            <w:r>
              <w:rPr>
                <w:spacing w:val="-2"/>
                <w:sz w:val="20"/>
              </w:rPr>
              <w:t>Example:</w:t>
            </w:r>
          </w:p>
          <w:p w14:paraId="4D474547" w14:textId="77777777" w:rsidR="00DB6E1F" w:rsidRDefault="00F666A6">
            <w:pPr>
              <w:pStyle w:val="TableParagraph"/>
              <w:spacing w:before="121"/>
              <w:rPr>
                <w:sz w:val="20"/>
              </w:rPr>
            </w:pPr>
            <w:r>
              <w:rPr>
                <w:sz w:val="20"/>
              </w:rPr>
              <w:t>“Watching</w:t>
            </w:r>
            <w:r>
              <w:rPr>
                <w:spacing w:val="-8"/>
                <w:sz w:val="20"/>
              </w:rPr>
              <w:t xml:space="preserve"> </w:t>
            </w:r>
            <w:r>
              <w:rPr>
                <w:sz w:val="20"/>
              </w:rPr>
              <w:t>a</w:t>
            </w:r>
            <w:r>
              <w:rPr>
                <w:spacing w:val="-8"/>
                <w:sz w:val="20"/>
              </w:rPr>
              <w:t xml:space="preserve"> </w:t>
            </w:r>
            <w:r>
              <w:rPr>
                <w:sz w:val="20"/>
              </w:rPr>
              <w:t>football</w:t>
            </w:r>
            <w:r>
              <w:rPr>
                <w:spacing w:val="-8"/>
                <w:sz w:val="20"/>
              </w:rPr>
              <w:t xml:space="preserve"> </w:t>
            </w:r>
            <w:r>
              <w:rPr>
                <w:sz w:val="20"/>
              </w:rPr>
              <w:t>game with</w:t>
            </w:r>
            <w:r>
              <w:rPr>
                <w:spacing w:val="-5"/>
                <w:sz w:val="20"/>
              </w:rPr>
              <w:t xml:space="preserve"> </w:t>
            </w:r>
            <w:r>
              <w:rPr>
                <w:sz w:val="20"/>
              </w:rPr>
              <w:t>my</w:t>
            </w:r>
            <w:r>
              <w:rPr>
                <w:spacing w:val="-5"/>
                <w:sz w:val="20"/>
              </w:rPr>
              <w:t xml:space="preserve"> </w:t>
            </w:r>
            <w:r>
              <w:rPr>
                <w:sz w:val="20"/>
              </w:rPr>
              <w:t>drinking</w:t>
            </w:r>
            <w:r>
              <w:rPr>
                <w:spacing w:val="-6"/>
                <w:sz w:val="20"/>
              </w:rPr>
              <w:t xml:space="preserve"> </w:t>
            </w:r>
            <w:r>
              <w:rPr>
                <w:spacing w:val="-2"/>
                <w:sz w:val="20"/>
              </w:rPr>
              <w:t>buddies.”</w:t>
            </w:r>
          </w:p>
        </w:tc>
        <w:tc>
          <w:tcPr>
            <w:tcW w:w="1800" w:type="dxa"/>
          </w:tcPr>
          <w:p w14:paraId="423983EB" w14:textId="77777777" w:rsidR="00DB6E1F" w:rsidRDefault="00F666A6">
            <w:pPr>
              <w:pStyle w:val="TableParagraph"/>
              <w:ind w:left="105"/>
              <w:rPr>
                <w:sz w:val="20"/>
              </w:rPr>
            </w:pPr>
            <w:r>
              <w:rPr>
                <w:spacing w:val="-2"/>
                <w:sz w:val="20"/>
              </w:rPr>
              <w:t>Example:</w:t>
            </w:r>
          </w:p>
          <w:p w14:paraId="3386A105" w14:textId="77777777" w:rsidR="00DB6E1F" w:rsidRDefault="00F666A6">
            <w:pPr>
              <w:pStyle w:val="TableParagraph"/>
              <w:spacing w:before="121"/>
              <w:ind w:left="105" w:right="153"/>
              <w:rPr>
                <w:sz w:val="20"/>
              </w:rPr>
            </w:pPr>
            <w:r>
              <w:rPr>
                <w:sz w:val="20"/>
              </w:rPr>
              <w:t>“A beer commercial</w:t>
            </w:r>
            <w:r>
              <w:rPr>
                <w:spacing w:val="-12"/>
                <w:sz w:val="20"/>
              </w:rPr>
              <w:t xml:space="preserve"> </w:t>
            </w:r>
            <w:r>
              <w:rPr>
                <w:sz w:val="20"/>
              </w:rPr>
              <w:t xml:space="preserve">comes </w:t>
            </w:r>
            <w:r>
              <w:rPr>
                <w:spacing w:val="-4"/>
                <w:sz w:val="20"/>
              </w:rPr>
              <w:t>on.”</w:t>
            </w:r>
          </w:p>
        </w:tc>
        <w:tc>
          <w:tcPr>
            <w:tcW w:w="2520" w:type="dxa"/>
          </w:tcPr>
          <w:p w14:paraId="4EDBFDB4" w14:textId="77777777" w:rsidR="00DB6E1F" w:rsidRDefault="00F666A6">
            <w:pPr>
              <w:pStyle w:val="TableParagraph"/>
              <w:ind w:left="105"/>
              <w:rPr>
                <w:sz w:val="20"/>
              </w:rPr>
            </w:pPr>
            <w:r>
              <w:rPr>
                <w:spacing w:val="-2"/>
                <w:sz w:val="20"/>
              </w:rPr>
              <w:t>Example:</w:t>
            </w:r>
          </w:p>
          <w:p w14:paraId="68A0C7C4" w14:textId="77777777" w:rsidR="00DB6E1F" w:rsidRDefault="00F666A6">
            <w:pPr>
              <w:pStyle w:val="TableParagraph"/>
              <w:spacing w:before="121"/>
              <w:ind w:left="105" w:right="135"/>
              <w:rPr>
                <w:sz w:val="20"/>
              </w:rPr>
            </w:pPr>
            <w:r>
              <w:rPr>
                <w:sz w:val="20"/>
              </w:rPr>
              <w:t>“My</w:t>
            </w:r>
            <w:r>
              <w:rPr>
                <w:spacing w:val="-10"/>
                <w:sz w:val="20"/>
              </w:rPr>
              <w:t xml:space="preserve"> </w:t>
            </w:r>
            <w:r>
              <w:rPr>
                <w:sz w:val="20"/>
              </w:rPr>
              <w:t>mouth</w:t>
            </w:r>
            <w:r>
              <w:rPr>
                <w:spacing w:val="-10"/>
                <w:sz w:val="20"/>
              </w:rPr>
              <w:t xml:space="preserve"> </w:t>
            </w:r>
            <w:r>
              <w:rPr>
                <w:sz w:val="20"/>
              </w:rPr>
              <w:t>waters,</w:t>
            </w:r>
            <w:r>
              <w:rPr>
                <w:spacing w:val="-11"/>
                <w:sz w:val="20"/>
              </w:rPr>
              <w:t xml:space="preserve"> </w:t>
            </w:r>
            <w:r>
              <w:rPr>
                <w:sz w:val="20"/>
              </w:rPr>
              <w:t>and</w:t>
            </w:r>
            <w:r>
              <w:rPr>
                <w:spacing w:val="-10"/>
                <w:sz w:val="20"/>
              </w:rPr>
              <w:t xml:space="preserve"> </w:t>
            </w:r>
            <w:r>
              <w:rPr>
                <w:sz w:val="20"/>
              </w:rPr>
              <w:t>I think about how good a beer would taste.”</w:t>
            </w:r>
          </w:p>
        </w:tc>
        <w:tc>
          <w:tcPr>
            <w:tcW w:w="2604" w:type="dxa"/>
          </w:tcPr>
          <w:p w14:paraId="7B1CA130" w14:textId="77777777" w:rsidR="00DB6E1F" w:rsidRDefault="00F666A6">
            <w:pPr>
              <w:pStyle w:val="TableParagraph"/>
              <w:ind w:left="105"/>
              <w:rPr>
                <w:sz w:val="20"/>
              </w:rPr>
            </w:pPr>
            <w:r>
              <w:rPr>
                <w:spacing w:val="-2"/>
                <w:sz w:val="20"/>
              </w:rPr>
              <w:t>Example:</w:t>
            </w:r>
          </w:p>
          <w:p w14:paraId="1460995D" w14:textId="77777777" w:rsidR="00DB6E1F" w:rsidRDefault="00F666A6">
            <w:pPr>
              <w:pStyle w:val="TableParagraph"/>
              <w:spacing w:before="121"/>
              <w:ind w:left="105" w:right="157"/>
              <w:rPr>
                <w:sz w:val="20"/>
              </w:rPr>
            </w:pPr>
            <w:r>
              <w:rPr>
                <w:sz w:val="20"/>
              </w:rPr>
              <w:t>“I could go to the refrigerator and get a cold soft</w:t>
            </w:r>
            <w:r>
              <w:rPr>
                <w:spacing w:val="-9"/>
                <w:sz w:val="20"/>
              </w:rPr>
              <w:t xml:space="preserve"> </w:t>
            </w:r>
            <w:r>
              <w:rPr>
                <w:sz w:val="20"/>
              </w:rPr>
              <w:t>drink</w:t>
            </w:r>
            <w:r>
              <w:rPr>
                <w:spacing w:val="-8"/>
                <w:sz w:val="20"/>
              </w:rPr>
              <w:t xml:space="preserve"> </w:t>
            </w:r>
            <w:r>
              <w:rPr>
                <w:sz w:val="20"/>
              </w:rPr>
              <w:t>instead</w:t>
            </w:r>
            <w:r>
              <w:rPr>
                <w:spacing w:val="-8"/>
                <w:sz w:val="20"/>
              </w:rPr>
              <w:t xml:space="preserve"> </w:t>
            </w:r>
            <w:r>
              <w:rPr>
                <w:sz w:val="20"/>
              </w:rPr>
              <w:t>of</w:t>
            </w:r>
            <w:r>
              <w:rPr>
                <w:spacing w:val="-10"/>
                <w:sz w:val="20"/>
              </w:rPr>
              <w:t xml:space="preserve"> </w:t>
            </w:r>
            <w:r>
              <w:rPr>
                <w:sz w:val="20"/>
              </w:rPr>
              <w:t>a</w:t>
            </w:r>
            <w:r>
              <w:rPr>
                <w:spacing w:val="-9"/>
                <w:sz w:val="20"/>
              </w:rPr>
              <w:t xml:space="preserve"> </w:t>
            </w:r>
            <w:r>
              <w:rPr>
                <w:sz w:val="20"/>
              </w:rPr>
              <w:t>beer.”</w:t>
            </w:r>
          </w:p>
        </w:tc>
      </w:tr>
    </w:tbl>
    <w:p w14:paraId="60EE268F" w14:textId="77777777" w:rsidR="00DB6E1F" w:rsidRDefault="00F666A6">
      <w:pPr>
        <w:pStyle w:val="ListParagraph"/>
        <w:numPr>
          <w:ilvl w:val="0"/>
          <w:numId w:val="92"/>
        </w:numPr>
        <w:tabs>
          <w:tab w:val="left" w:pos="1799"/>
          <w:tab w:val="left" w:pos="1800"/>
        </w:tabs>
        <w:spacing w:before="164"/>
        <w:ind w:left="1799" w:right="1623" w:hanging="360"/>
        <w:rPr>
          <w:rFonts w:ascii="Symbol" w:hAnsi="Symbol"/>
        </w:rPr>
      </w:pPr>
      <w:r>
        <w:rPr>
          <w:b/>
        </w:rPr>
        <w:t xml:space="preserve">Ask an open question to start the discussion. </w:t>
      </w:r>
      <w:r>
        <w:t>“Tell me about situations in which you have been most likely to drink or use drugs in the past, or times when you have tended to drink or use more than</w:t>
      </w:r>
      <w:r>
        <w:rPr>
          <w:spacing w:val="-3"/>
        </w:rPr>
        <w:t xml:space="preserve"> </w:t>
      </w:r>
      <w:r>
        <w:t>expected.</w:t>
      </w:r>
      <w:r>
        <w:rPr>
          <w:spacing w:val="-2"/>
        </w:rPr>
        <w:t xml:space="preserve"> </w:t>
      </w:r>
      <w:r>
        <w:t>These</w:t>
      </w:r>
      <w:r>
        <w:rPr>
          <w:spacing w:val="-3"/>
        </w:rPr>
        <w:t xml:space="preserve"> </w:t>
      </w:r>
      <w:r>
        <w:t>might</w:t>
      </w:r>
      <w:r>
        <w:rPr>
          <w:spacing w:val="-1"/>
        </w:rPr>
        <w:t xml:space="preserve"> </w:t>
      </w:r>
      <w:r>
        <w:t>be</w:t>
      </w:r>
      <w:r>
        <w:rPr>
          <w:spacing w:val="-3"/>
        </w:rPr>
        <w:t xml:space="preserve"> </w:t>
      </w:r>
      <w:r>
        <w:t>when</w:t>
      </w:r>
      <w:r>
        <w:rPr>
          <w:spacing w:val="-3"/>
        </w:rPr>
        <w:t xml:space="preserve"> </w:t>
      </w:r>
      <w:r>
        <w:t>you</w:t>
      </w:r>
      <w:r>
        <w:rPr>
          <w:spacing w:val="-4"/>
        </w:rPr>
        <w:t xml:space="preserve"> </w:t>
      </w:r>
      <w:r>
        <w:t>were</w:t>
      </w:r>
      <w:r>
        <w:rPr>
          <w:spacing w:val="-3"/>
        </w:rPr>
        <w:t xml:space="preserve"> </w:t>
      </w:r>
      <w:r>
        <w:t>with</w:t>
      </w:r>
      <w:r>
        <w:rPr>
          <w:spacing w:val="-4"/>
        </w:rPr>
        <w:t xml:space="preserve"> </w:t>
      </w:r>
      <w:r>
        <w:t>specific</w:t>
      </w:r>
      <w:r>
        <w:rPr>
          <w:spacing w:val="-2"/>
        </w:rPr>
        <w:t xml:space="preserve"> </w:t>
      </w:r>
      <w:r>
        <w:t>people,</w:t>
      </w:r>
      <w:r>
        <w:rPr>
          <w:spacing w:val="-2"/>
        </w:rPr>
        <w:t xml:space="preserve"> </w:t>
      </w:r>
      <w:r>
        <w:t>in</w:t>
      </w:r>
      <w:r>
        <w:rPr>
          <w:spacing w:val="-4"/>
        </w:rPr>
        <w:t xml:space="preserve"> </w:t>
      </w:r>
      <w:r>
        <w:t>specific</w:t>
      </w:r>
      <w:r>
        <w:rPr>
          <w:spacing w:val="-3"/>
        </w:rPr>
        <w:t xml:space="preserve"> </w:t>
      </w:r>
      <w:r>
        <w:t>places,</w:t>
      </w:r>
      <w:r>
        <w:rPr>
          <w:spacing w:val="-3"/>
        </w:rPr>
        <w:t xml:space="preserve"> </w:t>
      </w:r>
      <w:r>
        <w:t>or</w:t>
      </w:r>
      <w:r>
        <w:rPr>
          <w:spacing w:val="-2"/>
        </w:rPr>
        <w:t xml:space="preserve"> </w:t>
      </w:r>
      <w:r>
        <w:t>at</w:t>
      </w:r>
      <w:r>
        <w:rPr>
          <w:spacing w:val="-1"/>
        </w:rPr>
        <w:t xml:space="preserve"> </w:t>
      </w:r>
      <w:r>
        <w:t>certain times of day, or perhaps when you were feeling a particular way.”</w:t>
      </w:r>
    </w:p>
    <w:p w14:paraId="2B4A351C" w14:textId="77777777" w:rsidR="00DB6E1F" w:rsidRDefault="00F666A6">
      <w:pPr>
        <w:pStyle w:val="Heading5"/>
        <w:numPr>
          <w:ilvl w:val="0"/>
          <w:numId w:val="92"/>
        </w:numPr>
        <w:tabs>
          <w:tab w:val="left" w:pos="1799"/>
          <w:tab w:val="left" w:pos="1800"/>
        </w:tabs>
        <w:spacing w:before="63"/>
        <w:ind w:left="1799"/>
        <w:rPr>
          <w:rFonts w:ascii="Symbol" w:hAnsi="Symbol"/>
          <w:b w:val="0"/>
        </w:rPr>
      </w:pPr>
      <w:r>
        <w:t>Elicit</w:t>
      </w:r>
      <w:r>
        <w:rPr>
          <w:spacing w:val="-4"/>
        </w:rPr>
        <w:t xml:space="preserve"> </w:t>
      </w:r>
      <w:r>
        <w:t>ideas</w:t>
      </w:r>
      <w:r>
        <w:rPr>
          <w:spacing w:val="-1"/>
        </w:rPr>
        <w:t xml:space="preserve"> </w:t>
      </w:r>
      <w:r>
        <w:t>from</w:t>
      </w:r>
      <w:r>
        <w:rPr>
          <w:spacing w:val="-3"/>
        </w:rPr>
        <w:t xml:space="preserve"> </w:t>
      </w:r>
      <w:r>
        <w:t>the</w:t>
      </w:r>
      <w:r>
        <w:rPr>
          <w:spacing w:val="-5"/>
        </w:rPr>
        <w:t xml:space="preserve"> </w:t>
      </w:r>
      <w:r>
        <w:t>client</w:t>
      </w:r>
      <w:r>
        <w:rPr>
          <w:spacing w:val="-4"/>
        </w:rPr>
        <w:t xml:space="preserve"> </w:t>
      </w:r>
      <w:r>
        <w:t>about</w:t>
      </w:r>
      <w:r>
        <w:rPr>
          <w:spacing w:val="-2"/>
        </w:rPr>
        <w:t xml:space="preserve"> </w:t>
      </w:r>
      <w:r>
        <w:t>ways</w:t>
      </w:r>
      <w:r>
        <w:rPr>
          <w:spacing w:val="-1"/>
        </w:rPr>
        <w:t xml:space="preserve"> </w:t>
      </w:r>
      <w:r>
        <w:t>he</w:t>
      </w:r>
      <w:r>
        <w:rPr>
          <w:spacing w:val="-4"/>
        </w:rPr>
        <w:t xml:space="preserve"> </w:t>
      </w:r>
      <w:r>
        <w:t>or</w:t>
      </w:r>
      <w:r>
        <w:rPr>
          <w:spacing w:val="-3"/>
        </w:rPr>
        <w:t xml:space="preserve"> </w:t>
      </w:r>
      <w:r>
        <w:t>she</w:t>
      </w:r>
      <w:r>
        <w:rPr>
          <w:spacing w:val="-4"/>
        </w:rPr>
        <w:t xml:space="preserve"> </w:t>
      </w:r>
      <w:r>
        <w:t>might</w:t>
      </w:r>
      <w:r>
        <w:rPr>
          <w:spacing w:val="-1"/>
        </w:rPr>
        <w:t xml:space="preserve"> </w:t>
      </w:r>
      <w:r>
        <w:t>have</w:t>
      </w:r>
      <w:r>
        <w:rPr>
          <w:spacing w:val="-3"/>
        </w:rPr>
        <w:t xml:space="preserve"> </w:t>
      </w:r>
      <w:r>
        <w:t>resisted</w:t>
      </w:r>
      <w:r>
        <w:rPr>
          <w:spacing w:val="-4"/>
        </w:rPr>
        <w:t xml:space="preserve"> </w:t>
      </w:r>
      <w:r>
        <w:t>temptation</w:t>
      </w:r>
      <w:r>
        <w:rPr>
          <w:spacing w:val="-3"/>
        </w:rPr>
        <w:t xml:space="preserve"> </w:t>
      </w:r>
      <w:r>
        <w:t>to</w:t>
      </w:r>
      <w:r>
        <w:rPr>
          <w:spacing w:val="-3"/>
        </w:rPr>
        <w:t xml:space="preserve"> </w:t>
      </w:r>
      <w:r>
        <w:t>use</w:t>
      </w:r>
      <w:r>
        <w:rPr>
          <w:spacing w:val="-4"/>
        </w:rPr>
        <w:t xml:space="preserve"> </w:t>
      </w:r>
      <w:r>
        <w:t>in</w:t>
      </w:r>
      <w:r>
        <w:rPr>
          <w:spacing w:val="-5"/>
        </w:rPr>
        <w:t xml:space="preserve"> </w:t>
      </w:r>
      <w:r>
        <w:t>the</w:t>
      </w:r>
      <w:r>
        <w:rPr>
          <w:spacing w:val="-3"/>
        </w:rPr>
        <w:t xml:space="preserve"> </w:t>
      </w:r>
      <w:r>
        <w:rPr>
          <w:spacing w:val="-2"/>
        </w:rPr>
        <w:t>past.</w:t>
      </w:r>
    </w:p>
    <w:p w14:paraId="58E441FF" w14:textId="77777777" w:rsidR="00DB6E1F" w:rsidRDefault="00F666A6">
      <w:pPr>
        <w:pStyle w:val="ListParagraph"/>
        <w:numPr>
          <w:ilvl w:val="0"/>
          <w:numId w:val="92"/>
        </w:numPr>
        <w:tabs>
          <w:tab w:val="left" w:pos="1800"/>
          <w:tab w:val="left" w:pos="1801"/>
        </w:tabs>
        <w:spacing w:before="58"/>
        <w:ind w:left="1799" w:right="1522" w:hanging="360"/>
        <w:rPr>
          <w:rFonts w:ascii="Symbol" w:hAnsi="Symbol"/>
        </w:rPr>
      </w:pPr>
      <w:r>
        <w:rPr>
          <w:b/>
        </w:rPr>
        <w:t>Elicit ideas from the client about strategies he or she</w:t>
      </w:r>
      <w:r>
        <w:rPr>
          <w:b/>
          <w:spacing w:val="-1"/>
        </w:rPr>
        <w:t xml:space="preserve"> </w:t>
      </w:r>
      <w:r>
        <w:rPr>
          <w:b/>
        </w:rPr>
        <w:t xml:space="preserve">could use now </w:t>
      </w:r>
      <w:r>
        <w:t>to avoid hi</w:t>
      </w:r>
      <w:r>
        <w:t>gh-risk situation or external</w:t>
      </w:r>
      <w:r>
        <w:rPr>
          <w:spacing w:val="-5"/>
        </w:rPr>
        <w:t xml:space="preserve"> </w:t>
      </w:r>
      <w:r>
        <w:t>triggers</w:t>
      </w:r>
      <w:r>
        <w:rPr>
          <w:spacing w:val="-2"/>
        </w:rPr>
        <w:t xml:space="preserve"> </w:t>
      </w:r>
      <w:r>
        <w:t>as</w:t>
      </w:r>
      <w:r>
        <w:rPr>
          <w:spacing w:val="-2"/>
        </w:rPr>
        <w:t xml:space="preserve"> </w:t>
      </w:r>
      <w:r>
        <w:t>well</w:t>
      </w:r>
      <w:r>
        <w:rPr>
          <w:spacing w:val="-2"/>
        </w:rPr>
        <w:t xml:space="preserve"> </w:t>
      </w:r>
      <w:r>
        <w:t>as</w:t>
      </w:r>
      <w:r>
        <w:rPr>
          <w:spacing w:val="-4"/>
        </w:rPr>
        <w:t xml:space="preserve"> </w:t>
      </w:r>
      <w:r>
        <w:t>ways</w:t>
      </w:r>
      <w:r>
        <w:rPr>
          <w:spacing w:val="-4"/>
        </w:rPr>
        <w:t xml:space="preserve"> </w:t>
      </w:r>
      <w:r>
        <w:t>to</w:t>
      </w:r>
      <w:r>
        <w:rPr>
          <w:spacing w:val="-3"/>
        </w:rPr>
        <w:t xml:space="preserve"> </w:t>
      </w:r>
      <w:r>
        <w:t>manage</w:t>
      </w:r>
      <w:r>
        <w:rPr>
          <w:spacing w:val="-1"/>
        </w:rPr>
        <w:t xml:space="preserve"> </w:t>
      </w:r>
      <w:r>
        <w:t>the</w:t>
      </w:r>
      <w:r>
        <w:rPr>
          <w:spacing w:val="-1"/>
        </w:rPr>
        <w:t xml:space="preserve"> </w:t>
      </w:r>
      <w:r>
        <w:t>internal</w:t>
      </w:r>
      <w:r>
        <w:rPr>
          <w:spacing w:val="-2"/>
        </w:rPr>
        <w:t xml:space="preserve"> </w:t>
      </w:r>
      <w:r>
        <w:t>triggers</w:t>
      </w:r>
      <w:r>
        <w:rPr>
          <w:spacing w:val="-4"/>
        </w:rPr>
        <w:t xml:space="preserve"> </w:t>
      </w:r>
      <w:r>
        <w:t>without</w:t>
      </w:r>
      <w:r>
        <w:rPr>
          <w:spacing w:val="-1"/>
        </w:rPr>
        <w:t xml:space="preserve"> </w:t>
      </w:r>
      <w:r>
        <w:t>resorting</w:t>
      </w:r>
      <w:r>
        <w:rPr>
          <w:spacing w:val="-2"/>
        </w:rPr>
        <w:t xml:space="preserve"> </w:t>
      </w:r>
      <w:r>
        <w:t>to</w:t>
      </w:r>
      <w:r>
        <w:rPr>
          <w:spacing w:val="-1"/>
        </w:rPr>
        <w:t xml:space="preserve"> </w:t>
      </w:r>
      <w:r>
        <w:t>substance</w:t>
      </w:r>
      <w:r>
        <w:rPr>
          <w:spacing w:val="-1"/>
        </w:rPr>
        <w:t xml:space="preserve"> </w:t>
      </w:r>
      <w:r>
        <w:t>use.</w:t>
      </w:r>
    </w:p>
    <w:p w14:paraId="47C4B0C6" w14:textId="77777777" w:rsidR="00DB6E1F" w:rsidRDefault="00F666A6">
      <w:pPr>
        <w:pStyle w:val="Heading5"/>
        <w:numPr>
          <w:ilvl w:val="0"/>
          <w:numId w:val="92"/>
        </w:numPr>
        <w:tabs>
          <w:tab w:val="left" w:pos="1799"/>
          <w:tab w:val="left" w:pos="1800"/>
        </w:tabs>
        <w:spacing w:before="61"/>
        <w:ind w:left="1799"/>
        <w:rPr>
          <w:rFonts w:ascii="Symbol" w:hAnsi="Symbol"/>
          <w:b w:val="0"/>
        </w:rPr>
      </w:pPr>
      <w:r>
        <w:t>Ask</w:t>
      </w:r>
      <w:r>
        <w:rPr>
          <w:spacing w:val="-4"/>
        </w:rPr>
        <w:t xml:space="preserve"> </w:t>
      </w:r>
      <w:r>
        <w:t>the</w:t>
      </w:r>
      <w:r>
        <w:rPr>
          <w:spacing w:val="-5"/>
        </w:rPr>
        <w:t xml:space="preserve"> </w:t>
      </w:r>
      <w:r>
        <w:t>client</w:t>
      </w:r>
      <w:r>
        <w:rPr>
          <w:spacing w:val="-4"/>
        </w:rPr>
        <w:t xml:space="preserve"> </w:t>
      </w:r>
      <w:r>
        <w:t>to</w:t>
      </w:r>
      <w:r>
        <w:rPr>
          <w:spacing w:val="-4"/>
        </w:rPr>
        <w:t xml:space="preserve"> </w:t>
      </w:r>
      <w:r>
        <w:t>elaborate</w:t>
      </w:r>
      <w:r>
        <w:rPr>
          <w:spacing w:val="-4"/>
        </w:rPr>
        <w:t xml:space="preserve"> </w:t>
      </w:r>
      <w:r>
        <w:t>on</w:t>
      </w:r>
      <w:r>
        <w:rPr>
          <w:spacing w:val="-4"/>
        </w:rPr>
        <w:t xml:space="preserve"> </w:t>
      </w:r>
      <w:r>
        <w:t>possible</w:t>
      </w:r>
      <w:r>
        <w:rPr>
          <w:spacing w:val="-5"/>
        </w:rPr>
        <w:t xml:space="preserve"> </w:t>
      </w:r>
      <w:r>
        <w:t>coping</w:t>
      </w:r>
      <w:r>
        <w:rPr>
          <w:spacing w:val="-4"/>
        </w:rPr>
        <w:t xml:space="preserve"> </w:t>
      </w:r>
      <w:r>
        <w:rPr>
          <w:spacing w:val="-2"/>
        </w:rPr>
        <w:t>strategies.</w:t>
      </w:r>
    </w:p>
    <w:p w14:paraId="5FBE6D4D" w14:textId="77777777" w:rsidR="00DB6E1F" w:rsidRDefault="00F666A6">
      <w:pPr>
        <w:pStyle w:val="ListParagraph"/>
        <w:numPr>
          <w:ilvl w:val="0"/>
          <w:numId w:val="92"/>
        </w:numPr>
        <w:tabs>
          <w:tab w:val="left" w:pos="1799"/>
          <w:tab w:val="left" w:pos="1800"/>
        </w:tabs>
        <w:ind w:left="1799" w:right="1562"/>
        <w:rPr>
          <w:rFonts w:ascii="Symbol" w:hAnsi="Symbol"/>
        </w:rPr>
      </w:pPr>
      <w:r>
        <w:rPr>
          <w:b/>
        </w:rPr>
        <w:t>Use</w:t>
      </w:r>
      <w:r>
        <w:rPr>
          <w:b/>
          <w:spacing w:val="-3"/>
        </w:rPr>
        <w:t xml:space="preserve"> </w:t>
      </w:r>
      <w:r>
        <w:rPr>
          <w:b/>
        </w:rPr>
        <w:t>the</w:t>
      </w:r>
      <w:r>
        <w:rPr>
          <w:b/>
          <w:spacing w:val="-3"/>
        </w:rPr>
        <w:t xml:space="preserve"> </w:t>
      </w:r>
      <w:r>
        <w:rPr>
          <w:b/>
        </w:rPr>
        <w:t>Confidence</w:t>
      </w:r>
      <w:r>
        <w:rPr>
          <w:b/>
          <w:spacing w:val="-5"/>
        </w:rPr>
        <w:t xml:space="preserve"> </w:t>
      </w:r>
      <w:r>
        <w:rPr>
          <w:b/>
        </w:rPr>
        <w:t>Ruler</w:t>
      </w:r>
      <w:r>
        <w:rPr>
          <w:b/>
          <w:spacing w:val="-4"/>
        </w:rPr>
        <w:t xml:space="preserve"> </w:t>
      </w:r>
      <w:r>
        <w:t>(Exhibit</w:t>
      </w:r>
      <w:r>
        <w:rPr>
          <w:spacing w:val="-1"/>
        </w:rPr>
        <w:t xml:space="preserve"> </w:t>
      </w:r>
      <w:r>
        <w:t>3.10)</w:t>
      </w:r>
      <w:r>
        <w:rPr>
          <w:spacing w:val="-5"/>
        </w:rPr>
        <w:t xml:space="preserve"> </w:t>
      </w:r>
      <w:r>
        <w:t>to</w:t>
      </w:r>
      <w:r>
        <w:rPr>
          <w:spacing w:val="-1"/>
        </w:rPr>
        <w:t xml:space="preserve"> </w:t>
      </w:r>
      <w:r>
        <w:t>evaluate</w:t>
      </w:r>
      <w:r>
        <w:rPr>
          <w:spacing w:val="-4"/>
        </w:rPr>
        <w:t xml:space="preserve"> </w:t>
      </w:r>
      <w:r>
        <w:t>the</w:t>
      </w:r>
      <w:r>
        <w:rPr>
          <w:spacing w:val="-1"/>
        </w:rPr>
        <w:t xml:space="preserve"> </w:t>
      </w:r>
      <w:r>
        <w:t>client’s</w:t>
      </w:r>
      <w:r>
        <w:rPr>
          <w:spacing w:val="-2"/>
        </w:rPr>
        <w:t xml:space="preserve"> </w:t>
      </w:r>
      <w:r>
        <w:t>confidence</w:t>
      </w:r>
      <w:r>
        <w:rPr>
          <w:spacing w:val="-4"/>
        </w:rPr>
        <w:t xml:space="preserve"> </w:t>
      </w:r>
      <w:r>
        <w:t>in</w:t>
      </w:r>
      <w:r>
        <w:rPr>
          <w:spacing w:val="-4"/>
        </w:rPr>
        <w:t xml:space="preserve"> </w:t>
      </w:r>
      <w:r>
        <w:t>applying</w:t>
      </w:r>
      <w:r>
        <w:rPr>
          <w:spacing w:val="-1"/>
        </w:rPr>
        <w:t xml:space="preserve"> </w:t>
      </w:r>
      <w:r>
        <w:t>these</w:t>
      </w:r>
      <w:r>
        <w:rPr>
          <w:spacing w:val="-4"/>
        </w:rPr>
        <w:t xml:space="preserve"> </w:t>
      </w:r>
      <w:r>
        <w:t>coping strategies. Evoke confidence talk to reinforce and enhance self-efficacy (see Chapter 3).</w:t>
      </w:r>
    </w:p>
    <w:p w14:paraId="277406DB" w14:textId="77777777" w:rsidR="00DB6E1F" w:rsidRDefault="00F666A6">
      <w:pPr>
        <w:pStyle w:val="BodyText"/>
        <w:spacing w:before="159"/>
        <w:ind w:left="1439" w:right="1491"/>
      </w:pPr>
      <w:r>
        <w:t>As</w:t>
      </w:r>
      <w:r>
        <w:rPr>
          <w:spacing w:val="-3"/>
        </w:rPr>
        <w:t xml:space="preserve"> </w:t>
      </w:r>
      <w:r>
        <w:t>you</w:t>
      </w:r>
      <w:r>
        <w:rPr>
          <w:spacing w:val="-4"/>
        </w:rPr>
        <w:t xml:space="preserve"> </w:t>
      </w:r>
      <w:r>
        <w:t>explore</w:t>
      </w:r>
      <w:r>
        <w:rPr>
          <w:spacing w:val="-4"/>
        </w:rPr>
        <w:t xml:space="preserve"> </w:t>
      </w:r>
      <w:r>
        <w:t>triggers,</w:t>
      </w:r>
      <w:r>
        <w:rPr>
          <w:spacing w:val="-3"/>
        </w:rPr>
        <w:t xml:space="preserve"> </w:t>
      </w:r>
      <w:r>
        <w:t>do</w:t>
      </w:r>
      <w:r>
        <w:rPr>
          <w:spacing w:val="-4"/>
        </w:rPr>
        <w:t xml:space="preserve"> </w:t>
      </w:r>
      <w:r>
        <w:t>not</w:t>
      </w:r>
      <w:r>
        <w:rPr>
          <w:spacing w:val="-2"/>
        </w:rPr>
        <w:t xml:space="preserve"> </w:t>
      </w:r>
      <w:r>
        <w:t>solely</w:t>
      </w:r>
      <w:r>
        <w:rPr>
          <w:spacing w:val="-2"/>
        </w:rPr>
        <w:t xml:space="preserve"> </w:t>
      </w:r>
      <w:r>
        <w:t>use</w:t>
      </w:r>
      <w:r>
        <w:rPr>
          <w:spacing w:val="-4"/>
        </w:rPr>
        <w:t xml:space="preserve"> </w:t>
      </w:r>
      <w:r>
        <w:t>reflective</w:t>
      </w:r>
      <w:r>
        <w:rPr>
          <w:spacing w:val="-2"/>
        </w:rPr>
        <w:t xml:space="preserve"> </w:t>
      </w:r>
      <w:r>
        <w:t>listening.</w:t>
      </w:r>
      <w:r>
        <w:rPr>
          <w:spacing w:val="-3"/>
        </w:rPr>
        <w:t xml:space="preserve"> </w:t>
      </w:r>
      <w:r>
        <w:t>This</w:t>
      </w:r>
      <w:r>
        <w:rPr>
          <w:spacing w:val="-3"/>
        </w:rPr>
        <w:t xml:space="preserve"> </w:t>
      </w:r>
      <w:r>
        <w:t>technique</w:t>
      </w:r>
      <w:r>
        <w:rPr>
          <w:spacing w:val="-4"/>
        </w:rPr>
        <w:t xml:space="preserve"> </w:t>
      </w:r>
      <w:r>
        <w:t>might</w:t>
      </w:r>
      <w:r>
        <w:rPr>
          <w:spacing w:val="-3"/>
        </w:rPr>
        <w:t xml:space="preserve"> </w:t>
      </w:r>
      <w:r>
        <w:t>accidentally</w:t>
      </w:r>
      <w:r>
        <w:rPr>
          <w:spacing w:val="-4"/>
        </w:rPr>
        <w:t xml:space="preserve"> </w:t>
      </w:r>
      <w:r>
        <w:t>evoke sustain talk from the client and decrease his or her commitment to engaging in coping strategies.</w:t>
      </w:r>
    </w:p>
    <w:p w14:paraId="2937B7E8" w14:textId="77777777" w:rsidR="00DB6E1F" w:rsidRDefault="00F666A6">
      <w:pPr>
        <w:pStyle w:val="Heading5"/>
        <w:spacing w:before="0"/>
        <w:ind w:left="1439" w:right="1491"/>
      </w:pPr>
      <w:r>
        <w:rPr>
          <w:b w:val="0"/>
        </w:rPr>
        <w:t>Instead,</w:t>
      </w:r>
      <w:r>
        <w:rPr>
          <w:b w:val="0"/>
          <w:spacing w:val="-2"/>
        </w:rPr>
        <w:t xml:space="preserve"> </w:t>
      </w:r>
      <w:r>
        <w:t>use</w:t>
      </w:r>
      <w:r>
        <w:rPr>
          <w:spacing w:val="-3"/>
        </w:rPr>
        <w:t xml:space="preserve"> </w:t>
      </w:r>
      <w:r>
        <w:t>affirmations</w:t>
      </w:r>
      <w:r>
        <w:rPr>
          <w:spacing w:val="-1"/>
        </w:rPr>
        <w:t xml:space="preserve"> </w:t>
      </w:r>
      <w:r>
        <w:t>and</w:t>
      </w:r>
      <w:r>
        <w:rPr>
          <w:spacing w:val="-3"/>
        </w:rPr>
        <w:t xml:space="preserve"> </w:t>
      </w:r>
      <w:r>
        <w:t>reflective</w:t>
      </w:r>
      <w:r>
        <w:rPr>
          <w:spacing w:val="-5"/>
        </w:rPr>
        <w:t xml:space="preserve"> </w:t>
      </w:r>
      <w:r>
        <w:t>listening</w:t>
      </w:r>
      <w:r>
        <w:rPr>
          <w:spacing w:val="-1"/>
        </w:rPr>
        <w:t xml:space="preserve"> </w:t>
      </w:r>
      <w:r>
        <w:t>responses</w:t>
      </w:r>
      <w:r>
        <w:rPr>
          <w:spacing w:val="-1"/>
        </w:rPr>
        <w:t xml:space="preserve"> </w:t>
      </w:r>
      <w:r>
        <w:t>to</w:t>
      </w:r>
      <w:r>
        <w:rPr>
          <w:spacing w:val="-3"/>
        </w:rPr>
        <w:t xml:space="preserve"> </w:t>
      </w:r>
      <w:r>
        <w:t>reinforce</w:t>
      </w:r>
      <w:r>
        <w:rPr>
          <w:spacing w:val="-3"/>
        </w:rPr>
        <w:t xml:space="preserve"> </w:t>
      </w:r>
      <w:r>
        <w:t>the</w:t>
      </w:r>
      <w:r>
        <w:rPr>
          <w:spacing w:val="-5"/>
        </w:rPr>
        <w:t xml:space="preserve"> </w:t>
      </w:r>
      <w:r>
        <w:t>client’s</w:t>
      </w:r>
      <w:r>
        <w:rPr>
          <w:spacing w:val="-4"/>
        </w:rPr>
        <w:t xml:space="preserve"> </w:t>
      </w:r>
      <w:r>
        <w:t>commitment</w:t>
      </w:r>
      <w:r>
        <w:rPr>
          <w:spacing w:val="-4"/>
        </w:rPr>
        <w:t xml:space="preserve"> </w:t>
      </w:r>
      <w:r>
        <w:t xml:space="preserve">to engaging in coping strategies as an alternative to </w:t>
      </w:r>
      <w:r>
        <w:t>substance use.</w:t>
      </w:r>
    </w:p>
    <w:p w14:paraId="59970989" w14:textId="77777777" w:rsidR="00DB6E1F" w:rsidRDefault="00F666A6">
      <w:pPr>
        <w:pStyle w:val="BodyText"/>
        <w:spacing w:before="159"/>
        <w:ind w:left="1439"/>
      </w:pPr>
      <w:r>
        <w:t>If</w:t>
      </w:r>
      <w:r>
        <w:rPr>
          <w:spacing w:val="-5"/>
        </w:rPr>
        <w:t xml:space="preserve"> </w:t>
      </w:r>
      <w:r>
        <w:t>the</w:t>
      </w:r>
      <w:r>
        <w:rPr>
          <w:spacing w:val="-4"/>
        </w:rPr>
        <w:t xml:space="preserve"> </w:t>
      </w:r>
      <w:r>
        <w:t>client</w:t>
      </w:r>
      <w:r>
        <w:rPr>
          <w:spacing w:val="-4"/>
        </w:rPr>
        <w:t xml:space="preserve"> </w:t>
      </w:r>
      <w:r>
        <w:t>has</w:t>
      </w:r>
      <w:r>
        <w:rPr>
          <w:spacing w:val="-4"/>
        </w:rPr>
        <w:t xml:space="preserve"> </w:t>
      </w:r>
      <w:r>
        <w:t>difficulty</w:t>
      </w:r>
      <w:r>
        <w:rPr>
          <w:spacing w:val="-4"/>
        </w:rPr>
        <w:t xml:space="preserve"> </w:t>
      </w:r>
      <w:r>
        <w:t>identifying</w:t>
      </w:r>
      <w:r>
        <w:rPr>
          <w:spacing w:val="-6"/>
        </w:rPr>
        <w:t xml:space="preserve"> </w:t>
      </w:r>
      <w:r>
        <w:t>coping</w:t>
      </w:r>
      <w:r>
        <w:rPr>
          <w:spacing w:val="-5"/>
        </w:rPr>
        <w:t xml:space="preserve"> </w:t>
      </w:r>
      <w:r>
        <w:rPr>
          <w:spacing w:val="-2"/>
        </w:rPr>
        <w:t>strategies:</w:t>
      </w:r>
    </w:p>
    <w:p w14:paraId="1255A6D6" w14:textId="77777777" w:rsidR="00DB6E1F" w:rsidRDefault="00F666A6">
      <w:pPr>
        <w:pStyle w:val="ListParagraph"/>
        <w:numPr>
          <w:ilvl w:val="0"/>
          <w:numId w:val="92"/>
        </w:numPr>
        <w:tabs>
          <w:tab w:val="left" w:pos="1799"/>
          <w:tab w:val="left" w:pos="1800"/>
        </w:tabs>
        <w:spacing w:before="161"/>
        <w:ind w:left="1799"/>
        <w:rPr>
          <w:rFonts w:ascii="Symbol" w:hAnsi="Symbol"/>
        </w:rPr>
      </w:pPr>
      <w:r>
        <w:t>Offer</w:t>
      </w:r>
      <w:r>
        <w:rPr>
          <w:spacing w:val="-4"/>
        </w:rPr>
        <w:t xml:space="preserve"> </w:t>
      </w:r>
      <w:r>
        <w:t>some</w:t>
      </w:r>
      <w:r>
        <w:rPr>
          <w:spacing w:val="-2"/>
        </w:rPr>
        <w:t xml:space="preserve"> </w:t>
      </w:r>
      <w:r>
        <w:t>ideas</w:t>
      </w:r>
      <w:r>
        <w:rPr>
          <w:spacing w:val="-3"/>
        </w:rPr>
        <w:t xml:space="preserve"> </w:t>
      </w:r>
      <w:r>
        <w:t>that</w:t>
      </w:r>
      <w:r>
        <w:rPr>
          <w:spacing w:val="-5"/>
        </w:rPr>
        <w:t xml:space="preserve"> </w:t>
      </w:r>
      <w:r>
        <w:t>others</w:t>
      </w:r>
      <w:r>
        <w:rPr>
          <w:spacing w:val="-2"/>
        </w:rPr>
        <w:t xml:space="preserve"> </w:t>
      </w:r>
      <w:r>
        <w:t>have</w:t>
      </w:r>
      <w:r>
        <w:rPr>
          <w:spacing w:val="-5"/>
        </w:rPr>
        <w:t xml:space="preserve"> </w:t>
      </w:r>
      <w:r>
        <w:t>found</w:t>
      </w:r>
      <w:r>
        <w:rPr>
          <w:spacing w:val="-4"/>
        </w:rPr>
        <w:t xml:space="preserve"> </w:t>
      </w:r>
      <w:r>
        <w:rPr>
          <w:spacing w:val="-2"/>
        </w:rPr>
        <w:t>helpful.</w:t>
      </w:r>
    </w:p>
    <w:p w14:paraId="7AEE1FF4" w14:textId="77777777" w:rsidR="00DB6E1F" w:rsidRDefault="00F666A6">
      <w:pPr>
        <w:pStyle w:val="ListParagraph"/>
        <w:numPr>
          <w:ilvl w:val="0"/>
          <w:numId w:val="92"/>
        </w:numPr>
        <w:tabs>
          <w:tab w:val="left" w:pos="1799"/>
          <w:tab w:val="left" w:pos="1800"/>
        </w:tabs>
        <w:spacing w:before="61"/>
        <w:ind w:left="1799"/>
        <w:rPr>
          <w:rFonts w:ascii="Symbol" w:hAnsi="Symbol"/>
        </w:rPr>
      </w:pPr>
      <w:r>
        <w:t>Brainstorm</w:t>
      </w:r>
      <w:r>
        <w:rPr>
          <w:spacing w:val="-6"/>
        </w:rPr>
        <w:t xml:space="preserve"> </w:t>
      </w:r>
      <w:r>
        <w:t>with</w:t>
      </w:r>
      <w:r>
        <w:rPr>
          <w:spacing w:val="-5"/>
        </w:rPr>
        <w:t xml:space="preserve"> </w:t>
      </w:r>
      <w:r>
        <w:t>the</w:t>
      </w:r>
      <w:r>
        <w:rPr>
          <w:spacing w:val="-3"/>
        </w:rPr>
        <w:t xml:space="preserve"> </w:t>
      </w:r>
      <w:r>
        <w:rPr>
          <w:spacing w:val="-2"/>
        </w:rPr>
        <w:t>client.</w:t>
      </w:r>
    </w:p>
    <w:p w14:paraId="1C4CC708" w14:textId="77777777" w:rsidR="00DB6E1F" w:rsidRDefault="00F666A6">
      <w:pPr>
        <w:pStyle w:val="ListParagraph"/>
        <w:numPr>
          <w:ilvl w:val="0"/>
          <w:numId w:val="92"/>
        </w:numPr>
        <w:tabs>
          <w:tab w:val="left" w:pos="1799"/>
          <w:tab w:val="left" w:pos="1800"/>
        </w:tabs>
        <w:ind w:left="1799"/>
        <w:rPr>
          <w:rFonts w:ascii="Symbol" w:hAnsi="Symbol"/>
        </w:rPr>
      </w:pPr>
      <w:r>
        <w:t>Offer</w:t>
      </w:r>
      <w:r>
        <w:rPr>
          <w:spacing w:val="-3"/>
        </w:rPr>
        <w:t xml:space="preserve"> </w:t>
      </w:r>
      <w:r>
        <w:t>a</w:t>
      </w:r>
      <w:r>
        <w:rPr>
          <w:spacing w:val="-6"/>
        </w:rPr>
        <w:t xml:space="preserve"> </w:t>
      </w:r>
      <w:r>
        <w:t>menu</w:t>
      </w:r>
      <w:r>
        <w:rPr>
          <w:spacing w:val="-4"/>
        </w:rPr>
        <w:t xml:space="preserve"> </w:t>
      </w:r>
      <w:r>
        <w:t>of</w:t>
      </w:r>
      <w:r>
        <w:rPr>
          <w:spacing w:val="-3"/>
        </w:rPr>
        <w:t xml:space="preserve"> </w:t>
      </w:r>
      <w:r>
        <w:t>possible</w:t>
      </w:r>
      <w:r>
        <w:rPr>
          <w:spacing w:val="-5"/>
        </w:rPr>
        <w:t xml:space="preserve"> </w:t>
      </w:r>
      <w:r>
        <w:t>coping</w:t>
      </w:r>
      <w:r>
        <w:rPr>
          <w:spacing w:val="-3"/>
        </w:rPr>
        <w:t xml:space="preserve"> </w:t>
      </w:r>
      <w:r>
        <w:rPr>
          <w:spacing w:val="-2"/>
        </w:rPr>
        <w:t>strategies.</w:t>
      </w:r>
    </w:p>
    <w:p w14:paraId="487C4D41" w14:textId="77777777" w:rsidR="00DB6E1F" w:rsidRDefault="00F666A6">
      <w:pPr>
        <w:pStyle w:val="ListParagraph"/>
        <w:numPr>
          <w:ilvl w:val="0"/>
          <w:numId w:val="92"/>
        </w:numPr>
        <w:tabs>
          <w:tab w:val="left" w:pos="1799"/>
          <w:tab w:val="left" w:pos="1800"/>
        </w:tabs>
        <w:spacing w:before="56"/>
        <w:ind w:left="1799"/>
        <w:rPr>
          <w:rFonts w:ascii="Symbol" w:hAnsi="Symbol"/>
        </w:rPr>
      </w:pPr>
      <w:r>
        <w:t>Explore</w:t>
      </w:r>
      <w:r>
        <w:rPr>
          <w:spacing w:val="-7"/>
        </w:rPr>
        <w:t xml:space="preserve"> </w:t>
      </w:r>
      <w:r>
        <w:t>with</w:t>
      </w:r>
      <w:r>
        <w:rPr>
          <w:spacing w:val="-6"/>
        </w:rPr>
        <w:t xml:space="preserve"> </w:t>
      </w:r>
      <w:r>
        <w:t>the</w:t>
      </w:r>
      <w:r>
        <w:rPr>
          <w:spacing w:val="-4"/>
        </w:rPr>
        <w:t xml:space="preserve"> </w:t>
      </w:r>
      <w:r>
        <w:t>client</w:t>
      </w:r>
      <w:r>
        <w:rPr>
          <w:spacing w:val="-5"/>
        </w:rPr>
        <w:t xml:space="preserve"> </w:t>
      </w:r>
      <w:r>
        <w:t>which</w:t>
      </w:r>
      <w:r>
        <w:rPr>
          <w:spacing w:val="-3"/>
        </w:rPr>
        <w:t xml:space="preserve"> </w:t>
      </w:r>
      <w:r>
        <w:t>options</w:t>
      </w:r>
      <w:r>
        <w:rPr>
          <w:spacing w:val="-3"/>
        </w:rPr>
        <w:t xml:space="preserve"> </w:t>
      </w:r>
      <w:r>
        <w:t>are</w:t>
      </w:r>
      <w:r>
        <w:rPr>
          <w:spacing w:val="-5"/>
        </w:rPr>
        <w:t xml:space="preserve"> </w:t>
      </w:r>
      <w:r>
        <w:t>more</w:t>
      </w:r>
      <w:r>
        <w:rPr>
          <w:spacing w:val="-1"/>
        </w:rPr>
        <w:t xml:space="preserve"> </w:t>
      </w:r>
      <w:r>
        <w:t>likely</w:t>
      </w:r>
      <w:r>
        <w:rPr>
          <w:spacing w:val="-4"/>
        </w:rPr>
        <w:t xml:space="preserve"> </w:t>
      </w:r>
      <w:r>
        <w:t>to</w:t>
      </w:r>
      <w:r>
        <w:rPr>
          <w:spacing w:val="-2"/>
        </w:rPr>
        <w:t xml:space="preserve"> </w:t>
      </w:r>
      <w:r>
        <w:t>work</w:t>
      </w:r>
      <w:r>
        <w:rPr>
          <w:spacing w:val="-4"/>
        </w:rPr>
        <w:t xml:space="preserve"> </w:t>
      </w:r>
      <w:r>
        <w:t>as</w:t>
      </w:r>
      <w:r>
        <w:rPr>
          <w:spacing w:val="-3"/>
        </w:rPr>
        <w:t xml:space="preserve"> </w:t>
      </w:r>
      <w:r>
        <w:t>in</w:t>
      </w:r>
      <w:r>
        <w:rPr>
          <w:spacing w:val="-6"/>
        </w:rPr>
        <w:t xml:space="preserve"> </w:t>
      </w:r>
      <w:r>
        <w:t>the</w:t>
      </w:r>
      <w:r>
        <w:rPr>
          <w:spacing w:val="-1"/>
        </w:rPr>
        <w:t xml:space="preserve"> </w:t>
      </w:r>
      <w:r>
        <w:t>examples</w:t>
      </w:r>
      <w:r>
        <w:rPr>
          <w:spacing w:val="-3"/>
        </w:rPr>
        <w:t xml:space="preserve"> </w:t>
      </w:r>
      <w:r>
        <w:t>in</w:t>
      </w:r>
      <w:r>
        <w:rPr>
          <w:spacing w:val="-4"/>
        </w:rPr>
        <w:t xml:space="preserve"> </w:t>
      </w:r>
      <w:r>
        <w:t>Exhibit</w:t>
      </w:r>
      <w:r>
        <w:rPr>
          <w:spacing w:val="-1"/>
        </w:rPr>
        <w:t xml:space="preserve"> </w:t>
      </w:r>
      <w:r>
        <w:rPr>
          <w:spacing w:val="-4"/>
        </w:rPr>
        <w:t>7.4.</w:t>
      </w:r>
    </w:p>
    <w:p w14:paraId="63AC9E2A" w14:textId="77777777" w:rsidR="00DB6E1F" w:rsidRDefault="00DB6E1F">
      <w:pPr>
        <w:pStyle w:val="BodyText"/>
        <w:spacing w:before="2"/>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5DD94DF1" w14:textId="77777777">
        <w:trPr>
          <w:trHeight w:val="523"/>
        </w:trPr>
        <w:tc>
          <w:tcPr>
            <w:tcW w:w="9350" w:type="dxa"/>
            <w:tcBorders>
              <w:top w:val="nil"/>
              <w:bottom w:val="nil"/>
            </w:tcBorders>
            <w:shd w:val="clear" w:color="auto" w:fill="050505"/>
          </w:tcPr>
          <w:p w14:paraId="703C8C25" w14:textId="77777777" w:rsidR="00DB6E1F" w:rsidRDefault="00F666A6">
            <w:pPr>
              <w:pStyle w:val="TableParagraph"/>
              <w:spacing w:before="112"/>
              <w:ind w:left="208"/>
              <w:rPr>
                <w:sz w:val="24"/>
              </w:rPr>
            </w:pPr>
            <w:r>
              <w:rPr>
                <w:color w:val="FFFFFF"/>
                <w:sz w:val="24"/>
              </w:rPr>
              <w:t>Exhibit</w:t>
            </w:r>
            <w:r>
              <w:rPr>
                <w:color w:val="FFFFFF"/>
                <w:spacing w:val="-2"/>
                <w:sz w:val="24"/>
              </w:rPr>
              <w:t xml:space="preserve"> </w:t>
            </w:r>
            <w:r>
              <w:rPr>
                <w:color w:val="FFFFFF"/>
                <w:sz w:val="24"/>
              </w:rPr>
              <w:t>7.4.</w:t>
            </w:r>
            <w:r>
              <w:rPr>
                <w:color w:val="FFFFFF"/>
                <w:spacing w:val="-1"/>
                <w:sz w:val="24"/>
              </w:rPr>
              <w:t xml:space="preserve"> </w:t>
            </w:r>
            <w:r>
              <w:rPr>
                <w:color w:val="FFFFFF"/>
                <w:sz w:val="24"/>
              </w:rPr>
              <w:t>A</w:t>
            </w:r>
            <w:r>
              <w:rPr>
                <w:color w:val="FFFFFF"/>
                <w:spacing w:val="-3"/>
                <w:sz w:val="24"/>
              </w:rPr>
              <w:t xml:space="preserve"> </w:t>
            </w:r>
            <w:r>
              <w:rPr>
                <w:color w:val="FFFFFF"/>
                <w:sz w:val="24"/>
              </w:rPr>
              <w:t>Menu</w:t>
            </w:r>
            <w:r>
              <w:rPr>
                <w:color w:val="FFFFFF"/>
                <w:spacing w:val="-2"/>
                <w:sz w:val="24"/>
              </w:rPr>
              <w:t xml:space="preserve"> </w:t>
            </w:r>
            <w:r>
              <w:rPr>
                <w:color w:val="FFFFFF"/>
                <w:sz w:val="24"/>
              </w:rPr>
              <w:t>of</w:t>
            </w:r>
            <w:r>
              <w:rPr>
                <w:color w:val="FFFFFF"/>
                <w:spacing w:val="1"/>
                <w:sz w:val="24"/>
              </w:rPr>
              <w:t xml:space="preserve"> </w:t>
            </w:r>
            <w:r>
              <w:rPr>
                <w:color w:val="FFFFFF"/>
                <w:sz w:val="24"/>
              </w:rPr>
              <w:t>Coping</w:t>
            </w:r>
            <w:r>
              <w:rPr>
                <w:color w:val="FFFFFF"/>
                <w:spacing w:val="-2"/>
                <w:sz w:val="24"/>
              </w:rPr>
              <w:t xml:space="preserve"> Strategies</w:t>
            </w:r>
          </w:p>
        </w:tc>
      </w:tr>
      <w:tr w:rsidR="00DB6E1F" w14:paraId="4224B46D" w14:textId="77777777">
        <w:trPr>
          <w:trHeight w:val="1948"/>
        </w:trPr>
        <w:tc>
          <w:tcPr>
            <w:tcW w:w="9350" w:type="dxa"/>
            <w:tcBorders>
              <w:top w:val="nil"/>
            </w:tcBorders>
          </w:tcPr>
          <w:p w14:paraId="749002F8" w14:textId="77777777" w:rsidR="00DB6E1F" w:rsidRDefault="00F666A6">
            <w:pPr>
              <w:pStyle w:val="TableParagraph"/>
              <w:ind w:right="169"/>
              <w:rPr>
                <w:sz w:val="20"/>
              </w:rPr>
            </w:pPr>
            <w:r>
              <w:rPr>
                <w:sz w:val="20"/>
              </w:rPr>
              <w:t>Coping strategies are not mutually exclusive; different ones can be used at different times. In addition,</w:t>
            </w:r>
            <w:r>
              <w:rPr>
                <w:spacing w:val="-1"/>
                <w:sz w:val="20"/>
              </w:rPr>
              <w:t xml:space="preserve"> </w:t>
            </w:r>
            <w:r>
              <w:rPr>
                <w:sz w:val="20"/>
              </w:rPr>
              <w:t>not all are</w:t>
            </w:r>
            <w:r>
              <w:rPr>
                <w:spacing w:val="-4"/>
                <w:sz w:val="20"/>
              </w:rPr>
              <w:t xml:space="preserve"> </w:t>
            </w:r>
            <w:r>
              <w:rPr>
                <w:sz w:val="20"/>
              </w:rPr>
              <w:t>equally</w:t>
            </w:r>
            <w:r>
              <w:rPr>
                <w:spacing w:val="-2"/>
                <w:sz w:val="20"/>
              </w:rPr>
              <w:t xml:space="preserve"> </w:t>
            </w:r>
            <w:r>
              <w:rPr>
                <w:sz w:val="20"/>
              </w:rPr>
              <w:t>good;</w:t>
            </w:r>
            <w:r>
              <w:rPr>
                <w:spacing w:val="-4"/>
                <w:sz w:val="20"/>
              </w:rPr>
              <w:t xml:space="preserve"> </w:t>
            </w:r>
            <w:r>
              <w:rPr>
                <w:sz w:val="20"/>
              </w:rPr>
              <w:t>some</w:t>
            </w:r>
            <w:r>
              <w:rPr>
                <w:spacing w:val="-4"/>
                <w:sz w:val="20"/>
              </w:rPr>
              <w:t xml:space="preserve"> </w:t>
            </w:r>
            <w:r>
              <w:rPr>
                <w:sz w:val="20"/>
              </w:rPr>
              <w:t>involve</w:t>
            </w:r>
            <w:r>
              <w:rPr>
                <w:spacing w:val="-4"/>
                <w:sz w:val="20"/>
              </w:rPr>
              <w:t xml:space="preserve"> </w:t>
            </w:r>
            <w:r>
              <w:rPr>
                <w:sz w:val="20"/>
              </w:rPr>
              <w:t>getting</w:t>
            </w:r>
            <w:r>
              <w:rPr>
                <w:spacing w:val="-4"/>
                <w:sz w:val="20"/>
              </w:rPr>
              <w:t xml:space="preserve"> </w:t>
            </w:r>
            <w:r>
              <w:rPr>
                <w:sz w:val="20"/>
              </w:rPr>
              <w:t>uncomfortably</w:t>
            </w:r>
            <w:r>
              <w:rPr>
                <w:spacing w:val="-2"/>
                <w:sz w:val="20"/>
              </w:rPr>
              <w:t xml:space="preserve"> </w:t>
            </w:r>
            <w:r>
              <w:rPr>
                <w:sz w:val="20"/>
              </w:rPr>
              <w:t>close</w:t>
            </w:r>
            <w:r>
              <w:rPr>
                <w:spacing w:val="-1"/>
                <w:sz w:val="20"/>
              </w:rPr>
              <w:t xml:space="preserve"> </w:t>
            </w:r>
            <w:r>
              <w:rPr>
                <w:sz w:val="20"/>
              </w:rPr>
              <w:t>to</w:t>
            </w:r>
            <w:r>
              <w:rPr>
                <w:spacing w:val="-3"/>
                <w:sz w:val="20"/>
              </w:rPr>
              <w:t xml:space="preserve"> </w:t>
            </w:r>
            <w:r>
              <w:rPr>
                <w:sz w:val="20"/>
              </w:rPr>
              <w:t>trigger</w:t>
            </w:r>
            <w:r>
              <w:rPr>
                <w:spacing w:val="-3"/>
                <w:sz w:val="20"/>
              </w:rPr>
              <w:t xml:space="preserve"> </w:t>
            </w:r>
            <w:r>
              <w:rPr>
                <w:sz w:val="20"/>
              </w:rPr>
              <w:t>situations.</w:t>
            </w:r>
            <w:r>
              <w:rPr>
                <w:spacing w:val="-2"/>
                <w:sz w:val="20"/>
              </w:rPr>
              <w:t xml:space="preserve"> </w:t>
            </w:r>
            <w:r>
              <w:rPr>
                <w:sz w:val="20"/>
              </w:rPr>
              <w:t>Here</w:t>
            </w:r>
            <w:r>
              <w:rPr>
                <w:spacing w:val="-4"/>
                <w:sz w:val="20"/>
              </w:rPr>
              <w:t xml:space="preserve"> </w:t>
            </w:r>
            <w:r>
              <w:rPr>
                <w:sz w:val="20"/>
              </w:rPr>
              <w:t>are</w:t>
            </w:r>
            <w:r>
              <w:rPr>
                <w:spacing w:val="-2"/>
                <w:sz w:val="20"/>
              </w:rPr>
              <w:t xml:space="preserve"> </w:t>
            </w:r>
            <w:r>
              <w:rPr>
                <w:sz w:val="20"/>
              </w:rPr>
              <w:t>some</w:t>
            </w:r>
            <w:r>
              <w:rPr>
                <w:spacing w:val="-2"/>
                <w:sz w:val="20"/>
              </w:rPr>
              <w:t xml:space="preserve"> </w:t>
            </w:r>
            <w:r>
              <w:rPr>
                <w:sz w:val="20"/>
              </w:rPr>
              <w:t>examples</w:t>
            </w:r>
            <w:r>
              <w:rPr>
                <w:spacing w:val="-4"/>
                <w:sz w:val="20"/>
              </w:rPr>
              <w:t xml:space="preserve"> </w:t>
            </w:r>
            <w:r>
              <w:rPr>
                <w:sz w:val="20"/>
              </w:rPr>
              <w:t>of</w:t>
            </w:r>
            <w:r>
              <w:rPr>
                <w:spacing w:val="-4"/>
                <w:sz w:val="20"/>
              </w:rPr>
              <w:t xml:space="preserve"> </w:t>
            </w:r>
            <w:r>
              <w:rPr>
                <w:sz w:val="20"/>
              </w:rPr>
              <w:t>a menu of strategies that might he</w:t>
            </w:r>
            <w:r>
              <w:rPr>
                <w:sz w:val="20"/>
              </w:rPr>
              <w:t>lp clients in different high-risk situations.</w:t>
            </w:r>
          </w:p>
          <w:p w14:paraId="53CEDDED" w14:textId="77777777" w:rsidR="00DB6E1F" w:rsidRDefault="00F666A6">
            <w:pPr>
              <w:pStyle w:val="TableParagraph"/>
              <w:spacing w:before="120"/>
              <w:ind w:hanging="1"/>
              <w:rPr>
                <w:sz w:val="20"/>
              </w:rPr>
            </w:pPr>
            <w:r>
              <w:rPr>
                <w:b/>
                <w:sz w:val="20"/>
              </w:rPr>
              <w:t>Example</w:t>
            </w:r>
            <w:r>
              <w:rPr>
                <w:b/>
                <w:spacing w:val="-2"/>
                <w:sz w:val="20"/>
              </w:rPr>
              <w:t xml:space="preserve"> </w:t>
            </w:r>
            <w:r>
              <w:rPr>
                <w:b/>
                <w:sz w:val="20"/>
              </w:rPr>
              <w:t>#1:</w:t>
            </w:r>
            <w:r>
              <w:rPr>
                <w:b/>
                <w:spacing w:val="-2"/>
                <w:sz w:val="20"/>
              </w:rPr>
              <w:t xml:space="preserve"> </w:t>
            </w:r>
            <w:r>
              <w:rPr>
                <w:sz w:val="20"/>
              </w:rPr>
              <w:t>Client</w:t>
            </w:r>
            <w:r>
              <w:rPr>
                <w:spacing w:val="-2"/>
                <w:sz w:val="20"/>
              </w:rPr>
              <w:t xml:space="preserve"> </w:t>
            </w:r>
            <w:r>
              <w:rPr>
                <w:sz w:val="20"/>
              </w:rPr>
              <w:t>X</w:t>
            </w:r>
            <w:r>
              <w:rPr>
                <w:spacing w:val="-2"/>
                <w:sz w:val="20"/>
              </w:rPr>
              <w:t xml:space="preserve"> </w:t>
            </w:r>
            <w:r>
              <w:rPr>
                <w:sz w:val="20"/>
              </w:rPr>
              <w:t>typically</w:t>
            </w:r>
            <w:r>
              <w:rPr>
                <w:spacing w:val="-1"/>
                <w:sz w:val="20"/>
              </w:rPr>
              <w:t xml:space="preserve"> </w:t>
            </w:r>
            <w:r>
              <w:rPr>
                <w:sz w:val="20"/>
              </w:rPr>
              <w:t>uses</w:t>
            </w:r>
            <w:r>
              <w:rPr>
                <w:spacing w:val="-1"/>
                <w:sz w:val="20"/>
              </w:rPr>
              <w:t xml:space="preserve"> </w:t>
            </w:r>
            <w:r>
              <w:rPr>
                <w:sz w:val="20"/>
              </w:rPr>
              <w:t>cocaine</w:t>
            </w:r>
            <w:r>
              <w:rPr>
                <w:spacing w:val="-3"/>
                <w:sz w:val="20"/>
              </w:rPr>
              <w:t xml:space="preserve"> </w:t>
            </w:r>
            <w:r>
              <w:rPr>
                <w:sz w:val="20"/>
              </w:rPr>
              <w:t>whenever</w:t>
            </w:r>
            <w:r>
              <w:rPr>
                <w:spacing w:val="-2"/>
                <w:sz w:val="20"/>
              </w:rPr>
              <w:t xml:space="preserve"> </w:t>
            </w:r>
            <w:r>
              <w:rPr>
                <w:sz w:val="20"/>
              </w:rPr>
              <w:t>his</w:t>
            </w:r>
            <w:r>
              <w:rPr>
                <w:spacing w:val="-1"/>
                <w:sz w:val="20"/>
              </w:rPr>
              <w:t xml:space="preserve"> </w:t>
            </w:r>
            <w:r>
              <w:rPr>
                <w:sz w:val="20"/>
              </w:rPr>
              <w:t>cousin,</w:t>
            </w:r>
            <w:r>
              <w:rPr>
                <w:spacing w:val="-1"/>
                <w:sz w:val="20"/>
              </w:rPr>
              <w:t xml:space="preserve"> </w:t>
            </w:r>
            <w:r>
              <w:rPr>
                <w:sz w:val="20"/>
              </w:rPr>
              <w:t>who</w:t>
            </w:r>
            <w:r>
              <w:rPr>
                <w:spacing w:val="-1"/>
                <w:sz w:val="20"/>
              </w:rPr>
              <w:t xml:space="preserve"> </w:t>
            </w:r>
            <w:r>
              <w:rPr>
                <w:sz w:val="20"/>
              </w:rPr>
              <w:t>uses</w:t>
            </w:r>
            <w:r>
              <w:rPr>
                <w:spacing w:val="-3"/>
                <w:sz w:val="20"/>
              </w:rPr>
              <w:t xml:space="preserve"> </w:t>
            </w:r>
            <w:r>
              <w:rPr>
                <w:sz w:val="20"/>
              </w:rPr>
              <w:t>regularly,</w:t>
            </w:r>
            <w:r>
              <w:rPr>
                <w:spacing w:val="-1"/>
                <w:sz w:val="20"/>
              </w:rPr>
              <w:t xml:space="preserve"> </w:t>
            </w:r>
            <w:r>
              <w:rPr>
                <w:sz w:val="20"/>
              </w:rPr>
              <w:t>drops</w:t>
            </w:r>
            <w:r>
              <w:rPr>
                <w:spacing w:val="-3"/>
                <w:sz w:val="20"/>
              </w:rPr>
              <w:t xml:space="preserve"> </w:t>
            </w:r>
            <w:r>
              <w:rPr>
                <w:sz w:val="20"/>
              </w:rPr>
              <w:t>by</w:t>
            </w:r>
            <w:r>
              <w:rPr>
                <w:spacing w:val="-1"/>
                <w:sz w:val="20"/>
              </w:rPr>
              <w:t xml:space="preserve"> </w:t>
            </w:r>
            <w:r>
              <w:rPr>
                <w:sz w:val="20"/>
              </w:rPr>
              <w:t>the</w:t>
            </w:r>
            <w:r>
              <w:rPr>
                <w:spacing w:val="-3"/>
                <w:sz w:val="20"/>
              </w:rPr>
              <w:t xml:space="preserve"> </w:t>
            </w:r>
            <w:r>
              <w:rPr>
                <w:sz w:val="20"/>
              </w:rPr>
              <w:t>house.</w:t>
            </w:r>
            <w:r>
              <w:rPr>
                <w:spacing w:val="-2"/>
                <w:sz w:val="20"/>
              </w:rPr>
              <w:t xml:space="preserve"> </w:t>
            </w:r>
            <w:r>
              <w:rPr>
                <w:sz w:val="20"/>
              </w:rPr>
              <w:t>Coping strategies</w:t>
            </w:r>
            <w:r>
              <w:rPr>
                <w:spacing w:val="-3"/>
                <w:sz w:val="20"/>
              </w:rPr>
              <w:t xml:space="preserve"> </w:t>
            </w:r>
            <w:r>
              <w:rPr>
                <w:sz w:val="20"/>
              </w:rPr>
              <w:t>to</w:t>
            </w:r>
            <w:r>
              <w:rPr>
                <w:spacing w:val="-2"/>
                <w:sz w:val="20"/>
              </w:rPr>
              <w:t xml:space="preserve"> </w:t>
            </w:r>
            <w:r>
              <w:rPr>
                <w:sz w:val="20"/>
              </w:rPr>
              <w:t>consider</w:t>
            </w:r>
            <w:r>
              <w:rPr>
                <w:spacing w:val="-2"/>
                <w:sz w:val="20"/>
              </w:rPr>
              <w:t xml:space="preserve"> </w:t>
            </w:r>
            <w:r>
              <w:rPr>
                <w:sz w:val="20"/>
              </w:rPr>
              <w:t>include (1)</w:t>
            </w:r>
            <w:r>
              <w:rPr>
                <w:spacing w:val="-2"/>
                <w:sz w:val="20"/>
              </w:rPr>
              <w:t xml:space="preserve"> </w:t>
            </w:r>
            <w:r>
              <w:rPr>
                <w:sz w:val="20"/>
              </w:rPr>
              <w:t>call</w:t>
            </w:r>
            <w:r>
              <w:rPr>
                <w:spacing w:val="-2"/>
                <w:sz w:val="20"/>
              </w:rPr>
              <w:t xml:space="preserve"> </w:t>
            </w:r>
            <w:r>
              <w:rPr>
                <w:sz w:val="20"/>
              </w:rPr>
              <w:t>the</w:t>
            </w:r>
            <w:r>
              <w:rPr>
                <w:spacing w:val="-3"/>
                <w:sz w:val="20"/>
              </w:rPr>
              <w:t xml:space="preserve"> </w:t>
            </w:r>
            <w:r>
              <w:rPr>
                <w:sz w:val="20"/>
              </w:rPr>
              <w:t>cousin</w:t>
            </w:r>
            <w:r>
              <w:rPr>
                <w:spacing w:val="-1"/>
                <w:sz w:val="20"/>
              </w:rPr>
              <w:t xml:space="preserve"> </w:t>
            </w:r>
            <w:r>
              <w:rPr>
                <w:sz w:val="20"/>
              </w:rPr>
              <w:t>and</w:t>
            </w:r>
            <w:r>
              <w:rPr>
                <w:spacing w:val="-1"/>
                <w:sz w:val="20"/>
              </w:rPr>
              <w:t xml:space="preserve"> </w:t>
            </w:r>
            <w:r>
              <w:rPr>
                <w:sz w:val="20"/>
              </w:rPr>
              <w:t>ask</w:t>
            </w:r>
            <w:r>
              <w:rPr>
                <w:spacing w:val="-1"/>
                <w:sz w:val="20"/>
              </w:rPr>
              <w:t xml:space="preserve"> </w:t>
            </w:r>
            <w:r>
              <w:rPr>
                <w:sz w:val="20"/>
              </w:rPr>
              <w:t>him</w:t>
            </w:r>
            <w:r>
              <w:rPr>
                <w:spacing w:val="-3"/>
                <w:sz w:val="20"/>
              </w:rPr>
              <w:t xml:space="preserve"> </w:t>
            </w:r>
            <w:r>
              <w:rPr>
                <w:sz w:val="20"/>
              </w:rPr>
              <w:t>not</w:t>
            </w:r>
            <w:r>
              <w:rPr>
                <w:spacing w:val="-2"/>
                <w:sz w:val="20"/>
              </w:rPr>
              <w:t xml:space="preserve"> </w:t>
            </w:r>
            <w:r>
              <w:rPr>
                <w:sz w:val="20"/>
              </w:rPr>
              <w:t>to</w:t>
            </w:r>
            <w:r>
              <w:rPr>
                <w:spacing w:val="-2"/>
                <w:sz w:val="20"/>
              </w:rPr>
              <w:t xml:space="preserve"> </w:t>
            </w:r>
            <w:r>
              <w:rPr>
                <w:sz w:val="20"/>
              </w:rPr>
              <w:t>come</w:t>
            </w:r>
            <w:r>
              <w:rPr>
                <w:spacing w:val="-3"/>
                <w:sz w:val="20"/>
              </w:rPr>
              <w:t xml:space="preserve"> </w:t>
            </w:r>
            <w:r>
              <w:rPr>
                <w:sz w:val="20"/>
              </w:rPr>
              <w:t>by</w:t>
            </w:r>
            <w:r>
              <w:rPr>
                <w:spacing w:val="-1"/>
                <w:sz w:val="20"/>
              </w:rPr>
              <w:t xml:space="preserve"> </w:t>
            </w:r>
            <w:r>
              <w:rPr>
                <w:sz w:val="20"/>
              </w:rPr>
              <w:t>anymore;</w:t>
            </w:r>
            <w:r>
              <w:rPr>
                <w:spacing w:val="-3"/>
                <w:sz w:val="20"/>
              </w:rPr>
              <w:t xml:space="preserve"> </w:t>
            </w:r>
            <w:r>
              <w:rPr>
                <w:sz w:val="20"/>
              </w:rPr>
              <w:t>(2) call</w:t>
            </w:r>
            <w:r>
              <w:rPr>
                <w:spacing w:val="-2"/>
                <w:sz w:val="20"/>
              </w:rPr>
              <w:t xml:space="preserve"> </w:t>
            </w:r>
            <w:r>
              <w:rPr>
                <w:sz w:val="20"/>
              </w:rPr>
              <w:t>the</w:t>
            </w:r>
            <w:r>
              <w:rPr>
                <w:spacing w:val="-3"/>
                <w:sz w:val="20"/>
              </w:rPr>
              <w:t xml:space="preserve"> </w:t>
            </w:r>
            <w:r>
              <w:rPr>
                <w:sz w:val="20"/>
              </w:rPr>
              <w:t>cousin</w:t>
            </w:r>
            <w:r>
              <w:rPr>
                <w:spacing w:val="-1"/>
                <w:sz w:val="20"/>
              </w:rPr>
              <w:t xml:space="preserve"> </w:t>
            </w:r>
            <w:r>
              <w:rPr>
                <w:sz w:val="20"/>
              </w:rPr>
              <w:t>and</w:t>
            </w:r>
            <w:r>
              <w:rPr>
                <w:spacing w:val="-1"/>
                <w:sz w:val="20"/>
              </w:rPr>
              <w:t xml:space="preserve"> </w:t>
            </w:r>
            <w:r>
              <w:rPr>
                <w:sz w:val="20"/>
              </w:rPr>
              <w:t>ask him not to bring cocaine when he visits; (3) if there is a pattern to when the cousin comes, plan to be out</w:t>
            </w:r>
            <w:r>
              <w:rPr>
                <w:spacing w:val="-1"/>
                <w:sz w:val="20"/>
              </w:rPr>
              <w:t xml:space="preserve"> </w:t>
            </w:r>
            <w:r>
              <w:rPr>
                <w:sz w:val="20"/>
              </w:rPr>
              <w:t>of the house at that time; or (4) if someone else lives in the house, ask him or her to be present for the cousin’s visi</w:t>
            </w:r>
            <w:r>
              <w:rPr>
                <w:sz w:val="20"/>
              </w:rPr>
              <w:t>t.</w:t>
            </w:r>
          </w:p>
        </w:tc>
      </w:tr>
    </w:tbl>
    <w:p w14:paraId="152A7F95" w14:textId="77777777" w:rsidR="00DB6E1F" w:rsidRDefault="00DB6E1F">
      <w:pPr>
        <w:rPr>
          <w:sz w:val="20"/>
        </w:rPr>
        <w:sectPr w:rsidR="00DB6E1F">
          <w:pgSz w:w="12240" w:h="15840"/>
          <w:pgMar w:top="1200" w:right="0" w:bottom="780" w:left="0" w:header="763" w:footer="585" w:gutter="0"/>
          <w:cols w:space="720"/>
        </w:sectPr>
      </w:pPr>
    </w:p>
    <w:p w14:paraId="1A6D43A2"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52E9CC6D" w14:textId="77777777">
        <w:trPr>
          <w:trHeight w:val="2682"/>
        </w:trPr>
        <w:tc>
          <w:tcPr>
            <w:tcW w:w="9350" w:type="dxa"/>
          </w:tcPr>
          <w:p w14:paraId="6CC862C8" w14:textId="77777777" w:rsidR="00DB6E1F" w:rsidRDefault="00F666A6">
            <w:pPr>
              <w:pStyle w:val="TableParagraph"/>
              <w:ind w:right="110"/>
              <w:rPr>
                <w:sz w:val="20"/>
              </w:rPr>
            </w:pPr>
            <w:r>
              <w:rPr>
                <w:b/>
                <w:sz w:val="20"/>
              </w:rPr>
              <w:t xml:space="preserve">Example #2: </w:t>
            </w:r>
            <w:r>
              <w:rPr>
                <w:sz w:val="20"/>
              </w:rPr>
              <w:t>Client Y</w:t>
            </w:r>
            <w:r>
              <w:rPr>
                <w:spacing w:val="-1"/>
                <w:sz w:val="20"/>
              </w:rPr>
              <w:t xml:space="preserve"> </w:t>
            </w:r>
            <w:r>
              <w:rPr>
                <w:sz w:val="20"/>
              </w:rPr>
              <w:t>typically uses cocaine</w:t>
            </w:r>
            <w:r>
              <w:rPr>
                <w:spacing w:val="-1"/>
                <w:sz w:val="20"/>
              </w:rPr>
              <w:t xml:space="preserve"> </w:t>
            </w:r>
            <w:r>
              <w:rPr>
                <w:sz w:val="20"/>
              </w:rPr>
              <w:t>when she</w:t>
            </w:r>
            <w:r>
              <w:rPr>
                <w:spacing w:val="-1"/>
                <w:sz w:val="20"/>
              </w:rPr>
              <w:t xml:space="preserve"> </w:t>
            </w:r>
            <w:r>
              <w:rPr>
                <w:sz w:val="20"/>
              </w:rPr>
              <w:t>goes with a particular group of</w:t>
            </w:r>
            <w:r>
              <w:rPr>
                <w:spacing w:val="-1"/>
                <w:sz w:val="20"/>
              </w:rPr>
              <w:t xml:space="preserve"> </w:t>
            </w:r>
            <w:r>
              <w:rPr>
                <w:sz w:val="20"/>
              </w:rPr>
              <w:t>friends, one</w:t>
            </w:r>
            <w:r>
              <w:rPr>
                <w:spacing w:val="-1"/>
                <w:sz w:val="20"/>
              </w:rPr>
              <w:t xml:space="preserve"> </w:t>
            </w:r>
            <w:r>
              <w:rPr>
                <w:sz w:val="20"/>
              </w:rPr>
              <w:t>of</w:t>
            </w:r>
            <w:r>
              <w:rPr>
                <w:spacing w:val="-1"/>
                <w:sz w:val="20"/>
              </w:rPr>
              <w:t xml:space="preserve"> </w:t>
            </w:r>
            <w:r>
              <w:rPr>
                <w:sz w:val="20"/>
              </w:rPr>
              <w:t>whom</w:t>
            </w:r>
            <w:r>
              <w:rPr>
                <w:spacing w:val="-1"/>
                <w:sz w:val="20"/>
              </w:rPr>
              <w:t xml:space="preserve"> </w:t>
            </w:r>
            <w:r>
              <w:rPr>
                <w:sz w:val="20"/>
              </w:rPr>
              <w:t>often brings</w:t>
            </w:r>
            <w:r>
              <w:rPr>
                <w:spacing w:val="-4"/>
                <w:sz w:val="20"/>
              </w:rPr>
              <w:t xml:space="preserve"> </w:t>
            </w:r>
            <w:r>
              <w:rPr>
                <w:sz w:val="20"/>
              </w:rPr>
              <w:t>drugs</w:t>
            </w:r>
            <w:r>
              <w:rPr>
                <w:spacing w:val="-4"/>
                <w:sz w:val="20"/>
              </w:rPr>
              <w:t xml:space="preserve"> </w:t>
            </w:r>
            <w:r>
              <w:rPr>
                <w:sz w:val="20"/>
              </w:rPr>
              <w:t>along.</w:t>
            </w:r>
            <w:r>
              <w:rPr>
                <w:spacing w:val="-3"/>
                <w:sz w:val="20"/>
              </w:rPr>
              <w:t xml:space="preserve"> </w:t>
            </w:r>
            <w:r>
              <w:rPr>
                <w:sz w:val="20"/>
              </w:rPr>
              <w:t>She</w:t>
            </w:r>
            <w:r>
              <w:rPr>
                <w:spacing w:val="-4"/>
                <w:sz w:val="20"/>
              </w:rPr>
              <w:t xml:space="preserve"> </w:t>
            </w:r>
            <w:r>
              <w:rPr>
                <w:sz w:val="20"/>
              </w:rPr>
              <w:t>is</w:t>
            </w:r>
            <w:r>
              <w:rPr>
                <w:spacing w:val="-4"/>
                <w:sz w:val="20"/>
              </w:rPr>
              <w:t xml:space="preserve"> </w:t>
            </w:r>
            <w:r>
              <w:rPr>
                <w:sz w:val="20"/>
              </w:rPr>
              <w:t>particularly</w:t>
            </w:r>
            <w:r>
              <w:rPr>
                <w:spacing w:val="-2"/>
                <w:sz w:val="20"/>
              </w:rPr>
              <w:t xml:space="preserve"> </w:t>
            </w:r>
            <w:r>
              <w:rPr>
                <w:sz w:val="20"/>
              </w:rPr>
              <w:t>vulnerable</w:t>
            </w:r>
            <w:r>
              <w:rPr>
                <w:spacing w:val="-1"/>
                <w:sz w:val="20"/>
              </w:rPr>
              <w:t xml:space="preserve"> </w:t>
            </w:r>
            <w:r>
              <w:rPr>
                <w:sz w:val="20"/>
              </w:rPr>
              <w:t>when</w:t>
            </w:r>
            <w:r>
              <w:rPr>
                <w:spacing w:val="-2"/>
                <w:sz w:val="20"/>
              </w:rPr>
              <w:t xml:space="preserve"> </w:t>
            </w:r>
            <w:r>
              <w:rPr>
                <w:sz w:val="20"/>
              </w:rPr>
              <w:t>they</w:t>
            </w:r>
            <w:r>
              <w:rPr>
                <w:spacing w:val="-2"/>
                <w:sz w:val="20"/>
              </w:rPr>
              <w:t xml:space="preserve"> </w:t>
            </w:r>
            <w:r>
              <w:rPr>
                <w:sz w:val="20"/>
              </w:rPr>
              <w:t>all</w:t>
            </w:r>
            <w:r>
              <w:rPr>
                <w:spacing w:val="-3"/>
                <w:sz w:val="20"/>
              </w:rPr>
              <w:t xml:space="preserve"> </w:t>
            </w:r>
            <w:r>
              <w:rPr>
                <w:sz w:val="20"/>
              </w:rPr>
              <w:t>drink</w:t>
            </w:r>
            <w:r>
              <w:rPr>
                <w:spacing w:val="-2"/>
                <w:sz w:val="20"/>
              </w:rPr>
              <w:t xml:space="preserve"> </w:t>
            </w:r>
            <w:r>
              <w:rPr>
                <w:sz w:val="20"/>
              </w:rPr>
              <w:t>alcohol.</w:t>
            </w:r>
            <w:r>
              <w:rPr>
                <w:spacing w:val="-3"/>
                <w:sz w:val="20"/>
              </w:rPr>
              <w:t xml:space="preserve"> </w:t>
            </w:r>
            <w:r>
              <w:rPr>
                <w:sz w:val="20"/>
              </w:rPr>
              <w:t>Coping</w:t>
            </w:r>
            <w:r>
              <w:rPr>
                <w:spacing w:val="-3"/>
                <w:sz w:val="20"/>
              </w:rPr>
              <w:t xml:space="preserve"> </w:t>
            </w:r>
            <w:r>
              <w:rPr>
                <w:sz w:val="20"/>
              </w:rPr>
              <w:t>strategies</w:t>
            </w:r>
            <w:r>
              <w:rPr>
                <w:spacing w:val="-4"/>
                <w:sz w:val="20"/>
              </w:rPr>
              <w:t xml:space="preserve"> </w:t>
            </w:r>
            <w:r>
              <w:rPr>
                <w:sz w:val="20"/>
              </w:rPr>
              <w:t>to</w:t>
            </w:r>
            <w:r>
              <w:rPr>
                <w:spacing w:val="-3"/>
                <w:sz w:val="20"/>
              </w:rPr>
              <w:t xml:space="preserve"> </w:t>
            </w:r>
            <w:r>
              <w:rPr>
                <w:sz w:val="20"/>
              </w:rPr>
              <w:t>consider</w:t>
            </w:r>
            <w:r>
              <w:rPr>
                <w:spacing w:val="-1"/>
                <w:sz w:val="20"/>
              </w:rPr>
              <w:t xml:space="preserve"> </w:t>
            </w:r>
            <w:r>
              <w:rPr>
                <w:sz w:val="20"/>
              </w:rPr>
              <w:t>might include (1) go out with a different set of friends; (2) go along with this group only for activities that do not involve drinking; (3) leave the group as soon as drinking seems imminent; (4) tell the supplier that she is trying</w:t>
            </w:r>
            <w:r>
              <w:rPr>
                <w:spacing w:val="40"/>
                <w:sz w:val="20"/>
              </w:rPr>
              <w:t xml:space="preserve"> </w:t>
            </w:r>
            <w:r>
              <w:rPr>
                <w:sz w:val="20"/>
              </w:rPr>
              <w:t>to stay off cocaine an</w:t>
            </w:r>
            <w:r>
              <w:rPr>
                <w:sz w:val="20"/>
              </w:rPr>
              <w:t>d would appreciate not being offered any; or (5) ask all of her friends, or one especially close friend, to help her out by not using when she is around or by telling the supplier to stop offering it to her.</w:t>
            </w:r>
          </w:p>
          <w:p w14:paraId="5E82970E" w14:textId="77777777" w:rsidR="00DB6E1F" w:rsidRDefault="00F666A6">
            <w:pPr>
              <w:pStyle w:val="TableParagraph"/>
              <w:spacing w:before="119"/>
              <w:ind w:right="169"/>
              <w:rPr>
                <w:sz w:val="20"/>
              </w:rPr>
            </w:pPr>
            <w:r>
              <w:rPr>
                <w:b/>
                <w:sz w:val="20"/>
              </w:rPr>
              <w:t>Example</w:t>
            </w:r>
            <w:r>
              <w:rPr>
                <w:b/>
                <w:spacing w:val="-3"/>
                <w:sz w:val="20"/>
              </w:rPr>
              <w:t xml:space="preserve"> </w:t>
            </w:r>
            <w:r>
              <w:rPr>
                <w:b/>
                <w:sz w:val="20"/>
              </w:rPr>
              <w:t>#3:</w:t>
            </w:r>
            <w:r>
              <w:rPr>
                <w:b/>
                <w:spacing w:val="-3"/>
                <w:sz w:val="20"/>
              </w:rPr>
              <w:t xml:space="preserve"> </w:t>
            </w:r>
            <w:r>
              <w:rPr>
                <w:sz w:val="20"/>
              </w:rPr>
              <w:t>Client</w:t>
            </w:r>
            <w:r>
              <w:rPr>
                <w:spacing w:val="-3"/>
                <w:sz w:val="20"/>
              </w:rPr>
              <w:t xml:space="preserve"> </w:t>
            </w:r>
            <w:r>
              <w:rPr>
                <w:sz w:val="20"/>
              </w:rPr>
              <w:t>Z</w:t>
            </w:r>
            <w:r>
              <w:rPr>
                <w:spacing w:val="-3"/>
                <w:sz w:val="20"/>
              </w:rPr>
              <w:t xml:space="preserve"> </w:t>
            </w:r>
            <w:r>
              <w:rPr>
                <w:sz w:val="20"/>
              </w:rPr>
              <w:t>typically</w:t>
            </w:r>
            <w:r>
              <w:rPr>
                <w:spacing w:val="-2"/>
                <w:sz w:val="20"/>
              </w:rPr>
              <w:t xml:space="preserve"> </w:t>
            </w:r>
            <w:r>
              <w:rPr>
                <w:sz w:val="20"/>
              </w:rPr>
              <w:t>uses</w:t>
            </w:r>
            <w:r>
              <w:rPr>
                <w:spacing w:val="-2"/>
                <w:sz w:val="20"/>
              </w:rPr>
              <w:t xml:space="preserve"> </w:t>
            </w:r>
            <w:r>
              <w:rPr>
                <w:sz w:val="20"/>
              </w:rPr>
              <w:t>cocaine</w:t>
            </w:r>
            <w:r>
              <w:rPr>
                <w:spacing w:val="-4"/>
                <w:sz w:val="20"/>
              </w:rPr>
              <w:t xml:space="preserve"> </w:t>
            </w:r>
            <w:r>
              <w:rPr>
                <w:sz w:val="20"/>
              </w:rPr>
              <w:t>when</w:t>
            </w:r>
            <w:r>
              <w:rPr>
                <w:spacing w:val="-2"/>
                <w:sz w:val="20"/>
              </w:rPr>
              <w:t xml:space="preserve"> </w:t>
            </w:r>
            <w:r>
              <w:rPr>
                <w:sz w:val="20"/>
              </w:rPr>
              <w:t>feeling</w:t>
            </w:r>
            <w:r>
              <w:rPr>
                <w:spacing w:val="-3"/>
                <w:sz w:val="20"/>
              </w:rPr>
              <w:t xml:space="preserve"> </w:t>
            </w:r>
            <w:r>
              <w:rPr>
                <w:sz w:val="20"/>
              </w:rPr>
              <w:t>tired</w:t>
            </w:r>
            <w:r>
              <w:rPr>
                <w:spacing w:val="-2"/>
                <w:sz w:val="20"/>
              </w:rPr>
              <w:t xml:space="preserve"> </w:t>
            </w:r>
            <w:r>
              <w:rPr>
                <w:sz w:val="20"/>
              </w:rPr>
              <w:t>or</w:t>
            </w:r>
            <w:r>
              <w:rPr>
                <w:spacing w:val="-3"/>
                <w:sz w:val="20"/>
              </w:rPr>
              <w:t xml:space="preserve"> </w:t>
            </w:r>
            <w:r>
              <w:rPr>
                <w:sz w:val="20"/>
              </w:rPr>
              <w:t>stressed.</w:t>
            </w:r>
            <w:r>
              <w:rPr>
                <w:spacing w:val="-3"/>
                <w:sz w:val="20"/>
              </w:rPr>
              <w:t xml:space="preserve"> </w:t>
            </w:r>
            <w:r>
              <w:rPr>
                <w:sz w:val="20"/>
              </w:rPr>
              <w:t>Coping</w:t>
            </w:r>
            <w:r>
              <w:rPr>
                <w:spacing w:val="-1"/>
                <w:sz w:val="20"/>
              </w:rPr>
              <w:t xml:space="preserve"> </w:t>
            </w:r>
            <w:r>
              <w:rPr>
                <w:sz w:val="20"/>
              </w:rPr>
              <w:t>strategies</w:t>
            </w:r>
            <w:r>
              <w:rPr>
                <w:spacing w:val="-4"/>
                <w:sz w:val="20"/>
              </w:rPr>
              <w:t xml:space="preserve"> </w:t>
            </w:r>
            <w:r>
              <w:rPr>
                <w:sz w:val="20"/>
              </w:rPr>
              <w:t>might</w:t>
            </w:r>
            <w:r>
              <w:rPr>
                <w:spacing w:val="-3"/>
                <w:sz w:val="20"/>
              </w:rPr>
              <w:t xml:space="preserve"> </w:t>
            </w:r>
            <w:r>
              <w:rPr>
                <w:sz w:val="20"/>
              </w:rPr>
              <w:t>include</w:t>
            </w:r>
            <w:r>
              <w:rPr>
                <w:spacing w:val="-4"/>
                <w:sz w:val="20"/>
              </w:rPr>
              <w:t xml:space="preserve"> </w:t>
            </w:r>
            <w:r>
              <w:rPr>
                <w:sz w:val="20"/>
              </w:rPr>
              <w:t>(1) scheduling activities to get more sleep at night, (2) scheduling activities to have 1 hour per day of relaxation time, (3) learning and practicing specific stress</w:t>
            </w:r>
            <w:r>
              <w:rPr>
                <w:spacing w:val="-3"/>
                <w:sz w:val="20"/>
              </w:rPr>
              <w:t xml:space="preserve"> </w:t>
            </w:r>
            <w:r>
              <w:rPr>
                <w:sz w:val="20"/>
              </w:rPr>
              <w:t>reduction and relaxation tech</w:t>
            </w:r>
            <w:r>
              <w:rPr>
                <w:sz w:val="20"/>
              </w:rPr>
              <w:t>niques, or (4) learning problem- solving techniques that can reduce stress in high-risk situations.</w:t>
            </w:r>
          </w:p>
        </w:tc>
      </w:tr>
    </w:tbl>
    <w:p w14:paraId="6E54515A" w14:textId="77777777" w:rsidR="00DB6E1F" w:rsidRDefault="00DB6E1F">
      <w:pPr>
        <w:pStyle w:val="BodyText"/>
        <w:spacing w:before="4"/>
        <w:rPr>
          <w:sz w:val="8"/>
        </w:rPr>
      </w:pPr>
    </w:p>
    <w:p w14:paraId="33C1EF25" w14:textId="77777777" w:rsidR="00DB6E1F" w:rsidRDefault="00F666A6">
      <w:pPr>
        <w:spacing w:before="56"/>
        <w:ind w:left="1439" w:right="1544"/>
        <w:jc w:val="both"/>
      </w:pPr>
      <w:r>
        <w:rPr>
          <w:b/>
        </w:rPr>
        <w:t>Use the coping strategies</w:t>
      </w:r>
      <w:r>
        <w:rPr>
          <w:b/>
          <w:spacing w:val="-1"/>
        </w:rPr>
        <w:t xml:space="preserve"> </w:t>
      </w:r>
      <w:r>
        <w:rPr>
          <w:b/>
        </w:rPr>
        <w:t>identified in the</w:t>
      </w:r>
      <w:r>
        <w:rPr>
          <w:b/>
          <w:spacing w:val="-2"/>
        </w:rPr>
        <w:t xml:space="preserve"> </w:t>
      </w:r>
      <w:r>
        <w:rPr>
          <w:b/>
        </w:rPr>
        <w:t>structured</w:t>
      </w:r>
      <w:r>
        <w:rPr>
          <w:b/>
          <w:spacing w:val="-2"/>
        </w:rPr>
        <w:t xml:space="preserve"> </w:t>
      </w:r>
      <w:r>
        <w:rPr>
          <w:b/>
        </w:rPr>
        <w:t>interview to develop a written coping plan.</w:t>
      </w:r>
      <w:r>
        <w:rPr>
          <w:b/>
          <w:spacing w:val="-4"/>
        </w:rPr>
        <w:t xml:space="preserve"> </w:t>
      </w:r>
      <w:r>
        <w:t>This could</w:t>
      </w:r>
      <w:r>
        <w:rPr>
          <w:spacing w:val="-2"/>
        </w:rPr>
        <w:t xml:space="preserve"> </w:t>
      </w:r>
      <w:r>
        <w:t>be as</w:t>
      </w:r>
      <w:r>
        <w:rPr>
          <w:spacing w:val="-1"/>
        </w:rPr>
        <w:t xml:space="preserve"> </w:t>
      </w:r>
      <w:r>
        <w:t>simple as</w:t>
      </w:r>
      <w:r>
        <w:rPr>
          <w:spacing w:val="-3"/>
        </w:rPr>
        <w:t xml:space="preserve"> </w:t>
      </w:r>
      <w:r>
        <w:t>jotting</w:t>
      </w:r>
      <w:r>
        <w:rPr>
          <w:spacing w:val="-2"/>
        </w:rPr>
        <w:t xml:space="preserve"> </w:t>
      </w:r>
      <w:r>
        <w:t>down</w:t>
      </w:r>
      <w:r>
        <w:rPr>
          <w:spacing w:val="-2"/>
        </w:rPr>
        <w:t xml:space="preserve"> </w:t>
      </w:r>
      <w:r>
        <w:t>a</w:t>
      </w:r>
      <w:r>
        <w:rPr>
          <w:spacing w:val="-4"/>
        </w:rPr>
        <w:t xml:space="preserve"> </w:t>
      </w:r>
      <w:r>
        <w:t>few</w:t>
      </w:r>
      <w:r>
        <w:rPr>
          <w:spacing w:val="-3"/>
        </w:rPr>
        <w:t xml:space="preserve"> </w:t>
      </w:r>
      <w:r>
        <w:t>ideas</w:t>
      </w:r>
      <w:r>
        <w:rPr>
          <w:spacing w:val="-1"/>
        </w:rPr>
        <w:t xml:space="preserve"> </w:t>
      </w:r>
      <w:r>
        <w:t>for</w:t>
      </w:r>
      <w:r>
        <w:rPr>
          <w:spacing w:val="-3"/>
        </w:rPr>
        <w:t xml:space="preserve"> </w:t>
      </w:r>
      <w:r>
        <w:t>managing</w:t>
      </w:r>
      <w:r>
        <w:rPr>
          <w:spacing w:val="-1"/>
        </w:rPr>
        <w:t xml:space="preserve"> </w:t>
      </w:r>
      <w:r>
        <w:t>triggers</w:t>
      </w:r>
      <w:r>
        <w:rPr>
          <w:spacing w:val="-1"/>
        </w:rPr>
        <w:t xml:space="preserve"> </w:t>
      </w:r>
      <w:r>
        <w:t>in</w:t>
      </w:r>
      <w:r>
        <w:rPr>
          <w:spacing w:val="-2"/>
        </w:rPr>
        <w:t xml:space="preserve"> </w:t>
      </w:r>
      <w:r>
        <w:t>high-risk</w:t>
      </w:r>
      <w:r>
        <w:rPr>
          <w:spacing w:val="-3"/>
        </w:rPr>
        <w:t xml:space="preserve"> </w:t>
      </w:r>
      <w:r>
        <w:t>situations</w:t>
      </w:r>
      <w:r>
        <w:rPr>
          <w:spacing w:val="-3"/>
        </w:rPr>
        <w:t xml:space="preserve"> </w:t>
      </w:r>
      <w:r>
        <w:t>on</w:t>
      </w:r>
      <w:r>
        <w:rPr>
          <w:spacing w:val="-2"/>
        </w:rPr>
        <w:t xml:space="preserve"> </w:t>
      </w:r>
      <w:r>
        <w:t>a</w:t>
      </w:r>
      <w:r>
        <w:rPr>
          <w:spacing w:val="-3"/>
        </w:rPr>
        <w:t xml:space="preserve"> </w:t>
      </w:r>
      <w:r>
        <w:t>file</w:t>
      </w:r>
      <w:r>
        <w:rPr>
          <w:spacing w:val="-1"/>
        </w:rPr>
        <w:t xml:space="preserve"> </w:t>
      </w:r>
      <w:r>
        <w:t>card or it could be as detailed as creating a change plan using the Change Plan Worksheet in Exhibit 6.3.</w:t>
      </w:r>
    </w:p>
    <w:p w14:paraId="32002540" w14:textId="77777777" w:rsidR="00DB6E1F" w:rsidRDefault="00F666A6">
      <w:pPr>
        <w:pStyle w:val="Heading4"/>
        <w:spacing w:before="164"/>
      </w:pPr>
      <w:bookmarkStart w:id="199" w:name="Help_the_clients_practice_new_coping_ski"/>
      <w:bookmarkEnd w:id="199"/>
      <w:r>
        <w:t>Help</w:t>
      </w:r>
      <w:r>
        <w:rPr>
          <w:spacing w:val="-8"/>
        </w:rPr>
        <w:t xml:space="preserve"> </w:t>
      </w:r>
      <w:r>
        <w:t>the</w:t>
      </w:r>
      <w:r>
        <w:rPr>
          <w:spacing w:val="-5"/>
        </w:rPr>
        <w:t xml:space="preserve"> </w:t>
      </w:r>
      <w:r>
        <w:t>clients</w:t>
      </w:r>
      <w:r>
        <w:rPr>
          <w:spacing w:val="-7"/>
        </w:rPr>
        <w:t xml:space="preserve"> </w:t>
      </w:r>
      <w:r>
        <w:t>practice</w:t>
      </w:r>
      <w:r>
        <w:rPr>
          <w:spacing w:val="-8"/>
        </w:rPr>
        <w:t xml:space="preserve"> </w:t>
      </w:r>
      <w:r>
        <w:t>new</w:t>
      </w:r>
      <w:r>
        <w:rPr>
          <w:spacing w:val="-6"/>
        </w:rPr>
        <w:t xml:space="preserve"> </w:t>
      </w:r>
      <w:r>
        <w:t>coping</w:t>
      </w:r>
      <w:r>
        <w:rPr>
          <w:spacing w:val="-5"/>
        </w:rPr>
        <w:t xml:space="preserve"> </w:t>
      </w:r>
      <w:r>
        <w:rPr>
          <w:spacing w:val="-2"/>
        </w:rPr>
        <w:t>skills</w:t>
      </w:r>
    </w:p>
    <w:p w14:paraId="4AA1D4AD" w14:textId="77777777" w:rsidR="00DB6E1F" w:rsidRDefault="00F666A6">
      <w:pPr>
        <w:spacing w:before="141"/>
        <w:ind w:left="1439" w:right="1491"/>
        <w:rPr>
          <w:b/>
        </w:rPr>
      </w:pPr>
      <w:r>
        <w:rPr>
          <w:b/>
        </w:rPr>
        <w:t>Just as you would monitor and reevaluate a c</w:t>
      </w:r>
      <w:r>
        <w:rPr>
          <w:b/>
        </w:rPr>
        <w:t xml:space="preserve">hange plan with clients, revisit the coping plan, and modify it as necessary. </w:t>
      </w:r>
      <w:r>
        <w:t>Ask clients to rehearse coping strategies in counseling sessions and to try to implement those strategies in everyday life. For example, growing evidence shows that practicing mi</w:t>
      </w:r>
      <w:r>
        <w:t>ndfulness is an effective strategy for managing cravings and urges to use substances (Grant et al., 2017). If this coping strategy is new to clients, help them develop a change plan that might include attending a mindfulness class or group and practicing m</w:t>
      </w:r>
      <w:r>
        <w:t>indfulness at home or in a counseling session that</w:t>
      </w:r>
      <w:r>
        <w:rPr>
          <w:spacing w:val="-3"/>
        </w:rPr>
        <w:t xml:space="preserve"> </w:t>
      </w:r>
      <w:r>
        <w:t>focuses</w:t>
      </w:r>
      <w:r>
        <w:rPr>
          <w:spacing w:val="-5"/>
        </w:rPr>
        <w:t xml:space="preserve"> </w:t>
      </w:r>
      <w:r>
        <w:t>on</w:t>
      </w:r>
      <w:r>
        <w:rPr>
          <w:spacing w:val="-6"/>
        </w:rPr>
        <w:t xml:space="preserve"> </w:t>
      </w:r>
      <w:r>
        <w:t>managing</w:t>
      </w:r>
      <w:r>
        <w:rPr>
          <w:spacing w:val="-3"/>
        </w:rPr>
        <w:t xml:space="preserve"> </w:t>
      </w:r>
      <w:r>
        <w:t>cravings.</w:t>
      </w:r>
      <w:r>
        <w:rPr>
          <w:spacing w:val="-3"/>
        </w:rPr>
        <w:t xml:space="preserve"> </w:t>
      </w:r>
      <w:r>
        <w:rPr>
          <w:b/>
        </w:rPr>
        <w:t>Rehearsing</w:t>
      </w:r>
      <w:r>
        <w:rPr>
          <w:b/>
          <w:spacing w:val="-2"/>
        </w:rPr>
        <w:t xml:space="preserve"> </w:t>
      </w:r>
      <w:r>
        <w:rPr>
          <w:b/>
        </w:rPr>
        <w:t>new</w:t>
      </w:r>
      <w:r>
        <w:rPr>
          <w:b/>
          <w:spacing w:val="-2"/>
        </w:rPr>
        <w:t xml:space="preserve"> </w:t>
      </w:r>
      <w:r>
        <w:rPr>
          <w:b/>
        </w:rPr>
        <w:t>skills</w:t>
      </w:r>
      <w:r>
        <w:rPr>
          <w:b/>
          <w:spacing w:val="-5"/>
        </w:rPr>
        <w:t xml:space="preserve"> </w:t>
      </w:r>
      <w:r>
        <w:rPr>
          <w:b/>
        </w:rPr>
        <w:t>reinforces</w:t>
      </w:r>
      <w:r>
        <w:rPr>
          <w:b/>
          <w:spacing w:val="-2"/>
        </w:rPr>
        <w:t xml:space="preserve"> </w:t>
      </w:r>
      <w:r>
        <w:rPr>
          <w:b/>
        </w:rPr>
        <w:t>them</w:t>
      </w:r>
      <w:r>
        <w:rPr>
          <w:b/>
          <w:spacing w:val="-5"/>
        </w:rPr>
        <w:t xml:space="preserve"> </w:t>
      </w:r>
      <w:r>
        <w:rPr>
          <w:b/>
        </w:rPr>
        <w:t>and</w:t>
      </w:r>
      <w:r>
        <w:rPr>
          <w:b/>
          <w:spacing w:val="-4"/>
        </w:rPr>
        <w:t xml:space="preserve"> </w:t>
      </w:r>
      <w:r>
        <w:rPr>
          <w:b/>
        </w:rPr>
        <w:t>helps</w:t>
      </w:r>
      <w:r>
        <w:rPr>
          <w:b/>
          <w:spacing w:val="-2"/>
        </w:rPr>
        <w:t xml:space="preserve"> </w:t>
      </w:r>
      <w:r>
        <w:rPr>
          <w:b/>
        </w:rPr>
        <w:t>build</w:t>
      </w:r>
      <w:r>
        <w:rPr>
          <w:b/>
          <w:spacing w:val="-4"/>
        </w:rPr>
        <w:t xml:space="preserve"> </w:t>
      </w:r>
      <w:r>
        <w:rPr>
          <w:b/>
        </w:rPr>
        <w:t>self-efficacy.</w:t>
      </w:r>
    </w:p>
    <w:p w14:paraId="3D68D52D" w14:textId="77777777" w:rsidR="00DB6E1F" w:rsidRDefault="00F666A6">
      <w:pPr>
        <w:pStyle w:val="Heading2"/>
        <w:spacing w:before="164"/>
      </w:pPr>
      <w:bookmarkStart w:id="200" w:name="Support_the_Client’s_Lifestyle_Changes"/>
      <w:bookmarkStart w:id="201" w:name="_bookmark42"/>
      <w:bookmarkEnd w:id="200"/>
      <w:bookmarkEnd w:id="201"/>
      <w:r>
        <w:t>Support</w:t>
      </w:r>
      <w:r>
        <w:rPr>
          <w:spacing w:val="-4"/>
        </w:rPr>
        <w:t xml:space="preserve"> </w:t>
      </w:r>
      <w:r>
        <w:t>the</w:t>
      </w:r>
      <w:r>
        <w:rPr>
          <w:spacing w:val="-2"/>
        </w:rPr>
        <w:t xml:space="preserve"> </w:t>
      </w:r>
      <w:r>
        <w:t>Client’s</w:t>
      </w:r>
      <w:r>
        <w:rPr>
          <w:spacing w:val="-3"/>
        </w:rPr>
        <w:t xml:space="preserve"> </w:t>
      </w:r>
      <w:r>
        <w:t>Lifestyle</w:t>
      </w:r>
      <w:r>
        <w:rPr>
          <w:spacing w:val="-2"/>
        </w:rPr>
        <w:t xml:space="preserve"> Changes</w:t>
      </w:r>
    </w:p>
    <w:p w14:paraId="79C70180" w14:textId="77777777" w:rsidR="00DB6E1F" w:rsidRDefault="00F666A6">
      <w:pPr>
        <w:pStyle w:val="BodyText"/>
        <w:spacing w:before="152"/>
        <w:ind w:left="1439" w:right="1474"/>
      </w:pPr>
      <w:r>
        <w:rPr>
          <w:b/>
        </w:rPr>
        <w:t>Your task in the Maintenance stage is to support and praise clients’ positive lifestyle and identify behaviors</w:t>
      </w:r>
      <w:r>
        <w:rPr>
          <w:b/>
          <w:spacing w:val="-1"/>
        </w:rPr>
        <w:t xml:space="preserve"> </w:t>
      </w:r>
      <w:r>
        <w:rPr>
          <w:b/>
        </w:rPr>
        <w:t>that</w:t>
      </w:r>
      <w:r>
        <w:rPr>
          <w:b/>
          <w:spacing w:val="-4"/>
        </w:rPr>
        <w:t xml:space="preserve"> </w:t>
      </w:r>
      <w:r>
        <w:rPr>
          <w:b/>
        </w:rPr>
        <w:t>reinforce</w:t>
      </w:r>
      <w:r>
        <w:rPr>
          <w:b/>
          <w:spacing w:val="-3"/>
        </w:rPr>
        <w:t xml:space="preserve"> </w:t>
      </w:r>
      <w:r>
        <w:rPr>
          <w:b/>
        </w:rPr>
        <w:t>these</w:t>
      </w:r>
      <w:r>
        <w:rPr>
          <w:b/>
          <w:spacing w:val="-3"/>
        </w:rPr>
        <w:t xml:space="preserve"> </w:t>
      </w:r>
      <w:r>
        <w:rPr>
          <w:b/>
        </w:rPr>
        <w:t>changes.</w:t>
      </w:r>
      <w:r>
        <w:rPr>
          <w:b/>
          <w:spacing w:val="-1"/>
        </w:rPr>
        <w:t xml:space="preserve"> </w:t>
      </w:r>
      <w:r>
        <w:t>Clients</w:t>
      </w:r>
      <w:r>
        <w:rPr>
          <w:spacing w:val="-4"/>
        </w:rPr>
        <w:t xml:space="preserve"> </w:t>
      </w:r>
      <w:r>
        <w:t>must</w:t>
      </w:r>
      <w:r>
        <w:rPr>
          <w:spacing w:val="-4"/>
        </w:rPr>
        <w:t xml:space="preserve"> </w:t>
      </w:r>
      <w:r>
        <w:t>put</w:t>
      </w:r>
      <w:r>
        <w:rPr>
          <w:spacing w:val="-2"/>
        </w:rPr>
        <w:t xml:space="preserve"> </w:t>
      </w:r>
      <w:r>
        <w:t>forth</w:t>
      </w:r>
      <w:r>
        <w:rPr>
          <w:spacing w:val="-5"/>
        </w:rPr>
        <w:t xml:space="preserve"> </w:t>
      </w:r>
      <w:r>
        <w:t>ongoing</w:t>
      </w:r>
      <w:r>
        <w:rPr>
          <w:spacing w:val="-3"/>
        </w:rPr>
        <w:t xml:space="preserve"> </w:t>
      </w:r>
      <w:r>
        <w:t>and</w:t>
      </w:r>
      <w:r>
        <w:rPr>
          <w:spacing w:val="-3"/>
        </w:rPr>
        <w:t xml:space="preserve"> </w:t>
      </w:r>
      <w:r>
        <w:t>sustained</w:t>
      </w:r>
      <w:r>
        <w:rPr>
          <w:spacing w:val="-3"/>
        </w:rPr>
        <w:t xml:space="preserve"> </w:t>
      </w:r>
      <w:r>
        <w:t>effort</w:t>
      </w:r>
      <w:r>
        <w:rPr>
          <w:spacing w:val="-2"/>
        </w:rPr>
        <w:t xml:space="preserve"> </w:t>
      </w:r>
      <w:r>
        <w:t>to</w:t>
      </w:r>
      <w:r>
        <w:rPr>
          <w:spacing w:val="-3"/>
        </w:rPr>
        <w:t xml:space="preserve"> </w:t>
      </w:r>
      <w:r>
        <w:t>maintain their</w:t>
      </w:r>
      <w:r>
        <w:rPr>
          <w:spacing w:val="-1"/>
        </w:rPr>
        <w:t xml:space="preserve"> </w:t>
      </w:r>
      <w:r>
        <w:t>change</w:t>
      </w:r>
      <w:r>
        <w:rPr>
          <w:spacing w:val="-3"/>
        </w:rPr>
        <w:t xml:space="preserve"> </w:t>
      </w:r>
      <w:r>
        <w:t>of</w:t>
      </w:r>
      <w:r>
        <w:rPr>
          <w:spacing w:val="-1"/>
        </w:rPr>
        <w:t xml:space="preserve"> </w:t>
      </w:r>
      <w:r>
        <w:t>substance</w:t>
      </w:r>
      <w:r>
        <w:rPr>
          <w:spacing w:val="-3"/>
        </w:rPr>
        <w:t xml:space="preserve"> </w:t>
      </w:r>
      <w:r>
        <w:t>use behaviors.</w:t>
      </w:r>
      <w:r>
        <w:rPr>
          <w:spacing w:val="-1"/>
        </w:rPr>
        <w:t xml:space="preserve"> </w:t>
      </w:r>
      <w:r>
        <w:t>As</w:t>
      </w:r>
      <w:r>
        <w:rPr>
          <w:spacing w:val="-3"/>
        </w:rPr>
        <w:t xml:space="preserve"> </w:t>
      </w:r>
      <w:r>
        <w:t>clients</w:t>
      </w:r>
      <w:r>
        <w:rPr>
          <w:spacing w:val="-1"/>
        </w:rPr>
        <w:t xml:space="preserve"> </w:t>
      </w:r>
      <w:r>
        <w:t>successfully</w:t>
      </w:r>
      <w:r>
        <w:rPr>
          <w:spacing w:val="-2"/>
        </w:rPr>
        <w:t xml:space="preserve"> </w:t>
      </w:r>
      <w:r>
        <w:t>maintain</w:t>
      </w:r>
      <w:r>
        <w:rPr>
          <w:spacing w:val="-2"/>
        </w:rPr>
        <w:t xml:space="preserve"> </w:t>
      </w:r>
      <w:r>
        <w:t>changes,</w:t>
      </w:r>
      <w:r>
        <w:rPr>
          <w:spacing w:val="-1"/>
        </w:rPr>
        <w:t xml:space="preserve"> </w:t>
      </w:r>
      <w:r>
        <w:t>they develop</w:t>
      </w:r>
      <w:r>
        <w:rPr>
          <w:spacing w:val="-2"/>
        </w:rPr>
        <w:t xml:space="preserve"> </w:t>
      </w:r>
      <w:r>
        <w:t>a</w:t>
      </w:r>
      <w:r>
        <w:rPr>
          <w:spacing w:val="-1"/>
        </w:rPr>
        <w:t xml:space="preserve"> </w:t>
      </w:r>
      <w:r>
        <w:t>strong sense of self-efficacy. They use less effort to cope with temptations and triggers, and new behaviors become the norm (DiClemente, 2018). As substance use behavior change becomes a new lifestyle, the cl</w:t>
      </w:r>
      <w:r>
        <w:t>ient develops a new sense of identity. For some, this is expressed in self-identification as a “nonsmoker” or a “recovering addict.” For others, the new story of identity is about becoming an integral member of the family or community.</w:t>
      </w:r>
    </w:p>
    <w:p w14:paraId="629189C1" w14:textId="77777777" w:rsidR="00DB6E1F" w:rsidRDefault="00F666A6">
      <w:pPr>
        <w:pStyle w:val="Heading3"/>
        <w:spacing w:before="163"/>
      </w:pPr>
      <w:bookmarkStart w:id="202" w:name="Identify_New_Behaviors_that_Reinforce_Ch"/>
      <w:bookmarkEnd w:id="202"/>
      <w:r>
        <w:t>Identify</w:t>
      </w:r>
      <w:r>
        <w:rPr>
          <w:spacing w:val="-8"/>
        </w:rPr>
        <w:t xml:space="preserve"> </w:t>
      </w:r>
      <w:r>
        <w:t>New</w:t>
      </w:r>
      <w:r>
        <w:rPr>
          <w:spacing w:val="-10"/>
        </w:rPr>
        <w:t xml:space="preserve"> </w:t>
      </w:r>
      <w:r>
        <w:t>Behavio</w:t>
      </w:r>
      <w:r>
        <w:t>rs</w:t>
      </w:r>
      <w:r>
        <w:rPr>
          <w:spacing w:val="-9"/>
        </w:rPr>
        <w:t xml:space="preserve"> </w:t>
      </w:r>
      <w:r>
        <w:t>that</w:t>
      </w:r>
      <w:r>
        <w:rPr>
          <w:spacing w:val="-7"/>
        </w:rPr>
        <w:t xml:space="preserve"> </w:t>
      </w:r>
      <w:r>
        <w:t>Reinforce</w:t>
      </w:r>
      <w:r>
        <w:rPr>
          <w:spacing w:val="-7"/>
        </w:rPr>
        <w:t xml:space="preserve"> </w:t>
      </w:r>
      <w:r>
        <w:rPr>
          <w:spacing w:val="-2"/>
        </w:rPr>
        <w:t>Change</w:t>
      </w:r>
    </w:p>
    <w:p w14:paraId="045E8D81" w14:textId="77777777" w:rsidR="00DB6E1F" w:rsidRDefault="00F666A6">
      <w:pPr>
        <w:pStyle w:val="BodyText"/>
        <w:spacing w:before="141"/>
        <w:ind w:left="1439" w:right="1444"/>
      </w:pPr>
      <w:r>
        <w:rPr>
          <w:b/>
        </w:rPr>
        <w:t>You should examine all areas of clients’ life for new reinforcers</w:t>
      </w:r>
      <w:r>
        <w:t>, which should come from multiple sources and be of various types. A setback in one area can be counterbalanced by a positive reinforcer from</w:t>
      </w:r>
      <w:r>
        <w:rPr>
          <w:spacing w:val="-3"/>
        </w:rPr>
        <w:t xml:space="preserve"> </w:t>
      </w:r>
      <w:r>
        <w:t>another</w:t>
      </w:r>
      <w:r>
        <w:rPr>
          <w:spacing w:val="-2"/>
        </w:rPr>
        <w:t xml:space="preserve"> </w:t>
      </w:r>
      <w:r>
        <w:t>area.</w:t>
      </w:r>
      <w:r>
        <w:rPr>
          <w:spacing w:val="-2"/>
        </w:rPr>
        <w:t xml:space="preserve"> </w:t>
      </w:r>
      <w:r>
        <w:t>As</w:t>
      </w:r>
      <w:r>
        <w:rPr>
          <w:spacing w:val="-4"/>
        </w:rPr>
        <w:t xml:space="preserve"> </w:t>
      </w:r>
      <w:r>
        <w:t>the</w:t>
      </w:r>
      <w:r>
        <w:rPr>
          <w:spacing w:val="-4"/>
        </w:rPr>
        <w:t xml:space="preserve"> </w:t>
      </w:r>
      <w:r>
        <w:t>motivation</w:t>
      </w:r>
      <w:r>
        <w:rPr>
          <w:spacing w:val="-3"/>
        </w:rPr>
        <w:t xml:space="preserve"> </w:t>
      </w:r>
      <w:r>
        <w:t>for</w:t>
      </w:r>
      <w:r>
        <w:rPr>
          <w:spacing w:val="-2"/>
        </w:rPr>
        <w:t xml:space="preserve"> </w:t>
      </w:r>
      <w:r>
        <w:t>positive</w:t>
      </w:r>
      <w:r>
        <w:rPr>
          <w:spacing w:val="-4"/>
        </w:rPr>
        <w:t xml:space="preserve"> </w:t>
      </w:r>
      <w:r>
        <w:t>change</w:t>
      </w:r>
      <w:r>
        <w:rPr>
          <w:spacing w:val="-1"/>
        </w:rPr>
        <w:t xml:space="preserve"> </w:t>
      </w:r>
      <w:r>
        <w:t>becomes</w:t>
      </w:r>
      <w:r>
        <w:rPr>
          <w:spacing w:val="-2"/>
        </w:rPr>
        <w:t xml:space="preserve"> </w:t>
      </w:r>
      <w:r>
        <w:t>harder</w:t>
      </w:r>
      <w:r>
        <w:rPr>
          <w:spacing w:val="-4"/>
        </w:rPr>
        <w:t xml:space="preserve"> </w:t>
      </w:r>
      <w:r>
        <w:t>to</w:t>
      </w:r>
      <w:r>
        <w:rPr>
          <w:spacing w:val="-3"/>
        </w:rPr>
        <w:t xml:space="preserve"> </w:t>
      </w:r>
      <w:r>
        <w:t>sustain,</w:t>
      </w:r>
      <w:r>
        <w:rPr>
          <w:spacing w:val="-2"/>
        </w:rPr>
        <w:t xml:space="preserve"> </w:t>
      </w:r>
      <w:r>
        <w:t>clients</w:t>
      </w:r>
      <w:r>
        <w:rPr>
          <w:spacing w:val="-4"/>
        </w:rPr>
        <w:t xml:space="preserve"> </w:t>
      </w:r>
      <w:r>
        <w:t>need</w:t>
      </w:r>
      <w:r>
        <w:rPr>
          <w:spacing w:val="-5"/>
        </w:rPr>
        <w:t xml:space="preserve"> </w:t>
      </w:r>
      <w:r>
        <w:t>strong reasons for ove</w:t>
      </w:r>
      <w:r>
        <w:t>rcoming the challenges they will face. Help them select positive reinforcers that will prevail over substance use over time.</w:t>
      </w:r>
    </w:p>
    <w:p w14:paraId="3A673FEB" w14:textId="77777777" w:rsidR="00DB6E1F" w:rsidRDefault="00F666A6">
      <w:pPr>
        <w:spacing w:before="159"/>
        <w:ind w:left="1440" w:right="1444"/>
      </w:pPr>
      <w:r>
        <w:rPr>
          <w:b/>
        </w:rPr>
        <w:t>Small</w:t>
      </w:r>
      <w:r>
        <w:rPr>
          <w:b/>
          <w:spacing w:val="-3"/>
        </w:rPr>
        <w:t xml:space="preserve"> </w:t>
      </w:r>
      <w:r>
        <w:rPr>
          <w:b/>
        </w:rPr>
        <w:t>steps</w:t>
      </w:r>
      <w:r>
        <w:rPr>
          <w:b/>
          <w:spacing w:val="-1"/>
        </w:rPr>
        <w:t xml:space="preserve"> </w:t>
      </w:r>
      <w:r>
        <w:rPr>
          <w:b/>
        </w:rPr>
        <w:t>are</w:t>
      </w:r>
      <w:r>
        <w:rPr>
          <w:b/>
          <w:spacing w:val="-2"/>
        </w:rPr>
        <w:t xml:space="preserve"> </w:t>
      </w:r>
      <w:r>
        <w:rPr>
          <w:b/>
        </w:rPr>
        <w:t>helpful,</w:t>
      </w:r>
      <w:r>
        <w:rPr>
          <w:b/>
          <w:spacing w:val="-1"/>
        </w:rPr>
        <w:t xml:space="preserve"> </w:t>
      </w:r>
      <w:r>
        <w:rPr>
          <w:b/>
        </w:rPr>
        <w:t>but</w:t>
      </w:r>
      <w:r>
        <w:rPr>
          <w:b/>
          <w:spacing w:val="-2"/>
        </w:rPr>
        <w:t xml:space="preserve"> </w:t>
      </w:r>
      <w:r>
        <w:rPr>
          <w:b/>
        </w:rPr>
        <w:t>they</w:t>
      </w:r>
      <w:r>
        <w:rPr>
          <w:b/>
          <w:spacing w:val="-3"/>
        </w:rPr>
        <w:t xml:space="preserve"> </w:t>
      </w:r>
      <w:r>
        <w:rPr>
          <w:b/>
        </w:rPr>
        <w:t>cannot</w:t>
      </w:r>
      <w:r>
        <w:rPr>
          <w:b/>
          <w:spacing w:val="-2"/>
        </w:rPr>
        <w:t xml:space="preserve"> </w:t>
      </w:r>
      <w:r>
        <w:rPr>
          <w:b/>
        </w:rPr>
        <w:t>fill</w:t>
      </w:r>
      <w:r>
        <w:rPr>
          <w:b/>
          <w:spacing w:val="-1"/>
        </w:rPr>
        <w:t xml:space="preserve"> </w:t>
      </w:r>
      <w:r>
        <w:rPr>
          <w:b/>
        </w:rPr>
        <w:t>a</w:t>
      </w:r>
      <w:r>
        <w:rPr>
          <w:b/>
          <w:spacing w:val="-5"/>
        </w:rPr>
        <w:t xml:space="preserve"> </w:t>
      </w:r>
      <w:r>
        <w:rPr>
          <w:b/>
        </w:rPr>
        <w:t>whole</w:t>
      </w:r>
      <w:r>
        <w:rPr>
          <w:b/>
          <w:spacing w:val="-2"/>
        </w:rPr>
        <w:t xml:space="preserve"> </w:t>
      </w:r>
      <w:r>
        <w:rPr>
          <w:b/>
        </w:rPr>
        <w:t>life.</w:t>
      </w:r>
      <w:r>
        <w:rPr>
          <w:b/>
          <w:spacing w:val="-5"/>
        </w:rPr>
        <w:t xml:space="preserve"> </w:t>
      </w:r>
      <w:r>
        <w:t>Abstaining</w:t>
      </w:r>
      <w:r>
        <w:rPr>
          <w:spacing w:val="-3"/>
        </w:rPr>
        <w:t xml:space="preserve"> </w:t>
      </w:r>
      <w:r>
        <w:t>from</w:t>
      </w:r>
      <w:r>
        <w:rPr>
          <w:spacing w:val="-3"/>
        </w:rPr>
        <w:t xml:space="preserve"> </w:t>
      </w:r>
      <w:r>
        <w:t>substances</w:t>
      </w:r>
      <w:r>
        <w:rPr>
          <w:spacing w:val="-2"/>
        </w:rPr>
        <w:t xml:space="preserve"> </w:t>
      </w:r>
      <w:r>
        <w:t>is</w:t>
      </w:r>
      <w:r>
        <w:rPr>
          <w:spacing w:val="-2"/>
        </w:rPr>
        <w:t xml:space="preserve"> </w:t>
      </w:r>
      <w:r>
        <w:t>a</w:t>
      </w:r>
      <w:r>
        <w:rPr>
          <w:spacing w:val="-4"/>
        </w:rPr>
        <w:t xml:space="preserve"> </w:t>
      </w:r>
      <w:r>
        <w:t>sudden</w:t>
      </w:r>
      <w:r>
        <w:rPr>
          <w:spacing w:val="-2"/>
        </w:rPr>
        <w:t xml:space="preserve"> </w:t>
      </w:r>
      <w:r>
        <w:t>change and often leaves a large space in clients’ lives. You can help clients fill this space by exploring activities that will support their healthy new identity such as:</w:t>
      </w:r>
    </w:p>
    <w:p w14:paraId="260BDABD" w14:textId="77777777" w:rsidR="00DB6E1F" w:rsidRDefault="00F666A6">
      <w:pPr>
        <w:pStyle w:val="ListParagraph"/>
        <w:numPr>
          <w:ilvl w:val="0"/>
          <w:numId w:val="92"/>
        </w:numPr>
        <w:tabs>
          <w:tab w:val="left" w:pos="1800"/>
          <w:tab w:val="left" w:pos="1801"/>
        </w:tabs>
        <w:spacing w:before="61"/>
        <w:ind w:left="1800" w:right="1413"/>
        <w:rPr>
          <w:rFonts w:ascii="Symbol" w:hAnsi="Symbol"/>
        </w:rPr>
      </w:pPr>
      <w:r>
        <w:rPr>
          <w:b/>
        </w:rPr>
        <w:t xml:space="preserve">Doing volunteer work </w:t>
      </w:r>
      <w:r>
        <w:t>links clients to the community. Clients can fill time, decrease</w:t>
      </w:r>
      <w:r>
        <w:t xml:space="preserve"> isolation, and improve</w:t>
      </w:r>
      <w:r>
        <w:rPr>
          <w:spacing w:val="-4"/>
        </w:rPr>
        <w:t xml:space="preserve"> </w:t>
      </w:r>
      <w:r>
        <w:t>self-efficacy</w:t>
      </w:r>
      <w:r>
        <w:rPr>
          <w:spacing w:val="-3"/>
        </w:rPr>
        <w:t xml:space="preserve"> </w:t>
      </w:r>
      <w:r>
        <w:t>through</w:t>
      </w:r>
      <w:r>
        <w:rPr>
          <w:spacing w:val="-3"/>
        </w:rPr>
        <w:t xml:space="preserve"> </w:t>
      </w:r>
      <w:r>
        <w:t>this</w:t>
      </w:r>
      <w:r>
        <w:rPr>
          <w:spacing w:val="-2"/>
        </w:rPr>
        <w:t xml:space="preserve"> </w:t>
      </w:r>
      <w:r>
        <w:t>prosocial</w:t>
      </w:r>
      <w:r>
        <w:rPr>
          <w:spacing w:val="-2"/>
        </w:rPr>
        <w:t xml:space="preserve"> </w:t>
      </w:r>
      <w:r>
        <w:t>activity,</w:t>
      </w:r>
      <w:r>
        <w:rPr>
          <w:spacing w:val="-4"/>
        </w:rPr>
        <w:t xml:space="preserve"> </w:t>
      </w:r>
      <w:r>
        <w:t>making</w:t>
      </w:r>
      <w:r>
        <w:rPr>
          <w:spacing w:val="-3"/>
        </w:rPr>
        <w:t xml:space="preserve"> </w:t>
      </w:r>
      <w:r>
        <w:t>positive</w:t>
      </w:r>
      <w:r>
        <w:rPr>
          <w:spacing w:val="-4"/>
        </w:rPr>
        <w:t xml:space="preserve"> </w:t>
      </w:r>
      <w:r>
        <w:t>contributions</w:t>
      </w:r>
      <w:r>
        <w:rPr>
          <w:spacing w:val="-2"/>
        </w:rPr>
        <w:t xml:space="preserve"> </w:t>
      </w:r>
      <w:r>
        <w:t>to</w:t>
      </w:r>
      <w:r>
        <w:rPr>
          <w:spacing w:val="-3"/>
        </w:rPr>
        <w:t xml:space="preserve"> </w:t>
      </w:r>
      <w:r>
        <w:t>the</w:t>
      </w:r>
      <w:r>
        <w:rPr>
          <w:spacing w:val="-4"/>
        </w:rPr>
        <w:t xml:space="preserve"> </w:t>
      </w:r>
      <w:r>
        <w:t>community.</w:t>
      </w:r>
    </w:p>
    <w:p w14:paraId="2FD33943" w14:textId="77777777" w:rsidR="00DB6E1F" w:rsidRDefault="00F666A6">
      <w:pPr>
        <w:pStyle w:val="ListParagraph"/>
        <w:numPr>
          <w:ilvl w:val="0"/>
          <w:numId w:val="92"/>
        </w:numPr>
        <w:tabs>
          <w:tab w:val="left" w:pos="1800"/>
          <w:tab w:val="left" w:pos="1801"/>
        </w:tabs>
        <w:ind w:left="1800"/>
        <w:rPr>
          <w:rFonts w:ascii="Symbol" w:hAnsi="Symbol"/>
        </w:rPr>
      </w:pPr>
      <w:r>
        <w:rPr>
          <w:b/>
        </w:rPr>
        <w:t>Becoming</w:t>
      </w:r>
      <w:r>
        <w:rPr>
          <w:b/>
          <w:spacing w:val="-7"/>
        </w:rPr>
        <w:t xml:space="preserve"> </w:t>
      </w:r>
      <w:r>
        <w:rPr>
          <w:b/>
        </w:rPr>
        <w:t>involved</w:t>
      </w:r>
      <w:r>
        <w:rPr>
          <w:b/>
          <w:spacing w:val="-5"/>
        </w:rPr>
        <w:t xml:space="preserve"> </w:t>
      </w:r>
      <w:r>
        <w:rPr>
          <w:b/>
        </w:rPr>
        <w:t>in</w:t>
      </w:r>
      <w:r>
        <w:rPr>
          <w:b/>
          <w:spacing w:val="-6"/>
        </w:rPr>
        <w:t xml:space="preserve"> </w:t>
      </w:r>
      <w:r>
        <w:rPr>
          <w:b/>
        </w:rPr>
        <w:t>12-Step</w:t>
      </w:r>
      <w:r>
        <w:rPr>
          <w:b/>
          <w:spacing w:val="-4"/>
        </w:rPr>
        <w:t xml:space="preserve"> </w:t>
      </w:r>
      <w:r>
        <w:rPr>
          <w:b/>
        </w:rPr>
        <w:t>activities.</w:t>
      </w:r>
      <w:r>
        <w:rPr>
          <w:b/>
          <w:spacing w:val="-4"/>
        </w:rPr>
        <w:t xml:space="preserve"> </w:t>
      </w:r>
      <w:r>
        <w:t>Similar</w:t>
      </w:r>
      <w:r>
        <w:rPr>
          <w:spacing w:val="-4"/>
        </w:rPr>
        <w:t xml:space="preserve"> </w:t>
      </w:r>
      <w:r>
        <w:t>to</w:t>
      </w:r>
      <w:r>
        <w:rPr>
          <w:spacing w:val="-4"/>
        </w:rPr>
        <w:t xml:space="preserve"> </w:t>
      </w:r>
      <w:r>
        <w:t>volunteering,</w:t>
      </w:r>
      <w:r>
        <w:rPr>
          <w:spacing w:val="-4"/>
        </w:rPr>
        <w:t xml:space="preserve"> </w:t>
      </w:r>
      <w:r>
        <w:t>this</w:t>
      </w:r>
      <w:r>
        <w:rPr>
          <w:spacing w:val="-3"/>
        </w:rPr>
        <w:t xml:space="preserve"> </w:t>
      </w:r>
      <w:r>
        <w:t>fills</w:t>
      </w:r>
      <w:r>
        <w:rPr>
          <w:spacing w:val="-6"/>
        </w:rPr>
        <w:t xml:space="preserve"> </w:t>
      </w:r>
      <w:r>
        <w:t>a</w:t>
      </w:r>
      <w:r>
        <w:rPr>
          <w:spacing w:val="-3"/>
        </w:rPr>
        <w:t xml:space="preserve"> </w:t>
      </w:r>
      <w:r>
        <w:t>need</w:t>
      </w:r>
      <w:r>
        <w:rPr>
          <w:spacing w:val="-5"/>
        </w:rPr>
        <w:t xml:space="preserve"> </w:t>
      </w:r>
      <w:r>
        <w:t>to</w:t>
      </w:r>
      <w:r>
        <w:rPr>
          <w:spacing w:val="-2"/>
        </w:rPr>
        <w:t xml:space="preserve"> </w:t>
      </w:r>
      <w:r>
        <w:t>be</w:t>
      </w:r>
      <w:r>
        <w:rPr>
          <w:spacing w:val="-3"/>
        </w:rPr>
        <w:t xml:space="preserve"> </w:t>
      </w:r>
      <w:r>
        <w:t>involved</w:t>
      </w:r>
      <w:r>
        <w:rPr>
          <w:spacing w:val="-6"/>
        </w:rPr>
        <w:t xml:space="preserve"> </w:t>
      </w:r>
      <w:r>
        <w:rPr>
          <w:spacing w:val="-4"/>
        </w:rPr>
        <w:t>with</w:t>
      </w:r>
    </w:p>
    <w:p w14:paraId="55488672" w14:textId="77777777" w:rsidR="00DB6E1F" w:rsidRDefault="00DB6E1F">
      <w:pPr>
        <w:rPr>
          <w:rFonts w:ascii="Symbol" w:hAnsi="Symbol"/>
        </w:rPr>
        <w:sectPr w:rsidR="00DB6E1F">
          <w:pgSz w:w="12240" w:h="15840"/>
          <w:pgMar w:top="1200" w:right="0" w:bottom="780" w:left="0" w:header="763" w:footer="585" w:gutter="0"/>
          <w:cols w:space="720"/>
        </w:sectPr>
      </w:pPr>
    </w:p>
    <w:p w14:paraId="5A5AABB7" w14:textId="77777777" w:rsidR="00DB6E1F" w:rsidRDefault="00DB6E1F">
      <w:pPr>
        <w:pStyle w:val="BodyText"/>
        <w:spacing w:before="8"/>
        <w:rPr>
          <w:sz w:val="14"/>
        </w:rPr>
      </w:pPr>
    </w:p>
    <w:p w14:paraId="637A5F53" w14:textId="77777777" w:rsidR="00DB6E1F" w:rsidRDefault="00F666A6">
      <w:pPr>
        <w:pStyle w:val="BodyText"/>
        <w:spacing w:before="56"/>
        <w:ind w:left="1800"/>
      </w:pPr>
      <w:r>
        <w:t>a</w:t>
      </w:r>
      <w:r>
        <w:rPr>
          <w:spacing w:val="-3"/>
        </w:rPr>
        <w:t xml:space="preserve"> </w:t>
      </w:r>
      <w:r>
        <w:t>group</w:t>
      </w:r>
      <w:r>
        <w:rPr>
          <w:spacing w:val="-4"/>
        </w:rPr>
        <w:t xml:space="preserve"> </w:t>
      </w:r>
      <w:r>
        <w:t>and</w:t>
      </w:r>
      <w:r>
        <w:rPr>
          <w:spacing w:val="-3"/>
        </w:rPr>
        <w:t xml:space="preserve"> </w:t>
      </w:r>
      <w:r>
        <w:t>contributes</w:t>
      </w:r>
      <w:r>
        <w:rPr>
          <w:spacing w:val="-5"/>
        </w:rPr>
        <w:t xml:space="preserve"> </w:t>
      </w:r>
      <w:r>
        <w:t>to</w:t>
      </w:r>
      <w:r>
        <w:rPr>
          <w:spacing w:val="-3"/>
        </w:rPr>
        <w:t xml:space="preserve"> </w:t>
      </w:r>
      <w:r>
        <w:t>a</w:t>
      </w:r>
      <w:r>
        <w:rPr>
          <w:spacing w:val="-3"/>
        </w:rPr>
        <w:t xml:space="preserve"> </w:t>
      </w:r>
      <w:r>
        <w:t>worthwhile</w:t>
      </w:r>
      <w:r>
        <w:rPr>
          <w:spacing w:val="-4"/>
        </w:rPr>
        <w:t xml:space="preserve"> </w:t>
      </w:r>
      <w:r>
        <w:rPr>
          <w:spacing w:val="-2"/>
        </w:rPr>
        <w:t>organization.</w:t>
      </w:r>
    </w:p>
    <w:p w14:paraId="68A7D6CE" w14:textId="77777777" w:rsidR="00DB6E1F" w:rsidRDefault="00F666A6">
      <w:pPr>
        <w:pStyle w:val="ListParagraph"/>
        <w:numPr>
          <w:ilvl w:val="0"/>
          <w:numId w:val="92"/>
        </w:numPr>
        <w:tabs>
          <w:tab w:val="left" w:pos="1800"/>
          <w:tab w:val="left" w:pos="1801"/>
        </w:tabs>
        <w:ind w:left="1800"/>
        <w:rPr>
          <w:rFonts w:ascii="Symbol" w:hAnsi="Symbol"/>
        </w:rPr>
      </w:pPr>
      <w:r>
        <w:rPr>
          <w:b/>
        </w:rPr>
        <w:t>Setting</w:t>
      </w:r>
      <w:r>
        <w:rPr>
          <w:b/>
          <w:spacing w:val="-7"/>
        </w:rPr>
        <w:t xml:space="preserve"> </w:t>
      </w:r>
      <w:r>
        <w:rPr>
          <w:b/>
        </w:rPr>
        <w:t>goals</w:t>
      </w:r>
      <w:r>
        <w:rPr>
          <w:b/>
          <w:spacing w:val="-6"/>
        </w:rPr>
        <w:t xml:space="preserve"> </w:t>
      </w:r>
      <w:r>
        <w:t>to</w:t>
      </w:r>
      <w:r>
        <w:rPr>
          <w:spacing w:val="-4"/>
        </w:rPr>
        <w:t xml:space="preserve"> </w:t>
      </w:r>
      <w:r>
        <w:t>improve</w:t>
      </w:r>
      <w:r>
        <w:rPr>
          <w:spacing w:val="-3"/>
        </w:rPr>
        <w:t xml:space="preserve"> </w:t>
      </w:r>
      <w:r>
        <w:t>work,</w:t>
      </w:r>
      <w:r>
        <w:rPr>
          <w:spacing w:val="-6"/>
        </w:rPr>
        <w:t xml:space="preserve"> </w:t>
      </w:r>
      <w:r>
        <w:t>education,</w:t>
      </w:r>
      <w:r>
        <w:rPr>
          <w:spacing w:val="-4"/>
        </w:rPr>
        <w:t xml:space="preserve"> </w:t>
      </w:r>
      <w:r>
        <w:t>health,</w:t>
      </w:r>
      <w:r>
        <w:rPr>
          <w:spacing w:val="-4"/>
        </w:rPr>
        <w:t xml:space="preserve"> </w:t>
      </w:r>
      <w:r>
        <w:t>and</w:t>
      </w:r>
      <w:r>
        <w:rPr>
          <w:spacing w:val="-6"/>
        </w:rPr>
        <w:t xml:space="preserve"> </w:t>
      </w:r>
      <w:r>
        <w:rPr>
          <w:spacing w:val="-2"/>
        </w:rPr>
        <w:t>nutrition.</w:t>
      </w:r>
    </w:p>
    <w:p w14:paraId="09E88D02" w14:textId="77777777" w:rsidR="00DB6E1F" w:rsidRDefault="00F666A6">
      <w:pPr>
        <w:pStyle w:val="Heading5"/>
        <w:numPr>
          <w:ilvl w:val="0"/>
          <w:numId w:val="92"/>
        </w:numPr>
        <w:tabs>
          <w:tab w:val="left" w:pos="1800"/>
          <w:tab w:val="left" w:pos="1801"/>
        </w:tabs>
        <w:spacing w:before="61"/>
        <w:ind w:left="1800"/>
        <w:rPr>
          <w:rFonts w:ascii="Symbol" w:hAnsi="Symbol"/>
          <w:b w:val="0"/>
        </w:rPr>
      </w:pPr>
      <w:r>
        <w:t>Spending</w:t>
      </w:r>
      <w:r>
        <w:rPr>
          <w:spacing w:val="-6"/>
        </w:rPr>
        <w:t xml:space="preserve"> </w:t>
      </w:r>
      <w:r>
        <w:t>more</w:t>
      </w:r>
      <w:r>
        <w:rPr>
          <w:spacing w:val="-5"/>
        </w:rPr>
        <w:t xml:space="preserve"> </w:t>
      </w:r>
      <w:r>
        <w:t>time</w:t>
      </w:r>
      <w:r>
        <w:rPr>
          <w:spacing w:val="-7"/>
        </w:rPr>
        <w:t xml:space="preserve"> </w:t>
      </w:r>
      <w:r>
        <w:t>with</w:t>
      </w:r>
      <w:r>
        <w:rPr>
          <w:spacing w:val="-5"/>
        </w:rPr>
        <w:t xml:space="preserve"> </w:t>
      </w:r>
      <w:r>
        <w:t>family,</w:t>
      </w:r>
      <w:r>
        <w:rPr>
          <w:spacing w:val="-6"/>
        </w:rPr>
        <w:t xml:space="preserve"> </w:t>
      </w:r>
      <w:r>
        <w:t>significant</w:t>
      </w:r>
      <w:r>
        <w:rPr>
          <w:spacing w:val="-4"/>
        </w:rPr>
        <w:t xml:space="preserve"> </w:t>
      </w:r>
      <w:r>
        <w:t>others,</w:t>
      </w:r>
      <w:r>
        <w:rPr>
          <w:spacing w:val="-3"/>
        </w:rPr>
        <w:t xml:space="preserve"> </w:t>
      </w:r>
      <w:r>
        <w:t>and</w:t>
      </w:r>
      <w:r>
        <w:rPr>
          <w:spacing w:val="-5"/>
        </w:rPr>
        <w:t xml:space="preserve"> </w:t>
      </w:r>
      <w:r>
        <w:rPr>
          <w:spacing w:val="-2"/>
        </w:rPr>
        <w:t>friends.</w:t>
      </w:r>
    </w:p>
    <w:p w14:paraId="397635FB" w14:textId="77777777" w:rsidR="00DB6E1F" w:rsidRDefault="00F666A6">
      <w:pPr>
        <w:pStyle w:val="ListParagraph"/>
        <w:numPr>
          <w:ilvl w:val="0"/>
          <w:numId w:val="92"/>
        </w:numPr>
        <w:tabs>
          <w:tab w:val="left" w:pos="1799"/>
          <w:tab w:val="left" w:pos="1800"/>
        </w:tabs>
        <w:spacing w:before="58"/>
        <w:ind w:left="1799"/>
        <w:rPr>
          <w:rFonts w:ascii="Symbol" w:hAnsi="Symbol"/>
        </w:rPr>
      </w:pPr>
      <w:r>
        <w:rPr>
          <w:b/>
        </w:rPr>
        <w:t>Participating</w:t>
      </w:r>
      <w:r>
        <w:rPr>
          <w:b/>
          <w:spacing w:val="-6"/>
        </w:rPr>
        <w:t xml:space="preserve"> </w:t>
      </w:r>
      <w:r>
        <w:rPr>
          <w:b/>
        </w:rPr>
        <w:t>in</w:t>
      </w:r>
      <w:r>
        <w:rPr>
          <w:b/>
          <w:spacing w:val="-6"/>
        </w:rPr>
        <w:t xml:space="preserve"> </w:t>
      </w:r>
      <w:r>
        <w:rPr>
          <w:b/>
        </w:rPr>
        <w:t>spiritual</w:t>
      </w:r>
      <w:r>
        <w:rPr>
          <w:b/>
          <w:spacing w:val="-5"/>
        </w:rPr>
        <w:t xml:space="preserve"> </w:t>
      </w:r>
      <w:r>
        <w:rPr>
          <w:b/>
        </w:rPr>
        <w:t>or</w:t>
      </w:r>
      <w:r>
        <w:rPr>
          <w:b/>
          <w:spacing w:val="-7"/>
        </w:rPr>
        <w:t xml:space="preserve"> </w:t>
      </w:r>
      <w:r>
        <w:rPr>
          <w:b/>
        </w:rPr>
        <w:t>cultural</w:t>
      </w:r>
      <w:r>
        <w:rPr>
          <w:b/>
          <w:spacing w:val="-3"/>
        </w:rPr>
        <w:t xml:space="preserve"> </w:t>
      </w:r>
      <w:r>
        <w:rPr>
          <w:b/>
          <w:spacing w:val="-2"/>
        </w:rPr>
        <w:t>activities.</w:t>
      </w:r>
    </w:p>
    <w:p w14:paraId="0701B721" w14:textId="77777777" w:rsidR="00DB6E1F" w:rsidRDefault="00F666A6">
      <w:pPr>
        <w:pStyle w:val="ListParagraph"/>
        <w:numPr>
          <w:ilvl w:val="0"/>
          <w:numId w:val="92"/>
        </w:numPr>
        <w:tabs>
          <w:tab w:val="left" w:pos="1799"/>
          <w:tab w:val="left" w:pos="1800"/>
        </w:tabs>
        <w:spacing w:before="58"/>
        <w:ind w:left="1799"/>
        <w:rPr>
          <w:rFonts w:ascii="Symbol" w:hAnsi="Symbol"/>
        </w:rPr>
      </w:pPr>
      <w:r>
        <w:rPr>
          <w:b/>
        </w:rPr>
        <w:t>Learning</w:t>
      </w:r>
      <w:r>
        <w:rPr>
          <w:b/>
          <w:spacing w:val="-5"/>
        </w:rPr>
        <w:t xml:space="preserve"> </w:t>
      </w:r>
      <w:r>
        <w:rPr>
          <w:b/>
        </w:rPr>
        <w:t>new</w:t>
      </w:r>
      <w:r>
        <w:rPr>
          <w:b/>
          <w:spacing w:val="-4"/>
        </w:rPr>
        <w:t xml:space="preserve"> </w:t>
      </w:r>
      <w:r>
        <w:rPr>
          <w:b/>
        </w:rPr>
        <w:t>skills</w:t>
      </w:r>
      <w:r>
        <w:rPr>
          <w:b/>
          <w:spacing w:val="-2"/>
        </w:rPr>
        <w:t xml:space="preserve"> </w:t>
      </w:r>
      <w:r>
        <w:rPr>
          <w:b/>
        </w:rPr>
        <w:t>or</w:t>
      </w:r>
      <w:r>
        <w:rPr>
          <w:b/>
          <w:spacing w:val="-5"/>
        </w:rPr>
        <w:t xml:space="preserve"> </w:t>
      </w:r>
      <w:r>
        <w:rPr>
          <w:b/>
        </w:rPr>
        <w:t>improving</w:t>
      </w:r>
      <w:r>
        <w:rPr>
          <w:b/>
          <w:spacing w:val="-2"/>
        </w:rPr>
        <w:t xml:space="preserve"> </w:t>
      </w:r>
      <w:r>
        <w:rPr>
          <w:b/>
        </w:rPr>
        <w:t>old</w:t>
      </w:r>
      <w:r>
        <w:rPr>
          <w:b/>
          <w:spacing w:val="-5"/>
        </w:rPr>
        <w:t xml:space="preserve"> </w:t>
      </w:r>
      <w:r>
        <w:rPr>
          <w:b/>
        </w:rPr>
        <w:t>ones</w:t>
      </w:r>
      <w:r>
        <w:rPr>
          <w:b/>
          <w:spacing w:val="-3"/>
        </w:rPr>
        <w:t xml:space="preserve"> </w:t>
      </w:r>
      <w:r>
        <w:t>in</w:t>
      </w:r>
      <w:r>
        <w:rPr>
          <w:spacing w:val="-4"/>
        </w:rPr>
        <w:t xml:space="preserve"> </w:t>
      </w:r>
      <w:r>
        <w:t>such</w:t>
      </w:r>
      <w:r>
        <w:rPr>
          <w:spacing w:val="-4"/>
        </w:rPr>
        <w:t xml:space="preserve"> </w:t>
      </w:r>
      <w:r>
        <w:t>areas</w:t>
      </w:r>
      <w:r>
        <w:rPr>
          <w:spacing w:val="-3"/>
        </w:rPr>
        <w:t xml:space="preserve"> </w:t>
      </w:r>
      <w:r>
        <w:t>as</w:t>
      </w:r>
      <w:r>
        <w:rPr>
          <w:spacing w:val="-3"/>
        </w:rPr>
        <w:t xml:space="preserve"> </w:t>
      </w:r>
      <w:r>
        <w:t>sports,</w:t>
      </w:r>
      <w:r>
        <w:rPr>
          <w:spacing w:val="-5"/>
        </w:rPr>
        <w:t xml:space="preserve"> </w:t>
      </w:r>
      <w:r>
        <w:t>art,</w:t>
      </w:r>
      <w:r>
        <w:rPr>
          <w:spacing w:val="-5"/>
        </w:rPr>
        <w:t xml:space="preserve"> </w:t>
      </w:r>
      <w:r>
        <w:t>music,</w:t>
      </w:r>
      <w:r>
        <w:rPr>
          <w:spacing w:val="-5"/>
        </w:rPr>
        <w:t xml:space="preserve"> </w:t>
      </w:r>
      <w:r>
        <w:t>and</w:t>
      </w:r>
      <w:r>
        <w:rPr>
          <w:spacing w:val="-6"/>
        </w:rPr>
        <w:t xml:space="preserve"> </w:t>
      </w:r>
      <w:r>
        <w:rPr>
          <w:spacing w:val="-2"/>
        </w:rPr>
        <w:t>hobbies.</w:t>
      </w:r>
    </w:p>
    <w:p w14:paraId="67DB1167" w14:textId="77777777" w:rsidR="00DB6E1F" w:rsidRDefault="00F666A6">
      <w:pPr>
        <w:pStyle w:val="Heading3"/>
        <w:spacing w:before="166"/>
      </w:pPr>
      <w:bookmarkStart w:id="203" w:name="Identify_Recovery_Capital"/>
      <w:bookmarkEnd w:id="203"/>
      <w:r>
        <w:t>Identify</w:t>
      </w:r>
      <w:r>
        <w:rPr>
          <w:spacing w:val="-11"/>
        </w:rPr>
        <w:t xml:space="preserve"> </w:t>
      </w:r>
      <w:r>
        <w:t>Recovery</w:t>
      </w:r>
      <w:r>
        <w:rPr>
          <w:spacing w:val="-11"/>
        </w:rPr>
        <w:t xml:space="preserve"> </w:t>
      </w:r>
      <w:r>
        <w:rPr>
          <w:spacing w:val="-2"/>
        </w:rPr>
        <w:t>Capital</w:t>
      </w:r>
    </w:p>
    <w:p w14:paraId="5A3780E5" w14:textId="77777777" w:rsidR="00DB6E1F" w:rsidRDefault="00F666A6">
      <w:pPr>
        <w:pStyle w:val="BodyText"/>
        <w:spacing w:before="141"/>
        <w:ind w:left="1439" w:right="1444"/>
      </w:pPr>
      <w:r>
        <w:rPr>
          <w:b/>
        </w:rPr>
        <w:t>Help</w:t>
      </w:r>
      <w:r>
        <w:rPr>
          <w:b/>
          <w:spacing w:val="-2"/>
        </w:rPr>
        <w:t xml:space="preserve"> </w:t>
      </w:r>
      <w:r>
        <w:rPr>
          <w:b/>
        </w:rPr>
        <w:t>clients</w:t>
      </w:r>
      <w:r>
        <w:rPr>
          <w:b/>
          <w:spacing w:val="-2"/>
        </w:rPr>
        <w:t xml:space="preserve"> </w:t>
      </w:r>
      <w:r>
        <w:rPr>
          <w:b/>
        </w:rPr>
        <w:t>tap</w:t>
      </w:r>
      <w:r>
        <w:rPr>
          <w:b/>
          <w:spacing w:val="-2"/>
        </w:rPr>
        <w:t xml:space="preserve"> </w:t>
      </w:r>
      <w:r>
        <w:rPr>
          <w:b/>
        </w:rPr>
        <w:t>into</w:t>
      </w:r>
      <w:r>
        <w:rPr>
          <w:b/>
          <w:spacing w:val="-2"/>
        </w:rPr>
        <w:t xml:space="preserve"> </w:t>
      </w:r>
      <w:r>
        <w:rPr>
          <w:b/>
        </w:rPr>
        <w:t>and</w:t>
      </w:r>
      <w:r>
        <w:rPr>
          <w:b/>
          <w:spacing w:val="-2"/>
        </w:rPr>
        <w:t xml:space="preserve"> </w:t>
      </w:r>
      <w:r>
        <w:rPr>
          <w:b/>
        </w:rPr>
        <w:t>build</w:t>
      </w:r>
      <w:r>
        <w:rPr>
          <w:b/>
          <w:spacing w:val="-2"/>
        </w:rPr>
        <w:t xml:space="preserve"> </w:t>
      </w:r>
      <w:r>
        <w:rPr>
          <w:b/>
        </w:rPr>
        <w:t>new</w:t>
      </w:r>
      <w:r>
        <w:rPr>
          <w:b/>
          <w:spacing w:val="-2"/>
        </w:rPr>
        <w:t xml:space="preserve"> </w:t>
      </w:r>
      <w:r>
        <w:rPr>
          <w:b/>
        </w:rPr>
        <w:t>sources of</w:t>
      </w:r>
      <w:r>
        <w:rPr>
          <w:b/>
          <w:spacing w:val="-1"/>
        </w:rPr>
        <w:t xml:space="preserve"> </w:t>
      </w:r>
      <w:r>
        <w:rPr>
          <w:b/>
        </w:rPr>
        <w:t>positive</w:t>
      </w:r>
      <w:r>
        <w:rPr>
          <w:b/>
          <w:spacing w:val="-1"/>
        </w:rPr>
        <w:t xml:space="preserve"> </w:t>
      </w:r>
      <w:r>
        <w:rPr>
          <w:b/>
        </w:rPr>
        <w:t>RC and</w:t>
      </w:r>
      <w:r>
        <w:rPr>
          <w:b/>
          <w:spacing w:val="-2"/>
        </w:rPr>
        <w:t xml:space="preserve"> </w:t>
      </w:r>
      <w:r>
        <w:rPr>
          <w:b/>
        </w:rPr>
        <w:t>lessen</w:t>
      </w:r>
      <w:r>
        <w:rPr>
          <w:b/>
          <w:spacing w:val="-2"/>
        </w:rPr>
        <w:t xml:space="preserve"> </w:t>
      </w:r>
      <w:r>
        <w:rPr>
          <w:b/>
        </w:rPr>
        <w:t>the</w:t>
      </w:r>
      <w:r>
        <w:rPr>
          <w:b/>
          <w:spacing w:val="-4"/>
        </w:rPr>
        <w:t xml:space="preserve"> </w:t>
      </w:r>
      <w:r>
        <w:rPr>
          <w:b/>
        </w:rPr>
        <w:t>impact</w:t>
      </w:r>
      <w:r>
        <w:rPr>
          <w:b/>
          <w:spacing w:val="-3"/>
        </w:rPr>
        <w:t xml:space="preserve"> </w:t>
      </w:r>
      <w:r>
        <w:rPr>
          <w:b/>
        </w:rPr>
        <w:t>of</w:t>
      </w:r>
      <w:r>
        <w:rPr>
          <w:b/>
          <w:spacing w:val="-1"/>
        </w:rPr>
        <w:t xml:space="preserve"> </w:t>
      </w:r>
      <w:r>
        <w:rPr>
          <w:b/>
        </w:rPr>
        <w:t>negative</w:t>
      </w:r>
      <w:r>
        <w:rPr>
          <w:b/>
          <w:spacing w:val="-1"/>
        </w:rPr>
        <w:t xml:space="preserve"> </w:t>
      </w:r>
      <w:r>
        <w:rPr>
          <w:b/>
        </w:rPr>
        <w:t xml:space="preserve">sources of RC </w:t>
      </w:r>
      <w:r>
        <w:t>as a way to support the maintenance of change. “Recove</w:t>
      </w:r>
      <w:r>
        <w:t>ry capital” refers to internal and external resources a person draws on to begin and sustain recovery. Internal resources include, but are not limited to, values, knowledge, skills, self-efficacy, and hope. External resources include, but are not limited t</w:t>
      </w:r>
      <w:r>
        <w:t>o, employment; safe housing; financial resources; access to health care; and social, family, spiritual, cultural, and</w:t>
      </w:r>
      <w:r>
        <w:rPr>
          <w:spacing w:val="-1"/>
        </w:rPr>
        <w:t xml:space="preserve"> </w:t>
      </w:r>
      <w:r>
        <w:t>community</w:t>
      </w:r>
      <w:r>
        <w:rPr>
          <w:spacing w:val="-1"/>
        </w:rPr>
        <w:t xml:space="preserve"> </w:t>
      </w:r>
      <w:r>
        <w:t>supports</w:t>
      </w:r>
      <w:r>
        <w:rPr>
          <w:spacing w:val="-2"/>
        </w:rPr>
        <w:t xml:space="preserve"> </w:t>
      </w:r>
      <w:r>
        <w:t>(Granfield</w:t>
      </w:r>
      <w:r>
        <w:rPr>
          <w:spacing w:val="-3"/>
        </w:rPr>
        <w:t xml:space="preserve"> </w:t>
      </w:r>
      <w:r>
        <w:t>&amp; Cloud, 1999).</w:t>
      </w:r>
      <w:r>
        <w:rPr>
          <w:spacing w:val="-3"/>
        </w:rPr>
        <w:t xml:space="preserve"> </w:t>
      </w:r>
      <w:r>
        <w:t>RC can</w:t>
      </w:r>
      <w:r>
        <w:rPr>
          <w:spacing w:val="-1"/>
        </w:rPr>
        <w:t xml:space="preserve"> </w:t>
      </w:r>
      <w:r>
        <w:t>be</w:t>
      </w:r>
      <w:r>
        <w:rPr>
          <w:spacing w:val="-2"/>
        </w:rPr>
        <w:t xml:space="preserve"> </w:t>
      </w:r>
      <w:r>
        <w:t>positive (e.g., drug-free social network) or negative (e.g., drug-using social network) (Hennesey, 2017). Positive and negative RC interact with each other in the recovery process and change over time (Hennessy, 2017). RC is linked with clients’ natural re</w:t>
      </w:r>
      <w:r>
        <w:t>covery resources. (See also the “Natural Change” section in Chapter 1.)</w:t>
      </w:r>
    </w:p>
    <w:p w14:paraId="1E58C149" w14:textId="77777777" w:rsidR="00DB6E1F" w:rsidRDefault="00F666A6">
      <w:pPr>
        <w:pStyle w:val="Heading3"/>
        <w:spacing w:before="163"/>
      </w:pPr>
      <w:bookmarkStart w:id="204" w:name="Reinforce_Family_and_Social_Support"/>
      <w:bookmarkEnd w:id="204"/>
      <w:r>
        <w:t>Reinforce</w:t>
      </w:r>
      <w:r>
        <w:rPr>
          <w:spacing w:val="-8"/>
        </w:rPr>
        <w:t xml:space="preserve"> </w:t>
      </w:r>
      <w:r>
        <w:t>Family</w:t>
      </w:r>
      <w:r>
        <w:rPr>
          <w:spacing w:val="-7"/>
        </w:rPr>
        <w:t xml:space="preserve"> </w:t>
      </w:r>
      <w:r>
        <w:t>and</w:t>
      </w:r>
      <w:r>
        <w:rPr>
          <w:spacing w:val="-6"/>
        </w:rPr>
        <w:t xml:space="preserve"> </w:t>
      </w:r>
      <w:r>
        <w:t>Social</w:t>
      </w:r>
      <w:r>
        <w:rPr>
          <w:spacing w:val="-8"/>
        </w:rPr>
        <w:t xml:space="preserve"> </w:t>
      </w:r>
      <w:r>
        <w:rPr>
          <w:spacing w:val="-2"/>
        </w:rPr>
        <w:t>Support</w:t>
      </w:r>
    </w:p>
    <w:p w14:paraId="4DFBDD2B" w14:textId="77777777" w:rsidR="00DB6E1F" w:rsidRDefault="00F666A6">
      <w:pPr>
        <w:pStyle w:val="BodyText"/>
        <w:spacing w:before="144"/>
        <w:ind w:left="1439" w:right="1491"/>
      </w:pPr>
      <w:r>
        <w:rPr>
          <w:b/>
        </w:rPr>
        <w:t xml:space="preserve">Family and social support are important sources of RC. </w:t>
      </w:r>
      <w:r>
        <w:t>They can help clients permanently break free from</w:t>
      </w:r>
      <w:r>
        <w:rPr>
          <w:spacing w:val="-3"/>
        </w:rPr>
        <w:t xml:space="preserve"> </w:t>
      </w:r>
      <w:r>
        <w:t>addiction</w:t>
      </w:r>
      <w:r>
        <w:rPr>
          <w:spacing w:val="-3"/>
        </w:rPr>
        <w:t xml:space="preserve"> </w:t>
      </w:r>
      <w:r>
        <w:t>and</w:t>
      </w:r>
      <w:r>
        <w:rPr>
          <w:spacing w:val="-3"/>
        </w:rPr>
        <w:t xml:space="preserve"> </w:t>
      </w:r>
      <w:r>
        <w:t>engage</w:t>
      </w:r>
      <w:r>
        <w:rPr>
          <w:spacing w:val="-4"/>
        </w:rPr>
        <w:t xml:space="preserve"> </w:t>
      </w:r>
      <w:r>
        <w:t>in</w:t>
      </w:r>
      <w:r>
        <w:rPr>
          <w:spacing w:val="-3"/>
        </w:rPr>
        <w:t xml:space="preserve"> </w:t>
      </w:r>
      <w:r>
        <w:t>a</w:t>
      </w:r>
      <w:r>
        <w:rPr>
          <w:spacing w:val="-3"/>
        </w:rPr>
        <w:t xml:space="preserve"> </w:t>
      </w:r>
      <w:r>
        <w:t>new</w:t>
      </w:r>
      <w:r>
        <w:rPr>
          <w:spacing w:val="-2"/>
        </w:rPr>
        <w:t xml:space="preserve"> </w:t>
      </w:r>
      <w:r>
        <w:t>lifestyle</w:t>
      </w:r>
      <w:r>
        <w:rPr>
          <w:spacing w:val="-4"/>
        </w:rPr>
        <w:t xml:space="preserve"> </w:t>
      </w:r>
      <w:r>
        <w:t>(DiClemente,</w:t>
      </w:r>
      <w:r>
        <w:rPr>
          <w:spacing w:val="-3"/>
        </w:rPr>
        <w:t xml:space="preserve"> </w:t>
      </w:r>
      <w:r>
        <w:t>2018).</w:t>
      </w:r>
      <w:r>
        <w:rPr>
          <w:spacing w:val="-3"/>
        </w:rPr>
        <w:t xml:space="preserve"> </w:t>
      </w:r>
      <w:r>
        <w:t>Family</w:t>
      </w:r>
      <w:r>
        <w:rPr>
          <w:spacing w:val="-2"/>
        </w:rPr>
        <w:t xml:space="preserve"> </w:t>
      </w:r>
      <w:r>
        <w:t>and</w:t>
      </w:r>
      <w:r>
        <w:rPr>
          <w:spacing w:val="-3"/>
        </w:rPr>
        <w:t xml:space="preserve"> </w:t>
      </w:r>
      <w:r>
        <w:t>friends</w:t>
      </w:r>
      <w:r>
        <w:rPr>
          <w:spacing w:val="-3"/>
        </w:rPr>
        <w:t xml:space="preserve"> </w:t>
      </w:r>
      <w:r>
        <w:t>who</w:t>
      </w:r>
      <w:r>
        <w:rPr>
          <w:spacing w:val="-2"/>
        </w:rPr>
        <w:t xml:space="preserve"> </w:t>
      </w:r>
      <w:r>
        <w:t>are</w:t>
      </w:r>
      <w:r>
        <w:rPr>
          <w:spacing w:val="-2"/>
        </w:rPr>
        <w:t xml:space="preserve"> </w:t>
      </w:r>
      <w:r>
        <w:t>supportive of the clients’ recovery can be especially helpful in stabilizing change because they can reinforce new beha</w:t>
      </w:r>
      <w:r>
        <w:t>vior and provide positive incentives to continue in recovery. They can involve clients in new social and recreational activities and be a source of emotional and financial support. Other types of support they provide can</w:t>
      </w:r>
      <w:r>
        <w:rPr>
          <w:spacing w:val="-1"/>
        </w:rPr>
        <w:t xml:space="preserve"> </w:t>
      </w:r>
      <w:r>
        <w:t>be instrumental</w:t>
      </w:r>
      <w:r>
        <w:rPr>
          <w:spacing w:val="-3"/>
        </w:rPr>
        <w:t xml:space="preserve"> </w:t>
      </w:r>
      <w:r>
        <w:t>(e.g., babysitting,</w:t>
      </w:r>
      <w:r>
        <w:t xml:space="preserve"> carpooling),</w:t>
      </w:r>
      <w:r>
        <w:rPr>
          <w:spacing w:val="-2"/>
        </w:rPr>
        <w:t xml:space="preserve"> </w:t>
      </w:r>
      <w:r>
        <w:t>romantic,</w:t>
      </w:r>
      <w:r>
        <w:rPr>
          <w:spacing w:val="-2"/>
        </w:rPr>
        <w:t xml:space="preserve"> </w:t>
      </w:r>
      <w:r>
        <w:t>spiritual, and</w:t>
      </w:r>
      <w:r>
        <w:rPr>
          <w:spacing w:val="-1"/>
        </w:rPr>
        <w:t xml:space="preserve"> </w:t>
      </w:r>
      <w:r>
        <w:t>communal (i.e., belonging to a particular group or community).</w:t>
      </w:r>
    </w:p>
    <w:p w14:paraId="526097AE" w14:textId="77777777" w:rsidR="00DB6E1F" w:rsidRDefault="00F666A6">
      <w:pPr>
        <w:spacing w:before="159"/>
        <w:ind w:left="1437" w:right="1491" w:firstLine="1"/>
      </w:pPr>
      <w:r>
        <w:rPr>
          <w:b/>
        </w:rPr>
        <w:t xml:space="preserve">Identify different types of social supports that clients have available to help determine gaps in their support system and help them build a larger, more </w:t>
      </w:r>
      <w:r>
        <w:rPr>
          <w:b/>
        </w:rPr>
        <w:t xml:space="preserve">diverse social network. </w:t>
      </w:r>
      <w:r>
        <w:t>Clients with more severe AUD</w:t>
      </w:r>
      <w:r>
        <w:rPr>
          <w:spacing w:val="-1"/>
        </w:rPr>
        <w:t xml:space="preserve"> </w:t>
      </w:r>
      <w:r>
        <w:t>tend</w:t>
      </w:r>
      <w:r>
        <w:rPr>
          <w:spacing w:val="-3"/>
        </w:rPr>
        <w:t xml:space="preserve"> </w:t>
      </w:r>
      <w:r>
        <w:t>to</w:t>
      </w:r>
      <w:r>
        <w:rPr>
          <w:spacing w:val="-1"/>
        </w:rPr>
        <w:t xml:space="preserve"> </w:t>
      </w:r>
      <w:r>
        <w:t>have</w:t>
      </w:r>
      <w:r>
        <w:rPr>
          <w:spacing w:val="-1"/>
        </w:rPr>
        <w:t xml:space="preserve"> </w:t>
      </w:r>
      <w:r>
        <w:t>smaller,</w:t>
      </w:r>
      <w:r>
        <w:rPr>
          <w:spacing w:val="-2"/>
        </w:rPr>
        <w:t xml:space="preserve"> </w:t>
      </w:r>
      <w:r>
        <w:t>less</w:t>
      </w:r>
      <w:r>
        <w:rPr>
          <w:spacing w:val="-2"/>
        </w:rPr>
        <w:t xml:space="preserve"> </w:t>
      </w:r>
      <w:r>
        <w:t>diverse</w:t>
      </w:r>
      <w:r>
        <w:rPr>
          <w:spacing w:val="-3"/>
        </w:rPr>
        <w:t xml:space="preserve"> </w:t>
      </w:r>
      <w:r>
        <w:t>social</w:t>
      </w:r>
      <w:r>
        <w:rPr>
          <w:spacing w:val="-2"/>
        </w:rPr>
        <w:t xml:space="preserve"> </w:t>
      </w:r>
      <w:r>
        <w:t>networks</w:t>
      </w:r>
      <w:r>
        <w:rPr>
          <w:spacing w:val="-4"/>
        </w:rPr>
        <w:t xml:space="preserve"> </w:t>
      </w:r>
      <w:r>
        <w:t>(i.e.,</w:t>
      </w:r>
      <w:r>
        <w:rPr>
          <w:spacing w:val="-1"/>
        </w:rPr>
        <w:t xml:space="preserve"> </w:t>
      </w:r>
      <w:r>
        <w:t>supports</w:t>
      </w:r>
      <w:r>
        <w:rPr>
          <w:spacing w:val="-4"/>
        </w:rPr>
        <w:t xml:space="preserve"> </w:t>
      </w:r>
      <w:r>
        <w:t>other</w:t>
      </w:r>
      <w:r>
        <w:rPr>
          <w:spacing w:val="-5"/>
        </w:rPr>
        <w:t xml:space="preserve"> </w:t>
      </w:r>
      <w:r>
        <w:t>than</w:t>
      </w:r>
      <w:r>
        <w:rPr>
          <w:spacing w:val="-3"/>
        </w:rPr>
        <w:t xml:space="preserve"> </w:t>
      </w:r>
      <w:r>
        <w:t>family</w:t>
      </w:r>
      <w:r>
        <w:rPr>
          <w:spacing w:val="-3"/>
        </w:rPr>
        <w:t xml:space="preserve"> </w:t>
      </w:r>
      <w:r>
        <w:t>or</w:t>
      </w:r>
      <w:r>
        <w:rPr>
          <w:spacing w:val="-4"/>
        </w:rPr>
        <w:t xml:space="preserve"> </w:t>
      </w:r>
      <w:r>
        <w:t>close</w:t>
      </w:r>
      <w:r>
        <w:rPr>
          <w:spacing w:val="-1"/>
        </w:rPr>
        <w:t xml:space="preserve"> </w:t>
      </w:r>
      <w:r>
        <w:t>friends) than those with no history of AUD or less severe alcohol misuse experiences (Mowbray, Quinn, &amp; Cranford, 2014). More extensive social networks in which individuals with addiction exchange support with one another can help individuals sustain recov</w:t>
      </w:r>
      <w:r>
        <w:t>ery over time (Panebianco, Gallupe, Carrington, &amp; Colozzi, 2016). An extended and diverse social network might comprise:</w:t>
      </w:r>
    </w:p>
    <w:p w14:paraId="5EA7DEFA" w14:textId="77777777" w:rsidR="00DB6E1F" w:rsidRDefault="00F666A6">
      <w:pPr>
        <w:pStyle w:val="ListParagraph"/>
        <w:numPr>
          <w:ilvl w:val="0"/>
          <w:numId w:val="92"/>
        </w:numPr>
        <w:tabs>
          <w:tab w:val="left" w:pos="1798"/>
          <w:tab w:val="left" w:pos="1799"/>
        </w:tabs>
        <w:ind w:left="1798"/>
        <w:rPr>
          <w:rFonts w:ascii="Symbol" w:hAnsi="Symbol"/>
        </w:rPr>
      </w:pPr>
      <w:r>
        <w:t>Family</w:t>
      </w:r>
      <w:r>
        <w:rPr>
          <w:spacing w:val="-4"/>
        </w:rPr>
        <w:t xml:space="preserve"> </w:t>
      </w:r>
      <w:r>
        <w:rPr>
          <w:spacing w:val="-2"/>
        </w:rPr>
        <w:t>members.</w:t>
      </w:r>
    </w:p>
    <w:p w14:paraId="692204D2" w14:textId="77777777" w:rsidR="00DB6E1F" w:rsidRDefault="00F666A6">
      <w:pPr>
        <w:pStyle w:val="ListParagraph"/>
        <w:numPr>
          <w:ilvl w:val="0"/>
          <w:numId w:val="92"/>
        </w:numPr>
        <w:tabs>
          <w:tab w:val="left" w:pos="1798"/>
          <w:tab w:val="left" w:pos="1799"/>
        </w:tabs>
        <w:ind w:left="1798"/>
        <w:rPr>
          <w:rFonts w:ascii="Symbol" w:hAnsi="Symbol"/>
        </w:rPr>
      </w:pPr>
      <w:r>
        <w:rPr>
          <w:spacing w:val="-2"/>
        </w:rPr>
        <w:t>Friends.</w:t>
      </w:r>
    </w:p>
    <w:p w14:paraId="591FCA9F" w14:textId="77777777" w:rsidR="00DB6E1F" w:rsidRDefault="00F666A6">
      <w:pPr>
        <w:pStyle w:val="ListParagraph"/>
        <w:numPr>
          <w:ilvl w:val="0"/>
          <w:numId w:val="92"/>
        </w:numPr>
        <w:tabs>
          <w:tab w:val="left" w:pos="1798"/>
          <w:tab w:val="left" w:pos="1799"/>
        </w:tabs>
        <w:ind w:left="1798"/>
        <w:rPr>
          <w:rFonts w:ascii="Symbol" w:hAnsi="Symbol"/>
        </w:rPr>
      </w:pPr>
      <w:r>
        <w:t>Peer</w:t>
      </w:r>
      <w:r>
        <w:rPr>
          <w:spacing w:val="-4"/>
        </w:rPr>
        <w:t xml:space="preserve"> </w:t>
      </w:r>
      <w:r>
        <w:t>support</w:t>
      </w:r>
      <w:r>
        <w:rPr>
          <w:spacing w:val="-3"/>
        </w:rPr>
        <w:t xml:space="preserve"> </w:t>
      </w:r>
      <w:r>
        <w:rPr>
          <w:spacing w:val="-2"/>
        </w:rPr>
        <w:t>specialists.</w:t>
      </w:r>
    </w:p>
    <w:p w14:paraId="33AD29E7" w14:textId="77777777" w:rsidR="00DB6E1F" w:rsidRDefault="00F666A6">
      <w:pPr>
        <w:pStyle w:val="ListParagraph"/>
        <w:numPr>
          <w:ilvl w:val="0"/>
          <w:numId w:val="92"/>
        </w:numPr>
        <w:tabs>
          <w:tab w:val="left" w:pos="1798"/>
          <w:tab w:val="left" w:pos="1799"/>
        </w:tabs>
        <w:spacing w:before="59"/>
        <w:ind w:left="1798"/>
        <w:rPr>
          <w:rFonts w:ascii="Symbol" w:hAnsi="Symbol"/>
        </w:rPr>
      </w:pPr>
      <w:r>
        <w:t>Members</w:t>
      </w:r>
      <w:r>
        <w:rPr>
          <w:spacing w:val="-6"/>
        </w:rPr>
        <w:t xml:space="preserve"> </w:t>
      </w:r>
      <w:r>
        <w:t>of</w:t>
      </w:r>
      <w:r>
        <w:rPr>
          <w:spacing w:val="-3"/>
        </w:rPr>
        <w:t xml:space="preserve"> </w:t>
      </w:r>
      <w:r>
        <w:t>recovery</w:t>
      </w:r>
      <w:r>
        <w:rPr>
          <w:spacing w:val="-4"/>
        </w:rPr>
        <w:t xml:space="preserve"> </w:t>
      </w:r>
      <w:r>
        <w:t>support</w:t>
      </w:r>
      <w:r>
        <w:rPr>
          <w:spacing w:val="-2"/>
        </w:rPr>
        <w:t xml:space="preserve"> groups.</w:t>
      </w:r>
    </w:p>
    <w:p w14:paraId="152D4B3A" w14:textId="77777777" w:rsidR="00DB6E1F" w:rsidRDefault="00F666A6">
      <w:pPr>
        <w:pStyle w:val="ListParagraph"/>
        <w:numPr>
          <w:ilvl w:val="0"/>
          <w:numId w:val="92"/>
        </w:numPr>
        <w:tabs>
          <w:tab w:val="left" w:pos="1798"/>
          <w:tab w:val="left" w:pos="1799"/>
        </w:tabs>
        <w:ind w:left="1798"/>
        <w:rPr>
          <w:rFonts w:ascii="Symbol" w:hAnsi="Symbol"/>
        </w:rPr>
      </w:pPr>
      <w:r>
        <w:t>Healthcare</w:t>
      </w:r>
      <w:r>
        <w:rPr>
          <w:spacing w:val="-5"/>
        </w:rPr>
        <w:t xml:space="preserve"> </w:t>
      </w:r>
      <w:r>
        <w:rPr>
          <w:spacing w:val="-2"/>
        </w:rPr>
        <w:t>providers.</w:t>
      </w:r>
    </w:p>
    <w:p w14:paraId="05ABAE6A" w14:textId="77777777" w:rsidR="00DB6E1F" w:rsidRDefault="00F666A6">
      <w:pPr>
        <w:pStyle w:val="ListParagraph"/>
        <w:numPr>
          <w:ilvl w:val="0"/>
          <w:numId w:val="92"/>
        </w:numPr>
        <w:tabs>
          <w:tab w:val="left" w:pos="1798"/>
          <w:tab w:val="left" w:pos="1800"/>
        </w:tabs>
        <w:spacing w:before="61"/>
        <w:ind w:left="1799" w:hanging="362"/>
        <w:rPr>
          <w:rFonts w:ascii="Symbol" w:hAnsi="Symbol"/>
        </w:rPr>
      </w:pPr>
      <w:r>
        <w:rPr>
          <w:spacing w:val="-2"/>
        </w:rPr>
        <w:t>Employers.</w:t>
      </w:r>
    </w:p>
    <w:p w14:paraId="264ED0C8" w14:textId="77777777" w:rsidR="00DB6E1F" w:rsidRDefault="00F666A6">
      <w:pPr>
        <w:pStyle w:val="ListParagraph"/>
        <w:numPr>
          <w:ilvl w:val="0"/>
          <w:numId w:val="92"/>
        </w:numPr>
        <w:tabs>
          <w:tab w:val="left" w:pos="1799"/>
          <w:tab w:val="left" w:pos="1800"/>
        </w:tabs>
        <w:ind w:left="1799"/>
        <w:rPr>
          <w:rFonts w:ascii="Symbol" w:hAnsi="Symbol"/>
        </w:rPr>
      </w:pPr>
      <w:r>
        <w:t>12-Step</w:t>
      </w:r>
      <w:r>
        <w:rPr>
          <w:spacing w:val="-5"/>
        </w:rPr>
        <w:t xml:space="preserve"> </w:t>
      </w:r>
      <w:r>
        <w:rPr>
          <w:spacing w:val="-2"/>
        </w:rPr>
        <w:t>sponsor</w:t>
      </w:r>
      <w:r>
        <w:rPr>
          <w:spacing w:val="-2"/>
        </w:rPr>
        <w:t>s.</w:t>
      </w:r>
    </w:p>
    <w:p w14:paraId="38AC4BF1" w14:textId="77777777" w:rsidR="00DB6E1F" w:rsidRDefault="00F666A6">
      <w:pPr>
        <w:pStyle w:val="ListParagraph"/>
        <w:numPr>
          <w:ilvl w:val="0"/>
          <w:numId w:val="92"/>
        </w:numPr>
        <w:tabs>
          <w:tab w:val="left" w:pos="1799"/>
          <w:tab w:val="left" w:pos="1800"/>
        </w:tabs>
        <w:ind w:left="1799"/>
        <w:rPr>
          <w:rFonts w:ascii="Symbol" w:hAnsi="Symbol"/>
        </w:rPr>
      </w:pPr>
      <w:r>
        <w:t>Spiritual</w:t>
      </w:r>
      <w:r>
        <w:rPr>
          <w:spacing w:val="-7"/>
        </w:rPr>
        <w:t xml:space="preserve"> </w:t>
      </w:r>
      <w:r>
        <w:rPr>
          <w:spacing w:val="-2"/>
        </w:rPr>
        <w:t>advisors.</w:t>
      </w:r>
    </w:p>
    <w:p w14:paraId="44EA3ABC" w14:textId="77777777" w:rsidR="00DB6E1F" w:rsidRDefault="00F666A6">
      <w:pPr>
        <w:pStyle w:val="ListParagraph"/>
        <w:numPr>
          <w:ilvl w:val="0"/>
          <w:numId w:val="92"/>
        </w:numPr>
        <w:tabs>
          <w:tab w:val="left" w:pos="1799"/>
          <w:tab w:val="left" w:pos="1800"/>
        </w:tabs>
        <w:spacing w:before="59"/>
        <w:ind w:left="1799"/>
        <w:rPr>
          <w:rFonts w:ascii="Symbol" w:hAnsi="Symbol"/>
        </w:rPr>
      </w:pPr>
      <w:r>
        <w:t>Members</w:t>
      </w:r>
      <w:r>
        <w:rPr>
          <w:spacing w:val="-5"/>
        </w:rPr>
        <w:t xml:space="preserve"> </w:t>
      </w:r>
      <w:r>
        <w:t>of</w:t>
      </w:r>
      <w:r>
        <w:rPr>
          <w:spacing w:val="-5"/>
        </w:rPr>
        <w:t xml:space="preserve"> </w:t>
      </w:r>
      <w:r>
        <w:t>a</w:t>
      </w:r>
      <w:r>
        <w:rPr>
          <w:spacing w:val="-2"/>
        </w:rPr>
        <w:t xml:space="preserve"> </w:t>
      </w:r>
      <w:r>
        <w:t>church</w:t>
      </w:r>
      <w:r>
        <w:rPr>
          <w:spacing w:val="-5"/>
        </w:rPr>
        <w:t xml:space="preserve"> </w:t>
      </w:r>
      <w:r>
        <w:t>or</w:t>
      </w:r>
      <w:r>
        <w:rPr>
          <w:spacing w:val="-2"/>
        </w:rPr>
        <w:t xml:space="preserve"> </w:t>
      </w:r>
      <w:r>
        <w:t>spiritual</w:t>
      </w:r>
      <w:r>
        <w:rPr>
          <w:spacing w:val="-2"/>
        </w:rPr>
        <w:t xml:space="preserve"> community.</w:t>
      </w:r>
    </w:p>
    <w:p w14:paraId="68DC247F" w14:textId="77777777" w:rsidR="00DB6E1F" w:rsidRDefault="00F666A6">
      <w:pPr>
        <w:pStyle w:val="ListParagraph"/>
        <w:numPr>
          <w:ilvl w:val="0"/>
          <w:numId w:val="92"/>
        </w:numPr>
        <w:tabs>
          <w:tab w:val="left" w:pos="1799"/>
          <w:tab w:val="left" w:pos="1800"/>
        </w:tabs>
        <w:ind w:left="1799"/>
        <w:rPr>
          <w:rFonts w:ascii="Symbol" w:hAnsi="Symbol"/>
        </w:rPr>
      </w:pPr>
      <w:r>
        <w:rPr>
          <w:spacing w:val="-2"/>
        </w:rPr>
        <w:t>Neighbors.</w:t>
      </w:r>
    </w:p>
    <w:p w14:paraId="6071130C" w14:textId="77777777" w:rsidR="00DB6E1F" w:rsidRDefault="00F666A6">
      <w:pPr>
        <w:pStyle w:val="ListParagraph"/>
        <w:numPr>
          <w:ilvl w:val="0"/>
          <w:numId w:val="92"/>
        </w:numPr>
        <w:tabs>
          <w:tab w:val="left" w:pos="1799"/>
          <w:tab w:val="left" w:pos="1800"/>
        </w:tabs>
        <w:ind w:left="1799"/>
        <w:rPr>
          <w:rFonts w:ascii="Symbol" w:hAnsi="Symbol"/>
        </w:rPr>
      </w:pPr>
      <w:r>
        <w:t>Members</w:t>
      </w:r>
      <w:r>
        <w:rPr>
          <w:spacing w:val="-5"/>
        </w:rPr>
        <w:t xml:space="preserve"> </w:t>
      </w:r>
      <w:r>
        <w:t>of</w:t>
      </w:r>
      <w:r>
        <w:rPr>
          <w:spacing w:val="-6"/>
        </w:rPr>
        <w:t xml:space="preserve"> </w:t>
      </w:r>
      <w:r>
        <w:t>community</w:t>
      </w:r>
      <w:r>
        <w:rPr>
          <w:spacing w:val="-3"/>
        </w:rPr>
        <w:t xml:space="preserve"> </w:t>
      </w:r>
      <w:r>
        <w:rPr>
          <w:spacing w:val="-2"/>
        </w:rPr>
        <w:t>groups.</w:t>
      </w:r>
    </w:p>
    <w:p w14:paraId="6CF49750" w14:textId="77777777" w:rsidR="00DB6E1F" w:rsidRDefault="00DB6E1F">
      <w:pPr>
        <w:rPr>
          <w:rFonts w:ascii="Symbol" w:hAnsi="Symbol"/>
        </w:rPr>
        <w:sectPr w:rsidR="00DB6E1F">
          <w:pgSz w:w="12240" w:h="15840"/>
          <w:pgMar w:top="1200" w:right="0" w:bottom="780" w:left="0" w:header="763" w:footer="585" w:gutter="0"/>
          <w:cols w:space="720"/>
        </w:sectPr>
      </w:pPr>
    </w:p>
    <w:p w14:paraId="7E5DBDBD" w14:textId="77777777" w:rsidR="00DB6E1F" w:rsidRDefault="00DB6E1F">
      <w:pPr>
        <w:pStyle w:val="BodyText"/>
        <w:spacing w:before="10"/>
        <w:rPr>
          <w:sz w:val="10"/>
        </w:rPr>
      </w:pPr>
    </w:p>
    <w:p w14:paraId="6D44E83B" w14:textId="77777777" w:rsidR="00DB6E1F" w:rsidRDefault="00F666A6">
      <w:pPr>
        <w:pStyle w:val="ListParagraph"/>
        <w:numPr>
          <w:ilvl w:val="0"/>
          <w:numId w:val="92"/>
        </w:numPr>
        <w:tabs>
          <w:tab w:val="left" w:pos="1800"/>
          <w:tab w:val="left" w:pos="1801"/>
        </w:tabs>
        <w:spacing w:before="101"/>
        <w:ind w:left="1800"/>
        <w:rPr>
          <w:rFonts w:ascii="Symbol" w:hAnsi="Symbol"/>
        </w:rPr>
      </w:pPr>
      <w:r>
        <w:t>Participants</w:t>
      </w:r>
      <w:r>
        <w:rPr>
          <w:spacing w:val="-8"/>
        </w:rPr>
        <w:t xml:space="preserve"> </w:t>
      </w:r>
      <w:r>
        <w:t>in</w:t>
      </w:r>
      <w:r>
        <w:rPr>
          <w:spacing w:val="-6"/>
        </w:rPr>
        <w:t xml:space="preserve"> </w:t>
      </w:r>
      <w:r>
        <w:t>organized</w:t>
      </w:r>
      <w:r>
        <w:rPr>
          <w:spacing w:val="-8"/>
        </w:rPr>
        <w:t xml:space="preserve"> </w:t>
      </w:r>
      <w:r>
        <w:t>recreational</w:t>
      </w:r>
      <w:r>
        <w:rPr>
          <w:spacing w:val="-5"/>
        </w:rPr>
        <w:t xml:space="preserve"> </w:t>
      </w:r>
      <w:r>
        <w:rPr>
          <w:spacing w:val="-2"/>
        </w:rPr>
        <w:t>activities.</w:t>
      </w:r>
    </w:p>
    <w:p w14:paraId="078E00EB" w14:textId="77777777" w:rsidR="00DB6E1F" w:rsidRDefault="00F666A6">
      <w:pPr>
        <w:spacing w:before="161"/>
        <w:ind w:left="1439" w:right="1444"/>
      </w:pPr>
      <w:r>
        <w:rPr>
          <w:b/>
        </w:rPr>
        <w:t xml:space="preserve">Use motivational counseling strategies to explore current and potential sources of social support and how those supports could help clients maintain recovery and lifestyle changes. </w:t>
      </w:r>
      <w:r>
        <w:t>For example, family members</w:t>
      </w:r>
      <w:r>
        <w:rPr>
          <w:spacing w:val="-4"/>
        </w:rPr>
        <w:t xml:space="preserve"> </w:t>
      </w:r>
      <w:r>
        <w:t>can</w:t>
      </w:r>
      <w:r>
        <w:rPr>
          <w:spacing w:val="-3"/>
        </w:rPr>
        <w:t xml:space="preserve"> </w:t>
      </w:r>
      <w:r>
        <w:t>act</w:t>
      </w:r>
      <w:r>
        <w:rPr>
          <w:spacing w:val="-1"/>
        </w:rPr>
        <w:t xml:space="preserve"> </w:t>
      </w:r>
      <w:r>
        <w:t>as</w:t>
      </w:r>
      <w:r>
        <w:rPr>
          <w:spacing w:val="-4"/>
        </w:rPr>
        <w:t xml:space="preserve"> </w:t>
      </w:r>
      <w:r>
        <w:t>a</w:t>
      </w:r>
      <w:r>
        <w:rPr>
          <w:spacing w:val="-2"/>
        </w:rPr>
        <w:t xml:space="preserve"> </w:t>
      </w:r>
      <w:r>
        <w:t>warning</w:t>
      </w:r>
      <w:r>
        <w:rPr>
          <w:spacing w:val="-3"/>
        </w:rPr>
        <w:t xml:space="preserve"> </w:t>
      </w:r>
      <w:r>
        <w:t>system</w:t>
      </w:r>
      <w:r>
        <w:rPr>
          <w:spacing w:val="-1"/>
        </w:rPr>
        <w:t xml:space="preserve"> </w:t>
      </w:r>
      <w:r>
        <w:t>if</w:t>
      </w:r>
      <w:r>
        <w:rPr>
          <w:spacing w:val="-5"/>
        </w:rPr>
        <w:t xml:space="preserve"> </w:t>
      </w:r>
      <w:r>
        <w:t>they</w:t>
      </w:r>
      <w:r>
        <w:rPr>
          <w:spacing w:val="-1"/>
        </w:rPr>
        <w:t xml:space="preserve"> </w:t>
      </w:r>
      <w:r>
        <w:t>see</w:t>
      </w:r>
      <w:r>
        <w:rPr>
          <w:spacing w:val="-4"/>
        </w:rPr>
        <w:t xml:space="preserve"> </w:t>
      </w:r>
      <w:r>
        <w:t>early</w:t>
      </w:r>
      <w:r>
        <w:rPr>
          <w:spacing w:val="-3"/>
        </w:rPr>
        <w:t xml:space="preserve"> </w:t>
      </w:r>
      <w:r>
        <w:t>s</w:t>
      </w:r>
      <w:r>
        <w:t>igns</w:t>
      </w:r>
      <w:r>
        <w:rPr>
          <w:spacing w:val="-2"/>
        </w:rPr>
        <w:t xml:space="preserve"> </w:t>
      </w:r>
      <w:r>
        <w:t>of</w:t>
      </w:r>
      <w:r>
        <w:rPr>
          <w:spacing w:val="-2"/>
        </w:rPr>
        <w:t xml:space="preserve"> </w:t>
      </w:r>
      <w:r>
        <w:t>possible</w:t>
      </w:r>
      <w:r>
        <w:rPr>
          <w:spacing w:val="-4"/>
        </w:rPr>
        <w:t xml:space="preserve"> </w:t>
      </w:r>
      <w:r>
        <w:t>relapse.</w:t>
      </w:r>
      <w:r>
        <w:rPr>
          <w:spacing w:val="-5"/>
        </w:rPr>
        <w:t xml:space="preserve"> </w:t>
      </w:r>
      <w:r>
        <w:t>A</w:t>
      </w:r>
      <w:r>
        <w:rPr>
          <w:spacing w:val="-5"/>
        </w:rPr>
        <w:t xml:space="preserve"> </w:t>
      </w:r>
      <w:r>
        <w:t>peer</w:t>
      </w:r>
      <w:r>
        <w:rPr>
          <w:spacing w:val="-2"/>
        </w:rPr>
        <w:t xml:space="preserve"> </w:t>
      </w:r>
      <w:r>
        <w:t>recovery</w:t>
      </w:r>
      <w:r>
        <w:rPr>
          <w:spacing w:val="-1"/>
        </w:rPr>
        <w:t xml:space="preserve"> </w:t>
      </w:r>
      <w:r>
        <w:t>support specialist can link clients to alcohol- and drug-free recreational events in the community or other recovery support. Exhibit 7.5 describes a brief clinical scenario with a client who lacks social support.</w:t>
      </w:r>
    </w:p>
    <w:p w14:paraId="6DC5F6FC" w14:textId="77777777" w:rsidR="00DB6E1F" w:rsidRDefault="00DB6E1F">
      <w:pPr>
        <w:pStyle w:val="BodyText"/>
        <w:spacing w:before="3" w:after="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212288A" w14:textId="77777777">
        <w:trPr>
          <w:trHeight w:val="503"/>
        </w:trPr>
        <w:tc>
          <w:tcPr>
            <w:tcW w:w="9350" w:type="dxa"/>
            <w:shd w:val="clear" w:color="auto" w:fill="050505"/>
          </w:tcPr>
          <w:p w14:paraId="5EA1038D" w14:textId="77777777" w:rsidR="00DB6E1F" w:rsidRDefault="00F666A6">
            <w:pPr>
              <w:pStyle w:val="TableParagraph"/>
              <w:spacing w:before="102"/>
              <w:rPr>
                <w:sz w:val="24"/>
              </w:rPr>
            </w:pPr>
            <w:r>
              <w:rPr>
                <w:color w:val="FFFFFF"/>
                <w:sz w:val="24"/>
              </w:rPr>
              <w:t>Exhibit</w:t>
            </w:r>
            <w:r>
              <w:rPr>
                <w:color w:val="FFFFFF"/>
                <w:spacing w:val="-3"/>
                <w:sz w:val="24"/>
              </w:rPr>
              <w:t xml:space="preserve"> </w:t>
            </w:r>
            <w:r>
              <w:rPr>
                <w:color w:val="FFFFFF"/>
                <w:sz w:val="24"/>
              </w:rPr>
              <w:t>7.5.</w:t>
            </w:r>
            <w:r>
              <w:rPr>
                <w:color w:val="FFFFFF"/>
                <w:spacing w:val="-1"/>
                <w:sz w:val="24"/>
              </w:rPr>
              <w:t xml:space="preserve"> </w:t>
            </w:r>
            <w:r>
              <w:rPr>
                <w:color w:val="FFFFFF"/>
                <w:sz w:val="24"/>
              </w:rPr>
              <w:t>Susan’s</w:t>
            </w:r>
            <w:r>
              <w:rPr>
                <w:color w:val="FFFFFF"/>
                <w:spacing w:val="-4"/>
                <w:sz w:val="24"/>
              </w:rPr>
              <w:t xml:space="preserve"> </w:t>
            </w:r>
            <w:r>
              <w:rPr>
                <w:color w:val="FFFFFF"/>
                <w:sz w:val="24"/>
              </w:rPr>
              <w:t>Story: A Client</w:t>
            </w:r>
            <w:r>
              <w:rPr>
                <w:color w:val="FFFFFF"/>
                <w:spacing w:val="-3"/>
                <w:sz w:val="24"/>
              </w:rPr>
              <w:t xml:space="preserve"> </w:t>
            </w:r>
            <w:r>
              <w:rPr>
                <w:color w:val="FFFFFF"/>
                <w:sz w:val="24"/>
              </w:rPr>
              <w:t>Lacking</w:t>
            </w:r>
            <w:r>
              <w:rPr>
                <w:color w:val="FFFFFF"/>
                <w:spacing w:val="-1"/>
                <w:sz w:val="24"/>
              </w:rPr>
              <w:t xml:space="preserve"> </w:t>
            </w:r>
            <w:r>
              <w:rPr>
                <w:color w:val="FFFFFF"/>
                <w:sz w:val="24"/>
              </w:rPr>
              <w:t xml:space="preserve">Social </w:t>
            </w:r>
            <w:r>
              <w:rPr>
                <w:color w:val="FFFFFF"/>
                <w:spacing w:val="-2"/>
                <w:sz w:val="24"/>
              </w:rPr>
              <w:t>Support</w:t>
            </w:r>
          </w:p>
        </w:tc>
      </w:tr>
      <w:tr w:rsidR="00DB6E1F" w14:paraId="50314A59" w14:textId="77777777">
        <w:trPr>
          <w:trHeight w:val="7679"/>
        </w:trPr>
        <w:tc>
          <w:tcPr>
            <w:tcW w:w="9350" w:type="dxa"/>
          </w:tcPr>
          <w:p w14:paraId="6DAA1AAF" w14:textId="77777777" w:rsidR="00DB6E1F" w:rsidRDefault="00F666A6">
            <w:pPr>
              <w:pStyle w:val="TableParagraph"/>
              <w:ind w:right="117"/>
              <w:rPr>
                <w:sz w:val="20"/>
              </w:rPr>
            </w:pPr>
            <w:r>
              <w:rPr>
                <w:b/>
                <w:sz w:val="20"/>
              </w:rPr>
              <w:t>Client</w:t>
            </w:r>
            <w:r>
              <w:rPr>
                <w:b/>
                <w:spacing w:val="-3"/>
                <w:sz w:val="20"/>
              </w:rPr>
              <w:t xml:space="preserve"> </w:t>
            </w:r>
            <w:r>
              <w:rPr>
                <w:b/>
                <w:sz w:val="20"/>
              </w:rPr>
              <w:t>context:</w:t>
            </w:r>
            <w:r>
              <w:rPr>
                <w:b/>
                <w:spacing w:val="-3"/>
                <w:sz w:val="20"/>
              </w:rPr>
              <w:t xml:space="preserve"> </w:t>
            </w:r>
            <w:r>
              <w:rPr>
                <w:sz w:val="20"/>
              </w:rPr>
              <w:t>Susan</w:t>
            </w:r>
            <w:r>
              <w:rPr>
                <w:spacing w:val="-2"/>
                <w:sz w:val="20"/>
              </w:rPr>
              <w:t xml:space="preserve"> </w:t>
            </w:r>
            <w:r>
              <w:rPr>
                <w:sz w:val="20"/>
              </w:rPr>
              <w:t>is</w:t>
            </w:r>
            <w:r>
              <w:rPr>
                <w:spacing w:val="-4"/>
                <w:sz w:val="20"/>
              </w:rPr>
              <w:t xml:space="preserve"> </w:t>
            </w:r>
            <w:r>
              <w:rPr>
                <w:sz w:val="20"/>
              </w:rPr>
              <w:t>41</w:t>
            </w:r>
            <w:r>
              <w:rPr>
                <w:spacing w:val="-3"/>
                <w:sz w:val="20"/>
              </w:rPr>
              <w:t xml:space="preserve"> </w:t>
            </w:r>
            <w:r>
              <w:rPr>
                <w:sz w:val="20"/>
              </w:rPr>
              <w:t>years</w:t>
            </w:r>
            <w:r>
              <w:rPr>
                <w:spacing w:val="-4"/>
                <w:sz w:val="20"/>
              </w:rPr>
              <w:t xml:space="preserve"> </w:t>
            </w:r>
            <w:r>
              <w:rPr>
                <w:sz w:val="20"/>
              </w:rPr>
              <w:t>old</w:t>
            </w:r>
            <w:r>
              <w:rPr>
                <w:spacing w:val="-2"/>
                <w:sz w:val="20"/>
              </w:rPr>
              <w:t xml:space="preserve"> </w:t>
            </w:r>
            <w:r>
              <w:rPr>
                <w:sz w:val="20"/>
              </w:rPr>
              <w:t>and</w:t>
            </w:r>
            <w:r>
              <w:rPr>
                <w:spacing w:val="-2"/>
                <w:sz w:val="20"/>
              </w:rPr>
              <w:t xml:space="preserve"> </w:t>
            </w:r>
            <w:r>
              <w:rPr>
                <w:sz w:val="20"/>
              </w:rPr>
              <w:t>has</w:t>
            </w:r>
            <w:r>
              <w:rPr>
                <w:spacing w:val="-4"/>
                <w:sz w:val="20"/>
              </w:rPr>
              <w:t xml:space="preserve"> </w:t>
            </w:r>
            <w:r>
              <w:rPr>
                <w:sz w:val="20"/>
              </w:rPr>
              <w:t>a</w:t>
            </w:r>
            <w:r>
              <w:rPr>
                <w:spacing w:val="-3"/>
                <w:sz w:val="20"/>
              </w:rPr>
              <w:t xml:space="preserve"> </w:t>
            </w:r>
            <w:r>
              <w:rPr>
                <w:sz w:val="20"/>
              </w:rPr>
              <w:t>long</w:t>
            </w:r>
            <w:r>
              <w:rPr>
                <w:spacing w:val="-3"/>
                <w:sz w:val="20"/>
              </w:rPr>
              <w:t xml:space="preserve"> </w:t>
            </w:r>
            <w:r>
              <w:rPr>
                <w:sz w:val="20"/>
              </w:rPr>
              <w:t>history</w:t>
            </w:r>
            <w:r>
              <w:rPr>
                <w:spacing w:val="-4"/>
                <w:sz w:val="20"/>
              </w:rPr>
              <w:t xml:space="preserve"> </w:t>
            </w:r>
            <w:r>
              <w:rPr>
                <w:sz w:val="20"/>
              </w:rPr>
              <w:t>of</w:t>
            </w:r>
            <w:r>
              <w:rPr>
                <w:spacing w:val="-4"/>
                <w:sz w:val="20"/>
              </w:rPr>
              <w:t xml:space="preserve"> </w:t>
            </w:r>
            <w:r>
              <w:rPr>
                <w:sz w:val="20"/>
              </w:rPr>
              <w:t>AUD</w:t>
            </w:r>
            <w:r>
              <w:rPr>
                <w:spacing w:val="-3"/>
                <w:sz w:val="20"/>
              </w:rPr>
              <w:t xml:space="preserve"> </w:t>
            </w:r>
            <w:r>
              <w:rPr>
                <w:sz w:val="20"/>
              </w:rPr>
              <w:t>and</w:t>
            </w:r>
            <w:r>
              <w:rPr>
                <w:spacing w:val="-2"/>
                <w:sz w:val="20"/>
              </w:rPr>
              <w:t xml:space="preserve"> </w:t>
            </w:r>
            <w:r>
              <w:rPr>
                <w:sz w:val="20"/>
              </w:rPr>
              <w:t>multiple</w:t>
            </w:r>
            <w:r>
              <w:rPr>
                <w:spacing w:val="-4"/>
                <w:sz w:val="20"/>
              </w:rPr>
              <w:t xml:space="preserve"> </w:t>
            </w:r>
            <w:r>
              <w:rPr>
                <w:sz w:val="20"/>
              </w:rPr>
              <w:t>treatment</w:t>
            </w:r>
            <w:r>
              <w:rPr>
                <w:spacing w:val="-3"/>
                <w:sz w:val="20"/>
              </w:rPr>
              <w:t xml:space="preserve"> </w:t>
            </w:r>
            <w:r>
              <w:rPr>
                <w:sz w:val="20"/>
              </w:rPr>
              <w:t>episodes. The</w:t>
            </w:r>
            <w:r>
              <w:rPr>
                <w:spacing w:val="-4"/>
                <w:sz w:val="20"/>
              </w:rPr>
              <w:t xml:space="preserve"> </w:t>
            </w:r>
            <w:r>
              <w:rPr>
                <w:sz w:val="20"/>
              </w:rPr>
              <w:t>longest period Susan has been able to maintain abstinence from alcohol has been 1 month. She has tried to participate in Alcoholics Anonymous (AA); however, she finds that most of the meetings she can get to without a car are primarily attended by men, and</w:t>
            </w:r>
            <w:r>
              <w:rPr>
                <w:sz w:val="20"/>
              </w:rPr>
              <w:t xml:space="preserve"> she does not feel comfortable there. Susan’s mother has been diagnosed with schizophrenia. Susan reports that her father has been diagnosed with AUD. Her father sexually abused her for years</w:t>
            </w:r>
            <w:r>
              <w:rPr>
                <w:spacing w:val="-1"/>
                <w:sz w:val="20"/>
              </w:rPr>
              <w:t xml:space="preserve"> </w:t>
            </w:r>
            <w:r>
              <w:rPr>
                <w:sz w:val="20"/>
              </w:rPr>
              <w:t>when she</w:t>
            </w:r>
            <w:r>
              <w:rPr>
                <w:spacing w:val="-1"/>
                <w:sz w:val="20"/>
              </w:rPr>
              <w:t xml:space="preserve"> </w:t>
            </w:r>
            <w:r>
              <w:rPr>
                <w:sz w:val="20"/>
              </w:rPr>
              <w:t>was</w:t>
            </w:r>
            <w:r>
              <w:rPr>
                <w:spacing w:val="-1"/>
                <w:sz w:val="20"/>
              </w:rPr>
              <w:t xml:space="preserve"> </w:t>
            </w:r>
            <w:r>
              <w:rPr>
                <w:sz w:val="20"/>
              </w:rPr>
              <w:t>a child. Susan is</w:t>
            </w:r>
            <w:r>
              <w:rPr>
                <w:spacing w:val="-1"/>
                <w:sz w:val="20"/>
              </w:rPr>
              <w:t xml:space="preserve"> </w:t>
            </w:r>
            <w:r>
              <w:rPr>
                <w:sz w:val="20"/>
              </w:rPr>
              <w:t>divorced and has</w:t>
            </w:r>
            <w:r>
              <w:rPr>
                <w:spacing w:val="-1"/>
                <w:sz w:val="20"/>
              </w:rPr>
              <w:t xml:space="preserve"> </w:t>
            </w:r>
            <w:r>
              <w:rPr>
                <w:sz w:val="20"/>
              </w:rPr>
              <w:t>only</w:t>
            </w:r>
            <w:r>
              <w:rPr>
                <w:spacing w:val="-1"/>
                <w:sz w:val="20"/>
              </w:rPr>
              <w:t xml:space="preserve"> </w:t>
            </w:r>
            <w:r>
              <w:rPr>
                <w:sz w:val="20"/>
              </w:rPr>
              <w:t>one</w:t>
            </w:r>
            <w:r>
              <w:rPr>
                <w:spacing w:val="-1"/>
                <w:sz w:val="20"/>
              </w:rPr>
              <w:t xml:space="preserve"> </w:t>
            </w:r>
            <w:r>
              <w:rPr>
                <w:sz w:val="20"/>
              </w:rPr>
              <w:t xml:space="preserve">friend </w:t>
            </w:r>
            <w:r>
              <w:rPr>
                <w:sz w:val="20"/>
              </w:rPr>
              <w:t>she</w:t>
            </w:r>
            <w:r>
              <w:rPr>
                <w:spacing w:val="-1"/>
                <w:sz w:val="20"/>
              </w:rPr>
              <w:t xml:space="preserve"> </w:t>
            </w:r>
            <w:r>
              <w:rPr>
                <w:sz w:val="20"/>
              </w:rPr>
              <w:t>talks</w:t>
            </w:r>
            <w:r>
              <w:rPr>
                <w:spacing w:val="-1"/>
                <w:sz w:val="20"/>
              </w:rPr>
              <w:t xml:space="preserve"> </w:t>
            </w:r>
            <w:r>
              <w:rPr>
                <w:sz w:val="20"/>
              </w:rPr>
              <w:t>to, infrequently. Her only source of regular support is her father.</w:t>
            </w:r>
          </w:p>
          <w:p w14:paraId="31CEA2A3" w14:textId="77777777" w:rsidR="00DB6E1F" w:rsidRDefault="00F666A6">
            <w:pPr>
              <w:pStyle w:val="TableParagraph"/>
              <w:spacing w:before="120"/>
              <w:ind w:right="169"/>
              <w:rPr>
                <w:sz w:val="20"/>
              </w:rPr>
            </w:pPr>
            <w:r>
              <w:rPr>
                <w:sz w:val="20"/>
              </w:rPr>
              <w:t>Susan recently participated in an IOP addiction treatment program where she also attended a Seeking Safety support</w:t>
            </w:r>
            <w:r>
              <w:rPr>
                <w:spacing w:val="-2"/>
                <w:sz w:val="20"/>
              </w:rPr>
              <w:t xml:space="preserve"> </w:t>
            </w:r>
            <w:r>
              <w:rPr>
                <w:sz w:val="20"/>
              </w:rPr>
              <w:t>group</w:t>
            </w:r>
            <w:r>
              <w:rPr>
                <w:spacing w:val="-2"/>
                <w:sz w:val="20"/>
              </w:rPr>
              <w:t xml:space="preserve"> </w:t>
            </w:r>
            <w:r>
              <w:rPr>
                <w:sz w:val="20"/>
              </w:rPr>
              <w:t>for</w:t>
            </w:r>
            <w:r>
              <w:rPr>
                <w:spacing w:val="-3"/>
                <w:sz w:val="20"/>
              </w:rPr>
              <w:t xml:space="preserve"> </w:t>
            </w:r>
            <w:r>
              <w:rPr>
                <w:sz w:val="20"/>
              </w:rPr>
              <w:t>women</w:t>
            </w:r>
            <w:r>
              <w:rPr>
                <w:spacing w:val="-2"/>
                <w:sz w:val="20"/>
              </w:rPr>
              <w:t xml:space="preserve"> </w:t>
            </w:r>
            <w:r>
              <w:rPr>
                <w:sz w:val="20"/>
              </w:rPr>
              <w:t>with</w:t>
            </w:r>
            <w:r>
              <w:rPr>
                <w:spacing w:val="-2"/>
                <w:sz w:val="20"/>
              </w:rPr>
              <w:t xml:space="preserve"> </w:t>
            </w:r>
            <w:r>
              <w:rPr>
                <w:sz w:val="20"/>
              </w:rPr>
              <w:t>histories</w:t>
            </w:r>
            <w:r>
              <w:rPr>
                <w:spacing w:val="-4"/>
                <w:sz w:val="20"/>
              </w:rPr>
              <w:t xml:space="preserve"> </w:t>
            </w:r>
            <w:r>
              <w:rPr>
                <w:sz w:val="20"/>
              </w:rPr>
              <w:t>of</w:t>
            </w:r>
            <w:r>
              <w:rPr>
                <w:spacing w:val="-4"/>
                <w:sz w:val="20"/>
              </w:rPr>
              <w:t xml:space="preserve"> </w:t>
            </w:r>
            <w:r>
              <w:rPr>
                <w:sz w:val="20"/>
              </w:rPr>
              <w:t>trauma.</w:t>
            </w:r>
            <w:r>
              <w:rPr>
                <w:spacing w:val="-5"/>
                <w:sz w:val="20"/>
              </w:rPr>
              <w:t xml:space="preserve"> </w:t>
            </w:r>
            <w:r>
              <w:rPr>
                <w:sz w:val="20"/>
              </w:rPr>
              <w:t>(For</w:t>
            </w:r>
            <w:r>
              <w:rPr>
                <w:spacing w:val="-3"/>
                <w:sz w:val="20"/>
              </w:rPr>
              <w:t xml:space="preserve"> </w:t>
            </w:r>
            <w:r>
              <w:rPr>
                <w:sz w:val="20"/>
              </w:rPr>
              <w:t>more</w:t>
            </w:r>
            <w:r>
              <w:rPr>
                <w:spacing w:val="-4"/>
                <w:sz w:val="20"/>
              </w:rPr>
              <w:t xml:space="preserve"> </w:t>
            </w:r>
            <w:r>
              <w:rPr>
                <w:sz w:val="20"/>
              </w:rPr>
              <w:t>information</w:t>
            </w:r>
            <w:r>
              <w:rPr>
                <w:spacing w:val="-2"/>
                <w:sz w:val="20"/>
              </w:rPr>
              <w:t xml:space="preserve"> </w:t>
            </w:r>
            <w:r>
              <w:rPr>
                <w:sz w:val="20"/>
              </w:rPr>
              <w:t>about</w:t>
            </w:r>
            <w:r>
              <w:rPr>
                <w:spacing w:val="-3"/>
                <w:sz w:val="20"/>
              </w:rPr>
              <w:t xml:space="preserve"> </w:t>
            </w:r>
            <w:r>
              <w:rPr>
                <w:sz w:val="20"/>
              </w:rPr>
              <w:t>Seeking</w:t>
            </w:r>
            <w:r>
              <w:rPr>
                <w:spacing w:val="-1"/>
                <w:sz w:val="20"/>
              </w:rPr>
              <w:t xml:space="preserve"> </w:t>
            </w:r>
            <w:r>
              <w:rPr>
                <w:sz w:val="20"/>
              </w:rPr>
              <w:t>Safety,</w:t>
            </w:r>
            <w:r>
              <w:rPr>
                <w:spacing w:val="-2"/>
                <w:sz w:val="20"/>
              </w:rPr>
              <w:t xml:space="preserve"> </w:t>
            </w:r>
            <w:r>
              <w:rPr>
                <w:sz w:val="20"/>
              </w:rPr>
              <w:t>see</w:t>
            </w:r>
            <w:r>
              <w:rPr>
                <w:spacing w:val="-4"/>
                <w:sz w:val="20"/>
              </w:rPr>
              <w:t xml:space="preserve"> </w:t>
            </w:r>
            <w:r>
              <w:rPr>
                <w:sz w:val="20"/>
              </w:rPr>
              <w:t>Chapter</w:t>
            </w:r>
            <w:r>
              <w:rPr>
                <w:spacing w:val="-3"/>
                <w:sz w:val="20"/>
              </w:rPr>
              <w:t xml:space="preserve"> </w:t>
            </w:r>
            <w:r>
              <w:rPr>
                <w:sz w:val="20"/>
              </w:rPr>
              <w:t xml:space="preserve">6 of TIP 57: </w:t>
            </w:r>
            <w:r>
              <w:rPr>
                <w:i/>
                <w:sz w:val="20"/>
              </w:rPr>
              <w:t xml:space="preserve">Trauma-Informed Care in Behavioral Health Services </w:t>
            </w:r>
            <w:r>
              <w:rPr>
                <w:sz w:val="20"/>
              </w:rPr>
              <w:t xml:space="preserve">[SAMHSA, 2014b].) This is the first treatment experience in which Susan’s history of trauma has been addressed simultaneously with her AUD. Susan </w:t>
            </w:r>
            <w:r>
              <w:rPr>
                <w:sz w:val="20"/>
              </w:rPr>
              <w:t>completes the program and is referred to outpatient counseling. Once she leaves the IOP treatment program, however, her only recovery support is her outpatient counselor, Arlene.</w:t>
            </w:r>
          </w:p>
          <w:p w14:paraId="5F4212D1" w14:textId="77777777" w:rsidR="00DB6E1F" w:rsidRDefault="00F666A6">
            <w:pPr>
              <w:pStyle w:val="TableParagraph"/>
              <w:spacing w:before="119"/>
              <w:ind w:right="169"/>
              <w:rPr>
                <w:sz w:val="20"/>
              </w:rPr>
            </w:pPr>
            <w:r>
              <w:rPr>
                <w:b/>
                <w:sz w:val="20"/>
              </w:rPr>
              <w:t>Counseling</w:t>
            </w:r>
            <w:r>
              <w:rPr>
                <w:b/>
                <w:spacing w:val="-4"/>
                <w:sz w:val="20"/>
              </w:rPr>
              <w:t xml:space="preserve"> </w:t>
            </w:r>
            <w:r>
              <w:rPr>
                <w:b/>
                <w:sz w:val="20"/>
              </w:rPr>
              <w:t>strategies:</w:t>
            </w:r>
            <w:r>
              <w:rPr>
                <w:b/>
                <w:spacing w:val="-3"/>
                <w:sz w:val="20"/>
              </w:rPr>
              <w:t xml:space="preserve"> </w:t>
            </w:r>
            <w:r>
              <w:rPr>
                <w:sz w:val="20"/>
              </w:rPr>
              <w:t>Arlene</w:t>
            </w:r>
            <w:r>
              <w:rPr>
                <w:spacing w:val="-2"/>
                <w:sz w:val="20"/>
              </w:rPr>
              <w:t xml:space="preserve"> </w:t>
            </w:r>
            <w:r>
              <w:rPr>
                <w:sz w:val="20"/>
              </w:rPr>
              <w:t>recognizes</w:t>
            </w:r>
            <w:r>
              <w:rPr>
                <w:spacing w:val="-4"/>
                <w:sz w:val="20"/>
              </w:rPr>
              <w:t xml:space="preserve"> </w:t>
            </w:r>
            <w:r>
              <w:rPr>
                <w:sz w:val="20"/>
              </w:rPr>
              <w:t>that</w:t>
            </w:r>
            <w:r>
              <w:rPr>
                <w:spacing w:val="-3"/>
                <w:sz w:val="20"/>
              </w:rPr>
              <w:t xml:space="preserve"> </w:t>
            </w:r>
            <w:r>
              <w:rPr>
                <w:sz w:val="20"/>
              </w:rPr>
              <w:t>Susan</w:t>
            </w:r>
            <w:r>
              <w:rPr>
                <w:spacing w:val="-2"/>
                <w:sz w:val="20"/>
              </w:rPr>
              <w:t xml:space="preserve"> </w:t>
            </w:r>
            <w:r>
              <w:rPr>
                <w:sz w:val="20"/>
              </w:rPr>
              <w:t>lacks</w:t>
            </w:r>
            <w:r>
              <w:rPr>
                <w:spacing w:val="-4"/>
                <w:sz w:val="20"/>
              </w:rPr>
              <w:t xml:space="preserve"> </w:t>
            </w:r>
            <w:r>
              <w:rPr>
                <w:sz w:val="20"/>
              </w:rPr>
              <w:t>an effective</w:t>
            </w:r>
            <w:r>
              <w:rPr>
                <w:spacing w:val="-4"/>
                <w:sz w:val="20"/>
              </w:rPr>
              <w:t xml:space="preserve"> </w:t>
            </w:r>
            <w:r>
              <w:rPr>
                <w:sz w:val="20"/>
              </w:rPr>
              <w:t>social</w:t>
            </w:r>
            <w:r>
              <w:rPr>
                <w:spacing w:val="-3"/>
                <w:sz w:val="20"/>
              </w:rPr>
              <w:t xml:space="preserve"> </w:t>
            </w:r>
            <w:r>
              <w:rPr>
                <w:sz w:val="20"/>
              </w:rPr>
              <w:t>support</w:t>
            </w:r>
            <w:r>
              <w:rPr>
                <w:spacing w:val="-3"/>
                <w:sz w:val="20"/>
              </w:rPr>
              <w:t xml:space="preserve"> </w:t>
            </w:r>
            <w:r>
              <w:rPr>
                <w:sz w:val="20"/>
              </w:rPr>
              <w:t>network</w:t>
            </w:r>
            <w:r>
              <w:rPr>
                <w:spacing w:val="-2"/>
                <w:sz w:val="20"/>
              </w:rPr>
              <w:t xml:space="preserve"> </w:t>
            </w:r>
            <w:r>
              <w:rPr>
                <w:sz w:val="20"/>
              </w:rPr>
              <w:t>that</w:t>
            </w:r>
            <w:r>
              <w:rPr>
                <w:spacing w:val="-3"/>
                <w:sz w:val="20"/>
              </w:rPr>
              <w:t xml:space="preserve"> </w:t>
            </w:r>
            <w:r>
              <w:rPr>
                <w:sz w:val="20"/>
              </w:rPr>
              <w:t>can</w:t>
            </w:r>
            <w:r>
              <w:rPr>
                <w:spacing w:val="-2"/>
                <w:sz w:val="20"/>
              </w:rPr>
              <w:t xml:space="preserve"> </w:t>
            </w:r>
            <w:r>
              <w:rPr>
                <w:sz w:val="20"/>
              </w:rPr>
              <w:t>help</w:t>
            </w:r>
            <w:r>
              <w:rPr>
                <w:spacing w:val="-2"/>
                <w:sz w:val="20"/>
              </w:rPr>
              <w:t xml:space="preserve"> </w:t>
            </w:r>
            <w:r>
              <w:rPr>
                <w:sz w:val="20"/>
              </w:rPr>
              <w:t>her maintain</w:t>
            </w:r>
            <w:r>
              <w:rPr>
                <w:spacing w:val="-1"/>
                <w:sz w:val="20"/>
              </w:rPr>
              <w:t xml:space="preserve"> </w:t>
            </w:r>
            <w:r>
              <w:rPr>
                <w:sz w:val="20"/>
              </w:rPr>
              <w:t>the</w:t>
            </w:r>
            <w:r>
              <w:rPr>
                <w:spacing w:val="-3"/>
                <w:sz w:val="20"/>
              </w:rPr>
              <w:t xml:space="preserve"> </w:t>
            </w:r>
            <w:r>
              <w:rPr>
                <w:sz w:val="20"/>
              </w:rPr>
              <w:t>progress</w:t>
            </w:r>
            <w:r>
              <w:rPr>
                <w:spacing w:val="-3"/>
                <w:sz w:val="20"/>
              </w:rPr>
              <w:t xml:space="preserve"> </w:t>
            </w:r>
            <w:r>
              <w:rPr>
                <w:sz w:val="20"/>
              </w:rPr>
              <w:t>she made</w:t>
            </w:r>
            <w:r>
              <w:rPr>
                <w:spacing w:val="-3"/>
                <w:sz w:val="20"/>
              </w:rPr>
              <w:t xml:space="preserve"> </w:t>
            </w:r>
            <w:r>
              <w:rPr>
                <w:sz w:val="20"/>
              </w:rPr>
              <w:t>in</w:t>
            </w:r>
            <w:r>
              <w:rPr>
                <w:spacing w:val="-1"/>
                <w:sz w:val="20"/>
              </w:rPr>
              <w:t xml:space="preserve"> </w:t>
            </w:r>
            <w:r>
              <w:rPr>
                <w:sz w:val="20"/>
              </w:rPr>
              <w:t>the</w:t>
            </w:r>
            <w:r>
              <w:rPr>
                <w:spacing w:val="-3"/>
                <w:sz w:val="20"/>
              </w:rPr>
              <w:t xml:space="preserve"> </w:t>
            </w:r>
            <w:r>
              <w:rPr>
                <w:sz w:val="20"/>
              </w:rPr>
              <w:t>IOP</w:t>
            </w:r>
            <w:r>
              <w:rPr>
                <w:spacing w:val="-2"/>
                <w:sz w:val="20"/>
              </w:rPr>
              <w:t xml:space="preserve"> </w:t>
            </w:r>
            <w:r>
              <w:rPr>
                <w:sz w:val="20"/>
              </w:rPr>
              <w:t>program.</w:t>
            </w:r>
            <w:r>
              <w:rPr>
                <w:spacing w:val="-3"/>
                <w:sz w:val="20"/>
              </w:rPr>
              <w:t xml:space="preserve"> </w:t>
            </w:r>
            <w:r>
              <w:rPr>
                <w:sz w:val="20"/>
              </w:rPr>
              <w:t>Arlene explores</w:t>
            </w:r>
            <w:r>
              <w:rPr>
                <w:spacing w:val="-1"/>
                <w:sz w:val="20"/>
              </w:rPr>
              <w:t xml:space="preserve"> </w:t>
            </w:r>
            <w:r>
              <w:rPr>
                <w:sz w:val="20"/>
              </w:rPr>
              <w:t>Susan’s</w:t>
            </w:r>
            <w:r>
              <w:rPr>
                <w:spacing w:val="-3"/>
                <w:sz w:val="20"/>
              </w:rPr>
              <w:t xml:space="preserve"> </w:t>
            </w:r>
            <w:r>
              <w:rPr>
                <w:sz w:val="20"/>
              </w:rPr>
              <w:t>recent</w:t>
            </w:r>
            <w:r>
              <w:rPr>
                <w:spacing w:val="-2"/>
                <w:sz w:val="20"/>
              </w:rPr>
              <w:t xml:space="preserve"> </w:t>
            </w:r>
            <w:r>
              <w:rPr>
                <w:sz w:val="20"/>
              </w:rPr>
              <w:t>treatment</w:t>
            </w:r>
            <w:r>
              <w:rPr>
                <w:spacing w:val="-2"/>
                <w:sz w:val="20"/>
              </w:rPr>
              <w:t xml:space="preserve"> </w:t>
            </w:r>
            <w:r>
              <w:rPr>
                <w:sz w:val="20"/>
              </w:rPr>
              <w:t>experience,</w:t>
            </w:r>
            <w:r>
              <w:rPr>
                <w:spacing w:val="-1"/>
                <w:sz w:val="20"/>
              </w:rPr>
              <w:t xml:space="preserve"> </w:t>
            </w:r>
            <w:r>
              <w:rPr>
                <w:sz w:val="20"/>
              </w:rPr>
              <w:t xml:space="preserve">her prior involvement in AA, and her transportation needs. She affirms Susan’s persistence in returning to treatment </w:t>
            </w:r>
            <w:r>
              <w:rPr>
                <w:sz w:val="20"/>
              </w:rPr>
              <w:t>and completing the IOP program and then elicits from Susan what she thinks was different for her this time in treatment. Susan says that she felt safe and supported by the women in the Seeking Safety group.</w:t>
            </w:r>
          </w:p>
          <w:p w14:paraId="04D8C055" w14:textId="77777777" w:rsidR="00DB6E1F" w:rsidRDefault="00F666A6">
            <w:pPr>
              <w:pStyle w:val="TableParagraph"/>
              <w:spacing w:before="121"/>
              <w:ind w:right="169"/>
              <w:rPr>
                <w:sz w:val="20"/>
              </w:rPr>
            </w:pPr>
            <w:r>
              <w:rPr>
                <w:sz w:val="20"/>
              </w:rPr>
              <w:t>Arlene works with Susan to develop a plan to re-create that experience of support now that she is back home. The plan includes introducing Susan to a peer recovery support specialist who can help Susan remove any barriers to becoming more engaged in commun</w:t>
            </w:r>
            <w:r>
              <w:rPr>
                <w:sz w:val="20"/>
              </w:rPr>
              <w:t>ity-based recovery support services, like transportation. Arlene also suggests a menu of social support options to Susan, including a Women for Sobriety group, a small women’s AA meeting, and an outpatient trauma recovery support group. Finally, Arlene let</w:t>
            </w:r>
            <w:r>
              <w:rPr>
                <w:sz w:val="20"/>
              </w:rPr>
              <w:t>s Susan know that she is available by phone and between sessions until Susan has connected with other women who will be part of</w:t>
            </w:r>
            <w:r>
              <w:rPr>
                <w:spacing w:val="-4"/>
                <w:sz w:val="20"/>
              </w:rPr>
              <w:t xml:space="preserve"> </w:t>
            </w:r>
            <w:r>
              <w:rPr>
                <w:sz w:val="20"/>
              </w:rPr>
              <w:t>her</w:t>
            </w:r>
            <w:r>
              <w:rPr>
                <w:spacing w:val="-3"/>
                <w:sz w:val="20"/>
              </w:rPr>
              <w:t xml:space="preserve"> </w:t>
            </w:r>
            <w:r>
              <w:rPr>
                <w:sz w:val="20"/>
              </w:rPr>
              <w:t>ongoing</w:t>
            </w:r>
            <w:r>
              <w:rPr>
                <w:spacing w:val="-3"/>
                <w:sz w:val="20"/>
              </w:rPr>
              <w:t xml:space="preserve"> </w:t>
            </w:r>
            <w:r>
              <w:rPr>
                <w:sz w:val="20"/>
              </w:rPr>
              <w:t>support</w:t>
            </w:r>
            <w:r>
              <w:rPr>
                <w:spacing w:val="-3"/>
                <w:sz w:val="20"/>
              </w:rPr>
              <w:t xml:space="preserve"> </w:t>
            </w:r>
            <w:r>
              <w:rPr>
                <w:sz w:val="20"/>
              </w:rPr>
              <w:t>network.</w:t>
            </w:r>
            <w:r>
              <w:rPr>
                <w:spacing w:val="-3"/>
                <w:sz w:val="20"/>
              </w:rPr>
              <w:t xml:space="preserve"> </w:t>
            </w:r>
            <w:r>
              <w:rPr>
                <w:sz w:val="20"/>
              </w:rPr>
              <w:t>They</w:t>
            </w:r>
            <w:r>
              <w:rPr>
                <w:spacing w:val="-2"/>
                <w:sz w:val="20"/>
              </w:rPr>
              <w:t xml:space="preserve"> </w:t>
            </w:r>
            <w:r>
              <w:rPr>
                <w:sz w:val="20"/>
              </w:rPr>
              <w:t>discuss</w:t>
            </w:r>
            <w:r>
              <w:rPr>
                <w:spacing w:val="-4"/>
                <w:sz w:val="20"/>
              </w:rPr>
              <w:t xml:space="preserve"> </w:t>
            </w:r>
            <w:r>
              <w:rPr>
                <w:sz w:val="20"/>
              </w:rPr>
              <w:t>the</w:t>
            </w:r>
            <w:r>
              <w:rPr>
                <w:spacing w:val="-4"/>
                <w:sz w:val="20"/>
              </w:rPr>
              <w:t xml:space="preserve"> </w:t>
            </w:r>
            <w:r>
              <w:rPr>
                <w:sz w:val="20"/>
              </w:rPr>
              <w:t>boundaries</w:t>
            </w:r>
            <w:r>
              <w:rPr>
                <w:spacing w:val="-4"/>
                <w:sz w:val="20"/>
              </w:rPr>
              <w:t xml:space="preserve"> </w:t>
            </w:r>
            <w:r>
              <w:rPr>
                <w:sz w:val="20"/>
              </w:rPr>
              <w:t>around</w:t>
            </w:r>
            <w:r>
              <w:rPr>
                <w:spacing w:val="-2"/>
                <w:sz w:val="20"/>
              </w:rPr>
              <w:t xml:space="preserve"> </w:t>
            </w:r>
            <w:r>
              <w:rPr>
                <w:sz w:val="20"/>
              </w:rPr>
              <w:t>between-session</w:t>
            </w:r>
            <w:r>
              <w:rPr>
                <w:spacing w:val="-2"/>
                <w:sz w:val="20"/>
              </w:rPr>
              <w:t xml:space="preserve"> </w:t>
            </w:r>
            <w:r>
              <w:rPr>
                <w:sz w:val="20"/>
              </w:rPr>
              <w:t>contact</w:t>
            </w:r>
            <w:r>
              <w:rPr>
                <w:spacing w:val="-2"/>
                <w:sz w:val="20"/>
              </w:rPr>
              <w:t xml:space="preserve"> </w:t>
            </w:r>
            <w:r>
              <w:rPr>
                <w:sz w:val="20"/>
              </w:rPr>
              <w:t>and</w:t>
            </w:r>
            <w:r>
              <w:rPr>
                <w:spacing w:val="-2"/>
                <w:sz w:val="20"/>
              </w:rPr>
              <w:t xml:space="preserve"> </w:t>
            </w:r>
            <w:r>
              <w:rPr>
                <w:sz w:val="20"/>
              </w:rPr>
              <w:t>agree</w:t>
            </w:r>
            <w:r>
              <w:rPr>
                <w:spacing w:val="-4"/>
                <w:sz w:val="20"/>
              </w:rPr>
              <w:t xml:space="preserve"> </w:t>
            </w:r>
            <w:r>
              <w:rPr>
                <w:sz w:val="20"/>
              </w:rPr>
              <w:t>on</w:t>
            </w:r>
            <w:r>
              <w:rPr>
                <w:spacing w:val="-2"/>
                <w:sz w:val="20"/>
              </w:rPr>
              <w:t xml:space="preserve"> </w:t>
            </w:r>
            <w:r>
              <w:rPr>
                <w:sz w:val="20"/>
              </w:rPr>
              <w:t>an initial plan for weekly counseling sessions for the next 12 weeks.</w:t>
            </w:r>
          </w:p>
          <w:p w14:paraId="0A573FA5" w14:textId="77777777" w:rsidR="00DB6E1F" w:rsidRDefault="00F666A6">
            <w:pPr>
              <w:pStyle w:val="TableParagraph"/>
              <w:spacing w:before="121"/>
              <w:ind w:right="242"/>
              <w:jc w:val="both"/>
              <w:rPr>
                <w:sz w:val="20"/>
              </w:rPr>
            </w:pPr>
            <w:r>
              <w:rPr>
                <w:sz w:val="20"/>
              </w:rPr>
              <w:t>Arlene</w:t>
            </w:r>
            <w:r>
              <w:rPr>
                <w:spacing w:val="-2"/>
                <w:sz w:val="20"/>
              </w:rPr>
              <w:t xml:space="preserve"> </w:t>
            </w:r>
            <w:r>
              <w:rPr>
                <w:sz w:val="20"/>
              </w:rPr>
              <w:t>sees</w:t>
            </w:r>
            <w:r>
              <w:rPr>
                <w:spacing w:val="-4"/>
                <w:sz w:val="20"/>
              </w:rPr>
              <w:t xml:space="preserve"> </w:t>
            </w:r>
            <w:r>
              <w:rPr>
                <w:sz w:val="20"/>
              </w:rPr>
              <w:t>that</w:t>
            </w:r>
            <w:r>
              <w:rPr>
                <w:spacing w:val="-3"/>
                <w:sz w:val="20"/>
              </w:rPr>
              <w:t xml:space="preserve"> </w:t>
            </w:r>
            <w:r>
              <w:rPr>
                <w:sz w:val="20"/>
              </w:rPr>
              <w:t>she</w:t>
            </w:r>
            <w:r>
              <w:rPr>
                <w:spacing w:val="-4"/>
                <w:sz w:val="20"/>
              </w:rPr>
              <w:t xml:space="preserve"> </w:t>
            </w:r>
            <w:r>
              <w:rPr>
                <w:sz w:val="20"/>
              </w:rPr>
              <w:t>can’t</w:t>
            </w:r>
            <w:r>
              <w:rPr>
                <w:spacing w:val="-3"/>
                <w:sz w:val="20"/>
              </w:rPr>
              <w:t xml:space="preserve"> </w:t>
            </w:r>
            <w:r>
              <w:rPr>
                <w:sz w:val="20"/>
              </w:rPr>
              <w:t>be</w:t>
            </w:r>
            <w:r>
              <w:rPr>
                <w:spacing w:val="-1"/>
                <w:sz w:val="20"/>
              </w:rPr>
              <w:t xml:space="preserve"> </w:t>
            </w:r>
            <w:r>
              <w:rPr>
                <w:sz w:val="20"/>
              </w:rPr>
              <w:t>Susan’s</w:t>
            </w:r>
            <w:r>
              <w:rPr>
                <w:spacing w:val="-4"/>
                <w:sz w:val="20"/>
              </w:rPr>
              <w:t xml:space="preserve"> </w:t>
            </w:r>
            <w:r>
              <w:rPr>
                <w:sz w:val="20"/>
              </w:rPr>
              <w:t>only</w:t>
            </w:r>
            <w:r>
              <w:rPr>
                <w:spacing w:val="-2"/>
                <w:sz w:val="20"/>
              </w:rPr>
              <w:t xml:space="preserve"> </w:t>
            </w:r>
            <w:r>
              <w:rPr>
                <w:sz w:val="20"/>
              </w:rPr>
              <w:t>source</w:t>
            </w:r>
            <w:r>
              <w:rPr>
                <w:spacing w:val="-4"/>
                <w:sz w:val="20"/>
              </w:rPr>
              <w:t xml:space="preserve"> </w:t>
            </w:r>
            <w:r>
              <w:rPr>
                <w:sz w:val="20"/>
              </w:rPr>
              <w:t>of</w:t>
            </w:r>
            <w:r>
              <w:rPr>
                <w:spacing w:val="-4"/>
                <w:sz w:val="20"/>
              </w:rPr>
              <w:t xml:space="preserve"> </w:t>
            </w:r>
            <w:r>
              <w:rPr>
                <w:sz w:val="20"/>
              </w:rPr>
              <w:t>recovery</w:t>
            </w:r>
            <w:r>
              <w:rPr>
                <w:spacing w:val="-2"/>
                <w:sz w:val="20"/>
              </w:rPr>
              <w:t xml:space="preserve"> </w:t>
            </w:r>
            <w:r>
              <w:rPr>
                <w:sz w:val="20"/>
              </w:rPr>
              <w:t>support.</w:t>
            </w:r>
            <w:r>
              <w:rPr>
                <w:spacing w:val="-3"/>
                <w:sz w:val="20"/>
              </w:rPr>
              <w:t xml:space="preserve"> </w:t>
            </w:r>
            <w:r>
              <w:rPr>
                <w:sz w:val="20"/>
              </w:rPr>
              <w:t>With</w:t>
            </w:r>
            <w:r>
              <w:rPr>
                <w:spacing w:val="-2"/>
                <w:sz w:val="20"/>
              </w:rPr>
              <w:t xml:space="preserve"> </w:t>
            </w:r>
            <w:r>
              <w:rPr>
                <w:sz w:val="20"/>
              </w:rPr>
              <w:t>motivational</w:t>
            </w:r>
            <w:r>
              <w:rPr>
                <w:spacing w:val="-3"/>
                <w:sz w:val="20"/>
              </w:rPr>
              <w:t xml:space="preserve"> </w:t>
            </w:r>
            <w:r>
              <w:rPr>
                <w:sz w:val="20"/>
              </w:rPr>
              <w:t>counseling</w:t>
            </w:r>
            <w:r>
              <w:rPr>
                <w:spacing w:val="-1"/>
                <w:sz w:val="20"/>
              </w:rPr>
              <w:t xml:space="preserve"> </w:t>
            </w:r>
            <w:r>
              <w:rPr>
                <w:sz w:val="20"/>
              </w:rPr>
              <w:t>strategies, she</w:t>
            </w:r>
            <w:r>
              <w:rPr>
                <w:spacing w:val="-1"/>
                <w:sz w:val="20"/>
              </w:rPr>
              <w:t xml:space="preserve"> </w:t>
            </w:r>
            <w:r>
              <w:rPr>
                <w:sz w:val="20"/>
              </w:rPr>
              <w:t>helps Arlene</w:t>
            </w:r>
            <w:r>
              <w:rPr>
                <w:spacing w:val="-1"/>
                <w:sz w:val="20"/>
              </w:rPr>
              <w:t xml:space="preserve"> </w:t>
            </w:r>
            <w:r>
              <w:rPr>
                <w:sz w:val="20"/>
              </w:rPr>
              <w:t>build a new support network</w:t>
            </w:r>
            <w:r>
              <w:rPr>
                <w:spacing w:val="-1"/>
                <w:sz w:val="20"/>
              </w:rPr>
              <w:t xml:space="preserve"> </w:t>
            </w:r>
            <w:r>
              <w:rPr>
                <w:sz w:val="20"/>
              </w:rPr>
              <w:t>to reinforce</w:t>
            </w:r>
            <w:r>
              <w:rPr>
                <w:spacing w:val="-1"/>
                <w:sz w:val="20"/>
              </w:rPr>
              <w:t xml:space="preserve"> </w:t>
            </w:r>
            <w:r>
              <w:rPr>
                <w:sz w:val="20"/>
              </w:rPr>
              <w:t>her recovery, ma</w:t>
            </w:r>
            <w:r>
              <w:rPr>
                <w:sz w:val="20"/>
              </w:rPr>
              <w:t>intain her long-term</w:t>
            </w:r>
            <w:r>
              <w:rPr>
                <w:spacing w:val="-1"/>
                <w:sz w:val="20"/>
              </w:rPr>
              <w:t xml:space="preserve"> </w:t>
            </w:r>
            <w:r>
              <w:rPr>
                <w:sz w:val="20"/>
              </w:rPr>
              <w:t>recovery goal of abstinence, and help her heal from trauma and previous disruptions to her social support network.</w:t>
            </w:r>
          </w:p>
        </w:tc>
      </w:tr>
    </w:tbl>
    <w:p w14:paraId="0DFE1506" w14:textId="77777777" w:rsidR="00DB6E1F" w:rsidRDefault="00F666A6">
      <w:pPr>
        <w:pStyle w:val="Heading2"/>
        <w:spacing w:before="3"/>
      </w:pPr>
      <w:bookmarkStart w:id="205" w:name="Help_the_Client_Reenter_the_Change_Cycle"/>
      <w:bookmarkStart w:id="206" w:name="_bookmark43"/>
      <w:bookmarkEnd w:id="205"/>
      <w:bookmarkEnd w:id="206"/>
      <w:r>
        <w:t>Help</w:t>
      </w:r>
      <w:r>
        <w:rPr>
          <w:spacing w:val="-1"/>
        </w:rPr>
        <w:t xml:space="preserve"> </w:t>
      </w:r>
      <w:r>
        <w:t>the</w:t>
      </w:r>
      <w:r>
        <w:rPr>
          <w:spacing w:val="-1"/>
        </w:rPr>
        <w:t xml:space="preserve"> </w:t>
      </w:r>
      <w:r>
        <w:t>Client</w:t>
      </w:r>
      <w:r>
        <w:rPr>
          <w:spacing w:val="-4"/>
        </w:rPr>
        <w:t xml:space="preserve"> </w:t>
      </w:r>
      <w:r>
        <w:t>Reenter</w:t>
      </w:r>
      <w:r>
        <w:rPr>
          <w:spacing w:val="-2"/>
        </w:rPr>
        <w:t xml:space="preserve"> </w:t>
      </w:r>
      <w:r>
        <w:t>the</w:t>
      </w:r>
      <w:r>
        <w:rPr>
          <w:spacing w:val="-1"/>
        </w:rPr>
        <w:t xml:space="preserve"> </w:t>
      </w:r>
      <w:r>
        <w:t>Change</w:t>
      </w:r>
      <w:r>
        <w:rPr>
          <w:spacing w:val="1"/>
        </w:rPr>
        <w:t xml:space="preserve"> </w:t>
      </w:r>
      <w:r>
        <w:rPr>
          <w:spacing w:val="-2"/>
        </w:rPr>
        <w:t>Cycle</w:t>
      </w:r>
    </w:p>
    <w:p w14:paraId="67792EBD" w14:textId="77777777" w:rsidR="00DB6E1F" w:rsidRDefault="00F666A6">
      <w:pPr>
        <w:pStyle w:val="BodyText"/>
        <w:spacing w:before="153"/>
        <w:ind w:left="1439" w:right="1471"/>
      </w:pPr>
      <w:r>
        <w:rPr>
          <w:b/>
        </w:rPr>
        <w:t xml:space="preserve">To help clients maintain substance use behavior change, you must address the issue of relapse. </w:t>
      </w:r>
      <w:r>
        <w:t>Historically, the term “relapse” in addiction treatment had come to mean an all-or-nothing understanding of clients’ return to substance use after a period of ab</w:t>
      </w:r>
      <w:r>
        <w:t>stinence and judgment about their lack of motivation. This TIP uses the term “relapse” in part because the SOC model uses the term to describe points in the recovery process when clients leave the change cycle and then recycle through</w:t>
      </w:r>
      <w:r>
        <w:rPr>
          <w:spacing w:val="40"/>
        </w:rPr>
        <w:t xml:space="preserve"> </w:t>
      </w:r>
      <w:r>
        <w:t>the</w:t>
      </w:r>
      <w:r>
        <w:rPr>
          <w:spacing w:val="-1"/>
        </w:rPr>
        <w:t xml:space="preserve"> </w:t>
      </w:r>
      <w:r>
        <w:t>SOC</w:t>
      </w:r>
      <w:r>
        <w:rPr>
          <w:spacing w:val="-2"/>
        </w:rPr>
        <w:t xml:space="preserve"> </w:t>
      </w:r>
      <w:r>
        <w:t>again</w:t>
      </w:r>
      <w:r>
        <w:rPr>
          <w:spacing w:val="-5"/>
        </w:rPr>
        <w:t xml:space="preserve"> </w:t>
      </w:r>
      <w:r>
        <w:t>with</w:t>
      </w:r>
      <w:r>
        <w:rPr>
          <w:spacing w:val="-5"/>
        </w:rPr>
        <w:t xml:space="preserve"> </w:t>
      </w:r>
      <w:r>
        <w:t>mo</w:t>
      </w:r>
      <w:r>
        <w:t>re</w:t>
      </w:r>
      <w:r>
        <w:rPr>
          <w:spacing w:val="-4"/>
        </w:rPr>
        <w:t xml:space="preserve"> </w:t>
      </w:r>
      <w:r>
        <w:t>awareness</w:t>
      </w:r>
      <w:r>
        <w:rPr>
          <w:spacing w:val="-4"/>
        </w:rPr>
        <w:t xml:space="preserve"> </w:t>
      </w:r>
      <w:r>
        <w:t>and</w:t>
      </w:r>
      <w:r>
        <w:rPr>
          <w:spacing w:val="-3"/>
        </w:rPr>
        <w:t xml:space="preserve"> </w:t>
      </w:r>
      <w:r>
        <w:t>a</w:t>
      </w:r>
      <w:r>
        <w:rPr>
          <w:spacing w:val="-2"/>
        </w:rPr>
        <w:t xml:space="preserve"> </w:t>
      </w:r>
      <w:r>
        <w:t>better</w:t>
      </w:r>
      <w:r>
        <w:rPr>
          <w:spacing w:val="-5"/>
        </w:rPr>
        <w:t xml:space="preserve"> </w:t>
      </w:r>
      <w:r>
        <w:t>understanding</w:t>
      </w:r>
      <w:r>
        <w:rPr>
          <w:spacing w:val="-3"/>
        </w:rPr>
        <w:t xml:space="preserve"> </w:t>
      </w:r>
      <w:r>
        <w:t>of</w:t>
      </w:r>
      <w:r>
        <w:rPr>
          <w:spacing w:val="-2"/>
        </w:rPr>
        <w:t xml:space="preserve"> </w:t>
      </w:r>
      <w:r>
        <w:t>how</w:t>
      </w:r>
      <w:r>
        <w:rPr>
          <w:spacing w:val="-4"/>
        </w:rPr>
        <w:t xml:space="preserve"> </w:t>
      </w:r>
      <w:r>
        <w:t>to</w:t>
      </w:r>
      <w:r>
        <w:rPr>
          <w:spacing w:val="-1"/>
        </w:rPr>
        <w:t xml:space="preserve"> </w:t>
      </w:r>
      <w:r>
        <w:t>reach</w:t>
      </w:r>
      <w:r>
        <w:rPr>
          <w:spacing w:val="-5"/>
        </w:rPr>
        <w:t xml:space="preserve"> </w:t>
      </w:r>
      <w:r>
        <w:t>the</w:t>
      </w:r>
      <w:r>
        <w:rPr>
          <w:spacing w:val="-4"/>
        </w:rPr>
        <w:t xml:space="preserve"> </w:t>
      </w:r>
      <w:r>
        <w:t>Maintenance</w:t>
      </w:r>
      <w:r>
        <w:rPr>
          <w:spacing w:val="-1"/>
        </w:rPr>
        <w:t xml:space="preserve"> </w:t>
      </w:r>
      <w:r>
        <w:t>stage. In addition, addiction treatment clinical research refers to relapse prevention as a key counseling approach to supporting clients’ ongoing recovery maintenance.</w:t>
      </w:r>
    </w:p>
    <w:p w14:paraId="2F030544" w14:textId="77777777" w:rsidR="00DB6E1F" w:rsidRDefault="00DB6E1F">
      <w:pPr>
        <w:sectPr w:rsidR="00DB6E1F">
          <w:pgSz w:w="12240" w:h="15840"/>
          <w:pgMar w:top="1200" w:right="0" w:bottom="780" w:left="0" w:header="763" w:footer="585" w:gutter="0"/>
          <w:cols w:space="720"/>
        </w:sectPr>
      </w:pPr>
    </w:p>
    <w:p w14:paraId="21EDDE2B" w14:textId="77777777" w:rsidR="00DB6E1F" w:rsidRDefault="00DB6E1F">
      <w:pPr>
        <w:pStyle w:val="BodyText"/>
        <w:spacing w:before="8"/>
        <w:rPr>
          <w:sz w:val="14"/>
        </w:rPr>
      </w:pPr>
    </w:p>
    <w:p w14:paraId="3D70D0A4" w14:textId="77777777" w:rsidR="00DB6E1F" w:rsidRDefault="00F666A6">
      <w:pPr>
        <w:spacing w:before="56"/>
        <w:ind w:left="1440" w:right="1444"/>
      </w:pPr>
      <w:r>
        <w:rPr>
          <w:b/>
        </w:rPr>
        <w:t>A</w:t>
      </w:r>
      <w:r>
        <w:rPr>
          <w:b/>
          <w:spacing w:val="-1"/>
        </w:rPr>
        <w:t xml:space="preserve"> </w:t>
      </w:r>
      <w:r>
        <w:rPr>
          <w:b/>
        </w:rPr>
        <w:t>return</w:t>
      </w:r>
      <w:r>
        <w:rPr>
          <w:b/>
          <w:spacing w:val="-5"/>
        </w:rPr>
        <w:t xml:space="preserve"> </w:t>
      </w:r>
      <w:r>
        <w:rPr>
          <w:b/>
        </w:rPr>
        <w:t>to</w:t>
      </w:r>
      <w:r>
        <w:rPr>
          <w:b/>
          <w:spacing w:val="-3"/>
        </w:rPr>
        <w:t xml:space="preserve"> </w:t>
      </w:r>
      <w:r>
        <w:rPr>
          <w:b/>
        </w:rPr>
        <w:t>substance</w:t>
      </w:r>
      <w:r>
        <w:rPr>
          <w:b/>
          <w:spacing w:val="-3"/>
        </w:rPr>
        <w:t xml:space="preserve"> </w:t>
      </w:r>
      <w:r>
        <w:rPr>
          <w:b/>
        </w:rPr>
        <w:t>use</w:t>
      </w:r>
      <w:r>
        <w:rPr>
          <w:b/>
          <w:spacing w:val="-5"/>
        </w:rPr>
        <w:t xml:space="preserve"> </w:t>
      </w:r>
      <w:r>
        <w:rPr>
          <w:b/>
        </w:rPr>
        <w:t>after</w:t>
      </w:r>
      <w:r>
        <w:rPr>
          <w:b/>
          <w:spacing w:val="-1"/>
        </w:rPr>
        <w:t xml:space="preserve"> </w:t>
      </w:r>
      <w:r>
        <w:rPr>
          <w:b/>
        </w:rPr>
        <w:t>a</w:t>
      </w:r>
      <w:r>
        <w:rPr>
          <w:b/>
          <w:spacing w:val="-3"/>
        </w:rPr>
        <w:t xml:space="preserve"> </w:t>
      </w:r>
      <w:r>
        <w:rPr>
          <w:b/>
        </w:rPr>
        <w:t>period</w:t>
      </w:r>
      <w:r>
        <w:rPr>
          <w:b/>
          <w:spacing w:val="-3"/>
        </w:rPr>
        <w:t xml:space="preserve"> </w:t>
      </w:r>
      <w:r>
        <w:rPr>
          <w:b/>
        </w:rPr>
        <w:t>of abstinence</w:t>
      </w:r>
      <w:r>
        <w:rPr>
          <w:b/>
          <w:spacing w:val="-3"/>
        </w:rPr>
        <w:t xml:space="preserve"> </w:t>
      </w:r>
      <w:r>
        <w:rPr>
          <w:b/>
        </w:rPr>
        <w:t>does</w:t>
      </w:r>
      <w:r>
        <w:rPr>
          <w:b/>
          <w:spacing w:val="-1"/>
        </w:rPr>
        <w:t xml:space="preserve"> </w:t>
      </w:r>
      <w:r>
        <w:rPr>
          <w:b/>
        </w:rPr>
        <w:t>not</w:t>
      </w:r>
      <w:r>
        <w:rPr>
          <w:b/>
          <w:spacing w:val="-2"/>
        </w:rPr>
        <w:t xml:space="preserve"> </w:t>
      </w:r>
      <w:r>
        <w:rPr>
          <w:b/>
        </w:rPr>
        <w:t>mean</w:t>
      </w:r>
      <w:r>
        <w:rPr>
          <w:b/>
          <w:spacing w:val="-3"/>
        </w:rPr>
        <w:t xml:space="preserve"> </w:t>
      </w:r>
      <w:r>
        <w:rPr>
          <w:b/>
        </w:rPr>
        <w:t>a</w:t>
      </w:r>
      <w:r>
        <w:rPr>
          <w:b/>
          <w:spacing w:val="-3"/>
        </w:rPr>
        <w:t xml:space="preserve"> </w:t>
      </w:r>
      <w:r>
        <w:rPr>
          <w:b/>
        </w:rPr>
        <w:t>client</w:t>
      </w:r>
      <w:r>
        <w:rPr>
          <w:b/>
          <w:spacing w:val="-2"/>
        </w:rPr>
        <w:t xml:space="preserve"> </w:t>
      </w:r>
      <w:r>
        <w:rPr>
          <w:b/>
        </w:rPr>
        <w:t>has</w:t>
      </w:r>
      <w:r>
        <w:rPr>
          <w:b/>
          <w:spacing w:val="-1"/>
        </w:rPr>
        <w:t xml:space="preserve"> </w:t>
      </w:r>
      <w:r>
        <w:rPr>
          <w:b/>
        </w:rPr>
        <w:t>failed</w:t>
      </w:r>
      <w:r>
        <w:rPr>
          <w:b/>
          <w:spacing w:val="-3"/>
        </w:rPr>
        <w:t xml:space="preserve"> </w:t>
      </w:r>
      <w:r>
        <w:rPr>
          <w:b/>
        </w:rPr>
        <w:t>or</w:t>
      </w:r>
      <w:r>
        <w:rPr>
          <w:b/>
          <w:spacing w:val="-3"/>
        </w:rPr>
        <w:t xml:space="preserve"> </w:t>
      </w:r>
      <w:r>
        <w:rPr>
          <w:b/>
        </w:rPr>
        <w:t>is</w:t>
      </w:r>
      <w:r>
        <w:rPr>
          <w:b/>
          <w:spacing w:val="-4"/>
        </w:rPr>
        <w:t xml:space="preserve"> </w:t>
      </w:r>
      <w:r>
        <w:rPr>
          <w:b/>
        </w:rPr>
        <w:t>no</w:t>
      </w:r>
      <w:r>
        <w:rPr>
          <w:b/>
          <w:spacing w:val="-3"/>
        </w:rPr>
        <w:t xml:space="preserve"> </w:t>
      </w:r>
      <w:r>
        <w:rPr>
          <w:b/>
        </w:rPr>
        <w:t xml:space="preserve">longer in recovery. </w:t>
      </w:r>
      <w:r>
        <w:t xml:space="preserve">The consensus panel of this TIP seeks to reconceptualize the recurrence of substance use after treatment as </w:t>
      </w:r>
      <w:r>
        <w:rPr>
          <w:b/>
        </w:rPr>
        <w:t xml:space="preserve">a common aspect of recovery from SUDs </w:t>
      </w:r>
      <w:r>
        <w:t>based on well-documented observations:</w:t>
      </w:r>
    </w:p>
    <w:p w14:paraId="2C01062F" w14:textId="77777777" w:rsidR="00DB6E1F" w:rsidRDefault="00F666A6">
      <w:pPr>
        <w:pStyle w:val="ListParagraph"/>
        <w:numPr>
          <w:ilvl w:val="0"/>
          <w:numId w:val="92"/>
        </w:numPr>
        <w:tabs>
          <w:tab w:val="left" w:pos="1800"/>
          <w:tab w:val="left" w:pos="1801"/>
        </w:tabs>
        <w:spacing w:before="59"/>
        <w:ind w:left="1799" w:right="1534" w:hanging="360"/>
        <w:rPr>
          <w:rFonts w:ascii="Symbol" w:hAnsi="Symbol"/>
        </w:rPr>
      </w:pPr>
      <w:r>
        <w:rPr>
          <w:b/>
        </w:rPr>
        <w:t>Recurrence</w:t>
      </w:r>
      <w:r>
        <w:rPr>
          <w:b/>
          <w:spacing w:val="-3"/>
        </w:rPr>
        <w:t xml:space="preserve"> </w:t>
      </w:r>
      <w:r>
        <w:rPr>
          <w:b/>
        </w:rPr>
        <w:t>of</w:t>
      </w:r>
      <w:r>
        <w:rPr>
          <w:b/>
          <w:spacing w:val="-2"/>
        </w:rPr>
        <w:t xml:space="preserve"> </w:t>
      </w:r>
      <w:r>
        <w:rPr>
          <w:b/>
        </w:rPr>
        <w:t>substance</w:t>
      </w:r>
      <w:r>
        <w:rPr>
          <w:b/>
          <w:spacing w:val="-3"/>
        </w:rPr>
        <w:t xml:space="preserve"> </w:t>
      </w:r>
      <w:r>
        <w:rPr>
          <w:b/>
        </w:rPr>
        <w:t>use</w:t>
      </w:r>
      <w:r>
        <w:rPr>
          <w:b/>
          <w:spacing w:val="-3"/>
        </w:rPr>
        <w:t xml:space="preserve"> </w:t>
      </w:r>
      <w:r>
        <w:rPr>
          <w:b/>
        </w:rPr>
        <w:t>is</w:t>
      </w:r>
      <w:r>
        <w:rPr>
          <w:b/>
          <w:spacing w:val="-4"/>
        </w:rPr>
        <w:t xml:space="preserve"> </w:t>
      </w:r>
      <w:r>
        <w:rPr>
          <w:b/>
        </w:rPr>
        <w:t>common.</w:t>
      </w:r>
      <w:r>
        <w:rPr>
          <w:b/>
          <w:spacing w:val="-1"/>
        </w:rPr>
        <w:t xml:space="preserve"> </w:t>
      </w:r>
      <w:r>
        <w:t>Although</w:t>
      </w:r>
      <w:r>
        <w:rPr>
          <w:spacing w:val="-3"/>
        </w:rPr>
        <w:t xml:space="preserve"> </w:t>
      </w:r>
      <w:r>
        <w:t>relapse</w:t>
      </w:r>
      <w:r>
        <w:rPr>
          <w:spacing w:val="-1"/>
        </w:rPr>
        <w:t xml:space="preserve"> </w:t>
      </w:r>
      <w:r>
        <w:t>is</w:t>
      </w:r>
      <w:r>
        <w:rPr>
          <w:spacing w:val="-2"/>
        </w:rPr>
        <w:t xml:space="preserve"> </w:t>
      </w:r>
      <w:r>
        <w:t>not</w:t>
      </w:r>
      <w:r>
        <w:rPr>
          <w:spacing w:val="-2"/>
        </w:rPr>
        <w:t xml:space="preserve"> </w:t>
      </w:r>
      <w:r>
        <w:t>technica</w:t>
      </w:r>
      <w:r>
        <w:t>lly</w:t>
      </w:r>
      <w:r>
        <w:rPr>
          <w:spacing w:val="-3"/>
        </w:rPr>
        <w:t xml:space="preserve"> </w:t>
      </w:r>
      <w:r>
        <w:t>a</w:t>
      </w:r>
      <w:r>
        <w:rPr>
          <w:spacing w:val="-2"/>
        </w:rPr>
        <w:t xml:space="preserve"> </w:t>
      </w:r>
      <w:r>
        <w:t>stage</w:t>
      </w:r>
      <w:r>
        <w:rPr>
          <w:spacing w:val="-1"/>
        </w:rPr>
        <w:t xml:space="preserve"> </w:t>
      </w:r>
      <w:r>
        <w:t>in</w:t>
      </w:r>
      <w:r>
        <w:rPr>
          <w:spacing w:val="-3"/>
        </w:rPr>
        <w:t xml:space="preserve"> </w:t>
      </w:r>
      <w:r>
        <w:t>the</w:t>
      </w:r>
      <w:r>
        <w:rPr>
          <w:spacing w:val="-2"/>
        </w:rPr>
        <w:t xml:space="preserve"> </w:t>
      </w:r>
      <w:r>
        <w:t>SOC,</w:t>
      </w:r>
      <w:r>
        <w:rPr>
          <w:spacing w:val="-2"/>
        </w:rPr>
        <w:t xml:space="preserve"> </w:t>
      </w:r>
      <w:r>
        <w:t>it</w:t>
      </w:r>
      <w:r>
        <w:rPr>
          <w:spacing w:val="-4"/>
        </w:rPr>
        <w:t xml:space="preserve"> </w:t>
      </w:r>
      <w:r>
        <w:t>is a normal part of change and recovery processes.</w:t>
      </w:r>
    </w:p>
    <w:p w14:paraId="3E57146A" w14:textId="77777777" w:rsidR="00DB6E1F" w:rsidRDefault="00F666A6">
      <w:pPr>
        <w:pStyle w:val="ListParagraph"/>
        <w:numPr>
          <w:ilvl w:val="0"/>
          <w:numId w:val="92"/>
        </w:numPr>
        <w:tabs>
          <w:tab w:val="left" w:pos="1800"/>
          <w:tab w:val="left" w:pos="1801"/>
        </w:tabs>
        <w:ind w:left="1799" w:right="1443" w:hanging="360"/>
        <w:rPr>
          <w:rFonts w:ascii="Symbol" w:hAnsi="Symbol"/>
        </w:rPr>
      </w:pPr>
      <w:r>
        <w:rPr>
          <w:b/>
        </w:rPr>
        <w:t>The</w:t>
      </w:r>
      <w:r>
        <w:rPr>
          <w:b/>
          <w:spacing w:val="-3"/>
        </w:rPr>
        <w:t xml:space="preserve"> </w:t>
      </w:r>
      <w:r>
        <w:rPr>
          <w:b/>
        </w:rPr>
        <w:t>term</w:t>
      </w:r>
      <w:r>
        <w:rPr>
          <w:b/>
          <w:spacing w:val="-4"/>
        </w:rPr>
        <w:t xml:space="preserve"> </w:t>
      </w:r>
      <w:r>
        <w:rPr>
          <w:b/>
        </w:rPr>
        <w:t>“relapse”</w:t>
      </w:r>
      <w:r>
        <w:rPr>
          <w:b/>
          <w:spacing w:val="-2"/>
        </w:rPr>
        <w:t xml:space="preserve"> </w:t>
      </w:r>
      <w:r>
        <w:rPr>
          <w:b/>
        </w:rPr>
        <w:t>itself</w:t>
      </w:r>
      <w:r>
        <w:rPr>
          <w:b/>
          <w:spacing w:val="-5"/>
        </w:rPr>
        <w:t xml:space="preserve"> </w:t>
      </w:r>
      <w:r>
        <w:rPr>
          <w:b/>
        </w:rPr>
        <w:t>implies</w:t>
      </w:r>
      <w:r>
        <w:rPr>
          <w:b/>
          <w:spacing w:val="-4"/>
        </w:rPr>
        <w:t xml:space="preserve"> </w:t>
      </w:r>
      <w:r>
        <w:rPr>
          <w:b/>
        </w:rPr>
        <w:t>only</w:t>
      </w:r>
      <w:r>
        <w:rPr>
          <w:b/>
          <w:spacing w:val="-3"/>
        </w:rPr>
        <w:t xml:space="preserve"> </w:t>
      </w:r>
      <w:r>
        <w:rPr>
          <w:b/>
        </w:rPr>
        <w:t>two</w:t>
      </w:r>
      <w:r>
        <w:rPr>
          <w:b/>
          <w:spacing w:val="-3"/>
        </w:rPr>
        <w:t xml:space="preserve"> </w:t>
      </w:r>
      <w:r>
        <w:rPr>
          <w:b/>
        </w:rPr>
        <w:t>possible</w:t>
      </w:r>
      <w:r>
        <w:rPr>
          <w:b/>
          <w:spacing w:val="-3"/>
        </w:rPr>
        <w:t xml:space="preserve"> </w:t>
      </w:r>
      <w:r>
        <w:rPr>
          <w:b/>
        </w:rPr>
        <w:t>outcomes—success</w:t>
      </w:r>
      <w:r>
        <w:rPr>
          <w:b/>
          <w:spacing w:val="-4"/>
        </w:rPr>
        <w:t xml:space="preserve"> </w:t>
      </w:r>
      <w:r>
        <w:rPr>
          <w:b/>
        </w:rPr>
        <w:t>or</w:t>
      </w:r>
      <w:r>
        <w:rPr>
          <w:b/>
          <w:spacing w:val="-1"/>
        </w:rPr>
        <w:t xml:space="preserve"> </w:t>
      </w:r>
      <w:r>
        <w:rPr>
          <w:b/>
        </w:rPr>
        <w:t>failure—that</w:t>
      </w:r>
      <w:r>
        <w:rPr>
          <w:b/>
          <w:spacing w:val="-2"/>
        </w:rPr>
        <w:t xml:space="preserve"> </w:t>
      </w:r>
      <w:r>
        <w:rPr>
          <w:b/>
        </w:rPr>
        <w:t>do</w:t>
      </w:r>
      <w:r>
        <w:rPr>
          <w:b/>
          <w:spacing w:val="-3"/>
        </w:rPr>
        <w:t xml:space="preserve"> </w:t>
      </w:r>
      <w:r>
        <w:rPr>
          <w:b/>
        </w:rPr>
        <w:t>not</w:t>
      </w:r>
      <w:r>
        <w:rPr>
          <w:b/>
          <w:spacing w:val="-1"/>
        </w:rPr>
        <w:t xml:space="preserve"> </w:t>
      </w:r>
      <w:r>
        <w:rPr>
          <w:b/>
        </w:rPr>
        <w:t xml:space="preserve">fully describe what actually occurs. </w:t>
      </w:r>
      <w:r>
        <w:t>Client outcomes are much more complex than this. Often in the course of recovery, clients manage to have longer and longer periods between episodes of use, and use episodes themselves grow shorter and less severe.</w:t>
      </w:r>
    </w:p>
    <w:p w14:paraId="2DB6EA18" w14:textId="77777777" w:rsidR="00DB6E1F" w:rsidRDefault="00F666A6">
      <w:pPr>
        <w:pStyle w:val="ListParagraph"/>
        <w:numPr>
          <w:ilvl w:val="0"/>
          <w:numId w:val="92"/>
        </w:numPr>
        <w:tabs>
          <w:tab w:val="left" w:pos="1799"/>
          <w:tab w:val="left" w:pos="1800"/>
        </w:tabs>
        <w:spacing w:before="61"/>
        <w:ind w:left="1799" w:right="1818" w:hanging="360"/>
        <w:rPr>
          <w:rFonts w:ascii="Symbol" w:hAnsi="Symbol"/>
        </w:rPr>
      </w:pPr>
      <w:r>
        <w:rPr>
          <w:b/>
        </w:rPr>
        <w:t>The assumption that abstinence equals succ</w:t>
      </w:r>
      <w:r>
        <w:rPr>
          <w:b/>
        </w:rPr>
        <w:t>ess and return to use equals failure creates a self- fulfilling</w:t>
      </w:r>
      <w:r>
        <w:rPr>
          <w:b/>
          <w:spacing w:val="-1"/>
        </w:rPr>
        <w:t xml:space="preserve"> </w:t>
      </w:r>
      <w:r>
        <w:rPr>
          <w:b/>
        </w:rPr>
        <w:t>prophecy.</w:t>
      </w:r>
      <w:r>
        <w:rPr>
          <w:b/>
          <w:spacing w:val="-1"/>
        </w:rPr>
        <w:t xml:space="preserve"> </w:t>
      </w:r>
      <w:r>
        <w:t>It</w:t>
      </w:r>
      <w:r>
        <w:rPr>
          <w:spacing w:val="-4"/>
        </w:rPr>
        <w:t xml:space="preserve"> </w:t>
      </w:r>
      <w:r>
        <w:t>implies</w:t>
      </w:r>
      <w:r>
        <w:rPr>
          <w:spacing w:val="-2"/>
        </w:rPr>
        <w:t xml:space="preserve"> </w:t>
      </w:r>
      <w:r>
        <w:t>that</w:t>
      </w:r>
      <w:r>
        <w:rPr>
          <w:spacing w:val="-4"/>
        </w:rPr>
        <w:t xml:space="preserve"> </w:t>
      </w:r>
      <w:r>
        <w:t>once</w:t>
      </w:r>
      <w:r>
        <w:rPr>
          <w:spacing w:val="-1"/>
        </w:rPr>
        <w:t xml:space="preserve"> </w:t>
      </w:r>
      <w:r>
        <w:t>substance</w:t>
      </w:r>
      <w:r>
        <w:rPr>
          <w:spacing w:val="-1"/>
        </w:rPr>
        <w:t xml:space="preserve"> </w:t>
      </w:r>
      <w:r>
        <w:t>use</w:t>
      </w:r>
      <w:r>
        <w:rPr>
          <w:spacing w:val="-4"/>
        </w:rPr>
        <w:t xml:space="preserve"> </w:t>
      </w:r>
      <w:r>
        <w:t>resumes,</w:t>
      </w:r>
      <w:r>
        <w:rPr>
          <w:spacing w:val="-4"/>
        </w:rPr>
        <w:t xml:space="preserve"> </w:t>
      </w:r>
      <w:r>
        <w:t>there</w:t>
      </w:r>
      <w:r>
        <w:rPr>
          <w:spacing w:val="-4"/>
        </w:rPr>
        <w:t xml:space="preserve"> </w:t>
      </w:r>
      <w:r>
        <w:t>is</w:t>
      </w:r>
      <w:r>
        <w:rPr>
          <w:spacing w:val="-2"/>
        </w:rPr>
        <w:t xml:space="preserve"> </w:t>
      </w:r>
      <w:r>
        <w:t>nothing</w:t>
      </w:r>
      <w:r>
        <w:rPr>
          <w:spacing w:val="-3"/>
        </w:rPr>
        <w:t xml:space="preserve"> </w:t>
      </w:r>
      <w:r>
        <w:t>to</w:t>
      </w:r>
      <w:r>
        <w:rPr>
          <w:spacing w:val="-1"/>
        </w:rPr>
        <w:t xml:space="preserve"> </w:t>
      </w:r>
      <w:r>
        <w:t>lose</w:t>
      </w:r>
      <w:r>
        <w:rPr>
          <w:spacing w:val="-1"/>
        </w:rPr>
        <w:t xml:space="preserve"> </w:t>
      </w:r>
      <w:r>
        <w:t>and</w:t>
      </w:r>
      <w:r>
        <w:rPr>
          <w:spacing w:val="-3"/>
        </w:rPr>
        <w:t xml:space="preserve"> </w:t>
      </w:r>
      <w:r>
        <w:t>little that can be done. Instead, the point is to get back on track as soon as possible.</w:t>
      </w:r>
    </w:p>
    <w:p w14:paraId="5D3F6E6A" w14:textId="77777777" w:rsidR="00DB6E1F" w:rsidRDefault="00F666A6">
      <w:pPr>
        <w:pStyle w:val="ListParagraph"/>
        <w:numPr>
          <w:ilvl w:val="0"/>
          <w:numId w:val="92"/>
        </w:numPr>
        <w:tabs>
          <w:tab w:val="left" w:pos="1799"/>
          <w:tab w:val="left" w:pos="1800"/>
        </w:tabs>
        <w:spacing w:before="56"/>
        <w:ind w:left="1799"/>
        <w:rPr>
          <w:rFonts w:ascii="Symbol" w:hAnsi="Symbol"/>
        </w:rPr>
      </w:pPr>
      <w:r>
        <w:rPr>
          <w:b/>
        </w:rPr>
        <w:t>Recurrence</w:t>
      </w:r>
      <w:r>
        <w:rPr>
          <w:b/>
          <w:spacing w:val="-7"/>
        </w:rPr>
        <w:t xml:space="preserve"> </w:t>
      </w:r>
      <w:r>
        <w:rPr>
          <w:b/>
        </w:rPr>
        <w:t>of</w:t>
      </w:r>
      <w:r>
        <w:rPr>
          <w:b/>
          <w:spacing w:val="-4"/>
        </w:rPr>
        <w:t xml:space="preserve"> </w:t>
      </w:r>
      <w:r>
        <w:rPr>
          <w:b/>
        </w:rPr>
        <w:t>symptoms</w:t>
      </w:r>
      <w:r>
        <w:rPr>
          <w:b/>
          <w:spacing w:val="-6"/>
        </w:rPr>
        <w:t xml:space="preserve"> </w:t>
      </w:r>
      <w:r>
        <w:rPr>
          <w:b/>
        </w:rPr>
        <w:t>is</w:t>
      </w:r>
      <w:r>
        <w:rPr>
          <w:b/>
          <w:spacing w:val="-3"/>
        </w:rPr>
        <w:t xml:space="preserve"> </w:t>
      </w:r>
      <w:r>
        <w:rPr>
          <w:b/>
        </w:rPr>
        <w:t>common</w:t>
      </w:r>
      <w:r>
        <w:rPr>
          <w:b/>
          <w:spacing w:val="-4"/>
        </w:rPr>
        <w:t xml:space="preserve"> </w:t>
      </w:r>
      <w:r>
        <w:t>to</w:t>
      </w:r>
      <w:r>
        <w:rPr>
          <w:spacing w:val="-3"/>
        </w:rPr>
        <w:t xml:space="preserve"> </w:t>
      </w:r>
      <w:r>
        <w:t>substance</w:t>
      </w:r>
      <w:r>
        <w:rPr>
          <w:spacing w:val="-3"/>
        </w:rPr>
        <w:t xml:space="preserve"> </w:t>
      </w:r>
      <w:r>
        <w:t>use</w:t>
      </w:r>
      <w:r>
        <w:rPr>
          <w:spacing w:val="-3"/>
        </w:rPr>
        <w:t xml:space="preserve"> </w:t>
      </w:r>
      <w:r>
        <w:t>behaviors</w:t>
      </w:r>
      <w:r>
        <w:rPr>
          <w:spacing w:val="-5"/>
        </w:rPr>
        <w:t xml:space="preserve"> </w:t>
      </w:r>
      <w:r>
        <w:t>and</w:t>
      </w:r>
      <w:r>
        <w:rPr>
          <w:spacing w:val="-5"/>
        </w:rPr>
        <w:t xml:space="preserve"> </w:t>
      </w:r>
      <w:r>
        <w:t>chronic</w:t>
      </w:r>
      <w:r>
        <w:rPr>
          <w:spacing w:val="-6"/>
        </w:rPr>
        <w:t xml:space="preserve"> </w:t>
      </w:r>
      <w:r>
        <w:t>illness</w:t>
      </w:r>
      <w:r>
        <w:rPr>
          <w:spacing w:val="-4"/>
        </w:rPr>
        <w:t xml:space="preserve"> </w:t>
      </w:r>
      <w:r>
        <w:t>in</w:t>
      </w:r>
      <w:r>
        <w:rPr>
          <w:spacing w:val="-4"/>
        </w:rPr>
        <w:t xml:space="preserve"> </w:t>
      </w:r>
      <w:r>
        <w:rPr>
          <w:spacing w:val="-2"/>
        </w:rPr>
        <w:t>general.</w:t>
      </w:r>
    </w:p>
    <w:p w14:paraId="657BAE39" w14:textId="77777777" w:rsidR="00DB6E1F" w:rsidRDefault="00F666A6">
      <w:pPr>
        <w:pStyle w:val="BodyText"/>
        <w:spacing w:before="164"/>
        <w:ind w:left="1439" w:right="1491" w:hanging="1"/>
      </w:pPr>
      <w:r>
        <w:t>Part</w:t>
      </w:r>
      <w:r>
        <w:rPr>
          <w:spacing w:val="-4"/>
        </w:rPr>
        <w:t xml:space="preserve"> </w:t>
      </w:r>
      <w:r>
        <w:t>of</w:t>
      </w:r>
      <w:r>
        <w:rPr>
          <w:spacing w:val="-2"/>
        </w:rPr>
        <w:t xml:space="preserve"> </w:t>
      </w:r>
      <w:r>
        <w:t>a</w:t>
      </w:r>
      <w:r>
        <w:rPr>
          <w:spacing w:val="-4"/>
        </w:rPr>
        <w:t xml:space="preserve"> </w:t>
      </w:r>
      <w:r>
        <w:t>motivational</w:t>
      </w:r>
      <w:r>
        <w:rPr>
          <w:spacing w:val="-2"/>
        </w:rPr>
        <w:t xml:space="preserve"> </w:t>
      </w:r>
      <w:r>
        <w:t>approach</w:t>
      </w:r>
      <w:r>
        <w:rPr>
          <w:spacing w:val="-3"/>
        </w:rPr>
        <w:t xml:space="preserve"> </w:t>
      </w:r>
      <w:r>
        <w:t>in</w:t>
      </w:r>
      <w:r>
        <w:rPr>
          <w:spacing w:val="-4"/>
        </w:rPr>
        <w:t xml:space="preserve"> </w:t>
      </w:r>
      <w:r>
        <w:t>Maintenance</w:t>
      </w:r>
      <w:r>
        <w:rPr>
          <w:spacing w:val="-2"/>
        </w:rPr>
        <w:t xml:space="preserve"> </w:t>
      </w:r>
      <w:r>
        <w:t>has</w:t>
      </w:r>
      <w:r>
        <w:rPr>
          <w:spacing w:val="-4"/>
        </w:rPr>
        <w:t xml:space="preserve"> </w:t>
      </w:r>
      <w:r>
        <w:t>to</w:t>
      </w:r>
      <w:r>
        <w:rPr>
          <w:spacing w:val="-1"/>
        </w:rPr>
        <w:t xml:space="preserve"> </w:t>
      </w:r>
      <w:r>
        <w:t>do</w:t>
      </w:r>
      <w:r>
        <w:rPr>
          <w:spacing w:val="-3"/>
        </w:rPr>
        <w:t xml:space="preserve"> </w:t>
      </w:r>
      <w:r>
        <w:t>with</w:t>
      </w:r>
      <w:r>
        <w:rPr>
          <w:spacing w:val="-5"/>
        </w:rPr>
        <w:t xml:space="preserve"> </w:t>
      </w:r>
      <w:r>
        <w:t>your</w:t>
      </w:r>
      <w:r>
        <w:rPr>
          <w:spacing w:val="-2"/>
        </w:rPr>
        <w:t xml:space="preserve"> </w:t>
      </w:r>
      <w:r>
        <w:t>perspective</w:t>
      </w:r>
      <w:r>
        <w:rPr>
          <w:spacing w:val="-4"/>
        </w:rPr>
        <w:t xml:space="preserve"> </w:t>
      </w:r>
      <w:r>
        <w:t>on</w:t>
      </w:r>
      <w:r>
        <w:rPr>
          <w:spacing w:val="-2"/>
        </w:rPr>
        <w:t xml:space="preserve"> </w:t>
      </w:r>
      <w:r>
        <w:t>a</w:t>
      </w:r>
      <w:r>
        <w:rPr>
          <w:spacing w:val="-2"/>
        </w:rPr>
        <w:t xml:space="preserve"> </w:t>
      </w:r>
      <w:r>
        <w:t>client’s</w:t>
      </w:r>
      <w:r>
        <w:rPr>
          <w:spacing w:val="-2"/>
        </w:rPr>
        <w:t xml:space="preserve"> </w:t>
      </w:r>
      <w:r>
        <w:t>return</w:t>
      </w:r>
      <w:r>
        <w:rPr>
          <w:spacing w:val="-3"/>
        </w:rPr>
        <w:t xml:space="preserve"> </w:t>
      </w:r>
      <w:r>
        <w:t>to substance misuse and how you respond to it. You should:</w:t>
      </w:r>
    </w:p>
    <w:p w14:paraId="54D7B91E" w14:textId="77777777" w:rsidR="00DB6E1F" w:rsidRDefault="00F666A6">
      <w:pPr>
        <w:pStyle w:val="ListParagraph"/>
        <w:numPr>
          <w:ilvl w:val="0"/>
          <w:numId w:val="92"/>
        </w:numPr>
        <w:tabs>
          <w:tab w:val="left" w:pos="1799"/>
          <w:tab w:val="left" w:pos="1800"/>
        </w:tabs>
        <w:ind w:left="1799"/>
        <w:rPr>
          <w:rFonts w:ascii="Symbol" w:hAnsi="Symbol"/>
        </w:rPr>
      </w:pPr>
      <w:r>
        <w:t>Avoid</w:t>
      </w:r>
      <w:r>
        <w:rPr>
          <w:spacing w:val="-8"/>
        </w:rPr>
        <w:t xml:space="preserve"> </w:t>
      </w:r>
      <w:r>
        <w:t>the</w:t>
      </w:r>
      <w:r>
        <w:rPr>
          <w:spacing w:val="-3"/>
        </w:rPr>
        <w:t xml:space="preserve"> </w:t>
      </w:r>
      <w:r>
        <w:t>expert</w:t>
      </w:r>
      <w:r>
        <w:rPr>
          <w:spacing w:val="-4"/>
        </w:rPr>
        <w:t xml:space="preserve"> </w:t>
      </w:r>
      <w:r>
        <w:t>and</w:t>
      </w:r>
      <w:r>
        <w:rPr>
          <w:spacing w:val="-4"/>
        </w:rPr>
        <w:t xml:space="preserve"> </w:t>
      </w:r>
      <w:r>
        <w:t>labeling</w:t>
      </w:r>
      <w:r>
        <w:rPr>
          <w:spacing w:val="-4"/>
        </w:rPr>
        <w:t xml:space="preserve"> </w:t>
      </w:r>
      <w:r>
        <w:t>traps</w:t>
      </w:r>
      <w:r>
        <w:rPr>
          <w:spacing w:val="-4"/>
        </w:rPr>
        <w:t xml:space="preserve"> </w:t>
      </w:r>
      <w:r>
        <w:t>when</w:t>
      </w:r>
      <w:r>
        <w:rPr>
          <w:spacing w:val="-5"/>
        </w:rPr>
        <w:t xml:space="preserve"> </w:t>
      </w:r>
      <w:r>
        <w:t>a</w:t>
      </w:r>
      <w:r>
        <w:rPr>
          <w:spacing w:val="-4"/>
        </w:rPr>
        <w:t xml:space="preserve"> </w:t>
      </w:r>
      <w:r>
        <w:t>client</w:t>
      </w:r>
      <w:r>
        <w:rPr>
          <w:spacing w:val="-4"/>
        </w:rPr>
        <w:t xml:space="preserve"> </w:t>
      </w:r>
      <w:r>
        <w:t>returns</w:t>
      </w:r>
      <w:r>
        <w:rPr>
          <w:spacing w:val="-4"/>
        </w:rPr>
        <w:t xml:space="preserve"> </w:t>
      </w:r>
      <w:r>
        <w:t>to</w:t>
      </w:r>
      <w:r>
        <w:rPr>
          <w:spacing w:val="-4"/>
        </w:rPr>
        <w:t xml:space="preserve"> </w:t>
      </w:r>
      <w:r>
        <w:t>substance</w:t>
      </w:r>
      <w:r>
        <w:rPr>
          <w:spacing w:val="-5"/>
        </w:rPr>
        <w:t xml:space="preserve"> </w:t>
      </w:r>
      <w:r>
        <w:t>use</w:t>
      </w:r>
      <w:r>
        <w:rPr>
          <w:spacing w:val="-4"/>
        </w:rPr>
        <w:t xml:space="preserve"> </w:t>
      </w:r>
      <w:r>
        <w:t>or</w:t>
      </w:r>
      <w:r>
        <w:rPr>
          <w:spacing w:val="-4"/>
        </w:rPr>
        <w:t xml:space="preserve"> </w:t>
      </w:r>
      <w:r>
        <w:t>substance</w:t>
      </w:r>
      <w:r>
        <w:rPr>
          <w:spacing w:val="-4"/>
        </w:rPr>
        <w:t xml:space="preserve"> </w:t>
      </w:r>
      <w:r>
        <w:rPr>
          <w:spacing w:val="-2"/>
        </w:rPr>
        <w:t>misuse.</w:t>
      </w:r>
    </w:p>
    <w:p w14:paraId="72E589C3" w14:textId="77777777" w:rsidR="00DB6E1F" w:rsidRDefault="00F666A6">
      <w:pPr>
        <w:pStyle w:val="ListParagraph"/>
        <w:numPr>
          <w:ilvl w:val="0"/>
          <w:numId w:val="92"/>
        </w:numPr>
        <w:tabs>
          <w:tab w:val="left" w:pos="1799"/>
          <w:tab w:val="left" w:pos="1800"/>
        </w:tabs>
        <w:spacing w:before="59"/>
        <w:ind w:left="1799" w:right="1498" w:hanging="360"/>
        <w:rPr>
          <w:rFonts w:ascii="Symbol" w:hAnsi="Symbol"/>
        </w:rPr>
      </w:pPr>
      <w:r>
        <w:t>Avoid</w:t>
      </w:r>
      <w:r>
        <w:rPr>
          <w:spacing w:val="-5"/>
        </w:rPr>
        <w:t xml:space="preserve"> </w:t>
      </w:r>
      <w:r>
        <w:t>the</w:t>
      </w:r>
      <w:r>
        <w:rPr>
          <w:spacing w:val="-4"/>
        </w:rPr>
        <w:t xml:space="preserve"> </w:t>
      </w:r>
      <w:r>
        <w:t>“righting</w:t>
      </w:r>
      <w:r>
        <w:rPr>
          <w:spacing w:val="-3"/>
        </w:rPr>
        <w:t xml:space="preserve"> </w:t>
      </w:r>
      <w:r>
        <w:t>reflex”</w:t>
      </w:r>
      <w:r>
        <w:rPr>
          <w:spacing w:val="-5"/>
        </w:rPr>
        <w:t xml:space="preserve"> </w:t>
      </w:r>
      <w:r>
        <w:t>and</w:t>
      </w:r>
      <w:r>
        <w:rPr>
          <w:spacing w:val="-3"/>
        </w:rPr>
        <w:t xml:space="preserve"> </w:t>
      </w:r>
      <w:r>
        <w:t>any</w:t>
      </w:r>
      <w:r>
        <w:rPr>
          <w:spacing w:val="-1"/>
        </w:rPr>
        <w:t xml:space="preserve"> </w:t>
      </w:r>
      <w:r>
        <w:t>temptation</w:t>
      </w:r>
      <w:r>
        <w:rPr>
          <w:spacing w:val="-5"/>
        </w:rPr>
        <w:t xml:space="preserve"> </w:t>
      </w:r>
      <w:r>
        <w:t>to</w:t>
      </w:r>
      <w:r>
        <w:rPr>
          <w:spacing w:val="-3"/>
        </w:rPr>
        <w:t xml:space="preserve"> </w:t>
      </w:r>
      <w:r>
        <w:t>lecture,</w:t>
      </w:r>
      <w:r>
        <w:rPr>
          <w:spacing w:val="-2"/>
        </w:rPr>
        <w:t xml:space="preserve"> </w:t>
      </w:r>
      <w:r>
        <w:t>educate,</w:t>
      </w:r>
      <w:r>
        <w:rPr>
          <w:spacing w:val="-2"/>
        </w:rPr>
        <w:t xml:space="preserve"> </w:t>
      </w:r>
      <w:r>
        <w:t>blame,</w:t>
      </w:r>
      <w:r>
        <w:rPr>
          <w:spacing w:val="-4"/>
        </w:rPr>
        <w:t xml:space="preserve"> </w:t>
      </w:r>
      <w:r>
        <w:t>or</w:t>
      </w:r>
      <w:r>
        <w:rPr>
          <w:spacing w:val="-4"/>
        </w:rPr>
        <w:t xml:space="preserve"> </w:t>
      </w:r>
      <w:r>
        <w:t>judge</w:t>
      </w:r>
      <w:r>
        <w:rPr>
          <w:spacing w:val="-1"/>
        </w:rPr>
        <w:t xml:space="preserve"> </w:t>
      </w:r>
      <w:r>
        <w:t>the</w:t>
      </w:r>
      <w:r>
        <w:rPr>
          <w:spacing w:val="-4"/>
        </w:rPr>
        <w:t xml:space="preserve"> </w:t>
      </w:r>
      <w:r>
        <w:t>client</w:t>
      </w:r>
      <w:r>
        <w:rPr>
          <w:spacing w:val="-2"/>
        </w:rPr>
        <w:t xml:space="preserve"> </w:t>
      </w:r>
      <w:r>
        <w:t>(Miller &amp; Rollnick, 2013).</w:t>
      </w:r>
    </w:p>
    <w:p w14:paraId="6AE3042F" w14:textId="77777777" w:rsidR="00DB6E1F" w:rsidRDefault="00F666A6">
      <w:pPr>
        <w:pStyle w:val="ListParagraph"/>
        <w:numPr>
          <w:ilvl w:val="0"/>
          <w:numId w:val="92"/>
        </w:numPr>
        <w:tabs>
          <w:tab w:val="left" w:pos="1799"/>
          <w:tab w:val="left" w:pos="1800"/>
        </w:tabs>
        <w:ind w:left="1799"/>
        <w:rPr>
          <w:rFonts w:ascii="Symbol" w:hAnsi="Symbol"/>
        </w:rPr>
      </w:pPr>
      <w:r>
        <w:t>Explore</w:t>
      </w:r>
      <w:r>
        <w:rPr>
          <w:spacing w:val="-7"/>
        </w:rPr>
        <w:t xml:space="preserve"> </w:t>
      </w:r>
      <w:r>
        <w:t>the</w:t>
      </w:r>
      <w:r>
        <w:rPr>
          <w:spacing w:val="-5"/>
        </w:rPr>
        <w:t xml:space="preserve"> </w:t>
      </w:r>
      <w:r>
        <w:t>client’s</w:t>
      </w:r>
      <w:r>
        <w:rPr>
          <w:spacing w:val="-4"/>
        </w:rPr>
        <w:t xml:space="preserve"> </w:t>
      </w:r>
      <w:r>
        <w:t>understanding</w:t>
      </w:r>
      <w:r>
        <w:rPr>
          <w:spacing w:val="-4"/>
        </w:rPr>
        <w:t xml:space="preserve"> </w:t>
      </w:r>
      <w:r>
        <w:t>of</w:t>
      </w:r>
      <w:r>
        <w:rPr>
          <w:spacing w:val="-3"/>
        </w:rPr>
        <w:t xml:space="preserve"> </w:t>
      </w:r>
      <w:r>
        <w:t>his</w:t>
      </w:r>
      <w:r>
        <w:rPr>
          <w:spacing w:val="-4"/>
        </w:rPr>
        <w:t xml:space="preserve"> </w:t>
      </w:r>
      <w:r>
        <w:t>or</w:t>
      </w:r>
      <w:r>
        <w:rPr>
          <w:spacing w:val="-3"/>
        </w:rPr>
        <w:t xml:space="preserve"> </w:t>
      </w:r>
      <w:r>
        <w:t>her</w:t>
      </w:r>
      <w:r>
        <w:rPr>
          <w:spacing w:val="-2"/>
        </w:rPr>
        <w:t xml:space="preserve"> </w:t>
      </w:r>
      <w:r>
        <w:t>return</w:t>
      </w:r>
      <w:r>
        <w:rPr>
          <w:spacing w:val="-6"/>
        </w:rPr>
        <w:t xml:space="preserve"> </w:t>
      </w:r>
      <w:r>
        <w:t>to</w:t>
      </w:r>
      <w:r>
        <w:rPr>
          <w:spacing w:val="-2"/>
        </w:rPr>
        <w:t xml:space="preserve"> </w:t>
      </w:r>
      <w:r>
        <w:t>substance</w:t>
      </w:r>
      <w:r>
        <w:rPr>
          <w:spacing w:val="-1"/>
        </w:rPr>
        <w:t xml:space="preserve"> </w:t>
      </w:r>
      <w:r>
        <w:rPr>
          <w:spacing w:val="-4"/>
        </w:rPr>
        <w:t>use.</w:t>
      </w:r>
    </w:p>
    <w:p w14:paraId="22247324" w14:textId="77777777" w:rsidR="00DB6E1F" w:rsidRDefault="00F666A6">
      <w:pPr>
        <w:pStyle w:val="ListParagraph"/>
        <w:numPr>
          <w:ilvl w:val="0"/>
          <w:numId w:val="92"/>
        </w:numPr>
        <w:tabs>
          <w:tab w:val="left" w:pos="1799"/>
          <w:tab w:val="left" w:pos="1800"/>
        </w:tabs>
        <w:spacing w:before="61"/>
        <w:ind w:left="1799" w:right="2338" w:hanging="360"/>
        <w:rPr>
          <w:rFonts w:ascii="Symbol" w:hAnsi="Symbol"/>
        </w:rPr>
      </w:pPr>
      <w:r>
        <w:t>Use</w:t>
      </w:r>
      <w:r>
        <w:rPr>
          <w:spacing w:val="-3"/>
        </w:rPr>
        <w:t xml:space="preserve"> </w:t>
      </w:r>
      <w:r>
        <w:t>the</w:t>
      </w:r>
      <w:r>
        <w:rPr>
          <w:spacing w:val="-3"/>
        </w:rPr>
        <w:t xml:space="preserve"> </w:t>
      </w:r>
      <w:r>
        <w:t>same</w:t>
      </w:r>
      <w:r>
        <w:rPr>
          <w:spacing w:val="-6"/>
        </w:rPr>
        <w:t xml:space="preserve"> </w:t>
      </w:r>
      <w:r>
        <w:t>motivational</w:t>
      </w:r>
      <w:r>
        <w:rPr>
          <w:spacing w:val="-7"/>
        </w:rPr>
        <w:t xml:space="preserve"> </w:t>
      </w:r>
      <w:r>
        <w:t>counseling</w:t>
      </w:r>
      <w:r>
        <w:rPr>
          <w:spacing w:val="-5"/>
        </w:rPr>
        <w:t xml:space="preserve"> </w:t>
      </w:r>
      <w:r>
        <w:t>approaches</w:t>
      </w:r>
      <w:r>
        <w:rPr>
          <w:spacing w:val="-4"/>
        </w:rPr>
        <w:t xml:space="preserve"> </w:t>
      </w:r>
      <w:r>
        <w:t>as</w:t>
      </w:r>
      <w:r>
        <w:rPr>
          <w:spacing w:val="-4"/>
        </w:rPr>
        <w:t xml:space="preserve"> </w:t>
      </w:r>
      <w:r>
        <w:t>in</w:t>
      </w:r>
      <w:r>
        <w:rPr>
          <w:spacing w:val="-4"/>
        </w:rPr>
        <w:t xml:space="preserve"> </w:t>
      </w:r>
      <w:r>
        <w:t>Precontemplation,</w:t>
      </w:r>
      <w:r>
        <w:rPr>
          <w:spacing w:val="-6"/>
        </w:rPr>
        <w:t xml:space="preserve"> </w:t>
      </w:r>
      <w:r>
        <w:t>Contemplation, Preparation, and Action, depending on which stage the client is in after the recurrence.</w:t>
      </w:r>
    </w:p>
    <w:p w14:paraId="6B61ED7D" w14:textId="77777777" w:rsidR="00DB6E1F" w:rsidRDefault="00DB6E1F">
      <w:pPr>
        <w:pStyle w:val="BodyText"/>
        <w:spacing w:before="1"/>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539CF17" w14:textId="77777777">
        <w:trPr>
          <w:trHeight w:val="1336"/>
        </w:trPr>
        <w:tc>
          <w:tcPr>
            <w:tcW w:w="9350" w:type="dxa"/>
            <w:shd w:val="clear" w:color="auto" w:fill="E7E6E6"/>
          </w:tcPr>
          <w:p w14:paraId="26E0C434" w14:textId="77777777" w:rsidR="00DB6E1F" w:rsidRDefault="00F666A6">
            <w:pPr>
              <w:pStyle w:val="TableParagraph"/>
              <w:spacing w:before="121"/>
              <w:ind w:left="3177"/>
              <w:rPr>
                <w:b/>
                <w:sz w:val="20"/>
              </w:rPr>
            </w:pPr>
            <w:r>
              <w:rPr>
                <w:b/>
                <w:sz w:val="20"/>
              </w:rPr>
              <w:t>Counselor</w:t>
            </w:r>
            <w:r>
              <w:rPr>
                <w:b/>
                <w:spacing w:val="-6"/>
                <w:sz w:val="20"/>
              </w:rPr>
              <w:t xml:space="preserve"> </w:t>
            </w:r>
            <w:r>
              <w:rPr>
                <w:b/>
                <w:sz w:val="20"/>
              </w:rPr>
              <w:t>Note:</w:t>
            </w:r>
            <w:r>
              <w:rPr>
                <w:b/>
                <w:spacing w:val="-6"/>
                <w:sz w:val="20"/>
              </w:rPr>
              <w:t xml:space="preserve"> </w:t>
            </w:r>
            <w:r>
              <w:rPr>
                <w:b/>
                <w:sz w:val="20"/>
              </w:rPr>
              <w:t>The</w:t>
            </w:r>
            <w:r>
              <w:rPr>
                <w:b/>
                <w:spacing w:val="-8"/>
                <w:sz w:val="20"/>
              </w:rPr>
              <w:t xml:space="preserve"> </w:t>
            </w:r>
            <w:r>
              <w:rPr>
                <w:b/>
                <w:sz w:val="20"/>
              </w:rPr>
              <w:t>Righting</w:t>
            </w:r>
            <w:r>
              <w:rPr>
                <w:b/>
                <w:spacing w:val="-5"/>
                <w:sz w:val="20"/>
              </w:rPr>
              <w:t xml:space="preserve"> </w:t>
            </w:r>
            <w:r>
              <w:rPr>
                <w:b/>
                <w:spacing w:val="-2"/>
                <w:sz w:val="20"/>
              </w:rPr>
              <w:t>Reflex</w:t>
            </w:r>
          </w:p>
          <w:p w14:paraId="17D3D908" w14:textId="77777777" w:rsidR="00DB6E1F" w:rsidRDefault="00F666A6">
            <w:pPr>
              <w:pStyle w:val="TableParagraph"/>
              <w:spacing w:before="121"/>
              <w:ind w:right="169"/>
              <w:rPr>
                <w:sz w:val="20"/>
              </w:rPr>
            </w:pPr>
            <w:r>
              <w:rPr>
                <w:sz w:val="20"/>
              </w:rPr>
              <w:t>Miller and Rollnick (2013) use the term “righting reflex” to describe the natural response to “fix” a person’s problems</w:t>
            </w:r>
            <w:r>
              <w:rPr>
                <w:spacing w:val="-2"/>
                <w:sz w:val="20"/>
              </w:rPr>
              <w:t xml:space="preserve"> </w:t>
            </w:r>
            <w:r>
              <w:rPr>
                <w:sz w:val="20"/>
              </w:rPr>
              <w:t>from</w:t>
            </w:r>
            <w:r>
              <w:rPr>
                <w:spacing w:val="-4"/>
                <w:sz w:val="20"/>
              </w:rPr>
              <w:t xml:space="preserve"> </w:t>
            </w:r>
            <w:r>
              <w:rPr>
                <w:sz w:val="20"/>
              </w:rPr>
              <w:t>a</w:t>
            </w:r>
            <w:r>
              <w:rPr>
                <w:spacing w:val="-3"/>
                <w:sz w:val="20"/>
              </w:rPr>
              <w:t xml:space="preserve"> </w:t>
            </w:r>
            <w:r>
              <w:rPr>
                <w:sz w:val="20"/>
              </w:rPr>
              <w:t>desire</w:t>
            </w:r>
            <w:r>
              <w:rPr>
                <w:spacing w:val="-4"/>
                <w:sz w:val="20"/>
              </w:rPr>
              <w:t xml:space="preserve"> </w:t>
            </w:r>
            <w:r>
              <w:rPr>
                <w:sz w:val="20"/>
              </w:rPr>
              <w:t>to</w:t>
            </w:r>
            <w:r>
              <w:rPr>
                <w:spacing w:val="-3"/>
                <w:sz w:val="20"/>
              </w:rPr>
              <w:t xml:space="preserve"> </w:t>
            </w:r>
            <w:r>
              <w:rPr>
                <w:sz w:val="20"/>
              </w:rPr>
              <w:t>help.</w:t>
            </w:r>
            <w:r>
              <w:rPr>
                <w:spacing w:val="-3"/>
                <w:sz w:val="20"/>
              </w:rPr>
              <w:t xml:space="preserve"> </w:t>
            </w:r>
            <w:r>
              <w:rPr>
                <w:sz w:val="20"/>
              </w:rPr>
              <w:t>This</w:t>
            </w:r>
            <w:r>
              <w:rPr>
                <w:spacing w:val="-4"/>
                <w:sz w:val="20"/>
              </w:rPr>
              <w:t xml:space="preserve"> </w:t>
            </w:r>
            <w:r>
              <w:rPr>
                <w:sz w:val="20"/>
              </w:rPr>
              <w:t>impulse</w:t>
            </w:r>
            <w:r>
              <w:rPr>
                <w:spacing w:val="-4"/>
                <w:sz w:val="20"/>
              </w:rPr>
              <w:t xml:space="preserve"> </w:t>
            </w:r>
            <w:r>
              <w:rPr>
                <w:sz w:val="20"/>
              </w:rPr>
              <w:t>can</w:t>
            </w:r>
            <w:r>
              <w:rPr>
                <w:spacing w:val="-2"/>
                <w:sz w:val="20"/>
              </w:rPr>
              <w:t xml:space="preserve"> </w:t>
            </w:r>
            <w:r>
              <w:rPr>
                <w:sz w:val="20"/>
              </w:rPr>
              <w:t>lead</w:t>
            </w:r>
            <w:r>
              <w:rPr>
                <w:spacing w:val="-2"/>
                <w:sz w:val="20"/>
              </w:rPr>
              <w:t xml:space="preserve"> </w:t>
            </w:r>
            <w:r>
              <w:rPr>
                <w:sz w:val="20"/>
              </w:rPr>
              <w:t>you</w:t>
            </w:r>
            <w:r>
              <w:rPr>
                <w:spacing w:val="-2"/>
                <w:sz w:val="20"/>
              </w:rPr>
              <w:t xml:space="preserve"> </w:t>
            </w:r>
            <w:r>
              <w:rPr>
                <w:sz w:val="20"/>
              </w:rPr>
              <w:t>to</w:t>
            </w:r>
            <w:r>
              <w:rPr>
                <w:spacing w:val="-2"/>
                <w:sz w:val="20"/>
              </w:rPr>
              <w:t xml:space="preserve"> </w:t>
            </w:r>
            <w:r>
              <w:rPr>
                <w:sz w:val="20"/>
              </w:rPr>
              <w:t>becoming</w:t>
            </w:r>
            <w:r>
              <w:rPr>
                <w:spacing w:val="-3"/>
                <w:sz w:val="20"/>
              </w:rPr>
              <w:t xml:space="preserve"> </w:t>
            </w:r>
            <w:r>
              <w:rPr>
                <w:sz w:val="20"/>
              </w:rPr>
              <w:t>overly</w:t>
            </w:r>
            <w:r>
              <w:rPr>
                <w:spacing w:val="-2"/>
                <w:sz w:val="20"/>
              </w:rPr>
              <w:t xml:space="preserve"> </w:t>
            </w:r>
            <w:r>
              <w:rPr>
                <w:sz w:val="20"/>
              </w:rPr>
              <w:t>directive</w:t>
            </w:r>
            <w:r>
              <w:rPr>
                <w:spacing w:val="-4"/>
                <w:sz w:val="20"/>
              </w:rPr>
              <w:t xml:space="preserve"> </w:t>
            </w:r>
            <w:r>
              <w:rPr>
                <w:sz w:val="20"/>
              </w:rPr>
              <w:t>and</w:t>
            </w:r>
            <w:r>
              <w:rPr>
                <w:spacing w:val="-2"/>
                <w:sz w:val="20"/>
              </w:rPr>
              <w:t xml:space="preserve"> </w:t>
            </w:r>
            <w:r>
              <w:rPr>
                <w:b/>
                <w:sz w:val="20"/>
              </w:rPr>
              <w:t>telling</w:t>
            </w:r>
            <w:r>
              <w:rPr>
                <w:b/>
                <w:spacing w:val="-4"/>
                <w:sz w:val="20"/>
              </w:rPr>
              <w:t xml:space="preserve"> </w:t>
            </w:r>
            <w:r>
              <w:rPr>
                <w:sz w:val="20"/>
              </w:rPr>
              <w:t>a</w:t>
            </w:r>
            <w:r>
              <w:rPr>
                <w:spacing w:val="-2"/>
                <w:sz w:val="20"/>
              </w:rPr>
              <w:t xml:space="preserve"> </w:t>
            </w:r>
            <w:r>
              <w:rPr>
                <w:sz w:val="20"/>
              </w:rPr>
              <w:t xml:space="preserve">client what to do instead of </w:t>
            </w:r>
            <w:r>
              <w:rPr>
                <w:b/>
                <w:sz w:val="20"/>
              </w:rPr>
              <w:t>evoking the cli</w:t>
            </w:r>
            <w:r>
              <w:rPr>
                <w:b/>
                <w:sz w:val="20"/>
              </w:rPr>
              <w:t xml:space="preserve">ent’s own motivation and strategies </w:t>
            </w:r>
            <w:r>
              <w:rPr>
                <w:sz w:val="20"/>
              </w:rPr>
              <w:t>for change.</w:t>
            </w:r>
          </w:p>
        </w:tc>
      </w:tr>
    </w:tbl>
    <w:p w14:paraId="05CA6E44" w14:textId="77777777" w:rsidR="00DB6E1F" w:rsidRDefault="00F666A6">
      <w:pPr>
        <w:pStyle w:val="Heading3"/>
        <w:spacing w:before="2"/>
      </w:pPr>
      <w:bookmarkStart w:id="207" w:name="Provide_Relapse_Prevention_Counseling"/>
      <w:bookmarkEnd w:id="207"/>
      <w:r>
        <w:t>Provide</w:t>
      </w:r>
      <w:r>
        <w:rPr>
          <w:spacing w:val="-11"/>
        </w:rPr>
        <w:t xml:space="preserve"> </w:t>
      </w:r>
      <w:r>
        <w:t>Relapse</w:t>
      </w:r>
      <w:r>
        <w:rPr>
          <w:spacing w:val="-9"/>
        </w:rPr>
        <w:t xml:space="preserve"> </w:t>
      </w:r>
      <w:r>
        <w:t>Prevention</w:t>
      </w:r>
      <w:r>
        <w:rPr>
          <w:spacing w:val="-8"/>
        </w:rPr>
        <w:t xml:space="preserve"> </w:t>
      </w:r>
      <w:r>
        <w:rPr>
          <w:spacing w:val="-2"/>
        </w:rPr>
        <w:t>Counseling</w:t>
      </w:r>
    </w:p>
    <w:p w14:paraId="41F4D010" w14:textId="77777777" w:rsidR="00DB6E1F" w:rsidRDefault="00F666A6">
      <w:pPr>
        <w:pStyle w:val="BodyText"/>
        <w:spacing w:before="143"/>
        <w:ind w:left="1439" w:right="1470"/>
      </w:pPr>
      <w:r>
        <w:rPr>
          <w:b/>
        </w:rPr>
        <w:t xml:space="preserve">Recurrence is common in recovery; offer RPC during Maintenance. </w:t>
      </w:r>
      <w:r>
        <w:t>RPC is a cognitive–behavioral therapy (CBT) approach to identifying and managing triggers to use, develop</w:t>
      </w:r>
      <w:r>
        <w:t>ing coping skills, building self-efficacy, and managing setbacks. Although this is a CBT method, you can use motivational counseling</w:t>
      </w:r>
      <w:r>
        <w:rPr>
          <w:spacing w:val="-3"/>
        </w:rPr>
        <w:t xml:space="preserve"> </w:t>
      </w:r>
      <w:r>
        <w:t>strategies</w:t>
      </w:r>
      <w:r>
        <w:rPr>
          <w:spacing w:val="-2"/>
        </w:rPr>
        <w:t xml:space="preserve"> </w:t>
      </w:r>
      <w:r>
        <w:t>to</w:t>
      </w:r>
      <w:r>
        <w:rPr>
          <w:spacing w:val="-1"/>
        </w:rPr>
        <w:t xml:space="preserve"> </w:t>
      </w:r>
      <w:r>
        <w:t>engage</w:t>
      </w:r>
      <w:r>
        <w:rPr>
          <w:spacing w:val="-1"/>
        </w:rPr>
        <w:t xml:space="preserve"> </w:t>
      </w:r>
      <w:r>
        <w:t>clients</w:t>
      </w:r>
      <w:r>
        <w:rPr>
          <w:spacing w:val="-4"/>
        </w:rPr>
        <w:t xml:space="preserve"> </w:t>
      </w:r>
      <w:r>
        <w:t>in</w:t>
      </w:r>
      <w:r>
        <w:rPr>
          <w:spacing w:val="-3"/>
        </w:rPr>
        <w:t xml:space="preserve"> </w:t>
      </w:r>
      <w:r>
        <w:t>the</w:t>
      </w:r>
      <w:r>
        <w:rPr>
          <w:spacing w:val="-1"/>
        </w:rPr>
        <w:t xml:space="preserve"> </w:t>
      </w:r>
      <w:r>
        <w:t>process</w:t>
      </w:r>
      <w:r>
        <w:rPr>
          <w:spacing w:val="-4"/>
        </w:rPr>
        <w:t xml:space="preserve"> </w:t>
      </w:r>
      <w:r>
        <w:t>and</w:t>
      </w:r>
      <w:r>
        <w:rPr>
          <w:spacing w:val="-3"/>
        </w:rPr>
        <w:t xml:space="preserve"> </w:t>
      </w:r>
      <w:r>
        <w:t>help</w:t>
      </w:r>
      <w:r>
        <w:rPr>
          <w:spacing w:val="-3"/>
        </w:rPr>
        <w:t xml:space="preserve"> </w:t>
      </w:r>
      <w:r>
        <w:t>them</w:t>
      </w:r>
      <w:r>
        <w:rPr>
          <w:spacing w:val="-1"/>
        </w:rPr>
        <w:t xml:space="preserve"> </w:t>
      </w:r>
      <w:r>
        <w:t>resolve</w:t>
      </w:r>
      <w:r>
        <w:rPr>
          <w:spacing w:val="-1"/>
        </w:rPr>
        <w:t xml:space="preserve"> </w:t>
      </w:r>
      <w:r>
        <w:t>ambivalence</w:t>
      </w:r>
      <w:r>
        <w:rPr>
          <w:spacing w:val="-4"/>
        </w:rPr>
        <w:t xml:space="preserve"> </w:t>
      </w:r>
      <w:r>
        <w:t>about</w:t>
      </w:r>
      <w:r>
        <w:rPr>
          <w:spacing w:val="-4"/>
        </w:rPr>
        <w:t xml:space="preserve"> </w:t>
      </w:r>
      <w:r>
        <w:t>learning and practicing new coping skills. (Chapter 8 provides more information about blending motivational interviewing and CBT.)</w:t>
      </w:r>
    </w:p>
    <w:p w14:paraId="67DED9D7" w14:textId="77777777" w:rsidR="00DB6E1F" w:rsidRDefault="00F666A6">
      <w:pPr>
        <w:pStyle w:val="BodyText"/>
        <w:spacing w:before="159"/>
        <w:ind w:left="1439"/>
      </w:pPr>
      <w:r>
        <w:t>The</w:t>
      </w:r>
      <w:r>
        <w:rPr>
          <w:spacing w:val="-2"/>
        </w:rPr>
        <w:t xml:space="preserve"> </w:t>
      </w:r>
      <w:r>
        <w:t>two</w:t>
      </w:r>
      <w:r>
        <w:rPr>
          <w:spacing w:val="-3"/>
        </w:rPr>
        <w:t xml:space="preserve"> </w:t>
      </w:r>
      <w:r>
        <w:t>major</w:t>
      </w:r>
      <w:r>
        <w:rPr>
          <w:spacing w:val="-4"/>
        </w:rPr>
        <w:t xml:space="preserve"> </w:t>
      </w:r>
      <w:r>
        <w:t>components</w:t>
      </w:r>
      <w:r>
        <w:rPr>
          <w:spacing w:val="-2"/>
        </w:rPr>
        <w:t xml:space="preserve"> </w:t>
      </w:r>
      <w:r>
        <w:t>of</w:t>
      </w:r>
      <w:r>
        <w:rPr>
          <w:spacing w:val="-4"/>
        </w:rPr>
        <w:t xml:space="preserve"> </w:t>
      </w:r>
      <w:r>
        <w:t>RPC</w:t>
      </w:r>
      <w:r>
        <w:rPr>
          <w:spacing w:val="-3"/>
        </w:rPr>
        <w:t xml:space="preserve"> </w:t>
      </w:r>
      <w:r>
        <w:rPr>
          <w:spacing w:val="-4"/>
        </w:rPr>
        <w:t>are:</w:t>
      </w:r>
    </w:p>
    <w:p w14:paraId="6B57F9C0" w14:textId="77777777" w:rsidR="00DB6E1F" w:rsidRDefault="00F666A6">
      <w:pPr>
        <w:pStyle w:val="ListParagraph"/>
        <w:numPr>
          <w:ilvl w:val="0"/>
          <w:numId w:val="92"/>
        </w:numPr>
        <w:tabs>
          <w:tab w:val="left" w:pos="1798"/>
          <w:tab w:val="left" w:pos="1800"/>
        </w:tabs>
        <w:spacing w:before="61"/>
        <w:ind w:left="1799" w:right="1656"/>
        <w:rPr>
          <w:rFonts w:ascii="Symbol" w:hAnsi="Symbol"/>
        </w:rPr>
      </w:pPr>
      <w:r>
        <w:rPr>
          <w:b/>
        </w:rPr>
        <w:t xml:space="preserve">Addressing the nature of the relapse process </w:t>
      </w:r>
      <w:r>
        <w:t>through education and an analysis of high-r</w:t>
      </w:r>
      <w:r>
        <w:t>isk situations,</w:t>
      </w:r>
      <w:r>
        <w:rPr>
          <w:spacing w:val="-4"/>
        </w:rPr>
        <w:t xml:space="preserve"> </w:t>
      </w:r>
      <w:r>
        <w:t>warning</w:t>
      </w:r>
      <w:r>
        <w:rPr>
          <w:spacing w:val="-4"/>
        </w:rPr>
        <w:t xml:space="preserve"> </w:t>
      </w:r>
      <w:r>
        <w:t>signs,</w:t>
      </w:r>
      <w:r>
        <w:rPr>
          <w:spacing w:val="-3"/>
        </w:rPr>
        <w:t xml:space="preserve"> </w:t>
      </w:r>
      <w:r>
        <w:t>and</w:t>
      </w:r>
      <w:r>
        <w:rPr>
          <w:spacing w:val="-4"/>
        </w:rPr>
        <w:t xml:space="preserve"> </w:t>
      </w:r>
      <w:r>
        <w:t>other</w:t>
      </w:r>
      <w:r>
        <w:rPr>
          <w:spacing w:val="-3"/>
        </w:rPr>
        <w:t xml:space="preserve"> </w:t>
      </w:r>
      <w:r>
        <w:t>factors</w:t>
      </w:r>
      <w:r>
        <w:rPr>
          <w:spacing w:val="-3"/>
        </w:rPr>
        <w:t xml:space="preserve"> </w:t>
      </w:r>
      <w:r>
        <w:t>that</w:t>
      </w:r>
      <w:r>
        <w:rPr>
          <w:spacing w:val="-2"/>
        </w:rPr>
        <w:t xml:space="preserve"> </w:t>
      </w:r>
      <w:r>
        <w:t>contribute</w:t>
      </w:r>
      <w:r>
        <w:rPr>
          <w:spacing w:val="-2"/>
        </w:rPr>
        <w:t xml:space="preserve"> </w:t>
      </w:r>
      <w:r>
        <w:t>to</w:t>
      </w:r>
      <w:r>
        <w:rPr>
          <w:spacing w:val="-2"/>
        </w:rPr>
        <w:t xml:space="preserve"> </w:t>
      </w:r>
      <w:r>
        <w:t>relapse,</w:t>
      </w:r>
      <w:r>
        <w:rPr>
          <w:spacing w:val="-3"/>
        </w:rPr>
        <w:t xml:space="preserve"> </w:t>
      </w:r>
      <w:r>
        <w:t>as</w:t>
      </w:r>
      <w:r>
        <w:rPr>
          <w:spacing w:val="-4"/>
        </w:rPr>
        <w:t xml:space="preserve"> </w:t>
      </w:r>
      <w:r>
        <w:t>well</w:t>
      </w:r>
      <w:r>
        <w:rPr>
          <w:spacing w:val="-5"/>
        </w:rPr>
        <w:t xml:space="preserve"> </w:t>
      </w:r>
      <w:r>
        <w:t>as</w:t>
      </w:r>
      <w:r>
        <w:rPr>
          <w:spacing w:val="-3"/>
        </w:rPr>
        <w:t xml:space="preserve"> </w:t>
      </w:r>
      <w:r>
        <w:t>clients’</w:t>
      </w:r>
      <w:r>
        <w:rPr>
          <w:spacing w:val="-1"/>
        </w:rPr>
        <w:t xml:space="preserve"> </w:t>
      </w:r>
      <w:r>
        <w:t>strengths.</w:t>
      </w:r>
    </w:p>
    <w:p w14:paraId="29152320" w14:textId="77777777" w:rsidR="00DB6E1F" w:rsidRDefault="00F666A6">
      <w:pPr>
        <w:pStyle w:val="ListParagraph"/>
        <w:numPr>
          <w:ilvl w:val="0"/>
          <w:numId w:val="92"/>
        </w:numPr>
        <w:tabs>
          <w:tab w:val="left" w:pos="1798"/>
          <w:tab w:val="left" w:pos="1800"/>
        </w:tabs>
        <w:ind w:left="1798" w:right="1535" w:hanging="360"/>
        <w:rPr>
          <w:rFonts w:ascii="Symbol" w:hAnsi="Symbol"/>
        </w:rPr>
      </w:pPr>
      <w:r>
        <w:rPr>
          <w:b/>
        </w:rPr>
        <w:t xml:space="preserve">Providing coping-skills training. </w:t>
      </w:r>
      <w:r>
        <w:t>Identify and develop clients’ coping strategies that are useful in maintaining</w:t>
      </w:r>
      <w:r>
        <w:rPr>
          <w:spacing w:val="-3"/>
        </w:rPr>
        <w:t xml:space="preserve"> </w:t>
      </w:r>
      <w:r>
        <w:t>both</w:t>
      </w:r>
      <w:r>
        <w:rPr>
          <w:spacing w:val="-3"/>
        </w:rPr>
        <w:t xml:space="preserve"> </w:t>
      </w:r>
      <w:r>
        <w:t>cognitive</w:t>
      </w:r>
      <w:r>
        <w:rPr>
          <w:spacing w:val="-6"/>
        </w:rPr>
        <w:t xml:space="preserve"> </w:t>
      </w:r>
      <w:r>
        <w:t>and</w:t>
      </w:r>
      <w:r>
        <w:rPr>
          <w:spacing w:val="-3"/>
        </w:rPr>
        <w:t xml:space="preserve"> </w:t>
      </w:r>
      <w:r>
        <w:t>behavioral</w:t>
      </w:r>
      <w:r>
        <w:rPr>
          <w:spacing w:val="-2"/>
        </w:rPr>
        <w:t xml:space="preserve"> </w:t>
      </w:r>
      <w:r>
        <w:t>chang</w:t>
      </w:r>
      <w:r>
        <w:t>es</w:t>
      </w:r>
      <w:r>
        <w:rPr>
          <w:spacing w:val="-4"/>
        </w:rPr>
        <w:t xml:space="preserve"> </w:t>
      </w:r>
      <w:r>
        <w:t>that</w:t>
      </w:r>
      <w:r>
        <w:rPr>
          <w:spacing w:val="-1"/>
        </w:rPr>
        <w:t xml:space="preserve"> </w:t>
      </w:r>
      <w:r>
        <w:t>promote</w:t>
      </w:r>
      <w:r>
        <w:rPr>
          <w:spacing w:val="-4"/>
        </w:rPr>
        <w:t xml:space="preserve"> </w:t>
      </w:r>
      <w:r>
        <w:t>recovery</w:t>
      </w:r>
      <w:r>
        <w:rPr>
          <w:spacing w:val="-3"/>
        </w:rPr>
        <w:t xml:space="preserve"> </w:t>
      </w:r>
      <w:r>
        <w:t>and</w:t>
      </w:r>
      <w:r>
        <w:rPr>
          <w:spacing w:val="-3"/>
        </w:rPr>
        <w:t xml:space="preserve"> </w:t>
      </w:r>
      <w:r>
        <w:t>lessen</w:t>
      </w:r>
      <w:r>
        <w:rPr>
          <w:spacing w:val="-3"/>
        </w:rPr>
        <w:t xml:space="preserve"> </w:t>
      </w:r>
      <w:r>
        <w:t>the</w:t>
      </w:r>
      <w:r>
        <w:rPr>
          <w:spacing w:val="-1"/>
        </w:rPr>
        <w:t xml:space="preserve"> </w:t>
      </w:r>
      <w:r>
        <w:t xml:space="preserve">likelihood of relapse. (See the section “Identify high-risk situations and coping strategies” above in this </w:t>
      </w:r>
      <w:r>
        <w:rPr>
          <w:spacing w:val="-2"/>
        </w:rPr>
        <w:t>chapter.)</w:t>
      </w:r>
    </w:p>
    <w:p w14:paraId="2AF15D84" w14:textId="77777777" w:rsidR="00DB6E1F" w:rsidRDefault="00F666A6">
      <w:pPr>
        <w:pStyle w:val="BodyText"/>
        <w:spacing w:before="160"/>
        <w:ind w:left="1438" w:right="1491"/>
      </w:pPr>
      <w:r>
        <w:t>The</w:t>
      </w:r>
      <w:r>
        <w:rPr>
          <w:spacing w:val="-1"/>
        </w:rPr>
        <w:t xml:space="preserve"> </w:t>
      </w:r>
      <w:r>
        <w:t>Marlatt</w:t>
      </w:r>
      <w:r>
        <w:rPr>
          <w:spacing w:val="-4"/>
        </w:rPr>
        <w:t xml:space="preserve"> </w:t>
      </w:r>
      <w:r>
        <w:t>model</w:t>
      </w:r>
      <w:r>
        <w:rPr>
          <w:spacing w:val="-5"/>
        </w:rPr>
        <w:t xml:space="preserve"> </w:t>
      </w:r>
      <w:r>
        <w:t>(Witkiewitz</w:t>
      </w:r>
      <w:r>
        <w:rPr>
          <w:spacing w:val="-3"/>
        </w:rPr>
        <w:t xml:space="preserve"> </w:t>
      </w:r>
      <w:r>
        <w:t>&amp;</w:t>
      </w:r>
      <w:r>
        <w:rPr>
          <w:spacing w:val="-4"/>
        </w:rPr>
        <w:t xml:space="preserve"> </w:t>
      </w:r>
      <w:r>
        <w:t>Marlatt,</w:t>
      </w:r>
      <w:r>
        <w:rPr>
          <w:spacing w:val="-4"/>
        </w:rPr>
        <w:t xml:space="preserve"> </w:t>
      </w:r>
      <w:r>
        <w:t>2007)</w:t>
      </w:r>
      <w:r>
        <w:rPr>
          <w:spacing w:val="-2"/>
        </w:rPr>
        <w:t xml:space="preserve"> </w:t>
      </w:r>
      <w:r>
        <w:t>is</w:t>
      </w:r>
      <w:r>
        <w:rPr>
          <w:spacing w:val="-4"/>
        </w:rPr>
        <w:t xml:space="preserve"> </w:t>
      </w:r>
      <w:r>
        <w:t>the</w:t>
      </w:r>
      <w:r>
        <w:rPr>
          <w:spacing w:val="-4"/>
        </w:rPr>
        <w:t xml:space="preserve"> </w:t>
      </w:r>
      <w:r>
        <w:t>most</w:t>
      </w:r>
      <w:r>
        <w:rPr>
          <w:spacing w:val="-4"/>
        </w:rPr>
        <w:t xml:space="preserve"> </w:t>
      </w:r>
      <w:r>
        <w:t>widely</w:t>
      </w:r>
      <w:r>
        <w:rPr>
          <w:spacing w:val="-1"/>
        </w:rPr>
        <w:t xml:space="preserve"> </w:t>
      </w:r>
      <w:r>
        <w:t>researched</w:t>
      </w:r>
      <w:r>
        <w:rPr>
          <w:spacing w:val="-5"/>
        </w:rPr>
        <w:t xml:space="preserve"> </w:t>
      </w:r>
      <w:r>
        <w:t>and</w:t>
      </w:r>
      <w:r>
        <w:rPr>
          <w:spacing w:val="-3"/>
        </w:rPr>
        <w:t xml:space="preserve"> </w:t>
      </w:r>
      <w:r>
        <w:t>implemented</w:t>
      </w:r>
      <w:r>
        <w:rPr>
          <w:spacing w:val="-3"/>
        </w:rPr>
        <w:t xml:space="preserve"> </w:t>
      </w:r>
      <w:r>
        <w:t>RPC approach in behavioral health services. Many of its strategies have been applied to counseling for</w:t>
      </w:r>
    </w:p>
    <w:p w14:paraId="089D5118" w14:textId="77777777" w:rsidR="00DB6E1F" w:rsidRDefault="00DB6E1F">
      <w:pPr>
        <w:sectPr w:rsidR="00DB6E1F">
          <w:pgSz w:w="12240" w:h="15840"/>
          <w:pgMar w:top="1200" w:right="0" w:bottom="780" w:left="0" w:header="763" w:footer="585" w:gutter="0"/>
          <w:cols w:space="720"/>
        </w:sectPr>
      </w:pPr>
    </w:p>
    <w:p w14:paraId="163CCBC8" w14:textId="77777777" w:rsidR="00DB6E1F" w:rsidRDefault="00DB6E1F">
      <w:pPr>
        <w:pStyle w:val="BodyText"/>
        <w:spacing w:before="8"/>
        <w:rPr>
          <w:sz w:val="14"/>
        </w:rPr>
      </w:pPr>
    </w:p>
    <w:p w14:paraId="356264C4" w14:textId="77777777" w:rsidR="00DB6E1F" w:rsidRDefault="00F666A6">
      <w:pPr>
        <w:pStyle w:val="BodyText"/>
        <w:spacing w:before="56"/>
        <w:ind w:left="1440"/>
      </w:pPr>
      <w:r>
        <w:t>relapse</w:t>
      </w:r>
      <w:r>
        <w:rPr>
          <w:spacing w:val="-5"/>
        </w:rPr>
        <w:t xml:space="preserve"> </w:t>
      </w:r>
      <w:r>
        <w:t>prevention</w:t>
      </w:r>
      <w:r>
        <w:rPr>
          <w:spacing w:val="-5"/>
        </w:rPr>
        <w:t xml:space="preserve"> </w:t>
      </w:r>
      <w:r>
        <w:t>with</w:t>
      </w:r>
      <w:r>
        <w:rPr>
          <w:spacing w:val="-4"/>
        </w:rPr>
        <w:t xml:space="preserve"> </w:t>
      </w:r>
      <w:r>
        <w:t>people</w:t>
      </w:r>
      <w:r>
        <w:rPr>
          <w:spacing w:val="-5"/>
        </w:rPr>
        <w:t xml:space="preserve"> </w:t>
      </w:r>
      <w:r>
        <w:t>with</w:t>
      </w:r>
      <w:r>
        <w:rPr>
          <w:spacing w:val="-3"/>
        </w:rPr>
        <w:t xml:space="preserve"> </w:t>
      </w:r>
      <w:r>
        <w:t>SUDs</w:t>
      </w:r>
      <w:r>
        <w:rPr>
          <w:spacing w:val="-3"/>
        </w:rPr>
        <w:t xml:space="preserve"> </w:t>
      </w:r>
      <w:r>
        <w:t>and</w:t>
      </w:r>
      <w:r>
        <w:rPr>
          <w:spacing w:val="-4"/>
        </w:rPr>
        <w:t xml:space="preserve"> </w:t>
      </w:r>
      <w:r>
        <w:t>CODs.</w:t>
      </w:r>
      <w:r>
        <w:rPr>
          <w:spacing w:val="-6"/>
        </w:rPr>
        <w:t xml:space="preserve"> </w:t>
      </w:r>
      <w:r>
        <w:t>The</w:t>
      </w:r>
      <w:r>
        <w:rPr>
          <w:spacing w:val="-2"/>
        </w:rPr>
        <w:t xml:space="preserve"> </w:t>
      </w:r>
      <w:r>
        <w:t>two</w:t>
      </w:r>
      <w:r>
        <w:rPr>
          <w:spacing w:val="-4"/>
        </w:rPr>
        <w:t xml:space="preserve"> </w:t>
      </w:r>
      <w:r>
        <w:t>key</w:t>
      </w:r>
      <w:r>
        <w:rPr>
          <w:spacing w:val="-3"/>
        </w:rPr>
        <w:t xml:space="preserve"> </w:t>
      </w:r>
      <w:r>
        <w:t>features</w:t>
      </w:r>
      <w:r>
        <w:rPr>
          <w:spacing w:val="-4"/>
        </w:rPr>
        <w:t xml:space="preserve"> </w:t>
      </w:r>
      <w:r>
        <w:t>of</w:t>
      </w:r>
      <w:r>
        <w:rPr>
          <w:spacing w:val="-5"/>
        </w:rPr>
        <w:t xml:space="preserve"> </w:t>
      </w:r>
      <w:r>
        <w:t>the</w:t>
      </w:r>
      <w:r>
        <w:rPr>
          <w:spacing w:val="-3"/>
        </w:rPr>
        <w:t xml:space="preserve"> </w:t>
      </w:r>
      <w:r>
        <w:t>Marlatt</w:t>
      </w:r>
      <w:r>
        <w:rPr>
          <w:spacing w:val="-4"/>
        </w:rPr>
        <w:t xml:space="preserve"> </w:t>
      </w:r>
      <w:r>
        <w:t>model</w:t>
      </w:r>
      <w:r>
        <w:rPr>
          <w:spacing w:val="-3"/>
        </w:rPr>
        <w:t xml:space="preserve"> </w:t>
      </w:r>
      <w:r>
        <w:rPr>
          <w:spacing w:val="-4"/>
        </w:rPr>
        <w:t>are:</w:t>
      </w:r>
    </w:p>
    <w:p w14:paraId="1AC07405" w14:textId="77777777" w:rsidR="00DB6E1F" w:rsidRDefault="00F666A6">
      <w:pPr>
        <w:pStyle w:val="ListParagraph"/>
        <w:numPr>
          <w:ilvl w:val="0"/>
          <w:numId w:val="40"/>
        </w:numPr>
        <w:tabs>
          <w:tab w:val="left" w:pos="1800"/>
        </w:tabs>
        <w:ind w:right="2214"/>
      </w:pPr>
      <w:r>
        <w:t>Helping</w:t>
      </w:r>
      <w:r>
        <w:rPr>
          <w:spacing w:val="-3"/>
        </w:rPr>
        <w:t xml:space="preserve"> </w:t>
      </w:r>
      <w:r>
        <w:t>clients</w:t>
      </w:r>
      <w:r>
        <w:rPr>
          <w:spacing w:val="-2"/>
        </w:rPr>
        <w:t xml:space="preserve"> </w:t>
      </w:r>
      <w:r>
        <w:t>recognize</w:t>
      </w:r>
      <w:r>
        <w:rPr>
          <w:spacing w:val="-4"/>
        </w:rPr>
        <w:t xml:space="preserve"> </w:t>
      </w:r>
      <w:r>
        <w:t>and</w:t>
      </w:r>
      <w:r>
        <w:rPr>
          <w:spacing w:val="-3"/>
        </w:rPr>
        <w:t xml:space="preserve"> </w:t>
      </w:r>
      <w:r>
        <w:t>manage</w:t>
      </w:r>
      <w:r>
        <w:rPr>
          <w:spacing w:val="-1"/>
        </w:rPr>
        <w:t xml:space="preserve"> </w:t>
      </w:r>
      <w:r>
        <w:t>high-risk</w:t>
      </w:r>
      <w:r>
        <w:rPr>
          <w:spacing w:val="-4"/>
        </w:rPr>
        <w:t xml:space="preserve"> </w:t>
      </w:r>
      <w:r>
        <w:t>situations</w:t>
      </w:r>
      <w:r>
        <w:rPr>
          <w:spacing w:val="-2"/>
        </w:rPr>
        <w:t xml:space="preserve"> </w:t>
      </w:r>
      <w:r>
        <w:t>in</w:t>
      </w:r>
      <w:r>
        <w:rPr>
          <w:spacing w:val="-3"/>
        </w:rPr>
        <w:t xml:space="preserve"> </w:t>
      </w:r>
      <w:r>
        <w:t>which</w:t>
      </w:r>
      <w:r>
        <w:rPr>
          <w:spacing w:val="-5"/>
        </w:rPr>
        <w:t xml:space="preserve"> </w:t>
      </w:r>
      <w:r>
        <w:t>they</w:t>
      </w:r>
      <w:r>
        <w:rPr>
          <w:spacing w:val="-1"/>
        </w:rPr>
        <w:t xml:space="preserve"> </w:t>
      </w:r>
      <w:r>
        <w:t>are</w:t>
      </w:r>
      <w:r>
        <w:rPr>
          <w:spacing w:val="-4"/>
        </w:rPr>
        <w:t xml:space="preserve"> </w:t>
      </w:r>
      <w:r>
        <w:t>most</w:t>
      </w:r>
      <w:r>
        <w:rPr>
          <w:spacing w:val="-4"/>
        </w:rPr>
        <w:t xml:space="preserve"> </w:t>
      </w:r>
      <w:r>
        <w:t>likely</w:t>
      </w:r>
      <w:r>
        <w:rPr>
          <w:spacing w:val="-4"/>
        </w:rPr>
        <w:t xml:space="preserve"> </w:t>
      </w:r>
      <w:r>
        <w:t>to</w:t>
      </w:r>
      <w:r>
        <w:rPr>
          <w:spacing w:val="-2"/>
        </w:rPr>
        <w:t xml:space="preserve"> </w:t>
      </w:r>
      <w:r>
        <w:t>be tempted to immediately use substances or engage in other risky behaviors.</w:t>
      </w:r>
    </w:p>
    <w:p w14:paraId="642F9BDC" w14:textId="77777777" w:rsidR="00DB6E1F" w:rsidRDefault="00F666A6">
      <w:pPr>
        <w:pStyle w:val="ListParagraph"/>
        <w:numPr>
          <w:ilvl w:val="0"/>
          <w:numId w:val="40"/>
        </w:numPr>
        <w:tabs>
          <w:tab w:val="left" w:pos="1801"/>
        </w:tabs>
        <w:spacing w:before="61"/>
        <w:ind w:left="1800" w:right="1532"/>
      </w:pPr>
      <w:r>
        <w:t>Creating</w:t>
      </w:r>
      <w:r>
        <w:rPr>
          <w:spacing w:val="-3"/>
        </w:rPr>
        <w:t xml:space="preserve"> </w:t>
      </w:r>
      <w:r>
        <w:t>a</w:t>
      </w:r>
      <w:r>
        <w:rPr>
          <w:spacing w:val="-2"/>
        </w:rPr>
        <w:t xml:space="preserve"> </w:t>
      </w:r>
      <w:r>
        <w:t>relapse</w:t>
      </w:r>
      <w:r>
        <w:rPr>
          <w:spacing w:val="-4"/>
        </w:rPr>
        <w:t xml:space="preserve"> </w:t>
      </w:r>
      <w:r>
        <w:t>management</w:t>
      </w:r>
      <w:r>
        <w:rPr>
          <w:spacing w:val="-4"/>
        </w:rPr>
        <w:t xml:space="preserve"> </w:t>
      </w:r>
      <w:r>
        <w:t>plan</w:t>
      </w:r>
      <w:r>
        <w:rPr>
          <w:spacing w:val="-3"/>
        </w:rPr>
        <w:t xml:space="preserve"> </w:t>
      </w:r>
      <w:r>
        <w:t>that</w:t>
      </w:r>
      <w:r>
        <w:rPr>
          <w:spacing w:val="-1"/>
        </w:rPr>
        <w:t xml:space="preserve"> </w:t>
      </w:r>
      <w:r>
        <w:t>includes</w:t>
      </w:r>
      <w:r>
        <w:rPr>
          <w:spacing w:val="-2"/>
        </w:rPr>
        <w:t xml:space="preserve"> </w:t>
      </w:r>
      <w:r>
        <w:t>positive</w:t>
      </w:r>
      <w:r>
        <w:rPr>
          <w:spacing w:val="-4"/>
        </w:rPr>
        <w:t xml:space="preserve"> </w:t>
      </w:r>
      <w:r>
        <w:t>coping</w:t>
      </w:r>
      <w:r>
        <w:rPr>
          <w:spacing w:val="-3"/>
        </w:rPr>
        <w:t xml:space="preserve"> </w:t>
      </w:r>
      <w:r>
        <w:t>strategies</w:t>
      </w:r>
      <w:r>
        <w:rPr>
          <w:spacing w:val="-2"/>
        </w:rPr>
        <w:t xml:space="preserve"> </w:t>
      </w:r>
      <w:r>
        <w:t>to</w:t>
      </w:r>
      <w:r>
        <w:rPr>
          <w:spacing w:val="-1"/>
        </w:rPr>
        <w:t xml:space="preserve"> </w:t>
      </w:r>
      <w:r>
        <w:t>lessen</w:t>
      </w:r>
      <w:r>
        <w:rPr>
          <w:spacing w:val="-3"/>
        </w:rPr>
        <w:t xml:space="preserve"> </w:t>
      </w:r>
      <w:r>
        <w:t>the</w:t>
      </w:r>
      <w:r>
        <w:rPr>
          <w:spacing w:val="-1"/>
        </w:rPr>
        <w:t xml:space="preserve"> </w:t>
      </w:r>
      <w:r>
        <w:t>impact</w:t>
      </w:r>
      <w:r>
        <w:rPr>
          <w:spacing w:val="-4"/>
        </w:rPr>
        <w:t xml:space="preserve"> </w:t>
      </w:r>
      <w:r>
        <w:t>of a recurrence, if it happens, and avoid a full relapse.</w:t>
      </w:r>
    </w:p>
    <w:p w14:paraId="117B4208" w14:textId="77777777" w:rsidR="00DB6E1F" w:rsidRDefault="00F666A6">
      <w:pPr>
        <w:pStyle w:val="BodyText"/>
        <w:spacing w:before="158"/>
        <w:ind w:left="1440"/>
      </w:pPr>
      <w:r>
        <w:t>The</w:t>
      </w:r>
      <w:r>
        <w:rPr>
          <w:spacing w:val="-3"/>
        </w:rPr>
        <w:t xml:space="preserve"> </w:t>
      </w:r>
      <w:r>
        <w:t>two</w:t>
      </w:r>
      <w:r>
        <w:rPr>
          <w:spacing w:val="-5"/>
        </w:rPr>
        <w:t xml:space="preserve"> </w:t>
      </w:r>
      <w:r>
        <w:t>elements</w:t>
      </w:r>
      <w:r>
        <w:rPr>
          <w:spacing w:val="-5"/>
        </w:rPr>
        <w:t xml:space="preserve"> </w:t>
      </w:r>
      <w:r>
        <w:t>of</w:t>
      </w:r>
      <w:r>
        <w:rPr>
          <w:spacing w:val="-3"/>
        </w:rPr>
        <w:t xml:space="preserve"> </w:t>
      </w:r>
      <w:r>
        <w:t>a</w:t>
      </w:r>
      <w:r>
        <w:rPr>
          <w:spacing w:val="-4"/>
        </w:rPr>
        <w:t xml:space="preserve"> </w:t>
      </w:r>
      <w:r>
        <w:t>high-risk</w:t>
      </w:r>
      <w:r>
        <w:rPr>
          <w:spacing w:val="-3"/>
        </w:rPr>
        <w:t xml:space="preserve"> </w:t>
      </w:r>
      <w:r>
        <w:t>situation</w:t>
      </w:r>
      <w:r>
        <w:rPr>
          <w:spacing w:val="-4"/>
        </w:rPr>
        <w:t xml:space="preserve"> </w:t>
      </w:r>
      <w:r>
        <w:t>that</w:t>
      </w:r>
      <w:r>
        <w:rPr>
          <w:spacing w:val="-3"/>
        </w:rPr>
        <w:t xml:space="preserve"> </w:t>
      </w:r>
      <w:r>
        <w:t>increase</w:t>
      </w:r>
      <w:r>
        <w:rPr>
          <w:spacing w:val="-5"/>
        </w:rPr>
        <w:t xml:space="preserve"> </w:t>
      </w:r>
      <w:r>
        <w:t>the</w:t>
      </w:r>
      <w:r>
        <w:rPr>
          <w:spacing w:val="-3"/>
        </w:rPr>
        <w:t xml:space="preserve"> </w:t>
      </w:r>
      <w:r>
        <w:t>client’s</w:t>
      </w:r>
      <w:r>
        <w:rPr>
          <w:spacing w:val="-3"/>
        </w:rPr>
        <w:t xml:space="preserve"> </w:t>
      </w:r>
      <w:r>
        <w:t>risk</w:t>
      </w:r>
      <w:r>
        <w:rPr>
          <w:spacing w:val="-6"/>
        </w:rPr>
        <w:t xml:space="preserve"> </w:t>
      </w:r>
      <w:r>
        <w:t>of</w:t>
      </w:r>
      <w:r>
        <w:rPr>
          <w:spacing w:val="-3"/>
        </w:rPr>
        <w:t xml:space="preserve"> </w:t>
      </w:r>
      <w:r>
        <w:t>relapse</w:t>
      </w:r>
      <w:r>
        <w:rPr>
          <w:spacing w:val="-4"/>
        </w:rPr>
        <w:t xml:space="preserve"> are:</w:t>
      </w:r>
    </w:p>
    <w:p w14:paraId="40A0F117" w14:textId="77777777" w:rsidR="00DB6E1F" w:rsidRDefault="00F666A6">
      <w:pPr>
        <w:pStyle w:val="ListParagraph"/>
        <w:numPr>
          <w:ilvl w:val="0"/>
          <w:numId w:val="92"/>
        </w:numPr>
        <w:tabs>
          <w:tab w:val="left" w:pos="1799"/>
          <w:tab w:val="left" w:pos="1800"/>
        </w:tabs>
        <w:spacing w:before="61"/>
        <w:ind w:left="1799"/>
        <w:rPr>
          <w:rFonts w:ascii="Symbol" w:hAnsi="Symbol"/>
        </w:rPr>
      </w:pPr>
      <w:r>
        <w:rPr>
          <w:b/>
        </w:rPr>
        <w:t>Internal</w:t>
      </w:r>
      <w:r>
        <w:rPr>
          <w:b/>
          <w:spacing w:val="-3"/>
        </w:rPr>
        <w:t xml:space="preserve"> </w:t>
      </w:r>
      <w:r>
        <w:rPr>
          <w:b/>
        </w:rPr>
        <w:t>factors</w:t>
      </w:r>
      <w:r>
        <w:t>,</w:t>
      </w:r>
      <w:r>
        <w:rPr>
          <w:spacing w:val="-6"/>
        </w:rPr>
        <w:t xml:space="preserve"> </w:t>
      </w:r>
      <w:r>
        <w:t>which</w:t>
      </w:r>
      <w:r>
        <w:rPr>
          <w:spacing w:val="-5"/>
        </w:rPr>
        <w:t xml:space="preserve"> </w:t>
      </w:r>
      <w:r>
        <w:t>include</w:t>
      </w:r>
      <w:r>
        <w:rPr>
          <w:spacing w:val="-3"/>
        </w:rPr>
        <w:t xml:space="preserve"> </w:t>
      </w:r>
      <w:r>
        <w:t>the</w:t>
      </w:r>
      <w:r>
        <w:rPr>
          <w:spacing w:val="-3"/>
        </w:rPr>
        <w:t xml:space="preserve"> </w:t>
      </w:r>
      <w:r>
        <w:rPr>
          <w:spacing w:val="-2"/>
        </w:rPr>
        <w:t>client’s</w:t>
      </w:r>
    </w:p>
    <w:p w14:paraId="794DE46E" w14:textId="77777777" w:rsidR="00DB6E1F" w:rsidRDefault="00F666A6">
      <w:pPr>
        <w:pStyle w:val="ListParagraph"/>
        <w:numPr>
          <w:ilvl w:val="1"/>
          <w:numId w:val="92"/>
        </w:numPr>
        <w:tabs>
          <w:tab w:val="left" w:pos="2159"/>
          <w:tab w:val="left" w:pos="2160"/>
        </w:tabs>
        <w:ind w:hanging="361"/>
      </w:pPr>
      <w:r>
        <w:t>Cognitive</w:t>
      </w:r>
      <w:r>
        <w:rPr>
          <w:spacing w:val="-6"/>
        </w:rPr>
        <w:t xml:space="preserve"> </w:t>
      </w:r>
      <w:r>
        <w:rPr>
          <w:spacing w:val="-2"/>
        </w:rPr>
        <w:t>distortions.</w:t>
      </w:r>
    </w:p>
    <w:p w14:paraId="3C415170" w14:textId="77777777" w:rsidR="00DB6E1F" w:rsidRDefault="00F666A6">
      <w:pPr>
        <w:pStyle w:val="ListParagraph"/>
        <w:numPr>
          <w:ilvl w:val="1"/>
          <w:numId w:val="92"/>
        </w:numPr>
        <w:tabs>
          <w:tab w:val="left" w:pos="2159"/>
          <w:tab w:val="left" w:pos="2160"/>
        </w:tabs>
        <w:ind w:hanging="361"/>
      </w:pPr>
      <w:r>
        <w:t>Intense</w:t>
      </w:r>
      <w:r>
        <w:rPr>
          <w:spacing w:val="-4"/>
        </w:rPr>
        <w:t xml:space="preserve"> </w:t>
      </w:r>
      <w:r>
        <w:t>positive</w:t>
      </w:r>
      <w:r>
        <w:rPr>
          <w:spacing w:val="-4"/>
        </w:rPr>
        <w:t xml:space="preserve"> </w:t>
      </w:r>
      <w:r>
        <w:t>and</w:t>
      </w:r>
      <w:r>
        <w:rPr>
          <w:spacing w:val="-5"/>
        </w:rPr>
        <w:t xml:space="preserve"> </w:t>
      </w:r>
      <w:r>
        <w:t>negative</w:t>
      </w:r>
      <w:r>
        <w:rPr>
          <w:spacing w:val="-3"/>
        </w:rPr>
        <w:t xml:space="preserve"> </w:t>
      </w:r>
      <w:r>
        <w:rPr>
          <w:spacing w:val="-2"/>
        </w:rPr>
        <w:t>feelings.</w:t>
      </w:r>
    </w:p>
    <w:p w14:paraId="30DE0ABB" w14:textId="77777777" w:rsidR="00DB6E1F" w:rsidRDefault="00F666A6">
      <w:pPr>
        <w:pStyle w:val="ListParagraph"/>
        <w:numPr>
          <w:ilvl w:val="1"/>
          <w:numId w:val="92"/>
        </w:numPr>
        <w:tabs>
          <w:tab w:val="left" w:pos="2159"/>
          <w:tab w:val="left" w:pos="2160"/>
        </w:tabs>
        <w:spacing w:before="61"/>
        <w:ind w:hanging="361"/>
      </w:pPr>
      <w:r>
        <w:t>Ineffective</w:t>
      </w:r>
      <w:r>
        <w:rPr>
          <w:spacing w:val="-6"/>
        </w:rPr>
        <w:t xml:space="preserve"> </w:t>
      </w:r>
      <w:r>
        <w:t>coping</w:t>
      </w:r>
      <w:r>
        <w:rPr>
          <w:spacing w:val="-5"/>
        </w:rPr>
        <w:t xml:space="preserve"> </w:t>
      </w:r>
      <w:r>
        <w:rPr>
          <w:spacing w:val="-2"/>
        </w:rPr>
        <w:t>responses.</w:t>
      </w:r>
    </w:p>
    <w:p w14:paraId="514E87FE" w14:textId="77777777" w:rsidR="00DB6E1F" w:rsidRDefault="00F666A6">
      <w:pPr>
        <w:pStyle w:val="ListParagraph"/>
        <w:numPr>
          <w:ilvl w:val="1"/>
          <w:numId w:val="92"/>
        </w:numPr>
        <w:tabs>
          <w:tab w:val="left" w:pos="2159"/>
          <w:tab w:val="left" w:pos="2160"/>
        </w:tabs>
        <w:ind w:hanging="361"/>
      </w:pPr>
      <w:r>
        <w:t>Low</w:t>
      </w:r>
      <w:r>
        <w:rPr>
          <w:spacing w:val="-6"/>
        </w:rPr>
        <w:t xml:space="preserve"> </w:t>
      </w:r>
      <w:r>
        <w:t>self-</w:t>
      </w:r>
      <w:r>
        <w:rPr>
          <w:spacing w:val="-2"/>
        </w:rPr>
        <w:t>efficacy.</w:t>
      </w:r>
    </w:p>
    <w:p w14:paraId="4CC3EFDE" w14:textId="77777777" w:rsidR="00DB6E1F" w:rsidRDefault="00F666A6">
      <w:pPr>
        <w:pStyle w:val="ListParagraph"/>
        <w:numPr>
          <w:ilvl w:val="1"/>
          <w:numId w:val="92"/>
        </w:numPr>
        <w:tabs>
          <w:tab w:val="left" w:pos="2159"/>
          <w:tab w:val="left" w:pos="2160"/>
        </w:tabs>
        <w:spacing w:before="58"/>
        <w:ind w:right="1517"/>
      </w:pPr>
      <w:r>
        <w:t>Positive</w:t>
      </w:r>
      <w:r>
        <w:rPr>
          <w:spacing w:val="-5"/>
        </w:rPr>
        <w:t xml:space="preserve"> </w:t>
      </w:r>
      <w:r>
        <w:t>outcome</w:t>
      </w:r>
      <w:r>
        <w:rPr>
          <w:spacing w:val="-3"/>
        </w:rPr>
        <w:t xml:space="preserve"> </w:t>
      </w:r>
      <w:r>
        <w:t>expectancies</w:t>
      </w:r>
      <w:r>
        <w:rPr>
          <w:spacing w:val="-3"/>
        </w:rPr>
        <w:t xml:space="preserve"> </w:t>
      </w:r>
      <w:r>
        <w:t>(POEs):</w:t>
      </w:r>
      <w:r>
        <w:rPr>
          <w:spacing w:val="-2"/>
        </w:rPr>
        <w:t xml:space="preserve"> </w:t>
      </w:r>
      <w:r>
        <w:t>positive</w:t>
      </w:r>
      <w:r>
        <w:rPr>
          <w:spacing w:val="-5"/>
        </w:rPr>
        <w:t xml:space="preserve"> </w:t>
      </w:r>
      <w:r>
        <w:t>thoughts</w:t>
      </w:r>
      <w:r>
        <w:rPr>
          <w:spacing w:val="-3"/>
        </w:rPr>
        <w:t xml:space="preserve"> </w:t>
      </w:r>
      <w:r>
        <w:t>and</w:t>
      </w:r>
      <w:r>
        <w:rPr>
          <w:spacing w:val="-4"/>
        </w:rPr>
        <w:t xml:space="preserve"> </w:t>
      </w:r>
      <w:r>
        <w:t>associations</w:t>
      </w:r>
      <w:r>
        <w:rPr>
          <w:spacing w:val="-5"/>
        </w:rPr>
        <w:t xml:space="preserve"> </w:t>
      </w:r>
      <w:r>
        <w:t>with</w:t>
      </w:r>
      <w:r>
        <w:rPr>
          <w:spacing w:val="-4"/>
        </w:rPr>
        <w:t xml:space="preserve"> </w:t>
      </w:r>
      <w:r>
        <w:t>drinking</w:t>
      </w:r>
      <w:r>
        <w:rPr>
          <w:spacing w:val="-4"/>
        </w:rPr>
        <w:t xml:space="preserve"> </w:t>
      </w:r>
      <w:r>
        <w:t>or</w:t>
      </w:r>
      <w:r>
        <w:rPr>
          <w:spacing w:val="-3"/>
        </w:rPr>
        <w:t xml:space="preserve"> </w:t>
      </w:r>
      <w:r>
        <w:t xml:space="preserve">using </w:t>
      </w:r>
      <w:r>
        <w:rPr>
          <w:spacing w:val="-2"/>
        </w:rPr>
        <w:t>drugs.</w:t>
      </w:r>
    </w:p>
    <w:p w14:paraId="13D5F443" w14:textId="77777777" w:rsidR="00DB6E1F" w:rsidRDefault="00F666A6">
      <w:pPr>
        <w:pStyle w:val="ListParagraph"/>
        <w:numPr>
          <w:ilvl w:val="1"/>
          <w:numId w:val="92"/>
        </w:numPr>
        <w:tabs>
          <w:tab w:val="left" w:pos="2159"/>
          <w:tab w:val="left" w:pos="2160"/>
        </w:tabs>
        <w:ind w:hanging="361"/>
      </w:pPr>
      <w:r>
        <w:t>Abstinence</w:t>
      </w:r>
      <w:r>
        <w:rPr>
          <w:spacing w:val="-8"/>
        </w:rPr>
        <w:t xml:space="preserve"> </w:t>
      </w:r>
      <w:r>
        <w:t>violation</w:t>
      </w:r>
      <w:r>
        <w:rPr>
          <w:spacing w:val="-6"/>
        </w:rPr>
        <w:t xml:space="preserve"> </w:t>
      </w:r>
      <w:r>
        <w:t>effect</w:t>
      </w:r>
      <w:r>
        <w:rPr>
          <w:spacing w:val="-6"/>
        </w:rPr>
        <w:t xml:space="preserve"> </w:t>
      </w:r>
      <w:r>
        <w:t>(AVE)</w:t>
      </w:r>
      <w:r>
        <w:rPr>
          <w:spacing w:val="-3"/>
        </w:rPr>
        <w:t xml:space="preserve"> </w:t>
      </w:r>
      <w:r>
        <w:t>such</w:t>
      </w:r>
      <w:r>
        <w:rPr>
          <w:spacing w:val="-5"/>
        </w:rPr>
        <w:t xml:space="preserve"> </w:t>
      </w:r>
      <w:r>
        <w:t>as</w:t>
      </w:r>
      <w:r>
        <w:rPr>
          <w:spacing w:val="-5"/>
        </w:rPr>
        <w:t xml:space="preserve"> </w:t>
      </w:r>
      <w:r>
        <w:t>feelings</w:t>
      </w:r>
      <w:r>
        <w:rPr>
          <w:spacing w:val="-6"/>
        </w:rPr>
        <w:t xml:space="preserve"> </w:t>
      </w:r>
      <w:r>
        <w:t>of</w:t>
      </w:r>
      <w:r>
        <w:rPr>
          <w:spacing w:val="-4"/>
        </w:rPr>
        <w:t xml:space="preserve"> </w:t>
      </w:r>
      <w:r>
        <w:t>guilt</w:t>
      </w:r>
      <w:r>
        <w:rPr>
          <w:spacing w:val="-2"/>
        </w:rPr>
        <w:t xml:space="preserve"> </w:t>
      </w:r>
      <w:r>
        <w:t>and</w:t>
      </w:r>
      <w:r>
        <w:rPr>
          <w:spacing w:val="-5"/>
        </w:rPr>
        <w:t xml:space="preserve"> </w:t>
      </w:r>
      <w:r>
        <w:t>shame</w:t>
      </w:r>
      <w:r>
        <w:rPr>
          <w:spacing w:val="-3"/>
        </w:rPr>
        <w:t xml:space="preserve"> </w:t>
      </w:r>
      <w:r>
        <w:t>associated</w:t>
      </w:r>
      <w:r>
        <w:rPr>
          <w:spacing w:val="-6"/>
        </w:rPr>
        <w:t xml:space="preserve"> </w:t>
      </w:r>
      <w:r>
        <w:t>with</w:t>
      </w:r>
      <w:r>
        <w:rPr>
          <w:spacing w:val="-4"/>
        </w:rPr>
        <w:t xml:space="preserve"> </w:t>
      </w:r>
      <w:r>
        <w:rPr>
          <w:spacing w:val="-2"/>
        </w:rPr>
        <w:t>recurren</w:t>
      </w:r>
      <w:r>
        <w:rPr>
          <w:spacing w:val="-2"/>
        </w:rPr>
        <w:t>ce.</w:t>
      </w:r>
    </w:p>
    <w:p w14:paraId="1208754D" w14:textId="77777777" w:rsidR="00DB6E1F" w:rsidRDefault="00F666A6">
      <w:pPr>
        <w:pStyle w:val="ListParagraph"/>
        <w:numPr>
          <w:ilvl w:val="0"/>
          <w:numId w:val="92"/>
        </w:numPr>
        <w:tabs>
          <w:tab w:val="left" w:pos="1799"/>
          <w:tab w:val="left" w:pos="1800"/>
        </w:tabs>
        <w:ind w:left="1799"/>
        <w:rPr>
          <w:rFonts w:ascii="Symbol" w:hAnsi="Symbol"/>
        </w:rPr>
      </w:pPr>
      <w:r>
        <w:rPr>
          <w:b/>
        </w:rPr>
        <w:t>Environmental</w:t>
      </w:r>
      <w:r>
        <w:rPr>
          <w:b/>
          <w:spacing w:val="-5"/>
        </w:rPr>
        <w:t xml:space="preserve"> </w:t>
      </w:r>
      <w:r>
        <w:rPr>
          <w:b/>
        </w:rPr>
        <w:t>factors,</w:t>
      </w:r>
      <w:r>
        <w:rPr>
          <w:b/>
          <w:spacing w:val="-7"/>
        </w:rPr>
        <w:t xml:space="preserve"> </w:t>
      </w:r>
      <w:r>
        <w:t>which</w:t>
      </w:r>
      <w:r>
        <w:rPr>
          <w:spacing w:val="-5"/>
        </w:rPr>
        <w:t xml:space="preserve"> </w:t>
      </w:r>
      <w:r>
        <w:t>include</w:t>
      </w:r>
      <w:r>
        <w:rPr>
          <w:spacing w:val="-5"/>
        </w:rPr>
        <w:t xml:space="preserve"> </w:t>
      </w:r>
      <w:r>
        <w:t>the</w:t>
      </w:r>
      <w:r>
        <w:rPr>
          <w:spacing w:val="-6"/>
        </w:rPr>
        <w:t xml:space="preserve"> </w:t>
      </w:r>
      <w:r>
        <w:rPr>
          <w:spacing w:val="-2"/>
        </w:rPr>
        <w:t>client’s</w:t>
      </w:r>
    </w:p>
    <w:p w14:paraId="6988BEF8" w14:textId="77777777" w:rsidR="00DB6E1F" w:rsidRDefault="00F666A6">
      <w:pPr>
        <w:pStyle w:val="ListParagraph"/>
        <w:numPr>
          <w:ilvl w:val="1"/>
          <w:numId w:val="92"/>
        </w:numPr>
        <w:tabs>
          <w:tab w:val="left" w:pos="2159"/>
          <w:tab w:val="left" w:pos="2160"/>
        </w:tabs>
        <w:spacing w:before="61"/>
        <w:ind w:hanging="361"/>
      </w:pPr>
      <w:r>
        <w:t>Social</w:t>
      </w:r>
      <w:r>
        <w:rPr>
          <w:spacing w:val="-2"/>
        </w:rPr>
        <w:t xml:space="preserve"> influences.</w:t>
      </w:r>
    </w:p>
    <w:p w14:paraId="3E13328B" w14:textId="77777777" w:rsidR="00DB6E1F" w:rsidRDefault="00F666A6">
      <w:pPr>
        <w:pStyle w:val="ListParagraph"/>
        <w:numPr>
          <w:ilvl w:val="1"/>
          <w:numId w:val="92"/>
        </w:numPr>
        <w:tabs>
          <w:tab w:val="left" w:pos="2159"/>
          <w:tab w:val="left" w:pos="2160"/>
        </w:tabs>
        <w:ind w:hanging="361"/>
      </w:pPr>
      <w:r>
        <w:t>Access</w:t>
      </w:r>
      <w:r>
        <w:rPr>
          <w:spacing w:val="-3"/>
        </w:rPr>
        <w:t xml:space="preserve"> </w:t>
      </w:r>
      <w:r>
        <w:t>to</w:t>
      </w:r>
      <w:r>
        <w:rPr>
          <w:spacing w:val="-2"/>
        </w:rPr>
        <w:t xml:space="preserve"> substances.</w:t>
      </w:r>
    </w:p>
    <w:p w14:paraId="0186E168" w14:textId="77777777" w:rsidR="00DB6E1F" w:rsidRDefault="00F666A6">
      <w:pPr>
        <w:pStyle w:val="BodyText"/>
        <w:tabs>
          <w:tab w:val="left" w:pos="2159"/>
        </w:tabs>
        <w:spacing w:before="58"/>
        <w:ind w:left="1799"/>
      </w:pPr>
      <w:r>
        <w:rPr>
          <w:spacing w:val="-10"/>
        </w:rPr>
        <w:t>‒</w:t>
      </w:r>
      <w:r>
        <w:tab/>
        <w:t>Exposure</w:t>
      </w:r>
      <w:r>
        <w:rPr>
          <w:spacing w:val="-8"/>
        </w:rPr>
        <w:t xml:space="preserve"> </w:t>
      </w:r>
      <w:r>
        <w:t>to</w:t>
      </w:r>
      <w:r>
        <w:rPr>
          <w:spacing w:val="-3"/>
        </w:rPr>
        <w:t xml:space="preserve"> </w:t>
      </w:r>
      <w:r>
        <w:t>conditioned</w:t>
      </w:r>
      <w:r>
        <w:rPr>
          <w:spacing w:val="-5"/>
        </w:rPr>
        <w:t xml:space="preserve"> </w:t>
      </w:r>
      <w:r>
        <w:t>cues</w:t>
      </w:r>
      <w:r>
        <w:rPr>
          <w:spacing w:val="-4"/>
        </w:rPr>
        <w:t xml:space="preserve"> </w:t>
      </w:r>
      <w:r>
        <w:t>for</w:t>
      </w:r>
      <w:r>
        <w:rPr>
          <w:spacing w:val="-4"/>
        </w:rPr>
        <w:t xml:space="preserve"> </w:t>
      </w:r>
      <w:r>
        <w:t>substance</w:t>
      </w:r>
      <w:r>
        <w:rPr>
          <w:spacing w:val="-3"/>
        </w:rPr>
        <w:t xml:space="preserve"> </w:t>
      </w:r>
      <w:r>
        <w:t>use</w:t>
      </w:r>
      <w:r>
        <w:rPr>
          <w:spacing w:val="-6"/>
        </w:rPr>
        <w:t xml:space="preserve"> </w:t>
      </w:r>
      <w:r>
        <w:t>or</w:t>
      </w:r>
      <w:r>
        <w:rPr>
          <w:spacing w:val="-6"/>
        </w:rPr>
        <w:t xml:space="preserve"> </w:t>
      </w:r>
      <w:r>
        <w:t>risk</w:t>
      </w:r>
      <w:r>
        <w:rPr>
          <w:spacing w:val="-5"/>
        </w:rPr>
        <w:t xml:space="preserve"> </w:t>
      </w:r>
      <w:r>
        <w:rPr>
          <w:spacing w:val="-2"/>
        </w:rPr>
        <w:t>behaviors.</w:t>
      </w:r>
    </w:p>
    <w:p w14:paraId="2E81FD44" w14:textId="77777777" w:rsidR="00DB6E1F" w:rsidRDefault="00F666A6">
      <w:pPr>
        <w:pStyle w:val="BodyText"/>
        <w:spacing w:before="182"/>
        <w:ind w:left="1438" w:right="1491"/>
      </w:pPr>
      <w:r>
        <w:t>Exhibit</w:t>
      </w:r>
      <w:r>
        <w:rPr>
          <w:spacing w:val="-2"/>
        </w:rPr>
        <w:t xml:space="preserve"> </w:t>
      </w:r>
      <w:r>
        <w:t>7.6</w:t>
      </w:r>
      <w:r>
        <w:rPr>
          <w:spacing w:val="-1"/>
        </w:rPr>
        <w:t xml:space="preserve"> </w:t>
      </w:r>
      <w:r>
        <w:t>shows</w:t>
      </w:r>
      <w:r>
        <w:rPr>
          <w:spacing w:val="-4"/>
        </w:rPr>
        <w:t xml:space="preserve"> </w:t>
      </w:r>
      <w:r>
        <w:t>the</w:t>
      </w:r>
      <w:r>
        <w:rPr>
          <w:spacing w:val="-1"/>
        </w:rPr>
        <w:t xml:space="preserve"> </w:t>
      </w:r>
      <w:r>
        <w:t>dynamic</w:t>
      </w:r>
      <w:r>
        <w:rPr>
          <w:spacing w:val="-1"/>
        </w:rPr>
        <w:t xml:space="preserve"> </w:t>
      </w:r>
      <w:r>
        <w:t>process</w:t>
      </w:r>
      <w:r>
        <w:rPr>
          <w:spacing w:val="-4"/>
        </w:rPr>
        <w:t xml:space="preserve"> </w:t>
      </w:r>
      <w:r>
        <w:t>of</w:t>
      </w:r>
      <w:r>
        <w:rPr>
          <w:spacing w:val="-2"/>
        </w:rPr>
        <w:t xml:space="preserve"> </w:t>
      </w:r>
      <w:r>
        <w:t>relapse</w:t>
      </w:r>
      <w:r>
        <w:rPr>
          <w:spacing w:val="-1"/>
        </w:rPr>
        <w:t xml:space="preserve"> </w:t>
      </w:r>
      <w:r>
        <w:t>and</w:t>
      </w:r>
      <w:r>
        <w:rPr>
          <w:spacing w:val="-5"/>
        </w:rPr>
        <w:t xml:space="preserve"> </w:t>
      </w:r>
      <w:r>
        <w:t>how</w:t>
      </w:r>
      <w:r>
        <w:rPr>
          <w:spacing w:val="-2"/>
        </w:rPr>
        <w:t xml:space="preserve"> </w:t>
      </w:r>
      <w:r>
        <w:t>RPC</w:t>
      </w:r>
      <w:r>
        <w:rPr>
          <w:spacing w:val="-4"/>
        </w:rPr>
        <w:t xml:space="preserve"> </w:t>
      </w:r>
      <w:r>
        <w:t>strategies</w:t>
      </w:r>
      <w:r>
        <w:rPr>
          <w:spacing w:val="-2"/>
        </w:rPr>
        <w:t xml:space="preserve"> </w:t>
      </w:r>
      <w:r>
        <w:t>help</w:t>
      </w:r>
      <w:r>
        <w:rPr>
          <w:spacing w:val="-3"/>
        </w:rPr>
        <w:t xml:space="preserve"> </w:t>
      </w:r>
      <w:r>
        <w:t>clients</w:t>
      </w:r>
      <w:r>
        <w:rPr>
          <w:spacing w:val="-2"/>
        </w:rPr>
        <w:t xml:space="preserve"> </w:t>
      </w:r>
      <w:r>
        <w:t>develop</w:t>
      </w:r>
      <w:r>
        <w:rPr>
          <w:spacing w:val="-3"/>
        </w:rPr>
        <w:t xml:space="preserve"> </w:t>
      </w:r>
      <w:r>
        <w:t>effective coping mechanisms and increase self-efficacy to decrease the probability of a relapse.</w:t>
      </w:r>
    </w:p>
    <w:p w14:paraId="4BDDF32B" w14:textId="77777777" w:rsidR="00DB6E1F" w:rsidRDefault="00DB6E1F">
      <w:pPr>
        <w:pStyle w:val="BodyText"/>
        <w:spacing w:before="11" w:after="1"/>
        <w:rPr>
          <w:sz w:val="12"/>
        </w:rPr>
      </w:pPr>
    </w:p>
    <w:tbl>
      <w:tblPr>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09F48EBF" w14:textId="77777777">
        <w:trPr>
          <w:trHeight w:val="523"/>
        </w:trPr>
        <w:tc>
          <w:tcPr>
            <w:tcW w:w="9350" w:type="dxa"/>
            <w:tcBorders>
              <w:top w:val="nil"/>
              <w:left w:val="nil"/>
              <w:bottom w:val="nil"/>
              <w:right w:val="nil"/>
            </w:tcBorders>
            <w:shd w:val="clear" w:color="auto" w:fill="000000"/>
          </w:tcPr>
          <w:p w14:paraId="1CC69952" w14:textId="77777777" w:rsidR="00DB6E1F" w:rsidRDefault="00F666A6">
            <w:pPr>
              <w:pStyle w:val="TableParagraph"/>
              <w:spacing w:before="112"/>
              <w:ind w:left="112"/>
              <w:rPr>
                <w:sz w:val="24"/>
              </w:rPr>
            </w:pPr>
            <w:r>
              <w:rPr>
                <w:color w:val="FFFFFF"/>
                <w:sz w:val="24"/>
              </w:rPr>
              <w:t>Exhibit</w:t>
            </w:r>
            <w:r>
              <w:rPr>
                <w:color w:val="FFFFFF"/>
                <w:spacing w:val="-3"/>
                <w:sz w:val="24"/>
              </w:rPr>
              <w:t xml:space="preserve"> </w:t>
            </w:r>
            <w:r>
              <w:rPr>
                <w:color w:val="FFFFFF"/>
                <w:sz w:val="24"/>
              </w:rPr>
              <w:t>7.6.</w:t>
            </w:r>
            <w:r>
              <w:rPr>
                <w:color w:val="FFFFFF"/>
                <w:spacing w:val="-4"/>
                <w:sz w:val="24"/>
              </w:rPr>
              <w:t xml:space="preserve"> </w:t>
            </w:r>
            <w:r>
              <w:rPr>
                <w:color w:val="FFFFFF"/>
                <w:sz w:val="24"/>
              </w:rPr>
              <w:t>Marlatt’s</w:t>
            </w:r>
            <w:r>
              <w:rPr>
                <w:color w:val="FFFFFF"/>
                <w:spacing w:val="-2"/>
                <w:sz w:val="24"/>
              </w:rPr>
              <w:t xml:space="preserve"> </w:t>
            </w:r>
            <w:r>
              <w:rPr>
                <w:color w:val="FFFFFF"/>
                <w:sz w:val="24"/>
              </w:rPr>
              <w:t>RPC</w:t>
            </w:r>
            <w:r>
              <w:rPr>
                <w:color w:val="FFFFFF"/>
                <w:spacing w:val="-1"/>
                <w:sz w:val="24"/>
              </w:rPr>
              <w:t xml:space="preserve"> </w:t>
            </w:r>
            <w:r>
              <w:rPr>
                <w:color w:val="FFFFFF"/>
                <w:spacing w:val="-2"/>
                <w:sz w:val="24"/>
              </w:rPr>
              <w:t>Process</w:t>
            </w:r>
          </w:p>
        </w:tc>
      </w:tr>
      <w:tr w:rsidR="00DB6E1F" w14:paraId="6CA62767" w14:textId="77777777">
        <w:trPr>
          <w:trHeight w:val="2915"/>
        </w:trPr>
        <w:tc>
          <w:tcPr>
            <w:tcW w:w="9350" w:type="dxa"/>
            <w:tcBorders>
              <w:top w:val="nil"/>
            </w:tcBorders>
          </w:tcPr>
          <w:p w14:paraId="0614F275" w14:textId="77777777" w:rsidR="00DB6E1F" w:rsidRDefault="00F666A6">
            <w:pPr>
              <w:pStyle w:val="TableParagraph"/>
              <w:spacing w:before="0"/>
              <w:ind w:left="108"/>
              <w:rPr>
                <w:sz w:val="20"/>
              </w:rPr>
            </w:pPr>
            <w:r>
              <w:rPr>
                <w:noProof/>
                <w:sz w:val="20"/>
              </w:rPr>
              <w:drawing>
                <wp:inline distT="0" distB="0" distL="0" distR="0" wp14:anchorId="72FA6E05" wp14:editId="0C5BAB9B">
                  <wp:extent cx="5752263" cy="1735074"/>
                  <wp:effectExtent l="0" t="0" r="0" b="0"/>
                  <wp:docPr id="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9.jpeg"/>
                          <pic:cNvPicPr/>
                        </pic:nvPicPr>
                        <pic:blipFill>
                          <a:blip r:embed="rId115" cstate="print"/>
                          <a:stretch>
                            <a:fillRect/>
                          </a:stretch>
                        </pic:blipFill>
                        <pic:spPr>
                          <a:xfrm>
                            <a:off x="0" y="0"/>
                            <a:ext cx="5752263" cy="1735074"/>
                          </a:xfrm>
                          <a:prstGeom prst="rect">
                            <a:avLst/>
                          </a:prstGeom>
                        </pic:spPr>
                      </pic:pic>
                    </a:graphicData>
                  </a:graphic>
                </wp:inline>
              </w:drawing>
            </w:r>
          </w:p>
        </w:tc>
      </w:tr>
      <w:tr w:rsidR="00DB6E1F" w14:paraId="3AD189F2" w14:textId="77777777">
        <w:trPr>
          <w:trHeight w:val="405"/>
        </w:trPr>
        <w:tc>
          <w:tcPr>
            <w:tcW w:w="9350" w:type="dxa"/>
          </w:tcPr>
          <w:p w14:paraId="3D427D66" w14:textId="77777777" w:rsidR="00DB6E1F" w:rsidRDefault="00F666A6">
            <w:pPr>
              <w:pStyle w:val="TableParagraph"/>
              <w:spacing w:before="80"/>
              <w:rPr>
                <w:i/>
                <w:sz w:val="20"/>
              </w:rPr>
            </w:pPr>
            <w:r>
              <w:rPr>
                <w:i/>
                <w:sz w:val="20"/>
              </w:rPr>
              <w:t>Source:</w:t>
            </w:r>
            <w:r>
              <w:rPr>
                <w:i/>
                <w:spacing w:val="-9"/>
                <w:sz w:val="20"/>
              </w:rPr>
              <w:t xml:space="preserve"> </w:t>
            </w:r>
            <w:r>
              <w:rPr>
                <w:i/>
                <w:sz w:val="20"/>
              </w:rPr>
              <w:t>Marlett,</w:t>
            </w:r>
            <w:r>
              <w:rPr>
                <w:i/>
                <w:spacing w:val="-6"/>
                <w:sz w:val="20"/>
              </w:rPr>
              <w:t xml:space="preserve"> </w:t>
            </w:r>
            <w:r>
              <w:rPr>
                <w:i/>
                <w:sz w:val="20"/>
              </w:rPr>
              <w:t>Parks,</w:t>
            </w:r>
            <w:r>
              <w:rPr>
                <w:i/>
                <w:spacing w:val="-6"/>
                <w:sz w:val="20"/>
              </w:rPr>
              <w:t xml:space="preserve"> </w:t>
            </w:r>
            <w:r>
              <w:rPr>
                <w:i/>
                <w:sz w:val="20"/>
              </w:rPr>
              <w:t>&amp;</w:t>
            </w:r>
            <w:r>
              <w:rPr>
                <w:i/>
                <w:spacing w:val="-7"/>
                <w:sz w:val="20"/>
              </w:rPr>
              <w:t xml:space="preserve"> </w:t>
            </w:r>
            <w:r>
              <w:rPr>
                <w:i/>
                <w:sz w:val="20"/>
              </w:rPr>
              <w:t>Witkiewitz,</w:t>
            </w:r>
            <w:r>
              <w:rPr>
                <w:i/>
                <w:spacing w:val="-6"/>
                <w:sz w:val="20"/>
              </w:rPr>
              <w:t xml:space="preserve"> </w:t>
            </w:r>
            <w:r>
              <w:rPr>
                <w:i/>
                <w:sz w:val="20"/>
              </w:rPr>
              <w:t>2002.</w:t>
            </w:r>
            <w:r>
              <w:rPr>
                <w:i/>
                <w:spacing w:val="-8"/>
                <w:sz w:val="20"/>
              </w:rPr>
              <w:t xml:space="preserve"> </w:t>
            </w:r>
            <w:r>
              <w:rPr>
                <w:i/>
                <w:sz w:val="20"/>
              </w:rPr>
              <w:t>Adapted</w:t>
            </w:r>
            <w:r>
              <w:rPr>
                <w:i/>
                <w:spacing w:val="-6"/>
                <w:sz w:val="20"/>
              </w:rPr>
              <w:t xml:space="preserve"> </w:t>
            </w:r>
            <w:r>
              <w:rPr>
                <w:i/>
                <w:sz w:val="20"/>
              </w:rPr>
              <w:t>with</w:t>
            </w:r>
            <w:r>
              <w:rPr>
                <w:i/>
                <w:spacing w:val="-7"/>
                <w:sz w:val="20"/>
              </w:rPr>
              <w:t xml:space="preserve"> </w:t>
            </w:r>
            <w:r>
              <w:rPr>
                <w:i/>
                <w:spacing w:val="-2"/>
                <w:sz w:val="20"/>
              </w:rPr>
              <w:t>permission.</w:t>
            </w:r>
          </w:p>
        </w:tc>
      </w:tr>
    </w:tbl>
    <w:p w14:paraId="13A5E53B" w14:textId="77777777" w:rsidR="00DB6E1F" w:rsidRDefault="00DB6E1F">
      <w:pPr>
        <w:pStyle w:val="BodyText"/>
        <w:spacing w:before="11"/>
        <w:rPr>
          <w:sz w:val="16"/>
        </w:rPr>
      </w:pPr>
    </w:p>
    <w:p w14:paraId="5E57B384" w14:textId="77777777" w:rsidR="00DB6E1F" w:rsidRDefault="00F666A6">
      <w:pPr>
        <w:pStyle w:val="Heading4"/>
      </w:pPr>
      <w:bookmarkStart w:id="208" w:name="C-TRAPS"/>
      <w:bookmarkEnd w:id="208"/>
      <w:r>
        <w:rPr>
          <w:w w:val="95"/>
        </w:rPr>
        <w:t>C-</w:t>
      </w:r>
      <w:r>
        <w:rPr>
          <w:spacing w:val="-2"/>
        </w:rPr>
        <w:t>TRAPS</w:t>
      </w:r>
    </w:p>
    <w:p w14:paraId="658EB9CD" w14:textId="77777777" w:rsidR="00DB6E1F" w:rsidRDefault="00F666A6">
      <w:pPr>
        <w:pStyle w:val="BodyText"/>
        <w:spacing w:before="84"/>
        <w:ind w:left="1440"/>
      </w:pPr>
      <w:r>
        <w:t>RPC</w:t>
      </w:r>
      <w:r>
        <w:rPr>
          <w:spacing w:val="-6"/>
        </w:rPr>
        <w:t xml:space="preserve"> </w:t>
      </w:r>
      <w:r>
        <w:t>has</w:t>
      </w:r>
      <w:r>
        <w:rPr>
          <w:spacing w:val="-5"/>
        </w:rPr>
        <w:t xml:space="preserve"> </w:t>
      </w:r>
      <w:r>
        <w:t>five</w:t>
      </w:r>
      <w:r>
        <w:rPr>
          <w:spacing w:val="-2"/>
        </w:rPr>
        <w:t xml:space="preserve"> </w:t>
      </w:r>
      <w:r>
        <w:t>components</w:t>
      </w:r>
      <w:r>
        <w:rPr>
          <w:spacing w:val="-6"/>
        </w:rPr>
        <w:t xml:space="preserve"> </w:t>
      </w:r>
      <w:r>
        <w:t>(Marlatt</w:t>
      </w:r>
      <w:r>
        <w:rPr>
          <w:spacing w:val="-4"/>
        </w:rPr>
        <w:t xml:space="preserve"> </w:t>
      </w:r>
      <w:r>
        <w:t>et</w:t>
      </w:r>
      <w:r>
        <w:rPr>
          <w:spacing w:val="-5"/>
        </w:rPr>
        <w:t xml:space="preserve"> </w:t>
      </w:r>
      <w:r>
        <w:t>al.,</w:t>
      </w:r>
      <w:r>
        <w:rPr>
          <w:spacing w:val="-3"/>
        </w:rPr>
        <w:t xml:space="preserve"> </w:t>
      </w:r>
      <w:r>
        <w:t>2002).</w:t>
      </w:r>
      <w:r>
        <w:rPr>
          <w:spacing w:val="-7"/>
        </w:rPr>
        <w:t xml:space="preserve"> </w:t>
      </w:r>
      <w:r>
        <w:t>C-TRAPS</w:t>
      </w:r>
      <w:r>
        <w:rPr>
          <w:spacing w:val="-4"/>
        </w:rPr>
        <w:t xml:space="preserve"> </w:t>
      </w:r>
      <w:r>
        <w:t>is</w:t>
      </w:r>
      <w:r>
        <w:rPr>
          <w:spacing w:val="-3"/>
        </w:rPr>
        <w:t xml:space="preserve"> </w:t>
      </w:r>
      <w:r>
        <w:t>a</w:t>
      </w:r>
      <w:r>
        <w:rPr>
          <w:spacing w:val="-6"/>
        </w:rPr>
        <w:t xml:space="preserve"> </w:t>
      </w:r>
      <w:r>
        <w:t>handy</w:t>
      </w:r>
      <w:r>
        <w:rPr>
          <w:spacing w:val="-3"/>
        </w:rPr>
        <w:t xml:space="preserve"> </w:t>
      </w:r>
      <w:r>
        <w:t>acronym</w:t>
      </w:r>
      <w:r>
        <w:rPr>
          <w:spacing w:val="-4"/>
        </w:rPr>
        <w:t xml:space="preserve"> </w:t>
      </w:r>
      <w:r>
        <w:t>to</w:t>
      </w:r>
      <w:r>
        <w:rPr>
          <w:spacing w:val="-4"/>
        </w:rPr>
        <w:t xml:space="preserve"> </w:t>
      </w:r>
      <w:r>
        <w:t>remember</w:t>
      </w:r>
      <w:r>
        <w:rPr>
          <w:spacing w:val="-3"/>
        </w:rPr>
        <w:t xml:space="preserve"> </w:t>
      </w:r>
      <w:r>
        <w:rPr>
          <w:spacing w:val="-2"/>
        </w:rPr>
        <w:t>them:</w:t>
      </w:r>
    </w:p>
    <w:p w14:paraId="2F7AC810" w14:textId="77777777" w:rsidR="00DB6E1F" w:rsidRDefault="00F666A6">
      <w:pPr>
        <w:pStyle w:val="ListParagraph"/>
        <w:numPr>
          <w:ilvl w:val="0"/>
          <w:numId w:val="92"/>
        </w:numPr>
        <w:tabs>
          <w:tab w:val="left" w:pos="1800"/>
          <w:tab w:val="left" w:pos="1801"/>
        </w:tabs>
        <w:ind w:left="1800"/>
        <w:rPr>
          <w:rFonts w:ascii="Symbol" w:hAnsi="Symbol"/>
        </w:rPr>
      </w:pPr>
      <w:r>
        <w:rPr>
          <w:b/>
        </w:rPr>
        <w:t>C</w:t>
      </w:r>
      <w:r>
        <w:t>ognitive</w:t>
      </w:r>
      <w:r>
        <w:rPr>
          <w:spacing w:val="-8"/>
        </w:rPr>
        <w:t xml:space="preserve"> </w:t>
      </w:r>
      <w:r>
        <w:rPr>
          <w:spacing w:val="-2"/>
        </w:rPr>
        <w:t>traps</w:t>
      </w:r>
    </w:p>
    <w:p w14:paraId="1459D872" w14:textId="77777777" w:rsidR="00DB6E1F" w:rsidRDefault="00F666A6">
      <w:pPr>
        <w:pStyle w:val="ListParagraph"/>
        <w:numPr>
          <w:ilvl w:val="0"/>
          <w:numId w:val="92"/>
        </w:numPr>
        <w:tabs>
          <w:tab w:val="left" w:pos="1800"/>
          <w:tab w:val="left" w:pos="1801"/>
        </w:tabs>
        <w:ind w:left="1800"/>
        <w:rPr>
          <w:rFonts w:ascii="Symbol" w:hAnsi="Symbol"/>
        </w:rPr>
      </w:pPr>
      <w:r>
        <w:rPr>
          <w:b/>
          <w:spacing w:val="-2"/>
        </w:rPr>
        <w:t>T</w:t>
      </w:r>
      <w:r>
        <w:rPr>
          <w:spacing w:val="-2"/>
        </w:rPr>
        <w:t>emptations</w:t>
      </w:r>
    </w:p>
    <w:p w14:paraId="55D13D98" w14:textId="77777777" w:rsidR="00DB6E1F" w:rsidRDefault="00F666A6">
      <w:pPr>
        <w:pStyle w:val="ListParagraph"/>
        <w:numPr>
          <w:ilvl w:val="0"/>
          <w:numId w:val="92"/>
        </w:numPr>
        <w:tabs>
          <w:tab w:val="left" w:pos="1800"/>
          <w:tab w:val="left" w:pos="1801"/>
        </w:tabs>
        <w:spacing w:before="61"/>
        <w:ind w:left="1800"/>
        <w:rPr>
          <w:rFonts w:ascii="Symbol" w:hAnsi="Symbol"/>
        </w:rPr>
      </w:pPr>
      <w:r>
        <w:rPr>
          <w:b/>
        </w:rPr>
        <w:t>R</w:t>
      </w:r>
      <w:r>
        <w:t>eplacement</w:t>
      </w:r>
      <w:r>
        <w:rPr>
          <w:spacing w:val="-9"/>
        </w:rPr>
        <w:t xml:space="preserve"> </w:t>
      </w:r>
      <w:r>
        <w:rPr>
          <w:b/>
          <w:spacing w:val="-2"/>
        </w:rPr>
        <w:t>A</w:t>
      </w:r>
      <w:r>
        <w:rPr>
          <w:spacing w:val="-2"/>
        </w:rPr>
        <w:t>ctivities</w:t>
      </w:r>
    </w:p>
    <w:p w14:paraId="5734C230" w14:textId="77777777" w:rsidR="00DB6E1F" w:rsidRDefault="00F666A6">
      <w:pPr>
        <w:pStyle w:val="ListParagraph"/>
        <w:numPr>
          <w:ilvl w:val="0"/>
          <w:numId w:val="92"/>
        </w:numPr>
        <w:tabs>
          <w:tab w:val="left" w:pos="1800"/>
          <w:tab w:val="left" w:pos="1801"/>
        </w:tabs>
        <w:spacing w:before="58"/>
        <w:ind w:left="1800"/>
        <w:rPr>
          <w:rFonts w:ascii="Symbol" w:hAnsi="Symbol"/>
        </w:rPr>
      </w:pPr>
      <w:r>
        <w:rPr>
          <w:b/>
        </w:rPr>
        <w:t>P</w:t>
      </w:r>
      <w:r>
        <w:t>reparation</w:t>
      </w:r>
      <w:r>
        <w:rPr>
          <w:spacing w:val="-5"/>
        </w:rPr>
        <w:t xml:space="preserve"> </w:t>
      </w:r>
      <w:r>
        <w:t>for</w:t>
      </w:r>
      <w:r>
        <w:rPr>
          <w:spacing w:val="-5"/>
        </w:rPr>
        <w:t xml:space="preserve"> </w:t>
      </w:r>
      <w:r>
        <w:rPr>
          <w:spacing w:val="-2"/>
        </w:rPr>
        <w:t>relapse</w:t>
      </w:r>
    </w:p>
    <w:p w14:paraId="1E0AA0B4" w14:textId="77777777" w:rsidR="00DB6E1F" w:rsidRDefault="00DB6E1F">
      <w:pPr>
        <w:rPr>
          <w:rFonts w:ascii="Symbol" w:hAnsi="Symbol"/>
        </w:rPr>
        <w:sectPr w:rsidR="00DB6E1F">
          <w:pgSz w:w="12240" w:h="15840"/>
          <w:pgMar w:top="1200" w:right="0" w:bottom="780" w:left="0" w:header="763" w:footer="585" w:gutter="0"/>
          <w:cols w:space="720"/>
        </w:sectPr>
      </w:pPr>
    </w:p>
    <w:p w14:paraId="18C3D722" w14:textId="77777777" w:rsidR="00DB6E1F" w:rsidRDefault="00DB6E1F">
      <w:pPr>
        <w:pStyle w:val="BodyText"/>
        <w:spacing w:before="10"/>
        <w:rPr>
          <w:sz w:val="10"/>
        </w:rPr>
      </w:pPr>
    </w:p>
    <w:p w14:paraId="2C21009B" w14:textId="77777777" w:rsidR="00DB6E1F" w:rsidRDefault="00F666A6">
      <w:pPr>
        <w:pStyle w:val="ListParagraph"/>
        <w:numPr>
          <w:ilvl w:val="0"/>
          <w:numId w:val="92"/>
        </w:numPr>
        <w:tabs>
          <w:tab w:val="left" w:pos="1800"/>
          <w:tab w:val="left" w:pos="1801"/>
        </w:tabs>
        <w:spacing w:before="101"/>
        <w:ind w:left="1800"/>
        <w:rPr>
          <w:rFonts w:ascii="Symbol" w:hAnsi="Symbol"/>
        </w:rPr>
      </w:pPr>
      <w:r>
        <w:rPr>
          <w:b/>
        </w:rPr>
        <w:t>S</w:t>
      </w:r>
      <w:r>
        <w:t>trategies</w:t>
      </w:r>
      <w:r>
        <w:rPr>
          <w:spacing w:val="-5"/>
        </w:rPr>
        <w:t xml:space="preserve"> </w:t>
      </w:r>
      <w:r>
        <w:t>for</w:t>
      </w:r>
      <w:r>
        <w:rPr>
          <w:spacing w:val="-5"/>
        </w:rPr>
        <w:t xml:space="preserve"> </w:t>
      </w:r>
      <w:r>
        <w:rPr>
          <w:spacing w:val="-2"/>
        </w:rPr>
        <w:t>coping</w:t>
      </w:r>
    </w:p>
    <w:p w14:paraId="0920F834" w14:textId="77777777" w:rsidR="00DB6E1F" w:rsidRDefault="00F666A6">
      <w:pPr>
        <w:pStyle w:val="BodyText"/>
        <w:spacing w:before="161"/>
        <w:ind w:left="1440" w:right="1491"/>
      </w:pPr>
      <w:r>
        <w:rPr>
          <w:b/>
        </w:rPr>
        <w:t xml:space="preserve">Cognitive traps, </w:t>
      </w:r>
      <w:r>
        <w:t>also known as cognitive distortions, are the ways the mind works against the client’s commitment</w:t>
      </w:r>
      <w:r>
        <w:rPr>
          <w:spacing w:val="-4"/>
        </w:rPr>
        <w:t xml:space="preserve"> </w:t>
      </w:r>
      <w:r>
        <w:t>to</w:t>
      </w:r>
      <w:r>
        <w:rPr>
          <w:spacing w:val="-3"/>
        </w:rPr>
        <w:t xml:space="preserve"> </w:t>
      </w:r>
      <w:r>
        <w:t>recovery</w:t>
      </w:r>
      <w:r>
        <w:rPr>
          <w:spacing w:val="-3"/>
        </w:rPr>
        <w:t xml:space="preserve"> </w:t>
      </w:r>
      <w:r>
        <w:t>and</w:t>
      </w:r>
      <w:r>
        <w:rPr>
          <w:spacing w:val="-3"/>
        </w:rPr>
        <w:t xml:space="preserve"> </w:t>
      </w:r>
      <w:r>
        <w:t>intention</w:t>
      </w:r>
      <w:r>
        <w:rPr>
          <w:spacing w:val="-5"/>
        </w:rPr>
        <w:t xml:space="preserve"> </w:t>
      </w:r>
      <w:r>
        <w:t>to</w:t>
      </w:r>
      <w:r>
        <w:rPr>
          <w:spacing w:val="-3"/>
        </w:rPr>
        <w:t xml:space="preserve"> </w:t>
      </w:r>
      <w:r>
        <w:t>refrain</w:t>
      </w:r>
      <w:r>
        <w:rPr>
          <w:spacing w:val="-3"/>
        </w:rPr>
        <w:t xml:space="preserve"> </w:t>
      </w:r>
      <w:r>
        <w:t>from</w:t>
      </w:r>
      <w:r>
        <w:rPr>
          <w:spacing w:val="-1"/>
        </w:rPr>
        <w:t xml:space="preserve"> </w:t>
      </w:r>
      <w:r>
        <w:t>substance</w:t>
      </w:r>
      <w:r>
        <w:rPr>
          <w:spacing w:val="-1"/>
        </w:rPr>
        <w:t xml:space="preserve"> </w:t>
      </w:r>
      <w:r>
        <w:t>use.</w:t>
      </w:r>
      <w:r>
        <w:rPr>
          <w:spacing w:val="-5"/>
        </w:rPr>
        <w:t xml:space="preserve"> </w:t>
      </w:r>
      <w:r>
        <w:t>They</w:t>
      </w:r>
      <w:r>
        <w:rPr>
          <w:spacing w:val="-1"/>
        </w:rPr>
        <w:t xml:space="preserve"> </w:t>
      </w:r>
      <w:r>
        <w:t>are</w:t>
      </w:r>
      <w:r>
        <w:rPr>
          <w:spacing w:val="-6"/>
        </w:rPr>
        <w:t xml:space="preserve"> </w:t>
      </w:r>
      <w:r>
        <w:t>cognitive</w:t>
      </w:r>
      <w:r>
        <w:rPr>
          <w:spacing w:val="-1"/>
        </w:rPr>
        <w:t xml:space="preserve"> </w:t>
      </w:r>
      <w:r>
        <w:t>early</w:t>
      </w:r>
      <w:r>
        <w:rPr>
          <w:spacing w:val="-3"/>
        </w:rPr>
        <w:t xml:space="preserve"> </w:t>
      </w:r>
      <w:r>
        <w:t>warning signs that a recurrence might be close at hand. They include:</w:t>
      </w:r>
    </w:p>
    <w:p w14:paraId="50DE97B7" w14:textId="77777777" w:rsidR="00DB6E1F" w:rsidRDefault="00F666A6">
      <w:pPr>
        <w:pStyle w:val="ListParagraph"/>
        <w:numPr>
          <w:ilvl w:val="0"/>
          <w:numId w:val="92"/>
        </w:numPr>
        <w:tabs>
          <w:tab w:val="left" w:pos="1799"/>
          <w:tab w:val="left" w:pos="1800"/>
        </w:tabs>
        <w:ind w:left="1799" w:right="1593" w:hanging="360"/>
        <w:rPr>
          <w:rFonts w:ascii="Symbol" w:hAnsi="Symbol"/>
        </w:rPr>
      </w:pPr>
      <w:r>
        <w:rPr>
          <w:b/>
        </w:rPr>
        <w:t>All-or-nothing</w:t>
      </w:r>
      <w:r>
        <w:rPr>
          <w:b/>
          <w:spacing w:val="-1"/>
        </w:rPr>
        <w:t xml:space="preserve"> </w:t>
      </w:r>
      <w:r>
        <w:rPr>
          <w:b/>
        </w:rPr>
        <w:t>thinking</w:t>
      </w:r>
      <w:r>
        <w:rPr>
          <w:b/>
          <w:spacing w:val="-4"/>
        </w:rPr>
        <w:t xml:space="preserve"> </w:t>
      </w:r>
      <w:r>
        <w:t>(e.g.,</w:t>
      </w:r>
      <w:r>
        <w:rPr>
          <w:spacing w:val="-2"/>
        </w:rPr>
        <w:t xml:space="preserve"> </w:t>
      </w:r>
      <w:r>
        <w:t>“I</w:t>
      </w:r>
      <w:r>
        <w:rPr>
          <w:spacing w:val="-2"/>
        </w:rPr>
        <w:t xml:space="preserve"> </w:t>
      </w:r>
      <w:r>
        <w:t>got</w:t>
      </w:r>
      <w:r>
        <w:rPr>
          <w:spacing w:val="-4"/>
        </w:rPr>
        <w:t xml:space="preserve"> </w:t>
      </w:r>
      <w:r>
        <w:t>off</w:t>
      </w:r>
      <w:r>
        <w:rPr>
          <w:spacing w:val="-4"/>
        </w:rPr>
        <w:t xml:space="preserve"> </w:t>
      </w:r>
      <w:r>
        <w:t>my</w:t>
      </w:r>
      <w:r>
        <w:rPr>
          <w:spacing w:val="-3"/>
        </w:rPr>
        <w:t xml:space="preserve"> </w:t>
      </w:r>
      <w:r>
        <w:t>regular</w:t>
      </w:r>
      <w:r>
        <w:rPr>
          <w:spacing w:val="-2"/>
        </w:rPr>
        <w:t xml:space="preserve"> </w:t>
      </w:r>
      <w:r>
        <w:t>eating</w:t>
      </w:r>
      <w:r>
        <w:rPr>
          <w:spacing w:val="-3"/>
        </w:rPr>
        <w:t xml:space="preserve"> </w:t>
      </w:r>
      <w:r>
        <w:t>plan</w:t>
      </w:r>
      <w:r>
        <w:rPr>
          <w:spacing w:val="-3"/>
        </w:rPr>
        <w:t xml:space="preserve"> </w:t>
      </w:r>
      <w:r>
        <w:t>today;</w:t>
      </w:r>
      <w:r>
        <w:rPr>
          <w:spacing w:val="-1"/>
        </w:rPr>
        <w:t xml:space="preserve"> </w:t>
      </w:r>
      <w:r>
        <w:t>I’m</w:t>
      </w:r>
      <w:r>
        <w:rPr>
          <w:spacing w:val="-1"/>
        </w:rPr>
        <w:t xml:space="preserve"> </w:t>
      </w:r>
      <w:r>
        <w:t>a</w:t>
      </w:r>
      <w:r>
        <w:rPr>
          <w:spacing w:val="-4"/>
        </w:rPr>
        <w:t xml:space="preserve"> </w:t>
      </w:r>
      <w:r>
        <w:t>failure,</w:t>
      </w:r>
      <w:r>
        <w:rPr>
          <w:spacing w:val="-4"/>
        </w:rPr>
        <w:t xml:space="preserve"> </w:t>
      </w:r>
      <w:r>
        <w:t>so</w:t>
      </w:r>
      <w:r>
        <w:rPr>
          <w:spacing w:val="-1"/>
        </w:rPr>
        <w:t xml:space="preserve"> </w:t>
      </w:r>
      <w:r>
        <w:t>I</w:t>
      </w:r>
      <w:r>
        <w:rPr>
          <w:spacing w:val="-5"/>
        </w:rPr>
        <w:t xml:space="preserve"> </w:t>
      </w:r>
      <w:r>
        <w:t>might</w:t>
      </w:r>
      <w:r>
        <w:rPr>
          <w:spacing w:val="-4"/>
        </w:rPr>
        <w:t xml:space="preserve"> </w:t>
      </w:r>
      <w:r>
        <w:t>as</w:t>
      </w:r>
      <w:r>
        <w:rPr>
          <w:spacing w:val="-2"/>
        </w:rPr>
        <w:t xml:space="preserve"> </w:t>
      </w:r>
      <w:r>
        <w:t xml:space="preserve">well go all the way and eat whatever I want tonight!”) and </w:t>
      </w:r>
      <w:r>
        <w:rPr>
          <w:b/>
        </w:rPr>
        <w:t xml:space="preserve">overt justifications </w:t>
      </w:r>
      <w:r>
        <w:t>(e.g.</w:t>
      </w:r>
      <w:r>
        <w:t>, “My divorce was finalized today, and I really need something to take the edge off”) for a return to substance use.</w:t>
      </w:r>
    </w:p>
    <w:p w14:paraId="066F237F" w14:textId="77777777" w:rsidR="00DB6E1F" w:rsidRDefault="00F666A6">
      <w:pPr>
        <w:pStyle w:val="ListParagraph"/>
        <w:numPr>
          <w:ilvl w:val="0"/>
          <w:numId w:val="92"/>
        </w:numPr>
        <w:tabs>
          <w:tab w:val="left" w:pos="1799"/>
          <w:tab w:val="left" w:pos="1800"/>
        </w:tabs>
        <w:spacing w:before="61"/>
        <w:ind w:left="1799"/>
        <w:rPr>
          <w:rFonts w:ascii="Symbol" w:hAnsi="Symbol"/>
        </w:rPr>
      </w:pPr>
      <w:r>
        <w:rPr>
          <w:b/>
        </w:rPr>
        <w:t>Minimizing</w:t>
      </w:r>
      <w:r>
        <w:rPr>
          <w:b/>
          <w:spacing w:val="-4"/>
        </w:rPr>
        <w:t xml:space="preserve"> </w:t>
      </w:r>
      <w:r>
        <w:rPr>
          <w:b/>
        </w:rPr>
        <w:t>the</w:t>
      </w:r>
      <w:r>
        <w:rPr>
          <w:b/>
          <w:spacing w:val="-6"/>
        </w:rPr>
        <w:t xml:space="preserve"> </w:t>
      </w:r>
      <w:r>
        <w:rPr>
          <w:b/>
        </w:rPr>
        <w:t>impact</w:t>
      </w:r>
      <w:r>
        <w:rPr>
          <w:b/>
          <w:spacing w:val="-3"/>
        </w:rPr>
        <w:t xml:space="preserve"> </w:t>
      </w:r>
      <w:r>
        <w:rPr>
          <w:b/>
        </w:rPr>
        <w:t>of</w:t>
      </w:r>
      <w:r>
        <w:rPr>
          <w:b/>
          <w:spacing w:val="-3"/>
        </w:rPr>
        <w:t xml:space="preserve"> </w:t>
      </w:r>
      <w:r>
        <w:rPr>
          <w:b/>
        </w:rPr>
        <w:t>a</w:t>
      </w:r>
      <w:r>
        <w:rPr>
          <w:b/>
          <w:spacing w:val="-5"/>
        </w:rPr>
        <w:t xml:space="preserve"> </w:t>
      </w:r>
      <w:r>
        <w:rPr>
          <w:b/>
        </w:rPr>
        <w:t>recurrence</w:t>
      </w:r>
      <w:r>
        <w:rPr>
          <w:b/>
          <w:spacing w:val="-4"/>
        </w:rPr>
        <w:t xml:space="preserve"> </w:t>
      </w:r>
      <w:r>
        <w:t>(e.g.,</w:t>
      </w:r>
      <w:r>
        <w:rPr>
          <w:spacing w:val="-3"/>
        </w:rPr>
        <w:t xml:space="preserve"> </w:t>
      </w:r>
      <w:r>
        <w:t>“Just</w:t>
      </w:r>
      <w:r>
        <w:rPr>
          <w:spacing w:val="-4"/>
        </w:rPr>
        <w:t xml:space="preserve"> </w:t>
      </w:r>
      <w:r>
        <w:t>one</w:t>
      </w:r>
      <w:r>
        <w:rPr>
          <w:spacing w:val="-5"/>
        </w:rPr>
        <w:t xml:space="preserve"> </w:t>
      </w:r>
      <w:r>
        <w:t>cigarette</w:t>
      </w:r>
      <w:r>
        <w:rPr>
          <w:spacing w:val="-5"/>
        </w:rPr>
        <w:t xml:space="preserve"> </w:t>
      </w:r>
      <w:r>
        <w:t>won’t</w:t>
      </w:r>
      <w:r>
        <w:rPr>
          <w:spacing w:val="-5"/>
        </w:rPr>
        <w:t xml:space="preserve"> </w:t>
      </w:r>
      <w:r>
        <w:t>push</w:t>
      </w:r>
      <w:r>
        <w:rPr>
          <w:spacing w:val="-3"/>
        </w:rPr>
        <w:t xml:space="preserve"> </w:t>
      </w:r>
      <w:r>
        <w:t>me</w:t>
      </w:r>
      <w:r>
        <w:rPr>
          <w:spacing w:val="-5"/>
        </w:rPr>
        <w:t xml:space="preserve"> </w:t>
      </w:r>
      <w:r>
        <w:t>over</w:t>
      </w:r>
      <w:r>
        <w:rPr>
          <w:spacing w:val="-5"/>
        </w:rPr>
        <w:t xml:space="preserve"> </w:t>
      </w:r>
      <w:r>
        <w:t>the</w:t>
      </w:r>
      <w:r>
        <w:rPr>
          <w:spacing w:val="-1"/>
        </w:rPr>
        <w:t xml:space="preserve"> </w:t>
      </w:r>
      <w:r>
        <w:rPr>
          <w:spacing w:val="-2"/>
        </w:rPr>
        <w:t>edge”).</w:t>
      </w:r>
    </w:p>
    <w:p w14:paraId="70B174B5" w14:textId="77777777" w:rsidR="00DB6E1F" w:rsidRDefault="00F666A6">
      <w:pPr>
        <w:pStyle w:val="ListParagraph"/>
        <w:numPr>
          <w:ilvl w:val="0"/>
          <w:numId w:val="92"/>
        </w:numPr>
        <w:tabs>
          <w:tab w:val="left" w:pos="1799"/>
          <w:tab w:val="left" w:pos="1800"/>
        </w:tabs>
        <w:spacing w:before="58"/>
        <w:ind w:left="1798" w:right="1513" w:hanging="360"/>
        <w:rPr>
          <w:rFonts w:ascii="Symbol" w:hAnsi="Symbol"/>
        </w:rPr>
      </w:pPr>
      <w:r>
        <w:rPr>
          <w:b/>
        </w:rPr>
        <w:t xml:space="preserve">Apparently irrelevant decisions </w:t>
      </w:r>
      <w:r>
        <w:t>or decisions that seem unimportant but set up high-risk situations where</w:t>
      </w:r>
      <w:r>
        <w:rPr>
          <w:spacing w:val="-4"/>
        </w:rPr>
        <w:t xml:space="preserve"> </w:t>
      </w:r>
      <w:r>
        <w:t>the</w:t>
      </w:r>
      <w:r>
        <w:rPr>
          <w:spacing w:val="-1"/>
        </w:rPr>
        <w:t xml:space="preserve"> </w:t>
      </w:r>
      <w:r>
        <w:t>likelihood</w:t>
      </w:r>
      <w:r>
        <w:rPr>
          <w:spacing w:val="-5"/>
        </w:rPr>
        <w:t xml:space="preserve"> </w:t>
      </w:r>
      <w:r>
        <w:t>of</w:t>
      </w:r>
      <w:r>
        <w:rPr>
          <w:spacing w:val="-2"/>
        </w:rPr>
        <w:t xml:space="preserve"> </w:t>
      </w:r>
      <w:r>
        <w:t>recurrence</w:t>
      </w:r>
      <w:r>
        <w:rPr>
          <w:spacing w:val="-2"/>
        </w:rPr>
        <w:t xml:space="preserve"> </w:t>
      </w:r>
      <w:r>
        <w:t>is</w:t>
      </w:r>
      <w:r>
        <w:rPr>
          <w:spacing w:val="-4"/>
        </w:rPr>
        <w:t xml:space="preserve"> </w:t>
      </w:r>
      <w:r>
        <w:t>very</w:t>
      </w:r>
      <w:r>
        <w:rPr>
          <w:spacing w:val="-1"/>
        </w:rPr>
        <w:t xml:space="preserve"> </w:t>
      </w:r>
      <w:r>
        <w:t>high.</w:t>
      </w:r>
      <w:r>
        <w:rPr>
          <w:spacing w:val="-2"/>
        </w:rPr>
        <w:t xml:space="preserve"> </w:t>
      </w:r>
      <w:r>
        <w:t>(For</w:t>
      </w:r>
      <w:r>
        <w:rPr>
          <w:spacing w:val="-2"/>
        </w:rPr>
        <w:t xml:space="preserve"> </w:t>
      </w:r>
      <w:r>
        <w:t>example,</w:t>
      </w:r>
      <w:r>
        <w:rPr>
          <w:spacing w:val="-4"/>
        </w:rPr>
        <w:t xml:space="preserve"> </w:t>
      </w:r>
      <w:r>
        <w:t>Ginny</w:t>
      </w:r>
      <w:r>
        <w:rPr>
          <w:spacing w:val="-1"/>
        </w:rPr>
        <w:t xml:space="preserve"> </w:t>
      </w:r>
      <w:r>
        <w:t>decides</w:t>
      </w:r>
      <w:r>
        <w:rPr>
          <w:spacing w:val="-4"/>
        </w:rPr>
        <w:t xml:space="preserve"> </w:t>
      </w:r>
      <w:r>
        <w:t>to</w:t>
      </w:r>
      <w:r>
        <w:rPr>
          <w:spacing w:val="-3"/>
        </w:rPr>
        <w:t xml:space="preserve"> </w:t>
      </w:r>
      <w:r>
        <w:t>buy</w:t>
      </w:r>
      <w:r>
        <w:rPr>
          <w:spacing w:val="-1"/>
        </w:rPr>
        <w:t xml:space="preserve"> </w:t>
      </w:r>
      <w:r>
        <w:t>a</w:t>
      </w:r>
      <w:r>
        <w:rPr>
          <w:spacing w:val="-2"/>
        </w:rPr>
        <w:t xml:space="preserve"> </w:t>
      </w:r>
      <w:r>
        <w:t>bottle</w:t>
      </w:r>
      <w:r>
        <w:rPr>
          <w:spacing w:val="-4"/>
        </w:rPr>
        <w:t xml:space="preserve"> </w:t>
      </w:r>
      <w:r>
        <w:t>of</w:t>
      </w:r>
      <w:r>
        <w:rPr>
          <w:spacing w:val="-4"/>
        </w:rPr>
        <w:t xml:space="preserve"> </w:t>
      </w:r>
      <w:r>
        <w:t>wine, just in case her friend Pam comes over to play cards. S</w:t>
      </w:r>
      <w:r>
        <w:t>he puts the bottle in the liquor cabinet that she had just cleaned out with the help of her AA sponsor, thinking she won’t be tempted.)</w:t>
      </w:r>
    </w:p>
    <w:p w14:paraId="62D73F16" w14:textId="77777777" w:rsidR="00DB6E1F" w:rsidRDefault="00F666A6">
      <w:pPr>
        <w:spacing w:before="162"/>
        <w:ind w:left="1438" w:right="1491"/>
        <w:rPr>
          <w:b/>
        </w:rPr>
      </w:pPr>
      <w:r>
        <w:t>Cognitive</w:t>
      </w:r>
      <w:r>
        <w:rPr>
          <w:spacing w:val="-2"/>
        </w:rPr>
        <w:t xml:space="preserve"> </w:t>
      </w:r>
      <w:r>
        <w:t>traps</w:t>
      </w:r>
      <w:r>
        <w:rPr>
          <w:spacing w:val="-4"/>
        </w:rPr>
        <w:t xml:space="preserve"> </w:t>
      </w:r>
      <w:r>
        <w:t>bring</w:t>
      </w:r>
      <w:r>
        <w:rPr>
          <w:spacing w:val="-3"/>
        </w:rPr>
        <w:t xml:space="preserve"> </w:t>
      </w:r>
      <w:r>
        <w:t>clients</w:t>
      </w:r>
      <w:r>
        <w:rPr>
          <w:spacing w:val="-2"/>
        </w:rPr>
        <w:t xml:space="preserve"> </w:t>
      </w:r>
      <w:r>
        <w:t>closer</w:t>
      </w:r>
      <w:r>
        <w:rPr>
          <w:spacing w:val="-2"/>
        </w:rPr>
        <w:t xml:space="preserve"> </w:t>
      </w:r>
      <w:r>
        <w:t>to</w:t>
      </w:r>
      <w:r>
        <w:rPr>
          <w:spacing w:val="-1"/>
        </w:rPr>
        <w:t xml:space="preserve"> </w:t>
      </w:r>
      <w:r>
        <w:t>situations</w:t>
      </w:r>
      <w:r>
        <w:rPr>
          <w:spacing w:val="-2"/>
        </w:rPr>
        <w:t xml:space="preserve"> </w:t>
      </w:r>
      <w:r>
        <w:t>where</w:t>
      </w:r>
      <w:r>
        <w:rPr>
          <w:spacing w:val="-4"/>
        </w:rPr>
        <w:t xml:space="preserve"> </w:t>
      </w:r>
      <w:r>
        <w:t>temptation</w:t>
      </w:r>
      <w:r>
        <w:rPr>
          <w:spacing w:val="-3"/>
        </w:rPr>
        <w:t xml:space="preserve"> </w:t>
      </w:r>
      <w:r>
        <w:t>is</w:t>
      </w:r>
      <w:r>
        <w:rPr>
          <w:spacing w:val="-2"/>
        </w:rPr>
        <w:t xml:space="preserve"> </w:t>
      </w:r>
      <w:r>
        <w:t>strong</w:t>
      </w:r>
      <w:r>
        <w:rPr>
          <w:spacing w:val="-5"/>
        </w:rPr>
        <w:t xml:space="preserve"> </w:t>
      </w:r>
      <w:r>
        <w:t>and</w:t>
      </w:r>
      <w:r>
        <w:rPr>
          <w:spacing w:val="-3"/>
        </w:rPr>
        <w:t xml:space="preserve"> </w:t>
      </w:r>
      <w:r>
        <w:t>difficult</w:t>
      </w:r>
      <w:r>
        <w:rPr>
          <w:spacing w:val="-2"/>
        </w:rPr>
        <w:t xml:space="preserve"> </w:t>
      </w:r>
      <w:r>
        <w:t>to</w:t>
      </w:r>
      <w:r>
        <w:rPr>
          <w:spacing w:val="-1"/>
        </w:rPr>
        <w:t xml:space="preserve"> </w:t>
      </w:r>
      <w:r>
        <w:t xml:space="preserve">resist. </w:t>
      </w:r>
      <w:r>
        <w:rPr>
          <w:b/>
        </w:rPr>
        <w:t>Help clients lessen the power of cognitive traps by:</w:t>
      </w:r>
    </w:p>
    <w:p w14:paraId="769C083B" w14:textId="77777777" w:rsidR="00DB6E1F" w:rsidRDefault="00F666A6">
      <w:pPr>
        <w:pStyle w:val="ListParagraph"/>
        <w:numPr>
          <w:ilvl w:val="0"/>
          <w:numId w:val="92"/>
        </w:numPr>
        <w:tabs>
          <w:tab w:val="left" w:pos="1798"/>
          <w:tab w:val="left" w:pos="1800"/>
        </w:tabs>
        <w:spacing w:before="58"/>
        <w:ind w:left="1799" w:hanging="362"/>
        <w:rPr>
          <w:rFonts w:ascii="Symbol" w:hAnsi="Symbol"/>
        </w:rPr>
      </w:pPr>
      <w:r>
        <w:t>Teaching</w:t>
      </w:r>
      <w:r>
        <w:rPr>
          <w:spacing w:val="-7"/>
        </w:rPr>
        <w:t xml:space="preserve"> </w:t>
      </w:r>
      <w:r>
        <w:t>them</w:t>
      </w:r>
      <w:r>
        <w:rPr>
          <w:spacing w:val="-2"/>
        </w:rPr>
        <w:t xml:space="preserve"> </w:t>
      </w:r>
      <w:r>
        <w:t>how</w:t>
      </w:r>
      <w:r>
        <w:rPr>
          <w:spacing w:val="-6"/>
        </w:rPr>
        <w:t xml:space="preserve"> </w:t>
      </w:r>
      <w:r>
        <w:t>to</w:t>
      </w:r>
      <w:r>
        <w:rPr>
          <w:spacing w:val="-2"/>
        </w:rPr>
        <w:t xml:space="preserve"> </w:t>
      </w:r>
      <w:r>
        <w:t>slow</w:t>
      </w:r>
      <w:r>
        <w:rPr>
          <w:spacing w:val="-3"/>
        </w:rPr>
        <w:t xml:space="preserve"> </w:t>
      </w:r>
      <w:r>
        <w:t>down</w:t>
      </w:r>
      <w:r>
        <w:rPr>
          <w:spacing w:val="-4"/>
        </w:rPr>
        <w:t xml:space="preserve"> </w:t>
      </w:r>
      <w:r>
        <w:t>their</w:t>
      </w:r>
      <w:r>
        <w:rPr>
          <w:spacing w:val="-5"/>
        </w:rPr>
        <w:t xml:space="preserve"> </w:t>
      </w:r>
      <w:r>
        <w:t>thinking</w:t>
      </w:r>
      <w:r>
        <w:rPr>
          <w:spacing w:val="-4"/>
        </w:rPr>
        <w:t xml:space="preserve"> </w:t>
      </w:r>
      <w:r>
        <w:rPr>
          <w:spacing w:val="-2"/>
        </w:rPr>
        <w:t>process.</w:t>
      </w:r>
    </w:p>
    <w:p w14:paraId="5AF4A616" w14:textId="77777777" w:rsidR="00DB6E1F" w:rsidRDefault="00F666A6">
      <w:pPr>
        <w:pStyle w:val="ListParagraph"/>
        <w:numPr>
          <w:ilvl w:val="0"/>
          <w:numId w:val="92"/>
        </w:numPr>
        <w:tabs>
          <w:tab w:val="left" w:pos="1799"/>
          <w:tab w:val="left" w:pos="1800"/>
        </w:tabs>
        <w:spacing w:before="61"/>
        <w:ind w:left="1799"/>
        <w:rPr>
          <w:rFonts w:ascii="Symbol" w:hAnsi="Symbol"/>
        </w:rPr>
      </w:pPr>
      <w:r>
        <w:t>Identifying</w:t>
      </w:r>
      <w:r>
        <w:rPr>
          <w:spacing w:val="-7"/>
        </w:rPr>
        <w:t xml:space="preserve"> </w:t>
      </w:r>
      <w:r>
        <w:t>all</w:t>
      </w:r>
      <w:r>
        <w:rPr>
          <w:spacing w:val="-3"/>
        </w:rPr>
        <w:t xml:space="preserve"> </w:t>
      </w:r>
      <w:r>
        <w:t>the</w:t>
      </w:r>
      <w:r>
        <w:rPr>
          <w:spacing w:val="-5"/>
        </w:rPr>
        <w:t xml:space="preserve"> </w:t>
      </w:r>
      <w:r>
        <w:t>steps</w:t>
      </w:r>
      <w:r>
        <w:rPr>
          <w:spacing w:val="-4"/>
        </w:rPr>
        <w:t xml:space="preserve"> </w:t>
      </w:r>
      <w:r>
        <w:t>in</w:t>
      </w:r>
      <w:r>
        <w:rPr>
          <w:spacing w:val="-5"/>
        </w:rPr>
        <w:t xml:space="preserve"> </w:t>
      </w:r>
      <w:r>
        <w:t>the</w:t>
      </w:r>
      <w:r>
        <w:rPr>
          <w:spacing w:val="-2"/>
        </w:rPr>
        <w:t xml:space="preserve"> </w:t>
      </w:r>
      <w:r>
        <w:t>process</w:t>
      </w:r>
      <w:r>
        <w:rPr>
          <w:spacing w:val="-4"/>
        </w:rPr>
        <w:t xml:space="preserve"> </w:t>
      </w:r>
      <w:r>
        <w:t>leading</w:t>
      </w:r>
      <w:r>
        <w:rPr>
          <w:spacing w:val="-4"/>
        </w:rPr>
        <w:t xml:space="preserve"> </w:t>
      </w:r>
      <w:r>
        <w:t>up</w:t>
      </w:r>
      <w:r>
        <w:rPr>
          <w:spacing w:val="-5"/>
        </w:rPr>
        <w:t xml:space="preserve"> </w:t>
      </w:r>
      <w:r>
        <w:t>to</w:t>
      </w:r>
      <w:r>
        <w:rPr>
          <w:spacing w:val="-5"/>
        </w:rPr>
        <w:t xml:space="preserve"> </w:t>
      </w:r>
      <w:r>
        <w:t>an</w:t>
      </w:r>
      <w:r>
        <w:rPr>
          <w:spacing w:val="-6"/>
        </w:rPr>
        <w:t xml:space="preserve"> </w:t>
      </w:r>
      <w:r>
        <w:t>apparently</w:t>
      </w:r>
      <w:r>
        <w:rPr>
          <w:spacing w:val="-3"/>
        </w:rPr>
        <w:t xml:space="preserve"> </w:t>
      </w:r>
      <w:r>
        <w:t>irrelevant</w:t>
      </w:r>
      <w:r>
        <w:rPr>
          <w:spacing w:val="-2"/>
        </w:rPr>
        <w:t xml:space="preserve"> decision.</w:t>
      </w:r>
    </w:p>
    <w:p w14:paraId="76946E22" w14:textId="77777777" w:rsidR="00DB6E1F" w:rsidRDefault="00F666A6">
      <w:pPr>
        <w:pStyle w:val="ListParagraph"/>
        <w:numPr>
          <w:ilvl w:val="0"/>
          <w:numId w:val="92"/>
        </w:numPr>
        <w:tabs>
          <w:tab w:val="left" w:pos="1799"/>
          <w:tab w:val="left" w:pos="1800"/>
        </w:tabs>
        <w:ind w:left="1799"/>
        <w:rPr>
          <w:rFonts w:ascii="Symbol" w:hAnsi="Symbol"/>
        </w:rPr>
      </w:pPr>
      <w:r>
        <w:t>Inviting</w:t>
      </w:r>
      <w:r>
        <w:rPr>
          <w:spacing w:val="-8"/>
        </w:rPr>
        <w:t xml:space="preserve"> </w:t>
      </w:r>
      <w:r>
        <w:t>them</w:t>
      </w:r>
      <w:r>
        <w:rPr>
          <w:spacing w:val="-4"/>
        </w:rPr>
        <w:t xml:space="preserve"> </w:t>
      </w:r>
      <w:r>
        <w:t>to</w:t>
      </w:r>
      <w:r>
        <w:rPr>
          <w:spacing w:val="-5"/>
        </w:rPr>
        <w:t xml:space="preserve"> </w:t>
      </w:r>
      <w:r>
        <w:t>evaluate</w:t>
      </w:r>
      <w:r>
        <w:rPr>
          <w:spacing w:val="-6"/>
        </w:rPr>
        <w:t xml:space="preserve"> </w:t>
      </w:r>
      <w:r>
        <w:t>whether</w:t>
      </w:r>
      <w:r>
        <w:rPr>
          <w:spacing w:val="-5"/>
        </w:rPr>
        <w:t xml:space="preserve"> </w:t>
      </w:r>
      <w:r>
        <w:t>those</w:t>
      </w:r>
      <w:r>
        <w:rPr>
          <w:spacing w:val="-6"/>
        </w:rPr>
        <w:t xml:space="preserve"> </w:t>
      </w:r>
      <w:r>
        <w:t>choices</w:t>
      </w:r>
      <w:r>
        <w:rPr>
          <w:spacing w:val="-5"/>
        </w:rPr>
        <w:t xml:space="preserve"> </w:t>
      </w:r>
      <w:r>
        <w:t>are</w:t>
      </w:r>
      <w:r>
        <w:rPr>
          <w:spacing w:val="-3"/>
        </w:rPr>
        <w:t xml:space="preserve"> </w:t>
      </w:r>
      <w:r>
        <w:t>consistent</w:t>
      </w:r>
      <w:r>
        <w:rPr>
          <w:spacing w:val="-5"/>
        </w:rPr>
        <w:t xml:space="preserve"> </w:t>
      </w:r>
      <w:r>
        <w:t>with</w:t>
      </w:r>
      <w:r>
        <w:rPr>
          <w:spacing w:val="-5"/>
        </w:rPr>
        <w:t xml:space="preserve"> </w:t>
      </w:r>
      <w:r>
        <w:t>their</w:t>
      </w:r>
      <w:r>
        <w:rPr>
          <w:spacing w:val="-5"/>
        </w:rPr>
        <w:t xml:space="preserve"> </w:t>
      </w:r>
      <w:r>
        <w:t>recovery</w:t>
      </w:r>
      <w:r>
        <w:rPr>
          <w:spacing w:val="-3"/>
        </w:rPr>
        <w:t xml:space="preserve"> </w:t>
      </w:r>
      <w:r>
        <w:rPr>
          <w:spacing w:val="-2"/>
        </w:rPr>
        <w:t>goals.</w:t>
      </w:r>
    </w:p>
    <w:p w14:paraId="37520DE1" w14:textId="77777777" w:rsidR="00DB6E1F" w:rsidRDefault="00F666A6">
      <w:pPr>
        <w:pStyle w:val="ListParagraph"/>
        <w:numPr>
          <w:ilvl w:val="0"/>
          <w:numId w:val="92"/>
        </w:numPr>
        <w:tabs>
          <w:tab w:val="left" w:pos="1799"/>
          <w:tab w:val="left" w:pos="1800"/>
        </w:tabs>
        <w:spacing w:before="59"/>
        <w:ind w:left="1799"/>
        <w:rPr>
          <w:rFonts w:ascii="Symbol" w:hAnsi="Symbol"/>
        </w:rPr>
      </w:pPr>
      <w:r>
        <w:t>Exploring</w:t>
      </w:r>
      <w:r>
        <w:rPr>
          <w:spacing w:val="-8"/>
        </w:rPr>
        <w:t xml:space="preserve"> </w:t>
      </w:r>
      <w:r>
        <w:t>possible</w:t>
      </w:r>
      <w:r>
        <w:rPr>
          <w:spacing w:val="-6"/>
        </w:rPr>
        <w:t xml:space="preserve"> </w:t>
      </w:r>
      <w:r>
        <w:t>alternative</w:t>
      </w:r>
      <w:r>
        <w:rPr>
          <w:spacing w:val="-6"/>
        </w:rPr>
        <w:t xml:space="preserve"> </w:t>
      </w:r>
      <w:r>
        <w:rPr>
          <w:spacing w:val="-2"/>
        </w:rPr>
        <w:t>choices.</w:t>
      </w:r>
    </w:p>
    <w:p w14:paraId="61EB5092" w14:textId="77777777" w:rsidR="00DB6E1F" w:rsidRDefault="00F666A6">
      <w:pPr>
        <w:pStyle w:val="BodyText"/>
        <w:spacing w:before="161"/>
        <w:ind w:left="1438" w:right="1444"/>
        <w:rPr>
          <w:b/>
        </w:rPr>
      </w:pPr>
      <w:r>
        <w:rPr>
          <w:b/>
        </w:rPr>
        <w:t>Temptations</w:t>
      </w:r>
      <w:r>
        <w:rPr>
          <w:b/>
          <w:spacing w:val="-4"/>
        </w:rPr>
        <w:t xml:space="preserve"> </w:t>
      </w:r>
      <w:r>
        <w:t>are</w:t>
      </w:r>
      <w:r>
        <w:rPr>
          <w:spacing w:val="-2"/>
        </w:rPr>
        <w:t xml:space="preserve"> </w:t>
      </w:r>
      <w:r>
        <w:t>urges</w:t>
      </w:r>
      <w:r>
        <w:rPr>
          <w:spacing w:val="-4"/>
        </w:rPr>
        <w:t xml:space="preserve"> </w:t>
      </w:r>
      <w:r>
        <w:t>or</w:t>
      </w:r>
      <w:r>
        <w:rPr>
          <w:spacing w:val="-3"/>
        </w:rPr>
        <w:t xml:space="preserve"> </w:t>
      </w:r>
      <w:r>
        <w:t>impulses</w:t>
      </w:r>
      <w:r>
        <w:rPr>
          <w:spacing w:val="-4"/>
        </w:rPr>
        <w:t xml:space="preserve"> </w:t>
      </w:r>
      <w:r>
        <w:t>closely</w:t>
      </w:r>
      <w:r>
        <w:rPr>
          <w:spacing w:val="-2"/>
        </w:rPr>
        <w:t xml:space="preserve"> </w:t>
      </w:r>
      <w:r>
        <w:t>linked</w:t>
      </w:r>
      <w:r>
        <w:rPr>
          <w:spacing w:val="-4"/>
        </w:rPr>
        <w:t xml:space="preserve"> </w:t>
      </w:r>
      <w:r>
        <w:t>to</w:t>
      </w:r>
      <w:r>
        <w:rPr>
          <w:spacing w:val="-1"/>
        </w:rPr>
        <w:t xml:space="preserve"> </w:t>
      </w:r>
      <w:r>
        <w:t>feelings</w:t>
      </w:r>
      <w:r>
        <w:rPr>
          <w:spacing w:val="-3"/>
        </w:rPr>
        <w:t xml:space="preserve"> </w:t>
      </w:r>
      <w:r>
        <w:t>or</w:t>
      </w:r>
      <w:r>
        <w:rPr>
          <w:spacing w:val="-3"/>
        </w:rPr>
        <w:t xml:space="preserve"> </w:t>
      </w:r>
      <w:r>
        <w:t>physical</w:t>
      </w:r>
      <w:r>
        <w:rPr>
          <w:spacing w:val="-3"/>
        </w:rPr>
        <w:t xml:space="preserve"> </w:t>
      </w:r>
      <w:r>
        <w:t>cravings.</w:t>
      </w:r>
      <w:r>
        <w:rPr>
          <w:spacing w:val="-5"/>
        </w:rPr>
        <w:t xml:space="preserve"> </w:t>
      </w:r>
      <w:r>
        <w:t>To</w:t>
      </w:r>
      <w:r>
        <w:rPr>
          <w:spacing w:val="-2"/>
        </w:rPr>
        <w:t xml:space="preserve"> </w:t>
      </w:r>
      <w:r>
        <w:t>distinguish</w:t>
      </w:r>
      <w:r>
        <w:rPr>
          <w:spacing w:val="-4"/>
        </w:rPr>
        <w:t xml:space="preserve"> </w:t>
      </w:r>
      <w:r>
        <w:t>between cravings and urges, note that cravings are the desire and urges are the intentions to use a substance (Witkiewitz &amp; Marlatt, 2007). Temptation is the attraction of the immediate, positive effects of drinking or using drugs. These impulses can be po</w:t>
      </w:r>
      <w:r>
        <w:t xml:space="preserve">werful and seem to come out of the blue. In </w:t>
      </w:r>
      <w:r>
        <w:rPr>
          <w:i/>
        </w:rPr>
        <w:t xml:space="preserve">Alcoholics Anonymous </w:t>
      </w:r>
      <w:r>
        <w:t>(also known as “The Big Book”), the authors depicted the unpredictable lure of temptation: “Remember that we deal with alcohol—cunning, baffling, powerful!” (Alcoholics Anonymous, 2001, p. 10</w:t>
      </w:r>
      <w:r>
        <w:t xml:space="preserve">). </w:t>
      </w:r>
      <w:r>
        <w:rPr>
          <w:b/>
        </w:rPr>
        <w:t>Help clients map out temptations and develop strategies for responding to them.</w:t>
      </w:r>
    </w:p>
    <w:p w14:paraId="1B7ED718" w14:textId="77777777" w:rsidR="00DB6E1F" w:rsidRDefault="00F666A6">
      <w:pPr>
        <w:spacing w:before="159"/>
        <w:ind w:left="1438" w:right="1491"/>
      </w:pPr>
      <w:r>
        <w:rPr>
          <w:b/>
        </w:rPr>
        <w:t>Replacement</w:t>
      </w:r>
      <w:r>
        <w:rPr>
          <w:b/>
          <w:spacing w:val="-3"/>
        </w:rPr>
        <w:t xml:space="preserve"> </w:t>
      </w:r>
      <w:r>
        <w:rPr>
          <w:b/>
        </w:rPr>
        <w:t>activities</w:t>
      </w:r>
      <w:r>
        <w:rPr>
          <w:b/>
          <w:spacing w:val="-3"/>
        </w:rPr>
        <w:t xml:space="preserve"> </w:t>
      </w:r>
      <w:r>
        <w:rPr>
          <w:b/>
        </w:rPr>
        <w:t>reinforce</w:t>
      </w:r>
      <w:r>
        <w:rPr>
          <w:b/>
          <w:spacing w:val="-4"/>
        </w:rPr>
        <w:t xml:space="preserve"> </w:t>
      </w:r>
      <w:r>
        <w:rPr>
          <w:b/>
        </w:rPr>
        <w:t>clients’</w:t>
      </w:r>
      <w:r>
        <w:rPr>
          <w:b/>
          <w:spacing w:val="-4"/>
        </w:rPr>
        <w:t xml:space="preserve"> </w:t>
      </w:r>
      <w:r>
        <w:rPr>
          <w:b/>
        </w:rPr>
        <w:t>lifestyle</w:t>
      </w:r>
      <w:r>
        <w:rPr>
          <w:b/>
          <w:spacing w:val="-6"/>
        </w:rPr>
        <w:t xml:space="preserve"> </w:t>
      </w:r>
      <w:r>
        <w:rPr>
          <w:b/>
        </w:rPr>
        <w:t>changes</w:t>
      </w:r>
      <w:r>
        <w:rPr>
          <w:b/>
          <w:spacing w:val="-2"/>
        </w:rPr>
        <w:t xml:space="preserve"> </w:t>
      </w:r>
      <w:r>
        <w:rPr>
          <w:b/>
        </w:rPr>
        <w:t>through</w:t>
      </w:r>
      <w:r>
        <w:rPr>
          <w:b/>
          <w:spacing w:val="-4"/>
        </w:rPr>
        <w:t xml:space="preserve"> </w:t>
      </w:r>
      <w:r>
        <w:rPr>
          <w:b/>
        </w:rPr>
        <w:t>actions</w:t>
      </w:r>
      <w:r>
        <w:rPr>
          <w:b/>
          <w:spacing w:val="-2"/>
        </w:rPr>
        <w:t xml:space="preserve"> </w:t>
      </w:r>
      <w:r>
        <w:rPr>
          <w:b/>
        </w:rPr>
        <w:t>that</w:t>
      </w:r>
      <w:r>
        <w:rPr>
          <w:b/>
          <w:spacing w:val="-5"/>
        </w:rPr>
        <w:t xml:space="preserve"> </w:t>
      </w:r>
      <w:r>
        <w:rPr>
          <w:b/>
        </w:rPr>
        <w:t>support</w:t>
      </w:r>
      <w:r>
        <w:rPr>
          <w:b/>
          <w:spacing w:val="-3"/>
        </w:rPr>
        <w:t xml:space="preserve"> </w:t>
      </w:r>
      <w:r>
        <w:rPr>
          <w:b/>
        </w:rPr>
        <w:t>their</w:t>
      </w:r>
      <w:r>
        <w:rPr>
          <w:b/>
          <w:spacing w:val="-4"/>
        </w:rPr>
        <w:t xml:space="preserve"> </w:t>
      </w:r>
      <w:r>
        <w:rPr>
          <w:b/>
        </w:rPr>
        <w:t xml:space="preserve">recovery. </w:t>
      </w:r>
      <w:r>
        <w:t>This involves helping clients identify and engage in activities that provide fulfillment, long-term satisfaction, and a substitute for the short-term pleasure of substance use. Use OARS to ask open questions and affirm, reflect, and summarize clients’ idea</w:t>
      </w:r>
      <w:r>
        <w:t>s for replacement activities. Brainstorming is also an effective way to help clients discover new ideas for replacement activities.</w:t>
      </w:r>
    </w:p>
    <w:p w14:paraId="6C0E7654" w14:textId="77777777" w:rsidR="00DB6E1F" w:rsidRDefault="00F666A6">
      <w:pPr>
        <w:pStyle w:val="Heading5"/>
        <w:spacing w:before="160"/>
        <w:ind w:left="1438"/>
      </w:pPr>
      <w:r>
        <w:t>Preparation</w:t>
      </w:r>
      <w:r>
        <w:rPr>
          <w:spacing w:val="-6"/>
        </w:rPr>
        <w:t xml:space="preserve"> </w:t>
      </w:r>
      <w:r>
        <w:t>for</w:t>
      </w:r>
      <w:r>
        <w:rPr>
          <w:spacing w:val="-3"/>
        </w:rPr>
        <w:t xml:space="preserve"> </w:t>
      </w:r>
      <w:r>
        <w:t>relapse</w:t>
      </w:r>
      <w:r>
        <w:rPr>
          <w:spacing w:val="-4"/>
        </w:rPr>
        <w:t xml:space="preserve"> </w:t>
      </w:r>
      <w:r>
        <w:rPr>
          <w:spacing w:val="-2"/>
        </w:rPr>
        <w:t>include:</w:t>
      </w:r>
    </w:p>
    <w:p w14:paraId="01DE60B7" w14:textId="77777777" w:rsidR="00DB6E1F" w:rsidRDefault="00F666A6">
      <w:pPr>
        <w:pStyle w:val="ListParagraph"/>
        <w:numPr>
          <w:ilvl w:val="0"/>
          <w:numId w:val="92"/>
        </w:numPr>
        <w:tabs>
          <w:tab w:val="left" w:pos="1798"/>
          <w:tab w:val="left" w:pos="1799"/>
        </w:tabs>
        <w:ind w:left="1798"/>
        <w:rPr>
          <w:rFonts w:ascii="Symbol" w:hAnsi="Symbol"/>
        </w:rPr>
      </w:pPr>
      <w:r>
        <w:t>Working</w:t>
      </w:r>
      <w:r>
        <w:rPr>
          <w:spacing w:val="-9"/>
        </w:rPr>
        <w:t xml:space="preserve"> </w:t>
      </w:r>
      <w:r>
        <w:t>with</w:t>
      </w:r>
      <w:r>
        <w:rPr>
          <w:spacing w:val="-4"/>
        </w:rPr>
        <w:t xml:space="preserve"> </w:t>
      </w:r>
      <w:r>
        <w:t>clients</w:t>
      </w:r>
      <w:r>
        <w:rPr>
          <w:spacing w:val="-5"/>
        </w:rPr>
        <w:t xml:space="preserve"> </w:t>
      </w:r>
      <w:r>
        <w:t>to</w:t>
      </w:r>
      <w:r>
        <w:rPr>
          <w:spacing w:val="-4"/>
        </w:rPr>
        <w:t xml:space="preserve"> </w:t>
      </w:r>
      <w:r>
        <w:t>anticipate</w:t>
      </w:r>
      <w:r>
        <w:rPr>
          <w:spacing w:val="-2"/>
        </w:rPr>
        <w:t xml:space="preserve"> </w:t>
      </w:r>
      <w:r>
        <w:t>and</w:t>
      </w:r>
      <w:r>
        <w:rPr>
          <w:spacing w:val="-5"/>
        </w:rPr>
        <w:t xml:space="preserve"> </w:t>
      </w:r>
      <w:r>
        <w:t>prepare</w:t>
      </w:r>
      <w:r>
        <w:rPr>
          <w:spacing w:val="-2"/>
        </w:rPr>
        <w:t xml:space="preserve"> </w:t>
      </w:r>
      <w:r>
        <w:t>for</w:t>
      </w:r>
      <w:r>
        <w:rPr>
          <w:spacing w:val="-3"/>
        </w:rPr>
        <w:t xml:space="preserve"> </w:t>
      </w:r>
      <w:r>
        <w:t>this</w:t>
      </w:r>
      <w:r>
        <w:rPr>
          <w:spacing w:val="-5"/>
        </w:rPr>
        <w:t xml:space="preserve"> </w:t>
      </w:r>
      <w:r>
        <w:rPr>
          <w:spacing w:val="-2"/>
        </w:rPr>
        <w:t>possibility.</w:t>
      </w:r>
    </w:p>
    <w:p w14:paraId="4B310B0C" w14:textId="77777777" w:rsidR="00DB6E1F" w:rsidRDefault="00F666A6">
      <w:pPr>
        <w:pStyle w:val="ListParagraph"/>
        <w:numPr>
          <w:ilvl w:val="0"/>
          <w:numId w:val="92"/>
        </w:numPr>
        <w:tabs>
          <w:tab w:val="left" w:pos="1798"/>
          <w:tab w:val="left" w:pos="1799"/>
        </w:tabs>
        <w:ind w:left="1798"/>
        <w:rPr>
          <w:rFonts w:ascii="Symbol" w:hAnsi="Symbol"/>
        </w:rPr>
      </w:pPr>
      <w:r>
        <w:t>Taking</w:t>
      </w:r>
      <w:r>
        <w:rPr>
          <w:spacing w:val="-4"/>
        </w:rPr>
        <w:t xml:space="preserve"> </w:t>
      </w:r>
      <w:r>
        <w:t>a</w:t>
      </w:r>
      <w:r>
        <w:rPr>
          <w:spacing w:val="-3"/>
        </w:rPr>
        <w:t xml:space="preserve"> </w:t>
      </w:r>
      <w:r>
        <w:t>nonjudgmental</w:t>
      </w:r>
      <w:r>
        <w:rPr>
          <w:spacing w:val="-5"/>
        </w:rPr>
        <w:t xml:space="preserve"> </w:t>
      </w:r>
      <w:r>
        <w:t>stance</w:t>
      </w:r>
      <w:r>
        <w:rPr>
          <w:spacing w:val="-3"/>
        </w:rPr>
        <w:t xml:space="preserve"> </w:t>
      </w:r>
      <w:r>
        <w:t>with</w:t>
      </w:r>
      <w:r>
        <w:rPr>
          <w:spacing w:val="-4"/>
        </w:rPr>
        <w:t xml:space="preserve"> </w:t>
      </w:r>
      <w:r>
        <w:t>clients</w:t>
      </w:r>
      <w:r>
        <w:rPr>
          <w:spacing w:val="-5"/>
        </w:rPr>
        <w:t xml:space="preserve"> </w:t>
      </w:r>
      <w:r>
        <w:t>if</w:t>
      </w:r>
      <w:r>
        <w:rPr>
          <w:spacing w:val="-3"/>
        </w:rPr>
        <w:t xml:space="preserve"> </w:t>
      </w:r>
      <w:r>
        <w:t>they</w:t>
      </w:r>
      <w:r>
        <w:rPr>
          <w:spacing w:val="-2"/>
        </w:rPr>
        <w:t xml:space="preserve"> lapse.</w:t>
      </w:r>
    </w:p>
    <w:p w14:paraId="3381988A" w14:textId="77777777" w:rsidR="00DB6E1F" w:rsidRDefault="00F666A6">
      <w:pPr>
        <w:pStyle w:val="ListParagraph"/>
        <w:numPr>
          <w:ilvl w:val="0"/>
          <w:numId w:val="92"/>
        </w:numPr>
        <w:tabs>
          <w:tab w:val="left" w:pos="1798"/>
          <w:tab w:val="left" w:pos="1799"/>
        </w:tabs>
        <w:spacing w:before="61"/>
        <w:ind w:left="1798" w:right="1610" w:hanging="360"/>
        <w:rPr>
          <w:rFonts w:ascii="Symbol" w:hAnsi="Symbol"/>
        </w:rPr>
      </w:pPr>
      <w:r>
        <w:t>Explaining</w:t>
      </w:r>
      <w:r>
        <w:rPr>
          <w:spacing w:val="-2"/>
        </w:rPr>
        <w:t xml:space="preserve"> </w:t>
      </w:r>
      <w:r>
        <w:t>to</w:t>
      </w:r>
      <w:r>
        <w:rPr>
          <w:spacing w:val="-3"/>
        </w:rPr>
        <w:t xml:space="preserve"> </w:t>
      </w:r>
      <w:r>
        <w:t>them</w:t>
      </w:r>
      <w:r>
        <w:rPr>
          <w:spacing w:val="-1"/>
        </w:rPr>
        <w:t xml:space="preserve"> </w:t>
      </w:r>
      <w:r>
        <w:t>that</w:t>
      </w:r>
      <w:r>
        <w:rPr>
          <w:spacing w:val="-4"/>
        </w:rPr>
        <w:t xml:space="preserve"> </w:t>
      </w:r>
      <w:r>
        <w:t>relapse</w:t>
      </w:r>
      <w:r>
        <w:rPr>
          <w:spacing w:val="-1"/>
        </w:rPr>
        <w:t xml:space="preserve"> </w:t>
      </w:r>
      <w:r>
        <w:t>is</w:t>
      </w:r>
      <w:r>
        <w:rPr>
          <w:spacing w:val="-2"/>
        </w:rPr>
        <w:t xml:space="preserve"> </w:t>
      </w:r>
      <w:r>
        <w:t>avoidable</w:t>
      </w:r>
      <w:r>
        <w:rPr>
          <w:spacing w:val="-1"/>
        </w:rPr>
        <w:t xml:space="preserve"> </w:t>
      </w:r>
      <w:r>
        <w:t>but</w:t>
      </w:r>
      <w:r>
        <w:rPr>
          <w:spacing w:val="-2"/>
        </w:rPr>
        <w:t xml:space="preserve"> </w:t>
      </w:r>
      <w:r>
        <w:t>that</w:t>
      </w:r>
      <w:r>
        <w:rPr>
          <w:spacing w:val="-2"/>
        </w:rPr>
        <w:t xml:space="preserve"> </w:t>
      </w:r>
      <w:r>
        <w:t>they</w:t>
      </w:r>
      <w:r>
        <w:rPr>
          <w:spacing w:val="-1"/>
        </w:rPr>
        <w:t xml:space="preserve"> </w:t>
      </w:r>
      <w:r>
        <w:t>should</w:t>
      </w:r>
      <w:r>
        <w:rPr>
          <w:spacing w:val="-3"/>
        </w:rPr>
        <w:t xml:space="preserve"> </w:t>
      </w:r>
      <w:r>
        <w:t>be</w:t>
      </w:r>
      <w:r>
        <w:rPr>
          <w:spacing w:val="-1"/>
        </w:rPr>
        <w:t xml:space="preserve"> </w:t>
      </w:r>
      <w:r>
        <w:t>prepared</w:t>
      </w:r>
      <w:r>
        <w:rPr>
          <w:spacing w:val="-3"/>
        </w:rPr>
        <w:t xml:space="preserve"> </w:t>
      </w:r>
      <w:r>
        <w:t>for</w:t>
      </w:r>
      <w:r>
        <w:rPr>
          <w:spacing w:val="-4"/>
        </w:rPr>
        <w:t xml:space="preserve"> </w:t>
      </w:r>
      <w:r>
        <w:t>possible</w:t>
      </w:r>
      <w:r>
        <w:rPr>
          <w:spacing w:val="-4"/>
        </w:rPr>
        <w:t xml:space="preserve"> </w:t>
      </w:r>
      <w:r>
        <w:t>setbacks and describing how to manage a return to substance use if it occurs.</w:t>
      </w:r>
    </w:p>
    <w:p w14:paraId="0DC5B410" w14:textId="77777777" w:rsidR="00DB6E1F" w:rsidRDefault="00F666A6">
      <w:pPr>
        <w:pStyle w:val="ListParagraph"/>
        <w:numPr>
          <w:ilvl w:val="0"/>
          <w:numId w:val="92"/>
        </w:numPr>
        <w:tabs>
          <w:tab w:val="left" w:pos="1798"/>
          <w:tab w:val="left" w:pos="1799"/>
        </w:tabs>
        <w:spacing w:before="56"/>
        <w:ind w:left="1798"/>
        <w:rPr>
          <w:rFonts w:ascii="Symbol" w:hAnsi="Symbol"/>
        </w:rPr>
      </w:pPr>
      <w:r>
        <w:t>Reframing</w:t>
      </w:r>
      <w:r>
        <w:rPr>
          <w:spacing w:val="-6"/>
        </w:rPr>
        <w:t xml:space="preserve"> </w:t>
      </w:r>
      <w:r>
        <w:t>a</w:t>
      </w:r>
      <w:r>
        <w:rPr>
          <w:spacing w:val="-4"/>
        </w:rPr>
        <w:t xml:space="preserve"> </w:t>
      </w:r>
      <w:r>
        <w:t>recurrence</w:t>
      </w:r>
      <w:r>
        <w:rPr>
          <w:spacing w:val="-6"/>
        </w:rPr>
        <w:t xml:space="preserve"> </w:t>
      </w:r>
      <w:r>
        <w:t>as</w:t>
      </w:r>
      <w:r>
        <w:rPr>
          <w:spacing w:val="-5"/>
        </w:rPr>
        <w:t xml:space="preserve"> </w:t>
      </w:r>
      <w:r>
        <w:t>a</w:t>
      </w:r>
      <w:r>
        <w:rPr>
          <w:spacing w:val="-4"/>
        </w:rPr>
        <w:t xml:space="preserve"> </w:t>
      </w:r>
      <w:r>
        <w:t>learning</w:t>
      </w:r>
      <w:r>
        <w:rPr>
          <w:spacing w:val="-5"/>
        </w:rPr>
        <w:t xml:space="preserve"> </w:t>
      </w:r>
      <w:r>
        <w:t>opportunity</w:t>
      </w:r>
      <w:r>
        <w:rPr>
          <w:spacing w:val="-5"/>
        </w:rPr>
        <w:t xml:space="preserve"> </w:t>
      </w:r>
      <w:r>
        <w:t>and</w:t>
      </w:r>
      <w:r>
        <w:rPr>
          <w:spacing w:val="-6"/>
        </w:rPr>
        <w:t xml:space="preserve"> </w:t>
      </w:r>
      <w:r>
        <w:t>reevaluating</w:t>
      </w:r>
      <w:r>
        <w:rPr>
          <w:spacing w:val="-4"/>
        </w:rPr>
        <w:t xml:space="preserve"> </w:t>
      </w:r>
      <w:r>
        <w:t>their</w:t>
      </w:r>
      <w:r>
        <w:rPr>
          <w:spacing w:val="-6"/>
        </w:rPr>
        <w:t xml:space="preserve"> </w:t>
      </w:r>
      <w:r>
        <w:t>coping</w:t>
      </w:r>
      <w:r>
        <w:rPr>
          <w:spacing w:val="-4"/>
        </w:rPr>
        <w:t xml:space="preserve"> </w:t>
      </w:r>
      <w:r>
        <w:rPr>
          <w:spacing w:val="-2"/>
        </w:rPr>
        <w:t>strategies.</w:t>
      </w:r>
    </w:p>
    <w:p w14:paraId="749979B0" w14:textId="77777777" w:rsidR="00DB6E1F" w:rsidRDefault="00F666A6">
      <w:pPr>
        <w:pStyle w:val="BodyText"/>
        <w:spacing w:before="163"/>
        <w:ind w:left="1438" w:right="1491"/>
      </w:pPr>
      <w:r>
        <w:rPr>
          <w:b/>
        </w:rPr>
        <w:t xml:space="preserve">Strategies for coping </w:t>
      </w:r>
      <w:r>
        <w:t>are helpful ways of thinking and acting that reduce relapse risk, enhance self- efficacy,</w:t>
      </w:r>
      <w:r>
        <w:rPr>
          <w:spacing w:val="-4"/>
        </w:rPr>
        <w:t xml:space="preserve"> </w:t>
      </w:r>
      <w:r>
        <w:t>manage</w:t>
      </w:r>
      <w:r>
        <w:rPr>
          <w:spacing w:val="-2"/>
        </w:rPr>
        <w:t xml:space="preserve"> </w:t>
      </w:r>
      <w:r>
        <w:t>impulses</w:t>
      </w:r>
      <w:r>
        <w:rPr>
          <w:spacing w:val="-4"/>
        </w:rPr>
        <w:t xml:space="preserve"> </w:t>
      </w:r>
      <w:r>
        <w:t>and</w:t>
      </w:r>
      <w:r>
        <w:rPr>
          <w:spacing w:val="-4"/>
        </w:rPr>
        <w:t xml:space="preserve"> </w:t>
      </w:r>
      <w:r>
        <w:t>cravings,</w:t>
      </w:r>
      <w:r>
        <w:rPr>
          <w:spacing w:val="-3"/>
        </w:rPr>
        <w:t xml:space="preserve"> </w:t>
      </w:r>
      <w:r>
        <w:t>reduce</w:t>
      </w:r>
      <w:r>
        <w:rPr>
          <w:spacing w:val="-2"/>
        </w:rPr>
        <w:t xml:space="preserve"> </w:t>
      </w:r>
      <w:r>
        <w:t>stress,</w:t>
      </w:r>
      <w:r>
        <w:rPr>
          <w:spacing w:val="-3"/>
        </w:rPr>
        <w:t xml:space="preserve"> </w:t>
      </w:r>
      <w:r>
        <w:t>and</w:t>
      </w:r>
      <w:r>
        <w:rPr>
          <w:spacing w:val="-4"/>
        </w:rPr>
        <w:t xml:space="preserve"> </w:t>
      </w:r>
      <w:r>
        <w:t>solve</w:t>
      </w:r>
      <w:r>
        <w:rPr>
          <w:spacing w:val="-1"/>
        </w:rPr>
        <w:t xml:space="preserve"> </w:t>
      </w:r>
      <w:r>
        <w:t>problems</w:t>
      </w:r>
      <w:r>
        <w:rPr>
          <w:spacing w:val="-4"/>
        </w:rPr>
        <w:t xml:space="preserve"> </w:t>
      </w:r>
      <w:r>
        <w:t>that</w:t>
      </w:r>
      <w:r>
        <w:rPr>
          <w:spacing w:val="-3"/>
        </w:rPr>
        <w:t xml:space="preserve"> </w:t>
      </w:r>
      <w:r>
        <w:t>arise</w:t>
      </w:r>
      <w:r>
        <w:rPr>
          <w:spacing w:val="-2"/>
        </w:rPr>
        <w:t xml:space="preserve"> </w:t>
      </w:r>
      <w:r>
        <w:t>in</w:t>
      </w:r>
      <w:r>
        <w:rPr>
          <w:spacing w:val="-4"/>
        </w:rPr>
        <w:t xml:space="preserve"> </w:t>
      </w:r>
      <w:r>
        <w:t>early</w:t>
      </w:r>
      <w:r>
        <w:rPr>
          <w:spacing w:val="-2"/>
        </w:rPr>
        <w:t xml:space="preserve"> </w:t>
      </w:r>
      <w:r>
        <w:t>recovery. Elicit clients’ positive coping strategies, and engage them in coping-sk</w:t>
      </w:r>
      <w:r>
        <w:t>ills training activities, such as:</w:t>
      </w:r>
    </w:p>
    <w:p w14:paraId="3EDE57C3" w14:textId="77777777" w:rsidR="00DB6E1F" w:rsidRDefault="00F666A6">
      <w:pPr>
        <w:pStyle w:val="ListParagraph"/>
        <w:numPr>
          <w:ilvl w:val="0"/>
          <w:numId w:val="92"/>
        </w:numPr>
        <w:tabs>
          <w:tab w:val="left" w:pos="1798"/>
          <w:tab w:val="left" w:pos="1799"/>
        </w:tabs>
        <w:spacing w:before="61"/>
        <w:ind w:left="1798"/>
        <w:rPr>
          <w:rFonts w:ascii="Symbol" w:hAnsi="Symbol"/>
        </w:rPr>
      </w:pPr>
      <w:r>
        <w:t>Providing</w:t>
      </w:r>
      <w:r>
        <w:rPr>
          <w:spacing w:val="-6"/>
        </w:rPr>
        <w:t xml:space="preserve"> </w:t>
      </w:r>
      <w:r>
        <w:rPr>
          <w:spacing w:val="-2"/>
        </w:rPr>
        <w:t>psychoeducation.</w:t>
      </w:r>
    </w:p>
    <w:p w14:paraId="72D9B35F" w14:textId="77777777" w:rsidR="00DB6E1F" w:rsidRDefault="00F666A6">
      <w:pPr>
        <w:pStyle w:val="ListParagraph"/>
        <w:numPr>
          <w:ilvl w:val="0"/>
          <w:numId w:val="92"/>
        </w:numPr>
        <w:tabs>
          <w:tab w:val="left" w:pos="1798"/>
          <w:tab w:val="left" w:pos="1799"/>
        </w:tabs>
        <w:spacing w:before="58"/>
        <w:ind w:left="1798"/>
        <w:rPr>
          <w:rFonts w:ascii="Symbol" w:hAnsi="Symbol"/>
        </w:rPr>
      </w:pPr>
      <w:r>
        <w:t>Teaching</w:t>
      </w:r>
      <w:r>
        <w:rPr>
          <w:spacing w:val="-8"/>
        </w:rPr>
        <w:t xml:space="preserve"> </w:t>
      </w:r>
      <w:r>
        <w:t>stress</w:t>
      </w:r>
      <w:r>
        <w:rPr>
          <w:spacing w:val="-4"/>
        </w:rPr>
        <w:t xml:space="preserve"> </w:t>
      </w:r>
      <w:r>
        <w:t>reduction</w:t>
      </w:r>
      <w:r>
        <w:rPr>
          <w:spacing w:val="-8"/>
        </w:rPr>
        <w:t xml:space="preserve"> </w:t>
      </w:r>
      <w:r>
        <w:t>and</w:t>
      </w:r>
      <w:r>
        <w:rPr>
          <w:spacing w:val="-5"/>
        </w:rPr>
        <w:t xml:space="preserve"> </w:t>
      </w:r>
      <w:r>
        <w:t>mindfulness</w:t>
      </w:r>
      <w:r>
        <w:rPr>
          <w:spacing w:val="-4"/>
        </w:rPr>
        <w:t xml:space="preserve"> </w:t>
      </w:r>
      <w:r>
        <w:rPr>
          <w:spacing w:val="-2"/>
        </w:rPr>
        <w:t>practices.</w:t>
      </w:r>
    </w:p>
    <w:p w14:paraId="24C3340E" w14:textId="77777777" w:rsidR="00DB6E1F" w:rsidRDefault="00DB6E1F">
      <w:pPr>
        <w:rPr>
          <w:rFonts w:ascii="Symbol" w:hAnsi="Symbol"/>
        </w:rPr>
        <w:sectPr w:rsidR="00DB6E1F">
          <w:pgSz w:w="12240" w:h="15840"/>
          <w:pgMar w:top="1200" w:right="0" w:bottom="780" w:left="0" w:header="763" w:footer="585" w:gutter="0"/>
          <w:cols w:space="720"/>
        </w:sectPr>
      </w:pPr>
    </w:p>
    <w:p w14:paraId="6FB0D054" w14:textId="77777777" w:rsidR="00DB6E1F" w:rsidRDefault="00DB6E1F">
      <w:pPr>
        <w:pStyle w:val="BodyText"/>
        <w:rPr>
          <w:sz w:val="11"/>
        </w:rPr>
      </w:pPr>
    </w:p>
    <w:p w14:paraId="6D351F26" w14:textId="77777777" w:rsidR="00DB6E1F" w:rsidRDefault="00F666A6">
      <w:pPr>
        <w:pStyle w:val="ListParagraph"/>
        <w:numPr>
          <w:ilvl w:val="0"/>
          <w:numId w:val="92"/>
        </w:numPr>
        <w:tabs>
          <w:tab w:val="left" w:pos="1800"/>
          <w:tab w:val="left" w:pos="1801"/>
        </w:tabs>
        <w:spacing w:before="101"/>
        <w:ind w:left="1800"/>
        <w:rPr>
          <w:rFonts w:ascii="Symbol" w:hAnsi="Symbol"/>
        </w:rPr>
      </w:pPr>
      <w:r>
        <w:t>Brainstorming</w:t>
      </w:r>
      <w:r>
        <w:rPr>
          <w:spacing w:val="-8"/>
        </w:rPr>
        <w:t xml:space="preserve"> </w:t>
      </w:r>
      <w:r>
        <w:t>strategies</w:t>
      </w:r>
      <w:r>
        <w:rPr>
          <w:spacing w:val="-6"/>
        </w:rPr>
        <w:t xml:space="preserve"> </w:t>
      </w:r>
      <w:r>
        <w:t>with</w:t>
      </w:r>
      <w:r>
        <w:rPr>
          <w:spacing w:val="-5"/>
        </w:rPr>
        <w:t xml:space="preserve"> </w:t>
      </w:r>
      <w:r>
        <w:t>clients</w:t>
      </w:r>
      <w:r>
        <w:rPr>
          <w:spacing w:val="-6"/>
        </w:rPr>
        <w:t xml:space="preserve"> </w:t>
      </w:r>
      <w:r>
        <w:t>to</w:t>
      </w:r>
      <w:r>
        <w:rPr>
          <w:spacing w:val="-5"/>
        </w:rPr>
        <w:t xml:space="preserve"> </w:t>
      </w:r>
      <w:r>
        <w:t>avoid</w:t>
      </w:r>
      <w:r>
        <w:rPr>
          <w:spacing w:val="-5"/>
        </w:rPr>
        <w:t xml:space="preserve"> </w:t>
      </w:r>
      <w:r>
        <w:t>high-risk</w:t>
      </w:r>
      <w:r>
        <w:rPr>
          <w:spacing w:val="-7"/>
        </w:rPr>
        <w:t xml:space="preserve"> </w:t>
      </w:r>
      <w:r>
        <w:t>situations</w:t>
      </w:r>
      <w:r>
        <w:rPr>
          <w:spacing w:val="-4"/>
        </w:rPr>
        <w:t xml:space="preserve"> </w:t>
      </w:r>
      <w:r>
        <w:t>and</w:t>
      </w:r>
      <w:r>
        <w:rPr>
          <w:spacing w:val="-7"/>
        </w:rPr>
        <w:t xml:space="preserve"> </w:t>
      </w:r>
      <w:r>
        <w:t>manage</w:t>
      </w:r>
      <w:r>
        <w:rPr>
          <w:spacing w:val="-4"/>
        </w:rPr>
        <w:t xml:space="preserve"> </w:t>
      </w:r>
      <w:r>
        <w:t>impulses</w:t>
      </w:r>
      <w:r>
        <w:rPr>
          <w:spacing w:val="-4"/>
        </w:rPr>
        <w:t xml:space="preserve"> </w:t>
      </w:r>
      <w:r>
        <w:t>or</w:t>
      </w:r>
      <w:r>
        <w:rPr>
          <w:spacing w:val="-6"/>
        </w:rPr>
        <w:t xml:space="preserve"> </w:t>
      </w:r>
      <w:r>
        <w:rPr>
          <w:spacing w:val="-2"/>
        </w:rPr>
        <w:t>cravings.</w:t>
      </w:r>
    </w:p>
    <w:p w14:paraId="29F8DFBB" w14:textId="77777777" w:rsidR="00DB6E1F" w:rsidRDefault="00F666A6">
      <w:pPr>
        <w:pStyle w:val="ListParagraph"/>
        <w:numPr>
          <w:ilvl w:val="0"/>
          <w:numId w:val="92"/>
        </w:numPr>
        <w:tabs>
          <w:tab w:val="left" w:pos="1800"/>
          <w:tab w:val="left" w:pos="1801"/>
        </w:tabs>
        <w:ind w:left="1800"/>
        <w:rPr>
          <w:rFonts w:ascii="Symbol" w:hAnsi="Symbol"/>
        </w:rPr>
      </w:pPr>
      <w:r>
        <w:t>Deconstructing</w:t>
      </w:r>
      <w:r>
        <w:rPr>
          <w:spacing w:val="-9"/>
        </w:rPr>
        <w:t xml:space="preserve"> </w:t>
      </w:r>
      <w:r>
        <w:t>negative</w:t>
      </w:r>
      <w:r>
        <w:rPr>
          <w:spacing w:val="-9"/>
        </w:rPr>
        <w:t xml:space="preserve"> </w:t>
      </w:r>
      <w:r>
        <w:t>thinking</w:t>
      </w:r>
      <w:r>
        <w:rPr>
          <w:spacing w:val="-8"/>
        </w:rPr>
        <w:t xml:space="preserve"> </w:t>
      </w:r>
      <w:r>
        <w:rPr>
          <w:spacing w:val="-2"/>
        </w:rPr>
        <w:t>patterns.</w:t>
      </w:r>
    </w:p>
    <w:p w14:paraId="4BABC434" w14:textId="77777777" w:rsidR="00DB6E1F" w:rsidRDefault="00F666A6">
      <w:pPr>
        <w:pStyle w:val="ListParagraph"/>
        <w:numPr>
          <w:ilvl w:val="0"/>
          <w:numId w:val="92"/>
        </w:numPr>
        <w:tabs>
          <w:tab w:val="left" w:pos="1800"/>
          <w:tab w:val="left" w:pos="1801"/>
        </w:tabs>
        <w:spacing w:before="61"/>
        <w:ind w:left="1800"/>
        <w:rPr>
          <w:rFonts w:ascii="Symbol" w:hAnsi="Symbol"/>
        </w:rPr>
      </w:pPr>
      <w:r>
        <w:t>Sharing</w:t>
      </w:r>
      <w:r>
        <w:rPr>
          <w:spacing w:val="-8"/>
        </w:rPr>
        <w:t xml:space="preserve"> </w:t>
      </w:r>
      <w:r>
        <w:t>problem-solving</w:t>
      </w:r>
      <w:r>
        <w:rPr>
          <w:spacing w:val="-5"/>
        </w:rPr>
        <w:t xml:space="preserve"> </w:t>
      </w:r>
      <w:r>
        <w:t>skills</w:t>
      </w:r>
      <w:r>
        <w:rPr>
          <w:spacing w:val="-5"/>
        </w:rPr>
        <w:t xml:space="preserve"> </w:t>
      </w:r>
      <w:r>
        <w:t>and</w:t>
      </w:r>
      <w:r>
        <w:rPr>
          <w:spacing w:val="-5"/>
        </w:rPr>
        <w:t xml:space="preserve"> </w:t>
      </w:r>
      <w:r>
        <w:t>coping</w:t>
      </w:r>
      <w:r>
        <w:rPr>
          <w:spacing w:val="-6"/>
        </w:rPr>
        <w:t xml:space="preserve"> </w:t>
      </w:r>
      <w:r>
        <w:t>strategies</w:t>
      </w:r>
      <w:r>
        <w:rPr>
          <w:spacing w:val="-4"/>
        </w:rPr>
        <w:t xml:space="preserve"> </w:t>
      </w:r>
      <w:r>
        <w:t>that</w:t>
      </w:r>
      <w:r>
        <w:rPr>
          <w:spacing w:val="-4"/>
        </w:rPr>
        <w:t xml:space="preserve"> </w:t>
      </w:r>
      <w:r>
        <w:t>have</w:t>
      </w:r>
      <w:r>
        <w:rPr>
          <w:spacing w:val="-3"/>
        </w:rPr>
        <w:t xml:space="preserve"> </w:t>
      </w:r>
      <w:r>
        <w:t>been</w:t>
      </w:r>
      <w:r>
        <w:rPr>
          <w:spacing w:val="-8"/>
        </w:rPr>
        <w:t xml:space="preserve"> </w:t>
      </w:r>
      <w:r>
        <w:t>helpful</w:t>
      </w:r>
      <w:r>
        <w:rPr>
          <w:spacing w:val="-4"/>
        </w:rPr>
        <w:t xml:space="preserve"> </w:t>
      </w:r>
      <w:r>
        <w:t>to</w:t>
      </w:r>
      <w:r>
        <w:rPr>
          <w:spacing w:val="-5"/>
        </w:rPr>
        <w:t xml:space="preserve"> </w:t>
      </w:r>
      <w:r>
        <w:rPr>
          <w:spacing w:val="-2"/>
        </w:rPr>
        <w:t>others.</w:t>
      </w:r>
    </w:p>
    <w:p w14:paraId="1792CC5F" w14:textId="77777777" w:rsidR="00DB6E1F" w:rsidRDefault="00F666A6">
      <w:pPr>
        <w:pStyle w:val="ListParagraph"/>
        <w:numPr>
          <w:ilvl w:val="0"/>
          <w:numId w:val="92"/>
        </w:numPr>
        <w:tabs>
          <w:tab w:val="left" w:pos="1800"/>
          <w:tab w:val="left" w:pos="1801"/>
        </w:tabs>
        <w:spacing w:before="58"/>
        <w:ind w:left="1800"/>
        <w:rPr>
          <w:rFonts w:ascii="Symbol" w:hAnsi="Symbol"/>
        </w:rPr>
      </w:pPr>
      <w:r>
        <w:t>Modeling</w:t>
      </w:r>
      <w:r>
        <w:rPr>
          <w:spacing w:val="-6"/>
        </w:rPr>
        <w:t xml:space="preserve"> </w:t>
      </w:r>
      <w:r>
        <w:t>positive</w:t>
      </w:r>
      <w:r>
        <w:rPr>
          <w:spacing w:val="-6"/>
        </w:rPr>
        <w:t xml:space="preserve"> </w:t>
      </w:r>
      <w:r>
        <w:t>self-talk</w:t>
      </w:r>
      <w:r>
        <w:rPr>
          <w:spacing w:val="-7"/>
        </w:rPr>
        <w:t xml:space="preserve"> </w:t>
      </w:r>
      <w:r>
        <w:t>and</w:t>
      </w:r>
      <w:r>
        <w:rPr>
          <w:spacing w:val="-5"/>
        </w:rPr>
        <w:t xml:space="preserve"> </w:t>
      </w:r>
      <w:r>
        <w:t>communication</w:t>
      </w:r>
      <w:r>
        <w:rPr>
          <w:spacing w:val="-7"/>
        </w:rPr>
        <w:t xml:space="preserve"> </w:t>
      </w:r>
      <w:r>
        <w:rPr>
          <w:spacing w:val="-2"/>
        </w:rPr>
        <w:t>skills.</w:t>
      </w:r>
    </w:p>
    <w:p w14:paraId="75B704F1" w14:textId="77777777" w:rsidR="00DB6E1F" w:rsidRDefault="00F666A6">
      <w:pPr>
        <w:pStyle w:val="ListParagraph"/>
        <w:numPr>
          <w:ilvl w:val="0"/>
          <w:numId w:val="92"/>
        </w:numPr>
        <w:tabs>
          <w:tab w:val="left" w:pos="1800"/>
          <w:tab w:val="left" w:pos="1801"/>
        </w:tabs>
        <w:ind w:left="1800"/>
        <w:rPr>
          <w:rFonts w:ascii="Symbol" w:hAnsi="Symbol"/>
        </w:rPr>
      </w:pPr>
      <w:r>
        <w:t>Rehearsing</w:t>
      </w:r>
      <w:r>
        <w:rPr>
          <w:spacing w:val="-5"/>
        </w:rPr>
        <w:t xml:space="preserve"> </w:t>
      </w:r>
      <w:r>
        <w:t>how</w:t>
      </w:r>
      <w:r>
        <w:rPr>
          <w:spacing w:val="-6"/>
        </w:rPr>
        <w:t xml:space="preserve"> </w:t>
      </w:r>
      <w:r>
        <w:t>to</w:t>
      </w:r>
      <w:r>
        <w:rPr>
          <w:spacing w:val="-4"/>
        </w:rPr>
        <w:t xml:space="preserve"> </w:t>
      </w:r>
      <w:r>
        <w:t>handle</w:t>
      </w:r>
      <w:r>
        <w:rPr>
          <w:spacing w:val="-7"/>
        </w:rPr>
        <w:t xml:space="preserve"> </w:t>
      </w:r>
      <w:r>
        <w:t>high-risk</w:t>
      </w:r>
      <w:r>
        <w:rPr>
          <w:spacing w:val="-3"/>
        </w:rPr>
        <w:t xml:space="preserve"> </w:t>
      </w:r>
      <w:r>
        <w:rPr>
          <w:spacing w:val="-2"/>
        </w:rPr>
        <w:t>situations.</w:t>
      </w:r>
    </w:p>
    <w:p w14:paraId="094586BE" w14:textId="77777777" w:rsidR="00DB6E1F" w:rsidRDefault="00F666A6">
      <w:pPr>
        <w:pStyle w:val="ListParagraph"/>
        <w:numPr>
          <w:ilvl w:val="0"/>
          <w:numId w:val="92"/>
        </w:numPr>
        <w:tabs>
          <w:tab w:val="left" w:pos="1800"/>
          <w:tab w:val="left" w:pos="1801"/>
        </w:tabs>
        <w:spacing w:before="61"/>
        <w:ind w:left="1800"/>
        <w:rPr>
          <w:rFonts w:ascii="Symbol" w:hAnsi="Symbol"/>
        </w:rPr>
      </w:pPr>
      <w:r>
        <w:t>Teaching</w:t>
      </w:r>
      <w:r>
        <w:rPr>
          <w:spacing w:val="-5"/>
        </w:rPr>
        <w:t xml:space="preserve"> </w:t>
      </w:r>
      <w:r>
        <w:t>alcohol</w:t>
      </w:r>
      <w:r>
        <w:rPr>
          <w:spacing w:val="-6"/>
        </w:rPr>
        <w:t xml:space="preserve"> </w:t>
      </w:r>
      <w:r>
        <w:t>and</w:t>
      </w:r>
      <w:r>
        <w:rPr>
          <w:spacing w:val="-5"/>
        </w:rPr>
        <w:t xml:space="preserve"> </w:t>
      </w:r>
      <w:r>
        <w:t>drug</w:t>
      </w:r>
      <w:r>
        <w:rPr>
          <w:spacing w:val="-4"/>
        </w:rPr>
        <w:t xml:space="preserve"> </w:t>
      </w:r>
      <w:r>
        <w:t>refusal</w:t>
      </w:r>
      <w:r>
        <w:rPr>
          <w:spacing w:val="-3"/>
        </w:rPr>
        <w:t xml:space="preserve"> </w:t>
      </w:r>
      <w:r>
        <w:rPr>
          <w:spacing w:val="-2"/>
        </w:rPr>
        <w:t>skills.</w:t>
      </w:r>
    </w:p>
    <w:p w14:paraId="4B4EDDCC" w14:textId="77777777" w:rsidR="00DB6E1F" w:rsidRDefault="00F666A6">
      <w:pPr>
        <w:pStyle w:val="ListParagraph"/>
        <w:numPr>
          <w:ilvl w:val="0"/>
          <w:numId w:val="92"/>
        </w:numPr>
        <w:tabs>
          <w:tab w:val="left" w:pos="1800"/>
          <w:tab w:val="left" w:pos="1801"/>
        </w:tabs>
        <w:spacing w:before="58"/>
        <w:ind w:left="1801"/>
        <w:rPr>
          <w:rFonts w:ascii="Symbol" w:hAnsi="Symbol"/>
        </w:rPr>
      </w:pPr>
      <w:r>
        <w:t>Exchanging</w:t>
      </w:r>
      <w:r>
        <w:rPr>
          <w:spacing w:val="-8"/>
        </w:rPr>
        <w:t xml:space="preserve"> </w:t>
      </w:r>
      <w:r>
        <w:t>in</w:t>
      </w:r>
      <w:r>
        <w:rPr>
          <w:spacing w:val="-5"/>
        </w:rPr>
        <w:t xml:space="preserve"> </w:t>
      </w:r>
      <w:r>
        <w:t>nonjudgmental</w:t>
      </w:r>
      <w:r>
        <w:rPr>
          <w:spacing w:val="-4"/>
        </w:rPr>
        <w:t xml:space="preserve"> </w:t>
      </w:r>
      <w:r>
        <w:t>feedback</w:t>
      </w:r>
      <w:r>
        <w:rPr>
          <w:spacing w:val="-3"/>
        </w:rPr>
        <w:t xml:space="preserve"> </w:t>
      </w:r>
      <w:r>
        <w:t>with</w:t>
      </w:r>
      <w:r>
        <w:rPr>
          <w:spacing w:val="-6"/>
        </w:rPr>
        <w:t xml:space="preserve"> </w:t>
      </w:r>
      <w:r>
        <w:t>other</w:t>
      </w:r>
      <w:r>
        <w:rPr>
          <w:spacing w:val="-6"/>
        </w:rPr>
        <w:t xml:space="preserve"> </w:t>
      </w:r>
      <w:r>
        <w:t>clients</w:t>
      </w:r>
      <w:r>
        <w:rPr>
          <w:spacing w:val="-4"/>
        </w:rPr>
        <w:t xml:space="preserve"> </w:t>
      </w:r>
      <w:r>
        <w:t>in</w:t>
      </w:r>
      <w:r>
        <w:rPr>
          <w:spacing w:val="-5"/>
        </w:rPr>
        <w:t xml:space="preserve"> </w:t>
      </w:r>
      <w:r>
        <w:t>RPC</w:t>
      </w:r>
      <w:r>
        <w:rPr>
          <w:spacing w:val="-4"/>
        </w:rPr>
        <w:t xml:space="preserve"> </w:t>
      </w:r>
      <w:r>
        <w:rPr>
          <w:spacing w:val="-2"/>
        </w:rPr>
        <w:t>groups.</w:t>
      </w:r>
    </w:p>
    <w:p w14:paraId="2B9FAC7C" w14:textId="77777777" w:rsidR="00DB6E1F" w:rsidRDefault="00F666A6">
      <w:pPr>
        <w:pStyle w:val="Heading4"/>
        <w:spacing w:before="202"/>
      </w:pPr>
      <w:bookmarkStart w:id="209" w:name="Relapse_management_strategies"/>
      <w:bookmarkEnd w:id="209"/>
      <w:r>
        <w:t>Relapse</w:t>
      </w:r>
      <w:r>
        <w:rPr>
          <w:spacing w:val="-13"/>
        </w:rPr>
        <w:t xml:space="preserve"> </w:t>
      </w:r>
      <w:r>
        <w:t>management</w:t>
      </w:r>
      <w:r>
        <w:rPr>
          <w:spacing w:val="-10"/>
        </w:rPr>
        <w:t xml:space="preserve"> </w:t>
      </w:r>
      <w:r>
        <w:rPr>
          <w:spacing w:val="-2"/>
        </w:rPr>
        <w:t>strategies</w:t>
      </w:r>
    </w:p>
    <w:p w14:paraId="27A8CE91" w14:textId="77777777" w:rsidR="00DB6E1F" w:rsidRDefault="00F666A6">
      <w:pPr>
        <w:spacing w:before="83"/>
        <w:ind w:left="1439" w:right="1491"/>
      </w:pPr>
      <w:r>
        <w:rPr>
          <w:b/>
        </w:rPr>
        <w:t>If</w:t>
      </w:r>
      <w:r>
        <w:rPr>
          <w:b/>
          <w:spacing w:val="-2"/>
        </w:rPr>
        <w:t xml:space="preserve"> </w:t>
      </w:r>
      <w:r>
        <w:rPr>
          <w:b/>
        </w:rPr>
        <w:t>clients</w:t>
      </w:r>
      <w:r>
        <w:rPr>
          <w:b/>
          <w:spacing w:val="-1"/>
        </w:rPr>
        <w:t xml:space="preserve"> </w:t>
      </w:r>
      <w:r>
        <w:rPr>
          <w:b/>
        </w:rPr>
        <w:t>return</w:t>
      </w:r>
      <w:r>
        <w:rPr>
          <w:b/>
          <w:spacing w:val="-3"/>
        </w:rPr>
        <w:t xml:space="preserve"> </w:t>
      </w:r>
      <w:r>
        <w:rPr>
          <w:b/>
        </w:rPr>
        <w:t>to</w:t>
      </w:r>
      <w:r>
        <w:rPr>
          <w:b/>
          <w:spacing w:val="-3"/>
        </w:rPr>
        <w:t xml:space="preserve"> </w:t>
      </w:r>
      <w:r>
        <w:rPr>
          <w:b/>
        </w:rPr>
        <w:t>substance</w:t>
      </w:r>
      <w:r>
        <w:rPr>
          <w:b/>
          <w:spacing w:val="-3"/>
        </w:rPr>
        <w:t xml:space="preserve"> </w:t>
      </w:r>
      <w:r>
        <w:rPr>
          <w:b/>
        </w:rPr>
        <w:t>use,</w:t>
      </w:r>
      <w:r>
        <w:rPr>
          <w:b/>
          <w:spacing w:val="-1"/>
        </w:rPr>
        <w:t xml:space="preserve"> </w:t>
      </w:r>
      <w:r>
        <w:rPr>
          <w:b/>
        </w:rPr>
        <w:t>help</w:t>
      </w:r>
      <w:r>
        <w:rPr>
          <w:b/>
          <w:spacing w:val="-3"/>
        </w:rPr>
        <w:t xml:space="preserve"> </w:t>
      </w:r>
      <w:r>
        <w:rPr>
          <w:b/>
        </w:rPr>
        <w:t>them</w:t>
      </w:r>
      <w:r>
        <w:rPr>
          <w:b/>
          <w:spacing w:val="-2"/>
        </w:rPr>
        <w:t xml:space="preserve"> </w:t>
      </w:r>
      <w:r>
        <w:rPr>
          <w:b/>
        </w:rPr>
        <w:t>avoid</w:t>
      </w:r>
      <w:r>
        <w:rPr>
          <w:b/>
          <w:spacing w:val="-1"/>
        </w:rPr>
        <w:t xml:space="preserve"> </w:t>
      </w:r>
      <w:r>
        <w:rPr>
          <w:b/>
        </w:rPr>
        <w:t>full</w:t>
      </w:r>
      <w:r>
        <w:rPr>
          <w:b/>
          <w:spacing w:val="-1"/>
        </w:rPr>
        <w:t xml:space="preserve"> </w:t>
      </w:r>
      <w:r>
        <w:rPr>
          <w:b/>
        </w:rPr>
        <w:t>relapse</w:t>
      </w:r>
      <w:r>
        <w:rPr>
          <w:b/>
          <w:spacing w:val="-3"/>
        </w:rPr>
        <w:t xml:space="preserve"> </w:t>
      </w:r>
      <w:r>
        <w:rPr>
          <w:b/>
        </w:rPr>
        <w:t>by</w:t>
      </w:r>
      <w:r>
        <w:rPr>
          <w:b/>
          <w:spacing w:val="-1"/>
        </w:rPr>
        <w:t xml:space="preserve"> </w:t>
      </w:r>
      <w:r>
        <w:rPr>
          <w:b/>
        </w:rPr>
        <w:t>teaching</w:t>
      </w:r>
      <w:r>
        <w:rPr>
          <w:b/>
          <w:spacing w:val="-3"/>
        </w:rPr>
        <w:t xml:space="preserve"> </w:t>
      </w:r>
      <w:r>
        <w:rPr>
          <w:b/>
        </w:rPr>
        <w:t>them</w:t>
      </w:r>
      <w:r>
        <w:rPr>
          <w:b/>
          <w:spacing w:val="-4"/>
        </w:rPr>
        <w:t xml:space="preserve"> </w:t>
      </w:r>
      <w:r>
        <w:rPr>
          <w:b/>
        </w:rPr>
        <w:t>to</w:t>
      </w:r>
      <w:r>
        <w:rPr>
          <w:b/>
          <w:spacing w:val="-3"/>
        </w:rPr>
        <w:t xml:space="preserve"> </w:t>
      </w:r>
      <w:r>
        <w:t>(Witkiewitz</w:t>
      </w:r>
      <w:r>
        <w:rPr>
          <w:spacing w:val="-3"/>
        </w:rPr>
        <w:t xml:space="preserve"> </w:t>
      </w:r>
      <w:r>
        <w:t>&amp; Marlatt, 2007):</w:t>
      </w:r>
    </w:p>
    <w:p w14:paraId="12094906" w14:textId="77777777" w:rsidR="00DB6E1F" w:rsidRDefault="00F666A6">
      <w:pPr>
        <w:pStyle w:val="ListParagraph"/>
        <w:numPr>
          <w:ilvl w:val="0"/>
          <w:numId w:val="92"/>
        </w:numPr>
        <w:tabs>
          <w:tab w:val="left" w:pos="1799"/>
          <w:tab w:val="left" w:pos="1800"/>
        </w:tabs>
        <w:spacing w:before="61"/>
        <w:ind w:left="1800" w:right="1639"/>
        <w:rPr>
          <w:rFonts w:ascii="Symbol" w:hAnsi="Symbol"/>
        </w:rPr>
      </w:pPr>
      <w:r>
        <w:rPr>
          <w:b/>
        </w:rPr>
        <w:t xml:space="preserve">Stop, look, and listen. </w:t>
      </w:r>
      <w:r>
        <w:t>Clients can learn</w:t>
      </w:r>
      <w:r>
        <w:rPr>
          <w:spacing w:val="-2"/>
        </w:rPr>
        <w:t xml:space="preserve"> </w:t>
      </w:r>
      <w:r>
        <w:t>how to become</w:t>
      </w:r>
      <w:r>
        <w:rPr>
          <w:spacing w:val="-1"/>
        </w:rPr>
        <w:t xml:space="preserve"> </w:t>
      </w:r>
      <w:r>
        <w:t>aware</w:t>
      </w:r>
      <w:r>
        <w:rPr>
          <w:spacing w:val="-1"/>
        </w:rPr>
        <w:t xml:space="preserve"> </w:t>
      </w:r>
      <w:r>
        <w:t>of</w:t>
      </w:r>
      <w:r>
        <w:rPr>
          <w:spacing w:val="-2"/>
        </w:rPr>
        <w:t xml:space="preserve"> </w:t>
      </w:r>
      <w:r>
        <w:t>events</w:t>
      </w:r>
      <w:r>
        <w:rPr>
          <w:spacing w:val="-1"/>
        </w:rPr>
        <w:t xml:space="preserve"> </w:t>
      </w:r>
      <w:r>
        <w:t>as they are unfolding and stop the process of a recurrence before it goes further. Taking a step back from events as an observer can help clients gain perspective and allow them the em</w:t>
      </w:r>
      <w:r>
        <w:t>otional and cognitive space to assess</w:t>
      </w:r>
      <w:r>
        <w:rPr>
          <w:spacing w:val="-5"/>
        </w:rPr>
        <w:t xml:space="preserve"> </w:t>
      </w:r>
      <w:r>
        <w:t>the</w:t>
      </w:r>
      <w:r>
        <w:rPr>
          <w:spacing w:val="-2"/>
        </w:rPr>
        <w:t xml:space="preserve"> </w:t>
      </w:r>
      <w:r>
        <w:t>situation</w:t>
      </w:r>
      <w:r>
        <w:rPr>
          <w:spacing w:val="-4"/>
        </w:rPr>
        <w:t xml:space="preserve"> </w:t>
      </w:r>
      <w:r>
        <w:t>before</w:t>
      </w:r>
      <w:r>
        <w:rPr>
          <w:spacing w:val="-5"/>
        </w:rPr>
        <w:t xml:space="preserve"> </w:t>
      </w:r>
      <w:r>
        <w:t>reacting.</w:t>
      </w:r>
      <w:r>
        <w:rPr>
          <w:spacing w:val="-3"/>
        </w:rPr>
        <w:t xml:space="preserve"> </w:t>
      </w:r>
      <w:r>
        <w:t>The</w:t>
      </w:r>
      <w:r>
        <w:rPr>
          <w:spacing w:val="-5"/>
        </w:rPr>
        <w:t xml:space="preserve"> </w:t>
      </w:r>
      <w:r>
        <w:t>AA</w:t>
      </w:r>
      <w:r>
        <w:rPr>
          <w:spacing w:val="-3"/>
        </w:rPr>
        <w:t xml:space="preserve"> </w:t>
      </w:r>
      <w:r>
        <w:t>slogan</w:t>
      </w:r>
      <w:r>
        <w:rPr>
          <w:spacing w:val="-4"/>
        </w:rPr>
        <w:t xml:space="preserve"> </w:t>
      </w:r>
      <w:r>
        <w:t>“think…think…think”</w:t>
      </w:r>
      <w:r>
        <w:rPr>
          <w:spacing w:val="-2"/>
        </w:rPr>
        <w:t xml:space="preserve"> </w:t>
      </w:r>
      <w:r>
        <w:t>aids</w:t>
      </w:r>
      <w:r>
        <w:rPr>
          <w:spacing w:val="-3"/>
        </w:rPr>
        <w:t xml:space="preserve"> </w:t>
      </w:r>
      <w:r>
        <w:t>in</w:t>
      </w:r>
      <w:r>
        <w:rPr>
          <w:spacing w:val="-4"/>
        </w:rPr>
        <w:t xml:space="preserve"> </w:t>
      </w:r>
      <w:r>
        <w:t>relapse</w:t>
      </w:r>
      <w:r>
        <w:rPr>
          <w:spacing w:val="-2"/>
        </w:rPr>
        <w:t xml:space="preserve"> </w:t>
      </w:r>
      <w:r>
        <w:t>prevention by providing a cognitive reminder to stop, look, and listen before reacting or taking action.</w:t>
      </w:r>
    </w:p>
    <w:p w14:paraId="09433570" w14:textId="77777777" w:rsidR="00DB6E1F" w:rsidRDefault="00F666A6">
      <w:pPr>
        <w:pStyle w:val="ListParagraph"/>
        <w:numPr>
          <w:ilvl w:val="0"/>
          <w:numId w:val="92"/>
        </w:numPr>
        <w:tabs>
          <w:tab w:val="left" w:pos="1800"/>
          <w:tab w:val="left" w:pos="1801"/>
        </w:tabs>
        <w:spacing w:before="59"/>
        <w:ind w:left="1800" w:right="1452"/>
        <w:rPr>
          <w:rFonts w:ascii="Symbol" w:hAnsi="Symbol"/>
        </w:rPr>
      </w:pPr>
      <w:r>
        <w:rPr>
          <w:b/>
        </w:rPr>
        <w:t>Keep</w:t>
      </w:r>
      <w:r>
        <w:rPr>
          <w:b/>
          <w:spacing w:val="-3"/>
        </w:rPr>
        <w:t xml:space="preserve"> </w:t>
      </w:r>
      <w:r>
        <w:rPr>
          <w:b/>
        </w:rPr>
        <w:t>calm.</w:t>
      </w:r>
      <w:r>
        <w:rPr>
          <w:b/>
          <w:spacing w:val="-3"/>
        </w:rPr>
        <w:t xml:space="preserve"> </w:t>
      </w:r>
      <w:r>
        <w:t>Staying</w:t>
      </w:r>
      <w:r>
        <w:rPr>
          <w:spacing w:val="-5"/>
        </w:rPr>
        <w:t xml:space="preserve"> </w:t>
      </w:r>
      <w:r>
        <w:t>calm</w:t>
      </w:r>
      <w:r>
        <w:rPr>
          <w:spacing w:val="-3"/>
        </w:rPr>
        <w:t xml:space="preserve"> </w:t>
      </w:r>
      <w:r>
        <w:t>is</w:t>
      </w:r>
      <w:r>
        <w:rPr>
          <w:spacing w:val="-4"/>
        </w:rPr>
        <w:t xml:space="preserve"> </w:t>
      </w:r>
      <w:r>
        <w:t>the</w:t>
      </w:r>
      <w:r>
        <w:rPr>
          <w:spacing w:val="-1"/>
        </w:rPr>
        <w:t xml:space="preserve"> </w:t>
      </w:r>
      <w:r>
        <w:t>e</w:t>
      </w:r>
      <w:r>
        <w:t>motional</w:t>
      </w:r>
      <w:r>
        <w:rPr>
          <w:spacing w:val="-2"/>
        </w:rPr>
        <w:t xml:space="preserve"> </w:t>
      </w:r>
      <w:r>
        <w:t>equivalent</w:t>
      </w:r>
      <w:r>
        <w:rPr>
          <w:spacing w:val="-4"/>
        </w:rPr>
        <w:t xml:space="preserve"> </w:t>
      </w:r>
      <w:r>
        <w:t>of</w:t>
      </w:r>
      <w:r>
        <w:rPr>
          <w:spacing w:val="-2"/>
        </w:rPr>
        <w:t xml:space="preserve"> </w:t>
      </w:r>
      <w:r>
        <w:t>stop,</w:t>
      </w:r>
      <w:r>
        <w:rPr>
          <w:spacing w:val="-4"/>
        </w:rPr>
        <w:t xml:space="preserve"> </w:t>
      </w:r>
      <w:r>
        <w:t>look,</w:t>
      </w:r>
      <w:r>
        <w:rPr>
          <w:spacing w:val="-4"/>
        </w:rPr>
        <w:t xml:space="preserve"> </w:t>
      </w:r>
      <w:r>
        <w:t>and</w:t>
      </w:r>
      <w:r>
        <w:rPr>
          <w:spacing w:val="-3"/>
        </w:rPr>
        <w:t xml:space="preserve"> </w:t>
      </w:r>
      <w:r>
        <w:t>listen.</w:t>
      </w:r>
      <w:r>
        <w:rPr>
          <w:spacing w:val="-5"/>
        </w:rPr>
        <w:t xml:space="preserve"> </w:t>
      </w:r>
      <w:r>
        <w:t>Thoughts,</w:t>
      </w:r>
      <w:r>
        <w:rPr>
          <w:spacing w:val="-2"/>
        </w:rPr>
        <w:t xml:space="preserve"> </w:t>
      </w:r>
      <w:r>
        <w:t>feelings,</w:t>
      </w:r>
      <w:r>
        <w:rPr>
          <w:spacing w:val="-2"/>
        </w:rPr>
        <w:t xml:space="preserve"> </w:t>
      </w:r>
      <w:r>
        <w:t xml:space="preserve">and behaviors are often tightly intertwined. Sometimes, clients don’t remember that, just because they feel anxious or have an impulse to use substances or reengage in risk behaviors, they </w:t>
      </w:r>
      <w:r>
        <w:t>don’t have to act on those feelings or impulses. Practicing calmness and not overreacting emotionally to a recurrence can help clients break this pattern of impulsivity.</w:t>
      </w:r>
    </w:p>
    <w:p w14:paraId="7265BD63" w14:textId="77777777" w:rsidR="00DB6E1F" w:rsidRDefault="00F666A6">
      <w:pPr>
        <w:pStyle w:val="ListParagraph"/>
        <w:numPr>
          <w:ilvl w:val="0"/>
          <w:numId w:val="92"/>
        </w:numPr>
        <w:tabs>
          <w:tab w:val="left" w:pos="1800"/>
          <w:tab w:val="left" w:pos="1801"/>
        </w:tabs>
        <w:spacing w:before="61"/>
        <w:ind w:left="1799" w:right="1485" w:hanging="360"/>
        <w:rPr>
          <w:rFonts w:ascii="Symbol" w:hAnsi="Symbol"/>
        </w:rPr>
      </w:pPr>
      <w:r>
        <w:rPr>
          <w:b/>
        </w:rPr>
        <w:t xml:space="preserve">Renew their commitment to recovery. </w:t>
      </w:r>
      <w:r>
        <w:t>People are often discouraged by a recurrence, whic</w:t>
      </w:r>
      <w:r>
        <w:t>h can lower motivation and confidence about continuing on the recovery journey. To allay hopelessness, remind clients of previous successes with behavior change (no matter how “small”). Keep them looking</w:t>
      </w:r>
      <w:r>
        <w:rPr>
          <w:spacing w:val="-2"/>
        </w:rPr>
        <w:t xml:space="preserve"> </w:t>
      </w:r>
      <w:r>
        <w:t>forward</w:t>
      </w:r>
      <w:r>
        <w:rPr>
          <w:spacing w:val="-3"/>
        </w:rPr>
        <w:t xml:space="preserve"> </w:t>
      </w:r>
      <w:r>
        <w:t>by</w:t>
      </w:r>
      <w:r>
        <w:rPr>
          <w:spacing w:val="-3"/>
        </w:rPr>
        <w:t xml:space="preserve"> </w:t>
      </w:r>
      <w:r>
        <w:t>exploring</w:t>
      </w:r>
      <w:r>
        <w:rPr>
          <w:spacing w:val="-2"/>
        </w:rPr>
        <w:t xml:space="preserve"> </w:t>
      </w:r>
      <w:r>
        <w:t>their</w:t>
      </w:r>
      <w:r>
        <w:rPr>
          <w:spacing w:val="-2"/>
        </w:rPr>
        <w:t xml:space="preserve"> </w:t>
      </w:r>
      <w:r>
        <w:t>reasons</w:t>
      </w:r>
      <w:r>
        <w:rPr>
          <w:spacing w:val="-2"/>
        </w:rPr>
        <w:t xml:space="preserve"> </w:t>
      </w:r>
      <w:r>
        <w:t>for</w:t>
      </w:r>
      <w:r>
        <w:rPr>
          <w:spacing w:val="-2"/>
        </w:rPr>
        <w:t xml:space="preserve"> </w:t>
      </w:r>
      <w:r>
        <w:t>recovery</w:t>
      </w:r>
      <w:r>
        <w:rPr>
          <w:spacing w:val="-1"/>
        </w:rPr>
        <w:t xml:space="preserve"> </w:t>
      </w:r>
      <w:r>
        <w:t>and</w:t>
      </w:r>
      <w:r>
        <w:rPr>
          <w:spacing w:val="-2"/>
        </w:rPr>
        <w:t xml:space="preserve"> </w:t>
      </w:r>
      <w:r>
        <w:t>hopes,</w:t>
      </w:r>
      <w:r>
        <w:rPr>
          <w:spacing w:val="-2"/>
        </w:rPr>
        <w:t xml:space="preserve"> </w:t>
      </w:r>
      <w:r>
        <w:t>dreams,</w:t>
      </w:r>
      <w:r>
        <w:rPr>
          <w:spacing w:val="-2"/>
        </w:rPr>
        <w:t xml:space="preserve"> </w:t>
      </w:r>
      <w:r>
        <w:t>and</w:t>
      </w:r>
      <w:r>
        <w:rPr>
          <w:spacing w:val="-5"/>
        </w:rPr>
        <w:t xml:space="preserve"> </w:t>
      </w:r>
      <w:r>
        <w:t>goals</w:t>
      </w:r>
      <w:r>
        <w:rPr>
          <w:spacing w:val="-2"/>
        </w:rPr>
        <w:t xml:space="preserve"> </w:t>
      </w:r>
      <w:r>
        <w:t>for</w:t>
      </w:r>
      <w:r>
        <w:rPr>
          <w:spacing w:val="-2"/>
        </w:rPr>
        <w:t xml:space="preserve"> </w:t>
      </w:r>
      <w:r>
        <w:t>the</w:t>
      </w:r>
      <w:r>
        <w:rPr>
          <w:spacing w:val="-4"/>
        </w:rPr>
        <w:t xml:space="preserve"> </w:t>
      </w:r>
      <w:r>
        <w:t>future.</w:t>
      </w:r>
    </w:p>
    <w:p w14:paraId="441F658B" w14:textId="77777777" w:rsidR="00DB6E1F" w:rsidRDefault="00F666A6">
      <w:pPr>
        <w:pStyle w:val="ListParagraph"/>
        <w:numPr>
          <w:ilvl w:val="0"/>
          <w:numId w:val="92"/>
        </w:numPr>
        <w:tabs>
          <w:tab w:val="left" w:pos="1800"/>
          <w:tab w:val="left" w:pos="1801"/>
        </w:tabs>
        <w:spacing w:before="59"/>
        <w:ind w:left="1799" w:right="1473" w:hanging="360"/>
        <w:rPr>
          <w:rFonts w:ascii="Symbol" w:hAnsi="Symbol"/>
        </w:rPr>
      </w:pPr>
      <w:r>
        <w:rPr>
          <w:b/>
        </w:rPr>
        <w:t xml:space="preserve">Review what led up to the recurrence. </w:t>
      </w:r>
      <w:r>
        <w:t>Review the events leading up to the recurrence and do a mini-relapse assessment taking into account lifestyle imbalance, thoughts of immediate gratification,</w:t>
      </w:r>
      <w:r>
        <w:rPr>
          <w:spacing w:val="-5"/>
        </w:rPr>
        <w:t xml:space="preserve"> </w:t>
      </w:r>
      <w:r>
        <w:t>urges</w:t>
      </w:r>
      <w:r>
        <w:rPr>
          <w:spacing w:val="-3"/>
        </w:rPr>
        <w:t xml:space="preserve"> </w:t>
      </w:r>
      <w:r>
        <w:t>and</w:t>
      </w:r>
      <w:r>
        <w:rPr>
          <w:spacing w:val="-4"/>
        </w:rPr>
        <w:t xml:space="preserve"> </w:t>
      </w:r>
      <w:r>
        <w:t>cravings,</w:t>
      </w:r>
      <w:r>
        <w:rPr>
          <w:spacing w:val="-3"/>
        </w:rPr>
        <w:t xml:space="preserve"> </w:t>
      </w:r>
      <w:r>
        <w:t>justifications,</w:t>
      </w:r>
      <w:r>
        <w:rPr>
          <w:spacing w:val="-5"/>
        </w:rPr>
        <w:t xml:space="preserve"> </w:t>
      </w:r>
      <w:r>
        <w:t>apparently</w:t>
      </w:r>
      <w:r>
        <w:rPr>
          <w:spacing w:val="-2"/>
        </w:rPr>
        <w:t xml:space="preserve"> </w:t>
      </w:r>
      <w:r>
        <w:t>irrelevant</w:t>
      </w:r>
      <w:r>
        <w:rPr>
          <w:spacing w:val="-5"/>
        </w:rPr>
        <w:t xml:space="preserve"> </w:t>
      </w:r>
      <w:r>
        <w:t>decisions,</w:t>
      </w:r>
      <w:r>
        <w:rPr>
          <w:spacing w:val="-3"/>
        </w:rPr>
        <w:t xml:space="preserve"> </w:t>
      </w:r>
      <w:r>
        <w:t>and</w:t>
      </w:r>
      <w:r>
        <w:rPr>
          <w:spacing w:val="-4"/>
        </w:rPr>
        <w:t xml:space="preserve"> </w:t>
      </w:r>
      <w:r>
        <w:t>the</w:t>
      </w:r>
      <w:r>
        <w:rPr>
          <w:spacing w:val="-2"/>
        </w:rPr>
        <w:t xml:space="preserve"> </w:t>
      </w:r>
      <w:r>
        <w:t>nature</w:t>
      </w:r>
      <w:r>
        <w:rPr>
          <w:spacing w:val="-5"/>
        </w:rPr>
        <w:t xml:space="preserve"> </w:t>
      </w:r>
      <w:r>
        <w:t>of</w:t>
      </w:r>
      <w:r>
        <w:rPr>
          <w:spacing w:val="-5"/>
        </w:rPr>
        <w:t xml:space="preserve"> </w:t>
      </w:r>
      <w:r>
        <w:t xml:space="preserve">the high-risk situation that triggered the lapse. Review early warning signs clients may have noticed but disregarded and explore the cognitive traps that led to disregarding </w:t>
      </w:r>
      <w:r>
        <w:t>the warning signs.</w:t>
      </w:r>
    </w:p>
    <w:p w14:paraId="0387529A" w14:textId="77777777" w:rsidR="00DB6E1F" w:rsidRDefault="00F666A6">
      <w:pPr>
        <w:pStyle w:val="ListParagraph"/>
        <w:numPr>
          <w:ilvl w:val="0"/>
          <w:numId w:val="92"/>
        </w:numPr>
        <w:tabs>
          <w:tab w:val="left" w:pos="1799"/>
          <w:tab w:val="left" w:pos="1800"/>
        </w:tabs>
        <w:spacing w:before="61"/>
        <w:ind w:left="1799" w:right="1535"/>
        <w:rPr>
          <w:rFonts w:ascii="Symbol" w:hAnsi="Symbol"/>
        </w:rPr>
      </w:pPr>
      <w:r>
        <w:rPr>
          <w:b/>
        </w:rPr>
        <w:t xml:space="preserve">Make an immediate plan for recovery. </w:t>
      </w:r>
      <w:r>
        <w:t>Work with clients to develop an immediate action plan for recommitting to recovery. The plan should include specific action steps clients can take to avoid a full</w:t>
      </w:r>
      <w:r>
        <w:rPr>
          <w:spacing w:val="-2"/>
        </w:rPr>
        <w:t xml:space="preserve"> </w:t>
      </w:r>
      <w:r>
        <w:t>relapse</w:t>
      </w:r>
      <w:r>
        <w:rPr>
          <w:spacing w:val="-1"/>
        </w:rPr>
        <w:t xml:space="preserve"> </w:t>
      </w:r>
      <w:r>
        <w:t>that</w:t>
      </w:r>
      <w:r>
        <w:rPr>
          <w:spacing w:val="-1"/>
        </w:rPr>
        <w:t xml:space="preserve"> </w:t>
      </w:r>
      <w:r>
        <w:t>are</w:t>
      </w:r>
      <w:r>
        <w:rPr>
          <w:spacing w:val="-4"/>
        </w:rPr>
        <w:t xml:space="preserve"> </w:t>
      </w:r>
      <w:r>
        <w:t>acceptable,</w:t>
      </w:r>
      <w:r>
        <w:rPr>
          <w:spacing w:val="-2"/>
        </w:rPr>
        <w:t xml:space="preserve"> </w:t>
      </w:r>
      <w:r>
        <w:t>accessib</w:t>
      </w:r>
      <w:r>
        <w:t>le,</w:t>
      </w:r>
      <w:r>
        <w:rPr>
          <w:spacing w:val="-4"/>
        </w:rPr>
        <w:t xml:space="preserve"> </w:t>
      </w:r>
      <w:r>
        <w:t>and</w:t>
      </w:r>
      <w:r>
        <w:rPr>
          <w:spacing w:val="-3"/>
        </w:rPr>
        <w:t xml:space="preserve"> </w:t>
      </w:r>
      <w:r>
        <w:t>appropriate</w:t>
      </w:r>
      <w:r>
        <w:rPr>
          <w:spacing w:val="-1"/>
        </w:rPr>
        <w:t xml:space="preserve"> </w:t>
      </w:r>
      <w:r>
        <w:t>from</w:t>
      </w:r>
      <w:r>
        <w:rPr>
          <w:spacing w:val="-3"/>
        </w:rPr>
        <w:t xml:space="preserve"> </w:t>
      </w:r>
      <w:r>
        <w:t>their</w:t>
      </w:r>
      <w:r>
        <w:rPr>
          <w:spacing w:val="-2"/>
        </w:rPr>
        <w:t xml:space="preserve"> </w:t>
      </w:r>
      <w:r>
        <w:t>point</w:t>
      </w:r>
      <w:r>
        <w:rPr>
          <w:spacing w:val="-4"/>
        </w:rPr>
        <w:t xml:space="preserve"> </w:t>
      </w:r>
      <w:r>
        <w:t>of</w:t>
      </w:r>
      <w:r>
        <w:rPr>
          <w:spacing w:val="-4"/>
        </w:rPr>
        <w:t xml:space="preserve"> </w:t>
      </w:r>
      <w:r>
        <w:t>view.</w:t>
      </w:r>
      <w:r>
        <w:rPr>
          <w:spacing w:val="-2"/>
        </w:rPr>
        <w:t xml:space="preserve"> </w:t>
      </w:r>
      <w:r>
        <w:t>Write</w:t>
      </w:r>
      <w:r>
        <w:rPr>
          <w:spacing w:val="-4"/>
        </w:rPr>
        <w:t xml:space="preserve"> </w:t>
      </w:r>
      <w:r>
        <w:t>the</w:t>
      </w:r>
      <w:r>
        <w:rPr>
          <w:spacing w:val="-1"/>
        </w:rPr>
        <w:t xml:space="preserve"> </w:t>
      </w:r>
      <w:r>
        <w:t>plan on paper or a file card. Include client-generated strategies for handling a recurrence, such as:</w:t>
      </w:r>
    </w:p>
    <w:p w14:paraId="79788DE5" w14:textId="77777777" w:rsidR="00DB6E1F" w:rsidRDefault="00F666A6">
      <w:pPr>
        <w:pStyle w:val="ListParagraph"/>
        <w:numPr>
          <w:ilvl w:val="1"/>
          <w:numId w:val="92"/>
        </w:numPr>
        <w:tabs>
          <w:tab w:val="left" w:pos="2159"/>
          <w:tab w:val="left" w:pos="2160"/>
        </w:tabs>
        <w:spacing w:before="58"/>
        <w:ind w:hanging="361"/>
      </w:pPr>
      <w:r>
        <w:rPr>
          <w:b/>
        </w:rPr>
        <w:t>Call</w:t>
      </w:r>
      <w:r>
        <w:rPr>
          <w:b/>
          <w:spacing w:val="-5"/>
        </w:rPr>
        <w:t xml:space="preserve"> </w:t>
      </w:r>
      <w:r>
        <w:rPr>
          <w:b/>
        </w:rPr>
        <w:t>a</w:t>
      </w:r>
      <w:r>
        <w:rPr>
          <w:b/>
          <w:spacing w:val="-8"/>
        </w:rPr>
        <w:t xml:space="preserve"> </w:t>
      </w:r>
      <w:r>
        <w:rPr>
          <w:b/>
        </w:rPr>
        <w:t>sponsor</w:t>
      </w:r>
      <w:r>
        <w:rPr>
          <w:b/>
          <w:spacing w:val="-3"/>
        </w:rPr>
        <w:t xml:space="preserve"> </w:t>
      </w:r>
      <w:r>
        <w:rPr>
          <w:b/>
        </w:rPr>
        <w:t>or</w:t>
      </w:r>
      <w:r>
        <w:rPr>
          <w:b/>
          <w:spacing w:val="-6"/>
        </w:rPr>
        <w:t xml:space="preserve"> </w:t>
      </w:r>
      <w:r>
        <w:rPr>
          <w:b/>
        </w:rPr>
        <w:t>recovery</w:t>
      </w:r>
      <w:r>
        <w:rPr>
          <w:b/>
          <w:spacing w:val="-4"/>
        </w:rPr>
        <w:t xml:space="preserve"> </w:t>
      </w:r>
      <w:r>
        <w:rPr>
          <w:b/>
        </w:rPr>
        <w:t>support</w:t>
      </w:r>
      <w:r>
        <w:rPr>
          <w:b/>
          <w:spacing w:val="-4"/>
        </w:rPr>
        <w:t xml:space="preserve"> </w:t>
      </w:r>
      <w:r>
        <w:rPr>
          <w:b/>
        </w:rPr>
        <w:t>person.</w:t>
      </w:r>
      <w:r>
        <w:rPr>
          <w:b/>
          <w:spacing w:val="-1"/>
        </w:rPr>
        <w:t xml:space="preserve"> </w:t>
      </w:r>
      <w:r>
        <w:t>Include</w:t>
      </w:r>
      <w:r>
        <w:rPr>
          <w:spacing w:val="-6"/>
        </w:rPr>
        <w:t xml:space="preserve"> </w:t>
      </w:r>
      <w:r>
        <w:t>specific</w:t>
      </w:r>
      <w:r>
        <w:rPr>
          <w:spacing w:val="-4"/>
        </w:rPr>
        <w:t xml:space="preserve"> </w:t>
      </w:r>
      <w:r>
        <w:t>names</w:t>
      </w:r>
      <w:r>
        <w:rPr>
          <w:spacing w:val="-6"/>
        </w:rPr>
        <w:t xml:space="preserve"> </w:t>
      </w:r>
      <w:r>
        <w:t>and</w:t>
      </w:r>
      <w:r>
        <w:rPr>
          <w:spacing w:val="-5"/>
        </w:rPr>
        <w:t xml:space="preserve"> </w:t>
      </w:r>
      <w:r>
        <w:t>phone</w:t>
      </w:r>
      <w:r>
        <w:rPr>
          <w:spacing w:val="-2"/>
        </w:rPr>
        <w:t xml:space="preserve"> numbers.</w:t>
      </w:r>
    </w:p>
    <w:p w14:paraId="20E893FD" w14:textId="77777777" w:rsidR="00DB6E1F" w:rsidRDefault="00F666A6">
      <w:pPr>
        <w:pStyle w:val="ListParagraph"/>
        <w:numPr>
          <w:ilvl w:val="1"/>
          <w:numId w:val="92"/>
        </w:numPr>
        <w:tabs>
          <w:tab w:val="left" w:pos="2159"/>
          <w:tab w:val="left" w:pos="2160"/>
        </w:tabs>
        <w:ind w:hanging="361"/>
      </w:pPr>
      <w:r>
        <w:rPr>
          <w:b/>
        </w:rPr>
        <w:t>Go</w:t>
      </w:r>
      <w:r>
        <w:rPr>
          <w:b/>
          <w:spacing w:val="-7"/>
        </w:rPr>
        <w:t xml:space="preserve"> </w:t>
      </w:r>
      <w:r>
        <w:rPr>
          <w:b/>
        </w:rPr>
        <w:t>to</w:t>
      </w:r>
      <w:r>
        <w:rPr>
          <w:b/>
          <w:spacing w:val="-4"/>
        </w:rPr>
        <w:t xml:space="preserve"> </w:t>
      </w:r>
      <w:r>
        <w:rPr>
          <w:b/>
        </w:rPr>
        <w:t>a</w:t>
      </w:r>
      <w:r>
        <w:rPr>
          <w:b/>
          <w:spacing w:val="-5"/>
        </w:rPr>
        <w:t xml:space="preserve"> </w:t>
      </w:r>
      <w:r>
        <w:rPr>
          <w:b/>
        </w:rPr>
        <w:t>recovery</w:t>
      </w:r>
      <w:r>
        <w:rPr>
          <w:b/>
          <w:spacing w:val="-4"/>
        </w:rPr>
        <w:t xml:space="preserve"> </w:t>
      </w:r>
      <w:r>
        <w:rPr>
          <w:b/>
        </w:rPr>
        <w:t>support</w:t>
      </w:r>
      <w:r>
        <w:rPr>
          <w:b/>
          <w:spacing w:val="-5"/>
        </w:rPr>
        <w:t xml:space="preserve"> </w:t>
      </w:r>
      <w:r>
        <w:rPr>
          <w:b/>
        </w:rPr>
        <w:t>meeting.</w:t>
      </w:r>
      <w:r>
        <w:rPr>
          <w:b/>
          <w:spacing w:val="-3"/>
        </w:rPr>
        <w:t xml:space="preserve"> </w:t>
      </w:r>
      <w:r>
        <w:t>Include</w:t>
      </w:r>
      <w:r>
        <w:rPr>
          <w:spacing w:val="-2"/>
        </w:rPr>
        <w:t xml:space="preserve"> </w:t>
      </w:r>
      <w:r>
        <w:t>specific</w:t>
      </w:r>
      <w:r>
        <w:rPr>
          <w:spacing w:val="-5"/>
        </w:rPr>
        <w:t xml:space="preserve"> </w:t>
      </w:r>
      <w:r>
        <w:t>meeting</w:t>
      </w:r>
      <w:r>
        <w:rPr>
          <w:spacing w:val="-5"/>
        </w:rPr>
        <w:t xml:space="preserve"> </w:t>
      </w:r>
      <w:r>
        <w:t>times</w:t>
      </w:r>
      <w:r>
        <w:rPr>
          <w:spacing w:val="-5"/>
        </w:rPr>
        <w:t xml:space="preserve"> </w:t>
      </w:r>
      <w:r>
        <w:t>and</w:t>
      </w:r>
      <w:r>
        <w:rPr>
          <w:spacing w:val="-4"/>
        </w:rPr>
        <w:t xml:space="preserve"> </w:t>
      </w:r>
      <w:r>
        <w:rPr>
          <w:spacing w:val="-2"/>
        </w:rPr>
        <w:t>locations.</w:t>
      </w:r>
    </w:p>
    <w:p w14:paraId="158205E3" w14:textId="77777777" w:rsidR="00DB6E1F" w:rsidRDefault="00F666A6">
      <w:pPr>
        <w:pStyle w:val="ListParagraph"/>
        <w:numPr>
          <w:ilvl w:val="1"/>
          <w:numId w:val="92"/>
        </w:numPr>
        <w:tabs>
          <w:tab w:val="left" w:pos="2159"/>
          <w:tab w:val="left" w:pos="2160"/>
        </w:tabs>
        <w:spacing w:before="61"/>
        <w:ind w:hanging="361"/>
      </w:pPr>
      <w:r>
        <w:t>Engage</w:t>
      </w:r>
      <w:r>
        <w:rPr>
          <w:spacing w:val="-7"/>
        </w:rPr>
        <w:t xml:space="preserve"> </w:t>
      </w:r>
      <w:r>
        <w:t>in</w:t>
      </w:r>
      <w:r>
        <w:rPr>
          <w:spacing w:val="-5"/>
        </w:rPr>
        <w:t xml:space="preserve"> </w:t>
      </w:r>
      <w:r>
        <w:t>cognitive,</w:t>
      </w:r>
      <w:r>
        <w:rPr>
          <w:spacing w:val="-7"/>
        </w:rPr>
        <w:t xml:space="preserve"> </w:t>
      </w:r>
      <w:r>
        <w:t>emotional,</w:t>
      </w:r>
      <w:r>
        <w:rPr>
          <w:spacing w:val="-5"/>
        </w:rPr>
        <w:t xml:space="preserve"> </w:t>
      </w:r>
      <w:r>
        <w:t>physical,</w:t>
      </w:r>
      <w:r>
        <w:rPr>
          <w:spacing w:val="-5"/>
        </w:rPr>
        <w:t xml:space="preserve"> </w:t>
      </w:r>
      <w:r>
        <w:t>and</w:t>
      </w:r>
      <w:r>
        <w:rPr>
          <w:spacing w:val="-6"/>
        </w:rPr>
        <w:t xml:space="preserve"> </w:t>
      </w:r>
      <w:r>
        <w:t>behavioral</w:t>
      </w:r>
      <w:r>
        <w:rPr>
          <w:spacing w:val="-5"/>
        </w:rPr>
        <w:t xml:space="preserve"> </w:t>
      </w:r>
      <w:r>
        <w:t>strategies</w:t>
      </w:r>
      <w:r>
        <w:rPr>
          <w:spacing w:val="-4"/>
        </w:rPr>
        <w:t xml:space="preserve"> </w:t>
      </w:r>
      <w:r>
        <w:t>for</w:t>
      </w:r>
      <w:r>
        <w:rPr>
          <w:spacing w:val="-7"/>
        </w:rPr>
        <w:t xml:space="preserve"> </w:t>
      </w:r>
      <w:r>
        <w:t>managing</w:t>
      </w:r>
      <w:r>
        <w:rPr>
          <w:spacing w:val="-7"/>
        </w:rPr>
        <w:t xml:space="preserve"> </w:t>
      </w:r>
      <w:r>
        <w:rPr>
          <w:spacing w:val="-2"/>
        </w:rPr>
        <w:t>cravings.</w:t>
      </w:r>
    </w:p>
    <w:p w14:paraId="3828990D" w14:textId="77777777" w:rsidR="00DB6E1F" w:rsidRDefault="00F666A6">
      <w:pPr>
        <w:pStyle w:val="ListParagraph"/>
        <w:numPr>
          <w:ilvl w:val="1"/>
          <w:numId w:val="92"/>
        </w:numPr>
        <w:tabs>
          <w:tab w:val="left" w:pos="2158"/>
          <w:tab w:val="left" w:pos="2159"/>
        </w:tabs>
        <w:ind w:left="2158"/>
      </w:pPr>
      <w:r>
        <w:t>Engage</w:t>
      </w:r>
      <w:r>
        <w:rPr>
          <w:spacing w:val="-3"/>
        </w:rPr>
        <w:t xml:space="preserve"> </w:t>
      </w:r>
      <w:r>
        <w:t>in</w:t>
      </w:r>
      <w:r>
        <w:rPr>
          <w:spacing w:val="-5"/>
        </w:rPr>
        <w:t xml:space="preserve"> </w:t>
      </w:r>
      <w:r>
        <w:t>specific</w:t>
      </w:r>
      <w:r>
        <w:rPr>
          <w:spacing w:val="-5"/>
        </w:rPr>
        <w:t xml:space="preserve"> </w:t>
      </w:r>
      <w:r>
        <w:t>self-care</w:t>
      </w:r>
      <w:r>
        <w:rPr>
          <w:spacing w:val="-6"/>
        </w:rPr>
        <w:t xml:space="preserve"> </w:t>
      </w:r>
      <w:r>
        <w:t>or</w:t>
      </w:r>
      <w:r>
        <w:rPr>
          <w:spacing w:val="-3"/>
        </w:rPr>
        <w:t xml:space="preserve"> </w:t>
      </w:r>
      <w:r>
        <w:t>stress</w:t>
      </w:r>
      <w:r>
        <w:rPr>
          <w:spacing w:val="-4"/>
        </w:rPr>
        <w:t xml:space="preserve"> </w:t>
      </w:r>
      <w:r>
        <w:t>reduction</w:t>
      </w:r>
      <w:r>
        <w:rPr>
          <w:spacing w:val="-4"/>
        </w:rPr>
        <w:t xml:space="preserve"> </w:t>
      </w:r>
      <w:r>
        <w:rPr>
          <w:spacing w:val="-2"/>
        </w:rPr>
        <w:t>activities.</w:t>
      </w:r>
    </w:p>
    <w:p w14:paraId="08845B6C" w14:textId="77777777" w:rsidR="00DB6E1F" w:rsidRDefault="00F666A6">
      <w:pPr>
        <w:pStyle w:val="ListParagraph"/>
        <w:numPr>
          <w:ilvl w:val="1"/>
          <w:numId w:val="92"/>
        </w:numPr>
        <w:tabs>
          <w:tab w:val="left" w:pos="2158"/>
          <w:tab w:val="left" w:pos="2159"/>
        </w:tabs>
        <w:ind w:left="2158" w:hanging="361"/>
      </w:pPr>
      <w:r>
        <w:rPr>
          <w:b/>
        </w:rPr>
        <w:t>Return</w:t>
      </w:r>
      <w:r>
        <w:rPr>
          <w:b/>
          <w:spacing w:val="-8"/>
        </w:rPr>
        <w:t xml:space="preserve"> </w:t>
      </w:r>
      <w:r>
        <w:rPr>
          <w:b/>
        </w:rPr>
        <w:t>to</w:t>
      </w:r>
      <w:r>
        <w:rPr>
          <w:b/>
          <w:spacing w:val="-5"/>
        </w:rPr>
        <w:t xml:space="preserve"> </w:t>
      </w:r>
      <w:r>
        <w:rPr>
          <w:b/>
        </w:rPr>
        <w:t>medication</w:t>
      </w:r>
      <w:r>
        <w:rPr>
          <w:b/>
          <w:spacing w:val="-6"/>
        </w:rPr>
        <w:t xml:space="preserve"> </w:t>
      </w:r>
      <w:r>
        <w:t>(if</w:t>
      </w:r>
      <w:r>
        <w:rPr>
          <w:spacing w:val="-4"/>
        </w:rPr>
        <w:t xml:space="preserve"> </w:t>
      </w:r>
      <w:r>
        <w:t>applicable).</w:t>
      </w:r>
      <w:r>
        <w:rPr>
          <w:spacing w:val="-5"/>
        </w:rPr>
        <w:t xml:space="preserve"> </w:t>
      </w:r>
      <w:r>
        <w:t>Include</w:t>
      </w:r>
      <w:r>
        <w:rPr>
          <w:spacing w:val="-3"/>
        </w:rPr>
        <w:t xml:space="preserve"> </w:t>
      </w:r>
      <w:r>
        <w:t>adherence</w:t>
      </w:r>
      <w:r>
        <w:rPr>
          <w:spacing w:val="-6"/>
        </w:rPr>
        <w:t xml:space="preserve"> </w:t>
      </w:r>
      <w:r>
        <w:t>strategies</w:t>
      </w:r>
      <w:r>
        <w:rPr>
          <w:spacing w:val="-5"/>
        </w:rPr>
        <w:t xml:space="preserve"> </w:t>
      </w:r>
      <w:r>
        <w:t>and</w:t>
      </w:r>
      <w:r>
        <w:rPr>
          <w:spacing w:val="-6"/>
        </w:rPr>
        <w:t xml:space="preserve"> </w:t>
      </w:r>
      <w:r>
        <w:t>names</w:t>
      </w:r>
      <w:r>
        <w:rPr>
          <w:spacing w:val="-6"/>
        </w:rPr>
        <w:t xml:space="preserve"> </w:t>
      </w:r>
      <w:r>
        <w:t>of</w:t>
      </w:r>
      <w:r>
        <w:rPr>
          <w:spacing w:val="-6"/>
        </w:rPr>
        <w:t xml:space="preserve"> </w:t>
      </w:r>
      <w:r>
        <w:rPr>
          <w:spacing w:val="-2"/>
        </w:rPr>
        <w:t>prescribers.</w:t>
      </w:r>
    </w:p>
    <w:p w14:paraId="58B3ED96" w14:textId="77777777" w:rsidR="00DB6E1F" w:rsidRDefault="00F666A6">
      <w:pPr>
        <w:pStyle w:val="ListParagraph"/>
        <w:numPr>
          <w:ilvl w:val="1"/>
          <w:numId w:val="92"/>
        </w:numPr>
        <w:tabs>
          <w:tab w:val="left" w:pos="2158"/>
          <w:tab w:val="left" w:pos="2159"/>
        </w:tabs>
        <w:ind w:left="2158" w:hanging="361"/>
      </w:pPr>
      <w:r>
        <w:rPr>
          <w:b/>
        </w:rPr>
        <w:t>Call</w:t>
      </w:r>
      <w:r>
        <w:rPr>
          <w:b/>
          <w:spacing w:val="-6"/>
        </w:rPr>
        <w:t xml:space="preserve"> </w:t>
      </w:r>
      <w:r>
        <w:rPr>
          <w:b/>
        </w:rPr>
        <w:t>you</w:t>
      </w:r>
      <w:r>
        <w:rPr>
          <w:b/>
          <w:spacing w:val="-4"/>
        </w:rPr>
        <w:t xml:space="preserve"> </w:t>
      </w:r>
      <w:r>
        <w:rPr>
          <w:b/>
        </w:rPr>
        <w:t>or</w:t>
      </w:r>
      <w:r>
        <w:rPr>
          <w:b/>
          <w:spacing w:val="-2"/>
        </w:rPr>
        <w:t xml:space="preserve"> </w:t>
      </w:r>
      <w:r>
        <w:rPr>
          <w:b/>
        </w:rPr>
        <w:t>the</w:t>
      </w:r>
      <w:r>
        <w:rPr>
          <w:b/>
          <w:spacing w:val="-5"/>
        </w:rPr>
        <w:t xml:space="preserve"> </w:t>
      </w:r>
      <w:r>
        <w:rPr>
          <w:b/>
        </w:rPr>
        <w:t>treatment</w:t>
      </w:r>
      <w:r>
        <w:rPr>
          <w:b/>
          <w:spacing w:val="-5"/>
        </w:rPr>
        <w:t xml:space="preserve"> </w:t>
      </w:r>
      <w:r>
        <w:rPr>
          <w:b/>
        </w:rPr>
        <w:t>program</w:t>
      </w:r>
      <w:r>
        <w:rPr>
          <w:b/>
          <w:spacing w:val="-5"/>
        </w:rPr>
        <w:t xml:space="preserve"> </w:t>
      </w:r>
      <w:r>
        <w:t>to</w:t>
      </w:r>
      <w:r>
        <w:rPr>
          <w:spacing w:val="-3"/>
        </w:rPr>
        <w:t xml:space="preserve"> </w:t>
      </w:r>
      <w:r>
        <w:t>schedule</w:t>
      </w:r>
      <w:r>
        <w:rPr>
          <w:spacing w:val="-5"/>
        </w:rPr>
        <w:t xml:space="preserve"> </w:t>
      </w:r>
      <w:r>
        <w:t>a</w:t>
      </w:r>
      <w:r>
        <w:rPr>
          <w:spacing w:val="-3"/>
        </w:rPr>
        <w:t xml:space="preserve"> </w:t>
      </w:r>
      <w:r>
        <w:t>counseling</w:t>
      </w:r>
      <w:r>
        <w:rPr>
          <w:spacing w:val="-3"/>
        </w:rPr>
        <w:t xml:space="preserve"> </w:t>
      </w:r>
      <w:r>
        <w:rPr>
          <w:spacing w:val="-2"/>
        </w:rPr>
        <w:t>session.</w:t>
      </w:r>
    </w:p>
    <w:p w14:paraId="09AE8BE8" w14:textId="77777777" w:rsidR="00DB6E1F" w:rsidRDefault="00F666A6">
      <w:pPr>
        <w:pStyle w:val="ListParagraph"/>
        <w:numPr>
          <w:ilvl w:val="0"/>
          <w:numId w:val="92"/>
        </w:numPr>
        <w:tabs>
          <w:tab w:val="left" w:pos="1798"/>
          <w:tab w:val="left" w:pos="1799"/>
        </w:tabs>
        <w:spacing w:before="59"/>
        <w:ind w:left="1798" w:right="1693" w:hanging="360"/>
        <w:rPr>
          <w:rFonts w:ascii="Symbol" w:hAnsi="Symbol"/>
        </w:rPr>
      </w:pPr>
      <w:r>
        <w:rPr>
          <w:b/>
        </w:rPr>
        <w:t xml:space="preserve">Deal with the AVE. </w:t>
      </w:r>
      <w:r>
        <w:t>Help clients deal with the emotional aftereffects of recurrence, such as guilt, shame,</w:t>
      </w:r>
      <w:r>
        <w:rPr>
          <w:spacing w:val="-4"/>
        </w:rPr>
        <w:t xml:space="preserve"> </w:t>
      </w:r>
      <w:r>
        <w:t>and</w:t>
      </w:r>
      <w:r>
        <w:rPr>
          <w:spacing w:val="-3"/>
        </w:rPr>
        <w:t xml:space="preserve"> </w:t>
      </w:r>
      <w:r>
        <w:t>the</w:t>
      </w:r>
      <w:r>
        <w:rPr>
          <w:spacing w:val="-4"/>
        </w:rPr>
        <w:t xml:space="preserve"> </w:t>
      </w:r>
      <w:r>
        <w:t>cognitive</w:t>
      </w:r>
      <w:r>
        <w:rPr>
          <w:spacing w:val="-1"/>
        </w:rPr>
        <w:t xml:space="preserve"> </w:t>
      </w:r>
      <w:r>
        <w:t>dissonance</w:t>
      </w:r>
      <w:r>
        <w:rPr>
          <w:spacing w:val="-4"/>
        </w:rPr>
        <w:t xml:space="preserve"> </w:t>
      </w:r>
      <w:r>
        <w:t>that</w:t>
      </w:r>
      <w:r>
        <w:rPr>
          <w:spacing w:val="-1"/>
        </w:rPr>
        <w:t xml:space="preserve"> </w:t>
      </w:r>
      <w:r>
        <w:t>happens</w:t>
      </w:r>
      <w:r>
        <w:rPr>
          <w:spacing w:val="-4"/>
        </w:rPr>
        <w:t xml:space="preserve"> </w:t>
      </w:r>
      <w:r>
        <w:t>when</w:t>
      </w:r>
      <w:r>
        <w:rPr>
          <w:spacing w:val="-3"/>
        </w:rPr>
        <w:t xml:space="preserve"> </w:t>
      </w:r>
      <w:r>
        <w:t>people</w:t>
      </w:r>
      <w:r>
        <w:rPr>
          <w:spacing w:val="-1"/>
        </w:rPr>
        <w:t xml:space="preserve"> </w:t>
      </w:r>
      <w:r>
        <w:t>act</w:t>
      </w:r>
      <w:r>
        <w:rPr>
          <w:spacing w:val="-4"/>
        </w:rPr>
        <w:t xml:space="preserve"> </w:t>
      </w:r>
      <w:r>
        <w:t>in</w:t>
      </w:r>
      <w:r>
        <w:rPr>
          <w:spacing w:val="-3"/>
        </w:rPr>
        <w:t xml:space="preserve"> </w:t>
      </w:r>
      <w:r>
        <w:t>ways</w:t>
      </w:r>
      <w:r>
        <w:rPr>
          <w:spacing w:val="-4"/>
        </w:rPr>
        <w:t xml:space="preserve"> </w:t>
      </w:r>
      <w:r>
        <w:t>that</w:t>
      </w:r>
      <w:r>
        <w:rPr>
          <w:spacing w:val="-3"/>
        </w:rPr>
        <w:t xml:space="preserve"> </w:t>
      </w:r>
      <w:r>
        <w:t>do</w:t>
      </w:r>
      <w:r>
        <w:rPr>
          <w:spacing w:val="-1"/>
        </w:rPr>
        <w:t xml:space="preserve"> </w:t>
      </w:r>
      <w:r>
        <w:t>not</w:t>
      </w:r>
      <w:r>
        <w:rPr>
          <w:spacing w:val="-2"/>
        </w:rPr>
        <w:t xml:space="preserve"> </w:t>
      </w:r>
      <w:r>
        <w:t>align</w:t>
      </w:r>
      <w:r>
        <w:rPr>
          <w:spacing w:val="-2"/>
        </w:rPr>
        <w:t xml:space="preserve"> </w:t>
      </w:r>
      <w:r>
        <w:t>with their values and recovery goals. This cognitive and emotional disagreement can increase the</w:t>
      </w:r>
    </w:p>
    <w:p w14:paraId="0839F2CA" w14:textId="77777777" w:rsidR="00DB6E1F" w:rsidRDefault="00DB6E1F">
      <w:pPr>
        <w:rPr>
          <w:rFonts w:ascii="Symbol" w:hAnsi="Symbol"/>
        </w:rPr>
        <w:sectPr w:rsidR="00DB6E1F">
          <w:pgSz w:w="12240" w:h="15840"/>
          <w:pgMar w:top="1200" w:right="0" w:bottom="780" w:left="0" w:header="763" w:footer="585" w:gutter="0"/>
          <w:cols w:space="720"/>
        </w:sectPr>
      </w:pPr>
    </w:p>
    <w:p w14:paraId="3223E901" w14:textId="77777777" w:rsidR="00DB6E1F" w:rsidRDefault="00DB6E1F">
      <w:pPr>
        <w:pStyle w:val="BodyText"/>
        <w:spacing w:before="8"/>
        <w:rPr>
          <w:sz w:val="14"/>
        </w:rPr>
      </w:pPr>
    </w:p>
    <w:p w14:paraId="26AE98FE" w14:textId="77777777" w:rsidR="00DB6E1F" w:rsidRDefault="00F666A6">
      <w:pPr>
        <w:pStyle w:val="BodyText"/>
        <w:spacing w:before="56"/>
        <w:ind w:left="1800" w:right="1491"/>
      </w:pPr>
      <w:r>
        <w:t>likelihood of a return to substance use. Engage clients in exploration with compassion and understanding;</w:t>
      </w:r>
      <w:r>
        <w:rPr>
          <w:spacing w:val="-3"/>
        </w:rPr>
        <w:t xml:space="preserve"> </w:t>
      </w:r>
      <w:r>
        <w:t>encourage</w:t>
      </w:r>
      <w:r>
        <w:rPr>
          <w:spacing w:val="-5"/>
        </w:rPr>
        <w:t xml:space="preserve"> </w:t>
      </w:r>
      <w:r>
        <w:t>them</w:t>
      </w:r>
      <w:r>
        <w:rPr>
          <w:spacing w:val="-5"/>
        </w:rPr>
        <w:t xml:space="preserve"> </w:t>
      </w:r>
      <w:r>
        <w:t>to</w:t>
      </w:r>
      <w:r>
        <w:rPr>
          <w:spacing w:val="-3"/>
        </w:rPr>
        <w:t xml:space="preserve"> </w:t>
      </w:r>
      <w:r>
        <w:t>le</w:t>
      </w:r>
      <w:r>
        <w:t>arn</w:t>
      </w:r>
      <w:r>
        <w:rPr>
          <w:spacing w:val="-5"/>
        </w:rPr>
        <w:t xml:space="preserve"> </w:t>
      </w:r>
      <w:r>
        <w:t>from</w:t>
      </w:r>
      <w:r>
        <w:rPr>
          <w:spacing w:val="-3"/>
        </w:rPr>
        <w:t xml:space="preserve"> </w:t>
      </w:r>
      <w:r>
        <w:t>recurrence</w:t>
      </w:r>
      <w:r>
        <w:rPr>
          <w:spacing w:val="-3"/>
        </w:rPr>
        <w:t xml:space="preserve"> </w:t>
      </w:r>
      <w:r>
        <w:t>and</w:t>
      </w:r>
      <w:r>
        <w:rPr>
          <w:spacing w:val="-5"/>
        </w:rPr>
        <w:t xml:space="preserve"> </w:t>
      </w:r>
      <w:r>
        <w:t>identify</w:t>
      </w:r>
      <w:r>
        <w:rPr>
          <w:spacing w:val="-3"/>
        </w:rPr>
        <w:t xml:space="preserve"> </w:t>
      </w:r>
      <w:r>
        <w:t>new</w:t>
      </w:r>
      <w:r>
        <w:rPr>
          <w:spacing w:val="-3"/>
        </w:rPr>
        <w:t xml:space="preserve"> </w:t>
      </w:r>
      <w:r>
        <w:t>coping</w:t>
      </w:r>
      <w:r>
        <w:rPr>
          <w:spacing w:val="-5"/>
        </w:rPr>
        <w:t xml:space="preserve"> </w:t>
      </w:r>
      <w:r>
        <w:t>strategies.</w:t>
      </w:r>
    </w:p>
    <w:p w14:paraId="133002A5" w14:textId="77777777" w:rsidR="00DB6E1F" w:rsidRDefault="00F666A6">
      <w:pPr>
        <w:pStyle w:val="Heading3"/>
      </w:pPr>
      <w:bookmarkStart w:id="210" w:name="Reenter_the_Cycle_of_Change"/>
      <w:bookmarkEnd w:id="210"/>
      <w:r>
        <w:t>Reenter</w:t>
      </w:r>
      <w:r>
        <w:rPr>
          <w:spacing w:val="-6"/>
        </w:rPr>
        <w:t xml:space="preserve"> </w:t>
      </w:r>
      <w:r>
        <w:t>the</w:t>
      </w:r>
      <w:r>
        <w:rPr>
          <w:spacing w:val="-7"/>
        </w:rPr>
        <w:t xml:space="preserve"> </w:t>
      </w:r>
      <w:r>
        <w:t>Cycle</w:t>
      </w:r>
      <w:r>
        <w:rPr>
          <w:spacing w:val="-5"/>
        </w:rPr>
        <w:t xml:space="preserve"> </w:t>
      </w:r>
      <w:r>
        <w:t>of</w:t>
      </w:r>
      <w:r>
        <w:rPr>
          <w:spacing w:val="-6"/>
        </w:rPr>
        <w:t xml:space="preserve"> </w:t>
      </w:r>
      <w:r>
        <w:rPr>
          <w:spacing w:val="-2"/>
        </w:rPr>
        <w:t>Change</w:t>
      </w:r>
    </w:p>
    <w:p w14:paraId="33E23A86" w14:textId="77777777" w:rsidR="00DB6E1F" w:rsidRDefault="00F666A6">
      <w:pPr>
        <w:spacing w:before="143"/>
        <w:ind w:left="1439" w:right="1437"/>
      </w:pPr>
      <w:r>
        <w:rPr>
          <w:b/>
        </w:rPr>
        <w:t xml:space="preserve">If clients return to substance misuse, help them reenter the cycle as soon as possible. </w:t>
      </w:r>
      <w:r>
        <w:t>Most clients do not</w:t>
      </w:r>
      <w:r>
        <w:rPr>
          <w:spacing w:val="-2"/>
        </w:rPr>
        <w:t xml:space="preserve"> </w:t>
      </w:r>
      <w:r>
        <w:t>return</w:t>
      </w:r>
      <w:r>
        <w:rPr>
          <w:spacing w:val="-3"/>
        </w:rPr>
        <w:t xml:space="preserve"> </w:t>
      </w:r>
      <w:r>
        <w:t>to the</w:t>
      </w:r>
      <w:r>
        <w:rPr>
          <w:spacing w:val="-1"/>
        </w:rPr>
        <w:t xml:space="preserve"> </w:t>
      </w:r>
      <w:r>
        <w:t>Precontemplation</w:t>
      </w:r>
      <w:r>
        <w:rPr>
          <w:spacing w:val="-2"/>
        </w:rPr>
        <w:t xml:space="preserve"> </w:t>
      </w:r>
      <w:r>
        <w:t>stage</w:t>
      </w:r>
      <w:r>
        <w:rPr>
          <w:spacing w:val="-4"/>
        </w:rPr>
        <w:t xml:space="preserve"> </w:t>
      </w:r>
      <w:r>
        <w:t>(Connors</w:t>
      </w:r>
      <w:r>
        <w:rPr>
          <w:spacing w:val="-4"/>
        </w:rPr>
        <w:t xml:space="preserve"> </w:t>
      </w:r>
      <w:r>
        <w:t>et</w:t>
      </w:r>
      <w:r>
        <w:rPr>
          <w:spacing w:val="-4"/>
        </w:rPr>
        <w:t xml:space="preserve"> </w:t>
      </w:r>
      <w:r>
        <w:t>al.,</w:t>
      </w:r>
      <w:r>
        <w:rPr>
          <w:spacing w:val="-2"/>
        </w:rPr>
        <w:t xml:space="preserve"> </w:t>
      </w:r>
      <w:r>
        <w:t>2013).</w:t>
      </w:r>
      <w:r>
        <w:rPr>
          <w:spacing w:val="-3"/>
        </w:rPr>
        <w:t xml:space="preserve"> </w:t>
      </w:r>
      <w:r>
        <w:t>Rather,</w:t>
      </w:r>
      <w:r>
        <w:rPr>
          <w:spacing w:val="-4"/>
        </w:rPr>
        <w:t xml:space="preserve"> </w:t>
      </w:r>
      <w:r>
        <w:t>clients</w:t>
      </w:r>
      <w:r>
        <w:rPr>
          <w:spacing w:val="-4"/>
        </w:rPr>
        <w:t xml:space="preserve"> </w:t>
      </w:r>
      <w:r>
        <w:t>are</w:t>
      </w:r>
      <w:r>
        <w:rPr>
          <w:spacing w:val="-1"/>
        </w:rPr>
        <w:t xml:space="preserve"> </w:t>
      </w:r>
      <w:r>
        <w:t>more</w:t>
      </w:r>
      <w:r>
        <w:rPr>
          <w:spacing w:val="-1"/>
        </w:rPr>
        <w:t xml:space="preserve"> </w:t>
      </w:r>
      <w:r>
        <w:t>likely</w:t>
      </w:r>
      <w:r>
        <w:rPr>
          <w:spacing w:val="-1"/>
        </w:rPr>
        <w:t xml:space="preserve"> </w:t>
      </w:r>
      <w:r>
        <w:t>to</w:t>
      </w:r>
      <w:r>
        <w:rPr>
          <w:spacing w:val="-1"/>
        </w:rPr>
        <w:t xml:space="preserve"> </w:t>
      </w:r>
      <w:r>
        <w:t>recycle back into Contemplation, Preparation, or Action. They can use the recurrence experience as an opportunity to identify which strategies for the Maintenance stage worked and which did not work.</w:t>
      </w:r>
    </w:p>
    <w:p w14:paraId="08EC0492" w14:textId="77777777" w:rsidR="00DB6E1F" w:rsidRDefault="00F666A6">
      <w:pPr>
        <w:ind w:left="1438" w:right="1491"/>
      </w:pPr>
      <w:r>
        <w:rPr>
          <w:b/>
        </w:rPr>
        <w:t>Your task</w:t>
      </w:r>
      <w:r>
        <w:rPr>
          <w:b/>
          <w:spacing w:val="-3"/>
        </w:rPr>
        <w:t xml:space="preserve"> </w:t>
      </w:r>
      <w:r>
        <w:rPr>
          <w:b/>
        </w:rPr>
        <w:t>is</w:t>
      </w:r>
      <w:r>
        <w:rPr>
          <w:b/>
          <w:spacing w:val="-2"/>
        </w:rPr>
        <w:t xml:space="preserve"> </w:t>
      </w:r>
      <w:r>
        <w:rPr>
          <w:b/>
        </w:rPr>
        <w:t>t</w:t>
      </w:r>
      <w:r>
        <w:rPr>
          <w:b/>
        </w:rPr>
        <w:t>o</w:t>
      </w:r>
      <w:r>
        <w:rPr>
          <w:b/>
          <w:spacing w:val="-1"/>
        </w:rPr>
        <w:t xml:space="preserve"> </w:t>
      </w:r>
      <w:r>
        <w:rPr>
          <w:b/>
        </w:rPr>
        <w:t>debrief</w:t>
      </w:r>
      <w:r>
        <w:rPr>
          <w:b/>
          <w:spacing w:val="-2"/>
        </w:rPr>
        <w:t xml:space="preserve"> </w:t>
      </w:r>
      <w:r>
        <w:rPr>
          <w:b/>
        </w:rPr>
        <w:t>clients about relapse</w:t>
      </w:r>
      <w:r>
        <w:rPr>
          <w:b/>
          <w:spacing w:val="-1"/>
        </w:rPr>
        <w:t xml:space="preserve"> </w:t>
      </w:r>
      <w:r>
        <w:rPr>
          <w:b/>
        </w:rPr>
        <w:t>and</w:t>
      </w:r>
      <w:r>
        <w:rPr>
          <w:b/>
          <w:spacing w:val="-1"/>
        </w:rPr>
        <w:t xml:space="preserve"> </w:t>
      </w:r>
      <w:r>
        <w:rPr>
          <w:b/>
        </w:rPr>
        <w:t>assess</w:t>
      </w:r>
      <w:r>
        <w:rPr>
          <w:b/>
          <w:spacing w:val="-2"/>
        </w:rPr>
        <w:t xml:space="preserve"> </w:t>
      </w:r>
      <w:r>
        <w:rPr>
          <w:b/>
        </w:rPr>
        <w:t>where</w:t>
      </w:r>
      <w:r>
        <w:rPr>
          <w:b/>
          <w:spacing w:val="-1"/>
        </w:rPr>
        <w:t xml:space="preserve"> </w:t>
      </w:r>
      <w:r>
        <w:rPr>
          <w:b/>
        </w:rPr>
        <w:t>they</w:t>
      </w:r>
      <w:r>
        <w:rPr>
          <w:b/>
          <w:spacing w:val="-1"/>
        </w:rPr>
        <w:t xml:space="preserve"> </w:t>
      </w:r>
      <w:r>
        <w:rPr>
          <w:b/>
        </w:rPr>
        <w:t>are</w:t>
      </w:r>
      <w:r>
        <w:rPr>
          <w:b/>
          <w:spacing w:val="-1"/>
        </w:rPr>
        <w:t xml:space="preserve"> </w:t>
      </w:r>
      <w:r>
        <w:rPr>
          <w:b/>
        </w:rPr>
        <w:t>now</w:t>
      </w:r>
      <w:r>
        <w:rPr>
          <w:b/>
          <w:spacing w:val="-1"/>
        </w:rPr>
        <w:t xml:space="preserve"> </w:t>
      </w:r>
      <w:r>
        <w:rPr>
          <w:b/>
        </w:rPr>
        <w:t>in</w:t>
      </w:r>
      <w:r>
        <w:rPr>
          <w:b/>
          <w:spacing w:val="-1"/>
        </w:rPr>
        <w:t xml:space="preserve"> </w:t>
      </w:r>
      <w:r>
        <w:rPr>
          <w:b/>
        </w:rPr>
        <w:t xml:space="preserve">the SOC </w:t>
      </w:r>
      <w:r>
        <w:t>(Connors</w:t>
      </w:r>
      <w:r>
        <w:rPr>
          <w:spacing w:val="-2"/>
        </w:rPr>
        <w:t xml:space="preserve"> </w:t>
      </w:r>
      <w:r>
        <w:t>et al., 2013).</w:t>
      </w:r>
      <w:r>
        <w:rPr>
          <w:spacing w:val="-2"/>
        </w:rPr>
        <w:t xml:space="preserve"> </w:t>
      </w:r>
      <w:r>
        <w:t>If</w:t>
      </w:r>
      <w:r>
        <w:rPr>
          <w:spacing w:val="-4"/>
        </w:rPr>
        <w:t xml:space="preserve"> </w:t>
      </w:r>
      <w:r>
        <w:t>the</w:t>
      </w:r>
      <w:r>
        <w:rPr>
          <w:spacing w:val="-4"/>
        </w:rPr>
        <w:t xml:space="preserve"> </w:t>
      </w:r>
      <w:r>
        <w:t>client</w:t>
      </w:r>
      <w:r>
        <w:rPr>
          <w:spacing w:val="-1"/>
        </w:rPr>
        <w:t xml:space="preserve"> </w:t>
      </w:r>
      <w:r>
        <w:t>has</w:t>
      </w:r>
      <w:r>
        <w:rPr>
          <w:spacing w:val="-4"/>
        </w:rPr>
        <w:t xml:space="preserve"> </w:t>
      </w:r>
      <w:r>
        <w:t>returned</w:t>
      </w:r>
      <w:r>
        <w:rPr>
          <w:spacing w:val="-3"/>
        </w:rPr>
        <w:t xml:space="preserve"> </w:t>
      </w:r>
      <w:r>
        <w:t>to</w:t>
      </w:r>
      <w:r>
        <w:rPr>
          <w:spacing w:val="-3"/>
        </w:rPr>
        <w:t xml:space="preserve"> </w:t>
      </w:r>
      <w:r>
        <w:t>Contemplation,</w:t>
      </w:r>
      <w:r>
        <w:rPr>
          <w:spacing w:val="-4"/>
        </w:rPr>
        <w:t xml:space="preserve"> </w:t>
      </w:r>
      <w:r>
        <w:t>start</w:t>
      </w:r>
      <w:r>
        <w:rPr>
          <w:spacing w:val="-1"/>
        </w:rPr>
        <w:t xml:space="preserve"> </w:t>
      </w:r>
      <w:r>
        <w:t>with</w:t>
      </w:r>
      <w:r>
        <w:rPr>
          <w:spacing w:val="-3"/>
        </w:rPr>
        <w:t xml:space="preserve"> </w:t>
      </w:r>
      <w:r>
        <w:t>resolving</w:t>
      </w:r>
      <w:r>
        <w:rPr>
          <w:spacing w:val="-3"/>
        </w:rPr>
        <w:t xml:space="preserve"> </w:t>
      </w:r>
      <w:r>
        <w:t>ambivalence</w:t>
      </w:r>
      <w:r>
        <w:rPr>
          <w:spacing w:val="-1"/>
        </w:rPr>
        <w:t xml:space="preserve"> </w:t>
      </w:r>
      <w:r>
        <w:t>and</w:t>
      </w:r>
      <w:r>
        <w:rPr>
          <w:spacing w:val="-3"/>
        </w:rPr>
        <w:t xml:space="preserve"> </w:t>
      </w:r>
      <w:r>
        <w:t>evoking</w:t>
      </w:r>
      <w:r>
        <w:rPr>
          <w:spacing w:val="-3"/>
        </w:rPr>
        <w:t xml:space="preserve"> </w:t>
      </w:r>
      <w:r>
        <w:t>change talk. Clients who have returned to Preparation or Action shoul</w:t>
      </w:r>
      <w:r>
        <w:t>d revisit and revise the change plan or coping plan.</w:t>
      </w:r>
    </w:p>
    <w:p w14:paraId="6177F901" w14:textId="77777777" w:rsidR="00DB6E1F" w:rsidRDefault="00F666A6">
      <w:pPr>
        <w:pStyle w:val="Heading5"/>
        <w:spacing w:before="160"/>
        <w:ind w:left="1438"/>
      </w:pPr>
      <w:r>
        <w:t>Strategies</w:t>
      </w:r>
      <w:r>
        <w:rPr>
          <w:spacing w:val="-8"/>
        </w:rPr>
        <w:t xml:space="preserve"> </w:t>
      </w:r>
      <w:r>
        <w:t>for</w:t>
      </w:r>
      <w:r>
        <w:rPr>
          <w:spacing w:val="-2"/>
        </w:rPr>
        <w:t xml:space="preserve"> </w:t>
      </w:r>
      <w:r>
        <w:t>helping</w:t>
      </w:r>
      <w:r>
        <w:rPr>
          <w:spacing w:val="-4"/>
        </w:rPr>
        <w:t xml:space="preserve"> </w:t>
      </w:r>
      <w:r>
        <w:t>clients</w:t>
      </w:r>
      <w:r>
        <w:rPr>
          <w:spacing w:val="-3"/>
        </w:rPr>
        <w:t xml:space="preserve"> </w:t>
      </w:r>
      <w:r>
        <w:t>manage</w:t>
      </w:r>
      <w:r>
        <w:rPr>
          <w:spacing w:val="-4"/>
        </w:rPr>
        <w:t xml:space="preserve"> </w:t>
      </w:r>
      <w:r>
        <w:t>a</w:t>
      </w:r>
      <w:r>
        <w:rPr>
          <w:spacing w:val="-6"/>
        </w:rPr>
        <w:t xml:space="preserve"> </w:t>
      </w:r>
      <w:r>
        <w:t>return</w:t>
      </w:r>
      <w:r>
        <w:rPr>
          <w:spacing w:val="-4"/>
        </w:rPr>
        <w:t xml:space="preserve"> </w:t>
      </w:r>
      <w:r>
        <w:t>to</w:t>
      </w:r>
      <w:r>
        <w:rPr>
          <w:spacing w:val="-6"/>
        </w:rPr>
        <w:t xml:space="preserve"> </w:t>
      </w:r>
      <w:r>
        <w:t>substance</w:t>
      </w:r>
      <w:r>
        <w:rPr>
          <w:spacing w:val="-4"/>
        </w:rPr>
        <w:t xml:space="preserve"> </w:t>
      </w:r>
      <w:r>
        <w:t>misuse</w:t>
      </w:r>
      <w:r>
        <w:rPr>
          <w:spacing w:val="-6"/>
        </w:rPr>
        <w:t xml:space="preserve"> </w:t>
      </w:r>
      <w:r>
        <w:rPr>
          <w:spacing w:val="-2"/>
        </w:rPr>
        <w:t>include:</w:t>
      </w:r>
    </w:p>
    <w:p w14:paraId="52987C65" w14:textId="77777777" w:rsidR="00DB6E1F" w:rsidRDefault="00F666A6">
      <w:pPr>
        <w:pStyle w:val="ListParagraph"/>
        <w:numPr>
          <w:ilvl w:val="0"/>
          <w:numId w:val="92"/>
        </w:numPr>
        <w:tabs>
          <w:tab w:val="left" w:pos="1798"/>
          <w:tab w:val="left" w:pos="1800"/>
        </w:tabs>
        <w:ind w:left="1799" w:hanging="362"/>
        <w:rPr>
          <w:rFonts w:ascii="Symbol" w:hAnsi="Symbol"/>
        </w:rPr>
      </w:pPr>
      <w:r>
        <w:rPr>
          <w:b/>
        </w:rPr>
        <w:t>Helping</w:t>
      </w:r>
      <w:r>
        <w:rPr>
          <w:b/>
          <w:spacing w:val="-7"/>
        </w:rPr>
        <w:t xml:space="preserve"> </w:t>
      </w:r>
      <w:r>
        <w:rPr>
          <w:b/>
        </w:rPr>
        <w:t>them</w:t>
      </w:r>
      <w:r>
        <w:rPr>
          <w:b/>
          <w:spacing w:val="-4"/>
        </w:rPr>
        <w:t xml:space="preserve"> </w:t>
      </w:r>
      <w:r>
        <w:rPr>
          <w:b/>
        </w:rPr>
        <w:t>reenter</w:t>
      </w:r>
      <w:r>
        <w:rPr>
          <w:b/>
          <w:spacing w:val="-6"/>
        </w:rPr>
        <w:t xml:space="preserve"> </w:t>
      </w:r>
      <w:r>
        <w:rPr>
          <w:b/>
        </w:rPr>
        <w:t>the</w:t>
      </w:r>
      <w:r>
        <w:rPr>
          <w:b/>
          <w:spacing w:val="-6"/>
        </w:rPr>
        <w:t xml:space="preserve"> </w:t>
      </w:r>
      <w:r>
        <w:rPr>
          <w:b/>
        </w:rPr>
        <w:t>change</w:t>
      </w:r>
      <w:r>
        <w:rPr>
          <w:b/>
          <w:spacing w:val="-5"/>
        </w:rPr>
        <w:t xml:space="preserve"> </w:t>
      </w:r>
      <w:r>
        <w:rPr>
          <w:b/>
        </w:rPr>
        <w:t>cycle;</w:t>
      </w:r>
      <w:r>
        <w:rPr>
          <w:b/>
          <w:spacing w:val="-5"/>
        </w:rPr>
        <w:t xml:space="preserve"> </w:t>
      </w:r>
      <w:r>
        <w:rPr>
          <w:b/>
        </w:rPr>
        <w:t>affirming</w:t>
      </w:r>
      <w:r>
        <w:rPr>
          <w:b/>
          <w:spacing w:val="-3"/>
        </w:rPr>
        <w:t xml:space="preserve"> </w:t>
      </w:r>
      <w:r>
        <w:rPr>
          <w:b/>
        </w:rPr>
        <w:t>any</w:t>
      </w:r>
      <w:r>
        <w:rPr>
          <w:b/>
          <w:spacing w:val="-5"/>
        </w:rPr>
        <w:t xml:space="preserve"> </w:t>
      </w:r>
      <w:r>
        <w:rPr>
          <w:b/>
        </w:rPr>
        <w:t>willingness</w:t>
      </w:r>
      <w:r>
        <w:rPr>
          <w:b/>
          <w:spacing w:val="-5"/>
        </w:rPr>
        <w:t xml:space="preserve"> </w:t>
      </w:r>
      <w:r>
        <w:rPr>
          <w:b/>
        </w:rPr>
        <w:t>to</w:t>
      </w:r>
      <w:r>
        <w:rPr>
          <w:b/>
          <w:spacing w:val="-5"/>
        </w:rPr>
        <w:t xml:space="preserve"> </w:t>
      </w:r>
      <w:r>
        <w:rPr>
          <w:b/>
        </w:rPr>
        <w:t>reconsider</w:t>
      </w:r>
      <w:r>
        <w:rPr>
          <w:b/>
          <w:spacing w:val="-5"/>
        </w:rPr>
        <w:t xml:space="preserve"> </w:t>
      </w:r>
      <w:r>
        <w:rPr>
          <w:b/>
        </w:rPr>
        <w:t>positive</w:t>
      </w:r>
      <w:r>
        <w:rPr>
          <w:b/>
          <w:spacing w:val="-6"/>
        </w:rPr>
        <w:t xml:space="preserve"> </w:t>
      </w:r>
      <w:r>
        <w:rPr>
          <w:b/>
          <w:spacing w:val="-2"/>
        </w:rPr>
        <w:t>change.</w:t>
      </w:r>
    </w:p>
    <w:p w14:paraId="3EE91126" w14:textId="77777777" w:rsidR="00DB6E1F" w:rsidRDefault="00F666A6">
      <w:pPr>
        <w:pStyle w:val="ListParagraph"/>
        <w:numPr>
          <w:ilvl w:val="1"/>
          <w:numId w:val="92"/>
        </w:numPr>
        <w:tabs>
          <w:tab w:val="left" w:pos="2158"/>
          <w:tab w:val="left" w:pos="2159"/>
        </w:tabs>
        <w:ind w:left="2158" w:hanging="361"/>
      </w:pPr>
      <w:r>
        <w:t>Explore</w:t>
      </w:r>
      <w:r>
        <w:rPr>
          <w:spacing w:val="-7"/>
        </w:rPr>
        <w:t xml:space="preserve"> </w:t>
      </w:r>
      <w:r>
        <w:t>their</w:t>
      </w:r>
      <w:r>
        <w:rPr>
          <w:spacing w:val="-4"/>
        </w:rPr>
        <w:t xml:space="preserve"> </w:t>
      </w:r>
      <w:r>
        <w:t>perceptions</w:t>
      </w:r>
      <w:r>
        <w:rPr>
          <w:spacing w:val="-5"/>
        </w:rPr>
        <w:t xml:space="preserve"> </w:t>
      </w:r>
      <w:r>
        <w:t>and</w:t>
      </w:r>
      <w:r>
        <w:rPr>
          <w:spacing w:val="-5"/>
        </w:rPr>
        <w:t xml:space="preserve"> </w:t>
      </w:r>
      <w:r>
        <w:t>reactions</w:t>
      </w:r>
      <w:r>
        <w:rPr>
          <w:spacing w:val="-5"/>
        </w:rPr>
        <w:t xml:space="preserve"> </w:t>
      </w:r>
      <w:r>
        <w:t>to</w:t>
      </w:r>
      <w:r>
        <w:rPr>
          <w:spacing w:val="-3"/>
        </w:rPr>
        <w:t xml:space="preserve"> </w:t>
      </w:r>
      <w:r>
        <w:t>resumed</w:t>
      </w:r>
      <w:r>
        <w:rPr>
          <w:spacing w:val="-5"/>
        </w:rPr>
        <w:t xml:space="preserve"> </w:t>
      </w:r>
      <w:r>
        <w:rPr>
          <w:spacing w:val="-4"/>
        </w:rPr>
        <w:t>use.</w:t>
      </w:r>
    </w:p>
    <w:p w14:paraId="0E43AC35" w14:textId="77777777" w:rsidR="00DB6E1F" w:rsidRDefault="00F666A6">
      <w:pPr>
        <w:pStyle w:val="ListParagraph"/>
        <w:numPr>
          <w:ilvl w:val="1"/>
          <w:numId w:val="92"/>
        </w:numPr>
        <w:tabs>
          <w:tab w:val="left" w:pos="2158"/>
          <w:tab w:val="left" w:pos="2159"/>
        </w:tabs>
        <w:ind w:left="2158" w:hanging="361"/>
      </w:pPr>
      <w:r>
        <w:t>Use</w:t>
      </w:r>
      <w:r>
        <w:rPr>
          <w:spacing w:val="-6"/>
        </w:rPr>
        <w:t xml:space="preserve"> </w:t>
      </w:r>
      <w:r>
        <w:t>affirmations</w:t>
      </w:r>
      <w:r>
        <w:rPr>
          <w:spacing w:val="-4"/>
        </w:rPr>
        <w:t xml:space="preserve"> </w:t>
      </w:r>
      <w:r>
        <w:t>to</w:t>
      </w:r>
      <w:r>
        <w:rPr>
          <w:spacing w:val="-3"/>
        </w:rPr>
        <w:t xml:space="preserve"> </w:t>
      </w:r>
      <w:r>
        <w:t>praise</w:t>
      </w:r>
      <w:r>
        <w:rPr>
          <w:spacing w:val="-2"/>
        </w:rPr>
        <w:t xml:space="preserve"> </w:t>
      </w:r>
      <w:r>
        <w:t>them</w:t>
      </w:r>
      <w:r>
        <w:rPr>
          <w:spacing w:val="-3"/>
        </w:rPr>
        <w:t xml:space="preserve"> </w:t>
      </w:r>
      <w:r>
        <w:t>for</w:t>
      </w:r>
      <w:r>
        <w:rPr>
          <w:spacing w:val="-4"/>
        </w:rPr>
        <w:t xml:space="preserve"> </w:t>
      </w:r>
      <w:r>
        <w:t>reengaging</w:t>
      </w:r>
      <w:r>
        <w:rPr>
          <w:spacing w:val="-5"/>
        </w:rPr>
        <w:t xml:space="preserve"> </w:t>
      </w:r>
      <w:r>
        <w:t>in</w:t>
      </w:r>
      <w:r>
        <w:rPr>
          <w:spacing w:val="-5"/>
        </w:rPr>
        <w:t xml:space="preserve"> </w:t>
      </w:r>
      <w:r>
        <w:t>the</w:t>
      </w:r>
      <w:r>
        <w:rPr>
          <w:spacing w:val="-5"/>
        </w:rPr>
        <w:t xml:space="preserve"> </w:t>
      </w:r>
      <w:r>
        <w:t>change</w:t>
      </w:r>
      <w:r>
        <w:rPr>
          <w:spacing w:val="-3"/>
        </w:rPr>
        <w:t xml:space="preserve"> </w:t>
      </w:r>
      <w:r>
        <w:rPr>
          <w:spacing w:val="-2"/>
        </w:rPr>
        <w:t>process.</w:t>
      </w:r>
    </w:p>
    <w:p w14:paraId="55323915" w14:textId="77777777" w:rsidR="00DB6E1F" w:rsidRDefault="00F666A6">
      <w:pPr>
        <w:pStyle w:val="ListParagraph"/>
        <w:numPr>
          <w:ilvl w:val="1"/>
          <w:numId w:val="92"/>
        </w:numPr>
        <w:tabs>
          <w:tab w:val="left" w:pos="2158"/>
          <w:tab w:val="left" w:pos="2159"/>
        </w:tabs>
        <w:spacing w:before="58"/>
        <w:ind w:left="2158" w:right="1771" w:hanging="361"/>
      </w:pPr>
      <w:r>
        <w:t>Elicit</w:t>
      </w:r>
      <w:r>
        <w:rPr>
          <w:spacing w:val="-4"/>
        </w:rPr>
        <w:t xml:space="preserve"> </w:t>
      </w:r>
      <w:r>
        <w:t>DARN</w:t>
      </w:r>
      <w:r>
        <w:rPr>
          <w:spacing w:val="-2"/>
        </w:rPr>
        <w:t xml:space="preserve"> </w:t>
      </w:r>
      <w:r>
        <w:t>(</w:t>
      </w:r>
      <w:r>
        <w:rPr>
          <w:b/>
        </w:rPr>
        <w:t>D</w:t>
      </w:r>
      <w:r>
        <w:t>esire,</w:t>
      </w:r>
      <w:r>
        <w:rPr>
          <w:spacing w:val="-4"/>
        </w:rPr>
        <w:t xml:space="preserve"> </w:t>
      </w:r>
      <w:r>
        <w:rPr>
          <w:b/>
        </w:rPr>
        <w:t>A</w:t>
      </w:r>
      <w:r>
        <w:t>bility,</w:t>
      </w:r>
      <w:r>
        <w:rPr>
          <w:spacing w:val="-4"/>
        </w:rPr>
        <w:t xml:space="preserve"> </w:t>
      </w:r>
      <w:r>
        <w:rPr>
          <w:b/>
        </w:rPr>
        <w:t>R</w:t>
      </w:r>
      <w:r>
        <w:t>easons,</w:t>
      </w:r>
      <w:r>
        <w:rPr>
          <w:spacing w:val="-2"/>
        </w:rPr>
        <w:t xml:space="preserve"> </w:t>
      </w:r>
      <w:r>
        <w:t>and</w:t>
      </w:r>
      <w:r>
        <w:rPr>
          <w:spacing w:val="-5"/>
        </w:rPr>
        <w:t xml:space="preserve"> </w:t>
      </w:r>
      <w:r>
        <w:rPr>
          <w:b/>
        </w:rPr>
        <w:t>N</w:t>
      </w:r>
      <w:r>
        <w:t>eed)</w:t>
      </w:r>
      <w:r>
        <w:rPr>
          <w:spacing w:val="-1"/>
        </w:rPr>
        <w:t xml:space="preserve"> </w:t>
      </w:r>
      <w:r>
        <w:t>change</w:t>
      </w:r>
      <w:r>
        <w:rPr>
          <w:spacing w:val="-1"/>
        </w:rPr>
        <w:t xml:space="preserve"> </w:t>
      </w:r>
      <w:r>
        <w:t>talk;</w:t>
      </w:r>
      <w:r>
        <w:rPr>
          <w:spacing w:val="-1"/>
        </w:rPr>
        <w:t xml:space="preserve"> </w:t>
      </w:r>
      <w:r>
        <w:t>reflect</w:t>
      </w:r>
      <w:r>
        <w:rPr>
          <w:spacing w:val="-4"/>
        </w:rPr>
        <w:t xml:space="preserve"> </w:t>
      </w:r>
      <w:r>
        <w:t>on</w:t>
      </w:r>
      <w:r>
        <w:rPr>
          <w:spacing w:val="-5"/>
        </w:rPr>
        <w:t xml:space="preserve"> </w:t>
      </w:r>
      <w:r>
        <w:t>the</w:t>
      </w:r>
      <w:r>
        <w:rPr>
          <w:spacing w:val="-1"/>
        </w:rPr>
        <w:t xml:space="preserve"> </w:t>
      </w:r>
      <w:r>
        <w:t>client’s</w:t>
      </w:r>
      <w:r>
        <w:rPr>
          <w:spacing w:val="-2"/>
        </w:rPr>
        <w:t xml:space="preserve"> </w:t>
      </w:r>
      <w:r>
        <w:t>reasons</w:t>
      </w:r>
      <w:r>
        <w:rPr>
          <w:spacing w:val="-2"/>
        </w:rPr>
        <w:t xml:space="preserve"> </w:t>
      </w:r>
      <w:r>
        <w:t>to get back on track.</w:t>
      </w:r>
    </w:p>
    <w:p w14:paraId="02C4AD94" w14:textId="77777777" w:rsidR="00DB6E1F" w:rsidRDefault="00F666A6">
      <w:pPr>
        <w:pStyle w:val="Heading5"/>
        <w:numPr>
          <w:ilvl w:val="0"/>
          <w:numId w:val="92"/>
        </w:numPr>
        <w:tabs>
          <w:tab w:val="left" w:pos="1798"/>
          <w:tab w:val="left" w:pos="1800"/>
        </w:tabs>
        <w:spacing w:before="61"/>
        <w:ind w:left="1799" w:hanging="362"/>
        <w:rPr>
          <w:rFonts w:ascii="Symbol" w:hAnsi="Symbol"/>
          <w:b w:val="0"/>
        </w:rPr>
      </w:pPr>
      <w:r>
        <w:t>Exploring</w:t>
      </w:r>
      <w:r>
        <w:rPr>
          <w:spacing w:val="-7"/>
        </w:rPr>
        <w:t xml:space="preserve"> </w:t>
      </w:r>
      <w:r>
        <w:t>the</w:t>
      </w:r>
      <w:r>
        <w:rPr>
          <w:spacing w:val="-4"/>
        </w:rPr>
        <w:t xml:space="preserve"> </w:t>
      </w:r>
      <w:r>
        <w:t>meaning</w:t>
      </w:r>
      <w:r>
        <w:rPr>
          <w:spacing w:val="-4"/>
        </w:rPr>
        <w:t xml:space="preserve"> </w:t>
      </w:r>
      <w:r>
        <w:t>of</w:t>
      </w:r>
      <w:r>
        <w:rPr>
          <w:spacing w:val="-4"/>
        </w:rPr>
        <w:t xml:space="preserve"> </w:t>
      </w:r>
      <w:r>
        <w:t>the</w:t>
      </w:r>
      <w:r>
        <w:rPr>
          <w:spacing w:val="-4"/>
        </w:rPr>
        <w:t xml:space="preserve"> </w:t>
      </w:r>
      <w:r>
        <w:t>recurrence</w:t>
      </w:r>
      <w:r>
        <w:rPr>
          <w:spacing w:val="-4"/>
        </w:rPr>
        <w:t xml:space="preserve"> </w:t>
      </w:r>
      <w:r>
        <w:t>as</w:t>
      </w:r>
      <w:r>
        <w:rPr>
          <w:spacing w:val="-3"/>
        </w:rPr>
        <w:t xml:space="preserve"> </w:t>
      </w:r>
      <w:r>
        <w:t>a</w:t>
      </w:r>
      <w:r>
        <w:rPr>
          <w:spacing w:val="-6"/>
        </w:rPr>
        <w:t xml:space="preserve"> </w:t>
      </w:r>
      <w:r>
        <w:t>learning</w:t>
      </w:r>
      <w:r>
        <w:rPr>
          <w:spacing w:val="-2"/>
        </w:rPr>
        <w:t xml:space="preserve"> opportunity.</w:t>
      </w:r>
    </w:p>
    <w:p w14:paraId="4E43BD2A" w14:textId="77777777" w:rsidR="00DB6E1F" w:rsidRDefault="00F666A6">
      <w:pPr>
        <w:pStyle w:val="ListParagraph"/>
        <w:numPr>
          <w:ilvl w:val="1"/>
          <w:numId w:val="92"/>
        </w:numPr>
        <w:tabs>
          <w:tab w:val="left" w:pos="2158"/>
          <w:tab w:val="left" w:pos="2159"/>
        </w:tabs>
        <w:ind w:left="2158"/>
      </w:pPr>
      <w:r>
        <w:t>Explore</w:t>
      </w:r>
      <w:r>
        <w:rPr>
          <w:spacing w:val="-5"/>
        </w:rPr>
        <w:t xml:space="preserve"> </w:t>
      </w:r>
      <w:r>
        <w:t>what</w:t>
      </w:r>
      <w:r>
        <w:rPr>
          <w:spacing w:val="-5"/>
        </w:rPr>
        <w:t xml:space="preserve"> </w:t>
      </w:r>
      <w:r>
        <w:t>can</w:t>
      </w:r>
      <w:r>
        <w:rPr>
          <w:spacing w:val="-3"/>
        </w:rPr>
        <w:t xml:space="preserve"> </w:t>
      </w:r>
      <w:r>
        <w:t>be</w:t>
      </w:r>
      <w:r>
        <w:rPr>
          <w:spacing w:val="-5"/>
        </w:rPr>
        <w:t xml:space="preserve"> </w:t>
      </w:r>
      <w:r>
        <w:t>learned</w:t>
      </w:r>
      <w:r>
        <w:rPr>
          <w:spacing w:val="-3"/>
        </w:rPr>
        <w:t xml:space="preserve"> </w:t>
      </w:r>
      <w:r>
        <w:t>from</w:t>
      </w:r>
      <w:r>
        <w:rPr>
          <w:spacing w:val="-2"/>
        </w:rPr>
        <w:t xml:space="preserve"> </w:t>
      </w:r>
      <w:r>
        <w:t>the</w:t>
      </w:r>
      <w:r>
        <w:rPr>
          <w:spacing w:val="-4"/>
        </w:rPr>
        <w:t xml:space="preserve"> </w:t>
      </w:r>
      <w:r>
        <w:rPr>
          <w:spacing w:val="-2"/>
        </w:rPr>
        <w:t>experience.</w:t>
      </w:r>
    </w:p>
    <w:p w14:paraId="17BCC928" w14:textId="77777777" w:rsidR="00DB6E1F" w:rsidRDefault="00F666A6">
      <w:pPr>
        <w:pStyle w:val="ListParagraph"/>
        <w:numPr>
          <w:ilvl w:val="1"/>
          <w:numId w:val="92"/>
        </w:numPr>
        <w:tabs>
          <w:tab w:val="left" w:pos="2158"/>
          <w:tab w:val="left" w:pos="2159"/>
        </w:tabs>
        <w:ind w:left="2158" w:hanging="361"/>
      </w:pPr>
      <w:r>
        <w:t>Remind</w:t>
      </w:r>
      <w:r>
        <w:rPr>
          <w:spacing w:val="-8"/>
        </w:rPr>
        <w:t xml:space="preserve"> </w:t>
      </w:r>
      <w:r>
        <w:t>them</w:t>
      </w:r>
      <w:r>
        <w:rPr>
          <w:spacing w:val="-2"/>
        </w:rPr>
        <w:t xml:space="preserve"> </w:t>
      </w:r>
      <w:r>
        <w:t>that</w:t>
      </w:r>
      <w:r>
        <w:rPr>
          <w:spacing w:val="-5"/>
        </w:rPr>
        <w:t xml:space="preserve"> </w:t>
      </w:r>
      <w:r>
        <w:t>the</w:t>
      </w:r>
      <w:r>
        <w:rPr>
          <w:spacing w:val="-5"/>
        </w:rPr>
        <w:t xml:space="preserve"> </w:t>
      </w:r>
      <w:r>
        <w:t>experience</w:t>
      </w:r>
      <w:r>
        <w:rPr>
          <w:spacing w:val="-5"/>
        </w:rPr>
        <w:t xml:space="preserve"> </w:t>
      </w:r>
      <w:r>
        <w:t>is</w:t>
      </w:r>
      <w:r>
        <w:rPr>
          <w:spacing w:val="-3"/>
        </w:rPr>
        <w:t xml:space="preserve"> </w:t>
      </w:r>
      <w:r>
        <w:t>a</w:t>
      </w:r>
      <w:r>
        <w:rPr>
          <w:spacing w:val="-3"/>
        </w:rPr>
        <w:t xml:space="preserve"> </w:t>
      </w:r>
      <w:r>
        <w:t>common</w:t>
      </w:r>
      <w:r>
        <w:rPr>
          <w:spacing w:val="-6"/>
        </w:rPr>
        <w:t xml:space="preserve"> </w:t>
      </w:r>
      <w:r>
        <w:t>and</w:t>
      </w:r>
      <w:r>
        <w:rPr>
          <w:spacing w:val="-4"/>
        </w:rPr>
        <w:t xml:space="preserve"> </w:t>
      </w:r>
      <w:r>
        <w:t>temporary</w:t>
      </w:r>
      <w:r>
        <w:rPr>
          <w:spacing w:val="-4"/>
        </w:rPr>
        <w:t xml:space="preserve"> </w:t>
      </w:r>
      <w:r>
        <w:t>part</w:t>
      </w:r>
      <w:r>
        <w:rPr>
          <w:spacing w:val="-5"/>
        </w:rPr>
        <w:t xml:space="preserve"> </w:t>
      </w:r>
      <w:r>
        <w:t>of</w:t>
      </w:r>
      <w:r>
        <w:rPr>
          <w:spacing w:val="-3"/>
        </w:rPr>
        <w:t xml:space="preserve"> </w:t>
      </w:r>
      <w:r>
        <w:t>the</w:t>
      </w:r>
      <w:r>
        <w:rPr>
          <w:spacing w:val="-2"/>
        </w:rPr>
        <w:t xml:space="preserve"> </w:t>
      </w:r>
      <w:r>
        <w:t>recovery</w:t>
      </w:r>
      <w:r>
        <w:rPr>
          <w:spacing w:val="-3"/>
        </w:rPr>
        <w:t xml:space="preserve"> </w:t>
      </w:r>
      <w:r>
        <w:rPr>
          <w:spacing w:val="-2"/>
        </w:rPr>
        <w:t>process.</w:t>
      </w:r>
    </w:p>
    <w:p w14:paraId="407DC64B" w14:textId="77777777" w:rsidR="00DB6E1F" w:rsidRDefault="00F666A6">
      <w:pPr>
        <w:pStyle w:val="ListParagraph"/>
        <w:numPr>
          <w:ilvl w:val="1"/>
          <w:numId w:val="92"/>
        </w:numPr>
        <w:tabs>
          <w:tab w:val="left" w:pos="2157"/>
          <w:tab w:val="left" w:pos="2159"/>
        </w:tabs>
        <w:spacing w:before="61"/>
        <w:ind w:left="2158" w:hanging="361"/>
      </w:pPr>
      <w:r>
        <w:t>Elicit</w:t>
      </w:r>
      <w:r>
        <w:rPr>
          <w:spacing w:val="-4"/>
        </w:rPr>
        <w:t xml:space="preserve"> </w:t>
      </w:r>
      <w:r>
        <w:t>their</w:t>
      </w:r>
      <w:r>
        <w:rPr>
          <w:spacing w:val="-5"/>
        </w:rPr>
        <w:t xml:space="preserve"> </w:t>
      </w:r>
      <w:r>
        <w:t>positive</w:t>
      </w:r>
      <w:r>
        <w:rPr>
          <w:spacing w:val="-4"/>
        </w:rPr>
        <w:t xml:space="preserve"> </w:t>
      </w:r>
      <w:r>
        <w:t>experiences</w:t>
      </w:r>
      <w:r>
        <w:rPr>
          <w:spacing w:val="-4"/>
        </w:rPr>
        <w:t xml:space="preserve"> </w:t>
      </w:r>
      <w:r>
        <w:t>in</w:t>
      </w:r>
      <w:r>
        <w:rPr>
          <w:spacing w:val="-5"/>
        </w:rPr>
        <w:t xml:space="preserve"> </w:t>
      </w:r>
      <w:r>
        <w:t>recovery</w:t>
      </w:r>
      <w:r>
        <w:rPr>
          <w:spacing w:val="-3"/>
        </w:rPr>
        <w:t xml:space="preserve"> </w:t>
      </w:r>
      <w:r>
        <w:t>and</w:t>
      </w:r>
      <w:r>
        <w:rPr>
          <w:spacing w:val="-5"/>
        </w:rPr>
        <w:t xml:space="preserve"> </w:t>
      </w:r>
      <w:r>
        <w:t>the</w:t>
      </w:r>
      <w:r>
        <w:rPr>
          <w:spacing w:val="-3"/>
        </w:rPr>
        <w:t xml:space="preserve"> </w:t>
      </w:r>
      <w:r>
        <w:t>advantages</w:t>
      </w:r>
      <w:r>
        <w:rPr>
          <w:spacing w:val="-5"/>
        </w:rPr>
        <w:t xml:space="preserve"> </w:t>
      </w:r>
      <w:r>
        <w:t>of</w:t>
      </w:r>
      <w:r>
        <w:rPr>
          <w:spacing w:val="-5"/>
        </w:rPr>
        <w:t xml:space="preserve"> </w:t>
      </w:r>
      <w:r>
        <w:rPr>
          <w:spacing w:val="-2"/>
        </w:rPr>
        <w:t>abstinence.</w:t>
      </w:r>
    </w:p>
    <w:p w14:paraId="342CFF04" w14:textId="77777777" w:rsidR="00DB6E1F" w:rsidRDefault="00F666A6">
      <w:pPr>
        <w:pStyle w:val="ListParagraph"/>
        <w:numPr>
          <w:ilvl w:val="1"/>
          <w:numId w:val="92"/>
        </w:numPr>
        <w:tabs>
          <w:tab w:val="left" w:pos="2157"/>
          <w:tab w:val="left" w:pos="2159"/>
        </w:tabs>
        <w:ind w:left="2158" w:hanging="361"/>
      </w:pPr>
      <w:r>
        <w:t>Use</w:t>
      </w:r>
      <w:r>
        <w:rPr>
          <w:spacing w:val="-4"/>
        </w:rPr>
        <w:t xml:space="preserve"> </w:t>
      </w:r>
      <w:r>
        <w:t>reflective</w:t>
      </w:r>
      <w:r>
        <w:rPr>
          <w:spacing w:val="-5"/>
        </w:rPr>
        <w:t xml:space="preserve"> </w:t>
      </w:r>
      <w:r>
        <w:rPr>
          <w:spacing w:val="-2"/>
        </w:rPr>
        <w:t>listening.</w:t>
      </w:r>
    </w:p>
    <w:p w14:paraId="3D401924" w14:textId="77777777" w:rsidR="00DB6E1F" w:rsidRDefault="00F666A6">
      <w:pPr>
        <w:pStyle w:val="ListParagraph"/>
        <w:numPr>
          <w:ilvl w:val="1"/>
          <w:numId w:val="92"/>
        </w:numPr>
        <w:tabs>
          <w:tab w:val="left" w:pos="2157"/>
          <w:tab w:val="left" w:pos="2159"/>
        </w:tabs>
        <w:ind w:left="2158" w:hanging="361"/>
      </w:pPr>
      <w:r>
        <w:t>Avoid</w:t>
      </w:r>
      <w:r>
        <w:rPr>
          <w:spacing w:val="-9"/>
        </w:rPr>
        <w:t xml:space="preserve"> </w:t>
      </w:r>
      <w:r>
        <w:t>the</w:t>
      </w:r>
      <w:r>
        <w:rPr>
          <w:spacing w:val="-6"/>
        </w:rPr>
        <w:t xml:space="preserve"> </w:t>
      </w:r>
      <w:r>
        <w:t>question-and-answer</w:t>
      </w:r>
      <w:r>
        <w:rPr>
          <w:spacing w:val="-7"/>
        </w:rPr>
        <w:t xml:space="preserve"> </w:t>
      </w:r>
      <w:r>
        <w:rPr>
          <w:spacing w:val="-2"/>
        </w:rPr>
        <w:t>trap.</w:t>
      </w:r>
    </w:p>
    <w:p w14:paraId="5F114801" w14:textId="77777777" w:rsidR="00DB6E1F" w:rsidRDefault="00F666A6">
      <w:pPr>
        <w:pStyle w:val="ListParagraph"/>
        <w:numPr>
          <w:ilvl w:val="1"/>
          <w:numId w:val="92"/>
        </w:numPr>
        <w:tabs>
          <w:tab w:val="left" w:pos="2157"/>
          <w:tab w:val="left" w:pos="2158"/>
        </w:tabs>
        <w:ind w:left="2157" w:hanging="361"/>
      </w:pPr>
      <w:r>
        <w:t>Explore</w:t>
      </w:r>
      <w:r>
        <w:rPr>
          <w:spacing w:val="-7"/>
        </w:rPr>
        <w:t xml:space="preserve"> </w:t>
      </w:r>
      <w:r>
        <w:t>their</w:t>
      </w:r>
      <w:r>
        <w:rPr>
          <w:spacing w:val="-4"/>
        </w:rPr>
        <w:t xml:space="preserve"> </w:t>
      </w:r>
      <w:r>
        <w:t>values,</w:t>
      </w:r>
      <w:r>
        <w:rPr>
          <w:spacing w:val="-3"/>
        </w:rPr>
        <w:t xml:space="preserve"> </w:t>
      </w:r>
      <w:r>
        <w:t>hopes,</w:t>
      </w:r>
      <w:r>
        <w:rPr>
          <w:spacing w:val="-2"/>
        </w:rPr>
        <w:t xml:space="preserve"> </w:t>
      </w:r>
      <w:r>
        <w:t>purpose,</w:t>
      </w:r>
      <w:r>
        <w:rPr>
          <w:spacing w:val="-4"/>
        </w:rPr>
        <w:t xml:space="preserve"> </w:t>
      </w:r>
      <w:r>
        <w:t>and</w:t>
      </w:r>
      <w:r>
        <w:rPr>
          <w:spacing w:val="-4"/>
        </w:rPr>
        <w:t xml:space="preserve"> </w:t>
      </w:r>
      <w:r>
        <w:t>goals</w:t>
      </w:r>
      <w:r>
        <w:rPr>
          <w:spacing w:val="-4"/>
        </w:rPr>
        <w:t xml:space="preserve"> </w:t>
      </w:r>
      <w:r>
        <w:t>in</w:t>
      </w:r>
      <w:r>
        <w:rPr>
          <w:spacing w:val="-4"/>
        </w:rPr>
        <w:t xml:space="preserve"> </w:t>
      </w:r>
      <w:r>
        <w:t>life.</w:t>
      </w:r>
      <w:r>
        <w:rPr>
          <w:spacing w:val="-5"/>
        </w:rPr>
        <w:t xml:space="preserve"> </w:t>
      </w:r>
      <w:r>
        <w:t>Ask,</w:t>
      </w:r>
      <w:r>
        <w:rPr>
          <w:spacing w:val="-2"/>
        </w:rPr>
        <w:t xml:space="preserve"> </w:t>
      </w:r>
      <w:r>
        <w:t>“What</w:t>
      </w:r>
      <w:r>
        <w:rPr>
          <w:spacing w:val="-2"/>
        </w:rPr>
        <w:t xml:space="preserve"> </w:t>
      </w:r>
      <w:r>
        <w:t>do</w:t>
      </w:r>
      <w:r>
        <w:rPr>
          <w:spacing w:val="-3"/>
        </w:rPr>
        <w:t xml:space="preserve"> </w:t>
      </w:r>
      <w:r>
        <w:t>you</w:t>
      </w:r>
      <w:r>
        <w:rPr>
          <w:spacing w:val="-5"/>
        </w:rPr>
        <w:t xml:space="preserve"> </w:t>
      </w:r>
      <w:r>
        <w:t>want</w:t>
      </w:r>
      <w:r>
        <w:rPr>
          <w:spacing w:val="-5"/>
        </w:rPr>
        <w:t xml:space="preserve"> </w:t>
      </w:r>
      <w:r>
        <w:t>to</w:t>
      </w:r>
      <w:r>
        <w:rPr>
          <w:spacing w:val="-6"/>
        </w:rPr>
        <w:t xml:space="preserve"> </w:t>
      </w:r>
      <w:r>
        <w:t>do</w:t>
      </w:r>
      <w:r>
        <w:rPr>
          <w:spacing w:val="-1"/>
        </w:rPr>
        <w:t xml:space="preserve"> </w:t>
      </w:r>
      <w:r>
        <w:rPr>
          <w:spacing w:val="-2"/>
        </w:rPr>
        <w:t>now?”</w:t>
      </w:r>
    </w:p>
    <w:p w14:paraId="3504249B" w14:textId="77777777" w:rsidR="00DB6E1F" w:rsidRDefault="00F666A6">
      <w:pPr>
        <w:pStyle w:val="Heading5"/>
        <w:numPr>
          <w:ilvl w:val="0"/>
          <w:numId w:val="92"/>
        </w:numPr>
        <w:tabs>
          <w:tab w:val="left" w:pos="1797"/>
          <w:tab w:val="left" w:pos="1798"/>
        </w:tabs>
        <w:spacing w:before="58"/>
        <w:ind w:right="2338"/>
        <w:rPr>
          <w:rFonts w:ascii="Symbol" w:hAnsi="Symbol"/>
          <w:b w:val="0"/>
        </w:rPr>
      </w:pPr>
      <w:r>
        <w:t>Helping</w:t>
      </w:r>
      <w:r>
        <w:rPr>
          <w:spacing w:val="-4"/>
        </w:rPr>
        <w:t xml:space="preserve"> </w:t>
      </w:r>
      <w:r>
        <w:t>clients</w:t>
      </w:r>
      <w:r>
        <w:rPr>
          <w:spacing w:val="-5"/>
        </w:rPr>
        <w:t xml:space="preserve"> </w:t>
      </w:r>
      <w:r>
        <w:t>find</w:t>
      </w:r>
      <w:r>
        <w:rPr>
          <w:spacing w:val="-4"/>
        </w:rPr>
        <w:t xml:space="preserve"> </w:t>
      </w:r>
      <w:r>
        <w:t>and</w:t>
      </w:r>
      <w:r>
        <w:rPr>
          <w:spacing w:val="-4"/>
        </w:rPr>
        <w:t xml:space="preserve"> </w:t>
      </w:r>
      <w:r>
        <w:t>continuously</w:t>
      </w:r>
      <w:r>
        <w:rPr>
          <w:spacing w:val="-4"/>
        </w:rPr>
        <w:t xml:space="preserve"> </w:t>
      </w:r>
      <w:r>
        <w:t>review</w:t>
      </w:r>
      <w:r>
        <w:rPr>
          <w:spacing w:val="-4"/>
        </w:rPr>
        <w:t xml:space="preserve"> </w:t>
      </w:r>
      <w:r>
        <w:t>and</w:t>
      </w:r>
      <w:r>
        <w:rPr>
          <w:spacing w:val="-4"/>
        </w:rPr>
        <w:t xml:space="preserve"> </w:t>
      </w:r>
      <w:r>
        <w:t>evaluate</w:t>
      </w:r>
      <w:r>
        <w:rPr>
          <w:spacing w:val="-4"/>
        </w:rPr>
        <w:t xml:space="preserve"> </w:t>
      </w:r>
      <w:r>
        <w:t>current</w:t>
      </w:r>
      <w:r>
        <w:rPr>
          <w:spacing w:val="-3"/>
        </w:rPr>
        <w:t xml:space="preserve"> </w:t>
      </w:r>
      <w:r>
        <w:t>and</w:t>
      </w:r>
      <w:r>
        <w:rPr>
          <w:spacing w:val="-3"/>
        </w:rPr>
        <w:t xml:space="preserve"> </w:t>
      </w:r>
      <w:r>
        <w:t>alternative</w:t>
      </w:r>
      <w:r>
        <w:rPr>
          <w:spacing w:val="-4"/>
        </w:rPr>
        <w:t xml:space="preserve"> </w:t>
      </w:r>
      <w:r>
        <w:t xml:space="preserve">coping </w:t>
      </w:r>
      <w:r>
        <w:rPr>
          <w:spacing w:val="-2"/>
        </w:rPr>
        <w:t>strategies.</w:t>
      </w:r>
    </w:p>
    <w:p w14:paraId="7AFD2AC4" w14:textId="77777777" w:rsidR="00DB6E1F" w:rsidRDefault="00F666A6">
      <w:pPr>
        <w:pStyle w:val="ListParagraph"/>
        <w:numPr>
          <w:ilvl w:val="1"/>
          <w:numId w:val="92"/>
        </w:numPr>
        <w:tabs>
          <w:tab w:val="left" w:pos="2157"/>
          <w:tab w:val="left" w:pos="2158"/>
        </w:tabs>
        <w:spacing w:before="61"/>
        <w:ind w:left="2157" w:hanging="361"/>
      </w:pPr>
      <w:r>
        <w:t>Review</w:t>
      </w:r>
      <w:r>
        <w:rPr>
          <w:spacing w:val="-8"/>
        </w:rPr>
        <w:t xml:space="preserve"> </w:t>
      </w:r>
      <w:r>
        <w:t>coping</w:t>
      </w:r>
      <w:r>
        <w:rPr>
          <w:spacing w:val="-3"/>
        </w:rPr>
        <w:t xml:space="preserve"> </w:t>
      </w:r>
      <w:r>
        <w:t>strategies</w:t>
      </w:r>
      <w:r>
        <w:rPr>
          <w:spacing w:val="-4"/>
        </w:rPr>
        <w:t xml:space="preserve"> </w:t>
      </w:r>
      <w:r>
        <w:t>that</w:t>
      </w:r>
      <w:r>
        <w:rPr>
          <w:spacing w:val="-3"/>
        </w:rPr>
        <w:t xml:space="preserve"> </w:t>
      </w:r>
      <w:r>
        <w:t>have</w:t>
      </w:r>
      <w:r>
        <w:rPr>
          <w:spacing w:val="-2"/>
        </w:rPr>
        <w:t xml:space="preserve"> </w:t>
      </w:r>
      <w:r>
        <w:t>and</w:t>
      </w:r>
      <w:r>
        <w:rPr>
          <w:spacing w:val="-6"/>
        </w:rPr>
        <w:t xml:space="preserve"> </w:t>
      </w:r>
      <w:r>
        <w:t>have</w:t>
      </w:r>
      <w:r>
        <w:rPr>
          <w:spacing w:val="-2"/>
        </w:rPr>
        <w:t xml:space="preserve"> </w:t>
      </w:r>
      <w:r>
        <w:t>not</w:t>
      </w:r>
      <w:r>
        <w:rPr>
          <w:spacing w:val="-6"/>
        </w:rPr>
        <w:t xml:space="preserve"> </w:t>
      </w:r>
      <w:r>
        <w:t>worked</w:t>
      </w:r>
      <w:r>
        <w:rPr>
          <w:spacing w:val="-4"/>
        </w:rPr>
        <w:t xml:space="preserve"> </w:t>
      </w:r>
      <w:r>
        <w:t>to</w:t>
      </w:r>
      <w:r>
        <w:rPr>
          <w:spacing w:val="-5"/>
        </w:rPr>
        <w:t xml:space="preserve"> </w:t>
      </w:r>
      <w:r>
        <w:t>maintain</w:t>
      </w:r>
      <w:r>
        <w:rPr>
          <w:spacing w:val="-4"/>
        </w:rPr>
        <w:t xml:space="preserve"> </w:t>
      </w:r>
      <w:r>
        <w:t>stated</w:t>
      </w:r>
      <w:r>
        <w:rPr>
          <w:spacing w:val="-5"/>
        </w:rPr>
        <w:t xml:space="preserve"> </w:t>
      </w:r>
      <w:r>
        <w:t>goals</w:t>
      </w:r>
      <w:r>
        <w:rPr>
          <w:spacing w:val="-5"/>
        </w:rPr>
        <w:t xml:space="preserve"> </w:t>
      </w:r>
      <w:r>
        <w:t>for</w:t>
      </w:r>
      <w:r>
        <w:rPr>
          <w:spacing w:val="-5"/>
        </w:rPr>
        <w:t xml:space="preserve"> </w:t>
      </w:r>
      <w:r>
        <w:rPr>
          <w:spacing w:val="-2"/>
        </w:rPr>
        <w:t>change.</w:t>
      </w:r>
    </w:p>
    <w:p w14:paraId="5D5EA6F3" w14:textId="77777777" w:rsidR="00DB6E1F" w:rsidRDefault="00F666A6">
      <w:pPr>
        <w:pStyle w:val="ListParagraph"/>
        <w:numPr>
          <w:ilvl w:val="1"/>
          <w:numId w:val="92"/>
        </w:numPr>
        <w:tabs>
          <w:tab w:val="left" w:pos="2156"/>
          <w:tab w:val="left" w:pos="2157"/>
        </w:tabs>
        <w:ind w:left="2156"/>
      </w:pPr>
      <w:r>
        <w:t>Help</w:t>
      </w:r>
      <w:r>
        <w:rPr>
          <w:spacing w:val="-6"/>
        </w:rPr>
        <w:t xml:space="preserve"> </w:t>
      </w:r>
      <w:r>
        <w:t>them</w:t>
      </w:r>
      <w:r>
        <w:rPr>
          <w:spacing w:val="-4"/>
        </w:rPr>
        <w:t xml:space="preserve"> </w:t>
      </w:r>
      <w:r>
        <w:t>identify</w:t>
      </w:r>
      <w:r>
        <w:rPr>
          <w:spacing w:val="-3"/>
        </w:rPr>
        <w:t xml:space="preserve"> </w:t>
      </w:r>
      <w:r>
        <w:t>new</w:t>
      </w:r>
      <w:r>
        <w:rPr>
          <w:spacing w:val="-4"/>
        </w:rPr>
        <w:t xml:space="preserve"> </w:t>
      </w:r>
      <w:r>
        <w:t>coping</w:t>
      </w:r>
      <w:r>
        <w:rPr>
          <w:spacing w:val="-5"/>
        </w:rPr>
        <w:t xml:space="preserve"> </w:t>
      </w:r>
      <w:r>
        <w:rPr>
          <w:spacing w:val="-2"/>
        </w:rPr>
        <w:t>strategies.</w:t>
      </w:r>
    </w:p>
    <w:p w14:paraId="13379AF6" w14:textId="77777777" w:rsidR="00DB6E1F" w:rsidRDefault="00F666A6">
      <w:pPr>
        <w:pStyle w:val="ListParagraph"/>
        <w:numPr>
          <w:ilvl w:val="0"/>
          <w:numId w:val="92"/>
        </w:numPr>
        <w:tabs>
          <w:tab w:val="left" w:pos="1796"/>
          <w:tab w:val="left" w:pos="1798"/>
        </w:tabs>
        <w:ind w:hanging="362"/>
        <w:rPr>
          <w:rFonts w:ascii="Symbol" w:hAnsi="Symbol"/>
        </w:rPr>
      </w:pPr>
      <w:r>
        <w:rPr>
          <w:b/>
        </w:rPr>
        <w:t>Maintaining</w:t>
      </w:r>
      <w:r>
        <w:rPr>
          <w:b/>
          <w:spacing w:val="-8"/>
        </w:rPr>
        <w:t xml:space="preserve"> </w:t>
      </w:r>
      <w:r>
        <w:rPr>
          <w:b/>
        </w:rPr>
        <w:t>supportive</w:t>
      </w:r>
      <w:r>
        <w:rPr>
          <w:b/>
          <w:spacing w:val="-5"/>
        </w:rPr>
        <w:t xml:space="preserve"> </w:t>
      </w:r>
      <w:r>
        <w:rPr>
          <w:b/>
        </w:rPr>
        <w:t>contact</w:t>
      </w:r>
      <w:r>
        <w:rPr>
          <w:b/>
          <w:spacing w:val="-4"/>
        </w:rPr>
        <w:t xml:space="preserve"> </w:t>
      </w:r>
      <w:r>
        <w:t>until</w:t>
      </w:r>
      <w:r>
        <w:rPr>
          <w:spacing w:val="-4"/>
        </w:rPr>
        <w:t xml:space="preserve"> </w:t>
      </w:r>
      <w:r>
        <w:t>clients</w:t>
      </w:r>
      <w:r>
        <w:rPr>
          <w:spacing w:val="-6"/>
        </w:rPr>
        <w:t xml:space="preserve"> </w:t>
      </w:r>
      <w:r>
        <w:t>exit</w:t>
      </w:r>
      <w:r>
        <w:rPr>
          <w:spacing w:val="-6"/>
        </w:rPr>
        <w:t xml:space="preserve"> </w:t>
      </w:r>
      <w:r>
        <w:t>the</w:t>
      </w:r>
      <w:r>
        <w:rPr>
          <w:spacing w:val="-3"/>
        </w:rPr>
        <w:t xml:space="preserve"> </w:t>
      </w:r>
      <w:r>
        <w:t>change</w:t>
      </w:r>
      <w:r>
        <w:rPr>
          <w:spacing w:val="-3"/>
        </w:rPr>
        <w:t xml:space="preserve"> </w:t>
      </w:r>
      <w:r>
        <w:t>cycle</w:t>
      </w:r>
      <w:r>
        <w:rPr>
          <w:spacing w:val="-4"/>
        </w:rPr>
        <w:t xml:space="preserve"> </w:t>
      </w:r>
      <w:r>
        <w:t>for</w:t>
      </w:r>
      <w:r>
        <w:rPr>
          <w:spacing w:val="-4"/>
        </w:rPr>
        <w:t xml:space="preserve"> </w:t>
      </w:r>
      <w:r>
        <w:t>each</w:t>
      </w:r>
      <w:r>
        <w:rPr>
          <w:spacing w:val="-5"/>
        </w:rPr>
        <w:t xml:space="preserve"> </w:t>
      </w:r>
      <w:r>
        <w:t>behavior</w:t>
      </w:r>
      <w:r>
        <w:rPr>
          <w:spacing w:val="-4"/>
        </w:rPr>
        <w:t xml:space="preserve"> </w:t>
      </w:r>
      <w:r>
        <w:t>change</w:t>
      </w:r>
      <w:r>
        <w:rPr>
          <w:spacing w:val="-3"/>
        </w:rPr>
        <w:t xml:space="preserve"> </w:t>
      </w:r>
      <w:r>
        <w:rPr>
          <w:spacing w:val="-2"/>
        </w:rPr>
        <w:t>goal.</w:t>
      </w:r>
    </w:p>
    <w:p w14:paraId="57408B4F" w14:textId="77777777" w:rsidR="00DB6E1F" w:rsidRDefault="00F666A6">
      <w:pPr>
        <w:pStyle w:val="Heading2"/>
        <w:spacing w:before="65"/>
      </w:pPr>
      <w:bookmarkStart w:id="211" w:name="_bookmark44"/>
      <w:bookmarkEnd w:id="211"/>
      <w:r>
        <w:rPr>
          <w:spacing w:val="-2"/>
        </w:rPr>
        <w:t>Conclusion</w:t>
      </w:r>
    </w:p>
    <w:p w14:paraId="622D3B86" w14:textId="77777777" w:rsidR="00DB6E1F" w:rsidRDefault="00F666A6">
      <w:pPr>
        <w:pStyle w:val="BodyText"/>
        <w:spacing w:before="150"/>
        <w:ind w:left="1439" w:right="1491"/>
      </w:pPr>
      <w:r>
        <w:t>Maintaining substance use behavior change is often more challenging for clients than taking action toward</w:t>
      </w:r>
      <w:r>
        <w:rPr>
          <w:spacing w:val="-3"/>
        </w:rPr>
        <w:t xml:space="preserve"> </w:t>
      </w:r>
      <w:r>
        <w:t>change.</w:t>
      </w:r>
      <w:r>
        <w:rPr>
          <w:spacing w:val="-2"/>
        </w:rPr>
        <w:t xml:space="preserve"> </w:t>
      </w:r>
      <w:r>
        <w:t>Help</w:t>
      </w:r>
      <w:r>
        <w:rPr>
          <w:spacing w:val="-5"/>
        </w:rPr>
        <w:t xml:space="preserve"> </w:t>
      </w:r>
      <w:r>
        <w:t>clients</w:t>
      </w:r>
      <w:r>
        <w:rPr>
          <w:spacing w:val="-2"/>
        </w:rPr>
        <w:t xml:space="preserve"> </w:t>
      </w:r>
      <w:r>
        <w:t>stabilize</w:t>
      </w:r>
      <w:r>
        <w:rPr>
          <w:spacing w:val="-1"/>
        </w:rPr>
        <w:t xml:space="preserve"> </w:t>
      </w:r>
      <w:r>
        <w:t>and</w:t>
      </w:r>
      <w:r>
        <w:rPr>
          <w:spacing w:val="-5"/>
        </w:rPr>
        <w:t xml:space="preserve"> </w:t>
      </w:r>
      <w:r>
        <w:t>maintain</w:t>
      </w:r>
      <w:r>
        <w:rPr>
          <w:spacing w:val="-3"/>
        </w:rPr>
        <w:t xml:space="preserve"> </w:t>
      </w:r>
      <w:r>
        <w:t>changes</w:t>
      </w:r>
      <w:r>
        <w:rPr>
          <w:spacing w:val="-2"/>
        </w:rPr>
        <w:t xml:space="preserve"> </w:t>
      </w:r>
      <w:r>
        <w:t>made in</w:t>
      </w:r>
      <w:r>
        <w:rPr>
          <w:spacing w:val="-3"/>
        </w:rPr>
        <w:t xml:space="preserve"> </w:t>
      </w:r>
      <w:r>
        <w:t>the</w:t>
      </w:r>
      <w:r>
        <w:rPr>
          <w:spacing w:val="-1"/>
        </w:rPr>
        <w:t xml:space="preserve"> </w:t>
      </w:r>
      <w:r>
        <w:t>Preparation</w:t>
      </w:r>
      <w:r>
        <w:rPr>
          <w:spacing w:val="-3"/>
        </w:rPr>
        <w:t xml:space="preserve"> </w:t>
      </w:r>
      <w:r>
        <w:t>and</w:t>
      </w:r>
      <w:r>
        <w:rPr>
          <w:spacing w:val="-3"/>
        </w:rPr>
        <w:t xml:space="preserve"> </w:t>
      </w:r>
      <w:r>
        <w:t>Action</w:t>
      </w:r>
      <w:r>
        <w:rPr>
          <w:spacing w:val="-2"/>
        </w:rPr>
        <w:t xml:space="preserve"> </w:t>
      </w:r>
      <w:r>
        <w:t xml:space="preserve">stages </w:t>
      </w:r>
      <w:r>
        <w:rPr>
          <w:spacing w:val="-4"/>
        </w:rPr>
        <w:t>by:</w:t>
      </w:r>
    </w:p>
    <w:p w14:paraId="7C517E1C" w14:textId="77777777" w:rsidR="00DB6E1F" w:rsidRDefault="00F666A6">
      <w:pPr>
        <w:pStyle w:val="ListParagraph"/>
        <w:numPr>
          <w:ilvl w:val="0"/>
          <w:numId w:val="92"/>
        </w:numPr>
        <w:tabs>
          <w:tab w:val="left" w:pos="1799"/>
          <w:tab w:val="left" w:pos="1800"/>
        </w:tabs>
        <w:spacing w:before="61"/>
        <w:ind w:left="1799"/>
        <w:rPr>
          <w:rFonts w:ascii="Symbol" w:hAnsi="Symbol"/>
        </w:rPr>
      </w:pPr>
      <w:r>
        <w:t>Using</w:t>
      </w:r>
      <w:r>
        <w:rPr>
          <w:spacing w:val="-8"/>
        </w:rPr>
        <w:t xml:space="preserve"> </w:t>
      </w:r>
      <w:r>
        <w:t>motivational</w:t>
      </w:r>
      <w:r>
        <w:rPr>
          <w:spacing w:val="-5"/>
        </w:rPr>
        <w:t xml:space="preserve"> </w:t>
      </w:r>
      <w:r>
        <w:t>counseling</w:t>
      </w:r>
      <w:r>
        <w:rPr>
          <w:spacing w:val="-5"/>
        </w:rPr>
        <w:t xml:space="preserve"> </w:t>
      </w:r>
      <w:r>
        <w:t>strategies</w:t>
      </w:r>
      <w:r>
        <w:rPr>
          <w:spacing w:val="-5"/>
        </w:rPr>
        <w:t xml:space="preserve"> </w:t>
      </w:r>
      <w:r>
        <w:t>to</w:t>
      </w:r>
      <w:r>
        <w:rPr>
          <w:spacing w:val="-4"/>
        </w:rPr>
        <w:t xml:space="preserve"> </w:t>
      </w:r>
      <w:r>
        <w:t>engage</w:t>
      </w:r>
      <w:r>
        <w:rPr>
          <w:spacing w:val="-7"/>
        </w:rPr>
        <w:t xml:space="preserve"> </w:t>
      </w:r>
      <w:r>
        <w:t>and</w:t>
      </w:r>
      <w:r>
        <w:rPr>
          <w:spacing w:val="-6"/>
        </w:rPr>
        <w:t xml:space="preserve"> </w:t>
      </w:r>
      <w:r>
        <w:t>retain</w:t>
      </w:r>
      <w:r>
        <w:rPr>
          <w:spacing w:val="-6"/>
        </w:rPr>
        <w:t xml:space="preserve"> </w:t>
      </w:r>
      <w:r>
        <w:t>clients</w:t>
      </w:r>
      <w:r>
        <w:rPr>
          <w:spacing w:val="-5"/>
        </w:rPr>
        <w:t xml:space="preserve"> </w:t>
      </w:r>
      <w:r>
        <w:t>in</w:t>
      </w:r>
      <w:r>
        <w:rPr>
          <w:spacing w:val="-5"/>
        </w:rPr>
        <w:t xml:space="preserve"> </w:t>
      </w:r>
      <w:r>
        <w:rPr>
          <w:spacing w:val="-2"/>
        </w:rPr>
        <w:t>treatment.</w:t>
      </w:r>
    </w:p>
    <w:p w14:paraId="5D5FF0BB" w14:textId="77777777" w:rsidR="00DB6E1F" w:rsidRDefault="00F666A6">
      <w:pPr>
        <w:pStyle w:val="ListParagraph"/>
        <w:numPr>
          <w:ilvl w:val="0"/>
          <w:numId w:val="92"/>
        </w:numPr>
        <w:tabs>
          <w:tab w:val="left" w:pos="1799"/>
          <w:tab w:val="left" w:pos="1800"/>
        </w:tabs>
        <w:ind w:left="1799"/>
        <w:rPr>
          <w:rFonts w:ascii="Symbol" w:hAnsi="Symbol"/>
        </w:rPr>
      </w:pPr>
      <w:r>
        <w:t>Helping</w:t>
      </w:r>
      <w:r>
        <w:rPr>
          <w:spacing w:val="-6"/>
        </w:rPr>
        <w:t xml:space="preserve"> </w:t>
      </w:r>
      <w:r>
        <w:t>them</w:t>
      </w:r>
      <w:r>
        <w:rPr>
          <w:spacing w:val="-5"/>
        </w:rPr>
        <w:t xml:space="preserve"> </w:t>
      </w:r>
      <w:r>
        <w:t>develop</w:t>
      </w:r>
      <w:r>
        <w:rPr>
          <w:spacing w:val="-7"/>
        </w:rPr>
        <w:t xml:space="preserve"> </w:t>
      </w:r>
      <w:r>
        <w:t>and</w:t>
      </w:r>
      <w:r>
        <w:rPr>
          <w:spacing w:val="-7"/>
        </w:rPr>
        <w:t xml:space="preserve"> </w:t>
      </w:r>
      <w:r>
        <w:t>practice</w:t>
      </w:r>
      <w:r>
        <w:rPr>
          <w:spacing w:val="-6"/>
        </w:rPr>
        <w:t xml:space="preserve"> </w:t>
      </w:r>
      <w:r>
        <w:t>coping</w:t>
      </w:r>
      <w:r>
        <w:rPr>
          <w:spacing w:val="-5"/>
        </w:rPr>
        <w:t xml:space="preserve"> </w:t>
      </w:r>
      <w:r>
        <w:t>strategies</w:t>
      </w:r>
      <w:r>
        <w:rPr>
          <w:spacing w:val="-3"/>
        </w:rPr>
        <w:t xml:space="preserve"> </w:t>
      </w:r>
      <w:r>
        <w:t>for</w:t>
      </w:r>
      <w:r>
        <w:rPr>
          <w:spacing w:val="-4"/>
        </w:rPr>
        <w:t xml:space="preserve"> </w:t>
      </w:r>
      <w:r>
        <w:t>high-risk</w:t>
      </w:r>
      <w:r>
        <w:rPr>
          <w:spacing w:val="-3"/>
        </w:rPr>
        <w:t xml:space="preserve"> </w:t>
      </w:r>
      <w:r>
        <w:rPr>
          <w:spacing w:val="-2"/>
        </w:rPr>
        <w:t>situations.</w:t>
      </w:r>
    </w:p>
    <w:p w14:paraId="44A319D0" w14:textId="77777777" w:rsidR="00DB6E1F" w:rsidRDefault="00F666A6">
      <w:pPr>
        <w:pStyle w:val="ListParagraph"/>
        <w:numPr>
          <w:ilvl w:val="0"/>
          <w:numId w:val="92"/>
        </w:numPr>
        <w:tabs>
          <w:tab w:val="left" w:pos="1800"/>
          <w:tab w:val="left" w:pos="1801"/>
        </w:tabs>
        <w:spacing w:before="61"/>
        <w:ind w:left="1800"/>
        <w:rPr>
          <w:rFonts w:ascii="Symbol" w:hAnsi="Symbol"/>
        </w:rPr>
      </w:pPr>
      <w:r>
        <w:t>Reinforcing</w:t>
      </w:r>
      <w:r>
        <w:rPr>
          <w:spacing w:val="-5"/>
        </w:rPr>
        <w:t xml:space="preserve"> </w:t>
      </w:r>
      <w:r>
        <w:t>social</w:t>
      </w:r>
      <w:r>
        <w:rPr>
          <w:spacing w:val="-6"/>
        </w:rPr>
        <w:t xml:space="preserve"> </w:t>
      </w:r>
      <w:r>
        <w:rPr>
          <w:spacing w:val="-2"/>
        </w:rPr>
        <w:t>support.</w:t>
      </w:r>
    </w:p>
    <w:p w14:paraId="40221F46" w14:textId="77777777" w:rsidR="00DB6E1F" w:rsidRDefault="00F666A6">
      <w:pPr>
        <w:pStyle w:val="ListParagraph"/>
        <w:numPr>
          <w:ilvl w:val="0"/>
          <w:numId w:val="92"/>
        </w:numPr>
        <w:tabs>
          <w:tab w:val="left" w:pos="1800"/>
          <w:tab w:val="left" w:pos="1801"/>
        </w:tabs>
        <w:spacing w:before="56"/>
        <w:ind w:left="1800"/>
        <w:rPr>
          <w:rFonts w:ascii="Symbol" w:hAnsi="Symbol"/>
        </w:rPr>
      </w:pPr>
      <w:r>
        <w:t>Helping</w:t>
      </w:r>
      <w:r>
        <w:rPr>
          <w:spacing w:val="-7"/>
        </w:rPr>
        <w:t xml:space="preserve"> </w:t>
      </w:r>
      <w:r>
        <w:t>them</w:t>
      </w:r>
      <w:r>
        <w:rPr>
          <w:spacing w:val="-4"/>
        </w:rPr>
        <w:t xml:space="preserve"> </w:t>
      </w:r>
      <w:r>
        <w:t>reenter</w:t>
      </w:r>
      <w:r>
        <w:rPr>
          <w:spacing w:val="-4"/>
        </w:rPr>
        <w:t xml:space="preserve"> </w:t>
      </w:r>
      <w:r>
        <w:t>the</w:t>
      </w:r>
      <w:r>
        <w:rPr>
          <w:spacing w:val="-3"/>
        </w:rPr>
        <w:t xml:space="preserve"> </w:t>
      </w:r>
      <w:r>
        <w:t>cycle</w:t>
      </w:r>
      <w:r>
        <w:rPr>
          <w:spacing w:val="-5"/>
        </w:rPr>
        <w:t xml:space="preserve"> </w:t>
      </w:r>
      <w:r>
        <w:t>of</w:t>
      </w:r>
      <w:r>
        <w:rPr>
          <w:spacing w:val="-6"/>
        </w:rPr>
        <w:t xml:space="preserve"> </w:t>
      </w:r>
      <w:r>
        <w:t>change</w:t>
      </w:r>
      <w:r>
        <w:rPr>
          <w:spacing w:val="-3"/>
        </w:rPr>
        <w:t xml:space="preserve"> </w:t>
      </w:r>
      <w:r>
        <w:t>quickly</w:t>
      </w:r>
      <w:r>
        <w:rPr>
          <w:spacing w:val="-4"/>
        </w:rPr>
        <w:t xml:space="preserve"> </w:t>
      </w:r>
      <w:r>
        <w:t>if</w:t>
      </w:r>
      <w:r>
        <w:rPr>
          <w:spacing w:val="-4"/>
        </w:rPr>
        <w:t xml:space="preserve"> </w:t>
      </w:r>
      <w:r>
        <w:t>they</w:t>
      </w:r>
      <w:r>
        <w:rPr>
          <w:spacing w:val="-2"/>
        </w:rPr>
        <w:t xml:space="preserve"> </w:t>
      </w:r>
      <w:r>
        <w:t>do</w:t>
      </w:r>
      <w:r>
        <w:rPr>
          <w:spacing w:val="-3"/>
        </w:rPr>
        <w:t xml:space="preserve"> </w:t>
      </w:r>
      <w:r>
        <w:t>return</w:t>
      </w:r>
      <w:r>
        <w:rPr>
          <w:spacing w:val="-5"/>
        </w:rPr>
        <w:t xml:space="preserve"> </w:t>
      </w:r>
      <w:r>
        <w:t>to</w:t>
      </w:r>
      <w:r>
        <w:rPr>
          <w:spacing w:val="-2"/>
        </w:rPr>
        <w:t xml:space="preserve"> </w:t>
      </w:r>
      <w:r>
        <w:t>substance</w:t>
      </w:r>
      <w:r>
        <w:rPr>
          <w:spacing w:val="-5"/>
        </w:rPr>
        <w:t xml:space="preserve"> </w:t>
      </w:r>
      <w:r>
        <w:rPr>
          <w:spacing w:val="-4"/>
        </w:rPr>
        <w:t>use.</w:t>
      </w:r>
    </w:p>
    <w:p w14:paraId="78168AAE" w14:textId="77777777" w:rsidR="00DB6E1F" w:rsidRDefault="00F666A6">
      <w:pPr>
        <w:pStyle w:val="BodyText"/>
        <w:spacing w:before="164"/>
        <w:ind w:left="1440" w:right="1491"/>
      </w:pPr>
      <w:r>
        <w:t>MI</w:t>
      </w:r>
      <w:r>
        <w:rPr>
          <w:spacing w:val="-2"/>
        </w:rPr>
        <w:t xml:space="preserve"> </w:t>
      </w:r>
      <w:r>
        <w:t>strategies</w:t>
      </w:r>
      <w:r>
        <w:rPr>
          <w:spacing w:val="-4"/>
        </w:rPr>
        <w:t xml:space="preserve"> </w:t>
      </w:r>
      <w:r>
        <w:t>are</w:t>
      </w:r>
      <w:r>
        <w:rPr>
          <w:spacing w:val="-1"/>
        </w:rPr>
        <w:t xml:space="preserve"> </w:t>
      </w:r>
      <w:r>
        <w:t>useful</w:t>
      </w:r>
      <w:r>
        <w:rPr>
          <w:spacing w:val="-2"/>
        </w:rPr>
        <w:t xml:space="preserve"> </w:t>
      </w:r>
      <w:r>
        <w:t>during</w:t>
      </w:r>
      <w:r>
        <w:rPr>
          <w:spacing w:val="-3"/>
        </w:rPr>
        <w:t xml:space="preserve"> </w:t>
      </w:r>
      <w:r>
        <w:t>all</w:t>
      </w:r>
      <w:r>
        <w:rPr>
          <w:spacing w:val="-3"/>
        </w:rPr>
        <w:t xml:space="preserve"> </w:t>
      </w:r>
      <w:r>
        <w:t>stages</w:t>
      </w:r>
      <w:r>
        <w:rPr>
          <w:spacing w:val="-2"/>
        </w:rPr>
        <w:t xml:space="preserve"> </w:t>
      </w:r>
      <w:r>
        <w:t>in</w:t>
      </w:r>
      <w:r>
        <w:rPr>
          <w:spacing w:val="-5"/>
        </w:rPr>
        <w:t xml:space="preserve"> </w:t>
      </w:r>
      <w:r>
        <w:t>the</w:t>
      </w:r>
      <w:r>
        <w:rPr>
          <w:spacing w:val="-1"/>
        </w:rPr>
        <w:t xml:space="preserve"> </w:t>
      </w:r>
      <w:r>
        <w:t>SOC</w:t>
      </w:r>
      <w:r>
        <w:rPr>
          <w:spacing w:val="-2"/>
        </w:rPr>
        <w:t xml:space="preserve"> </w:t>
      </w:r>
      <w:r>
        <w:t>and</w:t>
      </w:r>
      <w:r>
        <w:rPr>
          <w:spacing w:val="-3"/>
        </w:rPr>
        <w:t xml:space="preserve"> </w:t>
      </w:r>
      <w:r>
        <w:t>are</w:t>
      </w:r>
      <w:r>
        <w:rPr>
          <w:spacing w:val="-1"/>
        </w:rPr>
        <w:t xml:space="preserve"> </w:t>
      </w:r>
      <w:r>
        <w:t>used</w:t>
      </w:r>
      <w:r>
        <w:rPr>
          <w:spacing w:val="-3"/>
        </w:rPr>
        <w:t xml:space="preserve"> </w:t>
      </w:r>
      <w:r>
        <w:t>in</w:t>
      </w:r>
      <w:r>
        <w:rPr>
          <w:spacing w:val="-5"/>
        </w:rPr>
        <w:t xml:space="preserve"> </w:t>
      </w:r>
      <w:r>
        <w:t>conjunction</w:t>
      </w:r>
      <w:r>
        <w:rPr>
          <w:spacing w:val="-5"/>
        </w:rPr>
        <w:t xml:space="preserve"> </w:t>
      </w:r>
      <w:r>
        <w:t>with</w:t>
      </w:r>
      <w:r>
        <w:rPr>
          <w:spacing w:val="-3"/>
        </w:rPr>
        <w:t xml:space="preserve"> </w:t>
      </w:r>
      <w:r>
        <w:t>other</w:t>
      </w:r>
      <w:r>
        <w:rPr>
          <w:spacing w:val="-4"/>
        </w:rPr>
        <w:t xml:space="preserve"> </w:t>
      </w:r>
      <w:r>
        <w:t>counseling approaches, like CBT—particularly during the Preparation, Action, and Maintenance stages. An</w:t>
      </w:r>
    </w:p>
    <w:p w14:paraId="13D335A4" w14:textId="77777777" w:rsidR="00DB6E1F" w:rsidRDefault="00DB6E1F">
      <w:pPr>
        <w:sectPr w:rsidR="00DB6E1F">
          <w:pgSz w:w="12240" w:h="15840"/>
          <w:pgMar w:top="1200" w:right="0" w:bottom="780" w:left="0" w:header="763" w:footer="585" w:gutter="0"/>
          <w:cols w:space="720"/>
        </w:sectPr>
      </w:pPr>
    </w:p>
    <w:p w14:paraId="28BD94F1" w14:textId="77777777" w:rsidR="00DB6E1F" w:rsidRDefault="00DB6E1F">
      <w:pPr>
        <w:pStyle w:val="BodyText"/>
        <w:spacing w:before="8"/>
        <w:rPr>
          <w:sz w:val="14"/>
        </w:rPr>
      </w:pPr>
    </w:p>
    <w:p w14:paraId="0C07BC84" w14:textId="77777777" w:rsidR="00DB6E1F" w:rsidRDefault="00F666A6">
      <w:pPr>
        <w:pStyle w:val="BodyText"/>
        <w:spacing w:before="56"/>
        <w:ind w:left="1440" w:right="1491"/>
      </w:pPr>
      <w:r>
        <w:t>important</w:t>
      </w:r>
      <w:r>
        <w:rPr>
          <w:spacing w:val="-4"/>
        </w:rPr>
        <w:t xml:space="preserve"> </w:t>
      </w:r>
      <w:r>
        <w:t>way</w:t>
      </w:r>
      <w:r>
        <w:rPr>
          <w:spacing w:val="-3"/>
        </w:rPr>
        <w:t xml:space="preserve"> </w:t>
      </w:r>
      <w:r>
        <w:t>to</w:t>
      </w:r>
      <w:r>
        <w:rPr>
          <w:spacing w:val="-3"/>
        </w:rPr>
        <w:t xml:space="preserve"> </w:t>
      </w:r>
      <w:r>
        <w:t>help</w:t>
      </w:r>
      <w:r>
        <w:rPr>
          <w:spacing w:val="-2"/>
        </w:rPr>
        <w:t xml:space="preserve"> </w:t>
      </w:r>
      <w:r>
        <w:t>clients</w:t>
      </w:r>
      <w:r>
        <w:rPr>
          <w:spacing w:val="-2"/>
        </w:rPr>
        <w:t xml:space="preserve"> </w:t>
      </w:r>
      <w:r>
        <w:t>throughout</w:t>
      </w:r>
      <w:r>
        <w:rPr>
          <w:spacing w:val="-2"/>
        </w:rPr>
        <w:t xml:space="preserve"> </w:t>
      </w:r>
      <w:r>
        <w:t>the</w:t>
      </w:r>
      <w:r>
        <w:rPr>
          <w:spacing w:val="-4"/>
        </w:rPr>
        <w:t xml:space="preserve"> </w:t>
      </w:r>
      <w:r>
        <w:t>SOC</w:t>
      </w:r>
      <w:r>
        <w:rPr>
          <w:spacing w:val="-2"/>
        </w:rPr>
        <w:t xml:space="preserve"> </w:t>
      </w:r>
      <w:r>
        <w:t>is</w:t>
      </w:r>
      <w:r>
        <w:rPr>
          <w:spacing w:val="-4"/>
        </w:rPr>
        <w:t xml:space="preserve"> </w:t>
      </w:r>
      <w:r>
        <w:t>to</w:t>
      </w:r>
      <w:r>
        <w:rPr>
          <w:spacing w:val="-1"/>
        </w:rPr>
        <w:t xml:space="preserve"> </w:t>
      </w:r>
      <w:r>
        <w:t>continuously</w:t>
      </w:r>
      <w:r>
        <w:rPr>
          <w:spacing w:val="-1"/>
        </w:rPr>
        <w:t xml:space="preserve"> </w:t>
      </w:r>
      <w:r>
        <w:t>assess</w:t>
      </w:r>
      <w:r>
        <w:rPr>
          <w:spacing w:val="-2"/>
        </w:rPr>
        <w:t xml:space="preserve"> </w:t>
      </w:r>
      <w:r>
        <w:t>and</w:t>
      </w:r>
      <w:r>
        <w:rPr>
          <w:spacing w:val="-3"/>
        </w:rPr>
        <w:t xml:space="preserve"> </w:t>
      </w:r>
      <w:r>
        <w:t>reassess</w:t>
      </w:r>
      <w:r>
        <w:rPr>
          <w:spacing w:val="-4"/>
        </w:rPr>
        <w:t xml:space="preserve"> </w:t>
      </w:r>
      <w:r>
        <w:t>which</w:t>
      </w:r>
      <w:r>
        <w:rPr>
          <w:spacing w:val="-3"/>
        </w:rPr>
        <w:t xml:space="preserve"> </w:t>
      </w:r>
      <w:r>
        <w:t>stage they are in the SOC and match your counseling approach accordingly.</w:t>
      </w:r>
    </w:p>
    <w:p w14:paraId="1FD7DB10" w14:textId="77777777" w:rsidR="00DB6E1F" w:rsidRDefault="00DB6E1F">
      <w:pPr>
        <w:sectPr w:rsidR="00DB6E1F">
          <w:pgSz w:w="12240" w:h="15840"/>
          <w:pgMar w:top="1200" w:right="0" w:bottom="780" w:left="0" w:header="763" w:footer="585" w:gutter="0"/>
          <w:cols w:space="720"/>
        </w:sectPr>
      </w:pPr>
    </w:p>
    <w:p w14:paraId="36FBB6C0" w14:textId="77777777" w:rsidR="00DB6E1F" w:rsidRDefault="00DB6E1F">
      <w:pPr>
        <w:pStyle w:val="BodyText"/>
        <w:rPr>
          <w:sz w:val="20"/>
        </w:rPr>
      </w:pPr>
    </w:p>
    <w:p w14:paraId="719EB798" w14:textId="77777777" w:rsidR="00DB6E1F" w:rsidRDefault="00DB6E1F">
      <w:pPr>
        <w:pStyle w:val="BodyText"/>
        <w:rPr>
          <w:sz w:val="20"/>
        </w:rPr>
      </w:pPr>
    </w:p>
    <w:p w14:paraId="70F625DF" w14:textId="77777777" w:rsidR="00DB6E1F" w:rsidRDefault="00DB6E1F">
      <w:pPr>
        <w:pStyle w:val="BodyText"/>
        <w:rPr>
          <w:sz w:val="20"/>
        </w:rPr>
      </w:pPr>
    </w:p>
    <w:p w14:paraId="2E17CC55" w14:textId="77777777" w:rsidR="00DB6E1F" w:rsidRDefault="00DB6E1F">
      <w:pPr>
        <w:pStyle w:val="BodyText"/>
        <w:rPr>
          <w:sz w:val="20"/>
        </w:rPr>
      </w:pPr>
    </w:p>
    <w:p w14:paraId="62069724" w14:textId="77777777" w:rsidR="00DB6E1F" w:rsidRDefault="00DB6E1F">
      <w:pPr>
        <w:pStyle w:val="BodyText"/>
        <w:rPr>
          <w:sz w:val="20"/>
        </w:rPr>
      </w:pPr>
    </w:p>
    <w:p w14:paraId="31E13E1C" w14:textId="77777777" w:rsidR="00DB6E1F" w:rsidRDefault="00DB6E1F">
      <w:pPr>
        <w:pStyle w:val="BodyText"/>
        <w:rPr>
          <w:sz w:val="20"/>
        </w:rPr>
      </w:pPr>
    </w:p>
    <w:p w14:paraId="29187F95" w14:textId="77777777" w:rsidR="00DB6E1F" w:rsidRDefault="00DB6E1F">
      <w:pPr>
        <w:pStyle w:val="BodyText"/>
        <w:rPr>
          <w:sz w:val="20"/>
        </w:rPr>
      </w:pPr>
    </w:p>
    <w:p w14:paraId="2BE32E94" w14:textId="77777777" w:rsidR="00DB6E1F" w:rsidRDefault="00DB6E1F">
      <w:pPr>
        <w:pStyle w:val="BodyText"/>
        <w:rPr>
          <w:sz w:val="20"/>
        </w:rPr>
      </w:pPr>
    </w:p>
    <w:p w14:paraId="457EA720" w14:textId="77777777" w:rsidR="00DB6E1F" w:rsidRDefault="00DB6E1F">
      <w:pPr>
        <w:pStyle w:val="BodyText"/>
        <w:rPr>
          <w:sz w:val="20"/>
        </w:rPr>
      </w:pPr>
    </w:p>
    <w:p w14:paraId="26DE5BC8" w14:textId="77777777" w:rsidR="00DB6E1F" w:rsidRDefault="00DB6E1F">
      <w:pPr>
        <w:pStyle w:val="BodyText"/>
        <w:rPr>
          <w:sz w:val="20"/>
        </w:rPr>
      </w:pPr>
    </w:p>
    <w:p w14:paraId="3B73C360" w14:textId="77777777" w:rsidR="00DB6E1F" w:rsidRDefault="00DB6E1F">
      <w:pPr>
        <w:pStyle w:val="BodyText"/>
        <w:rPr>
          <w:sz w:val="20"/>
        </w:rPr>
      </w:pPr>
    </w:p>
    <w:p w14:paraId="631B0ACC" w14:textId="77777777" w:rsidR="00DB6E1F" w:rsidRDefault="00DB6E1F">
      <w:pPr>
        <w:pStyle w:val="BodyText"/>
        <w:rPr>
          <w:sz w:val="20"/>
        </w:rPr>
      </w:pPr>
    </w:p>
    <w:p w14:paraId="1F7A148B" w14:textId="77777777" w:rsidR="00DB6E1F" w:rsidRDefault="00DB6E1F">
      <w:pPr>
        <w:pStyle w:val="BodyText"/>
        <w:rPr>
          <w:sz w:val="20"/>
        </w:rPr>
      </w:pPr>
    </w:p>
    <w:p w14:paraId="2972E992" w14:textId="77777777" w:rsidR="00DB6E1F" w:rsidRDefault="00DB6E1F">
      <w:pPr>
        <w:pStyle w:val="BodyText"/>
        <w:rPr>
          <w:sz w:val="20"/>
        </w:rPr>
      </w:pPr>
    </w:p>
    <w:p w14:paraId="38774E0C" w14:textId="77777777" w:rsidR="00DB6E1F" w:rsidRDefault="00DB6E1F">
      <w:pPr>
        <w:pStyle w:val="BodyText"/>
        <w:rPr>
          <w:sz w:val="20"/>
        </w:rPr>
      </w:pPr>
    </w:p>
    <w:p w14:paraId="53F9EB30" w14:textId="77777777" w:rsidR="00DB6E1F" w:rsidRDefault="00DB6E1F">
      <w:pPr>
        <w:pStyle w:val="BodyText"/>
        <w:rPr>
          <w:sz w:val="20"/>
        </w:rPr>
      </w:pPr>
    </w:p>
    <w:p w14:paraId="35C07F8F" w14:textId="77777777" w:rsidR="00DB6E1F" w:rsidRDefault="00DB6E1F">
      <w:pPr>
        <w:pStyle w:val="BodyText"/>
        <w:rPr>
          <w:sz w:val="20"/>
        </w:rPr>
      </w:pPr>
    </w:p>
    <w:p w14:paraId="34EA52BD" w14:textId="77777777" w:rsidR="00DB6E1F" w:rsidRDefault="00DB6E1F">
      <w:pPr>
        <w:pStyle w:val="BodyText"/>
        <w:rPr>
          <w:sz w:val="20"/>
        </w:rPr>
      </w:pPr>
    </w:p>
    <w:p w14:paraId="1C74E292" w14:textId="77777777" w:rsidR="00DB6E1F" w:rsidRDefault="00DB6E1F">
      <w:pPr>
        <w:pStyle w:val="BodyText"/>
        <w:rPr>
          <w:sz w:val="20"/>
        </w:rPr>
      </w:pPr>
    </w:p>
    <w:p w14:paraId="4B24C092" w14:textId="77777777" w:rsidR="00DB6E1F" w:rsidRDefault="00DB6E1F">
      <w:pPr>
        <w:pStyle w:val="BodyText"/>
        <w:rPr>
          <w:sz w:val="20"/>
        </w:rPr>
      </w:pPr>
    </w:p>
    <w:p w14:paraId="5BFC9075" w14:textId="77777777" w:rsidR="00DB6E1F" w:rsidRDefault="00DB6E1F">
      <w:pPr>
        <w:pStyle w:val="BodyText"/>
        <w:rPr>
          <w:sz w:val="20"/>
        </w:rPr>
      </w:pPr>
    </w:p>
    <w:p w14:paraId="033EB62B" w14:textId="77777777" w:rsidR="00DB6E1F" w:rsidRDefault="00DB6E1F">
      <w:pPr>
        <w:pStyle w:val="BodyText"/>
        <w:spacing w:before="10"/>
        <w:rPr>
          <w:sz w:val="15"/>
        </w:rPr>
      </w:pPr>
    </w:p>
    <w:p w14:paraId="17DF450C" w14:textId="77777777" w:rsidR="00DB6E1F" w:rsidRDefault="00F666A6">
      <w:pPr>
        <w:pStyle w:val="BodyText"/>
        <w:spacing w:before="56"/>
        <w:ind w:left="1444" w:right="1444"/>
        <w:jc w:val="center"/>
      </w:pPr>
      <w:r>
        <w:t>This</w:t>
      </w:r>
      <w:r>
        <w:rPr>
          <w:spacing w:val="-5"/>
        </w:rPr>
        <w:t xml:space="preserve"> </w:t>
      </w:r>
      <w:r>
        <w:t>page</w:t>
      </w:r>
      <w:r>
        <w:rPr>
          <w:spacing w:val="-4"/>
        </w:rPr>
        <w:t xml:space="preserve"> </w:t>
      </w:r>
      <w:r>
        <w:t>intentionally</w:t>
      </w:r>
      <w:r>
        <w:rPr>
          <w:spacing w:val="-4"/>
        </w:rPr>
        <w:t xml:space="preserve"> </w:t>
      </w:r>
      <w:r>
        <w:t>left</w:t>
      </w:r>
      <w:r>
        <w:rPr>
          <w:spacing w:val="-8"/>
        </w:rPr>
        <w:t xml:space="preserve"> </w:t>
      </w:r>
      <w:r>
        <w:rPr>
          <w:spacing w:val="-2"/>
        </w:rPr>
        <w:t>blank.</w:t>
      </w:r>
    </w:p>
    <w:p w14:paraId="6B68A464" w14:textId="77777777" w:rsidR="00DB6E1F" w:rsidRDefault="00DB6E1F">
      <w:pPr>
        <w:jc w:val="center"/>
        <w:sectPr w:rsidR="00DB6E1F">
          <w:pgSz w:w="12240" w:h="15840"/>
          <w:pgMar w:top="1200" w:right="0" w:bottom="780" w:left="0" w:header="763" w:footer="585" w:gutter="0"/>
          <w:cols w:space="720"/>
        </w:sectPr>
      </w:pPr>
    </w:p>
    <w:p w14:paraId="287788AA" w14:textId="77777777" w:rsidR="00DB6E1F" w:rsidRDefault="00DB6E1F">
      <w:pPr>
        <w:pStyle w:val="BodyText"/>
        <w:spacing w:before="12"/>
        <w:rPr>
          <w:sz w:val="18"/>
        </w:rPr>
      </w:pPr>
    </w:p>
    <w:p w14:paraId="0CC2B0D0" w14:textId="77777777" w:rsidR="00DB6E1F" w:rsidRDefault="00F666A6">
      <w:pPr>
        <w:pStyle w:val="Heading1"/>
        <w:spacing w:line="259" w:lineRule="auto"/>
        <w:ind w:left="2258" w:right="1243" w:firstLine="230"/>
        <w:jc w:val="left"/>
      </w:pPr>
      <w:bookmarkStart w:id="212" w:name="Chapter_8—Integrating_Motivational_Appro"/>
      <w:bookmarkStart w:id="213" w:name="_bookmark45"/>
      <w:bookmarkEnd w:id="212"/>
      <w:bookmarkEnd w:id="213"/>
      <w:r>
        <w:t>Chapter 8—Integrating Motivational Approaches</w:t>
      </w:r>
      <w:r>
        <w:rPr>
          <w:spacing w:val="-8"/>
        </w:rPr>
        <w:t xml:space="preserve"> </w:t>
      </w:r>
      <w:r>
        <w:t>in</w:t>
      </w:r>
      <w:r>
        <w:rPr>
          <w:spacing w:val="-10"/>
        </w:rPr>
        <w:t xml:space="preserve"> </w:t>
      </w:r>
      <w:r>
        <w:t>SUD</w:t>
      </w:r>
      <w:r>
        <w:rPr>
          <w:spacing w:val="-9"/>
        </w:rPr>
        <w:t xml:space="preserve"> </w:t>
      </w:r>
      <w:r>
        <w:t>Treatment</w:t>
      </w:r>
      <w:r>
        <w:rPr>
          <w:spacing w:val="-10"/>
        </w:rPr>
        <w:t xml:space="preserve"> </w:t>
      </w:r>
      <w:r>
        <w:t>Settings</w:t>
      </w:r>
    </w:p>
    <w:p w14:paraId="2405C0E1" w14:textId="77777777" w:rsidR="00DB6E1F" w:rsidRDefault="00DB6E1F">
      <w:pPr>
        <w:pStyle w:val="BodyText"/>
        <w:spacing w:before="5"/>
        <w:rPr>
          <w:b/>
          <w:sz w:val="39"/>
        </w:rPr>
      </w:pPr>
    </w:p>
    <w:p w14:paraId="0BC53CC0" w14:textId="77777777" w:rsidR="00DB6E1F" w:rsidRDefault="00F666A6">
      <w:pPr>
        <w:ind w:left="1440" w:right="1491" w:hanging="1"/>
        <w:rPr>
          <w:sz w:val="20"/>
        </w:rPr>
      </w:pPr>
      <w:r>
        <w:rPr>
          <w:sz w:val="20"/>
        </w:rPr>
        <w:t>“From</w:t>
      </w:r>
      <w:r>
        <w:rPr>
          <w:spacing w:val="-4"/>
          <w:sz w:val="20"/>
        </w:rPr>
        <w:t xml:space="preserve"> </w:t>
      </w:r>
      <w:r>
        <w:rPr>
          <w:sz w:val="20"/>
        </w:rPr>
        <w:t>its</w:t>
      </w:r>
      <w:r>
        <w:rPr>
          <w:spacing w:val="-4"/>
          <w:sz w:val="20"/>
        </w:rPr>
        <w:t xml:space="preserve"> </w:t>
      </w:r>
      <w:r>
        <w:rPr>
          <w:sz w:val="20"/>
        </w:rPr>
        <w:t>inception</w:t>
      </w:r>
      <w:r>
        <w:rPr>
          <w:spacing w:val="-2"/>
          <w:sz w:val="20"/>
        </w:rPr>
        <w:t xml:space="preserve"> </w:t>
      </w:r>
      <w:r>
        <w:rPr>
          <w:sz w:val="20"/>
        </w:rPr>
        <w:t>MI</w:t>
      </w:r>
      <w:r>
        <w:rPr>
          <w:spacing w:val="-3"/>
          <w:sz w:val="20"/>
        </w:rPr>
        <w:t xml:space="preserve"> </w:t>
      </w:r>
      <w:r>
        <w:rPr>
          <w:sz w:val="20"/>
        </w:rPr>
        <w:t>[motivational</w:t>
      </w:r>
      <w:r>
        <w:rPr>
          <w:spacing w:val="-3"/>
          <w:sz w:val="20"/>
        </w:rPr>
        <w:t xml:space="preserve"> </w:t>
      </w:r>
      <w:r>
        <w:rPr>
          <w:sz w:val="20"/>
        </w:rPr>
        <w:t>interviewing]</w:t>
      </w:r>
      <w:r>
        <w:rPr>
          <w:spacing w:val="-5"/>
          <w:sz w:val="20"/>
        </w:rPr>
        <w:t xml:space="preserve"> </w:t>
      </w:r>
      <w:r>
        <w:rPr>
          <w:sz w:val="20"/>
        </w:rPr>
        <w:t>has</w:t>
      </w:r>
      <w:r>
        <w:rPr>
          <w:spacing w:val="-4"/>
          <w:sz w:val="20"/>
        </w:rPr>
        <w:t xml:space="preserve"> </w:t>
      </w:r>
      <w:r>
        <w:rPr>
          <w:sz w:val="20"/>
        </w:rPr>
        <w:t>been</w:t>
      </w:r>
      <w:r>
        <w:rPr>
          <w:spacing w:val="-2"/>
          <w:sz w:val="20"/>
        </w:rPr>
        <w:t xml:space="preserve"> </w:t>
      </w:r>
      <w:r>
        <w:rPr>
          <w:sz w:val="20"/>
        </w:rPr>
        <w:t>organic,</w:t>
      </w:r>
      <w:r>
        <w:rPr>
          <w:spacing w:val="-2"/>
          <w:sz w:val="20"/>
        </w:rPr>
        <w:t xml:space="preserve"> </w:t>
      </w:r>
      <w:r>
        <w:rPr>
          <w:sz w:val="20"/>
        </w:rPr>
        <w:t>emerging,</w:t>
      </w:r>
      <w:r>
        <w:rPr>
          <w:spacing w:val="-2"/>
          <w:sz w:val="20"/>
        </w:rPr>
        <w:t xml:space="preserve"> </w:t>
      </w:r>
      <w:r>
        <w:rPr>
          <w:sz w:val="20"/>
        </w:rPr>
        <w:t>and</w:t>
      </w:r>
      <w:r>
        <w:rPr>
          <w:spacing w:val="-2"/>
          <w:sz w:val="20"/>
        </w:rPr>
        <w:t xml:space="preserve"> </w:t>
      </w:r>
      <w:r>
        <w:rPr>
          <w:sz w:val="20"/>
        </w:rPr>
        <w:t>evolving</w:t>
      </w:r>
      <w:r>
        <w:rPr>
          <w:spacing w:val="-3"/>
          <w:sz w:val="20"/>
        </w:rPr>
        <w:t xml:space="preserve"> </w:t>
      </w:r>
      <w:r>
        <w:rPr>
          <w:sz w:val="20"/>
        </w:rPr>
        <w:t>through</w:t>
      </w:r>
      <w:r>
        <w:rPr>
          <w:spacing w:val="-2"/>
          <w:sz w:val="20"/>
        </w:rPr>
        <w:t xml:space="preserve"> </w:t>
      </w:r>
      <w:r>
        <w:rPr>
          <w:sz w:val="20"/>
        </w:rPr>
        <w:t>collaborative processes….Our decision was to focus on promoting quality in MI pract</w:t>
      </w:r>
      <w:r>
        <w:rPr>
          <w:sz w:val="20"/>
        </w:rPr>
        <w:t>ice and training….”</w:t>
      </w:r>
    </w:p>
    <w:p w14:paraId="28B85064" w14:textId="77777777" w:rsidR="00DB6E1F" w:rsidRDefault="00F666A6">
      <w:pPr>
        <w:pStyle w:val="BodyText"/>
        <w:spacing w:before="115"/>
        <w:ind w:left="4778"/>
      </w:pPr>
      <w:r>
        <w:t>Miller</w:t>
      </w:r>
      <w:r>
        <w:rPr>
          <w:spacing w:val="-5"/>
        </w:rPr>
        <w:t xml:space="preserve"> </w:t>
      </w:r>
      <w:r>
        <w:t>&amp;</w:t>
      </w:r>
      <w:r>
        <w:rPr>
          <w:spacing w:val="-2"/>
        </w:rPr>
        <w:t xml:space="preserve"> </w:t>
      </w:r>
      <w:r>
        <w:t>Rollnick,</w:t>
      </w:r>
      <w:r>
        <w:rPr>
          <w:spacing w:val="-5"/>
        </w:rPr>
        <w:t xml:space="preserve"> </w:t>
      </w:r>
      <w:r>
        <w:t>2013,</w:t>
      </w:r>
      <w:r>
        <w:rPr>
          <w:spacing w:val="-3"/>
        </w:rPr>
        <w:t xml:space="preserve"> </w:t>
      </w:r>
      <w:r>
        <w:t>p.</w:t>
      </w:r>
      <w:r>
        <w:rPr>
          <w:spacing w:val="-5"/>
        </w:rPr>
        <w:t xml:space="preserve"> 377</w:t>
      </w:r>
    </w:p>
    <w:p w14:paraId="41F0E079" w14:textId="77777777" w:rsidR="00DB6E1F" w:rsidRDefault="00DB6E1F">
      <w:pPr>
        <w:pStyle w:val="BodyText"/>
        <w:spacing w:before="2"/>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046C1ED" w14:textId="77777777">
        <w:trPr>
          <w:trHeight w:val="2101"/>
        </w:trPr>
        <w:tc>
          <w:tcPr>
            <w:tcW w:w="9350" w:type="dxa"/>
            <w:shd w:val="clear" w:color="auto" w:fill="E7E6E6"/>
          </w:tcPr>
          <w:p w14:paraId="50E05B1F" w14:textId="77777777" w:rsidR="00DB6E1F" w:rsidRDefault="00F666A6">
            <w:pPr>
              <w:pStyle w:val="TableParagraph"/>
              <w:spacing w:before="121"/>
              <w:ind w:left="4094"/>
              <w:rPr>
                <w:b/>
                <w:sz w:val="20"/>
              </w:rPr>
            </w:pPr>
            <w:r>
              <w:rPr>
                <w:b/>
                <w:sz w:val="20"/>
              </w:rPr>
              <w:t>Key</w:t>
            </w:r>
            <w:r>
              <w:rPr>
                <w:b/>
                <w:spacing w:val="-6"/>
                <w:sz w:val="20"/>
              </w:rPr>
              <w:t xml:space="preserve"> </w:t>
            </w:r>
            <w:r>
              <w:rPr>
                <w:b/>
                <w:spacing w:val="-2"/>
                <w:sz w:val="20"/>
              </w:rPr>
              <w:t>Messages</w:t>
            </w:r>
          </w:p>
          <w:p w14:paraId="4A1493F2" w14:textId="77777777" w:rsidR="00DB6E1F" w:rsidRDefault="00F666A6">
            <w:pPr>
              <w:pStyle w:val="TableParagraph"/>
              <w:numPr>
                <w:ilvl w:val="0"/>
                <w:numId w:val="39"/>
              </w:numPr>
              <w:tabs>
                <w:tab w:val="left" w:pos="467"/>
                <w:tab w:val="left" w:pos="468"/>
              </w:tabs>
              <w:spacing w:before="120"/>
              <w:ind w:right="688"/>
              <w:rPr>
                <w:sz w:val="20"/>
              </w:rPr>
            </w:pPr>
            <w:r>
              <w:rPr>
                <w:sz w:val="20"/>
              </w:rPr>
              <w:t>Motivational</w:t>
            </w:r>
            <w:r>
              <w:rPr>
                <w:spacing w:val="-4"/>
                <w:sz w:val="20"/>
              </w:rPr>
              <w:t xml:space="preserve"> </w:t>
            </w:r>
            <w:r>
              <w:rPr>
                <w:sz w:val="20"/>
              </w:rPr>
              <w:t>counseling</w:t>
            </w:r>
            <w:r>
              <w:rPr>
                <w:spacing w:val="-4"/>
                <w:sz w:val="20"/>
              </w:rPr>
              <w:t xml:space="preserve"> </w:t>
            </w:r>
            <w:r>
              <w:rPr>
                <w:sz w:val="20"/>
              </w:rPr>
              <w:t>approaches</w:t>
            </w:r>
            <w:r>
              <w:rPr>
                <w:spacing w:val="-5"/>
                <w:sz w:val="20"/>
              </w:rPr>
              <w:t xml:space="preserve"> </w:t>
            </w:r>
            <w:r>
              <w:rPr>
                <w:sz w:val="20"/>
              </w:rPr>
              <w:t>have</w:t>
            </w:r>
            <w:r>
              <w:rPr>
                <w:spacing w:val="-5"/>
                <w:sz w:val="20"/>
              </w:rPr>
              <w:t xml:space="preserve"> </w:t>
            </w:r>
            <w:r>
              <w:rPr>
                <w:sz w:val="20"/>
              </w:rPr>
              <w:t>been</w:t>
            </w:r>
            <w:r>
              <w:rPr>
                <w:spacing w:val="-3"/>
                <w:sz w:val="20"/>
              </w:rPr>
              <w:t xml:space="preserve"> </w:t>
            </w:r>
            <w:r>
              <w:rPr>
                <w:sz w:val="20"/>
              </w:rPr>
              <w:t>widely</w:t>
            </w:r>
            <w:r>
              <w:rPr>
                <w:spacing w:val="-3"/>
                <w:sz w:val="20"/>
              </w:rPr>
              <w:t xml:space="preserve"> </w:t>
            </w:r>
            <w:r>
              <w:rPr>
                <w:sz w:val="20"/>
              </w:rPr>
              <w:t>disseminated</w:t>
            </w:r>
            <w:r>
              <w:rPr>
                <w:spacing w:val="-3"/>
                <w:sz w:val="20"/>
              </w:rPr>
              <w:t xml:space="preserve"> </w:t>
            </w:r>
            <w:r>
              <w:rPr>
                <w:sz w:val="20"/>
              </w:rPr>
              <w:t>to</w:t>
            </w:r>
            <w:r>
              <w:rPr>
                <w:spacing w:val="-4"/>
                <w:sz w:val="20"/>
              </w:rPr>
              <w:t xml:space="preserve"> </w:t>
            </w:r>
            <w:r>
              <w:rPr>
                <w:sz w:val="20"/>
              </w:rPr>
              <w:t>substance</w:t>
            </w:r>
            <w:r>
              <w:rPr>
                <w:spacing w:val="-5"/>
                <w:sz w:val="20"/>
              </w:rPr>
              <w:t xml:space="preserve"> </w:t>
            </w:r>
            <w:r>
              <w:rPr>
                <w:sz w:val="20"/>
              </w:rPr>
              <w:t>use</w:t>
            </w:r>
            <w:r>
              <w:rPr>
                <w:spacing w:val="-5"/>
                <w:sz w:val="20"/>
              </w:rPr>
              <w:t xml:space="preserve"> </w:t>
            </w:r>
            <w:r>
              <w:rPr>
                <w:sz w:val="20"/>
              </w:rPr>
              <w:t>disorder</w:t>
            </w:r>
            <w:r>
              <w:rPr>
                <w:spacing w:val="-4"/>
                <w:sz w:val="20"/>
              </w:rPr>
              <w:t xml:space="preserve"> </w:t>
            </w:r>
            <w:r>
              <w:rPr>
                <w:sz w:val="20"/>
              </w:rPr>
              <w:t>(SUD) treatment programs.</w:t>
            </w:r>
          </w:p>
          <w:p w14:paraId="127C8308" w14:textId="77777777" w:rsidR="00DB6E1F" w:rsidRDefault="00F666A6">
            <w:pPr>
              <w:pStyle w:val="TableParagraph"/>
              <w:numPr>
                <w:ilvl w:val="0"/>
                <w:numId w:val="39"/>
              </w:numPr>
              <w:tabs>
                <w:tab w:val="left" w:pos="467"/>
                <w:tab w:val="left" w:pos="468"/>
              </w:tabs>
              <w:spacing w:before="38"/>
              <w:ind w:right="158"/>
              <w:rPr>
                <w:sz w:val="20"/>
              </w:rPr>
            </w:pPr>
            <w:r>
              <w:rPr>
                <w:sz w:val="20"/>
              </w:rPr>
              <w:t>Adaptations</w:t>
            </w:r>
            <w:r>
              <w:rPr>
                <w:spacing w:val="-4"/>
                <w:sz w:val="20"/>
              </w:rPr>
              <w:t xml:space="preserve"> </w:t>
            </w:r>
            <w:r>
              <w:rPr>
                <w:sz w:val="20"/>
              </w:rPr>
              <w:t>of</w:t>
            </w:r>
            <w:r>
              <w:rPr>
                <w:spacing w:val="-4"/>
                <w:sz w:val="20"/>
              </w:rPr>
              <w:t xml:space="preserve"> </w:t>
            </w:r>
            <w:r>
              <w:rPr>
                <w:sz w:val="20"/>
              </w:rPr>
              <w:t>MI</w:t>
            </w:r>
            <w:r>
              <w:rPr>
                <w:spacing w:val="-3"/>
                <w:sz w:val="20"/>
              </w:rPr>
              <w:t xml:space="preserve"> </w:t>
            </w:r>
            <w:r>
              <w:rPr>
                <w:sz w:val="20"/>
              </w:rPr>
              <w:t>in</w:t>
            </w:r>
            <w:r>
              <w:rPr>
                <w:spacing w:val="-2"/>
                <w:sz w:val="20"/>
              </w:rPr>
              <w:t xml:space="preserve"> </w:t>
            </w:r>
            <w:r>
              <w:rPr>
                <w:sz w:val="20"/>
              </w:rPr>
              <w:t>group</w:t>
            </w:r>
            <w:r>
              <w:rPr>
                <w:spacing w:val="-2"/>
                <w:sz w:val="20"/>
              </w:rPr>
              <w:t xml:space="preserve"> </w:t>
            </w:r>
            <w:r>
              <w:rPr>
                <w:sz w:val="20"/>
              </w:rPr>
              <w:t>counseling,</w:t>
            </w:r>
            <w:r>
              <w:rPr>
                <w:spacing w:val="-2"/>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technology,</w:t>
            </w:r>
            <w:r>
              <w:rPr>
                <w:spacing w:val="-2"/>
                <w:sz w:val="20"/>
              </w:rPr>
              <w:t xml:space="preserve"> </w:t>
            </w:r>
            <w:r>
              <w:rPr>
                <w:sz w:val="20"/>
              </w:rPr>
              <w:t>and</w:t>
            </w:r>
            <w:r>
              <w:rPr>
                <w:spacing w:val="-4"/>
                <w:sz w:val="20"/>
              </w:rPr>
              <w:t xml:space="preserve"> </w:t>
            </w:r>
            <w:r>
              <w:rPr>
                <w:sz w:val="20"/>
              </w:rPr>
              <w:t>blended</w:t>
            </w:r>
            <w:r>
              <w:rPr>
                <w:spacing w:val="-2"/>
                <w:sz w:val="20"/>
              </w:rPr>
              <w:t xml:space="preserve"> </w:t>
            </w:r>
            <w:r>
              <w:rPr>
                <w:sz w:val="20"/>
              </w:rPr>
              <w:t>counseling</w:t>
            </w:r>
            <w:r>
              <w:rPr>
                <w:spacing w:val="-3"/>
                <w:sz w:val="20"/>
              </w:rPr>
              <w:t xml:space="preserve"> </w:t>
            </w:r>
            <w:r>
              <w:rPr>
                <w:sz w:val="20"/>
              </w:rPr>
              <w:t>approaches</w:t>
            </w:r>
            <w:r>
              <w:rPr>
                <w:spacing w:val="-4"/>
                <w:sz w:val="20"/>
              </w:rPr>
              <w:t xml:space="preserve"> </w:t>
            </w:r>
            <w:r>
              <w:rPr>
                <w:sz w:val="20"/>
              </w:rPr>
              <w:t>enhance the implementation and integration of motivational interventions into standard treatment methods.</w:t>
            </w:r>
          </w:p>
          <w:p w14:paraId="4DBB94C2" w14:textId="77777777" w:rsidR="00DB6E1F" w:rsidRDefault="00F666A6">
            <w:pPr>
              <w:pStyle w:val="TableParagraph"/>
              <w:numPr>
                <w:ilvl w:val="0"/>
                <w:numId w:val="39"/>
              </w:numPr>
              <w:tabs>
                <w:tab w:val="left" w:pos="467"/>
                <w:tab w:val="left" w:pos="468"/>
              </w:tabs>
              <w:spacing w:before="41"/>
              <w:ind w:right="188"/>
              <w:rPr>
                <w:sz w:val="20"/>
              </w:rPr>
            </w:pPr>
            <w:r>
              <w:rPr>
                <w:sz w:val="20"/>
              </w:rPr>
              <w:t>Training</w:t>
            </w:r>
            <w:r>
              <w:rPr>
                <w:spacing w:val="-3"/>
                <w:sz w:val="20"/>
              </w:rPr>
              <w:t xml:space="preserve"> </w:t>
            </w:r>
            <w:r>
              <w:rPr>
                <w:sz w:val="20"/>
              </w:rPr>
              <w:t>and</w:t>
            </w:r>
            <w:r>
              <w:rPr>
                <w:spacing w:val="-2"/>
                <w:sz w:val="20"/>
              </w:rPr>
              <w:t xml:space="preserve"> </w:t>
            </w:r>
            <w:r>
              <w:rPr>
                <w:sz w:val="20"/>
              </w:rPr>
              <w:t>ongoing</w:t>
            </w:r>
            <w:r>
              <w:rPr>
                <w:spacing w:val="-3"/>
                <w:sz w:val="20"/>
              </w:rPr>
              <w:t xml:space="preserve"> </w:t>
            </w:r>
            <w:r>
              <w:rPr>
                <w:sz w:val="20"/>
              </w:rPr>
              <w:t>supervision</w:t>
            </w:r>
            <w:r>
              <w:rPr>
                <w:spacing w:val="-2"/>
                <w:sz w:val="20"/>
              </w:rPr>
              <w:t xml:space="preserve"> </w:t>
            </w:r>
            <w:r>
              <w:rPr>
                <w:sz w:val="20"/>
              </w:rPr>
              <w:t>of</w:t>
            </w:r>
            <w:r>
              <w:rPr>
                <w:spacing w:val="-4"/>
                <w:sz w:val="20"/>
              </w:rPr>
              <w:t xml:space="preserve"> </w:t>
            </w:r>
            <w:r>
              <w:rPr>
                <w:sz w:val="20"/>
              </w:rPr>
              <w:t>counselors</w:t>
            </w:r>
            <w:r>
              <w:rPr>
                <w:spacing w:val="-4"/>
                <w:sz w:val="20"/>
              </w:rPr>
              <w:t xml:space="preserve"> </w:t>
            </w:r>
            <w:r>
              <w:rPr>
                <w:sz w:val="20"/>
              </w:rPr>
              <w:t>are</w:t>
            </w:r>
            <w:r>
              <w:rPr>
                <w:spacing w:val="-4"/>
                <w:sz w:val="20"/>
              </w:rPr>
              <w:t xml:space="preserve"> </w:t>
            </w:r>
            <w:r>
              <w:rPr>
                <w:sz w:val="20"/>
              </w:rPr>
              <w:t>essential</w:t>
            </w:r>
            <w:r>
              <w:rPr>
                <w:spacing w:val="-3"/>
                <w:sz w:val="20"/>
              </w:rPr>
              <w:t xml:space="preserve"> </w:t>
            </w:r>
            <w:r>
              <w:rPr>
                <w:sz w:val="20"/>
              </w:rPr>
              <w:t>for</w:t>
            </w:r>
            <w:r>
              <w:rPr>
                <w:spacing w:val="-3"/>
                <w:sz w:val="20"/>
              </w:rPr>
              <w:t xml:space="preserve"> </w:t>
            </w:r>
            <w:r>
              <w:rPr>
                <w:sz w:val="20"/>
              </w:rPr>
              <w:t>workforce</w:t>
            </w:r>
            <w:r>
              <w:rPr>
                <w:spacing w:val="-4"/>
                <w:sz w:val="20"/>
              </w:rPr>
              <w:t xml:space="preserve"> </w:t>
            </w:r>
            <w:r>
              <w:rPr>
                <w:sz w:val="20"/>
              </w:rPr>
              <w:t>development</w:t>
            </w:r>
            <w:r>
              <w:rPr>
                <w:spacing w:val="-3"/>
                <w:sz w:val="20"/>
              </w:rPr>
              <w:t xml:space="preserve"> </w:t>
            </w:r>
            <w:r>
              <w:rPr>
                <w:sz w:val="20"/>
              </w:rPr>
              <w:t>and</w:t>
            </w:r>
            <w:r>
              <w:rPr>
                <w:spacing w:val="-2"/>
                <w:sz w:val="20"/>
              </w:rPr>
              <w:t xml:space="preserve"> </w:t>
            </w:r>
            <w:r>
              <w:rPr>
                <w:sz w:val="20"/>
              </w:rPr>
              <w:t>integration</w:t>
            </w:r>
            <w:r>
              <w:rPr>
                <w:spacing w:val="-2"/>
                <w:sz w:val="20"/>
              </w:rPr>
              <w:t xml:space="preserve"> </w:t>
            </w:r>
            <w:r>
              <w:rPr>
                <w:sz w:val="20"/>
              </w:rPr>
              <w:t>of motivational counseling approaches into SUD treatment.</w:t>
            </w:r>
          </w:p>
        </w:tc>
      </w:tr>
    </w:tbl>
    <w:p w14:paraId="258A66B5" w14:textId="77777777" w:rsidR="00DB6E1F" w:rsidRDefault="00F666A6">
      <w:pPr>
        <w:pStyle w:val="BodyText"/>
        <w:spacing w:before="158"/>
        <w:ind w:left="1439" w:right="1491"/>
      </w:pPr>
      <w:r>
        <w:t>Chapter</w:t>
      </w:r>
      <w:r>
        <w:rPr>
          <w:spacing w:val="-1"/>
        </w:rPr>
        <w:t xml:space="preserve"> </w:t>
      </w:r>
      <w:r>
        <w:t>8</w:t>
      </w:r>
      <w:r>
        <w:rPr>
          <w:spacing w:val="-2"/>
        </w:rPr>
        <w:t xml:space="preserve"> </w:t>
      </w:r>
      <w:r>
        <w:t>discusses</w:t>
      </w:r>
      <w:r>
        <w:rPr>
          <w:spacing w:val="-1"/>
        </w:rPr>
        <w:t xml:space="preserve"> </w:t>
      </w:r>
      <w:r>
        <w:t>adaptations</w:t>
      </w:r>
      <w:r>
        <w:rPr>
          <w:spacing w:val="-1"/>
        </w:rPr>
        <w:t xml:space="preserve"> </w:t>
      </w:r>
      <w:r>
        <w:t>for</w:t>
      </w:r>
      <w:r>
        <w:rPr>
          <w:spacing w:val="-1"/>
        </w:rPr>
        <w:t xml:space="preserve"> </w:t>
      </w:r>
      <w:r>
        <w:t>using</w:t>
      </w:r>
      <w:r>
        <w:rPr>
          <w:spacing w:val="-4"/>
        </w:rPr>
        <w:t xml:space="preserve"> </w:t>
      </w:r>
      <w:r>
        <w:t>motivational</w:t>
      </w:r>
      <w:r>
        <w:rPr>
          <w:spacing w:val="-4"/>
        </w:rPr>
        <w:t xml:space="preserve"> </w:t>
      </w:r>
      <w:r>
        <w:t>counseling</w:t>
      </w:r>
      <w:r>
        <w:rPr>
          <w:spacing w:val="-2"/>
        </w:rPr>
        <w:t xml:space="preserve"> </w:t>
      </w:r>
      <w:r>
        <w:t>approaches</w:t>
      </w:r>
      <w:r>
        <w:rPr>
          <w:spacing w:val="-3"/>
        </w:rPr>
        <w:t xml:space="preserve"> </w:t>
      </w:r>
      <w:r>
        <w:t>in</w:t>
      </w:r>
      <w:r>
        <w:rPr>
          <w:spacing w:val="-4"/>
        </w:rPr>
        <w:t xml:space="preserve"> </w:t>
      </w:r>
      <w:r>
        <w:t>group</w:t>
      </w:r>
      <w:r>
        <w:rPr>
          <w:spacing w:val="-2"/>
        </w:rPr>
        <w:t xml:space="preserve"> </w:t>
      </w:r>
      <w:r>
        <w:t>counseling,</w:t>
      </w:r>
      <w:r>
        <w:rPr>
          <w:spacing w:val="-1"/>
        </w:rPr>
        <w:t xml:space="preserve"> </w:t>
      </w:r>
      <w:r>
        <w:t>with technology, and in blended counseling approaches that are applicable to SUD treatment programs. It also</w:t>
      </w:r>
      <w:r>
        <w:rPr>
          <w:spacing w:val="-2"/>
        </w:rPr>
        <w:t xml:space="preserve"> </w:t>
      </w:r>
      <w:r>
        <w:t>addresses</w:t>
      </w:r>
      <w:r>
        <w:rPr>
          <w:spacing w:val="-5"/>
        </w:rPr>
        <w:t xml:space="preserve"> </w:t>
      </w:r>
      <w:r>
        <w:t>workforce</w:t>
      </w:r>
      <w:r>
        <w:rPr>
          <w:spacing w:val="-5"/>
        </w:rPr>
        <w:t xml:space="preserve"> </w:t>
      </w:r>
      <w:r>
        <w:t>development</w:t>
      </w:r>
      <w:r>
        <w:rPr>
          <w:spacing w:val="-2"/>
        </w:rPr>
        <w:t xml:space="preserve"> </w:t>
      </w:r>
      <w:r>
        <w:t>issues</w:t>
      </w:r>
      <w:r>
        <w:rPr>
          <w:spacing w:val="-5"/>
        </w:rPr>
        <w:t xml:space="preserve"> </w:t>
      </w:r>
      <w:r>
        <w:t>that</w:t>
      </w:r>
      <w:r>
        <w:rPr>
          <w:spacing w:val="-2"/>
        </w:rPr>
        <w:t xml:space="preserve"> </w:t>
      </w:r>
      <w:r>
        <w:t>treatment</w:t>
      </w:r>
      <w:r>
        <w:rPr>
          <w:spacing w:val="-2"/>
        </w:rPr>
        <w:t xml:space="preserve"> </w:t>
      </w:r>
      <w:r>
        <w:t>programs</w:t>
      </w:r>
      <w:r>
        <w:rPr>
          <w:spacing w:val="-5"/>
        </w:rPr>
        <w:t xml:space="preserve"> </w:t>
      </w:r>
      <w:r>
        <w:t>may</w:t>
      </w:r>
      <w:r>
        <w:rPr>
          <w:spacing w:val="-2"/>
        </w:rPr>
        <w:t xml:space="preserve"> </w:t>
      </w:r>
      <w:r>
        <w:t>face</w:t>
      </w:r>
      <w:r>
        <w:rPr>
          <w:spacing w:val="-5"/>
        </w:rPr>
        <w:t xml:space="preserve"> </w:t>
      </w:r>
      <w:r>
        <w:t>in</w:t>
      </w:r>
      <w:r>
        <w:rPr>
          <w:spacing w:val="-4"/>
        </w:rPr>
        <w:t xml:space="preserve"> </w:t>
      </w:r>
      <w:r>
        <w:t>fully</w:t>
      </w:r>
      <w:r>
        <w:rPr>
          <w:spacing w:val="-2"/>
        </w:rPr>
        <w:t xml:space="preserve"> </w:t>
      </w:r>
      <w:r>
        <w:t>integrating</w:t>
      </w:r>
      <w:r>
        <w:rPr>
          <w:spacing w:val="-3"/>
        </w:rPr>
        <w:t xml:space="preserve"> </w:t>
      </w:r>
      <w:r>
        <w:t>and sustaining motivational counseling approaches.</w:t>
      </w:r>
    </w:p>
    <w:p w14:paraId="4992FDC7" w14:textId="77777777" w:rsidR="00DB6E1F" w:rsidRDefault="00F666A6">
      <w:pPr>
        <w:pStyle w:val="BodyText"/>
        <w:spacing w:before="159"/>
        <w:ind w:left="1438" w:right="1458"/>
      </w:pPr>
      <w:r>
        <w:t>Ove</w:t>
      </w:r>
      <w:r>
        <w:t>r the past three decades, MI and motivational counseling approaches have been widely and successfully disseminated across the United States and internationally to specialty SUD treatment programs (Hall, Staiger, Simpson, Best, &amp; Lubman, 2015). Research sup</w:t>
      </w:r>
      <w:r>
        <w:t>ports the integration of motivational counseling strategies into treatment as a prelude to ongoing treatment to increase client retention and enhance participation in treatment. Motivational counseling can increase adherence to treatment medication and beh</w:t>
      </w:r>
      <w:r>
        <w:t>avioral change plans and makes achievement and maintenance of</w:t>
      </w:r>
      <w:r>
        <w:rPr>
          <w:spacing w:val="40"/>
        </w:rPr>
        <w:t xml:space="preserve"> </w:t>
      </w:r>
      <w:r>
        <w:t>positive substance use behavior outcomes more likely (Miller &amp; Rollnick, 2013). Depending on the SUD treatment</w:t>
      </w:r>
      <w:r>
        <w:rPr>
          <w:spacing w:val="-5"/>
        </w:rPr>
        <w:t xml:space="preserve"> </w:t>
      </w:r>
      <w:r>
        <w:t>setting,</w:t>
      </w:r>
      <w:r>
        <w:rPr>
          <w:spacing w:val="-3"/>
        </w:rPr>
        <w:t xml:space="preserve"> </w:t>
      </w:r>
      <w:r>
        <w:t>different</w:t>
      </w:r>
      <w:r>
        <w:rPr>
          <w:spacing w:val="-2"/>
        </w:rPr>
        <w:t xml:space="preserve"> </w:t>
      </w:r>
      <w:r>
        <w:t>adaptions</w:t>
      </w:r>
      <w:r>
        <w:rPr>
          <w:spacing w:val="-5"/>
        </w:rPr>
        <w:t xml:space="preserve"> </w:t>
      </w:r>
      <w:r>
        <w:t>of</w:t>
      </w:r>
      <w:r>
        <w:rPr>
          <w:spacing w:val="-6"/>
        </w:rPr>
        <w:t xml:space="preserve"> </w:t>
      </w:r>
      <w:r>
        <w:t>motivational</w:t>
      </w:r>
      <w:r>
        <w:rPr>
          <w:spacing w:val="-6"/>
        </w:rPr>
        <w:t xml:space="preserve"> </w:t>
      </w:r>
      <w:r>
        <w:t>interventions</w:t>
      </w:r>
      <w:r>
        <w:rPr>
          <w:spacing w:val="-3"/>
        </w:rPr>
        <w:t xml:space="preserve"> </w:t>
      </w:r>
      <w:r>
        <w:t>(e.g.,</w:t>
      </w:r>
      <w:r>
        <w:rPr>
          <w:spacing w:val="-3"/>
        </w:rPr>
        <w:t xml:space="preserve"> </w:t>
      </w:r>
      <w:r>
        <w:t>individual</w:t>
      </w:r>
      <w:r>
        <w:rPr>
          <w:spacing w:val="-3"/>
        </w:rPr>
        <w:t xml:space="preserve"> </w:t>
      </w:r>
      <w:r>
        <w:t>or</w:t>
      </w:r>
      <w:r>
        <w:rPr>
          <w:spacing w:val="-3"/>
        </w:rPr>
        <w:t xml:space="preserve"> </w:t>
      </w:r>
      <w:r>
        <w:t>gro</w:t>
      </w:r>
      <w:r>
        <w:t>up</w:t>
      </w:r>
      <w:r>
        <w:rPr>
          <w:spacing w:val="-4"/>
        </w:rPr>
        <w:t xml:space="preserve"> </w:t>
      </w:r>
      <w:r>
        <w:t>counseling, blended with other counseling approaches) may be effective both clinically and programmatically.</w:t>
      </w:r>
    </w:p>
    <w:p w14:paraId="271E94D6" w14:textId="77777777" w:rsidR="00DB6E1F" w:rsidRDefault="00F666A6">
      <w:pPr>
        <w:pStyle w:val="BodyText"/>
        <w:spacing w:before="160"/>
        <w:ind w:left="1438" w:right="1528"/>
      </w:pPr>
      <w:r>
        <w:t>Integrating</w:t>
      </w:r>
      <w:r>
        <w:rPr>
          <w:spacing w:val="-4"/>
        </w:rPr>
        <w:t xml:space="preserve"> </w:t>
      </w:r>
      <w:r>
        <w:t>motivational</w:t>
      </w:r>
      <w:r>
        <w:rPr>
          <w:spacing w:val="-3"/>
        </w:rPr>
        <w:t xml:space="preserve"> </w:t>
      </w:r>
      <w:r>
        <w:t>counseling</w:t>
      </w:r>
      <w:r>
        <w:rPr>
          <w:spacing w:val="-4"/>
        </w:rPr>
        <w:t xml:space="preserve"> </w:t>
      </w:r>
      <w:r>
        <w:t>approaches</w:t>
      </w:r>
      <w:r>
        <w:rPr>
          <w:spacing w:val="-5"/>
        </w:rPr>
        <w:t xml:space="preserve"> </w:t>
      </w:r>
      <w:r>
        <w:t>into</w:t>
      </w:r>
      <w:r>
        <w:rPr>
          <w:spacing w:val="-4"/>
        </w:rPr>
        <w:t xml:space="preserve"> </w:t>
      </w:r>
      <w:r>
        <w:t>a</w:t>
      </w:r>
      <w:r>
        <w:rPr>
          <w:spacing w:val="-5"/>
        </w:rPr>
        <w:t xml:space="preserve"> </w:t>
      </w:r>
      <w:r>
        <w:t>treatment</w:t>
      </w:r>
      <w:r>
        <w:rPr>
          <w:spacing w:val="-5"/>
        </w:rPr>
        <w:t xml:space="preserve"> </w:t>
      </w:r>
      <w:r>
        <w:t>program</w:t>
      </w:r>
      <w:r>
        <w:rPr>
          <w:spacing w:val="-2"/>
        </w:rPr>
        <w:t xml:space="preserve"> </w:t>
      </w:r>
      <w:r>
        <w:t>requires</w:t>
      </w:r>
      <w:r>
        <w:rPr>
          <w:spacing w:val="-3"/>
        </w:rPr>
        <w:t xml:space="preserve"> </w:t>
      </w:r>
      <w:r>
        <w:t>more</w:t>
      </w:r>
      <w:r>
        <w:rPr>
          <w:spacing w:val="-5"/>
        </w:rPr>
        <w:t xml:space="preserve"> </w:t>
      </w:r>
      <w:r>
        <w:t>than</w:t>
      </w:r>
      <w:r>
        <w:rPr>
          <w:spacing w:val="-4"/>
        </w:rPr>
        <w:t xml:space="preserve"> </w:t>
      </w:r>
      <w:r>
        <w:t>providing counseling staff with a few workshops on MI. It requires broad integration of the philosophy and underlying spirit of MI throughout the organization. Just as a counselor using a motivational approach works in partnership with clients to help them</w:t>
      </w:r>
      <w:r>
        <w:t xml:space="preserve"> move through the Stages of Change (SOC) to achieve long-term behavioral change, organizations wishing to integrate a motivational counseling approach should work in partnership with staff to implement program changes. Organizations also go through a proce</w:t>
      </w:r>
      <w:r>
        <w:t>ss of change until the treatment approach becomes a new “lifestyle.”</w:t>
      </w:r>
    </w:p>
    <w:p w14:paraId="5B408B8A" w14:textId="77777777" w:rsidR="00DB6E1F" w:rsidRDefault="00F666A6">
      <w:pPr>
        <w:pStyle w:val="Heading2"/>
        <w:spacing w:before="165"/>
      </w:pPr>
      <w:bookmarkStart w:id="214" w:name="Adaptations_of_Motivational_Counseling_A"/>
      <w:bookmarkStart w:id="215" w:name="_bookmark46"/>
      <w:bookmarkEnd w:id="214"/>
      <w:bookmarkEnd w:id="215"/>
      <w:r>
        <w:t>Adaptations</w:t>
      </w:r>
      <w:r>
        <w:rPr>
          <w:spacing w:val="-6"/>
        </w:rPr>
        <w:t xml:space="preserve"> </w:t>
      </w:r>
      <w:r>
        <w:t>of</w:t>
      </w:r>
      <w:r>
        <w:rPr>
          <w:spacing w:val="-2"/>
        </w:rPr>
        <w:t xml:space="preserve"> </w:t>
      </w:r>
      <w:r>
        <w:t>Motivational</w:t>
      </w:r>
      <w:r>
        <w:rPr>
          <w:spacing w:val="-3"/>
        </w:rPr>
        <w:t xml:space="preserve"> </w:t>
      </w:r>
      <w:r>
        <w:t>Counseling</w:t>
      </w:r>
      <w:r>
        <w:rPr>
          <w:spacing w:val="-4"/>
        </w:rPr>
        <w:t xml:space="preserve"> </w:t>
      </w:r>
      <w:r>
        <w:rPr>
          <w:spacing w:val="-2"/>
        </w:rPr>
        <w:t>Approaches</w:t>
      </w:r>
    </w:p>
    <w:p w14:paraId="56361701" w14:textId="77777777" w:rsidR="00DB6E1F" w:rsidRDefault="00F666A6">
      <w:pPr>
        <w:pStyle w:val="BodyText"/>
        <w:spacing w:before="152"/>
        <w:ind w:left="1439" w:right="1491"/>
      </w:pPr>
      <w:r>
        <w:t>The most common delivery of motivational counseling approaches has been through brief or ongoing individual counseling. For example, MI i</w:t>
      </w:r>
      <w:r>
        <w:t>n SUD treatment was specifically developed as a counseling approach</w:t>
      </w:r>
      <w:r>
        <w:rPr>
          <w:spacing w:val="-3"/>
        </w:rPr>
        <w:t xml:space="preserve"> </w:t>
      </w:r>
      <w:r>
        <w:t>to</w:t>
      </w:r>
      <w:r>
        <w:rPr>
          <w:spacing w:val="-1"/>
        </w:rPr>
        <w:t xml:space="preserve"> </w:t>
      </w:r>
      <w:r>
        <w:t>be</w:t>
      </w:r>
      <w:r>
        <w:rPr>
          <w:spacing w:val="-4"/>
        </w:rPr>
        <w:t xml:space="preserve"> </w:t>
      </w:r>
      <w:r>
        <w:t>delivered</w:t>
      </w:r>
      <w:r>
        <w:rPr>
          <w:spacing w:val="-3"/>
        </w:rPr>
        <w:t xml:space="preserve"> </w:t>
      </w:r>
      <w:r>
        <w:t>in</w:t>
      </w:r>
      <w:r>
        <w:rPr>
          <w:spacing w:val="-3"/>
        </w:rPr>
        <w:t xml:space="preserve"> </w:t>
      </w:r>
      <w:r>
        <w:t>face-to-face</w:t>
      </w:r>
      <w:r>
        <w:rPr>
          <w:spacing w:val="-3"/>
        </w:rPr>
        <w:t xml:space="preserve"> </w:t>
      </w:r>
      <w:r>
        <w:t>conversations</w:t>
      </w:r>
      <w:r>
        <w:rPr>
          <w:spacing w:val="-2"/>
        </w:rPr>
        <w:t xml:space="preserve"> </w:t>
      </w:r>
      <w:r>
        <w:t>between</w:t>
      </w:r>
      <w:r>
        <w:rPr>
          <w:spacing w:val="-2"/>
        </w:rPr>
        <w:t xml:space="preserve"> </w:t>
      </w:r>
      <w:r>
        <w:t>a</w:t>
      </w:r>
      <w:r>
        <w:rPr>
          <w:spacing w:val="-5"/>
        </w:rPr>
        <w:t xml:space="preserve"> </w:t>
      </w:r>
      <w:r>
        <w:t>counselor</w:t>
      </w:r>
      <w:r>
        <w:rPr>
          <w:spacing w:val="-4"/>
        </w:rPr>
        <w:t xml:space="preserve"> </w:t>
      </w:r>
      <w:r>
        <w:t>and</w:t>
      </w:r>
      <w:r>
        <w:rPr>
          <w:spacing w:val="-5"/>
        </w:rPr>
        <w:t xml:space="preserve"> </w:t>
      </w:r>
      <w:r>
        <w:t>a</w:t>
      </w:r>
      <w:r>
        <w:rPr>
          <w:spacing w:val="-2"/>
        </w:rPr>
        <w:t xml:space="preserve"> </w:t>
      </w:r>
      <w:r>
        <w:t>client.</w:t>
      </w:r>
      <w:r>
        <w:rPr>
          <w:spacing w:val="-5"/>
        </w:rPr>
        <w:t xml:space="preserve"> </w:t>
      </w:r>
      <w:r>
        <w:t>Depending</w:t>
      </w:r>
      <w:r>
        <w:rPr>
          <w:spacing w:val="-5"/>
        </w:rPr>
        <w:t xml:space="preserve"> </w:t>
      </w:r>
      <w:r>
        <w:t>on the treatment program, adaptations of motivational interventions may make treatment more cost e</w:t>
      </w:r>
      <w:r>
        <w:t>ffective,</w:t>
      </w:r>
      <w:r>
        <w:rPr>
          <w:spacing w:val="-3"/>
        </w:rPr>
        <w:t xml:space="preserve"> </w:t>
      </w:r>
      <w:r>
        <w:t>more accessible</w:t>
      </w:r>
      <w:r>
        <w:rPr>
          <w:spacing w:val="-3"/>
        </w:rPr>
        <w:t xml:space="preserve"> </w:t>
      </w:r>
      <w:r>
        <w:t>to clients, and</w:t>
      </w:r>
      <w:r>
        <w:rPr>
          <w:spacing w:val="-4"/>
        </w:rPr>
        <w:t xml:space="preserve"> </w:t>
      </w:r>
      <w:r>
        <w:t>easier</w:t>
      </w:r>
      <w:r>
        <w:rPr>
          <w:spacing w:val="-3"/>
        </w:rPr>
        <w:t xml:space="preserve"> </w:t>
      </w:r>
      <w:r>
        <w:t>to</w:t>
      </w:r>
      <w:r>
        <w:rPr>
          <w:spacing w:val="-2"/>
        </w:rPr>
        <w:t xml:space="preserve"> </w:t>
      </w:r>
      <w:r>
        <w:t>integrate into existing</w:t>
      </w:r>
      <w:r>
        <w:rPr>
          <w:spacing w:val="-2"/>
        </w:rPr>
        <w:t xml:space="preserve"> </w:t>
      </w:r>
      <w:r>
        <w:t>treatment approaches,</w:t>
      </w:r>
      <w:r>
        <w:rPr>
          <w:spacing w:val="-1"/>
        </w:rPr>
        <w:t xml:space="preserve"> </w:t>
      </w:r>
      <w:r>
        <w:t>as</w:t>
      </w:r>
      <w:r>
        <w:rPr>
          <w:spacing w:val="-3"/>
        </w:rPr>
        <w:t xml:space="preserve"> </w:t>
      </w:r>
      <w:r>
        <w:t>well</w:t>
      </w:r>
    </w:p>
    <w:p w14:paraId="741D7473" w14:textId="77777777" w:rsidR="00DB6E1F" w:rsidRDefault="00DB6E1F">
      <w:pPr>
        <w:sectPr w:rsidR="00DB6E1F">
          <w:headerReference w:type="default" r:id="rId116"/>
          <w:footerReference w:type="default" r:id="rId117"/>
          <w:pgSz w:w="12240" w:h="15840"/>
          <w:pgMar w:top="1200" w:right="0" w:bottom="780" w:left="0" w:header="763" w:footer="585" w:gutter="0"/>
          <w:cols w:space="720"/>
        </w:sectPr>
      </w:pPr>
    </w:p>
    <w:p w14:paraId="29095FFB" w14:textId="77777777" w:rsidR="00DB6E1F" w:rsidRDefault="00DB6E1F">
      <w:pPr>
        <w:pStyle w:val="BodyText"/>
        <w:spacing w:before="8"/>
        <w:rPr>
          <w:sz w:val="14"/>
        </w:rPr>
      </w:pPr>
    </w:p>
    <w:p w14:paraId="67B3F1EE" w14:textId="77777777" w:rsidR="00DB6E1F" w:rsidRDefault="00F666A6">
      <w:pPr>
        <w:pStyle w:val="BodyText"/>
        <w:spacing w:before="56"/>
        <w:ind w:left="1440"/>
      </w:pPr>
      <w:r>
        <w:t>as</w:t>
      </w:r>
      <w:r>
        <w:rPr>
          <w:spacing w:val="-3"/>
        </w:rPr>
        <w:t xml:space="preserve"> </w:t>
      </w:r>
      <w:r>
        <w:t>ease</w:t>
      </w:r>
      <w:r>
        <w:rPr>
          <w:spacing w:val="-2"/>
        </w:rPr>
        <w:t xml:space="preserve"> </w:t>
      </w:r>
      <w:r>
        <w:t>workload</w:t>
      </w:r>
      <w:r>
        <w:rPr>
          <w:spacing w:val="-4"/>
        </w:rPr>
        <w:t xml:space="preserve"> </w:t>
      </w:r>
      <w:r>
        <w:t>demands</w:t>
      </w:r>
      <w:r>
        <w:rPr>
          <w:spacing w:val="-5"/>
        </w:rPr>
        <w:t xml:space="preserve"> </w:t>
      </w:r>
      <w:r>
        <w:t>on</w:t>
      </w:r>
      <w:r>
        <w:rPr>
          <w:spacing w:val="-3"/>
        </w:rPr>
        <w:t xml:space="preserve"> </w:t>
      </w:r>
      <w:r>
        <w:rPr>
          <w:spacing w:val="-2"/>
        </w:rPr>
        <w:t>counselors.</w:t>
      </w:r>
    </w:p>
    <w:p w14:paraId="7D5517D1" w14:textId="77777777" w:rsidR="00DB6E1F" w:rsidRDefault="00F666A6">
      <w:pPr>
        <w:pStyle w:val="BodyText"/>
        <w:spacing w:before="161"/>
        <w:ind w:left="1440"/>
      </w:pPr>
      <w:r>
        <w:t>Chapter</w:t>
      </w:r>
      <w:r>
        <w:rPr>
          <w:spacing w:val="-7"/>
        </w:rPr>
        <w:t xml:space="preserve"> </w:t>
      </w:r>
      <w:r>
        <w:t>8</w:t>
      </w:r>
      <w:r>
        <w:rPr>
          <w:spacing w:val="-6"/>
        </w:rPr>
        <w:t xml:space="preserve"> </w:t>
      </w:r>
      <w:r>
        <w:t>discusses</w:t>
      </w:r>
      <w:r>
        <w:rPr>
          <w:spacing w:val="-4"/>
        </w:rPr>
        <w:t xml:space="preserve"> </w:t>
      </w:r>
      <w:r>
        <w:t>the</w:t>
      </w:r>
      <w:r>
        <w:rPr>
          <w:spacing w:val="-6"/>
        </w:rPr>
        <w:t xml:space="preserve"> </w:t>
      </w:r>
      <w:r>
        <w:t>following</w:t>
      </w:r>
      <w:r>
        <w:rPr>
          <w:spacing w:val="-4"/>
        </w:rPr>
        <w:t xml:space="preserve"> </w:t>
      </w:r>
      <w:r>
        <w:t>adaptations</w:t>
      </w:r>
      <w:r>
        <w:rPr>
          <w:spacing w:val="-6"/>
        </w:rPr>
        <w:t xml:space="preserve"> </w:t>
      </w:r>
      <w:r>
        <w:t>of</w:t>
      </w:r>
      <w:r>
        <w:rPr>
          <w:spacing w:val="-7"/>
        </w:rPr>
        <w:t xml:space="preserve"> </w:t>
      </w:r>
      <w:r>
        <w:t>motivational</w:t>
      </w:r>
      <w:r>
        <w:rPr>
          <w:spacing w:val="-4"/>
        </w:rPr>
        <w:t xml:space="preserve"> </w:t>
      </w:r>
      <w:r>
        <w:t>counseling</w:t>
      </w:r>
      <w:r>
        <w:rPr>
          <w:spacing w:val="-5"/>
        </w:rPr>
        <w:t xml:space="preserve"> </w:t>
      </w:r>
      <w:r>
        <w:rPr>
          <w:spacing w:val="-2"/>
        </w:rPr>
        <w:t>approaches:</w:t>
      </w:r>
    </w:p>
    <w:p w14:paraId="447F9D65" w14:textId="77777777" w:rsidR="00DB6E1F" w:rsidRDefault="00F666A6">
      <w:pPr>
        <w:pStyle w:val="ListParagraph"/>
        <w:numPr>
          <w:ilvl w:val="0"/>
          <w:numId w:val="92"/>
        </w:numPr>
        <w:tabs>
          <w:tab w:val="left" w:pos="1800"/>
          <w:tab w:val="left" w:pos="1801"/>
        </w:tabs>
        <w:spacing w:before="58"/>
        <w:ind w:left="1800"/>
        <w:rPr>
          <w:rFonts w:ascii="Symbol" w:hAnsi="Symbol"/>
        </w:rPr>
      </w:pPr>
      <w:r>
        <w:t>Group</w:t>
      </w:r>
      <w:r>
        <w:rPr>
          <w:spacing w:val="-3"/>
        </w:rPr>
        <w:t xml:space="preserve"> </w:t>
      </w:r>
      <w:r>
        <w:rPr>
          <w:spacing w:val="-2"/>
        </w:rPr>
        <w:t>counseling</w:t>
      </w:r>
    </w:p>
    <w:p w14:paraId="6EC5F7E4" w14:textId="77777777" w:rsidR="00DB6E1F" w:rsidRDefault="00F666A6">
      <w:pPr>
        <w:pStyle w:val="ListParagraph"/>
        <w:numPr>
          <w:ilvl w:val="0"/>
          <w:numId w:val="92"/>
        </w:numPr>
        <w:tabs>
          <w:tab w:val="left" w:pos="1800"/>
          <w:tab w:val="left" w:pos="1801"/>
        </w:tabs>
        <w:spacing w:before="61"/>
        <w:ind w:left="1800"/>
        <w:rPr>
          <w:rFonts w:ascii="Symbol" w:hAnsi="Symbol"/>
        </w:rPr>
      </w:pPr>
      <w:r>
        <w:t>Technology</w:t>
      </w:r>
      <w:r>
        <w:rPr>
          <w:spacing w:val="-11"/>
        </w:rPr>
        <w:t xml:space="preserve"> </w:t>
      </w:r>
      <w:r>
        <w:t>adaptations</w:t>
      </w:r>
      <w:r>
        <w:rPr>
          <w:spacing w:val="-7"/>
        </w:rPr>
        <w:t xml:space="preserve"> </w:t>
      </w:r>
      <w:r>
        <w:t>(e.g.,</w:t>
      </w:r>
      <w:r>
        <w:rPr>
          <w:spacing w:val="-7"/>
        </w:rPr>
        <w:t xml:space="preserve"> </w:t>
      </w:r>
      <w:r>
        <w:t>Internet-based</w:t>
      </w:r>
      <w:r>
        <w:rPr>
          <w:spacing w:val="-10"/>
        </w:rPr>
        <w:t xml:space="preserve"> </w:t>
      </w:r>
      <w:r>
        <w:t>applications</w:t>
      </w:r>
      <w:r>
        <w:rPr>
          <w:spacing w:val="-7"/>
        </w:rPr>
        <w:t xml:space="preserve"> </w:t>
      </w:r>
      <w:r>
        <w:t>and</w:t>
      </w:r>
      <w:r>
        <w:rPr>
          <w:spacing w:val="-8"/>
        </w:rPr>
        <w:t xml:space="preserve"> </w:t>
      </w:r>
      <w:r>
        <w:t>telephone-based</w:t>
      </w:r>
      <w:r>
        <w:rPr>
          <w:spacing w:val="-9"/>
        </w:rPr>
        <w:t xml:space="preserve"> </w:t>
      </w:r>
      <w:r>
        <w:rPr>
          <w:spacing w:val="-5"/>
        </w:rPr>
        <w:t>MI)</w:t>
      </w:r>
    </w:p>
    <w:p w14:paraId="3BC3DB9E" w14:textId="77777777" w:rsidR="00DB6E1F" w:rsidRDefault="00F666A6">
      <w:pPr>
        <w:pStyle w:val="ListParagraph"/>
        <w:numPr>
          <w:ilvl w:val="0"/>
          <w:numId w:val="92"/>
        </w:numPr>
        <w:tabs>
          <w:tab w:val="left" w:pos="1800"/>
          <w:tab w:val="left" w:pos="1801"/>
        </w:tabs>
        <w:spacing w:before="58"/>
        <w:ind w:left="1800"/>
        <w:rPr>
          <w:rFonts w:ascii="Symbol" w:hAnsi="Symbol"/>
        </w:rPr>
      </w:pPr>
      <w:r>
        <w:t>Blended</w:t>
      </w:r>
      <w:r>
        <w:rPr>
          <w:spacing w:val="-7"/>
        </w:rPr>
        <w:t xml:space="preserve"> </w:t>
      </w:r>
      <w:r>
        <w:t>counseling</w:t>
      </w:r>
      <w:r>
        <w:rPr>
          <w:spacing w:val="-7"/>
        </w:rPr>
        <w:t xml:space="preserve"> </w:t>
      </w:r>
      <w:r>
        <w:rPr>
          <w:spacing w:val="-2"/>
        </w:rPr>
        <w:t>approaches</w:t>
      </w:r>
    </w:p>
    <w:p w14:paraId="63CD048D" w14:textId="77777777" w:rsidR="00DB6E1F" w:rsidRDefault="00F666A6">
      <w:pPr>
        <w:pStyle w:val="Heading3"/>
        <w:spacing w:before="164"/>
      </w:pPr>
      <w:bookmarkStart w:id="216" w:name="Group_Counseling"/>
      <w:bookmarkEnd w:id="216"/>
      <w:r>
        <w:t>Group</w:t>
      </w:r>
      <w:r>
        <w:rPr>
          <w:spacing w:val="-8"/>
        </w:rPr>
        <w:t xml:space="preserve"> </w:t>
      </w:r>
      <w:r>
        <w:rPr>
          <w:spacing w:val="-2"/>
        </w:rPr>
        <w:t>Counseling</w:t>
      </w:r>
    </w:p>
    <w:p w14:paraId="4B34925A" w14:textId="77777777" w:rsidR="00DB6E1F" w:rsidRDefault="00F666A6">
      <w:pPr>
        <w:pStyle w:val="BodyText"/>
        <w:spacing w:before="143"/>
        <w:ind w:left="1440" w:right="1491"/>
      </w:pPr>
      <w:r>
        <w:t>The current context of service delivery in SUD treatment programs places heavy emphasis on group counseling. Many motivation-enhancing act</w:t>
      </w:r>
      <w:r>
        <w:t>ivities can take place in group counseling that cannot occur in</w:t>
      </w:r>
      <w:r>
        <w:rPr>
          <w:spacing w:val="-4"/>
        </w:rPr>
        <w:t xml:space="preserve"> </w:t>
      </w:r>
      <w:r>
        <w:t>individual</w:t>
      </w:r>
      <w:r>
        <w:rPr>
          <w:spacing w:val="-3"/>
        </w:rPr>
        <w:t xml:space="preserve"> </w:t>
      </w:r>
      <w:r>
        <w:t>treatment</w:t>
      </w:r>
      <w:r>
        <w:rPr>
          <w:spacing w:val="-2"/>
        </w:rPr>
        <w:t xml:space="preserve"> </w:t>
      </w:r>
      <w:r>
        <w:t>(e.g.,</w:t>
      </w:r>
      <w:r>
        <w:rPr>
          <w:spacing w:val="-3"/>
        </w:rPr>
        <w:t xml:space="preserve"> </w:t>
      </w:r>
      <w:r>
        <w:t>clients</w:t>
      </w:r>
      <w:r>
        <w:rPr>
          <w:spacing w:val="-5"/>
        </w:rPr>
        <w:t xml:space="preserve"> </w:t>
      </w:r>
      <w:r>
        <w:t>can</w:t>
      </w:r>
      <w:r>
        <w:rPr>
          <w:spacing w:val="-4"/>
        </w:rPr>
        <w:t xml:space="preserve"> </w:t>
      </w:r>
      <w:r>
        <w:t>receive</w:t>
      </w:r>
      <w:r>
        <w:rPr>
          <w:spacing w:val="-2"/>
        </w:rPr>
        <w:t xml:space="preserve"> </w:t>
      </w:r>
      <w:r>
        <w:t>feedback</w:t>
      </w:r>
      <w:r>
        <w:rPr>
          <w:spacing w:val="-2"/>
        </w:rPr>
        <w:t xml:space="preserve"> </w:t>
      </w:r>
      <w:r>
        <w:t>from</w:t>
      </w:r>
      <w:r>
        <w:rPr>
          <w:spacing w:val="-4"/>
        </w:rPr>
        <w:t xml:space="preserve"> </w:t>
      </w:r>
      <w:r>
        <w:t>peers).</w:t>
      </w:r>
      <w:r>
        <w:rPr>
          <w:spacing w:val="-3"/>
        </w:rPr>
        <w:t xml:space="preserve"> </w:t>
      </w:r>
      <w:r>
        <w:t>Because</w:t>
      </w:r>
      <w:r>
        <w:rPr>
          <w:spacing w:val="-2"/>
        </w:rPr>
        <w:t xml:space="preserve"> </w:t>
      </w:r>
      <w:r>
        <w:t>social</w:t>
      </w:r>
      <w:r>
        <w:rPr>
          <w:spacing w:val="-3"/>
        </w:rPr>
        <w:t xml:space="preserve"> </w:t>
      </w:r>
      <w:r>
        <w:t>support</w:t>
      </w:r>
      <w:r>
        <w:rPr>
          <w:spacing w:val="-2"/>
        </w:rPr>
        <w:t xml:space="preserve"> </w:t>
      </w:r>
      <w:r>
        <w:t>is</w:t>
      </w:r>
      <w:r>
        <w:rPr>
          <w:spacing w:val="-3"/>
        </w:rPr>
        <w:t xml:space="preserve"> </w:t>
      </w:r>
      <w:r>
        <w:t>intrinsic to group treatment, clients in a group can reinforce and help maintain each other’s su</w:t>
      </w:r>
      <w:r>
        <w:t>bstance use behavior changes (Holstad, Diiorio, Kelley, Resnicow, &amp; Sharma, 2010).</w:t>
      </w:r>
    </w:p>
    <w:p w14:paraId="3ADF6D93" w14:textId="77777777" w:rsidR="00DB6E1F" w:rsidRDefault="00F666A6">
      <w:pPr>
        <w:pStyle w:val="BodyText"/>
        <w:spacing w:before="159"/>
        <w:ind w:left="1440" w:right="1491"/>
      </w:pPr>
      <w:r>
        <w:t>However,</w:t>
      </w:r>
      <w:r>
        <w:rPr>
          <w:spacing w:val="-3"/>
        </w:rPr>
        <w:t xml:space="preserve"> </w:t>
      </w:r>
      <w:r>
        <w:t>several</w:t>
      </w:r>
      <w:r>
        <w:rPr>
          <w:spacing w:val="-6"/>
        </w:rPr>
        <w:t xml:space="preserve"> </w:t>
      </w:r>
      <w:r>
        <w:t>significant</w:t>
      </w:r>
      <w:r>
        <w:rPr>
          <w:spacing w:val="-2"/>
        </w:rPr>
        <w:t xml:space="preserve"> </w:t>
      </w:r>
      <w:r>
        <w:t>clinical</w:t>
      </w:r>
      <w:r>
        <w:rPr>
          <w:spacing w:val="-3"/>
        </w:rPr>
        <w:t xml:space="preserve"> </w:t>
      </w:r>
      <w:r>
        <w:t>issues</w:t>
      </w:r>
      <w:r>
        <w:rPr>
          <w:spacing w:val="-3"/>
        </w:rPr>
        <w:t xml:space="preserve"> </w:t>
      </w:r>
      <w:r>
        <w:t>arise</w:t>
      </w:r>
      <w:r>
        <w:rPr>
          <w:spacing w:val="-2"/>
        </w:rPr>
        <w:t xml:space="preserve"> </w:t>
      </w:r>
      <w:r>
        <w:t>when</w:t>
      </w:r>
      <w:r>
        <w:rPr>
          <w:spacing w:val="-5"/>
        </w:rPr>
        <w:t xml:space="preserve"> </w:t>
      </w:r>
      <w:r>
        <w:t>conducting</w:t>
      </w:r>
      <w:r>
        <w:rPr>
          <w:spacing w:val="-4"/>
        </w:rPr>
        <w:t xml:space="preserve"> </w:t>
      </w:r>
      <w:r>
        <w:t>groups</w:t>
      </w:r>
      <w:r>
        <w:rPr>
          <w:spacing w:val="-3"/>
        </w:rPr>
        <w:t xml:space="preserve"> </w:t>
      </w:r>
      <w:r>
        <w:t>using</w:t>
      </w:r>
      <w:r>
        <w:rPr>
          <w:spacing w:val="-6"/>
        </w:rPr>
        <w:t xml:space="preserve"> </w:t>
      </w:r>
      <w:r>
        <w:t>MI</w:t>
      </w:r>
      <w:r>
        <w:rPr>
          <w:spacing w:val="-3"/>
        </w:rPr>
        <w:t xml:space="preserve"> </w:t>
      </w:r>
      <w:r>
        <w:t>including</w:t>
      </w:r>
      <w:r>
        <w:rPr>
          <w:spacing w:val="-3"/>
        </w:rPr>
        <w:t xml:space="preserve"> </w:t>
      </w:r>
      <w:r>
        <w:t>(Feldstein Ewing, Walters, &amp; Baer, 2013; Miller &amp; Rollnick, 2013):</w:t>
      </w:r>
    </w:p>
    <w:p w14:paraId="287B62F1" w14:textId="77777777" w:rsidR="00DB6E1F" w:rsidRDefault="00F666A6">
      <w:pPr>
        <w:pStyle w:val="ListParagraph"/>
        <w:numPr>
          <w:ilvl w:val="0"/>
          <w:numId w:val="92"/>
        </w:numPr>
        <w:tabs>
          <w:tab w:val="left" w:pos="1800"/>
          <w:tab w:val="left" w:pos="1801"/>
        </w:tabs>
        <w:spacing w:before="61"/>
        <w:ind w:left="1800"/>
        <w:rPr>
          <w:rFonts w:ascii="Symbol" w:hAnsi="Symbol"/>
        </w:rPr>
      </w:pPr>
      <w:r>
        <w:t>The</w:t>
      </w:r>
      <w:r>
        <w:rPr>
          <w:spacing w:val="-6"/>
        </w:rPr>
        <w:t xml:space="preserve"> </w:t>
      </w:r>
      <w:r>
        <w:t>counselor’s</w:t>
      </w:r>
      <w:r>
        <w:rPr>
          <w:spacing w:val="-3"/>
        </w:rPr>
        <w:t xml:space="preserve"> </w:t>
      </w:r>
      <w:r>
        <w:t>ability</w:t>
      </w:r>
      <w:r>
        <w:rPr>
          <w:spacing w:val="-3"/>
        </w:rPr>
        <w:t xml:space="preserve"> </w:t>
      </w:r>
      <w:r>
        <w:t>to</w:t>
      </w:r>
      <w:r>
        <w:rPr>
          <w:spacing w:val="-5"/>
        </w:rPr>
        <w:t xml:space="preserve"> </w:t>
      </w:r>
      <w:r>
        <w:t>translate</w:t>
      </w:r>
      <w:r>
        <w:rPr>
          <w:spacing w:val="-6"/>
        </w:rPr>
        <w:t xml:space="preserve"> </w:t>
      </w:r>
      <w:r>
        <w:t>MI</w:t>
      </w:r>
      <w:r>
        <w:rPr>
          <w:spacing w:val="-4"/>
        </w:rPr>
        <w:t xml:space="preserve"> </w:t>
      </w:r>
      <w:r>
        <w:t>skills</w:t>
      </w:r>
      <w:r>
        <w:rPr>
          <w:spacing w:val="-6"/>
        </w:rPr>
        <w:t xml:space="preserve"> </w:t>
      </w:r>
      <w:r>
        <w:t>to</w:t>
      </w:r>
      <w:r>
        <w:rPr>
          <w:spacing w:val="-3"/>
        </w:rPr>
        <w:t xml:space="preserve"> </w:t>
      </w:r>
      <w:r>
        <w:t>the</w:t>
      </w:r>
      <w:r>
        <w:rPr>
          <w:spacing w:val="-6"/>
        </w:rPr>
        <w:t xml:space="preserve"> </w:t>
      </w:r>
      <w:r>
        <w:t>group</w:t>
      </w:r>
      <w:r>
        <w:rPr>
          <w:spacing w:val="-4"/>
        </w:rPr>
        <w:t xml:space="preserve"> </w:t>
      </w:r>
      <w:r>
        <w:rPr>
          <w:spacing w:val="-2"/>
        </w:rPr>
        <w:t>context</w:t>
      </w:r>
    </w:p>
    <w:p w14:paraId="208F766B" w14:textId="77777777" w:rsidR="00DB6E1F" w:rsidRDefault="00F666A6">
      <w:pPr>
        <w:pStyle w:val="ListParagraph"/>
        <w:numPr>
          <w:ilvl w:val="0"/>
          <w:numId w:val="92"/>
        </w:numPr>
        <w:tabs>
          <w:tab w:val="left" w:pos="1800"/>
          <w:tab w:val="left" w:pos="1801"/>
        </w:tabs>
        <w:ind w:left="1800"/>
        <w:rPr>
          <w:rFonts w:ascii="Symbol" w:hAnsi="Symbol"/>
        </w:rPr>
      </w:pPr>
      <w:r>
        <w:t>The</w:t>
      </w:r>
      <w:r>
        <w:rPr>
          <w:spacing w:val="-6"/>
        </w:rPr>
        <w:t xml:space="preserve"> </w:t>
      </w:r>
      <w:r>
        <w:t>counselor’s</w:t>
      </w:r>
      <w:r>
        <w:rPr>
          <w:spacing w:val="-4"/>
        </w:rPr>
        <w:t xml:space="preserve"> </w:t>
      </w:r>
      <w:r>
        <w:t>skill</w:t>
      </w:r>
      <w:r>
        <w:rPr>
          <w:spacing w:val="-4"/>
        </w:rPr>
        <w:t xml:space="preserve"> </w:t>
      </w:r>
      <w:r>
        <w:t>in</w:t>
      </w:r>
      <w:r>
        <w:rPr>
          <w:spacing w:val="-7"/>
        </w:rPr>
        <w:t xml:space="preserve"> </w:t>
      </w:r>
      <w:r>
        <w:t>managing</w:t>
      </w:r>
      <w:r>
        <w:rPr>
          <w:spacing w:val="-5"/>
        </w:rPr>
        <w:t xml:space="preserve"> </w:t>
      </w:r>
      <w:r>
        <w:t>group</w:t>
      </w:r>
      <w:r>
        <w:rPr>
          <w:spacing w:val="-4"/>
        </w:rPr>
        <w:t xml:space="preserve"> </w:t>
      </w:r>
      <w:r>
        <w:rPr>
          <w:spacing w:val="-2"/>
        </w:rPr>
        <w:t>dynamics</w:t>
      </w:r>
    </w:p>
    <w:p w14:paraId="3ABEA98F" w14:textId="77777777" w:rsidR="00DB6E1F" w:rsidRDefault="00F666A6">
      <w:pPr>
        <w:pStyle w:val="ListParagraph"/>
        <w:numPr>
          <w:ilvl w:val="0"/>
          <w:numId w:val="92"/>
        </w:numPr>
        <w:tabs>
          <w:tab w:val="left" w:pos="1800"/>
          <w:tab w:val="left" w:pos="1801"/>
        </w:tabs>
        <w:spacing w:before="58"/>
        <w:ind w:left="1800" w:right="2011"/>
        <w:rPr>
          <w:rFonts w:ascii="Symbol" w:hAnsi="Symbol"/>
        </w:rPr>
      </w:pPr>
      <w:r>
        <w:t>Fewer</w:t>
      </w:r>
      <w:r>
        <w:rPr>
          <w:spacing w:val="-5"/>
        </w:rPr>
        <w:t xml:space="preserve"> </w:t>
      </w:r>
      <w:r>
        <w:t>opportunities</w:t>
      </w:r>
      <w:r>
        <w:rPr>
          <w:spacing w:val="-2"/>
        </w:rPr>
        <w:t xml:space="preserve"> </w:t>
      </w:r>
      <w:r>
        <w:t>for</w:t>
      </w:r>
      <w:r>
        <w:rPr>
          <w:spacing w:val="-3"/>
        </w:rPr>
        <w:t xml:space="preserve"> </w:t>
      </w:r>
      <w:r>
        <w:t>group</w:t>
      </w:r>
      <w:r>
        <w:rPr>
          <w:spacing w:val="-4"/>
        </w:rPr>
        <w:t xml:space="preserve"> </w:t>
      </w:r>
      <w:r>
        <w:t>members</w:t>
      </w:r>
      <w:r>
        <w:rPr>
          <w:spacing w:val="-5"/>
        </w:rPr>
        <w:t xml:space="preserve"> </w:t>
      </w:r>
      <w:r>
        <w:t>to</w:t>
      </w:r>
      <w:r>
        <w:rPr>
          <w:spacing w:val="-4"/>
        </w:rPr>
        <w:t xml:space="preserve"> </w:t>
      </w:r>
      <w:r>
        <w:t>express</w:t>
      </w:r>
      <w:r>
        <w:rPr>
          <w:spacing w:val="-3"/>
        </w:rPr>
        <w:t xml:space="preserve"> </w:t>
      </w:r>
      <w:r>
        <w:t>change</w:t>
      </w:r>
      <w:r>
        <w:rPr>
          <w:spacing w:val="-2"/>
        </w:rPr>
        <w:t xml:space="preserve"> </w:t>
      </w:r>
      <w:r>
        <w:t>talk</w:t>
      </w:r>
      <w:r>
        <w:rPr>
          <w:spacing w:val="-2"/>
        </w:rPr>
        <w:t xml:space="preserve"> </w:t>
      </w:r>
      <w:r>
        <w:t>and</w:t>
      </w:r>
      <w:r>
        <w:rPr>
          <w:spacing w:val="-4"/>
        </w:rPr>
        <w:t xml:space="preserve"> </w:t>
      </w:r>
      <w:r>
        <w:t>receive</w:t>
      </w:r>
      <w:r>
        <w:rPr>
          <w:spacing w:val="-5"/>
        </w:rPr>
        <w:t xml:space="preserve"> </w:t>
      </w:r>
      <w:r>
        <w:t>reflective</w:t>
      </w:r>
      <w:r>
        <w:rPr>
          <w:spacing w:val="-2"/>
        </w:rPr>
        <w:t xml:space="preserve"> </w:t>
      </w:r>
      <w:r>
        <w:t>listening responses from the counselor</w:t>
      </w:r>
    </w:p>
    <w:p w14:paraId="3F7B9FC0" w14:textId="77777777" w:rsidR="00DB6E1F" w:rsidRDefault="00F666A6">
      <w:pPr>
        <w:pStyle w:val="ListParagraph"/>
        <w:numPr>
          <w:ilvl w:val="0"/>
          <w:numId w:val="92"/>
        </w:numPr>
        <w:tabs>
          <w:tab w:val="left" w:pos="1800"/>
          <w:tab w:val="left" w:pos="1801"/>
        </w:tabs>
        <w:spacing w:before="61"/>
        <w:ind w:left="1800"/>
        <w:rPr>
          <w:rFonts w:ascii="Symbol" w:hAnsi="Symbol"/>
        </w:rPr>
      </w:pPr>
      <w:r>
        <w:t>Varying</w:t>
      </w:r>
      <w:r>
        <w:rPr>
          <w:spacing w:val="-4"/>
        </w:rPr>
        <w:t xml:space="preserve"> </w:t>
      </w:r>
      <w:r>
        <w:t>needs</w:t>
      </w:r>
      <w:r>
        <w:rPr>
          <w:spacing w:val="-3"/>
        </w:rPr>
        <w:t xml:space="preserve"> </w:t>
      </w:r>
      <w:r>
        <w:t>and</w:t>
      </w:r>
      <w:r>
        <w:rPr>
          <w:spacing w:val="-5"/>
        </w:rPr>
        <w:t xml:space="preserve"> </w:t>
      </w:r>
      <w:r>
        <w:t>experiences</w:t>
      </w:r>
      <w:r>
        <w:rPr>
          <w:spacing w:val="-5"/>
        </w:rPr>
        <w:t xml:space="preserve"> </w:t>
      </w:r>
      <w:r>
        <w:t>of</w:t>
      </w:r>
      <w:r>
        <w:rPr>
          <w:spacing w:val="-3"/>
        </w:rPr>
        <w:t xml:space="preserve"> </w:t>
      </w:r>
      <w:r>
        <w:t>group</w:t>
      </w:r>
      <w:r>
        <w:rPr>
          <w:spacing w:val="-4"/>
        </w:rPr>
        <w:t xml:space="preserve"> </w:t>
      </w:r>
      <w:r>
        <w:rPr>
          <w:spacing w:val="-2"/>
        </w:rPr>
        <w:t>participants</w:t>
      </w:r>
    </w:p>
    <w:p w14:paraId="04AC6990" w14:textId="77777777" w:rsidR="00DB6E1F" w:rsidRDefault="00F666A6">
      <w:pPr>
        <w:pStyle w:val="ListParagraph"/>
        <w:numPr>
          <w:ilvl w:val="0"/>
          <w:numId w:val="92"/>
        </w:numPr>
        <w:tabs>
          <w:tab w:val="left" w:pos="1800"/>
          <w:tab w:val="left" w:pos="1801"/>
        </w:tabs>
        <w:spacing w:before="61"/>
        <w:ind w:left="1800" w:right="1613"/>
        <w:rPr>
          <w:rFonts w:ascii="Symbol" w:hAnsi="Symbol"/>
        </w:rPr>
      </w:pPr>
      <w:r>
        <w:t>The counselor’s ability to respond to various participant needs (e.g., reflecting commitment language</w:t>
      </w:r>
      <w:r>
        <w:rPr>
          <w:spacing w:val="-3"/>
        </w:rPr>
        <w:t xml:space="preserve"> </w:t>
      </w:r>
      <w:r>
        <w:t>of</w:t>
      </w:r>
      <w:r>
        <w:rPr>
          <w:spacing w:val="-6"/>
        </w:rPr>
        <w:t xml:space="preserve"> </w:t>
      </w:r>
      <w:r>
        <w:t>one</w:t>
      </w:r>
      <w:r>
        <w:rPr>
          <w:spacing w:val="-3"/>
        </w:rPr>
        <w:t xml:space="preserve"> </w:t>
      </w:r>
      <w:r>
        <w:t>participant</w:t>
      </w:r>
      <w:r>
        <w:rPr>
          <w:spacing w:val="-3"/>
        </w:rPr>
        <w:t xml:space="preserve"> </w:t>
      </w:r>
      <w:r>
        <w:t>while</w:t>
      </w:r>
      <w:r>
        <w:rPr>
          <w:spacing w:val="-3"/>
        </w:rPr>
        <w:t xml:space="preserve"> </w:t>
      </w:r>
      <w:r>
        <w:t>responding</w:t>
      </w:r>
      <w:r>
        <w:rPr>
          <w:spacing w:val="-5"/>
        </w:rPr>
        <w:t xml:space="preserve"> </w:t>
      </w:r>
      <w:r>
        <w:t>to</w:t>
      </w:r>
      <w:r>
        <w:rPr>
          <w:spacing w:val="-3"/>
        </w:rPr>
        <w:t xml:space="preserve"> </w:t>
      </w:r>
      <w:r>
        <w:t>another</w:t>
      </w:r>
      <w:r>
        <w:rPr>
          <w:spacing w:val="-4"/>
        </w:rPr>
        <w:t xml:space="preserve"> </w:t>
      </w:r>
      <w:r>
        <w:t>participant’s</w:t>
      </w:r>
      <w:r>
        <w:rPr>
          <w:spacing w:val="-6"/>
        </w:rPr>
        <w:t xml:space="preserve"> </w:t>
      </w:r>
      <w:r>
        <w:t>ambivalence</w:t>
      </w:r>
      <w:r>
        <w:rPr>
          <w:spacing w:val="-3"/>
        </w:rPr>
        <w:t xml:space="preserve"> </w:t>
      </w:r>
      <w:r>
        <w:t>about</w:t>
      </w:r>
      <w:r>
        <w:rPr>
          <w:spacing w:val="-3"/>
        </w:rPr>
        <w:t xml:space="preserve"> </w:t>
      </w:r>
      <w:r>
        <w:t>changing substance use behaviors)</w:t>
      </w:r>
    </w:p>
    <w:p w14:paraId="655A6080" w14:textId="77777777" w:rsidR="00DB6E1F" w:rsidRDefault="00F666A6">
      <w:pPr>
        <w:pStyle w:val="ListParagraph"/>
        <w:numPr>
          <w:ilvl w:val="0"/>
          <w:numId w:val="92"/>
        </w:numPr>
        <w:tabs>
          <w:tab w:val="left" w:pos="1800"/>
          <w:tab w:val="left" w:pos="1801"/>
        </w:tabs>
        <w:ind w:left="1800"/>
        <w:rPr>
          <w:rFonts w:ascii="Symbol" w:hAnsi="Symbol"/>
        </w:rPr>
      </w:pPr>
      <w:r>
        <w:t>Actively</w:t>
      </w:r>
      <w:r>
        <w:rPr>
          <w:spacing w:val="-9"/>
        </w:rPr>
        <w:t xml:space="preserve"> </w:t>
      </w:r>
      <w:r>
        <w:t>managing</w:t>
      </w:r>
      <w:r>
        <w:rPr>
          <w:spacing w:val="-5"/>
        </w:rPr>
        <w:t xml:space="preserve"> </w:t>
      </w:r>
      <w:r>
        <w:t>social</w:t>
      </w:r>
      <w:r>
        <w:rPr>
          <w:spacing w:val="-4"/>
        </w:rPr>
        <w:t xml:space="preserve"> </w:t>
      </w:r>
      <w:r>
        <w:t>pressures</w:t>
      </w:r>
      <w:r>
        <w:rPr>
          <w:spacing w:val="-6"/>
        </w:rPr>
        <w:t xml:space="preserve"> </w:t>
      </w:r>
      <w:r>
        <w:t>of</w:t>
      </w:r>
      <w:r>
        <w:rPr>
          <w:spacing w:val="-5"/>
        </w:rPr>
        <w:t xml:space="preserve"> </w:t>
      </w:r>
      <w:r>
        <w:t>pee</w:t>
      </w:r>
      <w:r>
        <w:t>r</w:t>
      </w:r>
      <w:r>
        <w:rPr>
          <w:spacing w:val="-4"/>
        </w:rPr>
        <w:t xml:space="preserve"> </w:t>
      </w:r>
      <w:r>
        <w:t>interactions,</w:t>
      </w:r>
      <w:r>
        <w:rPr>
          <w:spacing w:val="-4"/>
        </w:rPr>
        <w:t xml:space="preserve"> </w:t>
      </w:r>
      <w:r>
        <w:t>which</w:t>
      </w:r>
      <w:r>
        <w:rPr>
          <w:spacing w:val="-6"/>
        </w:rPr>
        <w:t xml:space="preserve"> </w:t>
      </w:r>
      <w:r>
        <w:t>are</w:t>
      </w:r>
      <w:r>
        <w:rPr>
          <w:spacing w:val="-3"/>
        </w:rPr>
        <w:t xml:space="preserve"> </w:t>
      </w:r>
      <w:r>
        <w:t>not</w:t>
      </w:r>
      <w:r>
        <w:rPr>
          <w:spacing w:val="-4"/>
        </w:rPr>
        <w:t xml:space="preserve"> </w:t>
      </w:r>
      <w:r>
        <w:t>present</w:t>
      </w:r>
      <w:r>
        <w:rPr>
          <w:spacing w:val="-3"/>
        </w:rPr>
        <w:t xml:space="preserve"> </w:t>
      </w:r>
      <w:r>
        <w:t>in</w:t>
      </w:r>
      <w:r>
        <w:rPr>
          <w:spacing w:val="-7"/>
        </w:rPr>
        <w:t xml:space="preserve"> </w:t>
      </w:r>
      <w:r>
        <w:t>individual</w:t>
      </w:r>
      <w:r>
        <w:rPr>
          <w:spacing w:val="-4"/>
        </w:rPr>
        <w:t xml:space="preserve"> </w:t>
      </w:r>
      <w:r>
        <w:rPr>
          <w:spacing w:val="-2"/>
        </w:rPr>
        <w:t>sessions</w:t>
      </w:r>
    </w:p>
    <w:p w14:paraId="5734E843" w14:textId="77777777" w:rsidR="00DB6E1F" w:rsidRDefault="00F666A6">
      <w:pPr>
        <w:pStyle w:val="ListParagraph"/>
        <w:numPr>
          <w:ilvl w:val="0"/>
          <w:numId w:val="92"/>
        </w:numPr>
        <w:tabs>
          <w:tab w:val="left" w:pos="1800"/>
          <w:tab w:val="left" w:pos="1801"/>
        </w:tabs>
        <w:spacing w:before="56"/>
        <w:ind w:left="1800"/>
        <w:rPr>
          <w:rFonts w:ascii="Symbol" w:hAnsi="Symbol"/>
        </w:rPr>
      </w:pPr>
      <w:r>
        <w:t>Responding</w:t>
      </w:r>
      <w:r>
        <w:rPr>
          <w:spacing w:val="-6"/>
        </w:rPr>
        <w:t xml:space="preserve"> </w:t>
      </w:r>
      <w:r>
        <w:t>to</w:t>
      </w:r>
      <w:r>
        <w:rPr>
          <w:spacing w:val="-2"/>
        </w:rPr>
        <w:t xml:space="preserve"> </w:t>
      </w:r>
      <w:r>
        <w:t>and</w:t>
      </w:r>
      <w:r>
        <w:rPr>
          <w:spacing w:val="-5"/>
        </w:rPr>
        <w:t xml:space="preserve"> </w:t>
      </w:r>
      <w:r>
        <w:t>managing</w:t>
      </w:r>
      <w:r>
        <w:rPr>
          <w:spacing w:val="-4"/>
        </w:rPr>
        <w:t xml:space="preserve"> </w:t>
      </w:r>
      <w:r>
        <w:t>sustain</w:t>
      </w:r>
      <w:r>
        <w:rPr>
          <w:spacing w:val="-3"/>
        </w:rPr>
        <w:t xml:space="preserve"> </w:t>
      </w:r>
      <w:r>
        <w:t>talk</w:t>
      </w:r>
      <w:r>
        <w:rPr>
          <w:spacing w:val="-2"/>
        </w:rPr>
        <w:t xml:space="preserve"> </w:t>
      </w:r>
      <w:r>
        <w:t>in</w:t>
      </w:r>
      <w:r>
        <w:rPr>
          <w:spacing w:val="-5"/>
        </w:rPr>
        <w:t xml:space="preserve"> </w:t>
      </w:r>
      <w:r>
        <w:t>a</w:t>
      </w:r>
      <w:r>
        <w:rPr>
          <w:spacing w:val="-3"/>
        </w:rPr>
        <w:t xml:space="preserve"> </w:t>
      </w:r>
      <w:r>
        <w:t>group</w:t>
      </w:r>
      <w:r>
        <w:rPr>
          <w:spacing w:val="-5"/>
        </w:rPr>
        <w:t xml:space="preserve"> </w:t>
      </w:r>
      <w:r>
        <w:rPr>
          <w:spacing w:val="-2"/>
        </w:rPr>
        <w:t>setting</w:t>
      </w:r>
    </w:p>
    <w:p w14:paraId="23BF4369" w14:textId="77777777" w:rsidR="00DB6E1F" w:rsidRDefault="00F666A6">
      <w:pPr>
        <w:pStyle w:val="BodyText"/>
        <w:spacing w:before="164"/>
        <w:ind w:left="1439" w:right="1491"/>
      </w:pPr>
      <w:r>
        <w:t>Perhaps</w:t>
      </w:r>
      <w:r>
        <w:rPr>
          <w:spacing w:val="-4"/>
        </w:rPr>
        <w:t xml:space="preserve"> </w:t>
      </w:r>
      <w:r>
        <w:t>the</w:t>
      </w:r>
      <w:r>
        <w:rPr>
          <w:spacing w:val="-4"/>
        </w:rPr>
        <w:t xml:space="preserve"> </w:t>
      </w:r>
      <w:r>
        <w:t>most</w:t>
      </w:r>
      <w:r>
        <w:rPr>
          <w:spacing w:val="-1"/>
        </w:rPr>
        <w:t xml:space="preserve"> </w:t>
      </w:r>
      <w:r>
        <w:t>challenging</w:t>
      </w:r>
      <w:r>
        <w:rPr>
          <w:spacing w:val="-3"/>
        </w:rPr>
        <w:t xml:space="preserve"> </w:t>
      </w:r>
      <w:r>
        <w:t>aspect</w:t>
      </w:r>
      <w:r>
        <w:rPr>
          <w:spacing w:val="-4"/>
        </w:rPr>
        <w:t xml:space="preserve"> </w:t>
      </w:r>
      <w:r>
        <w:t>of</w:t>
      </w:r>
      <w:r>
        <w:rPr>
          <w:spacing w:val="-2"/>
        </w:rPr>
        <w:t xml:space="preserve"> </w:t>
      </w:r>
      <w:r>
        <w:t>group-based</w:t>
      </w:r>
      <w:r>
        <w:rPr>
          <w:spacing w:val="-5"/>
        </w:rPr>
        <w:t xml:space="preserve"> </w:t>
      </w:r>
      <w:r>
        <w:t>MI</w:t>
      </w:r>
      <w:r>
        <w:rPr>
          <w:spacing w:val="-2"/>
        </w:rPr>
        <w:t xml:space="preserve"> </w:t>
      </w:r>
      <w:r>
        <w:t>is</w:t>
      </w:r>
      <w:r>
        <w:rPr>
          <w:spacing w:val="-2"/>
        </w:rPr>
        <w:t xml:space="preserve"> </w:t>
      </w:r>
      <w:r>
        <w:t>the</w:t>
      </w:r>
      <w:r>
        <w:rPr>
          <w:spacing w:val="-1"/>
        </w:rPr>
        <w:t xml:space="preserve"> </w:t>
      </w:r>
      <w:r>
        <w:t>possibility</w:t>
      </w:r>
      <w:r>
        <w:rPr>
          <w:spacing w:val="-3"/>
        </w:rPr>
        <w:t xml:space="preserve"> </w:t>
      </w:r>
      <w:r>
        <w:t>of</w:t>
      </w:r>
      <w:r>
        <w:rPr>
          <w:spacing w:val="-2"/>
        </w:rPr>
        <w:t xml:space="preserve"> </w:t>
      </w:r>
      <w:r>
        <w:t>group</w:t>
      </w:r>
      <w:r>
        <w:rPr>
          <w:spacing w:val="-3"/>
        </w:rPr>
        <w:t xml:space="preserve"> </w:t>
      </w:r>
      <w:r>
        <w:t>members</w:t>
      </w:r>
      <w:r>
        <w:rPr>
          <w:spacing w:val="-4"/>
        </w:rPr>
        <w:t xml:space="preserve"> </w:t>
      </w:r>
      <w:r>
        <w:t>reinforcing each other’s sustain talk instead of reflecting change talk (Miller &amp; Rollnick, 2013). An important adaptation of MI in group is to minimize the opportunities for clients to evoke and reflect sustain talk and maximize opportunities to evoke and</w:t>
      </w:r>
      <w:r>
        <w:t xml:space="preserve"> reflect change talk (Houck et al., 2015; Miller &amp; Rollnick, 2013). Strategies for accomplishing this include:</w:t>
      </w:r>
    </w:p>
    <w:p w14:paraId="7B89CA4A" w14:textId="77777777" w:rsidR="00DB6E1F" w:rsidRDefault="00F666A6">
      <w:pPr>
        <w:pStyle w:val="ListParagraph"/>
        <w:numPr>
          <w:ilvl w:val="0"/>
          <w:numId w:val="92"/>
        </w:numPr>
        <w:tabs>
          <w:tab w:val="left" w:pos="1799"/>
          <w:tab w:val="left" w:pos="1800"/>
        </w:tabs>
        <w:spacing w:before="58"/>
        <w:ind w:left="1799"/>
        <w:rPr>
          <w:rFonts w:ascii="Symbol" w:hAnsi="Symbol"/>
        </w:rPr>
      </w:pPr>
      <w:r>
        <w:t>Teaching</w:t>
      </w:r>
      <w:r>
        <w:rPr>
          <w:spacing w:val="-9"/>
        </w:rPr>
        <w:t xml:space="preserve"> </w:t>
      </w:r>
      <w:r>
        <w:t>group</w:t>
      </w:r>
      <w:r>
        <w:rPr>
          <w:spacing w:val="-8"/>
        </w:rPr>
        <w:t xml:space="preserve"> </w:t>
      </w:r>
      <w:r>
        <w:t>members</w:t>
      </w:r>
      <w:r>
        <w:rPr>
          <w:spacing w:val="-7"/>
        </w:rPr>
        <w:t xml:space="preserve"> </w:t>
      </w:r>
      <w:r>
        <w:t>OARS</w:t>
      </w:r>
      <w:r>
        <w:rPr>
          <w:spacing w:val="-5"/>
        </w:rPr>
        <w:t xml:space="preserve"> </w:t>
      </w:r>
      <w:r>
        <w:t>(asking</w:t>
      </w:r>
      <w:r>
        <w:rPr>
          <w:spacing w:val="-6"/>
        </w:rPr>
        <w:t xml:space="preserve"> </w:t>
      </w:r>
      <w:r>
        <w:rPr>
          <w:b/>
        </w:rPr>
        <w:t>O</w:t>
      </w:r>
      <w:r>
        <w:t>pen</w:t>
      </w:r>
      <w:r>
        <w:rPr>
          <w:spacing w:val="-6"/>
        </w:rPr>
        <w:t xml:space="preserve"> </w:t>
      </w:r>
      <w:r>
        <w:t>question,</w:t>
      </w:r>
      <w:r>
        <w:rPr>
          <w:spacing w:val="-5"/>
        </w:rPr>
        <w:t xml:space="preserve"> </w:t>
      </w:r>
      <w:r>
        <w:rPr>
          <w:b/>
        </w:rPr>
        <w:t>A</w:t>
      </w:r>
      <w:r>
        <w:t>ffirming,</w:t>
      </w:r>
      <w:r>
        <w:rPr>
          <w:spacing w:val="-5"/>
        </w:rPr>
        <w:t xml:space="preserve"> </w:t>
      </w:r>
      <w:r>
        <w:rPr>
          <w:b/>
        </w:rPr>
        <w:t>R</w:t>
      </w:r>
      <w:r>
        <w:t>eflective</w:t>
      </w:r>
      <w:r>
        <w:rPr>
          <w:spacing w:val="-4"/>
        </w:rPr>
        <w:t xml:space="preserve"> </w:t>
      </w:r>
      <w:r>
        <w:t>listening,</w:t>
      </w:r>
      <w:r>
        <w:rPr>
          <w:spacing w:val="-5"/>
        </w:rPr>
        <w:t xml:space="preserve"> and</w:t>
      </w:r>
    </w:p>
    <w:p w14:paraId="70226D18" w14:textId="77777777" w:rsidR="00DB6E1F" w:rsidRDefault="00F666A6">
      <w:pPr>
        <w:pStyle w:val="BodyText"/>
        <w:spacing w:before="1"/>
        <w:ind w:left="1799"/>
      </w:pPr>
      <w:r>
        <w:rPr>
          <w:b/>
        </w:rPr>
        <w:t>S</w:t>
      </w:r>
      <w:r>
        <w:t>ummarizing)</w:t>
      </w:r>
      <w:r>
        <w:rPr>
          <w:spacing w:val="-6"/>
        </w:rPr>
        <w:t xml:space="preserve"> </w:t>
      </w:r>
      <w:r>
        <w:t>skills</w:t>
      </w:r>
      <w:r>
        <w:rPr>
          <w:spacing w:val="-6"/>
        </w:rPr>
        <w:t xml:space="preserve"> </w:t>
      </w:r>
      <w:r>
        <w:t>(Wagner</w:t>
      </w:r>
      <w:r>
        <w:rPr>
          <w:spacing w:val="-6"/>
        </w:rPr>
        <w:t xml:space="preserve"> </w:t>
      </w:r>
      <w:r>
        <w:t>&amp;</w:t>
      </w:r>
      <w:r>
        <w:rPr>
          <w:spacing w:val="-5"/>
        </w:rPr>
        <w:t xml:space="preserve"> </w:t>
      </w:r>
      <w:r>
        <w:t>Ingersoll,</w:t>
      </w:r>
      <w:r>
        <w:rPr>
          <w:spacing w:val="-7"/>
        </w:rPr>
        <w:t xml:space="preserve"> </w:t>
      </w:r>
      <w:r>
        <w:rPr>
          <w:spacing w:val="-2"/>
        </w:rPr>
        <w:t>2013).</w:t>
      </w:r>
    </w:p>
    <w:p w14:paraId="73C0276E" w14:textId="77777777" w:rsidR="00DB6E1F" w:rsidRDefault="00F666A6">
      <w:pPr>
        <w:pStyle w:val="ListParagraph"/>
        <w:numPr>
          <w:ilvl w:val="0"/>
          <w:numId w:val="92"/>
        </w:numPr>
        <w:tabs>
          <w:tab w:val="left" w:pos="1799"/>
          <w:tab w:val="left" w:pos="1800"/>
        </w:tabs>
        <w:ind w:left="1799" w:right="1437"/>
        <w:rPr>
          <w:rFonts w:ascii="Symbol" w:hAnsi="Symbol"/>
        </w:rPr>
      </w:pPr>
      <w:r>
        <w:t>Identifying the general parameters for group interactions that are in line with the spirit of MI (e.g., group</w:t>
      </w:r>
      <w:r>
        <w:rPr>
          <w:spacing w:val="-3"/>
        </w:rPr>
        <w:t xml:space="preserve"> </w:t>
      </w:r>
      <w:r>
        <w:t>members</w:t>
      </w:r>
      <w:r>
        <w:rPr>
          <w:spacing w:val="-2"/>
        </w:rPr>
        <w:t xml:space="preserve"> </w:t>
      </w:r>
      <w:r>
        <w:t>should</w:t>
      </w:r>
      <w:r>
        <w:rPr>
          <w:spacing w:val="-3"/>
        </w:rPr>
        <w:t xml:space="preserve"> </w:t>
      </w:r>
      <w:r>
        <w:t>support</w:t>
      </w:r>
      <w:r>
        <w:rPr>
          <w:spacing w:val="-1"/>
        </w:rPr>
        <w:t xml:space="preserve"> </w:t>
      </w:r>
      <w:r>
        <w:t>each</w:t>
      </w:r>
      <w:r>
        <w:rPr>
          <w:spacing w:val="-5"/>
        </w:rPr>
        <w:t xml:space="preserve"> </w:t>
      </w:r>
      <w:r>
        <w:t>other</w:t>
      </w:r>
      <w:r>
        <w:rPr>
          <w:spacing w:val="-4"/>
        </w:rPr>
        <w:t xml:space="preserve"> </w:t>
      </w:r>
      <w:r>
        <w:t>without</w:t>
      </w:r>
      <w:r>
        <w:rPr>
          <w:spacing w:val="-1"/>
        </w:rPr>
        <w:t xml:space="preserve"> </w:t>
      </w:r>
      <w:r>
        <w:t>pressure</w:t>
      </w:r>
      <w:r>
        <w:rPr>
          <w:spacing w:val="-4"/>
        </w:rPr>
        <w:t xml:space="preserve"> </w:t>
      </w:r>
      <w:r>
        <w:t>to</w:t>
      </w:r>
      <w:r>
        <w:rPr>
          <w:spacing w:val="-3"/>
        </w:rPr>
        <w:t xml:space="preserve"> </w:t>
      </w:r>
      <w:r>
        <w:t>change,</w:t>
      </w:r>
      <w:r>
        <w:rPr>
          <w:spacing w:val="-2"/>
        </w:rPr>
        <w:t xml:space="preserve"> </w:t>
      </w:r>
      <w:r>
        <w:t>avoid</w:t>
      </w:r>
      <w:r>
        <w:rPr>
          <w:spacing w:val="-3"/>
        </w:rPr>
        <w:t xml:space="preserve"> </w:t>
      </w:r>
      <w:r>
        <w:t>giving</w:t>
      </w:r>
      <w:r>
        <w:rPr>
          <w:spacing w:val="-3"/>
        </w:rPr>
        <w:t xml:space="preserve"> </w:t>
      </w:r>
      <w:r>
        <w:t>advice,</w:t>
      </w:r>
      <w:r>
        <w:rPr>
          <w:spacing w:val="-2"/>
        </w:rPr>
        <w:t xml:space="preserve"> </w:t>
      </w:r>
      <w:r>
        <w:t>focus</w:t>
      </w:r>
      <w:r>
        <w:rPr>
          <w:spacing w:val="-4"/>
        </w:rPr>
        <w:t xml:space="preserve"> </w:t>
      </w:r>
      <w:r>
        <w:t>on positives and possibilities for change) (Miller &amp; Rollnick, 2013).</w:t>
      </w:r>
    </w:p>
    <w:p w14:paraId="2DB58E97" w14:textId="77777777" w:rsidR="00DB6E1F" w:rsidRDefault="00F666A6">
      <w:pPr>
        <w:pStyle w:val="ListParagraph"/>
        <w:numPr>
          <w:ilvl w:val="0"/>
          <w:numId w:val="92"/>
        </w:numPr>
        <w:tabs>
          <w:tab w:val="left" w:pos="1798"/>
          <w:tab w:val="left" w:pos="1800"/>
        </w:tabs>
        <w:spacing w:before="61"/>
        <w:ind w:left="1799" w:hanging="362"/>
        <w:rPr>
          <w:rFonts w:ascii="Symbol" w:hAnsi="Symbol"/>
        </w:rPr>
      </w:pPr>
      <w:r>
        <w:t>Modeling</w:t>
      </w:r>
      <w:r>
        <w:rPr>
          <w:spacing w:val="-8"/>
        </w:rPr>
        <w:t xml:space="preserve"> </w:t>
      </w:r>
      <w:r>
        <w:t>MI</w:t>
      </w:r>
      <w:r>
        <w:rPr>
          <w:spacing w:val="-4"/>
        </w:rPr>
        <w:t xml:space="preserve"> </w:t>
      </w:r>
      <w:r>
        <w:t>skills</w:t>
      </w:r>
      <w:r>
        <w:rPr>
          <w:spacing w:val="-3"/>
        </w:rPr>
        <w:t xml:space="preserve"> </w:t>
      </w:r>
      <w:r>
        <w:t>in</w:t>
      </w:r>
      <w:r>
        <w:rPr>
          <w:spacing w:val="-4"/>
        </w:rPr>
        <w:t xml:space="preserve"> </w:t>
      </w:r>
      <w:r>
        <w:t>groups</w:t>
      </w:r>
      <w:r>
        <w:rPr>
          <w:spacing w:val="-3"/>
        </w:rPr>
        <w:t xml:space="preserve"> </w:t>
      </w:r>
      <w:r>
        <w:t>(Wagner</w:t>
      </w:r>
      <w:r>
        <w:rPr>
          <w:spacing w:val="-5"/>
        </w:rPr>
        <w:t xml:space="preserve"> </w:t>
      </w:r>
      <w:r>
        <w:t>&amp;</w:t>
      </w:r>
      <w:r>
        <w:rPr>
          <w:spacing w:val="-2"/>
        </w:rPr>
        <w:t xml:space="preserve"> </w:t>
      </w:r>
      <w:r>
        <w:t>Ingersoll,</w:t>
      </w:r>
      <w:r>
        <w:rPr>
          <w:spacing w:val="-5"/>
        </w:rPr>
        <w:t xml:space="preserve"> </w:t>
      </w:r>
      <w:r>
        <w:rPr>
          <w:spacing w:val="-2"/>
        </w:rPr>
        <w:t>2013).</w:t>
      </w:r>
    </w:p>
    <w:p w14:paraId="292BF26D" w14:textId="77777777" w:rsidR="00DB6E1F" w:rsidRDefault="00F666A6">
      <w:pPr>
        <w:pStyle w:val="ListParagraph"/>
        <w:numPr>
          <w:ilvl w:val="0"/>
          <w:numId w:val="92"/>
        </w:numPr>
        <w:tabs>
          <w:tab w:val="left" w:pos="1799"/>
          <w:tab w:val="left" w:pos="1800"/>
        </w:tabs>
        <w:spacing w:before="56"/>
        <w:ind w:left="1799"/>
        <w:rPr>
          <w:rFonts w:ascii="Symbol" w:hAnsi="Symbol"/>
        </w:rPr>
      </w:pPr>
      <w:r>
        <w:t>Acknowledging</w:t>
      </w:r>
      <w:r>
        <w:rPr>
          <w:spacing w:val="-8"/>
        </w:rPr>
        <w:t xml:space="preserve"> </w:t>
      </w:r>
      <w:r>
        <w:t>sustain</w:t>
      </w:r>
      <w:r>
        <w:rPr>
          <w:spacing w:val="-5"/>
        </w:rPr>
        <w:t xml:space="preserve"> </w:t>
      </w:r>
      <w:r>
        <w:t>talk</w:t>
      </w:r>
      <w:r>
        <w:rPr>
          <w:spacing w:val="-6"/>
        </w:rPr>
        <w:t xml:space="preserve"> </w:t>
      </w:r>
      <w:r>
        <w:t>but</w:t>
      </w:r>
      <w:r>
        <w:rPr>
          <w:spacing w:val="-4"/>
        </w:rPr>
        <w:t xml:space="preserve"> </w:t>
      </w:r>
      <w:r>
        <w:t>emphasizing</w:t>
      </w:r>
      <w:r>
        <w:rPr>
          <w:spacing w:val="-6"/>
        </w:rPr>
        <w:t xml:space="preserve"> </w:t>
      </w:r>
      <w:r>
        <w:t>and</w:t>
      </w:r>
      <w:r>
        <w:rPr>
          <w:spacing w:val="-5"/>
        </w:rPr>
        <w:t xml:space="preserve"> </w:t>
      </w:r>
      <w:r>
        <w:t>reinforcing</w:t>
      </w:r>
      <w:r>
        <w:rPr>
          <w:spacing w:val="-5"/>
        </w:rPr>
        <w:t xml:space="preserve"> </w:t>
      </w:r>
      <w:r>
        <w:t>change</w:t>
      </w:r>
      <w:r>
        <w:rPr>
          <w:spacing w:val="-7"/>
        </w:rPr>
        <w:t xml:space="preserve"> </w:t>
      </w:r>
      <w:r>
        <w:t>talk</w:t>
      </w:r>
      <w:r>
        <w:rPr>
          <w:spacing w:val="-6"/>
        </w:rPr>
        <w:t xml:space="preserve"> </w:t>
      </w:r>
      <w:r>
        <w:t>(D’Amico</w:t>
      </w:r>
      <w:r>
        <w:rPr>
          <w:spacing w:val="-3"/>
        </w:rPr>
        <w:t xml:space="preserve"> </w:t>
      </w:r>
      <w:r>
        <w:t>et</w:t>
      </w:r>
      <w:r>
        <w:rPr>
          <w:spacing w:val="-3"/>
        </w:rPr>
        <w:t xml:space="preserve"> </w:t>
      </w:r>
      <w:r>
        <w:t>al.,</w:t>
      </w:r>
      <w:r>
        <w:rPr>
          <w:spacing w:val="-6"/>
        </w:rPr>
        <w:t xml:space="preserve"> </w:t>
      </w:r>
      <w:r>
        <w:rPr>
          <w:spacing w:val="-2"/>
        </w:rPr>
        <w:t>2015).</w:t>
      </w:r>
    </w:p>
    <w:p w14:paraId="16000296" w14:textId="77777777" w:rsidR="00DB6E1F" w:rsidRDefault="00DB6E1F">
      <w:pPr>
        <w:pStyle w:val="BodyText"/>
        <w:spacing w:before="6"/>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775C0D28" w14:textId="77777777">
        <w:trPr>
          <w:trHeight w:val="503"/>
        </w:trPr>
        <w:tc>
          <w:tcPr>
            <w:tcW w:w="9350" w:type="dxa"/>
            <w:shd w:val="clear" w:color="auto" w:fill="050505"/>
          </w:tcPr>
          <w:p w14:paraId="196FF6CE" w14:textId="77777777" w:rsidR="00DB6E1F" w:rsidRDefault="00F666A6">
            <w:pPr>
              <w:pStyle w:val="TableParagraph"/>
              <w:spacing w:before="102"/>
              <w:ind w:left="113"/>
              <w:jc w:val="center"/>
              <w:rPr>
                <w:sz w:val="24"/>
              </w:rPr>
            </w:pPr>
            <w:r>
              <w:rPr>
                <w:color w:val="FFFFFF"/>
                <w:sz w:val="24"/>
              </w:rPr>
              <w:t>Expert</w:t>
            </w:r>
            <w:r>
              <w:rPr>
                <w:color w:val="FFFFFF"/>
                <w:spacing w:val="-6"/>
                <w:sz w:val="24"/>
              </w:rPr>
              <w:t xml:space="preserve"> </w:t>
            </w:r>
            <w:r>
              <w:rPr>
                <w:color w:val="FFFFFF"/>
                <w:sz w:val="24"/>
              </w:rPr>
              <w:t>Comment:</w:t>
            </w:r>
            <w:r>
              <w:rPr>
                <w:color w:val="FFFFFF"/>
                <w:spacing w:val="-4"/>
                <w:sz w:val="24"/>
              </w:rPr>
              <w:t xml:space="preserve"> </w:t>
            </w:r>
            <w:r>
              <w:rPr>
                <w:color w:val="FFFFFF"/>
                <w:sz w:val="24"/>
              </w:rPr>
              <w:t>Motivational</w:t>
            </w:r>
            <w:r>
              <w:rPr>
                <w:color w:val="FFFFFF"/>
                <w:spacing w:val="-1"/>
                <w:sz w:val="24"/>
              </w:rPr>
              <w:t xml:space="preserve"> </w:t>
            </w:r>
            <w:r>
              <w:rPr>
                <w:color w:val="FFFFFF"/>
                <w:sz w:val="24"/>
              </w:rPr>
              <w:t>Enhancement</w:t>
            </w:r>
            <w:r>
              <w:rPr>
                <w:color w:val="FFFFFF"/>
                <w:spacing w:val="-1"/>
                <w:sz w:val="24"/>
              </w:rPr>
              <w:t xml:space="preserve"> </w:t>
            </w:r>
            <w:r>
              <w:rPr>
                <w:color w:val="FFFFFF"/>
                <w:sz w:val="24"/>
              </w:rPr>
              <w:t>in</w:t>
            </w:r>
            <w:r>
              <w:rPr>
                <w:color w:val="FFFFFF"/>
                <w:spacing w:val="-3"/>
                <w:sz w:val="24"/>
              </w:rPr>
              <w:t xml:space="preserve"> </w:t>
            </w:r>
            <w:r>
              <w:rPr>
                <w:color w:val="FFFFFF"/>
                <w:sz w:val="24"/>
              </w:rPr>
              <w:t>Group</w:t>
            </w:r>
            <w:r>
              <w:rPr>
                <w:color w:val="FFFFFF"/>
                <w:spacing w:val="-3"/>
                <w:sz w:val="24"/>
              </w:rPr>
              <w:t xml:space="preserve"> </w:t>
            </w:r>
            <w:r>
              <w:rPr>
                <w:color w:val="FFFFFF"/>
                <w:spacing w:val="-2"/>
                <w:sz w:val="24"/>
              </w:rPr>
              <w:t>Counseling</w:t>
            </w:r>
          </w:p>
        </w:tc>
      </w:tr>
      <w:tr w:rsidR="00DB6E1F" w14:paraId="466EEB19" w14:textId="77777777">
        <w:trPr>
          <w:trHeight w:val="976"/>
        </w:trPr>
        <w:tc>
          <w:tcPr>
            <w:tcW w:w="9350" w:type="dxa"/>
          </w:tcPr>
          <w:p w14:paraId="2171ACF2" w14:textId="77777777" w:rsidR="00DB6E1F" w:rsidRDefault="00F666A6">
            <w:pPr>
              <w:pStyle w:val="TableParagraph"/>
              <w:rPr>
                <w:sz w:val="20"/>
              </w:rPr>
            </w:pPr>
            <w:r>
              <w:rPr>
                <w:sz w:val="20"/>
              </w:rPr>
              <w:t>Conducting motivational interventions in a group versus individual format is more difficult, more complex, and more challenging. Personally, however, I find it much more rewarding. In group counseling, particul</w:t>
            </w:r>
            <w:r>
              <w:rPr>
                <w:sz w:val="20"/>
              </w:rPr>
              <w:t>arly using motivational</w:t>
            </w:r>
            <w:r>
              <w:rPr>
                <w:spacing w:val="-2"/>
                <w:sz w:val="20"/>
              </w:rPr>
              <w:t xml:space="preserve"> </w:t>
            </w:r>
            <w:r>
              <w:rPr>
                <w:sz w:val="20"/>
              </w:rPr>
              <w:t>techniques</w:t>
            </w:r>
            <w:r>
              <w:rPr>
                <w:spacing w:val="-3"/>
                <w:sz w:val="20"/>
              </w:rPr>
              <w:t xml:space="preserve"> </w:t>
            </w:r>
            <w:r>
              <w:rPr>
                <w:sz w:val="20"/>
              </w:rPr>
              <w:t>and</w:t>
            </w:r>
            <w:r>
              <w:rPr>
                <w:spacing w:val="-1"/>
                <w:sz w:val="20"/>
              </w:rPr>
              <w:t xml:space="preserve"> </w:t>
            </w:r>
            <w:r>
              <w:rPr>
                <w:sz w:val="20"/>
              </w:rPr>
              <w:t>strategies,</w:t>
            </w:r>
            <w:r>
              <w:rPr>
                <w:spacing w:val="-1"/>
                <w:sz w:val="20"/>
              </w:rPr>
              <w:t xml:space="preserve"> </w:t>
            </w:r>
            <w:r>
              <w:rPr>
                <w:sz w:val="20"/>
              </w:rPr>
              <w:t>clients</w:t>
            </w:r>
            <w:r>
              <w:rPr>
                <w:spacing w:val="-3"/>
                <w:sz w:val="20"/>
              </w:rPr>
              <w:t xml:space="preserve"> </w:t>
            </w:r>
            <w:r>
              <w:rPr>
                <w:sz w:val="20"/>
              </w:rPr>
              <w:t>learn</w:t>
            </w:r>
            <w:r>
              <w:rPr>
                <w:spacing w:val="-1"/>
                <w:sz w:val="20"/>
              </w:rPr>
              <w:t xml:space="preserve"> </w:t>
            </w:r>
            <w:r>
              <w:rPr>
                <w:sz w:val="20"/>
              </w:rPr>
              <w:t>through</w:t>
            </w:r>
            <w:r>
              <w:rPr>
                <w:spacing w:val="-1"/>
                <w:sz w:val="20"/>
              </w:rPr>
              <w:t xml:space="preserve"> </w:t>
            </w:r>
            <w:r>
              <w:rPr>
                <w:sz w:val="20"/>
              </w:rPr>
              <w:t>the</w:t>
            </w:r>
            <w:r>
              <w:rPr>
                <w:spacing w:val="-3"/>
                <w:sz w:val="20"/>
              </w:rPr>
              <w:t xml:space="preserve"> </w:t>
            </w:r>
            <w:r>
              <w:rPr>
                <w:sz w:val="20"/>
              </w:rPr>
              <w:t>group.</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like</w:t>
            </w:r>
            <w:r>
              <w:rPr>
                <w:spacing w:val="-3"/>
                <w:sz w:val="20"/>
              </w:rPr>
              <w:t xml:space="preserve"> </w:t>
            </w:r>
            <w:r>
              <w:rPr>
                <w:sz w:val="20"/>
              </w:rPr>
              <w:t>a</w:t>
            </w:r>
            <w:r>
              <w:rPr>
                <w:spacing w:val="-2"/>
                <w:sz w:val="20"/>
              </w:rPr>
              <w:t xml:space="preserve"> </w:t>
            </w:r>
            <w:r>
              <w:rPr>
                <w:sz w:val="20"/>
              </w:rPr>
              <w:t>hall</w:t>
            </w:r>
            <w:r>
              <w:rPr>
                <w:spacing w:val="-2"/>
                <w:sz w:val="20"/>
              </w:rPr>
              <w:t xml:space="preserve"> </w:t>
            </w:r>
            <w:r>
              <w:rPr>
                <w:sz w:val="20"/>
              </w:rPr>
              <w:t>of</w:t>
            </w:r>
            <w:r>
              <w:rPr>
                <w:spacing w:val="-3"/>
                <w:sz w:val="20"/>
              </w:rPr>
              <w:t xml:space="preserve"> </w:t>
            </w:r>
            <w:r>
              <w:rPr>
                <w:sz w:val="20"/>
              </w:rPr>
              <w:t>mirrors;</w:t>
            </w:r>
            <w:r>
              <w:rPr>
                <w:spacing w:val="-3"/>
                <w:sz w:val="20"/>
              </w:rPr>
              <w:t xml:space="preserve"> </w:t>
            </w:r>
            <w:r>
              <w:rPr>
                <w:sz w:val="20"/>
              </w:rPr>
              <w:t>clients</w:t>
            </w:r>
            <w:r>
              <w:rPr>
                <w:spacing w:val="-3"/>
                <w:sz w:val="20"/>
              </w:rPr>
              <w:t xml:space="preserve"> </w:t>
            </w:r>
            <w:r>
              <w:rPr>
                <w:sz w:val="20"/>
              </w:rPr>
              <w:t>get</w:t>
            </w:r>
            <w:r>
              <w:rPr>
                <w:spacing w:val="-2"/>
                <w:sz w:val="20"/>
              </w:rPr>
              <w:t xml:space="preserve"> </w:t>
            </w:r>
            <w:r>
              <w:rPr>
                <w:sz w:val="20"/>
              </w:rPr>
              <w:t>the</w:t>
            </w:r>
          </w:p>
          <w:p w14:paraId="21048BAB" w14:textId="77777777" w:rsidR="00DB6E1F" w:rsidRDefault="00F666A6">
            <w:pPr>
              <w:pStyle w:val="TableParagraph"/>
              <w:spacing w:before="0" w:line="223" w:lineRule="exact"/>
              <w:rPr>
                <w:sz w:val="20"/>
              </w:rPr>
            </w:pPr>
            <w:r>
              <w:rPr>
                <w:sz w:val="20"/>
              </w:rPr>
              <w:t>feel</w:t>
            </w:r>
            <w:r>
              <w:rPr>
                <w:spacing w:val="-6"/>
                <w:sz w:val="20"/>
              </w:rPr>
              <w:t xml:space="preserve"> </w:t>
            </w:r>
            <w:r>
              <w:rPr>
                <w:sz w:val="20"/>
              </w:rPr>
              <w:t>of</w:t>
            </w:r>
            <w:r>
              <w:rPr>
                <w:spacing w:val="-6"/>
                <w:sz w:val="20"/>
              </w:rPr>
              <w:t xml:space="preserve"> </w:t>
            </w:r>
            <w:r>
              <w:rPr>
                <w:sz w:val="20"/>
              </w:rPr>
              <w:t>how</w:t>
            </w:r>
            <w:r>
              <w:rPr>
                <w:spacing w:val="-6"/>
                <w:sz w:val="20"/>
              </w:rPr>
              <w:t xml:space="preserve"> </w:t>
            </w:r>
            <w:r>
              <w:rPr>
                <w:sz w:val="20"/>
              </w:rPr>
              <w:t>they</w:t>
            </w:r>
            <w:r>
              <w:rPr>
                <w:spacing w:val="-4"/>
                <w:sz w:val="20"/>
              </w:rPr>
              <w:t xml:space="preserve"> </w:t>
            </w:r>
            <w:r>
              <w:rPr>
                <w:sz w:val="20"/>
              </w:rPr>
              <w:t>come</w:t>
            </w:r>
            <w:r>
              <w:rPr>
                <w:spacing w:val="-6"/>
                <w:sz w:val="20"/>
              </w:rPr>
              <w:t xml:space="preserve"> </w:t>
            </w:r>
            <w:r>
              <w:rPr>
                <w:sz w:val="20"/>
              </w:rPr>
              <w:t>across.</w:t>
            </w:r>
            <w:r>
              <w:rPr>
                <w:spacing w:val="-3"/>
                <w:sz w:val="20"/>
              </w:rPr>
              <w:t xml:space="preserve"> </w:t>
            </w:r>
            <w:r>
              <w:rPr>
                <w:sz w:val="20"/>
              </w:rPr>
              <w:t>For</w:t>
            </w:r>
            <w:r>
              <w:rPr>
                <w:spacing w:val="-5"/>
                <w:sz w:val="20"/>
              </w:rPr>
              <w:t xml:space="preserve"> </w:t>
            </w:r>
            <w:r>
              <w:rPr>
                <w:sz w:val="20"/>
              </w:rPr>
              <w:t>me,</w:t>
            </w:r>
            <w:r>
              <w:rPr>
                <w:spacing w:val="-4"/>
                <w:sz w:val="20"/>
              </w:rPr>
              <w:t xml:space="preserve"> </w:t>
            </w:r>
            <w:r>
              <w:rPr>
                <w:sz w:val="20"/>
              </w:rPr>
              <w:t>when</w:t>
            </w:r>
            <w:r>
              <w:rPr>
                <w:spacing w:val="-5"/>
                <w:sz w:val="20"/>
              </w:rPr>
              <w:t xml:space="preserve"> </w:t>
            </w:r>
            <w:r>
              <w:rPr>
                <w:sz w:val="20"/>
              </w:rPr>
              <w:t>a</w:t>
            </w:r>
            <w:r>
              <w:rPr>
                <w:spacing w:val="-4"/>
                <w:sz w:val="20"/>
              </w:rPr>
              <w:t xml:space="preserve"> </w:t>
            </w:r>
            <w:r>
              <w:rPr>
                <w:sz w:val="20"/>
              </w:rPr>
              <w:t>client</w:t>
            </w:r>
            <w:r>
              <w:rPr>
                <w:spacing w:val="-5"/>
                <w:sz w:val="20"/>
              </w:rPr>
              <w:t xml:space="preserve"> </w:t>
            </w:r>
            <w:r>
              <w:rPr>
                <w:sz w:val="20"/>
              </w:rPr>
              <w:t>uses</w:t>
            </w:r>
            <w:r>
              <w:rPr>
                <w:spacing w:val="-6"/>
                <w:sz w:val="20"/>
              </w:rPr>
              <w:t xml:space="preserve"> </w:t>
            </w:r>
            <w:r>
              <w:rPr>
                <w:sz w:val="20"/>
              </w:rPr>
              <w:t>reflective</w:t>
            </w:r>
            <w:r>
              <w:rPr>
                <w:spacing w:val="-6"/>
                <w:sz w:val="20"/>
              </w:rPr>
              <w:t xml:space="preserve"> </w:t>
            </w:r>
            <w:r>
              <w:rPr>
                <w:sz w:val="20"/>
              </w:rPr>
              <w:t>listening</w:t>
            </w:r>
            <w:r>
              <w:rPr>
                <w:spacing w:val="-3"/>
                <w:sz w:val="20"/>
              </w:rPr>
              <w:t xml:space="preserve"> </w:t>
            </w:r>
            <w:r>
              <w:rPr>
                <w:sz w:val="20"/>
              </w:rPr>
              <w:t>with</w:t>
            </w:r>
            <w:r>
              <w:rPr>
                <w:spacing w:val="-4"/>
                <w:sz w:val="20"/>
              </w:rPr>
              <w:t xml:space="preserve"> </w:t>
            </w:r>
            <w:r>
              <w:rPr>
                <w:sz w:val="20"/>
              </w:rPr>
              <w:t>another</w:t>
            </w:r>
            <w:r>
              <w:rPr>
                <w:spacing w:val="-6"/>
                <w:sz w:val="20"/>
              </w:rPr>
              <w:t xml:space="preserve"> </w:t>
            </w:r>
            <w:r>
              <w:rPr>
                <w:sz w:val="20"/>
              </w:rPr>
              <w:t>client</w:t>
            </w:r>
            <w:r>
              <w:rPr>
                <w:spacing w:val="-5"/>
                <w:sz w:val="20"/>
              </w:rPr>
              <w:t xml:space="preserve"> </w:t>
            </w:r>
            <w:r>
              <w:rPr>
                <w:sz w:val="20"/>
              </w:rPr>
              <w:t>or</w:t>
            </w:r>
            <w:r>
              <w:rPr>
                <w:spacing w:val="-5"/>
                <w:sz w:val="20"/>
              </w:rPr>
              <w:t xml:space="preserve"> </w:t>
            </w:r>
            <w:r>
              <w:rPr>
                <w:sz w:val="20"/>
              </w:rPr>
              <w:t>points</w:t>
            </w:r>
            <w:r>
              <w:rPr>
                <w:spacing w:val="-6"/>
                <w:sz w:val="20"/>
              </w:rPr>
              <w:t xml:space="preserve"> </w:t>
            </w:r>
            <w:r>
              <w:rPr>
                <w:spacing w:val="-5"/>
                <w:sz w:val="20"/>
              </w:rPr>
              <w:t>out</w:t>
            </w:r>
          </w:p>
        </w:tc>
      </w:tr>
    </w:tbl>
    <w:p w14:paraId="283DFEF7" w14:textId="77777777" w:rsidR="00DB6E1F" w:rsidRDefault="00DB6E1F">
      <w:pPr>
        <w:spacing w:line="223" w:lineRule="exact"/>
        <w:rPr>
          <w:sz w:val="20"/>
        </w:rPr>
        <w:sectPr w:rsidR="00DB6E1F">
          <w:pgSz w:w="12240" w:h="15840"/>
          <w:pgMar w:top="1200" w:right="0" w:bottom="780" w:left="0" w:header="763" w:footer="585" w:gutter="0"/>
          <w:cols w:space="720"/>
        </w:sectPr>
      </w:pPr>
    </w:p>
    <w:p w14:paraId="6D6B1E3F"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C3D9EEC" w14:textId="77777777">
        <w:trPr>
          <w:trHeight w:val="1177"/>
        </w:trPr>
        <w:tc>
          <w:tcPr>
            <w:tcW w:w="9350" w:type="dxa"/>
          </w:tcPr>
          <w:p w14:paraId="417452E5" w14:textId="77777777" w:rsidR="00DB6E1F" w:rsidRDefault="00F666A6">
            <w:pPr>
              <w:pStyle w:val="TableParagraph"/>
              <w:ind w:right="117"/>
              <w:rPr>
                <w:sz w:val="20"/>
              </w:rPr>
            </w:pPr>
            <w:r>
              <w:rPr>
                <w:sz w:val="20"/>
              </w:rPr>
              <w:t>another</w:t>
            </w:r>
            <w:r>
              <w:rPr>
                <w:spacing w:val="-3"/>
                <w:sz w:val="20"/>
              </w:rPr>
              <w:t xml:space="preserve"> </w:t>
            </w:r>
            <w:r>
              <w:rPr>
                <w:sz w:val="20"/>
              </w:rPr>
              <w:t>client’s</w:t>
            </w:r>
            <w:r>
              <w:rPr>
                <w:spacing w:val="-4"/>
                <w:sz w:val="20"/>
              </w:rPr>
              <w:t xml:space="preserve"> </w:t>
            </w:r>
            <w:r>
              <w:rPr>
                <w:sz w:val="20"/>
              </w:rPr>
              <w:t>ambivalence,</w:t>
            </w:r>
            <w:r>
              <w:rPr>
                <w:spacing w:val="-2"/>
                <w:sz w:val="20"/>
              </w:rPr>
              <w:t xml:space="preserve"> </w:t>
            </w:r>
            <w:r>
              <w:rPr>
                <w:sz w:val="20"/>
              </w:rPr>
              <w:t>the</w:t>
            </w:r>
            <w:r>
              <w:rPr>
                <w:spacing w:val="-4"/>
                <w:sz w:val="20"/>
              </w:rPr>
              <w:t xml:space="preserve"> </w:t>
            </w:r>
            <w:r>
              <w:rPr>
                <w:sz w:val="20"/>
              </w:rPr>
              <w:t>group</w:t>
            </w:r>
            <w:r>
              <w:rPr>
                <w:spacing w:val="-2"/>
                <w:sz w:val="20"/>
              </w:rPr>
              <w:t xml:space="preserve"> </w:t>
            </w:r>
            <w:r>
              <w:rPr>
                <w:sz w:val="20"/>
              </w:rPr>
              <w:t>is</w:t>
            </w:r>
            <w:r>
              <w:rPr>
                <w:spacing w:val="-4"/>
                <w:sz w:val="20"/>
              </w:rPr>
              <w:t xml:space="preserve"> </w:t>
            </w:r>
            <w:r>
              <w:rPr>
                <w:sz w:val="20"/>
              </w:rPr>
              <w:t>like</w:t>
            </w:r>
            <w:r>
              <w:rPr>
                <w:spacing w:val="-4"/>
                <w:sz w:val="20"/>
              </w:rPr>
              <w:t xml:space="preserve"> </w:t>
            </w:r>
            <w:r>
              <w:rPr>
                <w:sz w:val="20"/>
              </w:rPr>
              <w:t>a</w:t>
            </w:r>
            <w:r>
              <w:rPr>
                <w:spacing w:val="-2"/>
                <w:sz w:val="20"/>
              </w:rPr>
              <w:t xml:space="preserve"> </w:t>
            </w:r>
            <w:r>
              <w:rPr>
                <w:sz w:val="20"/>
              </w:rPr>
              <w:t>living,</w:t>
            </w:r>
            <w:r>
              <w:rPr>
                <w:spacing w:val="-2"/>
                <w:sz w:val="20"/>
              </w:rPr>
              <w:t xml:space="preserve"> </w:t>
            </w:r>
            <w:r>
              <w:rPr>
                <w:sz w:val="20"/>
              </w:rPr>
              <w:t>learning</w:t>
            </w:r>
            <w:r>
              <w:rPr>
                <w:spacing w:val="-3"/>
                <w:sz w:val="20"/>
              </w:rPr>
              <w:t xml:space="preserve"> </w:t>
            </w:r>
            <w:r>
              <w:rPr>
                <w:sz w:val="20"/>
              </w:rPr>
              <w:t>laboratory</w:t>
            </w:r>
            <w:r>
              <w:rPr>
                <w:spacing w:val="-2"/>
                <w:sz w:val="20"/>
              </w:rPr>
              <w:t xml:space="preserve"> </w:t>
            </w:r>
            <w:r>
              <w:rPr>
                <w:sz w:val="20"/>
              </w:rPr>
              <w:t>of</w:t>
            </w:r>
            <w:r>
              <w:rPr>
                <w:spacing w:val="-4"/>
                <w:sz w:val="20"/>
              </w:rPr>
              <w:t xml:space="preserve"> </w:t>
            </w:r>
            <w:r>
              <w:rPr>
                <w:sz w:val="20"/>
              </w:rPr>
              <w:t>experiences</w:t>
            </w:r>
            <w:r>
              <w:rPr>
                <w:spacing w:val="-2"/>
                <w:sz w:val="20"/>
              </w:rPr>
              <w:t xml:space="preserve"> </w:t>
            </w:r>
            <w:r>
              <w:rPr>
                <w:sz w:val="20"/>
              </w:rPr>
              <w:t>practiced</w:t>
            </w:r>
            <w:r>
              <w:rPr>
                <w:spacing w:val="-2"/>
                <w:sz w:val="20"/>
              </w:rPr>
              <w:t xml:space="preserve"> </w:t>
            </w:r>
            <w:r>
              <w:rPr>
                <w:sz w:val="20"/>
              </w:rPr>
              <w:t>first</w:t>
            </w:r>
            <w:r>
              <w:rPr>
                <w:spacing w:val="-3"/>
                <w:sz w:val="20"/>
              </w:rPr>
              <w:t xml:space="preserve"> </w:t>
            </w:r>
            <w:r>
              <w:rPr>
                <w:sz w:val="20"/>
              </w:rPr>
              <w:t>in</w:t>
            </w:r>
            <w:r>
              <w:rPr>
                <w:spacing w:val="-2"/>
                <w:sz w:val="20"/>
              </w:rPr>
              <w:t xml:space="preserve"> </w:t>
            </w:r>
            <w:r>
              <w:rPr>
                <w:sz w:val="20"/>
              </w:rPr>
              <w:t>a</w:t>
            </w:r>
            <w:r>
              <w:rPr>
                <w:spacing w:val="-3"/>
                <w:sz w:val="20"/>
              </w:rPr>
              <w:t xml:space="preserve"> </w:t>
            </w:r>
            <w:r>
              <w:rPr>
                <w:sz w:val="20"/>
              </w:rPr>
              <w:t>safe environment before being tried in the real world. In the end, what the members have is a common goal to reduce or stop substance misuse</w:t>
            </w:r>
            <w:r>
              <w:rPr>
                <w:sz w:val="20"/>
              </w:rPr>
              <w:t>, and it is here that their mutual support and peer pressure is effective.</w:t>
            </w:r>
          </w:p>
          <w:p w14:paraId="269CE659" w14:textId="77777777" w:rsidR="00DB6E1F" w:rsidRDefault="00F666A6">
            <w:pPr>
              <w:pStyle w:val="TableParagraph"/>
              <w:spacing w:before="120"/>
              <w:rPr>
                <w:i/>
                <w:sz w:val="20"/>
              </w:rPr>
            </w:pPr>
            <w:r>
              <w:rPr>
                <w:i/>
                <w:sz w:val="20"/>
              </w:rPr>
              <w:t>Linda</w:t>
            </w:r>
            <w:r>
              <w:rPr>
                <w:i/>
                <w:spacing w:val="-6"/>
                <w:sz w:val="20"/>
              </w:rPr>
              <w:t xml:space="preserve"> </w:t>
            </w:r>
            <w:r>
              <w:rPr>
                <w:i/>
                <w:sz w:val="20"/>
              </w:rPr>
              <w:t>C.</w:t>
            </w:r>
            <w:r>
              <w:rPr>
                <w:i/>
                <w:spacing w:val="-6"/>
                <w:sz w:val="20"/>
              </w:rPr>
              <w:t xml:space="preserve"> </w:t>
            </w:r>
            <w:r>
              <w:rPr>
                <w:i/>
                <w:sz w:val="20"/>
              </w:rPr>
              <w:t>Sobell,</w:t>
            </w:r>
            <w:r>
              <w:rPr>
                <w:i/>
                <w:spacing w:val="-5"/>
                <w:sz w:val="20"/>
              </w:rPr>
              <w:t xml:space="preserve"> </w:t>
            </w:r>
            <w:r>
              <w:rPr>
                <w:i/>
                <w:sz w:val="20"/>
              </w:rPr>
              <w:t>Ph.D.,</w:t>
            </w:r>
            <w:r>
              <w:rPr>
                <w:i/>
                <w:spacing w:val="-5"/>
                <w:sz w:val="20"/>
              </w:rPr>
              <w:t xml:space="preserve"> </w:t>
            </w:r>
            <w:r>
              <w:rPr>
                <w:i/>
                <w:sz w:val="20"/>
              </w:rPr>
              <w:t>Consensus</w:t>
            </w:r>
            <w:r>
              <w:rPr>
                <w:i/>
                <w:spacing w:val="-7"/>
                <w:sz w:val="20"/>
              </w:rPr>
              <w:t xml:space="preserve"> </w:t>
            </w:r>
            <w:r>
              <w:rPr>
                <w:i/>
                <w:sz w:val="20"/>
              </w:rPr>
              <w:t>Panel</w:t>
            </w:r>
            <w:r>
              <w:rPr>
                <w:i/>
                <w:spacing w:val="-6"/>
                <w:sz w:val="20"/>
              </w:rPr>
              <w:t xml:space="preserve"> </w:t>
            </w:r>
            <w:r>
              <w:rPr>
                <w:i/>
                <w:spacing w:val="-2"/>
                <w:sz w:val="20"/>
              </w:rPr>
              <w:t>Member</w:t>
            </w:r>
          </w:p>
        </w:tc>
      </w:tr>
    </w:tbl>
    <w:p w14:paraId="1306C597" w14:textId="77777777" w:rsidR="00DB6E1F" w:rsidRDefault="00DB6E1F">
      <w:pPr>
        <w:pStyle w:val="BodyText"/>
        <w:spacing w:before="4"/>
        <w:rPr>
          <w:sz w:val="8"/>
        </w:rPr>
      </w:pPr>
    </w:p>
    <w:p w14:paraId="05D6DD18" w14:textId="77777777" w:rsidR="00DB6E1F" w:rsidRDefault="00F666A6">
      <w:pPr>
        <w:pStyle w:val="BodyText"/>
        <w:spacing w:before="56"/>
        <w:ind w:left="1439" w:right="1444"/>
      </w:pPr>
      <w:r>
        <w:t>Evidence shows that, despite some challenges, MI can be delivered successfully in a group context, particularly</w:t>
      </w:r>
      <w:r>
        <w:rPr>
          <w:spacing w:val="-3"/>
        </w:rPr>
        <w:t xml:space="preserve"> </w:t>
      </w:r>
      <w:r>
        <w:t>when</w:t>
      </w:r>
      <w:r>
        <w:rPr>
          <w:spacing w:val="-2"/>
        </w:rPr>
        <w:t xml:space="preserve"> </w:t>
      </w:r>
      <w:r>
        <w:t>group</w:t>
      </w:r>
      <w:r>
        <w:rPr>
          <w:spacing w:val="-3"/>
        </w:rPr>
        <w:t xml:space="preserve"> </w:t>
      </w:r>
      <w:r>
        <w:t>participants</w:t>
      </w:r>
      <w:r>
        <w:rPr>
          <w:spacing w:val="-2"/>
        </w:rPr>
        <w:t xml:space="preserve"> </w:t>
      </w:r>
      <w:r>
        <w:t>hear</w:t>
      </w:r>
      <w:r>
        <w:rPr>
          <w:spacing w:val="-4"/>
        </w:rPr>
        <w:t xml:space="preserve"> </w:t>
      </w:r>
      <w:r>
        <w:t>more</w:t>
      </w:r>
      <w:r>
        <w:rPr>
          <w:spacing w:val="-4"/>
        </w:rPr>
        <w:t xml:space="preserve"> </w:t>
      </w:r>
      <w:r>
        <w:t>change</w:t>
      </w:r>
      <w:r>
        <w:rPr>
          <w:spacing w:val="-1"/>
        </w:rPr>
        <w:t xml:space="preserve"> </w:t>
      </w:r>
      <w:r>
        <w:t>talk</w:t>
      </w:r>
      <w:r>
        <w:rPr>
          <w:spacing w:val="-4"/>
        </w:rPr>
        <w:t xml:space="preserve"> </w:t>
      </w:r>
      <w:r>
        <w:t>than</w:t>
      </w:r>
      <w:r>
        <w:rPr>
          <w:spacing w:val="-3"/>
        </w:rPr>
        <w:t xml:space="preserve"> </w:t>
      </w:r>
      <w:r>
        <w:t>sustain</w:t>
      </w:r>
      <w:r>
        <w:rPr>
          <w:spacing w:val="-5"/>
        </w:rPr>
        <w:t xml:space="preserve"> </w:t>
      </w:r>
      <w:r>
        <w:t>talk</w:t>
      </w:r>
      <w:r>
        <w:rPr>
          <w:spacing w:val="-3"/>
        </w:rPr>
        <w:t xml:space="preserve"> </w:t>
      </w:r>
      <w:r>
        <w:t>(Osilla</w:t>
      </w:r>
      <w:r>
        <w:rPr>
          <w:spacing w:val="-2"/>
        </w:rPr>
        <w:t xml:space="preserve"> </w:t>
      </w:r>
      <w:r>
        <w:t>et</w:t>
      </w:r>
      <w:r>
        <w:rPr>
          <w:spacing w:val="-1"/>
        </w:rPr>
        <w:t xml:space="preserve"> </w:t>
      </w:r>
      <w:r>
        <w:t>al.,</w:t>
      </w:r>
      <w:r>
        <w:rPr>
          <w:spacing w:val="-4"/>
        </w:rPr>
        <w:t xml:space="preserve"> </w:t>
      </w:r>
      <w:r>
        <w:t>2015).</w:t>
      </w:r>
      <w:r>
        <w:rPr>
          <w:spacing w:val="-5"/>
        </w:rPr>
        <w:t xml:space="preserve"> </w:t>
      </w:r>
      <w:r>
        <w:t>Positive outcomes from MI in groups include decreased alc</w:t>
      </w:r>
      <w:r>
        <w:t>ohol use and alcohol misuse among adolescents, greater retention in SUD treatment after detoxification, increased retention in</w:t>
      </w:r>
      <w:r>
        <w:rPr>
          <w:spacing w:val="-1"/>
        </w:rPr>
        <w:t xml:space="preserve"> </w:t>
      </w:r>
      <w:r>
        <w:t>methadone maintenance treatment,</w:t>
      </w:r>
      <w:r>
        <w:rPr>
          <w:spacing w:val="-2"/>
        </w:rPr>
        <w:t xml:space="preserve"> </w:t>
      </w:r>
      <w:r>
        <w:t>and</w:t>
      </w:r>
      <w:r>
        <w:rPr>
          <w:spacing w:val="-3"/>
        </w:rPr>
        <w:t xml:space="preserve"> </w:t>
      </w:r>
      <w:r>
        <w:t>adherence</w:t>
      </w:r>
      <w:r>
        <w:rPr>
          <w:spacing w:val="-4"/>
        </w:rPr>
        <w:t xml:space="preserve"> </w:t>
      </w:r>
      <w:r>
        <w:t>to</w:t>
      </w:r>
      <w:r>
        <w:rPr>
          <w:spacing w:val="-1"/>
        </w:rPr>
        <w:t xml:space="preserve"> </w:t>
      </w:r>
      <w:r>
        <w:t>risk-reduction</w:t>
      </w:r>
      <w:r>
        <w:rPr>
          <w:spacing w:val="-3"/>
        </w:rPr>
        <w:t xml:space="preserve"> </w:t>
      </w:r>
      <w:r>
        <w:t>behaviors</w:t>
      </w:r>
      <w:r>
        <w:rPr>
          <w:spacing w:val="-4"/>
        </w:rPr>
        <w:t xml:space="preserve"> </w:t>
      </w:r>
      <w:r>
        <w:t>in</w:t>
      </w:r>
      <w:r>
        <w:rPr>
          <w:spacing w:val="-3"/>
        </w:rPr>
        <w:t xml:space="preserve"> </w:t>
      </w:r>
      <w:r>
        <w:t>women</w:t>
      </w:r>
      <w:r>
        <w:rPr>
          <w:spacing w:val="-3"/>
        </w:rPr>
        <w:t xml:space="preserve"> </w:t>
      </w:r>
      <w:r>
        <w:t>infected</w:t>
      </w:r>
      <w:r>
        <w:rPr>
          <w:spacing w:val="-3"/>
        </w:rPr>
        <w:t xml:space="preserve"> </w:t>
      </w:r>
      <w:r>
        <w:t>with</w:t>
      </w:r>
      <w:r>
        <w:rPr>
          <w:spacing w:val="-3"/>
        </w:rPr>
        <w:t xml:space="preserve"> </w:t>
      </w:r>
      <w:r>
        <w:t>HIV</w:t>
      </w:r>
      <w:r>
        <w:rPr>
          <w:spacing w:val="-1"/>
        </w:rPr>
        <w:t xml:space="preserve"> </w:t>
      </w:r>
      <w:r>
        <w:t>(Bachiller</w:t>
      </w:r>
      <w:r>
        <w:rPr>
          <w:spacing w:val="-4"/>
        </w:rPr>
        <w:t xml:space="preserve"> </w:t>
      </w:r>
      <w:r>
        <w:t>et</w:t>
      </w:r>
      <w:r>
        <w:rPr>
          <w:spacing w:val="-1"/>
        </w:rPr>
        <w:t xml:space="preserve"> </w:t>
      </w:r>
      <w:r>
        <w:t>al.,</w:t>
      </w:r>
      <w:r>
        <w:rPr>
          <w:spacing w:val="-4"/>
        </w:rPr>
        <w:t xml:space="preserve"> </w:t>
      </w:r>
      <w:r>
        <w:t>2015; D’</w:t>
      </w:r>
      <w:r>
        <w:t>Amico et al., 2015; Holstad et al., 2010; Navidian, Kermansaravi, Tabas, &amp; Saeedinezhad, 2016).</w:t>
      </w:r>
    </w:p>
    <w:p w14:paraId="1EEC8DC7" w14:textId="77777777" w:rsidR="00DB6E1F" w:rsidRDefault="00F666A6">
      <w:pPr>
        <w:pStyle w:val="BodyText"/>
        <w:spacing w:before="160"/>
        <w:ind w:left="1438" w:right="1468"/>
      </w:pPr>
      <w:r>
        <w:t>Integrating</w:t>
      </w:r>
      <w:r>
        <w:rPr>
          <w:spacing w:val="-1"/>
        </w:rPr>
        <w:t xml:space="preserve"> </w:t>
      </w:r>
      <w:r>
        <w:t>MI into group</w:t>
      </w:r>
      <w:r>
        <w:rPr>
          <w:spacing w:val="-1"/>
        </w:rPr>
        <w:t xml:space="preserve"> </w:t>
      </w:r>
      <w:r>
        <w:t>treatment requires group</w:t>
      </w:r>
      <w:r>
        <w:rPr>
          <w:spacing w:val="-1"/>
        </w:rPr>
        <w:t xml:space="preserve"> </w:t>
      </w:r>
      <w:r>
        <w:t>counselors to have</w:t>
      </w:r>
      <w:r>
        <w:rPr>
          <w:spacing w:val="-2"/>
        </w:rPr>
        <w:t xml:space="preserve"> </w:t>
      </w:r>
      <w:r>
        <w:t>training</w:t>
      </w:r>
      <w:r>
        <w:rPr>
          <w:spacing w:val="-1"/>
        </w:rPr>
        <w:t xml:space="preserve"> </w:t>
      </w:r>
      <w:r>
        <w:t>and</w:t>
      </w:r>
      <w:r>
        <w:rPr>
          <w:spacing w:val="-1"/>
        </w:rPr>
        <w:t xml:space="preserve"> </w:t>
      </w:r>
      <w:r>
        <w:t>ongoing</w:t>
      </w:r>
      <w:r>
        <w:rPr>
          <w:spacing w:val="-1"/>
        </w:rPr>
        <w:t xml:space="preserve"> </w:t>
      </w:r>
      <w:r>
        <w:t xml:space="preserve">supervision in both MI strategies and group process. The </w:t>
      </w:r>
      <w:r>
        <w:rPr>
          <w:b/>
        </w:rPr>
        <w:t>Assessment of Motivational Interviewing Groups</w:t>
      </w:r>
      <w:r>
        <w:rPr>
          <w:rFonts w:ascii="Arial" w:hAnsi="Arial"/>
          <w:b/>
        </w:rPr>
        <w:t xml:space="preserve">— </w:t>
      </w:r>
      <w:r>
        <w:rPr>
          <w:b/>
        </w:rPr>
        <w:t>Observer Scale (AMIGOS</w:t>
      </w:r>
      <w:r>
        <w:rPr>
          <w:rFonts w:ascii="Arial" w:hAnsi="Arial"/>
          <w:b/>
        </w:rPr>
        <w:t>‒</w:t>
      </w:r>
      <w:r>
        <w:rPr>
          <w:b/>
        </w:rPr>
        <w:t xml:space="preserve">v 1.2) </w:t>
      </w:r>
      <w:r>
        <w:t>is a validated tool that assesses counselor skills in group processes, client-centered</w:t>
      </w:r>
      <w:r>
        <w:rPr>
          <w:spacing w:val="-3"/>
        </w:rPr>
        <w:t xml:space="preserve"> </w:t>
      </w:r>
      <w:r>
        <w:t>focus,</w:t>
      </w:r>
      <w:r>
        <w:rPr>
          <w:spacing w:val="-4"/>
        </w:rPr>
        <w:t xml:space="preserve"> </w:t>
      </w:r>
      <w:r>
        <w:t>and</w:t>
      </w:r>
      <w:r>
        <w:rPr>
          <w:spacing w:val="-5"/>
        </w:rPr>
        <w:t xml:space="preserve"> </w:t>
      </w:r>
      <w:r>
        <w:t>using</w:t>
      </w:r>
      <w:r>
        <w:rPr>
          <w:spacing w:val="-3"/>
        </w:rPr>
        <w:t xml:space="preserve"> </w:t>
      </w:r>
      <w:r>
        <w:t>MI</w:t>
      </w:r>
      <w:r>
        <w:rPr>
          <w:spacing w:val="-2"/>
        </w:rPr>
        <w:t xml:space="preserve"> </w:t>
      </w:r>
      <w:r>
        <w:t>in</w:t>
      </w:r>
      <w:r>
        <w:rPr>
          <w:spacing w:val="-3"/>
        </w:rPr>
        <w:t xml:space="preserve"> </w:t>
      </w:r>
      <w:r>
        <w:t>groups</w:t>
      </w:r>
      <w:r>
        <w:rPr>
          <w:spacing w:val="-3"/>
        </w:rPr>
        <w:t xml:space="preserve"> </w:t>
      </w:r>
      <w:r>
        <w:t>(Wag</w:t>
      </w:r>
      <w:r>
        <w:t>ner</w:t>
      </w:r>
      <w:r>
        <w:rPr>
          <w:spacing w:val="-2"/>
        </w:rPr>
        <w:t xml:space="preserve"> </w:t>
      </w:r>
      <w:r>
        <w:t>&amp;</w:t>
      </w:r>
      <w:r>
        <w:rPr>
          <w:spacing w:val="-1"/>
        </w:rPr>
        <w:t xml:space="preserve"> </w:t>
      </w:r>
      <w:r>
        <w:t>Ingersoll,</w:t>
      </w:r>
      <w:r>
        <w:rPr>
          <w:spacing w:val="-4"/>
        </w:rPr>
        <w:t xml:space="preserve"> </w:t>
      </w:r>
      <w:r>
        <w:t>2017).</w:t>
      </w:r>
      <w:r>
        <w:rPr>
          <w:spacing w:val="-2"/>
        </w:rPr>
        <w:t xml:space="preserve"> </w:t>
      </w:r>
      <w:r>
        <w:t>Appendix</w:t>
      </w:r>
      <w:r>
        <w:rPr>
          <w:spacing w:val="-2"/>
        </w:rPr>
        <w:t xml:space="preserve"> </w:t>
      </w:r>
      <w:r>
        <w:t>C</w:t>
      </w:r>
      <w:r>
        <w:rPr>
          <w:spacing w:val="-2"/>
        </w:rPr>
        <w:t xml:space="preserve"> </w:t>
      </w:r>
      <w:r>
        <w:t>provides</w:t>
      </w:r>
      <w:r>
        <w:rPr>
          <w:spacing w:val="-4"/>
        </w:rPr>
        <w:t xml:space="preserve"> </w:t>
      </w:r>
      <w:r>
        <w:t>a</w:t>
      </w:r>
      <w:r>
        <w:rPr>
          <w:spacing w:val="-2"/>
        </w:rPr>
        <w:t xml:space="preserve"> </w:t>
      </w:r>
      <w:r>
        <w:t>link</w:t>
      </w:r>
      <w:r>
        <w:rPr>
          <w:spacing w:val="-4"/>
        </w:rPr>
        <w:t xml:space="preserve"> </w:t>
      </w:r>
      <w:r>
        <w:t>to</w:t>
      </w:r>
      <w:r>
        <w:rPr>
          <w:spacing w:val="-2"/>
        </w:rPr>
        <w:t xml:space="preserve"> </w:t>
      </w:r>
      <w:r>
        <w:t>a downloadable version of AMIGOS. This tool may be helpful for assessing and enhancing counselor competence in delivering MI in groups.</w:t>
      </w:r>
    </w:p>
    <w:p w14:paraId="7407DDA3" w14:textId="77777777" w:rsidR="00DB6E1F" w:rsidRDefault="00F666A6">
      <w:pPr>
        <w:pStyle w:val="Heading3"/>
        <w:spacing w:before="163"/>
      </w:pPr>
      <w:bookmarkStart w:id="217" w:name="Technology_Adaptations"/>
      <w:bookmarkEnd w:id="217"/>
      <w:r>
        <w:t>Technology</w:t>
      </w:r>
      <w:r>
        <w:rPr>
          <w:spacing w:val="-15"/>
        </w:rPr>
        <w:t xml:space="preserve"> </w:t>
      </w:r>
      <w:r>
        <w:rPr>
          <w:spacing w:val="-2"/>
        </w:rPr>
        <w:t>Adaptations</w:t>
      </w:r>
    </w:p>
    <w:p w14:paraId="6CCEA7F4" w14:textId="77777777" w:rsidR="00DB6E1F" w:rsidRDefault="00F666A6">
      <w:pPr>
        <w:pStyle w:val="BodyText"/>
        <w:spacing w:before="143"/>
        <w:ind w:left="1439" w:right="1491"/>
      </w:pPr>
      <w:r>
        <w:t>Some evidence shows the effectiveness of ad</w:t>
      </w:r>
      <w:r>
        <w:t>aptations of MI and motivational enhancement therapy (MET) through interactive computer applications, Internet-based applications, and telephone or video conferencing when used selectively to deliver motivational interventions (Miller &amp; Rollnick, 2013). Fo</w:t>
      </w:r>
      <w:r>
        <w:t>r example, the “drinker’s checkup,” the original method to give personalized feedback in MET, has been delivered</w:t>
      </w:r>
      <w:r>
        <w:rPr>
          <w:spacing w:val="-2"/>
        </w:rPr>
        <w:t xml:space="preserve"> </w:t>
      </w:r>
      <w:r>
        <w:t>in</w:t>
      </w:r>
      <w:r>
        <w:rPr>
          <w:spacing w:val="-3"/>
        </w:rPr>
        <w:t xml:space="preserve"> </w:t>
      </w:r>
      <w:r>
        <w:t>interactive</w:t>
      </w:r>
      <w:r>
        <w:rPr>
          <w:spacing w:val="-1"/>
        </w:rPr>
        <w:t xml:space="preserve"> </w:t>
      </w:r>
      <w:r>
        <w:t>computer-based</w:t>
      </w:r>
      <w:r>
        <w:rPr>
          <w:spacing w:val="-3"/>
        </w:rPr>
        <w:t xml:space="preserve"> </w:t>
      </w:r>
      <w:r>
        <w:t>applications</w:t>
      </w:r>
      <w:r>
        <w:rPr>
          <w:spacing w:val="-4"/>
        </w:rPr>
        <w:t xml:space="preserve"> </w:t>
      </w:r>
      <w:r>
        <w:t>and</w:t>
      </w:r>
      <w:r>
        <w:rPr>
          <w:spacing w:val="-3"/>
        </w:rPr>
        <w:t xml:space="preserve"> </w:t>
      </w:r>
      <w:r>
        <w:t>has</w:t>
      </w:r>
      <w:r>
        <w:rPr>
          <w:spacing w:val="-2"/>
        </w:rPr>
        <w:t xml:space="preserve"> </w:t>
      </w:r>
      <w:r>
        <w:t>had</w:t>
      </w:r>
      <w:r>
        <w:rPr>
          <w:spacing w:val="-3"/>
        </w:rPr>
        <w:t xml:space="preserve"> </w:t>
      </w:r>
      <w:r>
        <w:t>positive</w:t>
      </w:r>
      <w:r>
        <w:rPr>
          <w:spacing w:val="-4"/>
        </w:rPr>
        <w:t xml:space="preserve"> </w:t>
      </w:r>
      <w:r>
        <w:t>outcomes</w:t>
      </w:r>
      <w:r>
        <w:rPr>
          <w:spacing w:val="-4"/>
        </w:rPr>
        <w:t xml:space="preserve"> </w:t>
      </w:r>
      <w:r>
        <w:t>in</w:t>
      </w:r>
      <w:r>
        <w:rPr>
          <w:spacing w:val="-3"/>
        </w:rPr>
        <w:t xml:space="preserve"> </w:t>
      </w:r>
      <w:r>
        <w:t>reducing</w:t>
      </w:r>
      <w:r>
        <w:rPr>
          <w:spacing w:val="-2"/>
        </w:rPr>
        <w:t xml:space="preserve"> </w:t>
      </w:r>
      <w:r>
        <w:t>alcohol misuse (Hester, Delaney, &amp; Campbell, 2012).</w:t>
      </w:r>
    </w:p>
    <w:p w14:paraId="4F0E31A7" w14:textId="77777777" w:rsidR="00DB6E1F" w:rsidRDefault="00F666A6">
      <w:pPr>
        <w:pStyle w:val="BodyText"/>
        <w:spacing w:before="159"/>
        <w:ind w:left="1438" w:right="1491"/>
      </w:pPr>
      <w:r>
        <w:t>Benefi</w:t>
      </w:r>
      <w:r>
        <w:t>ts</w:t>
      </w:r>
      <w:r>
        <w:rPr>
          <w:spacing w:val="-5"/>
        </w:rPr>
        <w:t xml:space="preserve"> </w:t>
      </w:r>
      <w:r>
        <w:t>of</w:t>
      </w:r>
      <w:r>
        <w:rPr>
          <w:spacing w:val="-3"/>
        </w:rPr>
        <w:t xml:space="preserve"> </w:t>
      </w:r>
      <w:r>
        <w:t>brief</w:t>
      </w:r>
      <w:r>
        <w:rPr>
          <w:spacing w:val="-6"/>
        </w:rPr>
        <w:t xml:space="preserve"> </w:t>
      </w:r>
      <w:r>
        <w:t>motivational</w:t>
      </w:r>
      <w:r>
        <w:rPr>
          <w:spacing w:val="-3"/>
        </w:rPr>
        <w:t xml:space="preserve"> </w:t>
      </w:r>
      <w:r>
        <w:t>interventions</w:t>
      </w:r>
      <w:r>
        <w:rPr>
          <w:spacing w:val="-4"/>
        </w:rPr>
        <w:t xml:space="preserve"> </w:t>
      </w:r>
      <w:r>
        <w:t>delivered</w:t>
      </w:r>
      <w:r>
        <w:rPr>
          <w:spacing w:val="-6"/>
        </w:rPr>
        <w:t xml:space="preserve"> </w:t>
      </w:r>
      <w:r>
        <w:t>by</w:t>
      </w:r>
      <w:r>
        <w:rPr>
          <w:spacing w:val="-2"/>
        </w:rPr>
        <w:t xml:space="preserve"> </w:t>
      </w:r>
      <w:r>
        <w:t>interactive</w:t>
      </w:r>
      <w:r>
        <w:rPr>
          <w:spacing w:val="-2"/>
        </w:rPr>
        <w:t xml:space="preserve"> </w:t>
      </w:r>
      <w:r>
        <w:t>computer</w:t>
      </w:r>
      <w:r>
        <w:rPr>
          <w:spacing w:val="-3"/>
        </w:rPr>
        <w:t xml:space="preserve"> </w:t>
      </w:r>
      <w:r>
        <w:t>applications</w:t>
      </w:r>
      <w:r>
        <w:rPr>
          <w:spacing w:val="-3"/>
        </w:rPr>
        <w:t xml:space="preserve"> </w:t>
      </w:r>
      <w:r>
        <w:t>include (Hester et al., 2012):</w:t>
      </w:r>
    </w:p>
    <w:p w14:paraId="6E93B0CD" w14:textId="77777777" w:rsidR="00DB6E1F" w:rsidRDefault="00F666A6">
      <w:pPr>
        <w:pStyle w:val="ListParagraph"/>
        <w:numPr>
          <w:ilvl w:val="0"/>
          <w:numId w:val="92"/>
        </w:numPr>
        <w:tabs>
          <w:tab w:val="left" w:pos="1798"/>
          <w:tab w:val="left" w:pos="1799"/>
        </w:tabs>
        <w:spacing w:before="61"/>
        <w:ind w:left="1798"/>
        <w:rPr>
          <w:rFonts w:ascii="Symbol" w:hAnsi="Symbol"/>
        </w:rPr>
      </w:pPr>
      <w:r>
        <w:t>Ease</w:t>
      </w:r>
      <w:r>
        <w:rPr>
          <w:spacing w:val="-2"/>
        </w:rPr>
        <w:t xml:space="preserve"> </w:t>
      </w:r>
      <w:r>
        <w:t xml:space="preserve">of </w:t>
      </w:r>
      <w:r>
        <w:rPr>
          <w:spacing w:val="-4"/>
        </w:rPr>
        <w:t>use.</w:t>
      </w:r>
    </w:p>
    <w:p w14:paraId="32F2A036" w14:textId="77777777" w:rsidR="00DB6E1F" w:rsidRDefault="00F666A6">
      <w:pPr>
        <w:pStyle w:val="ListParagraph"/>
        <w:numPr>
          <w:ilvl w:val="0"/>
          <w:numId w:val="92"/>
        </w:numPr>
        <w:tabs>
          <w:tab w:val="left" w:pos="1798"/>
          <w:tab w:val="left" w:pos="1799"/>
        </w:tabs>
        <w:ind w:left="1798"/>
        <w:rPr>
          <w:rFonts w:ascii="Symbol" w:hAnsi="Symbol"/>
        </w:rPr>
      </w:pPr>
      <w:r>
        <w:t>Cost</w:t>
      </w:r>
      <w:r>
        <w:rPr>
          <w:spacing w:val="-2"/>
        </w:rPr>
        <w:t xml:space="preserve"> effectiveness.</w:t>
      </w:r>
    </w:p>
    <w:p w14:paraId="20F8F549" w14:textId="77777777" w:rsidR="00DB6E1F" w:rsidRDefault="00F666A6">
      <w:pPr>
        <w:pStyle w:val="ListParagraph"/>
        <w:numPr>
          <w:ilvl w:val="0"/>
          <w:numId w:val="92"/>
        </w:numPr>
        <w:tabs>
          <w:tab w:val="left" w:pos="1798"/>
          <w:tab w:val="left" w:pos="1800"/>
        </w:tabs>
        <w:spacing w:before="59"/>
        <w:ind w:left="1799" w:hanging="362"/>
        <w:rPr>
          <w:rFonts w:ascii="Symbol" w:hAnsi="Symbol"/>
        </w:rPr>
      </w:pPr>
      <w:r>
        <w:t>Adaptability</w:t>
      </w:r>
      <w:r>
        <w:rPr>
          <w:spacing w:val="-5"/>
        </w:rPr>
        <w:t xml:space="preserve"> </w:t>
      </w:r>
      <w:r>
        <w:t>to</w:t>
      </w:r>
      <w:r>
        <w:rPr>
          <w:spacing w:val="-5"/>
        </w:rPr>
        <w:t xml:space="preserve"> </w:t>
      </w:r>
      <w:r>
        <w:t>different</w:t>
      </w:r>
      <w:r>
        <w:rPr>
          <w:spacing w:val="-5"/>
        </w:rPr>
        <w:t xml:space="preserve"> </w:t>
      </w:r>
      <w:r>
        <w:t>client</w:t>
      </w:r>
      <w:r>
        <w:rPr>
          <w:spacing w:val="-5"/>
        </w:rPr>
        <w:t xml:space="preserve"> </w:t>
      </w:r>
      <w:r>
        <w:rPr>
          <w:spacing w:val="-2"/>
        </w:rPr>
        <w:t>populations.</w:t>
      </w:r>
    </w:p>
    <w:p w14:paraId="09E6B7CE" w14:textId="77777777" w:rsidR="00DB6E1F" w:rsidRDefault="00F666A6">
      <w:pPr>
        <w:pStyle w:val="ListParagraph"/>
        <w:numPr>
          <w:ilvl w:val="0"/>
          <w:numId w:val="92"/>
        </w:numPr>
        <w:tabs>
          <w:tab w:val="left" w:pos="1799"/>
          <w:tab w:val="left" w:pos="1800"/>
        </w:tabs>
        <w:spacing w:before="58"/>
        <w:ind w:left="1799"/>
        <w:rPr>
          <w:rFonts w:ascii="Symbol" w:hAnsi="Symbol"/>
        </w:rPr>
      </w:pPr>
      <w:r>
        <w:t>Flexibility</w:t>
      </w:r>
      <w:r>
        <w:rPr>
          <w:spacing w:val="-5"/>
        </w:rPr>
        <w:t xml:space="preserve"> </w:t>
      </w:r>
      <w:r>
        <w:t>of</w:t>
      </w:r>
      <w:r>
        <w:rPr>
          <w:spacing w:val="-3"/>
        </w:rPr>
        <w:t xml:space="preserve"> </w:t>
      </w:r>
      <w:r>
        <w:rPr>
          <w:spacing w:val="-2"/>
        </w:rPr>
        <w:t>design.</w:t>
      </w:r>
    </w:p>
    <w:p w14:paraId="73261BD8" w14:textId="77777777" w:rsidR="00DB6E1F" w:rsidRDefault="00F666A6">
      <w:pPr>
        <w:pStyle w:val="BodyText"/>
        <w:spacing w:before="163"/>
        <w:ind w:left="1438" w:right="1491"/>
      </w:pPr>
      <w:r>
        <w:t>Although computer- or Internet-based adaptations of motivational interventions may be useful in providing</w:t>
      </w:r>
      <w:r>
        <w:rPr>
          <w:spacing w:val="-4"/>
        </w:rPr>
        <w:t xml:space="preserve"> </w:t>
      </w:r>
      <w:r>
        <w:t>personalized</w:t>
      </w:r>
      <w:r>
        <w:rPr>
          <w:spacing w:val="-4"/>
        </w:rPr>
        <w:t xml:space="preserve"> </w:t>
      </w:r>
      <w:r>
        <w:t>feedback</w:t>
      </w:r>
      <w:r>
        <w:rPr>
          <w:spacing w:val="-2"/>
        </w:rPr>
        <w:t xml:space="preserve"> </w:t>
      </w:r>
      <w:r>
        <w:t>to</w:t>
      </w:r>
      <w:r>
        <w:rPr>
          <w:spacing w:val="-2"/>
        </w:rPr>
        <w:t xml:space="preserve"> </w:t>
      </w:r>
      <w:r>
        <w:t>clients,</w:t>
      </w:r>
      <w:r>
        <w:rPr>
          <w:spacing w:val="-3"/>
        </w:rPr>
        <w:t xml:space="preserve"> </w:t>
      </w:r>
      <w:r>
        <w:t>computers</w:t>
      </w:r>
      <w:r>
        <w:rPr>
          <w:spacing w:val="-3"/>
        </w:rPr>
        <w:t xml:space="preserve"> </w:t>
      </w:r>
      <w:r>
        <w:t>cannot</w:t>
      </w:r>
      <w:r>
        <w:rPr>
          <w:spacing w:val="-5"/>
        </w:rPr>
        <w:t xml:space="preserve"> </w:t>
      </w:r>
      <w:r>
        <w:t>provide</w:t>
      </w:r>
      <w:r>
        <w:rPr>
          <w:spacing w:val="-5"/>
        </w:rPr>
        <w:t xml:space="preserve"> </w:t>
      </w:r>
      <w:r>
        <w:t>empathetic</w:t>
      </w:r>
      <w:r>
        <w:rPr>
          <w:spacing w:val="-3"/>
        </w:rPr>
        <w:t xml:space="preserve"> </w:t>
      </w:r>
      <w:r>
        <w:t>listening</w:t>
      </w:r>
      <w:r>
        <w:rPr>
          <w:spacing w:val="-4"/>
        </w:rPr>
        <w:t xml:space="preserve"> </w:t>
      </w:r>
      <w:r>
        <w:t>responses</w:t>
      </w:r>
      <w:r>
        <w:rPr>
          <w:spacing w:val="-3"/>
        </w:rPr>
        <w:t xml:space="preserve"> </w:t>
      </w:r>
      <w:r>
        <w:t>or evoke change talk. They also limit use of brief intervent</w:t>
      </w:r>
      <w:r>
        <w:t>ions that provide feedback to increase client engagement in treatment.</w:t>
      </w:r>
    </w:p>
    <w:p w14:paraId="18072EA6" w14:textId="77777777" w:rsidR="00DB6E1F" w:rsidRDefault="00F666A6">
      <w:pPr>
        <w:pStyle w:val="BodyText"/>
        <w:spacing w:before="160"/>
        <w:ind w:left="1438" w:right="1491"/>
      </w:pPr>
      <w:r>
        <w:t>Telephone MI is the most widely used alternative to face-to-face MI and is effective for addressing tobacco cessation, alcohol misuse, and use of illicit drugs (Jiang, Wu, &amp; Gao, 2017).</w:t>
      </w:r>
      <w:r>
        <w:t xml:space="preserve"> Telephone counseling</w:t>
      </w:r>
      <w:r>
        <w:rPr>
          <w:spacing w:val="-2"/>
        </w:rPr>
        <w:t xml:space="preserve"> </w:t>
      </w:r>
      <w:r>
        <w:t>with,</w:t>
      </w:r>
      <w:r>
        <w:rPr>
          <w:spacing w:val="-2"/>
        </w:rPr>
        <w:t xml:space="preserve"> </w:t>
      </w:r>
      <w:r>
        <w:t>if</w:t>
      </w:r>
      <w:r>
        <w:rPr>
          <w:spacing w:val="-2"/>
        </w:rPr>
        <w:t xml:space="preserve"> </w:t>
      </w:r>
      <w:r>
        <w:t>possible,</w:t>
      </w:r>
      <w:r>
        <w:rPr>
          <w:spacing w:val="-2"/>
        </w:rPr>
        <w:t xml:space="preserve"> </w:t>
      </w:r>
      <w:r>
        <w:t>the</w:t>
      </w:r>
      <w:r>
        <w:rPr>
          <w:spacing w:val="-1"/>
        </w:rPr>
        <w:t xml:space="preserve"> </w:t>
      </w:r>
      <w:r>
        <w:t>addition</w:t>
      </w:r>
      <w:r>
        <w:rPr>
          <w:spacing w:val="-5"/>
        </w:rPr>
        <w:t xml:space="preserve"> </w:t>
      </w:r>
      <w:r>
        <w:t>of</w:t>
      </w:r>
      <w:r>
        <w:rPr>
          <w:spacing w:val="-2"/>
        </w:rPr>
        <w:t xml:space="preserve"> </w:t>
      </w:r>
      <w:r>
        <w:t>a</w:t>
      </w:r>
      <w:r>
        <w:rPr>
          <w:spacing w:val="-5"/>
        </w:rPr>
        <w:t xml:space="preserve"> </w:t>
      </w:r>
      <w:r>
        <w:t>video</w:t>
      </w:r>
      <w:r>
        <w:rPr>
          <w:spacing w:val="-1"/>
        </w:rPr>
        <w:t xml:space="preserve"> </w:t>
      </w:r>
      <w:r>
        <w:t>component</w:t>
      </w:r>
      <w:r>
        <w:rPr>
          <w:spacing w:val="-1"/>
        </w:rPr>
        <w:t xml:space="preserve"> </w:t>
      </w:r>
      <w:r>
        <w:t>has</w:t>
      </w:r>
      <w:r>
        <w:rPr>
          <w:spacing w:val="-4"/>
        </w:rPr>
        <w:t xml:space="preserve"> </w:t>
      </w:r>
      <w:r>
        <w:t>the</w:t>
      </w:r>
      <w:r>
        <w:rPr>
          <w:spacing w:val="-1"/>
        </w:rPr>
        <w:t xml:space="preserve"> </w:t>
      </w:r>
      <w:r>
        <w:t>advantage</w:t>
      </w:r>
      <w:r>
        <w:rPr>
          <w:spacing w:val="-1"/>
        </w:rPr>
        <w:t xml:space="preserve"> </w:t>
      </w:r>
      <w:r>
        <w:t>of</w:t>
      </w:r>
      <w:r>
        <w:rPr>
          <w:spacing w:val="-5"/>
        </w:rPr>
        <w:t xml:space="preserve"> </w:t>
      </w:r>
      <w:r>
        <w:t>reaching</w:t>
      </w:r>
      <w:r>
        <w:rPr>
          <w:spacing w:val="-3"/>
        </w:rPr>
        <w:t xml:space="preserve"> </w:t>
      </w:r>
      <w:r>
        <w:t>client populations in rural settings that do not have access to transportation to the treatment setting.</w:t>
      </w:r>
    </w:p>
    <w:p w14:paraId="66954F79" w14:textId="77777777" w:rsidR="00DB6E1F" w:rsidRDefault="00F666A6">
      <w:pPr>
        <w:pStyle w:val="BodyText"/>
        <w:ind w:left="1438" w:right="1491"/>
      </w:pPr>
      <w:r>
        <w:t>Telephone</w:t>
      </w:r>
      <w:r>
        <w:rPr>
          <w:spacing w:val="-4"/>
        </w:rPr>
        <w:t xml:space="preserve"> </w:t>
      </w:r>
      <w:r>
        <w:t>MI</w:t>
      </w:r>
      <w:r>
        <w:rPr>
          <w:spacing w:val="-2"/>
        </w:rPr>
        <w:t xml:space="preserve"> </w:t>
      </w:r>
      <w:r>
        <w:t>approaches</w:t>
      </w:r>
      <w:r>
        <w:rPr>
          <w:spacing w:val="-4"/>
        </w:rPr>
        <w:t xml:space="preserve"> </w:t>
      </w:r>
      <w:r>
        <w:t>also</w:t>
      </w:r>
      <w:r>
        <w:rPr>
          <w:spacing w:val="-2"/>
        </w:rPr>
        <w:t xml:space="preserve"> </w:t>
      </w:r>
      <w:r>
        <w:t>have</w:t>
      </w:r>
      <w:r>
        <w:rPr>
          <w:spacing w:val="-4"/>
        </w:rPr>
        <w:t xml:space="preserve"> </w:t>
      </w:r>
      <w:r>
        <w:t>the</w:t>
      </w:r>
      <w:r>
        <w:rPr>
          <w:spacing w:val="-2"/>
        </w:rPr>
        <w:t xml:space="preserve"> </w:t>
      </w:r>
      <w:r>
        <w:t>added</w:t>
      </w:r>
      <w:r>
        <w:rPr>
          <w:spacing w:val="-2"/>
        </w:rPr>
        <w:t xml:space="preserve"> </w:t>
      </w:r>
      <w:r>
        <w:t>benefit</w:t>
      </w:r>
      <w:r>
        <w:rPr>
          <w:spacing w:val="-2"/>
        </w:rPr>
        <w:t xml:space="preserve"> </w:t>
      </w:r>
      <w:r>
        <w:t>over</w:t>
      </w:r>
      <w:r>
        <w:rPr>
          <w:spacing w:val="-4"/>
        </w:rPr>
        <w:t xml:space="preserve"> </w:t>
      </w:r>
      <w:r>
        <w:t>computer-based</w:t>
      </w:r>
      <w:r>
        <w:rPr>
          <w:spacing w:val="-3"/>
        </w:rPr>
        <w:t xml:space="preserve"> </w:t>
      </w:r>
      <w:r>
        <w:t>interventions</w:t>
      </w:r>
      <w:r>
        <w:rPr>
          <w:spacing w:val="-4"/>
        </w:rPr>
        <w:t xml:space="preserve"> </w:t>
      </w:r>
      <w:r>
        <w:t>of</w:t>
      </w:r>
      <w:r>
        <w:rPr>
          <w:spacing w:val="-2"/>
        </w:rPr>
        <w:t xml:space="preserve"> </w:t>
      </w:r>
      <w:r>
        <w:t>giving</w:t>
      </w:r>
      <w:r>
        <w:rPr>
          <w:spacing w:val="-5"/>
        </w:rPr>
        <w:t xml:space="preserve"> </w:t>
      </w:r>
      <w:r>
        <w:t>the counselor the opportunity to offer interactive moti</w:t>
      </w:r>
      <w:r>
        <w:t>vational interventions like reflective listening, affirmations, and</w:t>
      </w:r>
      <w:r>
        <w:rPr>
          <w:spacing w:val="-2"/>
        </w:rPr>
        <w:t xml:space="preserve"> </w:t>
      </w:r>
      <w:r>
        <w:t>evoking change talk. For</w:t>
      </w:r>
      <w:r>
        <w:rPr>
          <w:spacing w:val="-1"/>
        </w:rPr>
        <w:t xml:space="preserve"> </w:t>
      </w:r>
      <w:r>
        <w:t>more information about using technology in SUD treatment, see</w:t>
      </w:r>
      <w:r>
        <w:rPr>
          <w:spacing w:val="-5"/>
        </w:rPr>
        <w:t xml:space="preserve"> </w:t>
      </w:r>
      <w:r>
        <w:t>Treatment</w:t>
      </w:r>
      <w:r>
        <w:rPr>
          <w:spacing w:val="-3"/>
        </w:rPr>
        <w:t xml:space="preserve"> </w:t>
      </w:r>
      <w:r>
        <w:t>Improvement</w:t>
      </w:r>
      <w:r>
        <w:rPr>
          <w:spacing w:val="-3"/>
        </w:rPr>
        <w:t xml:space="preserve"> </w:t>
      </w:r>
      <w:r>
        <w:t>Protocol</w:t>
      </w:r>
      <w:r>
        <w:rPr>
          <w:spacing w:val="-3"/>
        </w:rPr>
        <w:t xml:space="preserve"> </w:t>
      </w:r>
      <w:r>
        <w:t>(TIP)</w:t>
      </w:r>
      <w:r>
        <w:rPr>
          <w:spacing w:val="-5"/>
        </w:rPr>
        <w:t xml:space="preserve"> </w:t>
      </w:r>
      <w:r>
        <w:t>60:</w:t>
      </w:r>
      <w:r>
        <w:rPr>
          <w:spacing w:val="-2"/>
        </w:rPr>
        <w:t xml:space="preserve"> </w:t>
      </w:r>
      <w:r>
        <w:rPr>
          <w:i/>
        </w:rPr>
        <w:t>Using</w:t>
      </w:r>
      <w:r>
        <w:rPr>
          <w:i/>
          <w:spacing w:val="-6"/>
        </w:rPr>
        <w:t xml:space="preserve"> </w:t>
      </w:r>
      <w:r>
        <w:rPr>
          <w:i/>
        </w:rPr>
        <w:t>Technology-Based</w:t>
      </w:r>
      <w:r>
        <w:rPr>
          <w:i/>
          <w:spacing w:val="-4"/>
        </w:rPr>
        <w:t xml:space="preserve"> </w:t>
      </w:r>
      <w:r>
        <w:rPr>
          <w:i/>
        </w:rPr>
        <w:t>Therapeutic</w:t>
      </w:r>
      <w:r>
        <w:rPr>
          <w:i/>
          <w:spacing w:val="-4"/>
        </w:rPr>
        <w:t xml:space="preserve"> </w:t>
      </w:r>
      <w:r>
        <w:rPr>
          <w:i/>
        </w:rPr>
        <w:t>Tools</w:t>
      </w:r>
      <w:r>
        <w:rPr>
          <w:i/>
          <w:spacing w:val="-2"/>
        </w:rPr>
        <w:t xml:space="preserve"> </w:t>
      </w:r>
      <w:r>
        <w:rPr>
          <w:i/>
        </w:rPr>
        <w:t>in</w:t>
      </w:r>
      <w:r>
        <w:rPr>
          <w:i/>
          <w:spacing w:val="-4"/>
        </w:rPr>
        <w:t xml:space="preserve"> </w:t>
      </w:r>
      <w:r>
        <w:rPr>
          <w:i/>
        </w:rPr>
        <w:t>Behavioral Healt</w:t>
      </w:r>
      <w:r>
        <w:rPr>
          <w:i/>
        </w:rPr>
        <w:t xml:space="preserve">h Services </w:t>
      </w:r>
      <w:r>
        <w:t>(Substance Abuse and Mental Health Services Administration [SAMHSA], 2015b).</w:t>
      </w:r>
    </w:p>
    <w:p w14:paraId="0916C581" w14:textId="77777777" w:rsidR="00DB6E1F" w:rsidRDefault="00DB6E1F">
      <w:pPr>
        <w:sectPr w:rsidR="00DB6E1F">
          <w:pgSz w:w="12240" w:h="15840"/>
          <w:pgMar w:top="1200" w:right="0" w:bottom="780" w:left="0" w:header="763" w:footer="585" w:gutter="0"/>
          <w:cols w:space="720"/>
        </w:sectPr>
      </w:pPr>
    </w:p>
    <w:p w14:paraId="49A39298" w14:textId="77777777" w:rsidR="00DB6E1F" w:rsidRDefault="00DB6E1F">
      <w:pPr>
        <w:pStyle w:val="BodyText"/>
        <w:spacing w:before="7"/>
        <w:rPr>
          <w:sz w:val="15"/>
        </w:rPr>
      </w:pPr>
    </w:p>
    <w:p w14:paraId="233BBBEB" w14:textId="77777777" w:rsidR="00DB6E1F" w:rsidRDefault="00F666A6">
      <w:pPr>
        <w:pStyle w:val="Heading3"/>
        <w:spacing w:before="47"/>
      </w:pPr>
      <w:bookmarkStart w:id="218" w:name="Blended_Counseling_Approaches"/>
      <w:bookmarkEnd w:id="218"/>
      <w:r>
        <w:t>Blended</w:t>
      </w:r>
      <w:r>
        <w:rPr>
          <w:spacing w:val="-9"/>
        </w:rPr>
        <w:t xml:space="preserve"> </w:t>
      </w:r>
      <w:r>
        <w:t>Counseling</w:t>
      </w:r>
      <w:r>
        <w:rPr>
          <w:spacing w:val="-10"/>
        </w:rPr>
        <w:t xml:space="preserve"> </w:t>
      </w:r>
      <w:r>
        <w:rPr>
          <w:spacing w:val="-2"/>
        </w:rPr>
        <w:t>Approaches</w:t>
      </w:r>
    </w:p>
    <w:p w14:paraId="45A4F306" w14:textId="77777777" w:rsidR="00DB6E1F" w:rsidRDefault="00F666A6">
      <w:pPr>
        <w:pStyle w:val="BodyText"/>
        <w:spacing w:before="144"/>
        <w:ind w:left="1439" w:right="1440"/>
      </w:pPr>
      <w:r>
        <w:t>MI as a counseling style is compatible with a wide range of clinical approaches that have been used in SUD treatment including cognitive–behavioral therapy (CBT), psychoeducation, medication-assisted treatment, and case management approaches (Miller &amp; Roll</w:t>
      </w:r>
      <w:r>
        <w:t>nick, 2013). When thinking about ways to integrate</w:t>
      </w:r>
      <w:r>
        <w:rPr>
          <w:spacing w:val="-2"/>
        </w:rPr>
        <w:t xml:space="preserve"> </w:t>
      </w:r>
      <w:r>
        <w:t>MI into current treatment approach,</w:t>
      </w:r>
      <w:r>
        <w:rPr>
          <w:spacing w:val="-2"/>
        </w:rPr>
        <w:t xml:space="preserve"> </w:t>
      </w:r>
      <w:r>
        <w:t>treatment staff</w:t>
      </w:r>
      <w:r>
        <w:rPr>
          <w:spacing w:val="-3"/>
        </w:rPr>
        <w:t xml:space="preserve"> </w:t>
      </w:r>
      <w:r>
        <w:t>should</w:t>
      </w:r>
      <w:r>
        <w:rPr>
          <w:spacing w:val="-1"/>
        </w:rPr>
        <w:t xml:space="preserve"> </w:t>
      </w:r>
      <w:r>
        <w:t>address some</w:t>
      </w:r>
      <w:r>
        <w:rPr>
          <w:spacing w:val="-2"/>
        </w:rPr>
        <w:t xml:space="preserve"> </w:t>
      </w:r>
      <w:r>
        <w:t>open</w:t>
      </w:r>
      <w:r>
        <w:rPr>
          <w:spacing w:val="-1"/>
        </w:rPr>
        <w:t xml:space="preserve"> </w:t>
      </w:r>
      <w:r>
        <w:t>questions like, “How does MI fit with what we already do?” and “At what points in our treatment approach are we</w:t>
      </w:r>
      <w:r>
        <w:rPr>
          <w:spacing w:val="40"/>
        </w:rPr>
        <w:t xml:space="preserve"> </w:t>
      </w:r>
      <w:r>
        <w:t>most concerned about engaging clients in treatment, helping clients resolve ambivalence about change, and retaining clients in treatment?” (Miller &amp; Rollnick, 2013). Three examples of blending MI with other SUD</w:t>
      </w:r>
      <w:r>
        <w:rPr>
          <w:spacing w:val="-2"/>
        </w:rPr>
        <w:t xml:space="preserve"> </w:t>
      </w:r>
      <w:r>
        <w:t>counseling</w:t>
      </w:r>
      <w:r>
        <w:rPr>
          <w:spacing w:val="-4"/>
        </w:rPr>
        <w:t xml:space="preserve"> </w:t>
      </w:r>
      <w:r>
        <w:t>approaches</w:t>
      </w:r>
      <w:r>
        <w:rPr>
          <w:spacing w:val="-2"/>
        </w:rPr>
        <w:t xml:space="preserve"> </w:t>
      </w:r>
      <w:r>
        <w:t>supported</w:t>
      </w:r>
      <w:r>
        <w:rPr>
          <w:spacing w:val="-6"/>
        </w:rPr>
        <w:t xml:space="preserve"> </w:t>
      </w:r>
      <w:r>
        <w:t>by</w:t>
      </w:r>
      <w:r>
        <w:rPr>
          <w:spacing w:val="-2"/>
        </w:rPr>
        <w:t xml:space="preserve"> </w:t>
      </w:r>
      <w:r>
        <w:t>research</w:t>
      </w:r>
      <w:r>
        <w:rPr>
          <w:spacing w:val="-6"/>
        </w:rPr>
        <w:t xml:space="preserve"> </w:t>
      </w:r>
      <w:r>
        <w:t>a</w:t>
      </w:r>
      <w:r>
        <w:t>re</w:t>
      </w:r>
      <w:r>
        <w:rPr>
          <w:spacing w:val="-2"/>
        </w:rPr>
        <w:t xml:space="preserve"> </w:t>
      </w:r>
      <w:r>
        <w:t>motivational</w:t>
      </w:r>
      <w:r>
        <w:rPr>
          <w:spacing w:val="-3"/>
        </w:rPr>
        <w:t xml:space="preserve"> </w:t>
      </w:r>
      <w:r>
        <w:t>interviewing</w:t>
      </w:r>
      <w:r>
        <w:rPr>
          <w:spacing w:val="-6"/>
        </w:rPr>
        <w:t xml:space="preserve"> </w:t>
      </w:r>
      <w:r>
        <w:t>assessment</w:t>
      </w:r>
      <w:r>
        <w:rPr>
          <w:spacing w:val="-2"/>
        </w:rPr>
        <w:t xml:space="preserve"> </w:t>
      </w:r>
      <w:r>
        <w:t>(MIA),</w:t>
      </w:r>
      <w:r>
        <w:rPr>
          <w:spacing w:val="-3"/>
        </w:rPr>
        <w:t xml:space="preserve"> </w:t>
      </w:r>
      <w:r>
        <w:t>CBT, and recovery management checkup (RMC).</w:t>
      </w:r>
    </w:p>
    <w:p w14:paraId="640C000C" w14:textId="77777777" w:rsidR="00DB6E1F" w:rsidRDefault="00DB6E1F">
      <w:pPr>
        <w:pStyle w:val="BodyText"/>
        <w:spacing w:before="3"/>
        <w:rPr>
          <w:sz w:val="16"/>
        </w:rPr>
      </w:pPr>
    </w:p>
    <w:p w14:paraId="3B6AC884" w14:textId="77777777" w:rsidR="00DB6E1F" w:rsidRDefault="00F666A6">
      <w:pPr>
        <w:pStyle w:val="Heading4"/>
        <w:spacing w:before="1"/>
      </w:pPr>
      <w:bookmarkStart w:id="219" w:name="MIA"/>
      <w:bookmarkEnd w:id="219"/>
      <w:r>
        <w:rPr>
          <w:spacing w:val="-5"/>
        </w:rPr>
        <w:t>MIA</w:t>
      </w:r>
    </w:p>
    <w:p w14:paraId="0A9B48F9" w14:textId="77777777" w:rsidR="00DB6E1F" w:rsidRDefault="00F666A6">
      <w:pPr>
        <w:pStyle w:val="BodyText"/>
        <w:spacing w:before="85"/>
        <w:ind w:left="1439" w:right="1491"/>
      </w:pPr>
      <w:r>
        <w:t>The</w:t>
      </w:r>
      <w:r>
        <w:rPr>
          <w:spacing w:val="-1"/>
        </w:rPr>
        <w:t xml:space="preserve"> </w:t>
      </w:r>
      <w:r>
        <w:t>National</w:t>
      </w:r>
      <w:r>
        <w:rPr>
          <w:spacing w:val="-2"/>
        </w:rPr>
        <w:t xml:space="preserve"> </w:t>
      </w:r>
      <w:r>
        <w:t>Institute</w:t>
      </w:r>
      <w:r>
        <w:rPr>
          <w:spacing w:val="-4"/>
        </w:rPr>
        <w:t xml:space="preserve"> </w:t>
      </w:r>
      <w:r>
        <w:t>on</w:t>
      </w:r>
      <w:r>
        <w:rPr>
          <w:spacing w:val="-3"/>
        </w:rPr>
        <w:t xml:space="preserve"> </w:t>
      </w:r>
      <w:r>
        <w:t>Drug</w:t>
      </w:r>
      <w:r>
        <w:rPr>
          <w:spacing w:val="-3"/>
        </w:rPr>
        <w:t xml:space="preserve"> </w:t>
      </w:r>
      <w:r>
        <w:t>Abuse</w:t>
      </w:r>
      <w:r>
        <w:rPr>
          <w:spacing w:val="-1"/>
        </w:rPr>
        <w:t xml:space="preserve"> </w:t>
      </w:r>
      <w:r>
        <w:t>Clinical</w:t>
      </w:r>
      <w:r>
        <w:rPr>
          <w:spacing w:val="-2"/>
        </w:rPr>
        <w:t xml:space="preserve"> </w:t>
      </w:r>
      <w:r>
        <w:t>Trials</w:t>
      </w:r>
      <w:r>
        <w:rPr>
          <w:spacing w:val="-4"/>
        </w:rPr>
        <w:t xml:space="preserve"> </w:t>
      </w:r>
      <w:r>
        <w:t>Network,</w:t>
      </w:r>
      <w:r>
        <w:rPr>
          <w:spacing w:val="-2"/>
        </w:rPr>
        <w:t xml:space="preserve"> </w:t>
      </w:r>
      <w:r>
        <w:t>in</w:t>
      </w:r>
      <w:r>
        <w:rPr>
          <w:spacing w:val="-3"/>
        </w:rPr>
        <w:t xml:space="preserve"> </w:t>
      </w:r>
      <w:r>
        <w:t>cooperation</w:t>
      </w:r>
      <w:r>
        <w:rPr>
          <w:spacing w:val="-5"/>
        </w:rPr>
        <w:t xml:space="preserve"> </w:t>
      </w:r>
      <w:r>
        <w:t>with</w:t>
      </w:r>
      <w:r>
        <w:rPr>
          <w:spacing w:val="-5"/>
        </w:rPr>
        <w:t xml:space="preserve"> </w:t>
      </w:r>
      <w:r>
        <w:t>SAMHSA,</w:t>
      </w:r>
      <w:r>
        <w:rPr>
          <w:spacing w:val="-1"/>
        </w:rPr>
        <w:t xml:space="preserve"> </w:t>
      </w:r>
      <w:r>
        <w:t>developed</w:t>
      </w:r>
      <w:r>
        <w:rPr>
          <w:spacing w:val="-3"/>
        </w:rPr>
        <w:t xml:space="preserve"> </w:t>
      </w:r>
      <w:r>
        <w:t>a protocol to incorporate MI into a one-session assessment i</w:t>
      </w:r>
      <w:r>
        <w:t>ntake to improve client engagement in SUD treatment programs (Carroll et al., 2006). This blended approach to the standard initial assessment in SUD treatment sandwiches a standard assessment between a brief MI counseling segment at the beginning and end o</w:t>
      </w:r>
      <w:r>
        <w:t>f the session (Martino et al., 2006).</w:t>
      </w:r>
    </w:p>
    <w:p w14:paraId="024B23D8" w14:textId="77777777" w:rsidR="00DB6E1F" w:rsidRDefault="00F666A6">
      <w:pPr>
        <w:pStyle w:val="BodyText"/>
        <w:spacing w:before="160"/>
        <w:ind w:left="1438" w:right="1474"/>
      </w:pPr>
      <w:r>
        <w:rPr>
          <w:b/>
        </w:rPr>
        <w:t>A</w:t>
      </w:r>
      <w:r>
        <w:rPr>
          <w:b/>
          <w:spacing w:val="-1"/>
        </w:rPr>
        <w:t xml:space="preserve"> </w:t>
      </w:r>
      <w:r>
        <w:rPr>
          <w:b/>
        </w:rPr>
        <w:t>challenge</w:t>
      </w:r>
      <w:r>
        <w:rPr>
          <w:b/>
          <w:spacing w:val="-3"/>
        </w:rPr>
        <w:t xml:space="preserve"> </w:t>
      </w:r>
      <w:r>
        <w:rPr>
          <w:b/>
        </w:rPr>
        <w:t>of</w:t>
      </w:r>
      <w:r>
        <w:rPr>
          <w:b/>
          <w:spacing w:val="-2"/>
        </w:rPr>
        <w:t xml:space="preserve"> </w:t>
      </w:r>
      <w:r>
        <w:rPr>
          <w:b/>
        </w:rPr>
        <w:t>doing</w:t>
      </w:r>
      <w:r>
        <w:rPr>
          <w:b/>
          <w:spacing w:val="-1"/>
        </w:rPr>
        <w:t xml:space="preserve"> </w:t>
      </w:r>
      <w:r>
        <w:rPr>
          <w:b/>
        </w:rPr>
        <w:t>a</w:t>
      </w:r>
      <w:r>
        <w:rPr>
          <w:b/>
          <w:spacing w:val="-3"/>
        </w:rPr>
        <w:t xml:space="preserve"> </w:t>
      </w:r>
      <w:r>
        <w:rPr>
          <w:b/>
        </w:rPr>
        <w:t>standard</w:t>
      </w:r>
      <w:r>
        <w:rPr>
          <w:b/>
          <w:spacing w:val="-3"/>
        </w:rPr>
        <w:t xml:space="preserve"> </w:t>
      </w:r>
      <w:r>
        <w:rPr>
          <w:b/>
        </w:rPr>
        <w:t>assessment</w:t>
      </w:r>
      <w:r>
        <w:rPr>
          <w:b/>
          <w:spacing w:val="-4"/>
        </w:rPr>
        <w:t xml:space="preserve"> </w:t>
      </w:r>
      <w:r>
        <w:rPr>
          <w:b/>
        </w:rPr>
        <w:t>with</w:t>
      </w:r>
      <w:r>
        <w:rPr>
          <w:b/>
          <w:spacing w:val="-5"/>
        </w:rPr>
        <w:t xml:space="preserve"> </w:t>
      </w:r>
      <w:r>
        <w:rPr>
          <w:b/>
        </w:rPr>
        <w:t>clients</w:t>
      </w:r>
      <w:r>
        <w:rPr>
          <w:b/>
          <w:spacing w:val="-1"/>
        </w:rPr>
        <w:t xml:space="preserve"> </w:t>
      </w:r>
      <w:r>
        <w:rPr>
          <w:b/>
        </w:rPr>
        <w:t>just</w:t>
      </w:r>
      <w:r>
        <w:rPr>
          <w:b/>
          <w:spacing w:val="-2"/>
        </w:rPr>
        <w:t xml:space="preserve"> </w:t>
      </w:r>
      <w:r>
        <w:rPr>
          <w:b/>
        </w:rPr>
        <w:t>entering</w:t>
      </w:r>
      <w:r>
        <w:rPr>
          <w:b/>
          <w:spacing w:val="-4"/>
        </w:rPr>
        <w:t xml:space="preserve"> </w:t>
      </w:r>
      <w:r>
        <w:rPr>
          <w:b/>
        </w:rPr>
        <w:t>treatment</w:t>
      </w:r>
      <w:r>
        <w:rPr>
          <w:b/>
          <w:spacing w:val="-2"/>
        </w:rPr>
        <w:t xml:space="preserve"> </w:t>
      </w:r>
      <w:r>
        <w:rPr>
          <w:b/>
        </w:rPr>
        <w:t>is</w:t>
      </w:r>
      <w:r>
        <w:rPr>
          <w:b/>
          <w:spacing w:val="-4"/>
        </w:rPr>
        <w:t xml:space="preserve"> </w:t>
      </w:r>
      <w:r>
        <w:rPr>
          <w:b/>
        </w:rPr>
        <w:t>that</w:t>
      </w:r>
      <w:r>
        <w:rPr>
          <w:b/>
          <w:spacing w:val="-4"/>
        </w:rPr>
        <w:t xml:space="preserve"> </w:t>
      </w:r>
      <w:r>
        <w:rPr>
          <w:b/>
        </w:rPr>
        <w:t>counselors</w:t>
      </w:r>
      <w:r>
        <w:rPr>
          <w:b/>
          <w:spacing w:val="-4"/>
        </w:rPr>
        <w:t xml:space="preserve"> </w:t>
      </w:r>
      <w:r>
        <w:rPr>
          <w:b/>
        </w:rPr>
        <w:t xml:space="preserve">and clients tend to fall into the question-and-answer trap </w:t>
      </w:r>
      <w:r>
        <w:t>(see Chapter 3). Counselors ask closed questions to elicit information needed for the assessment, and clients answer with yes, no, or short-answer responses. This pattern of interaction sets up an expectation that the counselor is the expert and the client</w:t>
      </w:r>
      <w:r>
        <w:t xml:space="preserve"> is a passive recipient of services. It can become an obstacle to client engagement (Miller &amp; Rollnick, 2013). MIA incorporates MI into typical SUD treatment program intake/assessment processes and facilitates client engagement while addressing the organiz</w:t>
      </w:r>
      <w:r>
        <w:t>ation’s need to collect assessment information for treatment planning and to comply with licensing and insurance requirements.</w:t>
      </w:r>
    </w:p>
    <w:p w14:paraId="17AACF77" w14:textId="77777777" w:rsidR="00DB6E1F" w:rsidRDefault="00F666A6">
      <w:pPr>
        <w:pStyle w:val="BodyText"/>
        <w:spacing w:before="160"/>
        <w:ind w:left="1434" w:right="1491" w:firstLine="3"/>
      </w:pPr>
      <w:r>
        <w:t>Research supports MIA as a method to blend MI with standard assessment approaches. An initial study found that clients who partic</w:t>
      </w:r>
      <w:r>
        <w:t xml:space="preserve">ipated in the MIA-blended protocol were significantly more likely than clients who participated in the standard assessment to be enrolled in the program after 1 month (Martino et al., 2006). A more recent study found that incorporating MI into the initial </w:t>
      </w:r>
      <w:r>
        <w:t>intake and assessment processes (whether standard MI or MIA) promoted client retention (e.g., 70 percent remained</w:t>
      </w:r>
      <w:r>
        <w:rPr>
          <w:spacing w:val="-2"/>
        </w:rPr>
        <w:t xml:space="preserve"> </w:t>
      </w:r>
      <w:r>
        <w:t>in treatment after 4 weeks) and</w:t>
      </w:r>
      <w:r>
        <w:rPr>
          <w:spacing w:val="-2"/>
        </w:rPr>
        <w:t xml:space="preserve"> </w:t>
      </w:r>
      <w:r>
        <w:t>enhanced treatment</w:t>
      </w:r>
      <w:r>
        <w:rPr>
          <w:spacing w:val="-1"/>
        </w:rPr>
        <w:t xml:space="preserve"> </w:t>
      </w:r>
      <w:r>
        <w:t>outcomes</w:t>
      </w:r>
      <w:r>
        <w:rPr>
          <w:spacing w:val="-1"/>
        </w:rPr>
        <w:t xml:space="preserve"> </w:t>
      </w:r>
      <w:r>
        <w:t>(e.g., a</w:t>
      </w:r>
      <w:r>
        <w:rPr>
          <w:spacing w:val="-2"/>
        </w:rPr>
        <w:t xml:space="preserve"> </w:t>
      </w:r>
      <w:r>
        <w:t>50 percent</w:t>
      </w:r>
      <w:r>
        <w:rPr>
          <w:spacing w:val="-1"/>
        </w:rPr>
        <w:t xml:space="preserve"> </w:t>
      </w:r>
      <w:r>
        <w:t xml:space="preserve">increase in days abstinent) (Martino et al., 2016). This same </w:t>
      </w:r>
      <w:r>
        <w:t>study found that supervision of counselors in both groups</w:t>
      </w:r>
      <w:r>
        <w:rPr>
          <w:spacing w:val="-2"/>
        </w:rPr>
        <w:t xml:space="preserve"> </w:t>
      </w:r>
      <w:r>
        <w:t>(standard</w:t>
      </w:r>
      <w:r>
        <w:rPr>
          <w:spacing w:val="-5"/>
        </w:rPr>
        <w:t xml:space="preserve"> </w:t>
      </w:r>
      <w:r>
        <w:t>MI</w:t>
      </w:r>
      <w:r>
        <w:rPr>
          <w:spacing w:val="-2"/>
        </w:rPr>
        <w:t xml:space="preserve"> </w:t>
      </w:r>
      <w:r>
        <w:t>and</w:t>
      </w:r>
      <w:r>
        <w:rPr>
          <w:spacing w:val="-5"/>
        </w:rPr>
        <w:t xml:space="preserve"> </w:t>
      </w:r>
      <w:r>
        <w:t>MIA)</w:t>
      </w:r>
      <w:r>
        <w:rPr>
          <w:spacing w:val="-2"/>
        </w:rPr>
        <w:t xml:space="preserve"> </w:t>
      </w:r>
      <w:r>
        <w:t>improved</w:t>
      </w:r>
      <w:r>
        <w:rPr>
          <w:spacing w:val="-3"/>
        </w:rPr>
        <w:t xml:space="preserve"> </w:t>
      </w:r>
      <w:r>
        <w:t>counselor</w:t>
      </w:r>
      <w:r>
        <w:rPr>
          <w:spacing w:val="-5"/>
        </w:rPr>
        <w:t xml:space="preserve"> </w:t>
      </w:r>
      <w:r>
        <w:t>performance</w:t>
      </w:r>
      <w:r>
        <w:rPr>
          <w:spacing w:val="-4"/>
        </w:rPr>
        <w:t xml:space="preserve"> </w:t>
      </w:r>
      <w:r>
        <w:t>of</w:t>
      </w:r>
      <w:r>
        <w:rPr>
          <w:spacing w:val="-5"/>
        </w:rPr>
        <w:t xml:space="preserve"> </w:t>
      </w:r>
      <w:r>
        <w:t>MI,</w:t>
      </w:r>
      <w:r>
        <w:rPr>
          <w:spacing w:val="-1"/>
        </w:rPr>
        <w:t xml:space="preserve"> </w:t>
      </w:r>
      <w:r>
        <w:t>but</w:t>
      </w:r>
      <w:r>
        <w:rPr>
          <w:spacing w:val="-4"/>
        </w:rPr>
        <w:t xml:space="preserve"> </w:t>
      </w:r>
      <w:r>
        <w:t>the</w:t>
      </w:r>
      <w:r>
        <w:rPr>
          <w:spacing w:val="-1"/>
        </w:rPr>
        <w:t xml:space="preserve"> </w:t>
      </w:r>
      <w:r>
        <w:t>counselors</w:t>
      </w:r>
      <w:r>
        <w:rPr>
          <w:spacing w:val="-4"/>
        </w:rPr>
        <w:t xml:space="preserve"> </w:t>
      </w:r>
      <w:r>
        <w:t>who</w:t>
      </w:r>
      <w:r>
        <w:rPr>
          <w:spacing w:val="-3"/>
        </w:rPr>
        <w:t xml:space="preserve"> </w:t>
      </w:r>
      <w:r>
        <w:t>received supervision</w:t>
      </w:r>
      <w:r>
        <w:rPr>
          <w:spacing w:val="-1"/>
        </w:rPr>
        <w:t xml:space="preserve"> </w:t>
      </w:r>
      <w:r>
        <w:t>in</w:t>
      </w:r>
      <w:r>
        <w:rPr>
          <w:spacing w:val="-1"/>
        </w:rPr>
        <w:t xml:space="preserve"> </w:t>
      </w:r>
      <w:r>
        <w:t>MIA</w:t>
      </w:r>
      <w:r>
        <w:rPr>
          <w:spacing w:val="-3"/>
        </w:rPr>
        <w:t xml:space="preserve"> </w:t>
      </w:r>
      <w:r>
        <w:t>showed</w:t>
      </w:r>
      <w:r>
        <w:rPr>
          <w:spacing w:val="-3"/>
        </w:rPr>
        <w:t xml:space="preserve"> </w:t>
      </w:r>
      <w:r>
        <w:t>significantly greater</w:t>
      </w:r>
      <w:r>
        <w:rPr>
          <w:spacing w:val="-3"/>
        </w:rPr>
        <w:t xml:space="preserve"> </w:t>
      </w:r>
      <w:r>
        <w:t>improvements</w:t>
      </w:r>
      <w:r>
        <w:rPr>
          <w:spacing w:val="-1"/>
        </w:rPr>
        <w:t xml:space="preserve"> </w:t>
      </w:r>
      <w:r>
        <w:t>in</w:t>
      </w:r>
      <w:r>
        <w:rPr>
          <w:spacing w:val="-1"/>
        </w:rPr>
        <w:t xml:space="preserve"> </w:t>
      </w:r>
      <w:r>
        <w:t>MI</w:t>
      </w:r>
      <w:r>
        <w:rPr>
          <w:spacing w:val="-3"/>
        </w:rPr>
        <w:t xml:space="preserve"> </w:t>
      </w:r>
      <w:r>
        <w:t>competency, although</w:t>
      </w:r>
      <w:r>
        <w:rPr>
          <w:spacing w:val="-1"/>
        </w:rPr>
        <w:t xml:space="preserve"> </w:t>
      </w:r>
      <w:r>
        <w:t>training</w:t>
      </w:r>
      <w:r>
        <w:rPr>
          <w:spacing w:val="-1"/>
        </w:rPr>
        <w:t xml:space="preserve"> </w:t>
      </w:r>
      <w:r>
        <w:t>and super</w:t>
      </w:r>
      <w:r>
        <w:t xml:space="preserve">vision in MIA was more costly. A link to a manual for training and supervising counselors in MIA, </w:t>
      </w:r>
      <w:r>
        <w:rPr>
          <w:i/>
        </w:rPr>
        <w:t>Motivational Interviewing Assessment: Supervisor Tools for Enhancing Proficiency Manual</w:t>
      </w:r>
      <w:r>
        <w:t>, is available for download at no cost in Appendix C (Martino et al., 2</w:t>
      </w:r>
      <w:r>
        <w:t>006). Another study found that the addition of motivational feedback to a</w:t>
      </w:r>
      <w:r>
        <w:rPr>
          <w:spacing w:val="-2"/>
        </w:rPr>
        <w:t xml:space="preserve"> </w:t>
      </w:r>
      <w:r>
        <w:t>standard</w:t>
      </w:r>
      <w:r>
        <w:rPr>
          <w:spacing w:val="-1"/>
        </w:rPr>
        <w:t xml:space="preserve"> </w:t>
      </w:r>
      <w:r>
        <w:t>assessment</w:t>
      </w:r>
      <w:r>
        <w:rPr>
          <w:spacing w:val="-1"/>
        </w:rPr>
        <w:t xml:space="preserve"> </w:t>
      </w:r>
      <w:r>
        <w:t>enhanced SUD</w:t>
      </w:r>
      <w:r>
        <w:rPr>
          <w:spacing w:val="-1"/>
        </w:rPr>
        <w:t xml:space="preserve"> </w:t>
      </w:r>
      <w:r>
        <w:t>treatment</w:t>
      </w:r>
      <w:r>
        <w:rPr>
          <w:spacing w:val="-2"/>
        </w:rPr>
        <w:t xml:space="preserve"> </w:t>
      </w:r>
      <w:r>
        <w:t>entry</w:t>
      </w:r>
      <w:r>
        <w:rPr>
          <w:spacing w:val="-1"/>
        </w:rPr>
        <w:t xml:space="preserve"> </w:t>
      </w:r>
      <w:r>
        <w:t>for a group</w:t>
      </w:r>
      <w:r>
        <w:rPr>
          <w:spacing w:val="-3"/>
        </w:rPr>
        <w:t xml:space="preserve"> </w:t>
      </w:r>
      <w:r>
        <w:t>of veterans with co-occurring disorders (Lozano, Larowe, Smith, Tuerk, &amp; Roitzsch, 2013).</w:t>
      </w:r>
    </w:p>
    <w:p w14:paraId="0EE5D257" w14:textId="77777777" w:rsidR="00DB6E1F" w:rsidRDefault="00DB6E1F">
      <w:pPr>
        <w:pStyle w:val="BodyText"/>
        <w:spacing w:before="5"/>
        <w:rPr>
          <w:sz w:val="16"/>
        </w:rPr>
      </w:pPr>
    </w:p>
    <w:p w14:paraId="21C31060" w14:textId="77777777" w:rsidR="00DB6E1F" w:rsidRDefault="00F666A6">
      <w:pPr>
        <w:pStyle w:val="Heading4"/>
      </w:pPr>
      <w:bookmarkStart w:id="220" w:name="MI_and_CBT"/>
      <w:bookmarkEnd w:id="220"/>
      <w:r>
        <w:t>MI</w:t>
      </w:r>
      <w:r>
        <w:rPr>
          <w:spacing w:val="-5"/>
        </w:rPr>
        <w:t xml:space="preserve"> </w:t>
      </w:r>
      <w:r>
        <w:t>and</w:t>
      </w:r>
      <w:r>
        <w:rPr>
          <w:spacing w:val="-6"/>
        </w:rPr>
        <w:t xml:space="preserve"> </w:t>
      </w:r>
      <w:r>
        <w:rPr>
          <w:spacing w:val="-5"/>
        </w:rPr>
        <w:t>CBT</w:t>
      </w:r>
    </w:p>
    <w:p w14:paraId="5357F243" w14:textId="77777777" w:rsidR="00DB6E1F" w:rsidRDefault="00F666A6">
      <w:pPr>
        <w:pStyle w:val="BodyText"/>
        <w:spacing w:before="83"/>
        <w:ind w:left="1439" w:right="1444"/>
      </w:pPr>
      <w:r>
        <w:t>Perhaps the most widely adopted counseling approach used in SUD treatment is CBT. CBT focuses on helping clients change thoughts (e.g., drinking is the only way to relax) and behaviors (e.g., drinking to intoxication) that interfere with everyday functioni</w:t>
      </w:r>
      <w:r>
        <w:t>ng. CBT strategies include helping clients identify and manage</w:t>
      </w:r>
      <w:r>
        <w:rPr>
          <w:spacing w:val="-4"/>
        </w:rPr>
        <w:t xml:space="preserve"> </w:t>
      </w:r>
      <w:r>
        <w:t>triggers</w:t>
      </w:r>
      <w:r>
        <w:rPr>
          <w:spacing w:val="-3"/>
        </w:rPr>
        <w:t xml:space="preserve"> </w:t>
      </w:r>
      <w:r>
        <w:t>for</w:t>
      </w:r>
      <w:r>
        <w:rPr>
          <w:spacing w:val="-3"/>
        </w:rPr>
        <w:t xml:space="preserve"> </w:t>
      </w:r>
      <w:r>
        <w:t>substance</w:t>
      </w:r>
      <w:r>
        <w:rPr>
          <w:spacing w:val="-2"/>
        </w:rPr>
        <w:t xml:space="preserve"> </w:t>
      </w:r>
      <w:r>
        <w:t>use</w:t>
      </w:r>
      <w:r>
        <w:rPr>
          <w:spacing w:val="-2"/>
        </w:rPr>
        <w:t xml:space="preserve"> </w:t>
      </w:r>
      <w:r>
        <w:t>and</w:t>
      </w:r>
      <w:r>
        <w:rPr>
          <w:spacing w:val="-4"/>
        </w:rPr>
        <w:t xml:space="preserve"> </w:t>
      </w:r>
      <w:r>
        <w:t>practicing</w:t>
      </w:r>
      <w:r>
        <w:rPr>
          <w:spacing w:val="-3"/>
        </w:rPr>
        <w:t xml:space="preserve"> </w:t>
      </w:r>
      <w:r>
        <w:t>new</w:t>
      </w:r>
      <w:r>
        <w:rPr>
          <w:spacing w:val="-4"/>
        </w:rPr>
        <w:t xml:space="preserve"> </w:t>
      </w:r>
      <w:r>
        <w:t>behaviors</w:t>
      </w:r>
      <w:r>
        <w:rPr>
          <w:spacing w:val="-3"/>
        </w:rPr>
        <w:t xml:space="preserve"> </w:t>
      </w:r>
      <w:r>
        <w:t>that</w:t>
      </w:r>
      <w:r>
        <w:rPr>
          <w:spacing w:val="-3"/>
        </w:rPr>
        <w:t xml:space="preserve"> </w:t>
      </w:r>
      <w:r>
        <w:t>reinforce</w:t>
      </w:r>
      <w:r>
        <w:rPr>
          <w:spacing w:val="-4"/>
        </w:rPr>
        <w:t xml:space="preserve"> </w:t>
      </w:r>
      <w:r>
        <w:t>abstinence.</w:t>
      </w:r>
      <w:r>
        <w:rPr>
          <w:spacing w:val="-2"/>
        </w:rPr>
        <w:t xml:space="preserve"> </w:t>
      </w:r>
      <w:r>
        <w:t>CBT</w:t>
      </w:r>
      <w:r>
        <w:rPr>
          <w:spacing w:val="-2"/>
        </w:rPr>
        <w:t xml:space="preserve"> </w:t>
      </w:r>
      <w:r>
        <w:t>is</w:t>
      </w:r>
      <w:r>
        <w:rPr>
          <w:spacing w:val="-3"/>
        </w:rPr>
        <w:t xml:space="preserve"> </w:t>
      </w:r>
      <w:r>
        <w:t>also</w:t>
      </w:r>
      <w:r>
        <w:rPr>
          <w:spacing w:val="-2"/>
        </w:rPr>
        <w:t xml:space="preserve"> </w:t>
      </w:r>
      <w:r>
        <w:t>an</w:t>
      </w:r>
    </w:p>
    <w:p w14:paraId="6FF5E7CD" w14:textId="77777777" w:rsidR="00DB6E1F" w:rsidRDefault="00DB6E1F">
      <w:pPr>
        <w:sectPr w:rsidR="00DB6E1F">
          <w:pgSz w:w="12240" w:h="15840"/>
          <w:pgMar w:top="1200" w:right="0" w:bottom="780" w:left="0" w:header="763" w:footer="585" w:gutter="0"/>
          <w:cols w:space="720"/>
        </w:sectPr>
      </w:pPr>
    </w:p>
    <w:p w14:paraId="47CAA027" w14:textId="77777777" w:rsidR="00DB6E1F" w:rsidRDefault="00DB6E1F">
      <w:pPr>
        <w:pStyle w:val="BodyText"/>
        <w:spacing w:before="8"/>
        <w:rPr>
          <w:sz w:val="14"/>
        </w:rPr>
      </w:pPr>
    </w:p>
    <w:p w14:paraId="436EDB99" w14:textId="77777777" w:rsidR="00DB6E1F" w:rsidRDefault="00F666A6">
      <w:pPr>
        <w:spacing w:before="56"/>
        <w:ind w:left="1439" w:right="1444"/>
        <w:rPr>
          <w:b/>
        </w:rPr>
      </w:pPr>
      <w:r>
        <w:t>evidence-based approach that is widely used to treat mental disorders (e.g., anx</w:t>
      </w:r>
      <w:r>
        <w:t>iety, depression, posttraumatic stress disorder) that often co-occur with SUDs. However, some CBT providers have acknowledged difficulties with initial client engagement, low motivation, and nonadherence to CBT practices,</w:t>
      </w:r>
      <w:r>
        <w:rPr>
          <w:spacing w:val="-4"/>
        </w:rPr>
        <w:t xml:space="preserve"> </w:t>
      </w:r>
      <w:r>
        <w:t>such</w:t>
      </w:r>
      <w:r>
        <w:rPr>
          <w:spacing w:val="-4"/>
        </w:rPr>
        <w:t xml:space="preserve"> </w:t>
      </w:r>
      <w:r>
        <w:t>as</w:t>
      </w:r>
      <w:r>
        <w:rPr>
          <w:spacing w:val="-4"/>
        </w:rPr>
        <w:t xml:space="preserve"> </w:t>
      </w:r>
      <w:r>
        <w:t>completing</w:t>
      </w:r>
      <w:r>
        <w:rPr>
          <w:spacing w:val="-4"/>
        </w:rPr>
        <w:t xml:space="preserve"> </w:t>
      </w:r>
      <w:r>
        <w:t>out-of-session</w:t>
      </w:r>
      <w:r>
        <w:rPr>
          <w:spacing w:val="-4"/>
        </w:rPr>
        <w:t xml:space="preserve"> </w:t>
      </w:r>
      <w:r>
        <w:t>assignments</w:t>
      </w:r>
      <w:r>
        <w:rPr>
          <w:spacing w:val="-3"/>
        </w:rPr>
        <w:t xml:space="preserve"> </w:t>
      </w:r>
      <w:r>
        <w:t>(Arkowitz,</w:t>
      </w:r>
      <w:r>
        <w:rPr>
          <w:spacing w:val="-4"/>
        </w:rPr>
        <w:t xml:space="preserve"> </w:t>
      </w:r>
      <w:r>
        <w:t>Miller,</w:t>
      </w:r>
      <w:r>
        <w:rPr>
          <w:spacing w:val="-3"/>
        </w:rPr>
        <w:t xml:space="preserve"> </w:t>
      </w:r>
      <w:r>
        <w:t>&amp;</w:t>
      </w:r>
      <w:r>
        <w:rPr>
          <w:spacing w:val="-4"/>
        </w:rPr>
        <w:t xml:space="preserve"> </w:t>
      </w:r>
      <w:r>
        <w:t>Rollnick,</w:t>
      </w:r>
      <w:r>
        <w:rPr>
          <w:spacing w:val="-3"/>
        </w:rPr>
        <w:t xml:space="preserve"> </w:t>
      </w:r>
      <w:r>
        <w:t>2015).</w:t>
      </w:r>
      <w:r>
        <w:rPr>
          <w:spacing w:val="-5"/>
        </w:rPr>
        <w:t xml:space="preserve"> </w:t>
      </w:r>
      <w:r>
        <w:rPr>
          <w:b/>
        </w:rPr>
        <w:t>Integrating MI strategies to address ambivalence and enhance motivation of clients with co-occurring disorders can improve client adherence to CBT treatment components.</w:t>
      </w:r>
    </w:p>
    <w:p w14:paraId="0EEB57D9" w14:textId="77777777" w:rsidR="00DB6E1F" w:rsidRDefault="00F666A6">
      <w:pPr>
        <w:pStyle w:val="BodyText"/>
        <w:spacing w:before="160"/>
        <w:ind w:left="1440" w:right="1614"/>
      </w:pPr>
      <w:r>
        <w:t>Strategies</w:t>
      </w:r>
      <w:r>
        <w:rPr>
          <w:spacing w:val="-3"/>
        </w:rPr>
        <w:t xml:space="preserve"> </w:t>
      </w:r>
      <w:r>
        <w:t>for</w:t>
      </w:r>
      <w:r>
        <w:rPr>
          <w:spacing w:val="-3"/>
        </w:rPr>
        <w:t xml:space="preserve"> </w:t>
      </w:r>
      <w:r>
        <w:t>blending</w:t>
      </w:r>
      <w:r>
        <w:rPr>
          <w:spacing w:val="-1"/>
        </w:rPr>
        <w:t xml:space="preserve"> </w:t>
      </w:r>
      <w:r>
        <w:t>MI</w:t>
      </w:r>
      <w:r>
        <w:rPr>
          <w:spacing w:val="-4"/>
        </w:rPr>
        <w:t xml:space="preserve"> </w:t>
      </w:r>
      <w:r>
        <w:t>and</w:t>
      </w:r>
      <w:r>
        <w:rPr>
          <w:spacing w:val="-2"/>
        </w:rPr>
        <w:t xml:space="preserve"> </w:t>
      </w:r>
      <w:r>
        <w:t>CBT include</w:t>
      </w:r>
      <w:r>
        <w:rPr>
          <w:spacing w:val="-2"/>
        </w:rPr>
        <w:t xml:space="preserve"> </w:t>
      </w:r>
      <w:r>
        <w:t>(Copeland,</w:t>
      </w:r>
      <w:r>
        <w:rPr>
          <w:spacing w:val="-3"/>
        </w:rPr>
        <w:t xml:space="preserve"> </w:t>
      </w:r>
      <w:r>
        <w:t>Gates,</w:t>
      </w:r>
      <w:r>
        <w:rPr>
          <w:spacing w:val="-3"/>
        </w:rPr>
        <w:t xml:space="preserve"> </w:t>
      </w:r>
      <w:r>
        <w:t>&amp;</w:t>
      </w:r>
      <w:r>
        <w:rPr>
          <w:spacing w:val="-3"/>
        </w:rPr>
        <w:t xml:space="preserve"> </w:t>
      </w:r>
      <w:r>
        <w:t>Pokorski,</w:t>
      </w:r>
      <w:r>
        <w:rPr>
          <w:spacing w:val="-3"/>
        </w:rPr>
        <w:t xml:space="preserve"> </w:t>
      </w:r>
      <w:r>
        <w:t>2017;</w:t>
      </w:r>
      <w:r>
        <w:rPr>
          <w:spacing w:val="-5"/>
        </w:rPr>
        <w:t xml:space="preserve"> </w:t>
      </w:r>
      <w:r>
        <w:t>Miller</w:t>
      </w:r>
      <w:r>
        <w:rPr>
          <w:spacing w:val="-3"/>
        </w:rPr>
        <w:t xml:space="preserve"> </w:t>
      </w:r>
      <w:r>
        <w:t>&amp; Rollnick,</w:t>
      </w:r>
      <w:r>
        <w:rPr>
          <w:spacing w:val="-3"/>
        </w:rPr>
        <w:t xml:space="preserve"> </w:t>
      </w:r>
      <w:r>
        <w:t>2013; Naar-King, Safren, &amp; Miller, 2017):</w:t>
      </w:r>
    </w:p>
    <w:p w14:paraId="7595DC72" w14:textId="77777777" w:rsidR="00DB6E1F" w:rsidRDefault="00F666A6">
      <w:pPr>
        <w:pStyle w:val="ListParagraph"/>
        <w:numPr>
          <w:ilvl w:val="0"/>
          <w:numId w:val="92"/>
        </w:numPr>
        <w:tabs>
          <w:tab w:val="left" w:pos="1800"/>
          <w:tab w:val="left" w:pos="1801"/>
        </w:tabs>
        <w:ind w:left="1799" w:right="1618" w:hanging="360"/>
        <w:rPr>
          <w:rFonts w:ascii="Symbol" w:hAnsi="Symbol"/>
        </w:rPr>
      </w:pPr>
      <w:r>
        <w:t>Engaging</w:t>
      </w:r>
      <w:r>
        <w:rPr>
          <w:spacing w:val="-3"/>
        </w:rPr>
        <w:t xml:space="preserve"> </w:t>
      </w:r>
      <w:r>
        <w:t>in</w:t>
      </w:r>
      <w:r>
        <w:rPr>
          <w:spacing w:val="-3"/>
        </w:rPr>
        <w:t xml:space="preserve"> </w:t>
      </w:r>
      <w:r>
        <w:t>a</w:t>
      </w:r>
      <w:r>
        <w:rPr>
          <w:spacing w:val="-2"/>
        </w:rPr>
        <w:t xml:space="preserve"> </w:t>
      </w:r>
      <w:r>
        <w:t>brief</w:t>
      </w:r>
      <w:r>
        <w:rPr>
          <w:spacing w:val="-5"/>
        </w:rPr>
        <w:t xml:space="preserve"> </w:t>
      </w:r>
      <w:r>
        <w:t>motivational</w:t>
      </w:r>
      <w:r>
        <w:rPr>
          <w:spacing w:val="-2"/>
        </w:rPr>
        <w:t xml:space="preserve"> </w:t>
      </w:r>
      <w:r>
        <w:t>conversation</w:t>
      </w:r>
      <w:r>
        <w:rPr>
          <w:spacing w:val="-3"/>
        </w:rPr>
        <w:t xml:space="preserve"> </w:t>
      </w:r>
      <w:r>
        <w:t>before</w:t>
      </w:r>
      <w:r>
        <w:rPr>
          <w:spacing w:val="-4"/>
        </w:rPr>
        <w:t xml:space="preserve"> </w:t>
      </w:r>
      <w:r>
        <w:t>a</w:t>
      </w:r>
      <w:r>
        <w:rPr>
          <w:spacing w:val="-5"/>
        </w:rPr>
        <w:t xml:space="preserve"> </w:t>
      </w:r>
      <w:r>
        <w:t>client</w:t>
      </w:r>
      <w:r>
        <w:rPr>
          <w:spacing w:val="-4"/>
        </w:rPr>
        <w:t xml:space="preserve"> </w:t>
      </w:r>
      <w:r>
        <w:t>moves</w:t>
      </w:r>
      <w:r>
        <w:rPr>
          <w:spacing w:val="-2"/>
        </w:rPr>
        <w:t xml:space="preserve"> </w:t>
      </w:r>
      <w:r>
        <w:t>into</w:t>
      </w:r>
      <w:r>
        <w:rPr>
          <w:spacing w:val="-1"/>
        </w:rPr>
        <w:t xml:space="preserve"> </w:t>
      </w:r>
      <w:r>
        <w:t>a</w:t>
      </w:r>
      <w:r>
        <w:rPr>
          <w:spacing w:val="-2"/>
        </w:rPr>
        <w:t xml:space="preserve"> </w:t>
      </w:r>
      <w:r>
        <w:t>CBT-focused</w:t>
      </w:r>
      <w:r>
        <w:rPr>
          <w:spacing w:val="-3"/>
        </w:rPr>
        <w:t xml:space="preserve"> </w:t>
      </w:r>
      <w:r>
        <w:t>component of treatment (e.g., a relapse prevention group).</w:t>
      </w:r>
    </w:p>
    <w:p w14:paraId="1136FF99" w14:textId="77777777" w:rsidR="00DB6E1F" w:rsidRDefault="00F666A6">
      <w:pPr>
        <w:pStyle w:val="ListParagraph"/>
        <w:numPr>
          <w:ilvl w:val="0"/>
          <w:numId w:val="92"/>
        </w:numPr>
        <w:tabs>
          <w:tab w:val="left" w:pos="1800"/>
          <w:tab w:val="left" w:pos="1801"/>
        </w:tabs>
        <w:spacing w:before="61"/>
        <w:ind w:left="1800"/>
        <w:rPr>
          <w:rFonts w:ascii="Symbol" w:hAnsi="Symbol"/>
        </w:rPr>
      </w:pPr>
      <w:r>
        <w:t>Alternating</w:t>
      </w:r>
      <w:r>
        <w:rPr>
          <w:spacing w:val="-6"/>
        </w:rPr>
        <w:t xml:space="preserve"> </w:t>
      </w:r>
      <w:r>
        <w:t>between</w:t>
      </w:r>
      <w:r>
        <w:rPr>
          <w:spacing w:val="-4"/>
        </w:rPr>
        <w:t xml:space="preserve"> </w:t>
      </w:r>
      <w:r>
        <w:t>MI</w:t>
      </w:r>
      <w:r>
        <w:rPr>
          <w:spacing w:val="-6"/>
        </w:rPr>
        <w:t xml:space="preserve"> </w:t>
      </w:r>
      <w:r>
        <w:t>and</w:t>
      </w:r>
      <w:r>
        <w:rPr>
          <w:spacing w:val="-4"/>
        </w:rPr>
        <w:t xml:space="preserve"> </w:t>
      </w:r>
      <w:r>
        <w:t>CBT,</w:t>
      </w:r>
      <w:r>
        <w:rPr>
          <w:spacing w:val="-3"/>
        </w:rPr>
        <w:t xml:space="preserve"> </w:t>
      </w:r>
      <w:r>
        <w:t>depending</w:t>
      </w:r>
      <w:r>
        <w:rPr>
          <w:spacing w:val="-4"/>
        </w:rPr>
        <w:t xml:space="preserve"> </w:t>
      </w:r>
      <w:r>
        <w:t>on</w:t>
      </w:r>
      <w:r>
        <w:rPr>
          <w:spacing w:val="-4"/>
        </w:rPr>
        <w:t xml:space="preserve"> </w:t>
      </w:r>
      <w:r>
        <w:t>the</w:t>
      </w:r>
      <w:r>
        <w:rPr>
          <w:spacing w:val="-4"/>
        </w:rPr>
        <w:t xml:space="preserve"> </w:t>
      </w:r>
      <w:r>
        <w:t>goals</w:t>
      </w:r>
      <w:r>
        <w:rPr>
          <w:spacing w:val="-5"/>
        </w:rPr>
        <w:t xml:space="preserve"> </w:t>
      </w:r>
      <w:r>
        <w:t>of</w:t>
      </w:r>
      <w:r>
        <w:rPr>
          <w:spacing w:val="-3"/>
        </w:rPr>
        <w:t xml:space="preserve"> </w:t>
      </w:r>
      <w:r>
        <w:t>each</w:t>
      </w:r>
      <w:r>
        <w:rPr>
          <w:spacing w:val="-3"/>
        </w:rPr>
        <w:t xml:space="preserve"> </w:t>
      </w:r>
      <w:r>
        <w:rPr>
          <w:spacing w:val="-2"/>
        </w:rPr>
        <w:t>session.</w:t>
      </w:r>
    </w:p>
    <w:p w14:paraId="05F83F91" w14:textId="77777777" w:rsidR="00DB6E1F" w:rsidRDefault="00F666A6">
      <w:pPr>
        <w:pStyle w:val="ListParagraph"/>
        <w:numPr>
          <w:ilvl w:val="0"/>
          <w:numId w:val="92"/>
        </w:numPr>
        <w:tabs>
          <w:tab w:val="left" w:pos="1800"/>
          <w:tab w:val="left" w:pos="1801"/>
        </w:tabs>
        <w:spacing w:before="58"/>
        <w:ind w:left="1800" w:right="2105"/>
        <w:rPr>
          <w:rFonts w:ascii="Symbol" w:hAnsi="Symbol"/>
        </w:rPr>
      </w:pPr>
      <w:r>
        <w:t>Using</w:t>
      </w:r>
      <w:r>
        <w:rPr>
          <w:spacing w:val="-3"/>
        </w:rPr>
        <w:t xml:space="preserve"> </w:t>
      </w:r>
      <w:r>
        <w:t>MI</w:t>
      </w:r>
      <w:r>
        <w:rPr>
          <w:spacing w:val="-5"/>
        </w:rPr>
        <w:t xml:space="preserve"> </w:t>
      </w:r>
      <w:r>
        <w:t>when</w:t>
      </w:r>
      <w:r>
        <w:rPr>
          <w:spacing w:val="-3"/>
        </w:rPr>
        <w:t xml:space="preserve"> </w:t>
      </w:r>
      <w:r>
        <w:t>the</w:t>
      </w:r>
      <w:r>
        <w:rPr>
          <w:spacing w:val="-4"/>
        </w:rPr>
        <w:t xml:space="preserve"> </w:t>
      </w:r>
      <w:r>
        <w:t>clinical</w:t>
      </w:r>
      <w:r>
        <w:rPr>
          <w:spacing w:val="-4"/>
        </w:rPr>
        <w:t xml:space="preserve"> </w:t>
      </w:r>
      <w:r>
        <w:t>focus</w:t>
      </w:r>
      <w:r>
        <w:rPr>
          <w:spacing w:val="-2"/>
        </w:rPr>
        <w:t xml:space="preserve"> </w:t>
      </w:r>
      <w:r>
        <w:t>is</w:t>
      </w:r>
      <w:r>
        <w:rPr>
          <w:spacing w:val="-4"/>
        </w:rPr>
        <w:t xml:space="preserve"> </w:t>
      </w:r>
      <w:r>
        <w:t>on</w:t>
      </w:r>
      <w:r>
        <w:rPr>
          <w:spacing w:val="-5"/>
        </w:rPr>
        <w:t xml:space="preserve"> </w:t>
      </w:r>
      <w:r>
        <w:t>engaging,</w:t>
      </w:r>
      <w:r>
        <w:rPr>
          <w:spacing w:val="-2"/>
        </w:rPr>
        <w:t xml:space="preserve"> </w:t>
      </w:r>
      <w:r>
        <w:t>focusing,</w:t>
      </w:r>
      <w:r>
        <w:rPr>
          <w:spacing w:val="-2"/>
        </w:rPr>
        <w:t xml:space="preserve"> </w:t>
      </w:r>
      <w:r>
        <w:t>evoking,</w:t>
      </w:r>
      <w:r>
        <w:rPr>
          <w:spacing w:val="-1"/>
        </w:rPr>
        <w:t xml:space="preserve"> </w:t>
      </w:r>
      <w:r>
        <w:t>and</w:t>
      </w:r>
      <w:r>
        <w:rPr>
          <w:spacing w:val="-5"/>
        </w:rPr>
        <w:t xml:space="preserve"> </w:t>
      </w:r>
      <w:r>
        <w:t>emphasizing</w:t>
      </w:r>
      <w:r>
        <w:rPr>
          <w:spacing w:val="-3"/>
        </w:rPr>
        <w:t xml:space="preserve"> </w:t>
      </w:r>
      <w:r>
        <w:t>the</w:t>
      </w:r>
      <w:r>
        <w:rPr>
          <w:spacing w:val="-4"/>
        </w:rPr>
        <w:t xml:space="preserve"> </w:t>
      </w:r>
      <w:r>
        <w:t>more directive style of CBT during the planning process.</w:t>
      </w:r>
    </w:p>
    <w:p w14:paraId="1FAB4CE2" w14:textId="77777777" w:rsidR="00DB6E1F" w:rsidRDefault="00F666A6">
      <w:pPr>
        <w:pStyle w:val="ListParagraph"/>
        <w:numPr>
          <w:ilvl w:val="0"/>
          <w:numId w:val="92"/>
        </w:numPr>
        <w:tabs>
          <w:tab w:val="left" w:pos="1800"/>
          <w:tab w:val="left" w:pos="1801"/>
        </w:tabs>
        <w:spacing w:before="61"/>
        <w:ind w:left="1800" w:right="1481"/>
        <w:rPr>
          <w:rFonts w:ascii="Symbol" w:hAnsi="Symbol"/>
        </w:rPr>
      </w:pPr>
      <w:r>
        <w:t>Shifting</w:t>
      </w:r>
      <w:r>
        <w:rPr>
          <w:spacing w:val="-2"/>
        </w:rPr>
        <w:t xml:space="preserve"> </w:t>
      </w:r>
      <w:r>
        <w:t>to</w:t>
      </w:r>
      <w:r>
        <w:rPr>
          <w:spacing w:val="-3"/>
        </w:rPr>
        <w:t xml:space="preserve"> </w:t>
      </w:r>
      <w:r>
        <w:t>MI</w:t>
      </w:r>
      <w:r>
        <w:rPr>
          <w:spacing w:val="-2"/>
        </w:rPr>
        <w:t xml:space="preserve"> </w:t>
      </w:r>
      <w:r>
        <w:t>during</w:t>
      </w:r>
      <w:r>
        <w:rPr>
          <w:spacing w:val="-2"/>
        </w:rPr>
        <w:t xml:space="preserve"> </w:t>
      </w:r>
      <w:r>
        <w:t>CBT</w:t>
      </w:r>
      <w:r>
        <w:rPr>
          <w:spacing w:val="-1"/>
        </w:rPr>
        <w:t xml:space="preserve"> </w:t>
      </w:r>
      <w:r>
        <w:t>interventions</w:t>
      </w:r>
      <w:r>
        <w:rPr>
          <w:spacing w:val="-4"/>
        </w:rPr>
        <w:t xml:space="preserve"> </w:t>
      </w:r>
      <w:r>
        <w:t>when</w:t>
      </w:r>
      <w:r>
        <w:rPr>
          <w:spacing w:val="-7"/>
        </w:rPr>
        <w:t xml:space="preserve"> </w:t>
      </w:r>
      <w:r>
        <w:t>counselor‒client</w:t>
      </w:r>
      <w:r>
        <w:rPr>
          <w:spacing w:val="-4"/>
        </w:rPr>
        <w:t xml:space="preserve"> </w:t>
      </w:r>
      <w:r>
        <w:t>discord</w:t>
      </w:r>
      <w:r>
        <w:rPr>
          <w:spacing w:val="-5"/>
        </w:rPr>
        <w:t xml:space="preserve"> </w:t>
      </w:r>
      <w:r>
        <w:t>or</w:t>
      </w:r>
      <w:r>
        <w:rPr>
          <w:spacing w:val="-4"/>
        </w:rPr>
        <w:t xml:space="preserve"> </w:t>
      </w:r>
      <w:r>
        <w:t>client</w:t>
      </w:r>
      <w:r>
        <w:rPr>
          <w:spacing w:val="-4"/>
        </w:rPr>
        <w:t xml:space="preserve"> </w:t>
      </w:r>
      <w:r>
        <w:t>ambivalence</w:t>
      </w:r>
      <w:r>
        <w:rPr>
          <w:spacing w:val="-1"/>
        </w:rPr>
        <w:t xml:space="preserve"> </w:t>
      </w:r>
      <w:r>
        <w:t>about</w:t>
      </w:r>
      <w:r>
        <w:rPr>
          <w:spacing w:val="-2"/>
        </w:rPr>
        <w:t xml:space="preserve"> </w:t>
      </w:r>
      <w:r>
        <w:t>a specific change goal arises.</w:t>
      </w:r>
    </w:p>
    <w:p w14:paraId="09B13E37" w14:textId="77777777" w:rsidR="00DB6E1F" w:rsidRDefault="00F666A6">
      <w:pPr>
        <w:pStyle w:val="ListParagraph"/>
        <w:numPr>
          <w:ilvl w:val="0"/>
          <w:numId w:val="92"/>
        </w:numPr>
        <w:tabs>
          <w:tab w:val="left" w:pos="1800"/>
          <w:tab w:val="left" w:pos="1801"/>
        </w:tabs>
        <w:spacing w:before="58"/>
        <w:ind w:left="1800"/>
        <w:rPr>
          <w:rFonts w:ascii="Symbol" w:hAnsi="Symbol"/>
        </w:rPr>
      </w:pPr>
      <w:r>
        <w:t>Using</w:t>
      </w:r>
      <w:r>
        <w:rPr>
          <w:spacing w:val="-6"/>
        </w:rPr>
        <w:t xml:space="preserve"> </w:t>
      </w:r>
      <w:r>
        <w:t>the</w:t>
      </w:r>
      <w:r>
        <w:rPr>
          <w:spacing w:val="-2"/>
        </w:rPr>
        <w:t xml:space="preserve"> </w:t>
      </w:r>
      <w:r>
        <w:t>spirit</w:t>
      </w:r>
      <w:r>
        <w:rPr>
          <w:spacing w:val="-5"/>
        </w:rPr>
        <w:t xml:space="preserve"> </w:t>
      </w:r>
      <w:r>
        <w:t>of</w:t>
      </w:r>
      <w:r>
        <w:rPr>
          <w:spacing w:val="-6"/>
        </w:rPr>
        <w:t xml:space="preserve"> </w:t>
      </w:r>
      <w:r>
        <w:t>MI</w:t>
      </w:r>
      <w:r>
        <w:rPr>
          <w:spacing w:val="-2"/>
        </w:rPr>
        <w:t xml:space="preserve"> </w:t>
      </w:r>
      <w:r>
        <w:t>as</w:t>
      </w:r>
      <w:r>
        <w:rPr>
          <w:spacing w:val="-3"/>
        </w:rPr>
        <w:t xml:space="preserve"> </w:t>
      </w:r>
      <w:r>
        <w:t>a</w:t>
      </w:r>
      <w:r>
        <w:rPr>
          <w:spacing w:val="-3"/>
        </w:rPr>
        <w:t xml:space="preserve"> </w:t>
      </w:r>
      <w:r>
        <w:t>framework</w:t>
      </w:r>
      <w:r>
        <w:rPr>
          <w:spacing w:val="-2"/>
        </w:rPr>
        <w:t xml:space="preserve"> </w:t>
      </w:r>
      <w:r>
        <w:t>and</w:t>
      </w:r>
      <w:r>
        <w:rPr>
          <w:spacing w:val="-4"/>
        </w:rPr>
        <w:t xml:space="preserve"> </w:t>
      </w:r>
      <w:r>
        <w:t>interactional</w:t>
      </w:r>
      <w:r>
        <w:rPr>
          <w:spacing w:val="-3"/>
        </w:rPr>
        <w:t xml:space="preserve"> </w:t>
      </w:r>
      <w:r>
        <w:t>style</w:t>
      </w:r>
      <w:r>
        <w:rPr>
          <w:spacing w:val="-2"/>
        </w:rPr>
        <w:t xml:space="preserve"> </w:t>
      </w:r>
      <w:r>
        <w:t>in</w:t>
      </w:r>
      <w:r>
        <w:rPr>
          <w:spacing w:val="-3"/>
        </w:rPr>
        <w:t xml:space="preserve"> </w:t>
      </w:r>
      <w:r>
        <w:t>which</w:t>
      </w:r>
      <w:r>
        <w:rPr>
          <w:spacing w:val="-7"/>
        </w:rPr>
        <w:t xml:space="preserve"> </w:t>
      </w:r>
      <w:r>
        <w:t>to</w:t>
      </w:r>
      <w:r>
        <w:rPr>
          <w:spacing w:val="-4"/>
        </w:rPr>
        <w:t xml:space="preserve"> </w:t>
      </w:r>
      <w:r>
        <w:t>use</w:t>
      </w:r>
      <w:r>
        <w:rPr>
          <w:spacing w:val="-2"/>
        </w:rPr>
        <w:t xml:space="preserve"> </w:t>
      </w:r>
      <w:r>
        <w:t>CBT</w:t>
      </w:r>
      <w:r>
        <w:rPr>
          <w:spacing w:val="-2"/>
        </w:rPr>
        <w:t xml:space="preserve"> strategies.</w:t>
      </w:r>
    </w:p>
    <w:p w14:paraId="6FAC7BB9" w14:textId="77777777" w:rsidR="00DB6E1F" w:rsidRDefault="00F666A6">
      <w:pPr>
        <w:pStyle w:val="BodyText"/>
        <w:spacing w:before="161"/>
        <w:ind w:left="1439" w:right="1474"/>
      </w:pPr>
      <w:r>
        <w:t xml:space="preserve">Integrating MI into CBT approaches that the SUD treatment program already supports can enhance client motivation to engage in CBT and improve long-term maintenance of behavior change (Naar-King et al., 2017). Blending MI and CBT may actually create a more </w:t>
      </w:r>
      <w:r>
        <w:t>powerful approach for behavioral change in SUD treatment than either approach alone (Copeland et al., 2017; Naar-King et al., 2017). For example, a review of psychosocial interventions for cannabis use disorder found that the most consistent evidence for r</w:t>
      </w:r>
      <w:r>
        <w:t>educing cannabis use among a variety of interventions was a combination of CBT</w:t>
      </w:r>
      <w:r>
        <w:rPr>
          <w:spacing w:val="-1"/>
        </w:rPr>
        <w:t xml:space="preserve"> </w:t>
      </w:r>
      <w:r>
        <w:t>and</w:t>
      </w:r>
      <w:r>
        <w:rPr>
          <w:spacing w:val="-5"/>
        </w:rPr>
        <w:t xml:space="preserve"> </w:t>
      </w:r>
      <w:r>
        <w:t>MET</w:t>
      </w:r>
      <w:r>
        <w:rPr>
          <w:spacing w:val="-4"/>
        </w:rPr>
        <w:t xml:space="preserve"> </w:t>
      </w:r>
      <w:r>
        <w:t>(Gates,</w:t>
      </w:r>
      <w:r>
        <w:rPr>
          <w:spacing w:val="-2"/>
        </w:rPr>
        <w:t xml:space="preserve"> </w:t>
      </w:r>
      <w:r>
        <w:t>Sabioni,</w:t>
      </w:r>
      <w:r>
        <w:rPr>
          <w:spacing w:val="-2"/>
        </w:rPr>
        <w:t xml:space="preserve"> </w:t>
      </w:r>
      <w:r>
        <w:t>Copeland,</w:t>
      </w:r>
      <w:r>
        <w:rPr>
          <w:spacing w:val="-2"/>
        </w:rPr>
        <w:t xml:space="preserve"> </w:t>
      </w:r>
      <w:r>
        <w:t>Foll,</w:t>
      </w:r>
      <w:r>
        <w:rPr>
          <w:spacing w:val="-4"/>
        </w:rPr>
        <w:t xml:space="preserve"> </w:t>
      </w:r>
      <w:r>
        <w:t>&amp;</w:t>
      </w:r>
      <w:r>
        <w:rPr>
          <w:spacing w:val="-1"/>
        </w:rPr>
        <w:t xml:space="preserve"> </w:t>
      </w:r>
      <w:r>
        <w:t>Gowing,</w:t>
      </w:r>
      <w:r>
        <w:rPr>
          <w:spacing w:val="-2"/>
        </w:rPr>
        <w:t xml:space="preserve"> </w:t>
      </w:r>
      <w:r>
        <w:t>2016).</w:t>
      </w:r>
      <w:r>
        <w:rPr>
          <w:spacing w:val="-3"/>
        </w:rPr>
        <w:t xml:space="preserve"> </w:t>
      </w:r>
      <w:r>
        <w:t>Other</w:t>
      </w:r>
      <w:r>
        <w:rPr>
          <w:spacing w:val="-2"/>
        </w:rPr>
        <w:t xml:space="preserve"> </w:t>
      </w:r>
      <w:r>
        <w:t>research</w:t>
      </w:r>
      <w:r>
        <w:rPr>
          <w:spacing w:val="-5"/>
        </w:rPr>
        <w:t xml:space="preserve"> </w:t>
      </w:r>
      <w:r>
        <w:t>that</w:t>
      </w:r>
      <w:r>
        <w:rPr>
          <w:spacing w:val="-1"/>
        </w:rPr>
        <w:t xml:space="preserve"> </w:t>
      </w:r>
      <w:r>
        <w:t>evaluated</w:t>
      </w:r>
      <w:r>
        <w:rPr>
          <w:spacing w:val="-5"/>
        </w:rPr>
        <w:t xml:space="preserve"> </w:t>
      </w:r>
      <w:r>
        <w:t>studies</w:t>
      </w:r>
      <w:r>
        <w:rPr>
          <w:spacing w:val="-5"/>
        </w:rPr>
        <w:t xml:space="preserve"> </w:t>
      </w:r>
      <w:r>
        <w:t>on the integrated</w:t>
      </w:r>
      <w:r>
        <w:rPr>
          <w:spacing w:val="-2"/>
        </w:rPr>
        <w:t xml:space="preserve"> </w:t>
      </w:r>
      <w:r>
        <w:t>approach</w:t>
      </w:r>
      <w:r>
        <w:rPr>
          <w:spacing w:val="-4"/>
        </w:rPr>
        <w:t xml:space="preserve"> </w:t>
      </w:r>
      <w:r>
        <w:t>of</w:t>
      </w:r>
      <w:r>
        <w:rPr>
          <w:spacing w:val="-4"/>
        </w:rPr>
        <w:t xml:space="preserve"> </w:t>
      </w:r>
      <w:r>
        <w:t>CBT and</w:t>
      </w:r>
      <w:r>
        <w:rPr>
          <w:spacing w:val="-4"/>
        </w:rPr>
        <w:t xml:space="preserve"> </w:t>
      </w:r>
      <w:r>
        <w:t>MI</w:t>
      </w:r>
      <w:r>
        <w:rPr>
          <w:spacing w:val="-1"/>
        </w:rPr>
        <w:t xml:space="preserve"> </w:t>
      </w:r>
      <w:r>
        <w:t>found</w:t>
      </w:r>
      <w:r>
        <w:rPr>
          <w:spacing w:val="-2"/>
        </w:rPr>
        <w:t xml:space="preserve"> </w:t>
      </w:r>
      <w:r>
        <w:t>a</w:t>
      </w:r>
      <w:r>
        <w:rPr>
          <w:spacing w:val="-1"/>
        </w:rPr>
        <w:t xml:space="preserve"> </w:t>
      </w:r>
      <w:r>
        <w:t>clinically significant</w:t>
      </w:r>
      <w:r>
        <w:rPr>
          <w:spacing w:val="-3"/>
        </w:rPr>
        <w:t xml:space="preserve"> </w:t>
      </w:r>
      <w:r>
        <w:t>effect</w:t>
      </w:r>
      <w:r>
        <w:rPr>
          <w:spacing w:val="-1"/>
        </w:rPr>
        <w:t xml:space="preserve"> </w:t>
      </w:r>
      <w:r>
        <w:t>in</w:t>
      </w:r>
      <w:r>
        <w:rPr>
          <w:spacing w:val="-2"/>
        </w:rPr>
        <w:t xml:space="preserve"> </w:t>
      </w:r>
      <w:r>
        <w:t>treatment</w:t>
      </w:r>
      <w:r>
        <w:rPr>
          <w:spacing w:val="-3"/>
        </w:rPr>
        <w:t xml:space="preserve"> </w:t>
      </w:r>
      <w:r>
        <w:t>outcomes</w:t>
      </w:r>
      <w:r>
        <w:rPr>
          <w:spacing w:val="-1"/>
        </w:rPr>
        <w:t xml:space="preserve"> </w:t>
      </w:r>
      <w:r>
        <w:t>for</w:t>
      </w:r>
      <w:r>
        <w:rPr>
          <w:spacing w:val="-1"/>
        </w:rPr>
        <w:t xml:space="preserve"> </w:t>
      </w:r>
      <w:r>
        <w:t>co- occurring alcohol use disorder (AUD) and major depressive disorder compared with treatment as usual (Riper et al., 2014).</w:t>
      </w:r>
    </w:p>
    <w:p w14:paraId="47136DCE" w14:textId="77777777" w:rsidR="00DB6E1F" w:rsidRDefault="00F666A6">
      <w:pPr>
        <w:pStyle w:val="BodyText"/>
        <w:spacing w:before="161"/>
        <w:ind w:left="1438" w:right="1460" w:firstLine="1"/>
      </w:pPr>
      <w:r>
        <w:t>At times,</w:t>
      </w:r>
      <w:r>
        <w:rPr>
          <w:spacing w:val="-3"/>
        </w:rPr>
        <w:t xml:space="preserve"> </w:t>
      </w:r>
      <w:r>
        <w:t>CBT</w:t>
      </w:r>
      <w:r>
        <w:rPr>
          <w:spacing w:val="-3"/>
        </w:rPr>
        <w:t xml:space="preserve"> </w:t>
      </w:r>
      <w:r>
        <w:t>may require</w:t>
      </w:r>
      <w:r>
        <w:rPr>
          <w:spacing w:val="-5"/>
        </w:rPr>
        <w:t xml:space="preserve"> </w:t>
      </w:r>
      <w:r>
        <w:t>counselors</w:t>
      </w:r>
      <w:r>
        <w:rPr>
          <w:spacing w:val="-1"/>
        </w:rPr>
        <w:t xml:space="preserve"> </w:t>
      </w:r>
      <w:r>
        <w:t>to</w:t>
      </w:r>
      <w:r>
        <w:rPr>
          <w:spacing w:val="-2"/>
        </w:rPr>
        <w:t xml:space="preserve"> </w:t>
      </w:r>
      <w:r>
        <w:t>take</w:t>
      </w:r>
      <w:r>
        <w:rPr>
          <w:spacing w:val="-3"/>
        </w:rPr>
        <w:t xml:space="preserve"> </w:t>
      </w:r>
      <w:r>
        <w:t>on</w:t>
      </w:r>
      <w:r>
        <w:rPr>
          <w:spacing w:val="-4"/>
        </w:rPr>
        <w:t xml:space="preserve"> </w:t>
      </w:r>
      <w:r>
        <w:t>the role</w:t>
      </w:r>
      <w:r>
        <w:rPr>
          <w:spacing w:val="-3"/>
        </w:rPr>
        <w:t xml:space="preserve"> </w:t>
      </w:r>
      <w:r>
        <w:t>of</w:t>
      </w:r>
      <w:r>
        <w:rPr>
          <w:spacing w:val="-1"/>
        </w:rPr>
        <w:t xml:space="preserve"> </w:t>
      </w:r>
      <w:r>
        <w:t>a</w:t>
      </w:r>
      <w:r>
        <w:rPr>
          <w:spacing w:val="-3"/>
        </w:rPr>
        <w:t xml:space="preserve"> </w:t>
      </w:r>
      <w:r>
        <w:t>teacher</w:t>
      </w:r>
      <w:r>
        <w:rPr>
          <w:spacing w:val="-3"/>
        </w:rPr>
        <w:t xml:space="preserve"> </w:t>
      </w:r>
      <w:r>
        <w:t>or</w:t>
      </w:r>
      <w:r>
        <w:rPr>
          <w:spacing w:val="-1"/>
        </w:rPr>
        <w:t xml:space="preserve"> </w:t>
      </w:r>
      <w:r>
        <w:t>guide</w:t>
      </w:r>
      <w:r>
        <w:rPr>
          <w:spacing w:val="-3"/>
        </w:rPr>
        <w:t xml:space="preserve"> </w:t>
      </w:r>
      <w:r>
        <w:t>who is</w:t>
      </w:r>
      <w:r>
        <w:rPr>
          <w:spacing w:val="-3"/>
        </w:rPr>
        <w:t xml:space="preserve"> </w:t>
      </w:r>
      <w:r>
        <w:t xml:space="preserve">more directive, but </w:t>
      </w:r>
      <w:r>
        <w:t>counselors’</w:t>
      </w:r>
      <w:r>
        <w:rPr>
          <w:spacing w:val="-1"/>
        </w:rPr>
        <w:t xml:space="preserve"> </w:t>
      </w:r>
      <w:r>
        <w:t>overall stance</w:t>
      </w:r>
      <w:r>
        <w:rPr>
          <w:spacing w:val="-1"/>
        </w:rPr>
        <w:t xml:space="preserve"> </w:t>
      </w:r>
      <w:r>
        <w:t>should remain that</w:t>
      </w:r>
      <w:r>
        <w:rPr>
          <w:spacing w:val="-1"/>
        </w:rPr>
        <w:t xml:space="preserve"> </w:t>
      </w:r>
      <w:r>
        <w:t>of</w:t>
      </w:r>
      <w:r>
        <w:rPr>
          <w:spacing w:val="-1"/>
        </w:rPr>
        <w:t xml:space="preserve"> </w:t>
      </w:r>
      <w:r>
        <w:t>an empathetic partner–consultant instead</w:t>
      </w:r>
      <w:r>
        <w:rPr>
          <w:spacing w:val="-2"/>
        </w:rPr>
        <w:t xml:space="preserve"> </w:t>
      </w:r>
      <w:r>
        <w:t>of an</w:t>
      </w:r>
      <w:r>
        <w:rPr>
          <w:spacing w:val="-2"/>
        </w:rPr>
        <w:t xml:space="preserve"> </w:t>
      </w:r>
      <w:r>
        <w:t>expert. For example, in one study, counselors using CBT who explored and connected with clients in treatment for AUD were more successful in evoking discussions about behavior change than counselors who emphasized</w:t>
      </w:r>
      <w:r>
        <w:rPr>
          <w:spacing w:val="-5"/>
        </w:rPr>
        <w:t xml:space="preserve"> </w:t>
      </w:r>
      <w:r>
        <w:t>teaching</w:t>
      </w:r>
      <w:r>
        <w:rPr>
          <w:spacing w:val="-3"/>
        </w:rPr>
        <w:t xml:space="preserve"> </w:t>
      </w:r>
      <w:r>
        <w:t>clients</w:t>
      </w:r>
      <w:r>
        <w:rPr>
          <w:spacing w:val="-2"/>
        </w:rPr>
        <w:t xml:space="preserve"> </w:t>
      </w:r>
      <w:r>
        <w:t>behavior-change</w:t>
      </w:r>
      <w:r>
        <w:rPr>
          <w:spacing w:val="-1"/>
        </w:rPr>
        <w:t xml:space="preserve"> </w:t>
      </w:r>
      <w:r>
        <w:t>skills</w:t>
      </w:r>
      <w:r>
        <w:rPr>
          <w:spacing w:val="-2"/>
        </w:rPr>
        <w:t xml:space="preserve"> </w:t>
      </w:r>
      <w:r>
        <w:t>(M</w:t>
      </w:r>
      <w:r>
        <w:t>agill</w:t>
      </w:r>
      <w:r>
        <w:rPr>
          <w:spacing w:val="-1"/>
        </w:rPr>
        <w:t xml:space="preserve"> </w:t>
      </w:r>
      <w:r>
        <w:t>et</w:t>
      </w:r>
      <w:r>
        <w:rPr>
          <w:spacing w:val="-1"/>
        </w:rPr>
        <w:t xml:space="preserve"> </w:t>
      </w:r>
      <w:r>
        <w:t>al.,</w:t>
      </w:r>
      <w:r>
        <w:rPr>
          <w:spacing w:val="-4"/>
        </w:rPr>
        <w:t xml:space="preserve"> </w:t>
      </w:r>
      <w:r>
        <w:t>2016).</w:t>
      </w:r>
      <w:r>
        <w:rPr>
          <w:spacing w:val="-3"/>
        </w:rPr>
        <w:t xml:space="preserve"> </w:t>
      </w:r>
      <w:r>
        <w:t>Counselors’</w:t>
      </w:r>
      <w:r>
        <w:rPr>
          <w:spacing w:val="-2"/>
        </w:rPr>
        <w:t xml:space="preserve"> </w:t>
      </w:r>
      <w:r>
        <w:t>most</w:t>
      </w:r>
      <w:r>
        <w:rPr>
          <w:spacing w:val="-4"/>
        </w:rPr>
        <w:t xml:space="preserve"> </w:t>
      </w:r>
      <w:r>
        <w:t>important</w:t>
      </w:r>
      <w:r>
        <w:rPr>
          <w:spacing w:val="-4"/>
        </w:rPr>
        <w:t xml:space="preserve"> </w:t>
      </w:r>
      <w:r>
        <w:t>goal is to develop a relationship of mutual trust and respect with the client. They should view the client as</w:t>
      </w:r>
      <w:r>
        <w:rPr>
          <w:spacing w:val="40"/>
        </w:rPr>
        <w:t xml:space="preserve"> </w:t>
      </w:r>
      <w:r>
        <w:t>the expert in his or her own recovery. Exhibit 8.1 provides a brief clinical scenario that depicts</w:t>
      </w:r>
      <w:r>
        <w:t xml:space="preserve"> a counselor blending the spirit of MI with CBT relapse prevention strategies (see Chapter 7) in a</w:t>
      </w:r>
      <w:r>
        <w:rPr>
          <w:spacing w:val="40"/>
        </w:rPr>
        <w:t xml:space="preserve"> </w:t>
      </w:r>
      <w:r>
        <w:t>counseling approach with a military veteran.</w:t>
      </w:r>
    </w:p>
    <w:p w14:paraId="4F684C94" w14:textId="77777777" w:rsidR="00DB6E1F" w:rsidRDefault="00DB6E1F">
      <w:pPr>
        <w:pStyle w:val="BodyText"/>
        <w:spacing w:before="8"/>
        <w:rPr>
          <w:sz w:val="12"/>
        </w:rPr>
      </w:pPr>
    </w:p>
    <w:tbl>
      <w:tblPr>
        <w:tblW w:w="0" w:type="auto"/>
        <w:tblInd w:w="1452" w:type="dxa"/>
        <w:tblLayout w:type="fixed"/>
        <w:tblCellMar>
          <w:left w:w="0" w:type="dxa"/>
          <w:right w:w="0" w:type="dxa"/>
        </w:tblCellMar>
        <w:tblLook w:val="01E0" w:firstRow="1" w:lastRow="1" w:firstColumn="1" w:lastColumn="1" w:noHBand="0" w:noVBand="0"/>
      </w:tblPr>
      <w:tblGrid>
        <w:gridCol w:w="9350"/>
      </w:tblGrid>
      <w:tr w:rsidR="00DB6E1F" w14:paraId="39684624" w14:textId="77777777">
        <w:trPr>
          <w:trHeight w:val="525"/>
        </w:trPr>
        <w:tc>
          <w:tcPr>
            <w:tcW w:w="9350" w:type="dxa"/>
            <w:shd w:val="clear" w:color="auto" w:fill="000000"/>
          </w:tcPr>
          <w:p w14:paraId="6F4EB450" w14:textId="77777777" w:rsidR="00DB6E1F" w:rsidRDefault="00F666A6">
            <w:pPr>
              <w:pStyle w:val="TableParagraph"/>
              <w:spacing w:before="114"/>
              <w:ind w:left="215"/>
              <w:rPr>
                <w:sz w:val="24"/>
              </w:rPr>
            </w:pPr>
            <w:r>
              <w:rPr>
                <w:color w:val="FFFFFF"/>
                <w:sz w:val="24"/>
              </w:rPr>
              <w:t>Exhibit</w:t>
            </w:r>
            <w:r>
              <w:rPr>
                <w:color w:val="FFFFFF"/>
                <w:spacing w:val="-2"/>
                <w:sz w:val="24"/>
              </w:rPr>
              <w:t xml:space="preserve"> </w:t>
            </w:r>
            <w:r>
              <w:rPr>
                <w:color w:val="FFFFFF"/>
                <w:sz w:val="24"/>
              </w:rPr>
              <w:t>8.1. Blending</w:t>
            </w:r>
            <w:r>
              <w:rPr>
                <w:color w:val="FFFFFF"/>
                <w:spacing w:val="-1"/>
                <w:sz w:val="24"/>
              </w:rPr>
              <w:t xml:space="preserve"> </w:t>
            </w:r>
            <w:r>
              <w:rPr>
                <w:color w:val="FFFFFF"/>
                <w:sz w:val="24"/>
              </w:rPr>
              <w:t>the</w:t>
            </w:r>
            <w:r>
              <w:rPr>
                <w:color w:val="FFFFFF"/>
                <w:spacing w:val="-1"/>
                <w:sz w:val="24"/>
              </w:rPr>
              <w:t xml:space="preserve"> </w:t>
            </w:r>
            <w:r>
              <w:rPr>
                <w:color w:val="FFFFFF"/>
                <w:sz w:val="24"/>
              </w:rPr>
              <w:t>Spirit</w:t>
            </w:r>
            <w:r>
              <w:rPr>
                <w:color w:val="FFFFFF"/>
                <w:spacing w:val="-2"/>
                <w:sz w:val="24"/>
              </w:rPr>
              <w:t xml:space="preserve"> </w:t>
            </w:r>
            <w:r>
              <w:rPr>
                <w:color w:val="FFFFFF"/>
                <w:sz w:val="24"/>
              </w:rPr>
              <w:t>of</w:t>
            </w:r>
            <w:r>
              <w:rPr>
                <w:color w:val="FFFFFF"/>
                <w:spacing w:val="-1"/>
                <w:sz w:val="24"/>
              </w:rPr>
              <w:t xml:space="preserve"> </w:t>
            </w:r>
            <w:r>
              <w:rPr>
                <w:color w:val="FFFFFF"/>
                <w:sz w:val="24"/>
              </w:rPr>
              <w:t>MI</w:t>
            </w:r>
            <w:r>
              <w:rPr>
                <w:color w:val="FFFFFF"/>
                <w:spacing w:val="-1"/>
                <w:sz w:val="24"/>
              </w:rPr>
              <w:t xml:space="preserve"> </w:t>
            </w:r>
            <w:r>
              <w:rPr>
                <w:color w:val="FFFFFF"/>
                <w:sz w:val="24"/>
              </w:rPr>
              <w:t>With</w:t>
            </w:r>
            <w:r>
              <w:rPr>
                <w:color w:val="FFFFFF"/>
                <w:spacing w:val="-1"/>
                <w:sz w:val="24"/>
              </w:rPr>
              <w:t xml:space="preserve"> </w:t>
            </w:r>
            <w:r>
              <w:rPr>
                <w:color w:val="FFFFFF"/>
                <w:spacing w:val="-5"/>
                <w:sz w:val="24"/>
              </w:rPr>
              <w:t>CBT</w:t>
            </w:r>
          </w:p>
        </w:tc>
      </w:tr>
      <w:tr w:rsidR="00DB6E1F" w14:paraId="209D426B" w14:textId="77777777">
        <w:trPr>
          <w:trHeight w:val="1583"/>
        </w:trPr>
        <w:tc>
          <w:tcPr>
            <w:tcW w:w="9350" w:type="dxa"/>
            <w:tcBorders>
              <w:left w:val="single" w:sz="4" w:space="0" w:color="000000"/>
              <w:bottom w:val="single" w:sz="4" w:space="0" w:color="000000"/>
              <w:right w:val="single" w:sz="4" w:space="0" w:color="000000"/>
            </w:tcBorders>
          </w:tcPr>
          <w:p w14:paraId="7057AE43" w14:textId="77777777" w:rsidR="00DB6E1F" w:rsidRDefault="00F666A6">
            <w:pPr>
              <w:pStyle w:val="TableParagraph"/>
              <w:ind w:right="169"/>
              <w:rPr>
                <w:sz w:val="20"/>
              </w:rPr>
            </w:pPr>
            <w:r>
              <w:rPr>
                <w:sz w:val="20"/>
              </w:rPr>
              <w:t>Jordan is 40 years old. He has been married for 12 years and has two young children. He served in the military and did two tours in Iraq. After discharge, he was arrested twice for driving under the influence and was mandated</w:t>
            </w:r>
            <w:r>
              <w:rPr>
                <w:spacing w:val="-2"/>
                <w:sz w:val="20"/>
              </w:rPr>
              <w:t xml:space="preserve"> </w:t>
            </w:r>
            <w:r>
              <w:rPr>
                <w:sz w:val="20"/>
              </w:rPr>
              <w:t>to</w:t>
            </w:r>
            <w:r>
              <w:rPr>
                <w:spacing w:val="-2"/>
                <w:sz w:val="20"/>
              </w:rPr>
              <w:t xml:space="preserve"> </w:t>
            </w:r>
            <w:r>
              <w:rPr>
                <w:sz w:val="20"/>
              </w:rPr>
              <w:t>alcohol</w:t>
            </w:r>
            <w:r>
              <w:rPr>
                <w:spacing w:val="-3"/>
                <w:sz w:val="20"/>
              </w:rPr>
              <w:t xml:space="preserve"> </w:t>
            </w:r>
            <w:r>
              <w:rPr>
                <w:sz w:val="20"/>
              </w:rPr>
              <w:t>and</w:t>
            </w:r>
            <w:r>
              <w:rPr>
                <w:spacing w:val="-2"/>
                <w:sz w:val="20"/>
              </w:rPr>
              <w:t xml:space="preserve"> </w:t>
            </w:r>
            <w:r>
              <w:rPr>
                <w:sz w:val="20"/>
              </w:rPr>
              <w:t>drug</w:t>
            </w:r>
            <w:r>
              <w:rPr>
                <w:spacing w:val="-6"/>
                <w:sz w:val="20"/>
              </w:rPr>
              <w:t xml:space="preserve"> </w:t>
            </w:r>
            <w:r>
              <w:rPr>
                <w:sz w:val="20"/>
              </w:rPr>
              <w:t>counseling</w:t>
            </w:r>
            <w:r>
              <w:rPr>
                <w:sz w:val="20"/>
              </w:rPr>
              <w:t>.</w:t>
            </w:r>
            <w:r>
              <w:rPr>
                <w:spacing w:val="-3"/>
                <w:sz w:val="20"/>
              </w:rPr>
              <w:t xml:space="preserve"> </w:t>
            </w:r>
            <w:r>
              <w:rPr>
                <w:sz w:val="20"/>
              </w:rPr>
              <w:t>He</w:t>
            </w:r>
            <w:r>
              <w:rPr>
                <w:spacing w:val="-1"/>
                <w:sz w:val="20"/>
              </w:rPr>
              <w:t xml:space="preserve"> </w:t>
            </w:r>
            <w:r>
              <w:rPr>
                <w:sz w:val="20"/>
              </w:rPr>
              <w:t>was</w:t>
            </w:r>
            <w:r>
              <w:rPr>
                <w:spacing w:val="-4"/>
                <w:sz w:val="20"/>
              </w:rPr>
              <w:t xml:space="preserve"> </w:t>
            </w:r>
            <w:r>
              <w:rPr>
                <w:sz w:val="20"/>
              </w:rPr>
              <w:t>also</w:t>
            </w:r>
            <w:r>
              <w:rPr>
                <w:spacing w:val="-3"/>
                <w:sz w:val="20"/>
              </w:rPr>
              <w:t xml:space="preserve"> </w:t>
            </w:r>
            <w:r>
              <w:rPr>
                <w:sz w:val="20"/>
              </w:rPr>
              <w:t>referred</w:t>
            </w:r>
            <w:r>
              <w:rPr>
                <w:spacing w:val="-2"/>
                <w:sz w:val="20"/>
              </w:rPr>
              <w:t xml:space="preserve"> </w:t>
            </w:r>
            <w:r>
              <w:rPr>
                <w:sz w:val="20"/>
              </w:rPr>
              <w:t>for</w:t>
            </w:r>
            <w:r>
              <w:rPr>
                <w:spacing w:val="-3"/>
                <w:sz w:val="20"/>
              </w:rPr>
              <w:t xml:space="preserve"> </w:t>
            </w:r>
            <w:r>
              <w:rPr>
                <w:sz w:val="20"/>
              </w:rPr>
              <w:t>a</w:t>
            </w:r>
            <w:r>
              <w:rPr>
                <w:spacing w:val="-2"/>
                <w:sz w:val="20"/>
              </w:rPr>
              <w:t xml:space="preserve"> </w:t>
            </w:r>
            <w:r>
              <w:rPr>
                <w:sz w:val="20"/>
              </w:rPr>
              <w:t>psychiatric</w:t>
            </w:r>
            <w:r>
              <w:rPr>
                <w:spacing w:val="-3"/>
                <w:sz w:val="20"/>
              </w:rPr>
              <w:t xml:space="preserve"> </w:t>
            </w:r>
            <w:r>
              <w:rPr>
                <w:sz w:val="20"/>
              </w:rPr>
              <w:t>evaluation</w:t>
            </w:r>
            <w:r>
              <w:rPr>
                <w:spacing w:val="-2"/>
                <w:sz w:val="20"/>
              </w:rPr>
              <w:t xml:space="preserve"> </w:t>
            </w:r>
            <w:r>
              <w:rPr>
                <w:sz w:val="20"/>
              </w:rPr>
              <w:t>and</w:t>
            </w:r>
            <w:r>
              <w:rPr>
                <w:spacing w:val="-2"/>
                <w:sz w:val="20"/>
              </w:rPr>
              <w:t xml:space="preserve"> </w:t>
            </w:r>
            <w:r>
              <w:rPr>
                <w:sz w:val="20"/>
              </w:rPr>
              <w:t>was</w:t>
            </w:r>
            <w:r>
              <w:rPr>
                <w:spacing w:val="-4"/>
                <w:sz w:val="20"/>
              </w:rPr>
              <w:t xml:space="preserve"> </w:t>
            </w:r>
            <w:r>
              <w:rPr>
                <w:sz w:val="20"/>
              </w:rPr>
              <w:t>diagnosed with posttraumatic stress disorder.</w:t>
            </w:r>
          </w:p>
          <w:p w14:paraId="6EC542B6" w14:textId="77777777" w:rsidR="00DB6E1F" w:rsidRDefault="00F666A6">
            <w:pPr>
              <w:pStyle w:val="TableParagraph"/>
              <w:spacing w:before="98" w:line="240" w:lineRule="atLeast"/>
              <w:rPr>
                <w:sz w:val="20"/>
              </w:rPr>
            </w:pPr>
            <w:r>
              <w:rPr>
                <w:sz w:val="20"/>
              </w:rPr>
              <w:t>Dan is</w:t>
            </w:r>
            <w:r>
              <w:rPr>
                <w:spacing w:val="-1"/>
                <w:sz w:val="20"/>
              </w:rPr>
              <w:t xml:space="preserve"> </w:t>
            </w:r>
            <w:r>
              <w:rPr>
                <w:sz w:val="20"/>
              </w:rPr>
              <w:t>a licensed clinical social worker in a co-occurring services</w:t>
            </w:r>
            <w:r>
              <w:rPr>
                <w:spacing w:val="-1"/>
                <w:sz w:val="20"/>
              </w:rPr>
              <w:t xml:space="preserve"> </w:t>
            </w:r>
            <w:r>
              <w:rPr>
                <w:sz w:val="20"/>
              </w:rPr>
              <w:t>program</w:t>
            </w:r>
            <w:r>
              <w:rPr>
                <w:spacing w:val="-1"/>
                <w:sz w:val="20"/>
              </w:rPr>
              <w:t xml:space="preserve"> </w:t>
            </w:r>
            <w:r>
              <w:rPr>
                <w:sz w:val="20"/>
              </w:rPr>
              <w:t>at a comprehensive</w:t>
            </w:r>
            <w:r>
              <w:rPr>
                <w:spacing w:val="-1"/>
                <w:sz w:val="20"/>
              </w:rPr>
              <w:t xml:space="preserve"> </w:t>
            </w:r>
            <w:r>
              <w:rPr>
                <w:sz w:val="20"/>
              </w:rPr>
              <w:t>behavioral health services</w:t>
            </w:r>
            <w:r>
              <w:rPr>
                <w:spacing w:val="-4"/>
                <w:sz w:val="20"/>
              </w:rPr>
              <w:t xml:space="preserve"> </w:t>
            </w:r>
            <w:r>
              <w:rPr>
                <w:sz w:val="20"/>
              </w:rPr>
              <w:t>program</w:t>
            </w:r>
            <w:r>
              <w:rPr>
                <w:spacing w:val="-4"/>
                <w:sz w:val="20"/>
              </w:rPr>
              <w:t xml:space="preserve"> </w:t>
            </w:r>
            <w:r>
              <w:rPr>
                <w:sz w:val="20"/>
              </w:rPr>
              <w:t>and</w:t>
            </w:r>
            <w:r>
              <w:rPr>
                <w:spacing w:val="-2"/>
                <w:sz w:val="20"/>
              </w:rPr>
              <w:t xml:space="preserve"> </w:t>
            </w:r>
            <w:r>
              <w:rPr>
                <w:sz w:val="20"/>
              </w:rPr>
              <w:t>has</w:t>
            </w:r>
            <w:r>
              <w:rPr>
                <w:spacing w:val="-4"/>
                <w:sz w:val="20"/>
              </w:rPr>
              <w:t xml:space="preserve"> </w:t>
            </w:r>
            <w:r>
              <w:rPr>
                <w:sz w:val="20"/>
              </w:rPr>
              <w:t>been</w:t>
            </w:r>
            <w:r>
              <w:rPr>
                <w:spacing w:val="-2"/>
                <w:sz w:val="20"/>
              </w:rPr>
              <w:t xml:space="preserve"> </w:t>
            </w:r>
            <w:r>
              <w:rPr>
                <w:sz w:val="20"/>
              </w:rPr>
              <w:t>seeing Jordan</w:t>
            </w:r>
            <w:r>
              <w:rPr>
                <w:spacing w:val="-2"/>
                <w:sz w:val="20"/>
              </w:rPr>
              <w:t xml:space="preserve"> </w:t>
            </w:r>
            <w:r>
              <w:rPr>
                <w:sz w:val="20"/>
              </w:rPr>
              <w:t>for</w:t>
            </w:r>
            <w:r>
              <w:rPr>
                <w:spacing w:val="-3"/>
                <w:sz w:val="20"/>
              </w:rPr>
              <w:t xml:space="preserve"> </w:t>
            </w:r>
            <w:r>
              <w:rPr>
                <w:sz w:val="20"/>
              </w:rPr>
              <w:t>6</w:t>
            </w:r>
            <w:r>
              <w:rPr>
                <w:spacing w:val="-3"/>
                <w:sz w:val="20"/>
              </w:rPr>
              <w:t xml:space="preserve"> </w:t>
            </w:r>
            <w:r>
              <w:rPr>
                <w:sz w:val="20"/>
              </w:rPr>
              <w:t>months</w:t>
            </w:r>
            <w:r>
              <w:rPr>
                <w:spacing w:val="-2"/>
                <w:sz w:val="20"/>
              </w:rPr>
              <w:t xml:space="preserve"> </w:t>
            </w:r>
            <w:r>
              <w:rPr>
                <w:sz w:val="20"/>
              </w:rPr>
              <w:t>for</w:t>
            </w:r>
            <w:r>
              <w:rPr>
                <w:spacing w:val="-3"/>
                <w:sz w:val="20"/>
              </w:rPr>
              <w:t xml:space="preserve"> </w:t>
            </w:r>
            <w:r>
              <w:rPr>
                <w:sz w:val="20"/>
              </w:rPr>
              <w:t>outpatient</w:t>
            </w:r>
            <w:r>
              <w:rPr>
                <w:spacing w:val="-3"/>
                <w:sz w:val="20"/>
              </w:rPr>
              <w:t xml:space="preserve"> </w:t>
            </w:r>
            <w:r>
              <w:rPr>
                <w:sz w:val="20"/>
              </w:rPr>
              <w:t>counseling.</w:t>
            </w:r>
            <w:r>
              <w:rPr>
                <w:spacing w:val="-3"/>
                <w:sz w:val="20"/>
              </w:rPr>
              <w:t xml:space="preserve"> </w:t>
            </w:r>
            <w:r>
              <w:rPr>
                <w:sz w:val="20"/>
              </w:rPr>
              <w:t>Initially,</w:t>
            </w:r>
            <w:r>
              <w:rPr>
                <w:spacing w:val="-2"/>
                <w:sz w:val="20"/>
              </w:rPr>
              <w:t xml:space="preserve"> </w:t>
            </w:r>
            <w:r>
              <w:rPr>
                <w:sz w:val="20"/>
              </w:rPr>
              <w:t>Jordan</w:t>
            </w:r>
            <w:r>
              <w:rPr>
                <w:spacing w:val="-2"/>
                <w:sz w:val="20"/>
              </w:rPr>
              <w:t xml:space="preserve"> </w:t>
            </w:r>
            <w:r>
              <w:rPr>
                <w:sz w:val="20"/>
              </w:rPr>
              <w:t>was</w:t>
            </w:r>
            <w:r>
              <w:rPr>
                <w:spacing w:val="-4"/>
                <w:sz w:val="20"/>
              </w:rPr>
              <w:t xml:space="preserve"> </w:t>
            </w:r>
            <w:r>
              <w:rPr>
                <w:sz w:val="20"/>
              </w:rPr>
              <w:t>angry</w:t>
            </w:r>
          </w:p>
        </w:tc>
      </w:tr>
    </w:tbl>
    <w:p w14:paraId="4C09D7EA" w14:textId="77777777" w:rsidR="00DB6E1F" w:rsidRDefault="00DB6E1F">
      <w:pPr>
        <w:spacing w:line="240" w:lineRule="atLeast"/>
        <w:rPr>
          <w:sz w:val="20"/>
        </w:rPr>
        <w:sectPr w:rsidR="00DB6E1F">
          <w:pgSz w:w="12240" w:h="15840"/>
          <w:pgMar w:top="1200" w:right="0" w:bottom="780" w:left="0" w:header="763" w:footer="585" w:gutter="0"/>
          <w:cols w:space="720"/>
        </w:sectPr>
      </w:pPr>
    </w:p>
    <w:p w14:paraId="30AD0C11"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4C02C6C7" w14:textId="77777777">
        <w:trPr>
          <w:trHeight w:val="10353"/>
        </w:trPr>
        <w:tc>
          <w:tcPr>
            <w:tcW w:w="9350" w:type="dxa"/>
          </w:tcPr>
          <w:p w14:paraId="79B4BCC4" w14:textId="77777777" w:rsidR="00DB6E1F" w:rsidRDefault="00F666A6">
            <w:pPr>
              <w:pStyle w:val="TableParagraph"/>
              <w:ind w:right="169"/>
              <w:rPr>
                <w:sz w:val="20"/>
              </w:rPr>
            </w:pPr>
            <w:r>
              <w:rPr>
                <w:sz w:val="20"/>
              </w:rPr>
              <w:t>about</w:t>
            </w:r>
            <w:r>
              <w:rPr>
                <w:spacing w:val="-3"/>
                <w:sz w:val="20"/>
              </w:rPr>
              <w:t xml:space="preserve"> </w:t>
            </w:r>
            <w:r>
              <w:rPr>
                <w:sz w:val="20"/>
              </w:rPr>
              <w:t>having</w:t>
            </w:r>
            <w:r>
              <w:rPr>
                <w:spacing w:val="-3"/>
                <w:sz w:val="20"/>
              </w:rPr>
              <w:t xml:space="preserve"> </w:t>
            </w:r>
            <w:r>
              <w:rPr>
                <w:sz w:val="20"/>
              </w:rPr>
              <w:t>to</w:t>
            </w:r>
            <w:r>
              <w:rPr>
                <w:spacing w:val="-3"/>
                <w:sz w:val="20"/>
              </w:rPr>
              <w:t xml:space="preserve"> </w:t>
            </w:r>
            <w:r>
              <w:rPr>
                <w:sz w:val="20"/>
              </w:rPr>
              <w:t>go</w:t>
            </w:r>
            <w:r>
              <w:rPr>
                <w:spacing w:val="-3"/>
                <w:sz w:val="20"/>
              </w:rPr>
              <w:t xml:space="preserve"> </w:t>
            </w:r>
            <w:r>
              <w:rPr>
                <w:sz w:val="20"/>
              </w:rPr>
              <w:t>to</w:t>
            </w:r>
            <w:r>
              <w:rPr>
                <w:spacing w:val="-3"/>
                <w:sz w:val="20"/>
              </w:rPr>
              <w:t xml:space="preserve"> </w:t>
            </w:r>
            <w:r>
              <w:rPr>
                <w:sz w:val="20"/>
              </w:rPr>
              <w:t>counseling</w:t>
            </w:r>
            <w:r>
              <w:rPr>
                <w:spacing w:val="-3"/>
                <w:sz w:val="20"/>
              </w:rPr>
              <w:t xml:space="preserve"> </w:t>
            </w:r>
            <w:r>
              <w:rPr>
                <w:sz w:val="20"/>
              </w:rPr>
              <w:t>and</w:t>
            </w:r>
            <w:r>
              <w:rPr>
                <w:spacing w:val="-2"/>
                <w:sz w:val="20"/>
              </w:rPr>
              <w:t xml:space="preserve"> </w:t>
            </w:r>
            <w:r>
              <w:rPr>
                <w:sz w:val="20"/>
              </w:rPr>
              <w:t>Dan’s</w:t>
            </w:r>
            <w:r>
              <w:rPr>
                <w:spacing w:val="-4"/>
                <w:sz w:val="20"/>
              </w:rPr>
              <w:t xml:space="preserve"> </w:t>
            </w:r>
            <w:r>
              <w:rPr>
                <w:sz w:val="20"/>
              </w:rPr>
              <w:t>suggestion</w:t>
            </w:r>
            <w:r>
              <w:rPr>
                <w:spacing w:val="-2"/>
                <w:sz w:val="20"/>
              </w:rPr>
              <w:t xml:space="preserve"> </w:t>
            </w:r>
            <w:r>
              <w:rPr>
                <w:sz w:val="20"/>
              </w:rPr>
              <w:t>to</w:t>
            </w:r>
            <w:r>
              <w:rPr>
                <w:spacing w:val="-3"/>
                <w:sz w:val="20"/>
              </w:rPr>
              <w:t xml:space="preserve"> </w:t>
            </w:r>
            <w:r>
              <w:rPr>
                <w:sz w:val="20"/>
              </w:rPr>
              <w:t>try</w:t>
            </w:r>
            <w:r>
              <w:rPr>
                <w:spacing w:val="-2"/>
                <w:sz w:val="20"/>
              </w:rPr>
              <w:t xml:space="preserve"> </w:t>
            </w:r>
            <w:r>
              <w:rPr>
                <w:sz w:val="20"/>
              </w:rPr>
              <w:t>Alcoholics</w:t>
            </w:r>
            <w:r>
              <w:rPr>
                <w:spacing w:val="-4"/>
                <w:sz w:val="20"/>
              </w:rPr>
              <w:t xml:space="preserve"> </w:t>
            </w:r>
            <w:r>
              <w:rPr>
                <w:sz w:val="20"/>
              </w:rPr>
              <w:t>Anonymous</w:t>
            </w:r>
            <w:r>
              <w:rPr>
                <w:spacing w:val="-2"/>
                <w:sz w:val="20"/>
              </w:rPr>
              <w:t xml:space="preserve"> </w:t>
            </w:r>
            <w:r>
              <w:rPr>
                <w:sz w:val="20"/>
              </w:rPr>
              <w:t>(AA)</w:t>
            </w:r>
            <w:r>
              <w:rPr>
                <w:spacing w:val="-4"/>
                <w:sz w:val="20"/>
              </w:rPr>
              <w:t xml:space="preserve"> </w:t>
            </w:r>
            <w:r>
              <w:rPr>
                <w:sz w:val="20"/>
              </w:rPr>
              <w:t>as</w:t>
            </w:r>
            <w:r>
              <w:rPr>
                <w:spacing w:val="-4"/>
                <w:sz w:val="20"/>
              </w:rPr>
              <w:t xml:space="preserve"> </w:t>
            </w:r>
            <w:r>
              <w:rPr>
                <w:sz w:val="20"/>
              </w:rPr>
              <w:t>part</w:t>
            </w:r>
            <w:r>
              <w:rPr>
                <w:spacing w:val="-3"/>
                <w:sz w:val="20"/>
              </w:rPr>
              <w:t xml:space="preserve"> </w:t>
            </w:r>
            <w:r>
              <w:rPr>
                <w:sz w:val="20"/>
              </w:rPr>
              <w:t>of</w:t>
            </w:r>
            <w:r>
              <w:rPr>
                <w:spacing w:val="-4"/>
                <w:sz w:val="20"/>
              </w:rPr>
              <w:t xml:space="preserve"> </w:t>
            </w:r>
            <w:r>
              <w:rPr>
                <w:sz w:val="20"/>
              </w:rPr>
              <w:t>a</w:t>
            </w:r>
            <w:r>
              <w:rPr>
                <w:spacing w:val="-2"/>
                <w:sz w:val="20"/>
              </w:rPr>
              <w:t xml:space="preserve"> </w:t>
            </w:r>
            <w:r>
              <w:rPr>
                <w:sz w:val="20"/>
              </w:rPr>
              <w:t>recovery plan; however, Jordan has been attending AA meetings and asked another veteran to be his sponsor.</w:t>
            </w:r>
          </w:p>
          <w:p w14:paraId="25BAAE2E" w14:textId="77777777" w:rsidR="00DB6E1F" w:rsidRDefault="00F666A6">
            <w:pPr>
              <w:pStyle w:val="TableParagraph"/>
              <w:spacing w:before="119"/>
              <w:ind w:right="127"/>
              <w:rPr>
                <w:sz w:val="20"/>
              </w:rPr>
            </w:pPr>
            <w:r>
              <w:rPr>
                <w:sz w:val="20"/>
              </w:rPr>
              <w:t xml:space="preserve">Jordan has returned to heavy drinking on three occasions in the past 6 months. His relapse risk is that he stops going to meetings and stops calling </w:t>
            </w:r>
            <w:r>
              <w:rPr>
                <w:sz w:val="20"/>
              </w:rPr>
              <w:t>his sponsor. Then he finds himself at a local sports bar, thinking that he’ll just</w:t>
            </w:r>
            <w:r>
              <w:rPr>
                <w:spacing w:val="-3"/>
                <w:sz w:val="20"/>
              </w:rPr>
              <w:t xml:space="preserve"> </w:t>
            </w:r>
            <w:r>
              <w:rPr>
                <w:sz w:val="20"/>
              </w:rPr>
              <w:t>watch</w:t>
            </w:r>
            <w:r>
              <w:rPr>
                <w:spacing w:val="-2"/>
                <w:sz w:val="20"/>
              </w:rPr>
              <w:t xml:space="preserve"> </w:t>
            </w:r>
            <w:r>
              <w:rPr>
                <w:sz w:val="20"/>
              </w:rPr>
              <w:t>the</w:t>
            </w:r>
            <w:r>
              <w:rPr>
                <w:spacing w:val="-4"/>
                <w:sz w:val="20"/>
              </w:rPr>
              <w:t xml:space="preserve"> </w:t>
            </w:r>
            <w:r>
              <w:rPr>
                <w:sz w:val="20"/>
              </w:rPr>
              <w:t>game</w:t>
            </w:r>
            <w:r>
              <w:rPr>
                <w:spacing w:val="-4"/>
                <w:sz w:val="20"/>
              </w:rPr>
              <w:t xml:space="preserve"> </w:t>
            </w:r>
            <w:r>
              <w:rPr>
                <w:sz w:val="20"/>
              </w:rPr>
              <w:t>(an</w:t>
            </w:r>
            <w:r>
              <w:rPr>
                <w:spacing w:val="-2"/>
                <w:sz w:val="20"/>
              </w:rPr>
              <w:t xml:space="preserve"> </w:t>
            </w:r>
            <w:r>
              <w:rPr>
                <w:sz w:val="20"/>
              </w:rPr>
              <w:t>apparently</w:t>
            </w:r>
            <w:r>
              <w:rPr>
                <w:spacing w:val="-2"/>
                <w:sz w:val="20"/>
              </w:rPr>
              <w:t xml:space="preserve"> </w:t>
            </w:r>
            <w:r>
              <w:rPr>
                <w:sz w:val="20"/>
              </w:rPr>
              <w:t>irrelevant</w:t>
            </w:r>
            <w:r>
              <w:rPr>
                <w:spacing w:val="-3"/>
                <w:sz w:val="20"/>
              </w:rPr>
              <w:t xml:space="preserve"> </w:t>
            </w:r>
            <w:r>
              <w:rPr>
                <w:sz w:val="20"/>
              </w:rPr>
              <w:t>decision),</w:t>
            </w:r>
            <w:r>
              <w:rPr>
                <w:spacing w:val="-2"/>
                <w:sz w:val="20"/>
              </w:rPr>
              <w:t xml:space="preserve"> </w:t>
            </w:r>
            <w:r>
              <w:rPr>
                <w:sz w:val="20"/>
              </w:rPr>
              <w:t>but</w:t>
            </w:r>
            <w:r>
              <w:rPr>
                <w:spacing w:val="-3"/>
                <w:sz w:val="20"/>
              </w:rPr>
              <w:t xml:space="preserve"> </w:t>
            </w:r>
            <w:r>
              <w:rPr>
                <w:sz w:val="20"/>
              </w:rPr>
              <w:t>he</w:t>
            </w:r>
            <w:r>
              <w:rPr>
                <w:spacing w:val="-4"/>
                <w:sz w:val="20"/>
              </w:rPr>
              <w:t xml:space="preserve"> </w:t>
            </w:r>
            <w:r>
              <w:rPr>
                <w:sz w:val="20"/>
              </w:rPr>
              <w:t>ends</w:t>
            </w:r>
            <w:r>
              <w:rPr>
                <w:spacing w:val="-4"/>
                <w:sz w:val="20"/>
              </w:rPr>
              <w:t xml:space="preserve"> </w:t>
            </w:r>
            <w:r>
              <w:rPr>
                <w:sz w:val="20"/>
              </w:rPr>
              <w:t>up</w:t>
            </w:r>
            <w:r>
              <w:rPr>
                <w:spacing w:val="-2"/>
                <w:sz w:val="20"/>
              </w:rPr>
              <w:t xml:space="preserve"> </w:t>
            </w:r>
            <w:r>
              <w:rPr>
                <w:sz w:val="20"/>
              </w:rPr>
              <w:t>getting</w:t>
            </w:r>
            <w:r>
              <w:rPr>
                <w:spacing w:val="-3"/>
                <w:sz w:val="20"/>
              </w:rPr>
              <w:t xml:space="preserve"> </w:t>
            </w:r>
            <w:r>
              <w:rPr>
                <w:sz w:val="20"/>
              </w:rPr>
              <w:t>drunk.</w:t>
            </w:r>
            <w:r>
              <w:rPr>
                <w:spacing w:val="-3"/>
                <w:sz w:val="20"/>
              </w:rPr>
              <w:t xml:space="preserve"> </w:t>
            </w:r>
            <w:r>
              <w:rPr>
                <w:sz w:val="20"/>
              </w:rPr>
              <w:t>Jordan</w:t>
            </w:r>
            <w:r>
              <w:rPr>
                <w:spacing w:val="-2"/>
                <w:sz w:val="20"/>
              </w:rPr>
              <w:t xml:space="preserve"> </w:t>
            </w:r>
            <w:r>
              <w:rPr>
                <w:sz w:val="20"/>
              </w:rPr>
              <w:t>now</w:t>
            </w:r>
            <w:r>
              <w:rPr>
                <w:spacing w:val="-4"/>
                <w:sz w:val="20"/>
              </w:rPr>
              <w:t xml:space="preserve"> </w:t>
            </w:r>
            <w:r>
              <w:rPr>
                <w:sz w:val="20"/>
              </w:rPr>
              <w:t>speaks</w:t>
            </w:r>
            <w:r>
              <w:rPr>
                <w:spacing w:val="-4"/>
                <w:sz w:val="20"/>
              </w:rPr>
              <w:t xml:space="preserve"> </w:t>
            </w:r>
            <w:r>
              <w:rPr>
                <w:sz w:val="20"/>
              </w:rPr>
              <w:t>highly of</w:t>
            </w:r>
            <w:r>
              <w:rPr>
                <w:spacing w:val="-2"/>
                <w:sz w:val="20"/>
              </w:rPr>
              <w:t xml:space="preserve"> </w:t>
            </w:r>
            <w:r>
              <w:rPr>
                <w:sz w:val="20"/>
              </w:rPr>
              <w:t>AA</w:t>
            </w:r>
            <w:r>
              <w:rPr>
                <w:spacing w:val="-1"/>
                <w:sz w:val="20"/>
              </w:rPr>
              <w:t xml:space="preserve"> </w:t>
            </w:r>
            <w:r>
              <w:rPr>
                <w:sz w:val="20"/>
              </w:rPr>
              <w:t>and has</w:t>
            </w:r>
            <w:r>
              <w:rPr>
                <w:spacing w:val="-2"/>
                <w:sz w:val="20"/>
              </w:rPr>
              <w:t xml:space="preserve"> </w:t>
            </w:r>
            <w:r>
              <w:rPr>
                <w:sz w:val="20"/>
              </w:rPr>
              <w:t>been working</w:t>
            </w:r>
            <w:r>
              <w:rPr>
                <w:spacing w:val="-1"/>
                <w:sz w:val="20"/>
              </w:rPr>
              <w:t xml:space="preserve"> </w:t>
            </w:r>
            <w:r>
              <w:rPr>
                <w:sz w:val="20"/>
              </w:rPr>
              <w:t>the</w:t>
            </w:r>
            <w:r>
              <w:rPr>
                <w:spacing w:val="-2"/>
                <w:sz w:val="20"/>
              </w:rPr>
              <w:t xml:space="preserve"> </w:t>
            </w:r>
            <w:r>
              <w:rPr>
                <w:sz w:val="20"/>
              </w:rPr>
              <w:t>12</w:t>
            </w:r>
            <w:r>
              <w:rPr>
                <w:spacing w:val="-1"/>
                <w:sz w:val="20"/>
              </w:rPr>
              <w:t xml:space="preserve"> </w:t>
            </w:r>
            <w:r>
              <w:rPr>
                <w:sz w:val="20"/>
              </w:rPr>
              <w:t>Steps with his</w:t>
            </w:r>
            <w:r>
              <w:rPr>
                <w:spacing w:val="-2"/>
                <w:sz w:val="20"/>
              </w:rPr>
              <w:t xml:space="preserve"> </w:t>
            </w:r>
            <w:r>
              <w:rPr>
                <w:sz w:val="20"/>
              </w:rPr>
              <w:t>sponsor.</w:t>
            </w:r>
            <w:r>
              <w:rPr>
                <w:spacing w:val="-1"/>
                <w:sz w:val="20"/>
              </w:rPr>
              <w:t xml:space="preserve"> </w:t>
            </w:r>
            <w:r>
              <w:rPr>
                <w:sz w:val="20"/>
              </w:rPr>
              <w:t>He</w:t>
            </w:r>
            <w:r>
              <w:rPr>
                <w:spacing w:val="-2"/>
                <w:sz w:val="20"/>
              </w:rPr>
              <w:t xml:space="preserve"> </w:t>
            </w:r>
            <w:r>
              <w:rPr>
                <w:sz w:val="20"/>
              </w:rPr>
              <w:t>tells</w:t>
            </w:r>
            <w:r>
              <w:rPr>
                <w:sz w:val="20"/>
              </w:rPr>
              <w:t xml:space="preserve"> Dan, “I</w:t>
            </w:r>
            <w:r>
              <w:rPr>
                <w:spacing w:val="-1"/>
                <w:sz w:val="20"/>
              </w:rPr>
              <w:t xml:space="preserve"> </w:t>
            </w:r>
            <w:r>
              <w:rPr>
                <w:sz w:val="20"/>
              </w:rPr>
              <w:t>am</w:t>
            </w:r>
            <w:r>
              <w:rPr>
                <w:spacing w:val="-2"/>
                <w:sz w:val="20"/>
              </w:rPr>
              <w:t xml:space="preserve"> </w:t>
            </w:r>
            <w:r>
              <w:rPr>
                <w:sz w:val="20"/>
              </w:rPr>
              <w:t>doing</w:t>
            </w:r>
            <w:r>
              <w:rPr>
                <w:spacing w:val="-1"/>
                <w:sz w:val="20"/>
              </w:rPr>
              <w:t xml:space="preserve"> </w:t>
            </w:r>
            <w:r>
              <w:rPr>
                <w:sz w:val="20"/>
              </w:rPr>
              <w:t>everything</w:t>
            </w:r>
            <w:r>
              <w:rPr>
                <w:spacing w:val="-1"/>
                <w:sz w:val="20"/>
              </w:rPr>
              <w:t xml:space="preserve"> </w:t>
            </w:r>
            <w:r>
              <w:rPr>
                <w:sz w:val="20"/>
              </w:rPr>
              <w:t>my sponsor</w:t>
            </w:r>
            <w:r>
              <w:rPr>
                <w:spacing w:val="-1"/>
                <w:sz w:val="20"/>
              </w:rPr>
              <w:t xml:space="preserve"> </w:t>
            </w:r>
            <w:r>
              <w:rPr>
                <w:sz w:val="20"/>
              </w:rPr>
              <w:t>tells me</w:t>
            </w:r>
            <w:r>
              <w:rPr>
                <w:spacing w:val="-3"/>
                <w:sz w:val="20"/>
              </w:rPr>
              <w:t xml:space="preserve"> </w:t>
            </w:r>
            <w:r>
              <w:rPr>
                <w:sz w:val="20"/>
              </w:rPr>
              <w:t>to</w:t>
            </w:r>
            <w:r>
              <w:rPr>
                <w:spacing w:val="-2"/>
                <w:sz w:val="20"/>
              </w:rPr>
              <w:t xml:space="preserve"> </w:t>
            </w:r>
            <w:r>
              <w:rPr>
                <w:sz w:val="20"/>
              </w:rPr>
              <w:t>do</w:t>
            </w:r>
            <w:r>
              <w:rPr>
                <w:spacing w:val="-2"/>
                <w:sz w:val="20"/>
              </w:rPr>
              <w:t xml:space="preserve"> </w:t>
            </w:r>
            <w:r>
              <w:rPr>
                <w:sz w:val="20"/>
              </w:rPr>
              <w:t>and</w:t>
            </w:r>
            <w:r>
              <w:rPr>
                <w:spacing w:val="-1"/>
                <w:sz w:val="20"/>
              </w:rPr>
              <w:t xml:space="preserve"> </w:t>
            </w:r>
            <w:r>
              <w:rPr>
                <w:sz w:val="20"/>
              </w:rPr>
              <w:t>am</w:t>
            </w:r>
            <w:r>
              <w:rPr>
                <w:spacing w:val="-3"/>
                <w:sz w:val="20"/>
              </w:rPr>
              <w:t xml:space="preserve"> </w:t>
            </w:r>
            <w:r>
              <w:rPr>
                <w:sz w:val="20"/>
              </w:rPr>
              <w:t>committed</w:t>
            </w:r>
            <w:r>
              <w:rPr>
                <w:spacing w:val="-1"/>
                <w:sz w:val="20"/>
              </w:rPr>
              <w:t xml:space="preserve"> </w:t>
            </w:r>
            <w:r>
              <w:rPr>
                <w:sz w:val="20"/>
              </w:rPr>
              <w:t>to</w:t>
            </w:r>
            <w:r>
              <w:rPr>
                <w:spacing w:val="-2"/>
                <w:sz w:val="20"/>
              </w:rPr>
              <w:t xml:space="preserve"> </w:t>
            </w:r>
            <w:r>
              <w:rPr>
                <w:sz w:val="20"/>
              </w:rPr>
              <w:t>my</w:t>
            </w:r>
            <w:r>
              <w:rPr>
                <w:spacing w:val="-1"/>
                <w:sz w:val="20"/>
              </w:rPr>
              <w:t xml:space="preserve"> </w:t>
            </w:r>
            <w:r>
              <w:rPr>
                <w:sz w:val="20"/>
              </w:rPr>
              <w:t>recovery</w:t>
            </w:r>
            <w:r>
              <w:rPr>
                <w:spacing w:val="-1"/>
                <w:sz w:val="20"/>
              </w:rPr>
              <w:t xml:space="preserve"> </w:t>
            </w:r>
            <w:r>
              <w:rPr>
                <w:sz w:val="20"/>
              </w:rPr>
              <w:t>now.</w:t>
            </w:r>
            <w:r>
              <w:rPr>
                <w:spacing w:val="-2"/>
                <w:sz w:val="20"/>
              </w:rPr>
              <w:t xml:space="preserve"> </w:t>
            </w:r>
            <w:r>
              <w:rPr>
                <w:sz w:val="20"/>
              </w:rPr>
              <w:t>I</w:t>
            </w:r>
            <w:r>
              <w:rPr>
                <w:spacing w:val="-2"/>
                <w:sz w:val="20"/>
              </w:rPr>
              <w:t xml:space="preserve"> </w:t>
            </w:r>
            <w:r>
              <w:rPr>
                <w:sz w:val="20"/>
              </w:rPr>
              <w:t>know</w:t>
            </w:r>
            <w:r>
              <w:rPr>
                <w:spacing w:val="-3"/>
                <w:sz w:val="20"/>
              </w:rPr>
              <w:t xml:space="preserve"> </w:t>
            </w:r>
            <w:r>
              <w:rPr>
                <w:sz w:val="20"/>
              </w:rPr>
              <w:t>that</w:t>
            </w:r>
            <w:r>
              <w:rPr>
                <w:spacing w:val="-2"/>
                <w:sz w:val="20"/>
              </w:rPr>
              <w:t xml:space="preserve"> </w:t>
            </w:r>
            <w:r>
              <w:rPr>
                <w:sz w:val="20"/>
              </w:rPr>
              <w:t>if</w:t>
            </w:r>
            <w:r>
              <w:rPr>
                <w:spacing w:val="-3"/>
                <w:sz w:val="20"/>
              </w:rPr>
              <w:t xml:space="preserve"> </w:t>
            </w:r>
            <w:r>
              <w:rPr>
                <w:sz w:val="20"/>
              </w:rPr>
              <w:t>I</w:t>
            </w:r>
            <w:r>
              <w:rPr>
                <w:spacing w:val="-2"/>
                <w:sz w:val="20"/>
              </w:rPr>
              <w:t xml:space="preserve"> </w:t>
            </w:r>
            <w:r>
              <w:rPr>
                <w:sz w:val="20"/>
              </w:rPr>
              <w:t>follow</w:t>
            </w:r>
            <w:r>
              <w:rPr>
                <w:spacing w:val="-3"/>
                <w:sz w:val="20"/>
              </w:rPr>
              <w:t xml:space="preserve"> </w:t>
            </w:r>
            <w:r>
              <w:rPr>
                <w:sz w:val="20"/>
              </w:rPr>
              <w:t>his</w:t>
            </w:r>
            <w:r>
              <w:rPr>
                <w:spacing w:val="-1"/>
                <w:sz w:val="20"/>
              </w:rPr>
              <w:t xml:space="preserve"> </w:t>
            </w:r>
            <w:r>
              <w:rPr>
                <w:sz w:val="20"/>
              </w:rPr>
              <w:t>suggestions</w:t>
            </w:r>
            <w:r>
              <w:rPr>
                <w:spacing w:val="-3"/>
                <w:sz w:val="20"/>
              </w:rPr>
              <w:t xml:space="preserve"> </w:t>
            </w:r>
            <w:r>
              <w:rPr>
                <w:sz w:val="20"/>
              </w:rPr>
              <w:t>and</w:t>
            </w:r>
            <w:r>
              <w:rPr>
                <w:spacing w:val="-1"/>
                <w:sz w:val="20"/>
              </w:rPr>
              <w:t xml:space="preserve"> </w:t>
            </w:r>
            <w:r>
              <w:rPr>
                <w:sz w:val="20"/>
              </w:rPr>
              <w:t>work</w:t>
            </w:r>
            <w:r>
              <w:rPr>
                <w:spacing w:val="-1"/>
                <w:sz w:val="20"/>
              </w:rPr>
              <w:t xml:space="preserve"> </w:t>
            </w:r>
            <w:r>
              <w:rPr>
                <w:sz w:val="20"/>
              </w:rPr>
              <w:t>the</w:t>
            </w:r>
            <w:r>
              <w:rPr>
                <w:spacing w:val="-3"/>
                <w:sz w:val="20"/>
              </w:rPr>
              <w:t xml:space="preserve"> </w:t>
            </w:r>
            <w:r>
              <w:rPr>
                <w:sz w:val="20"/>
              </w:rPr>
              <w:t>program,</w:t>
            </w:r>
            <w:r>
              <w:rPr>
                <w:spacing w:val="-1"/>
                <w:sz w:val="20"/>
              </w:rPr>
              <w:t xml:space="preserve"> </w:t>
            </w:r>
            <w:r>
              <w:rPr>
                <w:sz w:val="20"/>
              </w:rPr>
              <w:t>I will be okay. I just don’t understand why I keep slipping.”</w:t>
            </w:r>
          </w:p>
          <w:p w14:paraId="05B8E1AC" w14:textId="77777777" w:rsidR="00DB6E1F" w:rsidRDefault="00F666A6">
            <w:pPr>
              <w:pStyle w:val="TableParagraph"/>
              <w:spacing w:before="122"/>
              <w:rPr>
                <w:sz w:val="20"/>
              </w:rPr>
            </w:pPr>
            <w:r>
              <w:rPr>
                <w:sz w:val="20"/>
              </w:rPr>
              <w:t>Dan</w:t>
            </w:r>
            <w:r>
              <w:rPr>
                <w:spacing w:val="-2"/>
                <w:sz w:val="20"/>
              </w:rPr>
              <w:t xml:space="preserve"> </w:t>
            </w:r>
            <w:r>
              <w:rPr>
                <w:sz w:val="20"/>
              </w:rPr>
              <w:t>has</w:t>
            </w:r>
            <w:r>
              <w:rPr>
                <w:spacing w:val="-4"/>
                <w:sz w:val="20"/>
              </w:rPr>
              <w:t xml:space="preserve"> </w:t>
            </w:r>
            <w:r>
              <w:rPr>
                <w:sz w:val="20"/>
              </w:rPr>
              <w:t>established</w:t>
            </w:r>
            <w:r>
              <w:rPr>
                <w:spacing w:val="-2"/>
                <w:sz w:val="20"/>
              </w:rPr>
              <w:t xml:space="preserve"> </w:t>
            </w:r>
            <w:r>
              <w:rPr>
                <w:sz w:val="20"/>
              </w:rPr>
              <w:t>a</w:t>
            </w:r>
            <w:r>
              <w:rPr>
                <w:spacing w:val="-2"/>
                <w:sz w:val="20"/>
              </w:rPr>
              <w:t xml:space="preserve"> </w:t>
            </w:r>
            <w:r>
              <w:rPr>
                <w:sz w:val="20"/>
              </w:rPr>
              <w:t>good</w:t>
            </w:r>
            <w:r>
              <w:rPr>
                <w:spacing w:val="-2"/>
                <w:sz w:val="20"/>
              </w:rPr>
              <w:t xml:space="preserve"> </w:t>
            </w:r>
            <w:r>
              <w:rPr>
                <w:sz w:val="20"/>
              </w:rPr>
              <w:t>rapport</w:t>
            </w:r>
            <w:r>
              <w:rPr>
                <w:spacing w:val="-2"/>
                <w:sz w:val="20"/>
              </w:rPr>
              <w:t xml:space="preserve"> </w:t>
            </w:r>
            <w:r>
              <w:rPr>
                <w:sz w:val="20"/>
              </w:rPr>
              <w:t>with</w:t>
            </w:r>
            <w:r>
              <w:rPr>
                <w:spacing w:val="-2"/>
                <w:sz w:val="20"/>
              </w:rPr>
              <w:t xml:space="preserve"> </w:t>
            </w:r>
            <w:r>
              <w:rPr>
                <w:sz w:val="20"/>
              </w:rPr>
              <w:t>Jordan.</w:t>
            </w:r>
            <w:r>
              <w:rPr>
                <w:spacing w:val="-3"/>
                <w:sz w:val="20"/>
              </w:rPr>
              <w:t xml:space="preserve"> </w:t>
            </w:r>
            <w:r>
              <w:rPr>
                <w:sz w:val="20"/>
              </w:rPr>
              <w:t>He</w:t>
            </w:r>
            <w:r>
              <w:rPr>
                <w:spacing w:val="-4"/>
                <w:sz w:val="20"/>
              </w:rPr>
              <w:t xml:space="preserve"> </w:t>
            </w:r>
            <w:r>
              <w:rPr>
                <w:sz w:val="20"/>
              </w:rPr>
              <w:t>has</w:t>
            </w:r>
            <w:r>
              <w:rPr>
                <w:spacing w:val="-4"/>
                <w:sz w:val="20"/>
              </w:rPr>
              <w:t xml:space="preserve"> </w:t>
            </w:r>
            <w:r>
              <w:rPr>
                <w:sz w:val="20"/>
              </w:rPr>
              <w:t>done</w:t>
            </w:r>
            <w:r>
              <w:rPr>
                <w:spacing w:val="-4"/>
                <w:sz w:val="20"/>
              </w:rPr>
              <w:t xml:space="preserve"> </w:t>
            </w:r>
            <w:r>
              <w:rPr>
                <w:sz w:val="20"/>
              </w:rPr>
              <w:t>a</w:t>
            </w:r>
            <w:r>
              <w:rPr>
                <w:spacing w:val="-2"/>
                <w:sz w:val="20"/>
              </w:rPr>
              <w:t xml:space="preserve"> </w:t>
            </w:r>
            <w:r>
              <w:rPr>
                <w:sz w:val="20"/>
              </w:rPr>
              <w:t>relapse</w:t>
            </w:r>
            <w:r>
              <w:rPr>
                <w:spacing w:val="-4"/>
                <w:sz w:val="20"/>
              </w:rPr>
              <w:t xml:space="preserve"> </w:t>
            </w:r>
            <w:r>
              <w:rPr>
                <w:sz w:val="20"/>
              </w:rPr>
              <w:t>risk</w:t>
            </w:r>
            <w:r>
              <w:rPr>
                <w:spacing w:val="-2"/>
                <w:sz w:val="20"/>
              </w:rPr>
              <w:t xml:space="preserve"> </w:t>
            </w:r>
            <w:r>
              <w:rPr>
                <w:sz w:val="20"/>
              </w:rPr>
              <w:t>assessment,</w:t>
            </w:r>
            <w:r>
              <w:rPr>
                <w:spacing w:val="-2"/>
                <w:sz w:val="20"/>
              </w:rPr>
              <w:t xml:space="preserve"> </w:t>
            </w:r>
            <w:r>
              <w:rPr>
                <w:sz w:val="20"/>
              </w:rPr>
              <w:t>provided</w:t>
            </w:r>
            <w:r>
              <w:rPr>
                <w:spacing w:val="-2"/>
                <w:sz w:val="20"/>
              </w:rPr>
              <w:t xml:space="preserve"> </w:t>
            </w:r>
            <w:r>
              <w:rPr>
                <w:sz w:val="20"/>
              </w:rPr>
              <w:t>information</w:t>
            </w:r>
            <w:r>
              <w:rPr>
                <w:spacing w:val="-2"/>
                <w:sz w:val="20"/>
              </w:rPr>
              <w:t xml:space="preserve"> </w:t>
            </w:r>
            <w:r>
              <w:rPr>
                <w:sz w:val="20"/>
              </w:rPr>
              <w:t>to Jordan about the relapse process, and given Jordan homework to track high-risk situ</w:t>
            </w:r>
            <w:r>
              <w:rPr>
                <w:sz w:val="20"/>
              </w:rPr>
              <w:t>ations and the coping strategies he uses to manage them. Jordan seems to respond well to Dan’s directive approach but continues to return to drinking. Dan shifts gears in the current session and decides to explore Jordan’s understanding of his pattern of</w:t>
            </w:r>
            <w:r>
              <w:rPr>
                <w:spacing w:val="-2"/>
                <w:sz w:val="20"/>
              </w:rPr>
              <w:t xml:space="preserve"> </w:t>
            </w:r>
            <w:r>
              <w:rPr>
                <w:sz w:val="20"/>
              </w:rPr>
              <w:t>d</w:t>
            </w:r>
            <w:r>
              <w:rPr>
                <w:sz w:val="20"/>
              </w:rPr>
              <w:t>isengagement</w:t>
            </w:r>
            <w:r>
              <w:rPr>
                <w:spacing w:val="-1"/>
                <w:sz w:val="20"/>
              </w:rPr>
              <w:t xml:space="preserve"> </w:t>
            </w:r>
            <w:r>
              <w:rPr>
                <w:sz w:val="20"/>
              </w:rPr>
              <w:t>from</w:t>
            </w:r>
            <w:r>
              <w:rPr>
                <w:spacing w:val="-2"/>
                <w:sz w:val="20"/>
              </w:rPr>
              <w:t xml:space="preserve"> </w:t>
            </w:r>
            <w:r>
              <w:rPr>
                <w:sz w:val="20"/>
              </w:rPr>
              <w:t>AA</w:t>
            </w:r>
            <w:r>
              <w:rPr>
                <w:spacing w:val="-1"/>
                <w:sz w:val="20"/>
              </w:rPr>
              <w:t xml:space="preserve"> </w:t>
            </w:r>
            <w:r>
              <w:rPr>
                <w:sz w:val="20"/>
              </w:rPr>
              <w:t>and his</w:t>
            </w:r>
            <w:r>
              <w:rPr>
                <w:spacing w:val="-2"/>
                <w:sz w:val="20"/>
              </w:rPr>
              <w:t xml:space="preserve"> </w:t>
            </w:r>
            <w:r>
              <w:rPr>
                <w:sz w:val="20"/>
              </w:rPr>
              <w:t>sponsor</w:t>
            </w:r>
            <w:r>
              <w:rPr>
                <w:spacing w:val="-1"/>
                <w:sz w:val="20"/>
              </w:rPr>
              <w:t xml:space="preserve"> </w:t>
            </w:r>
            <w:r>
              <w:rPr>
                <w:sz w:val="20"/>
              </w:rPr>
              <w:t>instead of</w:t>
            </w:r>
            <w:r>
              <w:rPr>
                <w:spacing w:val="-2"/>
                <w:sz w:val="20"/>
              </w:rPr>
              <w:t xml:space="preserve"> </w:t>
            </w:r>
            <w:r>
              <w:rPr>
                <w:sz w:val="20"/>
              </w:rPr>
              <w:t>cautioning</w:t>
            </w:r>
            <w:r>
              <w:rPr>
                <w:spacing w:val="-1"/>
                <w:sz w:val="20"/>
              </w:rPr>
              <w:t xml:space="preserve"> </w:t>
            </w:r>
            <w:r>
              <w:rPr>
                <w:sz w:val="20"/>
              </w:rPr>
              <w:t>him</w:t>
            </w:r>
            <w:r>
              <w:rPr>
                <w:spacing w:val="-2"/>
                <w:sz w:val="20"/>
              </w:rPr>
              <w:t xml:space="preserve"> </w:t>
            </w:r>
            <w:r>
              <w:rPr>
                <w:sz w:val="20"/>
              </w:rPr>
              <w:t>again about</w:t>
            </w:r>
            <w:r>
              <w:rPr>
                <w:spacing w:val="-3"/>
                <w:sz w:val="20"/>
              </w:rPr>
              <w:t xml:space="preserve"> </w:t>
            </w:r>
            <w:r>
              <w:rPr>
                <w:sz w:val="20"/>
              </w:rPr>
              <w:t>his</w:t>
            </w:r>
            <w:r>
              <w:rPr>
                <w:spacing w:val="-2"/>
                <w:sz w:val="20"/>
              </w:rPr>
              <w:t xml:space="preserve"> </w:t>
            </w:r>
            <w:r>
              <w:rPr>
                <w:sz w:val="20"/>
              </w:rPr>
              <w:t>behavioral</w:t>
            </w:r>
            <w:r>
              <w:rPr>
                <w:spacing w:val="-1"/>
                <w:sz w:val="20"/>
              </w:rPr>
              <w:t xml:space="preserve"> </w:t>
            </w:r>
            <w:r>
              <w:rPr>
                <w:sz w:val="20"/>
              </w:rPr>
              <w:t>pattern leading up to a return to drinking.</w:t>
            </w:r>
          </w:p>
          <w:p w14:paraId="20B6377D" w14:textId="77777777" w:rsidR="00DB6E1F" w:rsidRDefault="00F666A6">
            <w:pPr>
              <w:pStyle w:val="TableParagraph"/>
              <w:spacing w:before="119"/>
              <w:ind w:right="169" w:hanging="1"/>
              <w:rPr>
                <w:i/>
                <w:sz w:val="20"/>
              </w:rPr>
            </w:pPr>
            <w:r>
              <w:rPr>
                <w:b/>
                <w:sz w:val="20"/>
              </w:rPr>
              <w:t>Dan:</w:t>
            </w:r>
            <w:r>
              <w:rPr>
                <w:b/>
                <w:spacing w:val="-2"/>
                <w:sz w:val="20"/>
              </w:rPr>
              <w:t xml:space="preserve"> </w:t>
            </w:r>
            <w:r>
              <w:rPr>
                <w:sz w:val="20"/>
              </w:rPr>
              <w:t>I’m</w:t>
            </w:r>
            <w:r>
              <w:rPr>
                <w:spacing w:val="-3"/>
                <w:sz w:val="20"/>
              </w:rPr>
              <w:t xml:space="preserve"> </w:t>
            </w:r>
            <w:r>
              <w:rPr>
                <w:sz w:val="20"/>
              </w:rPr>
              <w:t>wondering</w:t>
            </w:r>
            <w:r>
              <w:rPr>
                <w:spacing w:val="-1"/>
                <w:sz w:val="20"/>
              </w:rPr>
              <w:t xml:space="preserve"> </w:t>
            </w:r>
            <w:r>
              <w:rPr>
                <w:sz w:val="20"/>
              </w:rPr>
              <w:t>what</w:t>
            </w:r>
            <w:r>
              <w:rPr>
                <w:spacing w:val="-2"/>
                <w:sz w:val="20"/>
              </w:rPr>
              <w:t xml:space="preserve"> </w:t>
            </w:r>
            <w:r>
              <w:rPr>
                <w:sz w:val="20"/>
              </w:rPr>
              <w:t>you</w:t>
            </w:r>
            <w:r>
              <w:rPr>
                <w:spacing w:val="-1"/>
                <w:sz w:val="20"/>
              </w:rPr>
              <w:t xml:space="preserve"> </w:t>
            </w:r>
            <w:r>
              <w:rPr>
                <w:sz w:val="20"/>
              </w:rPr>
              <w:t>make</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pattern:</w:t>
            </w:r>
            <w:r>
              <w:rPr>
                <w:spacing w:val="-3"/>
                <w:sz w:val="20"/>
              </w:rPr>
              <w:t xml:space="preserve"> </w:t>
            </w:r>
            <w:r>
              <w:rPr>
                <w:sz w:val="20"/>
              </w:rPr>
              <w:t>not</w:t>
            </w:r>
            <w:r>
              <w:rPr>
                <w:spacing w:val="-2"/>
                <w:sz w:val="20"/>
              </w:rPr>
              <w:t xml:space="preserve"> </w:t>
            </w:r>
            <w:r>
              <w:rPr>
                <w:sz w:val="20"/>
              </w:rPr>
              <w:t>going</w:t>
            </w:r>
            <w:r>
              <w:rPr>
                <w:spacing w:val="-2"/>
                <w:sz w:val="20"/>
              </w:rPr>
              <w:t xml:space="preserve"> </w:t>
            </w:r>
            <w:r>
              <w:rPr>
                <w:sz w:val="20"/>
              </w:rPr>
              <w:t>to</w:t>
            </w:r>
            <w:r>
              <w:rPr>
                <w:spacing w:val="-2"/>
                <w:sz w:val="20"/>
              </w:rPr>
              <w:t xml:space="preserve"> </w:t>
            </w:r>
            <w:r>
              <w:rPr>
                <w:sz w:val="20"/>
              </w:rPr>
              <w:t>meetings,</w:t>
            </w:r>
            <w:r>
              <w:rPr>
                <w:spacing w:val="-1"/>
                <w:sz w:val="20"/>
              </w:rPr>
              <w:t xml:space="preserve"> </w:t>
            </w:r>
            <w:r>
              <w:rPr>
                <w:sz w:val="20"/>
              </w:rPr>
              <w:t>not</w:t>
            </w:r>
            <w:r>
              <w:rPr>
                <w:spacing w:val="-2"/>
                <w:sz w:val="20"/>
              </w:rPr>
              <w:t xml:space="preserve"> </w:t>
            </w:r>
            <w:r>
              <w:rPr>
                <w:sz w:val="20"/>
              </w:rPr>
              <w:t>calling</w:t>
            </w:r>
            <w:r>
              <w:rPr>
                <w:spacing w:val="-2"/>
                <w:sz w:val="20"/>
              </w:rPr>
              <w:t xml:space="preserve"> </w:t>
            </w:r>
            <w:r>
              <w:rPr>
                <w:sz w:val="20"/>
              </w:rPr>
              <w:t>your</w:t>
            </w:r>
            <w:r>
              <w:rPr>
                <w:spacing w:val="-2"/>
                <w:sz w:val="20"/>
              </w:rPr>
              <w:t xml:space="preserve"> </w:t>
            </w:r>
            <w:r>
              <w:rPr>
                <w:sz w:val="20"/>
              </w:rPr>
              <w:t>sponsor</w:t>
            </w:r>
            <w:r>
              <w:rPr>
                <w:spacing w:val="-2"/>
                <w:sz w:val="20"/>
              </w:rPr>
              <w:t xml:space="preserve"> </w:t>
            </w:r>
            <w:r>
              <w:rPr>
                <w:sz w:val="20"/>
              </w:rPr>
              <w:t>just</w:t>
            </w:r>
            <w:r>
              <w:rPr>
                <w:spacing w:val="-2"/>
                <w:sz w:val="20"/>
              </w:rPr>
              <w:t xml:space="preserve"> </w:t>
            </w:r>
            <w:r>
              <w:rPr>
                <w:sz w:val="20"/>
              </w:rPr>
              <w:t xml:space="preserve">before you have a slip. If you could name that pattern, what would you call it? </w:t>
            </w:r>
            <w:r>
              <w:rPr>
                <w:i/>
                <w:sz w:val="20"/>
              </w:rPr>
              <w:t>(Open question)</w:t>
            </w:r>
          </w:p>
          <w:p w14:paraId="097B6C23" w14:textId="77777777" w:rsidR="00DB6E1F" w:rsidRDefault="00F666A6">
            <w:pPr>
              <w:pStyle w:val="TableParagraph"/>
              <w:spacing w:before="119"/>
              <w:ind w:right="81"/>
              <w:rPr>
                <w:sz w:val="20"/>
              </w:rPr>
            </w:pPr>
            <w:r>
              <w:rPr>
                <w:b/>
                <w:sz w:val="20"/>
              </w:rPr>
              <w:t>Jordan:</w:t>
            </w:r>
            <w:r>
              <w:rPr>
                <w:b/>
                <w:spacing w:val="-2"/>
                <w:sz w:val="20"/>
              </w:rPr>
              <w:t xml:space="preserve"> </w:t>
            </w:r>
            <w:r>
              <w:rPr>
                <w:sz w:val="20"/>
              </w:rPr>
              <w:t>I</w:t>
            </w:r>
            <w:r>
              <w:rPr>
                <w:spacing w:val="-2"/>
                <w:sz w:val="20"/>
              </w:rPr>
              <w:t xml:space="preserve"> </w:t>
            </w:r>
            <w:r>
              <w:rPr>
                <w:sz w:val="20"/>
              </w:rPr>
              <w:t>guess</w:t>
            </w:r>
            <w:r>
              <w:rPr>
                <w:spacing w:val="-3"/>
                <w:sz w:val="20"/>
              </w:rPr>
              <w:t xml:space="preserve"> </w:t>
            </w:r>
            <w:r>
              <w:rPr>
                <w:sz w:val="20"/>
              </w:rPr>
              <w:t>I</w:t>
            </w:r>
            <w:r>
              <w:rPr>
                <w:spacing w:val="-2"/>
                <w:sz w:val="20"/>
              </w:rPr>
              <w:t xml:space="preserve"> </w:t>
            </w:r>
            <w:r>
              <w:rPr>
                <w:sz w:val="20"/>
              </w:rPr>
              <w:t>would</w:t>
            </w:r>
            <w:r>
              <w:rPr>
                <w:spacing w:val="-1"/>
                <w:sz w:val="20"/>
              </w:rPr>
              <w:t xml:space="preserve"> </w:t>
            </w:r>
            <w:r>
              <w:rPr>
                <w:sz w:val="20"/>
              </w:rPr>
              <w:t>call</w:t>
            </w:r>
            <w:r>
              <w:rPr>
                <w:spacing w:val="-2"/>
                <w:sz w:val="20"/>
              </w:rPr>
              <w:t xml:space="preserve"> </w:t>
            </w:r>
            <w:r>
              <w:rPr>
                <w:sz w:val="20"/>
              </w:rPr>
              <w:t>it my</w:t>
            </w:r>
            <w:r>
              <w:rPr>
                <w:spacing w:val="-1"/>
                <w:sz w:val="20"/>
              </w:rPr>
              <w:t xml:space="preserve"> </w:t>
            </w:r>
            <w:r>
              <w:rPr>
                <w:sz w:val="20"/>
              </w:rPr>
              <w:t>version</w:t>
            </w:r>
            <w:r>
              <w:rPr>
                <w:spacing w:val="-1"/>
                <w:sz w:val="20"/>
              </w:rPr>
              <w:t xml:space="preserve"> </w:t>
            </w:r>
            <w:r>
              <w:rPr>
                <w:sz w:val="20"/>
              </w:rPr>
              <w:t>of</w:t>
            </w:r>
            <w:r>
              <w:rPr>
                <w:spacing w:val="-3"/>
                <w:sz w:val="20"/>
              </w:rPr>
              <w:t xml:space="preserve"> </w:t>
            </w:r>
            <w:r>
              <w:rPr>
                <w:sz w:val="20"/>
              </w:rPr>
              <w:t>“Stinkin’</w:t>
            </w:r>
            <w:r>
              <w:rPr>
                <w:spacing w:val="-1"/>
                <w:sz w:val="20"/>
              </w:rPr>
              <w:t xml:space="preserve"> </w:t>
            </w:r>
            <w:r>
              <w:rPr>
                <w:sz w:val="20"/>
              </w:rPr>
              <w:t>Thinkin’.”</w:t>
            </w:r>
            <w:r>
              <w:rPr>
                <w:spacing w:val="-1"/>
                <w:sz w:val="20"/>
              </w:rPr>
              <w:t xml:space="preserve"> </w:t>
            </w:r>
            <w:r>
              <w:rPr>
                <w:sz w:val="20"/>
              </w:rPr>
              <w:t>I</w:t>
            </w:r>
            <w:r>
              <w:rPr>
                <w:spacing w:val="-2"/>
                <w:sz w:val="20"/>
              </w:rPr>
              <w:t xml:space="preserve"> </w:t>
            </w:r>
            <w:r>
              <w:rPr>
                <w:sz w:val="20"/>
              </w:rPr>
              <w:t>work</w:t>
            </w:r>
            <w:r>
              <w:rPr>
                <w:spacing w:val="-1"/>
                <w:sz w:val="20"/>
              </w:rPr>
              <w:t xml:space="preserve"> </w:t>
            </w:r>
            <w:r>
              <w:rPr>
                <w:sz w:val="20"/>
              </w:rPr>
              <w:t>so</w:t>
            </w:r>
            <w:r>
              <w:rPr>
                <w:spacing w:val="-2"/>
                <w:sz w:val="20"/>
              </w:rPr>
              <w:t xml:space="preserve"> </w:t>
            </w:r>
            <w:r>
              <w:rPr>
                <w:sz w:val="20"/>
              </w:rPr>
              <w:t>hard</w:t>
            </w:r>
            <w:r>
              <w:rPr>
                <w:spacing w:val="-1"/>
                <w:sz w:val="20"/>
              </w:rPr>
              <w:t xml:space="preserve"> </w:t>
            </w:r>
            <w:r>
              <w:rPr>
                <w:sz w:val="20"/>
              </w:rPr>
              <w:t>at</w:t>
            </w:r>
            <w:r>
              <w:rPr>
                <w:spacing w:val="-2"/>
                <w:sz w:val="20"/>
              </w:rPr>
              <w:t xml:space="preserve"> </w:t>
            </w:r>
            <w:r>
              <w:rPr>
                <w:sz w:val="20"/>
              </w:rPr>
              <w:t>trying</w:t>
            </w:r>
            <w:r>
              <w:rPr>
                <w:spacing w:val="-2"/>
                <w:sz w:val="20"/>
              </w:rPr>
              <w:t xml:space="preserve"> </w:t>
            </w:r>
            <w:r>
              <w:rPr>
                <w:sz w:val="20"/>
              </w:rPr>
              <w:t>to</w:t>
            </w:r>
            <w:r>
              <w:rPr>
                <w:spacing w:val="-4"/>
                <w:sz w:val="20"/>
              </w:rPr>
              <w:t xml:space="preserve"> </w:t>
            </w:r>
            <w:r>
              <w:rPr>
                <w:sz w:val="20"/>
              </w:rPr>
              <w:t>do</w:t>
            </w:r>
            <w:r>
              <w:rPr>
                <w:spacing w:val="-2"/>
                <w:sz w:val="20"/>
              </w:rPr>
              <w:t xml:space="preserve"> </w:t>
            </w:r>
            <w:r>
              <w:rPr>
                <w:sz w:val="20"/>
              </w:rPr>
              <w:t>the</w:t>
            </w:r>
            <w:r>
              <w:rPr>
                <w:spacing w:val="-3"/>
                <w:sz w:val="20"/>
              </w:rPr>
              <w:t xml:space="preserve"> </w:t>
            </w:r>
            <w:r>
              <w:rPr>
                <w:sz w:val="20"/>
              </w:rPr>
              <w:t>right</w:t>
            </w:r>
            <w:r>
              <w:rPr>
                <w:spacing w:val="-2"/>
                <w:sz w:val="20"/>
              </w:rPr>
              <w:t xml:space="preserve"> </w:t>
            </w:r>
            <w:r>
              <w:rPr>
                <w:sz w:val="20"/>
              </w:rPr>
              <w:t>thing</w:t>
            </w:r>
            <w:r>
              <w:rPr>
                <w:spacing w:val="-2"/>
                <w:sz w:val="20"/>
              </w:rPr>
              <w:t xml:space="preserve"> </w:t>
            </w:r>
            <w:r>
              <w:rPr>
                <w:sz w:val="20"/>
              </w:rPr>
              <w:t>in</w:t>
            </w:r>
            <w:r>
              <w:rPr>
                <w:spacing w:val="-1"/>
                <w:sz w:val="20"/>
              </w:rPr>
              <w:t xml:space="preserve"> </w:t>
            </w:r>
            <w:r>
              <w:rPr>
                <w:sz w:val="20"/>
              </w:rPr>
              <w:t>my recovery, but then I start to think that I am not getting anywhere, you know? I’m not drinking, but I don’t feel any better, so I feel like a failure and get tired of trying. It’s like I need to take a break from recovery.</w:t>
            </w:r>
          </w:p>
          <w:p w14:paraId="5EF03741" w14:textId="77777777" w:rsidR="00DB6E1F" w:rsidRDefault="00F666A6">
            <w:pPr>
              <w:pStyle w:val="TableParagraph"/>
              <w:spacing w:before="122"/>
              <w:rPr>
                <w:i/>
                <w:sz w:val="20"/>
              </w:rPr>
            </w:pPr>
            <w:r>
              <w:rPr>
                <w:b/>
                <w:sz w:val="20"/>
              </w:rPr>
              <w:t>Dan:</w:t>
            </w:r>
            <w:r>
              <w:rPr>
                <w:b/>
                <w:spacing w:val="-3"/>
                <w:sz w:val="20"/>
              </w:rPr>
              <w:t xml:space="preserve"> </w:t>
            </w:r>
            <w:r>
              <w:rPr>
                <w:sz w:val="20"/>
              </w:rPr>
              <w:t>So,</w:t>
            </w:r>
            <w:r>
              <w:rPr>
                <w:spacing w:val="-2"/>
                <w:sz w:val="20"/>
              </w:rPr>
              <w:t xml:space="preserve"> </w:t>
            </w:r>
            <w:r>
              <w:rPr>
                <w:sz w:val="20"/>
              </w:rPr>
              <w:t>you</w:t>
            </w:r>
            <w:r>
              <w:rPr>
                <w:spacing w:val="-2"/>
                <w:sz w:val="20"/>
              </w:rPr>
              <w:t xml:space="preserve"> </w:t>
            </w:r>
            <w:r>
              <w:rPr>
                <w:sz w:val="20"/>
              </w:rPr>
              <w:t>work</w:t>
            </w:r>
            <w:r>
              <w:rPr>
                <w:spacing w:val="-2"/>
                <w:sz w:val="20"/>
              </w:rPr>
              <w:t xml:space="preserve"> </w:t>
            </w:r>
            <w:r>
              <w:rPr>
                <w:sz w:val="20"/>
              </w:rPr>
              <w:t>hard</w:t>
            </w:r>
            <w:r>
              <w:rPr>
                <w:spacing w:val="-2"/>
                <w:sz w:val="20"/>
              </w:rPr>
              <w:t xml:space="preserve"> </w:t>
            </w:r>
            <w:r>
              <w:rPr>
                <w:sz w:val="20"/>
              </w:rPr>
              <w:t>to</w:t>
            </w:r>
            <w:r>
              <w:rPr>
                <w:spacing w:val="-3"/>
                <w:sz w:val="20"/>
              </w:rPr>
              <w:t xml:space="preserve"> </w:t>
            </w:r>
            <w:r>
              <w:rPr>
                <w:sz w:val="20"/>
              </w:rPr>
              <w:t>do</w:t>
            </w:r>
            <w:r>
              <w:rPr>
                <w:spacing w:val="-6"/>
                <w:sz w:val="20"/>
              </w:rPr>
              <w:t xml:space="preserve"> </w:t>
            </w:r>
            <w:r>
              <w:rPr>
                <w:sz w:val="20"/>
              </w:rPr>
              <w:t>t</w:t>
            </w:r>
            <w:r>
              <w:rPr>
                <w:sz w:val="20"/>
              </w:rPr>
              <w:t>he</w:t>
            </w:r>
            <w:r>
              <w:rPr>
                <w:spacing w:val="-4"/>
                <w:sz w:val="20"/>
              </w:rPr>
              <w:t xml:space="preserve"> </w:t>
            </w:r>
            <w:r>
              <w:rPr>
                <w:sz w:val="20"/>
              </w:rPr>
              <w:t>right</w:t>
            </w:r>
            <w:r>
              <w:rPr>
                <w:spacing w:val="-3"/>
                <w:sz w:val="20"/>
              </w:rPr>
              <w:t xml:space="preserve"> </w:t>
            </w:r>
            <w:r>
              <w:rPr>
                <w:sz w:val="20"/>
              </w:rPr>
              <w:t>thing</w:t>
            </w:r>
            <w:r>
              <w:rPr>
                <w:spacing w:val="-3"/>
                <w:sz w:val="20"/>
              </w:rPr>
              <w:t xml:space="preserve"> </w:t>
            </w:r>
            <w:r>
              <w:rPr>
                <w:sz w:val="20"/>
              </w:rPr>
              <w:t>in</w:t>
            </w:r>
            <w:r>
              <w:rPr>
                <w:spacing w:val="-2"/>
                <w:sz w:val="20"/>
              </w:rPr>
              <w:t xml:space="preserve"> </w:t>
            </w:r>
            <w:r>
              <w:rPr>
                <w:sz w:val="20"/>
              </w:rPr>
              <w:t>recovery</w:t>
            </w:r>
            <w:r>
              <w:rPr>
                <w:spacing w:val="-2"/>
                <w:sz w:val="20"/>
              </w:rPr>
              <w:t xml:space="preserve"> </w:t>
            </w:r>
            <w:r>
              <w:rPr>
                <w:sz w:val="20"/>
              </w:rPr>
              <w:t>and</w:t>
            </w:r>
            <w:r>
              <w:rPr>
                <w:spacing w:val="-2"/>
                <w:sz w:val="20"/>
              </w:rPr>
              <w:t xml:space="preserve"> </w:t>
            </w:r>
            <w:r>
              <w:rPr>
                <w:sz w:val="20"/>
              </w:rPr>
              <w:t>really</w:t>
            </w:r>
            <w:r>
              <w:rPr>
                <w:spacing w:val="-2"/>
                <w:sz w:val="20"/>
              </w:rPr>
              <w:t xml:space="preserve"> </w:t>
            </w:r>
            <w:r>
              <w:rPr>
                <w:sz w:val="20"/>
              </w:rPr>
              <w:t>want</w:t>
            </w:r>
            <w:r>
              <w:rPr>
                <w:spacing w:val="-3"/>
                <w:sz w:val="20"/>
              </w:rPr>
              <w:t xml:space="preserve"> </w:t>
            </w:r>
            <w:r>
              <w:rPr>
                <w:sz w:val="20"/>
              </w:rPr>
              <w:t>to</w:t>
            </w:r>
            <w:r>
              <w:rPr>
                <w:spacing w:val="-3"/>
                <w:sz w:val="20"/>
              </w:rPr>
              <w:t xml:space="preserve"> </w:t>
            </w:r>
            <w:r>
              <w:rPr>
                <w:sz w:val="20"/>
              </w:rPr>
              <w:t>feel</w:t>
            </w:r>
            <w:r>
              <w:rPr>
                <w:spacing w:val="-3"/>
                <w:sz w:val="20"/>
              </w:rPr>
              <w:t xml:space="preserve"> </w:t>
            </w:r>
            <w:r>
              <w:rPr>
                <w:sz w:val="20"/>
              </w:rPr>
              <w:t>better,</w:t>
            </w:r>
            <w:r>
              <w:rPr>
                <w:spacing w:val="-2"/>
                <w:sz w:val="20"/>
              </w:rPr>
              <w:t xml:space="preserve"> </w:t>
            </w:r>
            <w:r>
              <w:rPr>
                <w:sz w:val="20"/>
              </w:rPr>
              <w:t>but</w:t>
            </w:r>
            <w:r>
              <w:rPr>
                <w:spacing w:val="-3"/>
                <w:sz w:val="20"/>
              </w:rPr>
              <w:t xml:space="preserve"> </w:t>
            </w:r>
            <w:r>
              <w:rPr>
                <w:sz w:val="20"/>
              </w:rPr>
              <w:t>sometimes</w:t>
            </w:r>
            <w:r>
              <w:rPr>
                <w:spacing w:val="-4"/>
                <w:sz w:val="20"/>
              </w:rPr>
              <w:t xml:space="preserve"> </w:t>
            </w:r>
            <w:r>
              <w:rPr>
                <w:sz w:val="20"/>
              </w:rPr>
              <w:t>you</w:t>
            </w:r>
            <w:r>
              <w:rPr>
                <w:spacing w:val="-2"/>
                <w:sz w:val="20"/>
              </w:rPr>
              <w:t xml:space="preserve"> </w:t>
            </w:r>
            <w:r>
              <w:rPr>
                <w:sz w:val="20"/>
              </w:rPr>
              <w:t xml:space="preserve">feel discouraged and think you need to take a break. </w:t>
            </w:r>
            <w:r>
              <w:rPr>
                <w:i/>
                <w:sz w:val="20"/>
              </w:rPr>
              <w:t>(Reflection)</w:t>
            </w:r>
          </w:p>
          <w:p w14:paraId="4084AFD3" w14:textId="77777777" w:rsidR="00DB6E1F" w:rsidRDefault="00F666A6">
            <w:pPr>
              <w:pStyle w:val="TableParagraph"/>
              <w:spacing w:before="118"/>
              <w:rPr>
                <w:sz w:val="20"/>
              </w:rPr>
            </w:pPr>
            <w:r>
              <w:rPr>
                <w:b/>
                <w:sz w:val="20"/>
              </w:rPr>
              <w:t>Jordan:</w:t>
            </w:r>
            <w:r>
              <w:rPr>
                <w:b/>
                <w:spacing w:val="-6"/>
                <w:sz w:val="20"/>
              </w:rPr>
              <w:t xml:space="preserve"> </w:t>
            </w:r>
            <w:r>
              <w:rPr>
                <w:sz w:val="20"/>
              </w:rPr>
              <w:t>Yeah.</w:t>
            </w:r>
            <w:r>
              <w:rPr>
                <w:spacing w:val="-5"/>
                <w:sz w:val="20"/>
              </w:rPr>
              <w:t xml:space="preserve"> </w:t>
            </w:r>
            <w:r>
              <w:rPr>
                <w:sz w:val="20"/>
              </w:rPr>
              <w:t>That</w:t>
            </w:r>
            <w:r>
              <w:rPr>
                <w:spacing w:val="-6"/>
                <w:sz w:val="20"/>
              </w:rPr>
              <w:t xml:space="preserve"> </w:t>
            </w:r>
            <w:r>
              <w:rPr>
                <w:sz w:val="20"/>
              </w:rPr>
              <w:t>describes</w:t>
            </w:r>
            <w:r>
              <w:rPr>
                <w:spacing w:val="-4"/>
                <w:sz w:val="20"/>
              </w:rPr>
              <w:t xml:space="preserve"> </w:t>
            </w:r>
            <w:r>
              <w:rPr>
                <w:sz w:val="20"/>
              </w:rPr>
              <w:t>where</w:t>
            </w:r>
            <w:r>
              <w:rPr>
                <w:spacing w:val="-6"/>
                <w:sz w:val="20"/>
              </w:rPr>
              <w:t xml:space="preserve"> </w:t>
            </w:r>
            <w:r>
              <w:rPr>
                <w:sz w:val="20"/>
              </w:rPr>
              <w:t>I</w:t>
            </w:r>
            <w:r>
              <w:rPr>
                <w:spacing w:val="-6"/>
                <w:sz w:val="20"/>
              </w:rPr>
              <w:t xml:space="preserve"> </w:t>
            </w:r>
            <w:r>
              <w:rPr>
                <w:sz w:val="20"/>
              </w:rPr>
              <w:t>am</w:t>
            </w:r>
            <w:r>
              <w:rPr>
                <w:spacing w:val="-6"/>
                <w:sz w:val="20"/>
              </w:rPr>
              <w:t xml:space="preserve"> </w:t>
            </w:r>
            <w:r>
              <w:rPr>
                <w:sz w:val="20"/>
              </w:rPr>
              <w:t>right</w:t>
            </w:r>
            <w:r>
              <w:rPr>
                <w:spacing w:val="-5"/>
                <w:sz w:val="20"/>
              </w:rPr>
              <w:t xml:space="preserve"> </w:t>
            </w:r>
            <w:r>
              <w:rPr>
                <w:spacing w:val="-4"/>
                <w:sz w:val="20"/>
              </w:rPr>
              <w:t>now.</w:t>
            </w:r>
          </w:p>
          <w:p w14:paraId="3D5A0B1E" w14:textId="77777777" w:rsidR="00DB6E1F" w:rsidRDefault="00F666A6">
            <w:pPr>
              <w:pStyle w:val="TableParagraph"/>
              <w:spacing w:before="121"/>
              <w:rPr>
                <w:i/>
                <w:sz w:val="20"/>
              </w:rPr>
            </w:pPr>
            <w:r>
              <w:rPr>
                <w:b/>
                <w:sz w:val="20"/>
              </w:rPr>
              <w:t>Dan:</w:t>
            </w:r>
            <w:r>
              <w:rPr>
                <w:b/>
                <w:spacing w:val="-2"/>
                <w:sz w:val="20"/>
              </w:rPr>
              <w:t xml:space="preserve"> </w:t>
            </w:r>
            <w:r>
              <w:rPr>
                <w:sz w:val="20"/>
              </w:rPr>
              <w:t>I</w:t>
            </w:r>
            <w:r>
              <w:rPr>
                <w:spacing w:val="-2"/>
                <w:sz w:val="20"/>
              </w:rPr>
              <w:t xml:space="preserve"> </w:t>
            </w:r>
            <w:r>
              <w:rPr>
                <w:sz w:val="20"/>
              </w:rPr>
              <w:t>am</w:t>
            </w:r>
            <w:r>
              <w:rPr>
                <w:spacing w:val="-3"/>
                <w:sz w:val="20"/>
              </w:rPr>
              <w:t xml:space="preserve"> </w:t>
            </w:r>
            <w:r>
              <w:rPr>
                <w:sz w:val="20"/>
              </w:rPr>
              <w:t>curious</w:t>
            </w:r>
            <w:r>
              <w:rPr>
                <w:spacing w:val="-3"/>
                <w:sz w:val="20"/>
              </w:rPr>
              <w:t xml:space="preserve"> </w:t>
            </w:r>
            <w:r>
              <w:rPr>
                <w:sz w:val="20"/>
              </w:rPr>
              <w:t>about</w:t>
            </w:r>
            <w:r>
              <w:rPr>
                <w:spacing w:val="-2"/>
                <w:sz w:val="20"/>
              </w:rPr>
              <w:t xml:space="preserve"> </w:t>
            </w:r>
            <w:r>
              <w:rPr>
                <w:sz w:val="20"/>
              </w:rPr>
              <w:t>that.</w:t>
            </w:r>
            <w:r>
              <w:rPr>
                <w:spacing w:val="-4"/>
                <w:sz w:val="20"/>
              </w:rPr>
              <w:t xml:space="preserve"> </w:t>
            </w:r>
            <w:r>
              <w:rPr>
                <w:sz w:val="20"/>
              </w:rPr>
              <w:t>Would</w:t>
            </w:r>
            <w:r>
              <w:rPr>
                <w:spacing w:val="-1"/>
                <w:sz w:val="20"/>
              </w:rPr>
              <w:t xml:space="preserve"> </w:t>
            </w:r>
            <w:r>
              <w:rPr>
                <w:sz w:val="20"/>
              </w:rPr>
              <w:t>you</w:t>
            </w:r>
            <w:r>
              <w:rPr>
                <w:spacing w:val="-1"/>
                <w:sz w:val="20"/>
              </w:rPr>
              <w:t xml:space="preserve"> </w:t>
            </w:r>
            <w:r>
              <w:rPr>
                <w:sz w:val="20"/>
              </w:rPr>
              <w:t>say</w:t>
            </w:r>
            <w:r>
              <w:rPr>
                <w:spacing w:val="-1"/>
                <w:sz w:val="20"/>
              </w:rPr>
              <w:t xml:space="preserve"> </w:t>
            </w:r>
            <w:r>
              <w:rPr>
                <w:sz w:val="20"/>
              </w:rPr>
              <w:t>you</w:t>
            </w:r>
            <w:r>
              <w:rPr>
                <w:spacing w:val="-1"/>
                <w:sz w:val="20"/>
              </w:rPr>
              <w:t xml:space="preserve"> </w:t>
            </w:r>
            <w:r>
              <w:rPr>
                <w:sz w:val="20"/>
              </w:rPr>
              <w:t>are</w:t>
            </w:r>
            <w:r>
              <w:rPr>
                <w:spacing w:val="-3"/>
                <w:sz w:val="20"/>
              </w:rPr>
              <w:t xml:space="preserve"> </w:t>
            </w:r>
            <w:r>
              <w:rPr>
                <w:sz w:val="20"/>
              </w:rPr>
              <w:t>taking</w:t>
            </w:r>
            <w:r>
              <w:rPr>
                <w:spacing w:val="-5"/>
                <w:sz w:val="20"/>
              </w:rPr>
              <w:t xml:space="preserve"> </w:t>
            </w:r>
            <w:r>
              <w:rPr>
                <w:sz w:val="20"/>
              </w:rPr>
              <w:t>a</w:t>
            </w:r>
            <w:r>
              <w:rPr>
                <w:spacing w:val="-1"/>
                <w:sz w:val="20"/>
              </w:rPr>
              <w:t xml:space="preserve"> </w:t>
            </w:r>
            <w:r>
              <w:rPr>
                <w:sz w:val="20"/>
              </w:rPr>
              <w:t>break</w:t>
            </w:r>
            <w:r>
              <w:rPr>
                <w:spacing w:val="-1"/>
                <w:sz w:val="20"/>
              </w:rPr>
              <w:t xml:space="preserve"> </w:t>
            </w:r>
            <w:r>
              <w:rPr>
                <w:sz w:val="20"/>
              </w:rPr>
              <w:t>from</w:t>
            </w:r>
            <w:r>
              <w:rPr>
                <w:spacing w:val="-3"/>
                <w:sz w:val="20"/>
              </w:rPr>
              <w:t xml:space="preserve"> </w:t>
            </w:r>
            <w:r>
              <w:rPr>
                <w:sz w:val="20"/>
              </w:rPr>
              <w:t>recovery</w:t>
            </w:r>
            <w:r>
              <w:rPr>
                <w:spacing w:val="-1"/>
                <w:sz w:val="20"/>
              </w:rPr>
              <w:t xml:space="preserve"> </w:t>
            </w:r>
            <w:r>
              <w:rPr>
                <w:sz w:val="20"/>
              </w:rPr>
              <w:t>or</w:t>
            </w:r>
            <w:r>
              <w:rPr>
                <w:spacing w:val="-2"/>
                <w:sz w:val="20"/>
              </w:rPr>
              <w:t xml:space="preserve"> </w:t>
            </w:r>
            <w:r>
              <w:rPr>
                <w:sz w:val="20"/>
              </w:rPr>
              <w:t>taking</w:t>
            </w:r>
            <w:r>
              <w:rPr>
                <w:spacing w:val="-2"/>
                <w:sz w:val="20"/>
              </w:rPr>
              <w:t xml:space="preserve"> </w:t>
            </w:r>
            <w:r>
              <w:rPr>
                <w:sz w:val="20"/>
              </w:rPr>
              <w:t>a</w:t>
            </w:r>
            <w:r>
              <w:rPr>
                <w:spacing w:val="-1"/>
                <w:sz w:val="20"/>
              </w:rPr>
              <w:t xml:space="preserve"> </w:t>
            </w:r>
            <w:r>
              <w:rPr>
                <w:sz w:val="20"/>
              </w:rPr>
              <w:t>break</w:t>
            </w:r>
            <w:r>
              <w:rPr>
                <w:spacing w:val="-1"/>
                <w:sz w:val="20"/>
              </w:rPr>
              <w:t xml:space="preserve"> </w:t>
            </w:r>
            <w:r>
              <w:rPr>
                <w:sz w:val="20"/>
              </w:rPr>
              <w:t>from</w:t>
            </w:r>
            <w:r>
              <w:rPr>
                <w:spacing w:val="-3"/>
                <w:sz w:val="20"/>
              </w:rPr>
              <w:t xml:space="preserve"> </w:t>
            </w:r>
            <w:r>
              <w:rPr>
                <w:sz w:val="20"/>
              </w:rPr>
              <w:t xml:space="preserve">the program? </w:t>
            </w:r>
            <w:r>
              <w:rPr>
                <w:i/>
                <w:sz w:val="20"/>
              </w:rPr>
              <w:t xml:space="preserve">[Reframe in the form of a question that leaves open the possibility for the client to reject the new </w:t>
            </w:r>
            <w:r>
              <w:rPr>
                <w:i/>
                <w:spacing w:val="-2"/>
                <w:sz w:val="20"/>
              </w:rPr>
              <w:t>perspective]</w:t>
            </w:r>
          </w:p>
          <w:p w14:paraId="42695318" w14:textId="77777777" w:rsidR="00DB6E1F" w:rsidRDefault="00F666A6">
            <w:pPr>
              <w:pStyle w:val="TableParagraph"/>
              <w:spacing w:before="120"/>
              <w:ind w:right="96"/>
              <w:jc w:val="both"/>
              <w:rPr>
                <w:sz w:val="20"/>
              </w:rPr>
            </w:pPr>
            <w:r>
              <w:rPr>
                <w:b/>
                <w:sz w:val="20"/>
              </w:rPr>
              <w:t>Jordan:</w:t>
            </w:r>
            <w:r>
              <w:rPr>
                <w:b/>
                <w:spacing w:val="-2"/>
                <w:sz w:val="20"/>
              </w:rPr>
              <w:t xml:space="preserve"> </w:t>
            </w:r>
            <w:r>
              <w:rPr>
                <w:sz w:val="20"/>
              </w:rPr>
              <w:t>Gee,</w:t>
            </w:r>
            <w:r>
              <w:rPr>
                <w:spacing w:val="-1"/>
                <w:sz w:val="20"/>
              </w:rPr>
              <w:t xml:space="preserve"> </w:t>
            </w:r>
            <w:r>
              <w:rPr>
                <w:sz w:val="20"/>
              </w:rPr>
              <w:t>I</w:t>
            </w:r>
            <w:r>
              <w:rPr>
                <w:spacing w:val="-2"/>
                <w:sz w:val="20"/>
              </w:rPr>
              <w:t xml:space="preserve"> </w:t>
            </w:r>
            <w:r>
              <w:rPr>
                <w:sz w:val="20"/>
              </w:rPr>
              <w:t>never</w:t>
            </w:r>
            <w:r>
              <w:rPr>
                <w:spacing w:val="-2"/>
                <w:sz w:val="20"/>
              </w:rPr>
              <w:t xml:space="preserve"> </w:t>
            </w:r>
            <w:r>
              <w:rPr>
                <w:sz w:val="20"/>
              </w:rPr>
              <w:t>thought</w:t>
            </w:r>
            <w:r>
              <w:rPr>
                <w:spacing w:val="-1"/>
                <w:sz w:val="20"/>
              </w:rPr>
              <w:t xml:space="preserve"> </w:t>
            </w:r>
            <w:r>
              <w:rPr>
                <w:sz w:val="20"/>
              </w:rPr>
              <w:t>about</w:t>
            </w:r>
            <w:r>
              <w:rPr>
                <w:spacing w:val="-1"/>
                <w:sz w:val="20"/>
              </w:rPr>
              <w:t xml:space="preserve"> </w:t>
            </w:r>
            <w:r>
              <w:rPr>
                <w:sz w:val="20"/>
              </w:rPr>
              <w:t>it</w:t>
            </w:r>
            <w:r>
              <w:rPr>
                <w:spacing w:val="-1"/>
                <w:sz w:val="20"/>
              </w:rPr>
              <w:t xml:space="preserve"> </w:t>
            </w:r>
            <w:r>
              <w:rPr>
                <w:sz w:val="20"/>
              </w:rPr>
              <w:t>that</w:t>
            </w:r>
            <w:r>
              <w:rPr>
                <w:spacing w:val="-4"/>
                <w:sz w:val="20"/>
              </w:rPr>
              <w:t xml:space="preserve"> </w:t>
            </w:r>
            <w:r>
              <w:rPr>
                <w:sz w:val="20"/>
              </w:rPr>
              <w:t>way.</w:t>
            </w:r>
            <w:r>
              <w:rPr>
                <w:spacing w:val="-2"/>
                <w:sz w:val="20"/>
              </w:rPr>
              <w:t xml:space="preserve"> </w:t>
            </w:r>
            <w:r>
              <w:rPr>
                <w:sz w:val="20"/>
              </w:rPr>
              <w:t>I</w:t>
            </w:r>
            <w:r>
              <w:rPr>
                <w:spacing w:val="-2"/>
                <w:sz w:val="20"/>
              </w:rPr>
              <w:t xml:space="preserve"> </w:t>
            </w:r>
            <w:r>
              <w:rPr>
                <w:sz w:val="20"/>
              </w:rPr>
              <w:t>guess</w:t>
            </w:r>
            <w:r>
              <w:rPr>
                <w:spacing w:val="-3"/>
                <w:sz w:val="20"/>
              </w:rPr>
              <w:t xml:space="preserve"> </w:t>
            </w:r>
            <w:r>
              <w:rPr>
                <w:sz w:val="20"/>
              </w:rPr>
              <w:t>I’m still</w:t>
            </w:r>
            <w:r>
              <w:rPr>
                <w:spacing w:val="-2"/>
                <w:sz w:val="20"/>
              </w:rPr>
              <w:t xml:space="preserve"> </w:t>
            </w:r>
            <w:r>
              <w:rPr>
                <w:sz w:val="20"/>
              </w:rPr>
              <w:t>working</w:t>
            </w:r>
            <w:r>
              <w:rPr>
                <w:spacing w:val="-2"/>
                <w:sz w:val="20"/>
              </w:rPr>
              <w:t xml:space="preserve"> </w:t>
            </w:r>
            <w:r>
              <w:rPr>
                <w:sz w:val="20"/>
              </w:rPr>
              <w:t>on</w:t>
            </w:r>
            <w:r>
              <w:rPr>
                <w:spacing w:val="-1"/>
                <w:sz w:val="20"/>
              </w:rPr>
              <w:t xml:space="preserve"> </w:t>
            </w:r>
            <w:r>
              <w:rPr>
                <w:sz w:val="20"/>
              </w:rPr>
              <w:t>my</w:t>
            </w:r>
            <w:r>
              <w:rPr>
                <w:spacing w:val="-1"/>
                <w:sz w:val="20"/>
              </w:rPr>
              <w:t xml:space="preserve"> </w:t>
            </w:r>
            <w:r>
              <w:rPr>
                <w:sz w:val="20"/>
              </w:rPr>
              <w:t>recovery,</w:t>
            </w:r>
            <w:r>
              <w:rPr>
                <w:spacing w:val="-1"/>
                <w:sz w:val="20"/>
              </w:rPr>
              <w:t xml:space="preserve"> </w:t>
            </w:r>
            <w:r>
              <w:rPr>
                <w:sz w:val="20"/>
              </w:rPr>
              <w:t>even</w:t>
            </w:r>
            <w:r>
              <w:rPr>
                <w:spacing w:val="-1"/>
                <w:sz w:val="20"/>
              </w:rPr>
              <w:t xml:space="preserve"> </w:t>
            </w:r>
            <w:r>
              <w:rPr>
                <w:sz w:val="20"/>
              </w:rPr>
              <w:t>if</w:t>
            </w:r>
            <w:r>
              <w:rPr>
                <w:spacing w:val="-3"/>
                <w:sz w:val="20"/>
              </w:rPr>
              <w:t xml:space="preserve"> </w:t>
            </w:r>
            <w:r>
              <w:rPr>
                <w:sz w:val="20"/>
              </w:rPr>
              <w:t>I</w:t>
            </w:r>
            <w:r>
              <w:rPr>
                <w:spacing w:val="-2"/>
                <w:sz w:val="20"/>
              </w:rPr>
              <w:t xml:space="preserve"> </w:t>
            </w:r>
            <w:r>
              <w:rPr>
                <w:sz w:val="20"/>
              </w:rPr>
              <w:t>don’t</w:t>
            </w:r>
            <w:r>
              <w:rPr>
                <w:spacing w:val="-1"/>
                <w:sz w:val="20"/>
              </w:rPr>
              <w:t xml:space="preserve"> </w:t>
            </w:r>
            <w:r>
              <w:rPr>
                <w:sz w:val="20"/>
              </w:rPr>
              <w:t>talk</w:t>
            </w:r>
            <w:r>
              <w:rPr>
                <w:spacing w:val="-1"/>
                <w:sz w:val="20"/>
              </w:rPr>
              <w:t xml:space="preserve"> </w:t>
            </w:r>
            <w:r>
              <w:rPr>
                <w:sz w:val="20"/>
              </w:rPr>
              <w:t>to</w:t>
            </w:r>
            <w:r>
              <w:rPr>
                <w:spacing w:val="-1"/>
                <w:sz w:val="20"/>
              </w:rPr>
              <w:t xml:space="preserve"> </w:t>
            </w:r>
            <w:r>
              <w:rPr>
                <w:sz w:val="20"/>
              </w:rPr>
              <w:t>my sponsor.</w:t>
            </w:r>
            <w:r>
              <w:rPr>
                <w:spacing w:val="-1"/>
                <w:sz w:val="20"/>
              </w:rPr>
              <w:t xml:space="preserve"> </w:t>
            </w:r>
            <w:r>
              <w:rPr>
                <w:sz w:val="20"/>
              </w:rPr>
              <w:t>Like</w:t>
            </w:r>
            <w:r>
              <w:rPr>
                <w:spacing w:val="-2"/>
                <w:sz w:val="20"/>
              </w:rPr>
              <w:t xml:space="preserve"> </w:t>
            </w:r>
            <w:r>
              <w:rPr>
                <w:sz w:val="20"/>
              </w:rPr>
              <w:t>the</w:t>
            </w:r>
            <w:r>
              <w:rPr>
                <w:spacing w:val="-2"/>
                <w:sz w:val="20"/>
              </w:rPr>
              <w:t xml:space="preserve"> </w:t>
            </w:r>
            <w:r>
              <w:rPr>
                <w:sz w:val="20"/>
              </w:rPr>
              <w:t>other</w:t>
            </w:r>
            <w:r>
              <w:rPr>
                <w:spacing w:val="-1"/>
                <w:sz w:val="20"/>
              </w:rPr>
              <w:t xml:space="preserve"> </w:t>
            </w:r>
            <w:r>
              <w:rPr>
                <w:sz w:val="20"/>
              </w:rPr>
              <w:t>day, I</w:t>
            </w:r>
            <w:r>
              <w:rPr>
                <w:spacing w:val="-1"/>
                <w:sz w:val="20"/>
              </w:rPr>
              <w:t xml:space="preserve"> </w:t>
            </w:r>
            <w:r>
              <w:rPr>
                <w:sz w:val="20"/>
              </w:rPr>
              <w:t>started to feel</w:t>
            </w:r>
            <w:r>
              <w:rPr>
                <w:spacing w:val="-1"/>
                <w:sz w:val="20"/>
              </w:rPr>
              <w:t xml:space="preserve"> </w:t>
            </w:r>
            <w:r>
              <w:rPr>
                <w:sz w:val="20"/>
              </w:rPr>
              <w:t>like</w:t>
            </w:r>
            <w:r>
              <w:rPr>
                <w:spacing w:val="-2"/>
                <w:sz w:val="20"/>
              </w:rPr>
              <w:t xml:space="preserve"> </w:t>
            </w:r>
            <w:r>
              <w:rPr>
                <w:sz w:val="20"/>
              </w:rPr>
              <w:t>I</w:t>
            </w:r>
            <w:r>
              <w:rPr>
                <w:spacing w:val="-1"/>
                <w:sz w:val="20"/>
              </w:rPr>
              <w:t xml:space="preserve"> </w:t>
            </w:r>
            <w:r>
              <w:rPr>
                <w:sz w:val="20"/>
              </w:rPr>
              <w:t>wanted to go to the</w:t>
            </w:r>
            <w:r>
              <w:rPr>
                <w:spacing w:val="-2"/>
                <w:sz w:val="20"/>
              </w:rPr>
              <w:t xml:space="preserve"> </w:t>
            </w:r>
            <w:r>
              <w:rPr>
                <w:sz w:val="20"/>
              </w:rPr>
              <w:t>bar</w:t>
            </w:r>
            <w:r>
              <w:rPr>
                <w:spacing w:val="-1"/>
                <w:sz w:val="20"/>
              </w:rPr>
              <w:t xml:space="preserve"> </w:t>
            </w:r>
            <w:r>
              <w:rPr>
                <w:sz w:val="20"/>
              </w:rPr>
              <w:t>to watch the</w:t>
            </w:r>
            <w:r>
              <w:rPr>
                <w:spacing w:val="-2"/>
                <w:sz w:val="20"/>
              </w:rPr>
              <w:t xml:space="preserve"> </w:t>
            </w:r>
            <w:r>
              <w:rPr>
                <w:sz w:val="20"/>
              </w:rPr>
              <w:t>game, but I</w:t>
            </w:r>
            <w:r>
              <w:rPr>
                <w:spacing w:val="-1"/>
                <w:sz w:val="20"/>
              </w:rPr>
              <w:t xml:space="preserve"> </w:t>
            </w:r>
            <w:r>
              <w:rPr>
                <w:sz w:val="20"/>
              </w:rPr>
              <w:t>remembered what you and I had talked about last time—that this is a warning flag, and that I could do something different.</w:t>
            </w:r>
          </w:p>
          <w:p w14:paraId="5DA58759" w14:textId="77777777" w:rsidR="00DB6E1F" w:rsidRDefault="00F666A6">
            <w:pPr>
              <w:pStyle w:val="TableParagraph"/>
              <w:spacing w:before="0"/>
              <w:ind w:right="252"/>
              <w:rPr>
                <w:sz w:val="20"/>
              </w:rPr>
            </w:pPr>
            <w:r>
              <w:rPr>
                <w:sz w:val="20"/>
              </w:rPr>
              <w:t>So,</w:t>
            </w:r>
            <w:r>
              <w:rPr>
                <w:spacing w:val="-2"/>
                <w:sz w:val="20"/>
              </w:rPr>
              <w:t xml:space="preserve"> </w:t>
            </w:r>
            <w:r>
              <w:rPr>
                <w:sz w:val="20"/>
              </w:rPr>
              <w:t>instead</w:t>
            </w:r>
            <w:r>
              <w:rPr>
                <w:spacing w:val="-2"/>
                <w:sz w:val="20"/>
              </w:rPr>
              <w:t xml:space="preserve"> </w:t>
            </w:r>
            <w:r>
              <w:rPr>
                <w:sz w:val="20"/>
              </w:rPr>
              <w:t>of</w:t>
            </w:r>
            <w:r>
              <w:rPr>
                <w:spacing w:val="-4"/>
                <w:sz w:val="20"/>
              </w:rPr>
              <w:t xml:space="preserve"> </w:t>
            </w:r>
            <w:r>
              <w:rPr>
                <w:sz w:val="20"/>
              </w:rPr>
              <w:t>going</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bar,</w:t>
            </w:r>
            <w:r>
              <w:rPr>
                <w:spacing w:val="-2"/>
                <w:sz w:val="20"/>
              </w:rPr>
              <w:t xml:space="preserve"> </w:t>
            </w:r>
            <w:r>
              <w:rPr>
                <w:sz w:val="20"/>
              </w:rPr>
              <w:t>I</w:t>
            </w:r>
            <w:r>
              <w:rPr>
                <w:spacing w:val="-3"/>
                <w:sz w:val="20"/>
              </w:rPr>
              <w:t xml:space="preserve"> </w:t>
            </w:r>
            <w:r>
              <w:rPr>
                <w:sz w:val="20"/>
              </w:rPr>
              <w:t>asked</w:t>
            </w:r>
            <w:r>
              <w:rPr>
                <w:spacing w:val="-2"/>
                <w:sz w:val="20"/>
              </w:rPr>
              <w:t xml:space="preserve"> </w:t>
            </w:r>
            <w:r>
              <w:rPr>
                <w:sz w:val="20"/>
              </w:rPr>
              <w:t>one</w:t>
            </w:r>
            <w:r>
              <w:rPr>
                <w:spacing w:val="-4"/>
                <w:sz w:val="20"/>
              </w:rPr>
              <w:t xml:space="preserve"> </w:t>
            </w:r>
            <w:r>
              <w:rPr>
                <w:sz w:val="20"/>
              </w:rPr>
              <w:t>of</w:t>
            </w:r>
            <w:r>
              <w:rPr>
                <w:spacing w:val="-4"/>
                <w:sz w:val="20"/>
              </w:rPr>
              <w:t xml:space="preserve"> </w:t>
            </w:r>
            <w:r>
              <w:rPr>
                <w:sz w:val="20"/>
              </w:rPr>
              <w:t>my</w:t>
            </w:r>
            <w:r>
              <w:rPr>
                <w:spacing w:val="-2"/>
                <w:sz w:val="20"/>
              </w:rPr>
              <w:t xml:space="preserve"> </w:t>
            </w:r>
            <w:r>
              <w:rPr>
                <w:sz w:val="20"/>
              </w:rPr>
              <w:t>sober</w:t>
            </w:r>
            <w:r>
              <w:rPr>
                <w:spacing w:val="-3"/>
                <w:sz w:val="20"/>
              </w:rPr>
              <w:t xml:space="preserve"> </w:t>
            </w:r>
            <w:r>
              <w:rPr>
                <w:sz w:val="20"/>
              </w:rPr>
              <w:t>friends</w:t>
            </w:r>
            <w:r>
              <w:rPr>
                <w:spacing w:val="-4"/>
                <w:sz w:val="20"/>
              </w:rPr>
              <w:t xml:space="preserve"> </w:t>
            </w:r>
            <w:r>
              <w:rPr>
                <w:sz w:val="20"/>
              </w:rPr>
              <w:t>over,</w:t>
            </w:r>
            <w:r>
              <w:rPr>
                <w:spacing w:val="-2"/>
                <w:sz w:val="20"/>
              </w:rPr>
              <w:t xml:space="preserve"> </w:t>
            </w:r>
            <w:r>
              <w:rPr>
                <w:sz w:val="20"/>
              </w:rPr>
              <w:t>and</w:t>
            </w:r>
            <w:r>
              <w:rPr>
                <w:spacing w:val="-2"/>
                <w:sz w:val="20"/>
              </w:rPr>
              <w:t xml:space="preserve"> </w:t>
            </w:r>
            <w:r>
              <w:rPr>
                <w:sz w:val="20"/>
              </w:rPr>
              <w:t>we</w:t>
            </w:r>
            <w:r>
              <w:rPr>
                <w:spacing w:val="-1"/>
                <w:sz w:val="20"/>
              </w:rPr>
              <w:t xml:space="preserve"> </w:t>
            </w:r>
            <w:r>
              <w:rPr>
                <w:sz w:val="20"/>
              </w:rPr>
              <w:t>watched</w:t>
            </w:r>
            <w:r>
              <w:rPr>
                <w:spacing w:val="-2"/>
                <w:sz w:val="20"/>
              </w:rPr>
              <w:t xml:space="preserve"> </w:t>
            </w:r>
            <w:r>
              <w:rPr>
                <w:sz w:val="20"/>
              </w:rPr>
              <w:t>the</w:t>
            </w:r>
            <w:r>
              <w:rPr>
                <w:spacing w:val="-1"/>
                <w:sz w:val="20"/>
              </w:rPr>
              <w:t xml:space="preserve"> </w:t>
            </w:r>
            <w:r>
              <w:rPr>
                <w:sz w:val="20"/>
              </w:rPr>
              <w:t>game</w:t>
            </w:r>
            <w:r>
              <w:rPr>
                <w:spacing w:val="-4"/>
                <w:sz w:val="20"/>
              </w:rPr>
              <w:t xml:space="preserve"> </w:t>
            </w:r>
            <w:r>
              <w:rPr>
                <w:sz w:val="20"/>
              </w:rPr>
              <w:t>at</w:t>
            </w:r>
            <w:r>
              <w:rPr>
                <w:spacing w:val="-3"/>
                <w:sz w:val="20"/>
              </w:rPr>
              <w:t xml:space="preserve"> </w:t>
            </w:r>
            <w:r>
              <w:rPr>
                <w:sz w:val="20"/>
              </w:rPr>
              <w:t>my</w:t>
            </w:r>
            <w:r>
              <w:rPr>
                <w:spacing w:val="-2"/>
                <w:sz w:val="20"/>
              </w:rPr>
              <w:t xml:space="preserve"> </w:t>
            </w:r>
            <w:r>
              <w:rPr>
                <w:sz w:val="20"/>
              </w:rPr>
              <w:t xml:space="preserve">house. We didn’t talk about the </w:t>
            </w:r>
            <w:r>
              <w:rPr>
                <w:sz w:val="20"/>
              </w:rPr>
              <w:t>program; we just watched the game.</w:t>
            </w:r>
          </w:p>
          <w:p w14:paraId="3246540C" w14:textId="77777777" w:rsidR="00DB6E1F" w:rsidRDefault="00F666A6">
            <w:pPr>
              <w:pStyle w:val="TableParagraph"/>
              <w:spacing w:before="121"/>
              <w:rPr>
                <w:sz w:val="20"/>
              </w:rPr>
            </w:pPr>
            <w:r>
              <w:rPr>
                <w:b/>
                <w:sz w:val="20"/>
              </w:rPr>
              <w:t>Dan:</w:t>
            </w:r>
            <w:r>
              <w:rPr>
                <w:b/>
                <w:spacing w:val="-6"/>
                <w:sz w:val="20"/>
              </w:rPr>
              <w:t xml:space="preserve"> </w:t>
            </w:r>
            <w:r>
              <w:rPr>
                <w:sz w:val="20"/>
              </w:rPr>
              <w:t>You</w:t>
            </w:r>
            <w:r>
              <w:rPr>
                <w:spacing w:val="-4"/>
                <w:sz w:val="20"/>
              </w:rPr>
              <w:t xml:space="preserve"> </w:t>
            </w:r>
            <w:r>
              <w:rPr>
                <w:sz w:val="20"/>
              </w:rPr>
              <w:t>really</w:t>
            </w:r>
            <w:r>
              <w:rPr>
                <w:spacing w:val="-5"/>
                <w:sz w:val="20"/>
              </w:rPr>
              <w:t xml:space="preserve"> </w:t>
            </w:r>
            <w:r>
              <w:rPr>
                <w:sz w:val="20"/>
              </w:rPr>
              <w:t>worked</w:t>
            </w:r>
            <w:r>
              <w:rPr>
                <w:spacing w:val="-4"/>
                <w:sz w:val="20"/>
              </w:rPr>
              <w:t xml:space="preserve"> </w:t>
            </w:r>
            <w:r>
              <w:rPr>
                <w:sz w:val="20"/>
              </w:rPr>
              <w:t>that</w:t>
            </w:r>
            <w:r>
              <w:rPr>
                <w:spacing w:val="-6"/>
                <w:sz w:val="20"/>
              </w:rPr>
              <w:t xml:space="preserve"> </w:t>
            </w:r>
            <w:r>
              <w:rPr>
                <w:sz w:val="20"/>
              </w:rPr>
              <w:t>one</w:t>
            </w:r>
            <w:r>
              <w:rPr>
                <w:spacing w:val="-6"/>
                <w:sz w:val="20"/>
              </w:rPr>
              <w:t xml:space="preserve"> </w:t>
            </w:r>
            <w:r>
              <w:rPr>
                <w:sz w:val="20"/>
              </w:rPr>
              <w:t>out</w:t>
            </w:r>
            <w:r>
              <w:rPr>
                <w:spacing w:val="-5"/>
                <w:sz w:val="20"/>
              </w:rPr>
              <w:t xml:space="preserve"> </w:t>
            </w:r>
            <w:r>
              <w:rPr>
                <w:sz w:val="20"/>
              </w:rPr>
              <w:t>for</w:t>
            </w:r>
            <w:r>
              <w:rPr>
                <w:spacing w:val="-6"/>
                <w:sz w:val="20"/>
              </w:rPr>
              <w:t xml:space="preserve"> </w:t>
            </w:r>
            <w:r>
              <w:rPr>
                <w:sz w:val="20"/>
              </w:rPr>
              <w:t>yourself</w:t>
            </w:r>
            <w:r>
              <w:rPr>
                <w:spacing w:val="-6"/>
                <w:sz w:val="20"/>
              </w:rPr>
              <w:t xml:space="preserve"> </w:t>
            </w:r>
            <w:r>
              <w:rPr>
                <w:sz w:val="20"/>
              </w:rPr>
              <w:t>and</w:t>
            </w:r>
            <w:r>
              <w:rPr>
                <w:spacing w:val="-5"/>
                <w:sz w:val="20"/>
              </w:rPr>
              <w:t xml:space="preserve"> </w:t>
            </w:r>
            <w:r>
              <w:rPr>
                <w:sz w:val="20"/>
              </w:rPr>
              <w:t>didn’t</w:t>
            </w:r>
            <w:r>
              <w:rPr>
                <w:spacing w:val="-7"/>
                <w:sz w:val="20"/>
              </w:rPr>
              <w:t xml:space="preserve"> </w:t>
            </w:r>
            <w:r>
              <w:rPr>
                <w:sz w:val="20"/>
              </w:rPr>
              <w:t>let</w:t>
            </w:r>
            <w:r>
              <w:rPr>
                <w:spacing w:val="-5"/>
                <w:sz w:val="20"/>
              </w:rPr>
              <w:t xml:space="preserve"> </w:t>
            </w:r>
            <w:r>
              <w:rPr>
                <w:sz w:val="20"/>
              </w:rPr>
              <w:t>“Stinkin’</w:t>
            </w:r>
            <w:r>
              <w:rPr>
                <w:spacing w:val="-5"/>
                <w:sz w:val="20"/>
              </w:rPr>
              <w:t xml:space="preserve"> </w:t>
            </w:r>
            <w:r>
              <w:rPr>
                <w:sz w:val="20"/>
              </w:rPr>
              <w:t>Thinkin’”</w:t>
            </w:r>
            <w:r>
              <w:rPr>
                <w:spacing w:val="-4"/>
                <w:sz w:val="20"/>
              </w:rPr>
              <w:t xml:space="preserve"> </w:t>
            </w:r>
            <w:r>
              <w:rPr>
                <w:sz w:val="20"/>
              </w:rPr>
              <w:t>take</w:t>
            </w:r>
            <w:r>
              <w:rPr>
                <w:spacing w:val="-6"/>
                <w:sz w:val="20"/>
              </w:rPr>
              <w:t xml:space="preserve"> </w:t>
            </w:r>
            <w:r>
              <w:rPr>
                <w:sz w:val="20"/>
              </w:rPr>
              <w:t>over.</w:t>
            </w:r>
            <w:r>
              <w:rPr>
                <w:spacing w:val="-6"/>
                <w:sz w:val="20"/>
              </w:rPr>
              <w:t xml:space="preserve"> </w:t>
            </w:r>
            <w:r>
              <w:rPr>
                <w:sz w:val="20"/>
              </w:rPr>
              <w:t>Good</w:t>
            </w:r>
            <w:r>
              <w:rPr>
                <w:spacing w:val="-4"/>
                <w:sz w:val="20"/>
              </w:rPr>
              <w:t xml:space="preserve"> </w:t>
            </w:r>
            <w:r>
              <w:rPr>
                <w:sz w:val="20"/>
              </w:rPr>
              <w:t>for</w:t>
            </w:r>
            <w:r>
              <w:rPr>
                <w:spacing w:val="-6"/>
                <w:sz w:val="20"/>
              </w:rPr>
              <w:t xml:space="preserve"> </w:t>
            </w:r>
            <w:r>
              <w:rPr>
                <w:spacing w:val="-4"/>
                <w:sz w:val="20"/>
              </w:rPr>
              <w:t>you.</w:t>
            </w:r>
          </w:p>
          <w:p w14:paraId="4F132DB8" w14:textId="77777777" w:rsidR="00DB6E1F" w:rsidRDefault="00F666A6">
            <w:pPr>
              <w:pStyle w:val="TableParagraph"/>
              <w:spacing w:before="0"/>
              <w:rPr>
                <w:i/>
                <w:sz w:val="20"/>
              </w:rPr>
            </w:pPr>
            <w:r>
              <w:rPr>
                <w:i/>
                <w:spacing w:val="-2"/>
                <w:sz w:val="20"/>
              </w:rPr>
              <w:t>(Affirmation)</w:t>
            </w:r>
          </w:p>
          <w:p w14:paraId="2DCDD21F" w14:textId="77777777" w:rsidR="00DB6E1F" w:rsidRDefault="00F666A6">
            <w:pPr>
              <w:pStyle w:val="TableParagraph"/>
              <w:spacing w:before="119"/>
              <w:ind w:right="138"/>
              <w:rPr>
                <w:sz w:val="20"/>
              </w:rPr>
            </w:pPr>
            <w:r>
              <w:rPr>
                <w:sz w:val="20"/>
              </w:rPr>
              <w:t>At the end of the session, Dan summarizes Jordan’s successful approach to “doing something different” and asks</w:t>
            </w:r>
            <w:r>
              <w:rPr>
                <w:spacing w:val="-4"/>
                <w:sz w:val="20"/>
              </w:rPr>
              <w:t xml:space="preserve"> </w:t>
            </w:r>
            <w:r>
              <w:rPr>
                <w:sz w:val="20"/>
              </w:rPr>
              <w:t>Jordan</w:t>
            </w:r>
            <w:r>
              <w:rPr>
                <w:spacing w:val="-2"/>
                <w:sz w:val="20"/>
              </w:rPr>
              <w:t xml:space="preserve"> </w:t>
            </w:r>
            <w:r>
              <w:rPr>
                <w:sz w:val="20"/>
              </w:rPr>
              <w:t>how</w:t>
            </w:r>
            <w:r>
              <w:rPr>
                <w:spacing w:val="-4"/>
                <w:sz w:val="20"/>
              </w:rPr>
              <w:t xml:space="preserve"> </w:t>
            </w:r>
            <w:r>
              <w:rPr>
                <w:sz w:val="20"/>
              </w:rPr>
              <w:t>their</w:t>
            </w:r>
            <w:r>
              <w:rPr>
                <w:spacing w:val="-3"/>
                <w:sz w:val="20"/>
              </w:rPr>
              <w:t xml:space="preserve"> </w:t>
            </w:r>
            <w:r>
              <w:rPr>
                <w:sz w:val="20"/>
              </w:rPr>
              <w:t>conversation</w:t>
            </w:r>
            <w:r>
              <w:rPr>
                <w:spacing w:val="-2"/>
                <w:sz w:val="20"/>
              </w:rPr>
              <w:t xml:space="preserve"> </w:t>
            </w:r>
            <w:r>
              <w:rPr>
                <w:sz w:val="20"/>
              </w:rPr>
              <w:t>was</w:t>
            </w:r>
            <w:r>
              <w:rPr>
                <w:spacing w:val="-4"/>
                <w:sz w:val="20"/>
              </w:rPr>
              <w:t xml:space="preserve"> </w:t>
            </w:r>
            <w:r>
              <w:rPr>
                <w:sz w:val="20"/>
              </w:rPr>
              <w:t>for</w:t>
            </w:r>
            <w:r>
              <w:rPr>
                <w:spacing w:val="-3"/>
                <w:sz w:val="20"/>
              </w:rPr>
              <w:t xml:space="preserve"> </w:t>
            </w:r>
            <w:r>
              <w:rPr>
                <w:sz w:val="20"/>
              </w:rPr>
              <w:t>him.</w:t>
            </w:r>
            <w:r>
              <w:rPr>
                <w:spacing w:val="-1"/>
                <w:sz w:val="20"/>
              </w:rPr>
              <w:t xml:space="preserve"> </w:t>
            </w:r>
            <w:r>
              <w:rPr>
                <w:sz w:val="20"/>
              </w:rPr>
              <w:t>Jordan</w:t>
            </w:r>
            <w:r>
              <w:rPr>
                <w:spacing w:val="-3"/>
                <w:sz w:val="20"/>
              </w:rPr>
              <w:t xml:space="preserve"> </w:t>
            </w:r>
            <w:r>
              <w:rPr>
                <w:sz w:val="20"/>
              </w:rPr>
              <w:t>responds</w:t>
            </w:r>
            <w:r>
              <w:rPr>
                <w:spacing w:val="-4"/>
                <w:sz w:val="20"/>
              </w:rPr>
              <w:t xml:space="preserve"> </w:t>
            </w:r>
            <w:r>
              <w:rPr>
                <w:sz w:val="20"/>
              </w:rPr>
              <w:t>that</w:t>
            </w:r>
            <w:r>
              <w:rPr>
                <w:spacing w:val="-3"/>
                <w:sz w:val="20"/>
              </w:rPr>
              <w:t xml:space="preserve"> </w:t>
            </w:r>
            <w:r>
              <w:rPr>
                <w:sz w:val="20"/>
              </w:rPr>
              <w:t>it</w:t>
            </w:r>
            <w:r>
              <w:rPr>
                <w:spacing w:val="-3"/>
                <w:sz w:val="20"/>
              </w:rPr>
              <w:t xml:space="preserve"> </w:t>
            </w:r>
            <w:r>
              <w:rPr>
                <w:sz w:val="20"/>
              </w:rPr>
              <w:t>was</w:t>
            </w:r>
            <w:r>
              <w:rPr>
                <w:spacing w:val="-4"/>
                <w:sz w:val="20"/>
              </w:rPr>
              <w:t xml:space="preserve"> </w:t>
            </w:r>
            <w:r>
              <w:rPr>
                <w:sz w:val="20"/>
              </w:rPr>
              <w:t>very</w:t>
            </w:r>
            <w:r>
              <w:rPr>
                <w:spacing w:val="-2"/>
                <w:sz w:val="20"/>
              </w:rPr>
              <w:t xml:space="preserve"> </w:t>
            </w:r>
            <w:r>
              <w:rPr>
                <w:sz w:val="20"/>
              </w:rPr>
              <w:t>helpful</w:t>
            </w:r>
            <w:r>
              <w:rPr>
                <w:spacing w:val="-1"/>
                <w:sz w:val="20"/>
              </w:rPr>
              <w:t xml:space="preserve"> </w:t>
            </w:r>
            <w:r>
              <w:rPr>
                <w:sz w:val="20"/>
              </w:rPr>
              <w:t>that</w:t>
            </w:r>
            <w:r>
              <w:rPr>
                <w:spacing w:val="-3"/>
                <w:sz w:val="20"/>
              </w:rPr>
              <w:t xml:space="preserve"> </w:t>
            </w:r>
            <w:r>
              <w:rPr>
                <w:sz w:val="20"/>
              </w:rPr>
              <w:t>Dan</w:t>
            </w:r>
            <w:r>
              <w:rPr>
                <w:spacing w:val="-2"/>
                <w:sz w:val="20"/>
              </w:rPr>
              <w:t xml:space="preserve"> </w:t>
            </w:r>
            <w:r>
              <w:rPr>
                <w:sz w:val="20"/>
              </w:rPr>
              <w:t>didn’t</w:t>
            </w:r>
            <w:r>
              <w:rPr>
                <w:spacing w:val="-3"/>
                <w:sz w:val="20"/>
              </w:rPr>
              <w:t xml:space="preserve"> </w:t>
            </w:r>
            <w:r>
              <w:rPr>
                <w:sz w:val="20"/>
              </w:rPr>
              <w:t>lecture him, but rather asked him what he tho</w:t>
            </w:r>
            <w:r>
              <w:rPr>
                <w:sz w:val="20"/>
              </w:rPr>
              <w:t>ught. This helped him realize for himself that he is still working on his recovery, even if</w:t>
            </w:r>
            <w:r>
              <w:rPr>
                <w:spacing w:val="-2"/>
                <w:sz w:val="20"/>
              </w:rPr>
              <w:t xml:space="preserve"> </w:t>
            </w:r>
            <w:r>
              <w:rPr>
                <w:sz w:val="20"/>
              </w:rPr>
              <w:t>he</w:t>
            </w:r>
            <w:r>
              <w:rPr>
                <w:spacing w:val="-2"/>
                <w:sz w:val="20"/>
              </w:rPr>
              <w:t xml:space="preserve"> </w:t>
            </w:r>
            <w:r>
              <w:rPr>
                <w:sz w:val="20"/>
              </w:rPr>
              <w:t>doesn’t</w:t>
            </w:r>
            <w:r>
              <w:rPr>
                <w:spacing w:val="-1"/>
                <w:sz w:val="20"/>
              </w:rPr>
              <w:t xml:space="preserve"> </w:t>
            </w:r>
            <w:r>
              <w:rPr>
                <w:sz w:val="20"/>
              </w:rPr>
              <w:t>call</w:t>
            </w:r>
            <w:r>
              <w:rPr>
                <w:spacing w:val="-1"/>
                <w:sz w:val="20"/>
              </w:rPr>
              <w:t xml:space="preserve"> </w:t>
            </w:r>
            <w:r>
              <w:rPr>
                <w:sz w:val="20"/>
              </w:rPr>
              <w:t>his</w:t>
            </w:r>
            <w:r>
              <w:rPr>
                <w:spacing w:val="-2"/>
                <w:sz w:val="20"/>
              </w:rPr>
              <w:t xml:space="preserve"> </w:t>
            </w:r>
            <w:r>
              <w:rPr>
                <w:sz w:val="20"/>
              </w:rPr>
              <w:t>sponsor</w:t>
            </w:r>
            <w:r>
              <w:rPr>
                <w:spacing w:val="-1"/>
                <w:sz w:val="20"/>
              </w:rPr>
              <w:t xml:space="preserve"> </w:t>
            </w:r>
            <w:r>
              <w:rPr>
                <w:sz w:val="20"/>
              </w:rPr>
              <w:t>or</w:t>
            </w:r>
            <w:r>
              <w:rPr>
                <w:spacing w:val="-1"/>
                <w:sz w:val="20"/>
              </w:rPr>
              <w:t xml:space="preserve"> </w:t>
            </w:r>
            <w:r>
              <w:rPr>
                <w:sz w:val="20"/>
              </w:rPr>
              <w:t>go</w:t>
            </w:r>
            <w:r>
              <w:rPr>
                <w:spacing w:val="-1"/>
                <w:sz w:val="20"/>
              </w:rPr>
              <w:t xml:space="preserve"> </w:t>
            </w:r>
            <w:r>
              <w:rPr>
                <w:sz w:val="20"/>
              </w:rPr>
              <w:t>to</w:t>
            </w:r>
            <w:r>
              <w:rPr>
                <w:spacing w:val="-1"/>
                <w:sz w:val="20"/>
              </w:rPr>
              <w:t xml:space="preserve"> </w:t>
            </w:r>
            <w:r>
              <w:rPr>
                <w:sz w:val="20"/>
              </w:rPr>
              <w:t>a meeting.</w:t>
            </w:r>
            <w:r>
              <w:rPr>
                <w:spacing w:val="-1"/>
                <w:sz w:val="20"/>
              </w:rPr>
              <w:t xml:space="preserve"> </w:t>
            </w:r>
            <w:r>
              <w:rPr>
                <w:sz w:val="20"/>
              </w:rPr>
              <w:t>Jordan also</w:t>
            </w:r>
            <w:r>
              <w:rPr>
                <w:spacing w:val="-1"/>
                <w:sz w:val="20"/>
              </w:rPr>
              <w:t xml:space="preserve"> </w:t>
            </w:r>
            <w:r>
              <w:rPr>
                <w:sz w:val="20"/>
              </w:rPr>
              <w:t>mentioned that</w:t>
            </w:r>
            <w:r>
              <w:rPr>
                <w:spacing w:val="-1"/>
                <w:sz w:val="20"/>
              </w:rPr>
              <w:t xml:space="preserve"> </w:t>
            </w:r>
            <w:r>
              <w:rPr>
                <w:sz w:val="20"/>
              </w:rPr>
              <w:t>now</w:t>
            </w:r>
            <w:r>
              <w:rPr>
                <w:spacing w:val="-2"/>
                <w:sz w:val="20"/>
              </w:rPr>
              <w:t xml:space="preserve"> </w:t>
            </w:r>
            <w:r>
              <w:rPr>
                <w:sz w:val="20"/>
              </w:rPr>
              <w:t>he</w:t>
            </w:r>
            <w:r>
              <w:rPr>
                <w:spacing w:val="-2"/>
                <w:sz w:val="20"/>
              </w:rPr>
              <w:t xml:space="preserve"> </w:t>
            </w:r>
            <w:r>
              <w:rPr>
                <w:sz w:val="20"/>
              </w:rPr>
              <w:t>doesn’t</w:t>
            </w:r>
            <w:r>
              <w:rPr>
                <w:spacing w:val="-1"/>
                <w:sz w:val="20"/>
              </w:rPr>
              <w:t xml:space="preserve"> </w:t>
            </w:r>
            <w:r>
              <w:rPr>
                <w:sz w:val="20"/>
              </w:rPr>
              <w:t>feel like he is failing at recovery, so he thinks he will get back to his AA program.</w:t>
            </w:r>
          </w:p>
        </w:tc>
      </w:tr>
    </w:tbl>
    <w:p w14:paraId="2190A021" w14:textId="77777777" w:rsidR="00DB6E1F" w:rsidRDefault="00DB6E1F">
      <w:pPr>
        <w:pStyle w:val="BodyText"/>
        <w:spacing w:before="7"/>
        <w:rPr>
          <w:sz w:val="12"/>
        </w:rPr>
      </w:pPr>
    </w:p>
    <w:p w14:paraId="445BD1AD" w14:textId="77777777" w:rsidR="00DB6E1F" w:rsidRDefault="00F666A6">
      <w:pPr>
        <w:pStyle w:val="Heading4"/>
        <w:spacing w:before="47"/>
      </w:pPr>
      <w:bookmarkStart w:id="221" w:name="MI_and_RMC"/>
      <w:bookmarkEnd w:id="221"/>
      <w:r>
        <w:t>MI</w:t>
      </w:r>
      <w:r>
        <w:rPr>
          <w:spacing w:val="-5"/>
        </w:rPr>
        <w:t xml:space="preserve"> </w:t>
      </w:r>
      <w:r>
        <w:t>and</w:t>
      </w:r>
      <w:r>
        <w:rPr>
          <w:spacing w:val="-5"/>
        </w:rPr>
        <w:t xml:space="preserve"> RMC</w:t>
      </w:r>
    </w:p>
    <w:p w14:paraId="1187C2D3" w14:textId="77777777" w:rsidR="00DB6E1F" w:rsidRDefault="00F666A6">
      <w:pPr>
        <w:pStyle w:val="BodyText"/>
        <w:spacing w:before="83"/>
        <w:ind w:left="1439" w:right="1491"/>
      </w:pPr>
      <w:r>
        <w:t>RMC</w:t>
      </w:r>
      <w:r>
        <w:rPr>
          <w:spacing w:val="-2"/>
        </w:rPr>
        <w:t xml:space="preserve"> </w:t>
      </w:r>
      <w:r>
        <w:t>is</w:t>
      </w:r>
      <w:r>
        <w:rPr>
          <w:spacing w:val="-4"/>
        </w:rPr>
        <w:t xml:space="preserve"> </w:t>
      </w:r>
      <w:r>
        <w:t>a</w:t>
      </w:r>
      <w:r>
        <w:rPr>
          <w:spacing w:val="-2"/>
        </w:rPr>
        <w:t xml:space="preserve"> </w:t>
      </w:r>
      <w:r>
        <w:t>fairly</w:t>
      </w:r>
      <w:r>
        <w:rPr>
          <w:spacing w:val="-1"/>
        </w:rPr>
        <w:t xml:space="preserve"> </w:t>
      </w:r>
      <w:r>
        <w:t>new</w:t>
      </w:r>
      <w:r>
        <w:rPr>
          <w:spacing w:val="-1"/>
        </w:rPr>
        <w:t xml:space="preserve"> </w:t>
      </w:r>
      <w:r>
        <w:t>addiction</w:t>
      </w:r>
      <w:r>
        <w:rPr>
          <w:spacing w:val="-3"/>
        </w:rPr>
        <w:t xml:space="preserve"> </w:t>
      </w:r>
      <w:r>
        <w:t>treatment</w:t>
      </w:r>
      <w:r>
        <w:rPr>
          <w:spacing w:val="-4"/>
        </w:rPr>
        <w:t xml:space="preserve"> </w:t>
      </w:r>
      <w:r>
        <w:t>approach</w:t>
      </w:r>
      <w:r>
        <w:rPr>
          <w:spacing w:val="-5"/>
        </w:rPr>
        <w:t xml:space="preserve"> </w:t>
      </w:r>
      <w:r>
        <w:t>that</w:t>
      </w:r>
      <w:r>
        <w:rPr>
          <w:spacing w:val="-1"/>
        </w:rPr>
        <w:t xml:space="preserve"> </w:t>
      </w:r>
      <w:r>
        <w:t>uses</w:t>
      </w:r>
      <w:r>
        <w:rPr>
          <w:spacing w:val="-4"/>
        </w:rPr>
        <w:t xml:space="preserve"> </w:t>
      </w:r>
      <w:r>
        <w:t>motivational</w:t>
      </w:r>
      <w:r>
        <w:rPr>
          <w:spacing w:val="-2"/>
        </w:rPr>
        <w:t xml:space="preserve"> </w:t>
      </w:r>
      <w:r>
        <w:t>strategies;</w:t>
      </w:r>
      <w:r>
        <w:rPr>
          <w:spacing w:val="-1"/>
        </w:rPr>
        <w:t xml:space="preserve"> </w:t>
      </w:r>
      <w:r>
        <w:t>it</w:t>
      </w:r>
      <w:r>
        <w:rPr>
          <w:spacing w:val="-1"/>
        </w:rPr>
        <w:t xml:space="preserve"> </w:t>
      </w:r>
      <w:r>
        <w:t>is</w:t>
      </w:r>
      <w:r>
        <w:rPr>
          <w:spacing w:val="-4"/>
        </w:rPr>
        <w:t xml:space="preserve"> </w:t>
      </w:r>
      <w:r>
        <w:t>modeled</w:t>
      </w:r>
      <w:r>
        <w:rPr>
          <w:spacing w:val="-3"/>
        </w:rPr>
        <w:t xml:space="preserve"> </w:t>
      </w:r>
      <w:r>
        <w:t>after approaches</w:t>
      </w:r>
      <w:r>
        <w:rPr>
          <w:spacing w:val="-2"/>
        </w:rPr>
        <w:t xml:space="preserve"> </w:t>
      </w:r>
      <w:r>
        <w:t>used</w:t>
      </w:r>
      <w:r>
        <w:rPr>
          <w:spacing w:val="-3"/>
        </w:rPr>
        <w:t xml:space="preserve"> </w:t>
      </w:r>
      <w:r>
        <w:t>for</w:t>
      </w:r>
      <w:r>
        <w:rPr>
          <w:spacing w:val="-2"/>
        </w:rPr>
        <w:t xml:space="preserve"> </w:t>
      </w:r>
      <w:r>
        <w:t>staying</w:t>
      </w:r>
      <w:r>
        <w:rPr>
          <w:spacing w:val="-3"/>
        </w:rPr>
        <w:t xml:space="preserve"> </w:t>
      </w:r>
      <w:r>
        <w:t>connected</w:t>
      </w:r>
      <w:r>
        <w:rPr>
          <w:spacing w:val="-3"/>
        </w:rPr>
        <w:t xml:space="preserve"> </w:t>
      </w:r>
      <w:r>
        <w:t>to</w:t>
      </w:r>
      <w:r>
        <w:rPr>
          <w:spacing w:val="-1"/>
        </w:rPr>
        <w:t xml:space="preserve"> </w:t>
      </w:r>
      <w:r>
        <w:t>people</w:t>
      </w:r>
      <w:r>
        <w:rPr>
          <w:spacing w:val="-4"/>
        </w:rPr>
        <w:t xml:space="preserve"> </w:t>
      </w:r>
      <w:r>
        <w:t>with</w:t>
      </w:r>
      <w:r>
        <w:rPr>
          <w:spacing w:val="-5"/>
        </w:rPr>
        <w:t xml:space="preserve"> </w:t>
      </w:r>
      <w:r>
        <w:t>chronic</w:t>
      </w:r>
      <w:r>
        <w:rPr>
          <w:spacing w:val="-4"/>
        </w:rPr>
        <w:t xml:space="preserve"> </w:t>
      </w:r>
      <w:r>
        <w:t>medical</w:t>
      </w:r>
      <w:r>
        <w:rPr>
          <w:spacing w:val="-2"/>
        </w:rPr>
        <w:t xml:space="preserve"> </w:t>
      </w:r>
      <w:r>
        <w:t>illnesses</w:t>
      </w:r>
      <w:r>
        <w:rPr>
          <w:spacing w:val="-2"/>
        </w:rPr>
        <w:t xml:space="preserve"> </w:t>
      </w:r>
      <w:r>
        <w:t>like</w:t>
      </w:r>
      <w:r>
        <w:rPr>
          <w:spacing w:val="-1"/>
        </w:rPr>
        <w:t xml:space="preserve"> </w:t>
      </w:r>
      <w:r>
        <w:t>diabetes.</w:t>
      </w:r>
      <w:r>
        <w:rPr>
          <w:spacing w:val="-2"/>
        </w:rPr>
        <w:t xml:space="preserve"> </w:t>
      </w:r>
      <w:r>
        <w:t>RMC</w:t>
      </w:r>
      <w:r>
        <w:rPr>
          <w:spacing w:val="-2"/>
        </w:rPr>
        <w:t xml:space="preserve"> </w:t>
      </w:r>
      <w:r>
        <w:t>is</w:t>
      </w:r>
      <w:r>
        <w:rPr>
          <w:spacing w:val="-4"/>
        </w:rPr>
        <w:t xml:space="preserve"> </w:t>
      </w:r>
      <w:r>
        <w:t>a proactive</w:t>
      </w:r>
      <w:r>
        <w:rPr>
          <w:spacing w:val="-1"/>
        </w:rPr>
        <w:t xml:space="preserve"> </w:t>
      </w:r>
      <w:r>
        <w:t>strategy for</w:t>
      </w:r>
      <w:r>
        <w:rPr>
          <w:spacing w:val="-1"/>
        </w:rPr>
        <w:t xml:space="preserve"> </w:t>
      </w:r>
      <w:r>
        <w:t>monitoring a</w:t>
      </w:r>
      <w:r>
        <w:rPr>
          <w:spacing w:val="-1"/>
        </w:rPr>
        <w:t xml:space="preserve"> </w:t>
      </w:r>
      <w:r>
        <w:t>client’s progress in</w:t>
      </w:r>
      <w:r>
        <w:rPr>
          <w:spacing w:val="-2"/>
        </w:rPr>
        <w:t xml:space="preserve"> </w:t>
      </w:r>
      <w:r>
        <w:t>recovery after intensive SUD treatment</w:t>
      </w:r>
      <w:r>
        <w:rPr>
          <w:spacing w:val="-1"/>
        </w:rPr>
        <w:t xml:space="preserve"> </w:t>
      </w:r>
      <w:r>
        <w:t>and for intervening quickly if the client returns to substance use. RMC involves regular telephone calls (more frequently at first, then</w:t>
      </w:r>
      <w:r>
        <w:rPr>
          <w:spacing w:val="-3"/>
        </w:rPr>
        <w:t xml:space="preserve"> </w:t>
      </w:r>
      <w:r>
        <w:t>less frequently) to</w:t>
      </w:r>
      <w:r>
        <w:rPr>
          <w:spacing w:val="-1"/>
        </w:rPr>
        <w:t xml:space="preserve"> </w:t>
      </w:r>
      <w:r>
        <w:t>the client to find</w:t>
      </w:r>
      <w:r>
        <w:rPr>
          <w:spacing w:val="-3"/>
        </w:rPr>
        <w:t xml:space="preserve"> </w:t>
      </w:r>
      <w:r>
        <w:t>out how he</w:t>
      </w:r>
      <w:r>
        <w:rPr>
          <w:spacing w:val="-2"/>
        </w:rPr>
        <w:t xml:space="preserve"> </w:t>
      </w:r>
      <w:r>
        <w:t>or</w:t>
      </w:r>
      <w:r>
        <w:rPr>
          <w:spacing w:val="-2"/>
        </w:rPr>
        <w:t xml:space="preserve"> </w:t>
      </w:r>
      <w:r>
        <w:t>she is</w:t>
      </w:r>
      <w:r>
        <w:rPr>
          <w:spacing w:val="-5"/>
        </w:rPr>
        <w:t xml:space="preserve"> </w:t>
      </w:r>
      <w:r>
        <w:t>coping</w:t>
      </w:r>
      <w:r>
        <w:rPr>
          <w:spacing w:val="-1"/>
        </w:rPr>
        <w:t xml:space="preserve"> </w:t>
      </w:r>
      <w:r>
        <w:t>with</w:t>
      </w:r>
      <w:r>
        <w:rPr>
          <w:spacing w:val="-3"/>
        </w:rPr>
        <w:t xml:space="preserve"> </w:t>
      </w:r>
      <w:r>
        <w:t>recovery.</w:t>
      </w:r>
    </w:p>
    <w:p w14:paraId="2049DE7D" w14:textId="77777777" w:rsidR="00DB6E1F" w:rsidRDefault="00F666A6">
      <w:pPr>
        <w:pStyle w:val="BodyText"/>
        <w:spacing w:before="160"/>
        <w:ind w:left="1439"/>
      </w:pPr>
      <w:r>
        <w:t>RMC</w:t>
      </w:r>
      <w:r>
        <w:rPr>
          <w:spacing w:val="-6"/>
        </w:rPr>
        <w:t xml:space="preserve"> </w:t>
      </w:r>
      <w:r>
        <w:t>incorporates</w:t>
      </w:r>
      <w:r>
        <w:rPr>
          <w:spacing w:val="-6"/>
        </w:rPr>
        <w:t xml:space="preserve"> </w:t>
      </w:r>
      <w:r>
        <w:t>MI</w:t>
      </w:r>
      <w:r>
        <w:rPr>
          <w:spacing w:val="-7"/>
        </w:rPr>
        <w:t xml:space="preserve"> </w:t>
      </w:r>
      <w:r>
        <w:t>strategies</w:t>
      </w:r>
      <w:r>
        <w:rPr>
          <w:spacing w:val="-4"/>
        </w:rPr>
        <w:t xml:space="preserve"> </w:t>
      </w:r>
      <w:r>
        <w:t>to</w:t>
      </w:r>
      <w:r>
        <w:rPr>
          <w:spacing w:val="-4"/>
        </w:rPr>
        <w:t xml:space="preserve"> </w:t>
      </w:r>
      <w:r>
        <w:t>enh</w:t>
      </w:r>
      <w:r>
        <w:t>ance</w:t>
      </w:r>
      <w:r>
        <w:rPr>
          <w:spacing w:val="-6"/>
        </w:rPr>
        <w:t xml:space="preserve"> </w:t>
      </w:r>
      <w:r>
        <w:t>motivation</w:t>
      </w:r>
      <w:r>
        <w:rPr>
          <w:spacing w:val="-5"/>
        </w:rPr>
        <w:t xml:space="preserve"> </w:t>
      </w:r>
      <w:r>
        <w:t>to</w:t>
      </w:r>
      <w:r>
        <w:rPr>
          <w:spacing w:val="-3"/>
        </w:rPr>
        <w:t xml:space="preserve"> </w:t>
      </w:r>
      <w:r>
        <w:t>return</w:t>
      </w:r>
      <w:r>
        <w:rPr>
          <w:spacing w:val="-5"/>
        </w:rPr>
        <w:t xml:space="preserve"> </w:t>
      </w:r>
      <w:r>
        <w:t>to</w:t>
      </w:r>
      <w:r>
        <w:rPr>
          <w:spacing w:val="-5"/>
        </w:rPr>
        <w:t xml:space="preserve"> </w:t>
      </w:r>
      <w:r>
        <w:t>treatment</w:t>
      </w:r>
      <w:r>
        <w:rPr>
          <w:spacing w:val="-4"/>
        </w:rPr>
        <w:t xml:space="preserve"> </w:t>
      </w:r>
      <w:r>
        <w:t>if</w:t>
      </w:r>
      <w:r>
        <w:rPr>
          <w:spacing w:val="-7"/>
        </w:rPr>
        <w:t xml:space="preserve"> </w:t>
      </w:r>
      <w:r>
        <w:t>needed.</w:t>
      </w:r>
      <w:r>
        <w:rPr>
          <w:spacing w:val="-5"/>
        </w:rPr>
        <w:t xml:space="preserve"> </w:t>
      </w:r>
      <w:r>
        <w:t>Counselors</w:t>
      </w:r>
      <w:r>
        <w:rPr>
          <w:spacing w:val="-5"/>
        </w:rPr>
        <w:t xml:space="preserve"> or</w:t>
      </w:r>
    </w:p>
    <w:p w14:paraId="4CE91FFA" w14:textId="77777777" w:rsidR="00DB6E1F" w:rsidRDefault="00DB6E1F">
      <w:pPr>
        <w:sectPr w:rsidR="00DB6E1F">
          <w:pgSz w:w="12240" w:h="15840"/>
          <w:pgMar w:top="1200" w:right="0" w:bottom="780" w:left="0" w:header="763" w:footer="585" w:gutter="0"/>
          <w:cols w:space="720"/>
        </w:sectPr>
      </w:pPr>
    </w:p>
    <w:p w14:paraId="267C8700" w14:textId="77777777" w:rsidR="00DB6E1F" w:rsidRDefault="00DB6E1F">
      <w:pPr>
        <w:pStyle w:val="BodyText"/>
        <w:spacing w:before="8"/>
        <w:rPr>
          <w:sz w:val="14"/>
        </w:rPr>
      </w:pPr>
    </w:p>
    <w:p w14:paraId="1253C1ED" w14:textId="77777777" w:rsidR="00DB6E1F" w:rsidRDefault="00F666A6">
      <w:pPr>
        <w:pStyle w:val="BodyText"/>
        <w:spacing w:before="56"/>
        <w:ind w:left="1440" w:right="1444"/>
      </w:pPr>
      <w:r>
        <w:t>peer recovery support specialists can perform RMC. Telephone-based motivational interventions are efficacious in treating and preventing substance use behaviors (Jiang et al., 2</w:t>
      </w:r>
      <w:r>
        <w:t>017). RMC is an effective method of monitoring clients’ progress in recovery in the Action and Maintenance stages and intervening quickly to reengage clients into treatment after a substance use recurrence. It is linked to improved</w:t>
      </w:r>
      <w:r>
        <w:rPr>
          <w:spacing w:val="-4"/>
        </w:rPr>
        <w:t xml:space="preserve"> </w:t>
      </w:r>
      <w:r>
        <w:t>long-term</w:t>
      </w:r>
      <w:r>
        <w:rPr>
          <w:spacing w:val="-1"/>
        </w:rPr>
        <w:t xml:space="preserve"> </w:t>
      </w:r>
      <w:r>
        <w:t>substance</w:t>
      </w:r>
      <w:r>
        <w:rPr>
          <w:spacing w:val="-2"/>
        </w:rPr>
        <w:t xml:space="preserve"> </w:t>
      </w:r>
      <w:r>
        <w:t>use</w:t>
      </w:r>
      <w:r>
        <w:rPr>
          <w:spacing w:val="-5"/>
        </w:rPr>
        <w:t xml:space="preserve"> </w:t>
      </w:r>
      <w:r>
        <w:t>outcomes</w:t>
      </w:r>
      <w:r>
        <w:rPr>
          <w:spacing w:val="-5"/>
        </w:rPr>
        <w:t xml:space="preserve"> </w:t>
      </w:r>
      <w:r>
        <w:t>and</w:t>
      </w:r>
      <w:r>
        <w:rPr>
          <w:spacing w:val="-4"/>
        </w:rPr>
        <w:t xml:space="preserve"> </w:t>
      </w:r>
      <w:r>
        <w:t>increased</w:t>
      </w:r>
      <w:r>
        <w:rPr>
          <w:spacing w:val="-4"/>
        </w:rPr>
        <w:t xml:space="preserve"> </w:t>
      </w:r>
      <w:r>
        <w:t>participation</w:t>
      </w:r>
      <w:r>
        <w:rPr>
          <w:spacing w:val="-4"/>
        </w:rPr>
        <w:t xml:space="preserve"> </w:t>
      </w:r>
      <w:r>
        <w:t>in</w:t>
      </w:r>
      <w:r>
        <w:rPr>
          <w:spacing w:val="-6"/>
        </w:rPr>
        <w:t xml:space="preserve"> </w:t>
      </w:r>
      <w:r>
        <w:t>SUD</w:t>
      </w:r>
      <w:r>
        <w:rPr>
          <w:spacing w:val="-4"/>
        </w:rPr>
        <w:t xml:space="preserve"> </w:t>
      </w:r>
      <w:r>
        <w:t>treatment</w:t>
      </w:r>
      <w:r>
        <w:rPr>
          <w:spacing w:val="-4"/>
        </w:rPr>
        <w:t xml:space="preserve"> </w:t>
      </w:r>
      <w:r>
        <w:t>and</w:t>
      </w:r>
      <w:r>
        <w:rPr>
          <w:spacing w:val="-4"/>
        </w:rPr>
        <w:t xml:space="preserve"> </w:t>
      </w:r>
      <w:r>
        <w:t>recovery support services (Dennis &amp; Scott, 2012; Dennis, Scott, &amp; Laudet, 2014; Scott, Dennis, &amp; Lurigio, 2017).</w:t>
      </w:r>
    </w:p>
    <w:p w14:paraId="32435A0B" w14:textId="77777777" w:rsidR="00DB6E1F" w:rsidRDefault="00F666A6">
      <w:pPr>
        <w:pStyle w:val="Heading2"/>
        <w:spacing w:before="163"/>
      </w:pPr>
      <w:bookmarkStart w:id="222" w:name="Workforce_Development"/>
      <w:bookmarkStart w:id="223" w:name="_bookmark47"/>
      <w:bookmarkEnd w:id="222"/>
      <w:bookmarkEnd w:id="223"/>
      <w:r>
        <w:t>Workforce</w:t>
      </w:r>
      <w:r>
        <w:rPr>
          <w:spacing w:val="-2"/>
        </w:rPr>
        <w:t xml:space="preserve"> Development</w:t>
      </w:r>
    </w:p>
    <w:p w14:paraId="5CE233A2" w14:textId="77777777" w:rsidR="00DB6E1F" w:rsidRDefault="00F666A6">
      <w:pPr>
        <w:pStyle w:val="BodyText"/>
        <w:spacing w:before="153"/>
        <w:ind w:left="1440" w:right="1459"/>
      </w:pPr>
      <w:r>
        <w:t>MI is not only a counseling style but a conversational style that emphasizes guiding, rather than directing, clients towa</w:t>
      </w:r>
      <w:r>
        <w:t>rd changing substance use behaviors (Miller &amp; Rollnick, 2013). Depending on the type of treatment program, an organization might provide aspects of MI training to only a few counselors,</w:t>
      </w:r>
      <w:r>
        <w:rPr>
          <w:spacing w:val="-4"/>
        </w:rPr>
        <w:t xml:space="preserve"> </w:t>
      </w:r>
      <w:r>
        <w:t>the</w:t>
      </w:r>
      <w:r>
        <w:rPr>
          <w:spacing w:val="-1"/>
        </w:rPr>
        <w:t xml:space="preserve"> </w:t>
      </w:r>
      <w:r>
        <w:t>entire</w:t>
      </w:r>
      <w:r>
        <w:rPr>
          <w:spacing w:val="-4"/>
        </w:rPr>
        <w:t xml:space="preserve"> </w:t>
      </w:r>
      <w:r>
        <w:t>clinical</w:t>
      </w:r>
      <w:r>
        <w:rPr>
          <w:spacing w:val="-2"/>
        </w:rPr>
        <w:t xml:space="preserve"> </w:t>
      </w:r>
      <w:r>
        <w:t>staff,</w:t>
      </w:r>
      <w:r>
        <w:rPr>
          <w:spacing w:val="-4"/>
        </w:rPr>
        <w:t xml:space="preserve"> </w:t>
      </w:r>
      <w:r>
        <w:t>or</w:t>
      </w:r>
      <w:r>
        <w:rPr>
          <w:spacing w:val="-4"/>
        </w:rPr>
        <w:t xml:space="preserve"> </w:t>
      </w:r>
      <w:r>
        <w:t>all</w:t>
      </w:r>
      <w:r>
        <w:rPr>
          <w:spacing w:val="-2"/>
        </w:rPr>
        <w:t xml:space="preserve"> </w:t>
      </w:r>
      <w:r>
        <w:t>staff,</w:t>
      </w:r>
      <w:r>
        <w:rPr>
          <w:spacing w:val="-4"/>
        </w:rPr>
        <w:t xml:space="preserve"> </w:t>
      </w:r>
      <w:r>
        <w:t>including</w:t>
      </w:r>
      <w:r>
        <w:rPr>
          <w:spacing w:val="-3"/>
        </w:rPr>
        <w:t xml:space="preserve"> </w:t>
      </w:r>
      <w:r>
        <w:t>support</w:t>
      </w:r>
      <w:r>
        <w:rPr>
          <w:spacing w:val="-1"/>
        </w:rPr>
        <w:t xml:space="preserve"> </w:t>
      </w:r>
      <w:r>
        <w:t>staff</w:t>
      </w:r>
      <w:r>
        <w:rPr>
          <w:spacing w:val="-5"/>
        </w:rPr>
        <w:t xml:space="preserve"> </w:t>
      </w:r>
      <w:r>
        <w:t>and</w:t>
      </w:r>
      <w:r>
        <w:rPr>
          <w:spacing w:val="-3"/>
        </w:rPr>
        <w:t xml:space="preserve"> </w:t>
      </w:r>
      <w:r>
        <w:t>p</w:t>
      </w:r>
      <w:r>
        <w:t>eer</w:t>
      </w:r>
      <w:r>
        <w:rPr>
          <w:spacing w:val="-4"/>
        </w:rPr>
        <w:t xml:space="preserve"> </w:t>
      </w:r>
      <w:r>
        <w:t>providers.</w:t>
      </w:r>
      <w:r>
        <w:rPr>
          <w:spacing w:val="-3"/>
        </w:rPr>
        <w:t xml:space="preserve"> </w:t>
      </w:r>
      <w:r>
        <w:t xml:space="preserve">As increasingly more programs, including certified community behavioral health clinics (SAMHSA, 2016), adopt a client- centered treatment philosophy and MI as an evidence-based treatment, </w:t>
      </w:r>
      <w:r>
        <w:rPr>
          <w:b/>
        </w:rPr>
        <w:t>organizations should train all staff in the spirit of</w:t>
      </w:r>
      <w:r>
        <w:rPr>
          <w:b/>
        </w:rPr>
        <w:t xml:space="preserve"> MI. </w:t>
      </w:r>
      <w:r>
        <w:t>This means all personnel—from the first person the client encounters walking through the door to the staff working in the billing department—understand the importance of client autonomy and choice, listening, and guiding instead of lecturing or direct</w:t>
      </w:r>
      <w:r>
        <w:t>ing in creating a welcoming environment and engaging clients in the treatment process (Miller &amp; Rollnick, 2013).</w:t>
      </w:r>
    </w:p>
    <w:p w14:paraId="6CE3AD4F" w14:textId="77777777" w:rsidR="00DB6E1F" w:rsidRDefault="00DB6E1F">
      <w:pPr>
        <w:pStyle w:val="BodyText"/>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4810E9B9" w14:textId="77777777">
        <w:trPr>
          <w:trHeight w:val="609"/>
        </w:trPr>
        <w:tc>
          <w:tcPr>
            <w:tcW w:w="9350" w:type="dxa"/>
            <w:shd w:val="clear" w:color="auto" w:fill="E7E6E6"/>
          </w:tcPr>
          <w:p w14:paraId="757C9945" w14:textId="77777777" w:rsidR="00DB6E1F" w:rsidRDefault="00F666A6">
            <w:pPr>
              <w:pStyle w:val="TableParagraph"/>
              <w:rPr>
                <w:sz w:val="20"/>
              </w:rPr>
            </w:pPr>
            <w:r>
              <w:rPr>
                <w:sz w:val="20"/>
              </w:rPr>
              <w:t>“MI</w:t>
            </w:r>
            <w:r>
              <w:rPr>
                <w:spacing w:val="-2"/>
                <w:sz w:val="20"/>
              </w:rPr>
              <w:t xml:space="preserve"> </w:t>
            </w:r>
            <w:r>
              <w:rPr>
                <w:sz w:val="20"/>
              </w:rPr>
              <w:t>is</w:t>
            </w:r>
            <w:r>
              <w:rPr>
                <w:spacing w:val="-3"/>
                <w:sz w:val="20"/>
              </w:rPr>
              <w:t xml:space="preserve"> </w:t>
            </w:r>
            <w:r>
              <w:rPr>
                <w:sz w:val="20"/>
              </w:rPr>
              <w:t>a</w:t>
            </w:r>
            <w:r>
              <w:rPr>
                <w:spacing w:val="-2"/>
                <w:sz w:val="20"/>
              </w:rPr>
              <w:t xml:space="preserve"> </w:t>
            </w:r>
            <w:r>
              <w:rPr>
                <w:sz w:val="20"/>
              </w:rPr>
              <w:t>complex</w:t>
            </w:r>
            <w:r>
              <w:rPr>
                <w:spacing w:val="-2"/>
                <w:sz w:val="20"/>
              </w:rPr>
              <w:t xml:space="preserve"> </w:t>
            </w:r>
            <w:r>
              <w:rPr>
                <w:sz w:val="20"/>
              </w:rPr>
              <w:t>skill,</w:t>
            </w:r>
            <w:r>
              <w:rPr>
                <w:spacing w:val="-2"/>
                <w:sz w:val="20"/>
              </w:rPr>
              <w:t xml:space="preserve"> </w:t>
            </w:r>
            <w:r>
              <w:rPr>
                <w:sz w:val="20"/>
              </w:rPr>
              <w:t>like</w:t>
            </w:r>
            <w:r>
              <w:rPr>
                <w:spacing w:val="-3"/>
                <w:sz w:val="20"/>
              </w:rPr>
              <w:t xml:space="preserve"> </w:t>
            </w:r>
            <w:r>
              <w:rPr>
                <w:sz w:val="20"/>
              </w:rPr>
              <w:t>playing</w:t>
            </w:r>
            <w:r>
              <w:rPr>
                <w:spacing w:val="-2"/>
                <w:sz w:val="20"/>
              </w:rPr>
              <w:t xml:space="preserve"> </w:t>
            </w:r>
            <w:r>
              <w:rPr>
                <w:sz w:val="20"/>
              </w:rPr>
              <w:t>a</w:t>
            </w:r>
            <w:r>
              <w:rPr>
                <w:spacing w:val="-2"/>
                <w:sz w:val="20"/>
              </w:rPr>
              <w:t xml:space="preserve"> </w:t>
            </w:r>
            <w:r>
              <w:rPr>
                <w:sz w:val="20"/>
              </w:rPr>
              <w:t>musical</w:t>
            </w:r>
            <w:r>
              <w:rPr>
                <w:spacing w:val="-2"/>
                <w:sz w:val="20"/>
              </w:rPr>
              <w:t xml:space="preserve"> </w:t>
            </w:r>
            <w:r>
              <w:rPr>
                <w:sz w:val="20"/>
              </w:rPr>
              <w:t>instrument.</w:t>
            </w:r>
            <w:r>
              <w:rPr>
                <w:spacing w:val="-2"/>
                <w:sz w:val="20"/>
              </w:rPr>
              <w:t xml:space="preserve"> </w:t>
            </w:r>
            <w:r>
              <w:rPr>
                <w:sz w:val="20"/>
              </w:rPr>
              <w:t>Watching</w:t>
            </w:r>
            <w:r>
              <w:rPr>
                <w:spacing w:val="-2"/>
                <w:sz w:val="20"/>
              </w:rPr>
              <w:t xml:space="preserve"> </w:t>
            </w:r>
            <w:r>
              <w:rPr>
                <w:sz w:val="20"/>
              </w:rPr>
              <w:t>others</w:t>
            </w:r>
            <w:r>
              <w:rPr>
                <w:spacing w:val="-3"/>
                <w:sz w:val="20"/>
              </w:rPr>
              <w:t xml:space="preserve"> </w:t>
            </w:r>
            <w:r>
              <w:rPr>
                <w:sz w:val="20"/>
              </w:rPr>
              <w:t>play</w:t>
            </w:r>
            <w:r>
              <w:rPr>
                <w:spacing w:val="-2"/>
                <w:sz w:val="20"/>
              </w:rPr>
              <w:t xml:space="preserve"> </w:t>
            </w:r>
            <w:r>
              <w:rPr>
                <w:sz w:val="20"/>
              </w:rPr>
              <w:t>the</w:t>
            </w:r>
            <w:r>
              <w:rPr>
                <w:spacing w:val="-3"/>
                <w:sz w:val="20"/>
              </w:rPr>
              <w:t xml:space="preserve"> </w:t>
            </w:r>
            <w:r>
              <w:rPr>
                <w:sz w:val="20"/>
              </w:rPr>
              <w:t>piano</w:t>
            </w:r>
            <w:r>
              <w:rPr>
                <w:spacing w:val="-2"/>
                <w:sz w:val="20"/>
              </w:rPr>
              <w:t xml:space="preserve"> </w:t>
            </w:r>
            <w:r>
              <w:rPr>
                <w:sz w:val="20"/>
              </w:rPr>
              <w:t>or</w:t>
            </w:r>
            <w:r>
              <w:rPr>
                <w:spacing w:val="-2"/>
                <w:sz w:val="20"/>
              </w:rPr>
              <w:t xml:space="preserve"> </w:t>
            </w:r>
            <w:r>
              <w:rPr>
                <w:sz w:val="20"/>
              </w:rPr>
              <w:t>attending</w:t>
            </w:r>
            <w:r>
              <w:rPr>
                <w:spacing w:val="-2"/>
                <w:sz w:val="20"/>
              </w:rPr>
              <w:t xml:space="preserve"> </w:t>
            </w:r>
            <w:r>
              <w:rPr>
                <w:sz w:val="20"/>
              </w:rPr>
              <w:t>a</w:t>
            </w:r>
            <w:r>
              <w:rPr>
                <w:spacing w:val="-2"/>
                <w:sz w:val="20"/>
              </w:rPr>
              <w:t xml:space="preserve"> </w:t>
            </w:r>
            <w:r>
              <w:rPr>
                <w:sz w:val="20"/>
              </w:rPr>
              <w:t>2-day workshop is not likely in itsel</w:t>
            </w:r>
            <w:r>
              <w:rPr>
                <w:sz w:val="20"/>
              </w:rPr>
              <w:t>f to turn one into a competent pianist” (Miller &amp; Rollnick, 2014, p. 3).</w:t>
            </w:r>
          </w:p>
        </w:tc>
      </w:tr>
    </w:tbl>
    <w:p w14:paraId="4BE32936" w14:textId="77777777" w:rsidR="00DB6E1F" w:rsidRDefault="00F666A6">
      <w:pPr>
        <w:pStyle w:val="BodyText"/>
        <w:spacing w:before="160"/>
        <w:ind w:left="1440" w:right="1491" w:hanging="1"/>
      </w:pPr>
      <w:r>
        <w:t>MI</w:t>
      </w:r>
      <w:r>
        <w:rPr>
          <w:spacing w:val="-2"/>
        </w:rPr>
        <w:t xml:space="preserve"> </w:t>
      </w:r>
      <w:r>
        <w:t>has</w:t>
      </w:r>
      <w:r>
        <w:rPr>
          <w:spacing w:val="-2"/>
        </w:rPr>
        <w:t xml:space="preserve"> </w:t>
      </w:r>
      <w:r>
        <w:t>been</w:t>
      </w:r>
      <w:r>
        <w:rPr>
          <w:spacing w:val="-3"/>
        </w:rPr>
        <w:t xml:space="preserve"> </w:t>
      </w:r>
      <w:r>
        <w:t>widely</w:t>
      </w:r>
      <w:r>
        <w:rPr>
          <w:spacing w:val="-1"/>
        </w:rPr>
        <w:t xml:space="preserve"> </w:t>
      </w:r>
      <w:r>
        <w:t>disseminated</w:t>
      </w:r>
      <w:r>
        <w:rPr>
          <w:spacing w:val="-3"/>
        </w:rPr>
        <w:t xml:space="preserve"> </w:t>
      </w:r>
      <w:r>
        <w:t>as</w:t>
      </w:r>
      <w:r>
        <w:rPr>
          <w:spacing w:val="-2"/>
        </w:rPr>
        <w:t xml:space="preserve"> </w:t>
      </w:r>
      <w:r>
        <w:t>an</w:t>
      </w:r>
      <w:r>
        <w:rPr>
          <w:spacing w:val="-3"/>
        </w:rPr>
        <w:t xml:space="preserve"> </w:t>
      </w:r>
      <w:r>
        <w:t>evidence-based</w:t>
      </w:r>
      <w:r>
        <w:rPr>
          <w:spacing w:val="-3"/>
        </w:rPr>
        <w:t xml:space="preserve"> </w:t>
      </w:r>
      <w:r>
        <w:t>treatment,</w:t>
      </w:r>
      <w:r>
        <w:rPr>
          <w:spacing w:val="-2"/>
        </w:rPr>
        <w:t xml:space="preserve"> </w:t>
      </w:r>
      <w:r>
        <w:t>yet</w:t>
      </w:r>
      <w:r>
        <w:rPr>
          <w:spacing w:val="-2"/>
        </w:rPr>
        <w:t xml:space="preserve"> </w:t>
      </w:r>
      <w:r>
        <w:t>dissemination</w:t>
      </w:r>
      <w:r>
        <w:rPr>
          <w:spacing w:val="-3"/>
        </w:rPr>
        <w:t xml:space="preserve"> </w:t>
      </w:r>
      <w:r>
        <w:t>is</w:t>
      </w:r>
      <w:r>
        <w:rPr>
          <w:spacing w:val="-2"/>
        </w:rPr>
        <w:t xml:space="preserve"> </w:t>
      </w:r>
      <w:r>
        <w:t>not</w:t>
      </w:r>
      <w:r>
        <w:rPr>
          <w:spacing w:val="-4"/>
        </w:rPr>
        <w:t xml:space="preserve"> </w:t>
      </w:r>
      <w:r>
        <w:t>the</w:t>
      </w:r>
      <w:r>
        <w:rPr>
          <w:spacing w:val="-2"/>
        </w:rPr>
        <w:t xml:space="preserve"> </w:t>
      </w:r>
      <w:r>
        <w:t>same</w:t>
      </w:r>
      <w:r>
        <w:rPr>
          <w:spacing w:val="-1"/>
        </w:rPr>
        <w:t xml:space="preserve"> </w:t>
      </w:r>
      <w:r>
        <w:t>as implementation. Counselors lose their MI skills after a workshop if there is no supervision or coaching after training (Hall et al., 2015; Schwalbe, Oh, &amp; Zweben, 2014). The key to workforce development of clinical</w:t>
      </w:r>
      <w:r>
        <w:rPr>
          <w:spacing w:val="-2"/>
        </w:rPr>
        <w:t xml:space="preserve"> </w:t>
      </w:r>
      <w:r>
        <w:t>staff</w:t>
      </w:r>
      <w:r>
        <w:rPr>
          <w:spacing w:val="-2"/>
        </w:rPr>
        <w:t xml:space="preserve"> </w:t>
      </w:r>
      <w:r>
        <w:t>in</w:t>
      </w:r>
      <w:r>
        <w:rPr>
          <w:spacing w:val="-5"/>
        </w:rPr>
        <w:t xml:space="preserve"> </w:t>
      </w:r>
      <w:r>
        <w:t>MI</w:t>
      </w:r>
      <w:r>
        <w:rPr>
          <w:spacing w:val="-2"/>
        </w:rPr>
        <w:t xml:space="preserve"> </w:t>
      </w:r>
      <w:r>
        <w:t>is</w:t>
      </w:r>
      <w:r>
        <w:rPr>
          <w:spacing w:val="-4"/>
        </w:rPr>
        <w:t xml:space="preserve"> </w:t>
      </w:r>
      <w:r>
        <w:t>to</w:t>
      </w:r>
      <w:r>
        <w:rPr>
          <w:spacing w:val="-3"/>
        </w:rPr>
        <w:t xml:space="preserve"> </w:t>
      </w:r>
      <w:r>
        <w:t>move</w:t>
      </w:r>
      <w:r>
        <w:rPr>
          <w:spacing w:val="-1"/>
        </w:rPr>
        <w:t xml:space="preserve"> </w:t>
      </w:r>
      <w:r>
        <w:t>beyond</w:t>
      </w:r>
      <w:r>
        <w:rPr>
          <w:spacing w:val="-4"/>
        </w:rPr>
        <w:t xml:space="preserve"> </w:t>
      </w:r>
      <w:r>
        <w:t>1-</w:t>
      </w:r>
      <w:r>
        <w:rPr>
          <w:spacing w:val="-2"/>
        </w:rPr>
        <w:t xml:space="preserve"> </w:t>
      </w:r>
      <w:r>
        <w:t>or</w:t>
      </w:r>
      <w:r>
        <w:rPr>
          <w:spacing w:val="-4"/>
        </w:rPr>
        <w:t xml:space="preserve"> </w:t>
      </w:r>
      <w:r>
        <w:t>2-</w:t>
      </w:r>
      <w:r>
        <w:t>day</w:t>
      </w:r>
      <w:r>
        <w:rPr>
          <w:spacing w:val="-1"/>
        </w:rPr>
        <w:t xml:space="preserve"> </w:t>
      </w:r>
      <w:r>
        <w:t>workshops</w:t>
      </w:r>
      <w:r>
        <w:rPr>
          <w:spacing w:val="-2"/>
        </w:rPr>
        <w:t xml:space="preserve"> </w:t>
      </w:r>
      <w:r>
        <w:t>and</w:t>
      </w:r>
      <w:r>
        <w:rPr>
          <w:spacing w:val="-3"/>
        </w:rPr>
        <w:t xml:space="preserve"> </w:t>
      </w:r>
      <w:r>
        <w:t>integrate</w:t>
      </w:r>
      <w:r>
        <w:rPr>
          <w:spacing w:val="-4"/>
        </w:rPr>
        <w:t xml:space="preserve"> </w:t>
      </w:r>
      <w:r>
        <w:t>ongoing</w:t>
      </w:r>
      <w:r>
        <w:rPr>
          <w:spacing w:val="-3"/>
        </w:rPr>
        <w:t xml:space="preserve"> </w:t>
      </w:r>
      <w:r>
        <w:t>training,</w:t>
      </w:r>
      <w:r>
        <w:rPr>
          <w:spacing w:val="-2"/>
        </w:rPr>
        <w:t xml:space="preserve"> </w:t>
      </w:r>
      <w:r>
        <w:t>supervision, and coaching of clinical staff to maintain fidelity to MI-consistent counseling techniques.</w:t>
      </w:r>
    </w:p>
    <w:p w14:paraId="64B0CFA3" w14:textId="77777777" w:rsidR="00DB6E1F" w:rsidRDefault="00F666A6">
      <w:pPr>
        <w:pStyle w:val="BodyText"/>
        <w:spacing w:before="159"/>
        <w:ind w:left="1440" w:right="1491"/>
      </w:pPr>
      <w:r>
        <w:t>Another</w:t>
      </w:r>
      <w:r>
        <w:rPr>
          <w:spacing w:val="-2"/>
        </w:rPr>
        <w:t xml:space="preserve"> </w:t>
      </w:r>
      <w:r>
        <w:t>factor</w:t>
      </w:r>
      <w:r>
        <w:rPr>
          <w:spacing w:val="-2"/>
        </w:rPr>
        <w:t xml:space="preserve"> </w:t>
      </w:r>
      <w:r>
        <w:t>in</w:t>
      </w:r>
      <w:r>
        <w:rPr>
          <w:spacing w:val="-3"/>
        </w:rPr>
        <w:t xml:space="preserve"> </w:t>
      </w:r>
      <w:r>
        <w:t>whether</w:t>
      </w:r>
      <w:r>
        <w:rPr>
          <w:spacing w:val="-4"/>
        </w:rPr>
        <w:t xml:space="preserve"> </w:t>
      </w:r>
      <w:r>
        <w:t>a</w:t>
      </w:r>
      <w:r>
        <w:rPr>
          <w:spacing w:val="-2"/>
        </w:rPr>
        <w:t xml:space="preserve"> </w:t>
      </w:r>
      <w:r>
        <w:t>treatment</w:t>
      </w:r>
      <w:r>
        <w:rPr>
          <w:spacing w:val="-1"/>
        </w:rPr>
        <w:t xml:space="preserve"> </w:t>
      </w:r>
      <w:r>
        <w:t>program</w:t>
      </w:r>
      <w:r>
        <w:rPr>
          <w:spacing w:val="-3"/>
        </w:rPr>
        <w:t xml:space="preserve"> </w:t>
      </w:r>
      <w:r>
        <w:t>implements</w:t>
      </w:r>
      <w:r>
        <w:rPr>
          <w:spacing w:val="-4"/>
        </w:rPr>
        <w:t xml:space="preserve"> </w:t>
      </w:r>
      <w:r>
        <w:t>a</w:t>
      </w:r>
      <w:r>
        <w:rPr>
          <w:spacing w:val="-4"/>
        </w:rPr>
        <w:t xml:space="preserve"> </w:t>
      </w:r>
      <w:r>
        <w:t>motivational</w:t>
      </w:r>
      <w:r>
        <w:rPr>
          <w:spacing w:val="-5"/>
        </w:rPr>
        <w:t xml:space="preserve"> </w:t>
      </w:r>
      <w:r>
        <w:t>counseling</w:t>
      </w:r>
      <w:r>
        <w:rPr>
          <w:spacing w:val="-3"/>
        </w:rPr>
        <w:t xml:space="preserve"> </w:t>
      </w:r>
      <w:r>
        <w:t>approach</w:t>
      </w:r>
      <w:r>
        <w:rPr>
          <w:spacing w:val="-4"/>
        </w:rPr>
        <w:t xml:space="preserve"> </w:t>
      </w:r>
      <w:r>
        <w:t>is</w:t>
      </w:r>
      <w:r>
        <w:rPr>
          <w:spacing w:val="-4"/>
        </w:rPr>
        <w:t xml:space="preserve"> </w:t>
      </w:r>
      <w:r>
        <w:t>how closel</w:t>
      </w:r>
      <w:r>
        <w:t>y the organization’s mission and philosophy are aligned with the principles of motivational counseling. Counselors are more likely to adopt an MI counseling style when the organization’s philosophy is aligned with MI principles (Ager et al., 2010).</w:t>
      </w:r>
    </w:p>
    <w:p w14:paraId="6E1A83F1" w14:textId="77777777" w:rsidR="00DB6E1F" w:rsidRDefault="00F666A6">
      <w:pPr>
        <w:pStyle w:val="Heading3"/>
      </w:pPr>
      <w:bookmarkStart w:id="224" w:name="Training"/>
      <w:bookmarkEnd w:id="224"/>
      <w:r>
        <w:rPr>
          <w:spacing w:val="-2"/>
        </w:rPr>
        <w:t>Trainin</w:t>
      </w:r>
      <w:r>
        <w:rPr>
          <w:spacing w:val="-2"/>
        </w:rPr>
        <w:t>g</w:t>
      </w:r>
    </w:p>
    <w:p w14:paraId="0A44ABB1" w14:textId="77777777" w:rsidR="00DB6E1F" w:rsidRDefault="00F666A6">
      <w:pPr>
        <w:pStyle w:val="BodyText"/>
        <w:spacing w:before="143"/>
        <w:ind w:left="1440" w:right="1491"/>
      </w:pPr>
      <w:r>
        <w:t>MI is an integrated and comprehensive set of listening and interviewing skills (Miller &amp; Rollnick, 2013). For</w:t>
      </w:r>
      <w:r>
        <w:rPr>
          <w:spacing w:val="-3"/>
        </w:rPr>
        <w:t xml:space="preserve"> </w:t>
      </w:r>
      <w:r>
        <w:t>counselors</w:t>
      </w:r>
      <w:r>
        <w:rPr>
          <w:spacing w:val="-3"/>
        </w:rPr>
        <w:t xml:space="preserve"> </w:t>
      </w:r>
      <w:r>
        <w:t>to</w:t>
      </w:r>
      <w:r>
        <w:rPr>
          <w:spacing w:val="-2"/>
        </w:rPr>
        <w:t xml:space="preserve"> </w:t>
      </w:r>
      <w:r>
        <w:t>learn</w:t>
      </w:r>
      <w:r>
        <w:rPr>
          <w:spacing w:val="-4"/>
        </w:rPr>
        <w:t xml:space="preserve"> </w:t>
      </w:r>
      <w:r>
        <w:t>these</w:t>
      </w:r>
      <w:r>
        <w:rPr>
          <w:spacing w:val="-3"/>
        </w:rPr>
        <w:t xml:space="preserve"> </w:t>
      </w:r>
      <w:r>
        <w:t>skills</w:t>
      </w:r>
      <w:r>
        <w:rPr>
          <w:spacing w:val="-5"/>
        </w:rPr>
        <w:t xml:space="preserve"> </w:t>
      </w:r>
      <w:r>
        <w:t>and</w:t>
      </w:r>
      <w:r>
        <w:rPr>
          <w:spacing w:val="-4"/>
        </w:rPr>
        <w:t xml:space="preserve"> </w:t>
      </w:r>
      <w:r>
        <w:t>consistently</w:t>
      </w:r>
      <w:r>
        <w:rPr>
          <w:spacing w:val="-2"/>
        </w:rPr>
        <w:t xml:space="preserve"> </w:t>
      </w:r>
      <w:r>
        <w:t>integrate</w:t>
      </w:r>
      <w:r>
        <w:rPr>
          <w:spacing w:val="-5"/>
        </w:rPr>
        <w:t xml:space="preserve"> </w:t>
      </w:r>
      <w:r>
        <w:t>them</w:t>
      </w:r>
      <w:r>
        <w:rPr>
          <w:spacing w:val="-2"/>
        </w:rPr>
        <w:t xml:space="preserve"> </w:t>
      </w:r>
      <w:r>
        <w:t>into</w:t>
      </w:r>
      <w:r>
        <w:rPr>
          <w:spacing w:val="-4"/>
        </w:rPr>
        <w:t xml:space="preserve"> </w:t>
      </w:r>
      <w:r>
        <w:t>everyday</w:t>
      </w:r>
      <w:r>
        <w:rPr>
          <w:spacing w:val="-5"/>
        </w:rPr>
        <w:t xml:space="preserve"> </w:t>
      </w:r>
      <w:r>
        <w:t>practice,</w:t>
      </w:r>
      <w:r>
        <w:rPr>
          <w:spacing w:val="-1"/>
        </w:rPr>
        <w:t xml:space="preserve"> </w:t>
      </w:r>
      <w:r>
        <w:t>staff</w:t>
      </w:r>
      <w:r>
        <w:rPr>
          <w:spacing w:val="-4"/>
        </w:rPr>
        <w:t xml:space="preserve"> </w:t>
      </w:r>
      <w:r>
        <w:t>training and learning tasks should include (Miller &amp; Rollnick, 2013):</w:t>
      </w:r>
    </w:p>
    <w:p w14:paraId="077B5196" w14:textId="77777777" w:rsidR="00DB6E1F" w:rsidRDefault="00F666A6">
      <w:pPr>
        <w:pStyle w:val="ListParagraph"/>
        <w:numPr>
          <w:ilvl w:val="0"/>
          <w:numId w:val="92"/>
        </w:numPr>
        <w:tabs>
          <w:tab w:val="left" w:pos="1799"/>
          <w:tab w:val="left" w:pos="1800"/>
        </w:tabs>
        <w:spacing w:before="61"/>
        <w:ind w:left="1799"/>
        <w:rPr>
          <w:rFonts w:ascii="Symbol" w:hAnsi="Symbol"/>
        </w:rPr>
      </w:pPr>
      <w:r>
        <w:t>Understanding</w:t>
      </w:r>
      <w:r>
        <w:rPr>
          <w:spacing w:val="-5"/>
        </w:rPr>
        <w:t xml:space="preserve"> </w:t>
      </w:r>
      <w:r>
        <w:t>the</w:t>
      </w:r>
      <w:r>
        <w:rPr>
          <w:spacing w:val="-2"/>
        </w:rPr>
        <w:t xml:space="preserve"> </w:t>
      </w:r>
      <w:r>
        <w:t>spirt</w:t>
      </w:r>
      <w:r>
        <w:rPr>
          <w:spacing w:val="-5"/>
        </w:rPr>
        <w:t xml:space="preserve"> </w:t>
      </w:r>
      <w:r>
        <w:t>of</w:t>
      </w:r>
      <w:r>
        <w:rPr>
          <w:spacing w:val="-7"/>
        </w:rPr>
        <w:t xml:space="preserve"> </w:t>
      </w:r>
      <w:r>
        <w:rPr>
          <w:spacing w:val="-5"/>
        </w:rPr>
        <w:t>MI.</w:t>
      </w:r>
    </w:p>
    <w:p w14:paraId="20F5A862" w14:textId="77777777" w:rsidR="00DB6E1F" w:rsidRDefault="00F666A6">
      <w:pPr>
        <w:pStyle w:val="ListParagraph"/>
        <w:numPr>
          <w:ilvl w:val="0"/>
          <w:numId w:val="92"/>
        </w:numPr>
        <w:tabs>
          <w:tab w:val="left" w:pos="1800"/>
          <w:tab w:val="left" w:pos="1801"/>
        </w:tabs>
        <w:spacing w:before="58"/>
        <w:ind w:left="1800"/>
        <w:rPr>
          <w:rFonts w:ascii="Symbol" w:hAnsi="Symbol"/>
        </w:rPr>
      </w:pPr>
      <w:r>
        <w:t>Developing</w:t>
      </w:r>
      <w:r>
        <w:rPr>
          <w:spacing w:val="-5"/>
        </w:rPr>
        <w:t xml:space="preserve"> </w:t>
      </w:r>
      <w:r>
        <w:t>skill</w:t>
      </w:r>
      <w:r>
        <w:rPr>
          <w:spacing w:val="-3"/>
        </w:rPr>
        <w:t xml:space="preserve"> </w:t>
      </w:r>
      <w:r>
        <w:t>in</w:t>
      </w:r>
      <w:r>
        <w:rPr>
          <w:spacing w:val="-4"/>
        </w:rPr>
        <w:t xml:space="preserve"> OARS.</w:t>
      </w:r>
    </w:p>
    <w:p w14:paraId="0B49769F" w14:textId="77777777" w:rsidR="00DB6E1F" w:rsidRDefault="00F666A6">
      <w:pPr>
        <w:pStyle w:val="ListParagraph"/>
        <w:numPr>
          <w:ilvl w:val="0"/>
          <w:numId w:val="92"/>
        </w:numPr>
        <w:tabs>
          <w:tab w:val="left" w:pos="1800"/>
          <w:tab w:val="left" w:pos="1801"/>
        </w:tabs>
        <w:spacing w:before="61"/>
        <w:ind w:left="1800"/>
        <w:rPr>
          <w:rFonts w:ascii="Symbol" w:hAnsi="Symbol"/>
        </w:rPr>
      </w:pPr>
      <w:r>
        <w:t>Identifying</w:t>
      </w:r>
      <w:r>
        <w:rPr>
          <w:spacing w:val="-7"/>
        </w:rPr>
        <w:t xml:space="preserve"> </w:t>
      </w:r>
      <w:r>
        <w:t>change</w:t>
      </w:r>
      <w:r>
        <w:rPr>
          <w:spacing w:val="-4"/>
        </w:rPr>
        <w:t xml:space="preserve"> </w:t>
      </w:r>
      <w:r>
        <w:rPr>
          <w:spacing w:val="-2"/>
        </w:rPr>
        <w:t>goals.</w:t>
      </w:r>
    </w:p>
    <w:p w14:paraId="1C585C06" w14:textId="77777777" w:rsidR="00DB6E1F" w:rsidRDefault="00F666A6">
      <w:pPr>
        <w:pStyle w:val="ListParagraph"/>
        <w:numPr>
          <w:ilvl w:val="0"/>
          <w:numId w:val="92"/>
        </w:numPr>
        <w:tabs>
          <w:tab w:val="left" w:pos="1800"/>
          <w:tab w:val="left" w:pos="1801"/>
        </w:tabs>
        <w:ind w:left="1800"/>
        <w:rPr>
          <w:rFonts w:ascii="Symbol" w:hAnsi="Symbol"/>
        </w:rPr>
      </w:pPr>
      <w:r>
        <w:t>Exchanging</w:t>
      </w:r>
      <w:r>
        <w:rPr>
          <w:spacing w:val="-9"/>
        </w:rPr>
        <w:t xml:space="preserve"> </w:t>
      </w:r>
      <w:r>
        <w:t>information</w:t>
      </w:r>
      <w:r>
        <w:rPr>
          <w:spacing w:val="-7"/>
        </w:rPr>
        <w:t xml:space="preserve"> </w:t>
      </w:r>
      <w:r>
        <w:t>(i.e.,</w:t>
      </w:r>
      <w:r>
        <w:rPr>
          <w:spacing w:val="-6"/>
        </w:rPr>
        <w:t xml:space="preserve"> </w:t>
      </w:r>
      <w:r>
        <w:t>Elicit-Provide-Elicit</w:t>
      </w:r>
      <w:r>
        <w:rPr>
          <w:spacing w:val="-6"/>
        </w:rPr>
        <w:t xml:space="preserve"> </w:t>
      </w:r>
      <w:r>
        <w:t>[EPE])</w:t>
      </w:r>
      <w:r>
        <w:rPr>
          <w:spacing w:val="-7"/>
        </w:rPr>
        <w:t xml:space="preserve"> </w:t>
      </w:r>
      <w:r>
        <w:t>and</w:t>
      </w:r>
      <w:r>
        <w:rPr>
          <w:spacing w:val="-7"/>
        </w:rPr>
        <w:t xml:space="preserve"> </w:t>
      </w:r>
      <w:r>
        <w:t>giving</w:t>
      </w:r>
      <w:r>
        <w:rPr>
          <w:spacing w:val="-6"/>
        </w:rPr>
        <w:t xml:space="preserve"> </w:t>
      </w:r>
      <w:r>
        <w:t>advice</w:t>
      </w:r>
      <w:r>
        <w:rPr>
          <w:spacing w:val="-5"/>
        </w:rPr>
        <w:t xml:space="preserve"> </w:t>
      </w:r>
      <w:r>
        <w:rPr>
          <w:spacing w:val="-2"/>
        </w:rPr>
        <w:t>skillfully.</w:t>
      </w:r>
    </w:p>
    <w:p w14:paraId="04CF16BE" w14:textId="77777777" w:rsidR="00DB6E1F" w:rsidRDefault="00F666A6">
      <w:pPr>
        <w:pStyle w:val="ListParagraph"/>
        <w:numPr>
          <w:ilvl w:val="0"/>
          <w:numId w:val="92"/>
        </w:numPr>
        <w:tabs>
          <w:tab w:val="left" w:pos="1800"/>
          <w:tab w:val="left" w:pos="1801"/>
        </w:tabs>
        <w:spacing w:before="61"/>
        <w:ind w:left="1800"/>
        <w:rPr>
          <w:rFonts w:ascii="Symbol" w:hAnsi="Symbol"/>
        </w:rPr>
      </w:pPr>
      <w:r>
        <w:t>Recognizing</w:t>
      </w:r>
      <w:r>
        <w:rPr>
          <w:spacing w:val="-5"/>
        </w:rPr>
        <w:t xml:space="preserve"> </w:t>
      </w:r>
      <w:r>
        <w:t>change</w:t>
      </w:r>
      <w:r>
        <w:rPr>
          <w:spacing w:val="-3"/>
        </w:rPr>
        <w:t xml:space="preserve"> </w:t>
      </w:r>
      <w:r>
        <w:t>talk</w:t>
      </w:r>
      <w:r>
        <w:rPr>
          <w:spacing w:val="-4"/>
        </w:rPr>
        <w:t xml:space="preserve"> </w:t>
      </w:r>
      <w:r>
        <w:t>and</w:t>
      </w:r>
      <w:r>
        <w:rPr>
          <w:spacing w:val="-5"/>
        </w:rPr>
        <w:t xml:space="preserve"> </w:t>
      </w:r>
      <w:r>
        <w:t>sustain</w:t>
      </w:r>
      <w:r>
        <w:rPr>
          <w:spacing w:val="-5"/>
        </w:rPr>
        <w:t xml:space="preserve"> </w:t>
      </w:r>
      <w:r>
        <w:rPr>
          <w:spacing w:val="-4"/>
        </w:rPr>
        <w:t>talk.</w:t>
      </w:r>
    </w:p>
    <w:p w14:paraId="17A83238" w14:textId="77777777" w:rsidR="00DB6E1F" w:rsidRDefault="00F666A6">
      <w:pPr>
        <w:pStyle w:val="ListParagraph"/>
        <w:numPr>
          <w:ilvl w:val="0"/>
          <w:numId w:val="92"/>
        </w:numPr>
        <w:tabs>
          <w:tab w:val="left" w:pos="1800"/>
          <w:tab w:val="left" w:pos="1801"/>
        </w:tabs>
        <w:spacing w:before="58"/>
        <w:ind w:left="1800"/>
        <w:rPr>
          <w:rFonts w:ascii="Symbol" w:hAnsi="Symbol"/>
        </w:rPr>
      </w:pPr>
      <w:r>
        <w:t>Evoking</w:t>
      </w:r>
      <w:r>
        <w:rPr>
          <w:spacing w:val="-6"/>
        </w:rPr>
        <w:t xml:space="preserve"> </w:t>
      </w:r>
      <w:r>
        <w:t>change</w:t>
      </w:r>
      <w:r>
        <w:rPr>
          <w:spacing w:val="-5"/>
        </w:rPr>
        <w:t xml:space="preserve"> </w:t>
      </w:r>
      <w:r>
        <w:rPr>
          <w:spacing w:val="-4"/>
        </w:rPr>
        <w:t>talk.</w:t>
      </w:r>
    </w:p>
    <w:p w14:paraId="2A9B54DA" w14:textId="77777777" w:rsidR="00DB6E1F" w:rsidRDefault="00F666A6">
      <w:pPr>
        <w:pStyle w:val="ListParagraph"/>
        <w:numPr>
          <w:ilvl w:val="0"/>
          <w:numId w:val="92"/>
        </w:numPr>
        <w:tabs>
          <w:tab w:val="left" w:pos="1800"/>
          <w:tab w:val="left" w:pos="1801"/>
        </w:tabs>
        <w:ind w:left="1800"/>
        <w:rPr>
          <w:rFonts w:ascii="Symbol" w:hAnsi="Symbol"/>
        </w:rPr>
      </w:pPr>
      <w:r>
        <w:t>Strengthening</w:t>
      </w:r>
      <w:r>
        <w:rPr>
          <w:spacing w:val="-7"/>
        </w:rPr>
        <w:t xml:space="preserve"> </w:t>
      </w:r>
      <w:r>
        <w:t>change</w:t>
      </w:r>
      <w:r>
        <w:rPr>
          <w:spacing w:val="-5"/>
        </w:rPr>
        <w:t xml:space="preserve"> </w:t>
      </w:r>
      <w:r>
        <w:rPr>
          <w:spacing w:val="-4"/>
        </w:rPr>
        <w:t>talk.</w:t>
      </w:r>
    </w:p>
    <w:p w14:paraId="2413061D" w14:textId="77777777" w:rsidR="00DB6E1F" w:rsidRDefault="00F666A6">
      <w:pPr>
        <w:pStyle w:val="ListParagraph"/>
        <w:numPr>
          <w:ilvl w:val="0"/>
          <w:numId w:val="92"/>
        </w:numPr>
        <w:tabs>
          <w:tab w:val="left" w:pos="1800"/>
          <w:tab w:val="left" w:pos="1801"/>
        </w:tabs>
        <w:spacing w:before="61"/>
        <w:ind w:left="1800"/>
        <w:rPr>
          <w:rFonts w:ascii="Symbol" w:hAnsi="Symbol"/>
        </w:rPr>
      </w:pPr>
      <w:r>
        <w:t>Responding</w:t>
      </w:r>
      <w:r>
        <w:rPr>
          <w:spacing w:val="-8"/>
        </w:rPr>
        <w:t xml:space="preserve"> </w:t>
      </w:r>
      <w:r>
        <w:t>skillfully</w:t>
      </w:r>
      <w:r>
        <w:rPr>
          <w:spacing w:val="-6"/>
        </w:rPr>
        <w:t xml:space="preserve"> </w:t>
      </w:r>
      <w:r>
        <w:t>to</w:t>
      </w:r>
      <w:r>
        <w:rPr>
          <w:spacing w:val="-4"/>
        </w:rPr>
        <w:t xml:space="preserve"> </w:t>
      </w:r>
      <w:r>
        <w:t>sustain</w:t>
      </w:r>
      <w:r>
        <w:rPr>
          <w:spacing w:val="-6"/>
        </w:rPr>
        <w:t xml:space="preserve"> </w:t>
      </w:r>
      <w:r>
        <w:t>talk</w:t>
      </w:r>
      <w:r>
        <w:rPr>
          <w:spacing w:val="-4"/>
        </w:rPr>
        <w:t xml:space="preserve"> </w:t>
      </w:r>
      <w:r>
        <w:t>and</w:t>
      </w:r>
      <w:r>
        <w:rPr>
          <w:spacing w:val="-7"/>
        </w:rPr>
        <w:t xml:space="preserve"> </w:t>
      </w:r>
      <w:r>
        <w:t>counselor‒client</w:t>
      </w:r>
      <w:r>
        <w:rPr>
          <w:spacing w:val="-4"/>
        </w:rPr>
        <w:t xml:space="preserve"> </w:t>
      </w:r>
      <w:r>
        <w:rPr>
          <w:spacing w:val="-2"/>
        </w:rPr>
        <w:t>discord.</w:t>
      </w:r>
    </w:p>
    <w:p w14:paraId="08DE54FD" w14:textId="77777777" w:rsidR="00DB6E1F" w:rsidRDefault="00DB6E1F">
      <w:pPr>
        <w:rPr>
          <w:rFonts w:ascii="Symbol" w:hAnsi="Symbol"/>
        </w:rPr>
        <w:sectPr w:rsidR="00DB6E1F">
          <w:pgSz w:w="12240" w:h="15840"/>
          <w:pgMar w:top="1200" w:right="0" w:bottom="780" w:left="0" w:header="763" w:footer="585" w:gutter="0"/>
          <w:cols w:space="720"/>
        </w:sectPr>
      </w:pPr>
    </w:p>
    <w:p w14:paraId="546F2834" w14:textId="77777777" w:rsidR="00DB6E1F" w:rsidRDefault="00DB6E1F">
      <w:pPr>
        <w:pStyle w:val="BodyText"/>
        <w:rPr>
          <w:sz w:val="11"/>
        </w:rPr>
      </w:pPr>
    </w:p>
    <w:p w14:paraId="476638DE" w14:textId="77777777" w:rsidR="00DB6E1F" w:rsidRDefault="00F666A6">
      <w:pPr>
        <w:pStyle w:val="ListParagraph"/>
        <w:numPr>
          <w:ilvl w:val="0"/>
          <w:numId w:val="92"/>
        </w:numPr>
        <w:tabs>
          <w:tab w:val="left" w:pos="1800"/>
          <w:tab w:val="left" w:pos="1801"/>
        </w:tabs>
        <w:spacing w:before="101"/>
        <w:ind w:left="1800"/>
        <w:rPr>
          <w:rFonts w:ascii="Symbol" w:hAnsi="Symbol"/>
        </w:rPr>
      </w:pPr>
      <w:r>
        <w:t>Developing</w:t>
      </w:r>
      <w:r>
        <w:rPr>
          <w:spacing w:val="-5"/>
        </w:rPr>
        <w:t xml:space="preserve"> </w:t>
      </w:r>
      <w:r>
        <w:t>hope</w:t>
      </w:r>
      <w:r>
        <w:rPr>
          <w:spacing w:val="-3"/>
        </w:rPr>
        <w:t xml:space="preserve"> </w:t>
      </w:r>
      <w:r>
        <w:t>and</w:t>
      </w:r>
      <w:r>
        <w:rPr>
          <w:spacing w:val="-6"/>
        </w:rPr>
        <w:t xml:space="preserve"> </w:t>
      </w:r>
      <w:r>
        <w:rPr>
          <w:spacing w:val="-2"/>
        </w:rPr>
        <w:t>confidence.</w:t>
      </w:r>
    </w:p>
    <w:p w14:paraId="37A07EA8" w14:textId="77777777" w:rsidR="00DB6E1F" w:rsidRDefault="00F666A6">
      <w:pPr>
        <w:pStyle w:val="ListParagraph"/>
        <w:numPr>
          <w:ilvl w:val="0"/>
          <w:numId w:val="92"/>
        </w:numPr>
        <w:tabs>
          <w:tab w:val="left" w:pos="1800"/>
          <w:tab w:val="left" w:pos="1801"/>
        </w:tabs>
        <w:ind w:left="1800"/>
        <w:rPr>
          <w:rFonts w:ascii="Symbol" w:hAnsi="Symbol"/>
        </w:rPr>
      </w:pPr>
      <w:r>
        <w:t>Negotiating</w:t>
      </w:r>
      <w:r>
        <w:rPr>
          <w:spacing w:val="-4"/>
        </w:rPr>
        <w:t xml:space="preserve"> </w:t>
      </w:r>
      <w:r>
        <w:t>a</w:t>
      </w:r>
      <w:r>
        <w:rPr>
          <w:spacing w:val="-5"/>
        </w:rPr>
        <w:t xml:space="preserve"> </w:t>
      </w:r>
      <w:r>
        <w:t>change</w:t>
      </w:r>
      <w:r>
        <w:rPr>
          <w:spacing w:val="-2"/>
        </w:rPr>
        <w:t xml:space="preserve"> </w:t>
      </w:r>
      <w:r>
        <w:rPr>
          <w:spacing w:val="-4"/>
        </w:rPr>
        <w:t>plan.</w:t>
      </w:r>
    </w:p>
    <w:p w14:paraId="2327BCFD" w14:textId="77777777" w:rsidR="00DB6E1F" w:rsidRDefault="00F666A6">
      <w:pPr>
        <w:pStyle w:val="ListParagraph"/>
        <w:numPr>
          <w:ilvl w:val="0"/>
          <w:numId w:val="92"/>
        </w:numPr>
        <w:tabs>
          <w:tab w:val="left" w:pos="1800"/>
          <w:tab w:val="left" w:pos="1801"/>
        </w:tabs>
        <w:spacing w:before="61"/>
        <w:ind w:left="1800"/>
        <w:rPr>
          <w:rFonts w:ascii="Symbol" w:hAnsi="Symbol"/>
        </w:rPr>
      </w:pPr>
      <w:r>
        <w:t>Strengthening</w:t>
      </w:r>
      <w:r>
        <w:rPr>
          <w:spacing w:val="-8"/>
        </w:rPr>
        <w:t xml:space="preserve"> </w:t>
      </w:r>
      <w:r>
        <w:rPr>
          <w:spacing w:val="-2"/>
        </w:rPr>
        <w:t>commitment.</w:t>
      </w:r>
    </w:p>
    <w:p w14:paraId="4689F41A" w14:textId="77777777" w:rsidR="00DB6E1F" w:rsidRDefault="00F666A6">
      <w:pPr>
        <w:pStyle w:val="ListParagraph"/>
        <w:numPr>
          <w:ilvl w:val="0"/>
          <w:numId w:val="92"/>
        </w:numPr>
        <w:tabs>
          <w:tab w:val="left" w:pos="1800"/>
          <w:tab w:val="left" w:pos="1801"/>
        </w:tabs>
        <w:spacing w:before="55"/>
        <w:ind w:left="1800"/>
        <w:rPr>
          <w:rFonts w:ascii="Symbol" w:hAnsi="Symbol"/>
        </w:rPr>
      </w:pPr>
      <w:r>
        <w:t>Integrating</w:t>
      </w:r>
      <w:r>
        <w:rPr>
          <w:spacing w:val="-7"/>
        </w:rPr>
        <w:t xml:space="preserve"> </w:t>
      </w:r>
      <w:r>
        <w:t>MI</w:t>
      </w:r>
      <w:r>
        <w:rPr>
          <w:spacing w:val="-6"/>
        </w:rPr>
        <w:t xml:space="preserve"> </w:t>
      </w:r>
      <w:r>
        <w:t>with</w:t>
      </w:r>
      <w:r>
        <w:rPr>
          <w:spacing w:val="-6"/>
        </w:rPr>
        <w:t xml:space="preserve"> </w:t>
      </w:r>
      <w:r>
        <w:t>other</w:t>
      </w:r>
      <w:r>
        <w:rPr>
          <w:spacing w:val="-5"/>
        </w:rPr>
        <w:t xml:space="preserve"> </w:t>
      </w:r>
      <w:r>
        <w:t>counseling</w:t>
      </w:r>
      <w:r>
        <w:rPr>
          <w:spacing w:val="-4"/>
        </w:rPr>
        <w:t xml:space="preserve"> </w:t>
      </w:r>
      <w:r>
        <w:rPr>
          <w:spacing w:val="-2"/>
        </w:rPr>
        <w:t>approaches.</w:t>
      </w:r>
    </w:p>
    <w:p w14:paraId="35665A25" w14:textId="77777777" w:rsidR="00DB6E1F" w:rsidRDefault="00F666A6">
      <w:pPr>
        <w:pStyle w:val="BodyText"/>
        <w:spacing w:before="164"/>
        <w:ind w:left="1440" w:right="1607"/>
      </w:pPr>
      <w:r>
        <w:t>These learning tasks apply to training counselors in any motivational counseling approach, including brief</w:t>
      </w:r>
      <w:r>
        <w:rPr>
          <w:spacing w:val="-2"/>
        </w:rPr>
        <w:t xml:space="preserve"> </w:t>
      </w:r>
      <w:r>
        <w:t>interventions</w:t>
      </w:r>
      <w:r>
        <w:rPr>
          <w:spacing w:val="-2"/>
        </w:rPr>
        <w:t xml:space="preserve"> </w:t>
      </w:r>
      <w:r>
        <w:t>that</w:t>
      </w:r>
      <w:r>
        <w:rPr>
          <w:spacing w:val="-2"/>
        </w:rPr>
        <w:t xml:space="preserve"> </w:t>
      </w:r>
      <w:r>
        <w:t>use</w:t>
      </w:r>
      <w:r>
        <w:rPr>
          <w:spacing w:val="-3"/>
        </w:rPr>
        <w:t xml:space="preserve"> </w:t>
      </w:r>
      <w:r>
        <w:t>FRAMES</w:t>
      </w:r>
      <w:r>
        <w:rPr>
          <w:spacing w:val="-5"/>
        </w:rPr>
        <w:t xml:space="preserve"> </w:t>
      </w:r>
      <w:r>
        <w:t>(</w:t>
      </w:r>
      <w:r>
        <w:rPr>
          <w:b/>
        </w:rPr>
        <w:t>F</w:t>
      </w:r>
      <w:r>
        <w:t>eedback,</w:t>
      </w:r>
      <w:r>
        <w:rPr>
          <w:spacing w:val="-2"/>
        </w:rPr>
        <w:t xml:space="preserve"> </w:t>
      </w:r>
      <w:r>
        <w:rPr>
          <w:b/>
        </w:rPr>
        <w:t>R</w:t>
      </w:r>
      <w:r>
        <w:t>esponsibility,</w:t>
      </w:r>
      <w:r>
        <w:rPr>
          <w:spacing w:val="-2"/>
        </w:rPr>
        <w:t xml:space="preserve"> </w:t>
      </w:r>
      <w:r>
        <w:rPr>
          <w:b/>
        </w:rPr>
        <w:t>A</w:t>
      </w:r>
      <w:r>
        <w:t>dvice,</w:t>
      </w:r>
      <w:r>
        <w:rPr>
          <w:spacing w:val="-4"/>
        </w:rPr>
        <w:t xml:space="preserve"> </w:t>
      </w:r>
      <w:r>
        <w:rPr>
          <w:b/>
        </w:rPr>
        <w:t>M</w:t>
      </w:r>
      <w:r>
        <w:t>enu</w:t>
      </w:r>
      <w:r>
        <w:rPr>
          <w:spacing w:val="-5"/>
        </w:rPr>
        <w:t xml:space="preserve"> </w:t>
      </w:r>
      <w:r>
        <w:t>of</w:t>
      </w:r>
      <w:r>
        <w:rPr>
          <w:spacing w:val="-5"/>
        </w:rPr>
        <w:t xml:space="preserve"> </w:t>
      </w:r>
      <w:r>
        <w:t>options,</w:t>
      </w:r>
      <w:r>
        <w:rPr>
          <w:spacing w:val="-2"/>
        </w:rPr>
        <w:t xml:space="preserve"> </w:t>
      </w:r>
      <w:r>
        <w:rPr>
          <w:b/>
        </w:rPr>
        <w:t>E</w:t>
      </w:r>
      <w:r>
        <w:t>mpathy,</w:t>
      </w:r>
      <w:r>
        <w:rPr>
          <w:spacing w:val="-2"/>
        </w:rPr>
        <w:t xml:space="preserve"> </w:t>
      </w:r>
      <w:r>
        <w:t xml:space="preserve">and </w:t>
      </w:r>
      <w:r>
        <w:rPr>
          <w:b/>
        </w:rPr>
        <w:t>S</w:t>
      </w:r>
      <w:r>
        <w:t>elf-efficacy) and MET, where the counselor gives personalized feedback and advice. Some tasks are foundational, like learning reflective listening, and are best learned through face-to-face, interactive training experiences. Other</w:t>
      </w:r>
      <w:r>
        <w:rPr>
          <w:spacing w:val="-1"/>
        </w:rPr>
        <w:t xml:space="preserve"> </w:t>
      </w:r>
      <w:r>
        <w:t>ta</w:t>
      </w:r>
      <w:r>
        <w:t>sks,</w:t>
      </w:r>
      <w:r>
        <w:rPr>
          <w:spacing w:val="-1"/>
        </w:rPr>
        <w:t xml:space="preserve"> </w:t>
      </w:r>
      <w:r>
        <w:t>like</w:t>
      </w:r>
      <w:r>
        <w:rPr>
          <w:spacing w:val="-1"/>
        </w:rPr>
        <w:t xml:space="preserve"> </w:t>
      </w:r>
      <w:r>
        <w:t>recognizing change talk and sustain talk, can be learned</w:t>
      </w:r>
      <w:r>
        <w:rPr>
          <w:spacing w:val="-2"/>
        </w:rPr>
        <w:t xml:space="preserve"> </w:t>
      </w:r>
      <w:r>
        <w:t>through reading material, like coded transcripts of counselor‒client interactions (Miller &amp; Rollnick, 2013).</w:t>
      </w:r>
    </w:p>
    <w:p w14:paraId="329D08F8" w14:textId="77777777" w:rsidR="00DB6E1F" w:rsidRDefault="00F666A6">
      <w:pPr>
        <w:pStyle w:val="BodyText"/>
        <w:spacing w:before="160"/>
        <w:ind w:left="1438" w:right="1507"/>
      </w:pPr>
      <w:r>
        <w:t>An</w:t>
      </w:r>
      <w:r>
        <w:rPr>
          <w:spacing w:val="-2"/>
        </w:rPr>
        <w:t xml:space="preserve"> </w:t>
      </w:r>
      <w:r>
        <w:t>initial</w:t>
      </w:r>
      <w:r>
        <w:rPr>
          <w:spacing w:val="-2"/>
        </w:rPr>
        <w:t xml:space="preserve"> </w:t>
      </w:r>
      <w:r>
        <w:t>workshop</w:t>
      </w:r>
      <w:r>
        <w:rPr>
          <w:spacing w:val="-3"/>
        </w:rPr>
        <w:t xml:space="preserve"> </w:t>
      </w:r>
      <w:r>
        <w:t>that</w:t>
      </w:r>
      <w:r>
        <w:rPr>
          <w:spacing w:val="-4"/>
        </w:rPr>
        <w:t xml:space="preserve"> </w:t>
      </w:r>
      <w:r>
        <w:t>covers</w:t>
      </w:r>
      <w:r>
        <w:rPr>
          <w:spacing w:val="-4"/>
        </w:rPr>
        <w:t xml:space="preserve"> </w:t>
      </w:r>
      <w:r>
        <w:t>the</w:t>
      </w:r>
      <w:r>
        <w:rPr>
          <w:spacing w:val="-1"/>
        </w:rPr>
        <w:t xml:space="preserve"> </w:t>
      </w:r>
      <w:r>
        <w:t>foundational</w:t>
      </w:r>
      <w:r>
        <w:rPr>
          <w:spacing w:val="-5"/>
        </w:rPr>
        <w:t xml:space="preserve"> </w:t>
      </w:r>
      <w:r>
        <w:t>components</w:t>
      </w:r>
      <w:r>
        <w:rPr>
          <w:spacing w:val="-4"/>
        </w:rPr>
        <w:t xml:space="preserve"> </w:t>
      </w:r>
      <w:r>
        <w:t>of</w:t>
      </w:r>
      <w:r>
        <w:rPr>
          <w:spacing w:val="-5"/>
        </w:rPr>
        <w:t xml:space="preserve"> </w:t>
      </w:r>
      <w:r>
        <w:t>MI</w:t>
      </w:r>
      <w:r>
        <w:rPr>
          <w:spacing w:val="-2"/>
        </w:rPr>
        <w:t xml:space="preserve"> </w:t>
      </w:r>
      <w:r>
        <w:t>(e.g.,</w:t>
      </w:r>
      <w:r>
        <w:rPr>
          <w:spacing w:val="-2"/>
        </w:rPr>
        <w:t xml:space="preserve"> </w:t>
      </w:r>
      <w:r>
        <w:t>underst</w:t>
      </w:r>
      <w:r>
        <w:t>anding</w:t>
      </w:r>
      <w:r>
        <w:rPr>
          <w:spacing w:val="-3"/>
        </w:rPr>
        <w:t xml:space="preserve"> </w:t>
      </w:r>
      <w:r>
        <w:t>the</w:t>
      </w:r>
      <w:r>
        <w:rPr>
          <w:spacing w:val="-1"/>
        </w:rPr>
        <w:t xml:space="preserve"> </w:t>
      </w:r>
      <w:r>
        <w:t>spirit</w:t>
      </w:r>
      <w:r>
        <w:rPr>
          <w:spacing w:val="-4"/>
        </w:rPr>
        <w:t xml:space="preserve"> </w:t>
      </w:r>
      <w:r>
        <w:t>of</w:t>
      </w:r>
      <w:r>
        <w:rPr>
          <w:spacing w:val="-4"/>
        </w:rPr>
        <w:t xml:space="preserve"> </w:t>
      </w:r>
      <w:r>
        <w:t>MI, OARS, recognizing and responding to change talk and sustain talk) may be a good beginning. This workshop should include both knowledge exchange and interactive skill-building exercises. A meta- analysis of MI training found that tr</w:t>
      </w:r>
      <w:r>
        <w:t>aining produces medium-to-large‒sized effects in MI proficiency both before and after training and medium-sized effects in MI proficiency compared with controls (de Roten, Zimmermann, Ortega, &amp; Despland,</w:t>
      </w:r>
      <w:r>
        <w:rPr>
          <w:spacing w:val="-1"/>
        </w:rPr>
        <w:t xml:space="preserve"> </w:t>
      </w:r>
      <w:r>
        <w:t>2013). Furthermore,</w:t>
      </w:r>
      <w:r>
        <w:rPr>
          <w:spacing w:val="-1"/>
        </w:rPr>
        <w:t xml:space="preserve"> </w:t>
      </w:r>
      <w:r>
        <w:t>an initial</w:t>
      </w:r>
      <w:r>
        <w:rPr>
          <w:spacing w:val="-1"/>
        </w:rPr>
        <w:t xml:space="preserve"> </w:t>
      </w:r>
      <w:r>
        <w:t>12-to-15‒hour</w:t>
      </w:r>
      <w:r>
        <w:rPr>
          <w:spacing w:val="-1"/>
        </w:rPr>
        <w:t xml:space="preserve"> </w:t>
      </w:r>
      <w:r>
        <w:t>worksho</w:t>
      </w:r>
      <w:r>
        <w:t>p</w:t>
      </w:r>
      <w:r>
        <w:rPr>
          <w:spacing w:val="-2"/>
        </w:rPr>
        <w:t xml:space="preserve"> </w:t>
      </w:r>
      <w:r>
        <w:t>of</w:t>
      </w:r>
      <w:r>
        <w:rPr>
          <w:spacing w:val="-2"/>
        </w:rPr>
        <w:t xml:space="preserve"> </w:t>
      </w:r>
      <w:r>
        <w:t>MI training that included didactic, face-to-face instruction, and interactive exercises increased counselor skills as did more enhanced workshops that used video, web-based, or computer technology (Schwalbe et al., 2014). For an initial workshop, a si</w:t>
      </w:r>
      <w:r>
        <w:t>mple format may be appropriate and potentially more cost effective than complex formats.</w:t>
      </w:r>
    </w:p>
    <w:p w14:paraId="4D6DEF87" w14:textId="77777777" w:rsidR="00DB6E1F" w:rsidRDefault="00F666A6">
      <w:pPr>
        <w:spacing w:before="158"/>
        <w:ind w:left="1437" w:right="1439" w:firstLine="1"/>
      </w:pPr>
      <w:r>
        <w:rPr>
          <w:b/>
        </w:rPr>
        <w:t xml:space="preserve">Ongoing training is the key to learning and sustaining motivational counseling skills if skills learned during training are not practiced. </w:t>
      </w:r>
      <w:r>
        <w:t>MI counselor skills introduc</w:t>
      </w:r>
      <w:r>
        <w:t>ed in training can erode after only 3 months</w:t>
      </w:r>
      <w:r>
        <w:rPr>
          <w:spacing w:val="-2"/>
        </w:rPr>
        <w:t xml:space="preserve"> </w:t>
      </w:r>
      <w:r>
        <w:t>if</w:t>
      </w:r>
      <w:r>
        <w:rPr>
          <w:spacing w:val="-2"/>
        </w:rPr>
        <w:t xml:space="preserve"> </w:t>
      </w:r>
      <w:r>
        <w:t>they</w:t>
      </w:r>
      <w:r>
        <w:rPr>
          <w:spacing w:val="-1"/>
        </w:rPr>
        <w:t xml:space="preserve"> </w:t>
      </w:r>
      <w:r>
        <w:t>are</w:t>
      </w:r>
      <w:r>
        <w:rPr>
          <w:spacing w:val="-1"/>
        </w:rPr>
        <w:t xml:space="preserve"> </w:t>
      </w:r>
      <w:r>
        <w:t>not</w:t>
      </w:r>
      <w:r>
        <w:rPr>
          <w:spacing w:val="-1"/>
        </w:rPr>
        <w:t xml:space="preserve"> </w:t>
      </w:r>
      <w:r>
        <w:t>used</w:t>
      </w:r>
      <w:r>
        <w:rPr>
          <w:spacing w:val="-3"/>
        </w:rPr>
        <w:t xml:space="preserve"> </w:t>
      </w:r>
      <w:r>
        <w:t>and</w:t>
      </w:r>
      <w:r>
        <w:rPr>
          <w:spacing w:val="-3"/>
        </w:rPr>
        <w:t xml:space="preserve"> </w:t>
      </w:r>
      <w:r>
        <w:t>practiced</w:t>
      </w:r>
      <w:r>
        <w:rPr>
          <w:spacing w:val="-5"/>
        </w:rPr>
        <w:t xml:space="preserve"> </w:t>
      </w:r>
      <w:r>
        <w:t>(Schwalbe</w:t>
      </w:r>
      <w:r>
        <w:rPr>
          <w:spacing w:val="-4"/>
        </w:rPr>
        <w:t xml:space="preserve"> </w:t>
      </w:r>
      <w:r>
        <w:t>et</w:t>
      </w:r>
      <w:r>
        <w:rPr>
          <w:spacing w:val="-1"/>
        </w:rPr>
        <w:t xml:space="preserve"> </w:t>
      </w:r>
      <w:r>
        <w:t>al.,</w:t>
      </w:r>
      <w:r>
        <w:rPr>
          <w:spacing w:val="-4"/>
        </w:rPr>
        <w:t xml:space="preserve"> </w:t>
      </w:r>
      <w:r>
        <w:t>2014).</w:t>
      </w:r>
      <w:r>
        <w:rPr>
          <w:spacing w:val="-2"/>
        </w:rPr>
        <w:t xml:space="preserve"> </w:t>
      </w:r>
      <w:r>
        <w:t>Spreading</w:t>
      </w:r>
      <w:r>
        <w:rPr>
          <w:spacing w:val="-3"/>
        </w:rPr>
        <w:t xml:space="preserve"> </w:t>
      </w:r>
      <w:r>
        <w:t>out</w:t>
      </w:r>
      <w:r>
        <w:rPr>
          <w:spacing w:val="-4"/>
        </w:rPr>
        <w:t xml:space="preserve"> </w:t>
      </w:r>
      <w:r>
        <w:t>training</w:t>
      </w:r>
      <w:r>
        <w:rPr>
          <w:spacing w:val="-3"/>
        </w:rPr>
        <w:t xml:space="preserve"> </w:t>
      </w:r>
      <w:r>
        <w:t>activities</w:t>
      </w:r>
      <w:r>
        <w:rPr>
          <w:spacing w:val="-4"/>
        </w:rPr>
        <w:t xml:space="preserve"> </w:t>
      </w:r>
      <w:r>
        <w:t>over</w:t>
      </w:r>
      <w:r>
        <w:rPr>
          <w:spacing w:val="-3"/>
        </w:rPr>
        <w:t xml:space="preserve"> </w:t>
      </w:r>
      <w:r>
        <w:t>a 6-month period and increasing the practice training hours to 5 or more hours increase counselor skill level and enhance skill retention (Schwalbe et al., 2014). Ongoing training in MI should be integrated</w:t>
      </w:r>
      <w:r>
        <w:rPr>
          <w:spacing w:val="40"/>
        </w:rPr>
        <w:t xml:space="preserve"> </w:t>
      </w:r>
      <w:r>
        <w:t>into SUD treatment over 24 months as part of prof</w:t>
      </w:r>
      <w:r>
        <w:t>essional development to ensure counselor competency (Hall et al., 2015).</w:t>
      </w:r>
    </w:p>
    <w:p w14:paraId="0D8AFB4B" w14:textId="77777777" w:rsidR="00DB6E1F" w:rsidRDefault="00F666A6">
      <w:pPr>
        <w:pStyle w:val="BodyText"/>
        <w:spacing w:before="159"/>
        <w:ind w:left="1437" w:right="1491"/>
      </w:pPr>
      <w:r>
        <w:t>There are</w:t>
      </w:r>
      <w:r>
        <w:rPr>
          <w:spacing w:val="-3"/>
        </w:rPr>
        <w:t xml:space="preserve"> </w:t>
      </w:r>
      <w:r>
        <w:t>multiple</w:t>
      </w:r>
      <w:r>
        <w:rPr>
          <w:spacing w:val="-3"/>
        </w:rPr>
        <w:t xml:space="preserve"> </w:t>
      </w:r>
      <w:r>
        <w:t>ways</w:t>
      </w:r>
      <w:r>
        <w:rPr>
          <w:spacing w:val="-1"/>
        </w:rPr>
        <w:t xml:space="preserve"> </w:t>
      </w:r>
      <w:r>
        <w:t>to</w:t>
      </w:r>
      <w:r>
        <w:rPr>
          <w:spacing w:val="-2"/>
        </w:rPr>
        <w:t xml:space="preserve"> </w:t>
      </w:r>
      <w:r>
        <w:t>train</w:t>
      </w:r>
      <w:r>
        <w:rPr>
          <w:spacing w:val="-2"/>
        </w:rPr>
        <w:t xml:space="preserve"> </w:t>
      </w:r>
      <w:r>
        <w:t>staff,</w:t>
      </w:r>
      <w:r>
        <w:rPr>
          <w:spacing w:val="-3"/>
        </w:rPr>
        <w:t xml:space="preserve"> </w:t>
      </w:r>
      <w:r>
        <w:t>and</w:t>
      </w:r>
      <w:r>
        <w:rPr>
          <w:spacing w:val="-2"/>
        </w:rPr>
        <w:t xml:space="preserve"> </w:t>
      </w:r>
      <w:r>
        <w:t>the path</w:t>
      </w:r>
      <w:r>
        <w:rPr>
          <w:spacing w:val="-2"/>
        </w:rPr>
        <w:t xml:space="preserve"> </w:t>
      </w:r>
      <w:r>
        <w:t>an</w:t>
      </w:r>
      <w:r>
        <w:rPr>
          <w:spacing w:val="-4"/>
        </w:rPr>
        <w:t xml:space="preserve"> </w:t>
      </w:r>
      <w:r>
        <w:t>organization</w:t>
      </w:r>
      <w:r>
        <w:rPr>
          <w:spacing w:val="-4"/>
        </w:rPr>
        <w:t xml:space="preserve"> </w:t>
      </w:r>
      <w:r>
        <w:t>chooses</w:t>
      </w:r>
      <w:r>
        <w:rPr>
          <w:spacing w:val="-3"/>
        </w:rPr>
        <w:t xml:space="preserve"> </w:t>
      </w:r>
      <w:r>
        <w:t>is</w:t>
      </w:r>
      <w:r>
        <w:rPr>
          <w:spacing w:val="-1"/>
        </w:rPr>
        <w:t xml:space="preserve"> </w:t>
      </w:r>
      <w:r>
        <w:t>based</w:t>
      </w:r>
      <w:r>
        <w:rPr>
          <w:spacing w:val="-2"/>
        </w:rPr>
        <w:t xml:space="preserve"> </w:t>
      </w:r>
      <w:r>
        <w:t>on</w:t>
      </w:r>
      <w:r>
        <w:rPr>
          <w:spacing w:val="-4"/>
        </w:rPr>
        <w:t xml:space="preserve"> </w:t>
      </w:r>
      <w:r>
        <w:t>many</w:t>
      </w:r>
      <w:r>
        <w:rPr>
          <w:spacing w:val="-2"/>
        </w:rPr>
        <w:t xml:space="preserve"> </w:t>
      </w:r>
      <w:r>
        <w:t>factors. Before implementing MI training, an organization should consider the following questions when developing a strategic plan:</w:t>
      </w:r>
    </w:p>
    <w:p w14:paraId="27D71948" w14:textId="77777777" w:rsidR="00DB6E1F" w:rsidRDefault="00F666A6">
      <w:pPr>
        <w:pStyle w:val="Heading5"/>
        <w:numPr>
          <w:ilvl w:val="0"/>
          <w:numId w:val="92"/>
        </w:numPr>
        <w:tabs>
          <w:tab w:val="left" w:pos="1797"/>
          <w:tab w:val="left" w:pos="1798"/>
        </w:tabs>
        <w:spacing w:before="61"/>
        <w:rPr>
          <w:rFonts w:ascii="Symbol" w:hAnsi="Symbol"/>
          <w:b w:val="0"/>
        </w:rPr>
      </w:pPr>
      <w:r>
        <w:t>Assessing</w:t>
      </w:r>
      <w:r>
        <w:rPr>
          <w:spacing w:val="-9"/>
        </w:rPr>
        <w:t xml:space="preserve"> </w:t>
      </w:r>
      <w:r>
        <w:t>organizational</w:t>
      </w:r>
      <w:r>
        <w:rPr>
          <w:spacing w:val="-7"/>
        </w:rPr>
        <w:t xml:space="preserve"> </w:t>
      </w:r>
      <w:r>
        <w:t>philosophy</w:t>
      </w:r>
      <w:r>
        <w:rPr>
          <w:spacing w:val="-7"/>
        </w:rPr>
        <w:t xml:space="preserve"> </w:t>
      </w:r>
      <w:r>
        <w:t>and</w:t>
      </w:r>
      <w:r>
        <w:rPr>
          <w:spacing w:val="-7"/>
        </w:rPr>
        <w:t xml:space="preserve"> </w:t>
      </w:r>
      <w:r>
        <w:t>the</w:t>
      </w:r>
      <w:r>
        <w:rPr>
          <w:spacing w:val="-8"/>
        </w:rPr>
        <w:t xml:space="preserve"> </w:t>
      </w:r>
      <w:r>
        <w:rPr>
          <w:spacing w:val="-5"/>
        </w:rPr>
        <w:t>SOC</w:t>
      </w:r>
    </w:p>
    <w:p w14:paraId="01F19901" w14:textId="77777777" w:rsidR="00DB6E1F" w:rsidRDefault="00F666A6">
      <w:pPr>
        <w:pStyle w:val="ListParagraph"/>
        <w:numPr>
          <w:ilvl w:val="1"/>
          <w:numId w:val="92"/>
        </w:numPr>
        <w:tabs>
          <w:tab w:val="left" w:pos="2157"/>
          <w:tab w:val="left" w:pos="2158"/>
        </w:tabs>
        <w:ind w:left="2157" w:right="1464"/>
      </w:pPr>
      <w:r>
        <w:t>Is</w:t>
      </w:r>
      <w:r>
        <w:rPr>
          <w:spacing w:val="-2"/>
        </w:rPr>
        <w:t xml:space="preserve"> </w:t>
      </w:r>
      <w:r>
        <w:t>a</w:t>
      </w:r>
      <w:r>
        <w:rPr>
          <w:spacing w:val="-2"/>
        </w:rPr>
        <w:t xml:space="preserve"> </w:t>
      </w:r>
      <w:r>
        <w:t>person-centered</w:t>
      </w:r>
      <w:r>
        <w:rPr>
          <w:spacing w:val="-3"/>
        </w:rPr>
        <w:t xml:space="preserve"> </w:t>
      </w:r>
      <w:r>
        <w:t>approach</w:t>
      </w:r>
      <w:r>
        <w:rPr>
          <w:spacing w:val="-3"/>
        </w:rPr>
        <w:t xml:space="preserve"> </w:t>
      </w:r>
      <w:r>
        <w:t>to</w:t>
      </w:r>
      <w:r>
        <w:rPr>
          <w:spacing w:val="-3"/>
        </w:rPr>
        <w:t xml:space="preserve"> </w:t>
      </w:r>
      <w:r>
        <w:t>service</w:t>
      </w:r>
      <w:r>
        <w:rPr>
          <w:spacing w:val="-4"/>
        </w:rPr>
        <w:t xml:space="preserve"> </w:t>
      </w:r>
      <w:r>
        <w:t>delivery</w:t>
      </w:r>
      <w:r>
        <w:rPr>
          <w:spacing w:val="-3"/>
        </w:rPr>
        <w:t xml:space="preserve"> </w:t>
      </w:r>
      <w:r>
        <w:t>a</w:t>
      </w:r>
      <w:r>
        <w:rPr>
          <w:spacing w:val="-2"/>
        </w:rPr>
        <w:t xml:space="preserve"> </w:t>
      </w:r>
      <w:r>
        <w:t>key</w:t>
      </w:r>
      <w:r>
        <w:rPr>
          <w:spacing w:val="-1"/>
        </w:rPr>
        <w:t xml:space="preserve"> </w:t>
      </w:r>
      <w:r>
        <w:t>component</w:t>
      </w:r>
      <w:r>
        <w:rPr>
          <w:spacing w:val="-4"/>
        </w:rPr>
        <w:t xml:space="preserve"> </w:t>
      </w:r>
      <w:r>
        <w:t>of</w:t>
      </w:r>
      <w:r>
        <w:rPr>
          <w:spacing w:val="-4"/>
        </w:rPr>
        <w:t xml:space="preserve"> </w:t>
      </w:r>
      <w:r>
        <w:t>the</w:t>
      </w:r>
      <w:r>
        <w:rPr>
          <w:spacing w:val="-4"/>
        </w:rPr>
        <w:t xml:space="preserve"> </w:t>
      </w:r>
      <w:r>
        <w:t>organization’s</w:t>
      </w:r>
      <w:r>
        <w:rPr>
          <w:spacing w:val="-4"/>
        </w:rPr>
        <w:t xml:space="preserve"> </w:t>
      </w:r>
      <w:r>
        <w:t>mission statement and philosophy?</w:t>
      </w:r>
    </w:p>
    <w:p w14:paraId="2C877788" w14:textId="77777777" w:rsidR="00DB6E1F" w:rsidRDefault="00F666A6">
      <w:pPr>
        <w:pStyle w:val="ListParagraph"/>
        <w:numPr>
          <w:ilvl w:val="1"/>
          <w:numId w:val="92"/>
        </w:numPr>
        <w:tabs>
          <w:tab w:val="left" w:pos="2156"/>
          <w:tab w:val="left" w:pos="2157"/>
        </w:tabs>
        <w:spacing w:before="61"/>
        <w:ind w:left="2157" w:right="2226" w:hanging="361"/>
      </w:pPr>
      <w:r>
        <w:t>Is</w:t>
      </w:r>
      <w:r>
        <w:rPr>
          <w:spacing w:val="-2"/>
        </w:rPr>
        <w:t xml:space="preserve"> </w:t>
      </w:r>
      <w:r>
        <w:t>MI</w:t>
      </w:r>
      <w:r>
        <w:rPr>
          <w:spacing w:val="-2"/>
        </w:rPr>
        <w:t xml:space="preserve"> </w:t>
      </w:r>
      <w:r>
        <w:t>a</w:t>
      </w:r>
      <w:r>
        <w:rPr>
          <w:spacing w:val="-2"/>
        </w:rPr>
        <w:t xml:space="preserve"> </w:t>
      </w:r>
      <w:r>
        <w:t>new</w:t>
      </w:r>
      <w:r>
        <w:rPr>
          <w:spacing w:val="-4"/>
        </w:rPr>
        <w:t xml:space="preserve"> </w:t>
      </w:r>
      <w:r>
        <w:t>counseling</w:t>
      </w:r>
      <w:r>
        <w:rPr>
          <w:spacing w:val="-3"/>
        </w:rPr>
        <w:t xml:space="preserve"> </w:t>
      </w:r>
      <w:r>
        <w:t>approach</w:t>
      </w:r>
      <w:r>
        <w:rPr>
          <w:spacing w:val="-3"/>
        </w:rPr>
        <w:t xml:space="preserve"> </w:t>
      </w:r>
      <w:r>
        <w:t>for</w:t>
      </w:r>
      <w:r>
        <w:rPr>
          <w:spacing w:val="-2"/>
        </w:rPr>
        <w:t xml:space="preserve"> </w:t>
      </w:r>
      <w:r>
        <w:t>the</w:t>
      </w:r>
      <w:r>
        <w:rPr>
          <w:spacing w:val="-4"/>
        </w:rPr>
        <w:t xml:space="preserve"> </w:t>
      </w:r>
      <w:r>
        <w:t>organization</w:t>
      </w:r>
      <w:r>
        <w:rPr>
          <w:spacing w:val="-3"/>
        </w:rPr>
        <w:t xml:space="preserve"> </w:t>
      </w:r>
      <w:r>
        <w:t>or</w:t>
      </w:r>
      <w:r>
        <w:rPr>
          <w:spacing w:val="-2"/>
        </w:rPr>
        <w:t xml:space="preserve"> </w:t>
      </w:r>
      <w:r>
        <w:t>will</w:t>
      </w:r>
      <w:r>
        <w:rPr>
          <w:spacing w:val="-5"/>
        </w:rPr>
        <w:t xml:space="preserve"> </w:t>
      </w:r>
      <w:r>
        <w:t>MI</w:t>
      </w:r>
      <w:r>
        <w:rPr>
          <w:spacing w:val="-2"/>
        </w:rPr>
        <w:t xml:space="preserve"> </w:t>
      </w:r>
      <w:r>
        <w:t>be</w:t>
      </w:r>
      <w:r>
        <w:rPr>
          <w:spacing w:val="-2"/>
        </w:rPr>
        <w:t xml:space="preserve"> </w:t>
      </w:r>
      <w:r>
        <w:t>blended</w:t>
      </w:r>
      <w:r>
        <w:rPr>
          <w:spacing w:val="-5"/>
        </w:rPr>
        <w:t xml:space="preserve"> </w:t>
      </w:r>
      <w:r>
        <w:t>with</w:t>
      </w:r>
      <w:r>
        <w:rPr>
          <w:spacing w:val="-5"/>
        </w:rPr>
        <w:t xml:space="preserve"> </w:t>
      </w:r>
      <w:r>
        <w:t>current treatment approaches?</w:t>
      </w:r>
    </w:p>
    <w:p w14:paraId="640170C7" w14:textId="77777777" w:rsidR="00DB6E1F" w:rsidRDefault="00F666A6">
      <w:pPr>
        <w:pStyle w:val="ListParagraph"/>
        <w:numPr>
          <w:ilvl w:val="1"/>
          <w:numId w:val="92"/>
        </w:numPr>
        <w:tabs>
          <w:tab w:val="left" w:pos="2157"/>
          <w:tab w:val="left" w:pos="2158"/>
        </w:tabs>
        <w:spacing w:before="58"/>
        <w:ind w:left="2157" w:hanging="361"/>
      </w:pPr>
      <w:r>
        <w:t>At</w:t>
      </w:r>
      <w:r>
        <w:rPr>
          <w:spacing w:val="-4"/>
        </w:rPr>
        <w:t xml:space="preserve"> </w:t>
      </w:r>
      <w:r>
        <w:t>what</w:t>
      </w:r>
      <w:r>
        <w:rPr>
          <w:spacing w:val="-4"/>
        </w:rPr>
        <w:t xml:space="preserve"> </w:t>
      </w:r>
      <w:r>
        <w:t>stage</w:t>
      </w:r>
      <w:r>
        <w:rPr>
          <w:spacing w:val="-4"/>
        </w:rPr>
        <w:t xml:space="preserve"> </w:t>
      </w:r>
      <w:r>
        <w:t>of</w:t>
      </w:r>
      <w:r>
        <w:rPr>
          <w:spacing w:val="-3"/>
        </w:rPr>
        <w:t xml:space="preserve"> </w:t>
      </w:r>
      <w:r>
        <w:t>the</w:t>
      </w:r>
      <w:r>
        <w:rPr>
          <w:spacing w:val="-2"/>
        </w:rPr>
        <w:t xml:space="preserve"> </w:t>
      </w:r>
      <w:r>
        <w:t>SOC</w:t>
      </w:r>
      <w:r>
        <w:rPr>
          <w:spacing w:val="-2"/>
        </w:rPr>
        <w:t xml:space="preserve"> </w:t>
      </w:r>
      <w:r>
        <w:t>is</w:t>
      </w:r>
      <w:r>
        <w:rPr>
          <w:spacing w:val="-4"/>
        </w:rPr>
        <w:t xml:space="preserve"> </w:t>
      </w:r>
      <w:r>
        <w:t>staff</w:t>
      </w:r>
      <w:r>
        <w:rPr>
          <w:spacing w:val="-4"/>
        </w:rPr>
        <w:t xml:space="preserve"> </w:t>
      </w:r>
      <w:r>
        <w:t>with</w:t>
      </w:r>
      <w:r>
        <w:rPr>
          <w:spacing w:val="-3"/>
        </w:rPr>
        <w:t xml:space="preserve"> </w:t>
      </w:r>
      <w:r>
        <w:t>regard</w:t>
      </w:r>
      <w:r>
        <w:rPr>
          <w:spacing w:val="-4"/>
        </w:rPr>
        <w:t xml:space="preserve"> </w:t>
      </w:r>
      <w:r>
        <w:t>to</w:t>
      </w:r>
      <w:r>
        <w:rPr>
          <w:spacing w:val="-3"/>
        </w:rPr>
        <w:t xml:space="preserve"> </w:t>
      </w:r>
      <w:r>
        <w:t>integrating</w:t>
      </w:r>
      <w:r>
        <w:rPr>
          <w:spacing w:val="-3"/>
        </w:rPr>
        <w:t xml:space="preserve"> </w:t>
      </w:r>
      <w:r>
        <w:t>a</w:t>
      </w:r>
      <w:r>
        <w:rPr>
          <w:spacing w:val="-3"/>
        </w:rPr>
        <w:t xml:space="preserve"> </w:t>
      </w:r>
      <w:r>
        <w:t>new</w:t>
      </w:r>
      <w:r>
        <w:rPr>
          <w:spacing w:val="-3"/>
        </w:rPr>
        <w:t xml:space="preserve"> </w:t>
      </w:r>
      <w:r>
        <w:rPr>
          <w:spacing w:val="-2"/>
        </w:rPr>
        <w:t>approach?</w:t>
      </w:r>
    </w:p>
    <w:p w14:paraId="26506101" w14:textId="77777777" w:rsidR="00DB6E1F" w:rsidRDefault="00F666A6">
      <w:pPr>
        <w:pStyle w:val="ListParagraph"/>
        <w:numPr>
          <w:ilvl w:val="1"/>
          <w:numId w:val="92"/>
        </w:numPr>
        <w:tabs>
          <w:tab w:val="left" w:pos="2157"/>
          <w:tab w:val="left" w:pos="2158"/>
        </w:tabs>
        <w:ind w:left="2157" w:hanging="361"/>
      </w:pPr>
      <w:r>
        <w:t>What</w:t>
      </w:r>
      <w:r>
        <w:rPr>
          <w:spacing w:val="-5"/>
        </w:rPr>
        <w:t xml:space="preserve"> </w:t>
      </w:r>
      <w:r>
        <w:t>kind</w:t>
      </w:r>
      <w:r>
        <w:rPr>
          <w:spacing w:val="-6"/>
        </w:rPr>
        <w:t xml:space="preserve"> </w:t>
      </w:r>
      <w:r>
        <w:t>of</w:t>
      </w:r>
      <w:r>
        <w:rPr>
          <w:spacing w:val="-3"/>
        </w:rPr>
        <w:t xml:space="preserve"> </w:t>
      </w:r>
      <w:r>
        <w:t>preparation</w:t>
      </w:r>
      <w:r>
        <w:rPr>
          <w:spacing w:val="-5"/>
        </w:rPr>
        <w:t xml:space="preserve"> </w:t>
      </w:r>
      <w:r>
        <w:t>is</w:t>
      </w:r>
      <w:r>
        <w:rPr>
          <w:spacing w:val="-5"/>
        </w:rPr>
        <w:t xml:space="preserve"> </w:t>
      </w:r>
      <w:r>
        <w:t>needed</w:t>
      </w:r>
      <w:r>
        <w:rPr>
          <w:spacing w:val="-6"/>
        </w:rPr>
        <w:t xml:space="preserve"> </w:t>
      </w:r>
      <w:r>
        <w:t>to</w:t>
      </w:r>
      <w:r>
        <w:rPr>
          <w:spacing w:val="-3"/>
        </w:rPr>
        <w:t xml:space="preserve"> </w:t>
      </w:r>
      <w:r>
        <w:t>implement</w:t>
      </w:r>
      <w:r>
        <w:rPr>
          <w:spacing w:val="-2"/>
        </w:rPr>
        <w:t xml:space="preserve"> </w:t>
      </w:r>
      <w:r>
        <w:t>a</w:t>
      </w:r>
      <w:r>
        <w:rPr>
          <w:spacing w:val="-6"/>
        </w:rPr>
        <w:t xml:space="preserve"> </w:t>
      </w:r>
      <w:r>
        <w:t>training</w:t>
      </w:r>
      <w:r>
        <w:rPr>
          <w:spacing w:val="-4"/>
        </w:rPr>
        <w:t xml:space="preserve"> </w:t>
      </w:r>
      <w:r>
        <w:rPr>
          <w:spacing w:val="-2"/>
        </w:rPr>
        <w:t>program?</w:t>
      </w:r>
    </w:p>
    <w:p w14:paraId="74A62D9D" w14:textId="77777777" w:rsidR="00DB6E1F" w:rsidRDefault="00F666A6">
      <w:pPr>
        <w:pStyle w:val="Heading5"/>
        <w:numPr>
          <w:ilvl w:val="0"/>
          <w:numId w:val="92"/>
        </w:numPr>
        <w:tabs>
          <w:tab w:val="left" w:pos="1796"/>
          <w:tab w:val="left" w:pos="1798"/>
        </w:tabs>
        <w:spacing w:before="60"/>
        <w:ind w:hanging="362"/>
        <w:rPr>
          <w:rFonts w:ascii="Symbol" w:hAnsi="Symbol"/>
          <w:b w:val="0"/>
        </w:rPr>
      </w:pPr>
      <w:r>
        <w:t>Assessing</w:t>
      </w:r>
      <w:r>
        <w:rPr>
          <w:spacing w:val="-9"/>
        </w:rPr>
        <w:t xml:space="preserve"> </w:t>
      </w:r>
      <w:r>
        <w:t>staff</w:t>
      </w:r>
      <w:r>
        <w:rPr>
          <w:spacing w:val="-5"/>
        </w:rPr>
        <w:t xml:space="preserve"> </w:t>
      </w:r>
      <w:r>
        <w:rPr>
          <w:spacing w:val="-4"/>
        </w:rPr>
        <w:t>needs</w:t>
      </w:r>
    </w:p>
    <w:p w14:paraId="2630E077" w14:textId="77777777" w:rsidR="00DB6E1F" w:rsidRDefault="00F666A6">
      <w:pPr>
        <w:pStyle w:val="ListParagraph"/>
        <w:numPr>
          <w:ilvl w:val="1"/>
          <w:numId w:val="92"/>
        </w:numPr>
        <w:tabs>
          <w:tab w:val="left" w:pos="2156"/>
          <w:tab w:val="left" w:pos="2157"/>
        </w:tabs>
        <w:ind w:left="2156"/>
      </w:pPr>
      <w:r>
        <w:t>Does</w:t>
      </w:r>
      <w:r>
        <w:rPr>
          <w:spacing w:val="-5"/>
        </w:rPr>
        <w:t xml:space="preserve"> </w:t>
      </w:r>
      <w:r>
        <w:t>support</w:t>
      </w:r>
      <w:r>
        <w:rPr>
          <w:spacing w:val="-2"/>
        </w:rPr>
        <w:t xml:space="preserve"> </w:t>
      </w:r>
      <w:r>
        <w:t>staff</w:t>
      </w:r>
      <w:r>
        <w:rPr>
          <w:spacing w:val="-3"/>
        </w:rPr>
        <w:t xml:space="preserve"> </w:t>
      </w:r>
      <w:r>
        <w:t>need</w:t>
      </w:r>
      <w:r>
        <w:rPr>
          <w:spacing w:val="-5"/>
        </w:rPr>
        <w:t xml:space="preserve"> </w:t>
      </w:r>
      <w:r>
        <w:t>an</w:t>
      </w:r>
      <w:r>
        <w:rPr>
          <w:spacing w:val="-4"/>
        </w:rPr>
        <w:t xml:space="preserve"> </w:t>
      </w:r>
      <w:r>
        <w:t>introduction</w:t>
      </w:r>
      <w:r>
        <w:rPr>
          <w:spacing w:val="-4"/>
        </w:rPr>
        <w:t xml:space="preserve"> </w:t>
      </w:r>
      <w:r>
        <w:t>to</w:t>
      </w:r>
      <w:r>
        <w:rPr>
          <w:spacing w:val="-3"/>
        </w:rPr>
        <w:t xml:space="preserve"> </w:t>
      </w:r>
      <w:r>
        <w:t>the</w:t>
      </w:r>
      <w:r>
        <w:rPr>
          <w:spacing w:val="-2"/>
        </w:rPr>
        <w:t xml:space="preserve"> </w:t>
      </w:r>
      <w:r>
        <w:t>spirit</w:t>
      </w:r>
      <w:r>
        <w:rPr>
          <w:spacing w:val="-5"/>
        </w:rPr>
        <w:t xml:space="preserve"> </w:t>
      </w:r>
      <w:r>
        <w:t>of</w:t>
      </w:r>
      <w:r>
        <w:rPr>
          <w:spacing w:val="-2"/>
        </w:rPr>
        <w:t xml:space="preserve"> </w:t>
      </w:r>
      <w:r>
        <w:rPr>
          <w:spacing w:val="-5"/>
        </w:rPr>
        <w:t>MI?</w:t>
      </w:r>
    </w:p>
    <w:p w14:paraId="3C1FF598" w14:textId="77777777" w:rsidR="00DB6E1F" w:rsidRDefault="00F666A6">
      <w:pPr>
        <w:pStyle w:val="ListParagraph"/>
        <w:numPr>
          <w:ilvl w:val="1"/>
          <w:numId w:val="92"/>
        </w:numPr>
        <w:tabs>
          <w:tab w:val="left" w:pos="2156"/>
          <w:tab w:val="left" w:pos="2157"/>
        </w:tabs>
        <w:spacing w:before="61"/>
        <w:ind w:left="2156" w:right="2063"/>
      </w:pPr>
      <w:r>
        <w:t>Which</w:t>
      </w:r>
      <w:r>
        <w:rPr>
          <w:spacing w:val="-3"/>
        </w:rPr>
        <w:t xml:space="preserve"> </w:t>
      </w:r>
      <w:r>
        <w:t>counseling</w:t>
      </w:r>
      <w:r>
        <w:rPr>
          <w:spacing w:val="-3"/>
        </w:rPr>
        <w:t xml:space="preserve"> </w:t>
      </w:r>
      <w:r>
        <w:t>staff</w:t>
      </w:r>
      <w:r>
        <w:rPr>
          <w:spacing w:val="-5"/>
        </w:rPr>
        <w:t xml:space="preserve"> </w:t>
      </w:r>
      <w:r>
        <w:t>members</w:t>
      </w:r>
      <w:r>
        <w:rPr>
          <w:spacing w:val="-2"/>
        </w:rPr>
        <w:t xml:space="preserve"> </w:t>
      </w:r>
      <w:r>
        <w:t>have</w:t>
      </w:r>
      <w:r>
        <w:rPr>
          <w:spacing w:val="-4"/>
        </w:rPr>
        <w:t xml:space="preserve"> </w:t>
      </w:r>
      <w:r>
        <w:t>already</w:t>
      </w:r>
      <w:r>
        <w:rPr>
          <w:spacing w:val="-1"/>
        </w:rPr>
        <w:t xml:space="preserve"> </w:t>
      </w:r>
      <w:r>
        <w:t>been</w:t>
      </w:r>
      <w:r>
        <w:rPr>
          <w:spacing w:val="-5"/>
        </w:rPr>
        <w:t xml:space="preserve"> </w:t>
      </w:r>
      <w:r>
        <w:t>trained</w:t>
      </w:r>
      <w:r>
        <w:rPr>
          <w:spacing w:val="-3"/>
        </w:rPr>
        <w:t xml:space="preserve"> </w:t>
      </w:r>
      <w:r>
        <w:t>and</w:t>
      </w:r>
      <w:r>
        <w:rPr>
          <w:spacing w:val="-3"/>
        </w:rPr>
        <w:t xml:space="preserve"> </w:t>
      </w:r>
      <w:r>
        <w:t>are</w:t>
      </w:r>
      <w:r>
        <w:rPr>
          <w:spacing w:val="-1"/>
        </w:rPr>
        <w:t xml:space="preserve"> </w:t>
      </w:r>
      <w:r>
        <w:t>using</w:t>
      </w:r>
      <w:r>
        <w:rPr>
          <w:spacing w:val="-5"/>
        </w:rPr>
        <w:t xml:space="preserve"> </w:t>
      </w:r>
      <w:r>
        <w:t>MI</w:t>
      </w:r>
      <w:r>
        <w:rPr>
          <w:spacing w:val="-2"/>
        </w:rPr>
        <w:t xml:space="preserve"> </w:t>
      </w:r>
      <w:r>
        <w:t>skills</w:t>
      </w:r>
      <w:r>
        <w:rPr>
          <w:spacing w:val="-2"/>
        </w:rPr>
        <w:t xml:space="preserve"> </w:t>
      </w:r>
      <w:r>
        <w:t>in</w:t>
      </w:r>
      <w:r>
        <w:rPr>
          <w:spacing w:val="-3"/>
        </w:rPr>
        <w:t xml:space="preserve"> </w:t>
      </w:r>
      <w:r>
        <w:t>their counseling approach? Which staff need a foundational workshop?</w:t>
      </w:r>
    </w:p>
    <w:p w14:paraId="311DA32F" w14:textId="77777777" w:rsidR="00DB6E1F" w:rsidRDefault="00F666A6">
      <w:pPr>
        <w:pStyle w:val="ListParagraph"/>
        <w:numPr>
          <w:ilvl w:val="1"/>
          <w:numId w:val="92"/>
        </w:numPr>
        <w:tabs>
          <w:tab w:val="left" w:pos="2159"/>
          <w:tab w:val="left" w:pos="2160"/>
        </w:tabs>
        <w:spacing w:before="62"/>
      </w:pPr>
      <w:r>
        <w:t>Which</w:t>
      </w:r>
      <w:r>
        <w:rPr>
          <w:spacing w:val="-7"/>
        </w:rPr>
        <w:t xml:space="preserve"> </w:t>
      </w:r>
      <w:r>
        <w:t>clinical</w:t>
      </w:r>
      <w:r>
        <w:rPr>
          <w:spacing w:val="-4"/>
        </w:rPr>
        <w:t xml:space="preserve"> </w:t>
      </w:r>
      <w:r>
        <w:t>supervisors</w:t>
      </w:r>
      <w:r>
        <w:rPr>
          <w:spacing w:val="-6"/>
        </w:rPr>
        <w:t xml:space="preserve"> </w:t>
      </w:r>
      <w:r>
        <w:t>have</w:t>
      </w:r>
      <w:r>
        <w:rPr>
          <w:spacing w:val="-3"/>
        </w:rPr>
        <w:t xml:space="preserve"> </w:t>
      </w:r>
      <w:r>
        <w:t>been</w:t>
      </w:r>
      <w:r>
        <w:rPr>
          <w:spacing w:val="-5"/>
        </w:rPr>
        <w:t xml:space="preserve"> </w:t>
      </w:r>
      <w:r>
        <w:t>trained</w:t>
      </w:r>
      <w:r>
        <w:rPr>
          <w:spacing w:val="-5"/>
        </w:rPr>
        <w:t xml:space="preserve"> </w:t>
      </w:r>
      <w:r>
        <w:t>in</w:t>
      </w:r>
      <w:r>
        <w:rPr>
          <w:spacing w:val="-5"/>
        </w:rPr>
        <w:t xml:space="preserve"> </w:t>
      </w:r>
      <w:r>
        <w:t>MI</w:t>
      </w:r>
      <w:r>
        <w:rPr>
          <w:spacing w:val="-7"/>
        </w:rPr>
        <w:t xml:space="preserve"> </w:t>
      </w:r>
      <w:r>
        <w:t>and</w:t>
      </w:r>
      <w:r>
        <w:rPr>
          <w:spacing w:val="-4"/>
        </w:rPr>
        <w:t xml:space="preserve"> </w:t>
      </w:r>
      <w:r>
        <w:t>demonstrate</w:t>
      </w:r>
      <w:r>
        <w:rPr>
          <w:spacing w:val="-4"/>
        </w:rPr>
        <w:t xml:space="preserve"> </w:t>
      </w:r>
      <w:r>
        <w:t>skill</w:t>
      </w:r>
      <w:r>
        <w:rPr>
          <w:spacing w:val="-3"/>
        </w:rPr>
        <w:t xml:space="preserve"> </w:t>
      </w:r>
      <w:r>
        <w:rPr>
          <w:spacing w:val="-2"/>
        </w:rPr>
        <w:t>competence?</w:t>
      </w:r>
    </w:p>
    <w:p w14:paraId="590A092E" w14:textId="77777777" w:rsidR="00DB6E1F" w:rsidRDefault="00DB6E1F">
      <w:pPr>
        <w:sectPr w:rsidR="00DB6E1F">
          <w:pgSz w:w="12240" w:h="15840"/>
          <w:pgMar w:top="1200" w:right="0" w:bottom="780" w:left="0" w:header="763" w:footer="585" w:gutter="0"/>
          <w:cols w:space="720"/>
        </w:sectPr>
      </w:pPr>
    </w:p>
    <w:p w14:paraId="710F1202" w14:textId="77777777" w:rsidR="00DB6E1F" w:rsidRDefault="00DB6E1F">
      <w:pPr>
        <w:pStyle w:val="BodyText"/>
        <w:rPr>
          <w:sz w:val="11"/>
        </w:rPr>
      </w:pPr>
    </w:p>
    <w:p w14:paraId="6A32D0EF" w14:textId="77777777" w:rsidR="00DB6E1F" w:rsidRDefault="00F666A6">
      <w:pPr>
        <w:pStyle w:val="Heading5"/>
        <w:numPr>
          <w:ilvl w:val="0"/>
          <w:numId w:val="92"/>
        </w:numPr>
        <w:tabs>
          <w:tab w:val="left" w:pos="1800"/>
          <w:tab w:val="left" w:pos="1801"/>
        </w:tabs>
        <w:spacing w:before="101"/>
        <w:ind w:left="1800"/>
        <w:rPr>
          <w:rFonts w:ascii="Symbol" w:hAnsi="Symbol"/>
          <w:b w:val="0"/>
        </w:rPr>
      </w:pPr>
      <w:r>
        <w:t>Tailoring</w:t>
      </w:r>
      <w:r>
        <w:rPr>
          <w:spacing w:val="-5"/>
        </w:rPr>
        <w:t xml:space="preserve"> </w:t>
      </w:r>
      <w:r>
        <w:t>a</w:t>
      </w:r>
      <w:r>
        <w:rPr>
          <w:spacing w:val="-5"/>
        </w:rPr>
        <w:t xml:space="preserve"> </w:t>
      </w:r>
      <w:r>
        <w:t>training</w:t>
      </w:r>
      <w:r>
        <w:rPr>
          <w:spacing w:val="-4"/>
        </w:rPr>
        <w:t xml:space="preserve"> </w:t>
      </w:r>
      <w:r>
        <w:t>program</w:t>
      </w:r>
      <w:r>
        <w:rPr>
          <w:spacing w:val="-4"/>
        </w:rPr>
        <w:t xml:space="preserve"> </w:t>
      </w:r>
      <w:r>
        <w:t>to</w:t>
      </w:r>
      <w:r>
        <w:rPr>
          <w:spacing w:val="-5"/>
        </w:rPr>
        <w:t xml:space="preserve"> </w:t>
      </w:r>
      <w:r>
        <w:t>meet</w:t>
      </w:r>
      <w:r>
        <w:rPr>
          <w:spacing w:val="-5"/>
        </w:rPr>
        <w:t xml:space="preserve"> </w:t>
      </w:r>
      <w:r>
        <w:t>staff</w:t>
      </w:r>
      <w:r>
        <w:rPr>
          <w:spacing w:val="-4"/>
        </w:rPr>
        <w:t xml:space="preserve"> needs</w:t>
      </w:r>
    </w:p>
    <w:p w14:paraId="3A86448E" w14:textId="77777777" w:rsidR="00DB6E1F" w:rsidRDefault="00F666A6">
      <w:pPr>
        <w:pStyle w:val="ListParagraph"/>
        <w:numPr>
          <w:ilvl w:val="1"/>
          <w:numId w:val="92"/>
        </w:numPr>
        <w:tabs>
          <w:tab w:val="left" w:pos="2160"/>
          <w:tab w:val="left" w:pos="2161"/>
        </w:tabs>
        <w:ind w:left="2160" w:right="1943"/>
      </w:pPr>
      <w:r>
        <w:t>How</w:t>
      </w:r>
      <w:r>
        <w:rPr>
          <w:spacing w:val="-4"/>
        </w:rPr>
        <w:t xml:space="preserve"> </w:t>
      </w:r>
      <w:r>
        <w:t>will</w:t>
      </w:r>
      <w:r>
        <w:rPr>
          <w:spacing w:val="-2"/>
        </w:rPr>
        <w:t xml:space="preserve"> </w:t>
      </w:r>
      <w:r>
        <w:t>the</w:t>
      </w:r>
      <w:r>
        <w:rPr>
          <w:spacing w:val="-4"/>
        </w:rPr>
        <w:t xml:space="preserve"> </w:t>
      </w:r>
      <w:r>
        <w:t>organization</w:t>
      </w:r>
      <w:r>
        <w:rPr>
          <w:spacing w:val="-3"/>
        </w:rPr>
        <w:t xml:space="preserve"> </w:t>
      </w:r>
      <w:r>
        <w:t>assess</w:t>
      </w:r>
      <w:r>
        <w:rPr>
          <w:spacing w:val="-2"/>
        </w:rPr>
        <w:t xml:space="preserve"> </w:t>
      </w:r>
      <w:r>
        <w:t>current</w:t>
      </w:r>
      <w:r>
        <w:rPr>
          <w:spacing w:val="-1"/>
        </w:rPr>
        <w:t xml:space="preserve"> </w:t>
      </w:r>
      <w:r>
        <w:t>counselor</w:t>
      </w:r>
      <w:r>
        <w:rPr>
          <w:spacing w:val="-2"/>
        </w:rPr>
        <w:t xml:space="preserve"> </w:t>
      </w:r>
      <w:r>
        <w:t>skill</w:t>
      </w:r>
      <w:r>
        <w:rPr>
          <w:spacing w:val="-2"/>
        </w:rPr>
        <w:t xml:space="preserve"> </w:t>
      </w:r>
      <w:r>
        <w:t>level</w:t>
      </w:r>
      <w:r>
        <w:rPr>
          <w:spacing w:val="-2"/>
        </w:rPr>
        <w:t xml:space="preserve"> </w:t>
      </w:r>
      <w:r>
        <w:t>in</w:t>
      </w:r>
      <w:r>
        <w:rPr>
          <w:spacing w:val="-3"/>
        </w:rPr>
        <w:t xml:space="preserve"> </w:t>
      </w:r>
      <w:r>
        <w:t>MI</w:t>
      </w:r>
      <w:r>
        <w:rPr>
          <w:spacing w:val="-5"/>
        </w:rPr>
        <w:t xml:space="preserve"> </w:t>
      </w:r>
      <w:r>
        <w:t>and</w:t>
      </w:r>
      <w:r>
        <w:rPr>
          <w:spacing w:val="-3"/>
        </w:rPr>
        <w:t xml:space="preserve"> </w:t>
      </w:r>
      <w:r>
        <w:t>tailor</w:t>
      </w:r>
      <w:r>
        <w:rPr>
          <w:spacing w:val="-4"/>
        </w:rPr>
        <w:t xml:space="preserve"> </w:t>
      </w:r>
      <w:r>
        <w:t>the</w:t>
      </w:r>
      <w:r>
        <w:rPr>
          <w:spacing w:val="-3"/>
        </w:rPr>
        <w:t xml:space="preserve"> </w:t>
      </w:r>
      <w:r>
        <w:t>training</w:t>
      </w:r>
      <w:r>
        <w:rPr>
          <w:spacing w:val="-3"/>
        </w:rPr>
        <w:t xml:space="preserve"> </w:t>
      </w:r>
      <w:r>
        <w:t>to different counselor skill levels?</w:t>
      </w:r>
    </w:p>
    <w:p w14:paraId="4C00CC5C" w14:textId="77777777" w:rsidR="00DB6E1F" w:rsidRDefault="00F666A6">
      <w:pPr>
        <w:pStyle w:val="ListParagraph"/>
        <w:numPr>
          <w:ilvl w:val="1"/>
          <w:numId w:val="92"/>
        </w:numPr>
        <w:tabs>
          <w:tab w:val="left" w:pos="2159"/>
          <w:tab w:val="left" w:pos="2160"/>
        </w:tabs>
        <w:ind w:hanging="361"/>
      </w:pPr>
      <w:r>
        <w:t>Which</w:t>
      </w:r>
      <w:r>
        <w:rPr>
          <w:spacing w:val="-3"/>
        </w:rPr>
        <w:t xml:space="preserve"> </w:t>
      </w:r>
      <w:r>
        <w:t>would</w:t>
      </w:r>
      <w:r>
        <w:rPr>
          <w:spacing w:val="-3"/>
        </w:rPr>
        <w:t xml:space="preserve"> </w:t>
      </w:r>
      <w:r>
        <w:t>be</w:t>
      </w:r>
      <w:r>
        <w:rPr>
          <w:spacing w:val="-4"/>
        </w:rPr>
        <w:t xml:space="preserve"> </w:t>
      </w:r>
      <w:r>
        <w:t>most</w:t>
      </w:r>
      <w:r>
        <w:rPr>
          <w:spacing w:val="-4"/>
        </w:rPr>
        <w:t xml:space="preserve"> </w:t>
      </w:r>
      <w:r>
        <w:t>effective</w:t>
      </w:r>
      <w:r>
        <w:rPr>
          <w:spacing w:val="-4"/>
        </w:rPr>
        <w:t xml:space="preserve"> </w:t>
      </w:r>
      <w:r>
        <w:t>for</w:t>
      </w:r>
      <w:r>
        <w:rPr>
          <w:spacing w:val="-5"/>
        </w:rPr>
        <w:t xml:space="preserve"> </w:t>
      </w:r>
      <w:r>
        <w:t xml:space="preserve">the </w:t>
      </w:r>
      <w:r>
        <w:rPr>
          <w:spacing w:val="-2"/>
        </w:rPr>
        <w:t>program:</w:t>
      </w:r>
    </w:p>
    <w:p w14:paraId="55ACB7EB" w14:textId="77777777" w:rsidR="00DB6E1F" w:rsidRDefault="00F666A6">
      <w:pPr>
        <w:pStyle w:val="ListParagraph"/>
        <w:numPr>
          <w:ilvl w:val="2"/>
          <w:numId w:val="92"/>
        </w:numPr>
        <w:tabs>
          <w:tab w:val="left" w:pos="2519"/>
          <w:tab w:val="left" w:pos="2520"/>
        </w:tabs>
        <w:spacing w:before="58"/>
        <w:ind w:left="2519"/>
      </w:pPr>
      <w:r>
        <w:t>Sending</w:t>
      </w:r>
      <w:r>
        <w:rPr>
          <w:spacing w:val="-6"/>
        </w:rPr>
        <w:t xml:space="preserve"> </w:t>
      </w:r>
      <w:r>
        <w:t>all</w:t>
      </w:r>
      <w:r>
        <w:rPr>
          <w:spacing w:val="-4"/>
        </w:rPr>
        <w:t xml:space="preserve"> </w:t>
      </w:r>
      <w:r>
        <w:t>counseling</w:t>
      </w:r>
      <w:r>
        <w:rPr>
          <w:spacing w:val="-4"/>
        </w:rPr>
        <w:t xml:space="preserve"> </w:t>
      </w:r>
      <w:r>
        <w:t>staff</w:t>
      </w:r>
      <w:r>
        <w:rPr>
          <w:spacing w:val="-6"/>
        </w:rPr>
        <w:t xml:space="preserve"> </w:t>
      </w:r>
      <w:r>
        <w:t>to</w:t>
      </w:r>
      <w:r>
        <w:rPr>
          <w:spacing w:val="-5"/>
        </w:rPr>
        <w:t xml:space="preserve"> </w:t>
      </w:r>
      <w:r>
        <w:t>a</w:t>
      </w:r>
      <w:r>
        <w:rPr>
          <w:spacing w:val="-3"/>
        </w:rPr>
        <w:t xml:space="preserve"> </w:t>
      </w:r>
      <w:r>
        <w:t>series</w:t>
      </w:r>
      <w:r>
        <w:rPr>
          <w:spacing w:val="-6"/>
        </w:rPr>
        <w:t xml:space="preserve"> </w:t>
      </w:r>
      <w:r>
        <w:t>of</w:t>
      </w:r>
      <w:r>
        <w:rPr>
          <w:spacing w:val="-3"/>
        </w:rPr>
        <w:t xml:space="preserve"> </w:t>
      </w:r>
      <w:r>
        <w:t>trainings</w:t>
      </w:r>
      <w:r>
        <w:rPr>
          <w:spacing w:val="-4"/>
        </w:rPr>
        <w:t xml:space="preserve"> </w:t>
      </w:r>
      <w:r>
        <w:t>provided</w:t>
      </w:r>
      <w:r>
        <w:rPr>
          <w:spacing w:val="-4"/>
        </w:rPr>
        <w:t xml:space="preserve"> </w:t>
      </w:r>
      <w:r>
        <w:t>by</w:t>
      </w:r>
      <w:r>
        <w:rPr>
          <w:spacing w:val="-6"/>
        </w:rPr>
        <w:t xml:space="preserve"> </w:t>
      </w:r>
      <w:r>
        <w:t>outside</w:t>
      </w:r>
      <w:r>
        <w:rPr>
          <w:spacing w:val="-2"/>
        </w:rPr>
        <w:t xml:space="preserve"> experts?</w:t>
      </w:r>
    </w:p>
    <w:p w14:paraId="5E188BAF" w14:textId="77777777" w:rsidR="00DB6E1F" w:rsidRDefault="00F666A6">
      <w:pPr>
        <w:pStyle w:val="ListParagraph"/>
        <w:numPr>
          <w:ilvl w:val="2"/>
          <w:numId w:val="92"/>
        </w:numPr>
        <w:tabs>
          <w:tab w:val="left" w:pos="2520"/>
          <w:tab w:val="left" w:pos="2521"/>
        </w:tabs>
        <w:spacing w:before="22" w:line="259" w:lineRule="auto"/>
        <w:ind w:left="2519" w:right="1467" w:hanging="360"/>
      </w:pPr>
      <w:r>
        <w:t>Training</w:t>
      </w:r>
      <w:r>
        <w:rPr>
          <w:spacing w:val="-2"/>
        </w:rPr>
        <w:t xml:space="preserve"> </w:t>
      </w:r>
      <w:r>
        <w:t>one</w:t>
      </w:r>
      <w:r>
        <w:rPr>
          <w:spacing w:val="-4"/>
        </w:rPr>
        <w:t xml:space="preserve"> </w:t>
      </w:r>
      <w:r>
        <w:t>or</w:t>
      </w:r>
      <w:r>
        <w:rPr>
          <w:spacing w:val="-5"/>
        </w:rPr>
        <w:t xml:space="preserve"> </w:t>
      </w:r>
      <w:r>
        <w:t>two clinical</w:t>
      </w:r>
      <w:r>
        <w:rPr>
          <w:spacing w:val="-5"/>
        </w:rPr>
        <w:t xml:space="preserve"> </w:t>
      </w:r>
      <w:r>
        <w:t>supervisors</w:t>
      </w:r>
      <w:r>
        <w:rPr>
          <w:spacing w:val="-4"/>
        </w:rPr>
        <w:t xml:space="preserve"> </w:t>
      </w:r>
      <w:r>
        <w:t>to</w:t>
      </w:r>
      <w:r>
        <w:rPr>
          <w:spacing w:val="-3"/>
        </w:rPr>
        <w:t xml:space="preserve"> </w:t>
      </w:r>
      <w:r>
        <w:t>provide</w:t>
      </w:r>
      <w:r>
        <w:rPr>
          <w:spacing w:val="-1"/>
        </w:rPr>
        <w:t xml:space="preserve"> </w:t>
      </w:r>
      <w:r>
        <w:t>in-house</w:t>
      </w:r>
      <w:r>
        <w:rPr>
          <w:spacing w:val="-4"/>
        </w:rPr>
        <w:t xml:space="preserve"> </w:t>
      </w:r>
      <w:r>
        <w:t>training</w:t>
      </w:r>
      <w:r>
        <w:rPr>
          <w:spacing w:val="-2"/>
        </w:rPr>
        <w:t xml:space="preserve"> </w:t>
      </w:r>
      <w:r>
        <w:t>and</w:t>
      </w:r>
      <w:r>
        <w:rPr>
          <w:spacing w:val="-3"/>
        </w:rPr>
        <w:t xml:space="preserve"> </w:t>
      </w:r>
      <w:r>
        <w:t>ongoing</w:t>
      </w:r>
      <w:r>
        <w:rPr>
          <w:spacing w:val="-5"/>
        </w:rPr>
        <w:t xml:space="preserve"> </w:t>
      </w:r>
      <w:r>
        <w:t>supervision of staff?</w:t>
      </w:r>
    </w:p>
    <w:p w14:paraId="6EB3A631" w14:textId="77777777" w:rsidR="00DB6E1F" w:rsidRDefault="00F666A6">
      <w:pPr>
        <w:pStyle w:val="ListParagraph"/>
        <w:numPr>
          <w:ilvl w:val="2"/>
          <w:numId w:val="92"/>
        </w:numPr>
        <w:tabs>
          <w:tab w:val="left" w:pos="2519"/>
          <w:tab w:val="left" w:pos="2520"/>
        </w:tabs>
        <w:spacing w:before="1"/>
        <w:ind w:left="2519"/>
      </w:pPr>
      <w:r>
        <w:t>Bringing</w:t>
      </w:r>
      <w:r>
        <w:rPr>
          <w:spacing w:val="-7"/>
        </w:rPr>
        <w:t xml:space="preserve"> </w:t>
      </w:r>
      <w:r>
        <w:t>an</w:t>
      </w:r>
      <w:r>
        <w:rPr>
          <w:spacing w:val="-5"/>
        </w:rPr>
        <w:t xml:space="preserve"> </w:t>
      </w:r>
      <w:r>
        <w:t>outside</w:t>
      </w:r>
      <w:r>
        <w:rPr>
          <w:spacing w:val="-6"/>
        </w:rPr>
        <w:t xml:space="preserve"> </w:t>
      </w:r>
      <w:r>
        <w:t>expert</w:t>
      </w:r>
      <w:r>
        <w:rPr>
          <w:spacing w:val="-3"/>
        </w:rPr>
        <w:t xml:space="preserve"> </w:t>
      </w:r>
      <w:r>
        <w:t>into</w:t>
      </w:r>
      <w:r>
        <w:rPr>
          <w:spacing w:val="-4"/>
        </w:rPr>
        <w:t xml:space="preserve"> </w:t>
      </w:r>
      <w:r>
        <w:t>the</w:t>
      </w:r>
      <w:r>
        <w:rPr>
          <w:spacing w:val="-6"/>
        </w:rPr>
        <w:t xml:space="preserve"> </w:t>
      </w:r>
      <w:r>
        <w:t>organization</w:t>
      </w:r>
      <w:r>
        <w:rPr>
          <w:spacing w:val="-5"/>
        </w:rPr>
        <w:t xml:space="preserve"> </w:t>
      </w:r>
      <w:r>
        <w:t>to</w:t>
      </w:r>
      <w:r>
        <w:rPr>
          <w:spacing w:val="-3"/>
        </w:rPr>
        <w:t xml:space="preserve"> </w:t>
      </w:r>
      <w:r>
        <w:t>provide</w:t>
      </w:r>
      <w:r>
        <w:rPr>
          <w:spacing w:val="-3"/>
        </w:rPr>
        <w:t xml:space="preserve"> </w:t>
      </w:r>
      <w:r>
        <w:rPr>
          <w:spacing w:val="-2"/>
        </w:rPr>
        <w:t>training?</w:t>
      </w:r>
    </w:p>
    <w:p w14:paraId="7CFB9C09" w14:textId="77777777" w:rsidR="00DB6E1F" w:rsidRDefault="00F666A6">
      <w:pPr>
        <w:pStyle w:val="ListParagraph"/>
        <w:numPr>
          <w:ilvl w:val="2"/>
          <w:numId w:val="92"/>
        </w:numPr>
        <w:tabs>
          <w:tab w:val="left" w:pos="2519"/>
          <w:tab w:val="left" w:pos="2520"/>
        </w:tabs>
        <w:spacing w:before="19"/>
        <w:ind w:left="2519"/>
      </w:pPr>
      <w:r>
        <w:t>A</w:t>
      </w:r>
      <w:r>
        <w:rPr>
          <w:spacing w:val="-4"/>
        </w:rPr>
        <w:t xml:space="preserve"> </w:t>
      </w:r>
      <w:r>
        <w:t>combination</w:t>
      </w:r>
      <w:r>
        <w:rPr>
          <w:spacing w:val="-4"/>
        </w:rPr>
        <w:t xml:space="preserve"> </w:t>
      </w:r>
      <w:r>
        <w:t>of</w:t>
      </w:r>
      <w:r>
        <w:rPr>
          <w:spacing w:val="-5"/>
        </w:rPr>
        <w:t xml:space="preserve"> </w:t>
      </w:r>
      <w:r>
        <w:t>outside</w:t>
      </w:r>
      <w:r>
        <w:rPr>
          <w:spacing w:val="-2"/>
        </w:rPr>
        <w:t xml:space="preserve"> </w:t>
      </w:r>
      <w:r>
        <w:t>and</w:t>
      </w:r>
      <w:r>
        <w:rPr>
          <w:spacing w:val="-4"/>
        </w:rPr>
        <w:t xml:space="preserve"> </w:t>
      </w:r>
      <w:r>
        <w:t>in-house</w:t>
      </w:r>
      <w:r>
        <w:rPr>
          <w:spacing w:val="-2"/>
        </w:rPr>
        <w:t xml:space="preserve"> training?</w:t>
      </w:r>
    </w:p>
    <w:p w14:paraId="5B9DF762" w14:textId="77777777" w:rsidR="00DB6E1F" w:rsidRDefault="00F666A6">
      <w:pPr>
        <w:pStyle w:val="ListParagraph"/>
        <w:numPr>
          <w:ilvl w:val="1"/>
          <w:numId w:val="92"/>
        </w:numPr>
        <w:tabs>
          <w:tab w:val="left" w:pos="2159"/>
          <w:tab w:val="left" w:pos="2160"/>
        </w:tabs>
        <w:spacing w:before="22"/>
        <w:ind w:right="2309"/>
      </w:pPr>
      <w:r>
        <w:t>What</w:t>
      </w:r>
      <w:r>
        <w:rPr>
          <w:spacing w:val="-2"/>
        </w:rPr>
        <w:t xml:space="preserve"> </w:t>
      </w:r>
      <w:r>
        <w:t>strategies</w:t>
      </w:r>
      <w:r>
        <w:rPr>
          <w:spacing w:val="-3"/>
        </w:rPr>
        <w:t xml:space="preserve"> </w:t>
      </w:r>
      <w:r>
        <w:t>will</w:t>
      </w:r>
      <w:r>
        <w:rPr>
          <w:spacing w:val="-6"/>
        </w:rPr>
        <w:t xml:space="preserve"> </w:t>
      </w:r>
      <w:r>
        <w:t>the</w:t>
      </w:r>
      <w:r>
        <w:rPr>
          <w:spacing w:val="-5"/>
        </w:rPr>
        <w:t xml:space="preserve"> </w:t>
      </w:r>
      <w:r>
        <w:t>organization</w:t>
      </w:r>
      <w:r>
        <w:rPr>
          <w:spacing w:val="-4"/>
        </w:rPr>
        <w:t xml:space="preserve"> </w:t>
      </w:r>
      <w:r>
        <w:t>use</w:t>
      </w:r>
      <w:r>
        <w:rPr>
          <w:spacing w:val="-5"/>
        </w:rPr>
        <w:t xml:space="preserve"> </w:t>
      </w:r>
      <w:r>
        <w:t>to</w:t>
      </w:r>
      <w:r>
        <w:rPr>
          <w:spacing w:val="-2"/>
        </w:rPr>
        <w:t xml:space="preserve"> </w:t>
      </w:r>
      <w:r>
        <w:t>balance</w:t>
      </w:r>
      <w:r>
        <w:rPr>
          <w:spacing w:val="-5"/>
        </w:rPr>
        <w:t xml:space="preserve"> </w:t>
      </w:r>
      <w:r>
        <w:t>effective</w:t>
      </w:r>
      <w:r>
        <w:rPr>
          <w:spacing w:val="-2"/>
        </w:rPr>
        <w:t xml:space="preserve"> </w:t>
      </w:r>
      <w:r>
        <w:t>training,</w:t>
      </w:r>
      <w:r>
        <w:rPr>
          <w:spacing w:val="-3"/>
        </w:rPr>
        <w:t xml:space="preserve"> </w:t>
      </w:r>
      <w:r>
        <w:t>supervision,</w:t>
      </w:r>
      <w:r>
        <w:rPr>
          <w:spacing w:val="-3"/>
        </w:rPr>
        <w:t xml:space="preserve"> </w:t>
      </w:r>
      <w:r>
        <w:t>and professional development given cost considerations?</w:t>
      </w:r>
    </w:p>
    <w:p w14:paraId="56285D04" w14:textId="77777777" w:rsidR="00DB6E1F" w:rsidRDefault="00F666A6">
      <w:pPr>
        <w:pStyle w:val="BodyText"/>
        <w:spacing w:before="60"/>
        <w:ind w:left="1439" w:right="1491"/>
      </w:pPr>
      <w:r>
        <w:t>In</w:t>
      </w:r>
      <w:r>
        <w:rPr>
          <w:spacing w:val="-3"/>
        </w:rPr>
        <w:t xml:space="preserve"> </w:t>
      </w:r>
      <w:r>
        <w:t>developing</w:t>
      </w:r>
      <w:r>
        <w:rPr>
          <w:spacing w:val="-3"/>
        </w:rPr>
        <w:t xml:space="preserve"> </w:t>
      </w:r>
      <w:r>
        <w:t>the</w:t>
      </w:r>
      <w:r>
        <w:rPr>
          <w:spacing w:val="-4"/>
        </w:rPr>
        <w:t xml:space="preserve"> </w:t>
      </w:r>
      <w:r>
        <w:t>training</w:t>
      </w:r>
      <w:r>
        <w:rPr>
          <w:spacing w:val="-5"/>
        </w:rPr>
        <w:t xml:space="preserve"> </w:t>
      </w:r>
      <w:r>
        <w:t>plan,</w:t>
      </w:r>
      <w:r>
        <w:rPr>
          <w:spacing w:val="-2"/>
        </w:rPr>
        <w:t xml:space="preserve"> </w:t>
      </w:r>
      <w:r>
        <w:t>the</w:t>
      </w:r>
      <w:r>
        <w:rPr>
          <w:spacing w:val="-4"/>
        </w:rPr>
        <w:t xml:space="preserve"> </w:t>
      </w:r>
      <w:r>
        <w:t>organization</w:t>
      </w:r>
      <w:r>
        <w:rPr>
          <w:spacing w:val="-3"/>
        </w:rPr>
        <w:t xml:space="preserve"> </w:t>
      </w:r>
      <w:r>
        <w:t>should</w:t>
      </w:r>
      <w:r>
        <w:rPr>
          <w:spacing w:val="-3"/>
        </w:rPr>
        <w:t xml:space="preserve"> </w:t>
      </w:r>
      <w:r>
        <w:t>consider</w:t>
      </w:r>
      <w:r>
        <w:rPr>
          <w:spacing w:val="-2"/>
        </w:rPr>
        <w:t xml:space="preserve"> </w:t>
      </w:r>
      <w:r>
        <w:t>integrating</w:t>
      </w:r>
      <w:r>
        <w:rPr>
          <w:spacing w:val="-2"/>
        </w:rPr>
        <w:t xml:space="preserve"> </w:t>
      </w:r>
      <w:r>
        <w:t>a</w:t>
      </w:r>
      <w:r>
        <w:rPr>
          <w:spacing w:val="-2"/>
        </w:rPr>
        <w:t xml:space="preserve"> </w:t>
      </w:r>
      <w:r>
        <w:t>new</w:t>
      </w:r>
      <w:r>
        <w:rPr>
          <w:spacing w:val="-1"/>
        </w:rPr>
        <w:t xml:space="preserve"> </w:t>
      </w:r>
      <w:r>
        <w:t>counseling</w:t>
      </w:r>
      <w:r>
        <w:rPr>
          <w:spacing w:val="-3"/>
        </w:rPr>
        <w:t xml:space="preserve"> </w:t>
      </w:r>
      <w:r>
        <w:t>approach into the SUD treatment program a long-term project that</w:t>
      </w:r>
      <w:r>
        <w:t xml:space="preserve"> needs buy-in by the entire organization.</w:t>
      </w:r>
    </w:p>
    <w:p w14:paraId="65854A4D" w14:textId="77777777" w:rsidR="00DB6E1F" w:rsidRDefault="00DB6E1F">
      <w:pPr>
        <w:pStyle w:val="BodyText"/>
        <w:spacing w:before="4"/>
        <w:rPr>
          <w:sz w:val="13"/>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2BBA06EF" w14:textId="77777777">
        <w:trPr>
          <w:trHeight w:val="4142"/>
        </w:trPr>
        <w:tc>
          <w:tcPr>
            <w:tcW w:w="9350" w:type="dxa"/>
            <w:shd w:val="clear" w:color="auto" w:fill="E7E6E6"/>
          </w:tcPr>
          <w:p w14:paraId="458062BC" w14:textId="77777777" w:rsidR="00DB6E1F" w:rsidRDefault="00F666A6">
            <w:pPr>
              <w:pStyle w:val="TableParagraph"/>
              <w:spacing w:before="121"/>
              <w:ind w:firstLine="158"/>
              <w:rPr>
                <w:b/>
                <w:sz w:val="20"/>
              </w:rPr>
            </w:pPr>
            <w:r>
              <w:rPr>
                <w:b/>
                <w:sz w:val="20"/>
              </w:rPr>
              <w:t>Counselor</w:t>
            </w:r>
            <w:r>
              <w:rPr>
                <w:b/>
                <w:spacing w:val="-6"/>
                <w:sz w:val="20"/>
              </w:rPr>
              <w:t xml:space="preserve"> </w:t>
            </w:r>
            <w:r>
              <w:rPr>
                <w:b/>
                <w:sz w:val="20"/>
              </w:rPr>
              <w:t>Note:</w:t>
            </w:r>
            <w:r>
              <w:rPr>
                <w:b/>
                <w:spacing w:val="-6"/>
                <w:sz w:val="20"/>
              </w:rPr>
              <w:t xml:space="preserve"> </w:t>
            </w:r>
            <w:r>
              <w:rPr>
                <w:b/>
                <w:sz w:val="20"/>
              </w:rPr>
              <w:t>Implementation</w:t>
            </w:r>
            <w:r>
              <w:rPr>
                <w:b/>
                <w:spacing w:val="-5"/>
                <w:sz w:val="20"/>
              </w:rPr>
              <w:t xml:space="preserve"> </w:t>
            </w:r>
            <w:r>
              <w:rPr>
                <w:b/>
                <w:sz w:val="20"/>
              </w:rPr>
              <w:t>of</w:t>
            </w:r>
            <w:r>
              <w:rPr>
                <w:b/>
                <w:spacing w:val="-6"/>
                <w:sz w:val="20"/>
              </w:rPr>
              <w:t xml:space="preserve"> </w:t>
            </w:r>
            <w:r>
              <w:rPr>
                <w:b/>
                <w:sz w:val="20"/>
              </w:rPr>
              <w:t>MET</w:t>
            </w:r>
            <w:r>
              <w:rPr>
                <w:b/>
                <w:spacing w:val="-6"/>
                <w:sz w:val="20"/>
              </w:rPr>
              <w:t xml:space="preserve"> </w:t>
            </w:r>
            <w:r>
              <w:rPr>
                <w:b/>
                <w:sz w:val="20"/>
              </w:rPr>
              <w:t>in</w:t>
            </w:r>
            <w:r>
              <w:rPr>
                <w:b/>
                <w:spacing w:val="-5"/>
                <w:sz w:val="20"/>
              </w:rPr>
              <w:t xml:space="preserve"> </w:t>
            </w:r>
            <w:r>
              <w:rPr>
                <w:b/>
                <w:sz w:val="20"/>
              </w:rPr>
              <w:t>SUD</w:t>
            </w:r>
            <w:r>
              <w:rPr>
                <w:b/>
                <w:spacing w:val="-7"/>
                <w:sz w:val="20"/>
              </w:rPr>
              <w:t xml:space="preserve"> </w:t>
            </w:r>
            <w:r>
              <w:rPr>
                <w:b/>
                <w:sz w:val="20"/>
              </w:rPr>
              <w:t>Treatment</w:t>
            </w:r>
            <w:r>
              <w:rPr>
                <w:b/>
                <w:spacing w:val="-6"/>
                <w:sz w:val="20"/>
              </w:rPr>
              <w:t xml:space="preserve"> </w:t>
            </w:r>
            <w:r>
              <w:rPr>
                <w:b/>
                <w:sz w:val="20"/>
              </w:rPr>
              <w:t>Services</w:t>
            </w:r>
            <w:r>
              <w:rPr>
                <w:b/>
                <w:spacing w:val="-6"/>
                <w:sz w:val="20"/>
              </w:rPr>
              <w:t xml:space="preserve"> </w:t>
            </w:r>
            <w:r>
              <w:rPr>
                <w:b/>
                <w:sz w:val="20"/>
              </w:rPr>
              <w:t>in</w:t>
            </w:r>
            <w:r>
              <w:rPr>
                <w:b/>
                <w:spacing w:val="-5"/>
                <w:sz w:val="20"/>
              </w:rPr>
              <w:t xml:space="preserve"> </w:t>
            </w:r>
            <w:r>
              <w:rPr>
                <w:b/>
                <w:sz w:val="20"/>
              </w:rPr>
              <w:t>the</w:t>
            </w:r>
            <w:r>
              <w:rPr>
                <w:b/>
                <w:spacing w:val="-6"/>
                <w:sz w:val="20"/>
              </w:rPr>
              <w:t xml:space="preserve"> </w:t>
            </w:r>
            <w:r>
              <w:rPr>
                <w:b/>
                <w:sz w:val="20"/>
              </w:rPr>
              <w:t>Veterans</w:t>
            </w:r>
            <w:r>
              <w:rPr>
                <w:b/>
                <w:spacing w:val="-6"/>
                <w:sz w:val="20"/>
              </w:rPr>
              <w:t xml:space="preserve"> </w:t>
            </w:r>
            <w:r>
              <w:rPr>
                <w:b/>
                <w:sz w:val="20"/>
              </w:rPr>
              <w:t>Health</w:t>
            </w:r>
            <w:r>
              <w:rPr>
                <w:b/>
                <w:spacing w:val="-5"/>
                <w:sz w:val="20"/>
              </w:rPr>
              <w:t xml:space="preserve"> </w:t>
            </w:r>
            <w:r>
              <w:rPr>
                <w:b/>
                <w:spacing w:val="-2"/>
                <w:sz w:val="20"/>
              </w:rPr>
              <w:t>Administration</w:t>
            </w:r>
          </w:p>
          <w:p w14:paraId="69589C50" w14:textId="77777777" w:rsidR="00DB6E1F" w:rsidRDefault="00F666A6">
            <w:pPr>
              <w:pStyle w:val="TableParagraph"/>
              <w:spacing w:before="118"/>
              <w:rPr>
                <w:sz w:val="20"/>
              </w:rPr>
            </w:pPr>
            <w:r>
              <w:rPr>
                <w:sz w:val="20"/>
              </w:rPr>
              <w:t>In 2011, the</w:t>
            </w:r>
            <w:r>
              <w:rPr>
                <w:spacing w:val="-1"/>
                <w:sz w:val="20"/>
              </w:rPr>
              <w:t xml:space="preserve"> </w:t>
            </w:r>
            <w:r>
              <w:rPr>
                <w:sz w:val="20"/>
              </w:rPr>
              <w:t>Veterans</w:t>
            </w:r>
            <w:r>
              <w:rPr>
                <w:spacing w:val="-1"/>
                <w:sz w:val="20"/>
              </w:rPr>
              <w:t xml:space="preserve"> </w:t>
            </w:r>
            <w:r>
              <w:rPr>
                <w:sz w:val="20"/>
              </w:rPr>
              <w:t>Health Administration (VHA) implemented a national initiative</w:t>
            </w:r>
            <w:r>
              <w:rPr>
                <w:spacing w:val="-1"/>
                <w:sz w:val="20"/>
              </w:rPr>
              <w:t xml:space="preserve"> </w:t>
            </w:r>
            <w:r>
              <w:rPr>
                <w:sz w:val="20"/>
              </w:rPr>
              <w:t>to provide</w:t>
            </w:r>
            <w:r>
              <w:rPr>
                <w:spacing w:val="-1"/>
                <w:sz w:val="20"/>
              </w:rPr>
              <w:t xml:space="preserve"> </w:t>
            </w:r>
            <w:r>
              <w:rPr>
                <w:sz w:val="20"/>
              </w:rPr>
              <w:t xml:space="preserve">evidence-based MET counseling to veterans with SUDs. VHA developed a competency-based training program (Drapkin et al., 2016) that consisted of an initial 3.5-day training on MI plus </w:t>
            </w:r>
            <w:r>
              <w:rPr>
                <w:sz w:val="20"/>
              </w:rPr>
              <w:t>assessment feedback, followed by 6 months of consultation with experienced MI training consultants (TCs). TCs provided ongoing supervision and coaching based on direct observation of counseling sessions using audio recordings. Training materials were adapt</w:t>
            </w:r>
            <w:r>
              <w:rPr>
                <w:sz w:val="20"/>
              </w:rPr>
              <w:t>ed to address</w:t>
            </w:r>
            <w:r>
              <w:rPr>
                <w:spacing w:val="-4"/>
                <w:sz w:val="20"/>
              </w:rPr>
              <w:t xml:space="preserve"> </w:t>
            </w:r>
            <w:r>
              <w:rPr>
                <w:sz w:val="20"/>
              </w:rPr>
              <w:t>the</w:t>
            </w:r>
            <w:r>
              <w:rPr>
                <w:spacing w:val="-1"/>
                <w:sz w:val="20"/>
              </w:rPr>
              <w:t xml:space="preserve"> </w:t>
            </w:r>
            <w:r>
              <w:rPr>
                <w:sz w:val="20"/>
              </w:rPr>
              <w:t>specific</w:t>
            </w:r>
            <w:r>
              <w:rPr>
                <w:spacing w:val="-3"/>
                <w:sz w:val="20"/>
              </w:rPr>
              <w:t xml:space="preserve"> </w:t>
            </w:r>
            <w:r>
              <w:rPr>
                <w:sz w:val="20"/>
              </w:rPr>
              <w:t>needs</w:t>
            </w:r>
            <w:r>
              <w:rPr>
                <w:spacing w:val="-4"/>
                <w:sz w:val="20"/>
              </w:rPr>
              <w:t xml:space="preserve"> </w:t>
            </w:r>
            <w:r>
              <w:rPr>
                <w:sz w:val="20"/>
              </w:rPr>
              <w:t>of</w:t>
            </w:r>
            <w:r>
              <w:rPr>
                <w:spacing w:val="-2"/>
                <w:sz w:val="20"/>
              </w:rPr>
              <w:t xml:space="preserve"> </w:t>
            </w:r>
            <w:r>
              <w:rPr>
                <w:sz w:val="20"/>
              </w:rPr>
              <w:t>veterans.</w:t>
            </w:r>
            <w:r>
              <w:rPr>
                <w:spacing w:val="-3"/>
                <w:sz w:val="20"/>
              </w:rPr>
              <w:t xml:space="preserve"> </w:t>
            </w:r>
            <w:r>
              <w:rPr>
                <w:sz w:val="20"/>
              </w:rPr>
              <w:t>The</w:t>
            </w:r>
            <w:r>
              <w:rPr>
                <w:spacing w:val="-4"/>
                <w:sz w:val="20"/>
              </w:rPr>
              <w:t xml:space="preserve"> </w:t>
            </w:r>
            <w:r>
              <w:rPr>
                <w:sz w:val="20"/>
              </w:rPr>
              <w:t>VHA</w:t>
            </w:r>
            <w:r>
              <w:rPr>
                <w:spacing w:val="-3"/>
                <w:sz w:val="20"/>
              </w:rPr>
              <w:t xml:space="preserve"> </w:t>
            </w:r>
            <w:r>
              <w:rPr>
                <w:sz w:val="20"/>
              </w:rPr>
              <w:t>model</w:t>
            </w:r>
            <w:r>
              <w:rPr>
                <w:spacing w:val="-3"/>
                <w:sz w:val="20"/>
              </w:rPr>
              <w:t xml:space="preserve"> </w:t>
            </w:r>
            <w:r>
              <w:rPr>
                <w:sz w:val="20"/>
              </w:rPr>
              <w:t>of</w:t>
            </w:r>
            <w:r>
              <w:rPr>
                <w:spacing w:val="-4"/>
                <w:sz w:val="20"/>
              </w:rPr>
              <w:t xml:space="preserve"> </w:t>
            </w:r>
            <w:r>
              <w:rPr>
                <w:sz w:val="20"/>
              </w:rPr>
              <w:t>implementation</w:t>
            </w:r>
            <w:r>
              <w:rPr>
                <w:spacing w:val="-2"/>
                <w:sz w:val="20"/>
              </w:rPr>
              <w:t xml:space="preserve"> </w:t>
            </w:r>
            <w:r>
              <w:rPr>
                <w:sz w:val="20"/>
              </w:rPr>
              <w:t>was</w:t>
            </w:r>
            <w:r>
              <w:rPr>
                <w:spacing w:val="-4"/>
                <w:sz w:val="20"/>
              </w:rPr>
              <w:t xml:space="preserve"> </w:t>
            </w:r>
            <w:r>
              <w:rPr>
                <w:sz w:val="20"/>
              </w:rPr>
              <w:t>based</w:t>
            </w:r>
            <w:r>
              <w:rPr>
                <w:spacing w:val="-2"/>
                <w:sz w:val="20"/>
              </w:rPr>
              <w:t xml:space="preserve"> </w:t>
            </w:r>
            <w:r>
              <w:rPr>
                <w:sz w:val="20"/>
              </w:rPr>
              <w:t>on</w:t>
            </w:r>
            <w:r>
              <w:rPr>
                <w:spacing w:val="-2"/>
                <w:sz w:val="20"/>
              </w:rPr>
              <w:t xml:space="preserve"> </w:t>
            </w:r>
            <w:r>
              <w:rPr>
                <w:sz w:val="20"/>
              </w:rPr>
              <w:t>research</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training and supervision of clinical staff in MI to enhance implementation and fidelity.</w:t>
            </w:r>
          </w:p>
          <w:p w14:paraId="077196FC" w14:textId="77777777" w:rsidR="00DB6E1F" w:rsidRDefault="00F666A6">
            <w:pPr>
              <w:pStyle w:val="TableParagraph"/>
              <w:spacing w:before="120"/>
              <w:rPr>
                <w:sz w:val="20"/>
              </w:rPr>
            </w:pPr>
            <w:r>
              <w:rPr>
                <w:sz w:val="20"/>
              </w:rPr>
              <w:t>Implementation of this competency-based model of training an</w:t>
            </w:r>
            <w:r>
              <w:rPr>
                <w:sz w:val="20"/>
              </w:rPr>
              <w:t>d supervision was enhanced by encouraging training participants to actively engage with the VHA MET community by becoming TCs and “MET champions,” who provided information and consultation on how local VHA facilities could best disseminate and implement ME</w:t>
            </w:r>
            <w:r>
              <w:rPr>
                <w:sz w:val="20"/>
              </w:rPr>
              <w:t>T into their SUD treatment approach. TCs participate in monthly national conference calls with other TCs covering advanced MET topics. This model combines the use of outside trainers with in-house workforce development</w:t>
            </w:r>
            <w:r>
              <w:rPr>
                <w:spacing w:val="-2"/>
                <w:sz w:val="20"/>
              </w:rPr>
              <w:t xml:space="preserve"> </w:t>
            </w:r>
            <w:r>
              <w:rPr>
                <w:sz w:val="20"/>
              </w:rPr>
              <w:t>of</w:t>
            </w:r>
            <w:r>
              <w:rPr>
                <w:spacing w:val="-3"/>
                <w:sz w:val="20"/>
              </w:rPr>
              <w:t xml:space="preserve"> </w:t>
            </w:r>
            <w:r>
              <w:rPr>
                <w:sz w:val="20"/>
              </w:rPr>
              <w:t>new</w:t>
            </w:r>
            <w:r>
              <w:rPr>
                <w:spacing w:val="-3"/>
                <w:sz w:val="20"/>
              </w:rPr>
              <w:t xml:space="preserve"> </w:t>
            </w:r>
            <w:r>
              <w:rPr>
                <w:sz w:val="20"/>
              </w:rPr>
              <w:t>trainers</w:t>
            </w:r>
            <w:r>
              <w:rPr>
                <w:spacing w:val="-3"/>
                <w:sz w:val="20"/>
              </w:rPr>
              <w:t xml:space="preserve"> </w:t>
            </w:r>
            <w:r>
              <w:rPr>
                <w:sz w:val="20"/>
              </w:rPr>
              <w:t>and</w:t>
            </w:r>
            <w:r>
              <w:rPr>
                <w:spacing w:val="-2"/>
                <w:sz w:val="20"/>
              </w:rPr>
              <w:t xml:space="preserve"> </w:t>
            </w:r>
            <w:r>
              <w:rPr>
                <w:sz w:val="20"/>
              </w:rPr>
              <w:t>MET</w:t>
            </w:r>
            <w:r>
              <w:rPr>
                <w:spacing w:val="-3"/>
                <w:sz w:val="20"/>
              </w:rPr>
              <w:t xml:space="preserve"> </w:t>
            </w:r>
            <w:r>
              <w:rPr>
                <w:sz w:val="20"/>
              </w:rPr>
              <w:t>champions</w:t>
            </w:r>
            <w:r>
              <w:rPr>
                <w:spacing w:val="-3"/>
                <w:sz w:val="20"/>
              </w:rPr>
              <w:t xml:space="preserve"> </w:t>
            </w:r>
            <w:r>
              <w:rPr>
                <w:sz w:val="20"/>
              </w:rPr>
              <w:t>to</w:t>
            </w:r>
            <w:r>
              <w:rPr>
                <w:spacing w:val="-2"/>
                <w:sz w:val="20"/>
              </w:rPr>
              <w:t xml:space="preserve"> </w:t>
            </w:r>
            <w:r>
              <w:rPr>
                <w:sz w:val="20"/>
              </w:rPr>
              <w:t>create</w:t>
            </w:r>
            <w:r>
              <w:rPr>
                <w:spacing w:val="-1"/>
                <w:sz w:val="20"/>
              </w:rPr>
              <w:t xml:space="preserve"> </w:t>
            </w:r>
            <w:r>
              <w:rPr>
                <w:sz w:val="20"/>
              </w:rPr>
              <w:t>learning</w:t>
            </w:r>
            <w:r>
              <w:rPr>
                <w:spacing w:val="-2"/>
                <w:sz w:val="20"/>
              </w:rPr>
              <w:t xml:space="preserve"> </w:t>
            </w:r>
            <w:r>
              <w:rPr>
                <w:sz w:val="20"/>
              </w:rPr>
              <w:t>communities</w:t>
            </w:r>
            <w:r>
              <w:rPr>
                <w:spacing w:val="-3"/>
                <w:sz w:val="20"/>
              </w:rPr>
              <w:t xml:space="preserve"> </w:t>
            </w:r>
            <w:r>
              <w:rPr>
                <w:sz w:val="20"/>
              </w:rPr>
              <w:t>that</w:t>
            </w:r>
            <w:r>
              <w:rPr>
                <w:spacing w:val="-2"/>
                <w:sz w:val="20"/>
              </w:rPr>
              <w:t xml:space="preserve"> </w:t>
            </w:r>
            <w:r>
              <w:rPr>
                <w:sz w:val="20"/>
              </w:rPr>
              <w:t>sustain</w:t>
            </w:r>
            <w:r>
              <w:rPr>
                <w:spacing w:val="-2"/>
                <w:sz w:val="20"/>
              </w:rPr>
              <w:t xml:space="preserve"> </w:t>
            </w:r>
            <w:r>
              <w:rPr>
                <w:sz w:val="20"/>
              </w:rPr>
              <w:t>the</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MET</w:t>
            </w:r>
            <w:r>
              <w:rPr>
                <w:spacing w:val="-3"/>
                <w:sz w:val="20"/>
              </w:rPr>
              <w:t xml:space="preserve"> </w:t>
            </w:r>
            <w:r>
              <w:rPr>
                <w:sz w:val="20"/>
              </w:rPr>
              <w:t>in VHA facilities.</w:t>
            </w:r>
          </w:p>
        </w:tc>
      </w:tr>
    </w:tbl>
    <w:p w14:paraId="1AA8B9F2" w14:textId="77777777" w:rsidR="00DB6E1F" w:rsidRDefault="00F666A6">
      <w:pPr>
        <w:pStyle w:val="Heading3"/>
        <w:spacing w:before="1"/>
      </w:pPr>
      <w:bookmarkStart w:id="225" w:name="Supervision_and_Coaching"/>
      <w:bookmarkEnd w:id="225"/>
      <w:r>
        <w:t>Supervision</w:t>
      </w:r>
      <w:r>
        <w:rPr>
          <w:spacing w:val="-9"/>
        </w:rPr>
        <w:t xml:space="preserve"> </w:t>
      </w:r>
      <w:r>
        <w:t>and</w:t>
      </w:r>
      <w:r>
        <w:rPr>
          <w:spacing w:val="-9"/>
        </w:rPr>
        <w:t xml:space="preserve"> </w:t>
      </w:r>
      <w:r>
        <w:rPr>
          <w:spacing w:val="-2"/>
        </w:rPr>
        <w:t>Coaching</w:t>
      </w:r>
    </w:p>
    <w:p w14:paraId="55F23874" w14:textId="77777777" w:rsidR="00DB6E1F" w:rsidRDefault="00F666A6">
      <w:pPr>
        <w:pStyle w:val="BodyText"/>
        <w:spacing w:before="141"/>
        <w:ind w:left="1440" w:right="1444"/>
      </w:pPr>
      <w:r>
        <w:t>Training counselors in MI is the first step in integrating this approach into SUD treatment programs. Maintenance</w:t>
      </w:r>
      <w:r>
        <w:rPr>
          <w:spacing w:val="-2"/>
        </w:rPr>
        <w:t xml:space="preserve"> </w:t>
      </w:r>
      <w:r>
        <w:t>of</w:t>
      </w:r>
      <w:r>
        <w:rPr>
          <w:spacing w:val="-3"/>
        </w:rPr>
        <w:t xml:space="preserve"> </w:t>
      </w:r>
      <w:r>
        <w:t>skills</w:t>
      </w:r>
      <w:r>
        <w:rPr>
          <w:spacing w:val="-5"/>
        </w:rPr>
        <w:t xml:space="preserve"> </w:t>
      </w:r>
      <w:r>
        <w:t>and</w:t>
      </w:r>
      <w:r>
        <w:rPr>
          <w:spacing w:val="-4"/>
        </w:rPr>
        <w:t xml:space="preserve"> </w:t>
      </w:r>
      <w:r>
        <w:t>staying</w:t>
      </w:r>
      <w:r>
        <w:rPr>
          <w:spacing w:val="-4"/>
        </w:rPr>
        <w:t xml:space="preserve"> </w:t>
      </w:r>
      <w:r>
        <w:t>up</w:t>
      </w:r>
      <w:r>
        <w:rPr>
          <w:spacing w:val="-2"/>
        </w:rPr>
        <w:t xml:space="preserve"> </w:t>
      </w:r>
      <w:r>
        <w:t>to</w:t>
      </w:r>
      <w:r>
        <w:rPr>
          <w:spacing w:val="-2"/>
        </w:rPr>
        <w:t xml:space="preserve"> </w:t>
      </w:r>
      <w:r>
        <w:t>date</w:t>
      </w:r>
      <w:r>
        <w:rPr>
          <w:spacing w:val="-2"/>
        </w:rPr>
        <w:t xml:space="preserve"> </w:t>
      </w:r>
      <w:r>
        <w:t>with</w:t>
      </w:r>
      <w:r>
        <w:rPr>
          <w:spacing w:val="-4"/>
        </w:rPr>
        <w:t xml:space="preserve"> </w:t>
      </w:r>
      <w:r>
        <w:t>new</w:t>
      </w:r>
      <w:r>
        <w:rPr>
          <w:spacing w:val="-6"/>
        </w:rPr>
        <w:t xml:space="preserve"> </w:t>
      </w:r>
      <w:r>
        <w:t>developments</w:t>
      </w:r>
      <w:r>
        <w:rPr>
          <w:spacing w:val="-3"/>
        </w:rPr>
        <w:t xml:space="preserve"> </w:t>
      </w:r>
      <w:r>
        <w:t>in</w:t>
      </w:r>
      <w:r>
        <w:rPr>
          <w:spacing w:val="-5"/>
        </w:rPr>
        <w:t xml:space="preserve"> </w:t>
      </w:r>
      <w:r>
        <w:t>any</w:t>
      </w:r>
      <w:r>
        <w:rPr>
          <w:spacing w:val="-2"/>
        </w:rPr>
        <w:t xml:space="preserve"> </w:t>
      </w:r>
      <w:r>
        <w:t>counseling</w:t>
      </w:r>
      <w:r>
        <w:rPr>
          <w:spacing w:val="-4"/>
        </w:rPr>
        <w:t xml:space="preserve"> </w:t>
      </w:r>
      <w:r>
        <w:t>approach</w:t>
      </w:r>
      <w:r>
        <w:rPr>
          <w:spacing w:val="-4"/>
        </w:rPr>
        <w:t xml:space="preserve"> </w:t>
      </w:r>
      <w:r>
        <w:t>require ongoing supervision.</w:t>
      </w:r>
    </w:p>
    <w:p w14:paraId="486C952E" w14:textId="77777777" w:rsidR="00DB6E1F" w:rsidRDefault="00F666A6">
      <w:pPr>
        <w:pStyle w:val="BodyText"/>
        <w:spacing w:before="161"/>
        <w:ind w:left="1438" w:right="1491" w:firstLine="1"/>
      </w:pPr>
      <w:r>
        <w:rPr>
          <w:b/>
        </w:rPr>
        <w:t xml:space="preserve">Supervision in MI should be competency based. </w:t>
      </w:r>
      <w:r>
        <w:t>This means supervision should address counselors’ knowledge and</w:t>
      </w:r>
      <w:r>
        <w:rPr>
          <w:spacing w:val="-1"/>
        </w:rPr>
        <w:t xml:space="preserve"> </w:t>
      </w:r>
      <w:r>
        <w:t>proficiency</w:t>
      </w:r>
      <w:r>
        <w:rPr>
          <w:spacing w:val="-1"/>
        </w:rPr>
        <w:t xml:space="preserve"> </w:t>
      </w:r>
      <w:r>
        <w:t>in MI skills</w:t>
      </w:r>
      <w:r>
        <w:rPr>
          <w:spacing w:val="-2"/>
        </w:rPr>
        <w:t xml:space="preserve"> </w:t>
      </w:r>
      <w:r>
        <w:t>(e.g., the spirit</w:t>
      </w:r>
      <w:r>
        <w:rPr>
          <w:spacing w:val="-2"/>
        </w:rPr>
        <w:t xml:space="preserve"> </w:t>
      </w:r>
      <w:r>
        <w:t>of MI,</w:t>
      </w:r>
      <w:r>
        <w:rPr>
          <w:spacing w:val="-2"/>
        </w:rPr>
        <w:t xml:space="preserve"> </w:t>
      </w:r>
      <w:r>
        <w:t>OARS, EPE,</w:t>
      </w:r>
      <w:r>
        <w:rPr>
          <w:spacing w:val="-2"/>
        </w:rPr>
        <w:t xml:space="preserve"> </w:t>
      </w:r>
      <w:r>
        <w:t>recognizing</w:t>
      </w:r>
      <w:r>
        <w:rPr>
          <w:spacing w:val="-1"/>
        </w:rPr>
        <w:t xml:space="preserve"> </w:t>
      </w:r>
      <w:r>
        <w:t>and</w:t>
      </w:r>
      <w:r>
        <w:rPr>
          <w:spacing w:val="-1"/>
        </w:rPr>
        <w:t xml:space="preserve"> </w:t>
      </w:r>
      <w:r>
        <w:t>responding</w:t>
      </w:r>
      <w:r>
        <w:rPr>
          <w:spacing w:val="-1"/>
        </w:rPr>
        <w:t xml:space="preserve"> </w:t>
      </w:r>
      <w:r>
        <w:t>to change talk and sustain talk, evoking change talk, negotiating a change plan) needed to practice effectively. Competency-based supervision</w:t>
      </w:r>
      <w:r>
        <w:rPr>
          <w:spacing w:val="-1"/>
        </w:rPr>
        <w:t xml:space="preserve"> </w:t>
      </w:r>
      <w:r>
        <w:t>of</w:t>
      </w:r>
      <w:r>
        <w:rPr>
          <w:spacing w:val="-1"/>
        </w:rPr>
        <w:t xml:space="preserve"> </w:t>
      </w:r>
      <w:r>
        <w:t>MI includes directly observing counselor sessions, using feedback</w:t>
      </w:r>
      <w:r>
        <w:rPr>
          <w:spacing w:val="-4"/>
        </w:rPr>
        <w:t xml:space="preserve"> </w:t>
      </w:r>
      <w:r>
        <w:t>to</w:t>
      </w:r>
      <w:r>
        <w:rPr>
          <w:spacing w:val="-3"/>
        </w:rPr>
        <w:t xml:space="preserve"> </w:t>
      </w:r>
      <w:r>
        <w:t>monitor</w:t>
      </w:r>
      <w:r>
        <w:rPr>
          <w:spacing w:val="-2"/>
        </w:rPr>
        <w:t xml:space="preserve"> </w:t>
      </w:r>
      <w:r>
        <w:t>counselor</w:t>
      </w:r>
      <w:r>
        <w:rPr>
          <w:spacing w:val="-2"/>
        </w:rPr>
        <w:t xml:space="preserve"> </w:t>
      </w:r>
      <w:r>
        <w:t>proficiency,</w:t>
      </w:r>
      <w:r>
        <w:rPr>
          <w:spacing w:val="-2"/>
        </w:rPr>
        <w:t xml:space="preserve"> </w:t>
      </w:r>
      <w:r>
        <w:t>and</w:t>
      </w:r>
      <w:r>
        <w:rPr>
          <w:spacing w:val="-5"/>
        </w:rPr>
        <w:t xml:space="preserve"> </w:t>
      </w:r>
      <w:r>
        <w:t>coaching</w:t>
      </w:r>
      <w:r>
        <w:rPr>
          <w:spacing w:val="-3"/>
        </w:rPr>
        <w:t xml:space="preserve"> </w:t>
      </w:r>
      <w:r>
        <w:t>to</w:t>
      </w:r>
      <w:r>
        <w:rPr>
          <w:spacing w:val="-1"/>
        </w:rPr>
        <w:t xml:space="preserve"> </w:t>
      </w:r>
      <w:r>
        <w:t>help</w:t>
      </w:r>
      <w:r>
        <w:rPr>
          <w:spacing w:val="-5"/>
        </w:rPr>
        <w:t xml:space="preserve"> </w:t>
      </w:r>
      <w:r>
        <w:t>counselors</w:t>
      </w:r>
      <w:r>
        <w:rPr>
          <w:spacing w:val="-4"/>
        </w:rPr>
        <w:t xml:space="preserve"> </w:t>
      </w:r>
      <w:r>
        <w:t>continue</w:t>
      </w:r>
      <w:r>
        <w:rPr>
          <w:spacing w:val="-1"/>
        </w:rPr>
        <w:t xml:space="preserve"> </w:t>
      </w:r>
      <w:r>
        <w:t>developing</w:t>
      </w:r>
      <w:r>
        <w:rPr>
          <w:spacing w:val="-2"/>
        </w:rPr>
        <w:t xml:space="preserve"> </w:t>
      </w:r>
      <w:r>
        <w:t>their knowledge and skills (Martino et al., 2016). One study on competency-based supervision in MI found</w:t>
      </w:r>
      <w:r>
        <w:t xml:space="preserve"> that anywhere from 4 to 20 supervision sessions were needed for doctoral-level interns to reach MI competency benchmarks (Schumaker et al., 2018).</w:t>
      </w:r>
    </w:p>
    <w:p w14:paraId="08A3D3CA" w14:textId="77777777" w:rsidR="00DB6E1F" w:rsidRDefault="00F666A6">
      <w:pPr>
        <w:spacing w:before="161"/>
        <w:ind w:left="1438" w:right="1491"/>
      </w:pPr>
      <w:r>
        <w:t>Competency-based</w:t>
      </w:r>
      <w:r>
        <w:rPr>
          <w:spacing w:val="-6"/>
        </w:rPr>
        <w:t xml:space="preserve"> </w:t>
      </w:r>
      <w:r>
        <w:t>supervision</w:t>
      </w:r>
      <w:r>
        <w:rPr>
          <w:spacing w:val="-4"/>
        </w:rPr>
        <w:t xml:space="preserve"> </w:t>
      </w:r>
      <w:r>
        <w:t>requires</w:t>
      </w:r>
      <w:r>
        <w:rPr>
          <w:spacing w:val="-3"/>
        </w:rPr>
        <w:t xml:space="preserve"> </w:t>
      </w:r>
      <w:r>
        <w:t>direct</w:t>
      </w:r>
      <w:r>
        <w:rPr>
          <w:spacing w:val="-2"/>
        </w:rPr>
        <w:t xml:space="preserve"> </w:t>
      </w:r>
      <w:r>
        <w:t>observation</w:t>
      </w:r>
      <w:r>
        <w:rPr>
          <w:spacing w:val="-6"/>
        </w:rPr>
        <w:t xml:space="preserve"> </w:t>
      </w:r>
      <w:r>
        <w:t>of</w:t>
      </w:r>
      <w:r>
        <w:rPr>
          <w:spacing w:val="-3"/>
        </w:rPr>
        <w:t xml:space="preserve"> </w:t>
      </w:r>
      <w:r>
        <w:t>counselors,</w:t>
      </w:r>
      <w:r>
        <w:rPr>
          <w:spacing w:val="-3"/>
        </w:rPr>
        <w:t xml:space="preserve"> </w:t>
      </w:r>
      <w:r>
        <w:t>not</w:t>
      </w:r>
      <w:r>
        <w:rPr>
          <w:spacing w:val="-5"/>
        </w:rPr>
        <w:t xml:space="preserve"> </w:t>
      </w:r>
      <w:r>
        <w:t>simply</w:t>
      </w:r>
      <w:r>
        <w:rPr>
          <w:spacing w:val="-2"/>
        </w:rPr>
        <w:t xml:space="preserve"> </w:t>
      </w:r>
      <w:r>
        <w:t>a</w:t>
      </w:r>
      <w:r>
        <w:rPr>
          <w:spacing w:val="-5"/>
        </w:rPr>
        <w:t xml:space="preserve"> </w:t>
      </w:r>
      <w:r>
        <w:t>counselor’s</w:t>
      </w:r>
      <w:r>
        <w:rPr>
          <w:spacing w:val="-3"/>
        </w:rPr>
        <w:t xml:space="preserve"> </w:t>
      </w:r>
      <w:r>
        <w:t>self- repor</w:t>
      </w:r>
      <w:r>
        <w:t xml:space="preserve">t or subjective evaluation. </w:t>
      </w:r>
      <w:r>
        <w:rPr>
          <w:b/>
        </w:rPr>
        <w:t xml:space="preserve">Direct observation is one of the most effective ways of building and monitoring counselor skills </w:t>
      </w:r>
      <w:r>
        <w:t>and can include use of video or audio taping sessions, live observation of</w:t>
      </w:r>
    </w:p>
    <w:p w14:paraId="1000AA34" w14:textId="77777777" w:rsidR="00DB6E1F" w:rsidRDefault="00DB6E1F">
      <w:pPr>
        <w:sectPr w:rsidR="00DB6E1F">
          <w:pgSz w:w="12240" w:h="15840"/>
          <w:pgMar w:top="1200" w:right="0" w:bottom="780" w:left="0" w:header="763" w:footer="585" w:gutter="0"/>
          <w:cols w:space="720"/>
        </w:sectPr>
      </w:pPr>
    </w:p>
    <w:p w14:paraId="048E3AC0" w14:textId="77777777" w:rsidR="00DB6E1F" w:rsidRDefault="00DB6E1F">
      <w:pPr>
        <w:pStyle w:val="BodyText"/>
        <w:spacing w:before="8"/>
        <w:rPr>
          <w:sz w:val="14"/>
        </w:rPr>
      </w:pPr>
    </w:p>
    <w:p w14:paraId="5F709185" w14:textId="77777777" w:rsidR="00DB6E1F" w:rsidRDefault="00F666A6">
      <w:pPr>
        <w:spacing w:before="56"/>
        <w:ind w:left="1439" w:right="1487"/>
      </w:pPr>
      <w:r>
        <w:t>counseling</w:t>
      </w:r>
      <w:r>
        <w:rPr>
          <w:spacing w:val="-2"/>
        </w:rPr>
        <w:t xml:space="preserve"> </w:t>
      </w:r>
      <w:r>
        <w:t>sessions</w:t>
      </w:r>
      <w:r>
        <w:rPr>
          <w:spacing w:val="-3"/>
        </w:rPr>
        <w:t xml:space="preserve"> </w:t>
      </w:r>
      <w:r>
        <w:t>in</w:t>
      </w:r>
      <w:r>
        <w:rPr>
          <w:spacing w:val="-2"/>
        </w:rPr>
        <w:t xml:space="preserve"> </w:t>
      </w:r>
      <w:r>
        <w:t>person</w:t>
      </w:r>
      <w:r>
        <w:rPr>
          <w:spacing w:val="-2"/>
        </w:rPr>
        <w:t xml:space="preserve"> </w:t>
      </w:r>
      <w:r>
        <w:t>or</w:t>
      </w:r>
      <w:r>
        <w:rPr>
          <w:spacing w:val="-3"/>
        </w:rPr>
        <w:t xml:space="preserve"> </w:t>
      </w:r>
      <w:r>
        <w:t>via</w:t>
      </w:r>
      <w:r>
        <w:rPr>
          <w:spacing w:val="-3"/>
        </w:rPr>
        <w:t xml:space="preserve"> </w:t>
      </w:r>
      <w:r>
        <w:t>one-</w:t>
      </w:r>
      <w:r>
        <w:t>way</w:t>
      </w:r>
      <w:r>
        <w:rPr>
          <w:spacing w:val="-3"/>
        </w:rPr>
        <w:t xml:space="preserve"> </w:t>
      </w:r>
      <w:r>
        <w:t>mirrors,</w:t>
      </w:r>
      <w:r>
        <w:rPr>
          <w:spacing w:val="-3"/>
        </w:rPr>
        <w:t xml:space="preserve"> </w:t>
      </w:r>
      <w:r>
        <w:t>or</w:t>
      </w:r>
      <w:r>
        <w:rPr>
          <w:spacing w:val="-1"/>
        </w:rPr>
        <w:t xml:space="preserve"> </w:t>
      </w:r>
      <w:r>
        <w:t>both</w:t>
      </w:r>
      <w:r>
        <w:rPr>
          <w:spacing w:val="-2"/>
        </w:rPr>
        <w:t xml:space="preserve"> </w:t>
      </w:r>
      <w:r>
        <w:t>(SAMHSA,</w:t>
      </w:r>
      <w:r>
        <w:rPr>
          <w:spacing w:val="-1"/>
        </w:rPr>
        <w:t xml:space="preserve"> </w:t>
      </w:r>
      <w:r>
        <w:t>2009).</w:t>
      </w:r>
      <w:r>
        <w:rPr>
          <w:spacing w:val="-1"/>
        </w:rPr>
        <w:t xml:space="preserve"> </w:t>
      </w:r>
      <w:r>
        <w:t>For</w:t>
      </w:r>
      <w:r>
        <w:rPr>
          <w:spacing w:val="-4"/>
        </w:rPr>
        <w:t xml:space="preserve"> </w:t>
      </w:r>
      <w:r>
        <w:t>more information</w:t>
      </w:r>
      <w:r>
        <w:rPr>
          <w:spacing w:val="-4"/>
        </w:rPr>
        <w:t xml:space="preserve"> </w:t>
      </w:r>
      <w:r>
        <w:t xml:space="preserve">on competency-based supervision, see TIP 52: </w:t>
      </w:r>
      <w:r>
        <w:rPr>
          <w:i/>
        </w:rPr>
        <w:t xml:space="preserve">Clinical Supervision and Professional Development of the Substance Abuse Counselor </w:t>
      </w:r>
      <w:r>
        <w:t>(SAMHSA, 2009).</w:t>
      </w:r>
    </w:p>
    <w:p w14:paraId="7C8B76E0" w14:textId="77777777" w:rsidR="00DB6E1F" w:rsidRDefault="00F666A6">
      <w:pPr>
        <w:pStyle w:val="BodyText"/>
        <w:spacing w:before="159"/>
        <w:ind w:left="1438" w:right="1491"/>
      </w:pPr>
      <w:r>
        <w:t>The program</w:t>
      </w:r>
      <w:r>
        <w:rPr>
          <w:spacing w:val="-1"/>
        </w:rPr>
        <w:t xml:space="preserve"> </w:t>
      </w:r>
      <w:r>
        <w:t>should</w:t>
      </w:r>
      <w:r>
        <w:rPr>
          <w:spacing w:val="-1"/>
        </w:rPr>
        <w:t xml:space="preserve"> </w:t>
      </w:r>
      <w:r>
        <w:t>get</w:t>
      </w:r>
      <w:r>
        <w:rPr>
          <w:spacing w:val="-2"/>
        </w:rPr>
        <w:t xml:space="preserve"> </w:t>
      </w:r>
      <w:r>
        <w:t>permission</w:t>
      </w:r>
      <w:r>
        <w:rPr>
          <w:spacing w:val="-1"/>
        </w:rPr>
        <w:t xml:space="preserve"> </w:t>
      </w:r>
      <w:r>
        <w:t>from</w:t>
      </w:r>
      <w:r>
        <w:rPr>
          <w:spacing w:val="-1"/>
        </w:rPr>
        <w:t xml:space="preserve"> </w:t>
      </w:r>
      <w:r>
        <w:t>clients</w:t>
      </w:r>
      <w:r>
        <w:rPr>
          <w:spacing w:val="-2"/>
        </w:rPr>
        <w:t xml:space="preserve"> </w:t>
      </w:r>
      <w:r>
        <w:t>before engaging</w:t>
      </w:r>
      <w:r>
        <w:rPr>
          <w:spacing w:val="-1"/>
        </w:rPr>
        <w:t xml:space="preserve"> </w:t>
      </w:r>
      <w:r>
        <w:t>in</w:t>
      </w:r>
      <w:r>
        <w:rPr>
          <w:spacing w:val="-1"/>
        </w:rPr>
        <w:t xml:space="preserve"> </w:t>
      </w:r>
      <w:r>
        <w:t>direct</w:t>
      </w:r>
      <w:r>
        <w:rPr>
          <w:spacing w:val="-2"/>
        </w:rPr>
        <w:t xml:space="preserve"> </w:t>
      </w:r>
      <w:r>
        <w:t>observation. Written</w:t>
      </w:r>
      <w:r>
        <w:rPr>
          <w:spacing w:val="-3"/>
        </w:rPr>
        <w:t xml:space="preserve"> </w:t>
      </w:r>
      <w:r>
        <w:t>consent forms should include the nature and purpose of the direct observation, a description of how clients’ privacy and confidentiality will be maintained, and what will happen to any video or audio recording</w:t>
      </w:r>
      <w:r>
        <w:t>s after</w:t>
      </w:r>
      <w:r>
        <w:rPr>
          <w:spacing w:val="-2"/>
        </w:rPr>
        <w:t xml:space="preserve"> </w:t>
      </w:r>
      <w:r>
        <w:t>supervision</w:t>
      </w:r>
      <w:r>
        <w:rPr>
          <w:spacing w:val="-3"/>
        </w:rPr>
        <w:t xml:space="preserve"> </w:t>
      </w:r>
      <w:r>
        <w:t>or</w:t>
      </w:r>
      <w:r>
        <w:rPr>
          <w:spacing w:val="-4"/>
        </w:rPr>
        <w:t xml:space="preserve"> </w:t>
      </w:r>
      <w:r>
        <w:t>research</w:t>
      </w:r>
      <w:r>
        <w:rPr>
          <w:spacing w:val="-3"/>
        </w:rPr>
        <w:t xml:space="preserve"> </w:t>
      </w:r>
      <w:r>
        <w:t>is</w:t>
      </w:r>
      <w:r>
        <w:rPr>
          <w:spacing w:val="-2"/>
        </w:rPr>
        <w:t xml:space="preserve"> </w:t>
      </w:r>
      <w:r>
        <w:t>completed.</w:t>
      </w:r>
      <w:r>
        <w:rPr>
          <w:spacing w:val="-4"/>
        </w:rPr>
        <w:t xml:space="preserve"> </w:t>
      </w:r>
      <w:r>
        <w:t>Program</w:t>
      </w:r>
      <w:r>
        <w:rPr>
          <w:spacing w:val="-1"/>
        </w:rPr>
        <w:t xml:space="preserve"> </w:t>
      </w:r>
      <w:r>
        <w:t>should</w:t>
      </w:r>
      <w:r>
        <w:rPr>
          <w:spacing w:val="-3"/>
        </w:rPr>
        <w:t xml:space="preserve"> </w:t>
      </w:r>
      <w:r>
        <w:t>refer</w:t>
      </w:r>
      <w:r>
        <w:rPr>
          <w:spacing w:val="-4"/>
        </w:rPr>
        <w:t xml:space="preserve"> </w:t>
      </w:r>
      <w:r>
        <w:t>to</w:t>
      </w:r>
      <w:r>
        <w:rPr>
          <w:spacing w:val="-1"/>
        </w:rPr>
        <w:t xml:space="preserve"> </w:t>
      </w:r>
      <w:r>
        <w:t>in-house</w:t>
      </w:r>
      <w:r>
        <w:rPr>
          <w:spacing w:val="-1"/>
        </w:rPr>
        <w:t xml:space="preserve"> </w:t>
      </w:r>
      <w:r>
        <w:t>policies</w:t>
      </w:r>
      <w:r>
        <w:rPr>
          <w:spacing w:val="-2"/>
        </w:rPr>
        <w:t xml:space="preserve"> </w:t>
      </w:r>
      <w:r>
        <w:t>and</w:t>
      </w:r>
      <w:r>
        <w:rPr>
          <w:spacing w:val="-3"/>
        </w:rPr>
        <w:t xml:space="preserve"> </w:t>
      </w:r>
      <w:r>
        <w:t>state</w:t>
      </w:r>
      <w:r>
        <w:rPr>
          <w:spacing w:val="-1"/>
        </w:rPr>
        <w:t xml:space="preserve"> </w:t>
      </w:r>
      <w:r>
        <w:t>licensing board and professional ethics code requirements for the use of video and audio recordings for clinical supervision or research.</w:t>
      </w:r>
    </w:p>
    <w:p w14:paraId="0D5C6E3B" w14:textId="77777777" w:rsidR="00DB6E1F" w:rsidRDefault="00F666A6">
      <w:pPr>
        <w:spacing w:before="159"/>
        <w:ind w:left="1437" w:right="1491"/>
      </w:pPr>
      <w:r>
        <w:t>In</w:t>
      </w:r>
      <w:r>
        <w:rPr>
          <w:spacing w:val="-3"/>
        </w:rPr>
        <w:t xml:space="preserve"> </w:t>
      </w:r>
      <w:r>
        <w:t>addition</w:t>
      </w:r>
      <w:r>
        <w:rPr>
          <w:spacing w:val="-3"/>
        </w:rPr>
        <w:t xml:space="preserve"> </w:t>
      </w:r>
      <w:r>
        <w:t>to</w:t>
      </w:r>
      <w:r>
        <w:rPr>
          <w:spacing w:val="-1"/>
        </w:rPr>
        <w:t xml:space="preserve"> </w:t>
      </w:r>
      <w:r>
        <w:t>being</w:t>
      </w:r>
      <w:r>
        <w:rPr>
          <w:spacing w:val="-3"/>
        </w:rPr>
        <w:t xml:space="preserve"> </w:t>
      </w:r>
      <w:r>
        <w:t>competency</w:t>
      </w:r>
      <w:r>
        <w:rPr>
          <w:spacing w:val="-4"/>
        </w:rPr>
        <w:t xml:space="preserve"> </w:t>
      </w:r>
      <w:r>
        <w:t>based,</w:t>
      </w:r>
      <w:r>
        <w:rPr>
          <w:spacing w:val="-2"/>
        </w:rPr>
        <w:t xml:space="preserve"> </w:t>
      </w:r>
      <w:r>
        <w:rPr>
          <w:b/>
        </w:rPr>
        <w:t>MI</w:t>
      </w:r>
      <w:r>
        <w:rPr>
          <w:b/>
          <w:spacing w:val="-1"/>
        </w:rPr>
        <w:t xml:space="preserve"> </w:t>
      </w:r>
      <w:r>
        <w:rPr>
          <w:b/>
        </w:rPr>
        <w:t>supervision</w:t>
      </w:r>
      <w:r>
        <w:rPr>
          <w:b/>
          <w:spacing w:val="-3"/>
        </w:rPr>
        <w:t xml:space="preserve"> </w:t>
      </w:r>
      <w:r>
        <w:rPr>
          <w:b/>
        </w:rPr>
        <w:t>should</w:t>
      </w:r>
      <w:r>
        <w:rPr>
          <w:b/>
          <w:spacing w:val="-3"/>
        </w:rPr>
        <w:t xml:space="preserve"> </w:t>
      </w:r>
      <w:r>
        <w:rPr>
          <w:b/>
        </w:rPr>
        <w:t>be</w:t>
      </w:r>
      <w:r>
        <w:rPr>
          <w:b/>
          <w:spacing w:val="-2"/>
        </w:rPr>
        <w:t xml:space="preserve"> </w:t>
      </w:r>
      <w:r>
        <w:rPr>
          <w:b/>
        </w:rPr>
        <w:t>performed</w:t>
      </w:r>
      <w:r>
        <w:rPr>
          <w:b/>
          <w:spacing w:val="-3"/>
        </w:rPr>
        <w:t xml:space="preserve"> </w:t>
      </w:r>
      <w:r>
        <w:rPr>
          <w:b/>
        </w:rPr>
        <w:t>in</w:t>
      </w:r>
      <w:r>
        <w:rPr>
          <w:b/>
          <w:spacing w:val="-5"/>
        </w:rPr>
        <w:t xml:space="preserve"> </w:t>
      </w:r>
      <w:r>
        <w:rPr>
          <w:b/>
        </w:rPr>
        <w:t>the</w:t>
      </w:r>
      <w:r>
        <w:rPr>
          <w:b/>
          <w:spacing w:val="-3"/>
        </w:rPr>
        <w:t xml:space="preserve"> </w:t>
      </w:r>
      <w:r>
        <w:rPr>
          <w:b/>
        </w:rPr>
        <w:t>spirit</w:t>
      </w:r>
      <w:r>
        <w:rPr>
          <w:b/>
          <w:spacing w:val="-2"/>
        </w:rPr>
        <w:t xml:space="preserve"> </w:t>
      </w:r>
      <w:r>
        <w:rPr>
          <w:b/>
        </w:rPr>
        <w:t>of</w:t>
      </w:r>
      <w:r>
        <w:rPr>
          <w:b/>
          <w:spacing w:val="-2"/>
        </w:rPr>
        <w:t xml:space="preserve"> </w:t>
      </w:r>
      <w:r>
        <w:rPr>
          <w:b/>
        </w:rPr>
        <w:t>MI.</w:t>
      </w:r>
      <w:r>
        <w:rPr>
          <w:b/>
          <w:spacing w:val="-1"/>
        </w:rPr>
        <w:t xml:space="preserve"> </w:t>
      </w:r>
      <w:r>
        <w:t>Clinical supervisors should reach a level of skill in using MI to be able to:</w:t>
      </w:r>
    </w:p>
    <w:p w14:paraId="2DFD94D7" w14:textId="77777777" w:rsidR="00DB6E1F" w:rsidRDefault="00F666A6">
      <w:pPr>
        <w:pStyle w:val="ListParagraph"/>
        <w:numPr>
          <w:ilvl w:val="0"/>
          <w:numId w:val="92"/>
        </w:numPr>
        <w:tabs>
          <w:tab w:val="left" w:pos="1797"/>
          <w:tab w:val="left" w:pos="1798"/>
        </w:tabs>
        <w:spacing w:before="61"/>
        <w:rPr>
          <w:rFonts w:ascii="Symbol" w:hAnsi="Symbol"/>
        </w:rPr>
      </w:pPr>
      <w:r>
        <w:t>Describe</w:t>
      </w:r>
      <w:r>
        <w:rPr>
          <w:spacing w:val="-7"/>
        </w:rPr>
        <w:t xml:space="preserve"> </w:t>
      </w:r>
      <w:r>
        <w:t>the</w:t>
      </w:r>
      <w:r>
        <w:rPr>
          <w:spacing w:val="-7"/>
        </w:rPr>
        <w:t xml:space="preserve"> </w:t>
      </w:r>
      <w:r>
        <w:t>underlying</w:t>
      </w:r>
      <w:r>
        <w:rPr>
          <w:spacing w:val="-6"/>
        </w:rPr>
        <w:t xml:space="preserve"> </w:t>
      </w:r>
      <w:r>
        <w:t>theoretical</w:t>
      </w:r>
      <w:r>
        <w:rPr>
          <w:spacing w:val="-4"/>
        </w:rPr>
        <w:t xml:space="preserve"> </w:t>
      </w:r>
      <w:r>
        <w:t>foundations</w:t>
      </w:r>
      <w:r>
        <w:rPr>
          <w:spacing w:val="-7"/>
        </w:rPr>
        <w:t xml:space="preserve"> </w:t>
      </w:r>
      <w:r>
        <w:t>of</w:t>
      </w:r>
      <w:r>
        <w:rPr>
          <w:spacing w:val="-7"/>
        </w:rPr>
        <w:t xml:space="preserve"> </w:t>
      </w:r>
      <w:r>
        <w:rPr>
          <w:spacing w:val="-5"/>
        </w:rPr>
        <w:t>MI.</w:t>
      </w:r>
    </w:p>
    <w:p w14:paraId="7443D9EA" w14:textId="77777777" w:rsidR="00DB6E1F" w:rsidRDefault="00F666A6">
      <w:pPr>
        <w:pStyle w:val="ListParagraph"/>
        <w:numPr>
          <w:ilvl w:val="0"/>
          <w:numId w:val="92"/>
        </w:numPr>
        <w:tabs>
          <w:tab w:val="left" w:pos="1798"/>
          <w:tab w:val="left" w:pos="1799"/>
        </w:tabs>
        <w:spacing w:before="61"/>
        <w:ind w:left="1798"/>
        <w:rPr>
          <w:rFonts w:ascii="Symbol" w:hAnsi="Symbol"/>
        </w:rPr>
      </w:pPr>
      <w:r>
        <w:t>Explore</w:t>
      </w:r>
      <w:r>
        <w:rPr>
          <w:spacing w:val="-9"/>
        </w:rPr>
        <w:t xml:space="preserve"> </w:t>
      </w:r>
      <w:r>
        <w:t>and</w:t>
      </w:r>
      <w:r>
        <w:rPr>
          <w:spacing w:val="-6"/>
        </w:rPr>
        <w:t xml:space="preserve"> </w:t>
      </w:r>
      <w:r>
        <w:t>resolve</w:t>
      </w:r>
      <w:r>
        <w:rPr>
          <w:spacing w:val="-4"/>
        </w:rPr>
        <w:t xml:space="preserve"> </w:t>
      </w:r>
      <w:r>
        <w:t>counselor</w:t>
      </w:r>
      <w:r>
        <w:rPr>
          <w:spacing w:val="-4"/>
        </w:rPr>
        <w:t xml:space="preserve"> </w:t>
      </w:r>
      <w:r>
        <w:t>ambivalence</w:t>
      </w:r>
      <w:r>
        <w:rPr>
          <w:spacing w:val="-4"/>
        </w:rPr>
        <w:t xml:space="preserve"> </w:t>
      </w:r>
      <w:r>
        <w:t>about</w:t>
      </w:r>
      <w:r>
        <w:rPr>
          <w:spacing w:val="-4"/>
        </w:rPr>
        <w:t xml:space="preserve"> </w:t>
      </w:r>
      <w:r>
        <w:t>learning</w:t>
      </w:r>
      <w:r>
        <w:rPr>
          <w:spacing w:val="-6"/>
        </w:rPr>
        <w:t xml:space="preserve"> </w:t>
      </w:r>
      <w:r>
        <w:t>and</w:t>
      </w:r>
      <w:r>
        <w:rPr>
          <w:spacing w:val="-5"/>
        </w:rPr>
        <w:t xml:space="preserve"> </w:t>
      </w:r>
      <w:r>
        <w:t>integrating</w:t>
      </w:r>
      <w:r>
        <w:rPr>
          <w:spacing w:val="-6"/>
        </w:rPr>
        <w:t xml:space="preserve"> </w:t>
      </w:r>
      <w:r>
        <w:t>MI</w:t>
      </w:r>
      <w:r>
        <w:rPr>
          <w:spacing w:val="-5"/>
        </w:rPr>
        <w:t xml:space="preserve"> </w:t>
      </w:r>
      <w:r>
        <w:t>into</w:t>
      </w:r>
      <w:r>
        <w:rPr>
          <w:spacing w:val="-3"/>
        </w:rPr>
        <w:t xml:space="preserve"> </w:t>
      </w:r>
      <w:r>
        <w:rPr>
          <w:spacing w:val="-2"/>
        </w:rPr>
        <w:t>treatment.</w:t>
      </w:r>
    </w:p>
    <w:p w14:paraId="6A0BCFBB" w14:textId="77777777" w:rsidR="00DB6E1F" w:rsidRDefault="00F666A6">
      <w:pPr>
        <w:pStyle w:val="ListParagraph"/>
        <w:numPr>
          <w:ilvl w:val="0"/>
          <w:numId w:val="92"/>
        </w:numPr>
        <w:tabs>
          <w:tab w:val="left" w:pos="1798"/>
          <w:tab w:val="left" w:pos="1799"/>
        </w:tabs>
        <w:ind w:left="1798"/>
        <w:rPr>
          <w:rFonts w:ascii="Symbol" w:hAnsi="Symbol"/>
        </w:rPr>
      </w:pPr>
      <w:r>
        <w:t>Teach</w:t>
      </w:r>
      <w:r>
        <w:rPr>
          <w:spacing w:val="-4"/>
        </w:rPr>
        <w:t xml:space="preserve"> </w:t>
      </w:r>
      <w:r>
        <w:t>counselors</w:t>
      </w:r>
      <w:r>
        <w:rPr>
          <w:spacing w:val="-5"/>
        </w:rPr>
        <w:t xml:space="preserve"> </w:t>
      </w:r>
      <w:r>
        <w:t>MI</w:t>
      </w:r>
      <w:r>
        <w:rPr>
          <w:spacing w:val="-2"/>
        </w:rPr>
        <w:t xml:space="preserve"> skills.</w:t>
      </w:r>
    </w:p>
    <w:p w14:paraId="622D1E29" w14:textId="77777777" w:rsidR="00DB6E1F" w:rsidRDefault="00F666A6">
      <w:pPr>
        <w:pStyle w:val="ListParagraph"/>
        <w:numPr>
          <w:ilvl w:val="0"/>
          <w:numId w:val="92"/>
        </w:numPr>
        <w:tabs>
          <w:tab w:val="left" w:pos="1798"/>
          <w:tab w:val="left" w:pos="1799"/>
        </w:tabs>
        <w:ind w:left="1798"/>
        <w:rPr>
          <w:rFonts w:ascii="Symbol" w:hAnsi="Symbol"/>
        </w:rPr>
      </w:pPr>
      <w:r>
        <w:t>Model</w:t>
      </w:r>
      <w:r>
        <w:rPr>
          <w:spacing w:val="-7"/>
        </w:rPr>
        <w:t xml:space="preserve"> </w:t>
      </w:r>
      <w:r>
        <w:t>the</w:t>
      </w:r>
      <w:r>
        <w:rPr>
          <w:spacing w:val="-4"/>
        </w:rPr>
        <w:t xml:space="preserve"> </w:t>
      </w:r>
      <w:r>
        <w:t>spirit</w:t>
      </w:r>
      <w:r>
        <w:rPr>
          <w:spacing w:val="-5"/>
        </w:rPr>
        <w:t xml:space="preserve"> </w:t>
      </w:r>
      <w:r>
        <w:t>of</w:t>
      </w:r>
      <w:r>
        <w:rPr>
          <w:spacing w:val="-5"/>
        </w:rPr>
        <w:t xml:space="preserve"> </w:t>
      </w:r>
      <w:r>
        <w:t>MI</w:t>
      </w:r>
      <w:r>
        <w:rPr>
          <w:spacing w:val="-3"/>
        </w:rPr>
        <w:t xml:space="preserve"> </w:t>
      </w:r>
      <w:r>
        <w:t>and</w:t>
      </w:r>
      <w:r>
        <w:rPr>
          <w:spacing w:val="-3"/>
        </w:rPr>
        <w:t xml:space="preserve"> </w:t>
      </w:r>
      <w:r>
        <w:t>its</w:t>
      </w:r>
      <w:r>
        <w:rPr>
          <w:spacing w:val="-3"/>
        </w:rPr>
        <w:t xml:space="preserve"> </w:t>
      </w:r>
      <w:r>
        <w:t>skills</w:t>
      </w:r>
      <w:r>
        <w:rPr>
          <w:spacing w:val="-2"/>
        </w:rPr>
        <w:t xml:space="preserve"> </w:t>
      </w:r>
      <w:r>
        <w:t>in</w:t>
      </w:r>
      <w:r>
        <w:rPr>
          <w:spacing w:val="-6"/>
        </w:rPr>
        <w:t xml:space="preserve"> </w:t>
      </w:r>
      <w:r>
        <w:t>individual</w:t>
      </w:r>
      <w:r>
        <w:rPr>
          <w:spacing w:val="-2"/>
        </w:rPr>
        <w:t xml:space="preserve"> </w:t>
      </w:r>
      <w:r>
        <w:t>and</w:t>
      </w:r>
      <w:r>
        <w:rPr>
          <w:spacing w:val="-4"/>
        </w:rPr>
        <w:t xml:space="preserve"> </w:t>
      </w:r>
      <w:r>
        <w:t>group</w:t>
      </w:r>
      <w:r>
        <w:rPr>
          <w:spacing w:val="-3"/>
        </w:rPr>
        <w:t xml:space="preserve"> </w:t>
      </w:r>
      <w:r>
        <w:t>supervision</w:t>
      </w:r>
      <w:r>
        <w:rPr>
          <w:spacing w:val="-3"/>
        </w:rPr>
        <w:t xml:space="preserve"> </w:t>
      </w:r>
      <w:r>
        <w:rPr>
          <w:spacing w:val="-2"/>
        </w:rPr>
        <w:t>sessions.</w:t>
      </w:r>
    </w:p>
    <w:p w14:paraId="77EAF3F1" w14:textId="77777777" w:rsidR="00DB6E1F" w:rsidRDefault="00F666A6">
      <w:pPr>
        <w:pStyle w:val="ListParagraph"/>
        <w:numPr>
          <w:ilvl w:val="0"/>
          <w:numId w:val="92"/>
        </w:numPr>
        <w:tabs>
          <w:tab w:val="left" w:pos="1798"/>
          <w:tab w:val="left" w:pos="1799"/>
        </w:tabs>
        <w:spacing w:before="59"/>
        <w:ind w:left="1798" w:right="1867" w:hanging="360"/>
        <w:rPr>
          <w:rFonts w:ascii="Symbol" w:hAnsi="Symbol"/>
        </w:rPr>
      </w:pPr>
      <w:r>
        <w:t>Give</w:t>
      </w:r>
      <w:r>
        <w:rPr>
          <w:spacing w:val="-2"/>
        </w:rPr>
        <w:t xml:space="preserve"> </w:t>
      </w:r>
      <w:r>
        <w:t>respectful</w:t>
      </w:r>
      <w:r>
        <w:rPr>
          <w:spacing w:val="-3"/>
        </w:rPr>
        <w:t xml:space="preserve"> </w:t>
      </w:r>
      <w:r>
        <w:t>and</w:t>
      </w:r>
      <w:r>
        <w:rPr>
          <w:spacing w:val="-4"/>
        </w:rPr>
        <w:t xml:space="preserve"> </w:t>
      </w:r>
      <w:r>
        <w:t>nonjudgmental</w:t>
      </w:r>
      <w:r>
        <w:rPr>
          <w:spacing w:val="-3"/>
        </w:rPr>
        <w:t xml:space="preserve"> </w:t>
      </w:r>
      <w:r>
        <w:t>feedback</w:t>
      </w:r>
      <w:r>
        <w:rPr>
          <w:spacing w:val="-2"/>
        </w:rPr>
        <w:t xml:space="preserve"> </w:t>
      </w:r>
      <w:r>
        <w:t>to</w:t>
      </w:r>
      <w:r>
        <w:rPr>
          <w:spacing w:val="-2"/>
        </w:rPr>
        <w:t xml:space="preserve"> </w:t>
      </w:r>
      <w:r>
        <w:t>counselors</w:t>
      </w:r>
      <w:r>
        <w:rPr>
          <w:spacing w:val="-5"/>
        </w:rPr>
        <w:t xml:space="preserve"> </w:t>
      </w:r>
      <w:r>
        <w:t>to</w:t>
      </w:r>
      <w:r>
        <w:rPr>
          <w:spacing w:val="-5"/>
        </w:rPr>
        <w:t xml:space="preserve"> </w:t>
      </w:r>
      <w:r>
        <w:t>support</w:t>
      </w:r>
      <w:r>
        <w:rPr>
          <w:spacing w:val="-5"/>
        </w:rPr>
        <w:t xml:space="preserve"> </w:t>
      </w:r>
      <w:r>
        <w:t>self-efficacy</w:t>
      </w:r>
      <w:r>
        <w:rPr>
          <w:spacing w:val="-2"/>
        </w:rPr>
        <w:t xml:space="preserve"> </w:t>
      </w:r>
      <w:r>
        <w:t>and</w:t>
      </w:r>
      <w:r>
        <w:rPr>
          <w:spacing w:val="-4"/>
        </w:rPr>
        <w:t xml:space="preserve"> </w:t>
      </w:r>
      <w:r>
        <w:t>enhance professional development.</w:t>
      </w:r>
    </w:p>
    <w:p w14:paraId="0B9D57B8" w14:textId="77777777" w:rsidR="00DB6E1F" w:rsidRDefault="00F666A6">
      <w:pPr>
        <w:pStyle w:val="BodyText"/>
        <w:spacing w:before="161"/>
        <w:ind w:left="1437" w:right="1491"/>
      </w:pPr>
      <w:r>
        <w:rPr>
          <w:b/>
        </w:rPr>
        <w:t xml:space="preserve">Coaching counselors in MI </w:t>
      </w:r>
      <w:r>
        <w:t>involves coding a recorded or live observation session for consistent (e.g., OARS</w:t>
      </w:r>
      <w:r>
        <w:rPr>
          <w:spacing w:val="-3"/>
        </w:rPr>
        <w:t xml:space="preserve"> </w:t>
      </w:r>
      <w:r>
        <w:t>responses)</w:t>
      </w:r>
      <w:r>
        <w:rPr>
          <w:spacing w:val="-4"/>
        </w:rPr>
        <w:t xml:space="preserve"> </w:t>
      </w:r>
      <w:r>
        <w:t>and</w:t>
      </w:r>
      <w:r>
        <w:rPr>
          <w:spacing w:val="-2"/>
        </w:rPr>
        <w:t xml:space="preserve"> </w:t>
      </w:r>
      <w:r>
        <w:t>inconsistent</w:t>
      </w:r>
      <w:r>
        <w:rPr>
          <w:spacing w:val="-4"/>
        </w:rPr>
        <w:t xml:space="preserve"> </w:t>
      </w:r>
      <w:r>
        <w:t>(e.g.,</w:t>
      </w:r>
      <w:r>
        <w:rPr>
          <w:spacing w:val="-2"/>
        </w:rPr>
        <w:t xml:space="preserve"> </w:t>
      </w:r>
      <w:r>
        <w:t>giving</w:t>
      </w:r>
      <w:r>
        <w:rPr>
          <w:spacing w:val="-3"/>
        </w:rPr>
        <w:t xml:space="preserve"> </w:t>
      </w:r>
      <w:r>
        <w:t>unsolicited</w:t>
      </w:r>
      <w:r>
        <w:rPr>
          <w:spacing w:val="-3"/>
        </w:rPr>
        <w:t xml:space="preserve"> </w:t>
      </w:r>
      <w:r>
        <w:t>advice,</w:t>
      </w:r>
      <w:r>
        <w:rPr>
          <w:spacing w:val="-4"/>
        </w:rPr>
        <w:t xml:space="preserve"> </w:t>
      </w:r>
      <w:r>
        <w:t>confrontation)</w:t>
      </w:r>
      <w:r>
        <w:rPr>
          <w:spacing w:val="-4"/>
        </w:rPr>
        <w:t xml:space="preserve"> </w:t>
      </w:r>
      <w:r>
        <w:t>MI</w:t>
      </w:r>
      <w:r>
        <w:rPr>
          <w:spacing w:val="-2"/>
        </w:rPr>
        <w:t xml:space="preserve"> </w:t>
      </w:r>
      <w:r>
        <w:t>responses</w:t>
      </w:r>
      <w:r>
        <w:rPr>
          <w:spacing w:val="-4"/>
        </w:rPr>
        <w:t xml:space="preserve"> </w:t>
      </w:r>
      <w:r>
        <w:t>and</w:t>
      </w:r>
      <w:r>
        <w:rPr>
          <w:spacing w:val="-3"/>
        </w:rPr>
        <w:t xml:space="preserve"> </w:t>
      </w:r>
      <w:r>
        <w:t>using this information</w:t>
      </w:r>
      <w:r>
        <w:rPr>
          <w:spacing w:val="-1"/>
        </w:rPr>
        <w:t xml:space="preserve"> </w:t>
      </w:r>
      <w:r>
        <w:t>to provide</w:t>
      </w:r>
      <w:r>
        <w:rPr>
          <w:spacing w:val="-2"/>
        </w:rPr>
        <w:t xml:space="preserve"> </w:t>
      </w:r>
      <w:r>
        <w:t>feedback</w:t>
      </w:r>
      <w:r>
        <w:rPr>
          <w:spacing w:val="-2"/>
        </w:rPr>
        <w:t xml:space="preserve"> </w:t>
      </w:r>
      <w:r>
        <w:t>to the</w:t>
      </w:r>
      <w:r>
        <w:rPr>
          <w:spacing w:val="-2"/>
        </w:rPr>
        <w:t xml:space="preserve"> </w:t>
      </w:r>
      <w:r>
        <w:t>counselor</w:t>
      </w:r>
      <w:r>
        <w:rPr>
          <w:spacing w:val="-5"/>
        </w:rPr>
        <w:t xml:space="preserve"> </w:t>
      </w:r>
      <w:r>
        <w:t>(Miller</w:t>
      </w:r>
      <w:r>
        <w:rPr>
          <w:spacing w:val="-2"/>
        </w:rPr>
        <w:t xml:space="preserve"> </w:t>
      </w:r>
      <w:r>
        <w:t>&amp; Rollnick,</w:t>
      </w:r>
      <w:r>
        <w:rPr>
          <w:spacing w:val="-2"/>
        </w:rPr>
        <w:t xml:space="preserve"> </w:t>
      </w:r>
      <w:r>
        <w:t>2013).</w:t>
      </w:r>
      <w:r>
        <w:rPr>
          <w:spacing w:val="-1"/>
        </w:rPr>
        <w:t xml:space="preserve"> </w:t>
      </w:r>
      <w:r>
        <w:t>Because listening to and coding a full session are labor intensive, coaches can code brief sections of a session and produce reliable ratings of counselor fidelity to MI (Caperton, Atkins, &amp; Imel, 2018). Two coding systems for MI have been widely used in r</w:t>
      </w:r>
      <w:r>
        <w:t>esearch and clinical practice to evaluate counselor fidelity to MI (Miller &amp; Rollnick, 2013):</w:t>
      </w:r>
    </w:p>
    <w:p w14:paraId="2E3AE85D" w14:textId="77777777" w:rsidR="00DB6E1F" w:rsidRDefault="00F666A6">
      <w:pPr>
        <w:pStyle w:val="ListParagraph"/>
        <w:numPr>
          <w:ilvl w:val="0"/>
          <w:numId w:val="92"/>
        </w:numPr>
        <w:tabs>
          <w:tab w:val="left" w:pos="1797"/>
          <w:tab w:val="left" w:pos="1798"/>
        </w:tabs>
        <w:spacing w:before="59"/>
        <w:ind w:left="1796" w:right="1457" w:hanging="360"/>
        <w:rPr>
          <w:rFonts w:ascii="Symbol" w:hAnsi="Symbol"/>
        </w:rPr>
      </w:pPr>
      <w:r>
        <w:rPr>
          <w:b/>
        </w:rPr>
        <w:t xml:space="preserve">MI Integrity (MITI) </w:t>
      </w:r>
      <w:r>
        <w:t>focuses on counselor responses and provides global ratings and specific counts</w:t>
      </w:r>
      <w:r>
        <w:rPr>
          <w:spacing w:val="40"/>
        </w:rPr>
        <w:t xml:space="preserve"> </w:t>
      </w:r>
      <w:r>
        <w:t>of MI-consistent responses. The most recent version of MITI (MI</w:t>
      </w:r>
      <w:r>
        <w:t>TI 4) has added global ratings and greater</w:t>
      </w:r>
      <w:r>
        <w:rPr>
          <w:spacing w:val="-2"/>
        </w:rPr>
        <w:t xml:space="preserve"> </w:t>
      </w:r>
      <w:r>
        <w:t>accuracy</w:t>
      </w:r>
      <w:r>
        <w:rPr>
          <w:spacing w:val="-1"/>
        </w:rPr>
        <w:t xml:space="preserve"> </w:t>
      </w:r>
      <w:r>
        <w:t>in</w:t>
      </w:r>
      <w:r>
        <w:rPr>
          <w:spacing w:val="-3"/>
        </w:rPr>
        <w:t xml:space="preserve"> </w:t>
      </w:r>
      <w:r>
        <w:t>assessing</w:t>
      </w:r>
      <w:r>
        <w:rPr>
          <w:spacing w:val="-3"/>
        </w:rPr>
        <w:t xml:space="preserve"> </w:t>
      </w:r>
      <w:r>
        <w:t>counselor</w:t>
      </w:r>
      <w:r>
        <w:rPr>
          <w:spacing w:val="-2"/>
        </w:rPr>
        <w:t xml:space="preserve"> </w:t>
      </w:r>
      <w:r>
        <w:t>support</w:t>
      </w:r>
      <w:r>
        <w:rPr>
          <w:spacing w:val="-1"/>
        </w:rPr>
        <w:t xml:space="preserve"> </w:t>
      </w:r>
      <w:r>
        <w:t>for</w:t>
      </w:r>
      <w:r>
        <w:rPr>
          <w:spacing w:val="-2"/>
        </w:rPr>
        <w:t xml:space="preserve"> </w:t>
      </w:r>
      <w:r>
        <w:t>client</w:t>
      </w:r>
      <w:r>
        <w:rPr>
          <w:spacing w:val="-2"/>
        </w:rPr>
        <w:t xml:space="preserve"> </w:t>
      </w:r>
      <w:r>
        <w:t>autonomy</w:t>
      </w:r>
      <w:r>
        <w:rPr>
          <w:spacing w:val="-3"/>
        </w:rPr>
        <w:t xml:space="preserve"> </w:t>
      </w:r>
      <w:r>
        <w:t>and</w:t>
      </w:r>
      <w:r>
        <w:rPr>
          <w:spacing w:val="-2"/>
        </w:rPr>
        <w:t xml:space="preserve"> </w:t>
      </w:r>
      <w:r>
        <w:t>the</w:t>
      </w:r>
      <w:r>
        <w:rPr>
          <w:spacing w:val="-4"/>
        </w:rPr>
        <w:t xml:space="preserve"> </w:t>
      </w:r>
      <w:r>
        <w:t>use</w:t>
      </w:r>
      <w:r>
        <w:rPr>
          <w:spacing w:val="-4"/>
        </w:rPr>
        <w:t xml:space="preserve"> </w:t>
      </w:r>
      <w:r>
        <w:t>of</w:t>
      </w:r>
      <w:r>
        <w:rPr>
          <w:spacing w:val="-2"/>
        </w:rPr>
        <w:t xml:space="preserve"> </w:t>
      </w:r>
      <w:r>
        <w:t>persuasion</w:t>
      </w:r>
      <w:r>
        <w:rPr>
          <w:spacing w:val="-5"/>
        </w:rPr>
        <w:t xml:space="preserve"> </w:t>
      </w:r>
      <w:r>
        <w:t>when giving</w:t>
      </w:r>
      <w:r>
        <w:rPr>
          <w:spacing w:val="-3"/>
        </w:rPr>
        <w:t xml:space="preserve"> </w:t>
      </w:r>
      <w:r>
        <w:t>information</w:t>
      </w:r>
      <w:r>
        <w:rPr>
          <w:spacing w:val="-3"/>
        </w:rPr>
        <w:t xml:space="preserve"> </w:t>
      </w:r>
      <w:r>
        <w:t>and</w:t>
      </w:r>
      <w:r>
        <w:rPr>
          <w:spacing w:val="-3"/>
        </w:rPr>
        <w:t xml:space="preserve"> </w:t>
      </w:r>
      <w:r>
        <w:t>advice</w:t>
      </w:r>
      <w:r>
        <w:rPr>
          <w:spacing w:val="-1"/>
        </w:rPr>
        <w:t xml:space="preserve"> </w:t>
      </w:r>
      <w:r>
        <w:t>(Moyers,</w:t>
      </w:r>
      <w:r>
        <w:rPr>
          <w:spacing w:val="-2"/>
        </w:rPr>
        <w:t xml:space="preserve"> </w:t>
      </w:r>
      <w:r>
        <w:t>Manuel,</w:t>
      </w:r>
      <w:r>
        <w:rPr>
          <w:spacing w:val="-2"/>
        </w:rPr>
        <w:t xml:space="preserve"> </w:t>
      </w:r>
      <w:r>
        <w:t>&amp;</w:t>
      </w:r>
      <w:r>
        <w:rPr>
          <w:spacing w:val="-4"/>
        </w:rPr>
        <w:t xml:space="preserve"> </w:t>
      </w:r>
      <w:r>
        <w:t>Ernst,</w:t>
      </w:r>
      <w:r>
        <w:rPr>
          <w:spacing w:val="-2"/>
        </w:rPr>
        <w:t xml:space="preserve"> </w:t>
      </w:r>
      <w:r>
        <w:t>2014).</w:t>
      </w:r>
      <w:r>
        <w:rPr>
          <w:spacing w:val="-5"/>
        </w:rPr>
        <w:t xml:space="preserve"> </w:t>
      </w:r>
      <w:r>
        <w:t>The</w:t>
      </w:r>
      <w:r>
        <w:rPr>
          <w:spacing w:val="-4"/>
        </w:rPr>
        <w:t xml:space="preserve"> </w:t>
      </w:r>
      <w:r>
        <w:t>MITI</w:t>
      </w:r>
      <w:r>
        <w:rPr>
          <w:spacing w:val="-4"/>
        </w:rPr>
        <w:t xml:space="preserve"> </w:t>
      </w:r>
      <w:r>
        <w:t>4</w:t>
      </w:r>
      <w:r>
        <w:rPr>
          <w:spacing w:val="-1"/>
        </w:rPr>
        <w:t xml:space="preserve"> </w:t>
      </w:r>
      <w:r>
        <w:t>is</w:t>
      </w:r>
      <w:r>
        <w:rPr>
          <w:spacing w:val="-2"/>
        </w:rPr>
        <w:t xml:space="preserve"> </w:t>
      </w:r>
      <w:r>
        <w:t>a</w:t>
      </w:r>
      <w:r>
        <w:rPr>
          <w:spacing w:val="-5"/>
        </w:rPr>
        <w:t xml:space="preserve"> </w:t>
      </w:r>
      <w:r>
        <w:t>reliable</w:t>
      </w:r>
      <w:r>
        <w:rPr>
          <w:spacing w:val="-2"/>
        </w:rPr>
        <w:t xml:space="preserve"> </w:t>
      </w:r>
      <w:r>
        <w:t>way</w:t>
      </w:r>
      <w:r>
        <w:rPr>
          <w:spacing w:val="-1"/>
        </w:rPr>
        <w:t xml:space="preserve"> </w:t>
      </w:r>
      <w:r>
        <w:t>to</w:t>
      </w:r>
      <w:r>
        <w:rPr>
          <w:spacing w:val="-1"/>
        </w:rPr>
        <w:t xml:space="preserve"> </w:t>
      </w:r>
      <w:r>
        <w:t>assess counselor fidelity t</w:t>
      </w:r>
      <w:r>
        <w:t>o MI in both its relational and its technical components (Moyers, Houck, Rice, Longbaugh, &amp; Miller, 2016). Appendix C provides a link to the MITI 4 manual.</w:t>
      </w:r>
    </w:p>
    <w:p w14:paraId="24F10C4E" w14:textId="77777777" w:rsidR="00DB6E1F" w:rsidRDefault="00F666A6">
      <w:pPr>
        <w:pStyle w:val="ListParagraph"/>
        <w:numPr>
          <w:ilvl w:val="0"/>
          <w:numId w:val="92"/>
        </w:numPr>
        <w:tabs>
          <w:tab w:val="left" w:pos="1796"/>
          <w:tab w:val="left" w:pos="1797"/>
        </w:tabs>
        <w:spacing w:before="59"/>
        <w:ind w:left="1795" w:right="1534" w:hanging="360"/>
        <w:rPr>
          <w:rFonts w:ascii="Symbol" w:hAnsi="Symbol"/>
        </w:rPr>
      </w:pPr>
      <w:r>
        <w:rPr>
          <w:b/>
        </w:rPr>
        <w:t xml:space="preserve">MI Skills Code (MISC) </w:t>
      </w:r>
      <w:r>
        <w:t>counts both counselor and client responses (e.g., change talk, sustain talk) (</w:t>
      </w:r>
      <w:r>
        <w:t>Miller, Moyers, Ernst, &amp; Amrhein, 2008). MISC is a reliable way to monitor counselor fidelity to MI and can provide an accurate measure of the ratio of client change talk to sustain talk (Lord et al.,2014).</w:t>
      </w:r>
      <w:r>
        <w:rPr>
          <w:spacing w:val="-5"/>
        </w:rPr>
        <w:t xml:space="preserve"> </w:t>
      </w:r>
      <w:r>
        <w:t>The</w:t>
      </w:r>
      <w:r>
        <w:rPr>
          <w:spacing w:val="-4"/>
        </w:rPr>
        <w:t xml:space="preserve"> </w:t>
      </w:r>
      <w:r>
        <w:t>MISC</w:t>
      </w:r>
      <w:r>
        <w:rPr>
          <w:spacing w:val="-2"/>
        </w:rPr>
        <w:t xml:space="preserve"> </w:t>
      </w:r>
      <w:r>
        <w:t>can</w:t>
      </w:r>
      <w:r>
        <w:rPr>
          <w:spacing w:val="-5"/>
        </w:rPr>
        <w:t xml:space="preserve"> </w:t>
      </w:r>
      <w:r>
        <w:t>provide</w:t>
      </w:r>
      <w:r>
        <w:rPr>
          <w:spacing w:val="-1"/>
        </w:rPr>
        <w:t xml:space="preserve"> </w:t>
      </w:r>
      <w:r>
        <w:t>not</w:t>
      </w:r>
      <w:r>
        <w:rPr>
          <w:spacing w:val="-4"/>
        </w:rPr>
        <w:t xml:space="preserve"> </w:t>
      </w:r>
      <w:r>
        <w:t>only feedback</w:t>
      </w:r>
      <w:r>
        <w:rPr>
          <w:spacing w:val="-4"/>
        </w:rPr>
        <w:t xml:space="preserve"> </w:t>
      </w:r>
      <w:r>
        <w:t>to</w:t>
      </w:r>
      <w:r>
        <w:rPr>
          <w:spacing w:val="-1"/>
        </w:rPr>
        <w:t xml:space="preserve"> </w:t>
      </w:r>
      <w:r>
        <w:t>counselors</w:t>
      </w:r>
      <w:r>
        <w:rPr>
          <w:spacing w:val="-2"/>
        </w:rPr>
        <w:t xml:space="preserve"> </w:t>
      </w:r>
      <w:r>
        <w:t>about</w:t>
      </w:r>
      <w:r>
        <w:rPr>
          <w:spacing w:val="-1"/>
        </w:rPr>
        <w:t xml:space="preserve"> </w:t>
      </w:r>
      <w:r>
        <w:t>their</w:t>
      </w:r>
      <w:r>
        <w:rPr>
          <w:spacing w:val="-4"/>
        </w:rPr>
        <w:t xml:space="preserve"> </w:t>
      </w:r>
      <w:r>
        <w:t>use</w:t>
      </w:r>
      <w:r>
        <w:rPr>
          <w:spacing w:val="-4"/>
        </w:rPr>
        <w:t xml:space="preserve"> </w:t>
      </w:r>
      <w:r>
        <w:t>of</w:t>
      </w:r>
      <w:r>
        <w:rPr>
          <w:spacing w:val="-2"/>
        </w:rPr>
        <w:t xml:space="preserve"> </w:t>
      </w:r>
      <w:r>
        <w:t>MI</w:t>
      </w:r>
      <w:r>
        <w:rPr>
          <w:spacing w:val="-3"/>
        </w:rPr>
        <w:t xml:space="preserve"> </w:t>
      </w:r>
      <w:r>
        <w:t>skills</w:t>
      </w:r>
      <w:r>
        <w:rPr>
          <w:spacing w:val="-2"/>
        </w:rPr>
        <w:t xml:space="preserve"> </w:t>
      </w:r>
      <w:r>
        <w:t>but</w:t>
      </w:r>
      <w:r>
        <w:rPr>
          <w:spacing w:val="-1"/>
        </w:rPr>
        <w:t xml:space="preserve"> </w:t>
      </w:r>
      <w:r>
        <w:t>also information about the effects of MI on counselor‒client interactions. Appendix C provides a link to the MISC manual.</w:t>
      </w:r>
    </w:p>
    <w:p w14:paraId="4E71E1FA" w14:textId="77777777" w:rsidR="00DB6E1F" w:rsidRDefault="00F666A6">
      <w:pPr>
        <w:pStyle w:val="BodyText"/>
        <w:spacing w:before="160"/>
        <w:ind w:left="1435" w:right="1468"/>
      </w:pPr>
      <w:r>
        <w:t>A positive aspect of using coding systems to assess counselor fidelity to</w:t>
      </w:r>
      <w:r>
        <w:t xml:space="preserve"> MI is that they provide reliable and</w:t>
      </w:r>
      <w:r>
        <w:rPr>
          <w:spacing w:val="-1"/>
        </w:rPr>
        <w:t xml:space="preserve"> </w:t>
      </w:r>
      <w:r>
        <w:t>accurate</w:t>
      </w:r>
      <w:r>
        <w:rPr>
          <w:spacing w:val="-2"/>
        </w:rPr>
        <w:t xml:space="preserve"> </w:t>
      </w:r>
      <w:r>
        <w:t>measures</w:t>
      </w:r>
      <w:r>
        <w:rPr>
          <w:spacing w:val="-2"/>
        </w:rPr>
        <w:t xml:space="preserve"> </w:t>
      </w:r>
      <w:r>
        <w:t>of</w:t>
      </w:r>
      <w:r>
        <w:rPr>
          <w:spacing w:val="-3"/>
        </w:rPr>
        <w:t xml:space="preserve"> </w:t>
      </w:r>
      <w:r>
        <w:t>counselor skill level.</w:t>
      </w:r>
      <w:r>
        <w:rPr>
          <w:spacing w:val="-1"/>
        </w:rPr>
        <w:t xml:space="preserve"> </w:t>
      </w:r>
      <w:r>
        <w:t>A less-positive aspect</w:t>
      </w:r>
      <w:r>
        <w:rPr>
          <w:spacing w:val="-2"/>
        </w:rPr>
        <w:t xml:space="preserve"> </w:t>
      </w:r>
      <w:r>
        <w:t>of using</w:t>
      </w:r>
      <w:r>
        <w:rPr>
          <w:spacing w:val="-3"/>
        </w:rPr>
        <w:t xml:space="preserve"> </w:t>
      </w:r>
      <w:r>
        <w:t>coding</w:t>
      </w:r>
      <w:r>
        <w:rPr>
          <w:spacing w:val="-1"/>
        </w:rPr>
        <w:t xml:space="preserve"> </w:t>
      </w:r>
      <w:r>
        <w:t>systems</w:t>
      </w:r>
      <w:r>
        <w:rPr>
          <w:spacing w:val="-2"/>
        </w:rPr>
        <w:t xml:space="preserve"> </w:t>
      </w:r>
      <w:r>
        <w:t>is that they require</w:t>
      </w:r>
      <w:r>
        <w:rPr>
          <w:spacing w:val="-1"/>
        </w:rPr>
        <w:t xml:space="preserve"> </w:t>
      </w:r>
      <w:r>
        <w:t>considerable</w:t>
      </w:r>
      <w:r>
        <w:rPr>
          <w:spacing w:val="-4"/>
        </w:rPr>
        <w:t xml:space="preserve"> </w:t>
      </w:r>
      <w:r>
        <w:t>training</w:t>
      </w:r>
      <w:r>
        <w:rPr>
          <w:spacing w:val="-3"/>
        </w:rPr>
        <w:t xml:space="preserve"> </w:t>
      </w:r>
      <w:r>
        <w:t>and</w:t>
      </w:r>
      <w:r>
        <w:rPr>
          <w:spacing w:val="-3"/>
        </w:rPr>
        <w:t xml:space="preserve"> </w:t>
      </w:r>
      <w:r>
        <w:t>quality</w:t>
      </w:r>
      <w:r>
        <w:rPr>
          <w:spacing w:val="-1"/>
        </w:rPr>
        <w:t xml:space="preserve"> </w:t>
      </w:r>
      <w:r>
        <w:t>assurance checks</w:t>
      </w:r>
      <w:r>
        <w:rPr>
          <w:spacing w:val="-2"/>
        </w:rPr>
        <w:t xml:space="preserve"> </w:t>
      </w:r>
      <w:r>
        <w:t>to</w:t>
      </w:r>
      <w:r>
        <w:rPr>
          <w:spacing w:val="-3"/>
        </w:rPr>
        <w:t xml:space="preserve"> </w:t>
      </w:r>
      <w:r>
        <w:t>establish</w:t>
      </w:r>
      <w:r>
        <w:rPr>
          <w:spacing w:val="-3"/>
        </w:rPr>
        <w:t xml:space="preserve"> </w:t>
      </w:r>
      <w:r>
        <w:t>and</w:t>
      </w:r>
      <w:r>
        <w:rPr>
          <w:spacing w:val="-5"/>
        </w:rPr>
        <w:t xml:space="preserve"> </w:t>
      </w:r>
      <w:r>
        <w:t>maintain</w:t>
      </w:r>
      <w:r>
        <w:rPr>
          <w:spacing w:val="-3"/>
        </w:rPr>
        <w:t xml:space="preserve"> </w:t>
      </w:r>
      <w:r>
        <w:t>the</w:t>
      </w:r>
      <w:r>
        <w:rPr>
          <w:spacing w:val="-1"/>
        </w:rPr>
        <w:t xml:space="preserve"> </w:t>
      </w:r>
      <w:r>
        <w:t>reliability</w:t>
      </w:r>
      <w:r>
        <w:rPr>
          <w:spacing w:val="-4"/>
        </w:rPr>
        <w:t xml:space="preserve"> </w:t>
      </w:r>
      <w:r>
        <w:t>of</w:t>
      </w:r>
      <w:r>
        <w:rPr>
          <w:spacing w:val="-5"/>
        </w:rPr>
        <w:t xml:space="preserve"> </w:t>
      </w:r>
      <w:r>
        <w:t xml:space="preserve">the coach </w:t>
      </w:r>
      <w:r>
        <w:t>who is doing the coding (Miller &amp; Rollnick, 2013). In addition, counselors may be ambivalent</w:t>
      </w:r>
      <w:r>
        <w:rPr>
          <w:spacing w:val="40"/>
        </w:rPr>
        <w:t xml:space="preserve"> </w:t>
      </w:r>
      <w:r>
        <w:t>about</w:t>
      </w:r>
      <w:r>
        <w:rPr>
          <w:spacing w:val="-1"/>
        </w:rPr>
        <w:t xml:space="preserve"> </w:t>
      </w:r>
      <w:r>
        <w:t>recording</w:t>
      </w:r>
      <w:r>
        <w:rPr>
          <w:spacing w:val="-3"/>
        </w:rPr>
        <w:t xml:space="preserve"> </w:t>
      </w:r>
      <w:r>
        <w:t>client</w:t>
      </w:r>
      <w:r>
        <w:rPr>
          <w:spacing w:val="-2"/>
        </w:rPr>
        <w:t xml:space="preserve"> </w:t>
      </w:r>
      <w:r>
        <w:t>sessions</w:t>
      </w:r>
      <w:r>
        <w:rPr>
          <w:spacing w:val="-2"/>
        </w:rPr>
        <w:t xml:space="preserve"> </w:t>
      </w:r>
      <w:r>
        <w:t>and</w:t>
      </w:r>
      <w:r>
        <w:rPr>
          <w:spacing w:val="-3"/>
        </w:rPr>
        <w:t xml:space="preserve"> </w:t>
      </w:r>
      <w:r>
        <w:t>having</w:t>
      </w:r>
      <w:r>
        <w:rPr>
          <w:spacing w:val="-3"/>
        </w:rPr>
        <w:t xml:space="preserve"> </w:t>
      </w:r>
      <w:r>
        <w:t>a</w:t>
      </w:r>
      <w:r>
        <w:rPr>
          <w:spacing w:val="-4"/>
        </w:rPr>
        <w:t xml:space="preserve"> </w:t>
      </w:r>
      <w:r>
        <w:t>supervisor,</w:t>
      </w:r>
      <w:r>
        <w:rPr>
          <w:spacing w:val="-2"/>
        </w:rPr>
        <w:t xml:space="preserve"> </w:t>
      </w:r>
      <w:r>
        <w:t>who</w:t>
      </w:r>
      <w:r>
        <w:rPr>
          <w:spacing w:val="-3"/>
        </w:rPr>
        <w:t xml:space="preserve"> </w:t>
      </w:r>
      <w:r>
        <w:t>is</w:t>
      </w:r>
      <w:r>
        <w:rPr>
          <w:spacing w:val="-2"/>
        </w:rPr>
        <w:t xml:space="preserve"> </w:t>
      </w:r>
      <w:r>
        <w:t>responsible</w:t>
      </w:r>
      <w:r>
        <w:rPr>
          <w:spacing w:val="-3"/>
        </w:rPr>
        <w:t xml:space="preserve"> </w:t>
      </w:r>
      <w:r>
        <w:t>for</w:t>
      </w:r>
      <w:r>
        <w:rPr>
          <w:spacing w:val="-3"/>
        </w:rPr>
        <w:t xml:space="preserve"> </w:t>
      </w:r>
      <w:r>
        <w:t>performance</w:t>
      </w:r>
      <w:r>
        <w:rPr>
          <w:spacing w:val="-3"/>
        </w:rPr>
        <w:t xml:space="preserve"> </w:t>
      </w:r>
      <w:r>
        <w:t>evaluations, code the counselor’s speech. Potential solutions to consider include:</w:t>
      </w:r>
    </w:p>
    <w:p w14:paraId="01F72544" w14:textId="77777777" w:rsidR="00DB6E1F" w:rsidRDefault="00F666A6">
      <w:pPr>
        <w:pStyle w:val="ListParagraph"/>
        <w:numPr>
          <w:ilvl w:val="0"/>
          <w:numId w:val="92"/>
        </w:numPr>
        <w:tabs>
          <w:tab w:val="left" w:pos="1795"/>
          <w:tab w:val="left" w:pos="1796"/>
        </w:tabs>
        <w:spacing w:before="61"/>
        <w:ind w:left="1795"/>
        <w:rPr>
          <w:rFonts w:ascii="Symbol" w:hAnsi="Symbol"/>
        </w:rPr>
      </w:pPr>
      <w:r>
        <w:t>Addressing</w:t>
      </w:r>
      <w:r>
        <w:rPr>
          <w:spacing w:val="-7"/>
        </w:rPr>
        <w:t xml:space="preserve"> </w:t>
      </w:r>
      <w:r>
        <w:t>counselor</w:t>
      </w:r>
      <w:r>
        <w:rPr>
          <w:spacing w:val="-5"/>
        </w:rPr>
        <w:t xml:space="preserve"> </w:t>
      </w:r>
      <w:r>
        <w:t>ambivalence</w:t>
      </w:r>
      <w:r>
        <w:rPr>
          <w:spacing w:val="-6"/>
        </w:rPr>
        <w:t xml:space="preserve"> </w:t>
      </w:r>
      <w:r>
        <w:t>in</w:t>
      </w:r>
      <w:r>
        <w:rPr>
          <w:spacing w:val="-5"/>
        </w:rPr>
        <w:t xml:space="preserve"> </w:t>
      </w:r>
      <w:r>
        <w:t>supervision</w:t>
      </w:r>
      <w:r>
        <w:rPr>
          <w:spacing w:val="-8"/>
        </w:rPr>
        <w:t xml:space="preserve"> </w:t>
      </w:r>
      <w:r>
        <w:t>about</w:t>
      </w:r>
      <w:r>
        <w:rPr>
          <w:spacing w:val="-3"/>
        </w:rPr>
        <w:t xml:space="preserve"> </w:t>
      </w:r>
      <w:r>
        <w:t>having</w:t>
      </w:r>
      <w:r>
        <w:rPr>
          <w:spacing w:val="-6"/>
        </w:rPr>
        <w:t xml:space="preserve"> </w:t>
      </w:r>
      <w:r>
        <w:t>sessions</w:t>
      </w:r>
      <w:r>
        <w:rPr>
          <w:spacing w:val="-6"/>
        </w:rPr>
        <w:t xml:space="preserve"> </w:t>
      </w:r>
      <w:r>
        <w:rPr>
          <w:spacing w:val="-2"/>
        </w:rPr>
        <w:t>coded.</w:t>
      </w:r>
    </w:p>
    <w:p w14:paraId="015D5555" w14:textId="77777777" w:rsidR="00DB6E1F" w:rsidRDefault="00DB6E1F">
      <w:pPr>
        <w:rPr>
          <w:rFonts w:ascii="Symbol" w:hAnsi="Symbol"/>
        </w:rPr>
        <w:sectPr w:rsidR="00DB6E1F">
          <w:pgSz w:w="12240" w:h="15840"/>
          <w:pgMar w:top="1200" w:right="0" w:bottom="780" w:left="0" w:header="763" w:footer="585" w:gutter="0"/>
          <w:cols w:space="720"/>
        </w:sectPr>
      </w:pPr>
    </w:p>
    <w:p w14:paraId="749F5720" w14:textId="77777777" w:rsidR="00DB6E1F" w:rsidRDefault="00DB6E1F">
      <w:pPr>
        <w:pStyle w:val="BodyText"/>
        <w:rPr>
          <w:sz w:val="11"/>
        </w:rPr>
      </w:pPr>
    </w:p>
    <w:p w14:paraId="1FDE4EC6" w14:textId="77777777" w:rsidR="00DB6E1F" w:rsidRDefault="00F666A6">
      <w:pPr>
        <w:pStyle w:val="ListParagraph"/>
        <w:numPr>
          <w:ilvl w:val="0"/>
          <w:numId w:val="92"/>
        </w:numPr>
        <w:tabs>
          <w:tab w:val="left" w:pos="1800"/>
          <w:tab w:val="left" w:pos="1801"/>
        </w:tabs>
        <w:spacing w:before="101"/>
        <w:ind w:left="1800" w:right="1485" w:hanging="360"/>
        <w:rPr>
          <w:rFonts w:ascii="Symbol" w:hAnsi="Symbol"/>
        </w:rPr>
      </w:pPr>
      <w:r>
        <w:t>Creating</w:t>
      </w:r>
      <w:r>
        <w:rPr>
          <w:spacing w:val="-2"/>
        </w:rPr>
        <w:t xml:space="preserve"> </w:t>
      </w:r>
      <w:r>
        <w:t>small</w:t>
      </w:r>
      <w:r>
        <w:rPr>
          <w:spacing w:val="-2"/>
        </w:rPr>
        <w:t xml:space="preserve"> </w:t>
      </w:r>
      <w:r>
        <w:t>learning</w:t>
      </w:r>
      <w:r>
        <w:rPr>
          <w:spacing w:val="-3"/>
        </w:rPr>
        <w:t xml:space="preserve"> </w:t>
      </w:r>
      <w:r>
        <w:t>communities</w:t>
      </w:r>
      <w:r>
        <w:rPr>
          <w:spacing w:val="-2"/>
        </w:rPr>
        <w:t xml:space="preserve"> </w:t>
      </w:r>
      <w:r>
        <w:t>in</w:t>
      </w:r>
      <w:r>
        <w:rPr>
          <w:spacing w:val="-5"/>
        </w:rPr>
        <w:t xml:space="preserve"> </w:t>
      </w:r>
      <w:r>
        <w:t>the</w:t>
      </w:r>
      <w:r>
        <w:rPr>
          <w:spacing w:val="-4"/>
        </w:rPr>
        <w:t xml:space="preserve"> </w:t>
      </w:r>
      <w:r>
        <w:t>organization</w:t>
      </w:r>
      <w:r>
        <w:rPr>
          <w:spacing w:val="-3"/>
        </w:rPr>
        <w:t xml:space="preserve"> </w:t>
      </w:r>
      <w:r>
        <w:t>where</w:t>
      </w:r>
      <w:r>
        <w:rPr>
          <w:spacing w:val="-1"/>
        </w:rPr>
        <w:t xml:space="preserve"> </w:t>
      </w:r>
      <w:r>
        <w:t>counselors,</w:t>
      </w:r>
      <w:r>
        <w:rPr>
          <w:spacing w:val="-4"/>
        </w:rPr>
        <w:t xml:space="preserve"> </w:t>
      </w:r>
      <w:r>
        <w:t>case</w:t>
      </w:r>
      <w:r>
        <w:rPr>
          <w:spacing w:val="-6"/>
        </w:rPr>
        <w:t xml:space="preserve"> </w:t>
      </w:r>
      <w:r>
        <w:t>ma</w:t>
      </w:r>
      <w:r>
        <w:t>nagers,</w:t>
      </w:r>
      <w:r>
        <w:rPr>
          <w:spacing w:val="-4"/>
        </w:rPr>
        <w:t xml:space="preserve"> </w:t>
      </w:r>
      <w:r>
        <w:t>and</w:t>
      </w:r>
      <w:r>
        <w:rPr>
          <w:spacing w:val="-3"/>
        </w:rPr>
        <w:t xml:space="preserve"> </w:t>
      </w:r>
      <w:r>
        <w:t>peer providers can learn and practice coding snippets of actual sessions or uncoded audio, video, or written transcripts with one another. Appendix C provides links to uncoded transcripts, audio, and video examples of MI counseling sessions.</w:t>
      </w:r>
    </w:p>
    <w:p w14:paraId="2E80B4CF" w14:textId="77777777" w:rsidR="00DB6E1F" w:rsidRDefault="00F666A6">
      <w:pPr>
        <w:pStyle w:val="ListParagraph"/>
        <w:numPr>
          <w:ilvl w:val="0"/>
          <w:numId w:val="92"/>
        </w:numPr>
        <w:tabs>
          <w:tab w:val="left" w:pos="1800"/>
          <w:tab w:val="left" w:pos="1801"/>
        </w:tabs>
        <w:spacing w:before="59"/>
        <w:ind w:left="1799" w:right="1443" w:hanging="360"/>
        <w:rPr>
          <w:rFonts w:ascii="Symbol" w:hAnsi="Symbol"/>
        </w:rPr>
      </w:pPr>
      <w:r>
        <w:t>Se</w:t>
      </w:r>
      <w:r>
        <w:t>nding</w:t>
      </w:r>
      <w:r>
        <w:rPr>
          <w:spacing w:val="-2"/>
        </w:rPr>
        <w:t xml:space="preserve"> </w:t>
      </w:r>
      <w:r>
        <w:t>audio</w:t>
      </w:r>
      <w:r>
        <w:rPr>
          <w:spacing w:val="-1"/>
        </w:rPr>
        <w:t xml:space="preserve"> </w:t>
      </w:r>
      <w:r>
        <w:t>sessions</w:t>
      </w:r>
      <w:r>
        <w:rPr>
          <w:spacing w:val="-4"/>
        </w:rPr>
        <w:t xml:space="preserve"> </w:t>
      </w:r>
      <w:r>
        <w:t>or</w:t>
      </w:r>
      <w:r>
        <w:rPr>
          <w:spacing w:val="-2"/>
        </w:rPr>
        <w:t xml:space="preserve"> </w:t>
      </w:r>
      <w:r>
        <w:t>short</w:t>
      </w:r>
      <w:r>
        <w:rPr>
          <w:spacing w:val="-1"/>
        </w:rPr>
        <w:t xml:space="preserve"> </w:t>
      </w:r>
      <w:r>
        <w:t>excerpts</w:t>
      </w:r>
      <w:r>
        <w:rPr>
          <w:spacing w:val="-2"/>
        </w:rPr>
        <w:t xml:space="preserve"> </w:t>
      </w:r>
      <w:r>
        <w:t>to</w:t>
      </w:r>
      <w:r>
        <w:rPr>
          <w:spacing w:val="-1"/>
        </w:rPr>
        <w:t xml:space="preserve"> </w:t>
      </w:r>
      <w:r>
        <w:t>an</w:t>
      </w:r>
      <w:r>
        <w:rPr>
          <w:spacing w:val="-5"/>
        </w:rPr>
        <w:t xml:space="preserve"> </w:t>
      </w:r>
      <w:r>
        <w:t>outside</w:t>
      </w:r>
      <w:r>
        <w:rPr>
          <w:spacing w:val="-4"/>
        </w:rPr>
        <w:t xml:space="preserve"> </w:t>
      </w:r>
      <w:r>
        <w:t>coder</w:t>
      </w:r>
      <w:r>
        <w:rPr>
          <w:spacing w:val="-4"/>
        </w:rPr>
        <w:t xml:space="preserve"> </w:t>
      </w:r>
      <w:r>
        <w:t>who</w:t>
      </w:r>
      <w:r>
        <w:rPr>
          <w:spacing w:val="-1"/>
        </w:rPr>
        <w:t xml:space="preserve"> </w:t>
      </w:r>
      <w:r>
        <w:t>can</w:t>
      </w:r>
      <w:r>
        <w:rPr>
          <w:spacing w:val="-3"/>
        </w:rPr>
        <w:t xml:space="preserve"> </w:t>
      </w:r>
      <w:r>
        <w:t>perform</w:t>
      </w:r>
      <w:r>
        <w:rPr>
          <w:spacing w:val="-3"/>
        </w:rPr>
        <w:t xml:space="preserve"> </w:t>
      </w:r>
      <w:r>
        <w:t>the</w:t>
      </w:r>
      <w:r>
        <w:rPr>
          <w:spacing w:val="-1"/>
        </w:rPr>
        <w:t xml:space="preserve"> </w:t>
      </w:r>
      <w:r>
        <w:t>coding</w:t>
      </w:r>
      <w:r>
        <w:rPr>
          <w:spacing w:val="-3"/>
        </w:rPr>
        <w:t xml:space="preserve"> </w:t>
      </w:r>
      <w:r>
        <w:t>and</w:t>
      </w:r>
      <w:r>
        <w:rPr>
          <w:spacing w:val="-3"/>
        </w:rPr>
        <w:t xml:space="preserve"> </w:t>
      </w:r>
      <w:r>
        <w:t>return written feedback for supervisors to discuss with counselors.</w:t>
      </w:r>
    </w:p>
    <w:p w14:paraId="1AA5297E" w14:textId="77777777" w:rsidR="00DB6E1F" w:rsidRDefault="00F666A6">
      <w:pPr>
        <w:pStyle w:val="ListParagraph"/>
        <w:numPr>
          <w:ilvl w:val="0"/>
          <w:numId w:val="92"/>
        </w:numPr>
        <w:tabs>
          <w:tab w:val="left" w:pos="1800"/>
          <w:tab w:val="left" w:pos="1801"/>
        </w:tabs>
        <w:ind w:left="1800" w:right="1483"/>
        <w:rPr>
          <w:rFonts w:ascii="Symbol" w:hAnsi="Symbol"/>
        </w:rPr>
      </w:pPr>
      <w:r>
        <w:t>Encouraging counselors to listen to their own recorded sessions and use a simplified method of counting their use of OARS, their inconsistent responses (e.g., giving advice without permission), change</w:t>
      </w:r>
      <w:r>
        <w:rPr>
          <w:spacing w:val="-1"/>
        </w:rPr>
        <w:t xml:space="preserve"> </w:t>
      </w:r>
      <w:r>
        <w:t>talk</w:t>
      </w:r>
      <w:r>
        <w:rPr>
          <w:spacing w:val="-4"/>
        </w:rPr>
        <w:t xml:space="preserve"> </w:t>
      </w:r>
      <w:r>
        <w:t>and</w:t>
      </w:r>
      <w:r>
        <w:rPr>
          <w:spacing w:val="-3"/>
        </w:rPr>
        <w:t xml:space="preserve"> </w:t>
      </w:r>
      <w:r>
        <w:t>sustain</w:t>
      </w:r>
      <w:r>
        <w:rPr>
          <w:spacing w:val="-3"/>
        </w:rPr>
        <w:t xml:space="preserve"> </w:t>
      </w:r>
      <w:r>
        <w:t>talk prompts,</w:t>
      </w:r>
      <w:r>
        <w:rPr>
          <w:spacing w:val="-4"/>
        </w:rPr>
        <w:t xml:space="preserve"> </w:t>
      </w:r>
      <w:r>
        <w:t>and</w:t>
      </w:r>
      <w:r>
        <w:rPr>
          <w:spacing w:val="-3"/>
        </w:rPr>
        <w:t xml:space="preserve"> </w:t>
      </w:r>
      <w:r>
        <w:t>client</w:t>
      </w:r>
      <w:r>
        <w:rPr>
          <w:spacing w:val="-4"/>
        </w:rPr>
        <w:t xml:space="preserve"> </w:t>
      </w:r>
      <w:r>
        <w:t>expressions</w:t>
      </w:r>
      <w:r>
        <w:rPr>
          <w:spacing w:val="-4"/>
        </w:rPr>
        <w:t xml:space="preserve"> </w:t>
      </w:r>
      <w:r>
        <w:t>o</w:t>
      </w:r>
      <w:r>
        <w:t>f</w:t>
      </w:r>
      <w:r>
        <w:rPr>
          <w:spacing w:val="-2"/>
        </w:rPr>
        <w:t xml:space="preserve"> </w:t>
      </w:r>
      <w:r>
        <w:t>change</w:t>
      </w:r>
      <w:r>
        <w:rPr>
          <w:spacing w:val="-4"/>
        </w:rPr>
        <w:t xml:space="preserve"> </w:t>
      </w:r>
      <w:r>
        <w:t>talk</w:t>
      </w:r>
      <w:r>
        <w:rPr>
          <w:spacing w:val="-4"/>
        </w:rPr>
        <w:t xml:space="preserve"> </w:t>
      </w:r>
      <w:r>
        <w:t>and</w:t>
      </w:r>
      <w:r>
        <w:rPr>
          <w:spacing w:val="-3"/>
        </w:rPr>
        <w:t xml:space="preserve"> </w:t>
      </w:r>
      <w:r>
        <w:t>sustain</w:t>
      </w:r>
      <w:r>
        <w:rPr>
          <w:spacing w:val="-3"/>
        </w:rPr>
        <w:t xml:space="preserve"> </w:t>
      </w:r>
      <w:r>
        <w:t>talk</w:t>
      </w:r>
      <w:r>
        <w:rPr>
          <w:spacing w:val="-4"/>
        </w:rPr>
        <w:t xml:space="preserve"> </w:t>
      </w:r>
      <w:r>
        <w:t>(Miller</w:t>
      </w:r>
      <w:r>
        <w:rPr>
          <w:spacing w:val="-2"/>
        </w:rPr>
        <w:t xml:space="preserve"> </w:t>
      </w:r>
      <w:r>
        <w:t>&amp; Rollnick, 2013). Counselors can then review their “self-coding” with their supervisors.</w:t>
      </w:r>
    </w:p>
    <w:p w14:paraId="4D357467" w14:textId="77777777" w:rsidR="00DB6E1F" w:rsidRDefault="00F666A6">
      <w:pPr>
        <w:spacing w:before="159"/>
        <w:ind w:left="1440" w:right="1491"/>
        <w:rPr>
          <w:b/>
        </w:rPr>
      </w:pPr>
      <w:r>
        <w:t>Whichever strategies the</w:t>
      </w:r>
      <w:r>
        <w:rPr>
          <w:spacing w:val="-1"/>
        </w:rPr>
        <w:t xml:space="preserve"> </w:t>
      </w:r>
      <w:r>
        <w:t>SUD organization</w:t>
      </w:r>
      <w:r>
        <w:rPr>
          <w:spacing w:val="-2"/>
        </w:rPr>
        <w:t xml:space="preserve"> </w:t>
      </w:r>
      <w:r>
        <w:t xml:space="preserve">employs to enhance counselor fidelity to and proficiency in delivering MI, the organization will need to balance cost considerations with effective training, supervision, and professional development. </w:t>
      </w:r>
      <w:r>
        <w:rPr>
          <w:b/>
        </w:rPr>
        <w:t>Administrators and supervisors should partner with coun</w:t>
      </w:r>
      <w:r>
        <w:rPr>
          <w:b/>
        </w:rPr>
        <w:t>seling</w:t>
      </w:r>
      <w:r>
        <w:rPr>
          <w:b/>
          <w:spacing w:val="-1"/>
        </w:rPr>
        <w:t xml:space="preserve"> </w:t>
      </w:r>
      <w:r>
        <w:rPr>
          <w:b/>
        </w:rPr>
        <w:t>staff</w:t>
      </w:r>
      <w:r>
        <w:rPr>
          <w:b/>
          <w:spacing w:val="-5"/>
        </w:rPr>
        <w:t xml:space="preserve"> </w:t>
      </w:r>
      <w:r>
        <w:rPr>
          <w:b/>
        </w:rPr>
        <w:t>to</w:t>
      </w:r>
      <w:r>
        <w:rPr>
          <w:b/>
          <w:spacing w:val="-3"/>
        </w:rPr>
        <w:t xml:space="preserve"> </w:t>
      </w:r>
      <w:r>
        <w:rPr>
          <w:b/>
        </w:rPr>
        <w:t>move</w:t>
      </w:r>
      <w:r>
        <w:rPr>
          <w:b/>
          <w:spacing w:val="-5"/>
        </w:rPr>
        <w:t xml:space="preserve"> </w:t>
      </w:r>
      <w:r>
        <w:rPr>
          <w:b/>
        </w:rPr>
        <w:t>the</w:t>
      </w:r>
      <w:r>
        <w:rPr>
          <w:b/>
          <w:spacing w:val="-3"/>
        </w:rPr>
        <w:t xml:space="preserve"> </w:t>
      </w:r>
      <w:r>
        <w:rPr>
          <w:b/>
        </w:rPr>
        <w:t>organization</w:t>
      </w:r>
      <w:r>
        <w:rPr>
          <w:b/>
          <w:spacing w:val="-3"/>
        </w:rPr>
        <w:t xml:space="preserve"> </w:t>
      </w:r>
      <w:r>
        <w:rPr>
          <w:b/>
        </w:rPr>
        <w:t>along</w:t>
      </w:r>
      <w:r>
        <w:rPr>
          <w:b/>
          <w:spacing w:val="-1"/>
        </w:rPr>
        <w:t xml:space="preserve"> </w:t>
      </w:r>
      <w:r>
        <w:rPr>
          <w:b/>
        </w:rPr>
        <w:t>the</w:t>
      </w:r>
      <w:r>
        <w:rPr>
          <w:b/>
          <w:spacing w:val="-6"/>
        </w:rPr>
        <w:t xml:space="preserve"> </w:t>
      </w:r>
      <w:r>
        <w:rPr>
          <w:b/>
        </w:rPr>
        <w:t>SOC</w:t>
      </w:r>
      <w:r>
        <w:rPr>
          <w:b/>
          <w:spacing w:val="-1"/>
        </w:rPr>
        <w:t xml:space="preserve"> </w:t>
      </w:r>
      <w:r>
        <w:rPr>
          <w:b/>
        </w:rPr>
        <w:t>toward</w:t>
      </w:r>
      <w:r>
        <w:rPr>
          <w:b/>
          <w:spacing w:val="-5"/>
        </w:rPr>
        <w:t xml:space="preserve"> </w:t>
      </w:r>
      <w:r>
        <w:rPr>
          <w:b/>
        </w:rPr>
        <w:t>integrating</w:t>
      </w:r>
      <w:r>
        <w:rPr>
          <w:b/>
          <w:spacing w:val="-3"/>
        </w:rPr>
        <w:t xml:space="preserve"> </w:t>
      </w:r>
      <w:r>
        <w:rPr>
          <w:b/>
        </w:rPr>
        <w:t>motivational</w:t>
      </w:r>
      <w:r>
        <w:rPr>
          <w:b/>
          <w:spacing w:val="-3"/>
        </w:rPr>
        <w:t xml:space="preserve"> </w:t>
      </w:r>
      <w:r>
        <w:rPr>
          <w:b/>
        </w:rPr>
        <w:t>approaches into SUD treatment.</w:t>
      </w:r>
    </w:p>
    <w:p w14:paraId="16BF8503" w14:textId="77777777" w:rsidR="00DB6E1F" w:rsidRDefault="00F666A6">
      <w:pPr>
        <w:pStyle w:val="Heading2"/>
        <w:spacing w:before="164"/>
      </w:pPr>
      <w:bookmarkStart w:id="226" w:name="Conclusion"/>
      <w:bookmarkStart w:id="227" w:name="_bookmark48"/>
      <w:bookmarkEnd w:id="226"/>
      <w:bookmarkEnd w:id="227"/>
      <w:r>
        <w:rPr>
          <w:spacing w:val="-2"/>
        </w:rPr>
        <w:t>Conclusion</w:t>
      </w:r>
    </w:p>
    <w:p w14:paraId="4C5E85A7" w14:textId="77777777" w:rsidR="00DB6E1F" w:rsidRDefault="00F666A6">
      <w:pPr>
        <w:pStyle w:val="BodyText"/>
        <w:spacing w:before="152"/>
        <w:ind w:left="1439" w:right="1444"/>
      </w:pPr>
      <w:r>
        <w:t>Many</w:t>
      </w:r>
      <w:r>
        <w:rPr>
          <w:spacing w:val="-1"/>
        </w:rPr>
        <w:t xml:space="preserve"> </w:t>
      </w:r>
      <w:r>
        <w:t>different</w:t>
      </w:r>
      <w:r>
        <w:rPr>
          <w:spacing w:val="-4"/>
        </w:rPr>
        <w:t xml:space="preserve"> </w:t>
      </w:r>
      <w:r>
        <w:t>motivational</w:t>
      </w:r>
      <w:r>
        <w:rPr>
          <w:spacing w:val="-2"/>
        </w:rPr>
        <w:t xml:space="preserve"> </w:t>
      </w:r>
      <w:r>
        <w:t>approaches</w:t>
      </w:r>
      <w:r>
        <w:rPr>
          <w:spacing w:val="-4"/>
        </w:rPr>
        <w:t xml:space="preserve"> </w:t>
      </w:r>
      <w:r>
        <w:t>have</w:t>
      </w:r>
      <w:r>
        <w:rPr>
          <w:spacing w:val="-1"/>
        </w:rPr>
        <w:t xml:space="preserve"> </w:t>
      </w:r>
      <w:r>
        <w:t>been</w:t>
      </w:r>
      <w:r>
        <w:rPr>
          <w:spacing w:val="-3"/>
        </w:rPr>
        <w:t xml:space="preserve"> </w:t>
      </w:r>
      <w:r>
        <w:t>discussed</w:t>
      </w:r>
      <w:r>
        <w:rPr>
          <w:spacing w:val="-3"/>
        </w:rPr>
        <w:t xml:space="preserve"> </w:t>
      </w:r>
      <w:r>
        <w:t>in</w:t>
      </w:r>
      <w:r>
        <w:rPr>
          <w:spacing w:val="-3"/>
        </w:rPr>
        <w:t xml:space="preserve"> </w:t>
      </w:r>
      <w:r>
        <w:t>this</w:t>
      </w:r>
      <w:r>
        <w:rPr>
          <w:spacing w:val="-4"/>
        </w:rPr>
        <w:t xml:space="preserve"> </w:t>
      </w:r>
      <w:r>
        <w:t>TIP</w:t>
      </w:r>
      <w:r>
        <w:rPr>
          <w:spacing w:val="-3"/>
        </w:rPr>
        <w:t xml:space="preserve"> </w:t>
      </w:r>
      <w:r>
        <w:t>including</w:t>
      </w:r>
      <w:r>
        <w:rPr>
          <w:spacing w:val="-3"/>
        </w:rPr>
        <w:t xml:space="preserve"> </w:t>
      </w:r>
      <w:r>
        <w:t>MI;</w:t>
      </w:r>
      <w:r>
        <w:rPr>
          <w:spacing w:val="-3"/>
        </w:rPr>
        <w:t xml:space="preserve"> </w:t>
      </w:r>
      <w:r>
        <w:t>MET;</w:t>
      </w:r>
      <w:r>
        <w:rPr>
          <w:spacing w:val="-3"/>
        </w:rPr>
        <w:t xml:space="preserve"> </w:t>
      </w:r>
      <w:r>
        <w:t>motivational interventions in the SOC; brief interventions; screening, brief intervention, and referral for treatment; and blending MI with other counseling methods. A growing body of evidence demonstrates that motivational interventions can enhance client</w:t>
      </w:r>
      <w:r>
        <w:t xml:space="preserve"> motivation and improve SUD treatment outcomes.</w:t>
      </w:r>
    </w:p>
    <w:p w14:paraId="613A2F08" w14:textId="77777777" w:rsidR="00DB6E1F" w:rsidRDefault="00F666A6">
      <w:pPr>
        <w:pStyle w:val="BodyText"/>
        <w:spacing w:before="1"/>
        <w:ind w:left="1439" w:right="1491"/>
      </w:pPr>
      <w:r>
        <w:t>Integrating MI and other motivational approaches into SUD treatment settings requires the entire organization</w:t>
      </w:r>
      <w:r>
        <w:rPr>
          <w:spacing w:val="-4"/>
        </w:rPr>
        <w:t xml:space="preserve"> </w:t>
      </w:r>
      <w:r>
        <w:t>to</w:t>
      </w:r>
      <w:r>
        <w:rPr>
          <w:spacing w:val="-2"/>
        </w:rPr>
        <w:t xml:space="preserve"> </w:t>
      </w:r>
      <w:r>
        <w:t>adopt</w:t>
      </w:r>
      <w:r>
        <w:rPr>
          <w:spacing w:val="-3"/>
        </w:rPr>
        <w:t xml:space="preserve"> </w:t>
      </w:r>
      <w:r>
        <w:t>a</w:t>
      </w:r>
      <w:r>
        <w:rPr>
          <w:spacing w:val="-1"/>
        </w:rPr>
        <w:t xml:space="preserve"> </w:t>
      </w:r>
      <w:r>
        <w:t>client-centered</w:t>
      </w:r>
      <w:r>
        <w:rPr>
          <w:spacing w:val="-2"/>
        </w:rPr>
        <w:t xml:space="preserve"> </w:t>
      </w:r>
      <w:r>
        <w:t>philosophy and</w:t>
      </w:r>
      <w:r>
        <w:rPr>
          <w:spacing w:val="-2"/>
        </w:rPr>
        <w:t xml:space="preserve"> </w:t>
      </w:r>
      <w:r>
        <w:t>administrative</w:t>
      </w:r>
      <w:r>
        <w:rPr>
          <w:spacing w:val="-3"/>
        </w:rPr>
        <w:t xml:space="preserve"> </w:t>
      </w:r>
      <w:r>
        <w:t>support</w:t>
      </w:r>
      <w:r>
        <w:rPr>
          <w:spacing w:val="-3"/>
        </w:rPr>
        <w:t xml:space="preserve"> </w:t>
      </w:r>
      <w:r>
        <w:t>for</w:t>
      </w:r>
      <w:r>
        <w:rPr>
          <w:spacing w:val="-1"/>
        </w:rPr>
        <w:t xml:space="preserve"> </w:t>
      </w:r>
      <w:r>
        <w:t>ongoing</w:t>
      </w:r>
      <w:r>
        <w:rPr>
          <w:spacing w:val="-4"/>
        </w:rPr>
        <w:t xml:space="preserve"> </w:t>
      </w:r>
      <w:r>
        <w:t>training</w:t>
      </w:r>
      <w:r>
        <w:rPr>
          <w:spacing w:val="-2"/>
        </w:rPr>
        <w:t xml:space="preserve"> </w:t>
      </w:r>
      <w:r>
        <w:t>and supervis</w:t>
      </w:r>
      <w:r>
        <w:t>ion of</w:t>
      </w:r>
      <w:r>
        <w:rPr>
          <w:spacing w:val="-1"/>
        </w:rPr>
        <w:t xml:space="preserve"> </w:t>
      </w:r>
      <w:r>
        <w:t>counselors.</w:t>
      </w:r>
      <w:r>
        <w:rPr>
          <w:spacing w:val="-1"/>
        </w:rPr>
        <w:t xml:space="preserve"> </w:t>
      </w:r>
      <w:r>
        <w:t>Motivational</w:t>
      </w:r>
      <w:r>
        <w:rPr>
          <w:spacing w:val="-2"/>
        </w:rPr>
        <w:t xml:space="preserve"> </w:t>
      </w:r>
      <w:r>
        <w:t>counseling approaches</w:t>
      </w:r>
      <w:r>
        <w:rPr>
          <w:spacing w:val="-1"/>
        </w:rPr>
        <w:t xml:space="preserve"> </w:t>
      </w:r>
      <w:r>
        <w:t>are respectful and culturally responsive methods</w:t>
      </w:r>
      <w:r>
        <w:rPr>
          <w:spacing w:val="-2"/>
        </w:rPr>
        <w:t xml:space="preserve"> </w:t>
      </w:r>
      <w:r>
        <w:t>for</w:t>
      </w:r>
      <w:r>
        <w:rPr>
          <w:spacing w:val="-2"/>
        </w:rPr>
        <w:t xml:space="preserve"> </w:t>
      </w:r>
      <w:r>
        <w:t>helping</w:t>
      </w:r>
      <w:r>
        <w:rPr>
          <w:spacing w:val="-3"/>
        </w:rPr>
        <w:t xml:space="preserve"> </w:t>
      </w:r>
      <w:r>
        <w:t>people</w:t>
      </w:r>
      <w:r>
        <w:rPr>
          <w:spacing w:val="-1"/>
        </w:rPr>
        <w:t xml:space="preserve"> </w:t>
      </w:r>
      <w:r>
        <w:t>break</w:t>
      </w:r>
      <w:r>
        <w:rPr>
          <w:spacing w:val="-4"/>
        </w:rPr>
        <w:t xml:space="preserve"> </w:t>
      </w:r>
      <w:r>
        <w:t>free</w:t>
      </w:r>
      <w:r>
        <w:rPr>
          <w:spacing w:val="-4"/>
        </w:rPr>
        <w:t xml:space="preserve"> </w:t>
      </w:r>
      <w:r>
        <w:t>from</w:t>
      </w:r>
      <w:r>
        <w:rPr>
          <w:spacing w:val="-3"/>
        </w:rPr>
        <w:t xml:space="preserve"> </w:t>
      </w:r>
      <w:r>
        <w:t>addiction</w:t>
      </w:r>
      <w:r>
        <w:rPr>
          <w:spacing w:val="-5"/>
        </w:rPr>
        <w:t xml:space="preserve"> </w:t>
      </w:r>
      <w:r>
        <w:t>and</w:t>
      </w:r>
      <w:r>
        <w:rPr>
          <w:spacing w:val="-3"/>
        </w:rPr>
        <w:t xml:space="preserve"> </w:t>
      </w:r>
      <w:r>
        <w:t>adopt</w:t>
      </w:r>
      <w:r>
        <w:rPr>
          <w:spacing w:val="-2"/>
        </w:rPr>
        <w:t xml:space="preserve"> </w:t>
      </w:r>
      <w:r>
        <w:t>new</w:t>
      </w:r>
      <w:r>
        <w:rPr>
          <w:spacing w:val="-1"/>
        </w:rPr>
        <w:t xml:space="preserve"> </w:t>
      </w:r>
      <w:r>
        <w:t>lifestyles</w:t>
      </w:r>
      <w:r>
        <w:rPr>
          <w:spacing w:val="-1"/>
        </w:rPr>
        <w:t xml:space="preserve"> </w:t>
      </w:r>
      <w:r>
        <w:t>that</w:t>
      </w:r>
      <w:r>
        <w:rPr>
          <w:spacing w:val="-1"/>
        </w:rPr>
        <w:t xml:space="preserve"> </w:t>
      </w:r>
      <w:r>
        <w:t>are</w:t>
      </w:r>
      <w:r>
        <w:rPr>
          <w:spacing w:val="-4"/>
        </w:rPr>
        <w:t xml:space="preserve"> </w:t>
      </w:r>
      <w:r>
        <w:t>consistent</w:t>
      </w:r>
      <w:r>
        <w:rPr>
          <w:spacing w:val="-4"/>
        </w:rPr>
        <w:t xml:space="preserve"> </w:t>
      </w:r>
      <w:r>
        <w:t>with the values of good health, well-being, and being integral member of the community.</w:t>
      </w:r>
    </w:p>
    <w:p w14:paraId="102B3E2B" w14:textId="77777777" w:rsidR="00DB6E1F" w:rsidRDefault="00DB6E1F">
      <w:pPr>
        <w:sectPr w:rsidR="00DB6E1F">
          <w:pgSz w:w="12240" w:h="15840"/>
          <w:pgMar w:top="1200" w:right="0" w:bottom="780" w:left="0" w:header="763" w:footer="585" w:gutter="0"/>
          <w:cols w:space="720"/>
        </w:sectPr>
      </w:pPr>
    </w:p>
    <w:p w14:paraId="65FCBF8D" w14:textId="77777777" w:rsidR="00DB6E1F" w:rsidRDefault="00DB6E1F">
      <w:pPr>
        <w:pStyle w:val="BodyText"/>
        <w:rPr>
          <w:sz w:val="20"/>
        </w:rPr>
      </w:pPr>
    </w:p>
    <w:p w14:paraId="2C4D6C73" w14:textId="77777777" w:rsidR="00DB6E1F" w:rsidRDefault="00DB6E1F">
      <w:pPr>
        <w:pStyle w:val="BodyText"/>
        <w:rPr>
          <w:sz w:val="20"/>
        </w:rPr>
      </w:pPr>
    </w:p>
    <w:p w14:paraId="314644A8" w14:textId="77777777" w:rsidR="00DB6E1F" w:rsidRDefault="00DB6E1F">
      <w:pPr>
        <w:pStyle w:val="BodyText"/>
        <w:rPr>
          <w:sz w:val="20"/>
        </w:rPr>
      </w:pPr>
    </w:p>
    <w:p w14:paraId="6FC4A271" w14:textId="77777777" w:rsidR="00DB6E1F" w:rsidRDefault="00DB6E1F">
      <w:pPr>
        <w:pStyle w:val="BodyText"/>
        <w:rPr>
          <w:sz w:val="20"/>
        </w:rPr>
      </w:pPr>
    </w:p>
    <w:p w14:paraId="6598B8D8" w14:textId="77777777" w:rsidR="00DB6E1F" w:rsidRDefault="00DB6E1F">
      <w:pPr>
        <w:pStyle w:val="BodyText"/>
        <w:rPr>
          <w:sz w:val="20"/>
        </w:rPr>
      </w:pPr>
    </w:p>
    <w:p w14:paraId="2EF8109C" w14:textId="77777777" w:rsidR="00DB6E1F" w:rsidRDefault="00DB6E1F">
      <w:pPr>
        <w:pStyle w:val="BodyText"/>
        <w:rPr>
          <w:sz w:val="20"/>
        </w:rPr>
      </w:pPr>
    </w:p>
    <w:p w14:paraId="7DA1F7DA" w14:textId="77777777" w:rsidR="00DB6E1F" w:rsidRDefault="00DB6E1F">
      <w:pPr>
        <w:pStyle w:val="BodyText"/>
        <w:rPr>
          <w:sz w:val="20"/>
        </w:rPr>
      </w:pPr>
    </w:p>
    <w:p w14:paraId="49AE5577" w14:textId="77777777" w:rsidR="00DB6E1F" w:rsidRDefault="00DB6E1F">
      <w:pPr>
        <w:pStyle w:val="BodyText"/>
        <w:rPr>
          <w:sz w:val="20"/>
        </w:rPr>
      </w:pPr>
    </w:p>
    <w:p w14:paraId="40118608" w14:textId="77777777" w:rsidR="00DB6E1F" w:rsidRDefault="00DB6E1F">
      <w:pPr>
        <w:pStyle w:val="BodyText"/>
        <w:rPr>
          <w:sz w:val="20"/>
        </w:rPr>
      </w:pPr>
    </w:p>
    <w:p w14:paraId="7B4FA58A" w14:textId="77777777" w:rsidR="00DB6E1F" w:rsidRDefault="00DB6E1F">
      <w:pPr>
        <w:pStyle w:val="BodyText"/>
        <w:rPr>
          <w:sz w:val="20"/>
        </w:rPr>
      </w:pPr>
    </w:p>
    <w:p w14:paraId="398E87A9" w14:textId="77777777" w:rsidR="00DB6E1F" w:rsidRDefault="00DB6E1F">
      <w:pPr>
        <w:pStyle w:val="BodyText"/>
        <w:rPr>
          <w:sz w:val="20"/>
        </w:rPr>
      </w:pPr>
    </w:p>
    <w:p w14:paraId="2BF720DC" w14:textId="77777777" w:rsidR="00DB6E1F" w:rsidRDefault="00DB6E1F">
      <w:pPr>
        <w:pStyle w:val="BodyText"/>
        <w:rPr>
          <w:sz w:val="20"/>
        </w:rPr>
      </w:pPr>
    </w:p>
    <w:p w14:paraId="42B44FD2" w14:textId="77777777" w:rsidR="00DB6E1F" w:rsidRDefault="00DB6E1F">
      <w:pPr>
        <w:pStyle w:val="BodyText"/>
        <w:rPr>
          <w:sz w:val="20"/>
        </w:rPr>
      </w:pPr>
    </w:p>
    <w:p w14:paraId="1A66F219" w14:textId="77777777" w:rsidR="00DB6E1F" w:rsidRDefault="00DB6E1F">
      <w:pPr>
        <w:pStyle w:val="BodyText"/>
        <w:rPr>
          <w:sz w:val="20"/>
        </w:rPr>
      </w:pPr>
    </w:p>
    <w:p w14:paraId="7A627581" w14:textId="77777777" w:rsidR="00DB6E1F" w:rsidRDefault="00DB6E1F">
      <w:pPr>
        <w:pStyle w:val="BodyText"/>
        <w:rPr>
          <w:sz w:val="20"/>
        </w:rPr>
      </w:pPr>
    </w:p>
    <w:p w14:paraId="2E42E08F" w14:textId="77777777" w:rsidR="00DB6E1F" w:rsidRDefault="00DB6E1F">
      <w:pPr>
        <w:pStyle w:val="BodyText"/>
        <w:rPr>
          <w:sz w:val="20"/>
        </w:rPr>
      </w:pPr>
    </w:p>
    <w:p w14:paraId="56AD89D1" w14:textId="77777777" w:rsidR="00DB6E1F" w:rsidRDefault="00DB6E1F">
      <w:pPr>
        <w:pStyle w:val="BodyText"/>
        <w:rPr>
          <w:sz w:val="20"/>
        </w:rPr>
      </w:pPr>
    </w:p>
    <w:p w14:paraId="5A8CF5C9" w14:textId="77777777" w:rsidR="00DB6E1F" w:rsidRDefault="00DB6E1F">
      <w:pPr>
        <w:pStyle w:val="BodyText"/>
        <w:spacing w:before="8"/>
        <w:rPr>
          <w:sz w:val="25"/>
        </w:rPr>
      </w:pPr>
    </w:p>
    <w:p w14:paraId="6CBDF835" w14:textId="77777777" w:rsidR="00DB6E1F" w:rsidRDefault="00F666A6">
      <w:pPr>
        <w:pStyle w:val="BodyText"/>
        <w:spacing w:before="56"/>
        <w:ind w:left="1444" w:right="1443"/>
        <w:jc w:val="center"/>
      </w:pPr>
      <w:r>
        <w:t>This</w:t>
      </w:r>
      <w:r>
        <w:rPr>
          <w:spacing w:val="-7"/>
        </w:rPr>
        <w:t xml:space="preserve"> </w:t>
      </w:r>
      <w:r>
        <w:t>page</w:t>
      </w:r>
      <w:r>
        <w:rPr>
          <w:spacing w:val="-4"/>
        </w:rPr>
        <w:t xml:space="preserve"> </w:t>
      </w:r>
      <w:r>
        <w:t>intentionally</w:t>
      </w:r>
      <w:r>
        <w:rPr>
          <w:spacing w:val="-4"/>
        </w:rPr>
        <w:t xml:space="preserve"> </w:t>
      </w:r>
      <w:r>
        <w:t>left</w:t>
      </w:r>
      <w:r>
        <w:rPr>
          <w:spacing w:val="-7"/>
        </w:rPr>
        <w:t xml:space="preserve"> </w:t>
      </w:r>
      <w:r>
        <w:rPr>
          <w:spacing w:val="-2"/>
        </w:rPr>
        <w:t>blank.</w:t>
      </w:r>
    </w:p>
    <w:p w14:paraId="4EE80170" w14:textId="77777777" w:rsidR="00DB6E1F" w:rsidRDefault="00DB6E1F">
      <w:pPr>
        <w:jc w:val="center"/>
        <w:sectPr w:rsidR="00DB6E1F">
          <w:pgSz w:w="12240" w:h="15840"/>
          <w:pgMar w:top="1200" w:right="0" w:bottom="780" w:left="0" w:header="763" w:footer="585" w:gutter="0"/>
          <w:cols w:space="720"/>
        </w:sectPr>
      </w:pPr>
    </w:p>
    <w:p w14:paraId="358C0D04" w14:textId="77777777" w:rsidR="00DB6E1F" w:rsidRDefault="00DB6E1F">
      <w:pPr>
        <w:pStyle w:val="BodyText"/>
        <w:spacing w:before="9"/>
        <w:rPr>
          <w:sz w:val="28"/>
        </w:rPr>
      </w:pPr>
    </w:p>
    <w:p w14:paraId="58DC186F" w14:textId="77777777" w:rsidR="00DB6E1F" w:rsidRDefault="00F666A6">
      <w:pPr>
        <w:pStyle w:val="Heading1"/>
        <w:ind w:right="1445"/>
      </w:pPr>
      <w:bookmarkStart w:id="228" w:name="Appendix_A—Bibliography"/>
      <w:bookmarkStart w:id="229" w:name="_bookmark49"/>
      <w:bookmarkEnd w:id="228"/>
      <w:bookmarkEnd w:id="229"/>
      <w:r>
        <w:t>Appendix</w:t>
      </w:r>
      <w:r>
        <w:rPr>
          <w:spacing w:val="-4"/>
        </w:rPr>
        <w:t xml:space="preserve"> </w:t>
      </w:r>
      <w:r>
        <w:t>A—</w:t>
      </w:r>
      <w:r>
        <w:rPr>
          <w:spacing w:val="-2"/>
        </w:rPr>
        <w:t>Bibliography</w:t>
      </w:r>
    </w:p>
    <w:p w14:paraId="0EA24D31" w14:textId="77777777" w:rsidR="00DB6E1F" w:rsidRDefault="00DB6E1F">
      <w:pPr>
        <w:pStyle w:val="BodyText"/>
        <w:spacing w:before="3"/>
        <w:rPr>
          <w:b/>
          <w:sz w:val="43"/>
        </w:rPr>
      </w:pPr>
    </w:p>
    <w:p w14:paraId="037815BD" w14:textId="77777777" w:rsidR="00DB6E1F" w:rsidRDefault="00F666A6">
      <w:pPr>
        <w:spacing w:line="259" w:lineRule="auto"/>
        <w:ind w:left="1619" w:right="1491" w:hanging="180"/>
        <w:rPr>
          <w:rFonts w:ascii="Calibri Light" w:hAnsi="Calibri Light"/>
          <w:sz w:val="20"/>
        </w:rPr>
      </w:pPr>
      <w:r>
        <w:rPr>
          <w:rFonts w:ascii="Calibri Light" w:hAnsi="Calibri Light"/>
          <w:sz w:val="20"/>
        </w:rPr>
        <w:t>Ager,</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Roahen-Harrison,</w:t>
      </w:r>
      <w:r>
        <w:rPr>
          <w:rFonts w:ascii="Calibri Light" w:hAnsi="Calibri Light"/>
          <w:spacing w:val="-3"/>
          <w:sz w:val="20"/>
        </w:rPr>
        <w:t xml:space="preserve"> </w:t>
      </w:r>
      <w:r>
        <w:rPr>
          <w:rFonts w:ascii="Calibri Light" w:hAnsi="Calibri Light"/>
          <w:sz w:val="20"/>
        </w:rPr>
        <w:t>S., Toriello,</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Kissinger,</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Morse,</w:t>
      </w:r>
      <w:r>
        <w:rPr>
          <w:rFonts w:ascii="Calibri Light" w:hAnsi="Calibri Light"/>
          <w:spacing w:val="-3"/>
          <w:sz w:val="20"/>
        </w:rPr>
        <w:t xml:space="preserve"> </w:t>
      </w:r>
      <w:r>
        <w:rPr>
          <w:rFonts w:ascii="Calibri Light" w:hAnsi="Calibri Light"/>
          <w:sz w:val="20"/>
        </w:rPr>
        <w:t>P., Morse,</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w:t>
      </w:r>
      <w:r>
        <w:rPr>
          <w:rFonts w:ascii="Calibri Light" w:hAnsi="Calibri Light"/>
          <w:spacing w:val="-1"/>
          <w:sz w:val="20"/>
        </w:rPr>
        <w:t xml:space="preserve"> </w:t>
      </w:r>
      <w:r>
        <w:rPr>
          <w:rFonts w:ascii="Calibri Light" w:hAnsi="Calibri Light"/>
          <w:sz w:val="20"/>
        </w:rPr>
        <w:t>Rice,</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(2010).</w:t>
      </w:r>
      <w:r>
        <w:rPr>
          <w:rFonts w:ascii="Calibri Light" w:hAnsi="Calibri Light"/>
          <w:spacing w:val="-3"/>
          <w:sz w:val="20"/>
        </w:rPr>
        <w:t xml:space="preserve"> </w:t>
      </w:r>
      <w:r>
        <w:rPr>
          <w:rFonts w:ascii="Calibri Light" w:hAnsi="Calibri Light"/>
          <w:sz w:val="20"/>
        </w:rPr>
        <w:t>Predictors</w:t>
      </w:r>
      <w:r>
        <w:rPr>
          <w:rFonts w:ascii="Calibri Light" w:hAnsi="Calibri Light"/>
          <w:spacing w:val="-2"/>
          <w:sz w:val="20"/>
        </w:rPr>
        <w:t xml:space="preserve"> </w:t>
      </w:r>
      <w:r>
        <w:rPr>
          <w:rFonts w:ascii="Calibri Light" w:hAnsi="Calibri Light"/>
          <w:sz w:val="20"/>
        </w:rPr>
        <w:t xml:space="preserve">of adopting motivational enhancement therapy. </w:t>
      </w:r>
      <w:r>
        <w:rPr>
          <w:rFonts w:ascii="Calibri Light" w:hAnsi="Calibri Light"/>
          <w:i/>
          <w:sz w:val="20"/>
        </w:rPr>
        <w:t>Research on Social Work Practice, 21</w:t>
      </w:r>
      <w:r>
        <w:rPr>
          <w:rFonts w:ascii="Calibri Light" w:hAnsi="Calibri Light"/>
          <w:sz w:val="20"/>
        </w:rPr>
        <w:t xml:space="preserve">(1), 65‒76. </w:t>
      </w:r>
      <w:r>
        <w:rPr>
          <w:rFonts w:ascii="Calibri Light" w:hAnsi="Calibri Light"/>
          <w:spacing w:val="-2"/>
          <w:sz w:val="20"/>
        </w:rPr>
        <w:t>doi:10.1177/1049731509353170</w:t>
      </w:r>
    </w:p>
    <w:p w14:paraId="30E6AB55" w14:textId="77777777" w:rsidR="00DB6E1F" w:rsidRDefault="00F666A6">
      <w:pPr>
        <w:spacing w:before="1" w:line="259" w:lineRule="auto"/>
        <w:ind w:left="1619" w:right="1569" w:hanging="180"/>
        <w:jc w:val="both"/>
        <w:rPr>
          <w:rFonts w:ascii="Calibri Light" w:hAnsi="Calibri Light"/>
          <w:sz w:val="20"/>
        </w:rPr>
      </w:pPr>
      <w:r>
        <w:rPr>
          <w:rFonts w:ascii="Calibri Light" w:hAnsi="Calibri Light"/>
          <w:sz w:val="20"/>
        </w:rPr>
        <w:t>Ainscough,</w:t>
      </w:r>
      <w:r>
        <w:rPr>
          <w:rFonts w:ascii="Calibri Light" w:hAnsi="Calibri Light"/>
          <w:spacing w:val="-2"/>
          <w:sz w:val="20"/>
        </w:rPr>
        <w:t xml:space="preserve"> </w:t>
      </w:r>
      <w:r>
        <w:rPr>
          <w:rFonts w:ascii="Calibri Light" w:hAnsi="Calibri Light"/>
          <w:sz w:val="20"/>
        </w:rPr>
        <w:t>T.</w:t>
      </w:r>
      <w:r>
        <w:rPr>
          <w:rFonts w:ascii="Calibri Light" w:hAnsi="Calibri Light"/>
          <w:spacing w:val="-2"/>
          <w:sz w:val="20"/>
        </w:rPr>
        <w:t xml:space="preserve"> </w:t>
      </w:r>
      <w:r>
        <w:rPr>
          <w:rFonts w:ascii="Calibri Light" w:hAnsi="Calibri Light"/>
          <w:sz w:val="20"/>
        </w:rPr>
        <w:t>S.,</w:t>
      </w:r>
      <w:r>
        <w:rPr>
          <w:rFonts w:ascii="Calibri Light" w:hAnsi="Calibri Light"/>
          <w:spacing w:val="-2"/>
          <w:sz w:val="20"/>
        </w:rPr>
        <w:t xml:space="preserve"> </w:t>
      </w:r>
      <w:r>
        <w:rPr>
          <w:rFonts w:ascii="Calibri Light" w:hAnsi="Calibri Light"/>
          <w:sz w:val="20"/>
        </w:rPr>
        <w:t>McNeill,</w:t>
      </w:r>
      <w:r>
        <w:rPr>
          <w:rFonts w:ascii="Calibri Light" w:hAnsi="Calibri Light"/>
          <w:spacing w:val="-2"/>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Strang,</w:t>
      </w:r>
      <w:r>
        <w:rPr>
          <w:rFonts w:ascii="Calibri Light" w:hAnsi="Calibri Light"/>
          <w:spacing w:val="-2"/>
          <w:sz w:val="20"/>
        </w:rPr>
        <w:t xml:space="preserve"> </w:t>
      </w:r>
      <w:r>
        <w:rPr>
          <w:rFonts w:ascii="Calibri Light" w:hAnsi="Calibri Light"/>
          <w:sz w:val="20"/>
        </w:rPr>
        <w:t>J.,</w:t>
      </w:r>
      <w:r>
        <w:rPr>
          <w:rFonts w:ascii="Calibri Light" w:hAnsi="Calibri Light"/>
          <w:spacing w:val="-2"/>
          <w:sz w:val="20"/>
        </w:rPr>
        <w:t xml:space="preserve"> </w:t>
      </w:r>
      <w:r>
        <w:rPr>
          <w:rFonts w:ascii="Calibri Light" w:hAnsi="Calibri Light"/>
          <w:sz w:val="20"/>
        </w:rPr>
        <w:t>Calder, R.,</w:t>
      </w:r>
      <w:r>
        <w:rPr>
          <w:rFonts w:ascii="Calibri Light" w:hAnsi="Calibri Light"/>
          <w:spacing w:val="-2"/>
          <w:sz w:val="20"/>
        </w:rPr>
        <w:t xml:space="preserve"> </w:t>
      </w:r>
      <w:r>
        <w:rPr>
          <w:rFonts w:ascii="Calibri Light" w:hAnsi="Calibri Light"/>
          <w:sz w:val="20"/>
        </w:rPr>
        <w:t>&amp; Brose,</w:t>
      </w:r>
      <w:r>
        <w:rPr>
          <w:rFonts w:ascii="Calibri Light" w:hAnsi="Calibri Light"/>
          <w:spacing w:val="-2"/>
          <w:sz w:val="20"/>
        </w:rPr>
        <w:t xml:space="preserve"> </w:t>
      </w:r>
      <w:r>
        <w:rPr>
          <w:rFonts w:ascii="Calibri Light" w:hAnsi="Calibri Light"/>
          <w:sz w:val="20"/>
        </w:rPr>
        <w:t>L. S.</w:t>
      </w:r>
      <w:r>
        <w:rPr>
          <w:rFonts w:ascii="Calibri Light" w:hAnsi="Calibri Light"/>
          <w:spacing w:val="-2"/>
          <w:sz w:val="20"/>
        </w:rPr>
        <w:t xml:space="preserve"> </w:t>
      </w:r>
      <w:r>
        <w:rPr>
          <w:rFonts w:ascii="Calibri Light" w:hAnsi="Calibri Light"/>
          <w:sz w:val="20"/>
        </w:rPr>
        <w:t>(2017).</w:t>
      </w:r>
      <w:r>
        <w:rPr>
          <w:rFonts w:ascii="Calibri Light" w:hAnsi="Calibri Light"/>
          <w:spacing w:val="-2"/>
          <w:sz w:val="20"/>
        </w:rPr>
        <w:t xml:space="preserve"> </w:t>
      </w:r>
      <w:r>
        <w:rPr>
          <w:rFonts w:ascii="Calibri Light" w:hAnsi="Calibri Light"/>
          <w:sz w:val="20"/>
        </w:rPr>
        <w:t>Contingency management</w:t>
      </w:r>
      <w:r>
        <w:rPr>
          <w:rFonts w:ascii="Calibri Light" w:hAnsi="Calibri Light"/>
          <w:spacing w:val="-2"/>
          <w:sz w:val="20"/>
        </w:rPr>
        <w:t xml:space="preserve"> </w:t>
      </w:r>
      <w:r>
        <w:rPr>
          <w:rFonts w:ascii="Calibri Light" w:hAnsi="Calibri Light"/>
          <w:sz w:val="20"/>
        </w:rPr>
        <w:t>interventions</w:t>
      </w:r>
      <w:r>
        <w:rPr>
          <w:rFonts w:ascii="Calibri Light" w:hAnsi="Calibri Light"/>
          <w:spacing w:val="-1"/>
          <w:sz w:val="20"/>
        </w:rPr>
        <w:t xml:space="preserve"> </w:t>
      </w:r>
      <w:r>
        <w:rPr>
          <w:rFonts w:ascii="Calibri Light" w:hAnsi="Calibri Light"/>
          <w:sz w:val="20"/>
        </w:rPr>
        <w:t>for non-prescribed</w:t>
      </w:r>
      <w:r>
        <w:rPr>
          <w:rFonts w:ascii="Calibri Light" w:hAnsi="Calibri Light"/>
          <w:spacing w:val="-3"/>
          <w:sz w:val="20"/>
        </w:rPr>
        <w:t xml:space="preserve"> </w:t>
      </w:r>
      <w:r>
        <w:rPr>
          <w:rFonts w:ascii="Calibri Light" w:hAnsi="Calibri Light"/>
          <w:sz w:val="20"/>
        </w:rPr>
        <w:t>drug</w:t>
      </w:r>
      <w:r>
        <w:rPr>
          <w:rFonts w:ascii="Calibri Light" w:hAnsi="Calibri Light"/>
          <w:spacing w:val="-3"/>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during</w:t>
      </w:r>
      <w:r>
        <w:rPr>
          <w:rFonts w:ascii="Calibri Light" w:hAnsi="Calibri Light"/>
          <w:spacing w:val="-3"/>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opiate</w:t>
      </w:r>
      <w:r>
        <w:rPr>
          <w:rFonts w:ascii="Calibri Light" w:hAnsi="Calibri Light"/>
          <w:spacing w:val="-3"/>
          <w:sz w:val="20"/>
        </w:rPr>
        <w:t xml:space="preserve"> </w:t>
      </w:r>
      <w:r>
        <w:rPr>
          <w:rFonts w:ascii="Calibri Light" w:hAnsi="Calibri Light"/>
          <w:sz w:val="20"/>
        </w:rPr>
        <w:t>addiction:</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systematic</w:t>
      </w:r>
      <w:r>
        <w:rPr>
          <w:rFonts w:ascii="Calibri Light" w:hAnsi="Calibri Light"/>
          <w:spacing w:val="-4"/>
          <w:sz w:val="20"/>
        </w:rPr>
        <w:t xml:space="preserve"> </w:t>
      </w:r>
      <w:r>
        <w:rPr>
          <w:rFonts w:ascii="Calibri Light" w:hAnsi="Calibri Light"/>
          <w:sz w:val="20"/>
        </w:rPr>
        <w:t>review</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meta-analysis.</w:t>
      </w:r>
      <w:r>
        <w:rPr>
          <w:rFonts w:ascii="Calibri Light" w:hAnsi="Calibri Light"/>
          <w:spacing w:val="-2"/>
          <w:sz w:val="20"/>
        </w:rPr>
        <w:t xml:space="preserve"> </w:t>
      </w:r>
      <w:r>
        <w:rPr>
          <w:rFonts w:ascii="Calibri Light" w:hAnsi="Calibri Light"/>
          <w:i/>
          <w:sz w:val="20"/>
        </w:rPr>
        <w:t>Drug</w:t>
      </w:r>
      <w:r>
        <w:rPr>
          <w:rFonts w:ascii="Calibri Light" w:hAnsi="Calibri Light"/>
          <w:i/>
          <w:spacing w:val="-3"/>
          <w:sz w:val="20"/>
        </w:rPr>
        <w:t xml:space="preserve"> </w:t>
      </w:r>
      <w:r>
        <w:rPr>
          <w:rFonts w:ascii="Calibri Light" w:hAnsi="Calibri Light"/>
          <w:i/>
          <w:sz w:val="20"/>
        </w:rPr>
        <w:t>and Alcohol Dependence</w:t>
      </w:r>
      <w:r>
        <w:rPr>
          <w:rFonts w:ascii="Calibri Light" w:hAnsi="Calibri Light"/>
          <w:sz w:val="20"/>
        </w:rPr>
        <w:t xml:space="preserve">, </w:t>
      </w:r>
      <w:r>
        <w:rPr>
          <w:rFonts w:ascii="Calibri Light" w:hAnsi="Calibri Light"/>
          <w:i/>
          <w:sz w:val="20"/>
        </w:rPr>
        <w:t>178</w:t>
      </w:r>
      <w:r>
        <w:rPr>
          <w:rFonts w:ascii="Calibri Light" w:hAnsi="Calibri Light"/>
          <w:sz w:val="20"/>
        </w:rPr>
        <w:t>, 318‒339.</w:t>
      </w:r>
    </w:p>
    <w:p w14:paraId="1C47B426" w14:textId="77777777" w:rsidR="00DB6E1F" w:rsidRDefault="00F666A6">
      <w:pPr>
        <w:spacing w:line="259" w:lineRule="auto"/>
        <w:ind w:left="1619" w:right="1491" w:hanging="181"/>
        <w:rPr>
          <w:rFonts w:ascii="Calibri Light"/>
          <w:sz w:val="20"/>
        </w:rPr>
      </w:pPr>
      <w:r>
        <w:rPr>
          <w:rFonts w:ascii="Calibri Light"/>
          <w:sz w:val="20"/>
        </w:rPr>
        <w:t>Alcoholics</w:t>
      </w:r>
      <w:r>
        <w:rPr>
          <w:rFonts w:ascii="Calibri Light"/>
          <w:spacing w:val="-3"/>
          <w:sz w:val="20"/>
        </w:rPr>
        <w:t xml:space="preserve"> </w:t>
      </w:r>
      <w:r>
        <w:rPr>
          <w:rFonts w:ascii="Calibri Light"/>
          <w:sz w:val="20"/>
        </w:rPr>
        <w:t>Anonymous.</w:t>
      </w:r>
      <w:r>
        <w:rPr>
          <w:rFonts w:ascii="Calibri Light"/>
          <w:spacing w:val="-4"/>
          <w:sz w:val="20"/>
        </w:rPr>
        <w:t xml:space="preserve"> </w:t>
      </w:r>
      <w:r>
        <w:rPr>
          <w:rFonts w:ascii="Calibri Light"/>
          <w:sz w:val="20"/>
        </w:rPr>
        <w:t>(2001).</w:t>
      </w:r>
      <w:r>
        <w:rPr>
          <w:rFonts w:ascii="Calibri Light"/>
          <w:spacing w:val="-4"/>
          <w:sz w:val="20"/>
        </w:rPr>
        <w:t xml:space="preserve"> </w:t>
      </w:r>
      <w:r>
        <w:rPr>
          <w:rFonts w:ascii="Calibri Light"/>
          <w:i/>
          <w:sz w:val="20"/>
        </w:rPr>
        <w:t>Alcoholics</w:t>
      </w:r>
      <w:r>
        <w:rPr>
          <w:rFonts w:ascii="Calibri Light"/>
          <w:i/>
          <w:spacing w:val="-3"/>
          <w:sz w:val="20"/>
        </w:rPr>
        <w:t xml:space="preserve"> </w:t>
      </w:r>
      <w:r>
        <w:rPr>
          <w:rFonts w:ascii="Calibri Light"/>
          <w:i/>
          <w:sz w:val="20"/>
        </w:rPr>
        <w:t>Anonymous:</w:t>
      </w:r>
      <w:r>
        <w:rPr>
          <w:rFonts w:ascii="Calibri Light"/>
          <w:i/>
          <w:spacing w:val="-3"/>
          <w:sz w:val="20"/>
        </w:rPr>
        <w:t xml:space="preserve"> </w:t>
      </w:r>
      <w:r>
        <w:rPr>
          <w:rFonts w:ascii="Calibri Light"/>
          <w:i/>
          <w:sz w:val="20"/>
        </w:rPr>
        <w:t>The</w:t>
      </w:r>
      <w:r>
        <w:rPr>
          <w:rFonts w:ascii="Calibri Light"/>
          <w:i/>
          <w:spacing w:val="-3"/>
          <w:sz w:val="20"/>
        </w:rPr>
        <w:t xml:space="preserve"> </w:t>
      </w:r>
      <w:r>
        <w:rPr>
          <w:rFonts w:ascii="Calibri Light"/>
          <w:i/>
          <w:sz w:val="20"/>
        </w:rPr>
        <w:t>story</w:t>
      </w:r>
      <w:r>
        <w:rPr>
          <w:rFonts w:ascii="Calibri Light"/>
          <w:i/>
          <w:spacing w:val="-3"/>
          <w:sz w:val="20"/>
        </w:rPr>
        <w:t xml:space="preserve"> </w:t>
      </w:r>
      <w:r>
        <w:rPr>
          <w:rFonts w:ascii="Calibri Light"/>
          <w:i/>
          <w:sz w:val="20"/>
        </w:rPr>
        <w:t>of</w:t>
      </w:r>
      <w:r>
        <w:rPr>
          <w:rFonts w:ascii="Calibri Light"/>
          <w:i/>
          <w:spacing w:val="-3"/>
          <w:sz w:val="20"/>
        </w:rPr>
        <w:t xml:space="preserve"> </w:t>
      </w:r>
      <w:r>
        <w:rPr>
          <w:rFonts w:ascii="Calibri Light"/>
          <w:i/>
          <w:sz w:val="20"/>
        </w:rPr>
        <w:t>how</w:t>
      </w:r>
      <w:r>
        <w:rPr>
          <w:rFonts w:ascii="Calibri Light"/>
          <w:i/>
          <w:spacing w:val="-3"/>
          <w:sz w:val="20"/>
        </w:rPr>
        <w:t xml:space="preserve"> </w:t>
      </w:r>
      <w:r>
        <w:rPr>
          <w:rFonts w:ascii="Calibri Light"/>
          <w:i/>
          <w:sz w:val="20"/>
        </w:rPr>
        <w:t>many</w:t>
      </w:r>
      <w:r>
        <w:rPr>
          <w:rFonts w:ascii="Calibri Light"/>
          <w:i/>
          <w:spacing w:val="-3"/>
          <w:sz w:val="20"/>
        </w:rPr>
        <w:t xml:space="preserve"> </w:t>
      </w:r>
      <w:r>
        <w:rPr>
          <w:rFonts w:ascii="Calibri Light"/>
          <w:i/>
          <w:sz w:val="20"/>
        </w:rPr>
        <w:t>thousands</w:t>
      </w:r>
      <w:r>
        <w:rPr>
          <w:rFonts w:ascii="Calibri Light"/>
          <w:i/>
          <w:spacing w:val="-3"/>
          <w:sz w:val="20"/>
        </w:rPr>
        <w:t xml:space="preserve"> </w:t>
      </w:r>
      <w:r>
        <w:rPr>
          <w:rFonts w:ascii="Calibri Light"/>
          <w:i/>
          <w:sz w:val="20"/>
        </w:rPr>
        <w:t>of men</w:t>
      </w:r>
      <w:r>
        <w:rPr>
          <w:rFonts w:ascii="Calibri Light"/>
          <w:i/>
          <w:spacing w:val="-3"/>
          <w:sz w:val="20"/>
        </w:rPr>
        <w:t xml:space="preserve"> </w:t>
      </w:r>
      <w:r>
        <w:rPr>
          <w:rFonts w:ascii="Calibri Light"/>
          <w:i/>
          <w:sz w:val="20"/>
        </w:rPr>
        <w:t>and</w:t>
      </w:r>
      <w:r>
        <w:rPr>
          <w:rFonts w:ascii="Calibri Light"/>
          <w:i/>
          <w:spacing w:val="-3"/>
          <w:sz w:val="20"/>
        </w:rPr>
        <w:t xml:space="preserve"> </w:t>
      </w:r>
      <w:r>
        <w:rPr>
          <w:rFonts w:ascii="Calibri Light"/>
          <w:i/>
          <w:sz w:val="20"/>
        </w:rPr>
        <w:t>women</w:t>
      </w:r>
      <w:r>
        <w:rPr>
          <w:rFonts w:ascii="Calibri Light"/>
          <w:i/>
          <w:spacing w:val="-3"/>
          <w:sz w:val="20"/>
        </w:rPr>
        <w:t xml:space="preserve"> </w:t>
      </w:r>
      <w:r>
        <w:rPr>
          <w:rFonts w:ascii="Calibri Light"/>
          <w:i/>
          <w:sz w:val="20"/>
        </w:rPr>
        <w:t xml:space="preserve">have recovered from alcoholism </w:t>
      </w:r>
      <w:r>
        <w:rPr>
          <w:rFonts w:ascii="Calibri Light"/>
          <w:sz w:val="20"/>
        </w:rPr>
        <w:t>(4th ed.). New York, NY: Alcoholics Anonymous World Services.</w:t>
      </w:r>
    </w:p>
    <w:p w14:paraId="05D6C83C" w14:textId="77777777" w:rsidR="00DB6E1F" w:rsidRDefault="00F666A6">
      <w:pPr>
        <w:spacing w:line="256" w:lineRule="auto"/>
        <w:ind w:left="1618" w:right="1569" w:hanging="181"/>
        <w:rPr>
          <w:rFonts w:ascii="Calibri Light" w:hAnsi="Calibri Light"/>
          <w:sz w:val="20"/>
        </w:rPr>
      </w:pPr>
      <w:r>
        <w:rPr>
          <w:rFonts w:ascii="Calibri Light" w:hAnsi="Calibri Light"/>
          <w:sz w:val="20"/>
        </w:rPr>
        <w:t>Aldridge,</w:t>
      </w:r>
      <w:r>
        <w:rPr>
          <w:rFonts w:ascii="Calibri Light" w:hAnsi="Calibri Light"/>
          <w:spacing w:val="-3"/>
          <w:sz w:val="20"/>
        </w:rPr>
        <w:t xml:space="preserve"> </w:t>
      </w:r>
      <w:r>
        <w:rPr>
          <w:rFonts w:ascii="Calibri Light" w:hAnsi="Calibri Light"/>
          <w:sz w:val="20"/>
        </w:rPr>
        <w:t>A.,</w:t>
      </w:r>
      <w:r>
        <w:rPr>
          <w:rFonts w:ascii="Calibri Light" w:hAnsi="Calibri Light"/>
          <w:spacing w:val="-1"/>
          <w:sz w:val="20"/>
        </w:rPr>
        <w:t xml:space="preserve"> </w:t>
      </w:r>
      <w:r>
        <w:rPr>
          <w:rFonts w:ascii="Calibri Light" w:hAnsi="Calibri Light"/>
          <w:sz w:val="20"/>
        </w:rPr>
        <w:t>Dowd,</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Bray,</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relative</w:t>
      </w:r>
      <w:r>
        <w:rPr>
          <w:rFonts w:ascii="Calibri Light" w:hAnsi="Calibri Light"/>
          <w:spacing w:val="-2"/>
          <w:sz w:val="20"/>
        </w:rPr>
        <w:t xml:space="preserve"> </w:t>
      </w:r>
      <w:r>
        <w:rPr>
          <w:rFonts w:ascii="Calibri Light" w:hAnsi="Calibri Light"/>
          <w:sz w:val="20"/>
        </w:rPr>
        <w:t>impact</w:t>
      </w:r>
      <w:r>
        <w:rPr>
          <w:rFonts w:ascii="Calibri Light" w:hAnsi="Calibri Light"/>
          <w:spacing w:val="-1"/>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brief</w:t>
      </w:r>
      <w:r>
        <w:rPr>
          <w:rFonts w:ascii="Calibri Light" w:hAnsi="Calibri Light"/>
          <w:spacing w:val="-2"/>
          <w:sz w:val="20"/>
        </w:rPr>
        <w:t xml:space="preserve"> </w:t>
      </w:r>
      <w:r>
        <w:rPr>
          <w:rFonts w:ascii="Calibri Light" w:hAnsi="Calibri Light"/>
          <w:sz w:val="20"/>
        </w:rPr>
        <w:t>treatment</w:t>
      </w:r>
      <w:r>
        <w:rPr>
          <w:rFonts w:ascii="Calibri Light" w:hAnsi="Calibri Light"/>
          <w:spacing w:val="-3"/>
          <w:sz w:val="20"/>
        </w:rPr>
        <w:t xml:space="preserve"> </w:t>
      </w:r>
      <w:r>
        <w:rPr>
          <w:rFonts w:ascii="Calibri Light" w:hAnsi="Calibri Light"/>
          <w:sz w:val="20"/>
        </w:rPr>
        <w:t>versus</w:t>
      </w:r>
      <w:r>
        <w:rPr>
          <w:rFonts w:ascii="Calibri Light" w:hAnsi="Calibri Light"/>
          <w:spacing w:val="-2"/>
          <w:sz w:val="20"/>
        </w:rPr>
        <w:t xml:space="preserve"> </w:t>
      </w:r>
      <w:r>
        <w:rPr>
          <w:rFonts w:ascii="Calibri Light" w:hAnsi="Calibri Light"/>
          <w:sz w:val="20"/>
        </w:rPr>
        <w:t>brief</w:t>
      </w:r>
      <w:r>
        <w:rPr>
          <w:rFonts w:ascii="Calibri Light" w:hAnsi="Calibri Light"/>
          <w:spacing w:val="-2"/>
          <w:sz w:val="20"/>
        </w:rPr>
        <w:t xml:space="preserve"> </w:t>
      </w:r>
      <w:r>
        <w:rPr>
          <w:rFonts w:ascii="Calibri Light" w:hAnsi="Calibri Light"/>
          <w:sz w:val="20"/>
        </w:rPr>
        <w:t>intervention</w:t>
      </w:r>
      <w:r>
        <w:rPr>
          <w:rFonts w:ascii="Calibri Light" w:hAnsi="Calibri Light"/>
          <w:spacing w:val="-1"/>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 xml:space="preserve">primary health-care screening programs for substance use disorders. </w:t>
      </w:r>
      <w:r>
        <w:rPr>
          <w:rFonts w:ascii="Calibri Light" w:hAnsi="Calibri Light"/>
          <w:i/>
          <w:sz w:val="20"/>
        </w:rPr>
        <w:t>Addiction, 112</w:t>
      </w:r>
      <w:r>
        <w:rPr>
          <w:rFonts w:ascii="Calibri Light" w:hAnsi="Calibri Light"/>
          <w:sz w:val="20"/>
        </w:rPr>
        <w:t>, 54‒64. doi:10.1111/add.13653</w:t>
      </w:r>
    </w:p>
    <w:p w14:paraId="1BCC62A4" w14:textId="77777777" w:rsidR="00DB6E1F" w:rsidRDefault="00F666A6">
      <w:pPr>
        <w:spacing w:before="2" w:line="259" w:lineRule="auto"/>
        <w:ind w:left="1618" w:right="1444" w:hanging="181"/>
        <w:rPr>
          <w:rFonts w:ascii="Calibri Light" w:hAnsi="Calibri Light"/>
          <w:sz w:val="20"/>
        </w:rPr>
      </w:pPr>
      <w:r>
        <w:rPr>
          <w:rFonts w:ascii="Calibri Light" w:hAnsi="Calibri Light"/>
          <w:sz w:val="20"/>
        </w:rPr>
        <w:t>Aldridge,</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Linford,</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&amp; Bray,</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Substance</w:t>
      </w:r>
      <w:r>
        <w:rPr>
          <w:rFonts w:ascii="Calibri Light" w:hAnsi="Calibri Light"/>
          <w:spacing w:val="-2"/>
          <w:sz w:val="20"/>
        </w:rPr>
        <w:t xml:space="preserve"> </w:t>
      </w:r>
      <w:r>
        <w:rPr>
          <w:rFonts w:ascii="Calibri Light" w:hAnsi="Calibri Light"/>
          <w:sz w:val="20"/>
        </w:rPr>
        <w:t>use</w:t>
      </w:r>
      <w:r>
        <w:rPr>
          <w:rFonts w:ascii="Calibri Light" w:hAnsi="Calibri Light"/>
          <w:spacing w:val="-2"/>
          <w:sz w:val="20"/>
        </w:rPr>
        <w:t xml:space="preserve"> </w:t>
      </w:r>
      <w:r>
        <w:rPr>
          <w:rFonts w:ascii="Calibri Light" w:hAnsi="Calibri Light"/>
          <w:sz w:val="20"/>
        </w:rPr>
        <w:t>outcomes of</w:t>
      </w:r>
      <w:r>
        <w:rPr>
          <w:rFonts w:ascii="Calibri Light" w:hAnsi="Calibri Light"/>
          <w:spacing w:val="-2"/>
          <w:sz w:val="20"/>
        </w:rPr>
        <w:t xml:space="preserve"> </w:t>
      </w:r>
      <w:r>
        <w:rPr>
          <w:rFonts w:ascii="Calibri Light" w:hAnsi="Calibri Light"/>
          <w:sz w:val="20"/>
        </w:rPr>
        <w:t>patients</w:t>
      </w:r>
      <w:r>
        <w:rPr>
          <w:rFonts w:ascii="Calibri Light" w:hAnsi="Calibri Light"/>
          <w:spacing w:val="-2"/>
          <w:sz w:val="20"/>
        </w:rPr>
        <w:t xml:space="preserve"> </w:t>
      </w:r>
      <w:r>
        <w:rPr>
          <w:rFonts w:ascii="Calibri Light" w:hAnsi="Calibri Light"/>
          <w:sz w:val="20"/>
        </w:rPr>
        <w:t>served</w:t>
      </w:r>
      <w:r>
        <w:rPr>
          <w:rFonts w:ascii="Calibri Light" w:hAnsi="Calibri Light"/>
          <w:spacing w:val="-2"/>
          <w:sz w:val="20"/>
        </w:rPr>
        <w:t xml:space="preserve"> </w:t>
      </w:r>
      <w:r>
        <w:rPr>
          <w:rFonts w:ascii="Calibri Light" w:hAnsi="Calibri Light"/>
          <w:sz w:val="20"/>
        </w:rPr>
        <w:t>by</w:t>
      </w:r>
      <w:r>
        <w:rPr>
          <w:rFonts w:ascii="Calibri Light" w:hAnsi="Calibri Light"/>
          <w:spacing w:val="-1"/>
          <w:sz w:val="20"/>
        </w:rPr>
        <w:t xml:space="preserve"> </w:t>
      </w:r>
      <w:r>
        <w:rPr>
          <w:rFonts w:ascii="Calibri Light" w:hAnsi="Calibri Light"/>
          <w:sz w:val="20"/>
        </w:rPr>
        <w:t>a large</w:t>
      </w:r>
      <w:r>
        <w:rPr>
          <w:rFonts w:ascii="Calibri Light" w:hAnsi="Calibri Light"/>
          <w:spacing w:val="-2"/>
          <w:sz w:val="20"/>
        </w:rPr>
        <w:t xml:space="preserve"> </w:t>
      </w:r>
      <w:r>
        <w:rPr>
          <w:rFonts w:ascii="Calibri Light" w:hAnsi="Calibri Light"/>
          <w:sz w:val="20"/>
        </w:rPr>
        <w:t>U.S.</w:t>
      </w:r>
      <w:r>
        <w:rPr>
          <w:rFonts w:ascii="Calibri Light" w:hAnsi="Calibri Light"/>
          <w:spacing w:val="-3"/>
          <w:sz w:val="20"/>
        </w:rPr>
        <w:t xml:space="preserve"> </w:t>
      </w:r>
      <w:r>
        <w:rPr>
          <w:rFonts w:ascii="Calibri Light" w:hAnsi="Calibri Light"/>
          <w:sz w:val="20"/>
        </w:rPr>
        <w:t>implementa</w:t>
      </w:r>
      <w:r>
        <w:rPr>
          <w:rFonts w:ascii="Calibri Light" w:hAnsi="Calibri Light"/>
          <w:sz w:val="20"/>
        </w:rPr>
        <w:t xml:space="preserve">tion of screening, brief intervention and referral to treatment (SBIRT). </w:t>
      </w:r>
      <w:r>
        <w:rPr>
          <w:rFonts w:ascii="Calibri Light" w:hAnsi="Calibri Light"/>
          <w:i/>
          <w:sz w:val="20"/>
        </w:rPr>
        <w:t>Addiction</w:t>
      </w:r>
      <w:r>
        <w:rPr>
          <w:rFonts w:ascii="Calibri Light" w:hAnsi="Calibri Light"/>
          <w:sz w:val="20"/>
        </w:rPr>
        <w:t xml:space="preserve">, </w:t>
      </w:r>
      <w:r>
        <w:rPr>
          <w:rFonts w:ascii="Calibri Light" w:hAnsi="Calibri Light"/>
          <w:i/>
          <w:sz w:val="20"/>
        </w:rPr>
        <w:t>112</w:t>
      </w:r>
      <w:r>
        <w:rPr>
          <w:rFonts w:ascii="Calibri Light" w:hAnsi="Calibri Light"/>
          <w:sz w:val="20"/>
        </w:rPr>
        <w:t>, 43–53.</w:t>
      </w:r>
    </w:p>
    <w:p w14:paraId="0AF0F3F0" w14:textId="77777777" w:rsidR="00DB6E1F" w:rsidRDefault="00F666A6">
      <w:pPr>
        <w:spacing w:line="259" w:lineRule="auto"/>
        <w:ind w:left="1618" w:right="1491" w:hanging="181"/>
        <w:rPr>
          <w:rFonts w:ascii="Calibri Light" w:hAnsi="Calibri Light"/>
          <w:sz w:val="20"/>
        </w:rPr>
      </w:pPr>
      <w:r>
        <w:rPr>
          <w:rFonts w:ascii="Calibri Light" w:hAnsi="Calibri Light"/>
          <w:sz w:val="20"/>
        </w:rPr>
        <w:t>Alperstein,</w:t>
      </w:r>
      <w:r>
        <w:rPr>
          <w:rFonts w:ascii="Calibri Light" w:hAnsi="Calibri Light"/>
          <w:spacing w:val="-1"/>
          <w:sz w:val="20"/>
        </w:rPr>
        <w:t xml:space="preserve"> </w:t>
      </w:r>
      <w:r>
        <w:rPr>
          <w:rFonts w:ascii="Calibri Light" w:hAnsi="Calibri Light"/>
          <w:sz w:val="20"/>
        </w:rPr>
        <w:t>D.,</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Sharpe,</w:t>
      </w:r>
      <w:r>
        <w:rPr>
          <w:rFonts w:ascii="Calibri Light" w:hAnsi="Calibri Light"/>
          <w:spacing w:val="-4"/>
          <w:sz w:val="20"/>
        </w:rPr>
        <w:t xml:space="preserve"> </w:t>
      </w:r>
      <w:r>
        <w:rPr>
          <w:rFonts w:ascii="Calibri Light" w:hAnsi="Calibri Light"/>
          <w:sz w:val="20"/>
        </w:rPr>
        <w:t>L.</w:t>
      </w:r>
      <w:r>
        <w:rPr>
          <w:rFonts w:ascii="Calibri Light" w:hAnsi="Calibri Light"/>
          <w:spacing w:val="-4"/>
          <w:sz w:val="20"/>
        </w:rPr>
        <w:t xml:space="preserve"> </w:t>
      </w:r>
      <w:r>
        <w:rPr>
          <w:rFonts w:ascii="Calibri Light" w:hAnsi="Calibri Light"/>
          <w:sz w:val="20"/>
        </w:rPr>
        <w:t>(2016).</w:t>
      </w:r>
      <w:r>
        <w:rPr>
          <w:rFonts w:ascii="Calibri Light" w:hAnsi="Calibri Light"/>
          <w:spacing w:val="-4"/>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efficacy</w:t>
      </w:r>
      <w:r>
        <w:rPr>
          <w:rFonts w:ascii="Calibri Light" w:hAnsi="Calibri Light"/>
          <w:spacing w:val="-2"/>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3"/>
          <w:sz w:val="20"/>
        </w:rPr>
        <w:t xml:space="preserve"> </w:t>
      </w:r>
      <w:r>
        <w:rPr>
          <w:rFonts w:ascii="Calibri Light" w:hAnsi="Calibri Light"/>
          <w:sz w:val="20"/>
        </w:rPr>
        <w:t>interviewing</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adults</w:t>
      </w:r>
      <w:r>
        <w:rPr>
          <w:rFonts w:ascii="Calibri Light" w:hAnsi="Calibri Light"/>
          <w:spacing w:val="-3"/>
          <w:sz w:val="20"/>
        </w:rPr>
        <w:t xml:space="preserve"> </w:t>
      </w:r>
      <w:r>
        <w:rPr>
          <w:rFonts w:ascii="Calibri Light" w:hAnsi="Calibri Light"/>
          <w:sz w:val="20"/>
        </w:rPr>
        <w:t>with</w:t>
      </w:r>
      <w:r>
        <w:rPr>
          <w:rFonts w:ascii="Calibri Light" w:hAnsi="Calibri Light"/>
          <w:spacing w:val="-3"/>
          <w:sz w:val="20"/>
        </w:rPr>
        <w:t xml:space="preserve"> </w:t>
      </w:r>
      <w:r>
        <w:rPr>
          <w:rFonts w:ascii="Calibri Light" w:hAnsi="Calibri Light"/>
          <w:sz w:val="20"/>
        </w:rPr>
        <w:t>chronic</w:t>
      </w:r>
      <w:r>
        <w:rPr>
          <w:rFonts w:ascii="Calibri Light" w:hAnsi="Calibri Light"/>
          <w:spacing w:val="-4"/>
          <w:sz w:val="20"/>
        </w:rPr>
        <w:t xml:space="preserve"> </w:t>
      </w:r>
      <w:r>
        <w:rPr>
          <w:rFonts w:ascii="Calibri Light" w:hAnsi="Calibri Light"/>
          <w:sz w:val="20"/>
        </w:rPr>
        <w:t>pain:</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 xml:space="preserve">meta- analysis and systematic review. </w:t>
      </w:r>
      <w:r>
        <w:rPr>
          <w:rFonts w:ascii="Calibri Light" w:hAnsi="Calibri Light"/>
          <w:i/>
          <w:sz w:val="20"/>
        </w:rPr>
        <w:t>Journal of Pain, 17</w:t>
      </w:r>
      <w:r>
        <w:rPr>
          <w:rFonts w:ascii="Calibri Light" w:hAnsi="Calibri Light"/>
          <w:sz w:val="20"/>
        </w:rPr>
        <w:t>(4), 393‒403. doi:10.1016/j.jpain.2015.10.021</w:t>
      </w:r>
    </w:p>
    <w:p w14:paraId="58CB072B" w14:textId="77777777" w:rsidR="00DB6E1F" w:rsidRDefault="00F666A6">
      <w:pPr>
        <w:spacing w:line="259" w:lineRule="auto"/>
        <w:ind w:left="1618" w:right="1491" w:hanging="180"/>
        <w:rPr>
          <w:rFonts w:ascii="Calibri Light"/>
          <w:sz w:val="20"/>
        </w:rPr>
      </w:pPr>
      <w:r>
        <w:rPr>
          <w:rFonts w:ascii="Calibri Light"/>
          <w:sz w:val="20"/>
        </w:rPr>
        <w:t>American</w:t>
      </w:r>
      <w:r>
        <w:rPr>
          <w:rFonts w:ascii="Calibri Light"/>
          <w:spacing w:val="-4"/>
          <w:sz w:val="20"/>
        </w:rPr>
        <w:t xml:space="preserve"> </w:t>
      </w:r>
      <w:r>
        <w:rPr>
          <w:rFonts w:ascii="Calibri Light"/>
          <w:sz w:val="20"/>
        </w:rPr>
        <w:t>Psychiatric</w:t>
      </w:r>
      <w:r>
        <w:rPr>
          <w:rFonts w:ascii="Calibri Light"/>
          <w:spacing w:val="-4"/>
          <w:sz w:val="20"/>
        </w:rPr>
        <w:t xml:space="preserve"> </w:t>
      </w:r>
      <w:r>
        <w:rPr>
          <w:rFonts w:ascii="Calibri Light"/>
          <w:sz w:val="20"/>
        </w:rPr>
        <w:t>Association.</w:t>
      </w:r>
      <w:r>
        <w:rPr>
          <w:rFonts w:ascii="Calibri Light"/>
          <w:spacing w:val="-4"/>
          <w:sz w:val="20"/>
        </w:rPr>
        <w:t xml:space="preserve"> </w:t>
      </w:r>
      <w:r>
        <w:rPr>
          <w:rFonts w:ascii="Calibri Light"/>
          <w:sz w:val="20"/>
        </w:rPr>
        <w:t>(2013).</w:t>
      </w:r>
      <w:r>
        <w:rPr>
          <w:rFonts w:ascii="Calibri Light"/>
          <w:spacing w:val="-3"/>
          <w:sz w:val="20"/>
        </w:rPr>
        <w:t xml:space="preserve"> </w:t>
      </w:r>
      <w:r>
        <w:rPr>
          <w:rFonts w:ascii="Calibri Light"/>
          <w:i/>
          <w:sz w:val="20"/>
        </w:rPr>
        <w:t>Diagnostic</w:t>
      </w:r>
      <w:r>
        <w:rPr>
          <w:rFonts w:ascii="Calibri Light"/>
          <w:i/>
          <w:spacing w:val="-3"/>
          <w:sz w:val="20"/>
        </w:rPr>
        <w:t xml:space="preserve"> </w:t>
      </w:r>
      <w:r>
        <w:rPr>
          <w:rFonts w:ascii="Calibri Light"/>
          <w:i/>
          <w:sz w:val="20"/>
        </w:rPr>
        <w:t>and</w:t>
      </w:r>
      <w:r>
        <w:rPr>
          <w:rFonts w:ascii="Calibri Light"/>
          <w:i/>
          <w:spacing w:val="-4"/>
          <w:sz w:val="20"/>
        </w:rPr>
        <w:t xml:space="preserve"> </w:t>
      </w:r>
      <w:r>
        <w:rPr>
          <w:rFonts w:ascii="Calibri Light"/>
          <w:i/>
          <w:sz w:val="20"/>
        </w:rPr>
        <w:t>statistical</w:t>
      </w:r>
      <w:r>
        <w:rPr>
          <w:rFonts w:ascii="Calibri Light"/>
          <w:i/>
          <w:spacing w:val="-4"/>
          <w:sz w:val="20"/>
        </w:rPr>
        <w:t xml:space="preserve"> </w:t>
      </w:r>
      <w:r>
        <w:rPr>
          <w:rFonts w:ascii="Calibri Light"/>
          <w:i/>
          <w:sz w:val="20"/>
        </w:rPr>
        <w:t>manual</w:t>
      </w:r>
      <w:r>
        <w:rPr>
          <w:rFonts w:ascii="Calibri Light"/>
          <w:i/>
          <w:spacing w:val="-4"/>
          <w:sz w:val="20"/>
        </w:rPr>
        <w:t xml:space="preserve"> </w:t>
      </w:r>
      <w:r>
        <w:rPr>
          <w:rFonts w:ascii="Calibri Light"/>
          <w:i/>
          <w:sz w:val="20"/>
        </w:rPr>
        <w:t>of</w:t>
      </w:r>
      <w:r>
        <w:rPr>
          <w:rFonts w:ascii="Calibri Light"/>
          <w:i/>
          <w:spacing w:val="-4"/>
          <w:sz w:val="20"/>
        </w:rPr>
        <w:t xml:space="preserve"> </w:t>
      </w:r>
      <w:r>
        <w:rPr>
          <w:rFonts w:ascii="Calibri Light"/>
          <w:i/>
          <w:sz w:val="20"/>
        </w:rPr>
        <w:t>mental</w:t>
      </w:r>
      <w:r>
        <w:rPr>
          <w:rFonts w:ascii="Calibri Light"/>
          <w:i/>
          <w:spacing w:val="-4"/>
          <w:sz w:val="20"/>
        </w:rPr>
        <w:t xml:space="preserve"> </w:t>
      </w:r>
      <w:r>
        <w:rPr>
          <w:rFonts w:ascii="Calibri Light"/>
          <w:i/>
          <w:sz w:val="20"/>
        </w:rPr>
        <w:t>disorders</w:t>
      </w:r>
      <w:r>
        <w:rPr>
          <w:rFonts w:ascii="Calibri Light"/>
          <w:i/>
          <w:spacing w:val="-4"/>
          <w:sz w:val="20"/>
        </w:rPr>
        <w:t xml:space="preserve"> </w:t>
      </w:r>
      <w:r>
        <w:rPr>
          <w:rFonts w:ascii="Calibri Light"/>
          <w:sz w:val="20"/>
        </w:rPr>
        <w:t>(5th</w:t>
      </w:r>
      <w:r>
        <w:rPr>
          <w:rFonts w:ascii="Calibri Light"/>
          <w:spacing w:val="-4"/>
          <w:sz w:val="20"/>
        </w:rPr>
        <w:t xml:space="preserve"> </w:t>
      </w:r>
      <w:r>
        <w:rPr>
          <w:rFonts w:ascii="Calibri Light"/>
          <w:sz w:val="20"/>
        </w:rPr>
        <w:t>ed.). Washington, DC: Author.</w:t>
      </w:r>
    </w:p>
    <w:p w14:paraId="7FDED34F" w14:textId="77777777" w:rsidR="00DB6E1F" w:rsidRDefault="00F666A6">
      <w:pPr>
        <w:spacing w:line="259" w:lineRule="auto"/>
        <w:ind w:left="1618" w:right="1491" w:hanging="181"/>
        <w:rPr>
          <w:rFonts w:ascii="Calibri Light"/>
          <w:sz w:val="20"/>
        </w:rPr>
      </w:pPr>
      <w:r>
        <w:rPr>
          <w:rFonts w:ascii="Calibri Light"/>
          <w:sz w:val="20"/>
        </w:rPr>
        <w:t>American</w:t>
      </w:r>
      <w:r>
        <w:rPr>
          <w:rFonts w:ascii="Calibri Light"/>
          <w:spacing w:val="-3"/>
          <w:sz w:val="20"/>
        </w:rPr>
        <w:t xml:space="preserve"> </w:t>
      </w:r>
      <w:r>
        <w:rPr>
          <w:rFonts w:ascii="Calibri Light"/>
          <w:sz w:val="20"/>
        </w:rPr>
        <w:t>Psychiatric</w:t>
      </w:r>
      <w:r>
        <w:rPr>
          <w:rFonts w:ascii="Calibri Light"/>
          <w:spacing w:val="-4"/>
          <w:sz w:val="20"/>
        </w:rPr>
        <w:t xml:space="preserve"> </w:t>
      </w:r>
      <w:r>
        <w:rPr>
          <w:rFonts w:ascii="Calibri Light"/>
          <w:sz w:val="20"/>
        </w:rPr>
        <w:t>Association.</w:t>
      </w:r>
      <w:r>
        <w:rPr>
          <w:rFonts w:ascii="Calibri Light"/>
          <w:spacing w:val="-4"/>
          <w:sz w:val="20"/>
        </w:rPr>
        <w:t xml:space="preserve"> </w:t>
      </w:r>
      <w:r>
        <w:rPr>
          <w:rFonts w:ascii="Calibri Light"/>
          <w:sz w:val="20"/>
        </w:rPr>
        <w:t>(1994).</w:t>
      </w:r>
      <w:r>
        <w:rPr>
          <w:rFonts w:ascii="Calibri Light"/>
          <w:spacing w:val="-2"/>
          <w:sz w:val="20"/>
        </w:rPr>
        <w:t xml:space="preserve"> </w:t>
      </w:r>
      <w:r>
        <w:rPr>
          <w:rFonts w:ascii="Calibri Light"/>
          <w:i/>
          <w:sz w:val="20"/>
        </w:rPr>
        <w:t>Diagnostic</w:t>
      </w:r>
      <w:r>
        <w:rPr>
          <w:rFonts w:ascii="Calibri Light"/>
          <w:i/>
          <w:spacing w:val="-2"/>
          <w:sz w:val="20"/>
        </w:rPr>
        <w:t xml:space="preserve"> </w:t>
      </w:r>
      <w:r>
        <w:rPr>
          <w:rFonts w:ascii="Calibri Light"/>
          <w:i/>
          <w:sz w:val="20"/>
        </w:rPr>
        <w:t>and</w:t>
      </w:r>
      <w:r>
        <w:rPr>
          <w:rFonts w:ascii="Calibri Light"/>
          <w:i/>
          <w:spacing w:val="-3"/>
          <w:sz w:val="20"/>
        </w:rPr>
        <w:t xml:space="preserve"> </w:t>
      </w:r>
      <w:r>
        <w:rPr>
          <w:rFonts w:ascii="Calibri Light"/>
          <w:i/>
          <w:sz w:val="20"/>
        </w:rPr>
        <w:t>statistical</w:t>
      </w:r>
      <w:r>
        <w:rPr>
          <w:rFonts w:ascii="Calibri Light"/>
          <w:i/>
          <w:spacing w:val="-4"/>
          <w:sz w:val="20"/>
        </w:rPr>
        <w:t xml:space="preserve"> </w:t>
      </w:r>
      <w:r>
        <w:rPr>
          <w:rFonts w:ascii="Calibri Light"/>
          <w:i/>
          <w:sz w:val="20"/>
        </w:rPr>
        <w:t>manual</w:t>
      </w:r>
      <w:r>
        <w:rPr>
          <w:rFonts w:ascii="Calibri Light"/>
          <w:i/>
          <w:spacing w:val="-4"/>
          <w:sz w:val="20"/>
        </w:rPr>
        <w:t xml:space="preserve"> </w:t>
      </w:r>
      <w:r>
        <w:rPr>
          <w:rFonts w:ascii="Calibri Light"/>
          <w:i/>
          <w:sz w:val="20"/>
        </w:rPr>
        <w:t>of</w:t>
      </w:r>
      <w:r>
        <w:rPr>
          <w:rFonts w:ascii="Calibri Light"/>
          <w:i/>
          <w:spacing w:val="-2"/>
          <w:sz w:val="20"/>
        </w:rPr>
        <w:t xml:space="preserve"> </w:t>
      </w:r>
      <w:r>
        <w:rPr>
          <w:rFonts w:ascii="Calibri Light"/>
          <w:i/>
          <w:sz w:val="20"/>
        </w:rPr>
        <w:t>mental</w:t>
      </w:r>
      <w:r>
        <w:rPr>
          <w:rFonts w:ascii="Calibri Light"/>
          <w:i/>
          <w:spacing w:val="-4"/>
          <w:sz w:val="20"/>
        </w:rPr>
        <w:t xml:space="preserve"> </w:t>
      </w:r>
      <w:r>
        <w:rPr>
          <w:rFonts w:ascii="Calibri Light"/>
          <w:i/>
          <w:sz w:val="20"/>
        </w:rPr>
        <w:t>disorders</w:t>
      </w:r>
      <w:r>
        <w:rPr>
          <w:rFonts w:ascii="Calibri Light"/>
          <w:i/>
          <w:spacing w:val="-6"/>
          <w:sz w:val="20"/>
        </w:rPr>
        <w:t xml:space="preserve"> </w:t>
      </w:r>
      <w:r>
        <w:rPr>
          <w:rFonts w:ascii="Calibri Light"/>
          <w:sz w:val="20"/>
        </w:rPr>
        <w:t>(4th</w:t>
      </w:r>
      <w:r>
        <w:rPr>
          <w:rFonts w:ascii="Calibri Light"/>
          <w:spacing w:val="-3"/>
          <w:sz w:val="20"/>
        </w:rPr>
        <w:t xml:space="preserve"> </w:t>
      </w:r>
      <w:r>
        <w:rPr>
          <w:rFonts w:ascii="Calibri Light"/>
          <w:sz w:val="20"/>
        </w:rPr>
        <w:t>ed.). Washington, DC: Author.</w:t>
      </w:r>
    </w:p>
    <w:p w14:paraId="225D83F9" w14:textId="77777777" w:rsidR="00DB6E1F" w:rsidRDefault="00F666A6">
      <w:pPr>
        <w:spacing w:line="259" w:lineRule="auto"/>
        <w:ind w:left="1618" w:right="1491" w:hanging="180"/>
        <w:rPr>
          <w:rFonts w:ascii="Calibri Light" w:hAnsi="Calibri Light"/>
          <w:sz w:val="20"/>
        </w:rPr>
      </w:pPr>
      <w:r>
        <w:rPr>
          <w:rFonts w:ascii="Calibri Light" w:hAnsi="Calibri Light"/>
          <w:sz w:val="20"/>
        </w:rPr>
        <w:t>Amodeo,</w:t>
      </w:r>
      <w:r>
        <w:rPr>
          <w:rFonts w:ascii="Calibri Light" w:hAnsi="Calibri Light"/>
          <w:spacing w:val="-5"/>
          <w:sz w:val="20"/>
        </w:rPr>
        <w:t xml:space="preserve"> </w:t>
      </w:r>
      <w:r>
        <w:rPr>
          <w:rFonts w:ascii="Calibri Light" w:hAnsi="Calibri Light"/>
          <w:sz w:val="20"/>
        </w:rPr>
        <w:t>M.</w:t>
      </w:r>
      <w:r>
        <w:rPr>
          <w:rFonts w:ascii="Calibri Light" w:hAnsi="Calibri Light"/>
          <w:spacing w:val="-5"/>
          <w:sz w:val="20"/>
        </w:rPr>
        <w:t xml:space="preserve"> </w:t>
      </w:r>
      <w:r>
        <w:rPr>
          <w:rFonts w:ascii="Calibri Light" w:hAnsi="Calibri Light"/>
          <w:sz w:val="20"/>
        </w:rPr>
        <w:t>(2015).</w:t>
      </w:r>
      <w:r>
        <w:rPr>
          <w:rFonts w:ascii="Calibri Light" w:hAnsi="Calibri Light"/>
          <w:spacing w:val="-5"/>
          <w:sz w:val="20"/>
        </w:rPr>
        <w:t xml:space="preserve"> </w:t>
      </w:r>
      <w:r>
        <w:rPr>
          <w:rFonts w:ascii="Calibri Light" w:hAnsi="Calibri Light"/>
          <w:sz w:val="20"/>
        </w:rPr>
        <w:t>The</w:t>
      </w:r>
      <w:r>
        <w:rPr>
          <w:rFonts w:ascii="Calibri Light" w:hAnsi="Calibri Light"/>
          <w:spacing w:val="-4"/>
          <w:sz w:val="20"/>
        </w:rPr>
        <w:t xml:space="preserve"> </w:t>
      </w:r>
      <w:r>
        <w:rPr>
          <w:rFonts w:ascii="Calibri Light" w:hAnsi="Calibri Light"/>
          <w:sz w:val="20"/>
        </w:rPr>
        <w:t>addictive</w:t>
      </w:r>
      <w:r>
        <w:rPr>
          <w:rFonts w:ascii="Calibri Light" w:hAnsi="Calibri Light"/>
          <w:spacing w:val="-4"/>
          <w:sz w:val="20"/>
        </w:rPr>
        <w:t xml:space="preserve"> </w:t>
      </w:r>
      <w:r>
        <w:rPr>
          <w:rFonts w:ascii="Calibri Light" w:hAnsi="Calibri Light"/>
          <w:sz w:val="20"/>
        </w:rPr>
        <w:t>personality.</w:t>
      </w:r>
      <w:r>
        <w:rPr>
          <w:rFonts w:ascii="Calibri Light" w:hAnsi="Calibri Light"/>
          <w:spacing w:val="-5"/>
          <w:sz w:val="20"/>
        </w:rPr>
        <w:t xml:space="preserve"> </w:t>
      </w:r>
      <w:r>
        <w:rPr>
          <w:rFonts w:ascii="Calibri Light" w:hAnsi="Calibri Light"/>
          <w:i/>
          <w:sz w:val="20"/>
        </w:rPr>
        <w:t>Substance</w:t>
      </w:r>
      <w:r>
        <w:rPr>
          <w:rFonts w:ascii="Calibri Light" w:hAnsi="Calibri Light"/>
          <w:i/>
          <w:spacing w:val="-4"/>
          <w:sz w:val="20"/>
        </w:rPr>
        <w:t xml:space="preserve"> </w:t>
      </w:r>
      <w:r>
        <w:rPr>
          <w:rFonts w:ascii="Calibri Light" w:hAnsi="Calibri Light"/>
          <w:i/>
          <w:sz w:val="20"/>
        </w:rPr>
        <w:t>Use</w:t>
      </w:r>
      <w:r>
        <w:rPr>
          <w:rFonts w:ascii="Calibri Light" w:hAnsi="Calibri Light"/>
          <w:i/>
          <w:spacing w:val="-4"/>
          <w:sz w:val="20"/>
        </w:rPr>
        <w:t xml:space="preserve"> </w:t>
      </w:r>
      <w:r>
        <w:rPr>
          <w:rFonts w:ascii="Calibri Light" w:hAnsi="Calibri Light"/>
          <w:i/>
          <w:sz w:val="20"/>
        </w:rPr>
        <w:t>and</w:t>
      </w:r>
      <w:r>
        <w:rPr>
          <w:rFonts w:ascii="Calibri Light" w:hAnsi="Calibri Light"/>
          <w:i/>
          <w:spacing w:val="-4"/>
          <w:sz w:val="20"/>
        </w:rPr>
        <w:t xml:space="preserve"> </w:t>
      </w:r>
      <w:r>
        <w:rPr>
          <w:rFonts w:ascii="Calibri Light" w:hAnsi="Calibri Light"/>
          <w:i/>
          <w:sz w:val="20"/>
        </w:rPr>
        <w:t>Misuse,</w:t>
      </w:r>
      <w:r>
        <w:rPr>
          <w:rFonts w:ascii="Calibri Light" w:hAnsi="Calibri Light"/>
          <w:i/>
          <w:spacing w:val="-5"/>
          <w:sz w:val="20"/>
        </w:rPr>
        <w:t xml:space="preserve"> </w:t>
      </w:r>
      <w:r>
        <w:rPr>
          <w:rFonts w:ascii="Calibri Light" w:hAnsi="Calibri Light"/>
          <w:i/>
          <w:sz w:val="20"/>
        </w:rPr>
        <w:t>50</w:t>
      </w:r>
      <w:r>
        <w:rPr>
          <w:rFonts w:ascii="Calibri Light" w:hAnsi="Calibri Light"/>
          <w:sz w:val="20"/>
        </w:rPr>
        <w:t>(8‒9),</w:t>
      </w:r>
      <w:r>
        <w:rPr>
          <w:rFonts w:ascii="Calibri Light" w:hAnsi="Calibri Light"/>
          <w:spacing w:val="-5"/>
          <w:sz w:val="20"/>
        </w:rPr>
        <w:t xml:space="preserve"> </w:t>
      </w:r>
      <w:r>
        <w:rPr>
          <w:rFonts w:ascii="Calibri Light" w:hAnsi="Calibri Light"/>
          <w:sz w:val="20"/>
        </w:rPr>
        <w:t xml:space="preserve">1031‒1036. </w:t>
      </w:r>
      <w:r>
        <w:rPr>
          <w:rFonts w:ascii="Calibri Light" w:hAnsi="Calibri Light"/>
          <w:spacing w:val="-2"/>
          <w:sz w:val="20"/>
        </w:rPr>
        <w:t>doi:10.3109/10826084.2015.1007646</w:t>
      </w:r>
    </w:p>
    <w:p w14:paraId="789CAE1C" w14:textId="77777777" w:rsidR="00DB6E1F" w:rsidRDefault="00F666A6">
      <w:pPr>
        <w:spacing w:line="259" w:lineRule="auto"/>
        <w:ind w:left="1618" w:right="1444" w:hanging="181"/>
        <w:rPr>
          <w:rFonts w:ascii="Calibri Light" w:hAnsi="Calibri Light"/>
          <w:sz w:val="20"/>
        </w:rPr>
      </w:pPr>
      <w:r>
        <w:rPr>
          <w:rFonts w:ascii="Calibri Light" w:hAnsi="Calibri Light"/>
          <w:sz w:val="20"/>
        </w:rPr>
        <w:t>Anderson, T., Crowley, M. E., Himawan, L., Holmberg, J. K., &amp; Uhlin, B. D. (2016). Therapist facilitative interpersonal skills</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training</w:t>
      </w:r>
      <w:r>
        <w:rPr>
          <w:rFonts w:ascii="Calibri Light" w:hAnsi="Calibri Light"/>
          <w:spacing w:val="-3"/>
          <w:sz w:val="20"/>
        </w:rPr>
        <w:t xml:space="preserve"> </w:t>
      </w:r>
      <w:r>
        <w:rPr>
          <w:rFonts w:ascii="Calibri Light" w:hAnsi="Calibri Light"/>
          <w:sz w:val="20"/>
        </w:rPr>
        <w:t>status: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randomized</w:t>
      </w:r>
      <w:r>
        <w:rPr>
          <w:rFonts w:ascii="Calibri Light" w:hAnsi="Calibri Light"/>
          <w:spacing w:val="-1"/>
          <w:sz w:val="20"/>
        </w:rPr>
        <w:t xml:space="preserve"> </w:t>
      </w:r>
      <w:r>
        <w:rPr>
          <w:rFonts w:ascii="Calibri Light" w:hAnsi="Calibri Light"/>
          <w:sz w:val="20"/>
        </w:rPr>
        <w:t>clinical</w:t>
      </w:r>
      <w:r>
        <w:rPr>
          <w:rFonts w:ascii="Calibri Light" w:hAnsi="Calibri Light"/>
          <w:spacing w:val="-4"/>
          <w:sz w:val="20"/>
        </w:rPr>
        <w:t xml:space="preserve"> </w:t>
      </w:r>
      <w:r>
        <w:rPr>
          <w:rFonts w:ascii="Calibri Light" w:hAnsi="Calibri Light"/>
          <w:sz w:val="20"/>
        </w:rPr>
        <w:t>trial</w:t>
      </w:r>
      <w:r>
        <w:rPr>
          <w:rFonts w:ascii="Calibri Light" w:hAnsi="Calibri Light"/>
          <w:spacing w:val="-4"/>
          <w:sz w:val="20"/>
        </w:rPr>
        <w:t xml:space="preserve"> </w:t>
      </w:r>
      <w:r>
        <w:rPr>
          <w:rFonts w:ascii="Calibri Light" w:hAnsi="Calibri Light"/>
          <w:sz w:val="20"/>
        </w:rPr>
        <w:t>on</w:t>
      </w:r>
      <w:r>
        <w:rPr>
          <w:rFonts w:ascii="Calibri Light" w:hAnsi="Calibri Light"/>
          <w:spacing w:val="-3"/>
          <w:sz w:val="20"/>
        </w:rPr>
        <w:t xml:space="preserve"> </w:t>
      </w:r>
      <w:r>
        <w:rPr>
          <w:rFonts w:ascii="Calibri Light" w:hAnsi="Calibri Light"/>
          <w:sz w:val="20"/>
        </w:rPr>
        <w:t>alliance</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outcome.</w:t>
      </w:r>
      <w:r>
        <w:rPr>
          <w:rFonts w:ascii="Calibri Light" w:hAnsi="Calibri Light"/>
          <w:spacing w:val="-4"/>
          <w:sz w:val="20"/>
        </w:rPr>
        <w:t xml:space="preserve"> </w:t>
      </w:r>
      <w:r>
        <w:rPr>
          <w:rFonts w:ascii="Calibri Light" w:hAnsi="Calibri Light"/>
          <w:i/>
          <w:sz w:val="20"/>
        </w:rPr>
        <w:t>Psychotherapy</w:t>
      </w:r>
      <w:r>
        <w:rPr>
          <w:rFonts w:ascii="Calibri Light" w:hAnsi="Calibri Light"/>
          <w:i/>
          <w:spacing w:val="-3"/>
          <w:sz w:val="20"/>
        </w:rPr>
        <w:t xml:space="preserve"> </w:t>
      </w:r>
      <w:r>
        <w:rPr>
          <w:rFonts w:ascii="Calibri Light" w:hAnsi="Calibri Light"/>
          <w:i/>
          <w:sz w:val="20"/>
        </w:rPr>
        <w:t>Research,</w:t>
      </w:r>
      <w:r>
        <w:rPr>
          <w:rFonts w:ascii="Calibri Light" w:hAnsi="Calibri Light"/>
          <w:i/>
          <w:spacing w:val="-4"/>
          <w:sz w:val="20"/>
        </w:rPr>
        <w:t xml:space="preserve"> </w:t>
      </w:r>
      <w:r>
        <w:rPr>
          <w:rFonts w:ascii="Calibri Light" w:hAnsi="Calibri Light"/>
          <w:i/>
          <w:sz w:val="20"/>
        </w:rPr>
        <w:t>26</w:t>
      </w:r>
      <w:r>
        <w:rPr>
          <w:rFonts w:ascii="Calibri Light" w:hAnsi="Calibri Light"/>
          <w:sz w:val="20"/>
        </w:rPr>
        <w:t>(5),</w:t>
      </w:r>
      <w:r>
        <w:rPr>
          <w:rFonts w:ascii="Calibri Light" w:hAnsi="Calibri Light"/>
          <w:spacing w:val="-4"/>
          <w:sz w:val="20"/>
        </w:rPr>
        <w:t xml:space="preserve"> </w:t>
      </w:r>
      <w:r>
        <w:rPr>
          <w:rFonts w:ascii="Calibri Light" w:hAnsi="Calibri Light"/>
          <w:sz w:val="20"/>
        </w:rPr>
        <w:t>511‒ 529. doi:10.1080/10503307.2015.1049671</w:t>
      </w:r>
    </w:p>
    <w:p w14:paraId="2DD07364" w14:textId="77777777" w:rsidR="00DB6E1F" w:rsidRDefault="00F666A6">
      <w:pPr>
        <w:spacing w:line="259" w:lineRule="auto"/>
        <w:ind w:left="1618" w:right="1491" w:hanging="181"/>
        <w:rPr>
          <w:rFonts w:ascii="Calibri Light" w:hAnsi="Calibri Light"/>
          <w:sz w:val="20"/>
        </w:rPr>
      </w:pPr>
      <w:r>
        <w:rPr>
          <w:rFonts w:ascii="Calibri Light" w:hAnsi="Calibri Light"/>
          <w:sz w:val="20"/>
        </w:rPr>
        <w:t>Apodaca, T. R., Borsari, B., Jackson, K. M., Magill, M., Longabaugh, R., Mastroleo, N. R., &amp; Barnett, N. P. (2014). Sustain</w:t>
      </w:r>
      <w:r>
        <w:rPr>
          <w:rFonts w:ascii="Calibri Light" w:hAnsi="Calibri Light"/>
          <w:spacing w:val="-4"/>
          <w:sz w:val="20"/>
        </w:rPr>
        <w:t xml:space="preserve"> </w:t>
      </w:r>
      <w:r>
        <w:rPr>
          <w:rFonts w:ascii="Calibri Light" w:hAnsi="Calibri Light"/>
          <w:sz w:val="20"/>
        </w:rPr>
        <w:t>talk</w:t>
      </w:r>
      <w:r>
        <w:rPr>
          <w:rFonts w:ascii="Calibri Light" w:hAnsi="Calibri Light"/>
          <w:spacing w:val="-3"/>
          <w:sz w:val="20"/>
        </w:rPr>
        <w:t xml:space="preserve"> </w:t>
      </w:r>
      <w:r>
        <w:rPr>
          <w:rFonts w:ascii="Calibri Light" w:hAnsi="Calibri Light"/>
          <w:sz w:val="20"/>
        </w:rPr>
        <w:t>predicts</w:t>
      </w:r>
      <w:r>
        <w:rPr>
          <w:rFonts w:ascii="Calibri Light" w:hAnsi="Calibri Light"/>
          <w:spacing w:val="-4"/>
          <w:sz w:val="20"/>
        </w:rPr>
        <w:t xml:space="preserve"> </w:t>
      </w:r>
      <w:r>
        <w:rPr>
          <w:rFonts w:ascii="Calibri Light" w:hAnsi="Calibri Light"/>
          <w:sz w:val="20"/>
        </w:rPr>
        <w:t>poorer</w:t>
      </w:r>
      <w:r>
        <w:rPr>
          <w:rFonts w:ascii="Calibri Light" w:hAnsi="Calibri Light"/>
          <w:spacing w:val="-3"/>
          <w:sz w:val="20"/>
        </w:rPr>
        <w:t xml:space="preserve"> </w:t>
      </w:r>
      <w:r>
        <w:rPr>
          <w:rFonts w:ascii="Calibri Light" w:hAnsi="Calibri Light"/>
          <w:sz w:val="20"/>
        </w:rPr>
        <w:t>outcomes</w:t>
      </w:r>
      <w:r>
        <w:rPr>
          <w:rFonts w:ascii="Calibri Light" w:hAnsi="Calibri Light"/>
          <w:spacing w:val="-4"/>
          <w:sz w:val="20"/>
        </w:rPr>
        <w:t xml:space="preserve"> </w:t>
      </w:r>
      <w:r>
        <w:rPr>
          <w:rFonts w:ascii="Calibri Light" w:hAnsi="Calibri Light"/>
          <w:sz w:val="20"/>
        </w:rPr>
        <w:t>among</w:t>
      </w:r>
      <w:r>
        <w:rPr>
          <w:rFonts w:ascii="Calibri Light" w:hAnsi="Calibri Light"/>
          <w:spacing w:val="-4"/>
          <w:sz w:val="20"/>
        </w:rPr>
        <w:t xml:space="preserve"> </w:t>
      </w:r>
      <w:r>
        <w:rPr>
          <w:rFonts w:ascii="Calibri Light" w:hAnsi="Calibri Light"/>
          <w:sz w:val="20"/>
        </w:rPr>
        <w:t>mandated</w:t>
      </w:r>
      <w:r>
        <w:rPr>
          <w:rFonts w:ascii="Calibri Light" w:hAnsi="Calibri Light"/>
          <w:spacing w:val="-2"/>
          <w:sz w:val="20"/>
        </w:rPr>
        <w:t xml:space="preserve"> </w:t>
      </w:r>
      <w:r>
        <w:rPr>
          <w:rFonts w:ascii="Calibri Light" w:hAnsi="Calibri Light"/>
          <w:sz w:val="20"/>
        </w:rPr>
        <w:t>college</w:t>
      </w:r>
      <w:r>
        <w:rPr>
          <w:rFonts w:ascii="Calibri Light" w:hAnsi="Calibri Light"/>
          <w:spacing w:val="-4"/>
          <w:sz w:val="20"/>
        </w:rPr>
        <w:t xml:space="preserve"> </w:t>
      </w:r>
      <w:r>
        <w:rPr>
          <w:rFonts w:ascii="Calibri Light" w:hAnsi="Calibri Light"/>
          <w:sz w:val="20"/>
        </w:rPr>
        <w:t>stud</w:t>
      </w:r>
      <w:r>
        <w:rPr>
          <w:rFonts w:ascii="Calibri Light" w:hAnsi="Calibri Light"/>
          <w:sz w:val="20"/>
        </w:rPr>
        <w:t>ent</w:t>
      </w:r>
      <w:r>
        <w:rPr>
          <w:rFonts w:ascii="Calibri Light" w:hAnsi="Calibri Light"/>
          <w:spacing w:val="-4"/>
          <w:sz w:val="20"/>
        </w:rPr>
        <w:t xml:space="preserve"> </w:t>
      </w:r>
      <w:r>
        <w:rPr>
          <w:rFonts w:ascii="Calibri Light" w:hAnsi="Calibri Light"/>
          <w:sz w:val="20"/>
        </w:rPr>
        <w:t>drinkers</w:t>
      </w:r>
      <w:r>
        <w:rPr>
          <w:rFonts w:ascii="Calibri Light" w:hAnsi="Calibri Light"/>
          <w:spacing w:val="-4"/>
          <w:sz w:val="20"/>
        </w:rPr>
        <w:t xml:space="preserve"> </w:t>
      </w:r>
      <w:r>
        <w:rPr>
          <w:rFonts w:ascii="Calibri Light" w:hAnsi="Calibri Light"/>
          <w:sz w:val="20"/>
        </w:rPr>
        <w:t>receiving</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brief</w:t>
      </w:r>
      <w:r>
        <w:rPr>
          <w:rFonts w:ascii="Calibri Light" w:hAnsi="Calibri Light"/>
          <w:spacing w:val="-4"/>
          <w:sz w:val="20"/>
        </w:rPr>
        <w:t xml:space="preserve"> </w:t>
      </w:r>
      <w:r>
        <w:rPr>
          <w:rFonts w:ascii="Calibri Light" w:hAnsi="Calibri Light"/>
          <w:sz w:val="20"/>
        </w:rPr>
        <w:t xml:space="preserve">motivational intervention. </w:t>
      </w:r>
      <w:r>
        <w:rPr>
          <w:rFonts w:ascii="Calibri Light" w:hAnsi="Calibri Light"/>
          <w:i/>
          <w:sz w:val="20"/>
        </w:rPr>
        <w:t>Psychology of Addictive Behaviors, 28</w:t>
      </w:r>
      <w:r>
        <w:rPr>
          <w:rFonts w:ascii="Calibri Light" w:hAnsi="Calibri Light"/>
          <w:sz w:val="20"/>
        </w:rPr>
        <w:t>(3), 631‒638. doi:10.1037/a0037296</w:t>
      </w:r>
    </w:p>
    <w:p w14:paraId="30E789B0" w14:textId="77777777" w:rsidR="00DB6E1F" w:rsidRDefault="00F666A6">
      <w:pPr>
        <w:spacing w:line="259" w:lineRule="auto"/>
        <w:ind w:left="1619" w:right="1491" w:hanging="181"/>
        <w:rPr>
          <w:rFonts w:ascii="Calibri Light" w:hAnsi="Calibri Light"/>
          <w:sz w:val="20"/>
        </w:rPr>
      </w:pPr>
      <w:r>
        <w:rPr>
          <w:rFonts w:ascii="Calibri Light" w:hAnsi="Calibri Light"/>
          <w:sz w:val="20"/>
        </w:rPr>
        <w:t>Apodaca, T. R., Jackson, K. M., Borsari, B., Magill, M., Longabaugh, R., Mastroleo, N. R., &amp; Barnett, N. P. (2016). Which</w:t>
      </w:r>
      <w:r>
        <w:rPr>
          <w:rFonts w:ascii="Calibri Light" w:hAnsi="Calibri Light"/>
          <w:spacing w:val="-3"/>
          <w:sz w:val="20"/>
        </w:rPr>
        <w:t xml:space="preserve"> </w:t>
      </w:r>
      <w:r>
        <w:rPr>
          <w:rFonts w:ascii="Calibri Light" w:hAnsi="Calibri Light"/>
          <w:sz w:val="20"/>
        </w:rPr>
        <w:t>indi</w:t>
      </w:r>
      <w:r>
        <w:rPr>
          <w:rFonts w:ascii="Calibri Light" w:hAnsi="Calibri Light"/>
          <w:sz w:val="20"/>
        </w:rPr>
        <w:t>vidual</w:t>
      </w:r>
      <w:r>
        <w:rPr>
          <w:rFonts w:ascii="Calibri Light" w:hAnsi="Calibri Light"/>
          <w:spacing w:val="-2"/>
          <w:sz w:val="20"/>
        </w:rPr>
        <w:t xml:space="preserve"> </w:t>
      </w:r>
      <w:r>
        <w:rPr>
          <w:rFonts w:ascii="Calibri Light" w:hAnsi="Calibri Light"/>
          <w:sz w:val="20"/>
        </w:rPr>
        <w:t>therapist</w:t>
      </w:r>
      <w:r>
        <w:rPr>
          <w:rFonts w:ascii="Calibri Light" w:hAnsi="Calibri Light"/>
          <w:spacing w:val="-4"/>
          <w:sz w:val="20"/>
        </w:rPr>
        <w:t xml:space="preserve"> </w:t>
      </w:r>
      <w:r>
        <w:rPr>
          <w:rFonts w:ascii="Calibri Light" w:hAnsi="Calibri Light"/>
          <w:sz w:val="20"/>
        </w:rPr>
        <w:t>behaviors</w:t>
      </w:r>
      <w:r>
        <w:rPr>
          <w:rFonts w:ascii="Calibri Light" w:hAnsi="Calibri Light"/>
          <w:spacing w:val="-3"/>
          <w:sz w:val="20"/>
        </w:rPr>
        <w:t xml:space="preserve"> </w:t>
      </w:r>
      <w:r>
        <w:rPr>
          <w:rFonts w:ascii="Calibri Light" w:hAnsi="Calibri Light"/>
          <w:sz w:val="20"/>
        </w:rPr>
        <w:t>elicit</w:t>
      </w:r>
      <w:r>
        <w:rPr>
          <w:rFonts w:ascii="Calibri Light" w:hAnsi="Calibri Light"/>
          <w:spacing w:val="-4"/>
          <w:sz w:val="20"/>
        </w:rPr>
        <w:t xml:space="preserve"> </w:t>
      </w:r>
      <w:r>
        <w:rPr>
          <w:rFonts w:ascii="Calibri Light" w:hAnsi="Calibri Light"/>
          <w:sz w:val="20"/>
        </w:rPr>
        <w:t>client</w:t>
      </w:r>
      <w:r>
        <w:rPr>
          <w:rFonts w:ascii="Calibri Light" w:hAnsi="Calibri Light"/>
          <w:spacing w:val="-4"/>
          <w:sz w:val="20"/>
        </w:rPr>
        <w:t xml:space="preserve"> </w:t>
      </w:r>
      <w:r>
        <w:rPr>
          <w:rFonts w:ascii="Calibri Light" w:hAnsi="Calibri Light"/>
          <w:sz w:val="20"/>
        </w:rPr>
        <w:t>change</w:t>
      </w:r>
      <w:r>
        <w:rPr>
          <w:rFonts w:ascii="Calibri Light" w:hAnsi="Calibri Light"/>
          <w:spacing w:val="-3"/>
          <w:sz w:val="20"/>
        </w:rPr>
        <w:t xml:space="preserve"> </w:t>
      </w:r>
      <w:r>
        <w:rPr>
          <w:rFonts w:ascii="Calibri Light" w:hAnsi="Calibri Light"/>
          <w:sz w:val="20"/>
        </w:rPr>
        <w:t>talk</w:t>
      </w:r>
      <w:r>
        <w:rPr>
          <w:rFonts w:ascii="Calibri Light" w:hAnsi="Calibri Light"/>
          <w:spacing w:val="-2"/>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sustain</w:t>
      </w:r>
      <w:r>
        <w:rPr>
          <w:rFonts w:ascii="Calibri Light" w:hAnsi="Calibri Light"/>
          <w:spacing w:val="-4"/>
          <w:sz w:val="20"/>
        </w:rPr>
        <w:t xml:space="preserve"> </w:t>
      </w:r>
      <w:r>
        <w:rPr>
          <w:rFonts w:ascii="Calibri Light" w:hAnsi="Calibri Light"/>
          <w:sz w:val="20"/>
        </w:rPr>
        <w:t>talk</w:t>
      </w:r>
      <w:r>
        <w:rPr>
          <w:rFonts w:ascii="Calibri Light" w:hAnsi="Calibri Light"/>
          <w:spacing w:val="-2"/>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4"/>
          <w:sz w:val="20"/>
        </w:rPr>
        <w:t xml:space="preserve"> </w:t>
      </w:r>
      <w:r>
        <w:rPr>
          <w:rFonts w:ascii="Calibri Light" w:hAnsi="Calibri Light"/>
          <w:sz w:val="20"/>
        </w:rPr>
        <w:t>interviewing?</w:t>
      </w:r>
      <w:r>
        <w:rPr>
          <w:rFonts w:ascii="Calibri Light" w:hAnsi="Calibri Light"/>
          <w:spacing w:val="-4"/>
          <w:sz w:val="20"/>
        </w:rPr>
        <w:t xml:space="preserve"> </w:t>
      </w:r>
      <w:r>
        <w:rPr>
          <w:rFonts w:ascii="Calibri Light" w:hAnsi="Calibri Light"/>
          <w:i/>
          <w:sz w:val="20"/>
        </w:rPr>
        <w:t>Journal of Substance Abuse Treatment, 61</w:t>
      </w:r>
      <w:r>
        <w:rPr>
          <w:rFonts w:ascii="Calibri Light" w:hAnsi="Calibri Light"/>
          <w:sz w:val="20"/>
        </w:rPr>
        <w:t>, 60‒65. doi:10.1016/j.jsat.2015.09.001</w:t>
      </w:r>
    </w:p>
    <w:p w14:paraId="3D99EDEB" w14:textId="77777777" w:rsidR="00DB6E1F" w:rsidRDefault="00F666A6">
      <w:pPr>
        <w:spacing w:line="259" w:lineRule="auto"/>
        <w:ind w:left="1619" w:right="1491" w:hanging="181"/>
        <w:rPr>
          <w:rFonts w:ascii="Calibri Light" w:hAnsi="Calibri Light"/>
          <w:sz w:val="20"/>
        </w:rPr>
      </w:pPr>
      <w:r>
        <w:rPr>
          <w:rFonts w:ascii="Calibri Light" w:hAnsi="Calibri Light"/>
          <w:sz w:val="20"/>
        </w:rPr>
        <w:t>Apodaca, T. R., &amp; Longabaugh, R. (2009). Mechanisms of change in motivational interviewing: A review and preliminary</w:t>
      </w:r>
      <w:r>
        <w:rPr>
          <w:rFonts w:ascii="Calibri Light" w:hAnsi="Calibri Light"/>
          <w:spacing w:val="-5"/>
          <w:sz w:val="20"/>
        </w:rPr>
        <w:t xml:space="preserve"> </w:t>
      </w:r>
      <w:r>
        <w:rPr>
          <w:rFonts w:ascii="Calibri Light" w:hAnsi="Calibri Light"/>
          <w:sz w:val="20"/>
        </w:rPr>
        <w:t>evaluation</w:t>
      </w:r>
      <w:r>
        <w:rPr>
          <w:rFonts w:ascii="Calibri Light" w:hAnsi="Calibri Light"/>
          <w:spacing w:val="-6"/>
          <w:sz w:val="20"/>
        </w:rPr>
        <w:t xml:space="preserve"> </w:t>
      </w:r>
      <w:r>
        <w:rPr>
          <w:rFonts w:ascii="Calibri Light" w:hAnsi="Calibri Light"/>
          <w:sz w:val="20"/>
        </w:rPr>
        <w:t>of</w:t>
      </w:r>
      <w:r>
        <w:rPr>
          <w:rFonts w:ascii="Calibri Light" w:hAnsi="Calibri Light"/>
          <w:spacing w:val="-6"/>
          <w:sz w:val="20"/>
        </w:rPr>
        <w:t xml:space="preserve"> </w:t>
      </w:r>
      <w:r>
        <w:rPr>
          <w:rFonts w:ascii="Calibri Light" w:hAnsi="Calibri Light"/>
          <w:sz w:val="20"/>
        </w:rPr>
        <w:t>the</w:t>
      </w:r>
      <w:r>
        <w:rPr>
          <w:rFonts w:ascii="Calibri Light" w:hAnsi="Calibri Light"/>
          <w:spacing w:val="-6"/>
          <w:sz w:val="20"/>
        </w:rPr>
        <w:t xml:space="preserve"> </w:t>
      </w:r>
      <w:r>
        <w:rPr>
          <w:rFonts w:ascii="Calibri Light" w:hAnsi="Calibri Light"/>
          <w:sz w:val="20"/>
        </w:rPr>
        <w:t>evidence</w:t>
      </w:r>
      <w:r>
        <w:rPr>
          <w:rFonts w:ascii="Calibri Light" w:hAnsi="Calibri Light"/>
          <w:i/>
          <w:sz w:val="20"/>
        </w:rPr>
        <w:t>.</w:t>
      </w:r>
      <w:r>
        <w:rPr>
          <w:rFonts w:ascii="Calibri Light" w:hAnsi="Calibri Light"/>
          <w:i/>
          <w:spacing w:val="-7"/>
          <w:sz w:val="20"/>
        </w:rPr>
        <w:t xml:space="preserve"> </w:t>
      </w:r>
      <w:r>
        <w:rPr>
          <w:rFonts w:ascii="Calibri Light" w:hAnsi="Calibri Light"/>
          <w:i/>
          <w:sz w:val="20"/>
        </w:rPr>
        <w:t>Addiction,104</w:t>
      </w:r>
      <w:r>
        <w:rPr>
          <w:rFonts w:ascii="Calibri Light" w:hAnsi="Calibri Light"/>
          <w:sz w:val="20"/>
        </w:rPr>
        <w:t>(5),</w:t>
      </w:r>
      <w:r>
        <w:rPr>
          <w:rFonts w:ascii="Calibri Light" w:hAnsi="Calibri Light"/>
          <w:spacing w:val="-7"/>
          <w:sz w:val="20"/>
        </w:rPr>
        <w:t xml:space="preserve"> </w:t>
      </w:r>
      <w:r>
        <w:rPr>
          <w:rFonts w:ascii="Calibri Light" w:hAnsi="Calibri Light"/>
          <w:sz w:val="20"/>
        </w:rPr>
        <w:t>705‒715.</w:t>
      </w:r>
      <w:r>
        <w:rPr>
          <w:rFonts w:ascii="Calibri Light" w:hAnsi="Calibri Light"/>
          <w:spacing w:val="-7"/>
          <w:sz w:val="20"/>
        </w:rPr>
        <w:t xml:space="preserve"> </w:t>
      </w:r>
      <w:r>
        <w:rPr>
          <w:rFonts w:ascii="Calibri Light" w:hAnsi="Calibri Light"/>
          <w:sz w:val="20"/>
        </w:rPr>
        <w:t>doi:10.1111/j.1360-0443.2009.02527.x</w:t>
      </w:r>
    </w:p>
    <w:p w14:paraId="55492710" w14:textId="77777777" w:rsidR="00DB6E1F" w:rsidRDefault="00F666A6">
      <w:pPr>
        <w:spacing w:line="259" w:lineRule="auto"/>
        <w:ind w:left="1619" w:right="1555" w:hanging="181"/>
        <w:rPr>
          <w:rFonts w:ascii="Calibri Light" w:hAnsi="Calibri Light"/>
          <w:sz w:val="20"/>
        </w:rPr>
      </w:pPr>
      <w:r>
        <w:rPr>
          <w:rFonts w:ascii="Calibri Light" w:hAnsi="Calibri Light"/>
          <w:sz w:val="20"/>
        </w:rPr>
        <w:t>Apodaca,</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Magill,</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Longabaugh,</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Jac</w:t>
      </w:r>
      <w:r>
        <w:rPr>
          <w:rFonts w:ascii="Calibri Light" w:hAnsi="Calibri Light"/>
          <w:sz w:val="20"/>
        </w:rPr>
        <w:t>kson,</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Monti,</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(2013).</w:t>
      </w:r>
      <w:r>
        <w:rPr>
          <w:rFonts w:ascii="Calibri Light" w:hAnsi="Calibri Light"/>
          <w:spacing w:val="-3"/>
          <w:sz w:val="20"/>
        </w:rPr>
        <w:t xml:space="preserve"> </w:t>
      </w:r>
      <w:r>
        <w:rPr>
          <w:rFonts w:ascii="Calibri Light" w:hAnsi="Calibri Light"/>
          <w:sz w:val="20"/>
        </w:rPr>
        <w:t>Effect</w:t>
      </w:r>
      <w:r>
        <w:rPr>
          <w:rFonts w:ascii="Calibri Light" w:hAnsi="Calibri Light"/>
          <w:spacing w:val="-3"/>
          <w:sz w:val="20"/>
        </w:rPr>
        <w:t xml:space="preserve"> </w:t>
      </w:r>
      <w:r>
        <w:rPr>
          <w:rFonts w:ascii="Calibri Light" w:hAnsi="Calibri Light"/>
          <w:sz w:val="20"/>
        </w:rPr>
        <w:t>of a</w:t>
      </w:r>
      <w:r>
        <w:rPr>
          <w:rFonts w:ascii="Calibri Light" w:hAnsi="Calibri Light"/>
          <w:spacing w:val="-2"/>
          <w:sz w:val="20"/>
        </w:rPr>
        <w:t xml:space="preserve"> </w:t>
      </w:r>
      <w:r>
        <w:rPr>
          <w:rFonts w:ascii="Calibri Light" w:hAnsi="Calibri Light"/>
          <w:sz w:val="20"/>
        </w:rPr>
        <w:t>significant</w:t>
      </w:r>
      <w:r>
        <w:rPr>
          <w:rFonts w:ascii="Calibri Light" w:hAnsi="Calibri Light"/>
          <w:spacing w:val="-3"/>
          <w:sz w:val="20"/>
        </w:rPr>
        <w:t xml:space="preserve"> </w:t>
      </w:r>
      <w:r>
        <w:rPr>
          <w:rFonts w:ascii="Calibri Light" w:hAnsi="Calibri Light"/>
          <w:sz w:val="20"/>
        </w:rPr>
        <w:t>other</w:t>
      </w:r>
      <w:r>
        <w:rPr>
          <w:rFonts w:ascii="Calibri Light" w:hAnsi="Calibri Light"/>
          <w:spacing w:val="-1"/>
          <w:sz w:val="20"/>
        </w:rPr>
        <w:t xml:space="preserve"> </w:t>
      </w:r>
      <w:r>
        <w:rPr>
          <w:rFonts w:ascii="Calibri Light" w:hAnsi="Calibri Light"/>
          <w:sz w:val="20"/>
        </w:rPr>
        <w:t xml:space="preserve">on client change talk in motivational interviewing. </w:t>
      </w:r>
      <w:r>
        <w:rPr>
          <w:rFonts w:ascii="Calibri Light" w:hAnsi="Calibri Light"/>
          <w:i/>
          <w:sz w:val="20"/>
        </w:rPr>
        <w:t>Journal of Consulting and Clinical Psychology,81</w:t>
      </w:r>
      <w:r>
        <w:rPr>
          <w:rFonts w:ascii="Calibri Light" w:hAnsi="Calibri Light"/>
          <w:sz w:val="20"/>
        </w:rPr>
        <w:t xml:space="preserve">(1), 35‒46. </w:t>
      </w:r>
      <w:r>
        <w:rPr>
          <w:rFonts w:ascii="Calibri Light" w:hAnsi="Calibri Light"/>
          <w:spacing w:val="-2"/>
          <w:sz w:val="20"/>
        </w:rPr>
        <w:t>doi:10.1037/a0030881</w:t>
      </w:r>
    </w:p>
    <w:p w14:paraId="726C70B8" w14:textId="77777777" w:rsidR="00DB6E1F" w:rsidRDefault="00F666A6">
      <w:pPr>
        <w:spacing w:line="259" w:lineRule="auto"/>
        <w:ind w:left="1619" w:right="1661" w:hanging="180"/>
        <w:rPr>
          <w:rFonts w:ascii="Calibri Light"/>
          <w:sz w:val="20"/>
        </w:rPr>
      </w:pPr>
      <w:r>
        <w:rPr>
          <w:rFonts w:ascii="Calibri Light"/>
          <w:sz w:val="20"/>
        </w:rPr>
        <w:t>Appiah-Brempong,</w:t>
      </w:r>
      <w:r>
        <w:rPr>
          <w:rFonts w:ascii="Calibri Light"/>
          <w:spacing w:val="-4"/>
          <w:sz w:val="20"/>
        </w:rPr>
        <w:t xml:space="preserve"> </w:t>
      </w:r>
      <w:r>
        <w:rPr>
          <w:rFonts w:ascii="Calibri Light"/>
          <w:sz w:val="20"/>
        </w:rPr>
        <w:t>E.,</w:t>
      </w:r>
      <w:r>
        <w:rPr>
          <w:rFonts w:ascii="Calibri Light"/>
          <w:spacing w:val="-1"/>
          <w:sz w:val="20"/>
        </w:rPr>
        <w:t xml:space="preserve"> </w:t>
      </w:r>
      <w:r>
        <w:rPr>
          <w:rFonts w:ascii="Calibri Light"/>
          <w:sz w:val="20"/>
        </w:rPr>
        <w:t>Okyere,</w:t>
      </w:r>
      <w:r>
        <w:rPr>
          <w:rFonts w:ascii="Calibri Light"/>
          <w:spacing w:val="-1"/>
          <w:sz w:val="20"/>
        </w:rPr>
        <w:t xml:space="preserve"> </w:t>
      </w:r>
      <w:r>
        <w:rPr>
          <w:rFonts w:ascii="Calibri Light"/>
          <w:sz w:val="20"/>
        </w:rPr>
        <w:t>P.,</w:t>
      </w:r>
      <w:r>
        <w:rPr>
          <w:rFonts w:ascii="Calibri Light"/>
          <w:spacing w:val="-4"/>
          <w:sz w:val="20"/>
        </w:rPr>
        <w:t xml:space="preserve"> </w:t>
      </w:r>
      <w:r>
        <w:rPr>
          <w:rFonts w:ascii="Calibri Light"/>
          <w:sz w:val="20"/>
        </w:rPr>
        <w:t>Owusu-Addo,</w:t>
      </w:r>
      <w:r>
        <w:rPr>
          <w:rFonts w:ascii="Calibri Light"/>
          <w:spacing w:val="-4"/>
          <w:sz w:val="20"/>
        </w:rPr>
        <w:t xml:space="preserve"> </w:t>
      </w:r>
      <w:r>
        <w:rPr>
          <w:rFonts w:ascii="Calibri Light"/>
          <w:sz w:val="20"/>
        </w:rPr>
        <w:t>E.,</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Cross,</w:t>
      </w:r>
      <w:r>
        <w:rPr>
          <w:rFonts w:ascii="Calibri Light"/>
          <w:spacing w:val="-1"/>
          <w:sz w:val="20"/>
        </w:rPr>
        <w:t xml:space="preserve"> </w:t>
      </w:r>
      <w:r>
        <w:rPr>
          <w:rFonts w:ascii="Calibri Light"/>
          <w:sz w:val="20"/>
        </w:rPr>
        <w:t>R.</w:t>
      </w:r>
      <w:r>
        <w:rPr>
          <w:rFonts w:ascii="Calibri Light"/>
          <w:spacing w:val="-4"/>
          <w:sz w:val="20"/>
        </w:rPr>
        <w:t xml:space="preserve"> </w:t>
      </w:r>
      <w:r>
        <w:rPr>
          <w:rFonts w:ascii="Calibri Light"/>
          <w:sz w:val="20"/>
        </w:rPr>
        <w:t>(2014).</w:t>
      </w:r>
      <w:r>
        <w:rPr>
          <w:rFonts w:ascii="Calibri Light"/>
          <w:spacing w:val="-4"/>
          <w:sz w:val="20"/>
        </w:rPr>
        <w:t xml:space="preserve"> </w:t>
      </w:r>
      <w:r>
        <w:rPr>
          <w:rFonts w:ascii="Calibri Light"/>
          <w:sz w:val="20"/>
        </w:rPr>
        <w:t>Motivational</w:t>
      </w:r>
      <w:r>
        <w:rPr>
          <w:rFonts w:ascii="Calibri Light"/>
          <w:spacing w:val="-3"/>
          <w:sz w:val="20"/>
        </w:rPr>
        <w:t xml:space="preserve"> </w:t>
      </w:r>
      <w:r>
        <w:rPr>
          <w:rFonts w:ascii="Calibri Light"/>
          <w:sz w:val="20"/>
        </w:rPr>
        <w:t>interviewing</w:t>
      </w:r>
      <w:r>
        <w:rPr>
          <w:rFonts w:ascii="Calibri Light"/>
          <w:spacing w:val="-3"/>
          <w:sz w:val="20"/>
        </w:rPr>
        <w:t xml:space="preserve"> </w:t>
      </w:r>
      <w:r>
        <w:rPr>
          <w:rFonts w:ascii="Calibri Light"/>
          <w:sz w:val="20"/>
        </w:rPr>
        <w:t>interventions</w:t>
      </w:r>
      <w:r>
        <w:rPr>
          <w:rFonts w:ascii="Calibri Light"/>
          <w:spacing w:val="-3"/>
          <w:sz w:val="20"/>
        </w:rPr>
        <w:t xml:space="preserve"> </w:t>
      </w:r>
      <w:r>
        <w:rPr>
          <w:rFonts w:ascii="Calibri Light"/>
          <w:sz w:val="20"/>
        </w:rPr>
        <w:t xml:space="preserve">and alcohol abuse among college students: A systematic review. </w:t>
      </w:r>
      <w:r>
        <w:rPr>
          <w:rFonts w:ascii="Calibri Light"/>
          <w:i/>
          <w:sz w:val="20"/>
        </w:rPr>
        <w:t>American Journal of Health Promotion, 29</w:t>
      </w:r>
      <w:r>
        <w:rPr>
          <w:rFonts w:ascii="Calibri Light"/>
          <w:sz w:val="20"/>
        </w:rPr>
        <w:t xml:space="preserve">(1). </w:t>
      </w:r>
      <w:r>
        <w:rPr>
          <w:rFonts w:ascii="Calibri Light"/>
          <w:spacing w:val="-2"/>
          <w:sz w:val="20"/>
        </w:rPr>
        <w:t>doi:10.4278/ajhp.130502-lit-222</w:t>
      </w:r>
    </w:p>
    <w:p w14:paraId="452D2FDD" w14:textId="77777777" w:rsidR="00DB6E1F" w:rsidRDefault="00F666A6">
      <w:pPr>
        <w:spacing w:line="259" w:lineRule="auto"/>
        <w:ind w:left="1619" w:right="1555" w:hanging="181"/>
        <w:rPr>
          <w:rFonts w:ascii="Calibri Light"/>
          <w:sz w:val="20"/>
        </w:rPr>
      </w:pPr>
      <w:r>
        <w:rPr>
          <w:rFonts w:ascii="Calibri Light"/>
          <w:sz w:val="20"/>
        </w:rPr>
        <w:t>Arkowitz,</w:t>
      </w:r>
      <w:r>
        <w:rPr>
          <w:rFonts w:ascii="Calibri Light"/>
          <w:spacing w:val="-1"/>
          <w:sz w:val="20"/>
        </w:rPr>
        <w:t xml:space="preserve"> </w:t>
      </w:r>
      <w:r>
        <w:rPr>
          <w:rFonts w:ascii="Calibri Light"/>
          <w:sz w:val="20"/>
        </w:rPr>
        <w:t>H.,</w:t>
      </w:r>
      <w:r>
        <w:rPr>
          <w:rFonts w:ascii="Calibri Light"/>
          <w:spacing w:val="-1"/>
          <w:sz w:val="20"/>
        </w:rPr>
        <w:t xml:space="preserve"> </w:t>
      </w:r>
      <w:r>
        <w:rPr>
          <w:rFonts w:ascii="Calibri Light"/>
          <w:sz w:val="20"/>
        </w:rPr>
        <w:t>Miller,</w:t>
      </w:r>
      <w:r>
        <w:rPr>
          <w:rFonts w:ascii="Calibri Light"/>
          <w:spacing w:val="-4"/>
          <w:sz w:val="20"/>
        </w:rPr>
        <w:t xml:space="preserve"> </w:t>
      </w:r>
      <w:r>
        <w:rPr>
          <w:rFonts w:ascii="Calibri Light"/>
          <w:sz w:val="20"/>
        </w:rPr>
        <w:t>W.</w:t>
      </w:r>
      <w:r>
        <w:rPr>
          <w:rFonts w:ascii="Calibri Light"/>
          <w:spacing w:val="-4"/>
          <w:sz w:val="20"/>
        </w:rPr>
        <w:t xml:space="preserve"> </w:t>
      </w:r>
      <w:r>
        <w:rPr>
          <w:rFonts w:ascii="Calibri Light"/>
          <w:sz w:val="20"/>
        </w:rPr>
        <w:t>R.,</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Rollnick,</w:t>
      </w:r>
      <w:r>
        <w:rPr>
          <w:rFonts w:ascii="Calibri Light"/>
          <w:spacing w:val="-4"/>
          <w:sz w:val="20"/>
        </w:rPr>
        <w:t xml:space="preserve"> </w:t>
      </w:r>
      <w:r>
        <w:rPr>
          <w:rFonts w:ascii="Calibri Light"/>
          <w:sz w:val="20"/>
        </w:rPr>
        <w:t>S.</w:t>
      </w:r>
      <w:r>
        <w:rPr>
          <w:rFonts w:ascii="Calibri Light"/>
          <w:spacing w:val="-4"/>
          <w:sz w:val="20"/>
        </w:rPr>
        <w:t xml:space="preserve"> </w:t>
      </w:r>
      <w:r>
        <w:rPr>
          <w:rFonts w:ascii="Calibri Light"/>
          <w:sz w:val="20"/>
        </w:rPr>
        <w:t>(2015).</w:t>
      </w:r>
      <w:r>
        <w:rPr>
          <w:rFonts w:ascii="Calibri Light"/>
          <w:spacing w:val="-2"/>
          <w:sz w:val="20"/>
        </w:rPr>
        <w:t xml:space="preserve"> </w:t>
      </w:r>
      <w:r>
        <w:rPr>
          <w:rFonts w:ascii="Calibri Light"/>
          <w:i/>
          <w:sz w:val="20"/>
        </w:rPr>
        <w:t>Motivational</w:t>
      </w:r>
      <w:r>
        <w:rPr>
          <w:rFonts w:ascii="Calibri Light"/>
          <w:i/>
          <w:spacing w:val="-1"/>
          <w:sz w:val="20"/>
        </w:rPr>
        <w:t xml:space="preserve"> </w:t>
      </w:r>
      <w:r>
        <w:rPr>
          <w:rFonts w:ascii="Calibri Light"/>
          <w:i/>
          <w:sz w:val="20"/>
        </w:rPr>
        <w:t>interviewing</w:t>
      </w:r>
      <w:r>
        <w:rPr>
          <w:rFonts w:ascii="Calibri Light"/>
          <w:i/>
          <w:spacing w:val="-3"/>
          <w:sz w:val="20"/>
        </w:rPr>
        <w:t xml:space="preserve"> </w:t>
      </w:r>
      <w:r>
        <w:rPr>
          <w:rFonts w:ascii="Calibri Light"/>
          <w:i/>
          <w:sz w:val="20"/>
        </w:rPr>
        <w:t>in</w:t>
      </w:r>
      <w:r>
        <w:rPr>
          <w:rFonts w:ascii="Calibri Light"/>
          <w:i/>
          <w:spacing w:val="-1"/>
          <w:sz w:val="20"/>
        </w:rPr>
        <w:t xml:space="preserve"> </w:t>
      </w:r>
      <w:r>
        <w:rPr>
          <w:rFonts w:ascii="Calibri Light"/>
          <w:i/>
          <w:sz w:val="20"/>
        </w:rPr>
        <w:t>the</w:t>
      </w:r>
      <w:r>
        <w:rPr>
          <w:rFonts w:ascii="Calibri Light"/>
          <w:i/>
          <w:spacing w:val="-3"/>
          <w:sz w:val="20"/>
        </w:rPr>
        <w:t xml:space="preserve"> </w:t>
      </w:r>
      <w:r>
        <w:rPr>
          <w:rFonts w:ascii="Calibri Light"/>
          <w:i/>
          <w:sz w:val="20"/>
        </w:rPr>
        <w:t>treatment</w:t>
      </w:r>
      <w:r>
        <w:rPr>
          <w:rFonts w:ascii="Calibri Light"/>
          <w:i/>
          <w:spacing w:val="-1"/>
          <w:sz w:val="20"/>
        </w:rPr>
        <w:t xml:space="preserve"> </w:t>
      </w:r>
      <w:r>
        <w:rPr>
          <w:rFonts w:ascii="Calibri Light"/>
          <w:i/>
          <w:sz w:val="20"/>
        </w:rPr>
        <w:t>of</w:t>
      </w:r>
      <w:r>
        <w:rPr>
          <w:rFonts w:ascii="Calibri Light"/>
          <w:i/>
          <w:spacing w:val="-3"/>
          <w:sz w:val="20"/>
        </w:rPr>
        <w:t xml:space="preserve"> </w:t>
      </w:r>
      <w:r>
        <w:rPr>
          <w:rFonts w:ascii="Calibri Light"/>
          <w:i/>
          <w:sz w:val="20"/>
        </w:rPr>
        <w:t xml:space="preserve">psychological problems </w:t>
      </w:r>
      <w:r>
        <w:rPr>
          <w:rFonts w:ascii="Calibri Light"/>
          <w:sz w:val="20"/>
        </w:rPr>
        <w:t>(2nd ed.). New York, NY: Guilford Publications.</w:t>
      </w:r>
    </w:p>
    <w:p w14:paraId="71921636" w14:textId="77777777" w:rsidR="00DB6E1F" w:rsidRDefault="00F666A6">
      <w:pPr>
        <w:spacing w:line="259" w:lineRule="auto"/>
        <w:ind w:left="1618" w:right="1555" w:hanging="180"/>
        <w:rPr>
          <w:rFonts w:ascii="Calibri Light" w:hAnsi="Calibri Light"/>
          <w:sz w:val="20"/>
        </w:rPr>
      </w:pPr>
      <w:r>
        <w:rPr>
          <w:rFonts w:ascii="Calibri Light" w:hAnsi="Calibri Light"/>
          <w:sz w:val="20"/>
        </w:rPr>
        <w:t>Babor, T. F., Del Boca, F. D., &amp; Bray, J. W. (2017). Screening, brief intervention and referral to treatment: Implications</w:t>
      </w:r>
      <w:r>
        <w:rPr>
          <w:rFonts w:ascii="Calibri Light" w:hAnsi="Calibri Light"/>
          <w:spacing w:val="-4"/>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SAMHSA’s</w:t>
      </w:r>
      <w:r>
        <w:rPr>
          <w:rFonts w:ascii="Calibri Light" w:hAnsi="Calibri Light"/>
          <w:spacing w:val="-4"/>
          <w:sz w:val="20"/>
        </w:rPr>
        <w:t xml:space="preserve"> </w:t>
      </w:r>
      <w:r>
        <w:rPr>
          <w:rFonts w:ascii="Calibri Light" w:hAnsi="Calibri Light"/>
          <w:sz w:val="20"/>
        </w:rPr>
        <w:t>SBIR</w:t>
      </w:r>
      <w:r>
        <w:rPr>
          <w:rFonts w:ascii="Calibri Light" w:hAnsi="Calibri Light"/>
          <w:sz w:val="20"/>
        </w:rPr>
        <w:t>T</w:t>
      </w:r>
      <w:r>
        <w:rPr>
          <w:rFonts w:ascii="Calibri Light" w:hAnsi="Calibri Light"/>
          <w:spacing w:val="-4"/>
          <w:sz w:val="20"/>
        </w:rPr>
        <w:t xml:space="preserve"> </w:t>
      </w:r>
      <w:r>
        <w:rPr>
          <w:rFonts w:ascii="Calibri Light" w:hAnsi="Calibri Light"/>
          <w:sz w:val="20"/>
        </w:rPr>
        <w:t>initiative</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substance</w:t>
      </w:r>
      <w:r>
        <w:rPr>
          <w:rFonts w:ascii="Calibri Light" w:hAnsi="Calibri Light"/>
          <w:spacing w:val="-4"/>
          <w:sz w:val="20"/>
        </w:rPr>
        <w:t xml:space="preserve"> </w:t>
      </w:r>
      <w:r>
        <w:rPr>
          <w:rFonts w:ascii="Calibri Light" w:hAnsi="Calibri Light"/>
          <w:sz w:val="20"/>
        </w:rPr>
        <w:t>abuse</w:t>
      </w:r>
      <w:r>
        <w:rPr>
          <w:rFonts w:ascii="Calibri Light" w:hAnsi="Calibri Light"/>
          <w:spacing w:val="-4"/>
          <w:sz w:val="20"/>
        </w:rPr>
        <w:t xml:space="preserve"> </w:t>
      </w:r>
      <w:r>
        <w:rPr>
          <w:rFonts w:ascii="Calibri Light" w:hAnsi="Calibri Light"/>
          <w:sz w:val="20"/>
        </w:rPr>
        <w:t>policy</w:t>
      </w:r>
      <w:r>
        <w:rPr>
          <w:rFonts w:ascii="Calibri Light" w:hAnsi="Calibri Light"/>
          <w:spacing w:val="-3"/>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practice.</w:t>
      </w:r>
      <w:r>
        <w:rPr>
          <w:rFonts w:ascii="Calibri Light" w:hAnsi="Calibri Light"/>
          <w:spacing w:val="-5"/>
          <w:sz w:val="20"/>
        </w:rPr>
        <w:t xml:space="preserve"> </w:t>
      </w:r>
      <w:r>
        <w:rPr>
          <w:rFonts w:ascii="Calibri Light" w:hAnsi="Calibri Light"/>
          <w:i/>
          <w:sz w:val="20"/>
        </w:rPr>
        <w:t>Addiction,</w:t>
      </w:r>
      <w:r>
        <w:rPr>
          <w:rFonts w:ascii="Calibri Light" w:hAnsi="Calibri Light"/>
          <w:i/>
          <w:spacing w:val="-5"/>
          <w:sz w:val="20"/>
        </w:rPr>
        <w:t xml:space="preserve"> </w:t>
      </w:r>
      <w:r>
        <w:rPr>
          <w:rFonts w:ascii="Calibri Light" w:hAnsi="Calibri Light"/>
          <w:i/>
          <w:sz w:val="20"/>
        </w:rPr>
        <w:t>112</w:t>
      </w:r>
      <w:r>
        <w:rPr>
          <w:rFonts w:ascii="Calibri Light" w:hAnsi="Calibri Light"/>
          <w:sz w:val="20"/>
        </w:rPr>
        <w:t>,</w:t>
      </w:r>
      <w:r>
        <w:rPr>
          <w:rFonts w:ascii="Calibri Light" w:hAnsi="Calibri Light"/>
          <w:spacing w:val="-5"/>
          <w:sz w:val="20"/>
        </w:rPr>
        <w:t xml:space="preserve"> </w:t>
      </w:r>
      <w:r>
        <w:rPr>
          <w:rFonts w:ascii="Calibri Light" w:hAnsi="Calibri Light"/>
          <w:sz w:val="20"/>
        </w:rPr>
        <w:t xml:space="preserve">110‒117. </w:t>
      </w:r>
      <w:r>
        <w:rPr>
          <w:rFonts w:ascii="Calibri Light" w:hAnsi="Calibri Light"/>
          <w:spacing w:val="-2"/>
          <w:sz w:val="20"/>
        </w:rPr>
        <w:t>doi:10.1111/add.13675</w:t>
      </w:r>
    </w:p>
    <w:p w14:paraId="0C6B0929" w14:textId="77777777" w:rsidR="00DB6E1F" w:rsidRDefault="00F666A6">
      <w:pPr>
        <w:spacing w:line="259" w:lineRule="auto"/>
        <w:ind w:left="1619" w:right="2001" w:hanging="180"/>
        <w:rPr>
          <w:rFonts w:ascii="Calibri Light"/>
          <w:sz w:val="20"/>
        </w:rPr>
      </w:pPr>
      <w:r>
        <w:rPr>
          <w:rFonts w:ascii="Calibri Light"/>
          <w:sz w:val="20"/>
        </w:rPr>
        <w:t>Babor,</w:t>
      </w:r>
      <w:r>
        <w:rPr>
          <w:rFonts w:ascii="Calibri Light"/>
          <w:spacing w:val="-4"/>
          <w:sz w:val="20"/>
        </w:rPr>
        <w:t xml:space="preserve"> </w:t>
      </w:r>
      <w:r>
        <w:rPr>
          <w:rFonts w:ascii="Calibri Light"/>
          <w:sz w:val="20"/>
        </w:rPr>
        <w:t>T.</w:t>
      </w:r>
      <w:r>
        <w:rPr>
          <w:rFonts w:ascii="Calibri Light"/>
          <w:spacing w:val="-4"/>
          <w:sz w:val="20"/>
        </w:rPr>
        <w:t xml:space="preserve"> </w:t>
      </w:r>
      <w:r>
        <w:rPr>
          <w:rFonts w:ascii="Calibri Light"/>
          <w:sz w:val="20"/>
        </w:rPr>
        <w:t>F.,</w:t>
      </w:r>
      <w:r>
        <w:rPr>
          <w:rFonts w:ascii="Calibri Light"/>
          <w:spacing w:val="-1"/>
          <w:sz w:val="20"/>
        </w:rPr>
        <w:t xml:space="preserve"> </w:t>
      </w:r>
      <w:r>
        <w:rPr>
          <w:rFonts w:ascii="Calibri Light"/>
          <w:sz w:val="20"/>
        </w:rPr>
        <w:t>Higgins-Biddle,</w:t>
      </w:r>
      <w:r>
        <w:rPr>
          <w:rFonts w:ascii="Calibri Light"/>
          <w:spacing w:val="-4"/>
          <w:sz w:val="20"/>
        </w:rPr>
        <w:t xml:space="preserve"> </w:t>
      </w:r>
      <w:r>
        <w:rPr>
          <w:rFonts w:ascii="Calibri Light"/>
          <w:sz w:val="20"/>
        </w:rPr>
        <w:t>J.</w:t>
      </w:r>
      <w:r>
        <w:rPr>
          <w:rFonts w:ascii="Calibri Light"/>
          <w:spacing w:val="-1"/>
          <w:sz w:val="20"/>
        </w:rPr>
        <w:t xml:space="preserve"> </w:t>
      </w:r>
      <w:r>
        <w:rPr>
          <w:rFonts w:ascii="Calibri Light"/>
          <w:sz w:val="20"/>
        </w:rPr>
        <w:t>C.,</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Robaina,</w:t>
      </w:r>
      <w:r>
        <w:rPr>
          <w:rFonts w:ascii="Calibri Light"/>
          <w:spacing w:val="-4"/>
          <w:sz w:val="20"/>
        </w:rPr>
        <w:t xml:space="preserve"> </w:t>
      </w:r>
      <w:r>
        <w:rPr>
          <w:rFonts w:ascii="Calibri Light"/>
          <w:sz w:val="20"/>
        </w:rPr>
        <w:t>K.</w:t>
      </w:r>
      <w:r>
        <w:rPr>
          <w:rFonts w:ascii="Calibri Light"/>
          <w:spacing w:val="-4"/>
          <w:sz w:val="20"/>
        </w:rPr>
        <w:t xml:space="preserve"> </w:t>
      </w:r>
      <w:r>
        <w:rPr>
          <w:rFonts w:ascii="Calibri Light"/>
          <w:sz w:val="20"/>
        </w:rPr>
        <w:t>(2016).</w:t>
      </w:r>
      <w:r>
        <w:rPr>
          <w:rFonts w:ascii="Calibri Light"/>
          <w:spacing w:val="-4"/>
          <w:sz w:val="20"/>
        </w:rPr>
        <w:t xml:space="preserve"> </w:t>
      </w:r>
      <w:r>
        <w:rPr>
          <w:rFonts w:ascii="Calibri Light"/>
          <w:i/>
          <w:sz w:val="20"/>
        </w:rPr>
        <w:t>USAUDIT:</w:t>
      </w:r>
      <w:r>
        <w:rPr>
          <w:rFonts w:ascii="Calibri Light"/>
          <w:i/>
          <w:spacing w:val="-3"/>
          <w:sz w:val="20"/>
        </w:rPr>
        <w:t xml:space="preserve"> </w:t>
      </w:r>
      <w:r>
        <w:rPr>
          <w:rFonts w:ascii="Calibri Light"/>
          <w:i/>
          <w:sz w:val="20"/>
        </w:rPr>
        <w:t>The</w:t>
      </w:r>
      <w:r>
        <w:rPr>
          <w:rFonts w:ascii="Calibri Light"/>
          <w:i/>
          <w:spacing w:val="-3"/>
          <w:sz w:val="20"/>
        </w:rPr>
        <w:t xml:space="preserve"> </w:t>
      </w:r>
      <w:r>
        <w:rPr>
          <w:rFonts w:ascii="Calibri Light"/>
          <w:i/>
          <w:sz w:val="20"/>
        </w:rPr>
        <w:t>Alcohol</w:t>
      </w:r>
      <w:r>
        <w:rPr>
          <w:rFonts w:ascii="Calibri Light"/>
          <w:i/>
          <w:spacing w:val="-4"/>
          <w:sz w:val="20"/>
        </w:rPr>
        <w:t xml:space="preserve"> </w:t>
      </w:r>
      <w:r>
        <w:rPr>
          <w:rFonts w:ascii="Calibri Light"/>
          <w:i/>
          <w:sz w:val="20"/>
        </w:rPr>
        <w:t>Use</w:t>
      </w:r>
      <w:r>
        <w:rPr>
          <w:rFonts w:ascii="Calibri Light"/>
          <w:i/>
          <w:spacing w:val="-3"/>
          <w:sz w:val="20"/>
        </w:rPr>
        <w:t xml:space="preserve"> </w:t>
      </w:r>
      <w:r>
        <w:rPr>
          <w:rFonts w:ascii="Calibri Light"/>
          <w:i/>
          <w:sz w:val="20"/>
        </w:rPr>
        <w:t>Disorders</w:t>
      </w:r>
      <w:r>
        <w:rPr>
          <w:rFonts w:ascii="Calibri Light"/>
          <w:i/>
          <w:spacing w:val="-1"/>
          <w:sz w:val="20"/>
        </w:rPr>
        <w:t xml:space="preserve"> </w:t>
      </w:r>
      <w:r>
        <w:rPr>
          <w:rFonts w:ascii="Calibri Light"/>
          <w:i/>
          <w:sz w:val="20"/>
        </w:rPr>
        <w:t>Identification</w:t>
      </w:r>
      <w:r>
        <w:rPr>
          <w:rFonts w:ascii="Calibri Light"/>
          <w:i/>
          <w:spacing w:val="-3"/>
          <w:sz w:val="20"/>
        </w:rPr>
        <w:t xml:space="preserve"> </w:t>
      </w:r>
      <w:r>
        <w:rPr>
          <w:rFonts w:ascii="Calibri Light"/>
          <w:i/>
          <w:sz w:val="20"/>
        </w:rPr>
        <w:t>Test,</w:t>
      </w:r>
      <w:r>
        <w:rPr>
          <w:rFonts w:ascii="Calibri Light"/>
          <w:i/>
          <w:sz w:val="20"/>
        </w:rPr>
        <w:t xml:space="preserve"> Adapted for use in the United States: A guide for primary care practitioners. </w:t>
      </w:r>
      <w:r>
        <w:rPr>
          <w:rFonts w:ascii="Calibri Light"/>
          <w:sz w:val="20"/>
        </w:rPr>
        <w:t xml:space="preserve">Retrieved from </w:t>
      </w:r>
      <w:hyperlink r:id="rId118">
        <w:r>
          <w:rPr>
            <w:rFonts w:ascii="Calibri Light"/>
            <w:color w:val="0563C1"/>
            <w:spacing w:val="-2"/>
            <w:sz w:val="20"/>
            <w:u w:val="single" w:color="0563C1"/>
          </w:rPr>
          <w:t>www.ct.gov/dmhas/lib/dmhas/publications/USAUDIT-2017.pdf</w:t>
        </w:r>
      </w:hyperlink>
    </w:p>
    <w:p w14:paraId="014B20F9" w14:textId="77777777" w:rsidR="00DB6E1F" w:rsidRDefault="00DB6E1F">
      <w:pPr>
        <w:spacing w:line="259" w:lineRule="auto"/>
        <w:rPr>
          <w:rFonts w:ascii="Calibri Light"/>
          <w:sz w:val="20"/>
        </w:rPr>
        <w:sectPr w:rsidR="00DB6E1F">
          <w:headerReference w:type="default" r:id="rId119"/>
          <w:footerReference w:type="default" r:id="rId120"/>
          <w:pgSz w:w="12240" w:h="15840"/>
          <w:pgMar w:top="1080" w:right="0" w:bottom="780" w:left="0" w:header="619" w:footer="585" w:gutter="0"/>
          <w:cols w:space="720"/>
        </w:sectPr>
      </w:pPr>
    </w:p>
    <w:p w14:paraId="3A3C90FA" w14:textId="77777777" w:rsidR="00DB6E1F" w:rsidRDefault="00DB6E1F">
      <w:pPr>
        <w:pStyle w:val="BodyText"/>
        <w:spacing w:before="4"/>
        <w:rPr>
          <w:rFonts w:ascii="Calibri Light"/>
          <w:sz w:val="24"/>
        </w:rPr>
      </w:pPr>
    </w:p>
    <w:p w14:paraId="40929A38" w14:textId="77777777" w:rsidR="00DB6E1F" w:rsidRDefault="00F666A6">
      <w:pPr>
        <w:spacing w:before="60" w:line="259" w:lineRule="auto"/>
        <w:ind w:left="1620" w:right="1491" w:hanging="181"/>
        <w:rPr>
          <w:rFonts w:ascii="Calibri Light"/>
          <w:sz w:val="20"/>
        </w:rPr>
      </w:pPr>
      <w:r>
        <w:rPr>
          <w:rFonts w:ascii="Calibri Light"/>
          <w:sz w:val="20"/>
        </w:rPr>
        <w:t>Babor,</w:t>
      </w:r>
      <w:r>
        <w:rPr>
          <w:rFonts w:ascii="Calibri Light"/>
          <w:spacing w:val="-3"/>
          <w:sz w:val="20"/>
        </w:rPr>
        <w:t xml:space="preserve"> </w:t>
      </w:r>
      <w:r>
        <w:rPr>
          <w:rFonts w:ascii="Calibri Light"/>
          <w:sz w:val="20"/>
        </w:rPr>
        <w:t>T.</w:t>
      </w:r>
      <w:r>
        <w:rPr>
          <w:rFonts w:ascii="Calibri Light"/>
          <w:spacing w:val="-3"/>
          <w:sz w:val="20"/>
        </w:rPr>
        <w:t xml:space="preserve"> </w:t>
      </w:r>
      <w:r>
        <w:rPr>
          <w:rFonts w:ascii="Calibri Light"/>
          <w:sz w:val="20"/>
        </w:rPr>
        <w:t>F., Higgins-Biddle,</w:t>
      </w:r>
      <w:r>
        <w:rPr>
          <w:rFonts w:ascii="Calibri Light"/>
          <w:spacing w:val="-3"/>
          <w:sz w:val="20"/>
        </w:rPr>
        <w:t xml:space="preserve"> </w:t>
      </w:r>
      <w:r>
        <w:rPr>
          <w:rFonts w:ascii="Calibri Light"/>
          <w:sz w:val="20"/>
        </w:rPr>
        <w:t>J. C.,</w:t>
      </w:r>
      <w:r>
        <w:rPr>
          <w:rFonts w:ascii="Calibri Light"/>
          <w:spacing w:val="-3"/>
          <w:sz w:val="20"/>
        </w:rPr>
        <w:t xml:space="preserve"> </w:t>
      </w:r>
      <w:r>
        <w:rPr>
          <w:rFonts w:ascii="Calibri Light"/>
          <w:sz w:val="20"/>
        </w:rPr>
        <w:t>Saunders,</w:t>
      </w:r>
      <w:r>
        <w:rPr>
          <w:rFonts w:ascii="Calibri Light"/>
          <w:spacing w:val="-3"/>
          <w:sz w:val="20"/>
        </w:rPr>
        <w:t xml:space="preserve"> </w:t>
      </w:r>
      <w:r>
        <w:rPr>
          <w:rFonts w:ascii="Calibri Light"/>
          <w:sz w:val="20"/>
        </w:rPr>
        <w:t>J.</w:t>
      </w:r>
      <w:r>
        <w:rPr>
          <w:rFonts w:ascii="Calibri Light"/>
          <w:spacing w:val="-3"/>
          <w:sz w:val="20"/>
        </w:rPr>
        <w:t xml:space="preserve"> </w:t>
      </w:r>
      <w:r>
        <w:rPr>
          <w:rFonts w:ascii="Calibri Light"/>
          <w:sz w:val="20"/>
        </w:rPr>
        <w:t>B.,</w:t>
      </w:r>
      <w:r>
        <w:rPr>
          <w:rFonts w:ascii="Calibri Light"/>
          <w:spacing w:val="-3"/>
          <w:sz w:val="20"/>
        </w:rPr>
        <w:t xml:space="preserve"> </w:t>
      </w:r>
      <w:r>
        <w:rPr>
          <w:rFonts w:ascii="Calibri Light"/>
          <w:sz w:val="20"/>
        </w:rPr>
        <w:t>&amp;</w:t>
      </w:r>
      <w:r>
        <w:rPr>
          <w:rFonts w:ascii="Calibri Light"/>
          <w:spacing w:val="-1"/>
          <w:sz w:val="20"/>
        </w:rPr>
        <w:t xml:space="preserve"> </w:t>
      </w:r>
      <w:r>
        <w:rPr>
          <w:rFonts w:ascii="Calibri Light"/>
          <w:sz w:val="20"/>
        </w:rPr>
        <w:t>Monteiro,</w:t>
      </w:r>
      <w:r>
        <w:rPr>
          <w:rFonts w:ascii="Calibri Light"/>
          <w:spacing w:val="-3"/>
          <w:sz w:val="20"/>
        </w:rPr>
        <w:t xml:space="preserve"> </w:t>
      </w:r>
      <w:r>
        <w:rPr>
          <w:rFonts w:ascii="Calibri Light"/>
          <w:sz w:val="20"/>
        </w:rPr>
        <w:t>M.</w:t>
      </w:r>
      <w:r>
        <w:rPr>
          <w:rFonts w:ascii="Calibri Light"/>
          <w:spacing w:val="-3"/>
          <w:sz w:val="20"/>
        </w:rPr>
        <w:t xml:space="preserve"> </w:t>
      </w:r>
      <w:r>
        <w:rPr>
          <w:rFonts w:ascii="Calibri Light"/>
          <w:sz w:val="20"/>
        </w:rPr>
        <w:t>G.</w:t>
      </w:r>
      <w:r>
        <w:rPr>
          <w:rFonts w:ascii="Calibri Light"/>
          <w:spacing w:val="-3"/>
          <w:sz w:val="20"/>
        </w:rPr>
        <w:t xml:space="preserve"> </w:t>
      </w:r>
      <w:r>
        <w:rPr>
          <w:rFonts w:ascii="Calibri Light"/>
          <w:sz w:val="20"/>
        </w:rPr>
        <w:t>(2001).</w:t>
      </w:r>
      <w:r>
        <w:rPr>
          <w:rFonts w:ascii="Calibri Light"/>
          <w:spacing w:val="-3"/>
          <w:sz w:val="20"/>
        </w:rPr>
        <w:t xml:space="preserve"> </w:t>
      </w:r>
      <w:r>
        <w:rPr>
          <w:rFonts w:ascii="Calibri Light"/>
          <w:i/>
          <w:sz w:val="20"/>
        </w:rPr>
        <w:t>The</w:t>
      </w:r>
      <w:r>
        <w:rPr>
          <w:rFonts w:ascii="Calibri Light"/>
          <w:i/>
          <w:spacing w:val="-2"/>
          <w:sz w:val="20"/>
        </w:rPr>
        <w:t xml:space="preserve"> </w:t>
      </w:r>
      <w:r>
        <w:rPr>
          <w:rFonts w:ascii="Calibri Light"/>
          <w:i/>
          <w:sz w:val="20"/>
        </w:rPr>
        <w:t>Alcohol</w:t>
      </w:r>
      <w:r>
        <w:rPr>
          <w:rFonts w:ascii="Calibri Light"/>
          <w:i/>
          <w:spacing w:val="-3"/>
          <w:sz w:val="20"/>
        </w:rPr>
        <w:t xml:space="preserve"> </w:t>
      </w:r>
      <w:r>
        <w:rPr>
          <w:rFonts w:ascii="Calibri Light"/>
          <w:i/>
          <w:sz w:val="20"/>
        </w:rPr>
        <w:t>Use</w:t>
      </w:r>
      <w:r>
        <w:rPr>
          <w:rFonts w:ascii="Calibri Light"/>
          <w:i/>
          <w:spacing w:val="-2"/>
          <w:sz w:val="20"/>
        </w:rPr>
        <w:t xml:space="preserve"> </w:t>
      </w:r>
      <w:r>
        <w:rPr>
          <w:rFonts w:ascii="Calibri Light"/>
          <w:i/>
          <w:sz w:val="20"/>
        </w:rPr>
        <w:t>Disorders</w:t>
      </w:r>
      <w:r>
        <w:rPr>
          <w:rFonts w:ascii="Calibri Light"/>
          <w:i/>
          <w:spacing w:val="-2"/>
          <w:sz w:val="20"/>
        </w:rPr>
        <w:t xml:space="preserve"> </w:t>
      </w:r>
      <w:r>
        <w:rPr>
          <w:rFonts w:ascii="Calibri Light"/>
          <w:i/>
          <w:sz w:val="20"/>
        </w:rPr>
        <w:t xml:space="preserve">Identification Test: Guidelines for use in primary care </w:t>
      </w:r>
      <w:r>
        <w:rPr>
          <w:rFonts w:ascii="Calibri Light"/>
          <w:sz w:val="20"/>
        </w:rPr>
        <w:t>(2nd ed.). Geneva, Switzerland: World Health Organization.</w:t>
      </w:r>
    </w:p>
    <w:p w14:paraId="53331BA7" w14:textId="77777777" w:rsidR="00DB6E1F" w:rsidRDefault="00F666A6">
      <w:pPr>
        <w:spacing w:line="259" w:lineRule="auto"/>
        <w:ind w:left="1620" w:right="1491" w:hanging="180"/>
        <w:rPr>
          <w:rFonts w:ascii="Calibri Light" w:hAnsi="Calibri Light"/>
          <w:sz w:val="20"/>
        </w:rPr>
      </w:pPr>
      <w:r>
        <w:rPr>
          <w:rFonts w:ascii="Calibri Light" w:hAnsi="Calibri Light"/>
          <w:sz w:val="20"/>
        </w:rPr>
        <w:t>Bachiller, D., Grau-López, L., Barral, C., Daigre, C., Alberich, C., Rodríguez-Cintas, L., … Roncero C. (2015). Motivational</w:t>
      </w:r>
      <w:r>
        <w:rPr>
          <w:rFonts w:ascii="Calibri Light" w:hAnsi="Calibri Light"/>
          <w:spacing w:val="-5"/>
          <w:sz w:val="20"/>
        </w:rPr>
        <w:t xml:space="preserve"> </w:t>
      </w:r>
      <w:r>
        <w:rPr>
          <w:rFonts w:ascii="Calibri Light" w:hAnsi="Calibri Light"/>
          <w:sz w:val="20"/>
        </w:rPr>
        <w:t>interv</w:t>
      </w:r>
      <w:r>
        <w:rPr>
          <w:rFonts w:ascii="Calibri Light" w:hAnsi="Calibri Light"/>
          <w:sz w:val="20"/>
        </w:rPr>
        <w:t>iewing</w:t>
      </w:r>
      <w:r>
        <w:rPr>
          <w:rFonts w:ascii="Calibri Light" w:hAnsi="Calibri Light"/>
          <w:spacing w:val="-4"/>
          <w:sz w:val="20"/>
        </w:rPr>
        <w:t xml:space="preserve"> </w:t>
      </w:r>
      <w:r>
        <w:rPr>
          <w:rFonts w:ascii="Calibri Light" w:hAnsi="Calibri Light"/>
          <w:sz w:val="20"/>
        </w:rPr>
        <w:t>group</w:t>
      </w:r>
      <w:r>
        <w:rPr>
          <w:rFonts w:ascii="Calibri Light" w:hAnsi="Calibri Light"/>
          <w:spacing w:val="-4"/>
          <w:sz w:val="20"/>
        </w:rPr>
        <w:t xml:space="preserve"> </w:t>
      </w:r>
      <w:r>
        <w:rPr>
          <w:rFonts w:ascii="Calibri Light" w:hAnsi="Calibri Light"/>
          <w:sz w:val="20"/>
        </w:rPr>
        <w:t>at</w:t>
      </w:r>
      <w:r>
        <w:rPr>
          <w:rFonts w:ascii="Calibri Light" w:hAnsi="Calibri Light"/>
          <w:spacing w:val="-5"/>
          <w:sz w:val="20"/>
        </w:rPr>
        <w:t xml:space="preserve"> </w:t>
      </w:r>
      <w:r>
        <w:rPr>
          <w:rFonts w:ascii="Calibri Light" w:hAnsi="Calibri Light"/>
          <w:sz w:val="20"/>
        </w:rPr>
        <w:t>inpatient</w:t>
      </w:r>
      <w:r>
        <w:rPr>
          <w:rFonts w:ascii="Calibri Light" w:hAnsi="Calibri Light"/>
          <w:spacing w:val="-5"/>
          <w:sz w:val="20"/>
        </w:rPr>
        <w:t xml:space="preserve"> </w:t>
      </w:r>
      <w:r>
        <w:rPr>
          <w:rFonts w:ascii="Calibri Light" w:hAnsi="Calibri Light"/>
          <w:sz w:val="20"/>
        </w:rPr>
        <w:t>detoxification:</w:t>
      </w:r>
      <w:r>
        <w:rPr>
          <w:rFonts w:ascii="Calibri Light" w:hAnsi="Calibri Light"/>
          <w:spacing w:val="-4"/>
          <w:sz w:val="20"/>
        </w:rPr>
        <w:t xml:space="preserve"> </w:t>
      </w:r>
      <w:r>
        <w:rPr>
          <w:rFonts w:ascii="Calibri Light" w:hAnsi="Calibri Light"/>
          <w:sz w:val="20"/>
        </w:rPr>
        <w:t>Its</w:t>
      </w:r>
      <w:r>
        <w:rPr>
          <w:rFonts w:ascii="Calibri Light" w:hAnsi="Calibri Light"/>
          <w:spacing w:val="-4"/>
          <w:sz w:val="20"/>
        </w:rPr>
        <w:t xml:space="preserve"> </w:t>
      </w:r>
      <w:r>
        <w:rPr>
          <w:rFonts w:ascii="Calibri Light" w:hAnsi="Calibri Light"/>
          <w:sz w:val="20"/>
        </w:rPr>
        <w:t>influence</w:t>
      </w:r>
      <w:r>
        <w:rPr>
          <w:rFonts w:ascii="Calibri Light" w:hAnsi="Calibri Light"/>
          <w:spacing w:val="-4"/>
          <w:sz w:val="20"/>
        </w:rPr>
        <w:t xml:space="preserve"> </w:t>
      </w:r>
      <w:r>
        <w:rPr>
          <w:rFonts w:ascii="Calibri Light" w:hAnsi="Calibri Light"/>
          <w:sz w:val="20"/>
        </w:rPr>
        <w:t>in</w:t>
      </w:r>
      <w:r>
        <w:rPr>
          <w:rFonts w:ascii="Calibri Light" w:hAnsi="Calibri Light"/>
          <w:spacing w:val="-4"/>
          <w:sz w:val="20"/>
        </w:rPr>
        <w:t xml:space="preserve"> </w:t>
      </w:r>
      <w:r>
        <w:rPr>
          <w:rFonts w:ascii="Calibri Light" w:hAnsi="Calibri Light"/>
          <w:sz w:val="20"/>
        </w:rPr>
        <w:t>maintaining</w:t>
      </w:r>
      <w:r>
        <w:rPr>
          <w:rFonts w:ascii="Calibri Light" w:hAnsi="Calibri Light"/>
          <w:spacing w:val="-1"/>
          <w:sz w:val="20"/>
        </w:rPr>
        <w:t xml:space="preserve"> </w:t>
      </w:r>
      <w:r>
        <w:rPr>
          <w:rFonts w:ascii="Calibri Light" w:hAnsi="Calibri Light"/>
          <w:sz w:val="20"/>
        </w:rPr>
        <w:t>abstinence</w:t>
      </w:r>
      <w:r>
        <w:rPr>
          <w:rFonts w:ascii="Calibri Light" w:hAnsi="Calibri Light"/>
          <w:spacing w:val="-4"/>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 xml:space="preserve">treatment retention after discharge. </w:t>
      </w:r>
      <w:r>
        <w:rPr>
          <w:rFonts w:ascii="Calibri Light" w:hAnsi="Calibri Light"/>
          <w:i/>
          <w:sz w:val="20"/>
        </w:rPr>
        <w:t>Adicciones</w:t>
      </w:r>
      <w:r>
        <w:rPr>
          <w:rFonts w:ascii="Calibri Light" w:hAnsi="Calibri Light"/>
          <w:sz w:val="20"/>
        </w:rPr>
        <w:t xml:space="preserve">, </w:t>
      </w:r>
      <w:r>
        <w:rPr>
          <w:rFonts w:ascii="Calibri Light" w:hAnsi="Calibri Light"/>
          <w:i/>
          <w:sz w:val="20"/>
        </w:rPr>
        <w:t>27</w:t>
      </w:r>
      <w:r>
        <w:rPr>
          <w:rFonts w:ascii="Calibri Light" w:hAnsi="Calibri Light"/>
          <w:sz w:val="20"/>
        </w:rPr>
        <w:t>(2), 109‒118.</w:t>
      </w:r>
    </w:p>
    <w:p w14:paraId="6AB8B02E" w14:textId="77777777" w:rsidR="00DB6E1F" w:rsidRDefault="00F666A6">
      <w:pPr>
        <w:spacing w:line="259" w:lineRule="auto"/>
        <w:ind w:left="1619" w:right="1444" w:hanging="180"/>
        <w:rPr>
          <w:rFonts w:ascii="Calibri Light" w:hAnsi="Calibri Light"/>
          <w:sz w:val="20"/>
        </w:rPr>
      </w:pPr>
      <w:r>
        <w:rPr>
          <w:rFonts w:ascii="Calibri Light" w:hAnsi="Calibri Light"/>
          <w:sz w:val="20"/>
        </w:rPr>
        <w:t>Baker,</w:t>
      </w:r>
      <w:r>
        <w:rPr>
          <w:rFonts w:ascii="Calibri Light" w:hAnsi="Calibri Light"/>
          <w:spacing w:val="-2"/>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L.,</w:t>
      </w:r>
      <w:r>
        <w:rPr>
          <w:rFonts w:ascii="Calibri Light" w:hAnsi="Calibri Light"/>
          <w:spacing w:val="-2"/>
          <w:sz w:val="20"/>
        </w:rPr>
        <w:t xml:space="preserve"> </w:t>
      </w:r>
      <w:r>
        <w:rPr>
          <w:rFonts w:ascii="Calibri Light" w:hAnsi="Calibri Light"/>
          <w:sz w:val="20"/>
        </w:rPr>
        <w:t>Kavanagh,</w:t>
      </w:r>
      <w:r>
        <w:rPr>
          <w:rFonts w:ascii="Calibri Light" w:hAnsi="Calibri Light"/>
          <w:spacing w:val="-2"/>
          <w:sz w:val="20"/>
        </w:rPr>
        <w:t xml:space="preserve"> </w:t>
      </w:r>
      <w:r>
        <w:rPr>
          <w:rFonts w:ascii="Calibri Light" w:hAnsi="Calibri Light"/>
          <w:sz w:val="20"/>
        </w:rPr>
        <w:t>D.</w:t>
      </w:r>
      <w:r>
        <w:rPr>
          <w:rFonts w:ascii="Calibri Light" w:hAnsi="Calibri Light"/>
          <w:spacing w:val="-2"/>
          <w:sz w:val="20"/>
        </w:rPr>
        <w:t xml:space="preserve"> </w:t>
      </w:r>
      <w:r>
        <w:rPr>
          <w:rFonts w:ascii="Calibri Light" w:hAnsi="Calibri Light"/>
          <w:sz w:val="20"/>
        </w:rPr>
        <w:t>J.,</w:t>
      </w:r>
      <w:r>
        <w:rPr>
          <w:rFonts w:ascii="Calibri Light" w:hAnsi="Calibri Light"/>
          <w:spacing w:val="-2"/>
          <w:sz w:val="20"/>
        </w:rPr>
        <w:t xml:space="preserve"> </w:t>
      </w:r>
      <w:r>
        <w:rPr>
          <w:rFonts w:ascii="Calibri Light" w:hAnsi="Calibri Light"/>
          <w:sz w:val="20"/>
        </w:rPr>
        <w:t>Kay-Lambkin,</w:t>
      </w:r>
      <w:r>
        <w:rPr>
          <w:rFonts w:ascii="Calibri Light" w:hAnsi="Calibri Light"/>
          <w:spacing w:val="-2"/>
          <w:sz w:val="20"/>
        </w:rPr>
        <w:t xml:space="preserve"> </w:t>
      </w:r>
      <w:r>
        <w:rPr>
          <w:rFonts w:ascii="Calibri Light" w:hAnsi="Calibri Light"/>
          <w:sz w:val="20"/>
        </w:rPr>
        <w:t>F.</w:t>
      </w:r>
      <w:r>
        <w:rPr>
          <w:rFonts w:ascii="Calibri Light" w:hAnsi="Calibri Light"/>
          <w:spacing w:val="-2"/>
          <w:sz w:val="20"/>
        </w:rPr>
        <w:t xml:space="preserve"> </w:t>
      </w:r>
      <w:r>
        <w:rPr>
          <w:rFonts w:ascii="Calibri Light" w:hAnsi="Calibri Light"/>
          <w:sz w:val="20"/>
        </w:rPr>
        <w:t>J.,</w:t>
      </w:r>
      <w:r>
        <w:rPr>
          <w:rFonts w:ascii="Calibri Light" w:hAnsi="Calibri Light"/>
          <w:spacing w:val="-2"/>
          <w:sz w:val="20"/>
        </w:rPr>
        <w:t xml:space="preserve"> </w:t>
      </w:r>
      <w:r>
        <w:rPr>
          <w:rFonts w:ascii="Calibri Light" w:hAnsi="Calibri Light"/>
          <w:sz w:val="20"/>
        </w:rPr>
        <w:t>Hunt,</w:t>
      </w:r>
      <w:r>
        <w:rPr>
          <w:rFonts w:ascii="Calibri Light" w:hAnsi="Calibri Light"/>
          <w:spacing w:val="-2"/>
          <w:sz w:val="20"/>
        </w:rPr>
        <w:t xml:space="preserve"> </w:t>
      </w:r>
      <w:r>
        <w:rPr>
          <w:rFonts w:ascii="Calibri Light" w:hAnsi="Calibri Light"/>
          <w:sz w:val="20"/>
        </w:rPr>
        <w:t>S.</w:t>
      </w:r>
      <w:r>
        <w:rPr>
          <w:rFonts w:ascii="Calibri Light" w:hAnsi="Calibri Light"/>
          <w:spacing w:val="-2"/>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Lewin, T.</w:t>
      </w:r>
      <w:r>
        <w:rPr>
          <w:rFonts w:ascii="Calibri Light" w:hAnsi="Calibri Light"/>
          <w:spacing w:val="-2"/>
          <w:sz w:val="20"/>
        </w:rPr>
        <w:t xml:space="preserve"> </w:t>
      </w:r>
      <w:r>
        <w:rPr>
          <w:rFonts w:ascii="Calibri Light" w:hAnsi="Calibri Light"/>
          <w:sz w:val="20"/>
        </w:rPr>
        <w:t>J.,</w:t>
      </w:r>
      <w:r>
        <w:rPr>
          <w:rFonts w:ascii="Calibri Light" w:hAnsi="Calibri Light"/>
          <w:spacing w:val="-2"/>
          <w:sz w:val="20"/>
        </w:rPr>
        <w:t xml:space="preserve"> </w:t>
      </w:r>
      <w:r>
        <w:rPr>
          <w:rFonts w:ascii="Calibri Light" w:hAnsi="Calibri Light"/>
          <w:sz w:val="20"/>
        </w:rPr>
        <w:t>Carr,</w:t>
      </w:r>
      <w:r>
        <w:rPr>
          <w:rFonts w:ascii="Calibri Light" w:hAnsi="Calibri Light"/>
          <w:spacing w:val="-2"/>
          <w:sz w:val="20"/>
        </w:rPr>
        <w:t xml:space="preserve"> </w:t>
      </w:r>
      <w:r>
        <w:rPr>
          <w:rFonts w:ascii="Calibri Light" w:hAnsi="Calibri Light"/>
          <w:sz w:val="20"/>
        </w:rPr>
        <w:t>V.</w:t>
      </w:r>
      <w:r>
        <w:rPr>
          <w:rFonts w:ascii="Calibri Light" w:hAnsi="Calibri Light"/>
          <w:spacing w:val="-2"/>
          <w:sz w:val="20"/>
        </w:rPr>
        <w:t xml:space="preserve"> </w:t>
      </w:r>
      <w:r>
        <w:rPr>
          <w:rFonts w:ascii="Calibri Light" w:hAnsi="Calibri Light"/>
          <w:sz w:val="20"/>
        </w:rPr>
        <w:t>J.,</w:t>
      </w:r>
      <w:r>
        <w:rPr>
          <w:rFonts w:ascii="Calibri Light" w:hAnsi="Calibri Light"/>
          <w:spacing w:val="-2"/>
          <w:sz w:val="20"/>
        </w:rPr>
        <w:t xml:space="preserve"> </w:t>
      </w:r>
      <w:r>
        <w:rPr>
          <w:rFonts w:ascii="Calibri Light" w:hAnsi="Calibri Light"/>
          <w:sz w:val="20"/>
        </w:rPr>
        <w:t>&amp; McElduff,</w:t>
      </w:r>
      <w:r>
        <w:rPr>
          <w:rFonts w:ascii="Calibri Light" w:hAnsi="Calibri Light"/>
          <w:spacing w:val="-2"/>
          <w:sz w:val="20"/>
        </w:rPr>
        <w:t xml:space="preserve"> </w:t>
      </w:r>
      <w:r>
        <w:rPr>
          <w:rFonts w:ascii="Calibri Light" w:hAnsi="Calibri Light"/>
          <w:sz w:val="20"/>
        </w:rPr>
        <w:t>P.</w:t>
      </w:r>
      <w:r>
        <w:rPr>
          <w:rFonts w:ascii="Calibri Light" w:hAnsi="Calibri Light"/>
          <w:spacing w:val="-2"/>
          <w:sz w:val="20"/>
        </w:rPr>
        <w:t xml:space="preserve"> </w:t>
      </w:r>
      <w:r>
        <w:rPr>
          <w:rFonts w:ascii="Calibri Light" w:hAnsi="Calibri Light"/>
          <w:sz w:val="20"/>
        </w:rPr>
        <w:t>(2014).</w:t>
      </w:r>
      <w:r>
        <w:rPr>
          <w:rFonts w:ascii="Calibri Light" w:hAnsi="Calibri Light"/>
          <w:spacing w:val="-2"/>
          <w:sz w:val="20"/>
        </w:rPr>
        <w:t xml:space="preserve"> </w:t>
      </w:r>
      <w:r>
        <w:rPr>
          <w:rFonts w:ascii="Calibri Light" w:hAnsi="Calibri Light"/>
          <w:sz w:val="20"/>
        </w:rPr>
        <w:t xml:space="preserve">Randomized controlled trial of MICBT for co-existing alcohol misuse and depression: Outcomes to 36-months. </w:t>
      </w:r>
      <w:r>
        <w:rPr>
          <w:rFonts w:ascii="Calibri Light" w:hAnsi="Calibri Light"/>
          <w:i/>
          <w:sz w:val="20"/>
        </w:rPr>
        <w:t>Journal of Substance Abuse Treatment, 46</w:t>
      </w:r>
      <w:r>
        <w:rPr>
          <w:rFonts w:ascii="Calibri Light" w:hAnsi="Calibri Light"/>
          <w:sz w:val="20"/>
        </w:rPr>
        <w:t>(3), 281‒290.</w:t>
      </w:r>
    </w:p>
    <w:p w14:paraId="4A4BBEBC" w14:textId="77777777" w:rsidR="00DB6E1F" w:rsidRDefault="00F666A6">
      <w:pPr>
        <w:spacing w:line="259" w:lineRule="auto"/>
        <w:ind w:left="1619" w:right="1444" w:hanging="181"/>
        <w:rPr>
          <w:rFonts w:ascii="Calibri Light" w:hAnsi="Calibri Light"/>
          <w:sz w:val="20"/>
        </w:rPr>
      </w:pPr>
      <w:r>
        <w:rPr>
          <w:rFonts w:ascii="Calibri Light" w:hAnsi="Calibri Light"/>
          <w:sz w:val="20"/>
        </w:rPr>
        <w:t>Baker,</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Thornton,</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Hiles,</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Hides,</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Lubman,</w:t>
      </w:r>
      <w:r>
        <w:rPr>
          <w:rFonts w:ascii="Calibri Light" w:hAnsi="Calibri Light"/>
          <w:spacing w:val="-3"/>
          <w:sz w:val="20"/>
        </w:rPr>
        <w:t xml:space="preserve"> </w:t>
      </w:r>
      <w:r>
        <w:rPr>
          <w:rFonts w:ascii="Calibri Light" w:hAnsi="Calibri Light"/>
          <w:sz w:val="20"/>
        </w:rPr>
        <w:t>D. I.</w:t>
      </w:r>
      <w:r>
        <w:rPr>
          <w:rFonts w:ascii="Calibri Light" w:hAnsi="Calibri Light"/>
          <w:spacing w:val="-3"/>
          <w:sz w:val="20"/>
        </w:rPr>
        <w:t xml:space="preserve"> </w:t>
      </w:r>
      <w:r>
        <w:rPr>
          <w:rFonts w:ascii="Calibri Light" w:hAnsi="Calibri Light"/>
          <w:sz w:val="20"/>
        </w:rPr>
        <w:t>(20</w:t>
      </w:r>
      <w:r>
        <w:rPr>
          <w:rFonts w:ascii="Calibri Light" w:hAnsi="Calibri Light"/>
          <w:sz w:val="20"/>
        </w:rPr>
        <w:t>12).</w:t>
      </w:r>
      <w:r>
        <w:rPr>
          <w:rFonts w:ascii="Calibri Light" w:hAnsi="Calibri Light"/>
          <w:spacing w:val="-3"/>
          <w:sz w:val="20"/>
        </w:rPr>
        <w:t xml:space="preserve"> </w:t>
      </w:r>
      <w:r>
        <w:rPr>
          <w:rFonts w:ascii="Calibri Light" w:hAnsi="Calibri Light"/>
          <w:sz w:val="20"/>
        </w:rPr>
        <w:t>Psychological interventions</w:t>
      </w:r>
      <w:r>
        <w:rPr>
          <w:rFonts w:ascii="Calibri Light" w:hAnsi="Calibri Light"/>
          <w:spacing w:val="-2"/>
          <w:sz w:val="20"/>
        </w:rPr>
        <w:t xml:space="preserve"> </w:t>
      </w:r>
      <w:r>
        <w:rPr>
          <w:rFonts w:ascii="Calibri Light" w:hAnsi="Calibri Light"/>
          <w:sz w:val="20"/>
        </w:rPr>
        <w:t>for</w:t>
      </w:r>
      <w:r>
        <w:rPr>
          <w:rFonts w:ascii="Calibri Light" w:hAnsi="Calibri Light"/>
          <w:spacing w:val="-1"/>
          <w:sz w:val="20"/>
        </w:rPr>
        <w:t xml:space="preserve"> </w:t>
      </w:r>
      <w:r>
        <w:rPr>
          <w:rFonts w:ascii="Calibri Light" w:hAnsi="Calibri Light"/>
          <w:sz w:val="20"/>
        </w:rPr>
        <w:t>alcohol</w:t>
      </w:r>
      <w:r>
        <w:rPr>
          <w:rFonts w:ascii="Calibri Light" w:hAnsi="Calibri Light"/>
          <w:spacing w:val="-3"/>
          <w:sz w:val="20"/>
        </w:rPr>
        <w:t xml:space="preserve"> </w:t>
      </w:r>
      <w:r>
        <w:rPr>
          <w:rFonts w:ascii="Calibri Light" w:hAnsi="Calibri Light"/>
          <w:sz w:val="20"/>
        </w:rPr>
        <w:t xml:space="preserve">misuse among people with co-occurring depression or anxiety disorders: A systematic review. </w:t>
      </w:r>
      <w:r>
        <w:rPr>
          <w:rFonts w:ascii="Calibri Light" w:hAnsi="Calibri Light"/>
          <w:i/>
          <w:sz w:val="20"/>
        </w:rPr>
        <w:t>Journal of Affective Disorders, 139</w:t>
      </w:r>
      <w:r>
        <w:rPr>
          <w:rFonts w:ascii="Calibri Light" w:hAnsi="Calibri Light"/>
          <w:sz w:val="20"/>
        </w:rPr>
        <w:t>(3), 217‒229. doi:10.1016/j.jad.2011.08.004</w:t>
      </w:r>
    </w:p>
    <w:p w14:paraId="56E10CF6" w14:textId="77777777" w:rsidR="00DB6E1F" w:rsidRDefault="00F666A6">
      <w:pPr>
        <w:spacing w:line="256" w:lineRule="auto"/>
        <w:ind w:left="1439" w:right="1444"/>
        <w:rPr>
          <w:rFonts w:ascii="Calibri Light" w:hAnsi="Calibri Light"/>
          <w:sz w:val="20"/>
        </w:rPr>
      </w:pPr>
      <w:r>
        <w:rPr>
          <w:rFonts w:ascii="Calibri Light" w:hAnsi="Calibri Light"/>
          <w:sz w:val="20"/>
        </w:rPr>
        <w:t>Bandura,</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(1977).</w:t>
      </w:r>
      <w:r>
        <w:rPr>
          <w:rFonts w:ascii="Calibri Light" w:hAnsi="Calibri Light"/>
          <w:spacing w:val="-4"/>
          <w:sz w:val="20"/>
        </w:rPr>
        <w:t xml:space="preserve"> </w:t>
      </w:r>
      <w:r>
        <w:rPr>
          <w:rFonts w:ascii="Calibri Light" w:hAnsi="Calibri Light"/>
          <w:sz w:val="20"/>
        </w:rPr>
        <w:t>Self-efficacy:</w:t>
      </w:r>
      <w:r>
        <w:rPr>
          <w:rFonts w:ascii="Calibri Light" w:hAnsi="Calibri Light"/>
          <w:spacing w:val="-3"/>
          <w:sz w:val="20"/>
        </w:rPr>
        <w:t xml:space="preserve"> </w:t>
      </w:r>
      <w:r>
        <w:rPr>
          <w:rFonts w:ascii="Calibri Light" w:hAnsi="Calibri Light"/>
          <w:sz w:val="20"/>
        </w:rPr>
        <w:t>Towar</w:t>
      </w:r>
      <w:r>
        <w:rPr>
          <w:rFonts w:ascii="Calibri Light" w:hAnsi="Calibri Light"/>
          <w:sz w:val="20"/>
        </w:rPr>
        <w:t>d</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unifying theory</w:t>
      </w:r>
      <w:r>
        <w:rPr>
          <w:rFonts w:ascii="Calibri Light" w:hAnsi="Calibri Light"/>
          <w:spacing w:val="-2"/>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behavioral</w:t>
      </w:r>
      <w:r>
        <w:rPr>
          <w:rFonts w:ascii="Calibri Light" w:hAnsi="Calibri Light"/>
          <w:spacing w:val="-4"/>
          <w:sz w:val="20"/>
        </w:rPr>
        <w:t xml:space="preserve"> </w:t>
      </w:r>
      <w:r>
        <w:rPr>
          <w:rFonts w:ascii="Calibri Light" w:hAnsi="Calibri Light"/>
          <w:sz w:val="20"/>
        </w:rPr>
        <w:t>change.</w:t>
      </w:r>
      <w:r>
        <w:rPr>
          <w:rFonts w:ascii="Calibri Light" w:hAnsi="Calibri Light"/>
          <w:spacing w:val="-1"/>
          <w:sz w:val="20"/>
        </w:rPr>
        <w:t xml:space="preserve"> </w:t>
      </w:r>
      <w:r>
        <w:rPr>
          <w:rFonts w:ascii="Calibri Light" w:hAnsi="Calibri Light"/>
          <w:i/>
          <w:sz w:val="20"/>
        </w:rPr>
        <w:t>Psychological</w:t>
      </w:r>
      <w:r>
        <w:rPr>
          <w:rFonts w:ascii="Calibri Light" w:hAnsi="Calibri Light"/>
          <w:i/>
          <w:spacing w:val="-4"/>
          <w:sz w:val="20"/>
        </w:rPr>
        <w:t xml:space="preserve"> </w:t>
      </w:r>
      <w:r>
        <w:rPr>
          <w:rFonts w:ascii="Calibri Light" w:hAnsi="Calibri Light"/>
          <w:i/>
          <w:sz w:val="20"/>
        </w:rPr>
        <w:t>Review</w:t>
      </w:r>
      <w:r>
        <w:rPr>
          <w:rFonts w:ascii="Calibri Light" w:hAnsi="Calibri Light"/>
          <w:sz w:val="20"/>
        </w:rPr>
        <w:t>,</w:t>
      </w:r>
      <w:r>
        <w:rPr>
          <w:rFonts w:ascii="Calibri Light" w:hAnsi="Calibri Light"/>
          <w:spacing w:val="-4"/>
          <w:sz w:val="20"/>
        </w:rPr>
        <w:t xml:space="preserve"> </w:t>
      </w:r>
      <w:r>
        <w:rPr>
          <w:rFonts w:ascii="Calibri Light" w:hAnsi="Calibri Light"/>
          <w:i/>
          <w:sz w:val="20"/>
        </w:rPr>
        <w:t>84</w:t>
      </w:r>
      <w:r>
        <w:rPr>
          <w:rFonts w:ascii="Calibri Light" w:hAnsi="Calibri Light"/>
          <w:sz w:val="20"/>
        </w:rPr>
        <w:t>,</w:t>
      </w:r>
      <w:r>
        <w:rPr>
          <w:rFonts w:ascii="Calibri Light" w:hAnsi="Calibri Light"/>
          <w:spacing w:val="-4"/>
          <w:sz w:val="20"/>
        </w:rPr>
        <w:t xml:space="preserve"> </w:t>
      </w:r>
      <w:r>
        <w:rPr>
          <w:rFonts w:ascii="Calibri Light" w:hAnsi="Calibri Light"/>
          <w:sz w:val="20"/>
        </w:rPr>
        <w:t>191‒215. Barata, I. A., Shandro, J. R., Montgomery, M., Polansky, R., Sachs, C. J., Duber, H. C., … Macias-Konstantopoulos, W.</w:t>
      </w:r>
    </w:p>
    <w:p w14:paraId="12BB0AF8" w14:textId="77777777" w:rsidR="00DB6E1F" w:rsidRDefault="00F666A6">
      <w:pPr>
        <w:spacing w:before="1"/>
        <w:ind w:left="1619"/>
        <w:rPr>
          <w:rFonts w:ascii="Calibri Light"/>
          <w:sz w:val="20"/>
        </w:rPr>
      </w:pPr>
      <w:r>
        <w:rPr>
          <w:rFonts w:ascii="Calibri Light"/>
          <w:sz w:val="20"/>
        </w:rPr>
        <w:t>(2017).</w:t>
      </w:r>
      <w:r>
        <w:rPr>
          <w:rFonts w:ascii="Calibri Light"/>
          <w:spacing w:val="-8"/>
          <w:sz w:val="20"/>
        </w:rPr>
        <w:t xml:space="preserve"> </w:t>
      </w:r>
      <w:r>
        <w:rPr>
          <w:rFonts w:ascii="Calibri Light"/>
          <w:sz w:val="20"/>
        </w:rPr>
        <w:t>Effectiveness</w:t>
      </w:r>
      <w:r>
        <w:rPr>
          <w:rFonts w:ascii="Calibri Light"/>
          <w:spacing w:val="-7"/>
          <w:sz w:val="20"/>
        </w:rPr>
        <w:t xml:space="preserve"> </w:t>
      </w:r>
      <w:r>
        <w:rPr>
          <w:rFonts w:ascii="Calibri Light"/>
          <w:sz w:val="20"/>
        </w:rPr>
        <w:t>of</w:t>
      </w:r>
      <w:r>
        <w:rPr>
          <w:rFonts w:ascii="Calibri Light"/>
          <w:spacing w:val="-7"/>
          <w:sz w:val="20"/>
        </w:rPr>
        <w:t xml:space="preserve"> </w:t>
      </w:r>
      <w:r>
        <w:rPr>
          <w:rFonts w:ascii="Calibri Light"/>
          <w:sz w:val="20"/>
        </w:rPr>
        <w:t>SBIRT</w:t>
      </w:r>
      <w:r>
        <w:rPr>
          <w:rFonts w:ascii="Calibri Light"/>
          <w:spacing w:val="-5"/>
          <w:sz w:val="20"/>
        </w:rPr>
        <w:t xml:space="preserve"> </w:t>
      </w:r>
      <w:r>
        <w:rPr>
          <w:rFonts w:ascii="Calibri Light"/>
          <w:sz w:val="20"/>
        </w:rPr>
        <w:t>for</w:t>
      </w:r>
      <w:r>
        <w:rPr>
          <w:rFonts w:ascii="Calibri Light"/>
          <w:spacing w:val="-6"/>
          <w:sz w:val="20"/>
        </w:rPr>
        <w:t xml:space="preserve"> </w:t>
      </w:r>
      <w:r>
        <w:rPr>
          <w:rFonts w:ascii="Calibri Light"/>
          <w:sz w:val="20"/>
        </w:rPr>
        <w:t>alcohol</w:t>
      </w:r>
      <w:r>
        <w:rPr>
          <w:rFonts w:ascii="Calibri Light"/>
          <w:spacing w:val="-8"/>
          <w:sz w:val="20"/>
        </w:rPr>
        <w:t xml:space="preserve"> </w:t>
      </w:r>
      <w:r>
        <w:rPr>
          <w:rFonts w:ascii="Calibri Light"/>
          <w:sz w:val="20"/>
        </w:rPr>
        <w:t>use</w:t>
      </w:r>
      <w:r>
        <w:rPr>
          <w:rFonts w:ascii="Calibri Light"/>
          <w:spacing w:val="-7"/>
          <w:sz w:val="20"/>
        </w:rPr>
        <w:t xml:space="preserve"> </w:t>
      </w:r>
      <w:r>
        <w:rPr>
          <w:rFonts w:ascii="Calibri Light"/>
          <w:sz w:val="20"/>
        </w:rPr>
        <w:t>disorders</w:t>
      </w:r>
      <w:r>
        <w:rPr>
          <w:rFonts w:ascii="Calibri Light"/>
          <w:spacing w:val="-7"/>
          <w:sz w:val="20"/>
        </w:rPr>
        <w:t xml:space="preserve"> </w:t>
      </w:r>
      <w:r>
        <w:rPr>
          <w:rFonts w:ascii="Calibri Light"/>
          <w:sz w:val="20"/>
        </w:rPr>
        <w:t>in</w:t>
      </w:r>
      <w:r>
        <w:rPr>
          <w:rFonts w:ascii="Calibri Light"/>
          <w:spacing w:val="-7"/>
          <w:sz w:val="20"/>
        </w:rPr>
        <w:t xml:space="preserve"> </w:t>
      </w:r>
      <w:r>
        <w:rPr>
          <w:rFonts w:ascii="Calibri Light"/>
          <w:sz w:val="20"/>
        </w:rPr>
        <w:t>the</w:t>
      </w:r>
      <w:r>
        <w:rPr>
          <w:rFonts w:ascii="Calibri Light"/>
          <w:spacing w:val="-7"/>
          <w:sz w:val="20"/>
        </w:rPr>
        <w:t xml:space="preserve"> </w:t>
      </w:r>
      <w:r>
        <w:rPr>
          <w:rFonts w:ascii="Calibri Light"/>
          <w:sz w:val="20"/>
        </w:rPr>
        <w:t>emergency</w:t>
      </w:r>
      <w:r>
        <w:rPr>
          <w:rFonts w:ascii="Calibri Light"/>
          <w:spacing w:val="-6"/>
          <w:sz w:val="20"/>
        </w:rPr>
        <w:t xml:space="preserve"> </w:t>
      </w:r>
      <w:r>
        <w:rPr>
          <w:rFonts w:ascii="Calibri Light"/>
          <w:sz w:val="20"/>
        </w:rPr>
        <w:t>department:</w:t>
      </w:r>
      <w:r>
        <w:rPr>
          <w:rFonts w:ascii="Calibri Light"/>
          <w:spacing w:val="-6"/>
          <w:sz w:val="20"/>
        </w:rPr>
        <w:t xml:space="preserve"> </w:t>
      </w:r>
      <w:r>
        <w:rPr>
          <w:rFonts w:ascii="Calibri Light"/>
          <w:sz w:val="20"/>
        </w:rPr>
        <w:t>A</w:t>
      </w:r>
      <w:r>
        <w:rPr>
          <w:rFonts w:ascii="Calibri Light"/>
          <w:spacing w:val="-7"/>
          <w:sz w:val="20"/>
        </w:rPr>
        <w:t xml:space="preserve"> </w:t>
      </w:r>
      <w:r>
        <w:rPr>
          <w:rFonts w:ascii="Calibri Light"/>
          <w:sz w:val="20"/>
        </w:rPr>
        <w:t>systematic</w:t>
      </w:r>
      <w:r>
        <w:rPr>
          <w:rFonts w:ascii="Calibri Light"/>
          <w:spacing w:val="-7"/>
          <w:sz w:val="20"/>
        </w:rPr>
        <w:t xml:space="preserve"> </w:t>
      </w:r>
      <w:r>
        <w:rPr>
          <w:rFonts w:ascii="Calibri Light"/>
          <w:spacing w:val="-2"/>
          <w:sz w:val="20"/>
        </w:rPr>
        <w:t>review.</w:t>
      </w:r>
    </w:p>
    <w:p w14:paraId="2CA07827" w14:textId="77777777" w:rsidR="00DB6E1F" w:rsidRDefault="00F666A6">
      <w:pPr>
        <w:spacing w:before="19"/>
        <w:ind w:left="1619"/>
        <w:rPr>
          <w:rFonts w:ascii="Calibri Light" w:hAnsi="Calibri Light"/>
          <w:sz w:val="20"/>
        </w:rPr>
      </w:pPr>
      <w:r>
        <w:rPr>
          <w:rFonts w:ascii="Calibri Light" w:hAnsi="Calibri Light"/>
          <w:i/>
          <w:sz w:val="20"/>
        </w:rPr>
        <w:t>Western</w:t>
      </w:r>
      <w:r>
        <w:rPr>
          <w:rFonts w:ascii="Calibri Light" w:hAnsi="Calibri Light"/>
          <w:i/>
          <w:spacing w:val="-8"/>
          <w:sz w:val="20"/>
        </w:rPr>
        <w:t xml:space="preserve"> </w:t>
      </w:r>
      <w:r>
        <w:rPr>
          <w:rFonts w:ascii="Calibri Light" w:hAnsi="Calibri Light"/>
          <w:i/>
          <w:sz w:val="20"/>
        </w:rPr>
        <w:t>Journal</w:t>
      </w:r>
      <w:r>
        <w:rPr>
          <w:rFonts w:ascii="Calibri Light" w:hAnsi="Calibri Light"/>
          <w:i/>
          <w:spacing w:val="-8"/>
          <w:sz w:val="20"/>
        </w:rPr>
        <w:t xml:space="preserve"> </w:t>
      </w:r>
      <w:r>
        <w:rPr>
          <w:rFonts w:ascii="Calibri Light" w:hAnsi="Calibri Light"/>
          <w:i/>
          <w:sz w:val="20"/>
        </w:rPr>
        <w:t>of</w:t>
      </w:r>
      <w:r>
        <w:rPr>
          <w:rFonts w:ascii="Calibri Light" w:hAnsi="Calibri Light"/>
          <w:i/>
          <w:spacing w:val="-7"/>
          <w:sz w:val="20"/>
        </w:rPr>
        <w:t xml:space="preserve"> </w:t>
      </w:r>
      <w:r>
        <w:rPr>
          <w:rFonts w:ascii="Calibri Light" w:hAnsi="Calibri Light"/>
          <w:i/>
          <w:sz w:val="20"/>
        </w:rPr>
        <w:t>Emergency</w:t>
      </w:r>
      <w:r>
        <w:rPr>
          <w:rFonts w:ascii="Calibri Light" w:hAnsi="Calibri Light"/>
          <w:i/>
          <w:spacing w:val="-5"/>
          <w:sz w:val="20"/>
        </w:rPr>
        <w:t xml:space="preserve"> </w:t>
      </w:r>
      <w:r>
        <w:rPr>
          <w:rFonts w:ascii="Calibri Light" w:hAnsi="Calibri Light"/>
          <w:i/>
          <w:sz w:val="20"/>
        </w:rPr>
        <w:t>Medicine</w:t>
      </w:r>
      <w:r>
        <w:rPr>
          <w:rFonts w:ascii="Calibri Light" w:hAnsi="Calibri Light"/>
          <w:sz w:val="20"/>
        </w:rPr>
        <w:t>,</w:t>
      </w:r>
      <w:r>
        <w:rPr>
          <w:rFonts w:ascii="Calibri Light" w:hAnsi="Calibri Light"/>
          <w:spacing w:val="-8"/>
          <w:sz w:val="20"/>
        </w:rPr>
        <w:t xml:space="preserve"> </w:t>
      </w:r>
      <w:r>
        <w:rPr>
          <w:rFonts w:ascii="Calibri Light" w:hAnsi="Calibri Light"/>
          <w:i/>
          <w:sz w:val="20"/>
        </w:rPr>
        <w:t>18</w:t>
      </w:r>
      <w:r>
        <w:rPr>
          <w:rFonts w:ascii="Calibri Light" w:hAnsi="Calibri Light"/>
          <w:sz w:val="20"/>
        </w:rPr>
        <w:t>(6),</w:t>
      </w:r>
      <w:r>
        <w:rPr>
          <w:rFonts w:ascii="Calibri Light" w:hAnsi="Calibri Light"/>
          <w:spacing w:val="-8"/>
          <w:sz w:val="20"/>
        </w:rPr>
        <w:t xml:space="preserve"> </w:t>
      </w:r>
      <w:r>
        <w:rPr>
          <w:rFonts w:ascii="Calibri Light" w:hAnsi="Calibri Light"/>
          <w:spacing w:val="-2"/>
          <w:sz w:val="20"/>
        </w:rPr>
        <w:t>1143‒1152.</w:t>
      </w:r>
    </w:p>
    <w:p w14:paraId="232E4284" w14:textId="77777777" w:rsidR="00DB6E1F" w:rsidRDefault="00F666A6">
      <w:pPr>
        <w:spacing w:before="20" w:line="259" w:lineRule="auto"/>
        <w:ind w:left="1619" w:right="1444" w:hanging="181"/>
        <w:rPr>
          <w:rFonts w:ascii="Calibri Light" w:hAnsi="Calibri Light"/>
          <w:sz w:val="20"/>
        </w:rPr>
      </w:pPr>
      <w:r>
        <w:rPr>
          <w:rFonts w:ascii="Calibri Light" w:hAnsi="Calibri Light"/>
          <w:sz w:val="20"/>
        </w:rPr>
        <w:t>Barbosa, C., Cowell, A., Dowd, W., Landwehr, J., Aldridge, A., &amp; Bray, J. (2017). The cost-effectiveness of brief intervention</w:t>
      </w:r>
      <w:r>
        <w:rPr>
          <w:rFonts w:ascii="Calibri Light" w:hAnsi="Calibri Light"/>
          <w:spacing w:val="-3"/>
          <w:sz w:val="20"/>
        </w:rPr>
        <w:t xml:space="preserve"> </w:t>
      </w:r>
      <w:r>
        <w:rPr>
          <w:rFonts w:ascii="Calibri Light" w:hAnsi="Calibri Light"/>
          <w:sz w:val="20"/>
        </w:rPr>
        <w:t>versus</w:t>
      </w:r>
      <w:r>
        <w:rPr>
          <w:rFonts w:ascii="Calibri Light" w:hAnsi="Calibri Light"/>
          <w:spacing w:val="-3"/>
          <w:sz w:val="20"/>
        </w:rPr>
        <w:t xml:space="preserve"> </w:t>
      </w:r>
      <w:r>
        <w:rPr>
          <w:rFonts w:ascii="Calibri Light" w:hAnsi="Calibri Light"/>
          <w:sz w:val="20"/>
        </w:rPr>
        <w:t>brief</w:t>
      </w:r>
      <w:r>
        <w:rPr>
          <w:rFonts w:ascii="Calibri Light" w:hAnsi="Calibri Light"/>
          <w:spacing w:val="-3"/>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screening,</w:t>
      </w:r>
      <w:r>
        <w:rPr>
          <w:rFonts w:ascii="Calibri Light" w:hAnsi="Calibri Light"/>
          <w:spacing w:val="-4"/>
          <w:sz w:val="20"/>
        </w:rPr>
        <w:t xml:space="preserve"> </w:t>
      </w:r>
      <w:r>
        <w:rPr>
          <w:rFonts w:ascii="Calibri Light" w:hAnsi="Calibri Light"/>
          <w:sz w:val="20"/>
        </w:rPr>
        <w:t>brief intervention</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referral</w:t>
      </w:r>
      <w:r>
        <w:rPr>
          <w:rFonts w:ascii="Calibri Light" w:hAnsi="Calibri Light"/>
          <w:spacing w:val="-4"/>
          <w:sz w:val="20"/>
        </w:rPr>
        <w:t xml:space="preserve"> </w:t>
      </w:r>
      <w:r>
        <w:rPr>
          <w:rFonts w:ascii="Calibri Light" w:hAnsi="Calibri Light"/>
          <w:sz w:val="20"/>
        </w:rPr>
        <w:t>to</w:t>
      </w:r>
      <w:r>
        <w:rPr>
          <w:rFonts w:ascii="Calibri Light" w:hAnsi="Calibri Light"/>
          <w:spacing w:val="-1"/>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(SBIRT)</w:t>
      </w:r>
      <w:r>
        <w:rPr>
          <w:rFonts w:ascii="Calibri Light" w:hAnsi="Calibri Light"/>
          <w:spacing w:val="-3"/>
          <w:sz w:val="20"/>
        </w:rPr>
        <w:t xml:space="preserve"> </w:t>
      </w:r>
      <w:r>
        <w:rPr>
          <w:rFonts w:ascii="Calibri Light" w:hAnsi="Calibri Light"/>
          <w:sz w:val="20"/>
        </w:rPr>
        <w:t>i</w:t>
      </w:r>
      <w:r>
        <w:rPr>
          <w:rFonts w:ascii="Calibri Light" w:hAnsi="Calibri Light"/>
          <w:sz w:val="20"/>
        </w:rPr>
        <w:t>n</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 xml:space="preserve">United States. </w:t>
      </w:r>
      <w:r>
        <w:rPr>
          <w:rFonts w:ascii="Calibri Light" w:hAnsi="Calibri Light"/>
          <w:i/>
          <w:sz w:val="20"/>
        </w:rPr>
        <w:t>Addiction, 112</w:t>
      </w:r>
      <w:r>
        <w:rPr>
          <w:rFonts w:ascii="Calibri Light" w:hAnsi="Calibri Light"/>
          <w:sz w:val="20"/>
        </w:rPr>
        <w:t>, 73‒81. doi:10.1111/add.13658</w:t>
      </w:r>
    </w:p>
    <w:p w14:paraId="40BA8D55" w14:textId="77777777" w:rsidR="00DB6E1F" w:rsidRDefault="00F666A6">
      <w:pPr>
        <w:spacing w:line="259" w:lineRule="auto"/>
        <w:ind w:left="1619" w:right="1491" w:hanging="181"/>
        <w:rPr>
          <w:rFonts w:ascii="Calibri Light" w:hAnsi="Calibri Light"/>
          <w:sz w:val="20"/>
        </w:rPr>
      </w:pPr>
      <w:r>
        <w:rPr>
          <w:rFonts w:ascii="Calibri Light" w:hAnsi="Calibri Light"/>
          <w:sz w:val="20"/>
        </w:rPr>
        <w:t>Barnes,</w:t>
      </w:r>
      <w:r>
        <w:rPr>
          <w:rFonts w:ascii="Calibri Light" w:hAnsi="Calibri Light"/>
          <w:spacing w:val="-4"/>
          <w:sz w:val="20"/>
        </w:rPr>
        <w:t xml:space="preserve"> </w:t>
      </w:r>
      <w:r>
        <w:rPr>
          <w:rFonts w:ascii="Calibri Light" w:hAnsi="Calibri Light"/>
          <w:sz w:val="20"/>
        </w:rPr>
        <w:t>R.</w:t>
      </w:r>
      <w:r>
        <w:rPr>
          <w:rFonts w:ascii="Calibri Light" w:hAnsi="Calibri Light"/>
          <w:spacing w:val="-1"/>
          <w:sz w:val="20"/>
        </w:rPr>
        <w:t xml:space="preserve"> </w:t>
      </w:r>
      <w:r>
        <w:rPr>
          <w:rFonts w:ascii="Calibri Light" w:hAnsi="Calibri Light"/>
          <w:sz w:val="20"/>
        </w:rPr>
        <w:t>D.,</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Ivezaj,</w:t>
      </w:r>
      <w:r>
        <w:rPr>
          <w:rFonts w:ascii="Calibri Light" w:hAnsi="Calibri Light"/>
          <w:spacing w:val="-4"/>
          <w:sz w:val="20"/>
        </w:rPr>
        <w:t xml:space="preserve"> </w:t>
      </w:r>
      <w:r>
        <w:rPr>
          <w:rFonts w:ascii="Calibri Light" w:hAnsi="Calibri Light"/>
          <w:sz w:val="20"/>
        </w:rPr>
        <w:t>V.</w:t>
      </w:r>
      <w:r>
        <w:rPr>
          <w:rFonts w:ascii="Calibri Light" w:hAnsi="Calibri Light"/>
          <w:spacing w:val="-4"/>
          <w:sz w:val="20"/>
        </w:rPr>
        <w:t xml:space="preserve"> </w:t>
      </w:r>
      <w:r>
        <w:rPr>
          <w:rFonts w:ascii="Calibri Light" w:hAnsi="Calibri Light"/>
          <w:sz w:val="20"/>
        </w:rPr>
        <w:t>(2015).</w:t>
      </w:r>
      <w:r>
        <w:rPr>
          <w:rFonts w:ascii="Calibri Light" w:hAnsi="Calibri Light"/>
          <w:spacing w:val="-4"/>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systematic</w:t>
      </w:r>
      <w:r>
        <w:rPr>
          <w:rFonts w:ascii="Calibri Light" w:hAnsi="Calibri Light"/>
          <w:spacing w:val="-4"/>
          <w:sz w:val="20"/>
        </w:rPr>
        <w:t xml:space="preserve"> </w:t>
      </w:r>
      <w:r>
        <w:rPr>
          <w:rFonts w:ascii="Calibri Light" w:hAnsi="Calibri Light"/>
          <w:sz w:val="20"/>
        </w:rPr>
        <w:t>review</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1"/>
          <w:sz w:val="20"/>
        </w:rPr>
        <w:t xml:space="preserve"> </w:t>
      </w:r>
      <w:r>
        <w:rPr>
          <w:rFonts w:ascii="Calibri Light" w:hAnsi="Calibri Light"/>
          <w:sz w:val="20"/>
        </w:rPr>
        <w:t>interviewing</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weight</w:t>
      </w:r>
      <w:r>
        <w:rPr>
          <w:rFonts w:ascii="Calibri Light" w:hAnsi="Calibri Light"/>
          <w:spacing w:val="-4"/>
          <w:sz w:val="20"/>
        </w:rPr>
        <w:t xml:space="preserve"> </w:t>
      </w:r>
      <w:r>
        <w:rPr>
          <w:rFonts w:ascii="Calibri Light" w:hAnsi="Calibri Light"/>
          <w:sz w:val="20"/>
        </w:rPr>
        <w:t>loss</w:t>
      </w:r>
      <w:r>
        <w:rPr>
          <w:rFonts w:ascii="Calibri Light" w:hAnsi="Calibri Light"/>
          <w:spacing w:val="-3"/>
          <w:sz w:val="20"/>
        </w:rPr>
        <w:t xml:space="preserve"> </w:t>
      </w:r>
      <w:r>
        <w:rPr>
          <w:rFonts w:ascii="Calibri Light" w:hAnsi="Calibri Light"/>
          <w:sz w:val="20"/>
        </w:rPr>
        <w:t>among</w:t>
      </w:r>
      <w:r>
        <w:rPr>
          <w:rFonts w:ascii="Calibri Light" w:hAnsi="Calibri Light"/>
          <w:spacing w:val="-3"/>
          <w:sz w:val="20"/>
        </w:rPr>
        <w:t xml:space="preserve"> </w:t>
      </w:r>
      <w:r>
        <w:rPr>
          <w:rFonts w:ascii="Calibri Light" w:hAnsi="Calibri Light"/>
          <w:sz w:val="20"/>
        </w:rPr>
        <w:t>adults</w:t>
      </w:r>
      <w:r>
        <w:rPr>
          <w:rFonts w:ascii="Calibri Light" w:hAnsi="Calibri Light"/>
          <w:spacing w:val="-1"/>
          <w:sz w:val="20"/>
        </w:rPr>
        <w:t xml:space="preserve"> </w:t>
      </w:r>
      <w:r>
        <w:rPr>
          <w:rFonts w:ascii="Calibri Light" w:hAnsi="Calibri Light"/>
          <w:sz w:val="20"/>
        </w:rPr>
        <w:t xml:space="preserve">in primary care. </w:t>
      </w:r>
      <w:r>
        <w:rPr>
          <w:rFonts w:ascii="Calibri Light" w:hAnsi="Calibri Light"/>
          <w:i/>
          <w:sz w:val="20"/>
        </w:rPr>
        <w:t>Obesity Reviews, 16</w:t>
      </w:r>
      <w:r>
        <w:rPr>
          <w:rFonts w:ascii="Calibri Light" w:hAnsi="Calibri Light"/>
          <w:sz w:val="20"/>
        </w:rPr>
        <w:t>(4), 304‒318. doi:10.1111/obr.12264</w:t>
      </w:r>
    </w:p>
    <w:p w14:paraId="4FCCC561" w14:textId="77777777" w:rsidR="00DB6E1F" w:rsidRDefault="00F666A6">
      <w:pPr>
        <w:spacing w:line="256" w:lineRule="auto"/>
        <w:ind w:left="1619" w:right="1491" w:hanging="181"/>
        <w:rPr>
          <w:rFonts w:ascii="Calibri Light" w:hAnsi="Calibri Light"/>
          <w:sz w:val="20"/>
        </w:rPr>
      </w:pPr>
      <w:r>
        <w:rPr>
          <w:rFonts w:ascii="Calibri Light" w:hAnsi="Calibri Light"/>
          <w:sz w:val="20"/>
        </w:rPr>
        <w:t>Barnett,</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Moyers,</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Sussman,</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Smith, C., Rohrbach,</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Sun,</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Spruijt-Metz,</w:t>
      </w:r>
      <w:r>
        <w:rPr>
          <w:rFonts w:ascii="Calibri Light" w:hAnsi="Calibri Light"/>
          <w:spacing w:val="-3"/>
          <w:sz w:val="20"/>
        </w:rPr>
        <w:t xml:space="preserve"> </w:t>
      </w:r>
      <w:r>
        <w:rPr>
          <w:rFonts w:ascii="Calibri Light" w:hAnsi="Calibri Light"/>
          <w:sz w:val="20"/>
        </w:rPr>
        <w:t>D. (2014).</w:t>
      </w:r>
      <w:r>
        <w:rPr>
          <w:rFonts w:ascii="Calibri Light" w:hAnsi="Calibri Light"/>
          <w:spacing w:val="-3"/>
          <w:sz w:val="20"/>
        </w:rPr>
        <w:t xml:space="preserve"> </w:t>
      </w:r>
      <w:r>
        <w:rPr>
          <w:rFonts w:ascii="Calibri Light" w:hAnsi="Calibri Light"/>
          <w:sz w:val="20"/>
        </w:rPr>
        <w:t xml:space="preserve">From counselor skill to decreased marijuana use: Does change talk matter? </w:t>
      </w:r>
      <w:r>
        <w:rPr>
          <w:rFonts w:ascii="Calibri Light" w:hAnsi="Calibri Light"/>
          <w:i/>
          <w:sz w:val="20"/>
        </w:rPr>
        <w:t>Journal of Substance Abuse Treatment, 46,</w:t>
      </w:r>
      <w:r>
        <w:rPr>
          <w:rFonts w:ascii="Calibri Light" w:hAnsi="Calibri Light"/>
          <w:i/>
          <w:sz w:val="20"/>
        </w:rPr>
        <w:t xml:space="preserve"> </w:t>
      </w:r>
      <w:r>
        <w:rPr>
          <w:rFonts w:ascii="Calibri Light" w:hAnsi="Calibri Light"/>
          <w:sz w:val="20"/>
        </w:rPr>
        <w:t>498–505.</w:t>
      </w:r>
    </w:p>
    <w:p w14:paraId="7DBCE95C" w14:textId="77777777" w:rsidR="00DB6E1F" w:rsidRDefault="00F666A6">
      <w:pPr>
        <w:spacing w:before="2" w:line="259" w:lineRule="auto"/>
        <w:ind w:left="1619" w:right="1491" w:hanging="180"/>
        <w:rPr>
          <w:rFonts w:ascii="Calibri Light" w:hAnsi="Calibri Light"/>
          <w:sz w:val="20"/>
        </w:rPr>
      </w:pPr>
      <w:r>
        <w:rPr>
          <w:rFonts w:ascii="Calibri Light" w:hAnsi="Calibri Light"/>
          <w:sz w:val="20"/>
        </w:rPr>
        <w:t>Barnett,</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Spruijt-Metz,</w:t>
      </w:r>
      <w:r>
        <w:rPr>
          <w:rFonts w:ascii="Calibri Light" w:hAnsi="Calibri Light"/>
          <w:spacing w:val="-3"/>
          <w:sz w:val="20"/>
        </w:rPr>
        <w:t xml:space="preserve"> </w:t>
      </w:r>
      <w:r>
        <w:rPr>
          <w:rFonts w:ascii="Calibri Light" w:hAnsi="Calibri Light"/>
          <w:sz w:val="20"/>
        </w:rPr>
        <w:t>D., Moyers,</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Smith,</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Rohrbach,</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Sun,</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Sussman, S.</w:t>
      </w:r>
      <w:r>
        <w:rPr>
          <w:rFonts w:ascii="Calibri Light" w:hAnsi="Calibri Light"/>
          <w:spacing w:val="-3"/>
          <w:sz w:val="20"/>
        </w:rPr>
        <w:t xml:space="preserve"> </w:t>
      </w:r>
      <w:r>
        <w:rPr>
          <w:rFonts w:ascii="Calibri Light" w:hAnsi="Calibri Light"/>
          <w:sz w:val="20"/>
        </w:rPr>
        <w:t xml:space="preserve">(2014). Bidirectional relationships between client and counselor speech: The importance of reframing. </w:t>
      </w:r>
      <w:r>
        <w:rPr>
          <w:rFonts w:ascii="Calibri Light" w:hAnsi="Calibri Light"/>
          <w:i/>
          <w:sz w:val="20"/>
        </w:rPr>
        <w:t>Psychology of Addictive Behaviors, 28</w:t>
      </w:r>
      <w:r>
        <w:rPr>
          <w:rFonts w:ascii="Calibri Light" w:hAnsi="Calibri Light"/>
          <w:sz w:val="20"/>
        </w:rPr>
        <w:t>(4), 1212‒1219. doi:10.1037/a0036227</w:t>
      </w:r>
    </w:p>
    <w:p w14:paraId="5351676E" w14:textId="77777777" w:rsidR="00DB6E1F" w:rsidRDefault="00F666A6">
      <w:pPr>
        <w:spacing w:line="259" w:lineRule="auto"/>
        <w:ind w:left="1619" w:right="1491" w:hanging="180"/>
        <w:rPr>
          <w:rFonts w:ascii="Calibri Light" w:hAnsi="Calibri Light"/>
          <w:sz w:val="20"/>
        </w:rPr>
      </w:pPr>
      <w:r>
        <w:rPr>
          <w:rFonts w:ascii="Calibri Light" w:hAnsi="Calibri Light"/>
          <w:sz w:val="20"/>
        </w:rPr>
        <w:t>Barrio,</w:t>
      </w:r>
      <w:r>
        <w:rPr>
          <w:rFonts w:ascii="Calibri Light" w:hAnsi="Calibri Light"/>
          <w:spacing w:val="-4"/>
          <w:sz w:val="20"/>
        </w:rPr>
        <w:t xml:space="preserve"> </w:t>
      </w:r>
      <w:r>
        <w:rPr>
          <w:rFonts w:ascii="Calibri Light" w:hAnsi="Calibri Light"/>
          <w:sz w:val="20"/>
        </w:rPr>
        <w:t>P.,</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Gual,</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(2016).</w:t>
      </w:r>
      <w:r>
        <w:rPr>
          <w:rFonts w:ascii="Calibri Light" w:hAnsi="Calibri Light"/>
          <w:spacing w:val="-4"/>
          <w:sz w:val="20"/>
        </w:rPr>
        <w:t xml:space="preserve"> </w:t>
      </w:r>
      <w:r>
        <w:rPr>
          <w:rFonts w:ascii="Calibri Light" w:hAnsi="Calibri Light"/>
          <w:sz w:val="20"/>
        </w:rPr>
        <w:t>Patient-centered</w:t>
      </w:r>
      <w:r>
        <w:rPr>
          <w:rFonts w:ascii="Calibri Light" w:hAnsi="Calibri Light"/>
          <w:spacing w:val="-3"/>
          <w:sz w:val="20"/>
        </w:rPr>
        <w:t xml:space="preserve"> </w:t>
      </w:r>
      <w:r>
        <w:rPr>
          <w:rFonts w:ascii="Calibri Light" w:hAnsi="Calibri Light"/>
          <w:sz w:val="20"/>
        </w:rPr>
        <w:t>care</w:t>
      </w:r>
      <w:r>
        <w:rPr>
          <w:rFonts w:ascii="Calibri Light" w:hAnsi="Calibri Light"/>
          <w:spacing w:val="-3"/>
          <w:sz w:val="20"/>
        </w:rPr>
        <w:t xml:space="preserve"> </w:t>
      </w:r>
      <w:r>
        <w:rPr>
          <w:rFonts w:ascii="Calibri Light" w:hAnsi="Calibri Light"/>
          <w:sz w:val="20"/>
        </w:rPr>
        <w:t>interventions</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manag</w:t>
      </w:r>
      <w:r>
        <w:rPr>
          <w:rFonts w:ascii="Calibri Light" w:hAnsi="Calibri Light"/>
          <w:sz w:val="20"/>
        </w:rPr>
        <w:t>ement</w:t>
      </w:r>
      <w:r>
        <w:rPr>
          <w:rFonts w:ascii="Calibri Light" w:hAnsi="Calibri Light"/>
          <w:spacing w:val="-4"/>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disorders:</w:t>
      </w:r>
      <w:r>
        <w:rPr>
          <w:rFonts w:ascii="Calibri Light" w:hAnsi="Calibri Light"/>
          <w:spacing w:val="-2"/>
          <w:sz w:val="20"/>
        </w:rPr>
        <w:t xml:space="preserve"> </w:t>
      </w:r>
      <w:r>
        <w:rPr>
          <w:rFonts w:ascii="Calibri Light" w:hAnsi="Calibri Light"/>
          <w:sz w:val="20"/>
        </w:rPr>
        <w:t xml:space="preserve">A systematic review of randomized controlled trials. </w:t>
      </w:r>
      <w:r>
        <w:rPr>
          <w:rFonts w:ascii="Calibri Light" w:hAnsi="Calibri Light"/>
          <w:i/>
          <w:sz w:val="20"/>
        </w:rPr>
        <w:t xml:space="preserve">Patient Preference and Adherence, 10, </w:t>
      </w:r>
      <w:r>
        <w:rPr>
          <w:rFonts w:ascii="Calibri Light" w:hAnsi="Calibri Light"/>
          <w:sz w:val="20"/>
        </w:rPr>
        <w:t xml:space="preserve">1823–1845. </w:t>
      </w:r>
      <w:r>
        <w:rPr>
          <w:rFonts w:ascii="Calibri Light" w:hAnsi="Calibri Light"/>
          <w:spacing w:val="-2"/>
          <w:sz w:val="20"/>
        </w:rPr>
        <w:t>doi:10.2147/PPA.S109641</w:t>
      </w:r>
    </w:p>
    <w:p w14:paraId="74F9CE49" w14:textId="77777777" w:rsidR="00DB6E1F" w:rsidRDefault="00F666A6">
      <w:pPr>
        <w:spacing w:line="259" w:lineRule="auto"/>
        <w:ind w:left="1619" w:right="1444" w:hanging="180"/>
        <w:rPr>
          <w:rFonts w:ascii="Calibri Light" w:hAnsi="Calibri Light"/>
          <w:sz w:val="20"/>
        </w:rPr>
      </w:pPr>
      <w:r>
        <w:rPr>
          <w:rFonts w:ascii="Calibri Light" w:hAnsi="Calibri Light"/>
          <w:sz w:val="20"/>
        </w:rPr>
        <w:t>Bassuk,</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L.,</w:t>
      </w:r>
      <w:r>
        <w:rPr>
          <w:rFonts w:ascii="Calibri Light" w:hAnsi="Calibri Light"/>
          <w:spacing w:val="-1"/>
          <w:sz w:val="20"/>
        </w:rPr>
        <w:t xml:space="preserve"> </w:t>
      </w:r>
      <w:r>
        <w:rPr>
          <w:rFonts w:ascii="Calibri Light" w:hAnsi="Calibri Light"/>
          <w:sz w:val="20"/>
        </w:rPr>
        <w:t>Hanson,</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Greene,</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N.,</w:t>
      </w:r>
      <w:r>
        <w:rPr>
          <w:rFonts w:ascii="Calibri Light" w:hAnsi="Calibri Light"/>
          <w:spacing w:val="-3"/>
          <w:sz w:val="20"/>
        </w:rPr>
        <w:t xml:space="preserve"> </w:t>
      </w:r>
      <w:r>
        <w:rPr>
          <w:rFonts w:ascii="Calibri Light" w:hAnsi="Calibri Light"/>
          <w:sz w:val="20"/>
        </w:rPr>
        <w:t>Richard,</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Laudet,</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Peer-delivered</w:t>
      </w:r>
      <w:r>
        <w:rPr>
          <w:rFonts w:ascii="Calibri Light" w:hAnsi="Calibri Light"/>
          <w:spacing w:val="-2"/>
          <w:sz w:val="20"/>
        </w:rPr>
        <w:t xml:space="preserve"> </w:t>
      </w:r>
      <w:r>
        <w:rPr>
          <w:rFonts w:ascii="Calibri Light" w:hAnsi="Calibri Light"/>
          <w:sz w:val="20"/>
        </w:rPr>
        <w:t>recovery</w:t>
      </w:r>
      <w:r>
        <w:rPr>
          <w:rFonts w:ascii="Calibri Light" w:hAnsi="Calibri Light"/>
          <w:spacing w:val="-1"/>
          <w:sz w:val="20"/>
        </w:rPr>
        <w:t xml:space="preserve"> </w:t>
      </w:r>
      <w:r>
        <w:rPr>
          <w:rFonts w:ascii="Calibri Light" w:hAnsi="Calibri Light"/>
          <w:sz w:val="20"/>
        </w:rPr>
        <w:t>support</w:t>
      </w:r>
      <w:r>
        <w:rPr>
          <w:rFonts w:ascii="Calibri Light" w:hAnsi="Calibri Light"/>
          <w:spacing w:val="-3"/>
          <w:sz w:val="20"/>
        </w:rPr>
        <w:t xml:space="preserve"> </w:t>
      </w:r>
      <w:r>
        <w:rPr>
          <w:rFonts w:ascii="Calibri Light" w:hAnsi="Calibri Light"/>
          <w:sz w:val="20"/>
        </w:rPr>
        <w:t>services</w:t>
      </w:r>
      <w:r>
        <w:rPr>
          <w:rFonts w:ascii="Calibri Light" w:hAnsi="Calibri Light"/>
          <w:spacing w:val="-2"/>
          <w:sz w:val="20"/>
        </w:rPr>
        <w:t xml:space="preserve"> </w:t>
      </w:r>
      <w:r>
        <w:rPr>
          <w:rFonts w:ascii="Calibri Light" w:hAnsi="Calibri Light"/>
          <w:sz w:val="20"/>
        </w:rPr>
        <w:t xml:space="preserve">for addictions in the United States: A systematic review. </w:t>
      </w:r>
      <w:r>
        <w:rPr>
          <w:rFonts w:ascii="Calibri Light" w:hAnsi="Calibri Light"/>
          <w:i/>
          <w:sz w:val="20"/>
        </w:rPr>
        <w:t>Journal of Substance Abuse Treatment, 63</w:t>
      </w:r>
      <w:r>
        <w:rPr>
          <w:rFonts w:ascii="Calibri Light" w:hAnsi="Calibri Light"/>
          <w:sz w:val="20"/>
        </w:rPr>
        <w:t xml:space="preserve">, 1–9. </w:t>
      </w:r>
      <w:r>
        <w:rPr>
          <w:rFonts w:ascii="Calibri Light" w:hAnsi="Calibri Light"/>
          <w:spacing w:val="-2"/>
          <w:sz w:val="20"/>
        </w:rPr>
        <w:t>doi:10.1016/j.jsat.2016.01.003</w:t>
      </w:r>
    </w:p>
    <w:p w14:paraId="2E6BB2DE" w14:textId="77777777" w:rsidR="00DB6E1F" w:rsidRDefault="00F666A6">
      <w:pPr>
        <w:spacing w:line="259" w:lineRule="auto"/>
        <w:ind w:left="1619" w:right="1491" w:hanging="181"/>
        <w:rPr>
          <w:rFonts w:ascii="Calibri Light" w:hAnsi="Calibri Light"/>
          <w:sz w:val="20"/>
        </w:rPr>
      </w:pPr>
      <w:r>
        <w:rPr>
          <w:rFonts w:ascii="Calibri Light" w:hAnsi="Calibri Light"/>
          <w:sz w:val="20"/>
        </w:rPr>
        <w:t>Bedard-Gilligan,</w:t>
      </w:r>
      <w:r>
        <w:rPr>
          <w:rFonts w:ascii="Calibri Light" w:hAnsi="Calibri Light"/>
          <w:spacing w:val="-3"/>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Garcia,</w:t>
      </w:r>
      <w:r>
        <w:rPr>
          <w:rFonts w:ascii="Calibri Light" w:hAnsi="Calibri Light"/>
          <w:spacing w:val="-4"/>
          <w:sz w:val="20"/>
        </w:rPr>
        <w:t xml:space="preserve"> </w:t>
      </w:r>
      <w:r>
        <w:rPr>
          <w:rFonts w:ascii="Calibri Light" w:hAnsi="Calibri Light"/>
          <w:sz w:val="20"/>
        </w:rPr>
        <w:t>N.,</w:t>
      </w:r>
      <w:r>
        <w:rPr>
          <w:rFonts w:ascii="Calibri Light" w:hAnsi="Calibri Light"/>
          <w:spacing w:val="-4"/>
          <w:sz w:val="20"/>
        </w:rPr>
        <w:t xml:space="preserve"> </w:t>
      </w:r>
      <w:r>
        <w:rPr>
          <w:rFonts w:ascii="Calibri Light" w:hAnsi="Calibri Light"/>
          <w:sz w:val="20"/>
        </w:rPr>
        <w:t>Zoellner,</w:t>
      </w:r>
      <w:r>
        <w:rPr>
          <w:rFonts w:ascii="Calibri Light" w:hAnsi="Calibri Light"/>
          <w:spacing w:val="-4"/>
          <w:sz w:val="20"/>
        </w:rPr>
        <w:t xml:space="preserve"> </w:t>
      </w:r>
      <w:r>
        <w:rPr>
          <w:rFonts w:ascii="Calibri Light" w:hAnsi="Calibri Light"/>
          <w:sz w:val="20"/>
        </w:rPr>
        <w:t>L.</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Feeny,</w:t>
      </w:r>
      <w:r>
        <w:rPr>
          <w:rFonts w:ascii="Calibri Light" w:hAnsi="Calibri Light"/>
          <w:spacing w:val="-4"/>
          <w:sz w:val="20"/>
        </w:rPr>
        <w:t xml:space="preserve"> </w:t>
      </w:r>
      <w:r>
        <w:rPr>
          <w:rFonts w:ascii="Calibri Light" w:hAnsi="Calibri Light"/>
          <w:sz w:val="20"/>
        </w:rPr>
        <w:t>N.</w:t>
      </w:r>
      <w:r>
        <w:rPr>
          <w:rFonts w:ascii="Calibri Light" w:hAnsi="Calibri Light"/>
          <w:spacing w:val="-4"/>
          <w:sz w:val="20"/>
        </w:rPr>
        <w:t xml:space="preserve"> </w:t>
      </w:r>
      <w:r>
        <w:rPr>
          <w:rFonts w:ascii="Calibri Light" w:hAnsi="Calibri Light"/>
          <w:sz w:val="20"/>
        </w:rPr>
        <w:t>C.</w:t>
      </w:r>
      <w:r>
        <w:rPr>
          <w:rFonts w:ascii="Calibri Light" w:hAnsi="Calibri Light"/>
          <w:spacing w:val="-1"/>
          <w:sz w:val="20"/>
        </w:rPr>
        <w:t xml:space="preserve"> </w:t>
      </w:r>
      <w:r>
        <w:rPr>
          <w:rFonts w:ascii="Calibri Light" w:hAnsi="Calibri Light"/>
          <w:sz w:val="20"/>
        </w:rPr>
        <w:t>(2018).</w:t>
      </w:r>
      <w:r>
        <w:rPr>
          <w:rFonts w:ascii="Calibri Light" w:hAnsi="Calibri Light"/>
          <w:spacing w:val="-4"/>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cannabis,</w:t>
      </w:r>
      <w:r>
        <w:rPr>
          <w:rFonts w:ascii="Calibri Light" w:hAnsi="Calibri Light"/>
          <w:spacing w:val="-1"/>
          <w:sz w:val="20"/>
        </w:rPr>
        <w:t xml:space="preserve"> </w:t>
      </w:r>
      <w:r>
        <w:rPr>
          <w:rFonts w:ascii="Calibri Light" w:hAnsi="Calibri Light"/>
          <w:sz w:val="20"/>
        </w:rPr>
        <w:t>and</w:t>
      </w:r>
      <w:r>
        <w:rPr>
          <w:rFonts w:ascii="Calibri Light" w:hAnsi="Calibri Light"/>
          <w:spacing w:val="-1"/>
          <w:sz w:val="20"/>
        </w:rPr>
        <w:t xml:space="preserve"> </w:t>
      </w:r>
      <w:r>
        <w:rPr>
          <w:rFonts w:ascii="Calibri Light" w:hAnsi="Calibri Light"/>
          <w:sz w:val="20"/>
        </w:rPr>
        <w:t>other</w:t>
      </w:r>
      <w:r>
        <w:rPr>
          <w:rFonts w:ascii="Calibri Light" w:hAnsi="Calibri Light"/>
          <w:spacing w:val="-2"/>
          <w:sz w:val="20"/>
        </w:rPr>
        <w:t xml:space="preserve"> </w:t>
      </w:r>
      <w:r>
        <w:rPr>
          <w:rFonts w:ascii="Calibri Light" w:hAnsi="Calibri Light"/>
          <w:sz w:val="20"/>
        </w:rPr>
        <w:t>drug</w:t>
      </w:r>
      <w:r>
        <w:rPr>
          <w:rFonts w:ascii="Calibri Light" w:hAnsi="Calibri Light"/>
          <w:spacing w:val="-3"/>
          <w:sz w:val="20"/>
        </w:rPr>
        <w:t xml:space="preserve"> </w:t>
      </w:r>
      <w:r>
        <w:rPr>
          <w:rFonts w:ascii="Calibri Light" w:hAnsi="Calibri Light"/>
          <w:sz w:val="20"/>
        </w:rPr>
        <w:t xml:space="preserve">use: Engagement and outcome in PTSD treatment. </w:t>
      </w:r>
      <w:r>
        <w:rPr>
          <w:rFonts w:ascii="Calibri Light" w:hAnsi="Calibri Light"/>
          <w:i/>
          <w:sz w:val="20"/>
        </w:rPr>
        <w:t>Psychology of Addictive Behaviors, 32</w:t>
      </w:r>
      <w:r>
        <w:rPr>
          <w:rFonts w:ascii="Calibri Light" w:hAnsi="Calibri Light"/>
          <w:sz w:val="20"/>
        </w:rPr>
        <w:t>(3), 277–288.</w:t>
      </w:r>
    </w:p>
    <w:p w14:paraId="74B9BB4C" w14:textId="77777777" w:rsidR="00DB6E1F" w:rsidRDefault="00F666A6">
      <w:pPr>
        <w:spacing w:line="256" w:lineRule="auto"/>
        <w:ind w:left="1619" w:right="1491" w:hanging="181"/>
        <w:rPr>
          <w:rFonts w:ascii="Calibri Light" w:hAnsi="Calibri Light"/>
          <w:sz w:val="20"/>
        </w:rPr>
      </w:pPr>
      <w:r>
        <w:rPr>
          <w:rFonts w:ascii="Calibri Light" w:hAnsi="Calibri Light"/>
          <w:sz w:val="20"/>
        </w:rPr>
        <w:t>Belmontes,</w:t>
      </w:r>
      <w:r>
        <w:rPr>
          <w:rFonts w:ascii="Calibri Light" w:hAnsi="Calibri Light"/>
          <w:spacing w:val="-4"/>
          <w:sz w:val="20"/>
        </w:rPr>
        <w:t xml:space="preserve"> </w:t>
      </w:r>
      <w:r>
        <w:rPr>
          <w:rFonts w:ascii="Calibri Light" w:hAnsi="Calibri Light"/>
          <w:sz w:val="20"/>
        </w:rPr>
        <w:t>K.</w:t>
      </w:r>
      <w:r>
        <w:rPr>
          <w:rFonts w:ascii="Calibri Light" w:hAnsi="Calibri Light"/>
          <w:spacing w:val="-1"/>
          <w:sz w:val="20"/>
        </w:rPr>
        <w:t xml:space="preserve"> </w:t>
      </w:r>
      <w:r>
        <w:rPr>
          <w:rFonts w:ascii="Calibri Light" w:hAnsi="Calibri Light"/>
          <w:sz w:val="20"/>
        </w:rPr>
        <w:t>C.</w:t>
      </w:r>
      <w:r>
        <w:rPr>
          <w:rFonts w:ascii="Calibri Light" w:hAnsi="Calibri Light"/>
          <w:spacing w:val="-4"/>
          <w:sz w:val="20"/>
        </w:rPr>
        <w:t xml:space="preserve"> </w:t>
      </w:r>
      <w:r>
        <w:rPr>
          <w:rFonts w:ascii="Calibri Light" w:hAnsi="Calibri Light"/>
          <w:sz w:val="20"/>
        </w:rPr>
        <w:t>(2018).</w:t>
      </w:r>
      <w:r>
        <w:rPr>
          <w:rFonts w:ascii="Calibri Light" w:hAnsi="Calibri Light"/>
          <w:spacing w:val="-4"/>
          <w:sz w:val="20"/>
        </w:rPr>
        <w:t xml:space="preserve"> </w:t>
      </w:r>
      <w:r>
        <w:rPr>
          <w:rFonts w:ascii="Calibri Light" w:hAnsi="Calibri Light"/>
          <w:sz w:val="20"/>
        </w:rPr>
        <w:t>When</w:t>
      </w:r>
      <w:r>
        <w:rPr>
          <w:rFonts w:ascii="Calibri Light" w:hAnsi="Calibri Light"/>
          <w:spacing w:val="-1"/>
          <w:sz w:val="20"/>
        </w:rPr>
        <w:t xml:space="preserve"> </w:t>
      </w:r>
      <w:r>
        <w:rPr>
          <w:rFonts w:ascii="Calibri Light" w:hAnsi="Calibri Light"/>
          <w:sz w:val="20"/>
        </w:rPr>
        <w:t>family</w:t>
      </w:r>
      <w:r>
        <w:rPr>
          <w:rFonts w:ascii="Calibri Light" w:hAnsi="Calibri Light"/>
          <w:spacing w:val="-2"/>
          <w:sz w:val="20"/>
        </w:rPr>
        <w:t xml:space="preserve"> </w:t>
      </w:r>
      <w:r>
        <w:rPr>
          <w:rFonts w:ascii="Calibri Light" w:hAnsi="Calibri Light"/>
          <w:sz w:val="20"/>
        </w:rPr>
        <w:t>gets</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way</w:t>
      </w:r>
      <w:r>
        <w:rPr>
          <w:rFonts w:ascii="Calibri Light" w:hAnsi="Calibri Light"/>
          <w:spacing w:val="-2"/>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recovery.</w:t>
      </w:r>
      <w:r>
        <w:rPr>
          <w:rFonts w:ascii="Calibri Light" w:hAnsi="Calibri Light"/>
          <w:spacing w:val="-4"/>
          <w:sz w:val="20"/>
        </w:rPr>
        <w:t xml:space="preserve"> </w:t>
      </w:r>
      <w:r>
        <w:rPr>
          <w:rFonts w:ascii="Calibri Light" w:hAnsi="Calibri Light"/>
          <w:i/>
          <w:sz w:val="20"/>
        </w:rPr>
        <w:t>Family</w:t>
      </w:r>
      <w:r>
        <w:rPr>
          <w:rFonts w:ascii="Calibri Light" w:hAnsi="Calibri Light"/>
          <w:i/>
          <w:spacing w:val="-3"/>
          <w:sz w:val="20"/>
        </w:rPr>
        <w:t xml:space="preserve"> </w:t>
      </w:r>
      <w:r>
        <w:rPr>
          <w:rFonts w:ascii="Calibri Light" w:hAnsi="Calibri Light"/>
          <w:i/>
          <w:sz w:val="20"/>
        </w:rPr>
        <w:t>Journal</w:t>
      </w:r>
      <w:r>
        <w:rPr>
          <w:rFonts w:ascii="Calibri Light" w:hAnsi="Calibri Light"/>
          <w:sz w:val="20"/>
        </w:rPr>
        <w:t>,</w:t>
      </w:r>
      <w:r>
        <w:rPr>
          <w:rFonts w:ascii="Calibri Light" w:hAnsi="Calibri Light"/>
          <w:spacing w:val="-4"/>
          <w:sz w:val="20"/>
        </w:rPr>
        <w:t xml:space="preserve"> </w:t>
      </w:r>
      <w:r>
        <w:rPr>
          <w:rFonts w:ascii="Calibri Light" w:hAnsi="Calibri Light"/>
          <w:i/>
          <w:sz w:val="20"/>
        </w:rPr>
        <w:t>26</w:t>
      </w:r>
      <w:r>
        <w:rPr>
          <w:rFonts w:ascii="Calibri Light" w:hAnsi="Calibri Light"/>
          <w:sz w:val="20"/>
        </w:rPr>
        <w:t>(1),</w:t>
      </w:r>
      <w:r>
        <w:rPr>
          <w:rFonts w:ascii="Calibri Light" w:hAnsi="Calibri Light"/>
          <w:spacing w:val="-4"/>
          <w:sz w:val="20"/>
        </w:rPr>
        <w:t xml:space="preserve"> </w:t>
      </w:r>
      <w:r>
        <w:rPr>
          <w:rFonts w:ascii="Calibri Light" w:hAnsi="Calibri Light"/>
          <w:sz w:val="20"/>
        </w:rPr>
        <w:t xml:space="preserve">99–104. </w:t>
      </w:r>
      <w:r>
        <w:rPr>
          <w:rFonts w:ascii="Calibri Light" w:hAnsi="Calibri Light"/>
          <w:spacing w:val="-2"/>
          <w:sz w:val="20"/>
        </w:rPr>
        <w:t>doi:10.1177/1066480717753013</w:t>
      </w:r>
    </w:p>
    <w:p w14:paraId="14534BD9" w14:textId="77777777" w:rsidR="00DB6E1F" w:rsidRDefault="00F666A6">
      <w:pPr>
        <w:spacing w:before="1"/>
        <w:ind w:left="1439"/>
        <w:rPr>
          <w:rFonts w:ascii="Calibri Light" w:hAnsi="Calibri Light"/>
          <w:sz w:val="20"/>
        </w:rPr>
      </w:pPr>
      <w:r>
        <w:rPr>
          <w:rFonts w:ascii="Calibri Light" w:hAnsi="Calibri Light"/>
          <w:sz w:val="20"/>
        </w:rPr>
        <w:t>Bernstein,</w:t>
      </w:r>
      <w:r>
        <w:rPr>
          <w:rFonts w:ascii="Calibri Light" w:hAnsi="Calibri Light"/>
          <w:spacing w:val="-8"/>
          <w:sz w:val="20"/>
        </w:rPr>
        <w:t xml:space="preserve"> </w:t>
      </w:r>
      <w:r>
        <w:rPr>
          <w:rFonts w:ascii="Calibri Light" w:hAnsi="Calibri Light"/>
          <w:sz w:val="20"/>
        </w:rPr>
        <w:t>S.</w:t>
      </w:r>
      <w:r>
        <w:rPr>
          <w:rFonts w:ascii="Calibri Light" w:hAnsi="Calibri Light"/>
          <w:spacing w:val="-7"/>
          <w:sz w:val="20"/>
        </w:rPr>
        <w:t xml:space="preserve"> </w:t>
      </w:r>
      <w:r>
        <w:rPr>
          <w:rFonts w:ascii="Calibri Light" w:hAnsi="Calibri Light"/>
          <w:sz w:val="20"/>
        </w:rPr>
        <w:t>L.,</w:t>
      </w:r>
      <w:r>
        <w:rPr>
          <w:rFonts w:ascii="Calibri Light" w:hAnsi="Calibri Light"/>
          <w:spacing w:val="-7"/>
          <w:sz w:val="20"/>
        </w:rPr>
        <w:t xml:space="preserve"> </w:t>
      </w:r>
      <w:r>
        <w:rPr>
          <w:rFonts w:ascii="Calibri Light" w:hAnsi="Calibri Light"/>
          <w:sz w:val="20"/>
        </w:rPr>
        <w:t>&amp;</w:t>
      </w:r>
      <w:r>
        <w:rPr>
          <w:rFonts w:ascii="Calibri Light" w:hAnsi="Calibri Light"/>
          <w:spacing w:val="-5"/>
          <w:sz w:val="20"/>
        </w:rPr>
        <w:t xml:space="preserve"> </w:t>
      </w:r>
      <w:r>
        <w:rPr>
          <w:rFonts w:ascii="Calibri Light" w:hAnsi="Calibri Light"/>
          <w:sz w:val="20"/>
        </w:rPr>
        <w:t>D’Onofrio,</w:t>
      </w:r>
      <w:r>
        <w:rPr>
          <w:rFonts w:ascii="Calibri Light" w:hAnsi="Calibri Light"/>
          <w:spacing w:val="-5"/>
          <w:sz w:val="20"/>
        </w:rPr>
        <w:t xml:space="preserve"> </w:t>
      </w:r>
      <w:r>
        <w:rPr>
          <w:rFonts w:ascii="Calibri Light" w:hAnsi="Calibri Light"/>
          <w:sz w:val="20"/>
        </w:rPr>
        <w:t>G.</w:t>
      </w:r>
      <w:r>
        <w:rPr>
          <w:rFonts w:ascii="Calibri Light" w:hAnsi="Calibri Light"/>
          <w:spacing w:val="-7"/>
          <w:sz w:val="20"/>
        </w:rPr>
        <w:t xml:space="preserve"> </w:t>
      </w:r>
      <w:r>
        <w:rPr>
          <w:rFonts w:ascii="Calibri Light" w:hAnsi="Calibri Light"/>
          <w:sz w:val="20"/>
        </w:rPr>
        <w:t>(2017).</w:t>
      </w:r>
      <w:r>
        <w:rPr>
          <w:rFonts w:ascii="Calibri Light" w:hAnsi="Calibri Light"/>
          <w:spacing w:val="-7"/>
          <w:sz w:val="20"/>
        </w:rPr>
        <w:t xml:space="preserve"> </w:t>
      </w:r>
      <w:r>
        <w:rPr>
          <w:rFonts w:ascii="Calibri Light" w:hAnsi="Calibri Light"/>
          <w:sz w:val="20"/>
        </w:rPr>
        <w:t>Screening,</w:t>
      </w:r>
      <w:r>
        <w:rPr>
          <w:rFonts w:ascii="Calibri Light" w:hAnsi="Calibri Light"/>
          <w:spacing w:val="-7"/>
          <w:sz w:val="20"/>
        </w:rPr>
        <w:t xml:space="preserve"> </w:t>
      </w:r>
      <w:r>
        <w:rPr>
          <w:rFonts w:ascii="Calibri Light" w:hAnsi="Calibri Light"/>
          <w:sz w:val="20"/>
        </w:rPr>
        <w:t>treatment</w:t>
      </w:r>
      <w:r>
        <w:rPr>
          <w:rFonts w:ascii="Calibri Light" w:hAnsi="Calibri Light"/>
          <w:spacing w:val="-8"/>
          <w:sz w:val="20"/>
        </w:rPr>
        <w:t xml:space="preserve"> </w:t>
      </w:r>
      <w:r>
        <w:rPr>
          <w:rFonts w:ascii="Calibri Light" w:hAnsi="Calibri Light"/>
          <w:sz w:val="20"/>
        </w:rPr>
        <w:t>initiation,</w:t>
      </w:r>
      <w:r>
        <w:rPr>
          <w:rFonts w:ascii="Calibri Light" w:hAnsi="Calibri Light"/>
          <w:spacing w:val="-7"/>
          <w:sz w:val="20"/>
        </w:rPr>
        <w:t xml:space="preserve"> </w:t>
      </w:r>
      <w:r>
        <w:rPr>
          <w:rFonts w:ascii="Calibri Light" w:hAnsi="Calibri Light"/>
          <w:sz w:val="20"/>
        </w:rPr>
        <w:t>and</w:t>
      </w:r>
      <w:r>
        <w:rPr>
          <w:rFonts w:ascii="Calibri Light" w:hAnsi="Calibri Light"/>
          <w:spacing w:val="-6"/>
          <w:sz w:val="20"/>
        </w:rPr>
        <w:t xml:space="preserve"> </w:t>
      </w:r>
      <w:r>
        <w:rPr>
          <w:rFonts w:ascii="Calibri Light" w:hAnsi="Calibri Light"/>
          <w:sz w:val="20"/>
        </w:rPr>
        <w:t>referral</w:t>
      </w:r>
      <w:r>
        <w:rPr>
          <w:rFonts w:ascii="Calibri Light" w:hAnsi="Calibri Light"/>
          <w:spacing w:val="-7"/>
          <w:sz w:val="20"/>
        </w:rPr>
        <w:t xml:space="preserve"> </w:t>
      </w:r>
      <w:r>
        <w:rPr>
          <w:rFonts w:ascii="Calibri Light" w:hAnsi="Calibri Light"/>
          <w:sz w:val="20"/>
        </w:rPr>
        <w:t>for</w:t>
      </w:r>
      <w:r>
        <w:rPr>
          <w:rFonts w:ascii="Calibri Light" w:hAnsi="Calibri Light"/>
          <w:spacing w:val="-6"/>
          <w:sz w:val="20"/>
        </w:rPr>
        <w:t xml:space="preserve"> </w:t>
      </w:r>
      <w:r>
        <w:rPr>
          <w:rFonts w:ascii="Calibri Light" w:hAnsi="Calibri Light"/>
          <w:sz w:val="20"/>
        </w:rPr>
        <w:t>substance</w:t>
      </w:r>
      <w:r>
        <w:rPr>
          <w:rFonts w:ascii="Calibri Light" w:hAnsi="Calibri Light"/>
          <w:spacing w:val="-4"/>
          <w:sz w:val="20"/>
        </w:rPr>
        <w:t xml:space="preserve"> </w:t>
      </w:r>
      <w:r>
        <w:rPr>
          <w:rFonts w:ascii="Calibri Light" w:hAnsi="Calibri Light"/>
          <w:sz w:val="20"/>
        </w:rPr>
        <w:t>use</w:t>
      </w:r>
      <w:r>
        <w:rPr>
          <w:rFonts w:ascii="Calibri Light" w:hAnsi="Calibri Light"/>
          <w:spacing w:val="-7"/>
          <w:sz w:val="20"/>
        </w:rPr>
        <w:t xml:space="preserve"> </w:t>
      </w:r>
      <w:r>
        <w:rPr>
          <w:rFonts w:ascii="Calibri Light" w:hAnsi="Calibri Light"/>
          <w:spacing w:val="-2"/>
          <w:sz w:val="20"/>
        </w:rPr>
        <w:t>disorders.</w:t>
      </w:r>
    </w:p>
    <w:p w14:paraId="5A917369" w14:textId="77777777" w:rsidR="00DB6E1F" w:rsidRDefault="00F666A6">
      <w:pPr>
        <w:spacing w:before="20"/>
        <w:ind w:left="1619"/>
        <w:rPr>
          <w:rFonts w:ascii="Calibri Light"/>
          <w:sz w:val="20"/>
        </w:rPr>
      </w:pPr>
      <w:r>
        <w:rPr>
          <w:rFonts w:ascii="Calibri Light"/>
          <w:i/>
          <w:spacing w:val="-2"/>
          <w:sz w:val="20"/>
        </w:rPr>
        <w:t>Addiction</w:t>
      </w:r>
      <w:r>
        <w:rPr>
          <w:rFonts w:ascii="Calibri Light"/>
          <w:i/>
          <w:spacing w:val="10"/>
          <w:sz w:val="20"/>
        </w:rPr>
        <w:t xml:space="preserve"> </w:t>
      </w:r>
      <w:r>
        <w:rPr>
          <w:rFonts w:ascii="Calibri Light"/>
          <w:i/>
          <w:spacing w:val="-2"/>
          <w:sz w:val="20"/>
        </w:rPr>
        <w:t>Science</w:t>
      </w:r>
      <w:r>
        <w:rPr>
          <w:rFonts w:ascii="Calibri Light"/>
          <w:i/>
          <w:spacing w:val="10"/>
          <w:sz w:val="20"/>
        </w:rPr>
        <w:t xml:space="preserve"> </w:t>
      </w:r>
      <w:r>
        <w:rPr>
          <w:rFonts w:ascii="Calibri Light"/>
          <w:i/>
          <w:spacing w:val="-2"/>
          <w:sz w:val="20"/>
        </w:rPr>
        <w:t>and</w:t>
      </w:r>
      <w:r>
        <w:rPr>
          <w:rFonts w:ascii="Calibri Light"/>
          <w:i/>
          <w:spacing w:val="11"/>
          <w:sz w:val="20"/>
        </w:rPr>
        <w:t xml:space="preserve"> </w:t>
      </w:r>
      <w:r>
        <w:rPr>
          <w:rFonts w:ascii="Calibri Light"/>
          <w:i/>
          <w:spacing w:val="-2"/>
          <w:sz w:val="20"/>
        </w:rPr>
        <w:t>Clinical</w:t>
      </w:r>
      <w:r>
        <w:rPr>
          <w:rFonts w:ascii="Calibri Light"/>
          <w:i/>
          <w:spacing w:val="9"/>
          <w:sz w:val="20"/>
        </w:rPr>
        <w:t xml:space="preserve"> </w:t>
      </w:r>
      <w:r>
        <w:rPr>
          <w:rFonts w:ascii="Calibri Light"/>
          <w:i/>
          <w:spacing w:val="-2"/>
          <w:sz w:val="20"/>
        </w:rPr>
        <w:t>Practice,</w:t>
      </w:r>
      <w:r>
        <w:rPr>
          <w:rFonts w:ascii="Calibri Light"/>
          <w:i/>
          <w:spacing w:val="9"/>
          <w:sz w:val="20"/>
        </w:rPr>
        <w:t xml:space="preserve"> </w:t>
      </w:r>
      <w:r>
        <w:rPr>
          <w:rFonts w:ascii="Calibri Light"/>
          <w:i/>
          <w:spacing w:val="-2"/>
          <w:sz w:val="20"/>
        </w:rPr>
        <w:t>12</w:t>
      </w:r>
      <w:r>
        <w:rPr>
          <w:rFonts w:ascii="Calibri Light"/>
          <w:spacing w:val="-2"/>
          <w:sz w:val="20"/>
        </w:rPr>
        <w:t>(1).</w:t>
      </w:r>
      <w:r>
        <w:rPr>
          <w:rFonts w:ascii="Calibri Light"/>
          <w:spacing w:val="10"/>
          <w:sz w:val="20"/>
        </w:rPr>
        <w:t xml:space="preserve"> </w:t>
      </w:r>
      <w:r>
        <w:rPr>
          <w:rFonts w:ascii="Calibri Light"/>
          <w:spacing w:val="-2"/>
          <w:sz w:val="20"/>
        </w:rPr>
        <w:t>doi:10.1186/s13722-017-0083-</w:t>
      </w:r>
      <w:r>
        <w:rPr>
          <w:rFonts w:ascii="Calibri Light"/>
          <w:spacing w:val="-10"/>
          <w:sz w:val="20"/>
        </w:rPr>
        <w:t>z</w:t>
      </w:r>
    </w:p>
    <w:p w14:paraId="19056A19" w14:textId="77777777" w:rsidR="00DB6E1F" w:rsidRDefault="00F666A6">
      <w:pPr>
        <w:spacing w:before="22" w:line="259" w:lineRule="auto"/>
        <w:ind w:left="1444" w:right="1652"/>
        <w:jc w:val="center"/>
        <w:rPr>
          <w:rFonts w:ascii="Calibri Light" w:hAnsi="Calibri Light"/>
          <w:i/>
          <w:sz w:val="20"/>
        </w:rPr>
      </w:pPr>
      <w:r>
        <w:rPr>
          <w:rFonts w:ascii="Calibri Light" w:hAnsi="Calibri Light"/>
          <w:sz w:val="20"/>
        </w:rPr>
        <w:t>Bertholet,</w:t>
      </w:r>
      <w:r>
        <w:rPr>
          <w:rFonts w:ascii="Calibri Light" w:hAnsi="Calibri Light"/>
          <w:spacing w:val="-4"/>
          <w:sz w:val="20"/>
        </w:rPr>
        <w:t xml:space="preserve"> </w:t>
      </w:r>
      <w:r>
        <w:rPr>
          <w:rFonts w:ascii="Calibri Light" w:hAnsi="Calibri Light"/>
          <w:sz w:val="20"/>
        </w:rPr>
        <w:t>N.,</w:t>
      </w:r>
      <w:r>
        <w:rPr>
          <w:rFonts w:ascii="Calibri Light" w:hAnsi="Calibri Light"/>
          <w:spacing w:val="-4"/>
          <w:sz w:val="20"/>
        </w:rPr>
        <w:t xml:space="preserve"> </w:t>
      </w:r>
      <w:r>
        <w:rPr>
          <w:rFonts w:ascii="Calibri Light" w:hAnsi="Calibri Light"/>
          <w:sz w:val="20"/>
        </w:rPr>
        <w:t>Palfai,</w:t>
      </w:r>
      <w:r>
        <w:rPr>
          <w:rFonts w:ascii="Calibri Light" w:hAnsi="Calibri Light"/>
          <w:spacing w:val="-4"/>
          <w:sz w:val="20"/>
        </w:rPr>
        <w:t xml:space="preserve"> </w:t>
      </w:r>
      <w:r>
        <w:rPr>
          <w:rFonts w:ascii="Calibri Light" w:hAnsi="Calibri Light"/>
          <w:sz w:val="20"/>
        </w:rPr>
        <w:t>T.,</w:t>
      </w:r>
      <w:r>
        <w:rPr>
          <w:rFonts w:ascii="Calibri Light" w:hAnsi="Calibri Light"/>
          <w:spacing w:val="-1"/>
          <w:sz w:val="20"/>
        </w:rPr>
        <w:t xml:space="preserve"> </w:t>
      </w:r>
      <w:r>
        <w:rPr>
          <w:rFonts w:ascii="Calibri Light" w:hAnsi="Calibri Light"/>
          <w:sz w:val="20"/>
        </w:rPr>
        <w:t>Gaume,</w:t>
      </w:r>
      <w:r>
        <w:rPr>
          <w:rFonts w:ascii="Calibri Light" w:hAnsi="Calibri Light"/>
          <w:spacing w:val="-4"/>
          <w:sz w:val="20"/>
        </w:rPr>
        <w:t xml:space="preserve"> </w:t>
      </w:r>
      <w:r>
        <w:rPr>
          <w:rFonts w:ascii="Calibri Light" w:hAnsi="Calibri Light"/>
          <w:sz w:val="20"/>
        </w:rPr>
        <w:t>J.,</w:t>
      </w:r>
      <w:r>
        <w:rPr>
          <w:rFonts w:ascii="Calibri Light" w:hAnsi="Calibri Light"/>
          <w:spacing w:val="-1"/>
          <w:sz w:val="20"/>
        </w:rPr>
        <w:t xml:space="preserve"> </w:t>
      </w:r>
      <w:r>
        <w:rPr>
          <w:rFonts w:ascii="Calibri Light" w:hAnsi="Calibri Light"/>
          <w:sz w:val="20"/>
        </w:rPr>
        <w:t>Daeppen,</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Saitz,</w:t>
      </w:r>
      <w:r>
        <w:rPr>
          <w:rFonts w:ascii="Calibri Light" w:hAnsi="Calibri Light"/>
          <w:spacing w:val="-4"/>
          <w:sz w:val="20"/>
        </w:rPr>
        <w:t xml:space="preserve"> </w:t>
      </w:r>
      <w:r>
        <w:rPr>
          <w:rFonts w:ascii="Calibri Light" w:hAnsi="Calibri Light"/>
          <w:sz w:val="20"/>
        </w:rPr>
        <w:t>R.</w:t>
      </w:r>
      <w:r>
        <w:rPr>
          <w:rFonts w:ascii="Calibri Light" w:hAnsi="Calibri Light"/>
          <w:spacing w:val="-4"/>
          <w:sz w:val="20"/>
        </w:rPr>
        <w:t xml:space="preserve"> </w:t>
      </w:r>
      <w:r>
        <w:rPr>
          <w:rFonts w:ascii="Calibri Light" w:hAnsi="Calibri Light"/>
          <w:sz w:val="20"/>
        </w:rPr>
        <w:t>(2013).</w:t>
      </w:r>
      <w:r>
        <w:rPr>
          <w:rFonts w:ascii="Calibri Light" w:hAnsi="Calibri Light"/>
          <w:spacing w:val="-4"/>
          <w:sz w:val="20"/>
        </w:rPr>
        <w:t xml:space="preserve"> </w:t>
      </w:r>
      <w:r>
        <w:rPr>
          <w:rFonts w:ascii="Calibri Light" w:hAnsi="Calibri Light"/>
          <w:sz w:val="20"/>
        </w:rPr>
        <w:t>Do</w:t>
      </w:r>
      <w:r>
        <w:rPr>
          <w:rFonts w:ascii="Calibri Light" w:hAnsi="Calibri Light"/>
          <w:spacing w:val="-3"/>
          <w:sz w:val="20"/>
        </w:rPr>
        <w:t xml:space="preserve"> </w:t>
      </w:r>
      <w:r>
        <w:rPr>
          <w:rFonts w:ascii="Calibri Light" w:hAnsi="Calibri Light"/>
          <w:sz w:val="20"/>
        </w:rPr>
        <w:t>brief</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1"/>
          <w:sz w:val="20"/>
        </w:rPr>
        <w:t xml:space="preserve"> </w:t>
      </w:r>
      <w:r>
        <w:rPr>
          <w:rFonts w:ascii="Calibri Light" w:hAnsi="Calibri Light"/>
          <w:sz w:val="20"/>
        </w:rPr>
        <w:t>interventions</w:t>
      </w:r>
      <w:r>
        <w:rPr>
          <w:rFonts w:ascii="Calibri Light" w:hAnsi="Calibri Light"/>
          <w:spacing w:val="-3"/>
          <w:sz w:val="20"/>
        </w:rPr>
        <w:t xml:space="preserve"> </w:t>
      </w:r>
      <w:r>
        <w:rPr>
          <w:rFonts w:ascii="Calibri Light" w:hAnsi="Calibri Light"/>
          <w:sz w:val="20"/>
        </w:rPr>
        <w:t xml:space="preserve">work like we think they do? </w:t>
      </w:r>
      <w:r>
        <w:rPr>
          <w:rFonts w:ascii="Calibri Light" w:hAnsi="Calibri Light"/>
          <w:i/>
          <w:sz w:val="20"/>
        </w:rPr>
        <w:t>Alcoholism: Clinical and Experimental Research</w:t>
      </w:r>
      <w:r>
        <w:rPr>
          <w:rFonts w:ascii="Calibri Light" w:hAnsi="Calibri Light"/>
          <w:sz w:val="20"/>
        </w:rPr>
        <w:t xml:space="preserve">, </w:t>
      </w:r>
      <w:r>
        <w:rPr>
          <w:rFonts w:ascii="Calibri Light" w:hAnsi="Calibri Light"/>
          <w:i/>
          <w:sz w:val="20"/>
        </w:rPr>
        <w:t>38</w:t>
      </w:r>
      <w:r>
        <w:rPr>
          <w:rFonts w:ascii="Calibri Light" w:hAnsi="Calibri Light"/>
          <w:sz w:val="20"/>
        </w:rPr>
        <w:t xml:space="preserve">(3), 853–859. doi:10.1111/acer.12274 Beutler, L. E., Harwood, T. M., Michelson, A., Song, A., &amp; Holman, J. (2011). Resistance/reactance level. </w:t>
      </w:r>
      <w:r>
        <w:rPr>
          <w:rFonts w:ascii="Calibri Light" w:hAnsi="Calibri Light"/>
          <w:i/>
          <w:sz w:val="20"/>
        </w:rPr>
        <w:t>Journal of</w:t>
      </w:r>
    </w:p>
    <w:p w14:paraId="7FC40A95" w14:textId="77777777" w:rsidR="00DB6E1F" w:rsidRDefault="00F666A6">
      <w:pPr>
        <w:spacing w:line="243" w:lineRule="exact"/>
        <w:ind w:left="1444" w:right="7574"/>
        <w:jc w:val="center"/>
        <w:rPr>
          <w:rFonts w:ascii="Calibri Light" w:hAnsi="Calibri Light"/>
          <w:sz w:val="20"/>
        </w:rPr>
      </w:pPr>
      <w:r>
        <w:rPr>
          <w:rFonts w:ascii="Calibri Light" w:hAnsi="Calibri Light"/>
          <w:i/>
          <w:sz w:val="20"/>
        </w:rPr>
        <w:t>Clinical</w:t>
      </w:r>
      <w:r>
        <w:rPr>
          <w:rFonts w:ascii="Calibri Light" w:hAnsi="Calibri Light"/>
          <w:i/>
          <w:spacing w:val="-9"/>
          <w:sz w:val="20"/>
        </w:rPr>
        <w:t xml:space="preserve"> </w:t>
      </w:r>
      <w:r>
        <w:rPr>
          <w:rFonts w:ascii="Calibri Light" w:hAnsi="Calibri Light"/>
          <w:i/>
          <w:sz w:val="20"/>
        </w:rPr>
        <w:t>Psychology</w:t>
      </w:r>
      <w:r>
        <w:rPr>
          <w:rFonts w:ascii="Calibri Light" w:hAnsi="Calibri Light"/>
          <w:sz w:val="20"/>
        </w:rPr>
        <w:t>,</w:t>
      </w:r>
      <w:r>
        <w:rPr>
          <w:rFonts w:ascii="Calibri Light" w:hAnsi="Calibri Light"/>
          <w:spacing w:val="-9"/>
          <w:sz w:val="20"/>
        </w:rPr>
        <w:t xml:space="preserve"> </w:t>
      </w:r>
      <w:r>
        <w:rPr>
          <w:rFonts w:ascii="Calibri Light" w:hAnsi="Calibri Light"/>
          <w:i/>
          <w:sz w:val="20"/>
        </w:rPr>
        <w:t>67</w:t>
      </w:r>
      <w:r>
        <w:rPr>
          <w:rFonts w:ascii="Calibri Light" w:hAnsi="Calibri Light"/>
          <w:sz w:val="20"/>
        </w:rPr>
        <w:t>(2),</w:t>
      </w:r>
      <w:r>
        <w:rPr>
          <w:rFonts w:ascii="Calibri Light" w:hAnsi="Calibri Light"/>
          <w:spacing w:val="-8"/>
          <w:sz w:val="20"/>
        </w:rPr>
        <w:t xml:space="preserve"> </w:t>
      </w:r>
      <w:r>
        <w:rPr>
          <w:rFonts w:ascii="Calibri Light" w:hAnsi="Calibri Light"/>
          <w:spacing w:val="-2"/>
          <w:sz w:val="20"/>
        </w:rPr>
        <w:t>133–142.</w:t>
      </w:r>
    </w:p>
    <w:p w14:paraId="1ED6FD9A" w14:textId="77777777" w:rsidR="00DB6E1F" w:rsidRDefault="00F666A6">
      <w:pPr>
        <w:spacing w:before="20" w:line="259" w:lineRule="auto"/>
        <w:ind w:left="1620" w:right="1491" w:hanging="181"/>
        <w:rPr>
          <w:rFonts w:ascii="Calibri Light" w:hAnsi="Calibri Light"/>
          <w:sz w:val="20"/>
        </w:rPr>
      </w:pPr>
      <w:r>
        <w:rPr>
          <w:rFonts w:ascii="Calibri Light" w:hAnsi="Calibri Light"/>
          <w:sz w:val="20"/>
        </w:rPr>
        <w:t>Black,</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Chung,</w:t>
      </w:r>
      <w:r>
        <w:rPr>
          <w:rFonts w:ascii="Calibri Light" w:hAnsi="Calibri Light"/>
          <w:spacing w:val="-4"/>
          <w:sz w:val="20"/>
        </w:rPr>
        <w:t xml:space="preserve"> </w:t>
      </w:r>
      <w:r>
        <w:rPr>
          <w:rFonts w:ascii="Calibri Light" w:hAnsi="Calibri Light"/>
          <w:sz w:val="20"/>
        </w:rPr>
        <w:t>T.</w:t>
      </w:r>
      <w:r>
        <w:rPr>
          <w:rFonts w:ascii="Calibri Light" w:hAnsi="Calibri Light"/>
          <w:spacing w:val="-4"/>
          <w:sz w:val="20"/>
        </w:rPr>
        <w:t xml:space="preserve"> </w:t>
      </w:r>
      <w:r>
        <w:rPr>
          <w:rFonts w:ascii="Calibri Light" w:hAnsi="Calibri Light"/>
          <w:sz w:val="20"/>
        </w:rPr>
        <w:t>(2014).</w:t>
      </w:r>
      <w:r>
        <w:rPr>
          <w:rFonts w:ascii="Calibri Light" w:hAnsi="Calibri Light"/>
          <w:spacing w:val="-1"/>
          <w:sz w:val="20"/>
        </w:rPr>
        <w:t xml:space="preserve"> </w:t>
      </w:r>
      <w:r>
        <w:rPr>
          <w:rFonts w:ascii="Calibri Light" w:hAnsi="Calibri Light"/>
          <w:sz w:val="20"/>
        </w:rPr>
        <w:t>Mechanisms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change</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adolesc</w:t>
      </w:r>
      <w:r>
        <w:rPr>
          <w:rFonts w:ascii="Calibri Light" w:hAnsi="Calibri Light"/>
          <w:sz w:val="20"/>
        </w:rPr>
        <w:t>ent</w:t>
      </w:r>
      <w:r>
        <w:rPr>
          <w:rFonts w:ascii="Calibri Light" w:hAnsi="Calibri Light"/>
          <w:spacing w:val="-4"/>
          <w:sz w:val="20"/>
        </w:rPr>
        <w:t xml:space="preserve"> </w:t>
      </w:r>
      <w:r>
        <w:rPr>
          <w:rFonts w:ascii="Calibri Light" w:hAnsi="Calibri Light"/>
          <w:sz w:val="20"/>
        </w:rPr>
        <w:t>substance</w:t>
      </w:r>
      <w:r>
        <w:rPr>
          <w:rFonts w:ascii="Calibri Light" w:hAnsi="Calibri Light"/>
          <w:spacing w:val="-3"/>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treatment:</w:t>
      </w:r>
      <w:r>
        <w:rPr>
          <w:rFonts w:ascii="Calibri Light" w:hAnsi="Calibri Light"/>
          <w:spacing w:val="-2"/>
          <w:sz w:val="20"/>
        </w:rPr>
        <w:t xml:space="preserve"> </w:t>
      </w:r>
      <w:r>
        <w:rPr>
          <w:rFonts w:ascii="Calibri Light" w:hAnsi="Calibri Light"/>
          <w:sz w:val="20"/>
        </w:rPr>
        <w:t>How</w:t>
      </w:r>
      <w:r>
        <w:rPr>
          <w:rFonts w:ascii="Calibri Light" w:hAnsi="Calibri Light"/>
          <w:spacing w:val="-3"/>
          <w:sz w:val="20"/>
        </w:rPr>
        <w:t xml:space="preserve"> </w:t>
      </w:r>
      <w:r>
        <w:rPr>
          <w:rFonts w:ascii="Calibri Light" w:hAnsi="Calibri Light"/>
          <w:sz w:val="20"/>
        </w:rPr>
        <w:t>does</w:t>
      </w:r>
      <w:r>
        <w:rPr>
          <w:rFonts w:ascii="Calibri Light" w:hAnsi="Calibri Light"/>
          <w:spacing w:val="-3"/>
          <w:sz w:val="20"/>
        </w:rPr>
        <w:t xml:space="preserve"> </w:t>
      </w:r>
      <w:r>
        <w:rPr>
          <w:rFonts w:ascii="Calibri Light" w:hAnsi="Calibri Light"/>
          <w:sz w:val="20"/>
        </w:rPr>
        <w:t xml:space="preserve">treatment work? </w:t>
      </w:r>
      <w:r>
        <w:rPr>
          <w:rFonts w:ascii="Calibri Light" w:hAnsi="Calibri Light"/>
          <w:i/>
          <w:sz w:val="20"/>
        </w:rPr>
        <w:t>Substance Abuse</w:t>
      </w:r>
      <w:r>
        <w:rPr>
          <w:rFonts w:ascii="Calibri Light" w:hAnsi="Calibri Light"/>
          <w:sz w:val="20"/>
        </w:rPr>
        <w:t xml:space="preserve">, </w:t>
      </w:r>
      <w:r>
        <w:rPr>
          <w:rFonts w:ascii="Calibri Light" w:hAnsi="Calibri Light"/>
          <w:i/>
          <w:sz w:val="20"/>
        </w:rPr>
        <w:t>35</w:t>
      </w:r>
      <w:r>
        <w:rPr>
          <w:rFonts w:ascii="Calibri Light" w:hAnsi="Calibri Light"/>
          <w:sz w:val="20"/>
        </w:rPr>
        <w:t>(4), 344–351.</w:t>
      </w:r>
    </w:p>
    <w:p w14:paraId="38CBC002" w14:textId="77777777" w:rsidR="00DB6E1F" w:rsidRDefault="00F666A6">
      <w:pPr>
        <w:spacing w:line="259" w:lineRule="auto"/>
        <w:ind w:left="1620" w:right="1491" w:hanging="181"/>
        <w:rPr>
          <w:rFonts w:ascii="Calibri Light" w:hAnsi="Calibri Light"/>
          <w:sz w:val="20"/>
        </w:rPr>
      </w:pPr>
      <w:r>
        <w:rPr>
          <w:rFonts w:ascii="Calibri Light" w:hAnsi="Calibri Light"/>
          <w:sz w:val="20"/>
        </w:rPr>
        <w:t>Blow,</w:t>
      </w:r>
      <w:r>
        <w:rPr>
          <w:rFonts w:ascii="Calibri Light" w:hAnsi="Calibri Light"/>
          <w:spacing w:val="-3"/>
          <w:sz w:val="20"/>
        </w:rPr>
        <w:t xml:space="preserve"> </w:t>
      </w:r>
      <w:r>
        <w:rPr>
          <w:rFonts w:ascii="Calibri Light" w:hAnsi="Calibri Light"/>
          <w:sz w:val="20"/>
        </w:rPr>
        <w:t>F.</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Walton,</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A., Bohnert,</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Ignacio,</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V., Chermack,</w:t>
      </w:r>
      <w:r>
        <w:rPr>
          <w:rFonts w:ascii="Calibri Light" w:hAnsi="Calibri Light"/>
          <w:spacing w:val="-3"/>
          <w:sz w:val="20"/>
        </w:rPr>
        <w:t xml:space="preserve"> </w:t>
      </w:r>
      <w:r>
        <w:rPr>
          <w:rFonts w:ascii="Calibri Light" w:hAnsi="Calibri Light"/>
          <w:sz w:val="20"/>
        </w:rPr>
        <w:t>S., Cunningham,</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w:t>
      </w:r>
      <w:r>
        <w:rPr>
          <w:rFonts w:ascii="Calibri Light" w:hAnsi="Calibri Light"/>
          <w:spacing w:val="-3"/>
          <w:sz w:val="20"/>
        </w:rPr>
        <w:t xml:space="preserve"> </w:t>
      </w:r>
      <w:r>
        <w:rPr>
          <w:rFonts w:ascii="Calibri Light" w:hAnsi="Calibri Light"/>
          <w:sz w:val="20"/>
        </w:rPr>
        <w:t>Barry,</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 xml:space="preserve">A randomized controlled trial of brief interventions to reduce drug use among adults in a low-income urban emergency department: The HealthiER You study. </w:t>
      </w:r>
      <w:r>
        <w:rPr>
          <w:rFonts w:ascii="Calibri Light" w:hAnsi="Calibri Light"/>
          <w:i/>
          <w:sz w:val="20"/>
        </w:rPr>
        <w:t>Addiction, 112</w:t>
      </w:r>
      <w:r>
        <w:rPr>
          <w:rFonts w:ascii="Calibri Light" w:hAnsi="Calibri Light"/>
          <w:sz w:val="20"/>
        </w:rPr>
        <w:t>(8), 1395–1405. doi:10.1111/add.13773</w:t>
      </w:r>
    </w:p>
    <w:p w14:paraId="7B91D601" w14:textId="77777777" w:rsidR="00DB6E1F" w:rsidRDefault="00F666A6">
      <w:pPr>
        <w:spacing w:line="259" w:lineRule="auto"/>
        <w:ind w:left="1620" w:right="1491" w:hanging="181"/>
        <w:rPr>
          <w:rFonts w:ascii="Calibri Light" w:hAnsi="Calibri Light"/>
          <w:sz w:val="20"/>
        </w:rPr>
      </w:pPr>
      <w:r>
        <w:rPr>
          <w:rFonts w:ascii="Calibri Light" w:hAnsi="Calibri Light"/>
          <w:sz w:val="20"/>
        </w:rPr>
        <w:t>Bohnert, A. S. B., Bonar, E. E., Cunningham, R., G</w:t>
      </w:r>
      <w:r>
        <w:rPr>
          <w:rFonts w:ascii="Calibri Light" w:hAnsi="Calibri Light"/>
          <w:sz w:val="20"/>
        </w:rPr>
        <w:t>reenwald, M. K., Thomas, L., Chermack, S., … Walton, M. (2016). A pilot</w:t>
      </w:r>
      <w:r>
        <w:rPr>
          <w:rFonts w:ascii="Calibri Light" w:hAnsi="Calibri Light"/>
          <w:spacing w:val="-4"/>
          <w:sz w:val="20"/>
        </w:rPr>
        <w:t xml:space="preserve"> </w:t>
      </w:r>
      <w:r>
        <w:rPr>
          <w:rFonts w:ascii="Calibri Light" w:hAnsi="Calibri Light"/>
          <w:sz w:val="20"/>
        </w:rPr>
        <w:t>randomized</w:t>
      </w:r>
      <w:r>
        <w:rPr>
          <w:rFonts w:ascii="Calibri Light" w:hAnsi="Calibri Light"/>
          <w:spacing w:val="-2"/>
          <w:sz w:val="20"/>
        </w:rPr>
        <w:t xml:space="preserve"> </w:t>
      </w:r>
      <w:r>
        <w:rPr>
          <w:rFonts w:ascii="Calibri Light" w:hAnsi="Calibri Light"/>
          <w:sz w:val="20"/>
        </w:rPr>
        <w:t>clinical</w:t>
      </w:r>
      <w:r>
        <w:rPr>
          <w:rFonts w:ascii="Calibri Light" w:hAnsi="Calibri Light"/>
          <w:spacing w:val="-4"/>
          <w:sz w:val="20"/>
        </w:rPr>
        <w:t xml:space="preserve"> </w:t>
      </w:r>
      <w:r>
        <w:rPr>
          <w:rFonts w:ascii="Calibri Light" w:hAnsi="Calibri Light"/>
          <w:sz w:val="20"/>
        </w:rPr>
        <w:t>trial</w:t>
      </w:r>
      <w:r>
        <w:rPr>
          <w:rFonts w:ascii="Calibri Light" w:hAnsi="Calibri Light"/>
          <w:spacing w:val="-2"/>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an</w:t>
      </w:r>
      <w:r>
        <w:rPr>
          <w:rFonts w:ascii="Calibri Light" w:hAnsi="Calibri Light"/>
          <w:spacing w:val="-4"/>
          <w:sz w:val="20"/>
        </w:rPr>
        <w:t xml:space="preserve"> </w:t>
      </w:r>
      <w:r>
        <w:rPr>
          <w:rFonts w:ascii="Calibri Light" w:hAnsi="Calibri Light"/>
          <w:sz w:val="20"/>
        </w:rPr>
        <w:t>intervention</w:t>
      </w:r>
      <w:r>
        <w:rPr>
          <w:rFonts w:ascii="Calibri Light" w:hAnsi="Calibri Light"/>
          <w:spacing w:val="-4"/>
          <w:sz w:val="20"/>
        </w:rPr>
        <w:t xml:space="preserve"> </w:t>
      </w:r>
      <w:r>
        <w:rPr>
          <w:rFonts w:ascii="Calibri Light" w:hAnsi="Calibri Light"/>
          <w:sz w:val="20"/>
        </w:rPr>
        <w:t>to</w:t>
      </w:r>
      <w:r>
        <w:rPr>
          <w:rFonts w:ascii="Calibri Light" w:hAnsi="Calibri Light"/>
          <w:spacing w:val="-4"/>
          <w:sz w:val="20"/>
        </w:rPr>
        <w:t xml:space="preserve"> </w:t>
      </w:r>
      <w:r>
        <w:rPr>
          <w:rFonts w:ascii="Calibri Light" w:hAnsi="Calibri Light"/>
          <w:sz w:val="20"/>
        </w:rPr>
        <w:t>reduce</w:t>
      </w:r>
      <w:r>
        <w:rPr>
          <w:rFonts w:ascii="Calibri Light" w:hAnsi="Calibri Light"/>
          <w:spacing w:val="-4"/>
          <w:sz w:val="20"/>
        </w:rPr>
        <w:t xml:space="preserve"> </w:t>
      </w:r>
      <w:r>
        <w:rPr>
          <w:rFonts w:ascii="Calibri Light" w:hAnsi="Calibri Light"/>
          <w:sz w:val="20"/>
        </w:rPr>
        <w:t>overdose</w:t>
      </w:r>
      <w:r>
        <w:rPr>
          <w:rFonts w:ascii="Calibri Light" w:hAnsi="Calibri Light"/>
          <w:spacing w:val="-4"/>
          <w:sz w:val="20"/>
        </w:rPr>
        <w:t xml:space="preserve"> </w:t>
      </w:r>
      <w:r>
        <w:rPr>
          <w:rFonts w:ascii="Calibri Light" w:hAnsi="Calibri Light"/>
          <w:sz w:val="20"/>
        </w:rPr>
        <w:t>risk</w:t>
      </w:r>
      <w:r>
        <w:rPr>
          <w:rFonts w:ascii="Calibri Light" w:hAnsi="Calibri Light"/>
          <w:spacing w:val="-3"/>
          <w:sz w:val="20"/>
        </w:rPr>
        <w:t xml:space="preserve"> </w:t>
      </w:r>
      <w:r>
        <w:rPr>
          <w:rFonts w:ascii="Calibri Light" w:hAnsi="Calibri Light"/>
          <w:sz w:val="20"/>
        </w:rPr>
        <w:t>behaviors</w:t>
      </w:r>
      <w:r>
        <w:rPr>
          <w:rFonts w:ascii="Calibri Light" w:hAnsi="Calibri Light"/>
          <w:spacing w:val="-4"/>
          <w:sz w:val="20"/>
        </w:rPr>
        <w:t xml:space="preserve"> </w:t>
      </w:r>
      <w:r>
        <w:rPr>
          <w:rFonts w:ascii="Calibri Light" w:hAnsi="Calibri Light"/>
          <w:sz w:val="20"/>
        </w:rPr>
        <w:t>among</w:t>
      </w:r>
      <w:r>
        <w:rPr>
          <w:rFonts w:ascii="Calibri Light" w:hAnsi="Calibri Light"/>
          <w:spacing w:val="-1"/>
          <w:sz w:val="20"/>
        </w:rPr>
        <w:t xml:space="preserve"> </w:t>
      </w:r>
      <w:r>
        <w:rPr>
          <w:rFonts w:ascii="Calibri Light" w:hAnsi="Calibri Light"/>
          <w:sz w:val="20"/>
        </w:rPr>
        <w:t>emergency</w:t>
      </w:r>
      <w:r>
        <w:rPr>
          <w:rFonts w:ascii="Calibri Light" w:hAnsi="Calibri Light"/>
          <w:spacing w:val="-3"/>
          <w:sz w:val="20"/>
        </w:rPr>
        <w:t xml:space="preserve"> </w:t>
      </w:r>
      <w:r>
        <w:rPr>
          <w:rFonts w:ascii="Calibri Light" w:hAnsi="Calibri Light"/>
          <w:sz w:val="20"/>
        </w:rPr>
        <w:t xml:space="preserve">department patients at risk for prescription drug overdose. </w:t>
      </w:r>
      <w:r>
        <w:rPr>
          <w:rFonts w:ascii="Calibri Light" w:hAnsi="Calibri Light"/>
          <w:i/>
          <w:sz w:val="20"/>
        </w:rPr>
        <w:t>Drug and Alcohol Dependence, 163</w:t>
      </w:r>
      <w:r>
        <w:rPr>
          <w:rFonts w:ascii="Calibri Light" w:hAnsi="Calibri Light"/>
          <w:sz w:val="20"/>
        </w:rPr>
        <w:t>, 40–47.</w:t>
      </w:r>
    </w:p>
    <w:p w14:paraId="24CBD6EE" w14:textId="77777777" w:rsidR="00DB6E1F" w:rsidRDefault="00DB6E1F">
      <w:pPr>
        <w:spacing w:line="259" w:lineRule="auto"/>
        <w:rPr>
          <w:rFonts w:ascii="Calibri Light" w:hAnsi="Calibri Light"/>
          <w:sz w:val="20"/>
        </w:rPr>
        <w:sectPr w:rsidR="00DB6E1F">
          <w:pgSz w:w="12240" w:h="15840"/>
          <w:pgMar w:top="1080" w:right="0" w:bottom="780" w:left="0" w:header="619" w:footer="585" w:gutter="0"/>
          <w:cols w:space="720"/>
        </w:sectPr>
      </w:pPr>
    </w:p>
    <w:p w14:paraId="3B0137F6" w14:textId="77777777" w:rsidR="00DB6E1F" w:rsidRDefault="00DB6E1F">
      <w:pPr>
        <w:pStyle w:val="BodyText"/>
        <w:spacing w:before="4"/>
        <w:rPr>
          <w:rFonts w:ascii="Calibri Light"/>
          <w:sz w:val="24"/>
        </w:rPr>
      </w:pPr>
    </w:p>
    <w:p w14:paraId="38CCA77E" w14:textId="77777777" w:rsidR="00DB6E1F" w:rsidRDefault="00F666A6">
      <w:pPr>
        <w:spacing w:before="60" w:line="259" w:lineRule="auto"/>
        <w:ind w:left="1619" w:right="1491" w:hanging="180"/>
        <w:rPr>
          <w:rFonts w:ascii="Calibri Light" w:hAnsi="Calibri Light"/>
          <w:sz w:val="20"/>
        </w:rPr>
      </w:pPr>
      <w:r>
        <w:rPr>
          <w:rFonts w:ascii="Calibri Light" w:hAnsi="Calibri Light"/>
          <w:sz w:val="20"/>
        </w:rPr>
        <w:t>Borsari, B., Apodaca, T. R., Jackson, K. M., Fernandez, A., Mastroleo, N. R., Magill, M., … Carey, K. B. (2018). Trajectories</w:t>
      </w:r>
      <w:r>
        <w:rPr>
          <w:rFonts w:ascii="Calibri Light" w:hAnsi="Calibri Light"/>
          <w:spacing w:val="-2"/>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in-session</w:t>
      </w:r>
      <w:r>
        <w:rPr>
          <w:rFonts w:ascii="Calibri Light" w:hAnsi="Calibri Light"/>
          <w:spacing w:val="-4"/>
          <w:sz w:val="20"/>
        </w:rPr>
        <w:t xml:space="preserve"> </w:t>
      </w:r>
      <w:r>
        <w:rPr>
          <w:rFonts w:ascii="Calibri Light" w:hAnsi="Calibri Light"/>
          <w:sz w:val="20"/>
        </w:rPr>
        <w:t>change</w:t>
      </w:r>
      <w:r>
        <w:rPr>
          <w:rFonts w:ascii="Calibri Light" w:hAnsi="Calibri Light"/>
          <w:spacing w:val="-4"/>
          <w:sz w:val="20"/>
        </w:rPr>
        <w:t xml:space="preserve"> </w:t>
      </w:r>
      <w:r>
        <w:rPr>
          <w:rFonts w:ascii="Calibri Light" w:hAnsi="Calibri Light"/>
          <w:sz w:val="20"/>
        </w:rPr>
        <w:t>language</w:t>
      </w:r>
      <w:r>
        <w:rPr>
          <w:rFonts w:ascii="Calibri Light" w:hAnsi="Calibri Light"/>
          <w:spacing w:val="-4"/>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brief</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5"/>
          <w:sz w:val="20"/>
        </w:rPr>
        <w:t xml:space="preserve"> </w:t>
      </w:r>
      <w:r>
        <w:rPr>
          <w:rFonts w:ascii="Calibri Light" w:hAnsi="Calibri Light"/>
          <w:sz w:val="20"/>
        </w:rPr>
        <w:t>interventions</w:t>
      </w:r>
      <w:r>
        <w:rPr>
          <w:rFonts w:ascii="Calibri Light" w:hAnsi="Calibri Light"/>
          <w:spacing w:val="-4"/>
          <w:sz w:val="20"/>
        </w:rPr>
        <w:t xml:space="preserve"> </w:t>
      </w:r>
      <w:r>
        <w:rPr>
          <w:rFonts w:ascii="Calibri Light" w:hAnsi="Calibri Light"/>
          <w:sz w:val="20"/>
        </w:rPr>
        <w:t>with</w:t>
      </w:r>
      <w:r>
        <w:rPr>
          <w:rFonts w:ascii="Calibri Light" w:hAnsi="Calibri Light"/>
          <w:spacing w:val="-4"/>
          <w:sz w:val="20"/>
        </w:rPr>
        <w:t xml:space="preserve"> </w:t>
      </w:r>
      <w:r>
        <w:rPr>
          <w:rFonts w:ascii="Calibri Light" w:hAnsi="Calibri Light"/>
          <w:sz w:val="20"/>
        </w:rPr>
        <w:t>mandated</w:t>
      </w:r>
      <w:r>
        <w:rPr>
          <w:rFonts w:ascii="Calibri Light" w:hAnsi="Calibri Light"/>
          <w:spacing w:val="-5"/>
          <w:sz w:val="20"/>
        </w:rPr>
        <w:t xml:space="preserve"> </w:t>
      </w:r>
      <w:r>
        <w:rPr>
          <w:rFonts w:ascii="Calibri Light" w:hAnsi="Calibri Light"/>
          <w:sz w:val="20"/>
        </w:rPr>
        <w:t>college</w:t>
      </w:r>
      <w:r>
        <w:rPr>
          <w:rFonts w:ascii="Calibri Light" w:hAnsi="Calibri Light"/>
          <w:spacing w:val="-2"/>
          <w:sz w:val="20"/>
        </w:rPr>
        <w:t xml:space="preserve"> </w:t>
      </w:r>
      <w:r>
        <w:rPr>
          <w:rFonts w:ascii="Calibri Light" w:hAnsi="Calibri Light"/>
          <w:sz w:val="20"/>
        </w:rPr>
        <w:t xml:space="preserve">students. </w:t>
      </w:r>
      <w:r>
        <w:rPr>
          <w:rFonts w:ascii="Calibri Light" w:hAnsi="Calibri Light"/>
          <w:i/>
          <w:sz w:val="20"/>
        </w:rPr>
        <w:t>Journal of Consulting and Clinical Psychology, 86</w:t>
      </w:r>
      <w:r>
        <w:rPr>
          <w:rFonts w:ascii="Calibri Light" w:hAnsi="Calibri Light"/>
          <w:sz w:val="20"/>
        </w:rPr>
        <w:t>(2), 158–168. doi:10.1037/ccp0000255</w:t>
      </w:r>
    </w:p>
    <w:p w14:paraId="1E425F6C" w14:textId="77777777" w:rsidR="00DB6E1F" w:rsidRDefault="00F666A6">
      <w:pPr>
        <w:spacing w:line="259" w:lineRule="auto"/>
        <w:ind w:left="1620" w:right="1904" w:hanging="180"/>
        <w:rPr>
          <w:rFonts w:ascii="Calibri Light"/>
          <w:sz w:val="20"/>
        </w:rPr>
      </w:pPr>
      <w:r>
        <w:rPr>
          <w:rFonts w:ascii="Calibri Light"/>
          <w:sz w:val="20"/>
        </w:rPr>
        <w:t>Boston</w:t>
      </w:r>
      <w:r>
        <w:rPr>
          <w:rFonts w:ascii="Calibri Light"/>
          <w:spacing w:val="-2"/>
          <w:sz w:val="20"/>
        </w:rPr>
        <w:t xml:space="preserve"> </w:t>
      </w:r>
      <w:r>
        <w:rPr>
          <w:rFonts w:ascii="Calibri Light"/>
          <w:sz w:val="20"/>
        </w:rPr>
        <w:t>Center</w:t>
      </w:r>
      <w:r>
        <w:rPr>
          <w:rFonts w:ascii="Calibri Light"/>
          <w:spacing w:val="-3"/>
          <w:sz w:val="20"/>
        </w:rPr>
        <w:t xml:space="preserve"> </w:t>
      </w:r>
      <w:r>
        <w:rPr>
          <w:rFonts w:ascii="Calibri Light"/>
          <w:sz w:val="20"/>
        </w:rPr>
        <w:t>for</w:t>
      </w:r>
      <w:r>
        <w:rPr>
          <w:rFonts w:ascii="Calibri Light"/>
          <w:spacing w:val="-3"/>
          <w:sz w:val="20"/>
        </w:rPr>
        <w:t xml:space="preserve"> </w:t>
      </w:r>
      <w:r>
        <w:rPr>
          <w:rFonts w:ascii="Calibri Light"/>
          <w:sz w:val="20"/>
        </w:rPr>
        <w:t>Treatment</w:t>
      </w:r>
      <w:r>
        <w:rPr>
          <w:rFonts w:ascii="Calibri Light"/>
          <w:spacing w:val="-2"/>
          <w:sz w:val="20"/>
        </w:rPr>
        <w:t xml:space="preserve"> </w:t>
      </w:r>
      <w:r>
        <w:rPr>
          <w:rFonts w:ascii="Calibri Light"/>
          <w:sz w:val="20"/>
        </w:rPr>
        <w:t>Development</w:t>
      </w:r>
      <w:r>
        <w:rPr>
          <w:rFonts w:ascii="Calibri Light"/>
          <w:spacing w:val="-4"/>
          <w:sz w:val="20"/>
        </w:rPr>
        <w:t xml:space="preserve"> </w:t>
      </w:r>
      <w:r>
        <w:rPr>
          <w:rFonts w:ascii="Calibri Light"/>
          <w:sz w:val="20"/>
        </w:rPr>
        <w:t>and</w:t>
      </w:r>
      <w:r>
        <w:rPr>
          <w:rFonts w:ascii="Calibri Light"/>
          <w:spacing w:val="-4"/>
          <w:sz w:val="20"/>
        </w:rPr>
        <w:t xml:space="preserve"> </w:t>
      </w:r>
      <w:r>
        <w:rPr>
          <w:rFonts w:ascii="Calibri Light"/>
          <w:sz w:val="20"/>
        </w:rPr>
        <w:t>Training.</w:t>
      </w:r>
      <w:r>
        <w:rPr>
          <w:rFonts w:ascii="Calibri Light"/>
          <w:spacing w:val="-5"/>
          <w:sz w:val="20"/>
        </w:rPr>
        <w:t xml:space="preserve"> </w:t>
      </w:r>
      <w:r>
        <w:rPr>
          <w:rFonts w:ascii="Calibri Light"/>
          <w:sz w:val="20"/>
        </w:rPr>
        <w:t>(2016).</w:t>
      </w:r>
      <w:r>
        <w:rPr>
          <w:rFonts w:ascii="Calibri Light"/>
          <w:spacing w:val="-5"/>
          <w:sz w:val="20"/>
        </w:rPr>
        <w:t xml:space="preserve"> </w:t>
      </w:r>
      <w:r>
        <w:rPr>
          <w:rFonts w:ascii="Calibri Light"/>
          <w:i/>
          <w:sz w:val="20"/>
        </w:rPr>
        <w:t>Module</w:t>
      </w:r>
      <w:r>
        <w:rPr>
          <w:rFonts w:ascii="Calibri Light"/>
          <w:i/>
          <w:spacing w:val="-2"/>
          <w:sz w:val="20"/>
        </w:rPr>
        <w:t xml:space="preserve"> </w:t>
      </w:r>
      <w:r>
        <w:rPr>
          <w:rFonts w:ascii="Calibri Light"/>
          <w:i/>
          <w:sz w:val="20"/>
        </w:rPr>
        <w:t>10:</w:t>
      </w:r>
      <w:r>
        <w:rPr>
          <w:rFonts w:ascii="Calibri Light"/>
          <w:i/>
          <w:spacing w:val="-4"/>
          <w:sz w:val="20"/>
        </w:rPr>
        <w:t xml:space="preserve"> </w:t>
      </w:r>
      <w:r>
        <w:rPr>
          <w:rFonts w:ascii="Calibri Light"/>
          <w:i/>
          <w:sz w:val="20"/>
        </w:rPr>
        <w:t>Sobriety</w:t>
      </w:r>
      <w:r>
        <w:rPr>
          <w:rFonts w:ascii="Calibri Light"/>
          <w:i/>
          <w:spacing w:val="-4"/>
          <w:sz w:val="20"/>
        </w:rPr>
        <w:t xml:space="preserve"> </w:t>
      </w:r>
      <w:r>
        <w:rPr>
          <w:rFonts w:ascii="Calibri Light"/>
          <w:i/>
          <w:sz w:val="20"/>
        </w:rPr>
        <w:t>sampling</w:t>
      </w:r>
      <w:r>
        <w:rPr>
          <w:rFonts w:ascii="Calibri Light"/>
          <w:sz w:val="20"/>
        </w:rPr>
        <w:t>.</w:t>
      </w:r>
      <w:r>
        <w:rPr>
          <w:rFonts w:ascii="Calibri Light"/>
          <w:spacing w:val="-5"/>
          <w:sz w:val="20"/>
        </w:rPr>
        <w:t xml:space="preserve"> </w:t>
      </w:r>
      <w:r>
        <w:rPr>
          <w:rFonts w:ascii="Calibri Light"/>
          <w:sz w:val="20"/>
        </w:rPr>
        <w:t>Retrieved</w:t>
      </w:r>
      <w:r>
        <w:rPr>
          <w:rFonts w:ascii="Calibri Light"/>
          <w:spacing w:val="-4"/>
          <w:sz w:val="20"/>
        </w:rPr>
        <w:t xml:space="preserve"> </w:t>
      </w:r>
      <w:r>
        <w:rPr>
          <w:rFonts w:ascii="Calibri Light"/>
          <w:sz w:val="20"/>
        </w:rPr>
        <w:t xml:space="preserve">from </w:t>
      </w:r>
      <w:hyperlink r:id="rId121">
        <w:r>
          <w:rPr>
            <w:rFonts w:ascii="Calibri Light"/>
            <w:color w:val="0563C1"/>
            <w:spacing w:val="-2"/>
            <w:sz w:val="20"/>
            <w:u w:val="single" w:color="0563C1"/>
          </w:rPr>
          <w:t>www.mass.gov/files/documents/2016/07/ty/bt-manual-module10.pdf</w:t>
        </w:r>
      </w:hyperlink>
    </w:p>
    <w:p w14:paraId="7353731F" w14:textId="77777777" w:rsidR="00DB6E1F" w:rsidRDefault="00F666A6">
      <w:pPr>
        <w:spacing w:line="259" w:lineRule="auto"/>
        <w:ind w:left="1619" w:right="1491" w:hanging="180"/>
        <w:rPr>
          <w:rFonts w:ascii="Calibri Light" w:hAnsi="Calibri Light"/>
          <w:sz w:val="20"/>
        </w:rPr>
      </w:pPr>
      <w:r>
        <w:rPr>
          <w:rFonts w:ascii="Calibri Light" w:hAnsi="Calibri Light"/>
          <w:sz w:val="20"/>
        </w:rPr>
        <w:t>Bourke, E., Magill, M., &amp; Apodaca, T. R. (2016). The in-session and lo</w:t>
      </w:r>
      <w:r>
        <w:rPr>
          <w:rFonts w:ascii="Calibri Light" w:hAnsi="Calibri Light"/>
          <w:sz w:val="20"/>
        </w:rPr>
        <w:t>ng-term role of a significant other in motivational</w:t>
      </w:r>
      <w:r>
        <w:rPr>
          <w:rFonts w:ascii="Calibri Light" w:hAnsi="Calibri Light"/>
          <w:spacing w:val="-4"/>
          <w:sz w:val="20"/>
        </w:rPr>
        <w:t xml:space="preserve"> </w:t>
      </w:r>
      <w:r>
        <w:rPr>
          <w:rFonts w:ascii="Calibri Light" w:hAnsi="Calibri Light"/>
          <w:sz w:val="20"/>
        </w:rPr>
        <w:t>enhancement</w:t>
      </w:r>
      <w:r>
        <w:rPr>
          <w:rFonts w:ascii="Calibri Light" w:hAnsi="Calibri Light"/>
          <w:spacing w:val="-4"/>
          <w:sz w:val="20"/>
        </w:rPr>
        <w:t xml:space="preserve"> </w:t>
      </w:r>
      <w:r>
        <w:rPr>
          <w:rFonts w:ascii="Calibri Light" w:hAnsi="Calibri Light"/>
          <w:sz w:val="20"/>
        </w:rPr>
        <w:t>therapy</w:t>
      </w:r>
      <w:r>
        <w:rPr>
          <w:rFonts w:ascii="Calibri Light" w:hAnsi="Calibri Light"/>
          <w:spacing w:val="-3"/>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use</w:t>
      </w:r>
      <w:r>
        <w:rPr>
          <w:rFonts w:ascii="Calibri Light" w:hAnsi="Calibri Light"/>
          <w:spacing w:val="-4"/>
          <w:sz w:val="20"/>
        </w:rPr>
        <w:t xml:space="preserve"> </w:t>
      </w:r>
      <w:r>
        <w:rPr>
          <w:rFonts w:ascii="Calibri Light" w:hAnsi="Calibri Light"/>
          <w:sz w:val="20"/>
        </w:rPr>
        <w:t>disorders.</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4"/>
          <w:sz w:val="20"/>
        </w:rPr>
        <w:t xml:space="preserve"> </w:t>
      </w:r>
      <w:r>
        <w:rPr>
          <w:rFonts w:ascii="Calibri Light" w:hAnsi="Calibri Light"/>
          <w:i/>
          <w:sz w:val="20"/>
        </w:rPr>
        <w:t>Substance</w:t>
      </w:r>
      <w:r>
        <w:rPr>
          <w:rFonts w:ascii="Calibri Light" w:hAnsi="Calibri Light"/>
          <w:i/>
          <w:spacing w:val="-4"/>
          <w:sz w:val="20"/>
        </w:rPr>
        <w:t xml:space="preserve"> </w:t>
      </w:r>
      <w:r>
        <w:rPr>
          <w:rFonts w:ascii="Calibri Light" w:hAnsi="Calibri Light"/>
          <w:i/>
          <w:sz w:val="20"/>
        </w:rPr>
        <w:t>Abuse</w:t>
      </w:r>
      <w:r>
        <w:rPr>
          <w:rFonts w:ascii="Calibri Light" w:hAnsi="Calibri Light"/>
          <w:i/>
          <w:spacing w:val="-2"/>
          <w:sz w:val="20"/>
        </w:rPr>
        <w:t xml:space="preserve"> </w:t>
      </w:r>
      <w:r>
        <w:rPr>
          <w:rFonts w:ascii="Calibri Light" w:hAnsi="Calibri Light"/>
          <w:i/>
          <w:sz w:val="20"/>
        </w:rPr>
        <w:t>Treatment,</w:t>
      </w:r>
      <w:r>
        <w:rPr>
          <w:rFonts w:ascii="Calibri Light" w:hAnsi="Calibri Light"/>
          <w:i/>
          <w:spacing w:val="-4"/>
          <w:sz w:val="20"/>
        </w:rPr>
        <w:t xml:space="preserve"> </w:t>
      </w:r>
      <w:r>
        <w:rPr>
          <w:rFonts w:ascii="Calibri Light" w:hAnsi="Calibri Light"/>
          <w:i/>
          <w:sz w:val="20"/>
        </w:rPr>
        <w:t>64</w:t>
      </w:r>
      <w:r>
        <w:rPr>
          <w:rFonts w:ascii="Calibri Light" w:hAnsi="Calibri Light"/>
          <w:sz w:val="20"/>
        </w:rPr>
        <w:t>,</w:t>
      </w:r>
      <w:r>
        <w:rPr>
          <w:rFonts w:ascii="Calibri Light" w:hAnsi="Calibri Light"/>
          <w:spacing w:val="-2"/>
          <w:sz w:val="20"/>
        </w:rPr>
        <w:t xml:space="preserve"> </w:t>
      </w:r>
      <w:r>
        <w:rPr>
          <w:rFonts w:ascii="Calibri Light" w:hAnsi="Calibri Light"/>
          <w:sz w:val="20"/>
        </w:rPr>
        <w:t xml:space="preserve">35–43. </w:t>
      </w:r>
      <w:r>
        <w:rPr>
          <w:rFonts w:ascii="Calibri Light" w:hAnsi="Calibri Light"/>
          <w:spacing w:val="-2"/>
          <w:sz w:val="20"/>
        </w:rPr>
        <w:t>doi:10.1016/j.jsat.2016.01.008</w:t>
      </w:r>
    </w:p>
    <w:p w14:paraId="637451A3" w14:textId="77777777" w:rsidR="00DB6E1F" w:rsidRDefault="00F666A6">
      <w:pPr>
        <w:spacing w:line="259" w:lineRule="auto"/>
        <w:ind w:left="1619" w:right="1491" w:hanging="181"/>
        <w:rPr>
          <w:rFonts w:ascii="Calibri Light" w:hAnsi="Calibri Light"/>
          <w:sz w:val="20"/>
        </w:rPr>
      </w:pPr>
      <w:r>
        <w:rPr>
          <w:rFonts w:ascii="Calibri Light" w:hAnsi="Calibri Light"/>
          <w:sz w:val="20"/>
        </w:rPr>
        <w:t>Bray, J. W., Aden, B., Eggman, A. A., Hellerstein, L., Wittenberg, E., Nosyk, B., … Schackman, B. R. (2017). Quality of life</w:t>
      </w:r>
      <w:r>
        <w:rPr>
          <w:rFonts w:ascii="Calibri Light" w:hAnsi="Calibri Light"/>
          <w:spacing w:val="-3"/>
          <w:sz w:val="20"/>
        </w:rPr>
        <w:t xml:space="preserve"> </w:t>
      </w:r>
      <w:r>
        <w:rPr>
          <w:rFonts w:ascii="Calibri Light" w:hAnsi="Calibri Light"/>
          <w:sz w:val="20"/>
        </w:rPr>
        <w:t>as</w:t>
      </w:r>
      <w:r>
        <w:rPr>
          <w:rFonts w:ascii="Calibri Light" w:hAnsi="Calibri Light"/>
          <w:spacing w:val="-3"/>
          <w:sz w:val="20"/>
        </w:rPr>
        <w:t xml:space="preserve"> </w:t>
      </w:r>
      <w:r>
        <w:rPr>
          <w:rFonts w:ascii="Calibri Light" w:hAnsi="Calibri Light"/>
          <w:sz w:val="20"/>
        </w:rPr>
        <w:t>an</w:t>
      </w:r>
      <w:r>
        <w:rPr>
          <w:rFonts w:ascii="Calibri Light" w:hAnsi="Calibri Light"/>
          <w:spacing w:val="-3"/>
          <w:sz w:val="20"/>
        </w:rPr>
        <w:t xml:space="preserve"> </w:t>
      </w:r>
      <w:r>
        <w:rPr>
          <w:rFonts w:ascii="Calibri Light" w:hAnsi="Calibri Light"/>
          <w:sz w:val="20"/>
        </w:rPr>
        <w:t>outcome</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opioid</w:t>
      </w:r>
      <w:r>
        <w:rPr>
          <w:rFonts w:ascii="Calibri Light" w:hAnsi="Calibri Light"/>
          <w:spacing w:val="-3"/>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disorder</w:t>
      </w:r>
      <w:r>
        <w:rPr>
          <w:rFonts w:ascii="Calibri Light" w:hAnsi="Calibri Light"/>
          <w:spacing w:val="-2"/>
          <w:sz w:val="20"/>
        </w:rPr>
        <w:t xml:space="preserve"> </w:t>
      </w:r>
      <w:r>
        <w:rPr>
          <w:rFonts w:ascii="Calibri Light" w:hAnsi="Calibri Light"/>
          <w:sz w:val="20"/>
        </w:rPr>
        <w:t>treatment:</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systematic</w:t>
      </w:r>
      <w:r>
        <w:rPr>
          <w:rFonts w:ascii="Calibri Light" w:hAnsi="Calibri Light"/>
          <w:spacing w:val="-4"/>
          <w:sz w:val="20"/>
        </w:rPr>
        <w:t xml:space="preserve"> </w:t>
      </w:r>
      <w:r>
        <w:rPr>
          <w:rFonts w:ascii="Calibri Light" w:hAnsi="Calibri Light"/>
          <w:sz w:val="20"/>
        </w:rPr>
        <w:t>review.</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Substance</w:t>
      </w:r>
      <w:r>
        <w:rPr>
          <w:rFonts w:ascii="Calibri Light" w:hAnsi="Calibri Light"/>
          <w:i/>
          <w:spacing w:val="-3"/>
          <w:sz w:val="20"/>
        </w:rPr>
        <w:t xml:space="preserve"> </w:t>
      </w:r>
      <w:r>
        <w:rPr>
          <w:rFonts w:ascii="Calibri Light" w:hAnsi="Calibri Light"/>
          <w:i/>
          <w:sz w:val="20"/>
        </w:rPr>
        <w:t>Abuse</w:t>
      </w:r>
      <w:r>
        <w:rPr>
          <w:rFonts w:ascii="Calibri Light" w:hAnsi="Calibri Light"/>
          <w:i/>
          <w:spacing w:val="-3"/>
          <w:sz w:val="20"/>
        </w:rPr>
        <w:t xml:space="preserve"> </w:t>
      </w:r>
      <w:r>
        <w:rPr>
          <w:rFonts w:ascii="Calibri Light" w:hAnsi="Calibri Light"/>
          <w:i/>
          <w:sz w:val="20"/>
        </w:rPr>
        <w:t>Treatment</w:t>
      </w:r>
      <w:r>
        <w:rPr>
          <w:rFonts w:ascii="Calibri Light" w:hAnsi="Calibri Light"/>
          <w:sz w:val="20"/>
        </w:rPr>
        <w:t xml:space="preserve">, </w:t>
      </w:r>
      <w:r>
        <w:rPr>
          <w:rFonts w:ascii="Calibri Light" w:hAnsi="Calibri Light"/>
          <w:i/>
          <w:sz w:val="20"/>
        </w:rPr>
        <w:t>76</w:t>
      </w:r>
      <w:r>
        <w:rPr>
          <w:rFonts w:ascii="Calibri Light" w:hAnsi="Calibri Light"/>
          <w:sz w:val="20"/>
        </w:rPr>
        <w:t>, 88–93.</w:t>
      </w:r>
    </w:p>
    <w:p w14:paraId="006CD148" w14:textId="77777777" w:rsidR="00DB6E1F" w:rsidRDefault="00F666A6">
      <w:pPr>
        <w:spacing w:line="256" w:lineRule="auto"/>
        <w:ind w:left="1619" w:right="1491" w:hanging="181"/>
        <w:rPr>
          <w:rFonts w:ascii="Calibri Light" w:hAnsi="Calibri Light"/>
          <w:sz w:val="20"/>
        </w:rPr>
      </w:pPr>
      <w:r>
        <w:rPr>
          <w:rFonts w:ascii="Calibri Light" w:hAnsi="Calibri Light"/>
          <w:sz w:val="20"/>
        </w:rPr>
        <w:t>Breslin,</w:t>
      </w:r>
      <w:r>
        <w:rPr>
          <w:rFonts w:ascii="Calibri Light" w:hAnsi="Calibri Light"/>
          <w:spacing w:val="-3"/>
          <w:sz w:val="20"/>
        </w:rPr>
        <w:t xml:space="preserve"> </w:t>
      </w:r>
      <w:r>
        <w:rPr>
          <w:rFonts w:ascii="Calibri Light" w:hAnsi="Calibri Light"/>
          <w:sz w:val="20"/>
        </w:rPr>
        <w:t>F.</w:t>
      </w:r>
      <w:r>
        <w:rPr>
          <w:rFonts w:ascii="Calibri Light" w:hAnsi="Calibri Light"/>
          <w:spacing w:val="-3"/>
          <w:sz w:val="20"/>
        </w:rPr>
        <w:t xml:space="preserve"> </w:t>
      </w:r>
      <w:r>
        <w:rPr>
          <w:rFonts w:ascii="Calibri Light" w:hAnsi="Calibri Light"/>
          <w:sz w:val="20"/>
        </w:rPr>
        <w:t>C</w:t>
      </w:r>
      <w:r>
        <w:rPr>
          <w:rFonts w:ascii="Calibri Light" w:hAnsi="Calibri Light"/>
          <w:sz w:val="20"/>
        </w:rPr>
        <w:t>.,</w:t>
      </w:r>
      <w:r>
        <w:rPr>
          <w:rFonts w:ascii="Calibri Light" w:hAnsi="Calibri Light"/>
          <w:spacing w:val="-3"/>
          <w:sz w:val="20"/>
        </w:rPr>
        <w:t xml:space="preserve"> </w:t>
      </w:r>
      <w:r>
        <w:rPr>
          <w:rFonts w:ascii="Calibri Light" w:hAnsi="Calibri Light"/>
          <w:sz w:val="20"/>
        </w:rPr>
        <w:t>Sobell,</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Sobell, M.</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Agrawal,</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(2000).</w:t>
      </w:r>
      <w:r>
        <w:rPr>
          <w:rFonts w:ascii="Calibri Light" w:hAnsi="Calibri Light"/>
          <w:spacing w:val="-3"/>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comparison of</w:t>
      </w:r>
      <w:r>
        <w:rPr>
          <w:rFonts w:ascii="Calibri Light" w:hAnsi="Calibri Light"/>
          <w:spacing w:val="-2"/>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brief</w:t>
      </w:r>
      <w:r>
        <w:rPr>
          <w:rFonts w:ascii="Calibri Light" w:hAnsi="Calibri Light"/>
          <w:spacing w:val="-2"/>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long</w:t>
      </w:r>
      <w:r>
        <w:rPr>
          <w:rFonts w:ascii="Calibri Light" w:hAnsi="Calibri Light"/>
          <w:spacing w:val="-2"/>
          <w:sz w:val="20"/>
        </w:rPr>
        <w:t xml:space="preserve"> </w:t>
      </w:r>
      <w:r>
        <w:rPr>
          <w:rFonts w:ascii="Calibri Light" w:hAnsi="Calibri Light"/>
          <w:sz w:val="20"/>
        </w:rPr>
        <w:t>version</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 xml:space="preserve">the Situational Confidence Questionnaire. </w:t>
      </w:r>
      <w:r>
        <w:rPr>
          <w:rFonts w:ascii="Calibri Light" w:hAnsi="Calibri Light"/>
          <w:i/>
          <w:sz w:val="20"/>
        </w:rPr>
        <w:t>Behaviour Research and Therapy, 38</w:t>
      </w:r>
      <w:r>
        <w:rPr>
          <w:rFonts w:ascii="Calibri Light" w:hAnsi="Calibri Light"/>
          <w:sz w:val="20"/>
        </w:rPr>
        <w:t>(12), 1211–1220.</w:t>
      </w:r>
    </w:p>
    <w:p w14:paraId="69A55C52" w14:textId="77777777" w:rsidR="00DB6E1F" w:rsidRDefault="00F666A6">
      <w:pPr>
        <w:spacing w:before="1" w:line="259" w:lineRule="auto"/>
        <w:ind w:left="1619" w:right="1491" w:hanging="180"/>
        <w:rPr>
          <w:rFonts w:ascii="Calibri Light" w:hAnsi="Calibri Light"/>
          <w:sz w:val="20"/>
        </w:rPr>
      </w:pPr>
      <w:r>
        <w:rPr>
          <w:rFonts w:ascii="Calibri Light" w:hAnsi="Calibri Light"/>
          <w:sz w:val="20"/>
        </w:rPr>
        <w:t>Brorson, H. H., Arnevik, E. A., Rand-Hendriksen, K., &amp; Duckert, F. (2013). Drop-out from addiction treatment: A systematic</w:t>
      </w:r>
      <w:r>
        <w:rPr>
          <w:rFonts w:ascii="Calibri Light" w:hAnsi="Calibri Light"/>
          <w:spacing w:val="-5"/>
          <w:sz w:val="20"/>
        </w:rPr>
        <w:t xml:space="preserve"> </w:t>
      </w:r>
      <w:r>
        <w:rPr>
          <w:rFonts w:ascii="Calibri Light" w:hAnsi="Calibri Light"/>
          <w:sz w:val="20"/>
        </w:rPr>
        <w:t>review</w:t>
      </w:r>
      <w:r>
        <w:rPr>
          <w:rFonts w:ascii="Calibri Light" w:hAnsi="Calibri Light"/>
          <w:spacing w:val="-2"/>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risk</w:t>
      </w:r>
      <w:r>
        <w:rPr>
          <w:rFonts w:ascii="Calibri Light" w:hAnsi="Calibri Light"/>
          <w:spacing w:val="-3"/>
          <w:sz w:val="20"/>
        </w:rPr>
        <w:t xml:space="preserve"> </w:t>
      </w:r>
      <w:r>
        <w:rPr>
          <w:rFonts w:ascii="Calibri Light" w:hAnsi="Calibri Light"/>
          <w:sz w:val="20"/>
        </w:rPr>
        <w:t>factors.</w:t>
      </w:r>
      <w:r>
        <w:rPr>
          <w:rFonts w:ascii="Calibri Light" w:hAnsi="Calibri Light"/>
          <w:spacing w:val="-5"/>
          <w:sz w:val="20"/>
        </w:rPr>
        <w:t xml:space="preserve"> </w:t>
      </w:r>
      <w:r>
        <w:rPr>
          <w:rFonts w:ascii="Calibri Light" w:hAnsi="Calibri Light"/>
          <w:i/>
          <w:sz w:val="20"/>
        </w:rPr>
        <w:t>Clinical</w:t>
      </w:r>
      <w:r>
        <w:rPr>
          <w:rFonts w:ascii="Calibri Light" w:hAnsi="Calibri Light"/>
          <w:i/>
          <w:spacing w:val="-5"/>
          <w:sz w:val="20"/>
        </w:rPr>
        <w:t xml:space="preserve"> </w:t>
      </w:r>
      <w:r>
        <w:rPr>
          <w:rFonts w:ascii="Calibri Light" w:hAnsi="Calibri Light"/>
          <w:i/>
          <w:sz w:val="20"/>
        </w:rPr>
        <w:t>Psychology</w:t>
      </w:r>
      <w:r>
        <w:rPr>
          <w:rFonts w:ascii="Calibri Light" w:hAnsi="Calibri Light"/>
          <w:i/>
          <w:spacing w:val="-4"/>
          <w:sz w:val="20"/>
        </w:rPr>
        <w:t xml:space="preserve"> </w:t>
      </w:r>
      <w:r>
        <w:rPr>
          <w:rFonts w:ascii="Calibri Light" w:hAnsi="Calibri Light"/>
          <w:i/>
          <w:sz w:val="20"/>
        </w:rPr>
        <w:t>Review,</w:t>
      </w:r>
      <w:r>
        <w:rPr>
          <w:rFonts w:ascii="Calibri Light" w:hAnsi="Calibri Light"/>
          <w:i/>
          <w:spacing w:val="-3"/>
          <w:sz w:val="20"/>
        </w:rPr>
        <w:t xml:space="preserve"> </w:t>
      </w:r>
      <w:r>
        <w:rPr>
          <w:rFonts w:ascii="Calibri Light" w:hAnsi="Calibri Light"/>
          <w:i/>
          <w:sz w:val="20"/>
        </w:rPr>
        <w:t>33</w:t>
      </w:r>
      <w:r>
        <w:rPr>
          <w:rFonts w:ascii="Calibri Light" w:hAnsi="Calibri Light"/>
          <w:sz w:val="20"/>
        </w:rPr>
        <w:t>(8),</w:t>
      </w:r>
      <w:r>
        <w:rPr>
          <w:rFonts w:ascii="Calibri Light" w:hAnsi="Calibri Light"/>
          <w:spacing w:val="-5"/>
          <w:sz w:val="20"/>
        </w:rPr>
        <w:t xml:space="preserve"> </w:t>
      </w:r>
      <w:r>
        <w:rPr>
          <w:rFonts w:ascii="Calibri Light" w:hAnsi="Calibri Light"/>
          <w:sz w:val="20"/>
        </w:rPr>
        <w:t>1010–1024.</w:t>
      </w:r>
      <w:r>
        <w:rPr>
          <w:rFonts w:ascii="Calibri Light" w:hAnsi="Calibri Light"/>
          <w:spacing w:val="-5"/>
          <w:sz w:val="20"/>
        </w:rPr>
        <w:t xml:space="preserve"> </w:t>
      </w:r>
      <w:r>
        <w:rPr>
          <w:rFonts w:ascii="Calibri Light" w:hAnsi="Calibri Light"/>
          <w:sz w:val="20"/>
        </w:rPr>
        <w:t>doi:10.1016/j.cpr.2013.07.007</w:t>
      </w:r>
    </w:p>
    <w:p w14:paraId="07D3933B" w14:textId="77777777" w:rsidR="00DB6E1F" w:rsidRDefault="00F666A6">
      <w:pPr>
        <w:spacing w:before="1"/>
        <w:ind w:left="1439"/>
        <w:rPr>
          <w:rFonts w:ascii="Calibri Light"/>
          <w:sz w:val="20"/>
        </w:rPr>
      </w:pPr>
      <w:r>
        <w:rPr>
          <w:rFonts w:ascii="Calibri Light"/>
          <w:sz w:val="20"/>
        </w:rPr>
        <w:t>Caperton,</w:t>
      </w:r>
      <w:r>
        <w:rPr>
          <w:rFonts w:ascii="Calibri Light"/>
          <w:spacing w:val="-6"/>
          <w:sz w:val="20"/>
        </w:rPr>
        <w:t xml:space="preserve"> </w:t>
      </w:r>
      <w:r>
        <w:rPr>
          <w:rFonts w:ascii="Calibri Light"/>
          <w:sz w:val="20"/>
        </w:rPr>
        <w:t>D.</w:t>
      </w:r>
      <w:r>
        <w:rPr>
          <w:rFonts w:ascii="Calibri Light"/>
          <w:spacing w:val="-4"/>
          <w:sz w:val="20"/>
        </w:rPr>
        <w:t xml:space="preserve"> </w:t>
      </w:r>
      <w:r>
        <w:rPr>
          <w:rFonts w:ascii="Calibri Light"/>
          <w:sz w:val="20"/>
        </w:rPr>
        <w:t>D.,</w:t>
      </w:r>
      <w:r>
        <w:rPr>
          <w:rFonts w:ascii="Calibri Light"/>
          <w:spacing w:val="-6"/>
          <w:sz w:val="20"/>
        </w:rPr>
        <w:t xml:space="preserve"> </w:t>
      </w:r>
      <w:r>
        <w:rPr>
          <w:rFonts w:ascii="Calibri Light"/>
          <w:sz w:val="20"/>
        </w:rPr>
        <w:t>Atkins,</w:t>
      </w:r>
      <w:r>
        <w:rPr>
          <w:rFonts w:ascii="Calibri Light"/>
          <w:spacing w:val="-6"/>
          <w:sz w:val="20"/>
        </w:rPr>
        <w:t xml:space="preserve"> </w:t>
      </w:r>
      <w:r>
        <w:rPr>
          <w:rFonts w:ascii="Calibri Light"/>
          <w:sz w:val="20"/>
        </w:rPr>
        <w:t>D.</w:t>
      </w:r>
      <w:r>
        <w:rPr>
          <w:rFonts w:ascii="Calibri Light"/>
          <w:spacing w:val="-6"/>
          <w:sz w:val="20"/>
        </w:rPr>
        <w:t xml:space="preserve"> </w:t>
      </w:r>
      <w:r>
        <w:rPr>
          <w:rFonts w:ascii="Calibri Light"/>
          <w:sz w:val="20"/>
        </w:rPr>
        <w:t>C.,</w:t>
      </w:r>
      <w:r>
        <w:rPr>
          <w:rFonts w:ascii="Calibri Light"/>
          <w:spacing w:val="-3"/>
          <w:sz w:val="20"/>
        </w:rPr>
        <w:t xml:space="preserve"> </w:t>
      </w:r>
      <w:r>
        <w:rPr>
          <w:rFonts w:ascii="Calibri Light"/>
          <w:sz w:val="20"/>
        </w:rPr>
        <w:t>&amp;</w:t>
      </w:r>
      <w:r>
        <w:rPr>
          <w:rFonts w:ascii="Calibri Light"/>
          <w:spacing w:val="-4"/>
          <w:sz w:val="20"/>
        </w:rPr>
        <w:t xml:space="preserve"> </w:t>
      </w:r>
      <w:r>
        <w:rPr>
          <w:rFonts w:ascii="Calibri Light"/>
          <w:sz w:val="20"/>
        </w:rPr>
        <w:t>Imel,</w:t>
      </w:r>
      <w:r>
        <w:rPr>
          <w:rFonts w:ascii="Calibri Light"/>
          <w:spacing w:val="-6"/>
          <w:sz w:val="20"/>
        </w:rPr>
        <w:t xml:space="preserve"> </w:t>
      </w:r>
      <w:r>
        <w:rPr>
          <w:rFonts w:ascii="Calibri Light"/>
          <w:sz w:val="20"/>
        </w:rPr>
        <w:t>Z.</w:t>
      </w:r>
      <w:r>
        <w:rPr>
          <w:rFonts w:ascii="Calibri Light"/>
          <w:spacing w:val="-6"/>
          <w:sz w:val="20"/>
        </w:rPr>
        <w:t xml:space="preserve"> </w:t>
      </w:r>
      <w:r>
        <w:rPr>
          <w:rFonts w:ascii="Calibri Light"/>
          <w:sz w:val="20"/>
        </w:rPr>
        <w:t>E.</w:t>
      </w:r>
      <w:r>
        <w:rPr>
          <w:rFonts w:ascii="Calibri Light"/>
          <w:spacing w:val="-6"/>
          <w:sz w:val="20"/>
        </w:rPr>
        <w:t xml:space="preserve"> </w:t>
      </w:r>
      <w:r>
        <w:rPr>
          <w:rFonts w:ascii="Calibri Light"/>
          <w:sz w:val="20"/>
        </w:rPr>
        <w:t>(2018).</w:t>
      </w:r>
      <w:r>
        <w:rPr>
          <w:rFonts w:ascii="Calibri Light"/>
          <w:spacing w:val="-6"/>
          <w:sz w:val="20"/>
        </w:rPr>
        <w:t xml:space="preserve"> </w:t>
      </w:r>
      <w:r>
        <w:rPr>
          <w:rFonts w:ascii="Calibri Light"/>
          <w:sz w:val="20"/>
        </w:rPr>
        <w:t>Rating</w:t>
      </w:r>
      <w:r>
        <w:rPr>
          <w:rFonts w:ascii="Calibri Light"/>
          <w:spacing w:val="-5"/>
          <w:sz w:val="20"/>
        </w:rPr>
        <w:t xml:space="preserve"> </w:t>
      </w:r>
      <w:r>
        <w:rPr>
          <w:rFonts w:ascii="Calibri Light"/>
          <w:sz w:val="20"/>
        </w:rPr>
        <w:t>motivational</w:t>
      </w:r>
      <w:r>
        <w:rPr>
          <w:rFonts w:ascii="Calibri Light"/>
          <w:spacing w:val="-6"/>
          <w:sz w:val="20"/>
        </w:rPr>
        <w:t xml:space="preserve"> </w:t>
      </w:r>
      <w:r>
        <w:rPr>
          <w:rFonts w:ascii="Calibri Light"/>
          <w:sz w:val="20"/>
        </w:rPr>
        <w:t>interviewing</w:t>
      </w:r>
      <w:r>
        <w:rPr>
          <w:rFonts w:ascii="Calibri Light"/>
          <w:spacing w:val="-5"/>
          <w:sz w:val="20"/>
        </w:rPr>
        <w:t xml:space="preserve"> </w:t>
      </w:r>
      <w:r>
        <w:rPr>
          <w:rFonts w:ascii="Calibri Light"/>
          <w:sz w:val="20"/>
        </w:rPr>
        <w:t>fidelity</w:t>
      </w:r>
      <w:r>
        <w:rPr>
          <w:rFonts w:ascii="Calibri Light"/>
          <w:spacing w:val="-4"/>
          <w:sz w:val="20"/>
        </w:rPr>
        <w:t xml:space="preserve"> </w:t>
      </w:r>
      <w:r>
        <w:rPr>
          <w:rFonts w:ascii="Calibri Light"/>
          <w:sz w:val="20"/>
        </w:rPr>
        <w:t>from</w:t>
      </w:r>
      <w:r>
        <w:rPr>
          <w:rFonts w:ascii="Calibri Light"/>
          <w:spacing w:val="-4"/>
          <w:sz w:val="20"/>
        </w:rPr>
        <w:t xml:space="preserve"> </w:t>
      </w:r>
      <w:r>
        <w:rPr>
          <w:rFonts w:ascii="Calibri Light"/>
          <w:sz w:val="20"/>
        </w:rPr>
        <w:t>thin</w:t>
      </w:r>
      <w:r>
        <w:rPr>
          <w:rFonts w:ascii="Calibri Light"/>
          <w:spacing w:val="-5"/>
          <w:sz w:val="20"/>
        </w:rPr>
        <w:t xml:space="preserve"> </w:t>
      </w:r>
      <w:r>
        <w:rPr>
          <w:rFonts w:ascii="Calibri Light"/>
          <w:spacing w:val="-2"/>
          <w:sz w:val="20"/>
        </w:rPr>
        <w:t>slices.</w:t>
      </w:r>
    </w:p>
    <w:p w14:paraId="5AC3EA6A" w14:textId="77777777" w:rsidR="00DB6E1F" w:rsidRDefault="00F666A6">
      <w:pPr>
        <w:spacing w:before="17"/>
        <w:ind w:left="1619"/>
        <w:rPr>
          <w:rFonts w:ascii="Calibri Light" w:hAnsi="Calibri Light"/>
          <w:sz w:val="20"/>
        </w:rPr>
      </w:pPr>
      <w:r>
        <w:rPr>
          <w:rFonts w:ascii="Calibri Light" w:hAnsi="Calibri Light"/>
          <w:i/>
          <w:sz w:val="20"/>
        </w:rPr>
        <w:t>Psychology</w:t>
      </w:r>
      <w:r>
        <w:rPr>
          <w:rFonts w:ascii="Calibri Light" w:hAnsi="Calibri Light"/>
          <w:i/>
          <w:spacing w:val="-8"/>
          <w:sz w:val="20"/>
        </w:rPr>
        <w:t xml:space="preserve"> </w:t>
      </w:r>
      <w:r>
        <w:rPr>
          <w:rFonts w:ascii="Calibri Light" w:hAnsi="Calibri Light"/>
          <w:i/>
          <w:sz w:val="20"/>
        </w:rPr>
        <w:t>of</w:t>
      </w:r>
      <w:r>
        <w:rPr>
          <w:rFonts w:ascii="Calibri Light" w:hAnsi="Calibri Light"/>
          <w:i/>
          <w:spacing w:val="-8"/>
          <w:sz w:val="20"/>
        </w:rPr>
        <w:t xml:space="preserve"> </w:t>
      </w:r>
      <w:r>
        <w:rPr>
          <w:rFonts w:ascii="Calibri Light" w:hAnsi="Calibri Light"/>
          <w:i/>
          <w:sz w:val="20"/>
        </w:rPr>
        <w:t>Addictive</w:t>
      </w:r>
      <w:r>
        <w:rPr>
          <w:rFonts w:ascii="Calibri Light" w:hAnsi="Calibri Light"/>
          <w:i/>
          <w:spacing w:val="-7"/>
          <w:sz w:val="20"/>
        </w:rPr>
        <w:t xml:space="preserve"> </w:t>
      </w:r>
      <w:r>
        <w:rPr>
          <w:rFonts w:ascii="Calibri Light" w:hAnsi="Calibri Light"/>
          <w:i/>
          <w:sz w:val="20"/>
        </w:rPr>
        <w:t>Behaviors,</w:t>
      </w:r>
      <w:r>
        <w:rPr>
          <w:rFonts w:ascii="Calibri Light" w:hAnsi="Calibri Light"/>
          <w:i/>
          <w:spacing w:val="-8"/>
          <w:sz w:val="20"/>
        </w:rPr>
        <w:t xml:space="preserve"> </w:t>
      </w:r>
      <w:r>
        <w:rPr>
          <w:rFonts w:ascii="Calibri Light" w:hAnsi="Calibri Light"/>
          <w:i/>
          <w:sz w:val="20"/>
        </w:rPr>
        <w:t>32</w:t>
      </w:r>
      <w:r>
        <w:rPr>
          <w:rFonts w:ascii="Calibri Light" w:hAnsi="Calibri Light"/>
          <w:sz w:val="20"/>
        </w:rPr>
        <w:t>(4),</w:t>
      </w:r>
      <w:r>
        <w:rPr>
          <w:rFonts w:ascii="Calibri Light" w:hAnsi="Calibri Light"/>
          <w:spacing w:val="-9"/>
          <w:sz w:val="20"/>
        </w:rPr>
        <w:t xml:space="preserve"> </w:t>
      </w:r>
      <w:r>
        <w:rPr>
          <w:rFonts w:ascii="Calibri Light" w:hAnsi="Calibri Light"/>
          <w:sz w:val="20"/>
        </w:rPr>
        <w:t>434–441.</w:t>
      </w:r>
      <w:r>
        <w:rPr>
          <w:rFonts w:ascii="Calibri Light" w:hAnsi="Calibri Light"/>
          <w:spacing w:val="-9"/>
          <w:sz w:val="20"/>
        </w:rPr>
        <w:t xml:space="preserve"> </w:t>
      </w:r>
      <w:r>
        <w:rPr>
          <w:rFonts w:ascii="Calibri Light" w:hAnsi="Calibri Light"/>
          <w:spacing w:val="-2"/>
          <w:sz w:val="20"/>
        </w:rPr>
        <w:t>doi:10.1037/adb0000359</w:t>
      </w:r>
    </w:p>
    <w:p w14:paraId="2904D640" w14:textId="77777777" w:rsidR="00DB6E1F" w:rsidRDefault="00F666A6">
      <w:pPr>
        <w:spacing w:before="20" w:line="259" w:lineRule="auto"/>
        <w:ind w:left="1619" w:right="1491" w:hanging="181"/>
        <w:rPr>
          <w:rFonts w:ascii="Calibri Light" w:hAnsi="Calibri Light"/>
          <w:sz w:val="20"/>
        </w:rPr>
      </w:pPr>
      <w:r>
        <w:rPr>
          <w:rFonts w:ascii="Calibri Light" w:hAnsi="Calibri Light"/>
          <w:sz w:val="20"/>
        </w:rPr>
        <w:t>Carey,</w:t>
      </w:r>
      <w:r>
        <w:rPr>
          <w:rFonts w:ascii="Calibri Light" w:hAnsi="Calibri Light"/>
          <w:spacing w:val="-3"/>
          <w:sz w:val="20"/>
        </w:rPr>
        <w:t xml:space="preserve"> </w:t>
      </w:r>
      <w:r>
        <w:rPr>
          <w:rFonts w:ascii="Calibri Light" w:hAnsi="Calibri Light"/>
          <w:sz w:val="20"/>
        </w:rPr>
        <w:t>K. B.,</w:t>
      </w:r>
      <w:r>
        <w:rPr>
          <w:rFonts w:ascii="Calibri Light" w:hAnsi="Calibri Light"/>
          <w:spacing w:val="-3"/>
          <w:sz w:val="20"/>
        </w:rPr>
        <w:t xml:space="preserve"> </w:t>
      </w:r>
      <w:r>
        <w:rPr>
          <w:rFonts w:ascii="Calibri Light" w:hAnsi="Calibri Light"/>
          <w:sz w:val="20"/>
        </w:rPr>
        <w:t>Leontieva,</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Dimmock,</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Maisto,</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&amp; Batki, S.</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(2007).</w:t>
      </w:r>
      <w:r>
        <w:rPr>
          <w:rFonts w:ascii="Calibri Light" w:hAnsi="Calibri Light"/>
          <w:spacing w:val="-3"/>
          <w:sz w:val="20"/>
        </w:rPr>
        <w:t xml:space="preserve"> </w:t>
      </w:r>
      <w:r>
        <w:rPr>
          <w:rFonts w:ascii="Calibri Light" w:hAnsi="Calibri Light"/>
          <w:sz w:val="20"/>
        </w:rPr>
        <w:t>Adapting</w:t>
      </w:r>
      <w:r>
        <w:rPr>
          <w:rFonts w:ascii="Calibri Light" w:hAnsi="Calibri Light"/>
          <w:spacing w:val="-2"/>
          <w:sz w:val="20"/>
        </w:rPr>
        <w:t xml:space="preserve"> </w:t>
      </w:r>
      <w:r>
        <w:rPr>
          <w:rFonts w:ascii="Calibri Light" w:hAnsi="Calibri Light"/>
          <w:sz w:val="20"/>
        </w:rPr>
        <w:t>motivational</w:t>
      </w:r>
      <w:r>
        <w:rPr>
          <w:rFonts w:ascii="Calibri Light" w:hAnsi="Calibri Light"/>
          <w:spacing w:val="-3"/>
          <w:sz w:val="20"/>
        </w:rPr>
        <w:t xml:space="preserve"> </w:t>
      </w:r>
      <w:r>
        <w:rPr>
          <w:rFonts w:ascii="Calibri Light" w:hAnsi="Calibri Light"/>
          <w:sz w:val="20"/>
        </w:rPr>
        <w:t>interventions</w:t>
      </w:r>
      <w:r>
        <w:rPr>
          <w:rFonts w:ascii="Calibri Light" w:hAnsi="Calibri Light"/>
          <w:spacing w:val="-2"/>
          <w:sz w:val="20"/>
        </w:rPr>
        <w:t xml:space="preserve"> </w:t>
      </w:r>
      <w:r>
        <w:rPr>
          <w:rFonts w:ascii="Calibri Light" w:hAnsi="Calibri Light"/>
          <w:sz w:val="20"/>
        </w:rPr>
        <w:t xml:space="preserve">for comorbid schizophrenia and alcohol use disorders. </w:t>
      </w:r>
      <w:r>
        <w:rPr>
          <w:rFonts w:ascii="Calibri Light" w:hAnsi="Calibri Light"/>
          <w:i/>
          <w:sz w:val="20"/>
        </w:rPr>
        <w:t>Clinical Psychology</w:t>
      </w:r>
      <w:r>
        <w:rPr>
          <w:rFonts w:ascii="Calibri Light" w:hAnsi="Calibri Light"/>
          <w:sz w:val="20"/>
        </w:rPr>
        <w:t xml:space="preserve">, </w:t>
      </w:r>
      <w:r>
        <w:rPr>
          <w:rFonts w:ascii="Calibri Light" w:hAnsi="Calibri Light"/>
          <w:i/>
          <w:sz w:val="20"/>
        </w:rPr>
        <w:t>14</w:t>
      </w:r>
      <w:r>
        <w:rPr>
          <w:rFonts w:ascii="Calibri Light" w:hAnsi="Calibri Light"/>
          <w:sz w:val="20"/>
        </w:rPr>
        <w:t>(1), 39–57.</w:t>
      </w:r>
    </w:p>
    <w:p w14:paraId="399C24C0" w14:textId="77777777" w:rsidR="00DB6E1F" w:rsidRDefault="00F666A6">
      <w:pPr>
        <w:spacing w:line="259" w:lineRule="auto"/>
        <w:ind w:left="1620" w:right="1491" w:hanging="181"/>
        <w:rPr>
          <w:rFonts w:ascii="Calibri Light" w:hAnsi="Calibri Light"/>
          <w:sz w:val="20"/>
        </w:rPr>
      </w:pPr>
      <w:r>
        <w:rPr>
          <w:rFonts w:ascii="Calibri Light" w:hAnsi="Calibri Light"/>
          <w:sz w:val="20"/>
        </w:rPr>
        <w:t>Carroll,</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M., Ball,</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Nich, C., Martino,</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Frankforter,</w:t>
      </w:r>
      <w:r>
        <w:rPr>
          <w:rFonts w:ascii="Calibri Light" w:hAnsi="Calibri Light"/>
          <w:spacing w:val="-3"/>
          <w:sz w:val="20"/>
        </w:rPr>
        <w:t xml:space="preserve"> </w:t>
      </w:r>
      <w:r>
        <w:rPr>
          <w:rFonts w:ascii="Calibri Light" w:hAnsi="Calibri Light"/>
          <w:sz w:val="20"/>
        </w:rPr>
        <w:t>T. L.,</w:t>
      </w:r>
      <w:r>
        <w:rPr>
          <w:rFonts w:ascii="Calibri Light" w:hAnsi="Calibri Light"/>
          <w:spacing w:val="-3"/>
          <w:sz w:val="20"/>
        </w:rPr>
        <w:t xml:space="preserve"> </w:t>
      </w:r>
      <w:r>
        <w:rPr>
          <w:rFonts w:ascii="Calibri Light" w:hAnsi="Calibri Light"/>
          <w:sz w:val="20"/>
        </w:rPr>
        <w:t>Farentinos, C.,</w:t>
      </w:r>
      <w:r>
        <w:rPr>
          <w:rFonts w:ascii="Calibri Light" w:hAnsi="Calibri Light"/>
          <w:spacing w:val="-3"/>
          <w:sz w:val="20"/>
        </w:rPr>
        <w:t xml:space="preserve"> </w:t>
      </w:r>
      <w:r>
        <w:rPr>
          <w:rFonts w:ascii="Calibri Light" w:hAnsi="Calibri Light"/>
          <w:sz w:val="20"/>
        </w:rPr>
        <w:t>…</w:t>
      </w:r>
      <w:r>
        <w:rPr>
          <w:rFonts w:ascii="Calibri Light" w:hAnsi="Calibri Light"/>
          <w:spacing w:val="-3"/>
          <w:sz w:val="20"/>
        </w:rPr>
        <w:t xml:space="preserve"> </w:t>
      </w:r>
      <w:r>
        <w:rPr>
          <w:rFonts w:ascii="Calibri Light" w:hAnsi="Calibri Light"/>
          <w:sz w:val="20"/>
        </w:rPr>
        <w:t>Woody,</w:t>
      </w:r>
      <w:r>
        <w:rPr>
          <w:rFonts w:ascii="Calibri Light" w:hAnsi="Calibri Light"/>
          <w:spacing w:val="-3"/>
          <w:sz w:val="20"/>
        </w:rPr>
        <w:t xml:space="preserve"> </w:t>
      </w:r>
      <w:r>
        <w:rPr>
          <w:rFonts w:ascii="Calibri Light" w:hAnsi="Calibri Light"/>
          <w:sz w:val="20"/>
        </w:rPr>
        <w:t>G. E.</w:t>
      </w:r>
      <w:r>
        <w:rPr>
          <w:rFonts w:ascii="Calibri Light" w:hAnsi="Calibri Light"/>
          <w:spacing w:val="-3"/>
          <w:sz w:val="20"/>
        </w:rPr>
        <w:t xml:space="preserve"> </w:t>
      </w:r>
      <w:r>
        <w:rPr>
          <w:rFonts w:ascii="Calibri Light" w:hAnsi="Calibri Light"/>
          <w:sz w:val="20"/>
        </w:rPr>
        <w:t>(2006).</w:t>
      </w:r>
      <w:r>
        <w:rPr>
          <w:rFonts w:ascii="Calibri Light" w:hAnsi="Calibri Light"/>
          <w:spacing w:val="-3"/>
          <w:sz w:val="20"/>
        </w:rPr>
        <w:t xml:space="preserve"> </w:t>
      </w:r>
      <w:r>
        <w:rPr>
          <w:rFonts w:ascii="Calibri Light" w:hAnsi="Calibri Light"/>
          <w:sz w:val="20"/>
        </w:rPr>
        <w:t xml:space="preserve">Motivational interviewing to </w:t>
      </w:r>
      <w:r>
        <w:rPr>
          <w:rFonts w:ascii="Calibri Light" w:hAnsi="Calibri Light"/>
          <w:sz w:val="20"/>
        </w:rPr>
        <w:t xml:space="preserve">improve treatment engagement and outcome in individuals seeking treatment for substance abuse: A multisite effectiveness study. </w:t>
      </w:r>
      <w:r>
        <w:rPr>
          <w:rFonts w:ascii="Calibri Light" w:hAnsi="Calibri Light"/>
          <w:i/>
          <w:sz w:val="20"/>
        </w:rPr>
        <w:t>Drug and Alcohol Dependence</w:t>
      </w:r>
      <w:r>
        <w:rPr>
          <w:rFonts w:ascii="Calibri Light" w:hAnsi="Calibri Light"/>
          <w:sz w:val="20"/>
        </w:rPr>
        <w:t xml:space="preserve">, </w:t>
      </w:r>
      <w:r>
        <w:rPr>
          <w:rFonts w:ascii="Calibri Light" w:hAnsi="Calibri Light"/>
          <w:i/>
          <w:sz w:val="20"/>
        </w:rPr>
        <w:t>81</w:t>
      </w:r>
      <w:r>
        <w:rPr>
          <w:rFonts w:ascii="Calibri Light" w:hAnsi="Calibri Light"/>
          <w:sz w:val="20"/>
        </w:rPr>
        <w:t>, 301–312.</w:t>
      </w:r>
    </w:p>
    <w:p w14:paraId="363AA8E0" w14:textId="77777777" w:rsidR="00DB6E1F" w:rsidRDefault="00F666A6">
      <w:pPr>
        <w:spacing w:line="259" w:lineRule="auto"/>
        <w:ind w:left="1620" w:right="1515" w:hanging="180"/>
        <w:rPr>
          <w:rFonts w:ascii="Calibri Light" w:hAnsi="Calibri Light"/>
          <w:sz w:val="20"/>
        </w:rPr>
      </w:pPr>
      <w:r>
        <w:rPr>
          <w:rFonts w:ascii="Calibri Light" w:hAnsi="Calibri Light"/>
          <w:sz w:val="20"/>
        </w:rPr>
        <w:t>Caviness, C.</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Hagerty, C.</w:t>
      </w:r>
      <w:r>
        <w:rPr>
          <w:rFonts w:ascii="Calibri Light" w:hAnsi="Calibri Light"/>
          <w:spacing w:val="-3"/>
          <w:sz w:val="20"/>
        </w:rPr>
        <w:t xml:space="preserve"> </w:t>
      </w:r>
      <w:r>
        <w:rPr>
          <w:rFonts w:ascii="Calibri Light" w:hAnsi="Calibri Light"/>
          <w:sz w:val="20"/>
        </w:rPr>
        <w:t>E., Anderson,</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J., Dios,</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A., Hayaki,</w:t>
      </w:r>
      <w:r>
        <w:rPr>
          <w:rFonts w:ascii="Calibri Light" w:hAnsi="Calibri Light"/>
          <w:spacing w:val="-3"/>
          <w:sz w:val="20"/>
        </w:rPr>
        <w:t xml:space="preserve"> </w:t>
      </w:r>
      <w:r>
        <w:rPr>
          <w:rFonts w:ascii="Calibri Light" w:hAnsi="Calibri Light"/>
          <w:sz w:val="20"/>
        </w:rPr>
        <w:t>J., Herman,</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Stein,</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(2013).</w:t>
      </w:r>
      <w:r>
        <w:rPr>
          <w:rFonts w:ascii="Calibri Light" w:hAnsi="Calibri Light"/>
          <w:spacing w:val="-3"/>
          <w:sz w:val="20"/>
        </w:rPr>
        <w:t xml:space="preserve"> </w:t>
      </w:r>
      <w:r>
        <w:rPr>
          <w:rFonts w:ascii="Calibri Light" w:hAnsi="Calibri Light"/>
          <w:sz w:val="20"/>
        </w:rPr>
        <w:t xml:space="preserve">Self-efficacy and motivation to quit marijuana use among young women. </w:t>
      </w:r>
      <w:r>
        <w:rPr>
          <w:rFonts w:ascii="Calibri Light" w:hAnsi="Calibri Light"/>
          <w:i/>
          <w:sz w:val="20"/>
        </w:rPr>
        <w:t>American Journal on Addictions, 22</w:t>
      </w:r>
      <w:r>
        <w:rPr>
          <w:rFonts w:ascii="Calibri Light" w:hAnsi="Calibri Light"/>
          <w:sz w:val="20"/>
        </w:rPr>
        <w:t xml:space="preserve">(4), 373–380. </w:t>
      </w:r>
      <w:r>
        <w:rPr>
          <w:rFonts w:ascii="Calibri Light" w:hAnsi="Calibri Light"/>
          <w:spacing w:val="-2"/>
          <w:sz w:val="20"/>
        </w:rPr>
        <w:t>doi:10.1111/j.1521-0391.2013.12030</w:t>
      </w:r>
    </w:p>
    <w:p w14:paraId="036D6C06" w14:textId="77777777" w:rsidR="00DB6E1F" w:rsidRDefault="00F666A6">
      <w:pPr>
        <w:spacing w:line="259" w:lineRule="auto"/>
        <w:ind w:left="1620" w:right="1491" w:hanging="181"/>
        <w:rPr>
          <w:rFonts w:ascii="Calibri Light" w:hAnsi="Calibri Light"/>
          <w:sz w:val="20"/>
        </w:rPr>
      </w:pPr>
      <w:r>
        <w:rPr>
          <w:rFonts w:ascii="Calibri Light" w:hAnsi="Calibri Light"/>
          <w:sz w:val="20"/>
        </w:rPr>
        <w:t>Chariyeva, Z., Golin, C. E., Earp, J. A., Maman, S., Suchindran,</w:t>
      </w:r>
      <w:r>
        <w:rPr>
          <w:rFonts w:ascii="Calibri Light" w:hAnsi="Calibri Light"/>
          <w:sz w:val="20"/>
        </w:rPr>
        <w:t xml:space="preserve"> C., &amp; Zimmer, C. (2013). The role of self-efficacy and motivation to explain the effect of motivational interviewing time on changes in risky sexual behavior among people</w:t>
      </w:r>
      <w:r>
        <w:rPr>
          <w:rFonts w:ascii="Calibri Light" w:hAnsi="Calibri Light"/>
          <w:spacing w:val="-4"/>
          <w:sz w:val="20"/>
        </w:rPr>
        <w:t xml:space="preserve"> </w:t>
      </w:r>
      <w:r>
        <w:rPr>
          <w:rFonts w:ascii="Calibri Light" w:hAnsi="Calibri Light"/>
          <w:sz w:val="20"/>
        </w:rPr>
        <w:t>living</w:t>
      </w:r>
      <w:r>
        <w:rPr>
          <w:rFonts w:ascii="Calibri Light" w:hAnsi="Calibri Light"/>
          <w:spacing w:val="-4"/>
          <w:sz w:val="20"/>
        </w:rPr>
        <w:t xml:space="preserve"> </w:t>
      </w:r>
      <w:r>
        <w:rPr>
          <w:rFonts w:ascii="Calibri Light" w:hAnsi="Calibri Light"/>
          <w:sz w:val="20"/>
        </w:rPr>
        <w:t>with</w:t>
      </w:r>
      <w:r>
        <w:rPr>
          <w:rFonts w:ascii="Calibri Light" w:hAnsi="Calibri Light"/>
          <w:spacing w:val="-4"/>
          <w:sz w:val="20"/>
        </w:rPr>
        <w:t xml:space="preserve"> </w:t>
      </w:r>
      <w:r>
        <w:rPr>
          <w:rFonts w:ascii="Calibri Light" w:hAnsi="Calibri Light"/>
          <w:sz w:val="20"/>
        </w:rPr>
        <w:t>HIV:</w:t>
      </w:r>
      <w:r>
        <w:rPr>
          <w:rFonts w:ascii="Calibri Light" w:hAnsi="Calibri Light"/>
          <w:spacing w:val="-4"/>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mediation</w:t>
      </w:r>
      <w:r>
        <w:rPr>
          <w:rFonts w:ascii="Calibri Light" w:hAnsi="Calibri Light"/>
          <w:spacing w:val="-4"/>
          <w:sz w:val="20"/>
        </w:rPr>
        <w:t xml:space="preserve"> </w:t>
      </w:r>
      <w:r>
        <w:rPr>
          <w:rFonts w:ascii="Calibri Light" w:hAnsi="Calibri Light"/>
          <w:sz w:val="20"/>
        </w:rPr>
        <w:t>analysis.</w:t>
      </w:r>
      <w:r>
        <w:rPr>
          <w:rFonts w:ascii="Calibri Light" w:hAnsi="Calibri Light"/>
          <w:spacing w:val="-5"/>
          <w:sz w:val="20"/>
        </w:rPr>
        <w:t xml:space="preserve"> </w:t>
      </w:r>
      <w:r>
        <w:rPr>
          <w:rFonts w:ascii="Calibri Light" w:hAnsi="Calibri Light"/>
          <w:i/>
          <w:sz w:val="20"/>
        </w:rPr>
        <w:t>AIDS</w:t>
      </w:r>
      <w:r>
        <w:rPr>
          <w:rFonts w:ascii="Calibri Light" w:hAnsi="Calibri Light"/>
          <w:i/>
          <w:spacing w:val="-4"/>
          <w:sz w:val="20"/>
        </w:rPr>
        <w:t xml:space="preserve"> </w:t>
      </w:r>
      <w:r>
        <w:rPr>
          <w:rFonts w:ascii="Calibri Light" w:hAnsi="Calibri Light"/>
          <w:i/>
          <w:sz w:val="20"/>
        </w:rPr>
        <w:t>and</w:t>
      </w:r>
      <w:r>
        <w:rPr>
          <w:rFonts w:ascii="Calibri Light" w:hAnsi="Calibri Light"/>
          <w:i/>
          <w:spacing w:val="-2"/>
          <w:sz w:val="20"/>
        </w:rPr>
        <w:t xml:space="preserve"> </w:t>
      </w:r>
      <w:r>
        <w:rPr>
          <w:rFonts w:ascii="Calibri Light" w:hAnsi="Calibri Light"/>
          <w:i/>
          <w:sz w:val="20"/>
        </w:rPr>
        <w:t>Behavior,</w:t>
      </w:r>
      <w:r>
        <w:rPr>
          <w:rFonts w:ascii="Calibri Light" w:hAnsi="Calibri Light"/>
          <w:i/>
          <w:spacing w:val="-5"/>
          <w:sz w:val="20"/>
        </w:rPr>
        <w:t xml:space="preserve"> </w:t>
      </w:r>
      <w:r>
        <w:rPr>
          <w:rFonts w:ascii="Calibri Light" w:hAnsi="Calibri Light"/>
          <w:i/>
          <w:sz w:val="20"/>
        </w:rPr>
        <w:t>17</w:t>
      </w:r>
      <w:r>
        <w:rPr>
          <w:rFonts w:ascii="Calibri Light" w:hAnsi="Calibri Light"/>
          <w:sz w:val="20"/>
        </w:rPr>
        <w:t>(2),</w:t>
      </w:r>
      <w:r>
        <w:rPr>
          <w:rFonts w:ascii="Calibri Light" w:hAnsi="Calibri Light"/>
          <w:spacing w:val="-5"/>
          <w:sz w:val="20"/>
        </w:rPr>
        <w:t xml:space="preserve"> </w:t>
      </w:r>
      <w:r>
        <w:rPr>
          <w:rFonts w:ascii="Calibri Light" w:hAnsi="Calibri Light"/>
          <w:sz w:val="20"/>
        </w:rPr>
        <w:t>813–823.</w:t>
      </w:r>
      <w:r>
        <w:rPr>
          <w:rFonts w:ascii="Calibri Light" w:hAnsi="Calibri Light"/>
          <w:spacing w:val="-5"/>
          <w:sz w:val="20"/>
        </w:rPr>
        <w:t xml:space="preserve"> </w:t>
      </w:r>
      <w:r>
        <w:rPr>
          <w:rFonts w:ascii="Calibri Light" w:hAnsi="Calibri Light"/>
          <w:sz w:val="20"/>
        </w:rPr>
        <w:t>doi:10.100</w:t>
      </w:r>
      <w:r>
        <w:rPr>
          <w:rFonts w:ascii="Calibri Light" w:hAnsi="Calibri Light"/>
          <w:sz w:val="20"/>
        </w:rPr>
        <w:t>7/s10461-011-0115-8</w:t>
      </w:r>
    </w:p>
    <w:p w14:paraId="17D5E312" w14:textId="77777777" w:rsidR="00DB6E1F" w:rsidRDefault="00F666A6">
      <w:pPr>
        <w:spacing w:line="259" w:lineRule="auto"/>
        <w:ind w:left="1620" w:right="1491" w:hanging="180"/>
        <w:rPr>
          <w:rFonts w:ascii="Calibri Light" w:hAnsi="Calibri Light"/>
          <w:sz w:val="20"/>
        </w:rPr>
      </w:pPr>
      <w:r>
        <w:rPr>
          <w:rFonts w:ascii="Calibri Light" w:hAnsi="Calibri Light"/>
          <w:sz w:val="20"/>
        </w:rPr>
        <w:t>Coffin, P. O., Santos, G.-M., Matheson, T., Behar, E., Rowe, C., Rubin, T., … Vittinghoff, E. (2017). Behavioral intervention</w:t>
      </w:r>
      <w:r>
        <w:rPr>
          <w:rFonts w:ascii="Calibri Light" w:hAnsi="Calibri Light"/>
          <w:spacing w:val="-4"/>
          <w:sz w:val="20"/>
        </w:rPr>
        <w:t xml:space="preserve"> </w:t>
      </w:r>
      <w:r>
        <w:rPr>
          <w:rFonts w:ascii="Calibri Light" w:hAnsi="Calibri Light"/>
          <w:sz w:val="20"/>
        </w:rPr>
        <w:t>to</w:t>
      </w:r>
      <w:r>
        <w:rPr>
          <w:rFonts w:ascii="Calibri Light" w:hAnsi="Calibri Light"/>
          <w:spacing w:val="-5"/>
          <w:sz w:val="20"/>
        </w:rPr>
        <w:t xml:space="preserve"> </w:t>
      </w:r>
      <w:r>
        <w:rPr>
          <w:rFonts w:ascii="Calibri Light" w:hAnsi="Calibri Light"/>
          <w:sz w:val="20"/>
        </w:rPr>
        <w:t>reduce</w:t>
      </w:r>
      <w:r>
        <w:rPr>
          <w:rFonts w:ascii="Calibri Light" w:hAnsi="Calibri Light"/>
          <w:spacing w:val="-2"/>
          <w:sz w:val="20"/>
        </w:rPr>
        <w:t xml:space="preserve"> </w:t>
      </w:r>
      <w:r>
        <w:rPr>
          <w:rFonts w:ascii="Calibri Light" w:hAnsi="Calibri Light"/>
          <w:sz w:val="20"/>
        </w:rPr>
        <w:t>opioid</w:t>
      </w:r>
      <w:r>
        <w:rPr>
          <w:rFonts w:ascii="Calibri Light" w:hAnsi="Calibri Light"/>
          <w:spacing w:val="-2"/>
          <w:sz w:val="20"/>
        </w:rPr>
        <w:t xml:space="preserve"> </w:t>
      </w:r>
      <w:r>
        <w:rPr>
          <w:rFonts w:ascii="Calibri Light" w:hAnsi="Calibri Light"/>
          <w:sz w:val="20"/>
        </w:rPr>
        <w:t>overdose</w:t>
      </w:r>
      <w:r>
        <w:rPr>
          <w:rFonts w:ascii="Calibri Light" w:hAnsi="Calibri Light"/>
          <w:spacing w:val="-4"/>
          <w:sz w:val="20"/>
        </w:rPr>
        <w:t xml:space="preserve"> </w:t>
      </w:r>
      <w:r>
        <w:rPr>
          <w:rFonts w:ascii="Calibri Light" w:hAnsi="Calibri Light"/>
          <w:sz w:val="20"/>
        </w:rPr>
        <w:t>among</w:t>
      </w:r>
      <w:r>
        <w:rPr>
          <w:rFonts w:ascii="Calibri Light" w:hAnsi="Calibri Light"/>
          <w:spacing w:val="-4"/>
          <w:sz w:val="20"/>
        </w:rPr>
        <w:t xml:space="preserve"> </w:t>
      </w:r>
      <w:r>
        <w:rPr>
          <w:rFonts w:ascii="Calibri Light" w:hAnsi="Calibri Light"/>
          <w:sz w:val="20"/>
        </w:rPr>
        <w:t>high-risk</w:t>
      </w:r>
      <w:r>
        <w:rPr>
          <w:rFonts w:ascii="Calibri Light" w:hAnsi="Calibri Light"/>
          <w:spacing w:val="-3"/>
          <w:sz w:val="20"/>
        </w:rPr>
        <w:t xml:space="preserve"> </w:t>
      </w:r>
      <w:r>
        <w:rPr>
          <w:rFonts w:ascii="Calibri Light" w:hAnsi="Calibri Light"/>
          <w:sz w:val="20"/>
        </w:rPr>
        <w:t>persons</w:t>
      </w:r>
      <w:r>
        <w:rPr>
          <w:rFonts w:ascii="Calibri Light" w:hAnsi="Calibri Light"/>
          <w:spacing w:val="-4"/>
          <w:sz w:val="20"/>
        </w:rPr>
        <w:t xml:space="preserve"> </w:t>
      </w:r>
      <w:r>
        <w:rPr>
          <w:rFonts w:ascii="Calibri Light" w:hAnsi="Calibri Light"/>
          <w:sz w:val="20"/>
        </w:rPr>
        <w:t>with</w:t>
      </w:r>
      <w:r>
        <w:rPr>
          <w:rFonts w:ascii="Calibri Light" w:hAnsi="Calibri Light"/>
          <w:spacing w:val="-2"/>
          <w:sz w:val="20"/>
        </w:rPr>
        <w:t xml:space="preserve"> </w:t>
      </w:r>
      <w:r>
        <w:rPr>
          <w:rFonts w:ascii="Calibri Light" w:hAnsi="Calibri Light"/>
          <w:sz w:val="20"/>
        </w:rPr>
        <w:t>opioid</w:t>
      </w:r>
      <w:r>
        <w:rPr>
          <w:rFonts w:ascii="Calibri Light" w:hAnsi="Calibri Light"/>
          <w:spacing w:val="-4"/>
          <w:sz w:val="20"/>
        </w:rPr>
        <w:t xml:space="preserve"> </w:t>
      </w:r>
      <w:r>
        <w:rPr>
          <w:rFonts w:ascii="Calibri Light" w:hAnsi="Calibri Light"/>
          <w:sz w:val="20"/>
        </w:rPr>
        <w:t>use</w:t>
      </w:r>
      <w:r>
        <w:rPr>
          <w:rFonts w:ascii="Calibri Light" w:hAnsi="Calibri Light"/>
          <w:spacing w:val="-4"/>
          <w:sz w:val="20"/>
        </w:rPr>
        <w:t xml:space="preserve"> </w:t>
      </w:r>
      <w:r>
        <w:rPr>
          <w:rFonts w:ascii="Calibri Light" w:hAnsi="Calibri Light"/>
          <w:sz w:val="20"/>
        </w:rPr>
        <w:t>disorder:</w:t>
      </w:r>
      <w:r>
        <w:rPr>
          <w:rFonts w:ascii="Calibri Light" w:hAnsi="Calibri Light"/>
          <w:spacing w:val="-1"/>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pilot</w:t>
      </w:r>
      <w:r>
        <w:rPr>
          <w:rFonts w:ascii="Calibri Light" w:hAnsi="Calibri Light"/>
          <w:spacing w:val="-5"/>
          <w:sz w:val="20"/>
        </w:rPr>
        <w:t xml:space="preserve"> </w:t>
      </w:r>
      <w:r>
        <w:rPr>
          <w:rFonts w:ascii="Calibri Light" w:hAnsi="Calibri Light"/>
          <w:sz w:val="20"/>
        </w:rPr>
        <w:t xml:space="preserve">randomized controlled trial. </w:t>
      </w:r>
      <w:r>
        <w:rPr>
          <w:rFonts w:ascii="Calibri Light" w:hAnsi="Calibri Light"/>
          <w:i/>
          <w:sz w:val="20"/>
        </w:rPr>
        <w:t>PLOS One</w:t>
      </w:r>
      <w:r>
        <w:rPr>
          <w:rFonts w:ascii="Calibri Light" w:hAnsi="Calibri Light"/>
          <w:sz w:val="20"/>
        </w:rPr>
        <w:t xml:space="preserve">, </w:t>
      </w:r>
      <w:r>
        <w:rPr>
          <w:rFonts w:ascii="Calibri Light" w:hAnsi="Calibri Light"/>
          <w:i/>
          <w:sz w:val="20"/>
        </w:rPr>
        <w:t>12</w:t>
      </w:r>
      <w:r>
        <w:rPr>
          <w:rFonts w:ascii="Calibri Light" w:hAnsi="Calibri Light"/>
          <w:sz w:val="20"/>
        </w:rPr>
        <w:t xml:space="preserve">(10), 1–15. Retrieved from </w:t>
      </w:r>
      <w:hyperlink r:id="rId122">
        <w:r>
          <w:rPr>
            <w:rFonts w:ascii="Calibri Light" w:hAnsi="Calibri Light"/>
            <w:color w:val="0563C1"/>
            <w:sz w:val="20"/>
            <w:u w:val="single" w:color="0563C1"/>
          </w:rPr>
          <w:t>www.ncbi.nlm.nih.gov/pubmed/29049282</w:t>
        </w:r>
      </w:hyperlink>
    </w:p>
    <w:p w14:paraId="0374E88F" w14:textId="77777777" w:rsidR="00DB6E1F" w:rsidRDefault="00F666A6">
      <w:pPr>
        <w:spacing w:line="259" w:lineRule="auto"/>
        <w:ind w:left="1619" w:right="1491" w:hanging="180"/>
        <w:rPr>
          <w:rFonts w:ascii="Calibri Light"/>
          <w:sz w:val="20"/>
        </w:rPr>
      </w:pPr>
      <w:r>
        <w:rPr>
          <w:rFonts w:ascii="Calibri Light"/>
          <w:sz w:val="20"/>
        </w:rPr>
        <w:t>Connors,</w:t>
      </w:r>
      <w:r>
        <w:rPr>
          <w:rFonts w:ascii="Calibri Light"/>
          <w:spacing w:val="-1"/>
          <w:sz w:val="20"/>
        </w:rPr>
        <w:t xml:space="preserve"> </w:t>
      </w:r>
      <w:r>
        <w:rPr>
          <w:rFonts w:ascii="Calibri Light"/>
          <w:sz w:val="20"/>
        </w:rPr>
        <w:t>G.</w:t>
      </w:r>
      <w:r>
        <w:rPr>
          <w:rFonts w:ascii="Calibri Light"/>
          <w:spacing w:val="-4"/>
          <w:sz w:val="20"/>
        </w:rPr>
        <w:t xml:space="preserve"> </w:t>
      </w:r>
      <w:r>
        <w:rPr>
          <w:rFonts w:ascii="Calibri Light"/>
          <w:sz w:val="20"/>
        </w:rPr>
        <w:t>J.,</w:t>
      </w:r>
      <w:r>
        <w:rPr>
          <w:rFonts w:ascii="Calibri Light"/>
          <w:spacing w:val="-4"/>
          <w:sz w:val="20"/>
        </w:rPr>
        <w:t xml:space="preserve"> </w:t>
      </w:r>
      <w:r>
        <w:rPr>
          <w:rFonts w:ascii="Calibri Light"/>
          <w:sz w:val="20"/>
        </w:rPr>
        <w:t>DiClemente,</w:t>
      </w:r>
      <w:r>
        <w:rPr>
          <w:rFonts w:ascii="Calibri Light"/>
          <w:spacing w:val="-4"/>
          <w:sz w:val="20"/>
        </w:rPr>
        <w:t xml:space="preserve"> </w:t>
      </w:r>
      <w:r>
        <w:rPr>
          <w:rFonts w:ascii="Calibri Light"/>
          <w:sz w:val="20"/>
        </w:rPr>
        <w:t>C.</w:t>
      </w:r>
      <w:r>
        <w:rPr>
          <w:rFonts w:ascii="Calibri Light"/>
          <w:spacing w:val="-1"/>
          <w:sz w:val="20"/>
        </w:rPr>
        <w:t xml:space="preserve"> </w:t>
      </w:r>
      <w:r>
        <w:rPr>
          <w:rFonts w:ascii="Calibri Light"/>
          <w:sz w:val="20"/>
        </w:rPr>
        <w:t>C.,</w:t>
      </w:r>
      <w:r>
        <w:rPr>
          <w:rFonts w:ascii="Calibri Light"/>
          <w:spacing w:val="-4"/>
          <w:sz w:val="20"/>
        </w:rPr>
        <w:t xml:space="preserve"> </w:t>
      </w:r>
      <w:r>
        <w:rPr>
          <w:rFonts w:ascii="Calibri Light"/>
          <w:sz w:val="20"/>
        </w:rPr>
        <w:t>Velasquez,</w:t>
      </w:r>
      <w:r>
        <w:rPr>
          <w:rFonts w:ascii="Calibri Light"/>
          <w:spacing w:val="-1"/>
          <w:sz w:val="20"/>
        </w:rPr>
        <w:t xml:space="preserve"> </w:t>
      </w:r>
      <w:r>
        <w:rPr>
          <w:rFonts w:ascii="Calibri Light"/>
          <w:sz w:val="20"/>
        </w:rPr>
        <w:t>M.</w:t>
      </w:r>
      <w:r>
        <w:rPr>
          <w:rFonts w:ascii="Calibri Light"/>
          <w:spacing w:val="-4"/>
          <w:sz w:val="20"/>
        </w:rPr>
        <w:t xml:space="preserve"> </w:t>
      </w:r>
      <w:r>
        <w:rPr>
          <w:rFonts w:ascii="Calibri Light"/>
          <w:sz w:val="20"/>
        </w:rPr>
        <w:t>M.,</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Donovan,</w:t>
      </w:r>
      <w:r>
        <w:rPr>
          <w:rFonts w:ascii="Calibri Light"/>
          <w:spacing w:val="-4"/>
          <w:sz w:val="20"/>
        </w:rPr>
        <w:t xml:space="preserve"> </w:t>
      </w:r>
      <w:r>
        <w:rPr>
          <w:rFonts w:ascii="Calibri Light"/>
          <w:sz w:val="20"/>
        </w:rPr>
        <w:t>D.</w:t>
      </w:r>
      <w:r>
        <w:rPr>
          <w:rFonts w:ascii="Calibri Light"/>
          <w:spacing w:val="-4"/>
          <w:sz w:val="20"/>
        </w:rPr>
        <w:t xml:space="preserve"> </w:t>
      </w:r>
      <w:r>
        <w:rPr>
          <w:rFonts w:ascii="Calibri Light"/>
          <w:sz w:val="20"/>
        </w:rPr>
        <w:t>M.</w:t>
      </w:r>
      <w:r>
        <w:rPr>
          <w:rFonts w:ascii="Calibri Light"/>
          <w:spacing w:val="-4"/>
          <w:sz w:val="20"/>
        </w:rPr>
        <w:t xml:space="preserve"> </w:t>
      </w:r>
      <w:r>
        <w:rPr>
          <w:rFonts w:ascii="Calibri Light"/>
          <w:sz w:val="20"/>
        </w:rPr>
        <w:t>(2013).</w:t>
      </w:r>
      <w:r>
        <w:rPr>
          <w:rFonts w:ascii="Calibri Light"/>
          <w:spacing w:val="-4"/>
          <w:sz w:val="20"/>
        </w:rPr>
        <w:t xml:space="preserve"> </w:t>
      </w:r>
      <w:r>
        <w:rPr>
          <w:rFonts w:ascii="Calibri Light"/>
          <w:i/>
          <w:sz w:val="20"/>
        </w:rPr>
        <w:t>Substance</w:t>
      </w:r>
      <w:r>
        <w:rPr>
          <w:rFonts w:ascii="Calibri Light"/>
          <w:i/>
          <w:spacing w:val="-3"/>
          <w:sz w:val="20"/>
        </w:rPr>
        <w:t xml:space="preserve"> </w:t>
      </w:r>
      <w:r>
        <w:rPr>
          <w:rFonts w:ascii="Calibri Light"/>
          <w:i/>
          <w:sz w:val="20"/>
        </w:rPr>
        <w:t>abuse</w:t>
      </w:r>
      <w:r>
        <w:rPr>
          <w:rFonts w:ascii="Calibri Light"/>
          <w:i/>
          <w:spacing w:val="-3"/>
          <w:sz w:val="20"/>
        </w:rPr>
        <w:t xml:space="preserve"> </w:t>
      </w:r>
      <w:r>
        <w:rPr>
          <w:rFonts w:ascii="Calibri Light"/>
          <w:i/>
          <w:sz w:val="20"/>
        </w:rPr>
        <w:t>treatment</w:t>
      </w:r>
      <w:r>
        <w:rPr>
          <w:rFonts w:ascii="Calibri Light"/>
          <w:i/>
          <w:spacing w:val="-4"/>
          <w:sz w:val="20"/>
        </w:rPr>
        <w:t xml:space="preserve"> </w:t>
      </w:r>
      <w:r>
        <w:rPr>
          <w:rFonts w:ascii="Calibri Light"/>
          <w:i/>
          <w:sz w:val="20"/>
        </w:rPr>
        <w:t>and</w:t>
      </w:r>
      <w:r>
        <w:rPr>
          <w:rFonts w:ascii="Calibri Light"/>
          <w:i/>
          <w:spacing w:val="-1"/>
          <w:sz w:val="20"/>
        </w:rPr>
        <w:t xml:space="preserve"> </w:t>
      </w:r>
      <w:r>
        <w:rPr>
          <w:rFonts w:ascii="Calibri Light"/>
          <w:i/>
          <w:sz w:val="20"/>
        </w:rPr>
        <w:t>the stages of change: Selecting and planning interventions</w:t>
      </w:r>
      <w:r>
        <w:rPr>
          <w:rFonts w:ascii="Calibri Light"/>
          <w:sz w:val="20"/>
        </w:rPr>
        <w:t>. New York, NY: Guilford Press.</w:t>
      </w:r>
    </w:p>
    <w:p w14:paraId="370A6036" w14:textId="77777777" w:rsidR="00DB6E1F" w:rsidRDefault="00F666A6">
      <w:pPr>
        <w:spacing w:line="259" w:lineRule="auto"/>
        <w:ind w:left="1619" w:right="1491" w:hanging="180"/>
        <w:rPr>
          <w:rFonts w:ascii="Calibri Light" w:hAnsi="Calibri Light"/>
          <w:sz w:val="20"/>
        </w:rPr>
      </w:pPr>
      <w:r>
        <w:rPr>
          <w:rFonts w:ascii="Calibri Light" w:hAnsi="Calibri Light"/>
          <w:sz w:val="20"/>
        </w:rPr>
        <w:t>Copeland,</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Gates,</w:t>
      </w:r>
      <w:r>
        <w:rPr>
          <w:rFonts w:ascii="Calibri Light" w:hAnsi="Calibri Light"/>
          <w:spacing w:val="-1"/>
          <w:sz w:val="20"/>
        </w:rPr>
        <w:t xml:space="preserve"> </w:t>
      </w:r>
      <w:r>
        <w:rPr>
          <w:rFonts w:ascii="Calibri Light" w:hAnsi="Calibri Light"/>
          <w:sz w:val="20"/>
        </w:rPr>
        <w:t>P.,</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Pokorski,</w:t>
      </w:r>
      <w:r>
        <w:rPr>
          <w:rFonts w:ascii="Calibri Light" w:hAnsi="Calibri Light"/>
          <w:spacing w:val="-4"/>
          <w:sz w:val="20"/>
        </w:rPr>
        <w:t xml:space="preserve"> </w:t>
      </w:r>
      <w:r>
        <w:rPr>
          <w:rFonts w:ascii="Calibri Light" w:hAnsi="Calibri Light"/>
          <w:sz w:val="20"/>
        </w:rPr>
        <w:t>I.</w:t>
      </w:r>
      <w:r>
        <w:rPr>
          <w:rFonts w:ascii="Calibri Light" w:hAnsi="Calibri Light"/>
          <w:spacing w:val="-4"/>
          <w:sz w:val="20"/>
        </w:rPr>
        <w:t xml:space="preserve"> </w:t>
      </w:r>
      <w:r>
        <w:rPr>
          <w:rFonts w:ascii="Calibri Light" w:hAnsi="Calibri Light"/>
          <w:sz w:val="20"/>
        </w:rPr>
        <w:t>(2017).</w:t>
      </w:r>
      <w:r>
        <w:rPr>
          <w:rFonts w:ascii="Calibri Light" w:hAnsi="Calibri Light"/>
          <w:spacing w:val="-4"/>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narrative</w:t>
      </w:r>
      <w:r>
        <w:rPr>
          <w:rFonts w:ascii="Calibri Light" w:hAnsi="Calibri Light"/>
          <w:spacing w:val="-3"/>
          <w:sz w:val="20"/>
        </w:rPr>
        <w:t xml:space="preserve"> </w:t>
      </w:r>
      <w:r>
        <w:rPr>
          <w:rFonts w:ascii="Calibri Light" w:hAnsi="Calibri Light"/>
          <w:sz w:val="20"/>
        </w:rPr>
        <w:t>review</w:t>
      </w:r>
      <w:r>
        <w:rPr>
          <w:rFonts w:ascii="Calibri Light" w:hAnsi="Calibri Light"/>
          <w:spacing w:val="-3"/>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psychological</w:t>
      </w:r>
      <w:r>
        <w:rPr>
          <w:rFonts w:ascii="Calibri Light" w:hAnsi="Calibri Light"/>
          <w:spacing w:val="-2"/>
          <w:sz w:val="20"/>
        </w:rPr>
        <w:t xml:space="preserve"> </w:t>
      </w:r>
      <w:r>
        <w:rPr>
          <w:rFonts w:ascii="Calibri Light" w:hAnsi="Calibri Light"/>
          <w:sz w:val="20"/>
        </w:rPr>
        <w:t>cannabis</w:t>
      </w:r>
      <w:r>
        <w:rPr>
          <w:rFonts w:ascii="Calibri Light" w:hAnsi="Calibri Light"/>
          <w:spacing w:val="-3"/>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treatments</w:t>
      </w:r>
      <w:r>
        <w:rPr>
          <w:rFonts w:ascii="Calibri Light" w:hAnsi="Calibri Light"/>
          <w:spacing w:val="-1"/>
          <w:sz w:val="20"/>
        </w:rPr>
        <w:t xml:space="preserve"> </w:t>
      </w:r>
      <w:r>
        <w:rPr>
          <w:rFonts w:ascii="Calibri Light" w:hAnsi="Calibri Light"/>
          <w:sz w:val="20"/>
        </w:rPr>
        <w:t>with</w:t>
      </w:r>
      <w:r>
        <w:rPr>
          <w:rFonts w:ascii="Calibri Light" w:hAnsi="Calibri Light"/>
          <w:spacing w:val="-3"/>
          <w:sz w:val="20"/>
        </w:rPr>
        <w:t xml:space="preserve"> </w:t>
      </w:r>
      <w:r>
        <w:rPr>
          <w:rFonts w:ascii="Calibri Light" w:hAnsi="Calibri Light"/>
          <w:sz w:val="20"/>
        </w:rPr>
        <w:t>and without pharmaceuti</w:t>
      </w:r>
      <w:r>
        <w:rPr>
          <w:rFonts w:ascii="Calibri Light" w:hAnsi="Calibri Light"/>
          <w:sz w:val="20"/>
        </w:rPr>
        <w:t xml:space="preserve">cal adjunct. </w:t>
      </w:r>
      <w:r>
        <w:rPr>
          <w:rFonts w:ascii="Calibri Light" w:hAnsi="Calibri Light"/>
          <w:i/>
          <w:sz w:val="20"/>
        </w:rPr>
        <w:t>Current Pharmaceutical Design, 22</w:t>
      </w:r>
      <w:r>
        <w:rPr>
          <w:rFonts w:ascii="Calibri Light" w:hAnsi="Calibri Light"/>
          <w:sz w:val="20"/>
        </w:rPr>
        <w:t xml:space="preserve">(42), 6397–6408. </w:t>
      </w:r>
      <w:r>
        <w:rPr>
          <w:rFonts w:ascii="Calibri Light" w:hAnsi="Calibri Light"/>
          <w:spacing w:val="-2"/>
          <w:sz w:val="20"/>
        </w:rPr>
        <w:t>doi:10.2174/1381612822666160831094811</w:t>
      </w:r>
    </w:p>
    <w:p w14:paraId="2419BC2E" w14:textId="77777777" w:rsidR="00DB6E1F" w:rsidRDefault="00F666A6">
      <w:pPr>
        <w:spacing w:line="259" w:lineRule="auto"/>
        <w:ind w:left="1619" w:right="1491" w:hanging="181"/>
        <w:rPr>
          <w:rFonts w:ascii="Calibri Light" w:hAnsi="Calibri Light"/>
          <w:sz w:val="20"/>
        </w:rPr>
      </w:pPr>
      <w:r>
        <w:rPr>
          <w:rFonts w:ascii="Calibri Light" w:hAnsi="Calibri Light"/>
          <w:sz w:val="20"/>
        </w:rPr>
        <w:t>Copeland, L., McNamara, R., Kelson, M., &amp; Simpson, S. (2015). Mechanisms of change within motivational interviewing</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relation</w:t>
      </w:r>
      <w:r>
        <w:rPr>
          <w:rFonts w:ascii="Calibri Light" w:hAnsi="Calibri Light"/>
          <w:spacing w:val="-3"/>
          <w:sz w:val="20"/>
        </w:rPr>
        <w:t xml:space="preserve"> </w:t>
      </w:r>
      <w:r>
        <w:rPr>
          <w:rFonts w:ascii="Calibri Light" w:hAnsi="Calibri Light"/>
          <w:sz w:val="20"/>
        </w:rPr>
        <w:t>to</w:t>
      </w:r>
      <w:r>
        <w:rPr>
          <w:rFonts w:ascii="Calibri Light" w:hAnsi="Calibri Light"/>
          <w:spacing w:val="-4"/>
          <w:sz w:val="20"/>
        </w:rPr>
        <w:t xml:space="preserve"> </w:t>
      </w:r>
      <w:r>
        <w:rPr>
          <w:rFonts w:ascii="Calibri Light" w:hAnsi="Calibri Light"/>
          <w:sz w:val="20"/>
        </w:rPr>
        <w:t>health</w:t>
      </w:r>
      <w:r>
        <w:rPr>
          <w:rFonts w:ascii="Calibri Light" w:hAnsi="Calibri Light"/>
          <w:spacing w:val="-3"/>
          <w:sz w:val="20"/>
        </w:rPr>
        <w:t xml:space="preserve"> </w:t>
      </w:r>
      <w:r>
        <w:rPr>
          <w:rFonts w:ascii="Calibri Light" w:hAnsi="Calibri Light"/>
          <w:sz w:val="20"/>
        </w:rPr>
        <w:t>behaviors</w:t>
      </w:r>
      <w:r>
        <w:rPr>
          <w:rFonts w:ascii="Calibri Light" w:hAnsi="Calibri Light"/>
          <w:spacing w:val="-1"/>
          <w:sz w:val="20"/>
        </w:rPr>
        <w:t xml:space="preserve"> </w:t>
      </w:r>
      <w:r>
        <w:rPr>
          <w:rFonts w:ascii="Calibri Light" w:hAnsi="Calibri Light"/>
          <w:sz w:val="20"/>
        </w:rPr>
        <w:t>outcomes: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systematic</w:t>
      </w:r>
      <w:r>
        <w:rPr>
          <w:rFonts w:ascii="Calibri Light" w:hAnsi="Calibri Light"/>
          <w:spacing w:val="-4"/>
          <w:sz w:val="20"/>
        </w:rPr>
        <w:t xml:space="preserve"> </w:t>
      </w:r>
      <w:r>
        <w:rPr>
          <w:rFonts w:ascii="Calibri Light" w:hAnsi="Calibri Light"/>
          <w:sz w:val="20"/>
        </w:rPr>
        <w:t>review.</w:t>
      </w:r>
      <w:r>
        <w:rPr>
          <w:rFonts w:ascii="Calibri Light" w:hAnsi="Calibri Light"/>
          <w:spacing w:val="-3"/>
          <w:sz w:val="20"/>
        </w:rPr>
        <w:t xml:space="preserve"> </w:t>
      </w:r>
      <w:r>
        <w:rPr>
          <w:rFonts w:ascii="Calibri Light" w:hAnsi="Calibri Light"/>
          <w:i/>
          <w:sz w:val="20"/>
        </w:rPr>
        <w:t>Patient</w:t>
      </w:r>
      <w:r>
        <w:rPr>
          <w:rFonts w:ascii="Calibri Light" w:hAnsi="Calibri Light"/>
          <w:i/>
          <w:spacing w:val="-4"/>
          <w:sz w:val="20"/>
        </w:rPr>
        <w:t xml:space="preserve"> </w:t>
      </w:r>
      <w:r>
        <w:rPr>
          <w:rFonts w:ascii="Calibri Light" w:hAnsi="Calibri Light"/>
          <w:i/>
          <w:sz w:val="20"/>
        </w:rPr>
        <w:t>Education</w:t>
      </w:r>
      <w:r>
        <w:rPr>
          <w:rFonts w:ascii="Calibri Light" w:hAnsi="Calibri Light"/>
          <w:i/>
          <w:spacing w:val="-3"/>
          <w:sz w:val="20"/>
        </w:rPr>
        <w:t xml:space="preserve"> </w:t>
      </w:r>
      <w:r>
        <w:rPr>
          <w:rFonts w:ascii="Calibri Light" w:hAnsi="Calibri Light"/>
          <w:i/>
          <w:sz w:val="20"/>
        </w:rPr>
        <w:t>and</w:t>
      </w:r>
      <w:r>
        <w:rPr>
          <w:rFonts w:ascii="Calibri Light" w:hAnsi="Calibri Light"/>
          <w:i/>
          <w:spacing w:val="-3"/>
          <w:sz w:val="20"/>
        </w:rPr>
        <w:t xml:space="preserve"> </w:t>
      </w:r>
      <w:r>
        <w:rPr>
          <w:rFonts w:ascii="Calibri Light" w:hAnsi="Calibri Light"/>
          <w:i/>
          <w:sz w:val="20"/>
        </w:rPr>
        <w:t>Counseling</w:t>
      </w:r>
      <w:r>
        <w:rPr>
          <w:rFonts w:ascii="Calibri Light" w:hAnsi="Calibri Light"/>
          <w:sz w:val="20"/>
        </w:rPr>
        <w:t xml:space="preserve">, </w:t>
      </w:r>
      <w:r>
        <w:rPr>
          <w:rFonts w:ascii="Calibri Light" w:hAnsi="Calibri Light"/>
          <w:i/>
          <w:sz w:val="20"/>
        </w:rPr>
        <w:t>98</w:t>
      </w:r>
      <w:r>
        <w:rPr>
          <w:rFonts w:ascii="Calibri Light" w:hAnsi="Calibri Light"/>
          <w:sz w:val="20"/>
        </w:rPr>
        <w:t>(4), 401–411. doi:10.1016/j.pec.2014.11.0</w:t>
      </w:r>
      <w:r>
        <w:rPr>
          <w:rFonts w:ascii="Calibri Light" w:hAnsi="Calibri Light"/>
          <w:sz w:val="20"/>
        </w:rPr>
        <w:t>22</w:t>
      </w:r>
    </w:p>
    <w:p w14:paraId="0A54EBE8" w14:textId="77777777" w:rsidR="00DB6E1F" w:rsidRDefault="00F666A6">
      <w:pPr>
        <w:spacing w:line="259" w:lineRule="auto"/>
        <w:ind w:left="1619" w:right="1491" w:hanging="180"/>
        <w:rPr>
          <w:rFonts w:ascii="Calibri Light" w:hAnsi="Calibri Light"/>
          <w:sz w:val="20"/>
        </w:rPr>
      </w:pPr>
      <w:r>
        <w:rPr>
          <w:rFonts w:ascii="Calibri Light" w:hAnsi="Calibri Light"/>
          <w:sz w:val="20"/>
        </w:rPr>
        <w:t>Cunningham, J. A., Sobell, L. C., Gavin, D. R., Sobell, M. B., &amp; Breslin, F. C. (1997). Assessing motivation for change: Preliminary</w:t>
      </w:r>
      <w:r>
        <w:rPr>
          <w:rFonts w:ascii="Calibri Light" w:hAnsi="Calibri Light"/>
          <w:spacing w:val="-2"/>
          <w:sz w:val="20"/>
        </w:rPr>
        <w:t xml:space="preserve"> </w:t>
      </w:r>
      <w:r>
        <w:rPr>
          <w:rFonts w:ascii="Calibri Light" w:hAnsi="Calibri Light"/>
          <w:sz w:val="20"/>
        </w:rPr>
        <w:t>development</w:t>
      </w:r>
      <w:r>
        <w:rPr>
          <w:rFonts w:ascii="Calibri Light" w:hAnsi="Calibri Light"/>
          <w:spacing w:val="-1"/>
          <w:sz w:val="20"/>
        </w:rPr>
        <w:t xml:space="preserve"> </w:t>
      </w:r>
      <w:r>
        <w:rPr>
          <w:rFonts w:ascii="Calibri Light" w:hAnsi="Calibri Light"/>
          <w:sz w:val="20"/>
        </w:rPr>
        <w:t>and</w:t>
      </w:r>
      <w:r>
        <w:rPr>
          <w:rFonts w:ascii="Calibri Light" w:hAnsi="Calibri Light"/>
          <w:spacing w:val="-1"/>
          <w:sz w:val="20"/>
        </w:rPr>
        <w:t xml:space="preserve"> </w:t>
      </w:r>
      <w:r>
        <w:rPr>
          <w:rFonts w:ascii="Calibri Light" w:hAnsi="Calibri Light"/>
          <w:sz w:val="20"/>
        </w:rPr>
        <w:t>evaluation</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scale</w:t>
      </w:r>
      <w:r>
        <w:rPr>
          <w:rFonts w:ascii="Calibri Light" w:hAnsi="Calibri Light"/>
          <w:spacing w:val="-3"/>
          <w:sz w:val="20"/>
        </w:rPr>
        <w:t xml:space="preserve"> </w:t>
      </w:r>
      <w:r>
        <w:rPr>
          <w:rFonts w:ascii="Calibri Light" w:hAnsi="Calibri Light"/>
          <w:sz w:val="20"/>
        </w:rPr>
        <w:t>measuring</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costs</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benefits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changing</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or</w:t>
      </w:r>
      <w:r>
        <w:rPr>
          <w:rFonts w:ascii="Calibri Light" w:hAnsi="Calibri Light"/>
          <w:spacing w:val="-2"/>
          <w:sz w:val="20"/>
        </w:rPr>
        <w:t xml:space="preserve"> </w:t>
      </w:r>
      <w:r>
        <w:rPr>
          <w:rFonts w:ascii="Calibri Light" w:hAnsi="Calibri Light"/>
          <w:sz w:val="20"/>
        </w:rPr>
        <w:t xml:space="preserve">drug use. </w:t>
      </w:r>
      <w:r>
        <w:rPr>
          <w:rFonts w:ascii="Calibri Light" w:hAnsi="Calibri Light"/>
          <w:i/>
          <w:sz w:val="20"/>
        </w:rPr>
        <w:t>Psychology of Addictive Behaviors</w:t>
      </w:r>
      <w:r>
        <w:rPr>
          <w:rFonts w:ascii="Calibri Light" w:hAnsi="Calibri Light"/>
          <w:sz w:val="20"/>
        </w:rPr>
        <w:t xml:space="preserve">, </w:t>
      </w:r>
      <w:r>
        <w:rPr>
          <w:rFonts w:ascii="Calibri Light" w:hAnsi="Calibri Light"/>
          <w:i/>
          <w:sz w:val="20"/>
        </w:rPr>
        <w:t>11</w:t>
      </w:r>
      <w:r>
        <w:rPr>
          <w:rFonts w:ascii="Calibri Light" w:hAnsi="Calibri Light"/>
          <w:sz w:val="20"/>
        </w:rPr>
        <w:t>(2), 107–114.</w:t>
      </w:r>
    </w:p>
    <w:p w14:paraId="76EAE9C9" w14:textId="77777777" w:rsidR="00DB6E1F" w:rsidRDefault="00F666A6">
      <w:pPr>
        <w:spacing w:line="259" w:lineRule="auto"/>
        <w:ind w:left="1619" w:right="1491" w:hanging="181"/>
        <w:rPr>
          <w:rFonts w:ascii="Calibri Light" w:hAnsi="Calibri Light"/>
          <w:sz w:val="20"/>
        </w:rPr>
      </w:pPr>
      <w:r>
        <w:rPr>
          <w:rFonts w:ascii="Calibri Light" w:hAnsi="Calibri Light"/>
          <w:sz w:val="20"/>
        </w:rPr>
        <w:t>D’Amico, E. J., Houck, J. M., Hunter, S. B., Miles, J. N., Osilla, K. C., &amp; Ewing, B. A. (2015). Group motivational interviewing</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adolescents:</w:t>
      </w:r>
      <w:r>
        <w:rPr>
          <w:rFonts w:ascii="Calibri Light" w:hAnsi="Calibri Light"/>
          <w:spacing w:val="-1"/>
          <w:sz w:val="20"/>
        </w:rPr>
        <w:t xml:space="preserve"> </w:t>
      </w:r>
      <w:r>
        <w:rPr>
          <w:rFonts w:ascii="Calibri Light" w:hAnsi="Calibri Light"/>
          <w:sz w:val="20"/>
        </w:rPr>
        <w:t>Change</w:t>
      </w:r>
      <w:r>
        <w:rPr>
          <w:rFonts w:ascii="Calibri Light" w:hAnsi="Calibri Light"/>
          <w:spacing w:val="-4"/>
          <w:sz w:val="20"/>
        </w:rPr>
        <w:t xml:space="preserve"> </w:t>
      </w:r>
      <w:r>
        <w:rPr>
          <w:rFonts w:ascii="Calibri Light" w:hAnsi="Calibri Light"/>
          <w:sz w:val="20"/>
        </w:rPr>
        <w:t>talk</w:t>
      </w:r>
      <w:r>
        <w:rPr>
          <w:rFonts w:ascii="Calibri Light" w:hAnsi="Calibri Light"/>
          <w:spacing w:val="-3"/>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alcohol</w:t>
      </w:r>
      <w:r>
        <w:rPr>
          <w:rFonts w:ascii="Calibri Light" w:hAnsi="Calibri Light"/>
          <w:spacing w:val="-2"/>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marijuana</w:t>
      </w:r>
      <w:r>
        <w:rPr>
          <w:rFonts w:ascii="Calibri Light" w:hAnsi="Calibri Light"/>
          <w:spacing w:val="-2"/>
          <w:sz w:val="20"/>
        </w:rPr>
        <w:t xml:space="preserve"> </w:t>
      </w:r>
      <w:r>
        <w:rPr>
          <w:rFonts w:ascii="Calibri Light" w:hAnsi="Calibri Light"/>
          <w:sz w:val="20"/>
        </w:rPr>
        <w:t>outcomes.</w:t>
      </w:r>
      <w:r>
        <w:rPr>
          <w:rFonts w:ascii="Calibri Light" w:hAnsi="Calibri Light"/>
          <w:spacing w:val="-5"/>
          <w:sz w:val="20"/>
        </w:rPr>
        <w:t xml:space="preserve"> </w:t>
      </w:r>
      <w:r>
        <w:rPr>
          <w:rFonts w:ascii="Calibri Light" w:hAnsi="Calibri Light"/>
          <w:i/>
          <w:sz w:val="20"/>
        </w:rPr>
        <w:t>Journal</w:t>
      </w:r>
      <w:r>
        <w:rPr>
          <w:rFonts w:ascii="Calibri Light" w:hAnsi="Calibri Light"/>
          <w:i/>
          <w:spacing w:val="-2"/>
          <w:sz w:val="20"/>
        </w:rPr>
        <w:t xml:space="preserve"> </w:t>
      </w:r>
      <w:r>
        <w:rPr>
          <w:rFonts w:ascii="Calibri Light" w:hAnsi="Calibri Light"/>
          <w:i/>
          <w:sz w:val="20"/>
        </w:rPr>
        <w:t>of</w:t>
      </w:r>
      <w:r>
        <w:rPr>
          <w:rFonts w:ascii="Calibri Light" w:hAnsi="Calibri Light"/>
          <w:i/>
          <w:spacing w:val="-4"/>
          <w:sz w:val="20"/>
        </w:rPr>
        <w:t xml:space="preserve"> </w:t>
      </w:r>
      <w:r>
        <w:rPr>
          <w:rFonts w:ascii="Calibri Light" w:hAnsi="Calibri Light"/>
          <w:i/>
          <w:sz w:val="20"/>
        </w:rPr>
        <w:t>Consulting</w:t>
      </w:r>
      <w:r>
        <w:rPr>
          <w:rFonts w:ascii="Calibri Light" w:hAnsi="Calibri Light"/>
          <w:i/>
          <w:spacing w:val="-4"/>
          <w:sz w:val="20"/>
        </w:rPr>
        <w:t xml:space="preserve"> </w:t>
      </w:r>
      <w:r>
        <w:rPr>
          <w:rFonts w:ascii="Calibri Light" w:hAnsi="Calibri Light"/>
          <w:i/>
          <w:sz w:val="20"/>
        </w:rPr>
        <w:t>and</w:t>
      </w:r>
      <w:r>
        <w:rPr>
          <w:rFonts w:ascii="Calibri Light" w:hAnsi="Calibri Light"/>
          <w:i/>
          <w:spacing w:val="-4"/>
          <w:sz w:val="20"/>
        </w:rPr>
        <w:t xml:space="preserve"> </w:t>
      </w:r>
      <w:r>
        <w:rPr>
          <w:rFonts w:ascii="Calibri Light" w:hAnsi="Calibri Light"/>
          <w:i/>
          <w:sz w:val="20"/>
        </w:rPr>
        <w:t>Clinical Psychology, 83</w:t>
      </w:r>
      <w:r>
        <w:rPr>
          <w:rFonts w:ascii="Calibri Light" w:hAnsi="Calibri Light"/>
          <w:sz w:val="20"/>
        </w:rPr>
        <w:t>(1), 68–80. doi:10.1037/a0038155</w:t>
      </w:r>
    </w:p>
    <w:p w14:paraId="2D17C14D" w14:textId="77777777" w:rsidR="00DB6E1F" w:rsidRDefault="00F666A6">
      <w:pPr>
        <w:spacing w:line="259" w:lineRule="auto"/>
        <w:ind w:left="1619" w:right="1491" w:hanging="180"/>
        <w:rPr>
          <w:rFonts w:ascii="Calibri Light" w:hAnsi="Calibri Light"/>
          <w:sz w:val="20"/>
        </w:rPr>
      </w:pPr>
      <w:r>
        <w:rPr>
          <w:rFonts w:ascii="Calibri Light" w:hAnsi="Calibri Light"/>
          <w:sz w:val="20"/>
        </w:rPr>
        <w:t>Davis, J. P., Houck, J. M., Rowell, L. N., Benson, J. G., &amp; Smith, D. C. (2015). Brief motivational interviewing and normative</w:t>
      </w:r>
      <w:r>
        <w:rPr>
          <w:rFonts w:ascii="Calibri Light" w:hAnsi="Calibri Light"/>
          <w:spacing w:val="-3"/>
          <w:sz w:val="20"/>
        </w:rPr>
        <w:t xml:space="preserve"> </w:t>
      </w:r>
      <w:r>
        <w:rPr>
          <w:rFonts w:ascii="Calibri Light" w:hAnsi="Calibri Light"/>
          <w:sz w:val="20"/>
        </w:rPr>
        <w:t>feedback</w:t>
      </w:r>
      <w:r>
        <w:rPr>
          <w:rFonts w:ascii="Calibri Light" w:hAnsi="Calibri Light"/>
          <w:spacing w:val="-2"/>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adolescents:</w:t>
      </w:r>
      <w:r>
        <w:rPr>
          <w:rFonts w:ascii="Calibri Light" w:hAnsi="Calibri Light"/>
          <w:spacing w:val="-3"/>
          <w:sz w:val="20"/>
        </w:rPr>
        <w:t xml:space="preserve"> </w:t>
      </w:r>
      <w:r>
        <w:rPr>
          <w:rFonts w:ascii="Calibri Light" w:hAnsi="Calibri Light"/>
          <w:sz w:val="20"/>
        </w:rPr>
        <w:t>Change</w:t>
      </w:r>
      <w:r>
        <w:rPr>
          <w:rFonts w:ascii="Calibri Light" w:hAnsi="Calibri Light"/>
          <w:spacing w:val="-3"/>
          <w:sz w:val="20"/>
        </w:rPr>
        <w:t xml:space="preserve"> </w:t>
      </w:r>
      <w:r>
        <w:rPr>
          <w:rFonts w:ascii="Calibri Light" w:hAnsi="Calibri Light"/>
          <w:sz w:val="20"/>
        </w:rPr>
        <w:t>language</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outcomes.</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Substance</w:t>
      </w:r>
      <w:r>
        <w:rPr>
          <w:rFonts w:ascii="Calibri Light" w:hAnsi="Calibri Light"/>
          <w:i/>
          <w:spacing w:val="-3"/>
          <w:sz w:val="20"/>
        </w:rPr>
        <w:t xml:space="preserve"> </w:t>
      </w:r>
      <w:r>
        <w:rPr>
          <w:rFonts w:ascii="Calibri Light" w:hAnsi="Calibri Light"/>
          <w:i/>
          <w:sz w:val="20"/>
        </w:rPr>
        <w:t>Abuse Treatment</w:t>
      </w:r>
      <w:r>
        <w:rPr>
          <w:rFonts w:ascii="Calibri Light" w:hAnsi="Calibri Light"/>
          <w:sz w:val="20"/>
        </w:rPr>
        <w:t xml:space="preserve">, </w:t>
      </w:r>
      <w:r>
        <w:rPr>
          <w:rFonts w:ascii="Calibri Light" w:hAnsi="Calibri Light"/>
          <w:i/>
          <w:sz w:val="20"/>
        </w:rPr>
        <w:t>65</w:t>
      </w:r>
      <w:r>
        <w:rPr>
          <w:rFonts w:ascii="Calibri Light" w:hAnsi="Calibri Light"/>
          <w:sz w:val="20"/>
        </w:rPr>
        <w:t>, 66–73.</w:t>
      </w:r>
    </w:p>
    <w:p w14:paraId="035F756D" w14:textId="77777777" w:rsidR="00DB6E1F" w:rsidRDefault="00DB6E1F">
      <w:pPr>
        <w:spacing w:line="259" w:lineRule="auto"/>
        <w:rPr>
          <w:rFonts w:ascii="Calibri Light" w:hAnsi="Calibri Light"/>
          <w:sz w:val="20"/>
        </w:rPr>
        <w:sectPr w:rsidR="00DB6E1F">
          <w:pgSz w:w="12240" w:h="15840"/>
          <w:pgMar w:top="1080" w:right="0" w:bottom="780" w:left="0" w:header="619" w:footer="585" w:gutter="0"/>
          <w:cols w:space="720"/>
        </w:sectPr>
      </w:pPr>
    </w:p>
    <w:p w14:paraId="002890E5" w14:textId="77777777" w:rsidR="00DB6E1F" w:rsidRDefault="00DB6E1F">
      <w:pPr>
        <w:pStyle w:val="BodyText"/>
        <w:spacing w:before="4"/>
        <w:rPr>
          <w:rFonts w:ascii="Calibri Light"/>
          <w:sz w:val="24"/>
        </w:rPr>
      </w:pPr>
    </w:p>
    <w:p w14:paraId="2F4B60CF" w14:textId="77777777" w:rsidR="00DB6E1F" w:rsidRDefault="00F666A6">
      <w:pPr>
        <w:spacing w:before="60" w:line="259" w:lineRule="auto"/>
        <w:ind w:left="1619" w:right="1491" w:hanging="180"/>
        <w:rPr>
          <w:rFonts w:ascii="Calibri Light" w:hAnsi="Calibri Light"/>
          <w:sz w:val="20"/>
        </w:rPr>
      </w:pPr>
      <w:r>
        <w:rPr>
          <w:rFonts w:ascii="Calibri Light" w:hAnsi="Calibri Light"/>
          <w:sz w:val="20"/>
        </w:rPr>
        <w:t>Deci,</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Ryan,</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(2012).</w:t>
      </w:r>
      <w:r>
        <w:rPr>
          <w:rFonts w:ascii="Calibri Light" w:hAnsi="Calibri Light"/>
          <w:spacing w:val="-3"/>
          <w:sz w:val="20"/>
        </w:rPr>
        <w:t xml:space="preserve"> </w:t>
      </w:r>
      <w:r>
        <w:rPr>
          <w:rFonts w:ascii="Calibri Light" w:hAnsi="Calibri Light"/>
          <w:sz w:val="20"/>
        </w:rPr>
        <w:t>Overview</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self-determination</w:t>
      </w:r>
      <w:r>
        <w:rPr>
          <w:rFonts w:ascii="Calibri Light" w:hAnsi="Calibri Light"/>
          <w:spacing w:val="-2"/>
          <w:sz w:val="20"/>
        </w:rPr>
        <w:t xml:space="preserve"> </w:t>
      </w:r>
      <w:r>
        <w:rPr>
          <w:rFonts w:ascii="Calibri Light" w:hAnsi="Calibri Light"/>
          <w:sz w:val="20"/>
        </w:rPr>
        <w:t>theory:</w:t>
      </w:r>
      <w:r>
        <w:rPr>
          <w:rFonts w:ascii="Calibri Light" w:hAnsi="Calibri Light"/>
          <w:spacing w:val="-2"/>
          <w:sz w:val="20"/>
        </w:rPr>
        <w:t xml:space="preserve"> </w:t>
      </w:r>
      <w:r>
        <w:rPr>
          <w:rFonts w:ascii="Calibri Light" w:hAnsi="Calibri Light"/>
          <w:sz w:val="20"/>
        </w:rPr>
        <w:t>An</w:t>
      </w:r>
      <w:r>
        <w:rPr>
          <w:rFonts w:ascii="Calibri Light" w:hAnsi="Calibri Light"/>
          <w:spacing w:val="-2"/>
          <w:sz w:val="20"/>
        </w:rPr>
        <w:t xml:space="preserve"> </w:t>
      </w:r>
      <w:r>
        <w:rPr>
          <w:rFonts w:ascii="Calibri Light" w:hAnsi="Calibri Light"/>
          <w:sz w:val="20"/>
        </w:rPr>
        <w:t>organismic</w:t>
      </w:r>
      <w:r>
        <w:rPr>
          <w:rFonts w:ascii="Calibri Light" w:hAnsi="Calibri Light"/>
          <w:spacing w:val="-3"/>
          <w:sz w:val="20"/>
        </w:rPr>
        <w:t xml:space="preserve"> </w:t>
      </w:r>
      <w:r>
        <w:rPr>
          <w:rFonts w:ascii="Calibri Light" w:hAnsi="Calibri Light"/>
          <w:sz w:val="20"/>
        </w:rPr>
        <w:t>dialectical</w:t>
      </w:r>
      <w:r>
        <w:rPr>
          <w:rFonts w:ascii="Calibri Light" w:hAnsi="Calibri Light"/>
          <w:spacing w:val="-3"/>
          <w:sz w:val="20"/>
        </w:rPr>
        <w:t xml:space="preserve"> </w:t>
      </w:r>
      <w:r>
        <w:rPr>
          <w:rFonts w:ascii="Calibri Light" w:hAnsi="Calibri Light"/>
          <w:sz w:val="20"/>
        </w:rPr>
        <w:t>perspective.</w:t>
      </w:r>
      <w:r>
        <w:rPr>
          <w:rFonts w:ascii="Calibri Light" w:hAnsi="Calibri Light"/>
          <w:spacing w:val="-3"/>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 xml:space="preserve">E. Deci &amp; R. M. Ryan (Eds.), </w:t>
      </w:r>
      <w:r>
        <w:rPr>
          <w:rFonts w:ascii="Calibri Light" w:hAnsi="Calibri Light"/>
          <w:i/>
          <w:sz w:val="20"/>
        </w:rPr>
        <w:t xml:space="preserve">Handbook of self-determination research </w:t>
      </w:r>
      <w:r>
        <w:rPr>
          <w:rFonts w:ascii="Calibri Light" w:hAnsi="Calibri Light"/>
          <w:sz w:val="20"/>
        </w:rPr>
        <w:t>(pp. 3–38). Rochester, NY: University of Rochester Press.</w:t>
      </w:r>
    </w:p>
    <w:p w14:paraId="79CDA0D7" w14:textId="77777777" w:rsidR="00DB6E1F" w:rsidRDefault="00F666A6">
      <w:pPr>
        <w:spacing w:line="259" w:lineRule="auto"/>
        <w:ind w:left="1619" w:right="1491" w:hanging="180"/>
        <w:rPr>
          <w:rFonts w:ascii="Calibri Light" w:hAnsi="Calibri Light"/>
          <w:sz w:val="20"/>
        </w:rPr>
      </w:pPr>
      <w:r>
        <w:rPr>
          <w:rFonts w:ascii="Calibri Light" w:hAnsi="Calibri Light"/>
          <w:sz w:val="20"/>
        </w:rPr>
        <w:t>Dennis,</w:t>
      </w:r>
      <w:r>
        <w:rPr>
          <w:rFonts w:ascii="Calibri Light" w:hAnsi="Calibri Light"/>
          <w:spacing w:val="-1"/>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L.,</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Scott,</w:t>
      </w:r>
      <w:r>
        <w:rPr>
          <w:rFonts w:ascii="Calibri Light" w:hAnsi="Calibri Light"/>
          <w:spacing w:val="-4"/>
          <w:sz w:val="20"/>
        </w:rPr>
        <w:t xml:space="preserve"> </w:t>
      </w:r>
      <w:r>
        <w:rPr>
          <w:rFonts w:ascii="Calibri Light" w:hAnsi="Calibri Light"/>
          <w:sz w:val="20"/>
        </w:rPr>
        <w:t>C.</w:t>
      </w:r>
      <w:r>
        <w:rPr>
          <w:rFonts w:ascii="Calibri Light" w:hAnsi="Calibri Light"/>
          <w:spacing w:val="-4"/>
          <w:sz w:val="20"/>
        </w:rPr>
        <w:t xml:space="preserve"> </w:t>
      </w:r>
      <w:r>
        <w:rPr>
          <w:rFonts w:ascii="Calibri Light" w:hAnsi="Calibri Light"/>
          <w:sz w:val="20"/>
        </w:rPr>
        <w:t>K.</w:t>
      </w:r>
      <w:r>
        <w:rPr>
          <w:rFonts w:ascii="Calibri Light" w:hAnsi="Calibri Light"/>
          <w:spacing w:val="-4"/>
          <w:sz w:val="20"/>
        </w:rPr>
        <w:t xml:space="preserve"> </w:t>
      </w:r>
      <w:r>
        <w:rPr>
          <w:rFonts w:ascii="Calibri Light" w:hAnsi="Calibri Light"/>
          <w:sz w:val="20"/>
        </w:rPr>
        <w:t>(2012).</w:t>
      </w:r>
      <w:r>
        <w:rPr>
          <w:rFonts w:ascii="Calibri Light" w:hAnsi="Calibri Light"/>
          <w:spacing w:val="-4"/>
          <w:sz w:val="20"/>
        </w:rPr>
        <w:t xml:space="preserve"> </w:t>
      </w:r>
      <w:r>
        <w:rPr>
          <w:rFonts w:ascii="Calibri Light" w:hAnsi="Calibri Light"/>
          <w:sz w:val="20"/>
        </w:rPr>
        <w:t>Four-year</w:t>
      </w:r>
      <w:r>
        <w:rPr>
          <w:rFonts w:ascii="Calibri Light" w:hAnsi="Calibri Light"/>
          <w:spacing w:val="-2"/>
          <w:sz w:val="20"/>
        </w:rPr>
        <w:t xml:space="preserve"> </w:t>
      </w:r>
      <w:r>
        <w:rPr>
          <w:rFonts w:ascii="Calibri Light" w:hAnsi="Calibri Light"/>
          <w:sz w:val="20"/>
        </w:rPr>
        <w:t>outcomes</w:t>
      </w:r>
      <w:r>
        <w:rPr>
          <w:rFonts w:ascii="Calibri Light" w:hAnsi="Calibri Light"/>
          <w:spacing w:val="-3"/>
          <w:sz w:val="20"/>
        </w:rPr>
        <w:t xml:space="preserve"> </w:t>
      </w:r>
      <w:r>
        <w:rPr>
          <w:rFonts w:ascii="Calibri Light" w:hAnsi="Calibri Light"/>
          <w:sz w:val="20"/>
        </w:rPr>
        <w:t>from</w:t>
      </w:r>
      <w:r>
        <w:rPr>
          <w:rFonts w:ascii="Calibri Light" w:hAnsi="Calibri Light"/>
          <w:spacing w:val="-2"/>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Early</w:t>
      </w:r>
      <w:r>
        <w:rPr>
          <w:rFonts w:ascii="Calibri Light" w:hAnsi="Calibri Light"/>
          <w:spacing w:val="-2"/>
          <w:sz w:val="20"/>
        </w:rPr>
        <w:t xml:space="preserve"> </w:t>
      </w:r>
      <w:r>
        <w:rPr>
          <w:rFonts w:ascii="Calibri Light" w:hAnsi="Calibri Light"/>
          <w:sz w:val="20"/>
        </w:rPr>
        <w:t>Re-Intervention</w:t>
      </w:r>
      <w:r>
        <w:rPr>
          <w:rFonts w:ascii="Calibri Light" w:hAnsi="Calibri Light"/>
          <w:spacing w:val="-3"/>
          <w:sz w:val="20"/>
        </w:rPr>
        <w:t xml:space="preserve"> </w:t>
      </w:r>
      <w:r>
        <w:rPr>
          <w:rFonts w:ascii="Calibri Light" w:hAnsi="Calibri Light"/>
          <w:sz w:val="20"/>
        </w:rPr>
        <w:t>(ERI)</w:t>
      </w:r>
      <w:r>
        <w:rPr>
          <w:rFonts w:ascii="Calibri Light" w:hAnsi="Calibri Light"/>
          <w:spacing w:val="-3"/>
          <w:sz w:val="20"/>
        </w:rPr>
        <w:t xml:space="preserve"> </w:t>
      </w:r>
      <w:r>
        <w:rPr>
          <w:rFonts w:ascii="Calibri Light" w:hAnsi="Calibri Light"/>
          <w:sz w:val="20"/>
        </w:rPr>
        <w:t>experiment</w:t>
      </w:r>
      <w:r>
        <w:rPr>
          <w:rFonts w:ascii="Calibri Light" w:hAnsi="Calibri Light"/>
          <w:spacing w:val="-4"/>
          <w:sz w:val="20"/>
        </w:rPr>
        <w:t xml:space="preserve"> </w:t>
      </w:r>
      <w:r>
        <w:rPr>
          <w:rFonts w:ascii="Calibri Light" w:hAnsi="Calibri Light"/>
          <w:sz w:val="20"/>
        </w:rPr>
        <w:t xml:space="preserve">using Recovery Management Checkups (RMCs). </w:t>
      </w:r>
      <w:r>
        <w:rPr>
          <w:rFonts w:ascii="Calibri Light" w:hAnsi="Calibri Light"/>
          <w:i/>
          <w:sz w:val="20"/>
        </w:rPr>
        <w:t>Drug and Alcohol Dependence, 121</w:t>
      </w:r>
      <w:r>
        <w:rPr>
          <w:rFonts w:ascii="Calibri Light" w:hAnsi="Calibri Light"/>
          <w:sz w:val="20"/>
        </w:rPr>
        <w:t xml:space="preserve">(1–2), 10–17. </w:t>
      </w:r>
      <w:r>
        <w:rPr>
          <w:rFonts w:ascii="Calibri Light" w:hAnsi="Calibri Light"/>
          <w:spacing w:val="-2"/>
          <w:sz w:val="20"/>
        </w:rPr>
        <w:t>doi:10.1016/j.drugalcdep.2011.07.026</w:t>
      </w:r>
    </w:p>
    <w:p w14:paraId="60A056CF" w14:textId="77777777" w:rsidR="00DB6E1F" w:rsidRDefault="00F666A6">
      <w:pPr>
        <w:spacing w:line="256" w:lineRule="auto"/>
        <w:ind w:left="1619" w:right="1444" w:hanging="181"/>
        <w:rPr>
          <w:rFonts w:ascii="Calibri Light"/>
          <w:sz w:val="20"/>
        </w:rPr>
      </w:pPr>
      <w:r>
        <w:rPr>
          <w:rFonts w:ascii="Calibri Light"/>
          <w:sz w:val="20"/>
        </w:rPr>
        <w:t>Dennis,</w:t>
      </w:r>
      <w:r>
        <w:rPr>
          <w:rFonts w:ascii="Calibri Light"/>
          <w:spacing w:val="-1"/>
          <w:sz w:val="20"/>
        </w:rPr>
        <w:t xml:space="preserve"> </w:t>
      </w:r>
      <w:r>
        <w:rPr>
          <w:rFonts w:ascii="Calibri Light"/>
          <w:sz w:val="20"/>
        </w:rPr>
        <w:t>M.</w:t>
      </w:r>
      <w:r>
        <w:rPr>
          <w:rFonts w:ascii="Calibri Light"/>
          <w:spacing w:val="-4"/>
          <w:sz w:val="20"/>
        </w:rPr>
        <w:t xml:space="preserve"> </w:t>
      </w:r>
      <w:r>
        <w:rPr>
          <w:rFonts w:ascii="Calibri Light"/>
          <w:sz w:val="20"/>
        </w:rPr>
        <w:t>L.,</w:t>
      </w:r>
      <w:r>
        <w:rPr>
          <w:rFonts w:ascii="Calibri Light"/>
          <w:spacing w:val="-4"/>
          <w:sz w:val="20"/>
        </w:rPr>
        <w:t xml:space="preserve"> </w:t>
      </w:r>
      <w:r>
        <w:rPr>
          <w:rFonts w:ascii="Calibri Light"/>
          <w:sz w:val="20"/>
        </w:rPr>
        <w:t>Scott,</w:t>
      </w:r>
      <w:r>
        <w:rPr>
          <w:rFonts w:ascii="Calibri Light"/>
          <w:spacing w:val="-1"/>
          <w:sz w:val="20"/>
        </w:rPr>
        <w:t xml:space="preserve"> </w:t>
      </w:r>
      <w:r>
        <w:rPr>
          <w:rFonts w:ascii="Calibri Light"/>
          <w:sz w:val="20"/>
        </w:rPr>
        <w:t>C.</w:t>
      </w:r>
      <w:r>
        <w:rPr>
          <w:rFonts w:ascii="Calibri Light"/>
          <w:spacing w:val="-4"/>
          <w:sz w:val="20"/>
        </w:rPr>
        <w:t xml:space="preserve"> </w:t>
      </w:r>
      <w:r>
        <w:rPr>
          <w:rFonts w:ascii="Calibri Light"/>
          <w:sz w:val="20"/>
        </w:rPr>
        <w:t>K.,</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Laudet,</w:t>
      </w:r>
      <w:r>
        <w:rPr>
          <w:rFonts w:ascii="Calibri Light"/>
          <w:spacing w:val="-4"/>
          <w:sz w:val="20"/>
        </w:rPr>
        <w:t xml:space="preserve"> </w:t>
      </w:r>
      <w:r>
        <w:rPr>
          <w:rFonts w:ascii="Calibri Light"/>
          <w:sz w:val="20"/>
        </w:rPr>
        <w:t>A.</w:t>
      </w:r>
      <w:r>
        <w:rPr>
          <w:rFonts w:ascii="Calibri Light"/>
          <w:spacing w:val="-4"/>
          <w:sz w:val="20"/>
        </w:rPr>
        <w:t xml:space="preserve"> </w:t>
      </w:r>
      <w:r>
        <w:rPr>
          <w:rFonts w:ascii="Calibri Light"/>
          <w:sz w:val="20"/>
        </w:rPr>
        <w:t>(2014).</w:t>
      </w:r>
      <w:r>
        <w:rPr>
          <w:rFonts w:ascii="Calibri Light"/>
          <w:spacing w:val="-4"/>
          <w:sz w:val="20"/>
        </w:rPr>
        <w:t xml:space="preserve"> </w:t>
      </w:r>
      <w:r>
        <w:rPr>
          <w:rFonts w:ascii="Calibri Light"/>
          <w:sz w:val="20"/>
        </w:rPr>
        <w:t>Beyond</w:t>
      </w:r>
      <w:r>
        <w:rPr>
          <w:rFonts w:ascii="Calibri Light"/>
          <w:spacing w:val="-3"/>
          <w:sz w:val="20"/>
        </w:rPr>
        <w:t xml:space="preserve"> </w:t>
      </w:r>
      <w:r>
        <w:rPr>
          <w:rFonts w:ascii="Calibri Light"/>
          <w:sz w:val="20"/>
        </w:rPr>
        <w:t>bricks</w:t>
      </w:r>
      <w:r>
        <w:rPr>
          <w:rFonts w:ascii="Calibri Light"/>
          <w:spacing w:val="-1"/>
          <w:sz w:val="20"/>
        </w:rPr>
        <w:t xml:space="preserve"> </w:t>
      </w:r>
      <w:r>
        <w:rPr>
          <w:rFonts w:ascii="Calibri Light"/>
          <w:sz w:val="20"/>
        </w:rPr>
        <w:t>and</w:t>
      </w:r>
      <w:r>
        <w:rPr>
          <w:rFonts w:ascii="Calibri Light"/>
          <w:spacing w:val="-3"/>
          <w:sz w:val="20"/>
        </w:rPr>
        <w:t xml:space="preserve"> </w:t>
      </w:r>
      <w:r>
        <w:rPr>
          <w:rFonts w:ascii="Calibri Light"/>
          <w:sz w:val="20"/>
        </w:rPr>
        <w:t>mortar:</w:t>
      </w:r>
      <w:r>
        <w:rPr>
          <w:rFonts w:ascii="Calibri Light"/>
          <w:spacing w:val="-3"/>
          <w:sz w:val="20"/>
        </w:rPr>
        <w:t xml:space="preserve"> </w:t>
      </w:r>
      <w:r>
        <w:rPr>
          <w:rFonts w:ascii="Calibri Light"/>
          <w:sz w:val="20"/>
        </w:rPr>
        <w:t>Recent</w:t>
      </w:r>
      <w:r>
        <w:rPr>
          <w:rFonts w:ascii="Calibri Light"/>
          <w:spacing w:val="-4"/>
          <w:sz w:val="20"/>
        </w:rPr>
        <w:t xml:space="preserve"> </w:t>
      </w:r>
      <w:r>
        <w:rPr>
          <w:rFonts w:ascii="Calibri Light"/>
          <w:sz w:val="20"/>
        </w:rPr>
        <w:t>research</w:t>
      </w:r>
      <w:r>
        <w:rPr>
          <w:rFonts w:ascii="Calibri Light"/>
          <w:spacing w:val="-1"/>
          <w:sz w:val="20"/>
        </w:rPr>
        <w:t xml:space="preserve"> </w:t>
      </w:r>
      <w:r>
        <w:rPr>
          <w:rFonts w:ascii="Calibri Light"/>
          <w:sz w:val="20"/>
        </w:rPr>
        <w:t>on</w:t>
      </w:r>
      <w:r>
        <w:rPr>
          <w:rFonts w:ascii="Calibri Light"/>
          <w:spacing w:val="-3"/>
          <w:sz w:val="20"/>
        </w:rPr>
        <w:t xml:space="preserve"> </w:t>
      </w:r>
      <w:r>
        <w:rPr>
          <w:rFonts w:ascii="Calibri Light"/>
          <w:sz w:val="20"/>
        </w:rPr>
        <w:t>substance</w:t>
      </w:r>
      <w:r>
        <w:rPr>
          <w:rFonts w:ascii="Calibri Light"/>
          <w:spacing w:val="-3"/>
          <w:sz w:val="20"/>
        </w:rPr>
        <w:t xml:space="preserve"> </w:t>
      </w:r>
      <w:r>
        <w:rPr>
          <w:rFonts w:ascii="Calibri Light"/>
          <w:sz w:val="20"/>
        </w:rPr>
        <w:t>use</w:t>
      </w:r>
      <w:r>
        <w:rPr>
          <w:rFonts w:ascii="Calibri Light"/>
          <w:spacing w:val="-3"/>
          <w:sz w:val="20"/>
        </w:rPr>
        <w:t xml:space="preserve"> </w:t>
      </w:r>
      <w:r>
        <w:rPr>
          <w:rFonts w:ascii="Calibri Light"/>
          <w:sz w:val="20"/>
        </w:rPr>
        <w:t xml:space="preserve">disorder recovery management. </w:t>
      </w:r>
      <w:r>
        <w:rPr>
          <w:rFonts w:ascii="Calibri Light"/>
          <w:i/>
          <w:sz w:val="20"/>
        </w:rPr>
        <w:t>Current Psychiatry Reports, 16</w:t>
      </w:r>
      <w:r>
        <w:rPr>
          <w:rFonts w:ascii="Calibri Light"/>
          <w:sz w:val="20"/>
        </w:rPr>
        <w:t>(4). doi:10.1007/s11920-014-0442-3</w:t>
      </w:r>
    </w:p>
    <w:p w14:paraId="022F2309" w14:textId="77777777" w:rsidR="00DB6E1F" w:rsidRDefault="00F666A6">
      <w:pPr>
        <w:spacing w:before="2" w:line="259" w:lineRule="auto"/>
        <w:ind w:left="1619" w:right="1491" w:hanging="180"/>
        <w:rPr>
          <w:rFonts w:ascii="Calibri Light" w:hAnsi="Calibri Light"/>
          <w:sz w:val="20"/>
        </w:rPr>
      </w:pPr>
      <w:r>
        <w:rPr>
          <w:rFonts w:ascii="Calibri Light" w:hAnsi="Calibri Light"/>
          <w:sz w:val="20"/>
        </w:rPr>
        <w:t>de</w:t>
      </w:r>
      <w:r>
        <w:rPr>
          <w:rFonts w:ascii="Calibri Light" w:hAnsi="Calibri Light"/>
          <w:spacing w:val="-3"/>
          <w:sz w:val="20"/>
        </w:rPr>
        <w:t xml:space="preserve"> </w:t>
      </w:r>
      <w:r>
        <w:rPr>
          <w:rFonts w:ascii="Calibri Light" w:hAnsi="Calibri Light"/>
          <w:sz w:val="20"/>
        </w:rPr>
        <w:t>Roten,</w:t>
      </w:r>
      <w:r>
        <w:rPr>
          <w:rFonts w:ascii="Calibri Light" w:hAnsi="Calibri Light"/>
          <w:spacing w:val="-4"/>
          <w:sz w:val="20"/>
        </w:rPr>
        <w:t xml:space="preserve"> </w:t>
      </w:r>
      <w:r>
        <w:rPr>
          <w:rFonts w:ascii="Calibri Light" w:hAnsi="Calibri Light"/>
          <w:sz w:val="20"/>
        </w:rPr>
        <w:t>Y.,</w:t>
      </w:r>
      <w:r>
        <w:rPr>
          <w:rFonts w:ascii="Calibri Light" w:hAnsi="Calibri Light"/>
          <w:spacing w:val="-1"/>
          <w:sz w:val="20"/>
        </w:rPr>
        <w:t xml:space="preserve"> </w:t>
      </w:r>
      <w:r>
        <w:rPr>
          <w:rFonts w:ascii="Calibri Light" w:hAnsi="Calibri Light"/>
          <w:sz w:val="20"/>
        </w:rPr>
        <w:t>Zimmermann,</w:t>
      </w:r>
      <w:r>
        <w:rPr>
          <w:rFonts w:ascii="Calibri Light" w:hAnsi="Calibri Light"/>
          <w:spacing w:val="-4"/>
          <w:sz w:val="20"/>
        </w:rPr>
        <w:t xml:space="preserve"> </w:t>
      </w:r>
      <w:r>
        <w:rPr>
          <w:rFonts w:ascii="Calibri Light" w:hAnsi="Calibri Light"/>
          <w:sz w:val="20"/>
        </w:rPr>
        <w:t>G.,</w:t>
      </w:r>
      <w:r>
        <w:rPr>
          <w:rFonts w:ascii="Calibri Light" w:hAnsi="Calibri Light"/>
          <w:spacing w:val="-4"/>
          <w:sz w:val="20"/>
        </w:rPr>
        <w:t xml:space="preserve"> </w:t>
      </w:r>
      <w:r>
        <w:rPr>
          <w:rFonts w:ascii="Calibri Light" w:hAnsi="Calibri Light"/>
          <w:sz w:val="20"/>
        </w:rPr>
        <w:t>Ortega,</w:t>
      </w:r>
      <w:r>
        <w:rPr>
          <w:rFonts w:ascii="Calibri Light" w:hAnsi="Calibri Light"/>
          <w:spacing w:val="-4"/>
          <w:sz w:val="20"/>
        </w:rPr>
        <w:t xml:space="preserve"> </w:t>
      </w:r>
      <w:r>
        <w:rPr>
          <w:rFonts w:ascii="Calibri Light" w:hAnsi="Calibri Light"/>
          <w:sz w:val="20"/>
        </w:rPr>
        <w:t>D.,</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Despland,</w:t>
      </w:r>
      <w:r>
        <w:rPr>
          <w:rFonts w:ascii="Calibri Light" w:hAnsi="Calibri Light"/>
          <w:spacing w:val="-4"/>
          <w:sz w:val="20"/>
        </w:rPr>
        <w:t xml:space="preserve"> </w:t>
      </w:r>
      <w:r>
        <w:rPr>
          <w:rFonts w:ascii="Calibri Light" w:hAnsi="Calibri Light"/>
          <w:sz w:val="20"/>
        </w:rPr>
        <w:t>J.-N.</w:t>
      </w:r>
      <w:r>
        <w:rPr>
          <w:rFonts w:ascii="Calibri Light" w:hAnsi="Calibri Light"/>
          <w:spacing w:val="-1"/>
          <w:sz w:val="20"/>
        </w:rPr>
        <w:t xml:space="preserve"> </w:t>
      </w:r>
      <w:r>
        <w:rPr>
          <w:rFonts w:ascii="Calibri Light" w:hAnsi="Calibri Light"/>
          <w:sz w:val="20"/>
        </w:rPr>
        <w:t>(2013).</w:t>
      </w:r>
      <w:r>
        <w:rPr>
          <w:rFonts w:ascii="Calibri Light" w:hAnsi="Calibri Light"/>
          <w:spacing w:val="-4"/>
          <w:sz w:val="20"/>
        </w:rPr>
        <w:t xml:space="preserve"> </w:t>
      </w:r>
      <w:r>
        <w:rPr>
          <w:rFonts w:ascii="Calibri Light" w:hAnsi="Calibri Light"/>
          <w:sz w:val="20"/>
        </w:rPr>
        <w:t>Meta-analysis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effects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MI</w:t>
      </w:r>
      <w:r>
        <w:rPr>
          <w:rFonts w:ascii="Calibri Light" w:hAnsi="Calibri Light"/>
          <w:spacing w:val="-4"/>
          <w:sz w:val="20"/>
        </w:rPr>
        <w:t xml:space="preserve"> </w:t>
      </w:r>
      <w:r>
        <w:rPr>
          <w:rFonts w:ascii="Calibri Light" w:hAnsi="Calibri Light"/>
          <w:sz w:val="20"/>
        </w:rPr>
        <w:t xml:space="preserve">training on clinicians’ behavior. </w:t>
      </w:r>
      <w:r>
        <w:rPr>
          <w:rFonts w:ascii="Calibri Light" w:hAnsi="Calibri Light"/>
          <w:i/>
          <w:sz w:val="20"/>
        </w:rPr>
        <w:t>Journal of Substance Abu</w:t>
      </w:r>
      <w:r>
        <w:rPr>
          <w:rFonts w:ascii="Calibri Light" w:hAnsi="Calibri Light"/>
          <w:i/>
          <w:sz w:val="20"/>
        </w:rPr>
        <w:t>se Treatment, 45</w:t>
      </w:r>
      <w:r>
        <w:rPr>
          <w:rFonts w:ascii="Calibri Light" w:hAnsi="Calibri Light"/>
          <w:sz w:val="20"/>
        </w:rPr>
        <w:t xml:space="preserve">(2), 155–162. Retrieved from </w:t>
      </w:r>
      <w:hyperlink r:id="rId123">
        <w:r>
          <w:rPr>
            <w:rFonts w:ascii="Calibri Light" w:hAnsi="Calibri Light"/>
            <w:color w:val="0563C1"/>
            <w:spacing w:val="-2"/>
            <w:sz w:val="20"/>
            <w:u w:val="single" w:color="0563C1"/>
          </w:rPr>
          <w:t>www.ncbi.nlm.nih.gov/pubmed/23537923</w:t>
        </w:r>
      </w:hyperlink>
    </w:p>
    <w:p w14:paraId="655FCFF5" w14:textId="77777777" w:rsidR="00DB6E1F" w:rsidRDefault="00F666A6">
      <w:pPr>
        <w:spacing w:before="1" w:line="256" w:lineRule="auto"/>
        <w:ind w:left="1619" w:right="1491" w:hanging="180"/>
        <w:rPr>
          <w:rFonts w:ascii="Calibri Light"/>
          <w:sz w:val="20"/>
        </w:rPr>
      </w:pPr>
      <w:r>
        <w:rPr>
          <w:rFonts w:ascii="Calibri Light"/>
          <w:sz w:val="20"/>
        </w:rPr>
        <w:t>DiClemente,</w:t>
      </w:r>
      <w:r>
        <w:rPr>
          <w:rFonts w:ascii="Calibri Light"/>
          <w:spacing w:val="-4"/>
          <w:sz w:val="20"/>
        </w:rPr>
        <w:t xml:space="preserve"> </w:t>
      </w:r>
      <w:r>
        <w:rPr>
          <w:rFonts w:ascii="Calibri Light"/>
          <w:sz w:val="20"/>
        </w:rPr>
        <w:t>C.</w:t>
      </w:r>
      <w:r>
        <w:rPr>
          <w:rFonts w:ascii="Calibri Light"/>
          <w:spacing w:val="-1"/>
          <w:sz w:val="20"/>
        </w:rPr>
        <w:t xml:space="preserve"> </w:t>
      </w:r>
      <w:r>
        <w:rPr>
          <w:rFonts w:ascii="Calibri Light"/>
          <w:sz w:val="20"/>
        </w:rPr>
        <w:t>C.</w:t>
      </w:r>
      <w:r>
        <w:rPr>
          <w:rFonts w:ascii="Calibri Light"/>
          <w:spacing w:val="-4"/>
          <w:sz w:val="20"/>
        </w:rPr>
        <w:t xml:space="preserve"> </w:t>
      </w:r>
      <w:r>
        <w:rPr>
          <w:rFonts w:ascii="Calibri Light"/>
          <w:sz w:val="20"/>
        </w:rPr>
        <w:t>(2018).</w:t>
      </w:r>
      <w:r>
        <w:rPr>
          <w:rFonts w:ascii="Calibri Light"/>
          <w:spacing w:val="-4"/>
          <w:sz w:val="20"/>
        </w:rPr>
        <w:t xml:space="preserve"> </w:t>
      </w:r>
      <w:r>
        <w:rPr>
          <w:rFonts w:ascii="Calibri Light"/>
          <w:i/>
          <w:sz w:val="20"/>
        </w:rPr>
        <w:t>Addiction</w:t>
      </w:r>
      <w:r>
        <w:rPr>
          <w:rFonts w:ascii="Calibri Light"/>
          <w:i/>
          <w:spacing w:val="-3"/>
          <w:sz w:val="20"/>
        </w:rPr>
        <w:t xml:space="preserve"> </w:t>
      </w:r>
      <w:r>
        <w:rPr>
          <w:rFonts w:ascii="Calibri Light"/>
          <w:i/>
          <w:sz w:val="20"/>
        </w:rPr>
        <w:t>and</w:t>
      </w:r>
      <w:r>
        <w:rPr>
          <w:rFonts w:ascii="Calibri Light"/>
          <w:i/>
          <w:spacing w:val="-3"/>
          <w:sz w:val="20"/>
        </w:rPr>
        <w:t xml:space="preserve"> </w:t>
      </w:r>
      <w:r>
        <w:rPr>
          <w:rFonts w:ascii="Calibri Light"/>
          <w:i/>
          <w:sz w:val="20"/>
        </w:rPr>
        <w:t>change: How</w:t>
      </w:r>
      <w:r>
        <w:rPr>
          <w:rFonts w:ascii="Calibri Light"/>
          <w:i/>
          <w:spacing w:val="-3"/>
          <w:sz w:val="20"/>
        </w:rPr>
        <w:t xml:space="preserve"> </w:t>
      </w:r>
      <w:r>
        <w:rPr>
          <w:rFonts w:ascii="Calibri Light"/>
          <w:i/>
          <w:sz w:val="20"/>
        </w:rPr>
        <w:t>addictions</w:t>
      </w:r>
      <w:r>
        <w:rPr>
          <w:rFonts w:ascii="Calibri Light"/>
          <w:i/>
          <w:spacing w:val="-3"/>
          <w:sz w:val="20"/>
        </w:rPr>
        <w:t xml:space="preserve"> </w:t>
      </w:r>
      <w:r>
        <w:rPr>
          <w:rFonts w:ascii="Calibri Light"/>
          <w:i/>
          <w:sz w:val="20"/>
        </w:rPr>
        <w:t>develop</w:t>
      </w:r>
      <w:r>
        <w:rPr>
          <w:rFonts w:ascii="Calibri Light"/>
          <w:i/>
          <w:spacing w:val="-3"/>
          <w:sz w:val="20"/>
        </w:rPr>
        <w:t xml:space="preserve"> </w:t>
      </w:r>
      <w:r>
        <w:rPr>
          <w:rFonts w:ascii="Calibri Light"/>
          <w:i/>
          <w:sz w:val="20"/>
        </w:rPr>
        <w:t>and</w:t>
      </w:r>
      <w:r>
        <w:rPr>
          <w:rFonts w:ascii="Calibri Light"/>
          <w:i/>
          <w:spacing w:val="-3"/>
          <w:sz w:val="20"/>
        </w:rPr>
        <w:t xml:space="preserve"> </w:t>
      </w:r>
      <w:r>
        <w:rPr>
          <w:rFonts w:ascii="Calibri Light"/>
          <w:i/>
          <w:sz w:val="20"/>
        </w:rPr>
        <w:t>addicted</w:t>
      </w:r>
      <w:r>
        <w:rPr>
          <w:rFonts w:ascii="Calibri Light"/>
          <w:i/>
          <w:spacing w:val="-3"/>
          <w:sz w:val="20"/>
        </w:rPr>
        <w:t xml:space="preserve"> </w:t>
      </w:r>
      <w:r>
        <w:rPr>
          <w:rFonts w:ascii="Calibri Light"/>
          <w:i/>
          <w:sz w:val="20"/>
        </w:rPr>
        <w:t>people</w:t>
      </w:r>
      <w:r>
        <w:rPr>
          <w:rFonts w:ascii="Calibri Light"/>
          <w:i/>
          <w:spacing w:val="-3"/>
          <w:sz w:val="20"/>
        </w:rPr>
        <w:t xml:space="preserve"> </w:t>
      </w:r>
      <w:r>
        <w:rPr>
          <w:rFonts w:ascii="Calibri Light"/>
          <w:i/>
          <w:sz w:val="20"/>
        </w:rPr>
        <w:t>recover</w:t>
      </w:r>
      <w:r>
        <w:rPr>
          <w:rFonts w:ascii="Calibri Light"/>
          <w:i/>
          <w:spacing w:val="-3"/>
          <w:sz w:val="20"/>
        </w:rPr>
        <w:t xml:space="preserve"> </w:t>
      </w:r>
      <w:r>
        <w:rPr>
          <w:rFonts w:ascii="Calibri Light"/>
          <w:sz w:val="20"/>
        </w:rPr>
        <w:t>(2nd</w:t>
      </w:r>
      <w:r>
        <w:rPr>
          <w:rFonts w:ascii="Calibri Light"/>
          <w:spacing w:val="-3"/>
          <w:sz w:val="20"/>
        </w:rPr>
        <w:t xml:space="preserve"> </w:t>
      </w:r>
      <w:r>
        <w:rPr>
          <w:rFonts w:ascii="Calibri Light"/>
          <w:sz w:val="20"/>
        </w:rPr>
        <w:t>ed.). Guilford, NY: Guilford Publications.</w:t>
      </w:r>
    </w:p>
    <w:p w14:paraId="27B9D2FC" w14:textId="77777777" w:rsidR="00DB6E1F" w:rsidRDefault="00F666A6">
      <w:pPr>
        <w:spacing w:before="3" w:line="259" w:lineRule="auto"/>
        <w:ind w:left="1620" w:right="1491" w:hanging="181"/>
        <w:rPr>
          <w:rFonts w:ascii="Calibri Light" w:hAnsi="Calibri Light"/>
          <w:sz w:val="20"/>
        </w:rPr>
      </w:pPr>
      <w:r>
        <w:rPr>
          <w:rFonts w:ascii="Calibri Light" w:hAnsi="Calibri Light"/>
          <w:sz w:val="20"/>
        </w:rPr>
        <w:t>DiClemente,</w:t>
      </w:r>
      <w:r>
        <w:rPr>
          <w:rFonts w:ascii="Calibri Light" w:hAnsi="Calibri Light"/>
          <w:spacing w:val="-3"/>
          <w:sz w:val="20"/>
        </w:rPr>
        <w:t xml:space="preserve"> </w:t>
      </w:r>
      <w:r>
        <w:rPr>
          <w:rFonts w:ascii="Calibri Light" w:hAnsi="Calibri Light"/>
          <w:sz w:val="20"/>
        </w:rPr>
        <w:t>C. C.,</w:t>
      </w:r>
      <w:r>
        <w:rPr>
          <w:rFonts w:ascii="Calibri Light" w:hAnsi="Calibri Light"/>
          <w:spacing w:val="-3"/>
          <w:sz w:val="20"/>
        </w:rPr>
        <w:t xml:space="preserve"> </w:t>
      </w:r>
      <w:r>
        <w:rPr>
          <w:rFonts w:ascii="Calibri Light" w:hAnsi="Calibri Light"/>
          <w:sz w:val="20"/>
        </w:rPr>
        <w:t>Carbonari,</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P., Montgomery,</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G.,</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Hughes,</w:t>
      </w:r>
      <w:r>
        <w:rPr>
          <w:rFonts w:ascii="Calibri Light" w:hAnsi="Calibri Light"/>
          <w:spacing w:val="-3"/>
          <w:sz w:val="20"/>
        </w:rPr>
        <w:t xml:space="preserve"> </w:t>
      </w:r>
      <w:r>
        <w:rPr>
          <w:rFonts w:ascii="Calibri Light" w:hAnsi="Calibri Light"/>
          <w:sz w:val="20"/>
        </w:rPr>
        <w:t>S. O.</w:t>
      </w:r>
      <w:r>
        <w:rPr>
          <w:rFonts w:ascii="Calibri Light" w:hAnsi="Calibri Light"/>
          <w:spacing w:val="-3"/>
          <w:sz w:val="20"/>
        </w:rPr>
        <w:t xml:space="preserve"> </w:t>
      </w:r>
      <w:r>
        <w:rPr>
          <w:rFonts w:ascii="Calibri Light" w:hAnsi="Calibri Light"/>
          <w:sz w:val="20"/>
        </w:rPr>
        <w:t>(1994).</w:t>
      </w:r>
      <w:r>
        <w:rPr>
          <w:rFonts w:ascii="Calibri Light" w:hAnsi="Calibri Light"/>
          <w:spacing w:val="-3"/>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Alcohol</w:t>
      </w:r>
      <w:r>
        <w:rPr>
          <w:rFonts w:ascii="Calibri Light" w:hAnsi="Calibri Light"/>
          <w:spacing w:val="-3"/>
          <w:sz w:val="20"/>
        </w:rPr>
        <w:t xml:space="preserve"> </w:t>
      </w:r>
      <w:r>
        <w:rPr>
          <w:rFonts w:ascii="Calibri Light" w:hAnsi="Calibri Light"/>
          <w:sz w:val="20"/>
        </w:rPr>
        <w:t>Abstinence</w:t>
      </w:r>
      <w:r>
        <w:rPr>
          <w:rFonts w:ascii="Calibri Light" w:hAnsi="Calibri Light"/>
          <w:spacing w:val="-2"/>
          <w:sz w:val="20"/>
        </w:rPr>
        <w:t xml:space="preserve"> </w:t>
      </w:r>
      <w:r>
        <w:rPr>
          <w:rFonts w:ascii="Calibri Light" w:hAnsi="Calibri Light"/>
          <w:sz w:val="20"/>
        </w:rPr>
        <w:t xml:space="preserve">Self- Efficacy Scale. </w:t>
      </w:r>
      <w:r>
        <w:rPr>
          <w:rFonts w:ascii="Calibri Light" w:hAnsi="Calibri Light"/>
          <w:i/>
          <w:sz w:val="20"/>
        </w:rPr>
        <w:t>Journal of Studies on Alcohol, 55</w:t>
      </w:r>
      <w:r>
        <w:rPr>
          <w:rFonts w:ascii="Calibri Light" w:hAnsi="Calibri Light"/>
          <w:sz w:val="20"/>
        </w:rPr>
        <w:t>(2), 141–148.</w:t>
      </w:r>
    </w:p>
    <w:p w14:paraId="1EDFC406" w14:textId="77777777" w:rsidR="00DB6E1F" w:rsidRDefault="00F666A6">
      <w:pPr>
        <w:spacing w:before="1" w:line="259" w:lineRule="auto"/>
        <w:ind w:left="1620" w:right="1491" w:hanging="181"/>
        <w:rPr>
          <w:rFonts w:ascii="Calibri Light" w:hAnsi="Calibri Light"/>
          <w:sz w:val="20"/>
        </w:rPr>
      </w:pPr>
      <w:r>
        <w:rPr>
          <w:rFonts w:ascii="Calibri Light" w:hAnsi="Calibri Light"/>
          <w:sz w:val="20"/>
        </w:rPr>
        <w:t>DiClemente, C. C., Corno, C. M., Graydon, M. M., Wiprovnick, A. E., &amp; Knoblach, D. J. (2017). Motivational interviewing,</w:t>
      </w:r>
      <w:r>
        <w:rPr>
          <w:rFonts w:ascii="Calibri Light" w:hAnsi="Calibri Light"/>
          <w:spacing w:val="-4"/>
          <w:sz w:val="20"/>
        </w:rPr>
        <w:t xml:space="preserve"> </w:t>
      </w:r>
      <w:r>
        <w:rPr>
          <w:rFonts w:ascii="Calibri Light" w:hAnsi="Calibri Light"/>
          <w:sz w:val="20"/>
        </w:rPr>
        <w:t>enhancement,</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brief</w:t>
      </w:r>
      <w:r>
        <w:rPr>
          <w:rFonts w:ascii="Calibri Light" w:hAnsi="Calibri Light"/>
          <w:spacing w:val="-3"/>
          <w:sz w:val="20"/>
        </w:rPr>
        <w:t xml:space="preserve"> </w:t>
      </w:r>
      <w:r>
        <w:rPr>
          <w:rFonts w:ascii="Calibri Light" w:hAnsi="Calibri Light"/>
          <w:sz w:val="20"/>
        </w:rPr>
        <w:t>interventions</w:t>
      </w:r>
      <w:r>
        <w:rPr>
          <w:rFonts w:ascii="Calibri Light" w:hAnsi="Calibri Light"/>
          <w:spacing w:val="-3"/>
          <w:sz w:val="20"/>
        </w:rPr>
        <w:t xml:space="preserve"> </w:t>
      </w:r>
      <w:r>
        <w:rPr>
          <w:rFonts w:ascii="Calibri Light" w:hAnsi="Calibri Light"/>
          <w:sz w:val="20"/>
        </w:rPr>
        <w:t>over</w:t>
      </w:r>
      <w:r>
        <w:rPr>
          <w:rFonts w:ascii="Calibri Light" w:hAnsi="Calibri Light"/>
          <w:spacing w:val="-2"/>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last</w:t>
      </w:r>
      <w:r>
        <w:rPr>
          <w:rFonts w:ascii="Calibri Light" w:hAnsi="Calibri Light"/>
          <w:spacing w:val="-4"/>
          <w:sz w:val="20"/>
        </w:rPr>
        <w:t xml:space="preserve"> </w:t>
      </w:r>
      <w:r>
        <w:rPr>
          <w:rFonts w:ascii="Calibri Light" w:hAnsi="Calibri Light"/>
          <w:sz w:val="20"/>
        </w:rPr>
        <w:t>decade:</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review</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reviews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efficacy</w:t>
      </w:r>
      <w:r>
        <w:rPr>
          <w:rFonts w:ascii="Calibri Light" w:hAnsi="Calibri Light"/>
          <w:spacing w:val="-2"/>
          <w:sz w:val="20"/>
        </w:rPr>
        <w:t xml:space="preserve"> </w:t>
      </w:r>
      <w:r>
        <w:rPr>
          <w:rFonts w:ascii="Calibri Light" w:hAnsi="Calibri Light"/>
          <w:sz w:val="20"/>
        </w:rPr>
        <w:t xml:space="preserve">and effectiveness. </w:t>
      </w:r>
      <w:r>
        <w:rPr>
          <w:rFonts w:ascii="Calibri Light" w:hAnsi="Calibri Light"/>
          <w:i/>
          <w:sz w:val="20"/>
        </w:rPr>
        <w:t>Psychology of Addictive B</w:t>
      </w:r>
      <w:r>
        <w:rPr>
          <w:rFonts w:ascii="Calibri Light" w:hAnsi="Calibri Light"/>
          <w:i/>
          <w:sz w:val="20"/>
        </w:rPr>
        <w:t>ehaviors, 31</w:t>
      </w:r>
      <w:r>
        <w:rPr>
          <w:rFonts w:ascii="Calibri Light" w:hAnsi="Calibri Light"/>
          <w:sz w:val="20"/>
        </w:rPr>
        <w:t>(8), 862–887. doi:10.1037/adb0000318</w:t>
      </w:r>
    </w:p>
    <w:p w14:paraId="096FCFAF" w14:textId="77777777" w:rsidR="00DB6E1F" w:rsidRDefault="00F666A6">
      <w:pPr>
        <w:spacing w:line="259" w:lineRule="auto"/>
        <w:ind w:left="1620" w:right="1444" w:hanging="181"/>
        <w:rPr>
          <w:rFonts w:ascii="Calibri Light" w:hAnsi="Calibri Light"/>
          <w:sz w:val="20"/>
        </w:rPr>
      </w:pPr>
      <w:r>
        <w:rPr>
          <w:rFonts w:ascii="Calibri Light" w:hAnsi="Calibri Light"/>
          <w:sz w:val="20"/>
        </w:rPr>
        <w:t>Dillard, P.</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Zuniga,</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Holstad, M.</w:t>
      </w:r>
      <w:r>
        <w:rPr>
          <w:rFonts w:ascii="Calibri Light" w:hAnsi="Calibri Light"/>
          <w:spacing w:val="-5"/>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An</w:t>
      </w:r>
      <w:r>
        <w:rPr>
          <w:rFonts w:ascii="Calibri Light" w:hAnsi="Calibri Light"/>
          <w:spacing w:val="-2"/>
          <w:sz w:val="20"/>
        </w:rPr>
        <w:t xml:space="preserve"> </w:t>
      </w:r>
      <w:r>
        <w:rPr>
          <w:rFonts w:ascii="Calibri Light" w:hAnsi="Calibri Light"/>
          <w:sz w:val="20"/>
        </w:rPr>
        <w:t>integrative</w:t>
      </w:r>
      <w:r>
        <w:rPr>
          <w:rFonts w:ascii="Calibri Light" w:hAnsi="Calibri Light"/>
          <w:spacing w:val="-2"/>
          <w:sz w:val="20"/>
        </w:rPr>
        <w:t xml:space="preserve"> </w:t>
      </w:r>
      <w:r>
        <w:rPr>
          <w:rFonts w:ascii="Calibri Light" w:hAnsi="Calibri Light"/>
          <w:sz w:val="20"/>
        </w:rPr>
        <w:t>review</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efficacy</w:t>
      </w:r>
      <w:r>
        <w:rPr>
          <w:rFonts w:ascii="Calibri Light" w:hAnsi="Calibri Light"/>
          <w:spacing w:val="-1"/>
          <w:sz w:val="20"/>
        </w:rPr>
        <w:t xml:space="preserve"> </w:t>
      </w:r>
      <w:r>
        <w:rPr>
          <w:rFonts w:ascii="Calibri Light" w:hAnsi="Calibri Light"/>
          <w:sz w:val="20"/>
        </w:rPr>
        <w:t>of motivational</w:t>
      </w:r>
      <w:r>
        <w:rPr>
          <w:rFonts w:ascii="Calibri Light" w:hAnsi="Calibri Light"/>
          <w:spacing w:val="-3"/>
          <w:sz w:val="20"/>
        </w:rPr>
        <w:t xml:space="preserve"> </w:t>
      </w:r>
      <w:r>
        <w:rPr>
          <w:rFonts w:ascii="Calibri Light" w:hAnsi="Calibri Light"/>
          <w:sz w:val="20"/>
        </w:rPr>
        <w:t xml:space="preserve">interviewing in HIV management. </w:t>
      </w:r>
      <w:r>
        <w:rPr>
          <w:rFonts w:ascii="Calibri Light" w:hAnsi="Calibri Light"/>
          <w:i/>
          <w:sz w:val="20"/>
        </w:rPr>
        <w:t>Patient Education and Counseling, 100</w:t>
      </w:r>
      <w:r>
        <w:rPr>
          <w:rFonts w:ascii="Calibri Light" w:hAnsi="Calibri Light"/>
          <w:sz w:val="20"/>
        </w:rPr>
        <w:t>(4), 636–646. doi:10.1016/j.pec.2016.10.029</w:t>
      </w:r>
    </w:p>
    <w:p w14:paraId="217F1437" w14:textId="77777777" w:rsidR="00DB6E1F" w:rsidRDefault="00F666A6">
      <w:pPr>
        <w:spacing w:line="259" w:lineRule="auto"/>
        <w:ind w:left="1620" w:right="1491" w:hanging="180"/>
        <w:rPr>
          <w:rFonts w:ascii="Calibri Light" w:hAnsi="Calibri Light"/>
          <w:sz w:val="20"/>
        </w:rPr>
      </w:pPr>
      <w:r>
        <w:rPr>
          <w:rFonts w:ascii="Calibri Light" w:hAnsi="Calibri Light"/>
          <w:sz w:val="20"/>
        </w:rPr>
        <w:t>Drapkin, M. L., Wilbourne, P., Manuel, J. K., Baer, J., Karlin, B., &amp; Raffa, S. (2016). National dissemination of motivation</w:t>
      </w:r>
      <w:r>
        <w:rPr>
          <w:rFonts w:ascii="Calibri Light" w:hAnsi="Calibri Light"/>
          <w:spacing w:val="-4"/>
          <w:sz w:val="20"/>
        </w:rPr>
        <w:t xml:space="preserve"> </w:t>
      </w:r>
      <w:r>
        <w:rPr>
          <w:rFonts w:ascii="Calibri Light" w:hAnsi="Calibri Light"/>
          <w:sz w:val="20"/>
        </w:rPr>
        <w:t>enhancement</w:t>
      </w:r>
      <w:r>
        <w:rPr>
          <w:rFonts w:ascii="Calibri Light" w:hAnsi="Calibri Light"/>
          <w:spacing w:val="-5"/>
          <w:sz w:val="20"/>
        </w:rPr>
        <w:t xml:space="preserve"> </w:t>
      </w:r>
      <w:r>
        <w:rPr>
          <w:rFonts w:ascii="Calibri Light" w:hAnsi="Calibri Light"/>
          <w:sz w:val="20"/>
        </w:rPr>
        <w:t>therapy</w:t>
      </w:r>
      <w:r>
        <w:rPr>
          <w:rFonts w:ascii="Calibri Light" w:hAnsi="Calibri Light"/>
          <w:spacing w:val="-3"/>
          <w:sz w:val="20"/>
        </w:rPr>
        <w:t xml:space="preserve"> </w:t>
      </w:r>
      <w:r>
        <w:rPr>
          <w:rFonts w:ascii="Calibri Light" w:hAnsi="Calibri Light"/>
          <w:sz w:val="20"/>
        </w:rPr>
        <w:t>in</w:t>
      </w:r>
      <w:r>
        <w:rPr>
          <w:rFonts w:ascii="Calibri Light" w:hAnsi="Calibri Light"/>
          <w:spacing w:val="-4"/>
          <w:sz w:val="20"/>
        </w:rPr>
        <w:t xml:space="preserve"> </w:t>
      </w:r>
      <w:r>
        <w:rPr>
          <w:rFonts w:ascii="Calibri Light" w:hAnsi="Calibri Light"/>
          <w:sz w:val="20"/>
        </w:rPr>
        <w:t>the</w:t>
      </w:r>
      <w:r>
        <w:rPr>
          <w:rFonts w:ascii="Calibri Light" w:hAnsi="Calibri Light"/>
          <w:spacing w:val="-4"/>
          <w:sz w:val="20"/>
        </w:rPr>
        <w:t xml:space="preserve"> </w:t>
      </w:r>
      <w:r>
        <w:rPr>
          <w:rFonts w:ascii="Calibri Light" w:hAnsi="Calibri Light"/>
          <w:sz w:val="20"/>
        </w:rPr>
        <w:t>Veterans</w:t>
      </w:r>
      <w:r>
        <w:rPr>
          <w:rFonts w:ascii="Calibri Light" w:hAnsi="Calibri Light"/>
          <w:spacing w:val="-4"/>
          <w:sz w:val="20"/>
        </w:rPr>
        <w:t xml:space="preserve"> </w:t>
      </w:r>
      <w:r>
        <w:rPr>
          <w:rFonts w:ascii="Calibri Light" w:hAnsi="Calibri Light"/>
          <w:sz w:val="20"/>
        </w:rPr>
        <w:t>Health</w:t>
      </w:r>
      <w:r>
        <w:rPr>
          <w:rFonts w:ascii="Calibri Light" w:hAnsi="Calibri Light"/>
          <w:spacing w:val="-4"/>
          <w:sz w:val="20"/>
        </w:rPr>
        <w:t xml:space="preserve"> </w:t>
      </w:r>
      <w:r>
        <w:rPr>
          <w:rFonts w:ascii="Calibri Light" w:hAnsi="Calibri Light"/>
          <w:sz w:val="20"/>
        </w:rPr>
        <w:t>Administration:</w:t>
      </w:r>
      <w:r>
        <w:rPr>
          <w:rFonts w:ascii="Calibri Light" w:hAnsi="Calibri Light"/>
          <w:spacing w:val="-4"/>
          <w:sz w:val="20"/>
        </w:rPr>
        <w:t xml:space="preserve"> </w:t>
      </w:r>
      <w:r>
        <w:rPr>
          <w:rFonts w:ascii="Calibri Light" w:hAnsi="Calibri Light"/>
          <w:sz w:val="20"/>
        </w:rPr>
        <w:t>Training</w:t>
      </w:r>
      <w:r>
        <w:rPr>
          <w:rFonts w:ascii="Calibri Light" w:hAnsi="Calibri Light"/>
          <w:spacing w:val="-4"/>
          <w:sz w:val="20"/>
        </w:rPr>
        <w:t xml:space="preserve"> </w:t>
      </w:r>
      <w:r>
        <w:rPr>
          <w:rFonts w:ascii="Calibri Light" w:hAnsi="Calibri Light"/>
          <w:sz w:val="20"/>
        </w:rPr>
        <w:t>program</w:t>
      </w:r>
      <w:r>
        <w:rPr>
          <w:rFonts w:ascii="Calibri Light" w:hAnsi="Calibri Light"/>
          <w:spacing w:val="-3"/>
          <w:sz w:val="20"/>
        </w:rPr>
        <w:t xml:space="preserve"> </w:t>
      </w:r>
      <w:r>
        <w:rPr>
          <w:rFonts w:ascii="Calibri Light" w:hAnsi="Calibri Light"/>
          <w:sz w:val="20"/>
        </w:rPr>
        <w:t>design</w:t>
      </w:r>
      <w:r>
        <w:rPr>
          <w:rFonts w:ascii="Calibri Light" w:hAnsi="Calibri Light"/>
          <w:spacing w:val="-4"/>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 xml:space="preserve">initial outcomes. </w:t>
      </w:r>
      <w:r>
        <w:rPr>
          <w:rFonts w:ascii="Calibri Light" w:hAnsi="Calibri Light"/>
          <w:i/>
          <w:sz w:val="20"/>
        </w:rPr>
        <w:t>Journal of Substance Abuse Treatment, 65</w:t>
      </w:r>
      <w:r>
        <w:rPr>
          <w:rFonts w:ascii="Calibri Light" w:hAnsi="Calibri Light"/>
          <w:sz w:val="20"/>
        </w:rPr>
        <w:t>, 83–87. doi:10.1016/j.jsat.2016.02.002</w:t>
      </w:r>
    </w:p>
    <w:p w14:paraId="233738D4" w14:textId="77777777" w:rsidR="00DB6E1F" w:rsidRDefault="00F666A6">
      <w:pPr>
        <w:spacing w:line="259" w:lineRule="auto"/>
        <w:ind w:left="1620" w:right="1555" w:hanging="180"/>
        <w:rPr>
          <w:rFonts w:ascii="Calibri Light" w:hAnsi="Calibri Light"/>
          <w:sz w:val="20"/>
        </w:rPr>
      </w:pPr>
      <w:r>
        <w:rPr>
          <w:rFonts w:ascii="Calibri Light" w:hAnsi="Calibri Light"/>
          <w:sz w:val="20"/>
        </w:rPr>
        <w:t>Dufett,</w:t>
      </w:r>
      <w:r>
        <w:rPr>
          <w:rFonts w:ascii="Calibri Light" w:hAnsi="Calibri Light"/>
          <w:spacing w:val="-4"/>
          <w:sz w:val="20"/>
        </w:rPr>
        <w:t xml:space="preserve"> </w:t>
      </w:r>
      <w:r>
        <w:rPr>
          <w:rFonts w:ascii="Calibri Light" w:hAnsi="Calibri Light"/>
          <w:sz w:val="20"/>
        </w:rPr>
        <w:t>I.,</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Ward,</w:t>
      </w:r>
      <w:r>
        <w:rPr>
          <w:rFonts w:ascii="Calibri Light" w:hAnsi="Calibri Light"/>
          <w:spacing w:val="-4"/>
          <w:sz w:val="20"/>
        </w:rPr>
        <w:t xml:space="preserve"> </w:t>
      </w:r>
      <w:r>
        <w:rPr>
          <w:rFonts w:ascii="Calibri Light" w:hAnsi="Calibri Light"/>
          <w:sz w:val="20"/>
        </w:rPr>
        <w:t>C.</w:t>
      </w:r>
      <w:r>
        <w:rPr>
          <w:rFonts w:ascii="Calibri Light" w:hAnsi="Calibri Light"/>
          <w:spacing w:val="-1"/>
          <w:sz w:val="20"/>
        </w:rPr>
        <w:t xml:space="preserve"> </w:t>
      </w:r>
      <w:r>
        <w:rPr>
          <w:rFonts w:ascii="Calibri Light" w:hAnsi="Calibri Light"/>
          <w:sz w:val="20"/>
        </w:rPr>
        <w:t>I.</w:t>
      </w:r>
      <w:r>
        <w:rPr>
          <w:rFonts w:ascii="Calibri Light" w:hAnsi="Calibri Light"/>
          <w:spacing w:val="-4"/>
          <w:sz w:val="20"/>
        </w:rPr>
        <w:t xml:space="preserve"> </w:t>
      </w:r>
      <w:r>
        <w:rPr>
          <w:rFonts w:ascii="Calibri Light" w:hAnsi="Calibri Light"/>
          <w:sz w:val="20"/>
        </w:rPr>
        <w:t>(2015).</w:t>
      </w:r>
      <w:r>
        <w:rPr>
          <w:rFonts w:ascii="Calibri Light" w:hAnsi="Calibri Light"/>
          <w:spacing w:val="-1"/>
          <w:sz w:val="20"/>
        </w:rPr>
        <w:t xml:space="preserve"> </w:t>
      </w:r>
      <w:r>
        <w:rPr>
          <w:rFonts w:ascii="Calibri Light" w:hAnsi="Calibri Light"/>
          <w:sz w:val="20"/>
        </w:rPr>
        <w:t>Can</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motivational-interviewing-based</w:t>
      </w:r>
      <w:r>
        <w:rPr>
          <w:rFonts w:ascii="Calibri Light" w:hAnsi="Calibri Light"/>
          <w:spacing w:val="-4"/>
          <w:sz w:val="20"/>
        </w:rPr>
        <w:t xml:space="preserve"> </w:t>
      </w:r>
      <w:r>
        <w:rPr>
          <w:rFonts w:ascii="Calibri Light" w:hAnsi="Calibri Light"/>
          <w:sz w:val="20"/>
        </w:rPr>
        <w:t>outpatient</w:t>
      </w:r>
      <w:r>
        <w:rPr>
          <w:rFonts w:ascii="Calibri Light" w:hAnsi="Calibri Light"/>
          <w:spacing w:val="-4"/>
          <w:sz w:val="20"/>
        </w:rPr>
        <w:t xml:space="preserve"> </w:t>
      </w:r>
      <w:r>
        <w:rPr>
          <w:rFonts w:ascii="Calibri Light" w:hAnsi="Calibri Light"/>
          <w:sz w:val="20"/>
        </w:rPr>
        <w:t>substance</w:t>
      </w:r>
      <w:r>
        <w:rPr>
          <w:rFonts w:ascii="Calibri Light" w:hAnsi="Calibri Light"/>
          <w:spacing w:val="-3"/>
          <w:sz w:val="20"/>
        </w:rPr>
        <w:t xml:space="preserve"> </w:t>
      </w:r>
      <w:r>
        <w:rPr>
          <w:rFonts w:ascii="Calibri Light" w:hAnsi="Calibri Light"/>
          <w:sz w:val="20"/>
        </w:rPr>
        <w:t>abuse</w:t>
      </w:r>
      <w:r>
        <w:rPr>
          <w:rFonts w:ascii="Calibri Light" w:hAnsi="Calibri Light"/>
          <w:spacing w:val="-3"/>
          <w:sz w:val="20"/>
        </w:rPr>
        <w:t xml:space="preserve"> </w:t>
      </w:r>
      <w:r>
        <w:rPr>
          <w:rFonts w:ascii="Calibri Light" w:hAnsi="Calibri Light"/>
          <w:sz w:val="20"/>
        </w:rPr>
        <w:t xml:space="preserve">treatment achieve success? A theory-based evaluation. </w:t>
      </w:r>
      <w:r>
        <w:rPr>
          <w:rFonts w:ascii="Calibri Light" w:hAnsi="Calibri Light"/>
          <w:i/>
          <w:sz w:val="20"/>
        </w:rPr>
        <w:t>Afric</w:t>
      </w:r>
      <w:r>
        <w:rPr>
          <w:rFonts w:ascii="Calibri Light" w:hAnsi="Calibri Light"/>
          <w:i/>
          <w:sz w:val="20"/>
        </w:rPr>
        <w:t>an Journal of Drug and Alcohol Studies</w:t>
      </w:r>
      <w:r>
        <w:rPr>
          <w:rFonts w:ascii="Calibri Light" w:hAnsi="Calibri Light"/>
          <w:sz w:val="20"/>
        </w:rPr>
        <w:t xml:space="preserve">, </w:t>
      </w:r>
      <w:r>
        <w:rPr>
          <w:rFonts w:ascii="Calibri Light" w:hAnsi="Calibri Light"/>
          <w:i/>
          <w:sz w:val="20"/>
        </w:rPr>
        <w:t>14</w:t>
      </w:r>
      <w:r>
        <w:rPr>
          <w:rFonts w:ascii="Calibri Light" w:hAnsi="Calibri Light"/>
          <w:sz w:val="20"/>
        </w:rPr>
        <w:t>(1), 1–12.</w:t>
      </w:r>
    </w:p>
    <w:p w14:paraId="188BF55C" w14:textId="77777777" w:rsidR="00DB6E1F" w:rsidRDefault="00F666A6">
      <w:pPr>
        <w:spacing w:line="259" w:lineRule="auto"/>
        <w:ind w:left="1619" w:right="1491" w:hanging="180"/>
        <w:rPr>
          <w:rFonts w:ascii="Calibri Light" w:hAnsi="Calibri Light"/>
          <w:sz w:val="20"/>
        </w:rPr>
      </w:pPr>
      <w:r>
        <w:rPr>
          <w:rFonts w:ascii="Calibri Light" w:hAnsi="Calibri Light"/>
          <w:sz w:val="20"/>
        </w:rPr>
        <w:t>Ekong,</w:t>
      </w:r>
      <w:r>
        <w:rPr>
          <w:rFonts w:ascii="Calibri Light" w:hAnsi="Calibri Light"/>
          <w:spacing w:val="-4"/>
          <w:sz w:val="20"/>
        </w:rPr>
        <w:t xml:space="preserve"> </w:t>
      </w:r>
      <w:r>
        <w:rPr>
          <w:rFonts w:ascii="Calibri Light" w:hAnsi="Calibri Light"/>
          <w:sz w:val="20"/>
        </w:rPr>
        <w:t>G.,</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Kavookjian,</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(2016).</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1"/>
          <w:sz w:val="20"/>
        </w:rPr>
        <w:t xml:space="preserve"> </w:t>
      </w:r>
      <w:r>
        <w:rPr>
          <w:rFonts w:ascii="Calibri Light" w:hAnsi="Calibri Light"/>
          <w:sz w:val="20"/>
        </w:rPr>
        <w:t>interviewing and</w:t>
      </w:r>
      <w:r>
        <w:rPr>
          <w:rFonts w:ascii="Calibri Light" w:hAnsi="Calibri Light"/>
          <w:spacing w:val="-3"/>
          <w:sz w:val="20"/>
        </w:rPr>
        <w:t xml:space="preserve"> </w:t>
      </w:r>
      <w:r>
        <w:rPr>
          <w:rFonts w:ascii="Calibri Light" w:hAnsi="Calibri Light"/>
          <w:sz w:val="20"/>
        </w:rPr>
        <w:t>outcomes</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adults</w:t>
      </w:r>
      <w:r>
        <w:rPr>
          <w:rFonts w:ascii="Calibri Light" w:hAnsi="Calibri Light"/>
          <w:spacing w:val="-3"/>
          <w:sz w:val="20"/>
        </w:rPr>
        <w:t xml:space="preserve"> </w:t>
      </w:r>
      <w:r>
        <w:rPr>
          <w:rFonts w:ascii="Calibri Light" w:hAnsi="Calibri Light"/>
          <w:sz w:val="20"/>
        </w:rPr>
        <w:t>with</w:t>
      </w:r>
      <w:r>
        <w:rPr>
          <w:rFonts w:ascii="Calibri Light" w:hAnsi="Calibri Light"/>
          <w:spacing w:val="-3"/>
          <w:sz w:val="20"/>
        </w:rPr>
        <w:t xml:space="preserve"> </w:t>
      </w:r>
      <w:r>
        <w:rPr>
          <w:rFonts w:ascii="Calibri Light" w:hAnsi="Calibri Light"/>
          <w:sz w:val="20"/>
        </w:rPr>
        <w:t>type</w:t>
      </w:r>
      <w:r>
        <w:rPr>
          <w:rFonts w:ascii="Calibri Light" w:hAnsi="Calibri Light"/>
          <w:spacing w:val="-3"/>
          <w:sz w:val="20"/>
        </w:rPr>
        <w:t xml:space="preserve"> </w:t>
      </w:r>
      <w:r>
        <w:rPr>
          <w:rFonts w:ascii="Calibri Light" w:hAnsi="Calibri Light"/>
          <w:sz w:val="20"/>
        </w:rPr>
        <w:t>2</w:t>
      </w:r>
      <w:r>
        <w:rPr>
          <w:rFonts w:ascii="Calibri Light" w:hAnsi="Calibri Light"/>
          <w:spacing w:val="-3"/>
          <w:sz w:val="20"/>
        </w:rPr>
        <w:t xml:space="preserve"> </w:t>
      </w:r>
      <w:r>
        <w:rPr>
          <w:rFonts w:ascii="Calibri Light" w:hAnsi="Calibri Light"/>
          <w:sz w:val="20"/>
        </w:rPr>
        <w:t>diabetes:</w:t>
      </w:r>
      <w:r>
        <w:rPr>
          <w:rFonts w:ascii="Calibri Light" w:hAnsi="Calibri Light"/>
          <w:spacing w:val="-3"/>
          <w:sz w:val="20"/>
        </w:rPr>
        <w:t xml:space="preserve"> </w:t>
      </w:r>
      <w:r>
        <w:rPr>
          <w:rFonts w:ascii="Calibri Light" w:hAnsi="Calibri Light"/>
          <w:sz w:val="20"/>
        </w:rPr>
        <w:t xml:space="preserve">A systematic review. </w:t>
      </w:r>
      <w:r>
        <w:rPr>
          <w:rFonts w:ascii="Calibri Light" w:hAnsi="Calibri Light"/>
          <w:i/>
          <w:sz w:val="20"/>
        </w:rPr>
        <w:t>Patient Education and Counseling, 99</w:t>
      </w:r>
      <w:r>
        <w:rPr>
          <w:rFonts w:ascii="Calibri Light" w:hAnsi="Calibri Light"/>
          <w:sz w:val="20"/>
        </w:rPr>
        <w:t>(6), 944–952. doi:10.1016/j.pec.2015.11.022</w:t>
      </w:r>
    </w:p>
    <w:p w14:paraId="4C5083D1" w14:textId="77777777" w:rsidR="00DB6E1F" w:rsidRDefault="00F666A6">
      <w:pPr>
        <w:ind w:left="1440"/>
        <w:rPr>
          <w:rFonts w:ascii="Calibri Light"/>
          <w:sz w:val="20"/>
        </w:rPr>
      </w:pPr>
      <w:r>
        <w:rPr>
          <w:rFonts w:ascii="Calibri Light"/>
          <w:sz w:val="20"/>
        </w:rPr>
        <w:t>Elliott,</w:t>
      </w:r>
      <w:r>
        <w:rPr>
          <w:rFonts w:ascii="Calibri Light"/>
          <w:spacing w:val="-6"/>
          <w:sz w:val="20"/>
        </w:rPr>
        <w:t xml:space="preserve"> </w:t>
      </w:r>
      <w:r>
        <w:rPr>
          <w:rFonts w:ascii="Calibri Light"/>
          <w:sz w:val="20"/>
        </w:rPr>
        <w:t>J.</w:t>
      </w:r>
      <w:r>
        <w:rPr>
          <w:rFonts w:ascii="Calibri Light"/>
          <w:spacing w:val="-6"/>
          <w:sz w:val="20"/>
        </w:rPr>
        <w:t xml:space="preserve"> </w:t>
      </w:r>
      <w:r>
        <w:rPr>
          <w:rFonts w:ascii="Calibri Light"/>
          <w:sz w:val="20"/>
        </w:rPr>
        <w:t>C.,</w:t>
      </w:r>
      <w:r>
        <w:rPr>
          <w:rFonts w:ascii="Calibri Light"/>
          <w:spacing w:val="-5"/>
          <w:sz w:val="20"/>
        </w:rPr>
        <w:t xml:space="preserve"> </w:t>
      </w:r>
      <w:r>
        <w:rPr>
          <w:rFonts w:ascii="Calibri Light"/>
          <w:sz w:val="20"/>
        </w:rPr>
        <w:t>&amp;</w:t>
      </w:r>
      <w:r>
        <w:rPr>
          <w:rFonts w:ascii="Calibri Light"/>
          <w:spacing w:val="-4"/>
          <w:sz w:val="20"/>
        </w:rPr>
        <w:t xml:space="preserve"> </w:t>
      </w:r>
      <w:r>
        <w:rPr>
          <w:rFonts w:ascii="Calibri Light"/>
          <w:sz w:val="20"/>
        </w:rPr>
        <w:t>Carey,</w:t>
      </w:r>
      <w:r>
        <w:rPr>
          <w:rFonts w:ascii="Calibri Light"/>
          <w:spacing w:val="-5"/>
          <w:sz w:val="20"/>
        </w:rPr>
        <w:t xml:space="preserve"> </w:t>
      </w:r>
      <w:r>
        <w:rPr>
          <w:rFonts w:ascii="Calibri Light"/>
          <w:sz w:val="20"/>
        </w:rPr>
        <w:t>K.</w:t>
      </w:r>
      <w:r>
        <w:rPr>
          <w:rFonts w:ascii="Calibri Light"/>
          <w:spacing w:val="-6"/>
          <w:sz w:val="20"/>
        </w:rPr>
        <w:t xml:space="preserve"> </w:t>
      </w:r>
      <w:r>
        <w:rPr>
          <w:rFonts w:ascii="Calibri Light"/>
          <w:sz w:val="20"/>
        </w:rPr>
        <w:t>B.</w:t>
      </w:r>
      <w:r>
        <w:rPr>
          <w:rFonts w:ascii="Calibri Light"/>
          <w:spacing w:val="-6"/>
          <w:sz w:val="20"/>
        </w:rPr>
        <w:t xml:space="preserve"> </w:t>
      </w:r>
      <w:r>
        <w:rPr>
          <w:rFonts w:ascii="Calibri Light"/>
          <w:sz w:val="20"/>
        </w:rPr>
        <w:t>(2013).</w:t>
      </w:r>
      <w:r>
        <w:rPr>
          <w:rFonts w:ascii="Calibri Light"/>
          <w:spacing w:val="-5"/>
          <w:sz w:val="20"/>
        </w:rPr>
        <w:t xml:space="preserve"> </w:t>
      </w:r>
      <w:r>
        <w:rPr>
          <w:rFonts w:ascii="Calibri Light"/>
          <w:sz w:val="20"/>
        </w:rPr>
        <w:t>Pros</w:t>
      </w:r>
      <w:r>
        <w:rPr>
          <w:rFonts w:ascii="Calibri Light"/>
          <w:spacing w:val="-5"/>
          <w:sz w:val="20"/>
        </w:rPr>
        <w:t xml:space="preserve"> </w:t>
      </w:r>
      <w:r>
        <w:rPr>
          <w:rFonts w:ascii="Calibri Light"/>
          <w:sz w:val="20"/>
        </w:rPr>
        <w:t>and</w:t>
      </w:r>
      <w:r>
        <w:rPr>
          <w:rFonts w:ascii="Calibri Light"/>
          <w:spacing w:val="-4"/>
          <w:sz w:val="20"/>
        </w:rPr>
        <w:t xml:space="preserve"> </w:t>
      </w:r>
      <w:r>
        <w:rPr>
          <w:rFonts w:ascii="Calibri Light"/>
          <w:sz w:val="20"/>
        </w:rPr>
        <w:t>cons:</w:t>
      </w:r>
      <w:r>
        <w:rPr>
          <w:rFonts w:ascii="Calibri Light"/>
          <w:spacing w:val="-5"/>
          <w:sz w:val="20"/>
        </w:rPr>
        <w:t xml:space="preserve"> </w:t>
      </w:r>
      <w:r>
        <w:rPr>
          <w:rFonts w:ascii="Calibri Light"/>
          <w:sz w:val="20"/>
        </w:rPr>
        <w:t>Prospective</w:t>
      </w:r>
      <w:r>
        <w:rPr>
          <w:rFonts w:ascii="Calibri Light"/>
          <w:spacing w:val="-5"/>
          <w:sz w:val="20"/>
        </w:rPr>
        <w:t xml:space="preserve"> </w:t>
      </w:r>
      <w:r>
        <w:rPr>
          <w:rFonts w:ascii="Calibri Light"/>
          <w:sz w:val="20"/>
        </w:rPr>
        <w:t>predictors</w:t>
      </w:r>
      <w:r>
        <w:rPr>
          <w:rFonts w:ascii="Calibri Light"/>
          <w:spacing w:val="-4"/>
          <w:sz w:val="20"/>
        </w:rPr>
        <w:t xml:space="preserve"> </w:t>
      </w:r>
      <w:r>
        <w:rPr>
          <w:rFonts w:ascii="Calibri Light"/>
          <w:sz w:val="20"/>
        </w:rPr>
        <w:t>of</w:t>
      </w:r>
      <w:r>
        <w:rPr>
          <w:rFonts w:ascii="Calibri Light"/>
          <w:spacing w:val="-5"/>
          <w:sz w:val="20"/>
        </w:rPr>
        <w:t xml:space="preserve"> </w:t>
      </w:r>
      <w:r>
        <w:rPr>
          <w:rFonts w:ascii="Calibri Light"/>
          <w:sz w:val="20"/>
        </w:rPr>
        <w:t>marijuana</w:t>
      </w:r>
      <w:r>
        <w:rPr>
          <w:rFonts w:ascii="Calibri Light"/>
          <w:spacing w:val="-5"/>
          <w:sz w:val="20"/>
        </w:rPr>
        <w:t xml:space="preserve"> </w:t>
      </w:r>
      <w:r>
        <w:rPr>
          <w:rFonts w:ascii="Calibri Light"/>
          <w:sz w:val="20"/>
        </w:rPr>
        <w:t>use</w:t>
      </w:r>
      <w:r>
        <w:rPr>
          <w:rFonts w:ascii="Calibri Light"/>
          <w:spacing w:val="-3"/>
          <w:sz w:val="20"/>
        </w:rPr>
        <w:t xml:space="preserve"> </w:t>
      </w:r>
      <w:r>
        <w:rPr>
          <w:rFonts w:ascii="Calibri Light"/>
          <w:sz w:val="20"/>
        </w:rPr>
        <w:t>on</w:t>
      </w:r>
      <w:r>
        <w:rPr>
          <w:rFonts w:ascii="Calibri Light"/>
          <w:spacing w:val="-4"/>
          <w:sz w:val="20"/>
        </w:rPr>
        <w:t xml:space="preserve"> </w:t>
      </w:r>
      <w:r>
        <w:rPr>
          <w:rFonts w:ascii="Calibri Light"/>
          <w:sz w:val="20"/>
        </w:rPr>
        <w:t>a</w:t>
      </w:r>
      <w:r>
        <w:rPr>
          <w:rFonts w:ascii="Calibri Light"/>
          <w:spacing w:val="-5"/>
          <w:sz w:val="20"/>
        </w:rPr>
        <w:t xml:space="preserve"> </w:t>
      </w:r>
      <w:r>
        <w:rPr>
          <w:rFonts w:ascii="Calibri Light"/>
          <w:sz w:val="20"/>
        </w:rPr>
        <w:t>college</w:t>
      </w:r>
      <w:r>
        <w:rPr>
          <w:rFonts w:ascii="Calibri Light"/>
          <w:spacing w:val="-5"/>
          <w:sz w:val="20"/>
        </w:rPr>
        <w:t xml:space="preserve"> </w:t>
      </w:r>
      <w:r>
        <w:rPr>
          <w:rFonts w:ascii="Calibri Light"/>
          <w:spacing w:val="-2"/>
          <w:sz w:val="20"/>
        </w:rPr>
        <w:t>campus.</w:t>
      </w:r>
    </w:p>
    <w:p w14:paraId="47DDC802" w14:textId="77777777" w:rsidR="00DB6E1F" w:rsidRDefault="00F666A6">
      <w:pPr>
        <w:spacing w:before="16"/>
        <w:ind w:left="1619"/>
        <w:rPr>
          <w:rFonts w:ascii="Calibri Light" w:hAnsi="Calibri Light"/>
          <w:sz w:val="20"/>
        </w:rPr>
      </w:pPr>
      <w:r>
        <w:rPr>
          <w:rFonts w:ascii="Calibri Light" w:hAnsi="Calibri Light"/>
          <w:i/>
          <w:sz w:val="20"/>
        </w:rPr>
        <w:t>Psychology</w:t>
      </w:r>
      <w:r>
        <w:rPr>
          <w:rFonts w:ascii="Calibri Light" w:hAnsi="Calibri Light"/>
          <w:i/>
          <w:spacing w:val="-8"/>
          <w:sz w:val="20"/>
        </w:rPr>
        <w:t xml:space="preserve"> </w:t>
      </w:r>
      <w:r>
        <w:rPr>
          <w:rFonts w:ascii="Calibri Light" w:hAnsi="Calibri Light"/>
          <w:i/>
          <w:sz w:val="20"/>
        </w:rPr>
        <w:t>of</w:t>
      </w:r>
      <w:r>
        <w:rPr>
          <w:rFonts w:ascii="Calibri Light" w:hAnsi="Calibri Light"/>
          <w:i/>
          <w:spacing w:val="-8"/>
          <w:sz w:val="20"/>
        </w:rPr>
        <w:t xml:space="preserve"> </w:t>
      </w:r>
      <w:r>
        <w:rPr>
          <w:rFonts w:ascii="Calibri Light" w:hAnsi="Calibri Light"/>
          <w:i/>
          <w:sz w:val="20"/>
        </w:rPr>
        <w:t>Addictive</w:t>
      </w:r>
      <w:r>
        <w:rPr>
          <w:rFonts w:ascii="Calibri Light" w:hAnsi="Calibri Light"/>
          <w:i/>
          <w:spacing w:val="-7"/>
          <w:sz w:val="20"/>
        </w:rPr>
        <w:t xml:space="preserve"> </w:t>
      </w:r>
      <w:r>
        <w:rPr>
          <w:rFonts w:ascii="Calibri Light" w:hAnsi="Calibri Light"/>
          <w:i/>
          <w:sz w:val="20"/>
        </w:rPr>
        <w:t>Behaviors,</w:t>
      </w:r>
      <w:r>
        <w:rPr>
          <w:rFonts w:ascii="Calibri Light" w:hAnsi="Calibri Light"/>
          <w:i/>
          <w:spacing w:val="-8"/>
          <w:sz w:val="20"/>
        </w:rPr>
        <w:t xml:space="preserve"> </w:t>
      </w:r>
      <w:r>
        <w:rPr>
          <w:rFonts w:ascii="Calibri Light" w:hAnsi="Calibri Light"/>
          <w:i/>
          <w:sz w:val="20"/>
        </w:rPr>
        <w:t>27</w:t>
      </w:r>
      <w:r>
        <w:rPr>
          <w:rFonts w:ascii="Calibri Light" w:hAnsi="Calibri Light"/>
          <w:sz w:val="20"/>
        </w:rPr>
        <w:t>(1),</w:t>
      </w:r>
      <w:r>
        <w:rPr>
          <w:rFonts w:ascii="Calibri Light" w:hAnsi="Calibri Light"/>
          <w:spacing w:val="-9"/>
          <w:sz w:val="20"/>
        </w:rPr>
        <w:t xml:space="preserve"> </w:t>
      </w:r>
      <w:r>
        <w:rPr>
          <w:rFonts w:ascii="Calibri Light" w:hAnsi="Calibri Light"/>
          <w:sz w:val="20"/>
        </w:rPr>
        <w:t>230–235.</w:t>
      </w:r>
      <w:r>
        <w:rPr>
          <w:rFonts w:ascii="Calibri Light" w:hAnsi="Calibri Light"/>
          <w:spacing w:val="-9"/>
          <w:sz w:val="20"/>
        </w:rPr>
        <w:t xml:space="preserve"> </w:t>
      </w:r>
      <w:r>
        <w:rPr>
          <w:rFonts w:ascii="Calibri Light" w:hAnsi="Calibri Light"/>
          <w:spacing w:val="-2"/>
          <w:sz w:val="20"/>
        </w:rPr>
        <w:t>doi:10.1037/a0029835</w:t>
      </w:r>
    </w:p>
    <w:p w14:paraId="224EE1D3" w14:textId="77777777" w:rsidR="00DB6E1F" w:rsidRDefault="00F666A6">
      <w:pPr>
        <w:spacing w:before="19" w:line="259" w:lineRule="auto"/>
        <w:ind w:left="1620" w:right="1650" w:hanging="180"/>
        <w:rPr>
          <w:rFonts w:ascii="Calibri Light" w:hAnsi="Calibri Light"/>
          <w:sz w:val="20"/>
        </w:rPr>
      </w:pPr>
      <w:r>
        <w:rPr>
          <w:rFonts w:ascii="Calibri Light" w:hAnsi="Calibri Light"/>
          <w:sz w:val="20"/>
        </w:rPr>
        <w:t xml:space="preserve">Elliott, R., Bohart, A. C., Watson, J. C., &amp; Murphy, D. (2018). Therapist empathy and client outcome: An updated meta-analysis. </w:t>
      </w:r>
      <w:r>
        <w:rPr>
          <w:rFonts w:ascii="Calibri Light" w:hAnsi="Calibri Light"/>
          <w:i/>
          <w:sz w:val="20"/>
        </w:rPr>
        <w:t>Psychotherapy, 55</w:t>
      </w:r>
      <w:r>
        <w:rPr>
          <w:rFonts w:ascii="Calibri Light" w:hAnsi="Calibri Light"/>
          <w:sz w:val="20"/>
        </w:rPr>
        <w:t xml:space="preserve">(4), 399–410. Retrieved from </w:t>
      </w:r>
      <w:hyperlink r:id="rId124">
        <w:r>
          <w:rPr>
            <w:rFonts w:ascii="Calibri Light" w:hAnsi="Calibri Light"/>
            <w:color w:val="0563C1"/>
            <w:spacing w:val="-2"/>
            <w:sz w:val="20"/>
            <w:u w:val="single" w:color="0563C1"/>
          </w:rPr>
          <w:t>www.researchgate.net/publication/324562138_Therapist_Empathy_and_Client_Outcome_An_Updated_Meta-</w:t>
        </w:r>
      </w:hyperlink>
      <w:r>
        <w:rPr>
          <w:rFonts w:ascii="Calibri Light" w:hAnsi="Calibri Light"/>
          <w:color w:val="0563C1"/>
          <w:spacing w:val="-2"/>
          <w:sz w:val="20"/>
        </w:rPr>
        <w:t xml:space="preserve"> </w:t>
      </w:r>
      <w:hyperlink r:id="rId125">
        <w:r>
          <w:rPr>
            <w:rFonts w:ascii="Calibri Light" w:hAnsi="Calibri Light"/>
            <w:color w:val="0563C1"/>
            <w:spacing w:val="-2"/>
            <w:sz w:val="20"/>
            <w:u w:val="single" w:color="0563C1"/>
          </w:rPr>
          <w:t>Analysis</w:t>
        </w:r>
      </w:hyperlink>
    </w:p>
    <w:p w14:paraId="473A211C" w14:textId="77777777" w:rsidR="00DB6E1F" w:rsidRDefault="00F666A6">
      <w:pPr>
        <w:spacing w:line="256" w:lineRule="auto"/>
        <w:ind w:left="1620" w:right="1491" w:hanging="181"/>
        <w:rPr>
          <w:rFonts w:ascii="Calibri Light" w:hAnsi="Calibri Light"/>
          <w:sz w:val="20"/>
        </w:rPr>
      </w:pPr>
      <w:r>
        <w:rPr>
          <w:rFonts w:ascii="Calibri Light" w:hAnsi="Calibri Light"/>
          <w:sz w:val="20"/>
        </w:rPr>
        <w:t>Ewing,</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Wray,</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Mead,</w:t>
      </w:r>
      <w:r>
        <w:rPr>
          <w:rFonts w:ascii="Calibri Light" w:hAnsi="Calibri Light"/>
          <w:spacing w:val="-3"/>
          <w:sz w:val="20"/>
        </w:rPr>
        <w:t xml:space="preserve"> </w:t>
      </w:r>
      <w:r>
        <w:rPr>
          <w:rFonts w:ascii="Calibri Light" w:hAnsi="Calibri Light"/>
          <w:sz w:val="20"/>
        </w:rPr>
        <w:t>H.</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Adams,</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(2012).</w:t>
      </w:r>
      <w:r>
        <w:rPr>
          <w:rFonts w:ascii="Calibri Light" w:hAnsi="Calibri Light"/>
          <w:spacing w:val="-3"/>
          <w:sz w:val="20"/>
        </w:rPr>
        <w:t xml:space="preserve"> </w:t>
      </w:r>
      <w:r>
        <w:rPr>
          <w:rFonts w:ascii="Calibri Light" w:hAnsi="Calibri Light"/>
          <w:sz w:val="20"/>
        </w:rPr>
        <w:t>Two</w:t>
      </w:r>
      <w:r>
        <w:rPr>
          <w:rFonts w:ascii="Calibri Light" w:hAnsi="Calibri Light"/>
          <w:spacing w:val="-3"/>
          <w:sz w:val="20"/>
        </w:rPr>
        <w:t xml:space="preserve"> </w:t>
      </w:r>
      <w:r>
        <w:rPr>
          <w:rFonts w:ascii="Calibri Light" w:hAnsi="Calibri Light"/>
          <w:sz w:val="20"/>
        </w:rPr>
        <w:t>approaches to</w:t>
      </w:r>
      <w:r>
        <w:rPr>
          <w:rFonts w:ascii="Calibri Light" w:hAnsi="Calibri Light"/>
          <w:spacing w:val="-3"/>
          <w:sz w:val="20"/>
        </w:rPr>
        <w:t xml:space="preserve"> </w:t>
      </w:r>
      <w:r>
        <w:rPr>
          <w:rFonts w:ascii="Calibri Light" w:hAnsi="Calibri Light"/>
          <w:sz w:val="20"/>
        </w:rPr>
        <w:t>tailoring treatment</w:t>
      </w:r>
      <w:r>
        <w:rPr>
          <w:rFonts w:ascii="Calibri Light" w:hAnsi="Calibri Light"/>
          <w:spacing w:val="-3"/>
          <w:sz w:val="20"/>
        </w:rPr>
        <w:t xml:space="preserve"> </w:t>
      </w:r>
      <w:r>
        <w:rPr>
          <w:rFonts w:ascii="Calibri Light" w:hAnsi="Calibri Light"/>
          <w:sz w:val="20"/>
        </w:rPr>
        <w:t>for</w:t>
      </w:r>
      <w:r>
        <w:rPr>
          <w:rFonts w:ascii="Calibri Light" w:hAnsi="Calibri Light"/>
          <w:spacing w:val="-1"/>
          <w:sz w:val="20"/>
        </w:rPr>
        <w:t xml:space="preserve"> </w:t>
      </w:r>
      <w:r>
        <w:rPr>
          <w:rFonts w:ascii="Calibri Light" w:hAnsi="Calibri Light"/>
          <w:sz w:val="20"/>
        </w:rPr>
        <w:t xml:space="preserve">cultural minority adolescents. </w:t>
      </w:r>
      <w:r>
        <w:rPr>
          <w:rFonts w:ascii="Calibri Light" w:hAnsi="Calibri Light"/>
          <w:i/>
          <w:sz w:val="20"/>
        </w:rPr>
        <w:t>Journal of Substance Abuse Treatment, 43</w:t>
      </w:r>
      <w:r>
        <w:rPr>
          <w:rFonts w:ascii="Calibri Light" w:hAnsi="Calibri Light"/>
          <w:sz w:val="20"/>
        </w:rPr>
        <w:t>(2), 190–203. doi:10.1016/j.jsat.2011.12.005</w:t>
      </w:r>
    </w:p>
    <w:p w14:paraId="1C1517A0" w14:textId="77777777" w:rsidR="00DB6E1F" w:rsidRDefault="00F666A6">
      <w:pPr>
        <w:spacing w:before="3" w:line="259" w:lineRule="auto"/>
        <w:ind w:left="1620" w:right="1491" w:hanging="180"/>
        <w:rPr>
          <w:rFonts w:ascii="Calibri Light" w:hAnsi="Calibri Light"/>
          <w:sz w:val="20"/>
        </w:rPr>
      </w:pPr>
      <w:r>
        <w:rPr>
          <w:rFonts w:ascii="Calibri Light" w:hAnsi="Calibri Light"/>
          <w:sz w:val="20"/>
        </w:rPr>
        <w:t>Feldstein Ewing, S. W., Walters, S., &amp; Baer, J. C. (2013). Motivational interviewing groups for adolescents and emerging</w:t>
      </w:r>
      <w:r>
        <w:rPr>
          <w:rFonts w:ascii="Calibri Light" w:hAnsi="Calibri Light"/>
          <w:spacing w:val="-2"/>
          <w:sz w:val="20"/>
        </w:rPr>
        <w:t xml:space="preserve"> </w:t>
      </w:r>
      <w:r>
        <w:rPr>
          <w:rFonts w:ascii="Calibri Light" w:hAnsi="Calibri Light"/>
          <w:sz w:val="20"/>
        </w:rPr>
        <w:t>adults.</w:t>
      </w:r>
      <w:r>
        <w:rPr>
          <w:rFonts w:ascii="Calibri Light" w:hAnsi="Calibri Light"/>
          <w:spacing w:val="-3"/>
          <w:sz w:val="20"/>
        </w:rPr>
        <w:t xml:space="preserve"> </w:t>
      </w:r>
      <w:r>
        <w:rPr>
          <w:rFonts w:ascii="Calibri Light" w:hAnsi="Calibri Light"/>
          <w:sz w:val="20"/>
        </w:rPr>
        <w:t>In</w:t>
      </w:r>
      <w:r>
        <w:rPr>
          <w:rFonts w:ascii="Calibri Light" w:hAnsi="Calibri Light"/>
          <w:spacing w:val="-1"/>
          <w:sz w:val="20"/>
        </w:rPr>
        <w:t xml:space="preserve"> </w:t>
      </w:r>
      <w:r>
        <w:rPr>
          <w:rFonts w:ascii="Calibri Light" w:hAnsi="Calibri Light"/>
          <w:sz w:val="20"/>
        </w:rPr>
        <w:t>C.</w:t>
      </w:r>
      <w:r>
        <w:rPr>
          <w:rFonts w:ascii="Calibri Light" w:hAnsi="Calibri Light"/>
          <w:spacing w:val="-1"/>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Wagner</w:t>
      </w:r>
      <w:r>
        <w:rPr>
          <w:rFonts w:ascii="Calibri Light" w:hAnsi="Calibri Light"/>
          <w:spacing w:val="-1"/>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Ingersoll</w:t>
      </w:r>
      <w:r>
        <w:rPr>
          <w:rFonts w:ascii="Calibri Light" w:hAnsi="Calibri Light"/>
          <w:spacing w:val="-3"/>
          <w:sz w:val="20"/>
        </w:rPr>
        <w:t xml:space="preserve"> </w:t>
      </w:r>
      <w:r>
        <w:rPr>
          <w:rFonts w:ascii="Calibri Light" w:hAnsi="Calibri Light"/>
          <w:sz w:val="20"/>
        </w:rPr>
        <w:t>(Eds.),</w:t>
      </w:r>
      <w:r>
        <w:rPr>
          <w:rFonts w:ascii="Calibri Light" w:hAnsi="Calibri Light"/>
          <w:spacing w:val="-3"/>
          <w:sz w:val="20"/>
        </w:rPr>
        <w:t xml:space="preserve"> </w:t>
      </w:r>
      <w:r>
        <w:rPr>
          <w:rFonts w:ascii="Calibri Light" w:hAnsi="Calibri Light"/>
          <w:i/>
          <w:sz w:val="20"/>
        </w:rPr>
        <w:t>Motivational</w:t>
      </w:r>
      <w:r>
        <w:rPr>
          <w:rFonts w:ascii="Calibri Light" w:hAnsi="Calibri Light"/>
          <w:i/>
          <w:spacing w:val="-3"/>
          <w:sz w:val="20"/>
        </w:rPr>
        <w:t xml:space="preserve"> </w:t>
      </w:r>
      <w:r>
        <w:rPr>
          <w:rFonts w:ascii="Calibri Light" w:hAnsi="Calibri Light"/>
          <w:i/>
          <w:sz w:val="20"/>
        </w:rPr>
        <w:t>interviewing</w:t>
      </w:r>
      <w:r>
        <w:rPr>
          <w:rFonts w:ascii="Calibri Light" w:hAnsi="Calibri Light"/>
          <w:i/>
          <w:spacing w:val="-2"/>
          <w:sz w:val="20"/>
        </w:rPr>
        <w:t xml:space="preserve"> </w:t>
      </w:r>
      <w:r>
        <w:rPr>
          <w:rFonts w:ascii="Calibri Light" w:hAnsi="Calibri Light"/>
          <w:i/>
          <w:sz w:val="20"/>
        </w:rPr>
        <w:t>in</w:t>
      </w:r>
      <w:r>
        <w:rPr>
          <w:rFonts w:ascii="Calibri Light" w:hAnsi="Calibri Light"/>
          <w:i/>
          <w:spacing w:val="-2"/>
          <w:sz w:val="20"/>
        </w:rPr>
        <w:t xml:space="preserve"> </w:t>
      </w:r>
      <w:r>
        <w:rPr>
          <w:rFonts w:ascii="Calibri Light" w:hAnsi="Calibri Light"/>
          <w:i/>
          <w:sz w:val="20"/>
        </w:rPr>
        <w:t>groups</w:t>
      </w:r>
      <w:r>
        <w:rPr>
          <w:rFonts w:ascii="Calibri Light" w:hAnsi="Calibri Light"/>
          <w:i/>
          <w:spacing w:val="-3"/>
          <w:sz w:val="20"/>
        </w:rPr>
        <w:t xml:space="preserve"> </w:t>
      </w:r>
      <w:r>
        <w:rPr>
          <w:rFonts w:ascii="Calibri Light" w:hAnsi="Calibri Light"/>
          <w:sz w:val="20"/>
        </w:rPr>
        <w:t>(pp.</w:t>
      </w:r>
      <w:r>
        <w:rPr>
          <w:rFonts w:ascii="Calibri Light" w:hAnsi="Calibri Light"/>
          <w:spacing w:val="-3"/>
          <w:sz w:val="20"/>
        </w:rPr>
        <w:t xml:space="preserve"> </w:t>
      </w:r>
      <w:r>
        <w:rPr>
          <w:rFonts w:ascii="Calibri Light" w:hAnsi="Calibri Light"/>
          <w:sz w:val="20"/>
        </w:rPr>
        <w:t>387–406).</w:t>
      </w:r>
      <w:r>
        <w:rPr>
          <w:rFonts w:ascii="Calibri Light" w:hAnsi="Calibri Light"/>
          <w:spacing w:val="-3"/>
          <w:sz w:val="20"/>
        </w:rPr>
        <w:t xml:space="preserve"> </w:t>
      </w:r>
      <w:r>
        <w:rPr>
          <w:rFonts w:ascii="Calibri Light" w:hAnsi="Calibri Light"/>
          <w:sz w:val="20"/>
        </w:rPr>
        <w:t>New York, NY: Guilford Press.</w:t>
      </w:r>
    </w:p>
    <w:p w14:paraId="7038108A" w14:textId="77777777" w:rsidR="00DB6E1F" w:rsidRDefault="00F666A6">
      <w:pPr>
        <w:spacing w:before="1" w:line="259" w:lineRule="auto"/>
        <w:ind w:left="1619" w:right="1491" w:hanging="180"/>
        <w:rPr>
          <w:rFonts w:ascii="Calibri Light"/>
          <w:sz w:val="20"/>
        </w:rPr>
      </w:pPr>
      <w:r>
        <w:rPr>
          <w:rFonts w:ascii="Calibri Light"/>
          <w:sz w:val="20"/>
        </w:rPr>
        <w:t>Ferg</w:t>
      </w:r>
      <w:r>
        <w:rPr>
          <w:rFonts w:ascii="Calibri Light"/>
          <w:sz w:val="20"/>
        </w:rPr>
        <w:t>ie, L., Campbell, K. A., Coleman-Haynes, T., Ussher, M., Cooper, S., &amp; Coleman, T. (2018). Identifying effective behavior</w:t>
      </w:r>
      <w:r>
        <w:rPr>
          <w:rFonts w:ascii="Calibri Light"/>
          <w:spacing w:val="-3"/>
          <w:sz w:val="20"/>
        </w:rPr>
        <w:t xml:space="preserve"> </w:t>
      </w:r>
      <w:r>
        <w:rPr>
          <w:rFonts w:ascii="Calibri Light"/>
          <w:sz w:val="20"/>
        </w:rPr>
        <w:t>change</w:t>
      </w:r>
      <w:r>
        <w:rPr>
          <w:rFonts w:ascii="Calibri Light"/>
          <w:spacing w:val="-3"/>
          <w:sz w:val="20"/>
        </w:rPr>
        <w:t xml:space="preserve"> </w:t>
      </w:r>
      <w:r>
        <w:rPr>
          <w:rFonts w:ascii="Calibri Light"/>
          <w:sz w:val="20"/>
        </w:rPr>
        <w:t>techniques</w:t>
      </w:r>
      <w:r>
        <w:rPr>
          <w:rFonts w:ascii="Calibri Light"/>
          <w:spacing w:val="-3"/>
          <w:sz w:val="20"/>
        </w:rPr>
        <w:t xml:space="preserve"> </w:t>
      </w:r>
      <w:r>
        <w:rPr>
          <w:rFonts w:ascii="Calibri Light"/>
          <w:sz w:val="20"/>
        </w:rPr>
        <w:t>for</w:t>
      </w:r>
      <w:r>
        <w:rPr>
          <w:rFonts w:ascii="Calibri Light"/>
          <w:spacing w:val="-3"/>
          <w:sz w:val="20"/>
        </w:rPr>
        <w:t xml:space="preserve"> </w:t>
      </w:r>
      <w:r>
        <w:rPr>
          <w:rFonts w:ascii="Calibri Light"/>
          <w:sz w:val="20"/>
        </w:rPr>
        <w:t>alcohol</w:t>
      </w:r>
      <w:r>
        <w:rPr>
          <w:rFonts w:ascii="Calibri Light"/>
          <w:spacing w:val="-4"/>
          <w:sz w:val="20"/>
        </w:rPr>
        <w:t xml:space="preserve"> </w:t>
      </w:r>
      <w:r>
        <w:rPr>
          <w:rFonts w:ascii="Calibri Light"/>
          <w:sz w:val="20"/>
        </w:rPr>
        <w:t>and</w:t>
      </w:r>
      <w:r>
        <w:rPr>
          <w:rFonts w:ascii="Calibri Light"/>
          <w:spacing w:val="-2"/>
          <w:sz w:val="20"/>
        </w:rPr>
        <w:t xml:space="preserve"> </w:t>
      </w:r>
      <w:r>
        <w:rPr>
          <w:rFonts w:ascii="Calibri Light"/>
          <w:sz w:val="20"/>
        </w:rPr>
        <w:t>illicit</w:t>
      </w:r>
      <w:r>
        <w:rPr>
          <w:rFonts w:ascii="Calibri Light"/>
          <w:spacing w:val="-4"/>
          <w:sz w:val="20"/>
        </w:rPr>
        <w:t xml:space="preserve"> </w:t>
      </w:r>
      <w:r>
        <w:rPr>
          <w:rFonts w:ascii="Calibri Light"/>
          <w:sz w:val="20"/>
        </w:rPr>
        <w:t>substance</w:t>
      </w:r>
      <w:r>
        <w:rPr>
          <w:rFonts w:ascii="Calibri Light"/>
          <w:spacing w:val="-2"/>
          <w:sz w:val="20"/>
        </w:rPr>
        <w:t xml:space="preserve"> </w:t>
      </w:r>
      <w:r>
        <w:rPr>
          <w:rFonts w:ascii="Calibri Light"/>
          <w:sz w:val="20"/>
        </w:rPr>
        <w:t>use</w:t>
      </w:r>
      <w:r>
        <w:rPr>
          <w:rFonts w:ascii="Calibri Light"/>
          <w:spacing w:val="-3"/>
          <w:sz w:val="20"/>
        </w:rPr>
        <w:t xml:space="preserve"> </w:t>
      </w:r>
      <w:r>
        <w:rPr>
          <w:rFonts w:ascii="Calibri Light"/>
          <w:sz w:val="20"/>
        </w:rPr>
        <w:t>during</w:t>
      </w:r>
      <w:r>
        <w:rPr>
          <w:rFonts w:ascii="Calibri Light"/>
          <w:spacing w:val="-2"/>
          <w:sz w:val="20"/>
        </w:rPr>
        <w:t xml:space="preserve"> </w:t>
      </w:r>
      <w:r>
        <w:rPr>
          <w:rFonts w:ascii="Calibri Light"/>
          <w:sz w:val="20"/>
        </w:rPr>
        <w:t>pregnancy:</w:t>
      </w:r>
      <w:r>
        <w:rPr>
          <w:rFonts w:ascii="Calibri Light"/>
          <w:spacing w:val="-3"/>
          <w:sz w:val="20"/>
        </w:rPr>
        <w:t xml:space="preserve"> </w:t>
      </w:r>
      <w:r>
        <w:rPr>
          <w:rFonts w:ascii="Calibri Light"/>
          <w:sz w:val="20"/>
        </w:rPr>
        <w:t>A</w:t>
      </w:r>
      <w:r>
        <w:rPr>
          <w:rFonts w:ascii="Calibri Light"/>
          <w:spacing w:val="-3"/>
          <w:sz w:val="20"/>
        </w:rPr>
        <w:t xml:space="preserve"> </w:t>
      </w:r>
      <w:r>
        <w:rPr>
          <w:rFonts w:ascii="Calibri Light"/>
          <w:sz w:val="20"/>
        </w:rPr>
        <w:t>systematic</w:t>
      </w:r>
      <w:r>
        <w:rPr>
          <w:rFonts w:ascii="Calibri Light"/>
          <w:spacing w:val="-4"/>
          <w:sz w:val="20"/>
        </w:rPr>
        <w:t xml:space="preserve"> </w:t>
      </w:r>
      <w:r>
        <w:rPr>
          <w:rFonts w:ascii="Calibri Light"/>
          <w:sz w:val="20"/>
        </w:rPr>
        <w:t>review.</w:t>
      </w:r>
      <w:r>
        <w:rPr>
          <w:rFonts w:ascii="Calibri Light"/>
          <w:spacing w:val="-4"/>
          <w:sz w:val="20"/>
        </w:rPr>
        <w:t xml:space="preserve"> </w:t>
      </w:r>
      <w:r>
        <w:rPr>
          <w:rFonts w:ascii="Calibri Light"/>
          <w:i/>
          <w:sz w:val="20"/>
        </w:rPr>
        <w:t>Annals</w:t>
      </w:r>
      <w:r>
        <w:rPr>
          <w:rFonts w:ascii="Calibri Light"/>
          <w:i/>
          <w:spacing w:val="-3"/>
          <w:sz w:val="20"/>
        </w:rPr>
        <w:t xml:space="preserve"> </w:t>
      </w:r>
      <w:r>
        <w:rPr>
          <w:rFonts w:ascii="Calibri Light"/>
          <w:i/>
          <w:sz w:val="20"/>
        </w:rPr>
        <w:t>of</w:t>
      </w:r>
      <w:r>
        <w:rPr>
          <w:rFonts w:ascii="Calibri Light"/>
          <w:i/>
          <w:sz w:val="20"/>
        </w:rPr>
        <w:t xml:space="preserve"> Behavioral Medicine</w:t>
      </w:r>
      <w:r>
        <w:rPr>
          <w:rFonts w:ascii="Calibri Light"/>
          <w:sz w:val="20"/>
        </w:rPr>
        <w:t>. doi:10.1093/abm/kay085</w:t>
      </w:r>
    </w:p>
    <w:p w14:paraId="31DF7FE9" w14:textId="77777777" w:rsidR="00DB6E1F" w:rsidRDefault="00F666A6">
      <w:pPr>
        <w:spacing w:line="259" w:lineRule="auto"/>
        <w:ind w:left="1619" w:right="1555" w:hanging="181"/>
        <w:rPr>
          <w:rFonts w:ascii="Calibri Light" w:hAnsi="Calibri Light"/>
          <w:sz w:val="20"/>
        </w:rPr>
      </w:pPr>
      <w:r>
        <w:rPr>
          <w:rFonts w:ascii="Calibri Light" w:hAnsi="Calibri Light"/>
          <w:sz w:val="20"/>
        </w:rPr>
        <w:t>Field,</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Adinoff,</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Harris, T.</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Ball,</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Carroll,</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(2009). Construct, concurrent</w:t>
      </w:r>
      <w:r>
        <w:rPr>
          <w:rFonts w:ascii="Calibri Light" w:hAnsi="Calibri Light"/>
          <w:spacing w:val="-3"/>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predictive</w:t>
      </w:r>
      <w:r>
        <w:rPr>
          <w:rFonts w:ascii="Calibri Light" w:hAnsi="Calibri Light"/>
          <w:spacing w:val="-2"/>
          <w:sz w:val="20"/>
        </w:rPr>
        <w:t xml:space="preserve"> </w:t>
      </w:r>
      <w:r>
        <w:rPr>
          <w:rFonts w:ascii="Calibri Light" w:hAnsi="Calibri Light"/>
          <w:sz w:val="20"/>
        </w:rPr>
        <w:t xml:space="preserve">validity of the URICA: Data from two multi-site clinical trials. </w:t>
      </w:r>
      <w:r>
        <w:rPr>
          <w:rFonts w:ascii="Calibri Light" w:hAnsi="Calibri Light"/>
          <w:i/>
          <w:sz w:val="20"/>
        </w:rPr>
        <w:t>Drug and Alcohol Dependence</w:t>
      </w:r>
      <w:r>
        <w:rPr>
          <w:rFonts w:ascii="Calibri Light" w:hAnsi="Calibri Light"/>
          <w:sz w:val="20"/>
        </w:rPr>
        <w:t xml:space="preserve">, </w:t>
      </w:r>
      <w:r>
        <w:rPr>
          <w:rFonts w:ascii="Calibri Light" w:hAnsi="Calibri Light"/>
          <w:i/>
          <w:sz w:val="20"/>
        </w:rPr>
        <w:t>101</w:t>
      </w:r>
      <w:r>
        <w:rPr>
          <w:rFonts w:ascii="Calibri Light" w:hAnsi="Calibri Light"/>
          <w:sz w:val="20"/>
        </w:rPr>
        <w:t>(1–2), 115–123.</w:t>
      </w:r>
    </w:p>
    <w:p w14:paraId="663AD832" w14:textId="77777777" w:rsidR="00DB6E1F" w:rsidRDefault="00F666A6">
      <w:pPr>
        <w:spacing w:line="259" w:lineRule="auto"/>
        <w:ind w:left="1619" w:right="1491" w:hanging="181"/>
        <w:rPr>
          <w:rFonts w:ascii="Calibri Light" w:hAnsi="Calibri Light"/>
          <w:sz w:val="20"/>
        </w:rPr>
      </w:pPr>
      <w:r>
        <w:rPr>
          <w:rFonts w:ascii="Calibri Light" w:hAnsi="Calibri Light"/>
          <w:sz w:val="20"/>
        </w:rPr>
        <w:t>Field,</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Walters,</w:t>
      </w:r>
      <w:r>
        <w:rPr>
          <w:rFonts w:ascii="Calibri Light" w:hAnsi="Calibri Light"/>
          <w:spacing w:val="-3"/>
          <w:sz w:val="20"/>
        </w:rPr>
        <w:t xml:space="preserve"> </w:t>
      </w:r>
      <w:r>
        <w:rPr>
          <w:rFonts w:ascii="Calibri Light" w:hAnsi="Calibri Light"/>
          <w:sz w:val="20"/>
        </w:rPr>
        <w:t>S., Marti,</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N.,</w:t>
      </w:r>
      <w:r>
        <w:rPr>
          <w:rFonts w:ascii="Calibri Light" w:hAnsi="Calibri Light"/>
          <w:spacing w:val="-3"/>
          <w:sz w:val="20"/>
        </w:rPr>
        <w:t xml:space="preserve"> </w:t>
      </w:r>
      <w:r>
        <w:rPr>
          <w:rFonts w:ascii="Calibri Light" w:hAnsi="Calibri Light"/>
          <w:sz w:val="20"/>
        </w:rPr>
        <w:t>Jun,</w:t>
      </w:r>
      <w:r>
        <w:rPr>
          <w:rFonts w:ascii="Calibri Light" w:hAnsi="Calibri Light"/>
          <w:spacing w:val="-3"/>
          <w:sz w:val="20"/>
        </w:rPr>
        <w:t xml:space="preserve"> </w:t>
      </w:r>
      <w:r>
        <w:rPr>
          <w:rFonts w:ascii="Calibri Light" w:hAnsi="Calibri Light"/>
          <w:sz w:val="20"/>
        </w:rPr>
        <w:t>J., Foreman,</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Brown,</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(2014).</w:t>
      </w:r>
      <w:r>
        <w:rPr>
          <w:rFonts w:ascii="Calibri Light" w:hAnsi="Calibri Light"/>
          <w:spacing w:val="-3"/>
          <w:sz w:val="20"/>
        </w:rPr>
        <w:t xml:space="preserve"> </w:t>
      </w:r>
      <w:r>
        <w:rPr>
          <w:rFonts w:ascii="Calibri Light" w:hAnsi="Calibri Light"/>
          <w:sz w:val="20"/>
        </w:rPr>
        <w:t>A</w:t>
      </w:r>
      <w:r>
        <w:rPr>
          <w:rFonts w:ascii="Calibri Light" w:hAnsi="Calibri Light"/>
          <w:spacing w:val="-1"/>
          <w:sz w:val="20"/>
        </w:rPr>
        <w:t xml:space="preserve"> </w:t>
      </w:r>
      <w:r>
        <w:rPr>
          <w:rFonts w:ascii="Calibri Light" w:hAnsi="Calibri Light"/>
          <w:sz w:val="20"/>
        </w:rPr>
        <w:t>multisite</w:t>
      </w:r>
      <w:r>
        <w:rPr>
          <w:rFonts w:ascii="Calibri Light" w:hAnsi="Calibri Light"/>
          <w:spacing w:val="-2"/>
          <w:sz w:val="20"/>
        </w:rPr>
        <w:t xml:space="preserve"> </w:t>
      </w:r>
      <w:r>
        <w:rPr>
          <w:rFonts w:ascii="Calibri Light" w:hAnsi="Calibri Light"/>
          <w:sz w:val="20"/>
        </w:rPr>
        <w:t>randomized</w:t>
      </w:r>
      <w:r>
        <w:rPr>
          <w:rFonts w:ascii="Calibri Light" w:hAnsi="Calibri Light"/>
          <w:spacing w:val="-2"/>
          <w:sz w:val="20"/>
        </w:rPr>
        <w:t xml:space="preserve"> </w:t>
      </w:r>
      <w:r>
        <w:rPr>
          <w:rFonts w:ascii="Calibri Light" w:hAnsi="Calibri Light"/>
          <w:sz w:val="20"/>
        </w:rPr>
        <w:t>controlled</w:t>
      </w:r>
      <w:r>
        <w:rPr>
          <w:rFonts w:ascii="Calibri Light" w:hAnsi="Calibri Light"/>
          <w:spacing w:val="-2"/>
          <w:sz w:val="20"/>
        </w:rPr>
        <w:t xml:space="preserve"> </w:t>
      </w:r>
      <w:r>
        <w:rPr>
          <w:rFonts w:ascii="Calibri Light" w:hAnsi="Calibri Light"/>
          <w:sz w:val="20"/>
        </w:rPr>
        <w:t>trial</w:t>
      </w:r>
      <w:r>
        <w:rPr>
          <w:rFonts w:ascii="Calibri Light" w:hAnsi="Calibri Light"/>
          <w:spacing w:val="-3"/>
          <w:sz w:val="20"/>
        </w:rPr>
        <w:t xml:space="preserve"> </w:t>
      </w:r>
      <w:r>
        <w:rPr>
          <w:rFonts w:ascii="Calibri Light" w:hAnsi="Calibri Light"/>
          <w:sz w:val="20"/>
        </w:rPr>
        <w:t>of brief intervention t</w:t>
      </w:r>
      <w:r>
        <w:rPr>
          <w:rFonts w:ascii="Calibri Light" w:hAnsi="Calibri Light"/>
          <w:sz w:val="20"/>
        </w:rPr>
        <w:t xml:space="preserve">o reduce drinking in the trauma care setting. </w:t>
      </w:r>
      <w:r>
        <w:rPr>
          <w:rFonts w:ascii="Calibri Light" w:hAnsi="Calibri Light"/>
          <w:i/>
          <w:sz w:val="20"/>
        </w:rPr>
        <w:t>Annals of Surgery, 259</w:t>
      </w:r>
      <w:r>
        <w:rPr>
          <w:rFonts w:ascii="Calibri Light" w:hAnsi="Calibri Light"/>
          <w:sz w:val="20"/>
        </w:rPr>
        <w:t xml:space="preserve">(5), 873–880. </w:t>
      </w:r>
      <w:r>
        <w:rPr>
          <w:rFonts w:ascii="Calibri Light" w:hAnsi="Calibri Light"/>
          <w:spacing w:val="-2"/>
          <w:sz w:val="20"/>
        </w:rPr>
        <w:t>doi:10.1097/sla.0000000000000339</w:t>
      </w:r>
    </w:p>
    <w:p w14:paraId="7A84EC19" w14:textId="77777777" w:rsidR="00DB6E1F" w:rsidRDefault="00F666A6">
      <w:pPr>
        <w:spacing w:line="259" w:lineRule="auto"/>
        <w:ind w:left="1619" w:right="1444" w:hanging="181"/>
        <w:rPr>
          <w:rFonts w:ascii="Calibri Light" w:hAnsi="Calibri Light"/>
          <w:sz w:val="20"/>
        </w:rPr>
      </w:pPr>
      <w:r>
        <w:rPr>
          <w:rFonts w:ascii="Calibri Light" w:hAnsi="Calibri Light"/>
          <w:sz w:val="20"/>
        </w:rPr>
        <w:t>Fiszdon,</w:t>
      </w:r>
      <w:r>
        <w:rPr>
          <w:rFonts w:ascii="Calibri Light" w:hAnsi="Calibri Light"/>
          <w:spacing w:val="-3"/>
          <w:sz w:val="20"/>
        </w:rPr>
        <w:t xml:space="preserve"> </w:t>
      </w:r>
      <w:r>
        <w:rPr>
          <w:rFonts w:ascii="Calibri Light" w:hAnsi="Calibri Light"/>
          <w:sz w:val="20"/>
        </w:rPr>
        <w:t>J. M.,</w:t>
      </w:r>
      <w:r>
        <w:rPr>
          <w:rFonts w:ascii="Calibri Light" w:hAnsi="Calibri Light"/>
          <w:spacing w:val="-3"/>
          <w:sz w:val="20"/>
        </w:rPr>
        <w:t xml:space="preserve"> </w:t>
      </w:r>
      <w:r>
        <w:rPr>
          <w:rFonts w:ascii="Calibri Light" w:hAnsi="Calibri Light"/>
          <w:sz w:val="20"/>
        </w:rPr>
        <w:t>Kurtz,</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Choi,</w:t>
      </w:r>
      <w:r>
        <w:rPr>
          <w:rFonts w:ascii="Calibri Light" w:hAnsi="Calibri Light"/>
          <w:spacing w:val="-3"/>
          <w:sz w:val="20"/>
        </w:rPr>
        <w:t xml:space="preserve"> </w:t>
      </w:r>
      <w:r>
        <w:rPr>
          <w:rFonts w:ascii="Calibri Light" w:hAnsi="Calibri Light"/>
          <w:sz w:val="20"/>
        </w:rPr>
        <w:t>J., Bell,</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Martino,</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(2015).</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3"/>
          <w:sz w:val="20"/>
        </w:rPr>
        <w:t xml:space="preserve"> </w:t>
      </w:r>
      <w:r>
        <w:rPr>
          <w:rFonts w:ascii="Calibri Light" w:hAnsi="Calibri Light"/>
          <w:sz w:val="20"/>
        </w:rPr>
        <w:t>interviewing</w:t>
      </w:r>
      <w:r>
        <w:rPr>
          <w:rFonts w:ascii="Calibri Light" w:hAnsi="Calibri Light"/>
          <w:spacing w:val="-2"/>
          <w:sz w:val="20"/>
        </w:rPr>
        <w:t xml:space="preserve"> </w:t>
      </w:r>
      <w:r>
        <w:rPr>
          <w:rFonts w:ascii="Calibri Light" w:hAnsi="Calibri Light"/>
          <w:sz w:val="20"/>
        </w:rPr>
        <w:t>to</w:t>
      </w:r>
      <w:r>
        <w:rPr>
          <w:rFonts w:ascii="Calibri Light" w:hAnsi="Calibri Light"/>
          <w:spacing w:val="-3"/>
          <w:sz w:val="20"/>
        </w:rPr>
        <w:t xml:space="preserve"> </w:t>
      </w:r>
      <w:r>
        <w:rPr>
          <w:rFonts w:ascii="Calibri Light" w:hAnsi="Calibri Light"/>
          <w:sz w:val="20"/>
        </w:rPr>
        <w:t xml:space="preserve">increase cognitive rehabilitation adherence in schizophrenia. </w:t>
      </w:r>
      <w:r>
        <w:rPr>
          <w:rFonts w:ascii="Calibri Light" w:hAnsi="Calibri Light"/>
          <w:i/>
          <w:sz w:val="20"/>
        </w:rPr>
        <w:t>Schizophrenia Bulletin</w:t>
      </w:r>
      <w:r>
        <w:rPr>
          <w:rFonts w:ascii="Calibri Light" w:hAnsi="Calibri Light"/>
          <w:sz w:val="20"/>
        </w:rPr>
        <w:t xml:space="preserve">, </w:t>
      </w:r>
      <w:r>
        <w:rPr>
          <w:rFonts w:ascii="Calibri Light" w:hAnsi="Calibri Light"/>
          <w:i/>
          <w:sz w:val="20"/>
        </w:rPr>
        <w:t>42</w:t>
      </w:r>
      <w:r>
        <w:rPr>
          <w:rFonts w:ascii="Calibri Light" w:hAnsi="Calibri Light"/>
          <w:sz w:val="20"/>
        </w:rPr>
        <w:t>(2), 327–334.</w:t>
      </w:r>
    </w:p>
    <w:p w14:paraId="58627789" w14:textId="77777777" w:rsidR="00DB6E1F" w:rsidRDefault="00DB6E1F">
      <w:pPr>
        <w:spacing w:line="259" w:lineRule="auto"/>
        <w:rPr>
          <w:rFonts w:ascii="Calibri Light" w:hAnsi="Calibri Light"/>
          <w:sz w:val="20"/>
        </w:rPr>
        <w:sectPr w:rsidR="00DB6E1F">
          <w:pgSz w:w="12240" w:h="15840"/>
          <w:pgMar w:top="1080" w:right="0" w:bottom="780" w:left="0" w:header="619" w:footer="585" w:gutter="0"/>
          <w:cols w:space="720"/>
        </w:sectPr>
      </w:pPr>
    </w:p>
    <w:p w14:paraId="5490B7BB" w14:textId="77777777" w:rsidR="00DB6E1F" w:rsidRDefault="00DB6E1F">
      <w:pPr>
        <w:pStyle w:val="BodyText"/>
        <w:spacing w:before="4"/>
        <w:rPr>
          <w:rFonts w:ascii="Calibri Light"/>
          <w:sz w:val="24"/>
        </w:rPr>
      </w:pPr>
    </w:p>
    <w:p w14:paraId="4EE56F87" w14:textId="77777777" w:rsidR="00DB6E1F" w:rsidRDefault="00F666A6">
      <w:pPr>
        <w:spacing w:before="60" w:line="259" w:lineRule="auto"/>
        <w:ind w:left="1619" w:right="1555" w:hanging="180"/>
        <w:rPr>
          <w:rFonts w:ascii="Calibri Light" w:hAnsi="Calibri Light"/>
          <w:sz w:val="20"/>
        </w:rPr>
      </w:pPr>
      <w:r>
        <w:rPr>
          <w:rFonts w:ascii="Calibri Light" w:hAnsi="Calibri Light"/>
          <w:sz w:val="20"/>
        </w:rPr>
        <w:t>Flannery,</w:t>
      </w:r>
      <w:r>
        <w:rPr>
          <w:rFonts w:ascii="Calibri Light" w:hAnsi="Calibri Light"/>
          <w:spacing w:val="-4"/>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(2017).</w:t>
      </w:r>
      <w:r>
        <w:rPr>
          <w:rFonts w:ascii="Calibri Light" w:hAnsi="Calibri Light"/>
          <w:spacing w:val="-4"/>
          <w:sz w:val="20"/>
        </w:rPr>
        <w:t xml:space="preserve"> </w:t>
      </w:r>
      <w:r>
        <w:rPr>
          <w:rFonts w:ascii="Calibri Light" w:hAnsi="Calibri Light"/>
          <w:sz w:val="20"/>
        </w:rPr>
        <w:t>Self-determination</w:t>
      </w:r>
      <w:r>
        <w:rPr>
          <w:rFonts w:ascii="Calibri Light" w:hAnsi="Calibri Light"/>
          <w:spacing w:val="-3"/>
          <w:sz w:val="20"/>
        </w:rPr>
        <w:t xml:space="preserve"> </w:t>
      </w:r>
      <w:r>
        <w:rPr>
          <w:rFonts w:ascii="Calibri Light" w:hAnsi="Calibri Light"/>
          <w:sz w:val="20"/>
        </w:rPr>
        <w:t>theory:</w:t>
      </w:r>
      <w:r>
        <w:rPr>
          <w:rFonts w:ascii="Calibri Light" w:hAnsi="Calibri Light"/>
          <w:spacing w:val="-3"/>
          <w:sz w:val="20"/>
        </w:rPr>
        <w:t xml:space="preserve"> </w:t>
      </w:r>
      <w:r>
        <w:rPr>
          <w:rFonts w:ascii="Calibri Light" w:hAnsi="Calibri Light"/>
          <w:sz w:val="20"/>
        </w:rPr>
        <w:t>Intrinsic</w:t>
      </w:r>
      <w:r>
        <w:rPr>
          <w:rFonts w:ascii="Calibri Light" w:hAnsi="Calibri Light"/>
          <w:spacing w:val="-4"/>
          <w:sz w:val="20"/>
        </w:rPr>
        <w:t xml:space="preserve"> </w:t>
      </w:r>
      <w:r>
        <w:rPr>
          <w:rFonts w:ascii="Calibri Light" w:hAnsi="Calibri Light"/>
          <w:sz w:val="20"/>
        </w:rPr>
        <w:t>motivation</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behavioral</w:t>
      </w:r>
      <w:r>
        <w:rPr>
          <w:rFonts w:ascii="Calibri Light" w:hAnsi="Calibri Light"/>
          <w:spacing w:val="-4"/>
          <w:sz w:val="20"/>
        </w:rPr>
        <w:t xml:space="preserve"> </w:t>
      </w:r>
      <w:r>
        <w:rPr>
          <w:rFonts w:ascii="Calibri Light" w:hAnsi="Calibri Light"/>
          <w:sz w:val="20"/>
        </w:rPr>
        <w:t>change.</w:t>
      </w:r>
      <w:r>
        <w:rPr>
          <w:rFonts w:ascii="Calibri Light" w:hAnsi="Calibri Light"/>
          <w:spacing w:val="-4"/>
          <w:sz w:val="20"/>
        </w:rPr>
        <w:t xml:space="preserve"> </w:t>
      </w:r>
      <w:r>
        <w:rPr>
          <w:rFonts w:ascii="Calibri Light" w:hAnsi="Calibri Light"/>
          <w:i/>
          <w:sz w:val="20"/>
        </w:rPr>
        <w:t>Oncology</w:t>
      </w:r>
      <w:r>
        <w:rPr>
          <w:rFonts w:ascii="Calibri Light" w:hAnsi="Calibri Light"/>
          <w:i/>
          <w:spacing w:val="-3"/>
          <w:sz w:val="20"/>
        </w:rPr>
        <w:t xml:space="preserve"> </w:t>
      </w:r>
      <w:r>
        <w:rPr>
          <w:rFonts w:ascii="Calibri Light" w:hAnsi="Calibri Light"/>
          <w:i/>
          <w:sz w:val="20"/>
        </w:rPr>
        <w:t>Nursing Forum, 44</w:t>
      </w:r>
      <w:r>
        <w:rPr>
          <w:rFonts w:ascii="Calibri Light" w:hAnsi="Calibri Light"/>
          <w:sz w:val="20"/>
        </w:rPr>
        <w:t>(2), 155–156. Retriev</w:t>
      </w:r>
      <w:r>
        <w:rPr>
          <w:rFonts w:ascii="Calibri Light" w:hAnsi="Calibri Light"/>
          <w:sz w:val="20"/>
        </w:rPr>
        <w:t xml:space="preserve">ed from </w:t>
      </w:r>
      <w:hyperlink r:id="rId126">
        <w:r>
          <w:rPr>
            <w:rFonts w:ascii="Calibri Light" w:hAnsi="Calibri Light"/>
            <w:color w:val="0563C1"/>
            <w:sz w:val="20"/>
            <w:u w:val="single" w:color="0563C1"/>
          </w:rPr>
          <w:t>www.ncbi.nlm.nih.gov/pubmed/28222078</w:t>
        </w:r>
      </w:hyperlink>
    </w:p>
    <w:p w14:paraId="52F46BC7" w14:textId="77777777" w:rsidR="00DB6E1F" w:rsidRDefault="00F666A6">
      <w:pPr>
        <w:ind w:left="1440"/>
        <w:rPr>
          <w:rFonts w:ascii="Calibri Light"/>
          <w:sz w:val="20"/>
        </w:rPr>
      </w:pPr>
      <w:r>
        <w:rPr>
          <w:rFonts w:ascii="Calibri Light"/>
          <w:sz w:val="20"/>
        </w:rPr>
        <w:t>Forman,</w:t>
      </w:r>
      <w:r>
        <w:rPr>
          <w:rFonts w:ascii="Calibri Light"/>
          <w:spacing w:val="-4"/>
          <w:sz w:val="20"/>
        </w:rPr>
        <w:t xml:space="preserve"> </w:t>
      </w:r>
      <w:r>
        <w:rPr>
          <w:rFonts w:ascii="Calibri Light"/>
          <w:sz w:val="20"/>
        </w:rPr>
        <w:t>D.</w:t>
      </w:r>
      <w:r>
        <w:rPr>
          <w:rFonts w:ascii="Calibri Light"/>
          <w:spacing w:val="-5"/>
          <w:sz w:val="20"/>
        </w:rPr>
        <w:t xml:space="preserve"> </w:t>
      </w:r>
      <w:r>
        <w:rPr>
          <w:rFonts w:ascii="Calibri Light"/>
          <w:sz w:val="20"/>
        </w:rPr>
        <w:t>P.,</w:t>
      </w:r>
      <w:r>
        <w:rPr>
          <w:rFonts w:ascii="Calibri Light"/>
          <w:spacing w:val="-6"/>
          <w:sz w:val="20"/>
        </w:rPr>
        <w:t xml:space="preserve"> </w:t>
      </w:r>
      <w:r>
        <w:rPr>
          <w:rFonts w:ascii="Calibri Light"/>
          <w:sz w:val="20"/>
        </w:rPr>
        <w:t>&amp;</w:t>
      </w:r>
      <w:r>
        <w:rPr>
          <w:rFonts w:ascii="Calibri Light"/>
          <w:spacing w:val="-4"/>
          <w:sz w:val="20"/>
        </w:rPr>
        <w:t xml:space="preserve"> </w:t>
      </w:r>
      <w:r>
        <w:rPr>
          <w:rFonts w:ascii="Calibri Light"/>
          <w:sz w:val="20"/>
        </w:rPr>
        <w:t>Moyers,</w:t>
      </w:r>
      <w:r>
        <w:rPr>
          <w:rFonts w:ascii="Calibri Light"/>
          <w:spacing w:val="-6"/>
          <w:sz w:val="20"/>
        </w:rPr>
        <w:t xml:space="preserve"> </w:t>
      </w:r>
      <w:r>
        <w:rPr>
          <w:rFonts w:ascii="Calibri Light"/>
          <w:sz w:val="20"/>
        </w:rPr>
        <w:t>T.</w:t>
      </w:r>
      <w:r>
        <w:rPr>
          <w:rFonts w:ascii="Calibri Light"/>
          <w:spacing w:val="-3"/>
          <w:sz w:val="20"/>
        </w:rPr>
        <w:t xml:space="preserve"> </w:t>
      </w:r>
      <w:r>
        <w:rPr>
          <w:rFonts w:ascii="Calibri Light"/>
          <w:sz w:val="20"/>
        </w:rPr>
        <w:t>B.</w:t>
      </w:r>
      <w:r>
        <w:rPr>
          <w:rFonts w:ascii="Calibri Light"/>
          <w:spacing w:val="-3"/>
          <w:sz w:val="20"/>
        </w:rPr>
        <w:t xml:space="preserve"> </w:t>
      </w:r>
      <w:r>
        <w:rPr>
          <w:rFonts w:ascii="Calibri Light"/>
          <w:sz w:val="20"/>
        </w:rPr>
        <w:t>(2019).</w:t>
      </w:r>
      <w:r>
        <w:rPr>
          <w:rFonts w:ascii="Calibri Light"/>
          <w:spacing w:val="-6"/>
          <w:sz w:val="20"/>
        </w:rPr>
        <w:t xml:space="preserve"> </w:t>
      </w:r>
      <w:r>
        <w:rPr>
          <w:rFonts w:ascii="Calibri Light"/>
          <w:sz w:val="20"/>
        </w:rPr>
        <w:t>With</w:t>
      </w:r>
      <w:r>
        <w:rPr>
          <w:rFonts w:ascii="Calibri Light"/>
          <w:spacing w:val="-3"/>
          <w:sz w:val="20"/>
        </w:rPr>
        <w:t xml:space="preserve"> </w:t>
      </w:r>
      <w:r>
        <w:rPr>
          <w:rFonts w:ascii="Calibri Light"/>
          <w:sz w:val="20"/>
        </w:rPr>
        <w:t>odds</w:t>
      </w:r>
      <w:r>
        <w:rPr>
          <w:rFonts w:ascii="Calibri Light"/>
          <w:spacing w:val="-5"/>
          <w:sz w:val="20"/>
        </w:rPr>
        <w:t xml:space="preserve"> </w:t>
      </w:r>
      <w:r>
        <w:rPr>
          <w:rFonts w:ascii="Calibri Light"/>
          <w:sz w:val="20"/>
        </w:rPr>
        <w:t>of</w:t>
      </w:r>
      <w:r>
        <w:rPr>
          <w:rFonts w:ascii="Calibri Light"/>
          <w:spacing w:val="-5"/>
          <w:sz w:val="20"/>
        </w:rPr>
        <w:t xml:space="preserve"> </w:t>
      </w:r>
      <w:r>
        <w:rPr>
          <w:rFonts w:ascii="Calibri Light"/>
          <w:sz w:val="20"/>
        </w:rPr>
        <w:t>a</w:t>
      </w:r>
      <w:r>
        <w:rPr>
          <w:rFonts w:ascii="Calibri Light"/>
          <w:spacing w:val="-5"/>
          <w:sz w:val="20"/>
        </w:rPr>
        <w:t xml:space="preserve"> </w:t>
      </w:r>
      <w:r>
        <w:rPr>
          <w:rFonts w:ascii="Calibri Light"/>
          <w:sz w:val="20"/>
        </w:rPr>
        <w:t>single</w:t>
      </w:r>
      <w:r>
        <w:rPr>
          <w:rFonts w:ascii="Calibri Light"/>
          <w:spacing w:val="-5"/>
          <w:sz w:val="20"/>
        </w:rPr>
        <w:t xml:space="preserve"> </w:t>
      </w:r>
      <w:r>
        <w:rPr>
          <w:rFonts w:ascii="Calibri Light"/>
          <w:sz w:val="20"/>
        </w:rPr>
        <w:t>session,</w:t>
      </w:r>
      <w:r>
        <w:rPr>
          <w:rFonts w:ascii="Calibri Light"/>
          <w:spacing w:val="-6"/>
          <w:sz w:val="20"/>
        </w:rPr>
        <w:t xml:space="preserve"> </w:t>
      </w:r>
      <w:r>
        <w:rPr>
          <w:rFonts w:ascii="Calibri Light"/>
          <w:sz w:val="20"/>
        </w:rPr>
        <w:t>motivational</w:t>
      </w:r>
      <w:r>
        <w:rPr>
          <w:rFonts w:ascii="Calibri Light"/>
          <w:spacing w:val="-5"/>
          <w:sz w:val="20"/>
        </w:rPr>
        <w:t xml:space="preserve"> </w:t>
      </w:r>
      <w:r>
        <w:rPr>
          <w:rFonts w:ascii="Calibri Light"/>
          <w:sz w:val="20"/>
        </w:rPr>
        <w:t>interviewing</w:t>
      </w:r>
      <w:r>
        <w:rPr>
          <w:rFonts w:ascii="Calibri Light"/>
          <w:spacing w:val="-5"/>
          <w:sz w:val="20"/>
        </w:rPr>
        <w:t xml:space="preserve"> </w:t>
      </w:r>
      <w:r>
        <w:rPr>
          <w:rFonts w:ascii="Calibri Light"/>
          <w:sz w:val="20"/>
        </w:rPr>
        <w:t>is</w:t>
      </w:r>
      <w:r>
        <w:rPr>
          <w:rFonts w:ascii="Calibri Light"/>
          <w:spacing w:val="-5"/>
          <w:sz w:val="20"/>
        </w:rPr>
        <w:t xml:space="preserve"> </w:t>
      </w:r>
      <w:r>
        <w:rPr>
          <w:rFonts w:ascii="Calibri Light"/>
          <w:sz w:val="20"/>
        </w:rPr>
        <w:t>a</w:t>
      </w:r>
      <w:r>
        <w:rPr>
          <w:rFonts w:ascii="Calibri Light"/>
          <w:spacing w:val="-5"/>
          <w:sz w:val="20"/>
        </w:rPr>
        <w:t xml:space="preserve"> </w:t>
      </w:r>
      <w:r>
        <w:rPr>
          <w:rFonts w:ascii="Calibri Light"/>
          <w:sz w:val="20"/>
        </w:rPr>
        <w:t>good</w:t>
      </w:r>
      <w:r>
        <w:rPr>
          <w:rFonts w:ascii="Calibri Light"/>
          <w:spacing w:val="-5"/>
          <w:sz w:val="20"/>
        </w:rPr>
        <w:t xml:space="preserve"> </w:t>
      </w:r>
      <w:r>
        <w:rPr>
          <w:rFonts w:ascii="Calibri Light"/>
          <w:spacing w:val="-4"/>
          <w:sz w:val="20"/>
        </w:rPr>
        <w:t>bet.</w:t>
      </w:r>
    </w:p>
    <w:p w14:paraId="05D7940D" w14:textId="77777777" w:rsidR="00DB6E1F" w:rsidRDefault="00F666A6">
      <w:pPr>
        <w:spacing w:before="18"/>
        <w:ind w:left="1619"/>
        <w:rPr>
          <w:rFonts w:ascii="Calibri Light"/>
          <w:sz w:val="20"/>
        </w:rPr>
      </w:pPr>
      <w:r>
        <w:rPr>
          <w:rFonts w:ascii="Calibri Light"/>
          <w:i/>
          <w:w w:val="95"/>
          <w:sz w:val="20"/>
        </w:rPr>
        <w:t>Psychotherapy</w:t>
      </w:r>
      <w:r>
        <w:rPr>
          <w:rFonts w:ascii="Calibri Light"/>
          <w:w w:val="95"/>
          <w:sz w:val="20"/>
        </w:rPr>
        <w:t>.</w:t>
      </w:r>
      <w:r>
        <w:rPr>
          <w:rFonts w:ascii="Calibri Light"/>
          <w:spacing w:val="42"/>
          <w:sz w:val="20"/>
        </w:rPr>
        <w:t xml:space="preserve"> </w:t>
      </w:r>
      <w:r>
        <w:rPr>
          <w:rFonts w:ascii="Calibri Light"/>
          <w:spacing w:val="-2"/>
          <w:sz w:val="20"/>
        </w:rPr>
        <w:t>doi:10.1037/pst0000199</w:t>
      </w:r>
    </w:p>
    <w:p w14:paraId="3A5779A2" w14:textId="77777777" w:rsidR="00DB6E1F" w:rsidRDefault="00F666A6">
      <w:pPr>
        <w:spacing w:before="19" w:line="259" w:lineRule="auto"/>
        <w:ind w:left="1619" w:right="1491" w:hanging="181"/>
        <w:rPr>
          <w:rFonts w:ascii="Calibri Light"/>
          <w:sz w:val="20"/>
        </w:rPr>
      </w:pPr>
      <w:r>
        <w:rPr>
          <w:rFonts w:ascii="Calibri Light"/>
          <w:sz w:val="20"/>
        </w:rPr>
        <w:t>Foster,</w:t>
      </w:r>
      <w:r>
        <w:rPr>
          <w:rFonts w:ascii="Calibri Light"/>
          <w:spacing w:val="-3"/>
          <w:sz w:val="20"/>
        </w:rPr>
        <w:t xml:space="preserve"> </w:t>
      </w:r>
      <w:r>
        <w:rPr>
          <w:rFonts w:ascii="Calibri Light"/>
          <w:sz w:val="20"/>
        </w:rPr>
        <w:t>D.,</w:t>
      </w:r>
      <w:r>
        <w:rPr>
          <w:rFonts w:ascii="Calibri Light"/>
          <w:spacing w:val="-3"/>
          <w:sz w:val="20"/>
        </w:rPr>
        <w:t xml:space="preserve"> </w:t>
      </w:r>
      <w:r>
        <w:rPr>
          <w:rFonts w:ascii="Calibri Light"/>
          <w:sz w:val="20"/>
        </w:rPr>
        <w:t>&amp;</w:t>
      </w:r>
      <w:r>
        <w:rPr>
          <w:rFonts w:ascii="Calibri Light"/>
          <w:spacing w:val="-2"/>
          <w:sz w:val="20"/>
        </w:rPr>
        <w:t xml:space="preserve"> </w:t>
      </w:r>
      <w:r>
        <w:rPr>
          <w:rFonts w:ascii="Calibri Light"/>
          <w:sz w:val="20"/>
        </w:rPr>
        <w:t>Neighbors,</w:t>
      </w:r>
      <w:r>
        <w:rPr>
          <w:rFonts w:ascii="Calibri Light"/>
          <w:spacing w:val="-3"/>
          <w:sz w:val="20"/>
        </w:rPr>
        <w:t xml:space="preserve"> </w:t>
      </w:r>
      <w:r>
        <w:rPr>
          <w:rFonts w:ascii="Calibri Light"/>
          <w:sz w:val="20"/>
        </w:rPr>
        <w:t>C.</w:t>
      </w:r>
      <w:r>
        <w:rPr>
          <w:rFonts w:ascii="Calibri Light"/>
          <w:spacing w:val="-3"/>
          <w:sz w:val="20"/>
        </w:rPr>
        <w:t xml:space="preserve"> </w:t>
      </w:r>
      <w:r>
        <w:rPr>
          <w:rFonts w:ascii="Calibri Light"/>
          <w:sz w:val="20"/>
        </w:rPr>
        <w:t>(2013).</w:t>
      </w:r>
      <w:r>
        <w:rPr>
          <w:rFonts w:ascii="Calibri Light"/>
          <w:spacing w:val="-3"/>
          <w:sz w:val="20"/>
        </w:rPr>
        <w:t xml:space="preserve"> </w:t>
      </w:r>
      <w:r>
        <w:rPr>
          <w:rFonts w:ascii="Calibri Light"/>
          <w:sz w:val="20"/>
        </w:rPr>
        <w:t>A</w:t>
      </w:r>
      <w:r>
        <w:rPr>
          <w:rFonts w:ascii="Calibri Light"/>
          <w:spacing w:val="-2"/>
          <w:sz w:val="20"/>
        </w:rPr>
        <w:t xml:space="preserve"> </w:t>
      </w:r>
      <w:r>
        <w:rPr>
          <w:rFonts w:ascii="Calibri Light"/>
          <w:sz w:val="20"/>
        </w:rPr>
        <w:t>review</w:t>
      </w:r>
      <w:r>
        <w:rPr>
          <w:rFonts w:ascii="Calibri Light"/>
          <w:spacing w:val="-2"/>
          <w:sz w:val="20"/>
        </w:rPr>
        <w:t xml:space="preserve"> </w:t>
      </w:r>
      <w:r>
        <w:rPr>
          <w:rFonts w:ascii="Calibri Light"/>
          <w:sz w:val="20"/>
        </w:rPr>
        <w:t>of</w:t>
      </w:r>
      <w:r>
        <w:rPr>
          <w:rFonts w:ascii="Calibri Light"/>
          <w:spacing w:val="-2"/>
          <w:sz w:val="20"/>
        </w:rPr>
        <w:t xml:space="preserve"> </w:t>
      </w:r>
      <w:r>
        <w:rPr>
          <w:rFonts w:ascii="Calibri Light"/>
          <w:sz w:val="20"/>
        </w:rPr>
        <w:t>decisional</w:t>
      </w:r>
      <w:r>
        <w:rPr>
          <w:rFonts w:ascii="Calibri Light"/>
          <w:spacing w:val="-3"/>
          <w:sz w:val="20"/>
        </w:rPr>
        <w:t xml:space="preserve"> </w:t>
      </w:r>
      <w:r>
        <w:rPr>
          <w:rFonts w:ascii="Calibri Light"/>
          <w:sz w:val="20"/>
        </w:rPr>
        <w:t>balance</w:t>
      </w:r>
      <w:r>
        <w:rPr>
          <w:rFonts w:ascii="Calibri Light"/>
          <w:spacing w:val="-2"/>
          <w:sz w:val="20"/>
        </w:rPr>
        <w:t xml:space="preserve"> </w:t>
      </w:r>
      <w:r>
        <w:rPr>
          <w:rFonts w:ascii="Calibri Light"/>
          <w:sz w:val="20"/>
        </w:rPr>
        <w:t>research</w:t>
      </w:r>
      <w:r>
        <w:rPr>
          <w:rFonts w:ascii="Calibri Light"/>
          <w:spacing w:val="-2"/>
          <w:sz w:val="20"/>
        </w:rPr>
        <w:t xml:space="preserve"> </w:t>
      </w:r>
      <w:r>
        <w:rPr>
          <w:rFonts w:ascii="Calibri Light"/>
          <w:sz w:val="20"/>
        </w:rPr>
        <w:t>and</w:t>
      </w:r>
      <w:r>
        <w:rPr>
          <w:rFonts w:ascii="Calibri Light"/>
          <w:spacing w:val="-2"/>
          <w:sz w:val="20"/>
        </w:rPr>
        <w:t xml:space="preserve"> </w:t>
      </w:r>
      <w:r>
        <w:rPr>
          <w:rFonts w:ascii="Calibri Light"/>
          <w:sz w:val="20"/>
        </w:rPr>
        <w:t>directions</w:t>
      </w:r>
      <w:r>
        <w:rPr>
          <w:rFonts w:ascii="Calibri Light"/>
          <w:spacing w:val="-2"/>
          <w:sz w:val="20"/>
        </w:rPr>
        <w:t xml:space="preserve"> </w:t>
      </w:r>
      <w:r>
        <w:rPr>
          <w:rFonts w:ascii="Calibri Light"/>
          <w:sz w:val="20"/>
        </w:rPr>
        <w:t>for</w:t>
      </w:r>
      <w:r>
        <w:rPr>
          <w:rFonts w:ascii="Calibri Light"/>
          <w:spacing w:val="-2"/>
          <w:sz w:val="20"/>
        </w:rPr>
        <w:t xml:space="preserve"> </w:t>
      </w:r>
      <w:r>
        <w:rPr>
          <w:rFonts w:ascii="Calibri Light"/>
          <w:sz w:val="20"/>
        </w:rPr>
        <w:t>brief</w:t>
      </w:r>
      <w:r>
        <w:rPr>
          <w:rFonts w:ascii="Calibri Light"/>
          <w:spacing w:val="-2"/>
          <w:sz w:val="20"/>
        </w:rPr>
        <w:t xml:space="preserve"> </w:t>
      </w:r>
      <w:r>
        <w:rPr>
          <w:rFonts w:ascii="Calibri Light"/>
          <w:sz w:val="20"/>
        </w:rPr>
        <w:t xml:space="preserve">alcohol intervention among college students. </w:t>
      </w:r>
      <w:r>
        <w:rPr>
          <w:rFonts w:ascii="Calibri Light"/>
          <w:i/>
          <w:sz w:val="20"/>
        </w:rPr>
        <w:t>OA Alcohol, 1</w:t>
      </w:r>
      <w:r>
        <w:rPr>
          <w:rFonts w:ascii="Calibri Light"/>
          <w:sz w:val="20"/>
        </w:rPr>
        <w:t>(1). doi:10.13172/2053-0285-1-1-575</w:t>
      </w:r>
    </w:p>
    <w:p w14:paraId="48E21D8F" w14:textId="77777777" w:rsidR="00DB6E1F" w:rsidRDefault="00F666A6">
      <w:pPr>
        <w:spacing w:before="1" w:line="256" w:lineRule="auto"/>
        <w:ind w:left="1619" w:right="1491" w:hanging="181"/>
        <w:rPr>
          <w:rFonts w:ascii="Calibri Light" w:hAnsi="Calibri Light"/>
          <w:sz w:val="20"/>
        </w:rPr>
      </w:pPr>
      <w:r>
        <w:rPr>
          <w:rFonts w:ascii="Calibri Light" w:hAnsi="Calibri Light"/>
          <w:sz w:val="20"/>
        </w:rPr>
        <w:t>Foster,</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Neighbors,</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&amp; Pai,</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(2015).</w:t>
      </w:r>
      <w:r>
        <w:rPr>
          <w:rFonts w:ascii="Calibri Light" w:hAnsi="Calibri Light"/>
          <w:spacing w:val="-1"/>
          <w:sz w:val="20"/>
        </w:rPr>
        <w:t xml:space="preserve"> </w:t>
      </w:r>
      <w:r>
        <w:rPr>
          <w:rFonts w:ascii="Calibri Light" w:hAnsi="Calibri Light"/>
          <w:sz w:val="20"/>
        </w:rPr>
        <w:t>Decisional</w:t>
      </w:r>
      <w:r>
        <w:rPr>
          <w:rFonts w:ascii="Calibri Light" w:hAnsi="Calibri Light"/>
          <w:spacing w:val="-3"/>
          <w:sz w:val="20"/>
        </w:rPr>
        <w:t xml:space="preserve"> </w:t>
      </w:r>
      <w:r>
        <w:rPr>
          <w:rFonts w:ascii="Calibri Light" w:hAnsi="Calibri Light"/>
          <w:sz w:val="20"/>
        </w:rPr>
        <w:t>balance:</w:t>
      </w:r>
      <w:r>
        <w:rPr>
          <w:rFonts w:ascii="Calibri Light" w:hAnsi="Calibri Light"/>
          <w:spacing w:val="-2"/>
          <w:sz w:val="20"/>
        </w:rPr>
        <w:t xml:space="preserve"> </w:t>
      </w:r>
      <w:r>
        <w:rPr>
          <w:rFonts w:ascii="Calibri Light" w:hAnsi="Calibri Light"/>
          <w:sz w:val="20"/>
        </w:rPr>
        <w:t>Alcohol</w:t>
      </w:r>
      <w:r>
        <w:rPr>
          <w:rFonts w:ascii="Calibri Light" w:hAnsi="Calibri Light"/>
          <w:spacing w:val="-3"/>
          <w:sz w:val="20"/>
        </w:rPr>
        <w:t xml:space="preserve"> </w:t>
      </w:r>
      <w:r>
        <w:rPr>
          <w:rFonts w:ascii="Calibri Light" w:hAnsi="Calibri Light"/>
          <w:sz w:val="20"/>
        </w:rPr>
        <w:t>decisional</w:t>
      </w:r>
      <w:r>
        <w:rPr>
          <w:rFonts w:ascii="Calibri Light" w:hAnsi="Calibri Light"/>
          <w:spacing w:val="-3"/>
          <w:sz w:val="20"/>
        </w:rPr>
        <w:t xml:space="preserve"> </w:t>
      </w:r>
      <w:r>
        <w:rPr>
          <w:rFonts w:ascii="Calibri Light" w:hAnsi="Calibri Light"/>
          <w:sz w:val="20"/>
        </w:rPr>
        <w:t>balance</w:t>
      </w:r>
      <w:r>
        <w:rPr>
          <w:rFonts w:ascii="Calibri Light" w:hAnsi="Calibri Light"/>
          <w:spacing w:val="-2"/>
          <w:sz w:val="20"/>
        </w:rPr>
        <w:t xml:space="preserve"> </w:t>
      </w:r>
      <w:r>
        <w:rPr>
          <w:rFonts w:ascii="Calibri Light" w:hAnsi="Calibri Light"/>
          <w:sz w:val="20"/>
        </w:rPr>
        <w:t>intervention</w:t>
      </w:r>
      <w:r>
        <w:rPr>
          <w:rFonts w:ascii="Calibri Light" w:hAnsi="Calibri Light"/>
          <w:spacing w:val="-2"/>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 xml:space="preserve">heavy drinking undergraduates. </w:t>
      </w:r>
      <w:r>
        <w:rPr>
          <w:rFonts w:ascii="Calibri Light" w:hAnsi="Calibri Light"/>
          <w:i/>
          <w:sz w:val="20"/>
        </w:rPr>
        <w:t>Substance Use and Misuse</w:t>
      </w:r>
      <w:r>
        <w:rPr>
          <w:rFonts w:ascii="Calibri Light" w:hAnsi="Calibri Light"/>
          <w:sz w:val="20"/>
        </w:rPr>
        <w:t xml:space="preserve">, </w:t>
      </w:r>
      <w:r>
        <w:rPr>
          <w:rFonts w:ascii="Calibri Light" w:hAnsi="Calibri Light"/>
          <w:i/>
          <w:sz w:val="20"/>
        </w:rPr>
        <w:t>50</w:t>
      </w:r>
      <w:r>
        <w:rPr>
          <w:rFonts w:ascii="Calibri Light" w:hAnsi="Calibri Light"/>
          <w:sz w:val="20"/>
        </w:rPr>
        <w:t>(13), 1717–1727.</w:t>
      </w:r>
    </w:p>
    <w:p w14:paraId="2594CB65" w14:textId="77777777" w:rsidR="00DB6E1F" w:rsidRDefault="00F666A6">
      <w:pPr>
        <w:spacing w:before="3" w:line="259" w:lineRule="auto"/>
        <w:ind w:left="1619" w:right="1491" w:hanging="180"/>
        <w:rPr>
          <w:rFonts w:ascii="Calibri Light" w:hAnsi="Calibri Light"/>
          <w:sz w:val="20"/>
        </w:rPr>
      </w:pPr>
      <w:r>
        <w:rPr>
          <w:rFonts w:ascii="Calibri Light" w:hAnsi="Calibri Light"/>
          <w:sz w:val="20"/>
        </w:rPr>
        <w:t>Friedrichs,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Spies,</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Härter,</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Buchholz,</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Patient</w:t>
      </w:r>
      <w:r>
        <w:rPr>
          <w:rFonts w:ascii="Calibri Light" w:hAnsi="Calibri Light"/>
          <w:spacing w:val="-3"/>
          <w:sz w:val="20"/>
        </w:rPr>
        <w:t xml:space="preserve"> </w:t>
      </w:r>
      <w:r>
        <w:rPr>
          <w:rFonts w:ascii="Calibri Light" w:hAnsi="Calibri Light"/>
          <w:sz w:val="20"/>
        </w:rPr>
        <w:t>preferences</w:t>
      </w:r>
      <w:r>
        <w:rPr>
          <w:rFonts w:ascii="Calibri Light" w:hAnsi="Calibri Light"/>
          <w:spacing w:val="-2"/>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shared decis</w:t>
      </w:r>
      <w:r>
        <w:rPr>
          <w:rFonts w:ascii="Calibri Light" w:hAnsi="Calibri Light"/>
          <w:sz w:val="20"/>
        </w:rPr>
        <w:t>ion</w:t>
      </w:r>
      <w:r>
        <w:rPr>
          <w:rFonts w:ascii="Calibri Light" w:hAnsi="Calibri Light"/>
          <w:spacing w:val="-3"/>
          <w:sz w:val="20"/>
        </w:rPr>
        <w:t xml:space="preserve"> </w:t>
      </w:r>
      <w:r>
        <w:rPr>
          <w:rFonts w:ascii="Calibri Light" w:hAnsi="Calibri Light"/>
          <w:sz w:val="20"/>
        </w:rPr>
        <w:t>making</w:t>
      </w:r>
      <w:r>
        <w:rPr>
          <w:rFonts w:ascii="Calibri Light" w:hAnsi="Calibri Light"/>
          <w:spacing w:val="-2"/>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 xml:space="preserve">the treatment of substance use disorders: A systematic review of the literature. </w:t>
      </w:r>
      <w:r>
        <w:rPr>
          <w:rFonts w:ascii="Calibri Light" w:hAnsi="Calibri Light"/>
          <w:i/>
          <w:sz w:val="20"/>
        </w:rPr>
        <w:t>PLOS One, 11</w:t>
      </w:r>
      <w:r>
        <w:rPr>
          <w:rFonts w:ascii="Calibri Light" w:hAnsi="Calibri Light"/>
          <w:sz w:val="20"/>
        </w:rPr>
        <w:t xml:space="preserve">(1). </w:t>
      </w:r>
      <w:r>
        <w:rPr>
          <w:rFonts w:ascii="Calibri Light" w:hAnsi="Calibri Light"/>
          <w:spacing w:val="-2"/>
          <w:sz w:val="20"/>
        </w:rPr>
        <w:t>doi:10.1371/journal.pone.0145817</w:t>
      </w:r>
    </w:p>
    <w:p w14:paraId="584BB05D" w14:textId="77777777" w:rsidR="00DB6E1F" w:rsidRDefault="00F666A6">
      <w:pPr>
        <w:spacing w:before="1" w:line="256" w:lineRule="auto"/>
        <w:ind w:left="1619" w:right="1491" w:hanging="181"/>
        <w:rPr>
          <w:rFonts w:ascii="Calibri Light"/>
          <w:sz w:val="20"/>
        </w:rPr>
      </w:pPr>
      <w:r>
        <w:rPr>
          <w:rFonts w:ascii="Calibri Light"/>
          <w:sz w:val="20"/>
        </w:rPr>
        <w:t>Gates,</w:t>
      </w:r>
      <w:r>
        <w:rPr>
          <w:rFonts w:ascii="Calibri Light"/>
          <w:spacing w:val="-3"/>
          <w:sz w:val="20"/>
        </w:rPr>
        <w:t xml:space="preserve"> </w:t>
      </w:r>
      <w:r>
        <w:rPr>
          <w:rFonts w:ascii="Calibri Light"/>
          <w:sz w:val="20"/>
        </w:rPr>
        <w:t>P.</w:t>
      </w:r>
      <w:r>
        <w:rPr>
          <w:rFonts w:ascii="Calibri Light"/>
          <w:spacing w:val="-3"/>
          <w:sz w:val="20"/>
        </w:rPr>
        <w:t xml:space="preserve"> </w:t>
      </w:r>
      <w:r>
        <w:rPr>
          <w:rFonts w:ascii="Calibri Light"/>
          <w:sz w:val="20"/>
        </w:rPr>
        <w:t>J.,</w:t>
      </w:r>
      <w:r>
        <w:rPr>
          <w:rFonts w:ascii="Calibri Light"/>
          <w:spacing w:val="-3"/>
          <w:sz w:val="20"/>
        </w:rPr>
        <w:t xml:space="preserve"> </w:t>
      </w:r>
      <w:r>
        <w:rPr>
          <w:rFonts w:ascii="Calibri Light"/>
          <w:sz w:val="20"/>
        </w:rPr>
        <w:t>Sabioni,</w:t>
      </w:r>
      <w:r>
        <w:rPr>
          <w:rFonts w:ascii="Calibri Light"/>
          <w:spacing w:val="-3"/>
          <w:sz w:val="20"/>
        </w:rPr>
        <w:t xml:space="preserve"> </w:t>
      </w:r>
      <w:r>
        <w:rPr>
          <w:rFonts w:ascii="Calibri Light"/>
          <w:sz w:val="20"/>
        </w:rPr>
        <w:t>P.,</w:t>
      </w:r>
      <w:r>
        <w:rPr>
          <w:rFonts w:ascii="Calibri Light"/>
          <w:spacing w:val="-3"/>
          <w:sz w:val="20"/>
        </w:rPr>
        <w:t xml:space="preserve"> </w:t>
      </w:r>
      <w:r>
        <w:rPr>
          <w:rFonts w:ascii="Calibri Light"/>
          <w:sz w:val="20"/>
        </w:rPr>
        <w:t>Copeland,</w:t>
      </w:r>
      <w:r>
        <w:rPr>
          <w:rFonts w:ascii="Calibri Light"/>
          <w:spacing w:val="-3"/>
          <w:sz w:val="20"/>
        </w:rPr>
        <w:t xml:space="preserve"> </w:t>
      </w:r>
      <w:r>
        <w:rPr>
          <w:rFonts w:ascii="Calibri Light"/>
          <w:sz w:val="20"/>
        </w:rPr>
        <w:t>J.,</w:t>
      </w:r>
      <w:r>
        <w:rPr>
          <w:rFonts w:ascii="Calibri Light"/>
          <w:spacing w:val="-3"/>
          <w:sz w:val="20"/>
        </w:rPr>
        <w:t xml:space="preserve"> </w:t>
      </w:r>
      <w:r>
        <w:rPr>
          <w:rFonts w:ascii="Calibri Light"/>
          <w:sz w:val="20"/>
        </w:rPr>
        <w:t>Foll,</w:t>
      </w:r>
      <w:r>
        <w:rPr>
          <w:rFonts w:ascii="Calibri Light"/>
          <w:spacing w:val="-1"/>
          <w:sz w:val="20"/>
        </w:rPr>
        <w:t xml:space="preserve"> </w:t>
      </w:r>
      <w:r>
        <w:rPr>
          <w:rFonts w:ascii="Calibri Light"/>
          <w:sz w:val="20"/>
        </w:rPr>
        <w:t>B.</w:t>
      </w:r>
      <w:r>
        <w:rPr>
          <w:rFonts w:ascii="Calibri Light"/>
          <w:spacing w:val="-3"/>
          <w:sz w:val="20"/>
        </w:rPr>
        <w:t xml:space="preserve"> </w:t>
      </w:r>
      <w:r>
        <w:rPr>
          <w:rFonts w:ascii="Calibri Light"/>
          <w:sz w:val="20"/>
        </w:rPr>
        <w:t>L.,</w:t>
      </w:r>
      <w:r>
        <w:rPr>
          <w:rFonts w:ascii="Calibri Light"/>
          <w:spacing w:val="-2"/>
          <w:sz w:val="20"/>
        </w:rPr>
        <w:t xml:space="preserve"> </w:t>
      </w:r>
      <w:r>
        <w:rPr>
          <w:rFonts w:ascii="Calibri Light"/>
          <w:sz w:val="20"/>
        </w:rPr>
        <w:t>&amp;</w:t>
      </w:r>
      <w:r>
        <w:rPr>
          <w:rFonts w:ascii="Calibri Light"/>
          <w:spacing w:val="-1"/>
          <w:sz w:val="20"/>
        </w:rPr>
        <w:t xml:space="preserve"> </w:t>
      </w:r>
      <w:r>
        <w:rPr>
          <w:rFonts w:ascii="Calibri Light"/>
          <w:sz w:val="20"/>
        </w:rPr>
        <w:t>Gowing,</w:t>
      </w:r>
      <w:r>
        <w:rPr>
          <w:rFonts w:ascii="Calibri Light"/>
          <w:spacing w:val="-3"/>
          <w:sz w:val="20"/>
        </w:rPr>
        <w:t xml:space="preserve"> </w:t>
      </w:r>
      <w:r>
        <w:rPr>
          <w:rFonts w:ascii="Calibri Light"/>
          <w:sz w:val="20"/>
        </w:rPr>
        <w:t>L.</w:t>
      </w:r>
      <w:r>
        <w:rPr>
          <w:rFonts w:ascii="Calibri Light"/>
          <w:spacing w:val="-3"/>
          <w:sz w:val="20"/>
        </w:rPr>
        <w:t xml:space="preserve"> </w:t>
      </w:r>
      <w:r>
        <w:rPr>
          <w:rFonts w:ascii="Calibri Light"/>
          <w:sz w:val="20"/>
        </w:rPr>
        <w:t>(2016).</w:t>
      </w:r>
      <w:r>
        <w:rPr>
          <w:rFonts w:ascii="Calibri Light"/>
          <w:spacing w:val="-3"/>
          <w:sz w:val="20"/>
        </w:rPr>
        <w:t xml:space="preserve"> </w:t>
      </w:r>
      <w:r>
        <w:rPr>
          <w:rFonts w:ascii="Calibri Light"/>
          <w:sz w:val="20"/>
        </w:rPr>
        <w:t>Psychosocial</w:t>
      </w:r>
      <w:r>
        <w:rPr>
          <w:rFonts w:ascii="Calibri Light"/>
          <w:spacing w:val="-3"/>
          <w:sz w:val="20"/>
        </w:rPr>
        <w:t xml:space="preserve"> </w:t>
      </w:r>
      <w:r>
        <w:rPr>
          <w:rFonts w:ascii="Calibri Light"/>
          <w:sz w:val="20"/>
        </w:rPr>
        <w:t>interventions</w:t>
      </w:r>
      <w:r>
        <w:rPr>
          <w:rFonts w:ascii="Calibri Light"/>
          <w:spacing w:val="-2"/>
          <w:sz w:val="20"/>
        </w:rPr>
        <w:t xml:space="preserve"> </w:t>
      </w:r>
      <w:r>
        <w:rPr>
          <w:rFonts w:ascii="Calibri Light"/>
          <w:sz w:val="20"/>
        </w:rPr>
        <w:t>for</w:t>
      </w:r>
      <w:r>
        <w:rPr>
          <w:rFonts w:ascii="Calibri Light"/>
          <w:spacing w:val="-1"/>
          <w:sz w:val="20"/>
        </w:rPr>
        <w:t xml:space="preserve"> </w:t>
      </w:r>
      <w:r>
        <w:rPr>
          <w:rFonts w:ascii="Calibri Light"/>
          <w:sz w:val="20"/>
        </w:rPr>
        <w:t>cannabis</w:t>
      </w:r>
      <w:r>
        <w:rPr>
          <w:rFonts w:ascii="Calibri Light"/>
          <w:spacing w:val="-2"/>
          <w:sz w:val="20"/>
        </w:rPr>
        <w:t xml:space="preserve"> </w:t>
      </w:r>
      <w:r>
        <w:rPr>
          <w:rFonts w:ascii="Calibri Light"/>
          <w:sz w:val="20"/>
        </w:rPr>
        <w:t xml:space="preserve">use disorder. </w:t>
      </w:r>
      <w:r>
        <w:rPr>
          <w:rFonts w:ascii="Calibri Light"/>
          <w:i/>
          <w:sz w:val="20"/>
        </w:rPr>
        <w:t>Cochrane Database of Systematic Reviews</w:t>
      </w:r>
      <w:r>
        <w:rPr>
          <w:rFonts w:ascii="Calibri Light"/>
          <w:sz w:val="20"/>
        </w:rPr>
        <w:t>. doi:10.1002/14651858.cd005336.pub4</w:t>
      </w:r>
    </w:p>
    <w:p w14:paraId="6AB9D558" w14:textId="77777777" w:rsidR="00DB6E1F" w:rsidRDefault="00F666A6">
      <w:pPr>
        <w:spacing w:before="3" w:line="259" w:lineRule="auto"/>
        <w:ind w:left="1619" w:right="1491" w:hanging="180"/>
        <w:rPr>
          <w:rFonts w:ascii="Calibri Light" w:hAnsi="Calibri Light"/>
          <w:sz w:val="20"/>
        </w:rPr>
      </w:pPr>
      <w:r>
        <w:rPr>
          <w:rFonts w:ascii="Calibri Light" w:hAnsi="Calibri Light"/>
          <w:sz w:val="20"/>
        </w:rPr>
        <w:t>Gaume,</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Magill,</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Mastroleo,</w:t>
      </w:r>
      <w:r>
        <w:rPr>
          <w:rFonts w:ascii="Calibri Light" w:hAnsi="Calibri Light"/>
          <w:spacing w:val="-3"/>
          <w:sz w:val="20"/>
        </w:rPr>
        <w:t xml:space="preserve"> </w:t>
      </w:r>
      <w:r>
        <w:rPr>
          <w:rFonts w:ascii="Calibri Light" w:hAnsi="Calibri Light"/>
          <w:sz w:val="20"/>
        </w:rPr>
        <w:t>N. R.,</w:t>
      </w:r>
      <w:r>
        <w:rPr>
          <w:rFonts w:ascii="Calibri Light" w:hAnsi="Calibri Light"/>
          <w:spacing w:val="-3"/>
          <w:sz w:val="20"/>
        </w:rPr>
        <w:t xml:space="preserve"> </w:t>
      </w:r>
      <w:r>
        <w:rPr>
          <w:rFonts w:ascii="Calibri Light" w:hAnsi="Calibri Light"/>
          <w:sz w:val="20"/>
        </w:rPr>
        <w:t>Longabaugh,</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Bertholet,</w:t>
      </w:r>
      <w:r>
        <w:rPr>
          <w:rFonts w:ascii="Calibri Light" w:hAnsi="Calibri Light"/>
          <w:spacing w:val="-3"/>
          <w:sz w:val="20"/>
        </w:rPr>
        <w:t xml:space="preserve"> </w:t>
      </w:r>
      <w:r>
        <w:rPr>
          <w:rFonts w:ascii="Calibri Light" w:hAnsi="Calibri Light"/>
          <w:sz w:val="20"/>
        </w:rPr>
        <w:t>N.,</w:t>
      </w:r>
      <w:r>
        <w:rPr>
          <w:rFonts w:ascii="Calibri Light" w:hAnsi="Calibri Light"/>
          <w:spacing w:val="-3"/>
          <w:sz w:val="20"/>
        </w:rPr>
        <w:t xml:space="preserve"> </w:t>
      </w:r>
      <w:r>
        <w:rPr>
          <w:rFonts w:ascii="Calibri Light" w:hAnsi="Calibri Light"/>
          <w:sz w:val="20"/>
        </w:rPr>
        <w:t>Gmel,</w:t>
      </w:r>
      <w:r>
        <w:rPr>
          <w:rFonts w:ascii="Calibri Light" w:hAnsi="Calibri Light"/>
          <w:spacing w:val="-3"/>
          <w:sz w:val="20"/>
        </w:rPr>
        <w:t xml:space="preserve"> </w:t>
      </w:r>
      <w:r>
        <w:rPr>
          <w:rFonts w:ascii="Calibri Light" w:hAnsi="Calibri Light"/>
          <w:sz w:val="20"/>
        </w:rPr>
        <w:t>G.,</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Daeppen,</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 xml:space="preserve">Change talk during brief motivational intervention with young adult males: Strength matters. </w:t>
      </w:r>
      <w:r>
        <w:rPr>
          <w:rFonts w:ascii="Calibri Light" w:hAnsi="Calibri Light"/>
          <w:i/>
          <w:sz w:val="20"/>
        </w:rPr>
        <w:t>Journal of Substance Abuse Treatment, 65</w:t>
      </w:r>
      <w:r>
        <w:rPr>
          <w:rFonts w:ascii="Calibri Light" w:hAnsi="Calibri Light"/>
          <w:sz w:val="20"/>
        </w:rPr>
        <w:t>, 58–65. doi:10.1016/j.jsat.2016.01.005</w:t>
      </w:r>
    </w:p>
    <w:p w14:paraId="763A90F1" w14:textId="77777777" w:rsidR="00DB6E1F" w:rsidRDefault="00F666A6">
      <w:pPr>
        <w:spacing w:line="259" w:lineRule="auto"/>
        <w:ind w:left="1619" w:right="1491" w:hanging="181"/>
        <w:rPr>
          <w:rFonts w:ascii="Calibri Light"/>
          <w:sz w:val="20"/>
        </w:rPr>
      </w:pPr>
      <w:r>
        <w:rPr>
          <w:rFonts w:ascii="Calibri Light"/>
          <w:sz w:val="20"/>
        </w:rPr>
        <w:t>Gelberg, L., Andersen, R., Vahidi, M., Rico, M., Baumeister, S., &amp; Leake, B. (2017)</w:t>
      </w:r>
      <w:r>
        <w:rPr>
          <w:rFonts w:ascii="Calibri Light"/>
          <w:sz w:val="20"/>
        </w:rPr>
        <w:t>. A multi-component brief intervention</w:t>
      </w:r>
      <w:r>
        <w:rPr>
          <w:rFonts w:ascii="Calibri Light"/>
          <w:spacing w:val="-3"/>
          <w:sz w:val="20"/>
        </w:rPr>
        <w:t xml:space="preserve"> </w:t>
      </w:r>
      <w:r>
        <w:rPr>
          <w:rFonts w:ascii="Calibri Light"/>
          <w:sz w:val="20"/>
        </w:rPr>
        <w:t>for</w:t>
      </w:r>
      <w:r>
        <w:rPr>
          <w:rFonts w:ascii="Calibri Light"/>
          <w:spacing w:val="-2"/>
          <w:sz w:val="20"/>
        </w:rPr>
        <w:t xml:space="preserve"> </w:t>
      </w:r>
      <w:r>
        <w:rPr>
          <w:rFonts w:ascii="Calibri Light"/>
          <w:sz w:val="20"/>
        </w:rPr>
        <w:t>risky</w:t>
      </w:r>
      <w:r>
        <w:rPr>
          <w:rFonts w:ascii="Calibri Light"/>
          <w:spacing w:val="-2"/>
          <w:sz w:val="20"/>
        </w:rPr>
        <w:t xml:space="preserve"> </w:t>
      </w:r>
      <w:r>
        <w:rPr>
          <w:rFonts w:ascii="Calibri Light"/>
          <w:sz w:val="20"/>
        </w:rPr>
        <w:t>drug</w:t>
      </w:r>
      <w:r>
        <w:rPr>
          <w:rFonts w:ascii="Calibri Light"/>
          <w:spacing w:val="-3"/>
          <w:sz w:val="20"/>
        </w:rPr>
        <w:t xml:space="preserve"> </w:t>
      </w:r>
      <w:r>
        <w:rPr>
          <w:rFonts w:ascii="Calibri Light"/>
          <w:sz w:val="20"/>
        </w:rPr>
        <w:t>use</w:t>
      </w:r>
      <w:r>
        <w:rPr>
          <w:rFonts w:ascii="Calibri Light"/>
          <w:spacing w:val="-1"/>
          <w:sz w:val="20"/>
        </w:rPr>
        <w:t xml:space="preserve"> </w:t>
      </w:r>
      <w:r>
        <w:rPr>
          <w:rFonts w:ascii="Calibri Light"/>
          <w:sz w:val="20"/>
        </w:rPr>
        <w:t>among</w:t>
      </w:r>
      <w:r>
        <w:rPr>
          <w:rFonts w:ascii="Calibri Light"/>
          <w:spacing w:val="-3"/>
          <w:sz w:val="20"/>
        </w:rPr>
        <w:t xml:space="preserve"> </w:t>
      </w:r>
      <w:r>
        <w:rPr>
          <w:rFonts w:ascii="Calibri Light"/>
          <w:sz w:val="20"/>
        </w:rPr>
        <w:t>Latino</w:t>
      </w:r>
      <w:r>
        <w:rPr>
          <w:rFonts w:ascii="Calibri Light"/>
          <w:spacing w:val="-4"/>
          <w:sz w:val="20"/>
        </w:rPr>
        <w:t xml:space="preserve"> </w:t>
      </w:r>
      <w:r>
        <w:rPr>
          <w:rFonts w:ascii="Calibri Light"/>
          <w:sz w:val="20"/>
        </w:rPr>
        <w:t>patients</w:t>
      </w:r>
      <w:r>
        <w:rPr>
          <w:rFonts w:ascii="Calibri Light"/>
          <w:spacing w:val="-3"/>
          <w:sz w:val="20"/>
        </w:rPr>
        <w:t xml:space="preserve"> </w:t>
      </w:r>
      <w:r>
        <w:rPr>
          <w:rFonts w:ascii="Calibri Light"/>
          <w:sz w:val="20"/>
        </w:rPr>
        <w:t>of</w:t>
      </w:r>
      <w:r>
        <w:rPr>
          <w:rFonts w:ascii="Calibri Light"/>
          <w:spacing w:val="-3"/>
          <w:sz w:val="20"/>
        </w:rPr>
        <w:t xml:space="preserve"> </w:t>
      </w:r>
      <w:r>
        <w:rPr>
          <w:rFonts w:ascii="Calibri Light"/>
          <w:sz w:val="20"/>
        </w:rPr>
        <w:t>a</w:t>
      </w:r>
      <w:r>
        <w:rPr>
          <w:rFonts w:ascii="Calibri Light"/>
          <w:spacing w:val="-3"/>
          <w:sz w:val="20"/>
        </w:rPr>
        <w:t xml:space="preserve"> </w:t>
      </w:r>
      <w:r>
        <w:rPr>
          <w:rFonts w:ascii="Calibri Light"/>
          <w:sz w:val="20"/>
        </w:rPr>
        <w:t>federally</w:t>
      </w:r>
      <w:r>
        <w:rPr>
          <w:rFonts w:ascii="Calibri Light"/>
          <w:spacing w:val="-2"/>
          <w:sz w:val="20"/>
        </w:rPr>
        <w:t xml:space="preserve"> </w:t>
      </w:r>
      <w:r>
        <w:rPr>
          <w:rFonts w:ascii="Calibri Light"/>
          <w:sz w:val="20"/>
        </w:rPr>
        <w:t>qualified</w:t>
      </w:r>
      <w:r>
        <w:rPr>
          <w:rFonts w:ascii="Calibri Light"/>
          <w:spacing w:val="-3"/>
          <w:sz w:val="20"/>
        </w:rPr>
        <w:t xml:space="preserve"> </w:t>
      </w:r>
      <w:r>
        <w:rPr>
          <w:rFonts w:ascii="Calibri Light"/>
          <w:sz w:val="20"/>
        </w:rPr>
        <w:t>health</w:t>
      </w:r>
      <w:r>
        <w:rPr>
          <w:rFonts w:ascii="Calibri Light"/>
          <w:spacing w:val="-3"/>
          <w:sz w:val="20"/>
        </w:rPr>
        <w:t xml:space="preserve"> </w:t>
      </w:r>
      <w:r>
        <w:rPr>
          <w:rFonts w:ascii="Calibri Light"/>
          <w:sz w:val="20"/>
        </w:rPr>
        <w:t>center in</w:t>
      </w:r>
      <w:r>
        <w:rPr>
          <w:rFonts w:ascii="Calibri Light"/>
          <w:spacing w:val="-3"/>
          <w:sz w:val="20"/>
        </w:rPr>
        <w:t xml:space="preserve"> </w:t>
      </w:r>
      <w:r>
        <w:rPr>
          <w:rFonts w:ascii="Calibri Light"/>
          <w:sz w:val="20"/>
        </w:rPr>
        <w:t>East</w:t>
      </w:r>
      <w:r>
        <w:rPr>
          <w:rFonts w:ascii="Calibri Light"/>
          <w:spacing w:val="-4"/>
          <w:sz w:val="20"/>
        </w:rPr>
        <w:t xml:space="preserve"> </w:t>
      </w:r>
      <w:r>
        <w:rPr>
          <w:rFonts w:ascii="Calibri Light"/>
          <w:sz w:val="20"/>
        </w:rPr>
        <w:t>Los</w:t>
      </w:r>
      <w:r>
        <w:rPr>
          <w:rFonts w:ascii="Calibri Light"/>
          <w:spacing w:val="-3"/>
          <w:sz w:val="20"/>
        </w:rPr>
        <w:t xml:space="preserve"> </w:t>
      </w:r>
      <w:r>
        <w:rPr>
          <w:rFonts w:ascii="Calibri Light"/>
          <w:sz w:val="20"/>
        </w:rPr>
        <w:t>Angeles:</w:t>
      </w:r>
      <w:r>
        <w:rPr>
          <w:rFonts w:ascii="Calibri Light"/>
          <w:spacing w:val="-3"/>
          <w:sz w:val="20"/>
        </w:rPr>
        <w:t xml:space="preserve"> </w:t>
      </w:r>
      <w:r>
        <w:rPr>
          <w:rFonts w:ascii="Calibri Light"/>
          <w:sz w:val="20"/>
        </w:rPr>
        <w:t xml:space="preserve">A randomized controlled trial of the quit using drugs intervention trial (quit) brief intervention. </w:t>
      </w:r>
      <w:r>
        <w:rPr>
          <w:rFonts w:ascii="Calibri Light"/>
          <w:i/>
          <w:sz w:val="20"/>
        </w:rPr>
        <w:t>Drug and Alcohol</w:t>
      </w:r>
      <w:r>
        <w:rPr>
          <w:rFonts w:ascii="Calibri Light"/>
          <w:i/>
          <w:sz w:val="20"/>
        </w:rPr>
        <w:t xml:space="preserve"> Dependence,171</w:t>
      </w:r>
      <w:r>
        <w:rPr>
          <w:rFonts w:ascii="Calibri Light"/>
          <w:sz w:val="20"/>
        </w:rPr>
        <w:t xml:space="preserve">. Retrieved from </w:t>
      </w:r>
      <w:hyperlink r:id="rId127">
        <w:r>
          <w:rPr>
            <w:rFonts w:ascii="Calibri Light"/>
            <w:color w:val="0563C1"/>
            <w:sz w:val="20"/>
            <w:u w:val="single" w:color="0563C1"/>
          </w:rPr>
          <w:t>https://eurekamag.com/research/064/949/064949750.php</w:t>
        </w:r>
      </w:hyperlink>
    </w:p>
    <w:p w14:paraId="3FD7770B" w14:textId="77777777" w:rsidR="00DB6E1F" w:rsidRDefault="00F666A6">
      <w:pPr>
        <w:spacing w:line="259" w:lineRule="auto"/>
        <w:ind w:left="1619" w:right="2189" w:hanging="180"/>
        <w:jc w:val="both"/>
        <w:rPr>
          <w:rFonts w:ascii="Calibri Light"/>
          <w:sz w:val="20"/>
        </w:rPr>
      </w:pPr>
      <w:r>
        <w:rPr>
          <w:rFonts w:ascii="Calibri Light"/>
          <w:sz w:val="20"/>
        </w:rPr>
        <w:t>Glozah,</w:t>
      </w:r>
      <w:r>
        <w:rPr>
          <w:rFonts w:ascii="Calibri Light"/>
          <w:spacing w:val="-4"/>
          <w:sz w:val="20"/>
        </w:rPr>
        <w:t xml:space="preserve"> </w:t>
      </w:r>
      <w:r>
        <w:rPr>
          <w:rFonts w:ascii="Calibri Light"/>
          <w:sz w:val="20"/>
        </w:rPr>
        <w:t>F.</w:t>
      </w:r>
      <w:r>
        <w:rPr>
          <w:rFonts w:ascii="Calibri Light"/>
          <w:spacing w:val="-4"/>
          <w:sz w:val="20"/>
        </w:rPr>
        <w:t xml:space="preserve"> </w:t>
      </w:r>
      <w:r>
        <w:rPr>
          <w:rFonts w:ascii="Calibri Light"/>
          <w:sz w:val="20"/>
        </w:rPr>
        <w:t>N.,</w:t>
      </w:r>
      <w:r>
        <w:rPr>
          <w:rFonts w:ascii="Calibri Light"/>
          <w:spacing w:val="-4"/>
          <w:sz w:val="20"/>
        </w:rPr>
        <w:t xml:space="preserve"> </w:t>
      </w:r>
      <w:r>
        <w:rPr>
          <w:rFonts w:ascii="Calibri Light"/>
          <w:sz w:val="20"/>
        </w:rPr>
        <w:t>Adu,</w:t>
      </w:r>
      <w:r>
        <w:rPr>
          <w:rFonts w:ascii="Calibri Light"/>
          <w:spacing w:val="-4"/>
          <w:sz w:val="20"/>
        </w:rPr>
        <w:t xml:space="preserve"> </w:t>
      </w:r>
      <w:r>
        <w:rPr>
          <w:rFonts w:ascii="Calibri Light"/>
          <w:sz w:val="20"/>
        </w:rPr>
        <w:t>N.</w:t>
      </w:r>
      <w:r>
        <w:rPr>
          <w:rFonts w:ascii="Calibri Light"/>
          <w:spacing w:val="-4"/>
          <w:sz w:val="20"/>
        </w:rPr>
        <w:t xml:space="preserve"> </w:t>
      </w:r>
      <w:r>
        <w:rPr>
          <w:rFonts w:ascii="Calibri Light"/>
          <w:sz w:val="20"/>
        </w:rPr>
        <w:t>A.,</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Komesuor,</w:t>
      </w:r>
      <w:r>
        <w:rPr>
          <w:rFonts w:ascii="Calibri Light"/>
          <w:spacing w:val="-4"/>
          <w:sz w:val="20"/>
        </w:rPr>
        <w:t xml:space="preserve"> </w:t>
      </w:r>
      <w:r>
        <w:rPr>
          <w:rFonts w:ascii="Calibri Light"/>
          <w:sz w:val="20"/>
        </w:rPr>
        <w:t>J.</w:t>
      </w:r>
      <w:r>
        <w:rPr>
          <w:rFonts w:ascii="Calibri Light"/>
          <w:spacing w:val="-4"/>
          <w:sz w:val="20"/>
        </w:rPr>
        <w:t xml:space="preserve"> </w:t>
      </w:r>
      <w:r>
        <w:rPr>
          <w:rFonts w:ascii="Calibri Light"/>
          <w:sz w:val="20"/>
        </w:rPr>
        <w:t>(2015).</w:t>
      </w:r>
      <w:r>
        <w:rPr>
          <w:rFonts w:ascii="Calibri Light"/>
          <w:spacing w:val="-4"/>
          <w:sz w:val="20"/>
        </w:rPr>
        <w:t xml:space="preserve"> </w:t>
      </w:r>
      <w:r>
        <w:rPr>
          <w:rFonts w:ascii="Calibri Light"/>
          <w:sz w:val="20"/>
        </w:rPr>
        <w:t>Assessing</w:t>
      </w:r>
      <w:r>
        <w:rPr>
          <w:rFonts w:ascii="Calibri Light"/>
          <w:spacing w:val="-3"/>
          <w:sz w:val="20"/>
        </w:rPr>
        <w:t xml:space="preserve"> </w:t>
      </w:r>
      <w:r>
        <w:rPr>
          <w:rFonts w:ascii="Calibri Light"/>
          <w:sz w:val="20"/>
        </w:rPr>
        <w:t>alcohol</w:t>
      </w:r>
      <w:r>
        <w:rPr>
          <w:rFonts w:ascii="Calibri Light"/>
          <w:spacing w:val="-4"/>
          <w:sz w:val="20"/>
        </w:rPr>
        <w:t xml:space="preserve"> </w:t>
      </w:r>
      <w:r>
        <w:rPr>
          <w:rFonts w:ascii="Calibri Light"/>
          <w:sz w:val="20"/>
        </w:rPr>
        <w:t>abstinence</w:t>
      </w:r>
      <w:r>
        <w:rPr>
          <w:rFonts w:ascii="Calibri Light"/>
          <w:spacing w:val="-3"/>
          <w:sz w:val="20"/>
        </w:rPr>
        <w:t xml:space="preserve"> </w:t>
      </w:r>
      <w:r>
        <w:rPr>
          <w:rFonts w:ascii="Calibri Light"/>
          <w:sz w:val="20"/>
        </w:rPr>
        <w:t>self-efficacy</w:t>
      </w:r>
      <w:r>
        <w:rPr>
          <w:rFonts w:ascii="Calibri Light"/>
          <w:spacing w:val="-2"/>
          <w:sz w:val="20"/>
        </w:rPr>
        <w:t xml:space="preserve"> </w:t>
      </w:r>
      <w:r>
        <w:rPr>
          <w:rFonts w:ascii="Calibri Light"/>
          <w:sz w:val="20"/>
        </w:rPr>
        <w:t>in</w:t>
      </w:r>
      <w:r>
        <w:rPr>
          <w:rFonts w:ascii="Calibri Light"/>
          <w:spacing w:val="-3"/>
          <w:sz w:val="20"/>
        </w:rPr>
        <w:t xml:space="preserve"> </w:t>
      </w:r>
      <w:r>
        <w:rPr>
          <w:rFonts w:ascii="Calibri Light"/>
          <w:sz w:val="20"/>
        </w:rPr>
        <w:t>undergraduate students:</w:t>
      </w:r>
      <w:r>
        <w:rPr>
          <w:rFonts w:ascii="Calibri Light"/>
          <w:spacing w:val="-2"/>
          <w:sz w:val="20"/>
        </w:rPr>
        <w:t xml:space="preserve"> </w:t>
      </w:r>
      <w:r>
        <w:rPr>
          <w:rFonts w:ascii="Calibri Light"/>
          <w:sz w:val="20"/>
        </w:rPr>
        <w:t>Psychometric</w:t>
      </w:r>
      <w:r>
        <w:rPr>
          <w:rFonts w:ascii="Calibri Light"/>
          <w:spacing w:val="-3"/>
          <w:sz w:val="20"/>
        </w:rPr>
        <w:t xml:space="preserve"> </w:t>
      </w:r>
      <w:r>
        <w:rPr>
          <w:rFonts w:ascii="Calibri Light"/>
          <w:sz w:val="20"/>
        </w:rPr>
        <w:t>evaluation</w:t>
      </w:r>
      <w:r>
        <w:rPr>
          <w:rFonts w:ascii="Calibri Light"/>
          <w:spacing w:val="-2"/>
          <w:sz w:val="20"/>
        </w:rPr>
        <w:t xml:space="preserve"> </w:t>
      </w:r>
      <w:r>
        <w:rPr>
          <w:rFonts w:ascii="Calibri Light"/>
          <w:sz w:val="20"/>
        </w:rPr>
        <w:t>of</w:t>
      </w:r>
      <w:r>
        <w:rPr>
          <w:rFonts w:ascii="Calibri Light"/>
          <w:spacing w:val="-2"/>
          <w:sz w:val="20"/>
        </w:rPr>
        <w:t xml:space="preserve"> </w:t>
      </w:r>
      <w:r>
        <w:rPr>
          <w:rFonts w:ascii="Calibri Light"/>
          <w:sz w:val="20"/>
        </w:rPr>
        <w:t>the alcohol</w:t>
      </w:r>
      <w:r>
        <w:rPr>
          <w:rFonts w:ascii="Calibri Light"/>
          <w:spacing w:val="-3"/>
          <w:sz w:val="20"/>
        </w:rPr>
        <w:t xml:space="preserve"> </w:t>
      </w:r>
      <w:r>
        <w:rPr>
          <w:rFonts w:ascii="Calibri Light"/>
          <w:sz w:val="20"/>
        </w:rPr>
        <w:t>abstinence self-efficacy</w:t>
      </w:r>
      <w:r>
        <w:rPr>
          <w:rFonts w:ascii="Calibri Light"/>
          <w:spacing w:val="-1"/>
          <w:sz w:val="20"/>
        </w:rPr>
        <w:t xml:space="preserve"> </w:t>
      </w:r>
      <w:r>
        <w:rPr>
          <w:rFonts w:ascii="Calibri Light"/>
          <w:sz w:val="20"/>
        </w:rPr>
        <w:t xml:space="preserve">scale. </w:t>
      </w:r>
      <w:r>
        <w:rPr>
          <w:rFonts w:ascii="Calibri Light"/>
          <w:i/>
          <w:sz w:val="20"/>
        </w:rPr>
        <w:t>Health</w:t>
      </w:r>
      <w:r>
        <w:rPr>
          <w:rFonts w:ascii="Calibri Light"/>
          <w:i/>
          <w:spacing w:val="-2"/>
          <w:sz w:val="20"/>
        </w:rPr>
        <w:t xml:space="preserve"> </w:t>
      </w:r>
      <w:r>
        <w:rPr>
          <w:rFonts w:ascii="Calibri Light"/>
          <w:i/>
          <w:sz w:val="20"/>
        </w:rPr>
        <w:t>and</w:t>
      </w:r>
      <w:r>
        <w:rPr>
          <w:rFonts w:ascii="Calibri Light"/>
          <w:i/>
          <w:spacing w:val="-2"/>
          <w:sz w:val="20"/>
        </w:rPr>
        <w:t xml:space="preserve"> </w:t>
      </w:r>
      <w:r>
        <w:rPr>
          <w:rFonts w:ascii="Calibri Light"/>
          <w:i/>
          <w:sz w:val="20"/>
        </w:rPr>
        <w:t>Quality</w:t>
      </w:r>
      <w:r>
        <w:rPr>
          <w:rFonts w:ascii="Calibri Light"/>
          <w:i/>
          <w:spacing w:val="-2"/>
          <w:sz w:val="20"/>
        </w:rPr>
        <w:t xml:space="preserve"> </w:t>
      </w:r>
      <w:r>
        <w:rPr>
          <w:rFonts w:ascii="Calibri Light"/>
          <w:i/>
          <w:sz w:val="20"/>
        </w:rPr>
        <w:t>of</w:t>
      </w:r>
      <w:r>
        <w:rPr>
          <w:rFonts w:ascii="Calibri Light"/>
          <w:i/>
          <w:spacing w:val="-1"/>
          <w:sz w:val="20"/>
        </w:rPr>
        <w:t xml:space="preserve"> </w:t>
      </w:r>
      <w:r>
        <w:rPr>
          <w:rFonts w:ascii="Calibri Light"/>
          <w:i/>
          <w:sz w:val="20"/>
        </w:rPr>
        <w:t>Life Outcomes, 13</w:t>
      </w:r>
      <w:r>
        <w:rPr>
          <w:rFonts w:ascii="Calibri Light"/>
          <w:sz w:val="20"/>
        </w:rPr>
        <w:t>(1). doi:10.1186/s12955-015-0387-1</w:t>
      </w:r>
    </w:p>
    <w:p w14:paraId="47FEC6D3" w14:textId="77777777" w:rsidR="00DB6E1F" w:rsidRDefault="00F666A6">
      <w:pPr>
        <w:spacing w:line="259" w:lineRule="auto"/>
        <w:ind w:left="1619" w:right="1491" w:hanging="180"/>
        <w:rPr>
          <w:rFonts w:ascii="Calibri Light"/>
          <w:sz w:val="20"/>
        </w:rPr>
      </w:pPr>
      <w:r>
        <w:rPr>
          <w:rFonts w:ascii="Calibri Light"/>
          <w:sz w:val="20"/>
        </w:rPr>
        <w:t>Gordon,</w:t>
      </w:r>
      <w:r>
        <w:rPr>
          <w:rFonts w:ascii="Calibri Light"/>
          <w:spacing w:val="-4"/>
          <w:sz w:val="20"/>
        </w:rPr>
        <w:t xml:space="preserve"> </w:t>
      </w:r>
      <w:r>
        <w:rPr>
          <w:rFonts w:ascii="Calibri Light"/>
          <w:sz w:val="20"/>
        </w:rPr>
        <w:t>T.</w:t>
      </w:r>
      <w:r>
        <w:rPr>
          <w:rFonts w:ascii="Calibri Light"/>
          <w:spacing w:val="-4"/>
          <w:sz w:val="20"/>
        </w:rPr>
        <w:t xml:space="preserve"> </w:t>
      </w:r>
      <w:r>
        <w:rPr>
          <w:rFonts w:ascii="Calibri Light"/>
          <w:sz w:val="20"/>
        </w:rPr>
        <w:t>(1970).</w:t>
      </w:r>
      <w:r>
        <w:rPr>
          <w:rFonts w:ascii="Calibri Light"/>
          <w:spacing w:val="-1"/>
          <w:sz w:val="20"/>
        </w:rPr>
        <w:t xml:space="preserve"> </w:t>
      </w:r>
      <w:r>
        <w:rPr>
          <w:rFonts w:ascii="Calibri Light"/>
          <w:i/>
          <w:sz w:val="20"/>
        </w:rPr>
        <w:t>Parent</w:t>
      </w:r>
      <w:r>
        <w:rPr>
          <w:rFonts w:ascii="Calibri Light"/>
          <w:i/>
          <w:spacing w:val="-4"/>
          <w:sz w:val="20"/>
        </w:rPr>
        <w:t xml:space="preserve"> </w:t>
      </w:r>
      <w:r>
        <w:rPr>
          <w:rFonts w:ascii="Calibri Light"/>
          <w:i/>
          <w:sz w:val="20"/>
        </w:rPr>
        <w:t>effectiveness</w:t>
      </w:r>
      <w:r>
        <w:rPr>
          <w:rFonts w:ascii="Calibri Light"/>
          <w:i/>
          <w:spacing w:val="-3"/>
          <w:sz w:val="20"/>
        </w:rPr>
        <w:t xml:space="preserve"> </w:t>
      </w:r>
      <w:r>
        <w:rPr>
          <w:rFonts w:ascii="Calibri Light"/>
          <w:i/>
          <w:sz w:val="20"/>
        </w:rPr>
        <w:t>training:</w:t>
      </w:r>
      <w:r>
        <w:rPr>
          <w:rFonts w:ascii="Calibri Light"/>
          <w:i/>
          <w:spacing w:val="-3"/>
          <w:sz w:val="20"/>
        </w:rPr>
        <w:t xml:space="preserve"> </w:t>
      </w:r>
      <w:r>
        <w:rPr>
          <w:rFonts w:ascii="Calibri Light"/>
          <w:i/>
          <w:sz w:val="20"/>
        </w:rPr>
        <w:t>The</w:t>
      </w:r>
      <w:r>
        <w:rPr>
          <w:rFonts w:ascii="Calibri Light"/>
          <w:i/>
          <w:spacing w:val="-3"/>
          <w:sz w:val="20"/>
        </w:rPr>
        <w:t xml:space="preserve"> </w:t>
      </w:r>
      <w:r>
        <w:rPr>
          <w:rFonts w:ascii="Calibri Light"/>
          <w:i/>
          <w:sz w:val="20"/>
        </w:rPr>
        <w:t>no-lose</w:t>
      </w:r>
      <w:r>
        <w:rPr>
          <w:rFonts w:ascii="Calibri Light"/>
          <w:i/>
          <w:spacing w:val="-1"/>
          <w:sz w:val="20"/>
        </w:rPr>
        <w:t xml:space="preserve"> </w:t>
      </w:r>
      <w:r>
        <w:rPr>
          <w:rFonts w:ascii="Calibri Light"/>
          <w:i/>
          <w:sz w:val="20"/>
        </w:rPr>
        <w:t>program</w:t>
      </w:r>
      <w:r>
        <w:rPr>
          <w:rFonts w:ascii="Calibri Light"/>
          <w:i/>
          <w:spacing w:val="-3"/>
          <w:sz w:val="20"/>
        </w:rPr>
        <w:t xml:space="preserve"> </w:t>
      </w:r>
      <w:r>
        <w:rPr>
          <w:rFonts w:ascii="Calibri Light"/>
          <w:i/>
          <w:sz w:val="20"/>
        </w:rPr>
        <w:t>for</w:t>
      </w:r>
      <w:r>
        <w:rPr>
          <w:rFonts w:ascii="Calibri Light"/>
          <w:i/>
          <w:spacing w:val="-3"/>
          <w:sz w:val="20"/>
        </w:rPr>
        <w:t xml:space="preserve"> </w:t>
      </w:r>
      <w:r>
        <w:rPr>
          <w:rFonts w:ascii="Calibri Light"/>
          <w:i/>
          <w:sz w:val="20"/>
        </w:rPr>
        <w:t>raising</w:t>
      </w:r>
      <w:r>
        <w:rPr>
          <w:rFonts w:ascii="Calibri Light"/>
          <w:i/>
          <w:spacing w:val="-3"/>
          <w:sz w:val="20"/>
        </w:rPr>
        <w:t xml:space="preserve"> </w:t>
      </w:r>
      <w:r>
        <w:rPr>
          <w:rFonts w:ascii="Calibri Light"/>
          <w:i/>
          <w:sz w:val="20"/>
        </w:rPr>
        <w:t>responsible</w:t>
      </w:r>
      <w:r>
        <w:rPr>
          <w:rFonts w:ascii="Calibri Light"/>
          <w:i/>
          <w:spacing w:val="-3"/>
          <w:sz w:val="20"/>
        </w:rPr>
        <w:t xml:space="preserve"> </w:t>
      </w:r>
      <w:r>
        <w:rPr>
          <w:rFonts w:ascii="Calibri Light"/>
          <w:i/>
          <w:sz w:val="20"/>
        </w:rPr>
        <w:t>children.</w:t>
      </w:r>
      <w:r>
        <w:rPr>
          <w:rFonts w:ascii="Calibri Light"/>
          <w:i/>
          <w:spacing w:val="-4"/>
          <w:sz w:val="20"/>
        </w:rPr>
        <w:t xml:space="preserve"> </w:t>
      </w:r>
      <w:r>
        <w:rPr>
          <w:rFonts w:ascii="Calibri Light"/>
          <w:sz w:val="20"/>
        </w:rPr>
        <w:t>New</w:t>
      </w:r>
      <w:r>
        <w:rPr>
          <w:rFonts w:ascii="Calibri Light"/>
          <w:spacing w:val="-3"/>
          <w:sz w:val="20"/>
        </w:rPr>
        <w:t xml:space="preserve"> </w:t>
      </w:r>
      <w:r>
        <w:rPr>
          <w:rFonts w:ascii="Calibri Light"/>
          <w:sz w:val="20"/>
        </w:rPr>
        <w:t>York,</w:t>
      </w:r>
      <w:r>
        <w:rPr>
          <w:rFonts w:ascii="Calibri Light"/>
          <w:spacing w:val="-4"/>
          <w:sz w:val="20"/>
        </w:rPr>
        <w:t xml:space="preserve"> </w:t>
      </w:r>
      <w:r>
        <w:rPr>
          <w:rFonts w:ascii="Calibri Light"/>
          <w:sz w:val="20"/>
        </w:rPr>
        <w:t xml:space="preserve">NY: </w:t>
      </w:r>
      <w:r>
        <w:rPr>
          <w:rFonts w:ascii="Calibri Light"/>
          <w:spacing w:val="-2"/>
          <w:sz w:val="20"/>
        </w:rPr>
        <w:t>Wyden.</w:t>
      </w:r>
    </w:p>
    <w:p w14:paraId="141E60BA" w14:textId="77777777" w:rsidR="00DB6E1F" w:rsidRDefault="00F666A6">
      <w:pPr>
        <w:spacing w:line="259" w:lineRule="auto"/>
        <w:ind w:left="1619" w:right="1491" w:hanging="180"/>
        <w:rPr>
          <w:rFonts w:ascii="Calibri Light"/>
          <w:sz w:val="20"/>
        </w:rPr>
      </w:pPr>
      <w:r>
        <w:rPr>
          <w:rFonts w:ascii="Calibri Light"/>
          <w:sz w:val="20"/>
        </w:rPr>
        <w:t>Granfield,</w:t>
      </w:r>
      <w:r>
        <w:rPr>
          <w:rFonts w:ascii="Calibri Light"/>
          <w:spacing w:val="-3"/>
          <w:sz w:val="20"/>
        </w:rPr>
        <w:t xml:space="preserve"> </w:t>
      </w:r>
      <w:r>
        <w:rPr>
          <w:rFonts w:ascii="Calibri Light"/>
          <w:sz w:val="20"/>
        </w:rPr>
        <w:t>R.,</w:t>
      </w:r>
      <w:r>
        <w:rPr>
          <w:rFonts w:ascii="Calibri Light"/>
          <w:spacing w:val="-3"/>
          <w:sz w:val="20"/>
        </w:rPr>
        <w:t xml:space="preserve"> </w:t>
      </w:r>
      <w:r>
        <w:rPr>
          <w:rFonts w:ascii="Calibri Light"/>
          <w:sz w:val="20"/>
        </w:rPr>
        <w:t>&amp;</w:t>
      </w:r>
      <w:r>
        <w:rPr>
          <w:rFonts w:ascii="Calibri Light"/>
          <w:spacing w:val="-1"/>
          <w:sz w:val="20"/>
        </w:rPr>
        <w:t xml:space="preserve"> </w:t>
      </w:r>
      <w:r>
        <w:rPr>
          <w:rFonts w:ascii="Calibri Light"/>
          <w:sz w:val="20"/>
        </w:rPr>
        <w:t>Cloud,</w:t>
      </w:r>
      <w:r>
        <w:rPr>
          <w:rFonts w:ascii="Calibri Light"/>
          <w:spacing w:val="-3"/>
          <w:sz w:val="20"/>
        </w:rPr>
        <w:t xml:space="preserve"> </w:t>
      </w:r>
      <w:r>
        <w:rPr>
          <w:rFonts w:ascii="Calibri Light"/>
          <w:sz w:val="20"/>
        </w:rPr>
        <w:t>W.</w:t>
      </w:r>
      <w:r>
        <w:rPr>
          <w:rFonts w:ascii="Calibri Light"/>
          <w:spacing w:val="-3"/>
          <w:sz w:val="20"/>
        </w:rPr>
        <w:t xml:space="preserve"> </w:t>
      </w:r>
      <w:r>
        <w:rPr>
          <w:rFonts w:ascii="Calibri Light"/>
          <w:sz w:val="20"/>
        </w:rPr>
        <w:t>(1999).</w:t>
      </w:r>
      <w:r>
        <w:rPr>
          <w:rFonts w:ascii="Calibri Light"/>
          <w:spacing w:val="-3"/>
          <w:sz w:val="20"/>
        </w:rPr>
        <w:t xml:space="preserve"> </w:t>
      </w:r>
      <w:r>
        <w:rPr>
          <w:rFonts w:ascii="Calibri Light"/>
          <w:i/>
          <w:sz w:val="20"/>
        </w:rPr>
        <w:t>Coming</w:t>
      </w:r>
      <w:r>
        <w:rPr>
          <w:rFonts w:ascii="Calibri Light"/>
          <w:i/>
          <w:spacing w:val="-2"/>
          <w:sz w:val="20"/>
        </w:rPr>
        <w:t xml:space="preserve"> </w:t>
      </w:r>
      <w:r>
        <w:rPr>
          <w:rFonts w:ascii="Calibri Light"/>
          <w:i/>
          <w:sz w:val="20"/>
        </w:rPr>
        <w:t>clean:</w:t>
      </w:r>
      <w:r>
        <w:rPr>
          <w:rFonts w:ascii="Calibri Light"/>
          <w:i/>
          <w:spacing w:val="-2"/>
          <w:sz w:val="20"/>
        </w:rPr>
        <w:t xml:space="preserve"> </w:t>
      </w:r>
      <w:r>
        <w:rPr>
          <w:rFonts w:ascii="Calibri Light"/>
          <w:i/>
          <w:sz w:val="20"/>
        </w:rPr>
        <w:t>Overcoming</w:t>
      </w:r>
      <w:r>
        <w:rPr>
          <w:rFonts w:ascii="Calibri Light"/>
          <w:i/>
          <w:spacing w:val="-2"/>
          <w:sz w:val="20"/>
        </w:rPr>
        <w:t xml:space="preserve"> </w:t>
      </w:r>
      <w:r>
        <w:rPr>
          <w:rFonts w:ascii="Calibri Light"/>
          <w:i/>
          <w:sz w:val="20"/>
        </w:rPr>
        <w:t>addiction</w:t>
      </w:r>
      <w:r>
        <w:rPr>
          <w:rFonts w:ascii="Calibri Light"/>
          <w:i/>
          <w:spacing w:val="-2"/>
          <w:sz w:val="20"/>
        </w:rPr>
        <w:t xml:space="preserve"> </w:t>
      </w:r>
      <w:r>
        <w:rPr>
          <w:rFonts w:ascii="Calibri Light"/>
          <w:i/>
          <w:sz w:val="20"/>
        </w:rPr>
        <w:t>without</w:t>
      </w:r>
      <w:r>
        <w:rPr>
          <w:rFonts w:ascii="Calibri Light"/>
          <w:i/>
          <w:spacing w:val="-3"/>
          <w:sz w:val="20"/>
        </w:rPr>
        <w:t xml:space="preserve"> </w:t>
      </w:r>
      <w:r>
        <w:rPr>
          <w:rFonts w:ascii="Calibri Light"/>
          <w:i/>
          <w:sz w:val="20"/>
        </w:rPr>
        <w:t>treatment</w:t>
      </w:r>
      <w:r>
        <w:rPr>
          <w:rFonts w:ascii="Calibri Light"/>
          <w:sz w:val="20"/>
        </w:rPr>
        <w:t>.</w:t>
      </w:r>
      <w:r>
        <w:rPr>
          <w:rFonts w:ascii="Calibri Light"/>
          <w:spacing w:val="-3"/>
          <w:sz w:val="20"/>
        </w:rPr>
        <w:t xml:space="preserve"> </w:t>
      </w:r>
      <w:r>
        <w:rPr>
          <w:rFonts w:ascii="Calibri Light"/>
          <w:sz w:val="20"/>
        </w:rPr>
        <w:t>New</w:t>
      </w:r>
      <w:r>
        <w:rPr>
          <w:rFonts w:ascii="Calibri Light"/>
          <w:spacing w:val="-2"/>
          <w:sz w:val="20"/>
        </w:rPr>
        <w:t xml:space="preserve"> </w:t>
      </w:r>
      <w:r>
        <w:rPr>
          <w:rFonts w:ascii="Calibri Light"/>
          <w:sz w:val="20"/>
        </w:rPr>
        <w:t>York,</w:t>
      </w:r>
      <w:r>
        <w:rPr>
          <w:rFonts w:ascii="Calibri Light"/>
          <w:spacing w:val="-3"/>
          <w:sz w:val="20"/>
        </w:rPr>
        <w:t xml:space="preserve"> </w:t>
      </w:r>
      <w:r>
        <w:rPr>
          <w:rFonts w:ascii="Calibri Light"/>
          <w:sz w:val="20"/>
        </w:rPr>
        <w:t>NY:</w:t>
      </w:r>
      <w:r>
        <w:rPr>
          <w:rFonts w:ascii="Calibri Light"/>
          <w:spacing w:val="-2"/>
          <w:sz w:val="20"/>
        </w:rPr>
        <w:t xml:space="preserve"> </w:t>
      </w:r>
      <w:r>
        <w:rPr>
          <w:rFonts w:ascii="Calibri Light"/>
          <w:sz w:val="20"/>
        </w:rPr>
        <w:t>New</w:t>
      </w:r>
      <w:r>
        <w:rPr>
          <w:rFonts w:ascii="Calibri Light"/>
          <w:spacing w:val="-2"/>
          <w:sz w:val="20"/>
        </w:rPr>
        <w:t xml:space="preserve"> </w:t>
      </w:r>
      <w:r>
        <w:rPr>
          <w:rFonts w:ascii="Calibri Light"/>
          <w:sz w:val="20"/>
        </w:rPr>
        <w:t>York University Press.</w:t>
      </w:r>
    </w:p>
    <w:p w14:paraId="6C716B67" w14:textId="77777777" w:rsidR="00DB6E1F" w:rsidRDefault="00F666A6">
      <w:pPr>
        <w:spacing w:line="259" w:lineRule="auto"/>
        <w:ind w:left="1619" w:right="1491" w:hanging="181"/>
        <w:rPr>
          <w:rFonts w:ascii="Calibri Light" w:hAnsi="Calibri Light"/>
          <w:sz w:val="20"/>
        </w:rPr>
      </w:pPr>
      <w:r>
        <w:rPr>
          <w:rFonts w:ascii="Calibri Light" w:hAnsi="Calibri Light"/>
          <w:sz w:val="20"/>
        </w:rPr>
        <w:t>Grant,</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Colaiaco,</w:t>
      </w:r>
      <w:r>
        <w:rPr>
          <w:rFonts w:ascii="Calibri Light" w:hAnsi="Calibri Light"/>
          <w:spacing w:val="-1"/>
          <w:sz w:val="20"/>
        </w:rPr>
        <w:t xml:space="preserve"> </w:t>
      </w:r>
      <w:r>
        <w:rPr>
          <w:rFonts w:ascii="Calibri Light" w:hAnsi="Calibri Light"/>
          <w:sz w:val="20"/>
        </w:rPr>
        <w:t>B.,</w:t>
      </w:r>
      <w:r>
        <w:rPr>
          <w:rFonts w:ascii="Calibri Light" w:hAnsi="Calibri Light"/>
          <w:spacing w:val="-1"/>
          <w:sz w:val="20"/>
        </w:rPr>
        <w:t xml:space="preserve"> </w:t>
      </w:r>
      <w:r>
        <w:rPr>
          <w:rFonts w:ascii="Calibri Light" w:hAnsi="Calibri Light"/>
          <w:sz w:val="20"/>
        </w:rPr>
        <w:t>Motala,</w:t>
      </w:r>
      <w:r>
        <w:rPr>
          <w:rFonts w:ascii="Calibri Light" w:hAnsi="Calibri Light"/>
          <w:spacing w:val="-1"/>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Shanman,</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Booth,</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Sorbero,</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Hempel,</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 xml:space="preserve">Mindfulness-based relapse prevention for substance use disorders: A systematic review and meta-analysis. </w:t>
      </w:r>
      <w:r>
        <w:rPr>
          <w:rFonts w:ascii="Calibri Light" w:hAnsi="Calibri Light"/>
          <w:i/>
          <w:sz w:val="20"/>
        </w:rPr>
        <w:t>Journal of Addiction Medicine, 11</w:t>
      </w:r>
      <w:r>
        <w:rPr>
          <w:rFonts w:ascii="Calibri Light" w:hAnsi="Calibri Light"/>
          <w:sz w:val="20"/>
        </w:rPr>
        <w:t>(5), 386–396. doi:10.1097/adm.0000000000000338</w:t>
      </w:r>
    </w:p>
    <w:p w14:paraId="56323239" w14:textId="77777777" w:rsidR="00DB6E1F" w:rsidRDefault="00F666A6">
      <w:pPr>
        <w:spacing w:line="259" w:lineRule="auto"/>
        <w:ind w:left="1619" w:right="1444" w:hanging="181"/>
        <w:rPr>
          <w:rFonts w:ascii="Calibri Light" w:hAnsi="Calibri Light"/>
          <w:sz w:val="20"/>
        </w:rPr>
      </w:pPr>
      <w:r>
        <w:rPr>
          <w:rFonts w:ascii="Calibri Light" w:hAnsi="Calibri Light"/>
          <w:sz w:val="20"/>
        </w:rPr>
        <w:t>Gueorguieva,</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Wu,</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O’Connor,</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G.,</w:t>
      </w:r>
      <w:r>
        <w:rPr>
          <w:rFonts w:ascii="Calibri Light" w:hAnsi="Calibri Light"/>
          <w:spacing w:val="-3"/>
          <w:sz w:val="20"/>
        </w:rPr>
        <w:t xml:space="preserve"> </w:t>
      </w:r>
      <w:r>
        <w:rPr>
          <w:rFonts w:ascii="Calibri Light" w:hAnsi="Calibri Light"/>
          <w:sz w:val="20"/>
        </w:rPr>
        <w:t>Weisner, C., Fucito,</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Hoffmann,</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 O’Malley,</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(2014).</w:t>
      </w:r>
      <w:r>
        <w:rPr>
          <w:rFonts w:ascii="Calibri Light" w:hAnsi="Calibri Light"/>
          <w:spacing w:val="-3"/>
          <w:sz w:val="20"/>
        </w:rPr>
        <w:t xml:space="preserve"> </w:t>
      </w:r>
      <w:r>
        <w:rPr>
          <w:rFonts w:ascii="Calibri Light" w:hAnsi="Calibri Light"/>
          <w:sz w:val="20"/>
        </w:rPr>
        <w:t xml:space="preserve">Predictors of abstinence from heavy drinking during treatment in COMBINE and external validation in PREDICT. </w:t>
      </w:r>
      <w:r>
        <w:rPr>
          <w:rFonts w:ascii="Calibri Light" w:hAnsi="Calibri Light"/>
          <w:i/>
          <w:sz w:val="20"/>
        </w:rPr>
        <w:t>Alcoholism: Clinical and Experimental Research</w:t>
      </w:r>
      <w:r>
        <w:rPr>
          <w:rFonts w:ascii="Calibri Light" w:hAnsi="Calibri Light"/>
          <w:sz w:val="20"/>
        </w:rPr>
        <w:t xml:space="preserve">, </w:t>
      </w:r>
      <w:r>
        <w:rPr>
          <w:rFonts w:ascii="Calibri Light" w:hAnsi="Calibri Light"/>
          <w:i/>
          <w:sz w:val="20"/>
        </w:rPr>
        <w:t>38</w:t>
      </w:r>
      <w:r>
        <w:rPr>
          <w:rFonts w:ascii="Calibri Light" w:hAnsi="Calibri Light"/>
          <w:sz w:val="20"/>
        </w:rPr>
        <w:t>(10), 2647–2656.</w:t>
      </w:r>
    </w:p>
    <w:p w14:paraId="5EBD8C72" w14:textId="77777777" w:rsidR="00DB6E1F" w:rsidRDefault="00F666A6">
      <w:pPr>
        <w:spacing w:line="259" w:lineRule="auto"/>
        <w:ind w:left="1619" w:right="1555" w:hanging="181"/>
        <w:rPr>
          <w:rFonts w:ascii="Calibri Light" w:hAnsi="Calibri Light"/>
          <w:sz w:val="20"/>
        </w:rPr>
      </w:pPr>
      <w:r>
        <w:rPr>
          <w:rFonts w:ascii="Calibri Light" w:hAnsi="Calibri Light"/>
          <w:sz w:val="20"/>
        </w:rPr>
        <w:t>Hall,</w:t>
      </w:r>
      <w:r>
        <w:rPr>
          <w:rFonts w:ascii="Calibri Light" w:hAnsi="Calibri Light"/>
          <w:spacing w:val="-3"/>
          <w:sz w:val="20"/>
        </w:rPr>
        <w:t xml:space="preserve"> </w:t>
      </w:r>
      <w:r>
        <w:rPr>
          <w:rFonts w:ascii="Calibri Light" w:hAnsi="Calibri Light"/>
          <w:sz w:val="20"/>
        </w:rPr>
        <w:t>K</w:t>
      </w:r>
      <w:r>
        <w:rPr>
          <w:rFonts w:ascii="Calibri Light" w:hAnsi="Calibri Light"/>
          <w:sz w:val="20"/>
        </w:rPr>
        <w:t>.,</w:t>
      </w:r>
      <w:r>
        <w:rPr>
          <w:rFonts w:ascii="Calibri Light" w:hAnsi="Calibri Light"/>
          <w:spacing w:val="-3"/>
          <w:sz w:val="20"/>
        </w:rPr>
        <w:t xml:space="preserve"> </w:t>
      </w:r>
      <w:r>
        <w:rPr>
          <w:rFonts w:ascii="Calibri Light" w:hAnsi="Calibri Light"/>
          <w:sz w:val="20"/>
        </w:rPr>
        <w:t>Staiger,</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Simpson,</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Best,</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Lubman,</w:t>
      </w:r>
      <w:r>
        <w:rPr>
          <w:rFonts w:ascii="Calibri Light" w:hAnsi="Calibri Light"/>
          <w:spacing w:val="-3"/>
          <w:sz w:val="20"/>
        </w:rPr>
        <w:t xml:space="preserve"> </w:t>
      </w:r>
      <w:r>
        <w:rPr>
          <w:rFonts w:ascii="Calibri Light" w:hAnsi="Calibri Light"/>
          <w:sz w:val="20"/>
        </w:rPr>
        <w:t>D. I.</w:t>
      </w:r>
      <w:r>
        <w:rPr>
          <w:rFonts w:ascii="Calibri Light" w:hAnsi="Calibri Light"/>
          <w:spacing w:val="-3"/>
          <w:sz w:val="20"/>
        </w:rPr>
        <w:t xml:space="preserve"> </w:t>
      </w:r>
      <w:r>
        <w:rPr>
          <w:rFonts w:ascii="Calibri Light" w:hAnsi="Calibri Light"/>
          <w:sz w:val="20"/>
        </w:rPr>
        <w:t>(2015).</w:t>
      </w:r>
      <w:r>
        <w:rPr>
          <w:rFonts w:ascii="Calibri Light" w:hAnsi="Calibri Light"/>
          <w:spacing w:val="-3"/>
          <w:sz w:val="20"/>
        </w:rPr>
        <w:t xml:space="preserve"> </w:t>
      </w:r>
      <w:r>
        <w:rPr>
          <w:rFonts w:ascii="Calibri Light" w:hAnsi="Calibri Light"/>
          <w:sz w:val="20"/>
        </w:rPr>
        <w:t>After</w:t>
      </w:r>
      <w:r>
        <w:rPr>
          <w:rFonts w:ascii="Calibri Light" w:hAnsi="Calibri Light"/>
          <w:spacing w:val="-1"/>
          <w:sz w:val="20"/>
        </w:rPr>
        <w:t xml:space="preserve"> </w:t>
      </w:r>
      <w:r>
        <w:rPr>
          <w:rFonts w:ascii="Calibri Light" w:hAnsi="Calibri Light"/>
          <w:sz w:val="20"/>
        </w:rPr>
        <w:t>30</w:t>
      </w:r>
      <w:r>
        <w:rPr>
          <w:rFonts w:ascii="Calibri Light" w:hAnsi="Calibri Light"/>
          <w:spacing w:val="-2"/>
          <w:sz w:val="20"/>
        </w:rPr>
        <w:t xml:space="preserve"> </w:t>
      </w:r>
      <w:r>
        <w:rPr>
          <w:rFonts w:ascii="Calibri Light" w:hAnsi="Calibri Light"/>
          <w:sz w:val="20"/>
        </w:rPr>
        <w:t>years</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dissemination,</w:t>
      </w:r>
      <w:r>
        <w:rPr>
          <w:rFonts w:ascii="Calibri Light" w:hAnsi="Calibri Light"/>
          <w:spacing w:val="-3"/>
          <w:sz w:val="20"/>
        </w:rPr>
        <w:t xml:space="preserve"> </w:t>
      </w:r>
      <w:r>
        <w:rPr>
          <w:rFonts w:ascii="Calibri Light" w:hAnsi="Calibri Light"/>
          <w:sz w:val="20"/>
        </w:rPr>
        <w:t>have</w:t>
      </w:r>
      <w:r>
        <w:rPr>
          <w:rFonts w:ascii="Calibri Light" w:hAnsi="Calibri Light"/>
          <w:spacing w:val="-2"/>
          <w:sz w:val="20"/>
        </w:rPr>
        <w:t xml:space="preserve"> </w:t>
      </w:r>
      <w:r>
        <w:rPr>
          <w:rFonts w:ascii="Calibri Light" w:hAnsi="Calibri Light"/>
          <w:sz w:val="20"/>
        </w:rPr>
        <w:t xml:space="preserve">we achieved sustained practice change in motivational interviewing? </w:t>
      </w:r>
      <w:r>
        <w:rPr>
          <w:rFonts w:ascii="Calibri Light" w:hAnsi="Calibri Light"/>
          <w:i/>
          <w:sz w:val="20"/>
        </w:rPr>
        <w:t>Addiction, 111</w:t>
      </w:r>
      <w:r>
        <w:rPr>
          <w:rFonts w:ascii="Calibri Light" w:hAnsi="Calibri Light"/>
          <w:sz w:val="20"/>
        </w:rPr>
        <w:t xml:space="preserve">(7), 1144–1150. </w:t>
      </w:r>
      <w:r>
        <w:rPr>
          <w:rFonts w:ascii="Calibri Light" w:hAnsi="Calibri Light"/>
          <w:spacing w:val="-2"/>
          <w:sz w:val="20"/>
        </w:rPr>
        <w:t>doi:10.1111/add.13014</w:t>
      </w:r>
    </w:p>
    <w:p w14:paraId="28C1E627" w14:textId="77777777" w:rsidR="00DB6E1F" w:rsidRDefault="00F666A6">
      <w:pPr>
        <w:spacing w:line="259" w:lineRule="auto"/>
        <w:ind w:left="1619" w:right="1491" w:hanging="180"/>
        <w:rPr>
          <w:rFonts w:ascii="Calibri Light"/>
          <w:sz w:val="20"/>
        </w:rPr>
      </w:pPr>
      <w:r>
        <w:rPr>
          <w:rFonts w:ascii="Calibri Light"/>
          <w:sz w:val="20"/>
        </w:rPr>
        <w:t>Harley, D. A. (2017). Motivational interviewing and motivational enhancement therapy: Cultural implications in addiction</w:t>
      </w:r>
      <w:r>
        <w:rPr>
          <w:rFonts w:ascii="Calibri Light"/>
          <w:spacing w:val="-5"/>
          <w:sz w:val="20"/>
        </w:rPr>
        <w:t xml:space="preserve"> </w:t>
      </w:r>
      <w:r>
        <w:rPr>
          <w:rFonts w:ascii="Calibri Light"/>
          <w:sz w:val="20"/>
        </w:rPr>
        <w:t>intervention</w:t>
      </w:r>
      <w:r>
        <w:rPr>
          <w:rFonts w:ascii="Calibri Light"/>
          <w:spacing w:val="-4"/>
          <w:sz w:val="20"/>
        </w:rPr>
        <w:t xml:space="preserve"> </w:t>
      </w:r>
      <w:r>
        <w:rPr>
          <w:rFonts w:ascii="Calibri Light"/>
          <w:sz w:val="20"/>
        </w:rPr>
        <w:t>for</w:t>
      </w:r>
      <w:r>
        <w:rPr>
          <w:rFonts w:ascii="Calibri Light"/>
          <w:spacing w:val="-3"/>
          <w:sz w:val="20"/>
        </w:rPr>
        <w:t xml:space="preserve"> </w:t>
      </w:r>
      <w:r>
        <w:rPr>
          <w:rFonts w:ascii="Calibri Light"/>
          <w:sz w:val="20"/>
        </w:rPr>
        <w:t>African</w:t>
      </w:r>
      <w:r>
        <w:rPr>
          <w:rFonts w:ascii="Calibri Light"/>
          <w:spacing w:val="-4"/>
          <w:sz w:val="20"/>
        </w:rPr>
        <w:t xml:space="preserve"> </w:t>
      </w:r>
      <w:r>
        <w:rPr>
          <w:rFonts w:ascii="Calibri Light"/>
          <w:sz w:val="20"/>
        </w:rPr>
        <w:t>Americans.</w:t>
      </w:r>
      <w:r>
        <w:rPr>
          <w:rFonts w:ascii="Calibri Light"/>
          <w:spacing w:val="-5"/>
          <w:sz w:val="20"/>
        </w:rPr>
        <w:t xml:space="preserve"> </w:t>
      </w:r>
      <w:r>
        <w:rPr>
          <w:rFonts w:ascii="Calibri Light"/>
          <w:i/>
          <w:sz w:val="20"/>
        </w:rPr>
        <w:t>SciFed</w:t>
      </w:r>
      <w:r>
        <w:rPr>
          <w:rFonts w:ascii="Calibri Light"/>
          <w:i/>
          <w:spacing w:val="-4"/>
          <w:sz w:val="20"/>
        </w:rPr>
        <w:t xml:space="preserve"> </w:t>
      </w:r>
      <w:r>
        <w:rPr>
          <w:rFonts w:ascii="Calibri Light"/>
          <w:i/>
          <w:sz w:val="20"/>
        </w:rPr>
        <w:t>Journal</w:t>
      </w:r>
      <w:r>
        <w:rPr>
          <w:rFonts w:ascii="Calibri Light"/>
          <w:i/>
          <w:spacing w:val="-3"/>
          <w:sz w:val="20"/>
        </w:rPr>
        <w:t xml:space="preserve"> </w:t>
      </w:r>
      <w:r>
        <w:rPr>
          <w:rFonts w:ascii="Calibri Light"/>
          <w:i/>
          <w:sz w:val="20"/>
        </w:rPr>
        <w:t>of</w:t>
      </w:r>
      <w:r>
        <w:rPr>
          <w:rFonts w:ascii="Calibri Light"/>
          <w:i/>
          <w:spacing w:val="-4"/>
          <w:sz w:val="20"/>
        </w:rPr>
        <w:t xml:space="preserve"> </w:t>
      </w:r>
      <w:r>
        <w:rPr>
          <w:rFonts w:ascii="Calibri Light"/>
          <w:i/>
          <w:sz w:val="20"/>
        </w:rPr>
        <w:t>Addiction</w:t>
      </w:r>
      <w:r>
        <w:rPr>
          <w:rFonts w:ascii="Calibri Light"/>
          <w:i/>
          <w:spacing w:val="-4"/>
          <w:sz w:val="20"/>
        </w:rPr>
        <w:t xml:space="preserve"> </w:t>
      </w:r>
      <w:r>
        <w:rPr>
          <w:rFonts w:ascii="Calibri Light"/>
          <w:i/>
          <w:sz w:val="20"/>
        </w:rPr>
        <w:t>and</w:t>
      </w:r>
      <w:r>
        <w:rPr>
          <w:rFonts w:ascii="Calibri Light"/>
          <w:i/>
          <w:spacing w:val="-4"/>
          <w:sz w:val="20"/>
        </w:rPr>
        <w:t xml:space="preserve"> </w:t>
      </w:r>
      <w:r>
        <w:rPr>
          <w:rFonts w:ascii="Calibri Light"/>
          <w:i/>
          <w:sz w:val="20"/>
        </w:rPr>
        <w:t>Therapy,</w:t>
      </w:r>
      <w:r>
        <w:rPr>
          <w:rFonts w:ascii="Calibri Light"/>
          <w:i/>
          <w:spacing w:val="-3"/>
          <w:sz w:val="20"/>
        </w:rPr>
        <w:t xml:space="preserve"> </w:t>
      </w:r>
      <w:r>
        <w:rPr>
          <w:rFonts w:ascii="Calibri Light"/>
          <w:i/>
          <w:sz w:val="20"/>
        </w:rPr>
        <w:t>1</w:t>
      </w:r>
      <w:r>
        <w:rPr>
          <w:rFonts w:ascii="Calibri Light"/>
          <w:sz w:val="20"/>
        </w:rPr>
        <w:t>(1).</w:t>
      </w:r>
      <w:r>
        <w:rPr>
          <w:rFonts w:ascii="Calibri Light"/>
          <w:spacing w:val="-5"/>
          <w:sz w:val="20"/>
        </w:rPr>
        <w:t xml:space="preserve"> </w:t>
      </w:r>
      <w:r>
        <w:rPr>
          <w:rFonts w:ascii="Calibri Light"/>
          <w:sz w:val="20"/>
        </w:rPr>
        <w:t xml:space="preserve">doi:10.23959/sfjat- </w:t>
      </w:r>
      <w:r>
        <w:rPr>
          <w:rFonts w:ascii="Calibri Light"/>
          <w:spacing w:val="-2"/>
          <w:sz w:val="20"/>
        </w:rPr>
        <w:t>1000005</w:t>
      </w:r>
    </w:p>
    <w:p w14:paraId="31A73FDC" w14:textId="77777777" w:rsidR="00DB6E1F" w:rsidRDefault="00F666A6">
      <w:pPr>
        <w:spacing w:line="259" w:lineRule="auto"/>
        <w:ind w:left="1619" w:right="1555" w:hanging="181"/>
        <w:rPr>
          <w:rFonts w:ascii="Calibri Light" w:hAnsi="Calibri Light"/>
          <w:sz w:val="20"/>
        </w:rPr>
      </w:pPr>
      <w:r>
        <w:rPr>
          <w:rFonts w:ascii="Calibri Light" w:hAnsi="Calibri Light"/>
          <w:sz w:val="20"/>
        </w:rPr>
        <w:t>Harrell, P. T., Trenz, R., Scherer, M., Martins, S., &amp; Latimer, W. (2013). A latent class approach to treatment readiness</w:t>
      </w:r>
      <w:r>
        <w:rPr>
          <w:rFonts w:ascii="Calibri Light" w:hAnsi="Calibri Light"/>
          <w:spacing w:val="-3"/>
          <w:sz w:val="20"/>
        </w:rPr>
        <w:t xml:space="preserve"> </w:t>
      </w:r>
      <w:r>
        <w:rPr>
          <w:rFonts w:ascii="Calibri Light" w:hAnsi="Calibri Light"/>
          <w:sz w:val="20"/>
        </w:rPr>
        <w:t>corresponds</w:t>
      </w:r>
      <w:r>
        <w:rPr>
          <w:rFonts w:ascii="Calibri Light" w:hAnsi="Calibri Light"/>
          <w:spacing w:val="-3"/>
          <w:sz w:val="20"/>
        </w:rPr>
        <w:t xml:space="preserve"> </w:t>
      </w:r>
      <w:r>
        <w:rPr>
          <w:rFonts w:ascii="Calibri Light" w:hAnsi="Calibri Light"/>
          <w:sz w:val="20"/>
        </w:rPr>
        <w:t>to</w:t>
      </w:r>
      <w:r>
        <w:rPr>
          <w:rFonts w:ascii="Calibri Light" w:hAnsi="Calibri Light"/>
          <w:spacing w:val="-4"/>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transtheoretical</w:t>
      </w:r>
      <w:r>
        <w:rPr>
          <w:rFonts w:ascii="Calibri Light" w:hAnsi="Calibri Light"/>
          <w:spacing w:val="-4"/>
          <w:sz w:val="20"/>
        </w:rPr>
        <w:t xml:space="preserve"> </w:t>
      </w:r>
      <w:r>
        <w:rPr>
          <w:rFonts w:ascii="Calibri Light" w:hAnsi="Calibri Light"/>
          <w:sz w:val="20"/>
        </w:rPr>
        <w:t>(“Stages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Change”)</w:t>
      </w:r>
      <w:r>
        <w:rPr>
          <w:rFonts w:ascii="Calibri Light" w:hAnsi="Calibri Light"/>
          <w:spacing w:val="-3"/>
          <w:sz w:val="20"/>
        </w:rPr>
        <w:t xml:space="preserve"> </w:t>
      </w:r>
      <w:r>
        <w:rPr>
          <w:rFonts w:ascii="Calibri Light" w:hAnsi="Calibri Light"/>
          <w:sz w:val="20"/>
        </w:rPr>
        <w:t>model.</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Substance</w:t>
      </w:r>
      <w:r>
        <w:rPr>
          <w:rFonts w:ascii="Calibri Light" w:hAnsi="Calibri Light"/>
          <w:i/>
          <w:spacing w:val="-3"/>
          <w:sz w:val="20"/>
        </w:rPr>
        <w:t xml:space="preserve"> </w:t>
      </w:r>
      <w:r>
        <w:rPr>
          <w:rFonts w:ascii="Calibri Light" w:hAnsi="Calibri Light"/>
          <w:i/>
          <w:sz w:val="20"/>
        </w:rPr>
        <w:t>Abuse</w:t>
      </w:r>
      <w:r>
        <w:rPr>
          <w:rFonts w:ascii="Calibri Light" w:hAnsi="Calibri Light"/>
          <w:i/>
          <w:spacing w:val="-3"/>
          <w:sz w:val="20"/>
        </w:rPr>
        <w:t xml:space="preserve"> </w:t>
      </w:r>
      <w:r>
        <w:rPr>
          <w:rFonts w:ascii="Calibri Light" w:hAnsi="Calibri Light"/>
          <w:i/>
          <w:sz w:val="20"/>
        </w:rPr>
        <w:t>Treatment, 45</w:t>
      </w:r>
      <w:r>
        <w:rPr>
          <w:rFonts w:ascii="Calibri Light" w:hAnsi="Calibri Light"/>
          <w:sz w:val="20"/>
        </w:rPr>
        <w:t>(3), 249–256. doi:10.1016/j.jsat</w:t>
      </w:r>
      <w:r>
        <w:rPr>
          <w:rFonts w:ascii="Calibri Light" w:hAnsi="Calibri Light"/>
          <w:sz w:val="20"/>
        </w:rPr>
        <w:t>.2013.04.004</w:t>
      </w:r>
    </w:p>
    <w:p w14:paraId="78499EA7" w14:textId="77777777" w:rsidR="00DB6E1F" w:rsidRDefault="00F666A6">
      <w:pPr>
        <w:spacing w:line="259" w:lineRule="auto"/>
        <w:ind w:left="1619" w:right="1518" w:hanging="181"/>
        <w:jc w:val="both"/>
        <w:rPr>
          <w:rFonts w:ascii="Calibri Light"/>
          <w:sz w:val="20"/>
        </w:rPr>
      </w:pPr>
      <w:r>
        <w:rPr>
          <w:rFonts w:ascii="Calibri Light"/>
          <w:sz w:val="20"/>
        </w:rPr>
        <w:t>Hausotter,</w:t>
      </w:r>
      <w:r>
        <w:rPr>
          <w:rFonts w:ascii="Calibri Light"/>
          <w:spacing w:val="-5"/>
          <w:sz w:val="20"/>
        </w:rPr>
        <w:t xml:space="preserve"> </w:t>
      </w:r>
      <w:r>
        <w:rPr>
          <w:rFonts w:ascii="Calibri Light"/>
          <w:sz w:val="20"/>
        </w:rPr>
        <w:t>W.</w:t>
      </w:r>
      <w:r>
        <w:rPr>
          <w:rFonts w:ascii="Calibri Light"/>
          <w:spacing w:val="-5"/>
          <w:sz w:val="20"/>
        </w:rPr>
        <w:t xml:space="preserve"> </w:t>
      </w:r>
      <w:r>
        <w:rPr>
          <w:rFonts w:ascii="Calibri Light"/>
          <w:sz w:val="20"/>
        </w:rPr>
        <w:t>(2006).</w:t>
      </w:r>
      <w:r>
        <w:rPr>
          <w:rFonts w:ascii="Calibri Light"/>
          <w:spacing w:val="-5"/>
          <w:sz w:val="20"/>
        </w:rPr>
        <w:t xml:space="preserve"> </w:t>
      </w:r>
      <w:r>
        <w:rPr>
          <w:rFonts w:ascii="Calibri Light"/>
          <w:i/>
          <w:sz w:val="20"/>
        </w:rPr>
        <w:t>Motivational</w:t>
      </w:r>
      <w:r>
        <w:rPr>
          <w:rFonts w:ascii="Calibri Light"/>
          <w:i/>
          <w:spacing w:val="-3"/>
          <w:sz w:val="20"/>
        </w:rPr>
        <w:t xml:space="preserve"> </w:t>
      </w:r>
      <w:r>
        <w:rPr>
          <w:rFonts w:ascii="Calibri Light"/>
          <w:i/>
          <w:sz w:val="20"/>
        </w:rPr>
        <w:t>interviewing</w:t>
      </w:r>
      <w:r>
        <w:rPr>
          <w:rFonts w:ascii="Calibri Light"/>
          <w:i/>
          <w:spacing w:val="-4"/>
          <w:sz w:val="20"/>
        </w:rPr>
        <w:t xml:space="preserve"> </w:t>
      </w:r>
      <w:r>
        <w:rPr>
          <w:rFonts w:ascii="Calibri Light"/>
          <w:i/>
          <w:sz w:val="20"/>
        </w:rPr>
        <w:t>assessment:</w:t>
      </w:r>
      <w:r>
        <w:rPr>
          <w:rFonts w:ascii="Calibri Light"/>
          <w:i/>
          <w:spacing w:val="-4"/>
          <w:sz w:val="20"/>
        </w:rPr>
        <w:t xml:space="preserve"> </w:t>
      </w:r>
      <w:r>
        <w:rPr>
          <w:rFonts w:ascii="Calibri Light"/>
          <w:i/>
          <w:sz w:val="20"/>
        </w:rPr>
        <w:t>Supervisory</w:t>
      </w:r>
      <w:r>
        <w:rPr>
          <w:rFonts w:ascii="Calibri Light"/>
          <w:i/>
          <w:spacing w:val="-4"/>
          <w:sz w:val="20"/>
        </w:rPr>
        <w:t xml:space="preserve"> </w:t>
      </w:r>
      <w:r>
        <w:rPr>
          <w:rFonts w:ascii="Calibri Light"/>
          <w:i/>
          <w:sz w:val="20"/>
        </w:rPr>
        <w:t>tools</w:t>
      </w:r>
      <w:r>
        <w:rPr>
          <w:rFonts w:ascii="Calibri Light"/>
          <w:i/>
          <w:spacing w:val="-4"/>
          <w:sz w:val="20"/>
        </w:rPr>
        <w:t xml:space="preserve"> </w:t>
      </w:r>
      <w:r>
        <w:rPr>
          <w:rFonts w:ascii="Calibri Light"/>
          <w:i/>
          <w:sz w:val="20"/>
        </w:rPr>
        <w:t>for</w:t>
      </w:r>
      <w:r>
        <w:rPr>
          <w:rFonts w:ascii="Calibri Light"/>
          <w:i/>
          <w:spacing w:val="-4"/>
          <w:sz w:val="20"/>
        </w:rPr>
        <w:t xml:space="preserve"> </w:t>
      </w:r>
      <w:r>
        <w:rPr>
          <w:rFonts w:ascii="Calibri Light"/>
          <w:i/>
          <w:sz w:val="20"/>
        </w:rPr>
        <w:t>enhancing</w:t>
      </w:r>
      <w:r>
        <w:rPr>
          <w:rFonts w:ascii="Calibri Light"/>
          <w:i/>
          <w:spacing w:val="-4"/>
          <w:sz w:val="20"/>
        </w:rPr>
        <w:t xml:space="preserve"> </w:t>
      </w:r>
      <w:r>
        <w:rPr>
          <w:rFonts w:ascii="Calibri Light"/>
          <w:i/>
          <w:sz w:val="20"/>
        </w:rPr>
        <w:t>proficiency.</w:t>
      </w:r>
      <w:r>
        <w:rPr>
          <w:rFonts w:ascii="Calibri Light"/>
          <w:i/>
          <w:spacing w:val="-5"/>
          <w:sz w:val="20"/>
        </w:rPr>
        <w:t xml:space="preserve"> </w:t>
      </w:r>
      <w:r>
        <w:rPr>
          <w:rFonts w:ascii="Calibri Light"/>
          <w:sz w:val="20"/>
        </w:rPr>
        <w:t>Salem,</w:t>
      </w:r>
      <w:r>
        <w:rPr>
          <w:rFonts w:ascii="Calibri Light"/>
          <w:spacing w:val="-5"/>
          <w:sz w:val="20"/>
        </w:rPr>
        <w:t xml:space="preserve"> </w:t>
      </w:r>
      <w:r>
        <w:rPr>
          <w:rFonts w:ascii="Calibri Light"/>
          <w:sz w:val="20"/>
        </w:rPr>
        <w:t>OR: Northwest</w:t>
      </w:r>
      <w:r>
        <w:rPr>
          <w:rFonts w:ascii="Calibri Light"/>
          <w:spacing w:val="-1"/>
          <w:sz w:val="20"/>
        </w:rPr>
        <w:t xml:space="preserve"> </w:t>
      </w:r>
      <w:r>
        <w:rPr>
          <w:rFonts w:ascii="Calibri Light"/>
          <w:sz w:val="20"/>
        </w:rPr>
        <w:t>Frontier Addiction Technology Transfer Center,</w:t>
      </w:r>
      <w:r>
        <w:rPr>
          <w:rFonts w:ascii="Calibri Light"/>
          <w:spacing w:val="-1"/>
          <w:sz w:val="20"/>
        </w:rPr>
        <w:t xml:space="preserve"> </w:t>
      </w:r>
      <w:r>
        <w:rPr>
          <w:rFonts w:ascii="Calibri Light"/>
          <w:sz w:val="20"/>
        </w:rPr>
        <w:t>Oregon Health and Science University.</w:t>
      </w:r>
      <w:r>
        <w:rPr>
          <w:rFonts w:ascii="Calibri Light"/>
          <w:spacing w:val="-1"/>
          <w:sz w:val="20"/>
        </w:rPr>
        <w:t xml:space="preserve"> </w:t>
      </w:r>
      <w:r>
        <w:rPr>
          <w:rFonts w:ascii="Calibri Light"/>
          <w:sz w:val="20"/>
        </w:rPr>
        <w:t xml:space="preserve">Retrieved from </w:t>
      </w:r>
      <w:hyperlink r:id="rId128">
        <w:r>
          <w:rPr>
            <w:rFonts w:ascii="Calibri Light"/>
            <w:color w:val="0563C1"/>
            <w:spacing w:val="-2"/>
            <w:sz w:val="20"/>
            <w:u w:val="single" w:color="0563C1"/>
          </w:rPr>
          <w:t>www.motivationalinterviewing.org/sites/default/files/mia-step.pdf</w:t>
        </w:r>
      </w:hyperlink>
    </w:p>
    <w:p w14:paraId="3B5874AA" w14:textId="77777777" w:rsidR="00DB6E1F" w:rsidRDefault="00F666A6">
      <w:pPr>
        <w:ind w:left="1440"/>
        <w:jc w:val="both"/>
        <w:rPr>
          <w:rFonts w:ascii="Calibri Light"/>
          <w:sz w:val="20"/>
        </w:rPr>
      </w:pPr>
      <w:r>
        <w:rPr>
          <w:rFonts w:ascii="Calibri Light"/>
          <w:sz w:val="20"/>
        </w:rPr>
        <w:t>Heather,</w:t>
      </w:r>
      <w:r>
        <w:rPr>
          <w:rFonts w:ascii="Calibri Light"/>
          <w:spacing w:val="-7"/>
          <w:sz w:val="20"/>
        </w:rPr>
        <w:t xml:space="preserve"> </w:t>
      </w:r>
      <w:r>
        <w:rPr>
          <w:rFonts w:ascii="Calibri Light"/>
          <w:sz w:val="20"/>
        </w:rPr>
        <w:t>N.,</w:t>
      </w:r>
      <w:r>
        <w:rPr>
          <w:rFonts w:ascii="Calibri Light"/>
          <w:spacing w:val="-7"/>
          <w:sz w:val="20"/>
        </w:rPr>
        <w:t xml:space="preserve"> </w:t>
      </w:r>
      <w:r>
        <w:rPr>
          <w:rFonts w:ascii="Calibri Light"/>
          <w:sz w:val="20"/>
        </w:rPr>
        <w:t>&amp;</w:t>
      </w:r>
      <w:r>
        <w:rPr>
          <w:rFonts w:ascii="Calibri Light"/>
          <w:spacing w:val="-5"/>
          <w:sz w:val="20"/>
        </w:rPr>
        <w:t xml:space="preserve"> </w:t>
      </w:r>
      <w:r>
        <w:rPr>
          <w:rFonts w:ascii="Calibri Light"/>
          <w:sz w:val="20"/>
        </w:rPr>
        <w:t>Honekopp,</w:t>
      </w:r>
      <w:r>
        <w:rPr>
          <w:rFonts w:ascii="Calibri Light"/>
          <w:spacing w:val="-7"/>
          <w:sz w:val="20"/>
        </w:rPr>
        <w:t xml:space="preserve"> </w:t>
      </w:r>
      <w:r>
        <w:rPr>
          <w:rFonts w:ascii="Calibri Light"/>
          <w:sz w:val="20"/>
        </w:rPr>
        <w:t>J.</w:t>
      </w:r>
      <w:r>
        <w:rPr>
          <w:rFonts w:ascii="Calibri Light"/>
          <w:spacing w:val="-6"/>
          <w:sz w:val="20"/>
        </w:rPr>
        <w:t xml:space="preserve"> </w:t>
      </w:r>
      <w:r>
        <w:rPr>
          <w:rFonts w:ascii="Calibri Light"/>
          <w:sz w:val="20"/>
        </w:rPr>
        <w:t>(2008).</w:t>
      </w:r>
      <w:r>
        <w:rPr>
          <w:rFonts w:ascii="Calibri Light"/>
          <w:spacing w:val="-7"/>
          <w:sz w:val="20"/>
        </w:rPr>
        <w:t xml:space="preserve"> </w:t>
      </w:r>
      <w:r>
        <w:rPr>
          <w:rFonts w:ascii="Calibri Light"/>
          <w:sz w:val="20"/>
        </w:rPr>
        <w:t>A</w:t>
      </w:r>
      <w:r>
        <w:rPr>
          <w:rFonts w:ascii="Calibri Light"/>
          <w:spacing w:val="-6"/>
          <w:sz w:val="20"/>
        </w:rPr>
        <w:t xml:space="preserve"> </w:t>
      </w:r>
      <w:r>
        <w:rPr>
          <w:rFonts w:ascii="Calibri Light"/>
          <w:sz w:val="20"/>
        </w:rPr>
        <w:t>revised</w:t>
      </w:r>
      <w:r>
        <w:rPr>
          <w:rFonts w:ascii="Calibri Light"/>
          <w:spacing w:val="-6"/>
          <w:sz w:val="20"/>
        </w:rPr>
        <w:t xml:space="preserve"> </w:t>
      </w:r>
      <w:r>
        <w:rPr>
          <w:rFonts w:ascii="Calibri Light"/>
          <w:sz w:val="20"/>
        </w:rPr>
        <w:t>edition</w:t>
      </w:r>
      <w:r>
        <w:rPr>
          <w:rFonts w:ascii="Calibri Light"/>
          <w:spacing w:val="-6"/>
          <w:sz w:val="20"/>
        </w:rPr>
        <w:t xml:space="preserve"> </w:t>
      </w:r>
      <w:r>
        <w:rPr>
          <w:rFonts w:ascii="Calibri Light"/>
          <w:sz w:val="20"/>
        </w:rPr>
        <w:t>of</w:t>
      </w:r>
      <w:r>
        <w:rPr>
          <w:rFonts w:ascii="Calibri Light"/>
          <w:spacing w:val="-6"/>
          <w:sz w:val="20"/>
        </w:rPr>
        <w:t xml:space="preserve"> </w:t>
      </w:r>
      <w:r>
        <w:rPr>
          <w:rFonts w:ascii="Calibri Light"/>
          <w:sz w:val="20"/>
        </w:rPr>
        <w:t>the</w:t>
      </w:r>
      <w:r>
        <w:rPr>
          <w:rFonts w:ascii="Calibri Light"/>
          <w:spacing w:val="-6"/>
          <w:sz w:val="20"/>
        </w:rPr>
        <w:t xml:space="preserve"> </w:t>
      </w:r>
      <w:r>
        <w:rPr>
          <w:rFonts w:ascii="Calibri Light"/>
          <w:sz w:val="20"/>
        </w:rPr>
        <w:t>readiness</w:t>
      </w:r>
      <w:r>
        <w:rPr>
          <w:rFonts w:ascii="Calibri Light"/>
          <w:spacing w:val="-6"/>
          <w:sz w:val="20"/>
        </w:rPr>
        <w:t xml:space="preserve"> </w:t>
      </w:r>
      <w:r>
        <w:rPr>
          <w:rFonts w:ascii="Calibri Light"/>
          <w:sz w:val="20"/>
        </w:rPr>
        <w:t>to</w:t>
      </w:r>
      <w:r>
        <w:rPr>
          <w:rFonts w:ascii="Calibri Light"/>
          <w:spacing w:val="-6"/>
          <w:sz w:val="20"/>
        </w:rPr>
        <w:t xml:space="preserve"> </w:t>
      </w:r>
      <w:r>
        <w:rPr>
          <w:rFonts w:ascii="Calibri Light"/>
          <w:sz w:val="20"/>
        </w:rPr>
        <w:t>change</w:t>
      </w:r>
      <w:r>
        <w:rPr>
          <w:rFonts w:ascii="Calibri Light"/>
          <w:spacing w:val="-6"/>
          <w:sz w:val="20"/>
        </w:rPr>
        <w:t xml:space="preserve"> </w:t>
      </w:r>
      <w:r>
        <w:rPr>
          <w:rFonts w:ascii="Calibri Light"/>
          <w:sz w:val="20"/>
        </w:rPr>
        <w:t>questionnaire</w:t>
      </w:r>
      <w:r>
        <w:rPr>
          <w:rFonts w:ascii="Calibri Light"/>
          <w:spacing w:val="-6"/>
          <w:sz w:val="20"/>
        </w:rPr>
        <w:t xml:space="preserve"> </w:t>
      </w:r>
      <w:r>
        <w:rPr>
          <w:rFonts w:ascii="Calibri Light"/>
          <w:sz w:val="20"/>
        </w:rPr>
        <w:t>(treatment</w:t>
      </w:r>
      <w:r>
        <w:rPr>
          <w:rFonts w:ascii="Calibri Light"/>
          <w:spacing w:val="-7"/>
          <w:sz w:val="20"/>
        </w:rPr>
        <w:t xml:space="preserve"> </w:t>
      </w:r>
      <w:r>
        <w:rPr>
          <w:rFonts w:ascii="Calibri Light"/>
          <w:spacing w:val="-2"/>
          <w:sz w:val="20"/>
        </w:rPr>
        <w:t>version).</w:t>
      </w:r>
    </w:p>
    <w:p w14:paraId="4B806B4F" w14:textId="77777777" w:rsidR="00DB6E1F" w:rsidRDefault="00F666A6">
      <w:pPr>
        <w:spacing w:before="14"/>
        <w:ind w:left="1620"/>
        <w:jc w:val="both"/>
        <w:rPr>
          <w:rFonts w:ascii="Calibri Light" w:hAnsi="Calibri Light"/>
          <w:sz w:val="20"/>
        </w:rPr>
      </w:pPr>
      <w:r>
        <w:rPr>
          <w:rFonts w:ascii="Calibri Light" w:hAnsi="Calibri Light"/>
          <w:i/>
          <w:sz w:val="20"/>
        </w:rPr>
        <w:t>Addiction</w:t>
      </w:r>
      <w:r>
        <w:rPr>
          <w:rFonts w:ascii="Calibri Light" w:hAnsi="Calibri Light"/>
          <w:i/>
          <w:spacing w:val="-7"/>
          <w:sz w:val="20"/>
        </w:rPr>
        <w:t xml:space="preserve"> </w:t>
      </w:r>
      <w:r>
        <w:rPr>
          <w:rFonts w:ascii="Calibri Light" w:hAnsi="Calibri Light"/>
          <w:i/>
          <w:sz w:val="20"/>
        </w:rPr>
        <w:t>Research</w:t>
      </w:r>
      <w:r>
        <w:rPr>
          <w:rFonts w:ascii="Calibri Light" w:hAnsi="Calibri Light"/>
          <w:i/>
          <w:spacing w:val="-7"/>
          <w:sz w:val="20"/>
        </w:rPr>
        <w:t xml:space="preserve"> </w:t>
      </w:r>
      <w:r>
        <w:rPr>
          <w:rFonts w:ascii="Calibri Light" w:hAnsi="Calibri Light"/>
          <w:i/>
          <w:sz w:val="20"/>
        </w:rPr>
        <w:t>and</w:t>
      </w:r>
      <w:r>
        <w:rPr>
          <w:rFonts w:ascii="Calibri Light" w:hAnsi="Calibri Light"/>
          <w:i/>
          <w:spacing w:val="-7"/>
          <w:sz w:val="20"/>
        </w:rPr>
        <w:t xml:space="preserve"> </w:t>
      </w:r>
      <w:r>
        <w:rPr>
          <w:rFonts w:ascii="Calibri Light" w:hAnsi="Calibri Light"/>
          <w:i/>
          <w:sz w:val="20"/>
        </w:rPr>
        <w:t>Theory,</w:t>
      </w:r>
      <w:r>
        <w:rPr>
          <w:rFonts w:ascii="Calibri Light" w:hAnsi="Calibri Light"/>
          <w:i/>
          <w:spacing w:val="-7"/>
          <w:sz w:val="20"/>
        </w:rPr>
        <w:t xml:space="preserve"> </w:t>
      </w:r>
      <w:r>
        <w:rPr>
          <w:rFonts w:ascii="Calibri Light" w:hAnsi="Calibri Light"/>
          <w:i/>
          <w:sz w:val="20"/>
        </w:rPr>
        <w:t>16</w:t>
      </w:r>
      <w:r>
        <w:rPr>
          <w:rFonts w:ascii="Calibri Light" w:hAnsi="Calibri Light"/>
          <w:sz w:val="20"/>
        </w:rPr>
        <w:t>(5),</w:t>
      </w:r>
      <w:r>
        <w:rPr>
          <w:rFonts w:ascii="Calibri Light" w:hAnsi="Calibri Light"/>
          <w:spacing w:val="-8"/>
          <w:sz w:val="20"/>
        </w:rPr>
        <w:t xml:space="preserve"> </w:t>
      </w:r>
      <w:r>
        <w:rPr>
          <w:rFonts w:ascii="Calibri Light" w:hAnsi="Calibri Light"/>
          <w:spacing w:val="-2"/>
          <w:sz w:val="20"/>
        </w:rPr>
        <w:t>421–433.</w:t>
      </w:r>
    </w:p>
    <w:p w14:paraId="18A18F77" w14:textId="77777777" w:rsidR="00DB6E1F" w:rsidRDefault="00F666A6">
      <w:pPr>
        <w:spacing w:before="20" w:line="256" w:lineRule="auto"/>
        <w:ind w:left="1619" w:right="1687" w:hanging="180"/>
        <w:jc w:val="both"/>
        <w:rPr>
          <w:rFonts w:ascii="Calibri Light" w:hAnsi="Calibri Light"/>
          <w:sz w:val="20"/>
        </w:rPr>
      </w:pPr>
      <w:r>
        <w:rPr>
          <w:rFonts w:ascii="Calibri Light" w:hAnsi="Calibri Light"/>
          <w:sz w:val="20"/>
        </w:rPr>
        <w:t>Heather,</w:t>
      </w:r>
      <w:r>
        <w:rPr>
          <w:rFonts w:ascii="Calibri Light" w:hAnsi="Calibri Light"/>
          <w:spacing w:val="-4"/>
          <w:sz w:val="20"/>
        </w:rPr>
        <w:t xml:space="preserve"> </w:t>
      </w:r>
      <w:r>
        <w:rPr>
          <w:rFonts w:ascii="Calibri Light" w:hAnsi="Calibri Light"/>
          <w:sz w:val="20"/>
        </w:rPr>
        <w:t>N.,</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McCambridge,</w:t>
      </w:r>
      <w:r>
        <w:rPr>
          <w:rFonts w:ascii="Calibri Light" w:hAnsi="Calibri Light"/>
          <w:spacing w:val="-2"/>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(2013).</w:t>
      </w:r>
      <w:r>
        <w:rPr>
          <w:rFonts w:ascii="Calibri Light" w:hAnsi="Calibri Light"/>
          <w:spacing w:val="-2"/>
          <w:sz w:val="20"/>
        </w:rPr>
        <w:t xml:space="preserve"> </w:t>
      </w:r>
      <w:r>
        <w:rPr>
          <w:rFonts w:ascii="Calibri Light" w:hAnsi="Calibri Light"/>
          <w:sz w:val="20"/>
        </w:rPr>
        <w:t>Post-treatment</w:t>
      </w:r>
      <w:r>
        <w:rPr>
          <w:rFonts w:ascii="Calibri Light" w:hAnsi="Calibri Light"/>
          <w:spacing w:val="-4"/>
          <w:sz w:val="20"/>
        </w:rPr>
        <w:t xml:space="preserve"> </w:t>
      </w:r>
      <w:r>
        <w:rPr>
          <w:rFonts w:ascii="Calibri Light" w:hAnsi="Calibri Light"/>
          <w:sz w:val="20"/>
        </w:rPr>
        <w:t>stage</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change</w:t>
      </w:r>
      <w:r>
        <w:rPr>
          <w:rFonts w:ascii="Calibri Light" w:hAnsi="Calibri Light"/>
          <w:spacing w:val="-3"/>
          <w:sz w:val="20"/>
        </w:rPr>
        <w:t xml:space="preserve"> </w:t>
      </w:r>
      <w:r>
        <w:rPr>
          <w:rFonts w:ascii="Calibri Light" w:hAnsi="Calibri Light"/>
          <w:sz w:val="20"/>
        </w:rPr>
        <w:t>predicts</w:t>
      </w:r>
      <w:r>
        <w:rPr>
          <w:rFonts w:ascii="Calibri Light" w:hAnsi="Calibri Light"/>
          <w:spacing w:val="-3"/>
          <w:sz w:val="20"/>
        </w:rPr>
        <w:t xml:space="preserve"> </w:t>
      </w:r>
      <w:r>
        <w:rPr>
          <w:rFonts w:ascii="Calibri Light" w:hAnsi="Calibri Light"/>
          <w:sz w:val="20"/>
        </w:rPr>
        <w:t>12-month</w:t>
      </w:r>
      <w:r>
        <w:rPr>
          <w:rFonts w:ascii="Calibri Light" w:hAnsi="Calibri Light"/>
          <w:spacing w:val="-3"/>
          <w:sz w:val="20"/>
        </w:rPr>
        <w:t xml:space="preserve"> </w:t>
      </w:r>
      <w:r>
        <w:rPr>
          <w:rFonts w:ascii="Calibri Light" w:hAnsi="Calibri Light"/>
          <w:sz w:val="20"/>
        </w:rPr>
        <w:t>outcome</w:t>
      </w:r>
      <w:r>
        <w:rPr>
          <w:rFonts w:ascii="Calibri Light" w:hAnsi="Calibri Light"/>
          <w:spacing w:val="-2"/>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 xml:space="preserve">treatment for alcohol problems. </w:t>
      </w:r>
      <w:r>
        <w:rPr>
          <w:rFonts w:ascii="Calibri Light" w:hAnsi="Calibri Light"/>
          <w:i/>
          <w:sz w:val="20"/>
        </w:rPr>
        <w:t>Alcohol and Alcoholism, 48</w:t>
      </w:r>
      <w:r>
        <w:rPr>
          <w:rFonts w:ascii="Calibri Light" w:hAnsi="Calibri Light"/>
          <w:sz w:val="20"/>
        </w:rPr>
        <w:t>(3), 329–336. doi:10.1093/alcalc/agt006</w:t>
      </w:r>
    </w:p>
    <w:p w14:paraId="090992F0" w14:textId="77777777" w:rsidR="00DB6E1F" w:rsidRDefault="00DB6E1F">
      <w:pPr>
        <w:spacing w:line="256" w:lineRule="auto"/>
        <w:jc w:val="both"/>
        <w:rPr>
          <w:rFonts w:ascii="Calibri Light" w:hAnsi="Calibri Light"/>
          <w:sz w:val="20"/>
        </w:rPr>
        <w:sectPr w:rsidR="00DB6E1F">
          <w:pgSz w:w="12240" w:h="15840"/>
          <w:pgMar w:top="1080" w:right="0" w:bottom="780" w:left="0" w:header="619" w:footer="585" w:gutter="0"/>
          <w:cols w:space="720"/>
        </w:sectPr>
      </w:pPr>
    </w:p>
    <w:p w14:paraId="4F56B856" w14:textId="77777777" w:rsidR="00DB6E1F" w:rsidRDefault="00DB6E1F">
      <w:pPr>
        <w:pStyle w:val="BodyText"/>
        <w:spacing w:before="4"/>
        <w:rPr>
          <w:rFonts w:ascii="Calibri Light"/>
          <w:sz w:val="24"/>
        </w:rPr>
      </w:pPr>
    </w:p>
    <w:p w14:paraId="4CEA8918" w14:textId="77777777" w:rsidR="00DB6E1F" w:rsidRDefault="00F666A6">
      <w:pPr>
        <w:spacing w:before="60" w:line="259" w:lineRule="auto"/>
        <w:ind w:left="1620" w:right="1444" w:hanging="181"/>
        <w:rPr>
          <w:rFonts w:ascii="Calibri Light" w:hAnsi="Calibri Light"/>
          <w:sz w:val="20"/>
        </w:rPr>
      </w:pPr>
      <w:r>
        <w:rPr>
          <w:rFonts w:ascii="Calibri Light" w:hAnsi="Calibri Light"/>
          <w:sz w:val="20"/>
        </w:rPr>
        <w:t>Hennessy,</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Recovery</w:t>
      </w:r>
      <w:r>
        <w:rPr>
          <w:rFonts w:ascii="Calibri Light" w:hAnsi="Calibri Light"/>
          <w:spacing w:val="-2"/>
          <w:sz w:val="20"/>
        </w:rPr>
        <w:t xml:space="preserve"> </w:t>
      </w:r>
      <w:r>
        <w:rPr>
          <w:rFonts w:ascii="Calibri Light" w:hAnsi="Calibri Light"/>
          <w:sz w:val="20"/>
        </w:rPr>
        <w:t>capital:</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systematic</w:t>
      </w:r>
      <w:r>
        <w:rPr>
          <w:rFonts w:ascii="Calibri Light" w:hAnsi="Calibri Light"/>
          <w:spacing w:val="-3"/>
          <w:sz w:val="20"/>
        </w:rPr>
        <w:t xml:space="preserve"> </w:t>
      </w:r>
      <w:r>
        <w:rPr>
          <w:rFonts w:ascii="Calibri Light" w:hAnsi="Calibri Light"/>
          <w:sz w:val="20"/>
        </w:rPr>
        <w:t>review</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literature.</w:t>
      </w:r>
      <w:r>
        <w:rPr>
          <w:rFonts w:ascii="Calibri Light" w:hAnsi="Calibri Light"/>
          <w:spacing w:val="-3"/>
          <w:sz w:val="20"/>
        </w:rPr>
        <w:t xml:space="preserve"> </w:t>
      </w:r>
      <w:r>
        <w:rPr>
          <w:rFonts w:ascii="Calibri Light" w:hAnsi="Calibri Light"/>
          <w:i/>
          <w:sz w:val="20"/>
        </w:rPr>
        <w:t>Addiction</w:t>
      </w:r>
      <w:r>
        <w:rPr>
          <w:rFonts w:ascii="Calibri Light" w:hAnsi="Calibri Light"/>
          <w:i/>
          <w:spacing w:val="-1"/>
          <w:sz w:val="20"/>
        </w:rPr>
        <w:t xml:space="preserve"> </w:t>
      </w:r>
      <w:r>
        <w:rPr>
          <w:rFonts w:ascii="Calibri Light" w:hAnsi="Calibri Light"/>
          <w:i/>
          <w:sz w:val="20"/>
        </w:rPr>
        <w:t>Research</w:t>
      </w:r>
      <w:r>
        <w:rPr>
          <w:rFonts w:ascii="Calibri Light" w:hAnsi="Calibri Light"/>
          <w:i/>
          <w:spacing w:val="-3"/>
          <w:sz w:val="20"/>
        </w:rPr>
        <w:t xml:space="preserve"> </w:t>
      </w:r>
      <w:r>
        <w:rPr>
          <w:rFonts w:ascii="Calibri Light" w:hAnsi="Calibri Light"/>
          <w:i/>
          <w:sz w:val="20"/>
        </w:rPr>
        <w:t>and</w:t>
      </w:r>
      <w:r>
        <w:rPr>
          <w:rFonts w:ascii="Calibri Light" w:hAnsi="Calibri Light"/>
          <w:i/>
          <w:spacing w:val="-3"/>
          <w:sz w:val="20"/>
        </w:rPr>
        <w:t xml:space="preserve"> </w:t>
      </w:r>
      <w:r>
        <w:rPr>
          <w:rFonts w:ascii="Calibri Light" w:hAnsi="Calibri Light"/>
          <w:i/>
          <w:sz w:val="20"/>
        </w:rPr>
        <w:t>Theory,</w:t>
      </w:r>
      <w:r>
        <w:rPr>
          <w:rFonts w:ascii="Calibri Light" w:hAnsi="Calibri Light"/>
          <w:i/>
          <w:spacing w:val="-3"/>
          <w:sz w:val="20"/>
        </w:rPr>
        <w:t xml:space="preserve"> </w:t>
      </w:r>
      <w:r>
        <w:rPr>
          <w:rFonts w:ascii="Calibri Light" w:hAnsi="Calibri Light"/>
          <w:i/>
          <w:sz w:val="20"/>
        </w:rPr>
        <w:t>25</w:t>
      </w:r>
      <w:r>
        <w:rPr>
          <w:rFonts w:ascii="Calibri Light" w:hAnsi="Calibri Light"/>
          <w:sz w:val="20"/>
        </w:rPr>
        <w:t>(5), 349–360. doi:10.1080/16066359.2017.1297990</w:t>
      </w:r>
    </w:p>
    <w:p w14:paraId="5C9A2CFE" w14:textId="77777777" w:rsidR="00DB6E1F" w:rsidRDefault="00F666A6">
      <w:pPr>
        <w:spacing w:line="259" w:lineRule="auto"/>
        <w:ind w:left="1619" w:right="1491" w:hanging="180"/>
        <w:rPr>
          <w:rFonts w:ascii="Calibri Light" w:hAnsi="Calibri Light"/>
          <w:sz w:val="20"/>
        </w:rPr>
      </w:pPr>
      <w:r>
        <w:rPr>
          <w:rFonts w:ascii="Calibri Light" w:hAnsi="Calibri Light"/>
          <w:sz w:val="20"/>
        </w:rPr>
        <w:t>Hennessy,</w:t>
      </w:r>
      <w:r>
        <w:rPr>
          <w:rFonts w:ascii="Calibri Light" w:hAnsi="Calibri Light"/>
          <w:spacing w:val="-4"/>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Tanner-Smith,</w:t>
      </w:r>
      <w:r>
        <w:rPr>
          <w:rFonts w:ascii="Calibri Light" w:hAnsi="Calibri Light"/>
          <w:spacing w:val="-1"/>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Steinka-Fry,</w:t>
      </w:r>
      <w:r>
        <w:rPr>
          <w:rFonts w:ascii="Calibri Light" w:hAnsi="Calibri Light"/>
          <w:spacing w:val="-4"/>
          <w:sz w:val="20"/>
        </w:rPr>
        <w:t xml:space="preserve"> </w:t>
      </w:r>
      <w:r>
        <w:rPr>
          <w:rFonts w:ascii="Calibri Light" w:hAnsi="Calibri Light"/>
          <w:sz w:val="20"/>
        </w:rPr>
        <w:t>K.</w:t>
      </w:r>
      <w:r>
        <w:rPr>
          <w:rFonts w:ascii="Calibri Light" w:hAnsi="Calibri Light"/>
          <w:spacing w:val="-4"/>
          <w:sz w:val="20"/>
        </w:rPr>
        <w:t xml:space="preserve"> </w:t>
      </w:r>
      <w:r>
        <w:rPr>
          <w:rFonts w:ascii="Calibri Light" w:hAnsi="Calibri Light"/>
          <w:sz w:val="20"/>
        </w:rPr>
        <w:t>T.</w:t>
      </w:r>
      <w:r>
        <w:rPr>
          <w:rFonts w:ascii="Calibri Light" w:hAnsi="Calibri Light"/>
          <w:spacing w:val="-4"/>
          <w:sz w:val="20"/>
        </w:rPr>
        <w:t xml:space="preserve"> </w:t>
      </w:r>
      <w:r>
        <w:rPr>
          <w:rFonts w:ascii="Calibri Light" w:hAnsi="Calibri Light"/>
          <w:sz w:val="20"/>
        </w:rPr>
        <w:t>(2015).</w:t>
      </w:r>
      <w:r>
        <w:rPr>
          <w:rFonts w:ascii="Calibri Light" w:hAnsi="Calibri Light"/>
          <w:spacing w:val="-4"/>
          <w:sz w:val="20"/>
        </w:rPr>
        <w:t xml:space="preserve"> </w:t>
      </w:r>
      <w:r>
        <w:rPr>
          <w:rFonts w:ascii="Calibri Light" w:hAnsi="Calibri Light"/>
          <w:sz w:val="20"/>
        </w:rPr>
        <w:t>Do</w:t>
      </w:r>
      <w:r>
        <w:rPr>
          <w:rFonts w:ascii="Calibri Light" w:hAnsi="Calibri Light"/>
          <w:spacing w:val="-1"/>
          <w:sz w:val="20"/>
        </w:rPr>
        <w:t xml:space="preserve"> </w:t>
      </w:r>
      <w:r>
        <w:rPr>
          <w:rFonts w:ascii="Calibri Light" w:hAnsi="Calibri Light"/>
          <w:sz w:val="20"/>
        </w:rPr>
        <w:t>brief</w:t>
      </w:r>
      <w:r>
        <w:rPr>
          <w:rFonts w:ascii="Calibri Light" w:hAnsi="Calibri Light"/>
          <w:spacing w:val="-3"/>
          <w:sz w:val="20"/>
        </w:rPr>
        <w:t xml:space="preserve"> </w:t>
      </w:r>
      <w:r>
        <w:rPr>
          <w:rFonts w:ascii="Calibri Light" w:hAnsi="Calibri Light"/>
          <w:sz w:val="20"/>
        </w:rPr>
        <w:t>alcohol</w:t>
      </w:r>
      <w:r>
        <w:rPr>
          <w:rFonts w:ascii="Calibri Light" w:hAnsi="Calibri Light"/>
          <w:spacing w:val="-1"/>
          <w:sz w:val="20"/>
        </w:rPr>
        <w:t xml:space="preserve"> </w:t>
      </w:r>
      <w:r>
        <w:rPr>
          <w:rFonts w:ascii="Calibri Light" w:hAnsi="Calibri Light"/>
          <w:sz w:val="20"/>
        </w:rPr>
        <w:t>interventions</w:t>
      </w:r>
      <w:r>
        <w:rPr>
          <w:rFonts w:ascii="Calibri Light" w:hAnsi="Calibri Light"/>
          <w:spacing w:val="-3"/>
          <w:sz w:val="20"/>
        </w:rPr>
        <w:t xml:space="preserve"> </w:t>
      </w:r>
      <w:r>
        <w:rPr>
          <w:rFonts w:ascii="Calibri Light" w:hAnsi="Calibri Light"/>
          <w:sz w:val="20"/>
        </w:rPr>
        <w:t>reduce</w:t>
      </w:r>
      <w:r>
        <w:rPr>
          <w:rFonts w:ascii="Calibri Light" w:hAnsi="Calibri Light"/>
          <w:spacing w:val="-3"/>
          <w:sz w:val="20"/>
        </w:rPr>
        <w:t xml:space="preserve"> </w:t>
      </w:r>
      <w:r>
        <w:rPr>
          <w:rFonts w:ascii="Calibri Light" w:hAnsi="Calibri Light"/>
          <w:sz w:val="20"/>
        </w:rPr>
        <w:t>tobacco</w:t>
      </w:r>
      <w:r>
        <w:rPr>
          <w:rFonts w:ascii="Calibri Light" w:hAnsi="Calibri Light"/>
          <w:spacing w:val="-4"/>
          <w:sz w:val="20"/>
        </w:rPr>
        <w:t xml:space="preserve"> </w:t>
      </w:r>
      <w:r>
        <w:rPr>
          <w:rFonts w:ascii="Calibri Light" w:hAnsi="Calibri Light"/>
          <w:sz w:val="20"/>
        </w:rPr>
        <w:t xml:space="preserve">use among adolescents and young adults? A systematic review and meta-analysis. </w:t>
      </w:r>
      <w:r>
        <w:rPr>
          <w:rFonts w:ascii="Calibri Light" w:hAnsi="Calibri Light"/>
          <w:i/>
          <w:sz w:val="20"/>
        </w:rPr>
        <w:t>Journal of Behavioral Medicine, 38</w:t>
      </w:r>
      <w:r>
        <w:rPr>
          <w:rFonts w:ascii="Calibri Light" w:hAnsi="Calibri Light"/>
          <w:sz w:val="20"/>
        </w:rPr>
        <w:t>(6), 899–911.</w:t>
      </w:r>
    </w:p>
    <w:p w14:paraId="21BCECDC" w14:textId="77777777" w:rsidR="00DB6E1F" w:rsidRDefault="00F666A6">
      <w:pPr>
        <w:spacing w:line="259" w:lineRule="auto"/>
        <w:ind w:left="1619" w:right="1491" w:hanging="180"/>
        <w:rPr>
          <w:rFonts w:ascii="Calibri Light" w:hAnsi="Calibri Light"/>
          <w:sz w:val="20"/>
        </w:rPr>
      </w:pPr>
      <w:r>
        <w:rPr>
          <w:rFonts w:ascii="Calibri Light" w:hAnsi="Calibri Light"/>
          <w:sz w:val="20"/>
        </w:rPr>
        <w:t>Hester,</w:t>
      </w:r>
      <w:r>
        <w:rPr>
          <w:rFonts w:ascii="Calibri Light" w:hAnsi="Calibri Light"/>
          <w:spacing w:val="-4"/>
          <w:sz w:val="20"/>
        </w:rPr>
        <w:t xml:space="preserve"> </w:t>
      </w:r>
      <w:r>
        <w:rPr>
          <w:rFonts w:ascii="Calibri Light" w:hAnsi="Calibri Light"/>
          <w:sz w:val="20"/>
        </w:rPr>
        <w:t>R.</w:t>
      </w:r>
      <w:r>
        <w:rPr>
          <w:rFonts w:ascii="Calibri Light" w:hAnsi="Calibri Light"/>
          <w:spacing w:val="-4"/>
          <w:sz w:val="20"/>
        </w:rPr>
        <w:t xml:space="preserve"> </w:t>
      </w:r>
      <w:r>
        <w:rPr>
          <w:rFonts w:ascii="Calibri Light" w:hAnsi="Calibri Light"/>
          <w:sz w:val="20"/>
        </w:rPr>
        <w:t>K.,</w:t>
      </w:r>
      <w:r>
        <w:rPr>
          <w:rFonts w:ascii="Calibri Light" w:hAnsi="Calibri Light"/>
          <w:spacing w:val="-4"/>
          <w:sz w:val="20"/>
        </w:rPr>
        <w:t xml:space="preserve"> </w:t>
      </w:r>
      <w:r>
        <w:rPr>
          <w:rFonts w:ascii="Calibri Light" w:hAnsi="Calibri Light"/>
          <w:sz w:val="20"/>
        </w:rPr>
        <w:t>Delaney,</w:t>
      </w:r>
      <w:r>
        <w:rPr>
          <w:rFonts w:ascii="Calibri Light" w:hAnsi="Calibri Light"/>
          <w:spacing w:val="-4"/>
          <w:sz w:val="20"/>
        </w:rPr>
        <w:t xml:space="preserve"> </w:t>
      </w:r>
      <w:r>
        <w:rPr>
          <w:rFonts w:ascii="Calibri Light" w:hAnsi="Calibri Light"/>
          <w:sz w:val="20"/>
        </w:rPr>
        <w:t>H.</w:t>
      </w:r>
      <w:r>
        <w:rPr>
          <w:rFonts w:ascii="Calibri Light" w:hAnsi="Calibri Light"/>
          <w:spacing w:val="-4"/>
          <w:sz w:val="20"/>
        </w:rPr>
        <w:t xml:space="preserve"> </w:t>
      </w:r>
      <w:r>
        <w:rPr>
          <w:rFonts w:ascii="Calibri Light" w:hAnsi="Calibri Light"/>
          <w:sz w:val="20"/>
        </w:rPr>
        <w:t>D.,</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Campbell,</w:t>
      </w:r>
      <w:r>
        <w:rPr>
          <w:rFonts w:ascii="Calibri Light" w:hAnsi="Calibri Light"/>
          <w:spacing w:val="-4"/>
          <w:sz w:val="20"/>
        </w:rPr>
        <w:t xml:space="preserve"> </w:t>
      </w:r>
      <w:r>
        <w:rPr>
          <w:rFonts w:ascii="Calibri Light" w:hAnsi="Calibri Light"/>
          <w:sz w:val="20"/>
        </w:rPr>
        <w:t>W.</w:t>
      </w:r>
      <w:r>
        <w:rPr>
          <w:rFonts w:ascii="Calibri Light" w:hAnsi="Calibri Light"/>
          <w:spacing w:val="-4"/>
          <w:sz w:val="20"/>
        </w:rPr>
        <w:t xml:space="preserve"> </w:t>
      </w:r>
      <w:r>
        <w:rPr>
          <w:rFonts w:ascii="Calibri Light" w:hAnsi="Calibri Light"/>
          <w:sz w:val="20"/>
        </w:rPr>
        <w:t>(2012).</w:t>
      </w:r>
      <w:r>
        <w:rPr>
          <w:rFonts w:ascii="Calibri Light" w:hAnsi="Calibri Light"/>
          <w:spacing w:val="-4"/>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college</w:t>
      </w:r>
      <w:r>
        <w:rPr>
          <w:rFonts w:ascii="Calibri Light" w:hAnsi="Calibri Light"/>
          <w:spacing w:val="-3"/>
          <w:sz w:val="20"/>
        </w:rPr>
        <w:t xml:space="preserve"> </w:t>
      </w:r>
      <w:r>
        <w:rPr>
          <w:rFonts w:ascii="Calibri Light" w:hAnsi="Calibri Light"/>
          <w:sz w:val="20"/>
        </w:rPr>
        <w:t>drinker’s</w:t>
      </w:r>
      <w:r>
        <w:rPr>
          <w:rFonts w:ascii="Calibri Light" w:hAnsi="Calibri Light"/>
          <w:spacing w:val="-1"/>
          <w:sz w:val="20"/>
        </w:rPr>
        <w:t xml:space="preserve"> </w:t>
      </w:r>
      <w:r>
        <w:rPr>
          <w:rFonts w:ascii="Calibri Light" w:hAnsi="Calibri Light"/>
          <w:sz w:val="20"/>
        </w:rPr>
        <w:t>check-up: Outcomes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two</w:t>
      </w:r>
      <w:r>
        <w:rPr>
          <w:rFonts w:ascii="Calibri Light" w:hAnsi="Calibri Light"/>
          <w:spacing w:val="-4"/>
          <w:sz w:val="20"/>
        </w:rPr>
        <w:t xml:space="preserve"> </w:t>
      </w:r>
      <w:r>
        <w:rPr>
          <w:rFonts w:ascii="Calibri Light" w:hAnsi="Calibri Light"/>
          <w:sz w:val="20"/>
        </w:rPr>
        <w:t xml:space="preserve">randomized clinical trials </w:t>
      </w:r>
      <w:r>
        <w:rPr>
          <w:rFonts w:ascii="Calibri Light" w:hAnsi="Calibri Light"/>
          <w:sz w:val="20"/>
        </w:rPr>
        <w:t xml:space="preserve">of a computer-delivered intervention. </w:t>
      </w:r>
      <w:r>
        <w:rPr>
          <w:rFonts w:ascii="Calibri Light" w:hAnsi="Calibri Light"/>
          <w:i/>
          <w:sz w:val="20"/>
        </w:rPr>
        <w:t>Psychology of Addictive Behaviors</w:t>
      </w:r>
      <w:r>
        <w:rPr>
          <w:rFonts w:ascii="Calibri Light" w:hAnsi="Calibri Light"/>
          <w:sz w:val="20"/>
        </w:rPr>
        <w:t xml:space="preserve">, </w:t>
      </w:r>
      <w:r>
        <w:rPr>
          <w:rFonts w:ascii="Calibri Light" w:hAnsi="Calibri Light"/>
          <w:i/>
          <w:sz w:val="20"/>
        </w:rPr>
        <w:t>26</w:t>
      </w:r>
      <w:r>
        <w:rPr>
          <w:rFonts w:ascii="Calibri Light" w:hAnsi="Calibri Light"/>
          <w:sz w:val="20"/>
        </w:rPr>
        <w:t>(1), 1–12.</w:t>
      </w:r>
    </w:p>
    <w:p w14:paraId="67D76C91" w14:textId="77777777" w:rsidR="00DB6E1F" w:rsidRDefault="00F666A6">
      <w:pPr>
        <w:spacing w:line="259" w:lineRule="auto"/>
        <w:ind w:left="1619" w:right="1491" w:hanging="181"/>
        <w:rPr>
          <w:rFonts w:ascii="Calibri Light"/>
          <w:sz w:val="20"/>
        </w:rPr>
      </w:pPr>
      <w:r>
        <w:rPr>
          <w:rFonts w:ascii="Calibri Light"/>
          <w:sz w:val="20"/>
        </w:rPr>
        <w:t>Hingson,</w:t>
      </w:r>
      <w:r>
        <w:rPr>
          <w:rFonts w:ascii="Calibri Light"/>
          <w:spacing w:val="-3"/>
          <w:sz w:val="20"/>
        </w:rPr>
        <w:t xml:space="preserve"> </w:t>
      </w:r>
      <w:r>
        <w:rPr>
          <w:rFonts w:ascii="Calibri Light"/>
          <w:sz w:val="20"/>
        </w:rPr>
        <w:t>R.,</w:t>
      </w:r>
      <w:r>
        <w:rPr>
          <w:rFonts w:ascii="Calibri Light"/>
          <w:spacing w:val="-3"/>
          <w:sz w:val="20"/>
        </w:rPr>
        <w:t xml:space="preserve"> </w:t>
      </w:r>
      <w:r>
        <w:rPr>
          <w:rFonts w:ascii="Calibri Light"/>
          <w:sz w:val="20"/>
        </w:rPr>
        <w:t>&amp;</w:t>
      </w:r>
      <w:r>
        <w:rPr>
          <w:rFonts w:ascii="Calibri Light"/>
          <w:spacing w:val="-1"/>
          <w:sz w:val="20"/>
        </w:rPr>
        <w:t xml:space="preserve"> </w:t>
      </w:r>
      <w:r>
        <w:rPr>
          <w:rFonts w:ascii="Calibri Light"/>
          <w:sz w:val="20"/>
        </w:rPr>
        <w:t>Compton,</w:t>
      </w:r>
      <w:r>
        <w:rPr>
          <w:rFonts w:ascii="Calibri Light"/>
          <w:spacing w:val="-3"/>
          <w:sz w:val="20"/>
        </w:rPr>
        <w:t xml:space="preserve"> </w:t>
      </w:r>
      <w:r>
        <w:rPr>
          <w:rFonts w:ascii="Calibri Light"/>
          <w:sz w:val="20"/>
        </w:rPr>
        <w:t>W.</w:t>
      </w:r>
      <w:r>
        <w:rPr>
          <w:rFonts w:ascii="Calibri Light"/>
          <w:spacing w:val="-3"/>
          <w:sz w:val="20"/>
        </w:rPr>
        <w:t xml:space="preserve"> </w:t>
      </w:r>
      <w:r>
        <w:rPr>
          <w:rFonts w:ascii="Calibri Light"/>
          <w:sz w:val="20"/>
        </w:rPr>
        <w:t>M.</w:t>
      </w:r>
      <w:r>
        <w:rPr>
          <w:rFonts w:ascii="Calibri Light"/>
          <w:spacing w:val="-3"/>
          <w:sz w:val="20"/>
        </w:rPr>
        <w:t xml:space="preserve"> </w:t>
      </w:r>
      <w:r>
        <w:rPr>
          <w:rFonts w:ascii="Calibri Light"/>
          <w:sz w:val="20"/>
        </w:rPr>
        <w:t>(2014).</w:t>
      </w:r>
      <w:r>
        <w:rPr>
          <w:rFonts w:ascii="Calibri Light"/>
          <w:spacing w:val="-3"/>
          <w:sz w:val="20"/>
        </w:rPr>
        <w:t xml:space="preserve"> </w:t>
      </w:r>
      <w:r>
        <w:rPr>
          <w:rFonts w:ascii="Calibri Light"/>
          <w:sz w:val="20"/>
        </w:rPr>
        <w:t>Screening</w:t>
      </w:r>
      <w:r>
        <w:rPr>
          <w:rFonts w:ascii="Calibri Light"/>
          <w:spacing w:val="-2"/>
          <w:sz w:val="20"/>
        </w:rPr>
        <w:t xml:space="preserve"> </w:t>
      </w:r>
      <w:r>
        <w:rPr>
          <w:rFonts w:ascii="Calibri Light"/>
          <w:sz w:val="20"/>
        </w:rPr>
        <w:t>and</w:t>
      </w:r>
      <w:r>
        <w:rPr>
          <w:rFonts w:ascii="Calibri Light"/>
          <w:spacing w:val="-2"/>
          <w:sz w:val="20"/>
        </w:rPr>
        <w:t xml:space="preserve"> </w:t>
      </w:r>
      <w:r>
        <w:rPr>
          <w:rFonts w:ascii="Calibri Light"/>
          <w:sz w:val="20"/>
        </w:rPr>
        <w:t>brief</w:t>
      </w:r>
      <w:r>
        <w:rPr>
          <w:rFonts w:ascii="Calibri Light"/>
          <w:spacing w:val="-2"/>
          <w:sz w:val="20"/>
        </w:rPr>
        <w:t xml:space="preserve"> </w:t>
      </w:r>
      <w:r>
        <w:rPr>
          <w:rFonts w:ascii="Calibri Light"/>
          <w:sz w:val="20"/>
        </w:rPr>
        <w:t>intervention</w:t>
      </w:r>
      <w:r>
        <w:rPr>
          <w:rFonts w:ascii="Calibri Light"/>
          <w:spacing w:val="-2"/>
          <w:sz w:val="20"/>
        </w:rPr>
        <w:t xml:space="preserve"> </w:t>
      </w:r>
      <w:r>
        <w:rPr>
          <w:rFonts w:ascii="Calibri Light"/>
          <w:sz w:val="20"/>
        </w:rPr>
        <w:t>and</w:t>
      </w:r>
      <w:r>
        <w:rPr>
          <w:rFonts w:ascii="Calibri Light"/>
          <w:spacing w:val="-2"/>
          <w:sz w:val="20"/>
        </w:rPr>
        <w:t xml:space="preserve"> </w:t>
      </w:r>
      <w:r>
        <w:rPr>
          <w:rFonts w:ascii="Calibri Light"/>
          <w:sz w:val="20"/>
        </w:rPr>
        <w:t>referral</w:t>
      </w:r>
      <w:r>
        <w:rPr>
          <w:rFonts w:ascii="Calibri Light"/>
          <w:spacing w:val="-3"/>
          <w:sz w:val="20"/>
        </w:rPr>
        <w:t xml:space="preserve"> </w:t>
      </w:r>
      <w:r>
        <w:rPr>
          <w:rFonts w:ascii="Calibri Light"/>
          <w:sz w:val="20"/>
        </w:rPr>
        <w:t>to</w:t>
      </w:r>
      <w:r>
        <w:rPr>
          <w:rFonts w:ascii="Calibri Light"/>
          <w:spacing w:val="-3"/>
          <w:sz w:val="20"/>
        </w:rPr>
        <w:t xml:space="preserve"> </w:t>
      </w:r>
      <w:r>
        <w:rPr>
          <w:rFonts w:ascii="Calibri Light"/>
          <w:sz w:val="20"/>
        </w:rPr>
        <w:t>treatment</w:t>
      </w:r>
      <w:r>
        <w:rPr>
          <w:rFonts w:ascii="Calibri Light"/>
          <w:spacing w:val="-3"/>
          <w:sz w:val="20"/>
        </w:rPr>
        <w:t xml:space="preserve"> </w:t>
      </w:r>
      <w:r>
        <w:rPr>
          <w:rFonts w:ascii="Calibri Light"/>
          <w:sz w:val="20"/>
        </w:rPr>
        <w:t>for</w:t>
      </w:r>
      <w:r>
        <w:rPr>
          <w:rFonts w:ascii="Calibri Light"/>
          <w:spacing w:val="-1"/>
          <w:sz w:val="20"/>
        </w:rPr>
        <w:t xml:space="preserve"> </w:t>
      </w:r>
      <w:r>
        <w:rPr>
          <w:rFonts w:ascii="Calibri Light"/>
          <w:sz w:val="20"/>
        </w:rPr>
        <w:t>drug</w:t>
      </w:r>
      <w:r>
        <w:rPr>
          <w:rFonts w:ascii="Calibri Light"/>
          <w:spacing w:val="-2"/>
          <w:sz w:val="20"/>
        </w:rPr>
        <w:t xml:space="preserve"> </w:t>
      </w:r>
      <w:r>
        <w:rPr>
          <w:rFonts w:ascii="Calibri Light"/>
          <w:sz w:val="20"/>
        </w:rPr>
        <w:t>use</w:t>
      </w:r>
      <w:r>
        <w:rPr>
          <w:rFonts w:ascii="Calibri Light"/>
          <w:spacing w:val="-2"/>
          <w:sz w:val="20"/>
        </w:rPr>
        <w:t xml:space="preserve"> </w:t>
      </w:r>
      <w:r>
        <w:rPr>
          <w:rFonts w:ascii="Calibri Light"/>
          <w:sz w:val="20"/>
        </w:rPr>
        <w:t xml:space="preserve">in primary care: Back to the drawing board. </w:t>
      </w:r>
      <w:r>
        <w:rPr>
          <w:rFonts w:ascii="Calibri Light"/>
          <w:i/>
          <w:sz w:val="20"/>
        </w:rPr>
        <w:t>JAMA, 312</w:t>
      </w:r>
      <w:r>
        <w:rPr>
          <w:rFonts w:ascii="Calibri Light"/>
          <w:sz w:val="20"/>
        </w:rPr>
        <w:t>(5), 488. doi:10.1001/jama.2014.7863</w:t>
      </w:r>
    </w:p>
    <w:p w14:paraId="4E6CDCCD" w14:textId="77777777" w:rsidR="00DB6E1F" w:rsidRDefault="00F666A6">
      <w:pPr>
        <w:spacing w:line="259" w:lineRule="auto"/>
        <w:ind w:left="1619" w:right="1491" w:hanging="180"/>
        <w:rPr>
          <w:rFonts w:ascii="Calibri Light" w:hAnsi="Calibri Light"/>
          <w:sz w:val="20"/>
        </w:rPr>
      </w:pPr>
      <w:r>
        <w:rPr>
          <w:rFonts w:ascii="Calibri Light" w:hAnsi="Calibri Light"/>
          <w:sz w:val="20"/>
        </w:rPr>
        <w:t>Holstad, M. M., Diiorio, C., Kelley, M. E., Resnicow, K., &amp; Sharma, S. (2010). Group motivational interviewing to promote</w:t>
      </w:r>
      <w:r>
        <w:rPr>
          <w:rFonts w:ascii="Calibri Light" w:hAnsi="Calibri Light"/>
          <w:spacing w:val="-2"/>
          <w:sz w:val="20"/>
        </w:rPr>
        <w:t xml:space="preserve"> </w:t>
      </w:r>
      <w:r>
        <w:rPr>
          <w:rFonts w:ascii="Calibri Light" w:hAnsi="Calibri Light"/>
          <w:sz w:val="20"/>
        </w:rPr>
        <w:t>adherence</w:t>
      </w:r>
      <w:r>
        <w:rPr>
          <w:rFonts w:ascii="Calibri Light" w:hAnsi="Calibri Light"/>
          <w:spacing w:val="-4"/>
          <w:sz w:val="20"/>
        </w:rPr>
        <w:t xml:space="preserve"> </w:t>
      </w:r>
      <w:r>
        <w:rPr>
          <w:rFonts w:ascii="Calibri Light" w:hAnsi="Calibri Light"/>
          <w:sz w:val="20"/>
        </w:rPr>
        <w:t>to</w:t>
      </w:r>
      <w:r>
        <w:rPr>
          <w:rFonts w:ascii="Calibri Light" w:hAnsi="Calibri Light"/>
          <w:spacing w:val="-5"/>
          <w:sz w:val="20"/>
        </w:rPr>
        <w:t xml:space="preserve"> </w:t>
      </w:r>
      <w:r>
        <w:rPr>
          <w:rFonts w:ascii="Calibri Light" w:hAnsi="Calibri Light"/>
          <w:sz w:val="20"/>
        </w:rPr>
        <w:t>antiretroviral</w:t>
      </w:r>
      <w:r>
        <w:rPr>
          <w:rFonts w:ascii="Calibri Light" w:hAnsi="Calibri Light"/>
          <w:spacing w:val="-5"/>
          <w:sz w:val="20"/>
        </w:rPr>
        <w:t xml:space="preserve"> </w:t>
      </w:r>
      <w:r>
        <w:rPr>
          <w:rFonts w:ascii="Calibri Light" w:hAnsi="Calibri Light"/>
          <w:sz w:val="20"/>
        </w:rPr>
        <w:t>medications</w:t>
      </w:r>
      <w:r>
        <w:rPr>
          <w:rFonts w:ascii="Calibri Light" w:hAnsi="Calibri Light"/>
          <w:spacing w:val="-4"/>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risk</w:t>
      </w:r>
      <w:r>
        <w:rPr>
          <w:rFonts w:ascii="Calibri Light" w:hAnsi="Calibri Light"/>
          <w:spacing w:val="-3"/>
          <w:sz w:val="20"/>
        </w:rPr>
        <w:t xml:space="preserve"> </w:t>
      </w:r>
      <w:r>
        <w:rPr>
          <w:rFonts w:ascii="Calibri Light" w:hAnsi="Calibri Light"/>
          <w:sz w:val="20"/>
        </w:rPr>
        <w:t>reduction</w:t>
      </w:r>
      <w:r>
        <w:rPr>
          <w:rFonts w:ascii="Calibri Light" w:hAnsi="Calibri Light"/>
          <w:spacing w:val="-4"/>
          <w:sz w:val="20"/>
        </w:rPr>
        <w:t xml:space="preserve"> </w:t>
      </w:r>
      <w:r>
        <w:rPr>
          <w:rFonts w:ascii="Calibri Light" w:hAnsi="Calibri Light"/>
          <w:sz w:val="20"/>
        </w:rPr>
        <w:t>behaviors</w:t>
      </w:r>
      <w:r>
        <w:rPr>
          <w:rFonts w:ascii="Calibri Light" w:hAnsi="Calibri Light"/>
          <w:spacing w:val="-4"/>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HIV</w:t>
      </w:r>
      <w:r>
        <w:rPr>
          <w:rFonts w:ascii="Calibri Light" w:hAnsi="Calibri Light"/>
          <w:spacing w:val="-2"/>
          <w:sz w:val="20"/>
        </w:rPr>
        <w:t xml:space="preserve"> </w:t>
      </w:r>
      <w:r>
        <w:rPr>
          <w:rFonts w:ascii="Calibri Light" w:hAnsi="Calibri Light"/>
          <w:sz w:val="20"/>
        </w:rPr>
        <w:t>infected</w:t>
      </w:r>
      <w:r>
        <w:rPr>
          <w:rFonts w:ascii="Calibri Light" w:hAnsi="Calibri Light"/>
          <w:spacing w:val="-4"/>
          <w:sz w:val="20"/>
        </w:rPr>
        <w:t xml:space="preserve"> </w:t>
      </w:r>
      <w:r>
        <w:rPr>
          <w:rFonts w:ascii="Calibri Light" w:hAnsi="Calibri Light"/>
          <w:sz w:val="20"/>
        </w:rPr>
        <w:t>women.</w:t>
      </w:r>
      <w:r>
        <w:rPr>
          <w:rFonts w:ascii="Calibri Light" w:hAnsi="Calibri Light"/>
          <w:spacing w:val="-5"/>
          <w:sz w:val="20"/>
        </w:rPr>
        <w:t xml:space="preserve"> </w:t>
      </w:r>
      <w:r>
        <w:rPr>
          <w:rFonts w:ascii="Calibri Light" w:hAnsi="Calibri Light"/>
          <w:i/>
          <w:sz w:val="20"/>
        </w:rPr>
        <w:t>AIDS</w:t>
      </w:r>
      <w:r>
        <w:rPr>
          <w:rFonts w:ascii="Calibri Light" w:hAnsi="Calibri Light"/>
          <w:i/>
          <w:spacing w:val="-4"/>
          <w:sz w:val="20"/>
        </w:rPr>
        <w:t xml:space="preserve"> </w:t>
      </w:r>
      <w:r>
        <w:rPr>
          <w:rFonts w:ascii="Calibri Light" w:hAnsi="Calibri Light"/>
          <w:i/>
          <w:sz w:val="20"/>
        </w:rPr>
        <w:t>and Behavior, 15</w:t>
      </w:r>
      <w:r>
        <w:rPr>
          <w:rFonts w:ascii="Calibri Light" w:hAnsi="Calibri Light"/>
          <w:sz w:val="20"/>
        </w:rPr>
        <w:t>(5), 885–896. doi:10.1007/s10461-010-9865-y</w:t>
      </w:r>
    </w:p>
    <w:p w14:paraId="415F946A" w14:textId="77777777" w:rsidR="00DB6E1F" w:rsidRDefault="00F666A6">
      <w:pPr>
        <w:spacing w:line="259" w:lineRule="auto"/>
        <w:ind w:left="1619" w:right="1491" w:hanging="180"/>
        <w:rPr>
          <w:rFonts w:ascii="Calibri Light" w:hAnsi="Calibri Light"/>
          <w:sz w:val="20"/>
        </w:rPr>
      </w:pPr>
      <w:r>
        <w:rPr>
          <w:rFonts w:ascii="Calibri Light" w:hAnsi="Calibri Light"/>
          <w:sz w:val="20"/>
        </w:rPr>
        <w:t>Houck, J. M., Hunter, S. B., Benson, J. G., Cochrum, L. L., Rowell, L. N., &amp; Damico, E. J. (2015). Temporal variation in facilitator</w:t>
      </w:r>
      <w:r>
        <w:rPr>
          <w:rFonts w:ascii="Calibri Light" w:hAnsi="Calibri Light"/>
          <w:spacing w:val="-3"/>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client</w:t>
      </w:r>
      <w:r>
        <w:rPr>
          <w:rFonts w:ascii="Calibri Light" w:hAnsi="Calibri Light"/>
          <w:spacing w:val="-5"/>
          <w:sz w:val="20"/>
        </w:rPr>
        <w:t xml:space="preserve"> </w:t>
      </w:r>
      <w:r>
        <w:rPr>
          <w:rFonts w:ascii="Calibri Light" w:hAnsi="Calibri Light"/>
          <w:sz w:val="20"/>
        </w:rPr>
        <w:t>behavior</w:t>
      </w:r>
      <w:r>
        <w:rPr>
          <w:rFonts w:ascii="Calibri Light" w:hAnsi="Calibri Light"/>
          <w:spacing w:val="-3"/>
          <w:sz w:val="20"/>
        </w:rPr>
        <w:t xml:space="preserve"> </w:t>
      </w:r>
      <w:r>
        <w:rPr>
          <w:rFonts w:ascii="Calibri Light" w:hAnsi="Calibri Light"/>
          <w:sz w:val="20"/>
        </w:rPr>
        <w:t>during</w:t>
      </w:r>
      <w:r>
        <w:rPr>
          <w:rFonts w:ascii="Calibri Light" w:hAnsi="Calibri Light"/>
          <w:spacing w:val="-4"/>
          <w:sz w:val="20"/>
        </w:rPr>
        <w:t xml:space="preserve"> </w:t>
      </w:r>
      <w:r>
        <w:rPr>
          <w:rFonts w:ascii="Calibri Light" w:hAnsi="Calibri Light"/>
          <w:sz w:val="20"/>
        </w:rPr>
        <w:t>group</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5"/>
          <w:sz w:val="20"/>
        </w:rPr>
        <w:t xml:space="preserve"> </w:t>
      </w:r>
      <w:r>
        <w:rPr>
          <w:rFonts w:ascii="Calibri Light" w:hAnsi="Calibri Light"/>
          <w:sz w:val="20"/>
        </w:rPr>
        <w:t>interviewing</w:t>
      </w:r>
      <w:r>
        <w:rPr>
          <w:rFonts w:ascii="Calibri Light" w:hAnsi="Calibri Light"/>
          <w:spacing w:val="-4"/>
          <w:sz w:val="20"/>
        </w:rPr>
        <w:t xml:space="preserve"> </w:t>
      </w:r>
      <w:r>
        <w:rPr>
          <w:rFonts w:ascii="Calibri Light" w:hAnsi="Calibri Light"/>
          <w:sz w:val="20"/>
        </w:rPr>
        <w:t>sessions.</w:t>
      </w:r>
      <w:r>
        <w:rPr>
          <w:rFonts w:ascii="Calibri Light" w:hAnsi="Calibri Light"/>
          <w:spacing w:val="-3"/>
          <w:sz w:val="20"/>
        </w:rPr>
        <w:t xml:space="preserve"> </w:t>
      </w:r>
      <w:r>
        <w:rPr>
          <w:rFonts w:ascii="Calibri Light" w:hAnsi="Calibri Light"/>
          <w:i/>
          <w:sz w:val="20"/>
        </w:rPr>
        <w:t>Psychology</w:t>
      </w:r>
      <w:r>
        <w:rPr>
          <w:rFonts w:ascii="Calibri Light" w:hAnsi="Calibri Light"/>
          <w:i/>
          <w:spacing w:val="-2"/>
          <w:sz w:val="20"/>
        </w:rPr>
        <w:t xml:space="preserve"> </w:t>
      </w:r>
      <w:r>
        <w:rPr>
          <w:rFonts w:ascii="Calibri Light" w:hAnsi="Calibri Light"/>
          <w:i/>
          <w:sz w:val="20"/>
        </w:rPr>
        <w:t>of</w:t>
      </w:r>
      <w:r>
        <w:rPr>
          <w:rFonts w:ascii="Calibri Light" w:hAnsi="Calibri Light"/>
          <w:i/>
          <w:spacing w:val="-4"/>
          <w:sz w:val="20"/>
        </w:rPr>
        <w:t xml:space="preserve"> </w:t>
      </w:r>
      <w:r>
        <w:rPr>
          <w:rFonts w:ascii="Calibri Light" w:hAnsi="Calibri Light"/>
          <w:i/>
          <w:sz w:val="20"/>
        </w:rPr>
        <w:t>Addictive</w:t>
      </w:r>
      <w:r>
        <w:rPr>
          <w:rFonts w:ascii="Calibri Light" w:hAnsi="Calibri Light"/>
          <w:i/>
          <w:spacing w:val="-4"/>
          <w:sz w:val="20"/>
        </w:rPr>
        <w:t xml:space="preserve"> </w:t>
      </w:r>
      <w:r>
        <w:rPr>
          <w:rFonts w:ascii="Calibri Light" w:hAnsi="Calibri Light"/>
          <w:i/>
          <w:sz w:val="20"/>
        </w:rPr>
        <w:t>Behaviors, 29</w:t>
      </w:r>
      <w:r>
        <w:rPr>
          <w:rFonts w:ascii="Calibri Light" w:hAnsi="Calibri Light"/>
          <w:sz w:val="20"/>
        </w:rPr>
        <w:t>(4), 941–949. doi</w:t>
      </w:r>
      <w:r>
        <w:rPr>
          <w:rFonts w:ascii="Calibri Light" w:hAnsi="Calibri Light"/>
          <w:sz w:val="20"/>
        </w:rPr>
        <w:t>:10.1037/adb0000107</w:t>
      </w:r>
    </w:p>
    <w:p w14:paraId="0ACD8E96" w14:textId="77777777" w:rsidR="00DB6E1F" w:rsidRDefault="00F666A6">
      <w:pPr>
        <w:spacing w:line="259" w:lineRule="auto"/>
        <w:ind w:left="1618" w:right="1491" w:hanging="180"/>
        <w:rPr>
          <w:rFonts w:ascii="Calibri Light" w:hAnsi="Calibri Light"/>
          <w:sz w:val="20"/>
        </w:rPr>
      </w:pPr>
      <w:r>
        <w:rPr>
          <w:rFonts w:ascii="Calibri Light" w:hAnsi="Calibri Light"/>
          <w:sz w:val="20"/>
        </w:rPr>
        <w:t>Houck,</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Manuel,</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&amp; Moyers,</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(2018).</w:t>
      </w:r>
      <w:r>
        <w:rPr>
          <w:rFonts w:ascii="Calibri Light" w:hAnsi="Calibri Light"/>
          <w:spacing w:val="-3"/>
          <w:sz w:val="20"/>
        </w:rPr>
        <w:t xml:space="preserve"> </w:t>
      </w:r>
      <w:r>
        <w:rPr>
          <w:rFonts w:ascii="Calibri Light" w:hAnsi="Calibri Light"/>
          <w:sz w:val="20"/>
        </w:rPr>
        <w:t>Short-</w:t>
      </w:r>
      <w:r>
        <w:rPr>
          <w:rFonts w:ascii="Calibri Light" w:hAnsi="Calibri Light"/>
          <w:spacing w:val="-3"/>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long-term</w:t>
      </w:r>
      <w:r>
        <w:rPr>
          <w:rFonts w:ascii="Calibri Light" w:hAnsi="Calibri Light"/>
          <w:spacing w:val="-1"/>
          <w:sz w:val="20"/>
        </w:rPr>
        <w:t xml:space="preserve"> </w:t>
      </w:r>
      <w:r>
        <w:rPr>
          <w:rFonts w:ascii="Calibri Light" w:hAnsi="Calibri Light"/>
          <w:sz w:val="20"/>
        </w:rPr>
        <w:t>effects</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within-session</w:t>
      </w:r>
      <w:r>
        <w:rPr>
          <w:rFonts w:ascii="Calibri Light" w:hAnsi="Calibri Light"/>
          <w:spacing w:val="-2"/>
          <w:sz w:val="20"/>
        </w:rPr>
        <w:t xml:space="preserve"> </w:t>
      </w:r>
      <w:r>
        <w:rPr>
          <w:rFonts w:ascii="Calibri Light" w:hAnsi="Calibri Light"/>
          <w:sz w:val="20"/>
        </w:rPr>
        <w:t>client</w:t>
      </w:r>
      <w:r>
        <w:rPr>
          <w:rFonts w:ascii="Calibri Light" w:hAnsi="Calibri Light"/>
          <w:spacing w:val="-3"/>
          <w:sz w:val="20"/>
        </w:rPr>
        <w:t xml:space="preserve"> </w:t>
      </w:r>
      <w:r>
        <w:rPr>
          <w:rFonts w:ascii="Calibri Light" w:hAnsi="Calibri Light"/>
          <w:sz w:val="20"/>
        </w:rPr>
        <w:t xml:space="preserve">speech on drinking Outcomes in the COMBINE study. </w:t>
      </w:r>
      <w:r>
        <w:rPr>
          <w:rFonts w:ascii="Calibri Light" w:hAnsi="Calibri Light"/>
          <w:i/>
          <w:sz w:val="20"/>
        </w:rPr>
        <w:t>Journal of Studies on Alcohol and Drugs, 79</w:t>
      </w:r>
      <w:r>
        <w:rPr>
          <w:rFonts w:ascii="Calibri Light" w:hAnsi="Calibri Light"/>
          <w:sz w:val="20"/>
        </w:rPr>
        <w:t xml:space="preserve">(2), 217–222. </w:t>
      </w:r>
      <w:r>
        <w:rPr>
          <w:rFonts w:ascii="Calibri Light" w:hAnsi="Calibri Light"/>
          <w:spacing w:val="-2"/>
          <w:sz w:val="20"/>
        </w:rPr>
        <w:t>doi:10.15288/jsad.2018.79.217</w:t>
      </w:r>
    </w:p>
    <w:p w14:paraId="0AE3CF6F" w14:textId="77777777" w:rsidR="00DB6E1F" w:rsidRDefault="00F666A6">
      <w:pPr>
        <w:spacing w:line="243" w:lineRule="exact"/>
        <w:ind w:left="1438"/>
        <w:rPr>
          <w:rFonts w:ascii="Calibri Light"/>
          <w:sz w:val="20"/>
        </w:rPr>
      </w:pPr>
      <w:r>
        <w:rPr>
          <w:rFonts w:ascii="Calibri Light"/>
          <w:sz w:val="20"/>
        </w:rPr>
        <w:t>Houck,</w:t>
      </w:r>
      <w:r>
        <w:rPr>
          <w:rFonts w:ascii="Calibri Light"/>
          <w:spacing w:val="-8"/>
          <w:sz w:val="20"/>
        </w:rPr>
        <w:t xml:space="preserve"> </w:t>
      </w:r>
      <w:r>
        <w:rPr>
          <w:rFonts w:ascii="Calibri Light"/>
          <w:sz w:val="20"/>
        </w:rPr>
        <w:t>J.</w:t>
      </w:r>
      <w:r>
        <w:rPr>
          <w:rFonts w:ascii="Calibri Light"/>
          <w:spacing w:val="-8"/>
          <w:sz w:val="20"/>
        </w:rPr>
        <w:t xml:space="preserve"> </w:t>
      </w:r>
      <w:r>
        <w:rPr>
          <w:rFonts w:ascii="Calibri Light"/>
          <w:sz w:val="20"/>
        </w:rPr>
        <w:t>M.,</w:t>
      </w:r>
      <w:r>
        <w:rPr>
          <w:rFonts w:ascii="Calibri Light"/>
          <w:spacing w:val="-8"/>
          <w:sz w:val="20"/>
        </w:rPr>
        <w:t xml:space="preserve"> </w:t>
      </w:r>
      <w:r>
        <w:rPr>
          <w:rFonts w:ascii="Calibri Light"/>
          <w:sz w:val="20"/>
        </w:rPr>
        <w:t>&amp;</w:t>
      </w:r>
      <w:r>
        <w:rPr>
          <w:rFonts w:ascii="Calibri Light"/>
          <w:spacing w:val="-6"/>
          <w:sz w:val="20"/>
        </w:rPr>
        <w:t xml:space="preserve"> </w:t>
      </w:r>
      <w:r>
        <w:rPr>
          <w:rFonts w:ascii="Calibri Light"/>
          <w:sz w:val="20"/>
        </w:rPr>
        <w:t>Moyers,</w:t>
      </w:r>
      <w:r>
        <w:rPr>
          <w:rFonts w:ascii="Calibri Light"/>
          <w:spacing w:val="-7"/>
          <w:sz w:val="20"/>
        </w:rPr>
        <w:t xml:space="preserve"> </w:t>
      </w:r>
      <w:r>
        <w:rPr>
          <w:rFonts w:ascii="Calibri Light"/>
          <w:sz w:val="20"/>
        </w:rPr>
        <w:t>T.</w:t>
      </w:r>
      <w:r>
        <w:rPr>
          <w:rFonts w:ascii="Calibri Light"/>
          <w:spacing w:val="-5"/>
          <w:sz w:val="20"/>
        </w:rPr>
        <w:t xml:space="preserve"> </w:t>
      </w:r>
      <w:r>
        <w:rPr>
          <w:rFonts w:ascii="Calibri Light"/>
          <w:sz w:val="20"/>
        </w:rPr>
        <w:t>B.</w:t>
      </w:r>
      <w:r>
        <w:rPr>
          <w:rFonts w:ascii="Calibri Light"/>
          <w:spacing w:val="-8"/>
          <w:sz w:val="20"/>
        </w:rPr>
        <w:t xml:space="preserve"> </w:t>
      </w:r>
      <w:r>
        <w:rPr>
          <w:rFonts w:ascii="Calibri Light"/>
          <w:sz w:val="20"/>
        </w:rPr>
        <w:t>(2015).</w:t>
      </w:r>
      <w:r>
        <w:rPr>
          <w:rFonts w:ascii="Calibri Light"/>
          <w:spacing w:val="-5"/>
          <w:sz w:val="20"/>
        </w:rPr>
        <w:t xml:space="preserve"> </w:t>
      </w:r>
      <w:r>
        <w:rPr>
          <w:rFonts w:ascii="Calibri Light"/>
          <w:sz w:val="20"/>
        </w:rPr>
        <w:t>Within-session</w:t>
      </w:r>
      <w:r>
        <w:rPr>
          <w:rFonts w:ascii="Calibri Light"/>
          <w:spacing w:val="-7"/>
          <w:sz w:val="20"/>
        </w:rPr>
        <w:t xml:space="preserve"> </w:t>
      </w:r>
      <w:r>
        <w:rPr>
          <w:rFonts w:ascii="Calibri Light"/>
          <w:sz w:val="20"/>
        </w:rPr>
        <w:t>communication</w:t>
      </w:r>
      <w:r>
        <w:rPr>
          <w:rFonts w:ascii="Calibri Light"/>
          <w:spacing w:val="-7"/>
          <w:sz w:val="20"/>
        </w:rPr>
        <w:t xml:space="preserve"> </w:t>
      </w:r>
      <w:r>
        <w:rPr>
          <w:rFonts w:ascii="Calibri Light"/>
          <w:sz w:val="20"/>
        </w:rPr>
        <w:t>patterns</w:t>
      </w:r>
      <w:r>
        <w:rPr>
          <w:rFonts w:ascii="Calibri Light"/>
          <w:spacing w:val="-5"/>
          <w:sz w:val="20"/>
        </w:rPr>
        <w:t xml:space="preserve"> </w:t>
      </w:r>
      <w:r>
        <w:rPr>
          <w:rFonts w:ascii="Calibri Light"/>
          <w:sz w:val="20"/>
        </w:rPr>
        <w:t>predict</w:t>
      </w:r>
      <w:r>
        <w:rPr>
          <w:rFonts w:ascii="Calibri Light"/>
          <w:spacing w:val="-8"/>
          <w:sz w:val="20"/>
        </w:rPr>
        <w:t xml:space="preserve"> </w:t>
      </w:r>
      <w:r>
        <w:rPr>
          <w:rFonts w:ascii="Calibri Light"/>
          <w:sz w:val="20"/>
        </w:rPr>
        <w:t>alcohol</w:t>
      </w:r>
      <w:r>
        <w:rPr>
          <w:rFonts w:ascii="Calibri Light"/>
          <w:spacing w:val="-8"/>
          <w:sz w:val="20"/>
        </w:rPr>
        <w:t xml:space="preserve"> </w:t>
      </w:r>
      <w:r>
        <w:rPr>
          <w:rFonts w:ascii="Calibri Light"/>
          <w:sz w:val="20"/>
        </w:rPr>
        <w:t>treatment</w:t>
      </w:r>
      <w:r>
        <w:rPr>
          <w:rFonts w:ascii="Calibri Light"/>
          <w:spacing w:val="-7"/>
          <w:sz w:val="20"/>
        </w:rPr>
        <w:t xml:space="preserve"> </w:t>
      </w:r>
      <w:r>
        <w:rPr>
          <w:rFonts w:ascii="Calibri Light"/>
          <w:spacing w:val="-2"/>
          <w:sz w:val="20"/>
        </w:rPr>
        <w:t>outcomes.</w:t>
      </w:r>
    </w:p>
    <w:p w14:paraId="60999EFA" w14:textId="77777777" w:rsidR="00DB6E1F" w:rsidRDefault="00F666A6">
      <w:pPr>
        <w:spacing w:before="16"/>
        <w:ind w:left="1618"/>
        <w:rPr>
          <w:rFonts w:ascii="Calibri Light" w:hAnsi="Calibri Light"/>
          <w:sz w:val="20"/>
        </w:rPr>
      </w:pPr>
      <w:r>
        <w:rPr>
          <w:rFonts w:ascii="Calibri Light" w:hAnsi="Calibri Light"/>
          <w:i/>
          <w:sz w:val="20"/>
        </w:rPr>
        <w:t>Drug</w:t>
      </w:r>
      <w:r>
        <w:rPr>
          <w:rFonts w:ascii="Calibri Light" w:hAnsi="Calibri Light"/>
          <w:i/>
          <w:spacing w:val="-7"/>
          <w:sz w:val="20"/>
        </w:rPr>
        <w:t xml:space="preserve"> </w:t>
      </w:r>
      <w:r>
        <w:rPr>
          <w:rFonts w:ascii="Calibri Light" w:hAnsi="Calibri Light"/>
          <w:i/>
          <w:sz w:val="20"/>
        </w:rPr>
        <w:t>and</w:t>
      </w:r>
      <w:r>
        <w:rPr>
          <w:rFonts w:ascii="Calibri Light" w:hAnsi="Calibri Light"/>
          <w:i/>
          <w:spacing w:val="-7"/>
          <w:sz w:val="20"/>
        </w:rPr>
        <w:t xml:space="preserve"> </w:t>
      </w:r>
      <w:r>
        <w:rPr>
          <w:rFonts w:ascii="Calibri Light" w:hAnsi="Calibri Light"/>
          <w:i/>
          <w:sz w:val="20"/>
        </w:rPr>
        <w:t>Alcohol</w:t>
      </w:r>
      <w:r>
        <w:rPr>
          <w:rFonts w:ascii="Calibri Light" w:hAnsi="Calibri Light"/>
          <w:i/>
          <w:spacing w:val="-8"/>
          <w:sz w:val="20"/>
        </w:rPr>
        <w:t xml:space="preserve"> </w:t>
      </w:r>
      <w:r>
        <w:rPr>
          <w:rFonts w:ascii="Calibri Light" w:hAnsi="Calibri Light"/>
          <w:i/>
          <w:sz w:val="20"/>
        </w:rPr>
        <w:t>Dependence,</w:t>
      </w:r>
      <w:r>
        <w:rPr>
          <w:rFonts w:ascii="Calibri Light" w:hAnsi="Calibri Light"/>
          <w:i/>
          <w:spacing w:val="-5"/>
          <w:sz w:val="20"/>
        </w:rPr>
        <w:t xml:space="preserve"> </w:t>
      </w:r>
      <w:r>
        <w:rPr>
          <w:rFonts w:ascii="Calibri Light" w:hAnsi="Calibri Light"/>
          <w:i/>
          <w:sz w:val="20"/>
        </w:rPr>
        <w:t>157</w:t>
      </w:r>
      <w:r>
        <w:rPr>
          <w:rFonts w:ascii="Calibri Light" w:hAnsi="Calibri Light"/>
          <w:sz w:val="20"/>
        </w:rPr>
        <w:t>,</w:t>
      </w:r>
      <w:r>
        <w:rPr>
          <w:rFonts w:ascii="Calibri Light" w:hAnsi="Calibri Light"/>
          <w:spacing w:val="-8"/>
          <w:sz w:val="20"/>
        </w:rPr>
        <w:t xml:space="preserve"> </w:t>
      </w:r>
      <w:r>
        <w:rPr>
          <w:rFonts w:ascii="Calibri Light" w:hAnsi="Calibri Light"/>
          <w:sz w:val="20"/>
        </w:rPr>
        <w:t>205–209.</w:t>
      </w:r>
      <w:r>
        <w:rPr>
          <w:rFonts w:ascii="Calibri Light" w:hAnsi="Calibri Light"/>
          <w:spacing w:val="-8"/>
          <w:sz w:val="20"/>
        </w:rPr>
        <w:t xml:space="preserve"> </w:t>
      </w:r>
      <w:r>
        <w:rPr>
          <w:rFonts w:ascii="Calibri Light" w:hAnsi="Calibri Light"/>
          <w:spacing w:val="-2"/>
          <w:sz w:val="20"/>
        </w:rPr>
        <w:t>doi:10.1016/j.drugalcdep.2015.10.025</w:t>
      </w:r>
    </w:p>
    <w:p w14:paraId="0074CBDE" w14:textId="77777777" w:rsidR="00DB6E1F" w:rsidRDefault="00F666A6">
      <w:pPr>
        <w:spacing w:before="20" w:line="259" w:lineRule="auto"/>
        <w:ind w:left="1618" w:right="1444" w:hanging="180"/>
        <w:rPr>
          <w:rFonts w:ascii="Calibri Light" w:hAnsi="Calibri Light"/>
          <w:sz w:val="20"/>
        </w:rPr>
      </w:pPr>
      <w:r>
        <w:rPr>
          <w:rFonts w:ascii="Calibri Light" w:hAnsi="Calibri Light"/>
          <w:sz w:val="20"/>
        </w:rPr>
        <w:t>Humphreys,</w:t>
      </w:r>
      <w:r>
        <w:rPr>
          <w:rFonts w:ascii="Calibri Light" w:hAnsi="Calibri Light"/>
          <w:spacing w:val="-4"/>
          <w:sz w:val="20"/>
        </w:rPr>
        <w:t xml:space="preserve"> </w:t>
      </w:r>
      <w:r>
        <w:rPr>
          <w:rFonts w:ascii="Calibri Light" w:hAnsi="Calibri Light"/>
          <w:sz w:val="20"/>
        </w:rPr>
        <w:t>K.,</w:t>
      </w:r>
      <w:r>
        <w:rPr>
          <w:rFonts w:ascii="Calibri Light" w:hAnsi="Calibri Light"/>
          <w:spacing w:val="-1"/>
          <w:sz w:val="20"/>
        </w:rPr>
        <w:t xml:space="preserve"> </w:t>
      </w:r>
      <w:r>
        <w:rPr>
          <w:rFonts w:ascii="Calibri Light" w:hAnsi="Calibri Light"/>
          <w:sz w:val="20"/>
        </w:rPr>
        <w:t>Blodgett,</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C.,</w:t>
      </w:r>
      <w:r>
        <w:rPr>
          <w:rFonts w:ascii="Calibri Light" w:hAnsi="Calibri Light"/>
          <w:spacing w:val="-1"/>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Wagner,</w:t>
      </w:r>
      <w:r>
        <w:rPr>
          <w:rFonts w:ascii="Calibri Light" w:hAnsi="Calibri Light"/>
          <w:spacing w:val="-4"/>
          <w:sz w:val="20"/>
        </w:rPr>
        <w:t xml:space="preserve"> </w:t>
      </w:r>
      <w:r>
        <w:rPr>
          <w:rFonts w:ascii="Calibri Light" w:hAnsi="Calibri Light"/>
          <w:sz w:val="20"/>
        </w:rPr>
        <w:t>T.</w:t>
      </w:r>
      <w:r>
        <w:rPr>
          <w:rFonts w:ascii="Calibri Light" w:hAnsi="Calibri Light"/>
          <w:spacing w:val="-1"/>
          <w:sz w:val="20"/>
        </w:rPr>
        <w:t xml:space="preserve"> </w:t>
      </w:r>
      <w:r>
        <w:rPr>
          <w:rFonts w:ascii="Calibri Light" w:hAnsi="Calibri Light"/>
          <w:sz w:val="20"/>
        </w:rPr>
        <w:t>H.</w:t>
      </w:r>
      <w:r>
        <w:rPr>
          <w:rFonts w:ascii="Calibri Light" w:hAnsi="Calibri Light"/>
          <w:spacing w:val="-4"/>
          <w:sz w:val="20"/>
        </w:rPr>
        <w:t xml:space="preserve"> </w:t>
      </w:r>
      <w:r>
        <w:rPr>
          <w:rFonts w:ascii="Calibri Light" w:hAnsi="Calibri Light"/>
          <w:sz w:val="20"/>
        </w:rPr>
        <w:t>(2014).</w:t>
      </w:r>
      <w:r>
        <w:rPr>
          <w:rFonts w:ascii="Calibri Light" w:hAnsi="Calibri Light"/>
          <w:spacing w:val="-4"/>
          <w:sz w:val="20"/>
        </w:rPr>
        <w:t xml:space="preserve"> </w:t>
      </w:r>
      <w:r>
        <w:rPr>
          <w:rFonts w:ascii="Calibri Light" w:hAnsi="Calibri Light"/>
          <w:sz w:val="20"/>
        </w:rPr>
        <w:t>Estimating the</w:t>
      </w:r>
      <w:r>
        <w:rPr>
          <w:rFonts w:ascii="Calibri Light" w:hAnsi="Calibri Light"/>
          <w:spacing w:val="-3"/>
          <w:sz w:val="20"/>
        </w:rPr>
        <w:t xml:space="preserve"> </w:t>
      </w:r>
      <w:r>
        <w:rPr>
          <w:rFonts w:ascii="Calibri Light" w:hAnsi="Calibri Light"/>
          <w:sz w:val="20"/>
        </w:rPr>
        <w:t>efficacy</w:t>
      </w:r>
      <w:r>
        <w:rPr>
          <w:rFonts w:ascii="Calibri Light" w:hAnsi="Calibri Light"/>
          <w:spacing w:val="-2"/>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Alcoholics</w:t>
      </w:r>
      <w:r>
        <w:rPr>
          <w:rFonts w:ascii="Calibri Light" w:hAnsi="Calibri Light"/>
          <w:spacing w:val="-1"/>
          <w:sz w:val="20"/>
        </w:rPr>
        <w:t xml:space="preserve"> </w:t>
      </w:r>
      <w:r>
        <w:rPr>
          <w:rFonts w:ascii="Calibri Light" w:hAnsi="Calibri Light"/>
          <w:sz w:val="20"/>
        </w:rPr>
        <w:t>Anonymous</w:t>
      </w:r>
      <w:r>
        <w:rPr>
          <w:rFonts w:ascii="Calibri Light" w:hAnsi="Calibri Light"/>
          <w:spacing w:val="-3"/>
          <w:sz w:val="20"/>
        </w:rPr>
        <w:t xml:space="preserve"> </w:t>
      </w:r>
      <w:r>
        <w:rPr>
          <w:rFonts w:ascii="Calibri Light" w:hAnsi="Calibri Light"/>
          <w:sz w:val="20"/>
        </w:rPr>
        <w:t>without</w:t>
      </w:r>
      <w:r>
        <w:rPr>
          <w:rFonts w:ascii="Calibri Light" w:hAnsi="Calibri Light"/>
          <w:spacing w:val="-4"/>
          <w:sz w:val="20"/>
        </w:rPr>
        <w:t xml:space="preserve"> </w:t>
      </w:r>
      <w:r>
        <w:rPr>
          <w:rFonts w:ascii="Calibri Light" w:hAnsi="Calibri Light"/>
          <w:sz w:val="20"/>
        </w:rPr>
        <w:t xml:space="preserve">self- selection bias: An instrumental variables re-analysis of randomized clinical trials. </w:t>
      </w:r>
      <w:r>
        <w:rPr>
          <w:rFonts w:ascii="Calibri Light" w:hAnsi="Calibri Light"/>
          <w:i/>
          <w:sz w:val="20"/>
        </w:rPr>
        <w:t>Alcoholism: Clin</w:t>
      </w:r>
      <w:r>
        <w:rPr>
          <w:rFonts w:ascii="Calibri Light" w:hAnsi="Calibri Light"/>
          <w:i/>
          <w:sz w:val="20"/>
        </w:rPr>
        <w:t>ical and Experimental Research</w:t>
      </w:r>
      <w:r>
        <w:rPr>
          <w:rFonts w:ascii="Calibri Light" w:hAnsi="Calibri Light"/>
          <w:sz w:val="20"/>
        </w:rPr>
        <w:t xml:space="preserve">, </w:t>
      </w:r>
      <w:r>
        <w:rPr>
          <w:rFonts w:ascii="Calibri Light" w:hAnsi="Calibri Light"/>
          <w:i/>
          <w:sz w:val="20"/>
        </w:rPr>
        <w:t>38</w:t>
      </w:r>
      <w:r>
        <w:rPr>
          <w:rFonts w:ascii="Calibri Light" w:hAnsi="Calibri Light"/>
          <w:sz w:val="20"/>
        </w:rPr>
        <w:t>(11), 2688–2694. doi:10.1111/acer.12557</w:t>
      </w:r>
    </w:p>
    <w:p w14:paraId="1BBDBE78" w14:textId="77777777" w:rsidR="00DB6E1F" w:rsidRDefault="00F666A6">
      <w:pPr>
        <w:spacing w:line="259" w:lineRule="auto"/>
        <w:ind w:left="1619" w:right="1491" w:hanging="181"/>
        <w:rPr>
          <w:rFonts w:ascii="Calibri Light"/>
          <w:sz w:val="20"/>
        </w:rPr>
      </w:pPr>
      <w:r>
        <w:rPr>
          <w:rFonts w:ascii="Calibri Light"/>
          <w:sz w:val="20"/>
        </w:rPr>
        <w:t>Hunt,</w:t>
      </w:r>
      <w:r>
        <w:rPr>
          <w:rFonts w:ascii="Calibri Light"/>
          <w:spacing w:val="-3"/>
          <w:sz w:val="20"/>
        </w:rPr>
        <w:t xml:space="preserve"> </w:t>
      </w:r>
      <w:r>
        <w:rPr>
          <w:rFonts w:ascii="Calibri Light"/>
          <w:sz w:val="20"/>
        </w:rPr>
        <w:t>G.</w:t>
      </w:r>
      <w:r>
        <w:rPr>
          <w:rFonts w:ascii="Calibri Light"/>
          <w:spacing w:val="-3"/>
          <w:sz w:val="20"/>
        </w:rPr>
        <w:t xml:space="preserve"> </w:t>
      </w:r>
      <w:r>
        <w:rPr>
          <w:rFonts w:ascii="Calibri Light"/>
          <w:sz w:val="20"/>
        </w:rPr>
        <w:t>E.,</w:t>
      </w:r>
      <w:r>
        <w:rPr>
          <w:rFonts w:ascii="Calibri Light"/>
          <w:spacing w:val="-3"/>
          <w:sz w:val="20"/>
        </w:rPr>
        <w:t xml:space="preserve"> </w:t>
      </w:r>
      <w:r>
        <w:rPr>
          <w:rFonts w:ascii="Calibri Light"/>
          <w:sz w:val="20"/>
        </w:rPr>
        <w:t>Siegfried,</w:t>
      </w:r>
      <w:r>
        <w:rPr>
          <w:rFonts w:ascii="Calibri Light"/>
          <w:spacing w:val="-3"/>
          <w:sz w:val="20"/>
        </w:rPr>
        <w:t xml:space="preserve"> </w:t>
      </w:r>
      <w:r>
        <w:rPr>
          <w:rFonts w:ascii="Calibri Light"/>
          <w:sz w:val="20"/>
        </w:rPr>
        <w:t>N.,</w:t>
      </w:r>
      <w:r>
        <w:rPr>
          <w:rFonts w:ascii="Calibri Light"/>
          <w:spacing w:val="-3"/>
          <w:sz w:val="20"/>
        </w:rPr>
        <w:t xml:space="preserve"> </w:t>
      </w:r>
      <w:r>
        <w:rPr>
          <w:rFonts w:ascii="Calibri Light"/>
          <w:sz w:val="20"/>
        </w:rPr>
        <w:t>Morley,</w:t>
      </w:r>
      <w:r>
        <w:rPr>
          <w:rFonts w:ascii="Calibri Light"/>
          <w:spacing w:val="-3"/>
          <w:sz w:val="20"/>
        </w:rPr>
        <w:t xml:space="preserve"> </w:t>
      </w:r>
      <w:r>
        <w:rPr>
          <w:rFonts w:ascii="Calibri Light"/>
          <w:sz w:val="20"/>
        </w:rPr>
        <w:t>K.,</w:t>
      </w:r>
      <w:r>
        <w:rPr>
          <w:rFonts w:ascii="Calibri Light"/>
          <w:spacing w:val="-3"/>
          <w:sz w:val="20"/>
        </w:rPr>
        <w:t xml:space="preserve"> </w:t>
      </w:r>
      <w:r>
        <w:rPr>
          <w:rFonts w:ascii="Calibri Light"/>
          <w:sz w:val="20"/>
        </w:rPr>
        <w:t>Sitharthan,</w:t>
      </w:r>
      <w:r>
        <w:rPr>
          <w:rFonts w:ascii="Calibri Light"/>
          <w:spacing w:val="-2"/>
          <w:sz w:val="20"/>
        </w:rPr>
        <w:t xml:space="preserve"> </w:t>
      </w:r>
      <w:r>
        <w:rPr>
          <w:rFonts w:ascii="Calibri Light"/>
          <w:sz w:val="20"/>
        </w:rPr>
        <w:t>T.,</w:t>
      </w:r>
      <w:r>
        <w:rPr>
          <w:rFonts w:ascii="Calibri Light"/>
          <w:spacing w:val="-3"/>
          <w:sz w:val="20"/>
        </w:rPr>
        <w:t xml:space="preserve"> </w:t>
      </w:r>
      <w:r>
        <w:rPr>
          <w:rFonts w:ascii="Calibri Light"/>
          <w:sz w:val="20"/>
        </w:rPr>
        <w:t>&amp;</w:t>
      </w:r>
      <w:r>
        <w:rPr>
          <w:rFonts w:ascii="Calibri Light"/>
          <w:spacing w:val="-1"/>
          <w:sz w:val="20"/>
        </w:rPr>
        <w:t xml:space="preserve"> </w:t>
      </w:r>
      <w:r>
        <w:rPr>
          <w:rFonts w:ascii="Calibri Light"/>
          <w:sz w:val="20"/>
        </w:rPr>
        <w:t>Cleary, M.</w:t>
      </w:r>
      <w:r>
        <w:rPr>
          <w:rFonts w:ascii="Calibri Light"/>
          <w:spacing w:val="-3"/>
          <w:sz w:val="20"/>
        </w:rPr>
        <w:t xml:space="preserve"> </w:t>
      </w:r>
      <w:r>
        <w:rPr>
          <w:rFonts w:ascii="Calibri Light"/>
          <w:sz w:val="20"/>
        </w:rPr>
        <w:t>(2013).</w:t>
      </w:r>
      <w:r>
        <w:rPr>
          <w:rFonts w:ascii="Calibri Light"/>
          <w:spacing w:val="-3"/>
          <w:sz w:val="20"/>
        </w:rPr>
        <w:t xml:space="preserve"> </w:t>
      </w:r>
      <w:r>
        <w:rPr>
          <w:rFonts w:ascii="Calibri Light"/>
          <w:sz w:val="20"/>
        </w:rPr>
        <w:t>Psychosocial</w:t>
      </w:r>
      <w:r>
        <w:rPr>
          <w:rFonts w:ascii="Calibri Light"/>
          <w:spacing w:val="-3"/>
          <w:sz w:val="20"/>
        </w:rPr>
        <w:t xml:space="preserve"> </w:t>
      </w:r>
      <w:r>
        <w:rPr>
          <w:rFonts w:ascii="Calibri Light"/>
          <w:sz w:val="20"/>
        </w:rPr>
        <w:t>interventions</w:t>
      </w:r>
      <w:r>
        <w:rPr>
          <w:rFonts w:ascii="Calibri Light"/>
          <w:spacing w:val="-2"/>
          <w:sz w:val="20"/>
        </w:rPr>
        <w:t xml:space="preserve"> </w:t>
      </w:r>
      <w:r>
        <w:rPr>
          <w:rFonts w:ascii="Calibri Light"/>
          <w:sz w:val="20"/>
        </w:rPr>
        <w:t>for</w:t>
      </w:r>
      <w:r>
        <w:rPr>
          <w:rFonts w:ascii="Calibri Light"/>
          <w:spacing w:val="-1"/>
          <w:sz w:val="20"/>
        </w:rPr>
        <w:t xml:space="preserve"> </w:t>
      </w:r>
      <w:r>
        <w:rPr>
          <w:rFonts w:ascii="Calibri Light"/>
          <w:sz w:val="20"/>
        </w:rPr>
        <w:t>people</w:t>
      </w:r>
      <w:r>
        <w:rPr>
          <w:rFonts w:ascii="Calibri Light"/>
          <w:spacing w:val="-2"/>
          <w:sz w:val="20"/>
        </w:rPr>
        <w:t xml:space="preserve"> </w:t>
      </w:r>
      <w:r>
        <w:rPr>
          <w:rFonts w:ascii="Calibri Light"/>
          <w:sz w:val="20"/>
        </w:rPr>
        <w:t xml:space="preserve">with both severe mental illness and substance misuse. </w:t>
      </w:r>
      <w:r>
        <w:rPr>
          <w:rFonts w:ascii="Calibri Light"/>
          <w:i/>
          <w:sz w:val="20"/>
        </w:rPr>
        <w:t>Cochrane Database of Systematic Reviews</w:t>
      </w:r>
      <w:r>
        <w:rPr>
          <w:rFonts w:ascii="Calibri Light"/>
          <w:sz w:val="20"/>
        </w:rPr>
        <w:t xml:space="preserve">, </w:t>
      </w:r>
      <w:r>
        <w:rPr>
          <w:rFonts w:ascii="Calibri Light"/>
          <w:i/>
          <w:sz w:val="20"/>
        </w:rPr>
        <w:t>10</w:t>
      </w:r>
      <w:r>
        <w:rPr>
          <w:rFonts w:ascii="Calibri Light"/>
          <w:sz w:val="20"/>
        </w:rPr>
        <w:t>. Art. No.: CD001088. doi:10.1002/14651858.CD001088.pub3</w:t>
      </w:r>
    </w:p>
    <w:p w14:paraId="5940CB9F" w14:textId="77777777" w:rsidR="00DB6E1F" w:rsidRDefault="00F666A6">
      <w:pPr>
        <w:spacing w:line="259" w:lineRule="auto"/>
        <w:ind w:left="1619" w:right="1491" w:hanging="180"/>
        <w:rPr>
          <w:rFonts w:ascii="Calibri Light" w:hAnsi="Calibri Light"/>
          <w:sz w:val="20"/>
        </w:rPr>
      </w:pPr>
      <w:r>
        <w:rPr>
          <w:rFonts w:ascii="Calibri Light" w:hAnsi="Calibri Light"/>
          <w:sz w:val="20"/>
        </w:rPr>
        <w:t>Ingersoll, K. S., Ceperich, S. D., Hettema, J. E., Farrell-Carnahan, L., &amp; Penberthy, J. K. (2013). Pr</w:t>
      </w:r>
      <w:r>
        <w:rPr>
          <w:rFonts w:ascii="Calibri Light" w:hAnsi="Calibri Light"/>
          <w:sz w:val="20"/>
        </w:rPr>
        <w:t>econceptional motivational</w:t>
      </w:r>
      <w:r>
        <w:rPr>
          <w:rFonts w:ascii="Calibri Light" w:hAnsi="Calibri Light"/>
          <w:spacing w:val="-6"/>
          <w:sz w:val="20"/>
        </w:rPr>
        <w:t xml:space="preserve"> </w:t>
      </w:r>
      <w:r>
        <w:rPr>
          <w:rFonts w:ascii="Calibri Light" w:hAnsi="Calibri Light"/>
          <w:sz w:val="20"/>
        </w:rPr>
        <w:t>interviewing</w:t>
      </w:r>
      <w:r>
        <w:rPr>
          <w:rFonts w:ascii="Calibri Light" w:hAnsi="Calibri Light"/>
          <w:spacing w:val="-2"/>
          <w:sz w:val="20"/>
        </w:rPr>
        <w:t xml:space="preserve"> </w:t>
      </w:r>
      <w:r>
        <w:rPr>
          <w:rFonts w:ascii="Calibri Light" w:hAnsi="Calibri Light"/>
          <w:sz w:val="20"/>
        </w:rPr>
        <w:t>interventions</w:t>
      </w:r>
      <w:r>
        <w:rPr>
          <w:rFonts w:ascii="Calibri Light" w:hAnsi="Calibri Light"/>
          <w:spacing w:val="-5"/>
          <w:sz w:val="20"/>
        </w:rPr>
        <w:t xml:space="preserve"> </w:t>
      </w:r>
      <w:r>
        <w:rPr>
          <w:rFonts w:ascii="Calibri Light" w:hAnsi="Calibri Light"/>
          <w:sz w:val="20"/>
        </w:rPr>
        <w:t>to</w:t>
      </w:r>
      <w:r>
        <w:rPr>
          <w:rFonts w:ascii="Calibri Light" w:hAnsi="Calibri Light"/>
          <w:spacing w:val="-6"/>
          <w:sz w:val="20"/>
        </w:rPr>
        <w:t xml:space="preserve"> </w:t>
      </w:r>
      <w:r>
        <w:rPr>
          <w:rFonts w:ascii="Calibri Light" w:hAnsi="Calibri Light"/>
          <w:sz w:val="20"/>
        </w:rPr>
        <w:t>reduce</w:t>
      </w:r>
      <w:r>
        <w:rPr>
          <w:rFonts w:ascii="Calibri Light" w:hAnsi="Calibri Light"/>
          <w:spacing w:val="-5"/>
          <w:sz w:val="20"/>
        </w:rPr>
        <w:t xml:space="preserve"> </w:t>
      </w:r>
      <w:r>
        <w:rPr>
          <w:rFonts w:ascii="Calibri Light" w:hAnsi="Calibri Light"/>
          <w:sz w:val="20"/>
        </w:rPr>
        <w:t>alcohol-exposed</w:t>
      </w:r>
      <w:r>
        <w:rPr>
          <w:rFonts w:ascii="Calibri Light" w:hAnsi="Calibri Light"/>
          <w:spacing w:val="-3"/>
          <w:sz w:val="20"/>
        </w:rPr>
        <w:t xml:space="preserve"> </w:t>
      </w:r>
      <w:r>
        <w:rPr>
          <w:rFonts w:ascii="Calibri Light" w:hAnsi="Calibri Light"/>
          <w:sz w:val="20"/>
        </w:rPr>
        <w:t>pregnancy</w:t>
      </w:r>
      <w:r>
        <w:rPr>
          <w:rFonts w:ascii="Calibri Light" w:hAnsi="Calibri Light"/>
          <w:spacing w:val="-4"/>
          <w:sz w:val="20"/>
        </w:rPr>
        <w:t xml:space="preserve"> </w:t>
      </w:r>
      <w:r>
        <w:rPr>
          <w:rFonts w:ascii="Calibri Light" w:hAnsi="Calibri Light"/>
          <w:sz w:val="20"/>
        </w:rPr>
        <w:t>risk.</w:t>
      </w:r>
      <w:r>
        <w:rPr>
          <w:rFonts w:ascii="Calibri Light" w:hAnsi="Calibri Light"/>
          <w:spacing w:val="-6"/>
          <w:sz w:val="20"/>
        </w:rPr>
        <w:t xml:space="preserve"> </w:t>
      </w:r>
      <w:r>
        <w:rPr>
          <w:rFonts w:ascii="Calibri Light" w:hAnsi="Calibri Light"/>
          <w:i/>
          <w:sz w:val="20"/>
        </w:rPr>
        <w:t>Journal</w:t>
      </w:r>
      <w:r>
        <w:rPr>
          <w:rFonts w:ascii="Calibri Light" w:hAnsi="Calibri Light"/>
          <w:i/>
          <w:spacing w:val="-3"/>
          <w:sz w:val="20"/>
        </w:rPr>
        <w:t xml:space="preserve"> </w:t>
      </w:r>
      <w:r>
        <w:rPr>
          <w:rFonts w:ascii="Calibri Light" w:hAnsi="Calibri Light"/>
          <w:i/>
          <w:sz w:val="20"/>
        </w:rPr>
        <w:t>of</w:t>
      </w:r>
      <w:r>
        <w:rPr>
          <w:rFonts w:ascii="Calibri Light" w:hAnsi="Calibri Light"/>
          <w:i/>
          <w:spacing w:val="-5"/>
          <w:sz w:val="20"/>
        </w:rPr>
        <w:t xml:space="preserve"> </w:t>
      </w:r>
      <w:r>
        <w:rPr>
          <w:rFonts w:ascii="Calibri Light" w:hAnsi="Calibri Light"/>
          <w:i/>
          <w:sz w:val="20"/>
        </w:rPr>
        <w:t>Substance</w:t>
      </w:r>
      <w:r>
        <w:rPr>
          <w:rFonts w:ascii="Calibri Light" w:hAnsi="Calibri Light"/>
          <w:i/>
          <w:spacing w:val="-5"/>
          <w:sz w:val="20"/>
        </w:rPr>
        <w:t xml:space="preserve"> </w:t>
      </w:r>
      <w:r>
        <w:rPr>
          <w:rFonts w:ascii="Calibri Light" w:hAnsi="Calibri Light"/>
          <w:i/>
          <w:sz w:val="20"/>
        </w:rPr>
        <w:t>Abuse Treatment, 44</w:t>
      </w:r>
      <w:r>
        <w:rPr>
          <w:rFonts w:ascii="Calibri Light" w:hAnsi="Calibri Light"/>
          <w:sz w:val="20"/>
        </w:rPr>
        <w:t>(4), 407–416. doi:10.1016/j.jsat.2012.10.001</w:t>
      </w:r>
    </w:p>
    <w:p w14:paraId="25D089CA" w14:textId="77777777" w:rsidR="00DB6E1F" w:rsidRDefault="00F666A6">
      <w:pPr>
        <w:spacing w:line="259" w:lineRule="auto"/>
        <w:ind w:left="1619" w:right="1444" w:hanging="181"/>
        <w:rPr>
          <w:rFonts w:ascii="Calibri Light" w:hAnsi="Calibri Light"/>
          <w:sz w:val="20"/>
        </w:rPr>
      </w:pPr>
      <w:r>
        <w:rPr>
          <w:rFonts w:ascii="Calibri Light" w:hAnsi="Calibri Light"/>
          <w:sz w:val="20"/>
        </w:rPr>
        <w:t>Jackson, L. A., Buxton, J. A., Dingwell, J., Dykeman, M., Gahagan, J., Gallant, K., … Davison, C. (2014). Improving psychosocial</w:t>
      </w:r>
      <w:r>
        <w:rPr>
          <w:rFonts w:ascii="Calibri Light" w:hAnsi="Calibri Light"/>
          <w:spacing w:val="-4"/>
          <w:sz w:val="20"/>
        </w:rPr>
        <w:t xml:space="preserve"> </w:t>
      </w:r>
      <w:r>
        <w:rPr>
          <w:rFonts w:ascii="Calibri Light" w:hAnsi="Calibri Light"/>
          <w:sz w:val="20"/>
        </w:rPr>
        <w:t>health</w:t>
      </w:r>
      <w:r>
        <w:rPr>
          <w:rFonts w:ascii="Calibri Light" w:hAnsi="Calibri Light"/>
          <w:spacing w:val="-4"/>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employment</w:t>
      </w:r>
      <w:r>
        <w:rPr>
          <w:rFonts w:ascii="Calibri Light" w:hAnsi="Calibri Light"/>
          <w:spacing w:val="-4"/>
          <w:sz w:val="20"/>
        </w:rPr>
        <w:t xml:space="preserve"> </w:t>
      </w:r>
      <w:r>
        <w:rPr>
          <w:rFonts w:ascii="Calibri Light" w:hAnsi="Calibri Light"/>
          <w:sz w:val="20"/>
        </w:rPr>
        <w:t>outcomes</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individuals</w:t>
      </w:r>
      <w:r>
        <w:rPr>
          <w:rFonts w:ascii="Calibri Light" w:hAnsi="Calibri Light"/>
          <w:spacing w:val="-4"/>
          <w:sz w:val="20"/>
        </w:rPr>
        <w:t xml:space="preserve"> </w:t>
      </w:r>
      <w:r>
        <w:rPr>
          <w:rFonts w:ascii="Calibri Light" w:hAnsi="Calibri Light"/>
          <w:sz w:val="20"/>
        </w:rPr>
        <w:t>receiving</w:t>
      </w:r>
      <w:r>
        <w:rPr>
          <w:rFonts w:ascii="Calibri Light" w:hAnsi="Calibri Light"/>
          <w:spacing w:val="-4"/>
          <w:sz w:val="20"/>
        </w:rPr>
        <w:t xml:space="preserve"> </w:t>
      </w:r>
      <w:r>
        <w:rPr>
          <w:rFonts w:ascii="Calibri Light" w:hAnsi="Calibri Light"/>
          <w:sz w:val="20"/>
        </w:rPr>
        <w:t>methadone</w:t>
      </w:r>
      <w:r>
        <w:rPr>
          <w:rFonts w:ascii="Calibri Light" w:hAnsi="Calibri Light"/>
          <w:spacing w:val="-4"/>
          <w:sz w:val="20"/>
        </w:rPr>
        <w:t xml:space="preserve"> </w:t>
      </w:r>
      <w:r>
        <w:rPr>
          <w:rFonts w:ascii="Calibri Light" w:hAnsi="Calibri Light"/>
          <w:sz w:val="20"/>
        </w:rPr>
        <w:t>treatment:</w:t>
      </w:r>
      <w:r>
        <w:rPr>
          <w:rFonts w:ascii="Calibri Light" w:hAnsi="Calibri Light"/>
          <w:spacing w:val="-3"/>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realist</w:t>
      </w:r>
      <w:r>
        <w:rPr>
          <w:rFonts w:ascii="Calibri Light" w:hAnsi="Calibri Light"/>
          <w:spacing w:val="-4"/>
          <w:sz w:val="20"/>
        </w:rPr>
        <w:t xml:space="preserve"> </w:t>
      </w:r>
      <w:r>
        <w:rPr>
          <w:rFonts w:ascii="Calibri Light" w:hAnsi="Calibri Light"/>
          <w:sz w:val="20"/>
        </w:rPr>
        <w:t>synthesis of what makes interventions w</w:t>
      </w:r>
      <w:r>
        <w:rPr>
          <w:rFonts w:ascii="Calibri Light" w:hAnsi="Calibri Light"/>
          <w:sz w:val="20"/>
        </w:rPr>
        <w:t xml:space="preserve">ork. </w:t>
      </w:r>
      <w:r>
        <w:rPr>
          <w:rFonts w:ascii="Calibri Light" w:hAnsi="Calibri Light"/>
          <w:i/>
          <w:sz w:val="20"/>
        </w:rPr>
        <w:t>BMC Psychology</w:t>
      </w:r>
      <w:r>
        <w:rPr>
          <w:rFonts w:ascii="Calibri Light" w:hAnsi="Calibri Light"/>
          <w:sz w:val="20"/>
        </w:rPr>
        <w:t xml:space="preserve">, </w:t>
      </w:r>
      <w:r>
        <w:rPr>
          <w:rFonts w:ascii="Calibri Light" w:hAnsi="Calibri Light"/>
          <w:i/>
          <w:sz w:val="20"/>
        </w:rPr>
        <w:t>2</w:t>
      </w:r>
      <w:r>
        <w:rPr>
          <w:rFonts w:ascii="Calibri Light" w:hAnsi="Calibri Light"/>
          <w:sz w:val="20"/>
        </w:rPr>
        <w:t>(1), 26. doi:10.1186/s40359-014-0026-3</w:t>
      </w:r>
    </w:p>
    <w:p w14:paraId="4C42BF48" w14:textId="77777777" w:rsidR="00DB6E1F" w:rsidRDefault="00F666A6">
      <w:pPr>
        <w:spacing w:line="243" w:lineRule="exact"/>
        <w:ind w:left="1439"/>
        <w:rPr>
          <w:rFonts w:ascii="Calibri Light"/>
          <w:i/>
          <w:sz w:val="20"/>
        </w:rPr>
      </w:pPr>
      <w:r>
        <w:rPr>
          <w:rFonts w:ascii="Calibri Light"/>
          <w:sz w:val="20"/>
        </w:rPr>
        <w:t>Janis,</w:t>
      </w:r>
      <w:r>
        <w:rPr>
          <w:rFonts w:ascii="Calibri Light"/>
          <w:spacing w:val="-7"/>
          <w:sz w:val="20"/>
        </w:rPr>
        <w:t xml:space="preserve"> </w:t>
      </w:r>
      <w:r>
        <w:rPr>
          <w:rFonts w:ascii="Calibri Light"/>
          <w:sz w:val="20"/>
        </w:rPr>
        <w:t>L.</w:t>
      </w:r>
      <w:r>
        <w:rPr>
          <w:rFonts w:ascii="Calibri Light"/>
          <w:spacing w:val="-6"/>
          <w:sz w:val="20"/>
        </w:rPr>
        <w:t xml:space="preserve"> </w:t>
      </w:r>
      <w:r>
        <w:rPr>
          <w:rFonts w:ascii="Calibri Light"/>
          <w:sz w:val="20"/>
        </w:rPr>
        <w:t>L.,</w:t>
      </w:r>
      <w:r>
        <w:rPr>
          <w:rFonts w:ascii="Calibri Light"/>
          <w:spacing w:val="-6"/>
          <w:sz w:val="20"/>
        </w:rPr>
        <w:t xml:space="preserve"> </w:t>
      </w:r>
      <w:r>
        <w:rPr>
          <w:rFonts w:ascii="Calibri Light"/>
          <w:sz w:val="20"/>
        </w:rPr>
        <w:t>&amp;</w:t>
      </w:r>
      <w:r>
        <w:rPr>
          <w:rFonts w:ascii="Calibri Light"/>
          <w:spacing w:val="-4"/>
          <w:sz w:val="20"/>
        </w:rPr>
        <w:t xml:space="preserve"> </w:t>
      </w:r>
      <w:r>
        <w:rPr>
          <w:rFonts w:ascii="Calibri Light"/>
          <w:sz w:val="20"/>
        </w:rPr>
        <w:t>Mann,</w:t>
      </w:r>
      <w:r>
        <w:rPr>
          <w:rFonts w:ascii="Calibri Light"/>
          <w:spacing w:val="-6"/>
          <w:sz w:val="20"/>
        </w:rPr>
        <w:t xml:space="preserve"> </w:t>
      </w:r>
      <w:r>
        <w:rPr>
          <w:rFonts w:ascii="Calibri Light"/>
          <w:sz w:val="20"/>
        </w:rPr>
        <w:t>L.</w:t>
      </w:r>
      <w:r>
        <w:rPr>
          <w:rFonts w:ascii="Calibri Light"/>
          <w:spacing w:val="-6"/>
          <w:sz w:val="20"/>
        </w:rPr>
        <w:t xml:space="preserve"> </w:t>
      </w:r>
      <w:r>
        <w:rPr>
          <w:rFonts w:ascii="Calibri Light"/>
          <w:sz w:val="20"/>
        </w:rPr>
        <w:t>(1977).</w:t>
      </w:r>
      <w:r>
        <w:rPr>
          <w:rFonts w:ascii="Calibri Light"/>
          <w:spacing w:val="-7"/>
          <w:sz w:val="20"/>
        </w:rPr>
        <w:t xml:space="preserve"> </w:t>
      </w:r>
      <w:r>
        <w:rPr>
          <w:rFonts w:ascii="Calibri Light"/>
          <w:i/>
          <w:sz w:val="20"/>
        </w:rPr>
        <w:t>Decision</w:t>
      </w:r>
      <w:r>
        <w:rPr>
          <w:rFonts w:ascii="Calibri Light"/>
          <w:i/>
          <w:spacing w:val="-5"/>
          <w:sz w:val="20"/>
        </w:rPr>
        <w:t xml:space="preserve"> </w:t>
      </w:r>
      <w:r>
        <w:rPr>
          <w:rFonts w:ascii="Calibri Light"/>
          <w:i/>
          <w:sz w:val="20"/>
        </w:rPr>
        <w:t>making:</w:t>
      </w:r>
      <w:r>
        <w:rPr>
          <w:rFonts w:ascii="Calibri Light"/>
          <w:i/>
          <w:spacing w:val="-5"/>
          <w:sz w:val="20"/>
        </w:rPr>
        <w:t xml:space="preserve"> </w:t>
      </w:r>
      <w:r>
        <w:rPr>
          <w:rFonts w:ascii="Calibri Light"/>
          <w:i/>
          <w:sz w:val="20"/>
        </w:rPr>
        <w:t>A</w:t>
      </w:r>
      <w:r>
        <w:rPr>
          <w:rFonts w:ascii="Calibri Light"/>
          <w:i/>
          <w:spacing w:val="-5"/>
          <w:sz w:val="20"/>
        </w:rPr>
        <w:t xml:space="preserve"> </w:t>
      </w:r>
      <w:r>
        <w:rPr>
          <w:rFonts w:ascii="Calibri Light"/>
          <w:i/>
          <w:sz w:val="20"/>
        </w:rPr>
        <w:t>psychological</w:t>
      </w:r>
      <w:r>
        <w:rPr>
          <w:rFonts w:ascii="Calibri Light"/>
          <w:i/>
          <w:spacing w:val="-6"/>
          <w:sz w:val="20"/>
        </w:rPr>
        <w:t xml:space="preserve"> </w:t>
      </w:r>
      <w:r>
        <w:rPr>
          <w:rFonts w:ascii="Calibri Light"/>
          <w:i/>
          <w:sz w:val="20"/>
        </w:rPr>
        <w:t>analysis</w:t>
      </w:r>
      <w:r>
        <w:rPr>
          <w:rFonts w:ascii="Calibri Light"/>
          <w:i/>
          <w:spacing w:val="-6"/>
          <w:sz w:val="20"/>
        </w:rPr>
        <w:t xml:space="preserve"> </w:t>
      </w:r>
      <w:r>
        <w:rPr>
          <w:rFonts w:ascii="Calibri Light"/>
          <w:i/>
          <w:sz w:val="20"/>
        </w:rPr>
        <w:t>of</w:t>
      </w:r>
      <w:r>
        <w:rPr>
          <w:rFonts w:ascii="Calibri Light"/>
          <w:i/>
          <w:spacing w:val="-5"/>
          <w:sz w:val="20"/>
        </w:rPr>
        <w:t xml:space="preserve"> </w:t>
      </w:r>
      <w:r>
        <w:rPr>
          <w:rFonts w:ascii="Calibri Light"/>
          <w:i/>
          <w:sz w:val="20"/>
        </w:rPr>
        <w:t>conflict,</w:t>
      </w:r>
      <w:r>
        <w:rPr>
          <w:rFonts w:ascii="Calibri Light"/>
          <w:i/>
          <w:spacing w:val="-6"/>
          <w:sz w:val="20"/>
        </w:rPr>
        <w:t xml:space="preserve"> </w:t>
      </w:r>
      <w:r>
        <w:rPr>
          <w:rFonts w:ascii="Calibri Light"/>
          <w:i/>
          <w:sz w:val="20"/>
        </w:rPr>
        <w:t>choice,</w:t>
      </w:r>
      <w:r>
        <w:rPr>
          <w:rFonts w:ascii="Calibri Light"/>
          <w:i/>
          <w:spacing w:val="-3"/>
          <w:sz w:val="20"/>
        </w:rPr>
        <w:t xml:space="preserve"> </w:t>
      </w:r>
      <w:r>
        <w:rPr>
          <w:rFonts w:ascii="Calibri Light"/>
          <w:i/>
          <w:sz w:val="20"/>
        </w:rPr>
        <w:t>and</w:t>
      </w:r>
      <w:r>
        <w:rPr>
          <w:rFonts w:ascii="Calibri Light"/>
          <w:i/>
          <w:spacing w:val="-5"/>
          <w:sz w:val="20"/>
        </w:rPr>
        <w:t xml:space="preserve"> </w:t>
      </w:r>
      <w:r>
        <w:rPr>
          <w:rFonts w:ascii="Calibri Light"/>
          <w:i/>
          <w:spacing w:val="-2"/>
          <w:sz w:val="20"/>
        </w:rPr>
        <w:t>commitment.</w:t>
      </w:r>
    </w:p>
    <w:p w14:paraId="37B11023" w14:textId="77777777" w:rsidR="00DB6E1F" w:rsidRDefault="00F666A6">
      <w:pPr>
        <w:spacing w:before="17"/>
        <w:ind w:left="1619"/>
        <w:rPr>
          <w:rFonts w:ascii="Calibri Light"/>
          <w:sz w:val="20"/>
        </w:rPr>
      </w:pPr>
      <w:r>
        <w:rPr>
          <w:rFonts w:ascii="Calibri Light"/>
          <w:sz w:val="20"/>
        </w:rPr>
        <w:t>London,</w:t>
      </w:r>
      <w:r>
        <w:rPr>
          <w:rFonts w:ascii="Calibri Light"/>
          <w:spacing w:val="-8"/>
          <w:sz w:val="20"/>
        </w:rPr>
        <w:t xml:space="preserve"> </w:t>
      </w:r>
      <w:r>
        <w:rPr>
          <w:rFonts w:ascii="Calibri Light"/>
          <w:sz w:val="20"/>
        </w:rPr>
        <w:t>England:</w:t>
      </w:r>
      <w:r>
        <w:rPr>
          <w:rFonts w:ascii="Calibri Light"/>
          <w:spacing w:val="-5"/>
          <w:sz w:val="20"/>
        </w:rPr>
        <w:t xml:space="preserve"> </w:t>
      </w:r>
      <w:r>
        <w:rPr>
          <w:rFonts w:ascii="Calibri Light"/>
          <w:sz w:val="20"/>
        </w:rPr>
        <w:t>Cassel</w:t>
      </w:r>
      <w:r>
        <w:rPr>
          <w:rFonts w:ascii="Calibri Light"/>
          <w:spacing w:val="-7"/>
          <w:sz w:val="20"/>
        </w:rPr>
        <w:t xml:space="preserve"> </w:t>
      </w:r>
      <w:r>
        <w:rPr>
          <w:rFonts w:ascii="Calibri Light"/>
          <w:sz w:val="20"/>
        </w:rPr>
        <w:t>and</w:t>
      </w:r>
      <w:r>
        <w:rPr>
          <w:rFonts w:ascii="Calibri Light"/>
          <w:spacing w:val="-7"/>
          <w:sz w:val="20"/>
        </w:rPr>
        <w:t xml:space="preserve"> </w:t>
      </w:r>
      <w:r>
        <w:rPr>
          <w:rFonts w:ascii="Calibri Light"/>
          <w:sz w:val="20"/>
        </w:rPr>
        <w:t>Collier</w:t>
      </w:r>
      <w:r>
        <w:rPr>
          <w:rFonts w:ascii="Calibri Light"/>
          <w:spacing w:val="-6"/>
          <w:sz w:val="20"/>
        </w:rPr>
        <w:t xml:space="preserve"> </w:t>
      </w:r>
      <w:r>
        <w:rPr>
          <w:rFonts w:ascii="Calibri Light"/>
          <w:spacing w:val="-2"/>
          <w:sz w:val="20"/>
        </w:rPr>
        <w:t>Macmillan.</w:t>
      </w:r>
    </w:p>
    <w:p w14:paraId="1EC4E688" w14:textId="77777777" w:rsidR="00DB6E1F" w:rsidRDefault="00F666A6">
      <w:pPr>
        <w:spacing w:before="18" w:line="259" w:lineRule="auto"/>
        <w:ind w:left="1619" w:right="1491" w:hanging="180"/>
        <w:rPr>
          <w:rFonts w:ascii="Calibri Light" w:hAnsi="Calibri Light"/>
          <w:sz w:val="20"/>
        </w:rPr>
      </w:pPr>
      <w:r>
        <w:rPr>
          <w:rFonts w:ascii="Calibri Light" w:hAnsi="Calibri Light"/>
          <w:sz w:val="20"/>
        </w:rPr>
        <w:t>Jason, L. A., Salina, D., &amp; Ram, D. (2016). Oxford recovery housing: Length of stay correlated with improved outcomes</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women</w:t>
      </w:r>
      <w:r>
        <w:rPr>
          <w:rFonts w:ascii="Calibri Light" w:hAnsi="Calibri Light"/>
          <w:spacing w:val="-4"/>
          <w:sz w:val="20"/>
        </w:rPr>
        <w:t xml:space="preserve"> </w:t>
      </w:r>
      <w:r>
        <w:rPr>
          <w:rFonts w:ascii="Calibri Light" w:hAnsi="Calibri Light"/>
          <w:sz w:val="20"/>
        </w:rPr>
        <w:t>previously</w:t>
      </w:r>
      <w:r>
        <w:rPr>
          <w:rFonts w:ascii="Calibri Light" w:hAnsi="Calibri Light"/>
          <w:spacing w:val="-3"/>
          <w:sz w:val="20"/>
        </w:rPr>
        <w:t xml:space="preserve"> </w:t>
      </w:r>
      <w:r>
        <w:rPr>
          <w:rFonts w:ascii="Calibri Light" w:hAnsi="Calibri Light"/>
          <w:sz w:val="20"/>
        </w:rPr>
        <w:t>involved</w:t>
      </w:r>
      <w:r>
        <w:rPr>
          <w:rFonts w:ascii="Calibri Light" w:hAnsi="Calibri Light"/>
          <w:spacing w:val="-4"/>
          <w:sz w:val="20"/>
        </w:rPr>
        <w:t xml:space="preserve"> </w:t>
      </w:r>
      <w:r>
        <w:rPr>
          <w:rFonts w:ascii="Calibri Light" w:hAnsi="Calibri Light"/>
          <w:sz w:val="20"/>
        </w:rPr>
        <w:t>with</w:t>
      </w:r>
      <w:r>
        <w:rPr>
          <w:rFonts w:ascii="Calibri Light" w:hAnsi="Calibri Light"/>
          <w:spacing w:val="-4"/>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criminal</w:t>
      </w:r>
      <w:r>
        <w:rPr>
          <w:rFonts w:ascii="Calibri Light" w:hAnsi="Calibri Light"/>
          <w:spacing w:val="-4"/>
          <w:sz w:val="20"/>
        </w:rPr>
        <w:t xml:space="preserve"> </w:t>
      </w:r>
      <w:r>
        <w:rPr>
          <w:rFonts w:ascii="Calibri Light" w:hAnsi="Calibri Light"/>
          <w:sz w:val="20"/>
        </w:rPr>
        <w:t>justice</w:t>
      </w:r>
      <w:r>
        <w:rPr>
          <w:rFonts w:ascii="Calibri Light" w:hAnsi="Calibri Light"/>
          <w:spacing w:val="-4"/>
          <w:sz w:val="20"/>
        </w:rPr>
        <w:t xml:space="preserve"> </w:t>
      </w:r>
      <w:r>
        <w:rPr>
          <w:rFonts w:ascii="Calibri Light" w:hAnsi="Calibri Light"/>
          <w:sz w:val="20"/>
        </w:rPr>
        <w:t>system.</w:t>
      </w:r>
      <w:r>
        <w:rPr>
          <w:rFonts w:ascii="Calibri Light" w:hAnsi="Calibri Light"/>
          <w:spacing w:val="-4"/>
          <w:sz w:val="20"/>
        </w:rPr>
        <w:t xml:space="preserve"> </w:t>
      </w:r>
      <w:r>
        <w:rPr>
          <w:rFonts w:ascii="Calibri Light" w:hAnsi="Calibri Light"/>
          <w:i/>
          <w:sz w:val="20"/>
        </w:rPr>
        <w:t>Substance</w:t>
      </w:r>
      <w:r>
        <w:rPr>
          <w:rFonts w:ascii="Calibri Light" w:hAnsi="Calibri Light"/>
          <w:i/>
          <w:spacing w:val="-4"/>
          <w:sz w:val="20"/>
        </w:rPr>
        <w:t xml:space="preserve"> </w:t>
      </w:r>
      <w:r>
        <w:rPr>
          <w:rFonts w:ascii="Calibri Light" w:hAnsi="Calibri Light"/>
          <w:i/>
          <w:sz w:val="20"/>
        </w:rPr>
        <w:t>Abuse,</w:t>
      </w:r>
      <w:r>
        <w:rPr>
          <w:rFonts w:ascii="Calibri Light" w:hAnsi="Calibri Light"/>
          <w:i/>
          <w:spacing w:val="-4"/>
          <w:sz w:val="20"/>
        </w:rPr>
        <w:t xml:space="preserve"> </w:t>
      </w:r>
      <w:r>
        <w:rPr>
          <w:rFonts w:ascii="Calibri Light" w:hAnsi="Calibri Light"/>
          <w:i/>
          <w:sz w:val="20"/>
        </w:rPr>
        <w:t>37</w:t>
      </w:r>
      <w:r>
        <w:rPr>
          <w:rFonts w:ascii="Calibri Light" w:hAnsi="Calibri Light"/>
          <w:sz w:val="20"/>
        </w:rPr>
        <w:t>(1),</w:t>
      </w:r>
      <w:r>
        <w:rPr>
          <w:rFonts w:ascii="Calibri Light" w:hAnsi="Calibri Light"/>
          <w:spacing w:val="-4"/>
          <w:sz w:val="20"/>
        </w:rPr>
        <w:t xml:space="preserve"> </w:t>
      </w:r>
      <w:r>
        <w:rPr>
          <w:rFonts w:ascii="Calibri Light" w:hAnsi="Calibri Light"/>
          <w:sz w:val="20"/>
        </w:rPr>
        <w:t xml:space="preserve">248–254. </w:t>
      </w:r>
      <w:r>
        <w:rPr>
          <w:rFonts w:ascii="Calibri Light" w:hAnsi="Calibri Light"/>
          <w:spacing w:val="-2"/>
          <w:sz w:val="20"/>
        </w:rPr>
        <w:t>doi:10.1080/08897077.2015.1037946</w:t>
      </w:r>
    </w:p>
    <w:p w14:paraId="02CCC4C1" w14:textId="77777777" w:rsidR="00DB6E1F" w:rsidRDefault="00F666A6">
      <w:pPr>
        <w:spacing w:before="1" w:line="259" w:lineRule="auto"/>
        <w:ind w:left="1618" w:right="1491" w:hanging="180"/>
        <w:rPr>
          <w:rFonts w:ascii="Calibri Light" w:hAnsi="Calibri Light"/>
          <w:sz w:val="20"/>
        </w:rPr>
      </w:pPr>
      <w:r>
        <w:rPr>
          <w:rFonts w:ascii="Calibri Light" w:hAnsi="Calibri Light"/>
          <w:sz w:val="20"/>
        </w:rPr>
        <w:t>Jiang, S., Wu, L., &amp; Gao, X. (2017). Beyond face-to-face individual counseling: A systematic review on alternative modes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2"/>
          <w:sz w:val="20"/>
        </w:rPr>
        <w:t xml:space="preserve"> </w:t>
      </w:r>
      <w:r>
        <w:rPr>
          <w:rFonts w:ascii="Calibri Light" w:hAnsi="Calibri Light"/>
          <w:sz w:val="20"/>
        </w:rPr>
        <w:t>interviewing</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substance</w:t>
      </w:r>
      <w:r>
        <w:rPr>
          <w:rFonts w:ascii="Calibri Light" w:hAnsi="Calibri Light"/>
          <w:spacing w:val="-3"/>
          <w:sz w:val="20"/>
        </w:rPr>
        <w:t xml:space="preserve"> </w:t>
      </w:r>
      <w:r>
        <w:rPr>
          <w:rFonts w:ascii="Calibri Light" w:hAnsi="Calibri Light"/>
          <w:sz w:val="20"/>
        </w:rPr>
        <w:t>abuse</w:t>
      </w:r>
      <w:r>
        <w:rPr>
          <w:rFonts w:ascii="Calibri Light" w:hAnsi="Calibri Light"/>
          <w:spacing w:val="-3"/>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prevention.</w:t>
      </w:r>
      <w:r>
        <w:rPr>
          <w:rFonts w:ascii="Calibri Light" w:hAnsi="Calibri Light"/>
          <w:spacing w:val="-3"/>
          <w:sz w:val="20"/>
        </w:rPr>
        <w:t xml:space="preserve"> </w:t>
      </w:r>
      <w:r>
        <w:rPr>
          <w:rFonts w:ascii="Calibri Light" w:hAnsi="Calibri Light"/>
          <w:i/>
          <w:sz w:val="20"/>
        </w:rPr>
        <w:t>Addictive</w:t>
      </w:r>
      <w:r>
        <w:rPr>
          <w:rFonts w:ascii="Calibri Light" w:hAnsi="Calibri Light"/>
          <w:i/>
          <w:spacing w:val="-3"/>
          <w:sz w:val="20"/>
        </w:rPr>
        <w:t xml:space="preserve"> </w:t>
      </w:r>
      <w:r>
        <w:rPr>
          <w:rFonts w:ascii="Calibri Light" w:hAnsi="Calibri Light"/>
          <w:i/>
          <w:sz w:val="20"/>
        </w:rPr>
        <w:t>Behaviors,</w:t>
      </w:r>
      <w:r>
        <w:rPr>
          <w:rFonts w:ascii="Calibri Light" w:hAnsi="Calibri Light"/>
          <w:i/>
          <w:spacing w:val="-4"/>
          <w:sz w:val="20"/>
        </w:rPr>
        <w:t xml:space="preserve"> </w:t>
      </w:r>
      <w:r>
        <w:rPr>
          <w:rFonts w:ascii="Calibri Light" w:hAnsi="Calibri Light"/>
          <w:i/>
          <w:sz w:val="20"/>
        </w:rPr>
        <w:t>73</w:t>
      </w:r>
      <w:r>
        <w:rPr>
          <w:rFonts w:ascii="Calibri Light" w:hAnsi="Calibri Light"/>
          <w:sz w:val="20"/>
        </w:rPr>
        <w:t>,</w:t>
      </w:r>
      <w:r>
        <w:rPr>
          <w:rFonts w:ascii="Calibri Light" w:hAnsi="Calibri Light"/>
          <w:spacing w:val="-4"/>
          <w:sz w:val="20"/>
        </w:rPr>
        <w:t xml:space="preserve"> </w:t>
      </w:r>
      <w:r>
        <w:rPr>
          <w:rFonts w:ascii="Calibri Light" w:hAnsi="Calibri Light"/>
          <w:sz w:val="20"/>
        </w:rPr>
        <w:t>21</w:t>
      </w:r>
      <w:r>
        <w:rPr>
          <w:rFonts w:ascii="Calibri Light" w:hAnsi="Calibri Light"/>
          <w:sz w:val="20"/>
        </w:rPr>
        <w:t xml:space="preserve">6– </w:t>
      </w:r>
      <w:r>
        <w:rPr>
          <w:rFonts w:ascii="Calibri Light" w:hAnsi="Calibri Light"/>
          <w:spacing w:val="-4"/>
          <w:sz w:val="20"/>
        </w:rPr>
        <w:t>235</w:t>
      </w:r>
    </w:p>
    <w:p w14:paraId="04A4CF52" w14:textId="77777777" w:rsidR="00DB6E1F" w:rsidRDefault="00F666A6">
      <w:pPr>
        <w:spacing w:line="259" w:lineRule="auto"/>
        <w:ind w:left="1618" w:right="1491" w:hanging="180"/>
        <w:rPr>
          <w:rFonts w:ascii="Calibri Light" w:hAnsi="Calibri Light"/>
          <w:sz w:val="20"/>
        </w:rPr>
      </w:pPr>
      <w:r>
        <w:rPr>
          <w:rFonts w:ascii="Calibri Light" w:hAnsi="Calibri Light"/>
          <w:sz w:val="20"/>
        </w:rPr>
        <w:t>Joseph,</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Basu,</w:t>
      </w:r>
      <w:r>
        <w:rPr>
          <w:rFonts w:ascii="Calibri Light" w:hAnsi="Calibri Light"/>
          <w:spacing w:val="-4"/>
          <w:sz w:val="20"/>
        </w:rPr>
        <w:t xml:space="preserve"> </w:t>
      </w:r>
      <w:r>
        <w:rPr>
          <w:rFonts w:ascii="Calibri Light" w:hAnsi="Calibri Light"/>
          <w:sz w:val="20"/>
        </w:rPr>
        <w:t>D.</w:t>
      </w:r>
      <w:r>
        <w:rPr>
          <w:rFonts w:ascii="Calibri Light" w:hAnsi="Calibri Light"/>
          <w:spacing w:val="-4"/>
          <w:sz w:val="20"/>
        </w:rPr>
        <w:t xml:space="preserve"> </w:t>
      </w:r>
      <w:r>
        <w:rPr>
          <w:rFonts w:ascii="Calibri Light" w:hAnsi="Calibri Light"/>
          <w:sz w:val="20"/>
        </w:rPr>
        <w:t>(2016).</w:t>
      </w:r>
      <w:r>
        <w:rPr>
          <w:rFonts w:ascii="Calibri Light" w:hAnsi="Calibri Light"/>
          <w:spacing w:val="-4"/>
          <w:sz w:val="20"/>
        </w:rPr>
        <w:t xml:space="preserve"> </w:t>
      </w:r>
      <w:r>
        <w:rPr>
          <w:rFonts w:ascii="Calibri Light" w:hAnsi="Calibri Light"/>
          <w:sz w:val="20"/>
        </w:rPr>
        <w:t>Efficacy</w:t>
      </w:r>
      <w:r>
        <w:rPr>
          <w:rFonts w:ascii="Calibri Light" w:hAnsi="Calibri Light"/>
          <w:spacing w:val="-2"/>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brief</w:t>
      </w:r>
      <w:r>
        <w:rPr>
          <w:rFonts w:ascii="Calibri Light" w:hAnsi="Calibri Light"/>
          <w:spacing w:val="-3"/>
          <w:sz w:val="20"/>
        </w:rPr>
        <w:t xml:space="preserve"> </w:t>
      </w:r>
      <w:r>
        <w:rPr>
          <w:rFonts w:ascii="Calibri Light" w:hAnsi="Calibri Light"/>
          <w:sz w:val="20"/>
        </w:rPr>
        <w:t>interventions</w:t>
      </w:r>
      <w:r>
        <w:rPr>
          <w:rFonts w:ascii="Calibri Light" w:hAnsi="Calibri Light"/>
          <w:spacing w:val="-1"/>
          <w:sz w:val="20"/>
        </w:rPr>
        <w:t xml:space="preserve"> </w:t>
      </w:r>
      <w:r>
        <w:rPr>
          <w:rFonts w:ascii="Calibri Light" w:hAnsi="Calibri Light"/>
          <w:sz w:val="20"/>
        </w:rPr>
        <w:t>in</w:t>
      </w:r>
      <w:r>
        <w:rPr>
          <w:rFonts w:ascii="Calibri Light" w:hAnsi="Calibri Light"/>
          <w:spacing w:val="-1"/>
          <w:sz w:val="20"/>
        </w:rPr>
        <w:t xml:space="preserve"> </w:t>
      </w:r>
      <w:r>
        <w:rPr>
          <w:rFonts w:ascii="Calibri Light" w:hAnsi="Calibri Light"/>
          <w:sz w:val="20"/>
        </w:rPr>
        <w:t>reducing</w:t>
      </w:r>
      <w:r>
        <w:rPr>
          <w:rFonts w:ascii="Calibri Light" w:hAnsi="Calibri Light"/>
          <w:spacing w:val="-3"/>
          <w:sz w:val="20"/>
        </w:rPr>
        <w:t xml:space="preserve"> </w:t>
      </w:r>
      <w:r>
        <w:rPr>
          <w:rFonts w:ascii="Calibri Light" w:hAnsi="Calibri Light"/>
          <w:sz w:val="20"/>
        </w:rPr>
        <w:t>hazardous</w:t>
      </w:r>
      <w:r>
        <w:rPr>
          <w:rFonts w:ascii="Calibri Light" w:hAnsi="Calibri Light"/>
          <w:spacing w:val="-3"/>
          <w:sz w:val="20"/>
        </w:rPr>
        <w:t xml:space="preserve"> </w:t>
      </w:r>
      <w:r>
        <w:rPr>
          <w:rFonts w:ascii="Calibri Light" w:hAnsi="Calibri Light"/>
          <w:sz w:val="20"/>
        </w:rPr>
        <w:t>or</w:t>
      </w:r>
      <w:r>
        <w:rPr>
          <w:rFonts w:ascii="Calibri Light" w:hAnsi="Calibri Light"/>
          <w:spacing w:val="-2"/>
          <w:sz w:val="20"/>
        </w:rPr>
        <w:t xml:space="preserve"> </w:t>
      </w:r>
      <w:r>
        <w:rPr>
          <w:rFonts w:ascii="Calibri Light" w:hAnsi="Calibri Light"/>
          <w:sz w:val="20"/>
        </w:rPr>
        <w:t>harmful</w:t>
      </w:r>
      <w:r>
        <w:rPr>
          <w:rFonts w:ascii="Calibri Light" w:hAnsi="Calibri Light"/>
          <w:spacing w:val="-4"/>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 xml:space="preserve">middle- income countries: Systematic review of randomized controlled trials. </w:t>
      </w:r>
      <w:r>
        <w:rPr>
          <w:rFonts w:ascii="Calibri Light" w:hAnsi="Calibri Light"/>
          <w:i/>
          <w:sz w:val="20"/>
        </w:rPr>
        <w:t>Alcohol and Alcoholism, 52</w:t>
      </w:r>
      <w:r>
        <w:rPr>
          <w:rFonts w:ascii="Calibri Light" w:hAnsi="Calibri Light"/>
          <w:sz w:val="20"/>
        </w:rPr>
        <w:t xml:space="preserve">(1), 56–64. </w:t>
      </w:r>
      <w:r>
        <w:rPr>
          <w:rFonts w:ascii="Calibri Light" w:hAnsi="Calibri Light"/>
          <w:spacing w:val="-2"/>
          <w:sz w:val="20"/>
        </w:rPr>
        <w:t>doi:10.1093/alcalc/agw054</w:t>
      </w:r>
    </w:p>
    <w:p w14:paraId="41B240E7" w14:textId="77777777" w:rsidR="00DB6E1F" w:rsidRDefault="00F666A6">
      <w:pPr>
        <w:spacing w:line="259" w:lineRule="auto"/>
        <w:ind w:left="1618" w:right="1491" w:hanging="181"/>
        <w:rPr>
          <w:rFonts w:ascii="Calibri Light" w:hAnsi="Calibri Light"/>
          <w:sz w:val="20"/>
        </w:rPr>
      </w:pPr>
      <w:r>
        <w:rPr>
          <w:rFonts w:ascii="Calibri Light" w:hAnsi="Calibri Light"/>
          <w:sz w:val="20"/>
        </w:rPr>
        <w:t>Kadden,</w:t>
      </w:r>
      <w:r>
        <w:rPr>
          <w:rFonts w:ascii="Calibri Light" w:hAnsi="Calibri Light"/>
          <w:spacing w:val="-4"/>
          <w:sz w:val="20"/>
        </w:rPr>
        <w:t xml:space="preserve"> </w:t>
      </w:r>
      <w:r>
        <w:rPr>
          <w:rFonts w:ascii="Calibri Light" w:hAnsi="Calibri Light"/>
          <w:sz w:val="20"/>
        </w:rPr>
        <w:t>R.</w:t>
      </w:r>
      <w:r>
        <w:rPr>
          <w:rFonts w:ascii="Calibri Light" w:hAnsi="Calibri Light"/>
          <w:spacing w:val="-1"/>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Litt,</w:t>
      </w:r>
      <w:r>
        <w:rPr>
          <w:rFonts w:ascii="Calibri Light" w:hAnsi="Calibri Light"/>
          <w:spacing w:val="-1"/>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D.</w:t>
      </w:r>
      <w:r>
        <w:rPr>
          <w:rFonts w:ascii="Calibri Light" w:hAnsi="Calibri Light"/>
          <w:spacing w:val="-4"/>
          <w:sz w:val="20"/>
        </w:rPr>
        <w:t xml:space="preserve"> </w:t>
      </w:r>
      <w:r>
        <w:rPr>
          <w:rFonts w:ascii="Calibri Light" w:hAnsi="Calibri Light"/>
          <w:sz w:val="20"/>
        </w:rPr>
        <w:t>(2011).</w:t>
      </w:r>
      <w:r>
        <w:rPr>
          <w:rFonts w:ascii="Calibri Light" w:hAnsi="Calibri Light"/>
          <w:spacing w:val="-4"/>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role</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self-efficacy</w:t>
      </w:r>
      <w:r>
        <w:rPr>
          <w:rFonts w:ascii="Calibri Light" w:hAnsi="Calibri Light"/>
          <w:spacing w:val="-2"/>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substance</w:t>
      </w:r>
      <w:r>
        <w:rPr>
          <w:rFonts w:ascii="Calibri Light" w:hAnsi="Calibri Light"/>
          <w:spacing w:val="-1"/>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disorders.</w:t>
      </w:r>
      <w:r>
        <w:rPr>
          <w:rFonts w:ascii="Calibri Light" w:hAnsi="Calibri Light"/>
          <w:spacing w:val="-4"/>
          <w:sz w:val="20"/>
        </w:rPr>
        <w:t xml:space="preserve"> </w:t>
      </w:r>
      <w:r>
        <w:rPr>
          <w:rFonts w:ascii="Calibri Light" w:hAnsi="Calibri Light"/>
          <w:i/>
          <w:sz w:val="20"/>
        </w:rPr>
        <w:t>Addicti</w:t>
      </w:r>
      <w:r>
        <w:rPr>
          <w:rFonts w:ascii="Calibri Light" w:hAnsi="Calibri Light"/>
          <w:i/>
          <w:sz w:val="20"/>
        </w:rPr>
        <w:t>ve Behaviors</w:t>
      </w:r>
      <w:r>
        <w:rPr>
          <w:rFonts w:ascii="Calibri Light" w:hAnsi="Calibri Light"/>
          <w:sz w:val="20"/>
        </w:rPr>
        <w:t xml:space="preserve">, </w:t>
      </w:r>
      <w:r>
        <w:rPr>
          <w:rFonts w:ascii="Calibri Light" w:hAnsi="Calibri Light"/>
          <w:i/>
          <w:sz w:val="20"/>
        </w:rPr>
        <w:t>36</w:t>
      </w:r>
      <w:r>
        <w:rPr>
          <w:rFonts w:ascii="Calibri Light" w:hAnsi="Calibri Light"/>
          <w:sz w:val="20"/>
        </w:rPr>
        <w:t>(12), 1120–1126.</w:t>
      </w:r>
    </w:p>
    <w:p w14:paraId="6E70ACA8" w14:textId="77777777" w:rsidR="00DB6E1F" w:rsidRDefault="00F666A6">
      <w:pPr>
        <w:spacing w:line="259" w:lineRule="auto"/>
        <w:ind w:left="1620" w:right="1444" w:hanging="181"/>
        <w:rPr>
          <w:rFonts w:ascii="Calibri Light" w:hAnsi="Calibri Light"/>
          <w:sz w:val="20"/>
        </w:rPr>
      </w:pPr>
      <w:r>
        <w:rPr>
          <w:rFonts w:ascii="Calibri Light" w:hAnsi="Calibri Light"/>
          <w:sz w:val="20"/>
        </w:rPr>
        <w:t>Kahler, C.</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Pantalone,</w:t>
      </w:r>
      <w:r>
        <w:rPr>
          <w:rFonts w:ascii="Calibri Light" w:hAnsi="Calibri Light"/>
          <w:spacing w:val="-1"/>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Mastroleo,</w:t>
      </w:r>
      <w:r>
        <w:rPr>
          <w:rFonts w:ascii="Calibri Light" w:hAnsi="Calibri Light"/>
          <w:spacing w:val="-3"/>
          <w:sz w:val="20"/>
        </w:rPr>
        <w:t xml:space="preserve"> </w:t>
      </w:r>
      <w:r>
        <w:rPr>
          <w:rFonts w:ascii="Calibri Light" w:hAnsi="Calibri Light"/>
          <w:sz w:val="20"/>
        </w:rPr>
        <w:t>N.</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Liu,</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Bove,</w:t>
      </w:r>
      <w:r>
        <w:rPr>
          <w:rFonts w:ascii="Calibri Light" w:hAnsi="Calibri Light"/>
          <w:spacing w:val="-3"/>
          <w:sz w:val="20"/>
        </w:rPr>
        <w:t xml:space="preserve"> </w:t>
      </w:r>
      <w:r>
        <w:rPr>
          <w:rFonts w:ascii="Calibri Light" w:hAnsi="Calibri Light"/>
          <w:sz w:val="20"/>
        </w:rPr>
        <w:t>G., Ramratnam,</w:t>
      </w:r>
      <w:r>
        <w:rPr>
          <w:rFonts w:ascii="Calibri Light" w:hAnsi="Calibri Light"/>
          <w:spacing w:val="-3"/>
          <w:sz w:val="20"/>
        </w:rPr>
        <w:t xml:space="preserve"> </w:t>
      </w:r>
      <w:r>
        <w:rPr>
          <w:rFonts w:ascii="Calibri Light" w:hAnsi="Calibri Light"/>
          <w:sz w:val="20"/>
        </w:rPr>
        <w:t>B., …</w:t>
      </w:r>
      <w:r>
        <w:rPr>
          <w:rFonts w:ascii="Calibri Light" w:hAnsi="Calibri Light"/>
          <w:spacing w:val="-3"/>
          <w:sz w:val="20"/>
        </w:rPr>
        <w:t xml:space="preserve"> </w:t>
      </w:r>
      <w:r>
        <w:rPr>
          <w:rFonts w:ascii="Calibri Light" w:hAnsi="Calibri Light"/>
          <w:sz w:val="20"/>
        </w:rPr>
        <w:t>Mayer,</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(2018).</w:t>
      </w:r>
      <w:r>
        <w:rPr>
          <w:rFonts w:ascii="Calibri Light" w:hAnsi="Calibri Light"/>
          <w:spacing w:val="-3"/>
          <w:sz w:val="20"/>
        </w:rPr>
        <w:t xml:space="preserve"> </w:t>
      </w:r>
      <w:r>
        <w:rPr>
          <w:rFonts w:ascii="Calibri Light" w:hAnsi="Calibri Light"/>
          <w:sz w:val="20"/>
        </w:rPr>
        <w:t xml:space="preserve">Motivational interviewing with personalized feedback to reduce alcohol use in HIV-infected men who have sex with men: A randomized controlled trial. </w:t>
      </w:r>
      <w:r>
        <w:rPr>
          <w:rFonts w:ascii="Calibri Light" w:hAnsi="Calibri Light"/>
          <w:i/>
          <w:sz w:val="20"/>
        </w:rPr>
        <w:t>Journal of Consulting and Clinical Psychology, 86</w:t>
      </w:r>
      <w:r>
        <w:rPr>
          <w:rFonts w:ascii="Calibri Light" w:hAnsi="Calibri Light"/>
          <w:sz w:val="20"/>
        </w:rPr>
        <w:t>(8), 645–656.</w:t>
      </w:r>
    </w:p>
    <w:p w14:paraId="739C9646" w14:textId="77777777" w:rsidR="00DB6E1F" w:rsidRDefault="00F666A6">
      <w:pPr>
        <w:spacing w:line="243" w:lineRule="exact"/>
        <w:ind w:left="1440"/>
        <w:rPr>
          <w:rFonts w:ascii="Calibri Light"/>
          <w:sz w:val="20"/>
        </w:rPr>
      </w:pPr>
      <w:r>
        <w:rPr>
          <w:rFonts w:ascii="Calibri Light"/>
          <w:sz w:val="20"/>
        </w:rPr>
        <w:t>Kanfer,</w:t>
      </w:r>
      <w:r>
        <w:rPr>
          <w:rFonts w:ascii="Calibri Light"/>
          <w:spacing w:val="-7"/>
          <w:sz w:val="20"/>
        </w:rPr>
        <w:t xml:space="preserve"> </w:t>
      </w:r>
      <w:r>
        <w:rPr>
          <w:rFonts w:ascii="Calibri Light"/>
          <w:sz w:val="20"/>
        </w:rPr>
        <w:t>F.</w:t>
      </w:r>
      <w:r>
        <w:rPr>
          <w:rFonts w:ascii="Calibri Light"/>
          <w:spacing w:val="-4"/>
          <w:sz w:val="20"/>
        </w:rPr>
        <w:t xml:space="preserve"> </w:t>
      </w:r>
      <w:r>
        <w:rPr>
          <w:rFonts w:ascii="Calibri Light"/>
          <w:sz w:val="20"/>
        </w:rPr>
        <w:t>H.,</w:t>
      </w:r>
      <w:r>
        <w:rPr>
          <w:rFonts w:ascii="Calibri Light"/>
          <w:spacing w:val="-7"/>
          <w:sz w:val="20"/>
        </w:rPr>
        <w:t xml:space="preserve"> </w:t>
      </w:r>
      <w:r>
        <w:rPr>
          <w:rFonts w:ascii="Calibri Light"/>
          <w:sz w:val="20"/>
        </w:rPr>
        <w:t>&amp;</w:t>
      </w:r>
      <w:r>
        <w:rPr>
          <w:rFonts w:ascii="Calibri Light"/>
          <w:spacing w:val="-4"/>
          <w:sz w:val="20"/>
        </w:rPr>
        <w:t xml:space="preserve"> </w:t>
      </w:r>
      <w:r>
        <w:rPr>
          <w:rFonts w:ascii="Calibri Light"/>
          <w:sz w:val="20"/>
        </w:rPr>
        <w:t>Schefft,</w:t>
      </w:r>
      <w:r>
        <w:rPr>
          <w:rFonts w:ascii="Calibri Light"/>
          <w:spacing w:val="-5"/>
          <w:sz w:val="20"/>
        </w:rPr>
        <w:t xml:space="preserve"> </w:t>
      </w:r>
      <w:r>
        <w:rPr>
          <w:rFonts w:ascii="Calibri Light"/>
          <w:sz w:val="20"/>
        </w:rPr>
        <w:t>B.</w:t>
      </w:r>
      <w:r>
        <w:rPr>
          <w:rFonts w:ascii="Calibri Light"/>
          <w:spacing w:val="-7"/>
          <w:sz w:val="20"/>
        </w:rPr>
        <w:t xml:space="preserve"> </w:t>
      </w:r>
      <w:r>
        <w:rPr>
          <w:rFonts w:ascii="Calibri Light"/>
          <w:sz w:val="20"/>
        </w:rPr>
        <w:t>K.</w:t>
      </w:r>
      <w:r>
        <w:rPr>
          <w:rFonts w:ascii="Calibri Light"/>
          <w:spacing w:val="-6"/>
          <w:sz w:val="20"/>
        </w:rPr>
        <w:t xml:space="preserve"> </w:t>
      </w:r>
      <w:r>
        <w:rPr>
          <w:rFonts w:ascii="Calibri Light"/>
          <w:sz w:val="20"/>
        </w:rPr>
        <w:t>(1988).</w:t>
      </w:r>
      <w:r>
        <w:rPr>
          <w:rFonts w:ascii="Calibri Light"/>
          <w:spacing w:val="-7"/>
          <w:sz w:val="20"/>
        </w:rPr>
        <w:t xml:space="preserve"> </w:t>
      </w:r>
      <w:r>
        <w:rPr>
          <w:rFonts w:ascii="Calibri Light"/>
          <w:i/>
          <w:sz w:val="20"/>
        </w:rPr>
        <w:t>Guid</w:t>
      </w:r>
      <w:r>
        <w:rPr>
          <w:rFonts w:ascii="Calibri Light"/>
          <w:i/>
          <w:sz w:val="20"/>
        </w:rPr>
        <w:t>ing</w:t>
      </w:r>
      <w:r>
        <w:rPr>
          <w:rFonts w:ascii="Calibri Light"/>
          <w:i/>
          <w:spacing w:val="-6"/>
          <w:sz w:val="20"/>
        </w:rPr>
        <w:t xml:space="preserve"> </w:t>
      </w:r>
      <w:r>
        <w:rPr>
          <w:rFonts w:ascii="Calibri Light"/>
          <w:i/>
          <w:sz w:val="20"/>
        </w:rPr>
        <w:t>the</w:t>
      </w:r>
      <w:r>
        <w:rPr>
          <w:rFonts w:ascii="Calibri Light"/>
          <w:i/>
          <w:spacing w:val="-5"/>
          <w:sz w:val="20"/>
        </w:rPr>
        <w:t xml:space="preserve"> </w:t>
      </w:r>
      <w:r>
        <w:rPr>
          <w:rFonts w:ascii="Calibri Light"/>
          <w:i/>
          <w:sz w:val="20"/>
        </w:rPr>
        <w:t>process</w:t>
      </w:r>
      <w:r>
        <w:rPr>
          <w:rFonts w:ascii="Calibri Light"/>
          <w:i/>
          <w:spacing w:val="-5"/>
          <w:sz w:val="20"/>
        </w:rPr>
        <w:t xml:space="preserve"> </w:t>
      </w:r>
      <w:r>
        <w:rPr>
          <w:rFonts w:ascii="Calibri Light"/>
          <w:i/>
          <w:sz w:val="20"/>
        </w:rPr>
        <w:t>of</w:t>
      </w:r>
      <w:r>
        <w:rPr>
          <w:rFonts w:ascii="Calibri Light"/>
          <w:i/>
          <w:spacing w:val="-6"/>
          <w:sz w:val="20"/>
        </w:rPr>
        <w:t xml:space="preserve"> </w:t>
      </w:r>
      <w:r>
        <w:rPr>
          <w:rFonts w:ascii="Calibri Light"/>
          <w:i/>
          <w:sz w:val="20"/>
        </w:rPr>
        <w:t>therapeutic</w:t>
      </w:r>
      <w:r>
        <w:rPr>
          <w:rFonts w:ascii="Calibri Light"/>
          <w:i/>
          <w:spacing w:val="-5"/>
          <w:sz w:val="20"/>
        </w:rPr>
        <w:t xml:space="preserve"> </w:t>
      </w:r>
      <w:r>
        <w:rPr>
          <w:rFonts w:ascii="Calibri Light"/>
          <w:i/>
          <w:sz w:val="20"/>
        </w:rPr>
        <w:t>change.</w:t>
      </w:r>
      <w:r>
        <w:rPr>
          <w:rFonts w:ascii="Calibri Light"/>
          <w:i/>
          <w:spacing w:val="-4"/>
          <w:sz w:val="20"/>
        </w:rPr>
        <w:t xml:space="preserve"> </w:t>
      </w:r>
      <w:r>
        <w:rPr>
          <w:rFonts w:ascii="Calibri Light"/>
          <w:sz w:val="20"/>
        </w:rPr>
        <w:t>Champaign,</w:t>
      </w:r>
      <w:r>
        <w:rPr>
          <w:rFonts w:ascii="Calibri Light"/>
          <w:spacing w:val="-6"/>
          <w:sz w:val="20"/>
        </w:rPr>
        <w:t xml:space="preserve"> </w:t>
      </w:r>
      <w:r>
        <w:rPr>
          <w:rFonts w:ascii="Calibri Light"/>
          <w:sz w:val="20"/>
        </w:rPr>
        <w:t>IL:</w:t>
      </w:r>
      <w:r>
        <w:rPr>
          <w:rFonts w:ascii="Calibri Light"/>
          <w:spacing w:val="-6"/>
          <w:sz w:val="20"/>
        </w:rPr>
        <w:t xml:space="preserve"> </w:t>
      </w:r>
      <w:r>
        <w:rPr>
          <w:rFonts w:ascii="Calibri Light"/>
          <w:sz w:val="20"/>
        </w:rPr>
        <w:t>Research</w:t>
      </w:r>
      <w:r>
        <w:rPr>
          <w:rFonts w:ascii="Calibri Light"/>
          <w:spacing w:val="-6"/>
          <w:sz w:val="20"/>
        </w:rPr>
        <w:t xml:space="preserve"> </w:t>
      </w:r>
      <w:r>
        <w:rPr>
          <w:rFonts w:ascii="Calibri Light"/>
          <w:spacing w:val="-2"/>
          <w:sz w:val="20"/>
        </w:rPr>
        <w:t>Press.</w:t>
      </w:r>
    </w:p>
    <w:p w14:paraId="593DF556" w14:textId="77777777" w:rsidR="00DB6E1F" w:rsidRDefault="00DB6E1F">
      <w:pPr>
        <w:spacing w:line="243" w:lineRule="exact"/>
        <w:rPr>
          <w:rFonts w:ascii="Calibri Light"/>
          <w:sz w:val="20"/>
        </w:rPr>
        <w:sectPr w:rsidR="00DB6E1F">
          <w:pgSz w:w="12240" w:h="15840"/>
          <w:pgMar w:top="1080" w:right="0" w:bottom="780" w:left="0" w:header="619" w:footer="585" w:gutter="0"/>
          <w:cols w:space="720"/>
        </w:sectPr>
      </w:pPr>
    </w:p>
    <w:p w14:paraId="38F9D276" w14:textId="77777777" w:rsidR="00DB6E1F" w:rsidRDefault="00DB6E1F">
      <w:pPr>
        <w:pStyle w:val="BodyText"/>
        <w:spacing w:before="4"/>
        <w:rPr>
          <w:rFonts w:ascii="Calibri Light"/>
          <w:sz w:val="24"/>
        </w:rPr>
      </w:pPr>
    </w:p>
    <w:p w14:paraId="630BDA1F" w14:textId="77777777" w:rsidR="00DB6E1F" w:rsidRDefault="00F666A6">
      <w:pPr>
        <w:spacing w:before="60" w:line="259" w:lineRule="auto"/>
        <w:ind w:left="1620" w:right="1693" w:hanging="181"/>
        <w:jc w:val="both"/>
        <w:rPr>
          <w:rFonts w:ascii="Calibri Light" w:hAnsi="Calibri Light"/>
          <w:sz w:val="20"/>
        </w:rPr>
      </w:pPr>
      <w:r>
        <w:rPr>
          <w:rFonts w:ascii="Calibri Light" w:hAnsi="Calibri Light"/>
          <w:sz w:val="20"/>
        </w:rPr>
        <w:t>Kelly,</w:t>
      </w:r>
      <w:r>
        <w:rPr>
          <w:rFonts w:ascii="Calibri Light" w:hAnsi="Calibri Light"/>
          <w:spacing w:val="-1"/>
          <w:sz w:val="20"/>
        </w:rPr>
        <w:t xml:space="preserve"> </w:t>
      </w:r>
      <w:r>
        <w:rPr>
          <w:rFonts w:ascii="Calibri Light" w:hAnsi="Calibri Light"/>
          <w:sz w:val="20"/>
        </w:rPr>
        <w:t>J. F., Bergman,</w:t>
      </w:r>
      <w:r>
        <w:rPr>
          <w:rFonts w:ascii="Calibri Light" w:hAnsi="Calibri Light"/>
          <w:spacing w:val="-1"/>
          <w:sz w:val="20"/>
        </w:rPr>
        <w:t xml:space="preserve"> </w:t>
      </w:r>
      <w:r>
        <w:rPr>
          <w:rFonts w:ascii="Calibri Light" w:hAnsi="Calibri Light"/>
          <w:sz w:val="20"/>
        </w:rPr>
        <w:t>B. G., Hoeppner, B.,</w:t>
      </w:r>
      <w:r>
        <w:rPr>
          <w:rFonts w:ascii="Calibri Light" w:hAnsi="Calibri Light"/>
          <w:spacing w:val="-1"/>
          <w:sz w:val="20"/>
        </w:rPr>
        <w:t xml:space="preserve"> </w:t>
      </w:r>
      <w:r>
        <w:rPr>
          <w:rFonts w:ascii="Calibri Light" w:hAnsi="Calibri Light"/>
          <w:sz w:val="20"/>
        </w:rPr>
        <w:t>Vilsaint, C.,</w:t>
      </w:r>
      <w:r>
        <w:rPr>
          <w:rFonts w:ascii="Calibri Light" w:hAnsi="Calibri Light"/>
          <w:spacing w:val="-1"/>
          <w:sz w:val="20"/>
        </w:rPr>
        <w:t xml:space="preserve"> </w:t>
      </w:r>
      <w:r>
        <w:rPr>
          <w:rFonts w:ascii="Calibri Light" w:hAnsi="Calibri Light"/>
          <w:sz w:val="20"/>
        </w:rPr>
        <w:t>&amp; White,</w:t>
      </w:r>
      <w:r>
        <w:rPr>
          <w:rFonts w:ascii="Calibri Light" w:hAnsi="Calibri Light"/>
          <w:spacing w:val="-1"/>
          <w:sz w:val="20"/>
        </w:rPr>
        <w:t xml:space="preserve"> </w:t>
      </w:r>
      <w:r>
        <w:rPr>
          <w:rFonts w:ascii="Calibri Light" w:hAnsi="Calibri Light"/>
          <w:sz w:val="20"/>
        </w:rPr>
        <w:t>W.</w:t>
      </w:r>
      <w:r>
        <w:rPr>
          <w:rFonts w:ascii="Calibri Light" w:hAnsi="Calibri Light"/>
          <w:spacing w:val="-1"/>
          <w:sz w:val="20"/>
        </w:rPr>
        <w:t xml:space="preserve"> </w:t>
      </w:r>
      <w:r>
        <w:rPr>
          <w:rFonts w:ascii="Calibri Light" w:hAnsi="Calibri Light"/>
          <w:sz w:val="20"/>
        </w:rPr>
        <w:t>L.</w:t>
      </w:r>
      <w:r>
        <w:rPr>
          <w:rFonts w:ascii="Calibri Light" w:hAnsi="Calibri Light"/>
          <w:spacing w:val="-1"/>
          <w:sz w:val="20"/>
        </w:rPr>
        <w:t xml:space="preserve"> </w:t>
      </w:r>
      <w:r>
        <w:rPr>
          <w:rFonts w:ascii="Calibri Light" w:hAnsi="Calibri Light"/>
          <w:sz w:val="20"/>
        </w:rPr>
        <w:t>(2017). Prevalence and pathways of recovery from</w:t>
      </w:r>
      <w:r>
        <w:rPr>
          <w:rFonts w:ascii="Calibri Light" w:hAnsi="Calibri Light"/>
          <w:spacing w:val="-2"/>
          <w:sz w:val="20"/>
        </w:rPr>
        <w:t xml:space="preserve"> </w:t>
      </w:r>
      <w:r>
        <w:rPr>
          <w:rFonts w:ascii="Calibri Light" w:hAnsi="Calibri Light"/>
          <w:sz w:val="20"/>
        </w:rPr>
        <w:t>drug</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alcohol</w:t>
      </w:r>
      <w:r>
        <w:rPr>
          <w:rFonts w:ascii="Calibri Light" w:hAnsi="Calibri Light"/>
          <w:spacing w:val="-1"/>
          <w:sz w:val="20"/>
        </w:rPr>
        <w:t xml:space="preserve"> </w:t>
      </w:r>
      <w:r>
        <w:rPr>
          <w:rFonts w:ascii="Calibri Light" w:hAnsi="Calibri Light"/>
          <w:sz w:val="20"/>
        </w:rPr>
        <w:t>problems</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United</w:t>
      </w:r>
      <w:r>
        <w:rPr>
          <w:rFonts w:ascii="Calibri Light" w:hAnsi="Calibri Light"/>
          <w:spacing w:val="-3"/>
          <w:sz w:val="20"/>
        </w:rPr>
        <w:t xml:space="preserve"> </w:t>
      </w:r>
      <w:r>
        <w:rPr>
          <w:rFonts w:ascii="Calibri Light" w:hAnsi="Calibri Light"/>
          <w:sz w:val="20"/>
        </w:rPr>
        <w:t>States</w:t>
      </w:r>
      <w:r>
        <w:rPr>
          <w:rFonts w:ascii="Calibri Light" w:hAnsi="Calibri Light"/>
          <w:spacing w:val="-3"/>
          <w:sz w:val="20"/>
        </w:rPr>
        <w:t xml:space="preserve"> </w:t>
      </w:r>
      <w:r>
        <w:rPr>
          <w:rFonts w:ascii="Calibri Light" w:hAnsi="Calibri Light"/>
          <w:sz w:val="20"/>
        </w:rPr>
        <w:t>population:</w:t>
      </w:r>
      <w:r>
        <w:rPr>
          <w:rFonts w:ascii="Calibri Light" w:hAnsi="Calibri Light"/>
          <w:spacing w:val="-3"/>
          <w:sz w:val="20"/>
        </w:rPr>
        <w:t xml:space="preserve"> </w:t>
      </w:r>
      <w:r>
        <w:rPr>
          <w:rFonts w:ascii="Calibri Light" w:hAnsi="Calibri Light"/>
          <w:sz w:val="20"/>
        </w:rPr>
        <w:t>Implications</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practice,</w:t>
      </w:r>
      <w:r>
        <w:rPr>
          <w:rFonts w:ascii="Calibri Light" w:hAnsi="Calibri Light"/>
          <w:spacing w:val="-4"/>
          <w:sz w:val="20"/>
        </w:rPr>
        <w:t xml:space="preserve"> </w:t>
      </w:r>
      <w:r>
        <w:rPr>
          <w:rFonts w:ascii="Calibri Light" w:hAnsi="Calibri Light"/>
          <w:sz w:val="20"/>
        </w:rPr>
        <w:t>research,</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 xml:space="preserve">policy. </w:t>
      </w:r>
      <w:r>
        <w:rPr>
          <w:rFonts w:ascii="Calibri Light" w:hAnsi="Calibri Light"/>
          <w:i/>
          <w:sz w:val="20"/>
        </w:rPr>
        <w:t>Drug and Alcohol Dependence</w:t>
      </w:r>
      <w:r>
        <w:rPr>
          <w:rFonts w:ascii="Calibri Light" w:hAnsi="Calibri Light"/>
          <w:sz w:val="20"/>
        </w:rPr>
        <w:t xml:space="preserve">, </w:t>
      </w:r>
      <w:r>
        <w:rPr>
          <w:rFonts w:ascii="Calibri Light" w:hAnsi="Calibri Light"/>
          <w:i/>
          <w:sz w:val="20"/>
        </w:rPr>
        <w:t>181</w:t>
      </w:r>
      <w:r>
        <w:rPr>
          <w:rFonts w:ascii="Calibri Light" w:hAnsi="Calibri Light"/>
          <w:sz w:val="20"/>
        </w:rPr>
        <w:t>, 162–169.</w:t>
      </w:r>
    </w:p>
    <w:p w14:paraId="58BBCE9F" w14:textId="77777777" w:rsidR="00DB6E1F" w:rsidRDefault="00F666A6">
      <w:pPr>
        <w:spacing w:line="259" w:lineRule="auto"/>
        <w:ind w:left="1619" w:right="1557" w:hanging="180"/>
        <w:jc w:val="both"/>
        <w:rPr>
          <w:rFonts w:ascii="Calibri Light" w:hAnsi="Calibri Light"/>
          <w:sz w:val="20"/>
        </w:rPr>
      </w:pPr>
      <w:r>
        <w:rPr>
          <w:rFonts w:ascii="Calibri Light" w:hAnsi="Calibri Light"/>
          <w:sz w:val="20"/>
        </w:rPr>
        <w:t>Kiluk, B. D.,</w:t>
      </w:r>
      <w:r>
        <w:rPr>
          <w:rFonts w:ascii="Calibri Light" w:hAnsi="Calibri Light"/>
          <w:spacing w:val="-3"/>
          <w:sz w:val="20"/>
        </w:rPr>
        <w:t xml:space="preserve"> </w:t>
      </w:r>
      <w:r>
        <w:rPr>
          <w:rFonts w:ascii="Calibri Light" w:hAnsi="Calibri Light"/>
          <w:sz w:val="20"/>
        </w:rPr>
        <w:t>Serafini,</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Malin-Mayor,</w:t>
      </w:r>
      <w:r>
        <w:rPr>
          <w:rFonts w:ascii="Calibri Light" w:hAnsi="Calibri Light"/>
          <w:spacing w:val="-3"/>
          <w:sz w:val="20"/>
        </w:rPr>
        <w:t xml:space="preserve"> </w:t>
      </w:r>
      <w:r>
        <w:rPr>
          <w:rFonts w:ascii="Calibri Light" w:hAnsi="Calibri Light"/>
          <w:sz w:val="20"/>
        </w:rPr>
        <w:t>B., Babuscio,</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Nich,</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Carroll,</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(2015).</w:t>
      </w:r>
      <w:r>
        <w:rPr>
          <w:rFonts w:ascii="Calibri Light" w:hAnsi="Calibri Light"/>
          <w:spacing w:val="-3"/>
          <w:sz w:val="20"/>
        </w:rPr>
        <w:t xml:space="preserve"> </w:t>
      </w:r>
      <w:r>
        <w:rPr>
          <w:rFonts w:ascii="Calibri Light" w:hAnsi="Calibri Light"/>
          <w:sz w:val="20"/>
        </w:rPr>
        <w:t>Prompted to</w:t>
      </w:r>
      <w:r>
        <w:rPr>
          <w:rFonts w:ascii="Calibri Light" w:hAnsi="Calibri Light"/>
          <w:spacing w:val="-3"/>
          <w:sz w:val="20"/>
        </w:rPr>
        <w:t xml:space="preserve"> </w:t>
      </w:r>
      <w:r>
        <w:rPr>
          <w:rFonts w:ascii="Calibri Light" w:hAnsi="Calibri Light"/>
          <w:sz w:val="20"/>
        </w:rPr>
        <w:t>treatment</w:t>
      </w:r>
      <w:r>
        <w:rPr>
          <w:rFonts w:ascii="Calibri Light" w:hAnsi="Calibri Light"/>
          <w:spacing w:val="-3"/>
          <w:sz w:val="20"/>
        </w:rPr>
        <w:t xml:space="preserve"> </w:t>
      </w:r>
      <w:r>
        <w:rPr>
          <w:rFonts w:ascii="Calibri Light" w:hAnsi="Calibri Light"/>
          <w:sz w:val="20"/>
        </w:rPr>
        <w:t>by the</w:t>
      </w:r>
      <w:r>
        <w:rPr>
          <w:rFonts w:ascii="Calibri Light" w:hAnsi="Calibri Light"/>
          <w:spacing w:val="-4"/>
          <w:sz w:val="20"/>
        </w:rPr>
        <w:t xml:space="preserve"> </w:t>
      </w:r>
      <w:r>
        <w:rPr>
          <w:rFonts w:ascii="Calibri Light" w:hAnsi="Calibri Light"/>
          <w:sz w:val="20"/>
        </w:rPr>
        <w:t>criminal</w:t>
      </w:r>
      <w:r>
        <w:rPr>
          <w:rFonts w:ascii="Calibri Light" w:hAnsi="Calibri Light"/>
          <w:spacing w:val="-5"/>
          <w:sz w:val="20"/>
        </w:rPr>
        <w:t xml:space="preserve"> </w:t>
      </w:r>
      <w:r>
        <w:rPr>
          <w:rFonts w:ascii="Calibri Light" w:hAnsi="Calibri Light"/>
          <w:sz w:val="20"/>
        </w:rPr>
        <w:t>justice</w:t>
      </w:r>
      <w:r>
        <w:rPr>
          <w:rFonts w:ascii="Calibri Light" w:hAnsi="Calibri Light"/>
          <w:spacing w:val="-2"/>
          <w:sz w:val="20"/>
        </w:rPr>
        <w:t xml:space="preserve"> </w:t>
      </w:r>
      <w:r>
        <w:rPr>
          <w:rFonts w:ascii="Calibri Light" w:hAnsi="Calibri Light"/>
          <w:sz w:val="20"/>
        </w:rPr>
        <w:t>system:</w:t>
      </w:r>
      <w:r>
        <w:rPr>
          <w:rFonts w:ascii="Calibri Light" w:hAnsi="Calibri Light"/>
          <w:spacing w:val="-4"/>
          <w:sz w:val="20"/>
        </w:rPr>
        <w:t xml:space="preserve"> </w:t>
      </w:r>
      <w:r>
        <w:rPr>
          <w:rFonts w:ascii="Calibri Light" w:hAnsi="Calibri Light"/>
          <w:sz w:val="20"/>
        </w:rPr>
        <w:t>Relationships</w:t>
      </w:r>
      <w:r>
        <w:rPr>
          <w:rFonts w:ascii="Calibri Light" w:hAnsi="Calibri Light"/>
          <w:spacing w:val="-4"/>
          <w:sz w:val="20"/>
        </w:rPr>
        <w:t xml:space="preserve"> </w:t>
      </w:r>
      <w:r>
        <w:rPr>
          <w:rFonts w:ascii="Calibri Light" w:hAnsi="Calibri Light"/>
          <w:sz w:val="20"/>
        </w:rPr>
        <w:t>with</w:t>
      </w:r>
      <w:r>
        <w:rPr>
          <w:rFonts w:ascii="Calibri Light" w:hAnsi="Calibri Light"/>
          <w:spacing w:val="-4"/>
          <w:sz w:val="20"/>
        </w:rPr>
        <w:t xml:space="preserve"> </w:t>
      </w:r>
      <w:r>
        <w:rPr>
          <w:rFonts w:ascii="Calibri Light" w:hAnsi="Calibri Light"/>
          <w:sz w:val="20"/>
        </w:rPr>
        <w:t>treatment</w:t>
      </w:r>
      <w:r>
        <w:rPr>
          <w:rFonts w:ascii="Calibri Light" w:hAnsi="Calibri Light"/>
          <w:spacing w:val="-5"/>
          <w:sz w:val="20"/>
        </w:rPr>
        <w:t xml:space="preserve"> </w:t>
      </w:r>
      <w:r>
        <w:rPr>
          <w:rFonts w:ascii="Calibri Light" w:hAnsi="Calibri Light"/>
          <w:sz w:val="20"/>
        </w:rPr>
        <w:t>retention</w:t>
      </w:r>
      <w:r>
        <w:rPr>
          <w:rFonts w:ascii="Calibri Light" w:hAnsi="Calibri Light"/>
          <w:spacing w:val="-4"/>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outcome</w:t>
      </w:r>
      <w:r>
        <w:rPr>
          <w:rFonts w:ascii="Calibri Light" w:hAnsi="Calibri Light"/>
          <w:spacing w:val="-4"/>
          <w:sz w:val="20"/>
        </w:rPr>
        <w:t xml:space="preserve"> </w:t>
      </w:r>
      <w:r>
        <w:rPr>
          <w:rFonts w:ascii="Calibri Light" w:hAnsi="Calibri Light"/>
          <w:sz w:val="20"/>
        </w:rPr>
        <w:t>among</w:t>
      </w:r>
      <w:r>
        <w:rPr>
          <w:rFonts w:ascii="Calibri Light" w:hAnsi="Calibri Light"/>
          <w:spacing w:val="-1"/>
          <w:sz w:val="20"/>
        </w:rPr>
        <w:t xml:space="preserve"> </w:t>
      </w:r>
      <w:r>
        <w:rPr>
          <w:rFonts w:ascii="Calibri Light" w:hAnsi="Calibri Light"/>
          <w:sz w:val="20"/>
        </w:rPr>
        <w:t>cocaine</w:t>
      </w:r>
      <w:r>
        <w:rPr>
          <w:rFonts w:ascii="Calibri Light" w:hAnsi="Calibri Light"/>
          <w:spacing w:val="-4"/>
          <w:sz w:val="20"/>
        </w:rPr>
        <w:t xml:space="preserve"> </w:t>
      </w:r>
      <w:r>
        <w:rPr>
          <w:rFonts w:ascii="Calibri Light" w:hAnsi="Calibri Light"/>
          <w:sz w:val="20"/>
        </w:rPr>
        <w:t>users.</w:t>
      </w:r>
      <w:r>
        <w:rPr>
          <w:rFonts w:ascii="Calibri Light" w:hAnsi="Calibri Light"/>
          <w:spacing w:val="-5"/>
          <w:sz w:val="20"/>
        </w:rPr>
        <w:t xml:space="preserve"> </w:t>
      </w:r>
      <w:r>
        <w:rPr>
          <w:rFonts w:ascii="Calibri Light" w:hAnsi="Calibri Light"/>
          <w:i/>
          <w:sz w:val="20"/>
        </w:rPr>
        <w:t>American Journal on Addictions, 24</w:t>
      </w:r>
      <w:r>
        <w:rPr>
          <w:rFonts w:ascii="Calibri Light" w:hAnsi="Calibri Light"/>
          <w:sz w:val="20"/>
        </w:rPr>
        <w:t>(3), 225–232. doi:10.1111/ajad.12208</w:t>
      </w:r>
    </w:p>
    <w:p w14:paraId="37F2912A" w14:textId="77777777" w:rsidR="00DB6E1F" w:rsidRDefault="00F666A6">
      <w:pPr>
        <w:spacing w:line="259" w:lineRule="auto"/>
        <w:ind w:left="1619" w:right="1444" w:hanging="180"/>
        <w:rPr>
          <w:rFonts w:ascii="Calibri Light" w:hAnsi="Calibri Light"/>
          <w:sz w:val="20"/>
        </w:rPr>
      </w:pPr>
      <w:r>
        <w:rPr>
          <w:rFonts w:ascii="Calibri Light" w:hAnsi="Calibri Light"/>
          <w:sz w:val="20"/>
        </w:rPr>
        <w:t>Klimas,</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Field,</w:t>
      </w:r>
      <w:r>
        <w:rPr>
          <w:rFonts w:ascii="Calibri Light" w:hAnsi="Calibri Light"/>
          <w:spacing w:val="-1"/>
          <w:sz w:val="20"/>
        </w:rPr>
        <w:t xml:space="preserve"> </w:t>
      </w:r>
      <w:r>
        <w:rPr>
          <w:rFonts w:ascii="Calibri Light" w:hAnsi="Calibri Light"/>
          <w:sz w:val="20"/>
        </w:rPr>
        <w:t>C.,</w:t>
      </w:r>
      <w:r>
        <w:rPr>
          <w:rFonts w:ascii="Calibri Light" w:hAnsi="Calibri Light"/>
          <w:spacing w:val="-1"/>
          <w:sz w:val="20"/>
        </w:rPr>
        <w:t xml:space="preserve"> </w:t>
      </w:r>
      <w:r>
        <w:rPr>
          <w:rFonts w:ascii="Calibri Light" w:hAnsi="Calibri Light"/>
          <w:sz w:val="20"/>
        </w:rPr>
        <w:t>Cullen,</w:t>
      </w:r>
      <w:r>
        <w:rPr>
          <w:rFonts w:ascii="Calibri Light" w:hAnsi="Calibri Light"/>
          <w:spacing w:val="-4"/>
          <w:sz w:val="20"/>
        </w:rPr>
        <w:t xml:space="preserve"> </w:t>
      </w:r>
      <w:r>
        <w:rPr>
          <w:rFonts w:ascii="Calibri Light" w:hAnsi="Calibri Light"/>
          <w:sz w:val="20"/>
        </w:rPr>
        <w:t>W.,</w:t>
      </w:r>
      <w:r>
        <w:rPr>
          <w:rFonts w:ascii="Calibri Light" w:hAnsi="Calibri Light"/>
          <w:spacing w:val="-1"/>
          <w:sz w:val="20"/>
        </w:rPr>
        <w:t xml:space="preserve"> </w:t>
      </w:r>
      <w:r>
        <w:rPr>
          <w:rFonts w:ascii="Calibri Light" w:hAnsi="Calibri Light"/>
          <w:sz w:val="20"/>
        </w:rPr>
        <w:t>O’Gorman,</w:t>
      </w:r>
      <w:r>
        <w:rPr>
          <w:rFonts w:ascii="Calibri Light" w:hAnsi="Calibri Light"/>
          <w:spacing w:val="-1"/>
          <w:sz w:val="20"/>
        </w:rPr>
        <w:t xml:space="preserve"> </w:t>
      </w:r>
      <w:r>
        <w:rPr>
          <w:rFonts w:ascii="Calibri Light" w:hAnsi="Calibri Light"/>
          <w:sz w:val="20"/>
        </w:rPr>
        <w:t>C.,</w:t>
      </w:r>
      <w:r>
        <w:rPr>
          <w:rFonts w:ascii="Calibri Light" w:hAnsi="Calibri Light"/>
          <w:spacing w:val="-4"/>
          <w:sz w:val="20"/>
        </w:rPr>
        <w:t xml:space="preserve"> </w:t>
      </w:r>
      <w:r>
        <w:rPr>
          <w:rFonts w:ascii="Calibri Light" w:hAnsi="Calibri Light"/>
          <w:sz w:val="20"/>
        </w:rPr>
        <w:t>Glynn,</w:t>
      </w:r>
      <w:r>
        <w:rPr>
          <w:rFonts w:ascii="Calibri Light" w:hAnsi="Calibri Light"/>
          <w:spacing w:val="-4"/>
          <w:sz w:val="20"/>
        </w:rPr>
        <w:t xml:space="preserve"> </w:t>
      </w:r>
      <w:r>
        <w:rPr>
          <w:rFonts w:ascii="Calibri Light" w:hAnsi="Calibri Light"/>
          <w:sz w:val="20"/>
        </w:rPr>
        <w:t>L.,</w:t>
      </w:r>
      <w:r>
        <w:rPr>
          <w:rFonts w:ascii="Calibri Light" w:hAnsi="Calibri Light"/>
          <w:spacing w:val="-4"/>
          <w:sz w:val="20"/>
        </w:rPr>
        <w:t xml:space="preserve"> </w:t>
      </w:r>
      <w:r>
        <w:rPr>
          <w:rFonts w:ascii="Calibri Light" w:hAnsi="Calibri Light"/>
          <w:sz w:val="20"/>
        </w:rPr>
        <w:t>Keenan,</w:t>
      </w:r>
      <w:r>
        <w:rPr>
          <w:rFonts w:ascii="Calibri Light" w:hAnsi="Calibri Light"/>
          <w:spacing w:val="-4"/>
          <w:sz w:val="20"/>
        </w:rPr>
        <w:t xml:space="preserve"> </w:t>
      </w:r>
      <w:r>
        <w:rPr>
          <w:rFonts w:ascii="Calibri Light" w:hAnsi="Calibri Light"/>
          <w:sz w:val="20"/>
        </w:rPr>
        <w:t>E.,</w:t>
      </w:r>
      <w:r>
        <w:rPr>
          <w:rFonts w:ascii="Calibri Light" w:hAnsi="Calibri Light"/>
          <w:spacing w:val="-2"/>
          <w:sz w:val="20"/>
        </w:rPr>
        <w:t xml:space="preserve"> </w:t>
      </w:r>
      <w:r>
        <w:rPr>
          <w:rFonts w:ascii="Calibri Light" w:hAnsi="Calibri Light"/>
          <w:sz w:val="20"/>
        </w:rPr>
        <w:t>…</w:t>
      </w:r>
      <w:r>
        <w:rPr>
          <w:rFonts w:ascii="Calibri Light" w:hAnsi="Calibri Light"/>
          <w:spacing w:val="-4"/>
          <w:sz w:val="20"/>
        </w:rPr>
        <w:t xml:space="preserve"> </w:t>
      </w:r>
      <w:r>
        <w:rPr>
          <w:rFonts w:ascii="Calibri Light" w:hAnsi="Calibri Light"/>
          <w:sz w:val="20"/>
        </w:rPr>
        <w:t>Dunne,</w:t>
      </w:r>
      <w:r>
        <w:rPr>
          <w:rFonts w:ascii="Calibri Light" w:hAnsi="Calibri Light"/>
          <w:spacing w:val="-4"/>
          <w:sz w:val="20"/>
        </w:rPr>
        <w:t xml:space="preserve"> </w:t>
      </w:r>
      <w:r>
        <w:rPr>
          <w:rFonts w:ascii="Calibri Light" w:hAnsi="Calibri Light"/>
          <w:sz w:val="20"/>
        </w:rPr>
        <w:t>C.</w:t>
      </w:r>
      <w:r>
        <w:rPr>
          <w:rFonts w:ascii="Calibri Light" w:hAnsi="Calibri Light"/>
          <w:spacing w:val="-4"/>
          <w:sz w:val="20"/>
        </w:rPr>
        <w:t xml:space="preserve"> </w:t>
      </w:r>
      <w:r>
        <w:rPr>
          <w:rFonts w:ascii="Calibri Light" w:hAnsi="Calibri Light"/>
          <w:sz w:val="20"/>
        </w:rPr>
        <w:t>(2014).</w:t>
      </w:r>
      <w:r>
        <w:rPr>
          <w:rFonts w:ascii="Calibri Light" w:hAnsi="Calibri Light"/>
          <w:spacing w:val="-1"/>
          <w:sz w:val="20"/>
        </w:rPr>
        <w:t xml:space="preserve"> </w:t>
      </w:r>
      <w:r>
        <w:rPr>
          <w:rFonts w:ascii="Calibri Light" w:hAnsi="Calibri Light"/>
          <w:sz w:val="20"/>
        </w:rPr>
        <w:t>Psychosocial</w:t>
      </w:r>
      <w:r>
        <w:rPr>
          <w:rFonts w:ascii="Calibri Light" w:hAnsi="Calibri Light"/>
          <w:spacing w:val="-1"/>
          <w:sz w:val="20"/>
        </w:rPr>
        <w:t xml:space="preserve"> </w:t>
      </w:r>
      <w:r>
        <w:rPr>
          <w:rFonts w:ascii="Calibri Light" w:hAnsi="Calibri Light"/>
          <w:sz w:val="20"/>
        </w:rPr>
        <w:t>interventions</w:t>
      </w:r>
      <w:r>
        <w:rPr>
          <w:rFonts w:ascii="Calibri Light" w:hAnsi="Calibri Light"/>
          <w:spacing w:val="-3"/>
          <w:sz w:val="20"/>
        </w:rPr>
        <w:t xml:space="preserve"> </w:t>
      </w:r>
      <w:r>
        <w:rPr>
          <w:rFonts w:ascii="Calibri Light" w:hAnsi="Calibri Light"/>
          <w:sz w:val="20"/>
        </w:rPr>
        <w:t xml:space="preserve">to reduce alcohol consumption in concurrent problem alcohol and illicit drug users: Cochrane Review. </w:t>
      </w:r>
      <w:r>
        <w:rPr>
          <w:rFonts w:ascii="Calibri Light" w:hAnsi="Calibri Light"/>
          <w:i/>
          <w:sz w:val="20"/>
        </w:rPr>
        <w:t>Drug and Alcohol Dependence, 140</w:t>
      </w:r>
      <w:r>
        <w:rPr>
          <w:rFonts w:ascii="Calibri Light" w:hAnsi="Calibri Light"/>
          <w:sz w:val="20"/>
        </w:rPr>
        <w:t>. doi:10.1016/j.drugalcdep.2014.02.305</w:t>
      </w:r>
    </w:p>
    <w:p w14:paraId="6FB7C535" w14:textId="77777777" w:rsidR="00DB6E1F" w:rsidRDefault="00F666A6">
      <w:pPr>
        <w:spacing w:line="259" w:lineRule="auto"/>
        <w:ind w:left="1619" w:right="1491" w:hanging="181"/>
        <w:rPr>
          <w:rFonts w:ascii="Calibri Light" w:hAnsi="Calibri Light"/>
          <w:sz w:val="20"/>
        </w:rPr>
      </w:pPr>
      <w:r>
        <w:rPr>
          <w:rFonts w:ascii="Calibri Light" w:hAnsi="Calibri Light"/>
          <w:sz w:val="20"/>
        </w:rPr>
        <w:t>Kohler,</w:t>
      </w:r>
      <w:r>
        <w:rPr>
          <w:rFonts w:ascii="Calibri Light" w:hAnsi="Calibri Light"/>
          <w:spacing w:val="-4"/>
          <w:sz w:val="20"/>
        </w:rPr>
        <w:t xml:space="preserve"> </w:t>
      </w:r>
      <w:r>
        <w:rPr>
          <w:rFonts w:ascii="Calibri Light" w:hAnsi="Calibri Light"/>
          <w:sz w:val="20"/>
        </w:rPr>
        <w:t>S.,</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Hofmann,</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(2015).</w:t>
      </w:r>
      <w:r>
        <w:rPr>
          <w:rFonts w:ascii="Calibri Light" w:hAnsi="Calibri Light"/>
          <w:spacing w:val="-4"/>
          <w:sz w:val="20"/>
        </w:rPr>
        <w:t xml:space="preserve"> </w:t>
      </w:r>
      <w:r>
        <w:rPr>
          <w:rFonts w:ascii="Calibri Light" w:hAnsi="Calibri Light"/>
          <w:sz w:val="20"/>
        </w:rPr>
        <w:t>Can</w:t>
      </w:r>
      <w:r>
        <w:rPr>
          <w:rFonts w:ascii="Calibri Light" w:hAnsi="Calibri Light"/>
          <w:spacing w:val="-3"/>
          <w:sz w:val="20"/>
        </w:rPr>
        <w:t xml:space="preserve"> </w:t>
      </w:r>
      <w:r>
        <w:rPr>
          <w:rFonts w:ascii="Calibri Light" w:hAnsi="Calibri Light"/>
          <w:sz w:val="20"/>
        </w:rPr>
        <w:t>motivationa</w:t>
      </w:r>
      <w:r>
        <w:rPr>
          <w:rFonts w:ascii="Calibri Light" w:hAnsi="Calibri Light"/>
          <w:sz w:val="20"/>
        </w:rPr>
        <w:t>l</w:t>
      </w:r>
      <w:r>
        <w:rPr>
          <w:rFonts w:ascii="Calibri Light" w:hAnsi="Calibri Light"/>
          <w:spacing w:val="-3"/>
          <w:sz w:val="20"/>
        </w:rPr>
        <w:t xml:space="preserve"> </w:t>
      </w:r>
      <w:r>
        <w:rPr>
          <w:rFonts w:ascii="Calibri Light" w:hAnsi="Calibri Light"/>
          <w:sz w:val="20"/>
        </w:rPr>
        <w:t>interviewing</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emergency</w:t>
      </w:r>
      <w:r>
        <w:rPr>
          <w:rFonts w:ascii="Calibri Light" w:hAnsi="Calibri Light"/>
          <w:spacing w:val="-2"/>
          <w:sz w:val="20"/>
        </w:rPr>
        <w:t xml:space="preserve"> </w:t>
      </w:r>
      <w:r>
        <w:rPr>
          <w:rFonts w:ascii="Calibri Light" w:hAnsi="Calibri Light"/>
          <w:sz w:val="20"/>
        </w:rPr>
        <w:t>care</w:t>
      </w:r>
      <w:r>
        <w:rPr>
          <w:rFonts w:ascii="Calibri Light" w:hAnsi="Calibri Light"/>
          <w:spacing w:val="-3"/>
          <w:sz w:val="20"/>
        </w:rPr>
        <w:t xml:space="preserve"> </w:t>
      </w:r>
      <w:r>
        <w:rPr>
          <w:rFonts w:ascii="Calibri Light" w:hAnsi="Calibri Light"/>
          <w:sz w:val="20"/>
        </w:rPr>
        <w:t>reduce</w:t>
      </w:r>
      <w:r>
        <w:rPr>
          <w:rFonts w:ascii="Calibri Light" w:hAnsi="Calibri Light"/>
          <w:spacing w:val="-1"/>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consumption</w:t>
      </w:r>
      <w:r>
        <w:rPr>
          <w:rFonts w:ascii="Calibri Light" w:hAnsi="Calibri Light"/>
          <w:spacing w:val="-3"/>
          <w:sz w:val="20"/>
        </w:rPr>
        <w:t xml:space="preserve"> </w:t>
      </w:r>
      <w:r>
        <w:rPr>
          <w:rFonts w:ascii="Calibri Light" w:hAnsi="Calibri Light"/>
          <w:sz w:val="20"/>
        </w:rPr>
        <w:t xml:space="preserve">in young people? A systematic review and meta-analysis. </w:t>
      </w:r>
      <w:r>
        <w:rPr>
          <w:rFonts w:ascii="Calibri Light" w:hAnsi="Calibri Light"/>
          <w:i/>
          <w:sz w:val="20"/>
        </w:rPr>
        <w:t>Alcohol and Alcoholism, 50</w:t>
      </w:r>
      <w:r>
        <w:rPr>
          <w:rFonts w:ascii="Calibri Light" w:hAnsi="Calibri Light"/>
          <w:sz w:val="20"/>
        </w:rPr>
        <w:t xml:space="preserve">(2), 107–117. </w:t>
      </w:r>
      <w:r>
        <w:rPr>
          <w:rFonts w:ascii="Calibri Light" w:hAnsi="Calibri Light"/>
          <w:spacing w:val="-2"/>
          <w:sz w:val="20"/>
        </w:rPr>
        <w:t>doi:10.1093/alcalc/agu098</w:t>
      </w:r>
    </w:p>
    <w:p w14:paraId="781570FF" w14:textId="77777777" w:rsidR="00DB6E1F" w:rsidRDefault="00F666A6">
      <w:pPr>
        <w:spacing w:line="259" w:lineRule="auto"/>
        <w:ind w:left="1620" w:right="1491" w:hanging="181"/>
        <w:rPr>
          <w:rFonts w:ascii="Calibri Light" w:hAnsi="Calibri Light"/>
          <w:sz w:val="20"/>
        </w:rPr>
      </w:pPr>
      <w:r>
        <w:rPr>
          <w:rFonts w:ascii="Calibri Light" w:hAnsi="Calibri Light"/>
          <w:sz w:val="20"/>
        </w:rPr>
        <w:t>Korcha,</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Polcin, D.</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Evans,</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Bond,</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Galloway, G.</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(2015).</w:t>
      </w:r>
      <w:r>
        <w:rPr>
          <w:rFonts w:ascii="Calibri Light" w:hAnsi="Calibri Light"/>
          <w:spacing w:val="-3"/>
          <w:sz w:val="20"/>
        </w:rPr>
        <w:t xml:space="preserve"> </w:t>
      </w:r>
      <w:r>
        <w:rPr>
          <w:rFonts w:ascii="Calibri Light" w:hAnsi="Calibri Light"/>
          <w:sz w:val="20"/>
        </w:rPr>
        <w:t>Intensive</w:t>
      </w:r>
      <w:r>
        <w:rPr>
          <w:rFonts w:ascii="Calibri Light" w:hAnsi="Calibri Light"/>
          <w:spacing w:val="-2"/>
          <w:sz w:val="20"/>
        </w:rPr>
        <w:t xml:space="preserve"> </w:t>
      </w:r>
      <w:r>
        <w:rPr>
          <w:rFonts w:ascii="Calibri Light" w:hAnsi="Calibri Light"/>
          <w:sz w:val="20"/>
        </w:rPr>
        <w:t>motivational</w:t>
      </w:r>
      <w:r>
        <w:rPr>
          <w:rFonts w:ascii="Calibri Light" w:hAnsi="Calibri Light"/>
          <w:spacing w:val="-3"/>
          <w:sz w:val="20"/>
        </w:rPr>
        <w:t xml:space="preserve"> </w:t>
      </w:r>
      <w:r>
        <w:rPr>
          <w:rFonts w:ascii="Calibri Light" w:hAnsi="Calibri Light"/>
          <w:sz w:val="20"/>
        </w:rPr>
        <w:t>interviewing</w:t>
      </w:r>
      <w:r>
        <w:rPr>
          <w:rFonts w:ascii="Calibri Light" w:hAnsi="Calibri Light"/>
          <w:spacing w:val="-2"/>
          <w:sz w:val="20"/>
        </w:rPr>
        <w:t xml:space="preserve"> </w:t>
      </w:r>
      <w:r>
        <w:rPr>
          <w:rFonts w:ascii="Calibri Light" w:hAnsi="Calibri Light"/>
          <w:sz w:val="20"/>
        </w:rPr>
        <w:t xml:space="preserve">for women with alcohol problems. </w:t>
      </w:r>
      <w:r>
        <w:rPr>
          <w:rFonts w:ascii="Calibri Light" w:hAnsi="Calibri Light"/>
          <w:i/>
          <w:sz w:val="20"/>
        </w:rPr>
        <w:t>Counselor (Deerfield Beach), 16</w:t>
      </w:r>
      <w:r>
        <w:rPr>
          <w:rFonts w:ascii="Calibri Light" w:hAnsi="Calibri Light"/>
          <w:sz w:val="20"/>
        </w:rPr>
        <w:t>(3), 62–69.</w:t>
      </w:r>
    </w:p>
    <w:p w14:paraId="699CD275" w14:textId="77777777" w:rsidR="00DB6E1F" w:rsidRDefault="00F666A6">
      <w:pPr>
        <w:spacing w:line="259" w:lineRule="auto"/>
        <w:ind w:left="1620" w:right="1491" w:hanging="181"/>
        <w:rPr>
          <w:rFonts w:ascii="Calibri Light" w:hAnsi="Calibri Light"/>
          <w:sz w:val="20"/>
        </w:rPr>
      </w:pPr>
      <w:r>
        <w:rPr>
          <w:rFonts w:ascii="Calibri Light" w:hAnsi="Calibri Light"/>
          <w:sz w:val="20"/>
        </w:rPr>
        <w:t>Krawczyk, N., Feder, K. A., Saloner, B., Crum, R. M., Kealhofer, M., &amp; Mojtabai, R. (2017). The association of psychiatr</w:t>
      </w:r>
      <w:r>
        <w:rPr>
          <w:rFonts w:ascii="Calibri Light" w:hAnsi="Calibri Light"/>
          <w:sz w:val="20"/>
        </w:rPr>
        <w:t>ic</w:t>
      </w:r>
      <w:r>
        <w:rPr>
          <w:rFonts w:ascii="Calibri Light" w:hAnsi="Calibri Light"/>
          <w:spacing w:val="-5"/>
          <w:sz w:val="20"/>
        </w:rPr>
        <w:t xml:space="preserve"> </w:t>
      </w:r>
      <w:r>
        <w:rPr>
          <w:rFonts w:ascii="Calibri Light" w:hAnsi="Calibri Light"/>
          <w:sz w:val="20"/>
        </w:rPr>
        <w:t>comorbidity</w:t>
      </w:r>
      <w:r>
        <w:rPr>
          <w:rFonts w:ascii="Calibri Light" w:hAnsi="Calibri Light"/>
          <w:spacing w:val="-3"/>
          <w:sz w:val="20"/>
        </w:rPr>
        <w:t xml:space="preserve"> </w:t>
      </w:r>
      <w:r>
        <w:rPr>
          <w:rFonts w:ascii="Calibri Light" w:hAnsi="Calibri Light"/>
          <w:sz w:val="20"/>
        </w:rPr>
        <w:t>with</w:t>
      </w:r>
      <w:r>
        <w:rPr>
          <w:rFonts w:ascii="Calibri Light" w:hAnsi="Calibri Light"/>
          <w:spacing w:val="-4"/>
          <w:sz w:val="20"/>
        </w:rPr>
        <w:t xml:space="preserve"> </w:t>
      </w:r>
      <w:r>
        <w:rPr>
          <w:rFonts w:ascii="Calibri Light" w:hAnsi="Calibri Light"/>
          <w:sz w:val="20"/>
        </w:rPr>
        <w:t>treatment</w:t>
      </w:r>
      <w:r>
        <w:rPr>
          <w:rFonts w:ascii="Calibri Light" w:hAnsi="Calibri Light"/>
          <w:spacing w:val="-5"/>
          <w:sz w:val="20"/>
        </w:rPr>
        <w:t xml:space="preserve"> </w:t>
      </w:r>
      <w:r>
        <w:rPr>
          <w:rFonts w:ascii="Calibri Light" w:hAnsi="Calibri Light"/>
          <w:sz w:val="20"/>
        </w:rPr>
        <w:t>completion</w:t>
      </w:r>
      <w:r>
        <w:rPr>
          <w:rFonts w:ascii="Calibri Light" w:hAnsi="Calibri Light"/>
          <w:spacing w:val="-4"/>
          <w:sz w:val="20"/>
        </w:rPr>
        <w:t xml:space="preserve"> </w:t>
      </w:r>
      <w:r>
        <w:rPr>
          <w:rFonts w:ascii="Calibri Light" w:hAnsi="Calibri Light"/>
          <w:sz w:val="20"/>
        </w:rPr>
        <w:t>among</w:t>
      </w:r>
      <w:r>
        <w:rPr>
          <w:rFonts w:ascii="Calibri Light" w:hAnsi="Calibri Light"/>
          <w:spacing w:val="-1"/>
          <w:sz w:val="20"/>
        </w:rPr>
        <w:t xml:space="preserve"> </w:t>
      </w:r>
      <w:r>
        <w:rPr>
          <w:rFonts w:ascii="Calibri Light" w:hAnsi="Calibri Light"/>
          <w:sz w:val="20"/>
        </w:rPr>
        <w:t>clients</w:t>
      </w:r>
      <w:r>
        <w:rPr>
          <w:rFonts w:ascii="Calibri Light" w:hAnsi="Calibri Light"/>
          <w:spacing w:val="-2"/>
          <w:sz w:val="20"/>
        </w:rPr>
        <w:t xml:space="preserve"> </w:t>
      </w:r>
      <w:r>
        <w:rPr>
          <w:rFonts w:ascii="Calibri Light" w:hAnsi="Calibri Light"/>
          <w:sz w:val="20"/>
        </w:rPr>
        <w:t>admitted</w:t>
      </w:r>
      <w:r>
        <w:rPr>
          <w:rFonts w:ascii="Calibri Light" w:hAnsi="Calibri Light"/>
          <w:spacing w:val="-2"/>
          <w:sz w:val="20"/>
        </w:rPr>
        <w:t xml:space="preserve"> </w:t>
      </w:r>
      <w:r>
        <w:rPr>
          <w:rFonts w:ascii="Calibri Light" w:hAnsi="Calibri Light"/>
          <w:sz w:val="20"/>
        </w:rPr>
        <w:t>to</w:t>
      </w:r>
      <w:r>
        <w:rPr>
          <w:rFonts w:ascii="Calibri Light" w:hAnsi="Calibri Light"/>
          <w:spacing w:val="-5"/>
          <w:sz w:val="20"/>
        </w:rPr>
        <w:t xml:space="preserve"> </w:t>
      </w:r>
      <w:r>
        <w:rPr>
          <w:rFonts w:ascii="Calibri Light" w:hAnsi="Calibri Light"/>
          <w:sz w:val="20"/>
        </w:rPr>
        <w:t>substance</w:t>
      </w:r>
      <w:r>
        <w:rPr>
          <w:rFonts w:ascii="Calibri Light" w:hAnsi="Calibri Light"/>
          <w:spacing w:val="-4"/>
          <w:sz w:val="20"/>
        </w:rPr>
        <w:t xml:space="preserve"> </w:t>
      </w:r>
      <w:r>
        <w:rPr>
          <w:rFonts w:ascii="Calibri Light" w:hAnsi="Calibri Light"/>
          <w:sz w:val="20"/>
        </w:rPr>
        <w:t>use</w:t>
      </w:r>
      <w:r>
        <w:rPr>
          <w:rFonts w:ascii="Calibri Light" w:hAnsi="Calibri Light"/>
          <w:spacing w:val="-4"/>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 xml:space="preserve">programs in a U.S. national sample. </w:t>
      </w:r>
      <w:r>
        <w:rPr>
          <w:rFonts w:ascii="Calibri Light" w:hAnsi="Calibri Light"/>
          <w:i/>
          <w:sz w:val="20"/>
        </w:rPr>
        <w:t>Drug and Alcohol Dependence, 175</w:t>
      </w:r>
      <w:r>
        <w:rPr>
          <w:rFonts w:ascii="Calibri Light" w:hAnsi="Calibri Light"/>
          <w:sz w:val="20"/>
        </w:rPr>
        <w:t>, 157–163. doi:10.1016/j.drugalcdep.2017.02.006</w:t>
      </w:r>
    </w:p>
    <w:p w14:paraId="4042BB07" w14:textId="77777777" w:rsidR="00DB6E1F" w:rsidRDefault="00F666A6">
      <w:pPr>
        <w:spacing w:line="259" w:lineRule="auto"/>
        <w:ind w:left="1620" w:right="1465" w:hanging="181"/>
        <w:rPr>
          <w:rFonts w:ascii="Calibri Light" w:hAnsi="Calibri Light"/>
          <w:sz w:val="20"/>
        </w:rPr>
      </w:pPr>
      <w:r>
        <w:rPr>
          <w:rFonts w:ascii="Calibri Light" w:hAnsi="Calibri Light"/>
          <w:sz w:val="20"/>
        </w:rPr>
        <w:t xml:space="preserve">Krigel, S. W., Grobe, J. E., Goggin, K., Harris, </w:t>
      </w:r>
      <w:r>
        <w:rPr>
          <w:rFonts w:ascii="Calibri Light" w:hAnsi="Calibri Light"/>
          <w:sz w:val="20"/>
        </w:rPr>
        <w:t>K. J., Moreno, J. L., &amp; Catley, D. (2017). Motivational interviewing and</w:t>
      </w:r>
      <w:r>
        <w:rPr>
          <w:rFonts w:ascii="Calibri Light" w:hAnsi="Calibri Light"/>
          <w:spacing w:val="40"/>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decisional</w:t>
      </w:r>
      <w:r>
        <w:rPr>
          <w:rFonts w:ascii="Calibri Light" w:hAnsi="Calibri Light"/>
          <w:spacing w:val="-4"/>
          <w:sz w:val="20"/>
        </w:rPr>
        <w:t xml:space="preserve"> </w:t>
      </w:r>
      <w:r>
        <w:rPr>
          <w:rFonts w:ascii="Calibri Light" w:hAnsi="Calibri Light"/>
          <w:sz w:val="20"/>
        </w:rPr>
        <w:t>balance</w:t>
      </w:r>
      <w:r>
        <w:rPr>
          <w:rFonts w:ascii="Calibri Light" w:hAnsi="Calibri Light"/>
          <w:spacing w:val="-3"/>
          <w:sz w:val="20"/>
        </w:rPr>
        <w:t xml:space="preserve"> </w:t>
      </w:r>
      <w:r>
        <w:rPr>
          <w:rFonts w:ascii="Calibri Light" w:hAnsi="Calibri Light"/>
          <w:sz w:val="20"/>
        </w:rPr>
        <w:t>procedure</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cessation</w:t>
      </w:r>
      <w:r>
        <w:rPr>
          <w:rFonts w:ascii="Calibri Light" w:hAnsi="Calibri Light"/>
          <w:spacing w:val="-3"/>
          <w:sz w:val="20"/>
        </w:rPr>
        <w:t xml:space="preserve"> </w:t>
      </w:r>
      <w:r>
        <w:rPr>
          <w:rFonts w:ascii="Calibri Light" w:hAnsi="Calibri Light"/>
          <w:sz w:val="20"/>
        </w:rPr>
        <w:t>induction</w:t>
      </w:r>
      <w:r>
        <w:rPr>
          <w:rFonts w:ascii="Calibri Light" w:hAnsi="Calibri Light"/>
          <w:spacing w:val="-3"/>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smokers</w:t>
      </w:r>
      <w:r>
        <w:rPr>
          <w:rFonts w:ascii="Calibri Light" w:hAnsi="Calibri Light"/>
          <w:spacing w:val="-3"/>
          <w:sz w:val="20"/>
        </w:rPr>
        <w:t xml:space="preserve"> </w:t>
      </w:r>
      <w:r>
        <w:rPr>
          <w:rFonts w:ascii="Calibri Light" w:hAnsi="Calibri Light"/>
          <w:sz w:val="20"/>
        </w:rPr>
        <w:t>not</w:t>
      </w:r>
      <w:r>
        <w:rPr>
          <w:rFonts w:ascii="Calibri Light" w:hAnsi="Calibri Light"/>
          <w:spacing w:val="-2"/>
          <w:sz w:val="20"/>
        </w:rPr>
        <w:t xml:space="preserve"> </w:t>
      </w:r>
      <w:r>
        <w:rPr>
          <w:rFonts w:ascii="Calibri Light" w:hAnsi="Calibri Light"/>
          <w:sz w:val="20"/>
        </w:rPr>
        <w:t>intending</w:t>
      </w:r>
      <w:r>
        <w:rPr>
          <w:rFonts w:ascii="Calibri Light" w:hAnsi="Calibri Light"/>
          <w:spacing w:val="-3"/>
          <w:sz w:val="20"/>
        </w:rPr>
        <w:t xml:space="preserve"> </w:t>
      </w:r>
      <w:r>
        <w:rPr>
          <w:rFonts w:ascii="Calibri Light" w:hAnsi="Calibri Light"/>
          <w:sz w:val="20"/>
        </w:rPr>
        <w:t>to</w:t>
      </w:r>
      <w:r>
        <w:rPr>
          <w:rFonts w:ascii="Calibri Light" w:hAnsi="Calibri Light"/>
          <w:spacing w:val="-4"/>
          <w:sz w:val="20"/>
        </w:rPr>
        <w:t xml:space="preserve"> </w:t>
      </w:r>
      <w:r>
        <w:rPr>
          <w:rFonts w:ascii="Calibri Light" w:hAnsi="Calibri Light"/>
          <w:sz w:val="20"/>
        </w:rPr>
        <w:t>quit.</w:t>
      </w:r>
      <w:r>
        <w:rPr>
          <w:rFonts w:ascii="Calibri Light" w:hAnsi="Calibri Light"/>
          <w:spacing w:val="-2"/>
          <w:sz w:val="20"/>
        </w:rPr>
        <w:t xml:space="preserve"> </w:t>
      </w:r>
      <w:r>
        <w:rPr>
          <w:rFonts w:ascii="Calibri Light" w:hAnsi="Calibri Light"/>
          <w:i/>
          <w:sz w:val="20"/>
        </w:rPr>
        <w:t>Addictive</w:t>
      </w:r>
      <w:r>
        <w:rPr>
          <w:rFonts w:ascii="Calibri Light" w:hAnsi="Calibri Light"/>
          <w:i/>
          <w:spacing w:val="-3"/>
          <w:sz w:val="20"/>
        </w:rPr>
        <w:t xml:space="preserve"> </w:t>
      </w:r>
      <w:r>
        <w:rPr>
          <w:rFonts w:ascii="Calibri Light" w:hAnsi="Calibri Light"/>
          <w:i/>
          <w:sz w:val="20"/>
        </w:rPr>
        <w:t>Behaviors,</w:t>
      </w:r>
      <w:r>
        <w:rPr>
          <w:rFonts w:ascii="Calibri Light" w:hAnsi="Calibri Light"/>
          <w:i/>
          <w:spacing w:val="-4"/>
          <w:sz w:val="20"/>
        </w:rPr>
        <w:t xml:space="preserve"> </w:t>
      </w:r>
      <w:r>
        <w:rPr>
          <w:rFonts w:ascii="Calibri Light" w:hAnsi="Calibri Light"/>
          <w:i/>
          <w:sz w:val="20"/>
        </w:rPr>
        <w:t>64</w:t>
      </w:r>
      <w:r>
        <w:rPr>
          <w:rFonts w:ascii="Calibri Light" w:hAnsi="Calibri Light"/>
          <w:sz w:val="20"/>
        </w:rPr>
        <w:t>, 171–178. doi:10.1016/j.addbeh.2016.08.036</w:t>
      </w:r>
    </w:p>
    <w:p w14:paraId="5B0DE44B" w14:textId="77777777" w:rsidR="00DB6E1F" w:rsidRDefault="00F666A6">
      <w:pPr>
        <w:spacing w:line="259" w:lineRule="auto"/>
        <w:ind w:left="1619" w:right="1491" w:hanging="180"/>
        <w:rPr>
          <w:rFonts w:ascii="Calibri Light" w:hAnsi="Calibri Light"/>
          <w:sz w:val="20"/>
        </w:rPr>
      </w:pPr>
      <w:r>
        <w:rPr>
          <w:rFonts w:ascii="Calibri Light" w:hAnsi="Calibri Light"/>
          <w:sz w:val="20"/>
        </w:rPr>
        <w:t>Kuerbis, A., Armeli, S., Muench, F., &amp; Morgenstern, J. (2013). Motivation and self-efficacy in the context of moderated</w:t>
      </w:r>
      <w:r>
        <w:rPr>
          <w:rFonts w:ascii="Calibri Light" w:hAnsi="Calibri Light"/>
          <w:spacing w:val="-4"/>
          <w:sz w:val="20"/>
        </w:rPr>
        <w:t xml:space="preserve"> </w:t>
      </w:r>
      <w:r>
        <w:rPr>
          <w:rFonts w:ascii="Calibri Light" w:hAnsi="Calibri Light"/>
          <w:sz w:val="20"/>
        </w:rPr>
        <w:t>drinking:</w:t>
      </w:r>
      <w:r>
        <w:rPr>
          <w:rFonts w:ascii="Calibri Light" w:hAnsi="Calibri Light"/>
          <w:spacing w:val="-4"/>
          <w:sz w:val="20"/>
        </w:rPr>
        <w:t xml:space="preserve"> </w:t>
      </w:r>
      <w:r>
        <w:rPr>
          <w:rFonts w:ascii="Calibri Light" w:hAnsi="Calibri Light"/>
          <w:sz w:val="20"/>
        </w:rPr>
        <w:t>Global</w:t>
      </w:r>
      <w:r>
        <w:rPr>
          <w:rFonts w:ascii="Calibri Light" w:hAnsi="Calibri Light"/>
          <w:spacing w:val="-5"/>
          <w:sz w:val="20"/>
        </w:rPr>
        <w:t xml:space="preserve"> </w:t>
      </w:r>
      <w:r>
        <w:rPr>
          <w:rFonts w:ascii="Calibri Light" w:hAnsi="Calibri Light"/>
          <w:sz w:val="20"/>
        </w:rPr>
        <w:t>self-report</w:t>
      </w:r>
      <w:r>
        <w:rPr>
          <w:rFonts w:ascii="Calibri Light" w:hAnsi="Calibri Light"/>
          <w:spacing w:val="-5"/>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ecological</w:t>
      </w:r>
      <w:r>
        <w:rPr>
          <w:rFonts w:ascii="Calibri Light" w:hAnsi="Calibri Light"/>
          <w:spacing w:val="-5"/>
          <w:sz w:val="20"/>
        </w:rPr>
        <w:t xml:space="preserve"> </w:t>
      </w:r>
      <w:r>
        <w:rPr>
          <w:rFonts w:ascii="Calibri Light" w:hAnsi="Calibri Light"/>
          <w:sz w:val="20"/>
        </w:rPr>
        <w:t>momentary</w:t>
      </w:r>
      <w:r>
        <w:rPr>
          <w:rFonts w:ascii="Calibri Light" w:hAnsi="Calibri Light"/>
          <w:spacing w:val="-3"/>
          <w:sz w:val="20"/>
        </w:rPr>
        <w:t xml:space="preserve"> </w:t>
      </w:r>
      <w:r>
        <w:rPr>
          <w:rFonts w:ascii="Calibri Light" w:hAnsi="Calibri Light"/>
          <w:sz w:val="20"/>
        </w:rPr>
        <w:t>assessment.</w:t>
      </w:r>
      <w:r>
        <w:rPr>
          <w:rFonts w:ascii="Calibri Light" w:hAnsi="Calibri Light"/>
          <w:spacing w:val="-5"/>
          <w:sz w:val="20"/>
        </w:rPr>
        <w:t xml:space="preserve"> </w:t>
      </w:r>
      <w:r>
        <w:rPr>
          <w:rFonts w:ascii="Calibri Light" w:hAnsi="Calibri Light"/>
          <w:i/>
          <w:sz w:val="20"/>
        </w:rPr>
        <w:t>Psychology</w:t>
      </w:r>
      <w:r>
        <w:rPr>
          <w:rFonts w:ascii="Calibri Light" w:hAnsi="Calibri Light"/>
          <w:i/>
          <w:spacing w:val="-4"/>
          <w:sz w:val="20"/>
        </w:rPr>
        <w:t xml:space="preserve"> </w:t>
      </w:r>
      <w:r>
        <w:rPr>
          <w:rFonts w:ascii="Calibri Light" w:hAnsi="Calibri Light"/>
          <w:i/>
          <w:sz w:val="20"/>
        </w:rPr>
        <w:t>of</w:t>
      </w:r>
      <w:r>
        <w:rPr>
          <w:rFonts w:ascii="Calibri Light" w:hAnsi="Calibri Light"/>
          <w:i/>
          <w:spacing w:val="-4"/>
          <w:sz w:val="20"/>
        </w:rPr>
        <w:t xml:space="preserve"> </w:t>
      </w:r>
      <w:r>
        <w:rPr>
          <w:rFonts w:ascii="Calibri Light" w:hAnsi="Calibri Light"/>
          <w:i/>
          <w:sz w:val="20"/>
        </w:rPr>
        <w:t>Addictive</w:t>
      </w:r>
      <w:r>
        <w:rPr>
          <w:rFonts w:ascii="Calibri Light" w:hAnsi="Calibri Light"/>
          <w:i/>
          <w:spacing w:val="-4"/>
          <w:sz w:val="20"/>
        </w:rPr>
        <w:t xml:space="preserve"> </w:t>
      </w:r>
      <w:r>
        <w:rPr>
          <w:rFonts w:ascii="Calibri Light" w:hAnsi="Calibri Light"/>
          <w:i/>
          <w:sz w:val="20"/>
        </w:rPr>
        <w:t>Be</w:t>
      </w:r>
      <w:r>
        <w:rPr>
          <w:rFonts w:ascii="Calibri Light" w:hAnsi="Calibri Light"/>
          <w:i/>
          <w:sz w:val="20"/>
        </w:rPr>
        <w:t>haviors, 27</w:t>
      </w:r>
      <w:r>
        <w:rPr>
          <w:rFonts w:ascii="Calibri Light" w:hAnsi="Calibri Light"/>
          <w:sz w:val="20"/>
        </w:rPr>
        <w:t>(4), 934–943. doi:10.1037/a0031194</w:t>
      </w:r>
    </w:p>
    <w:p w14:paraId="3EFBE88A" w14:textId="77777777" w:rsidR="00DB6E1F" w:rsidRDefault="00F666A6">
      <w:pPr>
        <w:spacing w:line="259" w:lineRule="auto"/>
        <w:ind w:left="1619" w:right="1491" w:hanging="181"/>
        <w:rPr>
          <w:rFonts w:ascii="Calibri Light" w:hAnsi="Calibri Light"/>
          <w:sz w:val="20"/>
        </w:rPr>
      </w:pPr>
      <w:r>
        <w:rPr>
          <w:rFonts w:ascii="Calibri Light" w:hAnsi="Calibri Light"/>
          <w:sz w:val="20"/>
        </w:rPr>
        <w:t>Kuusisto,</w:t>
      </w:r>
      <w:r>
        <w:rPr>
          <w:rFonts w:ascii="Calibri Light" w:hAnsi="Calibri Light"/>
          <w:spacing w:val="-4"/>
          <w:sz w:val="20"/>
        </w:rPr>
        <w:t xml:space="preserve"> </w:t>
      </w:r>
      <w:r>
        <w:rPr>
          <w:rFonts w:ascii="Calibri Light" w:hAnsi="Calibri Light"/>
          <w:sz w:val="20"/>
        </w:rPr>
        <w:t>K.,</w:t>
      </w:r>
      <w:r>
        <w:rPr>
          <w:rFonts w:ascii="Calibri Light" w:hAnsi="Calibri Light"/>
          <w:spacing w:val="-4"/>
          <w:sz w:val="20"/>
        </w:rPr>
        <w:t xml:space="preserve"> </w:t>
      </w:r>
      <w:r>
        <w:rPr>
          <w:rFonts w:ascii="Calibri Light" w:hAnsi="Calibri Light"/>
          <w:sz w:val="20"/>
        </w:rPr>
        <w:t>Knuuttila,</w:t>
      </w:r>
      <w:r>
        <w:rPr>
          <w:rFonts w:ascii="Calibri Light" w:hAnsi="Calibri Light"/>
          <w:spacing w:val="-4"/>
          <w:sz w:val="20"/>
        </w:rPr>
        <w:t xml:space="preserve"> </w:t>
      </w:r>
      <w:r>
        <w:rPr>
          <w:rFonts w:ascii="Calibri Light" w:hAnsi="Calibri Light"/>
          <w:sz w:val="20"/>
        </w:rPr>
        <w:t>V.,</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Saarnio,</w:t>
      </w:r>
      <w:r>
        <w:rPr>
          <w:rFonts w:ascii="Calibri Light" w:hAnsi="Calibri Light"/>
          <w:spacing w:val="-1"/>
          <w:sz w:val="20"/>
        </w:rPr>
        <w:t xml:space="preserve"> </w:t>
      </w:r>
      <w:r>
        <w:rPr>
          <w:rFonts w:ascii="Calibri Light" w:hAnsi="Calibri Light"/>
          <w:sz w:val="20"/>
        </w:rPr>
        <w:t>P.</w:t>
      </w:r>
      <w:r>
        <w:rPr>
          <w:rFonts w:ascii="Calibri Light" w:hAnsi="Calibri Light"/>
          <w:spacing w:val="-4"/>
          <w:sz w:val="20"/>
        </w:rPr>
        <w:t xml:space="preserve"> </w:t>
      </w:r>
      <w:r>
        <w:rPr>
          <w:rFonts w:ascii="Calibri Light" w:hAnsi="Calibri Light"/>
          <w:sz w:val="20"/>
        </w:rPr>
        <w:t>(2011).</w:t>
      </w:r>
      <w:r>
        <w:rPr>
          <w:rFonts w:ascii="Calibri Light" w:hAnsi="Calibri Light"/>
          <w:spacing w:val="-4"/>
          <w:sz w:val="20"/>
        </w:rPr>
        <w:t xml:space="preserve"> </w:t>
      </w:r>
      <w:r>
        <w:rPr>
          <w:rFonts w:ascii="Calibri Light" w:hAnsi="Calibri Light"/>
          <w:sz w:val="20"/>
        </w:rPr>
        <w:t>Clientsʼ</w:t>
      </w:r>
      <w:r>
        <w:rPr>
          <w:rFonts w:ascii="Calibri Light" w:hAnsi="Calibri Light"/>
          <w:spacing w:val="-3"/>
          <w:sz w:val="20"/>
        </w:rPr>
        <w:t xml:space="preserve"> </w:t>
      </w:r>
      <w:r>
        <w:rPr>
          <w:rFonts w:ascii="Calibri Light" w:hAnsi="Calibri Light"/>
          <w:sz w:val="20"/>
        </w:rPr>
        <w:t>self-efficacy</w:t>
      </w:r>
      <w:r>
        <w:rPr>
          <w:rFonts w:ascii="Calibri Light" w:hAnsi="Calibri Light"/>
          <w:spacing w:val="-2"/>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outcome</w:t>
      </w:r>
      <w:r>
        <w:rPr>
          <w:rFonts w:ascii="Calibri Light" w:hAnsi="Calibri Light"/>
          <w:spacing w:val="-3"/>
          <w:sz w:val="20"/>
        </w:rPr>
        <w:t xml:space="preserve"> </w:t>
      </w:r>
      <w:r>
        <w:rPr>
          <w:rFonts w:ascii="Calibri Light" w:hAnsi="Calibri Light"/>
          <w:sz w:val="20"/>
        </w:rPr>
        <w:t>expectations.</w:t>
      </w:r>
      <w:r>
        <w:rPr>
          <w:rFonts w:ascii="Calibri Light" w:hAnsi="Calibri Light"/>
          <w:spacing w:val="-3"/>
          <w:sz w:val="20"/>
        </w:rPr>
        <w:t xml:space="preserve"> </w:t>
      </w:r>
      <w:r>
        <w:rPr>
          <w:rFonts w:ascii="Calibri Light" w:hAnsi="Calibri Light"/>
          <w:i/>
          <w:sz w:val="20"/>
        </w:rPr>
        <w:t>Addictive</w:t>
      </w:r>
      <w:r>
        <w:rPr>
          <w:rFonts w:ascii="Calibri Light" w:hAnsi="Calibri Light"/>
          <w:i/>
          <w:spacing w:val="-3"/>
          <w:sz w:val="20"/>
        </w:rPr>
        <w:t xml:space="preserve"> </w:t>
      </w:r>
      <w:r>
        <w:rPr>
          <w:rFonts w:ascii="Calibri Light" w:hAnsi="Calibri Light"/>
          <w:i/>
          <w:sz w:val="20"/>
        </w:rPr>
        <w:t>Disorders and Their Treatment, 10</w:t>
      </w:r>
      <w:r>
        <w:rPr>
          <w:rFonts w:ascii="Calibri Light" w:hAnsi="Calibri Light"/>
          <w:sz w:val="20"/>
        </w:rPr>
        <w:t>(4), 157–168. doi:10.1097/adt.0b013e31820dd4ec</w:t>
      </w:r>
    </w:p>
    <w:p w14:paraId="6114C10F" w14:textId="77777777" w:rsidR="00DB6E1F" w:rsidRDefault="00F666A6">
      <w:pPr>
        <w:spacing w:line="259" w:lineRule="auto"/>
        <w:ind w:left="1619" w:right="1491" w:hanging="181"/>
        <w:rPr>
          <w:rFonts w:ascii="Calibri Light" w:hAnsi="Calibri Light"/>
          <w:sz w:val="20"/>
        </w:rPr>
      </w:pPr>
      <w:r>
        <w:rPr>
          <w:rFonts w:ascii="Calibri Light" w:hAnsi="Calibri Light"/>
          <w:sz w:val="20"/>
        </w:rPr>
        <w:t>Kwasnicka,</w:t>
      </w:r>
      <w:r>
        <w:rPr>
          <w:rFonts w:ascii="Calibri Light" w:hAnsi="Calibri Light"/>
          <w:spacing w:val="-1"/>
          <w:sz w:val="20"/>
        </w:rPr>
        <w:t xml:space="preserve"> </w:t>
      </w:r>
      <w:r>
        <w:rPr>
          <w:rFonts w:ascii="Calibri Light" w:hAnsi="Calibri Light"/>
          <w:sz w:val="20"/>
        </w:rPr>
        <w:t>D.,</w:t>
      </w:r>
      <w:r>
        <w:rPr>
          <w:rFonts w:ascii="Calibri Light" w:hAnsi="Calibri Light"/>
          <w:spacing w:val="-1"/>
          <w:sz w:val="20"/>
        </w:rPr>
        <w:t xml:space="preserve"> </w:t>
      </w:r>
      <w:r>
        <w:rPr>
          <w:rFonts w:ascii="Calibri Light" w:hAnsi="Calibri Light"/>
          <w:sz w:val="20"/>
        </w:rPr>
        <w:t>Dombrowski,</w:t>
      </w:r>
      <w:r>
        <w:rPr>
          <w:rFonts w:ascii="Calibri Light" w:hAnsi="Calibri Light"/>
          <w:spacing w:val="-4"/>
          <w:sz w:val="20"/>
        </w:rPr>
        <w:t xml:space="preserve"> </w:t>
      </w:r>
      <w:r>
        <w:rPr>
          <w:rFonts w:ascii="Calibri Light" w:hAnsi="Calibri Light"/>
          <w:sz w:val="20"/>
        </w:rPr>
        <w:t>S.</w:t>
      </w:r>
      <w:r>
        <w:rPr>
          <w:rFonts w:ascii="Calibri Light" w:hAnsi="Calibri Light"/>
          <w:spacing w:val="-1"/>
          <w:sz w:val="20"/>
        </w:rPr>
        <w:t xml:space="preserve"> </w:t>
      </w:r>
      <w:r>
        <w:rPr>
          <w:rFonts w:ascii="Calibri Light" w:hAnsi="Calibri Light"/>
          <w:sz w:val="20"/>
        </w:rPr>
        <w:t>U.,</w:t>
      </w:r>
      <w:r>
        <w:rPr>
          <w:rFonts w:ascii="Calibri Light" w:hAnsi="Calibri Light"/>
          <w:spacing w:val="-4"/>
          <w:sz w:val="20"/>
        </w:rPr>
        <w:t xml:space="preserve"> </w:t>
      </w:r>
      <w:r>
        <w:rPr>
          <w:rFonts w:ascii="Calibri Light" w:hAnsi="Calibri Light"/>
          <w:sz w:val="20"/>
        </w:rPr>
        <w:t>White,</w:t>
      </w:r>
      <w:r>
        <w:rPr>
          <w:rFonts w:ascii="Calibri Light" w:hAnsi="Calibri Light"/>
          <w:spacing w:val="-2"/>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Sniehotta,</w:t>
      </w:r>
      <w:r>
        <w:rPr>
          <w:rFonts w:ascii="Calibri Light" w:hAnsi="Calibri Light"/>
          <w:spacing w:val="-4"/>
          <w:sz w:val="20"/>
        </w:rPr>
        <w:t xml:space="preserve"> </w:t>
      </w:r>
      <w:r>
        <w:rPr>
          <w:rFonts w:ascii="Calibri Light" w:hAnsi="Calibri Light"/>
          <w:sz w:val="20"/>
        </w:rPr>
        <w:t>F.</w:t>
      </w:r>
      <w:r>
        <w:rPr>
          <w:rFonts w:ascii="Calibri Light" w:hAnsi="Calibri Light"/>
          <w:spacing w:val="-1"/>
          <w:sz w:val="20"/>
        </w:rPr>
        <w:t xml:space="preserve"> </w:t>
      </w:r>
      <w:r>
        <w:rPr>
          <w:rFonts w:ascii="Calibri Light" w:hAnsi="Calibri Light"/>
          <w:sz w:val="20"/>
        </w:rPr>
        <w:t>(2016).</w:t>
      </w:r>
      <w:r>
        <w:rPr>
          <w:rFonts w:ascii="Calibri Light" w:hAnsi="Calibri Light"/>
          <w:spacing w:val="-4"/>
          <w:sz w:val="20"/>
        </w:rPr>
        <w:t xml:space="preserve"> </w:t>
      </w:r>
      <w:r>
        <w:rPr>
          <w:rFonts w:ascii="Calibri Light" w:hAnsi="Calibri Light"/>
          <w:sz w:val="20"/>
        </w:rPr>
        <w:t>Theoretical</w:t>
      </w:r>
      <w:r>
        <w:rPr>
          <w:rFonts w:ascii="Calibri Light" w:hAnsi="Calibri Light"/>
          <w:spacing w:val="-4"/>
          <w:sz w:val="20"/>
        </w:rPr>
        <w:t xml:space="preserve"> </w:t>
      </w:r>
      <w:r>
        <w:rPr>
          <w:rFonts w:ascii="Calibri Light" w:hAnsi="Calibri Light"/>
          <w:sz w:val="20"/>
        </w:rPr>
        <w:t>explanations</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maintenance</w:t>
      </w:r>
      <w:r>
        <w:rPr>
          <w:rFonts w:ascii="Calibri Light" w:hAnsi="Calibri Light"/>
          <w:spacing w:val="-3"/>
          <w:sz w:val="20"/>
        </w:rPr>
        <w:t xml:space="preserve"> </w:t>
      </w:r>
      <w:r>
        <w:rPr>
          <w:rFonts w:ascii="Calibri Light" w:hAnsi="Calibri Light"/>
          <w:sz w:val="20"/>
        </w:rPr>
        <w:t xml:space="preserve">of behaviour change: A systematic review of behaviour theories. </w:t>
      </w:r>
      <w:r>
        <w:rPr>
          <w:rFonts w:ascii="Calibri Light" w:hAnsi="Calibri Light"/>
          <w:i/>
          <w:sz w:val="20"/>
        </w:rPr>
        <w:t>Health Psychology Review, 10</w:t>
      </w:r>
      <w:r>
        <w:rPr>
          <w:rFonts w:ascii="Calibri Light" w:hAnsi="Calibri Light"/>
          <w:sz w:val="20"/>
        </w:rPr>
        <w:t>(3), 27</w:t>
      </w:r>
      <w:r>
        <w:rPr>
          <w:rFonts w:ascii="Calibri Light" w:hAnsi="Calibri Light"/>
          <w:sz w:val="20"/>
        </w:rPr>
        <w:t xml:space="preserve">7–296. </w:t>
      </w:r>
      <w:r>
        <w:rPr>
          <w:rFonts w:ascii="Calibri Light" w:hAnsi="Calibri Light"/>
          <w:spacing w:val="-2"/>
          <w:sz w:val="20"/>
        </w:rPr>
        <w:t>doi:10.1080/17437199.2016.1151372</w:t>
      </w:r>
    </w:p>
    <w:p w14:paraId="743F4EDD" w14:textId="77777777" w:rsidR="00DB6E1F" w:rsidRDefault="00F666A6">
      <w:pPr>
        <w:spacing w:line="259" w:lineRule="auto"/>
        <w:ind w:left="1619" w:right="1491" w:hanging="181"/>
        <w:rPr>
          <w:rFonts w:ascii="Calibri Light" w:hAnsi="Calibri Light"/>
          <w:sz w:val="20"/>
        </w:rPr>
      </w:pPr>
      <w:r>
        <w:rPr>
          <w:rFonts w:ascii="Calibri Light" w:hAnsi="Calibri Light"/>
          <w:sz w:val="20"/>
        </w:rPr>
        <w:t>Lee,</w:t>
      </w:r>
      <w:r>
        <w:rPr>
          <w:rFonts w:ascii="Calibri Light" w:hAnsi="Calibri Light"/>
          <w:spacing w:val="-3"/>
          <w:sz w:val="20"/>
        </w:rPr>
        <w:t xml:space="preserve"> </w:t>
      </w:r>
      <w:r>
        <w:rPr>
          <w:rFonts w:ascii="Calibri Light" w:hAnsi="Calibri Light"/>
          <w:sz w:val="20"/>
        </w:rPr>
        <w:t>W. W., Choi,</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Yum,</w:t>
      </w:r>
      <w:r>
        <w:rPr>
          <w:rFonts w:ascii="Calibri Light" w:hAnsi="Calibri Light"/>
          <w:spacing w:val="-3"/>
          <w:sz w:val="20"/>
        </w:rPr>
        <w:t xml:space="preserve"> </w:t>
      </w:r>
      <w:r>
        <w:rPr>
          <w:rFonts w:ascii="Calibri Light" w:hAnsi="Calibri Light"/>
          <w:sz w:val="20"/>
        </w:rPr>
        <w:t>R. W.,</w:t>
      </w:r>
      <w:r>
        <w:rPr>
          <w:rFonts w:ascii="Calibri Light" w:hAnsi="Calibri Light"/>
          <w:spacing w:val="-3"/>
          <w:sz w:val="20"/>
        </w:rPr>
        <w:t xml:space="preserve"> </w:t>
      </w:r>
      <w:r>
        <w:rPr>
          <w:rFonts w:ascii="Calibri Light" w:hAnsi="Calibri Light"/>
          <w:sz w:val="20"/>
        </w:rPr>
        <w:t>Yu,</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Chair,</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Effectiveness</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motivational</w:t>
      </w:r>
      <w:r>
        <w:rPr>
          <w:rFonts w:ascii="Calibri Light" w:hAnsi="Calibri Light"/>
          <w:spacing w:val="-3"/>
          <w:sz w:val="20"/>
        </w:rPr>
        <w:t xml:space="preserve"> </w:t>
      </w:r>
      <w:r>
        <w:rPr>
          <w:rFonts w:ascii="Calibri Light" w:hAnsi="Calibri Light"/>
          <w:sz w:val="20"/>
        </w:rPr>
        <w:t>interviewing on</w:t>
      </w:r>
      <w:r>
        <w:rPr>
          <w:rFonts w:ascii="Calibri Light" w:hAnsi="Calibri Light"/>
          <w:spacing w:val="-2"/>
          <w:sz w:val="20"/>
        </w:rPr>
        <w:t xml:space="preserve"> </w:t>
      </w:r>
      <w:r>
        <w:rPr>
          <w:rFonts w:ascii="Calibri Light" w:hAnsi="Calibri Light"/>
          <w:sz w:val="20"/>
        </w:rPr>
        <w:t xml:space="preserve">lifestyle modification and health outcomes of clients at risk or diagnosed with cardiovascular diseases: A systematic review. </w:t>
      </w:r>
      <w:r>
        <w:rPr>
          <w:rFonts w:ascii="Calibri Light" w:hAnsi="Calibri Light"/>
          <w:i/>
          <w:sz w:val="20"/>
        </w:rPr>
        <w:t>International Journal of Nursing Studies, 53</w:t>
      </w:r>
      <w:r>
        <w:rPr>
          <w:rFonts w:ascii="Calibri Light" w:hAnsi="Calibri Light"/>
          <w:sz w:val="20"/>
        </w:rPr>
        <w:t>, 331–341. doi:10.1016/j.ijnurstu.2015.09.010</w:t>
      </w:r>
    </w:p>
    <w:p w14:paraId="3BC15C23" w14:textId="77777777" w:rsidR="00DB6E1F" w:rsidRDefault="00F666A6">
      <w:pPr>
        <w:spacing w:line="259" w:lineRule="auto"/>
        <w:ind w:left="1619" w:right="1491" w:hanging="181"/>
        <w:rPr>
          <w:rFonts w:ascii="Calibri Light" w:hAnsi="Calibri Light"/>
          <w:sz w:val="20"/>
        </w:rPr>
      </w:pPr>
      <w:r>
        <w:rPr>
          <w:rFonts w:ascii="Calibri Light" w:hAnsi="Calibri Light"/>
          <w:sz w:val="20"/>
        </w:rPr>
        <w:t xml:space="preserve">Lenz, A. S., Rosenbaum, L., &amp; Sheperis, </w:t>
      </w:r>
      <w:r>
        <w:rPr>
          <w:rFonts w:ascii="Calibri Light" w:hAnsi="Calibri Light"/>
          <w:sz w:val="20"/>
        </w:rPr>
        <w:t>D. (2016). Meta-analysis of randomized controlled trials of motivational enhancement</w:t>
      </w:r>
      <w:r>
        <w:rPr>
          <w:rFonts w:ascii="Calibri Light" w:hAnsi="Calibri Light"/>
          <w:spacing w:val="-4"/>
          <w:sz w:val="20"/>
        </w:rPr>
        <w:t xml:space="preserve"> </w:t>
      </w:r>
      <w:r>
        <w:rPr>
          <w:rFonts w:ascii="Calibri Light" w:hAnsi="Calibri Light"/>
          <w:sz w:val="20"/>
        </w:rPr>
        <w:t>therapy</w:t>
      </w:r>
      <w:r>
        <w:rPr>
          <w:rFonts w:ascii="Calibri Light" w:hAnsi="Calibri Light"/>
          <w:spacing w:val="-3"/>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reducing</w:t>
      </w:r>
      <w:r>
        <w:rPr>
          <w:rFonts w:ascii="Calibri Light" w:hAnsi="Calibri Light"/>
          <w:spacing w:val="-1"/>
          <w:sz w:val="20"/>
        </w:rPr>
        <w:t xml:space="preserve"> </w:t>
      </w:r>
      <w:r>
        <w:rPr>
          <w:rFonts w:ascii="Calibri Light" w:hAnsi="Calibri Light"/>
          <w:sz w:val="20"/>
        </w:rPr>
        <w:t>substance</w:t>
      </w:r>
      <w:r>
        <w:rPr>
          <w:rFonts w:ascii="Calibri Light" w:hAnsi="Calibri Light"/>
          <w:spacing w:val="-4"/>
          <w:sz w:val="20"/>
        </w:rPr>
        <w:t xml:space="preserve"> </w:t>
      </w:r>
      <w:r>
        <w:rPr>
          <w:rFonts w:ascii="Calibri Light" w:hAnsi="Calibri Light"/>
          <w:sz w:val="20"/>
        </w:rPr>
        <w:t>use.</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4"/>
          <w:sz w:val="20"/>
        </w:rPr>
        <w:t xml:space="preserve"> </w:t>
      </w:r>
      <w:r>
        <w:rPr>
          <w:rFonts w:ascii="Calibri Light" w:hAnsi="Calibri Light"/>
          <w:i/>
          <w:sz w:val="20"/>
        </w:rPr>
        <w:t>Addictions</w:t>
      </w:r>
      <w:r>
        <w:rPr>
          <w:rFonts w:ascii="Calibri Light" w:hAnsi="Calibri Light"/>
          <w:i/>
          <w:spacing w:val="-4"/>
          <w:sz w:val="20"/>
        </w:rPr>
        <w:t xml:space="preserve"> </w:t>
      </w:r>
      <w:r>
        <w:rPr>
          <w:rFonts w:ascii="Calibri Light" w:hAnsi="Calibri Light"/>
          <w:i/>
          <w:sz w:val="20"/>
        </w:rPr>
        <w:t>and</w:t>
      </w:r>
      <w:r>
        <w:rPr>
          <w:rFonts w:ascii="Calibri Light" w:hAnsi="Calibri Light"/>
          <w:i/>
          <w:spacing w:val="-4"/>
          <w:sz w:val="20"/>
        </w:rPr>
        <w:t xml:space="preserve"> </w:t>
      </w:r>
      <w:r>
        <w:rPr>
          <w:rFonts w:ascii="Calibri Light" w:hAnsi="Calibri Light"/>
          <w:i/>
          <w:sz w:val="20"/>
        </w:rPr>
        <w:t>Offender</w:t>
      </w:r>
      <w:r>
        <w:rPr>
          <w:rFonts w:ascii="Calibri Light" w:hAnsi="Calibri Light"/>
          <w:i/>
          <w:spacing w:val="-4"/>
          <w:sz w:val="20"/>
        </w:rPr>
        <w:t xml:space="preserve"> </w:t>
      </w:r>
      <w:r>
        <w:rPr>
          <w:rFonts w:ascii="Calibri Light" w:hAnsi="Calibri Light"/>
          <w:i/>
          <w:sz w:val="20"/>
        </w:rPr>
        <w:t>Counseling,</w:t>
      </w:r>
      <w:r>
        <w:rPr>
          <w:rFonts w:ascii="Calibri Light" w:hAnsi="Calibri Light"/>
          <w:i/>
          <w:spacing w:val="-4"/>
          <w:sz w:val="20"/>
        </w:rPr>
        <w:t xml:space="preserve"> </w:t>
      </w:r>
      <w:r>
        <w:rPr>
          <w:rFonts w:ascii="Calibri Light" w:hAnsi="Calibri Light"/>
          <w:i/>
          <w:sz w:val="20"/>
        </w:rPr>
        <w:t>37</w:t>
      </w:r>
      <w:r>
        <w:rPr>
          <w:rFonts w:ascii="Calibri Light" w:hAnsi="Calibri Light"/>
          <w:sz w:val="20"/>
        </w:rPr>
        <w:t>(2),</w:t>
      </w:r>
      <w:r>
        <w:rPr>
          <w:rFonts w:ascii="Calibri Light" w:hAnsi="Calibri Light"/>
          <w:spacing w:val="-4"/>
          <w:sz w:val="20"/>
        </w:rPr>
        <w:t xml:space="preserve"> </w:t>
      </w:r>
      <w:r>
        <w:rPr>
          <w:rFonts w:ascii="Calibri Light" w:hAnsi="Calibri Light"/>
          <w:sz w:val="20"/>
        </w:rPr>
        <w:t xml:space="preserve">66–86. </w:t>
      </w:r>
      <w:r>
        <w:rPr>
          <w:rFonts w:ascii="Calibri Light" w:hAnsi="Calibri Light"/>
          <w:spacing w:val="-2"/>
          <w:sz w:val="20"/>
        </w:rPr>
        <w:t>doi:10.1002/jaoc.12017</w:t>
      </w:r>
    </w:p>
    <w:p w14:paraId="03F87B44" w14:textId="77777777" w:rsidR="00DB6E1F" w:rsidRDefault="00F666A6">
      <w:pPr>
        <w:spacing w:line="259" w:lineRule="auto"/>
        <w:ind w:left="1619" w:right="1491" w:hanging="180"/>
        <w:rPr>
          <w:rFonts w:ascii="Calibri Light" w:hAnsi="Calibri Light"/>
          <w:sz w:val="20"/>
        </w:rPr>
      </w:pPr>
      <w:r>
        <w:rPr>
          <w:rFonts w:ascii="Calibri Light" w:hAnsi="Calibri Light"/>
          <w:sz w:val="20"/>
        </w:rPr>
        <w:t>Lindqvist,</w:t>
      </w:r>
      <w:r>
        <w:rPr>
          <w:rFonts w:ascii="Calibri Light" w:hAnsi="Calibri Light"/>
          <w:spacing w:val="-1"/>
          <w:sz w:val="20"/>
        </w:rPr>
        <w:t xml:space="preserve"> </w:t>
      </w:r>
      <w:r>
        <w:rPr>
          <w:rFonts w:ascii="Calibri Light" w:hAnsi="Calibri Light"/>
          <w:sz w:val="20"/>
        </w:rPr>
        <w:t>H.,</w:t>
      </w:r>
      <w:r>
        <w:rPr>
          <w:rFonts w:ascii="Calibri Light" w:hAnsi="Calibri Light"/>
          <w:spacing w:val="-1"/>
          <w:sz w:val="20"/>
        </w:rPr>
        <w:t xml:space="preserve"> </w:t>
      </w:r>
      <w:r>
        <w:rPr>
          <w:rFonts w:ascii="Calibri Light" w:hAnsi="Calibri Light"/>
          <w:sz w:val="20"/>
        </w:rPr>
        <w:t>Forsberg,</w:t>
      </w:r>
      <w:r>
        <w:rPr>
          <w:rFonts w:ascii="Calibri Light" w:hAnsi="Calibri Light"/>
          <w:spacing w:val="-4"/>
          <w:sz w:val="20"/>
        </w:rPr>
        <w:t xml:space="preserve"> </w:t>
      </w:r>
      <w:r>
        <w:rPr>
          <w:rFonts w:ascii="Calibri Light" w:hAnsi="Calibri Light"/>
          <w:sz w:val="20"/>
        </w:rPr>
        <w:t>L.,</w:t>
      </w:r>
      <w:r>
        <w:rPr>
          <w:rFonts w:ascii="Calibri Light" w:hAnsi="Calibri Light"/>
          <w:spacing w:val="-4"/>
          <w:sz w:val="20"/>
        </w:rPr>
        <w:t xml:space="preserve"> </w:t>
      </w:r>
      <w:r>
        <w:rPr>
          <w:rFonts w:ascii="Calibri Light" w:hAnsi="Calibri Light"/>
          <w:sz w:val="20"/>
        </w:rPr>
        <w:t>Enebrink,</w:t>
      </w:r>
      <w:r>
        <w:rPr>
          <w:rFonts w:ascii="Calibri Light" w:hAnsi="Calibri Light"/>
          <w:spacing w:val="-4"/>
          <w:sz w:val="20"/>
        </w:rPr>
        <w:t xml:space="preserve"> </w:t>
      </w:r>
      <w:r>
        <w:rPr>
          <w:rFonts w:ascii="Calibri Light" w:hAnsi="Calibri Light"/>
          <w:sz w:val="20"/>
        </w:rPr>
        <w:t>P.,</w:t>
      </w:r>
      <w:r>
        <w:rPr>
          <w:rFonts w:ascii="Calibri Light" w:hAnsi="Calibri Light"/>
          <w:spacing w:val="-4"/>
          <w:sz w:val="20"/>
        </w:rPr>
        <w:t xml:space="preserve"> </w:t>
      </w:r>
      <w:r>
        <w:rPr>
          <w:rFonts w:ascii="Calibri Light" w:hAnsi="Calibri Light"/>
          <w:sz w:val="20"/>
        </w:rPr>
        <w:t>Andersso</w:t>
      </w:r>
      <w:r>
        <w:rPr>
          <w:rFonts w:ascii="Calibri Light" w:hAnsi="Calibri Light"/>
          <w:sz w:val="20"/>
        </w:rPr>
        <w:t>n,</w:t>
      </w:r>
      <w:r>
        <w:rPr>
          <w:rFonts w:ascii="Calibri Light" w:hAnsi="Calibri Light"/>
          <w:spacing w:val="-4"/>
          <w:sz w:val="20"/>
        </w:rPr>
        <w:t xml:space="preserve"> </w:t>
      </w:r>
      <w:r>
        <w:rPr>
          <w:rFonts w:ascii="Calibri Light" w:hAnsi="Calibri Light"/>
          <w:sz w:val="20"/>
        </w:rPr>
        <w:t>G.,</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Rosendahl,</w:t>
      </w:r>
      <w:r>
        <w:rPr>
          <w:rFonts w:ascii="Calibri Light" w:hAnsi="Calibri Light"/>
          <w:spacing w:val="-4"/>
          <w:sz w:val="20"/>
        </w:rPr>
        <w:t xml:space="preserve"> </w:t>
      </w:r>
      <w:r>
        <w:rPr>
          <w:rFonts w:ascii="Calibri Light" w:hAnsi="Calibri Light"/>
          <w:sz w:val="20"/>
        </w:rPr>
        <w:t>I.</w:t>
      </w:r>
      <w:r>
        <w:rPr>
          <w:rFonts w:ascii="Calibri Light" w:hAnsi="Calibri Light"/>
          <w:spacing w:val="-4"/>
          <w:sz w:val="20"/>
        </w:rPr>
        <w:t xml:space="preserve"> </w:t>
      </w:r>
      <w:r>
        <w:rPr>
          <w:rFonts w:ascii="Calibri Light" w:hAnsi="Calibri Light"/>
          <w:sz w:val="20"/>
        </w:rPr>
        <w:t>(2017).</w:t>
      </w:r>
      <w:r>
        <w:rPr>
          <w:rFonts w:ascii="Calibri Light" w:hAnsi="Calibri Light"/>
          <w:spacing w:val="-4"/>
          <w:sz w:val="20"/>
        </w:rPr>
        <w:t xml:space="preserve"> </w:t>
      </w:r>
      <w:r>
        <w:rPr>
          <w:rFonts w:ascii="Calibri Light" w:hAnsi="Calibri Light"/>
          <w:sz w:val="20"/>
        </w:rPr>
        <w:t>Relational</w:t>
      </w:r>
      <w:r>
        <w:rPr>
          <w:rFonts w:ascii="Calibri Light" w:hAnsi="Calibri Light"/>
          <w:spacing w:val="-3"/>
          <w:sz w:val="20"/>
        </w:rPr>
        <w:t xml:space="preserve"> </w:t>
      </w:r>
      <w:r>
        <w:rPr>
          <w:rFonts w:ascii="Calibri Light" w:hAnsi="Calibri Light"/>
          <w:sz w:val="20"/>
        </w:rPr>
        <w:t>skills</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client</w:t>
      </w:r>
      <w:r>
        <w:rPr>
          <w:rFonts w:ascii="Calibri Light" w:hAnsi="Calibri Light"/>
          <w:spacing w:val="-4"/>
          <w:sz w:val="20"/>
        </w:rPr>
        <w:t xml:space="preserve"> </w:t>
      </w:r>
      <w:r>
        <w:rPr>
          <w:rFonts w:ascii="Calibri Light" w:hAnsi="Calibri Light"/>
          <w:sz w:val="20"/>
        </w:rPr>
        <w:t xml:space="preserve">language predict outcome in smoking cessation treatment. </w:t>
      </w:r>
      <w:r>
        <w:rPr>
          <w:rFonts w:ascii="Calibri Light" w:hAnsi="Calibri Light"/>
          <w:i/>
          <w:sz w:val="20"/>
        </w:rPr>
        <w:t>Substance Use and Misuse, 52</w:t>
      </w:r>
      <w:r>
        <w:rPr>
          <w:rFonts w:ascii="Calibri Light" w:hAnsi="Calibri Light"/>
          <w:sz w:val="20"/>
        </w:rPr>
        <w:t xml:space="preserve">(1), 33–42. </w:t>
      </w:r>
      <w:r>
        <w:rPr>
          <w:rFonts w:ascii="Calibri Light" w:hAnsi="Calibri Light"/>
          <w:spacing w:val="-2"/>
          <w:sz w:val="20"/>
        </w:rPr>
        <w:t>doi:10.1080/10826084.2016.1212892</w:t>
      </w:r>
    </w:p>
    <w:p w14:paraId="6E9D9D4B" w14:textId="77777777" w:rsidR="00DB6E1F" w:rsidRDefault="00F666A6">
      <w:pPr>
        <w:spacing w:line="259" w:lineRule="auto"/>
        <w:ind w:left="1619" w:right="1491" w:hanging="180"/>
        <w:rPr>
          <w:rFonts w:ascii="Calibri Light" w:hAnsi="Calibri Light"/>
          <w:sz w:val="20"/>
        </w:rPr>
      </w:pPr>
      <w:r>
        <w:rPr>
          <w:rFonts w:ascii="Calibri Light" w:hAnsi="Calibri Light"/>
          <w:sz w:val="20"/>
        </w:rPr>
        <w:t>Litt,</w:t>
      </w:r>
      <w:r>
        <w:rPr>
          <w:rFonts w:ascii="Calibri Light" w:hAnsi="Calibri Light"/>
          <w:spacing w:val="-1"/>
          <w:sz w:val="20"/>
        </w:rPr>
        <w:t xml:space="preserve"> </w:t>
      </w:r>
      <w:r>
        <w:rPr>
          <w:rFonts w:ascii="Calibri Light" w:hAnsi="Calibri Light"/>
          <w:sz w:val="20"/>
        </w:rPr>
        <w:t>M.</w:t>
      </w:r>
      <w:r>
        <w:rPr>
          <w:rFonts w:ascii="Calibri Light" w:hAnsi="Calibri Light"/>
          <w:spacing w:val="-1"/>
          <w:sz w:val="20"/>
        </w:rPr>
        <w:t xml:space="preserve"> </w:t>
      </w:r>
      <w:r>
        <w:rPr>
          <w:rFonts w:ascii="Calibri Light" w:hAnsi="Calibri Light"/>
          <w:sz w:val="20"/>
        </w:rPr>
        <w:t>D.,</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Kadden,</w:t>
      </w:r>
      <w:r>
        <w:rPr>
          <w:rFonts w:ascii="Calibri Light" w:hAnsi="Calibri Light"/>
          <w:spacing w:val="-4"/>
          <w:sz w:val="20"/>
        </w:rPr>
        <w:t xml:space="preserve"> </w:t>
      </w:r>
      <w:r>
        <w:rPr>
          <w:rFonts w:ascii="Calibri Light" w:hAnsi="Calibri Light"/>
          <w:sz w:val="20"/>
        </w:rPr>
        <w:t>R.</w:t>
      </w:r>
      <w:r>
        <w:rPr>
          <w:rFonts w:ascii="Calibri Light" w:hAnsi="Calibri Light"/>
          <w:spacing w:val="-4"/>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(2015).</w:t>
      </w:r>
      <w:r>
        <w:rPr>
          <w:rFonts w:ascii="Calibri Light" w:hAnsi="Calibri Light"/>
          <w:spacing w:val="-4"/>
          <w:sz w:val="20"/>
        </w:rPr>
        <w:t xml:space="preserve"> </w:t>
      </w:r>
      <w:r>
        <w:rPr>
          <w:rFonts w:ascii="Calibri Light" w:hAnsi="Calibri Light"/>
          <w:sz w:val="20"/>
        </w:rPr>
        <w:t>Willpower</w:t>
      </w:r>
      <w:r>
        <w:rPr>
          <w:rFonts w:ascii="Calibri Light" w:hAnsi="Calibri Light"/>
          <w:spacing w:val="-2"/>
          <w:sz w:val="20"/>
        </w:rPr>
        <w:t xml:space="preserve"> </w:t>
      </w:r>
      <w:r>
        <w:rPr>
          <w:rFonts w:ascii="Calibri Light" w:hAnsi="Calibri Light"/>
          <w:sz w:val="20"/>
        </w:rPr>
        <w:t>versus</w:t>
      </w:r>
      <w:r>
        <w:rPr>
          <w:rFonts w:ascii="Calibri Light" w:hAnsi="Calibri Light"/>
          <w:spacing w:val="-3"/>
          <w:sz w:val="20"/>
        </w:rPr>
        <w:t xml:space="preserve"> </w:t>
      </w:r>
      <w:r>
        <w:rPr>
          <w:rFonts w:ascii="Calibri Light" w:hAnsi="Calibri Light"/>
          <w:sz w:val="20"/>
        </w:rPr>
        <w:t>“skillpower”:</w:t>
      </w:r>
      <w:r>
        <w:rPr>
          <w:rFonts w:ascii="Calibri Light" w:hAnsi="Calibri Light"/>
          <w:spacing w:val="-3"/>
          <w:sz w:val="20"/>
        </w:rPr>
        <w:t xml:space="preserve"> </w:t>
      </w:r>
      <w:r>
        <w:rPr>
          <w:rFonts w:ascii="Calibri Light" w:hAnsi="Calibri Light"/>
          <w:sz w:val="20"/>
        </w:rPr>
        <w:t>Examining</w:t>
      </w:r>
      <w:r>
        <w:rPr>
          <w:rFonts w:ascii="Calibri Light" w:hAnsi="Calibri Light"/>
          <w:spacing w:val="-3"/>
          <w:sz w:val="20"/>
        </w:rPr>
        <w:t xml:space="preserve"> </w:t>
      </w:r>
      <w:r>
        <w:rPr>
          <w:rFonts w:ascii="Calibri Light" w:hAnsi="Calibri Light"/>
          <w:sz w:val="20"/>
        </w:rPr>
        <w:t>how</w:t>
      </w:r>
      <w:r>
        <w:rPr>
          <w:rFonts w:ascii="Calibri Light" w:hAnsi="Calibri Light"/>
          <w:spacing w:val="-1"/>
          <w:sz w:val="20"/>
        </w:rPr>
        <w:t xml:space="preserve"> </w:t>
      </w:r>
      <w:r>
        <w:rPr>
          <w:rFonts w:ascii="Calibri Light" w:hAnsi="Calibri Light"/>
          <w:sz w:val="20"/>
        </w:rPr>
        <w:t>self-efficacy</w:t>
      </w:r>
      <w:r>
        <w:rPr>
          <w:rFonts w:ascii="Calibri Light" w:hAnsi="Calibri Light"/>
          <w:spacing w:val="-2"/>
          <w:sz w:val="20"/>
        </w:rPr>
        <w:t xml:space="preserve"> </w:t>
      </w:r>
      <w:r>
        <w:rPr>
          <w:rFonts w:ascii="Calibri Light" w:hAnsi="Calibri Light"/>
          <w:sz w:val="20"/>
        </w:rPr>
        <w:t>works</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treatment for marijuana dependence</w:t>
      </w:r>
      <w:r>
        <w:rPr>
          <w:rFonts w:ascii="Calibri Light" w:hAnsi="Calibri Light"/>
          <w:i/>
          <w:sz w:val="20"/>
        </w:rPr>
        <w:t>. Psychology of Addictive Behaviors</w:t>
      </w:r>
      <w:r>
        <w:rPr>
          <w:rFonts w:ascii="Calibri Light" w:hAnsi="Calibri Light"/>
          <w:sz w:val="20"/>
        </w:rPr>
        <w:t xml:space="preserve">, </w:t>
      </w:r>
      <w:r>
        <w:rPr>
          <w:rFonts w:ascii="Calibri Light" w:hAnsi="Calibri Light"/>
          <w:i/>
          <w:sz w:val="20"/>
        </w:rPr>
        <w:t>29</w:t>
      </w:r>
      <w:r>
        <w:rPr>
          <w:rFonts w:ascii="Calibri Light" w:hAnsi="Calibri Light"/>
          <w:sz w:val="20"/>
        </w:rPr>
        <w:t>(3), 532–540. doi:10.1037/adb0000085</w:t>
      </w:r>
    </w:p>
    <w:p w14:paraId="2FA82BED" w14:textId="77777777" w:rsidR="00DB6E1F" w:rsidRDefault="00F666A6">
      <w:pPr>
        <w:spacing w:line="259" w:lineRule="auto"/>
        <w:ind w:left="1619" w:right="1491" w:hanging="181"/>
        <w:rPr>
          <w:rFonts w:ascii="Calibri Light" w:hAnsi="Calibri Light"/>
          <w:sz w:val="20"/>
        </w:rPr>
      </w:pPr>
      <w:r>
        <w:rPr>
          <w:rFonts w:ascii="Calibri Light" w:hAnsi="Calibri Light"/>
          <w:sz w:val="20"/>
        </w:rPr>
        <w:t>Litt,</w:t>
      </w:r>
      <w:r>
        <w:rPr>
          <w:rFonts w:ascii="Calibri Light" w:hAnsi="Calibri Light"/>
          <w:spacing w:val="-1"/>
          <w:sz w:val="20"/>
        </w:rPr>
        <w:t xml:space="preserve"> </w:t>
      </w:r>
      <w:r>
        <w:rPr>
          <w:rFonts w:ascii="Calibri Light" w:hAnsi="Calibri Light"/>
          <w:sz w:val="20"/>
        </w:rPr>
        <w:t>M.</w:t>
      </w:r>
      <w:r>
        <w:rPr>
          <w:rFonts w:ascii="Calibri Light" w:hAnsi="Calibri Light"/>
          <w:spacing w:val="-1"/>
          <w:sz w:val="20"/>
        </w:rPr>
        <w:t xml:space="preserve"> </w:t>
      </w:r>
      <w:r>
        <w:rPr>
          <w:rFonts w:ascii="Calibri Light" w:hAnsi="Calibri Light"/>
          <w:sz w:val="20"/>
        </w:rPr>
        <w:t>D.,</w:t>
      </w:r>
      <w:r>
        <w:rPr>
          <w:rFonts w:ascii="Calibri Light" w:hAnsi="Calibri Light"/>
          <w:spacing w:val="-4"/>
          <w:sz w:val="20"/>
        </w:rPr>
        <w:t xml:space="preserve"> </w:t>
      </w:r>
      <w:r>
        <w:rPr>
          <w:rFonts w:ascii="Calibri Light" w:hAnsi="Calibri Light"/>
          <w:sz w:val="20"/>
        </w:rPr>
        <w:t>Kadden,</w:t>
      </w:r>
      <w:r>
        <w:rPr>
          <w:rFonts w:ascii="Calibri Light" w:hAnsi="Calibri Light"/>
          <w:spacing w:val="-4"/>
          <w:sz w:val="20"/>
        </w:rPr>
        <w:t xml:space="preserve"> </w:t>
      </w:r>
      <w:r>
        <w:rPr>
          <w:rFonts w:ascii="Calibri Light" w:hAnsi="Calibri Light"/>
          <w:sz w:val="20"/>
        </w:rPr>
        <w:t>R.</w:t>
      </w:r>
      <w:r>
        <w:rPr>
          <w:rFonts w:ascii="Calibri Light" w:hAnsi="Calibri Light"/>
          <w:spacing w:val="-1"/>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Petry,</w:t>
      </w:r>
      <w:r>
        <w:rPr>
          <w:rFonts w:ascii="Calibri Light" w:hAnsi="Calibri Light"/>
          <w:spacing w:val="-4"/>
          <w:sz w:val="20"/>
        </w:rPr>
        <w:t xml:space="preserve"> </w:t>
      </w:r>
      <w:r>
        <w:rPr>
          <w:rFonts w:ascii="Calibri Light" w:hAnsi="Calibri Light"/>
          <w:sz w:val="20"/>
        </w:rPr>
        <w:t>N.</w:t>
      </w:r>
      <w:r>
        <w:rPr>
          <w:rFonts w:ascii="Calibri Light" w:hAnsi="Calibri Light"/>
          <w:spacing w:val="-4"/>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(2013).</w:t>
      </w:r>
      <w:r>
        <w:rPr>
          <w:rFonts w:ascii="Calibri Light" w:hAnsi="Calibri Light"/>
          <w:spacing w:val="-1"/>
          <w:sz w:val="20"/>
        </w:rPr>
        <w:t xml:space="preserve"> </w:t>
      </w:r>
      <w:r>
        <w:rPr>
          <w:rFonts w:ascii="Calibri Light" w:hAnsi="Calibri Light"/>
          <w:sz w:val="20"/>
        </w:rPr>
        <w:t>Behavioral</w:t>
      </w:r>
      <w:r>
        <w:rPr>
          <w:rFonts w:ascii="Calibri Light" w:hAnsi="Calibri Light"/>
          <w:spacing w:val="-1"/>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marijuana</w:t>
      </w:r>
      <w:r>
        <w:rPr>
          <w:rFonts w:ascii="Calibri Light" w:hAnsi="Calibri Light"/>
          <w:spacing w:val="-3"/>
          <w:sz w:val="20"/>
        </w:rPr>
        <w:t xml:space="preserve"> </w:t>
      </w:r>
      <w:r>
        <w:rPr>
          <w:rFonts w:ascii="Calibri Light" w:hAnsi="Calibri Light"/>
          <w:sz w:val="20"/>
        </w:rPr>
        <w:t>dependence:</w:t>
      </w:r>
      <w:r>
        <w:rPr>
          <w:rFonts w:ascii="Calibri Light" w:hAnsi="Calibri Light"/>
          <w:spacing w:val="-3"/>
          <w:sz w:val="20"/>
        </w:rPr>
        <w:t xml:space="preserve"> </w:t>
      </w:r>
      <w:r>
        <w:rPr>
          <w:rFonts w:ascii="Calibri Light" w:hAnsi="Calibri Light"/>
          <w:sz w:val="20"/>
        </w:rPr>
        <w:t>Randomized</w:t>
      </w:r>
      <w:r>
        <w:rPr>
          <w:rFonts w:ascii="Calibri Light" w:hAnsi="Calibri Light"/>
          <w:spacing w:val="-3"/>
          <w:sz w:val="20"/>
        </w:rPr>
        <w:t xml:space="preserve"> </w:t>
      </w:r>
      <w:r>
        <w:rPr>
          <w:rFonts w:ascii="Calibri Light" w:hAnsi="Calibri Light"/>
          <w:sz w:val="20"/>
        </w:rPr>
        <w:t xml:space="preserve">trial of contingency management and self-efficacy enhancement. </w:t>
      </w:r>
      <w:r>
        <w:rPr>
          <w:rFonts w:ascii="Calibri Light" w:hAnsi="Calibri Light"/>
          <w:i/>
          <w:sz w:val="20"/>
        </w:rPr>
        <w:t>Addictive Behaviors, 38</w:t>
      </w:r>
      <w:r>
        <w:rPr>
          <w:rFonts w:ascii="Calibri Light" w:hAnsi="Calibri Light"/>
          <w:sz w:val="20"/>
        </w:rPr>
        <w:t xml:space="preserve">(3), 1764–1775. </w:t>
      </w:r>
      <w:r>
        <w:rPr>
          <w:rFonts w:ascii="Calibri Light" w:hAnsi="Calibri Light"/>
          <w:spacing w:val="-2"/>
          <w:sz w:val="20"/>
        </w:rPr>
        <w:t>doi:10.1016/j.addbeh.2012.08.011</w:t>
      </w:r>
    </w:p>
    <w:p w14:paraId="61A9E94E" w14:textId="77777777" w:rsidR="00DB6E1F" w:rsidRDefault="00F666A6">
      <w:pPr>
        <w:spacing w:line="259" w:lineRule="auto"/>
        <w:ind w:left="1619" w:right="1664" w:hanging="181"/>
        <w:jc w:val="both"/>
        <w:rPr>
          <w:rFonts w:ascii="Calibri Light" w:hAnsi="Calibri Light"/>
          <w:sz w:val="20"/>
        </w:rPr>
      </w:pPr>
      <w:r>
        <w:rPr>
          <w:rFonts w:ascii="Calibri Light" w:hAnsi="Calibri Light"/>
          <w:sz w:val="20"/>
        </w:rPr>
        <w:t>Lord,</w:t>
      </w:r>
      <w:r>
        <w:rPr>
          <w:rFonts w:ascii="Calibri Light" w:hAnsi="Calibri Light"/>
          <w:spacing w:val="-2"/>
          <w:sz w:val="20"/>
        </w:rPr>
        <w:t xml:space="preserve"> </w:t>
      </w:r>
      <w:r>
        <w:rPr>
          <w:rFonts w:ascii="Calibri Light" w:hAnsi="Calibri Light"/>
          <w:sz w:val="20"/>
        </w:rPr>
        <w:t>S.</w:t>
      </w:r>
      <w:r>
        <w:rPr>
          <w:rFonts w:ascii="Calibri Light" w:hAnsi="Calibri Light"/>
          <w:spacing w:val="-2"/>
          <w:sz w:val="20"/>
        </w:rPr>
        <w:t xml:space="preserve"> </w:t>
      </w:r>
      <w:r>
        <w:rPr>
          <w:rFonts w:ascii="Calibri Light" w:hAnsi="Calibri Light"/>
          <w:sz w:val="20"/>
        </w:rPr>
        <w:t>P.,</w:t>
      </w:r>
      <w:r>
        <w:rPr>
          <w:rFonts w:ascii="Calibri Light" w:hAnsi="Calibri Light"/>
          <w:spacing w:val="-2"/>
          <w:sz w:val="20"/>
        </w:rPr>
        <w:t xml:space="preserve"> </w:t>
      </w:r>
      <w:r>
        <w:rPr>
          <w:rFonts w:ascii="Calibri Light" w:hAnsi="Calibri Light"/>
          <w:sz w:val="20"/>
        </w:rPr>
        <w:t>Can,</w:t>
      </w:r>
      <w:r>
        <w:rPr>
          <w:rFonts w:ascii="Calibri Light" w:hAnsi="Calibri Light"/>
          <w:spacing w:val="-2"/>
          <w:sz w:val="20"/>
        </w:rPr>
        <w:t xml:space="preserve"> </w:t>
      </w:r>
      <w:r>
        <w:rPr>
          <w:rFonts w:ascii="Calibri Light" w:hAnsi="Calibri Light"/>
          <w:sz w:val="20"/>
        </w:rPr>
        <w:t>D.,</w:t>
      </w:r>
      <w:r>
        <w:rPr>
          <w:rFonts w:ascii="Calibri Light" w:hAnsi="Calibri Light"/>
          <w:spacing w:val="-2"/>
          <w:sz w:val="20"/>
        </w:rPr>
        <w:t xml:space="preserve"> </w:t>
      </w:r>
      <w:r>
        <w:rPr>
          <w:rFonts w:ascii="Calibri Light" w:hAnsi="Calibri Light"/>
          <w:sz w:val="20"/>
        </w:rPr>
        <w:t>Yi,</w:t>
      </w:r>
      <w:r>
        <w:rPr>
          <w:rFonts w:ascii="Calibri Light" w:hAnsi="Calibri Light"/>
          <w:spacing w:val="-2"/>
          <w:sz w:val="20"/>
        </w:rPr>
        <w:t xml:space="preserve"> </w:t>
      </w:r>
      <w:r>
        <w:rPr>
          <w:rFonts w:ascii="Calibri Light" w:hAnsi="Calibri Light"/>
          <w:sz w:val="20"/>
        </w:rPr>
        <w:t>M.,</w:t>
      </w:r>
      <w:r>
        <w:rPr>
          <w:rFonts w:ascii="Calibri Light" w:hAnsi="Calibri Light"/>
          <w:spacing w:val="-2"/>
          <w:sz w:val="20"/>
        </w:rPr>
        <w:t xml:space="preserve"> </w:t>
      </w:r>
      <w:r>
        <w:rPr>
          <w:rFonts w:ascii="Calibri Light" w:hAnsi="Calibri Light"/>
          <w:sz w:val="20"/>
        </w:rPr>
        <w:t>Marin,</w:t>
      </w:r>
      <w:r>
        <w:rPr>
          <w:rFonts w:ascii="Calibri Light" w:hAnsi="Calibri Light"/>
          <w:spacing w:val="-2"/>
          <w:sz w:val="20"/>
        </w:rPr>
        <w:t xml:space="preserve"> </w:t>
      </w:r>
      <w:r>
        <w:rPr>
          <w:rFonts w:ascii="Calibri Light" w:hAnsi="Calibri Light"/>
          <w:sz w:val="20"/>
        </w:rPr>
        <w:t>R.,</w:t>
      </w:r>
      <w:r>
        <w:rPr>
          <w:rFonts w:ascii="Calibri Light" w:hAnsi="Calibri Light"/>
          <w:spacing w:val="-2"/>
          <w:sz w:val="20"/>
        </w:rPr>
        <w:t xml:space="preserve"> </w:t>
      </w:r>
      <w:r>
        <w:rPr>
          <w:rFonts w:ascii="Calibri Light" w:hAnsi="Calibri Light"/>
          <w:sz w:val="20"/>
        </w:rPr>
        <w:t>Dunn,</w:t>
      </w:r>
      <w:r>
        <w:rPr>
          <w:rFonts w:ascii="Calibri Light" w:hAnsi="Calibri Light"/>
          <w:spacing w:val="-2"/>
          <w:sz w:val="20"/>
        </w:rPr>
        <w:t xml:space="preserve"> </w:t>
      </w:r>
      <w:r>
        <w:rPr>
          <w:rFonts w:ascii="Calibri Light" w:hAnsi="Calibri Light"/>
          <w:sz w:val="20"/>
        </w:rPr>
        <w:t>C.</w:t>
      </w:r>
      <w:r>
        <w:rPr>
          <w:rFonts w:ascii="Calibri Light" w:hAnsi="Calibri Light"/>
          <w:spacing w:val="-2"/>
          <w:sz w:val="20"/>
        </w:rPr>
        <w:t xml:space="preserve"> </w:t>
      </w:r>
      <w:r>
        <w:rPr>
          <w:rFonts w:ascii="Calibri Light" w:hAnsi="Calibri Light"/>
          <w:sz w:val="20"/>
        </w:rPr>
        <w:t>W.,</w:t>
      </w:r>
      <w:r>
        <w:rPr>
          <w:rFonts w:ascii="Calibri Light" w:hAnsi="Calibri Light"/>
          <w:spacing w:val="-2"/>
          <w:sz w:val="20"/>
        </w:rPr>
        <w:t xml:space="preserve"> </w:t>
      </w:r>
      <w:r>
        <w:rPr>
          <w:rFonts w:ascii="Calibri Light" w:hAnsi="Calibri Light"/>
          <w:sz w:val="20"/>
        </w:rPr>
        <w:t>Imel,</w:t>
      </w:r>
      <w:r>
        <w:rPr>
          <w:rFonts w:ascii="Calibri Light" w:hAnsi="Calibri Light"/>
          <w:spacing w:val="-2"/>
          <w:sz w:val="20"/>
        </w:rPr>
        <w:t xml:space="preserve"> </w:t>
      </w:r>
      <w:r>
        <w:rPr>
          <w:rFonts w:ascii="Calibri Light" w:hAnsi="Calibri Light"/>
          <w:sz w:val="20"/>
        </w:rPr>
        <w:t>Z.</w:t>
      </w:r>
      <w:r>
        <w:rPr>
          <w:rFonts w:ascii="Calibri Light" w:hAnsi="Calibri Light"/>
          <w:spacing w:val="-2"/>
          <w:sz w:val="20"/>
        </w:rPr>
        <w:t xml:space="preserve"> </w:t>
      </w:r>
      <w:r>
        <w:rPr>
          <w:rFonts w:ascii="Calibri Light" w:hAnsi="Calibri Light"/>
          <w:sz w:val="20"/>
        </w:rPr>
        <w:t>E., …</w:t>
      </w:r>
      <w:r>
        <w:rPr>
          <w:rFonts w:ascii="Calibri Light" w:hAnsi="Calibri Light"/>
          <w:spacing w:val="-2"/>
          <w:sz w:val="20"/>
        </w:rPr>
        <w:t xml:space="preserve"> </w:t>
      </w:r>
      <w:r>
        <w:rPr>
          <w:rFonts w:ascii="Calibri Light" w:hAnsi="Calibri Light"/>
          <w:sz w:val="20"/>
        </w:rPr>
        <w:t>Atkins,</w:t>
      </w:r>
      <w:r>
        <w:rPr>
          <w:rFonts w:ascii="Calibri Light" w:hAnsi="Calibri Light"/>
          <w:spacing w:val="-2"/>
          <w:sz w:val="20"/>
        </w:rPr>
        <w:t xml:space="preserve"> </w:t>
      </w:r>
      <w:r>
        <w:rPr>
          <w:rFonts w:ascii="Calibri Light" w:hAnsi="Calibri Light"/>
          <w:sz w:val="20"/>
        </w:rPr>
        <w:t>D.</w:t>
      </w:r>
      <w:r>
        <w:rPr>
          <w:rFonts w:ascii="Calibri Light" w:hAnsi="Calibri Light"/>
          <w:spacing w:val="-2"/>
          <w:sz w:val="20"/>
        </w:rPr>
        <w:t xml:space="preserve"> </w:t>
      </w:r>
      <w:r>
        <w:rPr>
          <w:rFonts w:ascii="Calibri Light" w:hAnsi="Calibri Light"/>
          <w:sz w:val="20"/>
        </w:rPr>
        <w:t>C.</w:t>
      </w:r>
      <w:r>
        <w:rPr>
          <w:rFonts w:ascii="Calibri Light" w:hAnsi="Calibri Light"/>
          <w:spacing w:val="-2"/>
          <w:sz w:val="20"/>
        </w:rPr>
        <w:t xml:space="preserve"> </w:t>
      </w:r>
      <w:r>
        <w:rPr>
          <w:rFonts w:ascii="Calibri Light" w:hAnsi="Calibri Light"/>
          <w:sz w:val="20"/>
        </w:rPr>
        <w:t>(2014).</w:t>
      </w:r>
      <w:r>
        <w:rPr>
          <w:rFonts w:ascii="Calibri Light" w:hAnsi="Calibri Light"/>
          <w:spacing w:val="-2"/>
          <w:sz w:val="20"/>
        </w:rPr>
        <w:t xml:space="preserve"> </w:t>
      </w:r>
      <w:r>
        <w:rPr>
          <w:rFonts w:ascii="Calibri Light" w:hAnsi="Calibri Light"/>
          <w:sz w:val="20"/>
        </w:rPr>
        <w:t>Advanci</w:t>
      </w:r>
      <w:r>
        <w:rPr>
          <w:rFonts w:ascii="Calibri Light" w:hAnsi="Calibri Light"/>
          <w:sz w:val="20"/>
        </w:rPr>
        <w:t>ng</w:t>
      </w:r>
      <w:r>
        <w:rPr>
          <w:rFonts w:ascii="Calibri Light" w:hAnsi="Calibri Light"/>
          <w:spacing w:val="-1"/>
          <w:sz w:val="20"/>
        </w:rPr>
        <w:t xml:space="preserve"> </w:t>
      </w:r>
      <w:r>
        <w:rPr>
          <w:rFonts w:ascii="Calibri Light" w:hAnsi="Calibri Light"/>
          <w:sz w:val="20"/>
        </w:rPr>
        <w:t>methods</w:t>
      </w:r>
      <w:r>
        <w:rPr>
          <w:rFonts w:ascii="Calibri Light" w:hAnsi="Calibri Light"/>
          <w:spacing w:val="-1"/>
          <w:sz w:val="20"/>
        </w:rPr>
        <w:t xml:space="preserve"> </w:t>
      </w:r>
      <w:r>
        <w:rPr>
          <w:rFonts w:ascii="Calibri Light" w:hAnsi="Calibri Light"/>
          <w:sz w:val="20"/>
        </w:rPr>
        <w:t>for reliably assessing motivational</w:t>
      </w:r>
      <w:r>
        <w:rPr>
          <w:rFonts w:ascii="Calibri Light" w:hAnsi="Calibri Light"/>
          <w:spacing w:val="-1"/>
          <w:sz w:val="20"/>
        </w:rPr>
        <w:t xml:space="preserve"> </w:t>
      </w:r>
      <w:r>
        <w:rPr>
          <w:rFonts w:ascii="Calibri Light" w:hAnsi="Calibri Light"/>
          <w:sz w:val="20"/>
        </w:rPr>
        <w:t>interviewing fidelity using the motivational</w:t>
      </w:r>
      <w:r>
        <w:rPr>
          <w:rFonts w:ascii="Calibri Light" w:hAnsi="Calibri Light"/>
          <w:spacing w:val="-1"/>
          <w:sz w:val="20"/>
        </w:rPr>
        <w:t xml:space="preserve"> </w:t>
      </w:r>
      <w:r>
        <w:rPr>
          <w:rFonts w:ascii="Calibri Light" w:hAnsi="Calibri Light"/>
          <w:sz w:val="20"/>
        </w:rPr>
        <w:t xml:space="preserve">interviewing skills code. </w:t>
      </w:r>
      <w:r>
        <w:rPr>
          <w:rFonts w:ascii="Calibri Light" w:hAnsi="Calibri Light"/>
          <w:i/>
          <w:sz w:val="20"/>
        </w:rPr>
        <w:t>Journal</w:t>
      </w:r>
      <w:r>
        <w:rPr>
          <w:rFonts w:ascii="Calibri Light" w:hAnsi="Calibri Light"/>
          <w:i/>
          <w:spacing w:val="-1"/>
          <w:sz w:val="20"/>
        </w:rPr>
        <w:t xml:space="preserve"> </w:t>
      </w:r>
      <w:r>
        <w:rPr>
          <w:rFonts w:ascii="Calibri Light" w:hAnsi="Calibri Light"/>
          <w:i/>
          <w:sz w:val="20"/>
        </w:rPr>
        <w:t>of Substance Abuse Treatment</w:t>
      </w:r>
      <w:r>
        <w:rPr>
          <w:rFonts w:ascii="Calibri Light" w:hAnsi="Calibri Light"/>
          <w:sz w:val="20"/>
        </w:rPr>
        <w:t xml:space="preserve">, </w:t>
      </w:r>
      <w:r>
        <w:rPr>
          <w:rFonts w:ascii="Calibri Light" w:hAnsi="Calibri Light"/>
          <w:i/>
          <w:sz w:val="20"/>
        </w:rPr>
        <w:t>49</w:t>
      </w:r>
      <w:r>
        <w:rPr>
          <w:rFonts w:ascii="Calibri Light" w:hAnsi="Calibri Light"/>
          <w:sz w:val="20"/>
        </w:rPr>
        <w:t>, 50–57.</w:t>
      </w:r>
    </w:p>
    <w:p w14:paraId="4E6836BE" w14:textId="77777777" w:rsidR="00DB6E1F" w:rsidRDefault="00F666A6">
      <w:pPr>
        <w:spacing w:line="259" w:lineRule="auto"/>
        <w:ind w:left="1619" w:right="1491" w:hanging="180"/>
        <w:rPr>
          <w:rFonts w:ascii="Calibri Light" w:hAnsi="Calibri Light"/>
          <w:sz w:val="20"/>
        </w:rPr>
      </w:pPr>
      <w:r>
        <w:rPr>
          <w:rFonts w:ascii="Calibri Light" w:hAnsi="Calibri Light"/>
          <w:sz w:val="20"/>
        </w:rPr>
        <w:t>Lozano,</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Larowe,</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Smith,</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Tuerk,</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Roitzsch,</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(2013).</w:t>
      </w:r>
      <w:r>
        <w:rPr>
          <w:rFonts w:ascii="Calibri Light" w:hAnsi="Calibri Light"/>
          <w:spacing w:val="-3"/>
          <w:sz w:val="20"/>
        </w:rPr>
        <w:t xml:space="preserve"> </w:t>
      </w:r>
      <w:r>
        <w:rPr>
          <w:rFonts w:ascii="Calibri Light" w:hAnsi="Calibri Light"/>
          <w:sz w:val="20"/>
        </w:rPr>
        <w:t>Brief</w:t>
      </w:r>
      <w:r>
        <w:rPr>
          <w:rFonts w:ascii="Calibri Light" w:hAnsi="Calibri Light"/>
          <w:spacing w:val="-2"/>
          <w:sz w:val="20"/>
        </w:rPr>
        <w:t xml:space="preserve"> </w:t>
      </w:r>
      <w:r>
        <w:rPr>
          <w:rFonts w:ascii="Calibri Light" w:hAnsi="Calibri Light"/>
          <w:sz w:val="20"/>
        </w:rPr>
        <w:t>motivational feedback</w:t>
      </w:r>
      <w:r>
        <w:rPr>
          <w:rFonts w:ascii="Calibri Light" w:hAnsi="Calibri Light"/>
          <w:spacing w:val="-1"/>
          <w:sz w:val="20"/>
        </w:rPr>
        <w:t xml:space="preserve"> </w:t>
      </w:r>
      <w:r>
        <w:rPr>
          <w:rFonts w:ascii="Calibri Light" w:hAnsi="Calibri Light"/>
          <w:sz w:val="20"/>
        </w:rPr>
        <w:t>may</w:t>
      </w:r>
      <w:r>
        <w:rPr>
          <w:rFonts w:ascii="Calibri Light" w:hAnsi="Calibri Light"/>
          <w:spacing w:val="-1"/>
          <w:sz w:val="20"/>
        </w:rPr>
        <w:t xml:space="preserve"> </w:t>
      </w:r>
      <w:r>
        <w:rPr>
          <w:rFonts w:ascii="Calibri Light" w:hAnsi="Calibri Light"/>
          <w:sz w:val="20"/>
        </w:rPr>
        <w:t xml:space="preserve">enhance treatment entry in veterans with comorbid substance use and psychiatric disorders. </w:t>
      </w:r>
      <w:r>
        <w:rPr>
          <w:rFonts w:ascii="Calibri Light" w:hAnsi="Calibri Light"/>
          <w:i/>
          <w:sz w:val="20"/>
        </w:rPr>
        <w:t>American Journal on Addictions, 22</w:t>
      </w:r>
      <w:r>
        <w:rPr>
          <w:rFonts w:ascii="Calibri Light" w:hAnsi="Calibri Light"/>
          <w:sz w:val="20"/>
        </w:rPr>
        <w:t>(2), 132–135. doi:10.1111/j.1521-0391.2013.00315.x</w:t>
      </w:r>
    </w:p>
    <w:p w14:paraId="0F08F5F6" w14:textId="77777777" w:rsidR="00DB6E1F" w:rsidRDefault="00DB6E1F">
      <w:pPr>
        <w:spacing w:line="259" w:lineRule="auto"/>
        <w:rPr>
          <w:rFonts w:ascii="Calibri Light" w:hAnsi="Calibri Light"/>
          <w:sz w:val="20"/>
        </w:rPr>
        <w:sectPr w:rsidR="00DB6E1F">
          <w:pgSz w:w="12240" w:h="15840"/>
          <w:pgMar w:top="1080" w:right="0" w:bottom="780" w:left="0" w:header="619" w:footer="585" w:gutter="0"/>
          <w:cols w:space="720"/>
        </w:sectPr>
      </w:pPr>
    </w:p>
    <w:p w14:paraId="65D09729" w14:textId="77777777" w:rsidR="00DB6E1F" w:rsidRDefault="00DB6E1F">
      <w:pPr>
        <w:pStyle w:val="BodyText"/>
        <w:spacing w:before="4"/>
        <w:rPr>
          <w:rFonts w:ascii="Calibri Light"/>
          <w:sz w:val="24"/>
        </w:rPr>
      </w:pPr>
    </w:p>
    <w:p w14:paraId="0E43F3F6" w14:textId="77777777" w:rsidR="00DB6E1F" w:rsidRDefault="00F666A6">
      <w:pPr>
        <w:spacing w:before="60" w:line="259" w:lineRule="auto"/>
        <w:ind w:left="1620" w:right="1491" w:hanging="181"/>
        <w:rPr>
          <w:rFonts w:ascii="Calibri Light" w:hAnsi="Calibri Light"/>
          <w:sz w:val="20"/>
        </w:rPr>
      </w:pPr>
      <w:r>
        <w:rPr>
          <w:rFonts w:ascii="Calibri Light" w:hAnsi="Calibri Light"/>
          <w:sz w:val="20"/>
        </w:rPr>
        <w:t xml:space="preserve">Lundahl, B., Moleni, T., Burke, B. L., </w:t>
      </w:r>
      <w:r>
        <w:rPr>
          <w:rFonts w:ascii="Calibri Light" w:hAnsi="Calibri Light"/>
          <w:sz w:val="20"/>
        </w:rPr>
        <w:t>Butters, R., Tollefson, D., Butler, C., &amp; Rollnick, S. (2013). Motivational interviewing</w:t>
      </w:r>
      <w:r>
        <w:rPr>
          <w:rFonts w:ascii="Calibri Light" w:hAnsi="Calibri Light"/>
          <w:spacing w:val="-4"/>
          <w:sz w:val="20"/>
        </w:rPr>
        <w:t xml:space="preserve"> </w:t>
      </w:r>
      <w:r>
        <w:rPr>
          <w:rFonts w:ascii="Calibri Light" w:hAnsi="Calibri Light"/>
          <w:sz w:val="20"/>
        </w:rPr>
        <w:t>in</w:t>
      </w:r>
      <w:r>
        <w:rPr>
          <w:rFonts w:ascii="Calibri Light" w:hAnsi="Calibri Light"/>
          <w:spacing w:val="-4"/>
          <w:sz w:val="20"/>
        </w:rPr>
        <w:t xml:space="preserve"> </w:t>
      </w:r>
      <w:r>
        <w:rPr>
          <w:rFonts w:ascii="Calibri Light" w:hAnsi="Calibri Light"/>
          <w:sz w:val="20"/>
        </w:rPr>
        <w:t>medical</w:t>
      </w:r>
      <w:r>
        <w:rPr>
          <w:rFonts w:ascii="Calibri Light" w:hAnsi="Calibri Light"/>
          <w:spacing w:val="-2"/>
          <w:sz w:val="20"/>
        </w:rPr>
        <w:t xml:space="preserve"> </w:t>
      </w:r>
      <w:r>
        <w:rPr>
          <w:rFonts w:ascii="Calibri Light" w:hAnsi="Calibri Light"/>
          <w:sz w:val="20"/>
        </w:rPr>
        <w:t>care</w:t>
      </w:r>
      <w:r>
        <w:rPr>
          <w:rFonts w:ascii="Calibri Light" w:hAnsi="Calibri Light"/>
          <w:spacing w:val="-4"/>
          <w:sz w:val="20"/>
        </w:rPr>
        <w:t xml:space="preserve"> </w:t>
      </w:r>
      <w:r>
        <w:rPr>
          <w:rFonts w:ascii="Calibri Light" w:hAnsi="Calibri Light"/>
          <w:sz w:val="20"/>
        </w:rPr>
        <w:t>settings:</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systematic</w:t>
      </w:r>
      <w:r>
        <w:rPr>
          <w:rFonts w:ascii="Calibri Light" w:hAnsi="Calibri Light"/>
          <w:spacing w:val="-5"/>
          <w:sz w:val="20"/>
        </w:rPr>
        <w:t xml:space="preserve"> </w:t>
      </w:r>
      <w:r>
        <w:rPr>
          <w:rFonts w:ascii="Calibri Light" w:hAnsi="Calibri Light"/>
          <w:sz w:val="20"/>
        </w:rPr>
        <w:t>review</w:t>
      </w:r>
      <w:r>
        <w:rPr>
          <w:rFonts w:ascii="Calibri Light" w:hAnsi="Calibri Light"/>
          <w:spacing w:val="-4"/>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meta-analysis</w:t>
      </w:r>
      <w:r>
        <w:rPr>
          <w:rFonts w:ascii="Calibri Light" w:hAnsi="Calibri Light"/>
          <w:spacing w:val="-2"/>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randomized</w:t>
      </w:r>
      <w:r>
        <w:rPr>
          <w:rFonts w:ascii="Calibri Light" w:hAnsi="Calibri Light"/>
          <w:spacing w:val="-4"/>
          <w:sz w:val="20"/>
        </w:rPr>
        <w:t xml:space="preserve"> </w:t>
      </w:r>
      <w:r>
        <w:rPr>
          <w:rFonts w:ascii="Calibri Light" w:hAnsi="Calibri Light"/>
          <w:sz w:val="20"/>
        </w:rPr>
        <w:t>controlled</w:t>
      </w:r>
      <w:r>
        <w:rPr>
          <w:rFonts w:ascii="Calibri Light" w:hAnsi="Calibri Light"/>
          <w:spacing w:val="-2"/>
          <w:sz w:val="20"/>
        </w:rPr>
        <w:t xml:space="preserve"> </w:t>
      </w:r>
      <w:r>
        <w:rPr>
          <w:rFonts w:ascii="Calibri Light" w:hAnsi="Calibri Light"/>
          <w:sz w:val="20"/>
        </w:rPr>
        <w:t xml:space="preserve">trials. </w:t>
      </w:r>
      <w:r>
        <w:rPr>
          <w:rFonts w:ascii="Calibri Light" w:hAnsi="Calibri Light"/>
          <w:i/>
          <w:sz w:val="20"/>
        </w:rPr>
        <w:t>Patient Education and Counseling, 93</w:t>
      </w:r>
      <w:r>
        <w:rPr>
          <w:rFonts w:ascii="Calibri Light" w:hAnsi="Calibri Light"/>
          <w:sz w:val="20"/>
        </w:rPr>
        <w:t>(2), 157–168. doi:10.1016/j.pec.2013.07.012</w:t>
      </w:r>
    </w:p>
    <w:p w14:paraId="5FF2E5B4" w14:textId="77777777" w:rsidR="00DB6E1F" w:rsidRDefault="00F666A6">
      <w:pPr>
        <w:spacing w:line="259" w:lineRule="auto"/>
        <w:ind w:left="1619" w:right="1589" w:hanging="180"/>
        <w:jc w:val="both"/>
        <w:rPr>
          <w:rFonts w:ascii="Calibri Light" w:hAnsi="Calibri Light"/>
          <w:sz w:val="20"/>
        </w:rPr>
      </w:pPr>
      <w:r>
        <w:rPr>
          <w:rFonts w:ascii="Calibri Light" w:hAnsi="Calibri Light"/>
          <w:sz w:val="20"/>
        </w:rPr>
        <w:t>Magill, M.,</w:t>
      </w:r>
      <w:r>
        <w:rPr>
          <w:rFonts w:ascii="Calibri Light" w:hAnsi="Calibri Light"/>
          <w:spacing w:val="-3"/>
          <w:sz w:val="20"/>
        </w:rPr>
        <w:t xml:space="preserve"> </w:t>
      </w:r>
      <w:r>
        <w:rPr>
          <w:rFonts w:ascii="Calibri Light" w:hAnsi="Calibri Light"/>
          <w:sz w:val="20"/>
        </w:rPr>
        <w:t>Apodaca, T.</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Borsari,</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Gaume,</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Hoadley,</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Gordon,</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F.,</w:t>
      </w:r>
      <w:r>
        <w:rPr>
          <w:rFonts w:ascii="Calibri Light" w:hAnsi="Calibri Light"/>
          <w:spacing w:val="-3"/>
          <w:sz w:val="20"/>
        </w:rPr>
        <w:t xml:space="preserve"> </w:t>
      </w:r>
      <w:r>
        <w:rPr>
          <w:rFonts w:ascii="Calibri Light" w:hAnsi="Calibri Light"/>
          <w:sz w:val="20"/>
        </w:rPr>
        <w:t>…</w:t>
      </w:r>
      <w:r>
        <w:rPr>
          <w:rFonts w:ascii="Calibri Light" w:hAnsi="Calibri Light"/>
          <w:spacing w:val="-3"/>
          <w:sz w:val="20"/>
        </w:rPr>
        <w:t xml:space="preserve"> </w:t>
      </w:r>
      <w:r>
        <w:rPr>
          <w:rFonts w:ascii="Calibri Light" w:hAnsi="Calibri Light"/>
          <w:sz w:val="20"/>
        </w:rPr>
        <w:t>Moyers,</w:t>
      </w:r>
      <w:r>
        <w:rPr>
          <w:rFonts w:ascii="Calibri Light" w:hAnsi="Calibri Light"/>
          <w:spacing w:val="-3"/>
          <w:sz w:val="20"/>
        </w:rPr>
        <w:t xml:space="preserve"> </w:t>
      </w:r>
      <w:r>
        <w:rPr>
          <w:rFonts w:ascii="Calibri Light" w:hAnsi="Calibri Light"/>
          <w:sz w:val="20"/>
        </w:rPr>
        <w:t>T. (2018).</w:t>
      </w:r>
      <w:r>
        <w:rPr>
          <w:rFonts w:ascii="Calibri Light" w:hAnsi="Calibri Light"/>
          <w:spacing w:val="-3"/>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meta-analysis of motivational interviewing process: Technical,</w:t>
      </w:r>
      <w:r>
        <w:rPr>
          <w:rFonts w:ascii="Calibri Light" w:hAnsi="Calibri Light"/>
          <w:spacing w:val="-1"/>
          <w:sz w:val="20"/>
        </w:rPr>
        <w:t xml:space="preserve"> </w:t>
      </w:r>
      <w:r>
        <w:rPr>
          <w:rFonts w:ascii="Calibri Light" w:hAnsi="Calibri Light"/>
          <w:sz w:val="20"/>
        </w:rPr>
        <w:t>relational,</w:t>
      </w:r>
      <w:r>
        <w:rPr>
          <w:rFonts w:ascii="Calibri Light" w:hAnsi="Calibri Light"/>
          <w:spacing w:val="-1"/>
          <w:sz w:val="20"/>
        </w:rPr>
        <w:t xml:space="preserve"> </w:t>
      </w:r>
      <w:r>
        <w:rPr>
          <w:rFonts w:ascii="Calibri Light" w:hAnsi="Calibri Light"/>
          <w:sz w:val="20"/>
        </w:rPr>
        <w:t>and conditional process models of change.</w:t>
      </w:r>
      <w:r>
        <w:rPr>
          <w:rFonts w:ascii="Calibri Light" w:hAnsi="Calibri Light"/>
          <w:spacing w:val="-1"/>
          <w:sz w:val="20"/>
        </w:rPr>
        <w:t xml:space="preserve"> </w:t>
      </w:r>
      <w:r>
        <w:rPr>
          <w:rFonts w:ascii="Calibri Light" w:hAnsi="Calibri Light"/>
          <w:i/>
          <w:sz w:val="20"/>
        </w:rPr>
        <w:t>Journal</w:t>
      </w:r>
      <w:r>
        <w:rPr>
          <w:rFonts w:ascii="Calibri Light" w:hAnsi="Calibri Light"/>
          <w:i/>
          <w:spacing w:val="-1"/>
          <w:sz w:val="20"/>
        </w:rPr>
        <w:t xml:space="preserve"> </w:t>
      </w:r>
      <w:r>
        <w:rPr>
          <w:rFonts w:ascii="Calibri Light" w:hAnsi="Calibri Light"/>
          <w:i/>
          <w:sz w:val="20"/>
        </w:rPr>
        <w:t>of Consulting and Clinical Psychology, 86</w:t>
      </w:r>
      <w:r>
        <w:rPr>
          <w:rFonts w:ascii="Calibri Light" w:hAnsi="Calibri Light"/>
          <w:sz w:val="20"/>
        </w:rPr>
        <w:t>(2), 140–157.</w:t>
      </w:r>
    </w:p>
    <w:p w14:paraId="04631338" w14:textId="77777777" w:rsidR="00DB6E1F" w:rsidRDefault="00F666A6">
      <w:pPr>
        <w:spacing w:line="259" w:lineRule="auto"/>
        <w:ind w:left="1619" w:right="1491" w:hanging="180"/>
        <w:rPr>
          <w:rFonts w:ascii="Calibri Light" w:hAnsi="Calibri Light"/>
          <w:sz w:val="20"/>
        </w:rPr>
      </w:pPr>
      <w:r>
        <w:rPr>
          <w:rFonts w:ascii="Calibri Light" w:hAnsi="Calibri Light"/>
          <w:sz w:val="20"/>
        </w:rPr>
        <w:t>Magill, M., Gaume, J., Apodaca, T. R., Walthers, J., Mastroleo, N. R., Borsa</w:t>
      </w:r>
      <w:r>
        <w:rPr>
          <w:rFonts w:ascii="Calibri Light" w:hAnsi="Calibri Light"/>
          <w:sz w:val="20"/>
        </w:rPr>
        <w:t>ri, B., &amp; Longabaugh, R. (2014). The technical</w:t>
      </w:r>
      <w:r>
        <w:rPr>
          <w:rFonts w:ascii="Calibri Light" w:hAnsi="Calibri Light"/>
          <w:spacing w:val="-4"/>
          <w:sz w:val="20"/>
        </w:rPr>
        <w:t xml:space="preserve"> </w:t>
      </w:r>
      <w:r>
        <w:rPr>
          <w:rFonts w:ascii="Calibri Light" w:hAnsi="Calibri Light"/>
          <w:sz w:val="20"/>
        </w:rPr>
        <w:t>hypothesis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4"/>
          <w:sz w:val="20"/>
        </w:rPr>
        <w:t xml:space="preserve"> </w:t>
      </w:r>
      <w:r>
        <w:rPr>
          <w:rFonts w:ascii="Calibri Light" w:hAnsi="Calibri Light"/>
          <w:sz w:val="20"/>
        </w:rPr>
        <w:t>interviewing:</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meta-analysis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MI’s</w:t>
      </w:r>
      <w:r>
        <w:rPr>
          <w:rFonts w:ascii="Calibri Light" w:hAnsi="Calibri Light"/>
          <w:spacing w:val="-3"/>
          <w:sz w:val="20"/>
        </w:rPr>
        <w:t xml:space="preserve"> </w:t>
      </w:r>
      <w:r>
        <w:rPr>
          <w:rFonts w:ascii="Calibri Light" w:hAnsi="Calibri Light"/>
          <w:sz w:val="20"/>
        </w:rPr>
        <w:t>key</w:t>
      </w:r>
      <w:r>
        <w:rPr>
          <w:rFonts w:ascii="Calibri Light" w:hAnsi="Calibri Light"/>
          <w:spacing w:val="-2"/>
          <w:sz w:val="20"/>
        </w:rPr>
        <w:t xml:space="preserve"> </w:t>
      </w:r>
      <w:r>
        <w:rPr>
          <w:rFonts w:ascii="Calibri Light" w:hAnsi="Calibri Light"/>
          <w:sz w:val="20"/>
        </w:rPr>
        <w:t>causal</w:t>
      </w:r>
      <w:r>
        <w:rPr>
          <w:rFonts w:ascii="Calibri Light" w:hAnsi="Calibri Light"/>
          <w:spacing w:val="-4"/>
          <w:sz w:val="20"/>
        </w:rPr>
        <w:t xml:space="preserve"> </w:t>
      </w:r>
      <w:r>
        <w:rPr>
          <w:rFonts w:ascii="Calibri Light" w:hAnsi="Calibri Light"/>
          <w:sz w:val="20"/>
        </w:rPr>
        <w:t>model.</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Consulting and Clinical Psychology, 82</w:t>
      </w:r>
      <w:r>
        <w:rPr>
          <w:rFonts w:ascii="Calibri Light" w:hAnsi="Calibri Light"/>
          <w:sz w:val="20"/>
        </w:rPr>
        <w:t>(6), 973–983.</w:t>
      </w:r>
    </w:p>
    <w:p w14:paraId="67E5033D" w14:textId="77777777" w:rsidR="00DB6E1F" w:rsidRDefault="00F666A6">
      <w:pPr>
        <w:spacing w:line="259" w:lineRule="auto"/>
        <w:ind w:left="1619" w:right="1491" w:hanging="180"/>
        <w:rPr>
          <w:rFonts w:ascii="Calibri Light" w:hAnsi="Calibri Light"/>
          <w:sz w:val="20"/>
        </w:rPr>
      </w:pPr>
      <w:r>
        <w:rPr>
          <w:rFonts w:ascii="Calibri Light" w:hAnsi="Calibri Light"/>
          <w:sz w:val="20"/>
        </w:rPr>
        <w:t>Magill, M., Stout, R. L., &amp; Apodaca, T. R. (2013). Therapist focus on ambivalence and commitment: A longitudinal analysis</w:t>
      </w:r>
      <w:r>
        <w:rPr>
          <w:rFonts w:ascii="Calibri Light" w:hAnsi="Calibri Light"/>
          <w:spacing w:val="-4"/>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5"/>
          <w:sz w:val="20"/>
        </w:rPr>
        <w:t xml:space="preserve"> </w:t>
      </w:r>
      <w:r>
        <w:rPr>
          <w:rFonts w:ascii="Calibri Light" w:hAnsi="Calibri Light"/>
          <w:sz w:val="20"/>
        </w:rPr>
        <w:t>interviewing</w:t>
      </w:r>
      <w:r>
        <w:rPr>
          <w:rFonts w:ascii="Calibri Light" w:hAnsi="Calibri Light"/>
          <w:spacing w:val="-4"/>
          <w:sz w:val="20"/>
        </w:rPr>
        <w:t xml:space="preserve"> </w:t>
      </w:r>
      <w:r>
        <w:rPr>
          <w:rFonts w:ascii="Calibri Light" w:hAnsi="Calibri Light"/>
          <w:sz w:val="20"/>
        </w:rPr>
        <w:t>treatment</w:t>
      </w:r>
      <w:r>
        <w:rPr>
          <w:rFonts w:ascii="Calibri Light" w:hAnsi="Calibri Light"/>
          <w:spacing w:val="-5"/>
          <w:sz w:val="20"/>
        </w:rPr>
        <w:t xml:space="preserve"> </w:t>
      </w:r>
      <w:r>
        <w:rPr>
          <w:rFonts w:ascii="Calibri Light" w:hAnsi="Calibri Light"/>
          <w:sz w:val="20"/>
        </w:rPr>
        <w:t>ingredients.</w:t>
      </w:r>
      <w:r>
        <w:rPr>
          <w:rFonts w:ascii="Calibri Light" w:hAnsi="Calibri Light"/>
          <w:spacing w:val="-2"/>
          <w:sz w:val="20"/>
        </w:rPr>
        <w:t xml:space="preserve"> </w:t>
      </w:r>
      <w:r>
        <w:rPr>
          <w:rFonts w:ascii="Calibri Light" w:hAnsi="Calibri Light"/>
          <w:i/>
          <w:sz w:val="20"/>
        </w:rPr>
        <w:t>Psychology</w:t>
      </w:r>
      <w:r>
        <w:rPr>
          <w:rFonts w:ascii="Calibri Light" w:hAnsi="Calibri Light"/>
          <w:i/>
          <w:spacing w:val="-4"/>
          <w:sz w:val="20"/>
        </w:rPr>
        <w:t xml:space="preserve"> </w:t>
      </w:r>
      <w:r>
        <w:rPr>
          <w:rFonts w:ascii="Calibri Light" w:hAnsi="Calibri Light"/>
          <w:i/>
          <w:sz w:val="20"/>
        </w:rPr>
        <w:t>of</w:t>
      </w:r>
      <w:r>
        <w:rPr>
          <w:rFonts w:ascii="Calibri Light" w:hAnsi="Calibri Light"/>
          <w:i/>
          <w:spacing w:val="-4"/>
          <w:sz w:val="20"/>
        </w:rPr>
        <w:t xml:space="preserve"> </w:t>
      </w:r>
      <w:r>
        <w:rPr>
          <w:rFonts w:ascii="Calibri Light" w:hAnsi="Calibri Light"/>
          <w:i/>
          <w:sz w:val="20"/>
        </w:rPr>
        <w:t>Addictive</w:t>
      </w:r>
      <w:r>
        <w:rPr>
          <w:rFonts w:ascii="Calibri Light" w:hAnsi="Calibri Light"/>
          <w:i/>
          <w:spacing w:val="-2"/>
          <w:sz w:val="20"/>
        </w:rPr>
        <w:t xml:space="preserve"> </w:t>
      </w:r>
      <w:r>
        <w:rPr>
          <w:rFonts w:ascii="Calibri Light" w:hAnsi="Calibri Light"/>
          <w:i/>
          <w:sz w:val="20"/>
        </w:rPr>
        <w:t>Behaviors,</w:t>
      </w:r>
      <w:r>
        <w:rPr>
          <w:rFonts w:ascii="Calibri Light" w:hAnsi="Calibri Light"/>
          <w:i/>
          <w:spacing w:val="-5"/>
          <w:sz w:val="20"/>
        </w:rPr>
        <w:t xml:space="preserve"> </w:t>
      </w:r>
      <w:r>
        <w:rPr>
          <w:rFonts w:ascii="Calibri Light" w:hAnsi="Calibri Light"/>
          <w:i/>
          <w:sz w:val="20"/>
        </w:rPr>
        <w:t>27</w:t>
      </w:r>
      <w:r>
        <w:rPr>
          <w:rFonts w:ascii="Calibri Light" w:hAnsi="Calibri Light"/>
          <w:sz w:val="20"/>
        </w:rPr>
        <w:t>(3),</w:t>
      </w:r>
      <w:r>
        <w:rPr>
          <w:rFonts w:ascii="Calibri Light" w:hAnsi="Calibri Light"/>
          <w:spacing w:val="-5"/>
          <w:sz w:val="20"/>
        </w:rPr>
        <w:t xml:space="preserve"> </w:t>
      </w:r>
      <w:r>
        <w:rPr>
          <w:rFonts w:ascii="Calibri Light" w:hAnsi="Calibri Light"/>
          <w:sz w:val="20"/>
        </w:rPr>
        <w:t xml:space="preserve">754–762. </w:t>
      </w:r>
      <w:r>
        <w:rPr>
          <w:rFonts w:ascii="Calibri Light" w:hAnsi="Calibri Light"/>
          <w:spacing w:val="-2"/>
          <w:sz w:val="20"/>
        </w:rPr>
        <w:t>doi:10.1037/a0029639</w:t>
      </w:r>
    </w:p>
    <w:p w14:paraId="57BA2854" w14:textId="77777777" w:rsidR="00DB6E1F" w:rsidRDefault="00F666A6">
      <w:pPr>
        <w:spacing w:line="259" w:lineRule="auto"/>
        <w:ind w:left="1619" w:right="1491" w:hanging="181"/>
        <w:rPr>
          <w:rFonts w:ascii="Calibri Light" w:hAnsi="Calibri Light"/>
          <w:sz w:val="20"/>
        </w:rPr>
      </w:pPr>
      <w:r>
        <w:rPr>
          <w:rFonts w:ascii="Calibri Light" w:hAnsi="Calibri Light"/>
          <w:sz w:val="20"/>
        </w:rPr>
        <w:t>Magill, M., Walthers, J., Mastroleo, N. R., Gaume, J., Longabaugh, R., &amp; Apodaca, T. R. (2016). Therapist and client discussions</w:t>
      </w:r>
      <w:r>
        <w:rPr>
          <w:rFonts w:ascii="Calibri Light" w:hAnsi="Calibri Light"/>
          <w:spacing w:val="-4"/>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drinking</w:t>
      </w:r>
      <w:r>
        <w:rPr>
          <w:rFonts w:ascii="Calibri Light" w:hAnsi="Calibri Light"/>
          <w:spacing w:val="-4"/>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coping:</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sequential</w:t>
      </w:r>
      <w:r>
        <w:rPr>
          <w:rFonts w:ascii="Calibri Light" w:hAnsi="Calibri Light"/>
          <w:spacing w:val="-2"/>
          <w:sz w:val="20"/>
        </w:rPr>
        <w:t xml:space="preserve"> </w:t>
      </w:r>
      <w:r>
        <w:rPr>
          <w:rFonts w:ascii="Calibri Light" w:hAnsi="Calibri Light"/>
          <w:sz w:val="20"/>
        </w:rPr>
        <w:t>analysis</w:t>
      </w:r>
      <w:r>
        <w:rPr>
          <w:rFonts w:ascii="Calibri Light" w:hAnsi="Calibri Light"/>
          <w:spacing w:val="-4"/>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therapy</w:t>
      </w:r>
      <w:r>
        <w:rPr>
          <w:rFonts w:ascii="Calibri Light" w:hAnsi="Calibri Light"/>
          <w:spacing w:val="-3"/>
          <w:sz w:val="20"/>
        </w:rPr>
        <w:t xml:space="preserve"> </w:t>
      </w:r>
      <w:r>
        <w:rPr>
          <w:rFonts w:ascii="Calibri Light" w:hAnsi="Calibri Light"/>
          <w:sz w:val="20"/>
        </w:rPr>
        <w:t>dialogues</w:t>
      </w:r>
      <w:r>
        <w:rPr>
          <w:rFonts w:ascii="Calibri Light" w:hAnsi="Calibri Light"/>
          <w:spacing w:val="-4"/>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three</w:t>
      </w:r>
      <w:r>
        <w:rPr>
          <w:rFonts w:ascii="Calibri Light" w:hAnsi="Calibri Light"/>
          <w:spacing w:val="-4"/>
          <w:sz w:val="20"/>
        </w:rPr>
        <w:t xml:space="preserve"> </w:t>
      </w:r>
      <w:r>
        <w:rPr>
          <w:rFonts w:ascii="Calibri Light" w:hAnsi="Calibri Light"/>
          <w:sz w:val="20"/>
        </w:rPr>
        <w:t>evidence-based</w:t>
      </w:r>
      <w:r>
        <w:rPr>
          <w:rFonts w:ascii="Calibri Light" w:hAnsi="Calibri Light"/>
          <w:spacing w:val="-5"/>
          <w:sz w:val="20"/>
        </w:rPr>
        <w:t xml:space="preserve"> </w:t>
      </w:r>
      <w:r>
        <w:rPr>
          <w:rFonts w:ascii="Calibri Light" w:hAnsi="Calibri Light"/>
          <w:sz w:val="20"/>
        </w:rPr>
        <w:t>alcohol</w:t>
      </w:r>
      <w:r>
        <w:rPr>
          <w:rFonts w:ascii="Calibri Light" w:hAnsi="Calibri Light"/>
          <w:spacing w:val="-2"/>
          <w:sz w:val="20"/>
        </w:rPr>
        <w:t xml:space="preserve"> </w:t>
      </w:r>
      <w:r>
        <w:rPr>
          <w:rFonts w:ascii="Calibri Light" w:hAnsi="Calibri Light"/>
          <w:sz w:val="20"/>
        </w:rPr>
        <w:t>use dis</w:t>
      </w:r>
      <w:r>
        <w:rPr>
          <w:rFonts w:ascii="Calibri Light" w:hAnsi="Calibri Light"/>
          <w:sz w:val="20"/>
        </w:rPr>
        <w:t xml:space="preserve">order treatments. </w:t>
      </w:r>
      <w:r>
        <w:rPr>
          <w:rFonts w:ascii="Calibri Light" w:hAnsi="Calibri Light"/>
          <w:i/>
          <w:sz w:val="20"/>
        </w:rPr>
        <w:t>Addiction, 111</w:t>
      </w:r>
      <w:r>
        <w:rPr>
          <w:rFonts w:ascii="Calibri Light" w:hAnsi="Calibri Light"/>
          <w:sz w:val="20"/>
        </w:rPr>
        <w:t>(6), 1011‒1020. doi:10.1111/add.13313</w:t>
      </w:r>
    </w:p>
    <w:p w14:paraId="1BAA114F" w14:textId="77777777" w:rsidR="00DB6E1F" w:rsidRDefault="00F666A6">
      <w:pPr>
        <w:spacing w:line="259" w:lineRule="auto"/>
        <w:ind w:left="1619" w:right="1491" w:hanging="180"/>
        <w:rPr>
          <w:rFonts w:ascii="Calibri Light" w:hAnsi="Calibri Light"/>
          <w:sz w:val="20"/>
        </w:rPr>
      </w:pPr>
      <w:r>
        <w:rPr>
          <w:rFonts w:ascii="Calibri Light" w:hAnsi="Calibri Light"/>
          <w:sz w:val="20"/>
        </w:rPr>
        <w:t>Mahmoodabad, S. S., Tonekaboni, N. R., Farmanbar, R., Fallahzadeh, H., &amp; Kamalikhah, T. (2017). The effect of motivational</w:t>
      </w:r>
      <w:r>
        <w:rPr>
          <w:rFonts w:ascii="Calibri Light" w:hAnsi="Calibri Light"/>
          <w:spacing w:val="-5"/>
          <w:sz w:val="20"/>
        </w:rPr>
        <w:t xml:space="preserve"> </w:t>
      </w:r>
      <w:r>
        <w:rPr>
          <w:rFonts w:ascii="Calibri Light" w:hAnsi="Calibri Light"/>
          <w:sz w:val="20"/>
        </w:rPr>
        <w:t>interviewing-based</w:t>
      </w:r>
      <w:r>
        <w:rPr>
          <w:rFonts w:ascii="Calibri Light" w:hAnsi="Calibri Light"/>
          <w:spacing w:val="-4"/>
          <w:sz w:val="20"/>
        </w:rPr>
        <w:t xml:space="preserve"> </w:t>
      </w:r>
      <w:r>
        <w:rPr>
          <w:rFonts w:ascii="Calibri Light" w:hAnsi="Calibri Light"/>
          <w:sz w:val="20"/>
        </w:rPr>
        <w:t>intervention</w:t>
      </w:r>
      <w:r>
        <w:rPr>
          <w:rFonts w:ascii="Calibri Light" w:hAnsi="Calibri Light"/>
          <w:spacing w:val="-4"/>
          <w:sz w:val="20"/>
        </w:rPr>
        <w:t xml:space="preserve"> </w:t>
      </w:r>
      <w:r>
        <w:rPr>
          <w:rFonts w:ascii="Calibri Light" w:hAnsi="Calibri Light"/>
          <w:sz w:val="20"/>
        </w:rPr>
        <w:t>using</w:t>
      </w:r>
      <w:r>
        <w:rPr>
          <w:rFonts w:ascii="Calibri Light" w:hAnsi="Calibri Light"/>
          <w:spacing w:val="-4"/>
          <w:sz w:val="20"/>
        </w:rPr>
        <w:t xml:space="preserve"> </w:t>
      </w:r>
      <w:r>
        <w:rPr>
          <w:rFonts w:ascii="Calibri Light" w:hAnsi="Calibri Light"/>
          <w:sz w:val="20"/>
        </w:rPr>
        <w:t>self-determination</w:t>
      </w:r>
      <w:r>
        <w:rPr>
          <w:rFonts w:ascii="Calibri Light" w:hAnsi="Calibri Light"/>
          <w:spacing w:val="-3"/>
          <w:sz w:val="20"/>
        </w:rPr>
        <w:t xml:space="preserve"> </w:t>
      </w:r>
      <w:r>
        <w:rPr>
          <w:rFonts w:ascii="Calibri Light" w:hAnsi="Calibri Light"/>
          <w:sz w:val="20"/>
        </w:rPr>
        <w:t>theory</w:t>
      </w:r>
      <w:r>
        <w:rPr>
          <w:rFonts w:ascii="Calibri Light" w:hAnsi="Calibri Light"/>
          <w:spacing w:val="-3"/>
          <w:sz w:val="20"/>
        </w:rPr>
        <w:t xml:space="preserve"> </w:t>
      </w:r>
      <w:r>
        <w:rPr>
          <w:rFonts w:ascii="Calibri Light" w:hAnsi="Calibri Light"/>
          <w:sz w:val="20"/>
        </w:rPr>
        <w:t>on</w:t>
      </w:r>
      <w:r>
        <w:rPr>
          <w:rFonts w:ascii="Calibri Light" w:hAnsi="Calibri Light"/>
          <w:spacing w:val="-4"/>
          <w:sz w:val="20"/>
        </w:rPr>
        <w:t xml:space="preserve"> </w:t>
      </w:r>
      <w:r>
        <w:rPr>
          <w:rFonts w:ascii="Calibri Light" w:hAnsi="Calibri Light"/>
          <w:sz w:val="20"/>
        </w:rPr>
        <w:t>promotion</w:t>
      </w:r>
      <w:r>
        <w:rPr>
          <w:rFonts w:ascii="Calibri Light" w:hAnsi="Calibri Light"/>
          <w:spacing w:val="-4"/>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physical</w:t>
      </w:r>
      <w:r>
        <w:rPr>
          <w:rFonts w:ascii="Calibri Light" w:hAnsi="Calibri Light"/>
          <w:spacing w:val="-5"/>
          <w:sz w:val="20"/>
        </w:rPr>
        <w:t xml:space="preserve"> </w:t>
      </w:r>
      <w:r>
        <w:rPr>
          <w:rFonts w:ascii="Calibri Light" w:hAnsi="Calibri Light"/>
          <w:sz w:val="20"/>
        </w:rPr>
        <w:t xml:space="preserve">activity among women in reproductive age: A randomized clinical trial. </w:t>
      </w:r>
      <w:r>
        <w:rPr>
          <w:rFonts w:ascii="Calibri Light" w:hAnsi="Calibri Light"/>
          <w:i/>
          <w:sz w:val="20"/>
        </w:rPr>
        <w:t>Electronic Physician, 9</w:t>
      </w:r>
      <w:r>
        <w:rPr>
          <w:rFonts w:ascii="Calibri Light" w:hAnsi="Calibri Light"/>
          <w:sz w:val="20"/>
        </w:rPr>
        <w:t xml:space="preserve">(5), 4461‒4472. </w:t>
      </w:r>
      <w:r>
        <w:rPr>
          <w:rFonts w:ascii="Calibri Light" w:hAnsi="Calibri Light"/>
          <w:spacing w:val="-2"/>
          <w:sz w:val="20"/>
        </w:rPr>
        <w:t>doi:10.19082/4461</w:t>
      </w:r>
    </w:p>
    <w:p w14:paraId="6666C1AA" w14:textId="77777777" w:rsidR="00DB6E1F" w:rsidRDefault="00F666A6">
      <w:pPr>
        <w:spacing w:line="259" w:lineRule="auto"/>
        <w:ind w:left="1619" w:right="1444" w:hanging="181"/>
        <w:rPr>
          <w:rFonts w:ascii="Calibri Light"/>
          <w:sz w:val="20"/>
        </w:rPr>
      </w:pPr>
      <w:r>
        <w:rPr>
          <w:rFonts w:ascii="Calibri Light"/>
          <w:sz w:val="20"/>
        </w:rPr>
        <w:t>Manuel, J. K., Satre, D. D., Tsoh, J., Moreno-John, G., Ramos, J. S., McCance-Katz, E. F., &amp; Satterfie</w:t>
      </w:r>
      <w:r>
        <w:rPr>
          <w:rFonts w:ascii="Calibri Light"/>
          <w:sz w:val="20"/>
        </w:rPr>
        <w:t>ld, J. M. (2015). Adapting</w:t>
      </w:r>
      <w:r>
        <w:rPr>
          <w:rFonts w:ascii="Calibri Light"/>
          <w:spacing w:val="-3"/>
          <w:sz w:val="20"/>
        </w:rPr>
        <w:t xml:space="preserve"> </w:t>
      </w:r>
      <w:r>
        <w:rPr>
          <w:rFonts w:ascii="Calibri Light"/>
          <w:sz w:val="20"/>
        </w:rPr>
        <w:t>screening,</w:t>
      </w:r>
      <w:r>
        <w:rPr>
          <w:rFonts w:ascii="Calibri Light"/>
          <w:spacing w:val="-4"/>
          <w:sz w:val="20"/>
        </w:rPr>
        <w:t xml:space="preserve"> </w:t>
      </w:r>
      <w:r>
        <w:rPr>
          <w:rFonts w:ascii="Calibri Light"/>
          <w:sz w:val="20"/>
        </w:rPr>
        <w:t>brief</w:t>
      </w:r>
      <w:r>
        <w:rPr>
          <w:rFonts w:ascii="Calibri Light"/>
          <w:spacing w:val="-1"/>
          <w:sz w:val="20"/>
        </w:rPr>
        <w:t xml:space="preserve"> </w:t>
      </w:r>
      <w:r>
        <w:rPr>
          <w:rFonts w:ascii="Calibri Light"/>
          <w:sz w:val="20"/>
        </w:rPr>
        <w:t>intervention,</w:t>
      </w:r>
      <w:r>
        <w:rPr>
          <w:rFonts w:ascii="Calibri Light"/>
          <w:spacing w:val="-4"/>
          <w:sz w:val="20"/>
        </w:rPr>
        <w:t xml:space="preserve"> </w:t>
      </w:r>
      <w:r>
        <w:rPr>
          <w:rFonts w:ascii="Calibri Light"/>
          <w:sz w:val="20"/>
        </w:rPr>
        <w:t>and</w:t>
      </w:r>
      <w:r>
        <w:rPr>
          <w:rFonts w:ascii="Calibri Light"/>
          <w:spacing w:val="-3"/>
          <w:sz w:val="20"/>
        </w:rPr>
        <w:t xml:space="preserve"> </w:t>
      </w:r>
      <w:r>
        <w:rPr>
          <w:rFonts w:ascii="Calibri Light"/>
          <w:sz w:val="20"/>
        </w:rPr>
        <w:t>referral</w:t>
      </w:r>
      <w:r>
        <w:rPr>
          <w:rFonts w:ascii="Calibri Light"/>
          <w:spacing w:val="-4"/>
          <w:sz w:val="20"/>
        </w:rPr>
        <w:t xml:space="preserve"> </w:t>
      </w:r>
      <w:r>
        <w:rPr>
          <w:rFonts w:ascii="Calibri Light"/>
          <w:sz w:val="20"/>
        </w:rPr>
        <w:t>to</w:t>
      </w:r>
      <w:r>
        <w:rPr>
          <w:rFonts w:ascii="Calibri Light"/>
          <w:spacing w:val="-1"/>
          <w:sz w:val="20"/>
        </w:rPr>
        <w:t xml:space="preserve"> </w:t>
      </w:r>
      <w:r>
        <w:rPr>
          <w:rFonts w:ascii="Calibri Light"/>
          <w:sz w:val="20"/>
        </w:rPr>
        <w:t>treatment</w:t>
      </w:r>
      <w:r>
        <w:rPr>
          <w:rFonts w:ascii="Calibri Light"/>
          <w:spacing w:val="-4"/>
          <w:sz w:val="20"/>
        </w:rPr>
        <w:t xml:space="preserve"> </w:t>
      </w:r>
      <w:r>
        <w:rPr>
          <w:rFonts w:ascii="Calibri Light"/>
          <w:sz w:val="20"/>
        </w:rPr>
        <w:t>for</w:t>
      </w:r>
      <w:r>
        <w:rPr>
          <w:rFonts w:ascii="Calibri Light"/>
          <w:spacing w:val="-2"/>
          <w:sz w:val="20"/>
        </w:rPr>
        <w:t xml:space="preserve"> </w:t>
      </w:r>
      <w:r>
        <w:rPr>
          <w:rFonts w:ascii="Calibri Light"/>
          <w:sz w:val="20"/>
        </w:rPr>
        <w:t>alcohol</w:t>
      </w:r>
      <w:r>
        <w:rPr>
          <w:rFonts w:ascii="Calibri Light"/>
          <w:spacing w:val="-4"/>
          <w:sz w:val="20"/>
        </w:rPr>
        <w:t xml:space="preserve"> </w:t>
      </w:r>
      <w:r>
        <w:rPr>
          <w:rFonts w:ascii="Calibri Light"/>
          <w:sz w:val="20"/>
        </w:rPr>
        <w:t>and</w:t>
      </w:r>
      <w:r>
        <w:rPr>
          <w:rFonts w:ascii="Calibri Light"/>
          <w:spacing w:val="-3"/>
          <w:sz w:val="20"/>
        </w:rPr>
        <w:t xml:space="preserve"> </w:t>
      </w:r>
      <w:r>
        <w:rPr>
          <w:rFonts w:ascii="Calibri Light"/>
          <w:sz w:val="20"/>
        </w:rPr>
        <w:t>drugs</w:t>
      </w:r>
      <w:r>
        <w:rPr>
          <w:rFonts w:ascii="Calibri Light"/>
          <w:spacing w:val="-1"/>
          <w:sz w:val="20"/>
        </w:rPr>
        <w:t xml:space="preserve"> </w:t>
      </w:r>
      <w:r>
        <w:rPr>
          <w:rFonts w:ascii="Calibri Light"/>
          <w:sz w:val="20"/>
        </w:rPr>
        <w:t>to</w:t>
      </w:r>
      <w:r>
        <w:rPr>
          <w:rFonts w:ascii="Calibri Light"/>
          <w:spacing w:val="-1"/>
          <w:sz w:val="20"/>
        </w:rPr>
        <w:t xml:space="preserve"> </w:t>
      </w:r>
      <w:r>
        <w:rPr>
          <w:rFonts w:ascii="Calibri Light"/>
          <w:sz w:val="20"/>
        </w:rPr>
        <w:t>culturally</w:t>
      </w:r>
      <w:r>
        <w:rPr>
          <w:rFonts w:ascii="Calibri Light"/>
          <w:spacing w:val="-2"/>
          <w:sz w:val="20"/>
        </w:rPr>
        <w:t xml:space="preserve"> </w:t>
      </w:r>
      <w:r>
        <w:rPr>
          <w:rFonts w:ascii="Calibri Light"/>
          <w:sz w:val="20"/>
        </w:rPr>
        <w:t>diverse</w:t>
      </w:r>
      <w:r>
        <w:rPr>
          <w:rFonts w:ascii="Calibri Light"/>
          <w:spacing w:val="-3"/>
          <w:sz w:val="20"/>
        </w:rPr>
        <w:t xml:space="preserve"> </w:t>
      </w:r>
      <w:r>
        <w:rPr>
          <w:rFonts w:ascii="Calibri Light"/>
          <w:sz w:val="20"/>
        </w:rPr>
        <w:t xml:space="preserve">clinical populations. </w:t>
      </w:r>
      <w:r>
        <w:rPr>
          <w:rFonts w:ascii="Calibri Light"/>
          <w:i/>
          <w:sz w:val="20"/>
        </w:rPr>
        <w:t xml:space="preserve">Journal of Addiction Medicine, 1. </w:t>
      </w:r>
      <w:r>
        <w:rPr>
          <w:rFonts w:ascii="Calibri Light"/>
          <w:sz w:val="20"/>
        </w:rPr>
        <w:t>doi:10.1097/adm.0000000000000150</w:t>
      </w:r>
    </w:p>
    <w:p w14:paraId="0F2078EB" w14:textId="77777777" w:rsidR="00DB6E1F" w:rsidRDefault="00F666A6">
      <w:pPr>
        <w:spacing w:line="259" w:lineRule="auto"/>
        <w:ind w:left="1618" w:right="1555" w:hanging="180"/>
        <w:rPr>
          <w:rFonts w:ascii="Calibri Light"/>
          <w:sz w:val="20"/>
        </w:rPr>
      </w:pPr>
      <w:r>
        <w:rPr>
          <w:rFonts w:ascii="Calibri Light"/>
          <w:sz w:val="20"/>
        </w:rPr>
        <w:t>Marlatt,</w:t>
      </w:r>
      <w:r>
        <w:rPr>
          <w:rFonts w:ascii="Calibri Light"/>
          <w:spacing w:val="-4"/>
          <w:sz w:val="20"/>
        </w:rPr>
        <w:t xml:space="preserve"> </w:t>
      </w:r>
      <w:r>
        <w:rPr>
          <w:rFonts w:ascii="Calibri Light"/>
          <w:sz w:val="20"/>
        </w:rPr>
        <w:t>G.,</w:t>
      </w:r>
      <w:r>
        <w:rPr>
          <w:rFonts w:ascii="Calibri Light"/>
          <w:spacing w:val="-4"/>
          <w:sz w:val="20"/>
        </w:rPr>
        <w:t xml:space="preserve"> </w:t>
      </w:r>
      <w:r>
        <w:rPr>
          <w:rFonts w:ascii="Calibri Light"/>
          <w:sz w:val="20"/>
        </w:rPr>
        <w:t>A.,</w:t>
      </w:r>
      <w:r>
        <w:rPr>
          <w:rFonts w:ascii="Calibri Light"/>
          <w:spacing w:val="-4"/>
          <w:sz w:val="20"/>
        </w:rPr>
        <w:t xml:space="preserve"> </w:t>
      </w:r>
      <w:r>
        <w:rPr>
          <w:rFonts w:ascii="Calibri Light"/>
          <w:sz w:val="20"/>
        </w:rPr>
        <w:t>Parks,</w:t>
      </w:r>
      <w:r>
        <w:rPr>
          <w:rFonts w:ascii="Calibri Light"/>
          <w:spacing w:val="-4"/>
          <w:sz w:val="20"/>
        </w:rPr>
        <w:t xml:space="preserve"> </w:t>
      </w:r>
      <w:r>
        <w:rPr>
          <w:rFonts w:ascii="Calibri Light"/>
          <w:sz w:val="20"/>
        </w:rPr>
        <w:t>G.</w:t>
      </w:r>
      <w:r>
        <w:rPr>
          <w:rFonts w:ascii="Calibri Light"/>
          <w:spacing w:val="-4"/>
          <w:sz w:val="20"/>
        </w:rPr>
        <w:t xml:space="preserve"> </w:t>
      </w:r>
      <w:r>
        <w:rPr>
          <w:rFonts w:ascii="Calibri Light"/>
          <w:sz w:val="20"/>
        </w:rPr>
        <w:t>A.,</w:t>
      </w:r>
      <w:r>
        <w:rPr>
          <w:rFonts w:ascii="Calibri Light"/>
          <w:spacing w:val="-4"/>
          <w:sz w:val="20"/>
        </w:rPr>
        <w:t xml:space="preserve"> </w:t>
      </w:r>
      <w:r>
        <w:rPr>
          <w:rFonts w:ascii="Calibri Light"/>
          <w:sz w:val="20"/>
        </w:rPr>
        <w:t>&amp; Witkiewitz,</w:t>
      </w:r>
      <w:r>
        <w:rPr>
          <w:rFonts w:ascii="Calibri Light"/>
          <w:spacing w:val="-4"/>
          <w:sz w:val="20"/>
        </w:rPr>
        <w:t xml:space="preserve"> </w:t>
      </w:r>
      <w:r>
        <w:rPr>
          <w:rFonts w:ascii="Calibri Light"/>
          <w:sz w:val="20"/>
        </w:rPr>
        <w:t>K.</w:t>
      </w:r>
      <w:r>
        <w:rPr>
          <w:rFonts w:ascii="Calibri Light"/>
          <w:spacing w:val="-4"/>
          <w:sz w:val="20"/>
        </w:rPr>
        <w:t xml:space="preserve"> </w:t>
      </w:r>
      <w:r>
        <w:rPr>
          <w:rFonts w:ascii="Calibri Light"/>
          <w:sz w:val="20"/>
        </w:rPr>
        <w:t>(2002</w:t>
      </w:r>
      <w:r>
        <w:rPr>
          <w:rFonts w:ascii="Calibri Light"/>
          <w:i/>
          <w:sz w:val="20"/>
        </w:rPr>
        <w:t>).</w:t>
      </w:r>
      <w:r>
        <w:rPr>
          <w:rFonts w:ascii="Calibri Light"/>
          <w:i/>
          <w:spacing w:val="-4"/>
          <w:sz w:val="20"/>
        </w:rPr>
        <w:t xml:space="preserve"> </w:t>
      </w:r>
      <w:r>
        <w:rPr>
          <w:rFonts w:ascii="Calibri Light"/>
          <w:i/>
          <w:sz w:val="20"/>
        </w:rPr>
        <w:t>Clinical</w:t>
      </w:r>
      <w:r>
        <w:rPr>
          <w:rFonts w:ascii="Calibri Light"/>
          <w:i/>
          <w:spacing w:val="-1"/>
          <w:sz w:val="20"/>
        </w:rPr>
        <w:t xml:space="preserve"> </w:t>
      </w:r>
      <w:r>
        <w:rPr>
          <w:rFonts w:ascii="Calibri Light"/>
          <w:i/>
          <w:sz w:val="20"/>
        </w:rPr>
        <w:t>guidelines</w:t>
      </w:r>
      <w:r>
        <w:rPr>
          <w:rFonts w:ascii="Calibri Light"/>
          <w:i/>
          <w:spacing w:val="-3"/>
          <w:sz w:val="20"/>
        </w:rPr>
        <w:t xml:space="preserve"> </w:t>
      </w:r>
      <w:r>
        <w:rPr>
          <w:rFonts w:ascii="Calibri Light"/>
          <w:i/>
          <w:sz w:val="20"/>
        </w:rPr>
        <w:t>for</w:t>
      </w:r>
      <w:r>
        <w:rPr>
          <w:rFonts w:ascii="Calibri Light"/>
          <w:i/>
          <w:spacing w:val="-3"/>
          <w:sz w:val="20"/>
        </w:rPr>
        <w:t xml:space="preserve"> </w:t>
      </w:r>
      <w:r>
        <w:rPr>
          <w:rFonts w:ascii="Calibri Light"/>
          <w:i/>
          <w:sz w:val="20"/>
        </w:rPr>
        <w:t>implementing</w:t>
      </w:r>
      <w:r>
        <w:rPr>
          <w:rFonts w:ascii="Calibri Light"/>
          <w:i/>
          <w:spacing w:val="-3"/>
          <w:sz w:val="20"/>
        </w:rPr>
        <w:t xml:space="preserve"> </w:t>
      </w:r>
      <w:r>
        <w:rPr>
          <w:rFonts w:ascii="Calibri Light"/>
          <w:i/>
          <w:sz w:val="20"/>
        </w:rPr>
        <w:t>relapse</w:t>
      </w:r>
      <w:r>
        <w:rPr>
          <w:rFonts w:ascii="Calibri Light"/>
          <w:i/>
          <w:spacing w:val="-3"/>
          <w:sz w:val="20"/>
        </w:rPr>
        <w:t xml:space="preserve"> </w:t>
      </w:r>
      <w:r>
        <w:rPr>
          <w:rFonts w:ascii="Calibri Light"/>
          <w:i/>
          <w:sz w:val="20"/>
        </w:rPr>
        <w:t>prevention</w:t>
      </w:r>
      <w:r>
        <w:rPr>
          <w:rFonts w:ascii="Calibri Light"/>
          <w:i/>
          <w:spacing w:val="-3"/>
          <w:sz w:val="20"/>
        </w:rPr>
        <w:t xml:space="preserve"> </w:t>
      </w:r>
      <w:r>
        <w:rPr>
          <w:rFonts w:ascii="Calibri Light"/>
          <w:i/>
          <w:sz w:val="20"/>
        </w:rPr>
        <w:t xml:space="preserve">therapy: A guideline developed for behavioral health recovery management project. </w:t>
      </w:r>
      <w:r>
        <w:rPr>
          <w:rFonts w:ascii="Calibri Light"/>
          <w:sz w:val="20"/>
        </w:rPr>
        <w:t>Chicago, IL: University of Chicago.</w:t>
      </w:r>
    </w:p>
    <w:p w14:paraId="6BCB80E5" w14:textId="77777777" w:rsidR="00DB6E1F" w:rsidRDefault="00F666A6">
      <w:pPr>
        <w:spacing w:line="259" w:lineRule="auto"/>
        <w:ind w:left="1620" w:right="1491" w:hanging="2"/>
        <w:rPr>
          <w:rFonts w:ascii="Calibri Light"/>
          <w:sz w:val="20"/>
        </w:rPr>
      </w:pPr>
      <w:r>
        <w:rPr>
          <w:rFonts w:ascii="Calibri Light"/>
          <w:sz w:val="20"/>
        </w:rPr>
        <w:t xml:space="preserve">Retrieved from </w:t>
      </w:r>
      <w:hyperlink r:id="rId129">
        <w:r>
          <w:rPr>
            <w:rFonts w:ascii="Calibri Light"/>
            <w:color w:val="0563C1"/>
            <w:spacing w:val="-2"/>
            <w:sz w:val="20"/>
            <w:u w:val="single" w:color="0563C1"/>
          </w:rPr>
          <w:t>www.researchgate.net/publication/235326763_Clinica</w:t>
        </w:r>
        <w:r>
          <w:rPr>
            <w:rFonts w:ascii="Calibri Light"/>
            <w:color w:val="0563C1"/>
            <w:spacing w:val="-2"/>
            <w:sz w:val="20"/>
            <w:u w:val="single" w:color="0563C1"/>
          </w:rPr>
          <w:t>l_Guidelines_for_Implementing_RelapsePrevention_Thera</w:t>
        </w:r>
      </w:hyperlink>
      <w:r>
        <w:rPr>
          <w:rFonts w:ascii="Calibri Light"/>
          <w:color w:val="0563C1"/>
          <w:spacing w:val="-2"/>
          <w:sz w:val="20"/>
        </w:rPr>
        <w:t xml:space="preserve"> </w:t>
      </w:r>
      <w:hyperlink r:id="rId130">
        <w:r>
          <w:rPr>
            <w:rFonts w:ascii="Calibri Light"/>
            <w:color w:val="0563C1"/>
            <w:spacing w:val="-2"/>
            <w:sz w:val="20"/>
            <w:u w:val="single" w:color="0563C1"/>
          </w:rPr>
          <w:t>py_A_Guideline_Developed_for_the_Behavioral_Health_Recovery_Management_Project</w:t>
        </w:r>
      </w:hyperlink>
    </w:p>
    <w:p w14:paraId="791CD3DD" w14:textId="77777777" w:rsidR="00DB6E1F" w:rsidRDefault="00F666A6">
      <w:pPr>
        <w:spacing w:line="259" w:lineRule="auto"/>
        <w:ind w:left="1619" w:right="1491" w:hanging="180"/>
        <w:rPr>
          <w:rFonts w:ascii="Calibri Light" w:hAnsi="Calibri Light"/>
          <w:sz w:val="20"/>
        </w:rPr>
      </w:pPr>
      <w:r>
        <w:rPr>
          <w:rFonts w:ascii="Calibri Light" w:hAnsi="Calibri Light"/>
          <w:sz w:val="20"/>
        </w:rPr>
        <w:t>Martin,</w:t>
      </w:r>
      <w:r>
        <w:rPr>
          <w:rFonts w:ascii="Calibri Light" w:hAnsi="Calibri Light"/>
          <w:spacing w:val="-4"/>
          <w:sz w:val="20"/>
        </w:rPr>
        <w:t xml:space="preserve"> </w:t>
      </w:r>
      <w:r>
        <w:rPr>
          <w:rFonts w:ascii="Calibri Light" w:hAnsi="Calibri Light"/>
          <w:sz w:val="20"/>
        </w:rPr>
        <w:t>G.</w:t>
      </w:r>
      <w:r>
        <w:rPr>
          <w:rFonts w:ascii="Calibri Light" w:hAnsi="Calibri Light"/>
          <w:spacing w:val="-1"/>
          <w:sz w:val="20"/>
        </w:rPr>
        <w:t xml:space="preserve"> </w:t>
      </w:r>
      <w:r>
        <w:rPr>
          <w:rFonts w:ascii="Calibri Light" w:hAnsi="Calibri Light"/>
          <w:sz w:val="20"/>
        </w:rPr>
        <w:t>W.,</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Rehm,</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(2012).</w:t>
      </w:r>
      <w:r>
        <w:rPr>
          <w:rFonts w:ascii="Calibri Light" w:hAnsi="Calibri Light"/>
          <w:spacing w:val="-4"/>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effectiveness</w:t>
      </w:r>
      <w:r>
        <w:rPr>
          <w:rFonts w:ascii="Calibri Light" w:hAnsi="Calibri Light"/>
          <w:spacing w:val="-3"/>
          <w:sz w:val="20"/>
        </w:rPr>
        <w:t xml:space="preserve"> </w:t>
      </w:r>
      <w:r>
        <w:rPr>
          <w:rFonts w:ascii="Calibri Light" w:hAnsi="Calibri Light"/>
          <w:sz w:val="20"/>
        </w:rPr>
        <w:t>of psychosocial</w:t>
      </w:r>
      <w:r>
        <w:rPr>
          <w:rFonts w:ascii="Calibri Light" w:hAnsi="Calibri Light"/>
          <w:spacing w:val="-4"/>
          <w:sz w:val="20"/>
        </w:rPr>
        <w:t xml:space="preserve"> </w:t>
      </w:r>
      <w:r>
        <w:rPr>
          <w:rFonts w:ascii="Calibri Light" w:hAnsi="Calibri Light"/>
          <w:sz w:val="20"/>
        </w:rPr>
        <w:t>modalities</w:t>
      </w:r>
      <w:r>
        <w:rPr>
          <w:rFonts w:ascii="Calibri Light" w:hAnsi="Calibri Light"/>
          <w:spacing w:val="-1"/>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 xml:space="preserve">problems in adults: A review of the evidence. </w:t>
      </w:r>
      <w:r>
        <w:rPr>
          <w:rFonts w:ascii="Calibri Light" w:hAnsi="Calibri Light"/>
          <w:i/>
          <w:sz w:val="20"/>
        </w:rPr>
        <w:t>Canadian Journal o</w:t>
      </w:r>
      <w:r>
        <w:rPr>
          <w:rFonts w:ascii="Calibri Light" w:hAnsi="Calibri Light"/>
          <w:i/>
          <w:sz w:val="20"/>
        </w:rPr>
        <w:t>f Psychiatry, 57</w:t>
      </w:r>
      <w:r>
        <w:rPr>
          <w:rFonts w:ascii="Calibri Light" w:hAnsi="Calibri Light"/>
          <w:sz w:val="20"/>
        </w:rPr>
        <w:t xml:space="preserve">(6), 350–358. </w:t>
      </w:r>
      <w:r>
        <w:rPr>
          <w:rFonts w:ascii="Calibri Light" w:hAnsi="Calibri Light"/>
          <w:spacing w:val="-2"/>
          <w:sz w:val="20"/>
        </w:rPr>
        <w:t>doi:10.1177/070674371205700604</w:t>
      </w:r>
    </w:p>
    <w:p w14:paraId="61F8BD18" w14:textId="77777777" w:rsidR="00DB6E1F" w:rsidRDefault="00F666A6">
      <w:pPr>
        <w:spacing w:line="259" w:lineRule="auto"/>
        <w:ind w:left="1619" w:right="1788" w:hanging="181"/>
        <w:rPr>
          <w:rFonts w:ascii="Calibri Light" w:hAnsi="Calibri Light"/>
          <w:sz w:val="20"/>
        </w:rPr>
      </w:pPr>
      <w:r>
        <w:rPr>
          <w:rFonts w:ascii="Calibri Light" w:hAnsi="Calibri Light"/>
          <w:sz w:val="20"/>
        </w:rPr>
        <w:t xml:space="preserve">Martino, S., Ball, S. A., Gallon, S. L., Hall, D., Garcia, M., Ceperich, S., … Hausotter, W. (2006). </w:t>
      </w:r>
      <w:r>
        <w:rPr>
          <w:rFonts w:ascii="Calibri Light" w:hAnsi="Calibri Light"/>
          <w:i/>
          <w:sz w:val="20"/>
        </w:rPr>
        <w:t>Motivational interviewing</w:t>
      </w:r>
      <w:r>
        <w:rPr>
          <w:rFonts w:ascii="Calibri Light" w:hAnsi="Calibri Light"/>
          <w:i/>
          <w:spacing w:val="-4"/>
          <w:sz w:val="20"/>
        </w:rPr>
        <w:t xml:space="preserve"> </w:t>
      </w:r>
      <w:r>
        <w:rPr>
          <w:rFonts w:ascii="Calibri Light" w:hAnsi="Calibri Light"/>
          <w:i/>
          <w:sz w:val="20"/>
        </w:rPr>
        <w:t>assessment:</w:t>
      </w:r>
      <w:r>
        <w:rPr>
          <w:rFonts w:ascii="Calibri Light" w:hAnsi="Calibri Light"/>
          <w:i/>
          <w:spacing w:val="-4"/>
          <w:sz w:val="20"/>
        </w:rPr>
        <w:t xml:space="preserve"> </w:t>
      </w:r>
      <w:r>
        <w:rPr>
          <w:rFonts w:ascii="Calibri Light" w:hAnsi="Calibri Light"/>
          <w:i/>
          <w:sz w:val="20"/>
        </w:rPr>
        <w:t>Supervisory</w:t>
      </w:r>
      <w:r>
        <w:rPr>
          <w:rFonts w:ascii="Calibri Light" w:hAnsi="Calibri Light"/>
          <w:i/>
          <w:spacing w:val="-2"/>
          <w:sz w:val="20"/>
        </w:rPr>
        <w:t xml:space="preserve"> </w:t>
      </w:r>
      <w:r>
        <w:rPr>
          <w:rFonts w:ascii="Calibri Light" w:hAnsi="Calibri Light"/>
          <w:i/>
          <w:sz w:val="20"/>
        </w:rPr>
        <w:t>tools</w:t>
      </w:r>
      <w:r>
        <w:rPr>
          <w:rFonts w:ascii="Calibri Light" w:hAnsi="Calibri Light"/>
          <w:i/>
          <w:spacing w:val="-4"/>
          <w:sz w:val="20"/>
        </w:rPr>
        <w:t xml:space="preserve"> </w:t>
      </w:r>
      <w:r>
        <w:rPr>
          <w:rFonts w:ascii="Calibri Light" w:hAnsi="Calibri Light"/>
          <w:i/>
          <w:sz w:val="20"/>
        </w:rPr>
        <w:t>for</w:t>
      </w:r>
      <w:r>
        <w:rPr>
          <w:rFonts w:ascii="Calibri Light" w:hAnsi="Calibri Light"/>
          <w:i/>
          <w:spacing w:val="-4"/>
          <w:sz w:val="20"/>
        </w:rPr>
        <w:t xml:space="preserve"> </w:t>
      </w:r>
      <w:r>
        <w:rPr>
          <w:rFonts w:ascii="Calibri Light" w:hAnsi="Calibri Light"/>
          <w:i/>
          <w:sz w:val="20"/>
        </w:rPr>
        <w:t>enhancing</w:t>
      </w:r>
      <w:r>
        <w:rPr>
          <w:rFonts w:ascii="Calibri Light" w:hAnsi="Calibri Light"/>
          <w:i/>
          <w:spacing w:val="-5"/>
          <w:sz w:val="20"/>
        </w:rPr>
        <w:t xml:space="preserve"> </w:t>
      </w:r>
      <w:r>
        <w:rPr>
          <w:rFonts w:ascii="Calibri Light" w:hAnsi="Calibri Light"/>
          <w:i/>
          <w:sz w:val="20"/>
        </w:rPr>
        <w:t>proficiency.</w:t>
      </w:r>
      <w:r>
        <w:rPr>
          <w:rFonts w:ascii="Calibri Light" w:hAnsi="Calibri Light"/>
          <w:i/>
          <w:spacing w:val="-5"/>
          <w:sz w:val="20"/>
        </w:rPr>
        <w:t xml:space="preserve"> </w:t>
      </w:r>
      <w:r>
        <w:rPr>
          <w:rFonts w:ascii="Calibri Light" w:hAnsi="Calibri Light"/>
          <w:sz w:val="20"/>
        </w:rPr>
        <w:t>Salem,</w:t>
      </w:r>
      <w:r>
        <w:rPr>
          <w:rFonts w:ascii="Calibri Light" w:hAnsi="Calibri Light"/>
          <w:spacing w:val="-5"/>
          <w:sz w:val="20"/>
        </w:rPr>
        <w:t xml:space="preserve"> </w:t>
      </w:r>
      <w:r>
        <w:rPr>
          <w:rFonts w:ascii="Calibri Light" w:hAnsi="Calibri Light"/>
          <w:sz w:val="20"/>
        </w:rPr>
        <w:t>OR:</w:t>
      </w:r>
      <w:r>
        <w:rPr>
          <w:rFonts w:ascii="Calibri Light" w:hAnsi="Calibri Light"/>
          <w:spacing w:val="-4"/>
          <w:sz w:val="20"/>
        </w:rPr>
        <w:t xml:space="preserve"> </w:t>
      </w:r>
      <w:r>
        <w:rPr>
          <w:rFonts w:ascii="Calibri Light" w:hAnsi="Calibri Light"/>
          <w:sz w:val="20"/>
        </w:rPr>
        <w:t>Northwest</w:t>
      </w:r>
      <w:r>
        <w:rPr>
          <w:rFonts w:ascii="Calibri Light" w:hAnsi="Calibri Light"/>
          <w:spacing w:val="-5"/>
          <w:sz w:val="20"/>
        </w:rPr>
        <w:t xml:space="preserve"> </w:t>
      </w:r>
      <w:r>
        <w:rPr>
          <w:rFonts w:ascii="Calibri Light" w:hAnsi="Calibri Light"/>
          <w:sz w:val="20"/>
        </w:rPr>
        <w:t>Frontier</w:t>
      </w:r>
      <w:r>
        <w:rPr>
          <w:rFonts w:ascii="Calibri Light" w:hAnsi="Calibri Light"/>
          <w:spacing w:val="-3"/>
          <w:sz w:val="20"/>
        </w:rPr>
        <w:t xml:space="preserve"> </w:t>
      </w:r>
      <w:r>
        <w:rPr>
          <w:rFonts w:ascii="Calibri Light" w:hAnsi="Calibri Light"/>
          <w:sz w:val="20"/>
        </w:rPr>
        <w:t xml:space="preserve">Addiction Technology Transfer Center, Oregon Health and Science University. Retrieved from </w:t>
      </w:r>
      <w:hyperlink r:id="rId131">
        <w:r>
          <w:rPr>
            <w:rFonts w:ascii="Calibri Light" w:hAnsi="Calibri Light"/>
            <w:color w:val="0563C1"/>
            <w:spacing w:val="-2"/>
            <w:sz w:val="20"/>
            <w:u w:val="single" w:color="0563C1"/>
          </w:rPr>
          <w:t>www.motivationalinterviewing.org/sites/defa</w:t>
        </w:r>
        <w:r>
          <w:rPr>
            <w:rFonts w:ascii="Calibri Light" w:hAnsi="Calibri Light"/>
            <w:color w:val="0563C1"/>
            <w:spacing w:val="-2"/>
            <w:sz w:val="20"/>
            <w:u w:val="single" w:color="0563C1"/>
          </w:rPr>
          <w:t>ult/files/mia-step.pdf</w:t>
        </w:r>
      </w:hyperlink>
    </w:p>
    <w:p w14:paraId="1E7B2CA5" w14:textId="77777777" w:rsidR="00DB6E1F" w:rsidRDefault="00F666A6">
      <w:pPr>
        <w:spacing w:line="259" w:lineRule="auto"/>
        <w:ind w:left="1620" w:right="1555" w:hanging="181"/>
        <w:rPr>
          <w:rFonts w:ascii="Calibri Light" w:hAnsi="Calibri Light"/>
          <w:sz w:val="20"/>
        </w:rPr>
      </w:pPr>
      <w:r>
        <w:rPr>
          <w:rFonts w:ascii="Calibri Light" w:hAnsi="Calibri Light"/>
          <w:sz w:val="20"/>
        </w:rPr>
        <w:t>Martino,</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Paris,</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Añez,</w:t>
      </w:r>
      <w:r>
        <w:rPr>
          <w:rFonts w:ascii="Calibri Light" w:hAnsi="Calibri Light"/>
          <w:spacing w:val="-3"/>
          <w:sz w:val="20"/>
        </w:rPr>
        <w:t xml:space="preserve"> </w:t>
      </w:r>
      <w:r>
        <w:rPr>
          <w:rFonts w:ascii="Calibri Light" w:hAnsi="Calibri Light"/>
          <w:sz w:val="20"/>
        </w:rPr>
        <w:t>L., Nich,</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Canning-Ball, M., Hunkele,</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w:t>
      </w:r>
      <w:r>
        <w:rPr>
          <w:rFonts w:ascii="Calibri Light" w:hAnsi="Calibri Light"/>
          <w:spacing w:val="-1"/>
          <w:sz w:val="20"/>
        </w:rPr>
        <w:t xml:space="preserve"> </w:t>
      </w:r>
      <w:r>
        <w:rPr>
          <w:rFonts w:ascii="Calibri Light" w:hAnsi="Calibri Light"/>
          <w:sz w:val="20"/>
        </w:rPr>
        <w:t>Carroll,</w:t>
      </w:r>
      <w:r>
        <w:rPr>
          <w:rFonts w:ascii="Calibri Light" w:hAnsi="Calibri Light"/>
          <w:spacing w:val="-3"/>
          <w:sz w:val="20"/>
        </w:rPr>
        <w:t xml:space="preserve"> </w:t>
      </w:r>
      <w:r>
        <w:rPr>
          <w:rFonts w:ascii="Calibri Light" w:hAnsi="Calibri Light"/>
          <w:sz w:val="20"/>
        </w:rPr>
        <w:t>K. M.</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effectiveness</w:t>
      </w:r>
      <w:r>
        <w:rPr>
          <w:rFonts w:ascii="Calibri Light" w:hAnsi="Calibri Light"/>
          <w:spacing w:val="-2"/>
          <w:sz w:val="20"/>
        </w:rPr>
        <w:t xml:space="preserve"> </w:t>
      </w:r>
      <w:r>
        <w:rPr>
          <w:rFonts w:ascii="Calibri Light" w:hAnsi="Calibri Light"/>
          <w:sz w:val="20"/>
        </w:rPr>
        <w:t xml:space="preserve">and cost of clinical supervision for motivational interviewing: A randomized controlled trial. </w:t>
      </w:r>
      <w:r>
        <w:rPr>
          <w:rFonts w:ascii="Calibri Light" w:hAnsi="Calibri Light"/>
          <w:i/>
          <w:sz w:val="20"/>
        </w:rPr>
        <w:t>Journal of Substance Abuse Treatment</w:t>
      </w:r>
      <w:r>
        <w:rPr>
          <w:rFonts w:ascii="Calibri Light" w:hAnsi="Calibri Light"/>
          <w:sz w:val="20"/>
        </w:rPr>
        <w:t xml:space="preserve">, </w:t>
      </w:r>
      <w:r>
        <w:rPr>
          <w:rFonts w:ascii="Calibri Light" w:hAnsi="Calibri Light"/>
          <w:i/>
          <w:sz w:val="20"/>
        </w:rPr>
        <w:t>68</w:t>
      </w:r>
      <w:r>
        <w:rPr>
          <w:rFonts w:ascii="Calibri Light" w:hAnsi="Calibri Light"/>
          <w:sz w:val="20"/>
        </w:rPr>
        <w:t>, 11–23.</w:t>
      </w:r>
    </w:p>
    <w:p w14:paraId="766C7122" w14:textId="77777777" w:rsidR="00DB6E1F" w:rsidRDefault="00F666A6">
      <w:pPr>
        <w:spacing w:line="259" w:lineRule="auto"/>
        <w:ind w:left="1620" w:right="1491" w:hanging="180"/>
        <w:rPr>
          <w:rFonts w:ascii="Calibri Light" w:hAnsi="Calibri Light"/>
          <w:sz w:val="20"/>
        </w:rPr>
      </w:pPr>
      <w:r>
        <w:rPr>
          <w:rFonts w:ascii="Calibri Light" w:hAnsi="Calibri Light"/>
          <w:sz w:val="20"/>
        </w:rPr>
        <w:t>Mattoo,</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Prasad,</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Ghosh,</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(2018).</w:t>
      </w:r>
      <w:r>
        <w:rPr>
          <w:rFonts w:ascii="Calibri Light" w:hAnsi="Calibri Light"/>
          <w:spacing w:val="-3"/>
          <w:sz w:val="20"/>
        </w:rPr>
        <w:t xml:space="preserve"> </w:t>
      </w:r>
      <w:r>
        <w:rPr>
          <w:rFonts w:ascii="Calibri Light" w:hAnsi="Calibri Light"/>
          <w:sz w:val="20"/>
        </w:rPr>
        <w:t>Brief</w:t>
      </w:r>
      <w:r>
        <w:rPr>
          <w:rFonts w:ascii="Calibri Light" w:hAnsi="Calibri Light"/>
          <w:spacing w:val="-2"/>
          <w:sz w:val="20"/>
        </w:rPr>
        <w:t xml:space="preserve"> </w:t>
      </w:r>
      <w:r>
        <w:rPr>
          <w:rFonts w:ascii="Calibri Light" w:hAnsi="Calibri Light"/>
          <w:sz w:val="20"/>
        </w:rPr>
        <w:t>intervention</w:t>
      </w:r>
      <w:r>
        <w:rPr>
          <w:rFonts w:ascii="Calibri Light" w:hAnsi="Calibri Light"/>
          <w:spacing w:val="-2"/>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substance</w:t>
      </w:r>
      <w:r>
        <w:rPr>
          <w:rFonts w:ascii="Calibri Light" w:hAnsi="Calibri Light"/>
          <w:spacing w:val="-2"/>
          <w:sz w:val="20"/>
        </w:rPr>
        <w:t xml:space="preserve"> </w:t>
      </w:r>
      <w:r>
        <w:rPr>
          <w:rFonts w:ascii="Calibri Light" w:hAnsi="Calibri Light"/>
          <w:sz w:val="20"/>
        </w:rPr>
        <w:t>use</w:t>
      </w:r>
      <w:r>
        <w:rPr>
          <w:rFonts w:ascii="Calibri Light" w:hAnsi="Calibri Light"/>
          <w:spacing w:val="-2"/>
          <w:sz w:val="20"/>
        </w:rPr>
        <w:t xml:space="preserve"> </w:t>
      </w:r>
      <w:r>
        <w:rPr>
          <w:rFonts w:ascii="Calibri Light" w:hAnsi="Calibri Light"/>
          <w:sz w:val="20"/>
        </w:rPr>
        <w:t>disorders.</w:t>
      </w:r>
      <w:r>
        <w:rPr>
          <w:rFonts w:ascii="Calibri Light" w:hAnsi="Calibri Light"/>
          <w:spacing w:val="-1"/>
          <w:sz w:val="20"/>
        </w:rPr>
        <w:t xml:space="preserve"> </w:t>
      </w:r>
      <w:r>
        <w:rPr>
          <w:rFonts w:ascii="Calibri Light" w:hAnsi="Calibri Light"/>
          <w:i/>
          <w:sz w:val="20"/>
        </w:rPr>
        <w:t>Indian</w:t>
      </w:r>
      <w:r>
        <w:rPr>
          <w:rFonts w:ascii="Calibri Light" w:hAnsi="Calibri Light"/>
          <w:i/>
          <w:spacing w:val="-2"/>
          <w:sz w:val="20"/>
        </w:rPr>
        <w:t xml:space="preserve"> </w:t>
      </w:r>
      <w:r>
        <w:rPr>
          <w:rFonts w:ascii="Calibri Light" w:hAnsi="Calibri Light"/>
          <w:i/>
          <w:sz w:val="20"/>
        </w:rPr>
        <w:t>Journal</w:t>
      </w:r>
      <w:r>
        <w:rPr>
          <w:rFonts w:ascii="Calibri Light" w:hAnsi="Calibri Light"/>
          <w:i/>
          <w:spacing w:val="-3"/>
          <w:sz w:val="20"/>
        </w:rPr>
        <w:t xml:space="preserve"> </w:t>
      </w:r>
      <w:r>
        <w:rPr>
          <w:rFonts w:ascii="Calibri Light" w:hAnsi="Calibri Light"/>
          <w:i/>
          <w:sz w:val="20"/>
        </w:rPr>
        <w:t>of Psychiatry</w:t>
      </w:r>
      <w:r>
        <w:rPr>
          <w:rFonts w:ascii="Calibri Light" w:hAnsi="Calibri Light"/>
          <w:sz w:val="20"/>
        </w:rPr>
        <w:t xml:space="preserve">, </w:t>
      </w:r>
      <w:r>
        <w:rPr>
          <w:rFonts w:ascii="Calibri Light" w:hAnsi="Calibri Light"/>
          <w:i/>
          <w:sz w:val="20"/>
        </w:rPr>
        <w:t>60</w:t>
      </w:r>
      <w:r>
        <w:rPr>
          <w:rFonts w:ascii="Calibri Light" w:hAnsi="Calibri Light"/>
          <w:sz w:val="20"/>
        </w:rPr>
        <w:t>(Suppl 4), S466–S472.</w:t>
      </w:r>
    </w:p>
    <w:p w14:paraId="393D1239" w14:textId="77777777" w:rsidR="00DB6E1F" w:rsidRDefault="00F666A6">
      <w:pPr>
        <w:spacing w:line="259" w:lineRule="auto"/>
        <w:ind w:left="1620" w:right="1491" w:hanging="181"/>
        <w:rPr>
          <w:rFonts w:ascii="Calibri Light" w:hAnsi="Calibri Light"/>
          <w:sz w:val="20"/>
        </w:rPr>
      </w:pPr>
      <w:r>
        <w:rPr>
          <w:rFonts w:ascii="Calibri Light" w:hAnsi="Calibri Light"/>
          <w:sz w:val="20"/>
        </w:rPr>
        <w:t>McCance-Katz,</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F.,</w:t>
      </w:r>
      <w:r>
        <w:rPr>
          <w:rFonts w:ascii="Calibri Light" w:hAnsi="Calibri Light"/>
          <w:spacing w:val="-3"/>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Satterfield,</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(2012).</w:t>
      </w:r>
      <w:r>
        <w:rPr>
          <w:rFonts w:ascii="Calibri Light" w:hAnsi="Calibri Light"/>
          <w:spacing w:val="-3"/>
          <w:sz w:val="20"/>
        </w:rPr>
        <w:t xml:space="preserve"> </w:t>
      </w:r>
      <w:r>
        <w:rPr>
          <w:rFonts w:ascii="Calibri Light" w:hAnsi="Calibri Light"/>
          <w:sz w:val="20"/>
        </w:rPr>
        <w:t>SBIRT:</w:t>
      </w:r>
      <w:r>
        <w:rPr>
          <w:rFonts w:ascii="Calibri Light" w:hAnsi="Calibri Light"/>
          <w:spacing w:val="-2"/>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key</w:t>
      </w:r>
      <w:r>
        <w:rPr>
          <w:rFonts w:ascii="Calibri Light" w:hAnsi="Calibri Light"/>
          <w:spacing w:val="-2"/>
          <w:sz w:val="20"/>
        </w:rPr>
        <w:t xml:space="preserve"> </w:t>
      </w:r>
      <w:r>
        <w:rPr>
          <w:rFonts w:ascii="Calibri Light" w:hAnsi="Calibri Light"/>
          <w:sz w:val="20"/>
        </w:rPr>
        <w:t>to</w:t>
      </w:r>
      <w:r>
        <w:rPr>
          <w:rFonts w:ascii="Calibri Light" w:hAnsi="Calibri Light"/>
          <w:spacing w:val="-3"/>
          <w:sz w:val="20"/>
        </w:rPr>
        <w:t xml:space="preserve"> </w:t>
      </w:r>
      <w:r>
        <w:rPr>
          <w:rFonts w:ascii="Calibri Light" w:hAnsi="Calibri Light"/>
          <w:sz w:val="20"/>
        </w:rPr>
        <w:t>integrate</w:t>
      </w:r>
      <w:r>
        <w:rPr>
          <w:rFonts w:ascii="Calibri Light" w:hAnsi="Calibri Light"/>
          <w:spacing w:val="-1"/>
          <w:sz w:val="20"/>
        </w:rPr>
        <w:t xml:space="preserve"> </w:t>
      </w:r>
      <w:r>
        <w:rPr>
          <w:rFonts w:ascii="Calibri Light" w:hAnsi="Calibri Light"/>
          <w:sz w:val="20"/>
        </w:rPr>
        <w:t>prevention</w:t>
      </w:r>
      <w:r>
        <w:rPr>
          <w:rFonts w:ascii="Calibri Light" w:hAnsi="Calibri Light"/>
          <w:spacing w:val="-2"/>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treatment</w:t>
      </w:r>
      <w:r>
        <w:rPr>
          <w:rFonts w:ascii="Calibri Light" w:hAnsi="Calibri Light"/>
          <w:spacing w:val="-3"/>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substance</w:t>
      </w:r>
      <w:r>
        <w:rPr>
          <w:rFonts w:ascii="Calibri Light" w:hAnsi="Calibri Light"/>
          <w:spacing w:val="-2"/>
          <w:sz w:val="20"/>
        </w:rPr>
        <w:t xml:space="preserve"> </w:t>
      </w:r>
      <w:r>
        <w:rPr>
          <w:rFonts w:ascii="Calibri Light" w:hAnsi="Calibri Light"/>
          <w:sz w:val="20"/>
        </w:rPr>
        <w:t xml:space="preserve">abuse in primary care. </w:t>
      </w:r>
      <w:r>
        <w:rPr>
          <w:rFonts w:ascii="Calibri Light" w:hAnsi="Calibri Light"/>
          <w:i/>
          <w:sz w:val="20"/>
        </w:rPr>
        <w:t>American Journal on Addictions, 21</w:t>
      </w:r>
      <w:r>
        <w:rPr>
          <w:rFonts w:ascii="Calibri Light" w:hAnsi="Calibri Light"/>
          <w:sz w:val="20"/>
        </w:rPr>
        <w:t>(2), 176–177. doi:10.1111/j.1521-0391.2011.00213.x</w:t>
      </w:r>
    </w:p>
    <w:p w14:paraId="76F0EBB2" w14:textId="77777777" w:rsidR="00DB6E1F" w:rsidRDefault="00F666A6">
      <w:pPr>
        <w:spacing w:line="259" w:lineRule="auto"/>
        <w:ind w:left="1620" w:right="1491" w:hanging="181"/>
        <w:rPr>
          <w:rFonts w:ascii="Calibri Light" w:hAnsi="Calibri Light"/>
          <w:sz w:val="20"/>
        </w:rPr>
      </w:pPr>
      <w:r>
        <w:rPr>
          <w:rFonts w:ascii="Calibri Light" w:hAnsi="Calibri Light"/>
          <w:sz w:val="20"/>
        </w:rPr>
        <w:t>McConnaughy,</w:t>
      </w:r>
      <w:r>
        <w:rPr>
          <w:rFonts w:ascii="Calibri Light" w:hAnsi="Calibri Light"/>
          <w:spacing w:val="-3"/>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Prochaska,</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O.,</w:t>
      </w:r>
      <w:r>
        <w:rPr>
          <w:rFonts w:ascii="Calibri Light" w:hAnsi="Calibri Light"/>
          <w:spacing w:val="-3"/>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Velicer,</w:t>
      </w:r>
      <w:r>
        <w:rPr>
          <w:rFonts w:ascii="Calibri Light" w:hAnsi="Calibri Light"/>
          <w:spacing w:val="-1"/>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F.(1983).</w:t>
      </w:r>
      <w:r>
        <w:rPr>
          <w:rFonts w:ascii="Calibri Light" w:hAnsi="Calibri Light"/>
          <w:spacing w:val="-1"/>
          <w:sz w:val="20"/>
        </w:rPr>
        <w:t xml:space="preserve"> </w:t>
      </w:r>
      <w:r>
        <w:rPr>
          <w:rFonts w:ascii="Calibri Light" w:hAnsi="Calibri Light"/>
          <w:sz w:val="20"/>
        </w:rPr>
        <w:t>Stages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change</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psychotherapy:</w:t>
      </w:r>
      <w:r>
        <w:rPr>
          <w:rFonts w:ascii="Calibri Light" w:hAnsi="Calibri Light"/>
          <w:spacing w:val="-3"/>
          <w:sz w:val="20"/>
        </w:rPr>
        <w:t xml:space="preserve"> </w:t>
      </w:r>
      <w:r>
        <w:rPr>
          <w:rFonts w:ascii="Calibri Light" w:hAnsi="Calibri Light"/>
          <w:sz w:val="20"/>
        </w:rPr>
        <w:t>Measurement</w:t>
      </w:r>
      <w:r>
        <w:rPr>
          <w:rFonts w:ascii="Calibri Light" w:hAnsi="Calibri Light"/>
          <w:spacing w:val="-3"/>
          <w:sz w:val="20"/>
        </w:rPr>
        <w:t xml:space="preserve"> </w:t>
      </w:r>
      <w:r>
        <w:rPr>
          <w:rFonts w:ascii="Calibri Light" w:hAnsi="Calibri Light"/>
          <w:sz w:val="20"/>
        </w:rPr>
        <w:t xml:space="preserve">and sample profiles. </w:t>
      </w:r>
      <w:r>
        <w:rPr>
          <w:rFonts w:ascii="Calibri Light" w:hAnsi="Calibri Light"/>
          <w:i/>
          <w:sz w:val="20"/>
        </w:rPr>
        <w:t>Psychotherapy: Theory, Research and Practice, 20</w:t>
      </w:r>
      <w:r>
        <w:rPr>
          <w:rFonts w:ascii="Calibri Light" w:hAnsi="Calibri Light"/>
          <w:sz w:val="20"/>
        </w:rPr>
        <w:t>, 368–375.</w:t>
      </w:r>
    </w:p>
    <w:p w14:paraId="138F0773" w14:textId="77777777" w:rsidR="00DB6E1F" w:rsidRDefault="00F666A6">
      <w:pPr>
        <w:spacing w:line="259" w:lineRule="auto"/>
        <w:ind w:left="1620" w:right="1785" w:hanging="180"/>
        <w:jc w:val="both"/>
        <w:rPr>
          <w:rFonts w:ascii="Calibri Light" w:hAnsi="Calibri Light"/>
          <w:sz w:val="20"/>
        </w:rPr>
      </w:pPr>
      <w:r>
        <w:rPr>
          <w:rFonts w:ascii="Calibri Light" w:hAnsi="Calibri Light"/>
          <w:sz w:val="20"/>
        </w:rPr>
        <w:t>McDevitt-Murphy,</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Murphy,</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G.,</w:t>
      </w:r>
      <w:r>
        <w:rPr>
          <w:rFonts w:ascii="Calibri Light" w:hAnsi="Calibri Light"/>
          <w:spacing w:val="-3"/>
          <w:sz w:val="20"/>
        </w:rPr>
        <w:t xml:space="preserve"> </w:t>
      </w:r>
      <w:r>
        <w:rPr>
          <w:rFonts w:ascii="Calibri Light" w:hAnsi="Calibri Light"/>
          <w:sz w:val="20"/>
        </w:rPr>
        <w:t>Williams,</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L., Monahan, C.</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Bracken-Minor,</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Fields,</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(2014). Randomized controlled</w:t>
      </w:r>
      <w:r>
        <w:rPr>
          <w:rFonts w:ascii="Calibri Light" w:hAnsi="Calibri Light"/>
          <w:spacing w:val="-1"/>
          <w:sz w:val="20"/>
        </w:rPr>
        <w:t xml:space="preserve"> </w:t>
      </w:r>
      <w:r>
        <w:rPr>
          <w:rFonts w:ascii="Calibri Light" w:hAnsi="Calibri Light"/>
          <w:sz w:val="20"/>
        </w:rPr>
        <w:t>trial</w:t>
      </w:r>
      <w:r>
        <w:rPr>
          <w:rFonts w:ascii="Calibri Light" w:hAnsi="Calibri Light"/>
          <w:spacing w:val="-2"/>
          <w:sz w:val="20"/>
        </w:rPr>
        <w:t xml:space="preserve"> </w:t>
      </w:r>
      <w:r>
        <w:rPr>
          <w:rFonts w:ascii="Calibri Light" w:hAnsi="Calibri Light"/>
          <w:sz w:val="20"/>
        </w:rPr>
        <w:t>of two</w:t>
      </w:r>
      <w:r>
        <w:rPr>
          <w:rFonts w:ascii="Calibri Light" w:hAnsi="Calibri Light"/>
          <w:spacing w:val="-2"/>
          <w:sz w:val="20"/>
        </w:rPr>
        <w:t xml:space="preserve"> </w:t>
      </w:r>
      <w:r>
        <w:rPr>
          <w:rFonts w:ascii="Calibri Light" w:hAnsi="Calibri Light"/>
          <w:sz w:val="20"/>
        </w:rPr>
        <w:t>brief</w:t>
      </w:r>
      <w:r>
        <w:rPr>
          <w:rFonts w:ascii="Calibri Light" w:hAnsi="Calibri Light"/>
          <w:spacing w:val="-1"/>
          <w:sz w:val="20"/>
        </w:rPr>
        <w:t xml:space="preserve"> </w:t>
      </w:r>
      <w:r>
        <w:rPr>
          <w:rFonts w:ascii="Calibri Light" w:hAnsi="Calibri Light"/>
          <w:sz w:val="20"/>
        </w:rPr>
        <w:t>alcohol</w:t>
      </w:r>
      <w:r>
        <w:rPr>
          <w:rFonts w:ascii="Calibri Light" w:hAnsi="Calibri Light"/>
          <w:spacing w:val="-2"/>
          <w:sz w:val="20"/>
        </w:rPr>
        <w:t xml:space="preserve"> </w:t>
      </w:r>
      <w:r>
        <w:rPr>
          <w:rFonts w:ascii="Calibri Light" w:hAnsi="Calibri Light"/>
          <w:sz w:val="20"/>
        </w:rPr>
        <w:t>interventions</w:t>
      </w:r>
      <w:r>
        <w:rPr>
          <w:rFonts w:ascii="Calibri Light" w:hAnsi="Calibri Light"/>
          <w:spacing w:val="-1"/>
          <w:sz w:val="20"/>
        </w:rPr>
        <w:t xml:space="preserve"> </w:t>
      </w:r>
      <w:r>
        <w:rPr>
          <w:rFonts w:ascii="Calibri Light" w:hAnsi="Calibri Light"/>
          <w:sz w:val="20"/>
        </w:rPr>
        <w:t>for OEF/OIF</w:t>
      </w:r>
      <w:r>
        <w:rPr>
          <w:rFonts w:ascii="Calibri Light" w:hAnsi="Calibri Light"/>
          <w:spacing w:val="-2"/>
          <w:sz w:val="20"/>
        </w:rPr>
        <w:t xml:space="preserve"> </w:t>
      </w:r>
      <w:r>
        <w:rPr>
          <w:rFonts w:ascii="Calibri Light" w:hAnsi="Calibri Light"/>
          <w:sz w:val="20"/>
        </w:rPr>
        <w:t>veterans.</w:t>
      </w:r>
      <w:r>
        <w:rPr>
          <w:rFonts w:ascii="Calibri Light" w:hAnsi="Calibri Light"/>
          <w:spacing w:val="-2"/>
          <w:sz w:val="20"/>
        </w:rPr>
        <w:t xml:space="preserve"> </w:t>
      </w:r>
      <w:r>
        <w:rPr>
          <w:rFonts w:ascii="Calibri Light" w:hAnsi="Calibri Light"/>
          <w:i/>
          <w:sz w:val="20"/>
        </w:rPr>
        <w:t>Journal</w:t>
      </w:r>
      <w:r>
        <w:rPr>
          <w:rFonts w:ascii="Calibri Light" w:hAnsi="Calibri Light"/>
          <w:i/>
          <w:spacing w:val="-2"/>
          <w:sz w:val="20"/>
        </w:rPr>
        <w:t xml:space="preserve"> </w:t>
      </w:r>
      <w:r>
        <w:rPr>
          <w:rFonts w:ascii="Calibri Light" w:hAnsi="Calibri Light"/>
          <w:i/>
          <w:sz w:val="20"/>
        </w:rPr>
        <w:t>of</w:t>
      </w:r>
      <w:r>
        <w:rPr>
          <w:rFonts w:ascii="Calibri Light" w:hAnsi="Calibri Light"/>
          <w:i/>
          <w:spacing w:val="-1"/>
          <w:sz w:val="20"/>
        </w:rPr>
        <w:t xml:space="preserve"> </w:t>
      </w:r>
      <w:r>
        <w:rPr>
          <w:rFonts w:ascii="Calibri Light" w:hAnsi="Calibri Light"/>
          <w:i/>
          <w:sz w:val="20"/>
        </w:rPr>
        <w:t>Consulting</w:t>
      </w:r>
      <w:r>
        <w:rPr>
          <w:rFonts w:ascii="Calibri Light" w:hAnsi="Calibri Light"/>
          <w:i/>
          <w:spacing w:val="-1"/>
          <w:sz w:val="20"/>
        </w:rPr>
        <w:t xml:space="preserve"> </w:t>
      </w:r>
      <w:r>
        <w:rPr>
          <w:rFonts w:ascii="Calibri Light" w:hAnsi="Calibri Light"/>
          <w:i/>
          <w:sz w:val="20"/>
        </w:rPr>
        <w:t>and</w:t>
      </w:r>
      <w:r>
        <w:rPr>
          <w:rFonts w:ascii="Calibri Light" w:hAnsi="Calibri Light"/>
          <w:i/>
          <w:sz w:val="20"/>
        </w:rPr>
        <w:t xml:space="preserve"> Clinical Psychology, 82</w:t>
      </w:r>
      <w:r>
        <w:rPr>
          <w:rFonts w:ascii="Calibri Light" w:hAnsi="Calibri Light"/>
          <w:sz w:val="20"/>
        </w:rPr>
        <w:t>(4), 562–568. doi:10.1037/a0036714</w:t>
      </w:r>
    </w:p>
    <w:p w14:paraId="711D7CF3" w14:textId="77777777" w:rsidR="00DB6E1F" w:rsidRDefault="00F666A6">
      <w:pPr>
        <w:spacing w:line="259" w:lineRule="auto"/>
        <w:ind w:left="1620" w:right="2186" w:hanging="181"/>
        <w:jc w:val="both"/>
        <w:rPr>
          <w:rFonts w:ascii="Calibri Light"/>
          <w:sz w:val="20"/>
        </w:rPr>
      </w:pPr>
      <w:r>
        <w:rPr>
          <w:rFonts w:ascii="Calibri Light"/>
          <w:sz w:val="20"/>
        </w:rPr>
        <w:t>McQueen,</w:t>
      </w:r>
      <w:r>
        <w:rPr>
          <w:rFonts w:ascii="Calibri Light"/>
          <w:spacing w:val="-3"/>
          <w:sz w:val="20"/>
        </w:rPr>
        <w:t xml:space="preserve"> </w:t>
      </w:r>
      <w:r>
        <w:rPr>
          <w:rFonts w:ascii="Calibri Light"/>
          <w:sz w:val="20"/>
        </w:rPr>
        <w:t>J., Howe,</w:t>
      </w:r>
      <w:r>
        <w:rPr>
          <w:rFonts w:ascii="Calibri Light"/>
          <w:spacing w:val="-3"/>
          <w:sz w:val="20"/>
        </w:rPr>
        <w:t xml:space="preserve"> </w:t>
      </w:r>
      <w:r>
        <w:rPr>
          <w:rFonts w:ascii="Calibri Light"/>
          <w:sz w:val="20"/>
        </w:rPr>
        <w:t>T.</w:t>
      </w:r>
      <w:r>
        <w:rPr>
          <w:rFonts w:ascii="Calibri Light"/>
          <w:spacing w:val="-3"/>
          <w:sz w:val="20"/>
        </w:rPr>
        <w:t xml:space="preserve"> </w:t>
      </w:r>
      <w:r>
        <w:rPr>
          <w:rFonts w:ascii="Calibri Light"/>
          <w:sz w:val="20"/>
        </w:rPr>
        <w:t>E.,</w:t>
      </w:r>
      <w:r>
        <w:rPr>
          <w:rFonts w:ascii="Calibri Light"/>
          <w:spacing w:val="-3"/>
          <w:sz w:val="20"/>
        </w:rPr>
        <w:t xml:space="preserve"> </w:t>
      </w:r>
      <w:r>
        <w:rPr>
          <w:rFonts w:ascii="Calibri Light"/>
          <w:sz w:val="20"/>
        </w:rPr>
        <w:t>Allan,</w:t>
      </w:r>
      <w:r>
        <w:rPr>
          <w:rFonts w:ascii="Calibri Light"/>
          <w:spacing w:val="-3"/>
          <w:sz w:val="20"/>
        </w:rPr>
        <w:t xml:space="preserve"> </w:t>
      </w:r>
      <w:r>
        <w:rPr>
          <w:rFonts w:ascii="Calibri Light"/>
          <w:sz w:val="20"/>
        </w:rPr>
        <w:t>L.,</w:t>
      </w:r>
      <w:r>
        <w:rPr>
          <w:rFonts w:ascii="Calibri Light"/>
          <w:spacing w:val="-3"/>
          <w:sz w:val="20"/>
        </w:rPr>
        <w:t xml:space="preserve"> </w:t>
      </w:r>
      <w:r>
        <w:rPr>
          <w:rFonts w:ascii="Calibri Light"/>
          <w:sz w:val="20"/>
        </w:rPr>
        <w:t>Mains,</w:t>
      </w:r>
      <w:r>
        <w:rPr>
          <w:rFonts w:ascii="Calibri Light"/>
          <w:spacing w:val="-3"/>
          <w:sz w:val="20"/>
        </w:rPr>
        <w:t xml:space="preserve"> </w:t>
      </w:r>
      <w:r>
        <w:rPr>
          <w:rFonts w:ascii="Calibri Light"/>
          <w:sz w:val="20"/>
        </w:rPr>
        <w:t>D.,</w:t>
      </w:r>
      <w:r>
        <w:rPr>
          <w:rFonts w:ascii="Calibri Light"/>
          <w:spacing w:val="-3"/>
          <w:sz w:val="20"/>
        </w:rPr>
        <w:t xml:space="preserve"> </w:t>
      </w:r>
      <w:r>
        <w:rPr>
          <w:rFonts w:ascii="Calibri Light"/>
          <w:sz w:val="20"/>
        </w:rPr>
        <w:t>&amp;</w:t>
      </w:r>
      <w:r>
        <w:rPr>
          <w:rFonts w:ascii="Calibri Light"/>
          <w:spacing w:val="-1"/>
          <w:sz w:val="20"/>
        </w:rPr>
        <w:t xml:space="preserve"> </w:t>
      </w:r>
      <w:r>
        <w:rPr>
          <w:rFonts w:ascii="Calibri Light"/>
          <w:sz w:val="20"/>
        </w:rPr>
        <w:t>Hardy,</w:t>
      </w:r>
      <w:r>
        <w:rPr>
          <w:rFonts w:ascii="Calibri Light"/>
          <w:spacing w:val="-3"/>
          <w:sz w:val="20"/>
        </w:rPr>
        <w:t xml:space="preserve"> </w:t>
      </w:r>
      <w:r>
        <w:rPr>
          <w:rFonts w:ascii="Calibri Light"/>
          <w:sz w:val="20"/>
        </w:rPr>
        <w:t>V.</w:t>
      </w:r>
      <w:r>
        <w:rPr>
          <w:rFonts w:ascii="Calibri Light"/>
          <w:spacing w:val="-3"/>
          <w:sz w:val="20"/>
        </w:rPr>
        <w:t xml:space="preserve"> </w:t>
      </w:r>
      <w:r>
        <w:rPr>
          <w:rFonts w:ascii="Calibri Light"/>
          <w:sz w:val="20"/>
        </w:rPr>
        <w:t>(2011).</w:t>
      </w:r>
      <w:r>
        <w:rPr>
          <w:rFonts w:ascii="Calibri Light"/>
          <w:spacing w:val="-3"/>
          <w:sz w:val="20"/>
        </w:rPr>
        <w:t xml:space="preserve"> </w:t>
      </w:r>
      <w:r>
        <w:rPr>
          <w:rFonts w:ascii="Calibri Light"/>
          <w:sz w:val="20"/>
        </w:rPr>
        <w:t>Brief</w:t>
      </w:r>
      <w:r>
        <w:rPr>
          <w:rFonts w:ascii="Calibri Light"/>
          <w:spacing w:val="-2"/>
          <w:sz w:val="20"/>
        </w:rPr>
        <w:t xml:space="preserve"> </w:t>
      </w:r>
      <w:r>
        <w:rPr>
          <w:rFonts w:ascii="Calibri Light"/>
          <w:sz w:val="20"/>
        </w:rPr>
        <w:t>interventions</w:t>
      </w:r>
      <w:r>
        <w:rPr>
          <w:rFonts w:ascii="Calibri Light"/>
          <w:spacing w:val="-2"/>
          <w:sz w:val="20"/>
        </w:rPr>
        <w:t xml:space="preserve"> </w:t>
      </w:r>
      <w:r>
        <w:rPr>
          <w:rFonts w:ascii="Calibri Light"/>
          <w:sz w:val="20"/>
        </w:rPr>
        <w:t>for</w:t>
      </w:r>
      <w:r>
        <w:rPr>
          <w:rFonts w:ascii="Calibri Light"/>
          <w:spacing w:val="-1"/>
          <w:sz w:val="20"/>
        </w:rPr>
        <w:t xml:space="preserve"> </w:t>
      </w:r>
      <w:r>
        <w:rPr>
          <w:rFonts w:ascii="Calibri Light"/>
          <w:sz w:val="20"/>
        </w:rPr>
        <w:t>heavy</w:t>
      </w:r>
      <w:r>
        <w:rPr>
          <w:rFonts w:ascii="Calibri Light"/>
          <w:spacing w:val="-1"/>
          <w:sz w:val="20"/>
        </w:rPr>
        <w:t xml:space="preserve"> </w:t>
      </w:r>
      <w:r>
        <w:rPr>
          <w:rFonts w:ascii="Calibri Light"/>
          <w:sz w:val="20"/>
        </w:rPr>
        <w:t>alcohol</w:t>
      </w:r>
      <w:r>
        <w:rPr>
          <w:rFonts w:ascii="Calibri Light"/>
          <w:spacing w:val="-3"/>
          <w:sz w:val="20"/>
        </w:rPr>
        <w:t xml:space="preserve"> </w:t>
      </w:r>
      <w:r>
        <w:rPr>
          <w:rFonts w:ascii="Calibri Light"/>
          <w:sz w:val="20"/>
        </w:rPr>
        <w:t xml:space="preserve">users admitted to general hospital wards. </w:t>
      </w:r>
      <w:r>
        <w:rPr>
          <w:rFonts w:ascii="Calibri Light"/>
          <w:i/>
          <w:sz w:val="20"/>
        </w:rPr>
        <w:t xml:space="preserve">Cochrane Database of Systematic Reviews, </w:t>
      </w:r>
      <w:r>
        <w:rPr>
          <w:rFonts w:ascii="Calibri Light"/>
          <w:sz w:val="20"/>
        </w:rPr>
        <w:t>(8).</w:t>
      </w:r>
    </w:p>
    <w:p w14:paraId="134F5CA2" w14:textId="77777777" w:rsidR="00DB6E1F" w:rsidRDefault="00DB6E1F">
      <w:pPr>
        <w:spacing w:line="259" w:lineRule="auto"/>
        <w:jc w:val="both"/>
        <w:rPr>
          <w:rFonts w:ascii="Calibri Light"/>
          <w:sz w:val="20"/>
        </w:rPr>
        <w:sectPr w:rsidR="00DB6E1F">
          <w:pgSz w:w="12240" w:h="15840"/>
          <w:pgMar w:top="1080" w:right="0" w:bottom="780" w:left="0" w:header="619" w:footer="585" w:gutter="0"/>
          <w:cols w:space="720"/>
        </w:sectPr>
      </w:pPr>
    </w:p>
    <w:p w14:paraId="66A16B1F" w14:textId="77777777" w:rsidR="00DB6E1F" w:rsidRDefault="00DB6E1F">
      <w:pPr>
        <w:pStyle w:val="BodyText"/>
        <w:spacing w:before="4"/>
        <w:rPr>
          <w:rFonts w:ascii="Calibri Light"/>
          <w:sz w:val="24"/>
        </w:rPr>
      </w:pPr>
    </w:p>
    <w:p w14:paraId="59976DE9" w14:textId="77777777" w:rsidR="00DB6E1F" w:rsidRDefault="00F666A6">
      <w:pPr>
        <w:spacing w:before="60" w:line="259" w:lineRule="auto"/>
        <w:ind w:left="1620" w:right="1555" w:hanging="181"/>
        <w:rPr>
          <w:rFonts w:ascii="Calibri Light" w:hAnsi="Calibri Light"/>
          <w:sz w:val="20"/>
        </w:rPr>
      </w:pPr>
      <w:r>
        <w:rPr>
          <w:rFonts w:ascii="Calibri Light" w:hAnsi="Calibri Light"/>
          <w:sz w:val="20"/>
        </w:rPr>
        <w:t>McQueen,</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Howe,</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Ballinger, C.,</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Godwin,</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(2015).</w:t>
      </w:r>
      <w:r>
        <w:rPr>
          <w:rFonts w:ascii="Calibri Light" w:hAnsi="Calibri Light"/>
          <w:spacing w:val="-3"/>
          <w:sz w:val="20"/>
        </w:rPr>
        <w:t xml:space="preserve"> </w:t>
      </w:r>
      <w:r>
        <w:rPr>
          <w:rFonts w:ascii="Calibri Light" w:hAnsi="Calibri Light"/>
          <w:sz w:val="20"/>
        </w:rPr>
        <w:t>Effectiveness</w:t>
      </w:r>
      <w:r>
        <w:rPr>
          <w:rFonts w:ascii="Calibri Light" w:hAnsi="Calibri Light"/>
          <w:spacing w:val="-2"/>
          <w:sz w:val="20"/>
        </w:rPr>
        <w:t xml:space="preserve"> </w:t>
      </w:r>
      <w:r>
        <w:rPr>
          <w:rFonts w:ascii="Calibri Light" w:hAnsi="Calibri Light"/>
          <w:sz w:val="20"/>
        </w:rPr>
        <w:t>of</w:t>
      </w:r>
      <w:r>
        <w:rPr>
          <w:rFonts w:ascii="Calibri Light" w:hAnsi="Calibri Light"/>
          <w:spacing w:val="-1"/>
          <w:sz w:val="20"/>
        </w:rPr>
        <w:t xml:space="preserve"> </w:t>
      </w:r>
      <w:r>
        <w:rPr>
          <w:rFonts w:ascii="Calibri Light" w:hAnsi="Calibri Light"/>
          <w:sz w:val="20"/>
        </w:rPr>
        <w:t>alcohol</w:t>
      </w:r>
      <w:r>
        <w:rPr>
          <w:rFonts w:ascii="Calibri Light" w:hAnsi="Calibri Light"/>
          <w:spacing w:val="-3"/>
          <w:sz w:val="20"/>
        </w:rPr>
        <w:t xml:space="preserve"> </w:t>
      </w:r>
      <w:r>
        <w:rPr>
          <w:rFonts w:ascii="Calibri Light" w:hAnsi="Calibri Light"/>
          <w:sz w:val="20"/>
        </w:rPr>
        <w:t>brief</w:t>
      </w:r>
      <w:r>
        <w:rPr>
          <w:rFonts w:ascii="Calibri Light" w:hAnsi="Calibri Light"/>
          <w:spacing w:val="-2"/>
          <w:sz w:val="20"/>
        </w:rPr>
        <w:t xml:space="preserve"> </w:t>
      </w:r>
      <w:r>
        <w:rPr>
          <w:rFonts w:ascii="Calibri Light" w:hAnsi="Calibri Light"/>
          <w:sz w:val="20"/>
        </w:rPr>
        <w:t>intervention in</w:t>
      </w:r>
      <w:r>
        <w:rPr>
          <w:rFonts w:ascii="Calibri Light" w:hAnsi="Calibri Light"/>
          <w:spacing w:val="-2"/>
          <w:sz w:val="20"/>
        </w:rPr>
        <w:t xml:space="preserve"> </w:t>
      </w:r>
      <w:r>
        <w:rPr>
          <w:rFonts w:ascii="Calibri Light" w:hAnsi="Calibri Light"/>
          <w:sz w:val="20"/>
        </w:rPr>
        <w:t xml:space="preserve">a general hospital: A randomized controlled trial. </w:t>
      </w:r>
      <w:r>
        <w:rPr>
          <w:rFonts w:ascii="Calibri Light" w:hAnsi="Calibri Light"/>
          <w:i/>
          <w:sz w:val="20"/>
        </w:rPr>
        <w:t>Journal of Studies on Alcohol an</w:t>
      </w:r>
      <w:r>
        <w:rPr>
          <w:rFonts w:ascii="Calibri Light" w:hAnsi="Calibri Light"/>
          <w:i/>
          <w:sz w:val="20"/>
        </w:rPr>
        <w:t>d Drugs, 76</w:t>
      </w:r>
      <w:r>
        <w:rPr>
          <w:rFonts w:ascii="Calibri Light" w:hAnsi="Calibri Light"/>
          <w:sz w:val="20"/>
        </w:rPr>
        <w:t xml:space="preserve">(6), 838–844. </w:t>
      </w:r>
      <w:r>
        <w:rPr>
          <w:rFonts w:ascii="Calibri Light" w:hAnsi="Calibri Light"/>
          <w:spacing w:val="-2"/>
          <w:sz w:val="20"/>
        </w:rPr>
        <w:t>doi:10.15288/jsad.2015.76.838</w:t>
      </w:r>
    </w:p>
    <w:p w14:paraId="216061D5" w14:textId="77777777" w:rsidR="00DB6E1F" w:rsidRDefault="00F666A6">
      <w:pPr>
        <w:spacing w:line="259" w:lineRule="auto"/>
        <w:ind w:left="1619" w:right="1491" w:hanging="180"/>
        <w:rPr>
          <w:rFonts w:ascii="Calibri Light" w:hAnsi="Calibri Light"/>
          <w:sz w:val="20"/>
        </w:rPr>
      </w:pPr>
      <w:r>
        <w:rPr>
          <w:rFonts w:ascii="Calibri Light" w:hAnsi="Calibri Light"/>
          <w:sz w:val="20"/>
        </w:rPr>
        <w:t>Merchant, R. C., Romanoff, J., Zhang, Z., Liu, T., &amp; Baird, J. R. (2017). Impact of a brief intervention on reducing alcohol</w:t>
      </w:r>
      <w:r>
        <w:rPr>
          <w:rFonts w:ascii="Calibri Light" w:hAnsi="Calibri Light"/>
          <w:spacing w:val="-4"/>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increasing</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services</w:t>
      </w:r>
      <w:r>
        <w:rPr>
          <w:rFonts w:ascii="Calibri Light" w:hAnsi="Calibri Light"/>
          <w:spacing w:val="-3"/>
          <w:sz w:val="20"/>
        </w:rPr>
        <w:t xml:space="preserve"> </w:t>
      </w:r>
      <w:r>
        <w:rPr>
          <w:rFonts w:ascii="Calibri Light" w:hAnsi="Calibri Light"/>
          <w:sz w:val="20"/>
        </w:rPr>
        <w:t>utilization</w:t>
      </w:r>
      <w:r>
        <w:rPr>
          <w:rFonts w:ascii="Calibri Light" w:hAnsi="Calibri Light"/>
          <w:spacing w:val="-3"/>
          <w:sz w:val="20"/>
        </w:rPr>
        <w:t xml:space="preserve"> </w:t>
      </w:r>
      <w:r>
        <w:rPr>
          <w:rFonts w:ascii="Calibri Light" w:hAnsi="Calibri Light"/>
          <w:sz w:val="20"/>
        </w:rPr>
        <w:t>among</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drug-using</w:t>
      </w:r>
      <w:r>
        <w:rPr>
          <w:rFonts w:ascii="Calibri Light" w:hAnsi="Calibri Light"/>
          <w:spacing w:val="-3"/>
          <w:sz w:val="20"/>
        </w:rPr>
        <w:t xml:space="preserve"> </w:t>
      </w:r>
      <w:r>
        <w:rPr>
          <w:rFonts w:ascii="Calibri Light" w:hAnsi="Calibri Light"/>
          <w:sz w:val="20"/>
        </w:rPr>
        <w:t>adult</w:t>
      </w:r>
      <w:r>
        <w:rPr>
          <w:rFonts w:ascii="Calibri Light" w:hAnsi="Calibri Light"/>
          <w:spacing w:val="-4"/>
          <w:sz w:val="20"/>
        </w:rPr>
        <w:t xml:space="preserve"> </w:t>
      </w:r>
      <w:r>
        <w:rPr>
          <w:rFonts w:ascii="Calibri Light" w:hAnsi="Calibri Light"/>
          <w:sz w:val="20"/>
        </w:rPr>
        <w:t xml:space="preserve">emergency department patients. </w:t>
      </w:r>
      <w:r>
        <w:rPr>
          <w:rFonts w:ascii="Calibri Light" w:hAnsi="Calibri Light"/>
          <w:i/>
          <w:sz w:val="20"/>
        </w:rPr>
        <w:t>Alcohol, 65</w:t>
      </w:r>
      <w:r>
        <w:rPr>
          <w:rFonts w:ascii="Calibri Light" w:hAnsi="Calibri Light"/>
          <w:sz w:val="20"/>
        </w:rPr>
        <w:t>, 71–80. doi:10.1016/j.alcohol.2017.07.003</w:t>
      </w:r>
    </w:p>
    <w:p w14:paraId="0995E839" w14:textId="77777777" w:rsidR="00DB6E1F" w:rsidRDefault="00F666A6">
      <w:pPr>
        <w:spacing w:line="259" w:lineRule="auto"/>
        <w:ind w:left="1620" w:right="2037" w:hanging="181"/>
        <w:jc w:val="both"/>
        <w:rPr>
          <w:rFonts w:ascii="Calibri Light" w:hAnsi="Calibri Light"/>
          <w:sz w:val="20"/>
        </w:rPr>
      </w:pPr>
      <w:r>
        <w:rPr>
          <w:rFonts w:ascii="Calibri Light" w:hAnsi="Calibri Light"/>
          <w:sz w:val="20"/>
        </w:rPr>
        <w:t>Miller,</w:t>
      </w:r>
      <w:r>
        <w:rPr>
          <w:rFonts w:ascii="Calibri Light" w:hAnsi="Calibri Light"/>
          <w:spacing w:val="-1"/>
          <w:sz w:val="20"/>
        </w:rPr>
        <w:t xml:space="preserve"> </w:t>
      </w:r>
      <w:r>
        <w:rPr>
          <w:rFonts w:ascii="Calibri Light" w:hAnsi="Calibri Light"/>
          <w:sz w:val="20"/>
        </w:rPr>
        <w:t>M.</w:t>
      </w:r>
      <w:r>
        <w:rPr>
          <w:rFonts w:ascii="Calibri Light" w:hAnsi="Calibri Light"/>
          <w:spacing w:val="-1"/>
          <w:sz w:val="20"/>
        </w:rPr>
        <w:t xml:space="preserve"> </w:t>
      </w:r>
      <w:r>
        <w:rPr>
          <w:rFonts w:ascii="Calibri Light" w:hAnsi="Calibri Light"/>
          <w:sz w:val="20"/>
        </w:rPr>
        <w:t>B.,</w:t>
      </w:r>
      <w:r>
        <w:rPr>
          <w:rFonts w:ascii="Calibri Light" w:hAnsi="Calibri Light"/>
          <w:spacing w:val="-1"/>
          <w:sz w:val="20"/>
        </w:rPr>
        <w:t xml:space="preserve"> </w:t>
      </w:r>
      <w:r>
        <w:rPr>
          <w:rFonts w:ascii="Calibri Light" w:hAnsi="Calibri Light"/>
          <w:sz w:val="20"/>
        </w:rPr>
        <w:t>Leffingwell,</w:t>
      </w:r>
      <w:r>
        <w:rPr>
          <w:rFonts w:ascii="Calibri Light" w:hAnsi="Calibri Light"/>
          <w:spacing w:val="-1"/>
          <w:sz w:val="20"/>
        </w:rPr>
        <w:t xml:space="preserve"> </w:t>
      </w:r>
      <w:r>
        <w:rPr>
          <w:rFonts w:ascii="Calibri Light" w:hAnsi="Calibri Light"/>
          <w:sz w:val="20"/>
        </w:rPr>
        <w:t>T.,</w:t>
      </w:r>
      <w:r>
        <w:rPr>
          <w:rFonts w:ascii="Calibri Light" w:hAnsi="Calibri Light"/>
          <w:spacing w:val="-1"/>
          <w:sz w:val="20"/>
        </w:rPr>
        <w:t xml:space="preserve"> </w:t>
      </w:r>
      <w:r>
        <w:rPr>
          <w:rFonts w:ascii="Calibri Light" w:hAnsi="Calibri Light"/>
          <w:sz w:val="20"/>
        </w:rPr>
        <w:t>Claborn,</w:t>
      </w:r>
      <w:r>
        <w:rPr>
          <w:rFonts w:ascii="Calibri Light" w:hAnsi="Calibri Light"/>
          <w:spacing w:val="-1"/>
          <w:sz w:val="20"/>
        </w:rPr>
        <w:t xml:space="preserve"> </w:t>
      </w:r>
      <w:r>
        <w:rPr>
          <w:rFonts w:ascii="Calibri Light" w:hAnsi="Calibri Light"/>
          <w:sz w:val="20"/>
        </w:rPr>
        <w:t>K.,</w:t>
      </w:r>
      <w:r>
        <w:rPr>
          <w:rFonts w:ascii="Calibri Light" w:hAnsi="Calibri Light"/>
          <w:spacing w:val="-1"/>
          <w:sz w:val="20"/>
        </w:rPr>
        <w:t xml:space="preserve"> </w:t>
      </w:r>
      <w:r>
        <w:rPr>
          <w:rFonts w:ascii="Calibri Light" w:hAnsi="Calibri Light"/>
          <w:sz w:val="20"/>
        </w:rPr>
        <w:t>Meier,</w:t>
      </w:r>
      <w:r>
        <w:rPr>
          <w:rFonts w:ascii="Calibri Light" w:hAnsi="Calibri Light"/>
          <w:spacing w:val="-1"/>
          <w:sz w:val="20"/>
        </w:rPr>
        <w:t xml:space="preserve"> </w:t>
      </w:r>
      <w:r>
        <w:rPr>
          <w:rFonts w:ascii="Calibri Light" w:hAnsi="Calibri Light"/>
          <w:sz w:val="20"/>
        </w:rPr>
        <w:t>E.,</w:t>
      </w:r>
      <w:r>
        <w:rPr>
          <w:rFonts w:ascii="Calibri Light" w:hAnsi="Calibri Light"/>
          <w:spacing w:val="-1"/>
          <w:sz w:val="20"/>
        </w:rPr>
        <w:t xml:space="preserve"> </w:t>
      </w:r>
      <w:r>
        <w:rPr>
          <w:rFonts w:ascii="Calibri Light" w:hAnsi="Calibri Light"/>
          <w:sz w:val="20"/>
        </w:rPr>
        <w:t>Walters,</w:t>
      </w:r>
      <w:r>
        <w:rPr>
          <w:rFonts w:ascii="Calibri Light" w:hAnsi="Calibri Light"/>
          <w:spacing w:val="-1"/>
          <w:sz w:val="20"/>
        </w:rPr>
        <w:t xml:space="preserve"> </w:t>
      </w:r>
      <w:r>
        <w:rPr>
          <w:rFonts w:ascii="Calibri Light" w:hAnsi="Calibri Light"/>
          <w:sz w:val="20"/>
        </w:rPr>
        <w:t>S.,</w:t>
      </w:r>
      <w:r>
        <w:rPr>
          <w:rFonts w:ascii="Calibri Light" w:hAnsi="Calibri Light"/>
          <w:spacing w:val="-1"/>
          <w:sz w:val="20"/>
        </w:rPr>
        <w:t xml:space="preserve"> </w:t>
      </w:r>
      <w:r>
        <w:rPr>
          <w:rFonts w:ascii="Calibri Light" w:hAnsi="Calibri Light"/>
          <w:sz w:val="20"/>
        </w:rPr>
        <w:t>&amp; Neighbors,</w:t>
      </w:r>
      <w:r>
        <w:rPr>
          <w:rFonts w:ascii="Calibri Light" w:hAnsi="Calibri Light"/>
          <w:spacing w:val="-1"/>
          <w:sz w:val="20"/>
        </w:rPr>
        <w:t xml:space="preserve"> </w:t>
      </w:r>
      <w:r>
        <w:rPr>
          <w:rFonts w:ascii="Calibri Light" w:hAnsi="Calibri Light"/>
          <w:sz w:val="20"/>
        </w:rPr>
        <w:t>C.</w:t>
      </w:r>
      <w:r>
        <w:rPr>
          <w:rFonts w:ascii="Calibri Light" w:hAnsi="Calibri Light"/>
          <w:spacing w:val="-1"/>
          <w:sz w:val="20"/>
        </w:rPr>
        <w:t xml:space="preserve"> </w:t>
      </w:r>
      <w:r>
        <w:rPr>
          <w:rFonts w:ascii="Calibri Light" w:hAnsi="Calibri Light"/>
          <w:sz w:val="20"/>
        </w:rPr>
        <w:t>(2013). Personalized feedback interventions</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college</w:t>
      </w:r>
      <w:r>
        <w:rPr>
          <w:rFonts w:ascii="Calibri Light" w:hAnsi="Calibri Light"/>
          <w:spacing w:val="-4"/>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misuse:</w:t>
      </w:r>
      <w:r>
        <w:rPr>
          <w:rFonts w:ascii="Calibri Light" w:hAnsi="Calibri Light"/>
          <w:spacing w:val="-3"/>
          <w:sz w:val="20"/>
        </w:rPr>
        <w:t xml:space="preserve"> </w:t>
      </w:r>
      <w:r>
        <w:rPr>
          <w:rFonts w:ascii="Calibri Light" w:hAnsi="Calibri Light"/>
          <w:sz w:val="20"/>
        </w:rPr>
        <w:t>An</w:t>
      </w:r>
      <w:r>
        <w:rPr>
          <w:rFonts w:ascii="Calibri Light" w:hAnsi="Calibri Light"/>
          <w:spacing w:val="-4"/>
          <w:sz w:val="20"/>
        </w:rPr>
        <w:t xml:space="preserve"> </w:t>
      </w:r>
      <w:r>
        <w:rPr>
          <w:rFonts w:ascii="Calibri Light" w:hAnsi="Calibri Light"/>
          <w:sz w:val="20"/>
        </w:rPr>
        <w:t>update</w:t>
      </w:r>
      <w:r>
        <w:rPr>
          <w:rFonts w:ascii="Calibri Light" w:hAnsi="Calibri Light"/>
          <w:spacing w:val="-2"/>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Walters</w:t>
      </w:r>
      <w:r>
        <w:rPr>
          <w:rFonts w:ascii="Calibri Light" w:hAnsi="Calibri Light"/>
          <w:spacing w:val="-4"/>
          <w:sz w:val="20"/>
        </w:rPr>
        <w:t xml:space="preserve"> </w:t>
      </w:r>
      <w:r>
        <w:rPr>
          <w:rFonts w:ascii="Calibri Light" w:hAnsi="Calibri Light"/>
          <w:sz w:val="20"/>
        </w:rPr>
        <w:t>&amp;</w:t>
      </w:r>
      <w:r>
        <w:rPr>
          <w:rFonts w:ascii="Calibri Light" w:hAnsi="Calibri Light"/>
          <w:spacing w:val="-3"/>
          <w:sz w:val="20"/>
        </w:rPr>
        <w:t xml:space="preserve"> </w:t>
      </w:r>
      <w:r>
        <w:rPr>
          <w:rFonts w:ascii="Calibri Light" w:hAnsi="Calibri Light"/>
          <w:sz w:val="20"/>
        </w:rPr>
        <w:t>Neighbors</w:t>
      </w:r>
      <w:r>
        <w:rPr>
          <w:rFonts w:ascii="Calibri Light" w:hAnsi="Calibri Light"/>
          <w:spacing w:val="-4"/>
          <w:sz w:val="20"/>
        </w:rPr>
        <w:t xml:space="preserve"> </w:t>
      </w:r>
      <w:r>
        <w:rPr>
          <w:rFonts w:ascii="Calibri Light" w:hAnsi="Calibri Light"/>
          <w:sz w:val="20"/>
        </w:rPr>
        <w:t>(2005).</w:t>
      </w:r>
      <w:r>
        <w:rPr>
          <w:rFonts w:ascii="Calibri Light" w:hAnsi="Calibri Light"/>
          <w:spacing w:val="-4"/>
          <w:sz w:val="20"/>
        </w:rPr>
        <w:t xml:space="preserve"> </w:t>
      </w:r>
      <w:r>
        <w:rPr>
          <w:rFonts w:ascii="Calibri Light" w:hAnsi="Calibri Light"/>
          <w:i/>
          <w:sz w:val="20"/>
        </w:rPr>
        <w:t>Psychology</w:t>
      </w:r>
      <w:r>
        <w:rPr>
          <w:rFonts w:ascii="Calibri Light" w:hAnsi="Calibri Light"/>
          <w:i/>
          <w:spacing w:val="-4"/>
          <w:sz w:val="20"/>
        </w:rPr>
        <w:t xml:space="preserve"> </w:t>
      </w:r>
      <w:r>
        <w:rPr>
          <w:rFonts w:ascii="Calibri Light" w:hAnsi="Calibri Light"/>
          <w:i/>
          <w:sz w:val="20"/>
        </w:rPr>
        <w:t>of</w:t>
      </w:r>
      <w:r>
        <w:rPr>
          <w:rFonts w:ascii="Calibri Light" w:hAnsi="Calibri Light"/>
          <w:i/>
          <w:spacing w:val="-4"/>
          <w:sz w:val="20"/>
        </w:rPr>
        <w:t xml:space="preserve"> </w:t>
      </w:r>
      <w:r>
        <w:rPr>
          <w:rFonts w:ascii="Calibri Light" w:hAnsi="Calibri Light"/>
          <w:i/>
          <w:sz w:val="20"/>
        </w:rPr>
        <w:t>Addictive Behaviors</w:t>
      </w:r>
      <w:r>
        <w:rPr>
          <w:rFonts w:ascii="Calibri Light" w:hAnsi="Calibri Light"/>
          <w:sz w:val="20"/>
        </w:rPr>
        <w:t xml:space="preserve">, </w:t>
      </w:r>
      <w:r>
        <w:rPr>
          <w:rFonts w:ascii="Calibri Light" w:hAnsi="Calibri Light"/>
          <w:i/>
          <w:sz w:val="20"/>
        </w:rPr>
        <w:t>27</w:t>
      </w:r>
      <w:r>
        <w:rPr>
          <w:rFonts w:ascii="Calibri Light" w:hAnsi="Calibri Light"/>
          <w:sz w:val="20"/>
        </w:rPr>
        <w:t>(4), 909–920.</w:t>
      </w:r>
    </w:p>
    <w:p w14:paraId="56FA7CE4" w14:textId="77777777" w:rsidR="00DB6E1F" w:rsidRDefault="00F666A6">
      <w:pPr>
        <w:spacing w:line="259" w:lineRule="auto"/>
        <w:ind w:left="1620" w:right="1948" w:hanging="181"/>
        <w:jc w:val="both"/>
        <w:rPr>
          <w:rFonts w:ascii="Calibri Light" w:hAnsi="Calibri Light"/>
          <w:sz w:val="20"/>
        </w:rPr>
      </w:pPr>
      <w:r>
        <w:rPr>
          <w:rFonts w:ascii="Calibri Light" w:hAnsi="Calibri Light"/>
          <w:sz w:val="20"/>
        </w:rPr>
        <w:t>Miller, W. R., Benefield, R. G., &amp; Tonigan, J. S. (1993). Enhancing motivation for change in problem drinking: A controlled</w:t>
      </w:r>
      <w:r>
        <w:rPr>
          <w:rFonts w:ascii="Calibri Light" w:hAnsi="Calibri Light"/>
          <w:spacing w:val="-4"/>
          <w:sz w:val="20"/>
        </w:rPr>
        <w:t xml:space="preserve"> </w:t>
      </w:r>
      <w:r>
        <w:rPr>
          <w:rFonts w:ascii="Calibri Light" w:hAnsi="Calibri Light"/>
          <w:sz w:val="20"/>
        </w:rPr>
        <w:t>comparison</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two</w:t>
      </w:r>
      <w:r>
        <w:rPr>
          <w:rFonts w:ascii="Calibri Light" w:hAnsi="Calibri Light"/>
          <w:spacing w:val="-1"/>
          <w:sz w:val="20"/>
        </w:rPr>
        <w:t xml:space="preserve"> </w:t>
      </w:r>
      <w:r>
        <w:rPr>
          <w:rFonts w:ascii="Calibri Light" w:hAnsi="Calibri Light"/>
          <w:sz w:val="20"/>
        </w:rPr>
        <w:t>therapist</w:t>
      </w:r>
      <w:r>
        <w:rPr>
          <w:rFonts w:ascii="Calibri Light" w:hAnsi="Calibri Light"/>
          <w:spacing w:val="-4"/>
          <w:sz w:val="20"/>
        </w:rPr>
        <w:t xml:space="preserve"> </w:t>
      </w:r>
      <w:r>
        <w:rPr>
          <w:rFonts w:ascii="Calibri Light" w:hAnsi="Calibri Light"/>
          <w:sz w:val="20"/>
        </w:rPr>
        <w:t>styles.</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Consulting</w:t>
      </w:r>
      <w:r>
        <w:rPr>
          <w:rFonts w:ascii="Calibri Light" w:hAnsi="Calibri Light"/>
          <w:i/>
          <w:spacing w:val="-3"/>
          <w:sz w:val="20"/>
        </w:rPr>
        <w:t xml:space="preserve"> </w:t>
      </w:r>
      <w:r>
        <w:rPr>
          <w:rFonts w:ascii="Calibri Light" w:hAnsi="Calibri Light"/>
          <w:i/>
          <w:sz w:val="20"/>
        </w:rPr>
        <w:t>and</w:t>
      </w:r>
      <w:r>
        <w:rPr>
          <w:rFonts w:ascii="Calibri Light" w:hAnsi="Calibri Light"/>
          <w:i/>
          <w:spacing w:val="-3"/>
          <w:sz w:val="20"/>
        </w:rPr>
        <w:t xml:space="preserve"> </w:t>
      </w:r>
      <w:r>
        <w:rPr>
          <w:rFonts w:ascii="Calibri Light" w:hAnsi="Calibri Light"/>
          <w:i/>
          <w:sz w:val="20"/>
        </w:rPr>
        <w:t>Clinical</w:t>
      </w:r>
      <w:r>
        <w:rPr>
          <w:rFonts w:ascii="Calibri Light" w:hAnsi="Calibri Light"/>
          <w:i/>
          <w:spacing w:val="-4"/>
          <w:sz w:val="20"/>
        </w:rPr>
        <w:t xml:space="preserve"> </w:t>
      </w:r>
      <w:r>
        <w:rPr>
          <w:rFonts w:ascii="Calibri Light" w:hAnsi="Calibri Light"/>
          <w:i/>
          <w:sz w:val="20"/>
        </w:rPr>
        <w:t>Psychology,</w:t>
      </w:r>
      <w:r>
        <w:rPr>
          <w:rFonts w:ascii="Calibri Light" w:hAnsi="Calibri Light"/>
          <w:i/>
          <w:spacing w:val="-4"/>
          <w:sz w:val="20"/>
        </w:rPr>
        <w:t xml:space="preserve"> </w:t>
      </w:r>
      <w:r>
        <w:rPr>
          <w:rFonts w:ascii="Calibri Light" w:hAnsi="Calibri Light"/>
          <w:i/>
          <w:sz w:val="20"/>
        </w:rPr>
        <w:t>61</w:t>
      </w:r>
      <w:r>
        <w:rPr>
          <w:rFonts w:ascii="Calibri Light" w:hAnsi="Calibri Light"/>
          <w:sz w:val="20"/>
        </w:rPr>
        <w:t>(3),</w:t>
      </w:r>
      <w:r>
        <w:rPr>
          <w:rFonts w:ascii="Calibri Light" w:hAnsi="Calibri Light"/>
          <w:spacing w:val="-4"/>
          <w:sz w:val="20"/>
        </w:rPr>
        <w:t xml:space="preserve"> </w:t>
      </w:r>
      <w:r>
        <w:rPr>
          <w:rFonts w:ascii="Calibri Light" w:hAnsi="Calibri Light"/>
          <w:sz w:val="20"/>
        </w:rPr>
        <w:t>455–461.</w:t>
      </w:r>
    </w:p>
    <w:p w14:paraId="62961AC8" w14:textId="77777777" w:rsidR="00DB6E1F" w:rsidRDefault="00F666A6">
      <w:pPr>
        <w:spacing w:line="256" w:lineRule="auto"/>
        <w:ind w:left="1620" w:right="1491" w:hanging="180"/>
        <w:rPr>
          <w:rFonts w:ascii="Calibri Light"/>
          <w:sz w:val="20"/>
        </w:rPr>
      </w:pPr>
      <w:r>
        <w:rPr>
          <w:rFonts w:ascii="Calibri Light"/>
          <w:sz w:val="20"/>
        </w:rPr>
        <w:t>Miller,</w:t>
      </w:r>
      <w:r>
        <w:rPr>
          <w:rFonts w:ascii="Calibri Light"/>
          <w:spacing w:val="-4"/>
          <w:sz w:val="20"/>
        </w:rPr>
        <w:t xml:space="preserve"> </w:t>
      </w:r>
      <w:r>
        <w:rPr>
          <w:rFonts w:ascii="Calibri Light"/>
          <w:sz w:val="20"/>
        </w:rPr>
        <w:t>W.</w:t>
      </w:r>
      <w:r>
        <w:rPr>
          <w:rFonts w:ascii="Calibri Light"/>
          <w:spacing w:val="-4"/>
          <w:sz w:val="20"/>
        </w:rPr>
        <w:t xml:space="preserve"> </w:t>
      </w:r>
      <w:r>
        <w:rPr>
          <w:rFonts w:ascii="Calibri Light"/>
          <w:sz w:val="20"/>
        </w:rPr>
        <w:t>R.,</w:t>
      </w:r>
      <w:r>
        <w:rPr>
          <w:rFonts w:ascii="Calibri Light"/>
          <w:spacing w:val="-4"/>
          <w:sz w:val="20"/>
        </w:rPr>
        <w:t xml:space="preserve"> </w:t>
      </w:r>
      <w:r>
        <w:rPr>
          <w:rFonts w:ascii="Calibri Light"/>
          <w:sz w:val="20"/>
        </w:rPr>
        <w:t>&amp; Brown,</w:t>
      </w:r>
      <w:r>
        <w:rPr>
          <w:rFonts w:ascii="Calibri Light"/>
          <w:spacing w:val="-4"/>
          <w:sz w:val="20"/>
        </w:rPr>
        <w:t xml:space="preserve"> </w:t>
      </w:r>
      <w:r>
        <w:rPr>
          <w:rFonts w:ascii="Calibri Light"/>
          <w:sz w:val="20"/>
        </w:rPr>
        <w:t>J.</w:t>
      </w:r>
      <w:r>
        <w:rPr>
          <w:rFonts w:ascii="Calibri Light"/>
          <w:spacing w:val="-4"/>
          <w:sz w:val="20"/>
        </w:rPr>
        <w:t xml:space="preserve"> </w:t>
      </w:r>
      <w:r>
        <w:rPr>
          <w:rFonts w:ascii="Calibri Light"/>
          <w:sz w:val="20"/>
        </w:rPr>
        <w:t>M.</w:t>
      </w:r>
      <w:r>
        <w:rPr>
          <w:rFonts w:ascii="Calibri Light"/>
          <w:spacing w:val="-4"/>
          <w:sz w:val="20"/>
        </w:rPr>
        <w:t xml:space="preserve"> </w:t>
      </w:r>
      <w:r>
        <w:rPr>
          <w:rFonts w:ascii="Calibri Light"/>
          <w:sz w:val="20"/>
        </w:rPr>
        <w:t>(19</w:t>
      </w:r>
      <w:r>
        <w:rPr>
          <w:rFonts w:ascii="Calibri Light"/>
          <w:sz w:val="20"/>
        </w:rPr>
        <w:t>94).</w:t>
      </w:r>
      <w:r>
        <w:rPr>
          <w:rFonts w:ascii="Calibri Light"/>
          <w:spacing w:val="-1"/>
          <w:sz w:val="20"/>
        </w:rPr>
        <w:t xml:space="preserve"> </w:t>
      </w:r>
      <w:r>
        <w:rPr>
          <w:rFonts w:ascii="Calibri Light"/>
          <w:i/>
          <w:sz w:val="20"/>
        </w:rPr>
        <w:t>What</w:t>
      </w:r>
      <w:r>
        <w:rPr>
          <w:rFonts w:ascii="Calibri Light"/>
          <w:i/>
          <w:spacing w:val="-1"/>
          <w:sz w:val="20"/>
        </w:rPr>
        <w:t xml:space="preserve"> </w:t>
      </w:r>
      <w:r>
        <w:rPr>
          <w:rFonts w:ascii="Calibri Light"/>
          <w:i/>
          <w:sz w:val="20"/>
        </w:rPr>
        <w:t>I</w:t>
      </w:r>
      <w:r>
        <w:rPr>
          <w:rFonts w:ascii="Calibri Light"/>
          <w:i/>
          <w:spacing w:val="-4"/>
          <w:sz w:val="20"/>
        </w:rPr>
        <w:t xml:space="preserve"> </w:t>
      </w:r>
      <w:r>
        <w:rPr>
          <w:rFonts w:ascii="Calibri Light"/>
          <w:i/>
          <w:sz w:val="20"/>
        </w:rPr>
        <w:t>want</w:t>
      </w:r>
      <w:r>
        <w:rPr>
          <w:rFonts w:ascii="Calibri Light"/>
          <w:i/>
          <w:spacing w:val="-4"/>
          <w:sz w:val="20"/>
        </w:rPr>
        <w:t xml:space="preserve"> </w:t>
      </w:r>
      <w:r>
        <w:rPr>
          <w:rFonts w:ascii="Calibri Light"/>
          <w:i/>
          <w:sz w:val="20"/>
        </w:rPr>
        <w:t>from</w:t>
      </w:r>
      <w:r>
        <w:rPr>
          <w:rFonts w:ascii="Calibri Light"/>
          <w:i/>
          <w:spacing w:val="-3"/>
          <w:sz w:val="20"/>
        </w:rPr>
        <w:t xml:space="preserve"> </w:t>
      </w:r>
      <w:r>
        <w:rPr>
          <w:rFonts w:ascii="Calibri Light"/>
          <w:i/>
          <w:sz w:val="20"/>
        </w:rPr>
        <w:t>treatment</w:t>
      </w:r>
      <w:r>
        <w:rPr>
          <w:rFonts w:ascii="Calibri Light"/>
          <w:i/>
          <w:spacing w:val="-4"/>
          <w:sz w:val="20"/>
        </w:rPr>
        <w:t xml:space="preserve"> </w:t>
      </w:r>
      <w:r>
        <w:rPr>
          <w:rFonts w:ascii="Calibri Light"/>
          <w:sz w:val="20"/>
        </w:rPr>
        <w:t>(2.0).</w:t>
      </w:r>
      <w:r>
        <w:rPr>
          <w:rFonts w:ascii="Calibri Light"/>
          <w:spacing w:val="-4"/>
          <w:sz w:val="20"/>
        </w:rPr>
        <w:t xml:space="preserve"> </w:t>
      </w:r>
      <w:r>
        <w:rPr>
          <w:rFonts w:ascii="Calibri Light"/>
          <w:color w:val="0563C1"/>
          <w:sz w:val="20"/>
          <w:u w:val="single" w:color="0563C1"/>
        </w:rPr>
        <w:t>Retrieved</w:t>
      </w:r>
      <w:r>
        <w:rPr>
          <w:rFonts w:ascii="Calibri Light"/>
          <w:color w:val="0563C1"/>
          <w:spacing w:val="-3"/>
          <w:sz w:val="20"/>
          <w:u w:val="single" w:color="0563C1"/>
        </w:rPr>
        <w:t xml:space="preserve"> </w:t>
      </w:r>
      <w:r>
        <w:rPr>
          <w:rFonts w:ascii="Calibri Light"/>
          <w:color w:val="0563C1"/>
          <w:sz w:val="20"/>
          <w:u w:val="single" w:color="0563C1"/>
        </w:rPr>
        <w:t>from</w:t>
      </w:r>
      <w:r>
        <w:rPr>
          <w:rFonts w:ascii="Calibri Light"/>
          <w:color w:val="0563C1"/>
          <w:sz w:val="20"/>
        </w:rPr>
        <w:t xml:space="preserve"> </w:t>
      </w:r>
      <w:hyperlink r:id="rId132">
        <w:r>
          <w:rPr>
            <w:rFonts w:ascii="Calibri Light"/>
            <w:color w:val="0563C1"/>
            <w:spacing w:val="-2"/>
            <w:sz w:val="20"/>
            <w:u w:val="single" w:color="0563C1"/>
          </w:rPr>
          <w:t>https://casaa.unm.edu/inst/What%20I%20Want%20From%20Treatment.pdf</w:t>
        </w:r>
      </w:hyperlink>
    </w:p>
    <w:p w14:paraId="338E5056" w14:textId="77777777" w:rsidR="00DB6E1F" w:rsidRDefault="00F666A6">
      <w:pPr>
        <w:spacing w:before="1" w:line="259" w:lineRule="auto"/>
        <w:ind w:left="1620" w:right="1491" w:hanging="181"/>
        <w:rPr>
          <w:rFonts w:ascii="Calibri Light"/>
          <w:sz w:val="20"/>
        </w:rPr>
      </w:pPr>
      <w:r>
        <w:rPr>
          <w:rFonts w:ascii="Calibri Light"/>
          <w:sz w:val="20"/>
        </w:rPr>
        <w:t>Miller,</w:t>
      </w:r>
      <w:r>
        <w:rPr>
          <w:rFonts w:ascii="Calibri Light"/>
          <w:spacing w:val="-3"/>
          <w:sz w:val="20"/>
        </w:rPr>
        <w:t xml:space="preserve"> </w:t>
      </w:r>
      <w:r>
        <w:rPr>
          <w:rFonts w:ascii="Calibri Light"/>
          <w:sz w:val="20"/>
        </w:rPr>
        <w:t>W.</w:t>
      </w:r>
      <w:r>
        <w:rPr>
          <w:rFonts w:ascii="Calibri Light"/>
          <w:spacing w:val="-3"/>
          <w:sz w:val="20"/>
        </w:rPr>
        <w:t xml:space="preserve"> </w:t>
      </w:r>
      <w:r>
        <w:rPr>
          <w:rFonts w:ascii="Calibri Light"/>
          <w:sz w:val="20"/>
        </w:rPr>
        <w:t>R., Forcehimes,</w:t>
      </w:r>
      <w:r>
        <w:rPr>
          <w:rFonts w:ascii="Calibri Light"/>
          <w:spacing w:val="-3"/>
          <w:sz w:val="20"/>
        </w:rPr>
        <w:t xml:space="preserve"> </w:t>
      </w:r>
      <w:r>
        <w:rPr>
          <w:rFonts w:ascii="Calibri Light"/>
          <w:sz w:val="20"/>
        </w:rPr>
        <w:t>A.</w:t>
      </w:r>
      <w:r>
        <w:rPr>
          <w:rFonts w:ascii="Calibri Light"/>
          <w:spacing w:val="-3"/>
          <w:sz w:val="20"/>
        </w:rPr>
        <w:t xml:space="preserve"> </w:t>
      </w:r>
      <w:r>
        <w:rPr>
          <w:rFonts w:ascii="Calibri Light"/>
          <w:sz w:val="20"/>
        </w:rPr>
        <w:t>A.,</w:t>
      </w:r>
      <w:r>
        <w:rPr>
          <w:rFonts w:ascii="Calibri Light"/>
          <w:spacing w:val="-3"/>
          <w:sz w:val="20"/>
        </w:rPr>
        <w:t xml:space="preserve"> </w:t>
      </w:r>
      <w:r>
        <w:rPr>
          <w:rFonts w:ascii="Calibri Light"/>
          <w:sz w:val="20"/>
        </w:rPr>
        <w:t>&amp;</w:t>
      </w:r>
      <w:r>
        <w:rPr>
          <w:rFonts w:ascii="Calibri Light"/>
          <w:spacing w:val="-1"/>
          <w:sz w:val="20"/>
        </w:rPr>
        <w:t xml:space="preserve"> </w:t>
      </w:r>
      <w:r>
        <w:rPr>
          <w:rFonts w:ascii="Calibri Light"/>
          <w:sz w:val="20"/>
        </w:rPr>
        <w:t>Zweben,</w:t>
      </w:r>
      <w:r>
        <w:rPr>
          <w:rFonts w:ascii="Calibri Light"/>
          <w:spacing w:val="-3"/>
          <w:sz w:val="20"/>
        </w:rPr>
        <w:t xml:space="preserve"> </w:t>
      </w:r>
      <w:r>
        <w:rPr>
          <w:rFonts w:ascii="Calibri Light"/>
          <w:sz w:val="20"/>
        </w:rPr>
        <w:t>A.</w:t>
      </w:r>
      <w:r>
        <w:rPr>
          <w:rFonts w:ascii="Calibri Light"/>
          <w:spacing w:val="-3"/>
          <w:sz w:val="20"/>
        </w:rPr>
        <w:t xml:space="preserve"> </w:t>
      </w:r>
      <w:r>
        <w:rPr>
          <w:rFonts w:ascii="Calibri Light"/>
          <w:sz w:val="20"/>
        </w:rPr>
        <w:t>(2011).</w:t>
      </w:r>
      <w:r>
        <w:rPr>
          <w:rFonts w:ascii="Calibri Light"/>
          <w:spacing w:val="-3"/>
          <w:sz w:val="20"/>
        </w:rPr>
        <w:t xml:space="preserve"> </w:t>
      </w:r>
      <w:r>
        <w:rPr>
          <w:rFonts w:ascii="Calibri Light"/>
          <w:i/>
          <w:sz w:val="20"/>
        </w:rPr>
        <w:t>Treating</w:t>
      </w:r>
      <w:r>
        <w:rPr>
          <w:rFonts w:ascii="Calibri Light"/>
          <w:i/>
          <w:spacing w:val="-2"/>
          <w:sz w:val="20"/>
        </w:rPr>
        <w:t xml:space="preserve"> </w:t>
      </w:r>
      <w:r>
        <w:rPr>
          <w:rFonts w:ascii="Calibri Light"/>
          <w:i/>
          <w:sz w:val="20"/>
        </w:rPr>
        <w:t>addiction:</w:t>
      </w:r>
      <w:r>
        <w:rPr>
          <w:rFonts w:ascii="Calibri Light"/>
          <w:i/>
          <w:spacing w:val="-2"/>
          <w:sz w:val="20"/>
        </w:rPr>
        <w:t xml:space="preserve"> </w:t>
      </w:r>
      <w:r>
        <w:rPr>
          <w:rFonts w:ascii="Calibri Light"/>
          <w:i/>
          <w:sz w:val="20"/>
        </w:rPr>
        <w:t>A</w:t>
      </w:r>
      <w:r>
        <w:rPr>
          <w:rFonts w:ascii="Calibri Light"/>
          <w:i/>
          <w:spacing w:val="-2"/>
          <w:sz w:val="20"/>
        </w:rPr>
        <w:t xml:space="preserve"> </w:t>
      </w:r>
      <w:r>
        <w:rPr>
          <w:rFonts w:ascii="Calibri Light"/>
          <w:i/>
          <w:sz w:val="20"/>
        </w:rPr>
        <w:t>guide</w:t>
      </w:r>
      <w:r>
        <w:rPr>
          <w:rFonts w:ascii="Calibri Light"/>
          <w:i/>
          <w:spacing w:val="-2"/>
          <w:sz w:val="20"/>
        </w:rPr>
        <w:t xml:space="preserve"> </w:t>
      </w:r>
      <w:r>
        <w:rPr>
          <w:rFonts w:ascii="Calibri Light"/>
          <w:i/>
          <w:sz w:val="20"/>
        </w:rPr>
        <w:t>for</w:t>
      </w:r>
      <w:r>
        <w:rPr>
          <w:rFonts w:ascii="Calibri Light"/>
          <w:i/>
          <w:spacing w:val="-2"/>
          <w:sz w:val="20"/>
        </w:rPr>
        <w:t xml:space="preserve"> </w:t>
      </w:r>
      <w:r>
        <w:rPr>
          <w:rFonts w:ascii="Calibri Light"/>
          <w:i/>
          <w:sz w:val="20"/>
        </w:rPr>
        <w:t>professionals</w:t>
      </w:r>
      <w:r>
        <w:rPr>
          <w:rFonts w:ascii="Calibri Light"/>
          <w:sz w:val="20"/>
        </w:rPr>
        <w:t>.</w:t>
      </w:r>
      <w:r>
        <w:rPr>
          <w:rFonts w:ascii="Calibri Light"/>
          <w:spacing w:val="-3"/>
          <w:sz w:val="20"/>
        </w:rPr>
        <w:t xml:space="preserve"> </w:t>
      </w:r>
      <w:r>
        <w:rPr>
          <w:rFonts w:ascii="Calibri Light"/>
          <w:sz w:val="20"/>
        </w:rPr>
        <w:t>New</w:t>
      </w:r>
      <w:r>
        <w:rPr>
          <w:rFonts w:ascii="Calibri Light"/>
          <w:spacing w:val="-2"/>
          <w:sz w:val="20"/>
        </w:rPr>
        <w:t xml:space="preserve"> </w:t>
      </w:r>
      <w:r>
        <w:rPr>
          <w:rFonts w:ascii="Calibri Light"/>
          <w:sz w:val="20"/>
        </w:rPr>
        <w:t>York,</w:t>
      </w:r>
      <w:r>
        <w:rPr>
          <w:rFonts w:ascii="Calibri Light"/>
          <w:spacing w:val="-3"/>
          <w:sz w:val="20"/>
        </w:rPr>
        <w:t xml:space="preserve"> </w:t>
      </w:r>
      <w:r>
        <w:rPr>
          <w:rFonts w:ascii="Calibri Light"/>
          <w:sz w:val="20"/>
        </w:rPr>
        <w:t>NY: Guilford Press.</w:t>
      </w:r>
    </w:p>
    <w:p w14:paraId="75ACB95F" w14:textId="77777777" w:rsidR="00DB6E1F" w:rsidRDefault="00F666A6">
      <w:pPr>
        <w:spacing w:before="1" w:line="256" w:lineRule="auto"/>
        <w:ind w:left="1620" w:right="1491" w:hanging="180"/>
        <w:rPr>
          <w:rFonts w:ascii="Calibri Light" w:hAnsi="Calibri Light"/>
          <w:sz w:val="20"/>
        </w:rPr>
      </w:pPr>
      <w:r>
        <w:rPr>
          <w:rFonts w:ascii="Calibri Light" w:hAnsi="Calibri Light"/>
          <w:sz w:val="20"/>
        </w:rPr>
        <w:t>Miller,</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Moyers,</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3"/>
          <w:sz w:val="20"/>
        </w:rPr>
        <w:t xml:space="preserve"> </w:t>
      </w:r>
      <w:r>
        <w:rPr>
          <w:rFonts w:ascii="Calibri Light" w:hAnsi="Calibri Light"/>
          <w:sz w:val="20"/>
        </w:rPr>
        <w:t>interviewing</w:t>
      </w:r>
      <w:r>
        <w:rPr>
          <w:rFonts w:ascii="Calibri Light" w:hAnsi="Calibri Light"/>
          <w:spacing w:val="-2"/>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clinical</w:t>
      </w:r>
      <w:r>
        <w:rPr>
          <w:rFonts w:ascii="Calibri Light" w:hAnsi="Calibri Light"/>
          <w:spacing w:val="-3"/>
          <w:sz w:val="20"/>
        </w:rPr>
        <w:t xml:space="preserve"> </w:t>
      </w:r>
      <w:r>
        <w:rPr>
          <w:rFonts w:ascii="Calibri Light" w:hAnsi="Calibri Light"/>
          <w:sz w:val="20"/>
        </w:rPr>
        <w:t>science</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Carl</w:t>
      </w:r>
      <w:r>
        <w:rPr>
          <w:rFonts w:ascii="Calibri Light" w:hAnsi="Calibri Light"/>
          <w:spacing w:val="-3"/>
          <w:sz w:val="20"/>
        </w:rPr>
        <w:t xml:space="preserve"> </w:t>
      </w:r>
      <w:r>
        <w:rPr>
          <w:rFonts w:ascii="Calibri Light" w:hAnsi="Calibri Light"/>
          <w:sz w:val="20"/>
        </w:rPr>
        <w:t>Rogers.</w:t>
      </w:r>
      <w:r>
        <w:rPr>
          <w:rFonts w:ascii="Calibri Light" w:hAnsi="Calibri Light"/>
          <w:spacing w:val="-3"/>
          <w:sz w:val="20"/>
        </w:rPr>
        <w:t xml:space="preserve"> </w:t>
      </w:r>
      <w:r>
        <w:rPr>
          <w:rFonts w:ascii="Calibri Light" w:hAnsi="Calibri Light"/>
          <w:i/>
          <w:sz w:val="20"/>
        </w:rPr>
        <w:t>Journal</w:t>
      </w:r>
      <w:r>
        <w:rPr>
          <w:rFonts w:ascii="Calibri Light" w:hAnsi="Calibri Light"/>
          <w:i/>
          <w:spacing w:val="-3"/>
          <w:sz w:val="20"/>
        </w:rPr>
        <w:t xml:space="preserve"> </w:t>
      </w:r>
      <w:r>
        <w:rPr>
          <w:rFonts w:ascii="Calibri Light" w:hAnsi="Calibri Light"/>
          <w:i/>
          <w:sz w:val="20"/>
        </w:rPr>
        <w:t>of Consulting and Clinical Psychology, 85</w:t>
      </w:r>
      <w:r>
        <w:rPr>
          <w:rFonts w:ascii="Calibri Light" w:hAnsi="Calibri Light"/>
          <w:sz w:val="20"/>
        </w:rPr>
        <w:t>(8), 757–766. doi:10.1037/ccp0000179</w:t>
      </w:r>
    </w:p>
    <w:p w14:paraId="7E50724F" w14:textId="77777777" w:rsidR="00DB6E1F" w:rsidRDefault="00F666A6">
      <w:pPr>
        <w:spacing w:before="3"/>
        <w:ind w:left="1440"/>
        <w:rPr>
          <w:rFonts w:ascii="Calibri Light"/>
          <w:sz w:val="20"/>
        </w:rPr>
      </w:pPr>
      <w:r>
        <w:rPr>
          <w:rFonts w:ascii="Calibri Light"/>
          <w:sz w:val="20"/>
        </w:rPr>
        <w:t>Miller,</w:t>
      </w:r>
      <w:r>
        <w:rPr>
          <w:rFonts w:ascii="Calibri Light"/>
          <w:spacing w:val="-6"/>
          <w:sz w:val="20"/>
        </w:rPr>
        <w:t xml:space="preserve"> </w:t>
      </w:r>
      <w:r>
        <w:rPr>
          <w:rFonts w:ascii="Calibri Light"/>
          <w:sz w:val="20"/>
        </w:rPr>
        <w:t>W.</w:t>
      </w:r>
      <w:r>
        <w:rPr>
          <w:rFonts w:ascii="Calibri Light"/>
          <w:spacing w:val="-6"/>
          <w:sz w:val="20"/>
        </w:rPr>
        <w:t xml:space="preserve"> </w:t>
      </w:r>
      <w:r>
        <w:rPr>
          <w:rFonts w:ascii="Calibri Light"/>
          <w:sz w:val="20"/>
        </w:rPr>
        <w:t>R.,</w:t>
      </w:r>
      <w:r>
        <w:rPr>
          <w:rFonts w:ascii="Calibri Light"/>
          <w:spacing w:val="-5"/>
          <w:sz w:val="20"/>
        </w:rPr>
        <w:t xml:space="preserve"> </w:t>
      </w:r>
      <w:r>
        <w:rPr>
          <w:rFonts w:ascii="Calibri Light"/>
          <w:sz w:val="20"/>
        </w:rPr>
        <w:t>&amp;</w:t>
      </w:r>
      <w:r>
        <w:rPr>
          <w:rFonts w:ascii="Calibri Light"/>
          <w:spacing w:val="-4"/>
          <w:sz w:val="20"/>
        </w:rPr>
        <w:t xml:space="preserve"> </w:t>
      </w:r>
      <w:r>
        <w:rPr>
          <w:rFonts w:ascii="Calibri Light"/>
          <w:sz w:val="20"/>
        </w:rPr>
        <w:t>Moyers,</w:t>
      </w:r>
      <w:r>
        <w:rPr>
          <w:rFonts w:ascii="Calibri Light"/>
          <w:spacing w:val="-6"/>
          <w:sz w:val="20"/>
        </w:rPr>
        <w:t xml:space="preserve"> </w:t>
      </w:r>
      <w:r>
        <w:rPr>
          <w:rFonts w:ascii="Calibri Light"/>
          <w:sz w:val="20"/>
        </w:rPr>
        <w:t>T.</w:t>
      </w:r>
      <w:r>
        <w:rPr>
          <w:rFonts w:ascii="Calibri Light"/>
          <w:spacing w:val="-5"/>
          <w:sz w:val="20"/>
        </w:rPr>
        <w:t xml:space="preserve"> </w:t>
      </w:r>
      <w:r>
        <w:rPr>
          <w:rFonts w:ascii="Calibri Light"/>
          <w:sz w:val="20"/>
        </w:rPr>
        <w:t>B.</w:t>
      </w:r>
      <w:r>
        <w:rPr>
          <w:rFonts w:ascii="Calibri Light"/>
          <w:spacing w:val="-6"/>
          <w:sz w:val="20"/>
        </w:rPr>
        <w:t xml:space="preserve"> </w:t>
      </w:r>
      <w:r>
        <w:rPr>
          <w:rFonts w:ascii="Calibri Light"/>
          <w:sz w:val="20"/>
        </w:rPr>
        <w:t>(2015).</w:t>
      </w:r>
      <w:r>
        <w:rPr>
          <w:rFonts w:ascii="Calibri Light"/>
          <w:spacing w:val="-6"/>
          <w:sz w:val="20"/>
        </w:rPr>
        <w:t xml:space="preserve"> </w:t>
      </w:r>
      <w:r>
        <w:rPr>
          <w:rFonts w:ascii="Calibri Light"/>
          <w:sz w:val="20"/>
        </w:rPr>
        <w:t>The</w:t>
      </w:r>
      <w:r>
        <w:rPr>
          <w:rFonts w:ascii="Calibri Light"/>
          <w:spacing w:val="-4"/>
          <w:sz w:val="20"/>
        </w:rPr>
        <w:t xml:space="preserve"> </w:t>
      </w:r>
      <w:r>
        <w:rPr>
          <w:rFonts w:ascii="Calibri Light"/>
          <w:sz w:val="20"/>
        </w:rPr>
        <w:t>forest</w:t>
      </w:r>
      <w:r>
        <w:rPr>
          <w:rFonts w:ascii="Calibri Light"/>
          <w:spacing w:val="-6"/>
          <w:sz w:val="20"/>
        </w:rPr>
        <w:t xml:space="preserve"> </w:t>
      </w:r>
      <w:r>
        <w:rPr>
          <w:rFonts w:ascii="Calibri Light"/>
          <w:sz w:val="20"/>
        </w:rPr>
        <w:t>and</w:t>
      </w:r>
      <w:r>
        <w:rPr>
          <w:rFonts w:ascii="Calibri Light"/>
          <w:spacing w:val="-5"/>
          <w:sz w:val="20"/>
        </w:rPr>
        <w:t xml:space="preserve"> </w:t>
      </w:r>
      <w:r>
        <w:rPr>
          <w:rFonts w:ascii="Calibri Light"/>
          <w:sz w:val="20"/>
        </w:rPr>
        <w:t>the</w:t>
      </w:r>
      <w:r>
        <w:rPr>
          <w:rFonts w:ascii="Calibri Light"/>
          <w:spacing w:val="-4"/>
          <w:sz w:val="20"/>
        </w:rPr>
        <w:t xml:space="preserve"> </w:t>
      </w:r>
      <w:r>
        <w:rPr>
          <w:rFonts w:ascii="Calibri Light"/>
          <w:sz w:val="20"/>
        </w:rPr>
        <w:t>trees:</w:t>
      </w:r>
      <w:r>
        <w:rPr>
          <w:rFonts w:ascii="Calibri Light"/>
          <w:spacing w:val="-4"/>
          <w:sz w:val="20"/>
        </w:rPr>
        <w:t xml:space="preserve"> </w:t>
      </w:r>
      <w:r>
        <w:rPr>
          <w:rFonts w:ascii="Calibri Light"/>
          <w:sz w:val="20"/>
        </w:rPr>
        <w:t>Relational</w:t>
      </w:r>
      <w:r>
        <w:rPr>
          <w:rFonts w:ascii="Calibri Light"/>
          <w:spacing w:val="-6"/>
          <w:sz w:val="20"/>
        </w:rPr>
        <w:t xml:space="preserve"> </w:t>
      </w:r>
      <w:r>
        <w:rPr>
          <w:rFonts w:ascii="Calibri Light"/>
          <w:sz w:val="20"/>
        </w:rPr>
        <w:t>and</w:t>
      </w:r>
      <w:r>
        <w:rPr>
          <w:rFonts w:ascii="Calibri Light"/>
          <w:spacing w:val="-4"/>
          <w:sz w:val="20"/>
        </w:rPr>
        <w:t xml:space="preserve"> </w:t>
      </w:r>
      <w:r>
        <w:rPr>
          <w:rFonts w:ascii="Calibri Light"/>
          <w:sz w:val="20"/>
        </w:rPr>
        <w:t>specific</w:t>
      </w:r>
      <w:r>
        <w:rPr>
          <w:rFonts w:ascii="Calibri Light"/>
          <w:spacing w:val="-6"/>
          <w:sz w:val="20"/>
        </w:rPr>
        <w:t xml:space="preserve"> </w:t>
      </w:r>
      <w:r>
        <w:rPr>
          <w:rFonts w:ascii="Calibri Light"/>
          <w:sz w:val="20"/>
        </w:rPr>
        <w:t>factors</w:t>
      </w:r>
      <w:r>
        <w:rPr>
          <w:rFonts w:ascii="Calibri Light"/>
          <w:spacing w:val="-5"/>
          <w:sz w:val="20"/>
        </w:rPr>
        <w:t xml:space="preserve"> </w:t>
      </w:r>
      <w:r>
        <w:rPr>
          <w:rFonts w:ascii="Calibri Light"/>
          <w:sz w:val="20"/>
        </w:rPr>
        <w:t>in</w:t>
      </w:r>
      <w:r>
        <w:rPr>
          <w:rFonts w:ascii="Calibri Light"/>
          <w:spacing w:val="-4"/>
          <w:sz w:val="20"/>
        </w:rPr>
        <w:t xml:space="preserve"> </w:t>
      </w:r>
      <w:r>
        <w:rPr>
          <w:rFonts w:ascii="Calibri Light"/>
          <w:sz w:val="20"/>
        </w:rPr>
        <w:t>addiction</w:t>
      </w:r>
      <w:r>
        <w:rPr>
          <w:rFonts w:ascii="Calibri Light"/>
          <w:spacing w:val="-5"/>
          <w:sz w:val="20"/>
        </w:rPr>
        <w:t xml:space="preserve"> </w:t>
      </w:r>
      <w:r>
        <w:rPr>
          <w:rFonts w:ascii="Calibri Light"/>
          <w:spacing w:val="-2"/>
          <w:sz w:val="20"/>
        </w:rPr>
        <w:t>treatment.</w:t>
      </w:r>
    </w:p>
    <w:p w14:paraId="6F3E4A31" w14:textId="77777777" w:rsidR="00DB6E1F" w:rsidRDefault="00F666A6">
      <w:pPr>
        <w:spacing w:before="20"/>
        <w:ind w:left="1620"/>
        <w:rPr>
          <w:rFonts w:ascii="Calibri Light" w:hAnsi="Calibri Light"/>
          <w:sz w:val="20"/>
        </w:rPr>
      </w:pPr>
      <w:r>
        <w:rPr>
          <w:rFonts w:ascii="Calibri Light" w:hAnsi="Calibri Light"/>
          <w:i/>
          <w:sz w:val="20"/>
        </w:rPr>
        <w:t>Addiction</w:t>
      </w:r>
      <w:r>
        <w:rPr>
          <w:rFonts w:ascii="Calibri Light" w:hAnsi="Calibri Light"/>
          <w:sz w:val="20"/>
        </w:rPr>
        <w:t>,</w:t>
      </w:r>
      <w:r>
        <w:rPr>
          <w:rFonts w:ascii="Calibri Light" w:hAnsi="Calibri Light"/>
          <w:spacing w:val="-11"/>
          <w:sz w:val="20"/>
        </w:rPr>
        <w:t xml:space="preserve"> </w:t>
      </w:r>
      <w:r>
        <w:rPr>
          <w:rFonts w:ascii="Calibri Light" w:hAnsi="Calibri Light"/>
          <w:i/>
          <w:sz w:val="20"/>
        </w:rPr>
        <w:t>110</w:t>
      </w:r>
      <w:r>
        <w:rPr>
          <w:rFonts w:ascii="Calibri Light" w:hAnsi="Calibri Light"/>
          <w:sz w:val="20"/>
        </w:rPr>
        <w:t>(3),</w:t>
      </w:r>
      <w:r>
        <w:rPr>
          <w:rFonts w:ascii="Calibri Light" w:hAnsi="Calibri Light"/>
          <w:spacing w:val="-10"/>
          <w:sz w:val="20"/>
        </w:rPr>
        <w:t xml:space="preserve"> </w:t>
      </w:r>
      <w:r>
        <w:rPr>
          <w:rFonts w:ascii="Calibri Light" w:hAnsi="Calibri Light"/>
          <w:spacing w:val="-2"/>
          <w:sz w:val="20"/>
        </w:rPr>
        <w:t>401–413.</w:t>
      </w:r>
    </w:p>
    <w:p w14:paraId="43B11FA1" w14:textId="77777777" w:rsidR="00DB6E1F" w:rsidRDefault="00F666A6">
      <w:pPr>
        <w:spacing w:before="20" w:line="259" w:lineRule="auto"/>
        <w:ind w:left="1620" w:right="1491" w:hanging="180"/>
        <w:rPr>
          <w:rFonts w:ascii="Calibri Light"/>
          <w:sz w:val="20"/>
        </w:rPr>
      </w:pPr>
      <w:r>
        <w:rPr>
          <w:rFonts w:ascii="Calibri Light"/>
          <w:sz w:val="20"/>
        </w:rPr>
        <w:t>Miller,</w:t>
      </w:r>
      <w:r>
        <w:rPr>
          <w:rFonts w:ascii="Calibri Light"/>
          <w:spacing w:val="-4"/>
          <w:sz w:val="20"/>
        </w:rPr>
        <w:t xml:space="preserve"> </w:t>
      </w:r>
      <w:r>
        <w:rPr>
          <w:rFonts w:ascii="Calibri Light"/>
          <w:sz w:val="20"/>
        </w:rPr>
        <w:t>W.</w:t>
      </w:r>
      <w:r>
        <w:rPr>
          <w:rFonts w:ascii="Calibri Light"/>
          <w:spacing w:val="-4"/>
          <w:sz w:val="20"/>
        </w:rPr>
        <w:t xml:space="preserve"> </w:t>
      </w:r>
      <w:r>
        <w:rPr>
          <w:rFonts w:ascii="Calibri Light"/>
          <w:sz w:val="20"/>
        </w:rPr>
        <w:t>R.,</w:t>
      </w:r>
      <w:r>
        <w:rPr>
          <w:rFonts w:ascii="Calibri Light"/>
          <w:spacing w:val="-1"/>
          <w:sz w:val="20"/>
        </w:rPr>
        <w:t xml:space="preserve"> </w:t>
      </w:r>
      <w:r>
        <w:rPr>
          <w:rFonts w:ascii="Calibri Light"/>
          <w:sz w:val="20"/>
        </w:rPr>
        <w:t>Moyers,</w:t>
      </w:r>
      <w:r>
        <w:rPr>
          <w:rFonts w:ascii="Calibri Light"/>
          <w:spacing w:val="-1"/>
          <w:sz w:val="20"/>
        </w:rPr>
        <w:t xml:space="preserve"> </w:t>
      </w:r>
      <w:r>
        <w:rPr>
          <w:rFonts w:ascii="Calibri Light"/>
          <w:sz w:val="20"/>
        </w:rPr>
        <w:t>T.</w:t>
      </w:r>
      <w:r>
        <w:rPr>
          <w:rFonts w:ascii="Calibri Light"/>
          <w:spacing w:val="-4"/>
          <w:sz w:val="20"/>
        </w:rPr>
        <w:t xml:space="preserve"> </w:t>
      </w:r>
      <w:r>
        <w:rPr>
          <w:rFonts w:ascii="Calibri Light"/>
          <w:sz w:val="20"/>
        </w:rPr>
        <w:t>B.,</w:t>
      </w:r>
      <w:r>
        <w:rPr>
          <w:rFonts w:ascii="Calibri Light"/>
          <w:spacing w:val="-4"/>
          <w:sz w:val="20"/>
        </w:rPr>
        <w:t xml:space="preserve"> </w:t>
      </w:r>
      <w:r>
        <w:rPr>
          <w:rFonts w:ascii="Calibri Light"/>
          <w:sz w:val="20"/>
        </w:rPr>
        <w:t>Ernst,</w:t>
      </w:r>
      <w:r>
        <w:rPr>
          <w:rFonts w:ascii="Calibri Light"/>
          <w:spacing w:val="-1"/>
          <w:sz w:val="20"/>
        </w:rPr>
        <w:t xml:space="preserve"> </w:t>
      </w:r>
      <w:r>
        <w:rPr>
          <w:rFonts w:ascii="Calibri Light"/>
          <w:sz w:val="20"/>
        </w:rPr>
        <w:t>D.</w:t>
      </w:r>
      <w:r>
        <w:rPr>
          <w:rFonts w:ascii="Calibri Light"/>
          <w:spacing w:val="-1"/>
          <w:sz w:val="20"/>
        </w:rPr>
        <w:t xml:space="preserve"> </w:t>
      </w:r>
      <w:r>
        <w:rPr>
          <w:rFonts w:ascii="Calibri Light"/>
          <w:sz w:val="20"/>
        </w:rPr>
        <w:t>B.,</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Amrhein,</w:t>
      </w:r>
      <w:r>
        <w:rPr>
          <w:rFonts w:ascii="Calibri Light"/>
          <w:spacing w:val="-4"/>
          <w:sz w:val="20"/>
        </w:rPr>
        <w:t xml:space="preserve"> </w:t>
      </w:r>
      <w:r>
        <w:rPr>
          <w:rFonts w:ascii="Calibri Light"/>
          <w:sz w:val="20"/>
        </w:rPr>
        <w:t>P.</w:t>
      </w:r>
      <w:r>
        <w:rPr>
          <w:rFonts w:ascii="Calibri Light"/>
          <w:spacing w:val="-4"/>
          <w:sz w:val="20"/>
        </w:rPr>
        <w:t xml:space="preserve"> </w:t>
      </w:r>
      <w:r>
        <w:rPr>
          <w:rFonts w:ascii="Calibri Light"/>
          <w:sz w:val="20"/>
        </w:rPr>
        <w:t>C.</w:t>
      </w:r>
      <w:r>
        <w:rPr>
          <w:rFonts w:ascii="Calibri Light"/>
          <w:spacing w:val="-4"/>
          <w:sz w:val="20"/>
        </w:rPr>
        <w:t xml:space="preserve"> </w:t>
      </w:r>
      <w:r>
        <w:rPr>
          <w:rFonts w:ascii="Calibri Light"/>
          <w:sz w:val="20"/>
        </w:rPr>
        <w:t>(2008).</w:t>
      </w:r>
      <w:r>
        <w:rPr>
          <w:rFonts w:ascii="Calibri Light"/>
          <w:spacing w:val="-4"/>
          <w:sz w:val="20"/>
        </w:rPr>
        <w:t xml:space="preserve"> </w:t>
      </w:r>
      <w:r>
        <w:rPr>
          <w:rFonts w:ascii="Calibri Light"/>
          <w:i/>
          <w:sz w:val="20"/>
        </w:rPr>
        <w:t>Manual</w:t>
      </w:r>
      <w:r>
        <w:rPr>
          <w:rFonts w:ascii="Calibri Light"/>
          <w:i/>
          <w:spacing w:val="-4"/>
          <w:sz w:val="20"/>
        </w:rPr>
        <w:t xml:space="preserve"> </w:t>
      </w:r>
      <w:r>
        <w:rPr>
          <w:rFonts w:ascii="Calibri Light"/>
          <w:i/>
          <w:sz w:val="20"/>
        </w:rPr>
        <w:t>for</w:t>
      </w:r>
      <w:r>
        <w:rPr>
          <w:rFonts w:ascii="Calibri Light"/>
          <w:i/>
          <w:spacing w:val="-1"/>
          <w:sz w:val="20"/>
        </w:rPr>
        <w:t xml:space="preserve"> </w:t>
      </w:r>
      <w:r>
        <w:rPr>
          <w:rFonts w:ascii="Calibri Light"/>
          <w:i/>
          <w:sz w:val="20"/>
        </w:rPr>
        <w:t>the</w:t>
      </w:r>
      <w:r>
        <w:rPr>
          <w:rFonts w:ascii="Calibri Light"/>
          <w:i/>
          <w:spacing w:val="-3"/>
          <w:sz w:val="20"/>
        </w:rPr>
        <w:t xml:space="preserve"> </w:t>
      </w:r>
      <w:r>
        <w:rPr>
          <w:rFonts w:ascii="Calibri Light"/>
          <w:i/>
          <w:sz w:val="20"/>
        </w:rPr>
        <w:t>Motivational</w:t>
      </w:r>
      <w:r>
        <w:rPr>
          <w:rFonts w:ascii="Calibri Light"/>
          <w:i/>
          <w:spacing w:val="-4"/>
          <w:sz w:val="20"/>
        </w:rPr>
        <w:t xml:space="preserve"> </w:t>
      </w:r>
      <w:r>
        <w:rPr>
          <w:rFonts w:ascii="Calibri Light"/>
          <w:i/>
          <w:sz w:val="20"/>
        </w:rPr>
        <w:t>Interviewing</w:t>
      </w:r>
      <w:r>
        <w:rPr>
          <w:rFonts w:ascii="Calibri Light"/>
          <w:i/>
          <w:spacing w:val="-3"/>
          <w:sz w:val="20"/>
        </w:rPr>
        <w:t xml:space="preserve"> </w:t>
      </w:r>
      <w:r>
        <w:rPr>
          <w:rFonts w:ascii="Calibri Light"/>
          <w:i/>
          <w:sz w:val="20"/>
        </w:rPr>
        <w:t xml:space="preserve">Code </w:t>
      </w:r>
      <w:r>
        <w:rPr>
          <w:rFonts w:ascii="Calibri Light"/>
          <w:sz w:val="20"/>
        </w:rPr>
        <w:t xml:space="preserve">(version 2.1). Albuquerque, NM: Center on Alcoholism, Substance Abuse, and Addictions, University of New Mexico. Retrieved from </w:t>
      </w:r>
      <w:hyperlink r:id="rId133">
        <w:r>
          <w:rPr>
            <w:rFonts w:ascii="Calibri Light"/>
            <w:color w:val="0563C1"/>
            <w:sz w:val="20"/>
            <w:u w:val="single" w:color="0563C1"/>
          </w:rPr>
          <w:t>https://casaa.unm.edu/download/misc.pdf</w:t>
        </w:r>
      </w:hyperlink>
    </w:p>
    <w:p w14:paraId="7D1737A1" w14:textId="77777777" w:rsidR="00DB6E1F" w:rsidRDefault="00F666A6">
      <w:pPr>
        <w:spacing w:line="259" w:lineRule="auto"/>
        <w:ind w:left="1444" w:right="2037"/>
        <w:jc w:val="center"/>
        <w:rPr>
          <w:rFonts w:ascii="Calibri Light" w:hAnsi="Calibri Light"/>
          <w:sz w:val="20"/>
        </w:rPr>
      </w:pPr>
      <w:r>
        <w:rPr>
          <w:rFonts w:ascii="Calibri Light" w:hAnsi="Calibri Light"/>
          <w:sz w:val="20"/>
        </w:rPr>
        <w:t>Miller,</w:t>
      </w:r>
      <w:r>
        <w:rPr>
          <w:rFonts w:ascii="Calibri Light" w:hAnsi="Calibri Light"/>
          <w:spacing w:val="-4"/>
          <w:sz w:val="20"/>
        </w:rPr>
        <w:t xml:space="preserve"> </w:t>
      </w:r>
      <w:r>
        <w:rPr>
          <w:rFonts w:ascii="Calibri Light" w:hAnsi="Calibri Light"/>
          <w:sz w:val="20"/>
        </w:rPr>
        <w:t>W.</w:t>
      </w:r>
      <w:r>
        <w:rPr>
          <w:rFonts w:ascii="Calibri Light" w:hAnsi="Calibri Light"/>
          <w:spacing w:val="-4"/>
          <w:sz w:val="20"/>
        </w:rPr>
        <w:t xml:space="preserve"> </w:t>
      </w:r>
      <w:r>
        <w:rPr>
          <w:rFonts w:ascii="Calibri Light" w:hAnsi="Calibri Light"/>
          <w:sz w:val="20"/>
        </w:rPr>
        <w:t>R.,</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Rollnick,</w:t>
      </w:r>
      <w:r>
        <w:rPr>
          <w:rFonts w:ascii="Calibri Light" w:hAnsi="Calibri Light"/>
          <w:spacing w:val="-4"/>
          <w:sz w:val="20"/>
        </w:rPr>
        <w:t xml:space="preserve"> </w:t>
      </w:r>
      <w:r>
        <w:rPr>
          <w:rFonts w:ascii="Calibri Light" w:hAnsi="Calibri Light"/>
          <w:sz w:val="20"/>
        </w:rPr>
        <w:t>S.</w:t>
      </w:r>
      <w:r>
        <w:rPr>
          <w:rFonts w:ascii="Calibri Light" w:hAnsi="Calibri Light"/>
          <w:spacing w:val="-4"/>
          <w:sz w:val="20"/>
        </w:rPr>
        <w:t xml:space="preserve"> </w:t>
      </w:r>
      <w:r>
        <w:rPr>
          <w:rFonts w:ascii="Calibri Light" w:hAnsi="Calibri Light"/>
          <w:sz w:val="20"/>
        </w:rPr>
        <w:t>(2014).</w:t>
      </w:r>
      <w:r>
        <w:rPr>
          <w:rFonts w:ascii="Calibri Light" w:hAnsi="Calibri Light"/>
          <w:spacing w:val="-4"/>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effectiveness</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ineffectiveness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complex</w:t>
      </w:r>
      <w:r>
        <w:rPr>
          <w:rFonts w:ascii="Calibri Light" w:hAnsi="Calibri Light"/>
          <w:spacing w:val="-2"/>
          <w:sz w:val="20"/>
        </w:rPr>
        <w:t xml:space="preserve"> </w:t>
      </w:r>
      <w:r>
        <w:rPr>
          <w:rFonts w:ascii="Calibri Light" w:hAnsi="Calibri Light"/>
          <w:sz w:val="20"/>
        </w:rPr>
        <w:t>behavioral</w:t>
      </w:r>
      <w:r>
        <w:rPr>
          <w:rFonts w:ascii="Calibri Light" w:hAnsi="Calibri Light"/>
          <w:spacing w:val="-4"/>
          <w:sz w:val="20"/>
        </w:rPr>
        <w:t xml:space="preserve"> </w:t>
      </w:r>
      <w:r>
        <w:rPr>
          <w:rFonts w:ascii="Calibri Light" w:hAnsi="Calibri Light"/>
          <w:sz w:val="20"/>
        </w:rPr>
        <w:t xml:space="preserve">interventions: Impact of treatment fidelity. </w:t>
      </w:r>
      <w:r>
        <w:rPr>
          <w:rFonts w:ascii="Calibri Light" w:hAnsi="Calibri Light"/>
          <w:i/>
          <w:sz w:val="20"/>
        </w:rPr>
        <w:t>Contemporary Clinical Trials, 37</w:t>
      </w:r>
      <w:r>
        <w:rPr>
          <w:rFonts w:ascii="Calibri Light" w:hAnsi="Calibri Light"/>
          <w:sz w:val="20"/>
        </w:rPr>
        <w:t xml:space="preserve">(2), 234–241. doi:10.1016/j.cct.2014.01.005 Miller, W. R., &amp; Rollnick, S. (2013). </w:t>
      </w:r>
      <w:r>
        <w:rPr>
          <w:rFonts w:ascii="Calibri Light" w:hAnsi="Calibri Light"/>
          <w:i/>
          <w:sz w:val="20"/>
        </w:rPr>
        <w:t>Motivational interviewing: Helping people change</w:t>
      </w:r>
      <w:r>
        <w:rPr>
          <w:rFonts w:ascii="Calibri Light" w:hAnsi="Calibri Light"/>
          <w:i/>
          <w:spacing w:val="-1"/>
          <w:sz w:val="20"/>
        </w:rPr>
        <w:t xml:space="preserve"> </w:t>
      </w:r>
      <w:r>
        <w:rPr>
          <w:rFonts w:ascii="Calibri Light" w:hAnsi="Calibri Light"/>
          <w:sz w:val="20"/>
        </w:rPr>
        <w:t>(3rd ed.). New York, NY:</w:t>
      </w:r>
    </w:p>
    <w:p w14:paraId="7EBE1B03" w14:textId="77777777" w:rsidR="00DB6E1F" w:rsidRDefault="00F666A6">
      <w:pPr>
        <w:spacing w:line="243" w:lineRule="exact"/>
        <w:ind w:left="1444" w:right="9269"/>
        <w:jc w:val="center"/>
        <w:rPr>
          <w:rFonts w:ascii="Calibri Light"/>
          <w:sz w:val="20"/>
        </w:rPr>
      </w:pPr>
      <w:r>
        <w:rPr>
          <w:rFonts w:ascii="Calibri Light"/>
          <w:sz w:val="20"/>
        </w:rPr>
        <w:t>Guilford</w:t>
      </w:r>
      <w:r>
        <w:rPr>
          <w:rFonts w:ascii="Calibri Light"/>
          <w:spacing w:val="-10"/>
          <w:sz w:val="20"/>
        </w:rPr>
        <w:t xml:space="preserve"> </w:t>
      </w:r>
      <w:r>
        <w:rPr>
          <w:rFonts w:ascii="Calibri Light"/>
          <w:spacing w:val="-2"/>
          <w:sz w:val="20"/>
        </w:rPr>
        <w:t>Press.</w:t>
      </w:r>
    </w:p>
    <w:p w14:paraId="5E1F4849" w14:textId="77777777" w:rsidR="00DB6E1F" w:rsidRDefault="00F666A6">
      <w:pPr>
        <w:spacing w:before="18" w:line="259" w:lineRule="auto"/>
        <w:ind w:left="1620" w:right="1491" w:hanging="181"/>
        <w:rPr>
          <w:rFonts w:ascii="Calibri Light"/>
          <w:sz w:val="20"/>
        </w:rPr>
      </w:pPr>
      <w:r>
        <w:rPr>
          <w:rFonts w:ascii="Calibri Light"/>
          <w:sz w:val="20"/>
        </w:rPr>
        <w:t>Miller,</w:t>
      </w:r>
      <w:r>
        <w:rPr>
          <w:rFonts w:ascii="Calibri Light"/>
          <w:spacing w:val="-4"/>
          <w:sz w:val="20"/>
        </w:rPr>
        <w:t xml:space="preserve"> </w:t>
      </w:r>
      <w:r>
        <w:rPr>
          <w:rFonts w:ascii="Calibri Light"/>
          <w:sz w:val="20"/>
        </w:rPr>
        <w:t>W.</w:t>
      </w:r>
      <w:r>
        <w:rPr>
          <w:rFonts w:ascii="Calibri Light"/>
          <w:spacing w:val="-4"/>
          <w:sz w:val="20"/>
        </w:rPr>
        <w:t xml:space="preserve"> </w:t>
      </w:r>
      <w:r>
        <w:rPr>
          <w:rFonts w:ascii="Calibri Light"/>
          <w:sz w:val="20"/>
        </w:rPr>
        <w:t>R.,</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Rollnick,</w:t>
      </w:r>
      <w:r>
        <w:rPr>
          <w:rFonts w:ascii="Calibri Light"/>
          <w:spacing w:val="-4"/>
          <w:sz w:val="20"/>
        </w:rPr>
        <w:t xml:space="preserve"> </w:t>
      </w:r>
      <w:r>
        <w:rPr>
          <w:rFonts w:ascii="Calibri Light"/>
          <w:sz w:val="20"/>
        </w:rPr>
        <w:t>S.</w:t>
      </w:r>
      <w:r>
        <w:rPr>
          <w:rFonts w:ascii="Calibri Light"/>
          <w:spacing w:val="-4"/>
          <w:sz w:val="20"/>
        </w:rPr>
        <w:t xml:space="preserve"> </w:t>
      </w:r>
      <w:r>
        <w:rPr>
          <w:rFonts w:ascii="Calibri Light"/>
          <w:sz w:val="20"/>
        </w:rPr>
        <w:t>(2010).</w:t>
      </w:r>
      <w:r>
        <w:rPr>
          <w:rFonts w:ascii="Calibri Light"/>
          <w:spacing w:val="-3"/>
          <w:sz w:val="20"/>
        </w:rPr>
        <w:t xml:space="preserve"> </w:t>
      </w:r>
      <w:r>
        <w:rPr>
          <w:rFonts w:ascii="Calibri Light"/>
          <w:i/>
          <w:sz w:val="20"/>
        </w:rPr>
        <w:t>Looking</w:t>
      </w:r>
      <w:r>
        <w:rPr>
          <w:rFonts w:ascii="Calibri Light"/>
          <w:i/>
          <w:spacing w:val="-3"/>
          <w:sz w:val="20"/>
        </w:rPr>
        <w:t xml:space="preserve"> </w:t>
      </w:r>
      <w:r>
        <w:rPr>
          <w:rFonts w:ascii="Calibri Light"/>
          <w:i/>
          <w:sz w:val="20"/>
        </w:rPr>
        <w:t>forward</w:t>
      </w:r>
      <w:r>
        <w:rPr>
          <w:rFonts w:ascii="Calibri Light"/>
          <w:i/>
          <w:spacing w:val="-1"/>
          <w:sz w:val="20"/>
        </w:rPr>
        <w:t xml:space="preserve"> </w:t>
      </w:r>
      <w:r>
        <w:rPr>
          <w:rFonts w:ascii="Calibri Light"/>
          <w:i/>
          <w:sz w:val="20"/>
        </w:rPr>
        <w:t>to</w:t>
      </w:r>
      <w:r>
        <w:rPr>
          <w:rFonts w:ascii="Calibri Light"/>
          <w:i/>
          <w:spacing w:val="-3"/>
          <w:sz w:val="20"/>
        </w:rPr>
        <w:t xml:space="preserve"> </w:t>
      </w:r>
      <w:r>
        <w:rPr>
          <w:rFonts w:ascii="Calibri Light"/>
          <w:i/>
          <w:sz w:val="20"/>
        </w:rPr>
        <w:t>MI-3: A</w:t>
      </w:r>
      <w:r>
        <w:rPr>
          <w:rFonts w:ascii="Calibri Light"/>
          <w:i/>
          <w:spacing w:val="-3"/>
          <w:sz w:val="20"/>
        </w:rPr>
        <w:t xml:space="preserve"> </w:t>
      </w:r>
      <w:r>
        <w:rPr>
          <w:rFonts w:ascii="Calibri Light"/>
          <w:i/>
          <w:sz w:val="20"/>
        </w:rPr>
        <w:t>work</w:t>
      </w:r>
      <w:r>
        <w:rPr>
          <w:rFonts w:ascii="Calibri Light"/>
          <w:i/>
          <w:spacing w:val="-2"/>
          <w:sz w:val="20"/>
        </w:rPr>
        <w:t xml:space="preserve"> </w:t>
      </w:r>
      <w:r>
        <w:rPr>
          <w:rFonts w:ascii="Calibri Light"/>
          <w:i/>
          <w:sz w:val="20"/>
        </w:rPr>
        <w:t>in</w:t>
      </w:r>
      <w:r>
        <w:rPr>
          <w:rFonts w:ascii="Calibri Light"/>
          <w:i/>
          <w:spacing w:val="-3"/>
          <w:sz w:val="20"/>
        </w:rPr>
        <w:t xml:space="preserve"> </w:t>
      </w:r>
      <w:r>
        <w:rPr>
          <w:rFonts w:ascii="Calibri Light"/>
          <w:i/>
          <w:sz w:val="20"/>
        </w:rPr>
        <w:t>progress</w:t>
      </w:r>
      <w:r>
        <w:rPr>
          <w:rFonts w:ascii="Calibri Light"/>
          <w:i/>
          <w:spacing w:val="-3"/>
          <w:sz w:val="20"/>
        </w:rPr>
        <w:t xml:space="preserve"> </w:t>
      </w:r>
      <w:r>
        <w:rPr>
          <w:rFonts w:ascii="Calibri Light"/>
          <w:sz w:val="20"/>
        </w:rPr>
        <w:t>[PowerPoint</w:t>
      </w:r>
      <w:r>
        <w:rPr>
          <w:rFonts w:ascii="Calibri Light"/>
          <w:spacing w:val="-4"/>
          <w:sz w:val="20"/>
        </w:rPr>
        <w:t xml:space="preserve"> </w:t>
      </w:r>
      <w:r>
        <w:rPr>
          <w:rFonts w:ascii="Calibri Light"/>
          <w:sz w:val="20"/>
        </w:rPr>
        <w:t>slides].</w:t>
      </w:r>
      <w:r>
        <w:rPr>
          <w:rFonts w:ascii="Calibri Light"/>
          <w:spacing w:val="-4"/>
          <w:sz w:val="20"/>
        </w:rPr>
        <w:t xml:space="preserve"> </w:t>
      </w:r>
      <w:r>
        <w:rPr>
          <w:rFonts w:ascii="Calibri Light"/>
          <w:sz w:val="20"/>
        </w:rPr>
        <w:t>Retrieved</w:t>
      </w:r>
      <w:r>
        <w:rPr>
          <w:rFonts w:ascii="Calibri Light"/>
          <w:spacing w:val="-3"/>
          <w:sz w:val="20"/>
        </w:rPr>
        <w:t xml:space="preserve"> </w:t>
      </w:r>
      <w:r>
        <w:rPr>
          <w:rFonts w:ascii="Calibri Light"/>
          <w:sz w:val="20"/>
        </w:rPr>
        <w:t xml:space="preserve">from </w:t>
      </w:r>
      <w:hyperlink r:id="rId134">
        <w:r>
          <w:rPr>
            <w:rFonts w:ascii="Calibri Light"/>
            <w:color w:val="0563C1"/>
            <w:spacing w:val="-2"/>
            <w:sz w:val="20"/>
            <w:u w:val="single" w:color="0563C1"/>
          </w:rPr>
          <w:t>http://motivationalinterviewing.org/sites/default/files/Forum_2010_Plenary_Bill.ppt</w:t>
        </w:r>
      </w:hyperlink>
    </w:p>
    <w:p w14:paraId="7124FEA5" w14:textId="77777777" w:rsidR="00DB6E1F" w:rsidRDefault="00F666A6">
      <w:pPr>
        <w:spacing w:before="1" w:line="259" w:lineRule="auto"/>
        <w:ind w:left="1619" w:right="1491" w:hanging="180"/>
        <w:rPr>
          <w:rFonts w:ascii="Calibri Light"/>
          <w:sz w:val="20"/>
        </w:rPr>
      </w:pPr>
      <w:r>
        <w:rPr>
          <w:rFonts w:ascii="Calibri Light"/>
          <w:sz w:val="20"/>
        </w:rPr>
        <w:t>Miller,</w:t>
      </w:r>
      <w:r>
        <w:rPr>
          <w:rFonts w:ascii="Calibri Light"/>
          <w:spacing w:val="-3"/>
          <w:sz w:val="20"/>
        </w:rPr>
        <w:t xml:space="preserve"> </w:t>
      </w:r>
      <w:r>
        <w:rPr>
          <w:rFonts w:ascii="Calibri Light"/>
          <w:sz w:val="20"/>
        </w:rPr>
        <w:t>W.</w:t>
      </w:r>
      <w:r>
        <w:rPr>
          <w:rFonts w:ascii="Calibri Light"/>
          <w:spacing w:val="-3"/>
          <w:sz w:val="20"/>
        </w:rPr>
        <w:t xml:space="preserve"> </w:t>
      </w:r>
      <w:r>
        <w:rPr>
          <w:rFonts w:ascii="Calibri Light"/>
          <w:sz w:val="20"/>
        </w:rPr>
        <w:t>R.,</w:t>
      </w:r>
      <w:r>
        <w:rPr>
          <w:rFonts w:ascii="Calibri Light"/>
          <w:spacing w:val="-3"/>
          <w:sz w:val="20"/>
        </w:rPr>
        <w:t xml:space="preserve"> </w:t>
      </w:r>
      <w:r>
        <w:rPr>
          <w:rFonts w:ascii="Calibri Light"/>
          <w:sz w:val="20"/>
        </w:rPr>
        <w:t>&amp;</w:t>
      </w:r>
      <w:r>
        <w:rPr>
          <w:rFonts w:ascii="Calibri Light"/>
          <w:spacing w:val="-1"/>
          <w:sz w:val="20"/>
        </w:rPr>
        <w:t xml:space="preserve"> </w:t>
      </w:r>
      <w:r>
        <w:rPr>
          <w:rFonts w:ascii="Calibri Light"/>
          <w:sz w:val="20"/>
        </w:rPr>
        <w:t>Rollnick,</w:t>
      </w:r>
      <w:r>
        <w:rPr>
          <w:rFonts w:ascii="Calibri Light"/>
          <w:spacing w:val="-3"/>
          <w:sz w:val="20"/>
        </w:rPr>
        <w:t xml:space="preserve"> </w:t>
      </w:r>
      <w:r>
        <w:rPr>
          <w:rFonts w:ascii="Calibri Light"/>
          <w:sz w:val="20"/>
        </w:rPr>
        <w:t>S.</w:t>
      </w:r>
      <w:r>
        <w:rPr>
          <w:rFonts w:ascii="Calibri Light"/>
          <w:spacing w:val="-3"/>
          <w:sz w:val="20"/>
        </w:rPr>
        <w:t xml:space="preserve"> </w:t>
      </w:r>
      <w:r>
        <w:rPr>
          <w:rFonts w:ascii="Calibri Light"/>
          <w:sz w:val="20"/>
        </w:rPr>
        <w:t>(2002).</w:t>
      </w:r>
      <w:r>
        <w:rPr>
          <w:rFonts w:ascii="Calibri Light"/>
          <w:spacing w:val="-3"/>
          <w:sz w:val="20"/>
        </w:rPr>
        <w:t xml:space="preserve"> </w:t>
      </w:r>
      <w:r>
        <w:rPr>
          <w:rFonts w:ascii="Calibri Light"/>
          <w:i/>
          <w:sz w:val="20"/>
        </w:rPr>
        <w:t>Motivational</w:t>
      </w:r>
      <w:r>
        <w:rPr>
          <w:rFonts w:ascii="Calibri Light"/>
          <w:i/>
          <w:spacing w:val="-3"/>
          <w:sz w:val="20"/>
        </w:rPr>
        <w:t xml:space="preserve"> </w:t>
      </w:r>
      <w:r>
        <w:rPr>
          <w:rFonts w:ascii="Calibri Light"/>
          <w:i/>
          <w:sz w:val="20"/>
        </w:rPr>
        <w:t>interviewing:</w:t>
      </w:r>
      <w:r>
        <w:rPr>
          <w:rFonts w:ascii="Calibri Light"/>
          <w:i/>
          <w:spacing w:val="-2"/>
          <w:sz w:val="20"/>
        </w:rPr>
        <w:t xml:space="preserve"> </w:t>
      </w:r>
      <w:r>
        <w:rPr>
          <w:rFonts w:ascii="Calibri Light"/>
          <w:i/>
          <w:sz w:val="20"/>
        </w:rPr>
        <w:t>Preparing</w:t>
      </w:r>
      <w:r>
        <w:rPr>
          <w:rFonts w:ascii="Calibri Light"/>
          <w:i/>
          <w:spacing w:val="-2"/>
          <w:sz w:val="20"/>
        </w:rPr>
        <w:t xml:space="preserve"> </w:t>
      </w:r>
      <w:r>
        <w:rPr>
          <w:rFonts w:ascii="Calibri Light"/>
          <w:i/>
          <w:sz w:val="20"/>
        </w:rPr>
        <w:t>people</w:t>
      </w:r>
      <w:r>
        <w:rPr>
          <w:rFonts w:ascii="Calibri Light"/>
          <w:i/>
          <w:spacing w:val="-2"/>
          <w:sz w:val="20"/>
        </w:rPr>
        <w:t xml:space="preserve"> </w:t>
      </w:r>
      <w:r>
        <w:rPr>
          <w:rFonts w:ascii="Calibri Light"/>
          <w:i/>
          <w:sz w:val="20"/>
        </w:rPr>
        <w:t>for</w:t>
      </w:r>
      <w:r>
        <w:rPr>
          <w:rFonts w:ascii="Calibri Light"/>
          <w:i/>
          <w:spacing w:val="-2"/>
          <w:sz w:val="20"/>
        </w:rPr>
        <w:t xml:space="preserve"> </w:t>
      </w:r>
      <w:r>
        <w:rPr>
          <w:rFonts w:ascii="Calibri Light"/>
          <w:i/>
          <w:sz w:val="20"/>
        </w:rPr>
        <w:t xml:space="preserve">change </w:t>
      </w:r>
      <w:r>
        <w:rPr>
          <w:rFonts w:ascii="Calibri Light"/>
          <w:sz w:val="20"/>
        </w:rPr>
        <w:t>(2nd</w:t>
      </w:r>
      <w:r>
        <w:rPr>
          <w:rFonts w:ascii="Calibri Light"/>
          <w:spacing w:val="-2"/>
          <w:sz w:val="20"/>
        </w:rPr>
        <w:t xml:space="preserve"> </w:t>
      </w:r>
      <w:r>
        <w:rPr>
          <w:rFonts w:ascii="Calibri Light"/>
          <w:sz w:val="20"/>
        </w:rPr>
        <w:t>ed.).</w:t>
      </w:r>
      <w:r>
        <w:rPr>
          <w:rFonts w:ascii="Calibri Light"/>
          <w:spacing w:val="-3"/>
          <w:sz w:val="20"/>
        </w:rPr>
        <w:t xml:space="preserve"> </w:t>
      </w:r>
      <w:r>
        <w:rPr>
          <w:rFonts w:ascii="Calibri Light"/>
          <w:sz w:val="20"/>
        </w:rPr>
        <w:t>New</w:t>
      </w:r>
      <w:r>
        <w:rPr>
          <w:rFonts w:ascii="Calibri Light"/>
          <w:spacing w:val="-2"/>
          <w:sz w:val="20"/>
        </w:rPr>
        <w:t xml:space="preserve"> </w:t>
      </w:r>
      <w:r>
        <w:rPr>
          <w:rFonts w:ascii="Calibri Light"/>
          <w:sz w:val="20"/>
        </w:rPr>
        <w:t>York,</w:t>
      </w:r>
      <w:r>
        <w:rPr>
          <w:rFonts w:ascii="Calibri Light"/>
          <w:spacing w:val="-3"/>
          <w:sz w:val="20"/>
        </w:rPr>
        <w:t xml:space="preserve"> </w:t>
      </w:r>
      <w:r>
        <w:rPr>
          <w:rFonts w:ascii="Calibri Light"/>
          <w:sz w:val="20"/>
        </w:rPr>
        <w:t>NY: Guilford Press.</w:t>
      </w:r>
    </w:p>
    <w:p w14:paraId="3349EFE3" w14:textId="77777777" w:rsidR="00DB6E1F" w:rsidRDefault="00F666A6">
      <w:pPr>
        <w:spacing w:line="259" w:lineRule="auto"/>
        <w:ind w:left="1620" w:right="1491" w:hanging="181"/>
        <w:rPr>
          <w:rFonts w:ascii="Calibri Light"/>
          <w:sz w:val="20"/>
        </w:rPr>
      </w:pPr>
      <w:r>
        <w:rPr>
          <w:rFonts w:ascii="Calibri Light"/>
          <w:sz w:val="20"/>
        </w:rPr>
        <w:t>Miller,</w:t>
      </w:r>
      <w:r>
        <w:rPr>
          <w:rFonts w:ascii="Calibri Light"/>
          <w:spacing w:val="-4"/>
          <w:sz w:val="20"/>
        </w:rPr>
        <w:t xml:space="preserve"> </w:t>
      </w:r>
      <w:r>
        <w:rPr>
          <w:rFonts w:ascii="Calibri Light"/>
          <w:sz w:val="20"/>
        </w:rPr>
        <w:t>W.</w:t>
      </w:r>
      <w:r>
        <w:rPr>
          <w:rFonts w:ascii="Calibri Light"/>
          <w:spacing w:val="-4"/>
          <w:sz w:val="20"/>
        </w:rPr>
        <w:t xml:space="preserve"> </w:t>
      </w:r>
      <w:r>
        <w:rPr>
          <w:rFonts w:ascii="Calibri Light"/>
          <w:sz w:val="20"/>
        </w:rPr>
        <w:t>R.,</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Rollnick,</w:t>
      </w:r>
      <w:r>
        <w:rPr>
          <w:rFonts w:ascii="Calibri Light"/>
          <w:spacing w:val="-4"/>
          <w:sz w:val="20"/>
        </w:rPr>
        <w:t xml:space="preserve"> </w:t>
      </w:r>
      <w:r>
        <w:rPr>
          <w:rFonts w:ascii="Calibri Light"/>
          <w:sz w:val="20"/>
        </w:rPr>
        <w:t>S.</w:t>
      </w:r>
      <w:r>
        <w:rPr>
          <w:rFonts w:ascii="Calibri Light"/>
          <w:spacing w:val="-4"/>
          <w:sz w:val="20"/>
        </w:rPr>
        <w:t xml:space="preserve"> </w:t>
      </w:r>
      <w:r>
        <w:rPr>
          <w:rFonts w:ascii="Calibri Light"/>
          <w:sz w:val="20"/>
        </w:rPr>
        <w:t>(1991).</w:t>
      </w:r>
      <w:r>
        <w:rPr>
          <w:rFonts w:ascii="Calibri Light"/>
          <w:spacing w:val="-4"/>
          <w:sz w:val="20"/>
        </w:rPr>
        <w:t xml:space="preserve"> </w:t>
      </w:r>
      <w:r>
        <w:rPr>
          <w:rFonts w:ascii="Calibri Light"/>
          <w:i/>
          <w:sz w:val="20"/>
        </w:rPr>
        <w:t>Motivational</w:t>
      </w:r>
      <w:r>
        <w:rPr>
          <w:rFonts w:ascii="Calibri Light"/>
          <w:i/>
          <w:spacing w:val="-4"/>
          <w:sz w:val="20"/>
        </w:rPr>
        <w:t xml:space="preserve"> </w:t>
      </w:r>
      <w:r>
        <w:rPr>
          <w:rFonts w:ascii="Calibri Light"/>
          <w:i/>
          <w:sz w:val="20"/>
        </w:rPr>
        <w:t>interviewing:</w:t>
      </w:r>
      <w:r>
        <w:rPr>
          <w:rFonts w:ascii="Calibri Light"/>
          <w:i/>
          <w:spacing w:val="-3"/>
          <w:sz w:val="20"/>
        </w:rPr>
        <w:t xml:space="preserve"> </w:t>
      </w:r>
      <w:r>
        <w:rPr>
          <w:rFonts w:ascii="Calibri Light"/>
          <w:i/>
          <w:sz w:val="20"/>
        </w:rPr>
        <w:t>Preparing</w:t>
      </w:r>
      <w:r>
        <w:rPr>
          <w:rFonts w:ascii="Calibri Light"/>
          <w:i/>
          <w:spacing w:val="-3"/>
          <w:sz w:val="20"/>
        </w:rPr>
        <w:t xml:space="preserve"> </w:t>
      </w:r>
      <w:r>
        <w:rPr>
          <w:rFonts w:ascii="Calibri Light"/>
          <w:i/>
          <w:sz w:val="20"/>
        </w:rPr>
        <w:t>people</w:t>
      </w:r>
      <w:r>
        <w:rPr>
          <w:rFonts w:ascii="Calibri Light"/>
          <w:i/>
          <w:spacing w:val="-3"/>
          <w:sz w:val="20"/>
        </w:rPr>
        <w:t xml:space="preserve"> </w:t>
      </w:r>
      <w:r>
        <w:rPr>
          <w:rFonts w:ascii="Calibri Light"/>
          <w:i/>
          <w:sz w:val="20"/>
        </w:rPr>
        <w:t>to</w:t>
      </w:r>
      <w:r>
        <w:rPr>
          <w:rFonts w:ascii="Calibri Light"/>
          <w:i/>
          <w:spacing w:val="-3"/>
          <w:sz w:val="20"/>
        </w:rPr>
        <w:t xml:space="preserve"> </w:t>
      </w:r>
      <w:r>
        <w:rPr>
          <w:rFonts w:ascii="Calibri Light"/>
          <w:i/>
          <w:sz w:val="20"/>
        </w:rPr>
        <w:t>change</w:t>
      </w:r>
      <w:r>
        <w:rPr>
          <w:rFonts w:ascii="Calibri Light"/>
          <w:i/>
          <w:spacing w:val="-3"/>
          <w:sz w:val="20"/>
        </w:rPr>
        <w:t xml:space="preserve"> </w:t>
      </w:r>
      <w:r>
        <w:rPr>
          <w:rFonts w:ascii="Calibri Light"/>
          <w:i/>
          <w:sz w:val="20"/>
        </w:rPr>
        <w:t>addictive</w:t>
      </w:r>
      <w:r>
        <w:rPr>
          <w:rFonts w:ascii="Calibri Light"/>
          <w:i/>
          <w:spacing w:val="-3"/>
          <w:sz w:val="20"/>
        </w:rPr>
        <w:t xml:space="preserve"> </w:t>
      </w:r>
      <w:r>
        <w:rPr>
          <w:rFonts w:ascii="Calibri Light"/>
          <w:i/>
          <w:sz w:val="20"/>
        </w:rPr>
        <w:t>behavior</w:t>
      </w:r>
      <w:r>
        <w:rPr>
          <w:rFonts w:ascii="Calibri Light"/>
          <w:sz w:val="20"/>
        </w:rPr>
        <w:t>.</w:t>
      </w:r>
      <w:r>
        <w:rPr>
          <w:rFonts w:ascii="Calibri Light"/>
          <w:spacing w:val="-4"/>
          <w:sz w:val="20"/>
        </w:rPr>
        <w:t xml:space="preserve"> </w:t>
      </w:r>
      <w:r>
        <w:rPr>
          <w:rFonts w:ascii="Calibri Light"/>
          <w:sz w:val="20"/>
        </w:rPr>
        <w:t>New York, NY: Guilford Press.</w:t>
      </w:r>
    </w:p>
    <w:p w14:paraId="36849954" w14:textId="77777777" w:rsidR="00DB6E1F" w:rsidRDefault="00F666A6">
      <w:pPr>
        <w:spacing w:line="259" w:lineRule="auto"/>
        <w:ind w:left="1619" w:right="1491" w:hanging="180"/>
        <w:rPr>
          <w:rFonts w:ascii="Calibri Light" w:hAnsi="Calibri Light"/>
          <w:sz w:val="20"/>
        </w:rPr>
      </w:pPr>
      <w:r>
        <w:rPr>
          <w:rFonts w:ascii="Calibri Light" w:hAnsi="Calibri Light"/>
          <w:sz w:val="20"/>
        </w:rPr>
        <w:t>Miller,</w:t>
      </w:r>
      <w:r>
        <w:rPr>
          <w:rFonts w:ascii="Calibri Light" w:hAnsi="Calibri Light"/>
          <w:spacing w:val="-4"/>
          <w:sz w:val="20"/>
        </w:rPr>
        <w:t xml:space="preserve"> </w:t>
      </w:r>
      <w:r>
        <w:rPr>
          <w:rFonts w:ascii="Calibri Light" w:hAnsi="Calibri Light"/>
          <w:sz w:val="20"/>
        </w:rPr>
        <w:t>W.</w:t>
      </w:r>
      <w:r>
        <w:rPr>
          <w:rFonts w:ascii="Calibri Light" w:hAnsi="Calibri Light"/>
          <w:spacing w:val="-4"/>
          <w:sz w:val="20"/>
        </w:rPr>
        <w:t xml:space="preserve"> </w:t>
      </w:r>
      <w:r>
        <w:rPr>
          <w:rFonts w:ascii="Calibri Light" w:hAnsi="Calibri Light"/>
          <w:sz w:val="20"/>
        </w:rPr>
        <w:t>R.,</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Rose,</w:t>
      </w:r>
      <w:r>
        <w:rPr>
          <w:rFonts w:ascii="Calibri Light" w:hAnsi="Calibri Light"/>
          <w:spacing w:val="-4"/>
          <w:sz w:val="20"/>
        </w:rPr>
        <w:t xml:space="preserve"> </w:t>
      </w:r>
      <w:r>
        <w:rPr>
          <w:rFonts w:ascii="Calibri Light" w:hAnsi="Calibri Light"/>
          <w:sz w:val="20"/>
        </w:rPr>
        <w:t>G.</w:t>
      </w:r>
      <w:r>
        <w:rPr>
          <w:rFonts w:ascii="Calibri Light" w:hAnsi="Calibri Light"/>
          <w:spacing w:val="-4"/>
          <w:sz w:val="20"/>
        </w:rPr>
        <w:t xml:space="preserve"> </w:t>
      </w:r>
      <w:r>
        <w:rPr>
          <w:rFonts w:ascii="Calibri Light" w:hAnsi="Calibri Light"/>
          <w:sz w:val="20"/>
        </w:rPr>
        <w:t>S.</w:t>
      </w:r>
      <w:r>
        <w:rPr>
          <w:rFonts w:ascii="Calibri Light" w:hAnsi="Calibri Light"/>
          <w:spacing w:val="-4"/>
          <w:sz w:val="20"/>
        </w:rPr>
        <w:t xml:space="preserve"> </w:t>
      </w:r>
      <w:r>
        <w:rPr>
          <w:rFonts w:ascii="Calibri Light" w:hAnsi="Calibri Light"/>
          <w:sz w:val="20"/>
        </w:rPr>
        <w:t>(2013).</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2"/>
          <w:sz w:val="20"/>
        </w:rPr>
        <w:t xml:space="preserve"> </w:t>
      </w:r>
      <w:r>
        <w:rPr>
          <w:rFonts w:ascii="Calibri Light" w:hAnsi="Calibri Light"/>
          <w:sz w:val="20"/>
        </w:rPr>
        <w:t>interviewing</w:t>
      </w:r>
      <w:r>
        <w:rPr>
          <w:rFonts w:ascii="Calibri Light" w:hAnsi="Calibri Light"/>
          <w:spacing w:val="-1"/>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decisional</w:t>
      </w:r>
      <w:r>
        <w:rPr>
          <w:rFonts w:ascii="Calibri Light" w:hAnsi="Calibri Light"/>
          <w:spacing w:val="-4"/>
          <w:sz w:val="20"/>
        </w:rPr>
        <w:t xml:space="preserve"> </w:t>
      </w:r>
      <w:r>
        <w:rPr>
          <w:rFonts w:ascii="Calibri Light" w:hAnsi="Calibri Light"/>
          <w:sz w:val="20"/>
        </w:rPr>
        <w:t>balance:</w:t>
      </w:r>
      <w:r>
        <w:rPr>
          <w:rFonts w:ascii="Calibri Light" w:hAnsi="Calibri Light"/>
          <w:spacing w:val="-3"/>
          <w:sz w:val="20"/>
        </w:rPr>
        <w:t xml:space="preserve"> </w:t>
      </w:r>
      <w:r>
        <w:rPr>
          <w:rFonts w:ascii="Calibri Light" w:hAnsi="Calibri Light"/>
          <w:sz w:val="20"/>
        </w:rPr>
        <w:t>Contrasting</w:t>
      </w:r>
      <w:r>
        <w:rPr>
          <w:rFonts w:ascii="Calibri Light" w:hAnsi="Calibri Light"/>
          <w:spacing w:val="-3"/>
          <w:sz w:val="20"/>
        </w:rPr>
        <w:t xml:space="preserve"> </w:t>
      </w:r>
      <w:r>
        <w:rPr>
          <w:rFonts w:ascii="Calibri Light" w:hAnsi="Calibri Light"/>
          <w:sz w:val="20"/>
        </w:rPr>
        <w:t>responses</w:t>
      </w:r>
      <w:r>
        <w:rPr>
          <w:rFonts w:ascii="Calibri Light" w:hAnsi="Calibri Light"/>
          <w:spacing w:val="-1"/>
          <w:sz w:val="20"/>
        </w:rPr>
        <w:t xml:space="preserve"> </w:t>
      </w:r>
      <w:r>
        <w:rPr>
          <w:rFonts w:ascii="Calibri Light" w:hAnsi="Calibri Light"/>
          <w:sz w:val="20"/>
        </w:rPr>
        <w:t>to</w:t>
      </w:r>
      <w:r>
        <w:rPr>
          <w:rFonts w:ascii="Calibri Light" w:hAnsi="Calibri Light"/>
          <w:spacing w:val="-4"/>
          <w:sz w:val="20"/>
        </w:rPr>
        <w:t xml:space="preserve"> </w:t>
      </w:r>
      <w:r>
        <w:rPr>
          <w:rFonts w:ascii="Calibri Light" w:hAnsi="Calibri Light"/>
          <w:sz w:val="20"/>
        </w:rPr>
        <w:t xml:space="preserve">client ambivalence. </w:t>
      </w:r>
      <w:r>
        <w:rPr>
          <w:rFonts w:ascii="Calibri Light" w:hAnsi="Calibri Light"/>
          <w:i/>
          <w:sz w:val="20"/>
        </w:rPr>
        <w:t>Behavioural and Cognitive Psychotherapy, 43</w:t>
      </w:r>
      <w:r>
        <w:rPr>
          <w:rFonts w:ascii="Calibri Light" w:hAnsi="Calibri Light"/>
          <w:sz w:val="20"/>
        </w:rPr>
        <w:t>(02), 129–141. doi:10.1017/s1352465813000878</w:t>
      </w:r>
    </w:p>
    <w:p w14:paraId="17FAF865" w14:textId="77777777" w:rsidR="00DB6E1F" w:rsidRDefault="00F666A6">
      <w:pPr>
        <w:spacing w:line="259" w:lineRule="auto"/>
        <w:ind w:left="1620" w:right="1491" w:hanging="181"/>
        <w:rPr>
          <w:rFonts w:ascii="Calibri Light" w:hAnsi="Calibri Light"/>
          <w:sz w:val="20"/>
        </w:rPr>
      </w:pPr>
      <w:r>
        <w:rPr>
          <w:rFonts w:ascii="Calibri Light" w:hAnsi="Calibri Light"/>
          <w:sz w:val="20"/>
        </w:rPr>
        <w:t>Miller,</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Sanchez,</w:t>
      </w:r>
      <w:r>
        <w:rPr>
          <w:rFonts w:ascii="Calibri Light" w:hAnsi="Calibri Light"/>
          <w:spacing w:val="-3"/>
          <w:sz w:val="20"/>
        </w:rPr>
        <w:t xml:space="preserve"> </w:t>
      </w:r>
      <w:r>
        <w:rPr>
          <w:rFonts w:ascii="Calibri Light" w:hAnsi="Calibri Light"/>
          <w:sz w:val="20"/>
        </w:rPr>
        <w:t>V.</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(1994).</w:t>
      </w:r>
      <w:r>
        <w:rPr>
          <w:rFonts w:ascii="Calibri Light" w:hAnsi="Calibri Light"/>
          <w:spacing w:val="-3"/>
          <w:sz w:val="20"/>
        </w:rPr>
        <w:t xml:space="preserve"> </w:t>
      </w:r>
      <w:r>
        <w:rPr>
          <w:rFonts w:ascii="Calibri Light" w:hAnsi="Calibri Light"/>
          <w:sz w:val="20"/>
        </w:rPr>
        <w:t>Motivating</w:t>
      </w:r>
      <w:r>
        <w:rPr>
          <w:rFonts w:ascii="Calibri Light" w:hAnsi="Calibri Light"/>
          <w:spacing w:val="-2"/>
          <w:sz w:val="20"/>
        </w:rPr>
        <w:t xml:space="preserve"> </w:t>
      </w:r>
      <w:r>
        <w:rPr>
          <w:rFonts w:ascii="Calibri Light" w:hAnsi="Calibri Light"/>
          <w:sz w:val="20"/>
        </w:rPr>
        <w:t>young</w:t>
      </w:r>
      <w:r>
        <w:rPr>
          <w:rFonts w:ascii="Calibri Light" w:hAnsi="Calibri Light"/>
          <w:spacing w:val="-2"/>
          <w:sz w:val="20"/>
        </w:rPr>
        <w:t xml:space="preserve"> </w:t>
      </w:r>
      <w:r>
        <w:rPr>
          <w:rFonts w:ascii="Calibri Light" w:hAnsi="Calibri Light"/>
          <w:sz w:val="20"/>
        </w:rPr>
        <w:t>adults</w:t>
      </w:r>
      <w:r>
        <w:rPr>
          <w:rFonts w:ascii="Calibri Light" w:hAnsi="Calibri Light"/>
          <w:spacing w:val="-2"/>
          <w:sz w:val="20"/>
        </w:rPr>
        <w:t xml:space="preserve"> </w:t>
      </w:r>
      <w:r>
        <w:rPr>
          <w:rFonts w:ascii="Calibri Light" w:hAnsi="Calibri Light"/>
          <w:sz w:val="20"/>
        </w:rPr>
        <w:t>for</w:t>
      </w:r>
      <w:r>
        <w:rPr>
          <w:rFonts w:ascii="Calibri Light" w:hAnsi="Calibri Light"/>
          <w:spacing w:val="-1"/>
          <w:sz w:val="20"/>
        </w:rPr>
        <w:t xml:space="preserve"> </w:t>
      </w:r>
      <w:r>
        <w:rPr>
          <w:rFonts w:ascii="Calibri Light" w:hAnsi="Calibri Light"/>
          <w:sz w:val="20"/>
        </w:rPr>
        <w:t>treatment</w:t>
      </w:r>
      <w:r>
        <w:rPr>
          <w:rFonts w:ascii="Calibri Light" w:hAnsi="Calibri Light"/>
          <w:spacing w:val="-3"/>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lifestyle change.</w:t>
      </w:r>
      <w:r>
        <w:rPr>
          <w:rFonts w:ascii="Calibri Light" w:hAnsi="Calibri Light"/>
          <w:spacing w:val="-1"/>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G.</w:t>
      </w:r>
      <w:r>
        <w:rPr>
          <w:rFonts w:ascii="Calibri Light" w:hAnsi="Calibri Light"/>
          <w:spacing w:val="-1"/>
          <w:sz w:val="20"/>
        </w:rPr>
        <w:t xml:space="preserve"> </w:t>
      </w:r>
      <w:r>
        <w:rPr>
          <w:rFonts w:ascii="Calibri Light" w:hAnsi="Calibri Light"/>
          <w:sz w:val="20"/>
        </w:rPr>
        <w:t>Howard</w:t>
      </w:r>
      <w:r>
        <w:rPr>
          <w:rFonts w:ascii="Calibri Light" w:hAnsi="Calibri Light"/>
          <w:spacing w:val="-3"/>
          <w:sz w:val="20"/>
        </w:rPr>
        <w:t xml:space="preserve"> </w:t>
      </w:r>
      <w:r>
        <w:rPr>
          <w:rFonts w:ascii="Calibri Light" w:hAnsi="Calibri Light"/>
          <w:sz w:val="20"/>
        </w:rPr>
        <w:t xml:space="preserve">&amp; Nathan (Eds.), </w:t>
      </w:r>
      <w:r>
        <w:rPr>
          <w:rFonts w:ascii="Calibri Light" w:hAnsi="Calibri Light"/>
          <w:i/>
          <w:sz w:val="20"/>
        </w:rPr>
        <w:t xml:space="preserve">Alcohol use and misuse by young adults </w:t>
      </w:r>
      <w:r>
        <w:rPr>
          <w:rFonts w:ascii="Calibri Light" w:hAnsi="Calibri Light"/>
          <w:sz w:val="20"/>
        </w:rPr>
        <w:t xml:space="preserve">(pp. 55–82). Notre Dame, IN: University of Notre Dame </w:t>
      </w:r>
      <w:r>
        <w:rPr>
          <w:rFonts w:ascii="Calibri Light" w:hAnsi="Calibri Light"/>
          <w:spacing w:val="-2"/>
          <w:sz w:val="20"/>
        </w:rPr>
        <w:t>Press.</w:t>
      </w:r>
    </w:p>
    <w:p w14:paraId="1217FC1B" w14:textId="77777777" w:rsidR="00DB6E1F" w:rsidRDefault="00F666A6">
      <w:pPr>
        <w:spacing w:line="259" w:lineRule="auto"/>
        <w:ind w:left="1620" w:right="1491" w:hanging="180"/>
        <w:rPr>
          <w:rFonts w:ascii="Calibri Light" w:hAnsi="Calibri Light"/>
          <w:sz w:val="20"/>
        </w:rPr>
      </w:pPr>
      <w:r>
        <w:rPr>
          <w:rFonts w:ascii="Calibri Light" w:hAnsi="Calibri Light"/>
          <w:sz w:val="20"/>
        </w:rPr>
        <w:t>Miller,</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Tonigan,</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(1996).</w:t>
      </w:r>
      <w:r>
        <w:rPr>
          <w:rFonts w:ascii="Calibri Light" w:hAnsi="Calibri Light"/>
          <w:spacing w:val="-3"/>
          <w:sz w:val="20"/>
        </w:rPr>
        <w:t xml:space="preserve"> </w:t>
      </w:r>
      <w:r>
        <w:rPr>
          <w:rFonts w:ascii="Calibri Light" w:hAnsi="Calibri Light"/>
          <w:sz w:val="20"/>
        </w:rPr>
        <w:t>Assessing</w:t>
      </w:r>
      <w:r>
        <w:rPr>
          <w:rFonts w:ascii="Calibri Light" w:hAnsi="Calibri Light"/>
          <w:spacing w:val="-2"/>
          <w:sz w:val="20"/>
        </w:rPr>
        <w:t xml:space="preserve"> </w:t>
      </w:r>
      <w:r>
        <w:rPr>
          <w:rFonts w:ascii="Calibri Light" w:hAnsi="Calibri Light"/>
          <w:sz w:val="20"/>
        </w:rPr>
        <w:t>drinkers’</w:t>
      </w:r>
      <w:r>
        <w:rPr>
          <w:rFonts w:ascii="Calibri Light" w:hAnsi="Calibri Light"/>
          <w:spacing w:val="-3"/>
          <w:sz w:val="20"/>
        </w:rPr>
        <w:t xml:space="preserve"> </w:t>
      </w:r>
      <w:r>
        <w:rPr>
          <w:rFonts w:ascii="Calibri Light" w:hAnsi="Calibri Light"/>
          <w:sz w:val="20"/>
        </w:rPr>
        <w:t>motivation</w:t>
      </w:r>
      <w:r>
        <w:rPr>
          <w:rFonts w:ascii="Calibri Light" w:hAnsi="Calibri Light"/>
          <w:spacing w:val="-2"/>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change:</w:t>
      </w:r>
      <w:r>
        <w:rPr>
          <w:rFonts w:ascii="Calibri Light" w:hAnsi="Calibri Light"/>
          <w:spacing w:val="-2"/>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Stages</w:t>
      </w:r>
      <w:r>
        <w:rPr>
          <w:rFonts w:ascii="Calibri Light" w:hAnsi="Calibri Light"/>
          <w:spacing w:val="-1"/>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Change</w:t>
      </w:r>
      <w:r>
        <w:rPr>
          <w:rFonts w:ascii="Calibri Light" w:hAnsi="Calibri Light"/>
          <w:spacing w:val="-2"/>
          <w:sz w:val="20"/>
        </w:rPr>
        <w:t xml:space="preserve"> </w:t>
      </w:r>
      <w:r>
        <w:rPr>
          <w:rFonts w:ascii="Calibri Light" w:hAnsi="Calibri Light"/>
          <w:sz w:val="20"/>
        </w:rPr>
        <w:t>Readiness</w:t>
      </w:r>
      <w:r>
        <w:rPr>
          <w:rFonts w:ascii="Calibri Light" w:hAnsi="Calibri Light"/>
          <w:spacing w:val="-2"/>
          <w:sz w:val="20"/>
        </w:rPr>
        <w:t xml:space="preserve"> </w:t>
      </w:r>
      <w:r>
        <w:rPr>
          <w:rFonts w:ascii="Calibri Light" w:hAnsi="Calibri Light"/>
          <w:sz w:val="20"/>
        </w:rPr>
        <w:t xml:space="preserve">and Treatment Eagerness Scale (SOCRATES). </w:t>
      </w:r>
      <w:r>
        <w:rPr>
          <w:rFonts w:ascii="Calibri Light" w:hAnsi="Calibri Light"/>
          <w:i/>
          <w:sz w:val="20"/>
        </w:rPr>
        <w:t>Psychology of Addictive Behaviors, 10</w:t>
      </w:r>
      <w:r>
        <w:rPr>
          <w:rFonts w:ascii="Calibri Light" w:hAnsi="Calibri Light"/>
          <w:sz w:val="20"/>
        </w:rPr>
        <w:t>(2), 81–89.</w:t>
      </w:r>
    </w:p>
    <w:p w14:paraId="3D2F613D" w14:textId="77777777" w:rsidR="00DB6E1F" w:rsidRDefault="00F666A6">
      <w:pPr>
        <w:spacing w:line="259" w:lineRule="auto"/>
        <w:ind w:left="1620" w:right="1491" w:hanging="181"/>
        <w:rPr>
          <w:rFonts w:ascii="Calibri Light"/>
          <w:sz w:val="20"/>
        </w:rPr>
      </w:pPr>
      <w:r>
        <w:rPr>
          <w:rFonts w:ascii="Calibri Light"/>
          <w:sz w:val="20"/>
        </w:rPr>
        <w:t>Miller,</w:t>
      </w:r>
      <w:r>
        <w:rPr>
          <w:rFonts w:ascii="Calibri Light"/>
          <w:spacing w:val="-3"/>
          <w:sz w:val="20"/>
        </w:rPr>
        <w:t xml:space="preserve"> </w:t>
      </w:r>
      <w:r>
        <w:rPr>
          <w:rFonts w:ascii="Calibri Light"/>
          <w:sz w:val="20"/>
        </w:rPr>
        <w:t>W.</w:t>
      </w:r>
      <w:r>
        <w:rPr>
          <w:rFonts w:ascii="Calibri Light"/>
          <w:spacing w:val="-3"/>
          <w:sz w:val="20"/>
        </w:rPr>
        <w:t xml:space="preserve"> </w:t>
      </w:r>
      <w:r>
        <w:rPr>
          <w:rFonts w:ascii="Calibri Light"/>
          <w:sz w:val="20"/>
        </w:rPr>
        <w:t>R.,</w:t>
      </w:r>
      <w:r>
        <w:rPr>
          <w:rFonts w:ascii="Calibri Light"/>
          <w:spacing w:val="-1"/>
          <w:sz w:val="20"/>
        </w:rPr>
        <w:t xml:space="preserve"> </w:t>
      </w:r>
      <w:r>
        <w:rPr>
          <w:rFonts w:ascii="Calibri Light"/>
          <w:sz w:val="20"/>
        </w:rPr>
        <w:t>Tonigan,</w:t>
      </w:r>
      <w:r>
        <w:rPr>
          <w:rFonts w:ascii="Calibri Light"/>
          <w:spacing w:val="-3"/>
          <w:sz w:val="20"/>
        </w:rPr>
        <w:t xml:space="preserve"> </w:t>
      </w:r>
      <w:r>
        <w:rPr>
          <w:rFonts w:ascii="Calibri Light"/>
          <w:sz w:val="20"/>
        </w:rPr>
        <w:t>J.</w:t>
      </w:r>
      <w:r>
        <w:rPr>
          <w:rFonts w:ascii="Calibri Light"/>
          <w:spacing w:val="-3"/>
          <w:sz w:val="20"/>
        </w:rPr>
        <w:t xml:space="preserve"> </w:t>
      </w:r>
      <w:r>
        <w:rPr>
          <w:rFonts w:ascii="Calibri Light"/>
          <w:sz w:val="20"/>
        </w:rPr>
        <w:t>S.,</w:t>
      </w:r>
      <w:r>
        <w:rPr>
          <w:rFonts w:ascii="Calibri Light"/>
          <w:spacing w:val="-3"/>
          <w:sz w:val="20"/>
        </w:rPr>
        <w:t xml:space="preserve"> </w:t>
      </w:r>
      <w:r>
        <w:rPr>
          <w:rFonts w:ascii="Calibri Light"/>
          <w:sz w:val="20"/>
        </w:rPr>
        <w:t>&amp; Longabaugh,</w:t>
      </w:r>
      <w:r>
        <w:rPr>
          <w:rFonts w:ascii="Calibri Light"/>
          <w:spacing w:val="-3"/>
          <w:sz w:val="20"/>
        </w:rPr>
        <w:t xml:space="preserve"> </w:t>
      </w:r>
      <w:r>
        <w:rPr>
          <w:rFonts w:ascii="Calibri Light"/>
          <w:sz w:val="20"/>
        </w:rPr>
        <w:t>R.</w:t>
      </w:r>
      <w:r>
        <w:rPr>
          <w:rFonts w:ascii="Calibri Light"/>
          <w:spacing w:val="-3"/>
          <w:sz w:val="20"/>
        </w:rPr>
        <w:t xml:space="preserve"> </w:t>
      </w:r>
      <w:r>
        <w:rPr>
          <w:rFonts w:ascii="Calibri Light"/>
          <w:sz w:val="20"/>
        </w:rPr>
        <w:t>(1995</w:t>
      </w:r>
      <w:r>
        <w:rPr>
          <w:rFonts w:ascii="Calibri Light"/>
          <w:i/>
          <w:sz w:val="20"/>
        </w:rPr>
        <w:t>).</w:t>
      </w:r>
      <w:r>
        <w:rPr>
          <w:rFonts w:ascii="Calibri Light"/>
          <w:i/>
          <w:spacing w:val="-3"/>
          <w:sz w:val="20"/>
        </w:rPr>
        <w:t xml:space="preserve"> </w:t>
      </w:r>
      <w:r>
        <w:rPr>
          <w:rFonts w:ascii="Calibri Light"/>
          <w:i/>
          <w:sz w:val="20"/>
        </w:rPr>
        <w:t>The</w:t>
      </w:r>
      <w:r>
        <w:rPr>
          <w:rFonts w:ascii="Calibri Light"/>
          <w:i/>
          <w:spacing w:val="-3"/>
          <w:sz w:val="20"/>
        </w:rPr>
        <w:t xml:space="preserve"> </w:t>
      </w:r>
      <w:r>
        <w:rPr>
          <w:rFonts w:ascii="Calibri Light"/>
          <w:i/>
          <w:sz w:val="20"/>
        </w:rPr>
        <w:t>Drinker</w:t>
      </w:r>
      <w:r>
        <w:rPr>
          <w:rFonts w:ascii="Calibri Light"/>
          <w:i/>
          <w:spacing w:val="-3"/>
          <w:sz w:val="20"/>
        </w:rPr>
        <w:t xml:space="preserve"> </w:t>
      </w:r>
      <w:r>
        <w:rPr>
          <w:rFonts w:ascii="Calibri Light"/>
          <w:i/>
          <w:sz w:val="20"/>
        </w:rPr>
        <w:t>Inventory</w:t>
      </w:r>
      <w:r>
        <w:rPr>
          <w:rFonts w:ascii="Calibri Light"/>
          <w:i/>
          <w:spacing w:val="-3"/>
          <w:sz w:val="20"/>
        </w:rPr>
        <w:t xml:space="preserve"> </w:t>
      </w:r>
      <w:r>
        <w:rPr>
          <w:rFonts w:ascii="Calibri Light"/>
          <w:i/>
          <w:sz w:val="20"/>
        </w:rPr>
        <w:t>of</w:t>
      </w:r>
      <w:r>
        <w:rPr>
          <w:rFonts w:ascii="Calibri Light"/>
          <w:i/>
          <w:spacing w:val="-3"/>
          <w:sz w:val="20"/>
        </w:rPr>
        <w:t xml:space="preserve"> </w:t>
      </w:r>
      <w:r>
        <w:rPr>
          <w:rFonts w:ascii="Calibri Light"/>
          <w:i/>
          <w:sz w:val="20"/>
        </w:rPr>
        <w:t>Consequences</w:t>
      </w:r>
      <w:r>
        <w:rPr>
          <w:rFonts w:ascii="Calibri Light"/>
          <w:i/>
          <w:spacing w:val="-3"/>
          <w:sz w:val="20"/>
        </w:rPr>
        <w:t xml:space="preserve"> </w:t>
      </w:r>
      <w:r>
        <w:rPr>
          <w:rFonts w:ascii="Calibri Light"/>
          <w:i/>
          <w:sz w:val="20"/>
        </w:rPr>
        <w:t>(DrInC):</w:t>
      </w:r>
      <w:r>
        <w:rPr>
          <w:rFonts w:ascii="Calibri Light"/>
          <w:i/>
          <w:spacing w:val="-3"/>
          <w:sz w:val="20"/>
        </w:rPr>
        <w:t xml:space="preserve"> </w:t>
      </w:r>
      <w:r>
        <w:rPr>
          <w:rFonts w:ascii="Calibri Light"/>
          <w:i/>
          <w:sz w:val="20"/>
        </w:rPr>
        <w:t>An</w:t>
      </w:r>
      <w:r>
        <w:rPr>
          <w:rFonts w:ascii="Calibri Light"/>
          <w:i/>
          <w:spacing w:val="-3"/>
          <w:sz w:val="20"/>
        </w:rPr>
        <w:t xml:space="preserve"> </w:t>
      </w:r>
      <w:r>
        <w:rPr>
          <w:rFonts w:ascii="Calibri Light"/>
          <w:i/>
          <w:sz w:val="20"/>
        </w:rPr>
        <w:t xml:space="preserve">instrument for assessing adverse consequences of alcohol abuse, Test manual </w:t>
      </w:r>
      <w:r>
        <w:rPr>
          <w:rFonts w:ascii="Calibri Light"/>
          <w:sz w:val="20"/>
        </w:rPr>
        <w:t>(vol. 4). Project MATCH Monograph Series.</w:t>
      </w:r>
    </w:p>
    <w:p w14:paraId="5DB23B4C" w14:textId="77777777" w:rsidR="00DB6E1F" w:rsidRDefault="00F666A6">
      <w:pPr>
        <w:spacing w:line="259" w:lineRule="auto"/>
        <w:ind w:left="1620" w:right="1491"/>
        <w:rPr>
          <w:rFonts w:ascii="Calibri Light"/>
          <w:sz w:val="20"/>
        </w:rPr>
      </w:pPr>
      <w:r>
        <w:rPr>
          <w:rFonts w:ascii="Calibri Light"/>
          <w:sz w:val="20"/>
        </w:rPr>
        <w:t>Rockville,</w:t>
      </w:r>
      <w:r>
        <w:rPr>
          <w:rFonts w:ascii="Calibri Light"/>
          <w:spacing w:val="-3"/>
          <w:sz w:val="20"/>
        </w:rPr>
        <w:t xml:space="preserve"> </w:t>
      </w:r>
      <w:r>
        <w:rPr>
          <w:rFonts w:ascii="Calibri Light"/>
          <w:sz w:val="20"/>
        </w:rPr>
        <w:t>MD:</w:t>
      </w:r>
      <w:r>
        <w:rPr>
          <w:rFonts w:ascii="Calibri Light"/>
          <w:spacing w:val="-4"/>
          <w:sz w:val="20"/>
        </w:rPr>
        <w:t xml:space="preserve"> </w:t>
      </w:r>
      <w:r>
        <w:rPr>
          <w:rFonts w:ascii="Calibri Light"/>
          <w:sz w:val="20"/>
        </w:rPr>
        <w:t>National</w:t>
      </w:r>
      <w:r>
        <w:rPr>
          <w:rFonts w:ascii="Calibri Light"/>
          <w:spacing w:val="-5"/>
          <w:sz w:val="20"/>
        </w:rPr>
        <w:t xml:space="preserve"> </w:t>
      </w:r>
      <w:r>
        <w:rPr>
          <w:rFonts w:ascii="Calibri Light"/>
          <w:sz w:val="20"/>
        </w:rPr>
        <w:t>Institute</w:t>
      </w:r>
      <w:r>
        <w:rPr>
          <w:rFonts w:ascii="Calibri Light"/>
          <w:spacing w:val="-4"/>
          <w:sz w:val="20"/>
        </w:rPr>
        <w:t xml:space="preserve"> </w:t>
      </w:r>
      <w:r>
        <w:rPr>
          <w:rFonts w:ascii="Calibri Light"/>
          <w:sz w:val="20"/>
        </w:rPr>
        <w:t>on</w:t>
      </w:r>
      <w:r>
        <w:rPr>
          <w:rFonts w:ascii="Calibri Light"/>
          <w:spacing w:val="-4"/>
          <w:sz w:val="20"/>
        </w:rPr>
        <w:t xml:space="preserve"> </w:t>
      </w:r>
      <w:r>
        <w:rPr>
          <w:rFonts w:ascii="Calibri Light"/>
          <w:sz w:val="20"/>
        </w:rPr>
        <w:t>Alcohol</w:t>
      </w:r>
      <w:r>
        <w:rPr>
          <w:rFonts w:ascii="Calibri Light"/>
          <w:spacing w:val="-5"/>
          <w:sz w:val="20"/>
        </w:rPr>
        <w:t xml:space="preserve"> </w:t>
      </w:r>
      <w:r>
        <w:rPr>
          <w:rFonts w:ascii="Calibri Light"/>
          <w:sz w:val="20"/>
        </w:rPr>
        <w:t>Abuse</w:t>
      </w:r>
      <w:r>
        <w:rPr>
          <w:rFonts w:ascii="Calibri Light"/>
          <w:spacing w:val="-4"/>
          <w:sz w:val="20"/>
        </w:rPr>
        <w:t xml:space="preserve"> </w:t>
      </w:r>
      <w:r>
        <w:rPr>
          <w:rFonts w:ascii="Calibri Light"/>
          <w:sz w:val="20"/>
        </w:rPr>
        <w:t>and</w:t>
      </w:r>
      <w:r>
        <w:rPr>
          <w:rFonts w:ascii="Calibri Light"/>
          <w:spacing w:val="-4"/>
          <w:sz w:val="20"/>
        </w:rPr>
        <w:t xml:space="preserve"> </w:t>
      </w:r>
      <w:r>
        <w:rPr>
          <w:rFonts w:ascii="Calibri Light"/>
          <w:sz w:val="20"/>
        </w:rPr>
        <w:t>Alcoholism.</w:t>
      </w:r>
      <w:r>
        <w:rPr>
          <w:rFonts w:ascii="Calibri Light"/>
          <w:spacing w:val="-5"/>
          <w:sz w:val="20"/>
        </w:rPr>
        <w:t xml:space="preserve"> </w:t>
      </w:r>
      <w:r>
        <w:rPr>
          <w:rFonts w:ascii="Calibri Light"/>
          <w:sz w:val="20"/>
        </w:rPr>
        <w:t>Retrieved</w:t>
      </w:r>
      <w:r>
        <w:rPr>
          <w:rFonts w:ascii="Calibri Light"/>
          <w:spacing w:val="-4"/>
          <w:sz w:val="20"/>
        </w:rPr>
        <w:t xml:space="preserve"> </w:t>
      </w:r>
      <w:r>
        <w:rPr>
          <w:rFonts w:ascii="Calibri Light"/>
          <w:sz w:val="20"/>
        </w:rPr>
        <w:t xml:space="preserve">from </w:t>
      </w:r>
      <w:hyperlink r:id="rId135">
        <w:r>
          <w:rPr>
            <w:rFonts w:ascii="Calibri Light"/>
            <w:color w:val="0563C1"/>
            <w:spacing w:val="-2"/>
            <w:sz w:val="20"/>
            <w:u w:val="single" w:color="0563C1"/>
          </w:rPr>
          <w:t>https://pubs.niaaa.nih.gov/publications/projectmatch/match04.pdf</w:t>
        </w:r>
      </w:hyperlink>
    </w:p>
    <w:p w14:paraId="1999C028" w14:textId="77777777" w:rsidR="00DB6E1F" w:rsidRDefault="00F666A6">
      <w:pPr>
        <w:spacing w:line="259" w:lineRule="auto"/>
        <w:ind w:left="1620" w:right="1491" w:hanging="181"/>
        <w:rPr>
          <w:rFonts w:ascii="Calibri Light" w:hAnsi="Calibri Light"/>
          <w:sz w:val="20"/>
        </w:rPr>
      </w:pPr>
      <w:r>
        <w:rPr>
          <w:rFonts w:ascii="Calibri Light" w:hAnsi="Calibri Light"/>
          <w:sz w:val="20"/>
        </w:rPr>
        <w:t>Miller,</w:t>
      </w:r>
      <w:r>
        <w:rPr>
          <w:rFonts w:ascii="Calibri Light" w:hAnsi="Calibri Light"/>
          <w:spacing w:val="-4"/>
          <w:sz w:val="20"/>
        </w:rPr>
        <w:t xml:space="preserve"> </w:t>
      </w:r>
      <w:r>
        <w:rPr>
          <w:rFonts w:ascii="Calibri Light" w:hAnsi="Calibri Light"/>
          <w:sz w:val="20"/>
        </w:rPr>
        <w:t>W.</w:t>
      </w:r>
      <w:r>
        <w:rPr>
          <w:rFonts w:ascii="Calibri Light" w:hAnsi="Calibri Light"/>
          <w:spacing w:val="-4"/>
          <w:sz w:val="20"/>
        </w:rPr>
        <w:t xml:space="preserve"> </w:t>
      </w:r>
      <w:r>
        <w:rPr>
          <w:rFonts w:ascii="Calibri Light" w:hAnsi="Calibri Light"/>
          <w:sz w:val="20"/>
        </w:rPr>
        <w:t>R.,</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Wilbourne,</w:t>
      </w:r>
      <w:r>
        <w:rPr>
          <w:rFonts w:ascii="Calibri Light" w:hAnsi="Calibri Light"/>
          <w:spacing w:val="-4"/>
          <w:sz w:val="20"/>
        </w:rPr>
        <w:t xml:space="preserve"> </w:t>
      </w:r>
      <w:r>
        <w:rPr>
          <w:rFonts w:ascii="Calibri Light" w:hAnsi="Calibri Light"/>
          <w:sz w:val="20"/>
        </w:rPr>
        <w:t>P.</w:t>
      </w:r>
      <w:r>
        <w:rPr>
          <w:rFonts w:ascii="Calibri Light" w:hAnsi="Calibri Light"/>
          <w:spacing w:val="-1"/>
          <w:sz w:val="20"/>
        </w:rPr>
        <w:t xml:space="preserve"> </w:t>
      </w:r>
      <w:r>
        <w:rPr>
          <w:rFonts w:ascii="Calibri Light" w:hAnsi="Calibri Light"/>
          <w:sz w:val="20"/>
        </w:rPr>
        <w:t>L.</w:t>
      </w:r>
      <w:r>
        <w:rPr>
          <w:rFonts w:ascii="Calibri Light" w:hAnsi="Calibri Light"/>
          <w:spacing w:val="-4"/>
          <w:sz w:val="20"/>
        </w:rPr>
        <w:t xml:space="preserve"> </w:t>
      </w:r>
      <w:r>
        <w:rPr>
          <w:rFonts w:ascii="Calibri Light" w:hAnsi="Calibri Light"/>
          <w:sz w:val="20"/>
        </w:rPr>
        <w:t>(2002).</w:t>
      </w:r>
      <w:r>
        <w:rPr>
          <w:rFonts w:ascii="Calibri Light" w:hAnsi="Calibri Light"/>
          <w:spacing w:val="-1"/>
          <w:sz w:val="20"/>
        </w:rPr>
        <w:t xml:space="preserve"> </w:t>
      </w:r>
      <w:r>
        <w:rPr>
          <w:rFonts w:ascii="Calibri Light" w:hAnsi="Calibri Light"/>
          <w:sz w:val="20"/>
        </w:rPr>
        <w:t>Mesa</w:t>
      </w:r>
      <w:r>
        <w:rPr>
          <w:rFonts w:ascii="Calibri Light" w:hAnsi="Calibri Light"/>
          <w:spacing w:val="-3"/>
          <w:sz w:val="20"/>
        </w:rPr>
        <w:t xml:space="preserve"> </w:t>
      </w:r>
      <w:r>
        <w:rPr>
          <w:rFonts w:ascii="Calibri Light" w:hAnsi="Calibri Light"/>
          <w:sz w:val="20"/>
        </w:rPr>
        <w:t>Grande:</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methodological</w:t>
      </w:r>
      <w:r>
        <w:rPr>
          <w:rFonts w:ascii="Calibri Light" w:hAnsi="Calibri Light"/>
          <w:spacing w:val="-4"/>
          <w:sz w:val="20"/>
        </w:rPr>
        <w:t xml:space="preserve"> </w:t>
      </w:r>
      <w:r>
        <w:rPr>
          <w:rFonts w:ascii="Calibri Light" w:hAnsi="Calibri Light"/>
          <w:sz w:val="20"/>
        </w:rPr>
        <w:t>analysis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clinical</w:t>
      </w:r>
      <w:r>
        <w:rPr>
          <w:rFonts w:ascii="Calibri Light" w:hAnsi="Calibri Light"/>
          <w:spacing w:val="-4"/>
          <w:sz w:val="20"/>
        </w:rPr>
        <w:t xml:space="preserve"> </w:t>
      </w:r>
      <w:r>
        <w:rPr>
          <w:rFonts w:ascii="Calibri Light" w:hAnsi="Calibri Light"/>
          <w:sz w:val="20"/>
        </w:rPr>
        <w:t>trials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treatm</w:t>
      </w:r>
      <w:r>
        <w:rPr>
          <w:rFonts w:ascii="Calibri Light" w:hAnsi="Calibri Light"/>
          <w:sz w:val="20"/>
        </w:rPr>
        <w:t>ents</w:t>
      </w:r>
      <w:r>
        <w:rPr>
          <w:rFonts w:ascii="Calibri Light" w:hAnsi="Calibri Light"/>
          <w:spacing w:val="-3"/>
          <w:sz w:val="20"/>
        </w:rPr>
        <w:t xml:space="preserve"> </w:t>
      </w:r>
      <w:r>
        <w:rPr>
          <w:rFonts w:ascii="Calibri Light" w:hAnsi="Calibri Light"/>
          <w:sz w:val="20"/>
        </w:rPr>
        <w:t xml:space="preserve">for alcohol use disorders. </w:t>
      </w:r>
      <w:r>
        <w:rPr>
          <w:rFonts w:ascii="Calibri Light" w:hAnsi="Calibri Light"/>
          <w:i/>
          <w:sz w:val="20"/>
        </w:rPr>
        <w:t>Addiction</w:t>
      </w:r>
      <w:r>
        <w:rPr>
          <w:rFonts w:ascii="Calibri Light" w:hAnsi="Calibri Light"/>
          <w:sz w:val="20"/>
        </w:rPr>
        <w:t xml:space="preserve">, </w:t>
      </w:r>
      <w:r>
        <w:rPr>
          <w:rFonts w:ascii="Calibri Light" w:hAnsi="Calibri Light"/>
          <w:i/>
          <w:sz w:val="20"/>
        </w:rPr>
        <w:t>97</w:t>
      </w:r>
      <w:r>
        <w:rPr>
          <w:rFonts w:ascii="Calibri Light" w:hAnsi="Calibri Light"/>
          <w:sz w:val="20"/>
        </w:rPr>
        <w:t>(3), 265–277. doi:10.1046/j.1360-0443.2002.00019.x</w:t>
      </w:r>
    </w:p>
    <w:p w14:paraId="3A6D8770" w14:textId="77777777" w:rsidR="00DB6E1F" w:rsidRDefault="00F666A6">
      <w:pPr>
        <w:spacing w:line="259" w:lineRule="auto"/>
        <w:ind w:left="1620" w:right="1444" w:hanging="181"/>
        <w:rPr>
          <w:rFonts w:ascii="Calibri Light" w:hAnsi="Calibri Light"/>
          <w:sz w:val="20"/>
        </w:rPr>
      </w:pPr>
      <w:r>
        <w:rPr>
          <w:rFonts w:ascii="Calibri Light" w:hAnsi="Calibri Light"/>
          <w:sz w:val="20"/>
        </w:rPr>
        <w:t>Montgomery, L., Robinson, C., Seaman, E. L., &amp; Haeny, A. M. (2017). A scoping review and meta-analysis of psychosocial</w:t>
      </w:r>
      <w:r>
        <w:rPr>
          <w:rFonts w:ascii="Calibri Light" w:hAnsi="Calibri Light"/>
          <w:spacing w:val="-5"/>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pharmacological</w:t>
      </w:r>
      <w:r>
        <w:rPr>
          <w:rFonts w:ascii="Calibri Light" w:hAnsi="Calibri Light"/>
          <w:spacing w:val="-5"/>
          <w:sz w:val="20"/>
        </w:rPr>
        <w:t xml:space="preserve"> </w:t>
      </w:r>
      <w:r>
        <w:rPr>
          <w:rFonts w:ascii="Calibri Light" w:hAnsi="Calibri Light"/>
          <w:sz w:val="20"/>
        </w:rPr>
        <w:t>treatments</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cannab</w:t>
      </w:r>
      <w:r>
        <w:rPr>
          <w:rFonts w:ascii="Calibri Light" w:hAnsi="Calibri Light"/>
          <w:sz w:val="20"/>
        </w:rPr>
        <w:t>is</w:t>
      </w:r>
      <w:r>
        <w:rPr>
          <w:rFonts w:ascii="Calibri Light" w:hAnsi="Calibri Light"/>
          <w:spacing w:val="-2"/>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tobacco</w:t>
      </w:r>
      <w:r>
        <w:rPr>
          <w:rFonts w:ascii="Calibri Light" w:hAnsi="Calibri Light"/>
          <w:spacing w:val="-2"/>
          <w:sz w:val="20"/>
        </w:rPr>
        <w:t xml:space="preserve"> </w:t>
      </w:r>
      <w:r>
        <w:rPr>
          <w:rFonts w:ascii="Calibri Light" w:hAnsi="Calibri Light"/>
          <w:sz w:val="20"/>
        </w:rPr>
        <w:t>use</w:t>
      </w:r>
      <w:r>
        <w:rPr>
          <w:rFonts w:ascii="Calibri Light" w:hAnsi="Calibri Light"/>
          <w:spacing w:val="-4"/>
          <w:sz w:val="20"/>
        </w:rPr>
        <w:t xml:space="preserve"> </w:t>
      </w:r>
      <w:r>
        <w:rPr>
          <w:rFonts w:ascii="Calibri Light" w:hAnsi="Calibri Light"/>
          <w:sz w:val="20"/>
        </w:rPr>
        <w:t>among</w:t>
      </w:r>
      <w:r>
        <w:rPr>
          <w:rFonts w:ascii="Calibri Light" w:hAnsi="Calibri Light"/>
          <w:spacing w:val="-4"/>
          <w:sz w:val="20"/>
        </w:rPr>
        <w:t xml:space="preserve"> </w:t>
      </w:r>
      <w:r>
        <w:rPr>
          <w:rFonts w:ascii="Calibri Light" w:hAnsi="Calibri Light"/>
          <w:sz w:val="20"/>
        </w:rPr>
        <w:t>African</w:t>
      </w:r>
      <w:r>
        <w:rPr>
          <w:rFonts w:ascii="Calibri Light" w:hAnsi="Calibri Light"/>
          <w:spacing w:val="-4"/>
          <w:sz w:val="20"/>
        </w:rPr>
        <w:t xml:space="preserve"> </w:t>
      </w:r>
      <w:r>
        <w:rPr>
          <w:rFonts w:ascii="Calibri Light" w:hAnsi="Calibri Light"/>
          <w:sz w:val="20"/>
        </w:rPr>
        <w:t>Americans.</w:t>
      </w:r>
      <w:r>
        <w:rPr>
          <w:rFonts w:ascii="Calibri Light" w:hAnsi="Calibri Light"/>
          <w:spacing w:val="-5"/>
          <w:sz w:val="20"/>
        </w:rPr>
        <w:t xml:space="preserve"> </w:t>
      </w:r>
      <w:r>
        <w:rPr>
          <w:rFonts w:ascii="Calibri Light" w:hAnsi="Calibri Light"/>
          <w:i/>
          <w:sz w:val="20"/>
        </w:rPr>
        <w:t>Psychology of Addictive Behaviors, 31</w:t>
      </w:r>
      <w:r>
        <w:rPr>
          <w:rFonts w:ascii="Calibri Light" w:hAnsi="Calibri Light"/>
          <w:sz w:val="20"/>
        </w:rPr>
        <w:t xml:space="preserve">(8), 922–943. </w:t>
      </w:r>
      <w:hyperlink r:id="rId136">
        <w:r>
          <w:rPr>
            <w:rFonts w:ascii="Calibri Light" w:hAnsi="Calibri Light"/>
            <w:color w:val="0563C1"/>
            <w:sz w:val="20"/>
            <w:u w:val="single" w:color="0563C1"/>
          </w:rPr>
          <w:t>www.ncbi.nlm.nih.gov/pubmed/29199844</w:t>
        </w:r>
      </w:hyperlink>
    </w:p>
    <w:p w14:paraId="16F1A36A" w14:textId="77777777" w:rsidR="00DB6E1F" w:rsidRDefault="00DB6E1F">
      <w:pPr>
        <w:spacing w:line="259" w:lineRule="auto"/>
        <w:rPr>
          <w:rFonts w:ascii="Calibri Light" w:hAnsi="Calibri Light"/>
          <w:sz w:val="20"/>
        </w:rPr>
        <w:sectPr w:rsidR="00DB6E1F">
          <w:pgSz w:w="12240" w:h="15840"/>
          <w:pgMar w:top="1080" w:right="0" w:bottom="780" w:left="0" w:header="619" w:footer="585" w:gutter="0"/>
          <w:cols w:space="720"/>
        </w:sectPr>
      </w:pPr>
    </w:p>
    <w:p w14:paraId="4F16D72C" w14:textId="77777777" w:rsidR="00DB6E1F" w:rsidRDefault="00DB6E1F">
      <w:pPr>
        <w:pStyle w:val="BodyText"/>
        <w:spacing w:before="4"/>
        <w:rPr>
          <w:rFonts w:ascii="Calibri Light"/>
          <w:sz w:val="24"/>
        </w:rPr>
      </w:pPr>
    </w:p>
    <w:p w14:paraId="3A499FA2" w14:textId="77777777" w:rsidR="00DB6E1F" w:rsidRDefault="00F666A6">
      <w:pPr>
        <w:spacing w:before="60" w:line="259" w:lineRule="auto"/>
        <w:ind w:left="1620" w:right="1444" w:hanging="181"/>
        <w:rPr>
          <w:rFonts w:ascii="Calibri Light" w:hAnsi="Calibri Light"/>
          <w:sz w:val="20"/>
        </w:rPr>
      </w:pPr>
      <w:r>
        <w:rPr>
          <w:rFonts w:ascii="Calibri Light" w:hAnsi="Calibri Light"/>
          <w:sz w:val="20"/>
        </w:rPr>
        <w:t>Monti, P. M., Colby, S. M., Mastroleo, N. R., Barnett, N. P., Gwaltney, C. J., Apodaca, T. R., … Cioffi, W. G. (2014). Individual</w:t>
      </w:r>
      <w:r>
        <w:rPr>
          <w:rFonts w:ascii="Calibri Light" w:hAnsi="Calibri Light"/>
          <w:spacing w:val="-5"/>
          <w:sz w:val="20"/>
        </w:rPr>
        <w:t xml:space="preserve"> </w:t>
      </w:r>
      <w:r>
        <w:rPr>
          <w:rFonts w:ascii="Calibri Light" w:hAnsi="Calibri Light"/>
          <w:sz w:val="20"/>
        </w:rPr>
        <w:t>versus</w:t>
      </w:r>
      <w:r>
        <w:rPr>
          <w:rFonts w:ascii="Calibri Light" w:hAnsi="Calibri Light"/>
          <w:spacing w:val="-4"/>
          <w:sz w:val="20"/>
        </w:rPr>
        <w:t xml:space="preserve"> </w:t>
      </w:r>
      <w:r>
        <w:rPr>
          <w:rFonts w:ascii="Calibri Light" w:hAnsi="Calibri Light"/>
          <w:sz w:val="20"/>
        </w:rPr>
        <w:t>significant-other-enhanced</w:t>
      </w:r>
      <w:r>
        <w:rPr>
          <w:rFonts w:ascii="Calibri Light" w:hAnsi="Calibri Light"/>
          <w:spacing w:val="-4"/>
          <w:sz w:val="20"/>
        </w:rPr>
        <w:t xml:space="preserve"> </w:t>
      </w:r>
      <w:r>
        <w:rPr>
          <w:rFonts w:ascii="Calibri Light" w:hAnsi="Calibri Light"/>
          <w:sz w:val="20"/>
        </w:rPr>
        <w:t>brief</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5"/>
          <w:sz w:val="20"/>
        </w:rPr>
        <w:t xml:space="preserve"> </w:t>
      </w:r>
      <w:r>
        <w:rPr>
          <w:rFonts w:ascii="Calibri Light" w:hAnsi="Calibri Light"/>
          <w:sz w:val="20"/>
        </w:rPr>
        <w:t>intervention</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alcohol</w:t>
      </w:r>
      <w:r>
        <w:rPr>
          <w:rFonts w:ascii="Calibri Light" w:hAnsi="Calibri Light"/>
          <w:spacing w:val="-5"/>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emergency</w:t>
      </w:r>
      <w:r>
        <w:rPr>
          <w:rFonts w:ascii="Calibri Light" w:hAnsi="Calibri Light"/>
          <w:spacing w:val="-3"/>
          <w:sz w:val="20"/>
        </w:rPr>
        <w:t xml:space="preserve"> </w:t>
      </w:r>
      <w:r>
        <w:rPr>
          <w:rFonts w:ascii="Calibri Light" w:hAnsi="Calibri Light"/>
          <w:sz w:val="20"/>
        </w:rPr>
        <w:t>care.</w:t>
      </w:r>
      <w:r>
        <w:rPr>
          <w:rFonts w:ascii="Calibri Light" w:hAnsi="Calibri Light"/>
          <w:spacing w:val="-4"/>
          <w:sz w:val="20"/>
        </w:rPr>
        <w:t xml:space="preserve"> </w:t>
      </w:r>
      <w:r>
        <w:rPr>
          <w:rFonts w:ascii="Calibri Light" w:hAnsi="Calibri Light"/>
          <w:i/>
          <w:sz w:val="20"/>
        </w:rPr>
        <w:t>Journal of Consulting and Cli</w:t>
      </w:r>
      <w:r>
        <w:rPr>
          <w:rFonts w:ascii="Calibri Light" w:hAnsi="Calibri Light"/>
          <w:i/>
          <w:sz w:val="20"/>
        </w:rPr>
        <w:t>nical Psychology, 82</w:t>
      </w:r>
      <w:r>
        <w:rPr>
          <w:rFonts w:ascii="Calibri Light" w:hAnsi="Calibri Light"/>
          <w:sz w:val="20"/>
        </w:rPr>
        <w:t>(6), 936–948. doi:10.1037/a0037658</w:t>
      </w:r>
    </w:p>
    <w:p w14:paraId="357DCBDD" w14:textId="77777777" w:rsidR="00DB6E1F" w:rsidRDefault="00F666A6">
      <w:pPr>
        <w:spacing w:line="259" w:lineRule="auto"/>
        <w:ind w:left="1620" w:right="1491" w:hanging="180"/>
        <w:rPr>
          <w:rFonts w:ascii="Calibri Light" w:hAnsi="Calibri Light"/>
          <w:sz w:val="20"/>
        </w:rPr>
      </w:pPr>
      <w:r>
        <w:rPr>
          <w:rFonts w:ascii="Calibri Light" w:hAnsi="Calibri Light"/>
          <w:sz w:val="20"/>
        </w:rPr>
        <w:t>Moore,</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Flamez,</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Szirony,</w:t>
      </w:r>
      <w:r>
        <w:rPr>
          <w:rFonts w:ascii="Calibri Light" w:hAnsi="Calibri Light"/>
          <w:spacing w:val="-3"/>
          <w:sz w:val="20"/>
        </w:rPr>
        <w:t xml:space="preserve"> </w:t>
      </w:r>
      <w:r>
        <w:rPr>
          <w:rFonts w:ascii="Calibri Light" w:hAnsi="Calibri Light"/>
          <w:sz w:val="20"/>
        </w:rPr>
        <w:t>G.</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1"/>
          <w:sz w:val="20"/>
        </w:rPr>
        <w:t xml:space="preserve"> </w:t>
      </w:r>
      <w:r>
        <w:rPr>
          <w:rFonts w:ascii="Calibri Light" w:hAnsi="Calibri Light"/>
          <w:sz w:val="20"/>
        </w:rPr>
        <w:t>interviewing</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dual</w:t>
      </w:r>
      <w:r>
        <w:rPr>
          <w:rFonts w:ascii="Calibri Light" w:hAnsi="Calibri Light"/>
          <w:spacing w:val="-3"/>
          <w:sz w:val="20"/>
        </w:rPr>
        <w:t xml:space="preserve"> </w:t>
      </w:r>
      <w:r>
        <w:rPr>
          <w:rFonts w:ascii="Calibri Light" w:hAnsi="Calibri Light"/>
          <w:sz w:val="20"/>
        </w:rPr>
        <w:t>diagnosis</w:t>
      </w:r>
      <w:r>
        <w:rPr>
          <w:rFonts w:ascii="Calibri Light" w:hAnsi="Calibri Light"/>
          <w:spacing w:val="-3"/>
          <w:sz w:val="20"/>
        </w:rPr>
        <w:t xml:space="preserve"> </w:t>
      </w:r>
      <w:r>
        <w:rPr>
          <w:rFonts w:ascii="Calibri Light" w:hAnsi="Calibri Light"/>
          <w:sz w:val="20"/>
        </w:rPr>
        <w:t>clients:</w:t>
      </w:r>
      <w:r>
        <w:rPr>
          <w:rFonts w:ascii="Calibri Light" w:hAnsi="Calibri Light"/>
          <w:spacing w:val="-3"/>
          <w:sz w:val="20"/>
        </w:rPr>
        <w:t xml:space="preserve"> </w:t>
      </w:r>
      <w:r>
        <w:rPr>
          <w:rFonts w:ascii="Calibri Light" w:hAnsi="Calibri Light"/>
          <w:sz w:val="20"/>
        </w:rPr>
        <w:t>Enhancing</w:t>
      </w:r>
      <w:r>
        <w:rPr>
          <w:rFonts w:ascii="Calibri Light" w:hAnsi="Calibri Light"/>
          <w:spacing w:val="-3"/>
          <w:sz w:val="20"/>
        </w:rPr>
        <w:t xml:space="preserve"> </w:t>
      </w:r>
      <w:r>
        <w:rPr>
          <w:rFonts w:ascii="Calibri Light" w:hAnsi="Calibri Light"/>
          <w:sz w:val="20"/>
        </w:rPr>
        <w:t xml:space="preserve">self- efficacy and treatment completion. </w:t>
      </w:r>
      <w:r>
        <w:rPr>
          <w:rFonts w:ascii="Calibri Light" w:hAnsi="Calibri Light"/>
          <w:i/>
          <w:sz w:val="20"/>
        </w:rPr>
        <w:t>Journal of Substance Use, 23</w:t>
      </w:r>
      <w:r>
        <w:rPr>
          <w:rFonts w:ascii="Calibri Light" w:hAnsi="Calibri Light"/>
          <w:sz w:val="20"/>
        </w:rPr>
        <w:t xml:space="preserve">(3), 247–253. </w:t>
      </w:r>
      <w:r>
        <w:rPr>
          <w:rFonts w:ascii="Calibri Light" w:hAnsi="Calibri Light"/>
          <w:spacing w:val="-2"/>
          <w:sz w:val="20"/>
        </w:rPr>
        <w:t>doi:10.1080/14659891.2017.1388856</w:t>
      </w:r>
    </w:p>
    <w:p w14:paraId="3602B819" w14:textId="77777777" w:rsidR="00DB6E1F" w:rsidRDefault="00F666A6">
      <w:pPr>
        <w:spacing w:line="256" w:lineRule="auto"/>
        <w:ind w:left="1619" w:right="1555" w:hanging="180"/>
        <w:rPr>
          <w:rFonts w:ascii="Calibri Light" w:hAnsi="Calibri Light"/>
          <w:sz w:val="20"/>
        </w:rPr>
      </w:pPr>
      <w:r>
        <w:rPr>
          <w:rFonts w:ascii="Calibri Light" w:hAnsi="Calibri Light"/>
          <w:sz w:val="20"/>
        </w:rPr>
        <w:t>Moos,</w:t>
      </w:r>
      <w:r>
        <w:rPr>
          <w:rFonts w:ascii="Calibri Light" w:hAnsi="Calibri Light"/>
          <w:spacing w:val="-4"/>
          <w:sz w:val="20"/>
        </w:rPr>
        <w:t xml:space="preserve"> </w:t>
      </w:r>
      <w:r>
        <w:rPr>
          <w:rFonts w:ascii="Calibri Light" w:hAnsi="Calibri Light"/>
          <w:sz w:val="20"/>
        </w:rPr>
        <w:t>R.</w:t>
      </w:r>
      <w:r>
        <w:rPr>
          <w:rFonts w:ascii="Calibri Light" w:hAnsi="Calibri Light"/>
          <w:spacing w:val="-4"/>
          <w:sz w:val="20"/>
        </w:rPr>
        <w:t xml:space="preserve"> </w:t>
      </w:r>
      <w:r>
        <w:rPr>
          <w:rFonts w:ascii="Calibri Light" w:hAnsi="Calibri Light"/>
          <w:sz w:val="20"/>
        </w:rPr>
        <w:t>H.</w:t>
      </w:r>
      <w:r>
        <w:rPr>
          <w:rFonts w:ascii="Calibri Light" w:hAnsi="Calibri Light"/>
          <w:spacing w:val="-4"/>
          <w:sz w:val="20"/>
        </w:rPr>
        <w:t xml:space="preserve"> </w:t>
      </w:r>
      <w:r>
        <w:rPr>
          <w:rFonts w:ascii="Calibri Light" w:hAnsi="Calibri Light"/>
          <w:sz w:val="20"/>
        </w:rPr>
        <w:t>(2012).</w:t>
      </w:r>
      <w:r>
        <w:rPr>
          <w:rFonts w:ascii="Calibri Light" w:hAnsi="Calibri Light"/>
          <w:spacing w:val="-1"/>
          <w:sz w:val="20"/>
        </w:rPr>
        <w:t xml:space="preserve"> </w:t>
      </w:r>
      <w:r>
        <w:rPr>
          <w:rFonts w:ascii="Calibri Light" w:hAnsi="Calibri Light"/>
          <w:sz w:val="20"/>
        </w:rPr>
        <w:t>Iatrogenic</w:t>
      </w:r>
      <w:r>
        <w:rPr>
          <w:rFonts w:ascii="Calibri Light" w:hAnsi="Calibri Light"/>
          <w:spacing w:val="-1"/>
          <w:sz w:val="20"/>
        </w:rPr>
        <w:t xml:space="preserve"> </w:t>
      </w:r>
      <w:r>
        <w:rPr>
          <w:rFonts w:ascii="Calibri Light" w:hAnsi="Calibri Light"/>
          <w:sz w:val="20"/>
        </w:rPr>
        <w:t>effects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psychosocial</w:t>
      </w:r>
      <w:r>
        <w:rPr>
          <w:rFonts w:ascii="Calibri Light" w:hAnsi="Calibri Light"/>
          <w:spacing w:val="-4"/>
          <w:sz w:val="20"/>
        </w:rPr>
        <w:t xml:space="preserve"> </w:t>
      </w:r>
      <w:r>
        <w:rPr>
          <w:rFonts w:ascii="Calibri Light" w:hAnsi="Calibri Light"/>
          <w:sz w:val="20"/>
        </w:rPr>
        <w:t>interventions:</w:t>
      </w:r>
      <w:r>
        <w:rPr>
          <w:rFonts w:ascii="Calibri Light" w:hAnsi="Calibri Light"/>
          <w:spacing w:val="-3"/>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life</w:t>
      </w:r>
      <w:r>
        <w:rPr>
          <w:rFonts w:ascii="Calibri Light" w:hAnsi="Calibri Light"/>
          <w:spacing w:val="-3"/>
          <w:sz w:val="20"/>
        </w:rPr>
        <w:t xml:space="preserve"> </w:t>
      </w:r>
      <w:r>
        <w:rPr>
          <w:rFonts w:ascii="Calibri Light" w:hAnsi="Calibri Light"/>
          <w:sz w:val="20"/>
        </w:rPr>
        <w:t>context,</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personal</w:t>
      </w:r>
      <w:r>
        <w:rPr>
          <w:rFonts w:ascii="Calibri Light" w:hAnsi="Calibri Light"/>
          <w:spacing w:val="-4"/>
          <w:sz w:val="20"/>
        </w:rPr>
        <w:t xml:space="preserve"> </w:t>
      </w:r>
      <w:r>
        <w:rPr>
          <w:rFonts w:ascii="Calibri Light" w:hAnsi="Calibri Light"/>
          <w:sz w:val="20"/>
        </w:rPr>
        <w:t xml:space="preserve">risk factors. </w:t>
      </w:r>
      <w:r>
        <w:rPr>
          <w:rFonts w:ascii="Calibri Light" w:hAnsi="Calibri Light"/>
          <w:i/>
          <w:sz w:val="20"/>
        </w:rPr>
        <w:t>Substance Use and Misuse</w:t>
      </w:r>
      <w:r>
        <w:rPr>
          <w:rFonts w:ascii="Calibri Light" w:hAnsi="Calibri Light"/>
          <w:sz w:val="20"/>
        </w:rPr>
        <w:t xml:space="preserve">, </w:t>
      </w:r>
      <w:r>
        <w:rPr>
          <w:rFonts w:ascii="Calibri Light" w:hAnsi="Calibri Light"/>
          <w:i/>
          <w:sz w:val="20"/>
        </w:rPr>
        <w:t>47</w:t>
      </w:r>
      <w:r>
        <w:rPr>
          <w:rFonts w:ascii="Calibri Light" w:hAnsi="Calibri Light"/>
          <w:sz w:val="20"/>
        </w:rPr>
        <w:t>(13–14), 1592–1598. doi:10.3109/10826084.2012.705710</w:t>
      </w:r>
    </w:p>
    <w:p w14:paraId="215D769E" w14:textId="77777777" w:rsidR="00DB6E1F" w:rsidRDefault="00F666A6">
      <w:pPr>
        <w:spacing w:before="2" w:line="259" w:lineRule="auto"/>
        <w:ind w:left="1619" w:right="1891" w:hanging="180"/>
        <w:jc w:val="both"/>
        <w:rPr>
          <w:rFonts w:ascii="Calibri Light" w:hAnsi="Calibri Light"/>
          <w:sz w:val="20"/>
        </w:rPr>
      </w:pPr>
      <w:r>
        <w:rPr>
          <w:rFonts w:ascii="Calibri Light" w:hAnsi="Calibri Light"/>
          <w:sz w:val="20"/>
        </w:rPr>
        <w:t>Morgenstern,</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Kuerbis,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Houser,</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Muench,</w:t>
      </w:r>
      <w:r>
        <w:rPr>
          <w:rFonts w:ascii="Calibri Light" w:hAnsi="Calibri Light"/>
          <w:spacing w:val="-3"/>
          <w:sz w:val="20"/>
        </w:rPr>
        <w:t xml:space="preserve"> </w:t>
      </w:r>
      <w:r>
        <w:rPr>
          <w:rFonts w:ascii="Calibri Light" w:hAnsi="Calibri Light"/>
          <w:sz w:val="20"/>
        </w:rPr>
        <w:t>F.</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Shao,</w:t>
      </w:r>
      <w:r>
        <w:rPr>
          <w:rFonts w:ascii="Calibri Light" w:hAnsi="Calibri Light"/>
          <w:spacing w:val="-1"/>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Treloar,</w:t>
      </w:r>
      <w:r>
        <w:rPr>
          <w:rFonts w:ascii="Calibri Light" w:hAnsi="Calibri Light"/>
          <w:spacing w:val="-1"/>
          <w:sz w:val="20"/>
        </w:rPr>
        <w:t xml:space="preserve"> </w:t>
      </w:r>
      <w:r>
        <w:rPr>
          <w:rFonts w:ascii="Calibri Light" w:hAnsi="Calibri Light"/>
          <w:sz w:val="20"/>
        </w:rPr>
        <w:t>H.</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Within-person</w:t>
      </w:r>
      <w:r>
        <w:rPr>
          <w:rFonts w:ascii="Calibri Light" w:hAnsi="Calibri Light"/>
          <w:spacing w:val="-3"/>
          <w:sz w:val="20"/>
        </w:rPr>
        <w:t xml:space="preserve"> </w:t>
      </w:r>
      <w:r>
        <w:rPr>
          <w:rFonts w:ascii="Calibri Light" w:hAnsi="Calibri Light"/>
          <w:sz w:val="20"/>
        </w:rPr>
        <w:t>associations between</w:t>
      </w:r>
      <w:r>
        <w:rPr>
          <w:rFonts w:ascii="Calibri Light" w:hAnsi="Calibri Light"/>
          <w:spacing w:val="-2"/>
          <w:sz w:val="20"/>
        </w:rPr>
        <w:t xml:space="preserve"> </w:t>
      </w:r>
      <w:r>
        <w:rPr>
          <w:rFonts w:ascii="Calibri Light" w:hAnsi="Calibri Light"/>
          <w:sz w:val="20"/>
        </w:rPr>
        <w:t>daily</w:t>
      </w:r>
      <w:r>
        <w:rPr>
          <w:rFonts w:ascii="Calibri Light" w:hAnsi="Calibri Light"/>
          <w:spacing w:val="-2"/>
          <w:sz w:val="20"/>
        </w:rPr>
        <w:t xml:space="preserve"> </w:t>
      </w:r>
      <w:r>
        <w:rPr>
          <w:rFonts w:ascii="Calibri Light" w:hAnsi="Calibri Light"/>
          <w:sz w:val="20"/>
        </w:rPr>
        <w:t>motivation</w:t>
      </w:r>
      <w:r>
        <w:rPr>
          <w:rFonts w:ascii="Calibri Light" w:hAnsi="Calibri Light"/>
          <w:spacing w:val="-2"/>
          <w:sz w:val="20"/>
        </w:rPr>
        <w:t xml:space="preserve"> </w:t>
      </w:r>
      <w:r>
        <w:rPr>
          <w:rFonts w:ascii="Calibri Light" w:hAnsi="Calibri Light"/>
          <w:sz w:val="20"/>
        </w:rPr>
        <w:t>and</w:t>
      </w:r>
      <w:r>
        <w:rPr>
          <w:rFonts w:ascii="Calibri Light" w:hAnsi="Calibri Light"/>
          <w:spacing w:val="-1"/>
          <w:sz w:val="20"/>
        </w:rPr>
        <w:t xml:space="preserve"> </w:t>
      </w:r>
      <w:r>
        <w:rPr>
          <w:rFonts w:ascii="Calibri Light" w:hAnsi="Calibri Light"/>
          <w:sz w:val="20"/>
        </w:rPr>
        <w:t>self-efficacy</w:t>
      </w:r>
      <w:r>
        <w:rPr>
          <w:rFonts w:ascii="Calibri Light" w:hAnsi="Calibri Light"/>
          <w:spacing w:val="-2"/>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drinking</w:t>
      </w:r>
      <w:r>
        <w:rPr>
          <w:rFonts w:ascii="Calibri Light" w:hAnsi="Calibri Light"/>
          <w:spacing w:val="-2"/>
          <w:sz w:val="20"/>
        </w:rPr>
        <w:t xml:space="preserve"> </w:t>
      </w:r>
      <w:r>
        <w:rPr>
          <w:rFonts w:ascii="Calibri Light" w:hAnsi="Calibri Light"/>
          <w:sz w:val="20"/>
        </w:rPr>
        <w:t>among</w:t>
      </w:r>
      <w:r>
        <w:rPr>
          <w:rFonts w:ascii="Calibri Light" w:hAnsi="Calibri Light"/>
          <w:spacing w:val="-2"/>
          <w:sz w:val="20"/>
        </w:rPr>
        <w:t xml:space="preserve"> </w:t>
      </w:r>
      <w:r>
        <w:rPr>
          <w:rFonts w:ascii="Calibri Light" w:hAnsi="Calibri Light"/>
          <w:sz w:val="20"/>
        </w:rPr>
        <w:t>problem</w:t>
      </w:r>
      <w:r>
        <w:rPr>
          <w:rFonts w:ascii="Calibri Light" w:hAnsi="Calibri Light"/>
          <w:spacing w:val="-2"/>
          <w:sz w:val="20"/>
        </w:rPr>
        <w:t xml:space="preserve"> </w:t>
      </w:r>
      <w:r>
        <w:rPr>
          <w:rFonts w:ascii="Calibri Light" w:hAnsi="Calibri Light"/>
          <w:sz w:val="20"/>
        </w:rPr>
        <w:t>drinkers</w:t>
      </w:r>
      <w:r>
        <w:rPr>
          <w:rFonts w:ascii="Calibri Light" w:hAnsi="Calibri Light"/>
          <w:spacing w:val="-2"/>
          <w:sz w:val="20"/>
        </w:rPr>
        <w:t xml:space="preserve"> </w:t>
      </w:r>
      <w:r>
        <w:rPr>
          <w:rFonts w:ascii="Calibri Light" w:hAnsi="Calibri Light"/>
          <w:sz w:val="20"/>
        </w:rPr>
        <w:t>in</w:t>
      </w:r>
      <w:r>
        <w:rPr>
          <w:rFonts w:ascii="Calibri Light" w:hAnsi="Calibri Light"/>
          <w:spacing w:val="-1"/>
          <w:sz w:val="20"/>
        </w:rPr>
        <w:t xml:space="preserve"> </w:t>
      </w:r>
      <w:r>
        <w:rPr>
          <w:rFonts w:ascii="Calibri Light" w:hAnsi="Calibri Light"/>
          <w:sz w:val="20"/>
        </w:rPr>
        <w:t>treatment.</w:t>
      </w:r>
      <w:r>
        <w:rPr>
          <w:rFonts w:ascii="Calibri Light" w:hAnsi="Calibri Light"/>
          <w:spacing w:val="-3"/>
          <w:sz w:val="20"/>
        </w:rPr>
        <w:t xml:space="preserve"> </w:t>
      </w:r>
      <w:r>
        <w:rPr>
          <w:rFonts w:ascii="Calibri Light" w:hAnsi="Calibri Light"/>
          <w:i/>
          <w:sz w:val="20"/>
        </w:rPr>
        <w:t>Psychology</w:t>
      </w:r>
      <w:r>
        <w:rPr>
          <w:rFonts w:ascii="Calibri Light" w:hAnsi="Calibri Light"/>
          <w:i/>
          <w:spacing w:val="-2"/>
          <w:sz w:val="20"/>
        </w:rPr>
        <w:t xml:space="preserve"> </w:t>
      </w:r>
      <w:r>
        <w:rPr>
          <w:rFonts w:ascii="Calibri Light" w:hAnsi="Calibri Light"/>
          <w:i/>
          <w:sz w:val="20"/>
        </w:rPr>
        <w:t>of Addictive Behaviors, 30</w:t>
      </w:r>
      <w:r>
        <w:rPr>
          <w:rFonts w:ascii="Calibri Light" w:hAnsi="Calibri Light"/>
          <w:sz w:val="20"/>
        </w:rPr>
        <w:t>(6), 630–638. doi:10.1037/adb0000204</w:t>
      </w:r>
    </w:p>
    <w:p w14:paraId="199C5595" w14:textId="77777777" w:rsidR="00DB6E1F" w:rsidRDefault="00F666A6">
      <w:pPr>
        <w:spacing w:before="1" w:line="259" w:lineRule="auto"/>
        <w:ind w:left="1619" w:right="1491" w:hanging="180"/>
        <w:rPr>
          <w:rFonts w:ascii="Calibri Light" w:hAnsi="Calibri Light"/>
          <w:sz w:val="20"/>
        </w:rPr>
      </w:pPr>
      <w:r>
        <w:rPr>
          <w:rFonts w:ascii="Calibri Light" w:hAnsi="Calibri Light"/>
          <w:sz w:val="20"/>
        </w:rPr>
        <w:t>Mowbray,</w:t>
      </w:r>
      <w:r>
        <w:rPr>
          <w:rFonts w:ascii="Calibri Light" w:hAnsi="Calibri Light"/>
          <w:spacing w:val="-1"/>
          <w:sz w:val="20"/>
        </w:rPr>
        <w:t xml:space="preserve"> </w:t>
      </w:r>
      <w:r>
        <w:rPr>
          <w:rFonts w:ascii="Calibri Light" w:hAnsi="Calibri Light"/>
          <w:sz w:val="20"/>
        </w:rPr>
        <w:t>O.,</w:t>
      </w:r>
      <w:r>
        <w:rPr>
          <w:rFonts w:ascii="Calibri Light" w:hAnsi="Calibri Light"/>
          <w:spacing w:val="-4"/>
          <w:sz w:val="20"/>
        </w:rPr>
        <w:t xml:space="preserve"> </w:t>
      </w:r>
      <w:r>
        <w:rPr>
          <w:rFonts w:ascii="Calibri Light" w:hAnsi="Calibri Light"/>
          <w:sz w:val="20"/>
        </w:rPr>
        <w:t>Quinn,</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Cranford,</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(2014).</w:t>
      </w:r>
      <w:r>
        <w:rPr>
          <w:rFonts w:ascii="Calibri Light" w:hAnsi="Calibri Light"/>
          <w:spacing w:val="-4"/>
          <w:sz w:val="20"/>
        </w:rPr>
        <w:t xml:space="preserve"> </w:t>
      </w:r>
      <w:r>
        <w:rPr>
          <w:rFonts w:ascii="Calibri Light" w:hAnsi="Calibri Light"/>
          <w:sz w:val="20"/>
        </w:rPr>
        <w:t>Social</w:t>
      </w:r>
      <w:r>
        <w:rPr>
          <w:rFonts w:ascii="Calibri Light" w:hAnsi="Calibri Light"/>
          <w:spacing w:val="-4"/>
          <w:sz w:val="20"/>
        </w:rPr>
        <w:t xml:space="preserve"> </w:t>
      </w:r>
      <w:r>
        <w:rPr>
          <w:rFonts w:ascii="Calibri Light" w:hAnsi="Calibri Light"/>
          <w:sz w:val="20"/>
        </w:rPr>
        <w:t>networks</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disorders:</w:t>
      </w:r>
      <w:r>
        <w:rPr>
          <w:rFonts w:ascii="Calibri Light" w:hAnsi="Calibri Light"/>
          <w:spacing w:val="-3"/>
          <w:sz w:val="20"/>
        </w:rPr>
        <w:t xml:space="preserve"> </w:t>
      </w:r>
      <w:r>
        <w:rPr>
          <w:rFonts w:ascii="Calibri Light" w:hAnsi="Calibri Light"/>
          <w:sz w:val="20"/>
        </w:rPr>
        <w:t>Findings</w:t>
      </w:r>
      <w:r>
        <w:rPr>
          <w:rFonts w:ascii="Calibri Light" w:hAnsi="Calibri Light"/>
          <w:spacing w:val="-3"/>
          <w:sz w:val="20"/>
        </w:rPr>
        <w:t xml:space="preserve"> </w:t>
      </w:r>
      <w:r>
        <w:rPr>
          <w:rFonts w:ascii="Calibri Light" w:hAnsi="Calibri Light"/>
          <w:sz w:val="20"/>
        </w:rPr>
        <w:t>from</w:t>
      </w:r>
      <w:r>
        <w:rPr>
          <w:rFonts w:ascii="Calibri Light" w:hAnsi="Calibri Light"/>
          <w:spacing w:val="-2"/>
          <w:sz w:val="20"/>
        </w:rPr>
        <w:t xml:space="preserve"> </w:t>
      </w:r>
      <w:r>
        <w:rPr>
          <w:rFonts w:ascii="Calibri Light" w:hAnsi="Calibri Light"/>
          <w:sz w:val="20"/>
        </w:rPr>
        <w:t xml:space="preserve">a nationally representative sample. </w:t>
      </w:r>
      <w:r>
        <w:rPr>
          <w:rFonts w:ascii="Calibri Light" w:hAnsi="Calibri Light"/>
          <w:i/>
          <w:sz w:val="20"/>
        </w:rPr>
        <w:t>American Journal of Drug and Alcohol Abuse, 40</w:t>
      </w:r>
      <w:r>
        <w:rPr>
          <w:rFonts w:ascii="Calibri Light" w:hAnsi="Calibri Light"/>
          <w:sz w:val="20"/>
        </w:rPr>
        <w:t xml:space="preserve">(3), 181–186. </w:t>
      </w:r>
      <w:r>
        <w:rPr>
          <w:rFonts w:ascii="Calibri Light" w:hAnsi="Calibri Light"/>
          <w:spacing w:val="-2"/>
          <w:sz w:val="20"/>
        </w:rPr>
        <w:t>doi:10.3109/00952990.2013.860984</w:t>
      </w:r>
    </w:p>
    <w:p w14:paraId="1D8BE1DD" w14:textId="77777777" w:rsidR="00DB6E1F" w:rsidRDefault="00F666A6">
      <w:pPr>
        <w:spacing w:line="259" w:lineRule="auto"/>
        <w:ind w:left="1620" w:right="1612" w:hanging="181"/>
        <w:rPr>
          <w:rFonts w:ascii="Calibri Light" w:hAnsi="Calibri Light"/>
          <w:sz w:val="20"/>
        </w:rPr>
      </w:pPr>
      <w:r>
        <w:rPr>
          <w:rFonts w:ascii="Calibri Light" w:hAnsi="Calibri Light"/>
          <w:sz w:val="20"/>
        </w:rPr>
        <w:t>Moyers,</w:t>
      </w:r>
      <w:r>
        <w:rPr>
          <w:rFonts w:ascii="Calibri Light" w:hAnsi="Calibri Light"/>
          <w:spacing w:val="-5"/>
          <w:sz w:val="20"/>
        </w:rPr>
        <w:t xml:space="preserve"> </w:t>
      </w:r>
      <w:r>
        <w:rPr>
          <w:rFonts w:ascii="Calibri Light" w:hAnsi="Calibri Light"/>
          <w:sz w:val="20"/>
        </w:rPr>
        <w:t>T.</w:t>
      </w:r>
      <w:r>
        <w:rPr>
          <w:rFonts w:ascii="Calibri Light" w:hAnsi="Calibri Light"/>
          <w:spacing w:val="-5"/>
          <w:sz w:val="20"/>
        </w:rPr>
        <w:t xml:space="preserve"> </w:t>
      </w:r>
      <w:r>
        <w:rPr>
          <w:rFonts w:ascii="Calibri Light" w:hAnsi="Calibri Light"/>
          <w:sz w:val="20"/>
        </w:rPr>
        <w:t>B.</w:t>
      </w:r>
      <w:r>
        <w:rPr>
          <w:rFonts w:ascii="Calibri Light" w:hAnsi="Calibri Light"/>
          <w:spacing w:val="-5"/>
          <w:sz w:val="20"/>
        </w:rPr>
        <w:t xml:space="preserve"> </w:t>
      </w:r>
      <w:r>
        <w:rPr>
          <w:rFonts w:ascii="Calibri Light" w:hAnsi="Calibri Light"/>
          <w:sz w:val="20"/>
        </w:rPr>
        <w:t>(2014).</w:t>
      </w:r>
      <w:r>
        <w:rPr>
          <w:rFonts w:ascii="Calibri Light" w:hAnsi="Calibri Light"/>
          <w:spacing w:val="-2"/>
          <w:sz w:val="20"/>
        </w:rPr>
        <w:t xml:space="preserve"> </w:t>
      </w:r>
      <w:r>
        <w:rPr>
          <w:rFonts w:ascii="Calibri Light" w:hAnsi="Calibri Light"/>
          <w:sz w:val="20"/>
        </w:rPr>
        <w:t>The</w:t>
      </w:r>
      <w:r>
        <w:rPr>
          <w:rFonts w:ascii="Calibri Light" w:hAnsi="Calibri Light"/>
          <w:spacing w:val="-4"/>
          <w:sz w:val="20"/>
        </w:rPr>
        <w:t xml:space="preserve"> </w:t>
      </w:r>
      <w:r>
        <w:rPr>
          <w:rFonts w:ascii="Calibri Light" w:hAnsi="Calibri Light"/>
          <w:sz w:val="20"/>
        </w:rPr>
        <w:t>relationship</w:t>
      </w:r>
      <w:r>
        <w:rPr>
          <w:rFonts w:ascii="Calibri Light" w:hAnsi="Calibri Light"/>
          <w:spacing w:val="-2"/>
          <w:sz w:val="20"/>
        </w:rPr>
        <w:t xml:space="preserve"> </w:t>
      </w:r>
      <w:r>
        <w:rPr>
          <w:rFonts w:ascii="Calibri Light" w:hAnsi="Calibri Light"/>
          <w:sz w:val="20"/>
        </w:rPr>
        <w:t>in</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5"/>
          <w:sz w:val="20"/>
        </w:rPr>
        <w:t xml:space="preserve"> </w:t>
      </w:r>
      <w:r>
        <w:rPr>
          <w:rFonts w:ascii="Calibri Light" w:hAnsi="Calibri Light"/>
          <w:sz w:val="20"/>
        </w:rPr>
        <w:t>interviewing.</w:t>
      </w:r>
      <w:r>
        <w:rPr>
          <w:rFonts w:ascii="Calibri Light" w:hAnsi="Calibri Light"/>
          <w:spacing w:val="-5"/>
          <w:sz w:val="20"/>
        </w:rPr>
        <w:t xml:space="preserve"> </w:t>
      </w:r>
      <w:r>
        <w:rPr>
          <w:rFonts w:ascii="Calibri Light" w:hAnsi="Calibri Light"/>
          <w:i/>
          <w:sz w:val="20"/>
        </w:rPr>
        <w:t>Psychotherapy,</w:t>
      </w:r>
      <w:r>
        <w:rPr>
          <w:rFonts w:ascii="Calibri Light" w:hAnsi="Calibri Light"/>
          <w:i/>
          <w:spacing w:val="-2"/>
          <w:sz w:val="20"/>
        </w:rPr>
        <w:t xml:space="preserve"> </w:t>
      </w:r>
      <w:r>
        <w:rPr>
          <w:rFonts w:ascii="Calibri Light" w:hAnsi="Calibri Light"/>
          <w:i/>
          <w:sz w:val="20"/>
        </w:rPr>
        <w:t>51</w:t>
      </w:r>
      <w:r>
        <w:rPr>
          <w:rFonts w:ascii="Calibri Light" w:hAnsi="Calibri Light"/>
          <w:sz w:val="20"/>
        </w:rPr>
        <w:t>(3),</w:t>
      </w:r>
      <w:r>
        <w:rPr>
          <w:rFonts w:ascii="Calibri Light" w:hAnsi="Calibri Light"/>
          <w:spacing w:val="-2"/>
          <w:sz w:val="20"/>
        </w:rPr>
        <w:t xml:space="preserve"> </w:t>
      </w:r>
      <w:r>
        <w:rPr>
          <w:rFonts w:ascii="Calibri Light" w:hAnsi="Calibri Light"/>
          <w:sz w:val="20"/>
        </w:rPr>
        <w:t>358–363.</w:t>
      </w:r>
      <w:r>
        <w:rPr>
          <w:rFonts w:ascii="Calibri Light" w:hAnsi="Calibri Light"/>
          <w:spacing w:val="-2"/>
          <w:sz w:val="20"/>
        </w:rPr>
        <w:t xml:space="preserve"> </w:t>
      </w:r>
      <w:r>
        <w:rPr>
          <w:rFonts w:ascii="Calibri Light" w:hAnsi="Calibri Light"/>
          <w:sz w:val="20"/>
        </w:rPr>
        <w:t>Retrieved</w:t>
      </w:r>
      <w:r>
        <w:rPr>
          <w:rFonts w:ascii="Calibri Light" w:hAnsi="Calibri Light"/>
          <w:spacing w:val="-4"/>
          <w:sz w:val="20"/>
        </w:rPr>
        <w:t xml:space="preserve"> </w:t>
      </w:r>
      <w:r>
        <w:rPr>
          <w:rFonts w:ascii="Calibri Light" w:hAnsi="Calibri Light"/>
          <w:sz w:val="20"/>
        </w:rPr>
        <w:t xml:space="preserve">from </w:t>
      </w:r>
      <w:hyperlink r:id="rId137">
        <w:r>
          <w:rPr>
            <w:rFonts w:ascii="Calibri Light" w:hAnsi="Calibri Light"/>
            <w:color w:val="0563C1"/>
            <w:spacing w:val="-2"/>
            <w:sz w:val="20"/>
            <w:u w:val="single" w:color="0563C1"/>
          </w:rPr>
          <w:t>https://media.wcwpds.wisc.edu/motivational-interviewing/files/The-Relationship-in-Motivational-</w:t>
        </w:r>
      </w:hyperlink>
      <w:r>
        <w:rPr>
          <w:rFonts w:ascii="Calibri Light" w:hAnsi="Calibri Light"/>
          <w:color w:val="0563C1"/>
          <w:spacing w:val="40"/>
          <w:sz w:val="20"/>
        </w:rPr>
        <w:t xml:space="preserve"> </w:t>
      </w:r>
      <w:hyperlink r:id="rId138">
        <w:r>
          <w:rPr>
            <w:rFonts w:ascii="Calibri Light" w:hAnsi="Calibri Light"/>
            <w:color w:val="0563C1"/>
            <w:spacing w:val="-2"/>
            <w:sz w:val="20"/>
            <w:u w:val="single" w:color="0563C1"/>
          </w:rPr>
          <w:t>Interviewing.pdf</w:t>
        </w:r>
      </w:hyperlink>
    </w:p>
    <w:p w14:paraId="1A649F9F" w14:textId="77777777" w:rsidR="00DB6E1F" w:rsidRDefault="00F666A6">
      <w:pPr>
        <w:spacing w:line="259" w:lineRule="auto"/>
        <w:ind w:left="1620" w:right="1491" w:hanging="181"/>
        <w:rPr>
          <w:rFonts w:ascii="Calibri Light" w:hAnsi="Calibri Light"/>
          <w:sz w:val="20"/>
        </w:rPr>
      </w:pPr>
      <w:r>
        <w:rPr>
          <w:rFonts w:ascii="Calibri Light" w:hAnsi="Calibri Light"/>
          <w:sz w:val="20"/>
        </w:rPr>
        <w:t>Moyers, T. B., &amp; Houck, J. (2011). Combining motivational interviewing with cognitive–behavioral treatments for substance</w:t>
      </w:r>
      <w:r>
        <w:rPr>
          <w:rFonts w:ascii="Calibri Light" w:hAnsi="Calibri Light"/>
          <w:spacing w:val="-4"/>
          <w:sz w:val="20"/>
        </w:rPr>
        <w:t xml:space="preserve"> </w:t>
      </w:r>
      <w:r>
        <w:rPr>
          <w:rFonts w:ascii="Calibri Light" w:hAnsi="Calibri Light"/>
          <w:sz w:val="20"/>
        </w:rPr>
        <w:t>abuse:</w:t>
      </w:r>
      <w:r>
        <w:rPr>
          <w:rFonts w:ascii="Calibri Light" w:hAnsi="Calibri Light"/>
          <w:spacing w:val="-4"/>
          <w:sz w:val="20"/>
        </w:rPr>
        <w:t xml:space="preserve"> </w:t>
      </w:r>
      <w:r>
        <w:rPr>
          <w:rFonts w:ascii="Calibri Light" w:hAnsi="Calibri Light"/>
          <w:sz w:val="20"/>
        </w:rPr>
        <w:t>Lessons</w:t>
      </w:r>
      <w:r>
        <w:rPr>
          <w:rFonts w:ascii="Calibri Light" w:hAnsi="Calibri Light"/>
          <w:spacing w:val="-4"/>
          <w:sz w:val="20"/>
        </w:rPr>
        <w:t xml:space="preserve"> </w:t>
      </w:r>
      <w:r>
        <w:rPr>
          <w:rFonts w:ascii="Calibri Light" w:hAnsi="Calibri Light"/>
          <w:sz w:val="20"/>
        </w:rPr>
        <w:t>from</w:t>
      </w:r>
      <w:r>
        <w:rPr>
          <w:rFonts w:ascii="Calibri Light" w:hAnsi="Calibri Light"/>
          <w:spacing w:val="-3"/>
          <w:sz w:val="20"/>
        </w:rPr>
        <w:t xml:space="preserve"> </w:t>
      </w:r>
      <w:r>
        <w:rPr>
          <w:rFonts w:ascii="Calibri Light" w:hAnsi="Calibri Light"/>
          <w:sz w:val="20"/>
        </w:rPr>
        <w:t>the</w:t>
      </w:r>
      <w:r>
        <w:rPr>
          <w:rFonts w:ascii="Calibri Light" w:hAnsi="Calibri Light"/>
          <w:spacing w:val="-4"/>
          <w:sz w:val="20"/>
        </w:rPr>
        <w:t xml:space="preserve"> </w:t>
      </w:r>
      <w:r>
        <w:rPr>
          <w:rFonts w:ascii="Calibri Light" w:hAnsi="Calibri Light"/>
          <w:sz w:val="20"/>
        </w:rPr>
        <w:t>COMBINE</w:t>
      </w:r>
      <w:r>
        <w:rPr>
          <w:rFonts w:ascii="Calibri Light" w:hAnsi="Calibri Light"/>
          <w:spacing w:val="-3"/>
          <w:sz w:val="20"/>
        </w:rPr>
        <w:t xml:space="preserve"> </w:t>
      </w:r>
      <w:r>
        <w:rPr>
          <w:rFonts w:ascii="Calibri Light" w:hAnsi="Calibri Light"/>
          <w:sz w:val="20"/>
        </w:rPr>
        <w:t>research</w:t>
      </w:r>
      <w:r>
        <w:rPr>
          <w:rFonts w:ascii="Calibri Light" w:hAnsi="Calibri Light"/>
          <w:spacing w:val="-4"/>
          <w:sz w:val="20"/>
        </w:rPr>
        <w:t xml:space="preserve"> </w:t>
      </w:r>
      <w:r>
        <w:rPr>
          <w:rFonts w:ascii="Calibri Light" w:hAnsi="Calibri Light"/>
          <w:sz w:val="20"/>
        </w:rPr>
        <w:t>project.</w:t>
      </w:r>
      <w:r>
        <w:rPr>
          <w:rFonts w:ascii="Calibri Light" w:hAnsi="Calibri Light"/>
          <w:spacing w:val="-5"/>
          <w:sz w:val="20"/>
        </w:rPr>
        <w:t xml:space="preserve"> </w:t>
      </w:r>
      <w:r>
        <w:rPr>
          <w:rFonts w:ascii="Calibri Light" w:hAnsi="Calibri Light"/>
          <w:i/>
          <w:sz w:val="20"/>
        </w:rPr>
        <w:t>Cognitive</w:t>
      </w:r>
      <w:r>
        <w:rPr>
          <w:rFonts w:ascii="Calibri Light" w:hAnsi="Calibri Light"/>
          <w:i/>
          <w:spacing w:val="-4"/>
          <w:sz w:val="20"/>
        </w:rPr>
        <w:t xml:space="preserve"> </w:t>
      </w:r>
      <w:r>
        <w:rPr>
          <w:rFonts w:ascii="Calibri Light" w:hAnsi="Calibri Light"/>
          <w:i/>
          <w:sz w:val="20"/>
        </w:rPr>
        <w:t>and</w:t>
      </w:r>
      <w:r>
        <w:rPr>
          <w:rFonts w:ascii="Calibri Light" w:hAnsi="Calibri Light"/>
          <w:i/>
          <w:spacing w:val="-4"/>
          <w:sz w:val="20"/>
        </w:rPr>
        <w:t xml:space="preserve"> </w:t>
      </w:r>
      <w:r>
        <w:rPr>
          <w:rFonts w:ascii="Calibri Light" w:hAnsi="Calibri Light"/>
          <w:i/>
          <w:sz w:val="20"/>
        </w:rPr>
        <w:t>Behavioral</w:t>
      </w:r>
      <w:r>
        <w:rPr>
          <w:rFonts w:ascii="Calibri Light" w:hAnsi="Calibri Light"/>
          <w:i/>
          <w:spacing w:val="-2"/>
          <w:sz w:val="20"/>
        </w:rPr>
        <w:t xml:space="preserve"> </w:t>
      </w:r>
      <w:r>
        <w:rPr>
          <w:rFonts w:ascii="Calibri Light" w:hAnsi="Calibri Light"/>
          <w:i/>
          <w:sz w:val="20"/>
        </w:rPr>
        <w:t>Practice,</w:t>
      </w:r>
      <w:r>
        <w:rPr>
          <w:rFonts w:ascii="Calibri Light" w:hAnsi="Calibri Light"/>
          <w:i/>
          <w:spacing w:val="-5"/>
          <w:sz w:val="20"/>
        </w:rPr>
        <w:t xml:space="preserve"> </w:t>
      </w:r>
      <w:r>
        <w:rPr>
          <w:rFonts w:ascii="Calibri Light" w:hAnsi="Calibri Light"/>
          <w:i/>
          <w:sz w:val="20"/>
        </w:rPr>
        <w:t>18</w:t>
      </w:r>
      <w:r>
        <w:rPr>
          <w:rFonts w:ascii="Calibri Light" w:hAnsi="Calibri Light"/>
          <w:sz w:val="20"/>
        </w:rPr>
        <w:t>(1),</w:t>
      </w:r>
      <w:r>
        <w:rPr>
          <w:rFonts w:ascii="Calibri Light" w:hAnsi="Calibri Light"/>
          <w:spacing w:val="-5"/>
          <w:sz w:val="20"/>
        </w:rPr>
        <w:t xml:space="preserve"> </w:t>
      </w:r>
      <w:r>
        <w:rPr>
          <w:rFonts w:ascii="Calibri Light" w:hAnsi="Calibri Light"/>
          <w:sz w:val="20"/>
        </w:rPr>
        <w:t xml:space="preserve">38–45. </w:t>
      </w:r>
      <w:r>
        <w:rPr>
          <w:rFonts w:ascii="Calibri Light" w:hAnsi="Calibri Light"/>
          <w:spacing w:val="-2"/>
          <w:sz w:val="20"/>
        </w:rPr>
        <w:t>doi:10.1016/j.cbpra.2009.09.005</w:t>
      </w:r>
    </w:p>
    <w:p w14:paraId="214C636A" w14:textId="77777777" w:rsidR="00DB6E1F" w:rsidRDefault="00F666A6">
      <w:pPr>
        <w:spacing w:line="259" w:lineRule="auto"/>
        <w:ind w:left="1619" w:right="1491" w:hanging="180"/>
        <w:rPr>
          <w:rFonts w:ascii="Calibri Light" w:hAnsi="Calibri Light"/>
          <w:sz w:val="20"/>
        </w:rPr>
      </w:pPr>
      <w:r>
        <w:rPr>
          <w:rFonts w:ascii="Calibri Light" w:hAnsi="Calibri Light"/>
          <w:sz w:val="20"/>
        </w:rPr>
        <w:t>Moyers, T. B., Houck, J., Glynn, L. H., Hallgren, K. A., &amp; Manuel, J. K. (2017). A randomized controlled trial to influence</w:t>
      </w:r>
      <w:r>
        <w:rPr>
          <w:rFonts w:ascii="Calibri Light" w:hAnsi="Calibri Light"/>
          <w:spacing w:val="-2"/>
          <w:sz w:val="20"/>
        </w:rPr>
        <w:t xml:space="preserve"> </w:t>
      </w:r>
      <w:r>
        <w:rPr>
          <w:rFonts w:ascii="Calibri Light" w:hAnsi="Calibri Light"/>
          <w:sz w:val="20"/>
        </w:rPr>
        <w:t>client</w:t>
      </w:r>
      <w:r>
        <w:rPr>
          <w:rFonts w:ascii="Calibri Light" w:hAnsi="Calibri Light"/>
          <w:spacing w:val="-2"/>
          <w:sz w:val="20"/>
        </w:rPr>
        <w:t xml:space="preserve"> </w:t>
      </w:r>
      <w:r>
        <w:rPr>
          <w:rFonts w:ascii="Calibri Light" w:hAnsi="Calibri Light"/>
          <w:sz w:val="20"/>
        </w:rPr>
        <w:t>language</w:t>
      </w:r>
      <w:r>
        <w:rPr>
          <w:rFonts w:ascii="Calibri Light" w:hAnsi="Calibri Light"/>
          <w:spacing w:val="-4"/>
          <w:sz w:val="20"/>
        </w:rPr>
        <w:t xml:space="preserve"> </w:t>
      </w:r>
      <w:r>
        <w:rPr>
          <w:rFonts w:ascii="Calibri Light" w:hAnsi="Calibri Light"/>
          <w:sz w:val="20"/>
        </w:rPr>
        <w:t>in</w:t>
      </w:r>
      <w:r>
        <w:rPr>
          <w:rFonts w:ascii="Calibri Light" w:hAnsi="Calibri Light"/>
          <w:spacing w:val="-2"/>
          <w:sz w:val="20"/>
        </w:rPr>
        <w:t xml:space="preserve"> </w:t>
      </w:r>
      <w:r>
        <w:rPr>
          <w:rFonts w:ascii="Calibri Light" w:hAnsi="Calibri Light"/>
          <w:sz w:val="20"/>
        </w:rPr>
        <w:t>substa</w:t>
      </w:r>
      <w:r>
        <w:rPr>
          <w:rFonts w:ascii="Calibri Light" w:hAnsi="Calibri Light"/>
          <w:sz w:val="20"/>
        </w:rPr>
        <w:t>nce</w:t>
      </w:r>
      <w:r>
        <w:rPr>
          <w:rFonts w:ascii="Calibri Light" w:hAnsi="Calibri Light"/>
          <w:spacing w:val="-4"/>
          <w:sz w:val="20"/>
        </w:rPr>
        <w:t xml:space="preserve"> </w:t>
      </w:r>
      <w:r>
        <w:rPr>
          <w:rFonts w:ascii="Calibri Light" w:hAnsi="Calibri Light"/>
          <w:sz w:val="20"/>
        </w:rPr>
        <w:t>use</w:t>
      </w:r>
      <w:r>
        <w:rPr>
          <w:rFonts w:ascii="Calibri Light" w:hAnsi="Calibri Light"/>
          <w:spacing w:val="-4"/>
          <w:sz w:val="20"/>
        </w:rPr>
        <w:t xml:space="preserve"> </w:t>
      </w:r>
      <w:r>
        <w:rPr>
          <w:rFonts w:ascii="Calibri Light" w:hAnsi="Calibri Light"/>
          <w:sz w:val="20"/>
        </w:rPr>
        <w:t>disorder</w:t>
      </w:r>
      <w:r>
        <w:rPr>
          <w:rFonts w:ascii="Calibri Light" w:hAnsi="Calibri Light"/>
          <w:spacing w:val="-3"/>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i/>
          <w:sz w:val="20"/>
        </w:rPr>
        <w:t>Drug</w:t>
      </w:r>
      <w:r>
        <w:rPr>
          <w:rFonts w:ascii="Calibri Light" w:hAnsi="Calibri Light"/>
          <w:i/>
          <w:spacing w:val="-4"/>
          <w:sz w:val="20"/>
        </w:rPr>
        <w:t xml:space="preserve"> </w:t>
      </w:r>
      <w:r>
        <w:rPr>
          <w:rFonts w:ascii="Calibri Light" w:hAnsi="Calibri Light"/>
          <w:i/>
          <w:sz w:val="20"/>
        </w:rPr>
        <w:t>and</w:t>
      </w:r>
      <w:r>
        <w:rPr>
          <w:rFonts w:ascii="Calibri Light" w:hAnsi="Calibri Light"/>
          <w:i/>
          <w:spacing w:val="-4"/>
          <w:sz w:val="20"/>
        </w:rPr>
        <w:t xml:space="preserve"> </w:t>
      </w:r>
      <w:r>
        <w:rPr>
          <w:rFonts w:ascii="Calibri Light" w:hAnsi="Calibri Light"/>
          <w:i/>
          <w:sz w:val="20"/>
        </w:rPr>
        <w:t>Alcohol</w:t>
      </w:r>
      <w:r>
        <w:rPr>
          <w:rFonts w:ascii="Calibri Light" w:hAnsi="Calibri Light"/>
          <w:i/>
          <w:spacing w:val="-5"/>
          <w:sz w:val="20"/>
        </w:rPr>
        <w:t xml:space="preserve"> </w:t>
      </w:r>
      <w:r>
        <w:rPr>
          <w:rFonts w:ascii="Calibri Light" w:hAnsi="Calibri Light"/>
          <w:i/>
          <w:sz w:val="20"/>
        </w:rPr>
        <w:t>Dependence,</w:t>
      </w:r>
      <w:r>
        <w:rPr>
          <w:rFonts w:ascii="Calibri Light" w:hAnsi="Calibri Light"/>
          <w:i/>
          <w:spacing w:val="-5"/>
          <w:sz w:val="20"/>
        </w:rPr>
        <w:t xml:space="preserve"> </w:t>
      </w:r>
      <w:r>
        <w:rPr>
          <w:rFonts w:ascii="Calibri Light" w:hAnsi="Calibri Light"/>
          <w:i/>
          <w:sz w:val="20"/>
        </w:rPr>
        <w:t>172,</w:t>
      </w:r>
      <w:r>
        <w:rPr>
          <w:rFonts w:ascii="Calibri Light" w:hAnsi="Calibri Light"/>
          <w:i/>
          <w:spacing w:val="-5"/>
          <w:sz w:val="20"/>
        </w:rPr>
        <w:t xml:space="preserve"> </w:t>
      </w:r>
      <w:r>
        <w:rPr>
          <w:rFonts w:ascii="Calibri Light" w:hAnsi="Calibri Light"/>
          <w:sz w:val="20"/>
        </w:rPr>
        <w:t xml:space="preserve">43–50. </w:t>
      </w:r>
      <w:r>
        <w:rPr>
          <w:rFonts w:ascii="Calibri Light" w:hAnsi="Calibri Light"/>
          <w:spacing w:val="-2"/>
          <w:sz w:val="20"/>
        </w:rPr>
        <w:t>doi:10.1016/j.drugalcdep.2016.11.036</w:t>
      </w:r>
    </w:p>
    <w:p w14:paraId="0A8EAC62" w14:textId="77777777" w:rsidR="00DB6E1F" w:rsidRDefault="00F666A6">
      <w:pPr>
        <w:spacing w:line="259" w:lineRule="auto"/>
        <w:ind w:left="1619" w:right="1491" w:hanging="181"/>
        <w:rPr>
          <w:rFonts w:ascii="Calibri Light" w:hAnsi="Calibri Light"/>
          <w:sz w:val="20"/>
        </w:rPr>
      </w:pPr>
      <w:r>
        <w:rPr>
          <w:rFonts w:ascii="Calibri Light" w:hAnsi="Calibri Light"/>
          <w:sz w:val="20"/>
        </w:rPr>
        <w:t>Moyers,</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Houck,</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Rice,</w:t>
      </w:r>
      <w:r>
        <w:rPr>
          <w:rFonts w:ascii="Calibri Light" w:hAnsi="Calibri Light"/>
          <w:spacing w:val="-1"/>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Longabaugh,</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Miller, W.</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Therapist</w:t>
      </w:r>
      <w:r>
        <w:rPr>
          <w:rFonts w:ascii="Calibri Light" w:hAnsi="Calibri Light"/>
          <w:spacing w:val="-3"/>
          <w:sz w:val="20"/>
        </w:rPr>
        <w:t xml:space="preserve"> </w:t>
      </w:r>
      <w:r>
        <w:rPr>
          <w:rFonts w:ascii="Calibri Light" w:hAnsi="Calibri Light"/>
          <w:sz w:val="20"/>
        </w:rPr>
        <w:t>empathy,</w:t>
      </w:r>
      <w:r>
        <w:rPr>
          <w:rFonts w:ascii="Calibri Light" w:hAnsi="Calibri Light"/>
          <w:spacing w:val="-3"/>
          <w:sz w:val="20"/>
        </w:rPr>
        <w:t xml:space="preserve"> </w:t>
      </w:r>
      <w:r>
        <w:rPr>
          <w:rFonts w:ascii="Calibri Light" w:hAnsi="Calibri Light"/>
          <w:sz w:val="20"/>
        </w:rPr>
        <w:t>combined</w:t>
      </w:r>
      <w:r>
        <w:rPr>
          <w:rFonts w:ascii="Calibri Light" w:hAnsi="Calibri Light"/>
          <w:spacing w:val="-2"/>
          <w:sz w:val="20"/>
        </w:rPr>
        <w:t xml:space="preserve"> </w:t>
      </w:r>
      <w:r>
        <w:rPr>
          <w:rFonts w:ascii="Calibri Light" w:hAnsi="Calibri Light"/>
          <w:sz w:val="20"/>
        </w:rPr>
        <w:t xml:space="preserve">behavioral intervention, and alcohol outcomes in the COMBINE research project. </w:t>
      </w:r>
      <w:r>
        <w:rPr>
          <w:rFonts w:ascii="Calibri Light" w:hAnsi="Calibri Light"/>
          <w:i/>
          <w:sz w:val="20"/>
        </w:rPr>
        <w:t>Journal of Consulting and Clinical Psychology, 84</w:t>
      </w:r>
      <w:r>
        <w:rPr>
          <w:rFonts w:ascii="Calibri Light" w:hAnsi="Calibri Light"/>
          <w:sz w:val="20"/>
        </w:rPr>
        <w:t>(3), 221–229. doi:10.1037/ccp0000074</w:t>
      </w:r>
    </w:p>
    <w:p w14:paraId="1E77DB09" w14:textId="77777777" w:rsidR="00DB6E1F" w:rsidRDefault="00F666A6">
      <w:pPr>
        <w:spacing w:line="243" w:lineRule="exact"/>
        <w:ind w:left="1440"/>
        <w:rPr>
          <w:rFonts w:ascii="Calibri Light"/>
          <w:i/>
          <w:sz w:val="20"/>
        </w:rPr>
      </w:pPr>
      <w:r>
        <w:rPr>
          <w:rFonts w:ascii="Calibri Light"/>
          <w:sz w:val="20"/>
        </w:rPr>
        <w:t>Moyers,</w:t>
      </w:r>
      <w:r>
        <w:rPr>
          <w:rFonts w:ascii="Calibri Light"/>
          <w:spacing w:val="-7"/>
          <w:sz w:val="20"/>
        </w:rPr>
        <w:t xml:space="preserve"> </w:t>
      </w:r>
      <w:r>
        <w:rPr>
          <w:rFonts w:ascii="Calibri Light"/>
          <w:sz w:val="20"/>
        </w:rPr>
        <w:t>T.</w:t>
      </w:r>
      <w:r>
        <w:rPr>
          <w:rFonts w:ascii="Calibri Light"/>
          <w:spacing w:val="-7"/>
          <w:sz w:val="20"/>
        </w:rPr>
        <w:t xml:space="preserve"> </w:t>
      </w:r>
      <w:r>
        <w:rPr>
          <w:rFonts w:ascii="Calibri Light"/>
          <w:sz w:val="20"/>
        </w:rPr>
        <w:t>B.,</w:t>
      </w:r>
      <w:r>
        <w:rPr>
          <w:rFonts w:ascii="Calibri Light"/>
          <w:spacing w:val="-7"/>
          <w:sz w:val="20"/>
        </w:rPr>
        <w:t xml:space="preserve"> </w:t>
      </w:r>
      <w:r>
        <w:rPr>
          <w:rFonts w:ascii="Calibri Light"/>
          <w:sz w:val="20"/>
        </w:rPr>
        <w:t>Manuel,</w:t>
      </w:r>
      <w:r>
        <w:rPr>
          <w:rFonts w:ascii="Calibri Light"/>
          <w:spacing w:val="-6"/>
          <w:sz w:val="20"/>
        </w:rPr>
        <w:t xml:space="preserve"> </w:t>
      </w:r>
      <w:r>
        <w:rPr>
          <w:rFonts w:ascii="Calibri Light"/>
          <w:sz w:val="20"/>
        </w:rPr>
        <w:t>J.</w:t>
      </w:r>
      <w:r>
        <w:rPr>
          <w:rFonts w:ascii="Calibri Light"/>
          <w:spacing w:val="-7"/>
          <w:sz w:val="20"/>
        </w:rPr>
        <w:t xml:space="preserve"> </w:t>
      </w:r>
      <w:r>
        <w:rPr>
          <w:rFonts w:ascii="Calibri Light"/>
          <w:sz w:val="20"/>
        </w:rPr>
        <w:t>K.,</w:t>
      </w:r>
      <w:r>
        <w:rPr>
          <w:rFonts w:ascii="Calibri Light"/>
          <w:spacing w:val="-7"/>
          <w:sz w:val="20"/>
        </w:rPr>
        <w:t xml:space="preserve"> </w:t>
      </w:r>
      <w:r>
        <w:rPr>
          <w:rFonts w:ascii="Calibri Light"/>
          <w:sz w:val="20"/>
        </w:rPr>
        <w:t>&amp;</w:t>
      </w:r>
      <w:r>
        <w:rPr>
          <w:rFonts w:ascii="Calibri Light"/>
          <w:spacing w:val="-5"/>
          <w:sz w:val="20"/>
        </w:rPr>
        <w:t xml:space="preserve"> </w:t>
      </w:r>
      <w:r>
        <w:rPr>
          <w:rFonts w:ascii="Calibri Light"/>
          <w:sz w:val="20"/>
        </w:rPr>
        <w:t>Ernst,</w:t>
      </w:r>
      <w:r>
        <w:rPr>
          <w:rFonts w:ascii="Calibri Light"/>
          <w:spacing w:val="-7"/>
          <w:sz w:val="20"/>
        </w:rPr>
        <w:t xml:space="preserve"> </w:t>
      </w:r>
      <w:r>
        <w:rPr>
          <w:rFonts w:ascii="Calibri Light"/>
          <w:sz w:val="20"/>
        </w:rPr>
        <w:t>D.</w:t>
      </w:r>
      <w:r>
        <w:rPr>
          <w:rFonts w:ascii="Calibri Light"/>
          <w:spacing w:val="-6"/>
          <w:sz w:val="20"/>
        </w:rPr>
        <w:t xml:space="preserve"> </w:t>
      </w:r>
      <w:r>
        <w:rPr>
          <w:rFonts w:ascii="Calibri Light"/>
          <w:sz w:val="20"/>
        </w:rPr>
        <w:t>(2014).</w:t>
      </w:r>
      <w:r>
        <w:rPr>
          <w:rFonts w:ascii="Calibri Light"/>
          <w:spacing w:val="-7"/>
          <w:sz w:val="20"/>
        </w:rPr>
        <w:t xml:space="preserve"> </w:t>
      </w:r>
      <w:r>
        <w:rPr>
          <w:rFonts w:ascii="Calibri Light"/>
          <w:i/>
          <w:sz w:val="20"/>
        </w:rPr>
        <w:t>Motivational</w:t>
      </w:r>
      <w:r>
        <w:rPr>
          <w:rFonts w:ascii="Calibri Light"/>
          <w:i/>
          <w:spacing w:val="-4"/>
          <w:sz w:val="20"/>
        </w:rPr>
        <w:t xml:space="preserve"> </w:t>
      </w:r>
      <w:r>
        <w:rPr>
          <w:rFonts w:ascii="Calibri Light"/>
          <w:i/>
          <w:sz w:val="20"/>
        </w:rPr>
        <w:t>Interviewing</w:t>
      </w:r>
      <w:r>
        <w:rPr>
          <w:rFonts w:ascii="Calibri Light"/>
          <w:i/>
          <w:spacing w:val="-6"/>
          <w:sz w:val="20"/>
        </w:rPr>
        <w:t xml:space="preserve"> </w:t>
      </w:r>
      <w:r>
        <w:rPr>
          <w:rFonts w:ascii="Calibri Light"/>
          <w:i/>
          <w:sz w:val="20"/>
        </w:rPr>
        <w:t>Treatment</w:t>
      </w:r>
      <w:r>
        <w:rPr>
          <w:rFonts w:ascii="Calibri Light"/>
          <w:i/>
          <w:spacing w:val="-7"/>
          <w:sz w:val="20"/>
        </w:rPr>
        <w:t xml:space="preserve"> </w:t>
      </w:r>
      <w:r>
        <w:rPr>
          <w:rFonts w:ascii="Calibri Light"/>
          <w:i/>
          <w:sz w:val="20"/>
        </w:rPr>
        <w:t>Integrity</w:t>
      </w:r>
      <w:r>
        <w:rPr>
          <w:rFonts w:ascii="Calibri Light"/>
          <w:i/>
          <w:spacing w:val="-6"/>
          <w:sz w:val="20"/>
        </w:rPr>
        <w:t xml:space="preserve"> </w:t>
      </w:r>
      <w:r>
        <w:rPr>
          <w:rFonts w:ascii="Calibri Light"/>
          <w:i/>
          <w:sz w:val="20"/>
        </w:rPr>
        <w:t>Coding</w:t>
      </w:r>
      <w:r>
        <w:rPr>
          <w:rFonts w:ascii="Calibri Light"/>
          <w:i/>
          <w:spacing w:val="-4"/>
          <w:sz w:val="20"/>
        </w:rPr>
        <w:t xml:space="preserve"> </w:t>
      </w:r>
      <w:r>
        <w:rPr>
          <w:rFonts w:ascii="Calibri Light"/>
          <w:i/>
          <w:sz w:val="20"/>
        </w:rPr>
        <w:t>Manual</w:t>
      </w:r>
      <w:r>
        <w:rPr>
          <w:rFonts w:ascii="Calibri Light"/>
          <w:i/>
          <w:spacing w:val="-7"/>
          <w:sz w:val="20"/>
        </w:rPr>
        <w:t xml:space="preserve"> </w:t>
      </w:r>
      <w:r>
        <w:rPr>
          <w:rFonts w:ascii="Calibri Light"/>
          <w:i/>
          <w:spacing w:val="-4"/>
          <w:sz w:val="20"/>
        </w:rPr>
        <w:t>4.1.</w:t>
      </w:r>
    </w:p>
    <w:p w14:paraId="771A9AEB" w14:textId="77777777" w:rsidR="00DB6E1F" w:rsidRDefault="00F666A6">
      <w:pPr>
        <w:spacing w:before="16" w:line="259" w:lineRule="auto"/>
        <w:ind w:left="1440" w:right="1571" w:firstLine="179"/>
        <w:rPr>
          <w:rFonts w:ascii="Calibri Light"/>
          <w:sz w:val="20"/>
        </w:rPr>
      </w:pPr>
      <w:r>
        <w:rPr>
          <w:rFonts w:ascii="Calibri Light"/>
          <w:sz w:val="20"/>
        </w:rPr>
        <w:t xml:space="preserve">Unpublished manual. Retrieved from </w:t>
      </w:r>
      <w:hyperlink r:id="rId139">
        <w:r>
          <w:rPr>
            <w:rFonts w:ascii="Calibri Light"/>
            <w:color w:val="0563C1"/>
            <w:sz w:val="20"/>
            <w:u w:val="single" w:color="0563C1"/>
          </w:rPr>
          <w:t>https://motivationalinterviewing.org/sites/default/files/miti4_2.pdf</w:t>
        </w:r>
      </w:hyperlink>
      <w:r>
        <w:rPr>
          <w:rFonts w:ascii="Calibri Light"/>
          <w:color w:val="0563C1"/>
          <w:sz w:val="20"/>
        </w:rPr>
        <w:t xml:space="preserve"> </w:t>
      </w:r>
      <w:r>
        <w:rPr>
          <w:rFonts w:ascii="Calibri Light"/>
          <w:sz w:val="20"/>
        </w:rPr>
        <w:t>Moyers,</w:t>
      </w:r>
      <w:r>
        <w:rPr>
          <w:rFonts w:ascii="Calibri Light"/>
          <w:spacing w:val="-4"/>
          <w:sz w:val="20"/>
        </w:rPr>
        <w:t xml:space="preserve"> </w:t>
      </w:r>
      <w:r>
        <w:rPr>
          <w:rFonts w:ascii="Calibri Light"/>
          <w:sz w:val="20"/>
        </w:rPr>
        <w:t>T.</w:t>
      </w:r>
      <w:r>
        <w:rPr>
          <w:rFonts w:ascii="Calibri Light"/>
          <w:spacing w:val="-4"/>
          <w:sz w:val="20"/>
        </w:rPr>
        <w:t xml:space="preserve"> </w:t>
      </w:r>
      <w:r>
        <w:rPr>
          <w:rFonts w:ascii="Calibri Light"/>
          <w:sz w:val="20"/>
        </w:rPr>
        <w:t>B.,</w:t>
      </w:r>
      <w:r>
        <w:rPr>
          <w:rFonts w:ascii="Calibri Light"/>
          <w:spacing w:val="-4"/>
          <w:sz w:val="20"/>
        </w:rPr>
        <w:t xml:space="preserve"> </w:t>
      </w:r>
      <w:r>
        <w:rPr>
          <w:rFonts w:ascii="Calibri Light"/>
          <w:sz w:val="20"/>
        </w:rPr>
        <w:t>Martin,</w:t>
      </w:r>
      <w:r>
        <w:rPr>
          <w:rFonts w:ascii="Calibri Light"/>
          <w:spacing w:val="-4"/>
          <w:sz w:val="20"/>
        </w:rPr>
        <w:t xml:space="preserve"> </w:t>
      </w:r>
      <w:r>
        <w:rPr>
          <w:rFonts w:ascii="Calibri Light"/>
          <w:sz w:val="20"/>
        </w:rPr>
        <w:t>T.,</w:t>
      </w:r>
      <w:r>
        <w:rPr>
          <w:rFonts w:ascii="Calibri Light"/>
          <w:spacing w:val="-4"/>
          <w:sz w:val="20"/>
        </w:rPr>
        <w:t xml:space="preserve"> </w:t>
      </w:r>
      <w:r>
        <w:rPr>
          <w:rFonts w:ascii="Calibri Light"/>
          <w:sz w:val="20"/>
        </w:rPr>
        <w:t>&amp; Christ</w:t>
      </w:r>
      <w:r>
        <w:rPr>
          <w:rFonts w:ascii="Calibri Light"/>
          <w:sz w:val="20"/>
        </w:rPr>
        <w:t>opher,</w:t>
      </w:r>
      <w:r>
        <w:rPr>
          <w:rFonts w:ascii="Calibri Light"/>
          <w:spacing w:val="-4"/>
          <w:sz w:val="20"/>
        </w:rPr>
        <w:t xml:space="preserve"> </w:t>
      </w:r>
      <w:r>
        <w:rPr>
          <w:rFonts w:ascii="Calibri Light"/>
          <w:sz w:val="20"/>
        </w:rPr>
        <w:t>P.</w:t>
      </w:r>
      <w:r>
        <w:rPr>
          <w:rFonts w:ascii="Calibri Light"/>
          <w:spacing w:val="-4"/>
          <w:sz w:val="20"/>
        </w:rPr>
        <w:t xml:space="preserve"> </w:t>
      </w:r>
      <w:r>
        <w:rPr>
          <w:rFonts w:ascii="Calibri Light"/>
          <w:sz w:val="20"/>
        </w:rPr>
        <w:t>(2005).</w:t>
      </w:r>
      <w:r>
        <w:rPr>
          <w:rFonts w:ascii="Calibri Light"/>
          <w:spacing w:val="-4"/>
          <w:sz w:val="20"/>
        </w:rPr>
        <w:t xml:space="preserve"> </w:t>
      </w:r>
      <w:r>
        <w:rPr>
          <w:rFonts w:ascii="Calibri Light"/>
          <w:i/>
          <w:sz w:val="20"/>
        </w:rPr>
        <w:t>Motivational</w:t>
      </w:r>
      <w:r>
        <w:rPr>
          <w:rFonts w:ascii="Calibri Light"/>
          <w:i/>
          <w:spacing w:val="-4"/>
          <w:sz w:val="20"/>
        </w:rPr>
        <w:t xml:space="preserve"> </w:t>
      </w:r>
      <w:r>
        <w:rPr>
          <w:rFonts w:ascii="Calibri Light"/>
          <w:i/>
          <w:sz w:val="20"/>
        </w:rPr>
        <w:t>interviewing</w:t>
      </w:r>
      <w:r>
        <w:rPr>
          <w:rFonts w:ascii="Calibri Light"/>
          <w:i/>
          <w:spacing w:val="-3"/>
          <w:sz w:val="20"/>
        </w:rPr>
        <w:t xml:space="preserve"> </w:t>
      </w:r>
      <w:r>
        <w:rPr>
          <w:rFonts w:ascii="Calibri Light"/>
          <w:i/>
          <w:sz w:val="20"/>
        </w:rPr>
        <w:t>knowledge</w:t>
      </w:r>
      <w:r>
        <w:rPr>
          <w:rFonts w:ascii="Calibri Light"/>
          <w:i/>
          <w:spacing w:val="-3"/>
          <w:sz w:val="20"/>
        </w:rPr>
        <w:t xml:space="preserve"> </w:t>
      </w:r>
      <w:r>
        <w:rPr>
          <w:rFonts w:ascii="Calibri Light"/>
          <w:i/>
          <w:sz w:val="20"/>
        </w:rPr>
        <w:t>test.</w:t>
      </w:r>
      <w:r>
        <w:rPr>
          <w:rFonts w:ascii="Calibri Light"/>
          <w:i/>
          <w:spacing w:val="-4"/>
          <w:sz w:val="20"/>
        </w:rPr>
        <w:t xml:space="preserve"> </w:t>
      </w:r>
      <w:r>
        <w:rPr>
          <w:rFonts w:ascii="Calibri Light"/>
          <w:sz w:val="20"/>
        </w:rPr>
        <w:t>Albuquerque,</w:t>
      </w:r>
      <w:r>
        <w:rPr>
          <w:rFonts w:ascii="Calibri Light"/>
          <w:spacing w:val="-4"/>
          <w:sz w:val="20"/>
        </w:rPr>
        <w:t xml:space="preserve"> </w:t>
      </w:r>
      <w:r>
        <w:rPr>
          <w:rFonts w:ascii="Calibri Light"/>
          <w:sz w:val="20"/>
        </w:rPr>
        <w:t>NM:</w:t>
      </w:r>
    </w:p>
    <w:p w14:paraId="52B6217B" w14:textId="77777777" w:rsidR="00DB6E1F" w:rsidRDefault="00F666A6">
      <w:pPr>
        <w:spacing w:before="2" w:line="256" w:lineRule="auto"/>
        <w:ind w:left="1620" w:right="1491"/>
        <w:rPr>
          <w:rFonts w:ascii="Calibri Light"/>
          <w:sz w:val="20"/>
        </w:rPr>
      </w:pPr>
      <w:r>
        <w:rPr>
          <w:rFonts w:ascii="Calibri Light"/>
          <w:sz w:val="20"/>
        </w:rPr>
        <w:t>Center</w:t>
      </w:r>
      <w:r>
        <w:rPr>
          <w:rFonts w:ascii="Calibri Light"/>
          <w:spacing w:val="-3"/>
          <w:sz w:val="20"/>
        </w:rPr>
        <w:t xml:space="preserve"> </w:t>
      </w:r>
      <w:r>
        <w:rPr>
          <w:rFonts w:ascii="Calibri Light"/>
          <w:sz w:val="20"/>
        </w:rPr>
        <w:t>on</w:t>
      </w:r>
      <w:r>
        <w:rPr>
          <w:rFonts w:ascii="Calibri Light"/>
          <w:spacing w:val="-4"/>
          <w:sz w:val="20"/>
        </w:rPr>
        <w:t xml:space="preserve"> </w:t>
      </w:r>
      <w:r>
        <w:rPr>
          <w:rFonts w:ascii="Calibri Light"/>
          <w:sz w:val="20"/>
        </w:rPr>
        <w:t>Alcoholism,</w:t>
      </w:r>
      <w:r>
        <w:rPr>
          <w:rFonts w:ascii="Calibri Light"/>
          <w:spacing w:val="-4"/>
          <w:sz w:val="20"/>
        </w:rPr>
        <w:t xml:space="preserve"> </w:t>
      </w:r>
      <w:r>
        <w:rPr>
          <w:rFonts w:ascii="Calibri Light"/>
          <w:sz w:val="20"/>
        </w:rPr>
        <w:t>Substance</w:t>
      </w:r>
      <w:r>
        <w:rPr>
          <w:rFonts w:ascii="Calibri Light"/>
          <w:spacing w:val="-4"/>
          <w:sz w:val="20"/>
        </w:rPr>
        <w:t xml:space="preserve"> </w:t>
      </w:r>
      <w:r>
        <w:rPr>
          <w:rFonts w:ascii="Calibri Light"/>
          <w:sz w:val="20"/>
        </w:rPr>
        <w:t>Abuse,</w:t>
      </w:r>
      <w:r>
        <w:rPr>
          <w:rFonts w:ascii="Calibri Light"/>
          <w:spacing w:val="-4"/>
          <w:sz w:val="20"/>
        </w:rPr>
        <w:t xml:space="preserve"> </w:t>
      </w:r>
      <w:r>
        <w:rPr>
          <w:rFonts w:ascii="Calibri Light"/>
          <w:sz w:val="20"/>
        </w:rPr>
        <w:t>and</w:t>
      </w:r>
      <w:r>
        <w:rPr>
          <w:rFonts w:ascii="Calibri Light"/>
          <w:spacing w:val="-4"/>
          <w:sz w:val="20"/>
        </w:rPr>
        <w:t xml:space="preserve"> </w:t>
      </w:r>
      <w:r>
        <w:rPr>
          <w:rFonts w:ascii="Calibri Light"/>
          <w:sz w:val="20"/>
        </w:rPr>
        <w:t>Addictions,</w:t>
      </w:r>
      <w:r>
        <w:rPr>
          <w:rFonts w:ascii="Calibri Light"/>
          <w:spacing w:val="-4"/>
          <w:sz w:val="20"/>
        </w:rPr>
        <w:t xml:space="preserve"> </w:t>
      </w:r>
      <w:r>
        <w:rPr>
          <w:rFonts w:ascii="Calibri Light"/>
          <w:sz w:val="20"/>
        </w:rPr>
        <w:t>University</w:t>
      </w:r>
      <w:r>
        <w:rPr>
          <w:rFonts w:ascii="Calibri Light"/>
          <w:spacing w:val="-3"/>
          <w:sz w:val="20"/>
        </w:rPr>
        <w:t xml:space="preserve"> </w:t>
      </w:r>
      <w:r>
        <w:rPr>
          <w:rFonts w:ascii="Calibri Light"/>
          <w:sz w:val="20"/>
        </w:rPr>
        <w:t>of</w:t>
      </w:r>
      <w:r>
        <w:rPr>
          <w:rFonts w:ascii="Calibri Light"/>
          <w:spacing w:val="-4"/>
          <w:sz w:val="20"/>
        </w:rPr>
        <w:t xml:space="preserve"> </w:t>
      </w:r>
      <w:r>
        <w:rPr>
          <w:rFonts w:ascii="Calibri Light"/>
          <w:sz w:val="20"/>
        </w:rPr>
        <w:t>New</w:t>
      </w:r>
      <w:r>
        <w:rPr>
          <w:rFonts w:ascii="Calibri Light"/>
          <w:spacing w:val="-4"/>
          <w:sz w:val="20"/>
        </w:rPr>
        <w:t xml:space="preserve"> </w:t>
      </w:r>
      <w:r>
        <w:rPr>
          <w:rFonts w:ascii="Calibri Light"/>
          <w:sz w:val="20"/>
        </w:rPr>
        <w:t>Mexico.</w:t>
      </w:r>
      <w:r>
        <w:rPr>
          <w:rFonts w:ascii="Calibri Light"/>
          <w:spacing w:val="-4"/>
          <w:sz w:val="20"/>
        </w:rPr>
        <w:t xml:space="preserve"> </w:t>
      </w:r>
      <w:r>
        <w:rPr>
          <w:rFonts w:ascii="Calibri Light"/>
          <w:sz w:val="20"/>
        </w:rPr>
        <w:t>Retrieved</w:t>
      </w:r>
      <w:r>
        <w:rPr>
          <w:rFonts w:ascii="Calibri Light"/>
          <w:spacing w:val="-5"/>
          <w:sz w:val="20"/>
        </w:rPr>
        <w:t xml:space="preserve"> </w:t>
      </w:r>
      <w:r>
        <w:rPr>
          <w:rFonts w:ascii="Calibri Light"/>
          <w:sz w:val="20"/>
        </w:rPr>
        <w:t xml:space="preserve">from </w:t>
      </w:r>
      <w:hyperlink r:id="rId140">
        <w:r>
          <w:rPr>
            <w:rFonts w:ascii="Calibri Light"/>
            <w:color w:val="0563C1"/>
            <w:spacing w:val="-2"/>
            <w:sz w:val="20"/>
            <w:u w:val="single" w:color="0563C1"/>
          </w:rPr>
          <w:t>https://casaa.unm.edu/download/ELICIT/MI%20Knowledge%20Test.pdf</w:t>
        </w:r>
      </w:hyperlink>
    </w:p>
    <w:p w14:paraId="302F4C1E" w14:textId="77777777" w:rsidR="00DB6E1F" w:rsidRDefault="00F666A6">
      <w:pPr>
        <w:spacing w:before="3" w:line="259" w:lineRule="auto"/>
        <w:ind w:left="1620" w:right="1491" w:hanging="181"/>
        <w:rPr>
          <w:rFonts w:ascii="Calibri Light" w:hAnsi="Calibri Light"/>
          <w:sz w:val="20"/>
        </w:rPr>
      </w:pPr>
      <w:r>
        <w:rPr>
          <w:rFonts w:ascii="Calibri Light" w:hAnsi="Calibri Light"/>
          <w:sz w:val="20"/>
        </w:rPr>
        <w:t>Moyers,</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B.,</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Miller, W.</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(2013).</w:t>
      </w:r>
      <w:r>
        <w:rPr>
          <w:rFonts w:ascii="Calibri Light" w:hAnsi="Calibri Light"/>
          <w:spacing w:val="-3"/>
          <w:sz w:val="20"/>
        </w:rPr>
        <w:t xml:space="preserve"> </w:t>
      </w:r>
      <w:r>
        <w:rPr>
          <w:rFonts w:ascii="Calibri Light" w:hAnsi="Calibri Light"/>
          <w:sz w:val="20"/>
        </w:rPr>
        <w:t>Is</w:t>
      </w:r>
      <w:r>
        <w:rPr>
          <w:rFonts w:ascii="Calibri Light" w:hAnsi="Calibri Light"/>
          <w:spacing w:val="-2"/>
          <w:sz w:val="20"/>
        </w:rPr>
        <w:t xml:space="preserve"> </w:t>
      </w:r>
      <w:r>
        <w:rPr>
          <w:rFonts w:ascii="Calibri Light" w:hAnsi="Calibri Light"/>
          <w:sz w:val="20"/>
        </w:rPr>
        <w:t>low</w:t>
      </w:r>
      <w:r>
        <w:rPr>
          <w:rFonts w:ascii="Calibri Light" w:hAnsi="Calibri Light"/>
          <w:spacing w:val="-2"/>
          <w:sz w:val="20"/>
        </w:rPr>
        <w:t xml:space="preserve"> </w:t>
      </w:r>
      <w:r>
        <w:rPr>
          <w:rFonts w:ascii="Calibri Light" w:hAnsi="Calibri Light"/>
          <w:sz w:val="20"/>
        </w:rPr>
        <w:t>therapist</w:t>
      </w:r>
      <w:r>
        <w:rPr>
          <w:rFonts w:ascii="Calibri Light" w:hAnsi="Calibri Light"/>
          <w:spacing w:val="-3"/>
          <w:sz w:val="20"/>
        </w:rPr>
        <w:t xml:space="preserve"> </w:t>
      </w:r>
      <w:r>
        <w:rPr>
          <w:rFonts w:ascii="Calibri Light" w:hAnsi="Calibri Light"/>
          <w:sz w:val="20"/>
        </w:rPr>
        <w:t>empathy</w:t>
      </w:r>
      <w:r>
        <w:rPr>
          <w:rFonts w:ascii="Calibri Light" w:hAnsi="Calibri Light"/>
          <w:spacing w:val="-1"/>
          <w:sz w:val="20"/>
        </w:rPr>
        <w:t xml:space="preserve"> </w:t>
      </w:r>
      <w:r>
        <w:rPr>
          <w:rFonts w:ascii="Calibri Light" w:hAnsi="Calibri Light"/>
          <w:sz w:val="20"/>
        </w:rPr>
        <w:t>toxic?</w:t>
      </w:r>
      <w:r>
        <w:rPr>
          <w:rFonts w:ascii="Calibri Light" w:hAnsi="Calibri Light"/>
          <w:spacing w:val="-3"/>
          <w:sz w:val="20"/>
        </w:rPr>
        <w:t xml:space="preserve"> </w:t>
      </w:r>
      <w:r>
        <w:rPr>
          <w:rFonts w:ascii="Calibri Light" w:hAnsi="Calibri Light"/>
          <w:i/>
          <w:sz w:val="20"/>
        </w:rPr>
        <w:t>Psychology</w:t>
      </w:r>
      <w:r>
        <w:rPr>
          <w:rFonts w:ascii="Calibri Light" w:hAnsi="Calibri Light"/>
          <w:i/>
          <w:spacing w:val="-2"/>
          <w:sz w:val="20"/>
        </w:rPr>
        <w:t xml:space="preserve"> </w:t>
      </w:r>
      <w:r>
        <w:rPr>
          <w:rFonts w:ascii="Calibri Light" w:hAnsi="Calibri Light"/>
          <w:i/>
          <w:sz w:val="20"/>
        </w:rPr>
        <w:t>of</w:t>
      </w:r>
      <w:r>
        <w:rPr>
          <w:rFonts w:ascii="Calibri Light" w:hAnsi="Calibri Light"/>
          <w:i/>
          <w:spacing w:val="-2"/>
          <w:sz w:val="20"/>
        </w:rPr>
        <w:t xml:space="preserve"> </w:t>
      </w:r>
      <w:r>
        <w:rPr>
          <w:rFonts w:ascii="Calibri Light" w:hAnsi="Calibri Light"/>
          <w:i/>
          <w:sz w:val="20"/>
        </w:rPr>
        <w:t>Addictive</w:t>
      </w:r>
      <w:r>
        <w:rPr>
          <w:rFonts w:ascii="Calibri Light" w:hAnsi="Calibri Light"/>
          <w:i/>
          <w:spacing w:val="-2"/>
          <w:sz w:val="20"/>
        </w:rPr>
        <w:t xml:space="preserve"> </w:t>
      </w:r>
      <w:r>
        <w:rPr>
          <w:rFonts w:ascii="Calibri Light" w:hAnsi="Calibri Light"/>
          <w:i/>
          <w:sz w:val="20"/>
        </w:rPr>
        <w:t>Behaviors,</w:t>
      </w:r>
      <w:r>
        <w:rPr>
          <w:rFonts w:ascii="Calibri Light" w:hAnsi="Calibri Light"/>
          <w:i/>
          <w:spacing w:val="-3"/>
          <w:sz w:val="20"/>
        </w:rPr>
        <w:t xml:space="preserve"> </w:t>
      </w:r>
      <w:r>
        <w:rPr>
          <w:rFonts w:ascii="Calibri Light" w:hAnsi="Calibri Light"/>
          <w:i/>
          <w:sz w:val="20"/>
        </w:rPr>
        <w:t>273,</w:t>
      </w:r>
      <w:r>
        <w:rPr>
          <w:rFonts w:ascii="Calibri Light" w:hAnsi="Calibri Light"/>
          <w:i/>
          <w:spacing w:val="-3"/>
          <w:sz w:val="20"/>
        </w:rPr>
        <w:t xml:space="preserve"> </w:t>
      </w:r>
      <w:r>
        <w:rPr>
          <w:rFonts w:ascii="Calibri Light" w:hAnsi="Calibri Light"/>
          <w:sz w:val="20"/>
        </w:rPr>
        <w:t>878– 884. doi:10.1037/a0030274</w:t>
      </w:r>
    </w:p>
    <w:p w14:paraId="2187EBF9" w14:textId="77777777" w:rsidR="00DB6E1F" w:rsidRDefault="00F666A6">
      <w:pPr>
        <w:spacing w:line="256" w:lineRule="auto"/>
        <w:ind w:left="1619" w:right="1491" w:hanging="180"/>
        <w:rPr>
          <w:rFonts w:ascii="Calibri Light" w:hAnsi="Calibri Light"/>
          <w:sz w:val="20"/>
        </w:rPr>
      </w:pPr>
      <w:r>
        <w:rPr>
          <w:rFonts w:ascii="Calibri Light" w:hAnsi="Calibri Light"/>
          <w:sz w:val="20"/>
        </w:rPr>
        <w:t>Mumba,</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N.,</w:t>
      </w:r>
      <w:r>
        <w:rPr>
          <w:rFonts w:ascii="Calibri Light" w:hAnsi="Calibri Light"/>
          <w:spacing w:val="-3"/>
          <w:sz w:val="20"/>
        </w:rPr>
        <w:t xml:space="preserve"> </w:t>
      </w:r>
      <w:r>
        <w:rPr>
          <w:rFonts w:ascii="Calibri Light" w:hAnsi="Calibri Light"/>
          <w:sz w:val="20"/>
        </w:rPr>
        <w:t>Findlay,</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Snow,</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(2018).</w:t>
      </w:r>
      <w:r>
        <w:rPr>
          <w:rFonts w:ascii="Calibri Light" w:hAnsi="Calibri Light"/>
          <w:spacing w:val="-3"/>
          <w:sz w:val="20"/>
        </w:rPr>
        <w:t xml:space="preserve"> </w:t>
      </w:r>
      <w:r>
        <w:rPr>
          <w:rFonts w:ascii="Calibri Light" w:hAnsi="Calibri Light"/>
          <w:sz w:val="20"/>
        </w:rPr>
        <w:t>Treatment options</w:t>
      </w:r>
      <w:r>
        <w:rPr>
          <w:rFonts w:ascii="Calibri Light" w:hAnsi="Calibri Light"/>
          <w:spacing w:val="-2"/>
          <w:sz w:val="20"/>
        </w:rPr>
        <w:t xml:space="preserve"> </w:t>
      </w:r>
      <w:r>
        <w:rPr>
          <w:rFonts w:ascii="Calibri Light" w:hAnsi="Calibri Light"/>
          <w:sz w:val="20"/>
        </w:rPr>
        <w:t>for</w:t>
      </w:r>
      <w:r>
        <w:rPr>
          <w:rFonts w:ascii="Calibri Light" w:hAnsi="Calibri Light"/>
          <w:spacing w:val="-1"/>
          <w:sz w:val="20"/>
        </w:rPr>
        <w:t xml:space="preserve"> </w:t>
      </w:r>
      <w:r>
        <w:rPr>
          <w:rFonts w:ascii="Calibri Light" w:hAnsi="Calibri Light"/>
          <w:sz w:val="20"/>
        </w:rPr>
        <w:t>opioid use</w:t>
      </w:r>
      <w:r>
        <w:rPr>
          <w:rFonts w:ascii="Calibri Light" w:hAnsi="Calibri Light"/>
          <w:spacing w:val="-2"/>
          <w:sz w:val="20"/>
        </w:rPr>
        <w:t xml:space="preserve"> </w:t>
      </w:r>
      <w:r>
        <w:rPr>
          <w:rFonts w:ascii="Calibri Light" w:hAnsi="Calibri Light"/>
          <w:sz w:val="20"/>
        </w:rPr>
        <w:t>disorders.</w:t>
      </w:r>
      <w:r>
        <w:rPr>
          <w:rFonts w:ascii="Calibri Light" w:hAnsi="Calibri Light"/>
          <w:spacing w:val="-3"/>
          <w:sz w:val="20"/>
        </w:rPr>
        <w:t xml:space="preserve"> </w:t>
      </w:r>
      <w:r>
        <w:rPr>
          <w:rFonts w:ascii="Calibri Light" w:hAnsi="Calibri Light"/>
          <w:i/>
          <w:sz w:val="20"/>
        </w:rPr>
        <w:t>Journal</w:t>
      </w:r>
      <w:r>
        <w:rPr>
          <w:rFonts w:ascii="Calibri Light" w:hAnsi="Calibri Light"/>
          <w:i/>
          <w:spacing w:val="-3"/>
          <w:sz w:val="20"/>
        </w:rPr>
        <w:t xml:space="preserve"> </w:t>
      </w:r>
      <w:r>
        <w:rPr>
          <w:rFonts w:ascii="Calibri Light" w:hAnsi="Calibri Light"/>
          <w:i/>
          <w:sz w:val="20"/>
        </w:rPr>
        <w:t>of</w:t>
      </w:r>
      <w:r>
        <w:rPr>
          <w:rFonts w:ascii="Calibri Light" w:hAnsi="Calibri Light"/>
          <w:i/>
          <w:spacing w:val="-2"/>
          <w:sz w:val="20"/>
        </w:rPr>
        <w:t xml:space="preserve"> </w:t>
      </w:r>
      <w:r>
        <w:rPr>
          <w:rFonts w:ascii="Calibri Light" w:hAnsi="Calibri Light"/>
          <w:i/>
          <w:sz w:val="20"/>
        </w:rPr>
        <w:t>Addictions Nursing, 29</w:t>
      </w:r>
      <w:r>
        <w:rPr>
          <w:rFonts w:ascii="Calibri Light" w:hAnsi="Calibri Light"/>
          <w:sz w:val="20"/>
        </w:rPr>
        <w:t>(3), 221–225.</w:t>
      </w:r>
    </w:p>
    <w:p w14:paraId="76747776" w14:textId="77777777" w:rsidR="00DB6E1F" w:rsidRDefault="00F666A6">
      <w:pPr>
        <w:spacing w:before="3" w:line="259" w:lineRule="auto"/>
        <w:ind w:left="1619" w:right="1491" w:hanging="180"/>
        <w:rPr>
          <w:rFonts w:ascii="Calibri Light"/>
          <w:sz w:val="20"/>
        </w:rPr>
      </w:pPr>
      <w:r>
        <w:rPr>
          <w:rFonts w:ascii="Calibri Light"/>
          <w:sz w:val="20"/>
        </w:rPr>
        <w:t>Naar-King,</w:t>
      </w:r>
      <w:r>
        <w:rPr>
          <w:rFonts w:ascii="Calibri Light"/>
          <w:spacing w:val="-3"/>
          <w:sz w:val="20"/>
        </w:rPr>
        <w:t xml:space="preserve"> </w:t>
      </w:r>
      <w:r>
        <w:rPr>
          <w:rFonts w:ascii="Calibri Light"/>
          <w:sz w:val="20"/>
        </w:rPr>
        <w:t>S.,</w:t>
      </w:r>
      <w:r>
        <w:rPr>
          <w:rFonts w:ascii="Calibri Light"/>
          <w:spacing w:val="-3"/>
          <w:sz w:val="20"/>
        </w:rPr>
        <w:t xml:space="preserve"> </w:t>
      </w:r>
      <w:r>
        <w:rPr>
          <w:rFonts w:ascii="Calibri Light"/>
          <w:sz w:val="20"/>
        </w:rPr>
        <w:t>Safren,</w:t>
      </w:r>
      <w:r>
        <w:rPr>
          <w:rFonts w:ascii="Calibri Light"/>
          <w:spacing w:val="-3"/>
          <w:sz w:val="20"/>
        </w:rPr>
        <w:t xml:space="preserve"> </w:t>
      </w:r>
      <w:r>
        <w:rPr>
          <w:rFonts w:ascii="Calibri Light"/>
          <w:sz w:val="20"/>
        </w:rPr>
        <w:t>S.</w:t>
      </w:r>
      <w:r>
        <w:rPr>
          <w:rFonts w:ascii="Calibri Light"/>
          <w:spacing w:val="-3"/>
          <w:sz w:val="20"/>
        </w:rPr>
        <w:t xml:space="preserve"> </w:t>
      </w:r>
      <w:r>
        <w:rPr>
          <w:rFonts w:ascii="Calibri Light"/>
          <w:sz w:val="20"/>
        </w:rPr>
        <w:t>A.,</w:t>
      </w:r>
      <w:r>
        <w:rPr>
          <w:rFonts w:ascii="Calibri Light"/>
          <w:spacing w:val="-3"/>
          <w:sz w:val="20"/>
        </w:rPr>
        <w:t xml:space="preserve"> </w:t>
      </w:r>
      <w:r>
        <w:rPr>
          <w:rFonts w:ascii="Calibri Light"/>
          <w:sz w:val="20"/>
        </w:rPr>
        <w:t>&amp; Miller,</w:t>
      </w:r>
      <w:r>
        <w:rPr>
          <w:rFonts w:ascii="Calibri Light"/>
          <w:spacing w:val="-3"/>
          <w:sz w:val="20"/>
        </w:rPr>
        <w:t xml:space="preserve"> </w:t>
      </w:r>
      <w:r>
        <w:rPr>
          <w:rFonts w:ascii="Calibri Light"/>
          <w:sz w:val="20"/>
        </w:rPr>
        <w:t>W.</w:t>
      </w:r>
      <w:r>
        <w:rPr>
          <w:rFonts w:ascii="Calibri Light"/>
          <w:spacing w:val="-3"/>
          <w:sz w:val="20"/>
        </w:rPr>
        <w:t xml:space="preserve"> </w:t>
      </w:r>
      <w:r>
        <w:rPr>
          <w:rFonts w:ascii="Calibri Light"/>
          <w:sz w:val="20"/>
        </w:rPr>
        <w:t>R.</w:t>
      </w:r>
      <w:r>
        <w:rPr>
          <w:rFonts w:ascii="Calibri Light"/>
          <w:spacing w:val="-3"/>
          <w:sz w:val="20"/>
        </w:rPr>
        <w:t xml:space="preserve"> </w:t>
      </w:r>
      <w:r>
        <w:rPr>
          <w:rFonts w:ascii="Calibri Light"/>
          <w:sz w:val="20"/>
        </w:rPr>
        <w:t>(2017).</w:t>
      </w:r>
      <w:r>
        <w:rPr>
          <w:rFonts w:ascii="Calibri Light"/>
          <w:spacing w:val="-3"/>
          <w:sz w:val="20"/>
        </w:rPr>
        <w:t xml:space="preserve"> </w:t>
      </w:r>
      <w:r>
        <w:rPr>
          <w:rFonts w:ascii="Calibri Light"/>
          <w:i/>
          <w:sz w:val="20"/>
        </w:rPr>
        <w:t>Motivational</w:t>
      </w:r>
      <w:r>
        <w:rPr>
          <w:rFonts w:ascii="Calibri Light"/>
          <w:i/>
          <w:spacing w:val="-3"/>
          <w:sz w:val="20"/>
        </w:rPr>
        <w:t xml:space="preserve"> </w:t>
      </w:r>
      <w:r>
        <w:rPr>
          <w:rFonts w:ascii="Calibri Light"/>
          <w:i/>
          <w:sz w:val="20"/>
        </w:rPr>
        <w:t>interviewing</w:t>
      </w:r>
      <w:r>
        <w:rPr>
          <w:rFonts w:ascii="Calibri Light"/>
          <w:i/>
          <w:spacing w:val="-2"/>
          <w:sz w:val="20"/>
        </w:rPr>
        <w:t xml:space="preserve"> </w:t>
      </w:r>
      <w:r>
        <w:rPr>
          <w:rFonts w:ascii="Calibri Light"/>
          <w:i/>
          <w:sz w:val="20"/>
        </w:rPr>
        <w:t>and</w:t>
      </w:r>
      <w:r>
        <w:rPr>
          <w:rFonts w:ascii="Calibri Light"/>
          <w:i/>
          <w:spacing w:val="-2"/>
          <w:sz w:val="20"/>
        </w:rPr>
        <w:t xml:space="preserve"> </w:t>
      </w:r>
      <w:r>
        <w:rPr>
          <w:rFonts w:ascii="Calibri Light"/>
          <w:i/>
          <w:sz w:val="20"/>
        </w:rPr>
        <w:t>CBT:</w:t>
      </w:r>
      <w:r>
        <w:rPr>
          <w:rFonts w:ascii="Calibri Light"/>
          <w:i/>
          <w:spacing w:val="-2"/>
          <w:sz w:val="20"/>
        </w:rPr>
        <w:t xml:space="preserve"> </w:t>
      </w:r>
      <w:r>
        <w:rPr>
          <w:rFonts w:ascii="Calibri Light"/>
          <w:i/>
          <w:sz w:val="20"/>
        </w:rPr>
        <w:t>Combining</w:t>
      </w:r>
      <w:r>
        <w:rPr>
          <w:rFonts w:ascii="Calibri Light"/>
          <w:i/>
          <w:spacing w:val="-2"/>
          <w:sz w:val="20"/>
        </w:rPr>
        <w:t xml:space="preserve"> </w:t>
      </w:r>
      <w:r>
        <w:rPr>
          <w:rFonts w:ascii="Calibri Light"/>
          <w:i/>
          <w:sz w:val="20"/>
        </w:rPr>
        <w:t>strategies</w:t>
      </w:r>
      <w:r>
        <w:rPr>
          <w:rFonts w:ascii="Calibri Light"/>
          <w:i/>
          <w:spacing w:val="-2"/>
          <w:sz w:val="20"/>
        </w:rPr>
        <w:t xml:space="preserve"> </w:t>
      </w:r>
      <w:r>
        <w:rPr>
          <w:rFonts w:ascii="Calibri Light"/>
          <w:i/>
          <w:sz w:val="20"/>
        </w:rPr>
        <w:t>for maximum effectiveness</w:t>
      </w:r>
      <w:r>
        <w:rPr>
          <w:rFonts w:ascii="Calibri Light"/>
          <w:sz w:val="20"/>
        </w:rPr>
        <w:t>. New York, NY: Guilford Press.</w:t>
      </w:r>
    </w:p>
    <w:p w14:paraId="6D17D90F" w14:textId="77777777" w:rsidR="00DB6E1F" w:rsidRDefault="00F666A6">
      <w:pPr>
        <w:spacing w:before="1" w:line="259" w:lineRule="auto"/>
        <w:ind w:left="1620" w:right="1491" w:hanging="181"/>
        <w:rPr>
          <w:rFonts w:ascii="Calibri Light" w:hAnsi="Calibri Light"/>
          <w:sz w:val="20"/>
        </w:rPr>
      </w:pPr>
      <w:r>
        <w:rPr>
          <w:rFonts w:ascii="Calibri Light" w:hAnsi="Calibri Light"/>
          <w:sz w:val="20"/>
        </w:rPr>
        <w:t>Navidian,</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Kermansaravi,</w:t>
      </w:r>
      <w:r>
        <w:rPr>
          <w:rFonts w:ascii="Calibri Light" w:hAnsi="Calibri Light"/>
          <w:spacing w:val="-4"/>
          <w:sz w:val="20"/>
        </w:rPr>
        <w:t xml:space="preserve"> </w:t>
      </w:r>
      <w:r>
        <w:rPr>
          <w:rFonts w:ascii="Calibri Light" w:hAnsi="Calibri Light"/>
          <w:sz w:val="20"/>
        </w:rPr>
        <w:t>F.,</w:t>
      </w:r>
      <w:r>
        <w:rPr>
          <w:rFonts w:ascii="Calibri Light" w:hAnsi="Calibri Light"/>
          <w:spacing w:val="-1"/>
          <w:sz w:val="20"/>
        </w:rPr>
        <w:t xml:space="preserve"> </w:t>
      </w:r>
      <w:r>
        <w:rPr>
          <w:rFonts w:ascii="Calibri Light" w:hAnsi="Calibri Light"/>
          <w:sz w:val="20"/>
        </w:rPr>
        <w:t>Tabas,</w:t>
      </w:r>
      <w:r>
        <w:rPr>
          <w:rFonts w:ascii="Calibri Light" w:hAnsi="Calibri Light"/>
          <w:spacing w:val="-4"/>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Saeedinezhad,</w:t>
      </w:r>
      <w:r>
        <w:rPr>
          <w:rFonts w:ascii="Calibri Light" w:hAnsi="Calibri Light"/>
          <w:spacing w:val="-1"/>
          <w:sz w:val="20"/>
        </w:rPr>
        <w:t xml:space="preserve"> </w:t>
      </w:r>
      <w:r>
        <w:rPr>
          <w:rFonts w:ascii="Calibri Light" w:hAnsi="Calibri Light"/>
          <w:sz w:val="20"/>
        </w:rPr>
        <w:t>F.</w:t>
      </w:r>
      <w:r>
        <w:rPr>
          <w:rFonts w:ascii="Calibri Light" w:hAnsi="Calibri Light"/>
          <w:spacing w:val="-4"/>
          <w:sz w:val="20"/>
        </w:rPr>
        <w:t xml:space="preserve"> </w:t>
      </w:r>
      <w:r>
        <w:rPr>
          <w:rFonts w:ascii="Calibri Light" w:hAnsi="Calibri Light"/>
          <w:sz w:val="20"/>
        </w:rPr>
        <w:t>(2016).</w:t>
      </w:r>
      <w:r>
        <w:rPr>
          <w:rFonts w:ascii="Calibri Light" w:hAnsi="Calibri Light"/>
          <w:spacing w:val="-4"/>
          <w:sz w:val="20"/>
        </w:rPr>
        <w:t xml:space="preserve"> </w:t>
      </w:r>
      <w:r>
        <w:rPr>
          <w:rFonts w:ascii="Calibri Light" w:hAnsi="Calibri Light"/>
          <w:sz w:val="20"/>
        </w:rPr>
        <w:t>Efficacy</w:t>
      </w:r>
      <w:r>
        <w:rPr>
          <w:rFonts w:ascii="Calibri Light" w:hAnsi="Calibri Light"/>
          <w:spacing w:val="-2"/>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group</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4"/>
          <w:sz w:val="20"/>
        </w:rPr>
        <w:t xml:space="preserve"> </w:t>
      </w:r>
      <w:r>
        <w:rPr>
          <w:rFonts w:ascii="Calibri Light" w:hAnsi="Calibri Light"/>
          <w:sz w:val="20"/>
        </w:rPr>
        <w:t>interviewing</w:t>
      </w:r>
      <w:r>
        <w:rPr>
          <w:rFonts w:ascii="Calibri Light" w:hAnsi="Calibri Light"/>
          <w:spacing w:val="-3"/>
          <w:sz w:val="20"/>
        </w:rPr>
        <w:t xml:space="preserve"> </w:t>
      </w:r>
      <w:r>
        <w:rPr>
          <w:rFonts w:ascii="Calibri Light" w:hAnsi="Calibri Light"/>
          <w:sz w:val="20"/>
        </w:rPr>
        <w:t>in the degree of drug craving in the ad</w:t>
      </w:r>
      <w:r>
        <w:rPr>
          <w:rFonts w:ascii="Calibri Light" w:hAnsi="Calibri Light"/>
          <w:sz w:val="20"/>
        </w:rPr>
        <w:t xml:space="preserve">dicts under the methadone maintenance treatment (MMT) in South East of Iran. </w:t>
      </w:r>
      <w:r>
        <w:rPr>
          <w:rFonts w:ascii="Calibri Light" w:hAnsi="Calibri Light"/>
          <w:i/>
          <w:sz w:val="20"/>
        </w:rPr>
        <w:t>Archives of Psychiatric Nursing, 30</w:t>
      </w:r>
      <w:r>
        <w:rPr>
          <w:rFonts w:ascii="Calibri Light" w:hAnsi="Calibri Light"/>
          <w:sz w:val="20"/>
        </w:rPr>
        <w:t>(2), 144–149. doi:10.1016/j.apnu.2015.08.002</w:t>
      </w:r>
    </w:p>
    <w:p w14:paraId="46EF0391" w14:textId="77777777" w:rsidR="00DB6E1F" w:rsidRDefault="00F666A6">
      <w:pPr>
        <w:spacing w:line="243" w:lineRule="exact"/>
        <w:ind w:left="1440"/>
        <w:rPr>
          <w:rFonts w:ascii="Calibri Light" w:hAnsi="Calibri Light"/>
          <w:sz w:val="20"/>
        </w:rPr>
      </w:pPr>
      <w:r>
        <w:rPr>
          <w:rFonts w:ascii="Calibri Light" w:hAnsi="Calibri Light"/>
          <w:sz w:val="20"/>
        </w:rPr>
        <w:t>Norcross,</w:t>
      </w:r>
      <w:r>
        <w:rPr>
          <w:rFonts w:ascii="Calibri Light" w:hAnsi="Calibri Light"/>
          <w:spacing w:val="-7"/>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C.,</w:t>
      </w:r>
      <w:r>
        <w:rPr>
          <w:rFonts w:ascii="Calibri Light" w:hAnsi="Calibri Light"/>
          <w:spacing w:val="-6"/>
          <w:sz w:val="20"/>
        </w:rPr>
        <w:t xml:space="preserve"> </w:t>
      </w:r>
      <w:r>
        <w:rPr>
          <w:rFonts w:ascii="Calibri Light" w:hAnsi="Calibri Light"/>
          <w:sz w:val="20"/>
        </w:rPr>
        <w:t>Krebs,</w:t>
      </w:r>
      <w:r>
        <w:rPr>
          <w:rFonts w:ascii="Calibri Light" w:hAnsi="Calibri Light"/>
          <w:spacing w:val="-6"/>
          <w:sz w:val="20"/>
        </w:rPr>
        <w:t xml:space="preserve"> </w:t>
      </w:r>
      <w:r>
        <w:rPr>
          <w:rFonts w:ascii="Calibri Light" w:hAnsi="Calibri Light"/>
          <w:sz w:val="20"/>
        </w:rPr>
        <w:t>P.</w:t>
      </w:r>
      <w:r>
        <w:rPr>
          <w:rFonts w:ascii="Calibri Light" w:hAnsi="Calibri Light"/>
          <w:spacing w:val="-7"/>
          <w:sz w:val="20"/>
        </w:rPr>
        <w:t xml:space="preserve"> </w:t>
      </w:r>
      <w:r>
        <w:rPr>
          <w:rFonts w:ascii="Calibri Light" w:hAnsi="Calibri Light"/>
          <w:sz w:val="20"/>
        </w:rPr>
        <w:t>M.,</w:t>
      </w:r>
      <w:r>
        <w:rPr>
          <w:rFonts w:ascii="Calibri Light" w:hAnsi="Calibri Light"/>
          <w:spacing w:val="-6"/>
          <w:sz w:val="20"/>
        </w:rPr>
        <w:t xml:space="preserve"> </w:t>
      </w:r>
      <w:r>
        <w:rPr>
          <w:rFonts w:ascii="Calibri Light" w:hAnsi="Calibri Light"/>
          <w:sz w:val="20"/>
        </w:rPr>
        <w:t>&amp;</w:t>
      </w:r>
      <w:r>
        <w:rPr>
          <w:rFonts w:ascii="Calibri Light" w:hAnsi="Calibri Light"/>
          <w:spacing w:val="-4"/>
          <w:sz w:val="20"/>
        </w:rPr>
        <w:t xml:space="preserve"> </w:t>
      </w:r>
      <w:r>
        <w:rPr>
          <w:rFonts w:ascii="Calibri Light" w:hAnsi="Calibri Light"/>
          <w:sz w:val="20"/>
        </w:rPr>
        <w:t>Prochaska,</w:t>
      </w:r>
      <w:r>
        <w:rPr>
          <w:rFonts w:ascii="Calibri Light" w:hAnsi="Calibri Light"/>
          <w:spacing w:val="-6"/>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O.</w:t>
      </w:r>
      <w:r>
        <w:rPr>
          <w:rFonts w:ascii="Calibri Light" w:hAnsi="Calibri Light"/>
          <w:spacing w:val="-6"/>
          <w:sz w:val="20"/>
        </w:rPr>
        <w:t xml:space="preserve"> </w:t>
      </w:r>
      <w:r>
        <w:rPr>
          <w:rFonts w:ascii="Calibri Light" w:hAnsi="Calibri Light"/>
          <w:sz w:val="20"/>
        </w:rPr>
        <w:t>(2011).</w:t>
      </w:r>
      <w:r>
        <w:rPr>
          <w:rFonts w:ascii="Calibri Light" w:hAnsi="Calibri Light"/>
          <w:spacing w:val="-6"/>
          <w:sz w:val="20"/>
        </w:rPr>
        <w:t xml:space="preserve"> </w:t>
      </w:r>
      <w:r>
        <w:rPr>
          <w:rFonts w:ascii="Calibri Light" w:hAnsi="Calibri Light"/>
          <w:sz w:val="20"/>
        </w:rPr>
        <w:t>Stages</w:t>
      </w:r>
      <w:r>
        <w:rPr>
          <w:rFonts w:ascii="Calibri Light" w:hAnsi="Calibri Light"/>
          <w:spacing w:val="-4"/>
          <w:sz w:val="20"/>
        </w:rPr>
        <w:t xml:space="preserve"> </w:t>
      </w:r>
      <w:r>
        <w:rPr>
          <w:rFonts w:ascii="Calibri Light" w:hAnsi="Calibri Light"/>
          <w:sz w:val="20"/>
        </w:rPr>
        <w:t>of</w:t>
      </w:r>
      <w:r>
        <w:rPr>
          <w:rFonts w:ascii="Calibri Light" w:hAnsi="Calibri Light"/>
          <w:spacing w:val="-5"/>
          <w:sz w:val="20"/>
        </w:rPr>
        <w:t xml:space="preserve"> </w:t>
      </w:r>
      <w:r>
        <w:rPr>
          <w:rFonts w:ascii="Calibri Light" w:hAnsi="Calibri Light"/>
          <w:sz w:val="20"/>
        </w:rPr>
        <w:t>Change.</w:t>
      </w:r>
      <w:r>
        <w:rPr>
          <w:rFonts w:ascii="Calibri Light" w:hAnsi="Calibri Light"/>
          <w:spacing w:val="-6"/>
          <w:sz w:val="20"/>
        </w:rPr>
        <w:t xml:space="preserve"> </w:t>
      </w:r>
      <w:r>
        <w:rPr>
          <w:rFonts w:ascii="Calibri Light" w:hAnsi="Calibri Light"/>
          <w:i/>
          <w:sz w:val="20"/>
        </w:rPr>
        <w:t>Journal</w:t>
      </w:r>
      <w:r>
        <w:rPr>
          <w:rFonts w:ascii="Calibri Light" w:hAnsi="Calibri Light"/>
          <w:i/>
          <w:spacing w:val="-6"/>
          <w:sz w:val="20"/>
        </w:rPr>
        <w:t xml:space="preserve"> </w:t>
      </w:r>
      <w:r>
        <w:rPr>
          <w:rFonts w:ascii="Calibri Light" w:hAnsi="Calibri Light"/>
          <w:i/>
          <w:sz w:val="20"/>
        </w:rPr>
        <w:t>of</w:t>
      </w:r>
      <w:r>
        <w:rPr>
          <w:rFonts w:ascii="Calibri Light" w:hAnsi="Calibri Light"/>
          <w:i/>
          <w:spacing w:val="-5"/>
          <w:sz w:val="20"/>
        </w:rPr>
        <w:t xml:space="preserve"> </w:t>
      </w:r>
      <w:r>
        <w:rPr>
          <w:rFonts w:ascii="Calibri Light" w:hAnsi="Calibri Light"/>
          <w:i/>
          <w:sz w:val="20"/>
        </w:rPr>
        <w:t>Clinical</w:t>
      </w:r>
      <w:r>
        <w:rPr>
          <w:rFonts w:ascii="Calibri Light" w:hAnsi="Calibri Light"/>
          <w:i/>
          <w:spacing w:val="-4"/>
          <w:sz w:val="20"/>
        </w:rPr>
        <w:t xml:space="preserve"> </w:t>
      </w:r>
      <w:r>
        <w:rPr>
          <w:rFonts w:ascii="Calibri Light" w:hAnsi="Calibri Light"/>
          <w:i/>
          <w:sz w:val="20"/>
        </w:rPr>
        <w:t>Psychology,</w:t>
      </w:r>
      <w:r>
        <w:rPr>
          <w:rFonts w:ascii="Calibri Light" w:hAnsi="Calibri Light"/>
          <w:i/>
          <w:spacing w:val="-3"/>
          <w:sz w:val="20"/>
        </w:rPr>
        <w:t xml:space="preserve"> </w:t>
      </w:r>
      <w:r>
        <w:rPr>
          <w:rFonts w:ascii="Calibri Light" w:hAnsi="Calibri Light"/>
          <w:i/>
          <w:sz w:val="20"/>
        </w:rPr>
        <w:t>67</w:t>
      </w:r>
      <w:r>
        <w:rPr>
          <w:rFonts w:ascii="Calibri Light" w:hAnsi="Calibri Light"/>
          <w:sz w:val="20"/>
        </w:rPr>
        <w:t>(2),</w:t>
      </w:r>
      <w:r>
        <w:rPr>
          <w:rFonts w:ascii="Calibri Light" w:hAnsi="Calibri Light"/>
          <w:spacing w:val="-7"/>
          <w:sz w:val="20"/>
        </w:rPr>
        <w:t xml:space="preserve"> </w:t>
      </w:r>
      <w:r>
        <w:rPr>
          <w:rFonts w:ascii="Calibri Light" w:hAnsi="Calibri Light"/>
          <w:spacing w:val="-4"/>
          <w:sz w:val="20"/>
        </w:rPr>
        <w:t>143–</w:t>
      </w:r>
    </w:p>
    <w:p w14:paraId="5A68B9E6" w14:textId="77777777" w:rsidR="00DB6E1F" w:rsidRDefault="00F666A6">
      <w:pPr>
        <w:spacing w:before="20"/>
        <w:ind w:left="1620"/>
        <w:rPr>
          <w:rFonts w:ascii="Calibri Light"/>
          <w:sz w:val="20"/>
        </w:rPr>
      </w:pPr>
      <w:r>
        <w:rPr>
          <w:rFonts w:ascii="Calibri Light"/>
          <w:sz w:val="20"/>
        </w:rPr>
        <w:t>154.</w:t>
      </w:r>
      <w:r>
        <w:rPr>
          <w:rFonts w:ascii="Calibri Light"/>
          <w:spacing w:val="-8"/>
          <w:sz w:val="20"/>
        </w:rPr>
        <w:t xml:space="preserve"> </w:t>
      </w:r>
      <w:r>
        <w:rPr>
          <w:rFonts w:ascii="Calibri Light"/>
          <w:sz w:val="20"/>
        </w:rPr>
        <w:t>Retrieved</w:t>
      </w:r>
      <w:r>
        <w:rPr>
          <w:rFonts w:ascii="Calibri Light"/>
          <w:spacing w:val="-7"/>
          <w:sz w:val="20"/>
        </w:rPr>
        <w:t xml:space="preserve"> </w:t>
      </w:r>
      <w:r>
        <w:rPr>
          <w:rFonts w:ascii="Calibri Light"/>
          <w:sz w:val="20"/>
        </w:rPr>
        <w:t>from</w:t>
      </w:r>
      <w:r>
        <w:rPr>
          <w:rFonts w:ascii="Calibri Light"/>
          <w:spacing w:val="-7"/>
          <w:sz w:val="20"/>
        </w:rPr>
        <w:t xml:space="preserve"> </w:t>
      </w:r>
      <w:hyperlink r:id="rId141">
        <w:r>
          <w:rPr>
            <w:rFonts w:ascii="Calibri Light"/>
            <w:color w:val="0563C1"/>
            <w:spacing w:val="-2"/>
            <w:sz w:val="20"/>
            <w:u w:val="single" w:color="0563C1"/>
          </w:rPr>
          <w:t>www.researchgate.net/publication/49683193_Stages_of_Change</w:t>
        </w:r>
      </w:hyperlink>
    </w:p>
    <w:p w14:paraId="7EB09FCA" w14:textId="77777777" w:rsidR="00DB6E1F" w:rsidRDefault="00F666A6">
      <w:pPr>
        <w:spacing w:before="20" w:line="259" w:lineRule="auto"/>
        <w:ind w:left="1619" w:right="1555" w:hanging="180"/>
        <w:rPr>
          <w:rFonts w:ascii="Calibri Light" w:hAnsi="Calibri Light"/>
          <w:sz w:val="20"/>
        </w:rPr>
      </w:pPr>
      <w:r>
        <w:rPr>
          <w:rFonts w:ascii="Calibri Light" w:hAnsi="Calibri Light"/>
          <w:sz w:val="20"/>
        </w:rPr>
        <w:t>Novins,</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K., Croy,</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Moore,</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Rieckmann,</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Use</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evidence-based</w:t>
      </w:r>
      <w:r>
        <w:rPr>
          <w:rFonts w:ascii="Calibri Light" w:hAnsi="Calibri Light"/>
          <w:spacing w:val="-3"/>
          <w:sz w:val="20"/>
        </w:rPr>
        <w:t xml:space="preserve"> </w:t>
      </w:r>
      <w:r>
        <w:rPr>
          <w:rFonts w:ascii="Calibri Light" w:hAnsi="Calibri Light"/>
          <w:sz w:val="20"/>
        </w:rPr>
        <w:t>treatments in</w:t>
      </w:r>
      <w:r>
        <w:rPr>
          <w:rFonts w:ascii="Calibri Light" w:hAnsi="Calibri Light"/>
          <w:spacing w:val="-2"/>
          <w:sz w:val="20"/>
        </w:rPr>
        <w:t xml:space="preserve"> </w:t>
      </w:r>
      <w:r>
        <w:rPr>
          <w:rFonts w:ascii="Calibri Light" w:hAnsi="Calibri Light"/>
          <w:sz w:val="20"/>
        </w:rPr>
        <w:t xml:space="preserve">substance abuse treatment programs serving American Indian and Alaska Native communities. </w:t>
      </w:r>
      <w:r>
        <w:rPr>
          <w:rFonts w:ascii="Calibri Light" w:hAnsi="Calibri Light"/>
          <w:i/>
          <w:sz w:val="20"/>
        </w:rPr>
        <w:t>Drug and Alcohol Dependence</w:t>
      </w:r>
      <w:r>
        <w:rPr>
          <w:rFonts w:ascii="Calibri Light" w:hAnsi="Calibri Light"/>
          <w:sz w:val="20"/>
        </w:rPr>
        <w:t xml:space="preserve">, </w:t>
      </w:r>
      <w:r>
        <w:rPr>
          <w:rFonts w:ascii="Calibri Light" w:hAnsi="Calibri Light"/>
          <w:i/>
          <w:sz w:val="20"/>
        </w:rPr>
        <w:t>161</w:t>
      </w:r>
      <w:r>
        <w:rPr>
          <w:rFonts w:ascii="Calibri Light" w:hAnsi="Calibri Light"/>
          <w:sz w:val="20"/>
        </w:rPr>
        <w:t>, 214–221.</w:t>
      </w:r>
    </w:p>
    <w:p w14:paraId="58EF1685" w14:textId="77777777" w:rsidR="00DB6E1F" w:rsidRDefault="00F666A6">
      <w:pPr>
        <w:spacing w:line="259" w:lineRule="auto"/>
        <w:ind w:left="1619" w:right="1491" w:hanging="180"/>
        <w:rPr>
          <w:rFonts w:ascii="Calibri Light" w:hAnsi="Calibri Light"/>
          <w:sz w:val="20"/>
        </w:rPr>
      </w:pPr>
      <w:r>
        <w:rPr>
          <w:rFonts w:ascii="Calibri Light" w:hAnsi="Calibri Light"/>
          <w:sz w:val="20"/>
        </w:rPr>
        <w:t>Nunes, A. P., Richmond, M. K., Marzano, K., Swenson, C. J., &amp; Loc</w:t>
      </w:r>
      <w:r>
        <w:rPr>
          <w:rFonts w:ascii="Calibri Light" w:hAnsi="Calibri Light"/>
          <w:sz w:val="20"/>
        </w:rPr>
        <w:t>khart, J. (2017). Ten years of implementing screening,</w:t>
      </w:r>
      <w:r>
        <w:rPr>
          <w:rFonts w:ascii="Calibri Light" w:hAnsi="Calibri Light"/>
          <w:spacing w:val="-4"/>
          <w:sz w:val="20"/>
        </w:rPr>
        <w:t xml:space="preserve"> </w:t>
      </w:r>
      <w:r>
        <w:rPr>
          <w:rFonts w:ascii="Calibri Light" w:hAnsi="Calibri Light"/>
          <w:sz w:val="20"/>
        </w:rPr>
        <w:t>brief</w:t>
      </w:r>
      <w:r>
        <w:rPr>
          <w:rFonts w:ascii="Calibri Light" w:hAnsi="Calibri Light"/>
          <w:spacing w:val="-3"/>
          <w:sz w:val="20"/>
        </w:rPr>
        <w:t xml:space="preserve"> </w:t>
      </w:r>
      <w:r>
        <w:rPr>
          <w:rFonts w:ascii="Calibri Light" w:hAnsi="Calibri Light"/>
          <w:sz w:val="20"/>
        </w:rPr>
        <w:t>intervention,</w:t>
      </w:r>
      <w:r>
        <w:rPr>
          <w:rFonts w:ascii="Calibri Light" w:hAnsi="Calibri Light"/>
          <w:spacing w:val="-2"/>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referral</w:t>
      </w:r>
      <w:r>
        <w:rPr>
          <w:rFonts w:ascii="Calibri Light" w:hAnsi="Calibri Light"/>
          <w:spacing w:val="-4"/>
          <w:sz w:val="20"/>
        </w:rPr>
        <w:t xml:space="preserve"> </w:t>
      </w:r>
      <w:r>
        <w:rPr>
          <w:rFonts w:ascii="Calibri Light" w:hAnsi="Calibri Light"/>
          <w:sz w:val="20"/>
        </w:rPr>
        <w:t>to</w:t>
      </w:r>
      <w:r>
        <w:rPr>
          <w:rFonts w:ascii="Calibri Light" w:hAnsi="Calibri Light"/>
          <w:spacing w:val="-2"/>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(SBIRT):</w:t>
      </w:r>
      <w:r>
        <w:rPr>
          <w:rFonts w:ascii="Calibri Light" w:hAnsi="Calibri Light"/>
          <w:spacing w:val="-3"/>
          <w:sz w:val="20"/>
        </w:rPr>
        <w:t xml:space="preserve"> </w:t>
      </w:r>
      <w:r>
        <w:rPr>
          <w:rFonts w:ascii="Calibri Light" w:hAnsi="Calibri Light"/>
          <w:sz w:val="20"/>
        </w:rPr>
        <w:t>Lessons</w:t>
      </w:r>
      <w:r>
        <w:rPr>
          <w:rFonts w:ascii="Calibri Light" w:hAnsi="Calibri Light"/>
          <w:spacing w:val="-3"/>
          <w:sz w:val="20"/>
        </w:rPr>
        <w:t xml:space="preserve"> </w:t>
      </w:r>
      <w:r>
        <w:rPr>
          <w:rFonts w:ascii="Calibri Light" w:hAnsi="Calibri Light"/>
          <w:sz w:val="20"/>
        </w:rPr>
        <w:t>learned.</w:t>
      </w:r>
      <w:r>
        <w:rPr>
          <w:rFonts w:ascii="Calibri Light" w:hAnsi="Calibri Light"/>
          <w:spacing w:val="-3"/>
          <w:sz w:val="20"/>
        </w:rPr>
        <w:t xml:space="preserve"> </w:t>
      </w:r>
      <w:r>
        <w:rPr>
          <w:rFonts w:ascii="Calibri Light" w:hAnsi="Calibri Light"/>
          <w:i/>
          <w:sz w:val="20"/>
        </w:rPr>
        <w:t>Substance</w:t>
      </w:r>
      <w:r>
        <w:rPr>
          <w:rFonts w:ascii="Calibri Light" w:hAnsi="Calibri Light"/>
          <w:i/>
          <w:spacing w:val="-3"/>
          <w:sz w:val="20"/>
        </w:rPr>
        <w:t xml:space="preserve"> </w:t>
      </w:r>
      <w:r>
        <w:rPr>
          <w:rFonts w:ascii="Calibri Light" w:hAnsi="Calibri Light"/>
          <w:i/>
          <w:sz w:val="20"/>
        </w:rPr>
        <w:t>Abuse,</w:t>
      </w:r>
      <w:r>
        <w:rPr>
          <w:rFonts w:ascii="Calibri Light" w:hAnsi="Calibri Light"/>
          <w:i/>
          <w:spacing w:val="-4"/>
          <w:sz w:val="20"/>
        </w:rPr>
        <w:t xml:space="preserve"> </w:t>
      </w:r>
      <w:r>
        <w:rPr>
          <w:rFonts w:ascii="Calibri Light" w:hAnsi="Calibri Light"/>
          <w:i/>
          <w:sz w:val="20"/>
        </w:rPr>
        <w:t>38</w:t>
      </w:r>
      <w:r>
        <w:rPr>
          <w:rFonts w:ascii="Calibri Light" w:hAnsi="Calibri Light"/>
          <w:sz w:val="20"/>
        </w:rPr>
        <w:t>(4),</w:t>
      </w:r>
      <w:r>
        <w:rPr>
          <w:rFonts w:ascii="Calibri Light" w:hAnsi="Calibri Light"/>
          <w:spacing w:val="-4"/>
          <w:sz w:val="20"/>
        </w:rPr>
        <w:t xml:space="preserve"> </w:t>
      </w:r>
      <w:r>
        <w:rPr>
          <w:rFonts w:ascii="Calibri Light" w:hAnsi="Calibri Light"/>
          <w:sz w:val="20"/>
        </w:rPr>
        <w:t>508– 512. doi:10.1080/08897077.2017.1362369</w:t>
      </w:r>
    </w:p>
    <w:p w14:paraId="673FDC2F" w14:textId="77777777" w:rsidR="00DB6E1F" w:rsidRDefault="00DB6E1F">
      <w:pPr>
        <w:spacing w:line="259" w:lineRule="auto"/>
        <w:rPr>
          <w:rFonts w:ascii="Calibri Light" w:hAnsi="Calibri Light"/>
          <w:sz w:val="20"/>
        </w:rPr>
        <w:sectPr w:rsidR="00DB6E1F">
          <w:pgSz w:w="12240" w:h="15840"/>
          <w:pgMar w:top="1080" w:right="0" w:bottom="780" w:left="0" w:header="619" w:footer="585" w:gutter="0"/>
          <w:cols w:space="720"/>
        </w:sectPr>
      </w:pPr>
    </w:p>
    <w:p w14:paraId="17EED82F" w14:textId="77777777" w:rsidR="00DB6E1F" w:rsidRDefault="00DB6E1F">
      <w:pPr>
        <w:pStyle w:val="BodyText"/>
        <w:spacing w:before="4"/>
        <w:rPr>
          <w:rFonts w:ascii="Calibri Light"/>
          <w:sz w:val="24"/>
        </w:rPr>
      </w:pPr>
    </w:p>
    <w:p w14:paraId="40E84623" w14:textId="77777777" w:rsidR="00DB6E1F" w:rsidRDefault="00F666A6">
      <w:pPr>
        <w:spacing w:before="60" w:line="259" w:lineRule="auto"/>
        <w:ind w:left="1620" w:right="1593" w:hanging="181"/>
        <w:rPr>
          <w:rFonts w:ascii="Calibri Light" w:hAnsi="Calibri Light"/>
          <w:sz w:val="20"/>
        </w:rPr>
      </w:pPr>
      <w:r>
        <w:rPr>
          <w:rFonts w:ascii="Calibri Light" w:hAnsi="Calibri Light"/>
          <w:sz w:val="20"/>
        </w:rPr>
        <w:t>Office</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Surgeon</w:t>
      </w:r>
      <w:r>
        <w:rPr>
          <w:rFonts w:ascii="Calibri Light" w:hAnsi="Calibri Light"/>
          <w:spacing w:val="-3"/>
          <w:sz w:val="20"/>
        </w:rPr>
        <w:t xml:space="preserve"> </w:t>
      </w:r>
      <w:r>
        <w:rPr>
          <w:rFonts w:ascii="Calibri Light" w:hAnsi="Calibri Light"/>
          <w:sz w:val="20"/>
        </w:rPr>
        <w:t>General.</w:t>
      </w:r>
      <w:r>
        <w:rPr>
          <w:rFonts w:ascii="Calibri Light" w:hAnsi="Calibri Light"/>
          <w:spacing w:val="-1"/>
          <w:sz w:val="20"/>
        </w:rPr>
        <w:t xml:space="preserve"> </w:t>
      </w:r>
      <w:r>
        <w:rPr>
          <w:rFonts w:ascii="Calibri Light" w:hAnsi="Calibri Light"/>
          <w:sz w:val="20"/>
        </w:rPr>
        <w:t>(2016).</w:t>
      </w:r>
      <w:r>
        <w:rPr>
          <w:rFonts w:ascii="Calibri Light" w:hAnsi="Calibri Light"/>
          <w:spacing w:val="-4"/>
          <w:sz w:val="20"/>
        </w:rPr>
        <w:t xml:space="preserve"> </w:t>
      </w:r>
      <w:r>
        <w:rPr>
          <w:rFonts w:ascii="Calibri Light" w:hAnsi="Calibri Light"/>
          <w:i/>
          <w:sz w:val="20"/>
        </w:rPr>
        <w:t>Facing</w:t>
      </w:r>
      <w:r>
        <w:rPr>
          <w:rFonts w:ascii="Calibri Light" w:hAnsi="Calibri Light"/>
          <w:i/>
          <w:spacing w:val="-3"/>
          <w:sz w:val="20"/>
        </w:rPr>
        <w:t xml:space="preserve"> </w:t>
      </w:r>
      <w:r>
        <w:rPr>
          <w:rFonts w:ascii="Calibri Light" w:hAnsi="Calibri Light"/>
          <w:i/>
          <w:sz w:val="20"/>
        </w:rPr>
        <w:t>addiction</w:t>
      </w:r>
      <w:r>
        <w:rPr>
          <w:rFonts w:ascii="Calibri Light" w:hAnsi="Calibri Light"/>
          <w:i/>
          <w:spacing w:val="-3"/>
          <w:sz w:val="20"/>
        </w:rPr>
        <w:t xml:space="preserve"> </w:t>
      </w:r>
      <w:r>
        <w:rPr>
          <w:rFonts w:ascii="Calibri Light" w:hAnsi="Calibri Light"/>
          <w:i/>
          <w:sz w:val="20"/>
        </w:rPr>
        <w:t>in</w:t>
      </w:r>
      <w:r>
        <w:rPr>
          <w:rFonts w:ascii="Calibri Light" w:hAnsi="Calibri Light"/>
          <w:i/>
          <w:spacing w:val="-3"/>
          <w:sz w:val="20"/>
        </w:rPr>
        <w:t xml:space="preserve"> </w:t>
      </w:r>
      <w:r>
        <w:rPr>
          <w:rFonts w:ascii="Calibri Light" w:hAnsi="Calibri Light"/>
          <w:i/>
          <w:sz w:val="20"/>
        </w:rPr>
        <w:t>America:</w:t>
      </w:r>
      <w:r>
        <w:rPr>
          <w:rFonts w:ascii="Calibri Light" w:hAnsi="Calibri Light"/>
          <w:i/>
          <w:spacing w:val="-3"/>
          <w:sz w:val="20"/>
        </w:rPr>
        <w:t xml:space="preserve"> </w:t>
      </w:r>
      <w:r>
        <w:rPr>
          <w:rFonts w:ascii="Calibri Light" w:hAnsi="Calibri Light"/>
          <w:i/>
          <w:sz w:val="20"/>
        </w:rPr>
        <w:t>The</w:t>
      </w:r>
      <w:r>
        <w:rPr>
          <w:rFonts w:ascii="Calibri Light" w:hAnsi="Calibri Light"/>
          <w:i/>
          <w:spacing w:val="-3"/>
          <w:sz w:val="20"/>
        </w:rPr>
        <w:t xml:space="preserve"> </w:t>
      </w:r>
      <w:r>
        <w:rPr>
          <w:rFonts w:ascii="Calibri Light" w:hAnsi="Calibri Light"/>
          <w:i/>
          <w:sz w:val="20"/>
        </w:rPr>
        <w:t>Surgeon</w:t>
      </w:r>
      <w:r>
        <w:rPr>
          <w:rFonts w:ascii="Calibri Light" w:hAnsi="Calibri Light"/>
          <w:i/>
          <w:spacing w:val="-3"/>
          <w:sz w:val="20"/>
        </w:rPr>
        <w:t xml:space="preserve"> </w:t>
      </w:r>
      <w:r>
        <w:rPr>
          <w:rFonts w:ascii="Calibri Light" w:hAnsi="Calibri Light"/>
          <w:i/>
          <w:sz w:val="20"/>
        </w:rPr>
        <w:t>General’s</w:t>
      </w:r>
      <w:r>
        <w:rPr>
          <w:rFonts w:ascii="Calibri Light" w:hAnsi="Calibri Light"/>
          <w:i/>
          <w:spacing w:val="-1"/>
          <w:sz w:val="20"/>
        </w:rPr>
        <w:t xml:space="preserve"> </w:t>
      </w:r>
      <w:r>
        <w:rPr>
          <w:rFonts w:ascii="Calibri Light" w:hAnsi="Calibri Light"/>
          <w:i/>
          <w:sz w:val="20"/>
        </w:rPr>
        <w:t>report</w:t>
      </w:r>
      <w:r>
        <w:rPr>
          <w:rFonts w:ascii="Calibri Light" w:hAnsi="Calibri Light"/>
          <w:i/>
          <w:spacing w:val="-4"/>
          <w:sz w:val="20"/>
        </w:rPr>
        <w:t xml:space="preserve"> </w:t>
      </w:r>
      <w:r>
        <w:rPr>
          <w:rFonts w:ascii="Calibri Light" w:hAnsi="Calibri Light"/>
          <w:i/>
          <w:sz w:val="20"/>
        </w:rPr>
        <w:t>on</w:t>
      </w:r>
      <w:r>
        <w:rPr>
          <w:rFonts w:ascii="Calibri Light" w:hAnsi="Calibri Light"/>
          <w:i/>
          <w:spacing w:val="-3"/>
          <w:sz w:val="20"/>
        </w:rPr>
        <w:t xml:space="preserve"> </w:t>
      </w:r>
      <w:r>
        <w:rPr>
          <w:rFonts w:ascii="Calibri Light" w:hAnsi="Calibri Light"/>
          <w:i/>
          <w:sz w:val="20"/>
        </w:rPr>
        <w:t>alcohol,</w:t>
      </w:r>
      <w:r>
        <w:rPr>
          <w:rFonts w:ascii="Calibri Light" w:hAnsi="Calibri Light"/>
          <w:i/>
          <w:spacing w:val="-4"/>
          <w:sz w:val="20"/>
        </w:rPr>
        <w:t xml:space="preserve"> </w:t>
      </w:r>
      <w:r>
        <w:rPr>
          <w:rFonts w:ascii="Calibri Light" w:hAnsi="Calibri Light"/>
          <w:i/>
          <w:sz w:val="20"/>
        </w:rPr>
        <w:t>drugs, and health</w:t>
      </w:r>
      <w:r>
        <w:rPr>
          <w:rFonts w:ascii="Calibri Light" w:hAnsi="Calibri Light"/>
          <w:sz w:val="20"/>
        </w:rPr>
        <w:t xml:space="preserve">. Washington, DC: U.S. Department of Health and Human Services. Retrieved from </w:t>
      </w:r>
      <w:hyperlink r:id="rId142">
        <w:r>
          <w:rPr>
            <w:rFonts w:ascii="Calibri Light" w:hAnsi="Calibri Light"/>
            <w:color w:val="0563C1"/>
            <w:spacing w:val="-2"/>
            <w:sz w:val="20"/>
            <w:u w:val="single" w:color="0563C1"/>
          </w:rPr>
          <w:t>https://addiction.surgeongeneral.gov/sites/default/files/surgeon-generals-report.pdf</w:t>
        </w:r>
      </w:hyperlink>
    </w:p>
    <w:p w14:paraId="29D775FF" w14:textId="77777777" w:rsidR="00DB6E1F" w:rsidRDefault="00F666A6">
      <w:pPr>
        <w:spacing w:line="259" w:lineRule="auto"/>
        <w:ind w:left="1619" w:right="1555" w:hanging="180"/>
        <w:rPr>
          <w:rFonts w:ascii="Calibri Light" w:hAnsi="Calibri Light"/>
          <w:sz w:val="20"/>
        </w:rPr>
      </w:pPr>
      <w:r>
        <w:rPr>
          <w:rFonts w:ascii="Calibri Light" w:hAnsi="Calibri Light"/>
          <w:sz w:val="20"/>
        </w:rPr>
        <w:t>Osilla, K. C., Ortiz, J. A., Miles, J. N., Pedersen, E. R., Houck, J. M., &amp; Damico, E. J. (2015). How group factors affect adolescent</w:t>
      </w:r>
      <w:r>
        <w:rPr>
          <w:rFonts w:ascii="Calibri Light" w:hAnsi="Calibri Light"/>
          <w:spacing w:val="-5"/>
          <w:sz w:val="20"/>
        </w:rPr>
        <w:t xml:space="preserve"> </w:t>
      </w:r>
      <w:r>
        <w:rPr>
          <w:rFonts w:ascii="Calibri Light" w:hAnsi="Calibri Light"/>
          <w:sz w:val="20"/>
        </w:rPr>
        <w:t>change</w:t>
      </w:r>
      <w:r>
        <w:rPr>
          <w:rFonts w:ascii="Calibri Light" w:hAnsi="Calibri Light"/>
          <w:spacing w:val="-2"/>
          <w:sz w:val="20"/>
        </w:rPr>
        <w:t xml:space="preserve"> </w:t>
      </w:r>
      <w:r>
        <w:rPr>
          <w:rFonts w:ascii="Calibri Light" w:hAnsi="Calibri Light"/>
          <w:sz w:val="20"/>
        </w:rPr>
        <w:t>talk</w:t>
      </w:r>
      <w:r>
        <w:rPr>
          <w:rFonts w:ascii="Calibri Light" w:hAnsi="Calibri Light"/>
          <w:spacing w:val="-3"/>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substance</w:t>
      </w:r>
      <w:r>
        <w:rPr>
          <w:rFonts w:ascii="Calibri Light" w:hAnsi="Calibri Light"/>
          <w:spacing w:val="-4"/>
          <w:sz w:val="20"/>
        </w:rPr>
        <w:t xml:space="preserve"> </w:t>
      </w:r>
      <w:r>
        <w:rPr>
          <w:rFonts w:ascii="Calibri Light" w:hAnsi="Calibri Light"/>
          <w:sz w:val="20"/>
        </w:rPr>
        <w:t>use</w:t>
      </w:r>
      <w:r>
        <w:rPr>
          <w:rFonts w:ascii="Calibri Light" w:hAnsi="Calibri Light"/>
          <w:spacing w:val="-4"/>
          <w:sz w:val="20"/>
        </w:rPr>
        <w:t xml:space="preserve"> </w:t>
      </w:r>
      <w:r>
        <w:rPr>
          <w:rFonts w:ascii="Calibri Light" w:hAnsi="Calibri Light"/>
          <w:sz w:val="20"/>
        </w:rPr>
        <w:t>outcomes:</w:t>
      </w:r>
      <w:r>
        <w:rPr>
          <w:rFonts w:ascii="Calibri Light" w:hAnsi="Calibri Light"/>
          <w:spacing w:val="-4"/>
          <w:sz w:val="20"/>
        </w:rPr>
        <w:t xml:space="preserve"> </w:t>
      </w:r>
      <w:r>
        <w:rPr>
          <w:rFonts w:ascii="Calibri Light" w:hAnsi="Calibri Light"/>
          <w:sz w:val="20"/>
        </w:rPr>
        <w:t>Implications</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5"/>
          <w:sz w:val="20"/>
        </w:rPr>
        <w:t xml:space="preserve"> </w:t>
      </w:r>
      <w:r>
        <w:rPr>
          <w:rFonts w:ascii="Calibri Light" w:hAnsi="Calibri Light"/>
          <w:sz w:val="20"/>
        </w:rPr>
        <w:t>interviewing</w:t>
      </w:r>
      <w:r>
        <w:rPr>
          <w:rFonts w:ascii="Calibri Light" w:hAnsi="Calibri Light"/>
          <w:spacing w:val="-4"/>
          <w:sz w:val="20"/>
        </w:rPr>
        <w:t xml:space="preserve"> </w:t>
      </w:r>
      <w:r>
        <w:rPr>
          <w:rFonts w:ascii="Calibri Light" w:hAnsi="Calibri Light"/>
          <w:sz w:val="20"/>
        </w:rPr>
        <w:t>training.</w:t>
      </w:r>
      <w:r>
        <w:rPr>
          <w:rFonts w:ascii="Calibri Light" w:hAnsi="Calibri Light"/>
          <w:spacing w:val="-5"/>
          <w:sz w:val="20"/>
        </w:rPr>
        <w:t xml:space="preserve"> </w:t>
      </w:r>
      <w:r>
        <w:rPr>
          <w:rFonts w:ascii="Calibri Light" w:hAnsi="Calibri Light"/>
          <w:i/>
          <w:sz w:val="20"/>
        </w:rPr>
        <w:t>Journal of Counseling Psychology, 62</w:t>
      </w:r>
      <w:r>
        <w:rPr>
          <w:rFonts w:ascii="Calibri Light" w:hAnsi="Calibri Light"/>
          <w:sz w:val="20"/>
        </w:rPr>
        <w:t>(1), 79–86. doi:10.1037/cou0000049</w:t>
      </w:r>
    </w:p>
    <w:p w14:paraId="49D683D7" w14:textId="77777777" w:rsidR="00DB6E1F" w:rsidRDefault="00F666A6">
      <w:pPr>
        <w:spacing w:line="259" w:lineRule="auto"/>
        <w:ind w:left="1619" w:right="1491" w:hanging="180"/>
        <w:rPr>
          <w:rFonts w:ascii="Calibri Light" w:hAnsi="Calibri Light"/>
          <w:sz w:val="20"/>
        </w:rPr>
      </w:pPr>
      <w:r>
        <w:rPr>
          <w:rFonts w:ascii="Calibri Light" w:hAnsi="Calibri Light"/>
          <w:sz w:val="20"/>
        </w:rPr>
        <w:t>Osterman,</w:t>
      </w:r>
      <w:r>
        <w:rPr>
          <w:rFonts w:ascii="Calibri Light" w:hAnsi="Calibri Light"/>
          <w:spacing w:val="-4"/>
          <w:sz w:val="20"/>
        </w:rPr>
        <w:t xml:space="preserve"> </w:t>
      </w:r>
      <w:r>
        <w:rPr>
          <w:rFonts w:ascii="Calibri Light" w:hAnsi="Calibri Light"/>
          <w:sz w:val="20"/>
        </w:rPr>
        <w:t>R.,</w:t>
      </w:r>
      <w:r>
        <w:rPr>
          <w:rFonts w:ascii="Calibri Light" w:hAnsi="Calibri Light"/>
          <w:spacing w:val="-4"/>
          <w:sz w:val="20"/>
        </w:rPr>
        <w:t xml:space="preserve"> </w:t>
      </w:r>
      <w:r>
        <w:rPr>
          <w:rFonts w:ascii="Calibri Light" w:hAnsi="Calibri Light"/>
          <w:sz w:val="20"/>
        </w:rPr>
        <w:t>Lewis,</w:t>
      </w:r>
      <w:r>
        <w:rPr>
          <w:rFonts w:ascii="Calibri Light" w:hAnsi="Calibri Light"/>
          <w:spacing w:val="-4"/>
          <w:sz w:val="20"/>
        </w:rPr>
        <w:t xml:space="preserve"> </w:t>
      </w:r>
      <w:r>
        <w:rPr>
          <w:rFonts w:ascii="Calibri Light" w:hAnsi="Calibri Light"/>
          <w:sz w:val="20"/>
        </w:rPr>
        <w:t>D.,</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Winhusen,</w:t>
      </w:r>
      <w:r>
        <w:rPr>
          <w:rFonts w:ascii="Calibri Light" w:hAnsi="Calibri Light"/>
          <w:spacing w:val="-4"/>
          <w:sz w:val="20"/>
        </w:rPr>
        <w:t xml:space="preserve"> </w:t>
      </w:r>
      <w:r>
        <w:rPr>
          <w:rFonts w:ascii="Calibri Light" w:hAnsi="Calibri Light"/>
          <w:sz w:val="20"/>
        </w:rPr>
        <w:t>T.</w:t>
      </w:r>
      <w:r>
        <w:rPr>
          <w:rFonts w:ascii="Calibri Light" w:hAnsi="Calibri Light"/>
          <w:spacing w:val="-4"/>
          <w:sz w:val="20"/>
        </w:rPr>
        <w:t xml:space="preserve"> </w:t>
      </w:r>
      <w:r>
        <w:rPr>
          <w:rFonts w:ascii="Calibri Light" w:hAnsi="Calibri Light"/>
          <w:sz w:val="20"/>
        </w:rPr>
        <w:t>(2017).</w:t>
      </w:r>
      <w:r>
        <w:rPr>
          <w:rFonts w:ascii="Calibri Light" w:hAnsi="Calibri Light"/>
          <w:spacing w:val="-4"/>
          <w:sz w:val="20"/>
        </w:rPr>
        <w:t xml:space="preserve"> </w:t>
      </w:r>
      <w:r>
        <w:rPr>
          <w:rFonts w:ascii="Calibri Light" w:hAnsi="Calibri Light"/>
          <w:sz w:val="20"/>
        </w:rPr>
        <w:t>Efficacy</w:t>
      </w:r>
      <w:r>
        <w:rPr>
          <w:rFonts w:ascii="Calibri Light" w:hAnsi="Calibri Light"/>
          <w:spacing w:val="-2"/>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4"/>
          <w:sz w:val="20"/>
        </w:rPr>
        <w:t xml:space="preserve"> </w:t>
      </w:r>
      <w:r>
        <w:rPr>
          <w:rFonts w:ascii="Calibri Light" w:hAnsi="Calibri Light"/>
          <w:sz w:val="20"/>
        </w:rPr>
        <w:t>enhancement</w:t>
      </w:r>
      <w:r>
        <w:rPr>
          <w:rFonts w:ascii="Calibri Light" w:hAnsi="Calibri Light"/>
          <w:spacing w:val="-4"/>
          <w:sz w:val="20"/>
        </w:rPr>
        <w:t xml:space="preserve"> </w:t>
      </w:r>
      <w:r>
        <w:rPr>
          <w:rFonts w:ascii="Calibri Light" w:hAnsi="Calibri Light"/>
          <w:sz w:val="20"/>
        </w:rPr>
        <w:t>therapy</w:t>
      </w:r>
      <w:r>
        <w:rPr>
          <w:rFonts w:ascii="Calibri Light" w:hAnsi="Calibri Light"/>
          <w:spacing w:val="-2"/>
          <w:sz w:val="20"/>
        </w:rPr>
        <w:t xml:space="preserve"> </w:t>
      </w:r>
      <w:r>
        <w:rPr>
          <w:rFonts w:ascii="Calibri Light" w:hAnsi="Calibri Light"/>
          <w:sz w:val="20"/>
        </w:rPr>
        <w:t>to</w:t>
      </w:r>
      <w:r>
        <w:rPr>
          <w:rFonts w:ascii="Calibri Light" w:hAnsi="Calibri Light"/>
          <w:spacing w:val="-4"/>
          <w:sz w:val="20"/>
        </w:rPr>
        <w:t xml:space="preserve"> </w:t>
      </w:r>
      <w:r>
        <w:rPr>
          <w:rFonts w:ascii="Calibri Light" w:hAnsi="Calibri Light"/>
          <w:sz w:val="20"/>
        </w:rPr>
        <w:t>decrease</w:t>
      </w:r>
      <w:r>
        <w:rPr>
          <w:rFonts w:ascii="Calibri Light" w:hAnsi="Calibri Light"/>
          <w:spacing w:val="-3"/>
          <w:sz w:val="20"/>
        </w:rPr>
        <w:t xml:space="preserve"> </w:t>
      </w:r>
      <w:r>
        <w:rPr>
          <w:rFonts w:ascii="Calibri Light" w:hAnsi="Calibri Light"/>
          <w:sz w:val="20"/>
        </w:rPr>
        <w:t>alc</w:t>
      </w:r>
      <w:r>
        <w:rPr>
          <w:rFonts w:ascii="Calibri Light" w:hAnsi="Calibri Light"/>
          <w:sz w:val="20"/>
        </w:rPr>
        <w:t xml:space="preserve">ohol and illicit-drug use in pregnant substance users reporting baseline alcohol use. </w:t>
      </w:r>
      <w:r>
        <w:rPr>
          <w:rFonts w:ascii="Calibri Light" w:hAnsi="Calibri Light"/>
          <w:i/>
          <w:sz w:val="20"/>
        </w:rPr>
        <w:t>Journal of Substance Abuse Treatment, 77</w:t>
      </w:r>
      <w:r>
        <w:rPr>
          <w:rFonts w:ascii="Calibri Light" w:hAnsi="Calibri Light"/>
          <w:sz w:val="20"/>
        </w:rPr>
        <w:t>, 150–155. doi:10.1016/j.jsat.2017.02.003</w:t>
      </w:r>
    </w:p>
    <w:p w14:paraId="458C9E88" w14:textId="77777777" w:rsidR="00DB6E1F" w:rsidRDefault="00F666A6">
      <w:pPr>
        <w:spacing w:line="259" w:lineRule="auto"/>
        <w:ind w:left="1619" w:right="1491" w:hanging="181"/>
        <w:rPr>
          <w:rFonts w:ascii="Calibri Light" w:hAnsi="Calibri Light"/>
          <w:sz w:val="20"/>
        </w:rPr>
      </w:pPr>
      <w:r>
        <w:rPr>
          <w:rFonts w:ascii="Calibri Light" w:hAnsi="Calibri Light"/>
          <w:sz w:val="20"/>
        </w:rPr>
        <w:t>Pace,</w:t>
      </w:r>
      <w:r>
        <w:rPr>
          <w:rFonts w:ascii="Calibri Light" w:hAnsi="Calibri Light"/>
          <w:spacing w:val="-3"/>
          <w:sz w:val="20"/>
        </w:rPr>
        <w:t xml:space="preserve"> </w:t>
      </w:r>
      <w:r>
        <w:rPr>
          <w:rFonts w:ascii="Calibri Light" w:hAnsi="Calibri Light"/>
          <w:sz w:val="20"/>
        </w:rPr>
        <w:t>B. T., Dembe,</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Soma, C.</w:t>
      </w:r>
      <w:r>
        <w:rPr>
          <w:rFonts w:ascii="Calibri Light" w:hAnsi="Calibri Light"/>
          <w:spacing w:val="-3"/>
          <w:sz w:val="20"/>
        </w:rPr>
        <w:t xml:space="preserve"> </w:t>
      </w:r>
      <w:r>
        <w:rPr>
          <w:rFonts w:ascii="Calibri Light" w:hAnsi="Calibri Light"/>
          <w:sz w:val="20"/>
        </w:rPr>
        <w:t>S., Baldwin,</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Atkins,</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Imel, Z.</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multivariate</w:t>
      </w:r>
      <w:r>
        <w:rPr>
          <w:rFonts w:ascii="Calibri Light" w:hAnsi="Calibri Light"/>
          <w:spacing w:val="-2"/>
          <w:sz w:val="20"/>
        </w:rPr>
        <w:t xml:space="preserve"> </w:t>
      </w:r>
      <w:r>
        <w:rPr>
          <w:rFonts w:ascii="Calibri Light" w:hAnsi="Calibri Light"/>
          <w:sz w:val="20"/>
        </w:rPr>
        <w:t>meta-analysis</w:t>
      </w:r>
      <w:r>
        <w:rPr>
          <w:rFonts w:ascii="Calibri Light" w:hAnsi="Calibri Light"/>
          <w:spacing w:val="-2"/>
          <w:sz w:val="20"/>
        </w:rPr>
        <w:t xml:space="preserve"> </w:t>
      </w:r>
      <w:r>
        <w:rPr>
          <w:rFonts w:ascii="Calibri Light" w:hAnsi="Calibri Light"/>
          <w:sz w:val="20"/>
        </w:rPr>
        <w:t xml:space="preserve">of motivational interviewing process and outcome. </w:t>
      </w:r>
      <w:r>
        <w:rPr>
          <w:rFonts w:ascii="Calibri Light" w:hAnsi="Calibri Light"/>
          <w:i/>
          <w:sz w:val="20"/>
        </w:rPr>
        <w:t>Psychology of Addictive Behaviors, 31</w:t>
      </w:r>
      <w:r>
        <w:rPr>
          <w:rFonts w:ascii="Calibri Light" w:hAnsi="Calibri Light"/>
          <w:sz w:val="20"/>
        </w:rPr>
        <w:t xml:space="preserve">(5), 524–533. </w:t>
      </w:r>
      <w:r>
        <w:rPr>
          <w:rFonts w:ascii="Calibri Light" w:hAnsi="Calibri Light"/>
          <w:spacing w:val="-2"/>
          <w:sz w:val="20"/>
        </w:rPr>
        <w:t>doi:10.1037/adb0000280</w:t>
      </w:r>
    </w:p>
    <w:p w14:paraId="3EAA8F90" w14:textId="77777777" w:rsidR="00DB6E1F" w:rsidRDefault="00F666A6">
      <w:pPr>
        <w:spacing w:line="259" w:lineRule="auto"/>
        <w:ind w:left="1619" w:right="1491" w:hanging="181"/>
        <w:rPr>
          <w:rFonts w:ascii="Calibri Light" w:hAnsi="Calibri Light"/>
          <w:sz w:val="20"/>
        </w:rPr>
      </w:pPr>
      <w:r>
        <w:rPr>
          <w:rFonts w:ascii="Calibri Light" w:hAnsi="Calibri Light"/>
          <w:sz w:val="20"/>
        </w:rPr>
        <w:t>Panebianco,</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Gallupe,</w:t>
      </w:r>
      <w:r>
        <w:rPr>
          <w:rFonts w:ascii="Calibri Light" w:hAnsi="Calibri Light"/>
          <w:spacing w:val="-3"/>
          <w:sz w:val="20"/>
        </w:rPr>
        <w:t xml:space="preserve"> </w:t>
      </w:r>
      <w:r>
        <w:rPr>
          <w:rFonts w:ascii="Calibri Light" w:hAnsi="Calibri Light"/>
          <w:sz w:val="20"/>
        </w:rPr>
        <w:t>O., Carrington,</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Colozzi,</w:t>
      </w:r>
      <w:r>
        <w:rPr>
          <w:rFonts w:ascii="Calibri Light" w:hAnsi="Calibri Light"/>
          <w:spacing w:val="-3"/>
          <w:sz w:val="20"/>
        </w:rPr>
        <w:t xml:space="preserve"> </w:t>
      </w:r>
      <w:r>
        <w:rPr>
          <w:rFonts w:ascii="Calibri Light" w:hAnsi="Calibri Light"/>
          <w:sz w:val="20"/>
        </w:rPr>
        <w:t>I.</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Personal</w:t>
      </w:r>
      <w:r>
        <w:rPr>
          <w:rFonts w:ascii="Calibri Light" w:hAnsi="Calibri Light"/>
          <w:spacing w:val="-3"/>
          <w:sz w:val="20"/>
        </w:rPr>
        <w:t xml:space="preserve"> </w:t>
      </w:r>
      <w:r>
        <w:rPr>
          <w:rFonts w:ascii="Calibri Light" w:hAnsi="Calibri Light"/>
          <w:sz w:val="20"/>
        </w:rPr>
        <w:t>support</w:t>
      </w:r>
      <w:r>
        <w:rPr>
          <w:rFonts w:ascii="Calibri Light" w:hAnsi="Calibri Light"/>
          <w:spacing w:val="-3"/>
          <w:sz w:val="20"/>
        </w:rPr>
        <w:t xml:space="preserve"> </w:t>
      </w:r>
      <w:r>
        <w:rPr>
          <w:rFonts w:ascii="Calibri Light" w:hAnsi="Calibri Light"/>
          <w:sz w:val="20"/>
        </w:rPr>
        <w:t>networks</w:t>
      </w:r>
      <w:r>
        <w:rPr>
          <w:rFonts w:ascii="Calibri Light" w:hAnsi="Calibri Light"/>
          <w:sz w:val="20"/>
        </w:rPr>
        <w:t>,</w:t>
      </w:r>
      <w:r>
        <w:rPr>
          <w:rFonts w:ascii="Calibri Light" w:hAnsi="Calibri Light"/>
          <w:spacing w:val="-3"/>
          <w:sz w:val="20"/>
        </w:rPr>
        <w:t xml:space="preserve"> </w:t>
      </w:r>
      <w:r>
        <w:rPr>
          <w:rFonts w:ascii="Calibri Light" w:hAnsi="Calibri Light"/>
          <w:sz w:val="20"/>
        </w:rPr>
        <w:t>social capital,</w:t>
      </w:r>
      <w:r>
        <w:rPr>
          <w:rFonts w:ascii="Calibri Light" w:hAnsi="Calibri Light"/>
          <w:spacing w:val="-3"/>
          <w:sz w:val="20"/>
        </w:rPr>
        <w:t xml:space="preserve"> </w:t>
      </w:r>
      <w:r>
        <w:rPr>
          <w:rFonts w:ascii="Calibri Light" w:hAnsi="Calibri Light"/>
          <w:sz w:val="20"/>
        </w:rPr>
        <w:t>and</w:t>
      </w:r>
      <w:r>
        <w:rPr>
          <w:rFonts w:ascii="Calibri Light" w:hAnsi="Calibri Light"/>
          <w:spacing w:val="-2"/>
          <w:sz w:val="20"/>
        </w:rPr>
        <w:t xml:space="preserve"> </w:t>
      </w:r>
      <w:r>
        <w:rPr>
          <w:rFonts w:ascii="Calibri Light" w:hAnsi="Calibri Light"/>
          <w:sz w:val="20"/>
        </w:rPr>
        <w:t xml:space="preserve">risk of relapse among individuals treated for substance use issues. </w:t>
      </w:r>
      <w:r>
        <w:rPr>
          <w:rFonts w:ascii="Calibri Light" w:hAnsi="Calibri Light"/>
          <w:i/>
          <w:sz w:val="20"/>
        </w:rPr>
        <w:t>International Journal of Drug Policy, 27</w:t>
      </w:r>
      <w:r>
        <w:rPr>
          <w:rFonts w:ascii="Calibri Light" w:hAnsi="Calibri Light"/>
          <w:sz w:val="20"/>
        </w:rPr>
        <w:t xml:space="preserve">, 146–153. </w:t>
      </w:r>
      <w:r>
        <w:rPr>
          <w:rFonts w:ascii="Calibri Light" w:hAnsi="Calibri Light"/>
          <w:spacing w:val="-2"/>
          <w:sz w:val="20"/>
        </w:rPr>
        <w:t>doi:10.1016/j.drugpo.2015.09.009</w:t>
      </w:r>
    </w:p>
    <w:p w14:paraId="30525E15" w14:textId="77777777" w:rsidR="00DB6E1F" w:rsidRDefault="00F666A6">
      <w:pPr>
        <w:spacing w:line="256" w:lineRule="auto"/>
        <w:ind w:left="1619" w:right="1491" w:hanging="180"/>
        <w:rPr>
          <w:rFonts w:ascii="Calibri Light" w:hAnsi="Calibri Light"/>
          <w:sz w:val="20"/>
        </w:rPr>
      </w:pPr>
      <w:r>
        <w:rPr>
          <w:rFonts w:ascii="Calibri Light" w:hAnsi="Calibri Light"/>
          <w:sz w:val="20"/>
        </w:rPr>
        <w:t>Polcin,</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Mulia,</w:t>
      </w:r>
      <w:r>
        <w:rPr>
          <w:rFonts w:ascii="Calibri Light" w:hAnsi="Calibri Light"/>
          <w:spacing w:val="-3"/>
          <w:sz w:val="20"/>
        </w:rPr>
        <w:t xml:space="preserve"> </w:t>
      </w:r>
      <w:r>
        <w:rPr>
          <w:rFonts w:ascii="Calibri Light" w:hAnsi="Calibri Light"/>
          <w:sz w:val="20"/>
        </w:rPr>
        <w:t>N.,</w:t>
      </w:r>
      <w:r>
        <w:rPr>
          <w:rFonts w:ascii="Calibri Light" w:hAnsi="Calibri Light"/>
          <w:spacing w:val="-3"/>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Jones,</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(2012).</w:t>
      </w:r>
      <w:r>
        <w:rPr>
          <w:rFonts w:ascii="Calibri Light" w:hAnsi="Calibri Light"/>
          <w:spacing w:val="-3"/>
          <w:sz w:val="20"/>
        </w:rPr>
        <w:t xml:space="preserve"> </w:t>
      </w:r>
      <w:r>
        <w:rPr>
          <w:rFonts w:ascii="Calibri Light" w:hAnsi="Calibri Light"/>
          <w:sz w:val="20"/>
        </w:rPr>
        <w:t>Substance</w:t>
      </w:r>
      <w:r>
        <w:rPr>
          <w:rFonts w:ascii="Calibri Light" w:hAnsi="Calibri Light"/>
          <w:spacing w:val="-3"/>
          <w:sz w:val="20"/>
        </w:rPr>
        <w:t xml:space="preserve"> </w:t>
      </w:r>
      <w:r>
        <w:rPr>
          <w:rFonts w:ascii="Calibri Light" w:hAnsi="Calibri Light"/>
          <w:sz w:val="20"/>
        </w:rPr>
        <w:t>users’</w:t>
      </w:r>
      <w:r>
        <w:rPr>
          <w:rFonts w:ascii="Calibri Light" w:hAnsi="Calibri Light"/>
          <w:spacing w:val="-3"/>
          <w:sz w:val="20"/>
        </w:rPr>
        <w:t xml:space="preserve"> </w:t>
      </w:r>
      <w:r>
        <w:rPr>
          <w:rFonts w:ascii="Calibri Light" w:hAnsi="Calibri Light"/>
          <w:sz w:val="20"/>
        </w:rPr>
        <w:t>perspectives</w:t>
      </w:r>
      <w:r>
        <w:rPr>
          <w:rFonts w:ascii="Calibri Light" w:hAnsi="Calibri Light"/>
          <w:spacing w:val="-1"/>
          <w:sz w:val="20"/>
        </w:rPr>
        <w:t xml:space="preserve"> </w:t>
      </w:r>
      <w:r>
        <w:rPr>
          <w:rFonts w:ascii="Calibri Light" w:hAnsi="Calibri Light"/>
          <w:sz w:val="20"/>
        </w:rPr>
        <w:t>on</w:t>
      </w:r>
      <w:r>
        <w:rPr>
          <w:rFonts w:ascii="Calibri Light" w:hAnsi="Calibri Light"/>
          <w:spacing w:val="-3"/>
          <w:sz w:val="20"/>
        </w:rPr>
        <w:t xml:space="preserve"> </w:t>
      </w:r>
      <w:r>
        <w:rPr>
          <w:rFonts w:ascii="Calibri Light" w:hAnsi="Calibri Light"/>
          <w:sz w:val="20"/>
        </w:rPr>
        <w:t>helpful</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unhelpful</w:t>
      </w:r>
      <w:r>
        <w:rPr>
          <w:rFonts w:ascii="Calibri Light" w:hAnsi="Calibri Light"/>
          <w:spacing w:val="-3"/>
          <w:sz w:val="20"/>
        </w:rPr>
        <w:t xml:space="preserve"> </w:t>
      </w:r>
      <w:r>
        <w:rPr>
          <w:rFonts w:ascii="Calibri Light" w:hAnsi="Calibri Light"/>
          <w:sz w:val="20"/>
        </w:rPr>
        <w:t xml:space="preserve">confrontation: Implications for recovery. </w:t>
      </w:r>
      <w:r>
        <w:rPr>
          <w:rFonts w:ascii="Calibri Light" w:hAnsi="Calibri Light"/>
          <w:i/>
          <w:sz w:val="20"/>
        </w:rPr>
        <w:t>Journal of Psychoactive Drugs</w:t>
      </w:r>
      <w:r>
        <w:rPr>
          <w:rFonts w:ascii="Calibri Light" w:hAnsi="Calibri Light"/>
          <w:sz w:val="20"/>
        </w:rPr>
        <w:t xml:space="preserve">, </w:t>
      </w:r>
      <w:r>
        <w:rPr>
          <w:rFonts w:ascii="Calibri Light" w:hAnsi="Calibri Light"/>
          <w:i/>
          <w:sz w:val="20"/>
        </w:rPr>
        <w:t>44</w:t>
      </w:r>
      <w:r>
        <w:rPr>
          <w:rFonts w:ascii="Calibri Light" w:hAnsi="Calibri Light"/>
          <w:sz w:val="20"/>
        </w:rPr>
        <w:t>(2), 144–152.</w:t>
      </w:r>
    </w:p>
    <w:p w14:paraId="62F00C24" w14:textId="77777777" w:rsidR="00DB6E1F" w:rsidRDefault="00F666A6">
      <w:pPr>
        <w:ind w:left="1440"/>
        <w:rPr>
          <w:rFonts w:ascii="Calibri Light"/>
          <w:sz w:val="20"/>
        </w:rPr>
      </w:pPr>
      <w:r>
        <w:rPr>
          <w:rFonts w:ascii="Calibri Light"/>
          <w:sz w:val="20"/>
        </w:rPr>
        <w:t>Prochaska,</w:t>
      </w:r>
      <w:r>
        <w:rPr>
          <w:rFonts w:ascii="Calibri Light"/>
          <w:spacing w:val="-8"/>
          <w:sz w:val="20"/>
        </w:rPr>
        <w:t xml:space="preserve"> </w:t>
      </w:r>
      <w:r>
        <w:rPr>
          <w:rFonts w:ascii="Calibri Light"/>
          <w:sz w:val="20"/>
        </w:rPr>
        <w:t>J.</w:t>
      </w:r>
      <w:r>
        <w:rPr>
          <w:rFonts w:ascii="Calibri Light"/>
          <w:spacing w:val="-7"/>
          <w:sz w:val="20"/>
        </w:rPr>
        <w:t xml:space="preserve"> </w:t>
      </w:r>
      <w:r>
        <w:rPr>
          <w:rFonts w:ascii="Calibri Light"/>
          <w:sz w:val="20"/>
        </w:rPr>
        <w:t>O.</w:t>
      </w:r>
      <w:r>
        <w:rPr>
          <w:rFonts w:ascii="Calibri Light"/>
          <w:spacing w:val="-8"/>
          <w:sz w:val="20"/>
        </w:rPr>
        <w:t xml:space="preserve"> </w:t>
      </w:r>
      <w:r>
        <w:rPr>
          <w:rFonts w:ascii="Calibri Light"/>
          <w:sz w:val="20"/>
        </w:rPr>
        <w:t>(1979).</w:t>
      </w:r>
      <w:r>
        <w:rPr>
          <w:rFonts w:ascii="Calibri Light"/>
          <w:spacing w:val="-8"/>
          <w:sz w:val="20"/>
        </w:rPr>
        <w:t xml:space="preserve"> </w:t>
      </w:r>
      <w:r>
        <w:rPr>
          <w:rFonts w:ascii="Calibri Light"/>
          <w:i/>
          <w:sz w:val="20"/>
        </w:rPr>
        <w:t>Systems</w:t>
      </w:r>
      <w:r>
        <w:rPr>
          <w:rFonts w:ascii="Calibri Light"/>
          <w:i/>
          <w:spacing w:val="-7"/>
          <w:sz w:val="20"/>
        </w:rPr>
        <w:t xml:space="preserve"> </w:t>
      </w:r>
      <w:r>
        <w:rPr>
          <w:rFonts w:ascii="Calibri Light"/>
          <w:i/>
          <w:sz w:val="20"/>
        </w:rPr>
        <w:t>of</w:t>
      </w:r>
      <w:r>
        <w:rPr>
          <w:rFonts w:ascii="Calibri Light"/>
          <w:i/>
          <w:spacing w:val="-7"/>
          <w:sz w:val="20"/>
        </w:rPr>
        <w:t xml:space="preserve"> </w:t>
      </w:r>
      <w:r>
        <w:rPr>
          <w:rFonts w:ascii="Calibri Light"/>
          <w:i/>
          <w:sz w:val="20"/>
        </w:rPr>
        <w:t>psychotherapy:</w:t>
      </w:r>
      <w:r>
        <w:rPr>
          <w:rFonts w:ascii="Calibri Light"/>
          <w:i/>
          <w:spacing w:val="-6"/>
          <w:sz w:val="20"/>
        </w:rPr>
        <w:t xml:space="preserve"> </w:t>
      </w:r>
      <w:r>
        <w:rPr>
          <w:rFonts w:ascii="Calibri Light"/>
          <w:i/>
          <w:sz w:val="20"/>
        </w:rPr>
        <w:t>A</w:t>
      </w:r>
      <w:r>
        <w:rPr>
          <w:rFonts w:ascii="Calibri Light"/>
          <w:i/>
          <w:spacing w:val="-7"/>
          <w:sz w:val="20"/>
        </w:rPr>
        <w:t xml:space="preserve"> </w:t>
      </w:r>
      <w:r>
        <w:rPr>
          <w:rFonts w:ascii="Calibri Light"/>
          <w:i/>
          <w:sz w:val="20"/>
        </w:rPr>
        <w:t>transtheoretical</w:t>
      </w:r>
      <w:r>
        <w:rPr>
          <w:rFonts w:ascii="Calibri Light"/>
          <w:i/>
          <w:spacing w:val="-8"/>
          <w:sz w:val="20"/>
        </w:rPr>
        <w:t xml:space="preserve"> </w:t>
      </w:r>
      <w:r>
        <w:rPr>
          <w:rFonts w:ascii="Calibri Light"/>
          <w:i/>
          <w:sz w:val="20"/>
        </w:rPr>
        <w:t>analysis.</w:t>
      </w:r>
      <w:r>
        <w:rPr>
          <w:rFonts w:ascii="Calibri Light"/>
          <w:i/>
          <w:spacing w:val="-8"/>
          <w:sz w:val="20"/>
        </w:rPr>
        <w:t xml:space="preserve"> </w:t>
      </w:r>
      <w:r>
        <w:rPr>
          <w:rFonts w:ascii="Calibri Light"/>
          <w:sz w:val="20"/>
        </w:rPr>
        <w:t>Homewood,</w:t>
      </w:r>
      <w:r>
        <w:rPr>
          <w:rFonts w:ascii="Calibri Light"/>
          <w:spacing w:val="-8"/>
          <w:sz w:val="20"/>
        </w:rPr>
        <w:t xml:space="preserve"> </w:t>
      </w:r>
      <w:r>
        <w:rPr>
          <w:rFonts w:ascii="Calibri Light"/>
          <w:sz w:val="20"/>
        </w:rPr>
        <w:t>IL:</w:t>
      </w:r>
      <w:r>
        <w:rPr>
          <w:rFonts w:ascii="Calibri Light"/>
          <w:spacing w:val="-7"/>
          <w:sz w:val="20"/>
        </w:rPr>
        <w:t xml:space="preserve"> </w:t>
      </w:r>
      <w:r>
        <w:rPr>
          <w:rFonts w:ascii="Calibri Light"/>
          <w:sz w:val="20"/>
        </w:rPr>
        <w:t>Dorsey</w:t>
      </w:r>
      <w:r>
        <w:rPr>
          <w:rFonts w:ascii="Calibri Light"/>
          <w:spacing w:val="-6"/>
          <w:sz w:val="20"/>
        </w:rPr>
        <w:t xml:space="preserve"> </w:t>
      </w:r>
      <w:r>
        <w:rPr>
          <w:rFonts w:ascii="Calibri Light"/>
          <w:spacing w:val="-2"/>
          <w:sz w:val="20"/>
        </w:rPr>
        <w:t>Press.</w:t>
      </w:r>
    </w:p>
    <w:p w14:paraId="2E0EA9FB" w14:textId="77777777" w:rsidR="00DB6E1F" w:rsidRDefault="00F666A6">
      <w:pPr>
        <w:spacing w:before="19" w:line="259" w:lineRule="auto"/>
        <w:ind w:left="1619" w:right="1491" w:hanging="180"/>
        <w:rPr>
          <w:rFonts w:ascii="Calibri Light"/>
          <w:sz w:val="20"/>
        </w:rPr>
      </w:pPr>
      <w:r>
        <w:rPr>
          <w:rFonts w:ascii="Calibri Light"/>
          <w:sz w:val="20"/>
        </w:rPr>
        <w:t>Prochaska,</w:t>
      </w:r>
      <w:r>
        <w:rPr>
          <w:rFonts w:ascii="Calibri Light"/>
          <w:spacing w:val="-4"/>
          <w:sz w:val="20"/>
        </w:rPr>
        <w:t xml:space="preserve"> </w:t>
      </w:r>
      <w:r>
        <w:rPr>
          <w:rFonts w:ascii="Calibri Light"/>
          <w:sz w:val="20"/>
        </w:rPr>
        <w:t>J.</w:t>
      </w:r>
      <w:r>
        <w:rPr>
          <w:rFonts w:ascii="Calibri Light"/>
          <w:spacing w:val="-2"/>
          <w:sz w:val="20"/>
        </w:rPr>
        <w:t xml:space="preserve"> </w:t>
      </w:r>
      <w:r>
        <w:rPr>
          <w:rFonts w:ascii="Calibri Light"/>
          <w:sz w:val="20"/>
        </w:rPr>
        <w:t>O.,</w:t>
      </w:r>
      <w:r>
        <w:rPr>
          <w:rFonts w:ascii="Calibri Light"/>
          <w:spacing w:val="-4"/>
          <w:sz w:val="20"/>
        </w:rPr>
        <w:t xml:space="preserve"> </w:t>
      </w:r>
      <w:r>
        <w:rPr>
          <w:rFonts w:ascii="Calibri Light"/>
          <w:sz w:val="20"/>
        </w:rPr>
        <w:t>&amp;</w:t>
      </w:r>
      <w:r>
        <w:rPr>
          <w:rFonts w:ascii="Calibri Light"/>
          <w:spacing w:val="-1"/>
          <w:sz w:val="20"/>
        </w:rPr>
        <w:t xml:space="preserve"> </w:t>
      </w:r>
      <w:r>
        <w:rPr>
          <w:rFonts w:ascii="Calibri Light"/>
          <w:sz w:val="20"/>
        </w:rPr>
        <w:t>DiClemente,</w:t>
      </w:r>
      <w:r>
        <w:rPr>
          <w:rFonts w:ascii="Calibri Light"/>
          <w:spacing w:val="-4"/>
          <w:sz w:val="20"/>
        </w:rPr>
        <w:t xml:space="preserve"> </w:t>
      </w:r>
      <w:r>
        <w:rPr>
          <w:rFonts w:ascii="Calibri Light"/>
          <w:sz w:val="20"/>
        </w:rPr>
        <w:t>C.</w:t>
      </w:r>
      <w:r>
        <w:rPr>
          <w:rFonts w:ascii="Calibri Light"/>
          <w:spacing w:val="-2"/>
          <w:sz w:val="20"/>
        </w:rPr>
        <w:t xml:space="preserve"> </w:t>
      </w:r>
      <w:r>
        <w:rPr>
          <w:rFonts w:ascii="Calibri Light"/>
          <w:sz w:val="20"/>
        </w:rPr>
        <w:t>C.</w:t>
      </w:r>
      <w:r>
        <w:rPr>
          <w:rFonts w:ascii="Calibri Light"/>
          <w:spacing w:val="-4"/>
          <w:sz w:val="20"/>
        </w:rPr>
        <w:t xml:space="preserve"> </w:t>
      </w:r>
      <w:r>
        <w:rPr>
          <w:rFonts w:ascii="Calibri Light"/>
          <w:sz w:val="20"/>
        </w:rPr>
        <w:t>(1984).</w:t>
      </w:r>
      <w:r>
        <w:rPr>
          <w:rFonts w:ascii="Calibri Light"/>
          <w:spacing w:val="-4"/>
          <w:sz w:val="20"/>
        </w:rPr>
        <w:t xml:space="preserve"> </w:t>
      </w:r>
      <w:r>
        <w:rPr>
          <w:rFonts w:ascii="Calibri Light"/>
          <w:i/>
          <w:sz w:val="20"/>
        </w:rPr>
        <w:t>The</w:t>
      </w:r>
      <w:r>
        <w:rPr>
          <w:rFonts w:ascii="Calibri Light"/>
          <w:i/>
          <w:spacing w:val="-3"/>
          <w:sz w:val="20"/>
        </w:rPr>
        <w:t xml:space="preserve"> </w:t>
      </w:r>
      <w:r>
        <w:rPr>
          <w:rFonts w:ascii="Calibri Light"/>
          <w:i/>
          <w:sz w:val="20"/>
        </w:rPr>
        <w:t>transtheoretical</w:t>
      </w:r>
      <w:r>
        <w:rPr>
          <w:rFonts w:ascii="Calibri Light"/>
          <w:i/>
          <w:spacing w:val="-2"/>
          <w:sz w:val="20"/>
        </w:rPr>
        <w:t xml:space="preserve"> </w:t>
      </w:r>
      <w:r>
        <w:rPr>
          <w:rFonts w:ascii="Calibri Light"/>
          <w:i/>
          <w:sz w:val="20"/>
        </w:rPr>
        <w:t>approach:</w:t>
      </w:r>
      <w:r>
        <w:rPr>
          <w:rFonts w:ascii="Calibri Light"/>
          <w:i/>
          <w:spacing w:val="-3"/>
          <w:sz w:val="20"/>
        </w:rPr>
        <w:t xml:space="preserve"> </w:t>
      </w:r>
      <w:r>
        <w:rPr>
          <w:rFonts w:ascii="Calibri Light"/>
          <w:i/>
          <w:sz w:val="20"/>
        </w:rPr>
        <w:t>Crossing</w:t>
      </w:r>
      <w:r>
        <w:rPr>
          <w:rFonts w:ascii="Calibri Light"/>
          <w:i/>
          <w:spacing w:val="-3"/>
          <w:sz w:val="20"/>
        </w:rPr>
        <w:t xml:space="preserve"> </w:t>
      </w:r>
      <w:r>
        <w:rPr>
          <w:rFonts w:ascii="Calibri Light"/>
          <w:i/>
          <w:sz w:val="20"/>
        </w:rPr>
        <w:t>traditional</w:t>
      </w:r>
      <w:r>
        <w:rPr>
          <w:rFonts w:ascii="Calibri Light"/>
          <w:i/>
          <w:spacing w:val="-4"/>
          <w:sz w:val="20"/>
        </w:rPr>
        <w:t xml:space="preserve"> </w:t>
      </w:r>
      <w:r>
        <w:rPr>
          <w:rFonts w:ascii="Calibri Light"/>
          <w:i/>
          <w:sz w:val="20"/>
        </w:rPr>
        <w:t>boundaries</w:t>
      </w:r>
      <w:r>
        <w:rPr>
          <w:rFonts w:ascii="Calibri Light"/>
          <w:i/>
          <w:spacing w:val="-3"/>
          <w:sz w:val="20"/>
        </w:rPr>
        <w:t xml:space="preserve"> </w:t>
      </w:r>
      <w:r>
        <w:rPr>
          <w:rFonts w:ascii="Calibri Light"/>
          <w:i/>
          <w:sz w:val="20"/>
        </w:rPr>
        <w:t>of therapy</w:t>
      </w:r>
      <w:r>
        <w:rPr>
          <w:rFonts w:ascii="Calibri Light"/>
          <w:sz w:val="20"/>
        </w:rPr>
        <w:t>. Malabar, FL: R. E. Krieger.</w:t>
      </w:r>
    </w:p>
    <w:p w14:paraId="039BC10D" w14:textId="77777777" w:rsidR="00DB6E1F" w:rsidRDefault="00F666A6">
      <w:pPr>
        <w:spacing w:before="1" w:line="256" w:lineRule="auto"/>
        <w:ind w:left="1619" w:right="1491" w:hanging="180"/>
        <w:rPr>
          <w:rFonts w:ascii="Calibri Light" w:hAnsi="Calibri Light"/>
          <w:sz w:val="20"/>
        </w:rPr>
      </w:pPr>
      <w:r>
        <w:rPr>
          <w:rFonts w:ascii="Calibri Light" w:hAnsi="Calibri Light"/>
          <w:sz w:val="20"/>
        </w:rPr>
        <w:t>Prochaska,</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Norcross,</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DiClemente,</w:t>
      </w:r>
      <w:r>
        <w:rPr>
          <w:rFonts w:ascii="Calibri Light" w:hAnsi="Calibri Light"/>
          <w:spacing w:val="-4"/>
          <w:sz w:val="20"/>
        </w:rPr>
        <w:t xml:space="preserve"> </w:t>
      </w:r>
      <w:r>
        <w:rPr>
          <w:rFonts w:ascii="Calibri Light" w:hAnsi="Calibri Light"/>
          <w:sz w:val="20"/>
        </w:rPr>
        <w:t>C.</w:t>
      </w:r>
      <w:r>
        <w:rPr>
          <w:rFonts w:ascii="Calibri Light" w:hAnsi="Calibri Light"/>
          <w:spacing w:val="-4"/>
          <w:sz w:val="20"/>
        </w:rPr>
        <w:t xml:space="preserve"> </w:t>
      </w:r>
      <w:r>
        <w:rPr>
          <w:rFonts w:ascii="Calibri Light" w:hAnsi="Calibri Light"/>
          <w:sz w:val="20"/>
        </w:rPr>
        <w:t>(2013).</w:t>
      </w:r>
      <w:r>
        <w:rPr>
          <w:rFonts w:ascii="Calibri Light" w:hAnsi="Calibri Light"/>
          <w:spacing w:val="-4"/>
          <w:sz w:val="20"/>
        </w:rPr>
        <w:t xml:space="preserve"> </w:t>
      </w:r>
      <w:r>
        <w:rPr>
          <w:rFonts w:ascii="Calibri Light" w:hAnsi="Calibri Light"/>
          <w:sz w:val="20"/>
        </w:rPr>
        <w:t>Applying the</w:t>
      </w:r>
      <w:r>
        <w:rPr>
          <w:rFonts w:ascii="Calibri Light" w:hAnsi="Calibri Light"/>
          <w:spacing w:val="-3"/>
          <w:sz w:val="20"/>
        </w:rPr>
        <w:t xml:space="preserve"> </w:t>
      </w:r>
      <w:r>
        <w:rPr>
          <w:rFonts w:ascii="Calibri Light" w:hAnsi="Calibri Light"/>
          <w:sz w:val="20"/>
        </w:rPr>
        <w:t>Stages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Change.</w:t>
      </w:r>
      <w:r>
        <w:rPr>
          <w:rFonts w:ascii="Calibri Light" w:hAnsi="Calibri Light"/>
          <w:spacing w:val="-2"/>
          <w:sz w:val="20"/>
        </w:rPr>
        <w:t xml:space="preserve"> </w:t>
      </w:r>
      <w:r>
        <w:rPr>
          <w:rFonts w:ascii="Calibri Light" w:hAnsi="Calibri Light"/>
          <w:i/>
          <w:sz w:val="20"/>
        </w:rPr>
        <w:t>Psychotherapy</w:t>
      </w:r>
      <w:r>
        <w:rPr>
          <w:rFonts w:ascii="Calibri Light" w:hAnsi="Calibri Light"/>
          <w:i/>
          <w:spacing w:val="-3"/>
          <w:sz w:val="20"/>
        </w:rPr>
        <w:t xml:space="preserve"> </w:t>
      </w:r>
      <w:r>
        <w:rPr>
          <w:rFonts w:ascii="Calibri Light" w:hAnsi="Calibri Light"/>
          <w:i/>
          <w:sz w:val="20"/>
        </w:rPr>
        <w:t>in</w:t>
      </w:r>
      <w:r>
        <w:rPr>
          <w:rFonts w:ascii="Calibri Light" w:hAnsi="Calibri Light"/>
          <w:i/>
          <w:spacing w:val="-3"/>
          <w:sz w:val="20"/>
        </w:rPr>
        <w:t xml:space="preserve"> </w:t>
      </w:r>
      <w:r>
        <w:rPr>
          <w:rFonts w:ascii="Calibri Light" w:hAnsi="Calibri Light"/>
          <w:i/>
          <w:sz w:val="20"/>
        </w:rPr>
        <w:t>Australia</w:t>
      </w:r>
      <w:r>
        <w:rPr>
          <w:rFonts w:ascii="Calibri Light" w:hAnsi="Calibri Light"/>
          <w:sz w:val="20"/>
        </w:rPr>
        <w:t>,</w:t>
      </w:r>
      <w:r>
        <w:rPr>
          <w:rFonts w:ascii="Calibri Light" w:hAnsi="Calibri Light"/>
          <w:spacing w:val="-4"/>
          <w:sz w:val="20"/>
        </w:rPr>
        <w:t xml:space="preserve"> </w:t>
      </w:r>
      <w:r>
        <w:rPr>
          <w:rFonts w:ascii="Calibri Light" w:hAnsi="Calibri Light"/>
          <w:i/>
          <w:sz w:val="20"/>
        </w:rPr>
        <w:t>19</w:t>
      </w:r>
      <w:r>
        <w:rPr>
          <w:rFonts w:ascii="Calibri Light" w:hAnsi="Calibri Light"/>
          <w:sz w:val="20"/>
        </w:rPr>
        <w:t>, 10–15. doi:10.1093/med:psych/9780199845491.003.0034</w:t>
      </w:r>
    </w:p>
    <w:p w14:paraId="0949D26A" w14:textId="77777777" w:rsidR="00DB6E1F" w:rsidRDefault="00F666A6">
      <w:pPr>
        <w:spacing w:before="3" w:line="259" w:lineRule="auto"/>
        <w:ind w:left="1619" w:right="1491" w:hanging="180"/>
        <w:rPr>
          <w:rFonts w:ascii="Calibri Light" w:hAnsi="Calibri Light"/>
          <w:sz w:val="20"/>
        </w:rPr>
      </w:pPr>
      <w:r>
        <w:rPr>
          <w:rFonts w:ascii="Calibri Light" w:hAnsi="Calibri Light"/>
          <w:sz w:val="20"/>
        </w:rPr>
        <w:t>Prochaska,</w:t>
      </w:r>
      <w:r>
        <w:rPr>
          <w:rFonts w:ascii="Calibri Light" w:hAnsi="Calibri Light"/>
          <w:spacing w:val="-3"/>
          <w:sz w:val="20"/>
        </w:rPr>
        <w:t xml:space="preserve"> </w:t>
      </w:r>
      <w:r>
        <w:rPr>
          <w:rFonts w:ascii="Calibri Light" w:hAnsi="Calibri Light"/>
          <w:sz w:val="20"/>
        </w:rPr>
        <w:t>J.</w:t>
      </w:r>
      <w:r>
        <w:rPr>
          <w:rFonts w:ascii="Calibri Light" w:hAnsi="Calibri Light"/>
          <w:spacing w:val="-1"/>
          <w:sz w:val="20"/>
        </w:rPr>
        <w:t xml:space="preserve"> </w:t>
      </w:r>
      <w:r>
        <w:rPr>
          <w:rFonts w:ascii="Calibri Light" w:hAnsi="Calibri Light"/>
          <w:sz w:val="20"/>
        </w:rPr>
        <w:t>O., Velicer,</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F.,</w:t>
      </w:r>
      <w:r>
        <w:rPr>
          <w:rFonts w:ascii="Calibri Light" w:hAnsi="Calibri Light"/>
          <w:spacing w:val="-1"/>
          <w:sz w:val="20"/>
        </w:rPr>
        <w:t xml:space="preserve"> </w:t>
      </w:r>
      <w:r>
        <w:rPr>
          <w:rFonts w:ascii="Calibri Light" w:hAnsi="Calibri Light"/>
          <w:sz w:val="20"/>
        </w:rPr>
        <w:t>Rossi,</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Goldstein,</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G.,</w:t>
      </w:r>
      <w:r>
        <w:rPr>
          <w:rFonts w:ascii="Calibri Light" w:hAnsi="Calibri Light"/>
          <w:spacing w:val="-1"/>
          <w:sz w:val="20"/>
        </w:rPr>
        <w:t xml:space="preserve"> </w:t>
      </w:r>
      <w:r>
        <w:rPr>
          <w:rFonts w:ascii="Calibri Light" w:hAnsi="Calibri Light"/>
          <w:sz w:val="20"/>
        </w:rPr>
        <w:t>Marcus,</w:t>
      </w:r>
      <w:r>
        <w:rPr>
          <w:rFonts w:ascii="Calibri Light" w:hAnsi="Calibri Light"/>
          <w:spacing w:val="-3"/>
          <w:sz w:val="20"/>
        </w:rPr>
        <w:t xml:space="preserve"> </w:t>
      </w:r>
      <w:r>
        <w:rPr>
          <w:rFonts w:ascii="Calibri Light" w:hAnsi="Calibri Light"/>
          <w:sz w:val="20"/>
        </w:rPr>
        <w:t>B.H.,</w:t>
      </w:r>
      <w:r>
        <w:rPr>
          <w:rFonts w:ascii="Calibri Light" w:hAnsi="Calibri Light"/>
          <w:spacing w:val="-3"/>
          <w:sz w:val="20"/>
        </w:rPr>
        <w:t xml:space="preserve"> </w:t>
      </w:r>
      <w:r>
        <w:rPr>
          <w:rFonts w:ascii="Calibri Light" w:hAnsi="Calibri Light"/>
          <w:sz w:val="20"/>
        </w:rPr>
        <w:t>Rakowski,</w:t>
      </w:r>
      <w:r>
        <w:rPr>
          <w:rFonts w:ascii="Calibri Light" w:hAnsi="Calibri Light"/>
          <w:spacing w:val="-3"/>
          <w:sz w:val="20"/>
        </w:rPr>
        <w:t xml:space="preserve"> </w:t>
      </w:r>
      <w:r>
        <w:rPr>
          <w:rFonts w:ascii="Calibri Light" w:hAnsi="Calibri Light"/>
          <w:sz w:val="20"/>
        </w:rPr>
        <w:t>W.,</w:t>
      </w:r>
      <w:r>
        <w:rPr>
          <w:rFonts w:ascii="Calibri Light" w:hAnsi="Calibri Light"/>
          <w:spacing w:val="-1"/>
          <w:sz w:val="20"/>
        </w:rPr>
        <w:t xml:space="preserve"> </w:t>
      </w:r>
      <w:r>
        <w:rPr>
          <w:rFonts w:ascii="Calibri Light" w:hAnsi="Calibri Light"/>
          <w:sz w:val="20"/>
        </w:rPr>
        <w:t>…</w:t>
      </w:r>
      <w:r>
        <w:rPr>
          <w:rFonts w:ascii="Calibri Light" w:hAnsi="Calibri Light"/>
          <w:spacing w:val="-1"/>
          <w:sz w:val="20"/>
        </w:rPr>
        <w:t xml:space="preserve"> </w:t>
      </w:r>
      <w:r>
        <w:rPr>
          <w:rFonts w:ascii="Calibri Light" w:hAnsi="Calibri Light"/>
          <w:sz w:val="20"/>
        </w:rPr>
        <w:t>Rossi,</w:t>
      </w:r>
      <w:r>
        <w:rPr>
          <w:rFonts w:ascii="Calibri Light" w:hAnsi="Calibri Light"/>
          <w:spacing w:val="-3"/>
          <w:sz w:val="20"/>
        </w:rPr>
        <w:t xml:space="preserve"> </w:t>
      </w:r>
      <w:r>
        <w:rPr>
          <w:rFonts w:ascii="Calibri Light" w:hAnsi="Calibri Light"/>
          <w:sz w:val="20"/>
        </w:rPr>
        <w:t>S.R.</w:t>
      </w:r>
      <w:r>
        <w:rPr>
          <w:rFonts w:ascii="Calibri Light" w:hAnsi="Calibri Light"/>
          <w:spacing w:val="-3"/>
          <w:sz w:val="20"/>
        </w:rPr>
        <w:t xml:space="preserve"> </w:t>
      </w:r>
      <w:r>
        <w:rPr>
          <w:rFonts w:ascii="Calibri Light" w:hAnsi="Calibri Light"/>
          <w:sz w:val="20"/>
        </w:rPr>
        <w:t>(1994).</w:t>
      </w:r>
      <w:r>
        <w:rPr>
          <w:rFonts w:ascii="Calibri Light" w:hAnsi="Calibri Light"/>
          <w:spacing w:val="-3"/>
          <w:sz w:val="20"/>
        </w:rPr>
        <w:t xml:space="preserve"> </w:t>
      </w:r>
      <w:r>
        <w:rPr>
          <w:rFonts w:ascii="Calibri Light" w:hAnsi="Calibri Light"/>
          <w:sz w:val="20"/>
        </w:rPr>
        <w:t xml:space="preserve">Stages of Change and decisional balance for 12 problem behaviors. </w:t>
      </w:r>
      <w:r>
        <w:rPr>
          <w:rFonts w:ascii="Calibri Light" w:hAnsi="Calibri Light"/>
          <w:i/>
          <w:sz w:val="20"/>
        </w:rPr>
        <w:t>Health Psychology</w:t>
      </w:r>
      <w:r>
        <w:rPr>
          <w:rFonts w:ascii="Calibri Light" w:hAnsi="Calibri Light"/>
          <w:sz w:val="20"/>
        </w:rPr>
        <w:t xml:space="preserve">, </w:t>
      </w:r>
      <w:r>
        <w:rPr>
          <w:rFonts w:ascii="Calibri Light" w:hAnsi="Calibri Light"/>
          <w:i/>
          <w:sz w:val="20"/>
        </w:rPr>
        <w:t>1</w:t>
      </w:r>
      <w:r>
        <w:rPr>
          <w:rFonts w:ascii="Calibri Light" w:hAnsi="Calibri Light"/>
          <w:i/>
          <w:sz w:val="20"/>
        </w:rPr>
        <w:t>3</w:t>
      </w:r>
      <w:r>
        <w:rPr>
          <w:rFonts w:ascii="Calibri Light" w:hAnsi="Calibri Light"/>
          <w:sz w:val="20"/>
        </w:rPr>
        <w:t>, 39–46.</w:t>
      </w:r>
    </w:p>
    <w:p w14:paraId="7019D2F2" w14:textId="77777777" w:rsidR="00DB6E1F" w:rsidRDefault="00F666A6">
      <w:pPr>
        <w:spacing w:line="259" w:lineRule="auto"/>
        <w:ind w:left="1619" w:right="1486" w:hanging="180"/>
        <w:jc w:val="both"/>
        <w:rPr>
          <w:rFonts w:ascii="Calibri Light" w:hAnsi="Calibri Light"/>
          <w:sz w:val="20"/>
        </w:rPr>
      </w:pPr>
      <w:r>
        <w:rPr>
          <w:rFonts w:ascii="Calibri Light" w:hAnsi="Calibri Light"/>
          <w:sz w:val="20"/>
        </w:rPr>
        <w:t>Rapp, R. C., Van Den Noortgate, W., Broekaert, E., &amp; Vanderplasschen, W. (2014). The efficacy of case management with</w:t>
      </w:r>
      <w:r>
        <w:rPr>
          <w:rFonts w:ascii="Calibri Light" w:hAnsi="Calibri Light"/>
          <w:spacing w:val="-3"/>
          <w:sz w:val="20"/>
        </w:rPr>
        <w:t xml:space="preserve"> </w:t>
      </w:r>
      <w:r>
        <w:rPr>
          <w:rFonts w:ascii="Calibri Light" w:hAnsi="Calibri Light"/>
          <w:sz w:val="20"/>
        </w:rPr>
        <w:t>persons</w:t>
      </w:r>
      <w:r>
        <w:rPr>
          <w:rFonts w:ascii="Calibri Light" w:hAnsi="Calibri Light"/>
          <w:spacing w:val="-3"/>
          <w:sz w:val="20"/>
        </w:rPr>
        <w:t xml:space="preserve"> </w:t>
      </w:r>
      <w:r>
        <w:rPr>
          <w:rFonts w:ascii="Calibri Light" w:hAnsi="Calibri Light"/>
          <w:sz w:val="20"/>
        </w:rPr>
        <w:t>who</w:t>
      </w:r>
      <w:r>
        <w:rPr>
          <w:rFonts w:ascii="Calibri Light" w:hAnsi="Calibri Light"/>
          <w:spacing w:val="-1"/>
          <w:sz w:val="20"/>
        </w:rPr>
        <w:t xml:space="preserve"> </w:t>
      </w:r>
      <w:r>
        <w:rPr>
          <w:rFonts w:ascii="Calibri Light" w:hAnsi="Calibri Light"/>
          <w:sz w:val="20"/>
        </w:rPr>
        <w:t>have</w:t>
      </w:r>
      <w:r>
        <w:rPr>
          <w:rFonts w:ascii="Calibri Light" w:hAnsi="Calibri Light"/>
          <w:spacing w:val="-3"/>
          <w:sz w:val="20"/>
        </w:rPr>
        <w:t xml:space="preserve"> </w:t>
      </w:r>
      <w:r>
        <w:rPr>
          <w:rFonts w:ascii="Calibri Light" w:hAnsi="Calibri Light"/>
          <w:sz w:val="20"/>
        </w:rPr>
        <w:t>substance</w:t>
      </w:r>
      <w:r>
        <w:rPr>
          <w:rFonts w:ascii="Calibri Light" w:hAnsi="Calibri Light"/>
          <w:spacing w:val="-3"/>
          <w:sz w:val="20"/>
        </w:rPr>
        <w:t xml:space="preserve"> </w:t>
      </w:r>
      <w:r>
        <w:rPr>
          <w:rFonts w:ascii="Calibri Light" w:hAnsi="Calibri Light"/>
          <w:sz w:val="20"/>
        </w:rPr>
        <w:t>abuse</w:t>
      </w:r>
      <w:r>
        <w:rPr>
          <w:rFonts w:ascii="Calibri Light" w:hAnsi="Calibri Light"/>
          <w:spacing w:val="-3"/>
          <w:sz w:val="20"/>
        </w:rPr>
        <w:t xml:space="preserve"> </w:t>
      </w:r>
      <w:r>
        <w:rPr>
          <w:rFonts w:ascii="Calibri Light" w:hAnsi="Calibri Light"/>
          <w:sz w:val="20"/>
        </w:rPr>
        <w:t>problems: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three-level</w:t>
      </w:r>
      <w:r>
        <w:rPr>
          <w:rFonts w:ascii="Calibri Light" w:hAnsi="Calibri Light"/>
          <w:spacing w:val="-4"/>
          <w:sz w:val="20"/>
        </w:rPr>
        <w:t xml:space="preserve"> </w:t>
      </w:r>
      <w:r>
        <w:rPr>
          <w:rFonts w:ascii="Calibri Light" w:hAnsi="Calibri Light"/>
          <w:sz w:val="20"/>
        </w:rPr>
        <w:t>meta-analysis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outcomes.</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Consulting</w:t>
      </w:r>
      <w:r>
        <w:rPr>
          <w:rFonts w:ascii="Calibri Light" w:hAnsi="Calibri Light"/>
          <w:i/>
          <w:sz w:val="20"/>
        </w:rPr>
        <w:t xml:space="preserve"> and Clinical Psychology</w:t>
      </w:r>
      <w:r>
        <w:rPr>
          <w:rFonts w:ascii="Calibri Light" w:hAnsi="Calibri Light"/>
          <w:sz w:val="20"/>
        </w:rPr>
        <w:t xml:space="preserve">, </w:t>
      </w:r>
      <w:r>
        <w:rPr>
          <w:rFonts w:ascii="Calibri Light" w:hAnsi="Calibri Light"/>
          <w:i/>
          <w:sz w:val="20"/>
        </w:rPr>
        <w:t>82</w:t>
      </w:r>
      <w:r>
        <w:rPr>
          <w:rFonts w:ascii="Calibri Light" w:hAnsi="Calibri Light"/>
          <w:sz w:val="20"/>
        </w:rPr>
        <w:t xml:space="preserve">(4), 605–618. Retrieved from </w:t>
      </w:r>
      <w:hyperlink r:id="rId143">
        <w:r>
          <w:rPr>
            <w:rFonts w:ascii="Calibri Light" w:hAnsi="Calibri Light"/>
            <w:color w:val="0563C1"/>
            <w:sz w:val="20"/>
            <w:u w:val="single" w:color="0563C1"/>
          </w:rPr>
          <w:t>www.ncbi.nlm.nih.gov/books/NBK241643/</w:t>
        </w:r>
      </w:hyperlink>
    </w:p>
    <w:p w14:paraId="29BE6EB9" w14:textId="77777777" w:rsidR="00DB6E1F" w:rsidRDefault="00F666A6">
      <w:pPr>
        <w:ind w:left="1440"/>
        <w:jc w:val="both"/>
        <w:rPr>
          <w:rFonts w:ascii="Calibri Light"/>
          <w:sz w:val="20"/>
        </w:rPr>
      </w:pPr>
      <w:r>
        <w:rPr>
          <w:rFonts w:ascii="Calibri Light"/>
          <w:sz w:val="20"/>
        </w:rPr>
        <w:t>Raylu,</w:t>
      </w:r>
      <w:r>
        <w:rPr>
          <w:rFonts w:ascii="Calibri Light"/>
          <w:spacing w:val="-8"/>
          <w:sz w:val="20"/>
        </w:rPr>
        <w:t xml:space="preserve"> </w:t>
      </w:r>
      <w:r>
        <w:rPr>
          <w:rFonts w:ascii="Calibri Light"/>
          <w:sz w:val="20"/>
        </w:rPr>
        <w:t>N.,</w:t>
      </w:r>
      <w:r>
        <w:rPr>
          <w:rFonts w:ascii="Calibri Light"/>
          <w:spacing w:val="-7"/>
          <w:sz w:val="20"/>
        </w:rPr>
        <w:t xml:space="preserve"> </w:t>
      </w:r>
      <w:r>
        <w:rPr>
          <w:rFonts w:ascii="Calibri Light"/>
          <w:sz w:val="20"/>
        </w:rPr>
        <w:t>&amp;</w:t>
      </w:r>
      <w:r>
        <w:rPr>
          <w:rFonts w:ascii="Calibri Light"/>
          <w:spacing w:val="-6"/>
          <w:sz w:val="20"/>
        </w:rPr>
        <w:t xml:space="preserve"> </w:t>
      </w:r>
      <w:r>
        <w:rPr>
          <w:rFonts w:ascii="Calibri Light"/>
          <w:sz w:val="20"/>
        </w:rPr>
        <w:t>Kaur,</w:t>
      </w:r>
      <w:r>
        <w:rPr>
          <w:rFonts w:ascii="Calibri Light"/>
          <w:spacing w:val="-5"/>
          <w:sz w:val="20"/>
        </w:rPr>
        <w:t xml:space="preserve"> </w:t>
      </w:r>
      <w:r>
        <w:rPr>
          <w:rFonts w:ascii="Calibri Light"/>
          <w:sz w:val="20"/>
        </w:rPr>
        <w:t>I.</w:t>
      </w:r>
      <w:r>
        <w:rPr>
          <w:rFonts w:ascii="Calibri Light"/>
          <w:spacing w:val="-7"/>
          <w:sz w:val="20"/>
        </w:rPr>
        <w:t xml:space="preserve"> </w:t>
      </w:r>
      <w:r>
        <w:rPr>
          <w:rFonts w:ascii="Calibri Light"/>
          <w:sz w:val="20"/>
        </w:rPr>
        <w:t>(2012).</w:t>
      </w:r>
      <w:r>
        <w:rPr>
          <w:rFonts w:ascii="Calibri Light"/>
          <w:spacing w:val="-7"/>
          <w:sz w:val="20"/>
        </w:rPr>
        <w:t xml:space="preserve"> </w:t>
      </w:r>
      <w:r>
        <w:rPr>
          <w:rFonts w:ascii="Calibri Light"/>
          <w:sz w:val="20"/>
        </w:rPr>
        <w:t>Factors</w:t>
      </w:r>
      <w:r>
        <w:rPr>
          <w:rFonts w:ascii="Calibri Light"/>
          <w:spacing w:val="-7"/>
          <w:sz w:val="20"/>
        </w:rPr>
        <w:t xml:space="preserve"> </w:t>
      </w:r>
      <w:r>
        <w:rPr>
          <w:rFonts w:ascii="Calibri Light"/>
          <w:sz w:val="20"/>
        </w:rPr>
        <w:t>that</w:t>
      </w:r>
      <w:r>
        <w:rPr>
          <w:rFonts w:ascii="Calibri Light"/>
          <w:spacing w:val="-7"/>
          <w:sz w:val="20"/>
        </w:rPr>
        <w:t xml:space="preserve"> </w:t>
      </w:r>
      <w:r>
        <w:rPr>
          <w:rFonts w:ascii="Calibri Light"/>
          <w:sz w:val="20"/>
        </w:rPr>
        <w:t>affect</w:t>
      </w:r>
      <w:r>
        <w:rPr>
          <w:rFonts w:ascii="Calibri Light"/>
          <w:spacing w:val="-5"/>
          <w:sz w:val="20"/>
        </w:rPr>
        <w:t xml:space="preserve"> </w:t>
      </w:r>
      <w:r>
        <w:rPr>
          <w:rFonts w:ascii="Calibri Light"/>
          <w:sz w:val="20"/>
        </w:rPr>
        <w:t>treatment</w:t>
      </w:r>
      <w:r>
        <w:rPr>
          <w:rFonts w:ascii="Calibri Light"/>
          <w:spacing w:val="-7"/>
          <w:sz w:val="20"/>
        </w:rPr>
        <w:t xml:space="preserve"> </w:t>
      </w:r>
      <w:r>
        <w:rPr>
          <w:rFonts w:ascii="Calibri Light"/>
          <w:sz w:val="20"/>
        </w:rPr>
        <w:t>expectations</w:t>
      </w:r>
      <w:r>
        <w:rPr>
          <w:rFonts w:ascii="Calibri Light"/>
          <w:spacing w:val="-5"/>
          <w:sz w:val="20"/>
        </w:rPr>
        <w:t xml:space="preserve"> </w:t>
      </w:r>
      <w:r>
        <w:rPr>
          <w:rFonts w:ascii="Calibri Light"/>
          <w:sz w:val="20"/>
        </w:rPr>
        <w:t>of</w:t>
      </w:r>
      <w:r>
        <w:rPr>
          <w:rFonts w:ascii="Calibri Light"/>
          <w:spacing w:val="-7"/>
          <w:sz w:val="20"/>
        </w:rPr>
        <w:t xml:space="preserve"> </w:t>
      </w:r>
      <w:r>
        <w:rPr>
          <w:rFonts w:ascii="Calibri Light"/>
          <w:sz w:val="20"/>
        </w:rPr>
        <w:t>outpatients</w:t>
      </w:r>
      <w:r>
        <w:rPr>
          <w:rFonts w:ascii="Calibri Light"/>
          <w:spacing w:val="-6"/>
          <w:sz w:val="20"/>
        </w:rPr>
        <w:t xml:space="preserve"> </w:t>
      </w:r>
      <w:r>
        <w:rPr>
          <w:rFonts w:ascii="Calibri Light"/>
          <w:sz w:val="20"/>
        </w:rPr>
        <w:t>with</w:t>
      </w:r>
      <w:r>
        <w:rPr>
          <w:rFonts w:ascii="Calibri Light"/>
          <w:spacing w:val="-5"/>
          <w:sz w:val="20"/>
        </w:rPr>
        <w:t xml:space="preserve"> </w:t>
      </w:r>
      <w:r>
        <w:rPr>
          <w:rFonts w:ascii="Calibri Light"/>
          <w:sz w:val="20"/>
        </w:rPr>
        <w:t>substance</w:t>
      </w:r>
      <w:r>
        <w:rPr>
          <w:rFonts w:ascii="Calibri Light"/>
          <w:spacing w:val="-5"/>
          <w:sz w:val="20"/>
        </w:rPr>
        <w:t xml:space="preserve"> </w:t>
      </w:r>
      <w:r>
        <w:rPr>
          <w:rFonts w:ascii="Calibri Light"/>
          <w:sz w:val="20"/>
        </w:rPr>
        <w:t>use</w:t>
      </w:r>
      <w:r>
        <w:rPr>
          <w:rFonts w:ascii="Calibri Light"/>
          <w:spacing w:val="-6"/>
          <w:sz w:val="20"/>
        </w:rPr>
        <w:t xml:space="preserve"> </w:t>
      </w:r>
      <w:r>
        <w:rPr>
          <w:rFonts w:ascii="Calibri Light"/>
          <w:spacing w:val="-2"/>
          <w:sz w:val="20"/>
        </w:rPr>
        <w:t>problems.</w:t>
      </w:r>
    </w:p>
    <w:p w14:paraId="09AA7CC3" w14:textId="77777777" w:rsidR="00DB6E1F" w:rsidRDefault="00F666A6">
      <w:pPr>
        <w:spacing w:before="20"/>
        <w:ind w:left="1619"/>
        <w:jc w:val="both"/>
        <w:rPr>
          <w:rFonts w:ascii="Calibri Light" w:hAnsi="Calibri Light"/>
          <w:sz w:val="20"/>
        </w:rPr>
      </w:pPr>
      <w:r>
        <w:rPr>
          <w:rFonts w:ascii="Calibri Light" w:hAnsi="Calibri Light"/>
          <w:i/>
          <w:sz w:val="20"/>
        </w:rPr>
        <w:t>International</w:t>
      </w:r>
      <w:r>
        <w:rPr>
          <w:rFonts w:ascii="Calibri Light" w:hAnsi="Calibri Light"/>
          <w:i/>
          <w:spacing w:val="-11"/>
          <w:sz w:val="20"/>
        </w:rPr>
        <w:t xml:space="preserve"> </w:t>
      </w:r>
      <w:r>
        <w:rPr>
          <w:rFonts w:ascii="Calibri Light" w:hAnsi="Calibri Light"/>
          <w:i/>
          <w:sz w:val="20"/>
        </w:rPr>
        <w:t>Journal</w:t>
      </w:r>
      <w:r>
        <w:rPr>
          <w:rFonts w:ascii="Calibri Light" w:hAnsi="Calibri Light"/>
          <w:i/>
          <w:spacing w:val="-11"/>
          <w:sz w:val="20"/>
        </w:rPr>
        <w:t xml:space="preserve"> </w:t>
      </w:r>
      <w:r>
        <w:rPr>
          <w:rFonts w:ascii="Calibri Light" w:hAnsi="Calibri Light"/>
          <w:i/>
          <w:sz w:val="20"/>
        </w:rPr>
        <w:t>of</w:t>
      </w:r>
      <w:r>
        <w:rPr>
          <w:rFonts w:ascii="Calibri Light" w:hAnsi="Calibri Light"/>
          <w:i/>
          <w:spacing w:val="-10"/>
          <w:sz w:val="20"/>
        </w:rPr>
        <w:t xml:space="preserve"> </w:t>
      </w:r>
      <w:r>
        <w:rPr>
          <w:rFonts w:ascii="Calibri Light" w:hAnsi="Calibri Light"/>
          <w:i/>
          <w:sz w:val="20"/>
        </w:rPr>
        <w:t>Mental</w:t>
      </w:r>
      <w:r>
        <w:rPr>
          <w:rFonts w:ascii="Calibri Light" w:hAnsi="Calibri Light"/>
          <w:i/>
          <w:spacing w:val="-11"/>
          <w:sz w:val="20"/>
        </w:rPr>
        <w:t xml:space="preserve"> </w:t>
      </w:r>
      <w:r>
        <w:rPr>
          <w:rFonts w:ascii="Calibri Light" w:hAnsi="Calibri Light"/>
          <w:i/>
          <w:sz w:val="20"/>
        </w:rPr>
        <w:t>Health</w:t>
      </w:r>
      <w:r>
        <w:rPr>
          <w:rFonts w:ascii="Calibri Light" w:hAnsi="Calibri Light"/>
          <w:i/>
          <w:spacing w:val="-10"/>
          <w:sz w:val="20"/>
        </w:rPr>
        <w:t xml:space="preserve"> </w:t>
      </w:r>
      <w:r>
        <w:rPr>
          <w:rFonts w:ascii="Calibri Light" w:hAnsi="Calibri Light"/>
          <w:i/>
          <w:sz w:val="20"/>
        </w:rPr>
        <w:t>and</w:t>
      </w:r>
      <w:r>
        <w:rPr>
          <w:rFonts w:ascii="Calibri Light" w:hAnsi="Calibri Light"/>
          <w:i/>
          <w:spacing w:val="-10"/>
          <w:sz w:val="20"/>
        </w:rPr>
        <w:t xml:space="preserve"> </w:t>
      </w:r>
      <w:r>
        <w:rPr>
          <w:rFonts w:ascii="Calibri Light" w:hAnsi="Calibri Light"/>
          <w:i/>
          <w:sz w:val="20"/>
        </w:rPr>
        <w:t>Addiction,</w:t>
      </w:r>
      <w:r>
        <w:rPr>
          <w:rFonts w:ascii="Calibri Light" w:hAnsi="Calibri Light"/>
          <w:i/>
          <w:spacing w:val="-11"/>
          <w:sz w:val="20"/>
        </w:rPr>
        <w:t xml:space="preserve"> </w:t>
      </w:r>
      <w:r>
        <w:rPr>
          <w:rFonts w:ascii="Calibri Light" w:hAnsi="Calibri Light"/>
          <w:i/>
          <w:sz w:val="20"/>
        </w:rPr>
        <w:t>10</w:t>
      </w:r>
      <w:r>
        <w:rPr>
          <w:rFonts w:ascii="Calibri Light" w:hAnsi="Calibri Light"/>
          <w:sz w:val="20"/>
        </w:rPr>
        <w:t>(6),</w:t>
      </w:r>
      <w:r>
        <w:rPr>
          <w:rFonts w:ascii="Calibri Light" w:hAnsi="Calibri Light"/>
          <w:spacing w:val="-9"/>
          <w:sz w:val="20"/>
        </w:rPr>
        <w:t xml:space="preserve"> </w:t>
      </w:r>
      <w:r>
        <w:rPr>
          <w:rFonts w:ascii="Calibri Light" w:hAnsi="Calibri Light"/>
          <w:sz w:val="20"/>
        </w:rPr>
        <w:t>804–817.</w:t>
      </w:r>
      <w:r>
        <w:rPr>
          <w:rFonts w:ascii="Calibri Light" w:hAnsi="Calibri Light"/>
          <w:spacing w:val="-11"/>
          <w:sz w:val="20"/>
        </w:rPr>
        <w:t xml:space="preserve"> </w:t>
      </w:r>
      <w:r>
        <w:rPr>
          <w:rFonts w:ascii="Calibri Light" w:hAnsi="Calibri Light"/>
          <w:sz w:val="20"/>
        </w:rPr>
        <w:t>doi:10.1007/s11469-012-9377-</w:t>
      </w:r>
      <w:r>
        <w:rPr>
          <w:rFonts w:ascii="Calibri Light" w:hAnsi="Calibri Light"/>
          <w:spacing w:val="-10"/>
          <w:sz w:val="20"/>
        </w:rPr>
        <w:t>2</w:t>
      </w:r>
    </w:p>
    <w:p w14:paraId="6C80F83D" w14:textId="77777777" w:rsidR="00DB6E1F" w:rsidRDefault="00F666A6">
      <w:pPr>
        <w:spacing w:before="20" w:line="259" w:lineRule="auto"/>
        <w:ind w:left="1619" w:right="1514" w:hanging="180"/>
        <w:jc w:val="both"/>
        <w:rPr>
          <w:rFonts w:ascii="Calibri Light" w:hAnsi="Calibri Light"/>
          <w:sz w:val="20"/>
        </w:rPr>
      </w:pPr>
      <w:r>
        <w:rPr>
          <w:rFonts w:ascii="Calibri Light" w:hAnsi="Calibri Light"/>
          <w:sz w:val="20"/>
        </w:rPr>
        <w:t>Rhoades, H.,</w:t>
      </w:r>
      <w:r>
        <w:rPr>
          <w:rFonts w:ascii="Calibri Light" w:hAnsi="Calibri Light"/>
          <w:spacing w:val="-3"/>
          <w:sz w:val="20"/>
        </w:rPr>
        <w:t xml:space="preserve"> </w:t>
      </w:r>
      <w:r>
        <w:rPr>
          <w:rFonts w:ascii="Calibri Light" w:hAnsi="Calibri Light"/>
          <w:sz w:val="20"/>
        </w:rPr>
        <w:t>Motte-Kerr,</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Duan,</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Woo, D., Rice,</w:t>
      </w:r>
      <w:r>
        <w:rPr>
          <w:rFonts w:ascii="Calibri Light" w:hAnsi="Calibri Light"/>
          <w:spacing w:val="-3"/>
          <w:sz w:val="20"/>
        </w:rPr>
        <w:t xml:space="preserve"> </w:t>
      </w:r>
      <w:r>
        <w:rPr>
          <w:rFonts w:ascii="Calibri Light" w:hAnsi="Calibri Light"/>
          <w:sz w:val="20"/>
        </w:rPr>
        <w:t>E., Henwood, B.,</w:t>
      </w:r>
      <w:r>
        <w:rPr>
          <w:rFonts w:ascii="Calibri Light" w:hAnsi="Calibri Light"/>
          <w:spacing w:val="-3"/>
          <w:sz w:val="20"/>
        </w:rPr>
        <w:t xml:space="preserve"> </w:t>
      </w:r>
      <w:r>
        <w:rPr>
          <w:rFonts w:ascii="Calibri Light" w:hAnsi="Calibri Light"/>
          <w:sz w:val="20"/>
        </w:rPr>
        <w:t>…</w:t>
      </w:r>
      <w:r>
        <w:rPr>
          <w:rFonts w:ascii="Calibri Light" w:hAnsi="Calibri Light"/>
          <w:spacing w:val="-3"/>
          <w:sz w:val="20"/>
        </w:rPr>
        <w:t xml:space="preserve"> </w:t>
      </w:r>
      <w:r>
        <w:rPr>
          <w:rFonts w:ascii="Calibri Light" w:hAnsi="Calibri Light"/>
          <w:sz w:val="20"/>
        </w:rPr>
        <w:t>Wenzel,</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(2018).</w:t>
      </w:r>
      <w:r>
        <w:rPr>
          <w:rFonts w:ascii="Calibri Light" w:hAnsi="Calibri Light"/>
          <w:spacing w:val="-3"/>
          <w:sz w:val="20"/>
        </w:rPr>
        <w:t xml:space="preserve"> </w:t>
      </w:r>
      <w:r>
        <w:rPr>
          <w:rFonts w:ascii="Calibri Light" w:hAnsi="Calibri Light"/>
          <w:sz w:val="20"/>
        </w:rPr>
        <w:t>Social networks</w:t>
      </w:r>
      <w:r>
        <w:rPr>
          <w:rFonts w:ascii="Calibri Light" w:hAnsi="Calibri Light"/>
          <w:spacing w:val="-2"/>
          <w:sz w:val="20"/>
        </w:rPr>
        <w:t xml:space="preserve"> </w:t>
      </w:r>
      <w:r>
        <w:rPr>
          <w:rFonts w:ascii="Calibri Light" w:hAnsi="Calibri Light"/>
          <w:sz w:val="20"/>
        </w:rPr>
        <w:t>and substance use after transitioning into</w:t>
      </w:r>
      <w:r>
        <w:rPr>
          <w:rFonts w:ascii="Calibri Light" w:hAnsi="Calibri Light"/>
          <w:spacing w:val="-1"/>
          <w:sz w:val="20"/>
        </w:rPr>
        <w:t xml:space="preserve"> </w:t>
      </w:r>
      <w:r>
        <w:rPr>
          <w:rFonts w:ascii="Calibri Light" w:hAnsi="Calibri Light"/>
          <w:sz w:val="20"/>
        </w:rPr>
        <w:t>permanent</w:t>
      </w:r>
      <w:r>
        <w:rPr>
          <w:rFonts w:ascii="Calibri Light" w:hAnsi="Calibri Light"/>
          <w:spacing w:val="-1"/>
          <w:sz w:val="20"/>
        </w:rPr>
        <w:t xml:space="preserve"> </w:t>
      </w:r>
      <w:r>
        <w:rPr>
          <w:rFonts w:ascii="Calibri Light" w:hAnsi="Calibri Light"/>
          <w:sz w:val="20"/>
        </w:rPr>
        <w:t xml:space="preserve">supportive housing. </w:t>
      </w:r>
      <w:r>
        <w:rPr>
          <w:rFonts w:ascii="Calibri Light" w:hAnsi="Calibri Light"/>
          <w:i/>
          <w:sz w:val="20"/>
        </w:rPr>
        <w:t>Drug and Alcohol</w:t>
      </w:r>
      <w:r>
        <w:rPr>
          <w:rFonts w:ascii="Calibri Light" w:hAnsi="Calibri Light"/>
          <w:i/>
          <w:spacing w:val="-1"/>
          <w:sz w:val="20"/>
        </w:rPr>
        <w:t xml:space="preserve"> </w:t>
      </w:r>
      <w:r>
        <w:rPr>
          <w:rFonts w:ascii="Calibri Light" w:hAnsi="Calibri Light"/>
          <w:i/>
          <w:sz w:val="20"/>
        </w:rPr>
        <w:t>Dependence,</w:t>
      </w:r>
      <w:r>
        <w:rPr>
          <w:rFonts w:ascii="Calibri Light" w:hAnsi="Calibri Light"/>
          <w:i/>
          <w:spacing w:val="-1"/>
          <w:sz w:val="20"/>
        </w:rPr>
        <w:t xml:space="preserve"> </w:t>
      </w:r>
      <w:r>
        <w:rPr>
          <w:rFonts w:ascii="Calibri Light" w:hAnsi="Calibri Light"/>
          <w:i/>
          <w:sz w:val="20"/>
        </w:rPr>
        <w:t>191</w:t>
      </w:r>
      <w:r>
        <w:rPr>
          <w:rFonts w:ascii="Calibri Light" w:hAnsi="Calibri Light"/>
          <w:sz w:val="20"/>
        </w:rPr>
        <w:t>,</w:t>
      </w:r>
      <w:r>
        <w:rPr>
          <w:rFonts w:ascii="Calibri Light" w:hAnsi="Calibri Light"/>
          <w:spacing w:val="-1"/>
          <w:sz w:val="20"/>
        </w:rPr>
        <w:t xml:space="preserve"> </w:t>
      </w:r>
      <w:r>
        <w:rPr>
          <w:rFonts w:ascii="Calibri Light" w:hAnsi="Calibri Light"/>
          <w:sz w:val="20"/>
        </w:rPr>
        <w:t xml:space="preserve">63–69. </w:t>
      </w:r>
      <w:r>
        <w:rPr>
          <w:rFonts w:ascii="Calibri Light" w:hAnsi="Calibri Light"/>
          <w:spacing w:val="-2"/>
          <w:sz w:val="20"/>
        </w:rPr>
        <w:t>doi:10.1016/j.drugalcdep.2018.06.027</w:t>
      </w:r>
    </w:p>
    <w:p w14:paraId="2AC02D3B" w14:textId="77777777" w:rsidR="00DB6E1F" w:rsidRDefault="00F666A6">
      <w:pPr>
        <w:spacing w:line="259" w:lineRule="auto"/>
        <w:ind w:left="1619" w:right="1491" w:hanging="181"/>
        <w:rPr>
          <w:rFonts w:ascii="Calibri Light" w:hAnsi="Calibri Light"/>
          <w:sz w:val="20"/>
        </w:rPr>
      </w:pPr>
      <w:r>
        <w:rPr>
          <w:rFonts w:ascii="Calibri Light" w:hAnsi="Calibri Light"/>
          <w:sz w:val="20"/>
        </w:rPr>
        <w:t xml:space="preserve">Riper, H., Andersson, G., Hunter, S. B., Wit, J. D., Berking, M., &amp; Cuijpers, P. (2014). </w:t>
      </w:r>
      <w:r>
        <w:rPr>
          <w:rFonts w:ascii="Calibri Light" w:hAnsi="Calibri Light"/>
          <w:sz w:val="20"/>
        </w:rPr>
        <w:t>Treatment of comorbid alcohol use</w:t>
      </w:r>
      <w:r>
        <w:rPr>
          <w:rFonts w:ascii="Calibri Light" w:hAnsi="Calibri Light"/>
          <w:spacing w:val="-4"/>
          <w:sz w:val="20"/>
        </w:rPr>
        <w:t xml:space="preserve"> </w:t>
      </w:r>
      <w:r>
        <w:rPr>
          <w:rFonts w:ascii="Calibri Light" w:hAnsi="Calibri Light"/>
          <w:sz w:val="20"/>
        </w:rPr>
        <w:t>disorders</w:t>
      </w:r>
      <w:r>
        <w:rPr>
          <w:rFonts w:ascii="Calibri Light" w:hAnsi="Calibri Light"/>
          <w:spacing w:val="-4"/>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depression</w:t>
      </w:r>
      <w:r>
        <w:rPr>
          <w:rFonts w:ascii="Calibri Light" w:hAnsi="Calibri Light"/>
          <w:spacing w:val="-2"/>
          <w:sz w:val="20"/>
        </w:rPr>
        <w:t xml:space="preserve"> </w:t>
      </w:r>
      <w:r>
        <w:rPr>
          <w:rFonts w:ascii="Calibri Light" w:hAnsi="Calibri Light"/>
          <w:sz w:val="20"/>
        </w:rPr>
        <w:t>with</w:t>
      </w:r>
      <w:r>
        <w:rPr>
          <w:rFonts w:ascii="Calibri Light" w:hAnsi="Calibri Light"/>
          <w:spacing w:val="-2"/>
          <w:sz w:val="20"/>
        </w:rPr>
        <w:t xml:space="preserve"> </w:t>
      </w:r>
      <w:r>
        <w:rPr>
          <w:rFonts w:ascii="Calibri Light" w:hAnsi="Calibri Light"/>
          <w:sz w:val="20"/>
        </w:rPr>
        <w:t>cognitive‒behavioural</w:t>
      </w:r>
      <w:r>
        <w:rPr>
          <w:rFonts w:ascii="Calibri Light" w:hAnsi="Calibri Light"/>
          <w:spacing w:val="-5"/>
          <w:sz w:val="20"/>
        </w:rPr>
        <w:t xml:space="preserve"> </w:t>
      </w:r>
      <w:r>
        <w:rPr>
          <w:rFonts w:ascii="Calibri Light" w:hAnsi="Calibri Light"/>
          <w:sz w:val="20"/>
        </w:rPr>
        <w:t>therapy</w:t>
      </w:r>
      <w:r>
        <w:rPr>
          <w:rFonts w:ascii="Calibri Light" w:hAnsi="Calibri Light"/>
          <w:spacing w:val="-3"/>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5"/>
          <w:sz w:val="20"/>
        </w:rPr>
        <w:t xml:space="preserve"> </w:t>
      </w:r>
      <w:r>
        <w:rPr>
          <w:rFonts w:ascii="Calibri Light" w:hAnsi="Calibri Light"/>
          <w:sz w:val="20"/>
        </w:rPr>
        <w:t>interviewing:</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 xml:space="preserve">meta-analysis. </w:t>
      </w:r>
      <w:r>
        <w:rPr>
          <w:rFonts w:ascii="Calibri Light" w:hAnsi="Calibri Light"/>
          <w:i/>
          <w:sz w:val="20"/>
        </w:rPr>
        <w:t>Addiction</w:t>
      </w:r>
      <w:r>
        <w:rPr>
          <w:rFonts w:ascii="Calibri Light" w:hAnsi="Calibri Light"/>
          <w:sz w:val="20"/>
        </w:rPr>
        <w:t xml:space="preserve">, </w:t>
      </w:r>
      <w:r>
        <w:rPr>
          <w:rFonts w:ascii="Calibri Light" w:hAnsi="Calibri Light"/>
          <w:i/>
          <w:sz w:val="20"/>
        </w:rPr>
        <w:t>109</w:t>
      </w:r>
      <w:r>
        <w:rPr>
          <w:rFonts w:ascii="Calibri Light" w:hAnsi="Calibri Light"/>
          <w:sz w:val="20"/>
        </w:rPr>
        <w:t>(3), 394–406. doi:10.1111/add.12441</w:t>
      </w:r>
    </w:p>
    <w:p w14:paraId="2993E7A8" w14:textId="77777777" w:rsidR="00DB6E1F" w:rsidRDefault="00F666A6">
      <w:pPr>
        <w:spacing w:line="259" w:lineRule="auto"/>
        <w:ind w:left="1620" w:right="1459" w:hanging="181"/>
        <w:rPr>
          <w:rFonts w:ascii="Calibri Light" w:hAnsi="Calibri Light"/>
          <w:sz w:val="20"/>
        </w:rPr>
      </w:pPr>
      <w:r>
        <w:rPr>
          <w:rFonts w:ascii="Calibri Light" w:hAnsi="Calibri Light"/>
          <w:sz w:val="20"/>
        </w:rPr>
        <w:t>Rodriguez, M., Walters, S. T., Houck, J. M., Ortiz, J. A., &amp; Tax</w:t>
      </w:r>
      <w:r>
        <w:rPr>
          <w:rFonts w:ascii="Calibri Light" w:hAnsi="Calibri Light"/>
          <w:sz w:val="20"/>
        </w:rPr>
        <w:t>man, F. S. (2017). The language of change among criminal</w:t>
      </w:r>
      <w:r>
        <w:rPr>
          <w:rFonts w:ascii="Calibri Light" w:hAnsi="Calibri Light"/>
          <w:spacing w:val="-4"/>
          <w:sz w:val="20"/>
        </w:rPr>
        <w:t xml:space="preserve"> </w:t>
      </w:r>
      <w:r>
        <w:rPr>
          <w:rFonts w:ascii="Calibri Light" w:hAnsi="Calibri Light"/>
          <w:sz w:val="20"/>
        </w:rPr>
        <w:t>justice</w:t>
      </w:r>
      <w:r>
        <w:rPr>
          <w:rFonts w:ascii="Calibri Light" w:hAnsi="Calibri Light"/>
          <w:spacing w:val="-3"/>
          <w:sz w:val="20"/>
        </w:rPr>
        <w:t xml:space="preserve"> </w:t>
      </w:r>
      <w:r>
        <w:rPr>
          <w:rFonts w:ascii="Calibri Light" w:hAnsi="Calibri Light"/>
          <w:sz w:val="20"/>
        </w:rPr>
        <w:t>clients:</w:t>
      </w:r>
      <w:r>
        <w:rPr>
          <w:rFonts w:ascii="Calibri Light" w:hAnsi="Calibri Light"/>
          <w:spacing w:val="-3"/>
          <w:sz w:val="20"/>
        </w:rPr>
        <w:t xml:space="preserve"> </w:t>
      </w:r>
      <w:r>
        <w:rPr>
          <w:rFonts w:ascii="Calibri Light" w:hAnsi="Calibri Light"/>
          <w:sz w:val="20"/>
        </w:rPr>
        <w:t>Counselor</w:t>
      </w:r>
      <w:r>
        <w:rPr>
          <w:rFonts w:ascii="Calibri Light" w:hAnsi="Calibri Light"/>
          <w:spacing w:val="-2"/>
          <w:sz w:val="20"/>
        </w:rPr>
        <w:t xml:space="preserve"> </w:t>
      </w:r>
      <w:r>
        <w:rPr>
          <w:rFonts w:ascii="Calibri Light" w:hAnsi="Calibri Light"/>
          <w:sz w:val="20"/>
        </w:rPr>
        <w:t>language,</w:t>
      </w:r>
      <w:r>
        <w:rPr>
          <w:rFonts w:ascii="Calibri Light" w:hAnsi="Calibri Light"/>
          <w:spacing w:val="-4"/>
          <w:sz w:val="20"/>
        </w:rPr>
        <w:t xml:space="preserve"> </w:t>
      </w:r>
      <w:r>
        <w:rPr>
          <w:rFonts w:ascii="Calibri Light" w:hAnsi="Calibri Light"/>
          <w:sz w:val="20"/>
        </w:rPr>
        <w:t>client</w:t>
      </w:r>
      <w:r>
        <w:rPr>
          <w:rFonts w:ascii="Calibri Light" w:hAnsi="Calibri Light"/>
          <w:spacing w:val="-4"/>
          <w:sz w:val="20"/>
        </w:rPr>
        <w:t xml:space="preserve"> </w:t>
      </w:r>
      <w:r>
        <w:rPr>
          <w:rFonts w:ascii="Calibri Light" w:hAnsi="Calibri Light"/>
          <w:sz w:val="20"/>
        </w:rPr>
        <w:t>language,</w:t>
      </w:r>
      <w:r>
        <w:rPr>
          <w:rFonts w:ascii="Calibri Light" w:hAnsi="Calibri Light"/>
          <w:spacing w:val="-1"/>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client</w:t>
      </w:r>
      <w:r>
        <w:rPr>
          <w:rFonts w:ascii="Calibri Light" w:hAnsi="Calibri Light"/>
          <w:spacing w:val="-4"/>
          <w:sz w:val="20"/>
        </w:rPr>
        <w:t xml:space="preserve"> </w:t>
      </w:r>
      <w:r>
        <w:rPr>
          <w:rFonts w:ascii="Calibri Light" w:hAnsi="Calibri Light"/>
          <w:sz w:val="20"/>
        </w:rPr>
        <w:t>substance</w:t>
      </w:r>
      <w:r>
        <w:rPr>
          <w:rFonts w:ascii="Calibri Light" w:hAnsi="Calibri Light"/>
          <w:spacing w:val="-3"/>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outcomes.</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Clinical Psychology, 74</w:t>
      </w:r>
      <w:r>
        <w:rPr>
          <w:rFonts w:ascii="Calibri Light" w:hAnsi="Calibri Light"/>
          <w:sz w:val="20"/>
        </w:rPr>
        <w:t>(4), 626–636. doi:10.1002/jclp.22534</w:t>
      </w:r>
    </w:p>
    <w:p w14:paraId="2A2AECDA" w14:textId="77777777" w:rsidR="00DB6E1F" w:rsidRDefault="00F666A6">
      <w:pPr>
        <w:ind w:left="1440"/>
        <w:rPr>
          <w:rFonts w:ascii="Calibri Light"/>
          <w:sz w:val="20"/>
        </w:rPr>
      </w:pPr>
      <w:r>
        <w:rPr>
          <w:rFonts w:ascii="Calibri Light"/>
          <w:sz w:val="20"/>
        </w:rPr>
        <w:t>Rogers,</w:t>
      </w:r>
      <w:r>
        <w:rPr>
          <w:rFonts w:ascii="Calibri Light"/>
          <w:spacing w:val="-4"/>
          <w:sz w:val="20"/>
        </w:rPr>
        <w:t xml:space="preserve"> </w:t>
      </w:r>
      <w:r>
        <w:rPr>
          <w:rFonts w:ascii="Calibri Light"/>
          <w:sz w:val="20"/>
        </w:rPr>
        <w:t>C.</w:t>
      </w:r>
      <w:r>
        <w:rPr>
          <w:rFonts w:ascii="Calibri Light"/>
          <w:spacing w:val="-6"/>
          <w:sz w:val="20"/>
        </w:rPr>
        <w:t xml:space="preserve"> </w:t>
      </w:r>
      <w:r>
        <w:rPr>
          <w:rFonts w:ascii="Calibri Light"/>
          <w:sz w:val="20"/>
        </w:rPr>
        <w:t>R.</w:t>
      </w:r>
      <w:r>
        <w:rPr>
          <w:rFonts w:ascii="Calibri Light"/>
          <w:spacing w:val="-5"/>
          <w:sz w:val="20"/>
        </w:rPr>
        <w:t xml:space="preserve"> </w:t>
      </w:r>
      <w:r>
        <w:rPr>
          <w:rFonts w:ascii="Calibri Light"/>
          <w:sz w:val="20"/>
        </w:rPr>
        <w:t>(1980).</w:t>
      </w:r>
      <w:r>
        <w:rPr>
          <w:rFonts w:ascii="Calibri Light"/>
          <w:spacing w:val="-6"/>
          <w:sz w:val="20"/>
        </w:rPr>
        <w:t xml:space="preserve"> </w:t>
      </w:r>
      <w:r>
        <w:rPr>
          <w:rFonts w:ascii="Calibri Light"/>
          <w:i/>
          <w:sz w:val="20"/>
        </w:rPr>
        <w:t>A</w:t>
      </w:r>
      <w:r>
        <w:rPr>
          <w:rFonts w:ascii="Calibri Light"/>
          <w:i/>
          <w:spacing w:val="-5"/>
          <w:sz w:val="20"/>
        </w:rPr>
        <w:t xml:space="preserve"> </w:t>
      </w:r>
      <w:r>
        <w:rPr>
          <w:rFonts w:ascii="Calibri Light"/>
          <w:i/>
          <w:sz w:val="20"/>
        </w:rPr>
        <w:t>way</w:t>
      </w:r>
      <w:r>
        <w:rPr>
          <w:rFonts w:ascii="Calibri Light"/>
          <w:i/>
          <w:spacing w:val="-5"/>
          <w:sz w:val="20"/>
        </w:rPr>
        <w:t xml:space="preserve"> </w:t>
      </w:r>
      <w:r>
        <w:rPr>
          <w:rFonts w:ascii="Calibri Light"/>
          <w:i/>
          <w:sz w:val="20"/>
        </w:rPr>
        <w:t>of</w:t>
      </w:r>
      <w:r>
        <w:rPr>
          <w:rFonts w:ascii="Calibri Light"/>
          <w:i/>
          <w:spacing w:val="-3"/>
          <w:sz w:val="20"/>
        </w:rPr>
        <w:t xml:space="preserve"> </w:t>
      </w:r>
      <w:r>
        <w:rPr>
          <w:rFonts w:ascii="Calibri Light"/>
          <w:i/>
          <w:sz w:val="20"/>
        </w:rPr>
        <w:t>being</w:t>
      </w:r>
      <w:r>
        <w:rPr>
          <w:rFonts w:ascii="Calibri Light"/>
          <w:sz w:val="20"/>
        </w:rPr>
        <w:t>.</w:t>
      </w:r>
      <w:r>
        <w:rPr>
          <w:rFonts w:ascii="Calibri Light"/>
          <w:spacing w:val="-5"/>
          <w:sz w:val="20"/>
        </w:rPr>
        <w:t xml:space="preserve"> </w:t>
      </w:r>
      <w:r>
        <w:rPr>
          <w:rFonts w:ascii="Calibri Light"/>
          <w:sz w:val="20"/>
        </w:rPr>
        <w:t>Boston,</w:t>
      </w:r>
      <w:r>
        <w:rPr>
          <w:rFonts w:ascii="Calibri Light"/>
          <w:spacing w:val="-4"/>
          <w:sz w:val="20"/>
        </w:rPr>
        <w:t xml:space="preserve"> </w:t>
      </w:r>
      <w:r>
        <w:rPr>
          <w:rFonts w:ascii="Calibri Light"/>
          <w:sz w:val="20"/>
        </w:rPr>
        <w:t>MA:</w:t>
      </w:r>
      <w:r>
        <w:rPr>
          <w:rFonts w:ascii="Calibri Light"/>
          <w:spacing w:val="-5"/>
          <w:sz w:val="20"/>
        </w:rPr>
        <w:t xml:space="preserve"> </w:t>
      </w:r>
      <w:r>
        <w:rPr>
          <w:rFonts w:ascii="Calibri Light"/>
          <w:sz w:val="20"/>
        </w:rPr>
        <w:t>Houghton</w:t>
      </w:r>
      <w:r>
        <w:rPr>
          <w:rFonts w:ascii="Calibri Light"/>
          <w:spacing w:val="-3"/>
          <w:sz w:val="20"/>
        </w:rPr>
        <w:t xml:space="preserve"> </w:t>
      </w:r>
      <w:r>
        <w:rPr>
          <w:rFonts w:ascii="Calibri Light"/>
          <w:spacing w:val="-2"/>
          <w:sz w:val="20"/>
        </w:rPr>
        <w:t>Mifflin.</w:t>
      </w:r>
    </w:p>
    <w:p w14:paraId="4BCD3259" w14:textId="77777777" w:rsidR="00DB6E1F" w:rsidRDefault="00F666A6">
      <w:pPr>
        <w:spacing w:before="15"/>
        <w:ind w:left="1440"/>
        <w:rPr>
          <w:rFonts w:ascii="Calibri Light"/>
          <w:sz w:val="20"/>
        </w:rPr>
      </w:pPr>
      <w:r>
        <w:rPr>
          <w:rFonts w:ascii="Calibri Light"/>
          <w:sz w:val="20"/>
        </w:rPr>
        <w:t>Rogers,</w:t>
      </w:r>
      <w:r>
        <w:rPr>
          <w:rFonts w:ascii="Calibri Light"/>
          <w:spacing w:val="-5"/>
          <w:sz w:val="20"/>
        </w:rPr>
        <w:t xml:space="preserve"> </w:t>
      </w:r>
      <w:r>
        <w:rPr>
          <w:rFonts w:ascii="Calibri Light"/>
          <w:sz w:val="20"/>
        </w:rPr>
        <w:t>C.</w:t>
      </w:r>
      <w:r>
        <w:rPr>
          <w:rFonts w:ascii="Calibri Light"/>
          <w:spacing w:val="-8"/>
          <w:sz w:val="20"/>
        </w:rPr>
        <w:t xml:space="preserve"> </w:t>
      </w:r>
      <w:r>
        <w:rPr>
          <w:rFonts w:ascii="Calibri Light"/>
          <w:sz w:val="20"/>
        </w:rPr>
        <w:t>R.</w:t>
      </w:r>
      <w:r>
        <w:rPr>
          <w:rFonts w:ascii="Calibri Light"/>
          <w:spacing w:val="-7"/>
          <w:sz w:val="20"/>
        </w:rPr>
        <w:t xml:space="preserve"> </w:t>
      </w:r>
      <w:r>
        <w:rPr>
          <w:rFonts w:ascii="Calibri Light"/>
          <w:sz w:val="20"/>
        </w:rPr>
        <w:t>(1965).</w:t>
      </w:r>
      <w:r>
        <w:rPr>
          <w:rFonts w:ascii="Calibri Light"/>
          <w:spacing w:val="-7"/>
          <w:sz w:val="20"/>
        </w:rPr>
        <w:t xml:space="preserve"> </w:t>
      </w:r>
      <w:r>
        <w:rPr>
          <w:rFonts w:ascii="Calibri Light"/>
          <w:i/>
          <w:sz w:val="20"/>
        </w:rPr>
        <w:t>Client-centered</w:t>
      </w:r>
      <w:r>
        <w:rPr>
          <w:rFonts w:ascii="Calibri Light"/>
          <w:i/>
          <w:spacing w:val="-5"/>
          <w:sz w:val="20"/>
        </w:rPr>
        <w:t xml:space="preserve"> </w:t>
      </w:r>
      <w:r>
        <w:rPr>
          <w:rFonts w:ascii="Calibri Light"/>
          <w:i/>
          <w:sz w:val="20"/>
        </w:rPr>
        <w:t>therapy</w:t>
      </w:r>
      <w:r>
        <w:rPr>
          <w:rFonts w:ascii="Calibri Light"/>
          <w:sz w:val="20"/>
        </w:rPr>
        <w:t>.</w:t>
      </w:r>
      <w:r>
        <w:rPr>
          <w:rFonts w:ascii="Calibri Light"/>
          <w:spacing w:val="-7"/>
          <w:sz w:val="20"/>
        </w:rPr>
        <w:t xml:space="preserve"> </w:t>
      </w:r>
      <w:r>
        <w:rPr>
          <w:rFonts w:ascii="Calibri Light"/>
          <w:sz w:val="20"/>
        </w:rPr>
        <w:t>New</w:t>
      </w:r>
      <w:r>
        <w:rPr>
          <w:rFonts w:ascii="Calibri Light"/>
          <w:spacing w:val="-7"/>
          <w:sz w:val="20"/>
        </w:rPr>
        <w:t xml:space="preserve"> </w:t>
      </w:r>
      <w:r>
        <w:rPr>
          <w:rFonts w:ascii="Calibri Light"/>
          <w:sz w:val="20"/>
        </w:rPr>
        <w:t>York,</w:t>
      </w:r>
      <w:r>
        <w:rPr>
          <w:rFonts w:ascii="Calibri Light"/>
          <w:spacing w:val="-7"/>
          <w:sz w:val="20"/>
        </w:rPr>
        <w:t xml:space="preserve"> </w:t>
      </w:r>
      <w:r>
        <w:rPr>
          <w:rFonts w:ascii="Calibri Light"/>
          <w:sz w:val="20"/>
        </w:rPr>
        <w:t>NY:</w:t>
      </w:r>
      <w:r>
        <w:rPr>
          <w:rFonts w:ascii="Calibri Light"/>
          <w:spacing w:val="-4"/>
          <w:sz w:val="20"/>
        </w:rPr>
        <w:t xml:space="preserve"> </w:t>
      </w:r>
      <w:r>
        <w:rPr>
          <w:rFonts w:ascii="Calibri Light"/>
          <w:sz w:val="20"/>
        </w:rPr>
        <w:t>Houghton</w:t>
      </w:r>
      <w:r>
        <w:rPr>
          <w:rFonts w:ascii="Calibri Light"/>
          <w:spacing w:val="-7"/>
          <w:sz w:val="20"/>
        </w:rPr>
        <w:t xml:space="preserve"> </w:t>
      </w:r>
      <w:r>
        <w:rPr>
          <w:rFonts w:ascii="Calibri Light"/>
          <w:spacing w:val="-2"/>
          <w:sz w:val="20"/>
        </w:rPr>
        <w:t>Mifflin.</w:t>
      </w:r>
    </w:p>
    <w:p w14:paraId="1A11614B" w14:textId="77777777" w:rsidR="00DB6E1F" w:rsidRDefault="00F666A6">
      <w:pPr>
        <w:spacing w:before="20" w:line="259" w:lineRule="auto"/>
        <w:ind w:left="1620" w:right="1491" w:hanging="181"/>
        <w:rPr>
          <w:rFonts w:ascii="Calibri Light" w:hAnsi="Calibri Light"/>
          <w:sz w:val="20"/>
        </w:rPr>
      </w:pPr>
      <w:r>
        <w:rPr>
          <w:rFonts w:ascii="Calibri Light" w:hAnsi="Calibri Light"/>
          <w:sz w:val="20"/>
        </w:rPr>
        <w:t>Rollnick,</w:t>
      </w:r>
      <w:r>
        <w:rPr>
          <w:rFonts w:ascii="Calibri Light" w:hAnsi="Calibri Light"/>
          <w:spacing w:val="-3"/>
          <w:sz w:val="20"/>
        </w:rPr>
        <w:t xml:space="preserve"> </w:t>
      </w:r>
      <w:r>
        <w:rPr>
          <w:rFonts w:ascii="Calibri Light" w:hAnsi="Calibri Light"/>
          <w:sz w:val="20"/>
        </w:rPr>
        <w:t>S.,</w:t>
      </w:r>
      <w:r>
        <w:rPr>
          <w:rFonts w:ascii="Calibri Light" w:hAnsi="Calibri Light"/>
          <w:spacing w:val="-1"/>
          <w:sz w:val="20"/>
        </w:rPr>
        <w:t xml:space="preserve"> </w:t>
      </w:r>
      <w:r>
        <w:rPr>
          <w:rFonts w:ascii="Calibri Light" w:hAnsi="Calibri Light"/>
          <w:sz w:val="20"/>
        </w:rPr>
        <w:t>Heather,</w:t>
      </w:r>
      <w:r>
        <w:rPr>
          <w:rFonts w:ascii="Calibri Light" w:hAnsi="Calibri Light"/>
          <w:spacing w:val="-3"/>
          <w:sz w:val="20"/>
        </w:rPr>
        <w:t xml:space="preserve"> </w:t>
      </w:r>
      <w:r>
        <w:rPr>
          <w:rFonts w:ascii="Calibri Light" w:hAnsi="Calibri Light"/>
          <w:sz w:val="20"/>
        </w:rPr>
        <w:t>N.,</w:t>
      </w:r>
      <w:r>
        <w:rPr>
          <w:rFonts w:ascii="Calibri Light" w:hAnsi="Calibri Light"/>
          <w:spacing w:val="-3"/>
          <w:sz w:val="20"/>
        </w:rPr>
        <w:t xml:space="preserve"> </w:t>
      </w:r>
      <w:r>
        <w:rPr>
          <w:rFonts w:ascii="Calibri Light" w:hAnsi="Calibri Light"/>
          <w:sz w:val="20"/>
        </w:rPr>
        <w:t>Gold,</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Hall,</w:t>
      </w:r>
      <w:r>
        <w:rPr>
          <w:rFonts w:ascii="Calibri Light" w:hAnsi="Calibri Light"/>
          <w:spacing w:val="-3"/>
          <w:sz w:val="20"/>
        </w:rPr>
        <w:t xml:space="preserve"> </w:t>
      </w:r>
      <w:r>
        <w:rPr>
          <w:rFonts w:ascii="Calibri Light" w:hAnsi="Calibri Light"/>
          <w:sz w:val="20"/>
        </w:rPr>
        <w:t>W.</w:t>
      </w:r>
      <w:r>
        <w:rPr>
          <w:rFonts w:ascii="Calibri Light" w:hAnsi="Calibri Light"/>
          <w:spacing w:val="-3"/>
          <w:sz w:val="20"/>
        </w:rPr>
        <w:t xml:space="preserve"> </w:t>
      </w:r>
      <w:r>
        <w:rPr>
          <w:rFonts w:ascii="Calibri Light" w:hAnsi="Calibri Light"/>
          <w:sz w:val="20"/>
        </w:rPr>
        <w:t>(1992).</w:t>
      </w:r>
      <w:r>
        <w:rPr>
          <w:rFonts w:ascii="Calibri Light" w:hAnsi="Calibri Light"/>
          <w:spacing w:val="-1"/>
          <w:sz w:val="20"/>
        </w:rPr>
        <w:t xml:space="preserve"> </w:t>
      </w:r>
      <w:r>
        <w:rPr>
          <w:rFonts w:ascii="Calibri Light" w:hAnsi="Calibri Light"/>
          <w:sz w:val="20"/>
        </w:rPr>
        <w:t>Development</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short</w:t>
      </w:r>
      <w:r>
        <w:rPr>
          <w:rFonts w:ascii="Calibri Light" w:hAnsi="Calibri Light"/>
          <w:spacing w:val="-3"/>
          <w:sz w:val="20"/>
        </w:rPr>
        <w:t xml:space="preserve"> </w:t>
      </w:r>
      <w:r>
        <w:rPr>
          <w:rFonts w:ascii="Calibri Light" w:hAnsi="Calibri Light"/>
          <w:sz w:val="20"/>
        </w:rPr>
        <w:t>“readiness</w:t>
      </w:r>
      <w:r>
        <w:rPr>
          <w:rFonts w:ascii="Calibri Light" w:hAnsi="Calibri Light"/>
          <w:spacing w:val="-3"/>
          <w:sz w:val="20"/>
        </w:rPr>
        <w:t xml:space="preserve"> </w:t>
      </w:r>
      <w:r>
        <w:rPr>
          <w:rFonts w:ascii="Calibri Light" w:hAnsi="Calibri Light"/>
          <w:sz w:val="20"/>
        </w:rPr>
        <w:t>to</w:t>
      </w:r>
      <w:r>
        <w:rPr>
          <w:rFonts w:ascii="Calibri Light" w:hAnsi="Calibri Light"/>
          <w:spacing w:val="-1"/>
          <w:sz w:val="20"/>
        </w:rPr>
        <w:t xml:space="preserve"> </w:t>
      </w:r>
      <w:r>
        <w:rPr>
          <w:rFonts w:ascii="Calibri Light" w:hAnsi="Calibri Light"/>
          <w:sz w:val="20"/>
        </w:rPr>
        <w:t>change”</w:t>
      </w:r>
      <w:r>
        <w:rPr>
          <w:rFonts w:ascii="Calibri Light" w:hAnsi="Calibri Light"/>
          <w:spacing w:val="-3"/>
          <w:sz w:val="20"/>
        </w:rPr>
        <w:t xml:space="preserve"> </w:t>
      </w:r>
      <w:r>
        <w:rPr>
          <w:rFonts w:ascii="Calibri Light" w:hAnsi="Calibri Light"/>
          <w:sz w:val="20"/>
        </w:rPr>
        <w:t>questionnaire</w:t>
      </w:r>
      <w:r>
        <w:rPr>
          <w:rFonts w:ascii="Calibri Light" w:hAnsi="Calibri Light"/>
          <w:spacing w:val="-3"/>
          <w:sz w:val="20"/>
        </w:rPr>
        <w:t xml:space="preserve"> </w:t>
      </w:r>
      <w:r>
        <w:rPr>
          <w:rFonts w:ascii="Calibri Light" w:hAnsi="Calibri Light"/>
          <w:sz w:val="20"/>
        </w:rPr>
        <w:t xml:space="preserve">for use in brief, opportunistic interventions among excessive drinkers. </w:t>
      </w:r>
      <w:r>
        <w:rPr>
          <w:rFonts w:ascii="Calibri Light" w:hAnsi="Calibri Light"/>
          <w:i/>
          <w:sz w:val="20"/>
        </w:rPr>
        <w:t>British Journal of Addiction, 87</w:t>
      </w:r>
      <w:r>
        <w:rPr>
          <w:rFonts w:ascii="Calibri Light" w:hAnsi="Calibri Light"/>
          <w:sz w:val="20"/>
        </w:rPr>
        <w:t>, 743–754.</w:t>
      </w:r>
    </w:p>
    <w:p w14:paraId="27CE2F5F" w14:textId="77777777" w:rsidR="00DB6E1F" w:rsidRDefault="00F666A6">
      <w:pPr>
        <w:spacing w:line="256" w:lineRule="auto"/>
        <w:ind w:left="1621" w:right="1491" w:hanging="181"/>
        <w:rPr>
          <w:rFonts w:ascii="Calibri Light"/>
          <w:sz w:val="20"/>
        </w:rPr>
      </w:pPr>
      <w:r>
        <w:rPr>
          <w:rFonts w:ascii="Calibri Light"/>
          <w:sz w:val="20"/>
        </w:rPr>
        <w:t>Rollnick,</w:t>
      </w:r>
      <w:r>
        <w:rPr>
          <w:rFonts w:ascii="Calibri Light"/>
          <w:spacing w:val="-3"/>
          <w:sz w:val="20"/>
        </w:rPr>
        <w:t xml:space="preserve"> </w:t>
      </w:r>
      <w:r>
        <w:rPr>
          <w:rFonts w:ascii="Calibri Light"/>
          <w:sz w:val="20"/>
        </w:rPr>
        <w:t>S.,</w:t>
      </w:r>
      <w:r>
        <w:rPr>
          <w:rFonts w:ascii="Calibri Light"/>
          <w:spacing w:val="-4"/>
          <w:sz w:val="20"/>
        </w:rPr>
        <w:t xml:space="preserve"> </w:t>
      </w:r>
      <w:r>
        <w:rPr>
          <w:rFonts w:ascii="Calibri Light"/>
          <w:sz w:val="20"/>
        </w:rPr>
        <w:t>Miller,</w:t>
      </w:r>
      <w:r>
        <w:rPr>
          <w:rFonts w:ascii="Calibri Light"/>
          <w:spacing w:val="-3"/>
          <w:sz w:val="20"/>
        </w:rPr>
        <w:t xml:space="preserve"> </w:t>
      </w:r>
      <w:r>
        <w:rPr>
          <w:rFonts w:ascii="Calibri Light"/>
          <w:sz w:val="20"/>
        </w:rPr>
        <w:t>W.</w:t>
      </w:r>
      <w:r>
        <w:rPr>
          <w:rFonts w:ascii="Calibri Light"/>
          <w:spacing w:val="-4"/>
          <w:sz w:val="20"/>
        </w:rPr>
        <w:t xml:space="preserve"> </w:t>
      </w:r>
      <w:r>
        <w:rPr>
          <w:rFonts w:ascii="Calibri Light"/>
          <w:sz w:val="20"/>
        </w:rPr>
        <w:t>R.,</w:t>
      </w:r>
      <w:r>
        <w:rPr>
          <w:rFonts w:ascii="Calibri Light"/>
          <w:spacing w:val="-3"/>
          <w:sz w:val="20"/>
        </w:rPr>
        <w:t xml:space="preserve"> </w:t>
      </w:r>
      <w:r>
        <w:rPr>
          <w:rFonts w:ascii="Calibri Light"/>
          <w:sz w:val="20"/>
        </w:rPr>
        <w:t>&amp;</w:t>
      </w:r>
      <w:r>
        <w:rPr>
          <w:rFonts w:ascii="Calibri Light"/>
          <w:spacing w:val="-2"/>
          <w:sz w:val="20"/>
        </w:rPr>
        <w:t xml:space="preserve"> </w:t>
      </w:r>
      <w:r>
        <w:rPr>
          <w:rFonts w:ascii="Calibri Light"/>
          <w:sz w:val="20"/>
        </w:rPr>
        <w:t>Butler,</w:t>
      </w:r>
      <w:r>
        <w:rPr>
          <w:rFonts w:ascii="Calibri Light"/>
          <w:spacing w:val="-1"/>
          <w:sz w:val="20"/>
        </w:rPr>
        <w:t xml:space="preserve"> </w:t>
      </w:r>
      <w:r>
        <w:rPr>
          <w:rFonts w:ascii="Calibri Light"/>
          <w:sz w:val="20"/>
        </w:rPr>
        <w:t>C.</w:t>
      </w:r>
      <w:r>
        <w:rPr>
          <w:rFonts w:ascii="Calibri Light"/>
          <w:spacing w:val="-3"/>
          <w:sz w:val="20"/>
        </w:rPr>
        <w:t xml:space="preserve"> </w:t>
      </w:r>
      <w:r>
        <w:rPr>
          <w:rFonts w:ascii="Calibri Light"/>
          <w:sz w:val="20"/>
        </w:rPr>
        <w:t>C.</w:t>
      </w:r>
      <w:r>
        <w:rPr>
          <w:rFonts w:ascii="Calibri Light"/>
          <w:spacing w:val="-4"/>
          <w:sz w:val="20"/>
        </w:rPr>
        <w:t xml:space="preserve"> </w:t>
      </w:r>
      <w:r>
        <w:rPr>
          <w:rFonts w:ascii="Calibri Light"/>
          <w:sz w:val="20"/>
        </w:rPr>
        <w:t>(2008).</w:t>
      </w:r>
      <w:r>
        <w:rPr>
          <w:rFonts w:ascii="Calibri Light"/>
          <w:spacing w:val="-3"/>
          <w:sz w:val="20"/>
        </w:rPr>
        <w:t xml:space="preserve"> </w:t>
      </w:r>
      <w:r>
        <w:rPr>
          <w:rFonts w:ascii="Calibri Light"/>
          <w:i/>
          <w:sz w:val="20"/>
        </w:rPr>
        <w:t>Motivational</w:t>
      </w:r>
      <w:r>
        <w:rPr>
          <w:rFonts w:ascii="Calibri Light"/>
          <w:i/>
          <w:spacing w:val="-1"/>
          <w:sz w:val="20"/>
        </w:rPr>
        <w:t xml:space="preserve"> </w:t>
      </w:r>
      <w:r>
        <w:rPr>
          <w:rFonts w:ascii="Calibri Light"/>
          <w:i/>
          <w:sz w:val="20"/>
        </w:rPr>
        <w:t>interviewing</w:t>
      </w:r>
      <w:r>
        <w:rPr>
          <w:rFonts w:ascii="Calibri Light"/>
          <w:i/>
          <w:spacing w:val="-3"/>
          <w:sz w:val="20"/>
        </w:rPr>
        <w:t xml:space="preserve"> </w:t>
      </w:r>
      <w:r>
        <w:rPr>
          <w:rFonts w:ascii="Calibri Light"/>
          <w:i/>
          <w:sz w:val="20"/>
        </w:rPr>
        <w:t>in</w:t>
      </w:r>
      <w:r>
        <w:rPr>
          <w:rFonts w:ascii="Calibri Light"/>
          <w:i/>
          <w:spacing w:val="-3"/>
          <w:sz w:val="20"/>
        </w:rPr>
        <w:t xml:space="preserve"> </w:t>
      </w:r>
      <w:r>
        <w:rPr>
          <w:rFonts w:ascii="Calibri Light"/>
          <w:i/>
          <w:sz w:val="20"/>
        </w:rPr>
        <w:t>health</w:t>
      </w:r>
      <w:r>
        <w:rPr>
          <w:rFonts w:ascii="Calibri Light"/>
          <w:i/>
          <w:spacing w:val="-3"/>
          <w:sz w:val="20"/>
        </w:rPr>
        <w:t xml:space="preserve"> </w:t>
      </w:r>
      <w:r>
        <w:rPr>
          <w:rFonts w:ascii="Calibri Light"/>
          <w:i/>
          <w:sz w:val="20"/>
        </w:rPr>
        <w:t>care:</w:t>
      </w:r>
      <w:r>
        <w:rPr>
          <w:rFonts w:ascii="Calibri Light"/>
          <w:i/>
          <w:spacing w:val="-3"/>
          <w:sz w:val="20"/>
        </w:rPr>
        <w:t xml:space="preserve"> </w:t>
      </w:r>
      <w:r>
        <w:rPr>
          <w:rFonts w:ascii="Calibri Light"/>
          <w:i/>
          <w:sz w:val="20"/>
        </w:rPr>
        <w:t>Helping</w:t>
      </w:r>
      <w:r>
        <w:rPr>
          <w:rFonts w:ascii="Calibri Light"/>
          <w:i/>
          <w:spacing w:val="-3"/>
          <w:sz w:val="20"/>
        </w:rPr>
        <w:t xml:space="preserve"> </w:t>
      </w:r>
      <w:r>
        <w:rPr>
          <w:rFonts w:ascii="Calibri Light"/>
          <w:i/>
          <w:sz w:val="20"/>
        </w:rPr>
        <w:t>patients</w:t>
      </w:r>
      <w:r>
        <w:rPr>
          <w:rFonts w:ascii="Calibri Light"/>
          <w:i/>
          <w:spacing w:val="-3"/>
          <w:sz w:val="20"/>
        </w:rPr>
        <w:t xml:space="preserve"> </w:t>
      </w:r>
      <w:r>
        <w:rPr>
          <w:rFonts w:ascii="Calibri Light"/>
          <w:i/>
          <w:sz w:val="20"/>
        </w:rPr>
        <w:t>change behavior</w:t>
      </w:r>
      <w:r>
        <w:rPr>
          <w:rFonts w:ascii="Calibri Light"/>
          <w:sz w:val="20"/>
        </w:rPr>
        <w:t>. New York, NY</w:t>
      </w:r>
      <w:r>
        <w:rPr>
          <w:rFonts w:ascii="Calibri Light"/>
          <w:sz w:val="20"/>
        </w:rPr>
        <w:t>: Guilford.</w:t>
      </w:r>
    </w:p>
    <w:p w14:paraId="2BFC2109" w14:textId="77777777" w:rsidR="00DB6E1F" w:rsidRDefault="00F666A6">
      <w:pPr>
        <w:spacing w:before="3" w:line="259" w:lineRule="auto"/>
        <w:ind w:left="1620" w:right="1491" w:hanging="180"/>
        <w:rPr>
          <w:rFonts w:ascii="Calibri Light" w:hAnsi="Calibri Light"/>
          <w:sz w:val="20"/>
        </w:rPr>
      </w:pPr>
      <w:r>
        <w:rPr>
          <w:rFonts w:ascii="Calibri Light" w:hAnsi="Calibri Light"/>
          <w:sz w:val="20"/>
        </w:rPr>
        <w:t>Romano,</w:t>
      </w:r>
      <w:r>
        <w:rPr>
          <w:rFonts w:ascii="Calibri Light" w:hAnsi="Calibri Light"/>
          <w:spacing w:val="-4"/>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Peters,</w:t>
      </w:r>
      <w:r>
        <w:rPr>
          <w:rFonts w:ascii="Calibri Light" w:hAnsi="Calibri Light"/>
          <w:spacing w:val="-4"/>
          <w:sz w:val="20"/>
        </w:rPr>
        <w:t xml:space="preserve"> </w:t>
      </w:r>
      <w:r>
        <w:rPr>
          <w:rFonts w:ascii="Calibri Light" w:hAnsi="Calibri Light"/>
          <w:sz w:val="20"/>
        </w:rPr>
        <w:t>L.</w:t>
      </w:r>
      <w:r>
        <w:rPr>
          <w:rFonts w:ascii="Calibri Light" w:hAnsi="Calibri Light"/>
          <w:spacing w:val="-4"/>
          <w:sz w:val="20"/>
        </w:rPr>
        <w:t xml:space="preserve"> </w:t>
      </w:r>
      <w:r>
        <w:rPr>
          <w:rFonts w:ascii="Calibri Light" w:hAnsi="Calibri Light"/>
          <w:sz w:val="20"/>
        </w:rPr>
        <w:t>(2016).</w:t>
      </w:r>
      <w:r>
        <w:rPr>
          <w:rFonts w:ascii="Calibri Light" w:hAnsi="Calibri Light"/>
          <w:spacing w:val="-4"/>
          <w:sz w:val="20"/>
        </w:rPr>
        <w:t xml:space="preserve"> </w:t>
      </w:r>
      <w:r>
        <w:rPr>
          <w:rFonts w:ascii="Calibri Light" w:hAnsi="Calibri Light"/>
          <w:sz w:val="20"/>
        </w:rPr>
        <w:t>Understanding</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process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4"/>
          <w:sz w:val="20"/>
        </w:rPr>
        <w:t xml:space="preserve"> </w:t>
      </w:r>
      <w:r>
        <w:rPr>
          <w:rFonts w:ascii="Calibri Light" w:hAnsi="Calibri Light"/>
          <w:sz w:val="20"/>
        </w:rPr>
        <w:t>interviewing: A</w:t>
      </w:r>
      <w:r>
        <w:rPr>
          <w:rFonts w:ascii="Calibri Light" w:hAnsi="Calibri Light"/>
          <w:spacing w:val="-3"/>
          <w:sz w:val="20"/>
        </w:rPr>
        <w:t xml:space="preserve"> </w:t>
      </w:r>
      <w:r>
        <w:rPr>
          <w:rFonts w:ascii="Calibri Light" w:hAnsi="Calibri Light"/>
          <w:sz w:val="20"/>
        </w:rPr>
        <w:t>review</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 xml:space="preserve">relational and technical hypotheses. </w:t>
      </w:r>
      <w:r>
        <w:rPr>
          <w:rFonts w:ascii="Calibri Light" w:hAnsi="Calibri Light"/>
          <w:i/>
          <w:sz w:val="20"/>
        </w:rPr>
        <w:t>Psychotherapy Research, 26</w:t>
      </w:r>
      <w:r>
        <w:rPr>
          <w:rFonts w:ascii="Calibri Light" w:hAnsi="Calibri Light"/>
          <w:sz w:val="20"/>
        </w:rPr>
        <w:t>(2), 220–240. doi:10.1080/10503307.2014.954154</w:t>
      </w:r>
    </w:p>
    <w:p w14:paraId="028C21BA" w14:textId="77777777" w:rsidR="00DB6E1F" w:rsidRDefault="00F666A6">
      <w:pPr>
        <w:spacing w:before="1" w:line="259" w:lineRule="auto"/>
        <w:ind w:left="1620" w:right="1491" w:hanging="181"/>
        <w:rPr>
          <w:rFonts w:ascii="Calibri Light"/>
          <w:sz w:val="20"/>
        </w:rPr>
      </w:pPr>
      <w:r>
        <w:rPr>
          <w:rFonts w:ascii="Calibri Light"/>
          <w:sz w:val="20"/>
        </w:rPr>
        <w:t>Rosengren,</w:t>
      </w:r>
      <w:r>
        <w:rPr>
          <w:rFonts w:ascii="Calibri Light"/>
          <w:spacing w:val="-1"/>
          <w:sz w:val="20"/>
        </w:rPr>
        <w:t xml:space="preserve"> </w:t>
      </w:r>
      <w:r>
        <w:rPr>
          <w:rFonts w:ascii="Calibri Light"/>
          <w:sz w:val="20"/>
        </w:rPr>
        <w:t>D.</w:t>
      </w:r>
      <w:r>
        <w:rPr>
          <w:rFonts w:ascii="Calibri Light"/>
          <w:spacing w:val="-4"/>
          <w:sz w:val="20"/>
        </w:rPr>
        <w:t xml:space="preserve"> </w:t>
      </w:r>
      <w:r>
        <w:rPr>
          <w:rFonts w:ascii="Calibri Light"/>
          <w:sz w:val="20"/>
        </w:rPr>
        <w:t>B.</w:t>
      </w:r>
      <w:r>
        <w:rPr>
          <w:rFonts w:ascii="Calibri Light"/>
          <w:spacing w:val="-4"/>
          <w:sz w:val="20"/>
        </w:rPr>
        <w:t xml:space="preserve"> </w:t>
      </w:r>
      <w:r>
        <w:rPr>
          <w:rFonts w:ascii="Calibri Light"/>
          <w:sz w:val="20"/>
        </w:rPr>
        <w:t>(2018).</w:t>
      </w:r>
      <w:r>
        <w:rPr>
          <w:rFonts w:ascii="Calibri Light"/>
          <w:spacing w:val="-4"/>
          <w:sz w:val="20"/>
        </w:rPr>
        <w:t xml:space="preserve"> </w:t>
      </w:r>
      <w:r>
        <w:rPr>
          <w:rFonts w:ascii="Calibri Light"/>
          <w:i/>
          <w:sz w:val="20"/>
        </w:rPr>
        <w:t>Building</w:t>
      </w:r>
      <w:r>
        <w:rPr>
          <w:rFonts w:ascii="Calibri Light"/>
          <w:i/>
          <w:spacing w:val="-3"/>
          <w:sz w:val="20"/>
        </w:rPr>
        <w:t xml:space="preserve"> </w:t>
      </w:r>
      <w:r>
        <w:rPr>
          <w:rFonts w:ascii="Calibri Light"/>
          <w:i/>
          <w:sz w:val="20"/>
        </w:rPr>
        <w:t>motivational</w:t>
      </w:r>
      <w:r>
        <w:rPr>
          <w:rFonts w:ascii="Calibri Light"/>
          <w:i/>
          <w:spacing w:val="-4"/>
          <w:sz w:val="20"/>
        </w:rPr>
        <w:t xml:space="preserve"> </w:t>
      </w:r>
      <w:r>
        <w:rPr>
          <w:rFonts w:ascii="Calibri Light"/>
          <w:i/>
          <w:sz w:val="20"/>
        </w:rPr>
        <w:t>interviewing</w:t>
      </w:r>
      <w:r>
        <w:rPr>
          <w:rFonts w:ascii="Calibri Light"/>
          <w:i/>
          <w:spacing w:val="-3"/>
          <w:sz w:val="20"/>
        </w:rPr>
        <w:t xml:space="preserve"> </w:t>
      </w:r>
      <w:r>
        <w:rPr>
          <w:rFonts w:ascii="Calibri Light"/>
          <w:i/>
          <w:sz w:val="20"/>
        </w:rPr>
        <w:t>skills:</w:t>
      </w:r>
      <w:r>
        <w:rPr>
          <w:rFonts w:ascii="Calibri Light"/>
          <w:i/>
          <w:spacing w:val="-3"/>
          <w:sz w:val="20"/>
        </w:rPr>
        <w:t xml:space="preserve"> </w:t>
      </w:r>
      <w:r>
        <w:rPr>
          <w:rFonts w:ascii="Calibri Light"/>
          <w:i/>
          <w:sz w:val="20"/>
        </w:rPr>
        <w:t>A</w:t>
      </w:r>
      <w:r>
        <w:rPr>
          <w:rFonts w:ascii="Calibri Light"/>
          <w:i/>
          <w:spacing w:val="-3"/>
          <w:sz w:val="20"/>
        </w:rPr>
        <w:t xml:space="preserve"> </w:t>
      </w:r>
      <w:r>
        <w:rPr>
          <w:rFonts w:ascii="Calibri Light"/>
          <w:i/>
          <w:sz w:val="20"/>
        </w:rPr>
        <w:t>practitioner</w:t>
      </w:r>
      <w:r>
        <w:rPr>
          <w:rFonts w:ascii="Calibri Light"/>
          <w:i/>
          <w:spacing w:val="-1"/>
          <w:sz w:val="20"/>
        </w:rPr>
        <w:t xml:space="preserve"> </w:t>
      </w:r>
      <w:r>
        <w:rPr>
          <w:rFonts w:ascii="Calibri Light"/>
          <w:i/>
          <w:sz w:val="20"/>
        </w:rPr>
        <w:t>workbook</w:t>
      </w:r>
      <w:r>
        <w:rPr>
          <w:rFonts w:ascii="Calibri Light"/>
          <w:i/>
          <w:spacing w:val="-2"/>
          <w:sz w:val="20"/>
        </w:rPr>
        <w:t xml:space="preserve"> </w:t>
      </w:r>
      <w:r>
        <w:rPr>
          <w:rFonts w:ascii="Calibri Light"/>
          <w:sz w:val="20"/>
        </w:rPr>
        <w:t>(2nd</w:t>
      </w:r>
      <w:r>
        <w:rPr>
          <w:rFonts w:ascii="Calibri Light"/>
          <w:spacing w:val="-3"/>
          <w:sz w:val="20"/>
        </w:rPr>
        <w:t xml:space="preserve"> </w:t>
      </w:r>
      <w:r>
        <w:rPr>
          <w:rFonts w:ascii="Calibri Light"/>
          <w:sz w:val="20"/>
        </w:rPr>
        <w:t>ed.).</w:t>
      </w:r>
      <w:r>
        <w:rPr>
          <w:rFonts w:ascii="Calibri Light"/>
          <w:spacing w:val="-4"/>
          <w:sz w:val="20"/>
        </w:rPr>
        <w:t xml:space="preserve"> </w:t>
      </w:r>
      <w:r>
        <w:rPr>
          <w:rFonts w:ascii="Calibri Light"/>
          <w:sz w:val="20"/>
        </w:rPr>
        <w:t>New</w:t>
      </w:r>
      <w:r>
        <w:rPr>
          <w:rFonts w:ascii="Calibri Light"/>
          <w:spacing w:val="-3"/>
          <w:sz w:val="20"/>
        </w:rPr>
        <w:t xml:space="preserve"> </w:t>
      </w:r>
      <w:r>
        <w:rPr>
          <w:rFonts w:ascii="Calibri Light"/>
          <w:sz w:val="20"/>
        </w:rPr>
        <w:t>York,</w:t>
      </w:r>
      <w:r>
        <w:rPr>
          <w:rFonts w:ascii="Calibri Light"/>
          <w:spacing w:val="-4"/>
          <w:sz w:val="20"/>
        </w:rPr>
        <w:t xml:space="preserve"> </w:t>
      </w:r>
      <w:r>
        <w:rPr>
          <w:rFonts w:ascii="Calibri Light"/>
          <w:sz w:val="20"/>
        </w:rPr>
        <w:t>NY: Guilford Press.</w:t>
      </w:r>
    </w:p>
    <w:p w14:paraId="54F68CAC" w14:textId="77777777" w:rsidR="00DB6E1F" w:rsidRDefault="00DB6E1F">
      <w:pPr>
        <w:spacing w:line="259" w:lineRule="auto"/>
        <w:rPr>
          <w:rFonts w:ascii="Calibri Light"/>
          <w:sz w:val="20"/>
        </w:rPr>
        <w:sectPr w:rsidR="00DB6E1F">
          <w:pgSz w:w="12240" w:h="15840"/>
          <w:pgMar w:top="1080" w:right="0" w:bottom="780" w:left="0" w:header="619" w:footer="585" w:gutter="0"/>
          <w:cols w:space="720"/>
        </w:sectPr>
      </w:pPr>
    </w:p>
    <w:p w14:paraId="117F93DB" w14:textId="77777777" w:rsidR="00DB6E1F" w:rsidRDefault="00DB6E1F">
      <w:pPr>
        <w:pStyle w:val="BodyText"/>
        <w:spacing w:before="4"/>
        <w:rPr>
          <w:rFonts w:ascii="Calibri Light"/>
          <w:sz w:val="24"/>
        </w:rPr>
      </w:pPr>
    </w:p>
    <w:p w14:paraId="6657FC38" w14:textId="77777777" w:rsidR="00DB6E1F" w:rsidRDefault="00F666A6">
      <w:pPr>
        <w:spacing w:before="60" w:line="259" w:lineRule="auto"/>
        <w:ind w:left="1619" w:right="1507" w:hanging="180"/>
        <w:rPr>
          <w:rFonts w:ascii="Calibri Light" w:hAnsi="Calibri Light"/>
          <w:sz w:val="20"/>
        </w:rPr>
      </w:pPr>
      <w:r>
        <w:rPr>
          <w:rFonts w:ascii="Calibri Light" w:hAnsi="Calibri Light"/>
          <w:sz w:val="20"/>
        </w:rPr>
        <w:t>Running Bear, U. R., Beals, J., Novins, D. K., &amp; Manson, S. M. (2017). Alcohol detoxification completion, acceptance of</w:t>
      </w:r>
      <w:r>
        <w:rPr>
          <w:rFonts w:ascii="Calibri Light" w:hAnsi="Calibri Light"/>
          <w:spacing w:val="-3"/>
          <w:sz w:val="20"/>
        </w:rPr>
        <w:t xml:space="preserve"> </w:t>
      </w:r>
      <w:r>
        <w:rPr>
          <w:rFonts w:ascii="Calibri Light" w:hAnsi="Calibri Light"/>
          <w:sz w:val="20"/>
        </w:rPr>
        <w:t>referral</w:t>
      </w:r>
      <w:r>
        <w:rPr>
          <w:rFonts w:ascii="Calibri Light" w:hAnsi="Calibri Light"/>
          <w:spacing w:val="-4"/>
          <w:sz w:val="20"/>
        </w:rPr>
        <w:t xml:space="preserve"> </w:t>
      </w:r>
      <w:r>
        <w:rPr>
          <w:rFonts w:ascii="Calibri Light" w:hAnsi="Calibri Light"/>
          <w:sz w:val="20"/>
        </w:rPr>
        <w:t>to</w:t>
      </w:r>
      <w:r>
        <w:rPr>
          <w:rFonts w:ascii="Calibri Light" w:hAnsi="Calibri Light"/>
          <w:spacing w:val="-4"/>
          <w:sz w:val="20"/>
        </w:rPr>
        <w:t xml:space="preserve"> </w:t>
      </w:r>
      <w:r>
        <w:rPr>
          <w:rFonts w:ascii="Calibri Light" w:hAnsi="Calibri Light"/>
          <w:sz w:val="20"/>
        </w:rPr>
        <w:t>substance</w:t>
      </w:r>
      <w:r>
        <w:rPr>
          <w:rFonts w:ascii="Calibri Light" w:hAnsi="Calibri Light"/>
          <w:spacing w:val="-3"/>
          <w:sz w:val="20"/>
        </w:rPr>
        <w:t xml:space="preserve"> </w:t>
      </w:r>
      <w:r>
        <w:rPr>
          <w:rFonts w:ascii="Calibri Light" w:hAnsi="Calibri Light"/>
          <w:sz w:val="20"/>
        </w:rPr>
        <w:t>abuse</w:t>
      </w:r>
      <w:r>
        <w:rPr>
          <w:rFonts w:ascii="Calibri Light" w:hAnsi="Calibri Light"/>
          <w:spacing w:val="-1"/>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entry</w:t>
      </w:r>
      <w:r>
        <w:rPr>
          <w:rFonts w:ascii="Calibri Light" w:hAnsi="Calibri Light"/>
          <w:spacing w:val="-2"/>
          <w:sz w:val="20"/>
        </w:rPr>
        <w:t xml:space="preserve"> </w:t>
      </w:r>
      <w:r>
        <w:rPr>
          <w:rFonts w:ascii="Calibri Light" w:hAnsi="Calibri Light"/>
          <w:sz w:val="20"/>
        </w:rPr>
        <w:t>into</w:t>
      </w:r>
      <w:r>
        <w:rPr>
          <w:rFonts w:ascii="Calibri Light" w:hAnsi="Calibri Light"/>
          <w:spacing w:val="-4"/>
          <w:sz w:val="20"/>
        </w:rPr>
        <w:t xml:space="preserve"> </w:t>
      </w:r>
      <w:r>
        <w:rPr>
          <w:rFonts w:ascii="Calibri Light" w:hAnsi="Calibri Light"/>
          <w:sz w:val="20"/>
        </w:rPr>
        <w:t>substance</w:t>
      </w:r>
      <w:r>
        <w:rPr>
          <w:rFonts w:ascii="Calibri Light" w:hAnsi="Calibri Light"/>
          <w:spacing w:val="-3"/>
          <w:sz w:val="20"/>
        </w:rPr>
        <w:t xml:space="preserve"> </w:t>
      </w:r>
      <w:r>
        <w:rPr>
          <w:rFonts w:ascii="Calibri Light" w:hAnsi="Calibri Light"/>
          <w:sz w:val="20"/>
        </w:rPr>
        <w:t>abuse</w:t>
      </w:r>
      <w:r>
        <w:rPr>
          <w:rFonts w:ascii="Calibri Light" w:hAnsi="Calibri Light"/>
          <w:spacing w:val="-3"/>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among</w:t>
      </w:r>
      <w:r>
        <w:rPr>
          <w:rFonts w:ascii="Calibri Light" w:hAnsi="Calibri Light"/>
          <w:spacing w:val="-3"/>
          <w:sz w:val="20"/>
        </w:rPr>
        <w:t xml:space="preserve"> </w:t>
      </w:r>
      <w:r>
        <w:rPr>
          <w:rFonts w:ascii="Calibri Light" w:hAnsi="Calibri Light"/>
          <w:sz w:val="20"/>
        </w:rPr>
        <w:t>Alaska</w:t>
      </w:r>
      <w:r>
        <w:rPr>
          <w:rFonts w:ascii="Calibri Light" w:hAnsi="Calibri Light"/>
          <w:spacing w:val="-3"/>
          <w:sz w:val="20"/>
        </w:rPr>
        <w:t xml:space="preserve"> </w:t>
      </w:r>
      <w:r>
        <w:rPr>
          <w:rFonts w:ascii="Calibri Light" w:hAnsi="Calibri Light"/>
          <w:sz w:val="20"/>
        </w:rPr>
        <w:t>Native</w:t>
      </w:r>
      <w:r>
        <w:rPr>
          <w:rFonts w:ascii="Calibri Light" w:hAnsi="Calibri Light"/>
          <w:spacing w:val="-3"/>
          <w:sz w:val="20"/>
        </w:rPr>
        <w:t xml:space="preserve"> </w:t>
      </w:r>
      <w:r>
        <w:rPr>
          <w:rFonts w:ascii="Calibri Light" w:hAnsi="Calibri Light"/>
          <w:sz w:val="20"/>
        </w:rPr>
        <w:t xml:space="preserve">people. </w:t>
      </w:r>
      <w:r>
        <w:rPr>
          <w:rFonts w:ascii="Calibri Light" w:hAnsi="Calibri Light"/>
          <w:i/>
          <w:sz w:val="20"/>
        </w:rPr>
        <w:t>Addictive Behaviors, 65</w:t>
      </w:r>
      <w:r>
        <w:rPr>
          <w:rFonts w:ascii="Calibri Light" w:hAnsi="Calibri Light"/>
          <w:sz w:val="20"/>
        </w:rPr>
        <w:t>, 25–32. doi:10.1016/j.addbeh.2016.09.009</w:t>
      </w:r>
    </w:p>
    <w:p w14:paraId="5873CB01" w14:textId="77777777" w:rsidR="00DB6E1F" w:rsidRDefault="00F666A6">
      <w:pPr>
        <w:spacing w:line="259" w:lineRule="auto"/>
        <w:ind w:left="1619" w:right="1555" w:hanging="180"/>
        <w:rPr>
          <w:rFonts w:ascii="Calibri Light" w:hAnsi="Calibri Light"/>
          <w:sz w:val="20"/>
        </w:rPr>
      </w:pPr>
      <w:r>
        <w:rPr>
          <w:rFonts w:ascii="Calibri Light" w:hAnsi="Calibri Light"/>
          <w:sz w:val="20"/>
        </w:rPr>
        <w:t>Samson,</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Tanner-Smith,</w:t>
      </w:r>
      <w:r>
        <w:rPr>
          <w:rFonts w:ascii="Calibri Light" w:hAnsi="Calibri Light"/>
          <w:spacing w:val="-2"/>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(2015).</w:t>
      </w:r>
      <w:r>
        <w:rPr>
          <w:rFonts w:ascii="Calibri Light" w:hAnsi="Calibri Light"/>
          <w:spacing w:val="-4"/>
          <w:sz w:val="20"/>
        </w:rPr>
        <w:t xml:space="preserve"> </w:t>
      </w:r>
      <w:r>
        <w:rPr>
          <w:rFonts w:ascii="Calibri Light" w:hAnsi="Calibri Light"/>
          <w:sz w:val="20"/>
        </w:rPr>
        <w:t>Single-session</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interventions</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heavy</w:t>
      </w:r>
      <w:r>
        <w:rPr>
          <w:rFonts w:ascii="Calibri Light" w:hAnsi="Calibri Light"/>
          <w:spacing w:val="-2"/>
          <w:sz w:val="20"/>
        </w:rPr>
        <w:t xml:space="preserve"> </w:t>
      </w:r>
      <w:r>
        <w:rPr>
          <w:rFonts w:ascii="Calibri Light" w:hAnsi="Calibri Light"/>
          <w:sz w:val="20"/>
        </w:rPr>
        <w:t>drinking</w:t>
      </w:r>
      <w:r>
        <w:rPr>
          <w:rFonts w:ascii="Calibri Light" w:hAnsi="Calibri Light"/>
          <w:spacing w:val="-3"/>
          <w:sz w:val="20"/>
        </w:rPr>
        <w:t xml:space="preserve"> </w:t>
      </w:r>
      <w:r>
        <w:rPr>
          <w:rFonts w:ascii="Calibri Light" w:hAnsi="Calibri Light"/>
          <w:sz w:val="20"/>
        </w:rPr>
        <w:t>college</w:t>
      </w:r>
      <w:r>
        <w:rPr>
          <w:rFonts w:ascii="Calibri Light" w:hAnsi="Calibri Light"/>
          <w:spacing w:val="-3"/>
          <w:sz w:val="20"/>
        </w:rPr>
        <w:t xml:space="preserve"> </w:t>
      </w:r>
      <w:r>
        <w:rPr>
          <w:rFonts w:ascii="Calibri Light" w:hAnsi="Calibri Light"/>
          <w:sz w:val="20"/>
        </w:rPr>
        <w:t xml:space="preserve">students: A systematic review and meta-analysis. </w:t>
      </w:r>
      <w:r>
        <w:rPr>
          <w:rFonts w:ascii="Calibri Light" w:hAnsi="Calibri Light"/>
          <w:i/>
          <w:sz w:val="20"/>
        </w:rPr>
        <w:t>Journal of Studies on Alcohol and</w:t>
      </w:r>
      <w:r>
        <w:rPr>
          <w:rFonts w:ascii="Calibri Light" w:hAnsi="Calibri Light"/>
          <w:i/>
          <w:sz w:val="20"/>
        </w:rPr>
        <w:t xml:space="preserve"> Drugs, 76</w:t>
      </w:r>
      <w:r>
        <w:rPr>
          <w:rFonts w:ascii="Calibri Light" w:hAnsi="Calibri Light"/>
          <w:sz w:val="20"/>
        </w:rPr>
        <w:t>(4), 530–543.</w:t>
      </w:r>
    </w:p>
    <w:p w14:paraId="6D3FDD52" w14:textId="77777777" w:rsidR="00DB6E1F" w:rsidRDefault="00F666A6">
      <w:pPr>
        <w:spacing w:line="259" w:lineRule="auto"/>
        <w:ind w:left="1619" w:right="1444" w:hanging="181"/>
        <w:rPr>
          <w:rFonts w:ascii="Calibri Light" w:hAnsi="Calibri Light"/>
          <w:sz w:val="20"/>
        </w:rPr>
      </w:pPr>
      <w:r>
        <w:rPr>
          <w:rFonts w:ascii="Calibri Light" w:hAnsi="Calibri Light"/>
          <w:sz w:val="20"/>
        </w:rPr>
        <w:t>Sarpavaara, H. (2015). Significant others in substance abusers change talk during motivational interviewing sessions in</w:t>
      </w:r>
      <w:r>
        <w:rPr>
          <w:rFonts w:ascii="Calibri Light" w:hAnsi="Calibri Light"/>
          <w:spacing w:val="-3"/>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Finnish</w:t>
      </w:r>
      <w:r>
        <w:rPr>
          <w:rFonts w:ascii="Calibri Light" w:hAnsi="Calibri Light"/>
          <w:spacing w:val="-2"/>
          <w:sz w:val="20"/>
        </w:rPr>
        <w:t xml:space="preserve"> </w:t>
      </w:r>
      <w:r>
        <w:rPr>
          <w:rFonts w:ascii="Calibri Light" w:hAnsi="Calibri Light"/>
          <w:sz w:val="20"/>
        </w:rPr>
        <w:t>Probation</w:t>
      </w:r>
      <w:r>
        <w:rPr>
          <w:rFonts w:ascii="Calibri Light" w:hAnsi="Calibri Light"/>
          <w:spacing w:val="-3"/>
          <w:sz w:val="20"/>
        </w:rPr>
        <w:t xml:space="preserve"> </w:t>
      </w:r>
      <w:r>
        <w:rPr>
          <w:rFonts w:ascii="Calibri Light" w:hAnsi="Calibri Light"/>
          <w:sz w:val="20"/>
        </w:rPr>
        <w:t>Service.</w:t>
      </w:r>
      <w:r>
        <w:rPr>
          <w:rFonts w:ascii="Calibri Light" w:hAnsi="Calibri Light"/>
          <w:spacing w:val="-4"/>
          <w:sz w:val="20"/>
        </w:rPr>
        <w:t xml:space="preserve"> </w:t>
      </w:r>
      <w:r>
        <w:rPr>
          <w:rFonts w:ascii="Calibri Light" w:hAnsi="Calibri Light"/>
          <w:i/>
          <w:sz w:val="20"/>
        </w:rPr>
        <w:t>Nordic</w:t>
      </w:r>
      <w:r>
        <w:rPr>
          <w:rFonts w:ascii="Calibri Light" w:hAnsi="Calibri Light"/>
          <w:i/>
          <w:spacing w:val="-3"/>
          <w:sz w:val="20"/>
        </w:rPr>
        <w:t xml:space="preserve"> </w:t>
      </w:r>
      <w:r>
        <w:rPr>
          <w:rFonts w:ascii="Calibri Light" w:hAnsi="Calibri Light"/>
          <w:i/>
          <w:sz w:val="20"/>
        </w:rPr>
        <w:t>Studies</w:t>
      </w:r>
      <w:r>
        <w:rPr>
          <w:rFonts w:ascii="Calibri Light" w:hAnsi="Calibri Light"/>
          <w:i/>
          <w:spacing w:val="-3"/>
          <w:sz w:val="20"/>
        </w:rPr>
        <w:t xml:space="preserve"> </w:t>
      </w:r>
      <w:r>
        <w:rPr>
          <w:rFonts w:ascii="Calibri Light" w:hAnsi="Calibri Light"/>
          <w:i/>
          <w:sz w:val="20"/>
        </w:rPr>
        <w:t>on</w:t>
      </w:r>
      <w:r>
        <w:rPr>
          <w:rFonts w:ascii="Calibri Light" w:hAnsi="Calibri Light"/>
          <w:i/>
          <w:spacing w:val="-3"/>
          <w:sz w:val="20"/>
        </w:rPr>
        <w:t xml:space="preserve"> </w:t>
      </w:r>
      <w:r>
        <w:rPr>
          <w:rFonts w:ascii="Calibri Light" w:hAnsi="Calibri Light"/>
          <w:i/>
          <w:sz w:val="20"/>
        </w:rPr>
        <w:t>Alcohol</w:t>
      </w:r>
      <w:r>
        <w:rPr>
          <w:rFonts w:ascii="Calibri Light" w:hAnsi="Calibri Light"/>
          <w:i/>
          <w:spacing w:val="-4"/>
          <w:sz w:val="20"/>
        </w:rPr>
        <w:t xml:space="preserve"> </w:t>
      </w:r>
      <w:r>
        <w:rPr>
          <w:rFonts w:ascii="Calibri Light" w:hAnsi="Calibri Light"/>
          <w:i/>
          <w:sz w:val="20"/>
        </w:rPr>
        <w:t>and</w:t>
      </w:r>
      <w:r>
        <w:rPr>
          <w:rFonts w:ascii="Calibri Light" w:hAnsi="Calibri Light"/>
          <w:i/>
          <w:spacing w:val="-3"/>
          <w:sz w:val="20"/>
        </w:rPr>
        <w:t xml:space="preserve"> </w:t>
      </w:r>
      <w:r>
        <w:rPr>
          <w:rFonts w:ascii="Calibri Light" w:hAnsi="Calibri Light"/>
          <w:i/>
          <w:sz w:val="20"/>
        </w:rPr>
        <w:t>Drugs,</w:t>
      </w:r>
      <w:r>
        <w:rPr>
          <w:rFonts w:ascii="Calibri Light" w:hAnsi="Calibri Light"/>
          <w:i/>
          <w:spacing w:val="-4"/>
          <w:sz w:val="20"/>
        </w:rPr>
        <w:t xml:space="preserve"> </w:t>
      </w:r>
      <w:r>
        <w:rPr>
          <w:rFonts w:ascii="Calibri Light" w:hAnsi="Calibri Light"/>
          <w:i/>
          <w:sz w:val="20"/>
        </w:rPr>
        <w:t>32</w:t>
      </w:r>
      <w:r>
        <w:rPr>
          <w:rFonts w:ascii="Calibri Light" w:hAnsi="Calibri Light"/>
          <w:sz w:val="20"/>
        </w:rPr>
        <w:t>(1),</w:t>
      </w:r>
      <w:r>
        <w:rPr>
          <w:rFonts w:ascii="Calibri Light" w:hAnsi="Calibri Light"/>
          <w:spacing w:val="-4"/>
          <w:sz w:val="20"/>
        </w:rPr>
        <w:t xml:space="preserve"> </w:t>
      </w:r>
      <w:r>
        <w:rPr>
          <w:rFonts w:ascii="Calibri Light" w:hAnsi="Calibri Light"/>
          <w:sz w:val="20"/>
        </w:rPr>
        <w:t>91–103.</w:t>
      </w:r>
      <w:r>
        <w:rPr>
          <w:rFonts w:ascii="Calibri Light" w:hAnsi="Calibri Light"/>
          <w:spacing w:val="-4"/>
          <w:sz w:val="20"/>
        </w:rPr>
        <w:t xml:space="preserve"> </w:t>
      </w:r>
      <w:r>
        <w:rPr>
          <w:rFonts w:ascii="Calibri Light" w:hAnsi="Calibri Light"/>
          <w:sz w:val="20"/>
        </w:rPr>
        <w:t>doi:10.1515/nsad-2015-0010</w:t>
      </w:r>
    </w:p>
    <w:p w14:paraId="461A8B93" w14:textId="77777777" w:rsidR="00DB6E1F" w:rsidRDefault="00F666A6">
      <w:pPr>
        <w:spacing w:line="259" w:lineRule="auto"/>
        <w:ind w:left="1619" w:right="1491" w:hanging="180"/>
        <w:rPr>
          <w:rFonts w:ascii="Calibri Light" w:hAnsi="Calibri Light"/>
          <w:sz w:val="20"/>
        </w:rPr>
      </w:pPr>
      <w:r>
        <w:rPr>
          <w:rFonts w:ascii="Calibri Light" w:hAnsi="Calibri Light"/>
          <w:sz w:val="20"/>
        </w:rPr>
        <w:t>Satre, D. D., Delucchi, K., Lichtmacher, J., Sterling, S. A., &amp; Weisner, C. (2013). Motivational interviewing to reduce hazardous</w:t>
      </w:r>
      <w:r>
        <w:rPr>
          <w:rFonts w:ascii="Calibri Light" w:hAnsi="Calibri Light"/>
          <w:spacing w:val="-3"/>
          <w:sz w:val="20"/>
        </w:rPr>
        <w:t xml:space="preserve"> </w:t>
      </w:r>
      <w:r>
        <w:rPr>
          <w:rFonts w:ascii="Calibri Light" w:hAnsi="Calibri Light"/>
          <w:sz w:val="20"/>
        </w:rPr>
        <w:t>drinking</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drug</w:t>
      </w:r>
      <w:r>
        <w:rPr>
          <w:rFonts w:ascii="Calibri Light" w:hAnsi="Calibri Light"/>
          <w:spacing w:val="-3"/>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among</w:t>
      </w:r>
      <w:r>
        <w:rPr>
          <w:rFonts w:ascii="Calibri Light" w:hAnsi="Calibri Light"/>
          <w:spacing w:val="-3"/>
          <w:sz w:val="20"/>
        </w:rPr>
        <w:t xml:space="preserve"> </w:t>
      </w:r>
      <w:r>
        <w:rPr>
          <w:rFonts w:ascii="Calibri Light" w:hAnsi="Calibri Light"/>
          <w:sz w:val="20"/>
        </w:rPr>
        <w:t>depression</w:t>
      </w:r>
      <w:r>
        <w:rPr>
          <w:rFonts w:ascii="Calibri Light" w:hAnsi="Calibri Light"/>
          <w:spacing w:val="-1"/>
          <w:sz w:val="20"/>
        </w:rPr>
        <w:t xml:space="preserve"> </w:t>
      </w:r>
      <w:r>
        <w:rPr>
          <w:rFonts w:ascii="Calibri Light" w:hAnsi="Calibri Light"/>
          <w:sz w:val="20"/>
        </w:rPr>
        <w:t>patients.</w:t>
      </w:r>
      <w:r>
        <w:rPr>
          <w:rFonts w:ascii="Calibri Light" w:hAnsi="Calibri Light"/>
          <w:spacing w:val="-2"/>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Substance</w:t>
      </w:r>
      <w:r>
        <w:rPr>
          <w:rFonts w:ascii="Calibri Light" w:hAnsi="Calibri Light"/>
          <w:i/>
          <w:spacing w:val="-3"/>
          <w:sz w:val="20"/>
        </w:rPr>
        <w:t xml:space="preserve"> </w:t>
      </w:r>
      <w:r>
        <w:rPr>
          <w:rFonts w:ascii="Calibri Light" w:hAnsi="Calibri Light"/>
          <w:i/>
          <w:sz w:val="20"/>
        </w:rPr>
        <w:t>Abuse</w:t>
      </w:r>
      <w:r>
        <w:rPr>
          <w:rFonts w:ascii="Calibri Light" w:hAnsi="Calibri Light"/>
          <w:i/>
          <w:spacing w:val="-1"/>
          <w:sz w:val="20"/>
        </w:rPr>
        <w:t xml:space="preserve"> </w:t>
      </w:r>
      <w:r>
        <w:rPr>
          <w:rFonts w:ascii="Calibri Light" w:hAnsi="Calibri Light"/>
          <w:i/>
          <w:sz w:val="20"/>
        </w:rPr>
        <w:t>Treatment</w:t>
      </w:r>
      <w:r>
        <w:rPr>
          <w:rFonts w:ascii="Calibri Light" w:hAnsi="Calibri Light"/>
          <w:sz w:val="20"/>
        </w:rPr>
        <w:t>,</w:t>
      </w:r>
      <w:r>
        <w:rPr>
          <w:rFonts w:ascii="Calibri Light" w:hAnsi="Calibri Light"/>
          <w:spacing w:val="-4"/>
          <w:sz w:val="20"/>
        </w:rPr>
        <w:t xml:space="preserve"> </w:t>
      </w:r>
      <w:r>
        <w:rPr>
          <w:rFonts w:ascii="Calibri Light" w:hAnsi="Calibri Light"/>
          <w:i/>
          <w:sz w:val="20"/>
        </w:rPr>
        <w:t>44</w:t>
      </w:r>
      <w:r>
        <w:rPr>
          <w:rFonts w:ascii="Calibri Light" w:hAnsi="Calibri Light"/>
          <w:sz w:val="20"/>
        </w:rPr>
        <w:t>(3),</w:t>
      </w:r>
      <w:r>
        <w:rPr>
          <w:rFonts w:ascii="Calibri Light" w:hAnsi="Calibri Light"/>
          <w:spacing w:val="-4"/>
          <w:sz w:val="20"/>
        </w:rPr>
        <w:t xml:space="preserve"> </w:t>
      </w:r>
      <w:r>
        <w:rPr>
          <w:rFonts w:ascii="Calibri Light" w:hAnsi="Calibri Light"/>
          <w:sz w:val="20"/>
        </w:rPr>
        <w:t xml:space="preserve">323– </w:t>
      </w:r>
      <w:r>
        <w:rPr>
          <w:rFonts w:ascii="Calibri Light" w:hAnsi="Calibri Light"/>
          <w:spacing w:val="-4"/>
          <w:sz w:val="20"/>
        </w:rPr>
        <w:t>329.</w:t>
      </w:r>
    </w:p>
    <w:p w14:paraId="036958C1" w14:textId="77777777" w:rsidR="00DB6E1F" w:rsidRDefault="00F666A6">
      <w:pPr>
        <w:spacing w:line="259" w:lineRule="auto"/>
        <w:ind w:left="1619" w:right="1491" w:hanging="180"/>
        <w:rPr>
          <w:rFonts w:ascii="Calibri Light" w:hAnsi="Calibri Light"/>
          <w:sz w:val="20"/>
        </w:rPr>
      </w:pPr>
      <w:r>
        <w:rPr>
          <w:rFonts w:ascii="Calibri Light" w:hAnsi="Calibri Light"/>
          <w:sz w:val="20"/>
        </w:rPr>
        <w:t>Satre, D. D., Leibowit</w:t>
      </w:r>
      <w:r>
        <w:rPr>
          <w:rFonts w:ascii="Calibri Light" w:hAnsi="Calibri Light"/>
          <w:sz w:val="20"/>
        </w:rPr>
        <w:t>z, A., Sterling, S. A., Lu, Y., Travis, A., &amp; Weisner, C. (2016). A randomized clinical trial of motivational</w:t>
      </w:r>
      <w:r>
        <w:rPr>
          <w:rFonts w:ascii="Calibri Light" w:hAnsi="Calibri Light"/>
          <w:spacing w:val="-4"/>
          <w:sz w:val="20"/>
        </w:rPr>
        <w:t xml:space="preserve"> </w:t>
      </w:r>
      <w:r>
        <w:rPr>
          <w:rFonts w:ascii="Calibri Light" w:hAnsi="Calibri Light"/>
          <w:sz w:val="20"/>
        </w:rPr>
        <w:t>interviewing</w:t>
      </w:r>
      <w:r>
        <w:rPr>
          <w:rFonts w:ascii="Calibri Light" w:hAnsi="Calibri Light"/>
          <w:spacing w:val="-1"/>
          <w:sz w:val="20"/>
        </w:rPr>
        <w:t xml:space="preserve"> </w:t>
      </w:r>
      <w:r>
        <w:rPr>
          <w:rFonts w:ascii="Calibri Light" w:hAnsi="Calibri Light"/>
          <w:sz w:val="20"/>
        </w:rPr>
        <w:t>to</w:t>
      </w:r>
      <w:r>
        <w:rPr>
          <w:rFonts w:ascii="Calibri Light" w:hAnsi="Calibri Light"/>
          <w:spacing w:val="-4"/>
          <w:sz w:val="20"/>
        </w:rPr>
        <w:t xml:space="preserve"> </w:t>
      </w:r>
      <w:r>
        <w:rPr>
          <w:rFonts w:ascii="Calibri Light" w:hAnsi="Calibri Light"/>
          <w:sz w:val="20"/>
        </w:rPr>
        <w:t>reduce</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drug</w:t>
      </w:r>
      <w:r>
        <w:rPr>
          <w:rFonts w:ascii="Calibri Light" w:hAnsi="Calibri Light"/>
          <w:spacing w:val="-3"/>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among</w:t>
      </w:r>
      <w:r>
        <w:rPr>
          <w:rFonts w:ascii="Calibri Light" w:hAnsi="Calibri Light"/>
          <w:spacing w:val="-3"/>
          <w:sz w:val="20"/>
        </w:rPr>
        <w:t xml:space="preserve"> </w:t>
      </w:r>
      <w:r>
        <w:rPr>
          <w:rFonts w:ascii="Calibri Light" w:hAnsi="Calibri Light"/>
          <w:sz w:val="20"/>
        </w:rPr>
        <w:t>patients</w:t>
      </w:r>
      <w:r>
        <w:rPr>
          <w:rFonts w:ascii="Calibri Light" w:hAnsi="Calibri Light"/>
          <w:spacing w:val="-3"/>
          <w:sz w:val="20"/>
        </w:rPr>
        <w:t xml:space="preserve"> </w:t>
      </w:r>
      <w:r>
        <w:rPr>
          <w:rFonts w:ascii="Calibri Light" w:hAnsi="Calibri Light"/>
          <w:sz w:val="20"/>
        </w:rPr>
        <w:t>with</w:t>
      </w:r>
      <w:r>
        <w:rPr>
          <w:rFonts w:ascii="Calibri Light" w:hAnsi="Calibri Light"/>
          <w:spacing w:val="-3"/>
          <w:sz w:val="20"/>
        </w:rPr>
        <w:t xml:space="preserve"> </w:t>
      </w:r>
      <w:r>
        <w:rPr>
          <w:rFonts w:ascii="Calibri Light" w:hAnsi="Calibri Light"/>
          <w:sz w:val="20"/>
        </w:rPr>
        <w:t>depression.</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Consulting</w:t>
      </w:r>
      <w:r>
        <w:rPr>
          <w:rFonts w:ascii="Calibri Light" w:hAnsi="Calibri Light"/>
          <w:i/>
          <w:sz w:val="20"/>
        </w:rPr>
        <w:t xml:space="preserve"> and Clinical Psychology, 84</w:t>
      </w:r>
      <w:r>
        <w:rPr>
          <w:rFonts w:ascii="Calibri Light" w:hAnsi="Calibri Light"/>
          <w:sz w:val="20"/>
        </w:rPr>
        <w:t>(7), 571–579.</w:t>
      </w:r>
    </w:p>
    <w:p w14:paraId="7B7E8920" w14:textId="77777777" w:rsidR="00DB6E1F" w:rsidRDefault="00F666A6">
      <w:pPr>
        <w:spacing w:line="259" w:lineRule="auto"/>
        <w:ind w:left="1618" w:right="1491" w:hanging="180"/>
        <w:rPr>
          <w:rFonts w:ascii="Calibri Light" w:hAnsi="Calibri Light"/>
          <w:sz w:val="20"/>
        </w:rPr>
      </w:pPr>
      <w:r>
        <w:rPr>
          <w:rFonts w:ascii="Calibri Light" w:hAnsi="Calibri Light"/>
          <w:sz w:val="20"/>
        </w:rPr>
        <w:t>Satre, D. D., Manuel, J. K., Larios, S., Steiger, S., &amp; Satterfield, J. (2015). Cultural adaptation of screening, brief intervention</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referral</w:t>
      </w:r>
      <w:r>
        <w:rPr>
          <w:rFonts w:ascii="Calibri Light" w:hAnsi="Calibri Light"/>
          <w:spacing w:val="-4"/>
          <w:sz w:val="20"/>
        </w:rPr>
        <w:t xml:space="preserve"> </w:t>
      </w:r>
      <w:r>
        <w:rPr>
          <w:rFonts w:ascii="Calibri Light" w:hAnsi="Calibri Light"/>
          <w:sz w:val="20"/>
        </w:rPr>
        <w:t>to</w:t>
      </w:r>
      <w:r>
        <w:rPr>
          <w:rFonts w:ascii="Calibri Light" w:hAnsi="Calibri Light"/>
          <w:spacing w:val="-4"/>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using</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3"/>
          <w:sz w:val="20"/>
        </w:rPr>
        <w:t xml:space="preserve"> </w:t>
      </w:r>
      <w:r>
        <w:rPr>
          <w:rFonts w:ascii="Calibri Light" w:hAnsi="Calibri Light"/>
          <w:sz w:val="20"/>
        </w:rPr>
        <w:t>interviewing.</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Addiction</w:t>
      </w:r>
      <w:r>
        <w:rPr>
          <w:rFonts w:ascii="Calibri Light" w:hAnsi="Calibri Light"/>
          <w:i/>
          <w:spacing w:val="-3"/>
          <w:sz w:val="20"/>
        </w:rPr>
        <w:t xml:space="preserve"> </w:t>
      </w:r>
      <w:r>
        <w:rPr>
          <w:rFonts w:ascii="Calibri Light" w:hAnsi="Calibri Light"/>
          <w:i/>
          <w:sz w:val="20"/>
        </w:rPr>
        <w:t>M</w:t>
      </w:r>
      <w:r>
        <w:rPr>
          <w:rFonts w:ascii="Calibri Light" w:hAnsi="Calibri Light"/>
          <w:i/>
          <w:sz w:val="20"/>
        </w:rPr>
        <w:t>edicine,</w:t>
      </w:r>
      <w:r>
        <w:rPr>
          <w:rFonts w:ascii="Calibri Light" w:hAnsi="Calibri Light"/>
          <w:i/>
          <w:spacing w:val="-4"/>
          <w:sz w:val="20"/>
        </w:rPr>
        <w:t xml:space="preserve"> </w:t>
      </w:r>
      <w:r>
        <w:rPr>
          <w:rFonts w:ascii="Calibri Light" w:hAnsi="Calibri Light"/>
          <w:i/>
          <w:sz w:val="20"/>
        </w:rPr>
        <w:t>9</w:t>
      </w:r>
      <w:r>
        <w:rPr>
          <w:rFonts w:ascii="Calibri Light" w:hAnsi="Calibri Light"/>
          <w:sz w:val="20"/>
        </w:rPr>
        <w:t>(5),</w:t>
      </w:r>
      <w:r>
        <w:rPr>
          <w:rFonts w:ascii="Calibri Light" w:hAnsi="Calibri Light"/>
          <w:spacing w:val="-4"/>
          <w:sz w:val="20"/>
        </w:rPr>
        <w:t xml:space="preserve"> </w:t>
      </w:r>
      <w:r>
        <w:rPr>
          <w:rFonts w:ascii="Calibri Light" w:hAnsi="Calibri Light"/>
          <w:sz w:val="20"/>
        </w:rPr>
        <w:t>352– 357. doi:10.1097/adm.0000000000000149</w:t>
      </w:r>
    </w:p>
    <w:p w14:paraId="405F867D" w14:textId="77777777" w:rsidR="00DB6E1F" w:rsidRDefault="00F666A6">
      <w:pPr>
        <w:spacing w:line="259" w:lineRule="auto"/>
        <w:ind w:left="1618" w:right="1491" w:hanging="180"/>
        <w:rPr>
          <w:rFonts w:ascii="Calibri Light" w:hAnsi="Calibri Light"/>
          <w:sz w:val="20"/>
        </w:rPr>
      </w:pPr>
      <w:r>
        <w:rPr>
          <w:rFonts w:ascii="Calibri Light" w:hAnsi="Calibri Light"/>
          <w:sz w:val="20"/>
        </w:rPr>
        <w:t>Sayegh, C. S., Huey, S. J., Zara, E. J., &amp; Jhaveri, K. (2017). Follow-up treatment effects of contingency management and</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4"/>
          <w:sz w:val="20"/>
        </w:rPr>
        <w:t xml:space="preserve"> </w:t>
      </w:r>
      <w:r>
        <w:rPr>
          <w:rFonts w:ascii="Calibri Light" w:hAnsi="Calibri Light"/>
          <w:sz w:val="20"/>
        </w:rPr>
        <w:t>interviewing</w:t>
      </w:r>
      <w:r>
        <w:rPr>
          <w:rFonts w:ascii="Calibri Light" w:hAnsi="Calibri Light"/>
          <w:spacing w:val="-1"/>
          <w:sz w:val="20"/>
        </w:rPr>
        <w:t xml:space="preserve"> </w:t>
      </w:r>
      <w:r>
        <w:rPr>
          <w:rFonts w:ascii="Calibri Light" w:hAnsi="Calibri Light"/>
          <w:sz w:val="20"/>
        </w:rPr>
        <w:t>on</w:t>
      </w:r>
      <w:r>
        <w:rPr>
          <w:rFonts w:ascii="Calibri Light" w:hAnsi="Calibri Light"/>
          <w:spacing w:val="-4"/>
          <w:sz w:val="20"/>
        </w:rPr>
        <w:t xml:space="preserve"> </w:t>
      </w:r>
      <w:r>
        <w:rPr>
          <w:rFonts w:ascii="Calibri Light" w:hAnsi="Calibri Light"/>
          <w:sz w:val="20"/>
        </w:rPr>
        <w:t>substance</w:t>
      </w:r>
      <w:r>
        <w:rPr>
          <w:rFonts w:ascii="Calibri Light" w:hAnsi="Calibri Light"/>
          <w:spacing w:val="-4"/>
          <w:sz w:val="20"/>
        </w:rPr>
        <w:t xml:space="preserve"> </w:t>
      </w:r>
      <w:r>
        <w:rPr>
          <w:rFonts w:ascii="Calibri Light" w:hAnsi="Calibri Light"/>
          <w:sz w:val="20"/>
        </w:rPr>
        <w:t>use:</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meta-analysis.</w:t>
      </w:r>
      <w:r>
        <w:rPr>
          <w:rFonts w:ascii="Calibri Light" w:hAnsi="Calibri Light"/>
          <w:spacing w:val="-2"/>
          <w:sz w:val="20"/>
        </w:rPr>
        <w:t xml:space="preserve"> </w:t>
      </w:r>
      <w:r>
        <w:rPr>
          <w:rFonts w:ascii="Calibri Light" w:hAnsi="Calibri Light"/>
          <w:i/>
          <w:sz w:val="20"/>
        </w:rPr>
        <w:t>Psychology</w:t>
      </w:r>
      <w:r>
        <w:rPr>
          <w:rFonts w:ascii="Calibri Light" w:hAnsi="Calibri Light"/>
          <w:i/>
          <w:spacing w:val="-4"/>
          <w:sz w:val="20"/>
        </w:rPr>
        <w:t xml:space="preserve"> </w:t>
      </w:r>
      <w:r>
        <w:rPr>
          <w:rFonts w:ascii="Calibri Light" w:hAnsi="Calibri Light"/>
          <w:i/>
          <w:sz w:val="20"/>
        </w:rPr>
        <w:t>of</w:t>
      </w:r>
      <w:r>
        <w:rPr>
          <w:rFonts w:ascii="Calibri Light" w:hAnsi="Calibri Light"/>
          <w:i/>
          <w:spacing w:val="-4"/>
          <w:sz w:val="20"/>
        </w:rPr>
        <w:t xml:space="preserve"> </w:t>
      </w:r>
      <w:r>
        <w:rPr>
          <w:rFonts w:ascii="Calibri Light" w:hAnsi="Calibri Light"/>
          <w:i/>
          <w:sz w:val="20"/>
        </w:rPr>
        <w:t>Ad</w:t>
      </w:r>
      <w:r>
        <w:rPr>
          <w:rFonts w:ascii="Calibri Light" w:hAnsi="Calibri Light"/>
          <w:i/>
          <w:sz w:val="20"/>
        </w:rPr>
        <w:t>dictive</w:t>
      </w:r>
      <w:r>
        <w:rPr>
          <w:rFonts w:ascii="Calibri Light" w:hAnsi="Calibri Light"/>
          <w:i/>
          <w:spacing w:val="-4"/>
          <w:sz w:val="20"/>
        </w:rPr>
        <w:t xml:space="preserve"> </w:t>
      </w:r>
      <w:r>
        <w:rPr>
          <w:rFonts w:ascii="Calibri Light" w:hAnsi="Calibri Light"/>
          <w:i/>
          <w:sz w:val="20"/>
        </w:rPr>
        <w:t>Behaviors,</w:t>
      </w:r>
      <w:r>
        <w:rPr>
          <w:rFonts w:ascii="Calibri Light" w:hAnsi="Calibri Light"/>
          <w:i/>
          <w:spacing w:val="-4"/>
          <w:sz w:val="20"/>
        </w:rPr>
        <w:t xml:space="preserve"> </w:t>
      </w:r>
      <w:r>
        <w:rPr>
          <w:rFonts w:ascii="Calibri Light" w:hAnsi="Calibri Light"/>
          <w:i/>
          <w:sz w:val="20"/>
        </w:rPr>
        <w:t>31</w:t>
      </w:r>
      <w:r>
        <w:rPr>
          <w:rFonts w:ascii="Calibri Light" w:hAnsi="Calibri Light"/>
          <w:sz w:val="20"/>
        </w:rPr>
        <w:t>(4),</w:t>
      </w:r>
      <w:r>
        <w:rPr>
          <w:rFonts w:ascii="Calibri Light" w:hAnsi="Calibri Light"/>
          <w:spacing w:val="-4"/>
          <w:sz w:val="20"/>
        </w:rPr>
        <w:t xml:space="preserve"> </w:t>
      </w:r>
      <w:r>
        <w:rPr>
          <w:rFonts w:ascii="Calibri Light" w:hAnsi="Calibri Light"/>
          <w:sz w:val="20"/>
        </w:rPr>
        <w:t>403– 414. doi:10.1037/adb0000277</w:t>
      </w:r>
    </w:p>
    <w:p w14:paraId="2BB7389C" w14:textId="77777777" w:rsidR="00DB6E1F" w:rsidRDefault="00F666A6">
      <w:pPr>
        <w:spacing w:line="259" w:lineRule="auto"/>
        <w:ind w:left="1618" w:right="1491" w:hanging="180"/>
        <w:rPr>
          <w:rFonts w:ascii="Calibri Light" w:hAnsi="Calibri Light"/>
          <w:sz w:val="20"/>
        </w:rPr>
      </w:pPr>
      <w:r>
        <w:rPr>
          <w:rFonts w:ascii="Calibri Light" w:hAnsi="Calibri Light"/>
          <w:sz w:val="20"/>
        </w:rPr>
        <w:t>Schonfeld, L., King-Kallimanis, B. L., Duchene, D. M., Etheridge, R. L., Herrera, J. R., Barry, K. L., &amp; Lynn, N. (2010). Screening</w:t>
      </w:r>
      <w:r>
        <w:rPr>
          <w:rFonts w:ascii="Calibri Light" w:hAnsi="Calibri Light"/>
          <w:spacing w:val="-4"/>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brief</w:t>
      </w:r>
      <w:r>
        <w:rPr>
          <w:rFonts w:ascii="Calibri Light" w:hAnsi="Calibri Light"/>
          <w:spacing w:val="-1"/>
          <w:sz w:val="20"/>
        </w:rPr>
        <w:t xml:space="preserve"> </w:t>
      </w:r>
      <w:r>
        <w:rPr>
          <w:rFonts w:ascii="Calibri Light" w:hAnsi="Calibri Light"/>
          <w:sz w:val="20"/>
        </w:rPr>
        <w:t>intervention</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substance</w:t>
      </w:r>
      <w:r>
        <w:rPr>
          <w:rFonts w:ascii="Calibri Light" w:hAnsi="Calibri Light"/>
          <w:spacing w:val="-4"/>
          <w:sz w:val="20"/>
        </w:rPr>
        <w:t xml:space="preserve"> </w:t>
      </w:r>
      <w:r>
        <w:rPr>
          <w:rFonts w:ascii="Calibri Light" w:hAnsi="Calibri Light"/>
          <w:sz w:val="20"/>
        </w:rPr>
        <w:t>misuse</w:t>
      </w:r>
      <w:r>
        <w:rPr>
          <w:rFonts w:ascii="Calibri Light" w:hAnsi="Calibri Light"/>
          <w:spacing w:val="-4"/>
          <w:sz w:val="20"/>
        </w:rPr>
        <w:t xml:space="preserve"> </w:t>
      </w:r>
      <w:r>
        <w:rPr>
          <w:rFonts w:ascii="Calibri Light" w:hAnsi="Calibri Light"/>
          <w:sz w:val="20"/>
        </w:rPr>
        <w:t>among</w:t>
      </w:r>
      <w:r>
        <w:rPr>
          <w:rFonts w:ascii="Calibri Light" w:hAnsi="Calibri Light"/>
          <w:spacing w:val="-4"/>
          <w:sz w:val="20"/>
        </w:rPr>
        <w:t xml:space="preserve"> </w:t>
      </w:r>
      <w:r>
        <w:rPr>
          <w:rFonts w:ascii="Calibri Light" w:hAnsi="Calibri Light"/>
          <w:sz w:val="20"/>
        </w:rPr>
        <w:t>older</w:t>
      </w:r>
      <w:r>
        <w:rPr>
          <w:rFonts w:ascii="Calibri Light" w:hAnsi="Calibri Light"/>
          <w:spacing w:val="-3"/>
          <w:sz w:val="20"/>
        </w:rPr>
        <w:t xml:space="preserve"> </w:t>
      </w:r>
      <w:r>
        <w:rPr>
          <w:rFonts w:ascii="Calibri Light" w:hAnsi="Calibri Light"/>
          <w:sz w:val="20"/>
        </w:rPr>
        <w:t>adults:</w:t>
      </w:r>
      <w:r>
        <w:rPr>
          <w:rFonts w:ascii="Calibri Light" w:hAnsi="Calibri Light"/>
          <w:spacing w:val="-4"/>
          <w:sz w:val="20"/>
        </w:rPr>
        <w:t xml:space="preserve"> </w:t>
      </w:r>
      <w:r>
        <w:rPr>
          <w:rFonts w:ascii="Calibri Light" w:hAnsi="Calibri Light"/>
          <w:sz w:val="20"/>
        </w:rPr>
        <w:t>The</w:t>
      </w:r>
      <w:r>
        <w:rPr>
          <w:rFonts w:ascii="Calibri Light" w:hAnsi="Calibri Light"/>
          <w:spacing w:val="-4"/>
          <w:sz w:val="20"/>
        </w:rPr>
        <w:t xml:space="preserve"> </w:t>
      </w:r>
      <w:r>
        <w:rPr>
          <w:rFonts w:ascii="Calibri Light" w:hAnsi="Calibri Light"/>
          <w:sz w:val="20"/>
        </w:rPr>
        <w:t>Florida</w:t>
      </w:r>
      <w:r>
        <w:rPr>
          <w:rFonts w:ascii="Calibri Light" w:hAnsi="Calibri Light"/>
          <w:spacing w:val="-4"/>
          <w:sz w:val="20"/>
        </w:rPr>
        <w:t xml:space="preserve"> </w:t>
      </w:r>
      <w:r>
        <w:rPr>
          <w:rFonts w:ascii="Calibri Light" w:hAnsi="Calibri Light"/>
          <w:sz w:val="20"/>
        </w:rPr>
        <w:t>BRITE</w:t>
      </w:r>
      <w:r>
        <w:rPr>
          <w:rFonts w:ascii="Calibri Light" w:hAnsi="Calibri Light"/>
          <w:spacing w:val="-3"/>
          <w:sz w:val="20"/>
        </w:rPr>
        <w:t xml:space="preserve"> </w:t>
      </w:r>
      <w:r>
        <w:rPr>
          <w:rFonts w:ascii="Calibri Light" w:hAnsi="Calibri Light"/>
          <w:sz w:val="20"/>
        </w:rPr>
        <w:t>project.</w:t>
      </w:r>
      <w:r>
        <w:rPr>
          <w:rFonts w:ascii="Calibri Light" w:hAnsi="Calibri Light"/>
          <w:spacing w:val="-4"/>
          <w:sz w:val="20"/>
        </w:rPr>
        <w:t xml:space="preserve"> </w:t>
      </w:r>
      <w:r>
        <w:rPr>
          <w:rFonts w:ascii="Calibri Light" w:hAnsi="Calibri Light"/>
          <w:i/>
          <w:sz w:val="20"/>
        </w:rPr>
        <w:t>American Journal of Public Health</w:t>
      </w:r>
      <w:r>
        <w:rPr>
          <w:rFonts w:ascii="Calibri Light" w:hAnsi="Calibri Light"/>
          <w:sz w:val="20"/>
        </w:rPr>
        <w:t xml:space="preserve">, </w:t>
      </w:r>
      <w:r>
        <w:rPr>
          <w:rFonts w:ascii="Calibri Light" w:hAnsi="Calibri Light"/>
          <w:i/>
          <w:sz w:val="20"/>
        </w:rPr>
        <w:t>100</w:t>
      </w:r>
      <w:r>
        <w:rPr>
          <w:rFonts w:ascii="Calibri Light" w:hAnsi="Calibri Light"/>
          <w:sz w:val="20"/>
        </w:rPr>
        <w:t>(1), 108–114.</w:t>
      </w:r>
    </w:p>
    <w:p w14:paraId="2F03924A" w14:textId="77777777" w:rsidR="00DB6E1F" w:rsidRDefault="00F666A6">
      <w:pPr>
        <w:spacing w:line="259" w:lineRule="auto"/>
        <w:ind w:left="1618" w:right="1967" w:hanging="180"/>
        <w:jc w:val="both"/>
        <w:rPr>
          <w:rFonts w:ascii="Calibri Light" w:hAnsi="Calibri Light"/>
          <w:sz w:val="20"/>
        </w:rPr>
      </w:pPr>
      <w:r>
        <w:rPr>
          <w:rFonts w:ascii="Calibri Light" w:hAnsi="Calibri Light"/>
          <w:sz w:val="20"/>
        </w:rPr>
        <w:t>Schumacher,</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Williams, D. C., Burke,</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Epler,</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Simon,</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Coffey,</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F.</w:t>
      </w:r>
      <w:r>
        <w:rPr>
          <w:rFonts w:ascii="Calibri Light" w:hAnsi="Calibri Light"/>
          <w:spacing w:val="-3"/>
          <w:sz w:val="20"/>
        </w:rPr>
        <w:t xml:space="preserve"> </w:t>
      </w:r>
      <w:r>
        <w:rPr>
          <w:rFonts w:ascii="Calibri Light" w:hAnsi="Calibri Light"/>
          <w:sz w:val="20"/>
        </w:rPr>
        <w:t>(2018). Competency-based supervision</w:t>
      </w:r>
      <w:r>
        <w:rPr>
          <w:rFonts w:ascii="Calibri Light" w:hAnsi="Calibri Light"/>
          <w:spacing w:val="-4"/>
          <w:sz w:val="20"/>
        </w:rPr>
        <w:t xml:space="preserve"> </w:t>
      </w:r>
      <w:r>
        <w:rPr>
          <w:rFonts w:ascii="Calibri Light" w:hAnsi="Calibri Light"/>
          <w:sz w:val="20"/>
        </w:rPr>
        <w:t>in</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5"/>
          <w:sz w:val="20"/>
        </w:rPr>
        <w:t xml:space="preserve"> </w:t>
      </w:r>
      <w:r>
        <w:rPr>
          <w:rFonts w:ascii="Calibri Light" w:hAnsi="Calibri Light"/>
          <w:sz w:val="20"/>
        </w:rPr>
        <w:t>interviewing</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advanced</w:t>
      </w:r>
      <w:r>
        <w:rPr>
          <w:rFonts w:ascii="Calibri Light" w:hAnsi="Calibri Light"/>
          <w:spacing w:val="-4"/>
          <w:sz w:val="20"/>
        </w:rPr>
        <w:t xml:space="preserve"> </w:t>
      </w:r>
      <w:r>
        <w:rPr>
          <w:rFonts w:ascii="Calibri Light" w:hAnsi="Calibri Light"/>
          <w:sz w:val="20"/>
        </w:rPr>
        <w:t>psychology</w:t>
      </w:r>
      <w:r>
        <w:rPr>
          <w:rFonts w:ascii="Calibri Light" w:hAnsi="Calibri Light"/>
          <w:spacing w:val="-3"/>
          <w:sz w:val="20"/>
        </w:rPr>
        <w:t xml:space="preserve"> </w:t>
      </w:r>
      <w:r>
        <w:rPr>
          <w:rFonts w:ascii="Calibri Light" w:hAnsi="Calibri Light"/>
          <w:sz w:val="20"/>
        </w:rPr>
        <w:t>trainees:</w:t>
      </w:r>
      <w:r>
        <w:rPr>
          <w:rFonts w:ascii="Calibri Light" w:hAnsi="Calibri Light"/>
          <w:spacing w:val="-4"/>
          <w:sz w:val="20"/>
        </w:rPr>
        <w:t xml:space="preserve"> </w:t>
      </w:r>
      <w:r>
        <w:rPr>
          <w:rFonts w:ascii="Calibri Light" w:hAnsi="Calibri Light"/>
          <w:sz w:val="20"/>
        </w:rPr>
        <w:t>Targeting</w:t>
      </w:r>
      <w:r>
        <w:rPr>
          <w:rFonts w:ascii="Calibri Light" w:hAnsi="Calibri Light"/>
          <w:spacing w:val="-4"/>
          <w:sz w:val="20"/>
        </w:rPr>
        <w:t xml:space="preserve"> </w:t>
      </w:r>
      <w:r>
        <w:rPr>
          <w:rFonts w:ascii="Calibri Light" w:hAnsi="Calibri Light"/>
          <w:sz w:val="20"/>
        </w:rPr>
        <w:t>an</w:t>
      </w:r>
      <w:r>
        <w:rPr>
          <w:rFonts w:ascii="Calibri Light" w:hAnsi="Calibri Light"/>
          <w:spacing w:val="-4"/>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priori</w:t>
      </w:r>
      <w:r>
        <w:rPr>
          <w:rFonts w:ascii="Calibri Light" w:hAnsi="Calibri Light"/>
          <w:spacing w:val="-5"/>
          <w:sz w:val="20"/>
        </w:rPr>
        <w:t xml:space="preserve"> </w:t>
      </w:r>
      <w:r>
        <w:rPr>
          <w:rFonts w:ascii="Calibri Light" w:hAnsi="Calibri Light"/>
          <w:sz w:val="20"/>
        </w:rPr>
        <w:t xml:space="preserve">benchmark. </w:t>
      </w:r>
      <w:r>
        <w:rPr>
          <w:rFonts w:ascii="Calibri Light" w:hAnsi="Calibri Light"/>
          <w:i/>
          <w:sz w:val="20"/>
        </w:rPr>
        <w:t>Training and Education in Professional Psychology, 12</w:t>
      </w:r>
      <w:r>
        <w:rPr>
          <w:rFonts w:ascii="Calibri Light" w:hAnsi="Calibri Light"/>
          <w:sz w:val="20"/>
        </w:rPr>
        <w:t>(3), 149–153. doi:10.1037/tep0000177</w:t>
      </w:r>
    </w:p>
    <w:p w14:paraId="370FDDA7" w14:textId="77777777" w:rsidR="00DB6E1F" w:rsidRDefault="00F666A6">
      <w:pPr>
        <w:spacing w:line="259" w:lineRule="auto"/>
        <w:ind w:left="1617" w:right="1788" w:hanging="180"/>
        <w:rPr>
          <w:rFonts w:ascii="Calibri Light" w:hAnsi="Calibri Light"/>
          <w:sz w:val="20"/>
        </w:rPr>
      </w:pPr>
      <w:r>
        <w:rPr>
          <w:rFonts w:ascii="Calibri Light" w:hAnsi="Calibri Light"/>
          <w:sz w:val="20"/>
        </w:rPr>
        <w:t>Schwalbe,</w:t>
      </w:r>
      <w:r>
        <w:rPr>
          <w:rFonts w:ascii="Calibri Light" w:hAnsi="Calibri Light"/>
          <w:spacing w:val="-2"/>
          <w:sz w:val="20"/>
        </w:rPr>
        <w:t xml:space="preserve"> </w:t>
      </w:r>
      <w:r>
        <w:rPr>
          <w:rFonts w:ascii="Calibri Light" w:hAnsi="Calibri Light"/>
          <w:sz w:val="20"/>
        </w:rPr>
        <w:t>C.</w:t>
      </w:r>
      <w:r>
        <w:rPr>
          <w:rFonts w:ascii="Calibri Light" w:hAnsi="Calibri Light"/>
          <w:spacing w:val="-4"/>
          <w:sz w:val="20"/>
        </w:rPr>
        <w:t xml:space="preserve"> </w:t>
      </w:r>
      <w:r>
        <w:rPr>
          <w:rFonts w:ascii="Calibri Light" w:hAnsi="Calibri Light"/>
          <w:sz w:val="20"/>
        </w:rPr>
        <w:t>S.,</w:t>
      </w:r>
      <w:r>
        <w:rPr>
          <w:rFonts w:ascii="Calibri Light" w:hAnsi="Calibri Light"/>
          <w:spacing w:val="-1"/>
          <w:sz w:val="20"/>
        </w:rPr>
        <w:t xml:space="preserve"> </w:t>
      </w:r>
      <w:r>
        <w:rPr>
          <w:rFonts w:ascii="Calibri Light" w:hAnsi="Calibri Light"/>
          <w:sz w:val="20"/>
        </w:rPr>
        <w:t>Oh,</w:t>
      </w:r>
      <w:r>
        <w:rPr>
          <w:rFonts w:ascii="Calibri Light" w:hAnsi="Calibri Light"/>
          <w:spacing w:val="-1"/>
          <w:sz w:val="20"/>
        </w:rPr>
        <w:t xml:space="preserve"> </w:t>
      </w:r>
      <w:r>
        <w:rPr>
          <w:rFonts w:ascii="Calibri Light" w:hAnsi="Calibri Light"/>
          <w:sz w:val="20"/>
        </w:rPr>
        <w:t>H.</w:t>
      </w:r>
      <w:r>
        <w:rPr>
          <w:rFonts w:ascii="Calibri Light" w:hAnsi="Calibri Light"/>
          <w:spacing w:val="-4"/>
          <w:sz w:val="20"/>
        </w:rPr>
        <w:t xml:space="preserve"> </w:t>
      </w:r>
      <w:r>
        <w:rPr>
          <w:rFonts w:ascii="Calibri Light" w:hAnsi="Calibri Light"/>
          <w:sz w:val="20"/>
        </w:rPr>
        <w:t>Y.,</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Zweben,</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(2014).</w:t>
      </w:r>
      <w:r>
        <w:rPr>
          <w:rFonts w:ascii="Calibri Light" w:hAnsi="Calibri Light"/>
          <w:spacing w:val="-4"/>
          <w:sz w:val="20"/>
        </w:rPr>
        <w:t xml:space="preserve"> </w:t>
      </w:r>
      <w:r>
        <w:rPr>
          <w:rFonts w:ascii="Calibri Light" w:hAnsi="Calibri Light"/>
          <w:sz w:val="20"/>
        </w:rPr>
        <w:t>Sustaining motivational</w:t>
      </w:r>
      <w:r>
        <w:rPr>
          <w:rFonts w:ascii="Calibri Light" w:hAnsi="Calibri Light"/>
          <w:spacing w:val="-4"/>
          <w:sz w:val="20"/>
        </w:rPr>
        <w:t xml:space="preserve"> </w:t>
      </w:r>
      <w:r>
        <w:rPr>
          <w:rFonts w:ascii="Calibri Light" w:hAnsi="Calibri Light"/>
          <w:sz w:val="20"/>
        </w:rPr>
        <w:t>interviewing:</w:t>
      </w:r>
      <w:r>
        <w:rPr>
          <w:rFonts w:ascii="Calibri Light" w:hAnsi="Calibri Light"/>
          <w:spacing w:val="-2"/>
          <w:sz w:val="20"/>
        </w:rPr>
        <w:t xml:space="preserve"> </w:t>
      </w:r>
      <w:r>
        <w:rPr>
          <w:rFonts w:ascii="Calibri Light" w:hAnsi="Calibri Light"/>
          <w:sz w:val="20"/>
        </w:rPr>
        <w:t>A meta-analysis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 xml:space="preserve">training studies. </w:t>
      </w:r>
      <w:r>
        <w:rPr>
          <w:rFonts w:ascii="Calibri Light" w:hAnsi="Calibri Light"/>
          <w:i/>
          <w:sz w:val="20"/>
        </w:rPr>
        <w:t>Addiction, 109</w:t>
      </w:r>
      <w:r>
        <w:rPr>
          <w:rFonts w:ascii="Calibri Light" w:hAnsi="Calibri Light"/>
          <w:sz w:val="20"/>
        </w:rPr>
        <w:t xml:space="preserve">(8), 1287–1294. Retrieved from </w:t>
      </w:r>
      <w:hyperlink r:id="rId144">
        <w:r>
          <w:rPr>
            <w:rFonts w:ascii="Calibri Light" w:hAnsi="Calibri Light"/>
            <w:color w:val="0563C1"/>
            <w:spacing w:val="-2"/>
            <w:sz w:val="20"/>
            <w:u w:val="single" w:color="0563C1"/>
          </w:rPr>
          <w:t>https://onlinelibrary.wiley.com/doi/abs/10.1111/add.12558</w:t>
        </w:r>
      </w:hyperlink>
    </w:p>
    <w:p w14:paraId="76B70F0E" w14:textId="77777777" w:rsidR="00DB6E1F" w:rsidRDefault="00F666A6">
      <w:pPr>
        <w:spacing w:line="259" w:lineRule="auto"/>
        <w:ind w:left="1619" w:right="1491" w:hanging="180"/>
        <w:rPr>
          <w:rFonts w:ascii="Calibri Light" w:hAnsi="Calibri Light"/>
          <w:sz w:val="20"/>
        </w:rPr>
      </w:pPr>
      <w:r>
        <w:rPr>
          <w:rFonts w:ascii="Calibri Light" w:hAnsi="Calibri Light"/>
          <w:sz w:val="20"/>
        </w:rPr>
        <w:t>Scott,</w:t>
      </w:r>
      <w:r>
        <w:rPr>
          <w:rFonts w:ascii="Calibri Light" w:hAnsi="Calibri Light"/>
          <w:spacing w:val="-4"/>
          <w:sz w:val="20"/>
        </w:rPr>
        <w:t xml:space="preserve"> </w:t>
      </w:r>
      <w:r>
        <w:rPr>
          <w:rFonts w:ascii="Calibri Light" w:hAnsi="Calibri Light"/>
          <w:sz w:val="20"/>
        </w:rPr>
        <w:t>C.</w:t>
      </w:r>
      <w:r>
        <w:rPr>
          <w:rFonts w:ascii="Calibri Light" w:hAnsi="Calibri Light"/>
          <w:spacing w:val="-4"/>
          <w:sz w:val="20"/>
        </w:rPr>
        <w:t xml:space="preserve"> </w:t>
      </w:r>
      <w:r>
        <w:rPr>
          <w:rFonts w:ascii="Calibri Light" w:hAnsi="Calibri Light"/>
          <w:sz w:val="20"/>
        </w:rPr>
        <w:t>K.,</w:t>
      </w:r>
      <w:r>
        <w:rPr>
          <w:rFonts w:ascii="Calibri Light" w:hAnsi="Calibri Light"/>
          <w:spacing w:val="-1"/>
          <w:sz w:val="20"/>
        </w:rPr>
        <w:t xml:space="preserve"> </w:t>
      </w:r>
      <w:r>
        <w:rPr>
          <w:rFonts w:ascii="Calibri Light" w:hAnsi="Calibri Light"/>
          <w:sz w:val="20"/>
        </w:rPr>
        <w:t>Dennis,</w:t>
      </w:r>
      <w:r>
        <w:rPr>
          <w:rFonts w:ascii="Calibri Light" w:hAnsi="Calibri Light"/>
          <w:spacing w:val="-1"/>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L.,</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Lurigio,</w:t>
      </w:r>
      <w:r>
        <w:rPr>
          <w:rFonts w:ascii="Calibri Light" w:hAnsi="Calibri Light"/>
          <w:spacing w:val="-4"/>
          <w:sz w:val="20"/>
        </w:rPr>
        <w:t xml:space="preserve"> </w:t>
      </w:r>
      <w:r>
        <w:rPr>
          <w:rFonts w:ascii="Calibri Light" w:hAnsi="Calibri Light"/>
          <w:sz w:val="20"/>
        </w:rPr>
        <w:t>A.</w:t>
      </w:r>
      <w:r>
        <w:rPr>
          <w:rFonts w:ascii="Calibri Light" w:hAnsi="Calibri Light"/>
          <w:spacing w:val="-4"/>
          <w:sz w:val="20"/>
        </w:rPr>
        <w:t xml:space="preserve"> </w:t>
      </w:r>
      <w:r>
        <w:rPr>
          <w:rFonts w:ascii="Calibri Light" w:hAnsi="Calibri Light"/>
          <w:sz w:val="20"/>
        </w:rPr>
        <w:t>J.</w:t>
      </w:r>
      <w:r>
        <w:rPr>
          <w:rFonts w:ascii="Calibri Light" w:hAnsi="Calibri Light"/>
          <w:spacing w:val="-4"/>
          <w:sz w:val="20"/>
        </w:rPr>
        <w:t xml:space="preserve"> </w:t>
      </w:r>
      <w:r>
        <w:rPr>
          <w:rFonts w:ascii="Calibri Light" w:hAnsi="Calibri Light"/>
          <w:sz w:val="20"/>
        </w:rPr>
        <w:t>(2017).</w:t>
      </w:r>
      <w:r>
        <w:rPr>
          <w:rFonts w:ascii="Calibri Light" w:hAnsi="Calibri Light"/>
          <w:spacing w:val="-4"/>
          <w:sz w:val="20"/>
        </w:rPr>
        <w:t xml:space="preserve"> </w:t>
      </w:r>
      <w:r>
        <w:rPr>
          <w:rFonts w:ascii="Calibri Light" w:hAnsi="Calibri Light"/>
          <w:sz w:val="20"/>
        </w:rPr>
        <w:t>The</w:t>
      </w:r>
      <w:r>
        <w:rPr>
          <w:rFonts w:ascii="Calibri Light" w:hAnsi="Calibri Light"/>
          <w:spacing w:val="-1"/>
          <w:sz w:val="20"/>
        </w:rPr>
        <w:t xml:space="preserve"> </w:t>
      </w:r>
      <w:r>
        <w:rPr>
          <w:rFonts w:ascii="Calibri Light" w:hAnsi="Calibri Light"/>
          <w:sz w:val="20"/>
        </w:rPr>
        <w:t>effects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specialized</w:t>
      </w:r>
      <w:r>
        <w:rPr>
          <w:rFonts w:ascii="Calibri Light" w:hAnsi="Calibri Light"/>
          <w:spacing w:val="-3"/>
          <w:sz w:val="20"/>
        </w:rPr>
        <w:t xml:space="preserve"> </w:t>
      </w:r>
      <w:r>
        <w:rPr>
          <w:rFonts w:ascii="Calibri Light" w:hAnsi="Calibri Light"/>
          <w:sz w:val="20"/>
        </w:rPr>
        <w:t>probation</w:t>
      </w:r>
      <w:r>
        <w:rPr>
          <w:rFonts w:ascii="Calibri Light" w:hAnsi="Calibri Light"/>
          <w:spacing w:val="-1"/>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recovery</w:t>
      </w:r>
      <w:r>
        <w:rPr>
          <w:rFonts w:ascii="Calibri Light" w:hAnsi="Calibri Light"/>
          <w:spacing w:val="-2"/>
          <w:sz w:val="20"/>
        </w:rPr>
        <w:t xml:space="preserve"> </w:t>
      </w:r>
      <w:r>
        <w:rPr>
          <w:rFonts w:ascii="Calibri Light" w:hAnsi="Calibri Light"/>
          <w:sz w:val="20"/>
        </w:rPr>
        <w:t>management checkups</w:t>
      </w:r>
      <w:r>
        <w:rPr>
          <w:rFonts w:ascii="Calibri Light" w:hAnsi="Calibri Light"/>
          <w:spacing w:val="-3"/>
          <w:sz w:val="20"/>
        </w:rPr>
        <w:t xml:space="preserve"> </w:t>
      </w:r>
      <w:r>
        <w:rPr>
          <w:rFonts w:ascii="Calibri Light" w:hAnsi="Calibri Light"/>
          <w:sz w:val="20"/>
        </w:rPr>
        <w:t>(RMCs)</w:t>
      </w:r>
      <w:r>
        <w:rPr>
          <w:rFonts w:ascii="Calibri Light" w:hAnsi="Calibri Light"/>
          <w:spacing w:val="-3"/>
          <w:sz w:val="20"/>
        </w:rPr>
        <w:t xml:space="preserve"> </w:t>
      </w:r>
      <w:r>
        <w:rPr>
          <w:rFonts w:ascii="Calibri Light" w:hAnsi="Calibri Light"/>
          <w:sz w:val="20"/>
        </w:rPr>
        <w:t>on</w:t>
      </w:r>
      <w:r>
        <w:rPr>
          <w:rFonts w:ascii="Calibri Light" w:hAnsi="Calibri Light"/>
          <w:spacing w:val="-3"/>
          <w:sz w:val="20"/>
        </w:rPr>
        <w:t xml:space="preserve"> </w:t>
      </w:r>
      <w:r>
        <w:rPr>
          <w:rFonts w:ascii="Calibri Light" w:hAnsi="Calibri Light"/>
          <w:sz w:val="20"/>
        </w:rPr>
        <w:t>treatment</w:t>
      </w:r>
      <w:r>
        <w:rPr>
          <w:rFonts w:ascii="Calibri Light" w:hAnsi="Calibri Light"/>
          <w:spacing w:val="-4"/>
          <w:sz w:val="20"/>
        </w:rPr>
        <w:t xml:space="preserve"> </w:t>
      </w:r>
      <w:r>
        <w:rPr>
          <w:rFonts w:ascii="Calibri Light" w:hAnsi="Calibri Light"/>
          <w:sz w:val="20"/>
        </w:rPr>
        <w:t>participation,</w:t>
      </w:r>
      <w:r>
        <w:rPr>
          <w:rFonts w:ascii="Calibri Light" w:hAnsi="Calibri Light"/>
          <w:spacing w:val="-4"/>
          <w:sz w:val="20"/>
        </w:rPr>
        <w:t xml:space="preserve"> </w:t>
      </w:r>
      <w:r>
        <w:rPr>
          <w:rFonts w:ascii="Calibri Light" w:hAnsi="Calibri Light"/>
          <w:sz w:val="20"/>
        </w:rPr>
        <w:t>substance</w:t>
      </w:r>
      <w:r>
        <w:rPr>
          <w:rFonts w:ascii="Calibri Light" w:hAnsi="Calibri Light"/>
          <w:spacing w:val="-3"/>
          <w:sz w:val="20"/>
        </w:rPr>
        <w:t xml:space="preserve"> </w:t>
      </w:r>
      <w:r>
        <w:rPr>
          <w:rFonts w:ascii="Calibri Light" w:hAnsi="Calibri Light"/>
          <w:sz w:val="20"/>
        </w:rPr>
        <w:t>use,</w:t>
      </w:r>
      <w:r>
        <w:rPr>
          <w:rFonts w:ascii="Calibri Light" w:hAnsi="Calibri Light"/>
          <w:spacing w:val="-2"/>
          <w:sz w:val="20"/>
        </w:rPr>
        <w:t xml:space="preserve"> </w:t>
      </w:r>
      <w:r>
        <w:rPr>
          <w:rFonts w:ascii="Calibri Light" w:hAnsi="Calibri Light"/>
          <w:sz w:val="20"/>
        </w:rPr>
        <w:t>HIV</w:t>
      </w:r>
      <w:r>
        <w:rPr>
          <w:rFonts w:ascii="Calibri Light" w:hAnsi="Calibri Light"/>
          <w:spacing w:val="-3"/>
          <w:sz w:val="20"/>
        </w:rPr>
        <w:t xml:space="preserve"> </w:t>
      </w:r>
      <w:r>
        <w:rPr>
          <w:rFonts w:ascii="Calibri Light" w:hAnsi="Calibri Light"/>
          <w:sz w:val="20"/>
        </w:rPr>
        <w:t>risk</w:t>
      </w:r>
      <w:r>
        <w:rPr>
          <w:rFonts w:ascii="Calibri Light" w:hAnsi="Calibri Light"/>
          <w:spacing w:val="-2"/>
          <w:sz w:val="20"/>
        </w:rPr>
        <w:t xml:space="preserve"> </w:t>
      </w:r>
      <w:r>
        <w:rPr>
          <w:rFonts w:ascii="Calibri Light" w:hAnsi="Calibri Light"/>
          <w:sz w:val="20"/>
        </w:rPr>
        <w:t>behaviors,</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recidivism</w:t>
      </w:r>
      <w:r>
        <w:rPr>
          <w:rFonts w:ascii="Calibri Light" w:hAnsi="Calibri Light"/>
          <w:spacing w:val="-2"/>
          <w:sz w:val="20"/>
        </w:rPr>
        <w:t xml:space="preserve"> </w:t>
      </w:r>
      <w:r>
        <w:rPr>
          <w:rFonts w:ascii="Calibri Light" w:hAnsi="Calibri Light"/>
          <w:sz w:val="20"/>
        </w:rPr>
        <w:t>among</w:t>
      </w:r>
      <w:r>
        <w:rPr>
          <w:rFonts w:ascii="Calibri Light" w:hAnsi="Calibri Light"/>
          <w:spacing w:val="-3"/>
          <w:sz w:val="20"/>
        </w:rPr>
        <w:t xml:space="preserve"> </w:t>
      </w:r>
      <w:r>
        <w:rPr>
          <w:rFonts w:ascii="Calibri Light" w:hAnsi="Calibri Light"/>
          <w:sz w:val="20"/>
        </w:rPr>
        <w:t xml:space="preserve">female offenders: Main findings of a 3-year experiment using subject by </w:t>
      </w:r>
      <w:r>
        <w:rPr>
          <w:rFonts w:ascii="Calibri Light" w:hAnsi="Calibri Light"/>
          <w:sz w:val="20"/>
        </w:rPr>
        <w:t xml:space="preserve">intervention interaction analysis. </w:t>
      </w:r>
      <w:r>
        <w:rPr>
          <w:rFonts w:ascii="Calibri Light" w:hAnsi="Calibri Light"/>
          <w:i/>
          <w:sz w:val="20"/>
        </w:rPr>
        <w:t>Journal of Experimental Criminology</w:t>
      </w:r>
      <w:r>
        <w:rPr>
          <w:rFonts w:ascii="Calibri Light" w:hAnsi="Calibri Light"/>
          <w:sz w:val="20"/>
        </w:rPr>
        <w:t xml:space="preserve">, </w:t>
      </w:r>
      <w:r>
        <w:rPr>
          <w:rFonts w:ascii="Calibri Light" w:hAnsi="Calibri Light"/>
          <w:i/>
          <w:sz w:val="20"/>
        </w:rPr>
        <w:t>13</w:t>
      </w:r>
      <w:r>
        <w:rPr>
          <w:rFonts w:ascii="Calibri Light" w:hAnsi="Calibri Light"/>
          <w:sz w:val="20"/>
        </w:rPr>
        <w:t>(1), 53–77.</w:t>
      </w:r>
    </w:p>
    <w:p w14:paraId="67C97F8C" w14:textId="77777777" w:rsidR="00DB6E1F" w:rsidRDefault="00F666A6">
      <w:pPr>
        <w:spacing w:line="259" w:lineRule="auto"/>
        <w:ind w:left="1619" w:right="1919" w:hanging="181"/>
        <w:jc w:val="both"/>
        <w:rPr>
          <w:rFonts w:ascii="Calibri Light" w:hAnsi="Calibri Light"/>
          <w:sz w:val="20"/>
        </w:rPr>
      </w:pPr>
      <w:r>
        <w:rPr>
          <w:rFonts w:ascii="Calibri Light" w:hAnsi="Calibri Light"/>
          <w:sz w:val="20"/>
        </w:rPr>
        <w:t>Shepard, D.</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Lwin,</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K., Barnett,</w:t>
      </w:r>
      <w:r>
        <w:rPr>
          <w:rFonts w:ascii="Calibri Light" w:hAnsi="Calibri Light"/>
          <w:spacing w:val="-3"/>
          <w:sz w:val="20"/>
        </w:rPr>
        <w:t xml:space="preserve"> </w:t>
      </w:r>
      <w:r>
        <w:rPr>
          <w:rFonts w:ascii="Calibri Light" w:hAnsi="Calibri Light"/>
          <w:sz w:val="20"/>
        </w:rPr>
        <w:t>N.</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Mastroleo,</w:t>
      </w:r>
      <w:r>
        <w:rPr>
          <w:rFonts w:ascii="Calibri Light" w:hAnsi="Calibri Light"/>
          <w:spacing w:val="-3"/>
          <w:sz w:val="20"/>
        </w:rPr>
        <w:t xml:space="preserve"> </w:t>
      </w:r>
      <w:r>
        <w:rPr>
          <w:rFonts w:ascii="Calibri Light" w:hAnsi="Calibri Light"/>
          <w:sz w:val="20"/>
        </w:rPr>
        <w:t>N., Colby,</w:t>
      </w:r>
      <w:r>
        <w:rPr>
          <w:rFonts w:ascii="Calibri Light" w:hAnsi="Calibri Light"/>
          <w:spacing w:val="-3"/>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Gwaltney, C.,</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Monti,</w:t>
      </w:r>
      <w:r>
        <w:rPr>
          <w:rFonts w:ascii="Calibri Light" w:hAnsi="Calibri Light"/>
          <w:spacing w:val="-3"/>
          <w:sz w:val="20"/>
        </w:rPr>
        <w:t xml:space="preserve"> </w:t>
      </w:r>
      <w:r>
        <w:rPr>
          <w:rFonts w:ascii="Calibri Light" w:hAnsi="Calibri Light"/>
          <w:sz w:val="20"/>
        </w:rPr>
        <w:t>P.</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Cost- effectiveness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motivational</w:t>
      </w:r>
      <w:r>
        <w:rPr>
          <w:rFonts w:ascii="Calibri Light" w:hAnsi="Calibri Light"/>
          <w:spacing w:val="-1"/>
          <w:sz w:val="20"/>
        </w:rPr>
        <w:t xml:space="preserve"> </w:t>
      </w:r>
      <w:r>
        <w:rPr>
          <w:rFonts w:ascii="Calibri Light" w:hAnsi="Calibri Light"/>
          <w:sz w:val="20"/>
        </w:rPr>
        <w:t>intervention</w:t>
      </w:r>
      <w:r>
        <w:rPr>
          <w:rFonts w:ascii="Calibri Light" w:hAnsi="Calibri Light"/>
          <w:spacing w:val="-3"/>
          <w:sz w:val="20"/>
        </w:rPr>
        <w:t xml:space="preserve"> </w:t>
      </w:r>
      <w:r>
        <w:rPr>
          <w:rFonts w:ascii="Calibri Light" w:hAnsi="Calibri Light"/>
          <w:sz w:val="20"/>
        </w:rPr>
        <w:t>with</w:t>
      </w:r>
      <w:r>
        <w:rPr>
          <w:rFonts w:ascii="Calibri Light" w:hAnsi="Calibri Light"/>
          <w:spacing w:val="-3"/>
          <w:sz w:val="20"/>
        </w:rPr>
        <w:t xml:space="preserve"> </w:t>
      </w:r>
      <w:r>
        <w:rPr>
          <w:rFonts w:ascii="Calibri Light" w:hAnsi="Calibri Light"/>
          <w:sz w:val="20"/>
        </w:rPr>
        <w:t>significant</w:t>
      </w:r>
      <w:r>
        <w:rPr>
          <w:rFonts w:ascii="Calibri Light" w:hAnsi="Calibri Light"/>
          <w:spacing w:val="-1"/>
          <w:sz w:val="20"/>
        </w:rPr>
        <w:t xml:space="preserve"> </w:t>
      </w:r>
      <w:r>
        <w:rPr>
          <w:rFonts w:ascii="Calibri Light" w:hAnsi="Calibri Light"/>
          <w:sz w:val="20"/>
        </w:rPr>
        <w:t>others</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patients</w:t>
      </w:r>
      <w:r>
        <w:rPr>
          <w:rFonts w:ascii="Calibri Light" w:hAnsi="Calibri Light"/>
          <w:spacing w:val="-3"/>
          <w:sz w:val="20"/>
        </w:rPr>
        <w:t xml:space="preserve"> </w:t>
      </w:r>
      <w:r>
        <w:rPr>
          <w:rFonts w:ascii="Calibri Light" w:hAnsi="Calibri Light"/>
          <w:sz w:val="20"/>
        </w:rPr>
        <w:t>with</w:t>
      </w:r>
      <w:r>
        <w:rPr>
          <w:rFonts w:ascii="Calibri Light" w:hAnsi="Calibri Light"/>
          <w:spacing w:val="-3"/>
          <w:sz w:val="20"/>
        </w:rPr>
        <w:t xml:space="preserve"> </w:t>
      </w:r>
      <w:r>
        <w:rPr>
          <w:rFonts w:ascii="Calibri Light" w:hAnsi="Calibri Light"/>
          <w:sz w:val="20"/>
        </w:rPr>
        <w:t>alcohol</w:t>
      </w:r>
      <w:r>
        <w:rPr>
          <w:rFonts w:ascii="Calibri Light" w:hAnsi="Calibri Light"/>
          <w:spacing w:val="-1"/>
          <w:sz w:val="20"/>
        </w:rPr>
        <w:t xml:space="preserve"> </w:t>
      </w:r>
      <w:r>
        <w:rPr>
          <w:rFonts w:ascii="Calibri Light" w:hAnsi="Calibri Light"/>
          <w:sz w:val="20"/>
        </w:rPr>
        <w:t>misuse.</w:t>
      </w:r>
      <w:r>
        <w:rPr>
          <w:rFonts w:ascii="Calibri Light" w:hAnsi="Calibri Light"/>
          <w:spacing w:val="-4"/>
          <w:sz w:val="20"/>
        </w:rPr>
        <w:t xml:space="preserve"> </w:t>
      </w:r>
      <w:r>
        <w:rPr>
          <w:rFonts w:ascii="Calibri Light" w:hAnsi="Calibri Light"/>
          <w:i/>
          <w:sz w:val="20"/>
        </w:rPr>
        <w:t>Addiction, 111</w:t>
      </w:r>
      <w:r>
        <w:rPr>
          <w:rFonts w:ascii="Calibri Light" w:hAnsi="Calibri Light"/>
          <w:sz w:val="20"/>
        </w:rPr>
        <w:t>(5), 832–839. doi:10.1111/add.13233</w:t>
      </w:r>
    </w:p>
    <w:p w14:paraId="382F1A9E" w14:textId="77777777" w:rsidR="00DB6E1F" w:rsidRDefault="00F666A6">
      <w:pPr>
        <w:spacing w:line="243" w:lineRule="exact"/>
        <w:ind w:left="1439"/>
        <w:jc w:val="both"/>
        <w:rPr>
          <w:rFonts w:ascii="Calibri Light" w:hAnsi="Calibri Light"/>
          <w:sz w:val="20"/>
        </w:rPr>
      </w:pPr>
      <w:r>
        <w:rPr>
          <w:rFonts w:ascii="Calibri Light" w:hAnsi="Calibri Light"/>
          <w:sz w:val="20"/>
        </w:rPr>
        <w:t>Skinner,</w:t>
      </w:r>
      <w:r>
        <w:rPr>
          <w:rFonts w:ascii="Calibri Light" w:hAnsi="Calibri Light"/>
          <w:spacing w:val="-7"/>
          <w:sz w:val="20"/>
        </w:rPr>
        <w:t xml:space="preserve"> </w:t>
      </w:r>
      <w:r>
        <w:rPr>
          <w:rFonts w:ascii="Calibri Light" w:hAnsi="Calibri Light"/>
          <w:sz w:val="20"/>
        </w:rPr>
        <w:t>H.</w:t>
      </w:r>
      <w:r>
        <w:rPr>
          <w:rFonts w:ascii="Calibri Light" w:hAnsi="Calibri Light"/>
          <w:spacing w:val="-7"/>
          <w:sz w:val="20"/>
        </w:rPr>
        <w:t xml:space="preserve"> </w:t>
      </w:r>
      <w:r>
        <w:rPr>
          <w:rFonts w:ascii="Calibri Light" w:hAnsi="Calibri Light"/>
          <w:sz w:val="20"/>
        </w:rPr>
        <w:t>A.</w:t>
      </w:r>
      <w:r>
        <w:rPr>
          <w:rFonts w:ascii="Calibri Light" w:hAnsi="Calibri Light"/>
          <w:spacing w:val="-7"/>
          <w:sz w:val="20"/>
        </w:rPr>
        <w:t xml:space="preserve"> </w:t>
      </w:r>
      <w:r>
        <w:rPr>
          <w:rFonts w:ascii="Calibri Light" w:hAnsi="Calibri Light"/>
          <w:sz w:val="20"/>
        </w:rPr>
        <w:t>(1982).</w:t>
      </w:r>
      <w:r>
        <w:rPr>
          <w:rFonts w:ascii="Calibri Light" w:hAnsi="Calibri Light"/>
          <w:spacing w:val="-6"/>
          <w:sz w:val="20"/>
        </w:rPr>
        <w:t xml:space="preserve"> </w:t>
      </w:r>
      <w:r>
        <w:rPr>
          <w:rFonts w:ascii="Calibri Light" w:hAnsi="Calibri Light"/>
          <w:sz w:val="20"/>
        </w:rPr>
        <w:t>The</w:t>
      </w:r>
      <w:r>
        <w:rPr>
          <w:rFonts w:ascii="Calibri Light" w:hAnsi="Calibri Light"/>
          <w:spacing w:val="-5"/>
          <w:sz w:val="20"/>
        </w:rPr>
        <w:t xml:space="preserve"> </w:t>
      </w:r>
      <w:r>
        <w:rPr>
          <w:rFonts w:ascii="Calibri Light" w:hAnsi="Calibri Light"/>
          <w:sz w:val="20"/>
        </w:rPr>
        <w:t>Drug</w:t>
      </w:r>
      <w:r>
        <w:rPr>
          <w:rFonts w:ascii="Calibri Light" w:hAnsi="Calibri Light"/>
          <w:spacing w:val="-5"/>
          <w:sz w:val="20"/>
        </w:rPr>
        <w:t xml:space="preserve"> </w:t>
      </w:r>
      <w:r>
        <w:rPr>
          <w:rFonts w:ascii="Calibri Light" w:hAnsi="Calibri Light"/>
          <w:sz w:val="20"/>
        </w:rPr>
        <w:t>Abuse</w:t>
      </w:r>
      <w:r>
        <w:rPr>
          <w:rFonts w:ascii="Calibri Light" w:hAnsi="Calibri Light"/>
          <w:spacing w:val="-6"/>
          <w:sz w:val="20"/>
        </w:rPr>
        <w:t xml:space="preserve"> </w:t>
      </w:r>
      <w:r>
        <w:rPr>
          <w:rFonts w:ascii="Calibri Light" w:hAnsi="Calibri Light"/>
          <w:sz w:val="20"/>
        </w:rPr>
        <w:t>Screening</w:t>
      </w:r>
      <w:r>
        <w:rPr>
          <w:rFonts w:ascii="Calibri Light" w:hAnsi="Calibri Light"/>
          <w:spacing w:val="-6"/>
          <w:sz w:val="20"/>
        </w:rPr>
        <w:t xml:space="preserve"> </w:t>
      </w:r>
      <w:r>
        <w:rPr>
          <w:rFonts w:ascii="Calibri Light" w:hAnsi="Calibri Light"/>
          <w:sz w:val="20"/>
        </w:rPr>
        <w:t>Test.</w:t>
      </w:r>
      <w:r>
        <w:rPr>
          <w:rFonts w:ascii="Calibri Light" w:hAnsi="Calibri Light"/>
          <w:spacing w:val="-7"/>
          <w:sz w:val="20"/>
        </w:rPr>
        <w:t xml:space="preserve"> </w:t>
      </w:r>
      <w:r>
        <w:rPr>
          <w:rFonts w:ascii="Calibri Light" w:hAnsi="Calibri Light"/>
          <w:i/>
          <w:sz w:val="20"/>
        </w:rPr>
        <w:t>Addictive</w:t>
      </w:r>
      <w:r>
        <w:rPr>
          <w:rFonts w:ascii="Calibri Light" w:hAnsi="Calibri Light"/>
          <w:i/>
          <w:spacing w:val="-6"/>
          <w:sz w:val="20"/>
        </w:rPr>
        <w:t xml:space="preserve"> </w:t>
      </w:r>
      <w:r>
        <w:rPr>
          <w:rFonts w:ascii="Calibri Light" w:hAnsi="Calibri Light"/>
          <w:i/>
          <w:sz w:val="20"/>
        </w:rPr>
        <w:t>Behavior,</w:t>
      </w:r>
      <w:r>
        <w:rPr>
          <w:rFonts w:ascii="Calibri Light" w:hAnsi="Calibri Light"/>
          <w:i/>
          <w:spacing w:val="-6"/>
          <w:sz w:val="20"/>
        </w:rPr>
        <w:t xml:space="preserve"> </w:t>
      </w:r>
      <w:r>
        <w:rPr>
          <w:rFonts w:ascii="Calibri Light" w:hAnsi="Calibri Light"/>
          <w:i/>
          <w:sz w:val="20"/>
        </w:rPr>
        <w:t>7</w:t>
      </w:r>
      <w:r>
        <w:rPr>
          <w:rFonts w:ascii="Calibri Light" w:hAnsi="Calibri Light"/>
          <w:sz w:val="20"/>
        </w:rPr>
        <w:t>(4),</w:t>
      </w:r>
      <w:r>
        <w:rPr>
          <w:rFonts w:ascii="Calibri Light" w:hAnsi="Calibri Light"/>
          <w:spacing w:val="-7"/>
          <w:sz w:val="20"/>
        </w:rPr>
        <w:t xml:space="preserve"> </w:t>
      </w:r>
      <w:r>
        <w:rPr>
          <w:rFonts w:ascii="Calibri Light" w:hAnsi="Calibri Light"/>
          <w:spacing w:val="-2"/>
          <w:sz w:val="20"/>
        </w:rPr>
        <w:t>363–371.</w:t>
      </w:r>
    </w:p>
    <w:p w14:paraId="021CE370" w14:textId="77777777" w:rsidR="00DB6E1F" w:rsidRDefault="00F666A6">
      <w:pPr>
        <w:spacing w:before="13" w:line="259" w:lineRule="auto"/>
        <w:ind w:left="1619" w:right="1491" w:hanging="181"/>
        <w:rPr>
          <w:rFonts w:ascii="Calibri Light"/>
          <w:sz w:val="20"/>
        </w:rPr>
      </w:pPr>
      <w:r>
        <w:rPr>
          <w:rFonts w:ascii="Calibri Light"/>
          <w:sz w:val="20"/>
        </w:rPr>
        <w:t>Smedslund,</w:t>
      </w:r>
      <w:r>
        <w:rPr>
          <w:rFonts w:ascii="Calibri Light"/>
          <w:spacing w:val="-1"/>
          <w:sz w:val="20"/>
        </w:rPr>
        <w:t xml:space="preserve"> </w:t>
      </w:r>
      <w:r>
        <w:rPr>
          <w:rFonts w:ascii="Calibri Light"/>
          <w:sz w:val="20"/>
        </w:rPr>
        <w:t>G.,</w:t>
      </w:r>
      <w:r>
        <w:rPr>
          <w:rFonts w:ascii="Calibri Light"/>
          <w:spacing w:val="-1"/>
          <w:sz w:val="20"/>
        </w:rPr>
        <w:t xml:space="preserve"> </w:t>
      </w:r>
      <w:r>
        <w:rPr>
          <w:rFonts w:ascii="Calibri Light"/>
          <w:sz w:val="20"/>
        </w:rPr>
        <w:t>Berg,</w:t>
      </w:r>
      <w:r>
        <w:rPr>
          <w:rFonts w:ascii="Calibri Light"/>
          <w:spacing w:val="-1"/>
          <w:sz w:val="20"/>
        </w:rPr>
        <w:t xml:space="preserve"> </w:t>
      </w:r>
      <w:r>
        <w:rPr>
          <w:rFonts w:ascii="Calibri Light"/>
          <w:sz w:val="20"/>
        </w:rPr>
        <w:t>R. C.,</w:t>
      </w:r>
      <w:r>
        <w:rPr>
          <w:rFonts w:ascii="Calibri Light"/>
          <w:spacing w:val="-1"/>
          <w:sz w:val="20"/>
        </w:rPr>
        <w:t xml:space="preserve"> </w:t>
      </w:r>
      <w:r>
        <w:rPr>
          <w:rFonts w:ascii="Calibri Light"/>
          <w:sz w:val="20"/>
        </w:rPr>
        <w:t>Hammerstrom,</w:t>
      </w:r>
      <w:r>
        <w:rPr>
          <w:rFonts w:ascii="Calibri Light"/>
          <w:spacing w:val="-1"/>
          <w:sz w:val="20"/>
        </w:rPr>
        <w:t xml:space="preserve"> </w:t>
      </w:r>
      <w:r>
        <w:rPr>
          <w:rFonts w:ascii="Calibri Light"/>
          <w:sz w:val="20"/>
        </w:rPr>
        <w:t>K.</w:t>
      </w:r>
      <w:r>
        <w:rPr>
          <w:rFonts w:ascii="Calibri Light"/>
          <w:spacing w:val="-1"/>
          <w:sz w:val="20"/>
        </w:rPr>
        <w:t xml:space="preserve"> </w:t>
      </w:r>
      <w:r>
        <w:rPr>
          <w:rFonts w:ascii="Calibri Light"/>
          <w:sz w:val="20"/>
        </w:rPr>
        <w:t>T.,</w:t>
      </w:r>
      <w:r>
        <w:rPr>
          <w:rFonts w:ascii="Calibri Light"/>
          <w:spacing w:val="-1"/>
          <w:sz w:val="20"/>
        </w:rPr>
        <w:t xml:space="preserve"> </w:t>
      </w:r>
      <w:r>
        <w:rPr>
          <w:rFonts w:ascii="Calibri Light"/>
          <w:sz w:val="20"/>
        </w:rPr>
        <w:t>Steiro,</w:t>
      </w:r>
      <w:r>
        <w:rPr>
          <w:rFonts w:ascii="Calibri Light"/>
          <w:spacing w:val="-1"/>
          <w:sz w:val="20"/>
        </w:rPr>
        <w:t xml:space="preserve"> </w:t>
      </w:r>
      <w:r>
        <w:rPr>
          <w:rFonts w:ascii="Calibri Light"/>
          <w:sz w:val="20"/>
        </w:rPr>
        <w:t>A.,</w:t>
      </w:r>
      <w:r>
        <w:rPr>
          <w:rFonts w:ascii="Calibri Light"/>
          <w:spacing w:val="-1"/>
          <w:sz w:val="20"/>
        </w:rPr>
        <w:t xml:space="preserve"> </w:t>
      </w:r>
      <w:r>
        <w:rPr>
          <w:rFonts w:ascii="Calibri Light"/>
          <w:sz w:val="20"/>
        </w:rPr>
        <w:t>Leiknes,</w:t>
      </w:r>
      <w:r>
        <w:rPr>
          <w:rFonts w:ascii="Calibri Light"/>
          <w:spacing w:val="-1"/>
          <w:sz w:val="20"/>
        </w:rPr>
        <w:t xml:space="preserve"> </w:t>
      </w:r>
      <w:r>
        <w:rPr>
          <w:rFonts w:ascii="Calibri Light"/>
          <w:sz w:val="20"/>
        </w:rPr>
        <w:t>K.</w:t>
      </w:r>
      <w:r>
        <w:rPr>
          <w:rFonts w:ascii="Calibri Light"/>
          <w:spacing w:val="-1"/>
          <w:sz w:val="20"/>
        </w:rPr>
        <w:t xml:space="preserve"> </w:t>
      </w:r>
      <w:r>
        <w:rPr>
          <w:rFonts w:ascii="Calibri Light"/>
          <w:sz w:val="20"/>
        </w:rPr>
        <w:t>A., Dahl,</w:t>
      </w:r>
      <w:r>
        <w:rPr>
          <w:rFonts w:ascii="Calibri Light"/>
          <w:spacing w:val="-1"/>
          <w:sz w:val="20"/>
        </w:rPr>
        <w:t xml:space="preserve"> </w:t>
      </w:r>
      <w:r>
        <w:rPr>
          <w:rFonts w:ascii="Calibri Light"/>
          <w:sz w:val="20"/>
        </w:rPr>
        <w:t>H.</w:t>
      </w:r>
      <w:r>
        <w:rPr>
          <w:rFonts w:ascii="Calibri Light"/>
          <w:spacing w:val="-1"/>
          <w:sz w:val="20"/>
        </w:rPr>
        <w:t xml:space="preserve"> </w:t>
      </w:r>
      <w:r>
        <w:rPr>
          <w:rFonts w:ascii="Calibri Light"/>
          <w:sz w:val="20"/>
        </w:rPr>
        <w:t>M.,</w:t>
      </w:r>
      <w:r>
        <w:rPr>
          <w:rFonts w:ascii="Calibri Light"/>
          <w:spacing w:val="-1"/>
          <w:sz w:val="20"/>
        </w:rPr>
        <w:t xml:space="preserve"> </w:t>
      </w:r>
      <w:r>
        <w:rPr>
          <w:rFonts w:ascii="Calibri Light"/>
          <w:sz w:val="20"/>
        </w:rPr>
        <w:t>&amp; Karlsen,</w:t>
      </w:r>
      <w:r>
        <w:rPr>
          <w:rFonts w:ascii="Calibri Light"/>
          <w:spacing w:val="-1"/>
          <w:sz w:val="20"/>
        </w:rPr>
        <w:t xml:space="preserve"> </w:t>
      </w:r>
      <w:r>
        <w:rPr>
          <w:rFonts w:ascii="Calibri Light"/>
          <w:sz w:val="20"/>
        </w:rPr>
        <w:t>K.</w:t>
      </w:r>
      <w:r>
        <w:rPr>
          <w:rFonts w:ascii="Calibri Light"/>
          <w:spacing w:val="-1"/>
          <w:sz w:val="20"/>
        </w:rPr>
        <w:t xml:space="preserve"> </w:t>
      </w:r>
      <w:r>
        <w:rPr>
          <w:rFonts w:ascii="Calibri Light"/>
          <w:sz w:val="20"/>
        </w:rPr>
        <w:t>(2011). Motivational</w:t>
      </w:r>
      <w:r>
        <w:rPr>
          <w:rFonts w:ascii="Calibri Light"/>
          <w:spacing w:val="-5"/>
          <w:sz w:val="20"/>
        </w:rPr>
        <w:t xml:space="preserve"> </w:t>
      </w:r>
      <w:r>
        <w:rPr>
          <w:rFonts w:ascii="Calibri Light"/>
          <w:sz w:val="20"/>
        </w:rPr>
        <w:t>interviewing</w:t>
      </w:r>
      <w:r>
        <w:rPr>
          <w:rFonts w:ascii="Calibri Light"/>
          <w:spacing w:val="-4"/>
          <w:sz w:val="20"/>
        </w:rPr>
        <w:t xml:space="preserve"> </w:t>
      </w:r>
      <w:r>
        <w:rPr>
          <w:rFonts w:ascii="Calibri Light"/>
          <w:sz w:val="20"/>
        </w:rPr>
        <w:t>for</w:t>
      </w:r>
      <w:r>
        <w:rPr>
          <w:rFonts w:ascii="Calibri Light"/>
          <w:spacing w:val="-2"/>
          <w:sz w:val="20"/>
        </w:rPr>
        <w:t xml:space="preserve"> </w:t>
      </w:r>
      <w:r>
        <w:rPr>
          <w:rFonts w:ascii="Calibri Light"/>
          <w:sz w:val="20"/>
        </w:rPr>
        <w:t>substance</w:t>
      </w:r>
      <w:r>
        <w:rPr>
          <w:rFonts w:ascii="Calibri Light"/>
          <w:spacing w:val="-4"/>
          <w:sz w:val="20"/>
        </w:rPr>
        <w:t xml:space="preserve"> </w:t>
      </w:r>
      <w:r>
        <w:rPr>
          <w:rFonts w:ascii="Calibri Light"/>
          <w:sz w:val="20"/>
        </w:rPr>
        <w:t>abuse.</w:t>
      </w:r>
      <w:r>
        <w:rPr>
          <w:rFonts w:ascii="Calibri Light"/>
          <w:spacing w:val="-5"/>
          <w:sz w:val="20"/>
        </w:rPr>
        <w:t xml:space="preserve"> </w:t>
      </w:r>
      <w:r>
        <w:rPr>
          <w:rFonts w:ascii="Calibri Light"/>
          <w:i/>
          <w:sz w:val="20"/>
        </w:rPr>
        <w:t>Cochrane</w:t>
      </w:r>
      <w:r>
        <w:rPr>
          <w:rFonts w:ascii="Calibri Light"/>
          <w:i/>
          <w:spacing w:val="-4"/>
          <w:sz w:val="20"/>
        </w:rPr>
        <w:t xml:space="preserve"> </w:t>
      </w:r>
      <w:r>
        <w:rPr>
          <w:rFonts w:ascii="Calibri Light"/>
          <w:i/>
          <w:sz w:val="20"/>
        </w:rPr>
        <w:t>Database</w:t>
      </w:r>
      <w:r>
        <w:rPr>
          <w:rFonts w:ascii="Calibri Light"/>
          <w:i/>
          <w:spacing w:val="-4"/>
          <w:sz w:val="20"/>
        </w:rPr>
        <w:t xml:space="preserve"> </w:t>
      </w:r>
      <w:r>
        <w:rPr>
          <w:rFonts w:ascii="Calibri Light"/>
          <w:i/>
          <w:sz w:val="20"/>
        </w:rPr>
        <w:t>of</w:t>
      </w:r>
      <w:r>
        <w:rPr>
          <w:rFonts w:ascii="Calibri Light"/>
          <w:i/>
          <w:spacing w:val="-4"/>
          <w:sz w:val="20"/>
        </w:rPr>
        <w:t xml:space="preserve"> </w:t>
      </w:r>
      <w:r>
        <w:rPr>
          <w:rFonts w:ascii="Calibri Light"/>
          <w:i/>
          <w:sz w:val="20"/>
        </w:rPr>
        <w:t>Systematic</w:t>
      </w:r>
      <w:r>
        <w:rPr>
          <w:rFonts w:ascii="Calibri Light"/>
          <w:i/>
          <w:spacing w:val="-3"/>
          <w:sz w:val="20"/>
        </w:rPr>
        <w:t xml:space="preserve"> </w:t>
      </w:r>
      <w:r>
        <w:rPr>
          <w:rFonts w:ascii="Calibri Light"/>
          <w:i/>
          <w:sz w:val="20"/>
        </w:rPr>
        <w:t>Reviews,</w:t>
      </w:r>
      <w:r>
        <w:rPr>
          <w:rFonts w:ascii="Calibri Light"/>
          <w:i/>
          <w:spacing w:val="-2"/>
          <w:sz w:val="20"/>
        </w:rPr>
        <w:t xml:space="preserve"> </w:t>
      </w:r>
      <w:r>
        <w:rPr>
          <w:rFonts w:ascii="Calibri Light"/>
          <w:i/>
          <w:sz w:val="20"/>
        </w:rPr>
        <w:t>5</w:t>
      </w:r>
      <w:r>
        <w:rPr>
          <w:rFonts w:ascii="Calibri Light"/>
          <w:sz w:val="20"/>
        </w:rPr>
        <w:t>,</w:t>
      </w:r>
      <w:r>
        <w:rPr>
          <w:rFonts w:ascii="Calibri Light"/>
          <w:spacing w:val="-5"/>
          <w:sz w:val="20"/>
        </w:rPr>
        <w:t xml:space="preserve"> </w:t>
      </w:r>
      <w:r>
        <w:rPr>
          <w:rFonts w:ascii="Calibri Light"/>
          <w:sz w:val="20"/>
        </w:rPr>
        <w:t>CD008063</w:t>
      </w:r>
    </w:p>
    <w:p w14:paraId="294DF078" w14:textId="77777777" w:rsidR="00DB6E1F" w:rsidRDefault="00F666A6">
      <w:pPr>
        <w:spacing w:line="259" w:lineRule="auto"/>
        <w:ind w:left="1619" w:right="1491" w:hanging="180"/>
        <w:rPr>
          <w:rFonts w:ascii="Calibri Light" w:hAnsi="Calibri Light"/>
          <w:sz w:val="20"/>
        </w:rPr>
      </w:pPr>
      <w:r>
        <w:rPr>
          <w:rFonts w:ascii="Calibri Light" w:hAnsi="Calibri Light"/>
          <w:sz w:val="20"/>
        </w:rPr>
        <w:t>Smeerdijk, M., Keet, R., Raaij, B. V., Koeter, M., Linszen, D., Haan, L. D., &amp; Schippers, G. (2015). Motivational interviewing</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interaction</w:t>
      </w:r>
      <w:r>
        <w:rPr>
          <w:rFonts w:ascii="Calibri Light" w:hAnsi="Calibri Light"/>
          <w:spacing w:val="-3"/>
          <w:sz w:val="20"/>
        </w:rPr>
        <w:t xml:space="preserve"> </w:t>
      </w:r>
      <w:r>
        <w:rPr>
          <w:rFonts w:ascii="Calibri Light" w:hAnsi="Calibri Light"/>
          <w:sz w:val="20"/>
        </w:rPr>
        <w:t>skills</w:t>
      </w:r>
      <w:r>
        <w:rPr>
          <w:rFonts w:ascii="Calibri Light" w:hAnsi="Calibri Light"/>
          <w:spacing w:val="-3"/>
          <w:sz w:val="20"/>
        </w:rPr>
        <w:t xml:space="preserve"> </w:t>
      </w:r>
      <w:r>
        <w:rPr>
          <w:rFonts w:ascii="Calibri Light" w:hAnsi="Calibri Light"/>
          <w:sz w:val="20"/>
        </w:rPr>
        <w:t>training</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parents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young</w:t>
      </w:r>
      <w:r>
        <w:rPr>
          <w:rFonts w:ascii="Calibri Light" w:hAnsi="Calibri Light"/>
          <w:spacing w:val="-3"/>
          <w:sz w:val="20"/>
        </w:rPr>
        <w:t xml:space="preserve"> </w:t>
      </w:r>
      <w:r>
        <w:rPr>
          <w:rFonts w:ascii="Calibri Light" w:hAnsi="Calibri Light"/>
          <w:sz w:val="20"/>
        </w:rPr>
        <w:t>adults</w:t>
      </w:r>
      <w:r>
        <w:rPr>
          <w:rFonts w:ascii="Calibri Light" w:hAnsi="Calibri Light"/>
          <w:spacing w:val="-3"/>
          <w:sz w:val="20"/>
        </w:rPr>
        <w:t xml:space="preserve"> </w:t>
      </w:r>
      <w:r>
        <w:rPr>
          <w:rFonts w:ascii="Calibri Light" w:hAnsi="Calibri Light"/>
          <w:sz w:val="20"/>
        </w:rPr>
        <w:t>with</w:t>
      </w:r>
      <w:r>
        <w:rPr>
          <w:rFonts w:ascii="Calibri Light" w:hAnsi="Calibri Light"/>
          <w:spacing w:val="-3"/>
          <w:sz w:val="20"/>
        </w:rPr>
        <w:t xml:space="preserve"> </w:t>
      </w:r>
      <w:r>
        <w:rPr>
          <w:rFonts w:ascii="Calibri Light" w:hAnsi="Calibri Light"/>
          <w:sz w:val="20"/>
        </w:rPr>
        <w:t>recent-onset</w:t>
      </w:r>
      <w:r>
        <w:rPr>
          <w:rFonts w:ascii="Calibri Light" w:hAnsi="Calibri Light"/>
          <w:spacing w:val="-4"/>
          <w:sz w:val="20"/>
        </w:rPr>
        <w:t xml:space="preserve"> </w:t>
      </w:r>
      <w:r>
        <w:rPr>
          <w:rFonts w:ascii="Calibri Light" w:hAnsi="Calibri Light"/>
          <w:sz w:val="20"/>
        </w:rPr>
        <w:t>schizophrenia</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co- occurring cannabis use: 15-mo</w:t>
      </w:r>
      <w:r>
        <w:rPr>
          <w:rFonts w:ascii="Calibri Light" w:hAnsi="Calibri Light"/>
          <w:sz w:val="20"/>
        </w:rPr>
        <w:t xml:space="preserve">nth follow-up. </w:t>
      </w:r>
      <w:r>
        <w:rPr>
          <w:rFonts w:ascii="Calibri Light" w:hAnsi="Calibri Light"/>
          <w:i/>
          <w:sz w:val="20"/>
        </w:rPr>
        <w:t>Psychological Medicine, 45</w:t>
      </w:r>
      <w:r>
        <w:rPr>
          <w:rFonts w:ascii="Calibri Light" w:hAnsi="Calibri Light"/>
          <w:sz w:val="20"/>
        </w:rPr>
        <w:t xml:space="preserve">(13), 2839–2848. </w:t>
      </w:r>
      <w:r>
        <w:rPr>
          <w:rFonts w:ascii="Calibri Light" w:hAnsi="Calibri Light"/>
          <w:spacing w:val="-2"/>
          <w:sz w:val="20"/>
        </w:rPr>
        <w:t>doi:10.1017/s0033291715000793</w:t>
      </w:r>
    </w:p>
    <w:p w14:paraId="2E0EE897" w14:textId="77777777" w:rsidR="00DB6E1F" w:rsidRDefault="00F666A6">
      <w:pPr>
        <w:spacing w:line="256" w:lineRule="auto"/>
        <w:ind w:left="1619" w:right="1491" w:hanging="180"/>
        <w:rPr>
          <w:rFonts w:ascii="Calibri Light" w:hAnsi="Calibri Light"/>
          <w:sz w:val="20"/>
        </w:rPr>
      </w:pPr>
      <w:r>
        <w:rPr>
          <w:rFonts w:ascii="Calibri Light" w:hAnsi="Calibri Light"/>
          <w:sz w:val="20"/>
        </w:rPr>
        <w:t>Soderlund,</w:t>
      </w:r>
      <w:r>
        <w:rPr>
          <w:rFonts w:ascii="Calibri Light" w:hAnsi="Calibri Light"/>
          <w:spacing w:val="-5"/>
          <w:sz w:val="20"/>
        </w:rPr>
        <w:t xml:space="preserve"> </w:t>
      </w:r>
      <w:r>
        <w:rPr>
          <w:rFonts w:ascii="Calibri Light" w:hAnsi="Calibri Light"/>
          <w:sz w:val="20"/>
        </w:rPr>
        <w:t>P.</w:t>
      </w:r>
      <w:r>
        <w:rPr>
          <w:rFonts w:ascii="Calibri Light" w:hAnsi="Calibri Light"/>
          <w:spacing w:val="-5"/>
          <w:sz w:val="20"/>
        </w:rPr>
        <w:t xml:space="preserve"> </w:t>
      </w:r>
      <w:r>
        <w:rPr>
          <w:rFonts w:ascii="Calibri Light" w:hAnsi="Calibri Light"/>
          <w:sz w:val="20"/>
        </w:rPr>
        <w:t>D.</w:t>
      </w:r>
      <w:r>
        <w:rPr>
          <w:rFonts w:ascii="Calibri Light" w:hAnsi="Calibri Light"/>
          <w:spacing w:val="-5"/>
          <w:sz w:val="20"/>
        </w:rPr>
        <w:t xml:space="preserve"> </w:t>
      </w:r>
      <w:r>
        <w:rPr>
          <w:rFonts w:ascii="Calibri Light" w:hAnsi="Calibri Light"/>
          <w:sz w:val="20"/>
        </w:rPr>
        <w:t>(2017).</w:t>
      </w:r>
      <w:r>
        <w:rPr>
          <w:rFonts w:ascii="Calibri Light" w:hAnsi="Calibri Light"/>
          <w:spacing w:val="-5"/>
          <w:sz w:val="20"/>
        </w:rPr>
        <w:t xml:space="preserve"> </w:t>
      </w:r>
      <w:r>
        <w:rPr>
          <w:rFonts w:ascii="Calibri Light" w:hAnsi="Calibri Light"/>
          <w:sz w:val="20"/>
        </w:rPr>
        <w:t>Effectiveness</w:t>
      </w:r>
      <w:r>
        <w:rPr>
          <w:rFonts w:ascii="Calibri Light" w:hAnsi="Calibri Light"/>
          <w:spacing w:val="-4"/>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motivational</w:t>
      </w:r>
      <w:r>
        <w:rPr>
          <w:rFonts w:ascii="Calibri Light" w:hAnsi="Calibri Light"/>
          <w:spacing w:val="-2"/>
          <w:sz w:val="20"/>
        </w:rPr>
        <w:t xml:space="preserve"> </w:t>
      </w:r>
      <w:r>
        <w:rPr>
          <w:rFonts w:ascii="Calibri Light" w:hAnsi="Calibri Light"/>
          <w:sz w:val="20"/>
        </w:rPr>
        <w:t>interviewing</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improving</w:t>
      </w:r>
      <w:r>
        <w:rPr>
          <w:rFonts w:ascii="Calibri Light" w:hAnsi="Calibri Light"/>
          <w:spacing w:val="-4"/>
          <w:sz w:val="20"/>
        </w:rPr>
        <w:t xml:space="preserve"> </w:t>
      </w:r>
      <w:r>
        <w:rPr>
          <w:rFonts w:ascii="Calibri Light" w:hAnsi="Calibri Light"/>
          <w:sz w:val="20"/>
        </w:rPr>
        <w:t>physical</w:t>
      </w:r>
      <w:r>
        <w:rPr>
          <w:rFonts w:ascii="Calibri Light" w:hAnsi="Calibri Light"/>
          <w:spacing w:val="-5"/>
          <w:sz w:val="20"/>
        </w:rPr>
        <w:t xml:space="preserve"> </w:t>
      </w:r>
      <w:r>
        <w:rPr>
          <w:rFonts w:ascii="Calibri Light" w:hAnsi="Calibri Light"/>
          <w:sz w:val="20"/>
        </w:rPr>
        <w:t>activity</w:t>
      </w:r>
      <w:r>
        <w:rPr>
          <w:rFonts w:ascii="Calibri Light" w:hAnsi="Calibri Light"/>
          <w:spacing w:val="-3"/>
          <w:sz w:val="20"/>
        </w:rPr>
        <w:t xml:space="preserve"> </w:t>
      </w:r>
      <w:r>
        <w:rPr>
          <w:rFonts w:ascii="Calibri Light" w:hAnsi="Calibri Light"/>
          <w:sz w:val="20"/>
        </w:rPr>
        <w:t xml:space="preserve">self-management for adults with type 2 diabetes: A review. </w:t>
      </w:r>
      <w:r>
        <w:rPr>
          <w:rFonts w:ascii="Calibri Light" w:hAnsi="Calibri Light"/>
          <w:i/>
          <w:sz w:val="20"/>
        </w:rPr>
        <w:t>Chronic Illness, 14</w:t>
      </w:r>
      <w:r>
        <w:rPr>
          <w:rFonts w:ascii="Calibri Light" w:hAnsi="Calibri Light"/>
          <w:sz w:val="20"/>
        </w:rPr>
        <w:t>(1), 54–68. doi:10.1177/1742395317699449</w:t>
      </w:r>
    </w:p>
    <w:p w14:paraId="0CFDADCB" w14:textId="77777777" w:rsidR="00DB6E1F" w:rsidRDefault="00F666A6">
      <w:pPr>
        <w:spacing w:before="2" w:line="259" w:lineRule="auto"/>
        <w:ind w:left="1619" w:right="1491" w:hanging="180"/>
        <w:rPr>
          <w:rFonts w:ascii="Calibri Light" w:hAnsi="Calibri Light"/>
          <w:sz w:val="20"/>
        </w:rPr>
      </w:pPr>
      <w:r>
        <w:rPr>
          <w:rFonts w:ascii="Calibri Light" w:hAnsi="Calibri Light"/>
          <w:sz w:val="20"/>
        </w:rPr>
        <w:t>Steinberg, M. L., Williams, J. M., Stahl, N. F., Budsock, P. D., &amp; Cooperman, N. A. (2015). An adaptation of motivational</w:t>
      </w:r>
      <w:r>
        <w:rPr>
          <w:rFonts w:ascii="Calibri Light" w:hAnsi="Calibri Light"/>
          <w:spacing w:val="-4"/>
          <w:sz w:val="20"/>
        </w:rPr>
        <w:t xml:space="preserve"> </w:t>
      </w:r>
      <w:r>
        <w:rPr>
          <w:rFonts w:ascii="Calibri Light" w:hAnsi="Calibri Light"/>
          <w:sz w:val="20"/>
        </w:rPr>
        <w:t>interviewing</w:t>
      </w:r>
      <w:r>
        <w:rPr>
          <w:rFonts w:ascii="Calibri Light" w:hAnsi="Calibri Light"/>
          <w:spacing w:val="-2"/>
          <w:sz w:val="20"/>
        </w:rPr>
        <w:t xml:space="preserve"> </w:t>
      </w:r>
      <w:r>
        <w:rPr>
          <w:rFonts w:ascii="Calibri Light" w:hAnsi="Calibri Light"/>
          <w:sz w:val="20"/>
        </w:rPr>
        <w:t>in</w:t>
      </w:r>
      <w:r>
        <w:rPr>
          <w:rFonts w:ascii="Calibri Light" w:hAnsi="Calibri Light"/>
          <w:sz w:val="20"/>
        </w:rPr>
        <w:t>creases</w:t>
      </w:r>
      <w:r>
        <w:rPr>
          <w:rFonts w:ascii="Calibri Light" w:hAnsi="Calibri Light"/>
          <w:spacing w:val="-3"/>
          <w:sz w:val="20"/>
        </w:rPr>
        <w:t xml:space="preserve"> </w:t>
      </w:r>
      <w:r>
        <w:rPr>
          <w:rFonts w:ascii="Calibri Light" w:hAnsi="Calibri Light"/>
          <w:sz w:val="20"/>
        </w:rPr>
        <w:t>quit</w:t>
      </w:r>
      <w:r>
        <w:rPr>
          <w:rFonts w:ascii="Calibri Light" w:hAnsi="Calibri Light"/>
          <w:spacing w:val="-4"/>
          <w:sz w:val="20"/>
        </w:rPr>
        <w:t xml:space="preserve"> </w:t>
      </w:r>
      <w:r>
        <w:rPr>
          <w:rFonts w:ascii="Calibri Light" w:hAnsi="Calibri Light"/>
          <w:sz w:val="20"/>
        </w:rPr>
        <w:t>attempts</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smokers</w:t>
      </w:r>
      <w:r>
        <w:rPr>
          <w:rFonts w:ascii="Calibri Light" w:hAnsi="Calibri Light"/>
          <w:spacing w:val="-4"/>
          <w:sz w:val="20"/>
        </w:rPr>
        <w:t xml:space="preserve"> </w:t>
      </w:r>
      <w:r>
        <w:rPr>
          <w:rFonts w:ascii="Calibri Light" w:hAnsi="Calibri Light"/>
          <w:sz w:val="20"/>
        </w:rPr>
        <w:t>with</w:t>
      </w:r>
      <w:r>
        <w:rPr>
          <w:rFonts w:ascii="Calibri Light" w:hAnsi="Calibri Light"/>
          <w:spacing w:val="-3"/>
          <w:sz w:val="20"/>
        </w:rPr>
        <w:t xml:space="preserve"> </w:t>
      </w:r>
      <w:r>
        <w:rPr>
          <w:rFonts w:ascii="Calibri Light" w:hAnsi="Calibri Light"/>
          <w:sz w:val="20"/>
        </w:rPr>
        <w:t>serious</w:t>
      </w:r>
      <w:r>
        <w:rPr>
          <w:rFonts w:ascii="Calibri Light" w:hAnsi="Calibri Light"/>
          <w:spacing w:val="-3"/>
          <w:sz w:val="20"/>
        </w:rPr>
        <w:t xml:space="preserve"> </w:t>
      </w:r>
      <w:r>
        <w:rPr>
          <w:rFonts w:ascii="Calibri Light" w:hAnsi="Calibri Light"/>
          <w:sz w:val="20"/>
        </w:rPr>
        <w:t>mental</w:t>
      </w:r>
      <w:r>
        <w:rPr>
          <w:rFonts w:ascii="Calibri Light" w:hAnsi="Calibri Light"/>
          <w:spacing w:val="-4"/>
          <w:sz w:val="20"/>
        </w:rPr>
        <w:t xml:space="preserve"> </w:t>
      </w:r>
      <w:r>
        <w:rPr>
          <w:rFonts w:ascii="Calibri Light" w:hAnsi="Calibri Light"/>
          <w:sz w:val="20"/>
        </w:rPr>
        <w:t>illness.</w:t>
      </w:r>
      <w:r>
        <w:rPr>
          <w:rFonts w:ascii="Calibri Light" w:hAnsi="Calibri Light"/>
          <w:spacing w:val="-2"/>
          <w:sz w:val="20"/>
        </w:rPr>
        <w:t xml:space="preserve"> </w:t>
      </w:r>
      <w:r>
        <w:rPr>
          <w:rFonts w:ascii="Calibri Light" w:hAnsi="Calibri Light"/>
          <w:i/>
          <w:sz w:val="20"/>
        </w:rPr>
        <w:t>Nicotine</w:t>
      </w:r>
      <w:r>
        <w:rPr>
          <w:rFonts w:ascii="Calibri Light" w:hAnsi="Calibri Light"/>
          <w:i/>
          <w:spacing w:val="-3"/>
          <w:sz w:val="20"/>
        </w:rPr>
        <w:t xml:space="preserve"> </w:t>
      </w:r>
      <w:r>
        <w:rPr>
          <w:rFonts w:ascii="Calibri Light" w:hAnsi="Calibri Light"/>
          <w:i/>
          <w:sz w:val="20"/>
        </w:rPr>
        <w:t>and</w:t>
      </w:r>
      <w:r>
        <w:rPr>
          <w:rFonts w:ascii="Calibri Light" w:hAnsi="Calibri Light"/>
          <w:i/>
          <w:spacing w:val="-3"/>
          <w:sz w:val="20"/>
        </w:rPr>
        <w:t xml:space="preserve"> </w:t>
      </w:r>
      <w:r>
        <w:rPr>
          <w:rFonts w:ascii="Calibri Light" w:hAnsi="Calibri Light"/>
          <w:i/>
          <w:sz w:val="20"/>
        </w:rPr>
        <w:t>Tobacco Research, 18</w:t>
      </w:r>
      <w:r>
        <w:rPr>
          <w:rFonts w:ascii="Calibri Light" w:hAnsi="Calibri Light"/>
          <w:sz w:val="20"/>
        </w:rPr>
        <w:t>(3), 243–250. doi:10.1093/ntr/ntv043</w:t>
      </w:r>
    </w:p>
    <w:p w14:paraId="7B00FC6A" w14:textId="77777777" w:rsidR="00DB6E1F" w:rsidRDefault="00F666A6">
      <w:pPr>
        <w:spacing w:before="1" w:line="256" w:lineRule="auto"/>
        <w:ind w:left="1619" w:right="1491" w:hanging="181"/>
        <w:rPr>
          <w:rFonts w:ascii="Calibri Light"/>
          <w:sz w:val="20"/>
        </w:rPr>
      </w:pPr>
      <w:r>
        <w:rPr>
          <w:rFonts w:ascii="Calibri Light"/>
          <w:sz w:val="20"/>
        </w:rPr>
        <w:t>Stinson,</w:t>
      </w:r>
      <w:r>
        <w:rPr>
          <w:rFonts w:ascii="Calibri Light"/>
          <w:spacing w:val="-4"/>
          <w:sz w:val="20"/>
        </w:rPr>
        <w:t xml:space="preserve"> </w:t>
      </w:r>
      <w:r>
        <w:rPr>
          <w:rFonts w:ascii="Calibri Light"/>
          <w:sz w:val="20"/>
        </w:rPr>
        <w:t>J.</w:t>
      </w:r>
      <w:r>
        <w:rPr>
          <w:rFonts w:ascii="Calibri Light"/>
          <w:spacing w:val="-2"/>
          <w:sz w:val="20"/>
        </w:rPr>
        <w:t xml:space="preserve"> </w:t>
      </w:r>
      <w:r>
        <w:rPr>
          <w:rFonts w:ascii="Calibri Light"/>
          <w:sz w:val="20"/>
        </w:rPr>
        <w:t>D.,</w:t>
      </w:r>
      <w:r>
        <w:rPr>
          <w:rFonts w:ascii="Calibri Light"/>
          <w:spacing w:val="-4"/>
          <w:sz w:val="20"/>
        </w:rPr>
        <w:t xml:space="preserve"> </w:t>
      </w:r>
      <w:r>
        <w:rPr>
          <w:rFonts w:ascii="Calibri Light"/>
          <w:sz w:val="20"/>
        </w:rPr>
        <w:t>&amp;</w:t>
      </w:r>
      <w:r>
        <w:rPr>
          <w:rFonts w:ascii="Calibri Light"/>
          <w:spacing w:val="-2"/>
          <w:sz w:val="20"/>
        </w:rPr>
        <w:t xml:space="preserve"> </w:t>
      </w:r>
      <w:r>
        <w:rPr>
          <w:rFonts w:ascii="Calibri Light"/>
          <w:sz w:val="20"/>
        </w:rPr>
        <w:t>Clark,</w:t>
      </w:r>
      <w:r>
        <w:rPr>
          <w:rFonts w:ascii="Calibri Light"/>
          <w:spacing w:val="-4"/>
          <w:sz w:val="20"/>
        </w:rPr>
        <w:t xml:space="preserve"> </w:t>
      </w:r>
      <w:r>
        <w:rPr>
          <w:rFonts w:ascii="Calibri Light"/>
          <w:sz w:val="20"/>
        </w:rPr>
        <w:t>M.</w:t>
      </w:r>
      <w:r>
        <w:rPr>
          <w:rFonts w:ascii="Calibri Light"/>
          <w:spacing w:val="-4"/>
          <w:sz w:val="20"/>
        </w:rPr>
        <w:t xml:space="preserve"> </w:t>
      </w:r>
      <w:r>
        <w:rPr>
          <w:rFonts w:ascii="Calibri Light"/>
          <w:sz w:val="20"/>
        </w:rPr>
        <w:t>D.</w:t>
      </w:r>
      <w:r>
        <w:rPr>
          <w:rFonts w:ascii="Calibri Light"/>
          <w:spacing w:val="-4"/>
          <w:sz w:val="20"/>
        </w:rPr>
        <w:t xml:space="preserve"> </w:t>
      </w:r>
      <w:r>
        <w:rPr>
          <w:rFonts w:ascii="Calibri Light"/>
          <w:sz w:val="20"/>
        </w:rPr>
        <w:t>(2017).</w:t>
      </w:r>
      <w:r>
        <w:rPr>
          <w:rFonts w:ascii="Calibri Light"/>
          <w:spacing w:val="-4"/>
          <w:sz w:val="20"/>
        </w:rPr>
        <w:t xml:space="preserve"> </w:t>
      </w:r>
      <w:r>
        <w:rPr>
          <w:rFonts w:ascii="Calibri Light"/>
          <w:i/>
          <w:sz w:val="20"/>
        </w:rPr>
        <w:t>Motivational</w:t>
      </w:r>
      <w:r>
        <w:rPr>
          <w:rFonts w:ascii="Calibri Light"/>
          <w:i/>
          <w:spacing w:val="-1"/>
          <w:sz w:val="20"/>
        </w:rPr>
        <w:t xml:space="preserve"> </w:t>
      </w:r>
      <w:r>
        <w:rPr>
          <w:rFonts w:ascii="Calibri Light"/>
          <w:i/>
          <w:sz w:val="20"/>
        </w:rPr>
        <w:t>interviewing</w:t>
      </w:r>
      <w:r>
        <w:rPr>
          <w:rFonts w:ascii="Calibri Light"/>
          <w:i/>
          <w:spacing w:val="-3"/>
          <w:sz w:val="20"/>
        </w:rPr>
        <w:t xml:space="preserve"> </w:t>
      </w:r>
      <w:r>
        <w:rPr>
          <w:rFonts w:ascii="Calibri Light"/>
          <w:i/>
          <w:sz w:val="20"/>
        </w:rPr>
        <w:t>with</w:t>
      </w:r>
      <w:r>
        <w:rPr>
          <w:rFonts w:ascii="Calibri Light"/>
          <w:i/>
          <w:spacing w:val="-3"/>
          <w:sz w:val="20"/>
        </w:rPr>
        <w:t xml:space="preserve"> </w:t>
      </w:r>
      <w:r>
        <w:rPr>
          <w:rFonts w:ascii="Calibri Light"/>
          <w:i/>
          <w:sz w:val="20"/>
        </w:rPr>
        <w:t>offenders:</w:t>
      </w:r>
      <w:r>
        <w:rPr>
          <w:rFonts w:ascii="Calibri Light"/>
          <w:i/>
          <w:spacing w:val="-3"/>
          <w:sz w:val="20"/>
        </w:rPr>
        <w:t xml:space="preserve"> </w:t>
      </w:r>
      <w:r>
        <w:rPr>
          <w:rFonts w:ascii="Calibri Light"/>
          <w:i/>
          <w:sz w:val="20"/>
        </w:rPr>
        <w:t>Engagement,</w:t>
      </w:r>
      <w:r>
        <w:rPr>
          <w:rFonts w:ascii="Calibri Light"/>
          <w:i/>
          <w:spacing w:val="-4"/>
          <w:sz w:val="20"/>
        </w:rPr>
        <w:t xml:space="preserve"> </w:t>
      </w:r>
      <w:r>
        <w:rPr>
          <w:rFonts w:ascii="Calibri Light"/>
          <w:i/>
          <w:sz w:val="20"/>
        </w:rPr>
        <w:t>rehabilitation,</w:t>
      </w:r>
      <w:r>
        <w:rPr>
          <w:rFonts w:ascii="Calibri Light"/>
          <w:i/>
          <w:spacing w:val="-4"/>
          <w:sz w:val="20"/>
        </w:rPr>
        <w:t xml:space="preserve"> </w:t>
      </w:r>
      <w:r>
        <w:rPr>
          <w:rFonts w:ascii="Calibri Light"/>
          <w:i/>
          <w:sz w:val="20"/>
        </w:rPr>
        <w:t>and</w:t>
      </w:r>
      <w:r>
        <w:rPr>
          <w:rFonts w:ascii="Calibri Light"/>
          <w:i/>
          <w:sz w:val="20"/>
        </w:rPr>
        <w:t xml:space="preserve"> reentry</w:t>
      </w:r>
      <w:r>
        <w:rPr>
          <w:rFonts w:ascii="Calibri Light"/>
          <w:sz w:val="20"/>
        </w:rPr>
        <w:t>. New York, NY: Guilford Press.</w:t>
      </w:r>
    </w:p>
    <w:p w14:paraId="6FE06D22" w14:textId="77777777" w:rsidR="00DB6E1F" w:rsidRDefault="00DB6E1F">
      <w:pPr>
        <w:spacing w:line="256" w:lineRule="auto"/>
        <w:rPr>
          <w:rFonts w:ascii="Calibri Light"/>
          <w:sz w:val="20"/>
        </w:rPr>
        <w:sectPr w:rsidR="00DB6E1F">
          <w:pgSz w:w="12240" w:h="15840"/>
          <w:pgMar w:top="1080" w:right="0" w:bottom="780" w:left="0" w:header="619" w:footer="585" w:gutter="0"/>
          <w:cols w:space="720"/>
        </w:sectPr>
      </w:pPr>
    </w:p>
    <w:p w14:paraId="0FC7B0A8" w14:textId="77777777" w:rsidR="00DB6E1F" w:rsidRDefault="00DB6E1F">
      <w:pPr>
        <w:pStyle w:val="BodyText"/>
        <w:spacing w:before="4"/>
        <w:rPr>
          <w:rFonts w:ascii="Calibri Light"/>
          <w:sz w:val="24"/>
        </w:rPr>
      </w:pPr>
    </w:p>
    <w:p w14:paraId="7AD0E7E2" w14:textId="77777777" w:rsidR="00DB6E1F" w:rsidRDefault="00F666A6">
      <w:pPr>
        <w:spacing w:before="60" w:line="259" w:lineRule="auto"/>
        <w:ind w:left="1619" w:right="1491" w:hanging="180"/>
        <w:rPr>
          <w:rFonts w:ascii="Calibri Light"/>
          <w:sz w:val="20"/>
        </w:rPr>
      </w:pPr>
      <w:r>
        <w:rPr>
          <w:rFonts w:ascii="Calibri Light"/>
          <w:sz w:val="20"/>
        </w:rPr>
        <w:t>Substance</w:t>
      </w:r>
      <w:r>
        <w:rPr>
          <w:rFonts w:ascii="Calibri Light"/>
          <w:spacing w:val="-4"/>
          <w:sz w:val="20"/>
        </w:rPr>
        <w:t xml:space="preserve"> </w:t>
      </w:r>
      <w:r>
        <w:rPr>
          <w:rFonts w:ascii="Calibri Light"/>
          <w:sz w:val="20"/>
        </w:rPr>
        <w:t>Abuse</w:t>
      </w:r>
      <w:r>
        <w:rPr>
          <w:rFonts w:ascii="Calibri Light"/>
          <w:spacing w:val="-4"/>
          <w:sz w:val="20"/>
        </w:rPr>
        <w:t xml:space="preserve"> </w:t>
      </w:r>
      <w:r>
        <w:rPr>
          <w:rFonts w:ascii="Calibri Light"/>
          <w:sz w:val="20"/>
        </w:rPr>
        <w:t>and</w:t>
      </w:r>
      <w:r>
        <w:rPr>
          <w:rFonts w:ascii="Calibri Light"/>
          <w:spacing w:val="-4"/>
          <w:sz w:val="20"/>
        </w:rPr>
        <w:t xml:space="preserve"> </w:t>
      </w:r>
      <w:r>
        <w:rPr>
          <w:rFonts w:ascii="Calibri Light"/>
          <w:sz w:val="20"/>
        </w:rPr>
        <w:t>Mental</w:t>
      </w:r>
      <w:r>
        <w:rPr>
          <w:rFonts w:ascii="Calibri Light"/>
          <w:spacing w:val="-2"/>
          <w:sz w:val="20"/>
        </w:rPr>
        <w:t xml:space="preserve"> </w:t>
      </w:r>
      <w:r>
        <w:rPr>
          <w:rFonts w:ascii="Calibri Light"/>
          <w:sz w:val="20"/>
        </w:rPr>
        <w:t>Health</w:t>
      </w:r>
      <w:r>
        <w:rPr>
          <w:rFonts w:ascii="Calibri Light"/>
          <w:spacing w:val="-4"/>
          <w:sz w:val="20"/>
        </w:rPr>
        <w:t xml:space="preserve"> </w:t>
      </w:r>
      <w:r>
        <w:rPr>
          <w:rFonts w:ascii="Calibri Light"/>
          <w:sz w:val="20"/>
        </w:rPr>
        <w:t>Services</w:t>
      </w:r>
      <w:r>
        <w:rPr>
          <w:rFonts w:ascii="Calibri Light"/>
          <w:spacing w:val="-4"/>
          <w:sz w:val="20"/>
        </w:rPr>
        <w:t xml:space="preserve"> </w:t>
      </w:r>
      <w:r>
        <w:rPr>
          <w:rFonts w:ascii="Calibri Light"/>
          <w:sz w:val="20"/>
        </w:rPr>
        <w:t>Administration.</w:t>
      </w:r>
      <w:r>
        <w:rPr>
          <w:rFonts w:ascii="Calibri Light"/>
          <w:spacing w:val="-4"/>
          <w:sz w:val="20"/>
        </w:rPr>
        <w:t xml:space="preserve"> </w:t>
      </w:r>
      <w:r>
        <w:rPr>
          <w:rFonts w:ascii="Calibri Light"/>
          <w:sz w:val="20"/>
        </w:rPr>
        <w:t>(2019).</w:t>
      </w:r>
      <w:r>
        <w:rPr>
          <w:rFonts w:ascii="Calibri Light"/>
          <w:spacing w:val="-5"/>
          <w:sz w:val="20"/>
        </w:rPr>
        <w:t xml:space="preserve"> </w:t>
      </w:r>
      <w:r>
        <w:rPr>
          <w:rFonts w:ascii="Calibri Light"/>
          <w:i/>
          <w:sz w:val="20"/>
        </w:rPr>
        <w:t>Mental</w:t>
      </w:r>
      <w:r>
        <w:rPr>
          <w:rFonts w:ascii="Calibri Light"/>
          <w:i/>
          <w:spacing w:val="-5"/>
          <w:sz w:val="20"/>
        </w:rPr>
        <w:t xml:space="preserve"> </w:t>
      </w:r>
      <w:r>
        <w:rPr>
          <w:rFonts w:ascii="Calibri Light"/>
          <w:i/>
          <w:sz w:val="20"/>
        </w:rPr>
        <w:t>health</w:t>
      </w:r>
      <w:r>
        <w:rPr>
          <w:rFonts w:ascii="Calibri Light"/>
          <w:i/>
          <w:spacing w:val="-4"/>
          <w:sz w:val="20"/>
        </w:rPr>
        <w:t xml:space="preserve"> </w:t>
      </w:r>
      <w:r>
        <w:rPr>
          <w:rFonts w:ascii="Calibri Light"/>
          <w:i/>
          <w:sz w:val="20"/>
        </w:rPr>
        <w:t>and</w:t>
      </w:r>
      <w:r>
        <w:rPr>
          <w:rFonts w:ascii="Calibri Light"/>
          <w:i/>
          <w:spacing w:val="-4"/>
          <w:sz w:val="20"/>
        </w:rPr>
        <w:t xml:space="preserve"> </w:t>
      </w:r>
      <w:r>
        <w:rPr>
          <w:rFonts w:ascii="Calibri Light"/>
          <w:i/>
          <w:sz w:val="20"/>
        </w:rPr>
        <w:t>substance</w:t>
      </w:r>
      <w:r>
        <w:rPr>
          <w:rFonts w:ascii="Calibri Light"/>
          <w:i/>
          <w:spacing w:val="-4"/>
          <w:sz w:val="20"/>
        </w:rPr>
        <w:t xml:space="preserve"> </w:t>
      </w:r>
      <w:r>
        <w:rPr>
          <w:rFonts w:ascii="Calibri Light"/>
          <w:i/>
          <w:sz w:val="20"/>
        </w:rPr>
        <w:t>use</w:t>
      </w:r>
      <w:r>
        <w:rPr>
          <w:rFonts w:ascii="Calibri Light"/>
          <w:i/>
          <w:spacing w:val="-4"/>
          <w:sz w:val="20"/>
        </w:rPr>
        <w:t xml:space="preserve"> </w:t>
      </w:r>
      <w:r>
        <w:rPr>
          <w:rFonts w:ascii="Calibri Light"/>
          <w:i/>
          <w:sz w:val="20"/>
        </w:rPr>
        <w:t>disorders</w:t>
      </w:r>
      <w:r>
        <w:rPr>
          <w:rFonts w:ascii="Calibri Light"/>
          <w:sz w:val="20"/>
        </w:rPr>
        <w:t xml:space="preserve">. Retrieved from </w:t>
      </w:r>
      <w:hyperlink r:id="rId145">
        <w:r>
          <w:rPr>
            <w:rFonts w:ascii="Calibri Light"/>
            <w:color w:val="0563C1"/>
            <w:sz w:val="20"/>
            <w:u w:val="single" w:color="0563C1"/>
          </w:rPr>
          <w:t>www.samhsa.gov/find-help/disorders</w:t>
        </w:r>
      </w:hyperlink>
    </w:p>
    <w:p w14:paraId="3B5CB48D" w14:textId="77777777" w:rsidR="00DB6E1F" w:rsidRDefault="00F666A6">
      <w:pPr>
        <w:spacing w:line="256" w:lineRule="auto"/>
        <w:ind w:left="1620" w:right="1444" w:hanging="181"/>
        <w:rPr>
          <w:rFonts w:ascii="Calibri Light"/>
          <w:sz w:val="20"/>
        </w:rPr>
      </w:pPr>
      <w:r>
        <w:rPr>
          <w:rFonts w:ascii="Calibri Light"/>
          <w:sz w:val="20"/>
        </w:rPr>
        <w:t>Substance</w:t>
      </w:r>
      <w:r>
        <w:rPr>
          <w:rFonts w:ascii="Calibri Light"/>
          <w:spacing w:val="-3"/>
          <w:sz w:val="20"/>
        </w:rPr>
        <w:t xml:space="preserve"> </w:t>
      </w:r>
      <w:r>
        <w:rPr>
          <w:rFonts w:ascii="Calibri Light"/>
          <w:sz w:val="20"/>
        </w:rPr>
        <w:t>Abuse</w:t>
      </w:r>
      <w:r>
        <w:rPr>
          <w:rFonts w:ascii="Calibri Light"/>
          <w:spacing w:val="-3"/>
          <w:sz w:val="20"/>
        </w:rPr>
        <w:t xml:space="preserve"> </w:t>
      </w:r>
      <w:r>
        <w:rPr>
          <w:rFonts w:ascii="Calibri Light"/>
          <w:sz w:val="20"/>
        </w:rPr>
        <w:t>and</w:t>
      </w:r>
      <w:r>
        <w:rPr>
          <w:rFonts w:ascii="Calibri Light"/>
          <w:spacing w:val="-3"/>
          <w:sz w:val="20"/>
        </w:rPr>
        <w:t xml:space="preserve"> </w:t>
      </w:r>
      <w:r>
        <w:rPr>
          <w:rFonts w:ascii="Calibri Light"/>
          <w:sz w:val="20"/>
        </w:rPr>
        <w:t>Mental</w:t>
      </w:r>
      <w:r>
        <w:rPr>
          <w:rFonts w:ascii="Calibri Light"/>
          <w:spacing w:val="-1"/>
          <w:sz w:val="20"/>
        </w:rPr>
        <w:t xml:space="preserve"> </w:t>
      </w:r>
      <w:r>
        <w:rPr>
          <w:rFonts w:ascii="Calibri Light"/>
          <w:sz w:val="20"/>
        </w:rPr>
        <w:t>Health</w:t>
      </w:r>
      <w:r>
        <w:rPr>
          <w:rFonts w:ascii="Calibri Light"/>
          <w:spacing w:val="-3"/>
          <w:sz w:val="20"/>
        </w:rPr>
        <w:t xml:space="preserve"> </w:t>
      </w:r>
      <w:r>
        <w:rPr>
          <w:rFonts w:ascii="Calibri Light"/>
          <w:sz w:val="20"/>
        </w:rPr>
        <w:t>Services</w:t>
      </w:r>
      <w:r>
        <w:rPr>
          <w:rFonts w:ascii="Calibri Light"/>
          <w:spacing w:val="-3"/>
          <w:sz w:val="20"/>
        </w:rPr>
        <w:t xml:space="preserve"> </w:t>
      </w:r>
      <w:r>
        <w:rPr>
          <w:rFonts w:ascii="Calibri Light"/>
          <w:sz w:val="20"/>
        </w:rPr>
        <w:t>Administration.</w:t>
      </w:r>
      <w:r>
        <w:rPr>
          <w:rFonts w:ascii="Calibri Light"/>
          <w:spacing w:val="-4"/>
          <w:sz w:val="20"/>
        </w:rPr>
        <w:t xml:space="preserve"> </w:t>
      </w:r>
      <w:r>
        <w:rPr>
          <w:rFonts w:ascii="Calibri Light"/>
          <w:sz w:val="20"/>
        </w:rPr>
        <w:t>(2018).</w:t>
      </w:r>
      <w:r>
        <w:rPr>
          <w:rFonts w:ascii="Calibri Light"/>
          <w:spacing w:val="-3"/>
          <w:sz w:val="20"/>
        </w:rPr>
        <w:t xml:space="preserve"> </w:t>
      </w:r>
      <w:r>
        <w:rPr>
          <w:rFonts w:ascii="Calibri Light"/>
          <w:i/>
          <w:sz w:val="20"/>
        </w:rPr>
        <w:t>Key</w:t>
      </w:r>
      <w:r>
        <w:rPr>
          <w:rFonts w:ascii="Calibri Light"/>
          <w:i/>
          <w:spacing w:val="-3"/>
          <w:sz w:val="20"/>
        </w:rPr>
        <w:t xml:space="preserve"> </w:t>
      </w:r>
      <w:r>
        <w:rPr>
          <w:rFonts w:ascii="Calibri Light"/>
          <w:i/>
          <w:sz w:val="20"/>
        </w:rPr>
        <w:t>substance</w:t>
      </w:r>
      <w:r>
        <w:rPr>
          <w:rFonts w:ascii="Calibri Light"/>
          <w:i/>
          <w:spacing w:val="-3"/>
          <w:sz w:val="20"/>
        </w:rPr>
        <w:t xml:space="preserve"> </w:t>
      </w:r>
      <w:r>
        <w:rPr>
          <w:rFonts w:ascii="Calibri Light"/>
          <w:i/>
          <w:sz w:val="20"/>
        </w:rPr>
        <w:t>use</w:t>
      </w:r>
      <w:r>
        <w:rPr>
          <w:rFonts w:ascii="Calibri Light"/>
          <w:i/>
          <w:spacing w:val="-3"/>
          <w:sz w:val="20"/>
        </w:rPr>
        <w:t xml:space="preserve"> </w:t>
      </w:r>
      <w:r>
        <w:rPr>
          <w:rFonts w:ascii="Calibri Light"/>
          <w:i/>
          <w:sz w:val="20"/>
        </w:rPr>
        <w:t>and</w:t>
      </w:r>
      <w:r>
        <w:rPr>
          <w:rFonts w:ascii="Calibri Light"/>
          <w:i/>
          <w:spacing w:val="-3"/>
          <w:sz w:val="20"/>
        </w:rPr>
        <w:t xml:space="preserve"> </w:t>
      </w:r>
      <w:r>
        <w:rPr>
          <w:rFonts w:ascii="Calibri Light"/>
          <w:i/>
          <w:sz w:val="20"/>
        </w:rPr>
        <w:t>mental</w:t>
      </w:r>
      <w:r>
        <w:rPr>
          <w:rFonts w:ascii="Calibri Light"/>
          <w:i/>
          <w:spacing w:val="-4"/>
          <w:sz w:val="20"/>
        </w:rPr>
        <w:t xml:space="preserve"> </w:t>
      </w:r>
      <w:r>
        <w:rPr>
          <w:rFonts w:ascii="Calibri Light"/>
          <w:i/>
          <w:sz w:val="20"/>
        </w:rPr>
        <w:t>health</w:t>
      </w:r>
      <w:r>
        <w:rPr>
          <w:rFonts w:ascii="Calibri Light"/>
          <w:i/>
          <w:spacing w:val="-3"/>
          <w:sz w:val="20"/>
        </w:rPr>
        <w:t xml:space="preserve"> </w:t>
      </w:r>
      <w:r>
        <w:rPr>
          <w:rFonts w:ascii="Calibri Light"/>
          <w:i/>
          <w:sz w:val="20"/>
        </w:rPr>
        <w:t>indicators</w:t>
      </w:r>
      <w:r>
        <w:rPr>
          <w:rFonts w:ascii="Calibri Light"/>
          <w:i/>
          <w:sz w:val="20"/>
        </w:rPr>
        <w:t xml:space="preserve"> in the United States: Results from the 2017 National Survey on Drug Use and Health. </w:t>
      </w:r>
      <w:r>
        <w:rPr>
          <w:rFonts w:ascii="Calibri Light"/>
          <w:sz w:val="20"/>
        </w:rPr>
        <w:t>HHS Publication No. (SMA)</w:t>
      </w:r>
    </w:p>
    <w:p w14:paraId="6E874AFA" w14:textId="77777777" w:rsidR="00DB6E1F" w:rsidRDefault="00F666A6">
      <w:pPr>
        <w:spacing w:before="3" w:line="259" w:lineRule="auto"/>
        <w:ind w:left="1619" w:right="1491"/>
        <w:rPr>
          <w:rFonts w:ascii="Calibri Light"/>
          <w:sz w:val="20"/>
        </w:rPr>
      </w:pPr>
      <w:r>
        <w:rPr>
          <w:rFonts w:ascii="Calibri Light"/>
          <w:sz w:val="20"/>
        </w:rPr>
        <w:t>18-5068,</w:t>
      </w:r>
      <w:r>
        <w:rPr>
          <w:rFonts w:ascii="Calibri Light"/>
          <w:spacing w:val="-5"/>
          <w:sz w:val="20"/>
        </w:rPr>
        <w:t xml:space="preserve"> </w:t>
      </w:r>
      <w:r>
        <w:rPr>
          <w:rFonts w:ascii="Calibri Light"/>
          <w:sz w:val="20"/>
        </w:rPr>
        <w:t>NSDUH</w:t>
      </w:r>
      <w:r>
        <w:rPr>
          <w:rFonts w:ascii="Calibri Light"/>
          <w:spacing w:val="-5"/>
          <w:sz w:val="20"/>
        </w:rPr>
        <w:t xml:space="preserve"> </w:t>
      </w:r>
      <w:r>
        <w:rPr>
          <w:rFonts w:ascii="Calibri Light"/>
          <w:sz w:val="20"/>
        </w:rPr>
        <w:t>Series</w:t>
      </w:r>
      <w:r>
        <w:rPr>
          <w:rFonts w:ascii="Calibri Light"/>
          <w:spacing w:val="-4"/>
          <w:sz w:val="20"/>
        </w:rPr>
        <w:t xml:space="preserve"> </w:t>
      </w:r>
      <w:r>
        <w:rPr>
          <w:rFonts w:ascii="Calibri Light"/>
          <w:sz w:val="20"/>
        </w:rPr>
        <w:t>H-53.</w:t>
      </w:r>
      <w:r>
        <w:rPr>
          <w:rFonts w:ascii="Calibri Light"/>
          <w:spacing w:val="-2"/>
          <w:sz w:val="20"/>
        </w:rPr>
        <w:t xml:space="preserve"> </w:t>
      </w:r>
      <w:r>
        <w:rPr>
          <w:rFonts w:ascii="Calibri Light"/>
          <w:sz w:val="20"/>
        </w:rPr>
        <w:t>Rockville,</w:t>
      </w:r>
      <w:r>
        <w:rPr>
          <w:rFonts w:ascii="Calibri Light"/>
          <w:spacing w:val="-2"/>
          <w:sz w:val="20"/>
        </w:rPr>
        <w:t xml:space="preserve"> </w:t>
      </w:r>
      <w:r>
        <w:rPr>
          <w:rFonts w:ascii="Calibri Light"/>
          <w:sz w:val="20"/>
        </w:rPr>
        <w:t>MD:</w:t>
      </w:r>
      <w:r>
        <w:rPr>
          <w:rFonts w:ascii="Calibri Light"/>
          <w:spacing w:val="-1"/>
          <w:sz w:val="20"/>
        </w:rPr>
        <w:t xml:space="preserve"> </w:t>
      </w:r>
      <w:r>
        <w:rPr>
          <w:rFonts w:ascii="Calibri Light"/>
          <w:sz w:val="20"/>
        </w:rPr>
        <w:t>Center</w:t>
      </w:r>
      <w:r>
        <w:rPr>
          <w:rFonts w:ascii="Calibri Light"/>
          <w:spacing w:val="-3"/>
          <w:sz w:val="20"/>
        </w:rPr>
        <w:t xml:space="preserve"> </w:t>
      </w:r>
      <w:r>
        <w:rPr>
          <w:rFonts w:ascii="Calibri Light"/>
          <w:sz w:val="20"/>
        </w:rPr>
        <w:t>for</w:t>
      </w:r>
      <w:r>
        <w:rPr>
          <w:rFonts w:ascii="Calibri Light"/>
          <w:spacing w:val="-3"/>
          <w:sz w:val="20"/>
        </w:rPr>
        <w:t xml:space="preserve"> </w:t>
      </w:r>
      <w:r>
        <w:rPr>
          <w:rFonts w:ascii="Calibri Light"/>
          <w:sz w:val="20"/>
        </w:rPr>
        <w:t>Behavioral</w:t>
      </w:r>
      <w:r>
        <w:rPr>
          <w:rFonts w:ascii="Calibri Light"/>
          <w:spacing w:val="-5"/>
          <w:sz w:val="20"/>
        </w:rPr>
        <w:t xml:space="preserve"> </w:t>
      </w:r>
      <w:r>
        <w:rPr>
          <w:rFonts w:ascii="Calibri Light"/>
          <w:sz w:val="20"/>
        </w:rPr>
        <w:t>Health</w:t>
      </w:r>
      <w:r>
        <w:rPr>
          <w:rFonts w:ascii="Calibri Light"/>
          <w:spacing w:val="-4"/>
          <w:sz w:val="20"/>
        </w:rPr>
        <w:t xml:space="preserve"> </w:t>
      </w:r>
      <w:r>
        <w:rPr>
          <w:rFonts w:ascii="Calibri Light"/>
          <w:sz w:val="20"/>
        </w:rPr>
        <w:t>Statistics</w:t>
      </w:r>
      <w:r>
        <w:rPr>
          <w:rFonts w:ascii="Calibri Light"/>
          <w:spacing w:val="-2"/>
          <w:sz w:val="20"/>
        </w:rPr>
        <w:t xml:space="preserve"> </w:t>
      </w:r>
      <w:r>
        <w:rPr>
          <w:rFonts w:ascii="Calibri Light"/>
          <w:sz w:val="20"/>
        </w:rPr>
        <w:t>and</w:t>
      </w:r>
      <w:r>
        <w:rPr>
          <w:rFonts w:ascii="Calibri Light"/>
          <w:spacing w:val="-4"/>
          <w:sz w:val="20"/>
        </w:rPr>
        <w:t xml:space="preserve"> </w:t>
      </w:r>
      <w:r>
        <w:rPr>
          <w:rFonts w:ascii="Calibri Light"/>
          <w:sz w:val="20"/>
        </w:rPr>
        <w:t>Quality,</w:t>
      </w:r>
      <w:r>
        <w:rPr>
          <w:rFonts w:ascii="Calibri Light"/>
          <w:spacing w:val="-5"/>
          <w:sz w:val="20"/>
        </w:rPr>
        <w:t xml:space="preserve"> </w:t>
      </w:r>
      <w:r>
        <w:rPr>
          <w:rFonts w:ascii="Calibri Light"/>
          <w:sz w:val="20"/>
        </w:rPr>
        <w:t>Substance</w:t>
      </w:r>
      <w:r>
        <w:rPr>
          <w:rFonts w:ascii="Calibri Light"/>
          <w:spacing w:val="-4"/>
          <w:sz w:val="20"/>
        </w:rPr>
        <w:t xml:space="preserve"> </w:t>
      </w:r>
      <w:r>
        <w:rPr>
          <w:rFonts w:ascii="Calibri Light"/>
          <w:sz w:val="20"/>
        </w:rPr>
        <w:t>Abuse and Mental Health Services Admini</w:t>
      </w:r>
      <w:r>
        <w:rPr>
          <w:rFonts w:ascii="Calibri Light"/>
          <w:sz w:val="20"/>
        </w:rPr>
        <w:t xml:space="preserve">stration. Retrieved from </w:t>
      </w:r>
      <w:hyperlink r:id="rId146">
        <w:r>
          <w:rPr>
            <w:rFonts w:ascii="Calibri Light"/>
            <w:color w:val="0563C1"/>
            <w:sz w:val="20"/>
            <w:u w:val="single" w:color="0563C1"/>
          </w:rPr>
          <w:t>www.samhsa.gov/data/</w:t>
        </w:r>
      </w:hyperlink>
    </w:p>
    <w:p w14:paraId="57545D25" w14:textId="77777777" w:rsidR="00DB6E1F" w:rsidRDefault="00F666A6">
      <w:pPr>
        <w:spacing w:before="1" w:line="259" w:lineRule="auto"/>
        <w:ind w:left="1620" w:right="1444" w:hanging="181"/>
        <w:rPr>
          <w:rFonts w:ascii="Calibri Light"/>
          <w:sz w:val="20"/>
        </w:rPr>
      </w:pPr>
      <w:r>
        <w:rPr>
          <w:rFonts w:ascii="Calibri Light"/>
          <w:sz w:val="20"/>
        </w:rPr>
        <w:t xml:space="preserve">Substance Abuse and Mental Health Services Administration. (2016). </w:t>
      </w:r>
      <w:r>
        <w:rPr>
          <w:rFonts w:ascii="Calibri Light"/>
          <w:i/>
          <w:sz w:val="20"/>
        </w:rPr>
        <w:t>Criteria for the demonstration program to improve</w:t>
      </w:r>
      <w:r>
        <w:rPr>
          <w:rFonts w:ascii="Calibri Light"/>
          <w:i/>
          <w:spacing w:val="-4"/>
          <w:sz w:val="20"/>
        </w:rPr>
        <w:t xml:space="preserve"> </w:t>
      </w:r>
      <w:r>
        <w:rPr>
          <w:rFonts w:ascii="Calibri Light"/>
          <w:i/>
          <w:sz w:val="20"/>
        </w:rPr>
        <w:t>community</w:t>
      </w:r>
      <w:r>
        <w:rPr>
          <w:rFonts w:ascii="Calibri Light"/>
          <w:i/>
          <w:spacing w:val="-4"/>
          <w:sz w:val="20"/>
        </w:rPr>
        <w:t xml:space="preserve"> </w:t>
      </w:r>
      <w:r>
        <w:rPr>
          <w:rFonts w:ascii="Calibri Light"/>
          <w:i/>
          <w:sz w:val="20"/>
        </w:rPr>
        <w:t>mental</w:t>
      </w:r>
      <w:r>
        <w:rPr>
          <w:rFonts w:ascii="Calibri Light"/>
          <w:i/>
          <w:spacing w:val="-5"/>
          <w:sz w:val="20"/>
        </w:rPr>
        <w:t xml:space="preserve"> </w:t>
      </w:r>
      <w:r>
        <w:rPr>
          <w:rFonts w:ascii="Calibri Light"/>
          <w:i/>
          <w:sz w:val="20"/>
        </w:rPr>
        <w:t>health</w:t>
      </w:r>
      <w:r>
        <w:rPr>
          <w:rFonts w:ascii="Calibri Light"/>
          <w:i/>
          <w:spacing w:val="-4"/>
          <w:sz w:val="20"/>
        </w:rPr>
        <w:t xml:space="preserve"> </w:t>
      </w:r>
      <w:r>
        <w:rPr>
          <w:rFonts w:ascii="Calibri Light"/>
          <w:i/>
          <w:sz w:val="20"/>
        </w:rPr>
        <w:t>centers</w:t>
      </w:r>
      <w:r>
        <w:rPr>
          <w:rFonts w:ascii="Calibri Light"/>
          <w:i/>
          <w:spacing w:val="-4"/>
          <w:sz w:val="20"/>
        </w:rPr>
        <w:t xml:space="preserve"> </w:t>
      </w:r>
      <w:r>
        <w:rPr>
          <w:rFonts w:ascii="Calibri Light"/>
          <w:i/>
          <w:sz w:val="20"/>
        </w:rPr>
        <w:t>and</w:t>
      </w:r>
      <w:r>
        <w:rPr>
          <w:rFonts w:ascii="Calibri Light"/>
          <w:i/>
          <w:spacing w:val="-4"/>
          <w:sz w:val="20"/>
        </w:rPr>
        <w:t xml:space="preserve"> </w:t>
      </w:r>
      <w:r>
        <w:rPr>
          <w:rFonts w:ascii="Calibri Light"/>
          <w:i/>
          <w:sz w:val="20"/>
        </w:rPr>
        <w:t>to</w:t>
      </w:r>
      <w:r>
        <w:rPr>
          <w:rFonts w:ascii="Calibri Light"/>
          <w:i/>
          <w:spacing w:val="-4"/>
          <w:sz w:val="20"/>
        </w:rPr>
        <w:t xml:space="preserve"> </w:t>
      </w:r>
      <w:r>
        <w:rPr>
          <w:rFonts w:ascii="Calibri Light"/>
          <w:i/>
          <w:sz w:val="20"/>
        </w:rPr>
        <w:t>establish</w:t>
      </w:r>
      <w:r>
        <w:rPr>
          <w:rFonts w:ascii="Calibri Light"/>
          <w:i/>
          <w:spacing w:val="-4"/>
          <w:sz w:val="20"/>
        </w:rPr>
        <w:t xml:space="preserve"> </w:t>
      </w:r>
      <w:r>
        <w:rPr>
          <w:rFonts w:ascii="Calibri Light"/>
          <w:i/>
          <w:sz w:val="20"/>
        </w:rPr>
        <w:t>certified</w:t>
      </w:r>
      <w:r>
        <w:rPr>
          <w:rFonts w:ascii="Calibri Light"/>
          <w:i/>
          <w:spacing w:val="-4"/>
          <w:sz w:val="20"/>
        </w:rPr>
        <w:t xml:space="preserve"> </w:t>
      </w:r>
      <w:r>
        <w:rPr>
          <w:rFonts w:ascii="Calibri Light"/>
          <w:i/>
          <w:sz w:val="20"/>
        </w:rPr>
        <w:t>community</w:t>
      </w:r>
      <w:r>
        <w:rPr>
          <w:rFonts w:ascii="Calibri Light"/>
          <w:i/>
          <w:spacing w:val="-4"/>
          <w:sz w:val="20"/>
        </w:rPr>
        <w:t xml:space="preserve"> </w:t>
      </w:r>
      <w:r>
        <w:rPr>
          <w:rFonts w:ascii="Calibri Light"/>
          <w:i/>
          <w:sz w:val="20"/>
        </w:rPr>
        <w:t>behavioral</w:t>
      </w:r>
      <w:r>
        <w:rPr>
          <w:rFonts w:ascii="Calibri Light"/>
          <w:i/>
          <w:spacing w:val="-2"/>
          <w:sz w:val="20"/>
        </w:rPr>
        <w:t xml:space="preserve"> </w:t>
      </w:r>
      <w:r>
        <w:rPr>
          <w:rFonts w:ascii="Calibri Light"/>
          <w:i/>
          <w:sz w:val="20"/>
        </w:rPr>
        <w:t>health</w:t>
      </w:r>
      <w:r>
        <w:rPr>
          <w:rFonts w:ascii="Calibri Light"/>
          <w:i/>
          <w:spacing w:val="-4"/>
          <w:sz w:val="20"/>
        </w:rPr>
        <w:t xml:space="preserve"> </w:t>
      </w:r>
      <w:r>
        <w:rPr>
          <w:rFonts w:ascii="Calibri Light"/>
          <w:i/>
          <w:sz w:val="20"/>
        </w:rPr>
        <w:t>clinics</w:t>
      </w:r>
      <w:r>
        <w:rPr>
          <w:rFonts w:ascii="Calibri Light"/>
          <w:sz w:val="20"/>
        </w:rPr>
        <w:t>.</w:t>
      </w:r>
      <w:r>
        <w:rPr>
          <w:rFonts w:ascii="Calibri Light"/>
          <w:spacing w:val="-5"/>
          <w:sz w:val="20"/>
        </w:rPr>
        <w:t xml:space="preserve"> </w:t>
      </w:r>
      <w:r>
        <w:rPr>
          <w:rFonts w:ascii="Calibri Light"/>
          <w:sz w:val="20"/>
        </w:rPr>
        <w:t xml:space="preserve">Retrieved from Retrieved from </w:t>
      </w:r>
      <w:hyperlink r:id="rId147">
        <w:r>
          <w:rPr>
            <w:rFonts w:ascii="Calibri Light"/>
            <w:color w:val="0563C1"/>
            <w:sz w:val="20"/>
            <w:u w:val="single" w:color="0563C1"/>
          </w:rPr>
          <w:t>www.samhsa.gov/sites/default/files/programs_campaigns/ccbhc-criteria.p</w:t>
        </w:r>
        <w:r>
          <w:rPr>
            <w:rFonts w:ascii="Calibri Light"/>
            <w:color w:val="0563C1"/>
            <w:sz w:val="20"/>
            <w:u w:val="single" w:color="0563C1"/>
          </w:rPr>
          <w:t>df</w:t>
        </w:r>
      </w:hyperlink>
    </w:p>
    <w:p w14:paraId="5A8625E3" w14:textId="77777777" w:rsidR="00DB6E1F" w:rsidRDefault="00F666A6">
      <w:pPr>
        <w:spacing w:line="259" w:lineRule="auto"/>
        <w:ind w:left="1619" w:right="1822" w:hanging="180"/>
        <w:rPr>
          <w:rFonts w:ascii="Calibri Light"/>
          <w:sz w:val="20"/>
        </w:rPr>
      </w:pPr>
      <w:r>
        <w:rPr>
          <w:rFonts w:ascii="Calibri Light"/>
          <w:sz w:val="20"/>
        </w:rPr>
        <w:t xml:space="preserve">Substance Abuse and Mental Health Services Administration. (2015a). </w:t>
      </w:r>
      <w:r>
        <w:rPr>
          <w:rFonts w:ascii="Calibri Light"/>
          <w:i/>
          <w:sz w:val="20"/>
        </w:rPr>
        <w:t>Substance abuse treatment and family therapy.</w:t>
      </w:r>
      <w:r>
        <w:rPr>
          <w:rFonts w:ascii="Calibri Light"/>
          <w:i/>
          <w:spacing w:val="-4"/>
          <w:sz w:val="20"/>
        </w:rPr>
        <w:t xml:space="preserve"> </w:t>
      </w:r>
      <w:r>
        <w:rPr>
          <w:rFonts w:ascii="Calibri Light"/>
          <w:sz w:val="20"/>
        </w:rPr>
        <w:t>Treatment</w:t>
      </w:r>
      <w:r>
        <w:rPr>
          <w:rFonts w:ascii="Calibri Light"/>
          <w:spacing w:val="-1"/>
          <w:sz w:val="20"/>
        </w:rPr>
        <w:t xml:space="preserve"> </w:t>
      </w:r>
      <w:r>
        <w:rPr>
          <w:rFonts w:ascii="Calibri Light"/>
          <w:sz w:val="20"/>
        </w:rPr>
        <w:t>Improvement</w:t>
      </w:r>
      <w:r>
        <w:rPr>
          <w:rFonts w:ascii="Calibri Light"/>
          <w:spacing w:val="-4"/>
          <w:sz w:val="20"/>
        </w:rPr>
        <w:t xml:space="preserve"> </w:t>
      </w:r>
      <w:r>
        <w:rPr>
          <w:rFonts w:ascii="Calibri Light"/>
          <w:sz w:val="20"/>
        </w:rPr>
        <w:t>Protocol</w:t>
      </w:r>
      <w:r>
        <w:rPr>
          <w:rFonts w:ascii="Calibri Light"/>
          <w:spacing w:val="-4"/>
          <w:sz w:val="20"/>
        </w:rPr>
        <w:t xml:space="preserve"> </w:t>
      </w:r>
      <w:r>
        <w:rPr>
          <w:rFonts w:ascii="Calibri Light"/>
          <w:sz w:val="20"/>
        </w:rPr>
        <w:t>(TIP)</w:t>
      </w:r>
      <w:r>
        <w:rPr>
          <w:rFonts w:ascii="Calibri Light"/>
          <w:spacing w:val="-3"/>
          <w:sz w:val="20"/>
        </w:rPr>
        <w:t xml:space="preserve"> </w:t>
      </w:r>
      <w:r>
        <w:rPr>
          <w:rFonts w:ascii="Calibri Light"/>
          <w:sz w:val="20"/>
        </w:rPr>
        <w:t>Series</w:t>
      </w:r>
      <w:r>
        <w:rPr>
          <w:rFonts w:ascii="Calibri Light"/>
          <w:spacing w:val="-3"/>
          <w:sz w:val="20"/>
        </w:rPr>
        <w:t xml:space="preserve"> </w:t>
      </w:r>
      <w:r>
        <w:rPr>
          <w:rFonts w:ascii="Calibri Light"/>
          <w:sz w:val="20"/>
        </w:rPr>
        <w:t>39.</w:t>
      </w:r>
      <w:r>
        <w:rPr>
          <w:rFonts w:ascii="Calibri Light"/>
          <w:spacing w:val="-4"/>
          <w:sz w:val="20"/>
        </w:rPr>
        <w:t xml:space="preserve"> </w:t>
      </w:r>
      <w:r>
        <w:rPr>
          <w:rFonts w:ascii="Calibri Light"/>
          <w:sz w:val="20"/>
        </w:rPr>
        <w:t>HHS</w:t>
      </w:r>
      <w:r>
        <w:rPr>
          <w:rFonts w:ascii="Calibri Light"/>
          <w:spacing w:val="-2"/>
          <w:sz w:val="20"/>
        </w:rPr>
        <w:t xml:space="preserve"> </w:t>
      </w:r>
      <w:r>
        <w:rPr>
          <w:rFonts w:ascii="Calibri Light"/>
          <w:sz w:val="20"/>
        </w:rPr>
        <w:t>Publication</w:t>
      </w:r>
      <w:r>
        <w:rPr>
          <w:rFonts w:ascii="Calibri Light"/>
          <w:spacing w:val="-4"/>
          <w:sz w:val="20"/>
        </w:rPr>
        <w:t xml:space="preserve"> </w:t>
      </w:r>
      <w:r>
        <w:rPr>
          <w:rFonts w:ascii="Calibri Light"/>
          <w:sz w:val="20"/>
        </w:rPr>
        <w:t>No.</w:t>
      </w:r>
      <w:r>
        <w:rPr>
          <w:rFonts w:ascii="Calibri Light"/>
          <w:spacing w:val="-4"/>
          <w:sz w:val="20"/>
        </w:rPr>
        <w:t xml:space="preserve"> </w:t>
      </w:r>
      <w:r>
        <w:rPr>
          <w:rFonts w:ascii="Calibri Light"/>
          <w:sz w:val="20"/>
        </w:rPr>
        <w:t>(SMA)</w:t>
      </w:r>
      <w:r>
        <w:rPr>
          <w:rFonts w:ascii="Calibri Light"/>
          <w:spacing w:val="-3"/>
          <w:sz w:val="20"/>
        </w:rPr>
        <w:t xml:space="preserve"> </w:t>
      </w:r>
      <w:r>
        <w:rPr>
          <w:rFonts w:ascii="Calibri Light"/>
          <w:sz w:val="20"/>
        </w:rPr>
        <w:t>15-4219.</w:t>
      </w:r>
      <w:r>
        <w:rPr>
          <w:rFonts w:ascii="Calibri Light"/>
          <w:spacing w:val="-4"/>
          <w:sz w:val="20"/>
        </w:rPr>
        <w:t xml:space="preserve"> </w:t>
      </w:r>
      <w:r>
        <w:rPr>
          <w:rFonts w:ascii="Calibri Light"/>
          <w:sz w:val="20"/>
        </w:rPr>
        <w:t>Rockville,</w:t>
      </w:r>
      <w:r>
        <w:rPr>
          <w:rFonts w:ascii="Calibri Light"/>
          <w:spacing w:val="-2"/>
          <w:sz w:val="20"/>
        </w:rPr>
        <w:t xml:space="preserve"> </w:t>
      </w:r>
      <w:r>
        <w:rPr>
          <w:rFonts w:ascii="Calibri Light"/>
          <w:sz w:val="20"/>
        </w:rPr>
        <w:t xml:space="preserve">MD: Substance Abuse and Mental Health Services Administration. Retrieved from </w:t>
      </w:r>
      <w:hyperlink r:id="rId148">
        <w:r>
          <w:rPr>
            <w:rFonts w:ascii="Calibri Light"/>
            <w:color w:val="0563C1"/>
            <w:spacing w:val="-2"/>
            <w:sz w:val="20"/>
            <w:u w:val="single" w:color="0563C1"/>
          </w:rPr>
          <w:t>https://store.samhsa.gov/product/TIP-39-Substance-Abuse-Treatme</w:t>
        </w:r>
        <w:r>
          <w:rPr>
            <w:rFonts w:ascii="Calibri Light"/>
            <w:color w:val="0563C1"/>
            <w:spacing w:val="-2"/>
            <w:sz w:val="20"/>
            <w:u w:val="single" w:color="0563C1"/>
          </w:rPr>
          <w:t>nt-and-Family-Therapy/SMA15-4219</w:t>
        </w:r>
      </w:hyperlink>
    </w:p>
    <w:p w14:paraId="6768604F" w14:textId="77777777" w:rsidR="00DB6E1F" w:rsidRDefault="00F666A6">
      <w:pPr>
        <w:spacing w:line="259" w:lineRule="auto"/>
        <w:ind w:left="1619" w:right="1560" w:hanging="180"/>
        <w:rPr>
          <w:rFonts w:ascii="Calibri Light"/>
          <w:sz w:val="20"/>
        </w:rPr>
      </w:pPr>
      <w:r>
        <w:rPr>
          <w:rFonts w:ascii="Calibri Light"/>
          <w:sz w:val="20"/>
        </w:rPr>
        <w:t xml:space="preserve">Substance Abuse and Mental Health Services Administration. (2015b). </w:t>
      </w:r>
      <w:r>
        <w:rPr>
          <w:rFonts w:ascii="Calibri Light"/>
          <w:i/>
          <w:sz w:val="20"/>
        </w:rPr>
        <w:t>Using technology-based therapeutic tools in behavioral</w:t>
      </w:r>
      <w:r>
        <w:rPr>
          <w:rFonts w:ascii="Calibri Light"/>
          <w:i/>
          <w:spacing w:val="-4"/>
          <w:sz w:val="20"/>
        </w:rPr>
        <w:t xml:space="preserve"> </w:t>
      </w:r>
      <w:r>
        <w:rPr>
          <w:rFonts w:ascii="Calibri Light"/>
          <w:i/>
          <w:sz w:val="20"/>
        </w:rPr>
        <w:t>health</w:t>
      </w:r>
      <w:r>
        <w:rPr>
          <w:rFonts w:ascii="Calibri Light"/>
          <w:i/>
          <w:spacing w:val="-4"/>
          <w:sz w:val="20"/>
        </w:rPr>
        <w:t xml:space="preserve"> </w:t>
      </w:r>
      <w:r>
        <w:rPr>
          <w:rFonts w:ascii="Calibri Light"/>
          <w:i/>
          <w:sz w:val="20"/>
        </w:rPr>
        <w:t>services.</w:t>
      </w:r>
      <w:r>
        <w:rPr>
          <w:rFonts w:ascii="Calibri Light"/>
          <w:i/>
          <w:spacing w:val="-4"/>
          <w:sz w:val="20"/>
        </w:rPr>
        <w:t xml:space="preserve"> </w:t>
      </w:r>
      <w:r>
        <w:rPr>
          <w:rFonts w:ascii="Calibri Light"/>
          <w:sz w:val="20"/>
        </w:rPr>
        <w:t>Treatment</w:t>
      </w:r>
      <w:r>
        <w:rPr>
          <w:rFonts w:ascii="Calibri Light"/>
          <w:spacing w:val="-2"/>
          <w:sz w:val="20"/>
        </w:rPr>
        <w:t xml:space="preserve"> </w:t>
      </w:r>
      <w:r>
        <w:rPr>
          <w:rFonts w:ascii="Calibri Light"/>
          <w:sz w:val="20"/>
        </w:rPr>
        <w:t>Improvement</w:t>
      </w:r>
      <w:r>
        <w:rPr>
          <w:rFonts w:ascii="Calibri Light"/>
          <w:spacing w:val="-4"/>
          <w:sz w:val="20"/>
        </w:rPr>
        <w:t xml:space="preserve"> </w:t>
      </w:r>
      <w:r>
        <w:rPr>
          <w:rFonts w:ascii="Calibri Light"/>
          <w:sz w:val="20"/>
        </w:rPr>
        <w:t>Protocol</w:t>
      </w:r>
      <w:r>
        <w:rPr>
          <w:rFonts w:ascii="Calibri Light"/>
          <w:spacing w:val="-2"/>
          <w:sz w:val="20"/>
        </w:rPr>
        <w:t xml:space="preserve"> </w:t>
      </w:r>
      <w:r>
        <w:rPr>
          <w:rFonts w:ascii="Calibri Light"/>
          <w:sz w:val="20"/>
        </w:rPr>
        <w:t>(TIP)</w:t>
      </w:r>
      <w:r>
        <w:rPr>
          <w:rFonts w:ascii="Calibri Light"/>
          <w:spacing w:val="-4"/>
          <w:sz w:val="20"/>
        </w:rPr>
        <w:t xml:space="preserve"> </w:t>
      </w:r>
      <w:r>
        <w:rPr>
          <w:rFonts w:ascii="Calibri Light"/>
          <w:sz w:val="20"/>
        </w:rPr>
        <w:t>Series</w:t>
      </w:r>
      <w:r>
        <w:rPr>
          <w:rFonts w:ascii="Calibri Light"/>
          <w:spacing w:val="-4"/>
          <w:sz w:val="20"/>
        </w:rPr>
        <w:t xml:space="preserve"> </w:t>
      </w:r>
      <w:r>
        <w:rPr>
          <w:rFonts w:ascii="Calibri Light"/>
          <w:sz w:val="20"/>
        </w:rPr>
        <w:t>60.</w:t>
      </w:r>
      <w:r>
        <w:rPr>
          <w:rFonts w:ascii="Calibri Light"/>
          <w:spacing w:val="-4"/>
          <w:sz w:val="20"/>
        </w:rPr>
        <w:t xml:space="preserve"> </w:t>
      </w:r>
      <w:r>
        <w:rPr>
          <w:rFonts w:ascii="Calibri Light"/>
          <w:sz w:val="20"/>
        </w:rPr>
        <w:t>HHS</w:t>
      </w:r>
      <w:r>
        <w:rPr>
          <w:rFonts w:ascii="Calibri Light"/>
          <w:spacing w:val="-3"/>
          <w:sz w:val="20"/>
        </w:rPr>
        <w:t xml:space="preserve"> </w:t>
      </w:r>
      <w:r>
        <w:rPr>
          <w:rFonts w:ascii="Calibri Light"/>
          <w:sz w:val="20"/>
        </w:rPr>
        <w:t>Publication</w:t>
      </w:r>
      <w:r>
        <w:rPr>
          <w:rFonts w:ascii="Calibri Light"/>
          <w:spacing w:val="-4"/>
          <w:sz w:val="20"/>
        </w:rPr>
        <w:t xml:space="preserve"> </w:t>
      </w:r>
      <w:r>
        <w:rPr>
          <w:rFonts w:ascii="Calibri Light"/>
          <w:sz w:val="20"/>
        </w:rPr>
        <w:t>No.</w:t>
      </w:r>
      <w:r>
        <w:rPr>
          <w:rFonts w:ascii="Calibri Light"/>
          <w:spacing w:val="-4"/>
          <w:sz w:val="20"/>
        </w:rPr>
        <w:t xml:space="preserve"> </w:t>
      </w:r>
      <w:r>
        <w:rPr>
          <w:rFonts w:ascii="Calibri Light"/>
          <w:sz w:val="20"/>
        </w:rPr>
        <w:t>(SMA)</w:t>
      </w:r>
      <w:r>
        <w:rPr>
          <w:rFonts w:ascii="Calibri Light"/>
          <w:spacing w:val="-4"/>
          <w:sz w:val="20"/>
        </w:rPr>
        <w:t xml:space="preserve"> </w:t>
      </w:r>
      <w:r>
        <w:rPr>
          <w:rFonts w:ascii="Calibri Light"/>
          <w:sz w:val="20"/>
        </w:rPr>
        <w:t xml:space="preserve">15-4924. </w:t>
      </w:r>
      <w:r>
        <w:rPr>
          <w:rFonts w:ascii="Calibri Light"/>
          <w:sz w:val="20"/>
        </w:rPr>
        <w:t xml:space="preserve">Rockville, MD: Substance Abuse and Mental Health Services Administration. Retrieved from </w:t>
      </w:r>
      <w:hyperlink r:id="rId149">
        <w:r>
          <w:rPr>
            <w:rFonts w:ascii="Calibri Light"/>
            <w:color w:val="0563C1"/>
            <w:spacing w:val="-2"/>
            <w:sz w:val="20"/>
            <w:u w:val="single" w:color="0563C1"/>
          </w:rPr>
          <w:t>https://store.samhsa.gov/p</w:t>
        </w:r>
        <w:r>
          <w:rPr>
            <w:rFonts w:ascii="Calibri Light"/>
            <w:color w:val="0563C1"/>
            <w:spacing w:val="-2"/>
            <w:sz w:val="20"/>
            <w:u w:val="single" w:color="0563C1"/>
          </w:rPr>
          <w:t>roduct/TIP-60-Using-Technology-Based-Therapeutic-Tools-in-Behavioral-Health-</w:t>
        </w:r>
      </w:hyperlink>
      <w:r>
        <w:rPr>
          <w:rFonts w:ascii="Calibri Light"/>
          <w:color w:val="0563C1"/>
          <w:spacing w:val="-2"/>
          <w:sz w:val="20"/>
        </w:rPr>
        <w:t xml:space="preserve"> </w:t>
      </w:r>
      <w:hyperlink r:id="rId150">
        <w:r>
          <w:rPr>
            <w:rFonts w:ascii="Calibri Light"/>
            <w:color w:val="0563C1"/>
            <w:spacing w:val="-2"/>
            <w:sz w:val="20"/>
            <w:u w:val="single" w:color="0563C1"/>
          </w:rPr>
          <w:t>Services/SMA15-4924</w:t>
        </w:r>
      </w:hyperlink>
    </w:p>
    <w:p w14:paraId="2A43B7A7" w14:textId="77777777" w:rsidR="00DB6E1F" w:rsidRDefault="00F666A6">
      <w:pPr>
        <w:spacing w:line="259" w:lineRule="auto"/>
        <w:ind w:left="1619" w:right="1670" w:hanging="180"/>
        <w:rPr>
          <w:rFonts w:ascii="Calibri Light"/>
          <w:sz w:val="20"/>
        </w:rPr>
      </w:pPr>
      <w:r>
        <w:rPr>
          <w:rFonts w:ascii="Calibri Light"/>
          <w:sz w:val="20"/>
        </w:rPr>
        <w:t>Substance Abuse an</w:t>
      </w:r>
      <w:r>
        <w:rPr>
          <w:rFonts w:ascii="Calibri Light"/>
          <w:sz w:val="20"/>
        </w:rPr>
        <w:t>d Mental Health Services Administration.</w:t>
      </w:r>
      <w:r>
        <w:rPr>
          <w:rFonts w:ascii="Calibri Light"/>
          <w:spacing w:val="-1"/>
          <w:sz w:val="20"/>
        </w:rPr>
        <w:t xml:space="preserve"> </w:t>
      </w:r>
      <w:r>
        <w:rPr>
          <w:rFonts w:ascii="Calibri Light"/>
          <w:sz w:val="20"/>
        </w:rPr>
        <w:t>(2014a).</w:t>
      </w:r>
      <w:r>
        <w:rPr>
          <w:rFonts w:ascii="Calibri Light"/>
          <w:spacing w:val="-1"/>
          <w:sz w:val="20"/>
        </w:rPr>
        <w:t xml:space="preserve"> </w:t>
      </w:r>
      <w:r>
        <w:rPr>
          <w:rFonts w:ascii="Calibri Light"/>
          <w:i/>
          <w:sz w:val="20"/>
        </w:rPr>
        <w:t>Improving cultural competence</w:t>
      </w:r>
      <w:r>
        <w:rPr>
          <w:rFonts w:ascii="Calibri Light"/>
          <w:sz w:val="20"/>
        </w:rPr>
        <w:t>.</w:t>
      </w:r>
      <w:r>
        <w:rPr>
          <w:rFonts w:ascii="Calibri Light"/>
          <w:spacing w:val="-1"/>
          <w:sz w:val="20"/>
        </w:rPr>
        <w:t xml:space="preserve"> </w:t>
      </w:r>
      <w:r>
        <w:rPr>
          <w:rFonts w:ascii="Calibri Light"/>
          <w:sz w:val="20"/>
        </w:rPr>
        <w:t>Treatment Improvement</w:t>
      </w:r>
      <w:r>
        <w:rPr>
          <w:rFonts w:ascii="Calibri Light"/>
          <w:spacing w:val="-2"/>
          <w:sz w:val="20"/>
        </w:rPr>
        <w:t xml:space="preserve"> </w:t>
      </w:r>
      <w:r>
        <w:rPr>
          <w:rFonts w:ascii="Calibri Light"/>
          <w:sz w:val="20"/>
        </w:rPr>
        <w:t>Protocol</w:t>
      </w:r>
      <w:r>
        <w:rPr>
          <w:rFonts w:ascii="Calibri Light"/>
          <w:spacing w:val="-4"/>
          <w:sz w:val="20"/>
        </w:rPr>
        <w:t xml:space="preserve"> </w:t>
      </w:r>
      <w:r>
        <w:rPr>
          <w:rFonts w:ascii="Calibri Light"/>
          <w:sz w:val="20"/>
        </w:rPr>
        <w:t>(TIP)</w:t>
      </w:r>
      <w:r>
        <w:rPr>
          <w:rFonts w:ascii="Calibri Light"/>
          <w:spacing w:val="-4"/>
          <w:sz w:val="20"/>
        </w:rPr>
        <w:t xml:space="preserve"> </w:t>
      </w:r>
      <w:r>
        <w:rPr>
          <w:rFonts w:ascii="Calibri Light"/>
          <w:sz w:val="20"/>
        </w:rPr>
        <w:t>Series</w:t>
      </w:r>
      <w:r>
        <w:rPr>
          <w:rFonts w:ascii="Calibri Light"/>
          <w:spacing w:val="-4"/>
          <w:sz w:val="20"/>
        </w:rPr>
        <w:t xml:space="preserve"> </w:t>
      </w:r>
      <w:r>
        <w:rPr>
          <w:rFonts w:ascii="Calibri Light"/>
          <w:sz w:val="20"/>
        </w:rPr>
        <w:t>59.</w:t>
      </w:r>
      <w:r>
        <w:rPr>
          <w:rFonts w:ascii="Calibri Light"/>
          <w:spacing w:val="-2"/>
          <w:sz w:val="20"/>
        </w:rPr>
        <w:t xml:space="preserve"> </w:t>
      </w:r>
      <w:r>
        <w:rPr>
          <w:rFonts w:ascii="Calibri Light"/>
          <w:sz w:val="20"/>
        </w:rPr>
        <w:t>HHS</w:t>
      </w:r>
      <w:r>
        <w:rPr>
          <w:rFonts w:ascii="Calibri Light"/>
          <w:spacing w:val="-3"/>
          <w:sz w:val="20"/>
        </w:rPr>
        <w:t xml:space="preserve"> </w:t>
      </w:r>
      <w:r>
        <w:rPr>
          <w:rFonts w:ascii="Calibri Light"/>
          <w:sz w:val="20"/>
        </w:rPr>
        <w:t>Publication</w:t>
      </w:r>
      <w:r>
        <w:rPr>
          <w:rFonts w:ascii="Calibri Light"/>
          <w:spacing w:val="-4"/>
          <w:sz w:val="20"/>
        </w:rPr>
        <w:t xml:space="preserve"> </w:t>
      </w:r>
      <w:r>
        <w:rPr>
          <w:rFonts w:ascii="Calibri Light"/>
          <w:sz w:val="20"/>
        </w:rPr>
        <w:t>No.</w:t>
      </w:r>
      <w:r>
        <w:rPr>
          <w:rFonts w:ascii="Calibri Light"/>
          <w:spacing w:val="-4"/>
          <w:sz w:val="20"/>
        </w:rPr>
        <w:t xml:space="preserve"> </w:t>
      </w:r>
      <w:r>
        <w:rPr>
          <w:rFonts w:ascii="Calibri Light"/>
          <w:sz w:val="20"/>
        </w:rPr>
        <w:t>(SMA)</w:t>
      </w:r>
      <w:r>
        <w:rPr>
          <w:rFonts w:ascii="Calibri Light"/>
          <w:spacing w:val="-4"/>
          <w:sz w:val="20"/>
        </w:rPr>
        <w:t xml:space="preserve"> </w:t>
      </w:r>
      <w:r>
        <w:rPr>
          <w:rFonts w:ascii="Calibri Light"/>
          <w:sz w:val="20"/>
        </w:rPr>
        <w:t>14-4849.</w:t>
      </w:r>
      <w:r>
        <w:rPr>
          <w:rFonts w:ascii="Calibri Light"/>
          <w:spacing w:val="-4"/>
          <w:sz w:val="20"/>
        </w:rPr>
        <w:t xml:space="preserve"> </w:t>
      </w:r>
      <w:r>
        <w:rPr>
          <w:rFonts w:ascii="Calibri Light"/>
          <w:sz w:val="20"/>
        </w:rPr>
        <w:t>Rockville,</w:t>
      </w:r>
      <w:r>
        <w:rPr>
          <w:rFonts w:ascii="Calibri Light"/>
          <w:spacing w:val="-2"/>
          <w:sz w:val="20"/>
        </w:rPr>
        <w:t xml:space="preserve"> </w:t>
      </w:r>
      <w:r>
        <w:rPr>
          <w:rFonts w:ascii="Calibri Light"/>
          <w:sz w:val="20"/>
        </w:rPr>
        <w:t>MD:</w:t>
      </w:r>
      <w:r>
        <w:rPr>
          <w:rFonts w:ascii="Calibri Light"/>
          <w:spacing w:val="-1"/>
          <w:sz w:val="20"/>
        </w:rPr>
        <w:t xml:space="preserve"> </w:t>
      </w:r>
      <w:r>
        <w:rPr>
          <w:rFonts w:ascii="Calibri Light"/>
          <w:sz w:val="20"/>
        </w:rPr>
        <w:t>Substance</w:t>
      </w:r>
      <w:r>
        <w:rPr>
          <w:rFonts w:ascii="Calibri Light"/>
          <w:spacing w:val="-4"/>
          <w:sz w:val="20"/>
        </w:rPr>
        <w:t xml:space="preserve"> </w:t>
      </w:r>
      <w:r>
        <w:rPr>
          <w:rFonts w:ascii="Calibri Light"/>
          <w:sz w:val="20"/>
        </w:rPr>
        <w:t>Abuse</w:t>
      </w:r>
      <w:r>
        <w:rPr>
          <w:rFonts w:ascii="Calibri Light"/>
          <w:spacing w:val="-4"/>
          <w:sz w:val="20"/>
        </w:rPr>
        <w:t xml:space="preserve"> </w:t>
      </w:r>
      <w:r>
        <w:rPr>
          <w:rFonts w:ascii="Calibri Light"/>
          <w:sz w:val="20"/>
        </w:rPr>
        <w:t xml:space="preserve">and Mental Health Services Administration. Retrieved from </w:t>
      </w:r>
      <w:hyperlink r:id="rId151">
        <w:r>
          <w:rPr>
            <w:rFonts w:ascii="Calibri Light"/>
            <w:color w:val="0563C1"/>
            <w:sz w:val="20"/>
            <w:u w:val="single" w:color="0563C1"/>
          </w:rPr>
          <w:t>https://store.samhsa.gov/product/TIP-59-Improving-</w:t>
        </w:r>
      </w:hyperlink>
      <w:r>
        <w:rPr>
          <w:rFonts w:ascii="Calibri Light"/>
          <w:color w:val="0563C1"/>
          <w:sz w:val="20"/>
        </w:rPr>
        <w:t xml:space="preserve"> </w:t>
      </w:r>
      <w:hyperlink r:id="rId152">
        <w:r>
          <w:rPr>
            <w:rFonts w:ascii="Calibri Light"/>
            <w:color w:val="0563C1"/>
            <w:spacing w:val="-2"/>
            <w:sz w:val="20"/>
            <w:u w:val="single" w:color="0563C1"/>
          </w:rPr>
          <w:t>Cultural-Competence/SMA15-4849</w:t>
        </w:r>
      </w:hyperlink>
    </w:p>
    <w:p w14:paraId="02E94C4D" w14:textId="77777777" w:rsidR="00DB6E1F" w:rsidRDefault="00F666A6">
      <w:pPr>
        <w:spacing w:line="259" w:lineRule="auto"/>
        <w:ind w:left="1620" w:right="1706" w:hanging="181"/>
        <w:rPr>
          <w:rFonts w:ascii="Calibri Light"/>
          <w:sz w:val="20"/>
        </w:rPr>
      </w:pPr>
      <w:r>
        <w:rPr>
          <w:rFonts w:ascii="Calibri Light"/>
          <w:sz w:val="20"/>
        </w:rPr>
        <w:t>Substance</w:t>
      </w:r>
      <w:r>
        <w:rPr>
          <w:rFonts w:ascii="Calibri Light"/>
          <w:spacing w:val="-4"/>
          <w:sz w:val="20"/>
        </w:rPr>
        <w:t xml:space="preserve"> </w:t>
      </w:r>
      <w:r>
        <w:rPr>
          <w:rFonts w:ascii="Calibri Light"/>
          <w:sz w:val="20"/>
        </w:rPr>
        <w:t>Abuse</w:t>
      </w:r>
      <w:r>
        <w:rPr>
          <w:rFonts w:ascii="Calibri Light"/>
          <w:spacing w:val="-4"/>
          <w:sz w:val="20"/>
        </w:rPr>
        <w:t xml:space="preserve"> </w:t>
      </w:r>
      <w:r>
        <w:rPr>
          <w:rFonts w:ascii="Calibri Light"/>
          <w:sz w:val="20"/>
        </w:rPr>
        <w:t>and</w:t>
      </w:r>
      <w:r>
        <w:rPr>
          <w:rFonts w:ascii="Calibri Light"/>
          <w:spacing w:val="-4"/>
          <w:sz w:val="20"/>
        </w:rPr>
        <w:t xml:space="preserve"> </w:t>
      </w:r>
      <w:r>
        <w:rPr>
          <w:rFonts w:ascii="Calibri Light"/>
          <w:sz w:val="20"/>
        </w:rPr>
        <w:t>Mental</w:t>
      </w:r>
      <w:r>
        <w:rPr>
          <w:rFonts w:ascii="Calibri Light"/>
          <w:spacing w:val="-2"/>
          <w:sz w:val="20"/>
        </w:rPr>
        <w:t xml:space="preserve"> </w:t>
      </w:r>
      <w:r>
        <w:rPr>
          <w:rFonts w:ascii="Calibri Light"/>
          <w:sz w:val="20"/>
        </w:rPr>
        <w:t>Health</w:t>
      </w:r>
      <w:r>
        <w:rPr>
          <w:rFonts w:ascii="Calibri Light"/>
          <w:spacing w:val="-4"/>
          <w:sz w:val="20"/>
        </w:rPr>
        <w:t xml:space="preserve"> </w:t>
      </w:r>
      <w:r>
        <w:rPr>
          <w:rFonts w:ascii="Calibri Light"/>
          <w:sz w:val="20"/>
        </w:rPr>
        <w:t>Services</w:t>
      </w:r>
      <w:r>
        <w:rPr>
          <w:rFonts w:ascii="Calibri Light"/>
          <w:spacing w:val="-4"/>
          <w:sz w:val="20"/>
        </w:rPr>
        <w:t xml:space="preserve"> </w:t>
      </w:r>
      <w:r>
        <w:rPr>
          <w:rFonts w:ascii="Calibri Light"/>
          <w:sz w:val="20"/>
        </w:rPr>
        <w:t>Administration.</w:t>
      </w:r>
      <w:r>
        <w:rPr>
          <w:rFonts w:ascii="Calibri Light"/>
          <w:spacing w:val="-5"/>
          <w:sz w:val="20"/>
        </w:rPr>
        <w:t xml:space="preserve"> </w:t>
      </w:r>
      <w:r>
        <w:rPr>
          <w:rFonts w:ascii="Calibri Light"/>
          <w:sz w:val="20"/>
        </w:rPr>
        <w:t>(2014b).</w:t>
      </w:r>
      <w:r>
        <w:rPr>
          <w:rFonts w:ascii="Calibri Light"/>
          <w:spacing w:val="-5"/>
          <w:sz w:val="20"/>
        </w:rPr>
        <w:t xml:space="preserve"> </w:t>
      </w:r>
      <w:r>
        <w:rPr>
          <w:rFonts w:ascii="Calibri Light"/>
          <w:i/>
          <w:sz w:val="20"/>
        </w:rPr>
        <w:t>Trauma-informed</w:t>
      </w:r>
      <w:r>
        <w:rPr>
          <w:rFonts w:ascii="Calibri Light"/>
          <w:i/>
          <w:spacing w:val="-2"/>
          <w:sz w:val="20"/>
        </w:rPr>
        <w:t xml:space="preserve"> </w:t>
      </w:r>
      <w:r>
        <w:rPr>
          <w:rFonts w:ascii="Calibri Light"/>
          <w:i/>
          <w:sz w:val="20"/>
        </w:rPr>
        <w:t>care</w:t>
      </w:r>
      <w:r>
        <w:rPr>
          <w:rFonts w:ascii="Calibri Light"/>
          <w:i/>
          <w:spacing w:val="-4"/>
          <w:sz w:val="20"/>
        </w:rPr>
        <w:t xml:space="preserve"> </w:t>
      </w:r>
      <w:r>
        <w:rPr>
          <w:rFonts w:ascii="Calibri Light"/>
          <w:i/>
          <w:sz w:val="20"/>
        </w:rPr>
        <w:t>in</w:t>
      </w:r>
      <w:r>
        <w:rPr>
          <w:rFonts w:ascii="Calibri Light"/>
          <w:i/>
          <w:spacing w:val="-4"/>
          <w:sz w:val="20"/>
        </w:rPr>
        <w:t xml:space="preserve"> </w:t>
      </w:r>
      <w:r>
        <w:rPr>
          <w:rFonts w:ascii="Calibri Light"/>
          <w:i/>
          <w:sz w:val="20"/>
        </w:rPr>
        <w:t>behavioral</w:t>
      </w:r>
      <w:r>
        <w:rPr>
          <w:rFonts w:ascii="Calibri Light"/>
          <w:i/>
          <w:spacing w:val="-5"/>
          <w:sz w:val="20"/>
        </w:rPr>
        <w:t xml:space="preserve"> </w:t>
      </w:r>
      <w:r>
        <w:rPr>
          <w:rFonts w:ascii="Calibri Light"/>
          <w:i/>
          <w:sz w:val="20"/>
        </w:rPr>
        <w:t xml:space="preserve">health services. </w:t>
      </w:r>
      <w:r>
        <w:rPr>
          <w:rFonts w:ascii="Calibri Light"/>
          <w:sz w:val="20"/>
        </w:rPr>
        <w:t xml:space="preserve">Treatment Improvement Protocol (TIP) Series 60. HHS Publication No. (SMA) 14-4816. Rockville, MD: Substance Abuse and Mental Health Services Administration. Retrieved from </w:t>
      </w:r>
      <w:hyperlink r:id="rId153">
        <w:r>
          <w:rPr>
            <w:rFonts w:ascii="Calibri Light"/>
            <w:color w:val="0563C1"/>
            <w:spacing w:val="-2"/>
            <w:sz w:val="20"/>
            <w:u w:val="single" w:color="0563C1"/>
          </w:rPr>
          <w:t>https://store.samhsa.gov/product/TIP-57-Trauma-Informed-Care-in-Behavioral-Health-Services/SMA14-4816</w:t>
        </w:r>
      </w:hyperlink>
    </w:p>
    <w:p w14:paraId="4B20D627" w14:textId="77777777" w:rsidR="00DB6E1F" w:rsidRDefault="00F666A6">
      <w:pPr>
        <w:spacing w:line="259" w:lineRule="auto"/>
        <w:ind w:left="1619" w:right="1716" w:hanging="180"/>
        <w:rPr>
          <w:rFonts w:ascii="Calibri Light"/>
          <w:sz w:val="20"/>
        </w:rPr>
      </w:pPr>
      <w:r>
        <w:rPr>
          <w:rFonts w:ascii="Calibri Light"/>
          <w:sz w:val="20"/>
        </w:rPr>
        <w:t>Substance</w:t>
      </w:r>
      <w:r>
        <w:rPr>
          <w:rFonts w:ascii="Calibri Light"/>
          <w:spacing w:val="-3"/>
          <w:sz w:val="20"/>
        </w:rPr>
        <w:t xml:space="preserve"> </w:t>
      </w:r>
      <w:r>
        <w:rPr>
          <w:rFonts w:ascii="Calibri Light"/>
          <w:sz w:val="20"/>
        </w:rPr>
        <w:t>Abuse</w:t>
      </w:r>
      <w:r>
        <w:rPr>
          <w:rFonts w:ascii="Calibri Light"/>
          <w:spacing w:val="-3"/>
          <w:sz w:val="20"/>
        </w:rPr>
        <w:t xml:space="preserve"> </w:t>
      </w:r>
      <w:r>
        <w:rPr>
          <w:rFonts w:ascii="Calibri Light"/>
          <w:sz w:val="20"/>
        </w:rPr>
        <w:t>and</w:t>
      </w:r>
      <w:r>
        <w:rPr>
          <w:rFonts w:ascii="Calibri Light"/>
          <w:spacing w:val="-3"/>
          <w:sz w:val="20"/>
        </w:rPr>
        <w:t xml:space="preserve"> </w:t>
      </w:r>
      <w:r>
        <w:rPr>
          <w:rFonts w:ascii="Calibri Light"/>
          <w:sz w:val="20"/>
        </w:rPr>
        <w:t>Mental</w:t>
      </w:r>
      <w:r>
        <w:rPr>
          <w:rFonts w:ascii="Calibri Light"/>
          <w:spacing w:val="-2"/>
          <w:sz w:val="20"/>
        </w:rPr>
        <w:t xml:space="preserve"> </w:t>
      </w:r>
      <w:r>
        <w:rPr>
          <w:rFonts w:ascii="Calibri Light"/>
          <w:sz w:val="20"/>
        </w:rPr>
        <w:t>Health</w:t>
      </w:r>
      <w:r>
        <w:rPr>
          <w:rFonts w:ascii="Calibri Light"/>
          <w:spacing w:val="-3"/>
          <w:sz w:val="20"/>
        </w:rPr>
        <w:t xml:space="preserve"> </w:t>
      </w:r>
      <w:r>
        <w:rPr>
          <w:rFonts w:ascii="Calibri Light"/>
          <w:sz w:val="20"/>
        </w:rPr>
        <w:t>Services</w:t>
      </w:r>
      <w:r>
        <w:rPr>
          <w:rFonts w:ascii="Calibri Light"/>
          <w:spacing w:val="-3"/>
          <w:sz w:val="20"/>
        </w:rPr>
        <w:t xml:space="preserve"> </w:t>
      </w:r>
      <w:r>
        <w:rPr>
          <w:rFonts w:ascii="Calibri Light"/>
          <w:sz w:val="20"/>
        </w:rPr>
        <w:t>Administration.</w:t>
      </w:r>
      <w:r>
        <w:rPr>
          <w:rFonts w:ascii="Calibri Light"/>
          <w:spacing w:val="-4"/>
          <w:sz w:val="20"/>
        </w:rPr>
        <w:t xml:space="preserve"> </w:t>
      </w:r>
      <w:r>
        <w:rPr>
          <w:rFonts w:ascii="Calibri Light"/>
          <w:sz w:val="20"/>
        </w:rPr>
        <w:t>(2013).</w:t>
      </w:r>
      <w:r>
        <w:rPr>
          <w:rFonts w:ascii="Calibri Light"/>
          <w:spacing w:val="-4"/>
          <w:sz w:val="20"/>
        </w:rPr>
        <w:t xml:space="preserve"> </w:t>
      </w:r>
      <w:r>
        <w:rPr>
          <w:rFonts w:ascii="Calibri Light"/>
          <w:i/>
          <w:sz w:val="20"/>
        </w:rPr>
        <w:t>Substance</w:t>
      </w:r>
      <w:r>
        <w:rPr>
          <w:rFonts w:ascii="Calibri Light"/>
          <w:i/>
          <w:spacing w:val="-3"/>
          <w:sz w:val="20"/>
        </w:rPr>
        <w:t xml:space="preserve"> </w:t>
      </w:r>
      <w:r>
        <w:rPr>
          <w:rFonts w:ascii="Calibri Light"/>
          <w:i/>
          <w:sz w:val="20"/>
        </w:rPr>
        <w:t>abuse</w:t>
      </w:r>
      <w:r>
        <w:rPr>
          <w:rFonts w:ascii="Calibri Light"/>
          <w:i/>
          <w:spacing w:val="-3"/>
          <w:sz w:val="20"/>
        </w:rPr>
        <w:t xml:space="preserve"> </w:t>
      </w:r>
      <w:r>
        <w:rPr>
          <w:rFonts w:ascii="Calibri Light"/>
          <w:i/>
          <w:sz w:val="20"/>
        </w:rPr>
        <w:t>treatment</w:t>
      </w:r>
      <w:r>
        <w:rPr>
          <w:rFonts w:ascii="Calibri Light"/>
          <w:i/>
          <w:spacing w:val="-4"/>
          <w:sz w:val="20"/>
        </w:rPr>
        <w:t xml:space="preserve"> </w:t>
      </w:r>
      <w:r>
        <w:rPr>
          <w:rFonts w:ascii="Calibri Light"/>
          <w:i/>
          <w:sz w:val="20"/>
        </w:rPr>
        <w:t>for</w:t>
      </w:r>
      <w:r>
        <w:rPr>
          <w:rFonts w:ascii="Calibri Light"/>
          <w:i/>
          <w:spacing w:val="-3"/>
          <w:sz w:val="20"/>
        </w:rPr>
        <w:t xml:space="preserve"> </w:t>
      </w:r>
      <w:r>
        <w:rPr>
          <w:rFonts w:ascii="Calibri Light"/>
          <w:i/>
          <w:sz w:val="20"/>
        </w:rPr>
        <w:t>persons</w:t>
      </w:r>
      <w:r>
        <w:rPr>
          <w:rFonts w:ascii="Calibri Light"/>
          <w:i/>
          <w:spacing w:val="-3"/>
          <w:sz w:val="20"/>
        </w:rPr>
        <w:t xml:space="preserve"> </w:t>
      </w:r>
      <w:r>
        <w:rPr>
          <w:rFonts w:ascii="Calibri Light"/>
          <w:i/>
          <w:sz w:val="20"/>
        </w:rPr>
        <w:t>with</w:t>
      </w:r>
      <w:r>
        <w:rPr>
          <w:rFonts w:ascii="Calibri Light"/>
          <w:i/>
          <w:sz w:val="20"/>
        </w:rPr>
        <w:t xml:space="preserve"> co-occurring disorders. </w:t>
      </w:r>
      <w:r>
        <w:rPr>
          <w:rFonts w:ascii="Calibri Light"/>
          <w:sz w:val="20"/>
        </w:rPr>
        <w:t xml:space="preserve">Treatment Improvement Protocol (TIP) Series 42. HHS Publication No. (SMA) 13-3992. Rockville, MD: Substance Abuse and Mental Health Services Administration. Retrieved from </w:t>
      </w:r>
      <w:hyperlink r:id="rId154">
        <w:r>
          <w:rPr>
            <w:rFonts w:ascii="Calibri Light"/>
            <w:color w:val="0563C1"/>
            <w:spacing w:val="-2"/>
            <w:sz w:val="20"/>
            <w:u w:val="single" w:color="0563C1"/>
          </w:rPr>
          <w:t>https://store.samhsa.gov/product/TIP-42-Substance-Abuse-Treatment-for-Persons-With-Co-Occurring-</w:t>
        </w:r>
      </w:hyperlink>
      <w:r>
        <w:rPr>
          <w:rFonts w:ascii="Calibri Light"/>
          <w:color w:val="0563C1"/>
          <w:spacing w:val="-2"/>
          <w:sz w:val="20"/>
        </w:rPr>
        <w:t xml:space="preserve"> </w:t>
      </w:r>
      <w:hyperlink r:id="rId155">
        <w:r>
          <w:rPr>
            <w:rFonts w:ascii="Calibri Light"/>
            <w:color w:val="0563C1"/>
            <w:spacing w:val="-2"/>
            <w:sz w:val="20"/>
            <w:u w:val="single" w:color="0563C1"/>
          </w:rPr>
          <w:t>Disorders/SMA13-3992</w:t>
        </w:r>
      </w:hyperlink>
    </w:p>
    <w:p w14:paraId="45C46824" w14:textId="77777777" w:rsidR="00DB6E1F" w:rsidRDefault="00F666A6">
      <w:pPr>
        <w:spacing w:line="259" w:lineRule="auto"/>
        <w:ind w:left="1619" w:right="1509" w:hanging="180"/>
        <w:rPr>
          <w:rFonts w:ascii="Calibri Light" w:hAnsi="Calibri Light"/>
          <w:sz w:val="20"/>
        </w:rPr>
      </w:pPr>
      <w:r>
        <w:rPr>
          <w:rFonts w:ascii="Calibri Light" w:hAnsi="Calibri Light"/>
          <w:sz w:val="20"/>
        </w:rPr>
        <w:t xml:space="preserve">Substance Abuse and Mental Health Services Administration. (2009). </w:t>
      </w:r>
      <w:r>
        <w:rPr>
          <w:rFonts w:ascii="Calibri Light" w:hAnsi="Calibri Light"/>
          <w:i/>
          <w:sz w:val="20"/>
        </w:rPr>
        <w:t>Clinical supervision and professional development</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the</w:t>
      </w:r>
      <w:r>
        <w:rPr>
          <w:rFonts w:ascii="Calibri Light" w:hAnsi="Calibri Light"/>
          <w:i/>
          <w:spacing w:val="-3"/>
          <w:sz w:val="20"/>
        </w:rPr>
        <w:t xml:space="preserve"> </w:t>
      </w:r>
      <w:r>
        <w:rPr>
          <w:rFonts w:ascii="Calibri Light" w:hAnsi="Calibri Light"/>
          <w:i/>
          <w:sz w:val="20"/>
        </w:rPr>
        <w:t>substance</w:t>
      </w:r>
      <w:r>
        <w:rPr>
          <w:rFonts w:ascii="Calibri Light" w:hAnsi="Calibri Light"/>
          <w:i/>
          <w:spacing w:val="-2"/>
          <w:sz w:val="20"/>
        </w:rPr>
        <w:t xml:space="preserve"> </w:t>
      </w:r>
      <w:r>
        <w:rPr>
          <w:rFonts w:ascii="Calibri Light" w:hAnsi="Calibri Light"/>
          <w:i/>
          <w:sz w:val="20"/>
        </w:rPr>
        <w:t>abuse</w:t>
      </w:r>
      <w:r>
        <w:rPr>
          <w:rFonts w:ascii="Calibri Light" w:hAnsi="Calibri Light"/>
          <w:i/>
          <w:spacing w:val="-3"/>
          <w:sz w:val="20"/>
        </w:rPr>
        <w:t xml:space="preserve"> </w:t>
      </w:r>
      <w:r>
        <w:rPr>
          <w:rFonts w:ascii="Calibri Light" w:hAnsi="Calibri Light"/>
          <w:i/>
          <w:sz w:val="20"/>
        </w:rPr>
        <w:t>counselor</w:t>
      </w:r>
      <w:r>
        <w:rPr>
          <w:rFonts w:ascii="Calibri Light" w:hAnsi="Calibri Light"/>
          <w:sz w:val="20"/>
        </w:rPr>
        <w:t>.</w:t>
      </w:r>
      <w:r>
        <w:rPr>
          <w:rFonts w:ascii="Calibri Light" w:hAnsi="Calibri Light"/>
          <w:spacing w:val="-4"/>
          <w:sz w:val="20"/>
        </w:rPr>
        <w:t xml:space="preserve"> </w:t>
      </w:r>
      <w:r>
        <w:rPr>
          <w:rFonts w:ascii="Calibri Light" w:hAnsi="Calibri Light"/>
          <w:sz w:val="20"/>
        </w:rPr>
        <w:t>Treatment</w:t>
      </w:r>
      <w:r>
        <w:rPr>
          <w:rFonts w:ascii="Calibri Light" w:hAnsi="Calibri Light"/>
          <w:spacing w:val="-2"/>
          <w:sz w:val="20"/>
        </w:rPr>
        <w:t xml:space="preserve"> </w:t>
      </w:r>
      <w:r>
        <w:rPr>
          <w:rFonts w:ascii="Calibri Light" w:hAnsi="Calibri Light"/>
          <w:sz w:val="20"/>
        </w:rPr>
        <w:t>Improvement</w:t>
      </w:r>
      <w:r>
        <w:rPr>
          <w:rFonts w:ascii="Calibri Light" w:hAnsi="Calibri Light"/>
          <w:spacing w:val="-4"/>
          <w:sz w:val="20"/>
        </w:rPr>
        <w:t xml:space="preserve"> </w:t>
      </w:r>
      <w:r>
        <w:rPr>
          <w:rFonts w:ascii="Calibri Light" w:hAnsi="Calibri Light"/>
          <w:sz w:val="20"/>
        </w:rPr>
        <w:t>Protocol</w:t>
      </w:r>
      <w:r>
        <w:rPr>
          <w:rFonts w:ascii="Calibri Light" w:hAnsi="Calibri Light"/>
          <w:spacing w:val="-4"/>
          <w:sz w:val="20"/>
        </w:rPr>
        <w:t xml:space="preserve"> </w:t>
      </w:r>
      <w:r>
        <w:rPr>
          <w:rFonts w:ascii="Calibri Light" w:hAnsi="Calibri Light"/>
          <w:sz w:val="20"/>
        </w:rPr>
        <w:t>(TIP)</w:t>
      </w:r>
      <w:r>
        <w:rPr>
          <w:rFonts w:ascii="Calibri Light" w:hAnsi="Calibri Light"/>
          <w:spacing w:val="-3"/>
          <w:sz w:val="20"/>
        </w:rPr>
        <w:t xml:space="preserve"> </w:t>
      </w:r>
      <w:r>
        <w:rPr>
          <w:rFonts w:ascii="Calibri Light" w:hAnsi="Calibri Light"/>
          <w:sz w:val="20"/>
        </w:rPr>
        <w:t>Series</w:t>
      </w:r>
      <w:r>
        <w:rPr>
          <w:rFonts w:ascii="Calibri Light" w:hAnsi="Calibri Light"/>
          <w:spacing w:val="-3"/>
          <w:sz w:val="20"/>
        </w:rPr>
        <w:t xml:space="preserve"> </w:t>
      </w:r>
      <w:r>
        <w:rPr>
          <w:rFonts w:ascii="Calibri Light" w:hAnsi="Calibri Light"/>
          <w:sz w:val="20"/>
        </w:rPr>
        <w:t>52.</w:t>
      </w:r>
      <w:r>
        <w:rPr>
          <w:rFonts w:ascii="Calibri Light" w:hAnsi="Calibri Light"/>
          <w:spacing w:val="-2"/>
          <w:sz w:val="20"/>
        </w:rPr>
        <w:t xml:space="preserve"> </w:t>
      </w:r>
      <w:r>
        <w:rPr>
          <w:rFonts w:ascii="Calibri Light" w:hAnsi="Calibri Light"/>
          <w:sz w:val="20"/>
        </w:rPr>
        <w:t>HHS</w:t>
      </w:r>
      <w:r>
        <w:rPr>
          <w:rFonts w:ascii="Calibri Light" w:hAnsi="Calibri Light"/>
          <w:spacing w:val="-2"/>
          <w:sz w:val="20"/>
        </w:rPr>
        <w:t xml:space="preserve"> </w:t>
      </w:r>
      <w:r>
        <w:rPr>
          <w:rFonts w:ascii="Calibri Light" w:hAnsi="Calibri Light"/>
          <w:sz w:val="20"/>
        </w:rPr>
        <w:t xml:space="preserve">Publication (SMA) 14–4435. Rockville, MD: Substance Abuse and Mental Health Services Administration. Retrieved from </w:t>
      </w:r>
      <w:hyperlink r:id="rId156">
        <w:r>
          <w:rPr>
            <w:rFonts w:ascii="Calibri Light" w:hAnsi="Calibri Light"/>
            <w:color w:val="0563C1"/>
            <w:spacing w:val="-2"/>
            <w:sz w:val="20"/>
            <w:u w:val="single" w:color="0563C1"/>
          </w:rPr>
          <w:t>https://store.samhsa.gov/product/TIP-52-Clinical-Supervision-and-Professional-Development-of-the-Substance-</w:t>
        </w:r>
      </w:hyperlink>
      <w:r>
        <w:rPr>
          <w:rFonts w:ascii="Calibri Light" w:hAnsi="Calibri Light"/>
          <w:color w:val="0563C1"/>
          <w:spacing w:val="-2"/>
          <w:sz w:val="20"/>
        </w:rPr>
        <w:t xml:space="preserve"> </w:t>
      </w:r>
      <w:hyperlink r:id="rId157">
        <w:r>
          <w:rPr>
            <w:rFonts w:ascii="Calibri Light" w:hAnsi="Calibri Light"/>
            <w:color w:val="0563C1"/>
            <w:spacing w:val="-2"/>
            <w:sz w:val="20"/>
            <w:u w:val="single" w:color="0563C1"/>
          </w:rPr>
          <w:t>Abuse-Counselor/SMA14-4435.html</w:t>
        </w:r>
      </w:hyperlink>
    </w:p>
    <w:p w14:paraId="1ADC12FC" w14:textId="77777777" w:rsidR="00DB6E1F" w:rsidRDefault="00F666A6">
      <w:pPr>
        <w:spacing w:line="259" w:lineRule="auto"/>
        <w:ind w:left="1619" w:right="1491" w:hanging="180"/>
        <w:rPr>
          <w:rFonts w:ascii="Calibri Light"/>
          <w:sz w:val="20"/>
        </w:rPr>
      </w:pPr>
      <w:r>
        <w:rPr>
          <w:rFonts w:ascii="Calibri Light"/>
          <w:sz w:val="20"/>
        </w:rPr>
        <w:t>Substance Abuse and Mental Health Services Administration</w:t>
      </w:r>
      <w:r>
        <w:rPr>
          <w:rFonts w:ascii="Calibri Light"/>
          <w:color w:val="000000"/>
          <w:sz w:val="20"/>
          <w:shd w:val="clear" w:color="auto" w:fill="FFFF00"/>
        </w:rPr>
        <w:t>. (planned).</w:t>
      </w:r>
      <w:r>
        <w:rPr>
          <w:rFonts w:ascii="Calibri Light"/>
          <w:color w:val="000000"/>
          <w:sz w:val="20"/>
        </w:rPr>
        <w:t xml:space="preserve"> </w:t>
      </w:r>
      <w:r>
        <w:rPr>
          <w:rFonts w:ascii="Calibri Light"/>
          <w:i/>
          <w:color w:val="000000"/>
          <w:sz w:val="20"/>
        </w:rPr>
        <w:t xml:space="preserve">Treating addiction in older adults. </w:t>
      </w:r>
      <w:r>
        <w:rPr>
          <w:rFonts w:ascii="Calibri Light"/>
          <w:color w:val="000000"/>
          <w:sz w:val="20"/>
        </w:rPr>
        <w:t>Treatment</w:t>
      </w:r>
      <w:r>
        <w:rPr>
          <w:rFonts w:ascii="Calibri Light"/>
          <w:color w:val="000000"/>
          <w:spacing w:val="-5"/>
          <w:sz w:val="20"/>
        </w:rPr>
        <w:t xml:space="preserve"> </w:t>
      </w:r>
      <w:r>
        <w:rPr>
          <w:rFonts w:ascii="Calibri Light"/>
          <w:color w:val="000000"/>
          <w:sz w:val="20"/>
        </w:rPr>
        <w:t>Improvement</w:t>
      </w:r>
      <w:r>
        <w:rPr>
          <w:rFonts w:ascii="Calibri Light"/>
          <w:color w:val="000000"/>
          <w:spacing w:val="-5"/>
          <w:sz w:val="20"/>
        </w:rPr>
        <w:t xml:space="preserve"> </w:t>
      </w:r>
      <w:r>
        <w:rPr>
          <w:rFonts w:ascii="Calibri Light"/>
          <w:color w:val="000000"/>
          <w:sz w:val="20"/>
        </w:rPr>
        <w:t>Protocol</w:t>
      </w:r>
      <w:r>
        <w:rPr>
          <w:rFonts w:ascii="Calibri Light"/>
          <w:color w:val="000000"/>
          <w:spacing w:val="-5"/>
          <w:sz w:val="20"/>
        </w:rPr>
        <w:t xml:space="preserve"> </w:t>
      </w:r>
      <w:r>
        <w:rPr>
          <w:rFonts w:ascii="Calibri Light"/>
          <w:color w:val="000000"/>
          <w:sz w:val="20"/>
        </w:rPr>
        <w:t>(TIP)</w:t>
      </w:r>
      <w:r>
        <w:rPr>
          <w:rFonts w:ascii="Calibri Light"/>
          <w:color w:val="000000"/>
          <w:spacing w:val="-4"/>
          <w:sz w:val="20"/>
        </w:rPr>
        <w:t xml:space="preserve"> </w:t>
      </w:r>
      <w:r>
        <w:rPr>
          <w:rFonts w:ascii="Calibri Light"/>
          <w:color w:val="000000"/>
          <w:sz w:val="20"/>
        </w:rPr>
        <w:t>Series.</w:t>
      </w:r>
      <w:r>
        <w:rPr>
          <w:rFonts w:ascii="Calibri Light"/>
          <w:color w:val="000000"/>
          <w:spacing w:val="-5"/>
          <w:sz w:val="20"/>
        </w:rPr>
        <w:t xml:space="preserve"> </w:t>
      </w:r>
      <w:r>
        <w:rPr>
          <w:rFonts w:ascii="Calibri Light"/>
          <w:color w:val="000000"/>
          <w:sz w:val="20"/>
        </w:rPr>
        <w:t>Rockville,</w:t>
      </w:r>
      <w:r>
        <w:rPr>
          <w:rFonts w:ascii="Calibri Light"/>
          <w:color w:val="000000"/>
          <w:spacing w:val="-3"/>
          <w:sz w:val="20"/>
        </w:rPr>
        <w:t xml:space="preserve"> </w:t>
      </w:r>
      <w:r>
        <w:rPr>
          <w:rFonts w:ascii="Calibri Light"/>
          <w:color w:val="000000"/>
          <w:sz w:val="20"/>
        </w:rPr>
        <w:t>MD:</w:t>
      </w:r>
      <w:r>
        <w:rPr>
          <w:rFonts w:ascii="Calibri Light"/>
          <w:color w:val="000000"/>
          <w:spacing w:val="-3"/>
          <w:sz w:val="20"/>
        </w:rPr>
        <w:t xml:space="preserve"> </w:t>
      </w:r>
      <w:r>
        <w:rPr>
          <w:rFonts w:ascii="Calibri Light"/>
          <w:color w:val="000000"/>
          <w:sz w:val="20"/>
        </w:rPr>
        <w:t>Substance</w:t>
      </w:r>
      <w:r>
        <w:rPr>
          <w:rFonts w:ascii="Calibri Light"/>
          <w:color w:val="000000"/>
          <w:spacing w:val="-4"/>
          <w:sz w:val="20"/>
        </w:rPr>
        <w:t xml:space="preserve"> </w:t>
      </w:r>
      <w:r>
        <w:rPr>
          <w:rFonts w:ascii="Calibri Light"/>
          <w:color w:val="000000"/>
          <w:sz w:val="20"/>
        </w:rPr>
        <w:t>Abuse</w:t>
      </w:r>
      <w:r>
        <w:rPr>
          <w:rFonts w:ascii="Calibri Light"/>
          <w:color w:val="000000"/>
          <w:spacing w:val="-4"/>
          <w:sz w:val="20"/>
        </w:rPr>
        <w:t xml:space="preserve"> </w:t>
      </w:r>
      <w:r>
        <w:rPr>
          <w:rFonts w:ascii="Calibri Light"/>
          <w:color w:val="000000"/>
          <w:sz w:val="20"/>
        </w:rPr>
        <w:t>and</w:t>
      </w:r>
      <w:r>
        <w:rPr>
          <w:rFonts w:ascii="Calibri Light"/>
          <w:color w:val="000000"/>
          <w:spacing w:val="-2"/>
          <w:sz w:val="20"/>
        </w:rPr>
        <w:t xml:space="preserve"> </w:t>
      </w:r>
      <w:r>
        <w:rPr>
          <w:rFonts w:ascii="Calibri Light"/>
          <w:color w:val="000000"/>
          <w:sz w:val="20"/>
        </w:rPr>
        <w:t>Mental</w:t>
      </w:r>
      <w:r>
        <w:rPr>
          <w:rFonts w:ascii="Calibri Light"/>
          <w:color w:val="000000"/>
          <w:spacing w:val="-2"/>
          <w:sz w:val="20"/>
        </w:rPr>
        <w:t xml:space="preserve"> </w:t>
      </w:r>
      <w:r>
        <w:rPr>
          <w:rFonts w:ascii="Calibri Light"/>
          <w:color w:val="000000"/>
          <w:sz w:val="20"/>
        </w:rPr>
        <w:t>Health</w:t>
      </w:r>
      <w:r>
        <w:rPr>
          <w:rFonts w:ascii="Calibri Light"/>
          <w:color w:val="000000"/>
          <w:spacing w:val="-4"/>
          <w:sz w:val="20"/>
        </w:rPr>
        <w:t xml:space="preserve"> </w:t>
      </w:r>
      <w:r>
        <w:rPr>
          <w:rFonts w:ascii="Calibri Light"/>
          <w:color w:val="000000"/>
          <w:sz w:val="20"/>
        </w:rPr>
        <w:t xml:space="preserve">Services </w:t>
      </w:r>
      <w:r>
        <w:rPr>
          <w:rFonts w:ascii="Calibri Light"/>
          <w:color w:val="000000"/>
          <w:spacing w:val="-2"/>
          <w:sz w:val="20"/>
        </w:rPr>
        <w:t>Administration.</w:t>
      </w:r>
    </w:p>
    <w:p w14:paraId="07D1023A" w14:textId="77777777" w:rsidR="00DB6E1F" w:rsidRDefault="00F666A6">
      <w:pPr>
        <w:spacing w:line="259" w:lineRule="auto"/>
        <w:ind w:left="1620" w:right="1494" w:hanging="180"/>
        <w:rPr>
          <w:rFonts w:ascii="Calibri Light"/>
          <w:sz w:val="20"/>
        </w:rPr>
      </w:pPr>
      <w:r>
        <w:rPr>
          <w:rFonts w:ascii="Calibri Light"/>
          <w:sz w:val="20"/>
        </w:rPr>
        <w:t>Substance</w:t>
      </w:r>
      <w:r>
        <w:rPr>
          <w:rFonts w:ascii="Calibri Light"/>
          <w:spacing w:val="-4"/>
          <w:sz w:val="20"/>
        </w:rPr>
        <w:t xml:space="preserve"> </w:t>
      </w:r>
      <w:r>
        <w:rPr>
          <w:rFonts w:ascii="Calibri Light"/>
          <w:sz w:val="20"/>
        </w:rPr>
        <w:t>Abuse</w:t>
      </w:r>
      <w:r>
        <w:rPr>
          <w:rFonts w:ascii="Calibri Light"/>
          <w:spacing w:val="-4"/>
          <w:sz w:val="20"/>
        </w:rPr>
        <w:t xml:space="preserve"> </w:t>
      </w:r>
      <w:r>
        <w:rPr>
          <w:rFonts w:ascii="Calibri Light"/>
          <w:sz w:val="20"/>
        </w:rPr>
        <w:t>and</w:t>
      </w:r>
      <w:r>
        <w:rPr>
          <w:rFonts w:ascii="Calibri Light"/>
          <w:spacing w:val="-4"/>
          <w:sz w:val="20"/>
        </w:rPr>
        <w:t xml:space="preserve"> </w:t>
      </w:r>
      <w:r>
        <w:rPr>
          <w:rFonts w:ascii="Calibri Light"/>
          <w:sz w:val="20"/>
        </w:rPr>
        <w:t>Mental</w:t>
      </w:r>
      <w:r>
        <w:rPr>
          <w:rFonts w:ascii="Calibri Light"/>
          <w:spacing w:val="-2"/>
          <w:sz w:val="20"/>
        </w:rPr>
        <w:t xml:space="preserve"> </w:t>
      </w:r>
      <w:r>
        <w:rPr>
          <w:rFonts w:ascii="Calibri Light"/>
          <w:sz w:val="20"/>
        </w:rPr>
        <w:t>Health</w:t>
      </w:r>
      <w:r>
        <w:rPr>
          <w:rFonts w:ascii="Calibri Light"/>
          <w:spacing w:val="-4"/>
          <w:sz w:val="20"/>
        </w:rPr>
        <w:t xml:space="preserve"> </w:t>
      </w:r>
      <w:r>
        <w:rPr>
          <w:rFonts w:ascii="Calibri Light"/>
          <w:sz w:val="20"/>
        </w:rPr>
        <w:t>Services</w:t>
      </w:r>
      <w:r>
        <w:rPr>
          <w:rFonts w:ascii="Calibri Light"/>
          <w:spacing w:val="-4"/>
          <w:sz w:val="20"/>
        </w:rPr>
        <w:t xml:space="preserve"> </w:t>
      </w:r>
      <w:r>
        <w:rPr>
          <w:rFonts w:ascii="Calibri Light"/>
          <w:sz w:val="20"/>
        </w:rPr>
        <w:t>Administration,</w:t>
      </w:r>
      <w:r>
        <w:rPr>
          <w:rFonts w:ascii="Calibri Light"/>
          <w:spacing w:val="-5"/>
          <w:sz w:val="20"/>
        </w:rPr>
        <w:t xml:space="preserve"> </w:t>
      </w:r>
      <w:r>
        <w:rPr>
          <w:rFonts w:ascii="Calibri Light"/>
          <w:sz w:val="20"/>
        </w:rPr>
        <w:t>Center</w:t>
      </w:r>
      <w:r>
        <w:rPr>
          <w:rFonts w:ascii="Calibri Light"/>
          <w:spacing w:val="-3"/>
          <w:sz w:val="20"/>
        </w:rPr>
        <w:t xml:space="preserve"> </w:t>
      </w:r>
      <w:r>
        <w:rPr>
          <w:rFonts w:ascii="Calibri Light"/>
          <w:sz w:val="20"/>
        </w:rPr>
        <w:t>for</w:t>
      </w:r>
      <w:r>
        <w:rPr>
          <w:rFonts w:ascii="Calibri Light"/>
          <w:spacing w:val="-3"/>
          <w:sz w:val="20"/>
        </w:rPr>
        <w:t xml:space="preserve"> </w:t>
      </w:r>
      <w:r>
        <w:rPr>
          <w:rFonts w:ascii="Calibri Light"/>
          <w:sz w:val="20"/>
        </w:rPr>
        <w:t>the</w:t>
      </w:r>
      <w:r>
        <w:rPr>
          <w:rFonts w:ascii="Calibri Light"/>
          <w:spacing w:val="-4"/>
          <w:sz w:val="20"/>
        </w:rPr>
        <w:t xml:space="preserve"> </w:t>
      </w:r>
      <w:r>
        <w:rPr>
          <w:rFonts w:ascii="Calibri Light"/>
          <w:sz w:val="20"/>
        </w:rPr>
        <w:t>Application</w:t>
      </w:r>
      <w:r>
        <w:rPr>
          <w:rFonts w:ascii="Calibri Light"/>
          <w:spacing w:val="-4"/>
          <w:sz w:val="20"/>
        </w:rPr>
        <w:t xml:space="preserve"> </w:t>
      </w:r>
      <w:r>
        <w:rPr>
          <w:rFonts w:ascii="Calibri Light"/>
          <w:sz w:val="20"/>
        </w:rPr>
        <w:t>of</w:t>
      </w:r>
      <w:r>
        <w:rPr>
          <w:rFonts w:ascii="Calibri Light"/>
          <w:spacing w:val="-4"/>
          <w:sz w:val="20"/>
        </w:rPr>
        <w:t xml:space="preserve"> </w:t>
      </w:r>
      <w:r>
        <w:rPr>
          <w:rFonts w:ascii="Calibri Light"/>
          <w:sz w:val="20"/>
        </w:rPr>
        <w:t>Prevention</w:t>
      </w:r>
      <w:r>
        <w:rPr>
          <w:rFonts w:ascii="Calibri Light"/>
          <w:spacing w:val="-4"/>
          <w:sz w:val="20"/>
        </w:rPr>
        <w:t xml:space="preserve"> </w:t>
      </w:r>
      <w:r>
        <w:rPr>
          <w:rFonts w:ascii="Calibri Light"/>
          <w:sz w:val="20"/>
        </w:rPr>
        <w:t xml:space="preserve">Technologies. (2017). </w:t>
      </w:r>
      <w:r>
        <w:rPr>
          <w:rFonts w:ascii="Calibri Light"/>
          <w:i/>
          <w:sz w:val="20"/>
        </w:rPr>
        <w:t>Words matter: How language choice can reduce stigma</w:t>
      </w:r>
      <w:r>
        <w:rPr>
          <w:rFonts w:ascii="Calibri Light"/>
          <w:sz w:val="20"/>
        </w:rPr>
        <w:t xml:space="preserve">. Retrieved from </w:t>
      </w:r>
      <w:hyperlink r:id="rId158">
        <w:r>
          <w:rPr>
            <w:rFonts w:ascii="Calibri Light"/>
            <w:color w:val="0563C1"/>
            <w:spacing w:val="-2"/>
            <w:sz w:val="20"/>
            <w:u w:val="single" w:color="0563C1"/>
          </w:rPr>
          <w:t>https://facesandvoicesofrecovery.org/wp-content/up</w:t>
        </w:r>
        <w:r>
          <w:rPr>
            <w:rFonts w:ascii="Calibri Light"/>
            <w:color w:val="0563C1"/>
            <w:spacing w:val="-2"/>
            <w:sz w:val="20"/>
            <w:u w:val="single" w:color="0563C1"/>
          </w:rPr>
          <w:t>loads/2019/06/Words-Matter-How-Language-Choice-Can-</w:t>
        </w:r>
      </w:hyperlink>
      <w:r>
        <w:rPr>
          <w:rFonts w:ascii="Calibri Light"/>
          <w:color w:val="0563C1"/>
          <w:spacing w:val="-2"/>
          <w:sz w:val="20"/>
        </w:rPr>
        <w:t xml:space="preserve"> </w:t>
      </w:r>
      <w:hyperlink r:id="rId159">
        <w:r>
          <w:rPr>
            <w:rFonts w:ascii="Calibri Light"/>
            <w:color w:val="0563C1"/>
            <w:spacing w:val="-2"/>
            <w:sz w:val="20"/>
            <w:u w:val="single" w:color="0563C1"/>
          </w:rPr>
          <w:t>Reduce-Stigma.pdf</w:t>
        </w:r>
      </w:hyperlink>
    </w:p>
    <w:p w14:paraId="784F12C7" w14:textId="77777777" w:rsidR="00DB6E1F" w:rsidRDefault="00F666A6">
      <w:pPr>
        <w:spacing w:line="259" w:lineRule="auto"/>
        <w:ind w:left="1619" w:right="1575" w:hanging="180"/>
        <w:rPr>
          <w:rFonts w:ascii="Calibri Light"/>
          <w:sz w:val="20"/>
        </w:rPr>
      </w:pPr>
      <w:r>
        <w:rPr>
          <w:rFonts w:ascii="Calibri Light"/>
          <w:sz w:val="20"/>
        </w:rPr>
        <w:t>Substance</w:t>
      </w:r>
      <w:r>
        <w:rPr>
          <w:rFonts w:ascii="Calibri Light"/>
          <w:spacing w:val="-3"/>
          <w:sz w:val="20"/>
        </w:rPr>
        <w:t xml:space="preserve"> </w:t>
      </w:r>
      <w:r>
        <w:rPr>
          <w:rFonts w:ascii="Calibri Light"/>
          <w:sz w:val="20"/>
        </w:rPr>
        <w:t>Abuse</w:t>
      </w:r>
      <w:r>
        <w:rPr>
          <w:rFonts w:ascii="Calibri Light"/>
          <w:spacing w:val="-3"/>
          <w:sz w:val="20"/>
        </w:rPr>
        <w:t xml:space="preserve"> </w:t>
      </w:r>
      <w:r>
        <w:rPr>
          <w:rFonts w:ascii="Calibri Light"/>
          <w:sz w:val="20"/>
        </w:rPr>
        <w:t>and</w:t>
      </w:r>
      <w:r>
        <w:rPr>
          <w:rFonts w:ascii="Calibri Light"/>
          <w:spacing w:val="-3"/>
          <w:sz w:val="20"/>
        </w:rPr>
        <w:t xml:space="preserve"> </w:t>
      </w:r>
      <w:r>
        <w:rPr>
          <w:rFonts w:ascii="Calibri Light"/>
          <w:sz w:val="20"/>
        </w:rPr>
        <w:t>Mental</w:t>
      </w:r>
      <w:r>
        <w:rPr>
          <w:rFonts w:ascii="Calibri Light"/>
          <w:spacing w:val="-2"/>
          <w:sz w:val="20"/>
        </w:rPr>
        <w:t xml:space="preserve"> </w:t>
      </w:r>
      <w:r>
        <w:rPr>
          <w:rFonts w:ascii="Calibri Light"/>
          <w:sz w:val="20"/>
        </w:rPr>
        <w:t>Health</w:t>
      </w:r>
      <w:r>
        <w:rPr>
          <w:rFonts w:ascii="Calibri Light"/>
          <w:spacing w:val="-3"/>
          <w:sz w:val="20"/>
        </w:rPr>
        <w:t xml:space="preserve"> </w:t>
      </w:r>
      <w:r>
        <w:rPr>
          <w:rFonts w:ascii="Calibri Light"/>
          <w:sz w:val="20"/>
        </w:rPr>
        <w:t>Services</w:t>
      </w:r>
      <w:r>
        <w:rPr>
          <w:rFonts w:ascii="Calibri Light"/>
          <w:spacing w:val="-3"/>
          <w:sz w:val="20"/>
        </w:rPr>
        <w:t xml:space="preserve"> </w:t>
      </w:r>
      <w:r>
        <w:rPr>
          <w:rFonts w:ascii="Calibri Light"/>
          <w:sz w:val="20"/>
        </w:rPr>
        <w:t>Admin</w:t>
      </w:r>
      <w:r>
        <w:rPr>
          <w:rFonts w:ascii="Calibri Light"/>
          <w:sz w:val="20"/>
        </w:rPr>
        <w:t>istration</w:t>
      </w:r>
      <w:r>
        <w:rPr>
          <w:rFonts w:ascii="Calibri Light"/>
          <w:spacing w:val="-3"/>
          <w:sz w:val="20"/>
        </w:rPr>
        <w:t xml:space="preserve"> </w:t>
      </w:r>
      <w:r>
        <w:rPr>
          <w:rFonts w:ascii="Calibri Light"/>
          <w:sz w:val="20"/>
        </w:rPr>
        <w:t>&amp;</w:t>
      </w:r>
      <w:r>
        <w:rPr>
          <w:rFonts w:ascii="Calibri Light"/>
          <w:spacing w:val="-2"/>
          <w:sz w:val="20"/>
        </w:rPr>
        <w:t xml:space="preserve"> </w:t>
      </w:r>
      <w:r>
        <w:rPr>
          <w:rFonts w:ascii="Calibri Light"/>
          <w:sz w:val="20"/>
        </w:rPr>
        <w:t>National</w:t>
      </w:r>
      <w:r>
        <w:rPr>
          <w:rFonts w:ascii="Calibri Light"/>
          <w:spacing w:val="-2"/>
          <w:sz w:val="20"/>
        </w:rPr>
        <w:t xml:space="preserve"> </w:t>
      </w:r>
      <w:r>
        <w:rPr>
          <w:rFonts w:ascii="Calibri Light"/>
          <w:sz w:val="20"/>
        </w:rPr>
        <w:t>Institute</w:t>
      </w:r>
      <w:r>
        <w:rPr>
          <w:rFonts w:ascii="Calibri Light"/>
          <w:spacing w:val="-3"/>
          <w:sz w:val="20"/>
        </w:rPr>
        <w:t xml:space="preserve"> </w:t>
      </w:r>
      <w:r>
        <w:rPr>
          <w:rFonts w:ascii="Calibri Light"/>
          <w:sz w:val="20"/>
        </w:rPr>
        <w:t>on</w:t>
      </w:r>
      <w:r>
        <w:rPr>
          <w:rFonts w:ascii="Calibri Light"/>
          <w:spacing w:val="-3"/>
          <w:sz w:val="20"/>
        </w:rPr>
        <w:t xml:space="preserve"> </w:t>
      </w:r>
      <w:r>
        <w:rPr>
          <w:rFonts w:ascii="Calibri Light"/>
          <w:sz w:val="20"/>
        </w:rPr>
        <w:t>Alcohol</w:t>
      </w:r>
      <w:r>
        <w:rPr>
          <w:rFonts w:ascii="Calibri Light"/>
          <w:spacing w:val="-4"/>
          <w:sz w:val="20"/>
        </w:rPr>
        <w:t xml:space="preserve"> </w:t>
      </w:r>
      <w:r>
        <w:rPr>
          <w:rFonts w:ascii="Calibri Light"/>
          <w:sz w:val="20"/>
        </w:rPr>
        <w:t>Abuse</w:t>
      </w:r>
      <w:r>
        <w:rPr>
          <w:rFonts w:ascii="Calibri Light"/>
          <w:spacing w:val="-3"/>
          <w:sz w:val="20"/>
        </w:rPr>
        <w:t xml:space="preserve"> </w:t>
      </w:r>
      <w:r>
        <w:rPr>
          <w:rFonts w:ascii="Calibri Light"/>
          <w:sz w:val="20"/>
        </w:rPr>
        <w:t>and</w:t>
      </w:r>
      <w:r>
        <w:rPr>
          <w:rFonts w:ascii="Calibri Light"/>
          <w:spacing w:val="-3"/>
          <w:sz w:val="20"/>
        </w:rPr>
        <w:t xml:space="preserve"> </w:t>
      </w:r>
      <w:r>
        <w:rPr>
          <w:rFonts w:ascii="Calibri Light"/>
          <w:sz w:val="20"/>
        </w:rPr>
        <w:t xml:space="preserve">Alcoholism. (2015). </w:t>
      </w:r>
      <w:r>
        <w:rPr>
          <w:rFonts w:ascii="Calibri Light"/>
          <w:i/>
          <w:sz w:val="20"/>
        </w:rPr>
        <w:t xml:space="preserve">Medication for the treatment of alcohol use disorder: A brief guide. </w:t>
      </w:r>
      <w:r>
        <w:rPr>
          <w:rFonts w:ascii="Calibri Light"/>
          <w:sz w:val="20"/>
        </w:rPr>
        <w:t>HHS Publication No. (SMA) 15-4907. Retrieved</w:t>
      </w:r>
      <w:r>
        <w:rPr>
          <w:rFonts w:ascii="Calibri Light"/>
          <w:spacing w:val="-1"/>
          <w:sz w:val="20"/>
        </w:rPr>
        <w:t xml:space="preserve"> </w:t>
      </w:r>
      <w:r>
        <w:rPr>
          <w:rFonts w:ascii="Calibri Light"/>
          <w:sz w:val="20"/>
        </w:rPr>
        <w:t>from Rockville, MD. Retrieved</w:t>
      </w:r>
      <w:r>
        <w:rPr>
          <w:rFonts w:ascii="Calibri Light"/>
          <w:spacing w:val="-1"/>
          <w:sz w:val="20"/>
        </w:rPr>
        <w:t xml:space="preserve"> </w:t>
      </w:r>
      <w:r>
        <w:rPr>
          <w:rFonts w:ascii="Calibri Light"/>
          <w:sz w:val="20"/>
        </w:rPr>
        <w:t xml:space="preserve">from </w:t>
      </w:r>
      <w:hyperlink r:id="rId160">
        <w:r>
          <w:rPr>
            <w:rFonts w:ascii="Calibri Light"/>
            <w:color w:val="0563C1"/>
            <w:sz w:val="20"/>
            <w:u w:val="single" w:color="0563C1"/>
          </w:rPr>
          <w:t>https://store.samhsa.gov/product/Medication-for-the-Treatment-</w:t>
        </w:r>
      </w:hyperlink>
      <w:r>
        <w:rPr>
          <w:rFonts w:ascii="Calibri Light"/>
          <w:color w:val="0563C1"/>
          <w:sz w:val="20"/>
        </w:rPr>
        <w:t xml:space="preserve"> </w:t>
      </w:r>
      <w:hyperlink r:id="rId161">
        <w:r>
          <w:rPr>
            <w:rFonts w:ascii="Calibri Light"/>
            <w:color w:val="0563C1"/>
            <w:spacing w:val="-2"/>
            <w:sz w:val="20"/>
            <w:u w:val="single" w:color="0563C1"/>
          </w:rPr>
          <w:t>of-Alcohol-Use-Disorder-A-Brief-Guide/SMA15-4907</w:t>
        </w:r>
      </w:hyperlink>
    </w:p>
    <w:p w14:paraId="0C9066D7" w14:textId="77777777" w:rsidR="00DB6E1F" w:rsidRDefault="00F666A6">
      <w:pPr>
        <w:ind w:left="1440"/>
        <w:rPr>
          <w:rFonts w:ascii="Calibri Light"/>
          <w:sz w:val="20"/>
        </w:rPr>
      </w:pPr>
      <w:r>
        <w:rPr>
          <w:rFonts w:ascii="Calibri Light"/>
          <w:sz w:val="20"/>
        </w:rPr>
        <w:t>Taleff,</w:t>
      </w:r>
      <w:r>
        <w:rPr>
          <w:rFonts w:ascii="Calibri Light"/>
          <w:spacing w:val="-5"/>
          <w:sz w:val="20"/>
        </w:rPr>
        <w:t xml:space="preserve"> </w:t>
      </w:r>
      <w:r>
        <w:rPr>
          <w:rFonts w:ascii="Calibri Light"/>
          <w:sz w:val="20"/>
        </w:rPr>
        <w:t>M.J.</w:t>
      </w:r>
      <w:r>
        <w:rPr>
          <w:rFonts w:ascii="Calibri Light"/>
          <w:spacing w:val="-6"/>
          <w:sz w:val="20"/>
        </w:rPr>
        <w:t xml:space="preserve"> </w:t>
      </w:r>
      <w:r>
        <w:rPr>
          <w:rFonts w:ascii="Calibri Light"/>
          <w:sz w:val="20"/>
        </w:rPr>
        <w:t>(1997).</w:t>
      </w:r>
      <w:r>
        <w:rPr>
          <w:rFonts w:ascii="Calibri Light"/>
          <w:spacing w:val="-7"/>
          <w:sz w:val="20"/>
        </w:rPr>
        <w:t xml:space="preserve"> </w:t>
      </w:r>
      <w:r>
        <w:rPr>
          <w:rFonts w:ascii="Calibri Light"/>
          <w:i/>
          <w:sz w:val="20"/>
        </w:rPr>
        <w:t>A</w:t>
      </w:r>
      <w:r>
        <w:rPr>
          <w:rFonts w:ascii="Calibri Light"/>
          <w:i/>
          <w:spacing w:val="-6"/>
          <w:sz w:val="20"/>
        </w:rPr>
        <w:t xml:space="preserve"> </w:t>
      </w:r>
      <w:r>
        <w:rPr>
          <w:rFonts w:ascii="Calibri Light"/>
          <w:i/>
          <w:sz w:val="20"/>
        </w:rPr>
        <w:t>handbook</w:t>
      </w:r>
      <w:r>
        <w:rPr>
          <w:rFonts w:ascii="Calibri Light"/>
          <w:i/>
          <w:spacing w:val="-5"/>
          <w:sz w:val="20"/>
        </w:rPr>
        <w:t xml:space="preserve"> </w:t>
      </w:r>
      <w:r>
        <w:rPr>
          <w:rFonts w:ascii="Calibri Light"/>
          <w:i/>
          <w:sz w:val="20"/>
        </w:rPr>
        <w:t>to</w:t>
      </w:r>
      <w:r>
        <w:rPr>
          <w:rFonts w:ascii="Calibri Light"/>
          <w:i/>
          <w:spacing w:val="-6"/>
          <w:sz w:val="20"/>
        </w:rPr>
        <w:t xml:space="preserve"> </w:t>
      </w:r>
      <w:r>
        <w:rPr>
          <w:rFonts w:ascii="Calibri Light"/>
          <w:i/>
          <w:sz w:val="20"/>
        </w:rPr>
        <w:t>assess</w:t>
      </w:r>
      <w:r>
        <w:rPr>
          <w:rFonts w:ascii="Calibri Light"/>
          <w:i/>
          <w:spacing w:val="-6"/>
          <w:sz w:val="20"/>
        </w:rPr>
        <w:t xml:space="preserve"> </w:t>
      </w:r>
      <w:r>
        <w:rPr>
          <w:rFonts w:ascii="Calibri Light"/>
          <w:i/>
          <w:sz w:val="20"/>
        </w:rPr>
        <w:t>and</w:t>
      </w:r>
      <w:r>
        <w:rPr>
          <w:rFonts w:ascii="Calibri Light"/>
          <w:i/>
          <w:spacing w:val="-7"/>
          <w:sz w:val="20"/>
        </w:rPr>
        <w:t xml:space="preserve"> </w:t>
      </w:r>
      <w:r>
        <w:rPr>
          <w:rFonts w:ascii="Calibri Light"/>
          <w:i/>
          <w:sz w:val="20"/>
        </w:rPr>
        <w:t>treat</w:t>
      </w:r>
      <w:r>
        <w:rPr>
          <w:rFonts w:ascii="Calibri Light"/>
          <w:i/>
          <w:spacing w:val="-6"/>
          <w:sz w:val="20"/>
        </w:rPr>
        <w:t xml:space="preserve"> </w:t>
      </w:r>
      <w:r>
        <w:rPr>
          <w:rFonts w:ascii="Calibri Light"/>
          <w:i/>
          <w:sz w:val="20"/>
        </w:rPr>
        <w:t>resistance</w:t>
      </w:r>
      <w:r>
        <w:rPr>
          <w:rFonts w:ascii="Calibri Light"/>
          <w:i/>
          <w:spacing w:val="-6"/>
          <w:sz w:val="20"/>
        </w:rPr>
        <w:t xml:space="preserve"> </w:t>
      </w:r>
      <w:r>
        <w:rPr>
          <w:rFonts w:ascii="Calibri Light"/>
          <w:i/>
          <w:sz w:val="20"/>
        </w:rPr>
        <w:t>in</w:t>
      </w:r>
      <w:r>
        <w:rPr>
          <w:rFonts w:ascii="Calibri Light"/>
          <w:i/>
          <w:spacing w:val="-7"/>
          <w:sz w:val="20"/>
        </w:rPr>
        <w:t xml:space="preserve"> </w:t>
      </w:r>
      <w:r>
        <w:rPr>
          <w:rFonts w:ascii="Calibri Light"/>
          <w:i/>
          <w:sz w:val="20"/>
        </w:rPr>
        <w:t>chemical</w:t>
      </w:r>
      <w:r>
        <w:rPr>
          <w:rFonts w:ascii="Calibri Light"/>
          <w:i/>
          <w:spacing w:val="-7"/>
          <w:sz w:val="20"/>
        </w:rPr>
        <w:t xml:space="preserve"> </w:t>
      </w:r>
      <w:r>
        <w:rPr>
          <w:rFonts w:ascii="Calibri Light"/>
          <w:i/>
          <w:sz w:val="20"/>
        </w:rPr>
        <w:t>depe</w:t>
      </w:r>
      <w:r>
        <w:rPr>
          <w:rFonts w:ascii="Calibri Light"/>
          <w:i/>
          <w:sz w:val="20"/>
        </w:rPr>
        <w:t>ndency.</w:t>
      </w:r>
      <w:r>
        <w:rPr>
          <w:rFonts w:ascii="Calibri Light"/>
          <w:i/>
          <w:spacing w:val="-6"/>
          <w:sz w:val="20"/>
        </w:rPr>
        <w:t xml:space="preserve"> </w:t>
      </w:r>
      <w:r>
        <w:rPr>
          <w:rFonts w:ascii="Calibri Light"/>
          <w:sz w:val="20"/>
        </w:rPr>
        <w:t>Dubuque,</w:t>
      </w:r>
      <w:r>
        <w:rPr>
          <w:rFonts w:ascii="Calibri Light"/>
          <w:spacing w:val="-7"/>
          <w:sz w:val="20"/>
        </w:rPr>
        <w:t xml:space="preserve"> </w:t>
      </w:r>
      <w:r>
        <w:rPr>
          <w:rFonts w:ascii="Calibri Light"/>
          <w:sz w:val="20"/>
        </w:rPr>
        <w:t>IA:</w:t>
      </w:r>
      <w:r>
        <w:rPr>
          <w:rFonts w:ascii="Calibri Light"/>
          <w:spacing w:val="-6"/>
          <w:sz w:val="20"/>
        </w:rPr>
        <w:t xml:space="preserve"> </w:t>
      </w:r>
      <w:r>
        <w:rPr>
          <w:rFonts w:ascii="Calibri Light"/>
          <w:spacing w:val="-2"/>
          <w:sz w:val="20"/>
        </w:rPr>
        <w:t>Kendall/Hunt.</w:t>
      </w:r>
    </w:p>
    <w:p w14:paraId="1AC5F40A" w14:textId="77777777" w:rsidR="00DB6E1F" w:rsidRDefault="00DB6E1F">
      <w:pPr>
        <w:rPr>
          <w:rFonts w:ascii="Calibri Light"/>
          <w:sz w:val="20"/>
        </w:rPr>
        <w:sectPr w:rsidR="00DB6E1F">
          <w:pgSz w:w="12240" w:h="15840"/>
          <w:pgMar w:top="1080" w:right="0" w:bottom="780" w:left="0" w:header="619" w:footer="585" w:gutter="0"/>
          <w:cols w:space="720"/>
        </w:sectPr>
      </w:pPr>
    </w:p>
    <w:p w14:paraId="372FE45F" w14:textId="77777777" w:rsidR="00DB6E1F" w:rsidRDefault="00DB6E1F">
      <w:pPr>
        <w:pStyle w:val="BodyText"/>
        <w:spacing w:before="4"/>
        <w:rPr>
          <w:rFonts w:ascii="Calibri Light"/>
          <w:sz w:val="24"/>
        </w:rPr>
      </w:pPr>
    </w:p>
    <w:p w14:paraId="4358E7F4" w14:textId="77777777" w:rsidR="00DB6E1F" w:rsidRDefault="00F666A6">
      <w:pPr>
        <w:spacing w:before="60" w:line="259" w:lineRule="auto"/>
        <w:ind w:left="1619" w:right="2235" w:hanging="180"/>
        <w:jc w:val="both"/>
        <w:rPr>
          <w:rFonts w:ascii="Calibri Light" w:hAnsi="Calibri Light"/>
          <w:sz w:val="20"/>
        </w:rPr>
      </w:pPr>
      <w:r>
        <w:rPr>
          <w:rFonts w:ascii="Calibri Light" w:hAnsi="Calibri Light"/>
          <w:sz w:val="20"/>
        </w:rPr>
        <w:t>Tanner-Smith,</w:t>
      </w:r>
      <w:r>
        <w:rPr>
          <w:rFonts w:ascii="Calibri Light" w:hAnsi="Calibri Light"/>
          <w:spacing w:val="-4"/>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E.,</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Lipsey,</w:t>
      </w:r>
      <w:r>
        <w:rPr>
          <w:rFonts w:ascii="Calibri Light" w:hAnsi="Calibri Light"/>
          <w:spacing w:val="-4"/>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W.</w:t>
      </w:r>
      <w:r>
        <w:rPr>
          <w:rFonts w:ascii="Calibri Light" w:hAnsi="Calibri Light"/>
          <w:spacing w:val="-4"/>
          <w:sz w:val="20"/>
        </w:rPr>
        <w:t xml:space="preserve"> </w:t>
      </w:r>
      <w:r>
        <w:rPr>
          <w:rFonts w:ascii="Calibri Light" w:hAnsi="Calibri Light"/>
          <w:sz w:val="20"/>
        </w:rPr>
        <w:t>(2015).</w:t>
      </w:r>
      <w:r>
        <w:rPr>
          <w:rFonts w:ascii="Calibri Light" w:hAnsi="Calibri Light"/>
          <w:spacing w:val="-1"/>
          <w:sz w:val="20"/>
        </w:rPr>
        <w:t xml:space="preserve"> </w:t>
      </w:r>
      <w:r>
        <w:rPr>
          <w:rFonts w:ascii="Calibri Light" w:hAnsi="Calibri Light"/>
          <w:sz w:val="20"/>
        </w:rPr>
        <w:t>Brief</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interventions</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adolescents</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young</w:t>
      </w:r>
      <w:r>
        <w:rPr>
          <w:rFonts w:ascii="Calibri Light" w:hAnsi="Calibri Light"/>
          <w:spacing w:val="-3"/>
          <w:sz w:val="20"/>
        </w:rPr>
        <w:t xml:space="preserve"> </w:t>
      </w:r>
      <w:r>
        <w:rPr>
          <w:rFonts w:ascii="Calibri Light" w:hAnsi="Calibri Light"/>
          <w:sz w:val="20"/>
        </w:rPr>
        <w:t>adults:</w:t>
      </w:r>
      <w:r>
        <w:rPr>
          <w:rFonts w:ascii="Calibri Light" w:hAnsi="Calibri Light"/>
          <w:spacing w:val="-2"/>
          <w:sz w:val="20"/>
        </w:rPr>
        <w:t xml:space="preserve"> </w:t>
      </w:r>
      <w:r>
        <w:rPr>
          <w:rFonts w:ascii="Calibri Light" w:hAnsi="Calibri Light"/>
          <w:sz w:val="20"/>
        </w:rPr>
        <w:t xml:space="preserve">A systematic review and meta-analysis. </w:t>
      </w:r>
      <w:r>
        <w:rPr>
          <w:rFonts w:ascii="Calibri Light" w:hAnsi="Calibri Light"/>
          <w:i/>
          <w:sz w:val="20"/>
        </w:rPr>
        <w:t>Journal of Substance Abuse Treatment</w:t>
      </w:r>
      <w:r>
        <w:rPr>
          <w:rFonts w:ascii="Calibri Light" w:hAnsi="Calibri Light"/>
          <w:sz w:val="20"/>
        </w:rPr>
        <w:t xml:space="preserve">, </w:t>
      </w:r>
      <w:r>
        <w:rPr>
          <w:rFonts w:ascii="Calibri Light" w:hAnsi="Calibri Light"/>
          <w:i/>
          <w:sz w:val="20"/>
        </w:rPr>
        <w:t>51</w:t>
      </w:r>
      <w:r>
        <w:rPr>
          <w:rFonts w:ascii="Calibri Light" w:hAnsi="Calibri Light"/>
          <w:sz w:val="20"/>
        </w:rPr>
        <w:t>, 1–18.</w:t>
      </w:r>
    </w:p>
    <w:p w14:paraId="44C75481" w14:textId="77777777" w:rsidR="00DB6E1F" w:rsidRDefault="00F666A6">
      <w:pPr>
        <w:spacing w:line="259" w:lineRule="auto"/>
        <w:ind w:left="1619" w:right="1797" w:hanging="180"/>
        <w:jc w:val="both"/>
        <w:rPr>
          <w:rFonts w:ascii="Calibri Light" w:hAnsi="Calibri Light"/>
          <w:sz w:val="20"/>
        </w:rPr>
      </w:pPr>
      <w:r>
        <w:rPr>
          <w:rFonts w:ascii="Calibri Light" w:hAnsi="Calibri Light"/>
          <w:sz w:val="20"/>
        </w:rPr>
        <w:t>Teeson,</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Marel, C., Darke,</w:t>
      </w:r>
      <w:r>
        <w:rPr>
          <w:rFonts w:ascii="Calibri Light" w:hAnsi="Calibri Light"/>
          <w:spacing w:val="-1"/>
          <w:sz w:val="20"/>
        </w:rPr>
        <w:t xml:space="preserve"> </w:t>
      </w:r>
      <w:r>
        <w:rPr>
          <w:rFonts w:ascii="Calibri Light" w:hAnsi="Calibri Light"/>
          <w:sz w:val="20"/>
        </w:rPr>
        <w:t>S.,</w:t>
      </w:r>
      <w:r>
        <w:rPr>
          <w:rFonts w:ascii="Calibri Light" w:hAnsi="Calibri Light"/>
          <w:spacing w:val="-3"/>
          <w:sz w:val="20"/>
        </w:rPr>
        <w:t xml:space="preserve"> </w:t>
      </w:r>
      <w:r>
        <w:rPr>
          <w:rFonts w:ascii="Calibri Light" w:hAnsi="Calibri Light"/>
          <w:sz w:val="20"/>
        </w:rPr>
        <w:t>Ross,</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Slade,</w:t>
      </w:r>
      <w:r>
        <w:rPr>
          <w:rFonts w:ascii="Calibri Light" w:hAnsi="Calibri Light"/>
          <w:spacing w:val="-3"/>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Burns,</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w:t>
      </w:r>
      <w:r>
        <w:rPr>
          <w:rFonts w:ascii="Calibri Light" w:hAnsi="Calibri Light"/>
          <w:spacing w:val="-3"/>
          <w:sz w:val="20"/>
        </w:rPr>
        <w:t xml:space="preserve"> </w:t>
      </w:r>
      <w:r>
        <w:rPr>
          <w:rFonts w:ascii="Calibri Light" w:hAnsi="Calibri Light"/>
          <w:sz w:val="20"/>
        </w:rPr>
        <w:t>Mills,</w:t>
      </w:r>
      <w:r>
        <w:rPr>
          <w:rFonts w:ascii="Calibri Light" w:hAnsi="Calibri Light"/>
          <w:spacing w:val="-3"/>
          <w:sz w:val="20"/>
        </w:rPr>
        <w:t xml:space="preserve"> </w:t>
      </w:r>
      <w:r>
        <w:rPr>
          <w:rFonts w:ascii="Calibri Light" w:hAnsi="Calibri Light"/>
          <w:sz w:val="20"/>
        </w:rPr>
        <w:t>K.</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(2015).</w:t>
      </w:r>
      <w:r>
        <w:rPr>
          <w:rFonts w:ascii="Calibri Light" w:hAnsi="Calibri Light"/>
          <w:spacing w:val="-3"/>
          <w:sz w:val="20"/>
        </w:rPr>
        <w:t xml:space="preserve"> </w:t>
      </w:r>
      <w:r>
        <w:rPr>
          <w:rFonts w:ascii="Calibri Light" w:hAnsi="Calibri Light"/>
          <w:sz w:val="20"/>
        </w:rPr>
        <w:t>Long-term</w:t>
      </w:r>
      <w:r>
        <w:rPr>
          <w:rFonts w:ascii="Calibri Light" w:hAnsi="Calibri Light"/>
          <w:spacing w:val="-1"/>
          <w:sz w:val="20"/>
        </w:rPr>
        <w:t xml:space="preserve"> </w:t>
      </w:r>
      <w:r>
        <w:rPr>
          <w:rFonts w:ascii="Calibri Light" w:hAnsi="Calibri Light"/>
          <w:sz w:val="20"/>
        </w:rPr>
        <w:t>mortality,</w:t>
      </w:r>
      <w:r>
        <w:rPr>
          <w:rFonts w:ascii="Calibri Light" w:hAnsi="Calibri Light"/>
          <w:spacing w:val="-3"/>
          <w:sz w:val="20"/>
        </w:rPr>
        <w:t xml:space="preserve"> </w:t>
      </w:r>
      <w:r>
        <w:rPr>
          <w:rFonts w:ascii="Calibri Light" w:hAnsi="Calibri Light"/>
          <w:sz w:val="20"/>
        </w:rPr>
        <w:t>remission, criminality</w:t>
      </w:r>
      <w:r>
        <w:rPr>
          <w:rFonts w:ascii="Calibri Light" w:hAnsi="Calibri Light"/>
          <w:spacing w:val="-3"/>
          <w:sz w:val="20"/>
        </w:rPr>
        <w:t xml:space="preserve"> </w:t>
      </w:r>
      <w:r>
        <w:rPr>
          <w:rFonts w:ascii="Calibri Light" w:hAnsi="Calibri Light"/>
          <w:sz w:val="20"/>
        </w:rPr>
        <w:t>and</w:t>
      </w:r>
      <w:r>
        <w:rPr>
          <w:rFonts w:ascii="Calibri Light" w:hAnsi="Calibri Light"/>
          <w:spacing w:val="-4"/>
          <w:sz w:val="20"/>
        </w:rPr>
        <w:t xml:space="preserve"> </w:t>
      </w:r>
      <w:r>
        <w:rPr>
          <w:rFonts w:ascii="Calibri Light" w:hAnsi="Calibri Light"/>
          <w:sz w:val="20"/>
        </w:rPr>
        <w:t>psychiatric</w:t>
      </w:r>
      <w:r>
        <w:rPr>
          <w:rFonts w:ascii="Calibri Light" w:hAnsi="Calibri Light"/>
          <w:spacing w:val="-2"/>
          <w:sz w:val="20"/>
        </w:rPr>
        <w:t xml:space="preserve"> </w:t>
      </w:r>
      <w:r>
        <w:rPr>
          <w:rFonts w:ascii="Calibri Light" w:hAnsi="Calibri Light"/>
          <w:sz w:val="20"/>
        </w:rPr>
        <w:t>comorbidity</w:t>
      </w:r>
      <w:r>
        <w:rPr>
          <w:rFonts w:ascii="Calibri Light" w:hAnsi="Calibri Light"/>
          <w:spacing w:val="-3"/>
          <w:sz w:val="20"/>
        </w:rPr>
        <w:t xml:space="preserve"> </w:t>
      </w:r>
      <w:r>
        <w:rPr>
          <w:rFonts w:ascii="Calibri Light" w:hAnsi="Calibri Light"/>
          <w:sz w:val="20"/>
        </w:rPr>
        <w:t>of</w:t>
      </w:r>
      <w:r>
        <w:rPr>
          <w:rFonts w:ascii="Calibri Light" w:hAnsi="Calibri Light"/>
          <w:spacing w:val="-4"/>
          <w:sz w:val="20"/>
        </w:rPr>
        <w:t xml:space="preserve"> </w:t>
      </w:r>
      <w:r>
        <w:rPr>
          <w:rFonts w:ascii="Calibri Light" w:hAnsi="Calibri Light"/>
          <w:sz w:val="20"/>
        </w:rPr>
        <w:t>heroin</w:t>
      </w:r>
      <w:r>
        <w:rPr>
          <w:rFonts w:ascii="Calibri Light" w:hAnsi="Calibri Light"/>
          <w:spacing w:val="-4"/>
          <w:sz w:val="20"/>
        </w:rPr>
        <w:t xml:space="preserve"> </w:t>
      </w:r>
      <w:r>
        <w:rPr>
          <w:rFonts w:ascii="Calibri Light" w:hAnsi="Calibri Light"/>
          <w:sz w:val="20"/>
        </w:rPr>
        <w:t>dependence:</w:t>
      </w:r>
      <w:r>
        <w:rPr>
          <w:rFonts w:ascii="Calibri Light" w:hAnsi="Calibri Light"/>
          <w:spacing w:val="-4"/>
          <w:sz w:val="20"/>
        </w:rPr>
        <w:t xml:space="preserve"> </w:t>
      </w:r>
      <w:r>
        <w:rPr>
          <w:rFonts w:ascii="Calibri Light" w:hAnsi="Calibri Light"/>
          <w:sz w:val="20"/>
        </w:rPr>
        <w:t>11-year</w:t>
      </w:r>
      <w:r>
        <w:rPr>
          <w:rFonts w:ascii="Calibri Light" w:hAnsi="Calibri Light"/>
          <w:spacing w:val="-3"/>
          <w:sz w:val="20"/>
        </w:rPr>
        <w:t xml:space="preserve"> </w:t>
      </w:r>
      <w:r>
        <w:rPr>
          <w:rFonts w:ascii="Calibri Light" w:hAnsi="Calibri Light"/>
          <w:sz w:val="20"/>
        </w:rPr>
        <w:t>findings</w:t>
      </w:r>
      <w:r>
        <w:rPr>
          <w:rFonts w:ascii="Calibri Light" w:hAnsi="Calibri Light"/>
          <w:spacing w:val="-4"/>
          <w:sz w:val="20"/>
        </w:rPr>
        <w:t xml:space="preserve"> </w:t>
      </w:r>
      <w:r>
        <w:rPr>
          <w:rFonts w:ascii="Calibri Light" w:hAnsi="Calibri Light"/>
          <w:sz w:val="20"/>
        </w:rPr>
        <w:t>from</w:t>
      </w:r>
      <w:r>
        <w:rPr>
          <w:rFonts w:ascii="Calibri Light" w:hAnsi="Calibri Light"/>
          <w:spacing w:val="-3"/>
          <w:sz w:val="20"/>
        </w:rPr>
        <w:t xml:space="preserve"> </w:t>
      </w:r>
      <w:r>
        <w:rPr>
          <w:rFonts w:ascii="Calibri Light" w:hAnsi="Calibri Light"/>
          <w:sz w:val="20"/>
        </w:rPr>
        <w:t>the</w:t>
      </w:r>
      <w:r>
        <w:rPr>
          <w:rFonts w:ascii="Calibri Light" w:hAnsi="Calibri Light"/>
          <w:spacing w:val="-4"/>
          <w:sz w:val="20"/>
        </w:rPr>
        <w:t xml:space="preserve"> </w:t>
      </w:r>
      <w:r>
        <w:rPr>
          <w:rFonts w:ascii="Calibri Light" w:hAnsi="Calibri Light"/>
          <w:sz w:val="20"/>
        </w:rPr>
        <w:t>Australian</w:t>
      </w:r>
      <w:r>
        <w:rPr>
          <w:rFonts w:ascii="Calibri Light" w:hAnsi="Calibri Light"/>
          <w:spacing w:val="-4"/>
          <w:sz w:val="20"/>
        </w:rPr>
        <w:t xml:space="preserve"> </w:t>
      </w:r>
      <w:r>
        <w:rPr>
          <w:rFonts w:ascii="Calibri Light" w:hAnsi="Calibri Light"/>
          <w:sz w:val="20"/>
        </w:rPr>
        <w:t xml:space="preserve">Treatment Outcome Study. </w:t>
      </w:r>
      <w:r>
        <w:rPr>
          <w:rFonts w:ascii="Calibri Light" w:hAnsi="Calibri Light"/>
          <w:i/>
          <w:sz w:val="20"/>
        </w:rPr>
        <w:t>Addiction, 110</w:t>
      </w:r>
      <w:r>
        <w:rPr>
          <w:rFonts w:ascii="Calibri Light" w:hAnsi="Calibri Light"/>
          <w:sz w:val="20"/>
        </w:rPr>
        <w:t>(6), 986–983.</w:t>
      </w:r>
    </w:p>
    <w:p w14:paraId="2E01C30A" w14:textId="77777777" w:rsidR="00DB6E1F" w:rsidRDefault="00F666A6">
      <w:pPr>
        <w:spacing w:line="259" w:lineRule="auto"/>
        <w:ind w:left="1619" w:right="1491" w:hanging="180"/>
        <w:rPr>
          <w:rFonts w:ascii="Calibri Light" w:hAnsi="Calibri Light"/>
          <w:sz w:val="20"/>
        </w:rPr>
      </w:pPr>
      <w:r>
        <w:rPr>
          <w:rFonts w:ascii="Calibri Light" w:hAnsi="Calibri Light"/>
          <w:sz w:val="20"/>
        </w:rPr>
        <w:t>Timko, C., Kong, C., Vittorio, L., &amp; Cucciare, M. A. (2016). Screening and brief intervention for unhealthy substance use</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patients</w:t>
      </w:r>
      <w:r>
        <w:rPr>
          <w:rFonts w:ascii="Calibri Light" w:hAnsi="Calibri Light"/>
          <w:spacing w:val="-1"/>
          <w:sz w:val="20"/>
        </w:rPr>
        <w:t xml:space="preserve"> </w:t>
      </w:r>
      <w:r>
        <w:rPr>
          <w:rFonts w:ascii="Calibri Light" w:hAnsi="Calibri Light"/>
          <w:sz w:val="20"/>
        </w:rPr>
        <w:t>with</w:t>
      </w:r>
      <w:r>
        <w:rPr>
          <w:rFonts w:ascii="Calibri Light" w:hAnsi="Calibri Light"/>
          <w:spacing w:val="-3"/>
          <w:sz w:val="20"/>
        </w:rPr>
        <w:t xml:space="preserve"> </w:t>
      </w:r>
      <w:r>
        <w:rPr>
          <w:rFonts w:ascii="Calibri Light" w:hAnsi="Calibri Light"/>
          <w:sz w:val="20"/>
        </w:rPr>
        <w:t>chronic</w:t>
      </w:r>
      <w:r>
        <w:rPr>
          <w:rFonts w:ascii="Calibri Light" w:hAnsi="Calibri Light"/>
          <w:spacing w:val="-4"/>
          <w:sz w:val="20"/>
        </w:rPr>
        <w:t xml:space="preserve"> </w:t>
      </w:r>
      <w:r>
        <w:rPr>
          <w:rFonts w:ascii="Calibri Light" w:hAnsi="Calibri Light"/>
          <w:sz w:val="20"/>
        </w:rPr>
        <w:t>medical</w:t>
      </w:r>
      <w:r>
        <w:rPr>
          <w:rFonts w:ascii="Calibri Light" w:hAnsi="Calibri Light"/>
          <w:spacing w:val="-4"/>
          <w:sz w:val="20"/>
        </w:rPr>
        <w:t xml:space="preserve"> </w:t>
      </w:r>
      <w:r>
        <w:rPr>
          <w:rFonts w:ascii="Calibri Light" w:hAnsi="Calibri Light"/>
          <w:sz w:val="20"/>
        </w:rPr>
        <w:t>conditions: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systematic</w:t>
      </w:r>
      <w:r>
        <w:rPr>
          <w:rFonts w:ascii="Calibri Light" w:hAnsi="Calibri Light"/>
          <w:spacing w:val="-4"/>
          <w:sz w:val="20"/>
        </w:rPr>
        <w:t xml:space="preserve"> </w:t>
      </w:r>
      <w:r>
        <w:rPr>
          <w:rFonts w:ascii="Calibri Light" w:hAnsi="Calibri Light"/>
          <w:sz w:val="20"/>
        </w:rPr>
        <w:t>review.</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Clinical</w:t>
      </w:r>
      <w:r>
        <w:rPr>
          <w:rFonts w:ascii="Calibri Light" w:hAnsi="Calibri Light"/>
          <w:i/>
          <w:spacing w:val="-4"/>
          <w:sz w:val="20"/>
        </w:rPr>
        <w:t xml:space="preserve"> </w:t>
      </w:r>
      <w:r>
        <w:rPr>
          <w:rFonts w:ascii="Calibri Light" w:hAnsi="Calibri Light"/>
          <w:i/>
          <w:sz w:val="20"/>
        </w:rPr>
        <w:t>Nursing,</w:t>
      </w:r>
      <w:r>
        <w:rPr>
          <w:rFonts w:ascii="Calibri Light" w:hAnsi="Calibri Light"/>
          <w:i/>
          <w:spacing w:val="-4"/>
          <w:sz w:val="20"/>
        </w:rPr>
        <w:t xml:space="preserve"> </w:t>
      </w:r>
      <w:r>
        <w:rPr>
          <w:rFonts w:ascii="Calibri Light" w:hAnsi="Calibri Light"/>
          <w:i/>
          <w:sz w:val="20"/>
        </w:rPr>
        <w:t>25</w:t>
      </w:r>
      <w:r>
        <w:rPr>
          <w:rFonts w:ascii="Calibri Light" w:hAnsi="Calibri Light"/>
          <w:sz w:val="20"/>
        </w:rPr>
        <w:t>(21–22),</w:t>
      </w:r>
      <w:r>
        <w:rPr>
          <w:rFonts w:ascii="Calibri Light" w:hAnsi="Calibri Light"/>
          <w:spacing w:val="-4"/>
          <w:sz w:val="20"/>
        </w:rPr>
        <w:t xml:space="preserve"> </w:t>
      </w:r>
      <w:r>
        <w:rPr>
          <w:rFonts w:ascii="Calibri Light" w:hAnsi="Calibri Light"/>
          <w:sz w:val="20"/>
        </w:rPr>
        <w:t>3131– 3143. doi:10.1111/jocn.13244</w:t>
      </w:r>
    </w:p>
    <w:p w14:paraId="14A418DF" w14:textId="77777777" w:rsidR="00DB6E1F" w:rsidRDefault="00F666A6">
      <w:pPr>
        <w:spacing w:line="243" w:lineRule="exact"/>
        <w:ind w:left="1439"/>
        <w:rPr>
          <w:rFonts w:ascii="Calibri Light"/>
          <w:sz w:val="20"/>
        </w:rPr>
      </w:pPr>
      <w:r>
        <w:rPr>
          <w:rFonts w:ascii="Calibri Light"/>
          <w:sz w:val="20"/>
        </w:rPr>
        <w:t>Truax,</w:t>
      </w:r>
      <w:r>
        <w:rPr>
          <w:rFonts w:ascii="Calibri Light"/>
          <w:spacing w:val="-7"/>
          <w:sz w:val="20"/>
        </w:rPr>
        <w:t xml:space="preserve"> </w:t>
      </w:r>
      <w:r>
        <w:rPr>
          <w:rFonts w:ascii="Calibri Light"/>
          <w:sz w:val="20"/>
        </w:rPr>
        <w:t>C.</w:t>
      </w:r>
      <w:r>
        <w:rPr>
          <w:rFonts w:ascii="Calibri Light"/>
          <w:spacing w:val="-6"/>
          <w:sz w:val="20"/>
        </w:rPr>
        <w:t xml:space="preserve"> </w:t>
      </w:r>
      <w:r>
        <w:rPr>
          <w:rFonts w:ascii="Calibri Light"/>
          <w:sz w:val="20"/>
        </w:rPr>
        <w:t>B.,</w:t>
      </w:r>
      <w:r>
        <w:rPr>
          <w:rFonts w:ascii="Calibri Light"/>
          <w:spacing w:val="-7"/>
          <w:sz w:val="20"/>
        </w:rPr>
        <w:t xml:space="preserve"> </w:t>
      </w:r>
      <w:r>
        <w:rPr>
          <w:rFonts w:ascii="Calibri Light"/>
          <w:sz w:val="20"/>
        </w:rPr>
        <w:t>&amp;</w:t>
      </w:r>
      <w:r>
        <w:rPr>
          <w:rFonts w:ascii="Calibri Light"/>
          <w:spacing w:val="-5"/>
          <w:sz w:val="20"/>
        </w:rPr>
        <w:t xml:space="preserve"> </w:t>
      </w:r>
      <w:r>
        <w:rPr>
          <w:rFonts w:ascii="Calibri Light"/>
          <w:sz w:val="20"/>
        </w:rPr>
        <w:t>Carkhuff,</w:t>
      </w:r>
      <w:r>
        <w:rPr>
          <w:rFonts w:ascii="Calibri Light"/>
          <w:spacing w:val="-3"/>
          <w:sz w:val="20"/>
        </w:rPr>
        <w:t xml:space="preserve"> </w:t>
      </w:r>
      <w:r>
        <w:rPr>
          <w:rFonts w:ascii="Calibri Light"/>
          <w:sz w:val="20"/>
        </w:rPr>
        <w:t>R.</w:t>
      </w:r>
      <w:r>
        <w:rPr>
          <w:rFonts w:ascii="Calibri Light"/>
          <w:spacing w:val="-7"/>
          <w:sz w:val="20"/>
        </w:rPr>
        <w:t xml:space="preserve"> </w:t>
      </w:r>
      <w:r>
        <w:rPr>
          <w:rFonts w:ascii="Calibri Light"/>
          <w:sz w:val="20"/>
        </w:rPr>
        <w:t>R.</w:t>
      </w:r>
      <w:r>
        <w:rPr>
          <w:rFonts w:ascii="Calibri Light"/>
          <w:spacing w:val="-6"/>
          <w:sz w:val="20"/>
        </w:rPr>
        <w:t xml:space="preserve"> </w:t>
      </w:r>
      <w:r>
        <w:rPr>
          <w:rFonts w:ascii="Calibri Light"/>
          <w:sz w:val="20"/>
        </w:rPr>
        <w:t>(1967).</w:t>
      </w:r>
      <w:r>
        <w:rPr>
          <w:rFonts w:ascii="Calibri Light"/>
          <w:spacing w:val="-7"/>
          <w:sz w:val="20"/>
        </w:rPr>
        <w:t xml:space="preserve"> </w:t>
      </w:r>
      <w:r>
        <w:rPr>
          <w:rFonts w:ascii="Calibri Light"/>
          <w:i/>
          <w:sz w:val="20"/>
        </w:rPr>
        <w:t>Toward</w:t>
      </w:r>
      <w:r>
        <w:rPr>
          <w:rFonts w:ascii="Calibri Light"/>
          <w:i/>
          <w:spacing w:val="-6"/>
          <w:sz w:val="20"/>
        </w:rPr>
        <w:t xml:space="preserve"> </w:t>
      </w:r>
      <w:r>
        <w:rPr>
          <w:rFonts w:ascii="Calibri Light"/>
          <w:i/>
          <w:sz w:val="20"/>
        </w:rPr>
        <w:t>effective</w:t>
      </w:r>
      <w:r>
        <w:rPr>
          <w:rFonts w:ascii="Calibri Light"/>
          <w:i/>
          <w:spacing w:val="-5"/>
          <w:sz w:val="20"/>
        </w:rPr>
        <w:t xml:space="preserve"> </w:t>
      </w:r>
      <w:r>
        <w:rPr>
          <w:rFonts w:ascii="Calibri Light"/>
          <w:i/>
          <w:sz w:val="20"/>
        </w:rPr>
        <w:t>counseling</w:t>
      </w:r>
      <w:r>
        <w:rPr>
          <w:rFonts w:ascii="Calibri Light"/>
          <w:i/>
          <w:spacing w:val="-6"/>
          <w:sz w:val="20"/>
        </w:rPr>
        <w:t xml:space="preserve"> </w:t>
      </w:r>
      <w:r>
        <w:rPr>
          <w:rFonts w:ascii="Calibri Light"/>
          <w:i/>
          <w:sz w:val="20"/>
        </w:rPr>
        <w:t>and</w:t>
      </w:r>
      <w:r>
        <w:rPr>
          <w:rFonts w:ascii="Calibri Light"/>
          <w:i/>
          <w:spacing w:val="-5"/>
          <w:sz w:val="20"/>
        </w:rPr>
        <w:t xml:space="preserve"> </w:t>
      </w:r>
      <w:r>
        <w:rPr>
          <w:rFonts w:ascii="Calibri Light"/>
          <w:i/>
          <w:sz w:val="20"/>
        </w:rPr>
        <w:t>psychotherapy.</w:t>
      </w:r>
      <w:r>
        <w:rPr>
          <w:rFonts w:ascii="Calibri Light"/>
          <w:i/>
          <w:spacing w:val="-7"/>
          <w:sz w:val="20"/>
        </w:rPr>
        <w:t xml:space="preserve"> </w:t>
      </w:r>
      <w:r>
        <w:rPr>
          <w:rFonts w:ascii="Calibri Light"/>
          <w:sz w:val="20"/>
        </w:rPr>
        <w:t>Chicago,</w:t>
      </w:r>
      <w:r>
        <w:rPr>
          <w:rFonts w:ascii="Calibri Light"/>
          <w:spacing w:val="-6"/>
          <w:sz w:val="20"/>
        </w:rPr>
        <w:t xml:space="preserve"> </w:t>
      </w:r>
      <w:r>
        <w:rPr>
          <w:rFonts w:ascii="Calibri Light"/>
          <w:sz w:val="20"/>
        </w:rPr>
        <w:t>IL:</w:t>
      </w:r>
      <w:r>
        <w:rPr>
          <w:rFonts w:ascii="Calibri Light"/>
          <w:spacing w:val="-6"/>
          <w:sz w:val="20"/>
        </w:rPr>
        <w:t xml:space="preserve"> </w:t>
      </w:r>
      <w:r>
        <w:rPr>
          <w:rFonts w:ascii="Calibri Light"/>
          <w:spacing w:val="-2"/>
          <w:sz w:val="20"/>
        </w:rPr>
        <w:t>Aldine.</w:t>
      </w:r>
    </w:p>
    <w:p w14:paraId="765AEC5D" w14:textId="77777777" w:rsidR="00DB6E1F" w:rsidRDefault="00F666A6">
      <w:pPr>
        <w:spacing w:before="18" w:line="259" w:lineRule="auto"/>
        <w:ind w:left="1619" w:right="1461" w:hanging="181"/>
        <w:rPr>
          <w:rFonts w:ascii="Calibri Light" w:hAnsi="Calibri Light"/>
          <w:sz w:val="20"/>
        </w:rPr>
      </w:pPr>
      <w:r>
        <w:rPr>
          <w:rFonts w:ascii="Calibri Light" w:hAnsi="Calibri Light"/>
          <w:sz w:val="20"/>
        </w:rPr>
        <w:t>Turner, B., &amp; Deane, F. P. (2016). Length of stay as a predictor of reliable change in psychological recovery and well- being</w:t>
      </w:r>
      <w:r>
        <w:rPr>
          <w:rFonts w:ascii="Calibri Light" w:hAnsi="Calibri Light"/>
          <w:spacing w:val="-4"/>
          <w:sz w:val="20"/>
        </w:rPr>
        <w:t xml:space="preserve"> </w:t>
      </w:r>
      <w:r>
        <w:rPr>
          <w:rFonts w:ascii="Calibri Light" w:hAnsi="Calibri Light"/>
          <w:sz w:val="20"/>
        </w:rPr>
        <w:t>following</w:t>
      </w:r>
      <w:r>
        <w:rPr>
          <w:rFonts w:ascii="Calibri Light" w:hAnsi="Calibri Light"/>
          <w:spacing w:val="-4"/>
          <w:sz w:val="20"/>
        </w:rPr>
        <w:t xml:space="preserve"> </w:t>
      </w:r>
      <w:r>
        <w:rPr>
          <w:rFonts w:ascii="Calibri Light" w:hAnsi="Calibri Light"/>
          <w:sz w:val="20"/>
        </w:rPr>
        <w:t>residential</w:t>
      </w:r>
      <w:r>
        <w:rPr>
          <w:rFonts w:ascii="Calibri Light" w:hAnsi="Calibri Light"/>
          <w:spacing w:val="-5"/>
          <w:sz w:val="20"/>
        </w:rPr>
        <w:t xml:space="preserve"> </w:t>
      </w:r>
      <w:r>
        <w:rPr>
          <w:rFonts w:ascii="Calibri Light" w:hAnsi="Calibri Light"/>
          <w:sz w:val="20"/>
        </w:rPr>
        <w:t>substance</w:t>
      </w:r>
      <w:r>
        <w:rPr>
          <w:rFonts w:ascii="Calibri Light" w:hAnsi="Calibri Light"/>
          <w:spacing w:val="-4"/>
          <w:sz w:val="20"/>
        </w:rPr>
        <w:t xml:space="preserve"> </w:t>
      </w:r>
      <w:r>
        <w:rPr>
          <w:rFonts w:ascii="Calibri Light" w:hAnsi="Calibri Light"/>
          <w:sz w:val="20"/>
        </w:rPr>
        <w:t>abuse</w:t>
      </w:r>
      <w:r>
        <w:rPr>
          <w:rFonts w:ascii="Calibri Light" w:hAnsi="Calibri Light"/>
          <w:spacing w:val="-4"/>
          <w:sz w:val="20"/>
        </w:rPr>
        <w:t xml:space="preserve"> </w:t>
      </w:r>
      <w:r>
        <w:rPr>
          <w:rFonts w:ascii="Calibri Light" w:hAnsi="Calibri Light"/>
          <w:sz w:val="20"/>
        </w:rPr>
        <w:t>treatment.</w:t>
      </w:r>
      <w:r>
        <w:rPr>
          <w:rFonts w:ascii="Calibri Light" w:hAnsi="Calibri Light"/>
          <w:spacing w:val="-5"/>
          <w:sz w:val="20"/>
        </w:rPr>
        <w:t xml:space="preserve"> </w:t>
      </w:r>
      <w:r>
        <w:rPr>
          <w:rFonts w:ascii="Calibri Light" w:hAnsi="Calibri Light"/>
          <w:i/>
          <w:sz w:val="20"/>
        </w:rPr>
        <w:t>Therapeutic</w:t>
      </w:r>
      <w:r>
        <w:rPr>
          <w:rFonts w:ascii="Calibri Light" w:hAnsi="Calibri Light"/>
          <w:i/>
          <w:spacing w:val="-3"/>
          <w:sz w:val="20"/>
        </w:rPr>
        <w:t xml:space="preserve"> </w:t>
      </w:r>
      <w:r>
        <w:rPr>
          <w:rFonts w:ascii="Calibri Light" w:hAnsi="Calibri Light"/>
          <w:i/>
          <w:sz w:val="20"/>
        </w:rPr>
        <w:t>Communities,</w:t>
      </w:r>
      <w:r>
        <w:rPr>
          <w:rFonts w:ascii="Calibri Light" w:hAnsi="Calibri Light"/>
          <w:i/>
          <w:spacing w:val="-4"/>
          <w:sz w:val="20"/>
        </w:rPr>
        <w:t xml:space="preserve"> </w:t>
      </w:r>
      <w:r>
        <w:rPr>
          <w:rFonts w:ascii="Calibri Light" w:hAnsi="Calibri Light"/>
          <w:i/>
          <w:sz w:val="20"/>
        </w:rPr>
        <w:t>37</w:t>
      </w:r>
      <w:r>
        <w:rPr>
          <w:rFonts w:ascii="Calibri Light" w:hAnsi="Calibri Light"/>
          <w:sz w:val="20"/>
        </w:rPr>
        <w:t>(3),</w:t>
      </w:r>
      <w:r>
        <w:rPr>
          <w:rFonts w:ascii="Calibri Light" w:hAnsi="Calibri Light"/>
          <w:spacing w:val="-5"/>
          <w:sz w:val="20"/>
        </w:rPr>
        <w:t xml:space="preserve"> </w:t>
      </w:r>
      <w:r>
        <w:rPr>
          <w:rFonts w:ascii="Calibri Light" w:hAnsi="Calibri Light"/>
          <w:sz w:val="20"/>
        </w:rPr>
        <w:t>112–120.</w:t>
      </w:r>
      <w:r>
        <w:rPr>
          <w:rFonts w:ascii="Calibri Light" w:hAnsi="Calibri Light"/>
          <w:spacing w:val="-5"/>
          <w:sz w:val="20"/>
        </w:rPr>
        <w:t xml:space="preserve"> </w:t>
      </w:r>
      <w:r>
        <w:rPr>
          <w:rFonts w:ascii="Calibri Light" w:hAnsi="Calibri Light"/>
          <w:sz w:val="20"/>
        </w:rPr>
        <w:t xml:space="preserve">doi:10.1108/tc- </w:t>
      </w:r>
      <w:r>
        <w:rPr>
          <w:rFonts w:ascii="Calibri Light" w:hAnsi="Calibri Light"/>
          <w:spacing w:val="-2"/>
          <w:sz w:val="20"/>
        </w:rPr>
        <w:t>09-2015-0022</w:t>
      </w:r>
    </w:p>
    <w:p w14:paraId="192AA552" w14:textId="77777777" w:rsidR="00DB6E1F" w:rsidRDefault="00F666A6">
      <w:pPr>
        <w:spacing w:line="259" w:lineRule="auto"/>
        <w:ind w:left="1619" w:right="1491" w:hanging="181"/>
        <w:rPr>
          <w:rFonts w:ascii="Calibri Light" w:hAnsi="Calibri Light"/>
          <w:sz w:val="20"/>
        </w:rPr>
      </w:pPr>
      <w:r>
        <w:rPr>
          <w:rFonts w:ascii="Calibri Light" w:hAnsi="Calibri Light"/>
          <w:sz w:val="20"/>
        </w:rPr>
        <w:t>Van</w:t>
      </w:r>
      <w:r>
        <w:rPr>
          <w:rFonts w:ascii="Calibri Light" w:hAnsi="Calibri Light"/>
          <w:spacing w:val="-2"/>
          <w:sz w:val="20"/>
        </w:rPr>
        <w:t xml:space="preserve"> </w:t>
      </w:r>
      <w:r>
        <w:rPr>
          <w:rFonts w:ascii="Calibri Light" w:hAnsi="Calibri Light"/>
          <w:sz w:val="20"/>
        </w:rPr>
        <w:t>Horn,</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H.,</w:t>
      </w:r>
      <w:r>
        <w:rPr>
          <w:rFonts w:ascii="Calibri Light" w:hAnsi="Calibri Light"/>
          <w:spacing w:val="-3"/>
          <w:sz w:val="20"/>
        </w:rPr>
        <w:t xml:space="preserve"> </w:t>
      </w:r>
      <w:r>
        <w:rPr>
          <w:rFonts w:ascii="Calibri Light" w:hAnsi="Calibri Light"/>
          <w:sz w:val="20"/>
        </w:rPr>
        <w:t>Drapkin,</w:t>
      </w:r>
      <w:r>
        <w:rPr>
          <w:rFonts w:ascii="Calibri Light" w:hAnsi="Calibri Light"/>
          <w:spacing w:val="-3"/>
          <w:sz w:val="20"/>
        </w:rPr>
        <w:t xml:space="preserve"> </w:t>
      </w:r>
      <w:r>
        <w:rPr>
          <w:rFonts w:ascii="Calibri Light" w:hAnsi="Calibri Light"/>
          <w:sz w:val="20"/>
        </w:rPr>
        <w:t>M.,</w:t>
      </w:r>
      <w:r>
        <w:rPr>
          <w:rFonts w:ascii="Calibri Light" w:hAnsi="Calibri Light"/>
          <w:spacing w:val="-3"/>
          <w:sz w:val="20"/>
        </w:rPr>
        <w:t xml:space="preserve"> </w:t>
      </w:r>
      <w:r>
        <w:rPr>
          <w:rFonts w:ascii="Calibri Light" w:hAnsi="Calibri Light"/>
          <w:sz w:val="20"/>
        </w:rPr>
        <w:t>Lynch,</w:t>
      </w:r>
      <w:r>
        <w:rPr>
          <w:rFonts w:ascii="Calibri Light" w:hAnsi="Calibri Light"/>
          <w:spacing w:val="-3"/>
          <w:sz w:val="20"/>
        </w:rPr>
        <w:t xml:space="preserve"> </w:t>
      </w:r>
      <w:r>
        <w:rPr>
          <w:rFonts w:ascii="Calibri Light" w:hAnsi="Calibri Light"/>
          <w:sz w:val="20"/>
        </w:rPr>
        <w:t>K. G., Rennert,</w:t>
      </w:r>
      <w:r>
        <w:rPr>
          <w:rFonts w:ascii="Calibri Light" w:hAnsi="Calibri Light"/>
          <w:spacing w:val="-3"/>
          <w:sz w:val="20"/>
        </w:rPr>
        <w:t xml:space="preserve"> </w:t>
      </w:r>
      <w:r>
        <w:rPr>
          <w:rFonts w:ascii="Calibri Light" w:hAnsi="Calibri Light"/>
          <w:sz w:val="20"/>
        </w:rPr>
        <w:t>L.,</w:t>
      </w:r>
      <w:r>
        <w:rPr>
          <w:rFonts w:ascii="Calibri Light" w:hAnsi="Calibri Light"/>
          <w:spacing w:val="-3"/>
          <w:sz w:val="20"/>
        </w:rPr>
        <w:t xml:space="preserve"> </w:t>
      </w:r>
      <w:r>
        <w:rPr>
          <w:rFonts w:ascii="Calibri Light" w:hAnsi="Calibri Light"/>
          <w:sz w:val="20"/>
        </w:rPr>
        <w:t>Goodman,</w:t>
      </w:r>
      <w:r>
        <w:rPr>
          <w:rFonts w:ascii="Calibri Light" w:hAnsi="Calibri Light"/>
          <w:spacing w:val="-3"/>
          <w:sz w:val="20"/>
        </w:rPr>
        <w:t xml:space="preserve"> </w:t>
      </w:r>
      <w:r>
        <w:rPr>
          <w:rFonts w:ascii="Calibri Light" w:hAnsi="Calibri Light"/>
          <w:sz w:val="20"/>
        </w:rPr>
        <w:t>J. D.,</w:t>
      </w:r>
      <w:r>
        <w:rPr>
          <w:rFonts w:ascii="Calibri Light" w:hAnsi="Calibri Light"/>
          <w:spacing w:val="-3"/>
          <w:sz w:val="20"/>
        </w:rPr>
        <w:t xml:space="preserve"> </w:t>
      </w:r>
      <w:r>
        <w:rPr>
          <w:rFonts w:ascii="Calibri Light" w:hAnsi="Calibri Light"/>
          <w:sz w:val="20"/>
        </w:rPr>
        <w:t>Thomas,</w:t>
      </w:r>
      <w:r>
        <w:rPr>
          <w:rFonts w:ascii="Calibri Light" w:hAnsi="Calibri Light"/>
          <w:spacing w:val="-5"/>
          <w:sz w:val="20"/>
        </w:rPr>
        <w:t xml:space="preserve"> </w:t>
      </w:r>
      <w:r>
        <w:rPr>
          <w:rFonts w:ascii="Calibri Light" w:hAnsi="Calibri Light"/>
          <w:sz w:val="20"/>
        </w:rPr>
        <w:t>T.,</w:t>
      </w:r>
      <w:r>
        <w:rPr>
          <w:rFonts w:ascii="Calibri Light" w:hAnsi="Calibri Light"/>
          <w:spacing w:val="-3"/>
          <w:sz w:val="20"/>
        </w:rPr>
        <w:t xml:space="preserve"> </w:t>
      </w:r>
      <w:r>
        <w:rPr>
          <w:rFonts w:ascii="Calibri Light" w:hAnsi="Calibri Light"/>
          <w:sz w:val="20"/>
        </w:rPr>
        <w:t>…</w:t>
      </w:r>
      <w:r>
        <w:rPr>
          <w:rFonts w:ascii="Calibri Light" w:hAnsi="Calibri Light"/>
          <w:spacing w:val="-1"/>
          <w:sz w:val="20"/>
        </w:rPr>
        <w:t xml:space="preserve"> </w:t>
      </w:r>
      <w:r>
        <w:rPr>
          <w:rFonts w:ascii="Calibri Light" w:hAnsi="Calibri Light"/>
          <w:sz w:val="20"/>
        </w:rPr>
        <w:t>McKay,</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(2015).</w:t>
      </w:r>
      <w:r>
        <w:rPr>
          <w:rFonts w:ascii="Calibri Light" w:hAnsi="Calibri Light"/>
          <w:spacing w:val="-3"/>
          <w:sz w:val="20"/>
        </w:rPr>
        <w:t xml:space="preserve"> </w:t>
      </w:r>
      <w:r>
        <w:rPr>
          <w:rFonts w:ascii="Calibri Light" w:hAnsi="Calibri Light"/>
          <w:sz w:val="20"/>
        </w:rPr>
        <w:t xml:space="preserve">Treatment choices and subsequent attendance by substance-dependent patients who disengage from intensive outpatient treatment. </w:t>
      </w:r>
      <w:r>
        <w:rPr>
          <w:rFonts w:ascii="Calibri Light" w:hAnsi="Calibri Light"/>
          <w:i/>
          <w:sz w:val="20"/>
        </w:rPr>
        <w:t>Addiction Research and Th</w:t>
      </w:r>
      <w:r>
        <w:rPr>
          <w:rFonts w:ascii="Calibri Light" w:hAnsi="Calibri Light"/>
          <w:i/>
          <w:sz w:val="20"/>
        </w:rPr>
        <w:t>eory</w:t>
      </w:r>
      <w:r>
        <w:rPr>
          <w:rFonts w:ascii="Calibri Light" w:hAnsi="Calibri Light"/>
          <w:sz w:val="20"/>
        </w:rPr>
        <w:t xml:space="preserve">, </w:t>
      </w:r>
      <w:r>
        <w:rPr>
          <w:rFonts w:ascii="Calibri Light" w:hAnsi="Calibri Light"/>
          <w:i/>
          <w:sz w:val="20"/>
        </w:rPr>
        <w:t>23</w:t>
      </w:r>
      <w:r>
        <w:rPr>
          <w:rFonts w:ascii="Calibri Light" w:hAnsi="Calibri Light"/>
          <w:sz w:val="20"/>
        </w:rPr>
        <w:t>(5), 391–403.</w:t>
      </w:r>
    </w:p>
    <w:p w14:paraId="1415063F" w14:textId="77777777" w:rsidR="00DB6E1F" w:rsidRDefault="00F666A6">
      <w:pPr>
        <w:spacing w:line="259" w:lineRule="auto"/>
        <w:ind w:left="1619" w:right="1491" w:hanging="180"/>
        <w:rPr>
          <w:rFonts w:ascii="Calibri Light" w:hAnsi="Calibri Light"/>
          <w:sz w:val="20"/>
        </w:rPr>
      </w:pPr>
      <w:r>
        <w:rPr>
          <w:rFonts w:ascii="Calibri Light" w:hAnsi="Calibri Light"/>
          <w:sz w:val="20"/>
        </w:rPr>
        <w:t>Vella-Zarb, R. A., Mills, J. S., Westra, H. A., Carter, J. C., &amp; Keating, L. (2014). A randomized controlled trial of motivational</w:t>
      </w:r>
      <w:r>
        <w:rPr>
          <w:rFonts w:ascii="Calibri Light" w:hAnsi="Calibri Light"/>
          <w:spacing w:val="-5"/>
          <w:sz w:val="20"/>
        </w:rPr>
        <w:t xml:space="preserve"> </w:t>
      </w:r>
      <w:r>
        <w:rPr>
          <w:rFonts w:ascii="Calibri Light" w:hAnsi="Calibri Light"/>
          <w:sz w:val="20"/>
        </w:rPr>
        <w:t>interviewing</w:t>
      </w:r>
      <w:r>
        <w:rPr>
          <w:rFonts w:ascii="Calibri Light" w:hAnsi="Calibri Light"/>
          <w:spacing w:val="27"/>
          <w:sz w:val="20"/>
        </w:rPr>
        <w:t xml:space="preserve"> </w:t>
      </w:r>
      <w:r>
        <w:rPr>
          <w:rFonts w:ascii="Calibri Light" w:hAnsi="Calibri Light"/>
          <w:sz w:val="20"/>
        </w:rPr>
        <w:t>self-help</w:t>
      </w:r>
      <w:r>
        <w:rPr>
          <w:rFonts w:ascii="Calibri Light" w:hAnsi="Calibri Light"/>
          <w:spacing w:val="-4"/>
          <w:sz w:val="20"/>
        </w:rPr>
        <w:t xml:space="preserve"> </w:t>
      </w:r>
      <w:r>
        <w:rPr>
          <w:rFonts w:ascii="Calibri Light" w:hAnsi="Calibri Light"/>
          <w:sz w:val="20"/>
        </w:rPr>
        <w:t>versus</w:t>
      </w:r>
      <w:r>
        <w:rPr>
          <w:rFonts w:ascii="Calibri Light" w:hAnsi="Calibri Light"/>
          <w:spacing w:val="-4"/>
          <w:sz w:val="20"/>
        </w:rPr>
        <w:t xml:space="preserve"> </w:t>
      </w:r>
      <w:r>
        <w:rPr>
          <w:rFonts w:ascii="Calibri Light" w:hAnsi="Calibri Light"/>
          <w:sz w:val="20"/>
        </w:rPr>
        <w:t>psychoeducation</w:t>
      </w:r>
      <w:r>
        <w:rPr>
          <w:rFonts w:ascii="Calibri Light" w:hAnsi="Calibri Light"/>
          <w:spacing w:val="29"/>
          <w:sz w:val="20"/>
        </w:rPr>
        <w:t xml:space="preserve"> </w:t>
      </w:r>
      <w:r>
        <w:rPr>
          <w:rFonts w:ascii="Calibri Light" w:hAnsi="Calibri Light"/>
          <w:sz w:val="20"/>
        </w:rPr>
        <w:t>self-help</w:t>
      </w:r>
      <w:r>
        <w:rPr>
          <w:rFonts w:ascii="Calibri Light" w:hAnsi="Calibri Light"/>
          <w:spacing w:val="-4"/>
          <w:sz w:val="20"/>
        </w:rPr>
        <w:t xml:space="preserve"> </w:t>
      </w:r>
      <w:r>
        <w:rPr>
          <w:rFonts w:ascii="Calibri Light" w:hAnsi="Calibri Light"/>
          <w:sz w:val="20"/>
        </w:rPr>
        <w:t>for</w:t>
      </w:r>
      <w:r>
        <w:rPr>
          <w:rFonts w:ascii="Calibri Light" w:hAnsi="Calibri Light"/>
          <w:spacing w:val="-3"/>
          <w:sz w:val="20"/>
        </w:rPr>
        <w:t xml:space="preserve"> </w:t>
      </w:r>
      <w:r>
        <w:rPr>
          <w:rFonts w:ascii="Calibri Light" w:hAnsi="Calibri Light"/>
          <w:sz w:val="20"/>
        </w:rPr>
        <w:t>binge</w:t>
      </w:r>
      <w:r>
        <w:rPr>
          <w:rFonts w:ascii="Calibri Light" w:hAnsi="Calibri Light"/>
          <w:spacing w:val="-4"/>
          <w:sz w:val="20"/>
        </w:rPr>
        <w:t xml:space="preserve"> </w:t>
      </w:r>
      <w:r>
        <w:rPr>
          <w:rFonts w:ascii="Calibri Light" w:hAnsi="Calibri Light"/>
          <w:sz w:val="20"/>
        </w:rPr>
        <w:t>eating.</w:t>
      </w:r>
      <w:r>
        <w:rPr>
          <w:rFonts w:ascii="Calibri Light" w:hAnsi="Calibri Light"/>
          <w:spacing w:val="-5"/>
          <w:sz w:val="20"/>
        </w:rPr>
        <w:t xml:space="preserve"> </w:t>
      </w:r>
      <w:r>
        <w:rPr>
          <w:rFonts w:ascii="Calibri Light" w:hAnsi="Calibri Light"/>
          <w:i/>
          <w:sz w:val="20"/>
        </w:rPr>
        <w:t>International</w:t>
      </w:r>
      <w:r>
        <w:rPr>
          <w:rFonts w:ascii="Calibri Light" w:hAnsi="Calibri Light"/>
          <w:i/>
          <w:spacing w:val="-5"/>
          <w:sz w:val="20"/>
        </w:rPr>
        <w:t xml:space="preserve"> </w:t>
      </w:r>
      <w:r>
        <w:rPr>
          <w:rFonts w:ascii="Calibri Light" w:hAnsi="Calibri Light"/>
          <w:i/>
          <w:sz w:val="20"/>
        </w:rPr>
        <w:t>Journal</w:t>
      </w:r>
      <w:r>
        <w:rPr>
          <w:rFonts w:ascii="Calibri Light" w:hAnsi="Calibri Light"/>
          <w:i/>
          <w:spacing w:val="-5"/>
          <w:sz w:val="20"/>
        </w:rPr>
        <w:t xml:space="preserve"> </w:t>
      </w:r>
      <w:r>
        <w:rPr>
          <w:rFonts w:ascii="Calibri Light" w:hAnsi="Calibri Light"/>
          <w:i/>
          <w:sz w:val="20"/>
        </w:rPr>
        <w:t>of</w:t>
      </w:r>
      <w:r>
        <w:rPr>
          <w:rFonts w:ascii="Calibri Light" w:hAnsi="Calibri Light"/>
          <w:i/>
          <w:sz w:val="20"/>
        </w:rPr>
        <w:t xml:space="preserve"> Eating Disorders, 48</w:t>
      </w:r>
      <w:r>
        <w:rPr>
          <w:rFonts w:ascii="Calibri Light" w:hAnsi="Calibri Light"/>
          <w:sz w:val="20"/>
        </w:rPr>
        <w:t>(3), 328–332. doi:10.1002/eat.22242</w:t>
      </w:r>
    </w:p>
    <w:p w14:paraId="059D4EFF" w14:textId="77777777" w:rsidR="00DB6E1F" w:rsidRDefault="00F666A6">
      <w:pPr>
        <w:spacing w:line="259" w:lineRule="auto"/>
        <w:ind w:left="1619" w:right="1491" w:hanging="180"/>
        <w:rPr>
          <w:rFonts w:ascii="Calibri Light"/>
          <w:sz w:val="20"/>
        </w:rPr>
      </w:pPr>
      <w:r>
        <w:rPr>
          <w:rFonts w:ascii="Calibri Light"/>
          <w:sz w:val="20"/>
        </w:rPr>
        <w:t>Venner,</w:t>
      </w:r>
      <w:r>
        <w:rPr>
          <w:rFonts w:ascii="Calibri Light"/>
          <w:spacing w:val="-4"/>
          <w:sz w:val="20"/>
        </w:rPr>
        <w:t xml:space="preserve"> </w:t>
      </w:r>
      <w:r>
        <w:rPr>
          <w:rFonts w:ascii="Calibri Light"/>
          <w:sz w:val="20"/>
        </w:rPr>
        <w:t>K.</w:t>
      </w:r>
      <w:r>
        <w:rPr>
          <w:rFonts w:ascii="Calibri Light"/>
          <w:spacing w:val="-4"/>
          <w:sz w:val="20"/>
        </w:rPr>
        <w:t xml:space="preserve"> </w:t>
      </w:r>
      <w:r>
        <w:rPr>
          <w:rFonts w:ascii="Calibri Light"/>
          <w:sz w:val="20"/>
        </w:rPr>
        <w:t>L.,</w:t>
      </w:r>
      <w:r>
        <w:rPr>
          <w:rFonts w:ascii="Calibri Light"/>
          <w:spacing w:val="-4"/>
          <w:sz w:val="20"/>
        </w:rPr>
        <w:t xml:space="preserve"> </w:t>
      </w:r>
      <w:r>
        <w:rPr>
          <w:rFonts w:ascii="Calibri Light"/>
          <w:sz w:val="20"/>
        </w:rPr>
        <w:t>Feldstein,</w:t>
      </w:r>
      <w:r>
        <w:rPr>
          <w:rFonts w:ascii="Calibri Light"/>
          <w:spacing w:val="-4"/>
          <w:sz w:val="20"/>
        </w:rPr>
        <w:t xml:space="preserve"> </w:t>
      </w:r>
      <w:r>
        <w:rPr>
          <w:rFonts w:ascii="Calibri Light"/>
          <w:sz w:val="20"/>
        </w:rPr>
        <w:t>S.</w:t>
      </w:r>
      <w:r>
        <w:rPr>
          <w:rFonts w:ascii="Calibri Light"/>
          <w:spacing w:val="-4"/>
          <w:sz w:val="20"/>
        </w:rPr>
        <w:t xml:space="preserve"> </w:t>
      </w:r>
      <w:r>
        <w:rPr>
          <w:rFonts w:ascii="Calibri Light"/>
          <w:sz w:val="20"/>
        </w:rPr>
        <w:t>W.,</w:t>
      </w:r>
      <w:r>
        <w:rPr>
          <w:rFonts w:ascii="Calibri Light"/>
          <w:spacing w:val="-1"/>
          <w:sz w:val="20"/>
        </w:rPr>
        <w:t xml:space="preserve"> </w:t>
      </w:r>
      <w:r>
        <w:rPr>
          <w:rFonts w:ascii="Calibri Light"/>
          <w:sz w:val="20"/>
        </w:rPr>
        <w:t>&amp;</w:t>
      </w:r>
      <w:r>
        <w:rPr>
          <w:rFonts w:ascii="Calibri Light"/>
          <w:spacing w:val="-2"/>
          <w:sz w:val="20"/>
        </w:rPr>
        <w:t xml:space="preserve"> </w:t>
      </w:r>
      <w:r>
        <w:rPr>
          <w:rFonts w:ascii="Calibri Light"/>
          <w:sz w:val="20"/>
        </w:rPr>
        <w:t>Tafoya,</w:t>
      </w:r>
      <w:r>
        <w:rPr>
          <w:rFonts w:ascii="Calibri Light"/>
          <w:spacing w:val="-4"/>
          <w:sz w:val="20"/>
        </w:rPr>
        <w:t xml:space="preserve"> </w:t>
      </w:r>
      <w:r>
        <w:rPr>
          <w:rFonts w:ascii="Calibri Light"/>
          <w:sz w:val="20"/>
        </w:rPr>
        <w:t>N.</w:t>
      </w:r>
      <w:r>
        <w:rPr>
          <w:rFonts w:ascii="Calibri Light"/>
          <w:spacing w:val="-4"/>
          <w:sz w:val="20"/>
        </w:rPr>
        <w:t xml:space="preserve"> </w:t>
      </w:r>
      <w:r>
        <w:rPr>
          <w:rFonts w:ascii="Calibri Light"/>
          <w:sz w:val="20"/>
        </w:rPr>
        <w:t>(2006).</w:t>
      </w:r>
      <w:r>
        <w:rPr>
          <w:rFonts w:ascii="Calibri Light"/>
          <w:spacing w:val="-4"/>
          <w:sz w:val="20"/>
        </w:rPr>
        <w:t xml:space="preserve"> </w:t>
      </w:r>
      <w:r>
        <w:rPr>
          <w:rFonts w:ascii="Calibri Light"/>
          <w:i/>
          <w:sz w:val="20"/>
        </w:rPr>
        <w:t>Native</w:t>
      </w:r>
      <w:r>
        <w:rPr>
          <w:rFonts w:ascii="Calibri Light"/>
          <w:i/>
          <w:spacing w:val="-3"/>
          <w:sz w:val="20"/>
        </w:rPr>
        <w:t xml:space="preserve"> </w:t>
      </w:r>
      <w:r>
        <w:rPr>
          <w:rFonts w:ascii="Calibri Light"/>
          <w:i/>
          <w:sz w:val="20"/>
        </w:rPr>
        <w:t>American motivational</w:t>
      </w:r>
      <w:r>
        <w:rPr>
          <w:rFonts w:ascii="Calibri Light"/>
          <w:i/>
          <w:spacing w:val="-4"/>
          <w:sz w:val="20"/>
        </w:rPr>
        <w:t xml:space="preserve"> </w:t>
      </w:r>
      <w:r>
        <w:rPr>
          <w:rFonts w:ascii="Calibri Light"/>
          <w:i/>
          <w:sz w:val="20"/>
        </w:rPr>
        <w:t>interviewing:</w:t>
      </w:r>
      <w:r>
        <w:rPr>
          <w:rFonts w:ascii="Calibri Light"/>
          <w:i/>
          <w:spacing w:val="-3"/>
          <w:sz w:val="20"/>
        </w:rPr>
        <w:t xml:space="preserve"> </w:t>
      </w:r>
      <w:r>
        <w:rPr>
          <w:rFonts w:ascii="Calibri Light"/>
          <w:i/>
          <w:sz w:val="20"/>
        </w:rPr>
        <w:t>Weaving</w:t>
      </w:r>
      <w:r>
        <w:rPr>
          <w:rFonts w:ascii="Calibri Light"/>
          <w:i/>
          <w:spacing w:val="-3"/>
          <w:sz w:val="20"/>
        </w:rPr>
        <w:t xml:space="preserve"> </w:t>
      </w:r>
      <w:r>
        <w:rPr>
          <w:rFonts w:ascii="Calibri Light"/>
          <w:i/>
          <w:sz w:val="20"/>
        </w:rPr>
        <w:t>Native American and Western practices</w:t>
      </w:r>
      <w:r>
        <w:rPr>
          <w:rFonts w:ascii="Calibri Light"/>
          <w:sz w:val="20"/>
        </w:rPr>
        <w:t xml:space="preserve">. Retrieved from </w:t>
      </w:r>
      <w:hyperlink r:id="rId162">
        <w:r>
          <w:rPr>
            <w:rFonts w:ascii="Calibri Light"/>
            <w:color w:val="0563C1"/>
            <w:sz w:val="20"/>
            <w:u w:val="single" w:color="0563C1"/>
          </w:rPr>
          <w:t>www.integration.samhsa.gov/clinical-</w:t>
        </w:r>
      </w:hyperlink>
      <w:r>
        <w:rPr>
          <w:rFonts w:ascii="Calibri Light"/>
          <w:color w:val="0563C1"/>
          <w:sz w:val="20"/>
        </w:rPr>
        <w:t xml:space="preserve"> </w:t>
      </w:r>
      <w:hyperlink r:id="rId163">
        <w:r>
          <w:rPr>
            <w:rFonts w:ascii="Calibri Light"/>
            <w:color w:val="0563C1"/>
            <w:spacing w:val="-2"/>
            <w:sz w:val="20"/>
            <w:u w:val="single" w:color="0563C1"/>
          </w:rPr>
          <w:t>practice/Native_Ame</w:t>
        </w:r>
        <w:r>
          <w:rPr>
            <w:rFonts w:ascii="Calibri Light"/>
            <w:color w:val="0563C1"/>
            <w:spacing w:val="-2"/>
            <w:sz w:val="20"/>
            <w:u w:val="single" w:color="0563C1"/>
          </w:rPr>
          <w:t>rican_MI_Manual.pdf</w:t>
        </w:r>
      </w:hyperlink>
    </w:p>
    <w:p w14:paraId="7EEC3146" w14:textId="77777777" w:rsidR="00DB6E1F" w:rsidRDefault="00F666A6">
      <w:pPr>
        <w:spacing w:line="259" w:lineRule="auto"/>
        <w:ind w:left="1619" w:right="1491" w:hanging="180"/>
        <w:rPr>
          <w:rFonts w:ascii="Calibri Light" w:hAnsi="Calibri Light"/>
          <w:sz w:val="20"/>
        </w:rPr>
      </w:pPr>
      <w:r>
        <w:rPr>
          <w:rFonts w:ascii="Calibri Light" w:hAnsi="Calibri Light"/>
          <w:sz w:val="20"/>
        </w:rPr>
        <w:t>Venner, K. L., Sánchez, V., Garcia, J., Williams, R. L., &amp; Sussman, A. L. (2018). Moving away from the tip of the pyramid:</w:t>
      </w:r>
      <w:r>
        <w:rPr>
          <w:rFonts w:ascii="Calibri Light" w:hAnsi="Calibri Light"/>
          <w:spacing w:val="-3"/>
          <w:sz w:val="20"/>
        </w:rPr>
        <w:t xml:space="preserve"> </w:t>
      </w:r>
      <w:r>
        <w:rPr>
          <w:rFonts w:ascii="Calibri Light" w:hAnsi="Calibri Light"/>
          <w:sz w:val="20"/>
        </w:rPr>
        <w:t>Screening</w:t>
      </w:r>
      <w:r>
        <w:rPr>
          <w:rFonts w:ascii="Calibri Light" w:hAnsi="Calibri Light"/>
          <w:spacing w:val="-3"/>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brief</w:t>
      </w:r>
      <w:r>
        <w:rPr>
          <w:rFonts w:ascii="Calibri Light" w:hAnsi="Calibri Light"/>
          <w:spacing w:val="-3"/>
          <w:sz w:val="20"/>
        </w:rPr>
        <w:t xml:space="preserve"> </w:t>
      </w:r>
      <w:r>
        <w:rPr>
          <w:rFonts w:ascii="Calibri Light" w:hAnsi="Calibri Light"/>
          <w:sz w:val="20"/>
        </w:rPr>
        <w:t>intervention</w:t>
      </w:r>
      <w:r>
        <w:rPr>
          <w:rFonts w:ascii="Calibri Light" w:hAnsi="Calibri Light"/>
          <w:spacing w:val="-3"/>
          <w:sz w:val="20"/>
        </w:rPr>
        <w:t xml:space="preserve"> </w:t>
      </w:r>
      <w:r>
        <w:rPr>
          <w:rFonts w:ascii="Calibri Light" w:hAnsi="Calibri Light"/>
          <w:sz w:val="20"/>
        </w:rPr>
        <w:t>for</w:t>
      </w:r>
      <w:r>
        <w:rPr>
          <w:rFonts w:ascii="Calibri Light" w:hAnsi="Calibri Light"/>
          <w:spacing w:val="-2"/>
          <w:sz w:val="20"/>
        </w:rPr>
        <w:t xml:space="preserve"> </w:t>
      </w:r>
      <w:r>
        <w:rPr>
          <w:rFonts w:ascii="Calibri Light" w:hAnsi="Calibri Light"/>
          <w:sz w:val="20"/>
        </w:rPr>
        <w:t>risky</w:t>
      </w:r>
      <w:r>
        <w:rPr>
          <w:rFonts w:ascii="Calibri Light" w:hAnsi="Calibri Light"/>
          <w:spacing w:val="-2"/>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opioid</w:t>
      </w:r>
      <w:r>
        <w:rPr>
          <w:rFonts w:ascii="Calibri Light" w:hAnsi="Calibri Light"/>
          <w:spacing w:val="-4"/>
          <w:sz w:val="20"/>
        </w:rPr>
        <w:t xml:space="preserve"> </w:t>
      </w:r>
      <w:r>
        <w:rPr>
          <w:rFonts w:ascii="Calibri Light" w:hAnsi="Calibri Light"/>
          <w:sz w:val="20"/>
        </w:rPr>
        <w:t>use</w:t>
      </w:r>
      <w:r>
        <w:rPr>
          <w:rFonts w:ascii="Calibri Light" w:hAnsi="Calibri Light"/>
          <w:spacing w:val="-1"/>
          <w:sz w:val="20"/>
        </w:rPr>
        <w:t xml:space="preserve"> </w:t>
      </w:r>
      <w:r>
        <w:rPr>
          <w:rFonts w:ascii="Calibri Light" w:hAnsi="Calibri Light"/>
          <w:sz w:val="20"/>
        </w:rPr>
        <w:t>in</w:t>
      </w:r>
      <w:r>
        <w:rPr>
          <w:rFonts w:ascii="Calibri Light" w:hAnsi="Calibri Light"/>
          <w:spacing w:val="-4"/>
          <w:sz w:val="20"/>
        </w:rPr>
        <w:t xml:space="preserve"> </w:t>
      </w:r>
      <w:r>
        <w:rPr>
          <w:rFonts w:ascii="Calibri Light" w:hAnsi="Calibri Light"/>
          <w:sz w:val="20"/>
        </w:rPr>
        <w:t>underserved</w:t>
      </w:r>
      <w:r>
        <w:rPr>
          <w:rFonts w:ascii="Calibri Light" w:hAnsi="Calibri Light"/>
          <w:spacing w:val="-1"/>
          <w:sz w:val="20"/>
        </w:rPr>
        <w:t xml:space="preserve"> </w:t>
      </w:r>
      <w:r>
        <w:rPr>
          <w:rFonts w:ascii="Calibri Light" w:hAnsi="Calibri Light"/>
          <w:sz w:val="20"/>
        </w:rPr>
        <w:t>patients.</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the</w:t>
      </w:r>
      <w:r>
        <w:rPr>
          <w:rFonts w:ascii="Calibri Light" w:hAnsi="Calibri Light"/>
          <w:i/>
          <w:sz w:val="20"/>
        </w:rPr>
        <w:t xml:space="preserve"> American Board of Family Medicine, 31</w:t>
      </w:r>
      <w:r>
        <w:rPr>
          <w:rFonts w:ascii="Calibri Light" w:hAnsi="Calibri Light"/>
          <w:sz w:val="20"/>
        </w:rPr>
        <w:t>(2), 243–251.</w:t>
      </w:r>
    </w:p>
    <w:p w14:paraId="462B43D0" w14:textId="77777777" w:rsidR="00DB6E1F" w:rsidRDefault="00F666A6">
      <w:pPr>
        <w:spacing w:line="259" w:lineRule="auto"/>
        <w:ind w:left="1619" w:right="1491" w:hanging="180"/>
        <w:rPr>
          <w:rFonts w:ascii="Calibri Light" w:hAnsi="Calibri Light"/>
          <w:sz w:val="20"/>
        </w:rPr>
      </w:pPr>
      <w:r>
        <w:rPr>
          <w:rFonts w:ascii="Calibri Light" w:hAnsi="Calibri Light"/>
          <w:sz w:val="20"/>
        </w:rPr>
        <w:t>Wagner,</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Garbers,</w:t>
      </w:r>
      <w:r>
        <w:rPr>
          <w:rFonts w:ascii="Calibri Light" w:hAnsi="Calibri Light"/>
          <w:spacing w:val="-3"/>
          <w:sz w:val="20"/>
        </w:rPr>
        <w:t xml:space="preserve"> </w:t>
      </w:r>
      <w:r>
        <w:rPr>
          <w:rFonts w:ascii="Calibri Light" w:hAnsi="Calibri Light"/>
          <w:sz w:val="20"/>
        </w:rPr>
        <w:t>R.,</w:t>
      </w:r>
      <w:r>
        <w:rPr>
          <w:rFonts w:ascii="Calibri Light" w:hAnsi="Calibri Light"/>
          <w:spacing w:val="-3"/>
          <w:sz w:val="20"/>
        </w:rPr>
        <w:t xml:space="preserve"> </w:t>
      </w:r>
      <w:r>
        <w:rPr>
          <w:rFonts w:ascii="Calibri Light" w:hAnsi="Calibri Light"/>
          <w:sz w:val="20"/>
        </w:rPr>
        <w:t>Lang,</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Borgert,</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Fisher, M.</w:t>
      </w:r>
      <w:r>
        <w:rPr>
          <w:rFonts w:ascii="Calibri Light" w:hAnsi="Calibri Light"/>
          <w:spacing w:val="-3"/>
          <w:sz w:val="20"/>
        </w:rPr>
        <w:t xml:space="preserve"> </w:t>
      </w:r>
      <w:r>
        <w:rPr>
          <w:rFonts w:ascii="Calibri Light" w:hAnsi="Calibri Light"/>
          <w:sz w:val="20"/>
        </w:rPr>
        <w:t>(2016).</w:t>
      </w:r>
      <w:r>
        <w:rPr>
          <w:rFonts w:ascii="Calibri Light" w:hAnsi="Calibri Light"/>
          <w:spacing w:val="-3"/>
          <w:sz w:val="20"/>
        </w:rPr>
        <w:t xml:space="preserve"> </w:t>
      </w:r>
      <w:r>
        <w:rPr>
          <w:rFonts w:ascii="Calibri Light" w:hAnsi="Calibri Light"/>
          <w:sz w:val="20"/>
        </w:rPr>
        <w:t>Increasing</w:t>
      </w:r>
      <w:r>
        <w:rPr>
          <w:rFonts w:ascii="Calibri Light" w:hAnsi="Calibri Light"/>
          <w:spacing w:val="-2"/>
          <w:sz w:val="20"/>
        </w:rPr>
        <w:t xml:space="preserve"> </w:t>
      </w:r>
      <w:r>
        <w:rPr>
          <w:rFonts w:ascii="Calibri Light" w:hAnsi="Calibri Light"/>
          <w:sz w:val="20"/>
        </w:rPr>
        <w:t>follow-up</w:t>
      </w:r>
      <w:r>
        <w:rPr>
          <w:rFonts w:ascii="Calibri Light" w:hAnsi="Calibri Light"/>
          <w:spacing w:val="-2"/>
          <w:sz w:val="20"/>
        </w:rPr>
        <w:t xml:space="preserve"> </w:t>
      </w:r>
      <w:r>
        <w:rPr>
          <w:rFonts w:ascii="Calibri Light" w:hAnsi="Calibri Light"/>
          <w:sz w:val="20"/>
        </w:rPr>
        <w:t>outcomes</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 xml:space="preserve">at-risk alcohol patients using motivational interviewing. </w:t>
      </w:r>
      <w:r>
        <w:rPr>
          <w:rFonts w:ascii="Calibri Light" w:hAnsi="Calibri Light"/>
          <w:i/>
          <w:sz w:val="20"/>
        </w:rPr>
        <w:t>Journal of Trauma Nursing, 23</w:t>
      </w:r>
      <w:r>
        <w:rPr>
          <w:rFonts w:ascii="Calibri Light" w:hAnsi="Calibri Light"/>
          <w:sz w:val="20"/>
        </w:rPr>
        <w:t>(3), 165–</w:t>
      </w:r>
      <w:r>
        <w:rPr>
          <w:rFonts w:ascii="Calibri Light" w:hAnsi="Calibri Light"/>
          <w:sz w:val="20"/>
        </w:rPr>
        <w:t xml:space="preserve">168. </w:t>
      </w:r>
      <w:r>
        <w:rPr>
          <w:rFonts w:ascii="Calibri Light" w:hAnsi="Calibri Light"/>
          <w:spacing w:val="-2"/>
          <w:sz w:val="20"/>
        </w:rPr>
        <w:t>doi:10.1097/jtn.0000000000000200</w:t>
      </w:r>
    </w:p>
    <w:p w14:paraId="04D5664C" w14:textId="77777777" w:rsidR="00DB6E1F" w:rsidRDefault="00F666A6">
      <w:pPr>
        <w:spacing w:line="259" w:lineRule="auto"/>
        <w:ind w:left="1619" w:right="1491" w:hanging="181"/>
        <w:rPr>
          <w:rFonts w:ascii="Calibri Light" w:hAnsi="Calibri Light"/>
          <w:sz w:val="20"/>
        </w:rPr>
      </w:pPr>
      <w:r>
        <w:rPr>
          <w:rFonts w:ascii="Calibri Light" w:hAnsi="Calibri Light"/>
          <w:sz w:val="20"/>
        </w:rPr>
        <w:t>Wagner, C. C., &amp; Ingersoll, K. S. (2017). Development and initial validation of the Assessment of Motivational Interviewing</w:t>
      </w:r>
      <w:r>
        <w:rPr>
          <w:rFonts w:ascii="Calibri Light" w:hAnsi="Calibri Light"/>
          <w:spacing w:val="-4"/>
          <w:sz w:val="20"/>
        </w:rPr>
        <w:t xml:space="preserve"> </w:t>
      </w:r>
      <w:r>
        <w:rPr>
          <w:rFonts w:ascii="Calibri Light" w:hAnsi="Calibri Light"/>
          <w:sz w:val="20"/>
        </w:rPr>
        <w:t>Groups—Observer</w:t>
      </w:r>
      <w:r>
        <w:rPr>
          <w:rFonts w:ascii="Calibri Light" w:hAnsi="Calibri Light"/>
          <w:spacing w:val="-3"/>
          <w:sz w:val="20"/>
        </w:rPr>
        <w:t xml:space="preserve"> </w:t>
      </w:r>
      <w:r>
        <w:rPr>
          <w:rFonts w:ascii="Calibri Light" w:hAnsi="Calibri Light"/>
          <w:sz w:val="20"/>
        </w:rPr>
        <w:t>Scales</w:t>
      </w:r>
      <w:r>
        <w:rPr>
          <w:rFonts w:ascii="Calibri Light" w:hAnsi="Calibri Light"/>
          <w:spacing w:val="-4"/>
          <w:sz w:val="20"/>
        </w:rPr>
        <w:t xml:space="preserve"> </w:t>
      </w:r>
      <w:r>
        <w:rPr>
          <w:rFonts w:ascii="Calibri Light" w:hAnsi="Calibri Light"/>
          <w:sz w:val="20"/>
        </w:rPr>
        <w:t>(AMIGOS).</w:t>
      </w:r>
      <w:r>
        <w:rPr>
          <w:rFonts w:ascii="Calibri Light" w:hAnsi="Calibri Light"/>
          <w:spacing w:val="-5"/>
          <w:sz w:val="20"/>
        </w:rPr>
        <w:t xml:space="preserve"> </w:t>
      </w:r>
      <w:r>
        <w:rPr>
          <w:rFonts w:ascii="Calibri Light" w:hAnsi="Calibri Light"/>
          <w:i/>
          <w:sz w:val="20"/>
        </w:rPr>
        <w:t>International</w:t>
      </w:r>
      <w:r>
        <w:rPr>
          <w:rFonts w:ascii="Calibri Light" w:hAnsi="Calibri Light"/>
          <w:i/>
          <w:spacing w:val="-5"/>
          <w:sz w:val="20"/>
        </w:rPr>
        <w:t xml:space="preserve"> </w:t>
      </w:r>
      <w:r>
        <w:rPr>
          <w:rFonts w:ascii="Calibri Light" w:hAnsi="Calibri Light"/>
          <w:i/>
          <w:sz w:val="20"/>
        </w:rPr>
        <w:t>Journal</w:t>
      </w:r>
      <w:r>
        <w:rPr>
          <w:rFonts w:ascii="Calibri Light" w:hAnsi="Calibri Light"/>
          <w:i/>
          <w:spacing w:val="-5"/>
          <w:sz w:val="20"/>
        </w:rPr>
        <w:t xml:space="preserve"> </w:t>
      </w:r>
      <w:r>
        <w:rPr>
          <w:rFonts w:ascii="Calibri Light" w:hAnsi="Calibri Light"/>
          <w:i/>
          <w:sz w:val="20"/>
        </w:rPr>
        <w:t>of</w:t>
      </w:r>
      <w:r>
        <w:rPr>
          <w:rFonts w:ascii="Calibri Light" w:hAnsi="Calibri Light"/>
          <w:i/>
          <w:spacing w:val="-4"/>
          <w:sz w:val="20"/>
        </w:rPr>
        <w:t xml:space="preserve"> </w:t>
      </w:r>
      <w:r>
        <w:rPr>
          <w:rFonts w:ascii="Calibri Light" w:hAnsi="Calibri Light"/>
          <w:i/>
          <w:sz w:val="20"/>
        </w:rPr>
        <w:t>Group</w:t>
      </w:r>
      <w:r>
        <w:rPr>
          <w:rFonts w:ascii="Calibri Light" w:hAnsi="Calibri Light"/>
          <w:i/>
          <w:spacing w:val="-4"/>
          <w:sz w:val="20"/>
        </w:rPr>
        <w:t xml:space="preserve"> </w:t>
      </w:r>
      <w:r>
        <w:rPr>
          <w:rFonts w:ascii="Calibri Light" w:hAnsi="Calibri Light"/>
          <w:i/>
          <w:sz w:val="20"/>
        </w:rPr>
        <w:t>Psychotherapy,</w:t>
      </w:r>
      <w:r>
        <w:rPr>
          <w:rFonts w:ascii="Calibri Light" w:hAnsi="Calibri Light"/>
          <w:i/>
          <w:spacing w:val="-5"/>
          <w:sz w:val="20"/>
        </w:rPr>
        <w:t xml:space="preserve"> </w:t>
      </w:r>
      <w:r>
        <w:rPr>
          <w:rFonts w:ascii="Calibri Light" w:hAnsi="Calibri Light"/>
          <w:i/>
          <w:sz w:val="20"/>
        </w:rPr>
        <w:t>68</w:t>
      </w:r>
      <w:r>
        <w:rPr>
          <w:rFonts w:ascii="Calibri Light" w:hAnsi="Calibri Light"/>
          <w:sz w:val="20"/>
        </w:rPr>
        <w:t>(1),</w:t>
      </w:r>
      <w:r>
        <w:rPr>
          <w:rFonts w:ascii="Calibri Light" w:hAnsi="Calibri Light"/>
          <w:spacing w:val="-5"/>
          <w:sz w:val="20"/>
        </w:rPr>
        <w:t xml:space="preserve"> </w:t>
      </w:r>
      <w:r>
        <w:rPr>
          <w:rFonts w:ascii="Calibri Light" w:hAnsi="Calibri Light"/>
          <w:sz w:val="20"/>
        </w:rPr>
        <w:t xml:space="preserve">69–79. </w:t>
      </w:r>
      <w:r>
        <w:rPr>
          <w:rFonts w:ascii="Calibri Light" w:hAnsi="Calibri Light"/>
          <w:spacing w:val="-2"/>
          <w:sz w:val="20"/>
        </w:rPr>
        <w:t>doi:10.1080/00207284.2017.1315587</w:t>
      </w:r>
    </w:p>
    <w:p w14:paraId="09C21C06" w14:textId="77777777" w:rsidR="00DB6E1F" w:rsidRDefault="00F666A6">
      <w:pPr>
        <w:spacing w:line="243" w:lineRule="exact"/>
        <w:ind w:left="1439"/>
        <w:rPr>
          <w:rFonts w:ascii="Calibri Light"/>
          <w:sz w:val="20"/>
        </w:rPr>
      </w:pPr>
      <w:r>
        <w:rPr>
          <w:rFonts w:ascii="Calibri Light"/>
          <w:sz w:val="20"/>
        </w:rPr>
        <w:t>Wagner,</w:t>
      </w:r>
      <w:r>
        <w:rPr>
          <w:rFonts w:ascii="Calibri Light"/>
          <w:spacing w:val="-4"/>
          <w:sz w:val="20"/>
        </w:rPr>
        <w:t xml:space="preserve"> </w:t>
      </w:r>
      <w:r>
        <w:rPr>
          <w:rFonts w:ascii="Calibri Light"/>
          <w:sz w:val="20"/>
        </w:rPr>
        <w:t>C.</w:t>
      </w:r>
      <w:r>
        <w:rPr>
          <w:rFonts w:ascii="Calibri Light"/>
          <w:spacing w:val="-4"/>
          <w:sz w:val="20"/>
        </w:rPr>
        <w:t xml:space="preserve"> </w:t>
      </w:r>
      <w:r>
        <w:rPr>
          <w:rFonts w:ascii="Calibri Light"/>
          <w:sz w:val="20"/>
        </w:rPr>
        <w:t>C.,</w:t>
      </w:r>
      <w:r>
        <w:rPr>
          <w:rFonts w:ascii="Calibri Light"/>
          <w:spacing w:val="-7"/>
          <w:sz w:val="20"/>
        </w:rPr>
        <w:t xml:space="preserve"> </w:t>
      </w:r>
      <w:r>
        <w:rPr>
          <w:rFonts w:ascii="Calibri Light"/>
          <w:sz w:val="20"/>
        </w:rPr>
        <w:t>&amp;</w:t>
      </w:r>
      <w:r>
        <w:rPr>
          <w:rFonts w:ascii="Calibri Light"/>
          <w:spacing w:val="-5"/>
          <w:sz w:val="20"/>
        </w:rPr>
        <w:t xml:space="preserve"> </w:t>
      </w:r>
      <w:r>
        <w:rPr>
          <w:rFonts w:ascii="Calibri Light"/>
          <w:sz w:val="20"/>
        </w:rPr>
        <w:t>Ingersoll,</w:t>
      </w:r>
      <w:r>
        <w:rPr>
          <w:rFonts w:ascii="Calibri Light"/>
          <w:spacing w:val="-6"/>
          <w:sz w:val="20"/>
        </w:rPr>
        <w:t xml:space="preserve"> </w:t>
      </w:r>
      <w:r>
        <w:rPr>
          <w:rFonts w:ascii="Calibri Light"/>
          <w:sz w:val="20"/>
        </w:rPr>
        <w:t>K.</w:t>
      </w:r>
      <w:r>
        <w:rPr>
          <w:rFonts w:ascii="Calibri Light"/>
          <w:spacing w:val="-7"/>
          <w:sz w:val="20"/>
        </w:rPr>
        <w:t xml:space="preserve"> </w:t>
      </w:r>
      <w:r>
        <w:rPr>
          <w:rFonts w:ascii="Calibri Light"/>
          <w:sz w:val="20"/>
        </w:rPr>
        <w:t>S.</w:t>
      </w:r>
      <w:r>
        <w:rPr>
          <w:rFonts w:ascii="Calibri Light"/>
          <w:spacing w:val="-6"/>
          <w:sz w:val="20"/>
        </w:rPr>
        <w:t xml:space="preserve"> </w:t>
      </w:r>
      <w:r>
        <w:rPr>
          <w:rFonts w:ascii="Calibri Light"/>
          <w:sz w:val="20"/>
        </w:rPr>
        <w:t>(2013).</w:t>
      </w:r>
      <w:r>
        <w:rPr>
          <w:rFonts w:ascii="Calibri Light"/>
          <w:spacing w:val="-4"/>
          <w:sz w:val="20"/>
        </w:rPr>
        <w:t xml:space="preserve"> </w:t>
      </w:r>
      <w:r>
        <w:rPr>
          <w:rFonts w:ascii="Calibri Light"/>
          <w:i/>
          <w:sz w:val="20"/>
        </w:rPr>
        <w:t>Motivational</w:t>
      </w:r>
      <w:r>
        <w:rPr>
          <w:rFonts w:ascii="Calibri Light"/>
          <w:i/>
          <w:spacing w:val="-7"/>
          <w:sz w:val="20"/>
        </w:rPr>
        <w:t xml:space="preserve"> </w:t>
      </w:r>
      <w:r>
        <w:rPr>
          <w:rFonts w:ascii="Calibri Light"/>
          <w:i/>
          <w:sz w:val="20"/>
        </w:rPr>
        <w:t>interviewing</w:t>
      </w:r>
      <w:r>
        <w:rPr>
          <w:rFonts w:ascii="Calibri Light"/>
          <w:i/>
          <w:spacing w:val="-6"/>
          <w:sz w:val="20"/>
        </w:rPr>
        <w:t xml:space="preserve"> </w:t>
      </w:r>
      <w:r>
        <w:rPr>
          <w:rFonts w:ascii="Calibri Light"/>
          <w:i/>
          <w:sz w:val="20"/>
        </w:rPr>
        <w:t>in</w:t>
      </w:r>
      <w:r>
        <w:rPr>
          <w:rFonts w:ascii="Calibri Light"/>
          <w:i/>
          <w:spacing w:val="-6"/>
          <w:sz w:val="20"/>
        </w:rPr>
        <w:t xml:space="preserve"> </w:t>
      </w:r>
      <w:r>
        <w:rPr>
          <w:rFonts w:ascii="Calibri Light"/>
          <w:i/>
          <w:sz w:val="20"/>
        </w:rPr>
        <w:t>groups</w:t>
      </w:r>
      <w:r>
        <w:rPr>
          <w:rFonts w:ascii="Calibri Light"/>
          <w:sz w:val="20"/>
        </w:rPr>
        <w:t>.</w:t>
      </w:r>
      <w:r>
        <w:rPr>
          <w:rFonts w:ascii="Calibri Light"/>
          <w:spacing w:val="-7"/>
          <w:sz w:val="20"/>
        </w:rPr>
        <w:t xml:space="preserve"> </w:t>
      </w:r>
      <w:r>
        <w:rPr>
          <w:rFonts w:ascii="Calibri Light"/>
          <w:sz w:val="20"/>
        </w:rPr>
        <w:t>New</w:t>
      </w:r>
      <w:r>
        <w:rPr>
          <w:rFonts w:ascii="Calibri Light"/>
          <w:spacing w:val="-5"/>
          <w:sz w:val="20"/>
        </w:rPr>
        <w:t xml:space="preserve"> </w:t>
      </w:r>
      <w:r>
        <w:rPr>
          <w:rFonts w:ascii="Calibri Light"/>
          <w:sz w:val="20"/>
        </w:rPr>
        <w:t>York,</w:t>
      </w:r>
      <w:r>
        <w:rPr>
          <w:rFonts w:ascii="Calibri Light"/>
          <w:spacing w:val="-7"/>
          <w:sz w:val="20"/>
        </w:rPr>
        <w:t xml:space="preserve"> </w:t>
      </w:r>
      <w:r>
        <w:rPr>
          <w:rFonts w:ascii="Calibri Light"/>
          <w:sz w:val="20"/>
        </w:rPr>
        <w:t>NY:</w:t>
      </w:r>
      <w:r>
        <w:rPr>
          <w:rFonts w:ascii="Calibri Light"/>
          <w:spacing w:val="-3"/>
          <w:sz w:val="20"/>
        </w:rPr>
        <w:t xml:space="preserve"> </w:t>
      </w:r>
      <w:r>
        <w:rPr>
          <w:rFonts w:ascii="Calibri Light"/>
          <w:sz w:val="20"/>
        </w:rPr>
        <w:t>Guilford</w:t>
      </w:r>
      <w:r>
        <w:rPr>
          <w:rFonts w:ascii="Calibri Light"/>
          <w:spacing w:val="-6"/>
          <w:sz w:val="20"/>
        </w:rPr>
        <w:t xml:space="preserve"> </w:t>
      </w:r>
      <w:r>
        <w:rPr>
          <w:rFonts w:ascii="Calibri Light"/>
          <w:spacing w:val="-2"/>
          <w:sz w:val="20"/>
        </w:rPr>
        <w:t>Press.</w:t>
      </w:r>
    </w:p>
    <w:p w14:paraId="76B9BE4F" w14:textId="77777777" w:rsidR="00DB6E1F" w:rsidRDefault="00F666A6">
      <w:pPr>
        <w:spacing w:before="17" w:line="259" w:lineRule="auto"/>
        <w:ind w:left="1620" w:right="1491" w:hanging="181"/>
        <w:rPr>
          <w:rFonts w:ascii="Calibri Light" w:hAnsi="Calibri Light"/>
          <w:sz w:val="20"/>
        </w:rPr>
      </w:pPr>
      <w:r>
        <w:rPr>
          <w:rFonts w:ascii="Calibri Light" w:hAnsi="Calibri Light"/>
          <w:sz w:val="20"/>
        </w:rPr>
        <w:t>Walker,</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D.,</w:t>
      </w:r>
      <w:r>
        <w:rPr>
          <w:rFonts w:ascii="Calibri Light" w:hAnsi="Calibri Light"/>
          <w:spacing w:val="-3"/>
          <w:sz w:val="20"/>
        </w:rPr>
        <w:t xml:space="preserve"> </w:t>
      </w:r>
      <w:r>
        <w:rPr>
          <w:rFonts w:ascii="Calibri Light" w:hAnsi="Calibri Light"/>
          <w:sz w:val="20"/>
        </w:rPr>
        <w:t>Walton, T.</w:t>
      </w:r>
      <w:r>
        <w:rPr>
          <w:rFonts w:ascii="Calibri Light" w:hAnsi="Calibri Light"/>
          <w:spacing w:val="-3"/>
          <w:sz w:val="20"/>
        </w:rPr>
        <w:t xml:space="preserve"> </w:t>
      </w:r>
      <w:r>
        <w:rPr>
          <w:rFonts w:ascii="Calibri Light" w:hAnsi="Calibri Light"/>
          <w:sz w:val="20"/>
        </w:rPr>
        <w:t>O.,</w:t>
      </w:r>
      <w:r>
        <w:rPr>
          <w:rFonts w:ascii="Calibri Light" w:hAnsi="Calibri Light"/>
          <w:spacing w:val="-3"/>
          <w:sz w:val="20"/>
        </w:rPr>
        <w:t xml:space="preserve"> </w:t>
      </w:r>
      <w:r>
        <w:rPr>
          <w:rFonts w:ascii="Calibri Light" w:hAnsi="Calibri Light"/>
          <w:sz w:val="20"/>
        </w:rPr>
        <w:t>Neighbors,</w:t>
      </w:r>
      <w:r>
        <w:rPr>
          <w:rFonts w:ascii="Calibri Light" w:hAnsi="Calibri Light"/>
          <w:spacing w:val="-3"/>
          <w:sz w:val="20"/>
        </w:rPr>
        <w:t xml:space="preserve"> </w:t>
      </w:r>
      <w:r>
        <w:rPr>
          <w:rFonts w:ascii="Calibri Light" w:hAnsi="Calibri Light"/>
          <w:sz w:val="20"/>
        </w:rPr>
        <w:t>C.,</w:t>
      </w:r>
      <w:r>
        <w:rPr>
          <w:rFonts w:ascii="Calibri Light" w:hAnsi="Calibri Light"/>
          <w:spacing w:val="-3"/>
          <w:sz w:val="20"/>
        </w:rPr>
        <w:t xml:space="preserve"> </w:t>
      </w:r>
      <w:r>
        <w:rPr>
          <w:rFonts w:ascii="Calibri Light" w:hAnsi="Calibri Light"/>
          <w:sz w:val="20"/>
        </w:rPr>
        <w:t>Kaysen, D., Mbilinyi,</w:t>
      </w:r>
      <w:r>
        <w:rPr>
          <w:rFonts w:ascii="Calibri Light" w:hAnsi="Calibri Light"/>
          <w:spacing w:val="-3"/>
          <w:sz w:val="20"/>
        </w:rPr>
        <w:t xml:space="preserve"> </w:t>
      </w:r>
      <w:r>
        <w:rPr>
          <w:rFonts w:ascii="Calibri Light" w:hAnsi="Calibri Light"/>
          <w:sz w:val="20"/>
        </w:rPr>
        <w:t>L., Darnell,</w:t>
      </w:r>
      <w:r>
        <w:rPr>
          <w:rFonts w:ascii="Calibri Light" w:hAnsi="Calibri Light"/>
          <w:spacing w:val="-3"/>
          <w:sz w:val="20"/>
        </w:rPr>
        <w:t xml:space="preserve"> </w:t>
      </w:r>
      <w:r>
        <w:rPr>
          <w:rFonts w:ascii="Calibri Light" w:hAnsi="Calibri Light"/>
          <w:sz w:val="20"/>
        </w:rPr>
        <w:t>J.,</w:t>
      </w:r>
      <w:r>
        <w:rPr>
          <w:rFonts w:ascii="Calibri Light" w:hAnsi="Calibri Light"/>
          <w:spacing w:val="-3"/>
          <w:sz w:val="20"/>
        </w:rPr>
        <w:t xml:space="preserve"> </w:t>
      </w:r>
      <w:r>
        <w:rPr>
          <w:rFonts w:ascii="Calibri Light" w:hAnsi="Calibri Light"/>
          <w:sz w:val="20"/>
        </w:rPr>
        <w:t>…</w:t>
      </w:r>
      <w:r>
        <w:rPr>
          <w:rFonts w:ascii="Calibri Light" w:hAnsi="Calibri Light"/>
          <w:spacing w:val="-1"/>
          <w:sz w:val="20"/>
        </w:rPr>
        <w:t xml:space="preserve"> </w:t>
      </w:r>
      <w:r>
        <w:rPr>
          <w:rFonts w:ascii="Calibri Light" w:hAnsi="Calibri Light"/>
          <w:sz w:val="20"/>
        </w:rPr>
        <w:t>Roffman, R.</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(2017).</w:t>
      </w:r>
      <w:r>
        <w:rPr>
          <w:rFonts w:ascii="Calibri Light" w:hAnsi="Calibri Light"/>
          <w:spacing w:val="-3"/>
          <w:sz w:val="20"/>
        </w:rPr>
        <w:t xml:space="preserve"> </w:t>
      </w:r>
      <w:r>
        <w:rPr>
          <w:rFonts w:ascii="Calibri Light" w:hAnsi="Calibri Light"/>
          <w:sz w:val="20"/>
        </w:rPr>
        <w:t xml:space="preserve">Randomized trial of motivational interviewing plus feedback for soldiers with untreated alcohol abuse. </w:t>
      </w:r>
      <w:r>
        <w:rPr>
          <w:rFonts w:ascii="Calibri Light" w:hAnsi="Calibri Light"/>
          <w:i/>
          <w:sz w:val="20"/>
        </w:rPr>
        <w:t>Journal of Consulting and Clinical Psychology, 85</w:t>
      </w:r>
      <w:r>
        <w:rPr>
          <w:rFonts w:ascii="Calibri Light" w:hAnsi="Calibri Light"/>
          <w:sz w:val="20"/>
        </w:rPr>
        <w:t>(2), 99–110. doi:10.1037/ccp0000148</w:t>
      </w:r>
    </w:p>
    <w:p w14:paraId="4EC6DC60" w14:textId="77777777" w:rsidR="00DB6E1F" w:rsidRDefault="00F666A6">
      <w:pPr>
        <w:spacing w:line="259" w:lineRule="auto"/>
        <w:ind w:left="1619" w:right="1491" w:hanging="180"/>
        <w:rPr>
          <w:rFonts w:ascii="Calibri Light"/>
          <w:sz w:val="20"/>
        </w:rPr>
      </w:pPr>
      <w:r>
        <w:rPr>
          <w:rFonts w:ascii="Calibri Light"/>
          <w:sz w:val="20"/>
        </w:rPr>
        <w:t>White,</w:t>
      </w:r>
      <w:r>
        <w:rPr>
          <w:rFonts w:ascii="Calibri Light"/>
          <w:spacing w:val="-3"/>
          <w:sz w:val="20"/>
        </w:rPr>
        <w:t xml:space="preserve"> </w:t>
      </w:r>
      <w:r>
        <w:rPr>
          <w:rFonts w:ascii="Calibri Light"/>
          <w:sz w:val="20"/>
        </w:rPr>
        <w:t>W.</w:t>
      </w:r>
      <w:r>
        <w:rPr>
          <w:rFonts w:ascii="Calibri Light"/>
          <w:spacing w:val="-3"/>
          <w:sz w:val="20"/>
        </w:rPr>
        <w:t xml:space="preserve"> </w:t>
      </w:r>
      <w:r>
        <w:rPr>
          <w:rFonts w:ascii="Calibri Light"/>
          <w:sz w:val="20"/>
        </w:rPr>
        <w:t>L.</w:t>
      </w:r>
      <w:r>
        <w:rPr>
          <w:rFonts w:ascii="Calibri Light"/>
          <w:spacing w:val="-3"/>
          <w:sz w:val="20"/>
        </w:rPr>
        <w:t xml:space="preserve"> </w:t>
      </w:r>
      <w:r>
        <w:rPr>
          <w:rFonts w:ascii="Calibri Light"/>
          <w:sz w:val="20"/>
        </w:rPr>
        <w:t>(2014).</w:t>
      </w:r>
      <w:r>
        <w:rPr>
          <w:rFonts w:ascii="Calibri Light"/>
          <w:spacing w:val="-3"/>
          <w:sz w:val="20"/>
        </w:rPr>
        <w:t xml:space="preserve"> </w:t>
      </w:r>
      <w:r>
        <w:rPr>
          <w:rFonts w:ascii="Calibri Light"/>
          <w:i/>
          <w:sz w:val="20"/>
        </w:rPr>
        <w:t>Slaying</w:t>
      </w:r>
      <w:r>
        <w:rPr>
          <w:rFonts w:ascii="Calibri Light"/>
          <w:i/>
          <w:spacing w:val="-2"/>
          <w:sz w:val="20"/>
        </w:rPr>
        <w:t xml:space="preserve"> </w:t>
      </w:r>
      <w:r>
        <w:rPr>
          <w:rFonts w:ascii="Calibri Light"/>
          <w:i/>
          <w:sz w:val="20"/>
        </w:rPr>
        <w:t>the</w:t>
      </w:r>
      <w:r>
        <w:rPr>
          <w:rFonts w:ascii="Calibri Light"/>
          <w:i/>
          <w:spacing w:val="-2"/>
          <w:sz w:val="20"/>
        </w:rPr>
        <w:t xml:space="preserve"> </w:t>
      </w:r>
      <w:r>
        <w:rPr>
          <w:rFonts w:ascii="Calibri Light"/>
          <w:i/>
          <w:sz w:val="20"/>
        </w:rPr>
        <w:t>dragon:</w:t>
      </w:r>
      <w:r>
        <w:rPr>
          <w:rFonts w:ascii="Calibri Light"/>
          <w:i/>
          <w:spacing w:val="-2"/>
          <w:sz w:val="20"/>
        </w:rPr>
        <w:t xml:space="preserve"> </w:t>
      </w:r>
      <w:r>
        <w:rPr>
          <w:rFonts w:ascii="Calibri Light"/>
          <w:i/>
          <w:sz w:val="20"/>
        </w:rPr>
        <w:t>The</w:t>
      </w:r>
      <w:r>
        <w:rPr>
          <w:rFonts w:ascii="Calibri Light"/>
          <w:i/>
          <w:spacing w:val="-2"/>
          <w:sz w:val="20"/>
        </w:rPr>
        <w:t xml:space="preserve"> </w:t>
      </w:r>
      <w:r>
        <w:rPr>
          <w:rFonts w:ascii="Calibri Light"/>
          <w:i/>
          <w:sz w:val="20"/>
        </w:rPr>
        <w:t>history</w:t>
      </w:r>
      <w:r>
        <w:rPr>
          <w:rFonts w:ascii="Calibri Light"/>
          <w:i/>
          <w:spacing w:val="-2"/>
          <w:sz w:val="20"/>
        </w:rPr>
        <w:t xml:space="preserve"> </w:t>
      </w:r>
      <w:r>
        <w:rPr>
          <w:rFonts w:ascii="Calibri Light"/>
          <w:i/>
          <w:sz w:val="20"/>
        </w:rPr>
        <w:t>of</w:t>
      </w:r>
      <w:r>
        <w:rPr>
          <w:rFonts w:ascii="Calibri Light"/>
          <w:i/>
          <w:spacing w:val="-2"/>
          <w:sz w:val="20"/>
        </w:rPr>
        <w:t xml:space="preserve"> </w:t>
      </w:r>
      <w:r>
        <w:rPr>
          <w:rFonts w:ascii="Calibri Light"/>
          <w:i/>
          <w:sz w:val="20"/>
        </w:rPr>
        <w:t>addiction</w:t>
      </w:r>
      <w:r>
        <w:rPr>
          <w:rFonts w:ascii="Calibri Light"/>
          <w:i/>
          <w:spacing w:val="-2"/>
          <w:sz w:val="20"/>
        </w:rPr>
        <w:t xml:space="preserve"> </w:t>
      </w:r>
      <w:r>
        <w:rPr>
          <w:rFonts w:ascii="Calibri Light"/>
          <w:i/>
          <w:sz w:val="20"/>
        </w:rPr>
        <w:t>treatment</w:t>
      </w:r>
      <w:r>
        <w:rPr>
          <w:rFonts w:ascii="Calibri Light"/>
          <w:i/>
          <w:spacing w:val="-3"/>
          <w:sz w:val="20"/>
        </w:rPr>
        <w:t xml:space="preserve"> </w:t>
      </w:r>
      <w:r>
        <w:rPr>
          <w:rFonts w:ascii="Calibri Light"/>
          <w:i/>
          <w:sz w:val="20"/>
        </w:rPr>
        <w:t>and</w:t>
      </w:r>
      <w:r>
        <w:rPr>
          <w:rFonts w:ascii="Calibri Light"/>
          <w:i/>
          <w:spacing w:val="-2"/>
          <w:sz w:val="20"/>
        </w:rPr>
        <w:t xml:space="preserve"> </w:t>
      </w:r>
      <w:r>
        <w:rPr>
          <w:rFonts w:ascii="Calibri Light"/>
          <w:i/>
          <w:sz w:val="20"/>
        </w:rPr>
        <w:t>recovery</w:t>
      </w:r>
      <w:r>
        <w:rPr>
          <w:rFonts w:ascii="Calibri Light"/>
          <w:i/>
          <w:spacing w:val="-1"/>
          <w:sz w:val="20"/>
        </w:rPr>
        <w:t xml:space="preserve"> </w:t>
      </w:r>
      <w:r>
        <w:rPr>
          <w:rFonts w:ascii="Calibri Light"/>
          <w:i/>
          <w:sz w:val="20"/>
        </w:rPr>
        <w:t>in</w:t>
      </w:r>
      <w:r>
        <w:rPr>
          <w:rFonts w:ascii="Calibri Light"/>
          <w:i/>
          <w:spacing w:val="-1"/>
          <w:sz w:val="20"/>
        </w:rPr>
        <w:t xml:space="preserve"> </w:t>
      </w:r>
      <w:r>
        <w:rPr>
          <w:rFonts w:ascii="Calibri Light"/>
          <w:i/>
          <w:sz w:val="20"/>
        </w:rPr>
        <w:t>America</w:t>
      </w:r>
      <w:r>
        <w:rPr>
          <w:rFonts w:ascii="Calibri Light"/>
          <w:i/>
          <w:spacing w:val="-2"/>
          <w:sz w:val="20"/>
        </w:rPr>
        <w:t xml:space="preserve"> </w:t>
      </w:r>
      <w:r>
        <w:rPr>
          <w:rFonts w:ascii="Calibri Light"/>
          <w:sz w:val="20"/>
        </w:rPr>
        <w:t>(2nd</w:t>
      </w:r>
      <w:r>
        <w:rPr>
          <w:rFonts w:ascii="Calibri Light"/>
          <w:spacing w:val="-2"/>
          <w:sz w:val="20"/>
        </w:rPr>
        <w:t xml:space="preserve"> </w:t>
      </w:r>
      <w:r>
        <w:rPr>
          <w:rFonts w:ascii="Calibri Light"/>
          <w:sz w:val="20"/>
        </w:rPr>
        <w:t>ed.). Bloomington, IL: Chestnut Health Systems/Lighthouse Institute.</w:t>
      </w:r>
    </w:p>
    <w:p w14:paraId="3E013C7F" w14:textId="77777777" w:rsidR="00DB6E1F" w:rsidRDefault="00F666A6">
      <w:pPr>
        <w:spacing w:line="259" w:lineRule="auto"/>
        <w:ind w:left="1619" w:right="1491" w:hanging="181"/>
        <w:rPr>
          <w:rFonts w:ascii="Calibri Light" w:hAnsi="Calibri Light"/>
          <w:sz w:val="20"/>
        </w:rPr>
      </w:pPr>
      <w:r>
        <w:rPr>
          <w:rFonts w:ascii="Calibri Light" w:hAnsi="Calibri Light"/>
          <w:sz w:val="20"/>
        </w:rPr>
        <w:t>White,</w:t>
      </w:r>
      <w:r>
        <w:rPr>
          <w:rFonts w:ascii="Calibri Light" w:hAnsi="Calibri Light"/>
          <w:spacing w:val="-4"/>
          <w:sz w:val="20"/>
        </w:rPr>
        <w:t xml:space="preserve"> </w:t>
      </w:r>
      <w:r>
        <w:rPr>
          <w:rFonts w:ascii="Calibri Light" w:hAnsi="Calibri Light"/>
          <w:sz w:val="20"/>
        </w:rPr>
        <w:t>W.,</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Miller,</w:t>
      </w:r>
      <w:r>
        <w:rPr>
          <w:rFonts w:ascii="Calibri Light" w:hAnsi="Calibri Light"/>
          <w:spacing w:val="-1"/>
          <w:sz w:val="20"/>
        </w:rPr>
        <w:t xml:space="preserve"> </w:t>
      </w:r>
      <w:r>
        <w:rPr>
          <w:rFonts w:ascii="Calibri Light" w:hAnsi="Calibri Light"/>
          <w:sz w:val="20"/>
        </w:rPr>
        <w:t>W.</w:t>
      </w:r>
      <w:r>
        <w:rPr>
          <w:rFonts w:ascii="Calibri Light" w:hAnsi="Calibri Light"/>
          <w:spacing w:val="-4"/>
          <w:sz w:val="20"/>
        </w:rPr>
        <w:t xml:space="preserve"> </w:t>
      </w:r>
      <w:r>
        <w:rPr>
          <w:rFonts w:ascii="Calibri Light" w:hAnsi="Calibri Light"/>
          <w:sz w:val="20"/>
        </w:rPr>
        <w:t>(2007).</w:t>
      </w:r>
      <w:r>
        <w:rPr>
          <w:rFonts w:ascii="Calibri Light" w:hAnsi="Calibri Light"/>
          <w:spacing w:val="-4"/>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use</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confrontation</w:t>
      </w:r>
      <w:r>
        <w:rPr>
          <w:rFonts w:ascii="Calibri Light" w:hAnsi="Calibri Light"/>
          <w:spacing w:val="-1"/>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addiction</w:t>
      </w:r>
      <w:r>
        <w:rPr>
          <w:rFonts w:ascii="Calibri Light" w:hAnsi="Calibri Light"/>
          <w:spacing w:val="-3"/>
          <w:sz w:val="20"/>
        </w:rPr>
        <w:t xml:space="preserve"> </w:t>
      </w:r>
      <w:r>
        <w:rPr>
          <w:rFonts w:ascii="Calibri Light" w:hAnsi="Calibri Light"/>
          <w:sz w:val="20"/>
        </w:rPr>
        <w:t>treatment:</w:t>
      </w:r>
      <w:r>
        <w:rPr>
          <w:rFonts w:ascii="Calibri Light" w:hAnsi="Calibri Light"/>
          <w:spacing w:val="-3"/>
          <w:sz w:val="20"/>
        </w:rPr>
        <w:t xml:space="preserve"> </w:t>
      </w:r>
      <w:r>
        <w:rPr>
          <w:rFonts w:ascii="Calibri Light" w:hAnsi="Calibri Light"/>
          <w:sz w:val="20"/>
        </w:rPr>
        <w:t>History,</w:t>
      </w:r>
      <w:r>
        <w:rPr>
          <w:rFonts w:ascii="Calibri Light" w:hAnsi="Calibri Light"/>
          <w:spacing w:val="-4"/>
          <w:sz w:val="20"/>
        </w:rPr>
        <w:t xml:space="preserve"> </w:t>
      </w:r>
      <w:r>
        <w:rPr>
          <w:rFonts w:ascii="Calibri Light" w:hAnsi="Calibri Light"/>
          <w:sz w:val="20"/>
        </w:rPr>
        <w:t>science</w:t>
      </w:r>
      <w:r>
        <w:rPr>
          <w:rFonts w:ascii="Calibri Light" w:hAnsi="Calibri Light"/>
          <w:spacing w:val="-1"/>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time</w:t>
      </w:r>
      <w:r>
        <w:rPr>
          <w:rFonts w:ascii="Calibri Light" w:hAnsi="Calibri Light"/>
          <w:spacing w:val="-3"/>
          <w:sz w:val="20"/>
        </w:rPr>
        <w:t xml:space="preserve"> </w:t>
      </w:r>
      <w:r>
        <w:rPr>
          <w:rFonts w:ascii="Calibri Light" w:hAnsi="Calibri Light"/>
          <w:sz w:val="20"/>
        </w:rPr>
        <w:t xml:space="preserve">for change. </w:t>
      </w:r>
      <w:r>
        <w:rPr>
          <w:rFonts w:ascii="Calibri Light" w:hAnsi="Calibri Light"/>
          <w:i/>
          <w:sz w:val="20"/>
        </w:rPr>
        <w:t>Counselor, 8</w:t>
      </w:r>
      <w:r>
        <w:rPr>
          <w:rFonts w:ascii="Calibri Light" w:hAnsi="Calibri Light"/>
          <w:sz w:val="20"/>
        </w:rPr>
        <w:t>(4), 12–30.</w:t>
      </w:r>
    </w:p>
    <w:p w14:paraId="507AA402" w14:textId="77777777" w:rsidR="00DB6E1F" w:rsidRDefault="00F666A6">
      <w:pPr>
        <w:spacing w:line="259" w:lineRule="auto"/>
        <w:ind w:left="1619" w:right="1491" w:hanging="180"/>
        <w:rPr>
          <w:rFonts w:ascii="Calibri Light" w:hAnsi="Calibri Light"/>
          <w:sz w:val="20"/>
        </w:rPr>
      </w:pPr>
      <w:r>
        <w:rPr>
          <w:rFonts w:ascii="Calibri Light" w:hAnsi="Calibri Light"/>
          <w:sz w:val="20"/>
        </w:rPr>
        <w:t>Wild, T. C., Yuan, Y., Rush, B. R., &amp; Urbanoski, K. A. (2016). Client engagement in legally mandated addiction treatment:</w:t>
      </w:r>
      <w:r>
        <w:rPr>
          <w:rFonts w:ascii="Calibri Light" w:hAnsi="Calibri Light"/>
          <w:spacing w:val="-3"/>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prospective</w:t>
      </w:r>
      <w:r>
        <w:rPr>
          <w:rFonts w:ascii="Calibri Light" w:hAnsi="Calibri Light"/>
          <w:spacing w:val="-3"/>
          <w:sz w:val="20"/>
        </w:rPr>
        <w:t xml:space="preserve"> </w:t>
      </w:r>
      <w:r>
        <w:rPr>
          <w:rFonts w:ascii="Calibri Light" w:hAnsi="Calibri Light"/>
          <w:sz w:val="20"/>
        </w:rPr>
        <w:t>study</w:t>
      </w:r>
      <w:r>
        <w:rPr>
          <w:rFonts w:ascii="Calibri Light" w:hAnsi="Calibri Light"/>
          <w:spacing w:val="-2"/>
          <w:sz w:val="20"/>
        </w:rPr>
        <w:t xml:space="preserve"> </w:t>
      </w:r>
      <w:r>
        <w:rPr>
          <w:rFonts w:ascii="Calibri Light" w:hAnsi="Calibri Light"/>
          <w:sz w:val="20"/>
        </w:rPr>
        <w:t>using</w:t>
      </w:r>
      <w:r>
        <w:rPr>
          <w:rFonts w:ascii="Calibri Light" w:hAnsi="Calibri Light"/>
          <w:spacing w:val="-3"/>
          <w:sz w:val="20"/>
        </w:rPr>
        <w:t xml:space="preserve"> </w:t>
      </w:r>
      <w:r>
        <w:rPr>
          <w:rFonts w:ascii="Calibri Light" w:hAnsi="Calibri Light"/>
          <w:sz w:val="20"/>
        </w:rPr>
        <w:t>self-determination</w:t>
      </w:r>
      <w:r>
        <w:rPr>
          <w:rFonts w:ascii="Calibri Light" w:hAnsi="Calibri Light"/>
          <w:spacing w:val="-3"/>
          <w:sz w:val="20"/>
        </w:rPr>
        <w:t xml:space="preserve"> </w:t>
      </w:r>
      <w:r>
        <w:rPr>
          <w:rFonts w:ascii="Calibri Light" w:hAnsi="Calibri Light"/>
          <w:sz w:val="20"/>
        </w:rPr>
        <w:t>theory.</w:t>
      </w:r>
      <w:r>
        <w:rPr>
          <w:rFonts w:ascii="Calibri Light" w:hAnsi="Calibri Light"/>
          <w:spacing w:val="-4"/>
          <w:sz w:val="20"/>
        </w:rPr>
        <w:t xml:space="preserve"> </w:t>
      </w:r>
      <w:r>
        <w:rPr>
          <w:rFonts w:ascii="Calibri Light" w:hAnsi="Calibri Light"/>
          <w:i/>
          <w:sz w:val="20"/>
        </w:rPr>
        <w:t>Journal</w:t>
      </w:r>
      <w:r>
        <w:rPr>
          <w:rFonts w:ascii="Calibri Light" w:hAnsi="Calibri Light"/>
          <w:i/>
          <w:spacing w:val="-4"/>
          <w:sz w:val="20"/>
        </w:rPr>
        <w:t xml:space="preserve"> </w:t>
      </w:r>
      <w:r>
        <w:rPr>
          <w:rFonts w:ascii="Calibri Light" w:hAnsi="Calibri Light"/>
          <w:i/>
          <w:sz w:val="20"/>
        </w:rPr>
        <w:t>of</w:t>
      </w:r>
      <w:r>
        <w:rPr>
          <w:rFonts w:ascii="Calibri Light" w:hAnsi="Calibri Light"/>
          <w:i/>
          <w:spacing w:val="-3"/>
          <w:sz w:val="20"/>
        </w:rPr>
        <w:t xml:space="preserve"> </w:t>
      </w:r>
      <w:r>
        <w:rPr>
          <w:rFonts w:ascii="Calibri Light" w:hAnsi="Calibri Light"/>
          <w:i/>
          <w:sz w:val="20"/>
        </w:rPr>
        <w:t>Substance</w:t>
      </w:r>
      <w:r>
        <w:rPr>
          <w:rFonts w:ascii="Calibri Light" w:hAnsi="Calibri Light"/>
          <w:i/>
          <w:spacing w:val="-3"/>
          <w:sz w:val="20"/>
        </w:rPr>
        <w:t xml:space="preserve"> </w:t>
      </w:r>
      <w:r>
        <w:rPr>
          <w:rFonts w:ascii="Calibri Light" w:hAnsi="Calibri Light"/>
          <w:i/>
          <w:sz w:val="20"/>
        </w:rPr>
        <w:t>Abuse</w:t>
      </w:r>
      <w:r>
        <w:rPr>
          <w:rFonts w:ascii="Calibri Light" w:hAnsi="Calibri Light"/>
          <w:i/>
          <w:spacing w:val="-3"/>
          <w:sz w:val="20"/>
        </w:rPr>
        <w:t xml:space="preserve"> </w:t>
      </w:r>
      <w:r>
        <w:rPr>
          <w:rFonts w:ascii="Calibri Light" w:hAnsi="Calibri Light"/>
          <w:i/>
          <w:sz w:val="20"/>
        </w:rPr>
        <w:t>Treatment</w:t>
      </w:r>
      <w:r>
        <w:rPr>
          <w:rFonts w:ascii="Calibri Light" w:hAnsi="Calibri Light"/>
          <w:sz w:val="20"/>
        </w:rPr>
        <w:t>,</w:t>
      </w:r>
      <w:r>
        <w:rPr>
          <w:rFonts w:ascii="Calibri Light" w:hAnsi="Calibri Light"/>
          <w:spacing w:val="-4"/>
          <w:sz w:val="20"/>
        </w:rPr>
        <w:t xml:space="preserve"> </w:t>
      </w:r>
      <w:r>
        <w:rPr>
          <w:rFonts w:ascii="Calibri Light" w:hAnsi="Calibri Light"/>
          <w:i/>
          <w:sz w:val="20"/>
        </w:rPr>
        <w:t>69</w:t>
      </w:r>
      <w:r>
        <w:rPr>
          <w:rFonts w:ascii="Calibri Light" w:hAnsi="Calibri Light"/>
          <w:sz w:val="20"/>
        </w:rPr>
        <w:t>,</w:t>
      </w:r>
      <w:r>
        <w:rPr>
          <w:rFonts w:ascii="Calibri Light" w:hAnsi="Calibri Light"/>
          <w:spacing w:val="-1"/>
          <w:sz w:val="20"/>
        </w:rPr>
        <w:t xml:space="preserve"> </w:t>
      </w:r>
      <w:r>
        <w:rPr>
          <w:rFonts w:ascii="Calibri Light" w:hAnsi="Calibri Light"/>
          <w:sz w:val="20"/>
        </w:rPr>
        <w:t>35– 43. doi:10.1016/j.jsat.2016.06.006</w:t>
      </w:r>
    </w:p>
    <w:p w14:paraId="0BF2D2B2" w14:textId="77777777" w:rsidR="00DB6E1F" w:rsidRDefault="00F666A6">
      <w:pPr>
        <w:spacing w:line="259" w:lineRule="auto"/>
        <w:ind w:left="1619" w:right="1491" w:hanging="180"/>
        <w:rPr>
          <w:rFonts w:ascii="Calibri Light" w:hAnsi="Calibri Light"/>
          <w:sz w:val="20"/>
        </w:rPr>
      </w:pPr>
      <w:r>
        <w:rPr>
          <w:rFonts w:ascii="Calibri Light" w:hAnsi="Calibri Light"/>
          <w:sz w:val="20"/>
        </w:rPr>
        <w:t>Witkiewitz,</w:t>
      </w:r>
      <w:r>
        <w:rPr>
          <w:rFonts w:ascii="Calibri Light" w:hAnsi="Calibri Light"/>
          <w:spacing w:val="-4"/>
          <w:sz w:val="20"/>
        </w:rPr>
        <w:t xml:space="preserve"> </w:t>
      </w:r>
      <w:r>
        <w:rPr>
          <w:rFonts w:ascii="Calibri Light" w:hAnsi="Calibri Light"/>
          <w:sz w:val="20"/>
        </w:rPr>
        <w:t>K.,</w:t>
      </w:r>
      <w:r>
        <w:rPr>
          <w:rFonts w:ascii="Calibri Light" w:hAnsi="Calibri Light"/>
          <w:spacing w:val="-4"/>
          <w:sz w:val="20"/>
        </w:rPr>
        <w:t xml:space="preserve"> </w:t>
      </w:r>
      <w:r>
        <w:rPr>
          <w:rFonts w:ascii="Calibri Light" w:hAnsi="Calibri Light"/>
          <w:sz w:val="20"/>
        </w:rPr>
        <w:t>&amp;</w:t>
      </w:r>
      <w:r>
        <w:rPr>
          <w:rFonts w:ascii="Calibri Light" w:hAnsi="Calibri Light"/>
          <w:spacing w:val="-2"/>
          <w:sz w:val="20"/>
        </w:rPr>
        <w:t xml:space="preserve"> </w:t>
      </w:r>
      <w:r>
        <w:rPr>
          <w:rFonts w:ascii="Calibri Light" w:hAnsi="Calibri Light"/>
          <w:sz w:val="20"/>
        </w:rPr>
        <w:t>Marlatt,</w:t>
      </w:r>
      <w:r>
        <w:rPr>
          <w:rFonts w:ascii="Calibri Light" w:hAnsi="Calibri Light"/>
          <w:spacing w:val="-4"/>
          <w:sz w:val="20"/>
        </w:rPr>
        <w:t xml:space="preserve"> </w:t>
      </w:r>
      <w:r>
        <w:rPr>
          <w:rFonts w:ascii="Calibri Light" w:hAnsi="Calibri Light"/>
          <w:sz w:val="20"/>
        </w:rPr>
        <w:t>G.</w:t>
      </w:r>
      <w:r>
        <w:rPr>
          <w:rFonts w:ascii="Calibri Light" w:hAnsi="Calibri Light"/>
          <w:spacing w:val="-4"/>
          <w:sz w:val="20"/>
        </w:rPr>
        <w:t xml:space="preserve"> </w:t>
      </w:r>
      <w:r>
        <w:rPr>
          <w:rFonts w:ascii="Calibri Light" w:hAnsi="Calibri Light"/>
          <w:sz w:val="20"/>
        </w:rPr>
        <w:t>A.</w:t>
      </w:r>
      <w:r>
        <w:rPr>
          <w:rFonts w:ascii="Calibri Light" w:hAnsi="Calibri Light"/>
          <w:spacing w:val="-1"/>
          <w:sz w:val="20"/>
        </w:rPr>
        <w:t xml:space="preserve"> </w:t>
      </w:r>
      <w:r>
        <w:rPr>
          <w:rFonts w:ascii="Calibri Light" w:hAnsi="Calibri Light"/>
          <w:sz w:val="20"/>
        </w:rPr>
        <w:t>(Eds.).</w:t>
      </w:r>
      <w:r>
        <w:rPr>
          <w:rFonts w:ascii="Calibri Light" w:hAnsi="Calibri Light"/>
          <w:spacing w:val="-4"/>
          <w:sz w:val="20"/>
        </w:rPr>
        <w:t xml:space="preserve"> </w:t>
      </w:r>
      <w:r>
        <w:rPr>
          <w:rFonts w:ascii="Calibri Light" w:hAnsi="Calibri Light"/>
          <w:sz w:val="20"/>
        </w:rPr>
        <w:t>(2007).</w:t>
      </w:r>
      <w:r>
        <w:rPr>
          <w:rFonts w:ascii="Calibri Light" w:hAnsi="Calibri Light"/>
          <w:spacing w:val="-4"/>
          <w:sz w:val="20"/>
        </w:rPr>
        <w:t xml:space="preserve"> </w:t>
      </w:r>
      <w:r>
        <w:rPr>
          <w:rFonts w:ascii="Calibri Light" w:hAnsi="Calibri Light"/>
          <w:i/>
          <w:sz w:val="20"/>
        </w:rPr>
        <w:t>Therapist’s</w:t>
      </w:r>
      <w:r>
        <w:rPr>
          <w:rFonts w:ascii="Calibri Light" w:hAnsi="Calibri Light"/>
          <w:i/>
          <w:spacing w:val="-1"/>
          <w:sz w:val="20"/>
        </w:rPr>
        <w:t xml:space="preserve"> </w:t>
      </w:r>
      <w:r>
        <w:rPr>
          <w:rFonts w:ascii="Calibri Light" w:hAnsi="Calibri Light"/>
          <w:i/>
          <w:sz w:val="20"/>
        </w:rPr>
        <w:t>guide</w:t>
      </w:r>
      <w:r>
        <w:rPr>
          <w:rFonts w:ascii="Calibri Light" w:hAnsi="Calibri Light"/>
          <w:i/>
          <w:spacing w:val="-3"/>
          <w:sz w:val="20"/>
        </w:rPr>
        <w:t xml:space="preserve"> </w:t>
      </w:r>
      <w:r>
        <w:rPr>
          <w:rFonts w:ascii="Calibri Light" w:hAnsi="Calibri Light"/>
          <w:i/>
          <w:sz w:val="20"/>
        </w:rPr>
        <w:t>to</w:t>
      </w:r>
      <w:r>
        <w:rPr>
          <w:rFonts w:ascii="Calibri Light" w:hAnsi="Calibri Light"/>
          <w:i/>
          <w:spacing w:val="-3"/>
          <w:sz w:val="20"/>
        </w:rPr>
        <w:t xml:space="preserve"> </w:t>
      </w:r>
      <w:r>
        <w:rPr>
          <w:rFonts w:ascii="Calibri Light" w:hAnsi="Calibri Light"/>
          <w:i/>
          <w:sz w:val="20"/>
        </w:rPr>
        <w:t>evidence-based</w:t>
      </w:r>
      <w:r>
        <w:rPr>
          <w:rFonts w:ascii="Calibri Light" w:hAnsi="Calibri Light"/>
          <w:i/>
          <w:spacing w:val="-3"/>
          <w:sz w:val="20"/>
        </w:rPr>
        <w:t xml:space="preserve"> </w:t>
      </w:r>
      <w:r>
        <w:rPr>
          <w:rFonts w:ascii="Calibri Light" w:hAnsi="Calibri Light"/>
          <w:i/>
          <w:sz w:val="20"/>
        </w:rPr>
        <w:t>relapse</w:t>
      </w:r>
      <w:r>
        <w:rPr>
          <w:rFonts w:ascii="Calibri Light" w:hAnsi="Calibri Light"/>
          <w:i/>
          <w:spacing w:val="-1"/>
          <w:sz w:val="20"/>
        </w:rPr>
        <w:t xml:space="preserve"> </w:t>
      </w:r>
      <w:r>
        <w:rPr>
          <w:rFonts w:ascii="Calibri Light" w:hAnsi="Calibri Light"/>
          <w:i/>
          <w:sz w:val="20"/>
        </w:rPr>
        <w:t>prevention.</w:t>
      </w:r>
      <w:r>
        <w:rPr>
          <w:rFonts w:ascii="Calibri Light" w:hAnsi="Calibri Light"/>
          <w:i/>
          <w:spacing w:val="-4"/>
          <w:sz w:val="20"/>
        </w:rPr>
        <w:t xml:space="preserve"> </w:t>
      </w:r>
      <w:r>
        <w:rPr>
          <w:rFonts w:ascii="Calibri Light" w:hAnsi="Calibri Light"/>
          <w:sz w:val="20"/>
        </w:rPr>
        <w:t>Boston,</w:t>
      </w:r>
      <w:r>
        <w:rPr>
          <w:rFonts w:ascii="Calibri Light" w:hAnsi="Calibri Light"/>
          <w:spacing w:val="-4"/>
          <w:sz w:val="20"/>
        </w:rPr>
        <w:t xml:space="preserve"> </w:t>
      </w:r>
      <w:r>
        <w:rPr>
          <w:rFonts w:ascii="Calibri Light" w:hAnsi="Calibri Light"/>
          <w:sz w:val="20"/>
        </w:rPr>
        <w:t>MA: Elsevier Academic Press.</w:t>
      </w:r>
    </w:p>
    <w:p w14:paraId="7D89B4B4" w14:textId="77777777" w:rsidR="00DB6E1F" w:rsidRDefault="00F666A6">
      <w:pPr>
        <w:spacing w:line="259" w:lineRule="auto"/>
        <w:ind w:left="1619" w:right="1491" w:hanging="180"/>
        <w:rPr>
          <w:rFonts w:ascii="Calibri Light" w:hAnsi="Calibri Light"/>
          <w:sz w:val="20"/>
        </w:rPr>
      </w:pPr>
      <w:r>
        <w:rPr>
          <w:rFonts w:ascii="Calibri Light" w:hAnsi="Calibri Light"/>
          <w:sz w:val="20"/>
        </w:rPr>
        <w:t>Wong-Anuchit, C., Chantamit-O-Pas, C., Schneider, J. K., &amp; Mills, A. C. (2018). Motivational interviewing–based compliance/adherence</w:t>
      </w:r>
      <w:r>
        <w:rPr>
          <w:rFonts w:ascii="Calibri Light" w:hAnsi="Calibri Light"/>
          <w:spacing w:val="-4"/>
          <w:sz w:val="20"/>
        </w:rPr>
        <w:t xml:space="preserve"> </w:t>
      </w:r>
      <w:r>
        <w:rPr>
          <w:rFonts w:ascii="Calibri Light" w:hAnsi="Calibri Light"/>
          <w:sz w:val="20"/>
        </w:rPr>
        <w:t>therapy</w:t>
      </w:r>
      <w:r>
        <w:rPr>
          <w:rFonts w:ascii="Calibri Light" w:hAnsi="Calibri Light"/>
          <w:spacing w:val="-3"/>
          <w:sz w:val="20"/>
        </w:rPr>
        <w:t xml:space="preserve"> </w:t>
      </w:r>
      <w:r>
        <w:rPr>
          <w:rFonts w:ascii="Calibri Light" w:hAnsi="Calibri Light"/>
          <w:sz w:val="20"/>
        </w:rPr>
        <w:t>interventions</w:t>
      </w:r>
      <w:r>
        <w:rPr>
          <w:rFonts w:ascii="Calibri Light" w:hAnsi="Calibri Light"/>
          <w:spacing w:val="-3"/>
          <w:sz w:val="20"/>
        </w:rPr>
        <w:t xml:space="preserve"> </w:t>
      </w:r>
      <w:r>
        <w:rPr>
          <w:rFonts w:ascii="Calibri Light" w:hAnsi="Calibri Light"/>
          <w:sz w:val="20"/>
        </w:rPr>
        <w:t>to</w:t>
      </w:r>
      <w:r>
        <w:rPr>
          <w:rFonts w:ascii="Calibri Light" w:hAnsi="Calibri Light"/>
          <w:spacing w:val="-5"/>
          <w:sz w:val="20"/>
        </w:rPr>
        <w:t xml:space="preserve"> </w:t>
      </w:r>
      <w:r>
        <w:rPr>
          <w:rFonts w:ascii="Calibri Light" w:hAnsi="Calibri Light"/>
          <w:sz w:val="20"/>
        </w:rPr>
        <w:t>improve</w:t>
      </w:r>
      <w:r>
        <w:rPr>
          <w:rFonts w:ascii="Calibri Light" w:hAnsi="Calibri Light"/>
          <w:spacing w:val="-4"/>
          <w:sz w:val="20"/>
        </w:rPr>
        <w:t xml:space="preserve"> </w:t>
      </w:r>
      <w:r>
        <w:rPr>
          <w:rFonts w:ascii="Calibri Light" w:hAnsi="Calibri Light"/>
          <w:sz w:val="20"/>
        </w:rPr>
        <w:t>psychiatric</w:t>
      </w:r>
      <w:r>
        <w:rPr>
          <w:rFonts w:ascii="Calibri Light" w:hAnsi="Calibri Light"/>
          <w:spacing w:val="-4"/>
          <w:sz w:val="20"/>
        </w:rPr>
        <w:t xml:space="preserve"> </w:t>
      </w:r>
      <w:r>
        <w:rPr>
          <w:rFonts w:ascii="Calibri Light" w:hAnsi="Calibri Light"/>
          <w:sz w:val="20"/>
        </w:rPr>
        <w:t>symptoms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people</w:t>
      </w:r>
      <w:r>
        <w:rPr>
          <w:rFonts w:ascii="Calibri Light" w:hAnsi="Calibri Light"/>
          <w:spacing w:val="-3"/>
          <w:sz w:val="20"/>
        </w:rPr>
        <w:t xml:space="preserve"> </w:t>
      </w:r>
      <w:r>
        <w:rPr>
          <w:rFonts w:ascii="Calibri Light" w:hAnsi="Calibri Light"/>
          <w:sz w:val="20"/>
        </w:rPr>
        <w:t>with</w:t>
      </w:r>
      <w:r>
        <w:rPr>
          <w:rFonts w:ascii="Calibri Light" w:hAnsi="Calibri Light"/>
          <w:spacing w:val="-4"/>
          <w:sz w:val="20"/>
        </w:rPr>
        <w:t xml:space="preserve"> </w:t>
      </w:r>
      <w:r>
        <w:rPr>
          <w:rFonts w:ascii="Calibri Light" w:hAnsi="Calibri Light"/>
          <w:sz w:val="20"/>
        </w:rPr>
        <w:t>severe</w:t>
      </w:r>
      <w:r>
        <w:rPr>
          <w:rFonts w:ascii="Calibri Light" w:hAnsi="Calibri Light"/>
          <w:spacing w:val="-4"/>
          <w:sz w:val="20"/>
        </w:rPr>
        <w:t xml:space="preserve"> </w:t>
      </w:r>
      <w:r>
        <w:rPr>
          <w:rFonts w:ascii="Calibri Light" w:hAnsi="Calibri Light"/>
          <w:sz w:val="20"/>
        </w:rPr>
        <w:t xml:space="preserve">mental illness: Meta-analysis. </w:t>
      </w:r>
      <w:r>
        <w:rPr>
          <w:rFonts w:ascii="Calibri Light" w:hAnsi="Calibri Light"/>
          <w:i/>
          <w:sz w:val="20"/>
        </w:rPr>
        <w:t>Journal of the A</w:t>
      </w:r>
      <w:r>
        <w:rPr>
          <w:rFonts w:ascii="Calibri Light" w:hAnsi="Calibri Light"/>
          <w:i/>
          <w:sz w:val="20"/>
        </w:rPr>
        <w:t xml:space="preserve">merican Psychiatric Nurses Association, </w:t>
      </w:r>
      <w:r>
        <w:rPr>
          <w:rFonts w:ascii="Calibri Light" w:hAnsi="Calibri Light"/>
          <w:sz w:val="20"/>
        </w:rPr>
        <w:t xml:space="preserve">107839031876179. </w:t>
      </w:r>
      <w:r>
        <w:rPr>
          <w:rFonts w:ascii="Calibri Light" w:hAnsi="Calibri Light"/>
          <w:spacing w:val="-2"/>
          <w:sz w:val="20"/>
        </w:rPr>
        <w:t>doi:10.1177/1078390318761790</w:t>
      </w:r>
    </w:p>
    <w:p w14:paraId="26E64684" w14:textId="77777777" w:rsidR="00DB6E1F" w:rsidRDefault="00DB6E1F">
      <w:pPr>
        <w:spacing w:line="259" w:lineRule="auto"/>
        <w:rPr>
          <w:rFonts w:ascii="Calibri Light" w:hAnsi="Calibri Light"/>
          <w:sz w:val="20"/>
        </w:rPr>
        <w:sectPr w:rsidR="00DB6E1F">
          <w:pgSz w:w="12240" w:h="15840"/>
          <w:pgMar w:top="1080" w:right="0" w:bottom="780" w:left="0" w:header="619" w:footer="585" w:gutter="0"/>
          <w:cols w:space="720"/>
        </w:sectPr>
      </w:pPr>
    </w:p>
    <w:p w14:paraId="6B2C09CC" w14:textId="77777777" w:rsidR="00DB6E1F" w:rsidRDefault="00DB6E1F">
      <w:pPr>
        <w:pStyle w:val="BodyText"/>
        <w:spacing w:before="4"/>
        <w:rPr>
          <w:rFonts w:ascii="Calibri Light"/>
          <w:sz w:val="24"/>
        </w:rPr>
      </w:pPr>
    </w:p>
    <w:p w14:paraId="1380BAC4" w14:textId="77777777" w:rsidR="00DB6E1F" w:rsidRDefault="00F666A6">
      <w:pPr>
        <w:spacing w:before="60" w:line="259" w:lineRule="auto"/>
        <w:ind w:left="1620" w:right="1491" w:hanging="181"/>
        <w:rPr>
          <w:rFonts w:ascii="Calibri Light" w:hAnsi="Calibri Light"/>
          <w:sz w:val="20"/>
        </w:rPr>
      </w:pPr>
      <w:r>
        <w:rPr>
          <w:rFonts w:ascii="Calibri Light" w:hAnsi="Calibri Light"/>
          <w:sz w:val="20"/>
        </w:rPr>
        <w:t>Woolard, R., Baird, J., Longabaugh, R., Nirenberg, T., Lee, C. S., Mello, M. J., &amp; Becker, B. (2013). Project Reduce: Reducing</w:t>
      </w:r>
      <w:r>
        <w:rPr>
          <w:rFonts w:ascii="Calibri Light" w:hAnsi="Calibri Light"/>
          <w:spacing w:val="-3"/>
          <w:sz w:val="20"/>
        </w:rPr>
        <w:t xml:space="preserve"> </w:t>
      </w:r>
      <w:r>
        <w:rPr>
          <w:rFonts w:ascii="Calibri Light" w:hAnsi="Calibri Light"/>
          <w:sz w:val="20"/>
        </w:rPr>
        <w:t>alcohol</w:t>
      </w:r>
      <w:r>
        <w:rPr>
          <w:rFonts w:ascii="Calibri Light" w:hAnsi="Calibri Light"/>
          <w:spacing w:val="-4"/>
          <w:sz w:val="20"/>
        </w:rPr>
        <w:t xml:space="preserve"> </w:t>
      </w:r>
      <w:r>
        <w:rPr>
          <w:rFonts w:ascii="Calibri Light" w:hAnsi="Calibri Light"/>
          <w:sz w:val="20"/>
        </w:rPr>
        <w:t>and</w:t>
      </w:r>
      <w:r>
        <w:rPr>
          <w:rFonts w:ascii="Calibri Light" w:hAnsi="Calibri Light"/>
          <w:spacing w:val="-3"/>
          <w:sz w:val="20"/>
        </w:rPr>
        <w:t xml:space="preserve"> </w:t>
      </w:r>
      <w:r>
        <w:rPr>
          <w:rFonts w:ascii="Calibri Light" w:hAnsi="Calibri Light"/>
          <w:sz w:val="20"/>
        </w:rPr>
        <w:t>marijuana</w:t>
      </w:r>
      <w:r>
        <w:rPr>
          <w:rFonts w:ascii="Calibri Light" w:hAnsi="Calibri Light"/>
          <w:spacing w:val="-3"/>
          <w:sz w:val="20"/>
        </w:rPr>
        <w:t xml:space="preserve"> </w:t>
      </w:r>
      <w:r>
        <w:rPr>
          <w:rFonts w:ascii="Calibri Light" w:hAnsi="Calibri Light"/>
          <w:sz w:val="20"/>
        </w:rPr>
        <w:t>misuse,</w:t>
      </w:r>
      <w:r>
        <w:rPr>
          <w:rFonts w:ascii="Calibri Light" w:hAnsi="Calibri Light"/>
          <w:spacing w:val="-4"/>
          <w:sz w:val="20"/>
        </w:rPr>
        <w:t xml:space="preserve"> </w:t>
      </w:r>
      <w:r>
        <w:rPr>
          <w:rFonts w:ascii="Calibri Light" w:hAnsi="Calibri Light"/>
          <w:sz w:val="20"/>
        </w:rPr>
        <w:t>Effects</w:t>
      </w:r>
      <w:r>
        <w:rPr>
          <w:rFonts w:ascii="Calibri Light" w:hAnsi="Calibri Light"/>
          <w:spacing w:val="-3"/>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brief</w:t>
      </w:r>
      <w:r>
        <w:rPr>
          <w:rFonts w:ascii="Calibri Light" w:hAnsi="Calibri Light"/>
          <w:spacing w:val="-3"/>
          <w:sz w:val="20"/>
        </w:rPr>
        <w:t xml:space="preserve"> </w:t>
      </w:r>
      <w:r>
        <w:rPr>
          <w:rFonts w:ascii="Calibri Light" w:hAnsi="Calibri Light"/>
          <w:sz w:val="20"/>
        </w:rPr>
        <w:t>intervention</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the</w:t>
      </w:r>
      <w:r>
        <w:rPr>
          <w:rFonts w:ascii="Calibri Light" w:hAnsi="Calibri Light"/>
          <w:spacing w:val="-3"/>
          <w:sz w:val="20"/>
        </w:rPr>
        <w:t xml:space="preserve"> </w:t>
      </w:r>
      <w:r>
        <w:rPr>
          <w:rFonts w:ascii="Calibri Light" w:hAnsi="Calibri Light"/>
          <w:sz w:val="20"/>
        </w:rPr>
        <w:t>emergency</w:t>
      </w:r>
      <w:r>
        <w:rPr>
          <w:rFonts w:ascii="Calibri Light" w:hAnsi="Calibri Light"/>
          <w:spacing w:val="-2"/>
          <w:sz w:val="20"/>
        </w:rPr>
        <w:t xml:space="preserve"> </w:t>
      </w:r>
      <w:r>
        <w:rPr>
          <w:rFonts w:ascii="Calibri Light" w:hAnsi="Calibri Light"/>
          <w:sz w:val="20"/>
        </w:rPr>
        <w:t>department.</w:t>
      </w:r>
      <w:r>
        <w:rPr>
          <w:rFonts w:ascii="Calibri Light" w:hAnsi="Calibri Light"/>
          <w:spacing w:val="-4"/>
          <w:sz w:val="20"/>
        </w:rPr>
        <w:t xml:space="preserve"> </w:t>
      </w:r>
      <w:r>
        <w:rPr>
          <w:rFonts w:ascii="Calibri Light" w:hAnsi="Calibri Light"/>
          <w:i/>
          <w:sz w:val="20"/>
        </w:rPr>
        <w:t>Addictive Behaviors, 38</w:t>
      </w:r>
      <w:r>
        <w:rPr>
          <w:rFonts w:ascii="Calibri Light" w:hAnsi="Calibri Light"/>
          <w:sz w:val="20"/>
        </w:rPr>
        <w:t>(3), 1732–1739.</w:t>
      </w:r>
      <w:r>
        <w:rPr>
          <w:rFonts w:ascii="Calibri Light" w:hAnsi="Calibri Light"/>
          <w:sz w:val="20"/>
        </w:rPr>
        <w:t xml:space="preserve"> doi:10.1016/j.addbeh.2012.09.006</w:t>
      </w:r>
    </w:p>
    <w:p w14:paraId="4C89BB28" w14:textId="77777777" w:rsidR="00DB6E1F" w:rsidRDefault="00F666A6">
      <w:pPr>
        <w:spacing w:line="259" w:lineRule="auto"/>
        <w:ind w:left="1620" w:right="1491" w:hanging="180"/>
        <w:rPr>
          <w:rFonts w:ascii="Calibri Light" w:hAnsi="Calibri Light"/>
          <w:sz w:val="20"/>
        </w:rPr>
      </w:pPr>
      <w:r>
        <w:rPr>
          <w:rFonts w:ascii="Calibri Light" w:hAnsi="Calibri Light"/>
          <w:sz w:val="20"/>
        </w:rPr>
        <w:t>Yeh,</w:t>
      </w:r>
      <w:r>
        <w:rPr>
          <w:rFonts w:ascii="Calibri Light" w:hAnsi="Calibri Light"/>
          <w:spacing w:val="-4"/>
          <w:sz w:val="20"/>
        </w:rPr>
        <w:t xml:space="preserve"> </w:t>
      </w:r>
      <w:r>
        <w:rPr>
          <w:rFonts w:ascii="Calibri Light" w:hAnsi="Calibri Light"/>
          <w:sz w:val="20"/>
        </w:rPr>
        <w:t>M.,</w:t>
      </w:r>
      <w:r>
        <w:rPr>
          <w:rFonts w:ascii="Calibri Light" w:hAnsi="Calibri Light"/>
          <w:spacing w:val="-4"/>
          <w:sz w:val="20"/>
        </w:rPr>
        <w:t xml:space="preserve"> </w:t>
      </w:r>
      <w:r>
        <w:rPr>
          <w:rFonts w:ascii="Calibri Light" w:hAnsi="Calibri Light"/>
          <w:sz w:val="20"/>
        </w:rPr>
        <w:t>Tung,</w:t>
      </w:r>
      <w:r>
        <w:rPr>
          <w:rFonts w:ascii="Calibri Light" w:hAnsi="Calibri Light"/>
          <w:spacing w:val="-4"/>
          <w:sz w:val="20"/>
        </w:rPr>
        <w:t xml:space="preserve"> </w:t>
      </w:r>
      <w:r>
        <w:rPr>
          <w:rFonts w:ascii="Calibri Light" w:hAnsi="Calibri Light"/>
          <w:sz w:val="20"/>
        </w:rPr>
        <w:t>T.,</w:t>
      </w:r>
      <w:r>
        <w:rPr>
          <w:rFonts w:ascii="Calibri Light" w:hAnsi="Calibri Light"/>
          <w:spacing w:val="-1"/>
          <w:sz w:val="20"/>
        </w:rPr>
        <w:t xml:space="preserve"> </w:t>
      </w:r>
      <w:r>
        <w:rPr>
          <w:rFonts w:ascii="Calibri Light" w:hAnsi="Calibri Light"/>
          <w:sz w:val="20"/>
        </w:rPr>
        <w:t>Horng,</w:t>
      </w:r>
      <w:r>
        <w:rPr>
          <w:rFonts w:ascii="Calibri Light" w:hAnsi="Calibri Light"/>
          <w:spacing w:val="-1"/>
          <w:sz w:val="20"/>
        </w:rPr>
        <w:t xml:space="preserve"> </w:t>
      </w:r>
      <w:r>
        <w:rPr>
          <w:rFonts w:ascii="Calibri Light" w:hAnsi="Calibri Light"/>
          <w:sz w:val="20"/>
        </w:rPr>
        <w:t>F.,</w:t>
      </w:r>
      <w:r>
        <w:rPr>
          <w:rFonts w:ascii="Calibri Light" w:hAnsi="Calibri Light"/>
          <w:spacing w:val="-4"/>
          <w:sz w:val="20"/>
        </w:rPr>
        <w:t xml:space="preserve"> </w:t>
      </w:r>
      <w:r>
        <w:rPr>
          <w:rFonts w:ascii="Calibri Light" w:hAnsi="Calibri Light"/>
          <w:sz w:val="20"/>
        </w:rPr>
        <w:t>&amp; Sung,</w:t>
      </w:r>
      <w:r>
        <w:rPr>
          <w:rFonts w:ascii="Calibri Light" w:hAnsi="Calibri Light"/>
          <w:spacing w:val="-4"/>
          <w:sz w:val="20"/>
        </w:rPr>
        <w:t xml:space="preserve"> </w:t>
      </w:r>
      <w:r>
        <w:rPr>
          <w:rFonts w:ascii="Calibri Light" w:hAnsi="Calibri Light"/>
          <w:sz w:val="20"/>
        </w:rPr>
        <w:t>S.</w:t>
      </w:r>
      <w:r>
        <w:rPr>
          <w:rFonts w:ascii="Calibri Light" w:hAnsi="Calibri Light"/>
          <w:spacing w:val="-4"/>
          <w:sz w:val="20"/>
        </w:rPr>
        <w:t xml:space="preserve"> </w:t>
      </w:r>
      <w:r>
        <w:rPr>
          <w:rFonts w:ascii="Calibri Light" w:hAnsi="Calibri Light"/>
          <w:sz w:val="20"/>
        </w:rPr>
        <w:t>(2017).</w:t>
      </w:r>
      <w:r>
        <w:rPr>
          <w:rFonts w:ascii="Calibri Light" w:hAnsi="Calibri Light"/>
          <w:spacing w:val="-4"/>
          <w:sz w:val="20"/>
        </w:rPr>
        <w:t xml:space="preserve"> </w:t>
      </w:r>
      <w:r>
        <w:rPr>
          <w:rFonts w:ascii="Calibri Light" w:hAnsi="Calibri Light"/>
          <w:sz w:val="20"/>
        </w:rPr>
        <w:t>Effectiveness</w:t>
      </w:r>
      <w:r>
        <w:rPr>
          <w:rFonts w:ascii="Calibri Light" w:hAnsi="Calibri Light"/>
          <w:spacing w:val="-1"/>
          <w:sz w:val="20"/>
        </w:rPr>
        <w:t xml:space="preserve"> </w:t>
      </w:r>
      <w:r>
        <w:rPr>
          <w:rFonts w:ascii="Calibri Light" w:hAnsi="Calibri Light"/>
          <w:sz w:val="20"/>
        </w:rPr>
        <w:t>of</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psychoeducational</w:t>
      </w:r>
      <w:r>
        <w:rPr>
          <w:rFonts w:ascii="Calibri Light" w:hAnsi="Calibri Light"/>
          <w:spacing w:val="-4"/>
          <w:sz w:val="20"/>
        </w:rPr>
        <w:t xml:space="preserve"> </w:t>
      </w:r>
      <w:r>
        <w:rPr>
          <w:rFonts w:ascii="Calibri Light" w:hAnsi="Calibri Light"/>
          <w:sz w:val="20"/>
        </w:rPr>
        <w:t>programme</w:t>
      </w:r>
      <w:r>
        <w:rPr>
          <w:rFonts w:ascii="Calibri Light" w:hAnsi="Calibri Light"/>
          <w:spacing w:val="-3"/>
          <w:sz w:val="20"/>
        </w:rPr>
        <w:t xml:space="preserve"> </w:t>
      </w:r>
      <w:r>
        <w:rPr>
          <w:rFonts w:ascii="Calibri Light" w:hAnsi="Calibri Light"/>
          <w:sz w:val="20"/>
        </w:rPr>
        <w:t>in</w:t>
      </w:r>
      <w:r>
        <w:rPr>
          <w:rFonts w:ascii="Calibri Light" w:hAnsi="Calibri Light"/>
          <w:spacing w:val="-3"/>
          <w:sz w:val="20"/>
        </w:rPr>
        <w:t xml:space="preserve"> </w:t>
      </w:r>
      <w:r>
        <w:rPr>
          <w:rFonts w:ascii="Calibri Light" w:hAnsi="Calibri Light"/>
          <w:sz w:val="20"/>
        </w:rPr>
        <w:t xml:space="preserve">enhancing motivation to change alcohol-addictive behaviour. </w:t>
      </w:r>
      <w:r>
        <w:rPr>
          <w:rFonts w:ascii="Calibri Light" w:hAnsi="Calibri Light"/>
          <w:i/>
          <w:sz w:val="20"/>
        </w:rPr>
        <w:t>Journal of Clinical Nursing, 26</w:t>
      </w:r>
      <w:r>
        <w:rPr>
          <w:rFonts w:ascii="Calibri Light" w:hAnsi="Calibri Light"/>
          <w:sz w:val="20"/>
        </w:rPr>
        <w:t xml:space="preserve">(21–22), 3724–3733. </w:t>
      </w:r>
      <w:r>
        <w:rPr>
          <w:rFonts w:ascii="Calibri Light" w:hAnsi="Calibri Light"/>
          <w:spacing w:val="-2"/>
          <w:sz w:val="20"/>
        </w:rPr>
        <w:t>doi:10.1111/jocn.13744</w:t>
      </w:r>
    </w:p>
    <w:p w14:paraId="5ADDD215" w14:textId="77777777" w:rsidR="00DB6E1F" w:rsidRDefault="00F666A6">
      <w:pPr>
        <w:spacing w:line="256" w:lineRule="auto"/>
        <w:ind w:left="1620" w:right="1491" w:hanging="181"/>
        <w:rPr>
          <w:rFonts w:ascii="Calibri Light" w:hAnsi="Calibri Light"/>
          <w:sz w:val="20"/>
        </w:rPr>
      </w:pPr>
      <w:r>
        <w:rPr>
          <w:rFonts w:ascii="Calibri Light" w:hAnsi="Calibri Light"/>
          <w:sz w:val="20"/>
        </w:rPr>
        <w:t>Yudko,</w:t>
      </w:r>
      <w:r>
        <w:rPr>
          <w:rFonts w:ascii="Calibri Light" w:hAnsi="Calibri Light"/>
          <w:spacing w:val="-3"/>
          <w:sz w:val="20"/>
        </w:rPr>
        <w:t xml:space="preserve"> </w:t>
      </w:r>
      <w:r>
        <w:rPr>
          <w:rFonts w:ascii="Calibri Light" w:hAnsi="Calibri Light"/>
          <w:sz w:val="20"/>
        </w:rPr>
        <w:t>E.,</w:t>
      </w:r>
      <w:r>
        <w:rPr>
          <w:rFonts w:ascii="Calibri Light" w:hAnsi="Calibri Light"/>
          <w:spacing w:val="-3"/>
          <w:sz w:val="20"/>
        </w:rPr>
        <w:t xml:space="preserve"> </w:t>
      </w:r>
      <w:r>
        <w:rPr>
          <w:rFonts w:ascii="Calibri Light" w:hAnsi="Calibri Light"/>
          <w:sz w:val="20"/>
        </w:rPr>
        <w:t>Lozhkina,</w:t>
      </w:r>
      <w:r>
        <w:rPr>
          <w:rFonts w:ascii="Calibri Light" w:hAnsi="Calibri Light"/>
          <w:spacing w:val="-3"/>
          <w:sz w:val="20"/>
        </w:rPr>
        <w:t xml:space="preserve"> </w:t>
      </w:r>
      <w:r>
        <w:rPr>
          <w:rFonts w:ascii="Calibri Light" w:hAnsi="Calibri Light"/>
          <w:sz w:val="20"/>
        </w:rPr>
        <w:t>O.,</w:t>
      </w:r>
      <w:r>
        <w:rPr>
          <w:rFonts w:ascii="Calibri Light" w:hAnsi="Calibri Light"/>
          <w:spacing w:val="-3"/>
          <w:sz w:val="20"/>
        </w:rPr>
        <w:t xml:space="preserve"> </w:t>
      </w:r>
      <w:r>
        <w:rPr>
          <w:rFonts w:ascii="Calibri Light" w:hAnsi="Calibri Light"/>
          <w:sz w:val="20"/>
        </w:rPr>
        <w:t>&amp;</w:t>
      </w:r>
      <w:r>
        <w:rPr>
          <w:rFonts w:ascii="Calibri Light" w:hAnsi="Calibri Light"/>
          <w:spacing w:val="-1"/>
          <w:sz w:val="20"/>
        </w:rPr>
        <w:t xml:space="preserve"> </w:t>
      </w:r>
      <w:r>
        <w:rPr>
          <w:rFonts w:ascii="Calibri Light" w:hAnsi="Calibri Light"/>
          <w:sz w:val="20"/>
        </w:rPr>
        <w:t>Fouts,</w:t>
      </w:r>
      <w:r>
        <w:rPr>
          <w:rFonts w:ascii="Calibri Light" w:hAnsi="Calibri Light"/>
          <w:spacing w:val="-3"/>
          <w:sz w:val="20"/>
        </w:rPr>
        <w:t xml:space="preserve"> </w:t>
      </w:r>
      <w:r>
        <w:rPr>
          <w:rFonts w:ascii="Calibri Light" w:hAnsi="Calibri Light"/>
          <w:sz w:val="20"/>
        </w:rPr>
        <w:t>A.</w:t>
      </w:r>
      <w:r>
        <w:rPr>
          <w:rFonts w:ascii="Calibri Light" w:hAnsi="Calibri Light"/>
          <w:spacing w:val="-3"/>
          <w:sz w:val="20"/>
        </w:rPr>
        <w:t xml:space="preserve"> </w:t>
      </w:r>
      <w:r>
        <w:rPr>
          <w:rFonts w:ascii="Calibri Light" w:hAnsi="Calibri Light"/>
          <w:sz w:val="20"/>
        </w:rPr>
        <w:t>(2007).</w:t>
      </w:r>
      <w:r>
        <w:rPr>
          <w:rFonts w:ascii="Calibri Light" w:hAnsi="Calibri Light"/>
          <w:spacing w:val="-3"/>
          <w:sz w:val="20"/>
        </w:rPr>
        <w:t xml:space="preserve"> </w:t>
      </w:r>
      <w:r>
        <w:rPr>
          <w:rFonts w:ascii="Calibri Light" w:hAnsi="Calibri Light"/>
          <w:sz w:val="20"/>
        </w:rPr>
        <w:t>A</w:t>
      </w:r>
      <w:r>
        <w:rPr>
          <w:rFonts w:ascii="Calibri Light" w:hAnsi="Calibri Light"/>
          <w:spacing w:val="-2"/>
          <w:sz w:val="20"/>
        </w:rPr>
        <w:t xml:space="preserve"> </w:t>
      </w:r>
      <w:r>
        <w:rPr>
          <w:rFonts w:ascii="Calibri Light" w:hAnsi="Calibri Light"/>
          <w:sz w:val="20"/>
        </w:rPr>
        <w:t>comprehensive</w:t>
      </w:r>
      <w:r>
        <w:rPr>
          <w:rFonts w:ascii="Calibri Light" w:hAnsi="Calibri Light"/>
          <w:spacing w:val="-1"/>
          <w:sz w:val="20"/>
        </w:rPr>
        <w:t xml:space="preserve"> </w:t>
      </w:r>
      <w:r>
        <w:rPr>
          <w:rFonts w:ascii="Calibri Light" w:hAnsi="Calibri Light"/>
          <w:sz w:val="20"/>
        </w:rPr>
        <w:t>review</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psychometric</w:t>
      </w:r>
      <w:r>
        <w:rPr>
          <w:rFonts w:ascii="Calibri Light" w:hAnsi="Calibri Light"/>
          <w:spacing w:val="-3"/>
          <w:sz w:val="20"/>
        </w:rPr>
        <w:t xml:space="preserve"> </w:t>
      </w:r>
      <w:r>
        <w:rPr>
          <w:rFonts w:ascii="Calibri Light" w:hAnsi="Calibri Light"/>
          <w:sz w:val="20"/>
        </w:rPr>
        <w:t>properties</w:t>
      </w:r>
      <w:r>
        <w:rPr>
          <w:rFonts w:ascii="Calibri Light" w:hAnsi="Calibri Light"/>
          <w:spacing w:val="-2"/>
          <w:sz w:val="20"/>
        </w:rPr>
        <w:t xml:space="preserve"> </w:t>
      </w:r>
      <w:r>
        <w:rPr>
          <w:rFonts w:ascii="Calibri Light" w:hAnsi="Calibri Light"/>
          <w:sz w:val="20"/>
        </w:rPr>
        <w:t>of</w:t>
      </w:r>
      <w:r>
        <w:rPr>
          <w:rFonts w:ascii="Calibri Light" w:hAnsi="Calibri Light"/>
          <w:spacing w:val="-2"/>
          <w:sz w:val="20"/>
        </w:rPr>
        <w:t xml:space="preserve"> </w:t>
      </w:r>
      <w:r>
        <w:rPr>
          <w:rFonts w:ascii="Calibri Light" w:hAnsi="Calibri Light"/>
          <w:sz w:val="20"/>
        </w:rPr>
        <w:t>the</w:t>
      </w:r>
      <w:r>
        <w:rPr>
          <w:rFonts w:ascii="Calibri Light" w:hAnsi="Calibri Light"/>
          <w:spacing w:val="-2"/>
          <w:sz w:val="20"/>
        </w:rPr>
        <w:t xml:space="preserve"> </w:t>
      </w:r>
      <w:r>
        <w:rPr>
          <w:rFonts w:ascii="Calibri Light" w:hAnsi="Calibri Light"/>
          <w:sz w:val="20"/>
        </w:rPr>
        <w:t xml:space="preserve">Drug Abuse Screening Test. </w:t>
      </w:r>
      <w:r>
        <w:rPr>
          <w:rFonts w:ascii="Calibri Light" w:hAnsi="Calibri Light"/>
          <w:i/>
          <w:sz w:val="20"/>
        </w:rPr>
        <w:t xml:space="preserve">Journal of Substance Abuse Treatment, 32, </w:t>
      </w:r>
      <w:r>
        <w:rPr>
          <w:rFonts w:ascii="Calibri Light" w:hAnsi="Calibri Light"/>
          <w:sz w:val="20"/>
        </w:rPr>
        <w:t>189–198.</w:t>
      </w:r>
    </w:p>
    <w:p w14:paraId="0AD166B2" w14:textId="77777777" w:rsidR="00DB6E1F" w:rsidRDefault="00DB6E1F">
      <w:pPr>
        <w:spacing w:line="256" w:lineRule="auto"/>
        <w:rPr>
          <w:rFonts w:ascii="Calibri Light" w:hAnsi="Calibri Light"/>
          <w:sz w:val="20"/>
        </w:rPr>
        <w:sectPr w:rsidR="00DB6E1F">
          <w:pgSz w:w="12240" w:h="15840"/>
          <w:pgMar w:top="1080" w:right="0" w:bottom="780" w:left="0" w:header="619" w:footer="585" w:gutter="0"/>
          <w:cols w:space="720"/>
        </w:sectPr>
      </w:pPr>
    </w:p>
    <w:p w14:paraId="1E5D5FD5" w14:textId="77777777" w:rsidR="00DB6E1F" w:rsidRDefault="00DB6E1F">
      <w:pPr>
        <w:pStyle w:val="BodyText"/>
        <w:spacing w:before="12"/>
        <w:rPr>
          <w:rFonts w:ascii="Calibri Light"/>
          <w:sz w:val="18"/>
        </w:rPr>
      </w:pPr>
    </w:p>
    <w:p w14:paraId="7F322573" w14:textId="77777777" w:rsidR="00DB6E1F" w:rsidRDefault="00F666A6">
      <w:pPr>
        <w:pStyle w:val="Heading1"/>
        <w:spacing w:line="259" w:lineRule="auto"/>
        <w:ind w:left="4910" w:right="1491" w:hanging="2782"/>
        <w:jc w:val="left"/>
      </w:pPr>
      <w:bookmarkStart w:id="230" w:name="Appendix_B—Screening_and_Assessment_Inst"/>
      <w:bookmarkStart w:id="231" w:name="_bookmark50"/>
      <w:bookmarkEnd w:id="230"/>
      <w:bookmarkEnd w:id="231"/>
      <w:r>
        <w:t>Appendix</w:t>
      </w:r>
      <w:r>
        <w:rPr>
          <w:spacing w:val="-10"/>
        </w:rPr>
        <w:t xml:space="preserve"> </w:t>
      </w:r>
      <w:r>
        <w:t>B—Screening</w:t>
      </w:r>
      <w:r>
        <w:rPr>
          <w:spacing w:val="-14"/>
        </w:rPr>
        <w:t xml:space="preserve"> </w:t>
      </w:r>
      <w:r>
        <w:t>and</w:t>
      </w:r>
      <w:r>
        <w:rPr>
          <w:spacing w:val="-13"/>
        </w:rPr>
        <w:t xml:space="preserve"> </w:t>
      </w:r>
      <w:r>
        <w:t xml:space="preserve">Assessment </w:t>
      </w:r>
      <w:r>
        <w:rPr>
          <w:spacing w:val="-2"/>
        </w:rPr>
        <w:t>Instruments</w:t>
      </w:r>
    </w:p>
    <w:p w14:paraId="41D39A06" w14:textId="77777777" w:rsidR="00DB6E1F" w:rsidRDefault="00DB6E1F">
      <w:pPr>
        <w:pStyle w:val="BodyText"/>
        <w:spacing w:before="3"/>
        <w:rPr>
          <w:b/>
          <w:sz w:val="39"/>
        </w:rPr>
      </w:pPr>
    </w:p>
    <w:p w14:paraId="6DC8ABB9" w14:textId="77777777" w:rsidR="00DB6E1F" w:rsidRDefault="00F666A6">
      <w:pPr>
        <w:pStyle w:val="BodyText"/>
        <w:ind w:left="1440"/>
      </w:pPr>
      <w:r>
        <w:t>Appendix</w:t>
      </w:r>
      <w:r>
        <w:rPr>
          <w:spacing w:val="-3"/>
        </w:rPr>
        <w:t xml:space="preserve"> </w:t>
      </w:r>
      <w:r>
        <w:t>B</w:t>
      </w:r>
      <w:r>
        <w:rPr>
          <w:spacing w:val="-4"/>
        </w:rPr>
        <w:t xml:space="preserve"> </w:t>
      </w:r>
      <w:r>
        <w:t>presents</w:t>
      </w:r>
      <w:r>
        <w:rPr>
          <w:spacing w:val="-4"/>
        </w:rPr>
        <w:t xml:space="preserve"> </w:t>
      </w:r>
      <w:r>
        <w:t>the</w:t>
      </w:r>
      <w:r>
        <w:rPr>
          <w:spacing w:val="-6"/>
        </w:rPr>
        <w:t xml:space="preserve"> </w:t>
      </w:r>
      <w:r>
        <w:t>following</w:t>
      </w:r>
      <w:r>
        <w:rPr>
          <w:spacing w:val="-4"/>
        </w:rPr>
        <w:t xml:space="preserve"> </w:t>
      </w:r>
      <w:r>
        <w:rPr>
          <w:spacing w:val="-2"/>
        </w:rPr>
        <w:t>tools:</w:t>
      </w:r>
    </w:p>
    <w:p w14:paraId="4670C65A" w14:textId="77777777" w:rsidR="00DB6E1F" w:rsidRDefault="00F666A6">
      <w:pPr>
        <w:pStyle w:val="ListParagraph"/>
        <w:numPr>
          <w:ilvl w:val="0"/>
          <w:numId w:val="38"/>
        </w:numPr>
        <w:tabs>
          <w:tab w:val="left" w:pos="1800"/>
        </w:tabs>
        <w:spacing w:before="58"/>
      </w:pPr>
      <w:r>
        <w:t>U.S.</w:t>
      </w:r>
      <w:r>
        <w:rPr>
          <w:spacing w:val="-6"/>
        </w:rPr>
        <w:t xml:space="preserve"> </w:t>
      </w:r>
      <w:r>
        <w:t>Alcohol</w:t>
      </w:r>
      <w:r>
        <w:rPr>
          <w:spacing w:val="-6"/>
        </w:rPr>
        <w:t xml:space="preserve"> </w:t>
      </w:r>
      <w:r>
        <w:t>Use</w:t>
      </w:r>
      <w:r>
        <w:rPr>
          <w:spacing w:val="-5"/>
        </w:rPr>
        <w:t xml:space="preserve"> </w:t>
      </w:r>
      <w:r>
        <w:t>Disorders</w:t>
      </w:r>
      <w:r>
        <w:rPr>
          <w:spacing w:val="-8"/>
        </w:rPr>
        <w:t xml:space="preserve"> </w:t>
      </w:r>
      <w:r>
        <w:t>Identification</w:t>
      </w:r>
      <w:r>
        <w:rPr>
          <w:spacing w:val="-6"/>
        </w:rPr>
        <w:t xml:space="preserve"> </w:t>
      </w:r>
      <w:r>
        <w:t>Test</w:t>
      </w:r>
      <w:r>
        <w:rPr>
          <w:spacing w:val="-2"/>
        </w:rPr>
        <w:t xml:space="preserve"> </w:t>
      </w:r>
      <w:r>
        <w:t>(U.S.</w:t>
      </w:r>
      <w:r>
        <w:rPr>
          <w:spacing w:val="-3"/>
        </w:rPr>
        <w:t xml:space="preserve"> </w:t>
      </w:r>
      <w:r>
        <w:rPr>
          <w:spacing w:val="-2"/>
        </w:rPr>
        <w:t>AUDIT)</w:t>
      </w:r>
    </w:p>
    <w:p w14:paraId="6F764522" w14:textId="77777777" w:rsidR="00DB6E1F" w:rsidRDefault="00F666A6">
      <w:pPr>
        <w:pStyle w:val="ListParagraph"/>
        <w:numPr>
          <w:ilvl w:val="0"/>
          <w:numId w:val="38"/>
        </w:numPr>
        <w:tabs>
          <w:tab w:val="left" w:pos="1801"/>
        </w:tabs>
        <w:spacing w:before="180"/>
        <w:ind w:left="1800"/>
      </w:pPr>
      <w:r>
        <w:t>Drug</w:t>
      </w:r>
      <w:r>
        <w:rPr>
          <w:spacing w:val="-5"/>
        </w:rPr>
        <w:t xml:space="preserve"> </w:t>
      </w:r>
      <w:r>
        <w:t>Abuse</w:t>
      </w:r>
      <w:r>
        <w:rPr>
          <w:spacing w:val="-5"/>
        </w:rPr>
        <w:t xml:space="preserve"> </w:t>
      </w:r>
      <w:r>
        <w:t>Screening</w:t>
      </w:r>
      <w:r>
        <w:rPr>
          <w:spacing w:val="-5"/>
        </w:rPr>
        <w:t xml:space="preserve"> </w:t>
      </w:r>
      <w:r>
        <w:t>Test</w:t>
      </w:r>
      <w:r>
        <w:rPr>
          <w:spacing w:val="-5"/>
        </w:rPr>
        <w:t xml:space="preserve"> </w:t>
      </w:r>
      <w:r>
        <w:t>(DAST-</w:t>
      </w:r>
      <w:r>
        <w:rPr>
          <w:spacing w:val="-5"/>
        </w:rPr>
        <w:t>10)</w:t>
      </w:r>
    </w:p>
    <w:p w14:paraId="27470C69" w14:textId="77777777" w:rsidR="00DB6E1F" w:rsidRDefault="00F666A6">
      <w:pPr>
        <w:pStyle w:val="ListParagraph"/>
        <w:numPr>
          <w:ilvl w:val="0"/>
          <w:numId w:val="38"/>
        </w:numPr>
        <w:tabs>
          <w:tab w:val="left" w:pos="1801"/>
        </w:tabs>
        <w:spacing w:before="183"/>
        <w:ind w:left="1800"/>
      </w:pPr>
      <w:r>
        <w:t>Drinker</w:t>
      </w:r>
      <w:r>
        <w:rPr>
          <w:spacing w:val="-8"/>
        </w:rPr>
        <w:t xml:space="preserve"> </w:t>
      </w:r>
      <w:r>
        <w:t>Inventory</w:t>
      </w:r>
      <w:r>
        <w:rPr>
          <w:spacing w:val="-4"/>
        </w:rPr>
        <w:t xml:space="preserve"> </w:t>
      </w:r>
      <w:r>
        <w:t>of</w:t>
      </w:r>
      <w:r>
        <w:rPr>
          <w:spacing w:val="-8"/>
        </w:rPr>
        <w:t xml:space="preserve"> </w:t>
      </w:r>
      <w:r>
        <w:t>Consequences</w:t>
      </w:r>
      <w:r>
        <w:rPr>
          <w:spacing w:val="-4"/>
        </w:rPr>
        <w:t xml:space="preserve"> </w:t>
      </w:r>
      <w:r>
        <w:t>(DrInC)</w:t>
      </w:r>
      <w:r>
        <w:rPr>
          <w:spacing w:val="-5"/>
        </w:rPr>
        <w:t xml:space="preserve"> </w:t>
      </w:r>
      <w:r>
        <w:rPr>
          <w:spacing w:val="-2"/>
        </w:rPr>
        <w:t>(Lifetime)</w:t>
      </w:r>
    </w:p>
    <w:p w14:paraId="6BB3D0B7" w14:textId="77777777" w:rsidR="00DB6E1F" w:rsidRDefault="00F666A6">
      <w:pPr>
        <w:pStyle w:val="ListParagraph"/>
        <w:numPr>
          <w:ilvl w:val="0"/>
          <w:numId w:val="38"/>
        </w:numPr>
        <w:tabs>
          <w:tab w:val="left" w:pos="1801"/>
        </w:tabs>
        <w:spacing w:before="180"/>
        <w:ind w:left="1800"/>
      </w:pPr>
      <w:r>
        <w:t>What</w:t>
      </w:r>
      <w:r>
        <w:rPr>
          <w:spacing w:val="-3"/>
        </w:rPr>
        <w:t xml:space="preserve"> </w:t>
      </w:r>
      <w:r>
        <w:t>I</w:t>
      </w:r>
      <w:r>
        <w:rPr>
          <w:spacing w:val="-6"/>
        </w:rPr>
        <w:t xml:space="preserve"> </w:t>
      </w:r>
      <w:r>
        <w:t>Want</w:t>
      </w:r>
      <w:r>
        <w:rPr>
          <w:spacing w:val="-2"/>
        </w:rPr>
        <w:t xml:space="preserve"> </w:t>
      </w:r>
      <w:r>
        <w:t>From</w:t>
      </w:r>
      <w:r>
        <w:rPr>
          <w:spacing w:val="-4"/>
        </w:rPr>
        <w:t xml:space="preserve"> </w:t>
      </w:r>
      <w:r>
        <w:t>Treatment</w:t>
      </w:r>
      <w:r>
        <w:rPr>
          <w:spacing w:val="-2"/>
        </w:rPr>
        <w:t xml:space="preserve"> </w:t>
      </w:r>
      <w:r>
        <w:rPr>
          <w:spacing w:val="-4"/>
        </w:rPr>
        <w:t>(2.0)</w:t>
      </w:r>
    </w:p>
    <w:p w14:paraId="6C5ADBA3" w14:textId="77777777" w:rsidR="00DB6E1F" w:rsidRDefault="00F666A6">
      <w:pPr>
        <w:pStyle w:val="ListParagraph"/>
        <w:numPr>
          <w:ilvl w:val="0"/>
          <w:numId w:val="38"/>
        </w:numPr>
        <w:tabs>
          <w:tab w:val="left" w:pos="1801"/>
        </w:tabs>
        <w:spacing w:before="183"/>
        <w:ind w:left="1800"/>
      </w:pPr>
      <w:r>
        <w:t>Readiness</w:t>
      </w:r>
      <w:r>
        <w:rPr>
          <w:spacing w:val="-10"/>
        </w:rPr>
        <w:t xml:space="preserve"> </w:t>
      </w:r>
      <w:r>
        <w:t>to</w:t>
      </w:r>
      <w:r>
        <w:rPr>
          <w:spacing w:val="-7"/>
        </w:rPr>
        <w:t xml:space="preserve"> </w:t>
      </w:r>
      <w:r>
        <w:t>Change</w:t>
      </w:r>
      <w:r>
        <w:rPr>
          <w:spacing w:val="-6"/>
        </w:rPr>
        <w:t xml:space="preserve"> </w:t>
      </w:r>
      <w:r>
        <w:t>Questionnaire</w:t>
      </w:r>
      <w:r>
        <w:rPr>
          <w:spacing w:val="-5"/>
        </w:rPr>
        <w:t xml:space="preserve"> </w:t>
      </w:r>
      <w:r>
        <w:t>(Treatment</w:t>
      </w:r>
      <w:r>
        <w:rPr>
          <w:spacing w:val="-5"/>
        </w:rPr>
        <w:t xml:space="preserve"> </w:t>
      </w:r>
      <w:r>
        <w:t>Version)</w:t>
      </w:r>
      <w:r>
        <w:rPr>
          <w:spacing w:val="-6"/>
        </w:rPr>
        <w:t xml:space="preserve"> </w:t>
      </w:r>
      <w:r>
        <w:t>(RCQ-TV)</w:t>
      </w:r>
      <w:r>
        <w:rPr>
          <w:spacing w:val="-6"/>
        </w:rPr>
        <w:t xml:space="preserve"> </w:t>
      </w:r>
      <w:r>
        <w:rPr>
          <w:spacing w:val="-2"/>
        </w:rPr>
        <w:t>(Revised)</w:t>
      </w:r>
    </w:p>
    <w:p w14:paraId="74A8F06D" w14:textId="77777777" w:rsidR="00DB6E1F" w:rsidRDefault="00F666A6">
      <w:pPr>
        <w:pStyle w:val="ListParagraph"/>
        <w:numPr>
          <w:ilvl w:val="0"/>
          <w:numId w:val="38"/>
        </w:numPr>
        <w:tabs>
          <w:tab w:val="left" w:pos="1801"/>
        </w:tabs>
        <w:spacing w:before="180"/>
        <w:ind w:left="1800"/>
      </w:pPr>
      <w:r>
        <w:t>Stages</w:t>
      </w:r>
      <w:r>
        <w:rPr>
          <w:spacing w:val="-8"/>
        </w:rPr>
        <w:t xml:space="preserve"> </w:t>
      </w:r>
      <w:r>
        <w:t>of</w:t>
      </w:r>
      <w:r>
        <w:rPr>
          <w:spacing w:val="-5"/>
        </w:rPr>
        <w:t xml:space="preserve"> </w:t>
      </w:r>
      <w:r>
        <w:t>Change</w:t>
      </w:r>
      <w:r>
        <w:rPr>
          <w:spacing w:val="-5"/>
        </w:rPr>
        <w:t xml:space="preserve"> </w:t>
      </w:r>
      <w:r>
        <w:t>Readiness</w:t>
      </w:r>
      <w:r>
        <w:rPr>
          <w:spacing w:val="-5"/>
        </w:rPr>
        <w:t xml:space="preserve"> </w:t>
      </w:r>
      <w:r>
        <w:t>and</w:t>
      </w:r>
      <w:r>
        <w:rPr>
          <w:spacing w:val="-7"/>
        </w:rPr>
        <w:t xml:space="preserve"> </w:t>
      </w:r>
      <w:r>
        <w:t>Treatment</w:t>
      </w:r>
      <w:r>
        <w:rPr>
          <w:spacing w:val="-4"/>
        </w:rPr>
        <w:t xml:space="preserve"> </w:t>
      </w:r>
      <w:r>
        <w:t>Eagerness</w:t>
      </w:r>
      <w:r>
        <w:rPr>
          <w:spacing w:val="-8"/>
        </w:rPr>
        <w:t xml:space="preserve"> </w:t>
      </w:r>
      <w:r>
        <w:t>Scale‒Alcohol</w:t>
      </w:r>
      <w:r>
        <w:rPr>
          <w:spacing w:val="-5"/>
        </w:rPr>
        <w:t xml:space="preserve"> </w:t>
      </w:r>
      <w:r>
        <w:t>(SOCRATES</w:t>
      </w:r>
      <w:r>
        <w:rPr>
          <w:spacing w:val="-8"/>
        </w:rPr>
        <w:t xml:space="preserve"> </w:t>
      </w:r>
      <w:r>
        <w:rPr>
          <w:spacing w:val="-5"/>
        </w:rPr>
        <w:t>8A)</w:t>
      </w:r>
    </w:p>
    <w:p w14:paraId="101C7B50" w14:textId="77777777" w:rsidR="00DB6E1F" w:rsidRDefault="00F666A6">
      <w:pPr>
        <w:pStyle w:val="ListParagraph"/>
        <w:numPr>
          <w:ilvl w:val="0"/>
          <w:numId w:val="38"/>
        </w:numPr>
        <w:tabs>
          <w:tab w:val="left" w:pos="1801"/>
        </w:tabs>
        <w:spacing w:before="180"/>
        <w:ind w:left="1800"/>
      </w:pPr>
      <w:r>
        <w:t>Stages</w:t>
      </w:r>
      <w:r>
        <w:rPr>
          <w:spacing w:val="-9"/>
        </w:rPr>
        <w:t xml:space="preserve"> </w:t>
      </w:r>
      <w:r>
        <w:t>of</w:t>
      </w:r>
      <w:r>
        <w:rPr>
          <w:spacing w:val="-6"/>
        </w:rPr>
        <w:t xml:space="preserve"> </w:t>
      </w:r>
      <w:r>
        <w:t>Change</w:t>
      </w:r>
      <w:r>
        <w:rPr>
          <w:spacing w:val="-4"/>
        </w:rPr>
        <w:t xml:space="preserve"> </w:t>
      </w:r>
      <w:r>
        <w:t>Readiness</w:t>
      </w:r>
      <w:r>
        <w:rPr>
          <w:spacing w:val="-5"/>
        </w:rPr>
        <w:t xml:space="preserve"> </w:t>
      </w:r>
      <w:r>
        <w:t>and</w:t>
      </w:r>
      <w:r>
        <w:rPr>
          <w:spacing w:val="-6"/>
        </w:rPr>
        <w:t xml:space="preserve"> </w:t>
      </w:r>
      <w:r>
        <w:t>Treatment</w:t>
      </w:r>
      <w:r>
        <w:rPr>
          <w:spacing w:val="-5"/>
        </w:rPr>
        <w:t xml:space="preserve"> </w:t>
      </w:r>
      <w:r>
        <w:t>Eagerness</w:t>
      </w:r>
      <w:r>
        <w:rPr>
          <w:spacing w:val="-7"/>
        </w:rPr>
        <w:t xml:space="preserve"> </w:t>
      </w:r>
      <w:r>
        <w:t>Scale‒Drugs</w:t>
      </w:r>
      <w:r>
        <w:rPr>
          <w:spacing w:val="-6"/>
        </w:rPr>
        <w:t xml:space="preserve"> </w:t>
      </w:r>
      <w:r>
        <w:t>(SOCRATES</w:t>
      </w:r>
      <w:r>
        <w:rPr>
          <w:spacing w:val="-7"/>
        </w:rPr>
        <w:t xml:space="preserve"> </w:t>
      </w:r>
      <w:r>
        <w:rPr>
          <w:spacing w:val="-5"/>
        </w:rPr>
        <w:t>8D)</w:t>
      </w:r>
    </w:p>
    <w:p w14:paraId="2FB36D54" w14:textId="77777777" w:rsidR="00DB6E1F" w:rsidRDefault="00F666A6">
      <w:pPr>
        <w:pStyle w:val="ListParagraph"/>
        <w:numPr>
          <w:ilvl w:val="0"/>
          <w:numId w:val="38"/>
        </w:numPr>
        <w:tabs>
          <w:tab w:val="left" w:pos="1801"/>
        </w:tabs>
        <w:spacing w:before="183"/>
        <w:ind w:left="1800"/>
      </w:pPr>
      <w:r>
        <w:t>University</w:t>
      </w:r>
      <w:r>
        <w:rPr>
          <w:spacing w:val="-9"/>
        </w:rPr>
        <w:t xml:space="preserve"> </w:t>
      </w:r>
      <w:r>
        <w:t>of</w:t>
      </w:r>
      <w:r>
        <w:rPr>
          <w:spacing w:val="-5"/>
        </w:rPr>
        <w:t xml:space="preserve"> </w:t>
      </w:r>
      <w:r>
        <w:t>Rhode</w:t>
      </w:r>
      <w:r>
        <w:rPr>
          <w:spacing w:val="-4"/>
        </w:rPr>
        <w:t xml:space="preserve"> </w:t>
      </w:r>
      <w:r>
        <w:t>Island</w:t>
      </w:r>
      <w:r>
        <w:rPr>
          <w:spacing w:val="-8"/>
        </w:rPr>
        <w:t xml:space="preserve"> </w:t>
      </w:r>
      <w:r>
        <w:t>Change</w:t>
      </w:r>
      <w:r>
        <w:rPr>
          <w:spacing w:val="-4"/>
        </w:rPr>
        <w:t xml:space="preserve"> </w:t>
      </w:r>
      <w:r>
        <w:t>Assessment</w:t>
      </w:r>
      <w:r>
        <w:rPr>
          <w:spacing w:val="-4"/>
        </w:rPr>
        <w:t xml:space="preserve"> </w:t>
      </w:r>
      <w:r>
        <w:t>(URICA)</w:t>
      </w:r>
      <w:r>
        <w:rPr>
          <w:spacing w:val="-5"/>
        </w:rPr>
        <w:t xml:space="preserve"> </w:t>
      </w:r>
      <w:r>
        <w:rPr>
          <w:spacing w:val="-2"/>
        </w:rPr>
        <w:t>Scale</w:t>
      </w:r>
    </w:p>
    <w:p w14:paraId="1175EB03" w14:textId="77777777" w:rsidR="00DB6E1F" w:rsidRDefault="00F666A6">
      <w:pPr>
        <w:pStyle w:val="ListParagraph"/>
        <w:numPr>
          <w:ilvl w:val="0"/>
          <w:numId w:val="38"/>
        </w:numPr>
        <w:tabs>
          <w:tab w:val="left" w:pos="1801"/>
        </w:tabs>
        <w:spacing w:before="180"/>
        <w:ind w:left="1800"/>
      </w:pPr>
      <w:r>
        <w:t>Alcohol</w:t>
      </w:r>
      <w:r>
        <w:rPr>
          <w:spacing w:val="-8"/>
        </w:rPr>
        <w:t xml:space="preserve"> </w:t>
      </w:r>
      <w:r>
        <w:t>and</w:t>
      </w:r>
      <w:r>
        <w:rPr>
          <w:spacing w:val="-5"/>
        </w:rPr>
        <w:t xml:space="preserve"> </w:t>
      </w:r>
      <w:r>
        <w:t>Drug</w:t>
      </w:r>
      <w:r>
        <w:rPr>
          <w:spacing w:val="-6"/>
        </w:rPr>
        <w:t xml:space="preserve"> </w:t>
      </w:r>
      <w:r>
        <w:t>Consequences</w:t>
      </w:r>
      <w:r>
        <w:rPr>
          <w:spacing w:val="-6"/>
        </w:rPr>
        <w:t xml:space="preserve"> </w:t>
      </w:r>
      <w:r>
        <w:t>Questionnaire</w:t>
      </w:r>
      <w:r>
        <w:rPr>
          <w:spacing w:val="-4"/>
        </w:rPr>
        <w:t xml:space="preserve"> </w:t>
      </w:r>
      <w:r>
        <w:rPr>
          <w:spacing w:val="-2"/>
        </w:rPr>
        <w:t>(ADCQ)</w:t>
      </w:r>
    </w:p>
    <w:p w14:paraId="73C58E1B" w14:textId="77777777" w:rsidR="00DB6E1F" w:rsidRDefault="00F666A6">
      <w:pPr>
        <w:pStyle w:val="ListParagraph"/>
        <w:numPr>
          <w:ilvl w:val="0"/>
          <w:numId w:val="38"/>
        </w:numPr>
        <w:tabs>
          <w:tab w:val="left" w:pos="1801"/>
        </w:tabs>
        <w:spacing w:before="183"/>
        <w:ind w:left="1800"/>
      </w:pPr>
      <w:r>
        <w:t>Alcohol</w:t>
      </w:r>
      <w:r>
        <w:rPr>
          <w:spacing w:val="-7"/>
        </w:rPr>
        <w:t xml:space="preserve"> </w:t>
      </w:r>
      <w:r>
        <w:t>Decisional</w:t>
      </w:r>
      <w:r>
        <w:rPr>
          <w:spacing w:val="-7"/>
        </w:rPr>
        <w:t xml:space="preserve"> </w:t>
      </w:r>
      <w:r>
        <w:t>Balance</w:t>
      </w:r>
      <w:r>
        <w:rPr>
          <w:spacing w:val="-7"/>
        </w:rPr>
        <w:t xml:space="preserve"> </w:t>
      </w:r>
      <w:r>
        <w:rPr>
          <w:spacing w:val="-4"/>
        </w:rPr>
        <w:t>Scale</w:t>
      </w:r>
    </w:p>
    <w:p w14:paraId="7CE98E9A" w14:textId="77777777" w:rsidR="00DB6E1F" w:rsidRDefault="00F666A6">
      <w:pPr>
        <w:pStyle w:val="ListParagraph"/>
        <w:numPr>
          <w:ilvl w:val="0"/>
          <w:numId w:val="38"/>
        </w:numPr>
        <w:tabs>
          <w:tab w:val="left" w:pos="1801"/>
        </w:tabs>
        <w:spacing w:before="180"/>
        <w:ind w:left="1800"/>
      </w:pPr>
      <w:r>
        <w:t>Drug</w:t>
      </w:r>
      <w:r>
        <w:rPr>
          <w:spacing w:val="-6"/>
        </w:rPr>
        <w:t xml:space="preserve"> </w:t>
      </w:r>
      <w:r>
        <w:t>Use</w:t>
      </w:r>
      <w:r>
        <w:rPr>
          <w:spacing w:val="-6"/>
        </w:rPr>
        <w:t xml:space="preserve"> </w:t>
      </w:r>
      <w:r>
        <w:t>Decisional</w:t>
      </w:r>
      <w:r>
        <w:rPr>
          <w:spacing w:val="-5"/>
        </w:rPr>
        <w:t xml:space="preserve"> </w:t>
      </w:r>
      <w:r>
        <w:t>Balance</w:t>
      </w:r>
      <w:r>
        <w:rPr>
          <w:spacing w:val="-4"/>
        </w:rPr>
        <w:t xml:space="preserve"> Scale</w:t>
      </w:r>
    </w:p>
    <w:p w14:paraId="2710A042" w14:textId="77777777" w:rsidR="00DB6E1F" w:rsidRDefault="00F666A6">
      <w:pPr>
        <w:pStyle w:val="ListParagraph"/>
        <w:numPr>
          <w:ilvl w:val="0"/>
          <w:numId w:val="38"/>
        </w:numPr>
        <w:tabs>
          <w:tab w:val="left" w:pos="1801"/>
        </w:tabs>
        <w:spacing w:before="180"/>
        <w:ind w:left="1801"/>
      </w:pPr>
      <w:r>
        <w:t>Brief</w:t>
      </w:r>
      <w:r>
        <w:rPr>
          <w:spacing w:val="-10"/>
        </w:rPr>
        <w:t xml:space="preserve"> </w:t>
      </w:r>
      <w:r>
        <w:t>Situational</w:t>
      </w:r>
      <w:r>
        <w:rPr>
          <w:spacing w:val="-8"/>
        </w:rPr>
        <w:t xml:space="preserve"> </w:t>
      </w:r>
      <w:r>
        <w:t>Confidence</w:t>
      </w:r>
      <w:r>
        <w:rPr>
          <w:spacing w:val="-6"/>
        </w:rPr>
        <w:t xml:space="preserve"> </w:t>
      </w:r>
      <w:r>
        <w:t>Questionnaire</w:t>
      </w:r>
      <w:r>
        <w:rPr>
          <w:spacing w:val="-9"/>
        </w:rPr>
        <w:t xml:space="preserve"> </w:t>
      </w:r>
      <w:r>
        <w:rPr>
          <w:spacing w:val="-2"/>
        </w:rPr>
        <w:t>(BSCQ)</w:t>
      </w:r>
    </w:p>
    <w:p w14:paraId="43E0D69F" w14:textId="77777777" w:rsidR="00DB6E1F" w:rsidRDefault="00F666A6">
      <w:pPr>
        <w:pStyle w:val="ListParagraph"/>
        <w:numPr>
          <w:ilvl w:val="0"/>
          <w:numId w:val="38"/>
        </w:numPr>
        <w:tabs>
          <w:tab w:val="left" w:pos="1801"/>
        </w:tabs>
        <w:spacing w:before="183"/>
        <w:ind w:left="1801"/>
      </w:pPr>
      <w:r>
        <w:t>Alcohol</w:t>
      </w:r>
      <w:r>
        <w:rPr>
          <w:spacing w:val="-9"/>
        </w:rPr>
        <w:t xml:space="preserve"> </w:t>
      </w:r>
      <w:r>
        <w:t>Abstinence</w:t>
      </w:r>
      <w:r>
        <w:rPr>
          <w:spacing w:val="-6"/>
        </w:rPr>
        <w:t xml:space="preserve"> </w:t>
      </w:r>
      <w:r>
        <w:t>Self-Efficacy</w:t>
      </w:r>
      <w:r>
        <w:rPr>
          <w:spacing w:val="-5"/>
        </w:rPr>
        <w:t xml:space="preserve"> </w:t>
      </w:r>
      <w:r>
        <w:t>Scale</w:t>
      </w:r>
      <w:r>
        <w:rPr>
          <w:spacing w:val="-4"/>
        </w:rPr>
        <w:t xml:space="preserve"> </w:t>
      </w:r>
      <w:r>
        <w:rPr>
          <w:spacing w:val="-2"/>
        </w:rPr>
        <w:t>(AASES)</w:t>
      </w:r>
    </w:p>
    <w:p w14:paraId="23967904" w14:textId="77777777" w:rsidR="00DB6E1F" w:rsidRDefault="00F666A6">
      <w:pPr>
        <w:pStyle w:val="ListParagraph"/>
        <w:numPr>
          <w:ilvl w:val="0"/>
          <w:numId w:val="38"/>
        </w:numPr>
        <w:tabs>
          <w:tab w:val="left" w:pos="1801"/>
        </w:tabs>
        <w:spacing w:before="180"/>
        <w:ind w:left="1801"/>
      </w:pPr>
      <w:r>
        <w:t>Motivational</w:t>
      </w:r>
      <w:r>
        <w:rPr>
          <w:spacing w:val="-8"/>
        </w:rPr>
        <w:t xml:space="preserve"> </w:t>
      </w:r>
      <w:r>
        <w:t>Interviewing</w:t>
      </w:r>
      <w:r>
        <w:rPr>
          <w:spacing w:val="-9"/>
        </w:rPr>
        <w:t xml:space="preserve"> </w:t>
      </w:r>
      <w:r>
        <w:t>Knowledge</w:t>
      </w:r>
      <w:r>
        <w:rPr>
          <w:spacing w:val="-6"/>
        </w:rPr>
        <w:t xml:space="preserve"> </w:t>
      </w:r>
      <w:r>
        <w:rPr>
          <w:spacing w:val="-4"/>
        </w:rPr>
        <w:t>Test</w:t>
      </w:r>
    </w:p>
    <w:p w14:paraId="5EAD4D77" w14:textId="77777777" w:rsidR="00DB6E1F" w:rsidRDefault="00DB6E1F">
      <w:pPr>
        <w:sectPr w:rsidR="00DB6E1F">
          <w:headerReference w:type="default" r:id="rId164"/>
          <w:footerReference w:type="default" r:id="rId165"/>
          <w:pgSz w:w="12240" w:h="15840"/>
          <w:pgMar w:top="1200" w:right="0" w:bottom="780" w:left="0" w:header="763" w:footer="585" w:gutter="0"/>
          <w:cols w:space="720"/>
        </w:sectPr>
      </w:pPr>
    </w:p>
    <w:p w14:paraId="3981C538" w14:textId="77777777" w:rsidR="00DB6E1F" w:rsidRDefault="00DB6E1F">
      <w:pPr>
        <w:pStyle w:val="BodyText"/>
        <w:spacing w:before="3"/>
        <w:rPr>
          <w:sz w:val="17"/>
        </w:rPr>
      </w:pPr>
    </w:p>
    <w:p w14:paraId="4277B9E7" w14:textId="77777777" w:rsidR="00DB6E1F" w:rsidRDefault="00F666A6">
      <w:pPr>
        <w:pStyle w:val="Heading2"/>
        <w:numPr>
          <w:ilvl w:val="0"/>
          <w:numId w:val="37"/>
        </w:numPr>
        <w:tabs>
          <w:tab w:val="left" w:pos="1800"/>
        </w:tabs>
      </w:pPr>
      <w:bookmarkStart w:id="232" w:name="1._U.S._Alcohol_Use_Disorders_Identifica"/>
      <w:bookmarkStart w:id="233" w:name="_bookmark51"/>
      <w:bookmarkEnd w:id="232"/>
      <w:bookmarkEnd w:id="233"/>
      <w:r>
        <w:t>U</w:t>
      </w:r>
      <w:r>
        <w:t>.S.</w:t>
      </w:r>
      <w:r>
        <w:rPr>
          <w:spacing w:val="-3"/>
        </w:rPr>
        <w:t xml:space="preserve"> </w:t>
      </w:r>
      <w:r>
        <w:t>Alcohol</w:t>
      </w:r>
      <w:r>
        <w:rPr>
          <w:spacing w:val="-4"/>
        </w:rPr>
        <w:t xml:space="preserve"> </w:t>
      </w:r>
      <w:r>
        <w:t>Use</w:t>
      </w:r>
      <w:r>
        <w:rPr>
          <w:spacing w:val="-2"/>
        </w:rPr>
        <w:t xml:space="preserve"> </w:t>
      </w:r>
      <w:r>
        <w:t>Disorders</w:t>
      </w:r>
      <w:r>
        <w:rPr>
          <w:spacing w:val="-2"/>
        </w:rPr>
        <w:t xml:space="preserve"> </w:t>
      </w:r>
      <w:r>
        <w:t>Identification</w:t>
      </w:r>
      <w:r>
        <w:rPr>
          <w:spacing w:val="-1"/>
        </w:rPr>
        <w:t xml:space="preserve"> </w:t>
      </w:r>
      <w:r>
        <w:t>Test</w:t>
      </w:r>
      <w:r>
        <w:rPr>
          <w:spacing w:val="-5"/>
        </w:rPr>
        <w:t xml:space="preserve"> </w:t>
      </w:r>
      <w:r>
        <w:rPr>
          <w:spacing w:val="-2"/>
        </w:rPr>
        <w:t>(AUDIT)</w:t>
      </w:r>
    </w:p>
    <w:p w14:paraId="0623B47A" w14:textId="77777777" w:rsidR="00DB6E1F" w:rsidRDefault="00DB6E1F">
      <w:pPr>
        <w:pStyle w:val="BodyText"/>
        <w:spacing w:before="6"/>
        <w:rPr>
          <w:b/>
          <w:sz w:val="12"/>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DB6E1F" w14:paraId="0B7505F0" w14:textId="77777777">
        <w:trPr>
          <w:trHeight w:val="851"/>
        </w:trPr>
        <w:tc>
          <w:tcPr>
            <w:tcW w:w="9350" w:type="dxa"/>
            <w:gridSpan w:val="2"/>
          </w:tcPr>
          <w:p w14:paraId="22CF72D4" w14:textId="77777777" w:rsidR="00DB6E1F" w:rsidRDefault="00F666A6">
            <w:pPr>
              <w:pStyle w:val="TableParagraph"/>
              <w:spacing w:before="0"/>
              <w:ind w:right="156"/>
              <w:jc w:val="both"/>
              <w:rPr>
                <w:sz w:val="20"/>
              </w:rPr>
            </w:pPr>
            <w:r>
              <w:rPr>
                <w:b/>
                <w:sz w:val="20"/>
              </w:rPr>
              <w:t>Instructions:</w:t>
            </w:r>
            <w:r>
              <w:rPr>
                <w:b/>
                <w:spacing w:val="-3"/>
                <w:sz w:val="20"/>
              </w:rPr>
              <w:t xml:space="preserve"> </w:t>
            </w:r>
            <w:r>
              <w:rPr>
                <w:sz w:val="20"/>
              </w:rPr>
              <w:t>Alcohol</w:t>
            </w:r>
            <w:r>
              <w:rPr>
                <w:spacing w:val="-3"/>
                <w:sz w:val="20"/>
              </w:rPr>
              <w:t xml:space="preserve"> </w:t>
            </w:r>
            <w:r>
              <w:rPr>
                <w:sz w:val="20"/>
              </w:rPr>
              <w:t>can</w:t>
            </w:r>
            <w:r>
              <w:rPr>
                <w:spacing w:val="-2"/>
                <w:sz w:val="20"/>
              </w:rPr>
              <w:t xml:space="preserve"> </w:t>
            </w:r>
            <w:r>
              <w:rPr>
                <w:sz w:val="20"/>
              </w:rPr>
              <w:t>affect</w:t>
            </w:r>
            <w:r>
              <w:rPr>
                <w:spacing w:val="-3"/>
                <w:sz w:val="20"/>
              </w:rPr>
              <w:t xml:space="preserve"> </w:t>
            </w:r>
            <w:r>
              <w:rPr>
                <w:sz w:val="20"/>
              </w:rPr>
              <w:t>your</w:t>
            </w:r>
            <w:r>
              <w:rPr>
                <w:spacing w:val="-3"/>
                <w:sz w:val="20"/>
              </w:rPr>
              <w:t xml:space="preserve"> </w:t>
            </w:r>
            <w:r>
              <w:rPr>
                <w:sz w:val="20"/>
              </w:rPr>
              <w:t>health</w:t>
            </w:r>
            <w:r>
              <w:rPr>
                <w:spacing w:val="-2"/>
                <w:sz w:val="20"/>
              </w:rPr>
              <w:t xml:space="preserve"> </w:t>
            </w:r>
            <w:r>
              <w:rPr>
                <w:sz w:val="20"/>
              </w:rPr>
              <w:t>and</w:t>
            </w:r>
            <w:r>
              <w:rPr>
                <w:spacing w:val="-5"/>
                <w:sz w:val="20"/>
              </w:rPr>
              <w:t xml:space="preserve"> </w:t>
            </w:r>
            <w:r>
              <w:rPr>
                <w:sz w:val="20"/>
              </w:rPr>
              <w:t>treatment.</w:t>
            </w:r>
            <w:r>
              <w:rPr>
                <w:spacing w:val="-3"/>
                <w:sz w:val="20"/>
              </w:rPr>
              <w:t xml:space="preserve"> </w:t>
            </w:r>
            <w:r>
              <w:rPr>
                <w:sz w:val="20"/>
              </w:rPr>
              <w:t>We</w:t>
            </w:r>
            <w:r>
              <w:rPr>
                <w:spacing w:val="-4"/>
                <w:sz w:val="20"/>
              </w:rPr>
              <w:t xml:space="preserve"> </w:t>
            </w:r>
            <w:r>
              <w:rPr>
                <w:sz w:val="20"/>
              </w:rPr>
              <w:t>ask</w:t>
            </w:r>
            <w:r>
              <w:rPr>
                <w:spacing w:val="-2"/>
                <w:sz w:val="20"/>
              </w:rPr>
              <w:t xml:space="preserve"> </w:t>
            </w:r>
            <w:r>
              <w:rPr>
                <w:sz w:val="20"/>
              </w:rPr>
              <w:t>all</w:t>
            </w:r>
            <w:r>
              <w:rPr>
                <w:spacing w:val="-3"/>
                <w:sz w:val="20"/>
              </w:rPr>
              <w:t xml:space="preserve"> </w:t>
            </w:r>
            <w:r>
              <w:rPr>
                <w:sz w:val="20"/>
              </w:rPr>
              <w:t>clients</w:t>
            </w:r>
            <w:r>
              <w:rPr>
                <w:spacing w:val="-4"/>
                <w:sz w:val="20"/>
              </w:rPr>
              <w:t xml:space="preserve"> </w:t>
            </w:r>
            <w:r>
              <w:rPr>
                <w:sz w:val="20"/>
              </w:rPr>
              <w:t>these</w:t>
            </w:r>
            <w:r>
              <w:rPr>
                <w:spacing w:val="-4"/>
                <w:sz w:val="20"/>
              </w:rPr>
              <w:t xml:space="preserve"> </w:t>
            </w:r>
            <w:r>
              <w:rPr>
                <w:sz w:val="20"/>
              </w:rPr>
              <w:t>questions.</w:t>
            </w:r>
            <w:r>
              <w:rPr>
                <w:spacing w:val="-3"/>
                <w:sz w:val="20"/>
              </w:rPr>
              <w:t xml:space="preserve"> </w:t>
            </w:r>
            <w:r>
              <w:rPr>
                <w:sz w:val="20"/>
              </w:rPr>
              <w:t>Your</w:t>
            </w:r>
            <w:r>
              <w:rPr>
                <w:spacing w:val="-3"/>
                <w:sz w:val="20"/>
              </w:rPr>
              <w:t xml:space="preserve"> </w:t>
            </w:r>
            <w:r>
              <w:rPr>
                <w:sz w:val="20"/>
              </w:rPr>
              <w:t>answers</w:t>
            </w:r>
            <w:r>
              <w:rPr>
                <w:spacing w:val="-2"/>
                <w:sz w:val="20"/>
              </w:rPr>
              <w:t xml:space="preserve"> </w:t>
            </w:r>
            <w:r>
              <w:rPr>
                <w:sz w:val="20"/>
              </w:rPr>
              <w:t>will remain confidential.</w:t>
            </w:r>
            <w:r>
              <w:rPr>
                <w:spacing w:val="-1"/>
                <w:sz w:val="20"/>
              </w:rPr>
              <w:t xml:space="preserve"> </w:t>
            </w:r>
            <w:r>
              <w:rPr>
                <w:sz w:val="20"/>
              </w:rPr>
              <w:t>Circle</w:t>
            </w:r>
            <w:r>
              <w:rPr>
                <w:spacing w:val="-2"/>
                <w:sz w:val="20"/>
              </w:rPr>
              <w:t xml:space="preserve"> </w:t>
            </w:r>
            <w:r>
              <w:rPr>
                <w:sz w:val="20"/>
              </w:rPr>
              <w:t>the best</w:t>
            </w:r>
            <w:r>
              <w:rPr>
                <w:spacing w:val="-1"/>
                <w:sz w:val="20"/>
              </w:rPr>
              <w:t xml:space="preserve"> </w:t>
            </w:r>
            <w:r>
              <w:rPr>
                <w:sz w:val="20"/>
              </w:rPr>
              <w:t>answer</w:t>
            </w:r>
            <w:r>
              <w:rPr>
                <w:spacing w:val="-1"/>
                <w:sz w:val="20"/>
              </w:rPr>
              <w:t xml:space="preserve"> </w:t>
            </w:r>
            <w:r>
              <w:rPr>
                <w:sz w:val="20"/>
              </w:rPr>
              <w:t>to each question.</w:t>
            </w:r>
            <w:r>
              <w:rPr>
                <w:spacing w:val="-1"/>
                <w:sz w:val="20"/>
              </w:rPr>
              <w:t xml:space="preserve"> </w:t>
            </w:r>
            <w:r>
              <w:rPr>
                <w:sz w:val="20"/>
              </w:rPr>
              <w:t>Think about</w:t>
            </w:r>
            <w:r>
              <w:rPr>
                <w:spacing w:val="-1"/>
                <w:sz w:val="20"/>
              </w:rPr>
              <w:t xml:space="preserve"> </w:t>
            </w:r>
            <w:r>
              <w:rPr>
                <w:sz w:val="20"/>
              </w:rPr>
              <w:t>your</w:t>
            </w:r>
            <w:r>
              <w:rPr>
                <w:spacing w:val="-3"/>
                <w:sz w:val="20"/>
              </w:rPr>
              <w:t xml:space="preserve"> </w:t>
            </w:r>
            <w:r>
              <w:rPr>
                <w:sz w:val="20"/>
              </w:rPr>
              <w:t>drinking</w:t>
            </w:r>
            <w:r>
              <w:rPr>
                <w:spacing w:val="-1"/>
                <w:sz w:val="20"/>
              </w:rPr>
              <w:t xml:space="preserve"> </w:t>
            </w:r>
            <w:r>
              <w:rPr>
                <w:sz w:val="20"/>
              </w:rPr>
              <w:t>in</w:t>
            </w:r>
            <w:r>
              <w:rPr>
                <w:spacing w:val="-3"/>
                <w:sz w:val="20"/>
              </w:rPr>
              <w:t xml:space="preserve"> </w:t>
            </w:r>
            <w:r>
              <w:rPr>
                <w:sz w:val="20"/>
              </w:rPr>
              <w:t>the</w:t>
            </w:r>
            <w:r>
              <w:rPr>
                <w:spacing w:val="-2"/>
                <w:sz w:val="20"/>
              </w:rPr>
              <w:t xml:space="preserve"> </w:t>
            </w:r>
            <w:r>
              <w:rPr>
                <w:sz w:val="20"/>
              </w:rPr>
              <w:t>past</w:t>
            </w:r>
            <w:r>
              <w:rPr>
                <w:spacing w:val="-1"/>
                <w:sz w:val="20"/>
              </w:rPr>
              <w:t xml:space="preserve"> </w:t>
            </w:r>
            <w:r>
              <w:rPr>
                <w:sz w:val="20"/>
              </w:rPr>
              <w:t>year.</w:t>
            </w:r>
            <w:r>
              <w:rPr>
                <w:spacing w:val="-1"/>
                <w:sz w:val="20"/>
              </w:rPr>
              <w:t xml:space="preserve"> </w:t>
            </w:r>
            <w:r>
              <w:rPr>
                <w:sz w:val="20"/>
              </w:rPr>
              <w:t>A</w:t>
            </w:r>
            <w:r>
              <w:rPr>
                <w:spacing w:val="-1"/>
                <w:sz w:val="20"/>
              </w:rPr>
              <w:t xml:space="preserve"> </w:t>
            </w:r>
            <w:r>
              <w:rPr>
                <w:sz w:val="20"/>
              </w:rPr>
              <w:t>drink means one beer, one small glass of wine (5 oz.), or one mixed drink containing one shot (1.5 oz.) of spirits.</w:t>
            </w:r>
          </w:p>
        </w:tc>
      </w:tr>
      <w:tr w:rsidR="00DB6E1F" w14:paraId="31C1B8AE" w14:textId="77777777">
        <w:trPr>
          <w:trHeight w:val="1953"/>
        </w:trPr>
        <w:tc>
          <w:tcPr>
            <w:tcW w:w="4675" w:type="dxa"/>
          </w:tcPr>
          <w:p w14:paraId="23717047" w14:textId="77777777" w:rsidR="00DB6E1F" w:rsidRDefault="00F666A6">
            <w:pPr>
              <w:pStyle w:val="TableParagraph"/>
              <w:rPr>
                <w:b/>
                <w:sz w:val="20"/>
              </w:rPr>
            </w:pPr>
            <w:r>
              <w:rPr>
                <w:b/>
                <w:sz w:val="20"/>
              </w:rPr>
              <w:t>1.How</w:t>
            </w:r>
            <w:r>
              <w:rPr>
                <w:b/>
                <w:spacing w:val="-5"/>
                <w:sz w:val="20"/>
              </w:rPr>
              <w:t xml:space="preserve"> </w:t>
            </w:r>
            <w:r>
              <w:rPr>
                <w:b/>
                <w:sz w:val="20"/>
              </w:rPr>
              <w:t>often</w:t>
            </w:r>
            <w:r>
              <w:rPr>
                <w:b/>
                <w:spacing w:val="-4"/>
                <w:sz w:val="20"/>
              </w:rPr>
              <w:t xml:space="preserve"> </w:t>
            </w:r>
            <w:r>
              <w:rPr>
                <w:b/>
                <w:sz w:val="20"/>
              </w:rPr>
              <w:t>do</w:t>
            </w:r>
            <w:r>
              <w:rPr>
                <w:b/>
                <w:spacing w:val="-4"/>
                <w:sz w:val="20"/>
              </w:rPr>
              <w:t xml:space="preserve"> </w:t>
            </w:r>
            <w:r>
              <w:rPr>
                <w:b/>
                <w:sz w:val="20"/>
              </w:rPr>
              <w:t>you</w:t>
            </w:r>
            <w:r>
              <w:rPr>
                <w:b/>
                <w:spacing w:val="-3"/>
                <w:sz w:val="20"/>
              </w:rPr>
              <w:t xml:space="preserve"> </w:t>
            </w:r>
            <w:r>
              <w:rPr>
                <w:b/>
                <w:sz w:val="20"/>
              </w:rPr>
              <w:t>have</w:t>
            </w:r>
            <w:r>
              <w:rPr>
                <w:b/>
                <w:spacing w:val="-5"/>
                <w:sz w:val="20"/>
              </w:rPr>
              <w:t xml:space="preserve"> </w:t>
            </w:r>
            <w:r>
              <w:rPr>
                <w:b/>
                <w:sz w:val="20"/>
              </w:rPr>
              <w:t>a</w:t>
            </w:r>
            <w:r>
              <w:rPr>
                <w:b/>
                <w:spacing w:val="-5"/>
                <w:sz w:val="20"/>
              </w:rPr>
              <w:t xml:space="preserve"> </w:t>
            </w:r>
            <w:r>
              <w:rPr>
                <w:b/>
                <w:sz w:val="20"/>
              </w:rPr>
              <w:t>drink</w:t>
            </w:r>
            <w:r>
              <w:rPr>
                <w:b/>
                <w:spacing w:val="-4"/>
                <w:sz w:val="20"/>
              </w:rPr>
              <w:t xml:space="preserve"> </w:t>
            </w:r>
            <w:r>
              <w:rPr>
                <w:b/>
                <w:sz w:val="20"/>
              </w:rPr>
              <w:t>containing</w:t>
            </w:r>
            <w:r>
              <w:rPr>
                <w:b/>
                <w:spacing w:val="-6"/>
                <w:sz w:val="20"/>
              </w:rPr>
              <w:t xml:space="preserve"> </w:t>
            </w:r>
            <w:r>
              <w:rPr>
                <w:b/>
                <w:spacing w:val="-2"/>
                <w:sz w:val="20"/>
              </w:rPr>
              <w:t>alcohol?</w:t>
            </w:r>
          </w:p>
          <w:p w14:paraId="51ED0E16" w14:textId="77777777" w:rsidR="00DB6E1F" w:rsidRDefault="00F666A6">
            <w:pPr>
              <w:pStyle w:val="TableParagraph"/>
              <w:numPr>
                <w:ilvl w:val="0"/>
                <w:numId w:val="36"/>
              </w:numPr>
              <w:tabs>
                <w:tab w:val="left" w:pos="461"/>
              </w:tabs>
              <w:spacing w:line="243" w:lineRule="exact"/>
              <w:ind w:hanging="354"/>
              <w:rPr>
                <w:i/>
                <w:sz w:val="20"/>
              </w:rPr>
            </w:pPr>
            <w:r>
              <w:rPr>
                <w:sz w:val="20"/>
              </w:rPr>
              <w:t>Never</w:t>
            </w:r>
            <w:r>
              <w:rPr>
                <w:spacing w:val="-3"/>
                <w:sz w:val="20"/>
              </w:rPr>
              <w:t xml:space="preserve"> </w:t>
            </w:r>
            <w:r>
              <w:rPr>
                <w:i/>
                <w:sz w:val="20"/>
              </w:rPr>
              <w:t>[Skip</w:t>
            </w:r>
            <w:r>
              <w:rPr>
                <w:i/>
                <w:spacing w:val="-4"/>
                <w:sz w:val="20"/>
              </w:rPr>
              <w:t xml:space="preserve"> </w:t>
            </w:r>
            <w:r>
              <w:rPr>
                <w:i/>
                <w:sz w:val="20"/>
              </w:rPr>
              <w:t>to</w:t>
            </w:r>
            <w:r>
              <w:rPr>
                <w:i/>
                <w:spacing w:val="-4"/>
                <w:sz w:val="20"/>
              </w:rPr>
              <w:t xml:space="preserve"> </w:t>
            </w:r>
            <w:r>
              <w:rPr>
                <w:i/>
                <w:sz w:val="20"/>
              </w:rPr>
              <w:t>Questions</w:t>
            </w:r>
            <w:r>
              <w:rPr>
                <w:i/>
                <w:spacing w:val="-5"/>
                <w:sz w:val="20"/>
              </w:rPr>
              <w:t xml:space="preserve"> </w:t>
            </w:r>
            <w:r>
              <w:rPr>
                <w:i/>
                <w:sz w:val="20"/>
              </w:rPr>
              <w:t>9</w:t>
            </w:r>
            <w:r>
              <w:rPr>
                <w:i/>
                <w:spacing w:val="-6"/>
                <w:sz w:val="20"/>
              </w:rPr>
              <w:t xml:space="preserve"> </w:t>
            </w:r>
            <w:r>
              <w:rPr>
                <w:i/>
                <w:sz w:val="20"/>
              </w:rPr>
              <w:t>and</w:t>
            </w:r>
            <w:r>
              <w:rPr>
                <w:i/>
                <w:spacing w:val="-4"/>
                <w:sz w:val="20"/>
              </w:rPr>
              <w:t xml:space="preserve"> </w:t>
            </w:r>
            <w:r>
              <w:rPr>
                <w:i/>
                <w:spacing w:val="-5"/>
                <w:sz w:val="20"/>
              </w:rPr>
              <w:t>10]</w:t>
            </w:r>
          </w:p>
          <w:p w14:paraId="0E4247F9" w14:textId="77777777" w:rsidR="00DB6E1F" w:rsidRDefault="00F666A6">
            <w:pPr>
              <w:pStyle w:val="TableParagraph"/>
              <w:numPr>
                <w:ilvl w:val="0"/>
                <w:numId w:val="36"/>
              </w:numPr>
              <w:tabs>
                <w:tab w:val="left" w:pos="461"/>
              </w:tabs>
              <w:spacing w:before="0" w:line="243" w:lineRule="exact"/>
              <w:ind w:hanging="354"/>
              <w:rPr>
                <w:sz w:val="20"/>
              </w:rPr>
            </w:pPr>
            <w:r>
              <w:rPr>
                <w:sz w:val="20"/>
              </w:rPr>
              <w:t>Less</w:t>
            </w:r>
            <w:r>
              <w:rPr>
                <w:spacing w:val="-5"/>
                <w:sz w:val="20"/>
              </w:rPr>
              <w:t xml:space="preserve"> </w:t>
            </w:r>
            <w:r>
              <w:rPr>
                <w:sz w:val="20"/>
              </w:rPr>
              <w:t>than</w:t>
            </w:r>
            <w:r>
              <w:rPr>
                <w:spacing w:val="-3"/>
                <w:sz w:val="20"/>
              </w:rPr>
              <w:t xml:space="preserve"> </w:t>
            </w:r>
            <w:r>
              <w:rPr>
                <w:spacing w:val="-2"/>
                <w:sz w:val="20"/>
              </w:rPr>
              <w:t>monthly</w:t>
            </w:r>
          </w:p>
          <w:p w14:paraId="1FCFD71A" w14:textId="77777777" w:rsidR="00DB6E1F" w:rsidRDefault="00F666A6">
            <w:pPr>
              <w:pStyle w:val="TableParagraph"/>
              <w:numPr>
                <w:ilvl w:val="0"/>
                <w:numId w:val="36"/>
              </w:numPr>
              <w:tabs>
                <w:tab w:val="left" w:pos="461"/>
              </w:tabs>
              <w:spacing w:before="0"/>
              <w:ind w:hanging="354"/>
              <w:rPr>
                <w:sz w:val="20"/>
              </w:rPr>
            </w:pPr>
            <w:r>
              <w:rPr>
                <w:spacing w:val="-2"/>
                <w:sz w:val="20"/>
              </w:rPr>
              <w:t>Monthly</w:t>
            </w:r>
          </w:p>
          <w:p w14:paraId="037BCA67" w14:textId="77777777" w:rsidR="00DB6E1F" w:rsidRDefault="00F666A6">
            <w:pPr>
              <w:pStyle w:val="TableParagraph"/>
              <w:numPr>
                <w:ilvl w:val="0"/>
                <w:numId w:val="36"/>
              </w:numPr>
              <w:tabs>
                <w:tab w:val="left" w:pos="461"/>
              </w:tabs>
              <w:spacing w:line="243" w:lineRule="exact"/>
              <w:ind w:hanging="354"/>
              <w:rPr>
                <w:sz w:val="20"/>
              </w:rPr>
            </w:pPr>
            <w:r>
              <w:rPr>
                <w:spacing w:val="-2"/>
                <w:sz w:val="20"/>
              </w:rPr>
              <w:t>Weekly</w:t>
            </w:r>
          </w:p>
          <w:p w14:paraId="3F108F9C" w14:textId="77777777" w:rsidR="00DB6E1F" w:rsidRDefault="00F666A6">
            <w:pPr>
              <w:pStyle w:val="TableParagraph"/>
              <w:numPr>
                <w:ilvl w:val="0"/>
                <w:numId w:val="36"/>
              </w:numPr>
              <w:tabs>
                <w:tab w:val="left" w:pos="461"/>
              </w:tabs>
              <w:spacing w:before="0" w:line="243" w:lineRule="exact"/>
              <w:ind w:hanging="354"/>
              <w:rPr>
                <w:sz w:val="20"/>
              </w:rPr>
            </w:pPr>
            <w:r>
              <w:rPr>
                <w:sz w:val="20"/>
              </w:rPr>
              <w:t>2</w:t>
            </w:r>
            <w:r>
              <w:rPr>
                <w:spacing w:val="-3"/>
                <w:sz w:val="20"/>
              </w:rPr>
              <w:t xml:space="preserve"> </w:t>
            </w:r>
            <w:r>
              <w:rPr>
                <w:sz w:val="20"/>
              </w:rPr>
              <w:t>to</w:t>
            </w:r>
            <w:r>
              <w:rPr>
                <w:spacing w:val="-2"/>
                <w:sz w:val="20"/>
              </w:rPr>
              <w:t xml:space="preserve"> </w:t>
            </w:r>
            <w:r>
              <w:rPr>
                <w:sz w:val="20"/>
              </w:rPr>
              <w:t>3</w:t>
            </w:r>
            <w:r>
              <w:rPr>
                <w:spacing w:val="-2"/>
                <w:sz w:val="20"/>
              </w:rPr>
              <w:t xml:space="preserve"> </w:t>
            </w:r>
            <w:r>
              <w:rPr>
                <w:sz w:val="20"/>
              </w:rPr>
              <w:t>times</w:t>
            </w:r>
            <w:r>
              <w:rPr>
                <w:spacing w:val="-3"/>
                <w:sz w:val="20"/>
              </w:rPr>
              <w:t xml:space="preserve"> </w:t>
            </w:r>
            <w:r>
              <w:rPr>
                <w:sz w:val="20"/>
              </w:rPr>
              <w:t>a</w:t>
            </w:r>
            <w:r>
              <w:rPr>
                <w:spacing w:val="-1"/>
                <w:sz w:val="20"/>
              </w:rPr>
              <w:t xml:space="preserve"> </w:t>
            </w:r>
            <w:r>
              <w:rPr>
                <w:spacing w:val="-4"/>
                <w:sz w:val="20"/>
              </w:rPr>
              <w:t>week</w:t>
            </w:r>
          </w:p>
          <w:p w14:paraId="7962245E" w14:textId="77777777" w:rsidR="00DB6E1F" w:rsidRDefault="00F666A6">
            <w:pPr>
              <w:pStyle w:val="TableParagraph"/>
              <w:numPr>
                <w:ilvl w:val="0"/>
                <w:numId w:val="36"/>
              </w:numPr>
              <w:tabs>
                <w:tab w:val="left" w:pos="461"/>
              </w:tabs>
              <w:ind w:hanging="354"/>
              <w:rPr>
                <w:sz w:val="20"/>
              </w:rPr>
            </w:pPr>
            <w:r>
              <w:rPr>
                <w:sz w:val="20"/>
              </w:rPr>
              <w:t>4</w:t>
            </w:r>
            <w:r>
              <w:rPr>
                <w:spacing w:val="-3"/>
                <w:sz w:val="20"/>
              </w:rPr>
              <w:t xml:space="preserve"> </w:t>
            </w:r>
            <w:r>
              <w:rPr>
                <w:sz w:val="20"/>
              </w:rPr>
              <w:t>to</w:t>
            </w:r>
            <w:r>
              <w:rPr>
                <w:spacing w:val="-2"/>
                <w:sz w:val="20"/>
              </w:rPr>
              <w:t xml:space="preserve"> </w:t>
            </w:r>
            <w:r>
              <w:rPr>
                <w:sz w:val="20"/>
              </w:rPr>
              <w:t>6</w:t>
            </w:r>
            <w:r>
              <w:rPr>
                <w:spacing w:val="-2"/>
                <w:sz w:val="20"/>
              </w:rPr>
              <w:t xml:space="preserve"> </w:t>
            </w:r>
            <w:r>
              <w:rPr>
                <w:sz w:val="20"/>
              </w:rPr>
              <w:t>times</w:t>
            </w:r>
            <w:r>
              <w:rPr>
                <w:spacing w:val="-3"/>
                <w:sz w:val="20"/>
              </w:rPr>
              <w:t xml:space="preserve"> </w:t>
            </w:r>
            <w:r>
              <w:rPr>
                <w:sz w:val="20"/>
              </w:rPr>
              <w:t>a</w:t>
            </w:r>
            <w:r>
              <w:rPr>
                <w:spacing w:val="-2"/>
                <w:sz w:val="20"/>
              </w:rPr>
              <w:t xml:space="preserve"> </w:t>
            </w:r>
            <w:r>
              <w:rPr>
                <w:spacing w:val="-4"/>
                <w:sz w:val="20"/>
              </w:rPr>
              <w:t>week</w:t>
            </w:r>
          </w:p>
          <w:p w14:paraId="451A1C0A" w14:textId="77777777" w:rsidR="00DB6E1F" w:rsidRDefault="00F666A6">
            <w:pPr>
              <w:pStyle w:val="TableParagraph"/>
              <w:numPr>
                <w:ilvl w:val="0"/>
                <w:numId w:val="36"/>
              </w:numPr>
              <w:tabs>
                <w:tab w:val="left" w:pos="461"/>
              </w:tabs>
              <w:spacing w:before="0" w:line="223" w:lineRule="exact"/>
              <w:ind w:hanging="354"/>
              <w:rPr>
                <w:sz w:val="20"/>
              </w:rPr>
            </w:pPr>
            <w:r>
              <w:rPr>
                <w:spacing w:val="-2"/>
                <w:sz w:val="20"/>
              </w:rPr>
              <w:t>Daily</w:t>
            </w:r>
          </w:p>
        </w:tc>
        <w:tc>
          <w:tcPr>
            <w:tcW w:w="4675" w:type="dxa"/>
          </w:tcPr>
          <w:p w14:paraId="15B28912" w14:textId="77777777" w:rsidR="00DB6E1F" w:rsidRDefault="00F666A6">
            <w:pPr>
              <w:pStyle w:val="TableParagraph"/>
              <w:ind w:right="56"/>
              <w:rPr>
                <w:b/>
                <w:sz w:val="20"/>
              </w:rPr>
            </w:pPr>
            <w:r>
              <w:rPr>
                <w:b/>
                <w:sz w:val="20"/>
              </w:rPr>
              <w:t>6.</w:t>
            </w:r>
            <w:r>
              <w:rPr>
                <w:b/>
                <w:spacing w:val="-4"/>
                <w:sz w:val="20"/>
              </w:rPr>
              <w:t xml:space="preserve"> </w:t>
            </w:r>
            <w:r>
              <w:rPr>
                <w:b/>
                <w:sz w:val="20"/>
              </w:rPr>
              <w:t>How</w:t>
            </w:r>
            <w:r>
              <w:rPr>
                <w:b/>
                <w:spacing w:val="-4"/>
                <w:sz w:val="20"/>
              </w:rPr>
              <w:t xml:space="preserve"> </w:t>
            </w:r>
            <w:r>
              <w:rPr>
                <w:b/>
                <w:sz w:val="20"/>
              </w:rPr>
              <w:t>often</w:t>
            </w:r>
            <w:r>
              <w:rPr>
                <w:b/>
                <w:spacing w:val="-3"/>
                <w:sz w:val="20"/>
              </w:rPr>
              <w:t xml:space="preserve"> </w:t>
            </w:r>
            <w:r>
              <w:rPr>
                <w:b/>
                <w:sz w:val="20"/>
              </w:rPr>
              <w:t>during</w:t>
            </w:r>
            <w:r>
              <w:rPr>
                <w:b/>
                <w:spacing w:val="-5"/>
                <w:sz w:val="20"/>
              </w:rPr>
              <w:t xml:space="preserve"> </w:t>
            </w:r>
            <w:r>
              <w:rPr>
                <w:b/>
                <w:sz w:val="20"/>
              </w:rPr>
              <w:t>the</w:t>
            </w:r>
            <w:r>
              <w:rPr>
                <w:b/>
                <w:spacing w:val="-4"/>
                <w:sz w:val="20"/>
              </w:rPr>
              <w:t xml:space="preserve"> </w:t>
            </w:r>
            <w:r>
              <w:rPr>
                <w:b/>
                <w:sz w:val="20"/>
              </w:rPr>
              <w:t>last</w:t>
            </w:r>
            <w:r>
              <w:rPr>
                <w:b/>
                <w:spacing w:val="-4"/>
                <w:sz w:val="20"/>
              </w:rPr>
              <w:t xml:space="preserve"> </w:t>
            </w:r>
            <w:r>
              <w:rPr>
                <w:b/>
                <w:sz w:val="20"/>
              </w:rPr>
              <w:t>year</w:t>
            </w:r>
            <w:r>
              <w:rPr>
                <w:b/>
                <w:spacing w:val="-3"/>
                <w:sz w:val="20"/>
              </w:rPr>
              <w:t xml:space="preserve"> </w:t>
            </w:r>
            <w:r>
              <w:rPr>
                <w:b/>
                <w:sz w:val="20"/>
              </w:rPr>
              <w:t>have</w:t>
            </w:r>
            <w:r>
              <w:rPr>
                <w:b/>
                <w:spacing w:val="-4"/>
                <w:sz w:val="20"/>
              </w:rPr>
              <w:t xml:space="preserve"> </w:t>
            </w:r>
            <w:r>
              <w:rPr>
                <w:b/>
                <w:sz w:val="20"/>
              </w:rPr>
              <w:t>you</w:t>
            </w:r>
            <w:r>
              <w:rPr>
                <w:b/>
                <w:spacing w:val="-3"/>
                <w:sz w:val="20"/>
              </w:rPr>
              <w:t xml:space="preserve"> </w:t>
            </w:r>
            <w:r>
              <w:rPr>
                <w:b/>
                <w:sz w:val="20"/>
              </w:rPr>
              <w:t>needed</w:t>
            </w:r>
            <w:r>
              <w:rPr>
                <w:b/>
                <w:spacing w:val="-3"/>
                <w:sz w:val="20"/>
              </w:rPr>
              <w:t xml:space="preserve"> </w:t>
            </w:r>
            <w:r>
              <w:rPr>
                <w:b/>
                <w:sz w:val="20"/>
              </w:rPr>
              <w:t>an alcoholic drink first thing in the morning to get yourself going after a night of heavy drinking?</w:t>
            </w:r>
          </w:p>
          <w:p w14:paraId="7D413E6B" w14:textId="77777777" w:rsidR="00DB6E1F" w:rsidRDefault="00F666A6">
            <w:pPr>
              <w:pStyle w:val="TableParagraph"/>
              <w:numPr>
                <w:ilvl w:val="0"/>
                <w:numId w:val="35"/>
              </w:numPr>
              <w:tabs>
                <w:tab w:val="left" w:pos="476"/>
              </w:tabs>
              <w:spacing w:before="0" w:line="244" w:lineRule="exact"/>
              <w:ind w:hanging="369"/>
              <w:rPr>
                <w:sz w:val="20"/>
              </w:rPr>
            </w:pPr>
            <w:r>
              <w:rPr>
                <w:spacing w:val="-2"/>
                <w:sz w:val="20"/>
              </w:rPr>
              <w:t>Never</w:t>
            </w:r>
          </w:p>
          <w:p w14:paraId="4B0488A1" w14:textId="77777777" w:rsidR="00DB6E1F" w:rsidRDefault="00F666A6">
            <w:pPr>
              <w:pStyle w:val="TableParagraph"/>
              <w:numPr>
                <w:ilvl w:val="0"/>
                <w:numId w:val="35"/>
              </w:numPr>
              <w:tabs>
                <w:tab w:val="left" w:pos="476"/>
              </w:tabs>
              <w:spacing w:line="243" w:lineRule="exact"/>
              <w:ind w:hanging="369"/>
              <w:rPr>
                <w:sz w:val="20"/>
              </w:rPr>
            </w:pPr>
            <w:r>
              <w:rPr>
                <w:sz w:val="20"/>
              </w:rPr>
              <w:t>Less</w:t>
            </w:r>
            <w:r>
              <w:rPr>
                <w:spacing w:val="-5"/>
                <w:sz w:val="20"/>
              </w:rPr>
              <w:t xml:space="preserve"> </w:t>
            </w:r>
            <w:r>
              <w:rPr>
                <w:sz w:val="20"/>
              </w:rPr>
              <w:t>than</w:t>
            </w:r>
            <w:r>
              <w:rPr>
                <w:spacing w:val="-3"/>
                <w:sz w:val="20"/>
              </w:rPr>
              <w:t xml:space="preserve"> </w:t>
            </w:r>
            <w:r>
              <w:rPr>
                <w:spacing w:val="-2"/>
                <w:sz w:val="20"/>
              </w:rPr>
              <w:t>monthly</w:t>
            </w:r>
          </w:p>
          <w:p w14:paraId="07FA68C6" w14:textId="77777777" w:rsidR="00DB6E1F" w:rsidRDefault="00F666A6">
            <w:pPr>
              <w:pStyle w:val="TableParagraph"/>
              <w:numPr>
                <w:ilvl w:val="0"/>
                <w:numId w:val="35"/>
              </w:numPr>
              <w:tabs>
                <w:tab w:val="left" w:pos="476"/>
              </w:tabs>
              <w:spacing w:before="0" w:line="243" w:lineRule="exact"/>
              <w:ind w:hanging="369"/>
              <w:rPr>
                <w:sz w:val="20"/>
              </w:rPr>
            </w:pPr>
            <w:r>
              <w:rPr>
                <w:spacing w:val="-2"/>
                <w:sz w:val="20"/>
              </w:rPr>
              <w:t>Monthly</w:t>
            </w:r>
          </w:p>
          <w:p w14:paraId="2C923711" w14:textId="77777777" w:rsidR="00DB6E1F" w:rsidRDefault="00F666A6">
            <w:pPr>
              <w:pStyle w:val="TableParagraph"/>
              <w:numPr>
                <w:ilvl w:val="0"/>
                <w:numId w:val="35"/>
              </w:numPr>
              <w:tabs>
                <w:tab w:val="left" w:pos="476"/>
              </w:tabs>
              <w:spacing w:before="0"/>
              <w:ind w:hanging="369"/>
              <w:rPr>
                <w:sz w:val="20"/>
              </w:rPr>
            </w:pPr>
            <w:r>
              <w:rPr>
                <w:spacing w:val="-2"/>
                <w:sz w:val="20"/>
              </w:rPr>
              <w:t>Weekly</w:t>
            </w:r>
          </w:p>
          <w:p w14:paraId="0057576E" w14:textId="77777777" w:rsidR="00DB6E1F" w:rsidRDefault="00F666A6">
            <w:pPr>
              <w:pStyle w:val="TableParagraph"/>
              <w:numPr>
                <w:ilvl w:val="0"/>
                <w:numId w:val="35"/>
              </w:numPr>
              <w:tabs>
                <w:tab w:val="left" w:pos="476"/>
              </w:tabs>
              <w:spacing w:line="223" w:lineRule="exact"/>
              <w:ind w:hanging="369"/>
              <w:rPr>
                <w:sz w:val="20"/>
              </w:rPr>
            </w:pPr>
            <w:r>
              <w:rPr>
                <w:sz w:val="20"/>
              </w:rPr>
              <w:t>Daily</w:t>
            </w:r>
            <w:r>
              <w:rPr>
                <w:spacing w:val="-6"/>
                <w:sz w:val="20"/>
              </w:rPr>
              <w:t xml:space="preserve"> </w:t>
            </w:r>
            <w:r>
              <w:rPr>
                <w:sz w:val="20"/>
              </w:rPr>
              <w:t>or</w:t>
            </w:r>
            <w:r>
              <w:rPr>
                <w:spacing w:val="-6"/>
                <w:sz w:val="20"/>
              </w:rPr>
              <w:t xml:space="preserve"> </w:t>
            </w:r>
            <w:r>
              <w:rPr>
                <w:sz w:val="20"/>
              </w:rPr>
              <w:t>almost</w:t>
            </w:r>
            <w:r>
              <w:rPr>
                <w:spacing w:val="-6"/>
                <w:sz w:val="20"/>
              </w:rPr>
              <w:t xml:space="preserve"> </w:t>
            </w:r>
            <w:r>
              <w:rPr>
                <w:spacing w:val="-2"/>
                <w:sz w:val="20"/>
              </w:rPr>
              <w:t>daily</w:t>
            </w:r>
          </w:p>
        </w:tc>
      </w:tr>
      <w:tr w:rsidR="00DB6E1F" w14:paraId="60D5E1BC" w14:textId="77777777">
        <w:trPr>
          <w:trHeight w:val="2197"/>
        </w:trPr>
        <w:tc>
          <w:tcPr>
            <w:tcW w:w="4675" w:type="dxa"/>
          </w:tcPr>
          <w:p w14:paraId="6FD6BB02" w14:textId="77777777" w:rsidR="00DB6E1F" w:rsidRDefault="00F666A6">
            <w:pPr>
              <w:pStyle w:val="TableParagraph"/>
              <w:ind w:right="174"/>
              <w:rPr>
                <w:b/>
                <w:sz w:val="20"/>
              </w:rPr>
            </w:pPr>
            <w:r>
              <w:rPr>
                <w:b/>
                <w:sz w:val="20"/>
              </w:rPr>
              <w:t>2.How</w:t>
            </w:r>
            <w:r>
              <w:rPr>
                <w:b/>
                <w:spacing w:val="-6"/>
                <w:sz w:val="20"/>
              </w:rPr>
              <w:t xml:space="preserve"> </w:t>
            </w:r>
            <w:r>
              <w:rPr>
                <w:b/>
                <w:sz w:val="20"/>
              </w:rPr>
              <w:t>many</w:t>
            </w:r>
            <w:r>
              <w:rPr>
                <w:b/>
                <w:spacing w:val="-7"/>
                <w:sz w:val="20"/>
              </w:rPr>
              <w:t xml:space="preserve"> </w:t>
            </w:r>
            <w:r>
              <w:rPr>
                <w:b/>
                <w:sz w:val="20"/>
              </w:rPr>
              <w:t>drinks</w:t>
            </w:r>
            <w:r>
              <w:rPr>
                <w:b/>
                <w:spacing w:val="-6"/>
                <w:sz w:val="20"/>
              </w:rPr>
              <w:t xml:space="preserve"> </w:t>
            </w:r>
            <w:r>
              <w:rPr>
                <w:b/>
                <w:sz w:val="20"/>
              </w:rPr>
              <w:t>containing</w:t>
            </w:r>
            <w:r>
              <w:rPr>
                <w:b/>
                <w:spacing w:val="-7"/>
                <w:sz w:val="20"/>
              </w:rPr>
              <w:t xml:space="preserve"> </w:t>
            </w:r>
            <w:r>
              <w:rPr>
                <w:b/>
                <w:sz w:val="20"/>
              </w:rPr>
              <w:t>alcohol</w:t>
            </w:r>
            <w:r>
              <w:rPr>
                <w:b/>
                <w:spacing w:val="-7"/>
                <w:sz w:val="20"/>
              </w:rPr>
              <w:t xml:space="preserve"> </w:t>
            </w:r>
            <w:r>
              <w:rPr>
                <w:b/>
                <w:sz w:val="20"/>
              </w:rPr>
              <w:t>do</w:t>
            </w:r>
            <w:r>
              <w:rPr>
                <w:b/>
                <w:spacing w:val="-5"/>
                <w:sz w:val="20"/>
              </w:rPr>
              <w:t xml:space="preserve"> </w:t>
            </w:r>
            <w:r>
              <w:rPr>
                <w:b/>
                <w:sz w:val="20"/>
              </w:rPr>
              <w:t>you</w:t>
            </w:r>
            <w:r>
              <w:rPr>
                <w:b/>
                <w:spacing w:val="-5"/>
                <w:sz w:val="20"/>
              </w:rPr>
              <w:t xml:space="preserve"> </w:t>
            </w:r>
            <w:r>
              <w:rPr>
                <w:b/>
                <w:sz w:val="20"/>
              </w:rPr>
              <w:t>have on a typical day when you are drinking?</w:t>
            </w:r>
          </w:p>
          <w:p w14:paraId="1BD1351D" w14:textId="77777777" w:rsidR="00DB6E1F" w:rsidRDefault="00F666A6">
            <w:pPr>
              <w:pStyle w:val="TableParagraph"/>
              <w:spacing w:before="0" w:line="243" w:lineRule="exact"/>
              <w:rPr>
                <w:sz w:val="20"/>
              </w:rPr>
            </w:pPr>
            <w:r>
              <w:rPr>
                <w:sz w:val="20"/>
              </w:rPr>
              <w:t>(0)</w:t>
            </w:r>
            <w:r>
              <w:rPr>
                <w:spacing w:val="59"/>
                <w:w w:val="150"/>
                <w:sz w:val="20"/>
              </w:rPr>
              <w:t xml:space="preserve"> </w:t>
            </w:r>
            <w:r>
              <w:rPr>
                <w:spacing w:val="-10"/>
                <w:sz w:val="20"/>
              </w:rPr>
              <w:t>1</w:t>
            </w:r>
          </w:p>
          <w:p w14:paraId="43EF56E7" w14:textId="77777777" w:rsidR="00DB6E1F" w:rsidRDefault="00F666A6">
            <w:pPr>
              <w:pStyle w:val="TableParagraph"/>
              <w:rPr>
                <w:sz w:val="20"/>
              </w:rPr>
            </w:pPr>
            <w:r>
              <w:rPr>
                <w:sz w:val="20"/>
              </w:rPr>
              <w:t>(1)</w:t>
            </w:r>
            <w:r>
              <w:rPr>
                <w:spacing w:val="59"/>
                <w:w w:val="150"/>
                <w:sz w:val="20"/>
              </w:rPr>
              <w:t xml:space="preserve"> </w:t>
            </w:r>
            <w:r>
              <w:rPr>
                <w:spacing w:val="-10"/>
                <w:sz w:val="20"/>
              </w:rPr>
              <w:t>2</w:t>
            </w:r>
          </w:p>
          <w:p w14:paraId="4FE5ACB1" w14:textId="77777777" w:rsidR="00DB6E1F" w:rsidRDefault="00F666A6">
            <w:pPr>
              <w:pStyle w:val="TableParagraph"/>
              <w:spacing w:before="0" w:line="243" w:lineRule="exact"/>
              <w:rPr>
                <w:sz w:val="20"/>
              </w:rPr>
            </w:pPr>
            <w:r>
              <w:rPr>
                <w:sz w:val="20"/>
              </w:rPr>
              <w:t>(2)</w:t>
            </w:r>
            <w:r>
              <w:rPr>
                <w:spacing w:val="59"/>
                <w:w w:val="150"/>
                <w:sz w:val="20"/>
              </w:rPr>
              <w:t xml:space="preserve"> </w:t>
            </w:r>
            <w:r>
              <w:rPr>
                <w:spacing w:val="-10"/>
                <w:sz w:val="20"/>
              </w:rPr>
              <w:t>3</w:t>
            </w:r>
          </w:p>
          <w:p w14:paraId="391ED4CC" w14:textId="77777777" w:rsidR="00DB6E1F" w:rsidRDefault="00F666A6">
            <w:pPr>
              <w:pStyle w:val="TableParagraph"/>
              <w:spacing w:before="0" w:line="243" w:lineRule="exact"/>
              <w:rPr>
                <w:sz w:val="20"/>
              </w:rPr>
            </w:pPr>
            <w:r>
              <w:rPr>
                <w:sz w:val="20"/>
              </w:rPr>
              <w:t>(3)</w:t>
            </w:r>
            <w:r>
              <w:rPr>
                <w:spacing w:val="59"/>
                <w:w w:val="150"/>
                <w:sz w:val="20"/>
              </w:rPr>
              <w:t xml:space="preserve"> </w:t>
            </w:r>
            <w:r>
              <w:rPr>
                <w:spacing w:val="-10"/>
                <w:sz w:val="20"/>
              </w:rPr>
              <w:t>4</w:t>
            </w:r>
          </w:p>
          <w:p w14:paraId="6ED66F6C" w14:textId="77777777" w:rsidR="00DB6E1F" w:rsidRDefault="00F666A6">
            <w:pPr>
              <w:pStyle w:val="TableParagraph"/>
              <w:numPr>
                <w:ilvl w:val="0"/>
                <w:numId w:val="34"/>
              </w:numPr>
              <w:tabs>
                <w:tab w:val="left" w:pos="461"/>
              </w:tabs>
              <w:ind w:hanging="354"/>
              <w:rPr>
                <w:sz w:val="20"/>
              </w:rPr>
            </w:pPr>
            <w:r>
              <w:rPr>
                <w:sz w:val="20"/>
              </w:rPr>
              <w:t>5</w:t>
            </w:r>
            <w:r>
              <w:rPr>
                <w:spacing w:val="-2"/>
                <w:sz w:val="20"/>
              </w:rPr>
              <w:t xml:space="preserve"> </w:t>
            </w:r>
            <w:r>
              <w:rPr>
                <w:sz w:val="20"/>
              </w:rPr>
              <w:t>to</w:t>
            </w:r>
            <w:r>
              <w:rPr>
                <w:spacing w:val="-1"/>
                <w:sz w:val="20"/>
              </w:rPr>
              <w:t xml:space="preserve"> </w:t>
            </w:r>
            <w:r>
              <w:rPr>
                <w:spacing w:val="-10"/>
                <w:sz w:val="20"/>
              </w:rPr>
              <w:t>6</w:t>
            </w:r>
          </w:p>
          <w:p w14:paraId="337D6FDB" w14:textId="77777777" w:rsidR="00DB6E1F" w:rsidRDefault="00F666A6">
            <w:pPr>
              <w:pStyle w:val="TableParagraph"/>
              <w:numPr>
                <w:ilvl w:val="0"/>
                <w:numId w:val="34"/>
              </w:numPr>
              <w:tabs>
                <w:tab w:val="left" w:pos="461"/>
              </w:tabs>
              <w:ind w:hanging="354"/>
              <w:rPr>
                <w:sz w:val="20"/>
              </w:rPr>
            </w:pPr>
            <w:r>
              <w:rPr>
                <w:sz w:val="20"/>
              </w:rPr>
              <w:t>7</w:t>
            </w:r>
            <w:r>
              <w:rPr>
                <w:spacing w:val="-2"/>
                <w:sz w:val="20"/>
              </w:rPr>
              <w:t xml:space="preserve"> </w:t>
            </w:r>
            <w:r>
              <w:rPr>
                <w:sz w:val="20"/>
              </w:rPr>
              <w:t>to</w:t>
            </w:r>
            <w:r>
              <w:rPr>
                <w:spacing w:val="-1"/>
                <w:sz w:val="20"/>
              </w:rPr>
              <w:t xml:space="preserve"> </w:t>
            </w:r>
            <w:r>
              <w:rPr>
                <w:spacing w:val="-10"/>
                <w:sz w:val="20"/>
              </w:rPr>
              <w:t>9</w:t>
            </w:r>
          </w:p>
          <w:p w14:paraId="6E38F481" w14:textId="77777777" w:rsidR="00DB6E1F" w:rsidRDefault="00F666A6">
            <w:pPr>
              <w:pStyle w:val="TableParagraph"/>
              <w:numPr>
                <w:ilvl w:val="0"/>
                <w:numId w:val="34"/>
              </w:numPr>
              <w:tabs>
                <w:tab w:val="left" w:pos="461"/>
              </w:tabs>
              <w:spacing w:before="0" w:line="223" w:lineRule="exact"/>
              <w:ind w:hanging="354"/>
              <w:rPr>
                <w:sz w:val="20"/>
              </w:rPr>
            </w:pPr>
            <w:r>
              <w:rPr>
                <w:sz w:val="20"/>
              </w:rPr>
              <w:t>10</w:t>
            </w:r>
            <w:r>
              <w:rPr>
                <w:spacing w:val="-3"/>
                <w:sz w:val="20"/>
              </w:rPr>
              <w:t xml:space="preserve"> </w:t>
            </w:r>
            <w:r>
              <w:rPr>
                <w:sz w:val="20"/>
              </w:rPr>
              <w:t>or</w:t>
            </w:r>
            <w:r>
              <w:rPr>
                <w:spacing w:val="-2"/>
                <w:sz w:val="20"/>
              </w:rPr>
              <w:t xml:space="preserve"> </w:t>
            </w:r>
            <w:r>
              <w:rPr>
                <w:spacing w:val="-4"/>
                <w:sz w:val="20"/>
              </w:rPr>
              <w:t>more</w:t>
            </w:r>
          </w:p>
        </w:tc>
        <w:tc>
          <w:tcPr>
            <w:tcW w:w="4675" w:type="dxa"/>
          </w:tcPr>
          <w:p w14:paraId="1A08F1CD" w14:textId="77777777" w:rsidR="00DB6E1F" w:rsidRDefault="00F666A6">
            <w:pPr>
              <w:pStyle w:val="TableParagraph"/>
              <w:ind w:right="56"/>
              <w:rPr>
                <w:b/>
                <w:sz w:val="20"/>
              </w:rPr>
            </w:pPr>
            <w:r>
              <w:rPr>
                <w:b/>
                <w:sz w:val="20"/>
              </w:rPr>
              <w:t>7.</w:t>
            </w:r>
            <w:r>
              <w:rPr>
                <w:b/>
                <w:spacing w:val="-5"/>
                <w:sz w:val="20"/>
              </w:rPr>
              <w:t xml:space="preserve"> </w:t>
            </w:r>
            <w:r>
              <w:rPr>
                <w:b/>
                <w:sz w:val="20"/>
              </w:rPr>
              <w:t>How</w:t>
            </w:r>
            <w:r>
              <w:rPr>
                <w:b/>
                <w:spacing w:val="-4"/>
                <w:sz w:val="20"/>
              </w:rPr>
              <w:t xml:space="preserve"> </w:t>
            </w:r>
            <w:r>
              <w:rPr>
                <w:b/>
                <w:sz w:val="20"/>
              </w:rPr>
              <w:t>often</w:t>
            </w:r>
            <w:r>
              <w:rPr>
                <w:b/>
                <w:spacing w:val="-3"/>
                <w:sz w:val="20"/>
              </w:rPr>
              <w:t xml:space="preserve"> </w:t>
            </w:r>
            <w:r>
              <w:rPr>
                <w:b/>
                <w:sz w:val="20"/>
              </w:rPr>
              <w:t>during</w:t>
            </w:r>
            <w:r>
              <w:rPr>
                <w:b/>
                <w:spacing w:val="-5"/>
                <w:sz w:val="20"/>
              </w:rPr>
              <w:t xml:space="preserve"> </w:t>
            </w:r>
            <w:r>
              <w:rPr>
                <w:b/>
                <w:sz w:val="20"/>
              </w:rPr>
              <w:t>the</w:t>
            </w:r>
            <w:r>
              <w:rPr>
                <w:b/>
                <w:spacing w:val="-4"/>
                <w:sz w:val="20"/>
              </w:rPr>
              <w:t xml:space="preserve"> </w:t>
            </w:r>
            <w:r>
              <w:rPr>
                <w:b/>
                <w:sz w:val="20"/>
              </w:rPr>
              <w:t>last</w:t>
            </w:r>
            <w:r>
              <w:rPr>
                <w:b/>
                <w:spacing w:val="-4"/>
                <w:sz w:val="20"/>
              </w:rPr>
              <w:t xml:space="preserve"> </w:t>
            </w:r>
            <w:r>
              <w:rPr>
                <w:b/>
                <w:sz w:val="20"/>
              </w:rPr>
              <w:t>year</w:t>
            </w:r>
            <w:r>
              <w:rPr>
                <w:b/>
                <w:spacing w:val="-3"/>
                <w:sz w:val="20"/>
              </w:rPr>
              <w:t xml:space="preserve"> </w:t>
            </w:r>
            <w:r>
              <w:rPr>
                <w:b/>
                <w:sz w:val="20"/>
              </w:rPr>
              <w:t>have</w:t>
            </w:r>
            <w:r>
              <w:rPr>
                <w:b/>
                <w:spacing w:val="-4"/>
                <w:sz w:val="20"/>
              </w:rPr>
              <w:t xml:space="preserve"> </w:t>
            </w:r>
            <w:r>
              <w:rPr>
                <w:b/>
                <w:sz w:val="20"/>
              </w:rPr>
              <w:t>you</w:t>
            </w:r>
            <w:r>
              <w:rPr>
                <w:b/>
                <w:spacing w:val="-3"/>
                <w:sz w:val="20"/>
              </w:rPr>
              <w:t xml:space="preserve"> </w:t>
            </w:r>
            <w:r>
              <w:rPr>
                <w:b/>
                <w:sz w:val="20"/>
              </w:rPr>
              <w:t>had</w:t>
            </w:r>
            <w:r>
              <w:rPr>
                <w:b/>
                <w:spacing w:val="-3"/>
                <w:sz w:val="20"/>
              </w:rPr>
              <w:t xml:space="preserve"> </w:t>
            </w:r>
            <w:r>
              <w:rPr>
                <w:b/>
                <w:sz w:val="20"/>
              </w:rPr>
              <w:t>a feeling of guilt or remorse after drinking?</w:t>
            </w:r>
          </w:p>
          <w:p w14:paraId="6430FF8A" w14:textId="77777777" w:rsidR="00DB6E1F" w:rsidRDefault="00F666A6">
            <w:pPr>
              <w:pStyle w:val="TableParagraph"/>
              <w:numPr>
                <w:ilvl w:val="0"/>
                <w:numId w:val="33"/>
              </w:numPr>
              <w:tabs>
                <w:tab w:val="left" w:pos="476"/>
              </w:tabs>
              <w:spacing w:before="0" w:line="243" w:lineRule="exact"/>
              <w:ind w:hanging="369"/>
              <w:rPr>
                <w:sz w:val="20"/>
              </w:rPr>
            </w:pPr>
            <w:r>
              <w:rPr>
                <w:spacing w:val="-2"/>
                <w:sz w:val="20"/>
              </w:rPr>
              <w:t>Never</w:t>
            </w:r>
          </w:p>
          <w:p w14:paraId="46C84892" w14:textId="77777777" w:rsidR="00DB6E1F" w:rsidRDefault="00F666A6">
            <w:pPr>
              <w:pStyle w:val="TableParagraph"/>
              <w:numPr>
                <w:ilvl w:val="0"/>
                <w:numId w:val="33"/>
              </w:numPr>
              <w:tabs>
                <w:tab w:val="left" w:pos="476"/>
              </w:tabs>
              <w:ind w:hanging="369"/>
              <w:rPr>
                <w:sz w:val="20"/>
              </w:rPr>
            </w:pPr>
            <w:r>
              <w:rPr>
                <w:sz w:val="20"/>
              </w:rPr>
              <w:t>Less</w:t>
            </w:r>
            <w:r>
              <w:rPr>
                <w:spacing w:val="-5"/>
                <w:sz w:val="20"/>
              </w:rPr>
              <w:t xml:space="preserve"> </w:t>
            </w:r>
            <w:r>
              <w:rPr>
                <w:sz w:val="20"/>
              </w:rPr>
              <w:t>than</w:t>
            </w:r>
            <w:r>
              <w:rPr>
                <w:spacing w:val="-3"/>
                <w:sz w:val="20"/>
              </w:rPr>
              <w:t xml:space="preserve"> </w:t>
            </w:r>
            <w:r>
              <w:rPr>
                <w:spacing w:val="-2"/>
                <w:sz w:val="20"/>
              </w:rPr>
              <w:t>monthly</w:t>
            </w:r>
          </w:p>
          <w:p w14:paraId="0C94D10C" w14:textId="77777777" w:rsidR="00DB6E1F" w:rsidRDefault="00F666A6">
            <w:pPr>
              <w:pStyle w:val="TableParagraph"/>
              <w:numPr>
                <w:ilvl w:val="0"/>
                <w:numId w:val="33"/>
              </w:numPr>
              <w:tabs>
                <w:tab w:val="left" w:pos="476"/>
              </w:tabs>
              <w:spacing w:before="0" w:line="243" w:lineRule="exact"/>
              <w:ind w:hanging="369"/>
              <w:rPr>
                <w:sz w:val="20"/>
              </w:rPr>
            </w:pPr>
            <w:r>
              <w:rPr>
                <w:spacing w:val="-2"/>
                <w:sz w:val="20"/>
              </w:rPr>
              <w:t>Monthly</w:t>
            </w:r>
          </w:p>
          <w:p w14:paraId="44248231" w14:textId="77777777" w:rsidR="00DB6E1F" w:rsidRDefault="00F666A6">
            <w:pPr>
              <w:pStyle w:val="TableParagraph"/>
              <w:numPr>
                <w:ilvl w:val="0"/>
                <w:numId w:val="33"/>
              </w:numPr>
              <w:tabs>
                <w:tab w:val="left" w:pos="476"/>
              </w:tabs>
              <w:spacing w:before="0" w:line="243" w:lineRule="exact"/>
              <w:ind w:hanging="369"/>
              <w:rPr>
                <w:sz w:val="20"/>
              </w:rPr>
            </w:pPr>
            <w:r>
              <w:rPr>
                <w:spacing w:val="-2"/>
                <w:sz w:val="20"/>
              </w:rPr>
              <w:t>Weekly</w:t>
            </w:r>
          </w:p>
          <w:p w14:paraId="47A35A8E" w14:textId="77777777" w:rsidR="00DB6E1F" w:rsidRDefault="00F666A6">
            <w:pPr>
              <w:pStyle w:val="TableParagraph"/>
              <w:numPr>
                <w:ilvl w:val="0"/>
                <w:numId w:val="33"/>
              </w:numPr>
              <w:tabs>
                <w:tab w:val="left" w:pos="475"/>
              </w:tabs>
              <w:ind w:left="474"/>
              <w:rPr>
                <w:sz w:val="20"/>
              </w:rPr>
            </w:pPr>
            <w:r>
              <w:rPr>
                <w:sz w:val="20"/>
              </w:rPr>
              <w:t>Daily</w:t>
            </w:r>
            <w:r>
              <w:rPr>
                <w:spacing w:val="-6"/>
                <w:sz w:val="20"/>
              </w:rPr>
              <w:t xml:space="preserve"> </w:t>
            </w:r>
            <w:r>
              <w:rPr>
                <w:sz w:val="20"/>
              </w:rPr>
              <w:t>or</w:t>
            </w:r>
            <w:r>
              <w:rPr>
                <w:spacing w:val="-6"/>
                <w:sz w:val="20"/>
              </w:rPr>
              <w:t xml:space="preserve"> </w:t>
            </w:r>
            <w:r>
              <w:rPr>
                <w:sz w:val="20"/>
              </w:rPr>
              <w:t>almost</w:t>
            </w:r>
            <w:r>
              <w:rPr>
                <w:spacing w:val="-6"/>
                <w:sz w:val="20"/>
              </w:rPr>
              <w:t xml:space="preserve"> </w:t>
            </w:r>
            <w:r>
              <w:rPr>
                <w:spacing w:val="-2"/>
                <w:sz w:val="20"/>
              </w:rPr>
              <w:t>daily</w:t>
            </w:r>
          </w:p>
        </w:tc>
      </w:tr>
      <w:tr w:rsidR="00DB6E1F" w14:paraId="6BADEAAE" w14:textId="77777777">
        <w:trPr>
          <w:trHeight w:val="2927"/>
        </w:trPr>
        <w:tc>
          <w:tcPr>
            <w:tcW w:w="4675" w:type="dxa"/>
          </w:tcPr>
          <w:p w14:paraId="0841D592" w14:textId="77777777" w:rsidR="00DB6E1F" w:rsidRDefault="00F666A6">
            <w:pPr>
              <w:pStyle w:val="TableParagraph"/>
              <w:spacing w:before="0"/>
              <w:ind w:right="174"/>
              <w:rPr>
                <w:b/>
                <w:sz w:val="20"/>
              </w:rPr>
            </w:pPr>
            <w:r>
              <w:rPr>
                <w:b/>
                <w:sz w:val="20"/>
              </w:rPr>
              <w:t>3.How</w:t>
            </w:r>
            <w:r>
              <w:rPr>
                <w:b/>
                <w:spacing w:val="-4"/>
                <w:sz w:val="20"/>
              </w:rPr>
              <w:t xml:space="preserve"> </w:t>
            </w:r>
            <w:r>
              <w:rPr>
                <w:b/>
                <w:sz w:val="20"/>
              </w:rPr>
              <w:t>often</w:t>
            </w:r>
            <w:r>
              <w:rPr>
                <w:b/>
                <w:spacing w:val="-3"/>
                <w:sz w:val="20"/>
              </w:rPr>
              <w:t xml:space="preserve"> </w:t>
            </w:r>
            <w:r>
              <w:rPr>
                <w:b/>
                <w:sz w:val="20"/>
              </w:rPr>
              <w:t>do</w:t>
            </w:r>
            <w:r>
              <w:rPr>
                <w:b/>
                <w:spacing w:val="-3"/>
                <w:sz w:val="20"/>
              </w:rPr>
              <w:t xml:space="preserve"> </w:t>
            </w:r>
            <w:r>
              <w:rPr>
                <w:b/>
                <w:sz w:val="20"/>
              </w:rPr>
              <w:t>you</w:t>
            </w:r>
            <w:r>
              <w:rPr>
                <w:b/>
                <w:spacing w:val="-3"/>
                <w:sz w:val="20"/>
              </w:rPr>
              <w:t xml:space="preserve"> </w:t>
            </w:r>
            <w:r>
              <w:rPr>
                <w:b/>
                <w:sz w:val="20"/>
              </w:rPr>
              <w:t>have</w:t>
            </w:r>
            <w:r>
              <w:rPr>
                <w:b/>
                <w:spacing w:val="-4"/>
                <w:sz w:val="20"/>
              </w:rPr>
              <w:t xml:space="preserve"> </w:t>
            </w:r>
            <w:r>
              <w:rPr>
                <w:b/>
                <w:sz w:val="20"/>
              </w:rPr>
              <w:t>X</w:t>
            </w:r>
            <w:r>
              <w:rPr>
                <w:b/>
                <w:spacing w:val="-3"/>
                <w:sz w:val="20"/>
              </w:rPr>
              <w:t xml:space="preserve"> </w:t>
            </w:r>
            <w:r>
              <w:rPr>
                <w:b/>
                <w:sz w:val="20"/>
              </w:rPr>
              <w:t>(5</w:t>
            </w:r>
            <w:r>
              <w:rPr>
                <w:b/>
                <w:spacing w:val="-4"/>
                <w:sz w:val="20"/>
              </w:rPr>
              <w:t xml:space="preserve"> </w:t>
            </w:r>
            <w:r>
              <w:rPr>
                <w:b/>
                <w:sz w:val="20"/>
              </w:rPr>
              <w:t>for</w:t>
            </w:r>
            <w:r>
              <w:rPr>
                <w:b/>
                <w:spacing w:val="-3"/>
                <w:sz w:val="20"/>
              </w:rPr>
              <w:t xml:space="preserve"> </w:t>
            </w:r>
            <w:r>
              <w:rPr>
                <w:b/>
                <w:sz w:val="20"/>
              </w:rPr>
              <w:t>men;</w:t>
            </w:r>
            <w:r>
              <w:rPr>
                <w:b/>
                <w:spacing w:val="-4"/>
                <w:sz w:val="20"/>
              </w:rPr>
              <w:t xml:space="preserve"> </w:t>
            </w:r>
            <w:r>
              <w:rPr>
                <w:b/>
                <w:sz w:val="20"/>
              </w:rPr>
              <w:t>4</w:t>
            </w:r>
            <w:r>
              <w:rPr>
                <w:b/>
                <w:spacing w:val="-4"/>
                <w:sz w:val="20"/>
              </w:rPr>
              <w:t xml:space="preserve"> </w:t>
            </w:r>
            <w:r>
              <w:rPr>
                <w:b/>
                <w:sz w:val="20"/>
              </w:rPr>
              <w:t>for</w:t>
            </w:r>
            <w:r>
              <w:rPr>
                <w:b/>
                <w:spacing w:val="-3"/>
                <w:sz w:val="20"/>
              </w:rPr>
              <w:t xml:space="preserve"> </w:t>
            </w:r>
            <w:r>
              <w:rPr>
                <w:b/>
                <w:sz w:val="20"/>
              </w:rPr>
              <w:t xml:space="preserve">women and men over age 65) or more drinks on one </w:t>
            </w:r>
            <w:r>
              <w:rPr>
                <w:b/>
                <w:spacing w:val="-2"/>
                <w:sz w:val="20"/>
              </w:rPr>
              <w:t>occasion?</w:t>
            </w:r>
          </w:p>
          <w:p w14:paraId="60AB0792" w14:textId="77777777" w:rsidR="00DB6E1F" w:rsidRDefault="00F666A6">
            <w:pPr>
              <w:pStyle w:val="TableParagraph"/>
              <w:numPr>
                <w:ilvl w:val="0"/>
                <w:numId w:val="32"/>
              </w:numPr>
              <w:tabs>
                <w:tab w:val="left" w:pos="461"/>
              </w:tabs>
              <w:spacing w:line="243" w:lineRule="exact"/>
              <w:ind w:hanging="354"/>
              <w:rPr>
                <w:sz w:val="20"/>
              </w:rPr>
            </w:pPr>
            <w:r>
              <w:rPr>
                <w:spacing w:val="-2"/>
                <w:sz w:val="20"/>
              </w:rPr>
              <w:t>Never</w:t>
            </w:r>
          </w:p>
          <w:p w14:paraId="1C4E5B76" w14:textId="77777777" w:rsidR="00DB6E1F" w:rsidRDefault="00F666A6">
            <w:pPr>
              <w:pStyle w:val="TableParagraph"/>
              <w:numPr>
                <w:ilvl w:val="0"/>
                <w:numId w:val="32"/>
              </w:numPr>
              <w:tabs>
                <w:tab w:val="left" w:pos="461"/>
              </w:tabs>
              <w:spacing w:before="0" w:line="243" w:lineRule="exact"/>
              <w:ind w:hanging="354"/>
              <w:rPr>
                <w:sz w:val="20"/>
              </w:rPr>
            </w:pPr>
            <w:r>
              <w:rPr>
                <w:sz w:val="20"/>
              </w:rPr>
              <w:t>Less</w:t>
            </w:r>
            <w:r>
              <w:rPr>
                <w:spacing w:val="-5"/>
                <w:sz w:val="20"/>
              </w:rPr>
              <w:t xml:space="preserve"> </w:t>
            </w:r>
            <w:r>
              <w:rPr>
                <w:sz w:val="20"/>
              </w:rPr>
              <w:t>than</w:t>
            </w:r>
            <w:r>
              <w:rPr>
                <w:spacing w:val="-3"/>
                <w:sz w:val="20"/>
              </w:rPr>
              <w:t xml:space="preserve"> </w:t>
            </w:r>
            <w:r>
              <w:rPr>
                <w:spacing w:val="-2"/>
                <w:sz w:val="20"/>
              </w:rPr>
              <w:t>monthly</w:t>
            </w:r>
          </w:p>
          <w:p w14:paraId="0517752B" w14:textId="77777777" w:rsidR="00DB6E1F" w:rsidRDefault="00F666A6">
            <w:pPr>
              <w:pStyle w:val="TableParagraph"/>
              <w:numPr>
                <w:ilvl w:val="0"/>
                <w:numId w:val="32"/>
              </w:numPr>
              <w:tabs>
                <w:tab w:val="left" w:pos="461"/>
              </w:tabs>
              <w:spacing w:before="0"/>
              <w:ind w:hanging="354"/>
              <w:rPr>
                <w:sz w:val="20"/>
              </w:rPr>
            </w:pPr>
            <w:r>
              <w:rPr>
                <w:spacing w:val="-2"/>
                <w:sz w:val="20"/>
              </w:rPr>
              <w:t>Monthly</w:t>
            </w:r>
          </w:p>
          <w:p w14:paraId="6FF6A80B" w14:textId="77777777" w:rsidR="00DB6E1F" w:rsidRDefault="00F666A6">
            <w:pPr>
              <w:pStyle w:val="TableParagraph"/>
              <w:numPr>
                <w:ilvl w:val="0"/>
                <w:numId w:val="32"/>
              </w:numPr>
              <w:tabs>
                <w:tab w:val="left" w:pos="461"/>
              </w:tabs>
              <w:ind w:hanging="354"/>
              <w:rPr>
                <w:sz w:val="20"/>
              </w:rPr>
            </w:pPr>
            <w:r>
              <w:rPr>
                <w:spacing w:val="-2"/>
                <w:sz w:val="20"/>
              </w:rPr>
              <w:t>Weekly</w:t>
            </w:r>
          </w:p>
          <w:p w14:paraId="64999B64" w14:textId="77777777" w:rsidR="00DB6E1F" w:rsidRDefault="00F666A6">
            <w:pPr>
              <w:pStyle w:val="TableParagraph"/>
              <w:numPr>
                <w:ilvl w:val="0"/>
                <w:numId w:val="32"/>
              </w:numPr>
              <w:tabs>
                <w:tab w:val="left" w:pos="461"/>
              </w:tabs>
              <w:spacing w:line="243" w:lineRule="exact"/>
              <w:ind w:hanging="354"/>
              <w:rPr>
                <w:sz w:val="20"/>
              </w:rPr>
            </w:pPr>
            <w:r>
              <w:rPr>
                <w:sz w:val="20"/>
              </w:rPr>
              <w:t>2-3</w:t>
            </w:r>
            <w:r>
              <w:rPr>
                <w:spacing w:val="-4"/>
                <w:sz w:val="20"/>
              </w:rPr>
              <w:t xml:space="preserve"> </w:t>
            </w:r>
            <w:r>
              <w:rPr>
                <w:sz w:val="20"/>
              </w:rPr>
              <w:t>times</w:t>
            </w:r>
            <w:r>
              <w:rPr>
                <w:spacing w:val="-4"/>
                <w:sz w:val="20"/>
              </w:rPr>
              <w:t xml:space="preserve"> </w:t>
            </w:r>
            <w:r>
              <w:rPr>
                <w:sz w:val="20"/>
              </w:rPr>
              <w:t>a</w:t>
            </w:r>
            <w:r>
              <w:rPr>
                <w:spacing w:val="-3"/>
                <w:sz w:val="20"/>
              </w:rPr>
              <w:t xml:space="preserve"> </w:t>
            </w:r>
            <w:r>
              <w:rPr>
                <w:spacing w:val="-4"/>
                <w:sz w:val="20"/>
              </w:rPr>
              <w:t>week</w:t>
            </w:r>
          </w:p>
          <w:p w14:paraId="73EB2CA8" w14:textId="77777777" w:rsidR="00DB6E1F" w:rsidRDefault="00F666A6">
            <w:pPr>
              <w:pStyle w:val="TableParagraph"/>
              <w:numPr>
                <w:ilvl w:val="0"/>
                <w:numId w:val="32"/>
              </w:numPr>
              <w:tabs>
                <w:tab w:val="left" w:pos="461"/>
              </w:tabs>
              <w:spacing w:before="0" w:line="243" w:lineRule="exact"/>
              <w:ind w:hanging="354"/>
              <w:rPr>
                <w:sz w:val="20"/>
              </w:rPr>
            </w:pPr>
            <w:r>
              <w:rPr>
                <w:sz w:val="20"/>
              </w:rPr>
              <w:t>4-6</w:t>
            </w:r>
            <w:r>
              <w:rPr>
                <w:spacing w:val="-4"/>
                <w:sz w:val="20"/>
              </w:rPr>
              <w:t xml:space="preserve"> </w:t>
            </w:r>
            <w:r>
              <w:rPr>
                <w:sz w:val="20"/>
              </w:rPr>
              <w:t>times</w:t>
            </w:r>
            <w:r>
              <w:rPr>
                <w:spacing w:val="-4"/>
                <w:sz w:val="20"/>
              </w:rPr>
              <w:t xml:space="preserve"> </w:t>
            </w:r>
            <w:r>
              <w:rPr>
                <w:sz w:val="20"/>
              </w:rPr>
              <w:t>a</w:t>
            </w:r>
            <w:r>
              <w:rPr>
                <w:spacing w:val="-3"/>
                <w:sz w:val="20"/>
              </w:rPr>
              <w:t xml:space="preserve"> </w:t>
            </w:r>
            <w:r>
              <w:rPr>
                <w:spacing w:val="-4"/>
                <w:sz w:val="20"/>
              </w:rPr>
              <w:t>week</w:t>
            </w:r>
          </w:p>
          <w:p w14:paraId="201D275D" w14:textId="77777777" w:rsidR="00DB6E1F" w:rsidRDefault="00F666A6">
            <w:pPr>
              <w:pStyle w:val="TableParagraph"/>
              <w:numPr>
                <w:ilvl w:val="0"/>
                <w:numId w:val="32"/>
              </w:numPr>
              <w:tabs>
                <w:tab w:val="left" w:pos="461"/>
              </w:tabs>
              <w:spacing w:before="0"/>
              <w:ind w:hanging="354"/>
              <w:rPr>
                <w:sz w:val="20"/>
              </w:rPr>
            </w:pPr>
            <w:r>
              <w:rPr>
                <w:spacing w:val="-2"/>
                <w:sz w:val="20"/>
              </w:rPr>
              <w:t>Daily</w:t>
            </w:r>
          </w:p>
          <w:p w14:paraId="197BD7DB" w14:textId="77777777" w:rsidR="00DB6E1F" w:rsidRDefault="00F666A6">
            <w:pPr>
              <w:pStyle w:val="TableParagraph"/>
              <w:spacing w:line="243" w:lineRule="exact"/>
              <w:rPr>
                <w:i/>
                <w:sz w:val="20"/>
              </w:rPr>
            </w:pPr>
            <w:r>
              <w:rPr>
                <w:i/>
                <w:sz w:val="20"/>
              </w:rPr>
              <w:t>[Skip</w:t>
            </w:r>
            <w:r>
              <w:rPr>
                <w:i/>
                <w:spacing w:val="-4"/>
                <w:sz w:val="20"/>
              </w:rPr>
              <w:t xml:space="preserve"> </w:t>
            </w:r>
            <w:r>
              <w:rPr>
                <w:i/>
                <w:sz w:val="20"/>
              </w:rPr>
              <w:t>to</w:t>
            </w:r>
            <w:r>
              <w:rPr>
                <w:i/>
                <w:spacing w:val="-3"/>
                <w:sz w:val="20"/>
              </w:rPr>
              <w:t xml:space="preserve"> </w:t>
            </w:r>
            <w:r>
              <w:rPr>
                <w:i/>
                <w:sz w:val="20"/>
              </w:rPr>
              <w:t>Questions</w:t>
            </w:r>
            <w:r>
              <w:rPr>
                <w:i/>
                <w:spacing w:val="-5"/>
                <w:sz w:val="20"/>
              </w:rPr>
              <w:t xml:space="preserve"> </w:t>
            </w:r>
            <w:r>
              <w:rPr>
                <w:i/>
                <w:sz w:val="20"/>
              </w:rPr>
              <w:t>9</w:t>
            </w:r>
            <w:r>
              <w:rPr>
                <w:i/>
                <w:spacing w:val="-4"/>
                <w:sz w:val="20"/>
              </w:rPr>
              <w:t xml:space="preserve"> </w:t>
            </w:r>
            <w:r>
              <w:rPr>
                <w:i/>
                <w:sz w:val="20"/>
              </w:rPr>
              <w:t>and</w:t>
            </w:r>
            <w:r>
              <w:rPr>
                <w:i/>
                <w:spacing w:val="-3"/>
                <w:sz w:val="20"/>
              </w:rPr>
              <w:t xml:space="preserve"> </w:t>
            </w:r>
            <w:r>
              <w:rPr>
                <w:i/>
                <w:sz w:val="20"/>
              </w:rPr>
              <w:t>10</w:t>
            </w:r>
            <w:r>
              <w:rPr>
                <w:i/>
                <w:spacing w:val="-4"/>
                <w:sz w:val="20"/>
              </w:rPr>
              <w:t xml:space="preserve"> </w:t>
            </w:r>
            <w:r>
              <w:rPr>
                <w:i/>
                <w:sz w:val="20"/>
              </w:rPr>
              <w:t>if</w:t>
            </w:r>
            <w:r>
              <w:rPr>
                <w:i/>
                <w:spacing w:val="-5"/>
                <w:sz w:val="20"/>
              </w:rPr>
              <w:t xml:space="preserve"> </w:t>
            </w:r>
            <w:r>
              <w:rPr>
                <w:i/>
                <w:sz w:val="20"/>
              </w:rPr>
              <w:t>total</w:t>
            </w:r>
            <w:r>
              <w:rPr>
                <w:i/>
                <w:spacing w:val="-5"/>
                <w:sz w:val="20"/>
              </w:rPr>
              <w:t xml:space="preserve"> </w:t>
            </w:r>
            <w:r>
              <w:rPr>
                <w:i/>
                <w:sz w:val="20"/>
              </w:rPr>
              <w:t>score</w:t>
            </w:r>
            <w:r>
              <w:rPr>
                <w:i/>
                <w:spacing w:val="-3"/>
                <w:sz w:val="20"/>
              </w:rPr>
              <w:t xml:space="preserve"> </w:t>
            </w:r>
            <w:r>
              <w:rPr>
                <w:i/>
                <w:sz w:val="20"/>
              </w:rPr>
              <w:t>for</w:t>
            </w:r>
            <w:r>
              <w:rPr>
                <w:i/>
                <w:spacing w:val="-5"/>
                <w:sz w:val="20"/>
              </w:rPr>
              <w:t xml:space="preserve"> </w:t>
            </w:r>
            <w:r>
              <w:rPr>
                <w:i/>
                <w:spacing w:val="-2"/>
                <w:sz w:val="20"/>
              </w:rPr>
              <w:t>Questions</w:t>
            </w:r>
          </w:p>
          <w:p w14:paraId="3F14A175" w14:textId="77777777" w:rsidR="00DB6E1F" w:rsidRDefault="00F666A6">
            <w:pPr>
              <w:pStyle w:val="TableParagraph"/>
              <w:spacing w:before="0" w:line="222" w:lineRule="exact"/>
              <w:rPr>
                <w:i/>
                <w:sz w:val="20"/>
              </w:rPr>
            </w:pPr>
            <w:r>
              <w:rPr>
                <w:i/>
                <w:sz w:val="20"/>
              </w:rPr>
              <w:t>2</w:t>
            </w:r>
            <w:r>
              <w:rPr>
                <w:i/>
                <w:spacing w:val="-2"/>
                <w:sz w:val="20"/>
              </w:rPr>
              <w:t xml:space="preserve"> </w:t>
            </w:r>
            <w:r>
              <w:rPr>
                <w:i/>
                <w:sz w:val="20"/>
              </w:rPr>
              <w:t>and</w:t>
            </w:r>
            <w:r>
              <w:rPr>
                <w:i/>
                <w:spacing w:val="-1"/>
                <w:sz w:val="20"/>
              </w:rPr>
              <w:t xml:space="preserve"> </w:t>
            </w:r>
            <w:r>
              <w:rPr>
                <w:i/>
                <w:sz w:val="20"/>
              </w:rPr>
              <w:t>3</w:t>
            </w:r>
            <w:r>
              <w:rPr>
                <w:i/>
                <w:spacing w:val="-1"/>
                <w:sz w:val="20"/>
              </w:rPr>
              <w:t xml:space="preserve"> </w:t>
            </w:r>
            <w:r>
              <w:rPr>
                <w:i/>
                <w:sz w:val="20"/>
              </w:rPr>
              <w:t>=</w:t>
            </w:r>
            <w:r>
              <w:rPr>
                <w:i/>
                <w:spacing w:val="-3"/>
                <w:sz w:val="20"/>
              </w:rPr>
              <w:t xml:space="preserve"> </w:t>
            </w:r>
            <w:r>
              <w:rPr>
                <w:i/>
                <w:spacing w:val="-5"/>
                <w:sz w:val="20"/>
              </w:rPr>
              <w:t>0]</w:t>
            </w:r>
          </w:p>
        </w:tc>
        <w:tc>
          <w:tcPr>
            <w:tcW w:w="4675" w:type="dxa"/>
          </w:tcPr>
          <w:p w14:paraId="1582E87D" w14:textId="77777777" w:rsidR="00DB6E1F" w:rsidRDefault="00F666A6">
            <w:pPr>
              <w:pStyle w:val="TableParagraph"/>
              <w:spacing w:before="0"/>
              <w:ind w:right="56"/>
              <w:rPr>
                <w:b/>
                <w:sz w:val="20"/>
              </w:rPr>
            </w:pPr>
            <w:r>
              <w:rPr>
                <w:b/>
                <w:sz w:val="20"/>
              </w:rPr>
              <w:t>8.How often during the last year have you been unable</w:t>
            </w:r>
            <w:r>
              <w:rPr>
                <w:b/>
                <w:spacing w:val="-5"/>
                <w:sz w:val="20"/>
              </w:rPr>
              <w:t xml:space="preserve"> </w:t>
            </w:r>
            <w:r>
              <w:rPr>
                <w:b/>
                <w:sz w:val="20"/>
              </w:rPr>
              <w:t>to</w:t>
            </w:r>
            <w:r>
              <w:rPr>
                <w:b/>
                <w:spacing w:val="-5"/>
                <w:sz w:val="20"/>
              </w:rPr>
              <w:t xml:space="preserve"> </w:t>
            </w:r>
            <w:r>
              <w:rPr>
                <w:b/>
                <w:sz w:val="20"/>
              </w:rPr>
              <w:t>remember</w:t>
            </w:r>
            <w:r>
              <w:rPr>
                <w:b/>
                <w:spacing w:val="-6"/>
                <w:sz w:val="20"/>
              </w:rPr>
              <w:t xml:space="preserve"> </w:t>
            </w:r>
            <w:r>
              <w:rPr>
                <w:b/>
                <w:sz w:val="20"/>
              </w:rPr>
              <w:t>what</w:t>
            </w:r>
            <w:r>
              <w:rPr>
                <w:b/>
                <w:spacing w:val="-5"/>
                <w:sz w:val="20"/>
              </w:rPr>
              <w:t xml:space="preserve"> </w:t>
            </w:r>
            <w:r>
              <w:rPr>
                <w:b/>
                <w:sz w:val="20"/>
              </w:rPr>
              <w:t>happened</w:t>
            </w:r>
            <w:r>
              <w:rPr>
                <w:b/>
                <w:spacing w:val="-5"/>
                <w:sz w:val="20"/>
              </w:rPr>
              <w:t xml:space="preserve"> </w:t>
            </w:r>
            <w:r>
              <w:rPr>
                <w:b/>
                <w:sz w:val="20"/>
              </w:rPr>
              <w:t>the</w:t>
            </w:r>
            <w:r>
              <w:rPr>
                <w:b/>
                <w:spacing w:val="-5"/>
                <w:sz w:val="20"/>
              </w:rPr>
              <w:t xml:space="preserve"> </w:t>
            </w:r>
            <w:r>
              <w:rPr>
                <w:b/>
                <w:sz w:val="20"/>
              </w:rPr>
              <w:t>night</w:t>
            </w:r>
            <w:r>
              <w:rPr>
                <w:b/>
                <w:spacing w:val="-5"/>
                <w:sz w:val="20"/>
              </w:rPr>
              <w:t xml:space="preserve"> </w:t>
            </w:r>
            <w:r>
              <w:rPr>
                <w:b/>
                <w:sz w:val="20"/>
              </w:rPr>
              <w:t>before because you had been drinking?</w:t>
            </w:r>
          </w:p>
          <w:p w14:paraId="5A1DB4DD" w14:textId="77777777" w:rsidR="00DB6E1F" w:rsidRDefault="00F666A6">
            <w:pPr>
              <w:pStyle w:val="TableParagraph"/>
              <w:numPr>
                <w:ilvl w:val="0"/>
                <w:numId w:val="31"/>
              </w:numPr>
              <w:tabs>
                <w:tab w:val="left" w:pos="476"/>
              </w:tabs>
              <w:spacing w:line="243" w:lineRule="exact"/>
              <w:ind w:hanging="369"/>
              <w:rPr>
                <w:sz w:val="20"/>
              </w:rPr>
            </w:pPr>
            <w:r>
              <w:rPr>
                <w:spacing w:val="-2"/>
                <w:sz w:val="20"/>
              </w:rPr>
              <w:t>Never</w:t>
            </w:r>
          </w:p>
          <w:p w14:paraId="40B057A1" w14:textId="77777777" w:rsidR="00DB6E1F" w:rsidRDefault="00F666A6">
            <w:pPr>
              <w:pStyle w:val="TableParagraph"/>
              <w:numPr>
                <w:ilvl w:val="0"/>
                <w:numId w:val="31"/>
              </w:numPr>
              <w:tabs>
                <w:tab w:val="left" w:pos="476"/>
              </w:tabs>
              <w:spacing w:before="0" w:line="243" w:lineRule="exact"/>
              <w:ind w:hanging="369"/>
              <w:rPr>
                <w:sz w:val="20"/>
              </w:rPr>
            </w:pPr>
            <w:r>
              <w:rPr>
                <w:sz w:val="20"/>
              </w:rPr>
              <w:t>Less</w:t>
            </w:r>
            <w:r>
              <w:rPr>
                <w:spacing w:val="-5"/>
                <w:sz w:val="20"/>
              </w:rPr>
              <w:t xml:space="preserve"> </w:t>
            </w:r>
            <w:r>
              <w:rPr>
                <w:sz w:val="20"/>
              </w:rPr>
              <w:t>than</w:t>
            </w:r>
            <w:r>
              <w:rPr>
                <w:spacing w:val="-3"/>
                <w:sz w:val="20"/>
              </w:rPr>
              <w:t xml:space="preserve"> </w:t>
            </w:r>
            <w:r>
              <w:rPr>
                <w:spacing w:val="-2"/>
                <w:sz w:val="20"/>
              </w:rPr>
              <w:t>monthly</w:t>
            </w:r>
          </w:p>
          <w:p w14:paraId="481E910E" w14:textId="77777777" w:rsidR="00DB6E1F" w:rsidRDefault="00F666A6">
            <w:pPr>
              <w:pStyle w:val="TableParagraph"/>
              <w:numPr>
                <w:ilvl w:val="0"/>
                <w:numId w:val="31"/>
              </w:numPr>
              <w:tabs>
                <w:tab w:val="left" w:pos="476"/>
              </w:tabs>
              <w:spacing w:before="0"/>
              <w:ind w:hanging="369"/>
              <w:rPr>
                <w:sz w:val="20"/>
              </w:rPr>
            </w:pPr>
            <w:r>
              <w:rPr>
                <w:spacing w:val="-2"/>
                <w:sz w:val="20"/>
              </w:rPr>
              <w:t>Monthly</w:t>
            </w:r>
          </w:p>
          <w:p w14:paraId="57AFB08F" w14:textId="77777777" w:rsidR="00DB6E1F" w:rsidRDefault="00F666A6">
            <w:pPr>
              <w:pStyle w:val="TableParagraph"/>
              <w:numPr>
                <w:ilvl w:val="0"/>
                <w:numId w:val="31"/>
              </w:numPr>
              <w:tabs>
                <w:tab w:val="left" w:pos="476"/>
              </w:tabs>
              <w:ind w:hanging="369"/>
              <w:rPr>
                <w:sz w:val="20"/>
              </w:rPr>
            </w:pPr>
            <w:r>
              <w:rPr>
                <w:spacing w:val="-2"/>
                <w:sz w:val="20"/>
              </w:rPr>
              <w:t>Weekly</w:t>
            </w:r>
          </w:p>
          <w:p w14:paraId="0A153C10" w14:textId="77777777" w:rsidR="00DB6E1F" w:rsidRDefault="00F666A6">
            <w:pPr>
              <w:pStyle w:val="TableParagraph"/>
              <w:numPr>
                <w:ilvl w:val="0"/>
                <w:numId w:val="31"/>
              </w:numPr>
              <w:tabs>
                <w:tab w:val="left" w:pos="475"/>
              </w:tabs>
              <w:ind w:left="474"/>
              <w:rPr>
                <w:sz w:val="20"/>
              </w:rPr>
            </w:pPr>
            <w:r>
              <w:rPr>
                <w:sz w:val="20"/>
              </w:rPr>
              <w:t>Daily</w:t>
            </w:r>
            <w:r>
              <w:rPr>
                <w:spacing w:val="-6"/>
                <w:sz w:val="20"/>
              </w:rPr>
              <w:t xml:space="preserve"> </w:t>
            </w:r>
            <w:r>
              <w:rPr>
                <w:sz w:val="20"/>
              </w:rPr>
              <w:t>or</w:t>
            </w:r>
            <w:r>
              <w:rPr>
                <w:spacing w:val="-6"/>
                <w:sz w:val="20"/>
              </w:rPr>
              <w:t xml:space="preserve"> </w:t>
            </w:r>
            <w:r>
              <w:rPr>
                <w:sz w:val="20"/>
              </w:rPr>
              <w:t>almost</w:t>
            </w:r>
            <w:r>
              <w:rPr>
                <w:spacing w:val="-6"/>
                <w:sz w:val="20"/>
              </w:rPr>
              <w:t xml:space="preserve"> </w:t>
            </w:r>
            <w:r>
              <w:rPr>
                <w:spacing w:val="-2"/>
                <w:sz w:val="20"/>
              </w:rPr>
              <w:t>daily</w:t>
            </w:r>
          </w:p>
        </w:tc>
      </w:tr>
      <w:tr w:rsidR="00DB6E1F" w14:paraId="68C94CEA" w14:textId="77777777">
        <w:trPr>
          <w:trHeight w:val="1953"/>
        </w:trPr>
        <w:tc>
          <w:tcPr>
            <w:tcW w:w="4675" w:type="dxa"/>
          </w:tcPr>
          <w:p w14:paraId="0A11103F" w14:textId="77777777" w:rsidR="00DB6E1F" w:rsidRDefault="00F666A6">
            <w:pPr>
              <w:pStyle w:val="TableParagraph"/>
              <w:ind w:right="99"/>
              <w:jc w:val="both"/>
              <w:rPr>
                <w:b/>
                <w:sz w:val="20"/>
              </w:rPr>
            </w:pPr>
            <w:r>
              <w:rPr>
                <w:b/>
                <w:w w:val="110"/>
                <w:sz w:val="20"/>
              </w:rPr>
              <w:t>4. How</w:t>
            </w:r>
            <w:r>
              <w:rPr>
                <w:b/>
                <w:spacing w:val="-7"/>
                <w:w w:val="110"/>
                <w:sz w:val="20"/>
              </w:rPr>
              <w:t xml:space="preserve"> </w:t>
            </w:r>
            <w:r>
              <w:rPr>
                <w:b/>
                <w:w w:val="110"/>
                <w:sz w:val="20"/>
              </w:rPr>
              <w:t>often</w:t>
            </w:r>
            <w:r>
              <w:rPr>
                <w:b/>
                <w:spacing w:val="-8"/>
                <w:w w:val="110"/>
                <w:sz w:val="20"/>
              </w:rPr>
              <w:t xml:space="preserve"> </w:t>
            </w:r>
            <w:r>
              <w:rPr>
                <w:b/>
                <w:w w:val="110"/>
                <w:sz w:val="20"/>
              </w:rPr>
              <w:t>during</w:t>
            </w:r>
            <w:r>
              <w:rPr>
                <w:b/>
                <w:spacing w:val="-9"/>
                <w:w w:val="110"/>
                <w:sz w:val="20"/>
              </w:rPr>
              <w:t xml:space="preserve"> </w:t>
            </w:r>
            <w:r>
              <w:rPr>
                <w:b/>
                <w:w w:val="110"/>
                <w:sz w:val="20"/>
              </w:rPr>
              <w:t>the</w:t>
            </w:r>
            <w:r>
              <w:rPr>
                <w:b/>
                <w:spacing w:val="-10"/>
                <w:w w:val="110"/>
                <w:sz w:val="20"/>
              </w:rPr>
              <w:t xml:space="preserve"> </w:t>
            </w:r>
            <w:r>
              <w:rPr>
                <w:b/>
                <w:w w:val="110"/>
                <w:sz w:val="20"/>
              </w:rPr>
              <w:t>last</w:t>
            </w:r>
            <w:r>
              <w:rPr>
                <w:b/>
                <w:spacing w:val="-7"/>
                <w:w w:val="110"/>
                <w:sz w:val="20"/>
              </w:rPr>
              <w:t xml:space="preserve"> </w:t>
            </w:r>
            <w:r>
              <w:rPr>
                <w:b/>
                <w:w w:val="110"/>
                <w:sz w:val="20"/>
              </w:rPr>
              <w:t>year</w:t>
            </w:r>
            <w:r>
              <w:rPr>
                <w:b/>
                <w:spacing w:val="-7"/>
                <w:w w:val="110"/>
                <w:sz w:val="20"/>
              </w:rPr>
              <w:t xml:space="preserve"> </w:t>
            </w:r>
            <w:r>
              <w:rPr>
                <w:b/>
                <w:w w:val="110"/>
                <w:sz w:val="20"/>
              </w:rPr>
              <w:t>have</w:t>
            </w:r>
            <w:r>
              <w:rPr>
                <w:b/>
                <w:spacing w:val="-8"/>
                <w:w w:val="110"/>
                <w:sz w:val="20"/>
              </w:rPr>
              <w:t xml:space="preserve"> </w:t>
            </w:r>
            <w:r>
              <w:rPr>
                <w:b/>
                <w:w w:val="110"/>
                <w:sz w:val="20"/>
              </w:rPr>
              <w:t>you</w:t>
            </w:r>
            <w:r>
              <w:rPr>
                <w:b/>
                <w:spacing w:val="-7"/>
                <w:w w:val="110"/>
                <w:sz w:val="20"/>
              </w:rPr>
              <w:t xml:space="preserve"> </w:t>
            </w:r>
            <w:r>
              <w:rPr>
                <w:b/>
                <w:w w:val="110"/>
                <w:sz w:val="20"/>
              </w:rPr>
              <w:t>found that</w:t>
            </w:r>
            <w:r>
              <w:rPr>
                <w:b/>
                <w:spacing w:val="-5"/>
                <w:w w:val="110"/>
                <w:sz w:val="20"/>
              </w:rPr>
              <w:t xml:space="preserve"> </w:t>
            </w:r>
            <w:r>
              <w:rPr>
                <w:b/>
                <w:w w:val="110"/>
                <w:sz w:val="20"/>
              </w:rPr>
              <w:t>you</w:t>
            </w:r>
            <w:r>
              <w:rPr>
                <w:b/>
                <w:spacing w:val="-5"/>
                <w:w w:val="110"/>
                <w:sz w:val="20"/>
              </w:rPr>
              <w:t xml:space="preserve"> </w:t>
            </w:r>
            <w:r>
              <w:rPr>
                <w:b/>
                <w:w w:val="110"/>
                <w:sz w:val="20"/>
              </w:rPr>
              <w:t>were</w:t>
            </w:r>
            <w:r>
              <w:rPr>
                <w:b/>
                <w:spacing w:val="-5"/>
                <w:w w:val="110"/>
                <w:sz w:val="20"/>
              </w:rPr>
              <w:t xml:space="preserve"> </w:t>
            </w:r>
            <w:r>
              <w:rPr>
                <w:b/>
                <w:w w:val="110"/>
                <w:sz w:val="20"/>
              </w:rPr>
              <w:t>not</w:t>
            </w:r>
            <w:r>
              <w:rPr>
                <w:b/>
                <w:spacing w:val="-5"/>
                <w:w w:val="110"/>
                <w:sz w:val="20"/>
              </w:rPr>
              <w:t xml:space="preserve"> </w:t>
            </w:r>
            <w:r>
              <w:rPr>
                <w:b/>
                <w:w w:val="110"/>
                <w:sz w:val="20"/>
              </w:rPr>
              <w:t>able</w:t>
            </w:r>
            <w:r>
              <w:rPr>
                <w:b/>
                <w:spacing w:val="-5"/>
                <w:w w:val="110"/>
                <w:sz w:val="20"/>
              </w:rPr>
              <w:t xml:space="preserve"> </w:t>
            </w:r>
            <w:r>
              <w:rPr>
                <w:b/>
                <w:w w:val="110"/>
                <w:sz w:val="20"/>
              </w:rPr>
              <w:t>to</w:t>
            </w:r>
            <w:r>
              <w:rPr>
                <w:b/>
                <w:spacing w:val="-5"/>
                <w:w w:val="110"/>
                <w:sz w:val="20"/>
              </w:rPr>
              <w:t xml:space="preserve"> </w:t>
            </w:r>
            <w:r>
              <w:rPr>
                <w:b/>
                <w:w w:val="110"/>
                <w:sz w:val="20"/>
              </w:rPr>
              <w:t>stop</w:t>
            </w:r>
            <w:r>
              <w:rPr>
                <w:b/>
                <w:spacing w:val="-5"/>
                <w:w w:val="110"/>
                <w:sz w:val="20"/>
              </w:rPr>
              <w:t xml:space="preserve"> </w:t>
            </w:r>
            <w:r>
              <w:rPr>
                <w:b/>
                <w:w w:val="110"/>
                <w:sz w:val="20"/>
              </w:rPr>
              <w:t>drinking</w:t>
            </w:r>
            <w:r>
              <w:rPr>
                <w:b/>
                <w:spacing w:val="-6"/>
                <w:w w:val="110"/>
                <w:sz w:val="20"/>
              </w:rPr>
              <w:t xml:space="preserve"> </w:t>
            </w:r>
            <w:r>
              <w:rPr>
                <w:b/>
                <w:w w:val="110"/>
                <w:sz w:val="20"/>
              </w:rPr>
              <w:t>once</w:t>
            </w:r>
            <w:r>
              <w:rPr>
                <w:b/>
                <w:spacing w:val="-5"/>
                <w:w w:val="110"/>
                <w:sz w:val="20"/>
              </w:rPr>
              <w:t xml:space="preserve"> </w:t>
            </w:r>
            <w:r>
              <w:rPr>
                <w:b/>
                <w:w w:val="110"/>
                <w:sz w:val="20"/>
              </w:rPr>
              <w:t>you had</w:t>
            </w:r>
            <w:r>
              <w:rPr>
                <w:b/>
                <w:spacing w:val="-14"/>
                <w:w w:val="110"/>
                <w:sz w:val="20"/>
              </w:rPr>
              <w:t xml:space="preserve"> </w:t>
            </w:r>
            <w:r>
              <w:rPr>
                <w:b/>
                <w:w w:val="110"/>
                <w:sz w:val="20"/>
              </w:rPr>
              <w:t>started?</w:t>
            </w:r>
          </w:p>
          <w:p w14:paraId="4BA8FE41" w14:textId="77777777" w:rsidR="00DB6E1F" w:rsidRDefault="00F666A6">
            <w:pPr>
              <w:pStyle w:val="TableParagraph"/>
              <w:numPr>
                <w:ilvl w:val="0"/>
                <w:numId w:val="30"/>
              </w:numPr>
              <w:tabs>
                <w:tab w:val="left" w:pos="461"/>
              </w:tabs>
              <w:spacing w:before="2" w:line="243" w:lineRule="exact"/>
              <w:ind w:hanging="354"/>
              <w:jc w:val="both"/>
              <w:rPr>
                <w:sz w:val="20"/>
              </w:rPr>
            </w:pPr>
            <w:r>
              <w:rPr>
                <w:spacing w:val="-2"/>
                <w:sz w:val="20"/>
              </w:rPr>
              <w:t>Never</w:t>
            </w:r>
          </w:p>
          <w:p w14:paraId="2D2ED463" w14:textId="77777777" w:rsidR="00DB6E1F" w:rsidRDefault="00F666A6">
            <w:pPr>
              <w:pStyle w:val="TableParagraph"/>
              <w:numPr>
                <w:ilvl w:val="0"/>
                <w:numId w:val="30"/>
              </w:numPr>
              <w:tabs>
                <w:tab w:val="left" w:pos="461"/>
              </w:tabs>
              <w:spacing w:before="0" w:line="243" w:lineRule="exact"/>
              <w:ind w:hanging="354"/>
              <w:jc w:val="both"/>
              <w:rPr>
                <w:sz w:val="20"/>
              </w:rPr>
            </w:pPr>
            <w:r>
              <w:rPr>
                <w:sz w:val="20"/>
              </w:rPr>
              <w:t>Less</w:t>
            </w:r>
            <w:r>
              <w:rPr>
                <w:spacing w:val="-5"/>
                <w:sz w:val="20"/>
              </w:rPr>
              <w:t xml:space="preserve"> </w:t>
            </w:r>
            <w:r>
              <w:rPr>
                <w:sz w:val="20"/>
              </w:rPr>
              <w:t>than</w:t>
            </w:r>
            <w:r>
              <w:rPr>
                <w:spacing w:val="-3"/>
                <w:sz w:val="20"/>
              </w:rPr>
              <w:t xml:space="preserve"> </w:t>
            </w:r>
            <w:r>
              <w:rPr>
                <w:spacing w:val="-2"/>
                <w:sz w:val="20"/>
              </w:rPr>
              <w:t>monthly</w:t>
            </w:r>
          </w:p>
          <w:p w14:paraId="7896AC75" w14:textId="77777777" w:rsidR="00DB6E1F" w:rsidRDefault="00F666A6">
            <w:pPr>
              <w:pStyle w:val="TableParagraph"/>
              <w:numPr>
                <w:ilvl w:val="0"/>
                <w:numId w:val="30"/>
              </w:numPr>
              <w:tabs>
                <w:tab w:val="left" w:pos="461"/>
              </w:tabs>
              <w:ind w:hanging="354"/>
              <w:jc w:val="both"/>
              <w:rPr>
                <w:sz w:val="20"/>
              </w:rPr>
            </w:pPr>
            <w:r>
              <w:rPr>
                <w:spacing w:val="-2"/>
                <w:sz w:val="20"/>
              </w:rPr>
              <w:t>Monthly</w:t>
            </w:r>
          </w:p>
          <w:p w14:paraId="4763042E" w14:textId="77777777" w:rsidR="00DB6E1F" w:rsidRDefault="00F666A6">
            <w:pPr>
              <w:pStyle w:val="TableParagraph"/>
              <w:numPr>
                <w:ilvl w:val="0"/>
                <w:numId w:val="30"/>
              </w:numPr>
              <w:tabs>
                <w:tab w:val="left" w:pos="461"/>
              </w:tabs>
              <w:spacing w:before="0" w:line="243" w:lineRule="exact"/>
              <w:ind w:hanging="354"/>
              <w:jc w:val="both"/>
              <w:rPr>
                <w:sz w:val="20"/>
              </w:rPr>
            </w:pPr>
            <w:r>
              <w:rPr>
                <w:spacing w:val="-2"/>
                <w:sz w:val="20"/>
              </w:rPr>
              <w:t>Weekly</w:t>
            </w:r>
          </w:p>
          <w:p w14:paraId="3CA44655" w14:textId="77777777" w:rsidR="00DB6E1F" w:rsidRDefault="00F666A6">
            <w:pPr>
              <w:pStyle w:val="TableParagraph"/>
              <w:numPr>
                <w:ilvl w:val="0"/>
                <w:numId w:val="30"/>
              </w:numPr>
              <w:tabs>
                <w:tab w:val="left" w:pos="461"/>
              </w:tabs>
              <w:spacing w:before="0" w:line="222" w:lineRule="exact"/>
              <w:ind w:hanging="354"/>
              <w:jc w:val="both"/>
              <w:rPr>
                <w:sz w:val="20"/>
              </w:rPr>
            </w:pPr>
            <w:r>
              <w:rPr>
                <w:sz w:val="20"/>
              </w:rPr>
              <w:t>Daily</w:t>
            </w:r>
            <w:r>
              <w:rPr>
                <w:spacing w:val="-6"/>
                <w:sz w:val="20"/>
              </w:rPr>
              <w:t xml:space="preserve"> </w:t>
            </w:r>
            <w:r>
              <w:rPr>
                <w:sz w:val="20"/>
              </w:rPr>
              <w:t>or</w:t>
            </w:r>
            <w:r>
              <w:rPr>
                <w:spacing w:val="-6"/>
                <w:sz w:val="20"/>
              </w:rPr>
              <w:t xml:space="preserve"> </w:t>
            </w:r>
            <w:r>
              <w:rPr>
                <w:sz w:val="20"/>
              </w:rPr>
              <w:t>almost</w:t>
            </w:r>
            <w:r>
              <w:rPr>
                <w:spacing w:val="-6"/>
                <w:sz w:val="20"/>
              </w:rPr>
              <w:t xml:space="preserve"> </w:t>
            </w:r>
            <w:r>
              <w:rPr>
                <w:spacing w:val="-2"/>
                <w:sz w:val="20"/>
              </w:rPr>
              <w:t>daily</w:t>
            </w:r>
          </w:p>
        </w:tc>
        <w:tc>
          <w:tcPr>
            <w:tcW w:w="4675" w:type="dxa"/>
          </w:tcPr>
          <w:p w14:paraId="052AFAC2" w14:textId="77777777" w:rsidR="00DB6E1F" w:rsidRDefault="00F666A6">
            <w:pPr>
              <w:pStyle w:val="TableParagraph"/>
              <w:ind w:right="174"/>
              <w:rPr>
                <w:sz w:val="20"/>
              </w:rPr>
            </w:pPr>
            <w:r>
              <w:rPr>
                <w:sz w:val="20"/>
              </w:rPr>
              <w:t>9.</w:t>
            </w:r>
            <w:r>
              <w:rPr>
                <w:spacing w:val="-5"/>
                <w:sz w:val="20"/>
              </w:rPr>
              <w:t xml:space="preserve"> </w:t>
            </w:r>
            <w:r>
              <w:rPr>
                <w:sz w:val="20"/>
              </w:rPr>
              <w:t>Have</w:t>
            </w:r>
            <w:r>
              <w:rPr>
                <w:spacing w:val="-6"/>
                <w:sz w:val="20"/>
              </w:rPr>
              <w:t xml:space="preserve"> </w:t>
            </w:r>
            <w:r>
              <w:rPr>
                <w:sz w:val="20"/>
              </w:rPr>
              <w:t>you</w:t>
            </w:r>
            <w:r>
              <w:rPr>
                <w:spacing w:val="-4"/>
                <w:sz w:val="20"/>
              </w:rPr>
              <w:t xml:space="preserve"> </w:t>
            </w:r>
            <w:r>
              <w:rPr>
                <w:sz w:val="20"/>
              </w:rPr>
              <w:t>or</w:t>
            </w:r>
            <w:r>
              <w:rPr>
                <w:spacing w:val="-5"/>
                <w:sz w:val="20"/>
              </w:rPr>
              <w:t xml:space="preserve"> </w:t>
            </w:r>
            <w:r>
              <w:rPr>
                <w:sz w:val="20"/>
              </w:rPr>
              <w:t>someone</w:t>
            </w:r>
            <w:r>
              <w:rPr>
                <w:spacing w:val="-6"/>
                <w:sz w:val="20"/>
              </w:rPr>
              <w:t xml:space="preserve"> </w:t>
            </w:r>
            <w:r>
              <w:rPr>
                <w:sz w:val="20"/>
              </w:rPr>
              <w:t>else</w:t>
            </w:r>
            <w:r>
              <w:rPr>
                <w:spacing w:val="-3"/>
                <w:sz w:val="20"/>
              </w:rPr>
              <w:t xml:space="preserve"> </w:t>
            </w:r>
            <w:r>
              <w:rPr>
                <w:sz w:val="20"/>
              </w:rPr>
              <w:t>been</w:t>
            </w:r>
            <w:r>
              <w:rPr>
                <w:spacing w:val="-4"/>
                <w:sz w:val="20"/>
              </w:rPr>
              <w:t xml:space="preserve"> </w:t>
            </w:r>
            <w:r>
              <w:rPr>
                <w:sz w:val="20"/>
              </w:rPr>
              <w:t>injured</w:t>
            </w:r>
            <w:r>
              <w:rPr>
                <w:spacing w:val="-4"/>
                <w:sz w:val="20"/>
              </w:rPr>
              <w:t xml:space="preserve"> </w:t>
            </w:r>
            <w:r>
              <w:rPr>
                <w:sz w:val="20"/>
              </w:rPr>
              <w:t>as</w:t>
            </w:r>
            <w:r>
              <w:rPr>
                <w:spacing w:val="-6"/>
                <w:sz w:val="20"/>
              </w:rPr>
              <w:t xml:space="preserve"> </w:t>
            </w:r>
            <w:r>
              <w:rPr>
                <w:sz w:val="20"/>
              </w:rPr>
              <w:t>a</w:t>
            </w:r>
            <w:r>
              <w:rPr>
                <w:spacing w:val="-4"/>
                <w:sz w:val="20"/>
              </w:rPr>
              <w:t xml:space="preserve"> </w:t>
            </w:r>
            <w:r>
              <w:rPr>
                <w:sz w:val="20"/>
              </w:rPr>
              <w:t>result of your drinking?</w:t>
            </w:r>
          </w:p>
          <w:p w14:paraId="5CE289B7" w14:textId="77777777" w:rsidR="00DB6E1F" w:rsidRDefault="00F666A6">
            <w:pPr>
              <w:pStyle w:val="TableParagraph"/>
              <w:rPr>
                <w:sz w:val="20"/>
              </w:rPr>
            </w:pPr>
            <w:r>
              <w:rPr>
                <w:sz w:val="20"/>
              </w:rPr>
              <w:t>(0)</w:t>
            </w:r>
            <w:r>
              <w:rPr>
                <w:spacing w:val="73"/>
                <w:w w:val="150"/>
                <w:sz w:val="20"/>
              </w:rPr>
              <w:t xml:space="preserve"> </w:t>
            </w:r>
            <w:r>
              <w:rPr>
                <w:spacing w:val="-5"/>
                <w:sz w:val="20"/>
              </w:rPr>
              <w:t>No</w:t>
            </w:r>
          </w:p>
          <w:p w14:paraId="79CA15E2" w14:textId="77777777" w:rsidR="00DB6E1F" w:rsidRDefault="00F666A6">
            <w:pPr>
              <w:pStyle w:val="TableParagraph"/>
              <w:spacing w:line="243" w:lineRule="exact"/>
              <w:rPr>
                <w:sz w:val="20"/>
              </w:rPr>
            </w:pPr>
            <w:r>
              <w:rPr>
                <w:sz w:val="20"/>
              </w:rPr>
              <w:t>(2)</w:t>
            </w:r>
            <w:r>
              <w:rPr>
                <w:spacing w:val="67"/>
                <w:w w:val="150"/>
                <w:sz w:val="20"/>
              </w:rPr>
              <w:t xml:space="preserve"> </w:t>
            </w:r>
            <w:r>
              <w:rPr>
                <w:sz w:val="20"/>
              </w:rPr>
              <w:t>Yes,</w:t>
            </w:r>
            <w:r>
              <w:rPr>
                <w:spacing w:val="-2"/>
                <w:sz w:val="20"/>
              </w:rPr>
              <w:t xml:space="preserve"> </w:t>
            </w:r>
            <w:r>
              <w:rPr>
                <w:sz w:val="20"/>
              </w:rPr>
              <w:t>but</w:t>
            </w:r>
            <w:r>
              <w:rPr>
                <w:spacing w:val="-3"/>
                <w:sz w:val="20"/>
              </w:rPr>
              <w:t xml:space="preserve"> </w:t>
            </w:r>
            <w:r>
              <w:rPr>
                <w:sz w:val="20"/>
              </w:rPr>
              <w:t>not</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last</w:t>
            </w:r>
            <w:r>
              <w:rPr>
                <w:spacing w:val="-3"/>
                <w:sz w:val="20"/>
              </w:rPr>
              <w:t xml:space="preserve"> </w:t>
            </w:r>
            <w:r>
              <w:rPr>
                <w:spacing w:val="-4"/>
                <w:sz w:val="20"/>
              </w:rPr>
              <w:t>year</w:t>
            </w:r>
          </w:p>
          <w:p w14:paraId="58B6683A" w14:textId="77777777" w:rsidR="00DB6E1F" w:rsidRDefault="00F666A6">
            <w:pPr>
              <w:pStyle w:val="TableParagraph"/>
              <w:spacing w:before="0" w:line="243" w:lineRule="exact"/>
              <w:rPr>
                <w:sz w:val="20"/>
              </w:rPr>
            </w:pPr>
            <w:r>
              <w:rPr>
                <w:sz w:val="20"/>
              </w:rPr>
              <w:t>(4)</w:t>
            </w:r>
            <w:r>
              <w:rPr>
                <w:spacing w:val="66"/>
                <w:w w:val="150"/>
                <w:sz w:val="20"/>
              </w:rPr>
              <w:t xml:space="preserve"> </w:t>
            </w:r>
            <w:r>
              <w:rPr>
                <w:sz w:val="20"/>
              </w:rPr>
              <w:t>Yes,</w:t>
            </w:r>
            <w:r>
              <w:rPr>
                <w:spacing w:val="-4"/>
                <w:sz w:val="20"/>
              </w:rPr>
              <w:t xml:space="preserve"> </w:t>
            </w:r>
            <w:r>
              <w:rPr>
                <w:sz w:val="20"/>
              </w:rPr>
              <w:t>during</w:t>
            </w:r>
            <w:r>
              <w:rPr>
                <w:spacing w:val="-3"/>
                <w:sz w:val="20"/>
              </w:rPr>
              <w:t xml:space="preserve"> </w:t>
            </w:r>
            <w:r>
              <w:rPr>
                <w:sz w:val="20"/>
              </w:rPr>
              <w:t>the</w:t>
            </w:r>
            <w:r>
              <w:rPr>
                <w:spacing w:val="-5"/>
                <w:sz w:val="20"/>
              </w:rPr>
              <w:t xml:space="preserve"> </w:t>
            </w:r>
            <w:r>
              <w:rPr>
                <w:sz w:val="20"/>
              </w:rPr>
              <w:t>last</w:t>
            </w:r>
            <w:r>
              <w:rPr>
                <w:spacing w:val="-3"/>
                <w:sz w:val="20"/>
              </w:rPr>
              <w:t xml:space="preserve"> </w:t>
            </w:r>
            <w:r>
              <w:rPr>
                <w:spacing w:val="-4"/>
                <w:sz w:val="20"/>
              </w:rPr>
              <w:t>year</w:t>
            </w:r>
          </w:p>
        </w:tc>
      </w:tr>
      <w:tr w:rsidR="00DB6E1F" w14:paraId="775120A4" w14:textId="77777777">
        <w:trPr>
          <w:trHeight w:val="1955"/>
        </w:trPr>
        <w:tc>
          <w:tcPr>
            <w:tcW w:w="4675" w:type="dxa"/>
          </w:tcPr>
          <w:p w14:paraId="0D9890AA" w14:textId="77777777" w:rsidR="00DB6E1F" w:rsidRDefault="00F666A6">
            <w:pPr>
              <w:pStyle w:val="TableParagraph"/>
              <w:ind w:right="137"/>
              <w:rPr>
                <w:b/>
                <w:sz w:val="20"/>
              </w:rPr>
            </w:pPr>
            <w:r>
              <w:rPr>
                <w:b/>
                <w:sz w:val="20"/>
              </w:rPr>
              <w:t>5.How often during the last year have you failed to do</w:t>
            </w:r>
            <w:r>
              <w:rPr>
                <w:b/>
                <w:spacing w:val="-4"/>
                <w:sz w:val="20"/>
              </w:rPr>
              <w:t xml:space="preserve"> </w:t>
            </w:r>
            <w:r>
              <w:rPr>
                <w:b/>
                <w:sz w:val="20"/>
              </w:rPr>
              <w:t>what</w:t>
            </w:r>
            <w:r>
              <w:rPr>
                <w:b/>
                <w:spacing w:val="-5"/>
                <w:sz w:val="20"/>
              </w:rPr>
              <w:t xml:space="preserve"> </w:t>
            </w:r>
            <w:r>
              <w:rPr>
                <w:b/>
                <w:sz w:val="20"/>
              </w:rPr>
              <w:t>was</w:t>
            </w:r>
            <w:r>
              <w:rPr>
                <w:b/>
                <w:spacing w:val="-5"/>
                <w:sz w:val="20"/>
              </w:rPr>
              <w:t xml:space="preserve"> </w:t>
            </w:r>
            <w:r>
              <w:rPr>
                <w:b/>
                <w:sz w:val="20"/>
              </w:rPr>
              <w:t>normally</w:t>
            </w:r>
            <w:r>
              <w:rPr>
                <w:b/>
                <w:spacing w:val="-6"/>
                <w:sz w:val="20"/>
              </w:rPr>
              <w:t xml:space="preserve"> </w:t>
            </w:r>
            <w:r>
              <w:rPr>
                <w:b/>
                <w:sz w:val="20"/>
              </w:rPr>
              <w:t>expected</w:t>
            </w:r>
            <w:r>
              <w:rPr>
                <w:b/>
                <w:spacing w:val="-4"/>
                <w:sz w:val="20"/>
              </w:rPr>
              <w:t xml:space="preserve"> </w:t>
            </w:r>
            <w:r>
              <w:rPr>
                <w:b/>
                <w:sz w:val="20"/>
              </w:rPr>
              <w:t>from</w:t>
            </w:r>
            <w:r>
              <w:rPr>
                <w:b/>
                <w:spacing w:val="-4"/>
                <w:sz w:val="20"/>
              </w:rPr>
              <w:t xml:space="preserve"> </w:t>
            </w:r>
            <w:r>
              <w:rPr>
                <w:b/>
                <w:sz w:val="20"/>
              </w:rPr>
              <w:t>you</w:t>
            </w:r>
            <w:r>
              <w:rPr>
                <w:b/>
                <w:spacing w:val="-4"/>
                <w:sz w:val="20"/>
              </w:rPr>
              <w:t xml:space="preserve"> </w:t>
            </w:r>
            <w:r>
              <w:rPr>
                <w:b/>
                <w:sz w:val="20"/>
              </w:rPr>
              <w:t>because</w:t>
            </w:r>
            <w:r>
              <w:rPr>
                <w:b/>
                <w:spacing w:val="-5"/>
                <w:sz w:val="20"/>
              </w:rPr>
              <w:t xml:space="preserve"> </w:t>
            </w:r>
            <w:r>
              <w:rPr>
                <w:b/>
                <w:sz w:val="20"/>
              </w:rPr>
              <w:t xml:space="preserve">of </w:t>
            </w:r>
            <w:r>
              <w:rPr>
                <w:b/>
                <w:spacing w:val="-2"/>
                <w:sz w:val="20"/>
              </w:rPr>
              <w:t>drinking?</w:t>
            </w:r>
          </w:p>
          <w:p w14:paraId="30F29390" w14:textId="77777777" w:rsidR="00DB6E1F" w:rsidRDefault="00F666A6">
            <w:pPr>
              <w:pStyle w:val="TableParagraph"/>
              <w:numPr>
                <w:ilvl w:val="0"/>
                <w:numId w:val="29"/>
              </w:numPr>
              <w:tabs>
                <w:tab w:val="left" w:pos="461"/>
              </w:tabs>
              <w:spacing w:before="2" w:line="243" w:lineRule="exact"/>
              <w:ind w:hanging="354"/>
              <w:rPr>
                <w:sz w:val="20"/>
              </w:rPr>
            </w:pPr>
            <w:r>
              <w:rPr>
                <w:spacing w:val="-2"/>
                <w:sz w:val="20"/>
              </w:rPr>
              <w:t>Never</w:t>
            </w:r>
          </w:p>
          <w:p w14:paraId="6513D1ED" w14:textId="77777777" w:rsidR="00DB6E1F" w:rsidRDefault="00F666A6">
            <w:pPr>
              <w:pStyle w:val="TableParagraph"/>
              <w:numPr>
                <w:ilvl w:val="0"/>
                <w:numId w:val="29"/>
              </w:numPr>
              <w:tabs>
                <w:tab w:val="left" w:pos="461"/>
              </w:tabs>
              <w:spacing w:before="0" w:line="243" w:lineRule="exact"/>
              <w:ind w:hanging="354"/>
              <w:rPr>
                <w:sz w:val="20"/>
              </w:rPr>
            </w:pPr>
            <w:r>
              <w:rPr>
                <w:sz w:val="20"/>
              </w:rPr>
              <w:t>Less</w:t>
            </w:r>
            <w:r>
              <w:rPr>
                <w:spacing w:val="-5"/>
                <w:sz w:val="20"/>
              </w:rPr>
              <w:t xml:space="preserve"> </w:t>
            </w:r>
            <w:r>
              <w:rPr>
                <w:sz w:val="20"/>
              </w:rPr>
              <w:t>than</w:t>
            </w:r>
            <w:r>
              <w:rPr>
                <w:spacing w:val="-3"/>
                <w:sz w:val="20"/>
              </w:rPr>
              <w:t xml:space="preserve"> </w:t>
            </w:r>
            <w:r>
              <w:rPr>
                <w:spacing w:val="-2"/>
                <w:sz w:val="20"/>
              </w:rPr>
              <w:t>monthly</w:t>
            </w:r>
          </w:p>
          <w:p w14:paraId="44697067" w14:textId="77777777" w:rsidR="00DB6E1F" w:rsidRDefault="00F666A6">
            <w:pPr>
              <w:pStyle w:val="TableParagraph"/>
              <w:numPr>
                <w:ilvl w:val="0"/>
                <w:numId w:val="29"/>
              </w:numPr>
              <w:tabs>
                <w:tab w:val="left" w:pos="461"/>
              </w:tabs>
              <w:ind w:hanging="354"/>
              <w:rPr>
                <w:sz w:val="20"/>
              </w:rPr>
            </w:pPr>
            <w:r>
              <w:rPr>
                <w:spacing w:val="-2"/>
                <w:sz w:val="20"/>
              </w:rPr>
              <w:t>Monthly</w:t>
            </w:r>
          </w:p>
          <w:p w14:paraId="1C09EA33" w14:textId="77777777" w:rsidR="00DB6E1F" w:rsidRDefault="00F666A6">
            <w:pPr>
              <w:pStyle w:val="TableParagraph"/>
              <w:numPr>
                <w:ilvl w:val="0"/>
                <w:numId w:val="29"/>
              </w:numPr>
              <w:tabs>
                <w:tab w:val="left" w:pos="461"/>
              </w:tabs>
              <w:spacing w:before="0" w:line="243" w:lineRule="exact"/>
              <w:ind w:hanging="354"/>
              <w:rPr>
                <w:sz w:val="20"/>
              </w:rPr>
            </w:pPr>
            <w:r>
              <w:rPr>
                <w:spacing w:val="-2"/>
                <w:sz w:val="20"/>
              </w:rPr>
              <w:t>Weekly</w:t>
            </w:r>
          </w:p>
          <w:p w14:paraId="436A64A5" w14:textId="77777777" w:rsidR="00DB6E1F" w:rsidRDefault="00F666A6">
            <w:pPr>
              <w:pStyle w:val="TableParagraph"/>
              <w:numPr>
                <w:ilvl w:val="0"/>
                <w:numId w:val="29"/>
              </w:numPr>
              <w:tabs>
                <w:tab w:val="left" w:pos="461"/>
              </w:tabs>
              <w:spacing w:before="0" w:line="225" w:lineRule="exact"/>
              <w:ind w:hanging="354"/>
              <w:rPr>
                <w:sz w:val="20"/>
              </w:rPr>
            </w:pPr>
            <w:r>
              <w:rPr>
                <w:sz w:val="20"/>
              </w:rPr>
              <w:t>Daily</w:t>
            </w:r>
            <w:r>
              <w:rPr>
                <w:spacing w:val="-6"/>
                <w:sz w:val="20"/>
              </w:rPr>
              <w:t xml:space="preserve"> </w:t>
            </w:r>
            <w:r>
              <w:rPr>
                <w:sz w:val="20"/>
              </w:rPr>
              <w:t>or</w:t>
            </w:r>
            <w:r>
              <w:rPr>
                <w:spacing w:val="-6"/>
                <w:sz w:val="20"/>
              </w:rPr>
              <w:t xml:space="preserve"> </w:t>
            </w:r>
            <w:r>
              <w:rPr>
                <w:sz w:val="20"/>
              </w:rPr>
              <w:t>almost</w:t>
            </w:r>
            <w:r>
              <w:rPr>
                <w:spacing w:val="-6"/>
                <w:sz w:val="20"/>
              </w:rPr>
              <w:t xml:space="preserve"> </w:t>
            </w:r>
            <w:r>
              <w:rPr>
                <w:spacing w:val="-4"/>
                <w:sz w:val="20"/>
              </w:rPr>
              <w:t>daily</w:t>
            </w:r>
          </w:p>
        </w:tc>
        <w:tc>
          <w:tcPr>
            <w:tcW w:w="4675" w:type="dxa"/>
          </w:tcPr>
          <w:p w14:paraId="63A3D7AB" w14:textId="77777777" w:rsidR="00DB6E1F" w:rsidRDefault="00F666A6">
            <w:pPr>
              <w:pStyle w:val="TableParagraph"/>
              <w:rPr>
                <w:sz w:val="20"/>
              </w:rPr>
            </w:pPr>
            <w:r>
              <w:rPr>
                <w:sz w:val="20"/>
              </w:rPr>
              <w:t>10. Has a relative, friend, doctor, or another health professional</w:t>
            </w:r>
            <w:r>
              <w:rPr>
                <w:spacing w:val="-7"/>
                <w:sz w:val="20"/>
              </w:rPr>
              <w:t xml:space="preserve"> </w:t>
            </w:r>
            <w:r>
              <w:rPr>
                <w:sz w:val="20"/>
              </w:rPr>
              <w:t>expressed</w:t>
            </w:r>
            <w:r>
              <w:rPr>
                <w:spacing w:val="-6"/>
                <w:sz w:val="20"/>
              </w:rPr>
              <w:t xml:space="preserve"> </w:t>
            </w:r>
            <w:r>
              <w:rPr>
                <w:sz w:val="20"/>
              </w:rPr>
              <w:t>concern</w:t>
            </w:r>
            <w:r>
              <w:rPr>
                <w:spacing w:val="-6"/>
                <w:sz w:val="20"/>
              </w:rPr>
              <w:t xml:space="preserve"> </w:t>
            </w:r>
            <w:r>
              <w:rPr>
                <w:sz w:val="20"/>
              </w:rPr>
              <w:t>about</w:t>
            </w:r>
            <w:r>
              <w:rPr>
                <w:spacing w:val="-7"/>
                <w:sz w:val="20"/>
              </w:rPr>
              <w:t xml:space="preserve"> </w:t>
            </w:r>
            <w:r>
              <w:rPr>
                <w:sz w:val="20"/>
              </w:rPr>
              <w:t>your</w:t>
            </w:r>
            <w:r>
              <w:rPr>
                <w:spacing w:val="-7"/>
                <w:sz w:val="20"/>
              </w:rPr>
              <w:t xml:space="preserve"> </w:t>
            </w:r>
            <w:r>
              <w:rPr>
                <w:sz w:val="20"/>
              </w:rPr>
              <w:t>drinking</w:t>
            </w:r>
            <w:r>
              <w:rPr>
                <w:spacing w:val="-7"/>
                <w:sz w:val="20"/>
              </w:rPr>
              <w:t xml:space="preserve"> </w:t>
            </w:r>
            <w:r>
              <w:rPr>
                <w:sz w:val="20"/>
              </w:rPr>
              <w:t>or suggested you cut down?</w:t>
            </w:r>
          </w:p>
          <w:p w14:paraId="1F95B123" w14:textId="77777777" w:rsidR="00DB6E1F" w:rsidRDefault="00F666A6">
            <w:pPr>
              <w:pStyle w:val="TableParagraph"/>
              <w:spacing w:before="2" w:line="243" w:lineRule="exact"/>
              <w:rPr>
                <w:sz w:val="20"/>
              </w:rPr>
            </w:pPr>
            <w:r>
              <w:rPr>
                <w:sz w:val="20"/>
              </w:rPr>
              <w:t>(0)</w:t>
            </w:r>
            <w:r>
              <w:rPr>
                <w:spacing w:val="73"/>
                <w:w w:val="150"/>
                <w:sz w:val="20"/>
              </w:rPr>
              <w:t xml:space="preserve"> </w:t>
            </w:r>
            <w:r>
              <w:rPr>
                <w:spacing w:val="-5"/>
                <w:sz w:val="20"/>
              </w:rPr>
              <w:t>No</w:t>
            </w:r>
          </w:p>
          <w:p w14:paraId="4CB94269" w14:textId="77777777" w:rsidR="00DB6E1F" w:rsidRDefault="00F666A6">
            <w:pPr>
              <w:pStyle w:val="TableParagraph"/>
              <w:spacing w:before="0" w:line="243" w:lineRule="exact"/>
              <w:rPr>
                <w:sz w:val="20"/>
              </w:rPr>
            </w:pPr>
            <w:r>
              <w:rPr>
                <w:sz w:val="20"/>
              </w:rPr>
              <w:t>(2)</w:t>
            </w:r>
            <w:r>
              <w:rPr>
                <w:spacing w:val="67"/>
                <w:w w:val="150"/>
                <w:sz w:val="20"/>
              </w:rPr>
              <w:t xml:space="preserve"> </w:t>
            </w:r>
            <w:r>
              <w:rPr>
                <w:sz w:val="20"/>
              </w:rPr>
              <w:t>Yes,</w:t>
            </w:r>
            <w:r>
              <w:rPr>
                <w:spacing w:val="-2"/>
                <w:sz w:val="20"/>
              </w:rPr>
              <w:t xml:space="preserve"> </w:t>
            </w:r>
            <w:r>
              <w:rPr>
                <w:sz w:val="20"/>
              </w:rPr>
              <w:t>but</w:t>
            </w:r>
            <w:r>
              <w:rPr>
                <w:spacing w:val="-3"/>
                <w:sz w:val="20"/>
              </w:rPr>
              <w:t xml:space="preserve"> </w:t>
            </w:r>
            <w:r>
              <w:rPr>
                <w:sz w:val="20"/>
              </w:rPr>
              <w:t>not</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last</w:t>
            </w:r>
            <w:r>
              <w:rPr>
                <w:spacing w:val="-3"/>
                <w:sz w:val="20"/>
              </w:rPr>
              <w:t xml:space="preserve"> </w:t>
            </w:r>
            <w:r>
              <w:rPr>
                <w:spacing w:val="-4"/>
                <w:sz w:val="20"/>
              </w:rPr>
              <w:t>year</w:t>
            </w:r>
          </w:p>
          <w:p w14:paraId="7A35A6E9" w14:textId="77777777" w:rsidR="00DB6E1F" w:rsidRDefault="00F666A6">
            <w:pPr>
              <w:pStyle w:val="TableParagraph"/>
              <w:rPr>
                <w:sz w:val="20"/>
              </w:rPr>
            </w:pPr>
            <w:r>
              <w:rPr>
                <w:sz w:val="20"/>
              </w:rPr>
              <w:t>(4)</w:t>
            </w:r>
            <w:r>
              <w:rPr>
                <w:spacing w:val="66"/>
                <w:w w:val="150"/>
                <w:sz w:val="20"/>
              </w:rPr>
              <w:t xml:space="preserve"> </w:t>
            </w:r>
            <w:r>
              <w:rPr>
                <w:sz w:val="20"/>
              </w:rPr>
              <w:t>Yes,</w:t>
            </w:r>
            <w:r>
              <w:rPr>
                <w:spacing w:val="-4"/>
                <w:sz w:val="20"/>
              </w:rPr>
              <w:t xml:space="preserve"> </w:t>
            </w:r>
            <w:r>
              <w:rPr>
                <w:sz w:val="20"/>
              </w:rPr>
              <w:t>during</w:t>
            </w:r>
            <w:r>
              <w:rPr>
                <w:spacing w:val="-3"/>
                <w:sz w:val="20"/>
              </w:rPr>
              <w:t xml:space="preserve"> </w:t>
            </w:r>
            <w:r>
              <w:rPr>
                <w:sz w:val="20"/>
              </w:rPr>
              <w:t>the</w:t>
            </w:r>
            <w:r>
              <w:rPr>
                <w:spacing w:val="-5"/>
                <w:sz w:val="20"/>
              </w:rPr>
              <w:t xml:space="preserve"> </w:t>
            </w:r>
            <w:r>
              <w:rPr>
                <w:sz w:val="20"/>
              </w:rPr>
              <w:t>last</w:t>
            </w:r>
            <w:r>
              <w:rPr>
                <w:spacing w:val="-3"/>
                <w:sz w:val="20"/>
              </w:rPr>
              <w:t xml:space="preserve"> </w:t>
            </w:r>
            <w:r>
              <w:rPr>
                <w:spacing w:val="-4"/>
                <w:sz w:val="20"/>
              </w:rPr>
              <w:t>year</w:t>
            </w:r>
          </w:p>
        </w:tc>
      </w:tr>
    </w:tbl>
    <w:p w14:paraId="7E5E3846" w14:textId="77777777" w:rsidR="00DB6E1F" w:rsidRDefault="00DB6E1F">
      <w:pPr>
        <w:rPr>
          <w:sz w:val="20"/>
        </w:rPr>
        <w:sectPr w:rsidR="00DB6E1F">
          <w:pgSz w:w="12240" w:h="15840"/>
          <w:pgMar w:top="1200" w:right="0" w:bottom="780" w:left="0" w:header="763" w:footer="585" w:gutter="0"/>
          <w:cols w:space="720"/>
        </w:sectPr>
      </w:pPr>
    </w:p>
    <w:p w14:paraId="7FA1C9A4" w14:textId="77777777" w:rsidR="00DB6E1F" w:rsidRDefault="00DB6E1F">
      <w:pPr>
        <w:pStyle w:val="BodyText"/>
        <w:rPr>
          <w:b/>
          <w:sz w:val="20"/>
        </w:rPr>
      </w:pPr>
    </w:p>
    <w:p w14:paraId="7CC18E49" w14:textId="77777777" w:rsidR="00DB6E1F" w:rsidRDefault="00DB6E1F">
      <w:pPr>
        <w:pStyle w:val="BodyText"/>
        <w:spacing w:before="2"/>
        <w:rPr>
          <w:b/>
          <w:sz w:val="29"/>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628"/>
        <w:gridCol w:w="2323"/>
        <w:gridCol w:w="2969"/>
      </w:tblGrid>
      <w:tr w:rsidR="00DB6E1F" w14:paraId="4E5A2128" w14:textId="77777777">
        <w:trPr>
          <w:trHeight w:val="364"/>
        </w:trPr>
        <w:tc>
          <w:tcPr>
            <w:tcW w:w="9360" w:type="dxa"/>
            <w:gridSpan w:val="4"/>
            <w:tcBorders>
              <w:bottom w:val="single" w:sz="6" w:space="0" w:color="000000"/>
            </w:tcBorders>
          </w:tcPr>
          <w:p w14:paraId="287C9483" w14:textId="77777777" w:rsidR="00DB6E1F" w:rsidRDefault="00F666A6">
            <w:pPr>
              <w:pStyle w:val="TableParagraph"/>
              <w:ind w:left="112"/>
              <w:rPr>
                <w:sz w:val="20"/>
              </w:rPr>
            </w:pPr>
            <w:r>
              <w:rPr>
                <w:spacing w:val="-2"/>
                <w:sz w:val="20"/>
              </w:rPr>
              <w:t>Scoring</w:t>
            </w:r>
          </w:p>
        </w:tc>
      </w:tr>
      <w:tr w:rsidR="00DB6E1F" w14:paraId="65292966" w14:textId="77777777">
        <w:trPr>
          <w:trHeight w:val="364"/>
        </w:trPr>
        <w:tc>
          <w:tcPr>
            <w:tcW w:w="1440" w:type="dxa"/>
            <w:tcBorders>
              <w:top w:val="single" w:sz="6" w:space="0" w:color="000000"/>
              <w:left w:val="single" w:sz="2" w:space="0" w:color="231F20"/>
              <w:bottom w:val="single" w:sz="2" w:space="0" w:color="231F20"/>
              <w:right w:val="single" w:sz="2" w:space="0" w:color="231F20"/>
            </w:tcBorders>
            <w:shd w:val="clear" w:color="auto" w:fill="E7E6E6"/>
          </w:tcPr>
          <w:p w14:paraId="72B6E4E1" w14:textId="77777777" w:rsidR="00DB6E1F" w:rsidRDefault="00F666A6">
            <w:pPr>
              <w:pStyle w:val="TableParagraph"/>
              <w:ind w:left="4"/>
              <w:rPr>
                <w:sz w:val="20"/>
              </w:rPr>
            </w:pPr>
            <w:r>
              <w:rPr>
                <w:sz w:val="20"/>
              </w:rPr>
              <w:t>Risk</w:t>
            </w:r>
            <w:r>
              <w:rPr>
                <w:spacing w:val="-6"/>
                <w:sz w:val="20"/>
              </w:rPr>
              <w:t xml:space="preserve"> </w:t>
            </w:r>
            <w:r>
              <w:rPr>
                <w:spacing w:val="-2"/>
                <w:sz w:val="20"/>
              </w:rPr>
              <w:t>Level</w:t>
            </w:r>
          </w:p>
        </w:tc>
        <w:tc>
          <w:tcPr>
            <w:tcW w:w="2628" w:type="dxa"/>
            <w:tcBorders>
              <w:top w:val="single" w:sz="6" w:space="0" w:color="000000"/>
              <w:left w:val="single" w:sz="2" w:space="0" w:color="231F20"/>
              <w:bottom w:val="single" w:sz="2" w:space="0" w:color="231F20"/>
              <w:right w:val="single" w:sz="2" w:space="0" w:color="231F20"/>
            </w:tcBorders>
            <w:shd w:val="clear" w:color="auto" w:fill="E7E6E6"/>
          </w:tcPr>
          <w:p w14:paraId="6D777469" w14:textId="77777777" w:rsidR="00DB6E1F" w:rsidRDefault="00F666A6">
            <w:pPr>
              <w:pStyle w:val="TableParagraph"/>
              <w:ind w:left="4"/>
              <w:rPr>
                <w:sz w:val="20"/>
              </w:rPr>
            </w:pPr>
            <w:r>
              <w:rPr>
                <w:spacing w:val="-2"/>
                <w:sz w:val="20"/>
              </w:rPr>
              <w:t>Intervention</w:t>
            </w:r>
          </w:p>
        </w:tc>
        <w:tc>
          <w:tcPr>
            <w:tcW w:w="2323" w:type="dxa"/>
            <w:tcBorders>
              <w:top w:val="single" w:sz="6" w:space="0" w:color="000000"/>
              <w:left w:val="single" w:sz="2" w:space="0" w:color="231F20"/>
              <w:bottom w:val="single" w:sz="2" w:space="0" w:color="231F20"/>
              <w:right w:val="single" w:sz="2" w:space="0" w:color="231F20"/>
            </w:tcBorders>
            <w:shd w:val="clear" w:color="auto" w:fill="E7E6E6"/>
          </w:tcPr>
          <w:p w14:paraId="1AB9D6E9" w14:textId="77777777" w:rsidR="00DB6E1F" w:rsidRDefault="00F666A6">
            <w:pPr>
              <w:pStyle w:val="TableParagraph"/>
              <w:ind w:left="2"/>
              <w:rPr>
                <w:sz w:val="20"/>
              </w:rPr>
            </w:pPr>
            <w:r>
              <w:rPr>
                <w:spacing w:val="-2"/>
                <w:sz w:val="20"/>
              </w:rPr>
              <w:t>USAUDIT</w:t>
            </w:r>
            <w:r>
              <w:rPr>
                <w:spacing w:val="2"/>
                <w:sz w:val="20"/>
              </w:rPr>
              <w:t xml:space="preserve"> </w:t>
            </w:r>
            <w:r>
              <w:rPr>
                <w:spacing w:val="-2"/>
                <w:sz w:val="20"/>
              </w:rPr>
              <w:t>Score</w:t>
            </w:r>
          </w:p>
        </w:tc>
        <w:tc>
          <w:tcPr>
            <w:tcW w:w="2969" w:type="dxa"/>
            <w:tcBorders>
              <w:top w:val="single" w:sz="6" w:space="0" w:color="000000"/>
              <w:left w:val="single" w:sz="2" w:space="0" w:color="231F20"/>
              <w:bottom w:val="single" w:sz="2" w:space="0" w:color="231F20"/>
              <w:right w:val="single" w:sz="2" w:space="0" w:color="231F20"/>
            </w:tcBorders>
            <w:shd w:val="clear" w:color="auto" w:fill="E7E6E6"/>
          </w:tcPr>
          <w:p w14:paraId="6676585F" w14:textId="77777777" w:rsidR="00DB6E1F" w:rsidRDefault="00F666A6">
            <w:pPr>
              <w:pStyle w:val="TableParagraph"/>
              <w:ind w:left="2"/>
              <w:rPr>
                <w:sz w:val="20"/>
              </w:rPr>
            </w:pPr>
            <w:r>
              <w:rPr>
                <w:sz w:val="20"/>
              </w:rPr>
              <w:t>Possible</w:t>
            </w:r>
            <w:r>
              <w:rPr>
                <w:spacing w:val="-10"/>
                <w:sz w:val="20"/>
              </w:rPr>
              <w:t xml:space="preserve"> </w:t>
            </w:r>
            <w:r>
              <w:rPr>
                <w:sz w:val="20"/>
              </w:rPr>
              <w:t>AUD</w:t>
            </w:r>
            <w:r>
              <w:rPr>
                <w:spacing w:val="-9"/>
                <w:sz w:val="20"/>
              </w:rPr>
              <w:t xml:space="preserve"> </w:t>
            </w:r>
            <w:r>
              <w:rPr>
                <w:sz w:val="20"/>
              </w:rPr>
              <w:t>(DSM-5,</w:t>
            </w:r>
            <w:r>
              <w:rPr>
                <w:spacing w:val="-9"/>
                <w:sz w:val="20"/>
              </w:rPr>
              <w:t xml:space="preserve"> </w:t>
            </w:r>
            <w:r>
              <w:rPr>
                <w:sz w:val="20"/>
              </w:rPr>
              <w:t>ICD-</w:t>
            </w:r>
            <w:r>
              <w:rPr>
                <w:spacing w:val="-5"/>
                <w:sz w:val="20"/>
              </w:rPr>
              <w:t>10)</w:t>
            </w:r>
          </w:p>
        </w:tc>
      </w:tr>
      <w:tr w:rsidR="00DB6E1F" w14:paraId="3AD58355" w14:textId="77777777">
        <w:trPr>
          <w:trHeight w:val="362"/>
        </w:trPr>
        <w:tc>
          <w:tcPr>
            <w:tcW w:w="1440" w:type="dxa"/>
            <w:tcBorders>
              <w:top w:val="single" w:sz="2" w:space="0" w:color="231F20"/>
              <w:left w:val="single" w:sz="2" w:space="0" w:color="231F20"/>
              <w:bottom w:val="single" w:sz="2" w:space="0" w:color="231F20"/>
              <w:right w:val="single" w:sz="2" w:space="0" w:color="231F20"/>
            </w:tcBorders>
          </w:tcPr>
          <w:p w14:paraId="772615AD" w14:textId="77777777" w:rsidR="00DB6E1F" w:rsidRDefault="00F666A6">
            <w:pPr>
              <w:pStyle w:val="TableParagraph"/>
              <w:ind w:left="4"/>
              <w:rPr>
                <w:sz w:val="20"/>
              </w:rPr>
            </w:pPr>
            <w:r>
              <w:rPr>
                <w:w w:val="110"/>
                <w:sz w:val="20"/>
              </w:rPr>
              <w:t>Zone</w:t>
            </w:r>
            <w:r>
              <w:rPr>
                <w:spacing w:val="-9"/>
                <w:w w:val="110"/>
                <w:sz w:val="20"/>
              </w:rPr>
              <w:t xml:space="preserve"> </w:t>
            </w:r>
            <w:r>
              <w:rPr>
                <w:spacing w:val="-10"/>
                <w:w w:val="110"/>
                <w:sz w:val="20"/>
              </w:rPr>
              <w:t>I</w:t>
            </w:r>
          </w:p>
        </w:tc>
        <w:tc>
          <w:tcPr>
            <w:tcW w:w="2628" w:type="dxa"/>
            <w:tcBorders>
              <w:top w:val="single" w:sz="2" w:space="0" w:color="231F20"/>
              <w:left w:val="single" w:sz="2" w:space="0" w:color="231F20"/>
              <w:bottom w:val="single" w:sz="2" w:space="0" w:color="231F20"/>
              <w:right w:val="single" w:sz="2" w:space="0" w:color="231F20"/>
            </w:tcBorders>
          </w:tcPr>
          <w:p w14:paraId="0B1A9612" w14:textId="77777777" w:rsidR="00DB6E1F" w:rsidRDefault="00F666A6">
            <w:pPr>
              <w:pStyle w:val="TableParagraph"/>
              <w:ind w:left="4"/>
              <w:rPr>
                <w:sz w:val="20"/>
              </w:rPr>
            </w:pPr>
            <w:r>
              <w:rPr>
                <w:spacing w:val="-2"/>
                <w:sz w:val="20"/>
              </w:rPr>
              <w:t>Feedback</w:t>
            </w:r>
          </w:p>
        </w:tc>
        <w:tc>
          <w:tcPr>
            <w:tcW w:w="2323" w:type="dxa"/>
            <w:tcBorders>
              <w:top w:val="single" w:sz="2" w:space="0" w:color="231F20"/>
              <w:left w:val="single" w:sz="2" w:space="0" w:color="231F20"/>
              <w:bottom w:val="single" w:sz="2" w:space="0" w:color="231F20"/>
              <w:right w:val="single" w:sz="2" w:space="0" w:color="231F20"/>
            </w:tcBorders>
          </w:tcPr>
          <w:p w14:paraId="15FBECB6" w14:textId="77777777" w:rsidR="00DB6E1F" w:rsidRDefault="00F666A6">
            <w:pPr>
              <w:pStyle w:val="TableParagraph"/>
              <w:ind w:left="2"/>
              <w:rPr>
                <w:sz w:val="20"/>
              </w:rPr>
            </w:pPr>
            <w:r>
              <w:rPr>
                <w:w w:val="105"/>
                <w:sz w:val="20"/>
              </w:rPr>
              <w:t>0–6/7</w:t>
            </w:r>
            <w:r>
              <w:rPr>
                <w:spacing w:val="-5"/>
                <w:w w:val="105"/>
                <w:sz w:val="20"/>
              </w:rPr>
              <w:t xml:space="preserve"> </w:t>
            </w:r>
            <w:r>
              <w:rPr>
                <w:spacing w:val="-2"/>
                <w:w w:val="105"/>
                <w:sz w:val="20"/>
              </w:rPr>
              <w:t>(Women/Men)</w:t>
            </w:r>
          </w:p>
        </w:tc>
        <w:tc>
          <w:tcPr>
            <w:tcW w:w="2969" w:type="dxa"/>
            <w:tcBorders>
              <w:top w:val="single" w:sz="2" w:space="0" w:color="231F20"/>
              <w:left w:val="single" w:sz="2" w:space="0" w:color="231F20"/>
              <w:bottom w:val="single" w:sz="2" w:space="0" w:color="231F20"/>
              <w:right w:val="single" w:sz="2" w:space="0" w:color="231F20"/>
            </w:tcBorders>
          </w:tcPr>
          <w:p w14:paraId="7CB4B01F" w14:textId="77777777" w:rsidR="00DB6E1F" w:rsidRDefault="00F666A6">
            <w:pPr>
              <w:pStyle w:val="TableParagraph"/>
              <w:ind w:left="2"/>
              <w:rPr>
                <w:sz w:val="20"/>
              </w:rPr>
            </w:pPr>
            <w:r>
              <w:rPr>
                <w:spacing w:val="-4"/>
                <w:sz w:val="20"/>
              </w:rPr>
              <w:t>None</w:t>
            </w:r>
          </w:p>
        </w:tc>
      </w:tr>
      <w:tr w:rsidR="00DB6E1F" w14:paraId="12B25056" w14:textId="77777777">
        <w:trPr>
          <w:trHeight w:val="364"/>
        </w:trPr>
        <w:tc>
          <w:tcPr>
            <w:tcW w:w="1440" w:type="dxa"/>
            <w:tcBorders>
              <w:top w:val="single" w:sz="2" w:space="0" w:color="231F20"/>
              <w:left w:val="single" w:sz="2" w:space="0" w:color="231F20"/>
              <w:bottom w:val="single" w:sz="2" w:space="0" w:color="231F20"/>
              <w:right w:val="single" w:sz="2" w:space="0" w:color="231F20"/>
            </w:tcBorders>
          </w:tcPr>
          <w:p w14:paraId="2C1C2747" w14:textId="77777777" w:rsidR="00DB6E1F" w:rsidRDefault="00F666A6">
            <w:pPr>
              <w:pStyle w:val="TableParagraph"/>
              <w:ind w:left="4"/>
              <w:rPr>
                <w:sz w:val="20"/>
              </w:rPr>
            </w:pPr>
            <w:r>
              <w:rPr>
                <w:w w:val="110"/>
                <w:sz w:val="20"/>
              </w:rPr>
              <w:t>Zone</w:t>
            </w:r>
            <w:r>
              <w:rPr>
                <w:spacing w:val="-9"/>
                <w:w w:val="110"/>
                <w:sz w:val="20"/>
              </w:rPr>
              <w:t xml:space="preserve"> </w:t>
            </w:r>
            <w:r>
              <w:rPr>
                <w:spacing w:val="-5"/>
                <w:w w:val="110"/>
                <w:sz w:val="20"/>
              </w:rPr>
              <w:t>II</w:t>
            </w:r>
          </w:p>
        </w:tc>
        <w:tc>
          <w:tcPr>
            <w:tcW w:w="2628" w:type="dxa"/>
            <w:tcBorders>
              <w:top w:val="single" w:sz="2" w:space="0" w:color="231F20"/>
              <w:left w:val="single" w:sz="2" w:space="0" w:color="231F20"/>
              <w:bottom w:val="single" w:sz="2" w:space="0" w:color="231F20"/>
              <w:right w:val="single" w:sz="2" w:space="0" w:color="231F20"/>
            </w:tcBorders>
          </w:tcPr>
          <w:p w14:paraId="4F1B88A3" w14:textId="77777777" w:rsidR="00DB6E1F" w:rsidRDefault="00F666A6">
            <w:pPr>
              <w:pStyle w:val="TableParagraph"/>
              <w:ind w:left="4"/>
              <w:rPr>
                <w:sz w:val="20"/>
              </w:rPr>
            </w:pPr>
            <w:r>
              <w:rPr>
                <w:w w:val="95"/>
                <w:sz w:val="20"/>
              </w:rPr>
              <w:t>Feedback/brief</w:t>
            </w:r>
            <w:r>
              <w:rPr>
                <w:spacing w:val="44"/>
                <w:sz w:val="20"/>
              </w:rPr>
              <w:t xml:space="preserve"> </w:t>
            </w:r>
            <w:r>
              <w:rPr>
                <w:spacing w:val="-2"/>
                <w:sz w:val="20"/>
              </w:rPr>
              <w:t>intervention</w:t>
            </w:r>
          </w:p>
        </w:tc>
        <w:tc>
          <w:tcPr>
            <w:tcW w:w="2323" w:type="dxa"/>
            <w:tcBorders>
              <w:top w:val="single" w:sz="2" w:space="0" w:color="231F20"/>
              <w:left w:val="single" w:sz="2" w:space="0" w:color="231F20"/>
              <w:bottom w:val="single" w:sz="2" w:space="0" w:color="231F20"/>
              <w:right w:val="single" w:sz="2" w:space="0" w:color="231F20"/>
            </w:tcBorders>
          </w:tcPr>
          <w:p w14:paraId="6E55B7BE" w14:textId="77777777" w:rsidR="00DB6E1F" w:rsidRDefault="00F666A6">
            <w:pPr>
              <w:pStyle w:val="TableParagraph"/>
              <w:ind w:left="2"/>
              <w:rPr>
                <w:sz w:val="20"/>
              </w:rPr>
            </w:pPr>
            <w:r>
              <w:rPr>
                <w:w w:val="105"/>
                <w:sz w:val="20"/>
              </w:rPr>
              <w:t>7/8–15</w:t>
            </w:r>
            <w:r>
              <w:rPr>
                <w:spacing w:val="-7"/>
                <w:w w:val="105"/>
                <w:sz w:val="20"/>
              </w:rPr>
              <w:t xml:space="preserve"> </w:t>
            </w:r>
            <w:r>
              <w:rPr>
                <w:spacing w:val="-2"/>
                <w:w w:val="105"/>
                <w:sz w:val="20"/>
              </w:rPr>
              <w:t>(Women/Men)</w:t>
            </w:r>
          </w:p>
        </w:tc>
        <w:tc>
          <w:tcPr>
            <w:tcW w:w="2969" w:type="dxa"/>
            <w:tcBorders>
              <w:top w:val="single" w:sz="2" w:space="0" w:color="231F20"/>
              <w:left w:val="single" w:sz="2" w:space="0" w:color="231F20"/>
              <w:bottom w:val="single" w:sz="2" w:space="0" w:color="231F20"/>
              <w:right w:val="single" w:sz="2" w:space="0" w:color="231F20"/>
            </w:tcBorders>
          </w:tcPr>
          <w:p w14:paraId="6976EEC1" w14:textId="77777777" w:rsidR="00DB6E1F" w:rsidRDefault="00F666A6">
            <w:pPr>
              <w:pStyle w:val="TableParagraph"/>
              <w:ind w:left="2"/>
              <w:rPr>
                <w:sz w:val="20"/>
              </w:rPr>
            </w:pPr>
            <w:r>
              <w:rPr>
                <w:sz w:val="20"/>
              </w:rPr>
              <w:t>Mild</w:t>
            </w:r>
            <w:r>
              <w:rPr>
                <w:spacing w:val="-6"/>
                <w:sz w:val="20"/>
              </w:rPr>
              <w:t xml:space="preserve"> </w:t>
            </w:r>
            <w:r>
              <w:rPr>
                <w:sz w:val="20"/>
              </w:rPr>
              <w:t>AUD,</w:t>
            </w:r>
            <w:r>
              <w:rPr>
                <w:spacing w:val="-5"/>
                <w:sz w:val="20"/>
              </w:rPr>
              <w:t xml:space="preserve"> </w:t>
            </w:r>
            <w:r>
              <w:rPr>
                <w:sz w:val="20"/>
              </w:rPr>
              <w:t>hazardous</w:t>
            </w:r>
            <w:r>
              <w:rPr>
                <w:spacing w:val="-7"/>
                <w:sz w:val="20"/>
              </w:rPr>
              <w:t xml:space="preserve"> </w:t>
            </w:r>
            <w:r>
              <w:rPr>
                <w:spacing w:val="-5"/>
                <w:sz w:val="20"/>
              </w:rPr>
              <w:t>use</w:t>
            </w:r>
          </w:p>
        </w:tc>
      </w:tr>
      <w:tr w:rsidR="00DB6E1F" w14:paraId="30E3BC73" w14:textId="77777777">
        <w:trPr>
          <w:trHeight w:val="647"/>
        </w:trPr>
        <w:tc>
          <w:tcPr>
            <w:tcW w:w="1440" w:type="dxa"/>
            <w:tcBorders>
              <w:top w:val="single" w:sz="2" w:space="0" w:color="231F20"/>
              <w:left w:val="single" w:sz="2" w:space="0" w:color="231F20"/>
              <w:bottom w:val="single" w:sz="2" w:space="0" w:color="231F20"/>
              <w:right w:val="single" w:sz="2" w:space="0" w:color="231F20"/>
            </w:tcBorders>
          </w:tcPr>
          <w:p w14:paraId="5DC0AE22" w14:textId="77777777" w:rsidR="00DB6E1F" w:rsidRDefault="00F666A6">
            <w:pPr>
              <w:pStyle w:val="TableParagraph"/>
              <w:ind w:left="4"/>
              <w:rPr>
                <w:sz w:val="20"/>
              </w:rPr>
            </w:pPr>
            <w:r>
              <w:rPr>
                <w:w w:val="110"/>
                <w:sz w:val="20"/>
              </w:rPr>
              <w:t>Zone</w:t>
            </w:r>
            <w:r>
              <w:rPr>
                <w:spacing w:val="-9"/>
                <w:w w:val="110"/>
                <w:sz w:val="20"/>
              </w:rPr>
              <w:t xml:space="preserve"> </w:t>
            </w:r>
            <w:r>
              <w:rPr>
                <w:spacing w:val="-5"/>
                <w:w w:val="110"/>
                <w:sz w:val="20"/>
              </w:rPr>
              <w:t>III</w:t>
            </w:r>
          </w:p>
        </w:tc>
        <w:tc>
          <w:tcPr>
            <w:tcW w:w="2628" w:type="dxa"/>
            <w:tcBorders>
              <w:top w:val="single" w:sz="2" w:space="0" w:color="231F20"/>
              <w:left w:val="single" w:sz="2" w:space="0" w:color="231F20"/>
              <w:bottom w:val="single" w:sz="2" w:space="0" w:color="231F20"/>
              <w:right w:val="single" w:sz="2" w:space="0" w:color="231F20"/>
            </w:tcBorders>
          </w:tcPr>
          <w:p w14:paraId="43E545B6" w14:textId="77777777" w:rsidR="00DB6E1F" w:rsidRDefault="00F666A6">
            <w:pPr>
              <w:pStyle w:val="TableParagraph"/>
              <w:ind w:left="4"/>
              <w:rPr>
                <w:sz w:val="20"/>
              </w:rPr>
            </w:pPr>
            <w:r>
              <w:rPr>
                <w:spacing w:val="-2"/>
                <w:sz w:val="20"/>
              </w:rPr>
              <w:t xml:space="preserve">Feedback/monitoring/brief </w:t>
            </w:r>
            <w:r>
              <w:rPr>
                <w:sz w:val="20"/>
              </w:rPr>
              <w:t>outpatient treatment</w:t>
            </w:r>
          </w:p>
        </w:tc>
        <w:tc>
          <w:tcPr>
            <w:tcW w:w="2323" w:type="dxa"/>
            <w:tcBorders>
              <w:top w:val="single" w:sz="2" w:space="0" w:color="231F20"/>
              <w:left w:val="single" w:sz="2" w:space="0" w:color="231F20"/>
              <w:bottom w:val="single" w:sz="2" w:space="0" w:color="231F20"/>
              <w:right w:val="single" w:sz="2" w:space="0" w:color="231F20"/>
            </w:tcBorders>
          </w:tcPr>
          <w:p w14:paraId="4DB03E85" w14:textId="77777777" w:rsidR="00DB6E1F" w:rsidRDefault="00F666A6">
            <w:pPr>
              <w:pStyle w:val="TableParagraph"/>
              <w:ind w:left="2"/>
              <w:rPr>
                <w:sz w:val="20"/>
              </w:rPr>
            </w:pPr>
            <w:r>
              <w:rPr>
                <w:spacing w:val="-2"/>
                <w:w w:val="105"/>
                <w:sz w:val="20"/>
              </w:rPr>
              <w:t>16–24</w:t>
            </w:r>
          </w:p>
        </w:tc>
        <w:tc>
          <w:tcPr>
            <w:tcW w:w="2969" w:type="dxa"/>
            <w:tcBorders>
              <w:top w:val="single" w:sz="2" w:space="0" w:color="231F20"/>
              <w:left w:val="single" w:sz="2" w:space="0" w:color="231F20"/>
              <w:bottom w:val="single" w:sz="2" w:space="0" w:color="231F20"/>
              <w:right w:val="single" w:sz="2" w:space="0" w:color="231F20"/>
            </w:tcBorders>
          </w:tcPr>
          <w:p w14:paraId="7D5B4144" w14:textId="77777777" w:rsidR="00DB6E1F" w:rsidRDefault="00F666A6">
            <w:pPr>
              <w:pStyle w:val="TableParagraph"/>
              <w:ind w:left="2"/>
              <w:rPr>
                <w:sz w:val="20"/>
              </w:rPr>
            </w:pPr>
            <w:r>
              <w:rPr>
                <w:sz w:val="20"/>
              </w:rPr>
              <w:t>Moderate</w:t>
            </w:r>
            <w:r>
              <w:rPr>
                <w:spacing w:val="-8"/>
                <w:sz w:val="20"/>
              </w:rPr>
              <w:t xml:space="preserve"> </w:t>
            </w:r>
            <w:r>
              <w:rPr>
                <w:sz w:val="20"/>
              </w:rPr>
              <w:t>AUD,</w:t>
            </w:r>
            <w:r>
              <w:rPr>
                <w:spacing w:val="-6"/>
                <w:sz w:val="20"/>
              </w:rPr>
              <w:t xml:space="preserve"> </w:t>
            </w:r>
            <w:r>
              <w:rPr>
                <w:sz w:val="20"/>
              </w:rPr>
              <w:t>harmful</w:t>
            </w:r>
            <w:r>
              <w:rPr>
                <w:spacing w:val="-6"/>
                <w:sz w:val="20"/>
              </w:rPr>
              <w:t xml:space="preserve"> </w:t>
            </w:r>
            <w:r>
              <w:rPr>
                <w:spacing w:val="-5"/>
                <w:sz w:val="20"/>
              </w:rPr>
              <w:t>use</w:t>
            </w:r>
          </w:p>
        </w:tc>
      </w:tr>
      <w:tr w:rsidR="00DB6E1F" w14:paraId="6F56BE52" w14:textId="77777777">
        <w:trPr>
          <w:trHeight w:val="647"/>
        </w:trPr>
        <w:tc>
          <w:tcPr>
            <w:tcW w:w="1440" w:type="dxa"/>
            <w:tcBorders>
              <w:top w:val="single" w:sz="2" w:space="0" w:color="231F20"/>
              <w:left w:val="single" w:sz="2" w:space="0" w:color="231F20"/>
              <w:bottom w:val="single" w:sz="6" w:space="0" w:color="000000"/>
              <w:right w:val="single" w:sz="2" w:space="0" w:color="231F20"/>
            </w:tcBorders>
          </w:tcPr>
          <w:p w14:paraId="2BC14D3D" w14:textId="77777777" w:rsidR="00DB6E1F" w:rsidRDefault="00F666A6">
            <w:pPr>
              <w:pStyle w:val="TableParagraph"/>
              <w:ind w:left="4"/>
              <w:rPr>
                <w:sz w:val="20"/>
              </w:rPr>
            </w:pPr>
            <w:r>
              <w:rPr>
                <w:w w:val="110"/>
                <w:sz w:val="20"/>
              </w:rPr>
              <w:t>Zone</w:t>
            </w:r>
            <w:r>
              <w:rPr>
                <w:spacing w:val="-9"/>
                <w:w w:val="110"/>
                <w:sz w:val="20"/>
              </w:rPr>
              <w:t xml:space="preserve"> </w:t>
            </w:r>
            <w:r>
              <w:rPr>
                <w:spacing w:val="-5"/>
                <w:w w:val="110"/>
                <w:sz w:val="20"/>
              </w:rPr>
              <w:t>IV</w:t>
            </w:r>
          </w:p>
        </w:tc>
        <w:tc>
          <w:tcPr>
            <w:tcW w:w="2628" w:type="dxa"/>
            <w:tcBorders>
              <w:top w:val="single" w:sz="2" w:space="0" w:color="231F20"/>
              <w:left w:val="single" w:sz="2" w:space="0" w:color="231F20"/>
              <w:bottom w:val="single" w:sz="6" w:space="0" w:color="000000"/>
              <w:right w:val="single" w:sz="2" w:space="0" w:color="231F20"/>
            </w:tcBorders>
          </w:tcPr>
          <w:p w14:paraId="31BCDF40" w14:textId="77777777" w:rsidR="00DB6E1F" w:rsidRDefault="00F666A6">
            <w:pPr>
              <w:pStyle w:val="TableParagraph"/>
              <w:ind w:left="4"/>
              <w:rPr>
                <w:sz w:val="20"/>
              </w:rPr>
            </w:pPr>
            <w:r>
              <w:rPr>
                <w:sz w:val="20"/>
              </w:rPr>
              <w:t>Referral</w:t>
            </w:r>
            <w:r>
              <w:rPr>
                <w:spacing w:val="-12"/>
                <w:sz w:val="20"/>
              </w:rPr>
              <w:t xml:space="preserve"> </w:t>
            </w:r>
            <w:r>
              <w:rPr>
                <w:sz w:val="20"/>
              </w:rPr>
              <w:t>to</w:t>
            </w:r>
            <w:r>
              <w:rPr>
                <w:spacing w:val="-11"/>
                <w:sz w:val="20"/>
              </w:rPr>
              <w:t xml:space="preserve"> </w:t>
            </w:r>
            <w:r>
              <w:rPr>
                <w:sz w:val="20"/>
              </w:rPr>
              <w:t>evaluation</w:t>
            </w:r>
            <w:r>
              <w:rPr>
                <w:spacing w:val="-11"/>
                <w:sz w:val="20"/>
              </w:rPr>
              <w:t xml:space="preserve"> </w:t>
            </w:r>
            <w:r>
              <w:rPr>
                <w:sz w:val="20"/>
              </w:rPr>
              <w:t xml:space="preserve">and </w:t>
            </w:r>
            <w:r>
              <w:rPr>
                <w:spacing w:val="-2"/>
                <w:sz w:val="20"/>
              </w:rPr>
              <w:t>treatment</w:t>
            </w:r>
          </w:p>
        </w:tc>
        <w:tc>
          <w:tcPr>
            <w:tcW w:w="2323" w:type="dxa"/>
            <w:tcBorders>
              <w:top w:val="single" w:sz="2" w:space="0" w:color="231F20"/>
              <w:left w:val="single" w:sz="2" w:space="0" w:color="231F20"/>
              <w:bottom w:val="single" w:sz="6" w:space="0" w:color="000000"/>
              <w:right w:val="single" w:sz="2" w:space="0" w:color="231F20"/>
            </w:tcBorders>
          </w:tcPr>
          <w:p w14:paraId="35CD55AB" w14:textId="77777777" w:rsidR="00DB6E1F" w:rsidRDefault="00F666A6">
            <w:pPr>
              <w:pStyle w:val="TableParagraph"/>
              <w:ind w:left="2"/>
              <w:rPr>
                <w:sz w:val="20"/>
              </w:rPr>
            </w:pPr>
            <w:r>
              <w:rPr>
                <w:spacing w:val="-5"/>
                <w:w w:val="105"/>
                <w:sz w:val="20"/>
              </w:rPr>
              <w:t>25+</w:t>
            </w:r>
          </w:p>
        </w:tc>
        <w:tc>
          <w:tcPr>
            <w:tcW w:w="2969" w:type="dxa"/>
            <w:tcBorders>
              <w:top w:val="single" w:sz="2" w:space="0" w:color="231F20"/>
              <w:left w:val="single" w:sz="2" w:space="0" w:color="231F20"/>
              <w:bottom w:val="single" w:sz="6" w:space="0" w:color="000000"/>
              <w:right w:val="single" w:sz="2" w:space="0" w:color="231F20"/>
            </w:tcBorders>
          </w:tcPr>
          <w:p w14:paraId="215C5C89" w14:textId="77777777" w:rsidR="00DB6E1F" w:rsidRDefault="00F666A6">
            <w:pPr>
              <w:pStyle w:val="TableParagraph"/>
              <w:ind w:left="2"/>
              <w:rPr>
                <w:sz w:val="20"/>
              </w:rPr>
            </w:pPr>
            <w:r>
              <w:rPr>
                <w:sz w:val="20"/>
              </w:rPr>
              <w:t>Moderate/severe</w:t>
            </w:r>
            <w:r>
              <w:rPr>
                <w:spacing w:val="-12"/>
                <w:sz w:val="20"/>
              </w:rPr>
              <w:t xml:space="preserve"> </w:t>
            </w:r>
            <w:r>
              <w:rPr>
                <w:sz w:val="20"/>
              </w:rPr>
              <w:t>AUD,</w:t>
            </w:r>
            <w:r>
              <w:rPr>
                <w:spacing w:val="-11"/>
                <w:sz w:val="20"/>
              </w:rPr>
              <w:t xml:space="preserve"> </w:t>
            </w:r>
            <w:r>
              <w:rPr>
                <w:sz w:val="20"/>
              </w:rPr>
              <w:t xml:space="preserve">alcohol </w:t>
            </w:r>
            <w:r>
              <w:rPr>
                <w:spacing w:val="-2"/>
                <w:sz w:val="20"/>
              </w:rPr>
              <w:t>dependence</w:t>
            </w:r>
          </w:p>
        </w:tc>
      </w:tr>
      <w:tr w:rsidR="00DB6E1F" w14:paraId="6A0FC6CF" w14:textId="77777777">
        <w:trPr>
          <w:trHeight w:val="609"/>
        </w:trPr>
        <w:tc>
          <w:tcPr>
            <w:tcW w:w="9360" w:type="dxa"/>
            <w:gridSpan w:val="4"/>
            <w:tcBorders>
              <w:top w:val="single" w:sz="6" w:space="0" w:color="000000"/>
            </w:tcBorders>
          </w:tcPr>
          <w:p w14:paraId="6DD045B9" w14:textId="77777777" w:rsidR="00DB6E1F" w:rsidRDefault="00F666A6">
            <w:pPr>
              <w:pStyle w:val="TableParagraph"/>
              <w:ind w:left="112"/>
              <w:rPr>
                <w:sz w:val="20"/>
              </w:rPr>
            </w:pPr>
            <w:r>
              <w:rPr>
                <w:sz w:val="20"/>
              </w:rPr>
              <w:t>Note:</w:t>
            </w:r>
            <w:r>
              <w:rPr>
                <w:spacing w:val="-3"/>
                <w:sz w:val="20"/>
              </w:rPr>
              <w:t xml:space="preserve"> </w:t>
            </w:r>
            <w:r>
              <w:rPr>
                <w:sz w:val="20"/>
              </w:rPr>
              <w:t>Questions</w:t>
            </w:r>
            <w:r>
              <w:rPr>
                <w:spacing w:val="-3"/>
                <w:sz w:val="20"/>
              </w:rPr>
              <w:t xml:space="preserve"> </w:t>
            </w:r>
            <w:r>
              <w:rPr>
                <w:sz w:val="20"/>
              </w:rPr>
              <w:t>1</w:t>
            </w:r>
            <w:r>
              <w:rPr>
                <w:spacing w:val="-2"/>
                <w:sz w:val="20"/>
              </w:rPr>
              <w:t xml:space="preserve"> </w:t>
            </w:r>
            <w:r>
              <w:rPr>
                <w:sz w:val="20"/>
              </w:rPr>
              <w:t>to</w:t>
            </w:r>
            <w:r>
              <w:rPr>
                <w:spacing w:val="-1"/>
                <w:sz w:val="20"/>
              </w:rPr>
              <w:t xml:space="preserve"> </w:t>
            </w:r>
            <w:r>
              <w:rPr>
                <w:sz w:val="20"/>
              </w:rPr>
              <w:t>3</w:t>
            </w:r>
            <w:r>
              <w:rPr>
                <w:spacing w:val="-2"/>
                <w:sz w:val="20"/>
              </w:rPr>
              <w:t xml:space="preserve"> </w:t>
            </w:r>
            <w:r>
              <w:rPr>
                <w:sz w:val="20"/>
              </w:rPr>
              <w:t>of</w:t>
            </w:r>
            <w:r>
              <w:rPr>
                <w:spacing w:val="-3"/>
                <w:sz w:val="20"/>
              </w:rPr>
              <w:t xml:space="preserve"> </w:t>
            </w:r>
            <w:r>
              <w:rPr>
                <w:sz w:val="20"/>
              </w:rPr>
              <w:t>U.S. AUDIT</w:t>
            </w:r>
            <w:r>
              <w:rPr>
                <w:spacing w:val="-3"/>
                <w:sz w:val="20"/>
              </w:rPr>
              <w:t xml:space="preserve"> </w:t>
            </w:r>
            <w:r>
              <w:rPr>
                <w:sz w:val="20"/>
              </w:rPr>
              <w:t>have</w:t>
            </w:r>
            <w:r>
              <w:rPr>
                <w:spacing w:val="-3"/>
                <w:sz w:val="20"/>
              </w:rPr>
              <w:t xml:space="preserve"> </w:t>
            </w:r>
            <w:r>
              <w:rPr>
                <w:sz w:val="20"/>
              </w:rPr>
              <w:t>been</w:t>
            </w:r>
            <w:r>
              <w:rPr>
                <w:spacing w:val="-1"/>
                <w:sz w:val="20"/>
              </w:rPr>
              <w:t xml:space="preserve"> </w:t>
            </w:r>
            <w:r>
              <w:rPr>
                <w:sz w:val="20"/>
              </w:rPr>
              <w:t>modified</w:t>
            </w:r>
            <w:r>
              <w:rPr>
                <w:spacing w:val="-1"/>
                <w:sz w:val="20"/>
              </w:rPr>
              <w:t xml:space="preserve"> </w:t>
            </w:r>
            <w:r>
              <w:rPr>
                <w:sz w:val="20"/>
              </w:rPr>
              <w:t>to</w:t>
            </w:r>
            <w:r>
              <w:rPr>
                <w:spacing w:val="-1"/>
                <w:sz w:val="20"/>
              </w:rPr>
              <w:t xml:space="preserve"> </w:t>
            </w:r>
            <w:r>
              <w:rPr>
                <w:sz w:val="20"/>
              </w:rPr>
              <w:t>reflect</w:t>
            </w:r>
            <w:r>
              <w:rPr>
                <w:spacing w:val="-2"/>
                <w:sz w:val="20"/>
              </w:rPr>
              <w:t xml:space="preserve"> </w:t>
            </w:r>
            <w:r>
              <w:rPr>
                <w:sz w:val="20"/>
              </w:rPr>
              <w:t>standard</w:t>
            </w:r>
            <w:r>
              <w:rPr>
                <w:spacing w:val="-1"/>
                <w:sz w:val="20"/>
              </w:rPr>
              <w:t xml:space="preserve"> </w:t>
            </w:r>
            <w:r>
              <w:rPr>
                <w:sz w:val="20"/>
              </w:rPr>
              <w:t>drink</w:t>
            </w:r>
            <w:r>
              <w:rPr>
                <w:spacing w:val="-1"/>
                <w:sz w:val="20"/>
              </w:rPr>
              <w:t xml:space="preserve"> </w:t>
            </w:r>
            <w:r>
              <w:rPr>
                <w:sz w:val="20"/>
              </w:rPr>
              <w:t>size</w:t>
            </w:r>
            <w:r>
              <w:rPr>
                <w:spacing w:val="-3"/>
                <w:sz w:val="20"/>
              </w:rPr>
              <w:t xml:space="preserve"> </w:t>
            </w:r>
            <w:r>
              <w:rPr>
                <w:sz w:val="20"/>
              </w:rPr>
              <w:t>in</w:t>
            </w:r>
            <w:r>
              <w:rPr>
                <w:spacing w:val="-1"/>
                <w:sz w:val="20"/>
              </w:rPr>
              <w:t xml:space="preserve"> </w:t>
            </w:r>
            <w:r>
              <w:rPr>
                <w:sz w:val="20"/>
              </w:rPr>
              <w:t>the</w:t>
            </w:r>
            <w:r>
              <w:rPr>
                <w:spacing w:val="-3"/>
                <w:sz w:val="20"/>
              </w:rPr>
              <w:t xml:space="preserve"> </w:t>
            </w:r>
            <w:r>
              <w:rPr>
                <w:sz w:val="20"/>
              </w:rPr>
              <w:t>United</w:t>
            </w:r>
            <w:r>
              <w:rPr>
                <w:spacing w:val="-1"/>
                <w:sz w:val="20"/>
              </w:rPr>
              <w:t xml:space="preserve"> </w:t>
            </w:r>
            <w:r>
              <w:rPr>
                <w:sz w:val="20"/>
              </w:rPr>
              <w:t>States</w:t>
            </w:r>
            <w:r>
              <w:rPr>
                <w:spacing w:val="-3"/>
                <w:sz w:val="20"/>
              </w:rPr>
              <w:t xml:space="preserve"> </w:t>
            </w:r>
            <w:r>
              <w:rPr>
                <w:sz w:val="20"/>
              </w:rPr>
              <w:t>and differences for men, women, and older adults.</w:t>
            </w:r>
          </w:p>
        </w:tc>
      </w:tr>
      <w:tr w:rsidR="00DB6E1F" w14:paraId="28D00370" w14:textId="77777777">
        <w:trPr>
          <w:trHeight w:val="381"/>
        </w:trPr>
        <w:tc>
          <w:tcPr>
            <w:tcW w:w="9360" w:type="dxa"/>
            <w:gridSpan w:val="4"/>
          </w:tcPr>
          <w:p w14:paraId="7A4AF619" w14:textId="77777777" w:rsidR="00DB6E1F" w:rsidRDefault="00F666A6">
            <w:pPr>
              <w:pStyle w:val="TableParagraph"/>
              <w:spacing w:before="66"/>
              <w:ind w:left="112"/>
              <w:rPr>
                <w:i/>
                <w:sz w:val="20"/>
              </w:rPr>
            </w:pPr>
            <w:r>
              <w:rPr>
                <w:i/>
                <w:sz w:val="20"/>
              </w:rPr>
              <w:t>Source:</w:t>
            </w:r>
            <w:r>
              <w:rPr>
                <w:i/>
                <w:spacing w:val="-8"/>
                <w:sz w:val="20"/>
              </w:rPr>
              <w:t xml:space="preserve"> </w:t>
            </w:r>
            <w:r>
              <w:rPr>
                <w:i/>
                <w:sz w:val="20"/>
              </w:rPr>
              <w:t>Babor,</w:t>
            </w:r>
            <w:r>
              <w:rPr>
                <w:i/>
                <w:spacing w:val="-7"/>
                <w:sz w:val="20"/>
              </w:rPr>
              <w:t xml:space="preserve"> </w:t>
            </w:r>
            <w:r>
              <w:rPr>
                <w:i/>
                <w:sz w:val="20"/>
              </w:rPr>
              <w:t>Higgins-Biddle,</w:t>
            </w:r>
            <w:r>
              <w:rPr>
                <w:i/>
                <w:spacing w:val="-6"/>
                <w:sz w:val="20"/>
              </w:rPr>
              <w:t xml:space="preserve"> </w:t>
            </w:r>
            <w:r>
              <w:rPr>
                <w:i/>
                <w:sz w:val="20"/>
              </w:rPr>
              <w:t>&amp;</w:t>
            </w:r>
            <w:r>
              <w:rPr>
                <w:i/>
                <w:spacing w:val="-7"/>
                <w:sz w:val="20"/>
              </w:rPr>
              <w:t xml:space="preserve"> </w:t>
            </w:r>
            <w:r>
              <w:rPr>
                <w:i/>
                <w:sz w:val="20"/>
              </w:rPr>
              <w:t>Robaina,</w:t>
            </w:r>
            <w:r>
              <w:rPr>
                <w:i/>
                <w:spacing w:val="-7"/>
                <w:sz w:val="20"/>
              </w:rPr>
              <w:t xml:space="preserve"> </w:t>
            </w:r>
            <w:r>
              <w:rPr>
                <w:i/>
                <w:sz w:val="20"/>
              </w:rPr>
              <w:t>2016.</w:t>
            </w:r>
            <w:r>
              <w:rPr>
                <w:i/>
                <w:spacing w:val="-7"/>
                <w:sz w:val="20"/>
              </w:rPr>
              <w:t xml:space="preserve"> </w:t>
            </w:r>
            <w:r>
              <w:rPr>
                <w:i/>
                <w:sz w:val="20"/>
              </w:rPr>
              <w:t>Adapted</w:t>
            </w:r>
            <w:r>
              <w:rPr>
                <w:i/>
                <w:spacing w:val="-7"/>
                <w:sz w:val="20"/>
              </w:rPr>
              <w:t xml:space="preserve"> </w:t>
            </w:r>
            <w:r>
              <w:rPr>
                <w:i/>
                <w:sz w:val="20"/>
              </w:rPr>
              <w:t>from</w:t>
            </w:r>
            <w:r>
              <w:rPr>
                <w:i/>
                <w:spacing w:val="-6"/>
                <w:sz w:val="20"/>
              </w:rPr>
              <w:t xml:space="preserve"> </w:t>
            </w:r>
            <w:r>
              <w:rPr>
                <w:i/>
                <w:sz w:val="20"/>
              </w:rPr>
              <w:t>material</w:t>
            </w:r>
            <w:r>
              <w:rPr>
                <w:i/>
                <w:spacing w:val="-8"/>
                <w:sz w:val="20"/>
              </w:rPr>
              <w:t xml:space="preserve"> </w:t>
            </w:r>
            <w:r>
              <w:rPr>
                <w:i/>
                <w:sz w:val="20"/>
              </w:rPr>
              <w:t>in</w:t>
            </w:r>
            <w:r>
              <w:rPr>
                <w:i/>
                <w:spacing w:val="-6"/>
                <w:sz w:val="20"/>
              </w:rPr>
              <w:t xml:space="preserve"> </w:t>
            </w:r>
            <w:r>
              <w:rPr>
                <w:i/>
                <w:sz w:val="20"/>
              </w:rPr>
              <w:t>the</w:t>
            </w:r>
            <w:r>
              <w:rPr>
                <w:i/>
                <w:spacing w:val="-7"/>
                <w:sz w:val="20"/>
              </w:rPr>
              <w:t xml:space="preserve"> </w:t>
            </w:r>
            <w:r>
              <w:rPr>
                <w:i/>
                <w:sz w:val="20"/>
              </w:rPr>
              <w:t>public</w:t>
            </w:r>
            <w:r>
              <w:rPr>
                <w:i/>
                <w:spacing w:val="-7"/>
                <w:sz w:val="20"/>
              </w:rPr>
              <w:t xml:space="preserve"> </w:t>
            </w:r>
            <w:r>
              <w:rPr>
                <w:i/>
                <w:spacing w:val="-2"/>
                <w:sz w:val="20"/>
              </w:rPr>
              <w:t>domain.</w:t>
            </w:r>
          </w:p>
        </w:tc>
      </w:tr>
    </w:tbl>
    <w:p w14:paraId="4F2097F5" w14:textId="77777777" w:rsidR="00DB6E1F" w:rsidRDefault="00DB6E1F">
      <w:pPr>
        <w:rPr>
          <w:sz w:val="20"/>
        </w:rPr>
        <w:sectPr w:rsidR="00DB6E1F">
          <w:pgSz w:w="12240" w:h="15840"/>
          <w:pgMar w:top="1200" w:right="0" w:bottom="780" w:left="0" w:header="763" w:footer="585" w:gutter="0"/>
          <w:cols w:space="720"/>
        </w:sectPr>
      </w:pPr>
    </w:p>
    <w:p w14:paraId="30727BA7" w14:textId="77777777" w:rsidR="00DB6E1F" w:rsidRDefault="00DB6E1F">
      <w:pPr>
        <w:pStyle w:val="BodyText"/>
        <w:spacing w:before="3"/>
        <w:rPr>
          <w:b/>
          <w:sz w:val="17"/>
        </w:rPr>
      </w:pPr>
    </w:p>
    <w:p w14:paraId="32FE93DB" w14:textId="77777777" w:rsidR="00DB6E1F" w:rsidRDefault="00F666A6">
      <w:pPr>
        <w:pStyle w:val="Heading2"/>
        <w:numPr>
          <w:ilvl w:val="0"/>
          <w:numId w:val="37"/>
        </w:numPr>
        <w:tabs>
          <w:tab w:val="left" w:pos="1800"/>
        </w:tabs>
      </w:pPr>
      <w:bookmarkStart w:id="234" w:name="2._Drug_Abuse_Screening_Test_(DAST-10)"/>
      <w:bookmarkStart w:id="235" w:name="_bookmark52"/>
      <w:bookmarkEnd w:id="234"/>
      <w:bookmarkEnd w:id="235"/>
      <w:r>
        <w:t>Drug</w:t>
      </w:r>
      <w:r>
        <w:rPr>
          <w:spacing w:val="-3"/>
        </w:rPr>
        <w:t xml:space="preserve"> </w:t>
      </w:r>
      <w:r>
        <w:t>Abuse</w:t>
      </w:r>
      <w:r>
        <w:rPr>
          <w:spacing w:val="-1"/>
        </w:rPr>
        <w:t xml:space="preserve"> </w:t>
      </w:r>
      <w:r>
        <w:t>Screening</w:t>
      </w:r>
      <w:r>
        <w:rPr>
          <w:spacing w:val="-2"/>
        </w:rPr>
        <w:t xml:space="preserve"> </w:t>
      </w:r>
      <w:r>
        <w:t>Test</w:t>
      </w:r>
      <w:r>
        <w:rPr>
          <w:spacing w:val="-4"/>
        </w:rPr>
        <w:t xml:space="preserve"> </w:t>
      </w:r>
      <w:r>
        <w:t>(DAST-</w:t>
      </w:r>
      <w:r>
        <w:rPr>
          <w:spacing w:val="-5"/>
        </w:rPr>
        <w:t>10)</w:t>
      </w:r>
    </w:p>
    <w:p w14:paraId="6B7AF865" w14:textId="77777777" w:rsidR="00DB6E1F" w:rsidRDefault="00F666A6">
      <w:pPr>
        <w:pStyle w:val="BodyText"/>
        <w:spacing w:before="8"/>
        <w:rPr>
          <w:b/>
          <w:sz w:val="11"/>
        </w:rPr>
      </w:pPr>
      <w:r>
        <w:pict w14:anchorId="33D32177">
          <v:group id="docshapegroup203" o:spid="_x0000_s2091" style="position:absolute;margin-left:72.75pt;margin-top:8.35pt;width:414.75pt;height:575.65pt;z-index:-15717888;mso-wrap-distance-left:0;mso-wrap-distance-right:0;mso-position-horizontal-relative:page" coordorigin="1455,167" coordsize="8295,11513">
            <v:shape id="docshape204" o:spid="_x0000_s2093" type="#_x0000_t75" style="position:absolute;left:1623;top:306;width:8077;height:11335">
              <v:imagedata r:id="rId166" o:title=""/>
            </v:shape>
            <v:rect id="docshape205" o:spid="_x0000_s2092" style="position:absolute;left:1462;top:174;width:8280;height:11498" filled="f"/>
            <w10:wrap type="topAndBottom" anchorx="page"/>
          </v:group>
        </w:pict>
      </w:r>
    </w:p>
    <w:p w14:paraId="6798319A" w14:textId="77777777" w:rsidR="00DB6E1F" w:rsidRDefault="00DB6E1F">
      <w:pPr>
        <w:rPr>
          <w:sz w:val="11"/>
        </w:rPr>
        <w:sectPr w:rsidR="00DB6E1F">
          <w:pgSz w:w="12240" w:h="15840"/>
          <w:pgMar w:top="1200" w:right="0" w:bottom="780" w:left="0" w:header="763" w:footer="585" w:gutter="0"/>
          <w:cols w:space="720"/>
        </w:sectPr>
      </w:pPr>
    </w:p>
    <w:p w14:paraId="54B3C4F9" w14:textId="77777777" w:rsidR="00DB6E1F" w:rsidRDefault="00DB6E1F">
      <w:pPr>
        <w:pStyle w:val="BodyText"/>
        <w:rPr>
          <w:b/>
          <w:sz w:val="20"/>
        </w:rPr>
      </w:pPr>
    </w:p>
    <w:p w14:paraId="0F98711B" w14:textId="77777777" w:rsidR="00DB6E1F" w:rsidRDefault="00DB6E1F">
      <w:pPr>
        <w:pStyle w:val="BodyText"/>
        <w:rPr>
          <w:b/>
          <w:sz w:val="20"/>
        </w:rPr>
      </w:pPr>
    </w:p>
    <w:p w14:paraId="6637DAD2" w14:textId="77777777" w:rsidR="00DB6E1F" w:rsidRDefault="00DB6E1F">
      <w:pPr>
        <w:pStyle w:val="BodyText"/>
        <w:rPr>
          <w:b/>
          <w:sz w:val="20"/>
        </w:rPr>
      </w:pPr>
    </w:p>
    <w:p w14:paraId="07D2851B" w14:textId="77777777" w:rsidR="00DB6E1F" w:rsidRDefault="00DB6E1F">
      <w:pPr>
        <w:pStyle w:val="BodyText"/>
        <w:rPr>
          <w:b/>
          <w:sz w:val="20"/>
        </w:rPr>
      </w:pPr>
    </w:p>
    <w:p w14:paraId="324915FB" w14:textId="77777777" w:rsidR="00DB6E1F" w:rsidRDefault="00DB6E1F">
      <w:pPr>
        <w:pStyle w:val="BodyText"/>
        <w:rPr>
          <w:b/>
          <w:sz w:val="20"/>
        </w:rPr>
      </w:pPr>
    </w:p>
    <w:p w14:paraId="38DD085D" w14:textId="77777777" w:rsidR="00DB6E1F" w:rsidRDefault="00DB6E1F">
      <w:pPr>
        <w:pStyle w:val="BodyText"/>
        <w:rPr>
          <w:b/>
          <w:sz w:val="20"/>
        </w:rPr>
      </w:pPr>
    </w:p>
    <w:p w14:paraId="1296AAE2" w14:textId="77777777" w:rsidR="00DB6E1F" w:rsidRDefault="00DB6E1F">
      <w:pPr>
        <w:pStyle w:val="BodyText"/>
        <w:rPr>
          <w:b/>
          <w:sz w:val="20"/>
        </w:rPr>
      </w:pPr>
    </w:p>
    <w:p w14:paraId="39266470" w14:textId="77777777" w:rsidR="00DB6E1F" w:rsidRDefault="00DB6E1F">
      <w:pPr>
        <w:pStyle w:val="BodyText"/>
        <w:rPr>
          <w:b/>
          <w:sz w:val="20"/>
        </w:rPr>
      </w:pPr>
    </w:p>
    <w:p w14:paraId="10E7E958" w14:textId="77777777" w:rsidR="00DB6E1F" w:rsidRDefault="00DB6E1F">
      <w:pPr>
        <w:pStyle w:val="BodyText"/>
        <w:rPr>
          <w:b/>
          <w:sz w:val="20"/>
        </w:rPr>
      </w:pPr>
    </w:p>
    <w:p w14:paraId="2BEF817A" w14:textId="77777777" w:rsidR="00DB6E1F" w:rsidRDefault="00DB6E1F">
      <w:pPr>
        <w:pStyle w:val="BodyText"/>
        <w:rPr>
          <w:b/>
          <w:sz w:val="20"/>
        </w:rPr>
      </w:pPr>
    </w:p>
    <w:p w14:paraId="1E46FB1E" w14:textId="77777777" w:rsidR="00DB6E1F" w:rsidRDefault="00DB6E1F">
      <w:pPr>
        <w:pStyle w:val="BodyText"/>
        <w:rPr>
          <w:b/>
          <w:sz w:val="20"/>
        </w:rPr>
      </w:pPr>
    </w:p>
    <w:p w14:paraId="241C608D" w14:textId="77777777" w:rsidR="00DB6E1F" w:rsidRDefault="00DB6E1F">
      <w:pPr>
        <w:pStyle w:val="BodyText"/>
        <w:rPr>
          <w:b/>
          <w:sz w:val="20"/>
        </w:rPr>
      </w:pPr>
    </w:p>
    <w:p w14:paraId="6FB0D2F8" w14:textId="77777777" w:rsidR="00DB6E1F" w:rsidRDefault="00DB6E1F">
      <w:pPr>
        <w:pStyle w:val="BodyText"/>
        <w:rPr>
          <w:b/>
          <w:sz w:val="20"/>
        </w:rPr>
      </w:pPr>
    </w:p>
    <w:p w14:paraId="6D9A5473" w14:textId="77777777" w:rsidR="00DB6E1F" w:rsidRDefault="00DB6E1F">
      <w:pPr>
        <w:pStyle w:val="BodyText"/>
        <w:rPr>
          <w:b/>
          <w:sz w:val="20"/>
        </w:rPr>
      </w:pPr>
    </w:p>
    <w:p w14:paraId="54A6B065" w14:textId="77777777" w:rsidR="00DB6E1F" w:rsidRDefault="00DB6E1F">
      <w:pPr>
        <w:pStyle w:val="BodyText"/>
        <w:rPr>
          <w:b/>
          <w:sz w:val="20"/>
        </w:rPr>
      </w:pPr>
    </w:p>
    <w:p w14:paraId="19C9ECD5" w14:textId="77777777" w:rsidR="00DB6E1F" w:rsidRDefault="00DB6E1F">
      <w:pPr>
        <w:pStyle w:val="BodyText"/>
        <w:rPr>
          <w:b/>
          <w:sz w:val="20"/>
        </w:rPr>
      </w:pPr>
    </w:p>
    <w:p w14:paraId="728F6E8F" w14:textId="77777777" w:rsidR="00DB6E1F" w:rsidRDefault="00DB6E1F">
      <w:pPr>
        <w:pStyle w:val="BodyText"/>
        <w:rPr>
          <w:b/>
          <w:sz w:val="20"/>
        </w:rPr>
      </w:pPr>
    </w:p>
    <w:p w14:paraId="03915339" w14:textId="77777777" w:rsidR="00DB6E1F" w:rsidRDefault="00DB6E1F">
      <w:pPr>
        <w:pStyle w:val="BodyText"/>
        <w:rPr>
          <w:b/>
          <w:sz w:val="20"/>
        </w:rPr>
      </w:pPr>
    </w:p>
    <w:p w14:paraId="79325B24" w14:textId="77777777" w:rsidR="00DB6E1F" w:rsidRDefault="00DB6E1F">
      <w:pPr>
        <w:pStyle w:val="BodyText"/>
        <w:rPr>
          <w:b/>
          <w:sz w:val="20"/>
        </w:rPr>
      </w:pPr>
    </w:p>
    <w:p w14:paraId="1BDF5F14" w14:textId="77777777" w:rsidR="00DB6E1F" w:rsidRDefault="00DB6E1F">
      <w:pPr>
        <w:pStyle w:val="BodyText"/>
        <w:rPr>
          <w:b/>
          <w:sz w:val="20"/>
        </w:rPr>
      </w:pPr>
    </w:p>
    <w:p w14:paraId="634F446D" w14:textId="77777777" w:rsidR="00DB6E1F" w:rsidRDefault="00DB6E1F">
      <w:pPr>
        <w:pStyle w:val="BodyText"/>
        <w:spacing w:before="9"/>
        <w:rPr>
          <w:b/>
          <w:sz w:val="10"/>
        </w:rPr>
      </w:pPr>
    </w:p>
    <w:p w14:paraId="7300F258" w14:textId="77777777" w:rsidR="00DB6E1F" w:rsidRDefault="00F666A6">
      <w:pPr>
        <w:pStyle w:val="BodyText"/>
        <w:ind w:left="2677"/>
        <w:rPr>
          <w:sz w:val="20"/>
        </w:rPr>
      </w:pPr>
      <w:r>
        <w:rPr>
          <w:noProof/>
          <w:sz w:val="20"/>
        </w:rPr>
        <w:drawing>
          <wp:inline distT="0" distB="0" distL="0" distR="0" wp14:anchorId="45B7A8FF" wp14:editId="31DB2584">
            <wp:extent cx="4521908" cy="1493519"/>
            <wp:effectExtent l="0" t="0" r="0" b="0"/>
            <wp:docPr id="1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1.png"/>
                    <pic:cNvPicPr/>
                  </pic:nvPicPr>
                  <pic:blipFill>
                    <a:blip r:embed="rId167" cstate="print"/>
                    <a:stretch>
                      <a:fillRect/>
                    </a:stretch>
                  </pic:blipFill>
                  <pic:spPr>
                    <a:xfrm>
                      <a:off x="0" y="0"/>
                      <a:ext cx="4521908" cy="1493519"/>
                    </a:xfrm>
                    <a:prstGeom prst="rect">
                      <a:avLst/>
                    </a:prstGeom>
                  </pic:spPr>
                </pic:pic>
              </a:graphicData>
            </a:graphic>
          </wp:inline>
        </w:drawing>
      </w:r>
    </w:p>
    <w:p w14:paraId="065E17A1" w14:textId="77777777" w:rsidR="00DB6E1F" w:rsidRDefault="00DB6E1F">
      <w:pPr>
        <w:pStyle w:val="BodyText"/>
        <w:spacing w:before="6"/>
        <w:rPr>
          <w:b/>
          <w:sz w:val="12"/>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0C866503" w14:textId="77777777">
        <w:trPr>
          <w:trHeight w:val="649"/>
        </w:trPr>
        <w:tc>
          <w:tcPr>
            <w:tcW w:w="9350" w:type="dxa"/>
          </w:tcPr>
          <w:p w14:paraId="62BD2020" w14:textId="77777777" w:rsidR="00DB6E1F" w:rsidRDefault="00F666A6">
            <w:pPr>
              <w:pStyle w:val="TableParagraph"/>
              <w:spacing w:before="83"/>
              <w:rPr>
                <w:i/>
                <w:sz w:val="20"/>
              </w:rPr>
            </w:pPr>
            <w:r>
              <w:rPr>
                <w:i/>
                <w:sz w:val="20"/>
              </w:rPr>
              <w:t xml:space="preserve">Sources: Skinner, 1982. Adapted with permission. Available online at no cost </w:t>
            </w:r>
            <w:r>
              <w:rPr>
                <w:i/>
                <w:spacing w:val="-2"/>
                <w:sz w:val="20"/>
              </w:rPr>
              <w:t>(</w:t>
            </w:r>
            <w:hyperlink r:id="rId168">
              <w:r>
                <w:rPr>
                  <w:i/>
                  <w:color w:val="0563C1"/>
                  <w:spacing w:val="-2"/>
                  <w:sz w:val="20"/>
                  <w:u w:val="single" w:color="0563C1"/>
                </w:rPr>
                <w:t>http://adai.washington.edu/instruments/pdf/Drug_Abuse_Screening_Test_105.pdf</w:t>
              </w:r>
              <w:r>
                <w:rPr>
                  <w:i/>
                  <w:spacing w:val="-2"/>
                  <w:sz w:val="20"/>
                </w:rPr>
                <w:t>)</w:t>
              </w:r>
            </w:hyperlink>
            <w:r>
              <w:rPr>
                <w:i/>
                <w:spacing w:val="-2"/>
                <w:sz w:val="20"/>
              </w:rPr>
              <w:t>.</w:t>
            </w:r>
          </w:p>
        </w:tc>
      </w:tr>
    </w:tbl>
    <w:p w14:paraId="1ADDE175" w14:textId="77777777" w:rsidR="00DB6E1F" w:rsidRDefault="00DB6E1F">
      <w:pPr>
        <w:rPr>
          <w:sz w:val="20"/>
        </w:rPr>
        <w:sectPr w:rsidR="00DB6E1F">
          <w:pgSz w:w="12240" w:h="15840"/>
          <w:pgMar w:top="1200" w:right="0" w:bottom="780" w:left="0" w:header="763" w:footer="585" w:gutter="0"/>
          <w:cols w:space="720"/>
        </w:sectPr>
      </w:pPr>
    </w:p>
    <w:p w14:paraId="4D1F1647" w14:textId="77777777" w:rsidR="00DB6E1F" w:rsidRDefault="00DB6E1F">
      <w:pPr>
        <w:pStyle w:val="BodyText"/>
        <w:spacing w:before="3"/>
        <w:rPr>
          <w:b/>
          <w:sz w:val="17"/>
        </w:rPr>
      </w:pPr>
    </w:p>
    <w:p w14:paraId="3CA6744A" w14:textId="77777777" w:rsidR="00DB6E1F" w:rsidRDefault="00F666A6">
      <w:pPr>
        <w:pStyle w:val="Heading2"/>
        <w:numPr>
          <w:ilvl w:val="0"/>
          <w:numId w:val="37"/>
        </w:numPr>
        <w:tabs>
          <w:tab w:val="left" w:pos="1800"/>
        </w:tabs>
      </w:pPr>
      <w:bookmarkStart w:id="236" w:name="3._Drinker_Inventory_of_Consequences_(Dr"/>
      <w:bookmarkStart w:id="237" w:name="_bookmark53"/>
      <w:bookmarkEnd w:id="236"/>
      <w:bookmarkEnd w:id="237"/>
      <w:r>
        <w:t>Drinker</w:t>
      </w:r>
      <w:r>
        <w:rPr>
          <w:spacing w:val="-6"/>
        </w:rPr>
        <w:t xml:space="preserve"> </w:t>
      </w:r>
      <w:r>
        <w:t>Inventory</w:t>
      </w:r>
      <w:r>
        <w:rPr>
          <w:spacing w:val="-2"/>
        </w:rPr>
        <w:t xml:space="preserve"> </w:t>
      </w:r>
      <w:r>
        <w:t>of</w:t>
      </w:r>
      <w:r>
        <w:rPr>
          <w:spacing w:val="-4"/>
        </w:rPr>
        <w:t xml:space="preserve"> </w:t>
      </w:r>
      <w:r>
        <w:t>Consequences</w:t>
      </w:r>
      <w:r>
        <w:rPr>
          <w:spacing w:val="-2"/>
        </w:rPr>
        <w:t xml:space="preserve"> </w:t>
      </w:r>
      <w:r>
        <w:t>(DrInC)</w:t>
      </w:r>
      <w:r>
        <w:rPr>
          <w:spacing w:val="-2"/>
        </w:rPr>
        <w:t xml:space="preserve"> (Lifetime)</w:t>
      </w:r>
    </w:p>
    <w:p w14:paraId="58C81432" w14:textId="77777777" w:rsidR="00DB6E1F" w:rsidRDefault="00F666A6">
      <w:pPr>
        <w:spacing w:before="152"/>
        <w:ind w:left="1439" w:right="1491"/>
        <w:rPr>
          <w:sz w:val="20"/>
        </w:rPr>
      </w:pPr>
      <w:r>
        <w:rPr>
          <w:b/>
          <w:sz w:val="20"/>
        </w:rPr>
        <w:t>Instructions:</w:t>
      </w:r>
      <w:r>
        <w:rPr>
          <w:b/>
          <w:spacing w:val="-3"/>
          <w:sz w:val="20"/>
        </w:rPr>
        <w:t xml:space="preserve"> </w:t>
      </w:r>
      <w:r>
        <w:rPr>
          <w:sz w:val="20"/>
        </w:rPr>
        <w:t>Here</w:t>
      </w:r>
      <w:r>
        <w:rPr>
          <w:spacing w:val="-4"/>
          <w:sz w:val="20"/>
        </w:rPr>
        <w:t xml:space="preserve"> </w:t>
      </w:r>
      <w:r>
        <w:rPr>
          <w:sz w:val="20"/>
        </w:rPr>
        <w:t>are</w:t>
      </w:r>
      <w:r>
        <w:rPr>
          <w:spacing w:val="-4"/>
          <w:sz w:val="20"/>
        </w:rPr>
        <w:t xml:space="preserve"> </w:t>
      </w:r>
      <w:r>
        <w:rPr>
          <w:sz w:val="20"/>
        </w:rPr>
        <w:t>a</w:t>
      </w:r>
      <w:r>
        <w:rPr>
          <w:spacing w:val="-3"/>
          <w:sz w:val="20"/>
        </w:rPr>
        <w:t xml:space="preserve"> </w:t>
      </w:r>
      <w:r>
        <w:rPr>
          <w:sz w:val="20"/>
        </w:rPr>
        <w:t>number</w:t>
      </w:r>
      <w:r>
        <w:rPr>
          <w:spacing w:val="-3"/>
          <w:sz w:val="20"/>
        </w:rPr>
        <w:t xml:space="preserve"> </w:t>
      </w:r>
      <w:r>
        <w:rPr>
          <w:sz w:val="20"/>
        </w:rPr>
        <w:t>of</w:t>
      </w:r>
      <w:r>
        <w:rPr>
          <w:spacing w:val="-4"/>
          <w:sz w:val="20"/>
        </w:rPr>
        <w:t xml:space="preserve"> </w:t>
      </w:r>
      <w:r>
        <w:rPr>
          <w:sz w:val="20"/>
        </w:rPr>
        <w:t>events</w:t>
      </w:r>
      <w:r>
        <w:rPr>
          <w:spacing w:val="-4"/>
          <w:sz w:val="20"/>
        </w:rPr>
        <w:t xml:space="preserve"> </w:t>
      </w:r>
      <w:r>
        <w:rPr>
          <w:sz w:val="20"/>
        </w:rPr>
        <w:t>that</w:t>
      </w:r>
      <w:r>
        <w:rPr>
          <w:spacing w:val="-3"/>
          <w:sz w:val="20"/>
        </w:rPr>
        <w:t xml:space="preserve"> </w:t>
      </w:r>
      <w:r>
        <w:rPr>
          <w:sz w:val="20"/>
        </w:rPr>
        <w:t>drinkers</w:t>
      </w:r>
      <w:r>
        <w:rPr>
          <w:spacing w:val="-2"/>
          <w:sz w:val="20"/>
        </w:rPr>
        <w:t xml:space="preserve"> </w:t>
      </w:r>
      <w:r>
        <w:rPr>
          <w:sz w:val="20"/>
        </w:rPr>
        <w:t>sometimes</w:t>
      </w:r>
      <w:r>
        <w:rPr>
          <w:spacing w:val="-4"/>
          <w:sz w:val="20"/>
        </w:rPr>
        <w:t xml:space="preserve"> </w:t>
      </w:r>
      <w:r>
        <w:rPr>
          <w:sz w:val="20"/>
        </w:rPr>
        <w:t>experience.</w:t>
      </w:r>
      <w:r>
        <w:rPr>
          <w:spacing w:val="-3"/>
          <w:sz w:val="20"/>
        </w:rPr>
        <w:t xml:space="preserve"> </w:t>
      </w:r>
      <w:r>
        <w:rPr>
          <w:sz w:val="20"/>
        </w:rPr>
        <w:t>Read</w:t>
      </w:r>
      <w:r>
        <w:rPr>
          <w:spacing w:val="-2"/>
          <w:sz w:val="20"/>
        </w:rPr>
        <w:t xml:space="preserve"> </w:t>
      </w:r>
      <w:r>
        <w:rPr>
          <w:sz w:val="20"/>
        </w:rPr>
        <w:t>each</w:t>
      </w:r>
      <w:r>
        <w:rPr>
          <w:spacing w:val="-2"/>
          <w:sz w:val="20"/>
        </w:rPr>
        <w:t xml:space="preserve"> </w:t>
      </w:r>
      <w:r>
        <w:rPr>
          <w:sz w:val="20"/>
        </w:rPr>
        <w:t>one</w:t>
      </w:r>
      <w:r>
        <w:rPr>
          <w:spacing w:val="-4"/>
          <w:sz w:val="20"/>
        </w:rPr>
        <w:t xml:space="preserve"> </w:t>
      </w:r>
      <w:r>
        <w:rPr>
          <w:sz w:val="20"/>
        </w:rPr>
        <w:t>carefully</w:t>
      </w:r>
      <w:r>
        <w:rPr>
          <w:spacing w:val="-2"/>
          <w:sz w:val="20"/>
        </w:rPr>
        <w:t xml:space="preserve"> </w:t>
      </w:r>
      <w:r>
        <w:rPr>
          <w:sz w:val="20"/>
        </w:rPr>
        <w:t>and</w:t>
      </w:r>
      <w:r>
        <w:rPr>
          <w:spacing w:val="-2"/>
          <w:sz w:val="20"/>
        </w:rPr>
        <w:t xml:space="preserve"> </w:t>
      </w:r>
      <w:r>
        <w:rPr>
          <w:sz w:val="20"/>
        </w:rPr>
        <w:t xml:space="preserve">circle the number that indicates whether this has </w:t>
      </w:r>
      <w:r>
        <w:rPr>
          <w:i/>
          <w:sz w:val="20"/>
        </w:rPr>
        <w:t xml:space="preserve">EVER </w:t>
      </w:r>
      <w:r>
        <w:rPr>
          <w:sz w:val="20"/>
        </w:rPr>
        <w:t>happened to you (0 = No, 1 = Yes). If an item does not apply to you, circle zero (0).</w:t>
      </w:r>
    </w:p>
    <w:p w14:paraId="0EBBAFCA" w14:textId="77777777" w:rsidR="00DB6E1F" w:rsidRDefault="00DB6E1F">
      <w:pPr>
        <w:pStyle w:val="BodyText"/>
        <w:spacing w:before="5"/>
        <w:rPr>
          <w:sz w:val="10"/>
        </w:rPr>
      </w:pPr>
    </w:p>
    <w:tbl>
      <w:tblPr>
        <w:tblW w:w="0" w:type="auto"/>
        <w:tblInd w:w="1433" w:type="dxa"/>
        <w:tblLayout w:type="fixed"/>
        <w:tblCellMar>
          <w:left w:w="0" w:type="dxa"/>
          <w:right w:w="0" w:type="dxa"/>
        </w:tblCellMar>
        <w:tblLook w:val="01E0" w:firstRow="1" w:lastRow="1" w:firstColumn="1" w:lastColumn="1" w:noHBand="0" w:noVBand="0"/>
      </w:tblPr>
      <w:tblGrid>
        <w:gridCol w:w="7458"/>
        <w:gridCol w:w="1219"/>
        <w:gridCol w:w="786"/>
      </w:tblGrid>
      <w:tr w:rsidR="00DB6E1F" w14:paraId="11C12BEF" w14:textId="77777777">
        <w:trPr>
          <w:trHeight w:val="272"/>
        </w:trPr>
        <w:tc>
          <w:tcPr>
            <w:tcW w:w="7458" w:type="dxa"/>
            <w:tcBorders>
              <w:top w:val="single" w:sz="6" w:space="0" w:color="231F20"/>
              <w:bottom w:val="single" w:sz="6" w:space="0" w:color="231F20"/>
            </w:tcBorders>
          </w:tcPr>
          <w:p w14:paraId="515381E4" w14:textId="77777777" w:rsidR="00DB6E1F" w:rsidRDefault="00F666A6">
            <w:pPr>
              <w:pStyle w:val="TableParagraph"/>
              <w:ind w:left="465"/>
              <w:rPr>
                <w:b/>
                <w:sz w:val="20"/>
              </w:rPr>
            </w:pPr>
            <w:r>
              <w:rPr>
                <w:b/>
                <w:sz w:val="20"/>
              </w:rPr>
              <w:t>Has</w:t>
            </w:r>
            <w:r>
              <w:rPr>
                <w:b/>
                <w:spacing w:val="-5"/>
                <w:sz w:val="20"/>
              </w:rPr>
              <w:t xml:space="preserve"> </w:t>
            </w:r>
            <w:r>
              <w:rPr>
                <w:b/>
                <w:sz w:val="20"/>
              </w:rPr>
              <w:t>this</w:t>
            </w:r>
            <w:r>
              <w:rPr>
                <w:b/>
                <w:spacing w:val="-2"/>
                <w:sz w:val="20"/>
              </w:rPr>
              <w:t xml:space="preserve"> </w:t>
            </w:r>
            <w:r>
              <w:rPr>
                <w:b/>
                <w:i/>
                <w:sz w:val="20"/>
              </w:rPr>
              <w:t>EVER</w:t>
            </w:r>
            <w:r>
              <w:rPr>
                <w:b/>
                <w:i/>
                <w:spacing w:val="-4"/>
                <w:sz w:val="20"/>
              </w:rPr>
              <w:t xml:space="preserve"> </w:t>
            </w:r>
            <w:r>
              <w:rPr>
                <w:b/>
                <w:sz w:val="20"/>
              </w:rPr>
              <w:t>happened</w:t>
            </w:r>
            <w:r>
              <w:rPr>
                <w:b/>
                <w:spacing w:val="-4"/>
                <w:sz w:val="20"/>
              </w:rPr>
              <w:t xml:space="preserve"> </w:t>
            </w:r>
            <w:r>
              <w:rPr>
                <w:b/>
                <w:sz w:val="20"/>
              </w:rPr>
              <w:t>to</w:t>
            </w:r>
            <w:r>
              <w:rPr>
                <w:b/>
                <w:spacing w:val="-6"/>
                <w:sz w:val="20"/>
              </w:rPr>
              <w:t xml:space="preserve"> </w:t>
            </w:r>
            <w:r>
              <w:rPr>
                <w:b/>
                <w:sz w:val="20"/>
              </w:rPr>
              <w:t>you?</w:t>
            </w:r>
            <w:r>
              <w:rPr>
                <w:b/>
                <w:spacing w:val="-5"/>
                <w:sz w:val="20"/>
              </w:rPr>
              <w:t xml:space="preserve"> </w:t>
            </w:r>
            <w:r>
              <w:rPr>
                <w:b/>
                <w:sz w:val="20"/>
              </w:rPr>
              <w:t>Circle</w:t>
            </w:r>
            <w:r>
              <w:rPr>
                <w:b/>
                <w:spacing w:val="-4"/>
                <w:sz w:val="20"/>
              </w:rPr>
              <w:t xml:space="preserve"> </w:t>
            </w:r>
            <w:r>
              <w:rPr>
                <w:b/>
                <w:sz w:val="20"/>
              </w:rPr>
              <w:t>one</w:t>
            </w:r>
            <w:r>
              <w:rPr>
                <w:b/>
                <w:spacing w:val="-4"/>
                <w:sz w:val="20"/>
              </w:rPr>
              <w:t xml:space="preserve"> </w:t>
            </w:r>
            <w:r>
              <w:rPr>
                <w:b/>
                <w:sz w:val="20"/>
              </w:rPr>
              <w:t>answer</w:t>
            </w:r>
            <w:r>
              <w:rPr>
                <w:b/>
                <w:spacing w:val="-4"/>
                <w:sz w:val="20"/>
              </w:rPr>
              <w:t xml:space="preserve"> </w:t>
            </w:r>
            <w:r>
              <w:rPr>
                <w:b/>
                <w:sz w:val="20"/>
              </w:rPr>
              <w:t>for</w:t>
            </w:r>
            <w:r>
              <w:rPr>
                <w:b/>
                <w:spacing w:val="-3"/>
                <w:sz w:val="20"/>
              </w:rPr>
              <w:t xml:space="preserve"> </w:t>
            </w:r>
            <w:r>
              <w:rPr>
                <w:b/>
                <w:sz w:val="20"/>
              </w:rPr>
              <w:t>each</w:t>
            </w:r>
            <w:r>
              <w:rPr>
                <w:b/>
                <w:spacing w:val="-3"/>
                <w:sz w:val="20"/>
              </w:rPr>
              <w:t xml:space="preserve"> </w:t>
            </w:r>
            <w:r>
              <w:rPr>
                <w:b/>
                <w:spacing w:val="-2"/>
                <w:sz w:val="20"/>
              </w:rPr>
              <w:t>item.</w:t>
            </w:r>
          </w:p>
        </w:tc>
        <w:tc>
          <w:tcPr>
            <w:tcW w:w="1219" w:type="dxa"/>
            <w:tcBorders>
              <w:top w:val="single" w:sz="6" w:space="0" w:color="231F20"/>
              <w:bottom w:val="single" w:sz="6" w:space="0" w:color="231F20"/>
            </w:tcBorders>
          </w:tcPr>
          <w:p w14:paraId="0BAAF9CC" w14:textId="77777777" w:rsidR="00DB6E1F" w:rsidRDefault="00F666A6">
            <w:pPr>
              <w:pStyle w:val="TableParagraph"/>
              <w:ind w:left="644"/>
              <w:rPr>
                <w:b/>
                <w:sz w:val="20"/>
              </w:rPr>
            </w:pPr>
            <w:r>
              <w:rPr>
                <w:b/>
                <w:spacing w:val="-5"/>
                <w:sz w:val="20"/>
              </w:rPr>
              <w:t>No</w:t>
            </w:r>
          </w:p>
        </w:tc>
        <w:tc>
          <w:tcPr>
            <w:tcW w:w="786" w:type="dxa"/>
            <w:tcBorders>
              <w:top w:val="single" w:sz="6" w:space="0" w:color="231F20"/>
              <w:bottom w:val="single" w:sz="6" w:space="0" w:color="231F20"/>
            </w:tcBorders>
          </w:tcPr>
          <w:p w14:paraId="393DC527" w14:textId="77777777" w:rsidR="00DB6E1F" w:rsidRDefault="00F666A6">
            <w:pPr>
              <w:pStyle w:val="TableParagraph"/>
              <w:ind w:left="337"/>
              <w:rPr>
                <w:b/>
                <w:sz w:val="20"/>
              </w:rPr>
            </w:pPr>
            <w:r>
              <w:rPr>
                <w:b/>
                <w:spacing w:val="-5"/>
                <w:sz w:val="20"/>
              </w:rPr>
              <w:t>Yes</w:t>
            </w:r>
          </w:p>
        </w:tc>
      </w:tr>
      <w:tr w:rsidR="00DB6E1F" w14:paraId="78CEB3AD" w14:textId="77777777">
        <w:trPr>
          <w:trHeight w:val="272"/>
        </w:trPr>
        <w:tc>
          <w:tcPr>
            <w:tcW w:w="7458" w:type="dxa"/>
            <w:tcBorders>
              <w:top w:val="single" w:sz="6" w:space="0" w:color="231F20"/>
              <w:bottom w:val="single" w:sz="6" w:space="0" w:color="231F20"/>
            </w:tcBorders>
          </w:tcPr>
          <w:p w14:paraId="3ABF1D3B" w14:textId="77777777" w:rsidR="00DB6E1F" w:rsidRDefault="00F666A6">
            <w:pPr>
              <w:pStyle w:val="TableParagraph"/>
              <w:tabs>
                <w:tab w:val="left" w:pos="465"/>
              </w:tabs>
              <w:ind w:left="14"/>
              <w:rPr>
                <w:sz w:val="20"/>
              </w:rPr>
            </w:pPr>
            <w:r>
              <w:rPr>
                <w:spacing w:val="-5"/>
                <w:sz w:val="20"/>
              </w:rPr>
              <w:t>1.</w:t>
            </w:r>
            <w:r>
              <w:rPr>
                <w:sz w:val="20"/>
              </w:rPr>
              <w:tab/>
              <w:t>I</w:t>
            </w:r>
            <w:r>
              <w:rPr>
                <w:spacing w:val="-5"/>
                <w:sz w:val="20"/>
              </w:rPr>
              <w:t xml:space="preserve"> </w:t>
            </w:r>
            <w:r>
              <w:rPr>
                <w:sz w:val="20"/>
              </w:rPr>
              <w:t>have</w:t>
            </w:r>
            <w:r>
              <w:rPr>
                <w:spacing w:val="-5"/>
                <w:sz w:val="20"/>
              </w:rPr>
              <w:t xml:space="preserve"> </w:t>
            </w:r>
            <w:r>
              <w:rPr>
                <w:sz w:val="20"/>
              </w:rPr>
              <w:t>had</w:t>
            </w:r>
            <w:r>
              <w:rPr>
                <w:spacing w:val="-3"/>
                <w:sz w:val="20"/>
              </w:rPr>
              <w:t xml:space="preserve"> </w:t>
            </w:r>
            <w:r>
              <w:rPr>
                <w:sz w:val="20"/>
              </w:rPr>
              <w:t>a</w:t>
            </w:r>
            <w:r>
              <w:rPr>
                <w:spacing w:val="-4"/>
                <w:sz w:val="20"/>
              </w:rPr>
              <w:t xml:space="preserve"> </w:t>
            </w:r>
            <w:r>
              <w:rPr>
                <w:sz w:val="20"/>
              </w:rPr>
              <w:t>hangover</w:t>
            </w:r>
            <w:r>
              <w:rPr>
                <w:spacing w:val="-4"/>
                <w:sz w:val="20"/>
              </w:rPr>
              <w:t xml:space="preserve"> </w:t>
            </w:r>
            <w:r>
              <w:rPr>
                <w:sz w:val="20"/>
              </w:rPr>
              <w:t>or</w:t>
            </w:r>
            <w:r>
              <w:rPr>
                <w:spacing w:val="-4"/>
                <w:sz w:val="20"/>
              </w:rPr>
              <w:t xml:space="preserve"> </w:t>
            </w:r>
            <w:r>
              <w:rPr>
                <w:sz w:val="20"/>
              </w:rPr>
              <w:t>felt</w:t>
            </w:r>
            <w:r>
              <w:rPr>
                <w:spacing w:val="-1"/>
                <w:sz w:val="20"/>
              </w:rPr>
              <w:t xml:space="preserve"> </w:t>
            </w:r>
            <w:r>
              <w:rPr>
                <w:sz w:val="20"/>
              </w:rPr>
              <w:t>bad</w:t>
            </w:r>
            <w:r>
              <w:rPr>
                <w:spacing w:val="-4"/>
                <w:sz w:val="20"/>
              </w:rPr>
              <w:t xml:space="preserve"> </w:t>
            </w:r>
            <w:r>
              <w:rPr>
                <w:sz w:val="20"/>
              </w:rPr>
              <w:t>after</w:t>
            </w:r>
            <w:r>
              <w:rPr>
                <w:spacing w:val="-4"/>
                <w:sz w:val="20"/>
              </w:rPr>
              <w:t xml:space="preserve"> </w:t>
            </w:r>
            <w:r>
              <w:rPr>
                <w:spacing w:val="-2"/>
                <w:sz w:val="20"/>
              </w:rPr>
              <w:t>drinking.</w:t>
            </w:r>
          </w:p>
        </w:tc>
        <w:tc>
          <w:tcPr>
            <w:tcW w:w="1219" w:type="dxa"/>
            <w:tcBorders>
              <w:top w:val="single" w:sz="6" w:space="0" w:color="231F20"/>
              <w:bottom w:val="single" w:sz="6" w:space="0" w:color="231F20"/>
            </w:tcBorders>
          </w:tcPr>
          <w:p w14:paraId="50D13D1F"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06229C31" w14:textId="77777777" w:rsidR="00DB6E1F" w:rsidRDefault="00F666A6">
            <w:pPr>
              <w:pStyle w:val="TableParagraph"/>
              <w:ind w:left="337"/>
              <w:rPr>
                <w:sz w:val="20"/>
              </w:rPr>
            </w:pPr>
            <w:r>
              <w:rPr>
                <w:w w:val="99"/>
                <w:sz w:val="20"/>
              </w:rPr>
              <w:t>1</w:t>
            </w:r>
          </w:p>
        </w:tc>
      </w:tr>
      <w:tr w:rsidR="00DB6E1F" w14:paraId="3F99F2BC" w14:textId="77777777">
        <w:trPr>
          <w:trHeight w:val="272"/>
        </w:trPr>
        <w:tc>
          <w:tcPr>
            <w:tcW w:w="7458" w:type="dxa"/>
            <w:tcBorders>
              <w:top w:val="single" w:sz="6" w:space="0" w:color="231F20"/>
              <w:bottom w:val="single" w:sz="6" w:space="0" w:color="231F20"/>
            </w:tcBorders>
          </w:tcPr>
          <w:p w14:paraId="2CCFF6AD" w14:textId="77777777" w:rsidR="00DB6E1F" w:rsidRDefault="00F666A6">
            <w:pPr>
              <w:pStyle w:val="TableParagraph"/>
              <w:tabs>
                <w:tab w:val="left" w:pos="465"/>
              </w:tabs>
              <w:ind w:left="14"/>
              <w:rPr>
                <w:sz w:val="20"/>
              </w:rPr>
            </w:pPr>
            <w:r>
              <w:rPr>
                <w:spacing w:val="-5"/>
                <w:sz w:val="20"/>
              </w:rPr>
              <w:t>2.</w:t>
            </w:r>
            <w:r>
              <w:rPr>
                <w:sz w:val="20"/>
              </w:rPr>
              <w:tab/>
              <w:t>I</w:t>
            </w:r>
            <w:r>
              <w:rPr>
                <w:spacing w:val="-5"/>
                <w:sz w:val="20"/>
              </w:rPr>
              <w:t xml:space="preserve"> </w:t>
            </w:r>
            <w:r>
              <w:rPr>
                <w:sz w:val="20"/>
              </w:rPr>
              <w:t>have</w:t>
            </w:r>
            <w:r>
              <w:rPr>
                <w:spacing w:val="-6"/>
                <w:sz w:val="20"/>
              </w:rPr>
              <w:t xml:space="preserve"> </w:t>
            </w:r>
            <w:r>
              <w:rPr>
                <w:sz w:val="20"/>
              </w:rPr>
              <w:t>felt</w:t>
            </w:r>
            <w:r>
              <w:rPr>
                <w:spacing w:val="-4"/>
                <w:sz w:val="20"/>
              </w:rPr>
              <w:t xml:space="preserve"> </w:t>
            </w:r>
            <w:r>
              <w:rPr>
                <w:sz w:val="20"/>
              </w:rPr>
              <w:t>bad</w:t>
            </w:r>
            <w:r>
              <w:rPr>
                <w:spacing w:val="-4"/>
                <w:sz w:val="20"/>
              </w:rPr>
              <w:t xml:space="preserve"> </w:t>
            </w:r>
            <w:r>
              <w:rPr>
                <w:sz w:val="20"/>
              </w:rPr>
              <w:t>about</w:t>
            </w:r>
            <w:r>
              <w:rPr>
                <w:spacing w:val="-4"/>
                <w:sz w:val="20"/>
              </w:rPr>
              <w:t xml:space="preserve"> </w:t>
            </w:r>
            <w:r>
              <w:rPr>
                <w:sz w:val="20"/>
              </w:rPr>
              <w:t>myself</w:t>
            </w:r>
            <w:r>
              <w:rPr>
                <w:spacing w:val="-6"/>
                <w:sz w:val="20"/>
              </w:rPr>
              <w:t xml:space="preserve"> </w:t>
            </w:r>
            <w:r>
              <w:rPr>
                <w:sz w:val="20"/>
              </w:rPr>
              <w:t>because</w:t>
            </w:r>
            <w:r>
              <w:rPr>
                <w:spacing w:val="-5"/>
                <w:sz w:val="20"/>
              </w:rPr>
              <w:t xml:space="preserve"> </w:t>
            </w:r>
            <w:r>
              <w:rPr>
                <w:sz w:val="20"/>
              </w:rPr>
              <w:t>of</w:t>
            </w:r>
            <w:r>
              <w:rPr>
                <w:spacing w:val="-6"/>
                <w:sz w:val="20"/>
              </w:rPr>
              <w:t xml:space="preserve"> </w:t>
            </w:r>
            <w:r>
              <w:rPr>
                <w:sz w:val="20"/>
              </w:rPr>
              <w:t>my</w:t>
            </w:r>
            <w:r>
              <w:rPr>
                <w:spacing w:val="-4"/>
                <w:sz w:val="20"/>
              </w:rPr>
              <w:t xml:space="preserve"> </w:t>
            </w:r>
            <w:r>
              <w:rPr>
                <w:spacing w:val="-2"/>
                <w:sz w:val="20"/>
              </w:rPr>
              <w:t>drinking.</w:t>
            </w:r>
          </w:p>
        </w:tc>
        <w:tc>
          <w:tcPr>
            <w:tcW w:w="1219" w:type="dxa"/>
            <w:tcBorders>
              <w:top w:val="single" w:sz="6" w:space="0" w:color="231F20"/>
              <w:bottom w:val="single" w:sz="6" w:space="0" w:color="231F20"/>
            </w:tcBorders>
          </w:tcPr>
          <w:p w14:paraId="41370405"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76A1FDFE" w14:textId="77777777" w:rsidR="00DB6E1F" w:rsidRDefault="00F666A6">
            <w:pPr>
              <w:pStyle w:val="TableParagraph"/>
              <w:ind w:left="337"/>
              <w:rPr>
                <w:sz w:val="20"/>
              </w:rPr>
            </w:pPr>
            <w:r>
              <w:rPr>
                <w:w w:val="99"/>
                <w:sz w:val="20"/>
              </w:rPr>
              <w:t>1</w:t>
            </w:r>
          </w:p>
        </w:tc>
      </w:tr>
      <w:tr w:rsidR="00DB6E1F" w14:paraId="0B69AA4C" w14:textId="77777777">
        <w:trPr>
          <w:trHeight w:val="272"/>
        </w:trPr>
        <w:tc>
          <w:tcPr>
            <w:tcW w:w="7458" w:type="dxa"/>
            <w:tcBorders>
              <w:top w:val="single" w:sz="6" w:space="0" w:color="231F20"/>
              <w:bottom w:val="single" w:sz="6" w:space="0" w:color="231F20"/>
            </w:tcBorders>
          </w:tcPr>
          <w:p w14:paraId="1001DAB6" w14:textId="77777777" w:rsidR="00DB6E1F" w:rsidRDefault="00F666A6">
            <w:pPr>
              <w:pStyle w:val="TableParagraph"/>
              <w:tabs>
                <w:tab w:val="left" w:pos="465"/>
              </w:tabs>
              <w:ind w:left="14"/>
              <w:rPr>
                <w:sz w:val="20"/>
              </w:rPr>
            </w:pPr>
            <w:r>
              <w:rPr>
                <w:spacing w:val="-5"/>
                <w:sz w:val="20"/>
              </w:rPr>
              <w:t>3.</w:t>
            </w:r>
            <w:r>
              <w:rPr>
                <w:sz w:val="20"/>
              </w:rPr>
              <w:tab/>
              <w:t>I</w:t>
            </w:r>
            <w:r>
              <w:rPr>
                <w:spacing w:val="-5"/>
                <w:sz w:val="20"/>
              </w:rPr>
              <w:t xml:space="preserve"> </w:t>
            </w:r>
            <w:r>
              <w:rPr>
                <w:sz w:val="20"/>
              </w:rPr>
              <w:t>have</w:t>
            </w:r>
            <w:r>
              <w:rPr>
                <w:spacing w:val="-5"/>
                <w:sz w:val="20"/>
              </w:rPr>
              <w:t xml:space="preserve"> </w:t>
            </w:r>
            <w:r>
              <w:rPr>
                <w:sz w:val="20"/>
              </w:rPr>
              <w:t>missed</w:t>
            </w:r>
            <w:r>
              <w:rPr>
                <w:spacing w:val="-3"/>
                <w:sz w:val="20"/>
              </w:rPr>
              <w:t xml:space="preserve"> </w:t>
            </w:r>
            <w:r>
              <w:rPr>
                <w:sz w:val="20"/>
              </w:rPr>
              <w:t>days</w:t>
            </w:r>
            <w:r>
              <w:rPr>
                <w:spacing w:val="-5"/>
                <w:sz w:val="20"/>
              </w:rPr>
              <w:t xml:space="preserve"> </w:t>
            </w:r>
            <w:r>
              <w:rPr>
                <w:sz w:val="20"/>
              </w:rPr>
              <w:t>of</w:t>
            </w:r>
            <w:r>
              <w:rPr>
                <w:spacing w:val="-5"/>
                <w:sz w:val="20"/>
              </w:rPr>
              <w:t xml:space="preserve"> </w:t>
            </w:r>
            <w:r>
              <w:rPr>
                <w:sz w:val="20"/>
              </w:rPr>
              <w:t>work</w:t>
            </w:r>
            <w:r>
              <w:rPr>
                <w:spacing w:val="-3"/>
                <w:sz w:val="20"/>
              </w:rPr>
              <w:t xml:space="preserve"> </w:t>
            </w:r>
            <w:r>
              <w:rPr>
                <w:sz w:val="20"/>
              </w:rPr>
              <w:t>or</w:t>
            </w:r>
            <w:r>
              <w:rPr>
                <w:spacing w:val="-2"/>
                <w:sz w:val="20"/>
              </w:rPr>
              <w:t xml:space="preserve"> </w:t>
            </w:r>
            <w:r>
              <w:rPr>
                <w:sz w:val="20"/>
              </w:rPr>
              <w:t>school</w:t>
            </w:r>
            <w:r>
              <w:rPr>
                <w:spacing w:val="-5"/>
                <w:sz w:val="20"/>
              </w:rPr>
              <w:t xml:space="preserve"> </w:t>
            </w:r>
            <w:r>
              <w:rPr>
                <w:sz w:val="20"/>
              </w:rPr>
              <w:t>because</w:t>
            </w:r>
            <w:r>
              <w:rPr>
                <w:spacing w:val="-5"/>
                <w:sz w:val="20"/>
              </w:rPr>
              <w:t xml:space="preserve"> </w:t>
            </w:r>
            <w:r>
              <w:rPr>
                <w:sz w:val="20"/>
              </w:rPr>
              <w:t>of</w:t>
            </w:r>
            <w:r>
              <w:rPr>
                <w:spacing w:val="-5"/>
                <w:sz w:val="20"/>
              </w:rPr>
              <w:t xml:space="preserve"> </w:t>
            </w:r>
            <w:r>
              <w:rPr>
                <w:sz w:val="20"/>
              </w:rPr>
              <w:t>my</w:t>
            </w:r>
            <w:r>
              <w:rPr>
                <w:spacing w:val="-3"/>
                <w:sz w:val="20"/>
              </w:rPr>
              <w:t xml:space="preserve"> </w:t>
            </w:r>
            <w:r>
              <w:rPr>
                <w:spacing w:val="-2"/>
                <w:sz w:val="20"/>
              </w:rPr>
              <w:t>drinking.</w:t>
            </w:r>
          </w:p>
        </w:tc>
        <w:tc>
          <w:tcPr>
            <w:tcW w:w="1219" w:type="dxa"/>
            <w:tcBorders>
              <w:top w:val="single" w:sz="6" w:space="0" w:color="231F20"/>
              <w:bottom w:val="single" w:sz="6" w:space="0" w:color="231F20"/>
            </w:tcBorders>
          </w:tcPr>
          <w:p w14:paraId="32302560"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7C16A29F" w14:textId="77777777" w:rsidR="00DB6E1F" w:rsidRDefault="00F666A6">
            <w:pPr>
              <w:pStyle w:val="TableParagraph"/>
              <w:ind w:left="337"/>
              <w:rPr>
                <w:sz w:val="20"/>
              </w:rPr>
            </w:pPr>
            <w:r>
              <w:rPr>
                <w:w w:val="99"/>
                <w:sz w:val="20"/>
              </w:rPr>
              <w:t>1</w:t>
            </w:r>
          </w:p>
        </w:tc>
      </w:tr>
      <w:tr w:rsidR="00DB6E1F" w14:paraId="1ACEDD6B" w14:textId="77777777">
        <w:trPr>
          <w:trHeight w:val="273"/>
        </w:trPr>
        <w:tc>
          <w:tcPr>
            <w:tcW w:w="7458" w:type="dxa"/>
            <w:tcBorders>
              <w:top w:val="single" w:sz="6" w:space="0" w:color="231F20"/>
              <w:bottom w:val="single" w:sz="6" w:space="0" w:color="231F20"/>
            </w:tcBorders>
          </w:tcPr>
          <w:p w14:paraId="6FB6D4E3" w14:textId="77777777" w:rsidR="00DB6E1F" w:rsidRDefault="00F666A6">
            <w:pPr>
              <w:pStyle w:val="TableParagraph"/>
              <w:tabs>
                <w:tab w:val="left" w:pos="465"/>
              </w:tabs>
              <w:ind w:left="14"/>
              <w:rPr>
                <w:sz w:val="20"/>
              </w:rPr>
            </w:pPr>
            <w:r>
              <w:rPr>
                <w:spacing w:val="-5"/>
                <w:sz w:val="20"/>
              </w:rPr>
              <w:t>4.</w:t>
            </w:r>
            <w:r>
              <w:rPr>
                <w:sz w:val="20"/>
              </w:rPr>
              <w:tab/>
              <w:t>My</w:t>
            </w:r>
            <w:r>
              <w:rPr>
                <w:spacing w:val="-5"/>
                <w:sz w:val="20"/>
              </w:rPr>
              <w:t xml:space="preserve"> </w:t>
            </w:r>
            <w:r>
              <w:rPr>
                <w:sz w:val="20"/>
              </w:rPr>
              <w:t>family</w:t>
            </w:r>
            <w:r>
              <w:rPr>
                <w:spacing w:val="-4"/>
                <w:sz w:val="20"/>
              </w:rPr>
              <w:t xml:space="preserve"> </w:t>
            </w:r>
            <w:r>
              <w:rPr>
                <w:sz w:val="20"/>
              </w:rPr>
              <w:t>or</w:t>
            </w:r>
            <w:r>
              <w:rPr>
                <w:spacing w:val="-5"/>
                <w:sz w:val="20"/>
              </w:rPr>
              <w:t xml:space="preserve"> </w:t>
            </w:r>
            <w:r>
              <w:rPr>
                <w:sz w:val="20"/>
              </w:rPr>
              <w:t>friends</w:t>
            </w:r>
            <w:r>
              <w:rPr>
                <w:spacing w:val="-6"/>
                <w:sz w:val="20"/>
              </w:rPr>
              <w:t xml:space="preserve"> </w:t>
            </w:r>
            <w:r>
              <w:rPr>
                <w:sz w:val="20"/>
              </w:rPr>
              <w:t>have</w:t>
            </w:r>
            <w:r>
              <w:rPr>
                <w:spacing w:val="-3"/>
                <w:sz w:val="20"/>
              </w:rPr>
              <w:t xml:space="preserve"> </w:t>
            </w:r>
            <w:r>
              <w:rPr>
                <w:sz w:val="20"/>
              </w:rPr>
              <w:t>worried</w:t>
            </w:r>
            <w:r>
              <w:rPr>
                <w:spacing w:val="-4"/>
                <w:sz w:val="20"/>
              </w:rPr>
              <w:t xml:space="preserve"> </w:t>
            </w:r>
            <w:r>
              <w:rPr>
                <w:sz w:val="20"/>
              </w:rPr>
              <w:t>or</w:t>
            </w:r>
            <w:r>
              <w:rPr>
                <w:spacing w:val="-5"/>
                <w:sz w:val="20"/>
              </w:rPr>
              <w:t xml:space="preserve"> </w:t>
            </w:r>
            <w:r>
              <w:rPr>
                <w:sz w:val="20"/>
              </w:rPr>
              <w:t>complained</w:t>
            </w:r>
            <w:r>
              <w:rPr>
                <w:spacing w:val="-4"/>
                <w:sz w:val="20"/>
              </w:rPr>
              <w:t xml:space="preserve"> </w:t>
            </w:r>
            <w:r>
              <w:rPr>
                <w:sz w:val="20"/>
              </w:rPr>
              <w:t>about</w:t>
            </w:r>
            <w:r>
              <w:rPr>
                <w:spacing w:val="-5"/>
                <w:sz w:val="20"/>
              </w:rPr>
              <w:t xml:space="preserve"> </w:t>
            </w:r>
            <w:r>
              <w:rPr>
                <w:sz w:val="20"/>
              </w:rPr>
              <w:t>my</w:t>
            </w:r>
            <w:r>
              <w:rPr>
                <w:spacing w:val="-4"/>
                <w:sz w:val="20"/>
              </w:rPr>
              <w:t xml:space="preserve"> </w:t>
            </w:r>
            <w:r>
              <w:rPr>
                <w:spacing w:val="-2"/>
                <w:sz w:val="20"/>
              </w:rPr>
              <w:t>drinking.</w:t>
            </w:r>
          </w:p>
        </w:tc>
        <w:tc>
          <w:tcPr>
            <w:tcW w:w="1219" w:type="dxa"/>
            <w:tcBorders>
              <w:top w:val="single" w:sz="6" w:space="0" w:color="231F20"/>
              <w:bottom w:val="single" w:sz="6" w:space="0" w:color="231F20"/>
            </w:tcBorders>
          </w:tcPr>
          <w:p w14:paraId="5411F9E8"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50AD136B" w14:textId="77777777" w:rsidR="00DB6E1F" w:rsidRDefault="00F666A6">
            <w:pPr>
              <w:pStyle w:val="TableParagraph"/>
              <w:ind w:left="337"/>
              <w:rPr>
                <w:sz w:val="20"/>
              </w:rPr>
            </w:pPr>
            <w:r>
              <w:rPr>
                <w:w w:val="99"/>
                <w:sz w:val="20"/>
              </w:rPr>
              <w:t>1</w:t>
            </w:r>
          </w:p>
        </w:tc>
      </w:tr>
      <w:tr w:rsidR="00DB6E1F" w14:paraId="274C7855" w14:textId="77777777">
        <w:trPr>
          <w:trHeight w:val="272"/>
        </w:trPr>
        <w:tc>
          <w:tcPr>
            <w:tcW w:w="7458" w:type="dxa"/>
            <w:tcBorders>
              <w:top w:val="single" w:sz="6" w:space="0" w:color="231F20"/>
              <w:bottom w:val="single" w:sz="6" w:space="0" w:color="231F20"/>
            </w:tcBorders>
          </w:tcPr>
          <w:p w14:paraId="0D111AC8" w14:textId="77777777" w:rsidR="00DB6E1F" w:rsidRDefault="00F666A6">
            <w:pPr>
              <w:pStyle w:val="TableParagraph"/>
              <w:tabs>
                <w:tab w:val="left" w:pos="465"/>
              </w:tabs>
              <w:ind w:left="14"/>
              <w:rPr>
                <w:sz w:val="20"/>
              </w:rPr>
            </w:pPr>
            <w:r>
              <w:rPr>
                <w:spacing w:val="-5"/>
                <w:sz w:val="20"/>
              </w:rPr>
              <w:t>5.</w:t>
            </w:r>
            <w:r>
              <w:rPr>
                <w:sz w:val="20"/>
              </w:rPr>
              <w:tab/>
              <w:t>I</w:t>
            </w:r>
            <w:r>
              <w:rPr>
                <w:spacing w:val="-4"/>
                <w:sz w:val="20"/>
              </w:rPr>
              <w:t xml:space="preserve"> </w:t>
            </w:r>
            <w:r>
              <w:rPr>
                <w:sz w:val="20"/>
              </w:rPr>
              <w:t>have</w:t>
            </w:r>
            <w:r>
              <w:rPr>
                <w:spacing w:val="-5"/>
                <w:sz w:val="20"/>
              </w:rPr>
              <w:t xml:space="preserve"> </w:t>
            </w:r>
            <w:r>
              <w:rPr>
                <w:sz w:val="20"/>
              </w:rPr>
              <w:t>enjoyed</w:t>
            </w:r>
            <w:r>
              <w:rPr>
                <w:spacing w:val="-3"/>
                <w:sz w:val="20"/>
              </w:rPr>
              <w:t xml:space="preserve"> </w:t>
            </w:r>
            <w:r>
              <w:rPr>
                <w:sz w:val="20"/>
              </w:rPr>
              <w:t>the</w:t>
            </w:r>
            <w:r>
              <w:rPr>
                <w:spacing w:val="-5"/>
                <w:sz w:val="20"/>
              </w:rPr>
              <w:t xml:space="preserve"> </w:t>
            </w:r>
            <w:r>
              <w:rPr>
                <w:sz w:val="20"/>
              </w:rPr>
              <w:t>taste</w:t>
            </w:r>
            <w:r>
              <w:rPr>
                <w:spacing w:val="-5"/>
                <w:sz w:val="20"/>
              </w:rPr>
              <w:t xml:space="preserve"> </w:t>
            </w:r>
            <w:r>
              <w:rPr>
                <w:sz w:val="20"/>
              </w:rPr>
              <w:t>of</w:t>
            </w:r>
            <w:r>
              <w:rPr>
                <w:spacing w:val="-5"/>
                <w:sz w:val="20"/>
              </w:rPr>
              <w:t xml:space="preserve"> </w:t>
            </w:r>
            <w:r>
              <w:rPr>
                <w:sz w:val="20"/>
              </w:rPr>
              <w:t>beer,</w:t>
            </w:r>
            <w:r>
              <w:rPr>
                <w:spacing w:val="-2"/>
                <w:sz w:val="20"/>
              </w:rPr>
              <w:t xml:space="preserve"> </w:t>
            </w:r>
            <w:r>
              <w:rPr>
                <w:sz w:val="20"/>
              </w:rPr>
              <w:t>wine,</w:t>
            </w:r>
            <w:r>
              <w:rPr>
                <w:spacing w:val="-3"/>
                <w:sz w:val="20"/>
              </w:rPr>
              <w:t xml:space="preserve"> </w:t>
            </w:r>
            <w:r>
              <w:rPr>
                <w:sz w:val="20"/>
              </w:rPr>
              <w:t>or</w:t>
            </w:r>
            <w:r>
              <w:rPr>
                <w:spacing w:val="-4"/>
                <w:sz w:val="20"/>
              </w:rPr>
              <w:t xml:space="preserve"> </w:t>
            </w:r>
            <w:r>
              <w:rPr>
                <w:spacing w:val="-2"/>
                <w:sz w:val="20"/>
              </w:rPr>
              <w:t>liquor.</w:t>
            </w:r>
          </w:p>
        </w:tc>
        <w:tc>
          <w:tcPr>
            <w:tcW w:w="1219" w:type="dxa"/>
            <w:tcBorders>
              <w:top w:val="single" w:sz="6" w:space="0" w:color="231F20"/>
              <w:bottom w:val="single" w:sz="6" w:space="0" w:color="231F20"/>
            </w:tcBorders>
          </w:tcPr>
          <w:p w14:paraId="643D1404"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1635C17C" w14:textId="77777777" w:rsidR="00DB6E1F" w:rsidRDefault="00F666A6">
            <w:pPr>
              <w:pStyle w:val="TableParagraph"/>
              <w:ind w:left="337"/>
              <w:rPr>
                <w:sz w:val="20"/>
              </w:rPr>
            </w:pPr>
            <w:r>
              <w:rPr>
                <w:w w:val="99"/>
                <w:sz w:val="20"/>
              </w:rPr>
              <w:t>1</w:t>
            </w:r>
          </w:p>
        </w:tc>
      </w:tr>
      <w:tr w:rsidR="00DB6E1F" w14:paraId="75FF44B6" w14:textId="77777777">
        <w:trPr>
          <w:trHeight w:val="272"/>
        </w:trPr>
        <w:tc>
          <w:tcPr>
            <w:tcW w:w="7458" w:type="dxa"/>
            <w:tcBorders>
              <w:top w:val="single" w:sz="6" w:space="0" w:color="231F20"/>
              <w:bottom w:val="single" w:sz="6" w:space="0" w:color="231F20"/>
            </w:tcBorders>
          </w:tcPr>
          <w:p w14:paraId="3BB116E4" w14:textId="77777777" w:rsidR="00DB6E1F" w:rsidRDefault="00F666A6">
            <w:pPr>
              <w:pStyle w:val="TableParagraph"/>
              <w:tabs>
                <w:tab w:val="left" w:pos="465"/>
              </w:tabs>
              <w:ind w:left="14"/>
              <w:rPr>
                <w:sz w:val="20"/>
              </w:rPr>
            </w:pPr>
            <w:r>
              <w:rPr>
                <w:spacing w:val="-5"/>
                <w:sz w:val="20"/>
              </w:rPr>
              <w:t>6.</w:t>
            </w:r>
            <w:r>
              <w:rPr>
                <w:sz w:val="20"/>
              </w:rPr>
              <w:tab/>
              <w:t>The</w:t>
            </w:r>
            <w:r>
              <w:rPr>
                <w:spacing w:val="-6"/>
                <w:sz w:val="20"/>
              </w:rPr>
              <w:t xml:space="preserve"> </w:t>
            </w:r>
            <w:r>
              <w:rPr>
                <w:sz w:val="20"/>
              </w:rPr>
              <w:t>quality</w:t>
            </w:r>
            <w:r>
              <w:rPr>
                <w:spacing w:val="-4"/>
                <w:sz w:val="20"/>
              </w:rPr>
              <w:t xml:space="preserve"> </w:t>
            </w:r>
            <w:r>
              <w:rPr>
                <w:sz w:val="20"/>
              </w:rPr>
              <w:t>of</w:t>
            </w:r>
            <w:r>
              <w:rPr>
                <w:spacing w:val="-5"/>
                <w:sz w:val="20"/>
              </w:rPr>
              <w:t xml:space="preserve"> </w:t>
            </w:r>
            <w:r>
              <w:rPr>
                <w:sz w:val="20"/>
              </w:rPr>
              <w:t>my</w:t>
            </w:r>
            <w:r>
              <w:rPr>
                <w:spacing w:val="-4"/>
                <w:sz w:val="20"/>
              </w:rPr>
              <w:t xml:space="preserve"> </w:t>
            </w:r>
            <w:r>
              <w:rPr>
                <w:sz w:val="20"/>
              </w:rPr>
              <w:t>work</w:t>
            </w:r>
            <w:r>
              <w:rPr>
                <w:spacing w:val="-4"/>
                <w:sz w:val="20"/>
              </w:rPr>
              <w:t xml:space="preserve"> </w:t>
            </w:r>
            <w:r>
              <w:rPr>
                <w:sz w:val="20"/>
              </w:rPr>
              <w:t>has</w:t>
            </w:r>
            <w:r>
              <w:rPr>
                <w:spacing w:val="-5"/>
                <w:sz w:val="20"/>
              </w:rPr>
              <w:t xml:space="preserve"> </w:t>
            </w:r>
            <w:r>
              <w:rPr>
                <w:sz w:val="20"/>
              </w:rPr>
              <w:t>suffered</w:t>
            </w:r>
            <w:r>
              <w:rPr>
                <w:spacing w:val="-4"/>
                <w:sz w:val="20"/>
              </w:rPr>
              <w:t xml:space="preserve"> </w:t>
            </w:r>
            <w:r>
              <w:rPr>
                <w:sz w:val="20"/>
              </w:rPr>
              <w:t>because</w:t>
            </w:r>
            <w:r>
              <w:rPr>
                <w:spacing w:val="-5"/>
                <w:sz w:val="20"/>
              </w:rPr>
              <w:t xml:space="preserve"> </w:t>
            </w:r>
            <w:r>
              <w:rPr>
                <w:sz w:val="20"/>
              </w:rPr>
              <w:t>of</w:t>
            </w:r>
            <w:r>
              <w:rPr>
                <w:spacing w:val="-6"/>
                <w:sz w:val="20"/>
              </w:rPr>
              <w:t xml:space="preserve"> </w:t>
            </w:r>
            <w:r>
              <w:rPr>
                <w:sz w:val="20"/>
              </w:rPr>
              <w:t>my</w:t>
            </w:r>
            <w:r>
              <w:rPr>
                <w:spacing w:val="-4"/>
                <w:sz w:val="20"/>
              </w:rPr>
              <w:t xml:space="preserve"> </w:t>
            </w:r>
            <w:r>
              <w:rPr>
                <w:spacing w:val="-2"/>
                <w:sz w:val="20"/>
              </w:rPr>
              <w:t>drinking.</w:t>
            </w:r>
          </w:p>
        </w:tc>
        <w:tc>
          <w:tcPr>
            <w:tcW w:w="1219" w:type="dxa"/>
            <w:tcBorders>
              <w:top w:val="single" w:sz="6" w:space="0" w:color="231F20"/>
              <w:bottom w:val="single" w:sz="6" w:space="0" w:color="231F20"/>
            </w:tcBorders>
          </w:tcPr>
          <w:p w14:paraId="13C803A5"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7B408A1C" w14:textId="77777777" w:rsidR="00DB6E1F" w:rsidRDefault="00F666A6">
            <w:pPr>
              <w:pStyle w:val="TableParagraph"/>
              <w:ind w:left="337"/>
              <w:rPr>
                <w:sz w:val="20"/>
              </w:rPr>
            </w:pPr>
            <w:r>
              <w:rPr>
                <w:w w:val="99"/>
                <w:sz w:val="20"/>
              </w:rPr>
              <w:t>1</w:t>
            </w:r>
          </w:p>
        </w:tc>
      </w:tr>
      <w:tr w:rsidR="00DB6E1F" w14:paraId="784A073F" w14:textId="77777777">
        <w:trPr>
          <w:trHeight w:val="272"/>
        </w:trPr>
        <w:tc>
          <w:tcPr>
            <w:tcW w:w="7458" w:type="dxa"/>
            <w:tcBorders>
              <w:top w:val="single" w:sz="6" w:space="0" w:color="231F20"/>
              <w:bottom w:val="single" w:sz="6" w:space="0" w:color="231F20"/>
            </w:tcBorders>
          </w:tcPr>
          <w:p w14:paraId="5CFBF3B9" w14:textId="77777777" w:rsidR="00DB6E1F" w:rsidRDefault="00F666A6">
            <w:pPr>
              <w:pStyle w:val="TableParagraph"/>
              <w:tabs>
                <w:tab w:val="left" w:pos="465"/>
              </w:tabs>
              <w:ind w:left="14"/>
              <w:rPr>
                <w:sz w:val="20"/>
              </w:rPr>
            </w:pPr>
            <w:r>
              <w:rPr>
                <w:spacing w:val="-5"/>
                <w:sz w:val="20"/>
              </w:rPr>
              <w:t>7.</w:t>
            </w:r>
            <w:r>
              <w:rPr>
                <w:sz w:val="20"/>
              </w:rPr>
              <w:tab/>
              <w:t>My</w:t>
            </w:r>
            <w:r>
              <w:rPr>
                <w:spacing w:val="-4"/>
                <w:sz w:val="20"/>
              </w:rPr>
              <w:t xml:space="preserve"> </w:t>
            </w:r>
            <w:r>
              <w:rPr>
                <w:sz w:val="20"/>
              </w:rPr>
              <w:t>ability</w:t>
            </w:r>
            <w:r>
              <w:rPr>
                <w:spacing w:val="-3"/>
                <w:sz w:val="20"/>
              </w:rPr>
              <w:t xml:space="preserve"> </w:t>
            </w:r>
            <w:r>
              <w:rPr>
                <w:sz w:val="20"/>
              </w:rPr>
              <w:t>to</w:t>
            </w:r>
            <w:r>
              <w:rPr>
                <w:spacing w:val="-4"/>
                <w:sz w:val="20"/>
              </w:rPr>
              <w:t xml:space="preserve"> </w:t>
            </w:r>
            <w:r>
              <w:rPr>
                <w:sz w:val="20"/>
              </w:rPr>
              <w:t>be</w:t>
            </w:r>
            <w:r>
              <w:rPr>
                <w:spacing w:val="-5"/>
                <w:sz w:val="20"/>
              </w:rPr>
              <w:t xml:space="preserve"> </w:t>
            </w:r>
            <w:r>
              <w:rPr>
                <w:sz w:val="20"/>
              </w:rPr>
              <w:t>a</w:t>
            </w:r>
            <w:r>
              <w:rPr>
                <w:spacing w:val="-4"/>
                <w:sz w:val="20"/>
              </w:rPr>
              <w:t xml:space="preserve"> </w:t>
            </w:r>
            <w:r>
              <w:rPr>
                <w:sz w:val="20"/>
              </w:rPr>
              <w:t>good</w:t>
            </w:r>
            <w:r>
              <w:rPr>
                <w:spacing w:val="-6"/>
                <w:sz w:val="20"/>
              </w:rPr>
              <w:t xml:space="preserve"> </w:t>
            </w:r>
            <w:r>
              <w:rPr>
                <w:sz w:val="20"/>
              </w:rPr>
              <w:t>parent</w:t>
            </w:r>
            <w:r>
              <w:rPr>
                <w:spacing w:val="-4"/>
                <w:sz w:val="20"/>
              </w:rPr>
              <w:t xml:space="preserve"> </w:t>
            </w:r>
            <w:r>
              <w:rPr>
                <w:sz w:val="20"/>
              </w:rPr>
              <w:t>has</w:t>
            </w:r>
            <w:r>
              <w:rPr>
                <w:spacing w:val="-5"/>
                <w:sz w:val="20"/>
              </w:rPr>
              <w:t xml:space="preserve"> </w:t>
            </w:r>
            <w:r>
              <w:rPr>
                <w:sz w:val="20"/>
              </w:rPr>
              <w:t>been</w:t>
            </w:r>
            <w:r>
              <w:rPr>
                <w:spacing w:val="-3"/>
                <w:sz w:val="20"/>
              </w:rPr>
              <w:t xml:space="preserve"> </w:t>
            </w:r>
            <w:r>
              <w:rPr>
                <w:sz w:val="20"/>
              </w:rPr>
              <w:t>harmed</w:t>
            </w:r>
            <w:r>
              <w:rPr>
                <w:spacing w:val="-4"/>
                <w:sz w:val="20"/>
              </w:rPr>
              <w:t xml:space="preserve"> </w:t>
            </w:r>
            <w:r>
              <w:rPr>
                <w:sz w:val="20"/>
              </w:rPr>
              <w:t>by</w:t>
            </w:r>
            <w:r>
              <w:rPr>
                <w:spacing w:val="-3"/>
                <w:sz w:val="20"/>
              </w:rPr>
              <w:t xml:space="preserve"> </w:t>
            </w:r>
            <w:r>
              <w:rPr>
                <w:sz w:val="20"/>
              </w:rPr>
              <w:t>my</w:t>
            </w:r>
            <w:r>
              <w:rPr>
                <w:spacing w:val="-3"/>
                <w:sz w:val="20"/>
              </w:rPr>
              <w:t xml:space="preserve"> </w:t>
            </w:r>
            <w:r>
              <w:rPr>
                <w:spacing w:val="-2"/>
                <w:sz w:val="20"/>
              </w:rPr>
              <w:t>drinking.</w:t>
            </w:r>
          </w:p>
        </w:tc>
        <w:tc>
          <w:tcPr>
            <w:tcW w:w="1219" w:type="dxa"/>
            <w:tcBorders>
              <w:top w:val="single" w:sz="6" w:space="0" w:color="231F20"/>
              <w:bottom w:val="single" w:sz="6" w:space="0" w:color="231F20"/>
            </w:tcBorders>
          </w:tcPr>
          <w:p w14:paraId="48C1F8EB"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54771ABF" w14:textId="77777777" w:rsidR="00DB6E1F" w:rsidRDefault="00F666A6">
            <w:pPr>
              <w:pStyle w:val="TableParagraph"/>
              <w:ind w:left="337"/>
              <w:rPr>
                <w:sz w:val="20"/>
              </w:rPr>
            </w:pPr>
            <w:r>
              <w:rPr>
                <w:w w:val="99"/>
                <w:sz w:val="20"/>
              </w:rPr>
              <w:t>1</w:t>
            </w:r>
          </w:p>
        </w:tc>
      </w:tr>
      <w:tr w:rsidR="00DB6E1F" w14:paraId="358C530E" w14:textId="77777777">
        <w:trPr>
          <w:trHeight w:val="272"/>
        </w:trPr>
        <w:tc>
          <w:tcPr>
            <w:tcW w:w="7458" w:type="dxa"/>
            <w:tcBorders>
              <w:top w:val="single" w:sz="6" w:space="0" w:color="231F20"/>
              <w:bottom w:val="single" w:sz="6" w:space="0" w:color="231F20"/>
            </w:tcBorders>
          </w:tcPr>
          <w:p w14:paraId="4B04F160" w14:textId="77777777" w:rsidR="00DB6E1F" w:rsidRDefault="00F666A6">
            <w:pPr>
              <w:pStyle w:val="TableParagraph"/>
              <w:tabs>
                <w:tab w:val="left" w:pos="465"/>
              </w:tabs>
              <w:ind w:left="14"/>
              <w:rPr>
                <w:sz w:val="20"/>
              </w:rPr>
            </w:pPr>
            <w:r>
              <w:rPr>
                <w:spacing w:val="-5"/>
                <w:sz w:val="20"/>
              </w:rPr>
              <w:t>8.</w:t>
            </w:r>
            <w:r>
              <w:rPr>
                <w:sz w:val="20"/>
              </w:rPr>
              <w:tab/>
              <w:t>After</w:t>
            </w:r>
            <w:r>
              <w:rPr>
                <w:spacing w:val="-6"/>
                <w:sz w:val="20"/>
              </w:rPr>
              <w:t xml:space="preserve"> </w:t>
            </w:r>
            <w:r>
              <w:rPr>
                <w:sz w:val="20"/>
              </w:rPr>
              <w:t>drinking,</w:t>
            </w:r>
            <w:r>
              <w:rPr>
                <w:spacing w:val="-6"/>
                <w:sz w:val="20"/>
              </w:rPr>
              <w:t xml:space="preserve"> </w:t>
            </w:r>
            <w:r>
              <w:rPr>
                <w:sz w:val="20"/>
              </w:rPr>
              <w:t>I</w:t>
            </w:r>
            <w:r>
              <w:rPr>
                <w:spacing w:val="-5"/>
                <w:sz w:val="20"/>
              </w:rPr>
              <w:t xml:space="preserve"> </w:t>
            </w:r>
            <w:r>
              <w:rPr>
                <w:sz w:val="20"/>
              </w:rPr>
              <w:t>have</w:t>
            </w:r>
            <w:r>
              <w:rPr>
                <w:spacing w:val="-7"/>
                <w:sz w:val="20"/>
              </w:rPr>
              <w:t xml:space="preserve"> </w:t>
            </w:r>
            <w:r>
              <w:rPr>
                <w:sz w:val="20"/>
              </w:rPr>
              <w:t>had</w:t>
            </w:r>
            <w:r>
              <w:rPr>
                <w:spacing w:val="-5"/>
                <w:sz w:val="20"/>
              </w:rPr>
              <w:t xml:space="preserve"> </w:t>
            </w:r>
            <w:r>
              <w:rPr>
                <w:sz w:val="20"/>
              </w:rPr>
              <w:t>trouble</w:t>
            </w:r>
            <w:r>
              <w:rPr>
                <w:spacing w:val="-7"/>
                <w:sz w:val="20"/>
              </w:rPr>
              <w:t xml:space="preserve"> </w:t>
            </w:r>
            <w:r>
              <w:rPr>
                <w:sz w:val="20"/>
              </w:rPr>
              <w:t>with</w:t>
            </w:r>
            <w:r>
              <w:rPr>
                <w:spacing w:val="-5"/>
                <w:sz w:val="20"/>
              </w:rPr>
              <w:t xml:space="preserve"> </w:t>
            </w:r>
            <w:r>
              <w:rPr>
                <w:sz w:val="20"/>
              </w:rPr>
              <w:t>sleeping,</w:t>
            </w:r>
            <w:r>
              <w:rPr>
                <w:spacing w:val="-5"/>
                <w:sz w:val="20"/>
              </w:rPr>
              <w:t xml:space="preserve"> </w:t>
            </w:r>
            <w:r>
              <w:rPr>
                <w:sz w:val="20"/>
              </w:rPr>
              <w:t>staying</w:t>
            </w:r>
            <w:r>
              <w:rPr>
                <w:spacing w:val="-6"/>
                <w:sz w:val="20"/>
              </w:rPr>
              <w:t xml:space="preserve"> </w:t>
            </w:r>
            <w:r>
              <w:rPr>
                <w:sz w:val="20"/>
              </w:rPr>
              <w:t>asleep,</w:t>
            </w:r>
            <w:r>
              <w:rPr>
                <w:spacing w:val="-5"/>
                <w:sz w:val="20"/>
              </w:rPr>
              <w:t xml:space="preserve"> </w:t>
            </w:r>
            <w:r>
              <w:rPr>
                <w:sz w:val="20"/>
              </w:rPr>
              <w:t>or</w:t>
            </w:r>
            <w:r>
              <w:rPr>
                <w:spacing w:val="-6"/>
                <w:sz w:val="20"/>
              </w:rPr>
              <w:t xml:space="preserve"> </w:t>
            </w:r>
            <w:r>
              <w:rPr>
                <w:spacing w:val="-2"/>
                <w:sz w:val="20"/>
              </w:rPr>
              <w:t>nightmares.</w:t>
            </w:r>
          </w:p>
        </w:tc>
        <w:tc>
          <w:tcPr>
            <w:tcW w:w="1219" w:type="dxa"/>
            <w:tcBorders>
              <w:top w:val="single" w:sz="6" w:space="0" w:color="231F20"/>
              <w:bottom w:val="single" w:sz="6" w:space="0" w:color="231F20"/>
            </w:tcBorders>
          </w:tcPr>
          <w:p w14:paraId="17ACC286"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59AF4F91" w14:textId="77777777" w:rsidR="00DB6E1F" w:rsidRDefault="00F666A6">
            <w:pPr>
              <w:pStyle w:val="TableParagraph"/>
              <w:ind w:left="337"/>
              <w:rPr>
                <w:sz w:val="20"/>
              </w:rPr>
            </w:pPr>
            <w:r>
              <w:rPr>
                <w:w w:val="99"/>
                <w:sz w:val="20"/>
              </w:rPr>
              <w:t>1</w:t>
            </w:r>
          </w:p>
        </w:tc>
      </w:tr>
      <w:tr w:rsidR="00DB6E1F" w14:paraId="57E25C4A" w14:textId="77777777">
        <w:trPr>
          <w:trHeight w:val="273"/>
        </w:trPr>
        <w:tc>
          <w:tcPr>
            <w:tcW w:w="7458" w:type="dxa"/>
            <w:tcBorders>
              <w:top w:val="single" w:sz="6" w:space="0" w:color="231F20"/>
              <w:bottom w:val="single" w:sz="6" w:space="0" w:color="231F20"/>
            </w:tcBorders>
          </w:tcPr>
          <w:p w14:paraId="635B10B5" w14:textId="77777777" w:rsidR="00DB6E1F" w:rsidRDefault="00F666A6">
            <w:pPr>
              <w:pStyle w:val="TableParagraph"/>
              <w:tabs>
                <w:tab w:val="left" w:pos="465"/>
              </w:tabs>
              <w:ind w:left="14"/>
              <w:rPr>
                <w:sz w:val="20"/>
              </w:rPr>
            </w:pPr>
            <w:r>
              <w:rPr>
                <w:spacing w:val="-5"/>
                <w:sz w:val="20"/>
              </w:rPr>
              <w:t>9.</w:t>
            </w:r>
            <w:r>
              <w:rPr>
                <w:sz w:val="20"/>
              </w:rPr>
              <w:tab/>
              <w:t>I</w:t>
            </w:r>
            <w:r>
              <w:rPr>
                <w:spacing w:val="-5"/>
                <w:sz w:val="20"/>
              </w:rPr>
              <w:t xml:space="preserve"> </w:t>
            </w:r>
            <w:r>
              <w:rPr>
                <w:sz w:val="20"/>
              </w:rPr>
              <w:t>have</w:t>
            </w:r>
            <w:r>
              <w:rPr>
                <w:spacing w:val="-6"/>
                <w:sz w:val="20"/>
              </w:rPr>
              <w:t xml:space="preserve"> </w:t>
            </w:r>
            <w:r>
              <w:rPr>
                <w:sz w:val="20"/>
              </w:rPr>
              <w:t>driven</w:t>
            </w:r>
            <w:r>
              <w:rPr>
                <w:spacing w:val="-4"/>
                <w:sz w:val="20"/>
              </w:rPr>
              <w:t xml:space="preserve"> </w:t>
            </w:r>
            <w:r>
              <w:rPr>
                <w:sz w:val="20"/>
              </w:rPr>
              <w:t>a</w:t>
            </w:r>
            <w:r>
              <w:rPr>
                <w:spacing w:val="-5"/>
                <w:sz w:val="20"/>
              </w:rPr>
              <w:t xml:space="preserve"> </w:t>
            </w:r>
            <w:r>
              <w:rPr>
                <w:sz w:val="20"/>
              </w:rPr>
              <w:t>motor</w:t>
            </w:r>
            <w:r>
              <w:rPr>
                <w:spacing w:val="-5"/>
                <w:sz w:val="20"/>
              </w:rPr>
              <w:t xml:space="preserve"> </w:t>
            </w:r>
            <w:r>
              <w:rPr>
                <w:sz w:val="20"/>
              </w:rPr>
              <w:t>vehicle</w:t>
            </w:r>
            <w:r>
              <w:rPr>
                <w:spacing w:val="-3"/>
                <w:sz w:val="20"/>
              </w:rPr>
              <w:t xml:space="preserve"> </w:t>
            </w:r>
            <w:r>
              <w:rPr>
                <w:sz w:val="20"/>
              </w:rPr>
              <w:t>after</w:t>
            </w:r>
            <w:r>
              <w:rPr>
                <w:spacing w:val="-5"/>
                <w:sz w:val="20"/>
              </w:rPr>
              <w:t xml:space="preserve"> </w:t>
            </w:r>
            <w:r>
              <w:rPr>
                <w:sz w:val="20"/>
              </w:rPr>
              <w:t>having</w:t>
            </w:r>
            <w:r>
              <w:rPr>
                <w:spacing w:val="-5"/>
                <w:sz w:val="20"/>
              </w:rPr>
              <w:t xml:space="preserve"> </w:t>
            </w:r>
            <w:r>
              <w:rPr>
                <w:sz w:val="20"/>
              </w:rPr>
              <w:t>three</w:t>
            </w:r>
            <w:r>
              <w:rPr>
                <w:spacing w:val="-6"/>
                <w:sz w:val="20"/>
              </w:rPr>
              <w:t xml:space="preserve"> </w:t>
            </w:r>
            <w:r>
              <w:rPr>
                <w:sz w:val="20"/>
              </w:rPr>
              <w:t>or</w:t>
            </w:r>
            <w:r>
              <w:rPr>
                <w:spacing w:val="-5"/>
                <w:sz w:val="20"/>
              </w:rPr>
              <w:t xml:space="preserve"> </w:t>
            </w:r>
            <w:r>
              <w:rPr>
                <w:sz w:val="20"/>
              </w:rPr>
              <w:t>more</w:t>
            </w:r>
            <w:r>
              <w:rPr>
                <w:spacing w:val="-6"/>
                <w:sz w:val="20"/>
              </w:rPr>
              <w:t xml:space="preserve"> </w:t>
            </w:r>
            <w:r>
              <w:rPr>
                <w:spacing w:val="-2"/>
                <w:sz w:val="20"/>
              </w:rPr>
              <w:t>drinks.</w:t>
            </w:r>
          </w:p>
        </w:tc>
        <w:tc>
          <w:tcPr>
            <w:tcW w:w="1219" w:type="dxa"/>
            <w:tcBorders>
              <w:top w:val="single" w:sz="6" w:space="0" w:color="231F20"/>
              <w:bottom w:val="single" w:sz="6" w:space="0" w:color="231F20"/>
            </w:tcBorders>
          </w:tcPr>
          <w:p w14:paraId="379CDAAD"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177E0068" w14:textId="77777777" w:rsidR="00DB6E1F" w:rsidRDefault="00F666A6">
            <w:pPr>
              <w:pStyle w:val="TableParagraph"/>
              <w:ind w:left="337"/>
              <w:rPr>
                <w:sz w:val="20"/>
              </w:rPr>
            </w:pPr>
            <w:r>
              <w:rPr>
                <w:w w:val="99"/>
                <w:sz w:val="20"/>
              </w:rPr>
              <w:t>1</w:t>
            </w:r>
          </w:p>
        </w:tc>
      </w:tr>
      <w:tr w:rsidR="00DB6E1F" w14:paraId="78615B4D" w14:textId="77777777">
        <w:trPr>
          <w:trHeight w:val="273"/>
        </w:trPr>
        <w:tc>
          <w:tcPr>
            <w:tcW w:w="7458" w:type="dxa"/>
            <w:tcBorders>
              <w:top w:val="single" w:sz="6" w:space="0" w:color="231F20"/>
              <w:bottom w:val="single" w:sz="6" w:space="0" w:color="231F20"/>
            </w:tcBorders>
          </w:tcPr>
          <w:p w14:paraId="21FB59CD" w14:textId="77777777" w:rsidR="00DB6E1F" w:rsidRDefault="00F666A6">
            <w:pPr>
              <w:pStyle w:val="TableParagraph"/>
              <w:ind w:left="14"/>
              <w:rPr>
                <w:sz w:val="20"/>
              </w:rPr>
            </w:pPr>
            <w:r>
              <w:rPr>
                <w:sz w:val="20"/>
              </w:rPr>
              <w:t>10.</w:t>
            </w:r>
            <w:r>
              <w:rPr>
                <w:spacing w:val="47"/>
                <w:sz w:val="20"/>
              </w:rPr>
              <w:t xml:space="preserve">  </w:t>
            </w:r>
            <w:r>
              <w:rPr>
                <w:sz w:val="20"/>
              </w:rPr>
              <w:t>My</w:t>
            </w:r>
            <w:r>
              <w:rPr>
                <w:spacing w:val="-2"/>
                <w:sz w:val="20"/>
              </w:rPr>
              <w:t xml:space="preserve"> </w:t>
            </w:r>
            <w:r>
              <w:rPr>
                <w:sz w:val="20"/>
              </w:rPr>
              <w:t>drinking</w:t>
            </w:r>
            <w:r>
              <w:rPr>
                <w:spacing w:val="-3"/>
                <w:sz w:val="20"/>
              </w:rPr>
              <w:t xml:space="preserve"> </w:t>
            </w:r>
            <w:r>
              <w:rPr>
                <w:sz w:val="20"/>
              </w:rPr>
              <w:t>has</w:t>
            </w:r>
            <w:r>
              <w:rPr>
                <w:spacing w:val="-4"/>
                <w:sz w:val="20"/>
              </w:rPr>
              <w:t xml:space="preserve"> </w:t>
            </w:r>
            <w:r>
              <w:rPr>
                <w:sz w:val="20"/>
              </w:rPr>
              <w:t>caused</w:t>
            </w:r>
            <w:r>
              <w:rPr>
                <w:spacing w:val="-2"/>
                <w:sz w:val="20"/>
              </w:rPr>
              <w:t xml:space="preserve"> </w:t>
            </w:r>
            <w:r>
              <w:rPr>
                <w:sz w:val="20"/>
              </w:rPr>
              <w:t>me</w:t>
            </w:r>
            <w:r>
              <w:rPr>
                <w:spacing w:val="-4"/>
                <w:sz w:val="20"/>
              </w:rPr>
              <w:t xml:space="preserve"> </w:t>
            </w:r>
            <w:r>
              <w:rPr>
                <w:sz w:val="20"/>
              </w:rPr>
              <w:t>to use</w:t>
            </w:r>
            <w:r>
              <w:rPr>
                <w:spacing w:val="-4"/>
                <w:sz w:val="20"/>
              </w:rPr>
              <w:t xml:space="preserve"> </w:t>
            </w:r>
            <w:r>
              <w:rPr>
                <w:sz w:val="20"/>
              </w:rPr>
              <w:t>other</w:t>
            </w:r>
            <w:r>
              <w:rPr>
                <w:spacing w:val="-3"/>
                <w:sz w:val="20"/>
              </w:rPr>
              <w:t xml:space="preserve"> </w:t>
            </w:r>
            <w:r>
              <w:rPr>
                <w:sz w:val="20"/>
              </w:rPr>
              <w:t>drugs</w:t>
            </w:r>
            <w:r>
              <w:rPr>
                <w:spacing w:val="-4"/>
                <w:sz w:val="20"/>
              </w:rPr>
              <w:t xml:space="preserve"> more.</w:t>
            </w:r>
          </w:p>
        </w:tc>
        <w:tc>
          <w:tcPr>
            <w:tcW w:w="1219" w:type="dxa"/>
            <w:tcBorders>
              <w:top w:val="single" w:sz="6" w:space="0" w:color="231F20"/>
              <w:bottom w:val="single" w:sz="6" w:space="0" w:color="231F20"/>
            </w:tcBorders>
          </w:tcPr>
          <w:p w14:paraId="42B0DBEC"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15F1CD65" w14:textId="77777777" w:rsidR="00DB6E1F" w:rsidRDefault="00F666A6">
            <w:pPr>
              <w:pStyle w:val="TableParagraph"/>
              <w:ind w:left="337"/>
              <w:rPr>
                <w:sz w:val="20"/>
              </w:rPr>
            </w:pPr>
            <w:r>
              <w:rPr>
                <w:w w:val="99"/>
                <w:sz w:val="20"/>
              </w:rPr>
              <w:t>1</w:t>
            </w:r>
          </w:p>
        </w:tc>
      </w:tr>
      <w:tr w:rsidR="00DB6E1F" w14:paraId="43488795" w14:textId="77777777">
        <w:trPr>
          <w:trHeight w:val="272"/>
        </w:trPr>
        <w:tc>
          <w:tcPr>
            <w:tcW w:w="7458" w:type="dxa"/>
            <w:tcBorders>
              <w:top w:val="single" w:sz="6" w:space="0" w:color="231F20"/>
              <w:bottom w:val="single" w:sz="6" w:space="0" w:color="231F20"/>
            </w:tcBorders>
          </w:tcPr>
          <w:p w14:paraId="49F8A158" w14:textId="77777777" w:rsidR="00DB6E1F" w:rsidRDefault="00F666A6">
            <w:pPr>
              <w:pStyle w:val="TableParagraph"/>
              <w:ind w:left="14"/>
              <w:rPr>
                <w:sz w:val="20"/>
              </w:rPr>
            </w:pPr>
            <w:r>
              <w:rPr>
                <w:sz w:val="20"/>
              </w:rPr>
              <w:t>11.</w:t>
            </w:r>
            <w:r>
              <w:rPr>
                <w:spacing w:val="46"/>
                <w:sz w:val="20"/>
              </w:rPr>
              <w:t xml:space="preserve">  </w:t>
            </w:r>
            <w:r>
              <w:rPr>
                <w:sz w:val="20"/>
              </w:rPr>
              <w:t>I</w:t>
            </w:r>
            <w:r>
              <w:rPr>
                <w:spacing w:val="-3"/>
                <w:sz w:val="20"/>
              </w:rPr>
              <w:t xml:space="preserve"> </w:t>
            </w:r>
            <w:r>
              <w:rPr>
                <w:sz w:val="20"/>
              </w:rPr>
              <w:t>have</w:t>
            </w:r>
            <w:r>
              <w:rPr>
                <w:spacing w:val="-5"/>
                <w:sz w:val="20"/>
              </w:rPr>
              <w:t xml:space="preserve"> </w:t>
            </w:r>
            <w:r>
              <w:rPr>
                <w:sz w:val="20"/>
              </w:rPr>
              <w:t>been</w:t>
            </w:r>
            <w:r>
              <w:rPr>
                <w:spacing w:val="-2"/>
                <w:sz w:val="20"/>
              </w:rPr>
              <w:t xml:space="preserve"> </w:t>
            </w:r>
            <w:r>
              <w:rPr>
                <w:sz w:val="20"/>
              </w:rPr>
              <w:t>sick</w:t>
            </w:r>
            <w:r>
              <w:rPr>
                <w:spacing w:val="-3"/>
                <w:sz w:val="20"/>
              </w:rPr>
              <w:t xml:space="preserve"> </w:t>
            </w:r>
            <w:r>
              <w:rPr>
                <w:sz w:val="20"/>
              </w:rPr>
              <w:t>and</w:t>
            </w:r>
            <w:r>
              <w:rPr>
                <w:spacing w:val="-2"/>
                <w:sz w:val="20"/>
              </w:rPr>
              <w:t xml:space="preserve"> </w:t>
            </w:r>
            <w:r>
              <w:rPr>
                <w:sz w:val="20"/>
              </w:rPr>
              <w:t>vomited</w:t>
            </w:r>
            <w:r>
              <w:rPr>
                <w:spacing w:val="-3"/>
                <w:sz w:val="20"/>
              </w:rPr>
              <w:t xml:space="preserve"> </w:t>
            </w:r>
            <w:r>
              <w:rPr>
                <w:sz w:val="20"/>
              </w:rPr>
              <w:t>after</w:t>
            </w:r>
            <w:r>
              <w:rPr>
                <w:spacing w:val="-3"/>
                <w:sz w:val="20"/>
              </w:rPr>
              <w:t xml:space="preserve"> </w:t>
            </w:r>
            <w:r>
              <w:rPr>
                <w:spacing w:val="-2"/>
                <w:sz w:val="20"/>
              </w:rPr>
              <w:t>drinking.</w:t>
            </w:r>
          </w:p>
        </w:tc>
        <w:tc>
          <w:tcPr>
            <w:tcW w:w="1219" w:type="dxa"/>
            <w:tcBorders>
              <w:top w:val="single" w:sz="6" w:space="0" w:color="231F20"/>
              <w:bottom w:val="single" w:sz="6" w:space="0" w:color="231F20"/>
            </w:tcBorders>
          </w:tcPr>
          <w:p w14:paraId="625276EC"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10A9204B" w14:textId="77777777" w:rsidR="00DB6E1F" w:rsidRDefault="00F666A6">
            <w:pPr>
              <w:pStyle w:val="TableParagraph"/>
              <w:ind w:left="337"/>
              <w:rPr>
                <w:sz w:val="20"/>
              </w:rPr>
            </w:pPr>
            <w:r>
              <w:rPr>
                <w:w w:val="99"/>
                <w:sz w:val="20"/>
              </w:rPr>
              <w:t>1</w:t>
            </w:r>
          </w:p>
        </w:tc>
      </w:tr>
      <w:tr w:rsidR="00DB6E1F" w14:paraId="63C641B7" w14:textId="77777777">
        <w:trPr>
          <w:trHeight w:val="272"/>
        </w:trPr>
        <w:tc>
          <w:tcPr>
            <w:tcW w:w="7458" w:type="dxa"/>
            <w:tcBorders>
              <w:top w:val="single" w:sz="6" w:space="0" w:color="231F20"/>
              <w:bottom w:val="single" w:sz="6" w:space="0" w:color="231F20"/>
            </w:tcBorders>
          </w:tcPr>
          <w:p w14:paraId="50862AA8" w14:textId="77777777" w:rsidR="00DB6E1F" w:rsidRDefault="00F666A6">
            <w:pPr>
              <w:pStyle w:val="TableParagraph"/>
              <w:ind w:left="14"/>
              <w:rPr>
                <w:sz w:val="20"/>
              </w:rPr>
            </w:pPr>
            <w:r>
              <w:rPr>
                <w:sz w:val="20"/>
              </w:rPr>
              <w:t>12.</w:t>
            </w:r>
            <w:r>
              <w:rPr>
                <w:spacing w:val="46"/>
                <w:sz w:val="20"/>
              </w:rPr>
              <w:t xml:space="preserve">  </w:t>
            </w:r>
            <w:r>
              <w:rPr>
                <w:sz w:val="20"/>
              </w:rPr>
              <w:t>I</w:t>
            </w:r>
            <w:r>
              <w:rPr>
                <w:spacing w:val="-4"/>
                <w:sz w:val="20"/>
              </w:rPr>
              <w:t xml:space="preserve"> </w:t>
            </w:r>
            <w:r>
              <w:rPr>
                <w:sz w:val="20"/>
              </w:rPr>
              <w:t>have</w:t>
            </w:r>
            <w:r>
              <w:rPr>
                <w:spacing w:val="-4"/>
                <w:sz w:val="20"/>
              </w:rPr>
              <w:t xml:space="preserve"> </w:t>
            </w:r>
            <w:r>
              <w:rPr>
                <w:sz w:val="20"/>
              </w:rPr>
              <w:t>been</w:t>
            </w:r>
            <w:r>
              <w:rPr>
                <w:spacing w:val="-3"/>
                <w:sz w:val="20"/>
              </w:rPr>
              <w:t xml:space="preserve"> </w:t>
            </w:r>
            <w:r>
              <w:rPr>
                <w:sz w:val="20"/>
              </w:rPr>
              <w:t>unhappy</w:t>
            </w:r>
            <w:r>
              <w:rPr>
                <w:spacing w:val="-2"/>
                <w:sz w:val="20"/>
              </w:rPr>
              <w:t xml:space="preserve"> </w:t>
            </w:r>
            <w:r>
              <w:rPr>
                <w:sz w:val="20"/>
              </w:rPr>
              <w:t>because</w:t>
            </w:r>
            <w:r>
              <w:rPr>
                <w:spacing w:val="-5"/>
                <w:sz w:val="20"/>
              </w:rPr>
              <w:t xml:space="preserve"> </w:t>
            </w:r>
            <w:r>
              <w:rPr>
                <w:sz w:val="20"/>
              </w:rPr>
              <w:t>of</w:t>
            </w:r>
            <w:r>
              <w:rPr>
                <w:spacing w:val="-4"/>
                <w:sz w:val="20"/>
              </w:rPr>
              <w:t xml:space="preserve"> </w:t>
            </w:r>
            <w:r>
              <w:rPr>
                <w:sz w:val="20"/>
              </w:rPr>
              <w:t>my</w:t>
            </w:r>
            <w:r>
              <w:rPr>
                <w:spacing w:val="-3"/>
                <w:sz w:val="20"/>
              </w:rPr>
              <w:t xml:space="preserve"> </w:t>
            </w:r>
            <w:r>
              <w:rPr>
                <w:spacing w:val="-2"/>
                <w:sz w:val="20"/>
              </w:rPr>
              <w:t>drinking.</w:t>
            </w:r>
          </w:p>
        </w:tc>
        <w:tc>
          <w:tcPr>
            <w:tcW w:w="1219" w:type="dxa"/>
            <w:tcBorders>
              <w:top w:val="single" w:sz="6" w:space="0" w:color="231F20"/>
              <w:bottom w:val="single" w:sz="6" w:space="0" w:color="231F20"/>
            </w:tcBorders>
          </w:tcPr>
          <w:p w14:paraId="461F4C77"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39C55E7A" w14:textId="77777777" w:rsidR="00DB6E1F" w:rsidRDefault="00F666A6">
            <w:pPr>
              <w:pStyle w:val="TableParagraph"/>
              <w:ind w:left="337"/>
              <w:rPr>
                <w:sz w:val="20"/>
              </w:rPr>
            </w:pPr>
            <w:r>
              <w:rPr>
                <w:w w:val="99"/>
                <w:sz w:val="20"/>
              </w:rPr>
              <w:t>1</w:t>
            </w:r>
          </w:p>
        </w:tc>
      </w:tr>
      <w:tr w:rsidR="00DB6E1F" w14:paraId="13D55D71" w14:textId="77777777">
        <w:trPr>
          <w:trHeight w:val="273"/>
        </w:trPr>
        <w:tc>
          <w:tcPr>
            <w:tcW w:w="7458" w:type="dxa"/>
            <w:tcBorders>
              <w:top w:val="single" w:sz="6" w:space="0" w:color="231F20"/>
              <w:bottom w:val="single" w:sz="6" w:space="0" w:color="231F20"/>
            </w:tcBorders>
          </w:tcPr>
          <w:p w14:paraId="47D3E9B0" w14:textId="77777777" w:rsidR="00DB6E1F" w:rsidRDefault="00F666A6">
            <w:pPr>
              <w:pStyle w:val="TableParagraph"/>
              <w:ind w:left="14"/>
              <w:rPr>
                <w:sz w:val="20"/>
              </w:rPr>
            </w:pPr>
            <w:r>
              <w:rPr>
                <w:sz w:val="20"/>
              </w:rPr>
              <w:t>13.</w:t>
            </w:r>
            <w:r>
              <w:rPr>
                <w:spacing w:val="46"/>
                <w:sz w:val="20"/>
              </w:rPr>
              <w:t xml:space="preserve">  </w:t>
            </w:r>
            <w:r>
              <w:rPr>
                <w:sz w:val="20"/>
              </w:rPr>
              <w:t>Because</w:t>
            </w:r>
            <w:r>
              <w:rPr>
                <w:spacing w:val="-4"/>
                <w:sz w:val="20"/>
              </w:rPr>
              <w:t xml:space="preserve"> </w:t>
            </w:r>
            <w:r>
              <w:rPr>
                <w:sz w:val="20"/>
              </w:rPr>
              <w:t>of</w:t>
            </w:r>
            <w:r>
              <w:rPr>
                <w:spacing w:val="-4"/>
                <w:sz w:val="20"/>
              </w:rPr>
              <w:t xml:space="preserve"> </w:t>
            </w:r>
            <w:r>
              <w:rPr>
                <w:sz w:val="20"/>
              </w:rPr>
              <w:t>my</w:t>
            </w:r>
            <w:r>
              <w:rPr>
                <w:spacing w:val="-3"/>
                <w:sz w:val="20"/>
              </w:rPr>
              <w:t xml:space="preserve"> </w:t>
            </w:r>
            <w:r>
              <w:rPr>
                <w:sz w:val="20"/>
              </w:rPr>
              <w:t>drinking,</w:t>
            </w:r>
            <w:r>
              <w:rPr>
                <w:spacing w:val="-2"/>
                <w:sz w:val="20"/>
              </w:rPr>
              <w:t xml:space="preserve"> </w:t>
            </w:r>
            <w:r>
              <w:rPr>
                <w:sz w:val="20"/>
              </w:rPr>
              <w:t>I</w:t>
            </w:r>
            <w:r>
              <w:rPr>
                <w:spacing w:val="-4"/>
                <w:sz w:val="20"/>
              </w:rPr>
              <w:t xml:space="preserve"> </w:t>
            </w:r>
            <w:r>
              <w:rPr>
                <w:sz w:val="20"/>
              </w:rPr>
              <w:t>have</w:t>
            </w:r>
            <w:r>
              <w:rPr>
                <w:spacing w:val="-4"/>
                <w:sz w:val="20"/>
              </w:rPr>
              <w:t xml:space="preserve"> </w:t>
            </w:r>
            <w:r>
              <w:rPr>
                <w:sz w:val="20"/>
              </w:rPr>
              <w:t>not</w:t>
            </w:r>
            <w:r>
              <w:rPr>
                <w:spacing w:val="-4"/>
                <w:sz w:val="20"/>
              </w:rPr>
              <w:t xml:space="preserve"> </w:t>
            </w:r>
            <w:r>
              <w:rPr>
                <w:sz w:val="20"/>
              </w:rPr>
              <w:t>eaten</w:t>
            </w:r>
            <w:r>
              <w:rPr>
                <w:spacing w:val="-2"/>
                <w:sz w:val="20"/>
              </w:rPr>
              <w:t xml:space="preserve"> properly.</w:t>
            </w:r>
          </w:p>
        </w:tc>
        <w:tc>
          <w:tcPr>
            <w:tcW w:w="1219" w:type="dxa"/>
            <w:tcBorders>
              <w:top w:val="single" w:sz="6" w:space="0" w:color="231F20"/>
              <w:bottom w:val="single" w:sz="6" w:space="0" w:color="231F20"/>
            </w:tcBorders>
          </w:tcPr>
          <w:p w14:paraId="27B8E778"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7B94BAF6" w14:textId="77777777" w:rsidR="00DB6E1F" w:rsidRDefault="00F666A6">
            <w:pPr>
              <w:pStyle w:val="TableParagraph"/>
              <w:ind w:left="337"/>
              <w:rPr>
                <w:sz w:val="20"/>
              </w:rPr>
            </w:pPr>
            <w:r>
              <w:rPr>
                <w:w w:val="99"/>
                <w:sz w:val="20"/>
              </w:rPr>
              <w:t>1</w:t>
            </w:r>
          </w:p>
        </w:tc>
      </w:tr>
      <w:tr w:rsidR="00DB6E1F" w14:paraId="5BF8DBCC" w14:textId="77777777">
        <w:trPr>
          <w:trHeight w:val="272"/>
        </w:trPr>
        <w:tc>
          <w:tcPr>
            <w:tcW w:w="7458" w:type="dxa"/>
            <w:tcBorders>
              <w:top w:val="single" w:sz="6" w:space="0" w:color="231F20"/>
              <w:bottom w:val="single" w:sz="6" w:space="0" w:color="231F20"/>
            </w:tcBorders>
          </w:tcPr>
          <w:p w14:paraId="7B6E6514" w14:textId="77777777" w:rsidR="00DB6E1F" w:rsidRDefault="00F666A6">
            <w:pPr>
              <w:pStyle w:val="TableParagraph"/>
              <w:ind w:left="14"/>
              <w:rPr>
                <w:sz w:val="20"/>
              </w:rPr>
            </w:pPr>
            <w:r>
              <w:rPr>
                <w:sz w:val="20"/>
              </w:rPr>
              <w:t>14.</w:t>
            </w:r>
            <w:r>
              <w:rPr>
                <w:spacing w:val="46"/>
                <w:sz w:val="20"/>
              </w:rPr>
              <w:t xml:space="preserve">  </w:t>
            </w:r>
            <w:r>
              <w:rPr>
                <w:sz w:val="20"/>
              </w:rPr>
              <w:t>I</w:t>
            </w:r>
            <w:r>
              <w:rPr>
                <w:spacing w:val="-2"/>
                <w:sz w:val="20"/>
              </w:rPr>
              <w:t xml:space="preserve"> </w:t>
            </w:r>
            <w:r>
              <w:rPr>
                <w:sz w:val="20"/>
              </w:rPr>
              <w:t>have</w:t>
            </w:r>
            <w:r>
              <w:rPr>
                <w:spacing w:val="-5"/>
                <w:sz w:val="20"/>
              </w:rPr>
              <w:t xml:space="preserve"> </w:t>
            </w:r>
            <w:r>
              <w:rPr>
                <w:sz w:val="20"/>
              </w:rPr>
              <w:t>failed</w:t>
            </w:r>
            <w:r>
              <w:rPr>
                <w:spacing w:val="-2"/>
                <w:sz w:val="20"/>
              </w:rPr>
              <w:t xml:space="preserve"> </w:t>
            </w:r>
            <w:r>
              <w:rPr>
                <w:sz w:val="20"/>
              </w:rPr>
              <w:t>to</w:t>
            </w:r>
            <w:r>
              <w:rPr>
                <w:spacing w:val="-3"/>
                <w:sz w:val="20"/>
              </w:rPr>
              <w:t xml:space="preserve"> </w:t>
            </w:r>
            <w:r>
              <w:rPr>
                <w:sz w:val="20"/>
              </w:rPr>
              <w:t>do</w:t>
            </w:r>
            <w:r>
              <w:rPr>
                <w:spacing w:val="-4"/>
                <w:sz w:val="20"/>
              </w:rPr>
              <w:t xml:space="preserve"> </w:t>
            </w:r>
            <w:r>
              <w:rPr>
                <w:sz w:val="20"/>
              </w:rPr>
              <w:t>what</w:t>
            </w:r>
            <w:r>
              <w:rPr>
                <w:spacing w:val="-3"/>
                <w:sz w:val="20"/>
              </w:rPr>
              <w:t xml:space="preserve"> </w:t>
            </w:r>
            <w:r>
              <w:rPr>
                <w:sz w:val="20"/>
              </w:rPr>
              <w:t>is</w:t>
            </w:r>
            <w:r>
              <w:rPr>
                <w:spacing w:val="-4"/>
                <w:sz w:val="20"/>
              </w:rPr>
              <w:t xml:space="preserve"> </w:t>
            </w:r>
            <w:r>
              <w:rPr>
                <w:sz w:val="20"/>
              </w:rPr>
              <w:t>expected</w:t>
            </w:r>
            <w:r>
              <w:rPr>
                <w:spacing w:val="-2"/>
                <w:sz w:val="20"/>
              </w:rPr>
              <w:t xml:space="preserve"> </w:t>
            </w:r>
            <w:r>
              <w:rPr>
                <w:sz w:val="20"/>
              </w:rPr>
              <w:t>of</w:t>
            </w:r>
            <w:r>
              <w:rPr>
                <w:spacing w:val="-3"/>
                <w:sz w:val="20"/>
              </w:rPr>
              <w:t xml:space="preserve"> </w:t>
            </w:r>
            <w:r>
              <w:rPr>
                <w:sz w:val="20"/>
              </w:rPr>
              <w:t>me</w:t>
            </w:r>
            <w:r>
              <w:rPr>
                <w:spacing w:val="-4"/>
                <w:sz w:val="20"/>
              </w:rPr>
              <w:t xml:space="preserve"> </w:t>
            </w:r>
            <w:r>
              <w:rPr>
                <w:sz w:val="20"/>
              </w:rPr>
              <w:t>because</w:t>
            </w:r>
            <w:r>
              <w:rPr>
                <w:spacing w:val="-4"/>
                <w:sz w:val="20"/>
              </w:rPr>
              <w:t xml:space="preserve"> </w:t>
            </w:r>
            <w:r>
              <w:rPr>
                <w:sz w:val="20"/>
              </w:rPr>
              <w:t>of</w:t>
            </w:r>
            <w:r>
              <w:rPr>
                <w:spacing w:val="-3"/>
                <w:sz w:val="20"/>
              </w:rPr>
              <w:t xml:space="preserve"> </w:t>
            </w:r>
            <w:r>
              <w:rPr>
                <w:sz w:val="20"/>
              </w:rPr>
              <w:t>my</w:t>
            </w:r>
            <w:r>
              <w:rPr>
                <w:spacing w:val="-2"/>
                <w:sz w:val="20"/>
              </w:rPr>
              <w:t xml:space="preserve"> drinking.</w:t>
            </w:r>
          </w:p>
        </w:tc>
        <w:tc>
          <w:tcPr>
            <w:tcW w:w="1219" w:type="dxa"/>
            <w:tcBorders>
              <w:top w:val="single" w:sz="6" w:space="0" w:color="231F20"/>
              <w:bottom w:val="single" w:sz="6" w:space="0" w:color="231F20"/>
            </w:tcBorders>
          </w:tcPr>
          <w:p w14:paraId="5528B6D6" w14:textId="77777777" w:rsidR="00DB6E1F" w:rsidRDefault="00F666A6">
            <w:pPr>
              <w:pStyle w:val="TableParagraph"/>
              <w:ind w:left="644"/>
              <w:rPr>
                <w:sz w:val="20"/>
              </w:rPr>
            </w:pPr>
            <w:r>
              <w:rPr>
                <w:w w:val="99"/>
                <w:sz w:val="20"/>
              </w:rPr>
              <w:t>0</w:t>
            </w:r>
          </w:p>
        </w:tc>
        <w:tc>
          <w:tcPr>
            <w:tcW w:w="786" w:type="dxa"/>
            <w:tcBorders>
              <w:top w:val="single" w:sz="6" w:space="0" w:color="231F20"/>
              <w:bottom w:val="single" w:sz="6" w:space="0" w:color="231F20"/>
            </w:tcBorders>
          </w:tcPr>
          <w:p w14:paraId="15FB1247" w14:textId="77777777" w:rsidR="00DB6E1F" w:rsidRDefault="00F666A6">
            <w:pPr>
              <w:pStyle w:val="TableParagraph"/>
              <w:ind w:left="337"/>
              <w:rPr>
                <w:sz w:val="20"/>
              </w:rPr>
            </w:pPr>
            <w:r>
              <w:rPr>
                <w:w w:val="99"/>
                <w:sz w:val="20"/>
              </w:rPr>
              <w:t>1</w:t>
            </w:r>
          </w:p>
        </w:tc>
      </w:tr>
      <w:tr w:rsidR="00DB6E1F" w14:paraId="38699118" w14:textId="77777777">
        <w:trPr>
          <w:trHeight w:val="273"/>
        </w:trPr>
        <w:tc>
          <w:tcPr>
            <w:tcW w:w="7458" w:type="dxa"/>
            <w:tcBorders>
              <w:top w:val="single" w:sz="6" w:space="0" w:color="231F20"/>
              <w:bottom w:val="single" w:sz="4" w:space="0" w:color="231F20"/>
            </w:tcBorders>
          </w:tcPr>
          <w:p w14:paraId="75150F2D" w14:textId="77777777" w:rsidR="00DB6E1F" w:rsidRDefault="00F666A6">
            <w:pPr>
              <w:pStyle w:val="TableParagraph"/>
              <w:spacing w:before="6"/>
              <w:ind w:left="14"/>
              <w:rPr>
                <w:sz w:val="20"/>
              </w:rPr>
            </w:pPr>
            <w:r>
              <w:rPr>
                <w:sz w:val="20"/>
              </w:rPr>
              <w:t>15.</w:t>
            </w:r>
            <w:r>
              <w:rPr>
                <w:spacing w:val="48"/>
                <w:sz w:val="20"/>
              </w:rPr>
              <w:t xml:space="preserve">  </w:t>
            </w:r>
            <w:r>
              <w:rPr>
                <w:sz w:val="20"/>
              </w:rPr>
              <w:t>Drinking</w:t>
            </w:r>
            <w:r>
              <w:rPr>
                <w:spacing w:val="-2"/>
                <w:sz w:val="20"/>
              </w:rPr>
              <w:t xml:space="preserve"> </w:t>
            </w:r>
            <w:r>
              <w:rPr>
                <w:sz w:val="20"/>
              </w:rPr>
              <w:t>has</w:t>
            </w:r>
            <w:r>
              <w:rPr>
                <w:spacing w:val="-4"/>
                <w:sz w:val="20"/>
              </w:rPr>
              <w:t xml:space="preserve"> </w:t>
            </w:r>
            <w:r>
              <w:rPr>
                <w:sz w:val="20"/>
              </w:rPr>
              <w:t>helped</w:t>
            </w:r>
            <w:r>
              <w:rPr>
                <w:spacing w:val="-2"/>
                <w:sz w:val="20"/>
              </w:rPr>
              <w:t xml:space="preserve"> </w:t>
            </w:r>
            <w:r>
              <w:rPr>
                <w:sz w:val="20"/>
              </w:rPr>
              <w:t>me</w:t>
            </w:r>
            <w:r>
              <w:rPr>
                <w:spacing w:val="-3"/>
                <w:sz w:val="20"/>
              </w:rPr>
              <w:t xml:space="preserve"> </w:t>
            </w:r>
            <w:r>
              <w:rPr>
                <w:sz w:val="20"/>
              </w:rPr>
              <w:t>to</w:t>
            </w:r>
            <w:r>
              <w:rPr>
                <w:spacing w:val="-2"/>
                <w:sz w:val="20"/>
              </w:rPr>
              <w:t xml:space="preserve"> relax.</w:t>
            </w:r>
          </w:p>
        </w:tc>
        <w:tc>
          <w:tcPr>
            <w:tcW w:w="1219" w:type="dxa"/>
            <w:tcBorders>
              <w:top w:val="single" w:sz="6" w:space="0" w:color="231F20"/>
              <w:bottom w:val="single" w:sz="4" w:space="0" w:color="231F20"/>
            </w:tcBorders>
          </w:tcPr>
          <w:p w14:paraId="43F42B08" w14:textId="77777777" w:rsidR="00DB6E1F" w:rsidRDefault="00F666A6">
            <w:pPr>
              <w:pStyle w:val="TableParagraph"/>
              <w:spacing w:before="6"/>
              <w:ind w:left="644"/>
              <w:rPr>
                <w:sz w:val="20"/>
              </w:rPr>
            </w:pPr>
            <w:r>
              <w:rPr>
                <w:w w:val="99"/>
                <w:sz w:val="20"/>
              </w:rPr>
              <w:t>0</w:t>
            </w:r>
          </w:p>
        </w:tc>
        <w:tc>
          <w:tcPr>
            <w:tcW w:w="786" w:type="dxa"/>
            <w:tcBorders>
              <w:top w:val="single" w:sz="6" w:space="0" w:color="231F20"/>
              <w:bottom w:val="single" w:sz="4" w:space="0" w:color="231F20"/>
            </w:tcBorders>
          </w:tcPr>
          <w:p w14:paraId="0923AB26" w14:textId="77777777" w:rsidR="00DB6E1F" w:rsidRDefault="00F666A6">
            <w:pPr>
              <w:pStyle w:val="TableParagraph"/>
              <w:spacing w:before="6"/>
              <w:ind w:left="337"/>
              <w:rPr>
                <w:sz w:val="20"/>
              </w:rPr>
            </w:pPr>
            <w:r>
              <w:rPr>
                <w:w w:val="99"/>
                <w:sz w:val="20"/>
              </w:rPr>
              <w:t>1</w:t>
            </w:r>
          </w:p>
        </w:tc>
      </w:tr>
      <w:tr w:rsidR="00DB6E1F" w14:paraId="7D222193" w14:textId="77777777">
        <w:trPr>
          <w:trHeight w:val="277"/>
        </w:trPr>
        <w:tc>
          <w:tcPr>
            <w:tcW w:w="7458" w:type="dxa"/>
            <w:tcBorders>
              <w:top w:val="single" w:sz="4" w:space="0" w:color="231F20"/>
              <w:bottom w:val="single" w:sz="4" w:space="0" w:color="231F20"/>
            </w:tcBorders>
          </w:tcPr>
          <w:p w14:paraId="44F019B7" w14:textId="77777777" w:rsidR="00DB6E1F" w:rsidRDefault="00F666A6">
            <w:pPr>
              <w:pStyle w:val="TableParagraph"/>
              <w:spacing w:before="8"/>
              <w:ind w:left="14"/>
              <w:rPr>
                <w:sz w:val="20"/>
              </w:rPr>
            </w:pPr>
            <w:r>
              <w:rPr>
                <w:sz w:val="20"/>
              </w:rPr>
              <w:t>16.</w:t>
            </w:r>
            <w:r>
              <w:rPr>
                <w:spacing w:val="46"/>
                <w:sz w:val="20"/>
              </w:rPr>
              <w:t xml:space="preserve">  </w:t>
            </w:r>
            <w:r>
              <w:rPr>
                <w:sz w:val="20"/>
              </w:rPr>
              <w:t>I</w:t>
            </w:r>
            <w:r>
              <w:rPr>
                <w:spacing w:val="-3"/>
                <w:sz w:val="20"/>
              </w:rPr>
              <w:t xml:space="preserve"> </w:t>
            </w:r>
            <w:r>
              <w:rPr>
                <w:sz w:val="20"/>
              </w:rPr>
              <w:t>have</w:t>
            </w:r>
            <w:r>
              <w:rPr>
                <w:spacing w:val="-5"/>
                <w:sz w:val="20"/>
              </w:rPr>
              <w:t xml:space="preserve"> </w:t>
            </w:r>
            <w:r>
              <w:rPr>
                <w:sz w:val="20"/>
              </w:rPr>
              <w:t>felt</w:t>
            </w:r>
            <w:r>
              <w:rPr>
                <w:spacing w:val="-3"/>
                <w:sz w:val="20"/>
              </w:rPr>
              <w:t xml:space="preserve"> </w:t>
            </w:r>
            <w:r>
              <w:rPr>
                <w:sz w:val="20"/>
              </w:rPr>
              <w:t>guilty</w:t>
            </w:r>
            <w:r>
              <w:rPr>
                <w:spacing w:val="-3"/>
                <w:sz w:val="20"/>
              </w:rPr>
              <w:t xml:space="preserve"> </w:t>
            </w:r>
            <w:r>
              <w:rPr>
                <w:sz w:val="20"/>
              </w:rPr>
              <w:t>or</w:t>
            </w:r>
            <w:r>
              <w:rPr>
                <w:spacing w:val="-3"/>
                <w:sz w:val="20"/>
              </w:rPr>
              <w:t xml:space="preserve"> </w:t>
            </w:r>
            <w:r>
              <w:rPr>
                <w:sz w:val="20"/>
              </w:rPr>
              <w:t>ashamed</w:t>
            </w:r>
            <w:r>
              <w:rPr>
                <w:spacing w:val="-3"/>
                <w:sz w:val="20"/>
              </w:rPr>
              <w:t xml:space="preserve"> </w:t>
            </w:r>
            <w:r>
              <w:rPr>
                <w:sz w:val="20"/>
              </w:rPr>
              <w:t>because</w:t>
            </w:r>
            <w:r>
              <w:rPr>
                <w:spacing w:val="-4"/>
                <w:sz w:val="20"/>
              </w:rPr>
              <w:t xml:space="preserve"> </w:t>
            </w:r>
            <w:r>
              <w:rPr>
                <w:sz w:val="20"/>
              </w:rPr>
              <w:t>of</w:t>
            </w:r>
            <w:r>
              <w:rPr>
                <w:spacing w:val="-4"/>
                <w:sz w:val="20"/>
              </w:rPr>
              <w:t xml:space="preserve"> </w:t>
            </w:r>
            <w:r>
              <w:rPr>
                <w:sz w:val="20"/>
              </w:rPr>
              <w:t>my</w:t>
            </w:r>
            <w:r>
              <w:rPr>
                <w:spacing w:val="-3"/>
                <w:sz w:val="20"/>
              </w:rPr>
              <w:t xml:space="preserve"> </w:t>
            </w:r>
            <w:r>
              <w:rPr>
                <w:spacing w:val="-2"/>
                <w:sz w:val="20"/>
              </w:rPr>
              <w:t>drinking.</w:t>
            </w:r>
          </w:p>
        </w:tc>
        <w:tc>
          <w:tcPr>
            <w:tcW w:w="1219" w:type="dxa"/>
            <w:tcBorders>
              <w:top w:val="single" w:sz="4" w:space="0" w:color="231F20"/>
              <w:bottom w:val="single" w:sz="4" w:space="0" w:color="231F20"/>
            </w:tcBorders>
          </w:tcPr>
          <w:p w14:paraId="4A174CB5"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7AE6A3AD" w14:textId="77777777" w:rsidR="00DB6E1F" w:rsidRDefault="00F666A6">
            <w:pPr>
              <w:pStyle w:val="TableParagraph"/>
              <w:spacing w:before="8"/>
              <w:ind w:left="337"/>
              <w:rPr>
                <w:sz w:val="20"/>
              </w:rPr>
            </w:pPr>
            <w:r>
              <w:rPr>
                <w:w w:val="99"/>
                <w:sz w:val="20"/>
              </w:rPr>
              <w:t>1</w:t>
            </w:r>
          </w:p>
        </w:tc>
      </w:tr>
      <w:tr w:rsidR="00DB6E1F" w14:paraId="5FF83F6E" w14:textId="77777777">
        <w:trPr>
          <w:trHeight w:val="278"/>
        </w:trPr>
        <w:tc>
          <w:tcPr>
            <w:tcW w:w="7458" w:type="dxa"/>
            <w:tcBorders>
              <w:top w:val="single" w:sz="4" w:space="0" w:color="231F20"/>
              <w:bottom w:val="single" w:sz="4" w:space="0" w:color="231F20"/>
            </w:tcBorders>
          </w:tcPr>
          <w:p w14:paraId="216EFCD0" w14:textId="77777777" w:rsidR="00DB6E1F" w:rsidRDefault="00F666A6">
            <w:pPr>
              <w:pStyle w:val="TableParagraph"/>
              <w:spacing w:before="8"/>
              <w:ind w:left="14"/>
              <w:rPr>
                <w:sz w:val="20"/>
              </w:rPr>
            </w:pPr>
            <w:r>
              <w:rPr>
                <w:sz w:val="20"/>
              </w:rPr>
              <w:t>17.</w:t>
            </w:r>
            <w:r>
              <w:rPr>
                <w:spacing w:val="44"/>
                <w:sz w:val="20"/>
              </w:rPr>
              <w:t xml:space="preserve">  </w:t>
            </w:r>
            <w:r>
              <w:rPr>
                <w:sz w:val="20"/>
              </w:rPr>
              <w:t>While</w:t>
            </w:r>
            <w:r>
              <w:rPr>
                <w:spacing w:val="-5"/>
                <w:sz w:val="20"/>
              </w:rPr>
              <w:t xml:space="preserve"> </w:t>
            </w:r>
            <w:r>
              <w:rPr>
                <w:sz w:val="20"/>
              </w:rPr>
              <w:t>drinking,</w:t>
            </w:r>
            <w:r>
              <w:rPr>
                <w:spacing w:val="-4"/>
                <w:sz w:val="20"/>
              </w:rPr>
              <w:t xml:space="preserve"> </w:t>
            </w:r>
            <w:r>
              <w:rPr>
                <w:sz w:val="20"/>
              </w:rPr>
              <w:t>I</w:t>
            </w:r>
            <w:r>
              <w:rPr>
                <w:spacing w:val="-4"/>
                <w:sz w:val="20"/>
              </w:rPr>
              <w:t xml:space="preserve"> </w:t>
            </w:r>
            <w:r>
              <w:rPr>
                <w:sz w:val="20"/>
              </w:rPr>
              <w:t>have</w:t>
            </w:r>
            <w:r>
              <w:rPr>
                <w:spacing w:val="-6"/>
                <w:sz w:val="20"/>
              </w:rPr>
              <w:t xml:space="preserve"> </w:t>
            </w:r>
            <w:r>
              <w:rPr>
                <w:sz w:val="20"/>
              </w:rPr>
              <w:t>said</w:t>
            </w:r>
            <w:r>
              <w:rPr>
                <w:spacing w:val="-3"/>
                <w:sz w:val="20"/>
              </w:rPr>
              <w:t xml:space="preserve"> </w:t>
            </w:r>
            <w:r>
              <w:rPr>
                <w:sz w:val="20"/>
              </w:rPr>
              <w:t>or</w:t>
            </w:r>
            <w:r>
              <w:rPr>
                <w:spacing w:val="-3"/>
                <w:sz w:val="20"/>
              </w:rPr>
              <w:t xml:space="preserve"> </w:t>
            </w:r>
            <w:r>
              <w:rPr>
                <w:sz w:val="20"/>
              </w:rPr>
              <w:t>done</w:t>
            </w:r>
            <w:r>
              <w:rPr>
                <w:spacing w:val="-5"/>
                <w:sz w:val="20"/>
              </w:rPr>
              <w:t xml:space="preserve"> </w:t>
            </w:r>
            <w:r>
              <w:rPr>
                <w:sz w:val="20"/>
              </w:rPr>
              <w:t>embarrassing</w:t>
            </w:r>
            <w:r>
              <w:rPr>
                <w:spacing w:val="-5"/>
                <w:sz w:val="20"/>
              </w:rPr>
              <w:t xml:space="preserve"> </w:t>
            </w:r>
            <w:r>
              <w:rPr>
                <w:spacing w:val="-2"/>
                <w:sz w:val="20"/>
              </w:rPr>
              <w:t>things.</w:t>
            </w:r>
          </w:p>
        </w:tc>
        <w:tc>
          <w:tcPr>
            <w:tcW w:w="1219" w:type="dxa"/>
            <w:tcBorders>
              <w:top w:val="single" w:sz="4" w:space="0" w:color="231F20"/>
              <w:bottom w:val="single" w:sz="4" w:space="0" w:color="231F20"/>
            </w:tcBorders>
          </w:tcPr>
          <w:p w14:paraId="39E58D82"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367274D1" w14:textId="77777777" w:rsidR="00DB6E1F" w:rsidRDefault="00F666A6">
            <w:pPr>
              <w:pStyle w:val="TableParagraph"/>
              <w:spacing w:before="8"/>
              <w:ind w:left="337"/>
              <w:rPr>
                <w:sz w:val="20"/>
              </w:rPr>
            </w:pPr>
            <w:r>
              <w:rPr>
                <w:w w:val="99"/>
                <w:sz w:val="20"/>
              </w:rPr>
              <w:t>1</w:t>
            </w:r>
          </w:p>
        </w:tc>
      </w:tr>
      <w:tr w:rsidR="00DB6E1F" w14:paraId="77ADE36B" w14:textId="77777777">
        <w:trPr>
          <w:trHeight w:val="277"/>
        </w:trPr>
        <w:tc>
          <w:tcPr>
            <w:tcW w:w="7458" w:type="dxa"/>
            <w:tcBorders>
              <w:top w:val="single" w:sz="4" w:space="0" w:color="231F20"/>
              <w:bottom w:val="single" w:sz="4" w:space="0" w:color="231F20"/>
            </w:tcBorders>
          </w:tcPr>
          <w:p w14:paraId="51A64011" w14:textId="77777777" w:rsidR="00DB6E1F" w:rsidRDefault="00F666A6">
            <w:pPr>
              <w:pStyle w:val="TableParagraph"/>
              <w:spacing w:before="8"/>
              <w:ind w:left="14"/>
              <w:rPr>
                <w:sz w:val="20"/>
              </w:rPr>
            </w:pPr>
            <w:r>
              <w:rPr>
                <w:sz w:val="20"/>
              </w:rPr>
              <w:t>18.</w:t>
            </w:r>
            <w:r>
              <w:rPr>
                <w:spacing w:val="43"/>
                <w:sz w:val="20"/>
              </w:rPr>
              <w:t xml:space="preserve">  </w:t>
            </w:r>
            <w:r>
              <w:rPr>
                <w:sz w:val="20"/>
              </w:rPr>
              <w:t>When</w:t>
            </w:r>
            <w:r>
              <w:rPr>
                <w:spacing w:val="-2"/>
                <w:sz w:val="20"/>
              </w:rPr>
              <w:t xml:space="preserve"> </w:t>
            </w:r>
            <w:r>
              <w:rPr>
                <w:sz w:val="20"/>
              </w:rPr>
              <w:t>drinking,</w:t>
            </w:r>
            <w:r>
              <w:rPr>
                <w:spacing w:val="-4"/>
                <w:sz w:val="20"/>
              </w:rPr>
              <w:t xml:space="preserve"> </w:t>
            </w:r>
            <w:r>
              <w:rPr>
                <w:sz w:val="20"/>
              </w:rPr>
              <w:t>my</w:t>
            </w:r>
            <w:r>
              <w:rPr>
                <w:spacing w:val="-4"/>
                <w:sz w:val="20"/>
              </w:rPr>
              <w:t xml:space="preserve"> </w:t>
            </w:r>
            <w:r>
              <w:rPr>
                <w:sz w:val="20"/>
              </w:rPr>
              <w:t>personality</w:t>
            </w:r>
            <w:r>
              <w:rPr>
                <w:spacing w:val="-3"/>
                <w:sz w:val="20"/>
              </w:rPr>
              <w:t xml:space="preserve"> </w:t>
            </w:r>
            <w:r>
              <w:rPr>
                <w:sz w:val="20"/>
              </w:rPr>
              <w:t>has</w:t>
            </w:r>
            <w:r>
              <w:rPr>
                <w:spacing w:val="-6"/>
                <w:sz w:val="20"/>
              </w:rPr>
              <w:t xml:space="preserve"> </w:t>
            </w:r>
            <w:r>
              <w:rPr>
                <w:sz w:val="20"/>
              </w:rPr>
              <w:t>changed</w:t>
            </w:r>
            <w:r>
              <w:rPr>
                <w:spacing w:val="-4"/>
                <w:sz w:val="20"/>
              </w:rPr>
              <w:t xml:space="preserve"> </w:t>
            </w:r>
            <w:r>
              <w:rPr>
                <w:sz w:val="20"/>
              </w:rPr>
              <w:t>for</w:t>
            </w:r>
            <w:r>
              <w:rPr>
                <w:spacing w:val="-4"/>
                <w:sz w:val="20"/>
              </w:rPr>
              <w:t xml:space="preserve"> </w:t>
            </w:r>
            <w:r>
              <w:rPr>
                <w:sz w:val="20"/>
              </w:rPr>
              <w:t>the</w:t>
            </w:r>
            <w:r>
              <w:rPr>
                <w:spacing w:val="-6"/>
                <w:sz w:val="20"/>
              </w:rPr>
              <w:t xml:space="preserve"> </w:t>
            </w:r>
            <w:r>
              <w:rPr>
                <w:spacing w:val="-2"/>
                <w:sz w:val="20"/>
              </w:rPr>
              <w:t>worse.</w:t>
            </w:r>
          </w:p>
        </w:tc>
        <w:tc>
          <w:tcPr>
            <w:tcW w:w="1219" w:type="dxa"/>
            <w:tcBorders>
              <w:top w:val="single" w:sz="4" w:space="0" w:color="231F20"/>
              <w:bottom w:val="single" w:sz="4" w:space="0" w:color="231F20"/>
            </w:tcBorders>
          </w:tcPr>
          <w:p w14:paraId="71F4B599"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53E79E39" w14:textId="77777777" w:rsidR="00DB6E1F" w:rsidRDefault="00F666A6">
            <w:pPr>
              <w:pStyle w:val="TableParagraph"/>
              <w:spacing w:before="8"/>
              <w:ind w:left="337"/>
              <w:rPr>
                <w:sz w:val="20"/>
              </w:rPr>
            </w:pPr>
            <w:r>
              <w:rPr>
                <w:w w:val="99"/>
                <w:sz w:val="20"/>
              </w:rPr>
              <w:t>1</w:t>
            </w:r>
          </w:p>
        </w:tc>
      </w:tr>
      <w:tr w:rsidR="00DB6E1F" w14:paraId="6E59216E" w14:textId="77777777">
        <w:trPr>
          <w:trHeight w:val="277"/>
        </w:trPr>
        <w:tc>
          <w:tcPr>
            <w:tcW w:w="7458" w:type="dxa"/>
            <w:tcBorders>
              <w:top w:val="single" w:sz="4" w:space="0" w:color="231F20"/>
              <w:bottom w:val="single" w:sz="4" w:space="0" w:color="231F20"/>
            </w:tcBorders>
          </w:tcPr>
          <w:p w14:paraId="64FA8398" w14:textId="77777777" w:rsidR="00DB6E1F" w:rsidRDefault="00F666A6">
            <w:pPr>
              <w:pStyle w:val="TableParagraph"/>
              <w:spacing w:before="8"/>
              <w:ind w:left="14"/>
              <w:rPr>
                <w:sz w:val="20"/>
              </w:rPr>
            </w:pPr>
            <w:r>
              <w:rPr>
                <w:sz w:val="20"/>
              </w:rPr>
              <w:t>19.</w:t>
            </w:r>
            <w:r>
              <w:rPr>
                <w:spacing w:val="46"/>
                <w:sz w:val="20"/>
              </w:rPr>
              <w:t xml:space="preserve">  </w:t>
            </w:r>
            <w:r>
              <w:rPr>
                <w:sz w:val="20"/>
              </w:rPr>
              <w:t>I</w:t>
            </w:r>
            <w:r>
              <w:rPr>
                <w:spacing w:val="-4"/>
                <w:sz w:val="20"/>
              </w:rPr>
              <w:t xml:space="preserve"> </w:t>
            </w:r>
            <w:r>
              <w:rPr>
                <w:sz w:val="20"/>
              </w:rPr>
              <w:t>have</w:t>
            </w:r>
            <w:r>
              <w:rPr>
                <w:spacing w:val="-4"/>
                <w:sz w:val="20"/>
              </w:rPr>
              <w:t xml:space="preserve"> </w:t>
            </w:r>
            <w:r>
              <w:rPr>
                <w:sz w:val="20"/>
              </w:rPr>
              <w:t>taken</w:t>
            </w:r>
            <w:r>
              <w:rPr>
                <w:spacing w:val="-3"/>
                <w:sz w:val="20"/>
              </w:rPr>
              <w:t xml:space="preserve"> </w:t>
            </w:r>
            <w:r>
              <w:rPr>
                <w:sz w:val="20"/>
              </w:rPr>
              <w:t>foolish</w:t>
            </w:r>
            <w:r>
              <w:rPr>
                <w:spacing w:val="-2"/>
                <w:sz w:val="20"/>
              </w:rPr>
              <w:t xml:space="preserve"> </w:t>
            </w:r>
            <w:r>
              <w:rPr>
                <w:sz w:val="20"/>
              </w:rPr>
              <w:t>risks</w:t>
            </w:r>
            <w:r>
              <w:rPr>
                <w:spacing w:val="-3"/>
                <w:sz w:val="20"/>
              </w:rPr>
              <w:t xml:space="preserve"> </w:t>
            </w:r>
            <w:r>
              <w:rPr>
                <w:sz w:val="20"/>
              </w:rPr>
              <w:t>when</w:t>
            </w:r>
            <w:r>
              <w:rPr>
                <w:spacing w:val="-3"/>
                <w:sz w:val="20"/>
              </w:rPr>
              <w:t xml:space="preserve"> </w:t>
            </w:r>
            <w:r>
              <w:rPr>
                <w:sz w:val="20"/>
              </w:rPr>
              <w:t>I</w:t>
            </w:r>
            <w:r>
              <w:rPr>
                <w:spacing w:val="-3"/>
                <w:sz w:val="20"/>
              </w:rPr>
              <w:t xml:space="preserve"> </w:t>
            </w:r>
            <w:r>
              <w:rPr>
                <w:sz w:val="20"/>
              </w:rPr>
              <w:t>have</w:t>
            </w:r>
            <w:r>
              <w:rPr>
                <w:spacing w:val="-5"/>
                <w:sz w:val="20"/>
              </w:rPr>
              <w:t xml:space="preserve"> </w:t>
            </w:r>
            <w:r>
              <w:rPr>
                <w:sz w:val="20"/>
              </w:rPr>
              <w:t>been</w:t>
            </w:r>
            <w:r>
              <w:rPr>
                <w:spacing w:val="-2"/>
                <w:sz w:val="20"/>
              </w:rPr>
              <w:t xml:space="preserve"> drinking.</w:t>
            </w:r>
          </w:p>
        </w:tc>
        <w:tc>
          <w:tcPr>
            <w:tcW w:w="1219" w:type="dxa"/>
            <w:tcBorders>
              <w:top w:val="single" w:sz="4" w:space="0" w:color="231F20"/>
              <w:bottom w:val="single" w:sz="4" w:space="0" w:color="231F20"/>
            </w:tcBorders>
          </w:tcPr>
          <w:p w14:paraId="799744A4"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3B315365" w14:textId="77777777" w:rsidR="00DB6E1F" w:rsidRDefault="00F666A6">
            <w:pPr>
              <w:pStyle w:val="TableParagraph"/>
              <w:spacing w:before="8"/>
              <w:ind w:left="337"/>
              <w:rPr>
                <w:sz w:val="20"/>
              </w:rPr>
            </w:pPr>
            <w:r>
              <w:rPr>
                <w:w w:val="99"/>
                <w:sz w:val="20"/>
              </w:rPr>
              <w:t>1</w:t>
            </w:r>
          </w:p>
        </w:tc>
      </w:tr>
      <w:tr w:rsidR="00DB6E1F" w14:paraId="2C5E2E0D" w14:textId="77777777">
        <w:trPr>
          <w:trHeight w:val="278"/>
        </w:trPr>
        <w:tc>
          <w:tcPr>
            <w:tcW w:w="7458" w:type="dxa"/>
            <w:tcBorders>
              <w:top w:val="single" w:sz="4" w:space="0" w:color="231F20"/>
              <w:bottom w:val="single" w:sz="4" w:space="0" w:color="231F20"/>
            </w:tcBorders>
          </w:tcPr>
          <w:p w14:paraId="6C646DB2" w14:textId="77777777" w:rsidR="00DB6E1F" w:rsidRDefault="00F666A6">
            <w:pPr>
              <w:pStyle w:val="TableParagraph"/>
              <w:spacing w:before="8"/>
              <w:ind w:left="14"/>
              <w:rPr>
                <w:sz w:val="20"/>
              </w:rPr>
            </w:pPr>
            <w:r>
              <w:rPr>
                <w:sz w:val="20"/>
              </w:rPr>
              <w:t>20.</w:t>
            </w:r>
            <w:r>
              <w:rPr>
                <w:spacing w:val="46"/>
                <w:sz w:val="20"/>
              </w:rPr>
              <w:t xml:space="preserve">  </w:t>
            </w:r>
            <w:r>
              <w:rPr>
                <w:sz w:val="20"/>
              </w:rPr>
              <w:t>I</w:t>
            </w:r>
            <w:r>
              <w:rPr>
                <w:spacing w:val="-3"/>
                <w:sz w:val="20"/>
              </w:rPr>
              <w:t xml:space="preserve"> </w:t>
            </w:r>
            <w:r>
              <w:rPr>
                <w:sz w:val="20"/>
              </w:rPr>
              <w:t>have</w:t>
            </w:r>
            <w:r>
              <w:rPr>
                <w:spacing w:val="-5"/>
                <w:sz w:val="20"/>
              </w:rPr>
              <w:t xml:space="preserve"> </w:t>
            </w:r>
            <w:r>
              <w:rPr>
                <w:sz w:val="20"/>
              </w:rPr>
              <w:t>gotten</w:t>
            </w:r>
            <w:r>
              <w:rPr>
                <w:spacing w:val="-2"/>
                <w:sz w:val="20"/>
              </w:rPr>
              <w:t xml:space="preserve"> </w:t>
            </w:r>
            <w:r>
              <w:rPr>
                <w:sz w:val="20"/>
              </w:rPr>
              <w:t>into</w:t>
            </w:r>
            <w:r>
              <w:rPr>
                <w:spacing w:val="-4"/>
                <w:sz w:val="20"/>
              </w:rPr>
              <w:t xml:space="preserve"> </w:t>
            </w:r>
            <w:r>
              <w:rPr>
                <w:sz w:val="20"/>
              </w:rPr>
              <w:t>trouble</w:t>
            </w:r>
            <w:r>
              <w:rPr>
                <w:spacing w:val="-4"/>
                <w:sz w:val="20"/>
              </w:rPr>
              <w:t xml:space="preserve"> </w:t>
            </w:r>
            <w:r>
              <w:rPr>
                <w:sz w:val="20"/>
              </w:rPr>
              <w:t>because</w:t>
            </w:r>
            <w:r>
              <w:rPr>
                <w:spacing w:val="-4"/>
                <w:sz w:val="20"/>
              </w:rPr>
              <w:t xml:space="preserve"> </w:t>
            </w:r>
            <w:r>
              <w:rPr>
                <w:sz w:val="20"/>
              </w:rPr>
              <w:t>of</w:t>
            </w:r>
            <w:r>
              <w:rPr>
                <w:spacing w:val="-5"/>
                <w:sz w:val="20"/>
              </w:rPr>
              <w:t xml:space="preserve"> </w:t>
            </w:r>
            <w:r>
              <w:rPr>
                <w:spacing w:val="-2"/>
                <w:sz w:val="20"/>
              </w:rPr>
              <w:t>drinking.</w:t>
            </w:r>
          </w:p>
        </w:tc>
        <w:tc>
          <w:tcPr>
            <w:tcW w:w="1219" w:type="dxa"/>
            <w:tcBorders>
              <w:top w:val="single" w:sz="4" w:space="0" w:color="231F20"/>
              <w:bottom w:val="single" w:sz="4" w:space="0" w:color="231F20"/>
            </w:tcBorders>
          </w:tcPr>
          <w:p w14:paraId="63D145DD"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6E722765" w14:textId="77777777" w:rsidR="00DB6E1F" w:rsidRDefault="00F666A6">
            <w:pPr>
              <w:pStyle w:val="TableParagraph"/>
              <w:spacing w:before="8"/>
              <w:ind w:left="337"/>
              <w:rPr>
                <w:sz w:val="20"/>
              </w:rPr>
            </w:pPr>
            <w:r>
              <w:rPr>
                <w:w w:val="99"/>
                <w:sz w:val="20"/>
              </w:rPr>
              <w:t>1</w:t>
            </w:r>
          </w:p>
        </w:tc>
      </w:tr>
      <w:tr w:rsidR="00DB6E1F" w14:paraId="775C1E3C" w14:textId="77777777">
        <w:trPr>
          <w:trHeight w:val="277"/>
        </w:trPr>
        <w:tc>
          <w:tcPr>
            <w:tcW w:w="7458" w:type="dxa"/>
            <w:tcBorders>
              <w:top w:val="single" w:sz="4" w:space="0" w:color="231F20"/>
              <w:bottom w:val="single" w:sz="4" w:space="0" w:color="231F20"/>
            </w:tcBorders>
          </w:tcPr>
          <w:p w14:paraId="341972FA" w14:textId="77777777" w:rsidR="00DB6E1F" w:rsidRDefault="00F666A6">
            <w:pPr>
              <w:pStyle w:val="TableParagraph"/>
              <w:spacing w:before="8"/>
              <w:ind w:left="14"/>
              <w:rPr>
                <w:sz w:val="20"/>
              </w:rPr>
            </w:pPr>
            <w:r>
              <w:rPr>
                <w:sz w:val="20"/>
              </w:rPr>
              <w:t>21.</w:t>
            </w:r>
            <w:r>
              <w:rPr>
                <w:spacing w:val="45"/>
                <w:sz w:val="20"/>
              </w:rPr>
              <w:t xml:space="preserve">  </w:t>
            </w:r>
            <w:r>
              <w:rPr>
                <w:sz w:val="20"/>
              </w:rPr>
              <w:t>While</w:t>
            </w:r>
            <w:r>
              <w:rPr>
                <w:spacing w:val="-5"/>
                <w:sz w:val="20"/>
              </w:rPr>
              <w:t xml:space="preserve"> </w:t>
            </w:r>
            <w:r>
              <w:rPr>
                <w:sz w:val="20"/>
              </w:rPr>
              <w:t>drinking</w:t>
            </w:r>
            <w:r>
              <w:rPr>
                <w:spacing w:val="-4"/>
                <w:sz w:val="20"/>
              </w:rPr>
              <w:t xml:space="preserve"> </w:t>
            </w:r>
            <w:r>
              <w:rPr>
                <w:sz w:val="20"/>
              </w:rPr>
              <w:t>or</w:t>
            </w:r>
            <w:r>
              <w:rPr>
                <w:spacing w:val="-4"/>
                <w:sz w:val="20"/>
              </w:rPr>
              <w:t xml:space="preserve"> </w:t>
            </w:r>
            <w:r>
              <w:rPr>
                <w:sz w:val="20"/>
              </w:rPr>
              <w:t>using</w:t>
            </w:r>
            <w:r>
              <w:rPr>
                <w:spacing w:val="-4"/>
                <w:sz w:val="20"/>
              </w:rPr>
              <w:t xml:space="preserve"> </w:t>
            </w:r>
            <w:r>
              <w:rPr>
                <w:sz w:val="20"/>
              </w:rPr>
              <w:t>drugs,</w:t>
            </w:r>
            <w:r>
              <w:rPr>
                <w:spacing w:val="-1"/>
                <w:sz w:val="20"/>
              </w:rPr>
              <w:t xml:space="preserve"> </w:t>
            </w:r>
            <w:r>
              <w:rPr>
                <w:sz w:val="20"/>
              </w:rPr>
              <w:t>I</w:t>
            </w:r>
            <w:r>
              <w:rPr>
                <w:spacing w:val="-4"/>
                <w:sz w:val="20"/>
              </w:rPr>
              <w:t xml:space="preserve"> </w:t>
            </w:r>
            <w:r>
              <w:rPr>
                <w:sz w:val="20"/>
              </w:rPr>
              <w:t>have</w:t>
            </w:r>
            <w:r>
              <w:rPr>
                <w:spacing w:val="-5"/>
                <w:sz w:val="20"/>
              </w:rPr>
              <w:t xml:space="preserve"> </w:t>
            </w:r>
            <w:r>
              <w:rPr>
                <w:sz w:val="20"/>
              </w:rPr>
              <w:t>said</w:t>
            </w:r>
            <w:r>
              <w:rPr>
                <w:spacing w:val="-3"/>
                <w:sz w:val="20"/>
              </w:rPr>
              <w:t xml:space="preserve"> </w:t>
            </w:r>
            <w:r>
              <w:rPr>
                <w:sz w:val="20"/>
              </w:rPr>
              <w:t>harsh</w:t>
            </w:r>
            <w:r>
              <w:rPr>
                <w:spacing w:val="-3"/>
                <w:sz w:val="20"/>
              </w:rPr>
              <w:t xml:space="preserve"> </w:t>
            </w:r>
            <w:r>
              <w:rPr>
                <w:sz w:val="20"/>
              </w:rPr>
              <w:t>or</w:t>
            </w:r>
            <w:r>
              <w:rPr>
                <w:spacing w:val="-4"/>
                <w:sz w:val="20"/>
              </w:rPr>
              <w:t xml:space="preserve"> </w:t>
            </w:r>
            <w:r>
              <w:rPr>
                <w:sz w:val="20"/>
              </w:rPr>
              <w:t>cruel</w:t>
            </w:r>
            <w:r>
              <w:rPr>
                <w:spacing w:val="-4"/>
                <w:sz w:val="20"/>
              </w:rPr>
              <w:t xml:space="preserve"> </w:t>
            </w:r>
            <w:r>
              <w:rPr>
                <w:sz w:val="20"/>
              </w:rPr>
              <w:t>things</w:t>
            </w:r>
            <w:r>
              <w:rPr>
                <w:spacing w:val="-5"/>
                <w:sz w:val="20"/>
              </w:rPr>
              <w:t xml:space="preserve"> </w:t>
            </w:r>
            <w:r>
              <w:rPr>
                <w:sz w:val="20"/>
              </w:rPr>
              <w:t>to</w:t>
            </w:r>
            <w:r>
              <w:rPr>
                <w:spacing w:val="-4"/>
                <w:sz w:val="20"/>
              </w:rPr>
              <w:t xml:space="preserve"> </w:t>
            </w:r>
            <w:r>
              <w:rPr>
                <w:spacing w:val="-2"/>
                <w:sz w:val="20"/>
              </w:rPr>
              <w:t>someone.</w:t>
            </w:r>
          </w:p>
        </w:tc>
        <w:tc>
          <w:tcPr>
            <w:tcW w:w="1219" w:type="dxa"/>
            <w:tcBorders>
              <w:top w:val="single" w:sz="4" w:space="0" w:color="231F20"/>
              <w:bottom w:val="single" w:sz="4" w:space="0" w:color="231F20"/>
            </w:tcBorders>
          </w:tcPr>
          <w:p w14:paraId="4F5CBAE2"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337A56AE" w14:textId="77777777" w:rsidR="00DB6E1F" w:rsidRDefault="00F666A6">
            <w:pPr>
              <w:pStyle w:val="TableParagraph"/>
              <w:spacing w:before="8"/>
              <w:ind w:left="337"/>
              <w:rPr>
                <w:sz w:val="20"/>
              </w:rPr>
            </w:pPr>
            <w:r>
              <w:rPr>
                <w:w w:val="99"/>
                <w:sz w:val="20"/>
              </w:rPr>
              <w:t>1</w:t>
            </w:r>
          </w:p>
        </w:tc>
      </w:tr>
      <w:tr w:rsidR="00DB6E1F" w14:paraId="48DC3D1A" w14:textId="77777777">
        <w:trPr>
          <w:trHeight w:val="278"/>
        </w:trPr>
        <w:tc>
          <w:tcPr>
            <w:tcW w:w="7458" w:type="dxa"/>
            <w:tcBorders>
              <w:top w:val="single" w:sz="4" w:space="0" w:color="231F20"/>
              <w:bottom w:val="single" w:sz="4" w:space="0" w:color="231F20"/>
            </w:tcBorders>
          </w:tcPr>
          <w:p w14:paraId="2400D983" w14:textId="77777777" w:rsidR="00DB6E1F" w:rsidRDefault="00F666A6">
            <w:pPr>
              <w:pStyle w:val="TableParagraph"/>
              <w:spacing w:before="8"/>
              <w:ind w:left="14"/>
              <w:rPr>
                <w:sz w:val="20"/>
              </w:rPr>
            </w:pPr>
            <w:r>
              <w:rPr>
                <w:sz w:val="20"/>
              </w:rPr>
              <w:t>22.</w:t>
            </w:r>
            <w:r>
              <w:rPr>
                <w:spacing w:val="44"/>
                <w:sz w:val="20"/>
              </w:rPr>
              <w:t xml:space="preserve">  </w:t>
            </w:r>
            <w:r>
              <w:rPr>
                <w:sz w:val="20"/>
              </w:rPr>
              <w:t>When</w:t>
            </w:r>
            <w:r>
              <w:rPr>
                <w:spacing w:val="-3"/>
                <w:sz w:val="20"/>
              </w:rPr>
              <w:t xml:space="preserve"> </w:t>
            </w:r>
            <w:r>
              <w:rPr>
                <w:sz w:val="20"/>
              </w:rPr>
              <w:t>drinking,</w:t>
            </w:r>
            <w:r>
              <w:rPr>
                <w:spacing w:val="-4"/>
                <w:sz w:val="20"/>
              </w:rPr>
              <w:t xml:space="preserve"> </w:t>
            </w:r>
            <w:r>
              <w:rPr>
                <w:sz w:val="20"/>
              </w:rPr>
              <w:t>I</w:t>
            </w:r>
            <w:r>
              <w:rPr>
                <w:spacing w:val="-4"/>
                <w:sz w:val="20"/>
              </w:rPr>
              <w:t xml:space="preserve"> </w:t>
            </w:r>
            <w:r>
              <w:rPr>
                <w:sz w:val="20"/>
              </w:rPr>
              <w:t>have</w:t>
            </w:r>
            <w:r>
              <w:rPr>
                <w:spacing w:val="-5"/>
                <w:sz w:val="20"/>
              </w:rPr>
              <w:t xml:space="preserve"> </w:t>
            </w:r>
            <w:r>
              <w:rPr>
                <w:sz w:val="20"/>
              </w:rPr>
              <w:t>done</w:t>
            </w:r>
            <w:r>
              <w:rPr>
                <w:spacing w:val="-5"/>
                <w:sz w:val="20"/>
              </w:rPr>
              <w:t xml:space="preserve"> </w:t>
            </w:r>
            <w:r>
              <w:rPr>
                <w:sz w:val="20"/>
              </w:rPr>
              <w:t>impulsive</w:t>
            </w:r>
            <w:r>
              <w:rPr>
                <w:spacing w:val="-6"/>
                <w:sz w:val="20"/>
              </w:rPr>
              <w:t xml:space="preserve"> </w:t>
            </w:r>
            <w:r>
              <w:rPr>
                <w:sz w:val="20"/>
              </w:rPr>
              <w:t>things</w:t>
            </w:r>
            <w:r>
              <w:rPr>
                <w:spacing w:val="-5"/>
                <w:sz w:val="20"/>
              </w:rPr>
              <w:t xml:space="preserve"> </w:t>
            </w:r>
            <w:r>
              <w:rPr>
                <w:sz w:val="20"/>
              </w:rPr>
              <w:t>that</w:t>
            </w:r>
            <w:r>
              <w:rPr>
                <w:spacing w:val="-4"/>
                <w:sz w:val="20"/>
              </w:rPr>
              <w:t xml:space="preserve"> </w:t>
            </w:r>
            <w:r>
              <w:rPr>
                <w:sz w:val="20"/>
              </w:rPr>
              <w:t>I</w:t>
            </w:r>
            <w:r>
              <w:rPr>
                <w:spacing w:val="-5"/>
                <w:sz w:val="20"/>
              </w:rPr>
              <w:t xml:space="preserve"> </w:t>
            </w:r>
            <w:r>
              <w:rPr>
                <w:sz w:val="20"/>
              </w:rPr>
              <w:t>regretted</w:t>
            </w:r>
            <w:r>
              <w:rPr>
                <w:spacing w:val="-3"/>
                <w:sz w:val="20"/>
              </w:rPr>
              <w:t xml:space="preserve"> </w:t>
            </w:r>
            <w:r>
              <w:rPr>
                <w:spacing w:val="-2"/>
                <w:sz w:val="20"/>
              </w:rPr>
              <w:t>later.</w:t>
            </w:r>
          </w:p>
        </w:tc>
        <w:tc>
          <w:tcPr>
            <w:tcW w:w="1219" w:type="dxa"/>
            <w:tcBorders>
              <w:top w:val="single" w:sz="4" w:space="0" w:color="231F20"/>
              <w:bottom w:val="single" w:sz="4" w:space="0" w:color="231F20"/>
            </w:tcBorders>
          </w:tcPr>
          <w:p w14:paraId="4FA537DA"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105C880E" w14:textId="77777777" w:rsidR="00DB6E1F" w:rsidRDefault="00F666A6">
            <w:pPr>
              <w:pStyle w:val="TableParagraph"/>
              <w:spacing w:before="8"/>
              <w:ind w:left="337"/>
              <w:rPr>
                <w:sz w:val="20"/>
              </w:rPr>
            </w:pPr>
            <w:r>
              <w:rPr>
                <w:w w:val="99"/>
                <w:sz w:val="20"/>
              </w:rPr>
              <w:t>1</w:t>
            </w:r>
          </w:p>
        </w:tc>
      </w:tr>
      <w:tr w:rsidR="00DB6E1F" w14:paraId="02E11054" w14:textId="77777777">
        <w:trPr>
          <w:trHeight w:val="277"/>
        </w:trPr>
        <w:tc>
          <w:tcPr>
            <w:tcW w:w="7458" w:type="dxa"/>
            <w:tcBorders>
              <w:top w:val="single" w:sz="4" w:space="0" w:color="231F20"/>
              <w:bottom w:val="single" w:sz="4" w:space="0" w:color="231F20"/>
            </w:tcBorders>
          </w:tcPr>
          <w:p w14:paraId="4420FB3E" w14:textId="77777777" w:rsidR="00DB6E1F" w:rsidRDefault="00F666A6">
            <w:pPr>
              <w:pStyle w:val="TableParagraph"/>
              <w:spacing w:before="8"/>
              <w:ind w:left="14"/>
              <w:rPr>
                <w:sz w:val="20"/>
              </w:rPr>
            </w:pPr>
            <w:r>
              <w:rPr>
                <w:sz w:val="20"/>
              </w:rPr>
              <w:t>23.</w:t>
            </w:r>
            <w:r>
              <w:rPr>
                <w:spacing w:val="46"/>
                <w:sz w:val="20"/>
              </w:rPr>
              <w:t xml:space="preserve">  </w:t>
            </w:r>
            <w:r>
              <w:rPr>
                <w:sz w:val="20"/>
              </w:rPr>
              <w:t>I</w:t>
            </w:r>
            <w:r>
              <w:rPr>
                <w:spacing w:val="-4"/>
                <w:sz w:val="20"/>
              </w:rPr>
              <w:t xml:space="preserve"> </w:t>
            </w:r>
            <w:r>
              <w:rPr>
                <w:sz w:val="20"/>
              </w:rPr>
              <w:t>have</w:t>
            </w:r>
            <w:r>
              <w:rPr>
                <w:spacing w:val="-4"/>
                <w:sz w:val="20"/>
              </w:rPr>
              <w:t xml:space="preserve"> </w:t>
            </w:r>
            <w:r>
              <w:rPr>
                <w:sz w:val="20"/>
              </w:rPr>
              <w:t>gotten</w:t>
            </w:r>
            <w:r>
              <w:rPr>
                <w:spacing w:val="-3"/>
                <w:sz w:val="20"/>
              </w:rPr>
              <w:t xml:space="preserve"> </w:t>
            </w:r>
            <w:r>
              <w:rPr>
                <w:sz w:val="20"/>
              </w:rPr>
              <w:t>into</w:t>
            </w:r>
            <w:r>
              <w:rPr>
                <w:spacing w:val="-4"/>
                <w:sz w:val="20"/>
              </w:rPr>
              <w:t xml:space="preserve"> </w:t>
            </w:r>
            <w:r>
              <w:rPr>
                <w:sz w:val="20"/>
              </w:rPr>
              <w:t>a</w:t>
            </w:r>
            <w:r>
              <w:rPr>
                <w:spacing w:val="-2"/>
                <w:sz w:val="20"/>
              </w:rPr>
              <w:t xml:space="preserve"> </w:t>
            </w:r>
            <w:r>
              <w:rPr>
                <w:sz w:val="20"/>
              </w:rPr>
              <w:t>physical</w:t>
            </w:r>
            <w:r>
              <w:rPr>
                <w:spacing w:val="-4"/>
                <w:sz w:val="20"/>
              </w:rPr>
              <w:t xml:space="preserve"> </w:t>
            </w:r>
            <w:r>
              <w:rPr>
                <w:sz w:val="20"/>
              </w:rPr>
              <w:t>fight</w:t>
            </w:r>
            <w:r>
              <w:rPr>
                <w:spacing w:val="-3"/>
                <w:sz w:val="20"/>
              </w:rPr>
              <w:t xml:space="preserve"> </w:t>
            </w:r>
            <w:r>
              <w:rPr>
                <w:sz w:val="20"/>
              </w:rPr>
              <w:t>while</w:t>
            </w:r>
            <w:r>
              <w:rPr>
                <w:spacing w:val="-5"/>
                <w:sz w:val="20"/>
              </w:rPr>
              <w:t xml:space="preserve"> </w:t>
            </w:r>
            <w:r>
              <w:rPr>
                <w:spacing w:val="-2"/>
                <w:sz w:val="20"/>
              </w:rPr>
              <w:t>drinking.</w:t>
            </w:r>
          </w:p>
        </w:tc>
        <w:tc>
          <w:tcPr>
            <w:tcW w:w="1219" w:type="dxa"/>
            <w:tcBorders>
              <w:top w:val="single" w:sz="4" w:space="0" w:color="231F20"/>
              <w:bottom w:val="single" w:sz="4" w:space="0" w:color="231F20"/>
            </w:tcBorders>
          </w:tcPr>
          <w:p w14:paraId="40534979"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56367987" w14:textId="77777777" w:rsidR="00DB6E1F" w:rsidRDefault="00F666A6">
            <w:pPr>
              <w:pStyle w:val="TableParagraph"/>
              <w:spacing w:before="8"/>
              <w:ind w:left="337"/>
              <w:rPr>
                <w:sz w:val="20"/>
              </w:rPr>
            </w:pPr>
            <w:r>
              <w:rPr>
                <w:w w:val="99"/>
                <w:sz w:val="20"/>
              </w:rPr>
              <w:t>1</w:t>
            </w:r>
          </w:p>
        </w:tc>
      </w:tr>
      <w:tr w:rsidR="00DB6E1F" w14:paraId="1FC2203D" w14:textId="77777777">
        <w:trPr>
          <w:trHeight w:val="277"/>
        </w:trPr>
        <w:tc>
          <w:tcPr>
            <w:tcW w:w="7458" w:type="dxa"/>
            <w:tcBorders>
              <w:top w:val="single" w:sz="4" w:space="0" w:color="231F20"/>
              <w:bottom w:val="single" w:sz="4" w:space="0" w:color="231F20"/>
            </w:tcBorders>
          </w:tcPr>
          <w:p w14:paraId="0F3C29A8" w14:textId="77777777" w:rsidR="00DB6E1F" w:rsidRDefault="00F666A6">
            <w:pPr>
              <w:pStyle w:val="TableParagraph"/>
              <w:spacing w:before="8"/>
              <w:ind w:left="14"/>
              <w:rPr>
                <w:sz w:val="20"/>
              </w:rPr>
            </w:pPr>
            <w:r>
              <w:rPr>
                <w:sz w:val="20"/>
              </w:rPr>
              <w:t>24.</w:t>
            </w:r>
            <w:r>
              <w:rPr>
                <w:spacing w:val="45"/>
                <w:sz w:val="20"/>
              </w:rPr>
              <w:t xml:space="preserve">  </w:t>
            </w:r>
            <w:r>
              <w:rPr>
                <w:sz w:val="20"/>
              </w:rPr>
              <w:t>My</w:t>
            </w:r>
            <w:r>
              <w:rPr>
                <w:spacing w:val="-2"/>
                <w:sz w:val="20"/>
              </w:rPr>
              <w:t xml:space="preserve"> </w:t>
            </w:r>
            <w:r>
              <w:rPr>
                <w:sz w:val="20"/>
              </w:rPr>
              <w:t>physical</w:t>
            </w:r>
            <w:r>
              <w:rPr>
                <w:spacing w:val="-4"/>
                <w:sz w:val="20"/>
              </w:rPr>
              <w:t xml:space="preserve"> </w:t>
            </w:r>
            <w:r>
              <w:rPr>
                <w:sz w:val="20"/>
              </w:rPr>
              <w:t>health</w:t>
            </w:r>
            <w:r>
              <w:rPr>
                <w:spacing w:val="-2"/>
                <w:sz w:val="20"/>
              </w:rPr>
              <w:t xml:space="preserve"> </w:t>
            </w:r>
            <w:r>
              <w:rPr>
                <w:sz w:val="20"/>
              </w:rPr>
              <w:t>has</w:t>
            </w:r>
            <w:r>
              <w:rPr>
                <w:spacing w:val="-5"/>
                <w:sz w:val="20"/>
              </w:rPr>
              <w:t xml:space="preserve"> </w:t>
            </w:r>
            <w:r>
              <w:rPr>
                <w:sz w:val="20"/>
              </w:rPr>
              <w:t>been</w:t>
            </w:r>
            <w:r>
              <w:rPr>
                <w:spacing w:val="-3"/>
                <w:sz w:val="20"/>
              </w:rPr>
              <w:t xml:space="preserve"> </w:t>
            </w:r>
            <w:r>
              <w:rPr>
                <w:sz w:val="20"/>
              </w:rPr>
              <w:t>harmed</w:t>
            </w:r>
            <w:r>
              <w:rPr>
                <w:spacing w:val="-3"/>
                <w:sz w:val="20"/>
              </w:rPr>
              <w:t xml:space="preserve"> </w:t>
            </w:r>
            <w:r>
              <w:rPr>
                <w:sz w:val="20"/>
              </w:rPr>
              <w:t>by</w:t>
            </w:r>
            <w:r>
              <w:rPr>
                <w:spacing w:val="-2"/>
                <w:sz w:val="20"/>
              </w:rPr>
              <w:t xml:space="preserve"> </w:t>
            </w:r>
            <w:r>
              <w:rPr>
                <w:sz w:val="20"/>
              </w:rPr>
              <w:t>my</w:t>
            </w:r>
            <w:r>
              <w:rPr>
                <w:spacing w:val="-3"/>
                <w:sz w:val="20"/>
              </w:rPr>
              <w:t xml:space="preserve"> </w:t>
            </w:r>
            <w:r>
              <w:rPr>
                <w:spacing w:val="-2"/>
                <w:sz w:val="20"/>
              </w:rPr>
              <w:t>drinking.</w:t>
            </w:r>
          </w:p>
        </w:tc>
        <w:tc>
          <w:tcPr>
            <w:tcW w:w="1219" w:type="dxa"/>
            <w:tcBorders>
              <w:top w:val="single" w:sz="4" w:space="0" w:color="231F20"/>
              <w:bottom w:val="single" w:sz="4" w:space="0" w:color="231F20"/>
            </w:tcBorders>
          </w:tcPr>
          <w:p w14:paraId="1216BBEC"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0D340575" w14:textId="77777777" w:rsidR="00DB6E1F" w:rsidRDefault="00F666A6">
            <w:pPr>
              <w:pStyle w:val="TableParagraph"/>
              <w:spacing w:before="8"/>
              <w:ind w:left="337"/>
              <w:rPr>
                <w:sz w:val="20"/>
              </w:rPr>
            </w:pPr>
            <w:r>
              <w:rPr>
                <w:w w:val="99"/>
                <w:sz w:val="20"/>
              </w:rPr>
              <w:t>1</w:t>
            </w:r>
          </w:p>
        </w:tc>
      </w:tr>
      <w:tr w:rsidR="00DB6E1F" w14:paraId="6D57DA30" w14:textId="77777777">
        <w:trPr>
          <w:trHeight w:val="278"/>
        </w:trPr>
        <w:tc>
          <w:tcPr>
            <w:tcW w:w="7458" w:type="dxa"/>
            <w:tcBorders>
              <w:top w:val="single" w:sz="4" w:space="0" w:color="231F20"/>
              <w:bottom w:val="single" w:sz="4" w:space="0" w:color="231F20"/>
            </w:tcBorders>
          </w:tcPr>
          <w:p w14:paraId="755B899E" w14:textId="77777777" w:rsidR="00DB6E1F" w:rsidRDefault="00F666A6">
            <w:pPr>
              <w:pStyle w:val="TableParagraph"/>
              <w:spacing w:before="8"/>
              <w:ind w:left="14"/>
              <w:rPr>
                <w:sz w:val="20"/>
              </w:rPr>
            </w:pPr>
            <w:r>
              <w:rPr>
                <w:sz w:val="20"/>
              </w:rPr>
              <w:t>25.</w:t>
            </w:r>
            <w:r>
              <w:rPr>
                <w:spacing w:val="46"/>
                <w:sz w:val="20"/>
              </w:rPr>
              <w:t xml:space="preserve">  </w:t>
            </w:r>
            <w:r>
              <w:rPr>
                <w:sz w:val="20"/>
              </w:rPr>
              <w:t>Drinking</w:t>
            </w:r>
            <w:r>
              <w:rPr>
                <w:spacing w:val="-2"/>
                <w:sz w:val="20"/>
              </w:rPr>
              <w:t xml:space="preserve"> </w:t>
            </w:r>
            <w:r>
              <w:rPr>
                <w:sz w:val="20"/>
              </w:rPr>
              <w:t>has</w:t>
            </w:r>
            <w:r>
              <w:rPr>
                <w:spacing w:val="-4"/>
                <w:sz w:val="20"/>
              </w:rPr>
              <w:t xml:space="preserve"> </w:t>
            </w:r>
            <w:r>
              <w:rPr>
                <w:sz w:val="20"/>
              </w:rPr>
              <w:t>helped</w:t>
            </w:r>
            <w:r>
              <w:rPr>
                <w:spacing w:val="-3"/>
                <w:sz w:val="20"/>
              </w:rPr>
              <w:t xml:space="preserve"> </w:t>
            </w:r>
            <w:r>
              <w:rPr>
                <w:sz w:val="20"/>
              </w:rPr>
              <w:t>me</w:t>
            </w:r>
            <w:r>
              <w:rPr>
                <w:spacing w:val="-4"/>
                <w:sz w:val="20"/>
              </w:rPr>
              <w:t xml:space="preserve"> </w:t>
            </w:r>
            <w:r>
              <w:rPr>
                <w:sz w:val="20"/>
              </w:rPr>
              <w:t>to</w:t>
            </w:r>
            <w:r>
              <w:rPr>
                <w:spacing w:val="-2"/>
                <w:sz w:val="20"/>
              </w:rPr>
              <w:t xml:space="preserve"> </w:t>
            </w:r>
            <w:r>
              <w:rPr>
                <w:sz w:val="20"/>
              </w:rPr>
              <w:t>have</w:t>
            </w:r>
            <w:r>
              <w:rPr>
                <w:spacing w:val="-4"/>
                <w:sz w:val="20"/>
              </w:rPr>
              <w:t xml:space="preserve"> </w:t>
            </w:r>
            <w:r>
              <w:rPr>
                <w:sz w:val="20"/>
              </w:rPr>
              <w:t>a</w:t>
            </w:r>
            <w:r>
              <w:rPr>
                <w:spacing w:val="-3"/>
                <w:sz w:val="20"/>
              </w:rPr>
              <w:t xml:space="preserve"> </w:t>
            </w:r>
            <w:r>
              <w:rPr>
                <w:sz w:val="20"/>
              </w:rPr>
              <w:t>more</w:t>
            </w:r>
            <w:r>
              <w:rPr>
                <w:spacing w:val="-4"/>
                <w:sz w:val="20"/>
              </w:rPr>
              <w:t xml:space="preserve"> </w:t>
            </w:r>
            <w:r>
              <w:rPr>
                <w:sz w:val="20"/>
              </w:rPr>
              <w:t>positive</w:t>
            </w:r>
            <w:r>
              <w:rPr>
                <w:spacing w:val="-4"/>
                <w:sz w:val="20"/>
              </w:rPr>
              <w:t xml:space="preserve"> </w:t>
            </w:r>
            <w:r>
              <w:rPr>
                <w:sz w:val="20"/>
              </w:rPr>
              <w:t>outlook</w:t>
            </w:r>
            <w:r>
              <w:rPr>
                <w:spacing w:val="-2"/>
                <w:sz w:val="20"/>
              </w:rPr>
              <w:t xml:space="preserve"> </w:t>
            </w:r>
            <w:r>
              <w:rPr>
                <w:sz w:val="20"/>
              </w:rPr>
              <w:t>on</w:t>
            </w:r>
            <w:r>
              <w:rPr>
                <w:spacing w:val="-3"/>
                <w:sz w:val="20"/>
              </w:rPr>
              <w:t xml:space="preserve"> </w:t>
            </w:r>
            <w:r>
              <w:rPr>
                <w:spacing w:val="-2"/>
                <w:sz w:val="20"/>
              </w:rPr>
              <w:t>life.</w:t>
            </w:r>
          </w:p>
        </w:tc>
        <w:tc>
          <w:tcPr>
            <w:tcW w:w="1219" w:type="dxa"/>
            <w:tcBorders>
              <w:top w:val="single" w:sz="4" w:space="0" w:color="231F20"/>
              <w:bottom w:val="single" w:sz="4" w:space="0" w:color="231F20"/>
            </w:tcBorders>
          </w:tcPr>
          <w:p w14:paraId="53BB5AD9"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559918C3" w14:textId="77777777" w:rsidR="00DB6E1F" w:rsidRDefault="00F666A6">
            <w:pPr>
              <w:pStyle w:val="TableParagraph"/>
              <w:spacing w:before="8"/>
              <w:ind w:left="337"/>
              <w:rPr>
                <w:sz w:val="20"/>
              </w:rPr>
            </w:pPr>
            <w:r>
              <w:rPr>
                <w:w w:val="99"/>
                <w:sz w:val="20"/>
              </w:rPr>
              <w:t>1</w:t>
            </w:r>
          </w:p>
        </w:tc>
      </w:tr>
      <w:tr w:rsidR="00DB6E1F" w14:paraId="7EA15806" w14:textId="77777777">
        <w:trPr>
          <w:trHeight w:val="277"/>
        </w:trPr>
        <w:tc>
          <w:tcPr>
            <w:tcW w:w="7458" w:type="dxa"/>
            <w:tcBorders>
              <w:top w:val="single" w:sz="4" w:space="0" w:color="231F20"/>
              <w:bottom w:val="single" w:sz="4" w:space="0" w:color="231F20"/>
            </w:tcBorders>
          </w:tcPr>
          <w:p w14:paraId="5E5A4C1C" w14:textId="77777777" w:rsidR="00DB6E1F" w:rsidRDefault="00F666A6">
            <w:pPr>
              <w:pStyle w:val="TableParagraph"/>
              <w:spacing w:before="8"/>
              <w:ind w:left="14"/>
              <w:rPr>
                <w:sz w:val="20"/>
              </w:rPr>
            </w:pPr>
            <w:r>
              <w:rPr>
                <w:sz w:val="20"/>
              </w:rPr>
              <w:t>26.</w:t>
            </w:r>
            <w:r>
              <w:rPr>
                <w:spacing w:val="46"/>
                <w:sz w:val="20"/>
              </w:rPr>
              <w:t xml:space="preserve">  </w:t>
            </w:r>
            <w:r>
              <w:rPr>
                <w:sz w:val="20"/>
              </w:rPr>
              <w:t>I</w:t>
            </w:r>
            <w:r>
              <w:rPr>
                <w:spacing w:val="-4"/>
                <w:sz w:val="20"/>
              </w:rPr>
              <w:t xml:space="preserve"> </w:t>
            </w:r>
            <w:r>
              <w:rPr>
                <w:sz w:val="20"/>
              </w:rPr>
              <w:t>have</w:t>
            </w:r>
            <w:r>
              <w:rPr>
                <w:spacing w:val="-4"/>
                <w:sz w:val="20"/>
              </w:rPr>
              <w:t xml:space="preserve"> </w:t>
            </w:r>
            <w:r>
              <w:rPr>
                <w:sz w:val="20"/>
              </w:rPr>
              <w:t>had</w:t>
            </w:r>
            <w:r>
              <w:rPr>
                <w:spacing w:val="-3"/>
                <w:sz w:val="20"/>
              </w:rPr>
              <w:t xml:space="preserve"> </w:t>
            </w:r>
            <w:r>
              <w:rPr>
                <w:sz w:val="20"/>
              </w:rPr>
              <w:t>money</w:t>
            </w:r>
            <w:r>
              <w:rPr>
                <w:spacing w:val="-3"/>
                <w:sz w:val="20"/>
              </w:rPr>
              <w:t xml:space="preserve"> </w:t>
            </w:r>
            <w:r>
              <w:rPr>
                <w:sz w:val="20"/>
              </w:rPr>
              <w:t>problems</w:t>
            </w:r>
            <w:r>
              <w:rPr>
                <w:spacing w:val="-4"/>
                <w:sz w:val="20"/>
              </w:rPr>
              <w:t xml:space="preserve"> </w:t>
            </w:r>
            <w:r>
              <w:rPr>
                <w:sz w:val="20"/>
              </w:rPr>
              <w:t>because</w:t>
            </w:r>
            <w:r>
              <w:rPr>
                <w:spacing w:val="-5"/>
                <w:sz w:val="20"/>
              </w:rPr>
              <w:t xml:space="preserve"> </w:t>
            </w:r>
            <w:r>
              <w:rPr>
                <w:sz w:val="20"/>
              </w:rPr>
              <w:t>of</w:t>
            </w:r>
            <w:r>
              <w:rPr>
                <w:spacing w:val="-4"/>
                <w:sz w:val="20"/>
              </w:rPr>
              <w:t xml:space="preserve"> </w:t>
            </w:r>
            <w:r>
              <w:rPr>
                <w:sz w:val="20"/>
              </w:rPr>
              <w:t>my</w:t>
            </w:r>
            <w:r>
              <w:rPr>
                <w:spacing w:val="-3"/>
                <w:sz w:val="20"/>
              </w:rPr>
              <w:t xml:space="preserve"> </w:t>
            </w:r>
            <w:r>
              <w:rPr>
                <w:spacing w:val="-2"/>
                <w:sz w:val="20"/>
              </w:rPr>
              <w:t>drinking.</w:t>
            </w:r>
          </w:p>
        </w:tc>
        <w:tc>
          <w:tcPr>
            <w:tcW w:w="1219" w:type="dxa"/>
            <w:tcBorders>
              <w:top w:val="single" w:sz="4" w:space="0" w:color="231F20"/>
              <w:bottom w:val="single" w:sz="4" w:space="0" w:color="231F20"/>
            </w:tcBorders>
          </w:tcPr>
          <w:p w14:paraId="4926C4EF"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6F5DDAD7" w14:textId="77777777" w:rsidR="00DB6E1F" w:rsidRDefault="00F666A6">
            <w:pPr>
              <w:pStyle w:val="TableParagraph"/>
              <w:spacing w:before="8"/>
              <w:ind w:left="337"/>
              <w:rPr>
                <w:sz w:val="20"/>
              </w:rPr>
            </w:pPr>
            <w:r>
              <w:rPr>
                <w:w w:val="99"/>
                <w:sz w:val="20"/>
              </w:rPr>
              <w:t>1</w:t>
            </w:r>
          </w:p>
        </w:tc>
      </w:tr>
      <w:tr w:rsidR="00DB6E1F" w14:paraId="6D875640" w14:textId="77777777">
        <w:trPr>
          <w:trHeight w:val="278"/>
        </w:trPr>
        <w:tc>
          <w:tcPr>
            <w:tcW w:w="7458" w:type="dxa"/>
            <w:tcBorders>
              <w:top w:val="single" w:sz="4" w:space="0" w:color="231F20"/>
              <w:bottom w:val="single" w:sz="4" w:space="0" w:color="231F20"/>
            </w:tcBorders>
          </w:tcPr>
          <w:p w14:paraId="0EBACA01" w14:textId="77777777" w:rsidR="00DB6E1F" w:rsidRDefault="00F666A6">
            <w:pPr>
              <w:pStyle w:val="TableParagraph"/>
              <w:spacing w:before="8"/>
              <w:ind w:left="14"/>
              <w:rPr>
                <w:sz w:val="20"/>
              </w:rPr>
            </w:pPr>
            <w:r>
              <w:rPr>
                <w:sz w:val="20"/>
              </w:rPr>
              <w:t>27.</w:t>
            </w:r>
            <w:r>
              <w:rPr>
                <w:spacing w:val="45"/>
                <w:sz w:val="20"/>
              </w:rPr>
              <w:t xml:space="preserve">  </w:t>
            </w:r>
            <w:r>
              <w:rPr>
                <w:sz w:val="20"/>
              </w:rPr>
              <w:t>My</w:t>
            </w:r>
            <w:r>
              <w:rPr>
                <w:spacing w:val="-3"/>
                <w:sz w:val="20"/>
              </w:rPr>
              <w:t xml:space="preserve"> </w:t>
            </w:r>
            <w:r>
              <w:rPr>
                <w:sz w:val="20"/>
              </w:rPr>
              <w:t>marriage</w:t>
            </w:r>
            <w:r>
              <w:rPr>
                <w:spacing w:val="-5"/>
                <w:sz w:val="20"/>
              </w:rPr>
              <w:t xml:space="preserve"> </w:t>
            </w:r>
            <w:r>
              <w:rPr>
                <w:sz w:val="20"/>
              </w:rPr>
              <w:t>or</w:t>
            </w:r>
            <w:r>
              <w:rPr>
                <w:spacing w:val="-4"/>
                <w:sz w:val="20"/>
              </w:rPr>
              <w:t xml:space="preserve"> </w:t>
            </w:r>
            <w:r>
              <w:rPr>
                <w:sz w:val="20"/>
              </w:rPr>
              <w:t>love</w:t>
            </w:r>
            <w:r>
              <w:rPr>
                <w:spacing w:val="-5"/>
                <w:sz w:val="20"/>
              </w:rPr>
              <w:t xml:space="preserve"> </w:t>
            </w:r>
            <w:r>
              <w:rPr>
                <w:sz w:val="20"/>
              </w:rPr>
              <w:t>relationship</w:t>
            </w:r>
            <w:r>
              <w:rPr>
                <w:spacing w:val="-3"/>
                <w:sz w:val="20"/>
              </w:rPr>
              <w:t xml:space="preserve"> </w:t>
            </w:r>
            <w:r>
              <w:rPr>
                <w:sz w:val="20"/>
              </w:rPr>
              <w:t>has</w:t>
            </w:r>
            <w:r>
              <w:rPr>
                <w:spacing w:val="-5"/>
                <w:sz w:val="20"/>
              </w:rPr>
              <w:t xml:space="preserve"> </w:t>
            </w:r>
            <w:r>
              <w:rPr>
                <w:sz w:val="20"/>
              </w:rPr>
              <w:t>been</w:t>
            </w:r>
            <w:r>
              <w:rPr>
                <w:spacing w:val="-3"/>
                <w:sz w:val="20"/>
              </w:rPr>
              <w:t xml:space="preserve"> </w:t>
            </w:r>
            <w:r>
              <w:rPr>
                <w:sz w:val="20"/>
              </w:rPr>
              <w:t>harmed</w:t>
            </w:r>
            <w:r>
              <w:rPr>
                <w:spacing w:val="-3"/>
                <w:sz w:val="20"/>
              </w:rPr>
              <w:t xml:space="preserve"> </w:t>
            </w:r>
            <w:r>
              <w:rPr>
                <w:sz w:val="20"/>
              </w:rPr>
              <w:t>by</w:t>
            </w:r>
            <w:r>
              <w:rPr>
                <w:spacing w:val="-3"/>
                <w:sz w:val="20"/>
              </w:rPr>
              <w:t xml:space="preserve"> </w:t>
            </w:r>
            <w:r>
              <w:rPr>
                <w:sz w:val="20"/>
              </w:rPr>
              <w:t>my</w:t>
            </w:r>
            <w:r>
              <w:rPr>
                <w:spacing w:val="-3"/>
                <w:sz w:val="20"/>
              </w:rPr>
              <w:t xml:space="preserve"> </w:t>
            </w:r>
            <w:r>
              <w:rPr>
                <w:spacing w:val="-2"/>
                <w:sz w:val="20"/>
              </w:rPr>
              <w:t>drinking.</w:t>
            </w:r>
          </w:p>
        </w:tc>
        <w:tc>
          <w:tcPr>
            <w:tcW w:w="1219" w:type="dxa"/>
            <w:tcBorders>
              <w:top w:val="single" w:sz="4" w:space="0" w:color="231F20"/>
              <w:bottom w:val="single" w:sz="4" w:space="0" w:color="231F20"/>
            </w:tcBorders>
          </w:tcPr>
          <w:p w14:paraId="2EE44A87"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070BDF6F" w14:textId="77777777" w:rsidR="00DB6E1F" w:rsidRDefault="00F666A6">
            <w:pPr>
              <w:pStyle w:val="TableParagraph"/>
              <w:spacing w:before="8"/>
              <w:ind w:left="337"/>
              <w:rPr>
                <w:sz w:val="20"/>
              </w:rPr>
            </w:pPr>
            <w:r>
              <w:rPr>
                <w:w w:val="99"/>
                <w:sz w:val="20"/>
              </w:rPr>
              <w:t>1</w:t>
            </w:r>
          </w:p>
        </w:tc>
      </w:tr>
      <w:tr w:rsidR="00DB6E1F" w14:paraId="57548E63" w14:textId="77777777">
        <w:trPr>
          <w:trHeight w:val="277"/>
        </w:trPr>
        <w:tc>
          <w:tcPr>
            <w:tcW w:w="7458" w:type="dxa"/>
            <w:tcBorders>
              <w:top w:val="single" w:sz="4" w:space="0" w:color="231F20"/>
              <w:bottom w:val="single" w:sz="4" w:space="0" w:color="231F20"/>
            </w:tcBorders>
          </w:tcPr>
          <w:p w14:paraId="7C04C68A" w14:textId="77777777" w:rsidR="00DB6E1F" w:rsidRDefault="00F666A6">
            <w:pPr>
              <w:pStyle w:val="TableParagraph"/>
              <w:spacing w:before="8"/>
              <w:ind w:left="14"/>
              <w:rPr>
                <w:sz w:val="20"/>
              </w:rPr>
            </w:pPr>
            <w:r>
              <w:rPr>
                <w:sz w:val="20"/>
              </w:rPr>
              <w:t>28.</w:t>
            </w:r>
            <w:r>
              <w:rPr>
                <w:spacing w:val="46"/>
                <w:sz w:val="20"/>
              </w:rPr>
              <w:t xml:space="preserve">  </w:t>
            </w:r>
            <w:r>
              <w:rPr>
                <w:sz w:val="20"/>
              </w:rPr>
              <w:t>I</w:t>
            </w:r>
            <w:r>
              <w:rPr>
                <w:spacing w:val="-3"/>
                <w:sz w:val="20"/>
              </w:rPr>
              <w:t xml:space="preserve"> </w:t>
            </w:r>
            <w:r>
              <w:rPr>
                <w:sz w:val="20"/>
              </w:rPr>
              <w:t>have</w:t>
            </w:r>
            <w:r>
              <w:rPr>
                <w:spacing w:val="-4"/>
                <w:sz w:val="20"/>
              </w:rPr>
              <w:t xml:space="preserve"> </w:t>
            </w:r>
            <w:r>
              <w:rPr>
                <w:sz w:val="20"/>
              </w:rPr>
              <w:t>smoked</w:t>
            </w:r>
            <w:r>
              <w:rPr>
                <w:spacing w:val="-3"/>
                <w:sz w:val="20"/>
              </w:rPr>
              <w:t xml:space="preserve"> </w:t>
            </w:r>
            <w:r>
              <w:rPr>
                <w:sz w:val="20"/>
              </w:rPr>
              <w:t>tobacco</w:t>
            </w:r>
            <w:r>
              <w:rPr>
                <w:spacing w:val="-3"/>
                <w:sz w:val="20"/>
              </w:rPr>
              <w:t xml:space="preserve"> </w:t>
            </w:r>
            <w:r>
              <w:rPr>
                <w:sz w:val="20"/>
              </w:rPr>
              <w:t>more</w:t>
            </w:r>
            <w:r>
              <w:rPr>
                <w:spacing w:val="-1"/>
                <w:sz w:val="20"/>
              </w:rPr>
              <w:t xml:space="preserve"> </w:t>
            </w:r>
            <w:r>
              <w:rPr>
                <w:sz w:val="20"/>
              </w:rPr>
              <w:t>when</w:t>
            </w:r>
            <w:r>
              <w:rPr>
                <w:spacing w:val="-3"/>
                <w:sz w:val="20"/>
              </w:rPr>
              <w:t xml:space="preserve"> </w:t>
            </w:r>
            <w:r>
              <w:rPr>
                <w:sz w:val="20"/>
              </w:rPr>
              <w:t>I</w:t>
            </w:r>
            <w:r>
              <w:rPr>
                <w:spacing w:val="-3"/>
                <w:sz w:val="20"/>
              </w:rPr>
              <w:t xml:space="preserve"> </w:t>
            </w:r>
            <w:r>
              <w:rPr>
                <w:sz w:val="20"/>
              </w:rPr>
              <w:t>am</w:t>
            </w:r>
            <w:r>
              <w:rPr>
                <w:spacing w:val="-4"/>
                <w:sz w:val="20"/>
              </w:rPr>
              <w:t xml:space="preserve"> </w:t>
            </w:r>
            <w:r>
              <w:rPr>
                <w:spacing w:val="-2"/>
                <w:sz w:val="20"/>
              </w:rPr>
              <w:t>drinking.</w:t>
            </w:r>
          </w:p>
        </w:tc>
        <w:tc>
          <w:tcPr>
            <w:tcW w:w="1219" w:type="dxa"/>
            <w:tcBorders>
              <w:top w:val="single" w:sz="4" w:space="0" w:color="231F20"/>
              <w:bottom w:val="single" w:sz="4" w:space="0" w:color="231F20"/>
            </w:tcBorders>
          </w:tcPr>
          <w:p w14:paraId="5E418E8C"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140678CA" w14:textId="77777777" w:rsidR="00DB6E1F" w:rsidRDefault="00F666A6">
            <w:pPr>
              <w:pStyle w:val="TableParagraph"/>
              <w:spacing w:before="8"/>
              <w:ind w:left="337"/>
              <w:rPr>
                <w:sz w:val="20"/>
              </w:rPr>
            </w:pPr>
            <w:r>
              <w:rPr>
                <w:w w:val="99"/>
                <w:sz w:val="20"/>
              </w:rPr>
              <w:t>1</w:t>
            </w:r>
          </w:p>
        </w:tc>
      </w:tr>
      <w:tr w:rsidR="00DB6E1F" w14:paraId="416B5335" w14:textId="77777777">
        <w:trPr>
          <w:trHeight w:val="278"/>
        </w:trPr>
        <w:tc>
          <w:tcPr>
            <w:tcW w:w="7458" w:type="dxa"/>
            <w:tcBorders>
              <w:top w:val="single" w:sz="4" w:space="0" w:color="231F20"/>
              <w:bottom w:val="single" w:sz="4" w:space="0" w:color="231F20"/>
            </w:tcBorders>
          </w:tcPr>
          <w:p w14:paraId="61E73DDC" w14:textId="77777777" w:rsidR="00DB6E1F" w:rsidRDefault="00F666A6">
            <w:pPr>
              <w:pStyle w:val="TableParagraph"/>
              <w:spacing w:before="8"/>
              <w:ind w:left="14"/>
              <w:rPr>
                <w:sz w:val="20"/>
              </w:rPr>
            </w:pPr>
            <w:r>
              <w:rPr>
                <w:sz w:val="20"/>
              </w:rPr>
              <w:t>29.</w:t>
            </w:r>
            <w:r>
              <w:rPr>
                <w:spacing w:val="44"/>
                <w:sz w:val="20"/>
              </w:rPr>
              <w:t xml:space="preserve">  </w:t>
            </w:r>
            <w:r>
              <w:rPr>
                <w:sz w:val="20"/>
              </w:rPr>
              <w:t>My</w:t>
            </w:r>
            <w:r>
              <w:rPr>
                <w:spacing w:val="-2"/>
                <w:sz w:val="20"/>
              </w:rPr>
              <w:t xml:space="preserve"> </w:t>
            </w:r>
            <w:r>
              <w:rPr>
                <w:sz w:val="20"/>
              </w:rPr>
              <w:t>physical</w:t>
            </w:r>
            <w:r>
              <w:rPr>
                <w:spacing w:val="-4"/>
                <w:sz w:val="20"/>
              </w:rPr>
              <w:t xml:space="preserve"> </w:t>
            </w:r>
            <w:r>
              <w:rPr>
                <w:sz w:val="20"/>
              </w:rPr>
              <w:t>appearance</w:t>
            </w:r>
            <w:r>
              <w:rPr>
                <w:spacing w:val="-5"/>
                <w:sz w:val="20"/>
              </w:rPr>
              <w:t xml:space="preserve"> </w:t>
            </w:r>
            <w:r>
              <w:rPr>
                <w:sz w:val="20"/>
              </w:rPr>
              <w:t>has</w:t>
            </w:r>
            <w:r>
              <w:rPr>
                <w:spacing w:val="-5"/>
                <w:sz w:val="20"/>
              </w:rPr>
              <w:t xml:space="preserve"> </w:t>
            </w:r>
            <w:r>
              <w:rPr>
                <w:sz w:val="20"/>
              </w:rPr>
              <w:t>been</w:t>
            </w:r>
            <w:r>
              <w:rPr>
                <w:spacing w:val="-3"/>
                <w:sz w:val="20"/>
              </w:rPr>
              <w:t xml:space="preserve"> </w:t>
            </w:r>
            <w:r>
              <w:rPr>
                <w:sz w:val="20"/>
              </w:rPr>
              <w:t>harmed</w:t>
            </w:r>
            <w:r>
              <w:rPr>
                <w:spacing w:val="-3"/>
                <w:sz w:val="20"/>
              </w:rPr>
              <w:t xml:space="preserve"> </w:t>
            </w:r>
            <w:r>
              <w:rPr>
                <w:sz w:val="20"/>
              </w:rPr>
              <w:t>by</w:t>
            </w:r>
            <w:r>
              <w:rPr>
                <w:spacing w:val="-3"/>
                <w:sz w:val="20"/>
              </w:rPr>
              <w:t xml:space="preserve"> </w:t>
            </w:r>
            <w:r>
              <w:rPr>
                <w:sz w:val="20"/>
              </w:rPr>
              <w:t>my</w:t>
            </w:r>
            <w:r>
              <w:rPr>
                <w:spacing w:val="-4"/>
                <w:sz w:val="20"/>
              </w:rPr>
              <w:t xml:space="preserve"> </w:t>
            </w:r>
            <w:r>
              <w:rPr>
                <w:spacing w:val="-2"/>
                <w:sz w:val="20"/>
              </w:rPr>
              <w:t>drinking.</w:t>
            </w:r>
          </w:p>
        </w:tc>
        <w:tc>
          <w:tcPr>
            <w:tcW w:w="1219" w:type="dxa"/>
            <w:tcBorders>
              <w:top w:val="single" w:sz="4" w:space="0" w:color="231F20"/>
              <w:bottom w:val="single" w:sz="4" w:space="0" w:color="231F20"/>
            </w:tcBorders>
          </w:tcPr>
          <w:p w14:paraId="7F3D0F36"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647D9934" w14:textId="77777777" w:rsidR="00DB6E1F" w:rsidRDefault="00F666A6">
            <w:pPr>
              <w:pStyle w:val="TableParagraph"/>
              <w:spacing w:before="8"/>
              <w:ind w:left="337"/>
              <w:rPr>
                <w:sz w:val="20"/>
              </w:rPr>
            </w:pPr>
            <w:r>
              <w:rPr>
                <w:w w:val="99"/>
                <w:sz w:val="20"/>
              </w:rPr>
              <w:t>1</w:t>
            </w:r>
          </w:p>
        </w:tc>
      </w:tr>
      <w:tr w:rsidR="00DB6E1F" w14:paraId="1796B6D4" w14:textId="77777777">
        <w:trPr>
          <w:trHeight w:val="277"/>
        </w:trPr>
        <w:tc>
          <w:tcPr>
            <w:tcW w:w="7458" w:type="dxa"/>
            <w:tcBorders>
              <w:top w:val="single" w:sz="4" w:space="0" w:color="231F20"/>
              <w:bottom w:val="single" w:sz="4" w:space="0" w:color="231F20"/>
            </w:tcBorders>
          </w:tcPr>
          <w:p w14:paraId="4D63E0A2" w14:textId="77777777" w:rsidR="00DB6E1F" w:rsidRDefault="00F666A6">
            <w:pPr>
              <w:pStyle w:val="TableParagraph"/>
              <w:spacing w:before="8"/>
              <w:ind w:left="14"/>
              <w:rPr>
                <w:sz w:val="20"/>
              </w:rPr>
            </w:pPr>
            <w:r>
              <w:rPr>
                <w:sz w:val="20"/>
              </w:rPr>
              <w:t>30.</w:t>
            </w:r>
            <w:r>
              <w:rPr>
                <w:spacing w:val="48"/>
                <w:sz w:val="20"/>
              </w:rPr>
              <w:t xml:space="preserve">  </w:t>
            </w:r>
            <w:r>
              <w:rPr>
                <w:sz w:val="20"/>
              </w:rPr>
              <w:t>My</w:t>
            </w:r>
            <w:r>
              <w:rPr>
                <w:spacing w:val="-1"/>
                <w:sz w:val="20"/>
              </w:rPr>
              <w:t xml:space="preserve"> </w:t>
            </w:r>
            <w:r>
              <w:rPr>
                <w:sz w:val="20"/>
              </w:rPr>
              <w:t>family</w:t>
            </w:r>
            <w:r>
              <w:rPr>
                <w:spacing w:val="-2"/>
                <w:sz w:val="20"/>
              </w:rPr>
              <w:t xml:space="preserve"> </w:t>
            </w:r>
            <w:r>
              <w:rPr>
                <w:sz w:val="20"/>
              </w:rPr>
              <w:t>has</w:t>
            </w:r>
            <w:r>
              <w:rPr>
                <w:spacing w:val="-3"/>
                <w:sz w:val="20"/>
              </w:rPr>
              <w:t xml:space="preserve"> </w:t>
            </w:r>
            <w:r>
              <w:rPr>
                <w:sz w:val="20"/>
              </w:rPr>
              <w:t>been</w:t>
            </w:r>
            <w:r>
              <w:rPr>
                <w:spacing w:val="-2"/>
                <w:sz w:val="20"/>
              </w:rPr>
              <w:t xml:space="preserve"> </w:t>
            </w:r>
            <w:r>
              <w:rPr>
                <w:sz w:val="20"/>
              </w:rPr>
              <w:t>hurt</w:t>
            </w:r>
            <w:r>
              <w:rPr>
                <w:spacing w:val="-2"/>
                <w:sz w:val="20"/>
              </w:rPr>
              <w:t xml:space="preserve"> </w:t>
            </w:r>
            <w:r>
              <w:rPr>
                <w:sz w:val="20"/>
              </w:rPr>
              <w:t>by</w:t>
            </w:r>
            <w:r>
              <w:rPr>
                <w:spacing w:val="-1"/>
                <w:sz w:val="20"/>
              </w:rPr>
              <w:t xml:space="preserve"> </w:t>
            </w:r>
            <w:r>
              <w:rPr>
                <w:sz w:val="20"/>
              </w:rPr>
              <w:t>my</w:t>
            </w:r>
            <w:r>
              <w:rPr>
                <w:spacing w:val="-2"/>
                <w:sz w:val="20"/>
              </w:rPr>
              <w:t xml:space="preserve"> drinking.</w:t>
            </w:r>
          </w:p>
        </w:tc>
        <w:tc>
          <w:tcPr>
            <w:tcW w:w="1219" w:type="dxa"/>
            <w:tcBorders>
              <w:top w:val="single" w:sz="4" w:space="0" w:color="231F20"/>
              <w:bottom w:val="single" w:sz="4" w:space="0" w:color="231F20"/>
            </w:tcBorders>
          </w:tcPr>
          <w:p w14:paraId="0BAD9287"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1CDAF932" w14:textId="77777777" w:rsidR="00DB6E1F" w:rsidRDefault="00F666A6">
            <w:pPr>
              <w:pStyle w:val="TableParagraph"/>
              <w:spacing w:before="8"/>
              <w:ind w:left="337"/>
              <w:rPr>
                <w:sz w:val="20"/>
              </w:rPr>
            </w:pPr>
            <w:r>
              <w:rPr>
                <w:w w:val="99"/>
                <w:sz w:val="20"/>
              </w:rPr>
              <w:t>1</w:t>
            </w:r>
          </w:p>
        </w:tc>
      </w:tr>
      <w:tr w:rsidR="00DB6E1F" w14:paraId="1D940E4B" w14:textId="77777777">
        <w:trPr>
          <w:trHeight w:val="277"/>
        </w:trPr>
        <w:tc>
          <w:tcPr>
            <w:tcW w:w="7458" w:type="dxa"/>
            <w:tcBorders>
              <w:top w:val="single" w:sz="4" w:space="0" w:color="231F20"/>
              <w:bottom w:val="single" w:sz="4" w:space="0" w:color="231F20"/>
            </w:tcBorders>
          </w:tcPr>
          <w:p w14:paraId="0BF09752" w14:textId="77777777" w:rsidR="00DB6E1F" w:rsidRDefault="00F666A6">
            <w:pPr>
              <w:pStyle w:val="TableParagraph"/>
              <w:spacing w:before="8"/>
              <w:ind w:left="14"/>
              <w:rPr>
                <w:sz w:val="20"/>
              </w:rPr>
            </w:pPr>
            <w:r>
              <w:rPr>
                <w:sz w:val="20"/>
              </w:rPr>
              <w:t>31.</w:t>
            </w:r>
            <w:r>
              <w:rPr>
                <w:spacing w:val="44"/>
                <w:sz w:val="20"/>
              </w:rPr>
              <w:t xml:space="preserve">  </w:t>
            </w:r>
            <w:r>
              <w:rPr>
                <w:sz w:val="20"/>
              </w:rPr>
              <w:t>A</w:t>
            </w:r>
            <w:r>
              <w:rPr>
                <w:spacing w:val="-4"/>
                <w:sz w:val="20"/>
              </w:rPr>
              <w:t xml:space="preserve"> </w:t>
            </w:r>
            <w:r>
              <w:rPr>
                <w:sz w:val="20"/>
              </w:rPr>
              <w:t>friendship</w:t>
            </w:r>
            <w:r>
              <w:rPr>
                <w:spacing w:val="-4"/>
                <w:sz w:val="20"/>
              </w:rPr>
              <w:t xml:space="preserve"> </w:t>
            </w:r>
            <w:r>
              <w:rPr>
                <w:sz w:val="20"/>
              </w:rPr>
              <w:t>or</w:t>
            </w:r>
            <w:r>
              <w:rPr>
                <w:spacing w:val="-4"/>
                <w:sz w:val="20"/>
              </w:rPr>
              <w:t xml:space="preserve"> </w:t>
            </w:r>
            <w:r>
              <w:rPr>
                <w:sz w:val="20"/>
              </w:rPr>
              <w:t>close</w:t>
            </w:r>
            <w:r>
              <w:rPr>
                <w:spacing w:val="-5"/>
                <w:sz w:val="20"/>
              </w:rPr>
              <w:t xml:space="preserve"> </w:t>
            </w:r>
            <w:r>
              <w:rPr>
                <w:sz w:val="20"/>
              </w:rPr>
              <w:t>relationship</w:t>
            </w:r>
            <w:r>
              <w:rPr>
                <w:spacing w:val="-4"/>
                <w:sz w:val="20"/>
              </w:rPr>
              <w:t xml:space="preserve"> </w:t>
            </w:r>
            <w:r>
              <w:rPr>
                <w:sz w:val="20"/>
              </w:rPr>
              <w:t>has</w:t>
            </w:r>
            <w:r>
              <w:rPr>
                <w:spacing w:val="-5"/>
                <w:sz w:val="20"/>
              </w:rPr>
              <w:t xml:space="preserve"> </w:t>
            </w:r>
            <w:r>
              <w:rPr>
                <w:sz w:val="20"/>
              </w:rPr>
              <w:t>been</w:t>
            </w:r>
            <w:r>
              <w:rPr>
                <w:spacing w:val="-4"/>
                <w:sz w:val="20"/>
              </w:rPr>
              <w:t xml:space="preserve"> </w:t>
            </w:r>
            <w:r>
              <w:rPr>
                <w:sz w:val="20"/>
              </w:rPr>
              <w:t>damaged</w:t>
            </w:r>
            <w:r>
              <w:rPr>
                <w:spacing w:val="-3"/>
                <w:sz w:val="20"/>
              </w:rPr>
              <w:t xml:space="preserve"> </w:t>
            </w:r>
            <w:r>
              <w:rPr>
                <w:sz w:val="20"/>
              </w:rPr>
              <w:t>by</w:t>
            </w:r>
            <w:r>
              <w:rPr>
                <w:spacing w:val="-4"/>
                <w:sz w:val="20"/>
              </w:rPr>
              <w:t xml:space="preserve"> </w:t>
            </w:r>
            <w:r>
              <w:rPr>
                <w:sz w:val="20"/>
              </w:rPr>
              <w:t>my</w:t>
            </w:r>
            <w:r>
              <w:rPr>
                <w:spacing w:val="-3"/>
                <w:sz w:val="20"/>
              </w:rPr>
              <w:t xml:space="preserve"> </w:t>
            </w:r>
            <w:r>
              <w:rPr>
                <w:spacing w:val="-2"/>
                <w:sz w:val="20"/>
              </w:rPr>
              <w:t>drinking.</w:t>
            </w:r>
          </w:p>
        </w:tc>
        <w:tc>
          <w:tcPr>
            <w:tcW w:w="1219" w:type="dxa"/>
            <w:tcBorders>
              <w:top w:val="single" w:sz="4" w:space="0" w:color="231F20"/>
              <w:bottom w:val="single" w:sz="4" w:space="0" w:color="231F20"/>
            </w:tcBorders>
          </w:tcPr>
          <w:p w14:paraId="27E9D006"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4FDE489A" w14:textId="77777777" w:rsidR="00DB6E1F" w:rsidRDefault="00F666A6">
            <w:pPr>
              <w:pStyle w:val="TableParagraph"/>
              <w:spacing w:before="8"/>
              <w:ind w:left="337"/>
              <w:rPr>
                <w:sz w:val="20"/>
              </w:rPr>
            </w:pPr>
            <w:r>
              <w:rPr>
                <w:w w:val="99"/>
                <w:sz w:val="20"/>
              </w:rPr>
              <w:t>1</w:t>
            </w:r>
          </w:p>
        </w:tc>
      </w:tr>
      <w:tr w:rsidR="00DB6E1F" w14:paraId="39C9D5E6" w14:textId="77777777">
        <w:trPr>
          <w:trHeight w:val="278"/>
        </w:trPr>
        <w:tc>
          <w:tcPr>
            <w:tcW w:w="7458" w:type="dxa"/>
            <w:tcBorders>
              <w:top w:val="single" w:sz="4" w:space="0" w:color="231F20"/>
              <w:bottom w:val="single" w:sz="4" w:space="0" w:color="231F20"/>
            </w:tcBorders>
          </w:tcPr>
          <w:p w14:paraId="53F51EA0" w14:textId="77777777" w:rsidR="00DB6E1F" w:rsidRDefault="00F666A6">
            <w:pPr>
              <w:pStyle w:val="TableParagraph"/>
              <w:spacing w:before="8"/>
              <w:ind w:left="14"/>
              <w:rPr>
                <w:sz w:val="20"/>
              </w:rPr>
            </w:pPr>
            <w:r>
              <w:rPr>
                <w:sz w:val="20"/>
              </w:rPr>
              <w:t>32.</w:t>
            </w:r>
            <w:r>
              <w:rPr>
                <w:spacing w:val="46"/>
                <w:sz w:val="20"/>
              </w:rPr>
              <w:t xml:space="preserve">  </w:t>
            </w:r>
            <w:r>
              <w:rPr>
                <w:sz w:val="20"/>
              </w:rPr>
              <w:t>I</w:t>
            </w:r>
            <w:r>
              <w:rPr>
                <w:spacing w:val="-4"/>
                <w:sz w:val="20"/>
              </w:rPr>
              <w:t xml:space="preserve"> </w:t>
            </w:r>
            <w:r>
              <w:rPr>
                <w:sz w:val="20"/>
              </w:rPr>
              <w:t>have</w:t>
            </w:r>
            <w:r>
              <w:rPr>
                <w:spacing w:val="-5"/>
                <w:sz w:val="20"/>
              </w:rPr>
              <w:t xml:space="preserve"> </w:t>
            </w:r>
            <w:r>
              <w:rPr>
                <w:sz w:val="20"/>
              </w:rPr>
              <w:t>been</w:t>
            </w:r>
            <w:r>
              <w:rPr>
                <w:spacing w:val="-2"/>
                <w:sz w:val="20"/>
              </w:rPr>
              <w:t xml:space="preserve"> </w:t>
            </w:r>
            <w:r>
              <w:rPr>
                <w:sz w:val="20"/>
              </w:rPr>
              <w:t>overweight</w:t>
            </w:r>
            <w:r>
              <w:rPr>
                <w:spacing w:val="-4"/>
                <w:sz w:val="20"/>
              </w:rPr>
              <w:t xml:space="preserve"> </w:t>
            </w:r>
            <w:r>
              <w:rPr>
                <w:sz w:val="20"/>
              </w:rPr>
              <w:t>because</w:t>
            </w:r>
            <w:r>
              <w:rPr>
                <w:spacing w:val="-4"/>
                <w:sz w:val="20"/>
              </w:rPr>
              <w:t xml:space="preserve"> </w:t>
            </w:r>
            <w:r>
              <w:rPr>
                <w:sz w:val="20"/>
              </w:rPr>
              <w:t>of</w:t>
            </w:r>
            <w:r>
              <w:rPr>
                <w:spacing w:val="-3"/>
                <w:sz w:val="20"/>
              </w:rPr>
              <w:t xml:space="preserve"> </w:t>
            </w:r>
            <w:r>
              <w:rPr>
                <w:sz w:val="20"/>
              </w:rPr>
              <w:t>my</w:t>
            </w:r>
            <w:r>
              <w:rPr>
                <w:spacing w:val="-3"/>
                <w:sz w:val="20"/>
              </w:rPr>
              <w:t xml:space="preserve"> </w:t>
            </w:r>
            <w:r>
              <w:rPr>
                <w:spacing w:val="-2"/>
                <w:sz w:val="20"/>
              </w:rPr>
              <w:t>drinking.</w:t>
            </w:r>
          </w:p>
        </w:tc>
        <w:tc>
          <w:tcPr>
            <w:tcW w:w="1219" w:type="dxa"/>
            <w:tcBorders>
              <w:top w:val="single" w:sz="4" w:space="0" w:color="231F20"/>
              <w:bottom w:val="single" w:sz="4" w:space="0" w:color="231F20"/>
            </w:tcBorders>
          </w:tcPr>
          <w:p w14:paraId="7DA4AF9F" w14:textId="77777777" w:rsidR="00DB6E1F" w:rsidRDefault="00F666A6">
            <w:pPr>
              <w:pStyle w:val="TableParagraph"/>
              <w:spacing w:before="8"/>
              <w:ind w:left="644"/>
              <w:rPr>
                <w:sz w:val="20"/>
              </w:rPr>
            </w:pPr>
            <w:r>
              <w:rPr>
                <w:w w:val="99"/>
                <w:sz w:val="20"/>
              </w:rPr>
              <w:t>0</w:t>
            </w:r>
          </w:p>
        </w:tc>
        <w:tc>
          <w:tcPr>
            <w:tcW w:w="786" w:type="dxa"/>
            <w:tcBorders>
              <w:top w:val="single" w:sz="4" w:space="0" w:color="231F20"/>
              <w:bottom w:val="single" w:sz="4" w:space="0" w:color="231F20"/>
            </w:tcBorders>
          </w:tcPr>
          <w:p w14:paraId="31F25C40" w14:textId="77777777" w:rsidR="00DB6E1F" w:rsidRDefault="00F666A6">
            <w:pPr>
              <w:pStyle w:val="TableParagraph"/>
              <w:spacing w:before="8"/>
              <w:ind w:left="337"/>
              <w:rPr>
                <w:sz w:val="20"/>
              </w:rPr>
            </w:pPr>
            <w:r>
              <w:rPr>
                <w:w w:val="99"/>
                <w:sz w:val="20"/>
              </w:rPr>
              <w:t>1</w:t>
            </w:r>
          </w:p>
        </w:tc>
      </w:tr>
      <w:tr w:rsidR="00DB6E1F" w14:paraId="60254C0D" w14:textId="77777777">
        <w:trPr>
          <w:trHeight w:val="277"/>
        </w:trPr>
        <w:tc>
          <w:tcPr>
            <w:tcW w:w="7458" w:type="dxa"/>
            <w:tcBorders>
              <w:top w:val="single" w:sz="4" w:space="0" w:color="231F20"/>
              <w:bottom w:val="single" w:sz="4" w:space="0" w:color="231F20"/>
            </w:tcBorders>
          </w:tcPr>
          <w:p w14:paraId="0F1F9972" w14:textId="77777777" w:rsidR="00DB6E1F" w:rsidRDefault="00F666A6">
            <w:pPr>
              <w:pStyle w:val="TableParagraph"/>
              <w:ind w:left="14"/>
              <w:rPr>
                <w:sz w:val="20"/>
              </w:rPr>
            </w:pPr>
            <w:r>
              <w:rPr>
                <w:sz w:val="20"/>
              </w:rPr>
              <w:t>33.</w:t>
            </w:r>
            <w:r>
              <w:rPr>
                <w:spacing w:val="46"/>
                <w:sz w:val="20"/>
              </w:rPr>
              <w:t xml:space="preserve">  </w:t>
            </w:r>
            <w:r>
              <w:rPr>
                <w:sz w:val="20"/>
              </w:rPr>
              <w:t>My</w:t>
            </w:r>
            <w:r>
              <w:rPr>
                <w:spacing w:val="-2"/>
                <w:sz w:val="20"/>
              </w:rPr>
              <w:t xml:space="preserve"> </w:t>
            </w:r>
            <w:r>
              <w:rPr>
                <w:sz w:val="20"/>
              </w:rPr>
              <w:t>sex</w:t>
            </w:r>
            <w:r>
              <w:rPr>
                <w:spacing w:val="-3"/>
                <w:sz w:val="20"/>
              </w:rPr>
              <w:t xml:space="preserve"> </w:t>
            </w:r>
            <w:r>
              <w:rPr>
                <w:sz w:val="20"/>
              </w:rPr>
              <w:t>life</w:t>
            </w:r>
            <w:r>
              <w:rPr>
                <w:spacing w:val="-4"/>
                <w:sz w:val="20"/>
              </w:rPr>
              <w:t xml:space="preserve"> </w:t>
            </w:r>
            <w:r>
              <w:rPr>
                <w:sz w:val="20"/>
              </w:rPr>
              <w:t>has</w:t>
            </w:r>
            <w:r>
              <w:rPr>
                <w:spacing w:val="-3"/>
                <w:sz w:val="20"/>
              </w:rPr>
              <w:t xml:space="preserve"> </w:t>
            </w:r>
            <w:r>
              <w:rPr>
                <w:sz w:val="20"/>
              </w:rPr>
              <w:t>suffered</w:t>
            </w:r>
            <w:r>
              <w:rPr>
                <w:spacing w:val="-2"/>
                <w:sz w:val="20"/>
              </w:rPr>
              <w:t xml:space="preserve"> </w:t>
            </w:r>
            <w:r>
              <w:rPr>
                <w:sz w:val="20"/>
              </w:rPr>
              <w:t>because</w:t>
            </w:r>
            <w:r>
              <w:rPr>
                <w:spacing w:val="-5"/>
                <w:sz w:val="20"/>
              </w:rPr>
              <w:t xml:space="preserve"> </w:t>
            </w:r>
            <w:r>
              <w:rPr>
                <w:sz w:val="20"/>
              </w:rPr>
              <w:t>of</w:t>
            </w:r>
            <w:r>
              <w:rPr>
                <w:spacing w:val="-2"/>
                <w:sz w:val="20"/>
              </w:rPr>
              <w:t xml:space="preserve"> </w:t>
            </w:r>
            <w:r>
              <w:rPr>
                <w:sz w:val="20"/>
              </w:rPr>
              <w:t>my</w:t>
            </w:r>
            <w:r>
              <w:rPr>
                <w:spacing w:val="-2"/>
                <w:sz w:val="20"/>
              </w:rPr>
              <w:t xml:space="preserve"> drinking.</w:t>
            </w:r>
          </w:p>
        </w:tc>
        <w:tc>
          <w:tcPr>
            <w:tcW w:w="1219" w:type="dxa"/>
            <w:tcBorders>
              <w:top w:val="single" w:sz="4" w:space="0" w:color="231F20"/>
              <w:bottom w:val="single" w:sz="4" w:space="0" w:color="231F20"/>
            </w:tcBorders>
          </w:tcPr>
          <w:p w14:paraId="4A4E696E" w14:textId="77777777" w:rsidR="00DB6E1F" w:rsidRDefault="00F666A6">
            <w:pPr>
              <w:pStyle w:val="TableParagraph"/>
              <w:ind w:left="644"/>
              <w:rPr>
                <w:sz w:val="20"/>
              </w:rPr>
            </w:pPr>
            <w:r>
              <w:rPr>
                <w:w w:val="99"/>
                <w:sz w:val="20"/>
              </w:rPr>
              <w:t>0</w:t>
            </w:r>
          </w:p>
        </w:tc>
        <w:tc>
          <w:tcPr>
            <w:tcW w:w="786" w:type="dxa"/>
            <w:tcBorders>
              <w:top w:val="single" w:sz="4" w:space="0" w:color="231F20"/>
              <w:bottom w:val="single" w:sz="4" w:space="0" w:color="231F20"/>
            </w:tcBorders>
          </w:tcPr>
          <w:p w14:paraId="3D2F7196" w14:textId="77777777" w:rsidR="00DB6E1F" w:rsidRDefault="00F666A6">
            <w:pPr>
              <w:pStyle w:val="TableParagraph"/>
              <w:ind w:left="337"/>
              <w:rPr>
                <w:sz w:val="20"/>
              </w:rPr>
            </w:pPr>
            <w:r>
              <w:rPr>
                <w:w w:val="99"/>
                <w:sz w:val="20"/>
              </w:rPr>
              <w:t>1</w:t>
            </w:r>
          </w:p>
        </w:tc>
      </w:tr>
      <w:tr w:rsidR="00DB6E1F" w14:paraId="1BB30B4D" w14:textId="77777777">
        <w:trPr>
          <w:trHeight w:val="278"/>
        </w:trPr>
        <w:tc>
          <w:tcPr>
            <w:tcW w:w="7458" w:type="dxa"/>
            <w:tcBorders>
              <w:top w:val="single" w:sz="4" w:space="0" w:color="231F20"/>
              <w:bottom w:val="single" w:sz="4" w:space="0" w:color="231F20"/>
            </w:tcBorders>
          </w:tcPr>
          <w:p w14:paraId="11E37048" w14:textId="77777777" w:rsidR="00DB6E1F" w:rsidRDefault="00F666A6">
            <w:pPr>
              <w:pStyle w:val="TableParagraph"/>
              <w:ind w:left="14"/>
              <w:rPr>
                <w:sz w:val="20"/>
              </w:rPr>
            </w:pPr>
            <w:r>
              <w:rPr>
                <w:sz w:val="20"/>
              </w:rPr>
              <w:t>34.</w:t>
            </w:r>
            <w:r>
              <w:rPr>
                <w:spacing w:val="44"/>
                <w:sz w:val="20"/>
              </w:rPr>
              <w:t xml:space="preserve">  </w:t>
            </w:r>
            <w:r>
              <w:rPr>
                <w:sz w:val="20"/>
              </w:rPr>
              <w:t>I</w:t>
            </w:r>
            <w:r>
              <w:rPr>
                <w:spacing w:val="-3"/>
                <w:sz w:val="20"/>
              </w:rPr>
              <w:t xml:space="preserve"> </w:t>
            </w:r>
            <w:r>
              <w:rPr>
                <w:sz w:val="20"/>
              </w:rPr>
              <w:t>have</w:t>
            </w:r>
            <w:r>
              <w:rPr>
                <w:spacing w:val="-5"/>
                <w:sz w:val="20"/>
              </w:rPr>
              <w:t xml:space="preserve"> </w:t>
            </w:r>
            <w:r>
              <w:rPr>
                <w:sz w:val="20"/>
              </w:rPr>
              <w:t>lost</w:t>
            </w:r>
            <w:r>
              <w:rPr>
                <w:spacing w:val="-4"/>
                <w:sz w:val="20"/>
              </w:rPr>
              <w:t xml:space="preserve"> </w:t>
            </w:r>
            <w:r>
              <w:rPr>
                <w:sz w:val="20"/>
              </w:rPr>
              <w:t>interest</w:t>
            </w:r>
            <w:r>
              <w:rPr>
                <w:spacing w:val="-4"/>
                <w:sz w:val="20"/>
              </w:rPr>
              <w:t xml:space="preserve"> </w:t>
            </w:r>
            <w:r>
              <w:rPr>
                <w:sz w:val="20"/>
              </w:rPr>
              <w:t>in</w:t>
            </w:r>
            <w:r>
              <w:rPr>
                <w:spacing w:val="-3"/>
                <w:sz w:val="20"/>
              </w:rPr>
              <w:t xml:space="preserve"> </w:t>
            </w:r>
            <w:r>
              <w:rPr>
                <w:sz w:val="20"/>
              </w:rPr>
              <w:t>activities</w:t>
            </w:r>
            <w:r>
              <w:rPr>
                <w:spacing w:val="-5"/>
                <w:sz w:val="20"/>
              </w:rPr>
              <w:t xml:space="preserve"> </w:t>
            </w:r>
            <w:r>
              <w:rPr>
                <w:sz w:val="20"/>
              </w:rPr>
              <w:t>and</w:t>
            </w:r>
            <w:r>
              <w:rPr>
                <w:spacing w:val="-4"/>
                <w:sz w:val="20"/>
              </w:rPr>
              <w:t xml:space="preserve"> </w:t>
            </w:r>
            <w:r>
              <w:rPr>
                <w:sz w:val="20"/>
              </w:rPr>
              <w:t>hobbies</w:t>
            </w:r>
            <w:r>
              <w:rPr>
                <w:spacing w:val="-5"/>
                <w:sz w:val="20"/>
              </w:rPr>
              <w:t xml:space="preserve"> </w:t>
            </w:r>
            <w:r>
              <w:rPr>
                <w:sz w:val="20"/>
              </w:rPr>
              <w:t>because</w:t>
            </w:r>
            <w:r>
              <w:rPr>
                <w:spacing w:val="-5"/>
                <w:sz w:val="20"/>
              </w:rPr>
              <w:t xml:space="preserve"> </w:t>
            </w:r>
            <w:r>
              <w:rPr>
                <w:sz w:val="20"/>
              </w:rPr>
              <w:t>of</w:t>
            </w:r>
            <w:r>
              <w:rPr>
                <w:spacing w:val="-5"/>
                <w:sz w:val="20"/>
              </w:rPr>
              <w:t xml:space="preserve"> </w:t>
            </w:r>
            <w:r>
              <w:rPr>
                <w:sz w:val="20"/>
              </w:rPr>
              <w:t>my</w:t>
            </w:r>
            <w:r>
              <w:rPr>
                <w:spacing w:val="-1"/>
                <w:sz w:val="20"/>
              </w:rPr>
              <w:t xml:space="preserve"> </w:t>
            </w:r>
            <w:r>
              <w:rPr>
                <w:spacing w:val="-2"/>
                <w:sz w:val="20"/>
              </w:rPr>
              <w:t>drinking.</w:t>
            </w:r>
          </w:p>
        </w:tc>
        <w:tc>
          <w:tcPr>
            <w:tcW w:w="1219" w:type="dxa"/>
            <w:tcBorders>
              <w:top w:val="single" w:sz="4" w:space="0" w:color="231F20"/>
              <w:bottom w:val="single" w:sz="4" w:space="0" w:color="231F20"/>
            </w:tcBorders>
          </w:tcPr>
          <w:p w14:paraId="5D5740AA" w14:textId="77777777" w:rsidR="00DB6E1F" w:rsidRDefault="00F666A6">
            <w:pPr>
              <w:pStyle w:val="TableParagraph"/>
              <w:ind w:left="644"/>
              <w:rPr>
                <w:sz w:val="20"/>
              </w:rPr>
            </w:pPr>
            <w:r>
              <w:rPr>
                <w:w w:val="99"/>
                <w:sz w:val="20"/>
              </w:rPr>
              <w:t>0</w:t>
            </w:r>
          </w:p>
        </w:tc>
        <w:tc>
          <w:tcPr>
            <w:tcW w:w="786" w:type="dxa"/>
            <w:tcBorders>
              <w:top w:val="single" w:sz="4" w:space="0" w:color="231F20"/>
              <w:bottom w:val="single" w:sz="4" w:space="0" w:color="231F20"/>
            </w:tcBorders>
          </w:tcPr>
          <w:p w14:paraId="775890AC" w14:textId="77777777" w:rsidR="00DB6E1F" w:rsidRDefault="00F666A6">
            <w:pPr>
              <w:pStyle w:val="TableParagraph"/>
              <w:ind w:left="337"/>
              <w:rPr>
                <w:sz w:val="20"/>
              </w:rPr>
            </w:pPr>
            <w:r>
              <w:rPr>
                <w:w w:val="99"/>
                <w:sz w:val="20"/>
              </w:rPr>
              <w:t>1</w:t>
            </w:r>
          </w:p>
        </w:tc>
      </w:tr>
      <w:tr w:rsidR="00DB6E1F" w14:paraId="0D771481" w14:textId="77777777">
        <w:trPr>
          <w:trHeight w:val="277"/>
        </w:trPr>
        <w:tc>
          <w:tcPr>
            <w:tcW w:w="7458" w:type="dxa"/>
            <w:tcBorders>
              <w:top w:val="single" w:sz="4" w:space="0" w:color="231F20"/>
              <w:bottom w:val="single" w:sz="4" w:space="0" w:color="231F20"/>
            </w:tcBorders>
          </w:tcPr>
          <w:p w14:paraId="3EC54358" w14:textId="77777777" w:rsidR="00DB6E1F" w:rsidRDefault="00F666A6">
            <w:pPr>
              <w:pStyle w:val="TableParagraph"/>
              <w:ind w:left="14"/>
              <w:rPr>
                <w:sz w:val="20"/>
              </w:rPr>
            </w:pPr>
            <w:r>
              <w:rPr>
                <w:sz w:val="20"/>
              </w:rPr>
              <w:t>35.</w:t>
            </w:r>
            <w:r>
              <w:rPr>
                <w:spacing w:val="45"/>
                <w:sz w:val="20"/>
              </w:rPr>
              <w:t xml:space="preserve">  </w:t>
            </w:r>
            <w:r>
              <w:rPr>
                <w:sz w:val="20"/>
              </w:rPr>
              <w:t>When</w:t>
            </w:r>
            <w:r>
              <w:rPr>
                <w:spacing w:val="-3"/>
                <w:sz w:val="20"/>
              </w:rPr>
              <w:t xml:space="preserve"> </w:t>
            </w:r>
            <w:r>
              <w:rPr>
                <w:sz w:val="20"/>
              </w:rPr>
              <w:t>drinking,</w:t>
            </w:r>
            <w:r>
              <w:rPr>
                <w:spacing w:val="-3"/>
                <w:sz w:val="20"/>
              </w:rPr>
              <w:t xml:space="preserve"> </w:t>
            </w:r>
            <w:r>
              <w:rPr>
                <w:sz w:val="20"/>
              </w:rPr>
              <w:t>my</w:t>
            </w:r>
            <w:r>
              <w:rPr>
                <w:spacing w:val="-3"/>
                <w:sz w:val="20"/>
              </w:rPr>
              <w:t xml:space="preserve"> </w:t>
            </w:r>
            <w:r>
              <w:rPr>
                <w:sz w:val="20"/>
              </w:rPr>
              <w:t>social</w:t>
            </w:r>
            <w:r>
              <w:rPr>
                <w:spacing w:val="-4"/>
                <w:sz w:val="20"/>
              </w:rPr>
              <w:t xml:space="preserve"> </w:t>
            </w:r>
            <w:r>
              <w:rPr>
                <w:sz w:val="20"/>
              </w:rPr>
              <w:t>life</w:t>
            </w:r>
            <w:r>
              <w:rPr>
                <w:spacing w:val="-4"/>
                <w:sz w:val="20"/>
              </w:rPr>
              <w:t xml:space="preserve"> </w:t>
            </w:r>
            <w:r>
              <w:rPr>
                <w:sz w:val="20"/>
              </w:rPr>
              <w:t>has</w:t>
            </w:r>
            <w:r>
              <w:rPr>
                <w:spacing w:val="-5"/>
                <w:sz w:val="20"/>
              </w:rPr>
              <w:t xml:space="preserve"> </w:t>
            </w:r>
            <w:r>
              <w:rPr>
                <w:sz w:val="20"/>
              </w:rPr>
              <w:t>been</w:t>
            </w:r>
            <w:r>
              <w:rPr>
                <w:spacing w:val="-3"/>
                <w:sz w:val="20"/>
              </w:rPr>
              <w:t xml:space="preserve"> </w:t>
            </w:r>
            <w:r>
              <w:rPr>
                <w:sz w:val="20"/>
              </w:rPr>
              <w:t>more</w:t>
            </w:r>
            <w:r>
              <w:rPr>
                <w:spacing w:val="-5"/>
                <w:sz w:val="20"/>
              </w:rPr>
              <w:t xml:space="preserve"> </w:t>
            </w:r>
            <w:r>
              <w:rPr>
                <w:spacing w:val="-2"/>
                <w:sz w:val="20"/>
              </w:rPr>
              <w:t>enjoyable.</w:t>
            </w:r>
          </w:p>
        </w:tc>
        <w:tc>
          <w:tcPr>
            <w:tcW w:w="1219" w:type="dxa"/>
            <w:tcBorders>
              <w:top w:val="single" w:sz="4" w:space="0" w:color="231F20"/>
              <w:bottom w:val="single" w:sz="4" w:space="0" w:color="231F20"/>
            </w:tcBorders>
          </w:tcPr>
          <w:p w14:paraId="30B54D8D" w14:textId="77777777" w:rsidR="00DB6E1F" w:rsidRDefault="00F666A6">
            <w:pPr>
              <w:pStyle w:val="TableParagraph"/>
              <w:ind w:left="644"/>
              <w:rPr>
                <w:sz w:val="20"/>
              </w:rPr>
            </w:pPr>
            <w:r>
              <w:rPr>
                <w:w w:val="99"/>
                <w:sz w:val="20"/>
              </w:rPr>
              <w:t>0</w:t>
            </w:r>
          </w:p>
        </w:tc>
        <w:tc>
          <w:tcPr>
            <w:tcW w:w="786" w:type="dxa"/>
            <w:tcBorders>
              <w:top w:val="single" w:sz="4" w:space="0" w:color="231F20"/>
              <w:bottom w:val="single" w:sz="4" w:space="0" w:color="231F20"/>
            </w:tcBorders>
          </w:tcPr>
          <w:p w14:paraId="366CF81C" w14:textId="77777777" w:rsidR="00DB6E1F" w:rsidRDefault="00F666A6">
            <w:pPr>
              <w:pStyle w:val="TableParagraph"/>
              <w:ind w:left="337"/>
              <w:rPr>
                <w:sz w:val="20"/>
              </w:rPr>
            </w:pPr>
            <w:r>
              <w:rPr>
                <w:w w:val="99"/>
                <w:sz w:val="20"/>
              </w:rPr>
              <w:t>1</w:t>
            </w:r>
          </w:p>
        </w:tc>
      </w:tr>
      <w:tr w:rsidR="00DB6E1F" w14:paraId="7BE7C4C3" w14:textId="77777777">
        <w:trPr>
          <w:trHeight w:val="277"/>
        </w:trPr>
        <w:tc>
          <w:tcPr>
            <w:tcW w:w="7458" w:type="dxa"/>
            <w:tcBorders>
              <w:top w:val="single" w:sz="4" w:space="0" w:color="231F20"/>
              <w:bottom w:val="single" w:sz="6" w:space="0" w:color="231F20"/>
            </w:tcBorders>
          </w:tcPr>
          <w:p w14:paraId="2C5A5389" w14:textId="77777777" w:rsidR="00DB6E1F" w:rsidRDefault="00F666A6">
            <w:pPr>
              <w:pStyle w:val="TableParagraph"/>
              <w:ind w:left="14"/>
              <w:rPr>
                <w:sz w:val="20"/>
              </w:rPr>
            </w:pPr>
            <w:r>
              <w:rPr>
                <w:sz w:val="20"/>
              </w:rPr>
              <w:t>36.</w:t>
            </w:r>
            <w:r>
              <w:rPr>
                <w:spacing w:val="47"/>
                <w:sz w:val="20"/>
              </w:rPr>
              <w:t xml:space="preserve">  </w:t>
            </w:r>
            <w:r>
              <w:rPr>
                <w:sz w:val="20"/>
              </w:rPr>
              <w:t>My</w:t>
            </w:r>
            <w:r>
              <w:rPr>
                <w:spacing w:val="-3"/>
                <w:sz w:val="20"/>
              </w:rPr>
              <w:t xml:space="preserve"> </w:t>
            </w:r>
            <w:r>
              <w:rPr>
                <w:sz w:val="20"/>
              </w:rPr>
              <w:t>spiritual</w:t>
            </w:r>
            <w:r>
              <w:rPr>
                <w:spacing w:val="-3"/>
                <w:sz w:val="20"/>
              </w:rPr>
              <w:t xml:space="preserve"> </w:t>
            </w:r>
            <w:r>
              <w:rPr>
                <w:sz w:val="20"/>
              </w:rPr>
              <w:t>or</w:t>
            </w:r>
            <w:r>
              <w:rPr>
                <w:spacing w:val="-3"/>
                <w:sz w:val="20"/>
              </w:rPr>
              <w:t xml:space="preserve"> </w:t>
            </w:r>
            <w:r>
              <w:rPr>
                <w:sz w:val="20"/>
              </w:rPr>
              <w:t>moral</w:t>
            </w:r>
            <w:r>
              <w:rPr>
                <w:spacing w:val="-3"/>
                <w:sz w:val="20"/>
              </w:rPr>
              <w:t xml:space="preserve"> </w:t>
            </w:r>
            <w:r>
              <w:rPr>
                <w:sz w:val="20"/>
              </w:rPr>
              <w:t>life</w:t>
            </w:r>
            <w:r>
              <w:rPr>
                <w:spacing w:val="-4"/>
                <w:sz w:val="20"/>
              </w:rPr>
              <w:t xml:space="preserve"> </w:t>
            </w:r>
            <w:r>
              <w:rPr>
                <w:sz w:val="20"/>
              </w:rPr>
              <w:t>has</w:t>
            </w:r>
            <w:r>
              <w:rPr>
                <w:spacing w:val="-2"/>
                <w:sz w:val="20"/>
              </w:rPr>
              <w:t xml:space="preserve"> </w:t>
            </w:r>
            <w:r>
              <w:rPr>
                <w:sz w:val="20"/>
              </w:rPr>
              <w:t>been</w:t>
            </w:r>
            <w:r>
              <w:rPr>
                <w:spacing w:val="-3"/>
                <w:sz w:val="20"/>
              </w:rPr>
              <w:t xml:space="preserve"> </w:t>
            </w:r>
            <w:r>
              <w:rPr>
                <w:sz w:val="20"/>
              </w:rPr>
              <w:t>harmed</w:t>
            </w:r>
            <w:r>
              <w:rPr>
                <w:spacing w:val="-2"/>
                <w:sz w:val="20"/>
              </w:rPr>
              <w:t xml:space="preserve"> </w:t>
            </w:r>
            <w:r>
              <w:rPr>
                <w:sz w:val="20"/>
              </w:rPr>
              <w:t>by</w:t>
            </w:r>
            <w:r>
              <w:rPr>
                <w:spacing w:val="-2"/>
                <w:sz w:val="20"/>
              </w:rPr>
              <w:t xml:space="preserve"> </w:t>
            </w:r>
            <w:r>
              <w:rPr>
                <w:sz w:val="20"/>
              </w:rPr>
              <w:t>my</w:t>
            </w:r>
            <w:r>
              <w:rPr>
                <w:spacing w:val="-4"/>
                <w:sz w:val="20"/>
              </w:rPr>
              <w:t xml:space="preserve"> </w:t>
            </w:r>
            <w:r>
              <w:rPr>
                <w:spacing w:val="-2"/>
                <w:sz w:val="20"/>
              </w:rPr>
              <w:t>drinking.</w:t>
            </w:r>
          </w:p>
        </w:tc>
        <w:tc>
          <w:tcPr>
            <w:tcW w:w="1219" w:type="dxa"/>
            <w:tcBorders>
              <w:top w:val="single" w:sz="4" w:space="0" w:color="231F20"/>
              <w:bottom w:val="single" w:sz="6" w:space="0" w:color="231F20"/>
            </w:tcBorders>
          </w:tcPr>
          <w:p w14:paraId="20436ADD" w14:textId="77777777" w:rsidR="00DB6E1F" w:rsidRDefault="00F666A6">
            <w:pPr>
              <w:pStyle w:val="TableParagraph"/>
              <w:ind w:left="644"/>
              <w:rPr>
                <w:sz w:val="20"/>
              </w:rPr>
            </w:pPr>
            <w:r>
              <w:rPr>
                <w:w w:val="99"/>
                <w:sz w:val="20"/>
              </w:rPr>
              <w:t>0</w:t>
            </w:r>
          </w:p>
        </w:tc>
        <w:tc>
          <w:tcPr>
            <w:tcW w:w="786" w:type="dxa"/>
            <w:tcBorders>
              <w:top w:val="single" w:sz="4" w:space="0" w:color="231F20"/>
              <w:bottom w:val="single" w:sz="6" w:space="0" w:color="231F20"/>
            </w:tcBorders>
          </w:tcPr>
          <w:p w14:paraId="55676DAF" w14:textId="77777777" w:rsidR="00DB6E1F" w:rsidRDefault="00F666A6">
            <w:pPr>
              <w:pStyle w:val="TableParagraph"/>
              <w:ind w:left="337"/>
              <w:rPr>
                <w:sz w:val="20"/>
              </w:rPr>
            </w:pPr>
            <w:r>
              <w:rPr>
                <w:w w:val="99"/>
                <w:sz w:val="20"/>
              </w:rPr>
              <w:t>1</w:t>
            </w:r>
          </w:p>
        </w:tc>
      </w:tr>
      <w:tr w:rsidR="00DB6E1F" w14:paraId="098E8C0E" w14:textId="77777777">
        <w:trPr>
          <w:trHeight w:val="273"/>
        </w:trPr>
        <w:tc>
          <w:tcPr>
            <w:tcW w:w="7458" w:type="dxa"/>
            <w:tcBorders>
              <w:top w:val="single" w:sz="6" w:space="0" w:color="231F20"/>
              <w:bottom w:val="single" w:sz="4" w:space="0" w:color="231F20"/>
            </w:tcBorders>
          </w:tcPr>
          <w:p w14:paraId="05746627" w14:textId="77777777" w:rsidR="00DB6E1F" w:rsidRDefault="00F666A6">
            <w:pPr>
              <w:pStyle w:val="TableParagraph"/>
              <w:ind w:left="14"/>
              <w:rPr>
                <w:sz w:val="20"/>
              </w:rPr>
            </w:pPr>
            <w:r>
              <w:rPr>
                <w:sz w:val="20"/>
              </w:rPr>
              <w:t>37.</w:t>
            </w:r>
            <w:r>
              <w:rPr>
                <w:spacing w:val="47"/>
                <w:sz w:val="20"/>
              </w:rPr>
              <w:t xml:space="preserve">  </w:t>
            </w:r>
            <w:r>
              <w:rPr>
                <w:sz w:val="20"/>
              </w:rPr>
              <w:t>Because</w:t>
            </w:r>
            <w:r>
              <w:rPr>
                <w:spacing w:val="-4"/>
                <w:sz w:val="20"/>
              </w:rPr>
              <w:t xml:space="preserve"> </w:t>
            </w:r>
            <w:r>
              <w:rPr>
                <w:sz w:val="20"/>
              </w:rPr>
              <w:t>of</w:t>
            </w:r>
            <w:r>
              <w:rPr>
                <w:spacing w:val="-4"/>
                <w:sz w:val="20"/>
              </w:rPr>
              <w:t xml:space="preserve"> </w:t>
            </w:r>
            <w:r>
              <w:rPr>
                <w:sz w:val="20"/>
              </w:rPr>
              <w:t>my</w:t>
            </w:r>
            <w:r>
              <w:rPr>
                <w:spacing w:val="-2"/>
                <w:sz w:val="20"/>
              </w:rPr>
              <w:t xml:space="preserve"> </w:t>
            </w:r>
            <w:r>
              <w:rPr>
                <w:sz w:val="20"/>
              </w:rPr>
              <w:t>drinking,</w:t>
            </w:r>
            <w:r>
              <w:rPr>
                <w:spacing w:val="-2"/>
                <w:sz w:val="20"/>
              </w:rPr>
              <w:t xml:space="preserve"> </w:t>
            </w:r>
            <w:r>
              <w:rPr>
                <w:sz w:val="20"/>
              </w:rPr>
              <w:t>I</w:t>
            </w:r>
            <w:r>
              <w:rPr>
                <w:spacing w:val="-3"/>
                <w:sz w:val="20"/>
              </w:rPr>
              <w:t xml:space="preserve"> </w:t>
            </w:r>
            <w:r>
              <w:rPr>
                <w:sz w:val="20"/>
              </w:rPr>
              <w:t>have</w:t>
            </w:r>
            <w:r>
              <w:rPr>
                <w:spacing w:val="-4"/>
                <w:sz w:val="20"/>
              </w:rPr>
              <w:t xml:space="preserve"> </w:t>
            </w:r>
            <w:r>
              <w:rPr>
                <w:sz w:val="20"/>
              </w:rPr>
              <w:t>not</w:t>
            </w:r>
            <w:r>
              <w:rPr>
                <w:spacing w:val="-3"/>
                <w:sz w:val="20"/>
              </w:rPr>
              <w:t xml:space="preserve"> </w:t>
            </w:r>
            <w:r>
              <w:rPr>
                <w:sz w:val="20"/>
              </w:rPr>
              <w:t>had</w:t>
            </w:r>
            <w:r>
              <w:rPr>
                <w:spacing w:val="-3"/>
                <w:sz w:val="20"/>
              </w:rPr>
              <w:t xml:space="preserve"> </w:t>
            </w:r>
            <w:r>
              <w:rPr>
                <w:sz w:val="20"/>
              </w:rPr>
              <w:t>the</w:t>
            </w:r>
            <w:r>
              <w:rPr>
                <w:spacing w:val="-4"/>
                <w:sz w:val="20"/>
              </w:rPr>
              <w:t xml:space="preserve"> </w:t>
            </w:r>
            <w:r>
              <w:rPr>
                <w:sz w:val="20"/>
              </w:rPr>
              <w:t>kind</w:t>
            </w:r>
            <w:r>
              <w:rPr>
                <w:spacing w:val="-2"/>
                <w:sz w:val="20"/>
              </w:rPr>
              <w:t xml:space="preserve"> </w:t>
            </w:r>
            <w:r>
              <w:rPr>
                <w:sz w:val="20"/>
              </w:rPr>
              <w:t>of</w:t>
            </w:r>
            <w:r>
              <w:rPr>
                <w:spacing w:val="-4"/>
                <w:sz w:val="20"/>
              </w:rPr>
              <w:t xml:space="preserve"> </w:t>
            </w:r>
            <w:r>
              <w:rPr>
                <w:sz w:val="20"/>
              </w:rPr>
              <w:t>life</w:t>
            </w:r>
            <w:r>
              <w:rPr>
                <w:spacing w:val="-4"/>
                <w:sz w:val="20"/>
              </w:rPr>
              <w:t xml:space="preserve"> </w:t>
            </w:r>
            <w:r>
              <w:rPr>
                <w:sz w:val="20"/>
              </w:rPr>
              <w:t>that</w:t>
            </w:r>
            <w:r>
              <w:rPr>
                <w:spacing w:val="-5"/>
                <w:sz w:val="20"/>
              </w:rPr>
              <w:t xml:space="preserve"> </w:t>
            </w:r>
            <w:r>
              <w:rPr>
                <w:sz w:val="20"/>
              </w:rPr>
              <w:t>I</w:t>
            </w:r>
            <w:r>
              <w:rPr>
                <w:spacing w:val="-3"/>
                <w:sz w:val="20"/>
              </w:rPr>
              <w:t xml:space="preserve"> </w:t>
            </w:r>
            <w:r>
              <w:rPr>
                <w:spacing w:val="-4"/>
                <w:sz w:val="20"/>
              </w:rPr>
              <w:t>want.</w:t>
            </w:r>
          </w:p>
        </w:tc>
        <w:tc>
          <w:tcPr>
            <w:tcW w:w="1219" w:type="dxa"/>
            <w:tcBorders>
              <w:top w:val="single" w:sz="6" w:space="0" w:color="231F20"/>
              <w:bottom w:val="single" w:sz="4" w:space="0" w:color="231F20"/>
            </w:tcBorders>
          </w:tcPr>
          <w:p w14:paraId="5D7F9CA4" w14:textId="77777777" w:rsidR="00DB6E1F" w:rsidRDefault="00F666A6">
            <w:pPr>
              <w:pStyle w:val="TableParagraph"/>
              <w:ind w:left="656"/>
              <w:rPr>
                <w:sz w:val="20"/>
              </w:rPr>
            </w:pPr>
            <w:r>
              <w:rPr>
                <w:w w:val="99"/>
                <w:sz w:val="20"/>
              </w:rPr>
              <w:t>0</w:t>
            </w:r>
          </w:p>
        </w:tc>
        <w:tc>
          <w:tcPr>
            <w:tcW w:w="786" w:type="dxa"/>
            <w:tcBorders>
              <w:top w:val="single" w:sz="6" w:space="0" w:color="231F20"/>
              <w:bottom w:val="single" w:sz="4" w:space="0" w:color="231F20"/>
            </w:tcBorders>
          </w:tcPr>
          <w:p w14:paraId="03A91B72" w14:textId="77777777" w:rsidR="00DB6E1F" w:rsidRDefault="00F666A6">
            <w:pPr>
              <w:pStyle w:val="TableParagraph"/>
              <w:ind w:left="337"/>
              <w:rPr>
                <w:sz w:val="20"/>
              </w:rPr>
            </w:pPr>
            <w:r>
              <w:rPr>
                <w:w w:val="99"/>
                <w:sz w:val="20"/>
              </w:rPr>
              <w:t>1</w:t>
            </w:r>
          </w:p>
        </w:tc>
      </w:tr>
      <w:tr w:rsidR="00DB6E1F" w14:paraId="04161F8B" w14:textId="77777777">
        <w:trPr>
          <w:trHeight w:val="277"/>
        </w:trPr>
        <w:tc>
          <w:tcPr>
            <w:tcW w:w="7458" w:type="dxa"/>
            <w:tcBorders>
              <w:top w:val="single" w:sz="4" w:space="0" w:color="231F20"/>
              <w:bottom w:val="single" w:sz="4" w:space="0" w:color="231F20"/>
            </w:tcBorders>
          </w:tcPr>
          <w:p w14:paraId="3C9FABEF" w14:textId="77777777" w:rsidR="00DB6E1F" w:rsidRDefault="00F666A6">
            <w:pPr>
              <w:pStyle w:val="TableParagraph"/>
              <w:ind w:left="14"/>
              <w:rPr>
                <w:sz w:val="20"/>
              </w:rPr>
            </w:pPr>
            <w:r>
              <w:rPr>
                <w:sz w:val="20"/>
              </w:rPr>
              <w:t>38.</w:t>
            </w:r>
            <w:r>
              <w:rPr>
                <w:spacing w:val="47"/>
                <w:sz w:val="20"/>
              </w:rPr>
              <w:t xml:space="preserve">  </w:t>
            </w:r>
            <w:r>
              <w:rPr>
                <w:sz w:val="20"/>
              </w:rPr>
              <w:t>My</w:t>
            </w:r>
            <w:r>
              <w:rPr>
                <w:spacing w:val="-1"/>
                <w:sz w:val="20"/>
              </w:rPr>
              <w:t xml:space="preserve"> </w:t>
            </w:r>
            <w:r>
              <w:rPr>
                <w:sz w:val="20"/>
              </w:rPr>
              <w:t>drinking</w:t>
            </w:r>
            <w:r>
              <w:rPr>
                <w:spacing w:val="-3"/>
                <w:sz w:val="20"/>
              </w:rPr>
              <w:t xml:space="preserve"> </w:t>
            </w:r>
            <w:r>
              <w:rPr>
                <w:sz w:val="20"/>
              </w:rPr>
              <w:t>has</w:t>
            </w:r>
            <w:r>
              <w:rPr>
                <w:spacing w:val="-3"/>
                <w:sz w:val="20"/>
              </w:rPr>
              <w:t xml:space="preserve"> </w:t>
            </w:r>
            <w:r>
              <w:rPr>
                <w:sz w:val="20"/>
              </w:rPr>
              <w:t>gotten</w:t>
            </w:r>
            <w:r>
              <w:rPr>
                <w:spacing w:val="-2"/>
                <w:sz w:val="20"/>
              </w:rPr>
              <w:t xml:space="preserve"> </w:t>
            </w:r>
            <w:r>
              <w:rPr>
                <w:sz w:val="20"/>
              </w:rPr>
              <w:t>in</w:t>
            </w:r>
            <w:r>
              <w:rPr>
                <w:spacing w:val="-2"/>
                <w:sz w:val="20"/>
              </w:rPr>
              <w:t xml:space="preserve"> </w:t>
            </w:r>
            <w:r>
              <w:rPr>
                <w:sz w:val="20"/>
              </w:rPr>
              <w:t>the</w:t>
            </w:r>
            <w:r>
              <w:rPr>
                <w:spacing w:val="-6"/>
                <w:sz w:val="20"/>
              </w:rPr>
              <w:t xml:space="preserve"> </w:t>
            </w:r>
            <w:r>
              <w:rPr>
                <w:sz w:val="20"/>
              </w:rPr>
              <w:t>way</w:t>
            </w:r>
            <w:r>
              <w:rPr>
                <w:spacing w:val="-2"/>
                <w:sz w:val="20"/>
              </w:rPr>
              <w:t xml:space="preserve"> </w:t>
            </w:r>
            <w:r>
              <w:rPr>
                <w:sz w:val="20"/>
              </w:rPr>
              <w:t>of</w:t>
            </w:r>
            <w:r>
              <w:rPr>
                <w:spacing w:val="-3"/>
                <w:sz w:val="20"/>
              </w:rPr>
              <w:t xml:space="preserve"> </w:t>
            </w:r>
            <w:r>
              <w:rPr>
                <w:sz w:val="20"/>
              </w:rPr>
              <w:t>my</w:t>
            </w:r>
            <w:r>
              <w:rPr>
                <w:spacing w:val="-2"/>
                <w:sz w:val="20"/>
              </w:rPr>
              <w:t xml:space="preserve"> </w:t>
            </w:r>
            <w:r>
              <w:rPr>
                <w:sz w:val="20"/>
              </w:rPr>
              <w:t>growth</w:t>
            </w:r>
            <w:r>
              <w:rPr>
                <w:spacing w:val="-2"/>
                <w:sz w:val="20"/>
              </w:rPr>
              <w:t xml:space="preserve"> </w:t>
            </w:r>
            <w:r>
              <w:rPr>
                <w:sz w:val="20"/>
              </w:rPr>
              <w:t>as</w:t>
            </w:r>
            <w:r>
              <w:rPr>
                <w:spacing w:val="-4"/>
                <w:sz w:val="20"/>
              </w:rPr>
              <w:t xml:space="preserve"> </w:t>
            </w:r>
            <w:r>
              <w:rPr>
                <w:sz w:val="20"/>
              </w:rPr>
              <w:t>a</w:t>
            </w:r>
            <w:r>
              <w:rPr>
                <w:spacing w:val="-2"/>
                <w:sz w:val="20"/>
              </w:rPr>
              <w:t xml:space="preserve"> person.</w:t>
            </w:r>
          </w:p>
        </w:tc>
        <w:tc>
          <w:tcPr>
            <w:tcW w:w="1219" w:type="dxa"/>
            <w:tcBorders>
              <w:top w:val="single" w:sz="4" w:space="0" w:color="231F20"/>
              <w:bottom w:val="single" w:sz="4" w:space="0" w:color="231F20"/>
            </w:tcBorders>
          </w:tcPr>
          <w:p w14:paraId="5493C82A" w14:textId="77777777" w:rsidR="00DB6E1F" w:rsidRDefault="00F666A6">
            <w:pPr>
              <w:pStyle w:val="TableParagraph"/>
              <w:ind w:left="656"/>
              <w:rPr>
                <w:sz w:val="20"/>
              </w:rPr>
            </w:pPr>
            <w:r>
              <w:rPr>
                <w:w w:val="99"/>
                <w:sz w:val="20"/>
              </w:rPr>
              <w:t>0</w:t>
            </w:r>
          </w:p>
        </w:tc>
        <w:tc>
          <w:tcPr>
            <w:tcW w:w="786" w:type="dxa"/>
            <w:tcBorders>
              <w:top w:val="single" w:sz="4" w:space="0" w:color="231F20"/>
              <w:bottom w:val="single" w:sz="4" w:space="0" w:color="231F20"/>
            </w:tcBorders>
          </w:tcPr>
          <w:p w14:paraId="4472D304" w14:textId="77777777" w:rsidR="00DB6E1F" w:rsidRDefault="00F666A6">
            <w:pPr>
              <w:pStyle w:val="TableParagraph"/>
              <w:ind w:left="337"/>
              <w:rPr>
                <w:sz w:val="20"/>
              </w:rPr>
            </w:pPr>
            <w:r>
              <w:rPr>
                <w:w w:val="99"/>
                <w:sz w:val="20"/>
              </w:rPr>
              <w:t>1</w:t>
            </w:r>
          </w:p>
        </w:tc>
      </w:tr>
    </w:tbl>
    <w:p w14:paraId="5FC4B7DD" w14:textId="77777777" w:rsidR="00DB6E1F" w:rsidRDefault="00DB6E1F">
      <w:pPr>
        <w:rPr>
          <w:sz w:val="20"/>
        </w:rPr>
        <w:sectPr w:rsidR="00DB6E1F">
          <w:pgSz w:w="12240" w:h="15840"/>
          <w:pgMar w:top="1200" w:right="0" w:bottom="780" w:left="0" w:header="763" w:footer="585" w:gutter="0"/>
          <w:cols w:space="720"/>
        </w:sectPr>
      </w:pPr>
    </w:p>
    <w:p w14:paraId="18CE851C" w14:textId="77777777" w:rsidR="00DB6E1F" w:rsidRDefault="00DB6E1F">
      <w:pPr>
        <w:pStyle w:val="BodyText"/>
        <w:spacing w:before="8"/>
        <w:rPr>
          <w:sz w:val="19"/>
        </w:rPr>
      </w:pPr>
    </w:p>
    <w:tbl>
      <w:tblPr>
        <w:tblW w:w="0" w:type="auto"/>
        <w:tblInd w:w="14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19"/>
        <w:gridCol w:w="682"/>
        <w:gridCol w:w="851"/>
      </w:tblGrid>
      <w:tr w:rsidR="00DB6E1F" w14:paraId="1BFC1462" w14:textId="77777777">
        <w:trPr>
          <w:trHeight w:val="277"/>
        </w:trPr>
        <w:tc>
          <w:tcPr>
            <w:tcW w:w="7919" w:type="dxa"/>
            <w:tcBorders>
              <w:left w:val="nil"/>
              <w:right w:val="nil"/>
            </w:tcBorders>
          </w:tcPr>
          <w:p w14:paraId="45D54542" w14:textId="77777777" w:rsidR="00DB6E1F" w:rsidRDefault="00F666A6">
            <w:pPr>
              <w:pStyle w:val="TableParagraph"/>
              <w:ind w:left="4"/>
              <w:rPr>
                <w:sz w:val="20"/>
              </w:rPr>
            </w:pPr>
            <w:r>
              <w:rPr>
                <w:sz w:val="20"/>
              </w:rPr>
              <w:t>39.</w:t>
            </w:r>
            <w:r>
              <w:rPr>
                <w:spacing w:val="45"/>
                <w:sz w:val="20"/>
              </w:rPr>
              <w:t xml:space="preserve">  </w:t>
            </w:r>
            <w:r>
              <w:rPr>
                <w:sz w:val="20"/>
              </w:rPr>
              <w:t>My</w:t>
            </w:r>
            <w:r>
              <w:rPr>
                <w:spacing w:val="-2"/>
                <w:sz w:val="20"/>
              </w:rPr>
              <w:t xml:space="preserve"> </w:t>
            </w:r>
            <w:r>
              <w:rPr>
                <w:sz w:val="20"/>
              </w:rPr>
              <w:t>drinking</w:t>
            </w:r>
            <w:r>
              <w:rPr>
                <w:spacing w:val="-3"/>
                <w:sz w:val="20"/>
              </w:rPr>
              <w:t xml:space="preserve"> </w:t>
            </w:r>
            <w:r>
              <w:rPr>
                <w:sz w:val="20"/>
              </w:rPr>
              <w:t>has</w:t>
            </w:r>
            <w:r>
              <w:rPr>
                <w:spacing w:val="-5"/>
                <w:sz w:val="20"/>
              </w:rPr>
              <w:t xml:space="preserve"> </w:t>
            </w:r>
            <w:r>
              <w:rPr>
                <w:sz w:val="20"/>
              </w:rPr>
              <w:t>damaged</w:t>
            </w:r>
            <w:r>
              <w:rPr>
                <w:spacing w:val="-3"/>
                <w:sz w:val="20"/>
              </w:rPr>
              <w:t xml:space="preserve"> </w:t>
            </w:r>
            <w:r>
              <w:rPr>
                <w:sz w:val="20"/>
              </w:rPr>
              <w:t>my</w:t>
            </w:r>
            <w:r>
              <w:rPr>
                <w:spacing w:val="-3"/>
                <w:sz w:val="20"/>
              </w:rPr>
              <w:t xml:space="preserve"> </w:t>
            </w:r>
            <w:r>
              <w:rPr>
                <w:sz w:val="20"/>
              </w:rPr>
              <w:t>social</w:t>
            </w:r>
            <w:r>
              <w:rPr>
                <w:spacing w:val="-3"/>
                <w:sz w:val="20"/>
              </w:rPr>
              <w:t xml:space="preserve"> </w:t>
            </w:r>
            <w:r>
              <w:rPr>
                <w:sz w:val="20"/>
              </w:rPr>
              <w:t>life,</w:t>
            </w:r>
            <w:r>
              <w:rPr>
                <w:spacing w:val="-3"/>
                <w:sz w:val="20"/>
              </w:rPr>
              <w:t xml:space="preserve"> </w:t>
            </w:r>
            <w:r>
              <w:rPr>
                <w:sz w:val="20"/>
              </w:rPr>
              <w:t>popularity,</w:t>
            </w:r>
            <w:r>
              <w:rPr>
                <w:spacing w:val="-3"/>
                <w:sz w:val="20"/>
              </w:rPr>
              <w:t xml:space="preserve"> </w:t>
            </w:r>
            <w:r>
              <w:rPr>
                <w:sz w:val="20"/>
              </w:rPr>
              <w:t>or</w:t>
            </w:r>
            <w:r>
              <w:rPr>
                <w:spacing w:val="-4"/>
                <w:sz w:val="20"/>
              </w:rPr>
              <w:t xml:space="preserve"> </w:t>
            </w:r>
            <w:r>
              <w:rPr>
                <w:spacing w:val="-2"/>
                <w:sz w:val="20"/>
              </w:rPr>
              <w:t>reputation.</w:t>
            </w:r>
          </w:p>
        </w:tc>
        <w:tc>
          <w:tcPr>
            <w:tcW w:w="682" w:type="dxa"/>
            <w:tcBorders>
              <w:left w:val="nil"/>
              <w:right w:val="nil"/>
            </w:tcBorders>
          </w:tcPr>
          <w:p w14:paraId="21CED6C3" w14:textId="77777777" w:rsidR="00DB6E1F" w:rsidRDefault="00F666A6">
            <w:pPr>
              <w:pStyle w:val="TableParagraph"/>
              <w:ind w:left="185"/>
              <w:rPr>
                <w:sz w:val="20"/>
              </w:rPr>
            </w:pPr>
            <w:r>
              <w:rPr>
                <w:w w:val="99"/>
                <w:sz w:val="20"/>
              </w:rPr>
              <w:t>0</w:t>
            </w:r>
          </w:p>
        </w:tc>
        <w:tc>
          <w:tcPr>
            <w:tcW w:w="851" w:type="dxa"/>
            <w:tcBorders>
              <w:left w:val="nil"/>
              <w:right w:val="nil"/>
            </w:tcBorders>
          </w:tcPr>
          <w:p w14:paraId="1711ABE4" w14:textId="77777777" w:rsidR="00DB6E1F" w:rsidRDefault="00F666A6">
            <w:pPr>
              <w:pStyle w:val="TableParagraph"/>
              <w:ind w:left="0" w:right="344"/>
              <w:jc w:val="right"/>
              <w:rPr>
                <w:sz w:val="20"/>
              </w:rPr>
            </w:pPr>
            <w:r>
              <w:rPr>
                <w:w w:val="99"/>
                <w:sz w:val="20"/>
              </w:rPr>
              <w:t>1</w:t>
            </w:r>
          </w:p>
        </w:tc>
      </w:tr>
      <w:tr w:rsidR="00DB6E1F" w14:paraId="763B9B06" w14:textId="77777777">
        <w:trPr>
          <w:trHeight w:val="277"/>
        </w:trPr>
        <w:tc>
          <w:tcPr>
            <w:tcW w:w="7919" w:type="dxa"/>
            <w:tcBorders>
              <w:left w:val="nil"/>
              <w:right w:val="nil"/>
            </w:tcBorders>
          </w:tcPr>
          <w:p w14:paraId="30A6C32D" w14:textId="77777777" w:rsidR="00DB6E1F" w:rsidRDefault="00F666A6">
            <w:pPr>
              <w:pStyle w:val="TableParagraph"/>
              <w:ind w:left="4"/>
              <w:rPr>
                <w:sz w:val="20"/>
              </w:rPr>
            </w:pPr>
            <w:r>
              <w:rPr>
                <w:sz w:val="20"/>
              </w:rPr>
              <w:t>40.</w:t>
            </w:r>
            <w:r>
              <w:rPr>
                <w:spacing w:val="44"/>
                <w:sz w:val="20"/>
              </w:rPr>
              <w:t xml:space="preserve">  </w:t>
            </w:r>
            <w:r>
              <w:rPr>
                <w:sz w:val="20"/>
              </w:rPr>
              <w:t>I</w:t>
            </w:r>
            <w:r>
              <w:rPr>
                <w:spacing w:val="-3"/>
                <w:sz w:val="20"/>
              </w:rPr>
              <w:t xml:space="preserve"> </w:t>
            </w:r>
            <w:r>
              <w:rPr>
                <w:sz w:val="20"/>
              </w:rPr>
              <w:t>have</w:t>
            </w:r>
            <w:r>
              <w:rPr>
                <w:spacing w:val="-4"/>
                <w:sz w:val="20"/>
              </w:rPr>
              <w:t xml:space="preserve"> </w:t>
            </w:r>
            <w:r>
              <w:rPr>
                <w:sz w:val="20"/>
              </w:rPr>
              <w:t>spent</w:t>
            </w:r>
            <w:r>
              <w:rPr>
                <w:spacing w:val="-4"/>
                <w:sz w:val="20"/>
              </w:rPr>
              <w:t xml:space="preserve"> </w:t>
            </w:r>
            <w:r>
              <w:rPr>
                <w:sz w:val="20"/>
              </w:rPr>
              <w:t>too</w:t>
            </w:r>
            <w:r>
              <w:rPr>
                <w:spacing w:val="-3"/>
                <w:sz w:val="20"/>
              </w:rPr>
              <w:t xml:space="preserve"> </w:t>
            </w:r>
            <w:r>
              <w:rPr>
                <w:sz w:val="20"/>
              </w:rPr>
              <w:t>much</w:t>
            </w:r>
            <w:r>
              <w:rPr>
                <w:spacing w:val="-3"/>
                <w:sz w:val="20"/>
              </w:rPr>
              <w:t xml:space="preserve"> </w:t>
            </w:r>
            <w:r>
              <w:rPr>
                <w:sz w:val="20"/>
              </w:rPr>
              <w:t>or</w:t>
            </w:r>
            <w:r>
              <w:rPr>
                <w:spacing w:val="-3"/>
                <w:sz w:val="20"/>
              </w:rPr>
              <w:t xml:space="preserve"> </w:t>
            </w:r>
            <w:r>
              <w:rPr>
                <w:sz w:val="20"/>
              </w:rPr>
              <w:t>lost</w:t>
            </w:r>
            <w:r>
              <w:rPr>
                <w:spacing w:val="-1"/>
                <w:sz w:val="20"/>
              </w:rPr>
              <w:t xml:space="preserve"> </w:t>
            </w:r>
            <w:r>
              <w:rPr>
                <w:sz w:val="20"/>
              </w:rPr>
              <w:t>a</w:t>
            </w:r>
            <w:r>
              <w:rPr>
                <w:spacing w:val="-2"/>
                <w:sz w:val="20"/>
              </w:rPr>
              <w:t xml:space="preserve"> </w:t>
            </w:r>
            <w:r>
              <w:rPr>
                <w:sz w:val="20"/>
              </w:rPr>
              <w:t>lot</w:t>
            </w:r>
            <w:r>
              <w:rPr>
                <w:spacing w:val="-3"/>
                <w:sz w:val="20"/>
              </w:rPr>
              <w:t xml:space="preserve"> </w:t>
            </w:r>
            <w:r>
              <w:rPr>
                <w:sz w:val="20"/>
              </w:rPr>
              <w:t>of</w:t>
            </w:r>
            <w:r>
              <w:rPr>
                <w:spacing w:val="-5"/>
                <w:sz w:val="20"/>
              </w:rPr>
              <w:t xml:space="preserve"> </w:t>
            </w:r>
            <w:r>
              <w:rPr>
                <w:sz w:val="20"/>
              </w:rPr>
              <w:t>money</w:t>
            </w:r>
            <w:r>
              <w:rPr>
                <w:spacing w:val="-2"/>
                <w:sz w:val="20"/>
              </w:rPr>
              <w:t xml:space="preserve"> </w:t>
            </w:r>
            <w:r>
              <w:rPr>
                <w:sz w:val="20"/>
              </w:rPr>
              <w:t>because</w:t>
            </w:r>
            <w:r>
              <w:rPr>
                <w:spacing w:val="-5"/>
                <w:sz w:val="20"/>
              </w:rPr>
              <w:t xml:space="preserve"> </w:t>
            </w:r>
            <w:r>
              <w:rPr>
                <w:sz w:val="20"/>
              </w:rPr>
              <w:t>of</w:t>
            </w:r>
            <w:r>
              <w:rPr>
                <w:spacing w:val="-4"/>
                <w:sz w:val="20"/>
              </w:rPr>
              <w:t xml:space="preserve"> </w:t>
            </w:r>
            <w:r>
              <w:rPr>
                <w:sz w:val="20"/>
              </w:rPr>
              <w:t xml:space="preserve">my </w:t>
            </w:r>
            <w:r>
              <w:rPr>
                <w:spacing w:val="-2"/>
                <w:sz w:val="20"/>
              </w:rPr>
              <w:t>drinking.</w:t>
            </w:r>
          </w:p>
        </w:tc>
        <w:tc>
          <w:tcPr>
            <w:tcW w:w="682" w:type="dxa"/>
            <w:tcBorders>
              <w:left w:val="nil"/>
              <w:right w:val="nil"/>
            </w:tcBorders>
          </w:tcPr>
          <w:p w14:paraId="089A6B72" w14:textId="77777777" w:rsidR="00DB6E1F" w:rsidRDefault="00F666A6">
            <w:pPr>
              <w:pStyle w:val="TableParagraph"/>
              <w:ind w:left="185"/>
              <w:rPr>
                <w:sz w:val="20"/>
              </w:rPr>
            </w:pPr>
            <w:r>
              <w:rPr>
                <w:w w:val="99"/>
                <w:sz w:val="20"/>
              </w:rPr>
              <w:t>0</w:t>
            </w:r>
          </w:p>
        </w:tc>
        <w:tc>
          <w:tcPr>
            <w:tcW w:w="851" w:type="dxa"/>
            <w:tcBorders>
              <w:left w:val="nil"/>
              <w:right w:val="nil"/>
            </w:tcBorders>
          </w:tcPr>
          <w:p w14:paraId="27189C94" w14:textId="77777777" w:rsidR="00DB6E1F" w:rsidRDefault="00F666A6">
            <w:pPr>
              <w:pStyle w:val="TableParagraph"/>
              <w:ind w:left="0" w:right="344"/>
              <w:jc w:val="right"/>
              <w:rPr>
                <w:sz w:val="20"/>
              </w:rPr>
            </w:pPr>
            <w:r>
              <w:rPr>
                <w:w w:val="99"/>
                <w:sz w:val="20"/>
              </w:rPr>
              <w:t>1</w:t>
            </w:r>
          </w:p>
        </w:tc>
      </w:tr>
      <w:tr w:rsidR="00DB6E1F" w14:paraId="53AE3024" w14:textId="77777777">
        <w:trPr>
          <w:trHeight w:val="277"/>
        </w:trPr>
        <w:tc>
          <w:tcPr>
            <w:tcW w:w="7919" w:type="dxa"/>
            <w:tcBorders>
              <w:left w:val="nil"/>
              <w:right w:val="nil"/>
            </w:tcBorders>
          </w:tcPr>
          <w:p w14:paraId="67B73D66" w14:textId="77777777" w:rsidR="00DB6E1F" w:rsidRDefault="00F666A6">
            <w:pPr>
              <w:pStyle w:val="TableParagraph"/>
              <w:ind w:left="4"/>
              <w:rPr>
                <w:sz w:val="20"/>
              </w:rPr>
            </w:pPr>
            <w:r>
              <w:rPr>
                <w:sz w:val="20"/>
              </w:rPr>
              <w:t>41.</w:t>
            </w:r>
            <w:r>
              <w:rPr>
                <w:spacing w:val="45"/>
                <w:sz w:val="20"/>
              </w:rPr>
              <w:t xml:space="preserve">  </w:t>
            </w:r>
            <w:r>
              <w:rPr>
                <w:sz w:val="20"/>
              </w:rPr>
              <w:t>I</w:t>
            </w:r>
            <w:r>
              <w:rPr>
                <w:spacing w:val="-4"/>
                <w:sz w:val="20"/>
              </w:rPr>
              <w:t xml:space="preserve"> </w:t>
            </w:r>
            <w:r>
              <w:rPr>
                <w:sz w:val="20"/>
              </w:rPr>
              <w:t>have</w:t>
            </w:r>
            <w:r>
              <w:rPr>
                <w:spacing w:val="-4"/>
                <w:sz w:val="20"/>
              </w:rPr>
              <w:t xml:space="preserve"> </w:t>
            </w:r>
            <w:r>
              <w:rPr>
                <w:sz w:val="20"/>
              </w:rPr>
              <w:t>been</w:t>
            </w:r>
            <w:r>
              <w:rPr>
                <w:spacing w:val="-3"/>
                <w:sz w:val="20"/>
              </w:rPr>
              <w:t xml:space="preserve"> </w:t>
            </w:r>
            <w:r>
              <w:rPr>
                <w:sz w:val="20"/>
              </w:rPr>
              <w:t>arrested</w:t>
            </w:r>
            <w:r>
              <w:rPr>
                <w:spacing w:val="-3"/>
                <w:sz w:val="20"/>
              </w:rPr>
              <w:t xml:space="preserve"> </w:t>
            </w:r>
            <w:r>
              <w:rPr>
                <w:sz w:val="20"/>
              </w:rPr>
              <w:t>for</w:t>
            </w:r>
            <w:r>
              <w:rPr>
                <w:spacing w:val="-4"/>
                <w:sz w:val="20"/>
              </w:rPr>
              <w:t xml:space="preserve"> </w:t>
            </w:r>
            <w:r>
              <w:rPr>
                <w:sz w:val="20"/>
              </w:rPr>
              <w:t>driving</w:t>
            </w:r>
            <w:r>
              <w:rPr>
                <w:spacing w:val="-4"/>
                <w:sz w:val="20"/>
              </w:rPr>
              <w:t xml:space="preserve"> </w:t>
            </w:r>
            <w:r>
              <w:rPr>
                <w:sz w:val="20"/>
              </w:rPr>
              <w:t>under</w:t>
            </w:r>
            <w:r>
              <w:rPr>
                <w:spacing w:val="-4"/>
                <w:sz w:val="20"/>
              </w:rPr>
              <w:t xml:space="preserve"> </w:t>
            </w:r>
            <w:r>
              <w:rPr>
                <w:sz w:val="20"/>
              </w:rPr>
              <w:t>the</w:t>
            </w:r>
            <w:r>
              <w:rPr>
                <w:spacing w:val="-5"/>
                <w:sz w:val="20"/>
              </w:rPr>
              <w:t xml:space="preserve"> </w:t>
            </w:r>
            <w:r>
              <w:rPr>
                <w:sz w:val="20"/>
              </w:rPr>
              <w:t>influence</w:t>
            </w:r>
            <w:r>
              <w:rPr>
                <w:spacing w:val="-4"/>
                <w:sz w:val="20"/>
              </w:rPr>
              <w:t xml:space="preserve"> </w:t>
            </w:r>
            <w:r>
              <w:rPr>
                <w:sz w:val="20"/>
              </w:rPr>
              <w:t>of</w:t>
            </w:r>
            <w:r>
              <w:rPr>
                <w:spacing w:val="-5"/>
                <w:sz w:val="20"/>
              </w:rPr>
              <w:t xml:space="preserve"> </w:t>
            </w:r>
            <w:r>
              <w:rPr>
                <w:spacing w:val="-2"/>
                <w:sz w:val="20"/>
              </w:rPr>
              <w:t>alcohol.</w:t>
            </w:r>
          </w:p>
        </w:tc>
        <w:tc>
          <w:tcPr>
            <w:tcW w:w="682" w:type="dxa"/>
            <w:tcBorders>
              <w:left w:val="nil"/>
              <w:right w:val="nil"/>
            </w:tcBorders>
          </w:tcPr>
          <w:p w14:paraId="7BBB5495" w14:textId="77777777" w:rsidR="00DB6E1F" w:rsidRDefault="00F666A6">
            <w:pPr>
              <w:pStyle w:val="TableParagraph"/>
              <w:ind w:left="185"/>
              <w:rPr>
                <w:sz w:val="20"/>
              </w:rPr>
            </w:pPr>
            <w:r>
              <w:rPr>
                <w:w w:val="99"/>
                <w:sz w:val="20"/>
              </w:rPr>
              <w:t>0</w:t>
            </w:r>
          </w:p>
        </w:tc>
        <w:tc>
          <w:tcPr>
            <w:tcW w:w="851" w:type="dxa"/>
            <w:tcBorders>
              <w:left w:val="nil"/>
              <w:right w:val="nil"/>
            </w:tcBorders>
          </w:tcPr>
          <w:p w14:paraId="5CA8D2DC" w14:textId="77777777" w:rsidR="00DB6E1F" w:rsidRDefault="00F666A6">
            <w:pPr>
              <w:pStyle w:val="TableParagraph"/>
              <w:ind w:left="0" w:right="344"/>
              <w:jc w:val="right"/>
              <w:rPr>
                <w:sz w:val="20"/>
              </w:rPr>
            </w:pPr>
            <w:r>
              <w:rPr>
                <w:w w:val="99"/>
                <w:sz w:val="20"/>
              </w:rPr>
              <w:t>1</w:t>
            </w:r>
          </w:p>
        </w:tc>
      </w:tr>
      <w:tr w:rsidR="00DB6E1F" w14:paraId="2B694244" w14:textId="77777777">
        <w:trPr>
          <w:trHeight w:val="278"/>
        </w:trPr>
        <w:tc>
          <w:tcPr>
            <w:tcW w:w="7919" w:type="dxa"/>
            <w:tcBorders>
              <w:left w:val="nil"/>
              <w:right w:val="nil"/>
            </w:tcBorders>
          </w:tcPr>
          <w:p w14:paraId="5C79B655" w14:textId="77777777" w:rsidR="00DB6E1F" w:rsidRDefault="00F666A6">
            <w:pPr>
              <w:pStyle w:val="TableParagraph"/>
              <w:ind w:left="4"/>
              <w:rPr>
                <w:sz w:val="20"/>
              </w:rPr>
            </w:pPr>
            <w:r>
              <w:rPr>
                <w:sz w:val="20"/>
              </w:rPr>
              <w:t>42.</w:t>
            </w:r>
            <w:r>
              <w:rPr>
                <w:spacing w:val="44"/>
                <w:sz w:val="20"/>
              </w:rPr>
              <w:t xml:space="preserve">  </w:t>
            </w:r>
            <w:r>
              <w:rPr>
                <w:sz w:val="20"/>
              </w:rPr>
              <w:t>I</w:t>
            </w:r>
            <w:r>
              <w:rPr>
                <w:spacing w:val="-5"/>
                <w:sz w:val="20"/>
              </w:rPr>
              <w:t xml:space="preserve"> </w:t>
            </w:r>
            <w:r>
              <w:rPr>
                <w:sz w:val="20"/>
              </w:rPr>
              <w:t>have</w:t>
            </w:r>
            <w:r>
              <w:rPr>
                <w:spacing w:val="-5"/>
                <w:sz w:val="20"/>
              </w:rPr>
              <w:t xml:space="preserve"> </w:t>
            </w:r>
            <w:r>
              <w:rPr>
                <w:sz w:val="20"/>
              </w:rPr>
              <w:t>had</w:t>
            </w:r>
            <w:r>
              <w:rPr>
                <w:spacing w:val="-3"/>
                <w:sz w:val="20"/>
              </w:rPr>
              <w:t xml:space="preserve"> </w:t>
            </w:r>
            <w:r>
              <w:rPr>
                <w:sz w:val="20"/>
              </w:rPr>
              <w:t>trouble</w:t>
            </w:r>
            <w:r>
              <w:rPr>
                <w:spacing w:val="-6"/>
                <w:sz w:val="20"/>
              </w:rPr>
              <w:t xml:space="preserve"> </w:t>
            </w:r>
            <w:r>
              <w:rPr>
                <w:sz w:val="20"/>
              </w:rPr>
              <w:t>with</w:t>
            </w:r>
            <w:r>
              <w:rPr>
                <w:spacing w:val="-3"/>
                <w:sz w:val="20"/>
              </w:rPr>
              <w:t xml:space="preserve"> </w:t>
            </w:r>
            <w:r>
              <w:rPr>
                <w:sz w:val="20"/>
              </w:rPr>
              <w:t>the</w:t>
            </w:r>
            <w:r>
              <w:rPr>
                <w:spacing w:val="-6"/>
                <w:sz w:val="20"/>
              </w:rPr>
              <w:t xml:space="preserve"> </w:t>
            </w:r>
            <w:r>
              <w:rPr>
                <w:sz w:val="20"/>
              </w:rPr>
              <w:t>law</w:t>
            </w:r>
            <w:r>
              <w:rPr>
                <w:spacing w:val="-5"/>
                <w:sz w:val="20"/>
              </w:rPr>
              <w:t xml:space="preserve"> </w:t>
            </w:r>
            <w:r>
              <w:rPr>
                <w:sz w:val="20"/>
              </w:rPr>
              <w:t>(other</w:t>
            </w:r>
            <w:r>
              <w:rPr>
                <w:spacing w:val="-4"/>
                <w:sz w:val="20"/>
              </w:rPr>
              <w:t xml:space="preserve"> </w:t>
            </w:r>
            <w:r>
              <w:rPr>
                <w:sz w:val="20"/>
              </w:rPr>
              <w:t>than</w:t>
            </w:r>
            <w:r>
              <w:rPr>
                <w:spacing w:val="-4"/>
                <w:sz w:val="20"/>
              </w:rPr>
              <w:t xml:space="preserve"> </w:t>
            </w:r>
            <w:r>
              <w:rPr>
                <w:sz w:val="20"/>
              </w:rPr>
              <w:t>driving</w:t>
            </w:r>
            <w:r>
              <w:rPr>
                <w:spacing w:val="-4"/>
                <w:sz w:val="20"/>
              </w:rPr>
              <w:t xml:space="preserve"> </w:t>
            </w:r>
            <w:r>
              <w:rPr>
                <w:sz w:val="20"/>
              </w:rPr>
              <w:t>while</w:t>
            </w:r>
            <w:r>
              <w:rPr>
                <w:spacing w:val="-6"/>
                <w:sz w:val="20"/>
              </w:rPr>
              <w:t xml:space="preserve"> </w:t>
            </w:r>
            <w:r>
              <w:rPr>
                <w:sz w:val="20"/>
              </w:rPr>
              <w:t>intoxicated)</w:t>
            </w:r>
            <w:r>
              <w:rPr>
                <w:spacing w:val="-4"/>
                <w:sz w:val="20"/>
              </w:rPr>
              <w:t xml:space="preserve"> </w:t>
            </w:r>
            <w:r>
              <w:rPr>
                <w:sz w:val="20"/>
              </w:rPr>
              <w:t>because</w:t>
            </w:r>
            <w:r>
              <w:rPr>
                <w:spacing w:val="-5"/>
                <w:sz w:val="20"/>
              </w:rPr>
              <w:t xml:space="preserve"> </w:t>
            </w:r>
            <w:r>
              <w:rPr>
                <w:sz w:val="20"/>
              </w:rPr>
              <w:t>of</w:t>
            </w:r>
            <w:r>
              <w:rPr>
                <w:spacing w:val="-6"/>
                <w:sz w:val="20"/>
              </w:rPr>
              <w:t xml:space="preserve"> </w:t>
            </w:r>
            <w:r>
              <w:rPr>
                <w:spacing w:val="-2"/>
                <w:sz w:val="20"/>
              </w:rPr>
              <w:t>drinking.</w:t>
            </w:r>
          </w:p>
        </w:tc>
        <w:tc>
          <w:tcPr>
            <w:tcW w:w="682" w:type="dxa"/>
            <w:tcBorders>
              <w:left w:val="nil"/>
              <w:right w:val="nil"/>
            </w:tcBorders>
          </w:tcPr>
          <w:p w14:paraId="4454D23D" w14:textId="77777777" w:rsidR="00DB6E1F" w:rsidRDefault="00F666A6">
            <w:pPr>
              <w:pStyle w:val="TableParagraph"/>
              <w:ind w:left="185"/>
              <w:rPr>
                <w:sz w:val="20"/>
              </w:rPr>
            </w:pPr>
            <w:r>
              <w:rPr>
                <w:w w:val="99"/>
                <w:sz w:val="20"/>
              </w:rPr>
              <w:t>0</w:t>
            </w:r>
          </w:p>
        </w:tc>
        <w:tc>
          <w:tcPr>
            <w:tcW w:w="851" w:type="dxa"/>
            <w:tcBorders>
              <w:left w:val="nil"/>
              <w:right w:val="nil"/>
            </w:tcBorders>
          </w:tcPr>
          <w:p w14:paraId="05125591" w14:textId="77777777" w:rsidR="00DB6E1F" w:rsidRDefault="00F666A6">
            <w:pPr>
              <w:pStyle w:val="TableParagraph"/>
              <w:ind w:left="0" w:right="344"/>
              <w:jc w:val="right"/>
              <w:rPr>
                <w:sz w:val="20"/>
              </w:rPr>
            </w:pPr>
            <w:r>
              <w:rPr>
                <w:w w:val="99"/>
                <w:sz w:val="20"/>
              </w:rPr>
              <w:t>1</w:t>
            </w:r>
          </w:p>
        </w:tc>
      </w:tr>
      <w:tr w:rsidR="00DB6E1F" w14:paraId="1C75F976" w14:textId="77777777">
        <w:trPr>
          <w:trHeight w:val="277"/>
        </w:trPr>
        <w:tc>
          <w:tcPr>
            <w:tcW w:w="7919" w:type="dxa"/>
            <w:tcBorders>
              <w:left w:val="nil"/>
              <w:right w:val="nil"/>
            </w:tcBorders>
          </w:tcPr>
          <w:p w14:paraId="001FF317" w14:textId="77777777" w:rsidR="00DB6E1F" w:rsidRDefault="00F666A6">
            <w:pPr>
              <w:pStyle w:val="TableParagraph"/>
              <w:ind w:left="4"/>
              <w:rPr>
                <w:sz w:val="20"/>
              </w:rPr>
            </w:pPr>
            <w:r>
              <w:rPr>
                <w:sz w:val="20"/>
              </w:rPr>
              <w:t>43.</w:t>
            </w:r>
            <w:r>
              <w:rPr>
                <w:spacing w:val="45"/>
                <w:sz w:val="20"/>
              </w:rPr>
              <w:t xml:space="preserve">  </w:t>
            </w:r>
            <w:r>
              <w:rPr>
                <w:sz w:val="20"/>
              </w:rPr>
              <w:t>I</w:t>
            </w:r>
            <w:r>
              <w:rPr>
                <w:spacing w:val="-3"/>
                <w:sz w:val="20"/>
              </w:rPr>
              <w:t xml:space="preserve"> </w:t>
            </w:r>
            <w:r>
              <w:rPr>
                <w:sz w:val="20"/>
              </w:rPr>
              <w:t>have</w:t>
            </w:r>
            <w:r>
              <w:rPr>
                <w:spacing w:val="-5"/>
                <w:sz w:val="20"/>
              </w:rPr>
              <w:t xml:space="preserve"> </w:t>
            </w:r>
            <w:r>
              <w:rPr>
                <w:sz w:val="20"/>
              </w:rPr>
              <w:t>lost</w:t>
            </w:r>
            <w:r>
              <w:rPr>
                <w:spacing w:val="-4"/>
                <w:sz w:val="20"/>
              </w:rPr>
              <w:t xml:space="preserve"> </w:t>
            </w:r>
            <w:r>
              <w:rPr>
                <w:sz w:val="20"/>
              </w:rPr>
              <w:t>a</w:t>
            </w:r>
            <w:r>
              <w:rPr>
                <w:spacing w:val="-3"/>
                <w:sz w:val="20"/>
              </w:rPr>
              <w:t xml:space="preserve"> </w:t>
            </w:r>
            <w:r>
              <w:rPr>
                <w:sz w:val="20"/>
              </w:rPr>
              <w:t>marriage</w:t>
            </w:r>
            <w:r>
              <w:rPr>
                <w:spacing w:val="-4"/>
                <w:sz w:val="20"/>
              </w:rPr>
              <w:t xml:space="preserve"> </w:t>
            </w:r>
            <w:r>
              <w:rPr>
                <w:sz w:val="20"/>
              </w:rPr>
              <w:t>or</w:t>
            </w:r>
            <w:r>
              <w:rPr>
                <w:spacing w:val="-4"/>
                <w:sz w:val="20"/>
              </w:rPr>
              <w:t xml:space="preserve"> </w:t>
            </w:r>
            <w:r>
              <w:rPr>
                <w:sz w:val="20"/>
              </w:rPr>
              <w:t>a</w:t>
            </w:r>
            <w:r>
              <w:rPr>
                <w:spacing w:val="-4"/>
                <w:sz w:val="20"/>
              </w:rPr>
              <w:t xml:space="preserve"> </w:t>
            </w:r>
            <w:r>
              <w:rPr>
                <w:sz w:val="20"/>
              </w:rPr>
              <w:t>close</w:t>
            </w:r>
            <w:r>
              <w:rPr>
                <w:spacing w:val="-5"/>
                <w:sz w:val="20"/>
              </w:rPr>
              <w:t xml:space="preserve"> </w:t>
            </w:r>
            <w:r>
              <w:rPr>
                <w:sz w:val="20"/>
              </w:rPr>
              <w:t>love</w:t>
            </w:r>
            <w:r>
              <w:rPr>
                <w:spacing w:val="-4"/>
                <w:sz w:val="20"/>
              </w:rPr>
              <w:t xml:space="preserve"> </w:t>
            </w:r>
            <w:r>
              <w:rPr>
                <w:sz w:val="20"/>
              </w:rPr>
              <w:t>relationship</w:t>
            </w:r>
            <w:r>
              <w:rPr>
                <w:spacing w:val="-3"/>
                <w:sz w:val="20"/>
              </w:rPr>
              <w:t xml:space="preserve"> </w:t>
            </w:r>
            <w:r>
              <w:rPr>
                <w:sz w:val="20"/>
              </w:rPr>
              <w:t>because</w:t>
            </w:r>
            <w:r>
              <w:rPr>
                <w:spacing w:val="-5"/>
                <w:sz w:val="20"/>
              </w:rPr>
              <w:t xml:space="preserve"> </w:t>
            </w:r>
            <w:r>
              <w:rPr>
                <w:sz w:val="20"/>
              </w:rPr>
              <w:t>of</w:t>
            </w:r>
            <w:r>
              <w:rPr>
                <w:spacing w:val="-5"/>
                <w:sz w:val="20"/>
              </w:rPr>
              <w:t xml:space="preserve"> </w:t>
            </w:r>
            <w:r>
              <w:rPr>
                <w:sz w:val="20"/>
              </w:rPr>
              <w:t>my</w:t>
            </w:r>
            <w:r>
              <w:rPr>
                <w:spacing w:val="-3"/>
                <w:sz w:val="20"/>
              </w:rPr>
              <w:t xml:space="preserve"> </w:t>
            </w:r>
            <w:r>
              <w:rPr>
                <w:spacing w:val="-2"/>
                <w:sz w:val="20"/>
              </w:rPr>
              <w:t>drinking.</w:t>
            </w:r>
          </w:p>
        </w:tc>
        <w:tc>
          <w:tcPr>
            <w:tcW w:w="682" w:type="dxa"/>
            <w:tcBorders>
              <w:left w:val="nil"/>
              <w:right w:val="nil"/>
            </w:tcBorders>
          </w:tcPr>
          <w:p w14:paraId="64BD584D" w14:textId="77777777" w:rsidR="00DB6E1F" w:rsidRDefault="00F666A6">
            <w:pPr>
              <w:pStyle w:val="TableParagraph"/>
              <w:ind w:left="185"/>
              <w:rPr>
                <w:sz w:val="20"/>
              </w:rPr>
            </w:pPr>
            <w:r>
              <w:rPr>
                <w:w w:val="99"/>
                <w:sz w:val="20"/>
              </w:rPr>
              <w:t>0</w:t>
            </w:r>
          </w:p>
        </w:tc>
        <w:tc>
          <w:tcPr>
            <w:tcW w:w="851" w:type="dxa"/>
            <w:tcBorders>
              <w:left w:val="nil"/>
              <w:right w:val="nil"/>
            </w:tcBorders>
          </w:tcPr>
          <w:p w14:paraId="4EF15C7D" w14:textId="77777777" w:rsidR="00DB6E1F" w:rsidRDefault="00F666A6">
            <w:pPr>
              <w:pStyle w:val="TableParagraph"/>
              <w:ind w:left="0" w:right="344"/>
              <w:jc w:val="right"/>
              <w:rPr>
                <w:sz w:val="20"/>
              </w:rPr>
            </w:pPr>
            <w:r>
              <w:rPr>
                <w:w w:val="99"/>
                <w:sz w:val="20"/>
              </w:rPr>
              <w:t>1</w:t>
            </w:r>
          </w:p>
        </w:tc>
      </w:tr>
      <w:tr w:rsidR="00DB6E1F" w14:paraId="6DD77571" w14:textId="77777777">
        <w:trPr>
          <w:trHeight w:val="277"/>
        </w:trPr>
        <w:tc>
          <w:tcPr>
            <w:tcW w:w="7919" w:type="dxa"/>
            <w:tcBorders>
              <w:left w:val="nil"/>
              <w:right w:val="nil"/>
            </w:tcBorders>
          </w:tcPr>
          <w:p w14:paraId="74EFD35E" w14:textId="77777777" w:rsidR="00DB6E1F" w:rsidRDefault="00F666A6">
            <w:pPr>
              <w:pStyle w:val="TableParagraph"/>
              <w:ind w:left="4"/>
              <w:rPr>
                <w:sz w:val="20"/>
              </w:rPr>
            </w:pPr>
            <w:r>
              <w:rPr>
                <w:sz w:val="20"/>
              </w:rPr>
              <w:t>44.</w:t>
            </w:r>
            <w:r>
              <w:rPr>
                <w:spacing w:val="45"/>
                <w:sz w:val="20"/>
              </w:rPr>
              <w:t xml:space="preserve">  </w:t>
            </w:r>
            <w:r>
              <w:rPr>
                <w:sz w:val="20"/>
              </w:rPr>
              <w:t>I</w:t>
            </w:r>
            <w:r>
              <w:rPr>
                <w:spacing w:val="-4"/>
                <w:sz w:val="20"/>
              </w:rPr>
              <w:t xml:space="preserve"> </w:t>
            </w:r>
            <w:r>
              <w:rPr>
                <w:sz w:val="20"/>
              </w:rPr>
              <w:t>have</w:t>
            </w:r>
            <w:r>
              <w:rPr>
                <w:spacing w:val="-5"/>
                <w:sz w:val="20"/>
              </w:rPr>
              <w:t xml:space="preserve"> </w:t>
            </w:r>
            <w:r>
              <w:rPr>
                <w:sz w:val="20"/>
              </w:rPr>
              <w:t>been</w:t>
            </w:r>
            <w:r>
              <w:rPr>
                <w:spacing w:val="-2"/>
                <w:sz w:val="20"/>
              </w:rPr>
              <w:t xml:space="preserve"> </w:t>
            </w:r>
            <w:r>
              <w:rPr>
                <w:sz w:val="20"/>
              </w:rPr>
              <w:t>suspended/fired</w:t>
            </w:r>
            <w:r>
              <w:rPr>
                <w:spacing w:val="-3"/>
                <w:sz w:val="20"/>
              </w:rPr>
              <w:t xml:space="preserve"> </w:t>
            </w:r>
            <w:r>
              <w:rPr>
                <w:sz w:val="20"/>
              </w:rPr>
              <w:t>from</w:t>
            </w:r>
            <w:r>
              <w:rPr>
                <w:spacing w:val="-5"/>
                <w:sz w:val="20"/>
              </w:rPr>
              <w:t xml:space="preserve"> </w:t>
            </w:r>
            <w:r>
              <w:rPr>
                <w:sz w:val="20"/>
              </w:rPr>
              <w:t>or</w:t>
            </w:r>
            <w:r>
              <w:rPr>
                <w:spacing w:val="-4"/>
                <w:sz w:val="20"/>
              </w:rPr>
              <w:t xml:space="preserve"> </w:t>
            </w:r>
            <w:r>
              <w:rPr>
                <w:sz w:val="20"/>
              </w:rPr>
              <w:t>left</w:t>
            </w:r>
            <w:r>
              <w:rPr>
                <w:spacing w:val="-4"/>
                <w:sz w:val="20"/>
              </w:rPr>
              <w:t xml:space="preserve"> </w:t>
            </w:r>
            <w:r>
              <w:rPr>
                <w:sz w:val="20"/>
              </w:rPr>
              <w:t>a</w:t>
            </w:r>
            <w:r>
              <w:rPr>
                <w:spacing w:val="-3"/>
                <w:sz w:val="20"/>
              </w:rPr>
              <w:t xml:space="preserve"> </w:t>
            </w:r>
            <w:r>
              <w:rPr>
                <w:sz w:val="20"/>
              </w:rPr>
              <w:t>job</w:t>
            </w:r>
            <w:r>
              <w:rPr>
                <w:spacing w:val="-3"/>
                <w:sz w:val="20"/>
              </w:rPr>
              <w:t xml:space="preserve"> </w:t>
            </w:r>
            <w:r>
              <w:rPr>
                <w:sz w:val="20"/>
              </w:rPr>
              <w:t>or</w:t>
            </w:r>
            <w:r>
              <w:rPr>
                <w:spacing w:val="-4"/>
                <w:sz w:val="20"/>
              </w:rPr>
              <w:t xml:space="preserve"> </w:t>
            </w:r>
            <w:r>
              <w:rPr>
                <w:sz w:val="20"/>
              </w:rPr>
              <w:t>school</w:t>
            </w:r>
            <w:r>
              <w:rPr>
                <w:spacing w:val="-4"/>
                <w:sz w:val="20"/>
              </w:rPr>
              <w:t xml:space="preserve"> </w:t>
            </w:r>
            <w:r>
              <w:rPr>
                <w:sz w:val="20"/>
              </w:rPr>
              <w:t>because</w:t>
            </w:r>
            <w:r>
              <w:rPr>
                <w:spacing w:val="-5"/>
                <w:sz w:val="20"/>
              </w:rPr>
              <w:t xml:space="preserve"> </w:t>
            </w:r>
            <w:r>
              <w:rPr>
                <w:sz w:val="20"/>
              </w:rPr>
              <w:t>of</w:t>
            </w:r>
            <w:r>
              <w:rPr>
                <w:spacing w:val="-4"/>
                <w:sz w:val="20"/>
              </w:rPr>
              <w:t xml:space="preserve"> </w:t>
            </w:r>
            <w:r>
              <w:rPr>
                <w:spacing w:val="-2"/>
                <w:sz w:val="20"/>
              </w:rPr>
              <w:t>drinking.</w:t>
            </w:r>
          </w:p>
        </w:tc>
        <w:tc>
          <w:tcPr>
            <w:tcW w:w="682" w:type="dxa"/>
            <w:tcBorders>
              <w:left w:val="nil"/>
              <w:right w:val="nil"/>
            </w:tcBorders>
          </w:tcPr>
          <w:p w14:paraId="2F8CC37F" w14:textId="77777777" w:rsidR="00DB6E1F" w:rsidRDefault="00F666A6">
            <w:pPr>
              <w:pStyle w:val="TableParagraph"/>
              <w:ind w:left="185"/>
              <w:rPr>
                <w:sz w:val="20"/>
              </w:rPr>
            </w:pPr>
            <w:r>
              <w:rPr>
                <w:w w:val="99"/>
                <w:sz w:val="20"/>
              </w:rPr>
              <w:t>0</w:t>
            </w:r>
          </w:p>
        </w:tc>
        <w:tc>
          <w:tcPr>
            <w:tcW w:w="851" w:type="dxa"/>
            <w:tcBorders>
              <w:left w:val="nil"/>
              <w:right w:val="nil"/>
            </w:tcBorders>
          </w:tcPr>
          <w:p w14:paraId="4634ACD6" w14:textId="77777777" w:rsidR="00DB6E1F" w:rsidRDefault="00F666A6">
            <w:pPr>
              <w:pStyle w:val="TableParagraph"/>
              <w:ind w:left="0" w:right="344"/>
              <w:jc w:val="right"/>
              <w:rPr>
                <w:sz w:val="20"/>
              </w:rPr>
            </w:pPr>
            <w:r>
              <w:rPr>
                <w:w w:val="99"/>
                <w:sz w:val="20"/>
              </w:rPr>
              <w:t>1</w:t>
            </w:r>
          </w:p>
        </w:tc>
      </w:tr>
      <w:tr w:rsidR="00DB6E1F" w14:paraId="6581BF71" w14:textId="77777777">
        <w:trPr>
          <w:trHeight w:val="277"/>
        </w:trPr>
        <w:tc>
          <w:tcPr>
            <w:tcW w:w="7919" w:type="dxa"/>
            <w:tcBorders>
              <w:left w:val="nil"/>
              <w:right w:val="nil"/>
            </w:tcBorders>
          </w:tcPr>
          <w:p w14:paraId="7DC158DF" w14:textId="77777777" w:rsidR="00DB6E1F" w:rsidRDefault="00F666A6">
            <w:pPr>
              <w:pStyle w:val="TableParagraph"/>
              <w:ind w:left="4"/>
              <w:rPr>
                <w:sz w:val="20"/>
              </w:rPr>
            </w:pPr>
            <w:r>
              <w:rPr>
                <w:sz w:val="20"/>
              </w:rPr>
              <w:t>45.</w:t>
            </w:r>
            <w:r>
              <w:rPr>
                <w:spacing w:val="45"/>
                <w:sz w:val="20"/>
              </w:rPr>
              <w:t xml:space="preserve">  </w:t>
            </w:r>
            <w:r>
              <w:rPr>
                <w:sz w:val="20"/>
              </w:rPr>
              <w:t>I</w:t>
            </w:r>
            <w:r>
              <w:rPr>
                <w:spacing w:val="-4"/>
                <w:sz w:val="20"/>
              </w:rPr>
              <w:t xml:space="preserve"> </w:t>
            </w:r>
            <w:r>
              <w:rPr>
                <w:sz w:val="20"/>
              </w:rPr>
              <w:t>drank</w:t>
            </w:r>
            <w:r>
              <w:rPr>
                <w:spacing w:val="-3"/>
                <w:sz w:val="20"/>
              </w:rPr>
              <w:t xml:space="preserve"> </w:t>
            </w:r>
            <w:r>
              <w:rPr>
                <w:sz w:val="20"/>
              </w:rPr>
              <w:t>alcohol</w:t>
            </w:r>
            <w:r>
              <w:rPr>
                <w:spacing w:val="-3"/>
                <w:sz w:val="20"/>
              </w:rPr>
              <w:t xml:space="preserve"> </w:t>
            </w:r>
            <w:r>
              <w:rPr>
                <w:sz w:val="20"/>
              </w:rPr>
              <w:t>normally,</w:t>
            </w:r>
            <w:r>
              <w:rPr>
                <w:spacing w:val="-3"/>
                <w:sz w:val="20"/>
              </w:rPr>
              <w:t xml:space="preserve"> </w:t>
            </w:r>
            <w:r>
              <w:rPr>
                <w:sz w:val="20"/>
              </w:rPr>
              <w:t>without</w:t>
            </w:r>
            <w:r>
              <w:rPr>
                <w:spacing w:val="-4"/>
                <w:sz w:val="20"/>
              </w:rPr>
              <w:t xml:space="preserve"> </w:t>
            </w:r>
            <w:r>
              <w:rPr>
                <w:sz w:val="20"/>
              </w:rPr>
              <w:t>any</w:t>
            </w:r>
            <w:r>
              <w:rPr>
                <w:spacing w:val="-3"/>
                <w:sz w:val="20"/>
              </w:rPr>
              <w:t xml:space="preserve"> </w:t>
            </w:r>
            <w:r>
              <w:rPr>
                <w:spacing w:val="-2"/>
                <w:sz w:val="20"/>
              </w:rPr>
              <w:t>problems.</w:t>
            </w:r>
          </w:p>
        </w:tc>
        <w:tc>
          <w:tcPr>
            <w:tcW w:w="682" w:type="dxa"/>
            <w:tcBorders>
              <w:left w:val="nil"/>
              <w:right w:val="nil"/>
            </w:tcBorders>
          </w:tcPr>
          <w:p w14:paraId="7D7B67B5" w14:textId="77777777" w:rsidR="00DB6E1F" w:rsidRDefault="00F666A6">
            <w:pPr>
              <w:pStyle w:val="TableParagraph"/>
              <w:ind w:left="185"/>
              <w:rPr>
                <w:sz w:val="20"/>
              </w:rPr>
            </w:pPr>
            <w:r>
              <w:rPr>
                <w:w w:val="99"/>
                <w:sz w:val="20"/>
              </w:rPr>
              <w:t>0</w:t>
            </w:r>
          </w:p>
        </w:tc>
        <w:tc>
          <w:tcPr>
            <w:tcW w:w="851" w:type="dxa"/>
            <w:tcBorders>
              <w:left w:val="nil"/>
              <w:right w:val="nil"/>
            </w:tcBorders>
          </w:tcPr>
          <w:p w14:paraId="02467EF9" w14:textId="77777777" w:rsidR="00DB6E1F" w:rsidRDefault="00F666A6">
            <w:pPr>
              <w:pStyle w:val="TableParagraph"/>
              <w:ind w:left="0" w:right="344"/>
              <w:jc w:val="right"/>
              <w:rPr>
                <w:sz w:val="20"/>
              </w:rPr>
            </w:pPr>
            <w:r>
              <w:rPr>
                <w:w w:val="99"/>
                <w:sz w:val="20"/>
              </w:rPr>
              <w:t>1</w:t>
            </w:r>
          </w:p>
        </w:tc>
      </w:tr>
      <w:tr w:rsidR="00DB6E1F" w14:paraId="73648897" w14:textId="77777777">
        <w:trPr>
          <w:trHeight w:val="277"/>
        </w:trPr>
        <w:tc>
          <w:tcPr>
            <w:tcW w:w="7919" w:type="dxa"/>
            <w:tcBorders>
              <w:left w:val="nil"/>
              <w:right w:val="nil"/>
            </w:tcBorders>
          </w:tcPr>
          <w:p w14:paraId="3D9A399B" w14:textId="77777777" w:rsidR="00DB6E1F" w:rsidRDefault="00F666A6">
            <w:pPr>
              <w:pStyle w:val="TableParagraph"/>
              <w:ind w:left="4"/>
              <w:rPr>
                <w:sz w:val="20"/>
              </w:rPr>
            </w:pPr>
            <w:r>
              <w:rPr>
                <w:sz w:val="20"/>
              </w:rPr>
              <w:t>46.</w:t>
            </w:r>
            <w:r>
              <w:rPr>
                <w:spacing w:val="47"/>
                <w:sz w:val="20"/>
              </w:rPr>
              <w:t xml:space="preserve">  </w:t>
            </w:r>
            <w:r>
              <w:rPr>
                <w:sz w:val="20"/>
              </w:rPr>
              <w:t>I</w:t>
            </w:r>
            <w:r>
              <w:rPr>
                <w:spacing w:val="-3"/>
                <w:sz w:val="20"/>
              </w:rPr>
              <w:t xml:space="preserve"> </w:t>
            </w:r>
            <w:r>
              <w:rPr>
                <w:sz w:val="20"/>
              </w:rPr>
              <w:t>have</w:t>
            </w:r>
            <w:r>
              <w:rPr>
                <w:spacing w:val="-3"/>
                <w:sz w:val="20"/>
              </w:rPr>
              <w:t xml:space="preserve"> </w:t>
            </w:r>
            <w:r>
              <w:rPr>
                <w:sz w:val="20"/>
              </w:rPr>
              <w:t>lost</w:t>
            </w:r>
            <w:r>
              <w:rPr>
                <w:spacing w:val="-3"/>
                <w:sz w:val="20"/>
              </w:rPr>
              <w:t xml:space="preserve"> </w:t>
            </w:r>
            <w:r>
              <w:rPr>
                <w:sz w:val="20"/>
              </w:rPr>
              <w:t>a</w:t>
            </w:r>
            <w:r>
              <w:rPr>
                <w:spacing w:val="-2"/>
                <w:sz w:val="20"/>
              </w:rPr>
              <w:t xml:space="preserve"> </w:t>
            </w:r>
            <w:r>
              <w:rPr>
                <w:sz w:val="20"/>
              </w:rPr>
              <w:t>friend</w:t>
            </w:r>
            <w:r>
              <w:rPr>
                <w:spacing w:val="-2"/>
                <w:sz w:val="20"/>
              </w:rPr>
              <w:t xml:space="preserve"> </w:t>
            </w:r>
            <w:r>
              <w:rPr>
                <w:sz w:val="20"/>
              </w:rPr>
              <w:t>because</w:t>
            </w:r>
            <w:r>
              <w:rPr>
                <w:spacing w:val="-4"/>
                <w:sz w:val="20"/>
              </w:rPr>
              <w:t xml:space="preserve"> </w:t>
            </w:r>
            <w:r>
              <w:rPr>
                <w:sz w:val="20"/>
              </w:rPr>
              <w:t>of</w:t>
            </w:r>
            <w:r>
              <w:rPr>
                <w:spacing w:val="-2"/>
                <w:sz w:val="20"/>
              </w:rPr>
              <w:t xml:space="preserve"> </w:t>
            </w:r>
            <w:r>
              <w:rPr>
                <w:sz w:val="20"/>
              </w:rPr>
              <w:t>my</w:t>
            </w:r>
            <w:r>
              <w:rPr>
                <w:spacing w:val="-2"/>
                <w:sz w:val="20"/>
              </w:rPr>
              <w:t xml:space="preserve"> drinking.</w:t>
            </w:r>
          </w:p>
        </w:tc>
        <w:tc>
          <w:tcPr>
            <w:tcW w:w="682" w:type="dxa"/>
            <w:tcBorders>
              <w:left w:val="nil"/>
              <w:right w:val="nil"/>
            </w:tcBorders>
          </w:tcPr>
          <w:p w14:paraId="60A0BAD6" w14:textId="77777777" w:rsidR="00DB6E1F" w:rsidRDefault="00F666A6">
            <w:pPr>
              <w:pStyle w:val="TableParagraph"/>
              <w:ind w:left="185"/>
              <w:rPr>
                <w:sz w:val="20"/>
              </w:rPr>
            </w:pPr>
            <w:r>
              <w:rPr>
                <w:w w:val="99"/>
                <w:sz w:val="20"/>
              </w:rPr>
              <w:t>0</w:t>
            </w:r>
          </w:p>
        </w:tc>
        <w:tc>
          <w:tcPr>
            <w:tcW w:w="851" w:type="dxa"/>
            <w:tcBorders>
              <w:left w:val="nil"/>
              <w:right w:val="nil"/>
            </w:tcBorders>
          </w:tcPr>
          <w:p w14:paraId="112C812E" w14:textId="77777777" w:rsidR="00DB6E1F" w:rsidRDefault="00F666A6">
            <w:pPr>
              <w:pStyle w:val="TableParagraph"/>
              <w:ind w:left="0" w:right="344"/>
              <w:jc w:val="right"/>
              <w:rPr>
                <w:sz w:val="20"/>
              </w:rPr>
            </w:pPr>
            <w:r>
              <w:rPr>
                <w:w w:val="99"/>
                <w:sz w:val="20"/>
              </w:rPr>
              <w:t>1</w:t>
            </w:r>
          </w:p>
        </w:tc>
      </w:tr>
      <w:tr w:rsidR="00DB6E1F" w14:paraId="21817938" w14:textId="77777777">
        <w:trPr>
          <w:trHeight w:val="278"/>
        </w:trPr>
        <w:tc>
          <w:tcPr>
            <w:tcW w:w="7919" w:type="dxa"/>
            <w:tcBorders>
              <w:left w:val="nil"/>
              <w:right w:val="nil"/>
            </w:tcBorders>
          </w:tcPr>
          <w:p w14:paraId="72D9029C" w14:textId="77777777" w:rsidR="00DB6E1F" w:rsidRDefault="00F666A6">
            <w:pPr>
              <w:pStyle w:val="TableParagraph"/>
              <w:ind w:left="4"/>
              <w:rPr>
                <w:sz w:val="20"/>
              </w:rPr>
            </w:pPr>
            <w:r>
              <w:rPr>
                <w:sz w:val="20"/>
              </w:rPr>
              <w:t>47.</w:t>
            </w:r>
            <w:r>
              <w:rPr>
                <w:spacing w:val="45"/>
                <w:sz w:val="20"/>
              </w:rPr>
              <w:t xml:space="preserve">  </w:t>
            </w:r>
            <w:r>
              <w:rPr>
                <w:sz w:val="20"/>
              </w:rPr>
              <w:t>I</w:t>
            </w:r>
            <w:r>
              <w:rPr>
                <w:spacing w:val="-2"/>
                <w:sz w:val="20"/>
              </w:rPr>
              <w:t xml:space="preserve"> </w:t>
            </w:r>
            <w:r>
              <w:rPr>
                <w:sz w:val="20"/>
              </w:rPr>
              <w:t>have</w:t>
            </w:r>
            <w:r>
              <w:rPr>
                <w:spacing w:val="-5"/>
                <w:sz w:val="20"/>
              </w:rPr>
              <w:t xml:space="preserve"> </w:t>
            </w:r>
            <w:r>
              <w:rPr>
                <w:sz w:val="20"/>
              </w:rPr>
              <w:t>had</w:t>
            </w:r>
            <w:r>
              <w:rPr>
                <w:spacing w:val="-2"/>
                <w:sz w:val="20"/>
              </w:rPr>
              <w:t xml:space="preserve"> </w:t>
            </w:r>
            <w:r>
              <w:rPr>
                <w:sz w:val="20"/>
              </w:rPr>
              <w:t>an</w:t>
            </w:r>
            <w:r>
              <w:rPr>
                <w:spacing w:val="-3"/>
                <w:sz w:val="20"/>
              </w:rPr>
              <w:t xml:space="preserve"> </w:t>
            </w:r>
            <w:r>
              <w:rPr>
                <w:sz w:val="20"/>
              </w:rPr>
              <w:t>accident</w:t>
            </w:r>
            <w:r>
              <w:rPr>
                <w:spacing w:val="-4"/>
                <w:sz w:val="20"/>
              </w:rPr>
              <w:t xml:space="preserve"> </w:t>
            </w:r>
            <w:r>
              <w:rPr>
                <w:sz w:val="20"/>
              </w:rPr>
              <w:t>while</w:t>
            </w:r>
            <w:r>
              <w:rPr>
                <w:spacing w:val="-4"/>
                <w:sz w:val="20"/>
              </w:rPr>
              <w:t xml:space="preserve"> </w:t>
            </w:r>
            <w:r>
              <w:rPr>
                <w:sz w:val="20"/>
              </w:rPr>
              <w:t>drinking</w:t>
            </w:r>
            <w:r>
              <w:rPr>
                <w:spacing w:val="-4"/>
                <w:sz w:val="20"/>
              </w:rPr>
              <w:t xml:space="preserve"> </w:t>
            </w:r>
            <w:r>
              <w:rPr>
                <w:sz w:val="20"/>
              </w:rPr>
              <w:t>or</w:t>
            </w:r>
            <w:r>
              <w:rPr>
                <w:spacing w:val="-3"/>
                <w:sz w:val="20"/>
              </w:rPr>
              <w:t xml:space="preserve"> </w:t>
            </w:r>
            <w:r>
              <w:rPr>
                <w:spacing w:val="-2"/>
                <w:sz w:val="20"/>
              </w:rPr>
              <w:t>intoxicated.</w:t>
            </w:r>
          </w:p>
        </w:tc>
        <w:tc>
          <w:tcPr>
            <w:tcW w:w="682" w:type="dxa"/>
            <w:tcBorders>
              <w:left w:val="nil"/>
              <w:right w:val="nil"/>
            </w:tcBorders>
          </w:tcPr>
          <w:p w14:paraId="0A462152" w14:textId="77777777" w:rsidR="00DB6E1F" w:rsidRDefault="00F666A6">
            <w:pPr>
              <w:pStyle w:val="TableParagraph"/>
              <w:ind w:left="185"/>
              <w:rPr>
                <w:sz w:val="20"/>
              </w:rPr>
            </w:pPr>
            <w:r>
              <w:rPr>
                <w:w w:val="99"/>
                <w:sz w:val="20"/>
              </w:rPr>
              <w:t>0</w:t>
            </w:r>
          </w:p>
        </w:tc>
        <w:tc>
          <w:tcPr>
            <w:tcW w:w="851" w:type="dxa"/>
            <w:tcBorders>
              <w:left w:val="nil"/>
              <w:right w:val="nil"/>
            </w:tcBorders>
          </w:tcPr>
          <w:p w14:paraId="3F790A00" w14:textId="77777777" w:rsidR="00DB6E1F" w:rsidRDefault="00F666A6">
            <w:pPr>
              <w:pStyle w:val="TableParagraph"/>
              <w:ind w:left="0" w:right="344"/>
              <w:jc w:val="right"/>
              <w:rPr>
                <w:sz w:val="20"/>
              </w:rPr>
            </w:pPr>
            <w:r>
              <w:rPr>
                <w:w w:val="99"/>
                <w:sz w:val="20"/>
              </w:rPr>
              <w:t>1</w:t>
            </w:r>
          </w:p>
        </w:tc>
      </w:tr>
      <w:tr w:rsidR="00DB6E1F" w14:paraId="3A46380D" w14:textId="77777777">
        <w:trPr>
          <w:trHeight w:val="277"/>
        </w:trPr>
        <w:tc>
          <w:tcPr>
            <w:tcW w:w="7919" w:type="dxa"/>
            <w:tcBorders>
              <w:left w:val="nil"/>
              <w:right w:val="nil"/>
            </w:tcBorders>
          </w:tcPr>
          <w:p w14:paraId="7F141D4D" w14:textId="77777777" w:rsidR="00DB6E1F" w:rsidRDefault="00F666A6">
            <w:pPr>
              <w:pStyle w:val="TableParagraph"/>
              <w:ind w:left="4"/>
              <w:rPr>
                <w:sz w:val="20"/>
              </w:rPr>
            </w:pPr>
            <w:r>
              <w:rPr>
                <w:sz w:val="20"/>
              </w:rPr>
              <w:t>48.</w:t>
            </w:r>
            <w:r>
              <w:rPr>
                <w:spacing w:val="43"/>
                <w:sz w:val="20"/>
              </w:rPr>
              <w:t xml:space="preserve">  </w:t>
            </w:r>
            <w:r>
              <w:rPr>
                <w:sz w:val="20"/>
              </w:rPr>
              <w:t>While</w:t>
            </w:r>
            <w:r>
              <w:rPr>
                <w:spacing w:val="-6"/>
                <w:sz w:val="20"/>
              </w:rPr>
              <w:t xml:space="preserve"> </w:t>
            </w:r>
            <w:r>
              <w:rPr>
                <w:sz w:val="20"/>
              </w:rPr>
              <w:t>drinking</w:t>
            </w:r>
            <w:r>
              <w:rPr>
                <w:spacing w:val="-5"/>
                <w:sz w:val="20"/>
              </w:rPr>
              <w:t xml:space="preserve"> </w:t>
            </w:r>
            <w:r>
              <w:rPr>
                <w:sz w:val="20"/>
              </w:rPr>
              <w:t>or</w:t>
            </w:r>
            <w:r>
              <w:rPr>
                <w:spacing w:val="-5"/>
                <w:sz w:val="20"/>
              </w:rPr>
              <w:t xml:space="preserve"> </w:t>
            </w:r>
            <w:r>
              <w:rPr>
                <w:sz w:val="20"/>
              </w:rPr>
              <w:t>intoxicated,</w:t>
            </w:r>
            <w:r>
              <w:rPr>
                <w:spacing w:val="-5"/>
                <w:sz w:val="20"/>
              </w:rPr>
              <w:t xml:space="preserve"> </w:t>
            </w:r>
            <w:r>
              <w:rPr>
                <w:sz w:val="20"/>
              </w:rPr>
              <w:t>I</w:t>
            </w:r>
            <w:r>
              <w:rPr>
                <w:spacing w:val="-5"/>
                <w:sz w:val="20"/>
              </w:rPr>
              <w:t xml:space="preserve"> </w:t>
            </w:r>
            <w:r>
              <w:rPr>
                <w:sz w:val="20"/>
              </w:rPr>
              <w:t>have</w:t>
            </w:r>
            <w:r>
              <w:rPr>
                <w:spacing w:val="-6"/>
                <w:sz w:val="20"/>
              </w:rPr>
              <w:t xml:space="preserve"> </w:t>
            </w:r>
            <w:r>
              <w:rPr>
                <w:sz w:val="20"/>
              </w:rPr>
              <w:t>been</w:t>
            </w:r>
            <w:r>
              <w:rPr>
                <w:spacing w:val="-4"/>
                <w:sz w:val="20"/>
              </w:rPr>
              <w:t xml:space="preserve"> </w:t>
            </w:r>
            <w:r>
              <w:rPr>
                <w:sz w:val="20"/>
              </w:rPr>
              <w:t>physically</w:t>
            </w:r>
            <w:r>
              <w:rPr>
                <w:spacing w:val="-4"/>
                <w:sz w:val="20"/>
              </w:rPr>
              <w:t xml:space="preserve"> </w:t>
            </w:r>
            <w:r>
              <w:rPr>
                <w:sz w:val="20"/>
              </w:rPr>
              <w:t>hurt,</w:t>
            </w:r>
            <w:r>
              <w:rPr>
                <w:spacing w:val="-4"/>
                <w:sz w:val="20"/>
              </w:rPr>
              <w:t xml:space="preserve"> </w:t>
            </w:r>
            <w:r>
              <w:rPr>
                <w:sz w:val="20"/>
              </w:rPr>
              <w:t>injured,</w:t>
            </w:r>
            <w:r>
              <w:rPr>
                <w:spacing w:val="-5"/>
                <w:sz w:val="20"/>
              </w:rPr>
              <w:t xml:space="preserve"> </w:t>
            </w:r>
            <w:r>
              <w:rPr>
                <w:sz w:val="20"/>
              </w:rPr>
              <w:t>or</w:t>
            </w:r>
            <w:r>
              <w:rPr>
                <w:spacing w:val="-5"/>
                <w:sz w:val="20"/>
              </w:rPr>
              <w:t xml:space="preserve"> </w:t>
            </w:r>
            <w:r>
              <w:rPr>
                <w:spacing w:val="-2"/>
                <w:sz w:val="20"/>
              </w:rPr>
              <w:t>burned.</w:t>
            </w:r>
          </w:p>
        </w:tc>
        <w:tc>
          <w:tcPr>
            <w:tcW w:w="682" w:type="dxa"/>
            <w:tcBorders>
              <w:left w:val="nil"/>
              <w:right w:val="nil"/>
            </w:tcBorders>
          </w:tcPr>
          <w:p w14:paraId="41B50982" w14:textId="77777777" w:rsidR="00DB6E1F" w:rsidRDefault="00F666A6">
            <w:pPr>
              <w:pStyle w:val="TableParagraph"/>
              <w:ind w:left="185"/>
              <w:rPr>
                <w:sz w:val="20"/>
              </w:rPr>
            </w:pPr>
            <w:r>
              <w:rPr>
                <w:w w:val="99"/>
                <w:sz w:val="20"/>
              </w:rPr>
              <w:t>0</w:t>
            </w:r>
          </w:p>
        </w:tc>
        <w:tc>
          <w:tcPr>
            <w:tcW w:w="851" w:type="dxa"/>
            <w:tcBorders>
              <w:left w:val="nil"/>
              <w:right w:val="nil"/>
            </w:tcBorders>
          </w:tcPr>
          <w:p w14:paraId="593AA7DA" w14:textId="77777777" w:rsidR="00DB6E1F" w:rsidRDefault="00F666A6">
            <w:pPr>
              <w:pStyle w:val="TableParagraph"/>
              <w:ind w:left="0" w:right="344"/>
              <w:jc w:val="right"/>
              <w:rPr>
                <w:sz w:val="20"/>
              </w:rPr>
            </w:pPr>
            <w:r>
              <w:rPr>
                <w:w w:val="99"/>
                <w:sz w:val="20"/>
              </w:rPr>
              <w:t>1</w:t>
            </w:r>
          </w:p>
        </w:tc>
      </w:tr>
      <w:tr w:rsidR="00DB6E1F" w14:paraId="13CF2988" w14:textId="77777777">
        <w:trPr>
          <w:trHeight w:val="277"/>
        </w:trPr>
        <w:tc>
          <w:tcPr>
            <w:tcW w:w="7919" w:type="dxa"/>
            <w:tcBorders>
              <w:left w:val="nil"/>
              <w:right w:val="nil"/>
            </w:tcBorders>
          </w:tcPr>
          <w:p w14:paraId="32E12D1B" w14:textId="77777777" w:rsidR="00DB6E1F" w:rsidRDefault="00F666A6">
            <w:pPr>
              <w:pStyle w:val="TableParagraph"/>
              <w:ind w:left="4"/>
              <w:rPr>
                <w:sz w:val="20"/>
              </w:rPr>
            </w:pPr>
            <w:r>
              <w:rPr>
                <w:sz w:val="20"/>
              </w:rPr>
              <w:t>49.</w:t>
            </w:r>
            <w:r>
              <w:rPr>
                <w:spacing w:val="43"/>
                <w:sz w:val="20"/>
              </w:rPr>
              <w:t xml:space="preserve">  </w:t>
            </w:r>
            <w:r>
              <w:rPr>
                <w:sz w:val="20"/>
              </w:rPr>
              <w:t>While</w:t>
            </w:r>
            <w:r>
              <w:rPr>
                <w:spacing w:val="-5"/>
                <w:sz w:val="20"/>
              </w:rPr>
              <w:t xml:space="preserve"> </w:t>
            </w:r>
            <w:r>
              <w:rPr>
                <w:sz w:val="20"/>
              </w:rPr>
              <w:t>drinking</w:t>
            </w:r>
            <w:r>
              <w:rPr>
                <w:spacing w:val="-5"/>
                <w:sz w:val="20"/>
              </w:rPr>
              <w:t xml:space="preserve"> </w:t>
            </w:r>
            <w:r>
              <w:rPr>
                <w:sz w:val="20"/>
              </w:rPr>
              <w:t>or</w:t>
            </w:r>
            <w:r>
              <w:rPr>
                <w:spacing w:val="-5"/>
                <w:sz w:val="20"/>
              </w:rPr>
              <w:t xml:space="preserve"> </w:t>
            </w:r>
            <w:r>
              <w:rPr>
                <w:sz w:val="20"/>
              </w:rPr>
              <w:t>intoxicated,</w:t>
            </w:r>
            <w:r>
              <w:rPr>
                <w:spacing w:val="-5"/>
                <w:sz w:val="20"/>
              </w:rPr>
              <w:t xml:space="preserve"> </w:t>
            </w:r>
            <w:r>
              <w:rPr>
                <w:sz w:val="20"/>
              </w:rPr>
              <w:t>I</w:t>
            </w:r>
            <w:r>
              <w:rPr>
                <w:spacing w:val="-4"/>
                <w:sz w:val="20"/>
              </w:rPr>
              <w:t xml:space="preserve"> </w:t>
            </w:r>
            <w:r>
              <w:rPr>
                <w:sz w:val="20"/>
              </w:rPr>
              <w:t>have</w:t>
            </w:r>
            <w:r>
              <w:rPr>
                <w:spacing w:val="-6"/>
                <w:sz w:val="20"/>
              </w:rPr>
              <w:t xml:space="preserve"> </w:t>
            </w:r>
            <w:r>
              <w:rPr>
                <w:sz w:val="20"/>
              </w:rPr>
              <w:t>injured</w:t>
            </w:r>
            <w:r>
              <w:rPr>
                <w:spacing w:val="-4"/>
                <w:sz w:val="20"/>
              </w:rPr>
              <w:t xml:space="preserve"> </w:t>
            </w:r>
            <w:r>
              <w:rPr>
                <w:sz w:val="20"/>
              </w:rPr>
              <w:t>someone</w:t>
            </w:r>
            <w:r>
              <w:rPr>
                <w:spacing w:val="-6"/>
                <w:sz w:val="20"/>
              </w:rPr>
              <w:t xml:space="preserve"> </w:t>
            </w:r>
            <w:r>
              <w:rPr>
                <w:spacing w:val="-4"/>
                <w:sz w:val="20"/>
              </w:rPr>
              <w:t>else.</w:t>
            </w:r>
          </w:p>
        </w:tc>
        <w:tc>
          <w:tcPr>
            <w:tcW w:w="682" w:type="dxa"/>
            <w:tcBorders>
              <w:left w:val="nil"/>
              <w:right w:val="nil"/>
            </w:tcBorders>
          </w:tcPr>
          <w:p w14:paraId="038C2B3F" w14:textId="77777777" w:rsidR="00DB6E1F" w:rsidRDefault="00F666A6">
            <w:pPr>
              <w:pStyle w:val="TableParagraph"/>
              <w:ind w:left="185"/>
              <w:rPr>
                <w:sz w:val="20"/>
              </w:rPr>
            </w:pPr>
            <w:r>
              <w:rPr>
                <w:w w:val="99"/>
                <w:sz w:val="20"/>
              </w:rPr>
              <w:t>0</w:t>
            </w:r>
          </w:p>
        </w:tc>
        <w:tc>
          <w:tcPr>
            <w:tcW w:w="851" w:type="dxa"/>
            <w:tcBorders>
              <w:left w:val="nil"/>
              <w:right w:val="nil"/>
            </w:tcBorders>
          </w:tcPr>
          <w:p w14:paraId="3363B979" w14:textId="77777777" w:rsidR="00DB6E1F" w:rsidRDefault="00F666A6">
            <w:pPr>
              <w:pStyle w:val="TableParagraph"/>
              <w:ind w:left="0" w:right="344"/>
              <w:jc w:val="right"/>
              <w:rPr>
                <w:sz w:val="20"/>
              </w:rPr>
            </w:pPr>
            <w:r>
              <w:rPr>
                <w:w w:val="99"/>
                <w:sz w:val="20"/>
              </w:rPr>
              <w:t>1</w:t>
            </w:r>
          </w:p>
        </w:tc>
      </w:tr>
      <w:tr w:rsidR="00DB6E1F" w14:paraId="45AB9E87" w14:textId="77777777">
        <w:trPr>
          <w:trHeight w:val="277"/>
        </w:trPr>
        <w:tc>
          <w:tcPr>
            <w:tcW w:w="7919" w:type="dxa"/>
            <w:tcBorders>
              <w:left w:val="nil"/>
              <w:bottom w:val="single" w:sz="8" w:space="0" w:color="000000"/>
              <w:right w:val="nil"/>
            </w:tcBorders>
          </w:tcPr>
          <w:p w14:paraId="0D790054" w14:textId="77777777" w:rsidR="00DB6E1F" w:rsidRDefault="00F666A6">
            <w:pPr>
              <w:pStyle w:val="TableParagraph"/>
              <w:ind w:left="4"/>
              <w:rPr>
                <w:sz w:val="20"/>
              </w:rPr>
            </w:pPr>
            <w:r>
              <w:rPr>
                <w:sz w:val="20"/>
              </w:rPr>
              <w:t>50.</w:t>
            </w:r>
            <w:r>
              <w:rPr>
                <w:spacing w:val="47"/>
                <w:sz w:val="20"/>
              </w:rPr>
              <w:t xml:space="preserve">  </w:t>
            </w:r>
            <w:r>
              <w:rPr>
                <w:sz w:val="20"/>
              </w:rPr>
              <w:t>I</w:t>
            </w:r>
            <w:r>
              <w:rPr>
                <w:spacing w:val="-3"/>
                <w:sz w:val="20"/>
              </w:rPr>
              <w:t xml:space="preserve"> </w:t>
            </w:r>
            <w:r>
              <w:rPr>
                <w:sz w:val="20"/>
              </w:rPr>
              <w:t>have</w:t>
            </w:r>
            <w:r>
              <w:rPr>
                <w:spacing w:val="-3"/>
                <w:sz w:val="20"/>
              </w:rPr>
              <w:t xml:space="preserve"> </w:t>
            </w:r>
            <w:r>
              <w:rPr>
                <w:sz w:val="20"/>
              </w:rPr>
              <w:t>broken</w:t>
            </w:r>
            <w:r>
              <w:rPr>
                <w:spacing w:val="-2"/>
                <w:sz w:val="20"/>
              </w:rPr>
              <w:t xml:space="preserve"> </w:t>
            </w:r>
            <w:r>
              <w:rPr>
                <w:sz w:val="20"/>
              </w:rPr>
              <w:t>things</w:t>
            </w:r>
            <w:r>
              <w:rPr>
                <w:spacing w:val="-4"/>
                <w:sz w:val="20"/>
              </w:rPr>
              <w:t xml:space="preserve"> </w:t>
            </w:r>
            <w:r>
              <w:rPr>
                <w:sz w:val="20"/>
              </w:rPr>
              <w:t>while</w:t>
            </w:r>
            <w:r>
              <w:rPr>
                <w:spacing w:val="-4"/>
                <w:sz w:val="20"/>
              </w:rPr>
              <w:t xml:space="preserve"> </w:t>
            </w:r>
            <w:r>
              <w:rPr>
                <w:sz w:val="20"/>
              </w:rPr>
              <w:t>drinking</w:t>
            </w:r>
            <w:r>
              <w:rPr>
                <w:spacing w:val="-3"/>
                <w:sz w:val="20"/>
              </w:rPr>
              <w:t xml:space="preserve"> </w:t>
            </w:r>
            <w:r>
              <w:rPr>
                <w:sz w:val="20"/>
              </w:rPr>
              <w:t>or</w:t>
            </w:r>
            <w:r>
              <w:rPr>
                <w:spacing w:val="-3"/>
                <w:sz w:val="20"/>
              </w:rPr>
              <w:t xml:space="preserve"> </w:t>
            </w:r>
            <w:r>
              <w:rPr>
                <w:spacing w:val="-2"/>
                <w:sz w:val="20"/>
              </w:rPr>
              <w:t>intoxicated.</w:t>
            </w:r>
          </w:p>
        </w:tc>
        <w:tc>
          <w:tcPr>
            <w:tcW w:w="682" w:type="dxa"/>
            <w:tcBorders>
              <w:left w:val="nil"/>
              <w:bottom w:val="single" w:sz="8" w:space="0" w:color="000000"/>
              <w:right w:val="nil"/>
            </w:tcBorders>
          </w:tcPr>
          <w:p w14:paraId="760E59A6" w14:textId="77777777" w:rsidR="00DB6E1F" w:rsidRDefault="00F666A6">
            <w:pPr>
              <w:pStyle w:val="TableParagraph"/>
              <w:ind w:left="185"/>
              <w:rPr>
                <w:sz w:val="20"/>
              </w:rPr>
            </w:pPr>
            <w:r>
              <w:rPr>
                <w:w w:val="99"/>
                <w:sz w:val="20"/>
              </w:rPr>
              <w:t>0</w:t>
            </w:r>
          </w:p>
        </w:tc>
        <w:tc>
          <w:tcPr>
            <w:tcW w:w="851" w:type="dxa"/>
            <w:tcBorders>
              <w:left w:val="nil"/>
              <w:bottom w:val="single" w:sz="8" w:space="0" w:color="000000"/>
              <w:right w:val="nil"/>
            </w:tcBorders>
          </w:tcPr>
          <w:p w14:paraId="1F922BEB" w14:textId="77777777" w:rsidR="00DB6E1F" w:rsidRDefault="00F666A6">
            <w:pPr>
              <w:pStyle w:val="TableParagraph"/>
              <w:ind w:left="0" w:right="344"/>
              <w:jc w:val="right"/>
              <w:rPr>
                <w:sz w:val="20"/>
              </w:rPr>
            </w:pPr>
            <w:r>
              <w:rPr>
                <w:w w:val="99"/>
                <w:sz w:val="20"/>
              </w:rPr>
              <w:t>1</w:t>
            </w:r>
          </w:p>
        </w:tc>
      </w:tr>
      <w:tr w:rsidR="00DB6E1F" w14:paraId="2F241114" w14:textId="77777777">
        <w:trPr>
          <w:trHeight w:val="7420"/>
        </w:trPr>
        <w:tc>
          <w:tcPr>
            <w:tcW w:w="7919" w:type="dxa"/>
            <w:tcBorders>
              <w:top w:val="single" w:sz="8" w:space="0" w:color="000000"/>
              <w:left w:val="single" w:sz="4" w:space="0" w:color="000000"/>
              <w:bottom w:val="single" w:sz="4" w:space="0" w:color="000000"/>
              <w:right w:val="nil"/>
            </w:tcBorders>
          </w:tcPr>
          <w:p w14:paraId="63ED77CF" w14:textId="77777777" w:rsidR="00DB6E1F" w:rsidRDefault="00DB6E1F">
            <w:pPr>
              <w:pStyle w:val="TableParagraph"/>
              <w:ind w:left="0"/>
              <w:rPr>
                <w:sz w:val="7"/>
              </w:rPr>
            </w:pPr>
          </w:p>
          <w:p w14:paraId="281A2714" w14:textId="77777777" w:rsidR="00DB6E1F" w:rsidRDefault="00F666A6">
            <w:pPr>
              <w:pStyle w:val="TableParagraph"/>
              <w:spacing w:before="0"/>
              <w:ind w:left="155"/>
              <w:rPr>
                <w:sz w:val="20"/>
              </w:rPr>
            </w:pPr>
            <w:r>
              <w:rPr>
                <w:noProof/>
                <w:sz w:val="20"/>
              </w:rPr>
              <w:drawing>
                <wp:inline distT="0" distB="0" distL="0" distR="0" wp14:anchorId="3F3AFB7D" wp14:editId="54CECFA3">
                  <wp:extent cx="4017288" cy="4547615"/>
                  <wp:effectExtent l="0" t="0" r="0" b="0"/>
                  <wp:docPr id="1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2.png"/>
                          <pic:cNvPicPr/>
                        </pic:nvPicPr>
                        <pic:blipFill>
                          <a:blip r:embed="rId169" cstate="print"/>
                          <a:stretch>
                            <a:fillRect/>
                          </a:stretch>
                        </pic:blipFill>
                        <pic:spPr>
                          <a:xfrm>
                            <a:off x="0" y="0"/>
                            <a:ext cx="4017288" cy="4547615"/>
                          </a:xfrm>
                          <a:prstGeom prst="rect">
                            <a:avLst/>
                          </a:prstGeom>
                        </pic:spPr>
                      </pic:pic>
                    </a:graphicData>
                  </a:graphic>
                </wp:inline>
              </w:drawing>
            </w:r>
          </w:p>
        </w:tc>
        <w:tc>
          <w:tcPr>
            <w:tcW w:w="682" w:type="dxa"/>
            <w:tcBorders>
              <w:top w:val="single" w:sz="8" w:space="0" w:color="000000"/>
              <w:left w:val="nil"/>
              <w:bottom w:val="single" w:sz="4" w:space="0" w:color="000000"/>
              <w:right w:val="nil"/>
            </w:tcBorders>
          </w:tcPr>
          <w:p w14:paraId="0E59ECCE" w14:textId="77777777" w:rsidR="00DB6E1F" w:rsidRDefault="00DB6E1F">
            <w:pPr>
              <w:pStyle w:val="TableParagraph"/>
              <w:spacing w:before="0"/>
              <w:ind w:left="0"/>
              <w:rPr>
                <w:rFonts w:ascii="Times New Roman"/>
                <w:sz w:val="18"/>
              </w:rPr>
            </w:pPr>
          </w:p>
        </w:tc>
        <w:tc>
          <w:tcPr>
            <w:tcW w:w="851" w:type="dxa"/>
            <w:tcBorders>
              <w:top w:val="single" w:sz="8" w:space="0" w:color="000000"/>
              <w:left w:val="nil"/>
              <w:bottom w:val="single" w:sz="4" w:space="0" w:color="000000"/>
              <w:right w:val="single" w:sz="4" w:space="0" w:color="000000"/>
            </w:tcBorders>
          </w:tcPr>
          <w:p w14:paraId="2ADE59B4" w14:textId="77777777" w:rsidR="00DB6E1F" w:rsidRDefault="00DB6E1F">
            <w:pPr>
              <w:pStyle w:val="TableParagraph"/>
              <w:spacing w:before="0"/>
              <w:ind w:left="0"/>
              <w:rPr>
                <w:rFonts w:ascii="Times New Roman"/>
                <w:sz w:val="18"/>
              </w:rPr>
            </w:pPr>
          </w:p>
        </w:tc>
      </w:tr>
      <w:tr w:rsidR="00DB6E1F" w14:paraId="72D44E18" w14:textId="77777777">
        <w:trPr>
          <w:trHeight w:val="1216"/>
        </w:trPr>
        <w:tc>
          <w:tcPr>
            <w:tcW w:w="9452" w:type="dxa"/>
            <w:gridSpan w:val="3"/>
            <w:tcBorders>
              <w:top w:val="single" w:sz="4" w:space="0" w:color="000000"/>
              <w:left w:val="single" w:sz="4" w:space="0" w:color="000000"/>
              <w:bottom w:val="single" w:sz="4" w:space="0" w:color="000000"/>
              <w:right w:val="single" w:sz="4" w:space="0" w:color="000000"/>
            </w:tcBorders>
          </w:tcPr>
          <w:p w14:paraId="15AFF912" w14:textId="77777777" w:rsidR="00DB6E1F" w:rsidRDefault="00F666A6">
            <w:pPr>
              <w:pStyle w:val="TableParagraph"/>
              <w:spacing w:before="0"/>
              <w:ind w:right="189"/>
              <w:rPr>
                <w:sz w:val="20"/>
              </w:rPr>
            </w:pPr>
            <w:r>
              <w:rPr>
                <w:b/>
                <w:sz w:val="20"/>
              </w:rPr>
              <w:t>Scoring:</w:t>
            </w:r>
            <w:r>
              <w:rPr>
                <w:b/>
                <w:spacing w:val="-3"/>
                <w:sz w:val="20"/>
              </w:rPr>
              <w:t xml:space="preserve"> </w:t>
            </w:r>
            <w:r>
              <w:rPr>
                <w:sz w:val="20"/>
              </w:rPr>
              <w:t>For</w:t>
            </w:r>
            <w:r>
              <w:rPr>
                <w:spacing w:val="-3"/>
                <w:sz w:val="20"/>
              </w:rPr>
              <w:t xml:space="preserve"> </w:t>
            </w:r>
            <w:r>
              <w:rPr>
                <w:sz w:val="20"/>
              </w:rPr>
              <w:t>each</w:t>
            </w:r>
            <w:r>
              <w:rPr>
                <w:spacing w:val="-2"/>
                <w:sz w:val="20"/>
              </w:rPr>
              <w:t xml:space="preserve"> </w:t>
            </w:r>
            <w:r>
              <w:rPr>
                <w:sz w:val="20"/>
              </w:rPr>
              <w:t>item,</w:t>
            </w:r>
            <w:r>
              <w:rPr>
                <w:spacing w:val="-2"/>
                <w:sz w:val="20"/>
              </w:rPr>
              <w:t xml:space="preserve"> </w:t>
            </w:r>
            <w:r>
              <w:rPr>
                <w:sz w:val="20"/>
              </w:rPr>
              <w:t>copy</w:t>
            </w:r>
            <w:r>
              <w:rPr>
                <w:spacing w:val="-2"/>
                <w:sz w:val="20"/>
              </w:rPr>
              <w:t xml:space="preserve"> </w:t>
            </w:r>
            <w:r>
              <w:rPr>
                <w:sz w:val="20"/>
              </w:rPr>
              <w:t>the</w:t>
            </w:r>
            <w:r>
              <w:rPr>
                <w:spacing w:val="-4"/>
                <w:sz w:val="20"/>
              </w:rPr>
              <w:t xml:space="preserve"> </w:t>
            </w:r>
            <w:r>
              <w:rPr>
                <w:sz w:val="20"/>
              </w:rPr>
              <w:t>circled</w:t>
            </w:r>
            <w:r>
              <w:rPr>
                <w:spacing w:val="-2"/>
                <w:sz w:val="20"/>
              </w:rPr>
              <w:t xml:space="preserve"> </w:t>
            </w:r>
            <w:r>
              <w:rPr>
                <w:sz w:val="20"/>
              </w:rPr>
              <w:t>number</w:t>
            </w:r>
            <w:r>
              <w:rPr>
                <w:spacing w:val="-1"/>
                <w:sz w:val="20"/>
              </w:rPr>
              <w:t xml:space="preserve"> </w:t>
            </w:r>
            <w:r>
              <w:rPr>
                <w:sz w:val="20"/>
              </w:rPr>
              <w:t>from</w:t>
            </w:r>
            <w:r>
              <w:rPr>
                <w:spacing w:val="-4"/>
                <w:sz w:val="20"/>
              </w:rPr>
              <w:t xml:space="preserve"> </w:t>
            </w:r>
            <w:r>
              <w:rPr>
                <w:sz w:val="20"/>
              </w:rPr>
              <w:t>the</w:t>
            </w:r>
            <w:r>
              <w:rPr>
                <w:spacing w:val="-4"/>
                <w:sz w:val="20"/>
              </w:rPr>
              <w:t xml:space="preserve"> </w:t>
            </w:r>
            <w:r>
              <w:rPr>
                <w:sz w:val="20"/>
              </w:rPr>
              <w:t>answer</w:t>
            </w:r>
            <w:r>
              <w:rPr>
                <w:spacing w:val="-1"/>
                <w:sz w:val="20"/>
              </w:rPr>
              <w:t xml:space="preserve"> </w:t>
            </w:r>
            <w:r>
              <w:rPr>
                <w:sz w:val="20"/>
              </w:rPr>
              <w:t>sheet</w:t>
            </w:r>
            <w:r>
              <w:rPr>
                <w:spacing w:val="-3"/>
                <w:sz w:val="20"/>
              </w:rPr>
              <w:t xml:space="preserve"> </w:t>
            </w:r>
            <w:r>
              <w:rPr>
                <w:sz w:val="20"/>
              </w:rPr>
              <w:t>next</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item</w:t>
            </w:r>
            <w:r>
              <w:rPr>
                <w:spacing w:val="-2"/>
                <w:sz w:val="20"/>
              </w:rPr>
              <w:t xml:space="preserve"> </w:t>
            </w:r>
            <w:r>
              <w:rPr>
                <w:sz w:val="20"/>
              </w:rPr>
              <w:t>number</w:t>
            </w:r>
            <w:r>
              <w:rPr>
                <w:spacing w:val="-3"/>
                <w:sz w:val="20"/>
              </w:rPr>
              <w:t xml:space="preserve"> </w:t>
            </w:r>
            <w:r>
              <w:rPr>
                <w:sz w:val="20"/>
              </w:rPr>
              <w:t>above. Then sum each column to calculate scale totals. Sum these totals to calculate the Total DrInC Score.</w:t>
            </w:r>
          </w:p>
          <w:p w14:paraId="1AF2E1FC" w14:textId="77777777" w:rsidR="00DB6E1F" w:rsidRDefault="00F666A6">
            <w:pPr>
              <w:pStyle w:val="TableParagraph"/>
              <w:spacing w:before="120"/>
              <w:ind w:right="189"/>
              <w:rPr>
                <w:sz w:val="20"/>
              </w:rPr>
            </w:pPr>
            <w:r>
              <w:rPr>
                <w:sz w:val="20"/>
              </w:rPr>
              <w:t>*Zero</w:t>
            </w:r>
            <w:r>
              <w:rPr>
                <w:spacing w:val="-2"/>
                <w:sz w:val="20"/>
              </w:rPr>
              <w:t xml:space="preserve"> </w:t>
            </w:r>
            <w:r>
              <w:rPr>
                <w:sz w:val="20"/>
              </w:rPr>
              <w:t>scores</w:t>
            </w:r>
            <w:r>
              <w:rPr>
                <w:spacing w:val="-4"/>
                <w:sz w:val="20"/>
              </w:rPr>
              <w:t xml:space="preserve"> </w:t>
            </w:r>
            <w:r>
              <w:rPr>
                <w:sz w:val="20"/>
              </w:rPr>
              <w:t>on</w:t>
            </w:r>
            <w:r>
              <w:rPr>
                <w:spacing w:val="-2"/>
                <w:sz w:val="20"/>
              </w:rPr>
              <w:t xml:space="preserve"> </w:t>
            </w:r>
            <w:r>
              <w:rPr>
                <w:sz w:val="20"/>
              </w:rPr>
              <w:t>Control</w:t>
            </w:r>
            <w:r>
              <w:rPr>
                <w:spacing w:val="-3"/>
                <w:sz w:val="20"/>
              </w:rPr>
              <w:t xml:space="preserve"> </w:t>
            </w:r>
            <w:r>
              <w:rPr>
                <w:sz w:val="20"/>
              </w:rPr>
              <w:t>Scale</w:t>
            </w:r>
            <w:r>
              <w:rPr>
                <w:spacing w:val="-1"/>
                <w:sz w:val="20"/>
              </w:rPr>
              <w:t xml:space="preserve"> </w:t>
            </w:r>
            <w:r>
              <w:rPr>
                <w:sz w:val="20"/>
              </w:rPr>
              <w:t>items</w:t>
            </w:r>
            <w:r>
              <w:rPr>
                <w:spacing w:val="-4"/>
                <w:sz w:val="20"/>
              </w:rPr>
              <w:t xml:space="preserve"> </w:t>
            </w:r>
            <w:r>
              <w:rPr>
                <w:sz w:val="20"/>
              </w:rPr>
              <w:t>may</w:t>
            </w:r>
            <w:r>
              <w:rPr>
                <w:spacing w:val="-2"/>
                <w:sz w:val="20"/>
              </w:rPr>
              <w:t xml:space="preserve"> </w:t>
            </w:r>
            <w:r>
              <w:rPr>
                <w:sz w:val="20"/>
              </w:rPr>
              <w:t>indicate</w:t>
            </w:r>
            <w:r>
              <w:rPr>
                <w:spacing w:val="-4"/>
                <w:sz w:val="20"/>
              </w:rPr>
              <w:t xml:space="preserve"> </w:t>
            </w:r>
            <w:r>
              <w:rPr>
                <w:sz w:val="20"/>
              </w:rPr>
              <w:t>careless</w:t>
            </w:r>
            <w:r>
              <w:rPr>
                <w:spacing w:val="-4"/>
                <w:sz w:val="20"/>
              </w:rPr>
              <w:t xml:space="preserve"> </w:t>
            </w:r>
            <w:r>
              <w:rPr>
                <w:sz w:val="20"/>
              </w:rPr>
              <w:t>or</w:t>
            </w:r>
            <w:r>
              <w:rPr>
                <w:spacing w:val="-1"/>
                <w:sz w:val="20"/>
              </w:rPr>
              <w:t xml:space="preserve"> </w:t>
            </w:r>
            <w:r>
              <w:rPr>
                <w:sz w:val="20"/>
              </w:rPr>
              <w:t>dishonest</w:t>
            </w:r>
            <w:r>
              <w:rPr>
                <w:spacing w:val="-3"/>
                <w:sz w:val="20"/>
              </w:rPr>
              <w:t xml:space="preserve"> </w:t>
            </w:r>
            <w:r>
              <w:rPr>
                <w:sz w:val="20"/>
              </w:rPr>
              <w:t>responses.</w:t>
            </w:r>
            <w:r>
              <w:rPr>
                <w:spacing w:val="-3"/>
                <w:sz w:val="20"/>
              </w:rPr>
              <w:t xml:space="preserve"> </w:t>
            </w:r>
            <w:r>
              <w:rPr>
                <w:sz w:val="20"/>
              </w:rPr>
              <w:t>The</w:t>
            </w:r>
            <w:r>
              <w:rPr>
                <w:spacing w:val="-4"/>
                <w:sz w:val="20"/>
              </w:rPr>
              <w:t xml:space="preserve"> </w:t>
            </w:r>
            <w:r>
              <w:rPr>
                <w:sz w:val="20"/>
              </w:rPr>
              <w:t>Total</w:t>
            </w:r>
            <w:r>
              <w:rPr>
                <w:spacing w:val="-3"/>
                <w:sz w:val="20"/>
              </w:rPr>
              <w:t xml:space="preserve"> </w:t>
            </w:r>
            <w:r>
              <w:rPr>
                <w:sz w:val="20"/>
              </w:rPr>
              <w:t>DrInC</w:t>
            </w:r>
            <w:r>
              <w:rPr>
                <w:spacing w:val="-4"/>
                <w:sz w:val="20"/>
              </w:rPr>
              <w:t xml:space="preserve"> </w:t>
            </w:r>
            <w:r>
              <w:rPr>
                <w:sz w:val="20"/>
              </w:rPr>
              <w:t>Score</w:t>
            </w:r>
            <w:r>
              <w:rPr>
                <w:spacing w:val="-4"/>
                <w:sz w:val="20"/>
              </w:rPr>
              <w:t xml:space="preserve"> </w:t>
            </w:r>
            <w:r>
              <w:rPr>
                <w:sz w:val="20"/>
              </w:rPr>
              <w:t>reflects the overall number of alcohol problems that have occurred during the person’s lifetime.</w:t>
            </w:r>
          </w:p>
        </w:tc>
      </w:tr>
    </w:tbl>
    <w:p w14:paraId="55C4EED8" w14:textId="77777777" w:rsidR="00DB6E1F" w:rsidRDefault="00DB6E1F">
      <w:pPr>
        <w:rPr>
          <w:sz w:val="20"/>
        </w:rPr>
        <w:sectPr w:rsidR="00DB6E1F">
          <w:pgSz w:w="12240" w:h="15840"/>
          <w:pgMar w:top="1200" w:right="0" w:bottom="780" w:left="0" w:header="763" w:footer="585" w:gutter="0"/>
          <w:cols w:space="720"/>
        </w:sectPr>
      </w:pPr>
    </w:p>
    <w:p w14:paraId="7F0BC5AF" w14:textId="77777777" w:rsidR="00DB6E1F" w:rsidRDefault="00DB6E1F">
      <w:pPr>
        <w:pStyle w:val="BodyText"/>
        <w:spacing w:before="3"/>
        <w:rPr>
          <w:sz w:val="19"/>
        </w:rPr>
      </w:pPr>
    </w:p>
    <w:p w14:paraId="01ABB607" w14:textId="77777777" w:rsidR="00DB6E1F" w:rsidRDefault="00F666A6">
      <w:pPr>
        <w:pStyle w:val="BodyText"/>
        <w:ind w:left="1435"/>
        <w:rPr>
          <w:sz w:val="20"/>
        </w:rPr>
      </w:pPr>
      <w:r>
        <w:rPr>
          <w:sz w:val="20"/>
        </w:rPr>
      </w:r>
      <w:r>
        <w:rPr>
          <w:sz w:val="20"/>
        </w:rPr>
        <w:pict w14:anchorId="389EC281">
          <v:shape id="docshape206" o:spid="_x0000_s2090" type="#_x0000_t202" style="width:472.6pt;height:65.2pt;mso-left-percent:-10001;mso-top-percent:-10001;mso-position-horizontal:absolute;mso-position-horizontal-relative:char;mso-position-vertical:absolute;mso-position-vertical-relative:line;mso-left-percent:-10001;mso-top-percent:-10001" filled="f" strokeweight=".48pt">
            <v:textbox inset="0,0,0,0">
              <w:txbxContent>
                <w:p w14:paraId="08B9E536" w14:textId="77777777" w:rsidR="00DB6E1F" w:rsidRDefault="00F666A6">
                  <w:pPr>
                    <w:spacing w:before="1"/>
                    <w:ind w:left="103" w:right="40"/>
                    <w:rPr>
                      <w:sz w:val="20"/>
                    </w:rPr>
                  </w:pPr>
                  <w:r>
                    <w:rPr>
                      <w:sz w:val="20"/>
                    </w:rPr>
                    <w:t>*See</w:t>
                  </w:r>
                  <w:r>
                    <w:rPr>
                      <w:spacing w:val="-4"/>
                      <w:sz w:val="20"/>
                    </w:rPr>
                    <w:t xml:space="preserve"> </w:t>
                  </w:r>
                  <w:r>
                    <w:rPr>
                      <w:sz w:val="20"/>
                    </w:rPr>
                    <w:t>the</w:t>
                  </w:r>
                  <w:r>
                    <w:rPr>
                      <w:spacing w:val="-4"/>
                      <w:sz w:val="20"/>
                    </w:rPr>
                    <w:t xml:space="preserve"> </w:t>
                  </w:r>
                  <w:r>
                    <w:rPr>
                      <w:sz w:val="20"/>
                    </w:rPr>
                    <w:t>test</w:t>
                  </w:r>
                  <w:r>
                    <w:rPr>
                      <w:spacing w:val="-3"/>
                      <w:sz w:val="20"/>
                    </w:rPr>
                    <w:t xml:space="preserve"> </w:t>
                  </w:r>
                  <w:r>
                    <w:rPr>
                      <w:sz w:val="20"/>
                    </w:rPr>
                    <w:t>manual</w:t>
                  </w:r>
                  <w:r>
                    <w:rPr>
                      <w:spacing w:val="-3"/>
                      <w:sz w:val="20"/>
                    </w:rPr>
                    <w:t xml:space="preserve"> </w:t>
                  </w:r>
                  <w:r>
                    <w:rPr>
                      <w:sz w:val="20"/>
                    </w:rPr>
                    <w:t>for</w:t>
                  </w:r>
                  <w:r>
                    <w:rPr>
                      <w:spacing w:val="-3"/>
                      <w:sz w:val="20"/>
                    </w:rPr>
                    <w:t xml:space="preserve"> </w:t>
                  </w:r>
                  <w:r>
                    <w:rPr>
                      <w:sz w:val="20"/>
                    </w:rPr>
                    <w:t>this</w:t>
                  </w:r>
                  <w:r>
                    <w:rPr>
                      <w:spacing w:val="-4"/>
                      <w:sz w:val="20"/>
                    </w:rPr>
                    <w:t xml:space="preserve"> </w:t>
                  </w:r>
                  <w:r>
                    <w:rPr>
                      <w:sz w:val="20"/>
                    </w:rPr>
                    <w:t>instrument</w:t>
                  </w:r>
                  <w:r>
                    <w:rPr>
                      <w:spacing w:val="-3"/>
                      <w:sz w:val="20"/>
                    </w:rPr>
                    <w:t xml:space="preserve"> </w:t>
                  </w:r>
                  <w:r>
                    <w:rPr>
                      <w:sz w:val="20"/>
                    </w:rPr>
                    <w:t>for</w:t>
                  </w:r>
                  <w:r>
                    <w:rPr>
                      <w:spacing w:val="-1"/>
                      <w:sz w:val="20"/>
                    </w:rPr>
                    <w:t xml:space="preserve"> </w:t>
                  </w:r>
                  <w:r>
                    <w:rPr>
                      <w:sz w:val="20"/>
                    </w:rPr>
                    <w:t>more</w:t>
                  </w:r>
                  <w:r>
                    <w:rPr>
                      <w:spacing w:val="-4"/>
                      <w:sz w:val="20"/>
                    </w:rPr>
                    <w:t xml:space="preserve"> </w:t>
                  </w:r>
                  <w:r>
                    <w:rPr>
                      <w:sz w:val="20"/>
                    </w:rPr>
                    <w:t>information</w:t>
                  </w:r>
                  <w:r>
                    <w:rPr>
                      <w:spacing w:val="-2"/>
                      <w:sz w:val="20"/>
                    </w:rPr>
                    <w:t xml:space="preserve"> </w:t>
                  </w:r>
                  <w:r>
                    <w:rPr>
                      <w:sz w:val="20"/>
                    </w:rPr>
                    <w:t>about</w:t>
                  </w:r>
                  <w:r>
                    <w:rPr>
                      <w:spacing w:val="-3"/>
                      <w:sz w:val="20"/>
                    </w:rPr>
                    <w:t xml:space="preserve"> </w:t>
                  </w:r>
                  <w:r>
                    <w:rPr>
                      <w:sz w:val="20"/>
                    </w:rPr>
                    <w:t>scoring</w:t>
                  </w:r>
                  <w:r>
                    <w:rPr>
                      <w:spacing w:val="-3"/>
                      <w:sz w:val="20"/>
                    </w:rPr>
                    <w:t xml:space="preserve"> </w:t>
                  </w:r>
                  <w:r>
                    <w:rPr>
                      <w:sz w:val="20"/>
                    </w:rPr>
                    <w:t>and</w:t>
                  </w:r>
                  <w:r>
                    <w:rPr>
                      <w:spacing w:val="-2"/>
                      <w:sz w:val="20"/>
                    </w:rPr>
                    <w:t xml:space="preserve"> </w:t>
                  </w:r>
                  <w:r>
                    <w:rPr>
                      <w:sz w:val="20"/>
                    </w:rPr>
                    <w:t>interpreting</w:t>
                  </w:r>
                  <w:r>
                    <w:rPr>
                      <w:spacing w:val="-3"/>
                      <w:sz w:val="20"/>
                    </w:rPr>
                    <w:t xml:space="preserve"> </w:t>
                  </w:r>
                  <w:r>
                    <w:rPr>
                      <w:sz w:val="20"/>
                    </w:rPr>
                    <w:t>the</w:t>
                  </w:r>
                  <w:r>
                    <w:rPr>
                      <w:spacing w:val="-4"/>
                      <w:sz w:val="20"/>
                    </w:rPr>
                    <w:t xml:space="preserve"> </w:t>
                  </w:r>
                  <w:r>
                    <w:rPr>
                      <w:sz w:val="20"/>
                    </w:rPr>
                    <w:t>score.</w:t>
                  </w:r>
                  <w:r>
                    <w:rPr>
                      <w:spacing w:val="-1"/>
                      <w:sz w:val="20"/>
                    </w:rPr>
                    <w:t xml:space="preserve"> </w:t>
                  </w:r>
                  <w:r>
                    <w:rPr>
                      <w:sz w:val="20"/>
                    </w:rPr>
                    <w:t>It</w:t>
                  </w:r>
                  <w:r>
                    <w:rPr>
                      <w:spacing w:val="-3"/>
                      <w:sz w:val="20"/>
                    </w:rPr>
                    <w:t xml:space="preserve"> </w:t>
                  </w:r>
                  <w:r>
                    <w:rPr>
                      <w:sz w:val="20"/>
                    </w:rPr>
                    <w:t>also provides the instruments and scoring information for other versions of DrInC including one for drug use and a short version (SIP) of the instrument for alcohol and drugs.</w:t>
                  </w:r>
                </w:p>
                <w:p w14:paraId="5E9AF63F" w14:textId="77777777" w:rsidR="00DB6E1F" w:rsidRDefault="00F666A6">
                  <w:pPr>
                    <w:spacing w:before="121" w:line="216" w:lineRule="auto"/>
                    <w:ind w:left="103" w:right="40"/>
                    <w:rPr>
                      <w:i/>
                      <w:sz w:val="20"/>
                    </w:rPr>
                  </w:pPr>
                  <w:r>
                    <w:rPr>
                      <w:i/>
                      <w:sz w:val="20"/>
                    </w:rPr>
                    <w:t>Source:</w:t>
                  </w:r>
                  <w:r>
                    <w:rPr>
                      <w:i/>
                      <w:spacing w:val="-3"/>
                      <w:sz w:val="20"/>
                    </w:rPr>
                    <w:t xml:space="preserve"> </w:t>
                  </w:r>
                  <w:r>
                    <w:rPr>
                      <w:i/>
                      <w:sz w:val="20"/>
                    </w:rPr>
                    <w:t>Miller,</w:t>
                  </w:r>
                  <w:r>
                    <w:rPr>
                      <w:i/>
                      <w:spacing w:val="-2"/>
                      <w:sz w:val="20"/>
                    </w:rPr>
                    <w:t xml:space="preserve"> </w:t>
                  </w:r>
                  <w:r>
                    <w:rPr>
                      <w:i/>
                      <w:sz w:val="20"/>
                    </w:rPr>
                    <w:t>Tonigan,</w:t>
                  </w:r>
                  <w:r>
                    <w:rPr>
                      <w:i/>
                      <w:spacing w:val="-2"/>
                      <w:sz w:val="20"/>
                    </w:rPr>
                    <w:t xml:space="preserve"> </w:t>
                  </w:r>
                  <w:r>
                    <w:rPr>
                      <w:i/>
                      <w:sz w:val="20"/>
                    </w:rPr>
                    <w:t>&amp;</w:t>
                  </w:r>
                  <w:r>
                    <w:rPr>
                      <w:i/>
                      <w:spacing w:val="-2"/>
                      <w:sz w:val="20"/>
                    </w:rPr>
                    <w:t xml:space="preserve"> </w:t>
                  </w:r>
                  <w:r>
                    <w:rPr>
                      <w:i/>
                      <w:sz w:val="20"/>
                    </w:rPr>
                    <w:t>Longabaugh</w:t>
                  </w:r>
                  <w:r>
                    <w:rPr>
                      <w:i/>
                      <w:spacing w:val="-2"/>
                      <w:sz w:val="20"/>
                    </w:rPr>
                    <w:t xml:space="preserve"> </w:t>
                  </w:r>
                  <w:r>
                    <w:rPr>
                      <w:i/>
                      <w:sz w:val="20"/>
                    </w:rPr>
                    <w:t>(1995).</w:t>
                  </w:r>
                  <w:r>
                    <w:rPr>
                      <w:i/>
                      <w:spacing w:val="-3"/>
                      <w:sz w:val="20"/>
                    </w:rPr>
                    <w:t xml:space="preserve"> </w:t>
                  </w:r>
                  <w:r>
                    <w:rPr>
                      <w:i/>
                      <w:sz w:val="20"/>
                    </w:rPr>
                    <w:t>Adapted</w:t>
                  </w:r>
                  <w:r>
                    <w:rPr>
                      <w:i/>
                      <w:spacing w:val="-2"/>
                      <w:sz w:val="20"/>
                    </w:rPr>
                    <w:t xml:space="preserve"> </w:t>
                  </w:r>
                  <w:r>
                    <w:rPr>
                      <w:i/>
                      <w:sz w:val="20"/>
                    </w:rPr>
                    <w:t>from</w:t>
                  </w:r>
                  <w:r>
                    <w:rPr>
                      <w:i/>
                      <w:spacing w:val="-2"/>
                      <w:sz w:val="20"/>
                    </w:rPr>
                    <w:t xml:space="preserve"> </w:t>
                  </w:r>
                  <w:r>
                    <w:rPr>
                      <w:i/>
                      <w:sz w:val="20"/>
                    </w:rPr>
                    <w:t>material</w:t>
                  </w:r>
                  <w:r>
                    <w:rPr>
                      <w:i/>
                      <w:spacing w:val="-3"/>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public</w:t>
                  </w:r>
                  <w:r>
                    <w:rPr>
                      <w:i/>
                      <w:spacing w:val="-2"/>
                      <w:sz w:val="20"/>
                    </w:rPr>
                    <w:t xml:space="preserve"> </w:t>
                  </w:r>
                  <w:r>
                    <w:rPr>
                      <w:i/>
                      <w:sz w:val="20"/>
                    </w:rPr>
                    <w:t>domain.</w:t>
                  </w:r>
                  <w:r>
                    <w:rPr>
                      <w:i/>
                      <w:spacing w:val="-3"/>
                      <w:sz w:val="20"/>
                    </w:rPr>
                    <w:t xml:space="preserve"> </w:t>
                  </w:r>
                  <w:r>
                    <w:rPr>
                      <w:i/>
                      <w:sz w:val="20"/>
                    </w:rPr>
                    <w:t>Available</w:t>
                  </w:r>
                  <w:r>
                    <w:rPr>
                      <w:i/>
                      <w:spacing w:val="-2"/>
                      <w:sz w:val="20"/>
                    </w:rPr>
                    <w:t xml:space="preserve"> </w:t>
                  </w:r>
                  <w:r>
                    <w:rPr>
                      <w:i/>
                      <w:sz w:val="20"/>
                    </w:rPr>
                    <w:t>online</w:t>
                  </w:r>
                  <w:r>
                    <w:rPr>
                      <w:i/>
                      <w:spacing w:val="-2"/>
                      <w:sz w:val="20"/>
                    </w:rPr>
                    <w:t xml:space="preserve"> </w:t>
                  </w:r>
                  <w:r>
                    <w:rPr>
                      <w:i/>
                      <w:sz w:val="20"/>
                    </w:rPr>
                    <w:t>at</w:t>
                  </w:r>
                  <w:r>
                    <w:rPr>
                      <w:i/>
                      <w:spacing w:val="-3"/>
                      <w:sz w:val="20"/>
                    </w:rPr>
                    <w:t xml:space="preserve"> </w:t>
                  </w:r>
                  <w:r>
                    <w:rPr>
                      <w:i/>
                      <w:sz w:val="20"/>
                    </w:rPr>
                    <w:t xml:space="preserve">no cost </w:t>
                  </w:r>
                  <w:hyperlink r:id="rId170">
                    <w:r>
                      <w:rPr>
                        <w:i/>
                        <w:sz w:val="20"/>
                      </w:rPr>
                      <w:t>(</w:t>
                    </w:r>
                    <w:r>
                      <w:rPr>
                        <w:i/>
                        <w:color w:val="0563C1"/>
                        <w:sz w:val="20"/>
                        <w:u w:val="single" w:color="0563C1"/>
                      </w:rPr>
                      <w:t>https://pubs.niaaa.nih.gov/publications/projectmatch/match04.pdf</w:t>
                    </w:r>
                  </w:hyperlink>
                  <w:r>
                    <w:rPr>
                      <w:i/>
                      <w:sz w:val="20"/>
                    </w:rPr>
                    <w:t>).</w:t>
                  </w:r>
                </w:p>
              </w:txbxContent>
            </v:textbox>
            <w10:anchorlock/>
          </v:shape>
        </w:pict>
      </w:r>
    </w:p>
    <w:p w14:paraId="3372C9F0" w14:textId="77777777" w:rsidR="00DB6E1F" w:rsidRDefault="00DB6E1F">
      <w:pPr>
        <w:rPr>
          <w:sz w:val="20"/>
        </w:rPr>
        <w:sectPr w:rsidR="00DB6E1F">
          <w:pgSz w:w="12240" w:h="15840"/>
          <w:pgMar w:top="1200" w:right="0" w:bottom="780" w:left="0" w:header="763" w:footer="585" w:gutter="0"/>
          <w:cols w:space="720"/>
        </w:sectPr>
      </w:pPr>
    </w:p>
    <w:p w14:paraId="55B9DA26" w14:textId="77777777" w:rsidR="00DB6E1F" w:rsidRDefault="00DB6E1F">
      <w:pPr>
        <w:pStyle w:val="BodyText"/>
        <w:spacing w:before="3"/>
        <w:rPr>
          <w:sz w:val="17"/>
        </w:rPr>
      </w:pPr>
    </w:p>
    <w:p w14:paraId="55F2CC1B" w14:textId="77777777" w:rsidR="00DB6E1F" w:rsidRDefault="00F666A6">
      <w:pPr>
        <w:pStyle w:val="Heading2"/>
        <w:numPr>
          <w:ilvl w:val="0"/>
          <w:numId w:val="37"/>
        </w:numPr>
        <w:tabs>
          <w:tab w:val="left" w:pos="1800"/>
        </w:tabs>
      </w:pPr>
      <w:bookmarkStart w:id="238" w:name="4._What_I_Want_From_Treatment_(2.0)"/>
      <w:bookmarkStart w:id="239" w:name="_bookmark54"/>
      <w:bookmarkEnd w:id="238"/>
      <w:bookmarkEnd w:id="239"/>
      <w:r>
        <w:t>What</w:t>
      </w:r>
      <w:r>
        <w:rPr>
          <w:spacing w:val="-1"/>
        </w:rPr>
        <w:t xml:space="preserve"> </w:t>
      </w:r>
      <w:r>
        <w:t>I Want</w:t>
      </w:r>
      <w:r>
        <w:rPr>
          <w:spacing w:val="-4"/>
        </w:rPr>
        <w:t xml:space="preserve"> </w:t>
      </w:r>
      <w:r>
        <w:t>From Treatment</w:t>
      </w:r>
      <w:r>
        <w:rPr>
          <w:spacing w:val="-3"/>
        </w:rPr>
        <w:t xml:space="preserve"> </w:t>
      </w:r>
      <w:r>
        <w:rPr>
          <w:spacing w:val="-2"/>
        </w:rPr>
        <w:t>(2.0)</w:t>
      </w:r>
    </w:p>
    <w:p w14:paraId="5E8CFBA7" w14:textId="77777777" w:rsidR="00DB6E1F" w:rsidRDefault="00F666A6">
      <w:pPr>
        <w:spacing w:before="152"/>
        <w:ind w:left="1440" w:right="1444"/>
        <w:rPr>
          <w:sz w:val="20"/>
        </w:rPr>
      </w:pPr>
      <w:r>
        <w:rPr>
          <w:b/>
          <w:sz w:val="20"/>
        </w:rPr>
        <w:t xml:space="preserve">Instructions: </w:t>
      </w:r>
      <w:r>
        <w:rPr>
          <w:sz w:val="20"/>
        </w:rPr>
        <w:t xml:space="preserve">People have different ideas about what they want, need, and expect from treatment. This questionnaire is designed to help you explain what you would </w:t>
      </w:r>
      <w:r>
        <w:rPr>
          <w:i/>
          <w:sz w:val="20"/>
        </w:rPr>
        <w:t xml:space="preserve">like </w:t>
      </w:r>
      <w:r>
        <w:rPr>
          <w:sz w:val="20"/>
        </w:rPr>
        <w:t>to have happen in your treatment. Many</w:t>
      </w:r>
      <w:r>
        <w:rPr>
          <w:sz w:val="20"/>
        </w:rPr>
        <w:t xml:space="preserve"> possibilities</w:t>
      </w:r>
      <w:r>
        <w:rPr>
          <w:spacing w:val="-3"/>
          <w:sz w:val="20"/>
        </w:rPr>
        <w:t xml:space="preserve"> </w:t>
      </w:r>
      <w:r>
        <w:rPr>
          <w:sz w:val="20"/>
        </w:rPr>
        <w:t>are</w:t>
      </w:r>
      <w:r>
        <w:rPr>
          <w:spacing w:val="-3"/>
          <w:sz w:val="20"/>
        </w:rPr>
        <w:t xml:space="preserve"> </w:t>
      </w:r>
      <w:r>
        <w:rPr>
          <w:sz w:val="20"/>
        </w:rPr>
        <w:t>listed.</w:t>
      </w:r>
      <w:r>
        <w:rPr>
          <w:spacing w:val="-2"/>
          <w:sz w:val="20"/>
        </w:rPr>
        <w:t xml:space="preserve"> </w:t>
      </w:r>
      <w:r>
        <w:rPr>
          <w:sz w:val="20"/>
        </w:rPr>
        <w:t>For</w:t>
      </w:r>
      <w:r>
        <w:rPr>
          <w:spacing w:val="-2"/>
          <w:sz w:val="20"/>
        </w:rPr>
        <w:t xml:space="preserve"> </w:t>
      </w:r>
      <w:r>
        <w:rPr>
          <w:sz w:val="20"/>
        </w:rPr>
        <w:t>each</w:t>
      </w:r>
      <w:r>
        <w:rPr>
          <w:spacing w:val="-1"/>
          <w:sz w:val="20"/>
        </w:rPr>
        <w:t xml:space="preserve"> </w:t>
      </w:r>
      <w:r>
        <w:rPr>
          <w:sz w:val="20"/>
        </w:rPr>
        <w:t>one,</w:t>
      </w:r>
      <w:r>
        <w:rPr>
          <w:spacing w:val="-1"/>
          <w:sz w:val="20"/>
        </w:rPr>
        <w:t xml:space="preserve"> </w:t>
      </w:r>
      <w:r>
        <w:rPr>
          <w:sz w:val="20"/>
        </w:rPr>
        <w:t>please</w:t>
      </w:r>
      <w:r>
        <w:rPr>
          <w:spacing w:val="-3"/>
          <w:sz w:val="20"/>
        </w:rPr>
        <w:t xml:space="preserve"> </w:t>
      </w:r>
      <w:r>
        <w:rPr>
          <w:sz w:val="20"/>
        </w:rPr>
        <w:t>indicate</w:t>
      </w:r>
      <w:r>
        <w:rPr>
          <w:spacing w:val="-3"/>
          <w:sz w:val="20"/>
        </w:rPr>
        <w:t xml:space="preserve"> </w:t>
      </w:r>
      <w:r>
        <w:rPr>
          <w:sz w:val="20"/>
        </w:rPr>
        <w:t>how</w:t>
      </w:r>
      <w:r>
        <w:rPr>
          <w:spacing w:val="-1"/>
          <w:sz w:val="20"/>
        </w:rPr>
        <w:t xml:space="preserve"> </w:t>
      </w:r>
      <w:r>
        <w:rPr>
          <w:sz w:val="20"/>
        </w:rPr>
        <w:t>much</w:t>
      </w:r>
      <w:r>
        <w:rPr>
          <w:spacing w:val="-1"/>
          <w:sz w:val="20"/>
        </w:rPr>
        <w:t xml:space="preserve"> </w:t>
      </w:r>
      <w:r>
        <w:rPr>
          <w:sz w:val="20"/>
        </w:rPr>
        <w:t>you</w:t>
      </w:r>
      <w:r>
        <w:rPr>
          <w:spacing w:val="-1"/>
          <w:sz w:val="20"/>
        </w:rPr>
        <w:t xml:space="preserve"> </w:t>
      </w:r>
      <w:r>
        <w:rPr>
          <w:sz w:val="20"/>
        </w:rPr>
        <w:t>would</w:t>
      </w:r>
      <w:r>
        <w:rPr>
          <w:spacing w:val="-1"/>
          <w:sz w:val="20"/>
        </w:rPr>
        <w:t xml:space="preserve"> </w:t>
      </w:r>
      <w:r>
        <w:rPr>
          <w:sz w:val="20"/>
        </w:rPr>
        <w:t>like</w:t>
      </w:r>
      <w:r>
        <w:rPr>
          <w:spacing w:val="-3"/>
          <w:sz w:val="20"/>
        </w:rPr>
        <w:t xml:space="preserve"> </w:t>
      </w:r>
      <w:r>
        <w:rPr>
          <w:sz w:val="20"/>
        </w:rPr>
        <w:t>for</w:t>
      </w:r>
      <w:r>
        <w:rPr>
          <w:spacing w:val="-2"/>
          <w:sz w:val="20"/>
        </w:rPr>
        <w:t xml:space="preserve"> </w:t>
      </w:r>
      <w:r>
        <w:rPr>
          <w:sz w:val="20"/>
        </w:rPr>
        <w:t>this</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part</w:t>
      </w:r>
      <w:r>
        <w:rPr>
          <w:spacing w:val="-2"/>
          <w:sz w:val="20"/>
        </w:rPr>
        <w:t xml:space="preserve"> </w:t>
      </w:r>
      <w:r>
        <w:rPr>
          <w:sz w:val="20"/>
        </w:rPr>
        <w:t>of</w:t>
      </w:r>
      <w:r>
        <w:rPr>
          <w:spacing w:val="-3"/>
          <w:sz w:val="20"/>
        </w:rPr>
        <w:t xml:space="preserve"> </w:t>
      </w:r>
      <w:r>
        <w:rPr>
          <w:sz w:val="20"/>
        </w:rPr>
        <w:t>your</w:t>
      </w:r>
      <w:r>
        <w:rPr>
          <w:spacing w:val="-2"/>
          <w:sz w:val="20"/>
        </w:rPr>
        <w:t xml:space="preserve"> </w:t>
      </w:r>
      <w:r>
        <w:rPr>
          <w:sz w:val="20"/>
        </w:rPr>
        <w:t>treatment. You can do this by circling one number (0, 1, 2, or 3) for each item. This is what the numbers mean:</w:t>
      </w:r>
    </w:p>
    <w:p w14:paraId="619F1952" w14:textId="77777777" w:rsidR="00DB6E1F" w:rsidRDefault="00F666A6">
      <w:pPr>
        <w:tabs>
          <w:tab w:val="left" w:pos="2879"/>
        </w:tabs>
        <w:spacing w:before="123" w:line="357" w:lineRule="auto"/>
        <w:ind w:left="1440" w:right="3773"/>
        <w:rPr>
          <w:sz w:val="20"/>
        </w:rPr>
      </w:pPr>
      <w:r>
        <w:rPr>
          <w:sz w:val="20"/>
        </w:rPr>
        <w:t>0 = No</w:t>
      </w:r>
      <w:r>
        <w:rPr>
          <w:sz w:val="20"/>
        </w:rPr>
        <w:tab/>
        <w:t>Means</w:t>
      </w:r>
      <w:r>
        <w:rPr>
          <w:spacing w:val="-5"/>
          <w:sz w:val="20"/>
        </w:rPr>
        <w:t xml:space="preserve"> </w:t>
      </w:r>
      <w:r>
        <w:rPr>
          <w:sz w:val="20"/>
        </w:rPr>
        <w:t>that</w:t>
      </w:r>
      <w:r>
        <w:rPr>
          <w:spacing w:val="-4"/>
          <w:sz w:val="20"/>
        </w:rPr>
        <w:t xml:space="preserve"> </w:t>
      </w:r>
      <w:r>
        <w:rPr>
          <w:sz w:val="20"/>
        </w:rPr>
        <w:t>you</w:t>
      </w:r>
      <w:r>
        <w:rPr>
          <w:spacing w:val="-3"/>
          <w:sz w:val="20"/>
        </w:rPr>
        <w:t xml:space="preserve"> </w:t>
      </w:r>
      <w:r>
        <w:rPr>
          <w:sz w:val="20"/>
        </w:rPr>
        <w:t>definitely</w:t>
      </w:r>
      <w:r>
        <w:rPr>
          <w:spacing w:val="-3"/>
          <w:sz w:val="20"/>
        </w:rPr>
        <w:t xml:space="preserve"> </w:t>
      </w:r>
      <w:r>
        <w:rPr>
          <w:sz w:val="20"/>
        </w:rPr>
        <w:t>do</w:t>
      </w:r>
      <w:r>
        <w:rPr>
          <w:spacing w:val="-4"/>
          <w:sz w:val="20"/>
        </w:rPr>
        <w:t xml:space="preserve"> </w:t>
      </w:r>
      <w:r>
        <w:rPr>
          <w:sz w:val="20"/>
          <w:u w:val="single"/>
        </w:rPr>
        <w:t>NOT</w:t>
      </w:r>
      <w:r>
        <w:rPr>
          <w:spacing w:val="-5"/>
          <w:sz w:val="20"/>
        </w:rPr>
        <w:t xml:space="preserve"> </w:t>
      </w:r>
      <w:r>
        <w:rPr>
          <w:sz w:val="20"/>
        </w:rPr>
        <w:t>want</w:t>
      </w:r>
      <w:r>
        <w:rPr>
          <w:spacing w:val="-4"/>
          <w:sz w:val="20"/>
        </w:rPr>
        <w:t xml:space="preserve"> </w:t>
      </w:r>
      <w:r>
        <w:rPr>
          <w:sz w:val="20"/>
        </w:rPr>
        <w:t>or</w:t>
      </w:r>
      <w:r>
        <w:rPr>
          <w:spacing w:val="-4"/>
          <w:sz w:val="20"/>
        </w:rPr>
        <w:t xml:space="preserve"> </w:t>
      </w:r>
      <w:r>
        <w:rPr>
          <w:sz w:val="20"/>
        </w:rPr>
        <w:t>need</w:t>
      </w:r>
      <w:r>
        <w:rPr>
          <w:spacing w:val="-3"/>
          <w:sz w:val="20"/>
        </w:rPr>
        <w:t xml:space="preserve"> </w:t>
      </w:r>
      <w:r>
        <w:rPr>
          <w:sz w:val="20"/>
        </w:rPr>
        <w:t>this</w:t>
      </w:r>
      <w:r>
        <w:rPr>
          <w:spacing w:val="-5"/>
          <w:sz w:val="20"/>
        </w:rPr>
        <w:t xml:space="preserve"> </w:t>
      </w:r>
      <w:r>
        <w:rPr>
          <w:sz w:val="20"/>
        </w:rPr>
        <w:t>from</w:t>
      </w:r>
      <w:r>
        <w:rPr>
          <w:spacing w:val="-5"/>
          <w:sz w:val="20"/>
        </w:rPr>
        <w:t xml:space="preserve"> </w:t>
      </w:r>
      <w:r>
        <w:rPr>
          <w:sz w:val="20"/>
        </w:rPr>
        <w:t>treatment. 1 = ?</w:t>
      </w:r>
      <w:r>
        <w:rPr>
          <w:sz w:val="20"/>
        </w:rPr>
        <w:tab/>
        <w:t xml:space="preserve">Means that you are </w:t>
      </w:r>
      <w:r>
        <w:rPr>
          <w:sz w:val="20"/>
          <w:u w:val="single"/>
        </w:rPr>
        <w:t>UNSURE</w:t>
      </w:r>
      <w:r>
        <w:rPr>
          <w:sz w:val="20"/>
        </w:rPr>
        <w:t xml:space="preserve">. </w:t>
      </w:r>
      <w:r>
        <w:rPr>
          <w:sz w:val="20"/>
          <w:u w:val="single"/>
        </w:rPr>
        <w:t>MAYBE</w:t>
      </w:r>
      <w:r>
        <w:rPr>
          <w:sz w:val="20"/>
        </w:rPr>
        <w:t xml:space="preserve"> you want this from treatment. 2 = Yes</w:t>
      </w:r>
      <w:r>
        <w:rPr>
          <w:sz w:val="20"/>
        </w:rPr>
        <w:tab/>
      </w:r>
      <w:r>
        <w:rPr>
          <w:spacing w:val="-44"/>
          <w:sz w:val="20"/>
        </w:rPr>
        <w:t xml:space="preserve"> </w:t>
      </w:r>
      <w:r>
        <w:rPr>
          <w:sz w:val="20"/>
        </w:rPr>
        <w:t xml:space="preserve">Means that you </w:t>
      </w:r>
      <w:r>
        <w:rPr>
          <w:sz w:val="20"/>
          <w:u w:val="single"/>
        </w:rPr>
        <w:t>DO</w:t>
      </w:r>
      <w:r>
        <w:rPr>
          <w:sz w:val="20"/>
        </w:rPr>
        <w:t xml:space="preserve"> want or need this from treatment.</w:t>
      </w:r>
    </w:p>
    <w:p w14:paraId="2F9B4EF5" w14:textId="77777777" w:rsidR="00DB6E1F" w:rsidRDefault="00F666A6">
      <w:pPr>
        <w:tabs>
          <w:tab w:val="left" w:pos="2879"/>
        </w:tabs>
        <w:ind w:left="1440"/>
        <w:rPr>
          <w:sz w:val="20"/>
        </w:rPr>
      </w:pPr>
      <w:r>
        <w:rPr>
          <w:sz w:val="20"/>
        </w:rPr>
        <w:t>3</w:t>
      </w:r>
      <w:r>
        <w:rPr>
          <w:spacing w:val="-4"/>
          <w:sz w:val="20"/>
        </w:rPr>
        <w:t xml:space="preserve"> </w:t>
      </w:r>
      <w:r>
        <w:rPr>
          <w:sz w:val="20"/>
        </w:rPr>
        <w:t>=</w:t>
      </w:r>
      <w:r>
        <w:rPr>
          <w:spacing w:val="-1"/>
          <w:sz w:val="20"/>
        </w:rPr>
        <w:t xml:space="preserve"> </w:t>
      </w:r>
      <w:r>
        <w:rPr>
          <w:spacing w:val="-4"/>
          <w:sz w:val="20"/>
        </w:rPr>
        <w:t>Yes!</w:t>
      </w:r>
      <w:r>
        <w:rPr>
          <w:sz w:val="20"/>
        </w:rPr>
        <w:tab/>
        <w:t>Means</w:t>
      </w:r>
      <w:r>
        <w:rPr>
          <w:spacing w:val="-6"/>
          <w:sz w:val="20"/>
        </w:rPr>
        <w:t xml:space="preserve"> </w:t>
      </w:r>
      <w:r>
        <w:rPr>
          <w:sz w:val="20"/>
        </w:rPr>
        <w:t>that</w:t>
      </w:r>
      <w:r>
        <w:rPr>
          <w:spacing w:val="-5"/>
          <w:sz w:val="20"/>
        </w:rPr>
        <w:t xml:space="preserve"> </w:t>
      </w:r>
      <w:r>
        <w:rPr>
          <w:sz w:val="20"/>
        </w:rPr>
        <w:t>you</w:t>
      </w:r>
      <w:r>
        <w:rPr>
          <w:spacing w:val="-4"/>
          <w:sz w:val="20"/>
        </w:rPr>
        <w:t xml:space="preserve"> </w:t>
      </w:r>
      <w:r>
        <w:rPr>
          <w:sz w:val="20"/>
          <w:u w:val="single"/>
        </w:rPr>
        <w:t>DEFINITELY</w:t>
      </w:r>
      <w:r>
        <w:rPr>
          <w:spacing w:val="-6"/>
          <w:sz w:val="20"/>
        </w:rPr>
        <w:t xml:space="preserve"> </w:t>
      </w:r>
      <w:r>
        <w:rPr>
          <w:sz w:val="20"/>
        </w:rPr>
        <w:t>want</w:t>
      </w:r>
      <w:r>
        <w:rPr>
          <w:spacing w:val="-4"/>
          <w:sz w:val="20"/>
        </w:rPr>
        <w:t xml:space="preserve"> </w:t>
      </w:r>
      <w:r>
        <w:rPr>
          <w:sz w:val="20"/>
        </w:rPr>
        <w:t>or</w:t>
      </w:r>
      <w:r>
        <w:rPr>
          <w:spacing w:val="-5"/>
          <w:sz w:val="20"/>
        </w:rPr>
        <w:t xml:space="preserve"> </w:t>
      </w:r>
      <w:r>
        <w:rPr>
          <w:sz w:val="20"/>
        </w:rPr>
        <w:t>need</w:t>
      </w:r>
      <w:r>
        <w:rPr>
          <w:spacing w:val="-4"/>
          <w:sz w:val="20"/>
        </w:rPr>
        <w:t xml:space="preserve"> </w:t>
      </w:r>
      <w:r>
        <w:rPr>
          <w:sz w:val="20"/>
        </w:rPr>
        <w:t>this</w:t>
      </w:r>
      <w:r>
        <w:rPr>
          <w:spacing w:val="-6"/>
          <w:sz w:val="20"/>
        </w:rPr>
        <w:t xml:space="preserve"> </w:t>
      </w:r>
      <w:r>
        <w:rPr>
          <w:sz w:val="20"/>
        </w:rPr>
        <w:t>from</w:t>
      </w:r>
      <w:r>
        <w:rPr>
          <w:spacing w:val="-5"/>
          <w:sz w:val="20"/>
        </w:rPr>
        <w:t xml:space="preserve"> </w:t>
      </w:r>
      <w:r>
        <w:rPr>
          <w:spacing w:val="-2"/>
          <w:sz w:val="20"/>
        </w:rPr>
        <w:t>treatment.</w:t>
      </w:r>
    </w:p>
    <w:p w14:paraId="7430E39E" w14:textId="77777777" w:rsidR="00DB6E1F" w:rsidRDefault="00F666A6">
      <w:pPr>
        <w:spacing w:before="118"/>
        <w:ind w:left="1440" w:right="1555"/>
        <w:rPr>
          <w:sz w:val="20"/>
        </w:rPr>
      </w:pPr>
      <w:r>
        <w:rPr>
          <w:b/>
          <w:sz w:val="20"/>
        </w:rPr>
        <w:t xml:space="preserve">For example: </w:t>
      </w:r>
      <w:r>
        <w:rPr>
          <w:sz w:val="20"/>
        </w:rPr>
        <w:t>Consider item #1, which says, “I want to receive detoxification.” If you definitely do NOT want or need to receive detoxification, you would circle 0. If you are UNSURE whether you want or need detoxification, you</w:t>
      </w:r>
      <w:r>
        <w:rPr>
          <w:spacing w:val="-2"/>
          <w:sz w:val="20"/>
        </w:rPr>
        <w:t xml:space="preserve"> </w:t>
      </w:r>
      <w:r>
        <w:rPr>
          <w:sz w:val="20"/>
        </w:rPr>
        <w:t>would</w:t>
      </w:r>
      <w:r>
        <w:rPr>
          <w:spacing w:val="-2"/>
          <w:sz w:val="20"/>
        </w:rPr>
        <w:t xml:space="preserve"> </w:t>
      </w:r>
      <w:r>
        <w:rPr>
          <w:sz w:val="20"/>
        </w:rPr>
        <w:t>circle</w:t>
      </w:r>
      <w:r>
        <w:rPr>
          <w:spacing w:val="-4"/>
          <w:sz w:val="20"/>
        </w:rPr>
        <w:t xml:space="preserve"> </w:t>
      </w:r>
      <w:r>
        <w:rPr>
          <w:sz w:val="20"/>
        </w:rPr>
        <w:t>1.</w:t>
      </w:r>
      <w:r>
        <w:rPr>
          <w:spacing w:val="-3"/>
          <w:sz w:val="20"/>
        </w:rPr>
        <w:t xml:space="preserve"> </w:t>
      </w:r>
      <w:r>
        <w:rPr>
          <w:sz w:val="20"/>
        </w:rPr>
        <w:t>If</w:t>
      </w:r>
      <w:r>
        <w:rPr>
          <w:spacing w:val="-4"/>
          <w:sz w:val="20"/>
        </w:rPr>
        <w:t xml:space="preserve"> </w:t>
      </w:r>
      <w:r>
        <w:rPr>
          <w:sz w:val="20"/>
        </w:rPr>
        <w:t>you</w:t>
      </w:r>
      <w:r>
        <w:rPr>
          <w:spacing w:val="-2"/>
          <w:sz w:val="20"/>
        </w:rPr>
        <w:t xml:space="preserve"> </w:t>
      </w:r>
      <w:r>
        <w:rPr>
          <w:sz w:val="20"/>
        </w:rPr>
        <w:t>DO</w:t>
      </w:r>
      <w:r>
        <w:rPr>
          <w:spacing w:val="-3"/>
          <w:sz w:val="20"/>
        </w:rPr>
        <w:t xml:space="preserve"> </w:t>
      </w:r>
      <w:r>
        <w:rPr>
          <w:sz w:val="20"/>
        </w:rPr>
        <w:t>want</w:t>
      </w:r>
      <w:r>
        <w:rPr>
          <w:spacing w:val="-3"/>
          <w:sz w:val="20"/>
        </w:rPr>
        <w:t xml:space="preserve"> </w:t>
      </w:r>
      <w:r>
        <w:rPr>
          <w:sz w:val="20"/>
        </w:rPr>
        <w:t>detoxificat</w:t>
      </w:r>
      <w:r>
        <w:rPr>
          <w:sz w:val="20"/>
        </w:rPr>
        <w:t>ion,</w:t>
      </w:r>
      <w:r>
        <w:rPr>
          <w:spacing w:val="-2"/>
          <w:sz w:val="20"/>
        </w:rPr>
        <w:t xml:space="preserve"> </w:t>
      </w:r>
      <w:r>
        <w:rPr>
          <w:sz w:val="20"/>
        </w:rPr>
        <w:t>you</w:t>
      </w:r>
      <w:r>
        <w:rPr>
          <w:spacing w:val="-2"/>
          <w:sz w:val="20"/>
        </w:rPr>
        <w:t xml:space="preserve"> </w:t>
      </w:r>
      <w:r>
        <w:rPr>
          <w:sz w:val="20"/>
        </w:rPr>
        <w:t>would</w:t>
      </w:r>
      <w:r>
        <w:rPr>
          <w:spacing w:val="-2"/>
          <w:sz w:val="20"/>
        </w:rPr>
        <w:t xml:space="preserve"> </w:t>
      </w:r>
      <w:r>
        <w:rPr>
          <w:sz w:val="20"/>
        </w:rPr>
        <w:t>circle</w:t>
      </w:r>
      <w:r>
        <w:rPr>
          <w:spacing w:val="-4"/>
          <w:sz w:val="20"/>
        </w:rPr>
        <w:t xml:space="preserve"> </w:t>
      </w:r>
      <w:r>
        <w:rPr>
          <w:sz w:val="20"/>
        </w:rPr>
        <w:t>2.</w:t>
      </w:r>
      <w:r>
        <w:rPr>
          <w:spacing w:val="-3"/>
          <w:sz w:val="20"/>
        </w:rPr>
        <w:t xml:space="preserve"> </w:t>
      </w:r>
      <w:r>
        <w:rPr>
          <w:sz w:val="20"/>
        </w:rPr>
        <w:t>If</w:t>
      </w:r>
      <w:r>
        <w:rPr>
          <w:spacing w:val="-4"/>
          <w:sz w:val="20"/>
        </w:rPr>
        <w:t xml:space="preserve"> </w:t>
      </w:r>
      <w:r>
        <w:rPr>
          <w:sz w:val="20"/>
        </w:rPr>
        <w:t>you</w:t>
      </w:r>
      <w:r>
        <w:rPr>
          <w:spacing w:val="-2"/>
          <w:sz w:val="20"/>
        </w:rPr>
        <w:t xml:space="preserve"> </w:t>
      </w:r>
      <w:r>
        <w:rPr>
          <w:sz w:val="20"/>
        </w:rPr>
        <w:t>DEFINITELY</w:t>
      </w:r>
      <w:r>
        <w:rPr>
          <w:spacing w:val="-4"/>
          <w:sz w:val="20"/>
        </w:rPr>
        <w:t xml:space="preserve"> </w:t>
      </w:r>
      <w:r>
        <w:rPr>
          <w:sz w:val="20"/>
        </w:rPr>
        <w:t>know</w:t>
      </w:r>
      <w:r>
        <w:rPr>
          <w:spacing w:val="-4"/>
          <w:sz w:val="20"/>
        </w:rPr>
        <w:t xml:space="preserve"> </w:t>
      </w:r>
      <w:r>
        <w:rPr>
          <w:sz w:val="20"/>
        </w:rPr>
        <w:t>that</w:t>
      </w:r>
      <w:r>
        <w:rPr>
          <w:spacing w:val="-3"/>
          <w:sz w:val="20"/>
        </w:rPr>
        <w:t xml:space="preserve"> </w:t>
      </w:r>
      <w:r>
        <w:rPr>
          <w:sz w:val="20"/>
        </w:rPr>
        <w:t>detoxification</w:t>
      </w:r>
      <w:r>
        <w:rPr>
          <w:spacing w:val="-2"/>
          <w:sz w:val="20"/>
        </w:rPr>
        <w:t xml:space="preserve"> </w:t>
      </w:r>
      <w:r>
        <w:rPr>
          <w:sz w:val="20"/>
        </w:rPr>
        <w:t>is an important goal for your treatment, you would circle 3.</w:t>
      </w:r>
    </w:p>
    <w:p w14:paraId="129923B4" w14:textId="77777777" w:rsidR="00DB6E1F" w:rsidRDefault="00F666A6">
      <w:pPr>
        <w:spacing w:before="121"/>
        <w:ind w:left="1440"/>
        <w:rPr>
          <w:sz w:val="20"/>
        </w:rPr>
      </w:pPr>
      <w:r>
        <w:rPr>
          <w:sz w:val="20"/>
        </w:rPr>
        <w:t>If</w:t>
      </w:r>
      <w:r>
        <w:rPr>
          <w:spacing w:val="-7"/>
          <w:sz w:val="20"/>
        </w:rPr>
        <w:t xml:space="preserve"> </w:t>
      </w:r>
      <w:r>
        <w:rPr>
          <w:sz w:val="20"/>
        </w:rPr>
        <w:t>you</w:t>
      </w:r>
      <w:r>
        <w:rPr>
          <w:spacing w:val="-4"/>
          <w:sz w:val="20"/>
        </w:rPr>
        <w:t xml:space="preserve"> </w:t>
      </w:r>
      <w:r>
        <w:rPr>
          <w:sz w:val="20"/>
        </w:rPr>
        <w:t>have</w:t>
      </w:r>
      <w:r>
        <w:rPr>
          <w:spacing w:val="-6"/>
          <w:sz w:val="20"/>
        </w:rPr>
        <w:t xml:space="preserve"> </w:t>
      </w:r>
      <w:r>
        <w:rPr>
          <w:sz w:val="20"/>
        </w:rPr>
        <w:t>any</w:t>
      </w:r>
      <w:r>
        <w:rPr>
          <w:spacing w:val="-5"/>
          <w:sz w:val="20"/>
        </w:rPr>
        <w:t xml:space="preserve"> </w:t>
      </w:r>
      <w:r>
        <w:rPr>
          <w:sz w:val="20"/>
        </w:rPr>
        <w:t>questions</w:t>
      </w:r>
      <w:r>
        <w:rPr>
          <w:spacing w:val="-6"/>
          <w:sz w:val="20"/>
        </w:rPr>
        <w:t xml:space="preserve"> </w:t>
      </w:r>
      <w:r>
        <w:rPr>
          <w:sz w:val="20"/>
        </w:rPr>
        <w:t>about</w:t>
      </w:r>
      <w:r>
        <w:rPr>
          <w:spacing w:val="-5"/>
          <w:sz w:val="20"/>
        </w:rPr>
        <w:t xml:space="preserve"> </w:t>
      </w:r>
      <w:r>
        <w:rPr>
          <w:sz w:val="20"/>
        </w:rPr>
        <w:t>how</w:t>
      </w:r>
      <w:r>
        <w:rPr>
          <w:spacing w:val="-6"/>
          <w:sz w:val="20"/>
        </w:rPr>
        <w:t xml:space="preserve"> </w:t>
      </w:r>
      <w:r>
        <w:rPr>
          <w:sz w:val="20"/>
        </w:rPr>
        <w:t>to</w:t>
      </w:r>
      <w:r>
        <w:rPr>
          <w:spacing w:val="-6"/>
          <w:sz w:val="20"/>
        </w:rPr>
        <w:t xml:space="preserve"> </w:t>
      </w:r>
      <w:r>
        <w:rPr>
          <w:sz w:val="20"/>
        </w:rPr>
        <w:t>use</w:t>
      </w:r>
      <w:r>
        <w:rPr>
          <w:spacing w:val="-6"/>
          <w:sz w:val="20"/>
        </w:rPr>
        <w:t xml:space="preserve"> </w:t>
      </w:r>
      <w:r>
        <w:rPr>
          <w:sz w:val="20"/>
        </w:rPr>
        <w:t>this</w:t>
      </w:r>
      <w:r>
        <w:rPr>
          <w:spacing w:val="-6"/>
          <w:sz w:val="20"/>
        </w:rPr>
        <w:t xml:space="preserve"> </w:t>
      </w:r>
      <w:r>
        <w:rPr>
          <w:sz w:val="20"/>
        </w:rPr>
        <w:t>questionnaire,</w:t>
      </w:r>
      <w:r>
        <w:rPr>
          <w:spacing w:val="-4"/>
          <w:sz w:val="20"/>
        </w:rPr>
        <w:t xml:space="preserve"> </w:t>
      </w:r>
      <w:r>
        <w:rPr>
          <w:sz w:val="20"/>
        </w:rPr>
        <w:t>ask</w:t>
      </w:r>
      <w:r>
        <w:rPr>
          <w:spacing w:val="-5"/>
          <w:sz w:val="20"/>
        </w:rPr>
        <w:t xml:space="preserve"> </w:t>
      </w:r>
      <w:r>
        <w:rPr>
          <w:sz w:val="20"/>
        </w:rPr>
        <w:t>for</w:t>
      </w:r>
      <w:r>
        <w:rPr>
          <w:spacing w:val="-5"/>
          <w:sz w:val="20"/>
        </w:rPr>
        <w:t xml:space="preserve"> </w:t>
      </w:r>
      <w:r>
        <w:rPr>
          <w:sz w:val="20"/>
        </w:rPr>
        <w:t>assistance</w:t>
      </w:r>
      <w:r>
        <w:rPr>
          <w:spacing w:val="-6"/>
          <w:sz w:val="20"/>
        </w:rPr>
        <w:t xml:space="preserve"> </w:t>
      </w:r>
      <w:r>
        <w:rPr>
          <w:sz w:val="20"/>
        </w:rPr>
        <w:t>before</w:t>
      </w:r>
      <w:r>
        <w:rPr>
          <w:spacing w:val="-6"/>
          <w:sz w:val="20"/>
        </w:rPr>
        <w:t xml:space="preserve"> </w:t>
      </w:r>
      <w:r>
        <w:rPr>
          <w:sz w:val="20"/>
        </w:rPr>
        <w:t>you</w:t>
      </w:r>
      <w:r>
        <w:rPr>
          <w:spacing w:val="-5"/>
          <w:sz w:val="20"/>
        </w:rPr>
        <w:t xml:space="preserve"> </w:t>
      </w:r>
      <w:r>
        <w:rPr>
          <w:spacing w:val="-2"/>
          <w:sz w:val="20"/>
        </w:rPr>
        <w:t>begin.</w:t>
      </w:r>
    </w:p>
    <w:p w14:paraId="17FB7B3F" w14:textId="77777777" w:rsidR="00DB6E1F" w:rsidRDefault="00DB6E1F">
      <w:pPr>
        <w:pStyle w:val="BodyText"/>
        <w:spacing w:before="9"/>
        <w:rPr>
          <w:sz w:val="9"/>
        </w:rPr>
      </w:pPr>
    </w:p>
    <w:tbl>
      <w:tblPr>
        <w:tblW w:w="0" w:type="auto"/>
        <w:tblInd w:w="145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5472"/>
        <w:gridCol w:w="936"/>
        <w:gridCol w:w="991"/>
        <w:gridCol w:w="881"/>
        <w:gridCol w:w="936"/>
      </w:tblGrid>
      <w:tr w:rsidR="00DB6E1F" w14:paraId="6CD9F74E" w14:textId="77777777">
        <w:trPr>
          <w:trHeight w:val="527"/>
        </w:trPr>
        <w:tc>
          <w:tcPr>
            <w:tcW w:w="5472" w:type="dxa"/>
          </w:tcPr>
          <w:p w14:paraId="25B3E4F9" w14:textId="77777777" w:rsidR="00DB6E1F" w:rsidRDefault="00F666A6">
            <w:pPr>
              <w:pStyle w:val="TableParagraph"/>
              <w:ind w:left="4"/>
              <w:rPr>
                <w:sz w:val="20"/>
              </w:rPr>
            </w:pPr>
            <w:r>
              <w:rPr>
                <w:sz w:val="20"/>
              </w:rPr>
              <w:t>Do</w:t>
            </w:r>
            <w:r>
              <w:rPr>
                <w:spacing w:val="-4"/>
                <w:sz w:val="20"/>
              </w:rPr>
              <w:t xml:space="preserve"> </w:t>
            </w:r>
            <w:r>
              <w:rPr>
                <w:sz w:val="20"/>
              </w:rPr>
              <w:t>you</w:t>
            </w:r>
            <w:r>
              <w:rPr>
                <w:spacing w:val="-3"/>
                <w:sz w:val="20"/>
              </w:rPr>
              <w:t xml:space="preserve"> </w:t>
            </w:r>
            <w:r>
              <w:rPr>
                <w:sz w:val="20"/>
              </w:rPr>
              <w:t>want</w:t>
            </w:r>
            <w:r>
              <w:rPr>
                <w:spacing w:val="-4"/>
                <w:sz w:val="20"/>
              </w:rPr>
              <w:t xml:space="preserve"> </w:t>
            </w:r>
            <w:r>
              <w:rPr>
                <w:sz w:val="20"/>
              </w:rPr>
              <w:t>this</w:t>
            </w:r>
            <w:r>
              <w:rPr>
                <w:spacing w:val="-4"/>
                <w:sz w:val="20"/>
              </w:rPr>
              <w:t xml:space="preserve"> </w:t>
            </w:r>
            <w:r>
              <w:rPr>
                <w:sz w:val="20"/>
              </w:rPr>
              <w:t>from</w:t>
            </w:r>
            <w:r>
              <w:rPr>
                <w:spacing w:val="-5"/>
                <w:sz w:val="20"/>
              </w:rPr>
              <w:t xml:space="preserve"> </w:t>
            </w:r>
            <w:r>
              <w:rPr>
                <w:spacing w:val="-2"/>
                <w:sz w:val="20"/>
              </w:rPr>
              <w:t>treatment?</w:t>
            </w:r>
          </w:p>
        </w:tc>
        <w:tc>
          <w:tcPr>
            <w:tcW w:w="936" w:type="dxa"/>
          </w:tcPr>
          <w:p w14:paraId="0163EA12" w14:textId="77777777" w:rsidR="00DB6E1F" w:rsidRDefault="00F666A6">
            <w:pPr>
              <w:pStyle w:val="TableParagraph"/>
              <w:ind w:left="279" w:right="271"/>
              <w:jc w:val="center"/>
              <w:rPr>
                <w:b/>
                <w:sz w:val="20"/>
              </w:rPr>
            </w:pPr>
            <w:r>
              <w:rPr>
                <w:b/>
                <w:spacing w:val="-5"/>
                <w:sz w:val="20"/>
              </w:rPr>
              <w:t>No</w:t>
            </w:r>
          </w:p>
          <w:p w14:paraId="71175E32" w14:textId="77777777" w:rsidR="00DB6E1F" w:rsidRDefault="00F666A6">
            <w:pPr>
              <w:pStyle w:val="TableParagraph"/>
              <w:spacing w:before="20" w:line="242" w:lineRule="exact"/>
              <w:ind w:left="9"/>
              <w:jc w:val="center"/>
              <w:rPr>
                <w:b/>
                <w:sz w:val="20"/>
              </w:rPr>
            </w:pPr>
            <w:r>
              <w:rPr>
                <w:b/>
                <w:w w:val="99"/>
                <w:sz w:val="20"/>
              </w:rPr>
              <w:t>0</w:t>
            </w:r>
          </w:p>
        </w:tc>
        <w:tc>
          <w:tcPr>
            <w:tcW w:w="991" w:type="dxa"/>
          </w:tcPr>
          <w:p w14:paraId="2885A412" w14:textId="77777777" w:rsidR="00DB6E1F" w:rsidRDefault="00F666A6">
            <w:pPr>
              <w:pStyle w:val="TableParagraph"/>
              <w:ind w:left="190" w:right="184"/>
              <w:jc w:val="center"/>
              <w:rPr>
                <w:b/>
                <w:sz w:val="20"/>
              </w:rPr>
            </w:pPr>
            <w:r>
              <w:rPr>
                <w:b/>
                <w:spacing w:val="-2"/>
                <w:sz w:val="20"/>
              </w:rPr>
              <w:t>Maybe</w:t>
            </w:r>
          </w:p>
          <w:p w14:paraId="29F407F4" w14:textId="77777777" w:rsidR="00DB6E1F" w:rsidRDefault="00F666A6">
            <w:pPr>
              <w:pStyle w:val="TableParagraph"/>
              <w:spacing w:before="20" w:line="242" w:lineRule="exact"/>
              <w:ind w:left="7"/>
              <w:jc w:val="center"/>
              <w:rPr>
                <w:b/>
                <w:sz w:val="20"/>
              </w:rPr>
            </w:pPr>
            <w:r>
              <w:rPr>
                <w:b/>
                <w:w w:val="99"/>
                <w:sz w:val="20"/>
              </w:rPr>
              <w:t>1</w:t>
            </w:r>
          </w:p>
        </w:tc>
        <w:tc>
          <w:tcPr>
            <w:tcW w:w="881" w:type="dxa"/>
          </w:tcPr>
          <w:p w14:paraId="11E1E513" w14:textId="77777777" w:rsidR="00DB6E1F" w:rsidRDefault="00F666A6">
            <w:pPr>
              <w:pStyle w:val="TableParagraph"/>
              <w:ind w:left="284" w:right="277"/>
              <w:jc w:val="center"/>
              <w:rPr>
                <w:b/>
                <w:sz w:val="20"/>
              </w:rPr>
            </w:pPr>
            <w:r>
              <w:rPr>
                <w:b/>
                <w:spacing w:val="-5"/>
                <w:sz w:val="20"/>
              </w:rPr>
              <w:t>Yes</w:t>
            </w:r>
          </w:p>
          <w:p w14:paraId="221DBDAE" w14:textId="77777777" w:rsidR="00DB6E1F" w:rsidRDefault="00F666A6">
            <w:pPr>
              <w:pStyle w:val="TableParagraph"/>
              <w:spacing w:before="20" w:line="242" w:lineRule="exact"/>
              <w:ind w:left="7"/>
              <w:jc w:val="center"/>
              <w:rPr>
                <w:b/>
                <w:sz w:val="20"/>
              </w:rPr>
            </w:pPr>
            <w:r>
              <w:rPr>
                <w:b/>
                <w:w w:val="99"/>
                <w:sz w:val="20"/>
              </w:rPr>
              <w:t>2</w:t>
            </w:r>
          </w:p>
        </w:tc>
        <w:tc>
          <w:tcPr>
            <w:tcW w:w="936" w:type="dxa"/>
          </w:tcPr>
          <w:p w14:paraId="6A028364" w14:textId="77777777" w:rsidR="00DB6E1F" w:rsidRDefault="00F666A6">
            <w:pPr>
              <w:pStyle w:val="TableParagraph"/>
              <w:ind w:left="279" w:right="272"/>
              <w:jc w:val="center"/>
              <w:rPr>
                <w:b/>
                <w:sz w:val="20"/>
              </w:rPr>
            </w:pPr>
            <w:r>
              <w:rPr>
                <w:b/>
                <w:spacing w:val="-4"/>
                <w:sz w:val="20"/>
              </w:rPr>
              <w:t>Yes!</w:t>
            </w:r>
          </w:p>
          <w:p w14:paraId="7D778298" w14:textId="77777777" w:rsidR="00DB6E1F" w:rsidRDefault="00F666A6">
            <w:pPr>
              <w:pStyle w:val="TableParagraph"/>
              <w:spacing w:before="20" w:line="242" w:lineRule="exact"/>
              <w:ind w:left="9"/>
              <w:jc w:val="center"/>
              <w:rPr>
                <w:b/>
                <w:sz w:val="20"/>
              </w:rPr>
            </w:pPr>
            <w:r>
              <w:rPr>
                <w:b/>
                <w:w w:val="99"/>
                <w:sz w:val="20"/>
              </w:rPr>
              <w:t>3</w:t>
            </w:r>
          </w:p>
        </w:tc>
      </w:tr>
      <w:tr w:rsidR="00DB6E1F" w14:paraId="3C00A094" w14:textId="77777777">
        <w:trPr>
          <w:trHeight w:val="525"/>
        </w:trPr>
        <w:tc>
          <w:tcPr>
            <w:tcW w:w="5472" w:type="dxa"/>
          </w:tcPr>
          <w:p w14:paraId="00F14F5F" w14:textId="77777777" w:rsidR="00DB6E1F" w:rsidRDefault="00F666A6">
            <w:pPr>
              <w:pStyle w:val="TableParagraph"/>
              <w:ind w:left="95"/>
              <w:rPr>
                <w:sz w:val="20"/>
              </w:rPr>
            </w:pPr>
            <w:r>
              <w:rPr>
                <w:color w:val="4D4D4F"/>
                <w:sz w:val="20"/>
              </w:rPr>
              <w:t>1.</w:t>
            </w:r>
            <w:r>
              <w:rPr>
                <w:color w:val="4D4D4F"/>
                <w:spacing w:val="41"/>
                <w:sz w:val="20"/>
              </w:rPr>
              <w:t xml:space="preserve">  </w:t>
            </w:r>
            <w:r>
              <w:rPr>
                <w:sz w:val="20"/>
              </w:rPr>
              <w:t>I</w:t>
            </w:r>
            <w:r>
              <w:rPr>
                <w:spacing w:val="-2"/>
                <w:sz w:val="20"/>
              </w:rPr>
              <w:t xml:space="preserve"> </w:t>
            </w:r>
            <w:r>
              <w:rPr>
                <w:sz w:val="20"/>
              </w:rPr>
              <w:t>want</w:t>
            </w:r>
            <w:r>
              <w:rPr>
                <w:spacing w:val="-2"/>
                <w:sz w:val="20"/>
              </w:rPr>
              <w:t xml:space="preserve"> </w:t>
            </w:r>
            <w:r>
              <w:rPr>
                <w:sz w:val="20"/>
              </w:rPr>
              <w:t>to</w:t>
            </w:r>
            <w:r>
              <w:rPr>
                <w:spacing w:val="-1"/>
                <w:sz w:val="20"/>
              </w:rPr>
              <w:t xml:space="preserve"> </w:t>
            </w:r>
            <w:r>
              <w:rPr>
                <w:sz w:val="20"/>
              </w:rPr>
              <w:t>receive</w:t>
            </w:r>
            <w:r>
              <w:rPr>
                <w:spacing w:val="-3"/>
                <w:sz w:val="20"/>
              </w:rPr>
              <w:t xml:space="preserve"> </w:t>
            </w:r>
            <w:r>
              <w:rPr>
                <w:sz w:val="20"/>
              </w:rPr>
              <w:t>detoxification,</w:t>
            </w:r>
            <w:r>
              <w:rPr>
                <w:spacing w:val="-1"/>
                <w:sz w:val="20"/>
              </w:rPr>
              <w:t xml:space="preserve"> </w:t>
            </w:r>
            <w:r>
              <w:rPr>
                <w:sz w:val="20"/>
              </w:rPr>
              <w:t>to</w:t>
            </w:r>
            <w:r>
              <w:rPr>
                <w:spacing w:val="-1"/>
                <w:sz w:val="20"/>
              </w:rPr>
              <w:t xml:space="preserve"> </w:t>
            </w:r>
            <w:r>
              <w:rPr>
                <w:sz w:val="20"/>
              </w:rPr>
              <w:t>ease</w:t>
            </w:r>
            <w:r>
              <w:rPr>
                <w:spacing w:val="-3"/>
                <w:sz w:val="20"/>
              </w:rPr>
              <w:t xml:space="preserve"> </w:t>
            </w:r>
            <w:r>
              <w:rPr>
                <w:sz w:val="20"/>
              </w:rPr>
              <w:t>my</w:t>
            </w:r>
            <w:r>
              <w:rPr>
                <w:spacing w:val="-1"/>
                <w:sz w:val="20"/>
              </w:rPr>
              <w:t xml:space="preserve"> </w:t>
            </w:r>
            <w:r>
              <w:rPr>
                <w:sz w:val="20"/>
              </w:rPr>
              <w:t xml:space="preserve">withdrawal </w:t>
            </w:r>
            <w:r>
              <w:rPr>
                <w:spacing w:val="-4"/>
                <w:sz w:val="20"/>
              </w:rPr>
              <w:t>from</w:t>
            </w:r>
          </w:p>
          <w:p w14:paraId="447E8F82" w14:textId="77777777" w:rsidR="00DB6E1F" w:rsidRDefault="00F666A6">
            <w:pPr>
              <w:pStyle w:val="TableParagraph"/>
              <w:spacing w:before="20" w:line="240" w:lineRule="exact"/>
              <w:ind w:left="455"/>
              <w:rPr>
                <w:sz w:val="20"/>
              </w:rPr>
            </w:pPr>
            <w:r>
              <w:rPr>
                <w:sz w:val="20"/>
              </w:rPr>
              <w:t>alcohol</w:t>
            </w:r>
            <w:r>
              <w:rPr>
                <w:spacing w:val="-5"/>
                <w:sz w:val="20"/>
              </w:rPr>
              <w:t xml:space="preserve"> </w:t>
            </w:r>
            <w:r>
              <w:rPr>
                <w:sz w:val="20"/>
              </w:rPr>
              <w:t>or</w:t>
            </w:r>
            <w:r>
              <w:rPr>
                <w:spacing w:val="-5"/>
                <w:sz w:val="20"/>
              </w:rPr>
              <w:t xml:space="preserve"> </w:t>
            </w:r>
            <w:r>
              <w:rPr>
                <w:sz w:val="20"/>
              </w:rPr>
              <w:t>other</w:t>
            </w:r>
            <w:r>
              <w:rPr>
                <w:spacing w:val="-5"/>
                <w:sz w:val="20"/>
              </w:rPr>
              <w:t xml:space="preserve"> </w:t>
            </w:r>
            <w:r>
              <w:rPr>
                <w:spacing w:val="-2"/>
                <w:sz w:val="20"/>
              </w:rPr>
              <w:t>drugs.</w:t>
            </w:r>
          </w:p>
        </w:tc>
        <w:tc>
          <w:tcPr>
            <w:tcW w:w="936" w:type="dxa"/>
          </w:tcPr>
          <w:p w14:paraId="46543735" w14:textId="77777777" w:rsidR="00DB6E1F" w:rsidRDefault="00F666A6">
            <w:pPr>
              <w:pStyle w:val="TableParagraph"/>
              <w:spacing w:before="133"/>
              <w:ind w:left="0" w:right="405"/>
              <w:jc w:val="right"/>
              <w:rPr>
                <w:sz w:val="20"/>
              </w:rPr>
            </w:pPr>
            <w:r>
              <w:rPr>
                <w:w w:val="99"/>
                <w:sz w:val="20"/>
              </w:rPr>
              <w:t>0</w:t>
            </w:r>
          </w:p>
        </w:tc>
        <w:tc>
          <w:tcPr>
            <w:tcW w:w="991" w:type="dxa"/>
          </w:tcPr>
          <w:p w14:paraId="27D6CE69" w14:textId="77777777" w:rsidR="00DB6E1F" w:rsidRDefault="00F666A6">
            <w:pPr>
              <w:pStyle w:val="TableParagraph"/>
              <w:spacing w:before="133"/>
              <w:ind w:left="7"/>
              <w:jc w:val="center"/>
              <w:rPr>
                <w:sz w:val="20"/>
              </w:rPr>
            </w:pPr>
            <w:r>
              <w:rPr>
                <w:w w:val="99"/>
                <w:sz w:val="20"/>
              </w:rPr>
              <w:t>1</w:t>
            </w:r>
          </w:p>
        </w:tc>
        <w:tc>
          <w:tcPr>
            <w:tcW w:w="881" w:type="dxa"/>
          </w:tcPr>
          <w:p w14:paraId="76B96A08" w14:textId="77777777" w:rsidR="00DB6E1F" w:rsidRDefault="00F666A6">
            <w:pPr>
              <w:pStyle w:val="TableParagraph"/>
              <w:spacing w:before="133"/>
              <w:ind w:left="388"/>
              <w:rPr>
                <w:sz w:val="20"/>
              </w:rPr>
            </w:pPr>
            <w:r>
              <w:rPr>
                <w:w w:val="99"/>
                <w:sz w:val="20"/>
              </w:rPr>
              <w:t>2</w:t>
            </w:r>
          </w:p>
        </w:tc>
        <w:tc>
          <w:tcPr>
            <w:tcW w:w="936" w:type="dxa"/>
          </w:tcPr>
          <w:p w14:paraId="4225B795" w14:textId="77777777" w:rsidR="00DB6E1F" w:rsidRDefault="00F666A6">
            <w:pPr>
              <w:pStyle w:val="TableParagraph"/>
              <w:spacing w:before="133"/>
              <w:ind w:left="9"/>
              <w:jc w:val="center"/>
              <w:rPr>
                <w:sz w:val="20"/>
              </w:rPr>
            </w:pPr>
            <w:r>
              <w:rPr>
                <w:w w:val="99"/>
                <w:sz w:val="20"/>
              </w:rPr>
              <w:t>3</w:t>
            </w:r>
          </w:p>
        </w:tc>
      </w:tr>
      <w:tr w:rsidR="00DB6E1F" w14:paraId="5DE7C1E1" w14:textId="77777777">
        <w:trPr>
          <w:trHeight w:val="527"/>
        </w:trPr>
        <w:tc>
          <w:tcPr>
            <w:tcW w:w="5472" w:type="dxa"/>
          </w:tcPr>
          <w:p w14:paraId="7F1D123F" w14:textId="77777777" w:rsidR="00DB6E1F" w:rsidRDefault="00F666A6">
            <w:pPr>
              <w:pStyle w:val="TableParagraph"/>
              <w:spacing w:before="3"/>
              <w:ind w:left="95"/>
              <w:rPr>
                <w:sz w:val="20"/>
              </w:rPr>
            </w:pPr>
            <w:r>
              <w:rPr>
                <w:color w:val="4D4D4F"/>
                <w:sz w:val="20"/>
              </w:rPr>
              <w:t>2.</w:t>
            </w:r>
            <w:r>
              <w:rPr>
                <w:color w:val="4D4D4F"/>
                <w:spacing w:val="42"/>
                <w:sz w:val="20"/>
              </w:rPr>
              <w:t xml:space="preserve">  </w:t>
            </w:r>
            <w:r>
              <w:rPr>
                <w:sz w:val="20"/>
              </w:rPr>
              <w:t>I</w:t>
            </w:r>
            <w:r>
              <w:rPr>
                <w:spacing w:val="-1"/>
                <w:sz w:val="20"/>
              </w:rPr>
              <w:t xml:space="preserve"> </w:t>
            </w:r>
            <w:r>
              <w:rPr>
                <w:sz w:val="20"/>
              </w:rPr>
              <w:t>want</w:t>
            </w:r>
            <w:r>
              <w:rPr>
                <w:spacing w:val="-2"/>
                <w:sz w:val="20"/>
              </w:rPr>
              <w:t xml:space="preserve"> </w:t>
            </w:r>
            <w:r>
              <w:rPr>
                <w:sz w:val="20"/>
              </w:rPr>
              <w:t>to</w:t>
            </w:r>
            <w:r>
              <w:rPr>
                <w:spacing w:val="-1"/>
                <w:sz w:val="20"/>
              </w:rPr>
              <w:t xml:space="preserve"> </w:t>
            </w:r>
            <w:r>
              <w:rPr>
                <w:sz w:val="20"/>
              </w:rPr>
              <w:t>find</w:t>
            </w:r>
            <w:r>
              <w:rPr>
                <w:spacing w:val="-1"/>
                <w:sz w:val="20"/>
              </w:rPr>
              <w:t xml:space="preserve"> </w:t>
            </w:r>
            <w:r>
              <w:rPr>
                <w:sz w:val="20"/>
              </w:rPr>
              <w:t>out</w:t>
            </w:r>
            <w:r>
              <w:rPr>
                <w:spacing w:val="-1"/>
                <w:sz w:val="20"/>
              </w:rPr>
              <w:t xml:space="preserve"> </w:t>
            </w:r>
            <w:r>
              <w:rPr>
                <w:sz w:val="20"/>
              </w:rPr>
              <w:t>for</w:t>
            </w:r>
            <w:r>
              <w:rPr>
                <w:spacing w:val="-2"/>
                <w:sz w:val="20"/>
              </w:rPr>
              <w:t xml:space="preserve"> </w:t>
            </w:r>
            <w:r>
              <w:rPr>
                <w:sz w:val="20"/>
              </w:rPr>
              <w:t>sure</w:t>
            </w:r>
            <w:r>
              <w:rPr>
                <w:spacing w:val="-2"/>
                <w:sz w:val="20"/>
              </w:rPr>
              <w:t xml:space="preserve"> </w:t>
            </w:r>
            <w:r>
              <w:rPr>
                <w:sz w:val="20"/>
              </w:rPr>
              <w:t>whether</w:t>
            </w:r>
            <w:r>
              <w:rPr>
                <w:spacing w:val="-2"/>
                <w:sz w:val="20"/>
              </w:rPr>
              <w:t xml:space="preserve"> </w:t>
            </w:r>
            <w:r>
              <w:rPr>
                <w:sz w:val="20"/>
              </w:rPr>
              <w:t>I</w:t>
            </w:r>
            <w:r>
              <w:rPr>
                <w:spacing w:val="-1"/>
                <w:sz w:val="20"/>
              </w:rPr>
              <w:t xml:space="preserve"> </w:t>
            </w:r>
            <w:r>
              <w:rPr>
                <w:sz w:val="20"/>
              </w:rPr>
              <w:t>have</w:t>
            </w:r>
            <w:r>
              <w:rPr>
                <w:spacing w:val="-3"/>
                <w:sz w:val="20"/>
              </w:rPr>
              <w:t xml:space="preserve"> </w:t>
            </w:r>
            <w:r>
              <w:rPr>
                <w:sz w:val="20"/>
              </w:rPr>
              <w:t>a</w:t>
            </w:r>
            <w:r>
              <w:rPr>
                <w:spacing w:val="-1"/>
                <w:sz w:val="20"/>
              </w:rPr>
              <w:t xml:space="preserve"> </w:t>
            </w:r>
            <w:r>
              <w:rPr>
                <w:sz w:val="20"/>
              </w:rPr>
              <w:t>problem</w:t>
            </w:r>
            <w:r>
              <w:rPr>
                <w:spacing w:val="-3"/>
                <w:sz w:val="20"/>
              </w:rPr>
              <w:t xml:space="preserve"> </w:t>
            </w:r>
            <w:r>
              <w:rPr>
                <w:spacing w:val="-4"/>
                <w:sz w:val="20"/>
              </w:rPr>
              <w:t>with</w:t>
            </w:r>
          </w:p>
          <w:p w14:paraId="1951FBD7" w14:textId="77777777" w:rsidR="00DB6E1F" w:rsidRDefault="00F666A6">
            <w:pPr>
              <w:pStyle w:val="TableParagraph"/>
              <w:spacing w:before="18" w:line="242" w:lineRule="exact"/>
              <w:ind w:left="455"/>
              <w:rPr>
                <w:sz w:val="20"/>
              </w:rPr>
            </w:pPr>
            <w:r>
              <w:rPr>
                <w:sz w:val="20"/>
              </w:rPr>
              <w:t>alcohol</w:t>
            </w:r>
            <w:r>
              <w:rPr>
                <w:spacing w:val="-5"/>
                <w:sz w:val="20"/>
              </w:rPr>
              <w:t xml:space="preserve"> </w:t>
            </w:r>
            <w:r>
              <w:rPr>
                <w:sz w:val="20"/>
              </w:rPr>
              <w:t>or</w:t>
            </w:r>
            <w:r>
              <w:rPr>
                <w:spacing w:val="-5"/>
                <w:sz w:val="20"/>
              </w:rPr>
              <w:t xml:space="preserve"> </w:t>
            </w:r>
            <w:r>
              <w:rPr>
                <w:sz w:val="20"/>
              </w:rPr>
              <w:t>other</w:t>
            </w:r>
            <w:r>
              <w:rPr>
                <w:spacing w:val="-5"/>
                <w:sz w:val="20"/>
              </w:rPr>
              <w:t xml:space="preserve"> </w:t>
            </w:r>
            <w:r>
              <w:rPr>
                <w:spacing w:val="-2"/>
                <w:sz w:val="20"/>
              </w:rPr>
              <w:t>drugs.</w:t>
            </w:r>
          </w:p>
        </w:tc>
        <w:tc>
          <w:tcPr>
            <w:tcW w:w="936" w:type="dxa"/>
          </w:tcPr>
          <w:p w14:paraId="793731CE" w14:textId="77777777" w:rsidR="00DB6E1F" w:rsidRDefault="00F666A6">
            <w:pPr>
              <w:pStyle w:val="TableParagraph"/>
              <w:spacing w:before="135"/>
              <w:ind w:left="0" w:right="405"/>
              <w:jc w:val="right"/>
              <w:rPr>
                <w:sz w:val="20"/>
              </w:rPr>
            </w:pPr>
            <w:r>
              <w:rPr>
                <w:w w:val="99"/>
                <w:sz w:val="20"/>
              </w:rPr>
              <w:t>0</w:t>
            </w:r>
          </w:p>
        </w:tc>
        <w:tc>
          <w:tcPr>
            <w:tcW w:w="991" w:type="dxa"/>
          </w:tcPr>
          <w:p w14:paraId="557EAFB5" w14:textId="77777777" w:rsidR="00DB6E1F" w:rsidRDefault="00F666A6">
            <w:pPr>
              <w:pStyle w:val="TableParagraph"/>
              <w:spacing w:before="135"/>
              <w:ind w:left="7"/>
              <w:jc w:val="center"/>
              <w:rPr>
                <w:sz w:val="20"/>
              </w:rPr>
            </w:pPr>
            <w:r>
              <w:rPr>
                <w:w w:val="99"/>
                <w:sz w:val="20"/>
              </w:rPr>
              <w:t>1</w:t>
            </w:r>
          </w:p>
        </w:tc>
        <w:tc>
          <w:tcPr>
            <w:tcW w:w="881" w:type="dxa"/>
          </w:tcPr>
          <w:p w14:paraId="7827A6F7" w14:textId="77777777" w:rsidR="00DB6E1F" w:rsidRDefault="00F666A6">
            <w:pPr>
              <w:pStyle w:val="TableParagraph"/>
              <w:spacing w:before="135"/>
              <w:ind w:left="388"/>
              <w:rPr>
                <w:sz w:val="20"/>
              </w:rPr>
            </w:pPr>
            <w:r>
              <w:rPr>
                <w:w w:val="99"/>
                <w:sz w:val="20"/>
              </w:rPr>
              <w:t>2</w:t>
            </w:r>
          </w:p>
        </w:tc>
        <w:tc>
          <w:tcPr>
            <w:tcW w:w="936" w:type="dxa"/>
          </w:tcPr>
          <w:p w14:paraId="243D475F" w14:textId="77777777" w:rsidR="00DB6E1F" w:rsidRDefault="00F666A6">
            <w:pPr>
              <w:pStyle w:val="TableParagraph"/>
              <w:spacing w:before="135"/>
              <w:ind w:left="9"/>
              <w:jc w:val="center"/>
              <w:rPr>
                <w:sz w:val="20"/>
              </w:rPr>
            </w:pPr>
            <w:r>
              <w:rPr>
                <w:w w:val="99"/>
                <w:sz w:val="20"/>
              </w:rPr>
              <w:t>3</w:t>
            </w:r>
          </w:p>
        </w:tc>
      </w:tr>
      <w:tr w:rsidR="00DB6E1F" w14:paraId="1C47E951" w14:textId="77777777">
        <w:trPr>
          <w:trHeight w:val="263"/>
        </w:trPr>
        <w:tc>
          <w:tcPr>
            <w:tcW w:w="5472" w:type="dxa"/>
          </w:tcPr>
          <w:p w14:paraId="1F05C1B0" w14:textId="77777777" w:rsidR="00DB6E1F" w:rsidRDefault="00F666A6">
            <w:pPr>
              <w:pStyle w:val="TableParagraph"/>
              <w:spacing w:line="242" w:lineRule="exact"/>
              <w:ind w:left="95"/>
              <w:rPr>
                <w:sz w:val="20"/>
              </w:rPr>
            </w:pPr>
            <w:r>
              <w:rPr>
                <w:color w:val="4D4D4F"/>
                <w:sz w:val="20"/>
              </w:rPr>
              <w:t>3.</w:t>
            </w:r>
            <w:r>
              <w:rPr>
                <w:color w:val="4D4D4F"/>
                <w:spacing w:val="43"/>
                <w:sz w:val="20"/>
              </w:rPr>
              <w:t xml:space="preserve">  </w:t>
            </w:r>
            <w:r>
              <w:rPr>
                <w:sz w:val="20"/>
              </w:rPr>
              <w:t>I</w:t>
            </w:r>
            <w:r>
              <w:rPr>
                <w:spacing w:val="-2"/>
                <w:sz w:val="20"/>
              </w:rPr>
              <w:t xml:space="preserve"> </w:t>
            </w:r>
            <w:r>
              <w:rPr>
                <w:sz w:val="20"/>
              </w:rPr>
              <w:t>want</w:t>
            </w:r>
            <w:r>
              <w:rPr>
                <w:spacing w:val="-1"/>
                <w:sz w:val="20"/>
              </w:rPr>
              <w:t xml:space="preserve"> </w:t>
            </w:r>
            <w:r>
              <w:rPr>
                <w:sz w:val="20"/>
              </w:rPr>
              <w:t>help to</w:t>
            </w:r>
            <w:r>
              <w:rPr>
                <w:spacing w:val="-1"/>
                <w:sz w:val="20"/>
              </w:rPr>
              <w:t xml:space="preserve"> </w:t>
            </w:r>
            <w:r>
              <w:rPr>
                <w:sz w:val="20"/>
              </w:rPr>
              <w:t>stop drinking</w:t>
            </w:r>
            <w:r>
              <w:rPr>
                <w:spacing w:val="-1"/>
                <w:sz w:val="20"/>
              </w:rPr>
              <w:t xml:space="preserve"> </w:t>
            </w:r>
            <w:r>
              <w:rPr>
                <w:sz w:val="20"/>
              </w:rPr>
              <w:t>alcohol</w:t>
            </w:r>
            <w:r>
              <w:rPr>
                <w:spacing w:val="-1"/>
                <w:sz w:val="20"/>
              </w:rPr>
              <w:t xml:space="preserve"> </w:t>
            </w:r>
            <w:r>
              <w:rPr>
                <w:spacing w:val="-2"/>
                <w:sz w:val="20"/>
              </w:rPr>
              <w:t>completely.</w:t>
            </w:r>
          </w:p>
        </w:tc>
        <w:tc>
          <w:tcPr>
            <w:tcW w:w="936" w:type="dxa"/>
          </w:tcPr>
          <w:p w14:paraId="3AE43476"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5FBD5D32" w14:textId="77777777" w:rsidR="00DB6E1F" w:rsidRDefault="00F666A6">
            <w:pPr>
              <w:pStyle w:val="TableParagraph"/>
              <w:spacing w:line="242" w:lineRule="exact"/>
              <w:ind w:left="7"/>
              <w:jc w:val="center"/>
              <w:rPr>
                <w:sz w:val="20"/>
              </w:rPr>
            </w:pPr>
            <w:r>
              <w:rPr>
                <w:w w:val="99"/>
                <w:sz w:val="20"/>
              </w:rPr>
              <w:t>1</w:t>
            </w:r>
          </w:p>
        </w:tc>
        <w:tc>
          <w:tcPr>
            <w:tcW w:w="881" w:type="dxa"/>
          </w:tcPr>
          <w:p w14:paraId="7EAD2831" w14:textId="77777777" w:rsidR="00DB6E1F" w:rsidRDefault="00F666A6">
            <w:pPr>
              <w:pStyle w:val="TableParagraph"/>
              <w:spacing w:line="242" w:lineRule="exact"/>
              <w:ind w:left="388"/>
              <w:rPr>
                <w:sz w:val="20"/>
              </w:rPr>
            </w:pPr>
            <w:r>
              <w:rPr>
                <w:w w:val="99"/>
                <w:sz w:val="20"/>
              </w:rPr>
              <w:t>2</w:t>
            </w:r>
          </w:p>
        </w:tc>
        <w:tc>
          <w:tcPr>
            <w:tcW w:w="936" w:type="dxa"/>
          </w:tcPr>
          <w:p w14:paraId="53EBE89E" w14:textId="77777777" w:rsidR="00DB6E1F" w:rsidRDefault="00F666A6">
            <w:pPr>
              <w:pStyle w:val="TableParagraph"/>
              <w:spacing w:line="242" w:lineRule="exact"/>
              <w:ind w:left="9"/>
              <w:jc w:val="center"/>
              <w:rPr>
                <w:sz w:val="20"/>
              </w:rPr>
            </w:pPr>
            <w:r>
              <w:rPr>
                <w:w w:val="99"/>
                <w:sz w:val="20"/>
              </w:rPr>
              <w:t>3</w:t>
            </w:r>
          </w:p>
        </w:tc>
      </w:tr>
      <w:tr w:rsidR="00DB6E1F" w14:paraId="5E1E0AF4" w14:textId="77777777">
        <w:trPr>
          <w:trHeight w:val="263"/>
        </w:trPr>
        <w:tc>
          <w:tcPr>
            <w:tcW w:w="5472" w:type="dxa"/>
          </w:tcPr>
          <w:p w14:paraId="0DCE7BD4" w14:textId="77777777" w:rsidR="00DB6E1F" w:rsidRDefault="00F666A6">
            <w:pPr>
              <w:pStyle w:val="TableParagraph"/>
              <w:spacing w:line="242" w:lineRule="exact"/>
              <w:ind w:left="95"/>
              <w:rPr>
                <w:sz w:val="20"/>
              </w:rPr>
            </w:pPr>
            <w:r>
              <w:rPr>
                <w:color w:val="4D4D4F"/>
                <w:sz w:val="20"/>
              </w:rPr>
              <w:t>4.</w:t>
            </w:r>
            <w:r>
              <w:rPr>
                <w:color w:val="4D4D4F"/>
                <w:spacing w:val="45"/>
                <w:sz w:val="20"/>
              </w:rPr>
              <w:t xml:space="preserve">  </w:t>
            </w:r>
            <w:r>
              <w:rPr>
                <w:sz w:val="20"/>
              </w:rPr>
              <w:t>I</w:t>
            </w:r>
            <w:r>
              <w:rPr>
                <w:spacing w:val="-1"/>
                <w:sz w:val="20"/>
              </w:rPr>
              <w:t xml:space="preserve"> </w:t>
            </w:r>
            <w:r>
              <w:rPr>
                <w:sz w:val="20"/>
              </w:rPr>
              <w:t>want help</w:t>
            </w:r>
            <w:r>
              <w:rPr>
                <w:spacing w:val="1"/>
                <w:sz w:val="20"/>
              </w:rPr>
              <w:t xml:space="preserve"> </w:t>
            </w:r>
            <w:r>
              <w:rPr>
                <w:sz w:val="20"/>
              </w:rPr>
              <w:t>to</w:t>
            </w:r>
            <w:r>
              <w:rPr>
                <w:spacing w:val="1"/>
                <w:sz w:val="20"/>
              </w:rPr>
              <w:t xml:space="preserve"> </w:t>
            </w:r>
            <w:r>
              <w:rPr>
                <w:sz w:val="20"/>
              </w:rPr>
              <w:t>decrease</w:t>
            </w:r>
            <w:r>
              <w:rPr>
                <w:spacing w:val="-1"/>
                <w:sz w:val="20"/>
              </w:rPr>
              <w:t xml:space="preserve"> </w:t>
            </w:r>
            <w:r>
              <w:rPr>
                <w:sz w:val="20"/>
              </w:rPr>
              <w:t>my</w:t>
            </w:r>
            <w:r>
              <w:rPr>
                <w:spacing w:val="1"/>
                <w:sz w:val="20"/>
              </w:rPr>
              <w:t xml:space="preserve"> </w:t>
            </w:r>
            <w:r>
              <w:rPr>
                <w:spacing w:val="-2"/>
                <w:sz w:val="20"/>
              </w:rPr>
              <w:t>drinking.</w:t>
            </w:r>
          </w:p>
        </w:tc>
        <w:tc>
          <w:tcPr>
            <w:tcW w:w="936" w:type="dxa"/>
          </w:tcPr>
          <w:p w14:paraId="45713EB8"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247FF65B" w14:textId="77777777" w:rsidR="00DB6E1F" w:rsidRDefault="00F666A6">
            <w:pPr>
              <w:pStyle w:val="TableParagraph"/>
              <w:spacing w:line="242" w:lineRule="exact"/>
              <w:ind w:left="7"/>
              <w:jc w:val="center"/>
              <w:rPr>
                <w:sz w:val="20"/>
              </w:rPr>
            </w:pPr>
            <w:r>
              <w:rPr>
                <w:w w:val="99"/>
                <w:sz w:val="20"/>
              </w:rPr>
              <w:t>1</w:t>
            </w:r>
          </w:p>
        </w:tc>
        <w:tc>
          <w:tcPr>
            <w:tcW w:w="881" w:type="dxa"/>
          </w:tcPr>
          <w:p w14:paraId="5C1ACEE8" w14:textId="77777777" w:rsidR="00DB6E1F" w:rsidRDefault="00F666A6">
            <w:pPr>
              <w:pStyle w:val="TableParagraph"/>
              <w:spacing w:line="242" w:lineRule="exact"/>
              <w:ind w:left="388"/>
              <w:rPr>
                <w:sz w:val="20"/>
              </w:rPr>
            </w:pPr>
            <w:r>
              <w:rPr>
                <w:w w:val="99"/>
                <w:sz w:val="20"/>
              </w:rPr>
              <w:t>2</w:t>
            </w:r>
          </w:p>
        </w:tc>
        <w:tc>
          <w:tcPr>
            <w:tcW w:w="936" w:type="dxa"/>
          </w:tcPr>
          <w:p w14:paraId="0B808FEC" w14:textId="77777777" w:rsidR="00DB6E1F" w:rsidRDefault="00F666A6">
            <w:pPr>
              <w:pStyle w:val="TableParagraph"/>
              <w:spacing w:line="242" w:lineRule="exact"/>
              <w:ind w:left="9"/>
              <w:jc w:val="center"/>
              <w:rPr>
                <w:sz w:val="20"/>
              </w:rPr>
            </w:pPr>
            <w:r>
              <w:rPr>
                <w:w w:val="99"/>
                <w:sz w:val="20"/>
              </w:rPr>
              <w:t>3</w:t>
            </w:r>
          </w:p>
        </w:tc>
      </w:tr>
      <w:tr w:rsidR="00DB6E1F" w14:paraId="3D86DF6C" w14:textId="77777777">
        <w:trPr>
          <w:trHeight w:val="263"/>
        </w:trPr>
        <w:tc>
          <w:tcPr>
            <w:tcW w:w="5472" w:type="dxa"/>
          </w:tcPr>
          <w:p w14:paraId="419711A6" w14:textId="77777777" w:rsidR="00DB6E1F" w:rsidRDefault="00F666A6">
            <w:pPr>
              <w:pStyle w:val="TableParagraph"/>
              <w:spacing w:line="242" w:lineRule="exact"/>
              <w:ind w:left="95"/>
              <w:rPr>
                <w:sz w:val="20"/>
              </w:rPr>
            </w:pPr>
            <w:r>
              <w:rPr>
                <w:color w:val="4D4D4F"/>
                <w:sz w:val="20"/>
              </w:rPr>
              <w:t>5.</w:t>
            </w:r>
            <w:r>
              <w:rPr>
                <w:color w:val="4D4D4F"/>
                <w:spacing w:val="42"/>
                <w:sz w:val="20"/>
              </w:rPr>
              <w:t xml:space="preserve">  </w:t>
            </w:r>
            <w:r>
              <w:rPr>
                <w:sz w:val="20"/>
              </w:rPr>
              <w:t>I</w:t>
            </w:r>
            <w:r>
              <w:rPr>
                <w:spacing w:val="-1"/>
                <w:sz w:val="20"/>
              </w:rPr>
              <w:t xml:space="preserve"> </w:t>
            </w:r>
            <w:r>
              <w:rPr>
                <w:sz w:val="20"/>
              </w:rPr>
              <w:t>want</w:t>
            </w:r>
            <w:r>
              <w:rPr>
                <w:spacing w:val="-1"/>
                <w:sz w:val="20"/>
              </w:rPr>
              <w:t xml:space="preserve"> </w:t>
            </w:r>
            <w:r>
              <w:rPr>
                <w:sz w:val="20"/>
              </w:rPr>
              <w:t>help to</w:t>
            </w:r>
            <w:r>
              <w:rPr>
                <w:spacing w:val="-2"/>
                <w:sz w:val="20"/>
              </w:rPr>
              <w:t xml:space="preserve"> </w:t>
            </w:r>
            <w:r>
              <w:rPr>
                <w:sz w:val="20"/>
              </w:rPr>
              <w:t>stop using</w:t>
            </w:r>
            <w:r>
              <w:rPr>
                <w:spacing w:val="-1"/>
                <w:sz w:val="20"/>
              </w:rPr>
              <w:t xml:space="preserve"> </w:t>
            </w:r>
            <w:r>
              <w:rPr>
                <w:sz w:val="20"/>
              </w:rPr>
              <w:t>drugs</w:t>
            </w:r>
            <w:r>
              <w:rPr>
                <w:spacing w:val="-3"/>
                <w:sz w:val="20"/>
              </w:rPr>
              <w:t xml:space="preserve"> </w:t>
            </w:r>
            <w:r>
              <w:rPr>
                <w:sz w:val="20"/>
              </w:rPr>
              <w:t>(other</w:t>
            </w:r>
            <w:r>
              <w:rPr>
                <w:spacing w:val="-1"/>
                <w:sz w:val="20"/>
              </w:rPr>
              <w:t xml:space="preserve"> </w:t>
            </w:r>
            <w:r>
              <w:rPr>
                <w:sz w:val="20"/>
              </w:rPr>
              <w:t xml:space="preserve">than </w:t>
            </w:r>
            <w:r>
              <w:rPr>
                <w:spacing w:val="-2"/>
                <w:sz w:val="20"/>
              </w:rPr>
              <w:t>alcohol).</w:t>
            </w:r>
          </w:p>
        </w:tc>
        <w:tc>
          <w:tcPr>
            <w:tcW w:w="936" w:type="dxa"/>
          </w:tcPr>
          <w:p w14:paraId="5B8CF36E"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4963B2E7" w14:textId="77777777" w:rsidR="00DB6E1F" w:rsidRDefault="00F666A6">
            <w:pPr>
              <w:pStyle w:val="TableParagraph"/>
              <w:spacing w:line="242" w:lineRule="exact"/>
              <w:ind w:left="7"/>
              <w:jc w:val="center"/>
              <w:rPr>
                <w:sz w:val="20"/>
              </w:rPr>
            </w:pPr>
            <w:r>
              <w:rPr>
                <w:w w:val="99"/>
                <w:sz w:val="20"/>
              </w:rPr>
              <w:t>1</w:t>
            </w:r>
          </w:p>
        </w:tc>
        <w:tc>
          <w:tcPr>
            <w:tcW w:w="881" w:type="dxa"/>
          </w:tcPr>
          <w:p w14:paraId="10D32FFF" w14:textId="77777777" w:rsidR="00DB6E1F" w:rsidRDefault="00F666A6">
            <w:pPr>
              <w:pStyle w:val="TableParagraph"/>
              <w:spacing w:line="242" w:lineRule="exact"/>
              <w:ind w:left="388"/>
              <w:rPr>
                <w:sz w:val="20"/>
              </w:rPr>
            </w:pPr>
            <w:r>
              <w:rPr>
                <w:w w:val="99"/>
                <w:sz w:val="20"/>
              </w:rPr>
              <w:t>2</w:t>
            </w:r>
          </w:p>
        </w:tc>
        <w:tc>
          <w:tcPr>
            <w:tcW w:w="936" w:type="dxa"/>
          </w:tcPr>
          <w:p w14:paraId="10E50894" w14:textId="77777777" w:rsidR="00DB6E1F" w:rsidRDefault="00F666A6">
            <w:pPr>
              <w:pStyle w:val="TableParagraph"/>
              <w:spacing w:line="242" w:lineRule="exact"/>
              <w:ind w:left="9"/>
              <w:jc w:val="center"/>
              <w:rPr>
                <w:sz w:val="20"/>
              </w:rPr>
            </w:pPr>
            <w:r>
              <w:rPr>
                <w:w w:val="99"/>
                <w:sz w:val="20"/>
              </w:rPr>
              <w:t>3</w:t>
            </w:r>
          </w:p>
        </w:tc>
      </w:tr>
      <w:tr w:rsidR="00DB6E1F" w14:paraId="79FF8D38" w14:textId="77777777">
        <w:trPr>
          <w:trHeight w:val="263"/>
        </w:trPr>
        <w:tc>
          <w:tcPr>
            <w:tcW w:w="5472" w:type="dxa"/>
          </w:tcPr>
          <w:p w14:paraId="7A35FAE9" w14:textId="77777777" w:rsidR="00DB6E1F" w:rsidRDefault="00F666A6">
            <w:pPr>
              <w:pStyle w:val="TableParagraph"/>
              <w:spacing w:line="242" w:lineRule="exact"/>
              <w:ind w:left="0" w:right="55"/>
              <w:jc w:val="right"/>
              <w:rPr>
                <w:sz w:val="20"/>
              </w:rPr>
            </w:pPr>
            <w:r>
              <w:rPr>
                <w:color w:val="4D4D4F"/>
                <w:sz w:val="20"/>
              </w:rPr>
              <w:t>6.</w:t>
            </w:r>
            <w:r>
              <w:rPr>
                <w:color w:val="4D4D4F"/>
                <w:spacing w:val="42"/>
                <w:sz w:val="20"/>
              </w:rPr>
              <w:t xml:space="preserve">  </w:t>
            </w:r>
            <w:r>
              <w:rPr>
                <w:sz w:val="20"/>
              </w:rPr>
              <w:t>I</w:t>
            </w:r>
            <w:r>
              <w:rPr>
                <w:spacing w:val="-1"/>
                <w:sz w:val="20"/>
              </w:rPr>
              <w:t xml:space="preserve"> </w:t>
            </w:r>
            <w:r>
              <w:rPr>
                <w:sz w:val="20"/>
              </w:rPr>
              <w:t>want</w:t>
            </w:r>
            <w:r>
              <w:rPr>
                <w:spacing w:val="-1"/>
                <w:sz w:val="20"/>
              </w:rPr>
              <w:t xml:space="preserve"> </w:t>
            </w:r>
            <w:r>
              <w:rPr>
                <w:sz w:val="20"/>
              </w:rPr>
              <w:t>help</w:t>
            </w:r>
            <w:r>
              <w:rPr>
                <w:spacing w:val="-1"/>
                <w:sz w:val="20"/>
              </w:rPr>
              <w:t xml:space="preserve"> </w:t>
            </w:r>
            <w:r>
              <w:rPr>
                <w:sz w:val="20"/>
              </w:rPr>
              <w:t>to</w:t>
            </w:r>
            <w:r>
              <w:rPr>
                <w:spacing w:val="-1"/>
                <w:sz w:val="20"/>
              </w:rPr>
              <w:t xml:space="preserve"> </w:t>
            </w:r>
            <w:r>
              <w:rPr>
                <w:sz w:val="20"/>
              </w:rPr>
              <w:t>decrease</w:t>
            </w:r>
            <w:r>
              <w:rPr>
                <w:spacing w:val="-3"/>
                <w:sz w:val="20"/>
              </w:rPr>
              <w:t xml:space="preserve"> </w:t>
            </w:r>
            <w:r>
              <w:rPr>
                <w:sz w:val="20"/>
              </w:rPr>
              <w:t>my use</w:t>
            </w:r>
            <w:r>
              <w:rPr>
                <w:spacing w:val="-2"/>
                <w:sz w:val="20"/>
              </w:rPr>
              <w:t xml:space="preserve"> </w:t>
            </w:r>
            <w:r>
              <w:rPr>
                <w:sz w:val="20"/>
              </w:rPr>
              <w:t>of</w:t>
            </w:r>
            <w:r>
              <w:rPr>
                <w:spacing w:val="-3"/>
                <w:sz w:val="20"/>
              </w:rPr>
              <w:t xml:space="preserve"> </w:t>
            </w:r>
            <w:r>
              <w:rPr>
                <w:sz w:val="20"/>
              </w:rPr>
              <w:t>drugs</w:t>
            </w:r>
            <w:r>
              <w:rPr>
                <w:spacing w:val="-2"/>
                <w:sz w:val="20"/>
              </w:rPr>
              <w:t xml:space="preserve"> </w:t>
            </w:r>
            <w:r>
              <w:rPr>
                <w:sz w:val="20"/>
              </w:rPr>
              <w:t>(other</w:t>
            </w:r>
            <w:r>
              <w:rPr>
                <w:spacing w:val="-1"/>
                <w:sz w:val="20"/>
              </w:rPr>
              <w:t xml:space="preserve"> </w:t>
            </w:r>
            <w:r>
              <w:rPr>
                <w:sz w:val="20"/>
              </w:rPr>
              <w:t>than</w:t>
            </w:r>
            <w:r>
              <w:rPr>
                <w:spacing w:val="-1"/>
                <w:sz w:val="20"/>
              </w:rPr>
              <w:t xml:space="preserve"> </w:t>
            </w:r>
            <w:r>
              <w:rPr>
                <w:spacing w:val="-2"/>
                <w:sz w:val="20"/>
              </w:rPr>
              <w:t>alcohol).</w:t>
            </w:r>
          </w:p>
        </w:tc>
        <w:tc>
          <w:tcPr>
            <w:tcW w:w="936" w:type="dxa"/>
          </w:tcPr>
          <w:p w14:paraId="03E7C432"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6D5E55E7" w14:textId="77777777" w:rsidR="00DB6E1F" w:rsidRDefault="00F666A6">
            <w:pPr>
              <w:pStyle w:val="TableParagraph"/>
              <w:spacing w:line="242" w:lineRule="exact"/>
              <w:ind w:left="7"/>
              <w:jc w:val="center"/>
              <w:rPr>
                <w:sz w:val="20"/>
              </w:rPr>
            </w:pPr>
            <w:r>
              <w:rPr>
                <w:w w:val="99"/>
                <w:sz w:val="20"/>
              </w:rPr>
              <w:t>1</w:t>
            </w:r>
          </w:p>
        </w:tc>
        <w:tc>
          <w:tcPr>
            <w:tcW w:w="881" w:type="dxa"/>
          </w:tcPr>
          <w:p w14:paraId="57127168" w14:textId="77777777" w:rsidR="00DB6E1F" w:rsidRDefault="00F666A6">
            <w:pPr>
              <w:pStyle w:val="TableParagraph"/>
              <w:spacing w:line="242" w:lineRule="exact"/>
              <w:ind w:left="388"/>
              <w:rPr>
                <w:sz w:val="20"/>
              </w:rPr>
            </w:pPr>
            <w:r>
              <w:rPr>
                <w:w w:val="99"/>
                <w:sz w:val="20"/>
              </w:rPr>
              <w:t>2</w:t>
            </w:r>
          </w:p>
        </w:tc>
        <w:tc>
          <w:tcPr>
            <w:tcW w:w="936" w:type="dxa"/>
          </w:tcPr>
          <w:p w14:paraId="79959199" w14:textId="77777777" w:rsidR="00DB6E1F" w:rsidRDefault="00F666A6">
            <w:pPr>
              <w:pStyle w:val="TableParagraph"/>
              <w:spacing w:line="242" w:lineRule="exact"/>
              <w:ind w:left="9"/>
              <w:jc w:val="center"/>
              <w:rPr>
                <w:sz w:val="20"/>
              </w:rPr>
            </w:pPr>
            <w:r>
              <w:rPr>
                <w:w w:val="99"/>
                <w:sz w:val="20"/>
              </w:rPr>
              <w:t>3</w:t>
            </w:r>
          </w:p>
        </w:tc>
      </w:tr>
      <w:tr w:rsidR="00DB6E1F" w14:paraId="6BBDD70B" w14:textId="77777777">
        <w:trPr>
          <w:trHeight w:val="263"/>
        </w:trPr>
        <w:tc>
          <w:tcPr>
            <w:tcW w:w="5472" w:type="dxa"/>
          </w:tcPr>
          <w:p w14:paraId="5BD99A3F" w14:textId="77777777" w:rsidR="00DB6E1F" w:rsidRDefault="00F666A6">
            <w:pPr>
              <w:pStyle w:val="TableParagraph"/>
              <w:spacing w:line="242" w:lineRule="exact"/>
              <w:ind w:left="95"/>
              <w:rPr>
                <w:sz w:val="20"/>
              </w:rPr>
            </w:pPr>
            <w:r>
              <w:rPr>
                <w:color w:val="4D4D4F"/>
                <w:sz w:val="20"/>
              </w:rPr>
              <w:t>7.</w:t>
            </w:r>
            <w:r>
              <w:rPr>
                <w:color w:val="4D4D4F"/>
                <w:spacing w:val="46"/>
                <w:sz w:val="20"/>
              </w:rPr>
              <w:t xml:space="preserve">  </w:t>
            </w:r>
            <w:r>
              <w:rPr>
                <w:sz w:val="20"/>
              </w:rPr>
              <w:t>I want</w:t>
            </w:r>
            <w:r>
              <w:rPr>
                <w:spacing w:val="1"/>
                <w:sz w:val="20"/>
              </w:rPr>
              <w:t xml:space="preserve"> </w:t>
            </w:r>
            <w:r>
              <w:rPr>
                <w:sz w:val="20"/>
              </w:rPr>
              <w:t>to</w:t>
            </w:r>
            <w:r>
              <w:rPr>
                <w:spacing w:val="1"/>
                <w:sz w:val="20"/>
              </w:rPr>
              <w:t xml:space="preserve"> </w:t>
            </w:r>
            <w:r>
              <w:rPr>
                <w:sz w:val="20"/>
              </w:rPr>
              <w:t>stop</w:t>
            </w:r>
            <w:r>
              <w:rPr>
                <w:spacing w:val="1"/>
                <w:sz w:val="20"/>
              </w:rPr>
              <w:t xml:space="preserve"> </w:t>
            </w:r>
            <w:r>
              <w:rPr>
                <w:sz w:val="20"/>
              </w:rPr>
              <w:t>using</w:t>
            </w:r>
            <w:r>
              <w:rPr>
                <w:spacing w:val="1"/>
                <w:sz w:val="20"/>
              </w:rPr>
              <w:t xml:space="preserve"> </w:t>
            </w:r>
            <w:r>
              <w:rPr>
                <w:spacing w:val="-2"/>
                <w:sz w:val="20"/>
              </w:rPr>
              <w:t>tobacco.</w:t>
            </w:r>
          </w:p>
        </w:tc>
        <w:tc>
          <w:tcPr>
            <w:tcW w:w="936" w:type="dxa"/>
          </w:tcPr>
          <w:p w14:paraId="45FF5B4C"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705E4879" w14:textId="77777777" w:rsidR="00DB6E1F" w:rsidRDefault="00F666A6">
            <w:pPr>
              <w:pStyle w:val="TableParagraph"/>
              <w:spacing w:line="242" w:lineRule="exact"/>
              <w:ind w:left="7"/>
              <w:jc w:val="center"/>
              <w:rPr>
                <w:sz w:val="20"/>
              </w:rPr>
            </w:pPr>
            <w:r>
              <w:rPr>
                <w:w w:val="99"/>
                <w:sz w:val="20"/>
              </w:rPr>
              <w:t>1</w:t>
            </w:r>
          </w:p>
        </w:tc>
        <w:tc>
          <w:tcPr>
            <w:tcW w:w="881" w:type="dxa"/>
          </w:tcPr>
          <w:p w14:paraId="6C0F504D" w14:textId="77777777" w:rsidR="00DB6E1F" w:rsidRDefault="00F666A6">
            <w:pPr>
              <w:pStyle w:val="TableParagraph"/>
              <w:spacing w:line="242" w:lineRule="exact"/>
              <w:ind w:left="388"/>
              <w:rPr>
                <w:sz w:val="20"/>
              </w:rPr>
            </w:pPr>
            <w:r>
              <w:rPr>
                <w:w w:val="99"/>
                <w:sz w:val="20"/>
              </w:rPr>
              <w:t>2</w:t>
            </w:r>
          </w:p>
        </w:tc>
        <w:tc>
          <w:tcPr>
            <w:tcW w:w="936" w:type="dxa"/>
          </w:tcPr>
          <w:p w14:paraId="22888E0A" w14:textId="77777777" w:rsidR="00DB6E1F" w:rsidRDefault="00F666A6">
            <w:pPr>
              <w:pStyle w:val="TableParagraph"/>
              <w:spacing w:line="242" w:lineRule="exact"/>
              <w:ind w:left="9"/>
              <w:jc w:val="center"/>
              <w:rPr>
                <w:sz w:val="20"/>
              </w:rPr>
            </w:pPr>
            <w:r>
              <w:rPr>
                <w:w w:val="99"/>
                <w:sz w:val="20"/>
              </w:rPr>
              <w:t>3</w:t>
            </w:r>
          </w:p>
        </w:tc>
      </w:tr>
      <w:tr w:rsidR="00DB6E1F" w14:paraId="20AE58EA" w14:textId="77777777">
        <w:trPr>
          <w:trHeight w:val="263"/>
        </w:trPr>
        <w:tc>
          <w:tcPr>
            <w:tcW w:w="5472" w:type="dxa"/>
          </w:tcPr>
          <w:p w14:paraId="6CEFB0C9" w14:textId="77777777" w:rsidR="00DB6E1F" w:rsidRDefault="00F666A6">
            <w:pPr>
              <w:pStyle w:val="TableParagraph"/>
              <w:spacing w:line="242" w:lineRule="exact"/>
              <w:ind w:left="95"/>
              <w:rPr>
                <w:sz w:val="20"/>
              </w:rPr>
            </w:pPr>
            <w:r>
              <w:rPr>
                <w:color w:val="4D4D4F"/>
                <w:sz w:val="20"/>
              </w:rPr>
              <w:t>8.</w:t>
            </w:r>
            <w:r>
              <w:rPr>
                <w:color w:val="4D4D4F"/>
                <w:spacing w:val="45"/>
                <w:sz w:val="20"/>
              </w:rPr>
              <w:t xml:space="preserve">  </w:t>
            </w:r>
            <w:r>
              <w:rPr>
                <w:sz w:val="20"/>
              </w:rPr>
              <w:t>I want to decrease</w:t>
            </w:r>
            <w:r>
              <w:rPr>
                <w:spacing w:val="-1"/>
                <w:sz w:val="20"/>
              </w:rPr>
              <w:t xml:space="preserve"> </w:t>
            </w:r>
            <w:r>
              <w:rPr>
                <w:sz w:val="20"/>
              </w:rPr>
              <w:t>my</w:t>
            </w:r>
            <w:r>
              <w:rPr>
                <w:spacing w:val="1"/>
                <w:sz w:val="20"/>
              </w:rPr>
              <w:t xml:space="preserve"> </w:t>
            </w:r>
            <w:r>
              <w:rPr>
                <w:sz w:val="20"/>
              </w:rPr>
              <w:t>use</w:t>
            </w:r>
            <w:r>
              <w:rPr>
                <w:spacing w:val="-1"/>
                <w:sz w:val="20"/>
              </w:rPr>
              <w:t xml:space="preserve"> </w:t>
            </w:r>
            <w:r>
              <w:rPr>
                <w:sz w:val="20"/>
              </w:rPr>
              <w:t>of</w:t>
            </w:r>
            <w:r>
              <w:rPr>
                <w:spacing w:val="-1"/>
                <w:sz w:val="20"/>
              </w:rPr>
              <w:t xml:space="preserve"> </w:t>
            </w:r>
            <w:r>
              <w:rPr>
                <w:spacing w:val="-2"/>
                <w:sz w:val="20"/>
              </w:rPr>
              <w:t>tobacco.</w:t>
            </w:r>
          </w:p>
        </w:tc>
        <w:tc>
          <w:tcPr>
            <w:tcW w:w="936" w:type="dxa"/>
          </w:tcPr>
          <w:p w14:paraId="425E0F86"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2D864EF0" w14:textId="77777777" w:rsidR="00DB6E1F" w:rsidRDefault="00F666A6">
            <w:pPr>
              <w:pStyle w:val="TableParagraph"/>
              <w:spacing w:line="242" w:lineRule="exact"/>
              <w:ind w:left="7"/>
              <w:jc w:val="center"/>
              <w:rPr>
                <w:sz w:val="20"/>
              </w:rPr>
            </w:pPr>
            <w:r>
              <w:rPr>
                <w:w w:val="99"/>
                <w:sz w:val="20"/>
              </w:rPr>
              <w:t>1</w:t>
            </w:r>
          </w:p>
        </w:tc>
        <w:tc>
          <w:tcPr>
            <w:tcW w:w="881" w:type="dxa"/>
          </w:tcPr>
          <w:p w14:paraId="148F1D10" w14:textId="77777777" w:rsidR="00DB6E1F" w:rsidRDefault="00F666A6">
            <w:pPr>
              <w:pStyle w:val="TableParagraph"/>
              <w:spacing w:line="242" w:lineRule="exact"/>
              <w:ind w:left="388"/>
              <w:rPr>
                <w:sz w:val="20"/>
              </w:rPr>
            </w:pPr>
            <w:r>
              <w:rPr>
                <w:w w:val="99"/>
                <w:sz w:val="20"/>
              </w:rPr>
              <w:t>2</w:t>
            </w:r>
          </w:p>
        </w:tc>
        <w:tc>
          <w:tcPr>
            <w:tcW w:w="936" w:type="dxa"/>
          </w:tcPr>
          <w:p w14:paraId="515ABA6A" w14:textId="77777777" w:rsidR="00DB6E1F" w:rsidRDefault="00F666A6">
            <w:pPr>
              <w:pStyle w:val="TableParagraph"/>
              <w:spacing w:line="242" w:lineRule="exact"/>
              <w:ind w:left="9"/>
              <w:jc w:val="center"/>
              <w:rPr>
                <w:sz w:val="20"/>
              </w:rPr>
            </w:pPr>
            <w:r>
              <w:rPr>
                <w:w w:val="99"/>
                <w:sz w:val="20"/>
              </w:rPr>
              <w:t>3</w:t>
            </w:r>
          </w:p>
        </w:tc>
      </w:tr>
      <w:tr w:rsidR="00DB6E1F" w14:paraId="672BD4B7" w14:textId="77777777">
        <w:trPr>
          <w:trHeight w:val="263"/>
        </w:trPr>
        <w:tc>
          <w:tcPr>
            <w:tcW w:w="5472" w:type="dxa"/>
          </w:tcPr>
          <w:p w14:paraId="5B95CBC4" w14:textId="77777777" w:rsidR="00DB6E1F" w:rsidRDefault="00F666A6">
            <w:pPr>
              <w:pStyle w:val="TableParagraph"/>
              <w:spacing w:line="242" w:lineRule="exact"/>
              <w:ind w:left="95"/>
              <w:rPr>
                <w:sz w:val="20"/>
              </w:rPr>
            </w:pPr>
            <w:r>
              <w:rPr>
                <w:color w:val="4D4D4F"/>
                <w:sz w:val="20"/>
              </w:rPr>
              <w:t>9.</w:t>
            </w:r>
            <w:r>
              <w:rPr>
                <w:color w:val="4D4D4F"/>
                <w:spacing w:val="45"/>
                <w:sz w:val="20"/>
              </w:rPr>
              <w:t xml:space="preserve">  </w:t>
            </w:r>
            <w:r>
              <w:rPr>
                <w:sz w:val="20"/>
              </w:rPr>
              <w:t>I want help</w:t>
            </w:r>
            <w:r>
              <w:rPr>
                <w:spacing w:val="2"/>
                <w:sz w:val="20"/>
              </w:rPr>
              <w:t xml:space="preserve"> </w:t>
            </w:r>
            <w:r>
              <w:rPr>
                <w:sz w:val="20"/>
              </w:rPr>
              <w:t>with</w:t>
            </w:r>
            <w:r>
              <w:rPr>
                <w:spacing w:val="1"/>
                <w:sz w:val="20"/>
              </w:rPr>
              <w:t xml:space="preserve"> </w:t>
            </w:r>
            <w:r>
              <w:rPr>
                <w:sz w:val="20"/>
              </w:rPr>
              <w:t>an</w:t>
            </w:r>
            <w:r>
              <w:rPr>
                <w:spacing w:val="1"/>
                <w:sz w:val="20"/>
              </w:rPr>
              <w:t xml:space="preserve"> </w:t>
            </w:r>
            <w:r>
              <w:rPr>
                <w:sz w:val="20"/>
              </w:rPr>
              <w:t xml:space="preserve">eating </w:t>
            </w:r>
            <w:r>
              <w:rPr>
                <w:spacing w:val="-2"/>
                <w:sz w:val="20"/>
              </w:rPr>
              <w:t>problem.</w:t>
            </w:r>
          </w:p>
        </w:tc>
        <w:tc>
          <w:tcPr>
            <w:tcW w:w="936" w:type="dxa"/>
          </w:tcPr>
          <w:p w14:paraId="1CB71857"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372D77EE" w14:textId="77777777" w:rsidR="00DB6E1F" w:rsidRDefault="00F666A6">
            <w:pPr>
              <w:pStyle w:val="TableParagraph"/>
              <w:spacing w:line="242" w:lineRule="exact"/>
              <w:ind w:left="7"/>
              <w:jc w:val="center"/>
              <w:rPr>
                <w:sz w:val="20"/>
              </w:rPr>
            </w:pPr>
            <w:r>
              <w:rPr>
                <w:w w:val="99"/>
                <w:sz w:val="20"/>
              </w:rPr>
              <w:t>1</w:t>
            </w:r>
          </w:p>
        </w:tc>
        <w:tc>
          <w:tcPr>
            <w:tcW w:w="881" w:type="dxa"/>
          </w:tcPr>
          <w:p w14:paraId="665EB362" w14:textId="77777777" w:rsidR="00DB6E1F" w:rsidRDefault="00F666A6">
            <w:pPr>
              <w:pStyle w:val="TableParagraph"/>
              <w:spacing w:line="242" w:lineRule="exact"/>
              <w:ind w:left="388"/>
              <w:rPr>
                <w:sz w:val="20"/>
              </w:rPr>
            </w:pPr>
            <w:r>
              <w:rPr>
                <w:w w:val="99"/>
                <w:sz w:val="20"/>
              </w:rPr>
              <w:t>2</w:t>
            </w:r>
          </w:p>
        </w:tc>
        <w:tc>
          <w:tcPr>
            <w:tcW w:w="936" w:type="dxa"/>
          </w:tcPr>
          <w:p w14:paraId="5A14B335" w14:textId="77777777" w:rsidR="00DB6E1F" w:rsidRDefault="00F666A6">
            <w:pPr>
              <w:pStyle w:val="TableParagraph"/>
              <w:spacing w:line="242" w:lineRule="exact"/>
              <w:ind w:left="9"/>
              <w:jc w:val="center"/>
              <w:rPr>
                <w:sz w:val="20"/>
              </w:rPr>
            </w:pPr>
            <w:r>
              <w:rPr>
                <w:w w:val="99"/>
                <w:sz w:val="20"/>
              </w:rPr>
              <w:t>3</w:t>
            </w:r>
          </w:p>
        </w:tc>
      </w:tr>
      <w:tr w:rsidR="00DB6E1F" w14:paraId="6262BC09" w14:textId="77777777">
        <w:trPr>
          <w:trHeight w:val="263"/>
        </w:trPr>
        <w:tc>
          <w:tcPr>
            <w:tcW w:w="5472" w:type="dxa"/>
          </w:tcPr>
          <w:p w14:paraId="178C4FDE" w14:textId="77777777" w:rsidR="00DB6E1F" w:rsidRDefault="00F666A6">
            <w:pPr>
              <w:pStyle w:val="TableParagraph"/>
              <w:spacing w:line="242" w:lineRule="exact"/>
              <w:ind w:left="95"/>
              <w:rPr>
                <w:sz w:val="20"/>
              </w:rPr>
            </w:pPr>
            <w:r>
              <w:rPr>
                <w:color w:val="4D4D4F"/>
                <w:sz w:val="20"/>
              </w:rPr>
              <w:t>10.</w:t>
            </w:r>
            <w:r>
              <w:rPr>
                <w:color w:val="4D4D4F"/>
                <w:spacing w:val="18"/>
                <w:sz w:val="20"/>
              </w:rPr>
              <w:t xml:space="preserve"> </w:t>
            </w:r>
            <w:r>
              <w:rPr>
                <w:sz w:val="20"/>
              </w:rPr>
              <w:t>I</w:t>
            </w:r>
            <w:r>
              <w:rPr>
                <w:spacing w:val="2"/>
                <w:sz w:val="20"/>
              </w:rPr>
              <w:t xml:space="preserve"> </w:t>
            </w:r>
            <w:r>
              <w:rPr>
                <w:sz w:val="20"/>
              </w:rPr>
              <w:t>want</w:t>
            </w:r>
            <w:r>
              <w:rPr>
                <w:spacing w:val="1"/>
                <w:sz w:val="20"/>
              </w:rPr>
              <w:t xml:space="preserve"> </w:t>
            </w:r>
            <w:r>
              <w:rPr>
                <w:sz w:val="20"/>
              </w:rPr>
              <w:t>help</w:t>
            </w:r>
            <w:r>
              <w:rPr>
                <w:spacing w:val="3"/>
                <w:sz w:val="20"/>
              </w:rPr>
              <w:t xml:space="preserve"> </w:t>
            </w:r>
            <w:r>
              <w:rPr>
                <w:sz w:val="20"/>
              </w:rPr>
              <w:t>with</w:t>
            </w:r>
            <w:r>
              <w:rPr>
                <w:spacing w:val="3"/>
                <w:sz w:val="20"/>
              </w:rPr>
              <w:t xml:space="preserve"> </w:t>
            </w:r>
            <w:r>
              <w:rPr>
                <w:sz w:val="20"/>
              </w:rPr>
              <w:t>a</w:t>
            </w:r>
            <w:r>
              <w:rPr>
                <w:spacing w:val="2"/>
                <w:sz w:val="20"/>
              </w:rPr>
              <w:t xml:space="preserve"> </w:t>
            </w:r>
            <w:r>
              <w:rPr>
                <w:sz w:val="20"/>
              </w:rPr>
              <w:t>gambling</w:t>
            </w:r>
            <w:r>
              <w:rPr>
                <w:spacing w:val="1"/>
                <w:sz w:val="20"/>
              </w:rPr>
              <w:t xml:space="preserve"> </w:t>
            </w:r>
            <w:r>
              <w:rPr>
                <w:spacing w:val="-2"/>
                <w:sz w:val="20"/>
              </w:rPr>
              <w:t>problem.</w:t>
            </w:r>
          </w:p>
        </w:tc>
        <w:tc>
          <w:tcPr>
            <w:tcW w:w="936" w:type="dxa"/>
          </w:tcPr>
          <w:p w14:paraId="7CE0B3E3"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53620D2A" w14:textId="77777777" w:rsidR="00DB6E1F" w:rsidRDefault="00F666A6">
            <w:pPr>
              <w:pStyle w:val="TableParagraph"/>
              <w:spacing w:line="242" w:lineRule="exact"/>
              <w:ind w:left="7"/>
              <w:jc w:val="center"/>
              <w:rPr>
                <w:sz w:val="20"/>
              </w:rPr>
            </w:pPr>
            <w:r>
              <w:rPr>
                <w:w w:val="99"/>
                <w:sz w:val="20"/>
              </w:rPr>
              <w:t>1</w:t>
            </w:r>
          </w:p>
        </w:tc>
        <w:tc>
          <w:tcPr>
            <w:tcW w:w="881" w:type="dxa"/>
          </w:tcPr>
          <w:p w14:paraId="739FEE47" w14:textId="77777777" w:rsidR="00DB6E1F" w:rsidRDefault="00F666A6">
            <w:pPr>
              <w:pStyle w:val="TableParagraph"/>
              <w:spacing w:line="242" w:lineRule="exact"/>
              <w:ind w:left="388"/>
              <w:rPr>
                <w:sz w:val="20"/>
              </w:rPr>
            </w:pPr>
            <w:r>
              <w:rPr>
                <w:w w:val="99"/>
                <w:sz w:val="20"/>
              </w:rPr>
              <w:t>2</w:t>
            </w:r>
          </w:p>
        </w:tc>
        <w:tc>
          <w:tcPr>
            <w:tcW w:w="936" w:type="dxa"/>
          </w:tcPr>
          <w:p w14:paraId="59851AD1" w14:textId="77777777" w:rsidR="00DB6E1F" w:rsidRDefault="00F666A6">
            <w:pPr>
              <w:pStyle w:val="TableParagraph"/>
              <w:spacing w:line="242" w:lineRule="exact"/>
              <w:ind w:left="9"/>
              <w:jc w:val="center"/>
              <w:rPr>
                <w:sz w:val="20"/>
              </w:rPr>
            </w:pPr>
            <w:r>
              <w:rPr>
                <w:w w:val="99"/>
                <w:sz w:val="20"/>
              </w:rPr>
              <w:t>3</w:t>
            </w:r>
          </w:p>
        </w:tc>
      </w:tr>
      <w:tr w:rsidR="00DB6E1F" w14:paraId="2192A1F3" w14:textId="77777777">
        <w:trPr>
          <w:trHeight w:val="263"/>
        </w:trPr>
        <w:tc>
          <w:tcPr>
            <w:tcW w:w="5472" w:type="dxa"/>
          </w:tcPr>
          <w:p w14:paraId="00D485A2" w14:textId="77777777" w:rsidR="00DB6E1F" w:rsidRDefault="00F666A6">
            <w:pPr>
              <w:pStyle w:val="TableParagraph"/>
              <w:spacing w:line="242" w:lineRule="exact"/>
              <w:ind w:left="95"/>
              <w:rPr>
                <w:sz w:val="20"/>
              </w:rPr>
            </w:pPr>
            <w:r>
              <w:rPr>
                <w:color w:val="4D4D4F"/>
                <w:sz w:val="20"/>
              </w:rPr>
              <w:t>11.</w:t>
            </w:r>
            <w:r>
              <w:rPr>
                <w:color w:val="4D4D4F"/>
                <w:spacing w:val="15"/>
                <w:sz w:val="20"/>
              </w:rPr>
              <w:t xml:space="preserve"> </w:t>
            </w:r>
            <w:r>
              <w:rPr>
                <w:sz w:val="20"/>
              </w:rPr>
              <w:t>I</w:t>
            </w:r>
            <w:r>
              <w:rPr>
                <w:spacing w:val="-1"/>
                <w:sz w:val="20"/>
              </w:rPr>
              <w:t xml:space="preserve"> </w:t>
            </w:r>
            <w:r>
              <w:rPr>
                <w:sz w:val="20"/>
              </w:rPr>
              <w:t>want to</w:t>
            </w:r>
            <w:r>
              <w:rPr>
                <w:spacing w:val="-1"/>
                <w:sz w:val="20"/>
              </w:rPr>
              <w:t xml:space="preserve"> </w:t>
            </w:r>
            <w:r>
              <w:rPr>
                <w:sz w:val="20"/>
              </w:rPr>
              <w:t>take</w:t>
            </w:r>
            <w:r>
              <w:rPr>
                <w:spacing w:val="-1"/>
                <w:sz w:val="20"/>
              </w:rPr>
              <w:t xml:space="preserve"> </w:t>
            </w:r>
            <w:r>
              <w:rPr>
                <w:sz w:val="20"/>
              </w:rPr>
              <w:t>Antabuse</w:t>
            </w:r>
            <w:r>
              <w:rPr>
                <w:spacing w:val="-2"/>
                <w:sz w:val="20"/>
              </w:rPr>
              <w:t xml:space="preserve"> </w:t>
            </w:r>
            <w:r>
              <w:rPr>
                <w:sz w:val="20"/>
              </w:rPr>
              <w:t>(medication</w:t>
            </w:r>
            <w:r>
              <w:rPr>
                <w:spacing w:val="1"/>
                <w:sz w:val="20"/>
              </w:rPr>
              <w:t xml:space="preserve"> </w:t>
            </w:r>
            <w:r>
              <w:rPr>
                <w:sz w:val="20"/>
              </w:rPr>
              <w:t>to</w:t>
            </w:r>
            <w:r>
              <w:rPr>
                <w:spacing w:val="-1"/>
                <w:sz w:val="20"/>
              </w:rPr>
              <w:t xml:space="preserve"> </w:t>
            </w:r>
            <w:r>
              <w:rPr>
                <w:sz w:val="20"/>
              </w:rPr>
              <w:t>help</w:t>
            </w:r>
            <w:r>
              <w:rPr>
                <w:spacing w:val="1"/>
                <w:sz w:val="20"/>
              </w:rPr>
              <w:t xml:space="preserve"> </w:t>
            </w:r>
            <w:r>
              <w:rPr>
                <w:sz w:val="20"/>
              </w:rPr>
              <w:t xml:space="preserve">stop </w:t>
            </w:r>
            <w:r>
              <w:rPr>
                <w:spacing w:val="-2"/>
                <w:sz w:val="20"/>
              </w:rPr>
              <w:t>drinking).</w:t>
            </w:r>
          </w:p>
        </w:tc>
        <w:tc>
          <w:tcPr>
            <w:tcW w:w="936" w:type="dxa"/>
          </w:tcPr>
          <w:p w14:paraId="74173B97"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3A560259" w14:textId="77777777" w:rsidR="00DB6E1F" w:rsidRDefault="00F666A6">
            <w:pPr>
              <w:pStyle w:val="TableParagraph"/>
              <w:spacing w:line="242" w:lineRule="exact"/>
              <w:ind w:left="7"/>
              <w:jc w:val="center"/>
              <w:rPr>
                <w:sz w:val="20"/>
              </w:rPr>
            </w:pPr>
            <w:r>
              <w:rPr>
                <w:w w:val="99"/>
                <w:sz w:val="20"/>
              </w:rPr>
              <w:t>1</w:t>
            </w:r>
          </w:p>
        </w:tc>
        <w:tc>
          <w:tcPr>
            <w:tcW w:w="881" w:type="dxa"/>
          </w:tcPr>
          <w:p w14:paraId="10A4E454" w14:textId="77777777" w:rsidR="00DB6E1F" w:rsidRDefault="00F666A6">
            <w:pPr>
              <w:pStyle w:val="TableParagraph"/>
              <w:spacing w:line="242" w:lineRule="exact"/>
              <w:ind w:left="388"/>
              <w:rPr>
                <w:sz w:val="20"/>
              </w:rPr>
            </w:pPr>
            <w:r>
              <w:rPr>
                <w:w w:val="99"/>
                <w:sz w:val="20"/>
              </w:rPr>
              <w:t>2</w:t>
            </w:r>
          </w:p>
        </w:tc>
        <w:tc>
          <w:tcPr>
            <w:tcW w:w="936" w:type="dxa"/>
          </w:tcPr>
          <w:p w14:paraId="20D835BF" w14:textId="77777777" w:rsidR="00DB6E1F" w:rsidRDefault="00F666A6">
            <w:pPr>
              <w:pStyle w:val="TableParagraph"/>
              <w:spacing w:line="242" w:lineRule="exact"/>
              <w:ind w:left="9"/>
              <w:jc w:val="center"/>
              <w:rPr>
                <w:sz w:val="20"/>
              </w:rPr>
            </w:pPr>
            <w:r>
              <w:rPr>
                <w:w w:val="99"/>
                <w:sz w:val="20"/>
              </w:rPr>
              <w:t>3</w:t>
            </w:r>
          </w:p>
        </w:tc>
      </w:tr>
      <w:tr w:rsidR="00DB6E1F" w14:paraId="5C5525DE" w14:textId="77777777">
        <w:trPr>
          <w:trHeight w:val="263"/>
        </w:trPr>
        <w:tc>
          <w:tcPr>
            <w:tcW w:w="5472" w:type="dxa"/>
          </w:tcPr>
          <w:p w14:paraId="115BBEA6" w14:textId="77777777" w:rsidR="00DB6E1F" w:rsidRDefault="00F666A6">
            <w:pPr>
              <w:pStyle w:val="TableParagraph"/>
              <w:spacing w:line="242" w:lineRule="exact"/>
              <w:ind w:left="0" w:right="81"/>
              <w:jc w:val="right"/>
              <w:rPr>
                <w:sz w:val="20"/>
              </w:rPr>
            </w:pPr>
            <w:r>
              <w:rPr>
                <w:color w:val="4D4D4F"/>
                <w:sz w:val="20"/>
              </w:rPr>
              <w:t>12.</w:t>
            </w:r>
            <w:r>
              <w:rPr>
                <w:color w:val="4D4D4F"/>
                <w:spacing w:val="15"/>
                <w:sz w:val="20"/>
              </w:rPr>
              <w:t xml:space="preserve"> </w:t>
            </w:r>
            <w:r>
              <w:rPr>
                <w:sz w:val="20"/>
              </w:rPr>
              <w:t>I</w:t>
            </w:r>
            <w:r>
              <w:rPr>
                <w:spacing w:val="-1"/>
                <w:sz w:val="20"/>
              </w:rPr>
              <w:t xml:space="preserve"> </w:t>
            </w:r>
            <w:r>
              <w:rPr>
                <w:sz w:val="20"/>
              </w:rPr>
              <w:t>want</w:t>
            </w:r>
            <w:r>
              <w:rPr>
                <w:spacing w:val="-1"/>
                <w:sz w:val="20"/>
              </w:rPr>
              <w:t xml:space="preserve"> </w:t>
            </w:r>
            <w:r>
              <w:rPr>
                <w:sz w:val="20"/>
              </w:rPr>
              <w:t>to take</w:t>
            </w:r>
            <w:r>
              <w:rPr>
                <w:spacing w:val="-2"/>
                <w:sz w:val="20"/>
              </w:rPr>
              <w:t xml:space="preserve"> </w:t>
            </w:r>
            <w:r>
              <w:rPr>
                <w:sz w:val="20"/>
              </w:rPr>
              <w:t>Trexan (medication</w:t>
            </w:r>
            <w:r>
              <w:rPr>
                <w:spacing w:val="1"/>
                <w:sz w:val="20"/>
              </w:rPr>
              <w:t xml:space="preserve"> </w:t>
            </w:r>
            <w:r>
              <w:rPr>
                <w:sz w:val="20"/>
              </w:rPr>
              <w:t>to</w:t>
            </w:r>
            <w:r>
              <w:rPr>
                <w:spacing w:val="-1"/>
                <w:sz w:val="20"/>
              </w:rPr>
              <w:t xml:space="preserve"> </w:t>
            </w:r>
            <w:r>
              <w:rPr>
                <w:sz w:val="20"/>
              </w:rPr>
              <w:t>help</w:t>
            </w:r>
            <w:r>
              <w:rPr>
                <w:spacing w:val="1"/>
                <w:sz w:val="20"/>
              </w:rPr>
              <w:t xml:space="preserve"> </w:t>
            </w:r>
            <w:r>
              <w:rPr>
                <w:sz w:val="20"/>
              </w:rPr>
              <w:t>stop using</w:t>
            </w:r>
            <w:r>
              <w:rPr>
                <w:spacing w:val="-1"/>
                <w:sz w:val="20"/>
              </w:rPr>
              <w:t xml:space="preserve"> </w:t>
            </w:r>
            <w:r>
              <w:rPr>
                <w:spacing w:val="-2"/>
                <w:sz w:val="20"/>
              </w:rPr>
              <w:t>heroin).</w:t>
            </w:r>
          </w:p>
        </w:tc>
        <w:tc>
          <w:tcPr>
            <w:tcW w:w="936" w:type="dxa"/>
          </w:tcPr>
          <w:p w14:paraId="07AD91D7"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28C0AD0A" w14:textId="77777777" w:rsidR="00DB6E1F" w:rsidRDefault="00F666A6">
            <w:pPr>
              <w:pStyle w:val="TableParagraph"/>
              <w:spacing w:line="242" w:lineRule="exact"/>
              <w:ind w:left="7"/>
              <w:jc w:val="center"/>
              <w:rPr>
                <w:sz w:val="20"/>
              </w:rPr>
            </w:pPr>
            <w:r>
              <w:rPr>
                <w:w w:val="99"/>
                <w:sz w:val="20"/>
              </w:rPr>
              <w:t>1</w:t>
            </w:r>
          </w:p>
        </w:tc>
        <w:tc>
          <w:tcPr>
            <w:tcW w:w="881" w:type="dxa"/>
          </w:tcPr>
          <w:p w14:paraId="02BB1A80" w14:textId="77777777" w:rsidR="00DB6E1F" w:rsidRDefault="00F666A6">
            <w:pPr>
              <w:pStyle w:val="TableParagraph"/>
              <w:spacing w:line="242" w:lineRule="exact"/>
              <w:ind w:left="388"/>
              <w:rPr>
                <w:sz w:val="20"/>
              </w:rPr>
            </w:pPr>
            <w:r>
              <w:rPr>
                <w:w w:val="99"/>
                <w:sz w:val="20"/>
              </w:rPr>
              <w:t>2</w:t>
            </w:r>
          </w:p>
        </w:tc>
        <w:tc>
          <w:tcPr>
            <w:tcW w:w="936" w:type="dxa"/>
          </w:tcPr>
          <w:p w14:paraId="5EF44703" w14:textId="77777777" w:rsidR="00DB6E1F" w:rsidRDefault="00F666A6">
            <w:pPr>
              <w:pStyle w:val="TableParagraph"/>
              <w:spacing w:line="242" w:lineRule="exact"/>
              <w:ind w:left="9"/>
              <w:jc w:val="center"/>
              <w:rPr>
                <w:sz w:val="20"/>
              </w:rPr>
            </w:pPr>
            <w:r>
              <w:rPr>
                <w:w w:val="99"/>
                <w:sz w:val="20"/>
              </w:rPr>
              <w:t>3</w:t>
            </w:r>
          </w:p>
        </w:tc>
      </w:tr>
      <w:tr w:rsidR="00DB6E1F" w14:paraId="29EF977F" w14:textId="77777777">
        <w:trPr>
          <w:trHeight w:val="263"/>
        </w:trPr>
        <w:tc>
          <w:tcPr>
            <w:tcW w:w="5472" w:type="dxa"/>
          </w:tcPr>
          <w:p w14:paraId="499A9615" w14:textId="77777777" w:rsidR="00DB6E1F" w:rsidRDefault="00F666A6">
            <w:pPr>
              <w:pStyle w:val="TableParagraph"/>
              <w:spacing w:line="242" w:lineRule="exact"/>
              <w:ind w:left="95"/>
              <w:rPr>
                <w:sz w:val="20"/>
              </w:rPr>
            </w:pPr>
            <w:r>
              <w:rPr>
                <w:color w:val="4D4D4F"/>
                <w:sz w:val="20"/>
              </w:rPr>
              <w:t>13.</w:t>
            </w:r>
            <w:r>
              <w:rPr>
                <w:color w:val="4D4D4F"/>
                <w:spacing w:val="23"/>
                <w:sz w:val="20"/>
              </w:rPr>
              <w:t xml:space="preserve"> </w:t>
            </w:r>
            <w:r>
              <w:rPr>
                <w:sz w:val="20"/>
              </w:rPr>
              <w:t>I</w:t>
            </w:r>
            <w:r>
              <w:rPr>
                <w:spacing w:val="6"/>
                <w:sz w:val="20"/>
              </w:rPr>
              <w:t xml:space="preserve"> </w:t>
            </w:r>
            <w:r>
              <w:rPr>
                <w:sz w:val="20"/>
              </w:rPr>
              <w:t>want</w:t>
            </w:r>
            <w:r>
              <w:rPr>
                <w:spacing w:val="6"/>
                <w:sz w:val="20"/>
              </w:rPr>
              <w:t xml:space="preserve"> </w:t>
            </w:r>
            <w:r>
              <w:rPr>
                <w:sz w:val="20"/>
              </w:rPr>
              <w:t>to</w:t>
            </w:r>
            <w:r>
              <w:rPr>
                <w:spacing w:val="6"/>
                <w:sz w:val="20"/>
              </w:rPr>
              <w:t xml:space="preserve"> </w:t>
            </w:r>
            <w:r>
              <w:rPr>
                <w:sz w:val="20"/>
              </w:rPr>
              <w:t>take</w:t>
            </w:r>
            <w:r>
              <w:rPr>
                <w:spacing w:val="5"/>
                <w:sz w:val="20"/>
              </w:rPr>
              <w:t xml:space="preserve"> </w:t>
            </w:r>
            <w:r>
              <w:rPr>
                <w:spacing w:val="-2"/>
                <w:sz w:val="20"/>
              </w:rPr>
              <w:t>methadone.</w:t>
            </w:r>
          </w:p>
        </w:tc>
        <w:tc>
          <w:tcPr>
            <w:tcW w:w="936" w:type="dxa"/>
          </w:tcPr>
          <w:p w14:paraId="4A7C74B3"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2395E566" w14:textId="77777777" w:rsidR="00DB6E1F" w:rsidRDefault="00F666A6">
            <w:pPr>
              <w:pStyle w:val="TableParagraph"/>
              <w:spacing w:line="242" w:lineRule="exact"/>
              <w:ind w:left="7"/>
              <w:jc w:val="center"/>
              <w:rPr>
                <w:sz w:val="20"/>
              </w:rPr>
            </w:pPr>
            <w:r>
              <w:rPr>
                <w:w w:val="99"/>
                <w:sz w:val="20"/>
              </w:rPr>
              <w:t>1</w:t>
            </w:r>
          </w:p>
        </w:tc>
        <w:tc>
          <w:tcPr>
            <w:tcW w:w="881" w:type="dxa"/>
          </w:tcPr>
          <w:p w14:paraId="488E42E3" w14:textId="77777777" w:rsidR="00DB6E1F" w:rsidRDefault="00F666A6">
            <w:pPr>
              <w:pStyle w:val="TableParagraph"/>
              <w:spacing w:line="242" w:lineRule="exact"/>
              <w:ind w:left="388"/>
              <w:rPr>
                <w:sz w:val="20"/>
              </w:rPr>
            </w:pPr>
            <w:r>
              <w:rPr>
                <w:w w:val="99"/>
                <w:sz w:val="20"/>
              </w:rPr>
              <w:t>2</w:t>
            </w:r>
          </w:p>
        </w:tc>
        <w:tc>
          <w:tcPr>
            <w:tcW w:w="936" w:type="dxa"/>
          </w:tcPr>
          <w:p w14:paraId="14A8C739" w14:textId="77777777" w:rsidR="00DB6E1F" w:rsidRDefault="00F666A6">
            <w:pPr>
              <w:pStyle w:val="TableParagraph"/>
              <w:spacing w:line="242" w:lineRule="exact"/>
              <w:ind w:left="9"/>
              <w:jc w:val="center"/>
              <w:rPr>
                <w:sz w:val="20"/>
              </w:rPr>
            </w:pPr>
            <w:r>
              <w:rPr>
                <w:w w:val="99"/>
                <w:sz w:val="20"/>
              </w:rPr>
              <w:t>3</w:t>
            </w:r>
          </w:p>
        </w:tc>
      </w:tr>
      <w:tr w:rsidR="00DB6E1F" w14:paraId="7193FB56" w14:textId="77777777">
        <w:trPr>
          <w:trHeight w:val="263"/>
        </w:trPr>
        <w:tc>
          <w:tcPr>
            <w:tcW w:w="5472" w:type="dxa"/>
          </w:tcPr>
          <w:p w14:paraId="6793A90B" w14:textId="77777777" w:rsidR="00DB6E1F" w:rsidRDefault="00F666A6">
            <w:pPr>
              <w:pStyle w:val="TableParagraph"/>
              <w:spacing w:line="242" w:lineRule="exact"/>
              <w:ind w:left="95"/>
              <w:rPr>
                <w:sz w:val="20"/>
              </w:rPr>
            </w:pPr>
            <w:r>
              <w:rPr>
                <w:color w:val="4D4D4F"/>
                <w:sz w:val="20"/>
              </w:rPr>
              <w:t>14.</w:t>
            </w:r>
            <w:r>
              <w:rPr>
                <w:color w:val="4D4D4F"/>
                <w:spacing w:val="16"/>
                <w:sz w:val="20"/>
              </w:rPr>
              <w:t xml:space="preserve"> </w:t>
            </w:r>
            <w:r>
              <w:rPr>
                <w:sz w:val="20"/>
              </w:rPr>
              <w:t>I</w:t>
            </w:r>
            <w:r>
              <w:rPr>
                <w:spacing w:val="1"/>
                <w:sz w:val="20"/>
              </w:rPr>
              <w:t xml:space="preserve"> </w:t>
            </w:r>
            <w:r>
              <w:rPr>
                <w:sz w:val="20"/>
              </w:rPr>
              <w:t>want to</w:t>
            </w:r>
            <w:r>
              <w:rPr>
                <w:spacing w:val="1"/>
                <w:sz w:val="20"/>
              </w:rPr>
              <w:t xml:space="preserve"> </w:t>
            </w:r>
            <w:r>
              <w:rPr>
                <w:sz w:val="20"/>
              </w:rPr>
              <w:t>learn</w:t>
            </w:r>
            <w:r>
              <w:rPr>
                <w:spacing w:val="1"/>
                <w:sz w:val="20"/>
              </w:rPr>
              <w:t xml:space="preserve"> </w:t>
            </w:r>
            <w:r>
              <w:rPr>
                <w:sz w:val="20"/>
              </w:rPr>
              <w:t xml:space="preserve">more about alcohol/drug </w:t>
            </w:r>
            <w:r>
              <w:rPr>
                <w:spacing w:val="-2"/>
                <w:sz w:val="20"/>
              </w:rPr>
              <w:t>problems.</w:t>
            </w:r>
          </w:p>
        </w:tc>
        <w:tc>
          <w:tcPr>
            <w:tcW w:w="936" w:type="dxa"/>
          </w:tcPr>
          <w:p w14:paraId="26C8F6E5"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06B47840" w14:textId="77777777" w:rsidR="00DB6E1F" w:rsidRDefault="00F666A6">
            <w:pPr>
              <w:pStyle w:val="TableParagraph"/>
              <w:spacing w:line="242" w:lineRule="exact"/>
              <w:ind w:left="7"/>
              <w:jc w:val="center"/>
              <w:rPr>
                <w:sz w:val="20"/>
              </w:rPr>
            </w:pPr>
            <w:r>
              <w:rPr>
                <w:w w:val="99"/>
                <w:sz w:val="20"/>
              </w:rPr>
              <w:t>1</w:t>
            </w:r>
          </w:p>
        </w:tc>
        <w:tc>
          <w:tcPr>
            <w:tcW w:w="881" w:type="dxa"/>
          </w:tcPr>
          <w:p w14:paraId="5475E68C" w14:textId="77777777" w:rsidR="00DB6E1F" w:rsidRDefault="00F666A6">
            <w:pPr>
              <w:pStyle w:val="TableParagraph"/>
              <w:spacing w:line="242" w:lineRule="exact"/>
              <w:ind w:left="388"/>
              <w:rPr>
                <w:sz w:val="20"/>
              </w:rPr>
            </w:pPr>
            <w:r>
              <w:rPr>
                <w:w w:val="99"/>
                <w:sz w:val="20"/>
              </w:rPr>
              <w:t>2</w:t>
            </w:r>
          </w:p>
        </w:tc>
        <w:tc>
          <w:tcPr>
            <w:tcW w:w="936" w:type="dxa"/>
          </w:tcPr>
          <w:p w14:paraId="4A1A64A5" w14:textId="77777777" w:rsidR="00DB6E1F" w:rsidRDefault="00F666A6">
            <w:pPr>
              <w:pStyle w:val="TableParagraph"/>
              <w:spacing w:line="242" w:lineRule="exact"/>
              <w:ind w:left="9"/>
              <w:jc w:val="center"/>
              <w:rPr>
                <w:sz w:val="20"/>
              </w:rPr>
            </w:pPr>
            <w:r>
              <w:rPr>
                <w:w w:val="99"/>
                <w:sz w:val="20"/>
              </w:rPr>
              <w:t>3</w:t>
            </w:r>
          </w:p>
        </w:tc>
      </w:tr>
      <w:tr w:rsidR="00DB6E1F" w14:paraId="1193190F" w14:textId="77777777">
        <w:trPr>
          <w:trHeight w:val="525"/>
        </w:trPr>
        <w:tc>
          <w:tcPr>
            <w:tcW w:w="5472" w:type="dxa"/>
          </w:tcPr>
          <w:p w14:paraId="551DF393" w14:textId="77777777" w:rsidR="00DB6E1F" w:rsidRDefault="00F666A6">
            <w:pPr>
              <w:pStyle w:val="TableParagraph"/>
              <w:ind w:left="95"/>
              <w:rPr>
                <w:sz w:val="20"/>
              </w:rPr>
            </w:pPr>
            <w:r>
              <w:rPr>
                <w:color w:val="4D4D4F"/>
                <w:sz w:val="20"/>
              </w:rPr>
              <w:t>15.</w:t>
            </w:r>
            <w:r>
              <w:rPr>
                <w:color w:val="4D4D4F"/>
                <w:spacing w:val="15"/>
                <w:sz w:val="20"/>
              </w:rPr>
              <w:t xml:space="preserve"> </w:t>
            </w:r>
            <w:r>
              <w:rPr>
                <w:sz w:val="20"/>
              </w:rPr>
              <w:t>I</w:t>
            </w:r>
            <w:r>
              <w:rPr>
                <w:spacing w:val="-1"/>
                <w:sz w:val="20"/>
              </w:rPr>
              <w:t xml:space="preserve"> </w:t>
            </w:r>
            <w:r>
              <w:rPr>
                <w:sz w:val="20"/>
              </w:rPr>
              <w:t>want to</w:t>
            </w:r>
            <w:r>
              <w:rPr>
                <w:spacing w:val="-1"/>
                <w:sz w:val="20"/>
              </w:rPr>
              <w:t xml:space="preserve"> </w:t>
            </w:r>
            <w:r>
              <w:rPr>
                <w:sz w:val="20"/>
              </w:rPr>
              <w:t>learn</w:t>
            </w:r>
            <w:r>
              <w:rPr>
                <w:spacing w:val="1"/>
                <w:sz w:val="20"/>
              </w:rPr>
              <w:t xml:space="preserve"> </w:t>
            </w:r>
            <w:r>
              <w:rPr>
                <w:sz w:val="20"/>
              </w:rPr>
              <w:t>some</w:t>
            </w:r>
            <w:r>
              <w:rPr>
                <w:spacing w:val="1"/>
                <w:sz w:val="20"/>
              </w:rPr>
              <w:t xml:space="preserve"> </w:t>
            </w:r>
            <w:r>
              <w:rPr>
                <w:sz w:val="20"/>
              </w:rPr>
              <w:t>skills</w:t>
            </w:r>
            <w:r>
              <w:rPr>
                <w:spacing w:val="-2"/>
                <w:sz w:val="20"/>
              </w:rPr>
              <w:t xml:space="preserve"> </w:t>
            </w:r>
            <w:r>
              <w:rPr>
                <w:sz w:val="20"/>
              </w:rPr>
              <w:t>to keep from</w:t>
            </w:r>
            <w:r>
              <w:rPr>
                <w:spacing w:val="-1"/>
                <w:sz w:val="20"/>
              </w:rPr>
              <w:t xml:space="preserve"> </w:t>
            </w:r>
            <w:r>
              <w:rPr>
                <w:sz w:val="20"/>
              </w:rPr>
              <w:t>returning</w:t>
            </w:r>
            <w:r>
              <w:rPr>
                <w:spacing w:val="-1"/>
                <w:sz w:val="20"/>
              </w:rPr>
              <w:t xml:space="preserve"> </w:t>
            </w:r>
            <w:r>
              <w:rPr>
                <w:sz w:val="20"/>
              </w:rPr>
              <w:t xml:space="preserve">to </w:t>
            </w:r>
            <w:r>
              <w:rPr>
                <w:spacing w:val="-2"/>
                <w:sz w:val="20"/>
              </w:rPr>
              <w:t>alcohol</w:t>
            </w:r>
          </w:p>
          <w:p w14:paraId="79162671" w14:textId="77777777" w:rsidR="00DB6E1F" w:rsidRDefault="00F666A6">
            <w:pPr>
              <w:pStyle w:val="TableParagraph"/>
              <w:spacing w:before="18" w:line="242" w:lineRule="exact"/>
              <w:ind w:left="455"/>
              <w:rPr>
                <w:sz w:val="20"/>
              </w:rPr>
            </w:pPr>
            <w:r>
              <w:rPr>
                <w:sz w:val="20"/>
              </w:rPr>
              <w:t>or</w:t>
            </w:r>
            <w:r>
              <w:rPr>
                <w:spacing w:val="-4"/>
                <w:sz w:val="20"/>
              </w:rPr>
              <w:t xml:space="preserve"> </w:t>
            </w:r>
            <w:r>
              <w:rPr>
                <w:sz w:val="20"/>
              </w:rPr>
              <w:t>other</w:t>
            </w:r>
            <w:r>
              <w:rPr>
                <w:spacing w:val="-4"/>
                <w:sz w:val="20"/>
              </w:rPr>
              <w:t xml:space="preserve"> </w:t>
            </w:r>
            <w:r>
              <w:rPr>
                <w:spacing w:val="-2"/>
                <w:sz w:val="20"/>
              </w:rPr>
              <w:t>drugs.</w:t>
            </w:r>
          </w:p>
        </w:tc>
        <w:tc>
          <w:tcPr>
            <w:tcW w:w="936" w:type="dxa"/>
          </w:tcPr>
          <w:p w14:paraId="61CDA74C" w14:textId="77777777" w:rsidR="00DB6E1F" w:rsidRDefault="00F666A6">
            <w:pPr>
              <w:pStyle w:val="TableParagraph"/>
              <w:spacing w:before="133"/>
              <w:ind w:left="0" w:right="405"/>
              <w:jc w:val="right"/>
              <w:rPr>
                <w:sz w:val="20"/>
              </w:rPr>
            </w:pPr>
            <w:r>
              <w:rPr>
                <w:w w:val="99"/>
                <w:sz w:val="20"/>
              </w:rPr>
              <w:t>0</w:t>
            </w:r>
          </w:p>
        </w:tc>
        <w:tc>
          <w:tcPr>
            <w:tcW w:w="991" w:type="dxa"/>
          </w:tcPr>
          <w:p w14:paraId="2997FE54" w14:textId="77777777" w:rsidR="00DB6E1F" w:rsidRDefault="00F666A6">
            <w:pPr>
              <w:pStyle w:val="TableParagraph"/>
              <w:spacing w:before="133"/>
              <w:ind w:left="7"/>
              <w:jc w:val="center"/>
              <w:rPr>
                <w:sz w:val="20"/>
              </w:rPr>
            </w:pPr>
            <w:r>
              <w:rPr>
                <w:w w:val="99"/>
                <w:sz w:val="20"/>
              </w:rPr>
              <w:t>1</w:t>
            </w:r>
          </w:p>
        </w:tc>
        <w:tc>
          <w:tcPr>
            <w:tcW w:w="881" w:type="dxa"/>
          </w:tcPr>
          <w:p w14:paraId="4704AFB0" w14:textId="77777777" w:rsidR="00DB6E1F" w:rsidRDefault="00F666A6">
            <w:pPr>
              <w:pStyle w:val="TableParagraph"/>
              <w:spacing w:before="133"/>
              <w:ind w:left="388"/>
              <w:rPr>
                <w:sz w:val="20"/>
              </w:rPr>
            </w:pPr>
            <w:r>
              <w:rPr>
                <w:w w:val="99"/>
                <w:sz w:val="20"/>
              </w:rPr>
              <w:t>2</w:t>
            </w:r>
          </w:p>
        </w:tc>
        <w:tc>
          <w:tcPr>
            <w:tcW w:w="936" w:type="dxa"/>
          </w:tcPr>
          <w:p w14:paraId="19D4BE3E" w14:textId="77777777" w:rsidR="00DB6E1F" w:rsidRDefault="00F666A6">
            <w:pPr>
              <w:pStyle w:val="TableParagraph"/>
              <w:spacing w:before="133"/>
              <w:ind w:left="9"/>
              <w:jc w:val="center"/>
              <w:rPr>
                <w:sz w:val="20"/>
              </w:rPr>
            </w:pPr>
            <w:r>
              <w:rPr>
                <w:w w:val="99"/>
                <w:sz w:val="20"/>
              </w:rPr>
              <w:t>3</w:t>
            </w:r>
          </w:p>
        </w:tc>
      </w:tr>
      <w:tr w:rsidR="00DB6E1F" w14:paraId="0D7050CD" w14:textId="77777777">
        <w:trPr>
          <w:trHeight w:val="527"/>
        </w:trPr>
        <w:tc>
          <w:tcPr>
            <w:tcW w:w="5472" w:type="dxa"/>
          </w:tcPr>
          <w:p w14:paraId="53350155" w14:textId="77777777" w:rsidR="00DB6E1F" w:rsidRDefault="00F666A6">
            <w:pPr>
              <w:pStyle w:val="TableParagraph"/>
              <w:ind w:left="95"/>
              <w:rPr>
                <w:sz w:val="20"/>
              </w:rPr>
            </w:pPr>
            <w:r>
              <w:rPr>
                <w:color w:val="4D4D4F"/>
                <w:sz w:val="20"/>
              </w:rPr>
              <w:t>16.</w:t>
            </w:r>
            <w:r>
              <w:rPr>
                <w:color w:val="4D4D4F"/>
                <w:spacing w:val="15"/>
                <w:sz w:val="20"/>
              </w:rPr>
              <w:t xml:space="preserve"> </w:t>
            </w:r>
            <w:r>
              <w:rPr>
                <w:sz w:val="20"/>
              </w:rPr>
              <w:t>I</w:t>
            </w:r>
            <w:r>
              <w:rPr>
                <w:spacing w:val="-1"/>
                <w:sz w:val="20"/>
              </w:rPr>
              <w:t xml:space="preserve"> </w:t>
            </w:r>
            <w:r>
              <w:rPr>
                <w:sz w:val="20"/>
              </w:rPr>
              <w:t>would</w:t>
            </w:r>
            <w:r>
              <w:rPr>
                <w:spacing w:val="1"/>
                <w:sz w:val="20"/>
              </w:rPr>
              <w:t xml:space="preserve"> </w:t>
            </w:r>
            <w:r>
              <w:rPr>
                <w:sz w:val="20"/>
              </w:rPr>
              <w:t>like</w:t>
            </w:r>
            <w:r>
              <w:rPr>
                <w:spacing w:val="-1"/>
                <w:sz w:val="20"/>
              </w:rPr>
              <w:t xml:space="preserve"> </w:t>
            </w:r>
            <w:r>
              <w:rPr>
                <w:sz w:val="20"/>
              </w:rPr>
              <w:t>to</w:t>
            </w:r>
            <w:r>
              <w:rPr>
                <w:spacing w:val="-1"/>
                <w:sz w:val="20"/>
              </w:rPr>
              <w:t xml:space="preserve"> </w:t>
            </w:r>
            <w:r>
              <w:rPr>
                <w:sz w:val="20"/>
              </w:rPr>
              <w:t>learn</w:t>
            </w:r>
            <w:r>
              <w:rPr>
                <w:spacing w:val="1"/>
                <w:sz w:val="20"/>
              </w:rPr>
              <w:t xml:space="preserve"> </w:t>
            </w:r>
            <w:r>
              <w:rPr>
                <w:sz w:val="20"/>
              </w:rPr>
              <w:t>more</w:t>
            </w:r>
            <w:r>
              <w:rPr>
                <w:spacing w:val="-2"/>
                <w:sz w:val="20"/>
              </w:rPr>
              <w:t xml:space="preserve"> </w:t>
            </w:r>
            <w:r>
              <w:rPr>
                <w:sz w:val="20"/>
              </w:rPr>
              <w:t>about 12-Step programs</w:t>
            </w:r>
            <w:r>
              <w:rPr>
                <w:spacing w:val="-1"/>
                <w:sz w:val="20"/>
              </w:rPr>
              <w:t xml:space="preserve"> </w:t>
            </w:r>
            <w:r>
              <w:rPr>
                <w:spacing w:val="-4"/>
                <w:sz w:val="20"/>
              </w:rPr>
              <w:t>like</w:t>
            </w:r>
          </w:p>
          <w:p w14:paraId="3380EC27" w14:textId="77777777" w:rsidR="00DB6E1F" w:rsidRDefault="00F666A6">
            <w:pPr>
              <w:pStyle w:val="TableParagraph"/>
              <w:spacing w:before="20" w:line="242" w:lineRule="exact"/>
              <w:ind w:left="455"/>
              <w:rPr>
                <w:sz w:val="20"/>
              </w:rPr>
            </w:pPr>
            <w:r>
              <w:rPr>
                <w:sz w:val="20"/>
              </w:rPr>
              <w:t>Alcoholics</w:t>
            </w:r>
            <w:r>
              <w:rPr>
                <w:spacing w:val="-10"/>
                <w:sz w:val="20"/>
              </w:rPr>
              <w:t xml:space="preserve"> </w:t>
            </w:r>
            <w:r>
              <w:rPr>
                <w:sz w:val="20"/>
              </w:rPr>
              <w:t>Anonymous</w:t>
            </w:r>
            <w:r>
              <w:rPr>
                <w:spacing w:val="-9"/>
                <w:sz w:val="20"/>
              </w:rPr>
              <w:t xml:space="preserve"> </w:t>
            </w:r>
            <w:r>
              <w:rPr>
                <w:sz w:val="20"/>
              </w:rPr>
              <w:t>(AA)</w:t>
            </w:r>
            <w:r>
              <w:rPr>
                <w:spacing w:val="-8"/>
                <w:sz w:val="20"/>
              </w:rPr>
              <w:t xml:space="preserve"> </w:t>
            </w:r>
            <w:r>
              <w:rPr>
                <w:sz w:val="20"/>
              </w:rPr>
              <w:t>or</w:t>
            </w:r>
            <w:r>
              <w:rPr>
                <w:spacing w:val="-7"/>
                <w:sz w:val="20"/>
              </w:rPr>
              <w:t xml:space="preserve"> </w:t>
            </w:r>
            <w:r>
              <w:rPr>
                <w:sz w:val="20"/>
              </w:rPr>
              <w:t>Narcotics</w:t>
            </w:r>
            <w:r>
              <w:rPr>
                <w:spacing w:val="-9"/>
                <w:sz w:val="20"/>
              </w:rPr>
              <w:t xml:space="preserve"> </w:t>
            </w:r>
            <w:r>
              <w:rPr>
                <w:sz w:val="20"/>
              </w:rPr>
              <w:t>Anonymous</w:t>
            </w:r>
            <w:r>
              <w:rPr>
                <w:spacing w:val="-9"/>
                <w:sz w:val="20"/>
              </w:rPr>
              <w:t xml:space="preserve"> </w:t>
            </w:r>
            <w:r>
              <w:rPr>
                <w:spacing w:val="-4"/>
                <w:sz w:val="20"/>
              </w:rPr>
              <w:t>(NA).</w:t>
            </w:r>
          </w:p>
        </w:tc>
        <w:tc>
          <w:tcPr>
            <w:tcW w:w="936" w:type="dxa"/>
          </w:tcPr>
          <w:p w14:paraId="73F05893" w14:textId="77777777" w:rsidR="00DB6E1F" w:rsidRDefault="00F666A6">
            <w:pPr>
              <w:pStyle w:val="TableParagraph"/>
              <w:spacing w:before="133"/>
              <w:ind w:left="0" w:right="405"/>
              <w:jc w:val="right"/>
              <w:rPr>
                <w:sz w:val="20"/>
              </w:rPr>
            </w:pPr>
            <w:r>
              <w:rPr>
                <w:w w:val="99"/>
                <w:sz w:val="20"/>
              </w:rPr>
              <w:t>0</w:t>
            </w:r>
          </w:p>
        </w:tc>
        <w:tc>
          <w:tcPr>
            <w:tcW w:w="991" w:type="dxa"/>
          </w:tcPr>
          <w:p w14:paraId="6682F962" w14:textId="77777777" w:rsidR="00DB6E1F" w:rsidRDefault="00F666A6">
            <w:pPr>
              <w:pStyle w:val="TableParagraph"/>
              <w:spacing w:before="133"/>
              <w:ind w:left="7"/>
              <w:jc w:val="center"/>
              <w:rPr>
                <w:sz w:val="20"/>
              </w:rPr>
            </w:pPr>
            <w:r>
              <w:rPr>
                <w:w w:val="99"/>
                <w:sz w:val="20"/>
              </w:rPr>
              <w:t>1</w:t>
            </w:r>
          </w:p>
        </w:tc>
        <w:tc>
          <w:tcPr>
            <w:tcW w:w="881" w:type="dxa"/>
          </w:tcPr>
          <w:p w14:paraId="49A619B7" w14:textId="77777777" w:rsidR="00DB6E1F" w:rsidRDefault="00F666A6">
            <w:pPr>
              <w:pStyle w:val="TableParagraph"/>
              <w:spacing w:before="133"/>
              <w:ind w:left="388"/>
              <w:rPr>
                <w:sz w:val="20"/>
              </w:rPr>
            </w:pPr>
            <w:r>
              <w:rPr>
                <w:w w:val="99"/>
                <w:sz w:val="20"/>
              </w:rPr>
              <w:t>2</w:t>
            </w:r>
          </w:p>
        </w:tc>
        <w:tc>
          <w:tcPr>
            <w:tcW w:w="936" w:type="dxa"/>
          </w:tcPr>
          <w:p w14:paraId="043557A7" w14:textId="77777777" w:rsidR="00DB6E1F" w:rsidRDefault="00F666A6">
            <w:pPr>
              <w:pStyle w:val="TableParagraph"/>
              <w:spacing w:before="133"/>
              <w:ind w:left="9"/>
              <w:jc w:val="center"/>
              <w:rPr>
                <w:sz w:val="20"/>
              </w:rPr>
            </w:pPr>
            <w:r>
              <w:rPr>
                <w:w w:val="99"/>
                <w:sz w:val="20"/>
              </w:rPr>
              <w:t>3</w:t>
            </w:r>
          </w:p>
        </w:tc>
      </w:tr>
      <w:tr w:rsidR="00DB6E1F" w14:paraId="167EDFE7" w14:textId="77777777">
        <w:trPr>
          <w:trHeight w:val="263"/>
        </w:trPr>
        <w:tc>
          <w:tcPr>
            <w:tcW w:w="5472" w:type="dxa"/>
          </w:tcPr>
          <w:p w14:paraId="28D8859E" w14:textId="77777777" w:rsidR="00DB6E1F" w:rsidRDefault="00F666A6">
            <w:pPr>
              <w:pStyle w:val="TableParagraph"/>
              <w:spacing w:line="242" w:lineRule="exact"/>
              <w:ind w:left="95"/>
              <w:rPr>
                <w:sz w:val="20"/>
              </w:rPr>
            </w:pPr>
            <w:r>
              <w:rPr>
                <w:color w:val="4D4D4F"/>
                <w:sz w:val="20"/>
              </w:rPr>
              <w:t>17.</w:t>
            </w:r>
            <w:r>
              <w:rPr>
                <w:color w:val="4D4D4F"/>
                <w:spacing w:val="16"/>
                <w:sz w:val="20"/>
              </w:rPr>
              <w:t xml:space="preserve"> </w:t>
            </w:r>
            <w:r>
              <w:rPr>
                <w:sz w:val="20"/>
              </w:rPr>
              <w:t>I would</w:t>
            </w:r>
            <w:r>
              <w:rPr>
                <w:spacing w:val="1"/>
                <w:sz w:val="20"/>
              </w:rPr>
              <w:t xml:space="preserve"> </w:t>
            </w:r>
            <w:r>
              <w:rPr>
                <w:sz w:val="20"/>
              </w:rPr>
              <w:t>like</w:t>
            </w:r>
            <w:r>
              <w:rPr>
                <w:spacing w:val="-1"/>
                <w:sz w:val="20"/>
              </w:rPr>
              <w:t xml:space="preserve"> </w:t>
            </w:r>
            <w:r>
              <w:rPr>
                <w:sz w:val="20"/>
              </w:rPr>
              <w:t>to talk</w:t>
            </w:r>
            <w:r>
              <w:rPr>
                <w:spacing w:val="2"/>
                <w:sz w:val="20"/>
              </w:rPr>
              <w:t xml:space="preserve"> </w:t>
            </w:r>
            <w:r>
              <w:rPr>
                <w:sz w:val="20"/>
              </w:rPr>
              <w:t>about some</w:t>
            </w:r>
            <w:r>
              <w:rPr>
                <w:spacing w:val="-1"/>
                <w:sz w:val="20"/>
              </w:rPr>
              <w:t xml:space="preserve"> </w:t>
            </w:r>
            <w:r>
              <w:rPr>
                <w:sz w:val="20"/>
              </w:rPr>
              <w:t xml:space="preserve">personal </w:t>
            </w:r>
            <w:r>
              <w:rPr>
                <w:spacing w:val="-2"/>
                <w:sz w:val="20"/>
              </w:rPr>
              <w:t>problems.</w:t>
            </w:r>
          </w:p>
        </w:tc>
        <w:tc>
          <w:tcPr>
            <w:tcW w:w="936" w:type="dxa"/>
          </w:tcPr>
          <w:p w14:paraId="158ABA45"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0618A191" w14:textId="77777777" w:rsidR="00DB6E1F" w:rsidRDefault="00F666A6">
            <w:pPr>
              <w:pStyle w:val="TableParagraph"/>
              <w:spacing w:line="242" w:lineRule="exact"/>
              <w:ind w:left="7"/>
              <w:jc w:val="center"/>
              <w:rPr>
                <w:sz w:val="20"/>
              </w:rPr>
            </w:pPr>
            <w:r>
              <w:rPr>
                <w:w w:val="99"/>
                <w:sz w:val="20"/>
              </w:rPr>
              <w:t>1</w:t>
            </w:r>
          </w:p>
        </w:tc>
        <w:tc>
          <w:tcPr>
            <w:tcW w:w="881" w:type="dxa"/>
          </w:tcPr>
          <w:p w14:paraId="79FAE980" w14:textId="77777777" w:rsidR="00DB6E1F" w:rsidRDefault="00F666A6">
            <w:pPr>
              <w:pStyle w:val="TableParagraph"/>
              <w:spacing w:line="242" w:lineRule="exact"/>
              <w:ind w:left="388"/>
              <w:rPr>
                <w:sz w:val="20"/>
              </w:rPr>
            </w:pPr>
            <w:r>
              <w:rPr>
                <w:w w:val="99"/>
                <w:sz w:val="20"/>
              </w:rPr>
              <w:t>2</w:t>
            </w:r>
          </w:p>
        </w:tc>
        <w:tc>
          <w:tcPr>
            <w:tcW w:w="936" w:type="dxa"/>
          </w:tcPr>
          <w:p w14:paraId="29DCCBB0" w14:textId="77777777" w:rsidR="00DB6E1F" w:rsidRDefault="00F666A6">
            <w:pPr>
              <w:pStyle w:val="TableParagraph"/>
              <w:spacing w:line="242" w:lineRule="exact"/>
              <w:ind w:left="9"/>
              <w:jc w:val="center"/>
              <w:rPr>
                <w:sz w:val="20"/>
              </w:rPr>
            </w:pPr>
            <w:r>
              <w:rPr>
                <w:w w:val="99"/>
                <w:sz w:val="20"/>
              </w:rPr>
              <w:t>3</w:t>
            </w:r>
          </w:p>
        </w:tc>
      </w:tr>
      <w:tr w:rsidR="00DB6E1F" w14:paraId="3CD4D066" w14:textId="77777777">
        <w:trPr>
          <w:trHeight w:val="263"/>
        </w:trPr>
        <w:tc>
          <w:tcPr>
            <w:tcW w:w="5472" w:type="dxa"/>
          </w:tcPr>
          <w:p w14:paraId="1C6066E7" w14:textId="77777777" w:rsidR="00DB6E1F" w:rsidRDefault="00F666A6">
            <w:pPr>
              <w:pStyle w:val="TableParagraph"/>
              <w:spacing w:line="242" w:lineRule="exact"/>
              <w:ind w:left="95"/>
              <w:rPr>
                <w:sz w:val="20"/>
              </w:rPr>
            </w:pPr>
            <w:r>
              <w:rPr>
                <w:color w:val="4D4D4F"/>
                <w:sz w:val="20"/>
              </w:rPr>
              <w:t>18.</w:t>
            </w:r>
            <w:r>
              <w:rPr>
                <w:color w:val="4D4D4F"/>
                <w:spacing w:val="16"/>
                <w:sz w:val="20"/>
              </w:rPr>
              <w:t xml:space="preserve"> </w:t>
            </w:r>
            <w:r>
              <w:rPr>
                <w:sz w:val="20"/>
              </w:rPr>
              <w:t>I</w:t>
            </w:r>
            <w:r>
              <w:rPr>
                <w:spacing w:val="1"/>
                <w:sz w:val="20"/>
              </w:rPr>
              <w:t xml:space="preserve"> </w:t>
            </w:r>
            <w:r>
              <w:rPr>
                <w:sz w:val="20"/>
              </w:rPr>
              <w:t>need</w:t>
            </w:r>
            <w:r>
              <w:rPr>
                <w:spacing w:val="2"/>
                <w:sz w:val="20"/>
              </w:rPr>
              <w:t xml:space="preserve"> </w:t>
            </w:r>
            <w:r>
              <w:rPr>
                <w:sz w:val="20"/>
              </w:rPr>
              <w:t>to fulfill</w:t>
            </w:r>
            <w:r>
              <w:rPr>
                <w:spacing w:val="1"/>
                <w:sz w:val="20"/>
              </w:rPr>
              <w:t xml:space="preserve"> </w:t>
            </w:r>
            <w:r>
              <w:rPr>
                <w:sz w:val="20"/>
              </w:rPr>
              <w:t>a</w:t>
            </w:r>
            <w:r>
              <w:rPr>
                <w:spacing w:val="1"/>
                <w:sz w:val="20"/>
              </w:rPr>
              <w:t xml:space="preserve"> </w:t>
            </w:r>
            <w:r>
              <w:rPr>
                <w:sz w:val="20"/>
              </w:rPr>
              <w:t>requirement</w:t>
            </w:r>
            <w:r>
              <w:rPr>
                <w:spacing w:val="3"/>
                <w:sz w:val="20"/>
              </w:rPr>
              <w:t xml:space="preserve"> </w:t>
            </w:r>
            <w:r>
              <w:rPr>
                <w:sz w:val="20"/>
              </w:rPr>
              <w:t>of the</w:t>
            </w:r>
            <w:r>
              <w:rPr>
                <w:spacing w:val="-1"/>
                <w:sz w:val="20"/>
              </w:rPr>
              <w:t xml:space="preserve"> </w:t>
            </w:r>
            <w:r>
              <w:rPr>
                <w:spacing w:val="-2"/>
                <w:sz w:val="20"/>
              </w:rPr>
              <w:t>courts.</w:t>
            </w:r>
          </w:p>
        </w:tc>
        <w:tc>
          <w:tcPr>
            <w:tcW w:w="936" w:type="dxa"/>
          </w:tcPr>
          <w:p w14:paraId="3958786C"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12108C2C" w14:textId="77777777" w:rsidR="00DB6E1F" w:rsidRDefault="00F666A6">
            <w:pPr>
              <w:pStyle w:val="TableParagraph"/>
              <w:spacing w:line="242" w:lineRule="exact"/>
              <w:ind w:left="7"/>
              <w:jc w:val="center"/>
              <w:rPr>
                <w:sz w:val="20"/>
              </w:rPr>
            </w:pPr>
            <w:r>
              <w:rPr>
                <w:w w:val="99"/>
                <w:sz w:val="20"/>
              </w:rPr>
              <w:t>1</w:t>
            </w:r>
          </w:p>
        </w:tc>
        <w:tc>
          <w:tcPr>
            <w:tcW w:w="881" w:type="dxa"/>
          </w:tcPr>
          <w:p w14:paraId="1FDE2BA9" w14:textId="77777777" w:rsidR="00DB6E1F" w:rsidRDefault="00F666A6">
            <w:pPr>
              <w:pStyle w:val="TableParagraph"/>
              <w:spacing w:line="242" w:lineRule="exact"/>
              <w:ind w:left="388"/>
              <w:rPr>
                <w:sz w:val="20"/>
              </w:rPr>
            </w:pPr>
            <w:r>
              <w:rPr>
                <w:w w:val="99"/>
                <w:sz w:val="20"/>
              </w:rPr>
              <w:t>2</w:t>
            </w:r>
          </w:p>
        </w:tc>
        <w:tc>
          <w:tcPr>
            <w:tcW w:w="936" w:type="dxa"/>
          </w:tcPr>
          <w:p w14:paraId="293DA44C" w14:textId="77777777" w:rsidR="00DB6E1F" w:rsidRDefault="00F666A6">
            <w:pPr>
              <w:pStyle w:val="TableParagraph"/>
              <w:spacing w:line="242" w:lineRule="exact"/>
              <w:ind w:left="9"/>
              <w:jc w:val="center"/>
              <w:rPr>
                <w:sz w:val="20"/>
              </w:rPr>
            </w:pPr>
            <w:r>
              <w:rPr>
                <w:w w:val="99"/>
                <w:sz w:val="20"/>
              </w:rPr>
              <w:t>3</w:t>
            </w:r>
          </w:p>
        </w:tc>
      </w:tr>
      <w:tr w:rsidR="00DB6E1F" w14:paraId="0DAC63EB" w14:textId="77777777">
        <w:trPr>
          <w:trHeight w:val="527"/>
        </w:trPr>
        <w:tc>
          <w:tcPr>
            <w:tcW w:w="5472" w:type="dxa"/>
          </w:tcPr>
          <w:p w14:paraId="4B4BBC42" w14:textId="77777777" w:rsidR="00DB6E1F" w:rsidRDefault="00F666A6">
            <w:pPr>
              <w:pStyle w:val="TableParagraph"/>
              <w:ind w:left="95"/>
              <w:rPr>
                <w:sz w:val="20"/>
              </w:rPr>
            </w:pPr>
            <w:r>
              <w:rPr>
                <w:color w:val="4D4D4F"/>
                <w:sz w:val="20"/>
              </w:rPr>
              <w:t>19.</w:t>
            </w:r>
            <w:r>
              <w:rPr>
                <w:color w:val="4D4D4F"/>
                <w:spacing w:val="15"/>
                <w:sz w:val="20"/>
              </w:rPr>
              <w:t xml:space="preserve"> </w:t>
            </w:r>
            <w:r>
              <w:rPr>
                <w:sz w:val="20"/>
              </w:rPr>
              <w:t>I</w:t>
            </w:r>
            <w:r>
              <w:rPr>
                <w:spacing w:val="-1"/>
                <w:sz w:val="20"/>
              </w:rPr>
              <w:t xml:space="preserve"> </w:t>
            </w:r>
            <w:r>
              <w:rPr>
                <w:sz w:val="20"/>
              </w:rPr>
              <w:t>would</w:t>
            </w:r>
            <w:r>
              <w:rPr>
                <w:spacing w:val="1"/>
                <w:sz w:val="20"/>
              </w:rPr>
              <w:t xml:space="preserve"> </w:t>
            </w:r>
            <w:r>
              <w:rPr>
                <w:sz w:val="20"/>
              </w:rPr>
              <w:t>like</w:t>
            </w:r>
            <w:r>
              <w:rPr>
                <w:spacing w:val="-2"/>
                <w:sz w:val="20"/>
              </w:rPr>
              <w:t xml:space="preserve"> </w:t>
            </w:r>
            <w:r>
              <w:rPr>
                <w:sz w:val="20"/>
              </w:rPr>
              <w:t>help</w:t>
            </w:r>
            <w:r>
              <w:rPr>
                <w:spacing w:val="1"/>
                <w:sz w:val="20"/>
              </w:rPr>
              <w:t xml:space="preserve"> </w:t>
            </w:r>
            <w:r>
              <w:rPr>
                <w:sz w:val="20"/>
              </w:rPr>
              <w:t>with problems</w:t>
            </w:r>
            <w:r>
              <w:rPr>
                <w:spacing w:val="-2"/>
                <w:sz w:val="20"/>
              </w:rPr>
              <w:t xml:space="preserve"> </w:t>
            </w:r>
            <w:r>
              <w:rPr>
                <w:sz w:val="20"/>
              </w:rPr>
              <w:t>in</w:t>
            </w:r>
            <w:r>
              <w:rPr>
                <w:spacing w:val="1"/>
                <w:sz w:val="20"/>
              </w:rPr>
              <w:t xml:space="preserve"> </w:t>
            </w:r>
            <w:r>
              <w:rPr>
                <w:sz w:val="20"/>
              </w:rPr>
              <w:t>my marriage</w:t>
            </w:r>
            <w:r>
              <w:rPr>
                <w:spacing w:val="-1"/>
                <w:sz w:val="20"/>
              </w:rPr>
              <w:t xml:space="preserve"> </w:t>
            </w:r>
            <w:r>
              <w:rPr>
                <w:sz w:val="20"/>
              </w:rPr>
              <w:t>or</w:t>
            </w:r>
            <w:r>
              <w:rPr>
                <w:spacing w:val="-1"/>
                <w:sz w:val="20"/>
              </w:rPr>
              <w:t xml:space="preserve"> </w:t>
            </w:r>
            <w:r>
              <w:rPr>
                <w:spacing w:val="-4"/>
                <w:sz w:val="20"/>
              </w:rPr>
              <w:t>close</w:t>
            </w:r>
          </w:p>
          <w:p w14:paraId="33821CB3" w14:textId="77777777" w:rsidR="00DB6E1F" w:rsidRDefault="00F666A6">
            <w:pPr>
              <w:pStyle w:val="TableParagraph"/>
              <w:spacing w:before="20" w:line="242" w:lineRule="exact"/>
              <w:ind w:left="455"/>
              <w:rPr>
                <w:sz w:val="20"/>
              </w:rPr>
            </w:pPr>
            <w:r>
              <w:rPr>
                <w:spacing w:val="-2"/>
                <w:sz w:val="20"/>
              </w:rPr>
              <w:t>relationship.</w:t>
            </w:r>
          </w:p>
        </w:tc>
        <w:tc>
          <w:tcPr>
            <w:tcW w:w="936" w:type="dxa"/>
          </w:tcPr>
          <w:p w14:paraId="2193C802" w14:textId="77777777" w:rsidR="00DB6E1F" w:rsidRDefault="00F666A6">
            <w:pPr>
              <w:pStyle w:val="TableParagraph"/>
              <w:spacing w:before="133"/>
              <w:ind w:left="0" w:right="405"/>
              <w:jc w:val="right"/>
              <w:rPr>
                <w:sz w:val="20"/>
              </w:rPr>
            </w:pPr>
            <w:r>
              <w:rPr>
                <w:w w:val="99"/>
                <w:sz w:val="20"/>
              </w:rPr>
              <w:t>0</w:t>
            </w:r>
          </w:p>
        </w:tc>
        <w:tc>
          <w:tcPr>
            <w:tcW w:w="991" w:type="dxa"/>
          </w:tcPr>
          <w:p w14:paraId="3D6CCB6B" w14:textId="77777777" w:rsidR="00DB6E1F" w:rsidRDefault="00F666A6">
            <w:pPr>
              <w:pStyle w:val="TableParagraph"/>
              <w:spacing w:before="133"/>
              <w:ind w:left="7"/>
              <w:jc w:val="center"/>
              <w:rPr>
                <w:sz w:val="20"/>
              </w:rPr>
            </w:pPr>
            <w:r>
              <w:rPr>
                <w:w w:val="99"/>
                <w:sz w:val="20"/>
              </w:rPr>
              <w:t>1</w:t>
            </w:r>
          </w:p>
        </w:tc>
        <w:tc>
          <w:tcPr>
            <w:tcW w:w="881" w:type="dxa"/>
          </w:tcPr>
          <w:p w14:paraId="11C4A7C8" w14:textId="77777777" w:rsidR="00DB6E1F" w:rsidRDefault="00F666A6">
            <w:pPr>
              <w:pStyle w:val="TableParagraph"/>
              <w:spacing w:before="133"/>
              <w:ind w:left="388"/>
              <w:rPr>
                <w:sz w:val="20"/>
              </w:rPr>
            </w:pPr>
            <w:r>
              <w:rPr>
                <w:w w:val="99"/>
                <w:sz w:val="20"/>
              </w:rPr>
              <w:t>2</w:t>
            </w:r>
          </w:p>
        </w:tc>
        <w:tc>
          <w:tcPr>
            <w:tcW w:w="936" w:type="dxa"/>
          </w:tcPr>
          <w:p w14:paraId="40656A50" w14:textId="77777777" w:rsidR="00DB6E1F" w:rsidRDefault="00F666A6">
            <w:pPr>
              <w:pStyle w:val="TableParagraph"/>
              <w:spacing w:before="133"/>
              <w:ind w:left="9"/>
              <w:jc w:val="center"/>
              <w:rPr>
                <w:sz w:val="20"/>
              </w:rPr>
            </w:pPr>
            <w:r>
              <w:rPr>
                <w:w w:val="99"/>
                <w:sz w:val="20"/>
              </w:rPr>
              <w:t>3</w:t>
            </w:r>
          </w:p>
        </w:tc>
      </w:tr>
      <w:tr w:rsidR="00DB6E1F" w14:paraId="69172766" w14:textId="77777777">
        <w:trPr>
          <w:trHeight w:val="263"/>
        </w:trPr>
        <w:tc>
          <w:tcPr>
            <w:tcW w:w="5472" w:type="dxa"/>
          </w:tcPr>
          <w:p w14:paraId="2981F495" w14:textId="77777777" w:rsidR="00DB6E1F" w:rsidRDefault="00F666A6">
            <w:pPr>
              <w:pStyle w:val="TableParagraph"/>
              <w:spacing w:line="242" w:lineRule="exact"/>
              <w:ind w:left="95"/>
              <w:rPr>
                <w:sz w:val="20"/>
              </w:rPr>
            </w:pPr>
            <w:r>
              <w:rPr>
                <w:color w:val="4D4D4F"/>
                <w:sz w:val="20"/>
              </w:rPr>
              <w:t>20.</w:t>
            </w:r>
            <w:r>
              <w:rPr>
                <w:color w:val="4D4D4F"/>
                <w:spacing w:val="18"/>
                <w:sz w:val="20"/>
              </w:rPr>
              <w:t xml:space="preserve"> </w:t>
            </w:r>
            <w:r>
              <w:rPr>
                <w:sz w:val="20"/>
              </w:rPr>
              <w:t>I</w:t>
            </w:r>
            <w:r>
              <w:rPr>
                <w:spacing w:val="2"/>
                <w:sz w:val="20"/>
              </w:rPr>
              <w:t xml:space="preserve"> </w:t>
            </w:r>
            <w:r>
              <w:rPr>
                <w:sz w:val="20"/>
              </w:rPr>
              <w:t>want</w:t>
            </w:r>
            <w:r>
              <w:rPr>
                <w:spacing w:val="1"/>
                <w:sz w:val="20"/>
              </w:rPr>
              <w:t xml:space="preserve"> </w:t>
            </w:r>
            <w:r>
              <w:rPr>
                <w:sz w:val="20"/>
              </w:rPr>
              <w:t>help</w:t>
            </w:r>
            <w:r>
              <w:rPr>
                <w:spacing w:val="3"/>
                <w:sz w:val="20"/>
              </w:rPr>
              <w:t xml:space="preserve"> </w:t>
            </w:r>
            <w:r>
              <w:rPr>
                <w:sz w:val="20"/>
              </w:rPr>
              <w:t>with</w:t>
            </w:r>
            <w:r>
              <w:rPr>
                <w:spacing w:val="3"/>
                <w:sz w:val="20"/>
              </w:rPr>
              <w:t xml:space="preserve"> </w:t>
            </w:r>
            <w:r>
              <w:rPr>
                <w:sz w:val="20"/>
              </w:rPr>
              <w:t>some health</w:t>
            </w:r>
            <w:r>
              <w:rPr>
                <w:spacing w:val="3"/>
                <w:sz w:val="20"/>
              </w:rPr>
              <w:t xml:space="preserve"> </w:t>
            </w:r>
            <w:r>
              <w:rPr>
                <w:spacing w:val="-2"/>
                <w:sz w:val="20"/>
              </w:rPr>
              <w:t>problems.</w:t>
            </w:r>
          </w:p>
        </w:tc>
        <w:tc>
          <w:tcPr>
            <w:tcW w:w="936" w:type="dxa"/>
          </w:tcPr>
          <w:p w14:paraId="7990B32B"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3F367DEB" w14:textId="77777777" w:rsidR="00DB6E1F" w:rsidRDefault="00F666A6">
            <w:pPr>
              <w:pStyle w:val="TableParagraph"/>
              <w:spacing w:line="242" w:lineRule="exact"/>
              <w:ind w:left="7"/>
              <w:jc w:val="center"/>
              <w:rPr>
                <w:sz w:val="20"/>
              </w:rPr>
            </w:pPr>
            <w:r>
              <w:rPr>
                <w:w w:val="99"/>
                <w:sz w:val="20"/>
              </w:rPr>
              <w:t>1</w:t>
            </w:r>
          </w:p>
        </w:tc>
        <w:tc>
          <w:tcPr>
            <w:tcW w:w="881" w:type="dxa"/>
          </w:tcPr>
          <w:p w14:paraId="28897F9B" w14:textId="77777777" w:rsidR="00DB6E1F" w:rsidRDefault="00F666A6">
            <w:pPr>
              <w:pStyle w:val="TableParagraph"/>
              <w:spacing w:line="242" w:lineRule="exact"/>
              <w:ind w:left="388"/>
              <w:rPr>
                <w:sz w:val="20"/>
              </w:rPr>
            </w:pPr>
            <w:r>
              <w:rPr>
                <w:w w:val="99"/>
                <w:sz w:val="20"/>
              </w:rPr>
              <w:t>2</w:t>
            </w:r>
          </w:p>
        </w:tc>
        <w:tc>
          <w:tcPr>
            <w:tcW w:w="936" w:type="dxa"/>
          </w:tcPr>
          <w:p w14:paraId="3DF131FA" w14:textId="77777777" w:rsidR="00DB6E1F" w:rsidRDefault="00F666A6">
            <w:pPr>
              <w:pStyle w:val="TableParagraph"/>
              <w:spacing w:line="242" w:lineRule="exact"/>
              <w:ind w:left="9"/>
              <w:jc w:val="center"/>
              <w:rPr>
                <w:sz w:val="20"/>
              </w:rPr>
            </w:pPr>
            <w:r>
              <w:rPr>
                <w:w w:val="99"/>
                <w:sz w:val="20"/>
              </w:rPr>
              <w:t>3</w:t>
            </w:r>
          </w:p>
        </w:tc>
      </w:tr>
      <w:tr w:rsidR="00DB6E1F" w14:paraId="4C87B1C6" w14:textId="77777777">
        <w:trPr>
          <w:trHeight w:val="261"/>
        </w:trPr>
        <w:tc>
          <w:tcPr>
            <w:tcW w:w="5472" w:type="dxa"/>
          </w:tcPr>
          <w:p w14:paraId="384F5D41" w14:textId="77777777" w:rsidR="00DB6E1F" w:rsidRDefault="00F666A6">
            <w:pPr>
              <w:pStyle w:val="TableParagraph"/>
              <w:spacing w:line="240" w:lineRule="exact"/>
              <w:ind w:left="95"/>
              <w:rPr>
                <w:sz w:val="20"/>
              </w:rPr>
            </w:pPr>
            <w:r>
              <w:rPr>
                <w:color w:val="4D4D4F"/>
                <w:sz w:val="20"/>
              </w:rPr>
              <w:t>21.</w:t>
            </w:r>
            <w:r>
              <w:rPr>
                <w:color w:val="4D4D4F"/>
                <w:spacing w:val="17"/>
                <w:sz w:val="20"/>
              </w:rPr>
              <w:t xml:space="preserve"> </w:t>
            </w:r>
            <w:r>
              <w:rPr>
                <w:sz w:val="20"/>
              </w:rPr>
              <w:t>I</w:t>
            </w:r>
            <w:r>
              <w:rPr>
                <w:spacing w:val="1"/>
                <w:sz w:val="20"/>
              </w:rPr>
              <w:t xml:space="preserve"> </w:t>
            </w:r>
            <w:r>
              <w:rPr>
                <w:sz w:val="20"/>
              </w:rPr>
              <w:t>want</w:t>
            </w:r>
            <w:r>
              <w:rPr>
                <w:spacing w:val="1"/>
                <w:sz w:val="20"/>
              </w:rPr>
              <w:t xml:space="preserve"> </w:t>
            </w:r>
            <w:r>
              <w:rPr>
                <w:sz w:val="20"/>
              </w:rPr>
              <w:t>help</w:t>
            </w:r>
            <w:r>
              <w:rPr>
                <w:spacing w:val="1"/>
                <w:sz w:val="20"/>
              </w:rPr>
              <w:t xml:space="preserve"> </w:t>
            </w:r>
            <w:r>
              <w:rPr>
                <w:sz w:val="20"/>
              </w:rPr>
              <w:t>to</w:t>
            </w:r>
            <w:r>
              <w:rPr>
                <w:spacing w:val="1"/>
                <w:sz w:val="20"/>
              </w:rPr>
              <w:t xml:space="preserve"> </w:t>
            </w:r>
            <w:r>
              <w:rPr>
                <w:sz w:val="20"/>
              </w:rPr>
              <w:t>decrease my</w:t>
            </w:r>
            <w:r>
              <w:rPr>
                <w:spacing w:val="2"/>
                <w:sz w:val="20"/>
              </w:rPr>
              <w:t xml:space="preserve"> </w:t>
            </w:r>
            <w:r>
              <w:rPr>
                <w:sz w:val="20"/>
              </w:rPr>
              <w:t>stress and</w:t>
            </w:r>
            <w:r>
              <w:rPr>
                <w:spacing w:val="2"/>
                <w:sz w:val="20"/>
              </w:rPr>
              <w:t xml:space="preserve"> </w:t>
            </w:r>
            <w:r>
              <w:rPr>
                <w:spacing w:val="-2"/>
                <w:sz w:val="20"/>
              </w:rPr>
              <w:t>tension.</w:t>
            </w:r>
          </w:p>
        </w:tc>
        <w:tc>
          <w:tcPr>
            <w:tcW w:w="936" w:type="dxa"/>
          </w:tcPr>
          <w:p w14:paraId="57B9615A" w14:textId="77777777" w:rsidR="00DB6E1F" w:rsidRDefault="00F666A6">
            <w:pPr>
              <w:pStyle w:val="TableParagraph"/>
              <w:spacing w:line="240" w:lineRule="exact"/>
              <w:ind w:left="0" w:right="405"/>
              <w:jc w:val="right"/>
              <w:rPr>
                <w:sz w:val="20"/>
              </w:rPr>
            </w:pPr>
            <w:r>
              <w:rPr>
                <w:w w:val="99"/>
                <w:sz w:val="20"/>
              </w:rPr>
              <w:t>0</w:t>
            </w:r>
          </w:p>
        </w:tc>
        <w:tc>
          <w:tcPr>
            <w:tcW w:w="991" w:type="dxa"/>
          </w:tcPr>
          <w:p w14:paraId="7DD89242" w14:textId="77777777" w:rsidR="00DB6E1F" w:rsidRDefault="00F666A6">
            <w:pPr>
              <w:pStyle w:val="TableParagraph"/>
              <w:spacing w:line="240" w:lineRule="exact"/>
              <w:ind w:left="7"/>
              <w:jc w:val="center"/>
              <w:rPr>
                <w:sz w:val="20"/>
              </w:rPr>
            </w:pPr>
            <w:r>
              <w:rPr>
                <w:w w:val="99"/>
                <w:sz w:val="20"/>
              </w:rPr>
              <w:t>1</w:t>
            </w:r>
          </w:p>
        </w:tc>
        <w:tc>
          <w:tcPr>
            <w:tcW w:w="881" w:type="dxa"/>
          </w:tcPr>
          <w:p w14:paraId="786FE2A3" w14:textId="77777777" w:rsidR="00DB6E1F" w:rsidRDefault="00F666A6">
            <w:pPr>
              <w:pStyle w:val="TableParagraph"/>
              <w:spacing w:line="240" w:lineRule="exact"/>
              <w:ind w:left="388"/>
              <w:rPr>
                <w:sz w:val="20"/>
              </w:rPr>
            </w:pPr>
            <w:r>
              <w:rPr>
                <w:w w:val="99"/>
                <w:sz w:val="20"/>
              </w:rPr>
              <w:t>2</w:t>
            </w:r>
          </w:p>
        </w:tc>
        <w:tc>
          <w:tcPr>
            <w:tcW w:w="936" w:type="dxa"/>
          </w:tcPr>
          <w:p w14:paraId="7756805F" w14:textId="77777777" w:rsidR="00DB6E1F" w:rsidRDefault="00F666A6">
            <w:pPr>
              <w:pStyle w:val="TableParagraph"/>
              <w:spacing w:line="240" w:lineRule="exact"/>
              <w:ind w:left="9"/>
              <w:jc w:val="center"/>
              <w:rPr>
                <w:sz w:val="20"/>
              </w:rPr>
            </w:pPr>
            <w:r>
              <w:rPr>
                <w:w w:val="99"/>
                <w:sz w:val="20"/>
              </w:rPr>
              <w:t>3</w:t>
            </w:r>
          </w:p>
        </w:tc>
      </w:tr>
      <w:tr w:rsidR="00DB6E1F" w14:paraId="5AF342CC" w14:textId="77777777">
        <w:trPr>
          <w:trHeight w:val="527"/>
        </w:trPr>
        <w:tc>
          <w:tcPr>
            <w:tcW w:w="5472" w:type="dxa"/>
          </w:tcPr>
          <w:p w14:paraId="0CBBDD1D" w14:textId="77777777" w:rsidR="00DB6E1F" w:rsidRDefault="00F666A6">
            <w:pPr>
              <w:pStyle w:val="TableParagraph"/>
              <w:spacing w:before="3"/>
              <w:ind w:left="95"/>
              <w:rPr>
                <w:sz w:val="20"/>
              </w:rPr>
            </w:pPr>
            <w:r>
              <w:rPr>
                <w:color w:val="4D4D4F"/>
                <w:sz w:val="20"/>
              </w:rPr>
              <w:t>22.</w:t>
            </w:r>
            <w:r>
              <w:rPr>
                <w:color w:val="4D4D4F"/>
                <w:spacing w:val="15"/>
                <w:sz w:val="20"/>
              </w:rPr>
              <w:t xml:space="preserve"> </w:t>
            </w:r>
            <w:r>
              <w:rPr>
                <w:sz w:val="20"/>
              </w:rPr>
              <w:t>I</w:t>
            </w:r>
            <w:r>
              <w:rPr>
                <w:spacing w:val="-1"/>
                <w:sz w:val="20"/>
              </w:rPr>
              <w:t xml:space="preserve"> </w:t>
            </w:r>
            <w:r>
              <w:rPr>
                <w:sz w:val="20"/>
              </w:rPr>
              <w:t>would</w:t>
            </w:r>
            <w:r>
              <w:rPr>
                <w:spacing w:val="1"/>
                <w:sz w:val="20"/>
              </w:rPr>
              <w:t xml:space="preserve"> </w:t>
            </w:r>
            <w:r>
              <w:rPr>
                <w:sz w:val="20"/>
              </w:rPr>
              <w:t>like</w:t>
            </w:r>
            <w:r>
              <w:rPr>
                <w:spacing w:val="-2"/>
                <w:sz w:val="20"/>
              </w:rPr>
              <w:t xml:space="preserve"> </w:t>
            </w:r>
            <w:r>
              <w:rPr>
                <w:sz w:val="20"/>
              </w:rPr>
              <w:t>to improve</w:t>
            </w:r>
            <w:r>
              <w:rPr>
                <w:spacing w:val="-2"/>
                <w:sz w:val="20"/>
              </w:rPr>
              <w:t xml:space="preserve"> </w:t>
            </w:r>
            <w:r>
              <w:rPr>
                <w:sz w:val="20"/>
              </w:rPr>
              <w:t>my</w:t>
            </w:r>
            <w:r>
              <w:rPr>
                <w:spacing w:val="1"/>
                <w:sz w:val="20"/>
              </w:rPr>
              <w:t xml:space="preserve"> </w:t>
            </w:r>
            <w:r>
              <w:rPr>
                <w:sz w:val="20"/>
              </w:rPr>
              <w:t>health by</w:t>
            </w:r>
            <w:r>
              <w:rPr>
                <w:spacing w:val="1"/>
                <w:sz w:val="20"/>
              </w:rPr>
              <w:t xml:space="preserve"> </w:t>
            </w:r>
            <w:r>
              <w:rPr>
                <w:sz w:val="20"/>
              </w:rPr>
              <w:t>learning more</w:t>
            </w:r>
            <w:r>
              <w:rPr>
                <w:spacing w:val="-2"/>
                <w:sz w:val="20"/>
              </w:rPr>
              <w:t xml:space="preserve"> about</w:t>
            </w:r>
          </w:p>
          <w:p w14:paraId="1E1E4F65" w14:textId="77777777" w:rsidR="00DB6E1F" w:rsidRDefault="00F666A6">
            <w:pPr>
              <w:pStyle w:val="TableParagraph"/>
              <w:spacing w:before="18" w:line="242" w:lineRule="exact"/>
              <w:ind w:left="455"/>
              <w:rPr>
                <w:sz w:val="20"/>
              </w:rPr>
            </w:pPr>
            <w:r>
              <w:rPr>
                <w:sz w:val="20"/>
              </w:rPr>
              <w:t>nutrition</w:t>
            </w:r>
            <w:r>
              <w:rPr>
                <w:spacing w:val="-6"/>
                <w:sz w:val="20"/>
              </w:rPr>
              <w:t xml:space="preserve"> </w:t>
            </w:r>
            <w:r>
              <w:rPr>
                <w:sz w:val="20"/>
              </w:rPr>
              <w:t>and</w:t>
            </w:r>
            <w:r>
              <w:rPr>
                <w:spacing w:val="-5"/>
                <w:sz w:val="20"/>
              </w:rPr>
              <w:t xml:space="preserve"> </w:t>
            </w:r>
            <w:r>
              <w:rPr>
                <w:spacing w:val="-2"/>
                <w:sz w:val="20"/>
              </w:rPr>
              <w:t>exercise.</w:t>
            </w:r>
          </w:p>
        </w:tc>
        <w:tc>
          <w:tcPr>
            <w:tcW w:w="936" w:type="dxa"/>
          </w:tcPr>
          <w:p w14:paraId="0BD88F77" w14:textId="77777777" w:rsidR="00DB6E1F" w:rsidRDefault="00F666A6">
            <w:pPr>
              <w:pStyle w:val="TableParagraph"/>
              <w:spacing w:before="135"/>
              <w:ind w:left="0" w:right="405"/>
              <w:jc w:val="right"/>
              <w:rPr>
                <w:sz w:val="20"/>
              </w:rPr>
            </w:pPr>
            <w:r>
              <w:rPr>
                <w:w w:val="99"/>
                <w:sz w:val="20"/>
              </w:rPr>
              <w:t>0</w:t>
            </w:r>
          </w:p>
        </w:tc>
        <w:tc>
          <w:tcPr>
            <w:tcW w:w="991" w:type="dxa"/>
          </w:tcPr>
          <w:p w14:paraId="0E047D6F" w14:textId="77777777" w:rsidR="00DB6E1F" w:rsidRDefault="00F666A6">
            <w:pPr>
              <w:pStyle w:val="TableParagraph"/>
              <w:spacing w:before="135"/>
              <w:ind w:left="7"/>
              <w:jc w:val="center"/>
              <w:rPr>
                <w:sz w:val="20"/>
              </w:rPr>
            </w:pPr>
            <w:r>
              <w:rPr>
                <w:w w:val="99"/>
                <w:sz w:val="20"/>
              </w:rPr>
              <w:t>1</w:t>
            </w:r>
          </w:p>
        </w:tc>
        <w:tc>
          <w:tcPr>
            <w:tcW w:w="881" w:type="dxa"/>
          </w:tcPr>
          <w:p w14:paraId="5D4CBD73" w14:textId="77777777" w:rsidR="00DB6E1F" w:rsidRDefault="00F666A6">
            <w:pPr>
              <w:pStyle w:val="TableParagraph"/>
              <w:spacing w:before="135"/>
              <w:ind w:left="388"/>
              <w:rPr>
                <w:sz w:val="20"/>
              </w:rPr>
            </w:pPr>
            <w:r>
              <w:rPr>
                <w:w w:val="99"/>
                <w:sz w:val="20"/>
              </w:rPr>
              <w:t>2</w:t>
            </w:r>
          </w:p>
        </w:tc>
        <w:tc>
          <w:tcPr>
            <w:tcW w:w="936" w:type="dxa"/>
          </w:tcPr>
          <w:p w14:paraId="640CD278" w14:textId="77777777" w:rsidR="00DB6E1F" w:rsidRDefault="00F666A6">
            <w:pPr>
              <w:pStyle w:val="TableParagraph"/>
              <w:spacing w:before="135"/>
              <w:ind w:left="9"/>
              <w:jc w:val="center"/>
              <w:rPr>
                <w:sz w:val="20"/>
              </w:rPr>
            </w:pPr>
            <w:r>
              <w:rPr>
                <w:w w:val="99"/>
                <w:sz w:val="20"/>
              </w:rPr>
              <w:t>3</w:t>
            </w:r>
          </w:p>
        </w:tc>
      </w:tr>
    </w:tbl>
    <w:p w14:paraId="415679F4" w14:textId="77777777" w:rsidR="00DB6E1F" w:rsidRDefault="00DB6E1F">
      <w:pPr>
        <w:jc w:val="center"/>
        <w:rPr>
          <w:sz w:val="20"/>
        </w:rPr>
        <w:sectPr w:rsidR="00DB6E1F">
          <w:pgSz w:w="12240" w:h="15840"/>
          <w:pgMar w:top="1200" w:right="0" w:bottom="780" w:left="0" w:header="763" w:footer="585" w:gutter="0"/>
          <w:cols w:space="720"/>
        </w:sectPr>
      </w:pPr>
    </w:p>
    <w:p w14:paraId="2D916A6C" w14:textId="77777777" w:rsidR="00DB6E1F" w:rsidRDefault="00DB6E1F">
      <w:pPr>
        <w:pStyle w:val="BodyText"/>
        <w:spacing w:before="3" w:after="1"/>
        <w:rPr>
          <w:sz w:val="19"/>
        </w:rPr>
      </w:pPr>
    </w:p>
    <w:tbl>
      <w:tblPr>
        <w:tblW w:w="0" w:type="auto"/>
        <w:tblInd w:w="145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5472"/>
        <w:gridCol w:w="936"/>
        <w:gridCol w:w="991"/>
        <w:gridCol w:w="881"/>
        <w:gridCol w:w="936"/>
      </w:tblGrid>
      <w:tr w:rsidR="00DB6E1F" w14:paraId="7A5F787D" w14:textId="77777777">
        <w:trPr>
          <w:trHeight w:val="527"/>
        </w:trPr>
        <w:tc>
          <w:tcPr>
            <w:tcW w:w="5472" w:type="dxa"/>
          </w:tcPr>
          <w:p w14:paraId="3EAC7079" w14:textId="77777777" w:rsidR="00DB6E1F" w:rsidRDefault="00F666A6">
            <w:pPr>
              <w:pStyle w:val="TableParagraph"/>
              <w:ind w:left="4"/>
              <w:rPr>
                <w:sz w:val="20"/>
              </w:rPr>
            </w:pPr>
            <w:r>
              <w:rPr>
                <w:sz w:val="20"/>
              </w:rPr>
              <w:t>Do</w:t>
            </w:r>
            <w:r>
              <w:rPr>
                <w:spacing w:val="-4"/>
                <w:sz w:val="20"/>
              </w:rPr>
              <w:t xml:space="preserve"> </w:t>
            </w:r>
            <w:r>
              <w:rPr>
                <w:sz w:val="20"/>
              </w:rPr>
              <w:t>you</w:t>
            </w:r>
            <w:r>
              <w:rPr>
                <w:spacing w:val="-3"/>
                <w:sz w:val="20"/>
              </w:rPr>
              <w:t xml:space="preserve"> </w:t>
            </w:r>
            <w:r>
              <w:rPr>
                <w:sz w:val="20"/>
              </w:rPr>
              <w:t>want</w:t>
            </w:r>
            <w:r>
              <w:rPr>
                <w:spacing w:val="-4"/>
                <w:sz w:val="20"/>
              </w:rPr>
              <w:t xml:space="preserve"> </w:t>
            </w:r>
            <w:r>
              <w:rPr>
                <w:sz w:val="20"/>
              </w:rPr>
              <w:t>this</w:t>
            </w:r>
            <w:r>
              <w:rPr>
                <w:spacing w:val="-4"/>
                <w:sz w:val="20"/>
              </w:rPr>
              <w:t xml:space="preserve"> </w:t>
            </w:r>
            <w:r>
              <w:rPr>
                <w:sz w:val="20"/>
              </w:rPr>
              <w:t>from</w:t>
            </w:r>
            <w:r>
              <w:rPr>
                <w:spacing w:val="-5"/>
                <w:sz w:val="20"/>
              </w:rPr>
              <w:t xml:space="preserve"> </w:t>
            </w:r>
            <w:r>
              <w:rPr>
                <w:spacing w:val="-2"/>
                <w:sz w:val="20"/>
              </w:rPr>
              <w:t>treatment?</w:t>
            </w:r>
          </w:p>
        </w:tc>
        <w:tc>
          <w:tcPr>
            <w:tcW w:w="936" w:type="dxa"/>
          </w:tcPr>
          <w:p w14:paraId="7863B77B" w14:textId="77777777" w:rsidR="00DB6E1F" w:rsidRDefault="00F666A6">
            <w:pPr>
              <w:pStyle w:val="TableParagraph"/>
              <w:ind w:left="279" w:right="271"/>
              <w:jc w:val="center"/>
              <w:rPr>
                <w:b/>
                <w:sz w:val="20"/>
              </w:rPr>
            </w:pPr>
            <w:r>
              <w:rPr>
                <w:b/>
                <w:spacing w:val="-5"/>
                <w:sz w:val="20"/>
              </w:rPr>
              <w:t>No</w:t>
            </w:r>
          </w:p>
          <w:p w14:paraId="2482EE9C" w14:textId="77777777" w:rsidR="00DB6E1F" w:rsidRDefault="00F666A6">
            <w:pPr>
              <w:pStyle w:val="TableParagraph"/>
              <w:spacing w:before="20" w:line="242" w:lineRule="exact"/>
              <w:ind w:left="9"/>
              <w:jc w:val="center"/>
              <w:rPr>
                <w:b/>
                <w:sz w:val="20"/>
              </w:rPr>
            </w:pPr>
            <w:r>
              <w:rPr>
                <w:b/>
                <w:w w:val="99"/>
                <w:sz w:val="20"/>
              </w:rPr>
              <w:t>0</w:t>
            </w:r>
          </w:p>
        </w:tc>
        <w:tc>
          <w:tcPr>
            <w:tcW w:w="991" w:type="dxa"/>
          </w:tcPr>
          <w:p w14:paraId="4E089323" w14:textId="77777777" w:rsidR="00DB6E1F" w:rsidRDefault="00F666A6">
            <w:pPr>
              <w:pStyle w:val="TableParagraph"/>
              <w:ind w:left="190" w:right="184"/>
              <w:jc w:val="center"/>
              <w:rPr>
                <w:b/>
                <w:sz w:val="20"/>
              </w:rPr>
            </w:pPr>
            <w:r>
              <w:rPr>
                <w:b/>
                <w:spacing w:val="-2"/>
                <w:sz w:val="20"/>
              </w:rPr>
              <w:t>Maybe</w:t>
            </w:r>
          </w:p>
          <w:p w14:paraId="3A0195F5" w14:textId="77777777" w:rsidR="00DB6E1F" w:rsidRDefault="00F666A6">
            <w:pPr>
              <w:pStyle w:val="TableParagraph"/>
              <w:spacing w:before="20" w:line="242" w:lineRule="exact"/>
              <w:ind w:left="7"/>
              <w:jc w:val="center"/>
              <w:rPr>
                <w:b/>
                <w:sz w:val="20"/>
              </w:rPr>
            </w:pPr>
            <w:r>
              <w:rPr>
                <w:b/>
                <w:w w:val="99"/>
                <w:sz w:val="20"/>
              </w:rPr>
              <w:t>1</w:t>
            </w:r>
          </w:p>
        </w:tc>
        <w:tc>
          <w:tcPr>
            <w:tcW w:w="881" w:type="dxa"/>
          </w:tcPr>
          <w:p w14:paraId="69E2B596" w14:textId="77777777" w:rsidR="00DB6E1F" w:rsidRDefault="00F666A6">
            <w:pPr>
              <w:pStyle w:val="TableParagraph"/>
              <w:ind w:left="284" w:right="277"/>
              <w:jc w:val="center"/>
              <w:rPr>
                <w:b/>
                <w:sz w:val="20"/>
              </w:rPr>
            </w:pPr>
            <w:r>
              <w:rPr>
                <w:b/>
                <w:spacing w:val="-5"/>
                <w:sz w:val="20"/>
              </w:rPr>
              <w:t>Yes</w:t>
            </w:r>
          </w:p>
          <w:p w14:paraId="395D36AD" w14:textId="77777777" w:rsidR="00DB6E1F" w:rsidRDefault="00F666A6">
            <w:pPr>
              <w:pStyle w:val="TableParagraph"/>
              <w:spacing w:before="20" w:line="242" w:lineRule="exact"/>
              <w:ind w:left="7"/>
              <w:jc w:val="center"/>
              <w:rPr>
                <w:b/>
                <w:sz w:val="20"/>
              </w:rPr>
            </w:pPr>
            <w:r>
              <w:rPr>
                <w:b/>
                <w:w w:val="99"/>
                <w:sz w:val="20"/>
              </w:rPr>
              <w:t>2</w:t>
            </w:r>
          </w:p>
        </w:tc>
        <w:tc>
          <w:tcPr>
            <w:tcW w:w="936" w:type="dxa"/>
          </w:tcPr>
          <w:p w14:paraId="48075600" w14:textId="77777777" w:rsidR="00DB6E1F" w:rsidRDefault="00F666A6">
            <w:pPr>
              <w:pStyle w:val="TableParagraph"/>
              <w:ind w:left="279" w:right="272"/>
              <w:jc w:val="center"/>
              <w:rPr>
                <w:b/>
                <w:sz w:val="20"/>
              </w:rPr>
            </w:pPr>
            <w:r>
              <w:rPr>
                <w:b/>
                <w:spacing w:val="-4"/>
                <w:sz w:val="20"/>
              </w:rPr>
              <w:t>Yes!</w:t>
            </w:r>
          </w:p>
          <w:p w14:paraId="5C7B1EF5" w14:textId="77777777" w:rsidR="00DB6E1F" w:rsidRDefault="00F666A6">
            <w:pPr>
              <w:pStyle w:val="TableParagraph"/>
              <w:spacing w:before="20" w:line="242" w:lineRule="exact"/>
              <w:ind w:left="9"/>
              <w:jc w:val="center"/>
              <w:rPr>
                <w:b/>
                <w:sz w:val="20"/>
              </w:rPr>
            </w:pPr>
            <w:r>
              <w:rPr>
                <w:b/>
                <w:w w:val="99"/>
                <w:sz w:val="20"/>
              </w:rPr>
              <w:t>3</w:t>
            </w:r>
          </w:p>
        </w:tc>
      </w:tr>
      <w:tr w:rsidR="00DB6E1F" w14:paraId="21B5A6BD" w14:textId="77777777">
        <w:trPr>
          <w:trHeight w:val="263"/>
        </w:trPr>
        <w:tc>
          <w:tcPr>
            <w:tcW w:w="5472" w:type="dxa"/>
          </w:tcPr>
          <w:p w14:paraId="3B9E4B4C" w14:textId="77777777" w:rsidR="00DB6E1F" w:rsidRDefault="00F666A6">
            <w:pPr>
              <w:pStyle w:val="TableParagraph"/>
              <w:spacing w:line="242" w:lineRule="exact"/>
              <w:ind w:left="95"/>
              <w:rPr>
                <w:sz w:val="20"/>
              </w:rPr>
            </w:pPr>
            <w:r>
              <w:rPr>
                <w:color w:val="4D4D4F"/>
                <w:sz w:val="20"/>
              </w:rPr>
              <w:t>23.</w:t>
            </w:r>
            <w:r>
              <w:rPr>
                <w:color w:val="4D4D4F"/>
                <w:spacing w:val="18"/>
                <w:sz w:val="20"/>
              </w:rPr>
              <w:t xml:space="preserve"> </w:t>
            </w:r>
            <w:r>
              <w:rPr>
                <w:sz w:val="20"/>
              </w:rPr>
              <w:t>I</w:t>
            </w:r>
            <w:r>
              <w:rPr>
                <w:spacing w:val="1"/>
                <w:sz w:val="20"/>
              </w:rPr>
              <w:t xml:space="preserve"> </w:t>
            </w:r>
            <w:r>
              <w:rPr>
                <w:sz w:val="20"/>
              </w:rPr>
              <w:t>want</w:t>
            </w:r>
            <w:r>
              <w:rPr>
                <w:spacing w:val="2"/>
                <w:sz w:val="20"/>
              </w:rPr>
              <w:t xml:space="preserve"> </w:t>
            </w:r>
            <w:r>
              <w:rPr>
                <w:sz w:val="20"/>
              </w:rPr>
              <w:t>help</w:t>
            </w:r>
            <w:r>
              <w:rPr>
                <w:spacing w:val="3"/>
                <w:sz w:val="20"/>
              </w:rPr>
              <w:t xml:space="preserve"> </w:t>
            </w:r>
            <w:r>
              <w:rPr>
                <w:sz w:val="20"/>
              </w:rPr>
              <w:t>with</w:t>
            </w:r>
            <w:r>
              <w:rPr>
                <w:spacing w:val="3"/>
                <w:sz w:val="20"/>
              </w:rPr>
              <w:t xml:space="preserve"> </w:t>
            </w:r>
            <w:r>
              <w:rPr>
                <w:sz w:val="20"/>
              </w:rPr>
              <w:t>depression</w:t>
            </w:r>
            <w:r>
              <w:rPr>
                <w:spacing w:val="2"/>
                <w:sz w:val="20"/>
              </w:rPr>
              <w:t xml:space="preserve"> </w:t>
            </w:r>
            <w:r>
              <w:rPr>
                <w:sz w:val="20"/>
              </w:rPr>
              <w:t>or</w:t>
            </w:r>
            <w:r>
              <w:rPr>
                <w:spacing w:val="2"/>
                <w:sz w:val="20"/>
              </w:rPr>
              <w:t xml:space="preserve"> </w:t>
            </w:r>
            <w:r>
              <w:rPr>
                <w:spacing w:val="-2"/>
                <w:sz w:val="20"/>
              </w:rPr>
              <w:t>moodiness.</w:t>
            </w:r>
          </w:p>
        </w:tc>
        <w:tc>
          <w:tcPr>
            <w:tcW w:w="936" w:type="dxa"/>
          </w:tcPr>
          <w:p w14:paraId="42BB6E10"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2B7A3248" w14:textId="77777777" w:rsidR="00DB6E1F" w:rsidRDefault="00F666A6">
            <w:pPr>
              <w:pStyle w:val="TableParagraph"/>
              <w:spacing w:line="242" w:lineRule="exact"/>
              <w:ind w:left="7"/>
              <w:jc w:val="center"/>
              <w:rPr>
                <w:sz w:val="20"/>
              </w:rPr>
            </w:pPr>
            <w:r>
              <w:rPr>
                <w:w w:val="99"/>
                <w:sz w:val="20"/>
              </w:rPr>
              <w:t>1</w:t>
            </w:r>
          </w:p>
        </w:tc>
        <w:tc>
          <w:tcPr>
            <w:tcW w:w="881" w:type="dxa"/>
          </w:tcPr>
          <w:p w14:paraId="09E7BF2A" w14:textId="77777777" w:rsidR="00DB6E1F" w:rsidRDefault="00F666A6">
            <w:pPr>
              <w:pStyle w:val="TableParagraph"/>
              <w:spacing w:line="242" w:lineRule="exact"/>
              <w:ind w:left="388"/>
              <w:rPr>
                <w:sz w:val="20"/>
              </w:rPr>
            </w:pPr>
            <w:r>
              <w:rPr>
                <w:w w:val="99"/>
                <w:sz w:val="20"/>
              </w:rPr>
              <w:t>2</w:t>
            </w:r>
          </w:p>
        </w:tc>
        <w:tc>
          <w:tcPr>
            <w:tcW w:w="936" w:type="dxa"/>
          </w:tcPr>
          <w:p w14:paraId="1A9D5AEB" w14:textId="77777777" w:rsidR="00DB6E1F" w:rsidRDefault="00F666A6">
            <w:pPr>
              <w:pStyle w:val="TableParagraph"/>
              <w:spacing w:line="242" w:lineRule="exact"/>
              <w:ind w:left="9"/>
              <w:jc w:val="center"/>
              <w:rPr>
                <w:sz w:val="20"/>
              </w:rPr>
            </w:pPr>
            <w:r>
              <w:rPr>
                <w:w w:val="99"/>
                <w:sz w:val="20"/>
              </w:rPr>
              <w:t>3</w:t>
            </w:r>
          </w:p>
        </w:tc>
      </w:tr>
      <w:tr w:rsidR="00DB6E1F" w14:paraId="6728F9F9" w14:textId="77777777">
        <w:trPr>
          <w:trHeight w:val="263"/>
        </w:trPr>
        <w:tc>
          <w:tcPr>
            <w:tcW w:w="5472" w:type="dxa"/>
          </w:tcPr>
          <w:p w14:paraId="50CA716F" w14:textId="77777777" w:rsidR="00DB6E1F" w:rsidRDefault="00F666A6">
            <w:pPr>
              <w:pStyle w:val="TableParagraph"/>
              <w:spacing w:line="242" w:lineRule="exact"/>
              <w:ind w:left="95"/>
              <w:rPr>
                <w:sz w:val="20"/>
              </w:rPr>
            </w:pPr>
            <w:r>
              <w:rPr>
                <w:color w:val="4D4D4F"/>
                <w:sz w:val="20"/>
              </w:rPr>
              <w:t>24.</w:t>
            </w:r>
            <w:r>
              <w:rPr>
                <w:color w:val="4D4D4F"/>
                <w:spacing w:val="18"/>
                <w:sz w:val="20"/>
              </w:rPr>
              <w:t xml:space="preserve"> </w:t>
            </w:r>
            <w:r>
              <w:rPr>
                <w:sz w:val="20"/>
              </w:rPr>
              <w:t>I</w:t>
            </w:r>
            <w:r>
              <w:rPr>
                <w:spacing w:val="1"/>
                <w:sz w:val="20"/>
              </w:rPr>
              <w:t xml:space="preserve"> </w:t>
            </w:r>
            <w:r>
              <w:rPr>
                <w:sz w:val="20"/>
              </w:rPr>
              <w:t>want</w:t>
            </w:r>
            <w:r>
              <w:rPr>
                <w:spacing w:val="2"/>
                <w:sz w:val="20"/>
              </w:rPr>
              <w:t xml:space="preserve"> </w:t>
            </w:r>
            <w:r>
              <w:rPr>
                <w:sz w:val="20"/>
              </w:rPr>
              <w:t>to</w:t>
            </w:r>
            <w:r>
              <w:rPr>
                <w:spacing w:val="1"/>
                <w:sz w:val="20"/>
              </w:rPr>
              <w:t xml:space="preserve"> </w:t>
            </w:r>
            <w:r>
              <w:rPr>
                <w:sz w:val="20"/>
              </w:rPr>
              <w:t>work</w:t>
            </w:r>
            <w:r>
              <w:rPr>
                <w:spacing w:val="3"/>
                <w:sz w:val="20"/>
              </w:rPr>
              <w:t xml:space="preserve"> </w:t>
            </w:r>
            <w:r>
              <w:rPr>
                <w:sz w:val="20"/>
              </w:rPr>
              <w:t>on</w:t>
            </w:r>
            <w:r>
              <w:rPr>
                <w:spacing w:val="3"/>
                <w:sz w:val="20"/>
              </w:rPr>
              <w:t xml:space="preserve"> </w:t>
            </w:r>
            <w:r>
              <w:rPr>
                <w:sz w:val="20"/>
              </w:rPr>
              <w:t>my</w:t>
            </w:r>
            <w:r>
              <w:rPr>
                <w:spacing w:val="2"/>
                <w:sz w:val="20"/>
              </w:rPr>
              <w:t xml:space="preserve"> </w:t>
            </w:r>
            <w:r>
              <w:rPr>
                <w:sz w:val="20"/>
              </w:rPr>
              <w:t>spiritual</w:t>
            </w:r>
            <w:r>
              <w:rPr>
                <w:spacing w:val="2"/>
                <w:sz w:val="20"/>
              </w:rPr>
              <w:t xml:space="preserve"> </w:t>
            </w:r>
            <w:r>
              <w:rPr>
                <w:spacing w:val="-2"/>
                <w:sz w:val="20"/>
              </w:rPr>
              <w:t>growth.</w:t>
            </w:r>
          </w:p>
        </w:tc>
        <w:tc>
          <w:tcPr>
            <w:tcW w:w="936" w:type="dxa"/>
          </w:tcPr>
          <w:p w14:paraId="016E81D3"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07772E9B" w14:textId="77777777" w:rsidR="00DB6E1F" w:rsidRDefault="00F666A6">
            <w:pPr>
              <w:pStyle w:val="TableParagraph"/>
              <w:spacing w:line="242" w:lineRule="exact"/>
              <w:ind w:left="7"/>
              <w:jc w:val="center"/>
              <w:rPr>
                <w:sz w:val="20"/>
              </w:rPr>
            </w:pPr>
            <w:r>
              <w:rPr>
                <w:w w:val="99"/>
                <w:sz w:val="20"/>
              </w:rPr>
              <w:t>1</w:t>
            </w:r>
          </w:p>
        </w:tc>
        <w:tc>
          <w:tcPr>
            <w:tcW w:w="881" w:type="dxa"/>
          </w:tcPr>
          <w:p w14:paraId="0243B792" w14:textId="77777777" w:rsidR="00DB6E1F" w:rsidRDefault="00F666A6">
            <w:pPr>
              <w:pStyle w:val="TableParagraph"/>
              <w:spacing w:line="242" w:lineRule="exact"/>
              <w:ind w:left="388"/>
              <w:rPr>
                <w:sz w:val="20"/>
              </w:rPr>
            </w:pPr>
            <w:r>
              <w:rPr>
                <w:w w:val="99"/>
                <w:sz w:val="20"/>
              </w:rPr>
              <w:t>2</w:t>
            </w:r>
          </w:p>
        </w:tc>
        <w:tc>
          <w:tcPr>
            <w:tcW w:w="936" w:type="dxa"/>
          </w:tcPr>
          <w:p w14:paraId="7AE6110C" w14:textId="77777777" w:rsidR="00DB6E1F" w:rsidRDefault="00F666A6">
            <w:pPr>
              <w:pStyle w:val="TableParagraph"/>
              <w:spacing w:line="242" w:lineRule="exact"/>
              <w:ind w:left="9"/>
              <w:jc w:val="center"/>
              <w:rPr>
                <w:sz w:val="20"/>
              </w:rPr>
            </w:pPr>
            <w:r>
              <w:rPr>
                <w:w w:val="99"/>
                <w:sz w:val="20"/>
              </w:rPr>
              <w:t>3</w:t>
            </w:r>
          </w:p>
        </w:tc>
      </w:tr>
      <w:tr w:rsidR="00DB6E1F" w14:paraId="7B764FC7" w14:textId="77777777">
        <w:trPr>
          <w:trHeight w:val="263"/>
        </w:trPr>
        <w:tc>
          <w:tcPr>
            <w:tcW w:w="5472" w:type="dxa"/>
          </w:tcPr>
          <w:p w14:paraId="2A0AC151" w14:textId="77777777" w:rsidR="00DB6E1F" w:rsidRDefault="00F666A6">
            <w:pPr>
              <w:pStyle w:val="TableParagraph"/>
              <w:spacing w:line="242" w:lineRule="exact"/>
              <w:ind w:left="95"/>
              <w:rPr>
                <w:sz w:val="20"/>
              </w:rPr>
            </w:pPr>
            <w:r>
              <w:rPr>
                <w:color w:val="4D4D4F"/>
                <w:sz w:val="20"/>
              </w:rPr>
              <w:t>25.</w:t>
            </w:r>
            <w:r>
              <w:rPr>
                <w:color w:val="4D4D4F"/>
                <w:spacing w:val="16"/>
                <w:sz w:val="20"/>
              </w:rPr>
              <w:t xml:space="preserve"> </w:t>
            </w:r>
            <w:r>
              <w:rPr>
                <w:sz w:val="20"/>
              </w:rPr>
              <w:t>I want to learn</w:t>
            </w:r>
            <w:r>
              <w:rPr>
                <w:spacing w:val="2"/>
                <w:sz w:val="20"/>
              </w:rPr>
              <w:t xml:space="preserve"> </w:t>
            </w:r>
            <w:r>
              <w:rPr>
                <w:sz w:val="20"/>
              </w:rPr>
              <w:t>how</w:t>
            </w:r>
            <w:r>
              <w:rPr>
                <w:spacing w:val="-1"/>
                <w:sz w:val="20"/>
              </w:rPr>
              <w:t xml:space="preserve"> </w:t>
            </w:r>
            <w:r>
              <w:rPr>
                <w:sz w:val="20"/>
              </w:rPr>
              <w:t>to solve</w:t>
            </w:r>
            <w:r>
              <w:rPr>
                <w:spacing w:val="-1"/>
                <w:sz w:val="20"/>
              </w:rPr>
              <w:t xml:space="preserve"> </w:t>
            </w:r>
            <w:r>
              <w:rPr>
                <w:sz w:val="20"/>
              </w:rPr>
              <w:t>problems</w:t>
            </w:r>
            <w:r>
              <w:rPr>
                <w:spacing w:val="-1"/>
                <w:sz w:val="20"/>
              </w:rPr>
              <w:t xml:space="preserve"> </w:t>
            </w:r>
            <w:r>
              <w:rPr>
                <w:sz w:val="20"/>
              </w:rPr>
              <w:t>in</w:t>
            </w:r>
            <w:r>
              <w:rPr>
                <w:spacing w:val="2"/>
                <w:sz w:val="20"/>
              </w:rPr>
              <w:t xml:space="preserve"> </w:t>
            </w:r>
            <w:r>
              <w:rPr>
                <w:sz w:val="20"/>
              </w:rPr>
              <w:t>my</w:t>
            </w:r>
            <w:r>
              <w:rPr>
                <w:spacing w:val="1"/>
                <w:sz w:val="20"/>
              </w:rPr>
              <w:t xml:space="preserve"> </w:t>
            </w:r>
            <w:r>
              <w:rPr>
                <w:spacing w:val="-4"/>
                <w:sz w:val="20"/>
              </w:rPr>
              <w:t>life.</w:t>
            </w:r>
          </w:p>
        </w:tc>
        <w:tc>
          <w:tcPr>
            <w:tcW w:w="936" w:type="dxa"/>
          </w:tcPr>
          <w:p w14:paraId="79A6FD90"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165A85E9" w14:textId="77777777" w:rsidR="00DB6E1F" w:rsidRDefault="00F666A6">
            <w:pPr>
              <w:pStyle w:val="TableParagraph"/>
              <w:spacing w:line="242" w:lineRule="exact"/>
              <w:ind w:left="7"/>
              <w:jc w:val="center"/>
              <w:rPr>
                <w:sz w:val="20"/>
              </w:rPr>
            </w:pPr>
            <w:r>
              <w:rPr>
                <w:w w:val="99"/>
                <w:sz w:val="20"/>
              </w:rPr>
              <w:t>1</w:t>
            </w:r>
          </w:p>
        </w:tc>
        <w:tc>
          <w:tcPr>
            <w:tcW w:w="881" w:type="dxa"/>
          </w:tcPr>
          <w:p w14:paraId="29CFF438" w14:textId="77777777" w:rsidR="00DB6E1F" w:rsidRDefault="00F666A6">
            <w:pPr>
              <w:pStyle w:val="TableParagraph"/>
              <w:spacing w:line="242" w:lineRule="exact"/>
              <w:ind w:left="388"/>
              <w:rPr>
                <w:sz w:val="20"/>
              </w:rPr>
            </w:pPr>
            <w:r>
              <w:rPr>
                <w:w w:val="99"/>
                <w:sz w:val="20"/>
              </w:rPr>
              <w:t>2</w:t>
            </w:r>
          </w:p>
        </w:tc>
        <w:tc>
          <w:tcPr>
            <w:tcW w:w="936" w:type="dxa"/>
          </w:tcPr>
          <w:p w14:paraId="29D8C124" w14:textId="77777777" w:rsidR="00DB6E1F" w:rsidRDefault="00F666A6">
            <w:pPr>
              <w:pStyle w:val="TableParagraph"/>
              <w:spacing w:line="242" w:lineRule="exact"/>
              <w:ind w:left="9"/>
              <w:jc w:val="center"/>
              <w:rPr>
                <w:sz w:val="20"/>
              </w:rPr>
            </w:pPr>
            <w:r>
              <w:rPr>
                <w:w w:val="99"/>
                <w:sz w:val="20"/>
              </w:rPr>
              <w:t>3</w:t>
            </w:r>
          </w:p>
        </w:tc>
      </w:tr>
      <w:tr w:rsidR="00DB6E1F" w14:paraId="0706592D" w14:textId="77777777">
        <w:trPr>
          <w:trHeight w:val="263"/>
        </w:trPr>
        <w:tc>
          <w:tcPr>
            <w:tcW w:w="5472" w:type="dxa"/>
          </w:tcPr>
          <w:p w14:paraId="04DF6CFF" w14:textId="77777777" w:rsidR="00DB6E1F" w:rsidRDefault="00F666A6">
            <w:pPr>
              <w:pStyle w:val="TableParagraph"/>
              <w:spacing w:line="242" w:lineRule="exact"/>
              <w:ind w:left="95"/>
              <w:rPr>
                <w:sz w:val="20"/>
              </w:rPr>
            </w:pPr>
            <w:r>
              <w:rPr>
                <w:color w:val="4D4D4F"/>
                <w:sz w:val="20"/>
              </w:rPr>
              <w:t>26.</w:t>
            </w:r>
            <w:r>
              <w:rPr>
                <w:color w:val="4D4D4F"/>
                <w:spacing w:val="15"/>
                <w:sz w:val="20"/>
              </w:rPr>
              <w:t xml:space="preserve"> </w:t>
            </w:r>
            <w:r>
              <w:rPr>
                <w:sz w:val="20"/>
              </w:rPr>
              <w:t>I want</w:t>
            </w:r>
            <w:r>
              <w:rPr>
                <w:spacing w:val="-1"/>
                <w:sz w:val="20"/>
              </w:rPr>
              <w:t xml:space="preserve"> </w:t>
            </w:r>
            <w:r>
              <w:rPr>
                <w:sz w:val="20"/>
              </w:rPr>
              <w:t>help</w:t>
            </w:r>
            <w:r>
              <w:rPr>
                <w:spacing w:val="1"/>
                <w:sz w:val="20"/>
              </w:rPr>
              <w:t xml:space="preserve"> </w:t>
            </w:r>
            <w:r>
              <w:rPr>
                <w:sz w:val="20"/>
              </w:rPr>
              <w:t>with</w:t>
            </w:r>
            <w:r>
              <w:rPr>
                <w:spacing w:val="1"/>
                <w:sz w:val="20"/>
              </w:rPr>
              <w:t xml:space="preserve"> </w:t>
            </w:r>
            <w:r>
              <w:rPr>
                <w:sz w:val="20"/>
              </w:rPr>
              <w:t>angry feelings</w:t>
            </w:r>
            <w:r>
              <w:rPr>
                <w:spacing w:val="-1"/>
                <w:sz w:val="20"/>
              </w:rPr>
              <w:t xml:space="preserve"> </w:t>
            </w:r>
            <w:r>
              <w:rPr>
                <w:sz w:val="20"/>
              </w:rPr>
              <w:t>and</w:t>
            </w:r>
            <w:r>
              <w:rPr>
                <w:spacing w:val="1"/>
                <w:sz w:val="20"/>
              </w:rPr>
              <w:t xml:space="preserve"> </w:t>
            </w:r>
            <w:r>
              <w:rPr>
                <w:sz w:val="20"/>
              </w:rPr>
              <w:t>how</w:t>
            </w:r>
            <w:r>
              <w:rPr>
                <w:spacing w:val="-2"/>
                <w:sz w:val="20"/>
              </w:rPr>
              <w:t xml:space="preserve"> </w:t>
            </w:r>
            <w:r>
              <w:rPr>
                <w:sz w:val="20"/>
              </w:rPr>
              <w:t>I express</w:t>
            </w:r>
            <w:r>
              <w:rPr>
                <w:spacing w:val="-1"/>
                <w:sz w:val="20"/>
              </w:rPr>
              <w:t xml:space="preserve"> </w:t>
            </w:r>
            <w:r>
              <w:rPr>
                <w:spacing w:val="-4"/>
                <w:sz w:val="20"/>
              </w:rPr>
              <w:t>them.</w:t>
            </w:r>
          </w:p>
        </w:tc>
        <w:tc>
          <w:tcPr>
            <w:tcW w:w="936" w:type="dxa"/>
          </w:tcPr>
          <w:p w14:paraId="0A65351A"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67B2DE57" w14:textId="77777777" w:rsidR="00DB6E1F" w:rsidRDefault="00F666A6">
            <w:pPr>
              <w:pStyle w:val="TableParagraph"/>
              <w:spacing w:line="242" w:lineRule="exact"/>
              <w:ind w:left="7"/>
              <w:jc w:val="center"/>
              <w:rPr>
                <w:sz w:val="20"/>
              </w:rPr>
            </w:pPr>
            <w:r>
              <w:rPr>
                <w:w w:val="99"/>
                <w:sz w:val="20"/>
              </w:rPr>
              <w:t>1</w:t>
            </w:r>
          </w:p>
        </w:tc>
        <w:tc>
          <w:tcPr>
            <w:tcW w:w="881" w:type="dxa"/>
          </w:tcPr>
          <w:p w14:paraId="54089CC6" w14:textId="77777777" w:rsidR="00DB6E1F" w:rsidRDefault="00F666A6">
            <w:pPr>
              <w:pStyle w:val="TableParagraph"/>
              <w:spacing w:line="242" w:lineRule="exact"/>
              <w:ind w:left="388"/>
              <w:rPr>
                <w:sz w:val="20"/>
              </w:rPr>
            </w:pPr>
            <w:r>
              <w:rPr>
                <w:w w:val="99"/>
                <w:sz w:val="20"/>
              </w:rPr>
              <w:t>2</w:t>
            </w:r>
          </w:p>
        </w:tc>
        <w:tc>
          <w:tcPr>
            <w:tcW w:w="936" w:type="dxa"/>
          </w:tcPr>
          <w:p w14:paraId="69734AB8" w14:textId="77777777" w:rsidR="00DB6E1F" w:rsidRDefault="00F666A6">
            <w:pPr>
              <w:pStyle w:val="TableParagraph"/>
              <w:spacing w:line="242" w:lineRule="exact"/>
              <w:ind w:left="9"/>
              <w:jc w:val="center"/>
              <w:rPr>
                <w:sz w:val="20"/>
              </w:rPr>
            </w:pPr>
            <w:r>
              <w:rPr>
                <w:w w:val="99"/>
                <w:sz w:val="20"/>
              </w:rPr>
              <w:t>3</w:t>
            </w:r>
          </w:p>
        </w:tc>
      </w:tr>
      <w:tr w:rsidR="00DB6E1F" w14:paraId="1FA2FCF6" w14:textId="77777777">
        <w:trPr>
          <w:trHeight w:val="261"/>
        </w:trPr>
        <w:tc>
          <w:tcPr>
            <w:tcW w:w="5472" w:type="dxa"/>
          </w:tcPr>
          <w:p w14:paraId="1997CF25" w14:textId="77777777" w:rsidR="00DB6E1F" w:rsidRDefault="00F666A6">
            <w:pPr>
              <w:pStyle w:val="TableParagraph"/>
              <w:spacing w:line="240" w:lineRule="exact"/>
              <w:ind w:left="95"/>
              <w:rPr>
                <w:sz w:val="20"/>
              </w:rPr>
            </w:pPr>
            <w:r>
              <w:rPr>
                <w:color w:val="4D4D4F"/>
                <w:sz w:val="20"/>
              </w:rPr>
              <w:t>27.</w:t>
            </w:r>
            <w:r>
              <w:rPr>
                <w:color w:val="4D4D4F"/>
                <w:spacing w:val="19"/>
                <w:sz w:val="20"/>
              </w:rPr>
              <w:t xml:space="preserve"> </w:t>
            </w:r>
            <w:r>
              <w:rPr>
                <w:sz w:val="20"/>
              </w:rPr>
              <w:t>I</w:t>
            </w:r>
            <w:r>
              <w:rPr>
                <w:spacing w:val="3"/>
                <w:sz w:val="20"/>
              </w:rPr>
              <w:t xml:space="preserve"> </w:t>
            </w:r>
            <w:r>
              <w:rPr>
                <w:sz w:val="20"/>
              </w:rPr>
              <w:t>want</w:t>
            </w:r>
            <w:r>
              <w:rPr>
                <w:spacing w:val="3"/>
                <w:sz w:val="20"/>
              </w:rPr>
              <w:t xml:space="preserve"> </w:t>
            </w:r>
            <w:r>
              <w:rPr>
                <w:sz w:val="20"/>
              </w:rPr>
              <w:t>to</w:t>
            </w:r>
            <w:r>
              <w:rPr>
                <w:spacing w:val="2"/>
                <w:sz w:val="20"/>
              </w:rPr>
              <w:t xml:space="preserve"> </w:t>
            </w:r>
            <w:r>
              <w:rPr>
                <w:sz w:val="20"/>
              </w:rPr>
              <w:t>have</w:t>
            </w:r>
            <w:r>
              <w:rPr>
                <w:spacing w:val="2"/>
                <w:sz w:val="20"/>
              </w:rPr>
              <w:t xml:space="preserve"> </w:t>
            </w:r>
            <w:r>
              <w:rPr>
                <w:sz w:val="20"/>
              </w:rPr>
              <w:t>healthier</w:t>
            </w:r>
            <w:r>
              <w:rPr>
                <w:spacing w:val="3"/>
                <w:sz w:val="20"/>
              </w:rPr>
              <w:t xml:space="preserve"> </w:t>
            </w:r>
            <w:r>
              <w:rPr>
                <w:spacing w:val="-2"/>
                <w:sz w:val="20"/>
              </w:rPr>
              <w:t>relationships.</w:t>
            </w:r>
          </w:p>
        </w:tc>
        <w:tc>
          <w:tcPr>
            <w:tcW w:w="936" w:type="dxa"/>
          </w:tcPr>
          <w:p w14:paraId="6FF26FF7" w14:textId="77777777" w:rsidR="00DB6E1F" w:rsidRDefault="00F666A6">
            <w:pPr>
              <w:pStyle w:val="TableParagraph"/>
              <w:spacing w:line="240" w:lineRule="exact"/>
              <w:ind w:left="0" w:right="405"/>
              <w:jc w:val="right"/>
              <w:rPr>
                <w:sz w:val="20"/>
              </w:rPr>
            </w:pPr>
            <w:r>
              <w:rPr>
                <w:w w:val="99"/>
                <w:sz w:val="20"/>
              </w:rPr>
              <w:t>0</w:t>
            </w:r>
          </w:p>
        </w:tc>
        <w:tc>
          <w:tcPr>
            <w:tcW w:w="991" w:type="dxa"/>
          </w:tcPr>
          <w:p w14:paraId="42BE5968" w14:textId="77777777" w:rsidR="00DB6E1F" w:rsidRDefault="00F666A6">
            <w:pPr>
              <w:pStyle w:val="TableParagraph"/>
              <w:spacing w:line="240" w:lineRule="exact"/>
              <w:ind w:left="7"/>
              <w:jc w:val="center"/>
              <w:rPr>
                <w:sz w:val="20"/>
              </w:rPr>
            </w:pPr>
            <w:r>
              <w:rPr>
                <w:w w:val="99"/>
                <w:sz w:val="20"/>
              </w:rPr>
              <w:t>1</w:t>
            </w:r>
          </w:p>
        </w:tc>
        <w:tc>
          <w:tcPr>
            <w:tcW w:w="881" w:type="dxa"/>
          </w:tcPr>
          <w:p w14:paraId="1B78BC3B" w14:textId="77777777" w:rsidR="00DB6E1F" w:rsidRDefault="00F666A6">
            <w:pPr>
              <w:pStyle w:val="TableParagraph"/>
              <w:spacing w:line="240" w:lineRule="exact"/>
              <w:ind w:left="388"/>
              <w:rPr>
                <w:sz w:val="20"/>
              </w:rPr>
            </w:pPr>
            <w:r>
              <w:rPr>
                <w:w w:val="99"/>
                <w:sz w:val="20"/>
              </w:rPr>
              <w:t>2</w:t>
            </w:r>
          </w:p>
        </w:tc>
        <w:tc>
          <w:tcPr>
            <w:tcW w:w="936" w:type="dxa"/>
          </w:tcPr>
          <w:p w14:paraId="01D9E7EC" w14:textId="77777777" w:rsidR="00DB6E1F" w:rsidRDefault="00F666A6">
            <w:pPr>
              <w:pStyle w:val="TableParagraph"/>
              <w:spacing w:line="240" w:lineRule="exact"/>
              <w:ind w:left="9"/>
              <w:jc w:val="center"/>
              <w:rPr>
                <w:sz w:val="20"/>
              </w:rPr>
            </w:pPr>
            <w:r>
              <w:rPr>
                <w:w w:val="99"/>
                <w:sz w:val="20"/>
              </w:rPr>
              <w:t>3</w:t>
            </w:r>
          </w:p>
        </w:tc>
      </w:tr>
      <w:tr w:rsidR="00DB6E1F" w14:paraId="01695159" w14:textId="77777777">
        <w:trPr>
          <w:trHeight w:val="263"/>
        </w:trPr>
        <w:tc>
          <w:tcPr>
            <w:tcW w:w="5472" w:type="dxa"/>
          </w:tcPr>
          <w:p w14:paraId="4ACF33FF" w14:textId="77777777" w:rsidR="00DB6E1F" w:rsidRDefault="00F666A6">
            <w:pPr>
              <w:pStyle w:val="TableParagraph"/>
              <w:spacing w:before="3" w:line="240" w:lineRule="exact"/>
              <w:ind w:left="95"/>
              <w:rPr>
                <w:sz w:val="20"/>
              </w:rPr>
            </w:pPr>
            <w:r>
              <w:rPr>
                <w:color w:val="4D4D4F"/>
                <w:sz w:val="20"/>
              </w:rPr>
              <w:t>28.</w:t>
            </w:r>
            <w:r>
              <w:rPr>
                <w:color w:val="4D4D4F"/>
                <w:spacing w:val="18"/>
                <w:sz w:val="20"/>
              </w:rPr>
              <w:t xml:space="preserve"> </w:t>
            </w:r>
            <w:r>
              <w:rPr>
                <w:sz w:val="20"/>
              </w:rPr>
              <w:t>I</w:t>
            </w:r>
            <w:r>
              <w:rPr>
                <w:spacing w:val="2"/>
                <w:sz w:val="20"/>
              </w:rPr>
              <w:t xml:space="preserve"> </w:t>
            </w:r>
            <w:r>
              <w:rPr>
                <w:sz w:val="20"/>
              </w:rPr>
              <w:t>would</w:t>
            </w:r>
            <w:r>
              <w:rPr>
                <w:spacing w:val="3"/>
                <w:sz w:val="20"/>
              </w:rPr>
              <w:t xml:space="preserve"> </w:t>
            </w:r>
            <w:r>
              <w:rPr>
                <w:sz w:val="20"/>
              </w:rPr>
              <w:t>like</w:t>
            </w:r>
            <w:r>
              <w:rPr>
                <w:spacing w:val="1"/>
                <w:sz w:val="20"/>
              </w:rPr>
              <w:t xml:space="preserve"> </w:t>
            </w:r>
            <w:r>
              <w:rPr>
                <w:sz w:val="20"/>
              </w:rPr>
              <w:t>to</w:t>
            </w:r>
            <w:r>
              <w:rPr>
                <w:spacing w:val="2"/>
                <w:sz w:val="20"/>
              </w:rPr>
              <w:t xml:space="preserve"> </w:t>
            </w:r>
            <w:r>
              <w:rPr>
                <w:sz w:val="20"/>
              </w:rPr>
              <w:t>discuss</w:t>
            </w:r>
            <w:r>
              <w:rPr>
                <w:spacing w:val="1"/>
                <w:sz w:val="20"/>
              </w:rPr>
              <w:t xml:space="preserve"> </w:t>
            </w:r>
            <w:r>
              <w:rPr>
                <w:sz w:val="20"/>
              </w:rPr>
              <w:t>sexual</w:t>
            </w:r>
            <w:r>
              <w:rPr>
                <w:spacing w:val="2"/>
                <w:sz w:val="20"/>
              </w:rPr>
              <w:t xml:space="preserve"> </w:t>
            </w:r>
            <w:r>
              <w:rPr>
                <w:spacing w:val="-2"/>
                <w:sz w:val="20"/>
              </w:rPr>
              <w:t>problems.</w:t>
            </w:r>
          </w:p>
        </w:tc>
        <w:tc>
          <w:tcPr>
            <w:tcW w:w="936" w:type="dxa"/>
          </w:tcPr>
          <w:p w14:paraId="0A0AAB2F" w14:textId="77777777" w:rsidR="00DB6E1F" w:rsidRDefault="00F666A6">
            <w:pPr>
              <w:pStyle w:val="TableParagraph"/>
              <w:spacing w:before="3" w:line="240" w:lineRule="exact"/>
              <w:ind w:left="0" w:right="405"/>
              <w:jc w:val="right"/>
              <w:rPr>
                <w:sz w:val="20"/>
              </w:rPr>
            </w:pPr>
            <w:r>
              <w:rPr>
                <w:w w:val="99"/>
                <w:sz w:val="20"/>
              </w:rPr>
              <w:t>0</w:t>
            </w:r>
          </w:p>
        </w:tc>
        <w:tc>
          <w:tcPr>
            <w:tcW w:w="991" w:type="dxa"/>
          </w:tcPr>
          <w:p w14:paraId="5655F2FA" w14:textId="77777777" w:rsidR="00DB6E1F" w:rsidRDefault="00F666A6">
            <w:pPr>
              <w:pStyle w:val="TableParagraph"/>
              <w:spacing w:before="3" w:line="240" w:lineRule="exact"/>
              <w:ind w:left="7"/>
              <w:jc w:val="center"/>
              <w:rPr>
                <w:sz w:val="20"/>
              </w:rPr>
            </w:pPr>
            <w:r>
              <w:rPr>
                <w:w w:val="99"/>
                <w:sz w:val="20"/>
              </w:rPr>
              <w:t>1</w:t>
            </w:r>
          </w:p>
        </w:tc>
        <w:tc>
          <w:tcPr>
            <w:tcW w:w="881" w:type="dxa"/>
          </w:tcPr>
          <w:p w14:paraId="3A5756E8" w14:textId="77777777" w:rsidR="00DB6E1F" w:rsidRDefault="00F666A6">
            <w:pPr>
              <w:pStyle w:val="TableParagraph"/>
              <w:spacing w:before="3" w:line="240" w:lineRule="exact"/>
              <w:ind w:left="388"/>
              <w:rPr>
                <w:sz w:val="20"/>
              </w:rPr>
            </w:pPr>
            <w:r>
              <w:rPr>
                <w:w w:val="99"/>
                <w:sz w:val="20"/>
              </w:rPr>
              <w:t>2</w:t>
            </w:r>
          </w:p>
        </w:tc>
        <w:tc>
          <w:tcPr>
            <w:tcW w:w="936" w:type="dxa"/>
          </w:tcPr>
          <w:p w14:paraId="43ADE650" w14:textId="77777777" w:rsidR="00DB6E1F" w:rsidRDefault="00F666A6">
            <w:pPr>
              <w:pStyle w:val="TableParagraph"/>
              <w:spacing w:before="3" w:line="240" w:lineRule="exact"/>
              <w:ind w:left="9"/>
              <w:jc w:val="center"/>
              <w:rPr>
                <w:sz w:val="20"/>
              </w:rPr>
            </w:pPr>
            <w:r>
              <w:rPr>
                <w:w w:val="99"/>
                <w:sz w:val="20"/>
              </w:rPr>
              <w:t>3</w:t>
            </w:r>
          </w:p>
        </w:tc>
      </w:tr>
      <w:tr w:rsidR="00DB6E1F" w14:paraId="6D909983" w14:textId="77777777">
        <w:trPr>
          <w:trHeight w:val="263"/>
        </w:trPr>
        <w:tc>
          <w:tcPr>
            <w:tcW w:w="5472" w:type="dxa"/>
          </w:tcPr>
          <w:p w14:paraId="40628558" w14:textId="77777777" w:rsidR="00DB6E1F" w:rsidRDefault="00F666A6">
            <w:pPr>
              <w:pStyle w:val="TableParagraph"/>
              <w:spacing w:before="3" w:line="240" w:lineRule="exact"/>
              <w:ind w:left="95"/>
              <w:rPr>
                <w:sz w:val="20"/>
              </w:rPr>
            </w:pPr>
            <w:r>
              <w:rPr>
                <w:color w:val="4D4D4F"/>
                <w:sz w:val="20"/>
              </w:rPr>
              <w:t>29.</w:t>
            </w:r>
            <w:r>
              <w:rPr>
                <w:color w:val="4D4D4F"/>
                <w:spacing w:val="15"/>
                <w:sz w:val="20"/>
              </w:rPr>
              <w:t xml:space="preserve"> </w:t>
            </w:r>
            <w:r>
              <w:rPr>
                <w:sz w:val="20"/>
              </w:rPr>
              <w:t>I</w:t>
            </w:r>
            <w:r>
              <w:rPr>
                <w:spacing w:val="-1"/>
                <w:sz w:val="20"/>
              </w:rPr>
              <w:t xml:space="preserve"> </w:t>
            </w:r>
            <w:r>
              <w:rPr>
                <w:sz w:val="20"/>
              </w:rPr>
              <w:t>want</w:t>
            </w:r>
            <w:r>
              <w:rPr>
                <w:spacing w:val="-1"/>
                <w:sz w:val="20"/>
              </w:rPr>
              <w:t xml:space="preserve"> </w:t>
            </w:r>
            <w:r>
              <w:rPr>
                <w:sz w:val="20"/>
              </w:rPr>
              <w:t>to learn to</w:t>
            </w:r>
            <w:r>
              <w:rPr>
                <w:spacing w:val="1"/>
                <w:sz w:val="20"/>
              </w:rPr>
              <w:t xml:space="preserve"> </w:t>
            </w:r>
            <w:r>
              <w:rPr>
                <w:sz w:val="20"/>
              </w:rPr>
              <w:t>express</w:t>
            </w:r>
            <w:r>
              <w:rPr>
                <w:spacing w:val="-2"/>
                <w:sz w:val="20"/>
              </w:rPr>
              <w:t xml:space="preserve"> </w:t>
            </w:r>
            <w:r>
              <w:rPr>
                <w:sz w:val="20"/>
              </w:rPr>
              <w:t>my</w:t>
            </w:r>
            <w:r>
              <w:rPr>
                <w:spacing w:val="2"/>
                <w:sz w:val="20"/>
              </w:rPr>
              <w:t xml:space="preserve"> </w:t>
            </w:r>
            <w:r>
              <w:rPr>
                <w:sz w:val="20"/>
              </w:rPr>
              <w:t>feelings</w:t>
            </w:r>
            <w:r>
              <w:rPr>
                <w:spacing w:val="-1"/>
                <w:sz w:val="20"/>
              </w:rPr>
              <w:t xml:space="preserve"> </w:t>
            </w:r>
            <w:r>
              <w:rPr>
                <w:sz w:val="20"/>
              </w:rPr>
              <w:t>in a</w:t>
            </w:r>
            <w:r>
              <w:rPr>
                <w:spacing w:val="1"/>
                <w:sz w:val="20"/>
              </w:rPr>
              <w:t xml:space="preserve"> </w:t>
            </w:r>
            <w:r>
              <w:rPr>
                <w:sz w:val="20"/>
              </w:rPr>
              <w:t>more</w:t>
            </w:r>
            <w:r>
              <w:rPr>
                <w:spacing w:val="-2"/>
                <w:sz w:val="20"/>
              </w:rPr>
              <w:t xml:space="preserve"> </w:t>
            </w:r>
            <w:r>
              <w:rPr>
                <w:sz w:val="20"/>
              </w:rPr>
              <w:t xml:space="preserve">healthy </w:t>
            </w:r>
            <w:r>
              <w:rPr>
                <w:spacing w:val="-4"/>
                <w:sz w:val="20"/>
              </w:rPr>
              <w:t>way.</w:t>
            </w:r>
          </w:p>
        </w:tc>
        <w:tc>
          <w:tcPr>
            <w:tcW w:w="936" w:type="dxa"/>
          </w:tcPr>
          <w:p w14:paraId="1EA25BC9" w14:textId="77777777" w:rsidR="00DB6E1F" w:rsidRDefault="00F666A6">
            <w:pPr>
              <w:pStyle w:val="TableParagraph"/>
              <w:spacing w:before="3" w:line="240" w:lineRule="exact"/>
              <w:ind w:left="0" w:right="405"/>
              <w:jc w:val="right"/>
              <w:rPr>
                <w:sz w:val="20"/>
              </w:rPr>
            </w:pPr>
            <w:r>
              <w:rPr>
                <w:w w:val="99"/>
                <w:sz w:val="20"/>
              </w:rPr>
              <w:t>0</w:t>
            </w:r>
          </w:p>
        </w:tc>
        <w:tc>
          <w:tcPr>
            <w:tcW w:w="991" w:type="dxa"/>
          </w:tcPr>
          <w:p w14:paraId="55A7F2A7" w14:textId="77777777" w:rsidR="00DB6E1F" w:rsidRDefault="00F666A6">
            <w:pPr>
              <w:pStyle w:val="TableParagraph"/>
              <w:spacing w:before="3" w:line="240" w:lineRule="exact"/>
              <w:ind w:left="7"/>
              <w:jc w:val="center"/>
              <w:rPr>
                <w:sz w:val="20"/>
              </w:rPr>
            </w:pPr>
            <w:r>
              <w:rPr>
                <w:w w:val="99"/>
                <w:sz w:val="20"/>
              </w:rPr>
              <w:t>1</w:t>
            </w:r>
          </w:p>
        </w:tc>
        <w:tc>
          <w:tcPr>
            <w:tcW w:w="881" w:type="dxa"/>
          </w:tcPr>
          <w:p w14:paraId="2714D932" w14:textId="77777777" w:rsidR="00DB6E1F" w:rsidRDefault="00F666A6">
            <w:pPr>
              <w:pStyle w:val="TableParagraph"/>
              <w:spacing w:before="3" w:line="240" w:lineRule="exact"/>
              <w:ind w:left="388"/>
              <w:rPr>
                <w:sz w:val="20"/>
              </w:rPr>
            </w:pPr>
            <w:r>
              <w:rPr>
                <w:w w:val="99"/>
                <w:sz w:val="20"/>
              </w:rPr>
              <w:t>2</w:t>
            </w:r>
          </w:p>
        </w:tc>
        <w:tc>
          <w:tcPr>
            <w:tcW w:w="936" w:type="dxa"/>
          </w:tcPr>
          <w:p w14:paraId="65DD158C" w14:textId="77777777" w:rsidR="00DB6E1F" w:rsidRDefault="00F666A6">
            <w:pPr>
              <w:pStyle w:val="TableParagraph"/>
              <w:spacing w:before="3" w:line="240" w:lineRule="exact"/>
              <w:ind w:left="9"/>
              <w:jc w:val="center"/>
              <w:rPr>
                <w:sz w:val="20"/>
              </w:rPr>
            </w:pPr>
            <w:r>
              <w:rPr>
                <w:w w:val="99"/>
                <w:sz w:val="20"/>
              </w:rPr>
              <w:t>3</w:t>
            </w:r>
          </w:p>
        </w:tc>
      </w:tr>
      <w:tr w:rsidR="00DB6E1F" w14:paraId="594DC08E" w14:textId="77777777">
        <w:trPr>
          <w:trHeight w:val="263"/>
        </w:trPr>
        <w:tc>
          <w:tcPr>
            <w:tcW w:w="5472" w:type="dxa"/>
          </w:tcPr>
          <w:p w14:paraId="5F5E27E1" w14:textId="77777777" w:rsidR="00DB6E1F" w:rsidRDefault="00F666A6">
            <w:pPr>
              <w:pStyle w:val="TableParagraph"/>
              <w:spacing w:before="3" w:line="240" w:lineRule="exact"/>
              <w:ind w:left="95"/>
              <w:rPr>
                <w:sz w:val="20"/>
              </w:rPr>
            </w:pPr>
            <w:r>
              <w:rPr>
                <w:color w:val="4D4D4F"/>
                <w:sz w:val="20"/>
              </w:rPr>
              <w:t>30.</w:t>
            </w:r>
            <w:r>
              <w:rPr>
                <w:color w:val="4D4D4F"/>
                <w:spacing w:val="18"/>
                <w:sz w:val="20"/>
              </w:rPr>
              <w:t xml:space="preserve"> </w:t>
            </w:r>
            <w:r>
              <w:rPr>
                <w:sz w:val="20"/>
              </w:rPr>
              <w:t>I</w:t>
            </w:r>
            <w:r>
              <w:rPr>
                <w:spacing w:val="2"/>
                <w:sz w:val="20"/>
              </w:rPr>
              <w:t xml:space="preserve"> </w:t>
            </w:r>
            <w:r>
              <w:rPr>
                <w:sz w:val="20"/>
              </w:rPr>
              <w:t>want</w:t>
            </w:r>
            <w:r>
              <w:rPr>
                <w:spacing w:val="2"/>
                <w:sz w:val="20"/>
              </w:rPr>
              <w:t xml:space="preserve"> </w:t>
            </w:r>
            <w:r>
              <w:rPr>
                <w:sz w:val="20"/>
              </w:rPr>
              <w:t>to</w:t>
            </w:r>
            <w:r>
              <w:rPr>
                <w:spacing w:val="3"/>
                <w:sz w:val="20"/>
              </w:rPr>
              <w:t xml:space="preserve"> </w:t>
            </w:r>
            <w:r>
              <w:rPr>
                <w:sz w:val="20"/>
              </w:rPr>
              <w:t>learn</w:t>
            </w:r>
            <w:r>
              <w:rPr>
                <w:spacing w:val="3"/>
                <w:sz w:val="20"/>
              </w:rPr>
              <w:t xml:space="preserve"> </w:t>
            </w:r>
            <w:r>
              <w:rPr>
                <w:sz w:val="20"/>
              </w:rPr>
              <w:t>how</w:t>
            </w:r>
            <w:r>
              <w:rPr>
                <w:spacing w:val="1"/>
                <w:sz w:val="20"/>
              </w:rPr>
              <w:t xml:space="preserve"> </w:t>
            </w:r>
            <w:r>
              <w:rPr>
                <w:sz w:val="20"/>
              </w:rPr>
              <w:t>to</w:t>
            </w:r>
            <w:r>
              <w:rPr>
                <w:spacing w:val="2"/>
                <w:sz w:val="20"/>
              </w:rPr>
              <w:t xml:space="preserve"> </w:t>
            </w:r>
            <w:r>
              <w:rPr>
                <w:sz w:val="20"/>
              </w:rPr>
              <w:t>relax</w:t>
            </w:r>
            <w:r>
              <w:rPr>
                <w:spacing w:val="2"/>
                <w:sz w:val="20"/>
              </w:rPr>
              <w:t xml:space="preserve"> </w:t>
            </w:r>
            <w:r>
              <w:rPr>
                <w:spacing w:val="-2"/>
                <w:sz w:val="20"/>
              </w:rPr>
              <w:t>better.</w:t>
            </w:r>
          </w:p>
        </w:tc>
        <w:tc>
          <w:tcPr>
            <w:tcW w:w="936" w:type="dxa"/>
          </w:tcPr>
          <w:p w14:paraId="3A2CD528" w14:textId="77777777" w:rsidR="00DB6E1F" w:rsidRDefault="00F666A6">
            <w:pPr>
              <w:pStyle w:val="TableParagraph"/>
              <w:spacing w:before="3" w:line="240" w:lineRule="exact"/>
              <w:ind w:left="0" w:right="405"/>
              <w:jc w:val="right"/>
              <w:rPr>
                <w:sz w:val="20"/>
              </w:rPr>
            </w:pPr>
            <w:r>
              <w:rPr>
                <w:w w:val="99"/>
                <w:sz w:val="20"/>
              </w:rPr>
              <w:t>0</w:t>
            </w:r>
          </w:p>
        </w:tc>
        <w:tc>
          <w:tcPr>
            <w:tcW w:w="991" w:type="dxa"/>
          </w:tcPr>
          <w:p w14:paraId="64FA2104" w14:textId="77777777" w:rsidR="00DB6E1F" w:rsidRDefault="00F666A6">
            <w:pPr>
              <w:pStyle w:val="TableParagraph"/>
              <w:spacing w:before="3" w:line="240" w:lineRule="exact"/>
              <w:ind w:left="7"/>
              <w:jc w:val="center"/>
              <w:rPr>
                <w:sz w:val="20"/>
              </w:rPr>
            </w:pPr>
            <w:r>
              <w:rPr>
                <w:w w:val="99"/>
                <w:sz w:val="20"/>
              </w:rPr>
              <w:t>1</w:t>
            </w:r>
          </w:p>
        </w:tc>
        <w:tc>
          <w:tcPr>
            <w:tcW w:w="881" w:type="dxa"/>
          </w:tcPr>
          <w:p w14:paraId="6AD18D36" w14:textId="77777777" w:rsidR="00DB6E1F" w:rsidRDefault="00F666A6">
            <w:pPr>
              <w:pStyle w:val="TableParagraph"/>
              <w:spacing w:before="3" w:line="240" w:lineRule="exact"/>
              <w:ind w:left="388"/>
              <w:rPr>
                <w:sz w:val="20"/>
              </w:rPr>
            </w:pPr>
            <w:r>
              <w:rPr>
                <w:w w:val="99"/>
                <w:sz w:val="20"/>
              </w:rPr>
              <w:t>2</w:t>
            </w:r>
          </w:p>
        </w:tc>
        <w:tc>
          <w:tcPr>
            <w:tcW w:w="936" w:type="dxa"/>
          </w:tcPr>
          <w:p w14:paraId="04234D01" w14:textId="77777777" w:rsidR="00DB6E1F" w:rsidRDefault="00F666A6">
            <w:pPr>
              <w:pStyle w:val="TableParagraph"/>
              <w:spacing w:before="3" w:line="240" w:lineRule="exact"/>
              <w:ind w:left="9"/>
              <w:jc w:val="center"/>
              <w:rPr>
                <w:sz w:val="20"/>
              </w:rPr>
            </w:pPr>
            <w:r>
              <w:rPr>
                <w:w w:val="99"/>
                <w:sz w:val="20"/>
              </w:rPr>
              <w:t>3</w:t>
            </w:r>
          </w:p>
        </w:tc>
      </w:tr>
      <w:tr w:rsidR="00DB6E1F" w14:paraId="2DA729B5" w14:textId="77777777">
        <w:trPr>
          <w:trHeight w:val="263"/>
        </w:trPr>
        <w:tc>
          <w:tcPr>
            <w:tcW w:w="5472" w:type="dxa"/>
          </w:tcPr>
          <w:p w14:paraId="16E0F356" w14:textId="77777777" w:rsidR="00DB6E1F" w:rsidRDefault="00F666A6">
            <w:pPr>
              <w:pStyle w:val="TableParagraph"/>
              <w:spacing w:line="242" w:lineRule="exact"/>
              <w:ind w:left="95"/>
              <w:rPr>
                <w:sz w:val="20"/>
              </w:rPr>
            </w:pPr>
            <w:r>
              <w:rPr>
                <w:color w:val="4D4D4F"/>
                <w:sz w:val="20"/>
              </w:rPr>
              <w:t>31.</w:t>
            </w:r>
            <w:r>
              <w:rPr>
                <w:color w:val="4D4D4F"/>
                <w:spacing w:val="19"/>
                <w:sz w:val="20"/>
              </w:rPr>
              <w:t xml:space="preserve"> </w:t>
            </w:r>
            <w:r>
              <w:rPr>
                <w:sz w:val="20"/>
              </w:rPr>
              <w:t>I</w:t>
            </w:r>
            <w:r>
              <w:rPr>
                <w:spacing w:val="2"/>
                <w:sz w:val="20"/>
              </w:rPr>
              <w:t xml:space="preserve"> </w:t>
            </w:r>
            <w:r>
              <w:rPr>
                <w:sz w:val="20"/>
              </w:rPr>
              <w:t>want</w:t>
            </w:r>
            <w:r>
              <w:rPr>
                <w:spacing w:val="2"/>
                <w:sz w:val="20"/>
              </w:rPr>
              <w:t xml:space="preserve"> </w:t>
            </w:r>
            <w:r>
              <w:rPr>
                <w:sz w:val="20"/>
              </w:rPr>
              <w:t>help</w:t>
            </w:r>
            <w:r>
              <w:rPr>
                <w:spacing w:val="4"/>
                <w:sz w:val="20"/>
              </w:rPr>
              <w:t xml:space="preserve"> </w:t>
            </w:r>
            <w:r>
              <w:rPr>
                <w:sz w:val="20"/>
              </w:rPr>
              <w:t>in</w:t>
            </w:r>
            <w:r>
              <w:rPr>
                <w:spacing w:val="3"/>
                <w:sz w:val="20"/>
              </w:rPr>
              <w:t xml:space="preserve"> </w:t>
            </w:r>
            <w:r>
              <w:rPr>
                <w:sz w:val="20"/>
              </w:rPr>
              <w:t>overcoming</w:t>
            </w:r>
            <w:r>
              <w:rPr>
                <w:spacing w:val="2"/>
                <w:sz w:val="20"/>
              </w:rPr>
              <w:t xml:space="preserve"> </w:t>
            </w:r>
            <w:r>
              <w:rPr>
                <w:spacing w:val="-2"/>
                <w:sz w:val="20"/>
              </w:rPr>
              <w:t>boredom.</w:t>
            </w:r>
          </w:p>
        </w:tc>
        <w:tc>
          <w:tcPr>
            <w:tcW w:w="936" w:type="dxa"/>
          </w:tcPr>
          <w:p w14:paraId="4EE3E55C"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17E2E054" w14:textId="77777777" w:rsidR="00DB6E1F" w:rsidRDefault="00F666A6">
            <w:pPr>
              <w:pStyle w:val="TableParagraph"/>
              <w:spacing w:line="242" w:lineRule="exact"/>
              <w:ind w:left="7"/>
              <w:jc w:val="center"/>
              <w:rPr>
                <w:sz w:val="20"/>
              </w:rPr>
            </w:pPr>
            <w:r>
              <w:rPr>
                <w:w w:val="99"/>
                <w:sz w:val="20"/>
              </w:rPr>
              <w:t>1</w:t>
            </w:r>
          </w:p>
        </w:tc>
        <w:tc>
          <w:tcPr>
            <w:tcW w:w="881" w:type="dxa"/>
          </w:tcPr>
          <w:p w14:paraId="75C4AB30" w14:textId="77777777" w:rsidR="00DB6E1F" w:rsidRDefault="00F666A6">
            <w:pPr>
              <w:pStyle w:val="TableParagraph"/>
              <w:spacing w:line="242" w:lineRule="exact"/>
              <w:ind w:left="388"/>
              <w:rPr>
                <w:sz w:val="20"/>
              </w:rPr>
            </w:pPr>
            <w:r>
              <w:rPr>
                <w:w w:val="99"/>
                <w:sz w:val="20"/>
              </w:rPr>
              <w:t>2</w:t>
            </w:r>
          </w:p>
        </w:tc>
        <w:tc>
          <w:tcPr>
            <w:tcW w:w="936" w:type="dxa"/>
          </w:tcPr>
          <w:p w14:paraId="14E844E1" w14:textId="77777777" w:rsidR="00DB6E1F" w:rsidRDefault="00F666A6">
            <w:pPr>
              <w:pStyle w:val="TableParagraph"/>
              <w:spacing w:line="242" w:lineRule="exact"/>
              <w:ind w:left="9"/>
              <w:jc w:val="center"/>
              <w:rPr>
                <w:sz w:val="20"/>
              </w:rPr>
            </w:pPr>
            <w:r>
              <w:rPr>
                <w:w w:val="99"/>
                <w:sz w:val="20"/>
              </w:rPr>
              <w:t>3</w:t>
            </w:r>
          </w:p>
        </w:tc>
      </w:tr>
      <w:tr w:rsidR="00DB6E1F" w14:paraId="2D832397" w14:textId="77777777">
        <w:trPr>
          <w:trHeight w:val="263"/>
        </w:trPr>
        <w:tc>
          <w:tcPr>
            <w:tcW w:w="5472" w:type="dxa"/>
          </w:tcPr>
          <w:p w14:paraId="00F7C08D" w14:textId="77777777" w:rsidR="00DB6E1F" w:rsidRDefault="00F666A6">
            <w:pPr>
              <w:pStyle w:val="TableParagraph"/>
              <w:spacing w:line="242" w:lineRule="exact"/>
              <w:ind w:left="95"/>
              <w:rPr>
                <w:sz w:val="20"/>
              </w:rPr>
            </w:pPr>
            <w:r>
              <w:rPr>
                <w:color w:val="4D4D4F"/>
                <w:sz w:val="20"/>
              </w:rPr>
              <w:t>32.</w:t>
            </w:r>
            <w:r>
              <w:rPr>
                <w:color w:val="4D4D4F"/>
                <w:spacing w:val="18"/>
                <w:sz w:val="20"/>
              </w:rPr>
              <w:t xml:space="preserve"> </w:t>
            </w:r>
            <w:r>
              <w:rPr>
                <w:sz w:val="20"/>
              </w:rPr>
              <w:t>I</w:t>
            </w:r>
            <w:r>
              <w:rPr>
                <w:spacing w:val="2"/>
                <w:sz w:val="20"/>
              </w:rPr>
              <w:t xml:space="preserve"> </w:t>
            </w:r>
            <w:r>
              <w:rPr>
                <w:sz w:val="20"/>
              </w:rPr>
              <w:t>want</w:t>
            </w:r>
            <w:r>
              <w:rPr>
                <w:spacing w:val="2"/>
                <w:sz w:val="20"/>
              </w:rPr>
              <w:t xml:space="preserve"> </w:t>
            </w:r>
            <w:r>
              <w:rPr>
                <w:sz w:val="20"/>
              </w:rPr>
              <w:t>help</w:t>
            </w:r>
            <w:r>
              <w:rPr>
                <w:spacing w:val="4"/>
                <w:sz w:val="20"/>
              </w:rPr>
              <w:t xml:space="preserve"> </w:t>
            </w:r>
            <w:r>
              <w:rPr>
                <w:sz w:val="20"/>
              </w:rPr>
              <w:t>with</w:t>
            </w:r>
            <w:r>
              <w:rPr>
                <w:spacing w:val="3"/>
                <w:sz w:val="20"/>
              </w:rPr>
              <w:t xml:space="preserve"> </w:t>
            </w:r>
            <w:r>
              <w:rPr>
                <w:sz w:val="20"/>
              </w:rPr>
              <w:t>feelings</w:t>
            </w:r>
            <w:r>
              <w:rPr>
                <w:spacing w:val="1"/>
                <w:sz w:val="20"/>
              </w:rPr>
              <w:t xml:space="preserve"> </w:t>
            </w:r>
            <w:r>
              <w:rPr>
                <w:sz w:val="20"/>
              </w:rPr>
              <w:t>of</w:t>
            </w:r>
            <w:r>
              <w:rPr>
                <w:spacing w:val="1"/>
                <w:sz w:val="20"/>
              </w:rPr>
              <w:t xml:space="preserve"> </w:t>
            </w:r>
            <w:r>
              <w:rPr>
                <w:spacing w:val="-2"/>
                <w:sz w:val="20"/>
              </w:rPr>
              <w:t>loneliness.</w:t>
            </w:r>
          </w:p>
        </w:tc>
        <w:tc>
          <w:tcPr>
            <w:tcW w:w="936" w:type="dxa"/>
          </w:tcPr>
          <w:p w14:paraId="3BA292C0"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66E4AC10" w14:textId="77777777" w:rsidR="00DB6E1F" w:rsidRDefault="00F666A6">
            <w:pPr>
              <w:pStyle w:val="TableParagraph"/>
              <w:spacing w:line="242" w:lineRule="exact"/>
              <w:ind w:left="7"/>
              <w:jc w:val="center"/>
              <w:rPr>
                <w:sz w:val="20"/>
              </w:rPr>
            </w:pPr>
            <w:r>
              <w:rPr>
                <w:w w:val="99"/>
                <w:sz w:val="20"/>
              </w:rPr>
              <w:t>1</w:t>
            </w:r>
          </w:p>
        </w:tc>
        <w:tc>
          <w:tcPr>
            <w:tcW w:w="881" w:type="dxa"/>
          </w:tcPr>
          <w:p w14:paraId="6DA9BEB9" w14:textId="77777777" w:rsidR="00DB6E1F" w:rsidRDefault="00F666A6">
            <w:pPr>
              <w:pStyle w:val="TableParagraph"/>
              <w:spacing w:line="242" w:lineRule="exact"/>
              <w:ind w:left="388"/>
              <w:rPr>
                <w:sz w:val="20"/>
              </w:rPr>
            </w:pPr>
            <w:r>
              <w:rPr>
                <w:w w:val="99"/>
                <w:sz w:val="20"/>
              </w:rPr>
              <w:t>2</w:t>
            </w:r>
          </w:p>
        </w:tc>
        <w:tc>
          <w:tcPr>
            <w:tcW w:w="936" w:type="dxa"/>
          </w:tcPr>
          <w:p w14:paraId="2406A20A" w14:textId="77777777" w:rsidR="00DB6E1F" w:rsidRDefault="00F666A6">
            <w:pPr>
              <w:pStyle w:val="TableParagraph"/>
              <w:spacing w:line="242" w:lineRule="exact"/>
              <w:ind w:left="9"/>
              <w:jc w:val="center"/>
              <w:rPr>
                <w:sz w:val="20"/>
              </w:rPr>
            </w:pPr>
            <w:r>
              <w:rPr>
                <w:w w:val="99"/>
                <w:sz w:val="20"/>
              </w:rPr>
              <w:t>3</w:t>
            </w:r>
          </w:p>
        </w:tc>
      </w:tr>
      <w:tr w:rsidR="00DB6E1F" w14:paraId="74233E50" w14:textId="77777777">
        <w:trPr>
          <w:trHeight w:val="263"/>
        </w:trPr>
        <w:tc>
          <w:tcPr>
            <w:tcW w:w="5472" w:type="dxa"/>
          </w:tcPr>
          <w:p w14:paraId="1AF9160C" w14:textId="77777777" w:rsidR="00DB6E1F" w:rsidRDefault="00F666A6">
            <w:pPr>
              <w:pStyle w:val="TableParagraph"/>
              <w:spacing w:line="242" w:lineRule="exact"/>
              <w:ind w:left="95"/>
              <w:rPr>
                <w:sz w:val="20"/>
              </w:rPr>
            </w:pPr>
            <w:r>
              <w:rPr>
                <w:color w:val="4D4D4F"/>
                <w:sz w:val="20"/>
              </w:rPr>
              <w:t>33.</w:t>
            </w:r>
            <w:r>
              <w:rPr>
                <w:color w:val="4D4D4F"/>
                <w:spacing w:val="15"/>
                <w:sz w:val="20"/>
              </w:rPr>
              <w:t xml:space="preserve"> </w:t>
            </w:r>
            <w:r>
              <w:rPr>
                <w:sz w:val="20"/>
              </w:rPr>
              <w:t>I want to discuss</w:t>
            </w:r>
            <w:r>
              <w:rPr>
                <w:spacing w:val="-1"/>
                <w:sz w:val="20"/>
              </w:rPr>
              <w:t xml:space="preserve"> </w:t>
            </w:r>
            <w:r>
              <w:rPr>
                <w:sz w:val="20"/>
              </w:rPr>
              <w:t>having</w:t>
            </w:r>
            <w:r>
              <w:rPr>
                <w:spacing w:val="-1"/>
                <w:sz w:val="20"/>
              </w:rPr>
              <w:t xml:space="preserve"> </w:t>
            </w:r>
            <w:r>
              <w:rPr>
                <w:sz w:val="20"/>
              </w:rPr>
              <w:t>been</w:t>
            </w:r>
            <w:r>
              <w:rPr>
                <w:spacing w:val="3"/>
                <w:sz w:val="20"/>
              </w:rPr>
              <w:t xml:space="preserve"> </w:t>
            </w:r>
            <w:r>
              <w:rPr>
                <w:sz w:val="20"/>
              </w:rPr>
              <w:t>physically</w:t>
            </w:r>
            <w:r>
              <w:rPr>
                <w:spacing w:val="1"/>
                <w:sz w:val="20"/>
              </w:rPr>
              <w:t xml:space="preserve"> </w:t>
            </w:r>
            <w:r>
              <w:rPr>
                <w:spacing w:val="-2"/>
                <w:sz w:val="20"/>
              </w:rPr>
              <w:t>abused.</w:t>
            </w:r>
          </w:p>
        </w:tc>
        <w:tc>
          <w:tcPr>
            <w:tcW w:w="936" w:type="dxa"/>
          </w:tcPr>
          <w:p w14:paraId="60CF9B0E"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177C59FB" w14:textId="77777777" w:rsidR="00DB6E1F" w:rsidRDefault="00F666A6">
            <w:pPr>
              <w:pStyle w:val="TableParagraph"/>
              <w:spacing w:line="242" w:lineRule="exact"/>
              <w:ind w:left="7"/>
              <w:jc w:val="center"/>
              <w:rPr>
                <w:sz w:val="20"/>
              </w:rPr>
            </w:pPr>
            <w:r>
              <w:rPr>
                <w:w w:val="99"/>
                <w:sz w:val="20"/>
              </w:rPr>
              <w:t>1</w:t>
            </w:r>
          </w:p>
        </w:tc>
        <w:tc>
          <w:tcPr>
            <w:tcW w:w="881" w:type="dxa"/>
          </w:tcPr>
          <w:p w14:paraId="1894A942" w14:textId="77777777" w:rsidR="00DB6E1F" w:rsidRDefault="00F666A6">
            <w:pPr>
              <w:pStyle w:val="TableParagraph"/>
              <w:spacing w:line="242" w:lineRule="exact"/>
              <w:ind w:left="388"/>
              <w:rPr>
                <w:sz w:val="20"/>
              </w:rPr>
            </w:pPr>
            <w:r>
              <w:rPr>
                <w:w w:val="99"/>
                <w:sz w:val="20"/>
              </w:rPr>
              <w:t>2</w:t>
            </w:r>
          </w:p>
        </w:tc>
        <w:tc>
          <w:tcPr>
            <w:tcW w:w="936" w:type="dxa"/>
          </w:tcPr>
          <w:p w14:paraId="1A2E0FDD" w14:textId="77777777" w:rsidR="00DB6E1F" w:rsidRDefault="00F666A6">
            <w:pPr>
              <w:pStyle w:val="TableParagraph"/>
              <w:spacing w:line="242" w:lineRule="exact"/>
              <w:ind w:left="9"/>
              <w:jc w:val="center"/>
              <w:rPr>
                <w:sz w:val="20"/>
              </w:rPr>
            </w:pPr>
            <w:r>
              <w:rPr>
                <w:w w:val="99"/>
                <w:sz w:val="20"/>
              </w:rPr>
              <w:t>3</w:t>
            </w:r>
          </w:p>
        </w:tc>
      </w:tr>
      <w:tr w:rsidR="00DB6E1F" w14:paraId="6F79A201" w14:textId="77777777">
        <w:trPr>
          <w:trHeight w:val="263"/>
        </w:trPr>
        <w:tc>
          <w:tcPr>
            <w:tcW w:w="5472" w:type="dxa"/>
          </w:tcPr>
          <w:p w14:paraId="071A89A3" w14:textId="77777777" w:rsidR="00DB6E1F" w:rsidRDefault="00F666A6">
            <w:pPr>
              <w:pStyle w:val="TableParagraph"/>
              <w:spacing w:line="242" w:lineRule="exact"/>
              <w:ind w:left="95"/>
              <w:rPr>
                <w:sz w:val="20"/>
              </w:rPr>
            </w:pPr>
            <w:r>
              <w:rPr>
                <w:color w:val="4D4D4F"/>
                <w:sz w:val="20"/>
              </w:rPr>
              <w:t>34.</w:t>
            </w:r>
            <w:r>
              <w:rPr>
                <w:color w:val="4D4D4F"/>
                <w:spacing w:val="17"/>
                <w:sz w:val="20"/>
              </w:rPr>
              <w:t xml:space="preserve"> </w:t>
            </w:r>
            <w:r>
              <w:rPr>
                <w:sz w:val="20"/>
              </w:rPr>
              <w:t>I</w:t>
            </w:r>
            <w:r>
              <w:rPr>
                <w:spacing w:val="1"/>
                <w:sz w:val="20"/>
              </w:rPr>
              <w:t xml:space="preserve"> </w:t>
            </w:r>
            <w:r>
              <w:rPr>
                <w:sz w:val="20"/>
              </w:rPr>
              <w:t>want</w:t>
            </w:r>
            <w:r>
              <w:rPr>
                <w:spacing w:val="1"/>
                <w:sz w:val="20"/>
              </w:rPr>
              <w:t xml:space="preserve"> </w:t>
            </w:r>
            <w:r>
              <w:rPr>
                <w:sz w:val="20"/>
              </w:rPr>
              <w:t>help</w:t>
            </w:r>
            <w:r>
              <w:rPr>
                <w:spacing w:val="2"/>
                <w:sz w:val="20"/>
              </w:rPr>
              <w:t xml:space="preserve"> </w:t>
            </w:r>
            <w:r>
              <w:rPr>
                <w:sz w:val="20"/>
              </w:rPr>
              <w:t>to</w:t>
            </w:r>
            <w:r>
              <w:rPr>
                <w:spacing w:val="2"/>
                <w:sz w:val="20"/>
              </w:rPr>
              <w:t xml:space="preserve"> </w:t>
            </w:r>
            <w:r>
              <w:rPr>
                <w:sz w:val="20"/>
              </w:rPr>
              <w:t>prevent</w:t>
            </w:r>
            <w:r>
              <w:rPr>
                <w:spacing w:val="1"/>
                <w:sz w:val="20"/>
              </w:rPr>
              <w:t xml:space="preserve"> </w:t>
            </w:r>
            <w:r>
              <w:rPr>
                <w:sz w:val="20"/>
              </w:rPr>
              <w:t>violence at</w:t>
            </w:r>
            <w:r>
              <w:rPr>
                <w:spacing w:val="1"/>
                <w:sz w:val="20"/>
              </w:rPr>
              <w:t xml:space="preserve"> </w:t>
            </w:r>
            <w:r>
              <w:rPr>
                <w:spacing w:val="-4"/>
                <w:sz w:val="20"/>
              </w:rPr>
              <w:t>home.</w:t>
            </w:r>
          </w:p>
        </w:tc>
        <w:tc>
          <w:tcPr>
            <w:tcW w:w="936" w:type="dxa"/>
          </w:tcPr>
          <w:p w14:paraId="201EEE62"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5DABF9F8" w14:textId="77777777" w:rsidR="00DB6E1F" w:rsidRDefault="00F666A6">
            <w:pPr>
              <w:pStyle w:val="TableParagraph"/>
              <w:spacing w:line="242" w:lineRule="exact"/>
              <w:ind w:left="7"/>
              <w:jc w:val="center"/>
              <w:rPr>
                <w:sz w:val="20"/>
              </w:rPr>
            </w:pPr>
            <w:r>
              <w:rPr>
                <w:w w:val="99"/>
                <w:sz w:val="20"/>
              </w:rPr>
              <w:t>1</w:t>
            </w:r>
          </w:p>
        </w:tc>
        <w:tc>
          <w:tcPr>
            <w:tcW w:w="881" w:type="dxa"/>
          </w:tcPr>
          <w:p w14:paraId="29A18D2A" w14:textId="77777777" w:rsidR="00DB6E1F" w:rsidRDefault="00F666A6">
            <w:pPr>
              <w:pStyle w:val="TableParagraph"/>
              <w:spacing w:line="242" w:lineRule="exact"/>
              <w:ind w:left="388"/>
              <w:rPr>
                <w:sz w:val="20"/>
              </w:rPr>
            </w:pPr>
            <w:r>
              <w:rPr>
                <w:w w:val="99"/>
                <w:sz w:val="20"/>
              </w:rPr>
              <w:t>2</w:t>
            </w:r>
          </w:p>
        </w:tc>
        <w:tc>
          <w:tcPr>
            <w:tcW w:w="936" w:type="dxa"/>
          </w:tcPr>
          <w:p w14:paraId="35B15794" w14:textId="77777777" w:rsidR="00DB6E1F" w:rsidRDefault="00F666A6">
            <w:pPr>
              <w:pStyle w:val="TableParagraph"/>
              <w:spacing w:line="242" w:lineRule="exact"/>
              <w:ind w:left="9"/>
              <w:jc w:val="center"/>
              <w:rPr>
                <w:sz w:val="20"/>
              </w:rPr>
            </w:pPr>
            <w:r>
              <w:rPr>
                <w:w w:val="99"/>
                <w:sz w:val="20"/>
              </w:rPr>
              <w:t>3</w:t>
            </w:r>
          </w:p>
        </w:tc>
      </w:tr>
      <w:tr w:rsidR="00DB6E1F" w14:paraId="15F486E3" w14:textId="77777777">
        <w:trPr>
          <w:trHeight w:val="263"/>
        </w:trPr>
        <w:tc>
          <w:tcPr>
            <w:tcW w:w="5472" w:type="dxa"/>
          </w:tcPr>
          <w:p w14:paraId="2848E704" w14:textId="77777777" w:rsidR="00DB6E1F" w:rsidRDefault="00F666A6">
            <w:pPr>
              <w:pStyle w:val="TableParagraph"/>
              <w:spacing w:line="242" w:lineRule="exact"/>
              <w:ind w:left="95"/>
              <w:rPr>
                <w:sz w:val="20"/>
              </w:rPr>
            </w:pPr>
            <w:r>
              <w:rPr>
                <w:color w:val="4D4D4F"/>
                <w:sz w:val="20"/>
              </w:rPr>
              <w:t>35.</w:t>
            </w:r>
            <w:r>
              <w:rPr>
                <w:color w:val="4D4D4F"/>
                <w:spacing w:val="16"/>
                <w:sz w:val="20"/>
              </w:rPr>
              <w:t xml:space="preserve"> </w:t>
            </w:r>
            <w:r>
              <w:rPr>
                <w:sz w:val="20"/>
              </w:rPr>
              <w:t>I</w:t>
            </w:r>
            <w:r>
              <w:rPr>
                <w:spacing w:val="-1"/>
                <w:sz w:val="20"/>
              </w:rPr>
              <w:t xml:space="preserve"> </w:t>
            </w:r>
            <w:r>
              <w:rPr>
                <w:sz w:val="20"/>
              </w:rPr>
              <w:t>want to discuss</w:t>
            </w:r>
            <w:r>
              <w:rPr>
                <w:spacing w:val="-1"/>
                <w:sz w:val="20"/>
              </w:rPr>
              <w:t xml:space="preserve"> </w:t>
            </w:r>
            <w:r>
              <w:rPr>
                <w:sz w:val="20"/>
              </w:rPr>
              <w:t>having been</w:t>
            </w:r>
            <w:r>
              <w:rPr>
                <w:spacing w:val="3"/>
                <w:sz w:val="20"/>
              </w:rPr>
              <w:t xml:space="preserve"> </w:t>
            </w:r>
            <w:r>
              <w:rPr>
                <w:sz w:val="20"/>
              </w:rPr>
              <w:t>sexually</w:t>
            </w:r>
            <w:r>
              <w:rPr>
                <w:spacing w:val="1"/>
                <w:sz w:val="20"/>
              </w:rPr>
              <w:t xml:space="preserve"> </w:t>
            </w:r>
            <w:r>
              <w:rPr>
                <w:spacing w:val="-2"/>
                <w:sz w:val="20"/>
              </w:rPr>
              <w:t>abused.</w:t>
            </w:r>
          </w:p>
        </w:tc>
        <w:tc>
          <w:tcPr>
            <w:tcW w:w="936" w:type="dxa"/>
          </w:tcPr>
          <w:p w14:paraId="0FD3589A"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39FABEBF" w14:textId="77777777" w:rsidR="00DB6E1F" w:rsidRDefault="00F666A6">
            <w:pPr>
              <w:pStyle w:val="TableParagraph"/>
              <w:spacing w:line="242" w:lineRule="exact"/>
              <w:ind w:left="7"/>
              <w:jc w:val="center"/>
              <w:rPr>
                <w:sz w:val="20"/>
              </w:rPr>
            </w:pPr>
            <w:r>
              <w:rPr>
                <w:w w:val="99"/>
                <w:sz w:val="20"/>
              </w:rPr>
              <w:t>1</w:t>
            </w:r>
          </w:p>
        </w:tc>
        <w:tc>
          <w:tcPr>
            <w:tcW w:w="881" w:type="dxa"/>
          </w:tcPr>
          <w:p w14:paraId="63748511" w14:textId="77777777" w:rsidR="00DB6E1F" w:rsidRDefault="00F666A6">
            <w:pPr>
              <w:pStyle w:val="TableParagraph"/>
              <w:spacing w:line="242" w:lineRule="exact"/>
              <w:ind w:left="388"/>
              <w:rPr>
                <w:sz w:val="20"/>
              </w:rPr>
            </w:pPr>
            <w:r>
              <w:rPr>
                <w:w w:val="99"/>
                <w:sz w:val="20"/>
              </w:rPr>
              <w:t>2</w:t>
            </w:r>
          </w:p>
        </w:tc>
        <w:tc>
          <w:tcPr>
            <w:tcW w:w="936" w:type="dxa"/>
          </w:tcPr>
          <w:p w14:paraId="0821DBA9" w14:textId="77777777" w:rsidR="00DB6E1F" w:rsidRDefault="00F666A6">
            <w:pPr>
              <w:pStyle w:val="TableParagraph"/>
              <w:spacing w:line="242" w:lineRule="exact"/>
              <w:ind w:left="9"/>
              <w:jc w:val="center"/>
              <w:rPr>
                <w:sz w:val="20"/>
              </w:rPr>
            </w:pPr>
            <w:r>
              <w:rPr>
                <w:w w:val="99"/>
                <w:sz w:val="20"/>
              </w:rPr>
              <w:t>3</w:t>
            </w:r>
          </w:p>
        </w:tc>
      </w:tr>
      <w:tr w:rsidR="00DB6E1F" w14:paraId="731FBC21" w14:textId="77777777">
        <w:trPr>
          <w:trHeight w:val="263"/>
        </w:trPr>
        <w:tc>
          <w:tcPr>
            <w:tcW w:w="5472" w:type="dxa"/>
          </w:tcPr>
          <w:p w14:paraId="60E7778C" w14:textId="77777777" w:rsidR="00DB6E1F" w:rsidRDefault="00F666A6">
            <w:pPr>
              <w:pStyle w:val="TableParagraph"/>
              <w:spacing w:line="242" w:lineRule="exact"/>
              <w:ind w:left="95"/>
              <w:rPr>
                <w:sz w:val="20"/>
              </w:rPr>
            </w:pPr>
            <w:r>
              <w:rPr>
                <w:color w:val="4D4D4F"/>
                <w:sz w:val="20"/>
              </w:rPr>
              <w:t>36.</w:t>
            </w:r>
            <w:r>
              <w:rPr>
                <w:color w:val="4D4D4F"/>
                <w:spacing w:val="17"/>
                <w:sz w:val="20"/>
              </w:rPr>
              <w:t xml:space="preserve"> </w:t>
            </w:r>
            <w:r>
              <w:rPr>
                <w:sz w:val="20"/>
              </w:rPr>
              <w:t>I want</w:t>
            </w:r>
            <w:r>
              <w:rPr>
                <w:spacing w:val="1"/>
                <w:sz w:val="20"/>
              </w:rPr>
              <w:t xml:space="preserve"> </w:t>
            </w:r>
            <w:r>
              <w:rPr>
                <w:sz w:val="20"/>
              </w:rPr>
              <w:t>to</w:t>
            </w:r>
            <w:r>
              <w:rPr>
                <w:spacing w:val="1"/>
                <w:sz w:val="20"/>
              </w:rPr>
              <w:t xml:space="preserve"> </w:t>
            </w:r>
            <w:r>
              <w:rPr>
                <w:sz w:val="20"/>
              </w:rPr>
              <w:t>work</w:t>
            </w:r>
            <w:r>
              <w:rPr>
                <w:spacing w:val="2"/>
                <w:sz w:val="20"/>
              </w:rPr>
              <w:t xml:space="preserve"> </w:t>
            </w:r>
            <w:r>
              <w:rPr>
                <w:sz w:val="20"/>
              </w:rPr>
              <w:t>on</w:t>
            </w:r>
            <w:r>
              <w:rPr>
                <w:spacing w:val="1"/>
                <w:sz w:val="20"/>
              </w:rPr>
              <w:t xml:space="preserve"> </w:t>
            </w:r>
            <w:r>
              <w:rPr>
                <w:sz w:val="20"/>
              </w:rPr>
              <w:t>having</w:t>
            </w:r>
            <w:r>
              <w:rPr>
                <w:spacing w:val="1"/>
                <w:sz w:val="20"/>
              </w:rPr>
              <w:t xml:space="preserve"> </w:t>
            </w:r>
            <w:r>
              <w:rPr>
                <w:sz w:val="20"/>
              </w:rPr>
              <w:t>better</w:t>
            </w:r>
            <w:r>
              <w:rPr>
                <w:spacing w:val="1"/>
                <w:sz w:val="20"/>
              </w:rPr>
              <w:t xml:space="preserve"> </w:t>
            </w:r>
            <w:r>
              <w:rPr>
                <w:sz w:val="20"/>
              </w:rPr>
              <w:t>self-</w:t>
            </w:r>
            <w:r>
              <w:rPr>
                <w:spacing w:val="-2"/>
                <w:sz w:val="20"/>
              </w:rPr>
              <w:t>esteem.</w:t>
            </w:r>
          </w:p>
        </w:tc>
        <w:tc>
          <w:tcPr>
            <w:tcW w:w="936" w:type="dxa"/>
          </w:tcPr>
          <w:p w14:paraId="2AE221D5"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4038B867" w14:textId="77777777" w:rsidR="00DB6E1F" w:rsidRDefault="00F666A6">
            <w:pPr>
              <w:pStyle w:val="TableParagraph"/>
              <w:spacing w:line="242" w:lineRule="exact"/>
              <w:ind w:left="7"/>
              <w:jc w:val="center"/>
              <w:rPr>
                <w:sz w:val="20"/>
              </w:rPr>
            </w:pPr>
            <w:r>
              <w:rPr>
                <w:w w:val="99"/>
                <w:sz w:val="20"/>
              </w:rPr>
              <w:t>1</w:t>
            </w:r>
          </w:p>
        </w:tc>
        <w:tc>
          <w:tcPr>
            <w:tcW w:w="881" w:type="dxa"/>
          </w:tcPr>
          <w:p w14:paraId="5B0720F5" w14:textId="77777777" w:rsidR="00DB6E1F" w:rsidRDefault="00F666A6">
            <w:pPr>
              <w:pStyle w:val="TableParagraph"/>
              <w:spacing w:line="242" w:lineRule="exact"/>
              <w:ind w:left="388"/>
              <w:rPr>
                <w:sz w:val="20"/>
              </w:rPr>
            </w:pPr>
            <w:r>
              <w:rPr>
                <w:w w:val="99"/>
                <w:sz w:val="20"/>
              </w:rPr>
              <w:t>2</w:t>
            </w:r>
          </w:p>
        </w:tc>
        <w:tc>
          <w:tcPr>
            <w:tcW w:w="936" w:type="dxa"/>
          </w:tcPr>
          <w:p w14:paraId="3B88332B" w14:textId="77777777" w:rsidR="00DB6E1F" w:rsidRDefault="00F666A6">
            <w:pPr>
              <w:pStyle w:val="TableParagraph"/>
              <w:spacing w:line="242" w:lineRule="exact"/>
              <w:ind w:left="9"/>
              <w:jc w:val="center"/>
              <w:rPr>
                <w:sz w:val="20"/>
              </w:rPr>
            </w:pPr>
            <w:r>
              <w:rPr>
                <w:w w:val="99"/>
                <w:sz w:val="20"/>
              </w:rPr>
              <w:t>3</w:t>
            </w:r>
          </w:p>
        </w:tc>
      </w:tr>
      <w:tr w:rsidR="00DB6E1F" w14:paraId="5E14C7BD" w14:textId="77777777">
        <w:trPr>
          <w:trHeight w:val="263"/>
        </w:trPr>
        <w:tc>
          <w:tcPr>
            <w:tcW w:w="5472" w:type="dxa"/>
          </w:tcPr>
          <w:p w14:paraId="23813115" w14:textId="77777777" w:rsidR="00DB6E1F" w:rsidRDefault="00F666A6">
            <w:pPr>
              <w:pStyle w:val="TableParagraph"/>
              <w:spacing w:line="242" w:lineRule="exact"/>
              <w:ind w:left="95"/>
              <w:rPr>
                <w:sz w:val="20"/>
              </w:rPr>
            </w:pPr>
            <w:r>
              <w:rPr>
                <w:color w:val="4D4D4F"/>
                <w:sz w:val="20"/>
              </w:rPr>
              <w:t>37.</w:t>
            </w:r>
            <w:r>
              <w:rPr>
                <w:color w:val="4D4D4F"/>
                <w:spacing w:val="19"/>
                <w:sz w:val="20"/>
              </w:rPr>
              <w:t xml:space="preserve"> </w:t>
            </w:r>
            <w:r>
              <w:rPr>
                <w:sz w:val="20"/>
              </w:rPr>
              <w:t>I</w:t>
            </w:r>
            <w:r>
              <w:rPr>
                <w:spacing w:val="3"/>
                <w:sz w:val="20"/>
              </w:rPr>
              <w:t xml:space="preserve"> </w:t>
            </w:r>
            <w:r>
              <w:rPr>
                <w:sz w:val="20"/>
              </w:rPr>
              <w:t>want</w:t>
            </w:r>
            <w:r>
              <w:rPr>
                <w:spacing w:val="3"/>
                <w:sz w:val="20"/>
              </w:rPr>
              <w:t xml:space="preserve"> </w:t>
            </w:r>
            <w:r>
              <w:rPr>
                <w:sz w:val="20"/>
              </w:rPr>
              <w:t>help</w:t>
            </w:r>
            <w:r>
              <w:rPr>
                <w:spacing w:val="4"/>
                <w:sz w:val="20"/>
              </w:rPr>
              <w:t xml:space="preserve"> </w:t>
            </w:r>
            <w:r>
              <w:rPr>
                <w:sz w:val="20"/>
              </w:rPr>
              <w:t>with</w:t>
            </w:r>
            <w:r>
              <w:rPr>
                <w:spacing w:val="4"/>
                <w:sz w:val="20"/>
              </w:rPr>
              <w:t xml:space="preserve"> </w:t>
            </w:r>
            <w:r>
              <w:rPr>
                <w:sz w:val="20"/>
              </w:rPr>
              <w:t>sleep</w:t>
            </w:r>
            <w:r>
              <w:rPr>
                <w:spacing w:val="3"/>
                <w:sz w:val="20"/>
              </w:rPr>
              <w:t xml:space="preserve"> </w:t>
            </w:r>
            <w:r>
              <w:rPr>
                <w:spacing w:val="-2"/>
                <w:sz w:val="20"/>
              </w:rPr>
              <w:t>problems.</w:t>
            </w:r>
          </w:p>
        </w:tc>
        <w:tc>
          <w:tcPr>
            <w:tcW w:w="936" w:type="dxa"/>
          </w:tcPr>
          <w:p w14:paraId="2E44A61B"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1AA52B7C" w14:textId="77777777" w:rsidR="00DB6E1F" w:rsidRDefault="00F666A6">
            <w:pPr>
              <w:pStyle w:val="TableParagraph"/>
              <w:spacing w:line="242" w:lineRule="exact"/>
              <w:ind w:left="7"/>
              <w:jc w:val="center"/>
              <w:rPr>
                <w:sz w:val="20"/>
              </w:rPr>
            </w:pPr>
            <w:r>
              <w:rPr>
                <w:w w:val="99"/>
                <w:sz w:val="20"/>
              </w:rPr>
              <w:t>1</w:t>
            </w:r>
          </w:p>
        </w:tc>
        <w:tc>
          <w:tcPr>
            <w:tcW w:w="881" w:type="dxa"/>
          </w:tcPr>
          <w:p w14:paraId="4D81E713" w14:textId="77777777" w:rsidR="00DB6E1F" w:rsidRDefault="00F666A6">
            <w:pPr>
              <w:pStyle w:val="TableParagraph"/>
              <w:spacing w:line="242" w:lineRule="exact"/>
              <w:ind w:left="388"/>
              <w:rPr>
                <w:sz w:val="20"/>
              </w:rPr>
            </w:pPr>
            <w:r>
              <w:rPr>
                <w:w w:val="99"/>
                <w:sz w:val="20"/>
              </w:rPr>
              <w:t>2</w:t>
            </w:r>
          </w:p>
        </w:tc>
        <w:tc>
          <w:tcPr>
            <w:tcW w:w="936" w:type="dxa"/>
          </w:tcPr>
          <w:p w14:paraId="0B8A9222" w14:textId="77777777" w:rsidR="00DB6E1F" w:rsidRDefault="00F666A6">
            <w:pPr>
              <w:pStyle w:val="TableParagraph"/>
              <w:spacing w:line="242" w:lineRule="exact"/>
              <w:ind w:left="9"/>
              <w:jc w:val="center"/>
              <w:rPr>
                <w:sz w:val="20"/>
              </w:rPr>
            </w:pPr>
            <w:r>
              <w:rPr>
                <w:w w:val="99"/>
                <w:sz w:val="20"/>
              </w:rPr>
              <w:t>3</w:t>
            </w:r>
          </w:p>
        </w:tc>
      </w:tr>
      <w:tr w:rsidR="00DB6E1F" w14:paraId="6D7F0D0F" w14:textId="77777777">
        <w:trPr>
          <w:trHeight w:val="263"/>
        </w:trPr>
        <w:tc>
          <w:tcPr>
            <w:tcW w:w="5472" w:type="dxa"/>
          </w:tcPr>
          <w:p w14:paraId="5E3F9000" w14:textId="77777777" w:rsidR="00DB6E1F" w:rsidRDefault="00F666A6">
            <w:pPr>
              <w:pStyle w:val="TableParagraph"/>
              <w:spacing w:line="242" w:lineRule="exact"/>
              <w:ind w:left="95"/>
              <w:rPr>
                <w:sz w:val="20"/>
              </w:rPr>
            </w:pPr>
            <w:r>
              <w:rPr>
                <w:color w:val="4D4D4F"/>
                <w:sz w:val="20"/>
              </w:rPr>
              <w:t>38.</w:t>
            </w:r>
            <w:r>
              <w:rPr>
                <w:color w:val="4D4D4F"/>
                <w:spacing w:val="19"/>
                <w:sz w:val="20"/>
              </w:rPr>
              <w:t xml:space="preserve"> </w:t>
            </w:r>
            <w:r>
              <w:rPr>
                <w:sz w:val="20"/>
              </w:rPr>
              <w:t>I</w:t>
            </w:r>
            <w:r>
              <w:rPr>
                <w:spacing w:val="3"/>
                <w:sz w:val="20"/>
              </w:rPr>
              <w:t xml:space="preserve"> </w:t>
            </w:r>
            <w:r>
              <w:rPr>
                <w:sz w:val="20"/>
              </w:rPr>
              <w:t>want</w:t>
            </w:r>
            <w:r>
              <w:rPr>
                <w:spacing w:val="3"/>
                <w:sz w:val="20"/>
              </w:rPr>
              <w:t xml:space="preserve"> </w:t>
            </w:r>
            <w:r>
              <w:rPr>
                <w:sz w:val="20"/>
              </w:rPr>
              <w:t>help</w:t>
            </w:r>
            <w:r>
              <w:rPr>
                <w:spacing w:val="4"/>
                <w:sz w:val="20"/>
              </w:rPr>
              <w:t xml:space="preserve"> </w:t>
            </w:r>
            <w:r>
              <w:rPr>
                <w:sz w:val="20"/>
              </w:rPr>
              <w:t>with</w:t>
            </w:r>
            <w:r>
              <w:rPr>
                <w:spacing w:val="4"/>
                <w:sz w:val="20"/>
              </w:rPr>
              <w:t xml:space="preserve"> </w:t>
            </w:r>
            <w:r>
              <w:rPr>
                <w:sz w:val="20"/>
              </w:rPr>
              <w:t>legal</w:t>
            </w:r>
            <w:r>
              <w:rPr>
                <w:spacing w:val="3"/>
                <w:sz w:val="20"/>
              </w:rPr>
              <w:t xml:space="preserve"> </w:t>
            </w:r>
            <w:r>
              <w:rPr>
                <w:spacing w:val="-2"/>
                <w:sz w:val="20"/>
              </w:rPr>
              <w:t>problems.</w:t>
            </w:r>
          </w:p>
        </w:tc>
        <w:tc>
          <w:tcPr>
            <w:tcW w:w="936" w:type="dxa"/>
          </w:tcPr>
          <w:p w14:paraId="478430E2"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3554229F" w14:textId="77777777" w:rsidR="00DB6E1F" w:rsidRDefault="00F666A6">
            <w:pPr>
              <w:pStyle w:val="TableParagraph"/>
              <w:spacing w:line="242" w:lineRule="exact"/>
              <w:ind w:left="7"/>
              <w:jc w:val="center"/>
              <w:rPr>
                <w:sz w:val="20"/>
              </w:rPr>
            </w:pPr>
            <w:r>
              <w:rPr>
                <w:w w:val="99"/>
                <w:sz w:val="20"/>
              </w:rPr>
              <w:t>1</w:t>
            </w:r>
          </w:p>
        </w:tc>
        <w:tc>
          <w:tcPr>
            <w:tcW w:w="881" w:type="dxa"/>
          </w:tcPr>
          <w:p w14:paraId="77C10367" w14:textId="77777777" w:rsidR="00DB6E1F" w:rsidRDefault="00F666A6">
            <w:pPr>
              <w:pStyle w:val="TableParagraph"/>
              <w:spacing w:line="242" w:lineRule="exact"/>
              <w:ind w:left="388"/>
              <w:rPr>
                <w:sz w:val="20"/>
              </w:rPr>
            </w:pPr>
            <w:r>
              <w:rPr>
                <w:w w:val="99"/>
                <w:sz w:val="20"/>
              </w:rPr>
              <w:t>2</w:t>
            </w:r>
          </w:p>
        </w:tc>
        <w:tc>
          <w:tcPr>
            <w:tcW w:w="936" w:type="dxa"/>
          </w:tcPr>
          <w:p w14:paraId="42AC77DC" w14:textId="77777777" w:rsidR="00DB6E1F" w:rsidRDefault="00F666A6">
            <w:pPr>
              <w:pStyle w:val="TableParagraph"/>
              <w:spacing w:line="242" w:lineRule="exact"/>
              <w:ind w:left="9"/>
              <w:jc w:val="center"/>
              <w:rPr>
                <w:sz w:val="20"/>
              </w:rPr>
            </w:pPr>
            <w:r>
              <w:rPr>
                <w:w w:val="99"/>
                <w:sz w:val="20"/>
              </w:rPr>
              <w:t>3</w:t>
            </w:r>
          </w:p>
        </w:tc>
      </w:tr>
      <w:tr w:rsidR="00DB6E1F" w14:paraId="16804685" w14:textId="77777777">
        <w:trPr>
          <w:trHeight w:val="263"/>
        </w:trPr>
        <w:tc>
          <w:tcPr>
            <w:tcW w:w="5472" w:type="dxa"/>
          </w:tcPr>
          <w:p w14:paraId="3E24E5FF" w14:textId="77777777" w:rsidR="00DB6E1F" w:rsidRDefault="00F666A6">
            <w:pPr>
              <w:pStyle w:val="TableParagraph"/>
              <w:spacing w:line="242" w:lineRule="exact"/>
              <w:ind w:left="95"/>
              <w:rPr>
                <w:sz w:val="20"/>
              </w:rPr>
            </w:pPr>
            <w:r>
              <w:rPr>
                <w:color w:val="4D4D4F"/>
                <w:sz w:val="20"/>
              </w:rPr>
              <w:t>39.</w:t>
            </w:r>
            <w:r>
              <w:rPr>
                <w:color w:val="4D4D4F"/>
                <w:spacing w:val="18"/>
                <w:sz w:val="20"/>
              </w:rPr>
              <w:t xml:space="preserve"> </w:t>
            </w:r>
            <w:r>
              <w:rPr>
                <w:sz w:val="20"/>
              </w:rPr>
              <w:t>I</w:t>
            </w:r>
            <w:r>
              <w:rPr>
                <w:spacing w:val="2"/>
                <w:sz w:val="20"/>
              </w:rPr>
              <w:t xml:space="preserve"> </w:t>
            </w:r>
            <w:r>
              <w:rPr>
                <w:sz w:val="20"/>
              </w:rPr>
              <w:t>want</w:t>
            </w:r>
            <w:r>
              <w:rPr>
                <w:spacing w:val="2"/>
                <w:sz w:val="20"/>
              </w:rPr>
              <w:t xml:space="preserve"> </w:t>
            </w:r>
            <w:r>
              <w:rPr>
                <w:sz w:val="20"/>
              </w:rPr>
              <w:t>advice about</w:t>
            </w:r>
            <w:r>
              <w:rPr>
                <w:spacing w:val="2"/>
                <w:sz w:val="20"/>
              </w:rPr>
              <w:t xml:space="preserve"> </w:t>
            </w:r>
            <w:r>
              <w:rPr>
                <w:sz w:val="20"/>
              </w:rPr>
              <w:t>financial</w:t>
            </w:r>
            <w:r>
              <w:rPr>
                <w:spacing w:val="2"/>
                <w:sz w:val="20"/>
              </w:rPr>
              <w:t xml:space="preserve"> </w:t>
            </w:r>
            <w:r>
              <w:rPr>
                <w:spacing w:val="-2"/>
                <w:sz w:val="20"/>
              </w:rPr>
              <w:t>problems.</w:t>
            </w:r>
          </w:p>
        </w:tc>
        <w:tc>
          <w:tcPr>
            <w:tcW w:w="936" w:type="dxa"/>
          </w:tcPr>
          <w:p w14:paraId="289830B2"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7190D3F5" w14:textId="77777777" w:rsidR="00DB6E1F" w:rsidRDefault="00F666A6">
            <w:pPr>
              <w:pStyle w:val="TableParagraph"/>
              <w:spacing w:line="242" w:lineRule="exact"/>
              <w:ind w:left="7"/>
              <w:jc w:val="center"/>
              <w:rPr>
                <w:sz w:val="20"/>
              </w:rPr>
            </w:pPr>
            <w:r>
              <w:rPr>
                <w:w w:val="99"/>
                <w:sz w:val="20"/>
              </w:rPr>
              <w:t>1</w:t>
            </w:r>
          </w:p>
        </w:tc>
        <w:tc>
          <w:tcPr>
            <w:tcW w:w="881" w:type="dxa"/>
          </w:tcPr>
          <w:p w14:paraId="5C206027" w14:textId="77777777" w:rsidR="00DB6E1F" w:rsidRDefault="00F666A6">
            <w:pPr>
              <w:pStyle w:val="TableParagraph"/>
              <w:spacing w:line="242" w:lineRule="exact"/>
              <w:ind w:left="388"/>
              <w:rPr>
                <w:sz w:val="20"/>
              </w:rPr>
            </w:pPr>
            <w:r>
              <w:rPr>
                <w:w w:val="99"/>
                <w:sz w:val="20"/>
              </w:rPr>
              <w:t>2</w:t>
            </w:r>
          </w:p>
        </w:tc>
        <w:tc>
          <w:tcPr>
            <w:tcW w:w="936" w:type="dxa"/>
          </w:tcPr>
          <w:p w14:paraId="6115A5A3" w14:textId="77777777" w:rsidR="00DB6E1F" w:rsidRDefault="00F666A6">
            <w:pPr>
              <w:pStyle w:val="TableParagraph"/>
              <w:spacing w:line="242" w:lineRule="exact"/>
              <w:ind w:left="9"/>
              <w:jc w:val="center"/>
              <w:rPr>
                <w:sz w:val="20"/>
              </w:rPr>
            </w:pPr>
            <w:r>
              <w:rPr>
                <w:w w:val="99"/>
                <w:sz w:val="20"/>
              </w:rPr>
              <w:t>3</w:t>
            </w:r>
          </w:p>
        </w:tc>
      </w:tr>
      <w:tr w:rsidR="00DB6E1F" w14:paraId="1DCEBF80" w14:textId="77777777">
        <w:trPr>
          <w:trHeight w:val="263"/>
        </w:trPr>
        <w:tc>
          <w:tcPr>
            <w:tcW w:w="5472" w:type="dxa"/>
          </w:tcPr>
          <w:p w14:paraId="521E09CC" w14:textId="77777777" w:rsidR="00DB6E1F" w:rsidRDefault="00F666A6">
            <w:pPr>
              <w:pStyle w:val="TableParagraph"/>
              <w:spacing w:line="242" w:lineRule="exact"/>
              <w:ind w:left="95"/>
              <w:rPr>
                <w:sz w:val="20"/>
              </w:rPr>
            </w:pPr>
            <w:r>
              <w:rPr>
                <w:color w:val="4D4D4F"/>
                <w:sz w:val="20"/>
              </w:rPr>
              <w:t>40.</w:t>
            </w:r>
            <w:r>
              <w:rPr>
                <w:color w:val="4D4D4F"/>
                <w:spacing w:val="16"/>
                <w:sz w:val="20"/>
              </w:rPr>
              <w:t xml:space="preserve"> </w:t>
            </w:r>
            <w:r>
              <w:rPr>
                <w:sz w:val="20"/>
              </w:rPr>
              <w:t>I would</w:t>
            </w:r>
            <w:r>
              <w:rPr>
                <w:spacing w:val="2"/>
                <w:sz w:val="20"/>
              </w:rPr>
              <w:t xml:space="preserve"> </w:t>
            </w:r>
            <w:r>
              <w:rPr>
                <w:sz w:val="20"/>
              </w:rPr>
              <w:t>like</w:t>
            </w:r>
            <w:r>
              <w:rPr>
                <w:spacing w:val="-1"/>
                <w:sz w:val="20"/>
              </w:rPr>
              <w:t xml:space="preserve"> </w:t>
            </w:r>
            <w:r>
              <w:rPr>
                <w:sz w:val="20"/>
              </w:rPr>
              <w:t>help</w:t>
            </w:r>
            <w:r>
              <w:rPr>
                <w:spacing w:val="2"/>
                <w:sz w:val="20"/>
              </w:rPr>
              <w:t xml:space="preserve"> </w:t>
            </w:r>
            <w:r>
              <w:rPr>
                <w:sz w:val="20"/>
              </w:rPr>
              <w:t>in</w:t>
            </w:r>
            <w:r>
              <w:rPr>
                <w:spacing w:val="1"/>
                <w:sz w:val="20"/>
              </w:rPr>
              <w:t xml:space="preserve"> </w:t>
            </w:r>
            <w:r>
              <w:rPr>
                <w:sz w:val="20"/>
              </w:rPr>
              <w:t>finding a</w:t>
            </w:r>
            <w:r>
              <w:rPr>
                <w:spacing w:val="2"/>
                <w:sz w:val="20"/>
              </w:rPr>
              <w:t xml:space="preserve"> </w:t>
            </w:r>
            <w:r>
              <w:rPr>
                <w:sz w:val="20"/>
              </w:rPr>
              <w:t>place</w:t>
            </w:r>
            <w:r>
              <w:rPr>
                <w:spacing w:val="-1"/>
                <w:sz w:val="20"/>
              </w:rPr>
              <w:t xml:space="preserve"> </w:t>
            </w:r>
            <w:r>
              <w:rPr>
                <w:sz w:val="20"/>
              </w:rPr>
              <w:t xml:space="preserve">to </w:t>
            </w:r>
            <w:r>
              <w:rPr>
                <w:spacing w:val="-4"/>
                <w:sz w:val="20"/>
              </w:rPr>
              <w:t>live.</w:t>
            </w:r>
          </w:p>
        </w:tc>
        <w:tc>
          <w:tcPr>
            <w:tcW w:w="936" w:type="dxa"/>
          </w:tcPr>
          <w:p w14:paraId="656ABAC3"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4A8BBB02" w14:textId="77777777" w:rsidR="00DB6E1F" w:rsidRDefault="00F666A6">
            <w:pPr>
              <w:pStyle w:val="TableParagraph"/>
              <w:spacing w:line="242" w:lineRule="exact"/>
              <w:ind w:left="7"/>
              <w:jc w:val="center"/>
              <w:rPr>
                <w:sz w:val="20"/>
              </w:rPr>
            </w:pPr>
            <w:r>
              <w:rPr>
                <w:w w:val="99"/>
                <w:sz w:val="20"/>
              </w:rPr>
              <w:t>1</w:t>
            </w:r>
          </w:p>
        </w:tc>
        <w:tc>
          <w:tcPr>
            <w:tcW w:w="881" w:type="dxa"/>
          </w:tcPr>
          <w:p w14:paraId="6D921257" w14:textId="77777777" w:rsidR="00DB6E1F" w:rsidRDefault="00F666A6">
            <w:pPr>
              <w:pStyle w:val="TableParagraph"/>
              <w:spacing w:line="242" w:lineRule="exact"/>
              <w:ind w:left="388"/>
              <w:rPr>
                <w:sz w:val="20"/>
              </w:rPr>
            </w:pPr>
            <w:r>
              <w:rPr>
                <w:w w:val="99"/>
                <w:sz w:val="20"/>
              </w:rPr>
              <w:t>2</w:t>
            </w:r>
          </w:p>
        </w:tc>
        <w:tc>
          <w:tcPr>
            <w:tcW w:w="936" w:type="dxa"/>
          </w:tcPr>
          <w:p w14:paraId="17D692E9" w14:textId="77777777" w:rsidR="00DB6E1F" w:rsidRDefault="00F666A6">
            <w:pPr>
              <w:pStyle w:val="TableParagraph"/>
              <w:spacing w:line="242" w:lineRule="exact"/>
              <w:ind w:left="9"/>
              <w:jc w:val="center"/>
              <w:rPr>
                <w:sz w:val="20"/>
              </w:rPr>
            </w:pPr>
            <w:r>
              <w:rPr>
                <w:w w:val="99"/>
                <w:sz w:val="20"/>
              </w:rPr>
              <w:t>3</w:t>
            </w:r>
          </w:p>
        </w:tc>
      </w:tr>
      <w:tr w:rsidR="00DB6E1F" w14:paraId="0AFFD378" w14:textId="77777777">
        <w:trPr>
          <w:trHeight w:val="263"/>
        </w:trPr>
        <w:tc>
          <w:tcPr>
            <w:tcW w:w="5472" w:type="dxa"/>
          </w:tcPr>
          <w:p w14:paraId="1F955696" w14:textId="77777777" w:rsidR="00DB6E1F" w:rsidRDefault="00F666A6">
            <w:pPr>
              <w:pStyle w:val="TableParagraph"/>
              <w:spacing w:line="242" w:lineRule="exact"/>
              <w:ind w:left="95"/>
              <w:rPr>
                <w:sz w:val="20"/>
              </w:rPr>
            </w:pPr>
            <w:r>
              <w:rPr>
                <w:color w:val="4D4D4F"/>
                <w:sz w:val="20"/>
              </w:rPr>
              <w:t>41.</w:t>
            </w:r>
            <w:r>
              <w:rPr>
                <w:color w:val="4D4D4F"/>
                <w:spacing w:val="18"/>
                <w:sz w:val="20"/>
              </w:rPr>
              <w:t xml:space="preserve"> </w:t>
            </w:r>
            <w:r>
              <w:rPr>
                <w:sz w:val="20"/>
              </w:rPr>
              <w:t>I</w:t>
            </w:r>
            <w:r>
              <w:rPr>
                <w:spacing w:val="1"/>
                <w:sz w:val="20"/>
              </w:rPr>
              <w:t xml:space="preserve"> </w:t>
            </w:r>
            <w:r>
              <w:rPr>
                <w:sz w:val="20"/>
              </w:rPr>
              <w:t>could</w:t>
            </w:r>
            <w:r>
              <w:rPr>
                <w:spacing w:val="3"/>
                <w:sz w:val="20"/>
              </w:rPr>
              <w:t xml:space="preserve"> </w:t>
            </w:r>
            <w:r>
              <w:rPr>
                <w:sz w:val="20"/>
              </w:rPr>
              <w:t>use help</w:t>
            </w:r>
            <w:r>
              <w:rPr>
                <w:spacing w:val="3"/>
                <w:sz w:val="20"/>
              </w:rPr>
              <w:t xml:space="preserve"> </w:t>
            </w:r>
            <w:r>
              <w:rPr>
                <w:sz w:val="20"/>
              </w:rPr>
              <w:t>in</w:t>
            </w:r>
            <w:r>
              <w:rPr>
                <w:spacing w:val="2"/>
                <w:sz w:val="20"/>
              </w:rPr>
              <w:t xml:space="preserve"> </w:t>
            </w:r>
            <w:r>
              <w:rPr>
                <w:sz w:val="20"/>
              </w:rPr>
              <w:t>finding</w:t>
            </w:r>
            <w:r>
              <w:rPr>
                <w:spacing w:val="2"/>
                <w:sz w:val="20"/>
              </w:rPr>
              <w:t xml:space="preserve"> </w:t>
            </w:r>
            <w:r>
              <w:rPr>
                <w:sz w:val="20"/>
              </w:rPr>
              <w:t>a</w:t>
            </w:r>
            <w:r>
              <w:rPr>
                <w:spacing w:val="2"/>
                <w:sz w:val="20"/>
              </w:rPr>
              <w:t xml:space="preserve"> </w:t>
            </w:r>
            <w:r>
              <w:rPr>
                <w:spacing w:val="-4"/>
                <w:sz w:val="20"/>
              </w:rPr>
              <w:t>job.</w:t>
            </w:r>
          </w:p>
        </w:tc>
        <w:tc>
          <w:tcPr>
            <w:tcW w:w="936" w:type="dxa"/>
          </w:tcPr>
          <w:p w14:paraId="3F277E1A"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691D7B77" w14:textId="77777777" w:rsidR="00DB6E1F" w:rsidRDefault="00F666A6">
            <w:pPr>
              <w:pStyle w:val="TableParagraph"/>
              <w:spacing w:line="242" w:lineRule="exact"/>
              <w:ind w:left="7"/>
              <w:jc w:val="center"/>
              <w:rPr>
                <w:sz w:val="20"/>
              </w:rPr>
            </w:pPr>
            <w:r>
              <w:rPr>
                <w:w w:val="99"/>
                <w:sz w:val="20"/>
              </w:rPr>
              <w:t>1</w:t>
            </w:r>
          </w:p>
        </w:tc>
        <w:tc>
          <w:tcPr>
            <w:tcW w:w="881" w:type="dxa"/>
          </w:tcPr>
          <w:p w14:paraId="2B168422" w14:textId="77777777" w:rsidR="00DB6E1F" w:rsidRDefault="00F666A6">
            <w:pPr>
              <w:pStyle w:val="TableParagraph"/>
              <w:spacing w:line="242" w:lineRule="exact"/>
              <w:ind w:left="388"/>
              <w:rPr>
                <w:sz w:val="20"/>
              </w:rPr>
            </w:pPr>
            <w:r>
              <w:rPr>
                <w:w w:val="99"/>
                <w:sz w:val="20"/>
              </w:rPr>
              <w:t>2</w:t>
            </w:r>
          </w:p>
        </w:tc>
        <w:tc>
          <w:tcPr>
            <w:tcW w:w="936" w:type="dxa"/>
          </w:tcPr>
          <w:p w14:paraId="19D7E884" w14:textId="77777777" w:rsidR="00DB6E1F" w:rsidRDefault="00F666A6">
            <w:pPr>
              <w:pStyle w:val="TableParagraph"/>
              <w:spacing w:line="242" w:lineRule="exact"/>
              <w:ind w:left="9"/>
              <w:jc w:val="center"/>
              <w:rPr>
                <w:sz w:val="20"/>
              </w:rPr>
            </w:pPr>
            <w:r>
              <w:rPr>
                <w:w w:val="99"/>
                <w:sz w:val="20"/>
              </w:rPr>
              <w:t>3</w:t>
            </w:r>
          </w:p>
        </w:tc>
      </w:tr>
      <w:tr w:rsidR="00DB6E1F" w14:paraId="7DA1F2D2" w14:textId="77777777">
        <w:trPr>
          <w:trHeight w:val="263"/>
        </w:trPr>
        <w:tc>
          <w:tcPr>
            <w:tcW w:w="5472" w:type="dxa"/>
          </w:tcPr>
          <w:p w14:paraId="136048F6" w14:textId="77777777" w:rsidR="00DB6E1F" w:rsidRDefault="00F666A6">
            <w:pPr>
              <w:pStyle w:val="TableParagraph"/>
              <w:spacing w:line="242" w:lineRule="exact"/>
              <w:ind w:left="95"/>
              <w:rPr>
                <w:sz w:val="20"/>
              </w:rPr>
            </w:pPr>
            <w:r>
              <w:rPr>
                <w:color w:val="4D4D4F"/>
                <w:sz w:val="20"/>
              </w:rPr>
              <w:t>42.</w:t>
            </w:r>
            <w:r>
              <w:rPr>
                <w:color w:val="4D4D4F"/>
                <w:spacing w:val="19"/>
                <w:sz w:val="20"/>
              </w:rPr>
              <w:t xml:space="preserve"> </w:t>
            </w:r>
            <w:r>
              <w:rPr>
                <w:sz w:val="20"/>
              </w:rPr>
              <w:t>I</w:t>
            </w:r>
            <w:r>
              <w:rPr>
                <w:spacing w:val="2"/>
                <w:sz w:val="20"/>
              </w:rPr>
              <w:t xml:space="preserve"> </w:t>
            </w:r>
            <w:r>
              <w:rPr>
                <w:sz w:val="20"/>
              </w:rPr>
              <w:t>want</w:t>
            </w:r>
            <w:r>
              <w:rPr>
                <w:spacing w:val="2"/>
                <w:sz w:val="20"/>
              </w:rPr>
              <w:t xml:space="preserve"> </w:t>
            </w:r>
            <w:r>
              <w:rPr>
                <w:sz w:val="20"/>
              </w:rPr>
              <w:t>help</w:t>
            </w:r>
            <w:r>
              <w:rPr>
                <w:spacing w:val="4"/>
                <w:sz w:val="20"/>
              </w:rPr>
              <w:t xml:space="preserve"> </w:t>
            </w:r>
            <w:r>
              <w:rPr>
                <w:sz w:val="20"/>
              </w:rPr>
              <w:t>in</w:t>
            </w:r>
            <w:r>
              <w:rPr>
                <w:spacing w:val="3"/>
                <w:sz w:val="20"/>
              </w:rPr>
              <w:t xml:space="preserve"> </w:t>
            </w:r>
            <w:r>
              <w:rPr>
                <w:sz w:val="20"/>
              </w:rPr>
              <w:t>overcoming</w:t>
            </w:r>
            <w:r>
              <w:rPr>
                <w:spacing w:val="2"/>
                <w:sz w:val="20"/>
              </w:rPr>
              <w:t xml:space="preserve"> </w:t>
            </w:r>
            <w:r>
              <w:rPr>
                <w:spacing w:val="-2"/>
                <w:sz w:val="20"/>
              </w:rPr>
              <w:t>shyness.</w:t>
            </w:r>
          </w:p>
        </w:tc>
        <w:tc>
          <w:tcPr>
            <w:tcW w:w="936" w:type="dxa"/>
          </w:tcPr>
          <w:p w14:paraId="6FDBB8D7"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5B4F0824" w14:textId="77777777" w:rsidR="00DB6E1F" w:rsidRDefault="00F666A6">
            <w:pPr>
              <w:pStyle w:val="TableParagraph"/>
              <w:spacing w:line="242" w:lineRule="exact"/>
              <w:ind w:left="7"/>
              <w:jc w:val="center"/>
              <w:rPr>
                <w:sz w:val="20"/>
              </w:rPr>
            </w:pPr>
            <w:r>
              <w:rPr>
                <w:w w:val="99"/>
                <w:sz w:val="20"/>
              </w:rPr>
              <w:t>1</w:t>
            </w:r>
          </w:p>
        </w:tc>
        <w:tc>
          <w:tcPr>
            <w:tcW w:w="881" w:type="dxa"/>
          </w:tcPr>
          <w:p w14:paraId="01F8269F" w14:textId="77777777" w:rsidR="00DB6E1F" w:rsidRDefault="00F666A6">
            <w:pPr>
              <w:pStyle w:val="TableParagraph"/>
              <w:spacing w:line="242" w:lineRule="exact"/>
              <w:ind w:left="388"/>
              <w:rPr>
                <w:sz w:val="20"/>
              </w:rPr>
            </w:pPr>
            <w:r>
              <w:rPr>
                <w:w w:val="99"/>
                <w:sz w:val="20"/>
              </w:rPr>
              <w:t>2</w:t>
            </w:r>
          </w:p>
        </w:tc>
        <w:tc>
          <w:tcPr>
            <w:tcW w:w="936" w:type="dxa"/>
          </w:tcPr>
          <w:p w14:paraId="27EE5790" w14:textId="77777777" w:rsidR="00DB6E1F" w:rsidRDefault="00F666A6">
            <w:pPr>
              <w:pStyle w:val="TableParagraph"/>
              <w:spacing w:line="242" w:lineRule="exact"/>
              <w:ind w:left="9"/>
              <w:jc w:val="center"/>
              <w:rPr>
                <w:sz w:val="20"/>
              </w:rPr>
            </w:pPr>
            <w:r>
              <w:rPr>
                <w:w w:val="99"/>
                <w:sz w:val="20"/>
              </w:rPr>
              <w:t>3</w:t>
            </w:r>
          </w:p>
        </w:tc>
      </w:tr>
      <w:tr w:rsidR="00DB6E1F" w14:paraId="007402AD" w14:textId="77777777">
        <w:trPr>
          <w:trHeight w:val="263"/>
        </w:trPr>
        <w:tc>
          <w:tcPr>
            <w:tcW w:w="5472" w:type="dxa"/>
          </w:tcPr>
          <w:p w14:paraId="48ED6C62" w14:textId="77777777" w:rsidR="00DB6E1F" w:rsidRDefault="00F666A6">
            <w:pPr>
              <w:pStyle w:val="TableParagraph"/>
              <w:spacing w:line="242" w:lineRule="exact"/>
              <w:ind w:left="0" w:right="-15"/>
              <w:jc w:val="right"/>
              <w:rPr>
                <w:sz w:val="20"/>
              </w:rPr>
            </w:pPr>
            <w:r>
              <w:rPr>
                <w:color w:val="4D4D4F"/>
                <w:sz w:val="20"/>
              </w:rPr>
              <w:t>43.</w:t>
            </w:r>
            <w:r>
              <w:rPr>
                <w:color w:val="4D4D4F"/>
                <w:spacing w:val="15"/>
                <w:sz w:val="20"/>
              </w:rPr>
              <w:t xml:space="preserve"> </w:t>
            </w:r>
            <w:r>
              <w:rPr>
                <w:sz w:val="20"/>
              </w:rPr>
              <w:t>Someone</w:t>
            </w:r>
            <w:r>
              <w:rPr>
                <w:spacing w:val="1"/>
                <w:sz w:val="20"/>
              </w:rPr>
              <w:t xml:space="preserve"> </w:t>
            </w:r>
            <w:r>
              <w:rPr>
                <w:sz w:val="20"/>
              </w:rPr>
              <w:t>close</w:t>
            </w:r>
            <w:r>
              <w:rPr>
                <w:spacing w:val="-2"/>
                <w:sz w:val="20"/>
              </w:rPr>
              <w:t xml:space="preserve"> </w:t>
            </w:r>
            <w:r>
              <w:rPr>
                <w:sz w:val="20"/>
              </w:rPr>
              <w:t>to me</w:t>
            </w:r>
            <w:r>
              <w:rPr>
                <w:spacing w:val="-2"/>
                <w:sz w:val="20"/>
              </w:rPr>
              <w:t xml:space="preserve"> </w:t>
            </w:r>
            <w:r>
              <w:rPr>
                <w:sz w:val="20"/>
              </w:rPr>
              <w:t>died or left;</w:t>
            </w:r>
            <w:r>
              <w:rPr>
                <w:spacing w:val="-2"/>
                <w:sz w:val="20"/>
              </w:rPr>
              <w:t xml:space="preserve"> </w:t>
            </w:r>
            <w:r>
              <w:rPr>
                <w:sz w:val="20"/>
              </w:rPr>
              <w:t>I</w:t>
            </w:r>
            <w:r>
              <w:rPr>
                <w:spacing w:val="-1"/>
                <w:sz w:val="20"/>
              </w:rPr>
              <w:t xml:space="preserve"> </w:t>
            </w:r>
            <w:r>
              <w:rPr>
                <w:sz w:val="20"/>
              </w:rPr>
              <w:t>would</w:t>
            </w:r>
            <w:r>
              <w:rPr>
                <w:spacing w:val="1"/>
                <w:sz w:val="20"/>
              </w:rPr>
              <w:t xml:space="preserve"> </w:t>
            </w:r>
            <w:r>
              <w:rPr>
                <w:sz w:val="20"/>
              </w:rPr>
              <w:t>like</w:t>
            </w:r>
            <w:r>
              <w:rPr>
                <w:spacing w:val="-2"/>
                <w:sz w:val="20"/>
              </w:rPr>
              <w:t xml:space="preserve"> </w:t>
            </w:r>
            <w:r>
              <w:rPr>
                <w:sz w:val="20"/>
              </w:rPr>
              <w:t>to</w:t>
            </w:r>
            <w:r>
              <w:rPr>
                <w:spacing w:val="-1"/>
                <w:sz w:val="20"/>
              </w:rPr>
              <w:t xml:space="preserve"> </w:t>
            </w:r>
            <w:r>
              <w:rPr>
                <w:sz w:val="20"/>
              </w:rPr>
              <w:t>talk</w:t>
            </w:r>
            <w:r>
              <w:rPr>
                <w:spacing w:val="1"/>
                <w:sz w:val="20"/>
              </w:rPr>
              <w:t xml:space="preserve"> </w:t>
            </w:r>
            <w:r>
              <w:rPr>
                <w:sz w:val="20"/>
              </w:rPr>
              <w:t>about</w:t>
            </w:r>
            <w:r>
              <w:rPr>
                <w:spacing w:val="-3"/>
                <w:sz w:val="20"/>
              </w:rPr>
              <w:t xml:space="preserve"> </w:t>
            </w:r>
            <w:r>
              <w:rPr>
                <w:spacing w:val="-5"/>
                <w:sz w:val="20"/>
              </w:rPr>
              <w:t>it.</w:t>
            </w:r>
          </w:p>
        </w:tc>
        <w:tc>
          <w:tcPr>
            <w:tcW w:w="936" w:type="dxa"/>
          </w:tcPr>
          <w:p w14:paraId="5763BC73"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2841613E" w14:textId="77777777" w:rsidR="00DB6E1F" w:rsidRDefault="00F666A6">
            <w:pPr>
              <w:pStyle w:val="TableParagraph"/>
              <w:spacing w:line="242" w:lineRule="exact"/>
              <w:ind w:left="7"/>
              <w:jc w:val="center"/>
              <w:rPr>
                <w:sz w:val="20"/>
              </w:rPr>
            </w:pPr>
            <w:r>
              <w:rPr>
                <w:w w:val="99"/>
                <w:sz w:val="20"/>
              </w:rPr>
              <w:t>1</w:t>
            </w:r>
          </w:p>
        </w:tc>
        <w:tc>
          <w:tcPr>
            <w:tcW w:w="881" w:type="dxa"/>
          </w:tcPr>
          <w:p w14:paraId="6F3C5CB7" w14:textId="77777777" w:rsidR="00DB6E1F" w:rsidRDefault="00F666A6">
            <w:pPr>
              <w:pStyle w:val="TableParagraph"/>
              <w:spacing w:line="242" w:lineRule="exact"/>
              <w:ind w:left="388"/>
              <w:rPr>
                <w:sz w:val="20"/>
              </w:rPr>
            </w:pPr>
            <w:r>
              <w:rPr>
                <w:w w:val="99"/>
                <w:sz w:val="20"/>
              </w:rPr>
              <w:t>2</w:t>
            </w:r>
          </w:p>
        </w:tc>
        <w:tc>
          <w:tcPr>
            <w:tcW w:w="936" w:type="dxa"/>
          </w:tcPr>
          <w:p w14:paraId="79BDC679" w14:textId="77777777" w:rsidR="00DB6E1F" w:rsidRDefault="00F666A6">
            <w:pPr>
              <w:pStyle w:val="TableParagraph"/>
              <w:spacing w:line="242" w:lineRule="exact"/>
              <w:ind w:left="9"/>
              <w:jc w:val="center"/>
              <w:rPr>
                <w:sz w:val="20"/>
              </w:rPr>
            </w:pPr>
            <w:r>
              <w:rPr>
                <w:w w:val="99"/>
                <w:sz w:val="20"/>
              </w:rPr>
              <w:t>3</w:t>
            </w:r>
          </w:p>
        </w:tc>
      </w:tr>
      <w:tr w:rsidR="00DB6E1F" w14:paraId="4F4E52A7" w14:textId="77777777">
        <w:trPr>
          <w:trHeight w:val="263"/>
        </w:trPr>
        <w:tc>
          <w:tcPr>
            <w:tcW w:w="5472" w:type="dxa"/>
          </w:tcPr>
          <w:p w14:paraId="7D975DEB" w14:textId="77777777" w:rsidR="00DB6E1F" w:rsidRDefault="00F666A6">
            <w:pPr>
              <w:pStyle w:val="TableParagraph"/>
              <w:spacing w:line="242" w:lineRule="exact"/>
              <w:ind w:left="0" w:right="10"/>
              <w:jc w:val="right"/>
              <w:rPr>
                <w:sz w:val="20"/>
              </w:rPr>
            </w:pPr>
            <w:r>
              <w:rPr>
                <w:color w:val="4D4D4F"/>
                <w:sz w:val="20"/>
              </w:rPr>
              <w:t>44.</w:t>
            </w:r>
            <w:r>
              <w:rPr>
                <w:color w:val="4D4D4F"/>
                <w:spacing w:val="13"/>
                <w:sz w:val="20"/>
              </w:rPr>
              <w:t xml:space="preserve"> </w:t>
            </w:r>
            <w:r>
              <w:rPr>
                <w:sz w:val="20"/>
              </w:rPr>
              <w:t>I</w:t>
            </w:r>
            <w:r>
              <w:rPr>
                <w:spacing w:val="-1"/>
                <w:sz w:val="20"/>
              </w:rPr>
              <w:t xml:space="preserve"> </w:t>
            </w:r>
            <w:r>
              <w:rPr>
                <w:sz w:val="20"/>
              </w:rPr>
              <w:t>have</w:t>
            </w:r>
            <w:r>
              <w:rPr>
                <w:spacing w:val="-2"/>
                <w:sz w:val="20"/>
              </w:rPr>
              <w:t xml:space="preserve"> </w:t>
            </w:r>
            <w:r>
              <w:rPr>
                <w:sz w:val="20"/>
              </w:rPr>
              <w:t>thoughts</w:t>
            </w:r>
            <w:r>
              <w:rPr>
                <w:spacing w:val="-3"/>
                <w:sz w:val="20"/>
              </w:rPr>
              <w:t xml:space="preserve"> </w:t>
            </w:r>
            <w:r>
              <w:rPr>
                <w:sz w:val="20"/>
              </w:rPr>
              <w:t>about</w:t>
            </w:r>
            <w:r>
              <w:rPr>
                <w:spacing w:val="-1"/>
                <w:sz w:val="20"/>
              </w:rPr>
              <w:t xml:space="preserve"> </w:t>
            </w:r>
            <w:r>
              <w:rPr>
                <w:sz w:val="20"/>
              </w:rPr>
              <w:t>suicide,</w:t>
            </w:r>
            <w:r>
              <w:rPr>
                <w:spacing w:val="-1"/>
                <w:sz w:val="20"/>
              </w:rPr>
              <w:t xml:space="preserve"> </w:t>
            </w:r>
            <w:r>
              <w:rPr>
                <w:sz w:val="20"/>
              </w:rPr>
              <w:t>and</w:t>
            </w:r>
            <w:r>
              <w:rPr>
                <w:spacing w:val="-1"/>
                <w:sz w:val="20"/>
              </w:rPr>
              <w:t xml:space="preserve"> </w:t>
            </w:r>
            <w:r>
              <w:rPr>
                <w:sz w:val="20"/>
              </w:rPr>
              <w:t>I</w:t>
            </w:r>
            <w:r>
              <w:rPr>
                <w:spacing w:val="-1"/>
                <w:sz w:val="20"/>
              </w:rPr>
              <w:t xml:space="preserve"> </w:t>
            </w:r>
            <w:r>
              <w:rPr>
                <w:sz w:val="20"/>
              </w:rPr>
              <w:t>would</w:t>
            </w:r>
            <w:r>
              <w:rPr>
                <w:spacing w:val="-1"/>
                <w:sz w:val="20"/>
              </w:rPr>
              <w:t xml:space="preserve"> </w:t>
            </w:r>
            <w:r>
              <w:rPr>
                <w:sz w:val="20"/>
              </w:rPr>
              <w:t>like</w:t>
            </w:r>
            <w:r>
              <w:rPr>
                <w:spacing w:val="-2"/>
                <w:sz w:val="20"/>
              </w:rPr>
              <w:t xml:space="preserve"> </w:t>
            </w:r>
            <w:r>
              <w:rPr>
                <w:sz w:val="20"/>
              </w:rPr>
              <w:t>to</w:t>
            </w:r>
            <w:r>
              <w:rPr>
                <w:spacing w:val="-2"/>
                <w:sz w:val="20"/>
              </w:rPr>
              <w:t xml:space="preserve"> </w:t>
            </w:r>
            <w:r>
              <w:rPr>
                <w:sz w:val="20"/>
              </w:rPr>
              <w:t>discuss</w:t>
            </w:r>
            <w:r>
              <w:rPr>
                <w:spacing w:val="-2"/>
                <w:sz w:val="20"/>
              </w:rPr>
              <w:t xml:space="preserve"> this.</w:t>
            </w:r>
          </w:p>
        </w:tc>
        <w:tc>
          <w:tcPr>
            <w:tcW w:w="936" w:type="dxa"/>
          </w:tcPr>
          <w:p w14:paraId="32FAED9E"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5F7AA555" w14:textId="77777777" w:rsidR="00DB6E1F" w:rsidRDefault="00F666A6">
            <w:pPr>
              <w:pStyle w:val="TableParagraph"/>
              <w:spacing w:line="242" w:lineRule="exact"/>
              <w:ind w:left="7"/>
              <w:jc w:val="center"/>
              <w:rPr>
                <w:sz w:val="20"/>
              </w:rPr>
            </w:pPr>
            <w:r>
              <w:rPr>
                <w:w w:val="99"/>
                <w:sz w:val="20"/>
              </w:rPr>
              <w:t>1</w:t>
            </w:r>
          </w:p>
        </w:tc>
        <w:tc>
          <w:tcPr>
            <w:tcW w:w="881" w:type="dxa"/>
          </w:tcPr>
          <w:p w14:paraId="7F258D09" w14:textId="77777777" w:rsidR="00DB6E1F" w:rsidRDefault="00F666A6">
            <w:pPr>
              <w:pStyle w:val="TableParagraph"/>
              <w:spacing w:line="242" w:lineRule="exact"/>
              <w:ind w:left="388"/>
              <w:rPr>
                <w:sz w:val="20"/>
              </w:rPr>
            </w:pPr>
            <w:r>
              <w:rPr>
                <w:w w:val="99"/>
                <w:sz w:val="20"/>
              </w:rPr>
              <w:t>2</w:t>
            </w:r>
          </w:p>
        </w:tc>
        <w:tc>
          <w:tcPr>
            <w:tcW w:w="936" w:type="dxa"/>
          </w:tcPr>
          <w:p w14:paraId="5EA08655" w14:textId="77777777" w:rsidR="00DB6E1F" w:rsidRDefault="00F666A6">
            <w:pPr>
              <w:pStyle w:val="TableParagraph"/>
              <w:spacing w:line="242" w:lineRule="exact"/>
              <w:ind w:left="9"/>
              <w:jc w:val="center"/>
              <w:rPr>
                <w:sz w:val="20"/>
              </w:rPr>
            </w:pPr>
            <w:r>
              <w:rPr>
                <w:w w:val="99"/>
                <w:sz w:val="20"/>
              </w:rPr>
              <w:t>3</w:t>
            </w:r>
          </w:p>
        </w:tc>
      </w:tr>
      <w:tr w:rsidR="00DB6E1F" w14:paraId="42F8DAF2" w14:textId="77777777">
        <w:trPr>
          <w:trHeight w:val="261"/>
        </w:trPr>
        <w:tc>
          <w:tcPr>
            <w:tcW w:w="5472" w:type="dxa"/>
          </w:tcPr>
          <w:p w14:paraId="0AC5C077" w14:textId="77777777" w:rsidR="00DB6E1F" w:rsidRDefault="00F666A6">
            <w:pPr>
              <w:pStyle w:val="TableParagraph"/>
              <w:spacing w:line="240" w:lineRule="exact"/>
              <w:ind w:left="95"/>
              <w:rPr>
                <w:sz w:val="20"/>
              </w:rPr>
            </w:pPr>
            <w:r>
              <w:rPr>
                <w:color w:val="4D4D4F"/>
                <w:sz w:val="20"/>
              </w:rPr>
              <w:t>45.</w:t>
            </w:r>
            <w:r>
              <w:rPr>
                <w:color w:val="4D4D4F"/>
                <w:spacing w:val="17"/>
                <w:sz w:val="20"/>
              </w:rPr>
              <w:t xml:space="preserve"> </w:t>
            </w:r>
            <w:r>
              <w:rPr>
                <w:sz w:val="20"/>
              </w:rPr>
              <w:t>I</w:t>
            </w:r>
            <w:r>
              <w:rPr>
                <w:spacing w:val="1"/>
                <w:sz w:val="20"/>
              </w:rPr>
              <w:t xml:space="preserve"> </w:t>
            </w:r>
            <w:r>
              <w:rPr>
                <w:sz w:val="20"/>
              </w:rPr>
              <w:t>want</w:t>
            </w:r>
            <w:r>
              <w:rPr>
                <w:spacing w:val="2"/>
                <w:sz w:val="20"/>
              </w:rPr>
              <w:t xml:space="preserve"> </w:t>
            </w:r>
            <w:r>
              <w:rPr>
                <w:sz w:val="20"/>
              </w:rPr>
              <w:t>help</w:t>
            </w:r>
            <w:r>
              <w:rPr>
                <w:spacing w:val="2"/>
                <w:sz w:val="20"/>
              </w:rPr>
              <w:t xml:space="preserve"> </w:t>
            </w:r>
            <w:r>
              <w:rPr>
                <w:sz w:val="20"/>
              </w:rPr>
              <w:t>with</w:t>
            </w:r>
            <w:r>
              <w:rPr>
                <w:spacing w:val="2"/>
                <w:sz w:val="20"/>
              </w:rPr>
              <w:t xml:space="preserve"> </w:t>
            </w:r>
            <w:r>
              <w:rPr>
                <w:sz w:val="20"/>
              </w:rPr>
              <w:t>personal</w:t>
            </w:r>
            <w:r>
              <w:rPr>
                <w:spacing w:val="1"/>
                <w:sz w:val="20"/>
              </w:rPr>
              <w:t xml:space="preserve"> </w:t>
            </w:r>
            <w:r>
              <w:rPr>
                <w:sz w:val="20"/>
              </w:rPr>
              <w:t>fears and</w:t>
            </w:r>
            <w:r>
              <w:rPr>
                <w:spacing w:val="3"/>
                <w:sz w:val="20"/>
              </w:rPr>
              <w:t xml:space="preserve"> </w:t>
            </w:r>
            <w:r>
              <w:rPr>
                <w:spacing w:val="-2"/>
                <w:sz w:val="20"/>
              </w:rPr>
              <w:t>anxieties.</w:t>
            </w:r>
          </w:p>
        </w:tc>
        <w:tc>
          <w:tcPr>
            <w:tcW w:w="936" w:type="dxa"/>
          </w:tcPr>
          <w:p w14:paraId="5F754901" w14:textId="77777777" w:rsidR="00DB6E1F" w:rsidRDefault="00F666A6">
            <w:pPr>
              <w:pStyle w:val="TableParagraph"/>
              <w:spacing w:line="240" w:lineRule="exact"/>
              <w:ind w:left="0" w:right="405"/>
              <w:jc w:val="right"/>
              <w:rPr>
                <w:sz w:val="20"/>
              </w:rPr>
            </w:pPr>
            <w:r>
              <w:rPr>
                <w:w w:val="99"/>
                <w:sz w:val="20"/>
              </w:rPr>
              <w:t>0</w:t>
            </w:r>
          </w:p>
        </w:tc>
        <w:tc>
          <w:tcPr>
            <w:tcW w:w="991" w:type="dxa"/>
          </w:tcPr>
          <w:p w14:paraId="317E98E9" w14:textId="77777777" w:rsidR="00DB6E1F" w:rsidRDefault="00F666A6">
            <w:pPr>
              <w:pStyle w:val="TableParagraph"/>
              <w:spacing w:line="240" w:lineRule="exact"/>
              <w:ind w:left="7"/>
              <w:jc w:val="center"/>
              <w:rPr>
                <w:sz w:val="20"/>
              </w:rPr>
            </w:pPr>
            <w:r>
              <w:rPr>
                <w:w w:val="99"/>
                <w:sz w:val="20"/>
              </w:rPr>
              <w:t>1</w:t>
            </w:r>
          </w:p>
        </w:tc>
        <w:tc>
          <w:tcPr>
            <w:tcW w:w="881" w:type="dxa"/>
          </w:tcPr>
          <w:p w14:paraId="60BCEB8C" w14:textId="77777777" w:rsidR="00DB6E1F" w:rsidRDefault="00F666A6">
            <w:pPr>
              <w:pStyle w:val="TableParagraph"/>
              <w:spacing w:line="240" w:lineRule="exact"/>
              <w:ind w:left="388"/>
              <w:rPr>
                <w:sz w:val="20"/>
              </w:rPr>
            </w:pPr>
            <w:r>
              <w:rPr>
                <w:w w:val="99"/>
                <w:sz w:val="20"/>
              </w:rPr>
              <w:t>2</w:t>
            </w:r>
          </w:p>
        </w:tc>
        <w:tc>
          <w:tcPr>
            <w:tcW w:w="936" w:type="dxa"/>
          </w:tcPr>
          <w:p w14:paraId="4AA54FF2" w14:textId="77777777" w:rsidR="00DB6E1F" w:rsidRDefault="00F666A6">
            <w:pPr>
              <w:pStyle w:val="TableParagraph"/>
              <w:spacing w:line="240" w:lineRule="exact"/>
              <w:ind w:left="9"/>
              <w:jc w:val="center"/>
              <w:rPr>
                <w:sz w:val="20"/>
              </w:rPr>
            </w:pPr>
            <w:r>
              <w:rPr>
                <w:w w:val="99"/>
                <w:sz w:val="20"/>
              </w:rPr>
              <w:t>3</w:t>
            </w:r>
          </w:p>
        </w:tc>
      </w:tr>
      <w:tr w:rsidR="00DB6E1F" w14:paraId="03075041" w14:textId="77777777">
        <w:trPr>
          <w:trHeight w:val="263"/>
        </w:trPr>
        <w:tc>
          <w:tcPr>
            <w:tcW w:w="5472" w:type="dxa"/>
          </w:tcPr>
          <w:p w14:paraId="5FF43C32" w14:textId="77777777" w:rsidR="00DB6E1F" w:rsidRDefault="00F666A6">
            <w:pPr>
              <w:pStyle w:val="TableParagraph"/>
              <w:spacing w:before="3" w:line="240" w:lineRule="exact"/>
              <w:ind w:left="95"/>
              <w:rPr>
                <w:sz w:val="20"/>
              </w:rPr>
            </w:pPr>
            <w:r>
              <w:rPr>
                <w:color w:val="4D4D4F"/>
                <w:sz w:val="20"/>
              </w:rPr>
              <w:t>46.</w:t>
            </w:r>
            <w:r>
              <w:rPr>
                <w:color w:val="4D4D4F"/>
                <w:spacing w:val="19"/>
                <w:sz w:val="20"/>
              </w:rPr>
              <w:t xml:space="preserve"> </w:t>
            </w:r>
            <w:r>
              <w:rPr>
                <w:sz w:val="20"/>
              </w:rPr>
              <w:t>I</w:t>
            </w:r>
            <w:r>
              <w:rPr>
                <w:spacing w:val="2"/>
                <w:sz w:val="20"/>
              </w:rPr>
              <w:t xml:space="preserve"> </w:t>
            </w:r>
            <w:r>
              <w:rPr>
                <w:sz w:val="20"/>
              </w:rPr>
              <w:t>want</w:t>
            </w:r>
            <w:r>
              <w:rPr>
                <w:spacing w:val="2"/>
                <w:sz w:val="20"/>
              </w:rPr>
              <w:t xml:space="preserve"> </w:t>
            </w:r>
            <w:r>
              <w:rPr>
                <w:sz w:val="20"/>
              </w:rPr>
              <w:t>help</w:t>
            </w:r>
            <w:r>
              <w:rPr>
                <w:spacing w:val="3"/>
                <w:sz w:val="20"/>
              </w:rPr>
              <w:t xml:space="preserve"> </w:t>
            </w:r>
            <w:r>
              <w:rPr>
                <w:sz w:val="20"/>
              </w:rPr>
              <w:t>to</w:t>
            </w:r>
            <w:r>
              <w:rPr>
                <w:spacing w:val="3"/>
                <w:sz w:val="20"/>
              </w:rPr>
              <w:t xml:space="preserve"> </w:t>
            </w:r>
            <w:r>
              <w:rPr>
                <w:sz w:val="20"/>
              </w:rPr>
              <w:t>be</w:t>
            </w:r>
            <w:r>
              <w:rPr>
                <w:spacing w:val="1"/>
                <w:sz w:val="20"/>
              </w:rPr>
              <w:t xml:space="preserve"> </w:t>
            </w:r>
            <w:r>
              <w:rPr>
                <w:sz w:val="20"/>
              </w:rPr>
              <w:t>a</w:t>
            </w:r>
            <w:r>
              <w:rPr>
                <w:spacing w:val="3"/>
                <w:sz w:val="20"/>
              </w:rPr>
              <w:t xml:space="preserve"> </w:t>
            </w:r>
            <w:r>
              <w:rPr>
                <w:sz w:val="20"/>
              </w:rPr>
              <w:t>better</w:t>
            </w:r>
            <w:r>
              <w:rPr>
                <w:spacing w:val="3"/>
                <w:sz w:val="20"/>
              </w:rPr>
              <w:t xml:space="preserve"> </w:t>
            </w:r>
            <w:r>
              <w:rPr>
                <w:spacing w:val="-2"/>
                <w:sz w:val="20"/>
              </w:rPr>
              <w:t>parent.</w:t>
            </w:r>
          </w:p>
        </w:tc>
        <w:tc>
          <w:tcPr>
            <w:tcW w:w="936" w:type="dxa"/>
          </w:tcPr>
          <w:p w14:paraId="37B6328A" w14:textId="77777777" w:rsidR="00DB6E1F" w:rsidRDefault="00F666A6">
            <w:pPr>
              <w:pStyle w:val="TableParagraph"/>
              <w:spacing w:before="3" w:line="240" w:lineRule="exact"/>
              <w:ind w:left="0" w:right="405"/>
              <w:jc w:val="right"/>
              <w:rPr>
                <w:sz w:val="20"/>
              </w:rPr>
            </w:pPr>
            <w:r>
              <w:rPr>
                <w:w w:val="99"/>
                <w:sz w:val="20"/>
              </w:rPr>
              <w:t>0</w:t>
            </w:r>
          </w:p>
        </w:tc>
        <w:tc>
          <w:tcPr>
            <w:tcW w:w="991" w:type="dxa"/>
          </w:tcPr>
          <w:p w14:paraId="63BDB2F2" w14:textId="77777777" w:rsidR="00DB6E1F" w:rsidRDefault="00F666A6">
            <w:pPr>
              <w:pStyle w:val="TableParagraph"/>
              <w:spacing w:before="3" w:line="240" w:lineRule="exact"/>
              <w:ind w:left="7"/>
              <w:jc w:val="center"/>
              <w:rPr>
                <w:sz w:val="20"/>
              </w:rPr>
            </w:pPr>
            <w:r>
              <w:rPr>
                <w:w w:val="99"/>
                <w:sz w:val="20"/>
              </w:rPr>
              <w:t>1</w:t>
            </w:r>
          </w:p>
        </w:tc>
        <w:tc>
          <w:tcPr>
            <w:tcW w:w="881" w:type="dxa"/>
          </w:tcPr>
          <w:p w14:paraId="7F86CD72" w14:textId="77777777" w:rsidR="00DB6E1F" w:rsidRDefault="00F666A6">
            <w:pPr>
              <w:pStyle w:val="TableParagraph"/>
              <w:spacing w:before="3" w:line="240" w:lineRule="exact"/>
              <w:ind w:left="388"/>
              <w:rPr>
                <w:sz w:val="20"/>
              </w:rPr>
            </w:pPr>
            <w:r>
              <w:rPr>
                <w:w w:val="99"/>
                <w:sz w:val="20"/>
              </w:rPr>
              <w:t>2</w:t>
            </w:r>
          </w:p>
        </w:tc>
        <w:tc>
          <w:tcPr>
            <w:tcW w:w="936" w:type="dxa"/>
          </w:tcPr>
          <w:p w14:paraId="71847EF4" w14:textId="77777777" w:rsidR="00DB6E1F" w:rsidRDefault="00F666A6">
            <w:pPr>
              <w:pStyle w:val="TableParagraph"/>
              <w:spacing w:before="3" w:line="240" w:lineRule="exact"/>
              <w:ind w:left="9"/>
              <w:jc w:val="center"/>
              <w:rPr>
                <w:sz w:val="20"/>
              </w:rPr>
            </w:pPr>
            <w:r>
              <w:rPr>
                <w:w w:val="99"/>
                <w:sz w:val="20"/>
              </w:rPr>
              <w:t>3</w:t>
            </w:r>
          </w:p>
        </w:tc>
      </w:tr>
      <w:tr w:rsidR="00DB6E1F" w14:paraId="1A1A66E8" w14:textId="77777777">
        <w:trPr>
          <w:trHeight w:val="263"/>
        </w:trPr>
        <w:tc>
          <w:tcPr>
            <w:tcW w:w="5472" w:type="dxa"/>
          </w:tcPr>
          <w:p w14:paraId="4A9E7999" w14:textId="77777777" w:rsidR="00DB6E1F" w:rsidRDefault="00F666A6">
            <w:pPr>
              <w:pStyle w:val="TableParagraph"/>
              <w:spacing w:before="3" w:line="240" w:lineRule="exact"/>
              <w:ind w:left="95"/>
              <w:rPr>
                <w:sz w:val="20"/>
              </w:rPr>
            </w:pPr>
            <w:r>
              <w:rPr>
                <w:color w:val="4D4D4F"/>
                <w:sz w:val="20"/>
              </w:rPr>
              <w:t>47.</w:t>
            </w:r>
            <w:r>
              <w:rPr>
                <w:color w:val="4D4D4F"/>
                <w:spacing w:val="15"/>
                <w:sz w:val="20"/>
              </w:rPr>
              <w:t xml:space="preserve"> </w:t>
            </w:r>
            <w:r>
              <w:rPr>
                <w:sz w:val="20"/>
              </w:rPr>
              <w:t>I feel</w:t>
            </w:r>
            <w:r>
              <w:rPr>
                <w:spacing w:val="1"/>
                <w:sz w:val="20"/>
              </w:rPr>
              <w:t xml:space="preserve"> </w:t>
            </w:r>
            <w:r>
              <w:rPr>
                <w:sz w:val="20"/>
              </w:rPr>
              <w:t>very</w:t>
            </w:r>
            <w:r>
              <w:rPr>
                <w:spacing w:val="1"/>
                <w:sz w:val="20"/>
              </w:rPr>
              <w:t xml:space="preserve"> </w:t>
            </w:r>
            <w:r>
              <w:rPr>
                <w:sz w:val="20"/>
              </w:rPr>
              <w:t>confused</w:t>
            </w:r>
            <w:r>
              <w:rPr>
                <w:spacing w:val="1"/>
                <w:sz w:val="20"/>
              </w:rPr>
              <w:t xml:space="preserve"> </w:t>
            </w:r>
            <w:r>
              <w:rPr>
                <w:sz w:val="20"/>
              </w:rPr>
              <w:t>and would</w:t>
            </w:r>
            <w:r>
              <w:rPr>
                <w:spacing w:val="1"/>
                <w:sz w:val="20"/>
              </w:rPr>
              <w:t xml:space="preserve"> </w:t>
            </w:r>
            <w:r>
              <w:rPr>
                <w:sz w:val="20"/>
              </w:rPr>
              <w:t>like</w:t>
            </w:r>
            <w:r>
              <w:rPr>
                <w:spacing w:val="-1"/>
                <w:sz w:val="20"/>
              </w:rPr>
              <w:t xml:space="preserve"> </w:t>
            </w:r>
            <w:r>
              <w:rPr>
                <w:sz w:val="20"/>
              </w:rPr>
              <w:t>help with</w:t>
            </w:r>
            <w:r>
              <w:rPr>
                <w:spacing w:val="1"/>
                <w:sz w:val="20"/>
              </w:rPr>
              <w:t xml:space="preserve"> </w:t>
            </w:r>
            <w:r>
              <w:rPr>
                <w:spacing w:val="-4"/>
                <w:sz w:val="20"/>
              </w:rPr>
              <w:t>this.</w:t>
            </w:r>
          </w:p>
        </w:tc>
        <w:tc>
          <w:tcPr>
            <w:tcW w:w="936" w:type="dxa"/>
          </w:tcPr>
          <w:p w14:paraId="3CABADF6" w14:textId="77777777" w:rsidR="00DB6E1F" w:rsidRDefault="00F666A6">
            <w:pPr>
              <w:pStyle w:val="TableParagraph"/>
              <w:spacing w:before="3" w:line="240" w:lineRule="exact"/>
              <w:ind w:left="0" w:right="405"/>
              <w:jc w:val="right"/>
              <w:rPr>
                <w:sz w:val="20"/>
              </w:rPr>
            </w:pPr>
            <w:r>
              <w:rPr>
                <w:w w:val="99"/>
                <w:sz w:val="20"/>
              </w:rPr>
              <w:t>0</w:t>
            </w:r>
          </w:p>
        </w:tc>
        <w:tc>
          <w:tcPr>
            <w:tcW w:w="991" w:type="dxa"/>
          </w:tcPr>
          <w:p w14:paraId="213D9CDF" w14:textId="77777777" w:rsidR="00DB6E1F" w:rsidRDefault="00F666A6">
            <w:pPr>
              <w:pStyle w:val="TableParagraph"/>
              <w:spacing w:before="3" w:line="240" w:lineRule="exact"/>
              <w:ind w:left="7"/>
              <w:jc w:val="center"/>
              <w:rPr>
                <w:sz w:val="20"/>
              </w:rPr>
            </w:pPr>
            <w:r>
              <w:rPr>
                <w:w w:val="99"/>
                <w:sz w:val="20"/>
              </w:rPr>
              <w:t>1</w:t>
            </w:r>
          </w:p>
        </w:tc>
        <w:tc>
          <w:tcPr>
            <w:tcW w:w="881" w:type="dxa"/>
          </w:tcPr>
          <w:p w14:paraId="53B7DD12" w14:textId="77777777" w:rsidR="00DB6E1F" w:rsidRDefault="00F666A6">
            <w:pPr>
              <w:pStyle w:val="TableParagraph"/>
              <w:spacing w:before="3" w:line="240" w:lineRule="exact"/>
              <w:ind w:left="388"/>
              <w:rPr>
                <w:sz w:val="20"/>
              </w:rPr>
            </w:pPr>
            <w:r>
              <w:rPr>
                <w:w w:val="99"/>
                <w:sz w:val="20"/>
              </w:rPr>
              <w:t>2</w:t>
            </w:r>
          </w:p>
        </w:tc>
        <w:tc>
          <w:tcPr>
            <w:tcW w:w="936" w:type="dxa"/>
          </w:tcPr>
          <w:p w14:paraId="4FA8CF02" w14:textId="77777777" w:rsidR="00DB6E1F" w:rsidRDefault="00F666A6">
            <w:pPr>
              <w:pStyle w:val="TableParagraph"/>
              <w:spacing w:before="3" w:line="240" w:lineRule="exact"/>
              <w:ind w:left="9"/>
              <w:jc w:val="center"/>
              <w:rPr>
                <w:sz w:val="20"/>
              </w:rPr>
            </w:pPr>
            <w:r>
              <w:rPr>
                <w:w w:val="99"/>
                <w:sz w:val="20"/>
              </w:rPr>
              <w:t>3</w:t>
            </w:r>
          </w:p>
        </w:tc>
      </w:tr>
      <w:tr w:rsidR="00DB6E1F" w14:paraId="085F2F56" w14:textId="77777777">
        <w:trPr>
          <w:trHeight w:val="263"/>
        </w:trPr>
        <w:tc>
          <w:tcPr>
            <w:tcW w:w="5472" w:type="dxa"/>
          </w:tcPr>
          <w:p w14:paraId="01EA8A55" w14:textId="77777777" w:rsidR="00DB6E1F" w:rsidRDefault="00F666A6">
            <w:pPr>
              <w:pStyle w:val="TableParagraph"/>
              <w:spacing w:before="3" w:line="240" w:lineRule="exact"/>
              <w:ind w:left="95"/>
              <w:rPr>
                <w:sz w:val="20"/>
              </w:rPr>
            </w:pPr>
            <w:r>
              <w:rPr>
                <w:color w:val="4D4D4F"/>
                <w:sz w:val="20"/>
              </w:rPr>
              <w:t>48.</w:t>
            </w:r>
            <w:r>
              <w:rPr>
                <w:color w:val="4D4D4F"/>
                <w:spacing w:val="15"/>
                <w:sz w:val="20"/>
              </w:rPr>
              <w:t xml:space="preserve"> </w:t>
            </w:r>
            <w:r>
              <w:rPr>
                <w:sz w:val="20"/>
              </w:rPr>
              <w:t>I would like</w:t>
            </w:r>
            <w:r>
              <w:rPr>
                <w:spacing w:val="-1"/>
                <w:sz w:val="20"/>
              </w:rPr>
              <w:t xml:space="preserve"> </w:t>
            </w:r>
            <w:r>
              <w:rPr>
                <w:sz w:val="20"/>
              </w:rPr>
              <w:t>information about or testing</w:t>
            </w:r>
            <w:r>
              <w:rPr>
                <w:spacing w:val="-1"/>
                <w:sz w:val="20"/>
              </w:rPr>
              <w:t xml:space="preserve"> </w:t>
            </w:r>
            <w:r>
              <w:rPr>
                <w:sz w:val="20"/>
              </w:rPr>
              <w:t xml:space="preserve">for </w:t>
            </w:r>
            <w:r>
              <w:rPr>
                <w:spacing w:val="-2"/>
                <w:sz w:val="20"/>
              </w:rPr>
              <w:t>HIV/AIDS.</w:t>
            </w:r>
          </w:p>
        </w:tc>
        <w:tc>
          <w:tcPr>
            <w:tcW w:w="936" w:type="dxa"/>
          </w:tcPr>
          <w:p w14:paraId="1DC98D43" w14:textId="77777777" w:rsidR="00DB6E1F" w:rsidRDefault="00F666A6">
            <w:pPr>
              <w:pStyle w:val="TableParagraph"/>
              <w:spacing w:before="3" w:line="240" w:lineRule="exact"/>
              <w:ind w:left="0" w:right="405"/>
              <w:jc w:val="right"/>
              <w:rPr>
                <w:sz w:val="20"/>
              </w:rPr>
            </w:pPr>
            <w:r>
              <w:rPr>
                <w:w w:val="99"/>
                <w:sz w:val="20"/>
              </w:rPr>
              <w:t>0</w:t>
            </w:r>
          </w:p>
        </w:tc>
        <w:tc>
          <w:tcPr>
            <w:tcW w:w="991" w:type="dxa"/>
          </w:tcPr>
          <w:p w14:paraId="583D0787" w14:textId="77777777" w:rsidR="00DB6E1F" w:rsidRDefault="00F666A6">
            <w:pPr>
              <w:pStyle w:val="TableParagraph"/>
              <w:spacing w:before="3" w:line="240" w:lineRule="exact"/>
              <w:ind w:left="7"/>
              <w:jc w:val="center"/>
              <w:rPr>
                <w:sz w:val="20"/>
              </w:rPr>
            </w:pPr>
            <w:r>
              <w:rPr>
                <w:w w:val="99"/>
                <w:sz w:val="20"/>
              </w:rPr>
              <w:t>1</w:t>
            </w:r>
          </w:p>
        </w:tc>
        <w:tc>
          <w:tcPr>
            <w:tcW w:w="881" w:type="dxa"/>
          </w:tcPr>
          <w:p w14:paraId="38569BC3" w14:textId="77777777" w:rsidR="00DB6E1F" w:rsidRDefault="00F666A6">
            <w:pPr>
              <w:pStyle w:val="TableParagraph"/>
              <w:spacing w:before="3" w:line="240" w:lineRule="exact"/>
              <w:ind w:left="388"/>
              <w:rPr>
                <w:sz w:val="20"/>
              </w:rPr>
            </w:pPr>
            <w:r>
              <w:rPr>
                <w:w w:val="99"/>
                <w:sz w:val="20"/>
              </w:rPr>
              <w:t>2</w:t>
            </w:r>
          </w:p>
        </w:tc>
        <w:tc>
          <w:tcPr>
            <w:tcW w:w="936" w:type="dxa"/>
          </w:tcPr>
          <w:p w14:paraId="6DA259E2" w14:textId="77777777" w:rsidR="00DB6E1F" w:rsidRDefault="00F666A6">
            <w:pPr>
              <w:pStyle w:val="TableParagraph"/>
              <w:spacing w:before="3" w:line="240" w:lineRule="exact"/>
              <w:ind w:left="9"/>
              <w:jc w:val="center"/>
              <w:rPr>
                <w:sz w:val="20"/>
              </w:rPr>
            </w:pPr>
            <w:r>
              <w:rPr>
                <w:w w:val="99"/>
                <w:sz w:val="20"/>
              </w:rPr>
              <w:t>3</w:t>
            </w:r>
          </w:p>
        </w:tc>
      </w:tr>
      <w:tr w:rsidR="00DB6E1F" w14:paraId="3BD5287D" w14:textId="77777777">
        <w:trPr>
          <w:trHeight w:val="263"/>
        </w:trPr>
        <w:tc>
          <w:tcPr>
            <w:tcW w:w="5472" w:type="dxa"/>
          </w:tcPr>
          <w:p w14:paraId="46A7B003" w14:textId="77777777" w:rsidR="00DB6E1F" w:rsidRDefault="00F666A6">
            <w:pPr>
              <w:pStyle w:val="TableParagraph"/>
              <w:spacing w:line="242" w:lineRule="exact"/>
              <w:ind w:left="95"/>
              <w:rPr>
                <w:sz w:val="20"/>
              </w:rPr>
            </w:pPr>
            <w:r>
              <w:rPr>
                <w:color w:val="4D4D4F"/>
                <w:sz w:val="20"/>
              </w:rPr>
              <w:t>49.</w:t>
            </w:r>
            <w:r>
              <w:rPr>
                <w:color w:val="4D4D4F"/>
                <w:spacing w:val="18"/>
                <w:sz w:val="20"/>
              </w:rPr>
              <w:t xml:space="preserve"> </w:t>
            </w:r>
            <w:r>
              <w:rPr>
                <w:sz w:val="20"/>
              </w:rPr>
              <w:t>I</w:t>
            </w:r>
            <w:r>
              <w:rPr>
                <w:spacing w:val="2"/>
                <w:sz w:val="20"/>
              </w:rPr>
              <w:t xml:space="preserve"> </w:t>
            </w:r>
            <w:r>
              <w:rPr>
                <w:sz w:val="20"/>
              </w:rPr>
              <w:t>want</w:t>
            </w:r>
            <w:r>
              <w:rPr>
                <w:spacing w:val="2"/>
                <w:sz w:val="20"/>
              </w:rPr>
              <w:t xml:space="preserve"> </w:t>
            </w:r>
            <w:r>
              <w:rPr>
                <w:sz w:val="20"/>
              </w:rPr>
              <w:t>someone</w:t>
            </w:r>
            <w:r>
              <w:rPr>
                <w:spacing w:val="1"/>
                <w:sz w:val="20"/>
              </w:rPr>
              <w:t xml:space="preserve"> </w:t>
            </w:r>
            <w:r>
              <w:rPr>
                <w:sz w:val="20"/>
              </w:rPr>
              <w:t>to</w:t>
            </w:r>
            <w:r>
              <w:rPr>
                <w:spacing w:val="2"/>
                <w:sz w:val="20"/>
              </w:rPr>
              <w:t xml:space="preserve"> </w:t>
            </w:r>
            <w:r>
              <w:rPr>
                <w:sz w:val="20"/>
              </w:rPr>
              <w:t>listen</w:t>
            </w:r>
            <w:r>
              <w:rPr>
                <w:spacing w:val="3"/>
                <w:sz w:val="20"/>
              </w:rPr>
              <w:t xml:space="preserve"> </w:t>
            </w:r>
            <w:r>
              <w:rPr>
                <w:sz w:val="20"/>
              </w:rPr>
              <w:t>to</w:t>
            </w:r>
            <w:r>
              <w:rPr>
                <w:spacing w:val="2"/>
                <w:sz w:val="20"/>
              </w:rPr>
              <w:t xml:space="preserve"> </w:t>
            </w:r>
            <w:r>
              <w:rPr>
                <w:spacing w:val="-5"/>
                <w:sz w:val="20"/>
              </w:rPr>
              <w:t>me.</w:t>
            </w:r>
          </w:p>
        </w:tc>
        <w:tc>
          <w:tcPr>
            <w:tcW w:w="936" w:type="dxa"/>
          </w:tcPr>
          <w:p w14:paraId="2A183EA7"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7F286528" w14:textId="77777777" w:rsidR="00DB6E1F" w:rsidRDefault="00F666A6">
            <w:pPr>
              <w:pStyle w:val="TableParagraph"/>
              <w:spacing w:line="242" w:lineRule="exact"/>
              <w:ind w:left="7"/>
              <w:jc w:val="center"/>
              <w:rPr>
                <w:sz w:val="20"/>
              </w:rPr>
            </w:pPr>
            <w:r>
              <w:rPr>
                <w:w w:val="99"/>
                <w:sz w:val="20"/>
              </w:rPr>
              <w:t>1</w:t>
            </w:r>
          </w:p>
        </w:tc>
        <w:tc>
          <w:tcPr>
            <w:tcW w:w="881" w:type="dxa"/>
          </w:tcPr>
          <w:p w14:paraId="4BBD9D3A" w14:textId="77777777" w:rsidR="00DB6E1F" w:rsidRDefault="00F666A6">
            <w:pPr>
              <w:pStyle w:val="TableParagraph"/>
              <w:spacing w:line="242" w:lineRule="exact"/>
              <w:ind w:left="388"/>
              <w:rPr>
                <w:sz w:val="20"/>
              </w:rPr>
            </w:pPr>
            <w:r>
              <w:rPr>
                <w:w w:val="99"/>
                <w:sz w:val="20"/>
              </w:rPr>
              <w:t>2</w:t>
            </w:r>
          </w:p>
        </w:tc>
        <w:tc>
          <w:tcPr>
            <w:tcW w:w="936" w:type="dxa"/>
          </w:tcPr>
          <w:p w14:paraId="444590EA" w14:textId="77777777" w:rsidR="00DB6E1F" w:rsidRDefault="00F666A6">
            <w:pPr>
              <w:pStyle w:val="TableParagraph"/>
              <w:spacing w:line="242" w:lineRule="exact"/>
              <w:ind w:left="9"/>
              <w:jc w:val="center"/>
              <w:rPr>
                <w:sz w:val="20"/>
              </w:rPr>
            </w:pPr>
            <w:r>
              <w:rPr>
                <w:w w:val="99"/>
                <w:sz w:val="20"/>
              </w:rPr>
              <w:t>3</w:t>
            </w:r>
          </w:p>
        </w:tc>
      </w:tr>
      <w:tr w:rsidR="00DB6E1F" w14:paraId="77573198" w14:textId="77777777">
        <w:trPr>
          <w:trHeight w:val="263"/>
        </w:trPr>
        <w:tc>
          <w:tcPr>
            <w:tcW w:w="5472" w:type="dxa"/>
          </w:tcPr>
          <w:p w14:paraId="7B7F282F" w14:textId="77777777" w:rsidR="00DB6E1F" w:rsidRDefault="00F666A6">
            <w:pPr>
              <w:pStyle w:val="TableParagraph"/>
              <w:spacing w:line="242" w:lineRule="exact"/>
              <w:ind w:left="95"/>
              <w:rPr>
                <w:sz w:val="20"/>
              </w:rPr>
            </w:pPr>
            <w:r>
              <w:rPr>
                <w:color w:val="4D4D4F"/>
                <w:sz w:val="20"/>
              </w:rPr>
              <w:t>50.</w:t>
            </w:r>
            <w:r>
              <w:rPr>
                <w:color w:val="4D4D4F"/>
                <w:spacing w:val="16"/>
                <w:sz w:val="20"/>
              </w:rPr>
              <w:t xml:space="preserve"> </w:t>
            </w:r>
            <w:r>
              <w:rPr>
                <w:sz w:val="20"/>
              </w:rPr>
              <w:t>I want</w:t>
            </w:r>
            <w:r>
              <w:rPr>
                <w:spacing w:val="1"/>
                <w:sz w:val="20"/>
              </w:rPr>
              <w:t xml:space="preserve"> </w:t>
            </w:r>
            <w:r>
              <w:rPr>
                <w:sz w:val="20"/>
              </w:rPr>
              <w:t>to learn</w:t>
            </w:r>
            <w:r>
              <w:rPr>
                <w:spacing w:val="2"/>
                <w:sz w:val="20"/>
              </w:rPr>
              <w:t xml:space="preserve"> </w:t>
            </w:r>
            <w:r>
              <w:rPr>
                <w:sz w:val="20"/>
              </w:rPr>
              <w:t>to have</w:t>
            </w:r>
            <w:r>
              <w:rPr>
                <w:spacing w:val="-1"/>
                <w:sz w:val="20"/>
              </w:rPr>
              <w:t xml:space="preserve"> </w:t>
            </w:r>
            <w:r>
              <w:rPr>
                <w:sz w:val="20"/>
              </w:rPr>
              <w:t>fun</w:t>
            </w:r>
            <w:r>
              <w:rPr>
                <w:spacing w:val="2"/>
                <w:sz w:val="20"/>
              </w:rPr>
              <w:t xml:space="preserve"> </w:t>
            </w:r>
            <w:r>
              <w:rPr>
                <w:sz w:val="20"/>
              </w:rPr>
              <w:t xml:space="preserve">without drugs or </w:t>
            </w:r>
            <w:r>
              <w:rPr>
                <w:spacing w:val="-2"/>
                <w:sz w:val="20"/>
              </w:rPr>
              <w:t>alcohol.</w:t>
            </w:r>
          </w:p>
        </w:tc>
        <w:tc>
          <w:tcPr>
            <w:tcW w:w="936" w:type="dxa"/>
          </w:tcPr>
          <w:p w14:paraId="58359F0A"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1C23282A" w14:textId="77777777" w:rsidR="00DB6E1F" w:rsidRDefault="00F666A6">
            <w:pPr>
              <w:pStyle w:val="TableParagraph"/>
              <w:spacing w:line="242" w:lineRule="exact"/>
              <w:ind w:left="7"/>
              <w:jc w:val="center"/>
              <w:rPr>
                <w:sz w:val="20"/>
              </w:rPr>
            </w:pPr>
            <w:r>
              <w:rPr>
                <w:w w:val="99"/>
                <w:sz w:val="20"/>
              </w:rPr>
              <w:t>1</w:t>
            </w:r>
          </w:p>
        </w:tc>
        <w:tc>
          <w:tcPr>
            <w:tcW w:w="881" w:type="dxa"/>
          </w:tcPr>
          <w:p w14:paraId="0BC88B75" w14:textId="77777777" w:rsidR="00DB6E1F" w:rsidRDefault="00F666A6">
            <w:pPr>
              <w:pStyle w:val="TableParagraph"/>
              <w:spacing w:line="242" w:lineRule="exact"/>
              <w:ind w:left="388"/>
              <w:rPr>
                <w:sz w:val="20"/>
              </w:rPr>
            </w:pPr>
            <w:r>
              <w:rPr>
                <w:w w:val="99"/>
                <w:sz w:val="20"/>
              </w:rPr>
              <w:t>2</w:t>
            </w:r>
          </w:p>
        </w:tc>
        <w:tc>
          <w:tcPr>
            <w:tcW w:w="936" w:type="dxa"/>
          </w:tcPr>
          <w:p w14:paraId="279AC3D3" w14:textId="77777777" w:rsidR="00DB6E1F" w:rsidRDefault="00F666A6">
            <w:pPr>
              <w:pStyle w:val="TableParagraph"/>
              <w:spacing w:line="242" w:lineRule="exact"/>
              <w:ind w:left="9"/>
              <w:jc w:val="center"/>
              <w:rPr>
                <w:sz w:val="20"/>
              </w:rPr>
            </w:pPr>
            <w:r>
              <w:rPr>
                <w:w w:val="99"/>
                <w:sz w:val="20"/>
              </w:rPr>
              <w:t>3</w:t>
            </w:r>
          </w:p>
        </w:tc>
      </w:tr>
      <w:tr w:rsidR="00DB6E1F" w14:paraId="29AF854B" w14:textId="77777777">
        <w:trPr>
          <w:trHeight w:val="263"/>
        </w:trPr>
        <w:tc>
          <w:tcPr>
            <w:tcW w:w="5472" w:type="dxa"/>
          </w:tcPr>
          <w:p w14:paraId="67167A0B" w14:textId="77777777" w:rsidR="00DB6E1F" w:rsidRDefault="00F666A6">
            <w:pPr>
              <w:pStyle w:val="TableParagraph"/>
              <w:spacing w:line="242" w:lineRule="exact"/>
              <w:ind w:left="95"/>
              <w:rPr>
                <w:sz w:val="20"/>
              </w:rPr>
            </w:pPr>
            <w:r>
              <w:rPr>
                <w:color w:val="4D4D4F"/>
                <w:sz w:val="20"/>
              </w:rPr>
              <w:t>51.</w:t>
            </w:r>
            <w:r>
              <w:rPr>
                <w:color w:val="4D4D4F"/>
                <w:spacing w:val="18"/>
                <w:sz w:val="20"/>
              </w:rPr>
              <w:t xml:space="preserve"> </w:t>
            </w:r>
            <w:r>
              <w:rPr>
                <w:sz w:val="20"/>
              </w:rPr>
              <w:t>I</w:t>
            </w:r>
            <w:r>
              <w:rPr>
                <w:spacing w:val="2"/>
                <w:sz w:val="20"/>
              </w:rPr>
              <w:t xml:space="preserve"> </w:t>
            </w:r>
            <w:r>
              <w:rPr>
                <w:sz w:val="20"/>
              </w:rPr>
              <w:t>want</w:t>
            </w:r>
            <w:r>
              <w:rPr>
                <w:spacing w:val="1"/>
                <w:sz w:val="20"/>
              </w:rPr>
              <w:t xml:space="preserve"> </w:t>
            </w:r>
            <w:r>
              <w:rPr>
                <w:sz w:val="20"/>
              </w:rPr>
              <w:t>someone</w:t>
            </w:r>
            <w:r>
              <w:rPr>
                <w:spacing w:val="1"/>
                <w:sz w:val="20"/>
              </w:rPr>
              <w:t xml:space="preserve"> </w:t>
            </w:r>
            <w:r>
              <w:rPr>
                <w:sz w:val="20"/>
              </w:rPr>
              <w:t>to</w:t>
            </w:r>
            <w:r>
              <w:rPr>
                <w:spacing w:val="2"/>
                <w:sz w:val="20"/>
              </w:rPr>
              <w:t xml:space="preserve"> </w:t>
            </w:r>
            <w:r>
              <w:rPr>
                <w:sz w:val="20"/>
              </w:rPr>
              <w:t>tell</w:t>
            </w:r>
            <w:r>
              <w:rPr>
                <w:spacing w:val="1"/>
                <w:sz w:val="20"/>
              </w:rPr>
              <w:t xml:space="preserve"> </w:t>
            </w:r>
            <w:r>
              <w:rPr>
                <w:sz w:val="20"/>
              </w:rPr>
              <w:t>me</w:t>
            </w:r>
            <w:r>
              <w:rPr>
                <w:spacing w:val="1"/>
                <w:sz w:val="20"/>
              </w:rPr>
              <w:t xml:space="preserve"> </w:t>
            </w:r>
            <w:r>
              <w:rPr>
                <w:sz w:val="20"/>
              </w:rPr>
              <w:t>what</w:t>
            </w:r>
            <w:r>
              <w:rPr>
                <w:spacing w:val="2"/>
                <w:sz w:val="20"/>
              </w:rPr>
              <w:t xml:space="preserve"> </w:t>
            </w:r>
            <w:r>
              <w:rPr>
                <w:sz w:val="20"/>
              </w:rPr>
              <w:t>to</w:t>
            </w:r>
            <w:r>
              <w:rPr>
                <w:spacing w:val="2"/>
                <w:sz w:val="20"/>
              </w:rPr>
              <w:t xml:space="preserve"> </w:t>
            </w:r>
            <w:r>
              <w:rPr>
                <w:spacing w:val="-5"/>
                <w:sz w:val="20"/>
              </w:rPr>
              <w:t>do.</w:t>
            </w:r>
          </w:p>
        </w:tc>
        <w:tc>
          <w:tcPr>
            <w:tcW w:w="936" w:type="dxa"/>
          </w:tcPr>
          <w:p w14:paraId="6454F281"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29E81808" w14:textId="77777777" w:rsidR="00DB6E1F" w:rsidRDefault="00F666A6">
            <w:pPr>
              <w:pStyle w:val="TableParagraph"/>
              <w:spacing w:line="242" w:lineRule="exact"/>
              <w:ind w:left="7"/>
              <w:jc w:val="center"/>
              <w:rPr>
                <w:sz w:val="20"/>
              </w:rPr>
            </w:pPr>
            <w:r>
              <w:rPr>
                <w:w w:val="99"/>
                <w:sz w:val="20"/>
              </w:rPr>
              <w:t>1</w:t>
            </w:r>
          </w:p>
        </w:tc>
        <w:tc>
          <w:tcPr>
            <w:tcW w:w="881" w:type="dxa"/>
          </w:tcPr>
          <w:p w14:paraId="47EEA43A" w14:textId="77777777" w:rsidR="00DB6E1F" w:rsidRDefault="00F666A6">
            <w:pPr>
              <w:pStyle w:val="TableParagraph"/>
              <w:spacing w:line="242" w:lineRule="exact"/>
              <w:ind w:left="388"/>
              <w:rPr>
                <w:sz w:val="20"/>
              </w:rPr>
            </w:pPr>
            <w:r>
              <w:rPr>
                <w:w w:val="99"/>
                <w:sz w:val="20"/>
              </w:rPr>
              <w:t>2</w:t>
            </w:r>
          </w:p>
        </w:tc>
        <w:tc>
          <w:tcPr>
            <w:tcW w:w="936" w:type="dxa"/>
          </w:tcPr>
          <w:p w14:paraId="291F1D30" w14:textId="77777777" w:rsidR="00DB6E1F" w:rsidRDefault="00F666A6">
            <w:pPr>
              <w:pStyle w:val="TableParagraph"/>
              <w:spacing w:line="242" w:lineRule="exact"/>
              <w:ind w:left="9"/>
              <w:jc w:val="center"/>
              <w:rPr>
                <w:sz w:val="20"/>
              </w:rPr>
            </w:pPr>
            <w:r>
              <w:rPr>
                <w:w w:val="99"/>
                <w:sz w:val="20"/>
              </w:rPr>
              <w:t>3</w:t>
            </w:r>
          </w:p>
        </w:tc>
      </w:tr>
      <w:tr w:rsidR="00DB6E1F" w14:paraId="5B1F1470" w14:textId="77777777">
        <w:trPr>
          <w:trHeight w:val="263"/>
        </w:trPr>
        <w:tc>
          <w:tcPr>
            <w:tcW w:w="5472" w:type="dxa"/>
          </w:tcPr>
          <w:p w14:paraId="4D995354" w14:textId="77777777" w:rsidR="00DB6E1F" w:rsidRDefault="00F666A6">
            <w:pPr>
              <w:pStyle w:val="TableParagraph"/>
              <w:spacing w:line="242" w:lineRule="exact"/>
              <w:ind w:left="95"/>
              <w:rPr>
                <w:sz w:val="20"/>
              </w:rPr>
            </w:pPr>
            <w:r>
              <w:rPr>
                <w:color w:val="4D4D4F"/>
                <w:sz w:val="20"/>
              </w:rPr>
              <w:t>52.</w:t>
            </w:r>
            <w:r>
              <w:rPr>
                <w:color w:val="4D4D4F"/>
                <w:spacing w:val="15"/>
                <w:sz w:val="20"/>
              </w:rPr>
              <w:t xml:space="preserve"> </w:t>
            </w:r>
            <w:r>
              <w:rPr>
                <w:sz w:val="20"/>
              </w:rPr>
              <w:t>I want</w:t>
            </w:r>
            <w:r>
              <w:rPr>
                <w:spacing w:val="-1"/>
                <w:sz w:val="20"/>
              </w:rPr>
              <w:t xml:space="preserve"> </w:t>
            </w:r>
            <w:r>
              <w:rPr>
                <w:sz w:val="20"/>
              </w:rPr>
              <w:t>help</w:t>
            </w:r>
            <w:r>
              <w:rPr>
                <w:spacing w:val="1"/>
                <w:sz w:val="20"/>
              </w:rPr>
              <w:t xml:space="preserve"> </w:t>
            </w:r>
            <w:r>
              <w:rPr>
                <w:sz w:val="20"/>
              </w:rPr>
              <w:t>in setting goals</w:t>
            </w:r>
            <w:r>
              <w:rPr>
                <w:spacing w:val="-2"/>
                <w:sz w:val="20"/>
              </w:rPr>
              <w:t xml:space="preserve"> </w:t>
            </w:r>
            <w:r>
              <w:rPr>
                <w:sz w:val="20"/>
              </w:rPr>
              <w:t>and</w:t>
            </w:r>
            <w:r>
              <w:rPr>
                <w:spacing w:val="1"/>
                <w:sz w:val="20"/>
              </w:rPr>
              <w:t xml:space="preserve"> </w:t>
            </w:r>
            <w:r>
              <w:rPr>
                <w:sz w:val="20"/>
              </w:rPr>
              <w:t>priorities</w:t>
            </w:r>
            <w:r>
              <w:rPr>
                <w:spacing w:val="-1"/>
                <w:sz w:val="20"/>
              </w:rPr>
              <w:t xml:space="preserve"> </w:t>
            </w:r>
            <w:r>
              <w:rPr>
                <w:sz w:val="20"/>
              </w:rPr>
              <w:t>in my</w:t>
            </w:r>
            <w:r>
              <w:rPr>
                <w:spacing w:val="1"/>
                <w:sz w:val="20"/>
              </w:rPr>
              <w:t xml:space="preserve"> </w:t>
            </w:r>
            <w:r>
              <w:rPr>
                <w:spacing w:val="-4"/>
                <w:sz w:val="20"/>
              </w:rPr>
              <w:t>life.</w:t>
            </w:r>
          </w:p>
        </w:tc>
        <w:tc>
          <w:tcPr>
            <w:tcW w:w="936" w:type="dxa"/>
          </w:tcPr>
          <w:p w14:paraId="0E1EA97E"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4958F06F" w14:textId="77777777" w:rsidR="00DB6E1F" w:rsidRDefault="00F666A6">
            <w:pPr>
              <w:pStyle w:val="TableParagraph"/>
              <w:spacing w:line="242" w:lineRule="exact"/>
              <w:ind w:left="7"/>
              <w:jc w:val="center"/>
              <w:rPr>
                <w:sz w:val="20"/>
              </w:rPr>
            </w:pPr>
            <w:r>
              <w:rPr>
                <w:w w:val="99"/>
                <w:sz w:val="20"/>
              </w:rPr>
              <w:t>1</w:t>
            </w:r>
          </w:p>
        </w:tc>
        <w:tc>
          <w:tcPr>
            <w:tcW w:w="881" w:type="dxa"/>
          </w:tcPr>
          <w:p w14:paraId="740CABDC" w14:textId="77777777" w:rsidR="00DB6E1F" w:rsidRDefault="00F666A6">
            <w:pPr>
              <w:pStyle w:val="TableParagraph"/>
              <w:spacing w:line="242" w:lineRule="exact"/>
              <w:ind w:left="388"/>
              <w:rPr>
                <w:sz w:val="20"/>
              </w:rPr>
            </w:pPr>
            <w:r>
              <w:rPr>
                <w:w w:val="99"/>
                <w:sz w:val="20"/>
              </w:rPr>
              <w:t>2</w:t>
            </w:r>
          </w:p>
        </w:tc>
        <w:tc>
          <w:tcPr>
            <w:tcW w:w="936" w:type="dxa"/>
          </w:tcPr>
          <w:p w14:paraId="252A1973" w14:textId="77777777" w:rsidR="00DB6E1F" w:rsidRDefault="00F666A6">
            <w:pPr>
              <w:pStyle w:val="TableParagraph"/>
              <w:spacing w:line="242" w:lineRule="exact"/>
              <w:ind w:left="9"/>
              <w:jc w:val="center"/>
              <w:rPr>
                <w:sz w:val="20"/>
              </w:rPr>
            </w:pPr>
            <w:r>
              <w:rPr>
                <w:w w:val="99"/>
                <w:sz w:val="20"/>
              </w:rPr>
              <w:t>3</w:t>
            </w:r>
          </w:p>
        </w:tc>
      </w:tr>
      <w:tr w:rsidR="00DB6E1F" w14:paraId="209663F5" w14:textId="77777777">
        <w:trPr>
          <w:trHeight w:val="263"/>
        </w:trPr>
        <w:tc>
          <w:tcPr>
            <w:tcW w:w="5472" w:type="dxa"/>
          </w:tcPr>
          <w:p w14:paraId="525FE75A" w14:textId="77777777" w:rsidR="00DB6E1F" w:rsidRDefault="00F666A6">
            <w:pPr>
              <w:pStyle w:val="TableParagraph"/>
              <w:spacing w:line="242" w:lineRule="exact"/>
              <w:ind w:left="95"/>
              <w:rPr>
                <w:sz w:val="20"/>
              </w:rPr>
            </w:pPr>
            <w:r>
              <w:rPr>
                <w:color w:val="4D4D4F"/>
                <w:sz w:val="20"/>
              </w:rPr>
              <w:t>53.</w:t>
            </w:r>
            <w:r>
              <w:rPr>
                <w:color w:val="4D4D4F"/>
                <w:spacing w:val="16"/>
                <w:sz w:val="20"/>
              </w:rPr>
              <w:t xml:space="preserve"> </w:t>
            </w:r>
            <w:r>
              <w:rPr>
                <w:sz w:val="20"/>
              </w:rPr>
              <w:t>I would</w:t>
            </w:r>
            <w:r>
              <w:rPr>
                <w:spacing w:val="1"/>
                <w:sz w:val="20"/>
              </w:rPr>
              <w:t xml:space="preserve"> </w:t>
            </w:r>
            <w:r>
              <w:rPr>
                <w:sz w:val="20"/>
              </w:rPr>
              <w:t>like</w:t>
            </w:r>
            <w:r>
              <w:rPr>
                <w:spacing w:val="-1"/>
                <w:sz w:val="20"/>
              </w:rPr>
              <w:t xml:space="preserve"> </w:t>
            </w:r>
            <w:r>
              <w:rPr>
                <w:sz w:val="20"/>
              </w:rPr>
              <w:t>to learn</w:t>
            </w:r>
            <w:r>
              <w:rPr>
                <w:spacing w:val="1"/>
                <w:sz w:val="20"/>
              </w:rPr>
              <w:t xml:space="preserve"> </w:t>
            </w:r>
            <w:r>
              <w:rPr>
                <w:sz w:val="20"/>
              </w:rPr>
              <w:t>how</w:t>
            </w:r>
            <w:r>
              <w:rPr>
                <w:spacing w:val="-1"/>
                <w:sz w:val="20"/>
              </w:rPr>
              <w:t xml:space="preserve"> </w:t>
            </w:r>
            <w:r>
              <w:rPr>
                <w:sz w:val="20"/>
              </w:rPr>
              <w:t>to manage</w:t>
            </w:r>
            <w:r>
              <w:rPr>
                <w:spacing w:val="-1"/>
                <w:sz w:val="20"/>
              </w:rPr>
              <w:t xml:space="preserve"> </w:t>
            </w:r>
            <w:r>
              <w:rPr>
                <w:sz w:val="20"/>
              </w:rPr>
              <w:t>my</w:t>
            </w:r>
            <w:r>
              <w:rPr>
                <w:spacing w:val="1"/>
                <w:sz w:val="20"/>
              </w:rPr>
              <w:t xml:space="preserve"> </w:t>
            </w:r>
            <w:r>
              <w:rPr>
                <w:sz w:val="20"/>
              </w:rPr>
              <w:t>time</w:t>
            </w:r>
            <w:r>
              <w:rPr>
                <w:spacing w:val="-1"/>
                <w:sz w:val="20"/>
              </w:rPr>
              <w:t xml:space="preserve"> </w:t>
            </w:r>
            <w:r>
              <w:rPr>
                <w:spacing w:val="-2"/>
                <w:sz w:val="20"/>
              </w:rPr>
              <w:t>better.</w:t>
            </w:r>
          </w:p>
        </w:tc>
        <w:tc>
          <w:tcPr>
            <w:tcW w:w="936" w:type="dxa"/>
          </w:tcPr>
          <w:p w14:paraId="443B394B"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2F11C4AB" w14:textId="77777777" w:rsidR="00DB6E1F" w:rsidRDefault="00F666A6">
            <w:pPr>
              <w:pStyle w:val="TableParagraph"/>
              <w:spacing w:line="242" w:lineRule="exact"/>
              <w:ind w:left="7"/>
              <w:jc w:val="center"/>
              <w:rPr>
                <w:sz w:val="20"/>
              </w:rPr>
            </w:pPr>
            <w:r>
              <w:rPr>
                <w:w w:val="99"/>
                <w:sz w:val="20"/>
              </w:rPr>
              <w:t>1</w:t>
            </w:r>
          </w:p>
        </w:tc>
        <w:tc>
          <w:tcPr>
            <w:tcW w:w="881" w:type="dxa"/>
          </w:tcPr>
          <w:p w14:paraId="57B2A677" w14:textId="77777777" w:rsidR="00DB6E1F" w:rsidRDefault="00F666A6">
            <w:pPr>
              <w:pStyle w:val="TableParagraph"/>
              <w:spacing w:line="242" w:lineRule="exact"/>
              <w:ind w:left="388"/>
              <w:rPr>
                <w:sz w:val="20"/>
              </w:rPr>
            </w:pPr>
            <w:r>
              <w:rPr>
                <w:w w:val="99"/>
                <w:sz w:val="20"/>
              </w:rPr>
              <w:t>2</w:t>
            </w:r>
          </w:p>
        </w:tc>
        <w:tc>
          <w:tcPr>
            <w:tcW w:w="936" w:type="dxa"/>
          </w:tcPr>
          <w:p w14:paraId="7BA914F8" w14:textId="77777777" w:rsidR="00DB6E1F" w:rsidRDefault="00F666A6">
            <w:pPr>
              <w:pStyle w:val="TableParagraph"/>
              <w:spacing w:line="242" w:lineRule="exact"/>
              <w:ind w:left="9"/>
              <w:jc w:val="center"/>
              <w:rPr>
                <w:sz w:val="20"/>
              </w:rPr>
            </w:pPr>
            <w:r>
              <w:rPr>
                <w:w w:val="99"/>
                <w:sz w:val="20"/>
              </w:rPr>
              <w:t>3</w:t>
            </w:r>
          </w:p>
        </w:tc>
      </w:tr>
      <w:tr w:rsidR="00DB6E1F" w14:paraId="60D43B42" w14:textId="77777777">
        <w:trPr>
          <w:trHeight w:val="263"/>
        </w:trPr>
        <w:tc>
          <w:tcPr>
            <w:tcW w:w="5472" w:type="dxa"/>
          </w:tcPr>
          <w:p w14:paraId="44857D34" w14:textId="77777777" w:rsidR="00DB6E1F" w:rsidRDefault="00F666A6">
            <w:pPr>
              <w:pStyle w:val="TableParagraph"/>
              <w:spacing w:line="242" w:lineRule="exact"/>
              <w:ind w:left="95"/>
              <w:rPr>
                <w:sz w:val="20"/>
              </w:rPr>
            </w:pPr>
            <w:r>
              <w:rPr>
                <w:color w:val="4D4D4F"/>
                <w:sz w:val="20"/>
              </w:rPr>
              <w:t>54.</w:t>
            </w:r>
            <w:r>
              <w:rPr>
                <w:color w:val="4D4D4F"/>
                <w:spacing w:val="16"/>
                <w:sz w:val="20"/>
              </w:rPr>
              <w:t xml:space="preserve"> </w:t>
            </w:r>
            <w:r>
              <w:rPr>
                <w:sz w:val="20"/>
              </w:rPr>
              <w:t>I</w:t>
            </w:r>
            <w:r>
              <w:rPr>
                <w:spacing w:val="1"/>
                <w:sz w:val="20"/>
              </w:rPr>
              <w:t xml:space="preserve"> </w:t>
            </w:r>
            <w:r>
              <w:rPr>
                <w:sz w:val="20"/>
              </w:rPr>
              <w:t>want</w:t>
            </w:r>
            <w:r>
              <w:rPr>
                <w:spacing w:val="1"/>
                <w:sz w:val="20"/>
              </w:rPr>
              <w:t xml:space="preserve"> </w:t>
            </w:r>
            <w:r>
              <w:rPr>
                <w:sz w:val="20"/>
              </w:rPr>
              <w:t>help</w:t>
            </w:r>
            <w:r>
              <w:rPr>
                <w:spacing w:val="1"/>
                <w:sz w:val="20"/>
              </w:rPr>
              <w:t xml:space="preserve"> </w:t>
            </w:r>
            <w:r>
              <w:rPr>
                <w:sz w:val="20"/>
              </w:rPr>
              <w:t>to</w:t>
            </w:r>
            <w:r>
              <w:rPr>
                <w:spacing w:val="1"/>
                <w:sz w:val="20"/>
              </w:rPr>
              <w:t xml:space="preserve"> </w:t>
            </w:r>
            <w:r>
              <w:rPr>
                <w:sz w:val="20"/>
              </w:rPr>
              <w:t>receive SSI/disability</w:t>
            </w:r>
            <w:r>
              <w:rPr>
                <w:spacing w:val="1"/>
                <w:sz w:val="20"/>
              </w:rPr>
              <w:t xml:space="preserve"> </w:t>
            </w:r>
            <w:r>
              <w:rPr>
                <w:spacing w:val="-2"/>
                <w:sz w:val="20"/>
              </w:rPr>
              <w:t>payments.</w:t>
            </w:r>
          </w:p>
        </w:tc>
        <w:tc>
          <w:tcPr>
            <w:tcW w:w="936" w:type="dxa"/>
          </w:tcPr>
          <w:p w14:paraId="50210D81"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1F0FF0FF" w14:textId="77777777" w:rsidR="00DB6E1F" w:rsidRDefault="00F666A6">
            <w:pPr>
              <w:pStyle w:val="TableParagraph"/>
              <w:spacing w:line="242" w:lineRule="exact"/>
              <w:ind w:left="7"/>
              <w:jc w:val="center"/>
              <w:rPr>
                <w:sz w:val="20"/>
              </w:rPr>
            </w:pPr>
            <w:r>
              <w:rPr>
                <w:w w:val="99"/>
                <w:sz w:val="20"/>
              </w:rPr>
              <w:t>1</w:t>
            </w:r>
          </w:p>
        </w:tc>
        <w:tc>
          <w:tcPr>
            <w:tcW w:w="881" w:type="dxa"/>
          </w:tcPr>
          <w:p w14:paraId="419D2607" w14:textId="77777777" w:rsidR="00DB6E1F" w:rsidRDefault="00F666A6">
            <w:pPr>
              <w:pStyle w:val="TableParagraph"/>
              <w:spacing w:line="242" w:lineRule="exact"/>
              <w:ind w:left="388"/>
              <w:rPr>
                <w:sz w:val="20"/>
              </w:rPr>
            </w:pPr>
            <w:r>
              <w:rPr>
                <w:w w:val="99"/>
                <w:sz w:val="20"/>
              </w:rPr>
              <w:t>2</w:t>
            </w:r>
          </w:p>
        </w:tc>
        <w:tc>
          <w:tcPr>
            <w:tcW w:w="936" w:type="dxa"/>
          </w:tcPr>
          <w:p w14:paraId="44C8A7A5" w14:textId="77777777" w:rsidR="00DB6E1F" w:rsidRDefault="00F666A6">
            <w:pPr>
              <w:pStyle w:val="TableParagraph"/>
              <w:spacing w:line="242" w:lineRule="exact"/>
              <w:ind w:left="9"/>
              <w:jc w:val="center"/>
              <w:rPr>
                <w:sz w:val="20"/>
              </w:rPr>
            </w:pPr>
            <w:r>
              <w:rPr>
                <w:w w:val="99"/>
                <w:sz w:val="20"/>
              </w:rPr>
              <w:t>3</w:t>
            </w:r>
          </w:p>
        </w:tc>
      </w:tr>
      <w:tr w:rsidR="00DB6E1F" w14:paraId="78A86284" w14:textId="77777777">
        <w:trPr>
          <w:trHeight w:val="263"/>
        </w:trPr>
        <w:tc>
          <w:tcPr>
            <w:tcW w:w="5472" w:type="dxa"/>
          </w:tcPr>
          <w:p w14:paraId="48F23668" w14:textId="77777777" w:rsidR="00DB6E1F" w:rsidRDefault="00F666A6">
            <w:pPr>
              <w:pStyle w:val="TableParagraph"/>
              <w:spacing w:line="242" w:lineRule="exact"/>
              <w:ind w:left="95"/>
              <w:rPr>
                <w:sz w:val="20"/>
              </w:rPr>
            </w:pPr>
            <w:r>
              <w:rPr>
                <w:color w:val="4D4D4F"/>
                <w:sz w:val="20"/>
              </w:rPr>
              <w:t>55.</w:t>
            </w:r>
            <w:r>
              <w:rPr>
                <w:color w:val="4D4D4F"/>
                <w:spacing w:val="14"/>
                <w:sz w:val="20"/>
              </w:rPr>
              <w:t xml:space="preserve"> </w:t>
            </w:r>
            <w:r>
              <w:rPr>
                <w:sz w:val="20"/>
              </w:rPr>
              <w:t>I want to find</w:t>
            </w:r>
            <w:r>
              <w:rPr>
                <w:spacing w:val="1"/>
                <w:sz w:val="20"/>
              </w:rPr>
              <w:t xml:space="preserve"> </w:t>
            </w:r>
            <w:r>
              <w:rPr>
                <w:sz w:val="20"/>
              </w:rPr>
              <w:t>enjoyable</w:t>
            </w:r>
            <w:r>
              <w:rPr>
                <w:spacing w:val="-1"/>
                <w:sz w:val="20"/>
              </w:rPr>
              <w:t xml:space="preserve"> </w:t>
            </w:r>
            <w:r>
              <w:rPr>
                <w:sz w:val="20"/>
              </w:rPr>
              <w:t>ways</w:t>
            </w:r>
            <w:r>
              <w:rPr>
                <w:spacing w:val="-1"/>
                <w:sz w:val="20"/>
              </w:rPr>
              <w:t xml:space="preserve"> </w:t>
            </w:r>
            <w:r>
              <w:rPr>
                <w:sz w:val="20"/>
              </w:rPr>
              <w:t>to spend</w:t>
            </w:r>
            <w:r>
              <w:rPr>
                <w:spacing w:val="1"/>
                <w:sz w:val="20"/>
              </w:rPr>
              <w:t xml:space="preserve"> </w:t>
            </w:r>
            <w:r>
              <w:rPr>
                <w:sz w:val="20"/>
              </w:rPr>
              <w:t>my</w:t>
            </w:r>
            <w:r>
              <w:rPr>
                <w:spacing w:val="1"/>
                <w:sz w:val="20"/>
              </w:rPr>
              <w:t xml:space="preserve"> </w:t>
            </w:r>
            <w:r>
              <w:rPr>
                <w:sz w:val="20"/>
              </w:rPr>
              <w:t>free</w:t>
            </w:r>
            <w:r>
              <w:rPr>
                <w:spacing w:val="-1"/>
                <w:sz w:val="20"/>
              </w:rPr>
              <w:t xml:space="preserve"> </w:t>
            </w:r>
            <w:r>
              <w:rPr>
                <w:spacing w:val="-4"/>
                <w:sz w:val="20"/>
              </w:rPr>
              <w:t>time.</w:t>
            </w:r>
          </w:p>
        </w:tc>
        <w:tc>
          <w:tcPr>
            <w:tcW w:w="936" w:type="dxa"/>
          </w:tcPr>
          <w:p w14:paraId="0F1E0F0C"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0F33FBFB" w14:textId="77777777" w:rsidR="00DB6E1F" w:rsidRDefault="00F666A6">
            <w:pPr>
              <w:pStyle w:val="TableParagraph"/>
              <w:spacing w:line="242" w:lineRule="exact"/>
              <w:ind w:left="7"/>
              <w:jc w:val="center"/>
              <w:rPr>
                <w:sz w:val="20"/>
              </w:rPr>
            </w:pPr>
            <w:r>
              <w:rPr>
                <w:w w:val="99"/>
                <w:sz w:val="20"/>
              </w:rPr>
              <w:t>1</w:t>
            </w:r>
          </w:p>
        </w:tc>
        <w:tc>
          <w:tcPr>
            <w:tcW w:w="881" w:type="dxa"/>
          </w:tcPr>
          <w:p w14:paraId="58567DA3" w14:textId="77777777" w:rsidR="00DB6E1F" w:rsidRDefault="00F666A6">
            <w:pPr>
              <w:pStyle w:val="TableParagraph"/>
              <w:spacing w:line="242" w:lineRule="exact"/>
              <w:ind w:left="388"/>
              <w:rPr>
                <w:sz w:val="20"/>
              </w:rPr>
            </w:pPr>
            <w:r>
              <w:rPr>
                <w:w w:val="99"/>
                <w:sz w:val="20"/>
              </w:rPr>
              <w:t>2</w:t>
            </w:r>
          </w:p>
        </w:tc>
        <w:tc>
          <w:tcPr>
            <w:tcW w:w="936" w:type="dxa"/>
          </w:tcPr>
          <w:p w14:paraId="091EAB90" w14:textId="77777777" w:rsidR="00DB6E1F" w:rsidRDefault="00F666A6">
            <w:pPr>
              <w:pStyle w:val="TableParagraph"/>
              <w:spacing w:line="242" w:lineRule="exact"/>
              <w:ind w:left="9"/>
              <w:jc w:val="center"/>
              <w:rPr>
                <w:sz w:val="20"/>
              </w:rPr>
            </w:pPr>
            <w:r>
              <w:rPr>
                <w:w w:val="99"/>
                <w:sz w:val="20"/>
              </w:rPr>
              <w:t>3</w:t>
            </w:r>
          </w:p>
        </w:tc>
      </w:tr>
      <w:tr w:rsidR="00DB6E1F" w14:paraId="374FFAA2" w14:textId="77777777">
        <w:trPr>
          <w:trHeight w:val="263"/>
        </w:trPr>
        <w:tc>
          <w:tcPr>
            <w:tcW w:w="5472" w:type="dxa"/>
          </w:tcPr>
          <w:p w14:paraId="6ED84C6C" w14:textId="77777777" w:rsidR="00DB6E1F" w:rsidRDefault="00F666A6">
            <w:pPr>
              <w:pStyle w:val="TableParagraph"/>
              <w:spacing w:line="242" w:lineRule="exact"/>
              <w:ind w:left="95"/>
              <w:rPr>
                <w:sz w:val="20"/>
              </w:rPr>
            </w:pPr>
            <w:r>
              <w:rPr>
                <w:color w:val="4D4D4F"/>
                <w:sz w:val="20"/>
              </w:rPr>
              <w:t>56.</w:t>
            </w:r>
            <w:r>
              <w:rPr>
                <w:color w:val="4D4D4F"/>
                <w:spacing w:val="16"/>
                <w:sz w:val="20"/>
              </w:rPr>
              <w:t xml:space="preserve"> </w:t>
            </w:r>
            <w:r>
              <w:rPr>
                <w:sz w:val="20"/>
              </w:rPr>
              <w:t>I want</w:t>
            </w:r>
            <w:r>
              <w:rPr>
                <w:spacing w:val="1"/>
                <w:sz w:val="20"/>
              </w:rPr>
              <w:t xml:space="preserve"> </w:t>
            </w:r>
            <w:r>
              <w:rPr>
                <w:sz w:val="20"/>
              </w:rPr>
              <w:t>help</w:t>
            </w:r>
            <w:r>
              <w:rPr>
                <w:spacing w:val="1"/>
                <w:sz w:val="20"/>
              </w:rPr>
              <w:t xml:space="preserve"> </w:t>
            </w:r>
            <w:r>
              <w:rPr>
                <w:sz w:val="20"/>
              </w:rPr>
              <w:t>in</w:t>
            </w:r>
            <w:r>
              <w:rPr>
                <w:spacing w:val="2"/>
                <w:sz w:val="20"/>
              </w:rPr>
              <w:t xml:space="preserve"> </w:t>
            </w:r>
            <w:r>
              <w:rPr>
                <w:sz w:val="20"/>
              </w:rPr>
              <w:t>getting my</w:t>
            </w:r>
            <w:r>
              <w:rPr>
                <w:spacing w:val="1"/>
                <w:sz w:val="20"/>
              </w:rPr>
              <w:t xml:space="preserve"> </w:t>
            </w:r>
            <w:r>
              <w:rPr>
                <w:sz w:val="20"/>
              </w:rPr>
              <w:t>child(ren)</w:t>
            </w:r>
            <w:r>
              <w:rPr>
                <w:spacing w:val="1"/>
                <w:sz w:val="20"/>
              </w:rPr>
              <w:t xml:space="preserve"> </w:t>
            </w:r>
            <w:r>
              <w:rPr>
                <w:spacing w:val="-4"/>
                <w:sz w:val="20"/>
              </w:rPr>
              <w:t>back.</w:t>
            </w:r>
          </w:p>
        </w:tc>
        <w:tc>
          <w:tcPr>
            <w:tcW w:w="936" w:type="dxa"/>
          </w:tcPr>
          <w:p w14:paraId="7AF8CFC7"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364811EF" w14:textId="77777777" w:rsidR="00DB6E1F" w:rsidRDefault="00F666A6">
            <w:pPr>
              <w:pStyle w:val="TableParagraph"/>
              <w:spacing w:line="242" w:lineRule="exact"/>
              <w:ind w:left="7"/>
              <w:jc w:val="center"/>
              <w:rPr>
                <w:sz w:val="20"/>
              </w:rPr>
            </w:pPr>
            <w:r>
              <w:rPr>
                <w:w w:val="99"/>
                <w:sz w:val="20"/>
              </w:rPr>
              <w:t>1</w:t>
            </w:r>
          </w:p>
        </w:tc>
        <w:tc>
          <w:tcPr>
            <w:tcW w:w="881" w:type="dxa"/>
          </w:tcPr>
          <w:p w14:paraId="05E4D56B" w14:textId="77777777" w:rsidR="00DB6E1F" w:rsidRDefault="00F666A6">
            <w:pPr>
              <w:pStyle w:val="TableParagraph"/>
              <w:spacing w:line="242" w:lineRule="exact"/>
              <w:ind w:left="388"/>
              <w:rPr>
                <w:sz w:val="20"/>
              </w:rPr>
            </w:pPr>
            <w:r>
              <w:rPr>
                <w:w w:val="99"/>
                <w:sz w:val="20"/>
              </w:rPr>
              <w:t>2</w:t>
            </w:r>
          </w:p>
        </w:tc>
        <w:tc>
          <w:tcPr>
            <w:tcW w:w="936" w:type="dxa"/>
          </w:tcPr>
          <w:p w14:paraId="36DC2A4F" w14:textId="77777777" w:rsidR="00DB6E1F" w:rsidRDefault="00F666A6">
            <w:pPr>
              <w:pStyle w:val="TableParagraph"/>
              <w:spacing w:line="242" w:lineRule="exact"/>
              <w:ind w:left="9"/>
              <w:jc w:val="center"/>
              <w:rPr>
                <w:sz w:val="20"/>
              </w:rPr>
            </w:pPr>
            <w:r>
              <w:rPr>
                <w:w w:val="99"/>
                <w:sz w:val="20"/>
              </w:rPr>
              <w:t>3</w:t>
            </w:r>
          </w:p>
        </w:tc>
      </w:tr>
      <w:tr w:rsidR="00DB6E1F" w14:paraId="6E24E867" w14:textId="77777777">
        <w:trPr>
          <w:trHeight w:val="263"/>
        </w:trPr>
        <w:tc>
          <w:tcPr>
            <w:tcW w:w="5472" w:type="dxa"/>
          </w:tcPr>
          <w:p w14:paraId="124EDBD7" w14:textId="77777777" w:rsidR="00DB6E1F" w:rsidRDefault="00F666A6">
            <w:pPr>
              <w:pStyle w:val="TableParagraph"/>
              <w:spacing w:line="242" w:lineRule="exact"/>
              <w:ind w:left="95"/>
              <w:rPr>
                <w:sz w:val="20"/>
              </w:rPr>
            </w:pPr>
            <w:r>
              <w:rPr>
                <w:color w:val="4D4D4F"/>
                <w:sz w:val="20"/>
              </w:rPr>
              <w:t>57.</w:t>
            </w:r>
            <w:r>
              <w:rPr>
                <w:color w:val="4D4D4F"/>
                <w:spacing w:val="18"/>
                <w:sz w:val="20"/>
              </w:rPr>
              <w:t xml:space="preserve"> </w:t>
            </w:r>
            <w:r>
              <w:rPr>
                <w:sz w:val="20"/>
              </w:rPr>
              <w:t>I</w:t>
            </w:r>
            <w:r>
              <w:rPr>
                <w:spacing w:val="2"/>
                <w:sz w:val="20"/>
              </w:rPr>
              <w:t xml:space="preserve"> </w:t>
            </w:r>
            <w:r>
              <w:rPr>
                <w:sz w:val="20"/>
              </w:rPr>
              <w:t>would</w:t>
            </w:r>
            <w:r>
              <w:rPr>
                <w:spacing w:val="3"/>
                <w:sz w:val="20"/>
              </w:rPr>
              <w:t xml:space="preserve"> </w:t>
            </w:r>
            <w:r>
              <w:rPr>
                <w:sz w:val="20"/>
              </w:rPr>
              <w:t>like</w:t>
            </w:r>
            <w:r>
              <w:rPr>
                <w:spacing w:val="1"/>
                <w:sz w:val="20"/>
              </w:rPr>
              <w:t xml:space="preserve"> </w:t>
            </w:r>
            <w:r>
              <w:rPr>
                <w:sz w:val="20"/>
              </w:rPr>
              <w:t>to</w:t>
            </w:r>
            <w:r>
              <w:rPr>
                <w:spacing w:val="2"/>
                <w:sz w:val="20"/>
              </w:rPr>
              <w:t xml:space="preserve"> </w:t>
            </w:r>
            <w:r>
              <w:rPr>
                <w:sz w:val="20"/>
              </w:rPr>
              <w:t>talk</w:t>
            </w:r>
            <w:r>
              <w:rPr>
                <w:spacing w:val="1"/>
                <w:sz w:val="20"/>
              </w:rPr>
              <w:t xml:space="preserve"> </w:t>
            </w:r>
            <w:r>
              <w:rPr>
                <w:sz w:val="20"/>
              </w:rPr>
              <w:t>about</w:t>
            </w:r>
            <w:r>
              <w:rPr>
                <w:spacing w:val="2"/>
                <w:sz w:val="20"/>
              </w:rPr>
              <w:t xml:space="preserve"> </w:t>
            </w:r>
            <w:r>
              <w:rPr>
                <w:sz w:val="20"/>
              </w:rPr>
              <w:t>my</w:t>
            </w:r>
            <w:r>
              <w:rPr>
                <w:spacing w:val="1"/>
                <w:sz w:val="20"/>
              </w:rPr>
              <w:t xml:space="preserve"> </w:t>
            </w:r>
            <w:r>
              <w:rPr>
                <w:spacing w:val="-4"/>
                <w:sz w:val="20"/>
              </w:rPr>
              <w:t>past.</w:t>
            </w:r>
          </w:p>
        </w:tc>
        <w:tc>
          <w:tcPr>
            <w:tcW w:w="936" w:type="dxa"/>
          </w:tcPr>
          <w:p w14:paraId="7654896A"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24289E32" w14:textId="77777777" w:rsidR="00DB6E1F" w:rsidRDefault="00F666A6">
            <w:pPr>
              <w:pStyle w:val="TableParagraph"/>
              <w:spacing w:line="242" w:lineRule="exact"/>
              <w:ind w:left="7"/>
              <w:jc w:val="center"/>
              <w:rPr>
                <w:sz w:val="20"/>
              </w:rPr>
            </w:pPr>
            <w:r>
              <w:rPr>
                <w:w w:val="99"/>
                <w:sz w:val="20"/>
              </w:rPr>
              <w:t>1</w:t>
            </w:r>
          </w:p>
        </w:tc>
        <w:tc>
          <w:tcPr>
            <w:tcW w:w="881" w:type="dxa"/>
          </w:tcPr>
          <w:p w14:paraId="4549B337" w14:textId="77777777" w:rsidR="00DB6E1F" w:rsidRDefault="00F666A6">
            <w:pPr>
              <w:pStyle w:val="TableParagraph"/>
              <w:spacing w:line="242" w:lineRule="exact"/>
              <w:ind w:left="388"/>
              <w:rPr>
                <w:sz w:val="20"/>
              </w:rPr>
            </w:pPr>
            <w:r>
              <w:rPr>
                <w:w w:val="99"/>
                <w:sz w:val="20"/>
              </w:rPr>
              <w:t>2</w:t>
            </w:r>
          </w:p>
        </w:tc>
        <w:tc>
          <w:tcPr>
            <w:tcW w:w="936" w:type="dxa"/>
          </w:tcPr>
          <w:p w14:paraId="376D10A9" w14:textId="77777777" w:rsidR="00DB6E1F" w:rsidRDefault="00F666A6">
            <w:pPr>
              <w:pStyle w:val="TableParagraph"/>
              <w:spacing w:line="242" w:lineRule="exact"/>
              <w:ind w:left="9"/>
              <w:jc w:val="center"/>
              <w:rPr>
                <w:sz w:val="20"/>
              </w:rPr>
            </w:pPr>
            <w:r>
              <w:rPr>
                <w:w w:val="99"/>
                <w:sz w:val="20"/>
              </w:rPr>
              <w:t>3</w:t>
            </w:r>
          </w:p>
        </w:tc>
      </w:tr>
      <w:tr w:rsidR="00DB6E1F" w14:paraId="0F60ABF3" w14:textId="77777777">
        <w:trPr>
          <w:trHeight w:val="263"/>
        </w:trPr>
        <w:tc>
          <w:tcPr>
            <w:tcW w:w="5472" w:type="dxa"/>
          </w:tcPr>
          <w:p w14:paraId="18F49C6D" w14:textId="77777777" w:rsidR="00DB6E1F" w:rsidRDefault="00F666A6">
            <w:pPr>
              <w:pStyle w:val="TableParagraph"/>
              <w:spacing w:line="242" w:lineRule="exact"/>
              <w:ind w:left="95"/>
              <w:rPr>
                <w:sz w:val="20"/>
              </w:rPr>
            </w:pPr>
            <w:r>
              <w:rPr>
                <w:color w:val="4D4D4F"/>
                <w:sz w:val="20"/>
              </w:rPr>
              <w:t>58.</w:t>
            </w:r>
            <w:r>
              <w:rPr>
                <w:color w:val="4D4D4F"/>
                <w:spacing w:val="17"/>
                <w:sz w:val="20"/>
              </w:rPr>
              <w:t xml:space="preserve"> </w:t>
            </w:r>
            <w:r>
              <w:rPr>
                <w:sz w:val="20"/>
              </w:rPr>
              <w:t>I need</w:t>
            </w:r>
            <w:r>
              <w:rPr>
                <w:spacing w:val="2"/>
                <w:sz w:val="20"/>
              </w:rPr>
              <w:t xml:space="preserve"> </w:t>
            </w:r>
            <w:r>
              <w:rPr>
                <w:sz w:val="20"/>
              </w:rPr>
              <w:t>help</w:t>
            </w:r>
            <w:r>
              <w:rPr>
                <w:spacing w:val="2"/>
                <w:sz w:val="20"/>
              </w:rPr>
              <w:t xml:space="preserve"> </w:t>
            </w:r>
            <w:r>
              <w:rPr>
                <w:sz w:val="20"/>
              </w:rPr>
              <w:t>in</w:t>
            </w:r>
            <w:r>
              <w:rPr>
                <w:spacing w:val="2"/>
                <w:sz w:val="20"/>
              </w:rPr>
              <w:t xml:space="preserve"> </w:t>
            </w:r>
            <w:r>
              <w:rPr>
                <w:sz w:val="20"/>
              </w:rPr>
              <w:t>getting motivated</w:t>
            </w:r>
            <w:r>
              <w:rPr>
                <w:spacing w:val="2"/>
                <w:sz w:val="20"/>
              </w:rPr>
              <w:t xml:space="preserve"> </w:t>
            </w:r>
            <w:r>
              <w:rPr>
                <w:sz w:val="20"/>
              </w:rPr>
              <w:t>to</w:t>
            </w:r>
            <w:r>
              <w:rPr>
                <w:spacing w:val="1"/>
                <w:sz w:val="20"/>
              </w:rPr>
              <w:t xml:space="preserve"> </w:t>
            </w:r>
            <w:r>
              <w:rPr>
                <w:spacing w:val="-2"/>
                <w:sz w:val="20"/>
              </w:rPr>
              <w:t>change.</w:t>
            </w:r>
          </w:p>
        </w:tc>
        <w:tc>
          <w:tcPr>
            <w:tcW w:w="936" w:type="dxa"/>
          </w:tcPr>
          <w:p w14:paraId="7B21AF60"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5651F567" w14:textId="77777777" w:rsidR="00DB6E1F" w:rsidRDefault="00F666A6">
            <w:pPr>
              <w:pStyle w:val="TableParagraph"/>
              <w:spacing w:line="242" w:lineRule="exact"/>
              <w:ind w:left="7"/>
              <w:jc w:val="center"/>
              <w:rPr>
                <w:sz w:val="20"/>
              </w:rPr>
            </w:pPr>
            <w:r>
              <w:rPr>
                <w:w w:val="99"/>
                <w:sz w:val="20"/>
              </w:rPr>
              <w:t>1</w:t>
            </w:r>
          </w:p>
        </w:tc>
        <w:tc>
          <w:tcPr>
            <w:tcW w:w="881" w:type="dxa"/>
          </w:tcPr>
          <w:p w14:paraId="21405041" w14:textId="77777777" w:rsidR="00DB6E1F" w:rsidRDefault="00F666A6">
            <w:pPr>
              <w:pStyle w:val="TableParagraph"/>
              <w:spacing w:line="242" w:lineRule="exact"/>
              <w:ind w:left="388"/>
              <w:rPr>
                <w:sz w:val="20"/>
              </w:rPr>
            </w:pPr>
            <w:r>
              <w:rPr>
                <w:w w:val="99"/>
                <w:sz w:val="20"/>
              </w:rPr>
              <w:t>2</w:t>
            </w:r>
          </w:p>
        </w:tc>
        <w:tc>
          <w:tcPr>
            <w:tcW w:w="936" w:type="dxa"/>
          </w:tcPr>
          <w:p w14:paraId="3B538D4E" w14:textId="77777777" w:rsidR="00DB6E1F" w:rsidRDefault="00F666A6">
            <w:pPr>
              <w:pStyle w:val="TableParagraph"/>
              <w:spacing w:line="242" w:lineRule="exact"/>
              <w:ind w:left="9"/>
              <w:jc w:val="center"/>
              <w:rPr>
                <w:sz w:val="20"/>
              </w:rPr>
            </w:pPr>
            <w:r>
              <w:rPr>
                <w:w w:val="99"/>
                <w:sz w:val="20"/>
              </w:rPr>
              <w:t>3</w:t>
            </w:r>
          </w:p>
        </w:tc>
      </w:tr>
      <w:tr w:rsidR="00DB6E1F" w14:paraId="021AF7C3" w14:textId="77777777">
        <w:trPr>
          <w:trHeight w:val="263"/>
        </w:trPr>
        <w:tc>
          <w:tcPr>
            <w:tcW w:w="5472" w:type="dxa"/>
          </w:tcPr>
          <w:p w14:paraId="0AB14F1D" w14:textId="77777777" w:rsidR="00DB6E1F" w:rsidRDefault="00F666A6">
            <w:pPr>
              <w:pStyle w:val="TableParagraph"/>
              <w:spacing w:line="242" w:lineRule="exact"/>
              <w:ind w:left="95"/>
              <w:rPr>
                <w:sz w:val="20"/>
              </w:rPr>
            </w:pPr>
            <w:r>
              <w:rPr>
                <w:color w:val="4D4D4F"/>
                <w:sz w:val="20"/>
              </w:rPr>
              <w:t>59.</w:t>
            </w:r>
            <w:r>
              <w:rPr>
                <w:color w:val="4D4D4F"/>
                <w:spacing w:val="18"/>
                <w:sz w:val="20"/>
              </w:rPr>
              <w:t xml:space="preserve"> </w:t>
            </w:r>
            <w:r>
              <w:rPr>
                <w:sz w:val="20"/>
              </w:rPr>
              <w:t>I</w:t>
            </w:r>
            <w:r>
              <w:rPr>
                <w:spacing w:val="2"/>
                <w:sz w:val="20"/>
              </w:rPr>
              <w:t xml:space="preserve"> </w:t>
            </w:r>
            <w:r>
              <w:rPr>
                <w:sz w:val="20"/>
              </w:rPr>
              <w:t>would</w:t>
            </w:r>
            <w:r>
              <w:rPr>
                <w:spacing w:val="3"/>
                <w:sz w:val="20"/>
              </w:rPr>
              <w:t xml:space="preserve"> </w:t>
            </w:r>
            <w:r>
              <w:rPr>
                <w:sz w:val="20"/>
              </w:rPr>
              <w:t>like</w:t>
            </w:r>
            <w:r>
              <w:rPr>
                <w:spacing w:val="1"/>
                <w:sz w:val="20"/>
              </w:rPr>
              <w:t xml:space="preserve"> </w:t>
            </w:r>
            <w:r>
              <w:rPr>
                <w:sz w:val="20"/>
              </w:rPr>
              <w:t>to</w:t>
            </w:r>
            <w:r>
              <w:rPr>
                <w:spacing w:val="2"/>
                <w:sz w:val="20"/>
              </w:rPr>
              <w:t xml:space="preserve"> </w:t>
            </w:r>
            <w:r>
              <w:rPr>
                <w:sz w:val="20"/>
              </w:rPr>
              <w:t>see a</w:t>
            </w:r>
            <w:r>
              <w:rPr>
                <w:spacing w:val="2"/>
                <w:sz w:val="20"/>
              </w:rPr>
              <w:t xml:space="preserve"> </w:t>
            </w:r>
            <w:r>
              <w:rPr>
                <w:sz w:val="20"/>
              </w:rPr>
              <w:t>female</w:t>
            </w:r>
            <w:r>
              <w:rPr>
                <w:spacing w:val="1"/>
                <w:sz w:val="20"/>
              </w:rPr>
              <w:t xml:space="preserve"> </w:t>
            </w:r>
            <w:r>
              <w:rPr>
                <w:spacing w:val="-2"/>
                <w:sz w:val="20"/>
              </w:rPr>
              <w:t>counselor.</w:t>
            </w:r>
          </w:p>
        </w:tc>
        <w:tc>
          <w:tcPr>
            <w:tcW w:w="936" w:type="dxa"/>
          </w:tcPr>
          <w:p w14:paraId="4F34CA1A"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373A149F" w14:textId="77777777" w:rsidR="00DB6E1F" w:rsidRDefault="00F666A6">
            <w:pPr>
              <w:pStyle w:val="TableParagraph"/>
              <w:spacing w:line="242" w:lineRule="exact"/>
              <w:ind w:left="7"/>
              <w:jc w:val="center"/>
              <w:rPr>
                <w:sz w:val="20"/>
              </w:rPr>
            </w:pPr>
            <w:r>
              <w:rPr>
                <w:w w:val="99"/>
                <w:sz w:val="20"/>
              </w:rPr>
              <w:t>1</w:t>
            </w:r>
          </w:p>
        </w:tc>
        <w:tc>
          <w:tcPr>
            <w:tcW w:w="881" w:type="dxa"/>
          </w:tcPr>
          <w:p w14:paraId="4A35F50C" w14:textId="77777777" w:rsidR="00DB6E1F" w:rsidRDefault="00F666A6">
            <w:pPr>
              <w:pStyle w:val="TableParagraph"/>
              <w:spacing w:line="242" w:lineRule="exact"/>
              <w:ind w:left="388"/>
              <w:rPr>
                <w:sz w:val="20"/>
              </w:rPr>
            </w:pPr>
            <w:r>
              <w:rPr>
                <w:w w:val="99"/>
                <w:sz w:val="20"/>
              </w:rPr>
              <w:t>2</w:t>
            </w:r>
          </w:p>
        </w:tc>
        <w:tc>
          <w:tcPr>
            <w:tcW w:w="936" w:type="dxa"/>
          </w:tcPr>
          <w:p w14:paraId="1306ACAC" w14:textId="77777777" w:rsidR="00DB6E1F" w:rsidRDefault="00F666A6">
            <w:pPr>
              <w:pStyle w:val="TableParagraph"/>
              <w:spacing w:line="242" w:lineRule="exact"/>
              <w:ind w:left="9"/>
              <w:jc w:val="center"/>
              <w:rPr>
                <w:sz w:val="20"/>
              </w:rPr>
            </w:pPr>
            <w:r>
              <w:rPr>
                <w:w w:val="99"/>
                <w:sz w:val="20"/>
              </w:rPr>
              <w:t>3</w:t>
            </w:r>
          </w:p>
        </w:tc>
      </w:tr>
      <w:tr w:rsidR="00DB6E1F" w14:paraId="1791363B" w14:textId="77777777">
        <w:trPr>
          <w:trHeight w:val="263"/>
        </w:trPr>
        <w:tc>
          <w:tcPr>
            <w:tcW w:w="5472" w:type="dxa"/>
          </w:tcPr>
          <w:p w14:paraId="5F9FACEF" w14:textId="77777777" w:rsidR="00DB6E1F" w:rsidRDefault="00F666A6">
            <w:pPr>
              <w:pStyle w:val="TableParagraph"/>
              <w:spacing w:line="242" w:lineRule="exact"/>
              <w:ind w:left="95"/>
              <w:rPr>
                <w:sz w:val="20"/>
              </w:rPr>
            </w:pPr>
            <w:r>
              <w:rPr>
                <w:color w:val="4D4D4F"/>
                <w:sz w:val="20"/>
              </w:rPr>
              <w:t>60.</w:t>
            </w:r>
            <w:r>
              <w:rPr>
                <w:color w:val="4D4D4F"/>
                <w:spacing w:val="18"/>
                <w:sz w:val="20"/>
              </w:rPr>
              <w:t xml:space="preserve"> </w:t>
            </w:r>
            <w:r>
              <w:rPr>
                <w:sz w:val="20"/>
              </w:rPr>
              <w:t>I</w:t>
            </w:r>
            <w:r>
              <w:rPr>
                <w:spacing w:val="2"/>
                <w:sz w:val="20"/>
              </w:rPr>
              <w:t xml:space="preserve"> </w:t>
            </w:r>
            <w:r>
              <w:rPr>
                <w:sz w:val="20"/>
              </w:rPr>
              <w:t>would</w:t>
            </w:r>
            <w:r>
              <w:rPr>
                <w:spacing w:val="3"/>
                <w:sz w:val="20"/>
              </w:rPr>
              <w:t xml:space="preserve"> </w:t>
            </w:r>
            <w:r>
              <w:rPr>
                <w:sz w:val="20"/>
              </w:rPr>
              <w:t>like</w:t>
            </w:r>
            <w:r>
              <w:rPr>
                <w:spacing w:val="1"/>
                <w:sz w:val="20"/>
              </w:rPr>
              <w:t xml:space="preserve"> </w:t>
            </w:r>
            <w:r>
              <w:rPr>
                <w:sz w:val="20"/>
              </w:rPr>
              <w:t>to</w:t>
            </w:r>
            <w:r>
              <w:rPr>
                <w:spacing w:val="3"/>
                <w:sz w:val="20"/>
              </w:rPr>
              <w:t xml:space="preserve"> </w:t>
            </w:r>
            <w:r>
              <w:rPr>
                <w:sz w:val="20"/>
              </w:rPr>
              <w:t>see</w:t>
            </w:r>
            <w:r>
              <w:rPr>
                <w:spacing w:val="1"/>
                <w:sz w:val="20"/>
              </w:rPr>
              <w:t xml:space="preserve"> </w:t>
            </w:r>
            <w:r>
              <w:rPr>
                <w:sz w:val="20"/>
              </w:rPr>
              <w:t>a</w:t>
            </w:r>
            <w:r>
              <w:rPr>
                <w:spacing w:val="3"/>
                <w:sz w:val="20"/>
              </w:rPr>
              <w:t xml:space="preserve"> </w:t>
            </w:r>
            <w:r>
              <w:rPr>
                <w:sz w:val="20"/>
              </w:rPr>
              <w:t>male</w:t>
            </w:r>
            <w:r>
              <w:rPr>
                <w:spacing w:val="1"/>
                <w:sz w:val="20"/>
              </w:rPr>
              <w:t xml:space="preserve"> </w:t>
            </w:r>
            <w:r>
              <w:rPr>
                <w:spacing w:val="-2"/>
                <w:sz w:val="20"/>
              </w:rPr>
              <w:t>counselor.</w:t>
            </w:r>
          </w:p>
        </w:tc>
        <w:tc>
          <w:tcPr>
            <w:tcW w:w="936" w:type="dxa"/>
          </w:tcPr>
          <w:p w14:paraId="0BBA3667"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01C5D547" w14:textId="77777777" w:rsidR="00DB6E1F" w:rsidRDefault="00F666A6">
            <w:pPr>
              <w:pStyle w:val="TableParagraph"/>
              <w:spacing w:line="242" w:lineRule="exact"/>
              <w:ind w:left="7"/>
              <w:jc w:val="center"/>
              <w:rPr>
                <w:sz w:val="20"/>
              </w:rPr>
            </w:pPr>
            <w:r>
              <w:rPr>
                <w:w w:val="99"/>
                <w:sz w:val="20"/>
              </w:rPr>
              <w:t>1</w:t>
            </w:r>
          </w:p>
        </w:tc>
        <w:tc>
          <w:tcPr>
            <w:tcW w:w="881" w:type="dxa"/>
          </w:tcPr>
          <w:p w14:paraId="1D93BFB0" w14:textId="77777777" w:rsidR="00DB6E1F" w:rsidRDefault="00F666A6">
            <w:pPr>
              <w:pStyle w:val="TableParagraph"/>
              <w:spacing w:line="242" w:lineRule="exact"/>
              <w:ind w:left="388"/>
              <w:rPr>
                <w:sz w:val="20"/>
              </w:rPr>
            </w:pPr>
            <w:r>
              <w:rPr>
                <w:w w:val="99"/>
                <w:sz w:val="20"/>
              </w:rPr>
              <w:t>2</w:t>
            </w:r>
          </w:p>
        </w:tc>
        <w:tc>
          <w:tcPr>
            <w:tcW w:w="936" w:type="dxa"/>
          </w:tcPr>
          <w:p w14:paraId="482D93F0" w14:textId="77777777" w:rsidR="00DB6E1F" w:rsidRDefault="00F666A6">
            <w:pPr>
              <w:pStyle w:val="TableParagraph"/>
              <w:spacing w:line="242" w:lineRule="exact"/>
              <w:ind w:left="9"/>
              <w:jc w:val="center"/>
              <w:rPr>
                <w:sz w:val="20"/>
              </w:rPr>
            </w:pPr>
            <w:r>
              <w:rPr>
                <w:w w:val="99"/>
                <w:sz w:val="20"/>
              </w:rPr>
              <w:t>3</w:t>
            </w:r>
          </w:p>
        </w:tc>
      </w:tr>
      <w:tr w:rsidR="00DB6E1F" w14:paraId="1C3B0D18" w14:textId="77777777">
        <w:trPr>
          <w:trHeight w:val="263"/>
        </w:trPr>
        <w:tc>
          <w:tcPr>
            <w:tcW w:w="5472" w:type="dxa"/>
          </w:tcPr>
          <w:p w14:paraId="38DA3952" w14:textId="77777777" w:rsidR="00DB6E1F" w:rsidRDefault="00F666A6">
            <w:pPr>
              <w:pStyle w:val="TableParagraph"/>
              <w:spacing w:line="242" w:lineRule="exact"/>
              <w:ind w:left="95"/>
              <w:rPr>
                <w:sz w:val="20"/>
              </w:rPr>
            </w:pPr>
            <w:r>
              <w:rPr>
                <w:color w:val="4D4D4F"/>
                <w:sz w:val="20"/>
              </w:rPr>
              <w:t>61.</w:t>
            </w:r>
            <w:r>
              <w:rPr>
                <w:color w:val="4D4D4F"/>
                <w:spacing w:val="17"/>
                <w:sz w:val="20"/>
              </w:rPr>
              <w:t xml:space="preserve"> </w:t>
            </w:r>
            <w:r>
              <w:rPr>
                <w:sz w:val="20"/>
              </w:rPr>
              <w:t>I would</w:t>
            </w:r>
            <w:r>
              <w:rPr>
                <w:spacing w:val="2"/>
                <w:sz w:val="20"/>
              </w:rPr>
              <w:t xml:space="preserve"> </w:t>
            </w:r>
            <w:r>
              <w:rPr>
                <w:sz w:val="20"/>
              </w:rPr>
              <w:t>like to</w:t>
            </w:r>
            <w:r>
              <w:rPr>
                <w:spacing w:val="1"/>
                <w:sz w:val="20"/>
              </w:rPr>
              <w:t xml:space="preserve"> </w:t>
            </w:r>
            <w:r>
              <w:rPr>
                <w:sz w:val="20"/>
              </w:rPr>
              <w:t>see</w:t>
            </w:r>
            <w:r>
              <w:rPr>
                <w:spacing w:val="-1"/>
                <w:sz w:val="20"/>
              </w:rPr>
              <w:t xml:space="preserve"> </w:t>
            </w:r>
            <w:r>
              <w:rPr>
                <w:sz w:val="20"/>
              </w:rPr>
              <w:t>the counselor</w:t>
            </w:r>
            <w:r>
              <w:rPr>
                <w:spacing w:val="1"/>
                <w:sz w:val="20"/>
              </w:rPr>
              <w:t xml:space="preserve"> </w:t>
            </w:r>
            <w:r>
              <w:rPr>
                <w:sz w:val="20"/>
              </w:rPr>
              <w:t>I</w:t>
            </w:r>
            <w:r>
              <w:rPr>
                <w:spacing w:val="1"/>
                <w:sz w:val="20"/>
              </w:rPr>
              <w:t xml:space="preserve"> </w:t>
            </w:r>
            <w:r>
              <w:rPr>
                <w:sz w:val="20"/>
              </w:rPr>
              <w:t>had</w:t>
            </w:r>
            <w:r>
              <w:rPr>
                <w:spacing w:val="1"/>
                <w:sz w:val="20"/>
              </w:rPr>
              <w:t xml:space="preserve"> </w:t>
            </w:r>
            <w:r>
              <w:rPr>
                <w:spacing w:val="-2"/>
                <w:sz w:val="20"/>
              </w:rPr>
              <w:t>before.</w:t>
            </w:r>
          </w:p>
        </w:tc>
        <w:tc>
          <w:tcPr>
            <w:tcW w:w="936" w:type="dxa"/>
          </w:tcPr>
          <w:p w14:paraId="26D5C7FF"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726646DE" w14:textId="77777777" w:rsidR="00DB6E1F" w:rsidRDefault="00F666A6">
            <w:pPr>
              <w:pStyle w:val="TableParagraph"/>
              <w:spacing w:line="242" w:lineRule="exact"/>
              <w:ind w:left="7"/>
              <w:jc w:val="center"/>
              <w:rPr>
                <w:sz w:val="20"/>
              </w:rPr>
            </w:pPr>
            <w:r>
              <w:rPr>
                <w:w w:val="99"/>
                <w:sz w:val="20"/>
              </w:rPr>
              <w:t>1</w:t>
            </w:r>
          </w:p>
        </w:tc>
        <w:tc>
          <w:tcPr>
            <w:tcW w:w="881" w:type="dxa"/>
          </w:tcPr>
          <w:p w14:paraId="58B9AC8E" w14:textId="77777777" w:rsidR="00DB6E1F" w:rsidRDefault="00F666A6">
            <w:pPr>
              <w:pStyle w:val="TableParagraph"/>
              <w:spacing w:line="242" w:lineRule="exact"/>
              <w:ind w:left="388"/>
              <w:rPr>
                <w:sz w:val="20"/>
              </w:rPr>
            </w:pPr>
            <w:r>
              <w:rPr>
                <w:w w:val="99"/>
                <w:sz w:val="20"/>
              </w:rPr>
              <w:t>2</w:t>
            </w:r>
          </w:p>
        </w:tc>
        <w:tc>
          <w:tcPr>
            <w:tcW w:w="936" w:type="dxa"/>
          </w:tcPr>
          <w:p w14:paraId="661DB1CE" w14:textId="77777777" w:rsidR="00DB6E1F" w:rsidRDefault="00F666A6">
            <w:pPr>
              <w:pStyle w:val="TableParagraph"/>
              <w:spacing w:line="242" w:lineRule="exact"/>
              <w:ind w:left="9"/>
              <w:jc w:val="center"/>
              <w:rPr>
                <w:sz w:val="20"/>
              </w:rPr>
            </w:pPr>
            <w:r>
              <w:rPr>
                <w:w w:val="99"/>
                <w:sz w:val="20"/>
              </w:rPr>
              <w:t>3</w:t>
            </w:r>
          </w:p>
        </w:tc>
      </w:tr>
      <w:tr w:rsidR="00DB6E1F" w14:paraId="4A1A756E" w14:textId="77777777">
        <w:trPr>
          <w:trHeight w:val="263"/>
        </w:trPr>
        <w:tc>
          <w:tcPr>
            <w:tcW w:w="5472" w:type="dxa"/>
          </w:tcPr>
          <w:p w14:paraId="207222B8" w14:textId="77777777" w:rsidR="00DB6E1F" w:rsidRDefault="00F666A6">
            <w:pPr>
              <w:pStyle w:val="TableParagraph"/>
              <w:spacing w:line="242" w:lineRule="exact"/>
              <w:ind w:left="0" w:right="22"/>
              <w:jc w:val="right"/>
              <w:rPr>
                <w:sz w:val="20"/>
              </w:rPr>
            </w:pPr>
            <w:r>
              <w:rPr>
                <w:color w:val="4D4D4F"/>
                <w:sz w:val="20"/>
              </w:rPr>
              <w:t>62.</w:t>
            </w:r>
            <w:r>
              <w:rPr>
                <w:color w:val="4D4D4F"/>
                <w:spacing w:val="15"/>
                <w:sz w:val="20"/>
              </w:rPr>
              <w:t xml:space="preserve"> </w:t>
            </w:r>
            <w:r>
              <w:rPr>
                <w:sz w:val="20"/>
              </w:rPr>
              <w:t>I</w:t>
            </w:r>
            <w:r>
              <w:rPr>
                <w:spacing w:val="-1"/>
                <w:sz w:val="20"/>
              </w:rPr>
              <w:t xml:space="preserve"> </w:t>
            </w:r>
            <w:r>
              <w:rPr>
                <w:sz w:val="20"/>
              </w:rPr>
              <w:t>would</w:t>
            </w:r>
            <w:r>
              <w:rPr>
                <w:spacing w:val="1"/>
                <w:sz w:val="20"/>
              </w:rPr>
              <w:t xml:space="preserve"> </w:t>
            </w:r>
            <w:r>
              <w:rPr>
                <w:sz w:val="20"/>
              </w:rPr>
              <w:t>like</w:t>
            </w:r>
            <w:r>
              <w:rPr>
                <w:spacing w:val="-2"/>
                <w:sz w:val="20"/>
              </w:rPr>
              <w:t xml:space="preserve"> </w:t>
            </w:r>
            <w:r>
              <w:rPr>
                <w:sz w:val="20"/>
              </w:rPr>
              <w:t>to see</w:t>
            </w:r>
            <w:r>
              <w:rPr>
                <w:spacing w:val="-2"/>
                <w:sz w:val="20"/>
              </w:rPr>
              <w:t xml:space="preserve"> </w:t>
            </w:r>
            <w:r>
              <w:rPr>
                <w:sz w:val="20"/>
              </w:rPr>
              <w:t>a</w:t>
            </w:r>
            <w:r>
              <w:rPr>
                <w:spacing w:val="1"/>
                <w:sz w:val="20"/>
              </w:rPr>
              <w:t xml:space="preserve"> </w:t>
            </w:r>
            <w:r>
              <w:rPr>
                <w:sz w:val="20"/>
              </w:rPr>
              <w:t>doctor</w:t>
            </w:r>
            <w:r>
              <w:rPr>
                <w:spacing w:val="-1"/>
                <w:sz w:val="20"/>
              </w:rPr>
              <w:t xml:space="preserve"> </w:t>
            </w:r>
            <w:r>
              <w:rPr>
                <w:sz w:val="20"/>
              </w:rPr>
              <w:t>or</w:t>
            </w:r>
            <w:r>
              <w:rPr>
                <w:spacing w:val="-1"/>
                <w:sz w:val="20"/>
              </w:rPr>
              <w:t xml:space="preserve"> </w:t>
            </w:r>
            <w:r>
              <w:rPr>
                <w:sz w:val="20"/>
              </w:rPr>
              <w:t>nurse</w:t>
            </w:r>
            <w:r>
              <w:rPr>
                <w:spacing w:val="-1"/>
                <w:sz w:val="20"/>
              </w:rPr>
              <w:t xml:space="preserve"> </w:t>
            </w:r>
            <w:r>
              <w:rPr>
                <w:sz w:val="20"/>
              </w:rPr>
              <w:t>about</w:t>
            </w:r>
            <w:r>
              <w:rPr>
                <w:spacing w:val="-1"/>
                <w:sz w:val="20"/>
              </w:rPr>
              <w:t xml:space="preserve"> </w:t>
            </w:r>
            <w:r>
              <w:rPr>
                <w:sz w:val="20"/>
              </w:rPr>
              <w:t xml:space="preserve">medical </w:t>
            </w:r>
            <w:r>
              <w:rPr>
                <w:spacing w:val="-2"/>
                <w:sz w:val="20"/>
              </w:rPr>
              <w:t>problems.</w:t>
            </w:r>
          </w:p>
        </w:tc>
        <w:tc>
          <w:tcPr>
            <w:tcW w:w="936" w:type="dxa"/>
          </w:tcPr>
          <w:p w14:paraId="55AAADE1"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0FDD840E" w14:textId="77777777" w:rsidR="00DB6E1F" w:rsidRDefault="00F666A6">
            <w:pPr>
              <w:pStyle w:val="TableParagraph"/>
              <w:spacing w:line="242" w:lineRule="exact"/>
              <w:ind w:left="7"/>
              <w:jc w:val="center"/>
              <w:rPr>
                <w:sz w:val="20"/>
              </w:rPr>
            </w:pPr>
            <w:r>
              <w:rPr>
                <w:w w:val="99"/>
                <w:sz w:val="20"/>
              </w:rPr>
              <w:t>1</w:t>
            </w:r>
          </w:p>
        </w:tc>
        <w:tc>
          <w:tcPr>
            <w:tcW w:w="881" w:type="dxa"/>
          </w:tcPr>
          <w:p w14:paraId="401FD578" w14:textId="77777777" w:rsidR="00DB6E1F" w:rsidRDefault="00F666A6">
            <w:pPr>
              <w:pStyle w:val="TableParagraph"/>
              <w:spacing w:line="242" w:lineRule="exact"/>
              <w:ind w:left="388"/>
              <w:rPr>
                <w:sz w:val="20"/>
              </w:rPr>
            </w:pPr>
            <w:r>
              <w:rPr>
                <w:w w:val="99"/>
                <w:sz w:val="20"/>
              </w:rPr>
              <w:t>2</w:t>
            </w:r>
          </w:p>
        </w:tc>
        <w:tc>
          <w:tcPr>
            <w:tcW w:w="936" w:type="dxa"/>
          </w:tcPr>
          <w:p w14:paraId="204D21E8" w14:textId="77777777" w:rsidR="00DB6E1F" w:rsidRDefault="00F666A6">
            <w:pPr>
              <w:pStyle w:val="TableParagraph"/>
              <w:spacing w:line="242" w:lineRule="exact"/>
              <w:ind w:left="9"/>
              <w:jc w:val="center"/>
              <w:rPr>
                <w:sz w:val="20"/>
              </w:rPr>
            </w:pPr>
            <w:r>
              <w:rPr>
                <w:w w:val="99"/>
                <w:sz w:val="20"/>
              </w:rPr>
              <w:t>3</w:t>
            </w:r>
          </w:p>
        </w:tc>
      </w:tr>
      <w:tr w:rsidR="00DB6E1F" w14:paraId="026370FE" w14:textId="77777777">
        <w:trPr>
          <w:trHeight w:val="261"/>
        </w:trPr>
        <w:tc>
          <w:tcPr>
            <w:tcW w:w="5472" w:type="dxa"/>
          </w:tcPr>
          <w:p w14:paraId="7417E6FB" w14:textId="77777777" w:rsidR="00DB6E1F" w:rsidRDefault="00F666A6">
            <w:pPr>
              <w:pStyle w:val="TableParagraph"/>
              <w:spacing w:line="240" w:lineRule="exact"/>
              <w:ind w:left="95"/>
              <w:rPr>
                <w:sz w:val="20"/>
              </w:rPr>
            </w:pPr>
            <w:r>
              <w:rPr>
                <w:color w:val="4D4D4F"/>
                <w:sz w:val="20"/>
              </w:rPr>
              <w:t>63.</w:t>
            </w:r>
            <w:r>
              <w:rPr>
                <w:color w:val="4D4D4F"/>
                <w:spacing w:val="22"/>
                <w:sz w:val="20"/>
              </w:rPr>
              <w:t xml:space="preserve"> </w:t>
            </w:r>
            <w:r>
              <w:rPr>
                <w:sz w:val="20"/>
              </w:rPr>
              <w:t>I</w:t>
            </w:r>
            <w:r>
              <w:rPr>
                <w:spacing w:val="5"/>
                <w:sz w:val="20"/>
              </w:rPr>
              <w:t xml:space="preserve"> </w:t>
            </w:r>
            <w:r>
              <w:rPr>
                <w:sz w:val="20"/>
              </w:rPr>
              <w:t>want</w:t>
            </w:r>
            <w:r>
              <w:rPr>
                <w:spacing w:val="5"/>
                <w:sz w:val="20"/>
              </w:rPr>
              <w:t xml:space="preserve"> </w:t>
            </w:r>
            <w:r>
              <w:rPr>
                <w:sz w:val="20"/>
              </w:rPr>
              <w:t>to</w:t>
            </w:r>
            <w:r>
              <w:rPr>
                <w:spacing w:val="5"/>
                <w:sz w:val="20"/>
              </w:rPr>
              <w:t xml:space="preserve"> </w:t>
            </w:r>
            <w:r>
              <w:rPr>
                <w:sz w:val="20"/>
              </w:rPr>
              <w:t>receive</w:t>
            </w:r>
            <w:r>
              <w:rPr>
                <w:spacing w:val="3"/>
                <w:sz w:val="20"/>
              </w:rPr>
              <w:t xml:space="preserve"> </w:t>
            </w:r>
            <w:r>
              <w:rPr>
                <w:spacing w:val="-2"/>
                <w:sz w:val="20"/>
              </w:rPr>
              <w:t>medication.</w:t>
            </w:r>
          </w:p>
        </w:tc>
        <w:tc>
          <w:tcPr>
            <w:tcW w:w="936" w:type="dxa"/>
          </w:tcPr>
          <w:p w14:paraId="54052C36" w14:textId="77777777" w:rsidR="00DB6E1F" w:rsidRDefault="00F666A6">
            <w:pPr>
              <w:pStyle w:val="TableParagraph"/>
              <w:spacing w:line="240" w:lineRule="exact"/>
              <w:ind w:left="0" w:right="405"/>
              <w:jc w:val="right"/>
              <w:rPr>
                <w:sz w:val="20"/>
              </w:rPr>
            </w:pPr>
            <w:r>
              <w:rPr>
                <w:w w:val="99"/>
                <w:sz w:val="20"/>
              </w:rPr>
              <w:t>0</w:t>
            </w:r>
          </w:p>
        </w:tc>
        <w:tc>
          <w:tcPr>
            <w:tcW w:w="991" w:type="dxa"/>
          </w:tcPr>
          <w:p w14:paraId="657DE55D" w14:textId="77777777" w:rsidR="00DB6E1F" w:rsidRDefault="00F666A6">
            <w:pPr>
              <w:pStyle w:val="TableParagraph"/>
              <w:spacing w:line="240" w:lineRule="exact"/>
              <w:ind w:left="7"/>
              <w:jc w:val="center"/>
              <w:rPr>
                <w:sz w:val="20"/>
              </w:rPr>
            </w:pPr>
            <w:r>
              <w:rPr>
                <w:w w:val="99"/>
                <w:sz w:val="20"/>
              </w:rPr>
              <w:t>1</w:t>
            </w:r>
          </w:p>
        </w:tc>
        <w:tc>
          <w:tcPr>
            <w:tcW w:w="881" w:type="dxa"/>
          </w:tcPr>
          <w:p w14:paraId="29D50125" w14:textId="77777777" w:rsidR="00DB6E1F" w:rsidRDefault="00F666A6">
            <w:pPr>
              <w:pStyle w:val="TableParagraph"/>
              <w:spacing w:line="240" w:lineRule="exact"/>
              <w:ind w:left="388"/>
              <w:rPr>
                <w:sz w:val="20"/>
              </w:rPr>
            </w:pPr>
            <w:r>
              <w:rPr>
                <w:w w:val="99"/>
                <w:sz w:val="20"/>
              </w:rPr>
              <w:t>2</w:t>
            </w:r>
          </w:p>
        </w:tc>
        <w:tc>
          <w:tcPr>
            <w:tcW w:w="936" w:type="dxa"/>
          </w:tcPr>
          <w:p w14:paraId="6B99B28B" w14:textId="77777777" w:rsidR="00DB6E1F" w:rsidRDefault="00F666A6">
            <w:pPr>
              <w:pStyle w:val="TableParagraph"/>
              <w:spacing w:line="240" w:lineRule="exact"/>
              <w:ind w:left="9"/>
              <w:jc w:val="center"/>
              <w:rPr>
                <w:sz w:val="20"/>
              </w:rPr>
            </w:pPr>
            <w:r>
              <w:rPr>
                <w:w w:val="99"/>
                <w:sz w:val="20"/>
              </w:rPr>
              <w:t>3</w:t>
            </w:r>
          </w:p>
        </w:tc>
      </w:tr>
      <w:tr w:rsidR="00DB6E1F" w14:paraId="0F607872" w14:textId="77777777">
        <w:trPr>
          <w:trHeight w:val="527"/>
        </w:trPr>
        <w:tc>
          <w:tcPr>
            <w:tcW w:w="5472" w:type="dxa"/>
          </w:tcPr>
          <w:p w14:paraId="3BF2625E" w14:textId="77777777" w:rsidR="00DB6E1F" w:rsidRDefault="00F666A6">
            <w:pPr>
              <w:pStyle w:val="TableParagraph"/>
              <w:spacing w:before="3"/>
              <w:ind w:left="95"/>
              <w:rPr>
                <w:sz w:val="20"/>
              </w:rPr>
            </w:pPr>
            <w:r>
              <w:rPr>
                <w:color w:val="4D4D4F"/>
                <w:sz w:val="20"/>
              </w:rPr>
              <w:t>64.</w:t>
            </w:r>
            <w:r>
              <w:rPr>
                <w:color w:val="4D4D4F"/>
                <w:spacing w:val="15"/>
                <w:sz w:val="20"/>
              </w:rPr>
              <w:t xml:space="preserve"> </w:t>
            </w:r>
            <w:r>
              <w:rPr>
                <w:sz w:val="20"/>
              </w:rPr>
              <w:t>I</w:t>
            </w:r>
            <w:r>
              <w:rPr>
                <w:spacing w:val="-1"/>
                <w:sz w:val="20"/>
              </w:rPr>
              <w:t xml:space="preserve"> </w:t>
            </w:r>
            <w:r>
              <w:rPr>
                <w:sz w:val="20"/>
              </w:rPr>
              <w:t>would</w:t>
            </w:r>
            <w:r>
              <w:rPr>
                <w:spacing w:val="1"/>
                <w:sz w:val="20"/>
              </w:rPr>
              <w:t xml:space="preserve"> </w:t>
            </w:r>
            <w:r>
              <w:rPr>
                <w:sz w:val="20"/>
              </w:rPr>
              <w:t>like</w:t>
            </w:r>
            <w:r>
              <w:rPr>
                <w:spacing w:val="-2"/>
                <w:sz w:val="20"/>
              </w:rPr>
              <w:t xml:space="preserve"> </w:t>
            </w:r>
            <w:r>
              <w:rPr>
                <w:sz w:val="20"/>
              </w:rPr>
              <w:t>my spouse</w:t>
            </w:r>
            <w:r>
              <w:rPr>
                <w:spacing w:val="-1"/>
                <w:sz w:val="20"/>
              </w:rPr>
              <w:t xml:space="preserve"> </w:t>
            </w:r>
            <w:r>
              <w:rPr>
                <w:sz w:val="20"/>
              </w:rPr>
              <w:t>or</w:t>
            </w:r>
            <w:r>
              <w:rPr>
                <w:spacing w:val="-1"/>
                <w:sz w:val="20"/>
              </w:rPr>
              <w:t xml:space="preserve"> </w:t>
            </w:r>
            <w:r>
              <w:rPr>
                <w:sz w:val="20"/>
              </w:rPr>
              <w:t>partner to</w:t>
            </w:r>
            <w:r>
              <w:rPr>
                <w:spacing w:val="-1"/>
                <w:sz w:val="20"/>
              </w:rPr>
              <w:t xml:space="preserve"> </w:t>
            </w:r>
            <w:r>
              <w:rPr>
                <w:sz w:val="20"/>
              </w:rPr>
              <w:t>be</w:t>
            </w:r>
            <w:r>
              <w:rPr>
                <w:spacing w:val="-1"/>
                <w:sz w:val="20"/>
              </w:rPr>
              <w:t xml:space="preserve"> </w:t>
            </w:r>
            <w:r>
              <w:rPr>
                <w:sz w:val="20"/>
              </w:rPr>
              <w:t>in treatment</w:t>
            </w:r>
            <w:r>
              <w:rPr>
                <w:spacing w:val="-1"/>
                <w:sz w:val="20"/>
              </w:rPr>
              <w:t xml:space="preserve"> </w:t>
            </w:r>
            <w:r>
              <w:rPr>
                <w:spacing w:val="-4"/>
                <w:sz w:val="20"/>
              </w:rPr>
              <w:t>with</w:t>
            </w:r>
          </w:p>
          <w:p w14:paraId="5CB47C6D" w14:textId="77777777" w:rsidR="00DB6E1F" w:rsidRDefault="00F666A6">
            <w:pPr>
              <w:pStyle w:val="TableParagraph"/>
              <w:spacing w:before="18" w:line="242" w:lineRule="exact"/>
              <w:ind w:left="455"/>
              <w:rPr>
                <w:sz w:val="20"/>
              </w:rPr>
            </w:pPr>
            <w:r>
              <w:rPr>
                <w:spacing w:val="-5"/>
                <w:sz w:val="20"/>
              </w:rPr>
              <w:t>me.</w:t>
            </w:r>
          </w:p>
        </w:tc>
        <w:tc>
          <w:tcPr>
            <w:tcW w:w="936" w:type="dxa"/>
          </w:tcPr>
          <w:p w14:paraId="13164EFF" w14:textId="77777777" w:rsidR="00DB6E1F" w:rsidRDefault="00F666A6">
            <w:pPr>
              <w:pStyle w:val="TableParagraph"/>
              <w:spacing w:before="135"/>
              <w:ind w:left="0" w:right="405"/>
              <w:jc w:val="right"/>
              <w:rPr>
                <w:sz w:val="20"/>
              </w:rPr>
            </w:pPr>
            <w:r>
              <w:rPr>
                <w:w w:val="99"/>
                <w:sz w:val="20"/>
              </w:rPr>
              <w:t>0</w:t>
            </w:r>
          </w:p>
        </w:tc>
        <w:tc>
          <w:tcPr>
            <w:tcW w:w="991" w:type="dxa"/>
          </w:tcPr>
          <w:p w14:paraId="59E1479B" w14:textId="77777777" w:rsidR="00DB6E1F" w:rsidRDefault="00F666A6">
            <w:pPr>
              <w:pStyle w:val="TableParagraph"/>
              <w:spacing w:before="135"/>
              <w:ind w:left="7"/>
              <w:jc w:val="center"/>
              <w:rPr>
                <w:sz w:val="20"/>
              </w:rPr>
            </w:pPr>
            <w:r>
              <w:rPr>
                <w:w w:val="99"/>
                <w:sz w:val="20"/>
              </w:rPr>
              <w:t>1</w:t>
            </w:r>
          </w:p>
        </w:tc>
        <w:tc>
          <w:tcPr>
            <w:tcW w:w="881" w:type="dxa"/>
          </w:tcPr>
          <w:p w14:paraId="3284DD47" w14:textId="77777777" w:rsidR="00DB6E1F" w:rsidRDefault="00F666A6">
            <w:pPr>
              <w:pStyle w:val="TableParagraph"/>
              <w:spacing w:before="135"/>
              <w:ind w:left="388"/>
              <w:rPr>
                <w:sz w:val="20"/>
              </w:rPr>
            </w:pPr>
            <w:r>
              <w:rPr>
                <w:w w:val="99"/>
                <w:sz w:val="20"/>
              </w:rPr>
              <w:t>2</w:t>
            </w:r>
          </w:p>
        </w:tc>
        <w:tc>
          <w:tcPr>
            <w:tcW w:w="936" w:type="dxa"/>
          </w:tcPr>
          <w:p w14:paraId="2E29A9B6" w14:textId="77777777" w:rsidR="00DB6E1F" w:rsidRDefault="00F666A6">
            <w:pPr>
              <w:pStyle w:val="TableParagraph"/>
              <w:spacing w:before="135"/>
              <w:ind w:left="9"/>
              <w:jc w:val="center"/>
              <w:rPr>
                <w:sz w:val="20"/>
              </w:rPr>
            </w:pPr>
            <w:r>
              <w:rPr>
                <w:w w:val="99"/>
                <w:sz w:val="20"/>
              </w:rPr>
              <w:t>3</w:t>
            </w:r>
          </w:p>
        </w:tc>
      </w:tr>
      <w:tr w:rsidR="00DB6E1F" w14:paraId="5B7A96AE" w14:textId="77777777">
        <w:trPr>
          <w:trHeight w:val="263"/>
        </w:trPr>
        <w:tc>
          <w:tcPr>
            <w:tcW w:w="5472" w:type="dxa"/>
          </w:tcPr>
          <w:p w14:paraId="02F97247" w14:textId="77777777" w:rsidR="00DB6E1F" w:rsidRDefault="00F666A6">
            <w:pPr>
              <w:pStyle w:val="TableParagraph"/>
              <w:spacing w:line="242" w:lineRule="exact"/>
              <w:ind w:left="95"/>
              <w:rPr>
                <w:sz w:val="20"/>
              </w:rPr>
            </w:pPr>
            <w:r>
              <w:rPr>
                <w:color w:val="4D4D4F"/>
                <w:sz w:val="20"/>
              </w:rPr>
              <w:t>65.</w:t>
            </w:r>
            <w:r>
              <w:rPr>
                <w:color w:val="4D4D4F"/>
                <w:spacing w:val="16"/>
                <w:sz w:val="20"/>
              </w:rPr>
              <w:t xml:space="preserve"> </w:t>
            </w:r>
            <w:r>
              <w:rPr>
                <w:sz w:val="20"/>
              </w:rPr>
              <w:t>I would</w:t>
            </w:r>
            <w:r>
              <w:rPr>
                <w:spacing w:val="1"/>
                <w:sz w:val="20"/>
              </w:rPr>
              <w:t xml:space="preserve"> </w:t>
            </w:r>
            <w:r>
              <w:rPr>
                <w:sz w:val="20"/>
              </w:rPr>
              <w:t>like</w:t>
            </w:r>
            <w:r>
              <w:rPr>
                <w:spacing w:val="-1"/>
                <w:sz w:val="20"/>
              </w:rPr>
              <w:t xml:space="preserve"> </w:t>
            </w:r>
            <w:r>
              <w:rPr>
                <w:sz w:val="20"/>
              </w:rPr>
              <w:t>to have</w:t>
            </w:r>
            <w:r>
              <w:rPr>
                <w:spacing w:val="-1"/>
                <w:sz w:val="20"/>
              </w:rPr>
              <w:t xml:space="preserve"> </w:t>
            </w:r>
            <w:r>
              <w:rPr>
                <w:sz w:val="20"/>
              </w:rPr>
              <w:t>private,</w:t>
            </w:r>
            <w:r>
              <w:rPr>
                <w:spacing w:val="1"/>
                <w:sz w:val="20"/>
              </w:rPr>
              <w:t xml:space="preserve"> </w:t>
            </w:r>
            <w:r>
              <w:rPr>
                <w:sz w:val="20"/>
              </w:rPr>
              <w:t xml:space="preserve">individual </w:t>
            </w:r>
            <w:r>
              <w:rPr>
                <w:spacing w:val="-2"/>
                <w:sz w:val="20"/>
              </w:rPr>
              <w:t>counseling.</w:t>
            </w:r>
          </w:p>
        </w:tc>
        <w:tc>
          <w:tcPr>
            <w:tcW w:w="936" w:type="dxa"/>
          </w:tcPr>
          <w:p w14:paraId="36A1BE7F" w14:textId="77777777" w:rsidR="00DB6E1F" w:rsidRDefault="00F666A6">
            <w:pPr>
              <w:pStyle w:val="TableParagraph"/>
              <w:spacing w:line="242" w:lineRule="exact"/>
              <w:ind w:left="0" w:right="405"/>
              <w:jc w:val="right"/>
              <w:rPr>
                <w:sz w:val="20"/>
              </w:rPr>
            </w:pPr>
            <w:r>
              <w:rPr>
                <w:w w:val="99"/>
                <w:sz w:val="20"/>
              </w:rPr>
              <w:t>0</w:t>
            </w:r>
          </w:p>
        </w:tc>
        <w:tc>
          <w:tcPr>
            <w:tcW w:w="991" w:type="dxa"/>
          </w:tcPr>
          <w:p w14:paraId="7615EA86" w14:textId="77777777" w:rsidR="00DB6E1F" w:rsidRDefault="00F666A6">
            <w:pPr>
              <w:pStyle w:val="TableParagraph"/>
              <w:spacing w:line="242" w:lineRule="exact"/>
              <w:ind w:left="7"/>
              <w:jc w:val="center"/>
              <w:rPr>
                <w:sz w:val="20"/>
              </w:rPr>
            </w:pPr>
            <w:r>
              <w:rPr>
                <w:w w:val="99"/>
                <w:sz w:val="20"/>
              </w:rPr>
              <w:t>1</w:t>
            </w:r>
          </w:p>
        </w:tc>
        <w:tc>
          <w:tcPr>
            <w:tcW w:w="881" w:type="dxa"/>
          </w:tcPr>
          <w:p w14:paraId="41D30619" w14:textId="77777777" w:rsidR="00DB6E1F" w:rsidRDefault="00F666A6">
            <w:pPr>
              <w:pStyle w:val="TableParagraph"/>
              <w:spacing w:line="242" w:lineRule="exact"/>
              <w:ind w:left="388"/>
              <w:rPr>
                <w:sz w:val="20"/>
              </w:rPr>
            </w:pPr>
            <w:r>
              <w:rPr>
                <w:w w:val="99"/>
                <w:sz w:val="20"/>
              </w:rPr>
              <w:t>2</w:t>
            </w:r>
          </w:p>
        </w:tc>
        <w:tc>
          <w:tcPr>
            <w:tcW w:w="936" w:type="dxa"/>
          </w:tcPr>
          <w:p w14:paraId="579DCAD1" w14:textId="77777777" w:rsidR="00DB6E1F" w:rsidRDefault="00F666A6">
            <w:pPr>
              <w:pStyle w:val="TableParagraph"/>
              <w:spacing w:line="242" w:lineRule="exact"/>
              <w:ind w:left="9"/>
              <w:jc w:val="center"/>
              <w:rPr>
                <w:sz w:val="20"/>
              </w:rPr>
            </w:pPr>
            <w:r>
              <w:rPr>
                <w:w w:val="99"/>
                <w:sz w:val="20"/>
              </w:rPr>
              <w:t>3</w:t>
            </w:r>
          </w:p>
        </w:tc>
      </w:tr>
    </w:tbl>
    <w:p w14:paraId="08F37A7D" w14:textId="77777777" w:rsidR="00DB6E1F" w:rsidRDefault="00DB6E1F">
      <w:pPr>
        <w:spacing w:line="242" w:lineRule="exact"/>
        <w:jc w:val="center"/>
        <w:rPr>
          <w:sz w:val="20"/>
        </w:rPr>
        <w:sectPr w:rsidR="00DB6E1F">
          <w:pgSz w:w="12240" w:h="15840"/>
          <w:pgMar w:top="1200" w:right="0" w:bottom="780" w:left="0" w:header="763" w:footer="585" w:gutter="0"/>
          <w:cols w:space="720"/>
        </w:sectPr>
      </w:pPr>
    </w:p>
    <w:p w14:paraId="7FAEC8C0" w14:textId="77777777" w:rsidR="00DB6E1F" w:rsidRDefault="00DB6E1F">
      <w:pPr>
        <w:pStyle w:val="BodyText"/>
        <w:spacing w:before="3" w:after="1"/>
        <w:rPr>
          <w:sz w:val="19"/>
        </w:rPr>
      </w:pPr>
    </w:p>
    <w:tbl>
      <w:tblPr>
        <w:tblW w:w="0" w:type="auto"/>
        <w:tblInd w:w="145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5472"/>
        <w:gridCol w:w="936"/>
        <w:gridCol w:w="991"/>
        <w:gridCol w:w="881"/>
        <w:gridCol w:w="936"/>
      </w:tblGrid>
      <w:tr w:rsidR="00DB6E1F" w14:paraId="5FABF562" w14:textId="77777777">
        <w:trPr>
          <w:trHeight w:val="527"/>
        </w:trPr>
        <w:tc>
          <w:tcPr>
            <w:tcW w:w="5472" w:type="dxa"/>
          </w:tcPr>
          <w:p w14:paraId="6F58688E" w14:textId="77777777" w:rsidR="00DB6E1F" w:rsidRDefault="00F666A6">
            <w:pPr>
              <w:pStyle w:val="TableParagraph"/>
              <w:ind w:left="4"/>
              <w:rPr>
                <w:sz w:val="20"/>
              </w:rPr>
            </w:pPr>
            <w:r>
              <w:rPr>
                <w:sz w:val="20"/>
              </w:rPr>
              <w:t>Do</w:t>
            </w:r>
            <w:r>
              <w:rPr>
                <w:spacing w:val="-4"/>
                <w:sz w:val="20"/>
              </w:rPr>
              <w:t xml:space="preserve"> </w:t>
            </w:r>
            <w:r>
              <w:rPr>
                <w:sz w:val="20"/>
              </w:rPr>
              <w:t>you</w:t>
            </w:r>
            <w:r>
              <w:rPr>
                <w:spacing w:val="-3"/>
                <w:sz w:val="20"/>
              </w:rPr>
              <w:t xml:space="preserve"> </w:t>
            </w:r>
            <w:r>
              <w:rPr>
                <w:sz w:val="20"/>
              </w:rPr>
              <w:t>want</w:t>
            </w:r>
            <w:r>
              <w:rPr>
                <w:spacing w:val="-4"/>
                <w:sz w:val="20"/>
              </w:rPr>
              <w:t xml:space="preserve"> </w:t>
            </w:r>
            <w:r>
              <w:rPr>
                <w:sz w:val="20"/>
              </w:rPr>
              <w:t>this</w:t>
            </w:r>
            <w:r>
              <w:rPr>
                <w:spacing w:val="-4"/>
                <w:sz w:val="20"/>
              </w:rPr>
              <w:t xml:space="preserve"> </w:t>
            </w:r>
            <w:r>
              <w:rPr>
                <w:sz w:val="20"/>
              </w:rPr>
              <w:t>from</w:t>
            </w:r>
            <w:r>
              <w:rPr>
                <w:spacing w:val="-5"/>
                <w:sz w:val="20"/>
              </w:rPr>
              <w:t xml:space="preserve"> </w:t>
            </w:r>
            <w:r>
              <w:rPr>
                <w:spacing w:val="-2"/>
                <w:sz w:val="20"/>
              </w:rPr>
              <w:t>treatment?</w:t>
            </w:r>
          </w:p>
        </w:tc>
        <w:tc>
          <w:tcPr>
            <w:tcW w:w="936" w:type="dxa"/>
          </w:tcPr>
          <w:p w14:paraId="2DB004B3" w14:textId="77777777" w:rsidR="00DB6E1F" w:rsidRDefault="00F666A6">
            <w:pPr>
              <w:pStyle w:val="TableParagraph"/>
              <w:ind w:left="279" w:right="271"/>
              <w:jc w:val="center"/>
              <w:rPr>
                <w:b/>
                <w:sz w:val="20"/>
              </w:rPr>
            </w:pPr>
            <w:r>
              <w:rPr>
                <w:b/>
                <w:spacing w:val="-5"/>
                <w:sz w:val="20"/>
              </w:rPr>
              <w:t>No</w:t>
            </w:r>
          </w:p>
          <w:p w14:paraId="54B11D45" w14:textId="77777777" w:rsidR="00DB6E1F" w:rsidRDefault="00F666A6">
            <w:pPr>
              <w:pStyle w:val="TableParagraph"/>
              <w:spacing w:before="20" w:line="242" w:lineRule="exact"/>
              <w:ind w:left="9"/>
              <w:jc w:val="center"/>
              <w:rPr>
                <w:b/>
                <w:sz w:val="20"/>
              </w:rPr>
            </w:pPr>
            <w:r>
              <w:rPr>
                <w:b/>
                <w:w w:val="99"/>
                <w:sz w:val="20"/>
              </w:rPr>
              <w:t>0</w:t>
            </w:r>
          </w:p>
        </w:tc>
        <w:tc>
          <w:tcPr>
            <w:tcW w:w="991" w:type="dxa"/>
          </w:tcPr>
          <w:p w14:paraId="29BCBC88" w14:textId="77777777" w:rsidR="00DB6E1F" w:rsidRDefault="00F666A6">
            <w:pPr>
              <w:pStyle w:val="TableParagraph"/>
              <w:ind w:left="190" w:right="184"/>
              <w:jc w:val="center"/>
              <w:rPr>
                <w:b/>
                <w:sz w:val="20"/>
              </w:rPr>
            </w:pPr>
            <w:r>
              <w:rPr>
                <w:b/>
                <w:spacing w:val="-2"/>
                <w:sz w:val="20"/>
              </w:rPr>
              <w:t>Maybe</w:t>
            </w:r>
          </w:p>
          <w:p w14:paraId="4899666D" w14:textId="77777777" w:rsidR="00DB6E1F" w:rsidRDefault="00F666A6">
            <w:pPr>
              <w:pStyle w:val="TableParagraph"/>
              <w:spacing w:before="20" w:line="242" w:lineRule="exact"/>
              <w:ind w:left="7"/>
              <w:jc w:val="center"/>
              <w:rPr>
                <w:b/>
                <w:sz w:val="20"/>
              </w:rPr>
            </w:pPr>
            <w:r>
              <w:rPr>
                <w:b/>
                <w:w w:val="99"/>
                <w:sz w:val="20"/>
              </w:rPr>
              <w:t>1</w:t>
            </w:r>
          </w:p>
        </w:tc>
        <w:tc>
          <w:tcPr>
            <w:tcW w:w="881" w:type="dxa"/>
          </w:tcPr>
          <w:p w14:paraId="3FFB4634" w14:textId="77777777" w:rsidR="00DB6E1F" w:rsidRDefault="00F666A6">
            <w:pPr>
              <w:pStyle w:val="TableParagraph"/>
              <w:ind w:left="284" w:right="277"/>
              <w:jc w:val="center"/>
              <w:rPr>
                <w:b/>
                <w:sz w:val="20"/>
              </w:rPr>
            </w:pPr>
            <w:r>
              <w:rPr>
                <w:b/>
                <w:spacing w:val="-5"/>
                <w:sz w:val="20"/>
              </w:rPr>
              <w:t>Yes</w:t>
            </w:r>
          </w:p>
          <w:p w14:paraId="25C1143B" w14:textId="77777777" w:rsidR="00DB6E1F" w:rsidRDefault="00F666A6">
            <w:pPr>
              <w:pStyle w:val="TableParagraph"/>
              <w:spacing w:before="20" w:line="242" w:lineRule="exact"/>
              <w:ind w:left="7"/>
              <w:jc w:val="center"/>
              <w:rPr>
                <w:b/>
                <w:sz w:val="20"/>
              </w:rPr>
            </w:pPr>
            <w:r>
              <w:rPr>
                <w:b/>
                <w:w w:val="99"/>
                <w:sz w:val="20"/>
              </w:rPr>
              <w:t>2</w:t>
            </w:r>
          </w:p>
        </w:tc>
        <w:tc>
          <w:tcPr>
            <w:tcW w:w="936" w:type="dxa"/>
          </w:tcPr>
          <w:p w14:paraId="7B31DF04" w14:textId="77777777" w:rsidR="00DB6E1F" w:rsidRDefault="00F666A6">
            <w:pPr>
              <w:pStyle w:val="TableParagraph"/>
              <w:ind w:left="279" w:right="272"/>
              <w:jc w:val="center"/>
              <w:rPr>
                <w:b/>
                <w:sz w:val="20"/>
              </w:rPr>
            </w:pPr>
            <w:r>
              <w:rPr>
                <w:b/>
                <w:spacing w:val="-4"/>
                <w:sz w:val="20"/>
              </w:rPr>
              <w:t>Yes!</w:t>
            </w:r>
          </w:p>
          <w:p w14:paraId="43459683" w14:textId="77777777" w:rsidR="00DB6E1F" w:rsidRDefault="00F666A6">
            <w:pPr>
              <w:pStyle w:val="TableParagraph"/>
              <w:spacing w:before="20" w:line="242" w:lineRule="exact"/>
              <w:ind w:left="9"/>
              <w:jc w:val="center"/>
              <w:rPr>
                <w:b/>
                <w:sz w:val="20"/>
              </w:rPr>
            </w:pPr>
            <w:r>
              <w:rPr>
                <w:b/>
                <w:w w:val="99"/>
                <w:sz w:val="20"/>
              </w:rPr>
              <w:t>3</w:t>
            </w:r>
          </w:p>
        </w:tc>
      </w:tr>
      <w:tr w:rsidR="00DB6E1F" w14:paraId="44B61BA8" w14:textId="77777777">
        <w:trPr>
          <w:trHeight w:val="525"/>
        </w:trPr>
        <w:tc>
          <w:tcPr>
            <w:tcW w:w="5472" w:type="dxa"/>
          </w:tcPr>
          <w:p w14:paraId="62F1899D" w14:textId="77777777" w:rsidR="00DB6E1F" w:rsidRDefault="00F666A6">
            <w:pPr>
              <w:pStyle w:val="TableParagraph"/>
              <w:ind w:left="95"/>
              <w:rPr>
                <w:sz w:val="20"/>
              </w:rPr>
            </w:pPr>
            <w:r>
              <w:rPr>
                <w:color w:val="4D4D4F"/>
                <w:sz w:val="20"/>
              </w:rPr>
              <w:t>66.</w:t>
            </w:r>
            <w:r>
              <w:rPr>
                <w:color w:val="4D4D4F"/>
                <w:spacing w:val="15"/>
                <w:sz w:val="20"/>
              </w:rPr>
              <w:t xml:space="preserve"> </w:t>
            </w:r>
            <w:r>
              <w:rPr>
                <w:sz w:val="20"/>
              </w:rPr>
              <w:t>I would</w:t>
            </w:r>
            <w:r>
              <w:rPr>
                <w:spacing w:val="1"/>
                <w:sz w:val="20"/>
              </w:rPr>
              <w:t xml:space="preserve"> </w:t>
            </w:r>
            <w:r>
              <w:rPr>
                <w:sz w:val="20"/>
              </w:rPr>
              <w:t>like</w:t>
            </w:r>
            <w:r>
              <w:rPr>
                <w:spacing w:val="-2"/>
                <w:sz w:val="20"/>
              </w:rPr>
              <w:t xml:space="preserve"> </w:t>
            </w:r>
            <w:r>
              <w:rPr>
                <w:sz w:val="20"/>
              </w:rPr>
              <w:t>to be</w:t>
            </w:r>
            <w:r>
              <w:rPr>
                <w:spacing w:val="-1"/>
                <w:sz w:val="20"/>
              </w:rPr>
              <w:t xml:space="preserve"> </w:t>
            </w:r>
            <w:r>
              <w:rPr>
                <w:sz w:val="20"/>
              </w:rPr>
              <w:t>in a group</w:t>
            </w:r>
            <w:r>
              <w:rPr>
                <w:spacing w:val="1"/>
                <w:sz w:val="20"/>
              </w:rPr>
              <w:t xml:space="preserve"> </w:t>
            </w:r>
            <w:r>
              <w:rPr>
                <w:sz w:val="20"/>
              </w:rPr>
              <w:t>with</w:t>
            </w:r>
            <w:r>
              <w:rPr>
                <w:spacing w:val="1"/>
                <w:sz w:val="20"/>
              </w:rPr>
              <w:t xml:space="preserve"> </w:t>
            </w:r>
            <w:r>
              <w:rPr>
                <w:sz w:val="20"/>
              </w:rPr>
              <w:t>people</w:t>
            </w:r>
            <w:r>
              <w:rPr>
                <w:spacing w:val="-2"/>
                <w:sz w:val="20"/>
              </w:rPr>
              <w:t xml:space="preserve"> </w:t>
            </w:r>
            <w:r>
              <w:rPr>
                <w:sz w:val="20"/>
              </w:rPr>
              <w:t>who are</w:t>
            </w:r>
            <w:r>
              <w:rPr>
                <w:spacing w:val="-1"/>
                <w:sz w:val="20"/>
              </w:rPr>
              <w:t xml:space="preserve"> </w:t>
            </w:r>
            <w:r>
              <w:rPr>
                <w:spacing w:val="-2"/>
                <w:sz w:val="20"/>
              </w:rPr>
              <w:t>dealing</w:t>
            </w:r>
          </w:p>
          <w:p w14:paraId="67394425" w14:textId="77777777" w:rsidR="00DB6E1F" w:rsidRDefault="00F666A6">
            <w:pPr>
              <w:pStyle w:val="TableParagraph"/>
              <w:spacing w:before="20" w:line="240" w:lineRule="exact"/>
              <w:ind w:left="455"/>
              <w:rPr>
                <w:sz w:val="20"/>
              </w:rPr>
            </w:pPr>
            <w:r>
              <w:rPr>
                <w:sz w:val="20"/>
              </w:rPr>
              <w:t>with</w:t>
            </w:r>
            <w:r>
              <w:rPr>
                <w:spacing w:val="-5"/>
                <w:sz w:val="20"/>
              </w:rPr>
              <w:t xml:space="preserve"> </w:t>
            </w:r>
            <w:r>
              <w:rPr>
                <w:sz w:val="20"/>
              </w:rPr>
              <w:t>problems</w:t>
            </w:r>
            <w:r>
              <w:rPr>
                <w:spacing w:val="-7"/>
                <w:sz w:val="20"/>
              </w:rPr>
              <w:t xml:space="preserve"> </w:t>
            </w:r>
            <w:r>
              <w:rPr>
                <w:sz w:val="20"/>
              </w:rPr>
              <w:t>similar</w:t>
            </w:r>
            <w:r>
              <w:rPr>
                <w:spacing w:val="-5"/>
                <w:sz w:val="20"/>
              </w:rPr>
              <w:t xml:space="preserve"> </w:t>
            </w:r>
            <w:r>
              <w:rPr>
                <w:sz w:val="20"/>
              </w:rPr>
              <w:t>to</w:t>
            </w:r>
            <w:r>
              <w:rPr>
                <w:spacing w:val="-6"/>
                <w:sz w:val="20"/>
              </w:rPr>
              <w:t xml:space="preserve"> </w:t>
            </w:r>
            <w:r>
              <w:rPr>
                <w:sz w:val="20"/>
              </w:rPr>
              <w:t>my</w:t>
            </w:r>
            <w:r>
              <w:rPr>
                <w:spacing w:val="-4"/>
                <w:sz w:val="20"/>
              </w:rPr>
              <w:t xml:space="preserve"> own.</w:t>
            </w:r>
          </w:p>
        </w:tc>
        <w:tc>
          <w:tcPr>
            <w:tcW w:w="936" w:type="dxa"/>
          </w:tcPr>
          <w:p w14:paraId="1AF81FCD" w14:textId="77777777" w:rsidR="00DB6E1F" w:rsidRDefault="00F666A6">
            <w:pPr>
              <w:pStyle w:val="TableParagraph"/>
              <w:spacing w:before="133"/>
              <w:ind w:left="0" w:right="405"/>
              <w:jc w:val="right"/>
              <w:rPr>
                <w:sz w:val="20"/>
              </w:rPr>
            </w:pPr>
            <w:r>
              <w:rPr>
                <w:w w:val="99"/>
                <w:sz w:val="20"/>
              </w:rPr>
              <w:t>0</w:t>
            </w:r>
          </w:p>
        </w:tc>
        <w:tc>
          <w:tcPr>
            <w:tcW w:w="991" w:type="dxa"/>
          </w:tcPr>
          <w:p w14:paraId="3BE8C594" w14:textId="77777777" w:rsidR="00DB6E1F" w:rsidRDefault="00F666A6">
            <w:pPr>
              <w:pStyle w:val="TableParagraph"/>
              <w:spacing w:before="133"/>
              <w:ind w:left="7"/>
              <w:jc w:val="center"/>
              <w:rPr>
                <w:sz w:val="20"/>
              </w:rPr>
            </w:pPr>
            <w:r>
              <w:rPr>
                <w:w w:val="99"/>
                <w:sz w:val="20"/>
              </w:rPr>
              <w:t>1</w:t>
            </w:r>
          </w:p>
        </w:tc>
        <w:tc>
          <w:tcPr>
            <w:tcW w:w="881" w:type="dxa"/>
          </w:tcPr>
          <w:p w14:paraId="6BF08AE4" w14:textId="77777777" w:rsidR="00DB6E1F" w:rsidRDefault="00F666A6">
            <w:pPr>
              <w:pStyle w:val="TableParagraph"/>
              <w:spacing w:before="133"/>
              <w:ind w:left="388"/>
              <w:rPr>
                <w:sz w:val="20"/>
              </w:rPr>
            </w:pPr>
            <w:r>
              <w:rPr>
                <w:w w:val="99"/>
                <w:sz w:val="20"/>
              </w:rPr>
              <w:t>2</w:t>
            </w:r>
          </w:p>
        </w:tc>
        <w:tc>
          <w:tcPr>
            <w:tcW w:w="936" w:type="dxa"/>
          </w:tcPr>
          <w:p w14:paraId="060D3BA7" w14:textId="77777777" w:rsidR="00DB6E1F" w:rsidRDefault="00F666A6">
            <w:pPr>
              <w:pStyle w:val="TableParagraph"/>
              <w:spacing w:before="133"/>
              <w:ind w:left="9"/>
              <w:jc w:val="center"/>
              <w:rPr>
                <w:sz w:val="20"/>
              </w:rPr>
            </w:pPr>
            <w:r>
              <w:rPr>
                <w:w w:val="99"/>
                <w:sz w:val="20"/>
              </w:rPr>
              <w:t>3</w:t>
            </w:r>
          </w:p>
        </w:tc>
      </w:tr>
      <w:tr w:rsidR="00DB6E1F" w14:paraId="34AD010F" w14:textId="77777777">
        <w:trPr>
          <w:trHeight w:val="263"/>
        </w:trPr>
        <w:tc>
          <w:tcPr>
            <w:tcW w:w="5472" w:type="dxa"/>
          </w:tcPr>
          <w:p w14:paraId="194FD965" w14:textId="77777777" w:rsidR="00DB6E1F" w:rsidRDefault="00F666A6">
            <w:pPr>
              <w:pStyle w:val="TableParagraph"/>
              <w:spacing w:before="3" w:line="240" w:lineRule="exact"/>
              <w:ind w:left="95"/>
              <w:rPr>
                <w:sz w:val="20"/>
              </w:rPr>
            </w:pPr>
            <w:r>
              <w:rPr>
                <w:color w:val="4D4D4F"/>
                <w:sz w:val="20"/>
              </w:rPr>
              <w:t>67.</w:t>
            </w:r>
            <w:r>
              <w:rPr>
                <w:color w:val="4D4D4F"/>
                <w:spacing w:val="18"/>
                <w:sz w:val="20"/>
              </w:rPr>
              <w:t xml:space="preserve"> </w:t>
            </w:r>
            <w:r>
              <w:rPr>
                <w:sz w:val="20"/>
              </w:rPr>
              <w:t>I</w:t>
            </w:r>
            <w:r>
              <w:rPr>
                <w:spacing w:val="2"/>
                <w:sz w:val="20"/>
              </w:rPr>
              <w:t xml:space="preserve"> </w:t>
            </w:r>
            <w:r>
              <w:rPr>
                <w:sz w:val="20"/>
              </w:rPr>
              <w:t>need</w:t>
            </w:r>
            <w:r>
              <w:rPr>
                <w:spacing w:val="3"/>
                <w:sz w:val="20"/>
              </w:rPr>
              <w:t xml:space="preserve"> </w:t>
            </w:r>
            <w:r>
              <w:rPr>
                <w:sz w:val="20"/>
              </w:rPr>
              <w:t>childcare while</w:t>
            </w:r>
            <w:r>
              <w:rPr>
                <w:spacing w:val="1"/>
                <w:sz w:val="20"/>
              </w:rPr>
              <w:t xml:space="preserve"> </w:t>
            </w:r>
            <w:r>
              <w:rPr>
                <w:sz w:val="20"/>
              </w:rPr>
              <w:t>I</w:t>
            </w:r>
            <w:r>
              <w:rPr>
                <w:spacing w:val="2"/>
                <w:sz w:val="20"/>
              </w:rPr>
              <w:t xml:space="preserve"> </w:t>
            </w:r>
            <w:r>
              <w:rPr>
                <w:sz w:val="20"/>
              </w:rPr>
              <w:t>am</w:t>
            </w:r>
            <w:r>
              <w:rPr>
                <w:spacing w:val="1"/>
                <w:sz w:val="20"/>
              </w:rPr>
              <w:t xml:space="preserve"> </w:t>
            </w:r>
            <w:r>
              <w:rPr>
                <w:sz w:val="20"/>
              </w:rPr>
              <w:t>in</w:t>
            </w:r>
            <w:r>
              <w:rPr>
                <w:spacing w:val="5"/>
                <w:sz w:val="20"/>
              </w:rPr>
              <w:t xml:space="preserve"> </w:t>
            </w:r>
            <w:r>
              <w:rPr>
                <w:spacing w:val="-2"/>
                <w:sz w:val="20"/>
              </w:rPr>
              <w:t>treatment.</w:t>
            </w:r>
          </w:p>
        </w:tc>
        <w:tc>
          <w:tcPr>
            <w:tcW w:w="936" w:type="dxa"/>
          </w:tcPr>
          <w:p w14:paraId="2753B79B" w14:textId="77777777" w:rsidR="00DB6E1F" w:rsidRDefault="00F666A6">
            <w:pPr>
              <w:pStyle w:val="TableParagraph"/>
              <w:spacing w:before="3" w:line="240" w:lineRule="exact"/>
              <w:ind w:left="0" w:right="405"/>
              <w:jc w:val="right"/>
              <w:rPr>
                <w:sz w:val="20"/>
              </w:rPr>
            </w:pPr>
            <w:r>
              <w:rPr>
                <w:w w:val="99"/>
                <w:sz w:val="20"/>
              </w:rPr>
              <w:t>0</w:t>
            </w:r>
          </w:p>
        </w:tc>
        <w:tc>
          <w:tcPr>
            <w:tcW w:w="991" w:type="dxa"/>
          </w:tcPr>
          <w:p w14:paraId="51B78CD3" w14:textId="77777777" w:rsidR="00DB6E1F" w:rsidRDefault="00F666A6">
            <w:pPr>
              <w:pStyle w:val="TableParagraph"/>
              <w:spacing w:before="3" w:line="240" w:lineRule="exact"/>
              <w:ind w:left="7"/>
              <w:jc w:val="center"/>
              <w:rPr>
                <w:sz w:val="20"/>
              </w:rPr>
            </w:pPr>
            <w:r>
              <w:rPr>
                <w:w w:val="99"/>
                <w:sz w:val="20"/>
              </w:rPr>
              <w:t>1</w:t>
            </w:r>
          </w:p>
        </w:tc>
        <w:tc>
          <w:tcPr>
            <w:tcW w:w="881" w:type="dxa"/>
          </w:tcPr>
          <w:p w14:paraId="09A25A7D" w14:textId="77777777" w:rsidR="00DB6E1F" w:rsidRDefault="00F666A6">
            <w:pPr>
              <w:pStyle w:val="TableParagraph"/>
              <w:spacing w:before="3" w:line="240" w:lineRule="exact"/>
              <w:ind w:left="388"/>
              <w:rPr>
                <w:sz w:val="20"/>
              </w:rPr>
            </w:pPr>
            <w:r>
              <w:rPr>
                <w:w w:val="99"/>
                <w:sz w:val="20"/>
              </w:rPr>
              <w:t>2</w:t>
            </w:r>
          </w:p>
        </w:tc>
        <w:tc>
          <w:tcPr>
            <w:tcW w:w="936" w:type="dxa"/>
          </w:tcPr>
          <w:p w14:paraId="34762D1A" w14:textId="77777777" w:rsidR="00DB6E1F" w:rsidRDefault="00F666A6">
            <w:pPr>
              <w:pStyle w:val="TableParagraph"/>
              <w:spacing w:before="3" w:line="240" w:lineRule="exact"/>
              <w:ind w:left="9"/>
              <w:jc w:val="center"/>
              <w:rPr>
                <w:sz w:val="20"/>
              </w:rPr>
            </w:pPr>
            <w:r>
              <w:rPr>
                <w:w w:val="99"/>
                <w:sz w:val="20"/>
              </w:rPr>
              <w:t>3</w:t>
            </w:r>
          </w:p>
        </w:tc>
      </w:tr>
      <w:tr w:rsidR="00DB6E1F" w14:paraId="24D4C197" w14:textId="77777777">
        <w:trPr>
          <w:trHeight w:val="263"/>
        </w:trPr>
        <w:tc>
          <w:tcPr>
            <w:tcW w:w="5472" w:type="dxa"/>
          </w:tcPr>
          <w:p w14:paraId="6C0E6248" w14:textId="77777777" w:rsidR="00DB6E1F" w:rsidRDefault="00F666A6">
            <w:pPr>
              <w:pStyle w:val="TableParagraph"/>
              <w:spacing w:before="3" w:line="240" w:lineRule="exact"/>
              <w:ind w:left="95"/>
              <w:rPr>
                <w:sz w:val="20"/>
              </w:rPr>
            </w:pPr>
            <w:r>
              <w:rPr>
                <w:color w:val="4D4D4F"/>
                <w:sz w:val="20"/>
              </w:rPr>
              <w:t>68.</w:t>
            </w:r>
            <w:r>
              <w:rPr>
                <w:color w:val="4D4D4F"/>
                <w:spacing w:val="19"/>
                <w:sz w:val="20"/>
              </w:rPr>
              <w:t xml:space="preserve"> </w:t>
            </w:r>
            <w:r>
              <w:rPr>
                <w:sz w:val="20"/>
              </w:rPr>
              <w:t>I</w:t>
            </w:r>
            <w:r>
              <w:rPr>
                <w:spacing w:val="2"/>
                <w:sz w:val="20"/>
              </w:rPr>
              <w:t xml:space="preserve"> </w:t>
            </w:r>
            <w:r>
              <w:rPr>
                <w:sz w:val="20"/>
              </w:rPr>
              <w:t>want</w:t>
            </w:r>
            <w:r>
              <w:rPr>
                <w:spacing w:val="3"/>
                <w:sz w:val="20"/>
              </w:rPr>
              <w:t xml:space="preserve"> </w:t>
            </w:r>
            <w:r>
              <w:rPr>
                <w:sz w:val="20"/>
              </w:rPr>
              <w:t>my</w:t>
            </w:r>
            <w:r>
              <w:rPr>
                <w:spacing w:val="3"/>
                <w:sz w:val="20"/>
              </w:rPr>
              <w:t xml:space="preserve"> </w:t>
            </w:r>
            <w:r>
              <w:rPr>
                <w:sz w:val="20"/>
              </w:rPr>
              <w:t>treatment</w:t>
            </w:r>
            <w:r>
              <w:rPr>
                <w:spacing w:val="3"/>
                <w:sz w:val="20"/>
              </w:rPr>
              <w:t xml:space="preserve"> </w:t>
            </w:r>
            <w:r>
              <w:rPr>
                <w:sz w:val="20"/>
              </w:rPr>
              <w:t>to</w:t>
            </w:r>
            <w:r>
              <w:rPr>
                <w:spacing w:val="2"/>
                <w:sz w:val="20"/>
              </w:rPr>
              <w:t xml:space="preserve"> </w:t>
            </w:r>
            <w:r>
              <w:rPr>
                <w:sz w:val="20"/>
              </w:rPr>
              <w:t>be</w:t>
            </w:r>
            <w:r>
              <w:rPr>
                <w:spacing w:val="1"/>
                <w:sz w:val="20"/>
              </w:rPr>
              <w:t xml:space="preserve"> </w:t>
            </w:r>
            <w:r>
              <w:rPr>
                <w:spacing w:val="-2"/>
                <w:sz w:val="20"/>
              </w:rPr>
              <w:t>short.</w:t>
            </w:r>
          </w:p>
        </w:tc>
        <w:tc>
          <w:tcPr>
            <w:tcW w:w="936" w:type="dxa"/>
          </w:tcPr>
          <w:p w14:paraId="7EDD4915" w14:textId="77777777" w:rsidR="00DB6E1F" w:rsidRDefault="00F666A6">
            <w:pPr>
              <w:pStyle w:val="TableParagraph"/>
              <w:spacing w:before="3" w:line="240" w:lineRule="exact"/>
              <w:ind w:left="0" w:right="405"/>
              <w:jc w:val="right"/>
              <w:rPr>
                <w:sz w:val="20"/>
              </w:rPr>
            </w:pPr>
            <w:r>
              <w:rPr>
                <w:w w:val="99"/>
                <w:sz w:val="20"/>
              </w:rPr>
              <w:t>0</w:t>
            </w:r>
          </w:p>
        </w:tc>
        <w:tc>
          <w:tcPr>
            <w:tcW w:w="991" w:type="dxa"/>
          </w:tcPr>
          <w:p w14:paraId="0A499E3F" w14:textId="77777777" w:rsidR="00DB6E1F" w:rsidRDefault="00F666A6">
            <w:pPr>
              <w:pStyle w:val="TableParagraph"/>
              <w:spacing w:before="3" w:line="240" w:lineRule="exact"/>
              <w:ind w:left="7"/>
              <w:jc w:val="center"/>
              <w:rPr>
                <w:sz w:val="20"/>
              </w:rPr>
            </w:pPr>
            <w:r>
              <w:rPr>
                <w:w w:val="99"/>
                <w:sz w:val="20"/>
              </w:rPr>
              <w:t>1</w:t>
            </w:r>
          </w:p>
        </w:tc>
        <w:tc>
          <w:tcPr>
            <w:tcW w:w="881" w:type="dxa"/>
          </w:tcPr>
          <w:p w14:paraId="454894DA" w14:textId="77777777" w:rsidR="00DB6E1F" w:rsidRDefault="00F666A6">
            <w:pPr>
              <w:pStyle w:val="TableParagraph"/>
              <w:spacing w:before="3" w:line="240" w:lineRule="exact"/>
              <w:ind w:left="388"/>
              <w:rPr>
                <w:sz w:val="20"/>
              </w:rPr>
            </w:pPr>
            <w:r>
              <w:rPr>
                <w:w w:val="99"/>
                <w:sz w:val="20"/>
              </w:rPr>
              <w:t>2</w:t>
            </w:r>
          </w:p>
        </w:tc>
        <w:tc>
          <w:tcPr>
            <w:tcW w:w="936" w:type="dxa"/>
          </w:tcPr>
          <w:p w14:paraId="0C83515B" w14:textId="77777777" w:rsidR="00DB6E1F" w:rsidRDefault="00F666A6">
            <w:pPr>
              <w:pStyle w:val="TableParagraph"/>
              <w:spacing w:before="3" w:line="240" w:lineRule="exact"/>
              <w:ind w:left="9"/>
              <w:jc w:val="center"/>
              <w:rPr>
                <w:sz w:val="20"/>
              </w:rPr>
            </w:pPr>
            <w:r>
              <w:rPr>
                <w:w w:val="99"/>
                <w:sz w:val="20"/>
              </w:rPr>
              <w:t>3</w:t>
            </w:r>
          </w:p>
        </w:tc>
      </w:tr>
      <w:tr w:rsidR="00DB6E1F" w14:paraId="658AEC9B" w14:textId="77777777">
        <w:trPr>
          <w:trHeight w:val="263"/>
        </w:trPr>
        <w:tc>
          <w:tcPr>
            <w:tcW w:w="5472" w:type="dxa"/>
          </w:tcPr>
          <w:p w14:paraId="111373CF" w14:textId="77777777" w:rsidR="00DB6E1F" w:rsidRDefault="00F666A6">
            <w:pPr>
              <w:pStyle w:val="TableParagraph"/>
              <w:spacing w:before="3" w:line="240" w:lineRule="exact"/>
              <w:ind w:left="95"/>
              <w:rPr>
                <w:sz w:val="20"/>
              </w:rPr>
            </w:pPr>
            <w:r>
              <w:rPr>
                <w:color w:val="4D4D4F"/>
                <w:sz w:val="20"/>
              </w:rPr>
              <w:t>69.</w:t>
            </w:r>
            <w:r>
              <w:rPr>
                <w:color w:val="4D4D4F"/>
                <w:spacing w:val="15"/>
                <w:sz w:val="20"/>
              </w:rPr>
              <w:t xml:space="preserve"> </w:t>
            </w:r>
            <w:r>
              <w:rPr>
                <w:sz w:val="20"/>
              </w:rPr>
              <w:t>I believe</w:t>
            </w:r>
            <w:r>
              <w:rPr>
                <w:spacing w:val="-1"/>
                <w:sz w:val="20"/>
              </w:rPr>
              <w:t xml:space="preserve"> </w:t>
            </w:r>
            <w:r>
              <w:rPr>
                <w:sz w:val="20"/>
              </w:rPr>
              <w:t>I</w:t>
            </w:r>
            <w:r>
              <w:rPr>
                <w:spacing w:val="-1"/>
                <w:sz w:val="20"/>
              </w:rPr>
              <w:t xml:space="preserve"> </w:t>
            </w:r>
            <w:r>
              <w:rPr>
                <w:sz w:val="20"/>
              </w:rPr>
              <w:t>will need</w:t>
            </w:r>
            <w:r>
              <w:rPr>
                <w:spacing w:val="1"/>
                <w:sz w:val="20"/>
              </w:rPr>
              <w:t xml:space="preserve"> </w:t>
            </w:r>
            <w:r>
              <w:rPr>
                <w:sz w:val="20"/>
              </w:rPr>
              <w:t>to be</w:t>
            </w:r>
            <w:r>
              <w:rPr>
                <w:spacing w:val="-1"/>
                <w:sz w:val="20"/>
              </w:rPr>
              <w:t xml:space="preserve"> </w:t>
            </w:r>
            <w:r>
              <w:rPr>
                <w:sz w:val="20"/>
              </w:rPr>
              <w:t>in treatment for a</w:t>
            </w:r>
            <w:r>
              <w:rPr>
                <w:spacing w:val="1"/>
                <w:sz w:val="20"/>
              </w:rPr>
              <w:t xml:space="preserve"> </w:t>
            </w:r>
            <w:r>
              <w:rPr>
                <w:sz w:val="20"/>
              </w:rPr>
              <w:t>long</w:t>
            </w:r>
            <w:r>
              <w:rPr>
                <w:spacing w:val="-1"/>
                <w:sz w:val="20"/>
              </w:rPr>
              <w:t xml:space="preserve"> </w:t>
            </w:r>
            <w:r>
              <w:rPr>
                <w:spacing w:val="-4"/>
                <w:sz w:val="20"/>
              </w:rPr>
              <w:t>time.</w:t>
            </w:r>
          </w:p>
        </w:tc>
        <w:tc>
          <w:tcPr>
            <w:tcW w:w="936" w:type="dxa"/>
          </w:tcPr>
          <w:p w14:paraId="324E7749" w14:textId="77777777" w:rsidR="00DB6E1F" w:rsidRDefault="00F666A6">
            <w:pPr>
              <w:pStyle w:val="TableParagraph"/>
              <w:spacing w:before="3" w:line="240" w:lineRule="exact"/>
              <w:ind w:left="0" w:right="405"/>
              <w:jc w:val="right"/>
              <w:rPr>
                <w:sz w:val="20"/>
              </w:rPr>
            </w:pPr>
            <w:r>
              <w:rPr>
                <w:w w:val="99"/>
                <w:sz w:val="20"/>
              </w:rPr>
              <w:t>0</w:t>
            </w:r>
          </w:p>
        </w:tc>
        <w:tc>
          <w:tcPr>
            <w:tcW w:w="991" w:type="dxa"/>
          </w:tcPr>
          <w:p w14:paraId="0742F002" w14:textId="77777777" w:rsidR="00DB6E1F" w:rsidRDefault="00F666A6">
            <w:pPr>
              <w:pStyle w:val="TableParagraph"/>
              <w:spacing w:before="3" w:line="240" w:lineRule="exact"/>
              <w:ind w:left="7"/>
              <w:jc w:val="center"/>
              <w:rPr>
                <w:sz w:val="20"/>
              </w:rPr>
            </w:pPr>
            <w:r>
              <w:rPr>
                <w:w w:val="99"/>
                <w:sz w:val="20"/>
              </w:rPr>
              <w:t>1</w:t>
            </w:r>
          </w:p>
        </w:tc>
        <w:tc>
          <w:tcPr>
            <w:tcW w:w="881" w:type="dxa"/>
          </w:tcPr>
          <w:p w14:paraId="2DFE30F4" w14:textId="77777777" w:rsidR="00DB6E1F" w:rsidRDefault="00F666A6">
            <w:pPr>
              <w:pStyle w:val="TableParagraph"/>
              <w:spacing w:before="3" w:line="240" w:lineRule="exact"/>
              <w:ind w:left="388"/>
              <w:rPr>
                <w:sz w:val="20"/>
              </w:rPr>
            </w:pPr>
            <w:r>
              <w:rPr>
                <w:w w:val="99"/>
                <w:sz w:val="20"/>
              </w:rPr>
              <w:t>2</w:t>
            </w:r>
          </w:p>
        </w:tc>
        <w:tc>
          <w:tcPr>
            <w:tcW w:w="936" w:type="dxa"/>
          </w:tcPr>
          <w:p w14:paraId="0BA8CB46" w14:textId="77777777" w:rsidR="00DB6E1F" w:rsidRDefault="00F666A6">
            <w:pPr>
              <w:pStyle w:val="TableParagraph"/>
              <w:spacing w:before="3" w:line="240" w:lineRule="exact"/>
              <w:ind w:left="9"/>
              <w:jc w:val="center"/>
              <w:rPr>
                <w:sz w:val="20"/>
              </w:rPr>
            </w:pPr>
            <w:r>
              <w:rPr>
                <w:w w:val="99"/>
                <w:sz w:val="20"/>
              </w:rPr>
              <w:t>3</w:t>
            </w:r>
          </w:p>
        </w:tc>
      </w:tr>
    </w:tbl>
    <w:p w14:paraId="1DA3EEA5" w14:textId="77777777" w:rsidR="00DB6E1F" w:rsidRDefault="00F666A6">
      <w:pPr>
        <w:pStyle w:val="BodyText"/>
        <w:spacing w:before="121"/>
        <w:ind w:left="1440"/>
      </w:pPr>
      <w:r>
        <w:t>Is</w:t>
      </w:r>
      <w:r>
        <w:rPr>
          <w:spacing w:val="-5"/>
        </w:rPr>
        <w:t xml:space="preserve"> </w:t>
      </w:r>
      <w:r>
        <w:t>there</w:t>
      </w:r>
      <w:r>
        <w:rPr>
          <w:spacing w:val="-5"/>
        </w:rPr>
        <w:t xml:space="preserve"> </w:t>
      </w:r>
      <w:r>
        <w:t>anything</w:t>
      </w:r>
      <w:r>
        <w:rPr>
          <w:spacing w:val="-3"/>
        </w:rPr>
        <w:t xml:space="preserve"> </w:t>
      </w:r>
      <w:r>
        <w:t>else</w:t>
      </w:r>
      <w:r>
        <w:rPr>
          <w:spacing w:val="-5"/>
        </w:rPr>
        <w:t xml:space="preserve"> </w:t>
      </w:r>
      <w:r>
        <w:t>you</w:t>
      </w:r>
      <w:r>
        <w:rPr>
          <w:spacing w:val="-5"/>
        </w:rPr>
        <w:t xml:space="preserve"> </w:t>
      </w:r>
      <w:r>
        <w:t>would</w:t>
      </w:r>
      <w:r>
        <w:rPr>
          <w:spacing w:val="-4"/>
        </w:rPr>
        <w:t xml:space="preserve"> </w:t>
      </w:r>
      <w:r>
        <w:t>like</w:t>
      </w:r>
      <w:r>
        <w:rPr>
          <w:spacing w:val="-2"/>
        </w:rPr>
        <w:t xml:space="preserve"> </w:t>
      </w:r>
      <w:r>
        <w:t>from</w:t>
      </w:r>
      <w:r>
        <w:rPr>
          <w:spacing w:val="-3"/>
        </w:rPr>
        <w:t xml:space="preserve"> </w:t>
      </w:r>
      <w:r>
        <w:t>treatment?</w:t>
      </w:r>
      <w:r>
        <w:rPr>
          <w:spacing w:val="-2"/>
        </w:rPr>
        <w:t xml:space="preserve"> </w:t>
      </w:r>
      <w:r>
        <w:t>If</w:t>
      </w:r>
      <w:r>
        <w:rPr>
          <w:spacing w:val="-3"/>
        </w:rPr>
        <w:t xml:space="preserve"> </w:t>
      </w:r>
      <w:r>
        <w:t>so,</w:t>
      </w:r>
      <w:r>
        <w:rPr>
          <w:spacing w:val="-3"/>
        </w:rPr>
        <w:t xml:space="preserve"> </w:t>
      </w:r>
      <w:r>
        <w:t>please</w:t>
      </w:r>
      <w:r>
        <w:rPr>
          <w:spacing w:val="-4"/>
        </w:rPr>
        <w:t xml:space="preserve"> </w:t>
      </w:r>
      <w:r>
        <w:t>write</w:t>
      </w:r>
      <w:r>
        <w:rPr>
          <w:spacing w:val="-5"/>
        </w:rPr>
        <w:t xml:space="preserve"> </w:t>
      </w:r>
      <w:r>
        <w:t>it</w:t>
      </w:r>
      <w:r>
        <w:rPr>
          <w:spacing w:val="-1"/>
        </w:rPr>
        <w:t xml:space="preserve"> </w:t>
      </w:r>
      <w:r>
        <w:rPr>
          <w:spacing w:val="-2"/>
        </w:rPr>
        <w:t>here.</w:t>
      </w:r>
    </w:p>
    <w:p w14:paraId="3506FED8" w14:textId="77777777" w:rsidR="00DB6E1F" w:rsidRDefault="00DB6E1F">
      <w:pPr>
        <w:pStyle w:val="BodyText"/>
        <w:rPr>
          <w:sz w:val="20"/>
        </w:rPr>
      </w:pPr>
    </w:p>
    <w:p w14:paraId="686B6235" w14:textId="77777777" w:rsidR="00DB6E1F" w:rsidRDefault="00F666A6">
      <w:pPr>
        <w:pStyle w:val="BodyText"/>
        <w:rPr>
          <w:sz w:val="11"/>
        </w:rPr>
      </w:pPr>
      <w:r>
        <w:pict w14:anchorId="3D98AFAC">
          <v:shape id="docshape207" o:spid="_x0000_s2089" style="position:absolute;margin-left:1in;margin-top:7.95pt;width:465.55pt;height:.1pt;z-index:-15716864;mso-wrap-distance-left:0;mso-wrap-distance-right:0;mso-position-horizontal-relative:page" coordorigin="1440,159" coordsize="9311,0" path="m1440,159r9311,e" filled="f" strokeweight=".25292mm">
            <v:path arrowok="t"/>
            <w10:wrap type="topAndBottom" anchorx="page"/>
          </v:shape>
        </w:pict>
      </w:r>
    </w:p>
    <w:p w14:paraId="7AA37EDD" w14:textId="77777777" w:rsidR="00DB6E1F" w:rsidRDefault="00DB6E1F">
      <w:pPr>
        <w:pStyle w:val="BodyText"/>
        <w:rPr>
          <w:sz w:val="20"/>
        </w:rPr>
      </w:pPr>
    </w:p>
    <w:p w14:paraId="6D46EEE6" w14:textId="77777777" w:rsidR="00DB6E1F" w:rsidRDefault="00F666A6">
      <w:pPr>
        <w:pStyle w:val="BodyText"/>
        <w:spacing w:before="7"/>
        <w:rPr>
          <w:sz w:val="12"/>
        </w:rPr>
      </w:pPr>
      <w:r>
        <w:pict w14:anchorId="25982709">
          <v:shape id="docshape208" o:spid="_x0000_s2088" style="position:absolute;margin-left:1in;margin-top:8.9pt;width:465.55pt;height:.1pt;z-index:-15716352;mso-wrap-distance-left:0;mso-wrap-distance-right:0;mso-position-horizontal-relative:page" coordorigin="1440,178" coordsize="9311,0" path="m1440,178r9311,e" filled="f" strokeweight=".25292mm">
            <v:path arrowok="t"/>
            <w10:wrap type="topAndBottom" anchorx="page"/>
          </v:shape>
        </w:pict>
      </w:r>
    </w:p>
    <w:p w14:paraId="5547EF41" w14:textId="77777777" w:rsidR="00DB6E1F" w:rsidRDefault="00DB6E1F">
      <w:pPr>
        <w:pStyle w:val="BodyText"/>
        <w:rPr>
          <w:sz w:val="20"/>
        </w:rPr>
      </w:pPr>
    </w:p>
    <w:p w14:paraId="43B27AA3" w14:textId="77777777" w:rsidR="00DB6E1F" w:rsidRDefault="00F666A6">
      <w:pPr>
        <w:pStyle w:val="BodyText"/>
        <w:spacing w:before="5"/>
        <w:rPr>
          <w:sz w:val="12"/>
        </w:rPr>
      </w:pPr>
      <w:r>
        <w:pict w14:anchorId="591E5E08">
          <v:shape id="docshape209" o:spid="_x0000_s2087" style="position:absolute;margin-left:1in;margin-top:8.8pt;width:465.55pt;height:.1pt;z-index:-15715840;mso-wrap-distance-left:0;mso-wrap-distance-right:0;mso-position-horizontal-relative:page" coordorigin="1440,176" coordsize="9311,0" path="m1440,176r9311,e" filled="f" strokeweight=".25292mm">
            <v:path arrowok="t"/>
            <w10:wrap type="topAndBottom" anchorx="page"/>
          </v:shape>
        </w:pict>
      </w:r>
    </w:p>
    <w:p w14:paraId="311799E1" w14:textId="77777777" w:rsidR="00DB6E1F" w:rsidRDefault="00DB6E1F">
      <w:pPr>
        <w:pStyle w:val="BodyText"/>
        <w:rPr>
          <w:sz w:val="20"/>
        </w:rPr>
      </w:pPr>
    </w:p>
    <w:p w14:paraId="71771E55" w14:textId="77777777" w:rsidR="00DB6E1F" w:rsidRDefault="00F666A6">
      <w:pPr>
        <w:pStyle w:val="BodyText"/>
        <w:spacing w:before="7"/>
        <w:rPr>
          <w:sz w:val="12"/>
        </w:rPr>
      </w:pPr>
      <w:r>
        <w:pict w14:anchorId="7D0A49F8">
          <v:shape id="docshape210" o:spid="_x0000_s2086" style="position:absolute;margin-left:1in;margin-top:8.9pt;width:465.55pt;height:.1pt;z-index:-15715328;mso-wrap-distance-left:0;mso-wrap-distance-right:0;mso-position-horizontal-relative:page" coordorigin="1440,178" coordsize="9311,0" path="m1440,178r9311,e" filled="f" strokeweight=".25292mm">
            <v:path arrowok="t"/>
            <w10:wrap type="topAndBottom" anchorx="page"/>
          </v:shape>
        </w:pict>
      </w:r>
    </w:p>
    <w:p w14:paraId="01D39BAB" w14:textId="77777777" w:rsidR="00DB6E1F" w:rsidRDefault="00DB6E1F">
      <w:pPr>
        <w:pStyle w:val="BodyText"/>
        <w:spacing w:before="7" w:after="1"/>
        <w:rPr>
          <w:sz w:val="14"/>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74D62630" w14:textId="77777777">
        <w:trPr>
          <w:trHeight w:val="649"/>
        </w:trPr>
        <w:tc>
          <w:tcPr>
            <w:tcW w:w="9350" w:type="dxa"/>
          </w:tcPr>
          <w:p w14:paraId="2E079B1B" w14:textId="77777777" w:rsidR="00DB6E1F" w:rsidRDefault="00F666A6">
            <w:pPr>
              <w:pStyle w:val="TableParagraph"/>
              <w:spacing w:before="80"/>
              <w:ind w:right="142" w:hanging="1"/>
              <w:rPr>
                <w:i/>
                <w:sz w:val="20"/>
              </w:rPr>
            </w:pPr>
            <w:r>
              <w:rPr>
                <w:i/>
                <w:sz w:val="20"/>
              </w:rPr>
              <w:t xml:space="preserve">Source: Miller &amp; Brown, 1994. Available online at no cost </w:t>
            </w:r>
            <w:r>
              <w:rPr>
                <w:i/>
                <w:spacing w:val="-2"/>
                <w:sz w:val="20"/>
              </w:rPr>
              <w:t>(</w:t>
            </w:r>
            <w:hyperlink r:id="rId171">
              <w:r>
                <w:rPr>
                  <w:i/>
                  <w:color w:val="0563C1"/>
                  <w:spacing w:val="-2"/>
                  <w:sz w:val="20"/>
                  <w:u w:val="single" w:color="0563C1"/>
                </w:rPr>
                <w:t>https://casaa.unm.edu/inst/What%20I%20Want%20From%20Treatment.pdf</w:t>
              </w:r>
              <w:r>
                <w:rPr>
                  <w:i/>
                  <w:spacing w:val="-2"/>
                  <w:sz w:val="20"/>
                </w:rPr>
                <w:t>)</w:t>
              </w:r>
            </w:hyperlink>
            <w:r>
              <w:rPr>
                <w:i/>
                <w:spacing w:val="-2"/>
                <w:sz w:val="20"/>
              </w:rPr>
              <w:t>.</w:t>
            </w:r>
          </w:p>
        </w:tc>
      </w:tr>
    </w:tbl>
    <w:p w14:paraId="5683E5F0" w14:textId="77777777" w:rsidR="00DB6E1F" w:rsidRDefault="00DB6E1F">
      <w:pPr>
        <w:rPr>
          <w:sz w:val="20"/>
        </w:rPr>
        <w:sectPr w:rsidR="00DB6E1F">
          <w:pgSz w:w="12240" w:h="15840"/>
          <w:pgMar w:top="1200" w:right="0" w:bottom="780" w:left="0" w:header="763" w:footer="585" w:gutter="0"/>
          <w:cols w:space="720"/>
        </w:sectPr>
      </w:pPr>
    </w:p>
    <w:p w14:paraId="1D19149C" w14:textId="77777777" w:rsidR="00DB6E1F" w:rsidRDefault="00DB6E1F">
      <w:pPr>
        <w:pStyle w:val="BodyText"/>
        <w:spacing w:before="3"/>
        <w:rPr>
          <w:sz w:val="17"/>
        </w:rPr>
      </w:pPr>
    </w:p>
    <w:p w14:paraId="66387824" w14:textId="77777777" w:rsidR="00DB6E1F" w:rsidRDefault="00F666A6">
      <w:pPr>
        <w:pStyle w:val="Heading2"/>
        <w:numPr>
          <w:ilvl w:val="0"/>
          <w:numId w:val="37"/>
        </w:numPr>
        <w:tabs>
          <w:tab w:val="left" w:pos="1801"/>
        </w:tabs>
        <w:spacing w:line="259" w:lineRule="auto"/>
        <w:ind w:left="1440" w:right="2016" w:firstLine="0"/>
      </w:pPr>
      <w:bookmarkStart w:id="240" w:name="5._Readiness_to_Change_Questionnaire_(Tr"/>
      <w:bookmarkStart w:id="241" w:name="_bookmark55"/>
      <w:bookmarkEnd w:id="240"/>
      <w:bookmarkEnd w:id="241"/>
      <w:r>
        <w:t>Readiness</w:t>
      </w:r>
      <w:r>
        <w:rPr>
          <w:spacing w:val="-7"/>
        </w:rPr>
        <w:t xml:space="preserve"> </w:t>
      </w:r>
      <w:r>
        <w:t>to</w:t>
      </w:r>
      <w:r>
        <w:rPr>
          <w:spacing w:val="-9"/>
        </w:rPr>
        <w:t xml:space="preserve"> </w:t>
      </w:r>
      <w:r>
        <w:t>Change</w:t>
      </w:r>
      <w:r>
        <w:rPr>
          <w:spacing w:val="-6"/>
        </w:rPr>
        <w:t xml:space="preserve"> </w:t>
      </w:r>
      <w:r>
        <w:t>Questionnaire</w:t>
      </w:r>
      <w:r>
        <w:rPr>
          <w:spacing w:val="-7"/>
        </w:rPr>
        <w:t xml:space="preserve"> </w:t>
      </w:r>
      <w:r>
        <w:t>(Treatment</w:t>
      </w:r>
      <w:r>
        <w:rPr>
          <w:spacing w:val="-7"/>
        </w:rPr>
        <w:t xml:space="preserve"> </w:t>
      </w:r>
      <w:r>
        <w:t>Version) (RCQ-TV) (Revised)</w:t>
      </w:r>
    </w:p>
    <w:p w14:paraId="1F65E442" w14:textId="77777777" w:rsidR="00DB6E1F" w:rsidRDefault="00F666A6">
      <w:pPr>
        <w:spacing w:before="117"/>
        <w:ind w:left="1440" w:right="1491"/>
        <w:rPr>
          <w:sz w:val="20"/>
        </w:rPr>
      </w:pPr>
      <w:r>
        <w:rPr>
          <w:b/>
          <w:sz w:val="20"/>
        </w:rPr>
        <w:t xml:space="preserve">Instructions: </w:t>
      </w:r>
      <w:r>
        <w:rPr>
          <w:sz w:val="20"/>
        </w:rPr>
        <w:t>The following questions are designed to identify how you personally feel about your drinking right now.</w:t>
      </w:r>
      <w:r>
        <w:rPr>
          <w:spacing w:val="-3"/>
          <w:sz w:val="20"/>
        </w:rPr>
        <w:t xml:space="preserve"> </w:t>
      </w:r>
      <w:r>
        <w:rPr>
          <w:sz w:val="20"/>
        </w:rPr>
        <w:t>Please</w:t>
      </w:r>
      <w:r>
        <w:rPr>
          <w:spacing w:val="-4"/>
          <w:sz w:val="20"/>
        </w:rPr>
        <w:t xml:space="preserve"> </w:t>
      </w:r>
      <w:r>
        <w:rPr>
          <w:sz w:val="20"/>
        </w:rPr>
        <w:t>think</w:t>
      </w:r>
      <w:r>
        <w:rPr>
          <w:spacing w:val="-2"/>
          <w:sz w:val="20"/>
        </w:rPr>
        <w:t xml:space="preserve"> </w:t>
      </w:r>
      <w:r>
        <w:rPr>
          <w:sz w:val="20"/>
        </w:rPr>
        <w:t>about</w:t>
      </w:r>
      <w:r>
        <w:rPr>
          <w:spacing w:val="-3"/>
          <w:sz w:val="20"/>
        </w:rPr>
        <w:t xml:space="preserve"> </w:t>
      </w:r>
      <w:r>
        <w:rPr>
          <w:sz w:val="20"/>
        </w:rPr>
        <w:t>your</w:t>
      </w:r>
      <w:r>
        <w:rPr>
          <w:spacing w:val="-5"/>
          <w:sz w:val="20"/>
        </w:rPr>
        <w:t xml:space="preserve"> </w:t>
      </w:r>
      <w:r>
        <w:rPr>
          <w:sz w:val="20"/>
        </w:rPr>
        <w:t>current</w:t>
      </w:r>
      <w:r>
        <w:rPr>
          <w:spacing w:val="-3"/>
          <w:sz w:val="20"/>
        </w:rPr>
        <w:t xml:space="preserve"> </w:t>
      </w:r>
      <w:r>
        <w:rPr>
          <w:sz w:val="20"/>
        </w:rPr>
        <w:t>situation</w:t>
      </w:r>
      <w:r>
        <w:rPr>
          <w:spacing w:val="-2"/>
          <w:sz w:val="20"/>
        </w:rPr>
        <w:t xml:space="preserve"> </w:t>
      </w:r>
      <w:r>
        <w:rPr>
          <w:sz w:val="20"/>
        </w:rPr>
        <w:t>and</w:t>
      </w:r>
      <w:r>
        <w:rPr>
          <w:spacing w:val="-2"/>
          <w:sz w:val="20"/>
        </w:rPr>
        <w:t xml:space="preserve"> </w:t>
      </w:r>
      <w:r>
        <w:rPr>
          <w:sz w:val="20"/>
        </w:rPr>
        <w:t>drinking</w:t>
      </w:r>
      <w:r>
        <w:rPr>
          <w:spacing w:val="-6"/>
          <w:sz w:val="20"/>
        </w:rPr>
        <w:t xml:space="preserve"> </w:t>
      </w:r>
      <w:r>
        <w:rPr>
          <w:sz w:val="20"/>
        </w:rPr>
        <w:t>habits,</w:t>
      </w:r>
      <w:r>
        <w:rPr>
          <w:spacing w:val="-2"/>
          <w:sz w:val="20"/>
        </w:rPr>
        <w:t xml:space="preserve"> </w:t>
      </w:r>
      <w:r>
        <w:rPr>
          <w:sz w:val="20"/>
        </w:rPr>
        <w:t>even</w:t>
      </w:r>
      <w:r>
        <w:rPr>
          <w:spacing w:val="-2"/>
          <w:sz w:val="20"/>
        </w:rPr>
        <w:t xml:space="preserve"> </w:t>
      </w:r>
      <w:r>
        <w:rPr>
          <w:sz w:val="20"/>
        </w:rPr>
        <w:t>if</w:t>
      </w:r>
      <w:r>
        <w:rPr>
          <w:spacing w:val="-4"/>
          <w:sz w:val="20"/>
        </w:rPr>
        <w:t xml:space="preserve"> </w:t>
      </w:r>
      <w:r>
        <w:rPr>
          <w:sz w:val="20"/>
        </w:rPr>
        <w:t>you</w:t>
      </w:r>
      <w:r>
        <w:rPr>
          <w:spacing w:val="-2"/>
          <w:sz w:val="20"/>
        </w:rPr>
        <w:t xml:space="preserve"> </w:t>
      </w:r>
      <w:r>
        <w:rPr>
          <w:sz w:val="20"/>
        </w:rPr>
        <w:t>have</w:t>
      </w:r>
      <w:r>
        <w:rPr>
          <w:spacing w:val="-4"/>
          <w:sz w:val="20"/>
        </w:rPr>
        <w:t xml:space="preserve"> </w:t>
      </w:r>
      <w:r>
        <w:rPr>
          <w:sz w:val="20"/>
        </w:rPr>
        <w:t>given</w:t>
      </w:r>
      <w:r>
        <w:rPr>
          <w:spacing w:val="-2"/>
          <w:sz w:val="20"/>
        </w:rPr>
        <w:t xml:space="preserve"> </w:t>
      </w:r>
      <w:r>
        <w:rPr>
          <w:sz w:val="20"/>
        </w:rPr>
        <w:t>up</w:t>
      </w:r>
      <w:r>
        <w:rPr>
          <w:spacing w:val="-2"/>
          <w:sz w:val="20"/>
        </w:rPr>
        <w:t xml:space="preserve"> </w:t>
      </w:r>
      <w:r>
        <w:rPr>
          <w:sz w:val="20"/>
        </w:rPr>
        <w:t>drinking</w:t>
      </w:r>
      <w:r>
        <w:rPr>
          <w:spacing w:val="-3"/>
          <w:sz w:val="20"/>
        </w:rPr>
        <w:t xml:space="preserve"> </w:t>
      </w:r>
      <w:r>
        <w:rPr>
          <w:sz w:val="20"/>
        </w:rPr>
        <w:t xml:space="preserve">completely. Read each question below carefully, and then decide whether you agree or disagree with the statements. Please tick the answer of your choice to each question. If you have any problems, please ask the questionnaire </w:t>
      </w:r>
      <w:r>
        <w:rPr>
          <w:spacing w:val="-2"/>
          <w:sz w:val="20"/>
        </w:rPr>
        <w:t>administrator.</w:t>
      </w:r>
    </w:p>
    <w:p w14:paraId="22F27006" w14:textId="77777777" w:rsidR="00DB6E1F" w:rsidRDefault="00F666A6">
      <w:pPr>
        <w:spacing w:before="121"/>
        <w:ind w:left="1440"/>
        <w:rPr>
          <w:sz w:val="20"/>
        </w:rPr>
      </w:pPr>
      <w:r>
        <w:rPr>
          <w:sz w:val="20"/>
        </w:rPr>
        <w:t>Yo</w:t>
      </w:r>
      <w:r>
        <w:rPr>
          <w:sz w:val="20"/>
        </w:rPr>
        <w:t>ur</w:t>
      </w:r>
      <w:r>
        <w:rPr>
          <w:spacing w:val="-7"/>
          <w:sz w:val="20"/>
        </w:rPr>
        <w:t xml:space="preserve"> </w:t>
      </w:r>
      <w:r>
        <w:rPr>
          <w:sz w:val="20"/>
        </w:rPr>
        <w:t>answers</w:t>
      </w:r>
      <w:r>
        <w:rPr>
          <w:spacing w:val="-7"/>
          <w:sz w:val="20"/>
        </w:rPr>
        <w:t xml:space="preserve"> </w:t>
      </w:r>
      <w:r>
        <w:rPr>
          <w:sz w:val="20"/>
        </w:rPr>
        <w:t>are</w:t>
      </w:r>
      <w:r>
        <w:rPr>
          <w:spacing w:val="-8"/>
          <w:sz w:val="20"/>
        </w:rPr>
        <w:t xml:space="preserve"> </w:t>
      </w:r>
      <w:r>
        <w:rPr>
          <w:sz w:val="20"/>
        </w:rPr>
        <w:t>completely</w:t>
      </w:r>
      <w:r>
        <w:rPr>
          <w:spacing w:val="-4"/>
          <w:sz w:val="20"/>
        </w:rPr>
        <w:t xml:space="preserve"> </w:t>
      </w:r>
      <w:r>
        <w:rPr>
          <w:sz w:val="20"/>
        </w:rPr>
        <w:t>private</w:t>
      </w:r>
      <w:r>
        <w:rPr>
          <w:spacing w:val="-7"/>
          <w:sz w:val="20"/>
        </w:rPr>
        <w:t xml:space="preserve"> </w:t>
      </w:r>
      <w:r>
        <w:rPr>
          <w:sz w:val="20"/>
        </w:rPr>
        <w:t>and</w:t>
      </w:r>
      <w:r>
        <w:rPr>
          <w:spacing w:val="-5"/>
          <w:sz w:val="20"/>
        </w:rPr>
        <w:t xml:space="preserve"> </w:t>
      </w:r>
      <w:r>
        <w:rPr>
          <w:spacing w:val="-2"/>
          <w:sz w:val="20"/>
        </w:rPr>
        <w:t>confidential.</w:t>
      </w:r>
    </w:p>
    <w:p w14:paraId="49C06AEC" w14:textId="77777777" w:rsidR="00DB6E1F" w:rsidRDefault="00F666A6">
      <w:pPr>
        <w:spacing w:before="121"/>
        <w:ind w:left="1440"/>
        <w:rPr>
          <w:sz w:val="20"/>
        </w:rPr>
      </w:pPr>
      <w:r>
        <w:rPr>
          <w:b/>
          <w:sz w:val="20"/>
        </w:rPr>
        <w:t>Key:</w:t>
      </w:r>
      <w:r>
        <w:rPr>
          <w:b/>
          <w:spacing w:val="-5"/>
          <w:sz w:val="20"/>
        </w:rPr>
        <w:t xml:space="preserve"> </w:t>
      </w:r>
      <w:r>
        <w:rPr>
          <w:b/>
          <w:sz w:val="20"/>
        </w:rPr>
        <w:t>SD</w:t>
      </w:r>
      <w:r>
        <w:rPr>
          <w:b/>
          <w:spacing w:val="-5"/>
          <w:sz w:val="20"/>
        </w:rPr>
        <w:t xml:space="preserve"> </w:t>
      </w:r>
      <w:r>
        <w:rPr>
          <w:sz w:val="20"/>
        </w:rPr>
        <w:t>=</w:t>
      </w:r>
      <w:r>
        <w:rPr>
          <w:spacing w:val="-5"/>
          <w:sz w:val="20"/>
        </w:rPr>
        <w:t xml:space="preserve"> </w:t>
      </w:r>
      <w:r>
        <w:rPr>
          <w:sz w:val="20"/>
        </w:rPr>
        <w:t>Strongly</w:t>
      </w:r>
      <w:r>
        <w:rPr>
          <w:spacing w:val="-3"/>
          <w:sz w:val="20"/>
        </w:rPr>
        <w:t xml:space="preserve"> </w:t>
      </w:r>
      <w:r>
        <w:rPr>
          <w:sz w:val="20"/>
        </w:rPr>
        <w:t>disagree;</w:t>
      </w:r>
      <w:r>
        <w:rPr>
          <w:spacing w:val="-5"/>
          <w:sz w:val="20"/>
        </w:rPr>
        <w:t xml:space="preserve"> </w:t>
      </w:r>
      <w:r>
        <w:rPr>
          <w:b/>
          <w:sz w:val="20"/>
        </w:rPr>
        <w:t>D</w:t>
      </w:r>
      <w:r>
        <w:rPr>
          <w:b/>
          <w:spacing w:val="-3"/>
          <w:sz w:val="20"/>
        </w:rPr>
        <w:t xml:space="preserve"> </w:t>
      </w:r>
      <w:r>
        <w:rPr>
          <w:sz w:val="20"/>
        </w:rPr>
        <w:t>=</w:t>
      </w:r>
      <w:r>
        <w:rPr>
          <w:spacing w:val="-5"/>
          <w:sz w:val="20"/>
        </w:rPr>
        <w:t xml:space="preserve"> </w:t>
      </w:r>
      <w:r>
        <w:rPr>
          <w:sz w:val="20"/>
        </w:rPr>
        <w:t>Disagree;</w:t>
      </w:r>
      <w:r>
        <w:rPr>
          <w:spacing w:val="-5"/>
          <w:sz w:val="20"/>
        </w:rPr>
        <w:t xml:space="preserve"> </w:t>
      </w:r>
      <w:r>
        <w:rPr>
          <w:b/>
          <w:sz w:val="20"/>
        </w:rPr>
        <w:t>U</w:t>
      </w:r>
      <w:r>
        <w:rPr>
          <w:b/>
          <w:spacing w:val="-4"/>
          <w:sz w:val="20"/>
        </w:rPr>
        <w:t xml:space="preserve"> </w:t>
      </w:r>
      <w:r>
        <w:rPr>
          <w:sz w:val="20"/>
        </w:rPr>
        <w:t>=</w:t>
      </w:r>
      <w:r>
        <w:rPr>
          <w:spacing w:val="-3"/>
          <w:sz w:val="20"/>
        </w:rPr>
        <w:t xml:space="preserve"> </w:t>
      </w:r>
      <w:r>
        <w:rPr>
          <w:sz w:val="20"/>
        </w:rPr>
        <w:t>Unsure;</w:t>
      </w:r>
      <w:r>
        <w:rPr>
          <w:spacing w:val="-5"/>
          <w:sz w:val="20"/>
        </w:rPr>
        <w:t xml:space="preserve"> </w:t>
      </w:r>
      <w:r>
        <w:rPr>
          <w:b/>
          <w:sz w:val="20"/>
        </w:rPr>
        <w:t>A</w:t>
      </w:r>
      <w:r>
        <w:rPr>
          <w:b/>
          <w:spacing w:val="-5"/>
          <w:sz w:val="20"/>
        </w:rPr>
        <w:t xml:space="preserve"> </w:t>
      </w:r>
      <w:r>
        <w:rPr>
          <w:sz w:val="20"/>
        </w:rPr>
        <w:t>=</w:t>
      </w:r>
      <w:r>
        <w:rPr>
          <w:spacing w:val="-6"/>
          <w:sz w:val="20"/>
        </w:rPr>
        <w:t xml:space="preserve"> </w:t>
      </w:r>
      <w:r>
        <w:rPr>
          <w:sz w:val="20"/>
        </w:rPr>
        <w:t>Agree;</w:t>
      </w:r>
      <w:r>
        <w:rPr>
          <w:spacing w:val="-5"/>
          <w:sz w:val="20"/>
        </w:rPr>
        <w:t xml:space="preserve"> </w:t>
      </w:r>
      <w:r>
        <w:rPr>
          <w:b/>
          <w:sz w:val="20"/>
        </w:rPr>
        <w:t>SA</w:t>
      </w:r>
      <w:r>
        <w:rPr>
          <w:b/>
          <w:spacing w:val="-2"/>
          <w:sz w:val="20"/>
        </w:rPr>
        <w:t xml:space="preserve"> </w:t>
      </w:r>
      <w:r>
        <w:rPr>
          <w:sz w:val="20"/>
        </w:rPr>
        <w:t>=</w:t>
      </w:r>
      <w:r>
        <w:rPr>
          <w:spacing w:val="-5"/>
          <w:sz w:val="20"/>
        </w:rPr>
        <w:t xml:space="preserve"> </w:t>
      </w:r>
      <w:r>
        <w:rPr>
          <w:sz w:val="20"/>
        </w:rPr>
        <w:t>Strongly</w:t>
      </w:r>
      <w:r>
        <w:rPr>
          <w:spacing w:val="-3"/>
          <w:sz w:val="20"/>
        </w:rPr>
        <w:t xml:space="preserve"> </w:t>
      </w:r>
      <w:r>
        <w:rPr>
          <w:spacing w:val="-2"/>
          <w:sz w:val="20"/>
        </w:rPr>
        <w:t>agree</w:t>
      </w:r>
    </w:p>
    <w:p w14:paraId="75D2CA48" w14:textId="77777777" w:rsidR="00DB6E1F" w:rsidRDefault="00F666A6">
      <w:pPr>
        <w:tabs>
          <w:tab w:val="left" w:pos="7559"/>
          <w:tab w:val="left" w:pos="8999"/>
        </w:tabs>
        <w:spacing w:before="125"/>
        <w:ind w:left="6120"/>
        <w:rPr>
          <w:b/>
          <w:sz w:val="20"/>
        </w:rPr>
      </w:pPr>
      <w:r>
        <w:rPr>
          <w:b/>
          <w:spacing w:val="-5"/>
          <w:sz w:val="20"/>
        </w:rPr>
        <w:t>SD</w:t>
      </w:r>
      <w:r>
        <w:rPr>
          <w:b/>
          <w:sz w:val="20"/>
        </w:rPr>
        <w:tab/>
      </w:r>
      <w:r>
        <w:rPr>
          <w:b/>
          <w:spacing w:val="-10"/>
          <w:sz w:val="20"/>
        </w:rPr>
        <w:t>D</w:t>
      </w:r>
      <w:r>
        <w:rPr>
          <w:b/>
          <w:sz w:val="20"/>
        </w:rPr>
        <w:tab/>
      </w:r>
      <w:r>
        <w:rPr>
          <w:b/>
          <w:spacing w:val="-10"/>
          <w:sz w:val="20"/>
        </w:rPr>
        <w:t>U</w:t>
      </w:r>
    </w:p>
    <w:p w14:paraId="32A7113C" w14:textId="77777777" w:rsidR="00DB6E1F" w:rsidRDefault="00F666A6">
      <w:pPr>
        <w:tabs>
          <w:tab w:val="left" w:pos="8999"/>
          <w:tab w:val="left" w:pos="9652"/>
        </w:tabs>
        <w:spacing w:before="17"/>
        <w:ind w:left="7560"/>
        <w:rPr>
          <w:b/>
          <w:sz w:val="20"/>
        </w:rPr>
      </w:pPr>
      <w:r>
        <w:rPr>
          <w:b/>
          <w:spacing w:val="-10"/>
          <w:position w:val="1"/>
          <w:sz w:val="20"/>
        </w:rPr>
        <w:t>A</w:t>
      </w:r>
      <w:r>
        <w:rPr>
          <w:b/>
          <w:position w:val="1"/>
          <w:sz w:val="20"/>
        </w:rPr>
        <w:tab/>
      </w:r>
      <w:r>
        <w:rPr>
          <w:b/>
          <w:spacing w:val="-5"/>
          <w:position w:val="1"/>
          <w:sz w:val="20"/>
        </w:rPr>
        <w:t>SA</w:t>
      </w:r>
      <w:r>
        <w:rPr>
          <w:b/>
          <w:position w:val="1"/>
          <w:sz w:val="20"/>
        </w:rPr>
        <w:tab/>
      </w:r>
      <w:r>
        <w:rPr>
          <w:b/>
          <w:sz w:val="20"/>
        </w:rPr>
        <w:t>For</w:t>
      </w:r>
      <w:r>
        <w:rPr>
          <w:b/>
          <w:spacing w:val="-4"/>
          <w:sz w:val="20"/>
        </w:rPr>
        <w:t xml:space="preserve"> </w:t>
      </w:r>
      <w:r>
        <w:rPr>
          <w:b/>
          <w:sz w:val="20"/>
        </w:rPr>
        <w:t>office</w:t>
      </w:r>
      <w:r>
        <w:rPr>
          <w:b/>
          <w:spacing w:val="-5"/>
          <w:sz w:val="20"/>
        </w:rPr>
        <w:t xml:space="preserve"> </w:t>
      </w:r>
      <w:r>
        <w:rPr>
          <w:b/>
          <w:sz w:val="20"/>
        </w:rPr>
        <w:t>use</w:t>
      </w:r>
      <w:r>
        <w:rPr>
          <w:b/>
          <w:spacing w:val="-5"/>
          <w:sz w:val="20"/>
        </w:rPr>
        <w:t xml:space="preserve"> </w:t>
      </w:r>
      <w:r>
        <w:rPr>
          <w:b/>
          <w:spacing w:val="-4"/>
          <w:sz w:val="20"/>
        </w:rPr>
        <w:t>only</w:t>
      </w:r>
    </w:p>
    <w:p w14:paraId="4E4D05FC" w14:textId="77777777" w:rsidR="00DB6E1F" w:rsidRDefault="00DB6E1F">
      <w:pPr>
        <w:rPr>
          <w:sz w:val="20"/>
        </w:rPr>
        <w:sectPr w:rsidR="00DB6E1F">
          <w:pgSz w:w="12240" w:h="15840"/>
          <w:pgMar w:top="1200" w:right="0" w:bottom="780" w:left="0" w:header="763" w:footer="585" w:gutter="0"/>
          <w:cols w:space="720"/>
        </w:sectPr>
      </w:pPr>
    </w:p>
    <w:p w14:paraId="7BEB708E" w14:textId="77777777" w:rsidR="00DB6E1F" w:rsidRDefault="00F666A6">
      <w:pPr>
        <w:pStyle w:val="ListParagraph"/>
        <w:numPr>
          <w:ilvl w:val="1"/>
          <w:numId w:val="37"/>
        </w:numPr>
        <w:tabs>
          <w:tab w:val="left" w:pos="1892"/>
        </w:tabs>
        <w:spacing w:before="18" w:line="259" w:lineRule="auto"/>
        <w:rPr>
          <w:sz w:val="20"/>
        </w:rPr>
      </w:pPr>
      <w:r>
        <w:rPr>
          <w:sz w:val="20"/>
        </w:rPr>
        <w:t>It’s</w:t>
      </w:r>
      <w:r>
        <w:rPr>
          <w:spacing w:val="-6"/>
          <w:sz w:val="20"/>
        </w:rPr>
        <w:t xml:space="preserve"> </w:t>
      </w:r>
      <w:r>
        <w:rPr>
          <w:sz w:val="20"/>
        </w:rPr>
        <w:t>a</w:t>
      </w:r>
      <w:r>
        <w:rPr>
          <w:spacing w:val="-5"/>
          <w:sz w:val="20"/>
        </w:rPr>
        <w:t xml:space="preserve"> </w:t>
      </w:r>
      <w:r>
        <w:rPr>
          <w:sz w:val="20"/>
        </w:rPr>
        <w:t>waste</w:t>
      </w:r>
      <w:r>
        <w:rPr>
          <w:spacing w:val="-6"/>
          <w:sz w:val="20"/>
        </w:rPr>
        <w:t xml:space="preserve"> </w:t>
      </w:r>
      <w:r>
        <w:rPr>
          <w:sz w:val="20"/>
        </w:rPr>
        <w:t>of</w:t>
      </w:r>
      <w:r>
        <w:rPr>
          <w:spacing w:val="-6"/>
          <w:sz w:val="20"/>
        </w:rPr>
        <w:t xml:space="preserve"> </w:t>
      </w:r>
      <w:r>
        <w:rPr>
          <w:sz w:val="20"/>
        </w:rPr>
        <w:t>time</w:t>
      </w:r>
      <w:r>
        <w:rPr>
          <w:spacing w:val="-6"/>
          <w:sz w:val="20"/>
        </w:rPr>
        <w:t xml:space="preserve"> </w:t>
      </w:r>
      <w:r>
        <w:rPr>
          <w:sz w:val="20"/>
        </w:rPr>
        <w:t>thinking</w:t>
      </w:r>
      <w:r>
        <w:rPr>
          <w:spacing w:val="-5"/>
          <w:sz w:val="20"/>
        </w:rPr>
        <w:t xml:space="preserve"> </w:t>
      </w:r>
      <w:r>
        <w:rPr>
          <w:sz w:val="20"/>
        </w:rPr>
        <w:t>about</w:t>
      </w:r>
      <w:r>
        <w:rPr>
          <w:spacing w:val="-5"/>
          <w:sz w:val="20"/>
        </w:rPr>
        <w:t xml:space="preserve"> </w:t>
      </w:r>
      <w:r>
        <w:rPr>
          <w:sz w:val="20"/>
        </w:rPr>
        <w:t>my</w:t>
      </w:r>
      <w:r>
        <w:rPr>
          <w:spacing w:val="-4"/>
          <w:sz w:val="20"/>
        </w:rPr>
        <w:t xml:space="preserve"> </w:t>
      </w:r>
      <w:r>
        <w:rPr>
          <w:sz w:val="20"/>
        </w:rPr>
        <w:t>drinking because I do not have a problem.</w:t>
      </w:r>
    </w:p>
    <w:p w14:paraId="1249F9E4" w14:textId="77777777" w:rsidR="00DB6E1F" w:rsidRDefault="00DB6E1F">
      <w:pPr>
        <w:pStyle w:val="BodyText"/>
        <w:spacing w:before="3"/>
      </w:pPr>
    </w:p>
    <w:p w14:paraId="3B044E82" w14:textId="77777777" w:rsidR="00DB6E1F" w:rsidRDefault="00F666A6">
      <w:pPr>
        <w:pStyle w:val="ListParagraph"/>
        <w:numPr>
          <w:ilvl w:val="1"/>
          <w:numId w:val="37"/>
        </w:numPr>
        <w:tabs>
          <w:tab w:val="left" w:pos="1892"/>
        </w:tabs>
        <w:spacing w:before="0" w:line="259" w:lineRule="auto"/>
        <w:ind w:right="87"/>
        <w:rPr>
          <w:sz w:val="20"/>
        </w:rPr>
      </w:pPr>
      <w:r>
        <w:rPr>
          <w:sz w:val="20"/>
        </w:rPr>
        <w:t>I</w:t>
      </w:r>
      <w:r>
        <w:rPr>
          <w:spacing w:val="-5"/>
          <w:sz w:val="20"/>
        </w:rPr>
        <w:t xml:space="preserve"> </w:t>
      </w:r>
      <w:r>
        <w:rPr>
          <w:sz w:val="20"/>
        </w:rPr>
        <w:t>enjoy</w:t>
      </w:r>
      <w:r>
        <w:rPr>
          <w:spacing w:val="-4"/>
          <w:sz w:val="20"/>
        </w:rPr>
        <w:t xml:space="preserve"> </w:t>
      </w:r>
      <w:r>
        <w:rPr>
          <w:sz w:val="20"/>
        </w:rPr>
        <w:t>my</w:t>
      </w:r>
      <w:r>
        <w:rPr>
          <w:spacing w:val="-4"/>
          <w:sz w:val="20"/>
        </w:rPr>
        <w:t xml:space="preserve"> </w:t>
      </w:r>
      <w:r>
        <w:rPr>
          <w:sz w:val="20"/>
        </w:rPr>
        <w:t>drinking</w:t>
      </w:r>
      <w:r>
        <w:rPr>
          <w:spacing w:val="-5"/>
          <w:sz w:val="20"/>
        </w:rPr>
        <w:t xml:space="preserve"> </w:t>
      </w:r>
      <w:r>
        <w:rPr>
          <w:sz w:val="20"/>
        </w:rPr>
        <w:t>but</w:t>
      </w:r>
      <w:r>
        <w:rPr>
          <w:spacing w:val="-5"/>
          <w:sz w:val="20"/>
        </w:rPr>
        <w:t xml:space="preserve"> </w:t>
      </w:r>
      <w:r>
        <w:rPr>
          <w:sz w:val="20"/>
        </w:rPr>
        <w:t>sometimes</w:t>
      </w:r>
      <w:r>
        <w:rPr>
          <w:spacing w:val="-6"/>
          <w:sz w:val="20"/>
        </w:rPr>
        <w:t xml:space="preserve"> </w:t>
      </w:r>
      <w:r>
        <w:rPr>
          <w:sz w:val="20"/>
        </w:rPr>
        <w:t>I</w:t>
      </w:r>
      <w:r>
        <w:rPr>
          <w:spacing w:val="-5"/>
          <w:sz w:val="20"/>
        </w:rPr>
        <w:t xml:space="preserve"> </w:t>
      </w:r>
      <w:r>
        <w:rPr>
          <w:sz w:val="20"/>
        </w:rPr>
        <w:t>drink</w:t>
      </w:r>
      <w:r>
        <w:rPr>
          <w:spacing w:val="-4"/>
          <w:sz w:val="20"/>
        </w:rPr>
        <w:t xml:space="preserve"> </w:t>
      </w:r>
      <w:r>
        <w:rPr>
          <w:sz w:val="20"/>
        </w:rPr>
        <w:t xml:space="preserve">too </w:t>
      </w:r>
      <w:r>
        <w:rPr>
          <w:spacing w:val="-4"/>
          <w:sz w:val="20"/>
        </w:rPr>
        <w:t>much.</w:t>
      </w:r>
    </w:p>
    <w:p w14:paraId="2F44B149" w14:textId="77777777" w:rsidR="00DB6E1F" w:rsidRDefault="00F666A6">
      <w:pPr>
        <w:tabs>
          <w:tab w:val="left" w:pos="1439"/>
          <w:tab w:val="left" w:pos="2879"/>
        </w:tabs>
        <w:spacing w:line="407" w:lineRule="exact"/>
        <w:ind w:right="2917"/>
        <w:jc w:val="right"/>
        <w:rPr>
          <w:rFonts w:ascii="Arial" w:hAnsi="Arial"/>
          <w:sz w:val="36"/>
        </w:rPr>
      </w:pPr>
      <w:r>
        <w:br w:type="column"/>
      </w:r>
      <w:r>
        <w:rPr>
          <w:rFonts w:ascii="Arial" w:hAnsi="Arial"/>
          <w:spacing w:val="-10"/>
          <w:w w:val="145"/>
          <w:sz w:val="36"/>
        </w:rPr>
        <w:t>□</w:t>
      </w:r>
      <w:r>
        <w:rPr>
          <w:rFonts w:ascii="Arial" w:hAnsi="Arial"/>
          <w:sz w:val="36"/>
        </w:rPr>
        <w:tab/>
      </w:r>
      <w:r>
        <w:rPr>
          <w:rFonts w:ascii="Arial" w:hAnsi="Arial"/>
          <w:spacing w:val="-10"/>
          <w:w w:val="145"/>
          <w:sz w:val="36"/>
        </w:rPr>
        <w:t>□</w:t>
      </w:r>
      <w:r>
        <w:rPr>
          <w:rFonts w:ascii="Arial" w:hAnsi="Arial"/>
          <w:sz w:val="36"/>
        </w:rPr>
        <w:tab/>
      </w:r>
      <w:r>
        <w:rPr>
          <w:rFonts w:ascii="Arial" w:hAnsi="Arial"/>
          <w:spacing w:val="-10"/>
          <w:w w:val="145"/>
          <w:sz w:val="36"/>
        </w:rPr>
        <w:t>□</w:t>
      </w:r>
    </w:p>
    <w:p w14:paraId="7952121C" w14:textId="77777777" w:rsidR="00DB6E1F" w:rsidRDefault="00F666A6">
      <w:pPr>
        <w:tabs>
          <w:tab w:val="left" w:pos="1439"/>
        </w:tabs>
        <w:spacing w:line="400" w:lineRule="exact"/>
        <w:ind w:right="2917"/>
        <w:jc w:val="right"/>
        <w:rPr>
          <w:rFonts w:ascii="Arial" w:hAnsi="Arial"/>
          <w:sz w:val="36"/>
        </w:rPr>
      </w:pPr>
      <w:r>
        <w:pict w14:anchorId="0EC4B2F9">
          <v:shape id="docshape211" o:spid="_x0000_s2085" style="position:absolute;left:0;text-align:left;margin-left:492.1pt;margin-top:-8.75pt;width:28.8pt;height:18.5pt;z-index:15742464;mso-position-horizontal-relative:page" coordorigin="9842,-175" coordsize="576,370" path="m10418,-175r-566,l9842,-175r,9l9842,185r,9l9852,194r566,l10418,185r-566,l9852,-166r566,l10418,-175xe" fillcolor="black" stroked="f">
            <v:path arrowok="t"/>
            <w10:wrap anchorx="page"/>
          </v:shape>
        </w:pict>
      </w:r>
      <w:r>
        <w:pict w14:anchorId="2B12A1F2">
          <v:shape id="docshape212" o:spid="_x0000_s2084" type="#_x0000_t202" style="position:absolute;left:0;text-align:left;margin-left:521.15pt;margin-top:-8.55pt;width:28.8pt;height:18pt;z-index:15753216;mso-position-horizontal-relative:page" filled="f" strokeweight=".48pt">
            <v:textbox inset="0,0,0,0">
              <w:txbxContent>
                <w:p w14:paraId="7E15F03E" w14:textId="77777777" w:rsidR="00DB6E1F" w:rsidRDefault="00F666A6">
                  <w:pPr>
                    <w:spacing w:before="1"/>
                    <w:rPr>
                      <w:sz w:val="20"/>
                    </w:rPr>
                  </w:pPr>
                  <w:r>
                    <w:rPr>
                      <w:spacing w:val="-5"/>
                      <w:sz w:val="20"/>
                    </w:rPr>
                    <w:t>PC</w:t>
                  </w:r>
                </w:p>
              </w:txbxContent>
            </v:textbox>
            <w10:wrap anchorx="page"/>
          </v:shape>
        </w:pict>
      </w:r>
      <w:r>
        <w:rPr>
          <w:rFonts w:ascii="Arial" w:hAnsi="Arial"/>
          <w:spacing w:val="-10"/>
          <w:w w:val="145"/>
          <w:sz w:val="36"/>
        </w:rPr>
        <w:t>□</w:t>
      </w:r>
      <w:r>
        <w:rPr>
          <w:rFonts w:ascii="Arial" w:hAnsi="Arial"/>
          <w:sz w:val="36"/>
        </w:rPr>
        <w:tab/>
      </w:r>
      <w:r>
        <w:rPr>
          <w:rFonts w:ascii="Arial" w:hAnsi="Arial"/>
          <w:spacing w:val="-10"/>
          <w:w w:val="145"/>
          <w:sz w:val="36"/>
        </w:rPr>
        <w:t>□</w:t>
      </w:r>
    </w:p>
    <w:p w14:paraId="5C8DBF25" w14:textId="77777777" w:rsidR="00DB6E1F" w:rsidRDefault="00F666A6">
      <w:pPr>
        <w:tabs>
          <w:tab w:val="left" w:pos="1439"/>
          <w:tab w:val="left" w:pos="2879"/>
        </w:tabs>
        <w:spacing w:line="400" w:lineRule="exact"/>
        <w:ind w:right="2917"/>
        <w:jc w:val="right"/>
        <w:rPr>
          <w:rFonts w:ascii="Arial" w:hAnsi="Arial"/>
          <w:sz w:val="36"/>
        </w:rPr>
      </w:pPr>
      <w:r>
        <w:pict w14:anchorId="04DB9031">
          <v:shape id="docshape213" o:spid="_x0000_s2083" style="position:absolute;left:0;text-align:left;margin-left:492.1pt;margin-top:11.2pt;width:28.8pt;height:18.5pt;z-index:15742976;mso-position-horizontal-relative:page" coordorigin="9842,224" coordsize="576,370" o:spt="100" adj="0,,0" path="m10418,584r-566,l9852,234r-10,l9842,584r,10l9852,594r566,l10418,584xm10418,224r-566,l9842,224r,10l9852,234r566,l10418,224xe" fillcolor="black" stroked="f">
            <v:stroke joinstyle="round"/>
            <v:formulas/>
            <v:path arrowok="t" o:connecttype="segments"/>
            <w10:wrap anchorx="page"/>
          </v:shape>
        </w:pict>
      </w:r>
      <w:r>
        <w:pict w14:anchorId="76376204">
          <v:shape id="docshape214" o:spid="_x0000_s2082" type="#_x0000_t202" style="position:absolute;left:0;text-align:left;margin-left:521.15pt;margin-top:11.45pt;width:28.8pt;height:18pt;z-index:15752704;mso-position-horizontal-relative:page" filled="f" strokeweight=".48pt">
            <v:textbox inset="0,0,0,0">
              <w:txbxContent>
                <w:p w14:paraId="024B0776" w14:textId="77777777" w:rsidR="00DB6E1F" w:rsidRDefault="00F666A6">
                  <w:pPr>
                    <w:spacing w:before="1"/>
                    <w:rPr>
                      <w:sz w:val="20"/>
                    </w:rPr>
                  </w:pPr>
                  <w:r>
                    <w:rPr>
                      <w:w w:val="99"/>
                      <w:sz w:val="20"/>
                    </w:rPr>
                    <w:t>C</w:t>
                  </w:r>
                </w:p>
              </w:txbxContent>
            </v:textbox>
            <w10:wrap anchorx="page"/>
          </v:shape>
        </w:pict>
      </w:r>
      <w:r>
        <w:rPr>
          <w:rFonts w:ascii="Arial" w:hAnsi="Arial"/>
          <w:spacing w:val="-10"/>
          <w:w w:val="145"/>
          <w:sz w:val="36"/>
        </w:rPr>
        <w:t>□</w:t>
      </w:r>
      <w:r>
        <w:rPr>
          <w:rFonts w:ascii="Arial" w:hAnsi="Arial"/>
          <w:sz w:val="36"/>
        </w:rPr>
        <w:tab/>
      </w:r>
      <w:r>
        <w:rPr>
          <w:rFonts w:ascii="Arial" w:hAnsi="Arial"/>
          <w:spacing w:val="-10"/>
          <w:w w:val="145"/>
          <w:sz w:val="36"/>
        </w:rPr>
        <w:t>□</w:t>
      </w:r>
      <w:r>
        <w:rPr>
          <w:rFonts w:ascii="Arial" w:hAnsi="Arial"/>
          <w:sz w:val="36"/>
        </w:rPr>
        <w:tab/>
      </w:r>
      <w:r>
        <w:rPr>
          <w:rFonts w:ascii="Arial" w:hAnsi="Arial"/>
          <w:spacing w:val="-10"/>
          <w:w w:val="145"/>
          <w:sz w:val="36"/>
        </w:rPr>
        <w:t>□</w:t>
      </w:r>
    </w:p>
    <w:p w14:paraId="44EADBC3" w14:textId="77777777" w:rsidR="00DB6E1F" w:rsidRDefault="00F666A6">
      <w:pPr>
        <w:tabs>
          <w:tab w:val="left" w:pos="1439"/>
        </w:tabs>
        <w:spacing w:line="406" w:lineRule="exact"/>
        <w:ind w:right="2917"/>
        <w:jc w:val="right"/>
        <w:rPr>
          <w:rFonts w:ascii="Arial" w:hAnsi="Arial"/>
          <w:sz w:val="36"/>
        </w:rPr>
      </w:pPr>
      <w:r>
        <w:rPr>
          <w:rFonts w:ascii="Arial" w:hAnsi="Arial"/>
          <w:spacing w:val="-10"/>
          <w:w w:val="145"/>
          <w:sz w:val="36"/>
        </w:rPr>
        <w:t>□</w:t>
      </w:r>
      <w:r>
        <w:rPr>
          <w:rFonts w:ascii="Arial" w:hAnsi="Arial"/>
          <w:sz w:val="36"/>
        </w:rPr>
        <w:tab/>
      </w:r>
      <w:r>
        <w:rPr>
          <w:rFonts w:ascii="Arial" w:hAnsi="Arial"/>
          <w:spacing w:val="-10"/>
          <w:w w:val="145"/>
          <w:sz w:val="36"/>
        </w:rPr>
        <w:t>□</w:t>
      </w:r>
    </w:p>
    <w:p w14:paraId="00FDA235" w14:textId="77777777" w:rsidR="00DB6E1F" w:rsidRDefault="00DB6E1F">
      <w:pPr>
        <w:spacing w:line="406" w:lineRule="exact"/>
        <w:jc w:val="right"/>
        <w:rPr>
          <w:rFonts w:ascii="Arial" w:hAnsi="Arial"/>
          <w:sz w:val="36"/>
        </w:rPr>
        <w:sectPr w:rsidR="00DB6E1F">
          <w:type w:val="continuous"/>
          <w:pgSz w:w="12240" w:h="15840"/>
          <w:pgMar w:top="0" w:right="0" w:bottom="0" w:left="0" w:header="763" w:footer="585" w:gutter="0"/>
          <w:cols w:num="2" w:space="720" w:equalWidth="0">
            <w:col w:w="5669" w:space="40"/>
            <w:col w:w="6531"/>
          </w:cols>
        </w:sectPr>
      </w:pPr>
    </w:p>
    <w:p w14:paraId="1D4480FB" w14:textId="77777777" w:rsidR="00DB6E1F" w:rsidRDefault="00F666A6">
      <w:pPr>
        <w:pStyle w:val="ListParagraph"/>
        <w:numPr>
          <w:ilvl w:val="1"/>
          <w:numId w:val="37"/>
        </w:numPr>
        <w:tabs>
          <w:tab w:val="left" w:pos="1892"/>
          <w:tab w:val="left" w:pos="7559"/>
          <w:tab w:val="left" w:pos="8999"/>
        </w:tabs>
        <w:spacing w:before="0" w:line="394" w:lineRule="exact"/>
        <w:ind w:hanging="361"/>
        <w:rPr>
          <w:rFonts w:ascii="Arial" w:hAnsi="Arial"/>
          <w:sz w:val="36"/>
        </w:rPr>
      </w:pPr>
      <w:r>
        <w:pict w14:anchorId="45B838D3">
          <v:shape id="docshape215" o:spid="_x0000_s2081" style="position:absolute;left:0;text-align:left;margin-left:492.1pt;margin-top:10.95pt;width:28.8pt;height:18.5pt;z-index:15743488;mso-position-horizontal-relative:page" coordorigin="9842,219" coordsize="576,370" path="m10418,219r-566,l9842,219r,9l9842,579r,9l9852,588r566,l10418,579r-566,l9852,228r566,l10418,219xe" fillcolor="black" stroked="f">
            <v:path arrowok="t"/>
            <w10:wrap anchorx="page"/>
          </v:shape>
        </w:pict>
      </w:r>
      <w:r>
        <w:pict w14:anchorId="4768DCC8">
          <v:shape id="docshape216" o:spid="_x0000_s2080" type="#_x0000_t202" style="position:absolute;left:0;text-align:left;margin-left:521.15pt;margin-top:11.15pt;width:28.8pt;height:18pt;z-index:15752192;mso-position-horizontal-relative:page" filled="f" strokeweight=".48pt">
            <v:textbox inset="0,0,0,0">
              <w:txbxContent>
                <w:p w14:paraId="5F8154A3" w14:textId="77777777" w:rsidR="00DB6E1F" w:rsidRDefault="00F666A6">
                  <w:pPr>
                    <w:spacing w:line="243" w:lineRule="exact"/>
                    <w:rPr>
                      <w:sz w:val="20"/>
                    </w:rPr>
                  </w:pPr>
                  <w:r>
                    <w:rPr>
                      <w:spacing w:val="-5"/>
                      <w:sz w:val="20"/>
                    </w:rPr>
                    <w:t>PC</w:t>
                  </w:r>
                </w:p>
              </w:txbxContent>
            </v:textbox>
            <w10:wrap anchorx="page"/>
          </v:shape>
        </w:pict>
      </w:r>
      <w:r>
        <w:rPr>
          <w:sz w:val="20"/>
        </w:rPr>
        <w:t>There</w:t>
      </w:r>
      <w:r>
        <w:rPr>
          <w:spacing w:val="-6"/>
          <w:sz w:val="20"/>
        </w:rPr>
        <w:t xml:space="preserve"> </w:t>
      </w:r>
      <w:r>
        <w:rPr>
          <w:sz w:val="20"/>
        </w:rPr>
        <w:t>is</w:t>
      </w:r>
      <w:r>
        <w:rPr>
          <w:spacing w:val="-6"/>
          <w:sz w:val="20"/>
        </w:rPr>
        <w:t xml:space="preserve"> </w:t>
      </w:r>
      <w:r>
        <w:rPr>
          <w:sz w:val="20"/>
        </w:rPr>
        <w:t>nothing</w:t>
      </w:r>
      <w:r>
        <w:rPr>
          <w:spacing w:val="-5"/>
          <w:sz w:val="20"/>
        </w:rPr>
        <w:t xml:space="preserve"> </w:t>
      </w:r>
      <w:r>
        <w:rPr>
          <w:sz w:val="20"/>
        </w:rPr>
        <w:t>seriously</w:t>
      </w:r>
      <w:r>
        <w:rPr>
          <w:spacing w:val="-4"/>
          <w:sz w:val="20"/>
        </w:rPr>
        <w:t xml:space="preserve"> </w:t>
      </w:r>
      <w:r>
        <w:rPr>
          <w:sz w:val="20"/>
        </w:rPr>
        <w:t>wrong</w:t>
      </w:r>
      <w:r>
        <w:rPr>
          <w:spacing w:val="-5"/>
          <w:sz w:val="20"/>
        </w:rPr>
        <w:t xml:space="preserve"> </w:t>
      </w:r>
      <w:r>
        <w:rPr>
          <w:sz w:val="20"/>
        </w:rPr>
        <w:t>with</w:t>
      </w:r>
      <w:r>
        <w:rPr>
          <w:spacing w:val="-4"/>
          <w:sz w:val="20"/>
        </w:rPr>
        <w:t xml:space="preserve"> </w:t>
      </w:r>
      <w:r>
        <w:rPr>
          <w:sz w:val="20"/>
        </w:rPr>
        <w:t>my</w:t>
      </w:r>
      <w:r>
        <w:rPr>
          <w:spacing w:val="-4"/>
          <w:sz w:val="20"/>
        </w:rPr>
        <w:t xml:space="preserve"> </w:t>
      </w:r>
      <w:r>
        <w:rPr>
          <w:sz w:val="20"/>
        </w:rPr>
        <w:t>drinking.</w:t>
      </w:r>
      <w:r>
        <w:rPr>
          <w:spacing w:val="69"/>
          <w:sz w:val="20"/>
        </w:rPr>
        <w:t xml:space="preserve"> </w:t>
      </w:r>
      <w:r>
        <w:rPr>
          <w:rFonts w:ascii="Arial" w:hAnsi="Arial"/>
          <w:spacing w:val="-10"/>
          <w:position w:val="-12"/>
          <w:sz w:val="36"/>
        </w:rPr>
        <w:t>□</w:t>
      </w:r>
      <w:r>
        <w:rPr>
          <w:rFonts w:ascii="Arial" w:hAnsi="Arial"/>
          <w:position w:val="-12"/>
          <w:sz w:val="36"/>
        </w:rPr>
        <w:tab/>
      </w:r>
      <w:r>
        <w:rPr>
          <w:rFonts w:ascii="Arial" w:hAnsi="Arial"/>
          <w:spacing w:val="-10"/>
          <w:w w:val="120"/>
          <w:position w:val="-12"/>
          <w:sz w:val="36"/>
        </w:rPr>
        <w:t>□</w:t>
      </w:r>
      <w:r>
        <w:rPr>
          <w:rFonts w:ascii="Arial" w:hAnsi="Arial"/>
          <w:position w:val="-12"/>
          <w:sz w:val="36"/>
        </w:rPr>
        <w:tab/>
      </w:r>
      <w:r>
        <w:rPr>
          <w:rFonts w:ascii="Arial" w:hAnsi="Arial"/>
          <w:spacing w:val="-10"/>
          <w:w w:val="120"/>
          <w:position w:val="-12"/>
          <w:sz w:val="36"/>
        </w:rPr>
        <w:t>□</w:t>
      </w:r>
    </w:p>
    <w:p w14:paraId="6814D9BA" w14:textId="77777777" w:rsidR="00DB6E1F" w:rsidRDefault="00F666A6">
      <w:pPr>
        <w:tabs>
          <w:tab w:val="left" w:pos="8999"/>
        </w:tabs>
        <w:spacing w:line="406" w:lineRule="exact"/>
        <w:ind w:left="7560"/>
        <w:rPr>
          <w:rFonts w:ascii="Arial" w:hAnsi="Arial"/>
          <w:sz w:val="36"/>
        </w:rPr>
      </w:pPr>
      <w:r>
        <w:rPr>
          <w:rFonts w:ascii="Arial" w:hAnsi="Arial"/>
          <w:spacing w:val="-10"/>
          <w:w w:val="145"/>
          <w:sz w:val="36"/>
        </w:rPr>
        <w:t>□</w:t>
      </w:r>
      <w:r>
        <w:rPr>
          <w:rFonts w:ascii="Arial" w:hAnsi="Arial"/>
          <w:sz w:val="36"/>
        </w:rPr>
        <w:tab/>
      </w:r>
      <w:r>
        <w:rPr>
          <w:rFonts w:ascii="Arial" w:hAnsi="Arial"/>
          <w:spacing w:val="-10"/>
          <w:w w:val="145"/>
          <w:sz w:val="36"/>
        </w:rPr>
        <w:t>□</w:t>
      </w:r>
    </w:p>
    <w:p w14:paraId="02F190EC" w14:textId="77777777" w:rsidR="00DB6E1F" w:rsidRDefault="00DB6E1F">
      <w:pPr>
        <w:spacing w:line="406" w:lineRule="exact"/>
        <w:rPr>
          <w:rFonts w:ascii="Arial" w:hAnsi="Arial"/>
          <w:sz w:val="36"/>
        </w:rPr>
        <w:sectPr w:rsidR="00DB6E1F">
          <w:type w:val="continuous"/>
          <w:pgSz w:w="12240" w:h="15840"/>
          <w:pgMar w:top="0" w:right="0" w:bottom="0" w:left="0" w:header="763" w:footer="585" w:gutter="0"/>
          <w:cols w:space="720"/>
        </w:sectPr>
      </w:pPr>
    </w:p>
    <w:p w14:paraId="08516F86" w14:textId="77777777" w:rsidR="00DB6E1F" w:rsidRDefault="00F666A6">
      <w:pPr>
        <w:pStyle w:val="ListParagraph"/>
        <w:numPr>
          <w:ilvl w:val="1"/>
          <w:numId w:val="37"/>
        </w:numPr>
        <w:tabs>
          <w:tab w:val="left" w:pos="1892"/>
        </w:tabs>
        <w:spacing w:before="3" w:line="259" w:lineRule="auto"/>
        <w:rPr>
          <w:sz w:val="20"/>
        </w:rPr>
      </w:pPr>
      <w:r>
        <w:rPr>
          <w:sz w:val="20"/>
        </w:rPr>
        <w:t>Sometimes</w:t>
      </w:r>
      <w:r>
        <w:rPr>
          <w:spacing w:val="-6"/>
          <w:sz w:val="20"/>
        </w:rPr>
        <w:t xml:space="preserve"> </w:t>
      </w:r>
      <w:r>
        <w:rPr>
          <w:sz w:val="20"/>
        </w:rPr>
        <w:t>I</w:t>
      </w:r>
      <w:r>
        <w:rPr>
          <w:spacing w:val="-5"/>
          <w:sz w:val="20"/>
        </w:rPr>
        <w:t xml:space="preserve"> </w:t>
      </w:r>
      <w:r>
        <w:rPr>
          <w:sz w:val="20"/>
        </w:rPr>
        <w:t>think</w:t>
      </w:r>
      <w:r>
        <w:rPr>
          <w:spacing w:val="-4"/>
          <w:sz w:val="20"/>
        </w:rPr>
        <w:t xml:space="preserve"> </w:t>
      </w:r>
      <w:r>
        <w:rPr>
          <w:sz w:val="20"/>
        </w:rPr>
        <w:t>I</w:t>
      </w:r>
      <w:r>
        <w:rPr>
          <w:spacing w:val="-5"/>
          <w:sz w:val="20"/>
        </w:rPr>
        <w:t xml:space="preserve"> </w:t>
      </w:r>
      <w:r>
        <w:rPr>
          <w:sz w:val="20"/>
        </w:rPr>
        <w:t>should</w:t>
      </w:r>
      <w:r>
        <w:rPr>
          <w:spacing w:val="-4"/>
          <w:sz w:val="20"/>
        </w:rPr>
        <w:t xml:space="preserve"> </w:t>
      </w:r>
      <w:r>
        <w:rPr>
          <w:sz w:val="20"/>
        </w:rPr>
        <w:t>quit</w:t>
      </w:r>
      <w:r>
        <w:rPr>
          <w:spacing w:val="-5"/>
          <w:sz w:val="20"/>
        </w:rPr>
        <w:t xml:space="preserve"> </w:t>
      </w:r>
      <w:r>
        <w:rPr>
          <w:sz w:val="20"/>
        </w:rPr>
        <w:t>or</w:t>
      </w:r>
      <w:r>
        <w:rPr>
          <w:spacing w:val="-5"/>
          <w:sz w:val="20"/>
        </w:rPr>
        <w:t xml:space="preserve"> </w:t>
      </w:r>
      <w:r>
        <w:rPr>
          <w:sz w:val="20"/>
        </w:rPr>
        <w:t>cut</w:t>
      </w:r>
      <w:r>
        <w:rPr>
          <w:spacing w:val="-5"/>
          <w:sz w:val="20"/>
        </w:rPr>
        <w:t xml:space="preserve"> </w:t>
      </w:r>
      <w:r>
        <w:rPr>
          <w:sz w:val="20"/>
        </w:rPr>
        <w:t>down</w:t>
      </w:r>
      <w:r>
        <w:rPr>
          <w:spacing w:val="-4"/>
          <w:sz w:val="20"/>
        </w:rPr>
        <w:t xml:space="preserve"> </w:t>
      </w:r>
      <w:r>
        <w:rPr>
          <w:sz w:val="20"/>
        </w:rPr>
        <w:t>on</w:t>
      </w:r>
      <w:r>
        <w:rPr>
          <w:spacing w:val="-4"/>
          <w:sz w:val="20"/>
        </w:rPr>
        <w:t xml:space="preserve"> </w:t>
      </w:r>
      <w:r>
        <w:rPr>
          <w:sz w:val="20"/>
        </w:rPr>
        <w:t xml:space="preserve">my </w:t>
      </w:r>
      <w:r>
        <w:rPr>
          <w:spacing w:val="-2"/>
          <w:sz w:val="20"/>
        </w:rPr>
        <w:t>drinking.</w:t>
      </w:r>
    </w:p>
    <w:p w14:paraId="37302D97" w14:textId="77777777" w:rsidR="00DB6E1F" w:rsidRDefault="00DB6E1F">
      <w:pPr>
        <w:pStyle w:val="BodyText"/>
        <w:spacing w:before="3"/>
      </w:pPr>
    </w:p>
    <w:p w14:paraId="4E51D662" w14:textId="77777777" w:rsidR="00DB6E1F" w:rsidRDefault="00F666A6">
      <w:pPr>
        <w:pStyle w:val="ListParagraph"/>
        <w:numPr>
          <w:ilvl w:val="1"/>
          <w:numId w:val="37"/>
        </w:numPr>
        <w:tabs>
          <w:tab w:val="left" w:pos="1892"/>
        </w:tabs>
        <w:spacing w:before="1" w:line="259" w:lineRule="auto"/>
        <w:ind w:right="188"/>
        <w:rPr>
          <w:sz w:val="20"/>
        </w:rPr>
      </w:pPr>
      <w:r>
        <w:rPr>
          <w:sz w:val="20"/>
        </w:rPr>
        <w:t>Anyone</w:t>
      </w:r>
      <w:r>
        <w:rPr>
          <w:spacing w:val="-7"/>
          <w:sz w:val="20"/>
        </w:rPr>
        <w:t xml:space="preserve"> </w:t>
      </w:r>
      <w:r>
        <w:rPr>
          <w:sz w:val="20"/>
        </w:rPr>
        <w:t>can</w:t>
      </w:r>
      <w:r>
        <w:rPr>
          <w:spacing w:val="-5"/>
          <w:sz w:val="20"/>
        </w:rPr>
        <w:t xml:space="preserve"> </w:t>
      </w:r>
      <w:r>
        <w:rPr>
          <w:sz w:val="20"/>
        </w:rPr>
        <w:t>talk</w:t>
      </w:r>
      <w:r>
        <w:rPr>
          <w:spacing w:val="-5"/>
          <w:sz w:val="20"/>
        </w:rPr>
        <w:t xml:space="preserve"> </w:t>
      </w:r>
      <w:r>
        <w:rPr>
          <w:sz w:val="20"/>
        </w:rPr>
        <w:t>about</w:t>
      </w:r>
      <w:r>
        <w:rPr>
          <w:spacing w:val="-7"/>
          <w:sz w:val="20"/>
        </w:rPr>
        <w:t xml:space="preserve"> </w:t>
      </w:r>
      <w:r>
        <w:rPr>
          <w:sz w:val="20"/>
        </w:rPr>
        <w:t>wanting</w:t>
      </w:r>
      <w:r>
        <w:rPr>
          <w:spacing w:val="-6"/>
          <w:sz w:val="20"/>
        </w:rPr>
        <w:t xml:space="preserve"> </w:t>
      </w:r>
      <w:r>
        <w:rPr>
          <w:sz w:val="20"/>
        </w:rPr>
        <w:t>to</w:t>
      </w:r>
      <w:r>
        <w:rPr>
          <w:spacing w:val="-5"/>
          <w:sz w:val="20"/>
        </w:rPr>
        <w:t xml:space="preserve"> </w:t>
      </w:r>
      <w:r>
        <w:rPr>
          <w:sz w:val="20"/>
        </w:rPr>
        <w:t>do</w:t>
      </w:r>
      <w:r>
        <w:rPr>
          <w:spacing w:val="-5"/>
          <w:sz w:val="20"/>
        </w:rPr>
        <w:t xml:space="preserve"> </w:t>
      </w:r>
      <w:r>
        <w:rPr>
          <w:sz w:val="20"/>
        </w:rPr>
        <w:t>something about their drinking, but I’m actually doing something about it.</w:t>
      </w:r>
    </w:p>
    <w:p w14:paraId="349A44AB" w14:textId="77777777" w:rsidR="00DB6E1F" w:rsidRDefault="00F666A6">
      <w:pPr>
        <w:tabs>
          <w:tab w:val="left" w:pos="1439"/>
          <w:tab w:val="left" w:pos="2879"/>
        </w:tabs>
        <w:spacing w:line="393" w:lineRule="exact"/>
        <w:ind w:right="2917"/>
        <w:jc w:val="right"/>
        <w:rPr>
          <w:rFonts w:ascii="Arial" w:hAnsi="Arial"/>
          <w:sz w:val="36"/>
        </w:rPr>
      </w:pPr>
      <w:r>
        <w:br w:type="column"/>
      </w:r>
      <w:r>
        <w:rPr>
          <w:rFonts w:ascii="Arial" w:hAnsi="Arial"/>
          <w:spacing w:val="-10"/>
          <w:w w:val="145"/>
          <w:sz w:val="36"/>
        </w:rPr>
        <w:t>□</w:t>
      </w:r>
      <w:r>
        <w:rPr>
          <w:rFonts w:ascii="Arial" w:hAnsi="Arial"/>
          <w:sz w:val="36"/>
        </w:rPr>
        <w:tab/>
      </w:r>
      <w:r>
        <w:rPr>
          <w:rFonts w:ascii="Arial" w:hAnsi="Arial"/>
          <w:spacing w:val="-10"/>
          <w:w w:val="145"/>
          <w:sz w:val="36"/>
        </w:rPr>
        <w:t>□</w:t>
      </w:r>
      <w:r>
        <w:rPr>
          <w:rFonts w:ascii="Arial" w:hAnsi="Arial"/>
          <w:sz w:val="36"/>
        </w:rPr>
        <w:tab/>
      </w:r>
      <w:r>
        <w:rPr>
          <w:rFonts w:ascii="Arial" w:hAnsi="Arial"/>
          <w:spacing w:val="-10"/>
          <w:w w:val="145"/>
          <w:sz w:val="36"/>
        </w:rPr>
        <w:t>□</w:t>
      </w:r>
    </w:p>
    <w:p w14:paraId="1D493083" w14:textId="77777777" w:rsidR="00DB6E1F" w:rsidRDefault="00F666A6">
      <w:pPr>
        <w:tabs>
          <w:tab w:val="left" w:pos="1439"/>
        </w:tabs>
        <w:spacing w:line="400" w:lineRule="exact"/>
        <w:ind w:right="2917"/>
        <w:jc w:val="right"/>
        <w:rPr>
          <w:rFonts w:ascii="Arial" w:hAnsi="Arial"/>
          <w:sz w:val="36"/>
        </w:rPr>
      </w:pPr>
      <w:r>
        <w:pict w14:anchorId="1CEAAE3D">
          <v:shape id="docshape217" o:spid="_x0000_s2079" style="position:absolute;left:0;text-align:left;margin-left:492.1pt;margin-top:-8.75pt;width:28.8pt;height:18.5pt;z-index:15744000;mso-position-horizontal-relative:page" coordorigin="9842,-175" coordsize="576,370" path="m10418,-175r-566,l9842,-175r,9l9842,185r,9l9852,194r566,l10418,185r-566,l9852,-166r566,l10418,-175xe" fillcolor="black" stroked="f">
            <v:path arrowok="t"/>
            <w10:wrap anchorx="page"/>
          </v:shape>
        </w:pict>
      </w:r>
      <w:r>
        <w:pict w14:anchorId="722B1BDF">
          <v:shape id="docshape218" o:spid="_x0000_s2078" type="#_x0000_t202" style="position:absolute;left:0;text-align:left;margin-left:521.15pt;margin-top:-8.55pt;width:28.8pt;height:18pt;z-index:15751680;mso-position-horizontal-relative:page" filled="f" strokeweight=".48pt">
            <v:textbox inset="0,0,0,0">
              <w:txbxContent>
                <w:p w14:paraId="24BB1DDD" w14:textId="77777777" w:rsidR="00DB6E1F" w:rsidRDefault="00F666A6">
                  <w:pPr>
                    <w:spacing w:line="243" w:lineRule="exact"/>
                    <w:rPr>
                      <w:sz w:val="20"/>
                    </w:rPr>
                  </w:pPr>
                  <w:r>
                    <w:rPr>
                      <w:w w:val="99"/>
                      <w:sz w:val="20"/>
                    </w:rPr>
                    <w:t>C</w:t>
                  </w:r>
                </w:p>
              </w:txbxContent>
            </v:textbox>
            <w10:wrap anchorx="page"/>
          </v:shape>
        </w:pict>
      </w:r>
      <w:r>
        <w:rPr>
          <w:rFonts w:ascii="Arial" w:hAnsi="Arial"/>
          <w:spacing w:val="-10"/>
          <w:w w:val="145"/>
          <w:sz w:val="36"/>
        </w:rPr>
        <w:t>□</w:t>
      </w:r>
      <w:r>
        <w:rPr>
          <w:rFonts w:ascii="Arial" w:hAnsi="Arial"/>
          <w:sz w:val="36"/>
        </w:rPr>
        <w:tab/>
      </w:r>
      <w:r>
        <w:rPr>
          <w:rFonts w:ascii="Arial" w:hAnsi="Arial"/>
          <w:spacing w:val="-10"/>
          <w:w w:val="145"/>
          <w:sz w:val="36"/>
        </w:rPr>
        <w:t>□</w:t>
      </w:r>
    </w:p>
    <w:p w14:paraId="1BD6C3A5" w14:textId="77777777" w:rsidR="00DB6E1F" w:rsidRDefault="00F666A6">
      <w:pPr>
        <w:tabs>
          <w:tab w:val="left" w:pos="1439"/>
          <w:tab w:val="left" w:pos="2879"/>
        </w:tabs>
        <w:spacing w:line="400" w:lineRule="exact"/>
        <w:ind w:right="2917"/>
        <w:jc w:val="right"/>
        <w:rPr>
          <w:rFonts w:ascii="Arial" w:hAnsi="Arial"/>
          <w:sz w:val="36"/>
        </w:rPr>
      </w:pPr>
      <w:r>
        <w:pict w14:anchorId="7AD91F50">
          <v:shape id="docshape219" o:spid="_x0000_s2077" style="position:absolute;left:0;text-align:left;margin-left:490.9pt;margin-top:11.2pt;width:28.8pt;height:18.5pt;z-index:15744512;mso-position-horizontal-relative:page" coordorigin="9818,224" coordsize="576,370" o:spt="100" adj="0,,0" path="m10394,584r-566,l9828,234r-10,l9818,584r,10l9828,594r566,l10394,584xm10394,224r-566,l9818,224r,10l9828,234r566,l10394,224xe" fillcolor="black" stroked="f">
            <v:stroke joinstyle="round"/>
            <v:formulas/>
            <v:path arrowok="t" o:connecttype="segments"/>
            <w10:wrap anchorx="page"/>
          </v:shape>
        </w:pict>
      </w:r>
      <w:r>
        <w:pict w14:anchorId="76933014">
          <v:shape id="docshape220" o:spid="_x0000_s2076" type="#_x0000_t202" style="position:absolute;left:0;text-align:left;margin-left:519.95pt;margin-top:11.45pt;width:28.8pt;height:18pt;z-index:15751168;mso-position-horizontal-relative:page" filled="f" strokeweight=".48pt">
            <v:textbox inset="0,0,0,0">
              <w:txbxContent>
                <w:p w14:paraId="66C8B544" w14:textId="77777777" w:rsidR="00DB6E1F" w:rsidRDefault="00F666A6">
                  <w:pPr>
                    <w:spacing w:line="243" w:lineRule="exact"/>
                    <w:ind w:left="2"/>
                    <w:rPr>
                      <w:sz w:val="20"/>
                    </w:rPr>
                  </w:pPr>
                  <w:r>
                    <w:rPr>
                      <w:w w:val="99"/>
                      <w:sz w:val="20"/>
                    </w:rPr>
                    <w:t>A</w:t>
                  </w:r>
                </w:p>
              </w:txbxContent>
            </v:textbox>
            <w10:wrap anchorx="page"/>
          </v:shape>
        </w:pict>
      </w:r>
      <w:r>
        <w:rPr>
          <w:rFonts w:ascii="Arial" w:hAnsi="Arial"/>
          <w:spacing w:val="-10"/>
          <w:w w:val="145"/>
          <w:sz w:val="36"/>
        </w:rPr>
        <w:t>□</w:t>
      </w:r>
      <w:r>
        <w:rPr>
          <w:rFonts w:ascii="Arial" w:hAnsi="Arial"/>
          <w:sz w:val="36"/>
        </w:rPr>
        <w:tab/>
      </w:r>
      <w:r>
        <w:rPr>
          <w:rFonts w:ascii="Arial" w:hAnsi="Arial"/>
          <w:spacing w:val="-10"/>
          <w:w w:val="145"/>
          <w:sz w:val="36"/>
        </w:rPr>
        <w:t>□</w:t>
      </w:r>
      <w:r>
        <w:rPr>
          <w:rFonts w:ascii="Arial" w:hAnsi="Arial"/>
          <w:sz w:val="36"/>
        </w:rPr>
        <w:tab/>
      </w:r>
      <w:r>
        <w:rPr>
          <w:rFonts w:ascii="Arial" w:hAnsi="Arial"/>
          <w:spacing w:val="-10"/>
          <w:w w:val="145"/>
          <w:sz w:val="36"/>
        </w:rPr>
        <w:t>□</w:t>
      </w:r>
    </w:p>
    <w:p w14:paraId="191C514F" w14:textId="77777777" w:rsidR="00DB6E1F" w:rsidRDefault="00F666A6">
      <w:pPr>
        <w:tabs>
          <w:tab w:val="left" w:pos="1439"/>
        </w:tabs>
        <w:spacing w:line="406" w:lineRule="exact"/>
        <w:ind w:right="2917"/>
        <w:jc w:val="right"/>
        <w:rPr>
          <w:rFonts w:ascii="Arial" w:hAnsi="Arial"/>
          <w:sz w:val="36"/>
        </w:rPr>
      </w:pPr>
      <w:r>
        <w:rPr>
          <w:rFonts w:ascii="Arial" w:hAnsi="Arial"/>
          <w:spacing w:val="-10"/>
          <w:w w:val="145"/>
          <w:sz w:val="36"/>
        </w:rPr>
        <w:t>□</w:t>
      </w:r>
      <w:r>
        <w:rPr>
          <w:rFonts w:ascii="Arial" w:hAnsi="Arial"/>
          <w:sz w:val="36"/>
        </w:rPr>
        <w:tab/>
      </w:r>
      <w:r>
        <w:rPr>
          <w:rFonts w:ascii="Arial" w:hAnsi="Arial"/>
          <w:spacing w:val="-10"/>
          <w:w w:val="145"/>
          <w:sz w:val="36"/>
        </w:rPr>
        <w:t>□</w:t>
      </w:r>
    </w:p>
    <w:p w14:paraId="6E67F84C" w14:textId="77777777" w:rsidR="00DB6E1F" w:rsidRDefault="00DB6E1F">
      <w:pPr>
        <w:spacing w:line="406" w:lineRule="exact"/>
        <w:jc w:val="right"/>
        <w:rPr>
          <w:rFonts w:ascii="Arial" w:hAnsi="Arial"/>
          <w:sz w:val="36"/>
        </w:rPr>
        <w:sectPr w:rsidR="00DB6E1F">
          <w:type w:val="continuous"/>
          <w:pgSz w:w="12240" w:h="15840"/>
          <w:pgMar w:top="0" w:right="0" w:bottom="0" w:left="0" w:header="763" w:footer="585" w:gutter="0"/>
          <w:cols w:num="2" w:space="720" w:equalWidth="0">
            <w:col w:w="5984" w:space="40"/>
            <w:col w:w="6216"/>
          </w:cols>
        </w:sectPr>
      </w:pPr>
    </w:p>
    <w:p w14:paraId="25AD6915" w14:textId="77777777" w:rsidR="00DB6E1F" w:rsidRDefault="00F666A6">
      <w:pPr>
        <w:pStyle w:val="ListParagraph"/>
        <w:numPr>
          <w:ilvl w:val="1"/>
          <w:numId w:val="37"/>
        </w:numPr>
        <w:tabs>
          <w:tab w:val="left" w:pos="1892"/>
          <w:tab w:val="left" w:pos="6119"/>
          <w:tab w:val="left" w:pos="7559"/>
          <w:tab w:val="left" w:pos="8999"/>
        </w:tabs>
        <w:spacing w:before="0" w:line="394" w:lineRule="exact"/>
        <w:ind w:hanging="361"/>
        <w:rPr>
          <w:rFonts w:ascii="Arial" w:hAnsi="Arial"/>
          <w:sz w:val="36"/>
        </w:rPr>
      </w:pPr>
      <w:r>
        <w:pict w14:anchorId="07A85E63">
          <v:shape id="docshape221" o:spid="_x0000_s2075" style="position:absolute;left:0;text-align:left;margin-left:490.9pt;margin-top:10.8pt;width:28.8pt;height:18.65pt;z-index:15745024;mso-position-horizontal-relative:page" coordorigin="9818,216" coordsize="576,373" path="m10394,216r-566,l9818,216r,9l9818,578r,10l9828,588r566,l10394,578r-566,l9828,225r566,l10394,216xe" fillcolor="black" stroked="f">
            <v:path arrowok="t"/>
            <w10:wrap anchorx="page"/>
          </v:shape>
        </w:pict>
      </w:r>
      <w:r>
        <w:pict w14:anchorId="6139BDD3">
          <v:shape id="docshape222" o:spid="_x0000_s2074" type="#_x0000_t202" style="position:absolute;left:0;text-align:left;margin-left:519.95pt;margin-top:11pt;width:28.8pt;height:18.15pt;z-index:15750656;mso-position-horizontal-relative:page" filled="f" strokeweight=".48pt">
            <v:textbox inset="0,0,0,0">
              <w:txbxContent>
                <w:p w14:paraId="4FCAE4C3" w14:textId="77777777" w:rsidR="00DB6E1F" w:rsidRDefault="00F666A6">
                  <w:pPr>
                    <w:spacing w:before="1"/>
                    <w:ind w:left="2"/>
                    <w:rPr>
                      <w:sz w:val="20"/>
                    </w:rPr>
                  </w:pPr>
                  <w:r>
                    <w:rPr>
                      <w:spacing w:val="-5"/>
                      <w:sz w:val="20"/>
                    </w:rPr>
                    <w:t>PC</w:t>
                  </w:r>
                </w:p>
              </w:txbxContent>
            </v:textbox>
            <w10:wrap anchorx="page"/>
          </v:shape>
        </w:pict>
      </w:r>
      <w:r>
        <w:rPr>
          <w:sz w:val="20"/>
        </w:rPr>
        <w:t>I</w:t>
      </w:r>
      <w:r>
        <w:rPr>
          <w:spacing w:val="-4"/>
          <w:sz w:val="20"/>
        </w:rPr>
        <w:t xml:space="preserve"> </w:t>
      </w:r>
      <w:r>
        <w:rPr>
          <w:sz w:val="20"/>
        </w:rPr>
        <w:t>am</w:t>
      </w:r>
      <w:r>
        <w:rPr>
          <w:spacing w:val="-5"/>
          <w:sz w:val="20"/>
        </w:rPr>
        <w:t xml:space="preserve"> </w:t>
      </w:r>
      <w:r>
        <w:rPr>
          <w:sz w:val="20"/>
        </w:rPr>
        <w:t>a</w:t>
      </w:r>
      <w:r>
        <w:rPr>
          <w:spacing w:val="-2"/>
          <w:sz w:val="20"/>
        </w:rPr>
        <w:t xml:space="preserve"> </w:t>
      </w:r>
      <w:r>
        <w:rPr>
          <w:sz w:val="20"/>
        </w:rPr>
        <w:t>fairly</w:t>
      </w:r>
      <w:r>
        <w:rPr>
          <w:spacing w:val="-3"/>
          <w:sz w:val="20"/>
        </w:rPr>
        <w:t xml:space="preserve"> </w:t>
      </w:r>
      <w:r>
        <w:rPr>
          <w:sz w:val="20"/>
        </w:rPr>
        <w:t>normal</w:t>
      </w:r>
      <w:r>
        <w:rPr>
          <w:spacing w:val="-3"/>
          <w:sz w:val="20"/>
        </w:rPr>
        <w:t xml:space="preserve"> </w:t>
      </w:r>
      <w:r>
        <w:rPr>
          <w:spacing w:val="-2"/>
          <w:sz w:val="20"/>
        </w:rPr>
        <w:t>drinker.</w:t>
      </w:r>
      <w:r>
        <w:rPr>
          <w:sz w:val="20"/>
        </w:rPr>
        <w:tab/>
      </w:r>
      <w:r>
        <w:rPr>
          <w:rFonts w:ascii="Arial" w:hAnsi="Arial"/>
          <w:spacing w:val="-10"/>
          <w:w w:val="115"/>
          <w:position w:val="-12"/>
          <w:sz w:val="36"/>
        </w:rPr>
        <w:t>□</w:t>
      </w:r>
      <w:r>
        <w:rPr>
          <w:rFonts w:ascii="Arial" w:hAnsi="Arial"/>
          <w:position w:val="-12"/>
          <w:sz w:val="36"/>
        </w:rPr>
        <w:tab/>
      </w:r>
      <w:r>
        <w:rPr>
          <w:rFonts w:ascii="Arial" w:hAnsi="Arial"/>
          <w:spacing w:val="-10"/>
          <w:w w:val="120"/>
          <w:position w:val="-12"/>
          <w:sz w:val="36"/>
        </w:rPr>
        <w:t>□</w:t>
      </w:r>
      <w:r>
        <w:rPr>
          <w:rFonts w:ascii="Arial" w:hAnsi="Arial"/>
          <w:position w:val="-12"/>
          <w:sz w:val="36"/>
        </w:rPr>
        <w:tab/>
      </w:r>
      <w:r>
        <w:rPr>
          <w:rFonts w:ascii="Arial" w:hAnsi="Arial"/>
          <w:spacing w:val="-10"/>
          <w:w w:val="120"/>
          <w:position w:val="-12"/>
          <w:sz w:val="36"/>
        </w:rPr>
        <w:t>□</w:t>
      </w:r>
    </w:p>
    <w:p w14:paraId="08A50CA5" w14:textId="77777777" w:rsidR="00DB6E1F" w:rsidRDefault="00F666A6">
      <w:pPr>
        <w:tabs>
          <w:tab w:val="left" w:pos="8999"/>
        </w:tabs>
        <w:spacing w:line="400" w:lineRule="exact"/>
        <w:ind w:left="7560"/>
        <w:rPr>
          <w:rFonts w:ascii="Arial" w:hAnsi="Arial"/>
          <w:sz w:val="36"/>
        </w:rPr>
      </w:pPr>
      <w:r>
        <w:rPr>
          <w:rFonts w:ascii="Arial" w:hAnsi="Arial"/>
          <w:spacing w:val="-10"/>
          <w:w w:val="145"/>
          <w:sz w:val="36"/>
        </w:rPr>
        <w:t>□</w:t>
      </w:r>
      <w:r>
        <w:rPr>
          <w:rFonts w:ascii="Arial" w:hAnsi="Arial"/>
          <w:sz w:val="36"/>
        </w:rPr>
        <w:tab/>
      </w:r>
      <w:r>
        <w:rPr>
          <w:rFonts w:ascii="Arial" w:hAnsi="Arial"/>
          <w:spacing w:val="-10"/>
          <w:w w:val="145"/>
          <w:sz w:val="36"/>
        </w:rPr>
        <w:t>□</w:t>
      </w:r>
    </w:p>
    <w:p w14:paraId="3EE2CA64" w14:textId="77777777" w:rsidR="00DB6E1F" w:rsidRDefault="00F666A6">
      <w:pPr>
        <w:pStyle w:val="ListParagraph"/>
        <w:numPr>
          <w:ilvl w:val="1"/>
          <w:numId w:val="37"/>
        </w:numPr>
        <w:tabs>
          <w:tab w:val="left" w:pos="1892"/>
          <w:tab w:val="left" w:pos="6119"/>
          <w:tab w:val="left" w:pos="7559"/>
          <w:tab w:val="left" w:pos="8999"/>
        </w:tabs>
        <w:spacing w:before="0" w:line="400" w:lineRule="exact"/>
        <w:ind w:hanging="361"/>
        <w:rPr>
          <w:rFonts w:ascii="Arial" w:hAnsi="Arial"/>
          <w:sz w:val="36"/>
        </w:rPr>
      </w:pPr>
      <w:r>
        <w:pict w14:anchorId="7F343AE3">
          <v:shape id="docshape223" o:spid="_x0000_s2073" style="position:absolute;left:0;text-align:left;margin-left:490.9pt;margin-top:11.1pt;width:28.8pt;height:18.65pt;z-index:15745536;mso-position-horizontal-relative:page" coordorigin="9818,222" coordsize="576,373" path="m10394,222r-566,l9818,222r,9l9818,584r,10l9828,594r566,l10394,584r-566,l9828,231r566,l10394,222xe" fillcolor="black" stroked="f">
            <v:path arrowok="t"/>
            <w10:wrap anchorx="page"/>
          </v:shape>
        </w:pict>
      </w:r>
      <w:r>
        <w:pict w14:anchorId="11C4249B">
          <v:shape id="docshape224" o:spid="_x0000_s2072" type="#_x0000_t202" style="position:absolute;left:0;text-align:left;margin-left:519.95pt;margin-top:11.3pt;width:28.8pt;height:18.15pt;z-index:15750144;mso-position-horizontal-relative:page" filled="f" strokeweight=".48pt">
            <v:textbox inset="0,0,0,0">
              <w:txbxContent>
                <w:p w14:paraId="4790D24B" w14:textId="77777777" w:rsidR="00DB6E1F" w:rsidRDefault="00F666A6">
                  <w:pPr>
                    <w:spacing w:before="1"/>
                    <w:ind w:left="2"/>
                    <w:rPr>
                      <w:sz w:val="20"/>
                    </w:rPr>
                  </w:pPr>
                  <w:r>
                    <w:rPr>
                      <w:w w:val="99"/>
                      <w:sz w:val="20"/>
                    </w:rPr>
                    <w:t>C</w:t>
                  </w:r>
                </w:p>
              </w:txbxContent>
            </v:textbox>
            <w10:wrap anchorx="page"/>
          </v:shape>
        </w:pict>
      </w:r>
      <w:r>
        <w:rPr>
          <w:sz w:val="20"/>
        </w:rPr>
        <w:t>My</w:t>
      </w:r>
      <w:r>
        <w:rPr>
          <w:spacing w:val="-3"/>
          <w:sz w:val="20"/>
        </w:rPr>
        <w:t xml:space="preserve"> </w:t>
      </w:r>
      <w:r>
        <w:rPr>
          <w:sz w:val="20"/>
        </w:rPr>
        <w:t>drinking</w:t>
      </w:r>
      <w:r>
        <w:rPr>
          <w:spacing w:val="-4"/>
          <w:sz w:val="20"/>
        </w:rPr>
        <w:t xml:space="preserve"> </w:t>
      </w:r>
      <w:r>
        <w:rPr>
          <w:sz w:val="20"/>
        </w:rPr>
        <w:t>is</w:t>
      </w:r>
      <w:r>
        <w:rPr>
          <w:spacing w:val="-4"/>
          <w:sz w:val="20"/>
        </w:rPr>
        <w:t xml:space="preserve"> </w:t>
      </w:r>
      <w:r>
        <w:rPr>
          <w:sz w:val="20"/>
        </w:rPr>
        <w:t>a</w:t>
      </w:r>
      <w:r>
        <w:rPr>
          <w:spacing w:val="-3"/>
          <w:sz w:val="20"/>
        </w:rPr>
        <w:t xml:space="preserve"> </w:t>
      </w:r>
      <w:r>
        <w:rPr>
          <w:sz w:val="20"/>
        </w:rPr>
        <w:t>problem</w:t>
      </w:r>
      <w:r>
        <w:rPr>
          <w:spacing w:val="-5"/>
          <w:sz w:val="20"/>
        </w:rPr>
        <w:t xml:space="preserve"> </w:t>
      </w:r>
      <w:r>
        <w:rPr>
          <w:spacing w:val="-2"/>
          <w:sz w:val="20"/>
        </w:rPr>
        <w:t>sometimes.</w:t>
      </w:r>
      <w:r>
        <w:rPr>
          <w:sz w:val="20"/>
        </w:rPr>
        <w:tab/>
      </w:r>
      <w:r>
        <w:rPr>
          <w:rFonts w:ascii="Arial" w:hAnsi="Arial"/>
          <w:spacing w:val="-10"/>
          <w:w w:val="120"/>
          <w:position w:val="-12"/>
          <w:sz w:val="36"/>
        </w:rPr>
        <w:t>□</w:t>
      </w:r>
      <w:r>
        <w:rPr>
          <w:rFonts w:ascii="Arial" w:hAnsi="Arial"/>
          <w:position w:val="-12"/>
          <w:sz w:val="36"/>
        </w:rPr>
        <w:tab/>
      </w:r>
      <w:r>
        <w:rPr>
          <w:rFonts w:ascii="Arial" w:hAnsi="Arial"/>
          <w:spacing w:val="-10"/>
          <w:w w:val="120"/>
          <w:position w:val="-12"/>
          <w:sz w:val="36"/>
        </w:rPr>
        <w:t>□</w:t>
      </w:r>
      <w:r>
        <w:rPr>
          <w:rFonts w:ascii="Arial" w:hAnsi="Arial"/>
          <w:position w:val="-12"/>
          <w:sz w:val="36"/>
        </w:rPr>
        <w:tab/>
      </w:r>
      <w:r>
        <w:rPr>
          <w:rFonts w:ascii="Arial" w:hAnsi="Arial"/>
          <w:spacing w:val="-10"/>
          <w:w w:val="120"/>
          <w:position w:val="-12"/>
          <w:sz w:val="36"/>
        </w:rPr>
        <w:t>□</w:t>
      </w:r>
    </w:p>
    <w:p w14:paraId="1D7B3DDD" w14:textId="77777777" w:rsidR="00DB6E1F" w:rsidRDefault="00F666A6">
      <w:pPr>
        <w:tabs>
          <w:tab w:val="left" w:pos="8999"/>
        </w:tabs>
        <w:spacing w:line="400" w:lineRule="exact"/>
        <w:ind w:left="7560"/>
        <w:rPr>
          <w:rFonts w:ascii="Arial" w:hAnsi="Arial"/>
          <w:sz w:val="36"/>
        </w:rPr>
      </w:pPr>
      <w:r>
        <w:rPr>
          <w:rFonts w:ascii="Arial" w:hAnsi="Arial"/>
          <w:spacing w:val="-10"/>
          <w:w w:val="145"/>
          <w:sz w:val="36"/>
        </w:rPr>
        <w:t>□</w:t>
      </w:r>
      <w:r>
        <w:rPr>
          <w:rFonts w:ascii="Arial" w:hAnsi="Arial"/>
          <w:sz w:val="36"/>
        </w:rPr>
        <w:tab/>
      </w:r>
      <w:r>
        <w:rPr>
          <w:rFonts w:ascii="Arial" w:hAnsi="Arial"/>
          <w:spacing w:val="-10"/>
          <w:w w:val="145"/>
          <w:sz w:val="36"/>
        </w:rPr>
        <w:t>□</w:t>
      </w:r>
    </w:p>
    <w:p w14:paraId="1C011177" w14:textId="77777777" w:rsidR="00DB6E1F" w:rsidRDefault="00F666A6">
      <w:pPr>
        <w:pStyle w:val="ListParagraph"/>
        <w:numPr>
          <w:ilvl w:val="1"/>
          <w:numId w:val="37"/>
        </w:numPr>
        <w:tabs>
          <w:tab w:val="left" w:pos="1892"/>
          <w:tab w:val="left" w:pos="7559"/>
          <w:tab w:val="left" w:pos="8999"/>
        </w:tabs>
        <w:spacing w:before="0" w:line="340" w:lineRule="exact"/>
        <w:ind w:hanging="361"/>
        <w:rPr>
          <w:rFonts w:ascii="Arial" w:hAnsi="Arial"/>
          <w:sz w:val="36"/>
        </w:rPr>
      </w:pPr>
      <w:r>
        <w:pict w14:anchorId="2CBD17D1">
          <v:shape id="docshape225" o:spid="_x0000_s2071" style="position:absolute;left:0;text-align:left;margin-left:490.9pt;margin-top:11.1pt;width:28.8pt;height:18.65pt;z-index:15746048;mso-position-horizontal-relative:page" coordorigin="9818,222" coordsize="576,373" o:spt="100" adj="0,,0" path="m10394,584r-566,l9828,231r-10,l9818,584r,10l9828,594r566,l10394,584xm10394,222r-566,l9818,222r,9l9828,231r566,l10394,222xe" fillcolor="black" stroked="f">
            <v:stroke joinstyle="round"/>
            <v:formulas/>
            <v:path arrowok="t" o:connecttype="segments"/>
            <w10:wrap anchorx="page"/>
          </v:shape>
        </w:pict>
      </w:r>
      <w:r>
        <w:pict w14:anchorId="6D4767AB">
          <v:shape id="docshape226" o:spid="_x0000_s2070" type="#_x0000_t202" style="position:absolute;left:0;text-align:left;margin-left:519.95pt;margin-top:11.3pt;width:28.8pt;height:18.15pt;z-index:15749632;mso-position-horizontal-relative:page" filled="f" strokeweight=".48pt">
            <v:textbox inset="0,0,0,0">
              <w:txbxContent>
                <w:p w14:paraId="4F80A018" w14:textId="77777777" w:rsidR="00DB6E1F" w:rsidRDefault="00F666A6">
                  <w:pPr>
                    <w:spacing w:before="1"/>
                    <w:ind w:left="2"/>
                    <w:rPr>
                      <w:sz w:val="20"/>
                    </w:rPr>
                  </w:pPr>
                  <w:r>
                    <w:rPr>
                      <w:w w:val="99"/>
                      <w:sz w:val="20"/>
                    </w:rPr>
                    <w:t>A</w:t>
                  </w:r>
                </w:p>
              </w:txbxContent>
            </v:textbox>
            <w10:wrap anchorx="page"/>
          </v:shape>
        </w:pict>
      </w:r>
      <w:r>
        <w:rPr>
          <w:sz w:val="20"/>
        </w:rPr>
        <w:t>I</w:t>
      </w:r>
      <w:r>
        <w:rPr>
          <w:spacing w:val="-6"/>
          <w:sz w:val="20"/>
        </w:rPr>
        <w:t xml:space="preserve"> </w:t>
      </w:r>
      <w:r>
        <w:rPr>
          <w:sz w:val="20"/>
        </w:rPr>
        <w:t>am</w:t>
      </w:r>
      <w:r>
        <w:rPr>
          <w:spacing w:val="-6"/>
          <w:sz w:val="20"/>
        </w:rPr>
        <w:t xml:space="preserve"> </w:t>
      </w:r>
      <w:r>
        <w:rPr>
          <w:sz w:val="20"/>
        </w:rPr>
        <w:t>actually</w:t>
      </w:r>
      <w:r>
        <w:rPr>
          <w:spacing w:val="-5"/>
          <w:sz w:val="20"/>
        </w:rPr>
        <w:t xml:space="preserve"> </w:t>
      </w:r>
      <w:r>
        <w:rPr>
          <w:sz w:val="20"/>
        </w:rPr>
        <w:t>changing</w:t>
      </w:r>
      <w:r>
        <w:rPr>
          <w:spacing w:val="-5"/>
          <w:sz w:val="20"/>
        </w:rPr>
        <w:t xml:space="preserve"> </w:t>
      </w:r>
      <w:r>
        <w:rPr>
          <w:sz w:val="20"/>
        </w:rPr>
        <w:t>my</w:t>
      </w:r>
      <w:r>
        <w:rPr>
          <w:spacing w:val="-5"/>
          <w:sz w:val="20"/>
        </w:rPr>
        <w:t xml:space="preserve"> </w:t>
      </w:r>
      <w:r>
        <w:rPr>
          <w:sz w:val="20"/>
        </w:rPr>
        <w:t>drinking</w:t>
      </w:r>
      <w:r>
        <w:rPr>
          <w:spacing w:val="-5"/>
          <w:sz w:val="20"/>
        </w:rPr>
        <w:t xml:space="preserve"> </w:t>
      </w:r>
      <w:r>
        <w:rPr>
          <w:sz w:val="20"/>
        </w:rPr>
        <w:t>habits</w:t>
      </w:r>
      <w:r>
        <w:rPr>
          <w:spacing w:val="-7"/>
          <w:sz w:val="20"/>
        </w:rPr>
        <w:t xml:space="preserve"> </w:t>
      </w:r>
      <w:r>
        <w:rPr>
          <w:sz w:val="20"/>
        </w:rPr>
        <w:t>right</w:t>
      </w:r>
      <w:r>
        <w:rPr>
          <w:spacing w:val="-5"/>
          <w:sz w:val="20"/>
        </w:rPr>
        <w:t xml:space="preserve"> </w:t>
      </w:r>
      <w:r>
        <w:rPr>
          <w:sz w:val="20"/>
        </w:rPr>
        <w:t>now</w:t>
      </w:r>
      <w:r>
        <w:rPr>
          <w:spacing w:val="1"/>
          <w:sz w:val="20"/>
        </w:rPr>
        <w:t xml:space="preserve"> </w:t>
      </w:r>
      <w:r>
        <w:rPr>
          <w:rFonts w:ascii="Arial" w:hAnsi="Arial"/>
          <w:spacing w:val="-10"/>
          <w:position w:val="-12"/>
          <w:sz w:val="36"/>
        </w:rPr>
        <w:t>□</w:t>
      </w:r>
      <w:r>
        <w:rPr>
          <w:rFonts w:ascii="Arial" w:hAnsi="Arial"/>
          <w:position w:val="-12"/>
          <w:sz w:val="36"/>
        </w:rPr>
        <w:tab/>
      </w:r>
      <w:r>
        <w:rPr>
          <w:rFonts w:ascii="Arial" w:hAnsi="Arial"/>
          <w:spacing w:val="-10"/>
          <w:w w:val="120"/>
          <w:position w:val="-12"/>
          <w:sz w:val="36"/>
        </w:rPr>
        <w:t>□</w:t>
      </w:r>
      <w:r>
        <w:rPr>
          <w:rFonts w:ascii="Arial" w:hAnsi="Arial"/>
          <w:position w:val="-12"/>
          <w:sz w:val="36"/>
        </w:rPr>
        <w:tab/>
      </w:r>
      <w:r>
        <w:rPr>
          <w:rFonts w:ascii="Arial" w:hAnsi="Arial"/>
          <w:spacing w:val="-10"/>
          <w:w w:val="120"/>
          <w:position w:val="-12"/>
          <w:sz w:val="36"/>
        </w:rPr>
        <w:t>□</w:t>
      </w:r>
    </w:p>
    <w:p w14:paraId="7007D553" w14:textId="77777777" w:rsidR="00DB6E1F" w:rsidRDefault="00F666A6">
      <w:pPr>
        <w:spacing w:line="64" w:lineRule="exact"/>
        <w:ind w:left="1891"/>
        <w:rPr>
          <w:sz w:val="20"/>
        </w:rPr>
      </w:pPr>
      <w:r>
        <w:rPr>
          <w:sz w:val="20"/>
        </w:rPr>
        <w:t>(either</w:t>
      </w:r>
      <w:r>
        <w:rPr>
          <w:spacing w:val="-7"/>
          <w:sz w:val="20"/>
        </w:rPr>
        <w:t xml:space="preserve"> </w:t>
      </w:r>
      <w:r>
        <w:rPr>
          <w:sz w:val="20"/>
        </w:rPr>
        <w:t>cutting</w:t>
      </w:r>
      <w:r>
        <w:rPr>
          <w:spacing w:val="-6"/>
          <w:sz w:val="20"/>
        </w:rPr>
        <w:t xml:space="preserve"> </w:t>
      </w:r>
      <w:r>
        <w:rPr>
          <w:sz w:val="20"/>
        </w:rPr>
        <w:t>down</w:t>
      </w:r>
      <w:r>
        <w:rPr>
          <w:spacing w:val="-5"/>
          <w:sz w:val="20"/>
        </w:rPr>
        <w:t xml:space="preserve"> </w:t>
      </w:r>
      <w:r>
        <w:rPr>
          <w:sz w:val="20"/>
        </w:rPr>
        <w:t>or</w:t>
      </w:r>
      <w:r>
        <w:rPr>
          <w:spacing w:val="-6"/>
          <w:sz w:val="20"/>
        </w:rPr>
        <w:t xml:space="preserve"> </w:t>
      </w:r>
      <w:r>
        <w:rPr>
          <w:spacing w:val="-2"/>
          <w:sz w:val="20"/>
        </w:rPr>
        <w:t>quitting).</w:t>
      </w:r>
    </w:p>
    <w:p w14:paraId="778FBBD9" w14:textId="77777777" w:rsidR="00DB6E1F" w:rsidRDefault="00DB6E1F">
      <w:pPr>
        <w:spacing w:line="64" w:lineRule="exact"/>
        <w:rPr>
          <w:sz w:val="20"/>
        </w:rPr>
        <w:sectPr w:rsidR="00DB6E1F">
          <w:type w:val="continuous"/>
          <w:pgSz w:w="12240" w:h="15840"/>
          <w:pgMar w:top="0" w:right="0" w:bottom="0" w:left="0" w:header="763" w:footer="585" w:gutter="0"/>
          <w:cols w:space="720"/>
        </w:sectPr>
      </w:pPr>
    </w:p>
    <w:p w14:paraId="602666D8" w14:textId="77777777" w:rsidR="00DB6E1F" w:rsidRDefault="00DB6E1F">
      <w:pPr>
        <w:pStyle w:val="BodyText"/>
        <w:rPr>
          <w:sz w:val="20"/>
        </w:rPr>
      </w:pPr>
    </w:p>
    <w:p w14:paraId="3C4465C7" w14:textId="77777777" w:rsidR="00DB6E1F" w:rsidRDefault="00F666A6">
      <w:pPr>
        <w:pStyle w:val="ListParagraph"/>
        <w:numPr>
          <w:ilvl w:val="1"/>
          <w:numId w:val="37"/>
        </w:numPr>
        <w:tabs>
          <w:tab w:val="left" w:pos="1892"/>
        </w:tabs>
        <w:spacing w:before="160" w:line="259" w:lineRule="auto"/>
        <w:ind w:right="126"/>
        <w:rPr>
          <w:sz w:val="20"/>
        </w:rPr>
      </w:pPr>
      <w:r>
        <w:rPr>
          <w:sz w:val="20"/>
        </w:rPr>
        <w:t>I</w:t>
      </w:r>
      <w:r>
        <w:rPr>
          <w:spacing w:val="-4"/>
          <w:sz w:val="20"/>
        </w:rPr>
        <w:t xml:space="preserve"> </w:t>
      </w:r>
      <w:r>
        <w:rPr>
          <w:sz w:val="20"/>
        </w:rPr>
        <w:t>have</w:t>
      </w:r>
      <w:r>
        <w:rPr>
          <w:spacing w:val="-5"/>
          <w:sz w:val="20"/>
        </w:rPr>
        <w:t xml:space="preserve"> </w:t>
      </w:r>
      <w:r>
        <w:rPr>
          <w:sz w:val="20"/>
        </w:rPr>
        <w:t>started</w:t>
      </w:r>
      <w:r>
        <w:rPr>
          <w:spacing w:val="-3"/>
          <w:sz w:val="20"/>
        </w:rPr>
        <w:t xml:space="preserve"> </w:t>
      </w:r>
      <w:r>
        <w:rPr>
          <w:sz w:val="20"/>
        </w:rPr>
        <w:t>to</w:t>
      </w:r>
      <w:r>
        <w:rPr>
          <w:spacing w:val="-4"/>
          <w:sz w:val="20"/>
        </w:rPr>
        <w:t xml:space="preserve"> </w:t>
      </w:r>
      <w:r>
        <w:rPr>
          <w:sz w:val="20"/>
        </w:rPr>
        <w:t>carry</w:t>
      </w:r>
      <w:r>
        <w:rPr>
          <w:spacing w:val="-3"/>
          <w:sz w:val="20"/>
        </w:rPr>
        <w:t xml:space="preserve"> </w:t>
      </w:r>
      <w:r>
        <w:rPr>
          <w:sz w:val="20"/>
        </w:rPr>
        <w:t>out</w:t>
      </w:r>
      <w:r>
        <w:rPr>
          <w:spacing w:val="-4"/>
          <w:sz w:val="20"/>
        </w:rPr>
        <w:t xml:space="preserve"> </w:t>
      </w:r>
      <w:r>
        <w:rPr>
          <w:sz w:val="20"/>
        </w:rPr>
        <w:t>a</w:t>
      </w:r>
      <w:r>
        <w:rPr>
          <w:spacing w:val="-3"/>
          <w:sz w:val="20"/>
        </w:rPr>
        <w:t xml:space="preserve"> </w:t>
      </w:r>
      <w:r>
        <w:rPr>
          <w:sz w:val="20"/>
        </w:rPr>
        <w:t>plan</w:t>
      </w:r>
      <w:r>
        <w:rPr>
          <w:spacing w:val="-3"/>
          <w:sz w:val="20"/>
        </w:rPr>
        <w:t xml:space="preserve"> </w:t>
      </w:r>
      <w:r>
        <w:rPr>
          <w:sz w:val="20"/>
        </w:rPr>
        <w:t>to</w:t>
      </w:r>
      <w:r>
        <w:rPr>
          <w:spacing w:val="-4"/>
          <w:sz w:val="20"/>
        </w:rPr>
        <w:t xml:space="preserve"> </w:t>
      </w:r>
      <w:r>
        <w:rPr>
          <w:sz w:val="20"/>
        </w:rPr>
        <w:t>cut</w:t>
      </w:r>
      <w:r>
        <w:rPr>
          <w:spacing w:val="-4"/>
          <w:sz w:val="20"/>
        </w:rPr>
        <w:t xml:space="preserve"> </w:t>
      </w:r>
      <w:r>
        <w:rPr>
          <w:sz w:val="20"/>
        </w:rPr>
        <w:t>down</w:t>
      </w:r>
      <w:r>
        <w:rPr>
          <w:spacing w:val="-3"/>
          <w:sz w:val="20"/>
        </w:rPr>
        <w:t xml:space="preserve"> </w:t>
      </w:r>
      <w:r>
        <w:rPr>
          <w:sz w:val="20"/>
        </w:rPr>
        <w:t>or quit drinking.</w:t>
      </w:r>
    </w:p>
    <w:p w14:paraId="2701600E" w14:textId="77777777" w:rsidR="00DB6E1F" w:rsidRDefault="00DB6E1F">
      <w:pPr>
        <w:pStyle w:val="BodyText"/>
        <w:spacing w:before="3"/>
      </w:pPr>
    </w:p>
    <w:p w14:paraId="7ACECDFA" w14:textId="77777777" w:rsidR="00DB6E1F" w:rsidRDefault="00F666A6">
      <w:pPr>
        <w:pStyle w:val="ListParagraph"/>
        <w:numPr>
          <w:ilvl w:val="1"/>
          <w:numId w:val="37"/>
        </w:numPr>
        <w:tabs>
          <w:tab w:val="left" w:pos="1892"/>
        </w:tabs>
        <w:spacing w:before="0" w:line="259" w:lineRule="auto"/>
        <w:rPr>
          <w:sz w:val="20"/>
        </w:rPr>
      </w:pPr>
      <w:r>
        <w:rPr>
          <w:sz w:val="20"/>
        </w:rPr>
        <w:t>There</w:t>
      </w:r>
      <w:r>
        <w:rPr>
          <w:spacing w:val="-6"/>
          <w:sz w:val="20"/>
        </w:rPr>
        <w:t xml:space="preserve"> </w:t>
      </w:r>
      <w:r>
        <w:rPr>
          <w:sz w:val="20"/>
        </w:rPr>
        <w:t>is</w:t>
      </w:r>
      <w:r>
        <w:rPr>
          <w:spacing w:val="-6"/>
          <w:sz w:val="20"/>
        </w:rPr>
        <w:t xml:space="preserve"> </w:t>
      </w:r>
      <w:r>
        <w:rPr>
          <w:sz w:val="20"/>
        </w:rPr>
        <w:t>nothing</w:t>
      </w:r>
      <w:r>
        <w:rPr>
          <w:spacing w:val="-5"/>
          <w:sz w:val="20"/>
        </w:rPr>
        <w:t xml:space="preserve"> </w:t>
      </w:r>
      <w:r>
        <w:rPr>
          <w:sz w:val="20"/>
        </w:rPr>
        <w:t>I</w:t>
      </w:r>
      <w:r>
        <w:rPr>
          <w:spacing w:val="-5"/>
          <w:sz w:val="20"/>
        </w:rPr>
        <w:t xml:space="preserve"> </w:t>
      </w:r>
      <w:r>
        <w:rPr>
          <w:sz w:val="20"/>
        </w:rPr>
        <w:t>really</w:t>
      </w:r>
      <w:r>
        <w:rPr>
          <w:spacing w:val="-4"/>
          <w:sz w:val="20"/>
        </w:rPr>
        <w:t xml:space="preserve"> </w:t>
      </w:r>
      <w:r>
        <w:rPr>
          <w:sz w:val="20"/>
        </w:rPr>
        <w:t>need</w:t>
      </w:r>
      <w:r>
        <w:rPr>
          <w:spacing w:val="-2"/>
          <w:sz w:val="20"/>
        </w:rPr>
        <w:t xml:space="preserve"> </w:t>
      </w:r>
      <w:r>
        <w:rPr>
          <w:sz w:val="20"/>
        </w:rPr>
        <w:t>to</w:t>
      </w:r>
      <w:r>
        <w:rPr>
          <w:spacing w:val="-5"/>
          <w:sz w:val="20"/>
        </w:rPr>
        <w:t xml:space="preserve"> </w:t>
      </w:r>
      <w:r>
        <w:rPr>
          <w:sz w:val="20"/>
        </w:rPr>
        <w:t>change</w:t>
      </w:r>
      <w:r>
        <w:rPr>
          <w:spacing w:val="-6"/>
          <w:sz w:val="20"/>
        </w:rPr>
        <w:t xml:space="preserve"> </w:t>
      </w:r>
      <w:r>
        <w:rPr>
          <w:sz w:val="20"/>
        </w:rPr>
        <w:t>about</w:t>
      </w:r>
      <w:r>
        <w:rPr>
          <w:spacing w:val="-5"/>
          <w:sz w:val="20"/>
        </w:rPr>
        <w:t xml:space="preserve"> </w:t>
      </w:r>
      <w:r>
        <w:rPr>
          <w:sz w:val="20"/>
        </w:rPr>
        <w:t xml:space="preserve">my </w:t>
      </w:r>
      <w:r>
        <w:rPr>
          <w:spacing w:val="-2"/>
          <w:sz w:val="20"/>
        </w:rPr>
        <w:t>drinking.</w:t>
      </w:r>
    </w:p>
    <w:p w14:paraId="6AC0E84D" w14:textId="77777777" w:rsidR="00DB6E1F" w:rsidRDefault="00F666A6">
      <w:pPr>
        <w:tabs>
          <w:tab w:val="left" w:pos="1439"/>
        </w:tabs>
        <w:spacing w:line="393" w:lineRule="exact"/>
        <w:ind w:right="2917"/>
        <w:jc w:val="right"/>
        <w:rPr>
          <w:rFonts w:ascii="Arial" w:hAnsi="Arial"/>
          <w:sz w:val="36"/>
        </w:rPr>
      </w:pPr>
      <w:r>
        <w:br w:type="column"/>
      </w:r>
      <w:r>
        <w:rPr>
          <w:rFonts w:ascii="Arial" w:hAnsi="Arial"/>
          <w:spacing w:val="-10"/>
          <w:w w:val="145"/>
          <w:sz w:val="36"/>
        </w:rPr>
        <w:t>□</w:t>
      </w:r>
      <w:r>
        <w:rPr>
          <w:rFonts w:ascii="Arial" w:hAnsi="Arial"/>
          <w:sz w:val="36"/>
        </w:rPr>
        <w:tab/>
      </w:r>
      <w:r>
        <w:rPr>
          <w:rFonts w:ascii="Arial" w:hAnsi="Arial"/>
          <w:spacing w:val="-10"/>
          <w:w w:val="145"/>
          <w:sz w:val="36"/>
        </w:rPr>
        <w:t>□</w:t>
      </w:r>
    </w:p>
    <w:p w14:paraId="059CD52D" w14:textId="77777777" w:rsidR="00DB6E1F" w:rsidRDefault="00F666A6">
      <w:pPr>
        <w:tabs>
          <w:tab w:val="left" w:pos="1439"/>
          <w:tab w:val="left" w:pos="2879"/>
        </w:tabs>
        <w:spacing w:line="400" w:lineRule="exact"/>
        <w:ind w:right="2917"/>
        <w:jc w:val="right"/>
        <w:rPr>
          <w:rFonts w:ascii="Arial" w:hAnsi="Arial"/>
          <w:sz w:val="36"/>
        </w:rPr>
      </w:pPr>
      <w:r>
        <w:pict w14:anchorId="6760F48B">
          <v:shape id="docshape227" o:spid="_x0000_s2069" style="position:absolute;left:0;text-align:left;margin-left:490.9pt;margin-top:11.15pt;width:28.8pt;height:18.65pt;z-index:15746560;mso-position-horizontal-relative:page" coordorigin="9818,223" coordsize="576,373" o:spt="100" adj="0,,0" path="m10394,586r-566,l9818,586r,9l9828,595r566,l10394,586xm10394,223r-566,l9818,223r,10l9818,585r10,l9828,233r566,l10394,223xe" fillcolor="black" stroked="f">
            <v:stroke joinstyle="round"/>
            <v:formulas/>
            <v:path arrowok="t" o:connecttype="segments"/>
            <w10:wrap anchorx="page"/>
          </v:shape>
        </w:pict>
      </w:r>
      <w:r>
        <w:pict w14:anchorId="0D926838">
          <v:shape id="docshape228" o:spid="_x0000_s2068" type="#_x0000_t202" style="position:absolute;left:0;text-align:left;margin-left:519.95pt;margin-top:11.4pt;width:28.8pt;height:18.15pt;z-index:15749120;mso-position-horizontal-relative:page" filled="f" strokeweight=".48pt">
            <v:textbox inset="0,0,0,0">
              <w:txbxContent>
                <w:p w14:paraId="26052884" w14:textId="77777777" w:rsidR="00DB6E1F" w:rsidRDefault="00F666A6">
                  <w:pPr>
                    <w:spacing w:before="1"/>
                    <w:ind w:left="2"/>
                    <w:rPr>
                      <w:sz w:val="20"/>
                    </w:rPr>
                  </w:pPr>
                  <w:r>
                    <w:rPr>
                      <w:w w:val="99"/>
                      <w:sz w:val="20"/>
                    </w:rPr>
                    <w:t>A</w:t>
                  </w:r>
                </w:p>
              </w:txbxContent>
            </v:textbox>
            <w10:wrap anchorx="page"/>
          </v:shape>
        </w:pict>
      </w:r>
      <w:r>
        <w:rPr>
          <w:rFonts w:ascii="Arial" w:hAnsi="Arial"/>
          <w:spacing w:val="-10"/>
          <w:w w:val="145"/>
          <w:sz w:val="36"/>
        </w:rPr>
        <w:t>□</w:t>
      </w:r>
      <w:r>
        <w:rPr>
          <w:rFonts w:ascii="Arial" w:hAnsi="Arial"/>
          <w:sz w:val="36"/>
        </w:rPr>
        <w:tab/>
      </w:r>
      <w:r>
        <w:rPr>
          <w:rFonts w:ascii="Arial" w:hAnsi="Arial"/>
          <w:spacing w:val="-10"/>
          <w:w w:val="145"/>
          <w:sz w:val="36"/>
        </w:rPr>
        <w:t>□</w:t>
      </w:r>
      <w:r>
        <w:rPr>
          <w:rFonts w:ascii="Arial" w:hAnsi="Arial"/>
          <w:sz w:val="36"/>
        </w:rPr>
        <w:tab/>
      </w:r>
      <w:r>
        <w:rPr>
          <w:rFonts w:ascii="Arial" w:hAnsi="Arial"/>
          <w:spacing w:val="-10"/>
          <w:w w:val="145"/>
          <w:sz w:val="36"/>
        </w:rPr>
        <w:t>□</w:t>
      </w:r>
    </w:p>
    <w:p w14:paraId="6CAAD4D8" w14:textId="77777777" w:rsidR="00DB6E1F" w:rsidRDefault="00F666A6">
      <w:pPr>
        <w:tabs>
          <w:tab w:val="left" w:pos="1439"/>
        </w:tabs>
        <w:spacing w:line="400" w:lineRule="exact"/>
        <w:ind w:right="2917"/>
        <w:jc w:val="right"/>
        <w:rPr>
          <w:rFonts w:ascii="Arial" w:hAnsi="Arial"/>
          <w:sz w:val="36"/>
        </w:rPr>
      </w:pPr>
      <w:r>
        <w:rPr>
          <w:rFonts w:ascii="Arial" w:hAnsi="Arial"/>
          <w:spacing w:val="-10"/>
          <w:w w:val="145"/>
          <w:sz w:val="36"/>
        </w:rPr>
        <w:t>□</w:t>
      </w:r>
      <w:r>
        <w:rPr>
          <w:rFonts w:ascii="Arial" w:hAnsi="Arial"/>
          <w:sz w:val="36"/>
        </w:rPr>
        <w:tab/>
      </w:r>
      <w:r>
        <w:rPr>
          <w:rFonts w:ascii="Arial" w:hAnsi="Arial"/>
          <w:spacing w:val="-10"/>
          <w:w w:val="145"/>
          <w:sz w:val="36"/>
        </w:rPr>
        <w:t>□</w:t>
      </w:r>
    </w:p>
    <w:p w14:paraId="70B456D4" w14:textId="77777777" w:rsidR="00DB6E1F" w:rsidRDefault="00F666A6">
      <w:pPr>
        <w:tabs>
          <w:tab w:val="left" w:pos="1439"/>
          <w:tab w:val="left" w:pos="2879"/>
        </w:tabs>
        <w:spacing w:line="400" w:lineRule="exact"/>
        <w:ind w:right="2917"/>
        <w:jc w:val="right"/>
        <w:rPr>
          <w:rFonts w:ascii="Arial" w:hAnsi="Arial"/>
          <w:sz w:val="36"/>
        </w:rPr>
      </w:pPr>
      <w:r>
        <w:pict w14:anchorId="44B4D927">
          <v:shape id="docshape229" o:spid="_x0000_s2067" style="position:absolute;left:0;text-align:left;margin-left:490.9pt;margin-top:11.15pt;width:28.8pt;height:18.5pt;z-index:15747072;mso-position-horizontal-relative:page" coordorigin="9818,223" coordsize="576,370" o:spt="100" adj="0,,0" path="m10394,583r-566,l9828,233r-10,l9818,583r,l9818,593r10,l10394,593r,-10xm10394,223r-566,l9818,223r,10l9828,233r566,l10394,223xe" fillcolor="black" stroked="f">
            <v:stroke joinstyle="round"/>
            <v:formulas/>
            <v:path arrowok="t" o:connecttype="segments"/>
            <w10:wrap anchorx="page"/>
          </v:shape>
        </w:pict>
      </w:r>
      <w:r>
        <w:pict w14:anchorId="68FB7878">
          <v:shape id="docshape230" o:spid="_x0000_s2066" type="#_x0000_t202" style="position:absolute;left:0;text-align:left;margin-left:519.95pt;margin-top:11.4pt;width:28.8pt;height:18pt;z-index:15748608;mso-position-horizontal-relative:page" filled="f" strokeweight=".48pt">
            <v:textbox inset="0,0,0,0">
              <w:txbxContent>
                <w:p w14:paraId="4B8F044D" w14:textId="77777777" w:rsidR="00DB6E1F" w:rsidRDefault="00F666A6">
                  <w:pPr>
                    <w:spacing w:before="1"/>
                    <w:ind w:left="2"/>
                    <w:rPr>
                      <w:sz w:val="20"/>
                    </w:rPr>
                  </w:pPr>
                  <w:r>
                    <w:rPr>
                      <w:spacing w:val="-5"/>
                      <w:sz w:val="20"/>
                    </w:rPr>
                    <w:t>PC</w:t>
                  </w:r>
                </w:p>
              </w:txbxContent>
            </v:textbox>
            <w10:wrap anchorx="page"/>
          </v:shape>
        </w:pict>
      </w:r>
      <w:r>
        <w:rPr>
          <w:rFonts w:ascii="Arial" w:hAnsi="Arial"/>
          <w:spacing w:val="-10"/>
          <w:w w:val="145"/>
          <w:sz w:val="36"/>
        </w:rPr>
        <w:t>□</w:t>
      </w:r>
      <w:r>
        <w:rPr>
          <w:rFonts w:ascii="Arial" w:hAnsi="Arial"/>
          <w:sz w:val="36"/>
        </w:rPr>
        <w:tab/>
      </w:r>
      <w:r>
        <w:rPr>
          <w:rFonts w:ascii="Arial" w:hAnsi="Arial"/>
          <w:spacing w:val="-10"/>
          <w:w w:val="145"/>
          <w:sz w:val="36"/>
        </w:rPr>
        <w:t>□</w:t>
      </w:r>
      <w:r>
        <w:rPr>
          <w:rFonts w:ascii="Arial" w:hAnsi="Arial"/>
          <w:sz w:val="36"/>
        </w:rPr>
        <w:tab/>
      </w:r>
      <w:r>
        <w:rPr>
          <w:rFonts w:ascii="Arial" w:hAnsi="Arial"/>
          <w:spacing w:val="-10"/>
          <w:w w:val="145"/>
          <w:sz w:val="36"/>
        </w:rPr>
        <w:t>□</w:t>
      </w:r>
    </w:p>
    <w:p w14:paraId="517406AA" w14:textId="77777777" w:rsidR="00DB6E1F" w:rsidRDefault="00F666A6">
      <w:pPr>
        <w:tabs>
          <w:tab w:val="left" w:pos="1439"/>
        </w:tabs>
        <w:spacing w:line="406" w:lineRule="exact"/>
        <w:ind w:right="2917"/>
        <w:jc w:val="right"/>
        <w:rPr>
          <w:rFonts w:ascii="Arial" w:hAnsi="Arial"/>
          <w:sz w:val="36"/>
        </w:rPr>
      </w:pPr>
      <w:r>
        <w:rPr>
          <w:rFonts w:ascii="Arial" w:hAnsi="Arial"/>
          <w:spacing w:val="-10"/>
          <w:w w:val="145"/>
          <w:sz w:val="36"/>
        </w:rPr>
        <w:t>□</w:t>
      </w:r>
      <w:r>
        <w:rPr>
          <w:rFonts w:ascii="Arial" w:hAnsi="Arial"/>
          <w:sz w:val="36"/>
        </w:rPr>
        <w:tab/>
      </w:r>
      <w:r>
        <w:rPr>
          <w:rFonts w:ascii="Arial" w:hAnsi="Arial"/>
          <w:spacing w:val="-10"/>
          <w:w w:val="145"/>
          <w:sz w:val="36"/>
        </w:rPr>
        <w:t>□</w:t>
      </w:r>
    </w:p>
    <w:p w14:paraId="6B308724" w14:textId="77777777" w:rsidR="00DB6E1F" w:rsidRDefault="00DB6E1F">
      <w:pPr>
        <w:spacing w:line="406" w:lineRule="exact"/>
        <w:jc w:val="right"/>
        <w:rPr>
          <w:rFonts w:ascii="Arial" w:hAnsi="Arial"/>
          <w:sz w:val="36"/>
        </w:rPr>
        <w:sectPr w:rsidR="00DB6E1F">
          <w:type w:val="continuous"/>
          <w:pgSz w:w="12240" w:h="15840"/>
          <w:pgMar w:top="0" w:right="0" w:bottom="0" w:left="0" w:header="763" w:footer="585" w:gutter="0"/>
          <w:cols w:num="2" w:space="720" w:equalWidth="0">
            <w:col w:w="5915" w:space="40"/>
            <w:col w:w="6285"/>
          </w:cols>
        </w:sectPr>
      </w:pPr>
    </w:p>
    <w:p w14:paraId="3FBD52AF" w14:textId="77777777" w:rsidR="00DB6E1F" w:rsidRDefault="00F666A6">
      <w:pPr>
        <w:pStyle w:val="ListParagraph"/>
        <w:numPr>
          <w:ilvl w:val="1"/>
          <w:numId w:val="37"/>
        </w:numPr>
        <w:tabs>
          <w:tab w:val="left" w:pos="1892"/>
          <w:tab w:val="left" w:pos="7559"/>
          <w:tab w:val="left" w:pos="8999"/>
        </w:tabs>
        <w:spacing w:before="0" w:line="393" w:lineRule="exact"/>
        <w:ind w:hanging="361"/>
        <w:rPr>
          <w:rFonts w:ascii="Arial" w:hAnsi="Arial"/>
          <w:sz w:val="36"/>
        </w:rPr>
      </w:pPr>
      <w:r>
        <w:pict w14:anchorId="1249827E">
          <v:shape id="docshape231" o:spid="_x0000_s2065" style="position:absolute;left:0;text-align:left;margin-left:490.9pt;margin-top:10.8pt;width:28.8pt;height:18.5pt;z-index:15747584;mso-position-horizontal-relative:page" coordorigin="9818,216" coordsize="576,370" o:spt="100" adj="0,,0" path="m10394,576r-566,l9828,226r-10,l9818,576r,1l9818,586r10,l10394,586r,-10xm10394,216r-566,l9818,216r,10l9828,226r566,l10394,216xe" fillcolor="black" stroked="f">
            <v:stroke joinstyle="round"/>
            <v:formulas/>
            <v:path arrowok="t" o:connecttype="segments"/>
            <w10:wrap anchorx="page"/>
          </v:shape>
        </w:pict>
      </w:r>
      <w:r>
        <w:pict w14:anchorId="291FC8A8">
          <v:shape id="docshape232" o:spid="_x0000_s2064" type="#_x0000_t202" style="position:absolute;left:0;text-align:left;margin-left:519.95pt;margin-top:11.05pt;width:28.8pt;height:18pt;z-index:15748096;mso-position-horizontal-relative:page" filled="f" strokeweight=".48pt">
            <v:textbox inset="0,0,0,0">
              <w:txbxContent>
                <w:p w14:paraId="77BB8F70" w14:textId="77777777" w:rsidR="00DB6E1F" w:rsidRDefault="00F666A6">
                  <w:pPr>
                    <w:spacing w:before="1"/>
                    <w:ind w:left="2"/>
                    <w:rPr>
                      <w:sz w:val="20"/>
                    </w:rPr>
                  </w:pPr>
                  <w:r>
                    <w:rPr>
                      <w:w w:val="99"/>
                      <w:sz w:val="20"/>
                    </w:rPr>
                    <w:t>C</w:t>
                  </w:r>
                </w:p>
              </w:txbxContent>
            </v:textbox>
            <w10:wrap anchorx="page"/>
          </v:shape>
        </w:pict>
      </w:r>
      <w:r>
        <w:rPr>
          <w:sz w:val="20"/>
        </w:rPr>
        <w:t>Sometimes</w:t>
      </w:r>
      <w:r>
        <w:rPr>
          <w:spacing w:val="-7"/>
          <w:sz w:val="20"/>
        </w:rPr>
        <w:t xml:space="preserve"> </w:t>
      </w:r>
      <w:r>
        <w:rPr>
          <w:sz w:val="20"/>
        </w:rPr>
        <w:t>I</w:t>
      </w:r>
      <w:r>
        <w:rPr>
          <w:spacing w:val="-5"/>
          <w:sz w:val="20"/>
        </w:rPr>
        <w:t xml:space="preserve"> </w:t>
      </w:r>
      <w:r>
        <w:rPr>
          <w:sz w:val="20"/>
        </w:rPr>
        <w:t>wonder</w:t>
      </w:r>
      <w:r>
        <w:rPr>
          <w:spacing w:val="-5"/>
          <w:sz w:val="20"/>
        </w:rPr>
        <w:t xml:space="preserve"> </w:t>
      </w:r>
      <w:r>
        <w:rPr>
          <w:sz w:val="20"/>
        </w:rPr>
        <w:t>if</w:t>
      </w:r>
      <w:r>
        <w:rPr>
          <w:spacing w:val="-5"/>
          <w:sz w:val="20"/>
        </w:rPr>
        <w:t xml:space="preserve"> </w:t>
      </w:r>
      <w:r>
        <w:rPr>
          <w:sz w:val="20"/>
        </w:rPr>
        <w:t>my</w:t>
      </w:r>
      <w:r>
        <w:rPr>
          <w:spacing w:val="-4"/>
          <w:sz w:val="20"/>
        </w:rPr>
        <w:t xml:space="preserve"> </w:t>
      </w:r>
      <w:r>
        <w:rPr>
          <w:sz w:val="20"/>
        </w:rPr>
        <w:t>drinking</w:t>
      </w:r>
      <w:r>
        <w:rPr>
          <w:spacing w:val="-4"/>
          <w:sz w:val="20"/>
        </w:rPr>
        <w:t xml:space="preserve"> </w:t>
      </w:r>
      <w:r>
        <w:rPr>
          <w:sz w:val="20"/>
        </w:rPr>
        <w:t>is</w:t>
      </w:r>
      <w:r>
        <w:rPr>
          <w:spacing w:val="-6"/>
          <w:sz w:val="20"/>
        </w:rPr>
        <w:t xml:space="preserve"> </w:t>
      </w:r>
      <w:r>
        <w:rPr>
          <w:sz w:val="20"/>
        </w:rPr>
        <w:t>out</w:t>
      </w:r>
      <w:r>
        <w:rPr>
          <w:spacing w:val="-4"/>
          <w:sz w:val="20"/>
        </w:rPr>
        <w:t xml:space="preserve"> </w:t>
      </w:r>
      <w:r>
        <w:rPr>
          <w:sz w:val="20"/>
        </w:rPr>
        <w:t>of</w:t>
      </w:r>
      <w:r>
        <w:rPr>
          <w:spacing w:val="-6"/>
          <w:sz w:val="20"/>
        </w:rPr>
        <w:t xml:space="preserve"> </w:t>
      </w:r>
      <w:r>
        <w:rPr>
          <w:sz w:val="20"/>
        </w:rPr>
        <w:t>control.</w:t>
      </w:r>
      <w:r>
        <w:rPr>
          <w:spacing w:val="-30"/>
          <w:sz w:val="20"/>
        </w:rPr>
        <w:t xml:space="preserve"> </w:t>
      </w:r>
      <w:r>
        <w:rPr>
          <w:rFonts w:ascii="Arial" w:hAnsi="Arial"/>
          <w:spacing w:val="-10"/>
          <w:position w:val="-12"/>
          <w:sz w:val="36"/>
        </w:rPr>
        <w:t>□</w:t>
      </w:r>
      <w:r>
        <w:rPr>
          <w:rFonts w:ascii="Arial" w:hAnsi="Arial"/>
          <w:position w:val="-12"/>
          <w:sz w:val="36"/>
        </w:rPr>
        <w:tab/>
      </w:r>
      <w:r>
        <w:rPr>
          <w:rFonts w:ascii="Arial" w:hAnsi="Arial"/>
          <w:spacing w:val="-10"/>
          <w:w w:val="120"/>
          <w:position w:val="-12"/>
          <w:sz w:val="36"/>
        </w:rPr>
        <w:t>□</w:t>
      </w:r>
      <w:r>
        <w:rPr>
          <w:rFonts w:ascii="Arial" w:hAnsi="Arial"/>
          <w:position w:val="-12"/>
          <w:sz w:val="36"/>
        </w:rPr>
        <w:tab/>
      </w:r>
      <w:r>
        <w:rPr>
          <w:rFonts w:ascii="Arial" w:hAnsi="Arial"/>
          <w:spacing w:val="-10"/>
          <w:w w:val="120"/>
          <w:position w:val="-12"/>
          <w:sz w:val="36"/>
        </w:rPr>
        <w:t>□</w:t>
      </w:r>
    </w:p>
    <w:p w14:paraId="5D19DEE9" w14:textId="77777777" w:rsidR="00DB6E1F" w:rsidRDefault="00F666A6">
      <w:pPr>
        <w:tabs>
          <w:tab w:val="left" w:pos="8999"/>
        </w:tabs>
        <w:spacing w:line="406" w:lineRule="exact"/>
        <w:ind w:left="7560"/>
        <w:rPr>
          <w:rFonts w:ascii="Arial" w:hAnsi="Arial"/>
          <w:sz w:val="36"/>
        </w:rPr>
      </w:pPr>
      <w:r>
        <w:rPr>
          <w:rFonts w:ascii="Arial" w:hAnsi="Arial"/>
          <w:spacing w:val="-10"/>
          <w:w w:val="145"/>
          <w:sz w:val="36"/>
        </w:rPr>
        <w:t>□</w:t>
      </w:r>
      <w:r>
        <w:rPr>
          <w:rFonts w:ascii="Arial" w:hAnsi="Arial"/>
          <w:sz w:val="36"/>
        </w:rPr>
        <w:tab/>
      </w:r>
      <w:r>
        <w:rPr>
          <w:rFonts w:ascii="Arial" w:hAnsi="Arial"/>
          <w:spacing w:val="-10"/>
          <w:w w:val="145"/>
          <w:sz w:val="36"/>
        </w:rPr>
        <w:t>□</w:t>
      </w:r>
    </w:p>
    <w:p w14:paraId="44897A98" w14:textId="77777777" w:rsidR="00DB6E1F" w:rsidRDefault="00DB6E1F">
      <w:pPr>
        <w:spacing w:line="406" w:lineRule="exact"/>
        <w:rPr>
          <w:rFonts w:ascii="Arial" w:hAnsi="Arial"/>
          <w:sz w:val="36"/>
        </w:rPr>
        <w:sectPr w:rsidR="00DB6E1F">
          <w:type w:val="continuous"/>
          <w:pgSz w:w="12240" w:h="15840"/>
          <w:pgMar w:top="0" w:right="0" w:bottom="0" w:left="0" w:header="763" w:footer="585" w:gutter="0"/>
          <w:cols w:space="720"/>
        </w:sectPr>
      </w:pPr>
    </w:p>
    <w:p w14:paraId="6930ECE9" w14:textId="77777777" w:rsidR="00DB6E1F" w:rsidRDefault="00DB6E1F">
      <w:pPr>
        <w:pStyle w:val="BodyText"/>
        <w:spacing w:before="7"/>
        <w:rPr>
          <w:rFonts w:ascii="Arial"/>
          <w:sz w:val="11"/>
        </w:rPr>
      </w:pPr>
    </w:p>
    <w:p w14:paraId="14FDA2BB" w14:textId="77777777" w:rsidR="00DB6E1F" w:rsidRDefault="00F666A6">
      <w:pPr>
        <w:pStyle w:val="ListParagraph"/>
        <w:numPr>
          <w:ilvl w:val="1"/>
          <w:numId w:val="37"/>
        </w:numPr>
        <w:tabs>
          <w:tab w:val="left" w:pos="1892"/>
          <w:tab w:val="left" w:pos="6119"/>
          <w:tab w:val="left" w:pos="7559"/>
          <w:tab w:val="left" w:pos="8999"/>
        </w:tabs>
        <w:spacing w:before="86" w:line="406" w:lineRule="exact"/>
        <w:ind w:hanging="361"/>
        <w:rPr>
          <w:rFonts w:ascii="Arial" w:hAnsi="Arial"/>
          <w:sz w:val="36"/>
        </w:rPr>
      </w:pPr>
      <w:r>
        <w:pict w14:anchorId="4361A74D">
          <v:shape id="docshape233" o:spid="_x0000_s2063" style="position:absolute;left:0;text-align:left;margin-left:490.9pt;margin-top:15.75pt;width:28.8pt;height:18.6pt;z-index:15753728;mso-position-horizontal-relative:page" coordorigin="9818,315" coordsize="576,372" path="m10394,315r-566,l9818,315r,10l9818,678r,9l9828,687r566,l10394,678r-566,l9828,325r566,l10394,315xe" fillcolor="black" stroked="f">
            <v:path arrowok="t"/>
            <w10:wrap anchorx="page"/>
          </v:shape>
        </w:pict>
      </w:r>
      <w:r>
        <w:pict w14:anchorId="145C1FC0">
          <v:shape id="docshape234" o:spid="_x0000_s2062" type="#_x0000_t202" style="position:absolute;left:0;text-align:left;margin-left:519.95pt;margin-top:16pt;width:28.8pt;height:18.15pt;z-index:15754240;mso-position-horizontal-relative:page" filled="f" strokeweight=".48pt">
            <v:textbox inset="0,0,0,0">
              <w:txbxContent>
                <w:p w14:paraId="0AB54087" w14:textId="77777777" w:rsidR="00DB6E1F" w:rsidRDefault="00F666A6">
                  <w:pPr>
                    <w:spacing w:before="1"/>
                    <w:ind w:left="2"/>
                    <w:rPr>
                      <w:sz w:val="20"/>
                    </w:rPr>
                  </w:pPr>
                  <w:r>
                    <w:rPr>
                      <w:w w:val="99"/>
                      <w:sz w:val="20"/>
                    </w:rPr>
                    <w:t>A</w:t>
                  </w:r>
                </w:p>
              </w:txbxContent>
            </v:textbox>
            <w10:wrap anchorx="page"/>
          </v:shape>
        </w:pict>
      </w:r>
      <w:r>
        <w:rPr>
          <w:sz w:val="20"/>
        </w:rPr>
        <w:t>I</w:t>
      </w:r>
      <w:r>
        <w:rPr>
          <w:spacing w:val="-6"/>
          <w:sz w:val="20"/>
        </w:rPr>
        <w:t xml:space="preserve"> </w:t>
      </w:r>
      <w:r>
        <w:rPr>
          <w:sz w:val="20"/>
        </w:rPr>
        <w:t>am</w:t>
      </w:r>
      <w:r>
        <w:rPr>
          <w:spacing w:val="-6"/>
          <w:sz w:val="20"/>
        </w:rPr>
        <w:t xml:space="preserve"> </w:t>
      </w:r>
      <w:r>
        <w:rPr>
          <w:sz w:val="20"/>
        </w:rPr>
        <w:t>actively</w:t>
      </w:r>
      <w:r>
        <w:rPr>
          <w:spacing w:val="-4"/>
          <w:sz w:val="20"/>
        </w:rPr>
        <w:t xml:space="preserve"> </w:t>
      </w:r>
      <w:r>
        <w:rPr>
          <w:sz w:val="20"/>
        </w:rPr>
        <w:t>working</w:t>
      </w:r>
      <w:r>
        <w:rPr>
          <w:spacing w:val="-5"/>
          <w:sz w:val="20"/>
        </w:rPr>
        <w:t xml:space="preserve"> </w:t>
      </w:r>
      <w:r>
        <w:rPr>
          <w:sz w:val="20"/>
        </w:rPr>
        <w:t>on</w:t>
      </w:r>
      <w:r>
        <w:rPr>
          <w:spacing w:val="-4"/>
          <w:sz w:val="20"/>
        </w:rPr>
        <w:t xml:space="preserve"> </w:t>
      </w:r>
      <w:r>
        <w:rPr>
          <w:sz w:val="20"/>
        </w:rPr>
        <w:t>my</w:t>
      </w:r>
      <w:r>
        <w:rPr>
          <w:spacing w:val="-4"/>
          <w:sz w:val="20"/>
        </w:rPr>
        <w:t xml:space="preserve"> </w:t>
      </w:r>
      <w:r>
        <w:rPr>
          <w:sz w:val="20"/>
        </w:rPr>
        <w:t>drinking</w:t>
      </w:r>
      <w:r>
        <w:rPr>
          <w:spacing w:val="-6"/>
          <w:sz w:val="20"/>
        </w:rPr>
        <w:t xml:space="preserve"> </w:t>
      </w:r>
      <w:r>
        <w:rPr>
          <w:spacing w:val="-2"/>
          <w:sz w:val="20"/>
        </w:rPr>
        <w:t>problem.</w:t>
      </w:r>
      <w:r>
        <w:rPr>
          <w:sz w:val="20"/>
        </w:rPr>
        <w:tab/>
      </w:r>
      <w:r>
        <w:rPr>
          <w:rFonts w:ascii="Arial" w:hAnsi="Arial"/>
          <w:spacing w:val="-10"/>
          <w:w w:val="120"/>
          <w:position w:val="-12"/>
          <w:sz w:val="36"/>
        </w:rPr>
        <w:t>□</w:t>
      </w:r>
      <w:r>
        <w:rPr>
          <w:rFonts w:ascii="Arial" w:hAnsi="Arial"/>
          <w:position w:val="-12"/>
          <w:sz w:val="36"/>
        </w:rPr>
        <w:tab/>
      </w:r>
      <w:r>
        <w:rPr>
          <w:rFonts w:ascii="Arial" w:hAnsi="Arial"/>
          <w:spacing w:val="-10"/>
          <w:w w:val="120"/>
          <w:position w:val="-12"/>
          <w:sz w:val="36"/>
        </w:rPr>
        <w:t>□</w:t>
      </w:r>
      <w:r>
        <w:rPr>
          <w:rFonts w:ascii="Arial" w:hAnsi="Arial"/>
          <w:position w:val="-12"/>
          <w:sz w:val="36"/>
        </w:rPr>
        <w:tab/>
      </w:r>
      <w:r>
        <w:rPr>
          <w:rFonts w:ascii="Arial" w:hAnsi="Arial"/>
          <w:spacing w:val="-10"/>
          <w:w w:val="120"/>
          <w:position w:val="-12"/>
          <w:sz w:val="36"/>
        </w:rPr>
        <w:t>□</w:t>
      </w:r>
    </w:p>
    <w:p w14:paraId="61588B9D" w14:textId="77777777" w:rsidR="00DB6E1F" w:rsidRDefault="00F666A6">
      <w:pPr>
        <w:tabs>
          <w:tab w:val="left" w:pos="8999"/>
        </w:tabs>
        <w:spacing w:line="406" w:lineRule="exact"/>
        <w:ind w:left="7560"/>
        <w:rPr>
          <w:rFonts w:ascii="Arial" w:hAnsi="Arial"/>
          <w:sz w:val="36"/>
        </w:rPr>
      </w:pPr>
      <w:r>
        <w:rPr>
          <w:rFonts w:ascii="Arial" w:hAnsi="Arial"/>
          <w:spacing w:val="-10"/>
          <w:w w:val="145"/>
          <w:sz w:val="36"/>
        </w:rPr>
        <w:t>□</w:t>
      </w:r>
      <w:r>
        <w:rPr>
          <w:rFonts w:ascii="Arial" w:hAnsi="Arial"/>
          <w:sz w:val="36"/>
        </w:rPr>
        <w:tab/>
      </w:r>
      <w:r>
        <w:rPr>
          <w:rFonts w:ascii="Arial" w:hAnsi="Arial"/>
          <w:spacing w:val="-10"/>
          <w:w w:val="145"/>
          <w:sz w:val="36"/>
        </w:rPr>
        <w:t>□</w:t>
      </w:r>
    </w:p>
    <w:p w14:paraId="1CF10245" w14:textId="77777777" w:rsidR="00DB6E1F" w:rsidRDefault="00F666A6">
      <w:pPr>
        <w:spacing w:before="5"/>
        <w:ind w:left="1440"/>
        <w:rPr>
          <w:sz w:val="20"/>
        </w:rPr>
      </w:pPr>
      <w:r>
        <w:rPr>
          <w:sz w:val="20"/>
        </w:rPr>
        <w:t>For</w:t>
      </w:r>
      <w:r>
        <w:rPr>
          <w:spacing w:val="-5"/>
          <w:sz w:val="20"/>
        </w:rPr>
        <w:t xml:space="preserve"> </w:t>
      </w:r>
      <w:r>
        <w:rPr>
          <w:sz w:val="20"/>
        </w:rPr>
        <w:t>Office</w:t>
      </w:r>
      <w:r>
        <w:rPr>
          <w:spacing w:val="-6"/>
          <w:sz w:val="20"/>
        </w:rPr>
        <w:t xml:space="preserve"> </w:t>
      </w:r>
      <w:r>
        <w:rPr>
          <w:sz w:val="20"/>
        </w:rPr>
        <w:t>Use</w:t>
      </w:r>
      <w:r>
        <w:rPr>
          <w:spacing w:val="-5"/>
          <w:sz w:val="20"/>
        </w:rPr>
        <w:t xml:space="preserve"> </w:t>
      </w:r>
      <w:r>
        <w:rPr>
          <w:spacing w:val="-4"/>
          <w:sz w:val="20"/>
        </w:rPr>
        <w:t>Only</w:t>
      </w:r>
    </w:p>
    <w:p w14:paraId="64F0CAAF" w14:textId="77777777" w:rsidR="00DB6E1F" w:rsidRDefault="00F666A6">
      <w:pPr>
        <w:spacing w:before="120"/>
        <w:ind w:left="1440"/>
        <w:rPr>
          <w:sz w:val="20"/>
        </w:rPr>
      </w:pPr>
      <w:r>
        <w:rPr>
          <w:sz w:val="20"/>
        </w:rPr>
        <w:t>Please</w:t>
      </w:r>
      <w:r>
        <w:rPr>
          <w:spacing w:val="-8"/>
          <w:sz w:val="20"/>
        </w:rPr>
        <w:t xml:space="preserve"> </w:t>
      </w:r>
      <w:r>
        <w:rPr>
          <w:sz w:val="20"/>
        </w:rPr>
        <w:t>enter</w:t>
      </w:r>
      <w:r>
        <w:rPr>
          <w:spacing w:val="-6"/>
          <w:sz w:val="20"/>
        </w:rPr>
        <w:t xml:space="preserve"> </w:t>
      </w:r>
      <w:r>
        <w:rPr>
          <w:sz w:val="20"/>
        </w:rPr>
        <w:t>the</w:t>
      </w:r>
      <w:r>
        <w:rPr>
          <w:spacing w:val="-5"/>
          <w:sz w:val="20"/>
        </w:rPr>
        <w:t xml:space="preserve"> </w:t>
      </w:r>
      <w:r>
        <w:rPr>
          <w:sz w:val="20"/>
        </w:rPr>
        <w:t>subject’s</w:t>
      </w:r>
      <w:r>
        <w:rPr>
          <w:spacing w:val="-6"/>
          <w:sz w:val="20"/>
        </w:rPr>
        <w:t xml:space="preserve"> </w:t>
      </w:r>
      <w:r>
        <w:rPr>
          <w:sz w:val="20"/>
        </w:rPr>
        <w:t>scores</w:t>
      </w:r>
      <w:r>
        <w:rPr>
          <w:spacing w:val="-7"/>
          <w:sz w:val="20"/>
        </w:rPr>
        <w:t xml:space="preserve"> </w:t>
      </w:r>
      <w:r>
        <w:rPr>
          <w:spacing w:val="-2"/>
          <w:sz w:val="20"/>
        </w:rPr>
        <w:t>below:</w:t>
      </w:r>
    </w:p>
    <w:p w14:paraId="049C8F91" w14:textId="77777777" w:rsidR="00DB6E1F" w:rsidRDefault="00F666A6">
      <w:pPr>
        <w:spacing w:before="119"/>
        <w:ind w:left="1440"/>
        <w:rPr>
          <w:sz w:val="20"/>
        </w:rPr>
      </w:pPr>
      <w:r>
        <w:rPr>
          <w:sz w:val="20"/>
        </w:rPr>
        <w:t>Scale</w:t>
      </w:r>
      <w:r>
        <w:rPr>
          <w:spacing w:val="-9"/>
          <w:sz w:val="20"/>
        </w:rPr>
        <w:t xml:space="preserve"> </w:t>
      </w:r>
      <w:r>
        <w:rPr>
          <w:spacing w:val="-2"/>
          <w:sz w:val="20"/>
        </w:rPr>
        <w:t>Scores</w:t>
      </w:r>
    </w:p>
    <w:p w14:paraId="053C680D" w14:textId="77777777" w:rsidR="00DB6E1F" w:rsidRDefault="00F666A6">
      <w:pPr>
        <w:tabs>
          <w:tab w:val="left" w:pos="2879"/>
          <w:tab w:val="left" w:pos="3475"/>
        </w:tabs>
        <w:spacing w:before="120"/>
        <w:ind w:left="1440"/>
        <w:rPr>
          <w:sz w:val="20"/>
        </w:rPr>
      </w:pPr>
      <w:r>
        <w:rPr>
          <w:sz w:val="20"/>
        </w:rPr>
        <w:t>PC</w:t>
      </w:r>
      <w:r>
        <w:rPr>
          <w:spacing w:val="-4"/>
          <w:sz w:val="20"/>
        </w:rPr>
        <w:t xml:space="preserve"> Score</w:t>
      </w:r>
      <w:r>
        <w:rPr>
          <w:sz w:val="20"/>
        </w:rPr>
        <w:tab/>
      </w:r>
      <w:r>
        <w:rPr>
          <w:rFonts w:ascii="Times New Roman"/>
          <w:sz w:val="20"/>
          <w:u w:val="single"/>
        </w:rPr>
        <w:tab/>
      </w:r>
      <w:r>
        <w:rPr>
          <w:spacing w:val="-10"/>
          <w:sz w:val="20"/>
        </w:rPr>
        <w:t>_</w:t>
      </w:r>
    </w:p>
    <w:p w14:paraId="79705AF0" w14:textId="77777777" w:rsidR="00DB6E1F" w:rsidRDefault="00F666A6">
      <w:pPr>
        <w:tabs>
          <w:tab w:val="left" w:pos="2879"/>
          <w:tab w:val="left" w:pos="3475"/>
        </w:tabs>
        <w:spacing w:before="121"/>
        <w:ind w:left="1440"/>
        <w:rPr>
          <w:sz w:val="20"/>
        </w:rPr>
      </w:pPr>
      <w:r>
        <w:rPr>
          <w:sz w:val="20"/>
        </w:rPr>
        <w:t>C</w:t>
      </w:r>
      <w:r>
        <w:rPr>
          <w:spacing w:val="-3"/>
          <w:sz w:val="20"/>
        </w:rPr>
        <w:t xml:space="preserve"> </w:t>
      </w:r>
      <w:r>
        <w:rPr>
          <w:spacing w:val="-4"/>
          <w:sz w:val="20"/>
        </w:rPr>
        <w:t>Score</w:t>
      </w:r>
      <w:r>
        <w:rPr>
          <w:sz w:val="20"/>
        </w:rPr>
        <w:tab/>
      </w:r>
      <w:r>
        <w:rPr>
          <w:rFonts w:ascii="Times New Roman"/>
          <w:sz w:val="20"/>
          <w:u w:val="single"/>
        </w:rPr>
        <w:tab/>
      </w:r>
      <w:r>
        <w:rPr>
          <w:spacing w:val="-10"/>
          <w:sz w:val="20"/>
        </w:rPr>
        <w:t>_</w:t>
      </w:r>
    </w:p>
    <w:p w14:paraId="665DAD6F" w14:textId="77777777" w:rsidR="00DB6E1F" w:rsidRDefault="00F666A6">
      <w:pPr>
        <w:tabs>
          <w:tab w:val="left" w:pos="2879"/>
          <w:tab w:val="left" w:pos="3475"/>
        </w:tabs>
        <w:spacing w:before="120"/>
        <w:ind w:left="1440"/>
        <w:rPr>
          <w:sz w:val="20"/>
        </w:rPr>
      </w:pPr>
      <w:r>
        <w:rPr>
          <w:sz w:val="20"/>
        </w:rPr>
        <w:t>A</w:t>
      </w:r>
      <w:r>
        <w:rPr>
          <w:spacing w:val="-2"/>
          <w:sz w:val="20"/>
        </w:rPr>
        <w:t xml:space="preserve"> Score</w:t>
      </w:r>
      <w:r>
        <w:rPr>
          <w:sz w:val="20"/>
        </w:rPr>
        <w:tab/>
      </w:r>
      <w:r>
        <w:rPr>
          <w:rFonts w:ascii="Times New Roman"/>
          <w:sz w:val="20"/>
          <w:u w:val="single"/>
        </w:rPr>
        <w:tab/>
      </w:r>
      <w:r>
        <w:rPr>
          <w:spacing w:val="-10"/>
          <w:sz w:val="20"/>
        </w:rPr>
        <w:t>_</w:t>
      </w:r>
    </w:p>
    <w:p w14:paraId="32D36C18" w14:textId="77777777" w:rsidR="00DB6E1F" w:rsidRDefault="00F666A6">
      <w:pPr>
        <w:spacing w:before="119"/>
        <w:ind w:left="1440"/>
        <w:rPr>
          <w:sz w:val="20"/>
        </w:rPr>
      </w:pPr>
      <w:r>
        <w:rPr>
          <w:b/>
          <w:sz w:val="20"/>
        </w:rPr>
        <w:t>Scoring:</w:t>
      </w:r>
      <w:r>
        <w:rPr>
          <w:b/>
          <w:spacing w:val="-6"/>
          <w:sz w:val="20"/>
        </w:rPr>
        <w:t xml:space="preserve"> </w:t>
      </w:r>
      <w:r>
        <w:rPr>
          <w:sz w:val="20"/>
        </w:rPr>
        <w:t>The</w:t>
      </w:r>
      <w:r>
        <w:rPr>
          <w:spacing w:val="-4"/>
          <w:sz w:val="20"/>
        </w:rPr>
        <w:t xml:space="preserve"> </w:t>
      </w:r>
      <w:r>
        <w:rPr>
          <w:sz w:val="20"/>
        </w:rPr>
        <w:t>scale</w:t>
      </w:r>
      <w:r>
        <w:rPr>
          <w:spacing w:val="-3"/>
          <w:sz w:val="20"/>
        </w:rPr>
        <w:t xml:space="preserve"> </w:t>
      </w:r>
      <w:r>
        <w:rPr>
          <w:sz w:val="20"/>
        </w:rPr>
        <w:t>score</w:t>
      </w:r>
      <w:r>
        <w:rPr>
          <w:spacing w:val="-4"/>
          <w:sz w:val="20"/>
        </w:rPr>
        <w:t xml:space="preserve"> </w:t>
      </w:r>
      <w:r>
        <w:rPr>
          <w:sz w:val="20"/>
        </w:rPr>
        <w:t>codes</w:t>
      </w:r>
      <w:r>
        <w:rPr>
          <w:spacing w:val="-6"/>
          <w:sz w:val="20"/>
        </w:rPr>
        <w:t xml:space="preserve"> </w:t>
      </w:r>
      <w:r>
        <w:rPr>
          <w:sz w:val="20"/>
        </w:rPr>
        <w:t>represent</w:t>
      </w:r>
      <w:r>
        <w:rPr>
          <w:spacing w:val="-5"/>
          <w:sz w:val="20"/>
        </w:rPr>
        <w:t xml:space="preserve"> </w:t>
      </w:r>
      <w:r>
        <w:rPr>
          <w:sz w:val="20"/>
        </w:rPr>
        <w:t>each</w:t>
      </w:r>
      <w:r>
        <w:rPr>
          <w:spacing w:val="-5"/>
          <w:sz w:val="20"/>
        </w:rPr>
        <w:t xml:space="preserve"> </w:t>
      </w:r>
      <w:r>
        <w:rPr>
          <w:sz w:val="20"/>
        </w:rPr>
        <w:t>of</w:t>
      </w:r>
      <w:r>
        <w:rPr>
          <w:spacing w:val="-6"/>
          <w:sz w:val="20"/>
        </w:rPr>
        <w:t xml:space="preserve"> </w:t>
      </w:r>
      <w:r>
        <w:rPr>
          <w:sz w:val="20"/>
        </w:rPr>
        <w:t>the</w:t>
      </w:r>
      <w:r>
        <w:rPr>
          <w:spacing w:val="-7"/>
          <w:sz w:val="20"/>
        </w:rPr>
        <w:t xml:space="preserve"> </w:t>
      </w:r>
      <w:r>
        <w:rPr>
          <w:sz w:val="20"/>
        </w:rPr>
        <w:t>Stages</w:t>
      </w:r>
      <w:r>
        <w:rPr>
          <w:spacing w:val="-4"/>
          <w:sz w:val="20"/>
        </w:rPr>
        <w:t xml:space="preserve"> </w:t>
      </w:r>
      <w:r>
        <w:rPr>
          <w:sz w:val="20"/>
        </w:rPr>
        <w:t>of</w:t>
      </w:r>
      <w:r>
        <w:rPr>
          <w:spacing w:val="-6"/>
          <w:sz w:val="20"/>
        </w:rPr>
        <w:t xml:space="preserve"> </w:t>
      </w:r>
      <w:r>
        <w:rPr>
          <w:spacing w:val="-2"/>
          <w:sz w:val="20"/>
        </w:rPr>
        <w:t>Change:</w:t>
      </w:r>
    </w:p>
    <w:p w14:paraId="73E6965A" w14:textId="77777777" w:rsidR="00DB6E1F" w:rsidRDefault="00F666A6">
      <w:pPr>
        <w:pStyle w:val="ListParagraph"/>
        <w:numPr>
          <w:ilvl w:val="0"/>
          <w:numId w:val="92"/>
        </w:numPr>
        <w:tabs>
          <w:tab w:val="left" w:pos="1799"/>
          <w:tab w:val="left" w:pos="1800"/>
        </w:tabs>
        <w:spacing w:before="119"/>
        <w:ind w:left="1799" w:hanging="360"/>
        <w:rPr>
          <w:rFonts w:ascii="Symbol" w:hAnsi="Symbol"/>
          <w:sz w:val="20"/>
        </w:rPr>
      </w:pPr>
      <w:r>
        <w:rPr>
          <w:sz w:val="20"/>
        </w:rPr>
        <w:t>Items</w:t>
      </w:r>
      <w:r>
        <w:rPr>
          <w:spacing w:val="-10"/>
          <w:sz w:val="20"/>
        </w:rPr>
        <w:t xml:space="preserve"> </w:t>
      </w:r>
      <w:r>
        <w:rPr>
          <w:sz w:val="20"/>
        </w:rPr>
        <w:t>numbered</w:t>
      </w:r>
      <w:r>
        <w:rPr>
          <w:spacing w:val="-8"/>
          <w:sz w:val="20"/>
        </w:rPr>
        <w:t xml:space="preserve"> </w:t>
      </w:r>
      <w:r>
        <w:rPr>
          <w:sz w:val="20"/>
        </w:rPr>
        <w:t>1,3,6,10</w:t>
      </w:r>
      <w:r>
        <w:rPr>
          <w:spacing w:val="-8"/>
          <w:sz w:val="20"/>
        </w:rPr>
        <w:t xml:space="preserve"> </w:t>
      </w:r>
      <w:r>
        <w:rPr>
          <w:sz w:val="20"/>
        </w:rPr>
        <w:t>=</w:t>
      </w:r>
      <w:r>
        <w:rPr>
          <w:spacing w:val="-10"/>
          <w:sz w:val="20"/>
        </w:rPr>
        <w:t xml:space="preserve"> </w:t>
      </w:r>
      <w:r>
        <w:rPr>
          <w:sz w:val="20"/>
        </w:rPr>
        <w:t>Precontemplation</w:t>
      </w:r>
      <w:r>
        <w:rPr>
          <w:spacing w:val="-8"/>
          <w:sz w:val="20"/>
        </w:rPr>
        <w:t xml:space="preserve"> </w:t>
      </w:r>
      <w:r>
        <w:rPr>
          <w:spacing w:val="-4"/>
          <w:sz w:val="20"/>
        </w:rPr>
        <w:t>(PC)</w:t>
      </w:r>
    </w:p>
    <w:p w14:paraId="7022FF64" w14:textId="77777777" w:rsidR="00DB6E1F" w:rsidRDefault="00F666A6">
      <w:pPr>
        <w:pStyle w:val="ListParagraph"/>
        <w:numPr>
          <w:ilvl w:val="0"/>
          <w:numId w:val="92"/>
        </w:numPr>
        <w:tabs>
          <w:tab w:val="left" w:pos="1799"/>
          <w:tab w:val="left" w:pos="1800"/>
        </w:tabs>
        <w:ind w:left="1799" w:hanging="360"/>
        <w:rPr>
          <w:rFonts w:ascii="Symbol" w:hAnsi="Symbol"/>
          <w:sz w:val="20"/>
        </w:rPr>
      </w:pPr>
      <w:r>
        <w:rPr>
          <w:sz w:val="20"/>
        </w:rPr>
        <w:t>Items</w:t>
      </w:r>
      <w:r>
        <w:rPr>
          <w:spacing w:val="-9"/>
          <w:sz w:val="20"/>
        </w:rPr>
        <w:t xml:space="preserve"> </w:t>
      </w:r>
      <w:r>
        <w:rPr>
          <w:sz w:val="20"/>
        </w:rPr>
        <w:t>numbered</w:t>
      </w:r>
      <w:r>
        <w:rPr>
          <w:spacing w:val="-7"/>
          <w:sz w:val="20"/>
        </w:rPr>
        <w:t xml:space="preserve"> </w:t>
      </w:r>
      <w:r>
        <w:rPr>
          <w:sz w:val="20"/>
        </w:rPr>
        <w:t>2,4,7,11</w:t>
      </w:r>
      <w:r>
        <w:rPr>
          <w:spacing w:val="-8"/>
          <w:sz w:val="20"/>
        </w:rPr>
        <w:t xml:space="preserve"> </w:t>
      </w:r>
      <w:r>
        <w:rPr>
          <w:sz w:val="20"/>
        </w:rPr>
        <w:t>=</w:t>
      </w:r>
      <w:r>
        <w:rPr>
          <w:spacing w:val="-9"/>
          <w:sz w:val="20"/>
        </w:rPr>
        <w:t xml:space="preserve"> </w:t>
      </w:r>
      <w:r>
        <w:rPr>
          <w:sz w:val="20"/>
        </w:rPr>
        <w:t>Contemplation</w:t>
      </w:r>
      <w:r>
        <w:rPr>
          <w:spacing w:val="-6"/>
          <w:sz w:val="20"/>
        </w:rPr>
        <w:t xml:space="preserve"> </w:t>
      </w:r>
      <w:r>
        <w:rPr>
          <w:spacing w:val="-5"/>
          <w:sz w:val="20"/>
        </w:rPr>
        <w:t>(C)</w:t>
      </w:r>
    </w:p>
    <w:p w14:paraId="09AC938C" w14:textId="77777777" w:rsidR="00DB6E1F" w:rsidRDefault="00F666A6">
      <w:pPr>
        <w:pStyle w:val="ListParagraph"/>
        <w:numPr>
          <w:ilvl w:val="0"/>
          <w:numId w:val="92"/>
        </w:numPr>
        <w:tabs>
          <w:tab w:val="left" w:pos="1799"/>
          <w:tab w:val="left" w:pos="1800"/>
        </w:tabs>
        <w:spacing w:before="59"/>
        <w:ind w:left="1799" w:hanging="360"/>
        <w:rPr>
          <w:rFonts w:ascii="Symbol" w:hAnsi="Symbol"/>
          <w:sz w:val="20"/>
        </w:rPr>
      </w:pPr>
      <w:r>
        <w:rPr>
          <w:sz w:val="20"/>
        </w:rPr>
        <w:t>Items</w:t>
      </w:r>
      <w:r>
        <w:rPr>
          <w:spacing w:val="-7"/>
          <w:sz w:val="20"/>
        </w:rPr>
        <w:t xml:space="preserve"> </w:t>
      </w:r>
      <w:r>
        <w:rPr>
          <w:sz w:val="20"/>
        </w:rPr>
        <w:t>numbered</w:t>
      </w:r>
      <w:r>
        <w:rPr>
          <w:spacing w:val="-5"/>
          <w:sz w:val="20"/>
        </w:rPr>
        <w:t xml:space="preserve"> </w:t>
      </w:r>
      <w:r>
        <w:rPr>
          <w:sz w:val="20"/>
        </w:rPr>
        <w:t>5,8,9,12</w:t>
      </w:r>
      <w:r>
        <w:rPr>
          <w:spacing w:val="-6"/>
          <w:sz w:val="20"/>
        </w:rPr>
        <w:t xml:space="preserve"> </w:t>
      </w:r>
      <w:r>
        <w:rPr>
          <w:sz w:val="20"/>
        </w:rPr>
        <w:t>=</w:t>
      </w:r>
      <w:r>
        <w:rPr>
          <w:spacing w:val="-7"/>
          <w:sz w:val="20"/>
        </w:rPr>
        <w:t xml:space="preserve"> </w:t>
      </w:r>
      <w:r>
        <w:rPr>
          <w:sz w:val="20"/>
        </w:rPr>
        <w:t>Action</w:t>
      </w:r>
      <w:r>
        <w:rPr>
          <w:spacing w:val="-5"/>
          <w:sz w:val="20"/>
        </w:rPr>
        <w:t xml:space="preserve"> (A)</w:t>
      </w:r>
    </w:p>
    <w:p w14:paraId="3CA50AD8" w14:textId="77777777" w:rsidR="00DB6E1F" w:rsidRDefault="00F666A6">
      <w:pPr>
        <w:spacing w:before="61"/>
        <w:ind w:left="1440"/>
        <w:rPr>
          <w:sz w:val="20"/>
        </w:rPr>
      </w:pPr>
      <w:r>
        <w:rPr>
          <w:sz w:val="20"/>
        </w:rPr>
        <w:t>All</w:t>
      </w:r>
      <w:r>
        <w:rPr>
          <w:spacing w:val="-6"/>
          <w:sz w:val="20"/>
        </w:rPr>
        <w:t xml:space="preserve"> </w:t>
      </w:r>
      <w:r>
        <w:rPr>
          <w:sz w:val="20"/>
        </w:rPr>
        <w:t>items</w:t>
      </w:r>
      <w:r>
        <w:rPr>
          <w:spacing w:val="-6"/>
          <w:sz w:val="20"/>
        </w:rPr>
        <w:t xml:space="preserve"> </w:t>
      </w:r>
      <w:r>
        <w:rPr>
          <w:sz w:val="20"/>
        </w:rPr>
        <w:t>should</w:t>
      </w:r>
      <w:r>
        <w:rPr>
          <w:spacing w:val="-5"/>
          <w:sz w:val="20"/>
        </w:rPr>
        <w:t xml:space="preserve"> </w:t>
      </w:r>
      <w:r>
        <w:rPr>
          <w:sz w:val="20"/>
        </w:rPr>
        <w:t>be</w:t>
      </w:r>
      <w:r>
        <w:rPr>
          <w:spacing w:val="-6"/>
          <w:sz w:val="20"/>
        </w:rPr>
        <w:t xml:space="preserve"> </w:t>
      </w:r>
      <w:r>
        <w:rPr>
          <w:sz w:val="20"/>
        </w:rPr>
        <w:t>scored</w:t>
      </w:r>
      <w:r>
        <w:rPr>
          <w:spacing w:val="-5"/>
          <w:sz w:val="20"/>
        </w:rPr>
        <w:t xml:space="preserve"> </w:t>
      </w:r>
      <w:r>
        <w:rPr>
          <w:sz w:val="20"/>
        </w:rPr>
        <w:t>on</w:t>
      </w:r>
      <w:r>
        <w:rPr>
          <w:spacing w:val="-4"/>
          <w:sz w:val="20"/>
        </w:rPr>
        <w:t xml:space="preserve"> </w:t>
      </w:r>
      <w:r>
        <w:rPr>
          <w:sz w:val="20"/>
        </w:rPr>
        <w:t>a</w:t>
      </w:r>
      <w:r>
        <w:rPr>
          <w:spacing w:val="-6"/>
          <w:sz w:val="20"/>
        </w:rPr>
        <w:t xml:space="preserve"> </w:t>
      </w:r>
      <w:r>
        <w:rPr>
          <w:sz w:val="20"/>
        </w:rPr>
        <w:t>5-point</w:t>
      </w:r>
      <w:r>
        <w:rPr>
          <w:spacing w:val="-5"/>
          <w:sz w:val="20"/>
        </w:rPr>
        <w:t xml:space="preserve"> </w:t>
      </w:r>
      <w:r>
        <w:rPr>
          <w:sz w:val="20"/>
        </w:rPr>
        <w:t>scale</w:t>
      </w:r>
      <w:r>
        <w:rPr>
          <w:spacing w:val="-6"/>
          <w:sz w:val="20"/>
        </w:rPr>
        <w:t xml:space="preserve"> </w:t>
      </w:r>
      <w:r>
        <w:rPr>
          <w:sz w:val="20"/>
        </w:rPr>
        <w:t>ranging</w:t>
      </w:r>
      <w:r>
        <w:rPr>
          <w:spacing w:val="-4"/>
          <w:sz w:val="20"/>
        </w:rPr>
        <w:t xml:space="preserve"> from:</w:t>
      </w:r>
    </w:p>
    <w:p w14:paraId="229DE806" w14:textId="77777777" w:rsidR="00DB6E1F" w:rsidRDefault="00F666A6">
      <w:pPr>
        <w:spacing w:before="118"/>
        <w:ind w:left="1440"/>
        <w:rPr>
          <w:sz w:val="20"/>
        </w:rPr>
      </w:pPr>
      <w:r>
        <w:rPr>
          <w:sz w:val="20"/>
        </w:rPr>
        <w:t>-2</w:t>
      </w:r>
      <w:r>
        <w:rPr>
          <w:spacing w:val="-5"/>
          <w:sz w:val="20"/>
        </w:rPr>
        <w:t xml:space="preserve"> </w:t>
      </w:r>
      <w:r>
        <w:rPr>
          <w:sz w:val="20"/>
        </w:rPr>
        <w:t>=</w:t>
      </w:r>
      <w:r>
        <w:rPr>
          <w:spacing w:val="-5"/>
          <w:sz w:val="20"/>
        </w:rPr>
        <w:t xml:space="preserve"> </w:t>
      </w:r>
      <w:r>
        <w:rPr>
          <w:sz w:val="20"/>
        </w:rPr>
        <w:t>Strongly</w:t>
      </w:r>
      <w:r>
        <w:rPr>
          <w:spacing w:val="-4"/>
          <w:sz w:val="20"/>
        </w:rPr>
        <w:t xml:space="preserve"> </w:t>
      </w:r>
      <w:r>
        <w:rPr>
          <w:spacing w:val="-2"/>
          <w:sz w:val="20"/>
        </w:rPr>
        <w:t>Disagree</w:t>
      </w:r>
    </w:p>
    <w:p w14:paraId="1EDAE2B5" w14:textId="77777777" w:rsidR="00DB6E1F" w:rsidRDefault="00F666A6">
      <w:pPr>
        <w:spacing w:before="121"/>
        <w:ind w:left="1439"/>
        <w:rPr>
          <w:sz w:val="20"/>
        </w:rPr>
      </w:pPr>
      <w:r>
        <w:rPr>
          <w:sz w:val="20"/>
        </w:rPr>
        <w:t>-1</w:t>
      </w:r>
      <w:r>
        <w:rPr>
          <w:spacing w:val="-3"/>
          <w:sz w:val="20"/>
        </w:rPr>
        <w:t xml:space="preserve"> </w:t>
      </w:r>
      <w:r>
        <w:rPr>
          <w:sz w:val="20"/>
        </w:rPr>
        <w:t>=</w:t>
      </w:r>
      <w:r>
        <w:rPr>
          <w:spacing w:val="-3"/>
          <w:sz w:val="20"/>
        </w:rPr>
        <w:t xml:space="preserve"> </w:t>
      </w:r>
      <w:r>
        <w:rPr>
          <w:spacing w:val="-2"/>
          <w:sz w:val="20"/>
        </w:rPr>
        <w:t>Disagree</w:t>
      </w:r>
    </w:p>
    <w:p w14:paraId="4E37F9E4" w14:textId="77777777" w:rsidR="00DB6E1F" w:rsidRDefault="00F666A6">
      <w:pPr>
        <w:spacing w:before="120"/>
        <w:ind w:left="1439"/>
        <w:rPr>
          <w:sz w:val="20"/>
        </w:rPr>
      </w:pPr>
      <w:r>
        <w:rPr>
          <w:sz w:val="20"/>
        </w:rPr>
        <w:t>0</w:t>
      </w:r>
      <w:r>
        <w:rPr>
          <w:spacing w:val="-4"/>
          <w:sz w:val="20"/>
        </w:rPr>
        <w:t xml:space="preserve"> </w:t>
      </w:r>
      <w:r>
        <w:rPr>
          <w:sz w:val="20"/>
        </w:rPr>
        <w:t>=</w:t>
      </w:r>
      <w:r>
        <w:rPr>
          <w:spacing w:val="-1"/>
          <w:sz w:val="20"/>
        </w:rPr>
        <w:t xml:space="preserve"> </w:t>
      </w:r>
      <w:r>
        <w:rPr>
          <w:spacing w:val="-2"/>
          <w:sz w:val="20"/>
        </w:rPr>
        <w:t>Unsure</w:t>
      </w:r>
    </w:p>
    <w:p w14:paraId="547A8C40" w14:textId="77777777" w:rsidR="00DB6E1F" w:rsidRDefault="00F666A6">
      <w:pPr>
        <w:spacing w:before="121"/>
        <w:ind w:left="1439"/>
        <w:rPr>
          <w:sz w:val="20"/>
        </w:rPr>
      </w:pPr>
      <w:r>
        <w:rPr>
          <w:sz w:val="20"/>
        </w:rPr>
        <w:t>+1</w:t>
      </w:r>
      <w:r>
        <w:rPr>
          <w:spacing w:val="-5"/>
          <w:sz w:val="20"/>
        </w:rPr>
        <w:t xml:space="preserve"> </w:t>
      </w:r>
      <w:r>
        <w:rPr>
          <w:sz w:val="20"/>
        </w:rPr>
        <w:t>=</w:t>
      </w:r>
      <w:r>
        <w:rPr>
          <w:spacing w:val="-2"/>
          <w:sz w:val="20"/>
        </w:rPr>
        <w:t xml:space="preserve"> Agree</w:t>
      </w:r>
    </w:p>
    <w:p w14:paraId="7C6346B7" w14:textId="77777777" w:rsidR="00DB6E1F" w:rsidRDefault="00F666A6">
      <w:pPr>
        <w:spacing w:before="118"/>
        <w:ind w:left="1439"/>
        <w:rPr>
          <w:sz w:val="20"/>
        </w:rPr>
      </w:pPr>
      <w:r>
        <w:rPr>
          <w:sz w:val="20"/>
        </w:rPr>
        <w:t>+2</w:t>
      </w:r>
      <w:r>
        <w:rPr>
          <w:spacing w:val="-5"/>
          <w:sz w:val="20"/>
        </w:rPr>
        <w:t xml:space="preserve"> </w:t>
      </w:r>
      <w:r>
        <w:rPr>
          <w:sz w:val="20"/>
        </w:rPr>
        <w:t>=</w:t>
      </w:r>
      <w:r>
        <w:rPr>
          <w:spacing w:val="-6"/>
          <w:sz w:val="20"/>
        </w:rPr>
        <w:t xml:space="preserve"> </w:t>
      </w:r>
      <w:r>
        <w:rPr>
          <w:sz w:val="20"/>
        </w:rPr>
        <w:t>Strongly</w:t>
      </w:r>
      <w:r>
        <w:rPr>
          <w:spacing w:val="-3"/>
          <w:sz w:val="20"/>
        </w:rPr>
        <w:t xml:space="preserve"> </w:t>
      </w:r>
      <w:r>
        <w:rPr>
          <w:spacing w:val="-2"/>
          <w:sz w:val="20"/>
        </w:rPr>
        <w:t>Agree</w:t>
      </w:r>
    </w:p>
    <w:p w14:paraId="079CE806" w14:textId="77777777" w:rsidR="00DB6E1F" w:rsidRDefault="00F666A6">
      <w:pPr>
        <w:spacing w:before="121"/>
        <w:ind w:left="1439" w:right="1555"/>
        <w:rPr>
          <w:sz w:val="20"/>
        </w:rPr>
      </w:pPr>
      <w:r>
        <w:rPr>
          <w:sz w:val="20"/>
        </w:rPr>
        <w:t>To</w:t>
      </w:r>
      <w:r>
        <w:rPr>
          <w:spacing w:val="-2"/>
          <w:sz w:val="20"/>
        </w:rPr>
        <w:t xml:space="preserve"> </w:t>
      </w:r>
      <w:r>
        <w:rPr>
          <w:sz w:val="20"/>
        </w:rPr>
        <w:t>calculate</w:t>
      </w:r>
      <w:r>
        <w:rPr>
          <w:spacing w:val="-3"/>
          <w:sz w:val="20"/>
        </w:rPr>
        <w:t xml:space="preserve"> </w:t>
      </w:r>
      <w:r>
        <w:rPr>
          <w:sz w:val="20"/>
        </w:rPr>
        <w:t>the</w:t>
      </w:r>
      <w:r>
        <w:rPr>
          <w:spacing w:val="-1"/>
          <w:sz w:val="20"/>
        </w:rPr>
        <w:t xml:space="preserve"> </w:t>
      </w:r>
      <w:r>
        <w:rPr>
          <w:sz w:val="20"/>
        </w:rPr>
        <w:t>score</w:t>
      </w:r>
      <w:r>
        <w:rPr>
          <w:spacing w:val="-1"/>
          <w:sz w:val="20"/>
        </w:rPr>
        <w:t xml:space="preserve"> </w:t>
      </w:r>
      <w:r>
        <w:rPr>
          <w:sz w:val="20"/>
        </w:rPr>
        <w:t>for</w:t>
      </w:r>
      <w:r>
        <w:rPr>
          <w:spacing w:val="-2"/>
          <w:sz w:val="20"/>
        </w:rPr>
        <w:t xml:space="preserve"> </w:t>
      </w:r>
      <w:r>
        <w:rPr>
          <w:sz w:val="20"/>
        </w:rPr>
        <w:t>each</w:t>
      </w:r>
      <w:r>
        <w:rPr>
          <w:spacing w:val="-2"/>
          <w:sz w:val="20"/>
        </w:rPr>
        <w:t xml:space="preserve"> </w:t>
      </w:r>
      <w:r>
        <w:rPr>
          <w:sz w:val="20"/>
        </w:rPr>
        <w:t>scale,</w:t>
      </w:r>
      <w:r>
        <w:rPr>
          <w:spacing w:val="-2"/>
          <w:sz w:val="20"/>
        </w:rPr>
        <w:t xml:space="preserve"> </w:t>
      </w:r>
      <w:r>
        <w:rPr>
          <w:sz w:val="20"/>
        </w:rPr>
        <w:t>simply</w:t>
      </w:r>
      <w:r>
        <w:rPr>
          <w:spacing w:val="-2"/>
          <w:sz w:val="20"/>
        </w:rPr>
        <w:t xml:space="preserve"> </w:t>
      </w:r>
      <w:r>
        <w:rPr>
          <w:sz w:val="20"/>
        </w:rPr>
        <w:t>add</w:t>
      </w:r>
      <w:r>
        <w:rPr>
          <w:spacing w:val="-2"/>
          <w:sz w:val="20"/>
        </w:rPr>
        <w:t xml:space="preserve"> </w:t>
      </w:r>
      <w:r>
        <w:rPr>
          <w:sz w:val="20"/>
        </w:rPr>
        <w:t>the</w:t>
      </w:r>
      <w:r>
        <w:rPr>
          <w:spacing w:val="-3"/>
          <w:sz w:val="20"/>
        </w:rPr>
        <w:t xml:space="preserve"> </w:t>
      </w:r>
      <w:r>
        <w:rPr>
          <w:sz w:val="20"/>
        </w:rPr>
        <w:t>item</w:t>
      </w:r>
      <w:r>
        <w:rPr>
          <w:spacing w:val="-3"/>
          <w:sz w:val="20"/>
        </w:rPr>
        <w:t xml:space="preserve"> </w:t>
      </w:r>
      <w:r>
        <w:rPr>
          <w:sz w:val="20"/>
        </w:rPr>
        <w:t>scores</w:t>
      </w:r>
      <w:r>
        <w:rPr>
          <w:spacing w:val="-2"/>
          <w:sz w:val="20"/>
        </w:rPr>
        <w:t xml:space="preserve"> </w:t>
      </w:r>
      <w:r>
        <w:rPr>
          <w:sz w:val="20"/>
        </w:rPr>
        <w:t>for</w:t>
      </w:r>
      <w:r>
        <w:rPr>
          <w:spacing w:val="-2"/>
          <w:sz w:val="20"/>
        </w:rPr>
        <w:t xml:space="preserve"> </w:t>
      </w:r>
      <w:r>
        <w:rPr>
          <w:sz w:val="20"/>
        </w:rPr>
        <w:t>the</w:t>
      </w:r>
      <w:r>
        <w:rPr>
          <w:spacing w:val="-3"/>
          <w:sz w:val="20"/>
        </w:rPr>
        <w:t xml:space="preserve"> </w:t>
      </w:r>
      <w:r>
        <w:rPr>
          <w:sz w:val="20"/>
        </w:rPr>
        <w:t>scale</w:t>
      </w:r>
      <w:r>
        <w:rPr>
          <w:spacing w:val="-3"/>
          <w:sz w:val="20"/>
        </w:rPr>
        <w:t xml:space="preserve"> </w:t>
      </w:r>
      <w:r>
        <w:rPr>
          <w:sz w:val="20"/>
        </w:rPr>
        <w:t>in</w:t>
      </w:r>
      <w:r>
        <w:rPr>
          <w:spacing w:val="-2"/>
          <w:sz w:val="20"/>
        </w:rPr>
        <w:t xml:space="preserve"> </w:t>
      </w:r>
      <w:r>
        <w:rPr>
          <w:sz w:val="20"/>
        </w:rPr>
        <w:t>question.</w:t>
      </w:r>
      <w:r>
        <w:rPr>
          <w:spacing w:val="-2"/>
          <w:sz w:val="20"/>
        </w:rPr>
        <w:t xml:space="preserve"> </w:t>
      </w:r>
      <w:r>
        <w:rPr>
          <w:sz w:val="20"/>
        </w:rPr>
        <w:t>The</w:t>
      </w:r>
      <w:r>
        <w:rPr>
          <w:spacing w:val="-3"/>
          <w:sz w:val="20"/>
        </w:rPr>
        <w:t xml:space="preserve"> </w:t>
      </w:r>
      <w:r>
        <w:rPr>
          <w:sz w:val="20"/>
        </w:rPr>
        <w:t>range</w:t>
      </w:r>
      <w:r>
        <w:rPr>
          <w:spacing w:val="-3"/>
          <w:sz w:val="20"/>
        </w:rPr>
        <w:t xml:space="preserve"> </w:t>
      </w:r>
      <w:r>
        <w:rPr>
          <w:sz w:val="20"/>
        </w:rPr>
        <w:t>of</w:t>
      </w:r>
      <w:r>
        <w:rPr>
          <w:spacing w:val="-2"/>
          <w:sz w:val="20"/>
        </w:rPr>
        <w:t xml:space="preserve"> </w:t>
      </w:r>
      <w:r>
        <w:rPr>
          <w:sz w:val="20"/>
        </w:rPr>
        <w:t>each</w:t>
      </w:r>
      <w:r>
        <w:rPr>
          <w:spacing w:val="-2"/>
          <w:sz w:val="20"/>
        </w:rPr>
        <w:t xml:space="preserve"> </w:t>
      </w:r>
      <w:r>
        <w:rPr>
          <w:sz w:val="20"/>
        </w:rPr>
        <w:t>scale is</w:t>
      </w:r>
      <w:r>
        <w:rPr>
          <w:spacing w:val="-3"/>
          <w:sz w:val="20"/>
        </w:rPr>
        <w:t xml:space="preserve"> </w:t>
      </w:r>
      <w:r>
        <w:rPr>
          <w:sz w:val="20"/>
        </w:rPr>
        <w:t>-10</w:t>
      </w:r>
      <w:r>
        <w:rPr>
          <w:spacing w:val="-2"/>
          <w:sz w:val="20"/>
        </w:rPr>
        <w:t xml:space="preserve"> </w:t>
      </w:r>
      <w:r>
        <w:rPr>
          <w:sz w:val="20"/>
        </w:rPr>
        <w:t>through</w:t>
      </w:r>
      <w:r>
        <w:rPr>
          <w:spacing w:val="-1"/>
          <w:sz w:val="20"/>
        </w:rPr>
        <w:t xml:space="preserve"> </w:t>
      </w:r>
      <w:r>
        <w:rPr>
          <w:sz w:val="20"/>
        </w:rPr>
        <w:t>0</w:t>
      </w:r>
      <w:r>
        <w:rPr>
          <w:spacing w:val="-2"/>
          <w:sz w:val="20"/>
        </w:rPr>
        <w:t xml:space="preserve"> </w:t>
      </w:r>
      <w:r>
        <w:rPr>
          <w:sz w:val="20"/>
        </w:rPr>
        <w:t>to</w:t>
      </w:r>
      <w:r>
        <w:rPr>
          <w:spacing w:val="-2"/>
          <w:sz w:val="20"/>
        </w:rPr>
        <w:t xml:space="preserve"> </w:t>
      </w:r>
      <w:r>
        <w:rPr>
          <w:sz w:val="20"/>
        </w:rPr>
        <w:t>+10.</w:t>
      </w:r>
      <w:r>
        <w:rPr>
          <w:spacing w:val="-2"/>
          <w:sz w:val="20"/>
        </w:rPr>
        <w:t xml:space="preserve"> </w:t>
      </w:r>
      <w:r>
        <w:rPr>
          <w:sz w:val="20"/>
        </w:rPr>
        <w:t>A</w:t>
      </w:r>
      <w:r>
        <w:rPr>
          <w:spacing w:val="-2"/>
          <w:sz w:val="20"/>
        </w:rPr>
        <w:t xml:space="preserve"> </w:t>
      </w:r>
      <w:r>
        <w:rPr>
          <w:sz w:val="20"/>
        </w:rPr>
        <w:t>negative scale score</w:t>
      </w:r>
      <w:r>
        <w:rPr>
          <w:spacing w:val="-3"/>
          <w:sz w:val="20"/>
        </w:rPr>
        <w:t xml:space="preserve"> </w:t>
      </w:r>
      <w:r>
        <w:rPr>
          <w:sz w:val="20"/>
        </w:rPr>
        <w:t>reflects</w:t>
      </w:r>
      <w:r>
        <w:rPr>
          <w:spacing w:val="-3"/>
          <w:sz w:val="20"/>
        </w:rPr>
        <w:t xml:space="preserve"> </w:t>
      </w:r>
      <w:r>
        <w:rPr>
          <w:sz w:val="20"/>
        </w:rPr>
        <w:t>an</w:t>
      </w:r>
      <w:r>
        <w:rPr>
          <w:spacing w:val="-1"/>
          <w:sz w:val="20"/>
        </w:rPr>
        <w:t xml:space="preserve"> </w:t>
      </w:r>
      <w:r>
        <w:rPr>
          <w:sz w:val="20"/>
        </w:rPr>
        <w:t>overall</w:t>
      </w:r>
      <w:r>
        <w:rPr>
          <w:spacing w:val="-2"/>
          <w:sz w:val="20"/>
        </w:rPr>
        <w:t xml:space="preserve"> </w:t>
      </w:r>
      <w:r>
        <w:rPr>
          <w:sz w:val="20"/>
        </w:rPr>
        <w:t>disagreement</w:t>
      </w:r>
      <w:r>
        <w:rPr>
          <w:spacing w:val="-2"/>
          <w:sz w:val="20"/>
        </w:rPr>
        <w:t xml:space="preserve"> </w:t>
      </w:r>
      <w:r>
        <w:rPr>
          <w:sz w:val="20"/>
        </w:rPr>
        <w:t>with</w:t>
      </w:r>
      <w:r>
        <w:rPr>
          <w:spacing w:val="-1"/>
          <w:sz w:val="20"/>
        </w:rPr>
        <w:t xml:space="preserve"> </w:t>
      </w:r>
      <w:r>
        <w:rPr>
          <w:sz w:val="20"/>
        </w:rPr>
        <w:t>items</w:t>
      </w:r>
      <w:r>
        <w:rPr>
          <w:spacing w:val="-3"/>
          <w:sz w:val="20"/>
        </w:rPr>
        <w:t xml:space="preserve"> </w:t>
      </w:r>
      <w:r>
        <w:rPr>
          <w:sz w:val="20"/>
        </w:rPr>
        <w:t>measuring</w:t>
      </w:r>
      <w:r>
        <w:rPr>
          <w:spacing w:val="-2"/>
          <w:sz w:val="20"/>
        </w:rPr>
        <w:t xml:space="preserve"> </w:t>
      </w:r>
      <w:r>
        <w:rPr>
          <w:sz w:val="20"/>
        </w:rPr>
        <w:t>the</w:t>
      </w:r>
      <w:r>
        <w:rPr>
          <w:spacing w:val="-3"/>
          <w:sz w:val="20"/>
        </w:rPr>
        <w:t xml:space="preserve"> </w:t>
      </w:r>
      <w:r>
        <w:rPr>
          <w:sz w:val="20"/>
        </w:rPr>
        <w:t>stage</w:t>
      </w:r>
      <w:r>
        <w:rPr>
          <w:spacing w:val="-3"/>
          <w:sz w:val="20"/>
        </w:rPr>
        <w:t xml:space="preserve"> </w:t>
      </w:r>
      <w:r>
        <w:rPr>
          <w:sz w:val="20"/>
        </w:rPr>
        <w:t>of change, whereas a positive score represents overall agreement. The highest scale score represents the Stage of Change Designation.</w:t>
      </w:r>
    </w:p>
    <w:p w14:paraId="297DE64D" w14:textId="77777777" w:rsidR="00DB6E1F" w:rsidRDefault="00F666A6">
      <w:pPr>
        <w:spacing w:before="120"/>
        <w:ind w:left="1439" w:right="1540"/>
        <w:rPr>
          <w:sz w:val="20"/>
        </w:rPr>
      </w:pPr>
      <w:r>
        <w:rPr>
          <w:sz w:val="20"/>
        </w:rPr>
        <w:t>If two or more scale scores are equal, then the scale farther along the continuum of change (Precontemplation- Contemplati</w:t>
      </w:r>
      <w:r>
        <w:rPr>
          <w:sz w:val="20"/>
        </w:rPr>
        <w:t>on-Action)</w:t>
      </w:r>
      <w:r>
        <w:rPr>
          <w:spacing w:val="-3"/>
          <w:sz w:val="20"/>
        </w:rPr>
        <w:t xml:space="preserve"> </w:t>
      </w:r>
      <w:r>
        <w:rPr>
          <w:sz w:val="20"/>
        </w:rPr>
        <w:t>represents</w:t>
      </w:r>
      <w:r>
        <w:rPr>
          <w:spacing w:val="-4"/>
          <w:sz w:val="20"/>
        </w:rPr>
        <w:t xml:space="preserve"> </w:t>
      </w:r>
      <w:r>
        <w:rPr>
          <w:sz w:val="20"/>
        </w:rPr>
        <w:t>the</w:t>
      </w:r>
      <w:r>
        <w:rPr>
          <w:spacing w:val="-4"/>
          <w:sz w:val="20"/>
        </w:rPr>
        <w:t xml:space="preserve"> </w:t>
      </w:r>
      <w:r>
        <w:rPr>
          <w:sz w:val="20"/>
        </w:rPr>
        <w:t>subject’s</w:t>
      </w:r>
      <w:r>
        <w:rPr>
          <w:spacing w:val="-4"/>
          <w:sz w:val="20"/>
        </w:rPr>
        <w:t xml:space="preserve"> </w:t>
      </w:r>
      <w:r>
        <w:rPr>
          <w:sz w:val="20"/>
        </w:rPr>
        <w:t>Stage</w:t>
      </w:r>
      <w:r>
        <w:rPr>
          <w:spacing w:val="-4"/>
          <w:sz w:val="20"/>
        </w:rPr>
        <w:t xml:space="preserve"> </w:t>
      </w:r>
      <w:r>
        <w:rPr>
          <w:sz w:val="20"/>
        </w:rPr>
        <w:t>of</w:t>
      </w:r>
      <w:r>
        <w:rPr>
          <w:spacing w:val="-4"/>
          <w:sz w:val="20"/>
        </w:rPr>
        <w:t xml:space="preserve"> </w:t>
      </w:r>
      <w:r>
        <w:rPr>
          <w:sz w:val="20"/>
        </w:rPr>
        <w:t>Change</w:t>
      </w:r>
      <w:r>
        <w:rPr>
          <w:spacing w:val="-4"/>
          <w:sz w:val="20"/>
        </w:rPr>
        <w:t xml:space="preserve"> </w:t>
      </w:r>
      <w:r>
        <w:rPr>
          <w:sz w:val="20"/>
        </w:rPr>
        <w:t>Designation.</w:t>
      </w:r>
      <w:r>
        <w:rPr>
          <w:spacing w:val="-3"/>
          <w:sz w:val="20"/>
        </w:rPr>
        <w:t xml:space="preserve"> </w:t>
      </w:r>
      <w:r>
        <w:rPr>
          <w:sz w:val="20"/>
        </w:rPr>
        <w:t>For</w:t>
      </w:r>
      <w:r>
        <w:rPr>
          <w:spacing w:val="-3"/>
          <w:sz w:val="20"/>
        </w:rPr>
        <w:t xml:space="preserve"> </w:t>
      </w:r>
      <w:r>
        <w:rPr>
          <w:sz w:val="20"/>
        </w:rPr>
        <w:t>example,</w:t>
      </w:r>
      <w:r>
        <w:rPr>
          <w:spacing w:val="-2"/>
          <w:sz w:val="20"/>
        </w:rPr>
        <w:t xml:space="preserve"> </w:t>
      </w:r>
      <w:r>
        <w:rPr>
          <w:sz w:val="20"/>
        </w:rPr>
        <w:t>if</w:t>
      </w:r>
      <w:r>
        <w:rPr>
          <w:spacing w:val="-4"/>
          <w:sz w:val="20"/>
        </w:rPr>
        <w:t xml:space="preserve"> </w:t>
      </w:r>
      <w:r>
        <w:rPr>
          <w:sz w:val="20"/>
        </w:rPr>
        <w:t>a</w:t>
      </w:r>
      <w:r>
        <w:rPr>
          <w:spacing w:val="-3"/>
          <w:sz w:val="20"/>
        </w:rPr>
        <w:t xml:space="preserve"> </w:t>
      </w:r>
      <w:r>
        <w:rPr>
          <w:sz w:val="20"/>
        </w:rPr>
        <w:t>subject</w:t>
      </w:r>
      <w:r>
        <w:rPr>
          <w:spacing w:val="-3"/>
          <w:sz w:val="20"/>
        </w:rPr>
        <w:t xml:space="preserve"> </w:t>
      </w:r>
      <w:r>
        <w:rPr>
          <w:sz w:val="20"/>
        </w:rPr>
        <w:t>scores</w:t>
      </w:r>
      <w:r>
        <w:rPr>
          <w:spacing w:val="-4"/>
          <w:sz w:val="20"/>
        </w:rPr>
        <w:t xml:space="preserve"> </w:t>
      </w:r>
      <w:r>
        <w:rPr>
          <w:sz w:val="20"/>
        </w:rPr>
        <w:t>6</w:t>
      </w:r>
      <w:r>
        <w:rPr>
          <w:spacing w:val="-3"/>
          <w:sz w:val="20"/>
        </w:rPr>
        <w:t xml:space="preserve"> </w:t>
      </w:r>
      <w:r>
        <w:rPr>
          <w:sz w:val="20"/>
        </w:rPr>
        <w:t>on the Precontemplation scale, 6 on the Contemplation scale and -2 on the Action scale, then the subject is assigned to the Contemplation stage.</w:t>
      </w:r>
    </w:p>
    <w:p w14:paraId="5DF8F3AF" w14:textId="77777777" w:rsidR="00DB6E1F" w:rsidRDefault="00F666A6">
      <w:pPr>
        <w:spacing w:before="120"/>
        <w:ind w:left="1439" w:right="1466" w:hanging="1"/>
        <w:rPr>
          <w:sz w:val="20"/>
        </w:rPr>
      </w:pPr>
      <w:r>
        <w:rPr>
          <w:sz w:val="20"/>
        </w:rPr>
        <w:t>If</w:t>
      </w:r>
      <w:r>
        <w:rPr>
          <w:spacing w:val="-3"/>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five</w:t>
      </w:r>
      <w:r>
        <w:rPr>
          <w:spacing w:val="-3"/>
          <w:sz w:val="20"/>
        </w:rPr>
        <w:t xml:space="preserve"> </w:t>
      </w:r>
      <w:r>
        <w:rPr>
          <w:sz w:val="20"/>
        </w:rPr>
        <w:t>items</w:t>
      </w:r>
      <w:r>
        <w:rPr>
          <w:spacing w:val="-3"/>
          <w:sz w:val="20"/>
        </w:rPr>
        <w:t xml:space="preserve"> </w:t>
      </w:r>
      <w:r>
        <w:rPr>
          <w:sz w:val="20"/>
        </w:rPr>
        <w:t>on</w:t>
      </w:r>
      <w:r>
        <w:rPr>
          <w:spacing w:val="-1"/>
          <w:sz w:val="20"/>
        </w:rPr>
        <w:t xml:space="preserve"> </w:t>
      </w:r>
      <w:r>
        <w:rPr>
          <w:sz w:val="20"/>
        </w:rPr>
        <w:t>a</w:t>
      </w:r>
      <w:r>
        <w:rPr>
          <w:spacing w:val="-1"/>
          <w:sz w:val="20"/>
        </w:rPr>
        <w:t xml:space="preserve"> </w:t>
      </w:r>
      <w:r>
        <w:rPr>
          <w:sz w:val="20"/>
        </w:rPr>
        <w:t>scale</w:t>
      </w:r>
      <w:r>
        <w:rPr>
          <w:spacing w:val="-3"/>
          <w:sz w:val="20"/>
        </w:rPr>
        <w:t xml:space="preserve"> </w:t>
      </w:r>
      <w:r>
        <w:rPr>
          <w:sz w:val="20"/>
        </w:rPr>
        <w:t>is</w:t>
      </w:r>
      <w:r>
        <w:rPr>
          <w:spacing w:val="-3"/>
          <w:sz w:val="20"/>
        </w:rPr>
        <w:t xml:space="preserve"> </w:t>
      </w:r>
      <w:r>
        <w:rPr>
          <w:sz w:val="20"/>
        </w:rPr>
        <w:t>missing,</w:t>
      </w:r>
      <w:r>
        <w:rPr>
          <w:spacing w:val="-1"/>
          <w:sz w:val="20"/>
        </w:rPr>
        <w:t xml:space="preserve"> </w:t>
      </w:r>
      <w:r>
        <w:rPr>
          <w:sz w:val="20"/>
        </w:rPr>
        <w:t>the</w:t>
      </w:r>
      <w:r>
        <w:rPr>
          <w:spacing w:val="-3"/>
          <w:sz w:val="20"/>
        </w:rPr>
        <w:t xml:space="preserve"> </w:t>
      </w:r>
      <w:r>
        <w:rPr>
          <w:sz w:val="20"/>
        </w:rPr>
        <w:t>subject’s</w:t>
      </w:r>
      <w:r>
        <w:rPr>
          <w:spacing w:val="-3"/>
          <w:sz w:val="20"/>
        </w:rPr>
        <w:t xml:space="preserve"> </w:t>
      </w:r>
      <w:r>
        <w:rPr>
          <w:sz w:val="20"/>
        </w:rPr>
        <w:t>score</w:t>
      </w:r>
      <w:r>
        <w:rPr>
          <w:spacing w:val="-3"/>
          <w:sz w:val="20"/>
        </w:rPr>
        <w:t xml:space="preserve"> </w:t>
      </w:r>
      <w:r>
        <w:rPr>
          <w:sz w:val="20"/>
        </w:rPr>
        <w:t>for</w:t>
      </w:r>
      <w:r>
        <w:rPr>
          <w:spacing w:val="-2"/>
          <w:sz w:val="20"/>
        </w:rPr>
        <w:t xml:space="preserve"> </w:t>
      </w:r>
      <w:r>
        <w:rPr>
          <w:sz w:val="20"/>
        </w:rPr>
        <w:t>that</w:t>
      </w:r>
      <w:r>
        <w:rPr>
          <w:spacing w:val="-2"/>
          <w:sz w:val="20"/>
        </w:rPr>
        <w:t xml:space="preserve"> </w:t>
      </w:r>
      <w:r>
        <w:rPr>
          <w:sz w:val="20"/>
        </w:rPr>
        <w:t>scale should</w:t>
      </w:r>
      <w:r>
        <w:rPr>
          <w:spacing w:val="-1"/>
          <w:sz w:val="20"/>
        </w:rPr>
        <w:t xml:space="preserve"> </w:t>
      </w:r>
      <w:r>
        <w:rPr>
          <w:sz w:val="20"/>
        </w:rPr>
        <w:t>be</w:t>
      </w:r>
      <w:r>
        <w:rPr>
          <w:spacing w:val="-3"/>
          <w:sz w:val="20"/>
        </w:rPr>
        <w:t xml:space="preserve"> </w:t>
      </w:r>
      <w:r>
        <w:rPr>
          <w:sz w:val="20"/>
        </w:rPr>
        <w:t>prorated</w:t>
      </w:r>
      <w:r>
        <w:rPr>
          <w:spacing w:val="-1"/>
          <w:sz w:val="20"/>
        </w:rPr>
        <w:t xml:space="preserve"> </w:t>
      </w:r>
      <w:r>
        <w:rPr>
          <w:sz w:val="20"/>
        </w:rPr>
        <w:t>(i.e.,</w:t>
      </w:r>
      <w:r>
        <w:rPr>
          <w:spacing w:val="-1"/>
          <w:sz w:val="20"/>
        </w:rPr>
        <w:t xml:space="preserve"> </w:t>
      </w:r>
      <w:r>
        <w:rPr>
          <w:sz w:val="20"/>
        </w:rPr>
        <w:t>mu</w:t>
      </w:r>
      <w:r>
        <w:rPr>
          <w:sz w:val="20"/>
        </w:rPr>
        <w:t>ltiplied</w:t>
      </w:r>
      <w:r>
        <w:rPr>
          <w:spacing w:val="-1"/>
          <w:sz w:val="20"/>
        </w:rPr>
        <w:t xml:space="preserve"> </w:t>
      </w:r>
      <w:r>
        <w:rPr>
          <w:sz w:val="20"/>
        </w:rPr>
        <w:t>by 4/3 or 1.33). If two or more items are missing, the scale score cannot be calculated. In this case the Stage of Change Designation will be invalid.</w:t>
      </w:r>
    </w:p>
    <w:p w14:paraId="32A96701" w14:textId="77777777" w:rsidR="00DB6E1F" w:rsidRDefault="00DB6E1F">
      <w:pPr>
        <w:pStyle w:val="BodyText"/>
        <w:spacing w:before="9"/>
        <w:rPr>
          <w:sz w:val="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09D849BC" w14:textId="77777777">
        <w:trPr>
          <w:trHeight w:val="647"/>
        </w:trPr>
        <w:tc>
          <w:tcPr>
            <w:tcW w:w="9350" w:type="dxa"/>
          </w:tcPr>
          <w:p w14:paraId="27E15074" w14:textId="77777777" w:rsidR="00DB6E1F" w:rsidRDefault="00F666A6">
            <w:pPr>
              <w:pStyle w:val="TableParagraph"/>
              <w:spacing w:before="80"/>
              <w:ind w:right="169"/>
              <w:rPr>
                <w:i/>
                <w:sz w:val="20"/>
              </w:rPr>
            </w:pPr>
            <w:r>
              <w:rPr>
                <w:i/>
                <w:sz w:val="20"/>
              </w:rPr>
              <w:t>Source:</w:t>
            </w:r>
            <w:r>
              <w:rPr>
                <w:i/>
                <w:spacing w:val="-4"/>
                <w:sz w:val="20"/>
              </w:rPr>
              <w:t xml:space="preserve"> </w:t>
            </w:r>
            <w:r>
              <w:rPr>
                <w:i/>
                <w:sz w:val="20"/>
              </w:rPr>
              <w:t>Heather</w:t>
            </w:r>
            <w:r>
              <w:rPr>
                <w:i/>
                <w:spacing w:val="-6"/>
                <w:sz w:val="20"/>
              </w:rPr>
              <w:t xml:space="preserve"> </w:t>
            </w:r>
            <w:r>
              <w:rPr>
                <w:i/>
                <w:sz w:val="20"/>
              </w:rPr>
              <w:t>&amp;</w:t>
            </w:r>
            <w:r>
              <w:rPr>
                <w:i/>
                <w:spacing w:val="-3"/>
                <w:sz w:val="20"/>
              </w:rPr>
              <w:t xml:space="preserve"> </w:t>
            </w:r>
            <w:r>
              <w:rPr>
                <w:i/>
                <w:sz w:val="20"/>
              </w:rPr>
              <w:t>Honekopp,</w:t>
            </w:r>
            <w:r>
              <w:rPr>
                <w:i/>
                <w:spacing w:val="-6"/>
                <w:sz w:val="20"/>
              </w:rPr>
              <w:t xml:space="preserve"> </w:t>
            </w:r>
            <w:r>
              <w:rPr>
                <w:i/>
                <w:sz w:val="20"/>
              </w:rPr>
              <w:t>2008.</w:t>
            </w:r>
            <w:r>
              <w:rPr>
                <w:i/>
                <w:spacing w:val="-4"/>
                <w:sz w:val="20"/>
              </w:rPr>
              <w:t xml:space="preserve"> </w:t>
            </w:r>
            <w:r>
              <w:rPr>
                <w:i/>
                <w:sz w:val="20"/>
              </w:rPr>
              <w:t>Adapted</w:t>
            </w:r>
            <w:r>
              <w:rPr>
                <w:i/>
                <w:spacing w:val="-3"/>
                <w:sz w:val="20"/>
              </w:rPr>
              <w:t xml:space="preserve"> </w:t>
            </w:r>
            <w:r>
              <w:rPr>
                <w:i/>
                <w:sz w:val="20"/>
              </w:rPr>
              <w:t>with</w:t>
            </w:r>
            <w:r>
              <w:rPr>
                <w:i/>
                <w:spacing w:val="-3"/>
                <w:sz w:val="20"/>
              </w:rPr>
              <w:t xml:space="preserve"> </w:t>
            </w:r>
            <w:r>
              <w:rPr>
                <w:i/>
                <w:sz w:val="20"/>
              </w:rPr>
              <w:t>permission.</w:t>
            </w:r>
            <w:r>
              <w:rPr>
                <w:i/>
                <w:spacing w:val="-4"/>
                <w:sz w:val="20"/>
              </w:rPr>
              <w:t xml:space="preserve"> </w:t>
            </w:r>
            <w:r>
              <w:rPr>
                <w:i/>
                <w:sz w:val="20"/>
              </w:rPr>
              <w:t>Source</w:t>
            </w:r>
            <w:r>
              <w:rPr>
                <w:i/>
                <w:spacing w:val="-3"/>
                <w:sz w:val="20"/>
              </w:rPr>
              <w:t xml:space="preserve"> </w:t>
            </w:r>
            <w:r>
              <w:rPr>
                <w:i/>
                <w:sz w:val="20"/>
              </w:rPr>
              <w:t>article</w:t>
            </w:r>
            <w:r>
              <w:rPr>
                <w:i/>
                <w:spacing w:val="-3"/>
                <w:sz w:val="20"/>
              </w:rPr>
              <w:t xml:space="preserve"> </w:t>
            </w:r>
            <w:r>
              <w:rPr>
                <w:i/>
                <w:sz w:val="20"/>
              </w:rPr>
              <w:t>and</w:t>
            </w:r>
            <w:r>
              <w:rPr>
                <w:i/>
                <w:spacing w:val="-3"/>
                <w:sz w:val="20"/>
              </w:rPr>
              <w:t xml:space="preserve"> </w:t>
            </w:r>
            <w:r>
              <w:rPr>
                <w:i/>
                <w:sz w:val="20"/>
              </w:rPr>
              <w:t>questionnaire</w:t>
            </w:r>
            <w:r>
              <w:rPr>
                <w:i/>
                <w:spacing w:val="-3"/>
                <w:sz w:val="20"/>
              </w:rPr>
              <w:t xml:space="preserve"> </w:t>
            </w:r>
            <w:r>
              <w:rPr>
                <w:i/>
                <w:sz w:val="20"/>
              </w:rPr>
              <w:t>are</w:t>
            </w:r>
            <w:r>
              <w:rPr>
                <w:i/>
                <w:spacing w:val="-3"/>
                <w:sz w:val="20"/>
              </w:rPr>
              <w:t xml:space="preserve"> </w:t>
            </w:r>
            <w:r>
              <w:rPr>
                <w:i/>
                <w:sz w:val="20"/>
              </w:rPr>
              <w:t xml:space="preserve">available online at no cost </w:t>
            </w:r>
            <w:hyperlink r:id="rId172">
              <w:r>
                <w:rPr>
                  <w:i/>
                  <w:sz w:val="20"/>
                </w:rPr>
                <w:t>(</w:t>
              </w:r>
              <w:r>
                <w:rPr>
                  <w:i/>
                  <w:color w:val="0563C1"/>
                  <w:sz w:val="20"/>
                  <w:u w:val="single" w:color="0563C1"/>
                </w:rPr>
                <w:t>https://ndarc.med.unsw.edu.au/sites/default/files/ndarc/resources/TR.019.pdf</w:t>
              </w:r>
              <w:r>
                <w:rPr>
                  <w:i/>
                  <w:sz w:val="20"/>
                </w:rPr>
                <w:t>)</w:t>
              </w:r>
            </w:hyperlink>
            <w:r>
              <w:rPr>
                <w:i/>
                <w:sz w:val="20"/>
              </w:rPr>
              <w:t>.</w:t>
            </w:r>
          </w:p>
        </w:tc>
      </w:tr>
    </w:tbl>
    <w:p w14:paraId="499171BC" w14:textId="77777777" w:rsidR="00DB6E1F" w:rsidRDefault="00DB6E1F">
      <w:pPr>
        <w:rPr>
          <w:sz w:val="20"/>
        </w:rPr>
        <w:sectPr w:rsidR="00DB6E1F">
          <w:pgSz w:w="12240" w:h="15840"/>
          <w:pgMar w:top="1200" w:right="0" w:bottom="780" w:left="0" w:header="763" w:footer="585" w:gutter="0"/>
          <w:cols w:space="720"/>
        </w:sectPr>
      </w:pPr>
    </w:p>
    <w:p w14:paraId="6BC51B3A" w14:textId="77777777" w:rsidR="00DB6E1F" w:rsidRDefault="00F666A6">
      <w:pPr>
        <w:pStyle w:val="Heading2"/>
        <w:spacing w:before="42"/>
      </w:pPr>
      <w:bookmarkStart w:id="242" w:name="6._Stages_of_Change_Readiness_and_Treatm"/>
      <w:bookmarkStart w:id="243" w:name="_bookmark56"/>
      <w:bookmarkEnd w:id="242"/>
      <w:bookmarkEnd w:id="243"/>
      <w:r>
        <w:lastRenderedPageBreak/>
        <w:t>Scale‒Alcohol</w:t>
      </w:r>
      <w:r>
        <w:rPr>
          <w:spacing w:val="-7"/>
        </w:rPr>
        <w:t xml:space="preserve"> </w:t>
      </w:r>
      <w:r>
        <w:t>(SOCR</w:t>
      </w:r>
      <w:r>
        <w:t>ATES</w:t>
      </w:r>
      <w:r>
        <w:rPr>
          <w:spacing w:val="-6"/>
        </w:rPr>
        <w:t xml:space="preserve"> </w:t>
      </w:r>
      <w:r>
        <w:rPr>
          <w:spacing w:val="-5"/>
        </w:rPr>
        <w:t>8A)</w:t>
      </w:r>
    </w:p>
    <w:p w14:paraId="03B2696C" w14:textId="77777777" w:rsidR="00DB6E1F" w:rsidRDefault="00F666A6">
      <w:pPr>
        <w:spacing w:before="152"/>
        <w:ind w:left="1440" w:right="1555"/>
        <w:rPr>
          <w:sz w:val="20"/>
        </w:rPr>
      </w:pPr>
      <w:r>
        <w:rPr>
          <w:b/>
          <w:sz w:val="20"/>
        </w:rPr>
        <w:t xml:space="preserve">Instructions: </w:t>
      </w:r>
      <w:r>
        <w:rPr>
          <w:sz w:val="20"/>
        </w:rPr>
        <w:t>Please read the following statements carefully. Each one describes a way that you might (or might not)</w:t>
      </w:r>
      <w:r>
        <w:rPr>
          <w:spacing w:val="-2"/>
          <w:sz w:val="20"/>
        </w:rPr>
        <w:t xml:space="preserve"> </w:t>
      </w:r>
      <w:r>
        <w:rPr>
          <w:sz w:val="20"/>
        </w:rPr>
        <w:t>feel</w:t>
      </w:r>
      <w:r>
        <w:rPr>
          <w:spacing w:val="-2"/>
          <w:sz w:val="20"/>
        </w:rPr>
        <w:t xml:space="preserve"> </w:t>
      </w:r>
      <w:r>
        <w:rPr>
          <w:i/>
          <w:sz w:val="20"/>
        </w:rPr>
        <w:t>about</w:t>
      </w:r>
      <w:r>
        <w:rPr>
          <w:i/>
          <w:spacing w:val="-2"/>
          <w:sz w:val="20"/>
        </w:rPr>
        <w:t xml:space="preserve"> </w:t>
      </w:r>
      <w:r>
        <w:rPr>
          <w:i/>
          <w:sz w:val="20"/>
        </w:rPr>
        <w:t>your</w:t>
      </w:r>
      <w:r>
        <w:rPr>
          <w:i/>
          <w:spacing w:val="-3"/>
          <w:sz w:val="20"/>
        </w:rPr>
        <w:t xml:space="preserve"> </w:t>
      </w:r>
      <w:r>
        <w:rPr>
          <w:i/>
          <w:sz w:val="20"/>
        </w:rPr>
        <w:t>drinking</w:t>
      </w:r>
      <w:r>
        <w:rPr>
          <w:sz w:val="20"/>
        </w:rPr>
        <w:t>.</w:t>
      </w:r>
      <w:r>
        <w:rPr>
          <w:spacing w:val="-2"/>
          <w:sz w:val="20"/>
        </w:rPr>
        <w:t xml:space="preserve"> </w:t>
      </w:r>
      <w:r>
        <w:rPr>
          <w:sz w:val="20"/>
        </w:rPr>
        <w:t>For</w:t>
      </w:r>
      <w:r>
        <w:rPr>
          <w:spacing w:val="-2"/>
          <w:sz w:val="20"/>
        </w:rPr>
        <w:t xml:space="preserve"> </w:t>
      </w:r>
      <w:r>
        <w:rPr>
          <w:sz w:val="20"/>
        </w:rPr>
        <w:t>each</w:t>
      </w:r>
      <w:r>
        <w:rPr>
          <w:spacing w:val="-2"/>
          <w:sz w:val="20"/>
        </w:rPr>
        <w:t xml:space="preserve"> </w:t>
      </w:r>
      <w:r>
        <w:rPr>
          <w:sz w:val="20"/>
        </w:rPr>
        <w:t>statement,</w:t>
      </w:r>
      <w:r>
        <w:rPr>
          <w:spacing w:val="-2"/>
          <w:sz w:val="20"/>
        </w:rPr>
        <w:t xml:space="preserve"> </w:t>
      </w:r>
      <w:r>
        <w:rPr>
          <w:sz w:val="20"/>
        </w:rPr>
        <w:t>circle</w:t>
      </w:r>
      <w:r>
        <w:rPr>
          <w:spacing w:val="-3"/>
          <w:sz w:val="20"/>
        </w:rPr>
        <w:t xml:space="preserve"> </w:t>
      </w:r>
      <w:r>
        <w:rPr>
          <w:sz w:val="20"/>
        </w:rPr>
        <w:t>one</w:t>
      </w:r>
      <w:r>
        <w:rPr>
          <w:spacing w:val="-3"/>
          <w:sz w:val="20"/>
        </w:rPr>
        <w:t xml:space="preserve"> </w:t>
      </w:r>
      <w:r>
        <w:rPr>
          <w:sz w:val="20"/>
        </w:rPr>
        <w:t>number</w:t>
      </w:r>
      <w:r>
        <w:rPr>
          <w:spacing w:val="-2"/>
          <w:sz w:val="20"/>
        </w:rPr>
        <w:t xml:space="preserve"> </w:t>
      </w:r>
      <w:r>
        <w:rPr>
          <w:sz w:val="20"/>
        </w:rPr>
        <w:t>from</w:t>
      </w:r>
      <w:r>
        <w:rPr>
          <w:spacing w:val="-2"/>
          <w:sz w:val="20"/>
        </w:rPr>
        <w:t xml:space="preserve"> </w:t>
      </w:r>
      <w:r>
        <w:rPr>
          <w:sz w:val="20"/>
        </w:rPr>
        <w:t>1</w:t>
      </w:r>
      <w:r>
        <w:rPr>
          <w:spacing w:val="-2"/>
          <w:sz w:val="20"/>
        </w:rPr>
        <w:t xml:space="preserve"> </w:t>
      </w:r>
      <w:r>
        <w:rPr>
          <w:sz w:val="20"/>
        </w:rPr>
        <w:t>to</w:t>
      </w:r>
      <w:r>
        <w:rPr>
          <w:spacing w:val="-2"/>
          <w:sz w:val="20"/>
        </w:rPr>
        <w:t xml:space="preserve"> </w:t>
      </w:r>
      <w:r>
        <w:rPr>
          <w:sz w:val="20"/>
        </w:rPr>
        <w:t>5</w:t>
      </w:r>
      <w:r>
        <w:rPr>
          <w:spacing w:val="-2"/>
          <w:sz w:val="20"/>
        </w:rPr>
        <w:t xml:space="preserve"> </w:t>
      </w:r>
      <w:r>
        <w:rPr>
          <w:sz w:val="20"/>
        </w:rPr>
        <w:t>to</w:t>
      </w:r>
      <w:r>
        <w:rPr>
          <w:spacing w:val="-2"/>
          <w:sz w:val="20"/>
        </w:rPr>
        <w:t xml:space="preserve"> </w:t>
      </w:r>
      <w:r>
        <w:rPr>
          <w:sz w:val="20"/>
        </w:rPr>
        <w:t>indicate</w:t>
      </w:r>
      <w:r>
        <w:rPr>
          <w:spacing w:val="-3"/>
          <w:sz w:val="20"/>
        </w:rPr>
        <w:t xml:space="preserve"> </w:t>
      </w:r>
      <w:r>
        <w:rPr>
          <w:sz w:val="20"/>
        </w:rPr>
        <w:t>how</w:t>
      </w:r>
      <w:r>
        <w:rPr>
          <w:spacing w:val="-3"/>
          <w:sz w:val="20"/>
        </w:rPr>
        <w:t xml:space="preserve"> </w:t>
      </w:r>
      <w:r>
        <w:rPr>
          <w:sz w:val="20"/>
        </w:rPr>
        <w:t>much</w:t>
      </w:r>
      <w:r>
        <w:rPr>
          <w:spacing w:val="-2"/>
          <w:sz w:val="20"/>
        </w:rPr>
        <w:t xml:space="preserve"> </w:t>
      </w:r>
      <w:r>
        <w:rPr>
          <w:sz w:val="20"/>
        </w:rPr>
        <w:t>you</w:t>
      </w:r>
      <w:r>
        <w:rPr>
          <w:spacing w:val="-2"/>
          <w:sz w:val="20"/>
        </w:rPr>
        <w:t xml:space="preserve"> </w:t>
      </w:r>
      <w:r>
        <w:rPr>
          <w:sz w:val="20"/>
        </w:rPr>
        <w:t xml:space="preserve">agree or disagree with it </w:t>
      </w:r>
      <w:r>
        <w:rPr>
          <w:i/>
          <w:sz w:val="20"/>
        </w:rPr>
        <w:t>rig</w:t>
      </w:r>
      <w:r>
        <w:rPr>
          <w:i/>
          <w:sz w:val="20"/>
        </w:rPr>
        <w:t>ht now</w:t>
      </w:r>
      <w:r>
        <w:rPr>
          <w:sz w:val="20"/>
        </w:rPr>
        <w:t>. Please circle one and only one number for every statement.</w:t>
      </w:r>
    </w:p>
    <w:p w14:paraId="6E8316B1" w14:textId="77777777" w:rsidR="00DB6E1F" w:rsidRDefault="00DB6E1F">
      <w:pPr>
        <w:pStyle w:val="BodyText"/>
        <w:spacing w:before="8"/>
        <w:rPr>
          <w:sz w:val="9"/>
        </w:rPr>
      </w:pPr>
    </w:p>
    <w:tbl>
      <w:tblPr>
        <w:tblW w:w="0" w:type="auto"/>
        <w:tblInd w:w="1455"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5304"/>
        <w:gridCol w:w="809"/>
        <w:gridCol w:w="811"/>
        <w:gridCol w:w="989"/>
        <w:gridCol w:w="631"/>
        <w:gridCol w:w="816"/>
      </w:tblGrid>
      <w:tr w:rsidR="00DB6E1F" w14:paraId="3D800A6E" w14:textId="77777777">
        <w:trPr>
          <w:trHeight w:val="791"/>
        </w:trPr>
        <w:tc>
          <w:tcPr>
            <w:tcW w:w="5304" w:type="dxa"/>
          </w:tcPr>
          <w:p w14:paraId="360A88ED" w14:textId="77777777" w:rsidR="00DB6E1F" w:rsidRDefault="00DB6E1F">
            <w:pPr>
              <w:pStyle w:val="TableParagraph"/>
              <w:spacing w:before="0"/>
              <w:ind w:left="0"/>
              <w:rPr>
                <w:rFonts w:ascii="Times New Roman"/>
                <w:sz w:val="20"/>
              </w:rPr>
            </w:pPr>
          </w:p>
        </w:tc>
        <w:tc>
          <w:tcPr>
            <w:tcW w:w="809" w:type="dxa"/>
          </w:tcPr>
          <w:p w14:paraId="4D33B30E" w14:textId="77777777" w:rsidR="00DB6E1F" w:rsidRDefault="00F666A6">
            <w:pPr>
              <w:pStyle w:val="TableParagraph"/>
              <w:spacing w:before="3" w:line="256" w:lineRule="auto"/>
              <w:ind w:left="57" w:right="47" w:firstLine="1"/>
              <w:jc w:val="center"/>
              <w:rPr>
                <w:b/>
                <w:sz w:val="20"/>
              </w:rPr>
            </w:pPr>
            <w:r>
              <w:rPr>
                <w:b/>
                <w:spacing w:val="-4"/>
                <w:sz w:val="20"/>
              </w:rPr>
              <w:t xml:space="preserve">No! </w:t>
            </w:r>
            <w:r>
              <w:rPr>
                <w:b/>
                <w:spacing w:val="-2"/>
                <w:sz w:val="20"/>
              </w:rPr>
              <w:t>Strongly</w:t>
            </w:r>
          </w:p>
          <w:p w14:paraId="5368FA73" w14:textId="77777777" w:rsidR="00DB6E1F" w:rsidRDefault="00F666A6">
            <w:pPr>
              <w:pStyle w:val="TableParagraph"/>
              <w:spacing w:before="4" w:line="242" w:lineRule="exact"/>
              <w:ind w:left="27" w:right="21"/>
              <w:jc w:val="center"/>
              <w:rPr>
                <w:b/>
                <w:sz w:val="20"/>
              </w:rPr>
            </w:pPr>
            <w:r>
              <w:rPr>
                <w:b/>
                <w:spacing w:val="-2"/>
                <w:sz w:val="20"/>
              </w:rPr>
              <w:t>Disagree</w:t>
            </w:r>
          </w:p>
        </w:tc>
        <w:tc>
          <w:tcPr>
            <w:tcW w:w="811" w:type="dxa"/>
          </w:tcPr>
          <w:p w14:paraId="7D5CE9DC" w14:textId="77777777" w:rsidR="00DB6E1F" w:rsidRDefault="00F666A6">
            <w:pPr>
              <w:pStyle w:val="TableParagraph"/>
              <w:spacing w:before="135" w:line="256" w:lineRule="auto"/>
              <w:ind w:left="42" w:right="29" w:firstLine="240"/>
              <w:rPr>
                <w:b/>
                <w:sz w:val="20"/>
              </w:rPr>
            </w:pPr>
            <w:r>
              <w:rPr>
                <w:b/>
                <w:spacing w:val="-6"/>
                <w:sz w:val="20"/>
              </w:rPr>
              <w:t>No</w:t>
            </w:r>
            <w:r>
              <w:rPr>
                <w:b/>
                <w:spacing w:val="-2"/>
                <w:sz w:val="20"/>
              </w:rPr>
              <w:t xml:space="preserve"> Disagree</w:t>
            </w:r>
          </w:p>
        </w:tc>
        <w:tc>
          <w:tcPr>
            <w:tcW w:w="989" w:type="dxa"/>
          </w:tcPr>
          <w:p w14:paraId="7084A630" w14:textId="77777777" w:rsidR="00DB6E1F" w:rsidRDefault="00F666A6">
            <w:pPr>
              <w:pStyle w:val="TableParagraph"/>
              <w:spacing w:before="3"/>
              <w:ind w:left="5"/>
              <w:jc w:val="center"/>
              <w:rPr>
                <w:b/>
                <w:sz w:val="20"/>
              </w:rPr>
            </w:pPr>
            <w:r>
              <w:rPr>
                <w:b/>
                <w:w w:val="99"/>
                <w:sz w:val="20"/>
              </w:rPr>
              <w:t>?</w:t>
            </w:r>
          </w:p>
          <w:p w14:paraId="2BE876A6" w14:textId="77777777" w:rsidR="00DB6E1F" w:rsidRDefault="00F666A6">
            <w:pPr>
              <w:pStyle w:val="TableParagraph"/>
              <w:spacing w:before="18"/>
              <w:ind w:left="31" w:right="25"/>
              <w:jc w:val="center"/>
              <w:rPr>
                <w:b/>
                <w:sz w:val="20"/>
              </w:rPr>
            </w:pPr>
            <w:r>
              <w:rPr>
                <w:b/>
                <w:spacing w:val="-2"/>
                <w:sz w:val="20"/>
              </w:rPr>
              <w:t>Undecided</w:t>
            </w:r>
          </w:p>
          <w:p w14:paraId="101C97D9" w14:textId="77777777" w:rsidR="00DB6E1F" w:rsidRDefault="00F666A6">
            <w:pPr>
              <w:pStyle w:val="TableParagraph"/>
              <w:spacing w:before="20" w:line="242" w:lineRule="exact"/>
              <w:ind w:left="31" w:right="20"/>
              <w:jc w:val="center"/>
              <w:rPr>
                <w:b/>
                <w:sz w:val="20"/>
              </w:rPr>
            </w:pPr>
            <w:r>
              <w:rPr>
                <w:b/>
                <w:sz w:val="20"/>
              </w:rPr>
              <w:t>or</w:t>
            </w:r>
            <w:r>
              <w:rPr>
                <w:b/>
                <w:spacing w:val="-1"/>
                <w:sz w:val="20"/>
              </w:rPr>
              <w:t xml:space="preserve"> </w:t>
            </w:r>
            <w:r>
              <w:rPr>
                <w:b/>
                <w:spacing w:val="-2"/>
                <w:sz w:val="20"/>
              </w:rPr>
              <w:t>Unsure</w:t>
            </w:r>
          </w:p>
        </w:tc>
        <w:tc>
          <w:tcPr>
            <w:tcW w:w="631" w:type="dxa"/>
          </w:tcPr>
          <w:p w14:paraId="33FA15A2" w14:textId="77777777" w:rsidR="00DB6E1F" w:rsidRDefault="00F666A6">
            <w:pPr>
              <w:pStyle w:val="TableParagraph"/>
              <w:spacing w:before="135" w:line="256" w:lineRule="auto"/>
              <w:ind w:left="69" w:right="48" w:firstLine="103"/>
              <w:rPr>
                <w:b/>
                <w:sz w:val="20"/>
              </w:rPr>
            </w:pPr>
            <w:r>
              <w:rPr>
                <w:b/>
                <w:spacing w:val="-4"/>
                <w:sz w:val="20"/>
              </w:rPr>
              <w:t xml:space="preserve">Yes </w:t>
            </w:r>
            <w:r>
              <w:rPr>
                <w:b/>
                <w:spacing w:val="-2"/>
                <w:sz w:val="20"/>
              </w:rPr>
              <w:t>Agree</w:t>
            </w:r>
          </w:p>
        </w:tc>
        <w:tc>
          <w:tcPr>
            <w:tcW w:w="816" w:type="dxa"/>
          </w:tcPr>
          <w:p w14:paraId="1C1CAB5D" w14:textId="77777777" w:rsidR="00DB6E1F" w:rsidRDefault="00F666A6">
            <w:pPr>
              <w:pStyle w:val="TableParagraph"/>
              <w:spacing w:before="3" w:line="256" w:lineRule="auto"/>
              <w:ind w:left="62" w:right="46" w:firstLine="168"/>
              <w:rPr>
                <w:b/>
                <w:sz w:val="20"/>
              </w:rPr>
            </w:pPr>
            <w:r>
              <w:rPr>
                <w:b/>
                <w:spacing w:val="-4"/>
                <w:sz w:val="20"/>
              </w:rPr>
              <w:t xml:space="preserve">Yes! </w:t>
            </w:r>
            <w:r>
              <w:rPr>
                <w:b/>
                <w:spacing w:val="-2"/>
                <w:sz w:val="20"/>
              </w:rPr>
              <w:t>Strongly</w:t>
            </w:r>
          </w:p>
          <w:p w14:paraId="12E6DB84" w14:textId="77777777" w:rsidR="00DB6E1F" w:rsidRDefault="00F666A6">
            <w:pPr>
              <w:pStyle w:val="TableParagraph"/>
              <w:spacing w:before="4" w:line="242" w:lineRule="exact"/>
              <w:ind w:left="160"/>
              <w:rPr>
                <w:b/>
                <w:sz w:val="20"/>
              </w:rPr>
            </w:pPr>
            <w:r>
              <w:rPr>
                <w:b/>
                <w:spacing w:val="-2"/>
                <w:sz w:val="20"/>
              </w:rPr>
              <w:t>Agree</w:t>
            </w:r>
          </w:p>
        </w:tc>
      </w:tr>
      <w:tr w:rsidR="00DB6E1F" w14:paraId="4449D1CC" w14:textId="77777777">
        <w:trPr>
          <w:trHeight w:val="263"/>
        </w:trPr>
        <w:tc>
          <w:tcPr>
            <w:tcW w:w="5304" w:type="dxa"/>
          </w:tcPr>
          <w:p w14:paraId="741CEFA1" w14:textId="77777777" w:rsidR="00DB6E1F" w:rsidRDefault="00F666A6">
            <w:pPr>
              <w:pStyle w:val="TableParagraph"/>
              <w:spacing w:line="242" w:lineRule="exact"/>
              <w:ind w:left="81"/>
              <w:rPr>
                <w:sz w:val="20"/>
              </w:rPr>
            </w:pPr>
            <w:r>
              <w:rPr>
                <w:color w:val="4D4D4F"/>
                <w:sz w:val="20"/>
              </w:rPr>
              <w:t>1.</w:t>
            </w:r>
            <w:r>
              <w:rPr>
                <w:color w:val="4D4D4F"/>
                <w:spacing w:val="43"/>
                <w:sz w:val="20"/>
              </w:rPr>
              <w:t xml:space="preserve">  </w:t>
            </w:r>
            <w:r>
              <w:rPr>
                <w:sz w:val="20"/>
              </w:rPr>
              <w:t>I really want to</w:t>
            </w:r>
            <w:r>
              <w:rPr>
                <w:spacing w:val="-1"/>
                <w:sz w:val="20"/>
              </w:rPr>
              <w:t xml:space="preserve"> </w:t>
            </w:r>
            <w:r>
              <w:rPr>
                <w:sz w:val="20"/>
              </w:rPr>
              <w:t>make</w:t>
            </w:r>
            <w:r>
              <w:rPr>
                <w:spacing w:val="-2"/>
                <w:sz w:val="20"/>
              </w:rPr>
              <w:t xml:space="preserve"> </w:t>
            </w:r>
            <w:r>
              <w:rPr>
                <w:sz w:val="20"/>
              </w:rPr>
              <w:t>changes in</w:t>
            </w:r>
            <w:r>
              <w:rPr>
                <w:spacing w:val="1"/>
                <w:sz w:val="20"/>
              </w:rPr>
              <w:t xml:space="preserve"> </w:t>
            </w:r>
            <w:r>
              <w:rPr>
                <w:sz w:val="20"/>
              </w:rPr>
              <w:t xml:space="preserve">my </w:t>
            </w:r>
            <w:r>
              <w:rPr>
                <w:spacing w:val="-2"/>
                <w:sz w:val="20"/>
              </w:rPr>
              <w:t>drinking.</w:t>
            </w:r>
          </w:p>
        </w:tc>
        <w:tc>
          <w:tcPr>
            <w:tcW w:w="809" w:type="dxa"/>
          </w:tcPr>
          <w:p w14:paraId="1521F33E" w14:textId="77777777" w:rsidR="00DB6E1F" w:rsidRDefault="00F666A6">
            <w:pPr>
              <w:pStyle w:val="TableParagraph"/>
              <w:spacing w:line="242" w:lineRule="exact"/>
              <w:ind w:left="7"/>
              <w:jc w:val="center"/>
              <w:rPr>
                <w:sz w:val="20"/>
              </w:rPr>
            </w:pPr>
            <w:r>
              <w:rPr>
                <w:w w:val="99"/>
                <w:sz w:val="20"/>
              </w:rPr>
              <w:t>1</w:t>
            </w:r>
          </w:p>
        </w:tc>
        <w:tc>
          <w:tcPr>
            <w:tcW w:w="811" w:type="dxa"/>
          </w:tcPr>
          <w:p w14:paraId="527D5FD3" w14:textId="77777777" w:rsidR="00DB6E1F" w:rsidRDefault="00F666A6">
            <w:pPr>
              <w:pStyle w:val="TableParagraph"/>
              <w:spacing w:line="242" w:lineRule="exact"/>
              <w:ind w:left="352"/>
              <w:rPr>
                <w:sz w:val="20"/>
              </w:rPr>
            </w:pPr>
            <w:r>
              <w:rPr>
                <w:w w:val="99"/>
                <w:sz w:val="20"/>
              </w:rPr>
              <w:t>2</w:t>
            </w:r>
          </w:p>
        </w:tc>
        <w:tc>
          <w:tcPr>
            <w:tcW w:w="989" w:type="dxa"/>
          </w:tcPr>
          <w:p w14:paraId="2ED1F460" w14:textId="77777777" w:rsidR="00DB6E1F" w:rsidRDefault="00F666A6">
            <w:pPr>
              <w:pStyle w:val="TableParagraph"/>
              <w:spacing w:line="242" w:lineRule="exact"/>
              <w:ind w:left="441"/>
              <w:rPr>
                <w:sz w:val="20"/>
              </w:rPr>
            </w:pPr>
            <w:r>
              <w:rPr>
                <w:w w:val="99"/>
                <w:sz w:val="20"/>
              </w:rPr>
              <w:t>3</w:t>
            </w:r>
          </w:p>
        </w:tc>
        <w:tc>
          <w:tcPr>
            <w:tcW w:w="631" w:type="dxa"/>
          </w:tcPr>
          <w:p w14:paraId="4798CEBB" w14:textId="77777777" w:rsidR="00DB6E1F" w:rsidRDefault="00F666A6">
            <w:pPr>
              <w:pStyle w:val="TableParagraph"/>
              <w:spacing w:line="242" w:lineRule="exact"/>
              <w:ind w:left="11"/>
              <w:jc w:val="center"/>
              <w:rPr>
                <w:sz w:val="20"/>
              </w:rPr>
            </w:pPr>
            <w:r>
              <w:rPr>
                <w:w w:val="99"/>
                <w:sz w:val="20"/>
              </w:rPr>
              <w:t>4</w:t>
            </w:r>
          </w:p>
        </w:tc>
        <w:tc>
          <w:tcPr>
            <w:tcW w:w="816" w:type="dxa"/>
          </w:tcPr>
          <w:p w14:paraId="4C3FBD31" w14:textId="77777777" w:rsidR="00DB6E1F" w:rsidRDefault="00F666A6">
            <w:pPr>
              <w:pStyle w:val="TableParagraph"/>
              <w:spacing w:line="242" w:lineRule="exact"/>
              <w:ind w:left="9"/>
              <w:jc w:val="center"/>
              <w:rPr>
                <w:sz w:val="20"/>
              </w:rPr>
            </w:pPr>
            <w:r>
              <w:rPr>
                <w:w w:val="99"/>
                <w:sz w:val="20"/>
              </w:rPr>
              <w:t>5</w:t>
            </w:r>
          </w:p>
        </w:tc>
      </w:tr>
      <w:tr w:rsidR="00DB6E1F" w14:paraId="41D6A457" w14:textId="77777777">
        <w:trPr>
          <w:trHeight w:val="263"/>
        </w:trPr>
        <w:tc>
          <w:tcPr>
            <w:tcW w:w="5304" w:type="dxa"/>
          </w:tcPr>
          <w:p w14:paraId="5F026682" w14:textId="77777777" w:rsidR="00DB6E1F" w:rsidRDefault="00F666A6">
            <w:pPr>
              <w:pStyle w:val="TableParagraph"/>
              <w:spacing w:line="242" w:lineRule="exact"/>
              <w:ind w:left="81"/>
              <w:rPr>
                <w:sz w:val="20"/>
              </w:rPr>
            </w:pPr>
            <w:r>
              <w:rPr>
                <w:color w:val="4D4D4F"/>
                <w:sz w:val="20"/>
              </w:rPr>
              <w:t>2.</w:t>
            </w:r>
            <w:r>
              <w:rPr>
                <w:color w:val="4D4D4F"/>
                <w:spacing w:val="45"/>
                <w:sz w:val="20"/>
              </w:rPr>
              <w:t xml:space="preserve">  </w:t>
            </w:r>
            <w:r>
              <w:rPr>
                <w:sz w:val="20"/>
              </w:rPr>
              <w:t>Sometimes</w:t>
            </w:r>
            <w:r>
              <w:rPr>
                <w:spacing w:val="1"/>
                <w:sz w:val="20"/>
              </w:rPr>
              <w:t xml:space="preserve"> </w:t>
            </w:r>
            <w:r>
              <w:rPr>
                <w:sz w:val="20"/>
              </w:rPr>
              <w:t>I wonder if I am</w:t>
            </w:r>
            <w:r>
              <w:rPr>
                <w:spacing w:val="-1"/>
                <w:sz w:val="20"/>
              </w:rPr>
              <w:t xml:space="preserve"> </w:t>
            </w:r>
            <w:r>
              <w:rPr>
                <w:sz w:val="20"/>
              </w:rPr>
              <w:t>an</w:t>
            </w:r>
            <w:r>
              <w:rPr>
                <w:spacing w:val="2"/>
                <w:sz w:val="20"/>
              </w:rPr>
              <w:t xml:space="preserve"> </w:t>
            </w:r>
            <w:r>
              <w:rPr>
                <w:spacing w:val="-2"/>
                <w:sz w:val="20"/>
              </w:rPr>
              <w:t>alcoholic.</w:t>
            </w:r>
          </w:p>
        </w:tc>
        <w:tc>
          <w:tcPr>
            <w:tcW w:w="809" w:type="dxa"/>
          </w:tcPr>
          <w:p w14:paraId="7A237C8A" w14:textId="77777777" w:rsidR="00DB6E1F" w:rsidRDefault="00F666A6">
            <w:pPr>
              <w:pStyle w:val="TableParagraph"/>
              <w:spacing w:line="242" w:lineRule="exact"/>
              <w:ind w:left="7"/>
              <w:jc w:val="center"/>
              <w:rPr>
                <w:sz w:val="20"/>
              </w:rPr>
            </w:pPr>
            <w:r>
              <w:rPr>
                <w:w w:val="99"/>
                <w:sz w:val="20"/>
              </w:rPr>
              <w:t>1</w:t>
            </w:r>
          </w:p>
        </w:tc>
        <w:tc>
          <w:tcPr>
            <w:tcW w:w="811" w:type="dxa"/>
          </w:tcPr>
          <w:p w14:paraId="3E6DA8E1" w14:textId="77777777" w:rsidR="00DB6E1F" w:rsidRDefault="00F666A6">
            <w:pPr>
              <w:pStyle w:val="TableParagraph"/>
              <w:spacing w:line="242" w:lineRule="exact"/>
              <w:ind w:left="352"/>
              <w:rPr>
                <w:sz w:val="20"/>
              </w:rPr>
            </w:pPr>
            <w:r>
              <w:rPr>
                <w:w w:val="99"/>
                <w:sz w:val="20"/>
              </w:rPr>
              <w:t>2</w:t>
            </w:r>
          </w:p>
        </w:tc>
        <w:tc>
          <w:tcPr>
            <w:tcW w:w="989" w:type="dxa"/>
          </w:tcPr>
          <w:p w14:paraId="0FF48533" w14:textId="77777777" w:rsidR="00DB6E1F" w:rsidRDefault="00F666A6">
            <w:pPr>
              <w:pStyle w:val="TableParagraph"/>
              <w:spacing w:line="242" w:lineRule="exact"/>
              <w:ind w:left="441"/>
              <w:rPr>
                <w:sz w:val="20"/>
              </w:rPr>
            </w:pPr>
            <w:r>
              <w:rPr>
                <w:w w:val="99"/>
                <w:sz w:val="20"/>
              </w:rPr>
              <w:t>3</w:t>
            </w:r>
          </w:p>
        </w:tc>
        <w:tc>
          <w:tcPr>
            <w:tcW w:w="631" w:type="dxa"/>
          </w:tcPr>
          <w:p w14:paraId="32A6B79E" w14:textId="77777777" w:rsidR="00DB6E1F" w:rsidRDefault="00F666A6">
            <w:pPr>
              <w:pStyle w:val="TableParagraph"/>
              <w:spacing w:line="242" w:lineRule="exact"/>
              <w:ind w:left="11"/>
              <w:jc w:val="center"/>
              <w:rPr>
                <w:sz w:val="20"/>
              </w:rPr>
            </w:pPr>
            <w:r>
              <w:rPr>
                <w:w w:val="99"/>
                <w:sz w:val="20"/>
              </w:rPr>
              <w:t>4</w:t>
            </w:r>
          </w:p>
        </w:tc>
        <w:tc>
          <w:tcPr>
            <w:tcW w:w="816" w:type="dxa"/>
          </w:tcPr>
          <w:p w14:paraId="40DEE3D1" w14:textId="77777777" w:rsidR="00DB6E1F" w:rsidRDefault="00F666A6">
            <w:pPr>
              <w:pStyle w:val="TableParagraph"/>
              <w:spacing w:line="242" w:lineRule="exact"/>
              <w:ind w:left="9"/>
              <w:jc w:val="center"/>
              <w:rPr>
                <w:sz w:val="20"/>
              </w:rPr>
            </w:pPr>
            <w:r>
              <w:rPr>
                <w:w w:val="99"/>
                <w:sz w:val="20"/>
              </w:rPr>
              <w:t>5</w:t>
            </w:r>
          </w:p>
        </w:tc>
      </w:tr>
      <w:tr w:rsidR="00DB6E1F" w14:paraId="411F5B72" w14:textId="77777777">
        <w:trPr>
          <w:trHeight w:val="527"/>
        </w:trPr>
        <w:tc>
          <w:tcPr>
            <w:tcW w:w="5304" w:type="dxa"/>
            <w:tcBorders>
              <w:bottom w:val="single" w:sz="6" w:space="0" w:color="000000"/>
            </w:tcBorders>
          </w:tcPr>
          <w:p w14:paraId="626B6828" w14:textId="77777777" w:rsidR="00DB6E1F" w:rsidRDefault="00F666A6">
            <w:pPr>
              <w:pStyle w:val="TableParagraph"/>
              <w:ind w:left="81"/>
              <w:rPr>
                <w:sz w:val="20"/>
              </w:rPr>
            </w:pPr>
            <w:r>
              <w:rPr>
                <w:color w:val="4D4D4F"/>
                <w:sz w:val="20"/>
              </w:rPr>
              <w:t>3.</w:t>
            </w:r>
            <w:r>
              <w:rPr>
                <w:color w:val="4D4D4F"/>
                <w:spacing w:val="41"/>
                <w:sz w:val="20"/>
              </w:rPr>
              <w:t xml:space="preserve">  </w:t>
            </w:r>
            <w:r>
              <w:rPr>
                <w:sz w:val="20"/>
              </w:rPr>
              <w:t>If</w:t>
            </w:r>
            <w:r>
              <w:rPr>
                <w:spacing w:val="-2"/>
                <w:sz w:val="20"/>
              </w:rPr>
              <w:t xml:space="preserve"> </w:t>
            </w:r>
            <w:r>
              <w:rPr>
                <w:sz w:val="20"/>
              </w:rPr>
              <w:t>I</w:t>
            </w:r>
            <w:r>
              <w:rPr>
                <w:spacing w:val="-1"/>
                <w:sz w:val="20"/>
              </w:rPr>
              <w:t xml:space="preserve"> </w:t>
            </w:r>
            <w:r>
              <w:rPr>
                <w:sz w:val="20"/>
              </w:rPr>
              <w:t>don’t</w:t>
            </w:r>
            <w:r>
              <w:rPr>
                <w:spacing w:val="-2"/>
                <w:sz w:val="20"/>
              </w:rPr>
              <w:t xml:space="preserve"> </w:t>
            </w:r>
            <w:r>
              <w:rPr>
                <w:sz w:val="20"/>
              </w:rPr>
              <w:t>change</w:t>
            </w:r>
            <w:r>
              <w:rPr>
                <w:spacing w:val="-3"/>
                <w:sz w:val="20"/>
              </w:rPr>
              <w:t xml:space="preserve"> </w:t>
            </w:r>
            <w:r>
              <w:rPr>
                <w:sz w:val="20"/>
              </w:rPr>
              <w:t>my</w:t>
            </w:r>
            <w:r>
              <w:rPr>
                <w:spacing w:val="-1"/>
                <w:sz w:val="20"/>
              </w:rPr>
              <w:t xml:space="preserve"> </w:t>
            </w:r>
            <w:r>
              <w:rPr>
                <w:sz w:val="20"/>
              </w:rPr>
              <w:t>drinking</w:t>
            </w:r>
            <w:r>
              <w:rPr>
                <w:spacing w:val="-1"/>
                <w:sz w:val="20"/>
              </w:rPr>
              <w:t xml:space="preserve"> </w:t>
            </w:r>
            <w:r>
              <w:rPr>
                <w:sz w:val="20"/>
              </w:rPr>
              <w:t>soon,</w:t>
            </w:r>
            <w:r>
              <w:rPr>
                <w:spacing w:val="-1"/>
                <w:sz w:val="20"/>
              </w:rPr>
              <w:t xml:space="preserve"> </w:t>
            </w:r>
            <w:r>
              <w:rPr>
                <w:sz w:val="20"/>
              </w:rPr>
              <w:t>my</w:t>
            </w:r>
            <w:r>
              <w:rPr>
                <w:spacing w:val="-1"/>
                <w:sz w:val="20"/>
              </w:rPr>
              <w:t xml:space="preserve"> </w:t>
            </w:r>
            <w:r>
              <w:rPr>
                <w:sz w:val="20"/>
              </w:rPr>
              <w:t>problems</w:t>
            </w:r>
            <w:r>
              <w:rPr>
                <w:spacing w:val="-3"/>
                <w:sz w:val="20"/>
              </w:rPr>
              <w:t xml:space="preserve"> </w:t>
            </w:r>
            <w:r>
              <w:rPr>
                <w:sz w:val="20"/>
              </w:rPr>
              <w:t>are</w:t>
            </w:r>
            <w:r>
              <w:rPr>
                <w:spacing w:val="-2"/>
                <w:sz w:val="20"/>
              </w:rPr>
              <w:t xml:space="preserve"> </w:t>
            </w:r>
            <w:r>
              <w:rPr>
                <w:spacing w:val="-4"/>
                <w:sz w:val="20"/>
              </w:rPr>
              <w:t>going</w:t>
            </w:r>
          </w:p>
          <w:p w14:paraId="4D87BC78" w14:textId="77777777" w:rsidR="00DB6E1F" w:rsidRDefault="00F666A6">
            <w:pPr>
              <w:pStyle w:val="TableParagraph"/>
              <w:spacing w:before="20" w:line="242" w:lineRule="exact"/>
              <w:ind w:left="441"/>
              <w:rPr>
                <w:sz w:val="20"/>
              </w:rPr>
            </w:pPr>
            <w:r>
              <w:rPr>
                <w:sz w:val="20"/>
              </w:rPr>
              <w:t>to</w:t>
            </w:r>
            <w:r>
              <w:rPr>
                <w:spacing w:val="-3"/>
                <w:sz w:val="20"/>
              </w:rPr>
              <w:t xml:space="preserve"> </w:t>
            </w:r>
            <w:r>
              <w:rPr>
                <w:sz w:val="20"/>
              </w:rPr>
              <w:t>get</w:t>
            </w:r>
            <w:r>
              <w:rPr>
                <w:spacing w:val="-3"/>
                <w:sz w:val="20"/>
              </w:rPr>
              <w:t xml:space="preserve"> </w:t>
            </w:r>
            <w:r>
              <w:rPr>
                <w:spacing w:val="-2"/>
                <w:sz w:val="20"/>
              </w:rPr>
              <w:t>worse.</w:t>
            </w:r>
          </w:p>
        </w:tc>
        <w:tc>
          <w:tcPr>
            <w:tcW w:w="809" w:type="dxa"/>
            <w:tcBorders>
              <w:bottom w:val="single" w:sz="6" w:space="0" w:color="000000"/>
            </w:tcBorders>
          </w:tcPr>
          <w:p w14:paraId="6B561DAF" w14:textId="77777777" w:rsidR="00DB6E1F" w:rsidRDefault="00F666A6">
            <w:pPr>
              <w:pStyle w:val="TableParagraph"/>
              <w:spacing w:before="133"/>
              <w:ind w:left="7"/>
              <w:jc w:val="center"/>
              <w:rPr>
                <w:sz w:val="20"/>
              </w:rPr>
            </w:pPr>
            <w:r>
              <w:rPr>
                <w:w w:val="99"/>
                <w:sz w:val="20"/>
              </w:rPr>
              <w:t>1</w:t>
            </w:r>
          </w:p>
        </w:tc>
        <w:tc>
          <w:tcPr>
            <w:tcW w:w="811" w:type="dxa"/>
            <w:tcBorders>
              <w:bottom w:val="single" w:sz="6" w:space="0" w:color="000000"/>
            </w:tcBorders>
          </w:tcPr>
          <w:p w14:paraId="61BDB776" w14:textId="77777777" w:rsidR="00DB6E1F" w:rsidRDefault="00F666A6">
            <w:pPr>
              <w:pStyle w:val="TableParagraph"/>
              <w:spacing w:before="133"/>
              <w:ind w:left="352"/>
              <w:rPr>
                <w:sz w:val="20"/>
              </w:rPr>
            </w:pPr>
            <w:r>
              <w:rPr>
                <w:w w:val="99"/>
                <w:sz w:val="20"/>
              </w:rPr>
              <w:t>2</w:t>
            </w:r>
          </w:p>
        </w:tc>
        <w:tc>
          <w:tcPr>
            <w:tcW w:w="989" w:type="dxa"/>
            <w:tcBorders>
              <w:bottom w:val="single" w:sz="6" w:space="0" w:color="000000"/>
            </w:tcBorders>
          </w:tcPr>
          <w:p w14:paraId="4634117E" w14:textId="77777777" w:rsidR="00DB6E1F" w:rsidRDefault="00F666A6">
            <w:pPr>
              <w:pStyle w:val="TableParagraph"/>
              <w:spacing w:before="133"/>
              <w:ind w:left="441"/>
              <w:rPr>
                <w:sz w:val="20"/>
              </w:rPr>
            </w:pPr>
            <w:r>
              <w:rPr>
                <w:w w:val="99"/>
                <w:sz w:val="20"/>
              </w:rPr>
              <w:t>3</w:t>
            </w:r>
          </w:p>
        </w:tc>
        <w:tc>
          <w:tcPr>
            <w:tcW w:w="631" w:type="dxa"/>
            <w:tcBorders>
              <w:bottom w:val="single" w:sz="6" w:space="0" w:color="000000"/>
            </w:tcBorders>
          </w:tcPr>
          <w:p w14:paraId="568FF0A1" w14:textId="77777777" w:rsidR="00DB6E1F" w:rsidRDefault="00F666A6">
            <w:pPr>
              <w:pStyle w:val="TableParagraph"/>
              <w:spacing w:before="133"/>
              <w:ind w:left="11"/>
              <w:jc w:val="center"/>
              <w:rPr>
                <w:sz w:val="20"/>
              </w:rPr>
            </w:pPr>
            <w:r>
              <w:rPr>
                <w:w w:val="99"/>
                <w:sz w:val="20"/>
              </w:rPr>
              <w:t>4</w:t>
            </w:r>
          </w:p>
        </w:tc>
        <w:tc>
          <w:tcPr>
            <w:tcW w:w="816" w:type="dxa"/>
            <w:tcBorders>
              <w:bottom w:val="single" w:sz="6" w:space="0" w:color="000000"/>
            </w:tcBorders>
          </w:tcPr>
          <w:p w14:paraId="6B0F32DE" w14:textId="77777777" w:rsidR="00DB6E1F" w:rsidRDefault="00F666A6">
            <w:pPr>
              <w:pStyle w:val="TableParagraph"/>
              <w:spacing w:before="133"/>
              <w:ind w:left="9"/>
              <w:jc w:val="center"/>
              <w:rPr>
                <w:sz w:val="20"/>
              </w:rPr>
            </w:pPr>
            <w:r>
              <w:rPr>
                <w:w w:val="99"/>
                <w:sz w:val="20"/>
              </w:rPr>
              <w:t>5</w:t>
            </w:r>
          </w:p>
        </w:tc>
      </w:tr>
      <w:tr w:rsidR="00DB6E1F" w14:paraId="582226D0" w14:textId="77777777">
        <w:trPr>
          <w:trHeight w:val="263"/>
        </w:trPr>
        <w:tc>
          <w:tcPr>
            <w:tcW w:w="5304" w:type="dxa"/>
            <w:tcBorders>
              <w:top w:val="single" w:sz="6" w:space="0" w:color="000000"/>
            </w:tcBorders>
          </w:tcPr>
          <w:p w14:paraId="6B03F45C" w14:textId="77777777" w:rsidR="00DB6E1F" w:rsidRDefault="00F666A6">
            <w:pPr>
              <w:pStyle w:val="TableParagraph"/>
              <w:spacing w:line="242" w:lineRule="exact"/>
              <w:ind w:left="81"/>
              <w:rPr>
                <w:sz w:val="20"/>
              </w:rPr>
            </w:pPr>
            <w:r>
              <w:rPr>
                <w:color w:val="4D4D4F"/>
                <w:sz w:val="20"/>
              </w:rPr>
              <w:t>4.</w:t>
            </w:r>
            <w:r>
              <w:rPr>
                <w:color w:val="4D4D4F"/>
                <w:spacing w:val="41"/>
                <w:sz w:val="20"/>
              </w:rPr>
              <w:t xml:space="preserve">  </w:t>
            </w:r>
            <w:r>
              <w:rPr>
                <w:sz w:val="20"/>
              </w:rPr>
              <w:t>I</w:t>
            </w:r>
            <w:r>
              <w:rPr>
                <w:spacing w:val="-3"/>
                <w:sz w:val="20"/>
              </w:rPr>
              <w:t xml:space="preserve"> </w:t>
            </w:r>
            <w:r>
              <w:rPr>
                <w:sz w:val="20"/>
              </w:rPr>
              <w:t>have</w:t>
            </w:r>
            <w:r>
              <w:rPr>
                <w:spacing w:val="-3"/>
                <w:sz w:val="20"/>
              </w:rPr>
              <w:t xml:space="preserve"> </w:t>
            </w:r>
            <w:r>
              <w:rPr>
                <w:sz w:val="20"/>
              </w:rPr>
              <w:t>already</w:t>
            </w:r>
            <w:r>
              <w:rPr>
                <w:spacing w:val="-1"/>
                <w:sz w:val="20"/>
              </w:rPr>
              <w:t xml:space="preserve"> </w:t>
            </w:r>
            <w:r>
              <w:rPr>
                <w:sz w:val="20"/>
              </w:rPr>
              <w:t>started</w:t>
            </w:r>
            <w:r>
              <w:rPr>
                <w:spacing w:val="-1"/>
                <w:sz w:val="20"/>
              </w:rPr>
              <w:t xml:space="preserve"> </w:t>
            </w:r>
            <w:r>
              <w:rPr>
                <w:sz w:val="20"/>
              </w:rPr>
              <w:t>making some</w:t>
            </w:r>
            <w:r>
              <w:rPr>
                <w:spacing w:val="-3"/>
                <w:sz w:val="20"/>
              </w:rPr>
              <w:t xml:space="preserve"> </w:t>
            </w:r>
            <w:r>
              <w:rPr>
                <w:sz w:val="20"/>
              </w:rPr>
              <w:t>changes</w:t>
            </w:r>
            <w:r>
              <w:rPr>
                <w:spacing w:val="-3"/>
                <w:sz w:val="20"/>
              </w:rPr>
              <w:t xml:space="preserve"> </w:t>
            </w:r>
            <w:r>
              <w:rPr>
                <w:sz w:val="20"/>
              </w:rPr>
              <w:t>in</w:t>
            </w:r>
            <w:r>
              <w:rPr>
                <w:spacing w:val="1"/>
                <w:sz w:val="20"/>
              </w:rPr>
              <w:t xml:space="preserve"> </w:t>
            </w:r>
            <w:r>
              <w:rPr>
                <w:sz w:val="20"/>
              </w:rPr>
              <w:t>my</w:t>
            </w:r>
            <w:r>
              <w:rPr>
                <w:spacing w:val="-2"/>
                <w:sz w:val="20"/>
              </w:rPr>
              <w:t xml:space="preserve"> drinking.</w:t>
            </w:r>
          </w:p>
        </w:tc>
        <w:tc>
          <w:tcPr>
            <w:tcW w:w="809" w:type="dxa"/>
            <w:tcBorders>
              <w:top w:val="single" w:sz="6" w:space="0" w:color="000000"/>
            </w:tcBorders>
          </w:tcPr>
          <w:p w14:paraId="11C2665C" w14:textId="77777777" w:rsidR="00DB6E1F" w:rsidRDefault="00F666A6">
            <w:pPr>
              <w:pStyle w:val="TableParagraph"/>
              <w:spacing w:line="242" w:lineRule="exact"/>
              <w:ind w:left="7"/>
              <w:jc w:val="center"/>
              <w:rPr>
                <w:sz w:val="20"/>
              </w:rPr>
            </w:pPr>
            <w:r>
              <w:rPr>
                <w:w w:val="99"/>
                <w:sz w:val="20"/>
              </w:rPr>
              <w:t>1</w:t>
            </w:r>
          </w:p>
        </w:tc>
        <w:tc>
          <w:tcPr>
            <w:tcW w:w="811" w:type="dxa"/>
            <w:tcBorders>
              <w:top w:val="single" w:sz="6" w:space="0" w:color="000000"/>
            </w:tcBorders>
          </w:tcPr>
          <w:p w14:paraId="69DD917D" w14:textId="77777777" w:rsidR="00DB6E1F" w:rsidRDefault="00F666A6">
            <w:pPr>
              <w:pStyle w:val="TableParagraph"/>
              <w:spacing w:line="242" w:lineRule="exact"/>
              <w:ind w:left="352"/>
              <w:rPr>
                <w:sz w:val="20"/>
              </w:rPr>
            </w:pPr>
            <w:r>
              <w:rPr>
                <w:w w:val="99"/>
                <w:sz w:val="20"/>
              </w:rPr>
              <w:t>2</w:t>
            </w:r>
          </w:p>
        </w:tc>
        <w:tc>
          <w:tcPr>
            <w:tcW w:w="989" w:type="dxa"/>
            <w:tcBorders>
              <w:top w:val="single" w:sz="6" w:space="0" w:color="000000"/>
            </w:tcBorders>
          </w:tcPr>
          <w:p w14:paraId="74235FD8" w14:textId="77777777" w:rsidR="00DB6E1F" w:rsidRDefault="00F666A6">
            <w:pPr>
              <w:pStyle w:val="TableParagraph"/>
              <w:spacing w:line="242" w:lineRule="exact"/>
              <w:ind w:left="441"/>
              <w:rPr>
                <w:sz w:val="20"/>
              </w:rPr>
            </w:pPr>
            <w:r>
              <w:rPr>
                <w:w w:val="99"/>
                <w:sz w:val="20"/>
              </w:rPr>
              <w:t>3</w:t>
            </w:r>
          </w:p>
        </w:tc>
        <w:tc>
          <w:tcPr>
            <w:tcW w:w="631" w:type="dxa"/>
            <w:tcBorders>
              <w:top w:val="single" w:sz="6" w:space="0" w:color="000000"/>
            </w:tcBorders>
          </w:tcPr>
          <w:p w14:paraId="0C20CFD7" w14:textId="77777777" w:rsidR="00DB6E1F" w:rsidRDefault="00F666A6">
            <w:pPr>
              <w:pStyle w:val="TableParagraph"/>
              <w:spacing w:line="242" w:lineRule="exact"/>
              <w:ind w:left="11"/>
              <w:jc w:val="center"/>
              <w:rPr>
                <w:sz w:val="20"/>
              </w:rPr>
            </w:pPr>
            <w:r>
              <w:rPr>
                <w:w w:val="99"/>
                <w:sz w:val="20"/>
              </w:rPr>
              <w:t>4</w:t>
            </w:r>
          </w:p>
        </w:tc>
        <w:tc>
          <w:tcPr>
            <w:tcW w:w="816" w:type="dxa"/>
            <w:tcBorders>
              <w:top w:val="single" w:sz="6" w:space="0" w:color="000000"/>
            </w:tcBorders>
          </w:tcPr>
          <w:p w14:paraId="61D23402" w14:textId="77777777" w:rsidR="00DB6E1F" w:rsidRDefault="00F666A6">
            <w:pPr>
              <w:pStyle w:val="TableParagraph"/>
              <w:spacing w:line="242" w:lineRule="exact"/>
              <w:ind w:left="9"/>
              <w:jc w:val="center"/>
              <w:rPr>
                <w:sz w:val="20"/>
              </w:rPr>
            </w:pPr>
            <w:r>
              <w:rPr>
                <w:w w:val="99"/>
                <w:sz w:val="20"/>
              </w:rPr>
              <w:t>5</w:t>
            </w:r>
          </w:p>
        </w:tc>
      </w:tr>
      <w:tr w:rsidR="00DB6E1F" w14:paraId="30952B66" w14:textId="77777777">
        <w:trPr>
          <w:trHeight w:val="527"/>
        </w:trPr>
        <w:tc>
          <w:tcPr>
            <w:tcW w:w="5304" w:type="dxa"/>
          </w:tcPr>
          <w:p w14:paraId="3137DD98" w14:textId="77777777" w:rsidR="00DB6E1F" w:rsidRDefault="00F666A6">
            <w:pPr>
              <w:pStyle w:val="TableParagraph"/>
              <w:ind w:left="81"/>
              <w:rPr>
                <w:sz w:val="20"/>
              </w:rPr>
            </w:pPr>
            <w:r>
              <w:rPr>
                <w:color w:val="4D4D4F"/>
                <w:sz w:val="20"/>
              </w:rPr>
              <w:t>5.</w:t>
            </w:r>
            <w:r>
              <w:rPr>
                <w:color w:val="4D4D4F"/>
                <w:spacing w:val="41"/>
                <w:sz w:val="20"/>
              </w:rPr>
              <w:t xml:space="preserve">  </w:t>
            </w:r>
            <w:r>
              <w:rPr>
                <w:sz w:val="20"/>
              </w:rPr>
              <w:t>I</w:t>
            </w:r>
            <w:r>
              <w:rPr>
                <w:spacing w:val="-1"/>
                <w:sz w:val="20"/>
              </w:rPr>
              <w:t xml:space="preserve"> </w:t>
            </w:r>
            <w:r>
              <w:rPr>
                <w:sz w:val="20"/>
              </w:rPr>
              <w:t>was</w:t>
            </w:r>
            <w:r>
              <w:rPr>
                <w:spacing w:val="-3"/>
                <w:sz w:val="20"/>
              </w:rPr>
              <w:t xml:space="preserve"> </w:t>
            </w:r>
            <w:r>
              <w:rPr>
                <w:sz w:val="20"/>
              </w:rPr>
              <w:t>drinking</w:t>
            </w:r>
            <w:r>
              <w:rPr>
                <w:spacing w:val="-2"/>
                <w:sz w:val="20"/>
              </w:rPr>
              <w:t xml:space="preserve"> </w:t>
            </w:r>
            <w:r>
              <w:rPr>
                <w:sz w:val="20"/>
              </w:rPr>
              <w:t>too</w:t>
            </w:r>
            <w:r>
              <w:rPr>
                <w:spacing w:val="-2"/>
                <w:sz w:val="20"/>
              </w:rPr>
              <w:t xml:space="preserve"> </w:t>
            </w:r>
            <w:r>
              <w:rPr>
                <w:sz w:val="20"/>
              </w:rPr>
              <w:t>much</w:t>
            </w:r>
            <w:r>
              <w:rPr>
                <w:spacing w:val="-1"/>
                <w:sz w:val="20"/>
              </w:rPr>
              <w:t xml:space="preserve"> </w:t>
            </w:r>
            <w:r>
              <w:rPr>
                <w:sz w:val="20"/>
              </w:rPr>
              <w:t>at</w:t>
            </w:r>
            <w:r>
              <w:rPr>
                <w:spacing w:val="-2"/>
                <w:sz w:val="20"/>
              </w:rPr>
              <w:t xml:space="preserve"> </w:t>
            </w:r>
            <w:r>
              <w:rPr>
                <w:sz w:val="20"/>
              </w:rPr>
              <w:t>one</w:t>
            </w:r>
            <w:r>
              <w:rPr>
                <w:spacing w:val="-2"/>
                <w:sz w:val="20"/>
              </w:rPr>
              <w:t xml:space="preserve"> </w:t>
            </w:r>
            <w:r>
              <w:rPr>
                <w:sz w:val="20"/>
              </w:rPr>
              <w:t>time,</w:t>
            </w:r>
            <w:r>
              <w:rPr>
                <w:spacing w:val="-1"/>
                <w:sz w:val="20"/>
              </w:rPr>
              <w:t xml:space="preserve"> </w:t>
            </w:r>
            <w:r>
              <w:rPr>
                <w:sz w:val="20"/>
              </w:rPr>
              <w:t>but</w:t>
            </w:r>
            <w:r>
              <w:rPr>
                <w:spacing w:val="-2"/>
                <w:sz w:val="20"/>
              </w:rPr>
              <w:t xml:space="preserve"> </w:t>
            </w:r>
            <w:r>
              <w:rPr>
                <w:sz w:val="20"/>
              </w:rPr>
              <w:t>I’ve managed</w:t>
            </w:r>
            <w:r>
              <w:rPr>
                <w:spacing w:val="-1"/>
                <w:sz w:val="20"/>
              </w:rPr>
              <w:t xml:space="preserve"> </w:t>
            </w:r>
            <w:r>
              <w:rPr>
                <w:spacing w:val="-5"/>
                <w:sz w:val="20"/>
              </w:rPr>
              <w:t>to</w:t>
            </w:r>
          </w:p>
          <w:p w14:paraId="473CD680" w14:textId="77777777" w:rsidR="00DB6E1F" w:rsidRDefault="00F666A6">
            <w:pPr>
              <w:pStyle w:val="TableParagraph"/>
              <w:spacing w:before="20" w:line="242" w:lineRule="exact"/>
              <w:ind w:left="441"/>
              <w:rPr>
                <w:sz w:val="20"/>
              </w:rPr>
            </w:pPr>
            <w:r>
              <w:rPr>
                <w:sz w:val="20"/>
              </w:rPr>
              <w:t>change</w:t>
            </w:r>
            <w:r>
              <w:rPr>
                <w:spacing w:val="-7"/>
                <w:sz w:val="20"/>
              </w:rPr>
              <w:t xml:space="preserve"> </w:t>
            </w:r>
            <w:r>
              <w:rPr>
                <w:sz w:val="20"/>
              </w:rPr>
              <w:t>my</w:t>
            </w:r>
            <w:r>
              <w:rPr>
                <w:spacing w:val="-5"/>
                <w:sz w:val="20"/>
              </w:rPr>
              <w:t xml:space="preserve"> </w:t>
            </w:r>
            <w:r>
              <w:rPr>
                <w:spacing w:val="-2"/>
                <w:sz w:val="20"/>
              </w:rPr>
              <w:t>drinking.</w:t>
            </w:r>
          </w:p>
        </w:tc>
        <w:tc>
          <w:tcPr>
            <w:tcW w:w="809" w:type="dxa"/>
          </w:tcPr>
          <w:p w14:paraId="03FDD4E1" w14:textId="77777777" w:rsidR="00DB6E1F" w:rsidRDefault="00F666A6">
            <w:pPr>
              <w:pStyle w:val="TableParagraph"/>
              <w:spacing w:before="133"/>
              <w:ind w:left="7"/>
              <w:jc w:val="center"/>
              <w:rPr>
                <w:sz w:val="20"/>
              </w:rPr>
            </w:pPr>
            <w:r>
              <w:rPr>
                <w:w w:val="99"/>
                <w:sz w:val="20"/>
              </w:rPr>
              <w:t>1</w:t>
            </w:r>
          </w:p>
        </w:tc>
        <w:tc>
          <w:tcPr>
            <w:tcW w:w="811" w:type="dxa"/>
          </w:tcPr>
          <w:p w14:paraId="3BDC7030" w14:textId="77777777" w:rsidR="00DB6E1F" w:rsidRDefault="00F666A6">
            <w:pPr>
              <w:pStyle w:val="TableParagraph"/>
              <w:spacing w:before="133"/>
              <w:ind w:left="352"/>
              <w:rPr>
                <w:sz w:val="20"/>
              </w:rPr>
            </w:pPr>
            <w:r>
              <w:rPr>
                <w:w w:val="99"/>
                <w:sz w:val="20"/>
              </w:rPr>
              <w:t>2</w:t>
            </w:r>
          </w:p>
        </w:tc>
        <w:tc>
          <w:tcPr>
            <w:tcW w:w="989" w:type="dxa"/>
          </w:tcPr>
          <w:p w14:paraId="12C8C0F9" w14:textId="77777777" w:rsidR="00DB6E1F" w:rsidRDefault="00F666A6">
            <w:pPr>
              <w:pStyle w:val="TableParagraph"/>
              <w:spacing w:before="133"/>
              <w:ind w:left="441"/>
              <w:rPr>
                <w:sz w:val="20"/>
              </w:rPr>
            </w:pPr>
            <w:r>
              <w:rPr>
                <w:w w:val="99"/>
                <w:sz w:val="20"/>
              </w:rPr>
              <w:t>3</w:t>
            </w:r>
          </w:p>
        </w:tc>
        <w:tc>
          <w:tcPr>
            <w:tcW w:w="631" w:type="dxa"/>
          </w:tcPr>
          <w:p w14:paraId="3A9FDAA3" w14:textId="77777777" w:rsidR="00DB6E1F" w:rsidRDefault="00F666A6">
            <w:pPr>
              <w:pStyle w:val="TableParagraph"/>
              <w:spacing w:before="133"/>
              <w:ind w:left="11"/>
              <w:jc w:val="center"/>
              <w:rPr>
                <w:sz w:val="20"/>
              </w:rPr>
            </w:pPr>
            <w:r>
              <w:rPr>
                <w:w w:val="99"/>
                <w:sz w:val="20"/>
              </w:rPr>
              <w:t>4</w:t>
            </w:r>
          </w:p>
        </w:tc>
        <w:tc>
          <w:tcPr>
            <w:tcW w:w="816" w:type="dxa"/>
          </w:tcPr>
          <w:p w14:paraId="21937250" w14:textId="77777777" w:rsidR="00DB6E1F" w:rsidRDefault="00F666A6">
            <w:pPr>
              <w:pStyle w:val="TableParagraph"/>
              <w:spacing w:before="133"/>
              <w:ind w:left="9"/>
              <w:jc w:val="center"/>
              <w:rPr>
                <w:sz w:val="20"/>
              </w:rPr>
            </w:pPr>
            <w:r>
              <w:rPr>
                <w:w w:val="99"/>
                <w:sz w:val="20"/>
              </w:rPr>
              <w:t>5</w:t>
            </w:r>
          </w:p>
        </w:tc>
      </w:tr>
      <w:tr w:rsidR="00DB6E1F" w14:paraId="346F3CA1" w14:textId="77777777">
        <w:trPr>
          <w:trHeight w:val="263"/>
        </w:trPr>
        <w:tc>
          <w:tcPr>
            <w:tcW w:w="5304" w:type="dxa"/>
          </w:tcPr>
          <w:p w14:paraId="65AEB4B4" w14:textId="77777777" w:rsidR="00DB6E1F" w:rsidRDefault="00F666A6">
            <w:pPr>
              <w:pStyle w:val="TableParagraph"/>
              <w:spacing w:line="242" w:lineRule="exact"/>
              <w:ind w:left="81"/>
              <w:rPr>
                <w:sz w:val="20"/>
              </w:rPr>
            </w:pPr>
            <w:r>
              <w:rPr>
                <w:color w:val="4D4D4F"/>
                <w:sz w:val="20"/>
              </w:rPr>
              <w:t>6.</w:t>
            </w:r>
            <w:r>
              <w:rPr>
                <w:color w:val="4D4D4F"/>
                <w:spacing w:val="42"/>
                <w:sz w:val="20"/>
              </w:rPr>
              <w:t xml:space="preserve">  </w:t>
            </w:r>
            <w:r>
              <w:rPr>
                <w:sz w:val="20"/>
              </w:rPr>
              <w:t>Sometimes</w:t>
            </w:r>
            <w:r>
              <w:rPr>
                <w:spacing w:val="-2"/>
                <w:sz w:val="20"/>
              </w:rPr>
              <w:t xml:space="preserve"> </w:t>
            </w:r>
            <w:r>
              <w:rPr>
                <w:sz w:val="20"/>
              </w:rPr>
              <w:t>I</w:t>
            </w:r>
            <w:r>
              <w:rPr>
                <w:spacing w:val="-1"/>
                <w:sz w:val="20"/>
              </w:rPr>
              <w:t xml:space="preserve"> </w:t>
            </w:r>
            <w:r>
              <w:rPr>
                <w:sz w:val="20"/>
              </w:rPr>
              <w:t>wonder</w:t>
            </w:r>
            <w:r>
              <w:rPr>
                <w:spacing w:val="-1"/>
                <w:sz w:val="20"/>
              </w:rPr>
              <w:t xml:space="preserve"> </w:t>
            </w:r>
            <w:r>
              <w:rPr>
                <w:sz w:val="20"/>
              </w:rPr>
              <w:t>if</w:t>
            </w:r>
            <w:r>
              <w:rPr>
                <w:spacing w:val="-2"/>
                <w:sz w:val="20"/>
              </w:rPr>
              <w:t xml:space="preserve"> </w:t>
            </w:r>
            <w:r>
              <w:rPr>
                <w:sz w:val="20"/>
              </w:rPr>
              <w:t>my</w:t>
            </w:r>
            <w:r>
              <w:rPr>
                <w:spacing w:val="-1"/>
                <w:sz w:val="20"/>
              </w:rPr>
              <w:t xml:space="preserve"> </w:t>
            </w:r>
            <w:r>
              <w:rPr>
                <w:sz w:val="20"/>
              </w:rPr>
              <w:t>drinking</w:t>
            </w:r>
            <w:r>
              <w:rPr>
                <w:spacing w:val="-1"/>
                <w:sz w:val="20"/>
              </w:rPr>
              <w:t xml:space="preserve"> </w:t>
            </w:r>
            <w:r>
              <w:rPr>
                <w:sz w:val="20"/>
              </w:rPr>
              <w:t>is</w:t>
            </w:r>
            <w:r>
              <w:rPr>
                <w:spacing w:val="-2"/>
                <w:sz w:val="20"/>
              </w:rPr>
              <w:t xml:space="preserve"> </w:t>
            </w:r>
            <w:r>
              <w:rPr>
                <w:sz w:val="20"/>
              </w:rPr>
              <w:t>hurting</w:t>
            </w:r>
            <w:r>
              <w:rPr>
                <w:spacing w:val="-2"/>
                <w:sz w:val="20"/>
              </w:rPr>
              <w:t xml:space="preserve"> </w:t>
            </w:r>
            <w:r>
              <w:rPr>
                <w:sz w:val="20"/>
              </w:rPr>
              <w:t>other</w:t>
            </w:r>
            <w:r>
              <w:rPr>
                <w:spacing w:val="-1"/>
                <w:sz w:val="20"/>
              </w:rPr>
              <w:t xml:space="preserve"> </w:t>
            </w:r>
            <w:r>
              <w:rPr>
                <w:spacing w:val="-2"/>
                <w:sz w:val="20"/>
              </w:rPr>
              <w:t>people.</w:t>
            </w:r>
          </w:p>
        </w:tc>
        <w:tc>
          <w:tcPr>
            <w:tcW w:w="809" w:type="dxa"/>
          </w:tcPr>
          <w:p w14:paraId="7A57569F" w14:textId="77777777" w:rsidR="00DB6E1F" w:rsidRDefault="00F666A6">
            <w:pPr>
              <w:pStyle w:val="TableParagraph"/>
              <w:spacing w:line="242" w:lineRule="exact"/>
              <w:ind w:left="7"/>
              <w:jc w:val="center"/>
              <w:rPr>
                <w:sz w:val="20"/>
              </w:rPr>
            </w:pPr>
            <w:r>
              <w:rPr>
                <w:w w:val="99"/>
                <w:sz w:val="20"/>
              </w:rPr>
              <w:t>1</w:t>
            </w:r>
          </w:p>
        </w:tc>
        <w:tc>
          <w:tcPr>
            <w:tcW w:w="811" w:type="dxa"/>
          </w:tcPr>
          <w:p w14:paraId="03A30DEC" w14:textId="77777777" w:rsidR="00DB6E1F" w:rsidRDefault="00F666A6">
            <w:pPr>
              <w:pStyle w:val="TableParagraph"/>
              <w:spacing w:line="242" w:lineRule="exact"/>
              <w:ind w:left="352"/>
              <w:rPr>
                <w:sz w:val="20"/>
              </w:rPr>
            </w:pPr>
            <w:r>
              <w:rPr>
                <w:w w:val="99"/>
                <w:sz w:val="20"/>
              </w:rPr>
              <w:t>2</w:t>
            </w:r>
          </w:p>
        </w:tc>
        <w:tc>
          <w:tcPr>
            <w:tcW w:w="989" w:type="dxa"/>
          </w:tcPr>
          <w:p w14:paraId="2159C977" w14:textId="77777777" w:rsidR="00DB6E1F" w:rsidRDefault="00F666A6">
            <w:pPr>
              <w:pStyle w:val="TableParagraph"/>
              <w:spacing w:line="242" w:lineRule="exact"/>
              <w:ind w:left="441"/>
              <w:rPr>
                <w:sz w:val="20"/>
              </w:rPr>
            </w:pPr>
            <w:r>
              <w:rPr>
                <w:w w:val="99"/>
                <w:sz w:val="20"/>
              </w:rPr>
              <w:t>3</w:t>
            </w:r>
          </w:p>
        </w:tc>
        <w:tc>
          <w:tcPr>
            <w:tcW w:w="631" w:type="dxa"/>
          </w:tcPr>
          <w:p w14:paraId="0C928C96" w14:textId="77777777" w:rsidR="00DB6E1F" w:rsidRDefault="00F666A6">
            <w:pPr>
              <w:pStyle w:val="TableParagraph"/>
              <w:spacing w:line="242" w:lineRule="exact"/>
              <w:ind w:left="11"/>
              <w:jc w:val="center"/>
              <w:rPr>
                <w:sz w:val="20"/>
              </w:rPr>
            </w:pPr>
            <w:r>
              <w:rPr>
                <w:w w:val="99"/>
                <w:sz w:val="20"/>
              </w:rPr>
              <w:t>4</w:t>
            </w:r>
          </w:p>
        </w:tc>
        <w:tc>
          <w:tcPr>
            <w:tcW w:w="816" w:type="dxa"/>
          </w:tcPr>
          <w:p w14:paraId="6D280C5D" w14:textId="77777777" w:rsidR="00DB6E1F" w:rsidRDefault="00F666A6">
            <w:pPr>
              <w:pStyle w:val="TableParagraph"/>
              <w:spacing w:line="242" w:lineRule="exact"/>
              <w:ind w:left="9"/>
              <w:jc w:val="center"/>
              <w:rPr>
                <w:sz w:val="20"/>
              </w:rPr>
            </w:pPr>
            <w:r>
              <w:rPr>
                <w:w w:val="99"/>
                <w:sz w:val="20"/>
              </w:rPr>
              <w:t>5</w:t>
            </w:r>
          </w:p>
        </w:tc>
      </w:tr>
      <w:tr w:rsidR="00DB6E1F" w14:paraId="75F410DA" w14:textId="77777777">
        <w:trPr>
          <w:trHeight w:val="263"/>
        </w:trPr>
        <w:tc>
          <w:tcPr>
            <w:tcW w:w="5304" w:type="dxa"/>
          </w:tcPr>
          <w:p w14:paraId="2A75B53F" w14:textId="77777777" w:rsidR="00DB6E1F" w:rsidRDefault="00F666A6">
            <w:pPr>
              <w:pStyle w:val="TableParagraph"/>
              <w:spacing w:line="242" w:lineRule="exact"/>
              <w:ind w:left="81"/>
              <w:rPr>
                <w:sz w:val="20"/>
              </w:rPr>
            </w:pPr>
            <w:r>
              <w:rPr>
                <w:color w:val="4D4D4F"/>
                <w:sz w:val="20"/>
              </w:rPr>
              <w:t>7.</w:t>
            </w:r>
            <w:r>
              <w:rPr>
                <w:color w:val="4D4D4F"/>
                <w:spacing w:val="48"/>
                <w:sz w:val="20"/>
              </w:rPr>
              <w:t xml:space="preserve">  </w:t>
            </w:r>
            <w:r>
              <w:rPr>
                <w:sz w:val="20"/>
              </w:rPr>
              <w:t>I</w:t>
            </w:r>
            <w:r>
              <w:rPr>
                <w:spacing w:val="1"/>
                <w:sz w:val="20"/>
              </w:rPr>
              <w:t xml:space="preserve"> </w:t>
            </w:r>
            <w:r>
              <w:rPr>
                <w:sz w:val="20"/>
              </w:rPr>
              <w:t>am</w:t>
            </w:r>
            <w:r>
              <w:rPr>
                <w:spacing w:val="1"/>
                <w:sz w:val="20"/>
              </w:rPr>
              <w:t xml:space="preserve"> </w:t>
            </w:r>
            <w:r>
              <w:rPr>
                <w:sz w:val="20"/>
              </w:rPr>
              <w:t>a</w:t>
            </w:r>
            <w:r>
              <w:rPr>
                <w:spacing w:val="2"/>
                <w:sz w:val="20"/>
              </w:rPr>
              <w:t xml:space="preserve"> </w:t>
            </w:r>
            <w:r>
              <w:rPr>
                <w:sz w:val="20"/>
              </w:rPr>
              <w:t>problem</w:t>
            </w:r>
            <w:r>
              <w:rPr>
                <w:spacing w:val="1"/>
                <w:sz w:val="20"/>
              </w:rPr>
              <w:t xml:space="preserve"> </w:t>
            </w:r>
            <w:r>
              <w:rPr>
                <w:spacing w:val="-2"/>
                <w:sz w:val="20"/>
              </w:rPr>
              <w:t>drinker.</w:t>
            </w:r>
          </w:p>
        </w:tc>
        <w:tc>
          <w:tcPr>
            <w:tcW w:w="809" w:type="dxa"/>
          </w:tcPr>
          <w:p w14:paraId="00B6F3AE" w14:textId="77777777" w:rsidR="00DB6E1F" w:rsidRDefault="00F666A6">
            <w:pPr>
              <w:pStyle w:val="TableParagraph"/>
              <w:spacing w:line="242" w:lineRule="exact"/>
              <w:ind w:left="7"/>
              <w:jc w:val="center"/>
              <w:rPr>
                <w:sz w:val="20"/>
              </w:rPr>
            </w:pPr>
            <w:r>
              <w:rPr>
                <w:w w:val="99"/>
                <w:sz w:val="20"/>
              </w:rPr>
              <w:t>1</w:t>
            </w:r>
          </w:p>
        </w:tc>
        <w:tc>
          <w:tcPr>
            <w:tcW w:w="811" w:type="dxa"/>
          </w:tcPr>
          <w:p w14:paraId="05AEF9C2" w14:textId="77777777" w:rsidR="00DB6E1F" w:rsidRDefault="00F666A6">
            <w:pPr>
              <w:pStyle w:val="TableParagraph"/>
              <w:spacing w:line="242" w:lineRule="exact"/>
              <w:ind w:left="352"/>
              <w:rPr>
                <w:sz w:val="20"/>
              </w:rPr>
            </w:pPr>
            <w:r>
              <w:rPr>
                <w:w w:val="99"/>
                <w:sz w:val="20"/>
              </w:rPr>
              <w:t>2</w:t>
            </w:r>
          </w:p>
        </w:tc>
        <w:tc>
          <w:tcPr>
            <w:tcW w:w="989" w:type="dxa"/>
          </w:tcPr>
          <w:p w14:paraId="24B04D03" w14:textId="77777777" w:rsidR="00DB6E1F" w:rsidRDefault="00F666A6">
            <w:pPr>
              <w:pStyle w:val="TableParagraph"/>
              <w:spacing w:line="242" w:lineRule="exact"/>
              <w:ind w:left="441"/>
              <w:rPr>
                <w:sz w:val="20"/>
              </w:rPr>
            </w:pPr>
            <w:r>
              <w:rPr>
                <w:w w:val="99"/>
                <w:sz w:val="20"/>
              </w:rPr>
              <w:t>3</w:t>
            </w:r>
          </w:p>
        </w:tc>
        <w:tc>
          <w:tcPr>
            <w:tcW w:w="631" w:type="dxa"/>
          </w:tcPr>
          <w:p w14:paraId="1A8740A5" w14:textId="77777777" w:rsidR="00DB6E1F" w:rsidRDefault="00F666A6">
            <w:pPr>
              <w:pStyle w:val="TableParagraph"/>
              <w:spacing w:line="242" w:lineRule="exact"/>
              <w:ind w:left="11"/>
              <w:jc w:val="center"/>
              <w:rPr>
                <w:sz w:val="20"/>
              </w:rPr>
            </w:pPr>
            <w:r>
              <w:rPr>
                <w:w w:val="99"/>
                <w:sz w:val="20"/>
              </w:rPr>
              <w:t>4</w:t>
            </w:r>
          </w:p>
        </w:tc>
        <w:tc>
          <w:tcPr>
            <w:tcW w:w="816" w:type="dxa"/>
          </w:tcPr>
          <w:p w14:paraId="51C7B83E" w14:textId="77777777" w:rsidR="00DB6E1F" w:rsidRDefault="00F666A6">
            <w:pPr>
              <w:pStyle w:val="TableParagraph"/>
              <w:spacing w:line="242" w:lineRule="exact"/>
              <w:ind w:left="9"/>
              <w:jc w:val="center"/>
              <w:rPr>
                <w:sz w:val="20"/>
              </w:rPr>
            </w:pPr>
            <w:r>
              <w:rPr>
                <w:w w:val="99"/>
                <w:sz w:val="20"/>
              </w:rPr>
              <w:t>5</w:t>
            </w:r>
          </w:p>
        </w:tc>
      </w:tr>
      <w:tr w:rsidR="00DB6E1F" w14:paraId="68F27A20" w14:textId="77777777">
        <w:trPr>
          <w:trHeight w:val="527"/>
        </w:trPr>
        <w:tc>
          <w:tcPr>
            <w:tcW w:w="5304" w:type="dxa"/>
          </w:tcPr>
          <w:p w14:paraId="2F377A20" w14:textId="77777777" w:rsidR="00DB6E1F" w:rsidRDefault="00F666A6">
            <w:pPr>
              <w:pStyle w:val="TableParagraph"/>
              <w:ind w:left="81"/>
              <w:rPr>
                <w:sz w:val="20"/>
              </w:rPr>
            </w:pPr>
            <w:r>
              <w:rPr>
                <w:color w:val="4D4D4F"/>
                <w:sz w:val="20"/>
              </w:rPr>
              <w:t>8.</w:t>
            </w:r>
            <w:r>
              <w:rPr>
                <w:color w:val="4D4D4F"/>
                <w:spacing w:val="41"/>
                <w:sz w:val="20"/>
              </w:rPr>
              <w:t xml:space="preserve">  </w:t>
            </w:r>
            <w:r>
              <w:rPr>
                <w:sz w:val="20"/>
              </w:rPr>
              <w:t>I’m</w:t>
            </w:r>
            <w:r>
              <w:rPr>
                <w:spacing w:val="-3"/>
                <w:sz w:val="20"/>
              </w:rPr>
              <w:t xml:space="preserve"> </w:t>
            </w:r>
            <w:r>
              <w:rPr>
                <w:sz w:val="20"/>
              </w:rPr>
              <w:t>not</w:t>
            </w:r>
            <w:r>
              <w:rPr>
                <w:spacing w:val="-2"/>
                <w:sz w:val="20"/>
              </w:rPr>
              <w:t xml:space="preserve"> </w:t>
            </w:r>
            <w:r>
              <w:rPr>
                <w:sz w:val="20"/>
              </w:rPr>
              <w:t>just</w:t>
            </w:r>
            <w:r>
              <w:rPr>
                <w:spacing w:val="-3"/>
                <w:sz w:val="20"/>
              </w:rPr>
              <w:t xml:space="preserve"> </w:t>
            </w:r>
            <w:r>
              <w:rPr>
                <w:sz w:val="20"/>
              </w:rPr>
              <w:t>thinking</w:t>
            </w:r>
            <w:r>
              <w:rPr>
                <w:spacing w:val="-2"/>
                <w:sz w:val="20"/>
              </w:rPr>
              <w:t xml:space="preserve"> </w:t>
            </w:r>
            <w:r>
              <w:rPr>
                <w:sz w:val="20"/>
              </w:rPr>
              <w:t>about</w:t>
            </w:r>
            <w:r>
              <w:rPr>
                <w:spacing w:val="-4"/>
                <w:sz w:val="20"/>
              </w:rPr>
              <w:t xml:space="preserve"> </w:t>
            </w:r>
            <w:r>
              <w:rPr>
                <w:sz w:val="20"/>
              </w:rPr>
              <w:t>changing</w:t>
            </w:r>
            <w:r>
              <w:rPr>
                <w:spacing w:val="-2"/>
                <w:sz w:val="20"/>
              </w:rPr>
              <w:t xml:space="preserve"> </w:t>
            </w:r>
            <w:r>
              <w:rPr>
                <w:sz w:val="20"/>
              </w:rPr>
              <w:t>my</w:t>
            </w:r>
            <w:r>
              <w:rPr>
                <w:spacing w:val="-1"/>
                <w:sz w:val="20"/>
              </w:rPr>
              <w:t xml:space="preserve"> </w:t>
            </w:r>
            <w:r>
              <w:rPr>
                <w:sz w:val="20"/>
              </w:rPr>
              <w:t>drinking,</w:t>
            </w:r>
            <w:r>
              <w:rPr>
                <w:spacing w:val="-1"/>
                <w:sz w:val="20"/>
              </w:rPr>
              <w:t xml:space="preserve"> </w:t>
            </w:r>
            <w:r>
              <w:rPr>
                <w:spacing w:val="-5"/>
                <w:sz w:val="20"/>
              </w:rPr>
              <w:t>I’m</w:t>
            </w:r>
          </w:p>
          <w:p w14:paraId="7E54EC12" w14:textId="77777777" w:rsidR="00DB6E1F" w:rsidRDefault="00F666A6">
            <w:pPr>
              <w:pStyle w:val="TableParagraph"/>
              <w:spacing w:before="20" w:line="242" w:lineRule="exact"/>
              <w:ind w:left="441"/>
              <w:rPr>
                <w:sz w:val="20"/>
              </w:rPr>
            </w:pPr>
            <w:r>
              <w:rPr>
                <w:sz w:val="20"/>
              </w:rPr>
              <w:t>already</w:t>
            </w:r>
            <w:r>
              <w:rPr>
                <w:spacing w:val="-8"/>
                <w:sz w:val="20"/>
              </w:rPr>
              <w:t xml:space="preserve"> </w:t>
            </w:r>
            <w:r>
              <w:rPr>
                <w:sz w:val="20"/>
              </w:rPr>
              <w:t>doing</w:t>
            </w:r>
            <w:r>
              <w:rPr>
                <w:spacing w:val="-8"/>
                <w:sz w:val="20"/>
              </w:rPr>
              <w:t xml:space="preserve"> </w:t>
            </w:r>
            <w:r>
              <w:rPr>
                <w:sz w:val="20"/>
              </w:rPr>
              <w:t>something</w:t>
            </w:r>
            <w:r>
              <w:rPr>
                <w:spacing w:val="-8"/>
                <w:sz w:val="20"/>
              </w:rPr>
              <w:t xml:space="preserve"> </w:t>
            </w:r>
            <w:r>
              <w:rPr>
                <w:sz w:val="20"/>
              </w:rPr>
              <w:t>about</w:t>
            </w:r>
            <w:r>
              <w:rPr>
                <w:spacing w:val="-7"/>
                <w:sz w:val="20"/>
              </w:rPr>
              <w:t xml:space="preserve"> </w:t>
            </w:r>
            <w:r>
              <w:rPr>
                <w:spacing w:val="-5"/>
                <w:sz w:val="20"/>
              </w:rPr>
              <w:t>it.</w:t>
            </w:r>
          </w:p>
        </w:tc>
        <w:tc>
          <w:tcPr>
            <w:tcW w:w="809" w:type="dxa"/>
          </w:tcPr>
          <w:p w14:paraId="1AF17590" w14:textId="77777777" w:rsidR="00DB6E1F" w:rsidRDefault="00F666A6">
            <w:pPr>
              <w:pStyle w:val="TableParagraph"/>
              <w:spacing w:before="133"/>
              <w:ind w:left="7"/>
              <w:jc w:val="center"/>
              <w:rPr>
                <w:sz w:val="20"/>
              </w:rPr>
            </w:pPr>
            <w:r>
              <w:rPr>
                <w:w w:val="99"/>
                <w:sz w:val="20"/>
              </w:rPr>
              <w:t>1</w:t>
            </w:r>
          </w:p>
        </w:tc>
        <w:tc>
          <w:tcPr>
            <w:tcW w:w="811" w:type="dxa"/>
          </w:tcPr>
          <w:p w14:paraId="3C37D514" w14:textId="77777777" w:rsidR="00DB6E1F" w:rsidRDefault="00F666A6">
            <w:pPr>
              <w:pStyle w:val="TableParagraph"/>
              <w:spacing w:before="133"/>
              <w:ind w:left="352"/>
              <w:rPr>
                <w:sz w:val="20"/>
              </w:rPr>
            </w:pPr>
            <w:r>
              <w:rPr>
                <w:w w:val="99"/>
                <w:sz w:val="20"/>
              </w:rPr>
              <w:t>2</w:t>
            </w:r>
          </w:p>
        </w:tc>
        <w:tc>
          <w:tcPr>
            <w:tcW w:w="989" w:type="dxa"/>
          </w:tcPr>
          <w:p w14:paraId="44F629D8" w14:textId="77777777" w:rsidR="00DB6E1F" w:rsidRDefault="00F666A6">
            <w:pPr>
              <w:pStyle w:val="TableParagraph"/>
              <w:spacing w:before="133"/>
              <w:ind w:left="441"/>
              <w:rPr>
                <w:sz w:val="20"/>
              </w:rPr>
            </w:pPr>
            <w:r>
              <w:rPr>
                <w:w w:val="99"/>
                <w:sz w:val="20"/>
              </w:rPr>
              <w:t>3</w:t>
            </w:r>
          </w:p>
        </w:tc>
        <w:tc>
          <w:tcPr>
            <w:tcW w:w="631" w:type="dxa"/>
          </w:tcPr>
          <w:p w14:paraId="32B02B8C" w14:textId="77777777" w:rsidR="00DB6E1F" w:rsidRDefault="00F666A6">
            <w:pPr>
              <w:pStyle w:val="TableParagraph"/>
              <w:spacing w:before="133"/>
              <w:ind w:left="11"/>
              <w:jc w:val="center"/>
              <w:rPr>
                <w:sz w:val="20"/>
              </w:rPr>
            </w:pPr>
            <w:r>
              <w:rPr>
                <w:w w:val="99"/>
                <w:sz w:val="20"/>
              </w:rPr>
              <w:t>4</w:t>
            </w:r>
          </w:p>
        </w:tc>
        <w:tc>
          <w:tcPr>
            <w:tcW w:w="816" w:type="dxa"/>
          </w:tcPr>
          <w:p w14:paraId="2B8358CD" w14:textId="77777777" w:rsidR="00DB6E1F" w:rsidRDefault="00F666A6">
            <w:pPr>
              <w:pStyle w:val="TableParagraph"/>
              <w:spacing w:before="133"/>
              <w:ind w:left="9"/>
              <w:jc w:val="center"/>
              <w:rPr>
                <w:sz w:val="20"/>
              </w:rPr>
            </w:pPr>
            <w:r>
              <w:rPr>
                <w:w w:val="99"/>
                <w:sz w:val="20"/>
              </w:rPr>
              <w:t>5</w:t>
            </w:r>
          </w:p>
        </w:tc>
      </w:tr>
      <w:tr w:rsidR="00DB6E1F" w14:paraId="3F398AA8" w14:textId="77777777">
        <w:trPr>
          <w:trHeight w:val="525"/>
        </w:trPr>
        <w:tc>
          <w:tcPr>
            <w:tcW w:w="5304" w:type="dxa"/>
          </w:tcPr>
          <w:p w14:paraId="39440CAB" w14:textId="77777777" w:rsidR="00DB6E1F" w:rsidRDefault="00F666A6">
            <w:pPr>
              <w:pStyle w:val="TableParagraph"/>
              <w:ind w:left="81"/>
              <w:rPr>
                <w:sz w:val="20"/>
              </w:rPr>
            </w:pPr>
            <w:r>
              <w:rPr>
                <w:color w:val="4D4D4F"/>
                <w:sz w:val="20"/>
              </w:rPr>
              <w:t>9.</w:t>
            </w:r>
            <w:r>
              <w:rPr>
                <w:color w:val="4D4D4F"/>
                <w:spacing w:val="41"/>
                <w:sz w:val="20"/>
              </w:rPr>
              <w:t xml:space="preserve">  </w:t>
            </w:r>
            <w:r>
              <w:rPr>
                <w:sz w:val="20"/>
              </w:rPr>
              <w:t>I</w:t>
            </w:r>
            <w:r>
              <w:rPr>
                <w:spacing w:val="-2"/>
                <w:sz w:val="20"/>
              </w:rPr>
              <w:t xml:space="preserve"> </w:t>
            </w:r>
            <w:r>
              <w:rPr>
                <w:sz w:val="20"/>
              </w:rPr>
              <w:t>have</w:t>
            </w:r>
            <w:r>
              <w:rPr>
                <w:spacing w:val="-3"/>
                <w:sz w:val="20"/>
              </w:rPr>
              <w:t xml:space="preserve"> </w:t>
            </w:r>
            <w:r>
              <w:rPr>
                <w:sz w:val="20"/>
              </w:rPr>
              <w:t>already</w:t>
            </w:r>
            <w:r>
              <w:rPr>
                <w:spacing w:val="-1"/>
                <w:sz w:val="20"/>
              </w:rPr>
              <w:t xml:space="preserve"> </w:t>
            </w:r>
            <w:r>
              <w:rPr>
                <w:sz w:val="20"/>
              </w:rPr>
              <w:t>changed</w:t>
            </w:r>
            <w:r>
              <w:rPr>
                <w:spacing w:val="-1"/>
                <w:sz w:val="20"/>
              </w:rPr>
              <w:t xml:space="preserve"> </w:t>
            </w:r>
            <w:r>
              <w:rPr>
                <w:sz w:val="20"/>
              </w:rPr>
              <w:t>my</w:t>
            </w:r>
            <w:r>
              <w:rPr>
                <w:spacing w:val="-1"/>
                <w:sz w:val="20"/>
              </w:rPr>
              <w:t xml:space="preserve"> </w:t>
            </w:r>
            <w:r>
              <w:rPr>
                <w:sz w:val="20"/>
              </w:rPr>
              <w:t>drinking,</w:t>
            </w:r>
            <w:r>
              <w:rPr>
                <w:spacing w:val="-1"/>
                <w:sz w:val="20"/>
              </w:rPr>
              <w:t xml:space="preserve"> </w:t>
            </w:r>
            <w:r>
              <w:rPr>
                <w:sz w:val="20"/>
              </w:rPr>
              <w:t>and</w:t>
            </w:r>
            <w:r>
              <w:rPr>
                <w:spacing w:val="-1"/>
                <w:sz w:val="20"/>
              </w:rPr>
              <w:t xml:space="preserve"> </w:t>
            </w:r>
            <w:r>
              <w:rPr>
                <w:sz w:val="20"/>
              </w:rPr>
              <w:t>I</w:t>
            </w:r>
            <w:r>
              <w:rPr>
                <w:spacing w:val="-1"/>
                <w:sz w:val="20"/>
              </w:rPr>
              <w:t xml:space="preserve"> </w:t>
            </w:r>
            <w:r>
              <w:rPr>
                <w:sz w:val="20"/>
              </w:rPr>
              <w:t>am</w:t>
            </w:r>
            <w:r>
              <w:rPr>
                <w:spacing w:val="-3"/>
                <w:sz w:val="20"/>
              </w:rPr>
              <w:t xml:space="preserve"> </w:t>
            </w:r>
            <w:r>
              <w:rPr>
                <w:sz w:val="20"/>
              </w:rPr>
              <w:t>looking</w:t>
            </w:r>
            <w:r>
              <w:rPr>
                <w:spacing w:val="-2"/>
                <w:sz w:val="20"/>
              </w:rPr>
              <w:t xml:space="preserve"> </w:t>
            </w:r>
            <w:r>
              <w:rPr>
                <w:spacing w:val="-5"/>
                <w:sz w:val="20"/>
              </w:rPr>
              <w:t>for</w:t>
            </w:r>
          </w:p>
          <w:p w14:paraId="02A6DD4F" w14:textId="77777777" w:rsidR="00DB6E1F" w:rsidRDefault="00F666A6">
            <w:pPr>
              <w:pStyle w:val="TableParagraph"/>
              <w:spacing w:before="20" w:line="240" w:lineRule="exact"/>
              <w:ind w:left="441"/>
              <w:rPr>
                <w:sz w:val="20"/>
              </w:rPr>
            </w:pPr>
            <w:r>
              <w:rPr>
                <w:sz w:val="20"/>
              </w:rPr>
              <w:t>ways</w:t>
            </w:r>
            <w:r>
              <w:rPr>
                <w:spacing w:val="-5"/>
                <w:sz w:val="20"/>
              </w:rPr>
              <w:t xml:space="preserve"> </w:t>
            </w:r>
            <w:r>
              <w:rPr>
                <w:sz w:val="20"/>
              </w:rPr>
              <w:t>to</w:t>
            </w:r>
            <w:r>
              <w:rPr>
                <w:spacing w:val="-4"/>
                <w:sz w:val="20"/>
              </w:rPr>
              <w:t xml:space="preserve"> </w:t>
            </w:r>
            <w:r>
              <w:rPr>
                <w:sz w:val="20"/>
              </w:rPr>
              <w:t>keep</w:t>
            </w:r>
            <w:r>
              <w:rPr>
                <w:spacing w:val="-4"/>
                <w:sz w:val="20"/>
              </w:rPr>
              <w:t xml:space="preserve"> </w:t>
            </w:r>
            <w:r>
              <w:rPr>
                <w:sz w:val="20"/>
              </w:rPr>
              <w:t>from</w:t>
            </w:r>
            <w:r>
              <w:rPr>
                <w:spacing w:val="-5"/>
                <w:sz w:val="20"/>
              </w:rPr>
              <w:t xml:space="preserve"> </w:t>
            </w:r>
            <w:r>
              <w:rPr>
                <w:sz w:val="20"/>
              </w:rPr>
              <w:t>slipping</w:t>
            </w:r>
            <w:r>
              <w:rPr>
                <w:spacing w:val="-4"/>
                <w:sz w:val="20"/>
              </w:rPr>
              <w:t xml:space="preserve"> </w:t>
            </w:r>
            <w:r>
              <w:rPr>
                <w:sz w:val="20"/>
              </w:rPr>
              <w:t>back</w:t>
            </w:r>
            <w:r>
              <w:rPr>
                <w:spacing w:val="-3"/>
                <w:sz w:val="20"/>
              </w:rPr>
              <w:t xml:space="preserve"> </w:t>
            </w:r>
            <w:r>
              <w:rPr>
                <w:sz w:val="20"/>
              </w:rPr>
              <w:t>to</w:t>
            </w:r>
            <w:r>
              <w:rPr>
                <w:spacing w:val="-4"/>
                <w:sz w:val="20"/>
              </w:rPr>
              <w:t xml:space="preserve"> </w:t>
            </w:r>
            <w:r>
              <w:rPr>
                <w:sz w:val="20"/>
              </w:rPr>
              <w:t>my</w:t>
            </w:r>
            <w:r>
              <w:rPr>
                <w:spacing w:val="-3"/>
                <w:sz w:val="20"/>
              </w:rPr>
              <w:t xml:space="preserve"> </w:t>
            </w:r>
            <w:r>
              <w:rPr>
                <w:sz w:val="20"/>
              </w:rPr>
              <w:t>old</w:t>
            </w:r>
            <w:r>
              <w:rPr>
                <w:spacing w:val="-3"/>
                <w:sz w:val="20"/>
              </w:rPr>
              <w:t xml:space="preserve"> </w:t>
            </w:r>
            <w:r>
              <w:rPr>
                <w:spacing w:val="-2"/>
                <w:sz w:val="20"/>
              </w:rPr>
              <w:t>pattern.</w:t>
            </w:r>
          </w:p>
        </w:tc>
        <w:tc>
          <w:tcPr>
            <w:tcW w:w="809" w:type="dxa"/>
          </w:tcPr>
          <w:p w14:paraId="5684C35D" w14:textId="77777777" w:rsidR="00DB6E1F" w:rsidRDefault="00F666A6">
            <w:pPr>
              <w:pStyle w:val="TableParagraph"/>
              <w:spacing w:before="133"/>
              <w:ind w:left="7"/>
              <w:jc w:val="center"/>
              <w:rPr>
                <w:sz w:val="20"/>
              </w:rPr>
            </w:pPr>
            <w:r>
              <w:rPr>
                <w:w w:val="99"/>
                <w:sz w:val="20"/>
              </w:rPr>
              <w:t>1</w:t>
            </w:r>
          </w:p>
        </w:tc>
        <w:tc>
          <w:tcPr>
            <w:tcW w:w="811" w:type="dxa"/>
          </w:tcPr>
          <w:p w14:paraId="3E47B24F" w14:textId="77777777" w:rsidR="00DB6E1F" w:rsidRDefault="00F666A6">
            <w:pPr>
              <w:pStyle w:val="TableParagraph"/>
              <w:spacing w:before="133"/>
              <w:ind w:left="352"/>
              <w:rPr>
                <w:sz w:val="20"/>
              </w:rPr>
            </w:pPr>
            <w:r>
              <w:rPr>
                <w:w w:val="99"/>
                <w:sz w:val="20"/>
              </w:rPr>
              <w:t>2</w:t>
            </w:r>
          </w:p>
        </w:tc>
        <w:tc>
          <w:tcPr>
            <w:tcW w:w="989" w:type="dxa"/>
          </w:tcPr>
          <w:p w14:paraId="5F906447" w14:textId="77777777" w:rsidR="00DB6E1F" w:rsidRDefault="00F666A6">
            <w:pPr>
              <w:pStyle w:val="TableParagraph"/>
              <w:spacing w:before="133"/>
              <w:ind w:left="441"/>
              <w:rPr>
                <w:sz w:val="20"/>
              </w:rPr>
            </w:pPr>
            <w:r>
              <w:rPr>
                <w:w w:val="99"/>
                <w:sz w:val="20"/>
              </w:rPr>
              <w:t>3</w:t>
            </w:r>
          </w:p>
        </w:tc>
        <w:tc>
          <w:tcPr>
            <w:tcW w:w="631" w:type="dxa"/>
          </w:tcPr>
          <w:p w14:paraId="4163E0FE" w14:textId="77777777" w:rsidR="00DB6E1F" w:rsidRDefault="00F666A6">
            <w:pPr>
              <w:pStyle w:val="TableParagraph"/>
              <w:spacing w:before="133"/>
              <w:ind w:left="11"/>
              <w:jc w:val="center"/>
              <w:rPr>
                <w:sz w:val="20"/>
              </w:rPr>
            </w:pPr>
            <w:r>
              <w:rPr>
                <w:w w:val="99"/>
                <w:sz w:val="20"/>
              </w:rPr>
              <w:t>4</w:t>
            </w:r>
          </w:p>
        </w:tc>
        <w:tc>
          <w:tcPr>
            <w:tcW w:w="816" w:type="dxa"/>
          </w:tcPr>
          <w:p w14:paraId="2FBB4B03" w14:textId="77777777" w:rsidR="00DB6E1F" w:rsidRDefault="00F666A6">
            <w:pPr>
              <w:pStyle w:val="TableParagraph"/>
              <w:spacing w:before="133"/>
              <w:ind w:left="9"/>
              <w:jc w:val="center"/>
              <w:rPr>
                <w:sz w:val="20"/>
              </w:rPr>
            </w:pPr>
            <w:r>
              <w:rPr>
                <w:w w:val="99"/>
                <w:sz w:val="20"/>
              </w:rPr>
              <w:t>5</w:t>
            </w:r>
          </w:p>
        </w:tc>
      </w:tr>
      <w:tr w:rsidR="00DB6E1F" w14:paraId="64CC9E3C" w14:textId="77777777">
        <w:trPr>
          <w:trHeight w:val="263"/>
        </w:trPr>
        <w:tc>
          <w:tcPr>
            <w:tcW w:w="5304" w:type="dxa"/>
          </w:tcPr>
          <w:p w14:paraId="1D891D55" w14:textId="77777777" w:rsidR="00DB6E1F" w:rsidRDefault="00F666A6">
            <w:pPr>
              <w:pStyle w:val="TableParagraph"/>
              <w:spacing w:before="3" w:line="240" w:lineRule="exact"/>
              <w:ind w:left="81"/>
              <w:rPr>
                <w:sz w:val="20"/>
              </w:rPr>
            </w:pPr>
            <w:r>
              <w:rPr>
                <w:color w:val="4D4D4F"/>
                <w:sz w:val="20"/>
              </w:rPr>
              <w:t>10.</w:t>
            </w:r>
            <w:r>
              <w:rPr>
                <w:color w:val="4D4D4F"/>
                <w:spacing w:val="19"/>
                <w:sz w:val="20"/>
              </w:rPr>
              <w:t xml:space="preserve"> </w:t>
            </w:r>
            <w:r>
              <w:rPr>
                <w:sz w:val="20"/>
              </w:rPr>
              <w:t>I</w:t>
            </w:r>
            <w:r>
              <w:rPr>
                <w:spacing w:val="2"/>
                <w:sz w:val="20"/>
              </w:rPr>
              <w:t xml:space="preserve"> </w:t>
            </w:r>
            <w:r>
              <w:rPr>
                <w:sz w:val="20"/>
              </w:rPr>
              <w:t>have</w:t>
            </w:r>
            <w:r>
              <w:rPr>
                <w:spacing w:val="1"/>
                <w:sz w:val="20"/>
              </w:rPr>
              <w:t xml:space="preserve"> </w:t>
            </w:r>
            <w:r>
              <w:rPr>
                <w:sz w:val="20"/>
              </w:rPr>
              <w:t>serious</w:t>
            </w:r>
            <w:r>
              <w:rPr>
                <w:spacing w:val="1"/>
                <w:sz w:val="20"/>
              </w:rPr>
              <w:t xml:space="preserve"> </w:t>
            </w:r>
            <w:r>
              <w:rPr>
                <w:sz w:val="20"/>
              </w:rPr>
              <w:t>problems</w:t>
            </w:r>
            <w:r>
              <w:rPr>
                <w:spacing w:val="4"/>
                <w:sz w:val="20"/>
              </w:rPr>
              <w:t xml:space="preserve"> </w:t>
            </w:r>
            <w:r>
              <w:rPr>
                <w:sz w:val="20"/>
              </w:rPr>
              <w:t>with</w:t>
            </w:r>
            <w:r>
              <w:rPr>
                <w:spacing w:val="3"/>
                <w:sz w:val="20"/>
              </w:rPr>
              <w:t xml:space="preserve"> </w:t>
            </w:r>
            <w:r>
              <w:rPr>
                <w:spacing w:val="-2"/>
                <w:sz w:val="20"/>
              </w:rPr>
              <w:t>drinking.</w:t>
            </w:r>
          </w:p>
        </w:tc>
        <w:tc>
          <w:tcPr>
            <w:tcW w:w="809" w:type="dxa"/>
          </w:tcPr>
          <w:p w14:paraId="3037189A" w14:textId="77777777" w:rsidR="00DB6E1F" w:rsidRDefault="00F666A6">
            <w:pPr>
              <w:pStyle w:val="TableParagraph"/>
              <w:spacing w:before="3" w:line="240" w:lineRule="exact"/>
              <w:ind w:left="7"/>
              <w:jc w:val="center"/>
              <w:rPr>
                <w:sz w:val="20"/>
              </w:rPr>
            </w:pPr>
            <w:r>
              <w:rPr>
                <w:w w:val="99"/>
                <w:sz w:val="20"/>
              </w:rPr>
              <w:t>1</w:t>
            </w:r>
          </w:p>
        </w:tc>
        <w:tc>
          <w:tcPr>
            <w:tcW w:w="811" w:type="dxa"/>
          </w:tcPr>
          <w:p w14:paraId="4CB793CD" w14:textId="77777777" w:rsidR="00DB6E1F" w:rsidRDefault="00F666A6">
            <w:pPr>
              <w:pStyle w:val="TableParagraph"/>
              <w:spacing w:before="3" w:line="240" w:lineRule="exact"/>
              <w:ind w:left="352"/>
              <w:rPr>
                <w:sz w:val="20"/>
              </w:rPr>
            </w:pPr>
            <w:r>
              <w:rPr>
                <w:w w:val="99"/>
                <w:sz w:val="20"/>
              </w:rPr>
              <w:t>2</w:t>
            </w:r>
          </w:p>
        </w:tc>
        <w:tc>
          <w:tcPr>
            <w:tcW w:w="989" w:type="dxa"/>
          </w:tcPr>
          <w:p w14:paraId="39AE00BB" w14:textId="77777777" w:rsidR="00DB6E1F" w:rsidRDefault="00F666A6">
            <w:pPr>
              <w:pStyle w:val="TableParagraph"/>
              <w:spacing w:before="3" w:line="240" w:lineRule="exact"/>
              <w:ind w:left="441"/>
              <w:rPr>
                <w:sz w:val="20"/>
              </w:rPr>
            </w:pPr>
            <w:r>
              <w:rPr>
                <w:w w:val="99"/>
                <w:sz w:val="20"/>
              </w:rPr>
              <w:t>3</w:t>
            </w:r>
          </w:p>
        </w:tc>
        <w:tc>
          <w:tcPr>
            <w:tcW w:w="631" w:type="dxa"/>
          </w:tcPr>
          <w:p w14:paraId="635ED6EE" w14:textId="77777777" w:rsidR="00DB6E1F" w:rsidRDefault="00F666A6">
            <w:pPr>
              <w:pStyle w:val="TableParagraph"/>
              <w:spacing w:before="3" w:line="240" w:lineRule="exact"/>
              <w:ind w:left="11"/>
              <w:jc w:val="center"/>
              <w:rPr>
                <w:sz w:val="20"/>
              </w:rPr>
            </w:pPr>
            <w:r>
              <w:rPr>
                <w:w w:val="99"/>
                <w:sz w:val="20"/>
              </w:rPr>
              <w:t>4</w:t>
            </w:r>
          </w:p>
        </w:tc>
        <w:tc>
          <w:tcPr>
            <w:tcW w:w="816" w:type="dxa"/>
          </w:tcPr>
          <w:p w14:paraId="48684FDD" w14:textId="77777777" w:rsidR="00DB6E1F" w:rsidRDefault="00F666A6">
            <w:pPr>
              <w:pStyle w:val="TableParagraph"/>
              <w:spacing w:before="3" w:line="240" w:lineRule="exact"/>
              <w:ind w:left="9"/>
              <w:jc w:val="center"/>
              <w:rPr>
                <w:sz w:val="20"/>
              </w:rPr>
            </w:pPr>
            <w:r>
              <w:rPr>
                <w:w w:val="99"/>
                <w:sz w:val="20"/>
              </w:rPr>
              <w:t>5</w:t>
            </w:r>
          </w:p>
        </w:tc>
      </w:tr>
      <w:tr w:rsidR="00DB6E1F" w14:paraId="0900E843" w14:textId="77777777">
        <w:trPr>
          <w:trHeight w:val="263"/>
        </w:trPr>
        <w:tc>
          <w:tcPr>
            <w:tcW w:w="5304" w:type="dxa"/>
          </w:tcPr>
          <w:p w14:paraId="18DF528B" w14:textId="77777777" w:rsidR="00DB6E1F" w:rsidRDefault="00F666A6">
            <w:pPr>
              <w:pStyle w:val="TableParagraph"/>
              <w:spacing w:before="3" w:line="240" w:lineRule="exact"/>
              <w:ind w:left="81"/>
              <w:rPr>
                <w:sz w:val="20"/>
              </w:rPr>
            </w:pPr>
            <w:r>
              <w:rPr>
                <w:color w:val="4D4D4F"/>
                <w:sz w:val="20"/>
              </w:rPr>
              <w:t>11.</w:t>
            </w:r>
            <w:r>
              <w:rPr>
                <w:color w:val="4D4D4F"/>
                <w:spacing w:val="16"/>
                <w:sz w:val="20"/>
              </w:rPr>
              <w:t xml:space="preserve"> </w:t>
            </w:r>
            <w:r>
              <w:rPr>
                <w:sz w:val="20"/>
              </w:rPr>
              <w:t>Sometimes I wonder</w:t>
            </w:r>
            <w:r>
              <w:rPr>
                <w:spacing w:val="1"/>
                <w:sz w:val="20"/>
              </w:rPr>
              <w:t xml:space="preserve"> </w:t>
            </w:r>
            <w:r>
              <w:rPr>
                <w:sz w:val="20"/>
              </w:rPr>
              <w:t>if I am in</w:t>
            </w:r>
            <w:r>
              <w:rPr>
                <w:spacing w:val="3"/>
                <w:sz w:val="20"/>
              </w:rPr>
              <w:t xml:space="preserve"> </w:t>
            </w:r>
            <w:r>
              <w:rPr>
                <w:sz w:val="20"/>
              </w:rPr>
              <w:t>control</w:t>
            </w:r>
            <w:r>
              <w:rPr>
                <w:spacing w:val="1"/>
                <w:sz w:val="20"/>
              </w:rPr>
              <w:t xml:space="preserve"> </w:t>
            </w:r>
            <w:r>
              <w:rPr>
                <w:sz w:val="20"/>
              </w:rPr>
              <w:t>of</w:t>
            </w:r>
            <w:r>
              <w:rPr>
                <w:spacing w:val="-1"/>
                <w:sz w:val="20"/>
              </w:rPr>
              <w:t xml:space="preserve"> </w:t>
            </w:r>
            <w:r>
              <w:rPr>
                <w:sz w:val="20"/>
              </w:rPr>
              <w:t>my</w:t>
            </w:r>
            <w:r>
              <w:rPr>
                <w:spacing w:val="2"/>
                <w:sz w:val="20"/>
              </w:rPr>
              <w:t xml:space="preserve"> </w:t>
            </w:r>
            <w:r>
              <w:rPr>
                <w:spacing w:val="-2"/>
                <w:sz w:val="20"/>
              </w:rPr>
              <w:t>drinking.</w:t>
            </w:r>
          </w:p>
        </w:tc>
        <w:tc>
          <w:tcPr>
            <w:tcW w:w="809" w:type="dxa"/>
          </w:tcPr>
          <w:p w14:paraId="4A6E63CE" w14:textId="77777777" w:rsidR="00DB6E1F" w:rsidRDefault="00F666A6">
            <w:pPr>
              <w:pStyle w:val="TableParagraph"/>
              <w:spacing w:before="3" w:line="240" w:lineRule="exact"/>
              <w:ind w:left="7"/>
              <w:jc w:val="center"/>
              <w:rPr>
                <w:sz w:val="20"/>
              </w:rPr>
            </w:pPr>
            <w:r>
              <w:rPr>
                <w:w w:val="99"/>
                <w:sz w:val="20"/>
              </w:rPr>
              <w:t>1</w:t>
            </w:r>
          </w:p>
        </w:tc>
        <w:tc>
          <w:tcPr>
            <w:tcW w:w="811" w:type="dxa"/>
          </w:tcPr>
          <w:p w14:paraId="07F7B05A" w14:textId="77777777" w:rsidR="00DB6E1F" w:rsidRDefault="00F666A6">
            <w:pPr>
              <w:pStyle w:val="TableParagraph"/>
              <w:spacing w:before="3" w:line="240" w:lineRule="exact"/>
              <w:ind w:left="352"/>
              <w:rPr>
                <w:sz w:val="20"/>
              </w:rPr>
            </w:pPr>
            <w:r>
              <w:rPr>
                <w:w w:val="99"/>
                <w:sz w:val="20"/>
              </w:rPr>
              <w:t>2</w:t>
            </w:r>
          </w:p>
        </w:tc>
        <w:tc>
          <w:tcPr>
            <w:tcW w:w="989" w:type="dxa"/>
          </w:tcPr>
          <w:p w14:paraId="4435305B" w14:textId="77777777" w:rsidR="00DB6E1F" w:rsidRDefault="00F666A6">
            <w:pPr>
              <w:pStyle w:val="TableParagraph"/>
              <w:spacing w:before="3" w:line="240" w:lineRule="exact"/>
              <w:ind w:left="441"/>
              <w:rPr>
                <w:sz w:val="20"/>
              </w:rPr>
            </w:pPr>
            <w:r>
              <w:rPr>
                <w:w w:val="99"/>
                <w:sz w:val="20"/>
              </w:rPr>
              <w:t>3</w:t>
            </w:r>
          </w:p>
        </w:tc>
        <w:tc>
          <w:tcPr>
            <w:tcW w:w="631" w:type="dxa"/>
          </w:tcPr>
          <w:p w14:paraId="478CEDB9" w14:textId="77777777" w:rsidR="00DB6E1F" w:rsidRDefault="00F666A6">
            <w:pPr>
              <w:pStyle w:val="TableParagraph"/>
              <w:spacing w:before="3" w:line="240" w:lineRule="exact"/>
              <w:ind w:left="11"/>
              <w:jc w:val="center"/>
              <w:rPr>
                <w:sz w:val="20"/>
              </w:rPr>
            </w:pPr>
            <w:r>
              <w:rPr>
                <w:w w:val="99"/>
                <w:sz w:val="20"/>
              </w:rPr>
              <w:t>4</w:t>
            </w:r>
          </w:p>
        </w:tc>
        <w:tc>
          <w:tcPr>
            <w:tcW w:w="816" w:type="dxa"/>
          </w:tcPr>
          <w:p w14:paraId="0488A3CF" w14:textId="77777777" w:rsidR="00DB6E1F" w:rsidRDefault="00F666A6">
            <w:pPr>
              <w:pStyle w:val="TableParagraph"/>
              <w:spacing w:before="3" w:line="240" w:lineRule="exact"/>
              <w:ind w:left="9"/>
              <w:jc w:val="center"/>
              <w:rPr>
                <w:sz w:val="20"/>
              </w:rPr>
            </w:pPr>
            <w:r>
              <w:rPr>
                <w:w w:val="99"/>
                <w:sz w:val="20"/>
              </w:rPr>
              <w:t>5</w:t>
            </w:r>
          </w:p>
        </w:tc>
      </w:tr>
      <w:tr w:rsidR="00DB6E1F" w14:paraId="59EE8875" w14:textId="77777777">
        <w:trPr>
          <w:trHeight w:val="263"/>
        </w:trPr>
        <w:tc>
          <w:tcPr>
            <w:tcW w:w="5304" w:type="dxa"/>
          </w:tcPr>
          <w:p w14:paraId="02DAFE54" w14:textId="77777777" w:rsidR="00DB6E1F" w:rsidRDefault="00F666A6">
            <w:pPr>
              <w:pStyle w:val="TableParagraph"/>
              <w:spacing w:before="3" w:line="240" w:lineRule="exact"/>
              <w:ind w:left="81"/>
              <w:rPr>
                <w:sz w:val="20"/>
              </w:rPr>
            </w:pPr>
            <w:r>
              <w:rPr>
                <w:color w:val="4D4D4F"/>
                <w:sz w:val="20"/>
              </w:rPr>
              <w:t>12.</w:t>
            </w:r>
            <w:r>
              <w:rPr>
                <w:color w:val="4D4D4F"/>
                <w:spacing w:val="18"/>
                <w:sz w:val="20"/>
              </w:rPr>
              <w:t xml:space="preserve"> </w:t>
            </w:r>
            <w:r>
              <w:rPr>
                <w:sz w:val="20"/>
              </w:rPr>
              <w:t>My</w:t>
            </w:r>
            <w:r>
              <w:rPr>
                <w:spacing w:val="3"/>
                <w:sz w:val="20"/>
              </w:rPr>
              <w:t xml:space="preserve"> </w:t>
            </w:r>
            <w:r>
              <w:rPr>
                <w:sz w:val="20"/>
              </w:rPr>
              <w:t>drinking</w:t>
            </w:r>
            <w:r>
              <w:rPr>
                <w:spacing w:val="2"/>
                <w:sz w:val="20"/>
              </w:rPr>
              <w:t xml:space="preserve"> </w:t>
            </w:r>
            <w:r>
              <w:rPr>
                <w:sz w:val="20"/>
              </w:rPr>
              <w:t>is</w:t>
            </w:r>
            <w:r>
              <w:rPr>
                <w:spacing w:val="1"/>
                <w:sz w:val="20"/>
              </w:rPr>
              <w:t xml:space="preserve"> </w:t>
            </w:r>
            <w:r>
              <w:rPr>
                <w:sz w:val="20"/>
              </w:rPr>
              <w:t>causing</w:t>
            </w:r>
            <w:r>
              <w:rPr>
                <w:spacing w:val="2"/>
                <w:sz w:val="20"/>
              </w:rPr>
              <w:t xml:space="preserve"> </w:t>
            </w:r>
            <w:r>
              <w:rPr>
                <w:sz w:val="20"/>
              </w:rPr>
              <w:t>a</w:t>
            </w:r>
            <w:r>
              <w:rPr>
                <w:spacing w:val="1"/>
                <w:sz w:val="20"/>
              </w:rPr>
              <w:t xml:space="preserve"> </w:t>
            </w:r>
            <w:r>
              <w:rPr>
                <w:sz w:val="20"/>
              </w:rPr>
              <w:t>lot</w:t>
            </w:r>
            <w:r>
              <w:rPr>
                <w:spacing w:val="2"/>
                <w:sz w:val="20"/>
              </w:rPr>
              <w:t xml:space="preserve"> </w:t>
            </w:r>
            <w:r>
              <w:rPr>
                <w:sz w:val="20"/>
              </w:rPr>
              <w:t>of</w:t>
            </w:r>
            <w:r>
              <w:rPr>
                <w:spacing w:val="1"/>
                <w:sz w:val="20"/>
              </w:rPr>
              <w:t xml:space="preserve"> </w:t>
            </w:r>
            <w:r>
              <w:rPr>
                <w:spacing w:val="-2"/>
                <w:sz w:val="20"/>
              </w:rPr>
              <w:t>harm.</w:t>
            </w:r>
          </w:p>
        </w:tc>
        <w:tc>
          <w:tcPr>
            <w:tcW w:w="809" w:type="dxa"/>
          </w:tcPr>
          <w:p w14:paraId="265B8188" w14:textId="77777777" w:rsidR="00DB6E1F" w:rsidRDefault="00F666A6">
            <w:pPr>
              <w:pStyle w:val="TableParagraph"/>
              <w:spacing w:before="3" w:line="240" w:lineRule="exact"/>
              <w:ind w:left="7"/>
              <w:jc w:val="center"/>
              <w:rPr>
                <w:sz w:val="20"/>
              </w:rPr>
            </w:pPr>
            <w:r>
              <w:rPr>
                <w:w w:val="99"/>
                <w:sz w:val="20"/>
              </w:rPr>
              <w:t>1</w:t>
            </w:r>
          </w:p>
        </w:tc>
        <w:tc>
          <w:tcPr>
            <w:tcW w:w="811" w:type="dxa"/>
          </w:tcPr>
          <w:p w14:paraId="1F850DE9" w14:textId="77777777" w:rsidR="00DB6E1F" w:rsidRDefault="00F666A6">
            <w:pPr>
              <w:pStyle w:val="TableParagraph"/>
              <w:spacing w:before="3" w:line="240" w:lineRule="exact"/>
              <w:ind w:left="352"/>
              <w:rPr>
                <w:sz w:val="20"/>
              </w:rPr>
            </w:pPr>
            <w:r>
              <w:rPr>
                <w:w w:val="99"/>
                <w:sz w:val="20"/>
              </w:rPr>
              <w:t>2</w:t>
            </w:r>
          </w:p>
        </w:tc>
        <w:tc>
          <w:tcPr>
            <w:tcW w:w="989" w:type="dxa"/>
          </w:tcPr>
          <w:p w14:paraId="4E736368" w14:textId="77777777" w:rsidR="00DB6E1F" w:rsidRDefault="00F666A6">
            <w:pPr>
              <w:pStyle w:val="TableParagraph"/>
              <w:spacing w:before="3" w:line="240" w:lineRule="exact"/>
              <w:ind w:left="441"/>
              <w:rPr>
                <w:sz w:val="20"/>
              </w:rPr>
            </w:pPr>
            <w:r>
              <w:rPr>
                <w:w w:val="99"/>
                <w:sz w:val="20"/>
              </w:rPr>
              <w:t>3</w:t>
            </w:r>
          </w:p>
        </w:tc>
        <w:tc>
          <w:tcPr>
            <w:tcW w:w="631" w:type="dxa"/>
          </w:tcPr>
          <w:p w14:paraId="3BB97CBA" w14:textId="77777777" w:rsidR="00DB6E1F" w:rsidRDefault="00F666A6">
            <w:pPr>
              <w:pStyle w:val="TableParagraph"/>
              <w:spacing w:before="3" w:line="240" w:lineRule="exact"/>
              <w:ind w:left="11"/>
              <w:jc w:val="center"/>
              <w:rPr>
                <w:sz w:val="20"/>
              </w:rPr>
            </w:pPr>
            <w:r>
              <w:rPr>
                <w:w w:val="99"/>
                <w:sz w:val="20"/>
              </w:rPr>
              <w:t>4</w:t>
            </w:r>
          </w:p>
        </w:tc>
        <w:tc>
          <w:tcPr>
            <w:tcW w:w="816" w:type="dxa"/>
          </w:tcPr>
          <w:p w14:paraId="55F2AD48" w14:textId="77777777" w:rsidR="00DB6E1F" w:rsidRDefault="00F666A6">
            <w:pPr>
              <w:pStyle w:val="TableParagraph"/>
              <w:spacing w:before="3" w:line="240" w:lineRule="exact"/>
              <w:ind w:left="9"/>
              <w:jc w:val="center"/>
              <w:rPr>
                <w:sz w:val="20"/>
              </w:rPr>
            </w:pPr>
            <w:r>
              <w:rPr>
                <w:w w:val="99"/>
                <w:sz w:val="20"/>
              </w:rPr>
              <w:t>5</w:t>
            </w:r>
          </w:p>
        </w:tc>
      </w:tr>
      <w:tr w:rsidR="00DB6E1F" w14:paraId="09F149E8" w14:textId="77777777">
        <w:trPr>
          <w:trHeight w:val="527"/>
        </w:trPr>
        <w:tc>
          <w:tcPr>
            <w:tcW w:w="5304" w:type="dxa"/>
          </w:tcPr>
          <w:p w14:paraId="2EF5E086" w14:textId="77777777" w:rsidR="00DB6E1F" w:rsidRDefault="00F666A6">
            <w:pPr>
              <w:pStyle w:val="TableParagraph"/>
              <w:spacing w:before="3"/>
              <w:ind w:left="81"/>
              <w:rPr>
                <w:sz w:val="20"/>
              </w:rPr>
            </w:pPr>
            <w:r>
              <w:rPr>
                <w:color w:val="4D4D4F"/>
                <w:sz w:val="20"/>
              </w:rPr>
              <w:t>13.</w:t>
            </w:r>
            <w:r>
              <w:rPr>
                <w:color w:val="4D4D4F"/>
                <w:spacing w:val="16"/>
                <w:sz w:val="20"/>
              </w:rPr>
              <w:t xml:space="preserve"> </w:t>
            </w:r>
            <w:r>
              <w:rPr>
                <w:sz w:val="20"/>
              </w:rPr>
              <w:t>I am</w:t>
            </w:r>
            <w:r>
              <w:rPr>
                <w:spacing w:val="-1"/>
                <w:sz w:val="20"/>
              </w:rPr>
              <w:t xml:space="preserve"> </w:t>
            </w:r>
            <w:r>
              <w:rPr>
                <w:sz w:val="20"/>
              </w:rPr>
              <w:t>actively</w:t>
            </w:r>
            <w:r>
              <w:rPr>
                <w:spacing w:val="1"/>
                <w:sz w:val="20"/>
              </w:rPr>
              <w:t xml:space="preserve"> </w:t>
            </w:r>
            <w:r>
              <w:rPr>
                <w:sz w:val="20"/>
              </w:rPr>
              <w:t>doing things</w:t>
            </w:r>
            <w:r>
              <w:rPr>
                <w:spacing w:val="-1"/>
                <w:sz w:val="20"/>
              </w:rPr>
              <w:t xml:space="preserve"> </w:t>
            </w:r>
            <w:r>
              <w:rPr>
                <w:sz w:val="20"/>
              </w:rPr>
              <w:t>now</w:t>
            </w:r>
            <w:r>
              <w:rPr>
                <w:spacing w:val="-1"/>
                <w:sz w:val="20"/>
              </w:rPr>
              <w:t xml:space="preserve"> </w:t>
            </w:r>
            <w:r>
              <w:rPr>
                <w:sz w:val="20"/>
              </w:rPr>
              <w:t>to cut down</w:t>
            </w:r>
            <w:r>
              <w:rPr>
                <w:spacing w:val="1"/>
                <w:sz w:val="20"/>
              </w:rPr>
              <w:t xml:space="preserve"> </w:t>
            </w:r>
            <w:r>
              <w:rPr>
                <w:sz w:val="20"/>
              </w:rPr>
              <w:t xml:space="preserve">or </w:t>
            </w:r>
            <w:r>
              <w:rPr>
                <w:spacing w:val="-4"/>
                <w:sz w:val="20"/>
              </w:rPr>
              <w:t>stop</w:t>
            </w:r>
          </w:p>
          <w:p w14:paraId="29B33D5D" w14:textId="77777777" w:rsidR="00DB6E1F" w:rsidRDefault="00F666A6">
            <w:pPr>
              <w:pStyle w:val="TableParagraph"/>
              <w:spacing w:before="18" w:line="242" w:lineRule="exact"/>
              <w:ind w:left="441"/>
              <w:rPr>
                <w:sz w:val="20"/>
              </w:rPr>
            </w:pPr>
            <w:r>
              <w:rPr>
                <w:spacing w:val="-2"/>
                <w:sz w:val="20"/>
              </w:rPr>
              <w:t>drinking.</w:t>
            </w:r>
          </w:p>
        </w:tc>
        <w:tc>
          <w:tcPr>
            <w:tcW w:w="809" w:type="dxa"/>
          </w:tcPr>
          <w:p w14:paraId="5C45D39A" w14:textId="77777777" w:rsidR="00DB6E1F" w:rsidRDefault="00F666A6">
            <w:pPr>
              <w:pStyle w:val="TableParagraph"/>
              <w:spacing w:before="135"/>
              <w:ind w:left="7"/>
              <w:jc w:val="center"/>
              <w:rPr>
                <w:sz w:val="20"/>
              </w:rPr>
            </w:pPr>
            <w:r>
              <w:rPr>
                <w:w w:val="99"/>
                <w:sz w:val="20"/>
              </w:rPr>
              <w:t>1</w:t>
            </w:r>
          </w:p>
        </w:tc>
        <w:tc>
          <w:tcPr>
            <w:tcW w:w="811" w:type="dxa"/>
          </w:tcPr>
          <w:p w14:paraId="7DD3AB56" w14:textId="77777777" w:rsidR="00DB6E1F" w:rsidRDefault="00F666A6">
            <w:pPr>
              <w:pStyle w:val="TableParagraph"/>
              <w:spacing w:before="135"/>
              <w:ind w:left="352"/>
              <w:rPr>
                <w:sz w:val="20"/>
              </w:rPr>
            </w:pPr>
            <w:r>
              <w:rPr>
                <w:w w:val="99"/>
                <w:sz w:val="20"/>
              </w:rPr>
              <w:t>2</w:t>
            </w:r>
          </w:p>
        </w:tc>
        <w:tc>
          <w:tcPr>
            <w:tcW w:w="989" w:type="dxa"/>
          </w:tcPr>
          <w:p w14:paraId="3C60EDC4" w14:textId="77777777" w:rsidR="00DB6E1F" w:rsidRDefault="00F666A6">
            <w:pPr>
              <w:pStyle w:val="TableParagraph"/>
              <w:spacing w:before="135"/>
              <w:ind w:left="441"/>
              <w:rPr>
                <w:sz w:val="20"/>
              </w:rPr>
            </w:pPr>
            <w:r>
              <w:rPr>
                <w:w w:val="99"/>
                <w:sz w:val="20"/>
              </w:rPr>
              <w:t>3</w:t>
            </w:r>
          </w:p>
        </w:tc>
        <w:tc>
          <w:tcPr>
            <w:tcW w:w="631" w:type="dxa"/>
          </w:tcPr>
          <w:p w14:paraId="6D8E44DA" w14:textId="77777777" w:rsidR="00DB6E1F" w:rsidRDefault="00F666A6">
            <w:pPr>
              <w:pStyle w:val="TableParagraph"/>
              <w:spacing w:before="135"/>
              <w:ind w:left="11"/>
              <w:jc w:val="center"/>
              <w:rPr>
                <w:sz w:val="20"/>
              </w:rPr>
            </w:pPr>
            <w:r>
              <w:rPr>
                <w:w w:val="99"/>
                <w:sz w:val="20"/>
              </w:rPr>
              <w:t>4</w:t>
            </w:r>
          </w:p>
        </w:tc>
        <w:tc>
          <w:tcPr>
            <w:tcW w:w="816" w:type="dxa"/>
          </w:tcPr>
          <w:p w14:paraId="05F4586F" w14:textId="77777777" w:rsidR="00DB6E1F" w:rsidRDefault="00F666A6">
            <w:pPr>
              <w:pStyle w:val="TableParagraph"/>
              <w:spacing w:before="135"/>
              <w:ind w:left="9"/>
              <w:jc w:val="center"/>
              <w:rPr>
                <w:sz w:val="20"/>
              </w:rPr>
            </w:pPr>
            <w:r>
              <w:rPr>
                <w:w w:val="99"/>
                <w:sz w:val="20"/>
              </w:rPr>
              <w:t>5</w:t>
            </w:r>
          </w:p>
        </w:tc>
      </w:tr>
      <w:tr w:rsidR="00DB6E1F" w14:paraId="34D80867" w14:textId="77777777">
        <w:trPr>
          <w:trHeight w:val="527"/>
        </w:trPr>
        <w:tc>
          <w:tcPr>
            <w:tcW w:w="5304" w:type="dxa"/>
          </w:tcPr>
          <w:p w14:paraId="08AD09E0" w14:textId="77777777" w:rsidR="00DB6E1F" w:rsidRDefault="00F666A6">
            <w:pPr>
              <w:pStyle w:val="TableParagraph"/>
              <w:ind w:left="81"/>
              <w:rPr>
                <w:sz w:val="20"/>
              </w:rPr>
            </w:pPr>
            <w:r>
              <w:rPr>
                <w:color w:val="4D4D4F"/>
                <w:sz w:val="20"/>
              </w:rPr>
              <w:t>14.</w:t>
            </w:r>
            <w:r>
              <w:rPr>
                <w:color w:val="4D4D4F"/>
                <w:spacing w:val="16"/>
                <w:sz w:val="20"/>
              </w:rPr>
              <w:t xml:space="preserve"> </w:t>
            </w:r>
            <w:r>
              <w:rPr>
                <w:sz w:val="20"/>
              </w:rPr>
              <w:t>I</w:t>
            </w:r>
            <w:r>
              <w:rPr>
                <w:spacing w:val="1"/>
                <w:sz w:val="20"/>
              </w:rPr>
              <w:t xml:space="preserve"> </w:t>
            </w:r>
            <w:r>
              <w:rPr>
                <w:sz w:val="20"/>
              </w:rPr>
              <w:t>want help</w:t>
            </w:r>
            <w:r>
              <w:rPr>
                <w:spacing w:val="2"/>
                <w:sz w:val="20"/>
              </w:rPr>
              <w:t xml:space="preserve"> </w:t>
            </w:r>
            <w:r>
              <w:rPr>
                <w:sz w:val="20"/>
              </w:rPr>
              <w:t>to keep</w:t>
            </w:r>
            <w:r>
              <w:rPr>
                <w:spacing w:val="2"/>
                <w:sz w:val="20"/>
              </w:rPr>
              <w:t xml:space="preserve"> </w:t>
            </w:r>
            <w:r>
              <w:rPr>
                <w:sz w:val="20"/>
              </w:rPr>
              <w:t>from</w:t>
            </w:r>
            <w:r>
              <w:rPr>
                <w:spacing w:val="-1"/>
                <w:sz w:val="20"/>
              </w:rPr>
              <w:t xml:space="preserve"> </w:t>
            </w:r>
            <w:r>
              <w:rPr>
                <w:sz w:val="20"/>
              </w:rPr>
              <w:t>going</w:t>
            </w:r>
            <w:r>
              <w:rPr>
                <w:spacing w:val="1"/>
                <w:sz w:val="20"/>
              </w:rPr>
              <w:t xml:space="preserve"> </w:t>
            </w:r>
            <w:r>
              <w:rPr>
                <w:sz w:val="20"/>
              </w:rPr>
              <w:t>back</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pacing w:val="-2"/>
                <w:sz w:val="20"/>
              </w:rPr>
              <w:t>drinking</w:t>
            </w:r>
          </w:p>
          <w:p w14:paraId="71607984" w14:textId="77777777" w:rsidR="00DB6E1F" w:rsidRDefault="00F666A6">
            <w:pPr>
              <w:pStyle w:val="TableParagraph"/>
              <w:spacing w:before="20" w:line="242" w:lineRule="exact"/>
              <w:ind w:left="441"/>
              <w:rPr>
                <w:sz w:val="20"/>
              </w:rPr>
            </w:pPr>
            <w:r>
              <w:rPr>
                <w:sz w:val="20"/>
              </w:rPr>
              <w:t>problems</w:t>
            </w:r>
            <w:r>
              <w:rPr>
                <w:spacing w:val="-6"/>
                <w:sz w:val="20"/>
              </w:rPr>
              <w:t xml:space="preserve"> </w:t>
            </w:r>
            <w:r>
              <w:rPr>
                <w:sz w:val="20"/>
              </w:rPr>
              <w:t>that</w:t>
            </w:r>
            <w:r>
              <w:rPr>
                <w:spacing w:val="-4"/>
                <w:sz w:val="20"/>
              </w:rPr>
              <w:t xml:space="preserve"> </w:t>
            </w:r>
            <w:r>
              <w:rPr>
                <w:sz w:val="20"/>
              </w:rPr>
              <w:t>I</w:t>
            </w:r>
            <w:r>
              <w:rPr>
                <w:spacing w:val="-5"/>
                <w:sz w:val="20"/>
              </w:rPr>
              <w:t xml:space="preserve"> </w:t>
            </w:r>
            <w:r>
              <w:rPr>
                <w:sz w:val="20"/>
              </w:rPr>
              <w:t>had</w:t>
            </w:r>
            <w:r>
              <w:rPr>
                <w:spacing w:val="-3"/>
                <w:sz w:val="20"/>
              </w:rPr>
              <w:t xml:space="preserve"> </w:t>
            </w:r>
            <w:r>
              <w:rPr>
                <w:spacing w:val="-2"/>
                <w:sz w:val="20"/>
              </w:rPr>
              <w:t>before.</w:t>
            </w:r>
          </w:p>
        </w:tc>
        <w:tc>
          <w:tcPr>
            <w:tcW w:w="809" w:type="dxa"/>
          </w:tcPr>
          <w:p w14:paraId="1D229E10" w14:textId="77777777" w:rsidR="00DB6E1F" w:rsidRDefault="00F666A6">
            <w:pPr>
              <w:pStyle w:val="TableParagraph"/>
              <w:spacing w:before="133"/>
              <w:ind w:left="7"/>
              <w:jc w:val="center"/>
              <w:rPr>
                <w:sz w:val="20"/>
              </w:rPr>
            </w:pPr>
            <w:r>
              <w:rPr>
                <w:w w:val="99"/>
                <w:sz w:val="20"/>
              </w:rPr>
              <w:t>1</w:t>
            </w:r>
          </w:p>
        </w:tc>
        <w:tc>
          <w:tcPr>
            <w:tcW w:w="811" w:type="dxa"/>
          </w:tcPr>
          <w:p w14:paraId="54168EDF" w14:textId="77777777" w:rsidR="00DB6E1F" w:rsidRDefault="00F666A6">
            <w:pPr>
              <w:pStyle w:val="TableParagraph"/>
              <w:spacing w:before="133"/>
              <w:ind w:left="352"/>
              <w:rPr>
                <w:sz w:val="20"/>
              </w:rPr>
            </w:pPr>
            <w:r>
              <w:rPr>
                <w:w w:val="99"/>
                <w:sz w:val="20"/>
              </w:rPr>
              <w:t>2</w:t>
            </w:r>
          </w:p>
        </w:tc>
        <w:tc>
          <w:tcPr>
            <w:tcW w:w="989" w:type="dxa"/>
          </w:tcPr>
          <w:p w14:paraId="0073F0A9" w14:textId="77777777" w:rsidR="00DB6E1F" w:rsidRDefault="00F666A6">
            <w:pPr>
              <w:pStyle w:val="TableParagraph"/>
              <w:spacing w:before="133"/>
              <w:ind w:left="441"/>
              <w:rPr>
                <w:sz w:val="20"/>
              </w:rPr>
            </w:pPr>
            <w:r>
              <w:rPr>
                <w:w w:val="99"/>
                <w:sz w:val="20"/>
              </w:rPr>
              <w:t>3</w:t>
            </w:r>
          </w:p>
        </w:tc>
        <w:tc>
          <w:tcPr>
            <w:tcW w:w="631" w:type="dxa"/>
          </w:tcPr>
          <w:p w14:paraId="7AE4293B" w14:textId="77777777" w:rsidR="00DB6E1F" w:rsidRDefault="00F666A6">
            <w:pPr>
              <w:pStyle w:val="TableParagraph"/>
              <w:spacing w:before="133"/>
              <w:ind w:left="11"/>
              <w:jc w:val="center"/>
              <w:rPr>
                <w:sz w:val="20"/>
              </w:rPr>
            </w:pPr>
            <w:r>
              <w:rPr>
                <w:w w:val="99"/>
                <w:sz w:val="20"/>
              </w:rPr>
              <w:t>4</w:t>
            </w:r>
          </w:p>
        </w:tc>
        <w:tc>
          <w:tcPr>
            <w:tcW w:w="816" w:type="dxa"/>
          </w:tcPr>
          <w:p w14:paraId="1E0EB239" w14:textId="77777777" w:rsidR="00DB6E1F" w:rsidRDefault="00F666A6">
            <w:pPr>
              <w:pStyle w:val="TableParagraph"/>
              <w:spacing w:before="133"/>
              <w:ind w:left="9"/>
              <w:jc w:val="center"/>
              <w:rPr>
                <w:sz w:val="20"/>
              </w:rPr>
            </w:pPr>
            <w:r>
              <w:rPr>
                <w:w w:val="99"/>
                <w:sz w:val="20"/>
              </w:rPr>
              <w:t>5</w:t>
            </w:r>
          </w:p>
        </w:tc>
      </w:tr>
      <w:tr w:rsidR="00DB6E1F" w14:paraId="03212F33" w14:textId="77777777">
        <w:trPr>
          <w:trHeight w:val="263"/>
        </w:trPr>
        <w:tc>
          <w:tcPr>
            <w:tcW w:w="5304" w:type="dxa"/>
          </w:tcPr>
          <w:p w14:paraId="5EC72D22" w14:textId="77777777" w:rsidR="00DB6E1F" w:rsidRDefault="00F666A6">
            <w:pPr>
              <w:pStyle w:val="TableParagraph"/>
              <w:spacing w:line="242" w:lineRule="exact"/>
              <w:ind w:left="81"/>
              <w:rPr>
                <w:sz w:val="20"/>
              </w:rPr>
            </w:pPr>
            <w:r>
              <w:rPr>
                <w:color w:val="4D4D4F"/>
                <w:sz w:val="20"/>
              </w:rPr>
              <w:t>15.</w:t>
            </w:r>
            <w:r>
              <w:rPr>
                <w:color w:val="4D4D4F"/>
                <w:spacing w:val="18"/>
                <w:sz w:val="20"/>
              </w:rPr>
              <w:t xml:space="preserve"> </w:t>
            </w:r>
            <w:r>
              <w:rPr>
                <w:sz w:val="20"/>
              </w:rPr>
              <w:t>I</w:t>
            </w:r>
            <w:r>
              <w:rPr>
                <w:spacing w:val="3"/>
                <w:sz w:val="20"/>
              </w:rPr>
              <w:t xml:space="preserve"> </w:t>
            </w:r>
            <w:r>
              <w:rPr>
                <w:sz w:val="20"/>
              </w:rPr>
              <w:t>know</w:t>
            </w:r>
            <w:r>
              <w:rPr>
                <w:spacing w:val="1"/>
                <w:sz w:val="20"/>
              </w:rPr>
              <w:t xml:space="preserve"> </w:t>
            </w:r>
            <w:r>
              <w:rPr>
                <w:sz w:val="20"/>
              </w:rPr>
              <w:t>that</w:t>
            </w:r>
            <w:r>
              <w:rPr>
                <w:spacing w:val="2"/>
                <w:sz w:val="20"/>
              </w:rPr>
              <w:t xml:space="preserve"> </w:t>
            </w:r>
            <w:r>
              <w:rPr>
                <w:sz w:val="20"/>
              </w:rPr>
              <w:t>I</w:t>
            </w:r>
            <w:r>
              <w:rPr>
                <w:spacing w:val="2"/>
                <w:sz w:val="20"/>
              </w:rPr>
              <w:t xml:space="preserve"> </w:t>
            </w:r>
            <w:r>
              <w:rPr>
                <w:sz w:val="20"/>
              </w:rPr>
              <w:t>have</w:t>
            </w:r>
            <w:r>
              <w:rPr>
                <w:spacing w:val="1"/>
                <w:sz w:val="20"/>
              </w:rPr>
              <w:t xml:space="preserve"> </w:t>
            </w:r>
            <w:r>
              <w:rPr>
                <w:sz w:val="20"/>
              </w:rPr>
              <w:t>a</w:t>
            </w:r>
            <w:r>
              <w:rPr>
                <w:spacing w:val="3"/>
                <w:sz w:val="20"/>
              </w:rPr>
              <w:t xml:space="preserve"> </w:t>
            </w:r>
            <w:r>
              <w:rPr>
                <w:sz w:val="20"/>
              </w:rPr>
              <w:t>drinking</w:t>
            </w:r>
            <w:r>
              <w:rPr>
                <w:spacing w:val="2"/>
                <w:sz w:val="20"/>
              </w:rPr>
              <w:t xml:space="preserve"> </w:t>
            </w:r>
            <w:r>
              <w:rPr>
                <w:spacing w:val="-2"/>
                <w:sz w:val="20"/>
              </w:rPr>
              <w:t>problem.</w:t>
            </w:r>
          </w:p>
        </w:tc>
        <w:tc>
          <w:tcPr>
            <w:tcW w:w="809" w:type="dxa"/>
          </w:tcPr>
          <w:p w14:paraId="1A1B69C4" w14:textId="77777777" w:rsidR="00DB6E1F" w:rsidRDefault="00F666A6">
            <w:pPr>
              <w:pStyle w:val="TableParagraph"/>
              <w:spacing w:line="242" w:lineRule="exact"/>
              <w:ind w:left="7"/>
              <w:jc w:val="center"/>
              <w:rPr>
                <w:sz w:val="20"/>
              </w:rPr>
            </w:pPr>
            <w:r>
              <w:rPr>
                <w:w w:val="99"/>
                <w:sz w:val="20"/>
              </w:rPr>
              <w:t>1</w:t>
            </w:r>
          </w:p>
        </w:tc>
        <w:tc>
          <w:tcPr>
            <w:tcW w:w="811" w:type="dxa"/>
          </w:tcPr>
          <w:p w14:paraId="28B533B6" w14:textId="77777777" w:rsidR="00DB6E1F" w:rsidRDefault="00F666A6">
            <w:pPr>
              <w:pStyle w:val="TableParagraph"/>
              <w:spacing w:line="242" w:lineRule="exact"/>
              <w:ind w:left="352"/>
              <w:rPr>
                <w:sz w:val="20"/>
              </w:rPr>
            </w:pPr>
            <w:r>
              <w:rPr>
                <w:w w:val="99"/>
                <w:sz w:val="20"/>
              </w:rPr>
              <w:t>2</w:t>
            </w:r>
          </w:p>
        </w:tc>
        <w:tc>
          <w:tcPr>
            <w:tcW w:w="989" w:type="dxa"/>
          </w:tcPr>
          <w:p w14:paraId="4A8D86BD" w14:textId="77777777" w:rsidR="00DB6E1F" w:rsidRDefault="00F666A6">
            <w:pPr>
              <w:pStyle w:val="TableParagraph"/>
              <w:spacing w:line="242" w:lineRule="exact"/>
              <w:ind w:left="441"/>
              <w:rPr>
                <w:sz w:val="20"/>
              </w:rPr>
            </w:pPr>
            <w:r>
              <w:rPr>
                <w:w w:val="99"/>
                <w:sz w:val="20"/>
              </w:rPr>
              <w:t>3</w:t>
            </w:r>
          </w:p>
        </w:tc>
        <w:tc>
          <w:tcPr>
            <w:tcW w:w="631" w:type="dxa"/>
          </w:tcPr>
          <w:p w14:paraId="3276CE49" w14:textId="77777777" w:rsidR="00DB6E1F" w:rsidRDefault="00F666A6">
            <w:pPr>
              <w:pStyle w:val="TableParagraph"/>
              <w:spacing w:line="242" w:lineRule="exact"/>
              <w:ind w:left="11"/>
              <w:jc w:val="center"/>
              <w:rPr>
                <w:sz w:val="20"/>
              </w:rPr>
            </w:pPr>
            <w:r>
              <w:rPr>
                <w:w w:val="99"/>
                <w:sz w:val="20"/>
              </w:rPr>
              <w:t>4</w:t>
            </w:r>
          </w:p>
        </w:tc>
        <w:tc>
          <w:tcPr>
            <w:tcW w:w="816" w:type="dxa"/>
          </w:tcPr>
          <w:p w14:paraId="12D4A741" w14:textId="77777777" w:rsidR="00DB6E1F" w:rsidRDefault="00F666A6">
            <w:pPr>
              <w:pStyle w:val="TableParagraph"/>
              <w:spacing w:line="242" w:lineRule="exact"/>
              <w:ind w:left="9"/>
              <w:jc w:val="center"/>
              <w:rPr>
                <w:sz w:val="20"/>
              </w:rPr>
            </w:pPr>
            <w:r>
              <w:rPr>
                <w:w w:val="99"/>
                <w:sz w:val="20"/>
              </w:rPr>
              <w:t>5</w:t>
            </w:r>
          </w:p>
        </w:tc>
      </w:tr>
      <w:tr w:rsidR="00DB6E1F" w14:paraId="4BEABA5F" w14:textId="77777777">
        <w:trPr>
          <w:trHeight w:val="263"/>
        </w:trPr>
        <w:tc>
          <w:tcPr>
            <w:tcW w:w="5304" w:type="dxa"/>
            <w:tcBorders>
              <w:bottom w:val="single" w:sz="6" w:space="0" w:color="000000"/>
            </w:tcBorders>
          </w:tcPr>
          <w:p w14:paraId="2B1C6F0D" w14:textId="77777777" w:rsidR="00DB6E1F" w:rsidRDefault="00F666A6">
            <w:pPr>
              <w:pStyle w:val="TableParagraph"/>
              <w:spacing w:line="242" w:lineRule="exact"/>
              <w:ind w:left="81"/>
              <w:rPr>
                <w:sz w:val="20"/>
              </w:rPr>
            </w:pPr>
            <w:r>
              <w:rPr>
                <w:color w:val="4D4D4F"/>
                <w:sz w:val="20"/>
              </w:rPr>
              <w:t>16.</w:t>
            </w:r>
            <w:r>
              <w:rPr>
                <w:color w:val="4D4D4F"/>
                <w:spacing w:val="16"/>
                <w:sz w:val="20"/>
              </w:rPr>
              <w:t xml:space="preserve"> </w:t>
            </w:r>
            <w:r>
              <w:rPr>
                <w:sz w:val="20"/>
              </w:rPr>
              <w:t>There</w:t>
            </w:r>
            <w:r>
              <w:rPr>
                <w:spacing w:val="-1"/>
                <w:sz w:val="20"/>
              </w:rPr>
              <w:t xml:space="preserve"> </w:t>
            </w:r>
            <w:r>
              <w:rPr>
                <w:sz w:val="20"/>
              </w:rPr>
              <w:t>are</w:t>
            </w:r>
            <w:r>
              <w:rPr>
                <w:spacing w:val="-1"/>
                <w:sz w:val="20"/>
              </w:rPr>
              <w:t xml:space="preserve"> </w:t>
            </w:r>
            <w:r>
              <w:rPr>
                <w:sz w:val="20"/>
              </w:rPr>
              <w:t>times</w:t>
            </w:r>
            <w:r>
              <w:rPr>
                <w:spacing w:val="1"/>
                <w:sz w:val="20"/>
              </w:rPr>
              <w:t xml:space="preserve"> </w:t>
            </w:r>
            <w:r>
              <w:rPr>
                <w:sz w:val="20"/>
              </w:rPr>
              <w:t>when</w:t>
            </w:r>
            <w:r>
              <w:rPr>
                <w:spacing w:val="2"/>
                <w:sz w:val="20"/>
              </w:rPr>
              <w:t xml:space="preserve"> </w:t>
            </w:r>
            <w:r>
              <w:rPr>
                <w:sz w:val="20"/>
              </w:rPr>
              <w:t>I wonder if</w:t>
            </w:r>
            <w:r>
              <w:rPr>
                <w:spacing w:val="-1"/>
                <w:sz w:val="20"/>
              </w:rPr>
              <w:t xml:space="preserve"> </w:t>
            </w:r>
            <w:r>
              <w:rPr>
                <w:sz w:val="20"/>
              </w:rPr>
              <w:t>I drink</w:t>
            </w:r>
            <w:r>
              <w:rPr>
                <w:spacing w:val="2"/>
                <w:sz w:val="20"/>
              </w:rPr>
              <w:t xml:space="preserve"> </w:t>
            </w:r>
            <w:r>
              <w:rPr>
                <w:sz w:val="20"/>
              </w:rPr>
              <w:t xml:space="preserve">too </w:t>
            </w:r>
            <w:r>
              <w:rPr>
                <w:spacing w:val="-4"/>
                <w:sz w:val="20"/>
              </w:rPr>
              <w:t>much.</w:t>
            </w:r>
          </w:p>
        </w:tc>
        <w:tc>
          <w:tcPr>
            <w:tcW w:w="809" w:type="dxa"/>
            <w:tcBorders>
              <w:bottom w:val="single" w:sz="6" w:space="0" w:color="000000"/>
            </w:tcBorders>
          </w:tcPr>
          <w:p w14:paraId="7CDD100D" w14:textId="77777777" w:rsidR="00DB6E1F" w:rsidRDefault="00F666A6">
            <w:pPr>
              <w:pStyle w:val="TableParagraph"/>
              <w:spacing w:line="242" w:lineRule="exact"/>
              <w:ind w:left="7"/>
              <w:jc w:val="center"/>
              <w:rPr>
                <w:sz w:val="20"/>
              </w:rPr>
            </w:pPr>
            <w:r>
              <w:rPr>
                <w:w w:val="99"/>
                <w:sz w:val="20"/>
              </w:rPr>
              <w:t>1</w:t>
            </w:r>
          </w:p>
        </w:tc>
        <w:tc>
          <w:tcPr>
            <w:tcW w:w="811" w:type="dxa"/>
            <w:tcBorders>
              <w:bottom w:val="single" w:sz="6" w:space="0" w:color="000000"/>
            </w:tcBorders>
          </w:tcPr>
          <w:p w14:paraId="47BDBAC2" w14:textId="77777777" w:rsidR="00DB6E1F" w:rsidRDefault="00F666A6">
            <w:pPr>
              <w:pStyle w:val="TableParagraph"/>
              <w:spacing w:line="242" w:lineRule="exact"/>
              <w:ind w:left="352"/>
              <w:rPr>
                <w:sz w:val="20"/>
              </w:rPr>
            </w:pPr>
            <w:r>
              <w:rPr>
                <w:w w:val="99"/>
                <w:sz w:val="20"/>
              </w:rPr>
              <w:t>2</w:t>
            </w:r>
          </w:p>
        </w:tc>
        <w:tc>
          <w:tcPr>
            <w:tcW w:w="989" w:type="dxa"/>
            <w:tcBorders>
              <w:bottom w:val="single" w:sz="6" w:space="0" w:color="000000"/>
            </w:tcBorders>
          </w:tcPr>
          <w:p w14:paraId="54B27E04" w14:textId="77777777" w:rsidR="00DB6E1F" w:rsidRDefault="00F666A6">
            <w:pPr>
              <w:pStyle w:val="TableParagraph"/>
              <w:spacing w:line="242" w:lineRule="exact"/>
              <w:ind w:left="441"/>
              <w:rPr>
                <w:sz w:val="20"/>
              </w:rPr>
            </w:pPr>
            <w:r>
              <w:rPr>
                <w:w w:val="99"/>
                <w:sz w:val="20"/>
              </w:rPr>
              <w:t>3</w:t>
            </w:r>
          </w:p>
        </w:tc>
        <w:tc>
          <w:tcPr>
            <w:tcW w:w="631" w:type="dxa"/>
            <w:tcBorders>
              <w:bottom w:val="single" w:sz="6" w:space="0" w:color="000000"/>
            </w:tcBorders>
          </w:tcPr>
          <w:p w14:paraId="5E993B9D" w14:textId="77777777" w:rsidR="00DB6E1F" w:rsidRDefault="00F666A6">
            <w:pPr>
              <w:pStyle w:val="TableParagraph"/>
              <w:spacing w:line="242" w:lineRule="exact"/>
              <w:ind w:left="11"/>
              <w:jc w:val="center"/>
              <w:rPr>
                <w:sz w:val="20"/>
              </w:rPr>
            </w:pPr>
            <w:r>
              <w:rPr>
                <w:w w:val="99"/>
                <w:sz w:val="20"/>
              </w:rPr>
              <w:t>4</w:t>
            </w:r>
          </w:p>
        </w:tc>
        <w:tc>
          <w:tcPr>
            <w:tcW w:w="816" w:type="dxa"/>
            <w:tcBorders>
              <w:bottom w:val="single" w:sz="6" w:space="0" w:color="000000"/>
            </w:tcBorders>
          </w:tcPr>
          <w:p w14:paraId="3790DFE9" w14:textId="77777777" w:rsidR="00DB6E1F" w:rsidRDefault="00F666A6">
            <w:pPr>
              <w:pStyle w:val="TableParagraph"/>
              <w:spacing w:line="242" w:lineRule="exact"/>
              <w:ind w:left="9"/>
              <w:jc w:val="center"/>
              <w:rPr>
                <w:sz w:val="20"/>
              </w:rPr>
            </w:pPr>
            <w:r>
              <w:rPr>
                <w:w w:val="99"/>
                <w:sz w:val="20"/>
              </w:rPr>
              <w:t>5</w:t>
            </w:r>
          </w:p>
        </w:tc>
      </w:tr>
      <w:tr w:rsidR="00DB6E1F" w14:paraId="520A9909" w14:textId="77777777">
        <w:trPr>
          <w:trHeight w:val="263"/>
        </w:trPr>
        <w:tc>
          <w:tcPr>
            <w:tcW w:w="5304" w:type="dxa"/>
            <w:tcBorders>
              <w:top w:val="single" w:sz="6" w:space="0" w:color="000000"/>
            </w:tcBorders>
          </w:tcPr>
          <w:p w14:paraId="06FCA85B" w14:textId="77777777" w:rsidR="00DB6E1F" w:rsidRDefault="00F666A6">
            <w:pPr>
              <w:pStyle w:val="TableParagraph"/>
              <w:spacing w:line="242" w:lineRule="exact"/>
              <w:ind w:left="81"/>
              <w:rPr>
                <w:sz w:val="20"/>
              </w:rPr>
            </w:pPr>
            <w:r>
              <w:rPr>
                <w:color w:val="4D4D4F"/>
                <w:sz w:val="20"/>
              </w:rPr>
              <w:t>17.</w:t>
            </w:r>
            <w:r>
              <w:rPr>
                <w:color w:val="4D4D4F"/>
                <w:spacing w:val="27"/>
                <w:sz w:val="20"/>
              </w:rPr>
              <w:t xml:space="preserve"> </w:t>
            </w:r>
            <w:r>
              <w:rPr>
                <w:sz w:val="20"/>
              </w:rPr>
              <w:t>I</w:t>
            </w:r>
            <w:r>
              <w:rPr>
                <w:spacing w:val="8"/>
                <w:sz w:val="20"/>
              </w:rPr>
              <w:t xml:space="preserve"> </w:t>
            </w:r>
            <w:r>
              <w:rPr>
                <w:sz w:val="20"/>
              </w:rPr>
              <w:t>am</w:t>
            </w:r>
            <w:r>
              <w:rPr>
                <w:spacing w:val="8"/>
                <w:sz w:val="20"/>
              </w:rPr>
              <w:t xml:space="preserve"> </w:t>
            </w:r>
            <w:r>
              <w:rPr>
                <w:sz w:val="20"/>
              </w:rPr>
              <w:t>an</w:t>
            </w:r>
            <w:r>
              <w:rPr>
                <w:spacing w:val="9"/>
                <w:sz w:val="20"/>
              </w:rPr>
              <w:t xml:space="preserve"> </w:t>
            </w:r>
            <w:r>
              <w:rPr>
                <w:spacing w:val="-2"/>
                <w:sz w:val="20"/>
              </w:rPr>
              <w:t>alcoholic.</w:t>
            </w:r>
          </w:p>
        </w:tc>
        <w:tc>
          <w:tcPr>
            <w:tcW w:w="809" w:type="dxa"/>
            <w:tcBorders>
              <w:top w:val="single" w:sz="6" w:space="0" w:color="000000"/>
            </w:tcBorders>
          </w:tcPr>
          <w:p w14:paraId="25D3565E" w14:textId="77777777" w:rsidR="00DB6E1F" w:rsidRDefault="00F666A6">
            <w:pPr>
              <w:pStyle w:val="TableParagraph"/>
              <w:spacing w:line="242" w:lineRule="exact"/>
              <w:ind w:left="7"/>
              <w:jc w:val="center"/>
              <w:rPr>
                <w:sz w:val="20"/>
              </w:rPr>
            </w:pPr>
            <w:r>
              <w:rPr>
                <w:w w:val="99"/>
                <w:sz w:val="20"/>
              </w:rPr>
              <w:t>1</w:t>
            </w:r>
          </w:p>
        </w:tc>
        <w:tc>
          <w:tcPr>
            <w:tcW w:w="811" w:type="dxa"/>
            <w:tcBorders>
              <w:top w:val="single" w:sz="6" w:space="0" w:color="000000"/>
            </w:tcBorders>
          </w:tcPr>
          <w:p w14:paraId="37A52D8A" w14:textId="77777777" w:rsidR="00DB6E1F" w:rsidRDefault="00F666A6">
            <w:pPr>
              <w:pStyle w:val="TableParagraph"/>
              <w:spacing w:line="242" w:lineRule="exact"/>
              <w:ind w:left="352"/>
              <w:rPr>
                <w:sz w:val="20"/>
              </w:rPr>
            </w:pPr>
            <w:r>
              <w:rPr>
                <w:w w:val="99"/>
                <w:sz w:val="20"/>
              </w:rPr>
              <w:t>2</w:t>
            </w:r>
          </w:p>
        </w:tc>
        <w:tc>
          <w:tcPr>
            <w:tcW w:w="989" w:type="dxa"/>
            <w:tcBorders>
              <w:top w:val="single" w:sz="6" w:space="0" w:color="000000"/>
            </w:tcBorders>
          </w:tcPr>
          <w:p w14:paraId="56D0D55B" w14:textId="77777777" w:rsidR="00DB6E1F" w:rsidRDefault="00F666A6">
            <w:pPr>
              <w:pStyle w:val="TableParagraph"/>
              <w:spacing w:line="242" w:lineRule="exact"/>
              <w:ind w:left="441"/>
              <w:rPr>
                <w:sz w:val="20"/>
              </w:rPr>
            </w:pPr>
            <w:r>
              <w:rPr>
                <w:w w:val="99"/>
                <w:sz w:val="20"/>
              </w:rPr>
              <w:t>3</w:t>
            </w:r>
          </w:p>
        </w:tc>
        <w:tc>
          <w:tcPr>
            <w:tcW w:w="631" w:type="dxa"/>
            <w:tcBorders>
              <w:top w:val="single" w:sz="6" w:space="0" w:color="000000"/>
            </w:tcBorders>
          </w:tcPr>
          <w:p w14:paraId="2495F62D" w14:textId="77777777" w:rsidR="00DB6E1F" w:rsidRDefault="00F666A6">
            <w:pPr>
              <w:pStyle w:val="TableParagraph"/>
              <w:spacing w:line="242" w:lineRule="exact"/>
              <w:ind w:left="11"/>
              <w:jc w:val="center"/>
              <w:rPr>
                <w:sz w:val="20"/>
              </w:rPr>
            </w:pPr>
            <w:r>
              <w:rPr>
                <w:w w:val="99"/>
                <w:sz w:val="20"/>
              </w:rPr>
              <w:t>4</w:t>
            </w:r>
          </w:p>
        </w:tc>
        <w:tc>
          <w:tcPr>
            <w:tcW w:w="816" w:type="dxa"/>
            <w:tcBorders>
              <w:top w:val="single" w:sz="6" w:space="0" w:color="000000"/>
            </w:tcBorders>
          </w:tcPr>
          <w:p w14:paraId="2811E854" w14:textId="77777777" w:rsidR="00DB6E1F" w:rsidRDefault="00F666A6">
            <w:pPr>
              <w:pStyle w:val="TableParagraph"/>
              <w:spacing w:line="242" w:lineRule="exact"/>
              <w:ind w:left="9"/>
              <w:jc w:val="center"/>
              <w:rPr>
                <w:sz w:val="20"/>
              </w:rPr>
            </w:pPr>
            <w:r>
              <w:rPr>
                <w:w w:val="99"/>
                <w:sz w:val="20"/>
              </w:rPr>
              <w:t>5</w:t>
            </w:r>
          </w:p>
        </w:tc>
      </w:tr>
      <w:tr w:rsidR="00DB6E1F" w14:paraId="1E8A2F96" w14:textId="77777777">
        <w:trPr>
          <w:trHeight w:val="263"/>
        </w:trPr>
        <w:tc>
          <w:tcPr>
            <w:tcW w:w="5304" w:type="dxa"/>
          </w:tcPr>
          <w:p w14:paraId="7B9DC2C9" w14:textId="77777777" w:rsidR="00DB6E1F" w:rsidRDefault="00F666A6">
            <w:pPr>
              <w:pStyle w:val="TableParagraph"/>
              <w:spacing w:line="242" w:lineRule="exact"/>
              <w:ind w:left="81"/>
              <w:rPr>
                <w:sz w:val="20"/>
              </w:rPr>
            </w:pPr>
            <w:r>
              <w:rPr>
                <w:color w:val="4D4D4F"/>
                <w:sz w:val="20"/>
              </w:rPr>
              <w:t>18.</w:t>
            </w:r>
            <w:r>
              <w:rPr>
                <w:color w:val="4D4D4F"/>
                <w:spacing w:val="18"/>
                <w:sz w:val="20"/>
              </w:rPr>
              <w:t xml:space="preserve"> </w:t>
            </w:r>
            <w:r>
              <w:rPr>
                <w:sz w:val="20"/>
              </w:rPr>
              <w:t>I</w:t>
            </w:r>
            <w:r>
              <w:rPr>
                <w:spacing w:val="1"/>
                <w:sz w:val="20"/>
              </w:rPr>
              <w:t xml:space="preserve"> </w:t>
            </w:r>
            <w:r>
              <w:rPr>
                <w:sz w:val="20"/>
              </w:rPr>
              <w:t>am</w:t>
            </w:r>
            <w:r>
              <w:rPr>
                <w:spacing w:val="1"/>
                <w:sz w:val="20"/>
              </w:rPr>
              <w:t xml:space="preserve"> </w:t>
            </w:r>
            <w:r>
              <w:rPr>
                <w:sz w:val="20"/>
              </w:rPr>
              <w:t>working</w:t>
            </w:r>
            <w:r>
              <w:rPr>
                <w:spacing w:val="2"/>
                <w:sz w:val="20"/>
              </w:rPr>
              <w:t xml:space="preserve"> </w:t>
            </w:r>
            <w:r>
              <w:rPr>
                <w:sz w:val="20"/>
              </w:rPr>
              <w:t>hard</w:t>
            </w:r>
            <w:r>
              <w:rPr>
                <w:spacing w:val="2"/>
                <w:sz w:val="20"/>
              </w:rPr>
              <w:t xml:space="preserve"> </w:t>
            </w:r>
            <w:r>
              <w:rPr>
                <w:sz w:val="20"/>
              </w:rPr>
              <w:t>to</w:t>
            </w:r>
            <w:r>
              <w:rPr>
                <w:spacing w:val="2"/>
                <w:sz w:val="20"/>
              </w:rPr>
              <w:t xml:space="preserve"> </w:t>
            </w:r>
            <w:r>
              <w:rPr>
                <w:sz w:val="20"/>
              </w:rPr>
              <w:t>change my</w:t>
            </w:r>
            <w:r>
              <w:rPr>
                <w:spacing w:val="3"/>
                <w:sz w:val="20"/>
              </w:rPr>
              <w:t xml:space="preserve"> </w:t>
            </w:r>
            <w:r>
              <w:rPr>
                <w:spacing w:val="-2"/>
                <w:sz w:val="20"/>
              </w:rPr>
              <w:t>drinking.</w:t>
            </w:r>
          </w:p>
        </w:tc>
        <w:tc>
          <w:tcPr>
            <w:tcW w:w="809" w:type="dxa"/>
          </w:tcPr>
          <w:p w14:paraId="6E469506" w14:textId="77777777" w:rsidR="00DB6E1F" w:rsidRDefault="00F666A6">
            <w:pPr>
              <w:pStyle w:val="TableParagraph"/>
              <w:spacing w:line="242" w:lineRule="exact"/>
              <w:ind w:left="7"/>
              <w:jc w:val="center"/>
              <w:rPr>
                <w:sz w:val="20"/>
              </w:rPr>
            </w:pPr>
            <w:r>
              <w:rPr>
                <w:w w:val="99"/>
                <w:sz w:val="20"/>
              </w:rPr>
              <w:t>1</w:t>
            </w:r>
          </w:p>
        </w:tc>
        <w:tc>
          <w:tcPr>
            <w:tcW w:w="811" w:type="dxa"/>
          </w:tcPr>
          <w:p w14:paraId="24CFF8B3" w14:textId="77777777" w:rsidR="00DB6E1F" w:rsidRDefault="00F666A6">
            <w:pPr>
              <w:pStyle w:val="TableParagraph"/>
              <w:spacing w:line="242" w:lineRule="exact"/>
              <w:ind w:left="352"/>
              <w:rPr>
                <w:sz w:val="20"/>
              </w:rPr>
            </w:pPr>
            <w:r>
              <w:rPr>
                <w:w w:val="99"/>
                <w:sz w:val="20"/>
              </w:rPr>
              <w:t>2</w:t>
            </w:r>
          </w:p>
        </w:tc>
        <w:tc>
          <w:tcPr>
            <w:tcW w:w="989" w:type="dxa"/>
          </w:tcPr>
          <w:p w14:paraId="5984A5B2" w14:textId="77777777" w:rsidR="00DB6E1F" w:rsidRDefault="00F666A6">
            <w:pPr>
              <w:pStyle w:val="TableParagraph"/>
              <w:spacing w:line="242" w:lineRule="exact"/>
              <w:ind w:left="441"/>
              <w:rPr>
                <w:sz w:val="20"/>
              </w:rPr>
            </w:pPr>
            <w:r>
              <w:rPr>
                <w:w w:val="99"/>
                <w:sz w:val="20"/>
              </w:rPr>
              <w:t>3</w:t>
            </w:r>
          </w:p>
        </w:tc>
        <w:tc>
          <w:tcPr>
            <w:tcW w:w="631" w:type="dxa"/>
          </w:tcPr>
          <w:p w14:paraId="50D5801E" w14:textId="77777777" w:rsidR="00DB6E1F" w:rsidRDefault="00F666A6">
            <w:pPr>
              <w:pStyle w:val="TableParagraph"/>
              <w:spacing w:line="242" w:lineRule="exact"/>
              <w:ind w:left="11"/>
              <w:jc w:val="center"/>
              <w:rPr>
                <w:sz w:val="20"/>
              </w:rPr>
            </w:pPr>
            <w:r>
              <w:rPr>
                <w:w w:val="99"/>
                <w:sz w:val="20"/>
              </w:rPr>
              <w:t>4</w:t>
            </w:r>
          </w:p>
        </w:tc>
        <w:tc>
          <w:tcPr>
            <w:tcW w:w="816" w:type="dxa"/>
          </w:tcPr>
          <w:p w14:paraId="29A0F2AA" w14:textId="77777777" w:rsidR="00DB6E1F" w:rsidRDefault="00F666A6">
            <w:pPr>
              <w:pStyle w:val="TableParagraph"/>
              <w:spacing w:line="242" w:lineRule="exact"/>
              <w:ind w:left="9"/>
              <w:jc w:val="center"/>
              <w:rPr>
                <w:sz w:val="20"/>
              </w:rPr>
            </w:pPr>
            <w:r>
              <w:rPr>
                <w:w w:val="99"/>
                <w:sz w:val="20"/>
              </w:rPr>
              <w:t>5</w:t>
            </w:r>
          </w:p>
        </w:tc>
      </w:tr>
      <w:tr w:rsidR="00DB6E1F" w14:paraId="6C4F7D44" w14:textId="77777777">
        <w:trPr>
          <w:trHeight w:val="527"/>
        </w:trPr>
        <w:tc>
          <w:tcPr>
            <w:tcW w:w="5304" w:type="dxa"/>
          </w:tcPr>
          <w:p w14:paraId="36506070" w14:textId="77777777" w:rsidR="00DB6E1F" w:rsidRDefault="00F666A6">
            <w:pPr>
              <w:pStyle w:val="TableParagraph"/>
              <w:ind w:left="81"/>
              <w:rPr>
                <w:sz w:val="20"/>
              </w:rPr>
            </w:pPr>
            <w:r>
              <w:rPr>
                <w:color w:val="4D4D4F"/>
                <w:sz w:val="20"/>
              </w:rPr>
              <w:t>19.</w:t>
            </w:r>
            <w:r>
              <w:rPr>
                <w:color w:val="4D4D4F"/>
                <w:spacing w:val="15"/>
                <w:sz w:val="20"/>
              </w:rPr>
              <w:t xml:space="preserve"> </w:t>
            </w:r>
            <w:r>
              <w:rPr>
                <w:sz w:val="20"/>
              </w:rPr>
              <w:t>I</w:t>
            </w:r>
            <w:r>
              <w:rPr>
                <w:spacing w:val="-1"/>
                <w:sz w:val="20"/>
              </w:rPr>
              <w:t xml:space="preserve"> </w:t>
            </w:r>
            <w:r>
              <w:rPr>
                <w:sz w:val="20"/>
              </w:rPr>
              <w:t>have</w:t>
            </w:r>
            <w:r>
              <w:rPr>
                <w:spacing w:val="-2"/>
                <w:sz w:val="20"/>
              </w:rPr>
              <w:t xml:space="preserve"> </w:t>
            </w:r>
            <w:r>
              <w:rPr>
                <w:sz w:val="20"/>
              </w:rPr>
              <w:t>made</w:t>
            </w:r>
            <w:r>
              <w:rPr>
                <w:spacing w:val="2"/>
                <w:sz w:val="20"/>
              </w:rPr>
              <w:t xml:space="preserve"> </w:t>
            </w:r>
            <w:r>
              <w:rPr>
                <w:sz w:val="20"/>
              </w:rPr>
              <w:t>some</w:t>
            </w:r>
            <w:r>
              <w:rPr>
                <w:spacing w:val="-2"/>
                <w:sz w:val="20"/>
              </w:rPr>
              <w:t xml:space="preserve"> </w:t>
            </w:r>
            <w:r>
              <w:rPr>
                <w:sz w:val="20"/>
              </w:rPr>
              <w:t>changes</w:t>
            </w:r>
            <w:r>
              <w:rPr>
                <w:spacing w:val="-2"/>
                <w:sz w:val="20"/>
              </w:rPr>
              <w:t xml:space="preserve"> </w:t>
            </w:r>
            <w:r>
              <w:rPr>
                <w:sz w:val="20"/>
              </w:rPr>
              <w:t>in</w:t>
            </w:r>
            <w:r>
              <w:rPr>
                <w:spacing w:val="1"/>
                <w:sz w:val="20"/>
              </w:rPr>
              <w:t xml:space="preserve"> </w:t>
            </w:r>
            <w:r>
              <w:rPr>
                <w:sz w:val="20"/>
              </w:rPr>
              <w:t>my drinking,</w:t>
            </w:r>
            <w:r>
              <w:rPr>
                <w:spacing w:val="1"/>
                <w:sz w:val="20"/>
              </w:rPr>
              <w:t xml:space="preserve"> </w:t>
            </w:r>
            <w:r>
              <w:rPr>
                <w:sz w:val="20"/>
              </w:rPr>
              <w:t>and I</w:t>
            </w:r>
            <w:r>
              <w:rPr>
                <w:spacing w:val="-1"/>
                <w:sz w:val="20"/>
              </w:rPr>
              <w:t xml:space="preserve"> </w:t>
            </w:r>
            <w:r>
              <w:rPr>
                <w:sz w:val="20"/>
              </w:rPr>
              <w:t xml:space="preserve">want </w:t>
            </w:r>
            <w:r>
              <w:rPr>
                <w:spacing w:val="-4"/>
                <w:sz w:val="20"/>
              </w:rPr>
              <w:t>some</w:t>
            </w:r>
          </w:p>
          <w:p w14:paraId="44908573" w14:textId="77777777" w:rsidR="00DB6E1F" w:rsidRDefault="00F666A6">
            <w:pPr>
              <w:pStyle w:val="TableParagraph"/>
              <w:spacing w:before="20" w:line="242" w:lineRule="exact"/>
              <w:ind w:left="441"/>
              <w:rPr>
                <w:sz w:val="20"/>
              </w:rPr>
            </w:pPr>
            <w:r>
              <w:rPr>
                <w:sz w:val="20"/>
              </w:rPr>
              <w:t>help</w:t>
            </w:r>
            <w:r>
              <w:rPr>
                <w:spacing w:val="-3"/>
                <w:sz w:val="20"/>
              </w:rPr>
              <w:t xml:space="preserve"> </w:t>
            </w:r>
            <w:r>
              <w:rPr>
                <w:sz w:val="20"/>
              </w:rPr>
              <w:t>to</w:t>
            </w:r>
            <w:r>
              <w:rPr>
                <w:spacing w:val="-4"/>
                <w:sz w:val="20"/>
              </w:rPr>
              <w:t xml:space="preserve"> </w:t>
            </w:r>
            <w:r>
              <w:rPr>
                <w:sz w:val="20"/>
              </w:rPr>
              <w:t>keep</w:t>
            </w:r>
            <w:r>
              <w:rPr>
                <w:spacing w:val="-3"/>
                <w:sz w:val="20"/>
              </w:rPr>
              <w:t xml:space="preserve"> </w:t>
            </w:r>
            <w:r>
              <w:rPr>
                <w:sz w:val="20"/>
              </w:rPr>
              <w:t>from</w:t>
            </w:r>
            <w:r>
              <w:rPr>
                <w:spacing w:val="-5"/>
                <w:sz w:val="20"/>
              </w:rPr>
              <w:t xml:space="preserve"> </w:t>
            </w:r>
            <w:r>
              <w:rPr>
                <w:sz w:val="20"/>
              </w:rPr>
              <w:t>going</w:t>
            </w:r>
            <w:r>
              <w:rPr>
                <w:spacing w:val="-4"/>
                <w:sz w:val="20"/>
              </w:rPr>
              <w:t xml:space="preserve"> </w:t>
            </w:r>
            <w:r>
              <w:rPr>
                <w:sz w:val="20"/>
              </w:rPr>
              <w:t>back</w:t>
            </w:r>
            <w:r>
              <w:rPr>
                <w:spacing w:val="-1"/>
                <w:sz w:val="20"/>
              </w:rPr>
              <w:t xml:space="preserve"> </w:t>
            </w:r>
            <w:r>
              <w:rPr>
                <w:sz w:val="20"/>
              </w:rPr>
              <w:t>to</w:t>
            </w:r>
            <w:r>
              <w:rPr>
                <w:spacing w:val="-4"/>
                <w:sz w:val="20"/>
              </w:rPr>
              <w:t xml:space="preserve"> </w:t>
            </w:r>
            <w:r>
              <w:rPr>
                <w:sz w:val="20"/>
              </w:rPr>
              <w:t>the</w:t>
            </w:r>
            <w:r>
              <w:rPr>
                <w:spacing w:val="-5"/>
                <w:sz w:val="20"/>
              </w:rPr>
              <w:t xml:space="preserve"> </w:t>
            </w:r>
            <w:r>
              <w:rPr>
                <w:sz w:val="20"/>
              </w:rPr>
              <w:t>way</w:t>
            </w:r>
            <w:r>
              <w:rPr>
                <w:spacing w:val="-3"/>
                <w:sz w:val="20"/>
              </w:rPr>
              <w:t xml:space="preserve"> </w:t>
            </w:r>
            <w:r>
              <w:rPr>
                <w:sz w:val="20"/>
              </w:rPr>
              <w:t>I</w:t>
            </w:r>
            <w:r>
              <w:rPr>
                <w:spacing w:val="-4"/>
                <w:sz w:val="20"/>
              </w:rPr>
              <w:t xml:space="preserve"> </w:t>
            </w:r>
            <w:r>
              <w:rPr>
                <w:sz w:val="20"/>
              </w:rPr>
              <w:t>used</w:t>
            </w:r>
            <w:r>
              <w:rPr>
                <w:spacing w:val="-3"/>
                <w:sz w:val="20"/>
              </w:rPr>
              <w:t xml:space="preserve"> </w:t>
            </w:r>
            <w:r>
              <w:rPr>
                <w:sz w:val="20"/>
              </w:rPr>
              <w:t>to</w:t>
            </w:r>
            <w:r>
              <w:rPr>
                <w:spacing w:val="-4"/>
                <w:sz w:val="20"/>
              </w:rPr>
              <w:t xml:space="preserve"> </w:t>
            </w:r>
            <w:r>
              <w:rPr>
                <w:spacing w:val="-2"/>
                <w:sz w:val="20"/>
              </w:rPr>
              <w:t>drink.</w:t>
            </w:r>
          </w:p>
        </w:tc>
        <w:tc>
          <w:tcPr>
            <w:tcW w:w="809" w:type="dxa"/>
          </w:tcPr>
          <w:p w14:paraId="775C61AB" w14:textId="77777777" w:rsidR="00DB6E1F" w:rsidRDefault="00F666A6">
            <w:pPr>
              <w:pStyle w:val="TableParagraph"/>
              <w:spacing w:before="133"/>
              <w:ind w:left="7"/>
              <w:jc w:val="center"/>
              <w:rPr>
                <w:sz w:val="20"/>
              </w:rPr>
            </w:pPr>
            <w:r>
              <w:rPr>
                <w:w w:val="99"/>
                <w:sz w:val="20"/>
              </w:rPr>
              <w:t>1</w:t>
            </w:r>
          </w:p>
        </w:tc>
        <w:tc>
          <w:tcPr>
            <w:tcW w:w="811" w:type="dxa"/>
          </w:tcPr>
          <w:p w14:paraId="2E1BD59B" w14:textId="77777777" w:rsidR="00DB6E1F" w:rsidRDefault="00F666A6">
            <w:pPr>
              <w:pStyle w:val="TableParagraph"/>
              <w:spacing w:before="133"/>
              <w:ind w:left="352"/>
              <w:rPr>
                <w:sz w:val="20"/>
              </w:rPr>
            </w:pPr>
            <w:r>
              <w:rPr>
                <w:w w:val="99"/>
                <w:sz w:val="20"/>
              </w:rPr>
              <w:t>2</w:t>
            </w:r>
          </w:p>
        </w:tc>
        <w:tc>
          <w:tcPr>
            <w:tcW w:w="989" w:type="dxa"/>
          </w:tcPr>
          <w:p w14:paraId="7CDE7824" w14:textId="77777777" w:rsidR="00DB6E1F" w:rsidRDefault="00F666A6">
            <w:pPr>
              <w:pStyle w:val="TableParagraph"/>
              <w:spacing w:before="133"/>
              <w:ind w:left="441"/>
              <w:rPr>
                <w:sz w:val="20"/>
              </w:rPr>
            </w:pPr>
            <w:r>
              <w:rPr>
                <w:w w:val="99"/>
                <w:sz w:val="20"/>
              </w:rPr>
              <w:t>3</w:t>
            </w:r>
          </w:p>
        </w:tc>
        <w:tc>
          <w:tcPr>
            <w:tcW w:w="631" w:type="dxa"/>
          </w:tcPr>
          <w:p w14:paraId="7DB3FF4D" w14:textId="77777777" w:rsidR="00DB6E1F" w:rsidRDefault="00F666A6">
            <w:pPr>
              <w:pStyle w:val="TableParagraph"/>
              <w:spacing w:before="133"/>
              <w:ind w:left="11"/>
              <w:jc w:val="center"/>
              <w:rPr>
                <w:sz w:val="20"/>
              </w:rPr>
            </w:pPr>
            <w:r>
              <w:rPr>
                <w:w w:val="99"/>
                <w:sz w:val="20"/>
              </w:rPr>
              <w:t>4</w:t>
            </w:r>
          </w:p>
        </w:tc>
        <w:tc>
          <w:tcPr>
            <w:tcW w:w="816" w:type="dxa"/>
          </w:tcPr>
          <w:p w14:paraId="7D56217C" w14:textId="77777777" w:rsidR="00DB6E1F" w:rsidRDefault="00F666A6">
            <w:pPr>
              <w:pStyle w:val="TableParagraph"/>
              <w:spacing w:before="133"/>
              <w:ind w:left="9"/>
              <w:jc w:val="center"/>
              <w:rPr>
                <w:sz w:val="20"/>
              </w:rPr>
            </w:pPr>
            <w:r>
              <w:rPr>
                <w:w w:val="99"/>
                <w:sz w:val="20"/>
              </w:rPr>
              <w:t>5</w:t>
            </w:r>
          </w:p>
        </w:tc>
      </w:tr>
    </w:tbl>
    <w:p w14:paraId="40859735" w14:textId="77777777" w:rsidR="00DB6E1F" w:rsidRDefault="00F666A6">
      <w:pPr>
        <w:spacing w:before="167"/>
        <w:ind w:left="1440" w:right="1555"/>
        <w:rPr>
          <w:sz w:val="20"/>
        </w:rPr>
      </w:pPr>
      <w:r>
        <w:rPr>
          <w:sz w:val="20"/>
        </w:rPr>
        <w:t>See</w:t>
      </w:r>
      <w:r>
        <w:rPr>
          <w:spacing w:val="-4"/>
          <w:sz w:val="20"/>
        </w:rPr>
        <w:t xml:space="preserve"> </w:t>
      </w:r>
      <w:r>
        <w:rPr>
          <w:sz w:val="20"/>
        </w:rPr>
        <w:t>the</w:t>
      </w:r>
      <w:r>
        <w:rPr>
          <w:spacing w:val="-2"/>
          <w:sz w:val="20"/>
        </w:rPr>
        <w:t xml:space="preserve"> </w:t>
      </w:r>
      <w:r>
        <w:rPr>
          <w:sz w:val="20"/>
        </w:rPr>
        <w:t>scoring</w:t>
      </w:r>
      <w:r>
        <w:rPr>
          <w:spacing w:val="-3"/>
          <w:sz w:val="20"/>
        </w:rPr>
        <w:t xml:space="preserve"> </w:t>
      </w:r>
      <w:r>
        <w:rPr>
          <w:sz w:val="20"/>
        </w:rPr>
        <w:t>and</w:t>
      </w:r>
      <w:r>
        <w:rPr>
          <w:spacing w:val="-2"/>
          <w:sz w:val="20"/>
        </w:rPr>
        <w:t xml:space="preserve"> </w:t>
      </w:r>
      <w:r>
        <w:rPr>
          <w:sz w:val="20"/>
        </w:rPr>
        <w:t>interpretation</w:t>
      </w:r>
      <w:r>
        <w:rPr>
          <w:spacing w:val="-2"/>
          <w:sz w:val="20"/>
        </w:rPr>
        <w:t xml:space="preserve"> </w:t>
      </w:r>
      <w:r>
        <w:rPr>
          <w:sz w:val="20"/>
        </w:rPr>
        <w:t>information</w:t>
      </w:r>
      <w:r>
        <w:rPr>
          <w:spacing w:val="-2"/>
          <w:sz w:val="20"/>
        </w:rPr>
        <w:t xml:space="preserve"> </w:t>
      </w:r>
      <w:r>
        <w:rPr>
          <w:sz w:val="20"/>
        </w:rPr>
        <w:t>presented</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SOCRATES</w:t>
      </w:r>
      <w:r>
        <w:rPr>
          <w:spacing w:val="-3"/>
          <w:sz w:val="20"/>
        </w:rPr>
        <w:t xml:space="preserve"> </w:t>
      </w:r>
      <w:r>
        <w:rPr>
          <w:sz w:val="20"/>
        </w:rPr>
        <w:t>8D</w:t>
      </w:r>
      <w:r>
        <w:rPr>
          <w:spacing w:val="-3"/>
          <w:sz w:val="20"/>
        </w:rPr>
        <w:t xml:space="preserve"> </w:t>
      </w:r>
      <w:r>
        <w:rPr>
          <w:sz w:val="20"/>
        </w:rPr>
        <w:t>tool</w:t>
      </w:r>
      <w:r>
        <w:rPr>
          <w:spacing w:val="-3"/>
          <w:sz w:val="20"/>
        </w:rPr>
        <w:t xml:space="preserve"> </w:t>
      </w:r>
      <w:r>
        <w:rPr>
          <w:sz w:val="20"/>
        </w:rPr>
        <w:t>below</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SOCRATES</w:t>
      </w:r>
      <w:r>
        <w:rPr>
          <w:spacing w:val="-3"/>
          <w:sz w:val="20"/>
        </w:rPr>
        <w:t xml:space="preserve"> </w:t>
      </w:r>
      <w:r>
        <w:rPr>
          <w:sz w:val="20"/>
        </w:rPr>
        <w:t>8A tool presented on this page.</w:t>
      </w:r>
    </w:p>
    <w:p w14:paraId="6006AFAF" w14:textId="77777777" w:rsidR="00DB6E1F" w:rsidRDefault="00DB6E1F">
      <w:pPr>
        <w:rPr>
          <w:sz w:val="20"/>
        </w:rPr>
        <w:sectPr w:rsidR="00DB6E1F">
          <w:headerReference w:type="default" r:id="rId173"/>
          <w:footerReference w:type="default" r:id="rId174"/>
          <w:pgSz w:w="12240" w:h="15840"/>
          <w:pgMar w:top="1860" w:right="0" w:bottom="780" w:left="0" w:header="763" w:footer="585" w:gutter="0"/>
          <w:cols w:space="720"/>
        </w:sectPr>
      </w:pPr>
    </w:p>
    <w:p w14:paraId="7B8EA7D5" w14:textId="77777777" w:rsidR="00DB6E1F" w:rsidRDefault="00DB6E1F">
      <w:pPr>
        <w:pStyle w:val="BodyText"/>
        <w:spacing w:before="3"/>
        <w:rPr>
          <w:sz w:val="17"/>
        </w:rPr>
      </w:pPr>
    </w:p>
    <w:p w14:paraId="2AC99FB9" w14:textId="77777777" w:rsidR="00DB6E1F" w:rsidRDefault="00F666A6">
      <w:pPr>
        <w:pStyle w:val="Heading2"/>
        <w:numPr>
          <w:ilvl w:val="0"/>
          <w:numId w:val="28"/>
        </w:numPr>
        <w:tabs>
          <w:tab w:val="left" w:pos="1800"/>
        </w:tabs>
      </w:pPr>
      <w:bookmarkStart w:id="244" w:name="7._Stages_of_Change_Readiness_and_Treatm"/>
      <w:bookmarkStart w:id="245" w:name="_bookmark57"/>
      <w:bookmarkEnd w:id="244"/>
      <w:bookmarkEnd w:id="245"/>
      <w:r>
        <w:t>Stages</w:t>
      </w:r>
      <w:r>
        <w:rPr>
          <w:spacing w:val="-5"/>
        </w:rPr>
        <w:t xml:space="preserve"> </w:t>
      </w:r>
      <w:r>
        <w:t>of</w:t>
      </w:r>
      <w:r>
        <w:rPr>
          <w:spacing w:val="-4"/>
        </w:rPr>
        <w:t xml:space="preserve"> </w:t>
      </w:r>
      <w:r>
        <w:t>Change</w:t>
      </w:r>
      <w:r>
        <w:rPr>
          <w:spacing w:val="-2"/>
        </w:rPr>
        <w:t xml:space="preserve"> </w:t>
      </w:r>
      <w:r>
        <w:t>Readiness</w:t>
      </w:r>
      <w:r>
        <w:rPr>
          <w:spacing w:val="-3"/>
        </w:rPr>
        <w:t xml:space="preserve"> </w:t>
      </w:r>
      <w:r>
        <w:t>and</w:t>
      </w:r>
      <w:r>
        <w:rPr>
          <w:spacing w:val="-2"/>
        </w:rPr>
        <w:t xml:space="preserve"> </w:t>
      </w:r>
      <w:r>
        <w:t>Treatment</w:t>
      </w:r>
      <w:r>
        <w:rPr>
          <w:spacing w:val="-2"/>
        </w:rPr>
        <w:t xml:space="preserve"> Eagerness</w:t>
      </w:r>
    </w:p>
    <w:p w14:paraId="1401541A" w14:textId="77777777" w:rsidR="00DB6E1F" w:rsidRDefault="00F666A6">
      <w:pPr>
        <w:spacing w:before="36"/>
        <w:ind w:left="1440"/>
        <w:rPr>
          <w:b/>
          <w:sz w:val="36"/>
        </w:rPr>
      </w:pPr>
      <w:r>
        <w:rPr>
          <w:b/>
          <w:sz w:val="36"/>
        </w:rPr>
        <w:t>Scale‒Drug</w:t>
      </w:r>
      <w:r>
        <w:rPr>
          <w:b/>
          <w:spacing w:val="-6"/>
          <w:sz w:val="36"/>
        </w:rPr>
        <w:t xml:space="preserve"> </w:t>
      </w:r>
      <w:r>
        <w:rPr>
          <w:b/>
          <w:sz w:val="36"/>
        </w:rPr>
        <w:t>(SOCRATES</w:t>
      </w:r>
      <w:r>
        <w:rPr>
          <w:b/>
          <w:spacing w:val="-3"/>
          <w:sz w:val="36"/>
        </w:rPr>
        <w:t xml:space="preserve"> </w:t>
      </w:r>
      <w:r>
        <w:rPr>
          <w:b/>
          <w:spacing w:val="-5"/>
          <w:sz w:val="36"/>
        </w:rPr>
        <w:t>8D)</w:t>
      </w:r>
    </w:p>
    <w:p w14:paraId="12041F66" w14:textId="77777777" w:rsidR="00DB6E1F" w:rsidRDefault="00F666A6">
      <w:pPr>
        <w:spacing w:before="152"/>
        <w:ind w:left="1440" w:right="1491"/>
        <w:rPr>
          <w:sz w:val="20"/>
        </w:rPr>
      </w:pPr>
      <w:r>
        <w:rPr>
          <w:b/>
          <w:sz w:val="20"/>
        </w:rPr>
        <w:t>Instructions:</w:t>
      </w:r>
      <w:r>
        <w:rPr>
          <w:b/>
          <w:spacing w:val="-3"/>
          <w:sz w:val="20"/>
        </w:rPr>
        <w:t xml:space="preserve"> </w:t>
      </w:r>
      <w:r>
        <w:rPr>
          <w:sz w:val="20"/>
        </w:rPr>
        <w:t>Please</w:t>
      </w:r>
      <w:r>
        <w:rPr>
          <w:spacing w:val="-4"/>
          <w:sz w:val="20"/>
        </w:rPr>
        <w:t xml:space="preserve"> </w:t>
      </w:r>
      <w:r>
        <w:rPr>
          <w:sz w:val="20"/>
        </w:rPr>
        <w:t>read</w:t>
      </w:r>
      <w:r>
        <w:rPr>
          <w:spacing w:val="-2"/>
          <w:sz w:val="20"/>
        </w:rPr>
        <w:t xml:space="preserve"> </w:t>
      </w:r>
      <w:r>
        <w:rPr>
          <w:sz w:val="20"/>
        </w:rPr>
        <w:t>the</w:t>
      </w:r>
      <w:r>
        <w:rPr>
          <w:spacing w:val="-4"/>
          <w:sz w:val="20"/>
        </w:rPr>
        <w:t xml:space="preserve"> </w:t>
      </w:r>
      <w:r>
        <w:rPr>
          <w:sz w:val="20"/>
        </w:rPr>
        <w:t>following</w:t>
      </w:r>
      <w:r>
        <w:rPr>
          <w:spacing w:val="-3"/>
          <w:sz w:val="20"/>
        </w:rPr>
        <w:t xml:space="preserve"> </w:t>
      </w:r>
      <w:r>
        <w:rPr>
          <w:sz w:val="20"/>
        </w:rPr>
        <w:t>statements</w:t>
      </w:r>
      <w:r>
        <w:rPr>
          <w:spacing w:val="-4"/>
          <w:sz w:val="20"/>
        </w:rPr>
        <w:t xml:space="preserve"> </w:t>
      </w:r>
      <w:r>
        <w:rPr>
          <w:sz w:val="20"/>
        </w:rPr>
        <w:t>carefully.</w:t>
      </w:r>
      <w:r>
        <w:rPr>
          <w:spacing w:val="-1"/>
          <w:sz w:val="20"/>
        </w:rPr>
        <w:t xml:space="preserve"> </w:t>
      </w:r>
      <w:r>
        <w:rPr>
          <w:sz w:val="20"/>
        </w:rPr>
        <w:t>Each</w:t>
      </w:r>
      <w:r>
        <w:rPr>
          <w:spacing w:val="-2"/>
          <w:sz w:val="20"/>
        </w:rPr>
        <w:t xml:space="preserve"> </w:t>
      </w:r>
      <w:r>
        <w:rPr>
          <w:sz w:val="20"/>
        </w:rPr>
        <w:t>describes</w:t>
      </w:r>
      <w:r>
        <w:rPr>
          <w:spacing w:val="-4"/>
          <w:sz w:val="20"/>
        </w:rPr>
        <w:t xml:space="preserve"> </w:t>
      </w:r>
      <w:r>
        <w:rPr>
          <w:sz w:val="20"/>
        </w:rPr>
        <w:t>a way</w:t>
      </w:r>
      <w:r>
        <w:rPr>
          <w:spacing w:val="-2"/>
          <w:sz w:val="20"/>
        </w:rPr>
        <w:t xml:space="preserve"> </w:t>
      </w:r>
      <w:r>
        <w:rPr>
          <w:sz w:val="20"/>
        </w:rPr>
        <w:t>you</w:t>
      </w:r>
      <w:r>
        <w:rPr>
          <w:spacing w:val="-2"/>
          <w:sz w:val="20"/>
        </w:rPr>
        <w:t xml:space="preserve"> </w:t>
      </w:r>
      <w:r>
        <w:rPr>
          <w:sz w:val="20"/>
        </w:rPr>
        <w:t>might</w:t>
      </w:r>
      <w:r>
        <w:rPr>
          <w:spacing w:val="-3"/>
          <w:sz w:val="20"/>
        </w:rPr>
        <w:t xml:space="preserve"> </w:t>
      </w:r>
      <w:r>
        <w:rPr>
          <w:sz w:val="20"/>
        </w:rPr>
        <w:t>(or</w:t>
      </w:r>
      <w:r>
        <w:rPr>
          <w:spacing w:val="-3"/>
          <w:sz w:val="20"/>
        </w:rPr>
        <w:t xml:space="preserve"> </w:t>
      </w:r>
      <w:r>
        <w:rPr>
          <w:sz w:val="20"/>
        </w:rPr>
        <w:t>might</w:t>
      </w:r>
      <w:r>
        <w:rPr>
          <w:spacing w:val="-3"/>
          <w:sz w:val="20"/>
        </w:rPr>
        <w:t xml:space="preserve"> </w:t>
      </w:r>
      <w:r>
        <w:rPr>
          <w:sz w:val="20"/>
        </w:rPr>
        <w:t>not)</w:t>
      </w:r>
      <w:r>
        <w:rPr>
          <w:spacing w:val="-3"/>
          <w:sz w:val="20"/>
        </w:rPr>
        <w:t xml:space="preserve"> </w:t>
      </w:r>
      <w:r>
        <w:rPr>
          <w:sz w:val="20"/>
        </w:rPr>
        <w:t xml:space="preserve">feel </w:t>
      </w:r>
      <w:r>
        <w:rPr>
          <w:i/>
          <w:sz w:val="20"/>
        </w:rPr>
        <w:t>about your drug use</w:t>
      </w:r>
      <w:r>
        <w:rPr>
          <w:sz w:val="20"/>
        </w:rPr>
        <w:t xml:space="preserve">. For each statement, circle one number from 1 to 5 to indicate how much you agree or disagree with it </w:t>
      </w:r>
      <w:r>
        <w:rPr>
          <w:i/>
          <w:sz w:val="20"/>
        </w:rPr>
        <w:t>right now</w:t>
      </w:r>
      <w:r>
        <w:rPr>
          <w:sz w:val="20"/>
        </w:rPr>
        <w:t>. Please circle one and only one number for each statement.</w:t>
      </w:r>
    </w:p>
    <w:p w14:paraId="43353723" w14:textId="77777777" w:rsidR="00DB6E1F" w:rsidRDefault="00DB6E1F">
      <w:pPr>
        <w:pStyle w:val="BodyText"/>
        <w:spacing w:before="8"/>
        <w:rPr>
          <w:sz w:val="9"/>
        </w:rPr>
      </w:pPr>
    </w:p>
    <w:tbl>
      <w:tblPr>
        <w:tblW w:w="0" w:type="auto"/>
        <w:tblInd w:w="1455"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5304"/>
        <w:gridCol w:w="809"/>
        <w:gridCol w:w="811"/>
        <w:gridCol w:w="989"/>
        <w:gridCol w:w="631"/>
        <w:gridCol w:w="816"/>
      </w:tblGrid>
      <w:tr w:rsidR="00DB6E1F" w14:paraId="724F2F2D" w14:textId="77777777">
        <w:trPr>
          <w:trHeight w:val="791"/>
        </w:trPr>
        <w:tc>
          <w:tcPr>
            <w:tcW w:w="5304" w:type="dxa"/>
          </w:tcPr>
          <w:p w14:paraId="6B91248F" w14:textId="77777777" w:rsidR="00DB6E1F" w:rsidRDefault="00DB6E1F">
            <w:pPr>
              <w:pStyle w:val="TableParagraph"/>
              <w:spacing w:before="0"/>
              <w:ind w:left="0"/>
              <w:rPr>
                <w:rFonts w:ascii="Times New Roman"/>
                <w:sz w:val="20"/>
              </w:rPr>
            </w:pPr>
          </w:p>
        </w:tc>
        <w:tc>
          <w:tcPr>
            <w:tcW w:w="809" w:type="dxa"/>
          </w:tcPr>
          <w:p w14:paraId="3A3482E7" w14:textId="77777777" w:rsidR="00DB6E1F" w:rsidRDefault="00F666A6">
            <w:pPr>
              <w:pStyle w:val="TableParagraph"/>
              <w:spacing w:before="3" w:line="256" w:lineRule="auto"/>
              <w:ind w:left="57" w:right="47" w:firstLine="1"/>
              <w:jc w:val="center"/>
              <w:rPr>
                <w:b/>
                <w:sz w:val="20"/>
              </w:rPr>
            </w:pPr>
            <w:r>
              <w:rPr>
                <w:b/>
                <w:spacing w:val="-4"/>
                <w:sz w:val="20"/>
              </w:rPr>
              <w:t xml:space="preserve">No! </w:t>
            </w:r>
            <w:r>
              <w:rPr>
                <w:b/>
                <w:spacing w:val="-2"/>
                <w:sz w:val="20"/>
              </w:rPr>
              <w:t>Strongly</w:t>
            </w:r>
          </w:p>
          <w:p w14:paraId="0B8EA2A0" w14:textId="77777777" w:rsidR="00DB6E1F" w:rsidRDefault="00F666A6">
            <w:pPr>
              <w:pStyle w:val="TableParagraph"/>
              <w:spacing w:before="4" w:line="242" w:lineRule="exact"/>
              <w:ind w:left="27" w:right="21"/>
              <w:jc w:val="center"/>
              <w:rPr>
                <w:b/>
                <w:sz w:val="20"/>
              </w:rPr>
            </w:pPr>
            <w:r>
              <w:rPr>
                <w:b/>
                <w:spacing w:val="-2"/>
                <w:sz w:val="20"/>
              </w:rPr>
              <w:t>Disagree</w:t>
            </w:r>
          </w:p>
        </w:tc>
        <w:tc>
          <w:tcPr>
            <w:tcW w:w="811" w:type="dxa"/>
          </w:tcPr>
          <w:p w14:paraId="7A018B45" w14:textId="77777777" w:rsidR="00DB6E1F" w:rsidRDefault="00F666A6">
            <w:pPr>
              <w:pStyle w:val="TableParagraph"/>
              <w:spacing w:before="135" w:line="256" w:lineRule="auto"/>
              <w:ind w:left="42" w:right="29" w:firstLine="240"/>
              <w:rPr>
                <w:b/>
                <w:sz w:val="20"/>
              </w:rPr>
            </w:pPr>
            <w:r>
              <w:rPr>
                <w:b/>
                <w:spacing w:val="-6"/>
                <w:sz w:val="20"/>
              </w:rPr>
              <w:t>No</w:t>
            </w:r>
            <w:r>
              <w:rPr>
                <w:b/>
                <w:spacing w:val="-2"/>
                <w:sz w:val="20"/>
              </w:rPr>
              <w:t xml:space="preserve"> Disagree</w:t>
            </w:r>
          </w:p>
        </w:tc>
        <w:tc>
          <w:tcPr>
            <w:tcW w:w="989" w:type="dxa"/>
          </w:tcPr>
          <w:p w14:paraId="2848CA48" w14:textId="77777777" w:rsidR="00DB6E1F" w:rsidRDefault="00F666A6">
            <w:pPr>
              <w:pStyle w:val="TableParagraph"/>
              <w:spacing w:before="3"/>
              <w:ind w:left="5"/>
              <w:jc w:val="center"/>
              <w:rPr>
                <w:b/>
                <w:sz w:val="20"/>
              </w:rPr>
            </w:pPr>
            <w:r>
              <w:rPr>
                <w:b/>
                <w:w w:val="99"/>
                <w:sz w:val="20"/>
              </w:rPr>
              <w:t>?</w:t>
            </w:r>
          </w:p>
          <w:p w14:paraId="0B84FB82" w14:textId="77777777" w:rsidR="00DB6E1F" w:rsidRDefault="00F666A6">
            <w:pPr>
              <w:pStyle w:val="TableParagraph"/>
              <w:spacing w:before="18"/>
              <w:ind w:left="31" w:right="25"/>
              <w:jc w:val="center"/>
              <w:rPr>
                <w:b/>
                <w:sz w:val="20"/>
              </w:rPr>
            </w:pPr>
            <w:r>
              <w:rPr>
                <w:b/>
                <w:spacing w:val="-2"/>
                <w:sz w:val="20"/>
              </w:rPr>
              <w:t>Undecided</w:t>
            </w:r>
          </w:p>
          <w:p w14:paraId="07B16B6B" w14:textId="77777777" w:rsidR="00DB6E1F" w:rsidRDefault="00F666A6">
            <w:pPr>
              <w:pStyle w:val="TableParagraph"/>
              <w:spacing w:before="20" w:line="242" w:lineRule="exact"/>
              <w:ind w:left="31" w:right="20"/>
              <w:jc w:val="center"/>
              <w:rPr>
                <w:b/>
                <w:sz w:val="20"/>
              </w:rPr>
            </w:pPr>
            <w:r>
              <w:rPr>
                <w:b/>
                <w:sz w:val="20"/>
              </w:rPr>
              <w:t>or</w:t>
            </w:r>
            <w:r>
              <w:rPr>
                <w:b/>
                <w:spacing w:val="-1"/>
                <w:sz w:val="20"/>
              </w:rPr>
              <w:t xml:space="preserve"> </w:t>
            </w:r>
            <w:r>
              <w:rPr>
                <w:b/>
                <w:spacing w:val="-2"/>
                <w:sz w:val="20"/>
              </w:rPr>
              <w:t>Unsure</w:t>
            </w:r>
          </w:p>
        </w:tc>
        <w:tc>
          <w:tcPr>
            <w:tcW w:w="631" w:type="dxa"/>
          </w:tcPr>
          <w:p w14:paraId="3C729C65" w14:textId="77777777" w:rsidR="00DB6E1F" w:rsidRDefault="00F666A6">
            <w:pPr>
              <w:pStyle w:val="TableParagraph"/>
              <w:spacing w:before="135" w:line="256" w:lineRule="auto"/>
              <w:ind w:left="69" w:right="48" w:firstLine="103"/>
              <w:rPr>
                <w:b/>
                <w:sz w:val="20"/>
              </w:rPr>
            </w:pPr>
            <w:r>
              <w:rPr>
                <w:b/>
                <w:spacing w:val="-4"/>
                <w:sz w:val="20"/>
              </w:rPr>
              <w:t xml:space="preserve">Yes </w:t>
            </w:r>
            <w:r>
              <w:rPr>
                <w:b/>
                <w:spacing w:val="-2"/>
                <w:sz w:val="20"/>
              </w:rPr>
              <w:t>Agree</w:t>
            </w:r>
          </w:p>
        </w:tc>
        <w:tc>
          <w:tcPr>
            <w:tcW w:w="816" w:type="dxa"/>
          </w:tcPr>
          <w:p w14:paraId="13E6B532" w14:textId="77777777" w:rsidR="00DB6E1F" w:rsidRDefault="00F666A6">
            <w:pPr>
              <w:pStyle w:val="TableParagraph"/>
              <w:spacing w:before="3" w:line="256" w:lineRule="auto"/>
              <w:ind w:left="62" w:right="46" w:firstLine="168"/>
              <w:rPr>
                <w:b/>
                <w:sz w:val="20"/>
              </w:rPr>
            </w:pPr>
            <w:r>
              <w:rPr>
                <w:b/>
                <w:spacing w:val="-4"/>
                <w:sz w:val="20"/>
              </w:rPr>
              <w:t xml:space="preserve">Yes! </w:t>
            </w:r>
            <w:r>
              <w:rPr>
                <w:b/>
                <w:spacing w:val="-2"/>
                <w:sz w:val="20"/>
              </w:rPr>
              <w:t>Strongly</w:t>
            </w:r>
          </w:p>
          <w:p w14:paraId="14C2053A" w14:textId="77777777" w:rsidR="00DB6E1F" w:rsidRDefault="00F666A6">
            <w:pPr>
              <w:pStyle w:val="TableParagraph"/>
              <w:spacing w:before="4" w:line="242" w:lineRule="exact"/>
              <w:ind w:left="160"/>
              <w:rPr>
                <w:b/>
                <w:sz w:val="20"/>
              </w:rPr>
            </w:pPr>
            <w:r>
              <w:rPr>
                <w:b/>
                <w:spacing w:val="-2"/>
                <w:sz w:val="20"/>
              </w:rPr>
              <w:t>Agree</w:t>
            </w:r>
          </w:p>
        </w:tc>
      </w:tr>
      <w:tr w:rsidR="00DB6E1F" w14:paraId="3A279E55" w14:textId="77777777">
        <w:trPr>
          <w:trHeight w:val="263"/>
        </w:trPr>
        <w:tc>
          <w:tcPr>
            <w:tcW w:w="5304" w:type="dxa"/>
          </w:tcPr>
          <w:p w14:paraId="62D1B886" w14:textId="77777777" w:rsidR="00DB6E1F" w:rsidRDefault="00F666A6">
            <w:pPr>
              <w:pStyle w:val="TableParagraph"/>
              <w:spacing w:line="242" w:lineRule="exact"/>
              <w:ind w:left="81"/>
              <w:rPr>
                <w:sz w:val="20"/>
              </w:rPr>
            </w:pPr>
            <w:r>
              <w:rPr>
                <w:color w:val="4D4D4F"/>
                <w:sz w:val="20"/>
              </w:rPr>
              <w:t>1.</w:t>
            </w:r>
            <w:r>
              <w:rPr>
                <w:color w:val="4D4D4F"/>
                <w:spacing w:val="42"/>
                <w:sz w:val="20"/>
              </w:rPr>
              <w:t xml:space="preserve">  </w:t>
            </w:r>
            <w:r>
              <w:rPr>
                <w:sz w:val="20"/>
              </w:rPr>
              <w:t>I really want</w:t>
            </w:r>
            <w:r>
              <w:rPr>
                <w:spacing w:val="-1"/>
                <w:sz w:val="20"/>
              </w:rPr>
              <w:t xml:space="preserve"> </w:t>
            </w:r>
            <w:r>
              <w:rPr>
                <w:sz w:val="20"/>
              </w:rPr>
              <w:t>to</w:t>
            </w:r>
            <w:r>
              <w:rPr>
                <w:spacing w:val="-1"/>
                <w:sz w:val="20"/>
              </w:rPr>
              <w:t xml:space="preserve"> </w:t>
            </w:r>
            <w:r>
              <w:rPr>
                <w:sz w:val="20"/>
              </w:rPr>
              <w:t>make</w:t>
            </w:r>
            <w:r>
              <w:rPr>
                <w:spacing w:val="-2"/>
                <w:sz w:val="20"/>
              </w:rPr>
              <w:t xml:space="preserve"> </w:t>
            </w:r>
            <w:r>
              <w:rPr>
                <w:sz w:val="20"/>
              </w:rPr>
              <w:t>changes in my</w:t>
            </w:r>
            <w:r>
              <w:rPr>
                <w:spacing w:val="-1"/>
                <w:sz w:val="20"/>
              </w:rPr>
              <w:t xml:space="preserve"> </w:t>
            </w:r>
            <w:r>
              <w:rPr>
                <w:sz w:val="20"/>
              </w:rPr>
              <w:t>use</w:t>
            </w:r>
            <w:r>
              <w:rPr>
                <w:spacing w:val="-2"/>
                <w:sz w:val="20"/>
              </w:rPr>
              <w:t xml:space="preserve"> </w:t>
            </w:r>
            <w:r>
              <w:rPr>
                <w:sz w:val="20"/>
              </w:rPr>
              <w:t>of</w:t>
            </w:r>
            <w:r>
              <w:rPr>
                <w:spacing w:val="-2"/>
                <w:sz w:val="20"/>
              </w:rPr>
              <w:t xml:space="preserve"> drugs.</w:t>
            </w:r>
          </w:p>
        </w:tc>
        <w:tc>
          <w:tcPr>
            <w:tcW w:w="809" w:type="dxa"/>
          </w:tcPr>
          <w:p w14:paraId="22A0CB2B" w14:textId="77777777" w:rsidR="00DB6E1F" w:rsidRDefault="00F666A6">
            <w:pPr>
              <w:pStyle w:val="TableParagraph"/>
              <w:spacing w:line="242" w:lineRule="exact"/>
              <w:ind w:left="7"/>
              <w:jc w:val="center"/>
              <w:rPr>
                <w:sz w:val="20"/>
              </w:rPr>
            </w:pPr>
            <w:r>
              <w:rPr>
                <w:w w:val="99"/>
                <w:sz w:val="20"/>
              </w:rPr>
              <w:t>1</w:t>
            </w:r>
          </w:p>
        </w:tc>
        <w:tc>
          <w:tcPr>
            <w:tcW w:w="811" w:type="dxa"/>
          </w:tcPr>
          <w:p w14:paraId="0D9EE5F9" w14:textId="77777777" w:rsidR="00DB6E1F" w:rsidRDefault="00F666A6">
            <w:pPr>
              <w:pStyle w:val="TableParagraph"/>
              <w:spacing w:line="242" w:lineRule="exact"/>
              <w:ind w:left="352"/>
              <w:rPr>
                <w:sz w:val="20"/>
              </w:rPr>
            </w:pPr>
            <w:r>
              <w:rPr>
                <w:w w:val="99"/>
                <w:sz w:val="20"/>
              </w:rPr>
              <w:t>2</w:t>
            </w:r>
          </w:p>
        </w:tc>
        <w:tc>
          <w:tcPr>
            <w:tcW w:w="989" w:type="dxa"/>
          </w:tcPr>
          <w:p w14:paraId="23E94186" w14:textId="77777777" w:rsidR="00DB6E1F" w:rsidRDefault="00F666A6">
            <w:pPr>
              <w:pStyle w:val="TableParagraph"/>
              <w:spacing w:line="242" w:lineRule="exact"/>
              <w:ind w:left="441"/>
              <w:rPr>
                <w:sz w:val="20"/>
              </w:rPr>
            </w:pPr>
            <w:r>
              <w:rPr>
                <w:w w:val="99"/>
                <w:sz w:val="20"/>
              </w:rPr>
              <w:t>3</w:t>
            </w:r>
          </w:p>
        </w:tc>
        <w:tc>
          <w:tcPr>
            <w:tcW w:w="631" w:type="dxa"/>
          </w:tcPr>
          <w:p w14:paraId="468370C5" w14:textId="77777777" w:rsidR="00DB6E1F" w:rsidRDefault="00F666A6">
            <w:pPr>
              <w:pStyle w:val="TableParagraph"/>
              <w:spacing w:line="242" w:lineRule="exact"/>
              <w:ind w:left="11"/>
              <w:jc w:val="center"/>
              <w:rPr>
                <w:sz w:val="20"/>
              </w:rPr>
            </w:pPr>
            <w:r>
              <w:rPr>
                <w:w w:val="99"/>
                <w:sz w:val="20"/>
              </w:rPr>
              <w:t>4</w:t>
            </w:r>
          </w:p>
        </w:tc>
        <w:tc>
          <w:tcPr>
            <w:tcW w:w="816" w:type="dxa"/>
          </w:tcPr>
          <w:p w14:paraId="3B8A0D28" w14:textId="77777777" w:rsidR="00DB6E1F" w:rsidRDefault="00F666A6">
            <w:pPr>
              <w:pStyle w:val="TableParagraph"/>
              <w:spacing w:line="242" w:lineRule="exact"/>
              <w:ind w:left="9"/>
              <w:jc w:val="center"/>
              <w:rPr>
                <w:sz w:val="20"/>
              </w:rPr>
            </w:pPr>
            <w:r>
              <w:rPr>
                <w:w w:val="99"/>
                <w:sz w:val="20"/>
              </w:rPr>
              <w:t>5</w:t>
            </w:r>
          </w:p>
        </w:tc>
      </w:tr>
      <w:tr w:rsidR="00DB6E1F" w14:paraId="752346E5" w14:textId="77777777">
        <w:trPr>
          <w:trHeight w:val="263"/>
        </w:trPr>
        <w:tc>
          <w:tcPr>
            <w:tcW w:w="5304" w:type="dxa"/>
          </w:tcPr>
          <w:p w14:paraId="1CF204D0" w14:textId="77777777" w:rsidR="00DB6E1F" w:rsidRDefault="00F666A6">
            <w:pPr>
              <w:pStyle w:val="TableParagraph"/>
              <w:spacing w:line="242" w:lineRule="exact"/>
              <w:ind w:left="81"/>
              <w:rPr>
                <w:sz w:val="20"/>
              </w:rPr>
            </w:pPr>
            <w:r>
              <w:rPr>
                <w:color w:val="4D4D4F"/>
                <w:sz w:val="20"/>
              </w:rPr>
              <w:t>2.</w:t>
            </w:r>
            <w:r>
              <w:rPr>
                <w:color w:val="4D4D4F"/>
                <w:spacing w:val="45"/>
                <w:sz w:val="20"/>
              </w:rPr>
              <w:t xml:space="preserve">  </w:t>
            </w:r>
            <w:r>
              <w:rPr>
                <w:sz w:val="20"/>
              </w:rPr>
              <w:t>Sometimes</w:t>
            </w:r>
            <w:r>
              <w:rPr>
                <w:spacing w:val="1"/>
                <w:sz w:val="20"/>
              </w:rPr>
              <w:t xml:space="preserve"> </w:t>
            </w:r>
            <w:r>
              <w:rPr>
                <w:sz w:val="20"/>
              </w:rPr>
              <w:t>I wonder if I am</w:t>
            </w:r>
            <w:r>
              <w:rPr>
                <w:spacing w:val="-1"/>
                <w:sz w:val="20"/>
              </w:rPr>
              <w:t xml:space="preserve"> </w:t>
            </w:r>
            <w:r>
              <w:rPr>
                <w:sz w:val="20"/>
              </w:rPr>
              <w:t>an</w:t>
            </w:r>
            <w:r>
              <w:rPr>
                <w:spacing w:val="2"/>
                <w:sz w:val="20"/>
              </w:rPr>
              <w:t xml:space="preserve"> </w:t>
            </w:r>
            <w:r>
              <w:rPr>
                <w:spacing w:val="-2"/>
                <w:sz w:val="20"/>
              </w:rPr>
              <w:t>addict.</w:t>
            </w:r>
          </w:p>
        </w:tc>
        <w:tc>
          <w:tcPr>
            <w:tcW w:w="809" w:type="dxa"/>
          </w:tcPr>
          <w:p w14:paraId="0BAF628D" w14:textId="77777777" w:rsidR="00DB6E1F" w:rsidRDefault="00F666A6">
            <w:pPr>
              <w:pStyle w:val="TableParagraph"/>
              <w:spacing w:line="242" w:lineRule="exact"/>
              <w:ind w:left="7"/>
              <w:jc w:val="center"/>
              <w:rPr>
                <w:sz w:val="20"/>
              </w:rPr>
            </w:pPr>
            <w:r>
              <w:rPr>
                <w:w w:val="99"/>
                <w:sz w:val="20"/>
              </w:rPr>
              <w:t>1</w:t>
            </w:r>
          </w:p>
        </w:tc>
        <w:tc>
          <w:tcPr>
            <w:tcW w:w="811" w:type="dxa"/>
          </w:tcPr>
          <w:p w14:paraId="62647D88" w14:textId="77777777" w:rsidR="00DB6E1F" w:rsidRDefault="00F666A6">
            <w:pPr>
              <w:pStyle w:val="TableParagraph"/>
              <w:spacing w:line="242" w:lineRule="exact"/>
              <w:ind w:left="352"/>
              <w:rPr>
                <w:sz w:val="20"/>
              </w:rPr>
            </w:pPr>
            <w:r>
              <w:rPr>
                <w:w w:val="99"/>
                <w:sz w:val="20"/>
              </w:rPr>
              <w:t>2</w:t>
            </w:r>
          </w:p>
        </w:tc>
        <w:tc>
          <w:tcPr>
            <w:tcW w:w="989" w:type="dxa"/>
          </w:tcPr>
          <w:p w14:paraId="4430C118" w14:textId="77777777" w:rsidR="00DB6E1F" w:rsidRDefault="00F666A6">
            <w:pPr>
              <w:pStyle w:val="TableParagraph"/>
              <w:spacing w:line="242" w:lineRule="exact"/>
              <w:ind w:left="441"/>
              <w:rPr>
                <w:sz w:val="20"/>
              </w:rPr>
            </w:pPr>
            <w:r>
              <w:rPr>
                <w:w w:val="99"/>
                <w:sz w:val="20"/>
              </w:rPr>
              <w:t>3</w:t>
            </w:r>
          </w:p>
        </w:tc>
        <w:tc>
          <w:tcPr>
            <w:tcW w:w="631" w:type="dxa"/>
          </w:tcPr>
          <w:p w14:paraId="1D6C84C5" w14:textId="77777777" w:rsidR="00DB6E1F" w:rsidRDefault="00F666A6">
            <w:pPr>
              <w:pStyle w:val="TableParagraph"/>
              <w:spacing w:line="242" w:lineRule="exact"/>
              <w:ind w:left="11"/>
              <w:jc w:val="center"/>
              <w:rPr>
                <w:sz w:val="20"/>
              </w:rPr>
            </w:pPr>
            <w:r>
              <w:rPr>
                <w:w w:val="99"/>
                <w:sz w:val="20"/>
              </w:rPr>
              <w:t>4</w:t>
            </w:r>
          </w:p>
        </w:tc>
        <w:tc>
          <w:tcPr>
            <w:tcW w:w="816" w:type="dxa"/>
          </w:tcPr>
          <w:p w14:paraId="672E453E" w14:textId="77777777" w:rsidR="00DB6E1F" w:rsidRDefault="00F666A6">
            <w:pPr>
              <w:pStyle w:val="TableParagraph"/>
              <w:spacing w:line="242" w:lineRule="exact"/>
              <w:ind w:left="9"/>
              <w:jc w:val="center"/>
              <w:rPr>
                <w:sz w:val="20"/>
              </w:rPr>
            </w:pPr>
            <w:r>
              <w:rPr>
                <w:w w:val="99"/>
                <w:sz w:val="20"/>
              </w:rPr>
              <w:t>5</w:t>
            </w:r>
          </w:p>
        </w:tc>
      </w:tr>
      <w:tr w:rsidR="00DB6E1F" w14:paraId="66C128CE" w14:textId="77777777">
        <w:trPr>
          <w:trHeight w:val="527"/>
        </w:trPr>
        <w:tc>
          <w:tcPr>
            <w:tcW w:w="5304" w:type="dxa"/>
            <w:tcBorders>
              <w:bottom w:val="single" w:sz="6" w:space="0" w:color="000000"/>
            </w:tcBorders>
          </w:tcPr>
          <w:p w14:paraId="6563A431" w14:textId="77777777" w:rsidR="00DB6E1F" w:rsidRDefault="00F666A6">
            <w:pPr>
              <w:pStyle w:val="TableParagraph"/>
              <w:ind w:left="81"/>
              <w:rPr>
                <w:sz w:val="20"/>
              </w:rPr>
            </w:pPr>
            <w:r>
              <w:rPr>
                <w:color w:val="4D4D4F"/>
                <w:sz w:val="20"/>
              </w:rPr>
              <w:t>3.</w:t>
            </w:r>
            <w:r>
              <w:rPr>
                <w:color w:val="4D4D4F"/>
                <w:spacing w:val="42"/>
                <w:sz w:val="20"/>
              </w:rPr>
              <w:t xml:space="preserve">  </w:t>
            </w:r>
            <w:r>
              <w:rPr>
                <w:sz w:val="20"/>
              </w:rPr>
              <w:t>If</w:t>
            </w:r>
            <w:r>
              <w:rPr>
                <w:spacing w:val="-3"/>
                <w:sz w:val="20"/>
              </w:rPr>
              <w:t xml:space="preserve"> </w:t>
            </w:r>
            <w:r>
              <w:rPr>
                <w:sz w:val="20"/>
              </w:rPr>
              <w:t>I</w:t>
            </w:r>
            <w:r>
              <w:rPr>
                <w:spacing w:val="-1"/>
                <w:sz w:val="20"/>
              </w:rPr>
              <w:t xml:space="preserve"> </w:t>
            </w:r>
            <w:r>
              <w:rPr>
                <w:sz w:val="20"/>
              </w:rPr>
              <w:t>don’t</w:t>
            </w:r>
            <w:r>
              <w:rPr>
                <w:spacing w:val="-2"/>
                <w:sz w:val="20"/>
              </w:rPr>
              <w:t xml:space="preserve"> </w:t>
            </w:r>
            <w:r>
              <w:rPr>
                <w:sz w:val="20"/>
              </w:rPr>
              <w:t>change</w:t>
            </w:r>
            <w:r>
              <w:rPr>
                <w:spacing w:val="-2"/>
                <w:sz w:val="20"/>
              </w:rPr>
              <w:t xml:space="preserve"> </w:t>
            </w:r>
            <w:r>
              <w:rPr>
                <w:sz w:val="20"/>
              </w:rPr>
              <w:t>my</w:t>
            </w:r>
            <w:r>
              <w:rPr>
                <w:spacing w:val="-1"/>
                <w:sz w:val="20"/>
              </w:rPr>
              <w:t xml:space="preserve"> </w:t>
            </w:r>
            <w:r>
              <w:rPr>
                <w:sz w:val="20"/>
              </w:rPr>
              <w:t>drug</w:t>
            </w:r>
            <w:r>
              <w:rPr>
                <w:spacing w:val="-2"/>
                <w:sz w:val="20"/>
              </w:rPr>
              <w:t xml:space="preserve"> </w:t>
            </w:r>
            <w:r>
              <w:rPr>
                <w:sz w:val="20"/>
              </w:rPr>
              <w:t>use</w:t>
            </w:r>
            <w:r>
              <w:rPr>
                <w:spacing w:val="-2"/>
                <w:sz w:val="20"/>
              </w:rPr>
              <w:t xml:space="preserve"> </w:t>
            </w:r>
            <w:r>
              <w:rPr>
                <w:sz w:val="20"/>
              </w:rPr>
              <w:t>soon,</w:t>
            </w:r>
            <w:r>
              <w:rPr>
                <w:spacing w:val="-1"/>
                <w:sz w:val="20"/>
              </w:rPr>
              <w:t xml:space="preserve"> </w:t>
            </w:r>
            <w:r>
              <w:rPr>
                <w:sz w:val="20"/>
              </w:rPr>
              <w:t>my problems</w:t>
            </w:r>
            <w:r>
              <w:rPr>
                <w:spacing w:val="-3"/>
                <w:sz w:val="20"/>
              </w:rPr>
              <w:t xml:space="preserve"> </w:t>
            </w:r>
            <w:r>
              <w:rPr>
                <w:sz w:val="20"/>
              </w:rPr>
              <w:t>are</w:t>
            </w:r>
            <w:r>
              <w:rPr>
                <w:spacing w:val="-2"/>
                <w:sz w:val="20"/>
              </w:rPr>
              <w:t xml:space="preserve"> </w:t>
            </w:r>
            <w:r>
              <w:rPr>
                <w:spacing w:val="-4"/>
                <w:sz w:val="20"/>
              </w:rPr>
              <w:t>going</w:t>
            </w:r>
          </w:p>
          <w:p w14:paraId="3A9EE64F" w14:textId="77777777" w:rsidR="00DB6E1F" w:rsidRDefault="00F666A6">
            <w:pPr>
              <w:pStyle w:val="TableParagraph"/>
              <w:spacing w:before="20" w:line="242" w:lineRule="exact"/>
              <w:ind w:left="441"/>
              <w:rPr>
                <w:sz w:val="20"/>
              </w:rPr>
            </w:pPr>
            <w:r>
              <w:rPr>
                <w:sz w:val="20"/>
              </w:rPr>
              <w:t>to</w:t>
            </w:r>
            <w:r>
              <w:rPr>
                <w:spacing w:val="-3"/>
                <w:sz w:val="20"/>
              </w:rPr>
              <w:t xml:space="preserve"> </w:t>
            </w:r>
            <w:r>
              <w:rPr>
                <w:sz w:val="20"/>
              </w:rPr>
              <w:t>get</w:t>
            </w:r>
            <w:r>
              <w:rPr>
                <w:spacing w:val="-3"/>
                <w:sz w:val="20"/>
              </w:rPr>
              <w:t xml:space="preserve"> </w:t>
            </w:r>
            <w:r>
              <w:rPr>
                <w:spacing w:val="-2"/>
                <w:sz w:val="20"/>
              </w:rPr>
              <w:t>worse.</w:t>
            </w:r>
          </w:p>
        </w:tc>
        <w:tc>
          <w:tcPr>
            <w:tcW w:w="809" w:type="dxa"/>
            <w:tcBorders>
              <w:bottom w:val="single" w:sz="6" w:space="0" w:color="000000"/>
            </w:tcBorders>
          </w:tcPr>
          <w:p w14:paraId="7CF63DDC" w14:textId="77777777" w:rsidR="00DB6E1F" w:rsidRDefault="00F666A6">
            <w:pPr>
              <w:pStyle w:val="TableParagraph"/>
              <w:spacing w:before="133"/>
              <w:ind w:left="7"/>
              <w:jc w:val="center"/>
              <w:rPr>
                <w:sz w:val="20"/>
              </w:rPr>
            </w:pPr>
            <w:r>
              <w:rPr>
                <w:w w:val="99"/>
                <w:sz w:val="20"/>
              </w:rPr>
              <w:t>1</w:t>
            </w:r>
          </w:p>
        </w:tc>
        <w:tc>
          <w:tcPr>
            <w:tcW w:w="811" w:type="dxa"/>
            <w:tcBorders>
              <w:bottom w:val="single" w:sz="6" w:space="0" w:color="000000"/>
            </w:tcBorders>
          </w:tcPr>
          <w:p w14:paraId="0DB026F9" w14:textId="77777777" w:rsidR="00DB6E1F" w:rsidRDefault="00F666A6">
            <w:pPr>
              <w:pStyle w:val="TableParagraph"/>
              <w:spacing w:before="133"/>
              <w:ind w:left="352"/>
              <w:rPr>
                <w:sz w:val="20"/>
              </w:rPr>
            </w:pPr>
            <w:r>
              <w:rPr>
                <w:w w:val="99"/>
                <w:sz w:val="20"/>
              </w:rPr>
              <w:t>2</w:t>
            </w:r>
          </w:p>
        </w:tc>
        <w:tc>
          <w:tcPr>
            <w:tcW w:w="989" w:type="dxa"/>
            <w:tcBorders>
              <w:bottom w:val="single" w:sz="6" w:space="0" w:color="000000"/>
            </w:tcBorders>
          </w:tcPr>
          <w:p w14:paraId="39D3D049" w14:textId="77777777" w:rsidR="00DB6E1F" w:rsidRDefault="00F666A6">
            <w:pPr>
              <w:pStyle w:val="TableParagraph"/>
              <w:spacing w:before="133"/>
              <w:ind w:left="441"/>
              <w:rPr>
                <w:sz w:val="20"/>
              </w:rPr>
            </w:pPr>
            <w:r>
              <w:rPr>
                <w:w w:val="99"/>
                <w:sz w:val="20"/>
              </w:rPr>
              <w:t>3</w:t>
            </w:r>
          </w:p>
        </w:tc>
        <w:tc>
          <w:tcPr>
            <w:tcW w:w="631" w:type="dxa"/>
            <w:tcBorders>
              <w:bottom w:val="single" w:sz="6" w:space="0" w:color="000000"/>
            </w:tcBorders>
          </w:tcPr>
          <w:p w14:paraId="0DEA5258" w14:textId="77777777" w:rsidR="00DB6E1F" w:rsidRDefault="00F666A6">
            <w:pPr>
              <w:pStyle w:val="TableParagraph"/>
              <w:spacing w:before="133"/>
              <w:ind w:left="11"/>
              <w:jc w:val="center"/>
              <w:rPr>
                <w:sz w:val="20"/>
              </w:rPr>
            </w:pPr>
            <w:r>
              <w:rPr>
                <w:w w:val="99"/>
                <w:sz w:val="20"/>
              </w:rPr>
              <w:t>4</w:t>
            </w:r>
          </w:p>
        </w:tc>
        <w:tc>
          <w:tcPr>
            <w:tcW w:w="816" w:type="dxa"/>
            <w:tcBorders>
              <w:bottom w:val="single" w:sz="6" w:space="0" w:color="000000"/>
            </w:tcBorders>
          </w:tcPr>
          <w:p w14:paraId="7165BAEE" w14:textId="77777777" w:rsidR="00DB6E1F" w:rsidRDefault="00F666A6">
            <w:pPr>
              <w:pStyle w:val="TableParagraph"/>
              <w:spacing w:before="133"/>
              <w:ind w:left="9"/>
              <w:jc w:val="center"/>
              <w:rPr>
                <w:sz w:val="20"/>
              </w:rPr>
            </w:pPr>
            <w:r>
              <w:rPr>
                <w:w w:val="99"/>
                <w:sz w:val="20"/>
              </w:rPr>
              <w:t>5</w:t>
            </w:r>
          </w:p>
        </w:tc>
      </w:tr>
      <w:tr w:rsidR="00DB6E1F" w14:paraId="23D0D4C3" w14:textId="77777777">
        <w:trPr>
          <w:trHeight w:val="527"/>
        </w:trPr>
        <w:tc>
          <w:tcPr>
            <w:tcW w:w="5304" w:type="dxa"/>
            <w:tcBorders>
              <w:top w:val="single" w:sz="6" w:space="0" w:color="000000"/>
            </w:tcBorders>
          </w:tcPr>
          <w:p w14:paraId="1B4759DA" w14:textId="77777777" w:rsidR="00DB6E1F" w:rsidRDefault="00F666A6">
            <w:pPr>
              <w:pStyle w:val="TableParagraph"/>
              <w:ind w:left="81"/>
              <w:rPr>
                <w:sz w:val="20"/>
              </w:rPr>
            </w:pPr>
            <w:r>
              <w:rPr>
                <w:color w:val="4D4D4F"/>
                <w:spacing w:val="-2"/>
                <w:sz w:val="20"/>
              </w:rPr>
              <w:t>4.</w:t>
            </w:r>
            <w:r>
              <w:rPr>
                <w:color w:val="4D4D4F"/>
                <w:spacing w:val="67"/>
                <w:w w:val="150"/>
                <w:sz w:val="20"/>
              </w:rPr>
              <w:t xml:space="preserve"> </w:t>
            </w:r>
            <w:r>
              <w:rPr>
                <w:spacing w:val="-2"/>
                <w:sz w:val="20"/>
              </w:rPr>
              <w:t>I</w:t>
            </w:r>
            <w:r>
              <w:rPr>
                <w:spacing w:val="-9"/>
                <w:sz w:val="20"/>
              </w:rPr>
              <w:t xml:space="preserve"> </w:t>
            </w:r>
            <w:r>
              <w:rPr>
                <w:spacing w:val="-2"/>
                <w:sz w:val="20"/>
              </w:rPr>
              <w:t>have</w:t>
            </w:r>
            <w:r>
              <w:rPr>
                <w:spacing w:val="-10"/>
                <w:sz w:val="20"/>
              </w:rPr>
              <w:t xml:space="preserve"> </w:t>
            </w:r>
            <w:r>
              <w:rPr>
                <w:spacing w:val="-2"/>
                <w:sz w:val="20"/>
              </w:rPr>
              <w:t>already</w:t>
            </w:r>
            <w:r>
              <w:rPr>
                <w:spacing w:val="-10"/>
                <w:sz w:val="20"/>
              </w:rPr>
              <w:t xml:space="preserve"> </w:t>
            </w:r>
            <w:r>
              <w:rPr>
                <w:spacing w:val="-2"/>
                <w:sz w:val="20"/>
              </w:rPr>
              <w:t>started</w:t>
            </w:r>
            <w:r>
              <w:rPr>
                <w:spacing w:val="-9"/>
                <w:sz w:val="20"/>
              </w:rPr>
              <w:t xml:space="preserve"> </w:t>
            </w:r>
            <w:r>
              <w:rPr>
                <w:spacing w:val="-2"/>
                <w:sz w:val="20"/>
              </w:rPr>
              <w:t>making</w:t>
            </w:r>
            <w:r>
              <w:rPr>
                <w:spacing w:val="-9"/>
                <w:sz w:val="20"/>
              </w:rPr>
              <w:t xml:space="preserve"> </w:t>
            </w:r>
            <w:r>
              <w:rPr>
                <w:spacing w:val="-2"/>
                <w:sz w:val="20"/>
              </w:rPr>
              <w:t>some</w:t>
            </w:r>
            <w:r>
              <w:rPr>
                <w:spacing w:val="-9"/>
                <w:sz w:val="20"/>
              </w:rPr>
              <w:t xml:space="preserve"> </w:t>
            </w:r>
            <w:r>
              <w:rPr>
                <w:spacing w:val="-2"/>
                <w:sz w:val="20"/>
              </w:rPr>
              <w:t>changes</w:t>
            </w:r>
            <w:r>
              <w:rPr>
                <w:spacing w:val="-11"/>
                <w:sz w:val="20"/>
              </w:rPr>
              <w:t xml:space="preserve"> </w:t>
            </w:r>
            <w:r>
              <w:rPr>
                <w:spacing w:val="-2"/>
                <w:sz w:val="20"/>
              </w:rPr>
              <w:t>in</w:t>
            </w:r>
            <w:r>
              <w:rPr>
                <w:spacing w:val="-10"/>
                <w:sz w:val="20"/>
              </w:rPr>
              <w:t xml:space="preserve"> </w:t>
            </w:r>
            <w:r>
              <w:rPr>
                <w:spacing w:val="-2"/>
                <w:sz w:val="20"/>
              </w:rPr>
              <w:t>my</w:t>
            </w:r>
            <w:r>
              <w:rPr>
                <w:spacing w:val="-9"/>
                <w:sz w:val="20"/>
              </w:rPr>
              <w:t xml:space="preserve"> </w:t>
            </w:r>
            <w:r>
              <w:rPr>
                <w:spacing w:val="-2"/>
                <w:sz w:val="20"/>
              </w:rPr>
              <w:t>use</w:t>
            </w:r>
            <w:r>
              <w:rPr>
                <w:spacing w:val="-9"/>
                <w:sz w:val="20"/>
              </w:rPr>
              <w:t xml:space="preserve"> </w:t>
            </w:r>
            <w:r>
              <w:rPr>
                <w:spacing w:val="-5"/>
                <w:sz w:val="20"/>
              </w:rPr>
              <w:t>of</w:t>
            </w:r>
          </w:p>
          <w:p w14:paraId="1B4ED312" w14:textId="77777777" w:rsidR="00DB6E1F" w:rsidRDefault="00F666A6">
            <w:pPr>
              <w:pStyle w:val="TableParagraph"/>
              <w:spacing w:before="20" w:line="242" w:lineRule="exact"/>
              <w:ind w:left="441"/>
              <w:rPr>
                <w:sz w:val="20"/>
              </w:rPr>
            </w:pPr>
            <w:r>
              <w:rPr>
                <w:spacing w:val="-2"/>
                <w:sz w:val="20"/>
              </w:rPr>
              <w:t>drugs.</w:t>
            </w:r>
          </w:p>
        </w:tc>
        <w:tc>
          <w:tcPr>
            <w:tcW w:w="809" w:type="dxa"/>
            <w:tcBorders>
              <w:top w:val="single" w:sz="6" w:space="0" w:color="000000"/>
            </w:tcBorders>
          </w:tcPr>
          <w:p w14:paraId="3A0408F8" w14:textId="77777777" w:rsidR="00DB6E1F" w:rsidRDefault="00F666A6">
            <w:pPr>
              <w:pStyle w:val="TableParagraph"/>
              <w:spacing w:before="133"/>
              <w:ind w:left="7"/>
              <w:jc w:val="center"/>
              <w:rPr>
                <w:sz w:val="20"/>
              </w:rPr>
            </w:pPr>
            <w:r>
              <w:rPr>
                <w:w w:val="99"/>
                <w:sz w:val="20"/>
              </w:rPr>
              <w:t>1</w:t>
            </w:r>
          </w:p>
        </w:tc>
        <w:tc>
          <w:tcPr>
            <w:tcW w:w="811" w:type="dxa"/>
            <w:tcBorders>
              <w:top w:val="single" w:sz="6" w:space="0" w:color="000000"/>
            </w:tcBorders>
          </w:tcPr>
          <w:p w14:paraId="47D8EB1C" w14:textId="77777777" w:rsidR="00DB6E1F" w:rsidRDefault="00F666A6">
            <w:pPr>
              <w:pStyle w:val="TableParagraph"/>
              <w:spacing w:before="133"/>
              <w:ind w:left="352"/>
              <w:rPr>
                <w:sz w:val="20"/>
              </w:rPr>
            </w:pPr>
            <w:r>
              <w:rPr>
                <w:w w:val="99"/>
                <w:sz w:val="20"/>
              </w:rPr>
              <w:t>2</w:t>
            </w:r>
          </w:p>
        </w:tc>
        <w:tc>
          <w:tcPr>
            <w:tcW w:w="989" w:type="dxa"/>
            <w:tcBorders>
              <w:top w:val="single" w:sz="6" w:space="0" w:color="000000"/>
            </w:tcBorders>
          </w:tcPr>
          <w:p w14:paraId="67C062EB" w14:textId="77777777" w:rsidR="00DB6E1F" w:rsidRDefault="00F666A6">
            <w:pPr>
              <w:pStyle w:val="TableParagraph"/>
              <w:spacing w:before="133"/>
              <w:ind w:left="441"/>
              <w:rPr>
                <w:sz w:val="20"/>
              </w:rPr>
            </w:pPr>
            <w:r>
              <w:rPr>
                <w:w w:val="99"/>
                <w:sz w:val="20"/>
              </w:rPr>
              <w:t>3</w:t>
            </w:r>
          </w:p>
        </w:tc>
        <w:tc>
          <w:tcPr>
            <w:tcW w:w="631" w:type="dxa"/>
            <w:tcBorders>
              <w:top w:val="single" w:sz="6" w:space="0" w:color="000000"/>
            </w:tcBorders>
          </w:tcPr>
          <w:p w14:paraId="5A9FB1BA" w14:textId="77777777" w:rsidR="00DB6E1F" w:rsidRDefault="00F666A6">
            <w:pPr>
              <w:pStyle w:val="TableParagraph"/>
              <w:spacing w:before="133"/>
              <w:ind w:left="11"/>
              <w:jc w:val="center"/>
              <w:rPr>
                <w:sz w:val="20"/>
              </w:rPr>
            </w:pPr>
            <w:r>
              <w:rPr>
                <w:w w:val="99"/>
                <w:sz w:val="20"/>
              </w:rPr>
              <w:t>4</w:t>
            </w:r>
          </w:p>
        </w:tc>
        <w:tc>
          <w:tcPr>
            <w:tcW w:w="816" w:type="dxa"/>
            <w:tcBorders>
              <w:top w:val="single" w:sz="6" w:space="0" w:color="000000"/>
            </w:tcBorders>
          </w:tcPr>
          <w:p w14:paraId="3B721D0A" w14:textId="77777777" w:rsidR="00DB6E1F" w:rsidRDefault="00F666A6">
            <w:pPr>
              <w:pStyle w:val="TableParagraph"/>
              <w:spacing w:before="133"/>
              <w:ind w:left="9"/>
              <w:jc w:val="center"/>
              <w:rPr>
                <w:sz w:val="20"/>
              </w:rPr>
            </w:pPr>
            <w:r>
              <w:rPr>
                <w:w w:val="99"/>
                <w:sz w:val="20"/>
              </w:rPr>
              <w:t>5</w:t>
            </w:r>
          </w:p>
        </w:tc>
      </w:tr>
      <w:tr w:rsidR="00DB6E1F" w14:paraId="2C280599" w14:textId="77777777">
        <w:trPr>
          <w:trHeight w:val="525"/>
        </w:trPr>
        <w:tc>
          <w:tcPr>
            <w:tcW w:w="5304" w:type="dxa"/>
          </w:tcPr>
          <w:p w14:paraId="1D7F054C" w14:textId="77777777" w:rsidR="00DB6E1F" w:rsidRDefault="00F666A6">
            <w:pPr>
              <w:pStyle w:val="TableParagraph"/>
              <w:ind w:left="81"/>
              <w:rPr>
                <w:sz w:val="20"/>
              </w:rPr>
            </w:pPr>
            <w:r>
              <w:rPr>
                <w:color w:val="4D4D4F"/>
                <w:sz w:val="20"/>
              </w:rPr>
              <w:t>5.</w:t>
            </w:r>
            <w:r>
              <w:rPr>
                <w:color w:val="4D4D4F"/>
                <w:spacing w:val="42"/>
                <w:sz w:val="20"/>
              </w:rPr>
              <w:t xml:space="preserve">  </w:t>
            </w:r>
            <w:r>
              <w:rPr>
                <w:sz w:val="20"/>
              </w:rPr>
              <w:t>I was</w:t>
            </w:r>
            <w:r>
              <w:rPr>
                <w:spacing w:val="-3"/>
                <w:sz w:val="20"/>
              </w:rPr>
              <w:t xml:space="preserve"> </w:t>
            </w:r>
            <w:r>
              <w:rPr>
                <w:sz w:val="20"/>
              </w:rPr>
              <w:t>using</w:t>
            </w:r>
            <w:r>
              <w:rPr>
                <w:spacing w:val="-1"/>
                <w:sz w:val="20"/>
              </w:rPr>
              <w:t xml:space="preserve"> </w:t>
            </w:r>
            <w:r>
              <w:rPr>
                <w:sz w:val="20"/>
              </w:rPr>
              <w:t>drugs</w:t>
            </w:r>
            <w:r>
              <w:rPr>
                <w:spacing w:val="-2"/>
                <w:sz w:val="20"/>
              </w:rPr>
              <w:t xml:space="preserve"> </w:t>
            </w:r>
            <w:r>
              <w:rPr>
                <w:sz w:val="20"/>
              </w:rPr>
              <w:t>too</w:t>
            </w:r>
            <w:r>
              <w:rPr>
                <w:spacing w:val="-1"/>
                <w:sz w:val="20"/>
              </w:rPr>
              <w:t xml:space="preserve"> </w:t>
            </w:r>
            <w:r>
              <w:rPr>
                <w:sz w:val="20"/>
              </w:rPr>
              <w:t>much</w:t>
            </w:r>
            <w:r>
              <w:rPr>
                <w:spacing w:val="-1"/>
                <w:sz w:val="20"/>
              </w:rPr>
              <w:t xml:space="preserve"> </w:t>
            </w:r>
            <w:r>
              <w:rPr>
                <w:sz w:val="20"/>
              </w:rPr>
              <w:t>at</w:t>
            </w:r>
            <w:r>
              <w:rPr>
                <w:spacing w:val="-1"/>
                <w:sz w:val="20"/>
              </w:rPr>
              <w:t xml:space="preserve"> </w:t>
            </w:r>
            <w:r>
              <w:rPr>
                <w:sz w:val="20"/>
              </w:rPr>
              <w:t>one</w:t>
            </w:r>
            <w:r>
              <w:rPr>
                <w:spacing w:val="-2"/>
                <w:sz w:val="20"/>
              </w:rPr>
              <w:t xml:space="preserve"> </w:t>
            </w:r>
            <w:r>
              <w:rPr>
                <w:sz w:val="20"/>
              </w:rPr>
              <w:t>time, but</w:t>
            </w:r>
            <w:r>
              <w:rPr>
                <w:spacing w:val="-1"/>
                <w:sz w:val="20"/>
              </w:rPr>
              <w:t xml:space="preserve"> </w:t>
            </w:r>
            <w:r>
              <w:rPr>
                <w:sz w:val="20"/>
              </w:rPr>
              <w:t>I’ve</w:t>
            </w:r>
            <w:r>
              <w:rPr>
                <w:spacing w:val="-3"/>
                <w:sz w:val="20"/>
              </w:rPr>
              <w:t xml:space="preserve"> </w:t>
            </w:r>
            <w:r>
              <w:rPr>
                <w:spacing w:val="-2"/>
                <w:sz w:val="20"/>
              </w:rPr>
              <w:t>managed</w:t>
            </w:r>
          </w:p>
          <w:p w14:paraId="2CFB00E3" w14:textId="77777777" w:rsidR="00DB6E1F" w:rsidRDefault="00F666A6">
            <w:pPr>
              <w:pStyle w:val="TableParagraph"/>
              <w:spacing w:before="20" w:line="240" w:lineRule="exact"/>
              <w:ind w:left="441"/>
              <w:rPr>
                <w:sz w:val="20"/>
              </w:rPr>
            </w:pPr>
            <w:r>
              <w:rPr>
                <w:sz w:val="20"/>
              </w:rPr>
              <w:t>to</w:t>
            </w:r>
            <w:r>
              <w:rPr>
                <w:spacing w:val="-4"/>
                <w:sz w:val="20"/>
              </w:rPr>
              <w:t xml:space="preserve"> </w:t>
            </w:r>
            <w:r>
              <w:rPr>
                <w:sz w:val="20"/>
              </w:rPr>
              <w:t>change</w:t>
            </w:r>
            <w:r>
              <w:rPr>
                <w:spacing w:val="-6"/>
                <w:sz w:val="20"/>
              </w:rPr>
              <w:t xml:space="preserve"> </w:t>
            </w:r>
            <w:r>
              <w:rPr>
                <w:spacing w:val="-2"/>
                <w:sz w:val="20"/>
              </w:rPr>
              <w:t>that.</w:t>
            </w:r>
          </w:p>
        </w:tc>
        <w:tc>
          <w:tcPr>
            <w:tcW w:w="809" w:type="dxa"/>
          </w:tcPr>
          <w:p w14:paraId="345DDADC" w14:textId="77777777" w:rsidR="00DB6E1F" w:rsidRDefault="00F666A6">
            <w:pPr>
              <w:pStyle w:val="TableParagraph"/>
              <w:spacing w:before="133"/>
              <w:ind w:left="7"/>
              <w:jc w:val="center"/>
              <w:rPr>
                <w:sz w:val="20"/>
              </w:rPr>
            </w:pPr>
            <w:r>
              <w:rPr>
                <w:w w:val="99"/>
                <w:sz w:val="20"/>
              </w:rPr>
              <w:t>1</w:t>
            </w:r>
          </w:p>
        </w:tc>
        <w:tc>
          <w:tcPr>
            <w:tcW w:w="811" w:type="dxa"/>
          </w:tcPr>
          <w:p w14:paraId="0FA1EDF6" w14:textId="77777777" w:rsidR="00DB6E1F" w:rsidRDefault="00F666A6">
            <w:pPr>
              <w:pStyle w:val="TableParagraph"/>
              <w:spacing w:before="133"/>
              <w:ind w:left="352"/>
              <w:rPr>
                <w:sz w:val="20"/>
              </w:rPr>
            </w:pPr>
            <w:r>
              <w:rPr>
                <w:w w:val="99"/>
                <w:sz w:val="20"/>
              </w:rPr>
              <w:t>2</w:t>
            </w:r>
          </w:p>
        </w:tc>
        <w:tc>
          <w:tcPr>
            <w:tcW w:w="989" w:type="dxa"/>
          </w:tcPr>
          <w:p w14:paraId="5232A725" w14:textId="77777777" w:rsidR="00DB6E1F" w:rsidRDefault="00F666A6">
            <w:pPr>
              <w:pStyle w:val="TableParagraph"/>
              <w:spacing w:before="133"/>
              <w:ind w:left="441"/>
              <w:rPr>
                <w:sz w:val="20"/>
              </w:rPr>
            </w:pPr>
            <w:r>
              <w:rPr>
                <w:w w:val="99"/>
                <w:sz w:val="20"/>
              </w:rPr>
              <w:t>3</w:t>
            </w:r>
          </w:p>
        </w:tc>
        <w:tc>
          <w:tcPr>
            <w:tcW w:w="631" w:type="dxa"/>
          </w:tcPr>
          <w:p w14:paraId="7C4319CB" w14:textId="77777777" w:rsidR="00DB6E1F" w:rsidRDefault="00F666A6">
            <w:pPr>
              <w:pStyle w:val="TableParagraph"/>
              <w:spacing w:before="133"/>
              <w:ind w:left="11"/>
              <w:jc w:val="center"/>
              <w:rPr>
                <w:sz w:val="20"/>
              </w:rPr>
            </w:pPr>
            <w:r>
              <w:rPr>
                <w:w w:val="99"/>
                <w:sz w:val="20"/>
              </w:rPr>
              <w:t>4</w:t>
            </w:r>
          </w:p>
        </w:tc>
        <w:tc>
          <w:tcPr>
            <w:tcW w:w="816" w:type="dxa"/>
          </w:tcPr>
          <w:p w14:paraId="35417B68" w14:textId="77777777" w:rsidR="00DB6E1F" w:rsidRDefault="00F666A6">
            <w:pPr>
              <w:pStyle w:val="TableParagraph"/>
              <w:spacing w:before="133"/>
              <w:ind w:left="9"/>
              <w:jc w:val="center"/>
              <w:rPr>
                <w:sz w:val="20"/>
              </w:rPr>
            </w:pPr>
            <w:r>
              <w:rPr>
                <w:w w:val="99"/>
                <w:sz w:val="20"/>
              </w:rPr>
              <w:t>5</w:t>
            </w:r>
          </w:p>
        </w:tc>
      </w:tr>
      <w:tr w:rsidR="00DB6E1F" w14:paraId="21008F06" w14:textId="77777777">
        <w:trPr>
          <w:trHeight w:val="263"/>
        </w:trPr>
        <w:tc>
          <w:tcPr>
            <w:tcW w:w="5304" w:type="dxa"/>
          </w:tcPr>
          <w:p w14:paraId="166B76A2" w14:textId="77777777" w:rsidR="00DB6E1F" w:rsidRDefault="00F666A6">
            <w:pPr>
              <w:pStyle w:val="TableParagraph"/>
              <w:spacing w:before="3" w:line="240" w:lineRule="exact"/>
              <w:ind w:left="81"/>
              <w:rPr>
                <w:sz w:val="20"/>
              </w:rPr>
            </w:pPr>
            <w:r>
              <w:rPr>
                <w:color w:val="4D4D4F"/>
                <w:spacing w:val="-2"/>
                <w:sz w:val="20"/>
              </w:rPr>
              <w:t>6.</w:t>
            </w:r>
            <w:r>
              <w:rPr>
                <w:color w:val="4D4D4F"/>
                <w:spacing w:val="71"/>
                <w:w w:val="150"/>
                <w:sz w:val="20"/>
              </w:rPr>
              <w:t xml:space="preserve"> </w:t>
            </w:r>
            <w:r>
              <w:rPr>
                <w:spacing w:val="-2"/>
                <w:sz w:val="20"/>
              </w:rPr>
              <w:t>Sometimes</w:t>
            </w:r>
            <w:r>
              <w:rPr>
                <w:spacing w:val="-11"/>
                <w:sz w:val="20"/>
              </w:rPr>
              <w:t xml:space="preserve"> </w:t>
            </w:r>
            <w:r>
              <w:rPr>
                <w:spacing w:val="-2"/>
                <w:sz w:val="20"/>
              </w:rPr>
              <w:t>I</w:t>
            </w:r>
            <w:r>
              <w:rPr>
                <w:spacing w:val="-9"/>
                <w:sz w:val="20"/>
              </w:rPr>
              <w:t xml:space="preserve"> </w:t>
            </w:r>
            <w:r>
              <w:rPr>
                <w:spacing w:val="-2"/>
                <w:sz w:val="20"/>
              </w:rPr>
              <w:t>wonder</w:t>
            </w:r>
            <w:r>
              <w:rPr>
                <w:spacing w:val="-9"/>
                <w:sz w:val="20"/>
              </w:rPr>
              <w:t xml:space="preserve"> </w:t>
            </w:r>
            <w:r>
              <w:rPr>
                <w:spacing w:val="-2"/>
                <w:sz w:val="20"/>
              </w:rPr>
              <w:t>if</w:t>
            </w:r>
            <w:r>
              <w:rPr>
                <w:spacing w:val="-10"/>
                <w:sz w:val="20"/>
              </w:rPr>
              <w:t xml:space="preserve"> </w:t>
            </w:r>
            <w:r>
              <w:rPr>
                <w:spacing w:val="-2"/>
                <w:sz w:val="20"/>
              </w:rPr>
              <w:t>my</w:t>
            </w:r>
            <w:r>
              <w:rPr>
                <w:spacing w:val="-9"/>
                <w:sz w:val="20"/>
              </w:rPr>
              <w:t xml:space="preserve"> </w:t>
            </w:r>
            <w:r>
              <w:rPr>
                <w:spacing w:val="-2"/>
                <w:sz w:val="20"/>
              </w:rPr>
              <w:t>drug</w:t>
            </w:r>
            <w:r>
              <w:rPr>
                <w:spacing w:val="-9"/>
                <w:sz w:val="20"/>
              </w:rPr>
              <w:t xml:space="preserve"> </w:t>
            </w:r>
            <w:r>
              <w:rPr>
                <w:spacing w:val="-2"/>
                <w:sz w:val="20"/>
              </w:rPr>
              <w:t>use</w:t>
            </w:r>
            <w:r>
              <w:rPr>
                <w:spacing w:val="-10"/>
                <w:sz w:val="20"/>
              </w:rPr>
              <w:t xml:space="preserve"> </w:t>
            </w:r>
            <w:r>
              <w:rPr>
                <w:spacing w:val="-2"/>
                <w:sz w:val="20"/>
              </w:rPr>
              <w:t>is</w:t>
            </w:r>
            <w:r>
              <w:rPr>
                <w:spacing w:val="-11"/>
                <w:sz w:val="20"/>
              </w:rPr>
              <w:t xml:space="preserve"> </w:t>
            </w:r>
            <w:r>
              <w:rPr>
                <w:spacing w:val="-2"/>
                <w:sz w:val="20"/>
              </w:rPr>
              <w:t>hurting</w:t>
            </w:r>
            <w:r>
              <w:rPr>
                <w:spacing w:val="-10"/>
                <w:sz w:val="20"/>
              </w:rPr>
              <w:t xml:space="preserve"> </w:t>
            </w:r>
            <w:r>
              <w:rPr>
                <w:spacing w:val="-2"/>
                <w:sz w:val="20"/>
              </w:rPr>
              <w:t>other</w:t>
            </w:r>
            <w:r>
              <w:rPr>
                <w:spacing w:val="-9"/>
                <w:sz w:val="20"/>
              </w:rPr>
              <w:t xml:space="preserve"> </w:t>
            </w:r>
            <w:r>
              <w:rPr>
                <w:spacing w:val="-2"/>
                <w:sz w:val="20"/>
              </w:rPr>
              <w:t>people.</w:t>
            </w:r>
          </w:p>
        </w:tc>
        <w:tc>
          <w:tcPr>
            <w:tcW w:w="809" w:type="dxa"/>
          </w:tcPr>
          <w:p w14:paraId="33B2D33C" w14:textId="77777777" w:rsidR="00DB6E1F" w:rsidRDefault="00F666A6">
            <w:pPr>
              <w:pStyle w:val="TableParagraph"/>
              <w:spacing w:before="3" w:line="240" w:lineRule="exact"/>
              <w:ind w:left="7"/>
              <w:jc w:val="center"/>
              <w:rPr>
                <w:sz w:val="20"/>
              </w:rPr>
            </w:pPr>
            <w:r>
              <w:rPr>
                <w:w w:val="99"/>
                <w:sz w:val="20"/>
              </w:rPr>
              <w:t>1</w:t>
            </w:r>
          </w:p>
        </w:tc>
        <w:tc>
          <w:tcPr>
            <w:tcW w:w="811" w:type="dxa"/>
          </w:tcPr>
          <w:p w14:paraId="6E5E68FB" w14:textId="77777777" w:rsidR="00DB6E1F" w:rsidRDefault="00F666A6">
            <w:pPr>
              <w:pStyle w:val="TableParagraph"/>
              <w:spacing w:before="3" w:line="240" w:lineRule="exact"/>
              <w:ind w:left="352"/>
              <w:rPr>
                <w:sz w:val="20"/>
              </w:rPr>
            </w:pPr>
            <w:r>
              <w:rPr>
                <w:w w:val="99"/>
                <w:sz w:val="20"/>
              </w:rPr>
              <w:t>2</w:t>
            </w:r>
          </w:p>
        </w:tc>
        <w:tc>
          <w:tcPr>
            <w:tcW w:w="989" w:type="dxa"/>
          </w:tcPr>
          <w:p w14:paraId="36EE4A43" w14:textId="77777777" w:rsidR="00DB6E1F" w:rsidRDefault="00F666A6">
            <w:pPr>
              <w:pStyle w:val="TableParagraph"/>
              <w:spacing w:before="3" w:line="240" w:lineRule="exact"/>
              <w:ind w:left="441"/>
              <w:rPr>
                <w:sz w:val="20"/>
              </w:rPr>
            </w:pPr>
            <w:r>
              <w:rPr>
                <w:w w:val="99"/>
                <w:sz w:val="20"/>
              </w:rPr>
              <w:t>3</w:t>
            </w:r>
          </w:p>
        </w:tc>
        <w:tc>
          <w:tcPr>
            <w:tcW w:w="631" w:type="dxa"/>
          </w:tcPr>
          <w:p w14:paraId="6EA3C786" w14:textId="77777777" w:rsidR="00DB6E1F" w:rsidRDefault="00F666A6">
            <w:pPr>
              <w:pStyle w:val="TableParagraph"/>
              <w:spacing w:before="3" w:line="240" w:lineRule="exact"/>
              <w:ind w:left="11"/>
              <w:jc w:val="center"/>
              <w:rPr>
                <w:sz w:val="20"/>
              </w:rPr>
            </w:pPr>
            <w:r>
              <w:rPr>
                <w:w w:val="99"/>
                <w:sz w:val="20"/>
              </w:rPr>
              <w:t>4</w:t>
            </w:r>
          </w:p>
        </w:tc>
        <w:tc>
          <w:tcPr>
            <w:tcW w:w="816" w:type="dxa"/>
          </w:tcPr>
          <w:p w14:paraId="1C2A620F" w14:textId="77777777" w:rsidR="00DB6E1F" w:rsidRDefault="00F666A6">
            <w:pPr>
              <w:pStyle w:val="TableParagraph"/>
              <w:spacing w:before="3" w:line="240" w:lineRule="exact"/>
              <w:ind w:left="9"/>
              <w:jc w:val="center"/>
              <w:rPr>
                <w:sz w:val="20"/>
              </w:rPr>
            </w:pPr>
            <w:r>
              <w:rPr>
                <w:w w:val="99"/>
                <w:sz w:val="20"/>
              </w:rPr>
              <w:t>5</w:t>
            </w:r>
          </w:p>
        </w:tc>
      </w:tr>
      <w:tr w:rsidR="00DB6E1F" w14:paraId="5BAFC9B1" w14:textId="77777777">
        <w:trPr>
          <w:trHeight w:val="263"/>
        </w:trPr>
        <w:tc>
          <w:tcPr>
            <w:tcW w:w="5304" w:type="dxa"/>
          </w:tcPr>
          <w:p w14:paraId="2D7BAE26" w14:textId="77777777" w:rsidR="00DB6E1F" w:rsidRDefault="00F666A6">
            <w:pPr>
              <w:pStyle w:val="TableParagraph"/>
              <w:spacing w:before="3" w:line="240" w:lineRule="exact"/>
              <w:ind w:left="81"/>
              <w:rPr>
                <w:sz w:val="20"/>
              </w:rPr>
            </w:pPr>
            <w:r>
              <w:rPr>
                <w:color w:val="4D4D4F"/>
                <w:sz w:val="20"/>
              </w:rPr>
              <w:t>7.</w:t>
            </w:r>
            <w:r>
              <w:rPr>
                <w:color w:val="4D4D4F"/>
                <w:spacing w:val="48"/>
                <w:sz w:val="20"/>
              </w:rPr>
              <w:t xml:space="preserve">  </w:t>
            </w:r>
            <w:r>
              <w:rPr>
                <w:sz w:val="20"/>
              </w:rPr>
              <w:t>I</w:t>
            </w:r>
            <w:r>
              <w:rPr>
                <w:spacing w:val="2"/>
                <w:sz w:val="20"/>
              </w:rPr>
              <w:t xml:space="preserve"> </w:t>
            </w:r>
            <w:r>
              <w:rPr>
                <w:sz w:val="20"/>
              </w:rPr>
              <w:t>have</w:t>
            </w:r>
            <w:r>
              <w:rPr>
                <w:spacing w:val="1"/>
                <w:sz w:val="20"/>
              </w:rPr>
              <w:t xml:space="preserve"> </w:t>
            </w:r>
            <w:r>
              <w:rPr>
                <w:sz w:val="20"/>
              </w:rPr>
              <w:t>a</w:t>
            </w:r>
            <w:r>
              <w:rPr>
                <w:spacing w:val="3"/>
                <w:sz w:val="20"/>
              </w:rPr>
              <w:t xml:space="preserve"> </w:t>
            </w:r>
            <w:r>
              <w:rPr>
                <w:sz w:val="20"/>
              </w:rPr>
              <w:t>drug</w:t>
            </w:r>
            <w:r>
              <w:rPr>
                <w:spacing w:val="2"/>
                <w:sz w:val="20"/>
              </w:rPr>
              <w:t xml:space="preserve"> </w:t>
            </w:r>
            <w:r>
              <w:rPr>
                <w:spacing w:val="-2"/>
                <w:sz w:val="20"/>
              </w:rPr>
              <w:t>problem.</w:t>
            </w:r>
          </w:p>
        </w:tc>
        <w:tc>
          <w:tcPr>
            <w:tcW w:w="809" w:type="dxa"/>
          </w:tcPr>
          <w:p w14:paraId="7CD4C0E4" w14:textId="77777777" w:rsidR="00DB6E1F" w:rsidRDefault="00F666A6">
            <w:pPr>
              <w:pStyle w:val="TableParagraph"/>
              <w:spacing w:before="3" w:line="240" w:lineRule="exact"/>
              <w:ind w:left="7"/>
              <w:jc w:val="center"/>
              <w:rPr>
                <w:sz w:val="20"/>
              </w:rPr>
            </w:pPr>
            <w:r>
              <w:rPr>
                <w:w w:val="99"/>
                <w:sz w:val="20"/>
              </w:rPr>
              <w:t>1</w:t>
            </w:r>
          </w:p>
        </w:tc>
        <w:tc>
          <w:tcPr>
            <w:tcW w:w="811" w:type="dxa"/>
          </w:tcPr>
          <w:p w14:paraId="08F8E9E9" w14:textId="77777777" w:rsidR="00DB6E1F" w:rsidRDefault="00F666A6">
            <w:pPr>
              <w:pStyle w:val="TableParagraph"/>
              <w:spacing w:before="3" w:line="240" w:lineRule="exact"/>
              <w:ind w:left="352"/>
              <w:rPr>
                <w:sz w:val="20"/>
              </w:rPr>
            </w:pPr>
            <w:r>
              <w:rPr>
                <w:w w:val="99"/>
                <w:sz w:val="20"/>
              </w:rPr>
              <w:t>2</w:t>
            </w:r>
          </w:p>
        </w:tc>
        <w:tc>
          <w:tcPr>
            <w:tcW w:w="989" w:type="dxa"/>
          </w:tcPr>
          <w:p w14:paraId="50324584" w14:textId="77777777" w:rsidR="00DB6E1F" w:rsidRDefault="00F666A6">
            <w:pPr>
              <w:pStyle w:val="TableParagraph"/>
              <w:spacing w:before="3" w:line="240" w:lineRule="exact"/>
              <w:ind w:left="441"/>
              <w:rPr>
                <w:sz w:val="20"/>
              </w:rPr>
            </w:pPr>
            <w:r>
              <w:rPr>
                <w:w w:val="99"/>
                <w:sz w:val="20"/>
              </w:rPr>
              <w:t>3</w:t>
            </w:r>
          </w:p>
        </w:tc>
        <w:tc>
          <w:tcPr>
            <w:tcW w:w="631" w:type="dxa"/>
          </w:tcPr>
          <w:p w14:paraId="33A1C9CC" w14:textId="77777777" w:rsidR="00DB6E1F" w:rsidRDefault="00F666A6">
            <w:pPr>
              <w:pStyle w:val="TableParagraph"/>
              <w:spacing w:before="3" w:line="240" w:lineRule="exact"/>
              <w:ind w:left="11"/>
              <w:jc w:val="center"/>
              <w:rPr>
                <w:sz w:val="20"/>
              </w:rPr>
            </w:pPr>
            <w:r>
              <w:rPr>
                <w:w w:val="99"/>
                <w:sz w:val="20"/>
              </w:rPr>
              <w:t>4</w:t>
            </w:r>
          </w:p>
        </w:tc>
        <w:tc>
          <w:tcPr>
            <w:tcW w:w="816" w:type="dxa"/>
          </w:tcPr>
          <w:p w14:paraId="60C75FB7" w14:textId="77777777" w:rsidR="00DB6E1F" w:rsidRDefault="00F666A6">
            <w:pPr>
              <w:pStyle w:val="TableParagraph"/>
              <w:spacing w:before="3" w:line="240" w:lineRule="exact"/>
              <w:ind w:left="9"/>
              <w:jc w:val="center"/>
              <w:rPr>
                <w:sz w:val="20"/>
              </w:rPr>
            </w:pPr>
            <w:r>
              <w:rPr>
                <w:w w:val="99"/>
                <w:sz w:val="20"/>
              </w:rPr>
              <w:t>5</w:t>
            </w:r>
          </w:p>
        </w:tc>
      </w:tr>
      <w:tr w:rsidR="00DB6E1F" w14:paraId="41AD3423" w14:textId="77777777">
        <w:trPr>
          <w:trHeight w:val="527"/>
        </w:trPr>
        <w:tc>
          <w:tcPr>
            <w:tcW w:w="5304" w:type="dxa"/>
          </w:tcPr>
          <w:p w14:paraId="01D97FD2" w14:textId="77777777" w:rsidR="00DB6E1F" w:rsidRDefault="00F666A6">
            <w:pPr>
              <w:pStyle w:val="TableParagraph"/>
              <w:spacing w:before="3"/>
              <w:ind w:left="81"/>
              <w:rPr>
                <w:sz w:val="20"/>
              </w:rPr>
            </w:pPr>
            <w:r>
              <w:rPr>
                <w:color w:val="4D4D4F"/>
                <w:sz w:val="20"/>
              </w:rPr>
              <w:t>8.</w:t>
            </w:r>
            <w:r>
              <w:rPr>
                <w:color w:val="4D4D4F"/>
                <w:spacing w:val="41"/>
                <w:sz w:val="20"/>
              </w:rPr>
              <w:t xml:space="preserve">  </w:t>
            </w:r>
            <w:r>
              <w:rPr>
                <w:sz w:val="20"/>
              </w:rPr>
              <w:t>I’m</w:t>
            </w:r>
            <w:r>
              <w:rPr>
                <w:spacing w:val="-3"/>
                <w:sz w:val="20"/>
              </w:rPr>
              <w:t xml:space="preserve"> </w:t>
            </w:r>
            <w:r>
              <w:rPr>
                <w:sz w:val="20"/>
              </w:rPr>
              <w:t>not</w:t>
            </w:r>
            <w:r>
              <w:rPr>
                <w:spacing w:val="-1"/>
                <w:sz w:val="20"/>
              </w:rPr>
              <w:t xml:space="preserve"> </w:t>
            </w:r>
            <w:r>
              <w:rPr>
                <w:sz w:val="20"/>
              </w:rPr>
              <w:t>just</w:t>
            </w:r>
            <w:r>
              <w:rPr>
                <w:spacing w:val="-2"/>
                <w:sz w:val="20"/>
              </w:rPr>
              <w:t xml:space="preserve"> </w:t>
            </w:r>
            <w:r>
              <w:rPr>
                <w:sz w:val="20"/>
              </w:rPr>
              <w:t>thinking</w:t>
            </w:r>
            <w:r>
              <w:rPr>
                <w:spacing w:val="-2"/>
                <w:sz w:val="20"/>
              </w:rPr>
              <w:t xml:space="preserve"> </w:t>
            </w:r>
            <w:r>
              <w:rPr>
                <w:sz w:val="20"/>
              </w:rPr>
              <w:t>about</w:t>
            </w:r>
            <w:r>
              <w:rPr>
                <w:spacing w:val="-4"/>
                <w:sz w:val="20"/>
              </w:rPr>
              <w:t xml:space="preserve"> </w:t>
            </w:r>
            <w:r>
              <w:rPr>
                <w:sz w:val="20"/>
              </w:rPr>
              <w:t>changing</w:t>
            </w:r>
            <w:r>
              <w:rPr>
                <w:spacing w:val="-2"/>
                <w:sz w:val="20"/>
              </w:rPr>
              <w:t xml:space="preserve"> </w:t>
            </w:r>
            <w:r>
              <w:rPr>
                <w:sz w:val="20"/>
              </w:rPr>
              <w:t>my</w:t>
            </w:r>
            <w:r>
              <w:rPr>
                <w:spacing w:val="-1"/>
                <w:sz w:val="20"/>
              </w:rPr>
              <w:t xml:space="preserve"> </w:t>
            </w:r>
            <w:r>
              <w:rPr>
                <w:sz w:val="20"/>
              </w:rPr>
              <w:t>drug</w:t>
            </w:r>
            <w:r>
              <w:rPr>
                <w:spacing w:val="-2"/>
                <w:sz w:val="20"/>
              </w:rPr>
              <w:t xml:space="preserve"> </w:t>
            </w:r>
            <w:r>
              <w:rPr>
                <w:sz w:val="20"/>
              </w:rPr>
              <w:t>use,</w:t>
            </w:r>
            <w:r>
              <w:rPr>
                <w:spacing w:val="-1"/>
                <w:sz w:val="20"/>
              </w:rPr>
              <w:t xml:space="preserve"> </w:t>
            </w:r>
            <w:r>
              <w:rPr>
                <w:spacing w:val="-5"/>
                <w:sz w:val="20"/>
              </w:rPr>
              <w:t>I’m</w:t>
            </w:r>
          </w:p>
          <w:p w14:paraId="100939B7" w14:textId="77777777" w:rsidR="00DB6E1F" w:rsidRDefault="00F666A6">
            <w:pPr>
              <w:pStyle w:val="TableParagraph"/>
              <w:spacing w:before="20" w:line="240" w:lineRule="exact"/>
              <w:ind w:left="441"/>
              <w:rPr>
                <w:sz w:val="20"/>
              </w:rPr>
            </w:pPr>
            <w:r>
              <w:rPr>
                <w:sz w:val="20"/>
              </w:rPr>
              <w:t>already</w:t>
            </w:r>
            <w:r>
              <w:rPr>
                <w:spacing w:val="-8"/>
                <w:sz w:val="20"/>
              </w:rPr>
              <w:t xml:space="preserve"> </w:t>
            </w:r>
            <w:r>
              <w:rPr>
                <w:sz w:val="20"/>
              </w:rPr>
              <w:t>doing</w:t>
            </w:r>
            <w:r>
              <w:rPr>
                <w:spacing w:val="-8"/>
                <w:sz w:val="20"/>
              </w:rPr>
              <w:t xml:space="preserve"> </w:t>
            </w:r>
            <w:r>
              <w:rPr>
                <w:sz w:val="20"/>
              </w:rPr>
              <w:t>something</w:t>
            </w:r>
            <w:r>
              <w:rPr>
                <w:spacing w:val="-8"/>
                <w:sz w:val="20"/>
              </w:rPr>
              <w:t xml:space="preserve"> </w:t>
            </w:r>
            <w:r>
              <w:rPr>
                <w:sz w:val="20"/>
              </w:rPr>
              <w:t>about</w:t>
            </w:r>
            <w:r>
              <w:rPr>
                <w:spacing w:val="-7"/>
                <w:sz w:val="20"/>
              </w:rPr>
              <w:t xml:space="preserve"> </w:t>
            </w:r>
            <w:r>
              <w:rPr>
                <w:spacing w:val="-5"/>
                <w:sz w:val="20"/>
              </w:rPr>
              <w:t>it.</w:t>
            </w:r>
          </w:p>
        </w:tc>
        <w:tc>
          <w:tcPr>
            <w:tcW w:w="809" w:type="dxa"/>
          </w:tcPr>
          <w:p w14:paraId="4CF7CB38" w14:textId="77777777" w:rsidR="00DB6E1F" w:rsidRDefault="00F666A6">
            <w:pPr>
              <w:pStyle w:val="TableParagraph"/>
              <w:spacing w:before="135"/>
              <w:ind w:left="7"/>
              <w:jc w:val="center"/>
              <w:rPr>
                <w:sz w:val="20"/>
              </w:rPr>
            </w:pPr>
            <w:r>
              <w:rPr>
                <w:w w:val="99"/>
                <w:sz w:val="20"/>
              </w:rPr>
              <w:t>1</w:t>
            </w:r>
          </w:p>
        </w:tc>
        <w:tc>
          <w:tcPr>
            <w:tcW w:w="811" w:type="dxa"/>
          </w:tcPr>
          <w:p w14:paraId="593BF47D" w14:textId="77777777" w:rsidR="00DB6E1F" w:rsidRDefault="00F666A6">
            <w:pPr>
              <w:pStyle w:val="TableParagraph"/>
              <w:spacing w:before="135"/>
              <w:ind w:left="352"/>
              <w:rPr>
                <w:sz w:val="20"/>
              </w:rPr>
            </w:pPr>
            <w:r>
              <w:rPr>
                <w:w w:val="99"/>
                <w:sz w:val="20"/>
              </w:rPr>
              <w:t>2</w:t>
            </w:r>
          </w:p>
        </w:tc>
        <w:tc>
          <w:tcPr>
            <w:tcW w:w="989" w:type="dxa"/>
          </w:tcPr>
          <w:p w14:paraId="6C1F54BF" w14:textId="77777777" w:rsidR="00DB6E1F" w:rsidRDefault="00F666A6">
            <w:pPr>
              <w:pStyle w:val="TableParagraph"/>
              <w:spacing w:before="135"/>
              <w:ind w:left="441"/>
              <w:rPr>
                <w:sz w:val="20"/>
              </w:rPr>
            </w:pPr>
            <w:r>
              <w:rPr>
                <w:w w:val="99"/>
                <w:sz w:val="20"/>
              </w:rPr>
              <w:t>3</w:t>
            </w:r>
          </w:p>
        </w:tc>
        <w:tc>
          <w:tcPr>
            <w:tcW w:w="631" w:type="dxa"/>
          </w:tcPr>
          <w:p w14:paraId="09030E77" w14:textId="77777777" w:rsidR="00DB6E1F" w:rsidRDefault="00F666A6">
            <w:pPr>
              <w:pStyle w:val="TableParagraph"/>
              <w:spacing w:before="135"/>
              <w:ind w:left="11"/>
              <w:jc w:val="center"/>
              <w:rPr>
                <w:sz w:val="20"/>
              </w:rPr>
            </w:pPr>
            <w:r>
              <w:rPr>
                <w:w w:val="99"/>
                <w:sz w:val="20"/>
              </w:rPr>
              <w:t>4</w:t>
            </w:r>
          </w:p>
        </w:tc>
        <w:tc>
          <w:tcPr>
            <w:tcW w:w="816" w:type="dxa"/>
          </w:tcPr>
          <w:p w14:paraId="554E8E12" w14:textId="77777777" w:rsidR="00DB6E1F" w:rsidRDefault="00F666A6">
            <w:pPr>
              <w:pStyle w:val="TableParagraph"/>
              <w:spacing w:before="135"/>
              <w:ind w:left="9"/>
              <w:jc w:val="center"/>
              <w:rPr>
                <w:sz w:val="20"/>
              </w:rPr>
            </w:pPr>
            <w:r>
              <w:rPr>
                <w:w w:val="99"/>
                <w:sz w:val="20"/>
              </w:rPr>
              <w:t>5</w:t>
            </w:r>
          </w:p>
        </w:tc>
      </w:tr>
      <w:tr w:rsidR="00DB6E1F" w14:paraId="11A8F984" w14:textId="77777777">
        <w:trPr>
          <w:trHeight w:val="527"/>
        </w:trPr>
        <w:tc>
          <w:tcPr>
            <w:tcW w:w="5304" w:type="dxa"/>
          </w:tcPr>
          <w:p w14:paraId="2CB5F643" w14:textId="77777777" w:rsidR="00DB6E1F" w:rsidRDefault="00F666A6">
            <w:pPr>
              <w:pStyle w:val="TableParagraph"/>
              <w:spacing w:before="3"/>
              <w:ind w:left="81"/>
              <w:rPr>
                <w:sz w:val="20"/>
              </w:rPr>
            </w:pPr>
            <w:r>
              <w:rPr>
                <w:color w:val="4D4D4F"/>
                <w:sz w:val="20"/>
              </w:rPr>
              <w:t>9.</w:t>
            </w:r>
            <w:r>
              <w:rPr>
                <w:color w:val="4D4D4F"/>
                <w:spacing w:val="41"/>
                <w:sz w:val="20"/>
              </w:rPr>
              <w:t xml:space="preserve">  </w:t>
            </w:r>
            <w:r>
              <w:rPr>
                <w:sz w:val="20"/>
              </w:rPr>
              <w:t>I</w:t>
            </w:r>
            <w:r>
              <w:rPr>
                <w:spacing w:val="-1"/>
                <w:sz w:val="20"/>
              </w:rPr>
              <w:t xml:space="preserve"> </w:t>
            </w:r>
            <w:r>
              <w:rPr>
                <w:sz w:val="20"/>
              </w:rPr>
              <w:t>have</w:t>
            </w:r>
            <w:r>
              <w:rPr>
                <w:spacing w:val="-3"/>
                <w:sz w:val="20"/>
              </w:rPr>
              <w:t xml:space="preserve"> </w:t>
            </w:r>
            <w:r>
              <w:rPr>
                <w:sz w:val="20"/>
              </w:rPr>
              <w:t>already</w:t>
            </w:r>
            <w:r>
              <w:rPr>
                <w:spacing w:val="-1"/>
                <w:sz w:val="20"/>
              </w:rPr>
              <w:t xml:space="preserve"> </w:t>
            </w:r>
            <w:r>
              <w:rPr>
                <w:sz w:val="20"/>
              </w:rPr>
              <w:t>changed</w:t>
            </w:r>
            <w:r>
              <w:rPr>
                <w:spacing w:val="-1"/>
                <w:sz w:val="20"/>
              </w:rPr>
              <w:t xml:space="preserve"> </w:t>
            </w:r>
            <w:r>
              <w:rPr>
                <w:sz w:val="20"/>
              </w:rPr>
              <w:t>my drug</w:t>
            </w:r>
            <w:r>
              <w:rPr>
                <w:spacing w:val="-2"/>
                <w:sz w:val="20"/>
              </w:rPr>
              <w:t xml:space="preserve"> </w:t>
            </w:r>
            <w:r>
              <w:rPr>
                <w:sz w:val="20"/>
              </w:rPr>
              <w:t>use,</w:t>
            </w:r>
            <w:r>
              <w:rPr>
                <w:spacing w:val="-1"/>
                <w:sz w:val="20"/>
              </w:rPr>
              <w:t xml:space="preserve"> </w:t>
            </w:r>
            <w:r>
              <w:rPr>
                <w:sz w:val="20"/>
              </w:rPr>
              <w:t>and</w:t>
            </w:r>
            <w:r>
              <w:rPr>
                <w:spacing w:val="-1"/>
                <w:sz w:val="20"/>
              </w:rPr>
              <w:t xml:space="preserve"> </w:t>
            </w:r>
            <w:r>
              <w:rPr>
                <w:sz w:val="20"/>
              </w:rPr>
              <w:t>I</w:t>
            </w:r>
            <w:r>
              <w:rPr>
                <w:spacing w:val="-2"/>
                <w:sz w:val="20"/>
              </w:rPr>
              <w:t xml:space="preserve"> </w:t>
            </w:r>
            <w:r>
              <w:rPr>
                <w:sz w:val="20"/>
              </w:rPr>
              <w:t>am</w:t>
            </w:r>
            <w:r>
              <w:rPr>
                <w:spacing w:val="-2"/>
                <w:sz w:val="20"/>
              </w:rPr>
              <w:t xml:space="preserve"> </w:t>
            </w:r>
            <w:r>
              <w:rPr>
                <w:sz w:val="20"/>
              </w:rPr>
              <w:t>looking</w:t>
            </w:r>
            <w:r>
              <w:rPr>
                <w:spacing w:val="-2"/>
                <w:sz w:val="20"/>
              </w:rPr>
              <w:t xml:space="preserve"> </w:t>
            </w:r>
            <w:r>
              <w:rPr>
                <w:spacing w:val="-5"/>
                <w:sz w:val="20"/>
              </w:rPr>
              <w:t>for</w:t>
            </w:r>
          </w:p>
          <w:p w14:paraId="5BB5301F" w14:textId="77777777" w:rsidR="00DB6E1F" w:rsidRDefault="00F666A6">
            <w:pPr>
              <w:pStyle w:val="TableParagraph"/>
              <w:spacing w:before="18" w:line="242" w:lineRule="exact"/>
              <w:ind w:left="441"/>
              <w:rPr>
                <w:sz w:val="20"/>
              </w:rPr>
            </w:pPr>
            <w:r>
              <w:rPr>
                <w:sz w:val="20"/>
              </w:rPr>
              <w:t>ways</w:t>
            </w:r>
            <w:r>
              <w:rPr>
                <w:spacing w:val="-5"/>
                <w:sz w:val="20"/>
              </w:rPr>
              <w:t xml:space="preserve"> </w:t>
            </w:r>
            <w:r>
              <w:rPr>
                <w:sz w:val="20"/>
              </w:rPr>
              <w:t>to</w:t>
            </w:r>
            <w:r>
              <w:rPr>
                <w:spacing w:val="-4"/>
                <w:sz w:val="20"/>
              </w:rPr>
              <w:t xml:space="preserve"> </w:t>
            </w:r>
            <w:r>
              <w:rPr>
                <w:sz w:val="20"/>
              </w:rPr>
              <w:t>keep</w:t>
            </w:r>
            <w:r>
              <w:rPr>
                <w:spacing w:val="-4"/>
                <w:sz w:val="20"/>
              </w:rPr>
              <w:t xml:space="preserve"> </w:t>
            </w:r>
            <w:r>
              <w:rPr>
                <w:sz w:val="20"/>
              </w:rPr>
              <w:t>from</w:t>
            </w:r>
            <w:r>
              <w:rPr>
                <w:spacing w:val="-5"/>
                <w:sz w:val="20"/>
              </w:rPr>
              <w:t xml:space="preserve"> </w:t>
            </w:r>
            <w:r>
              <w:rPr>
                <w:sz w:val="20"/>
              </w:rPr>
              <w:t>slipping</w:t>
            </w:r>
            <w:r>
              <w:rPr>
                <w:spacing w:val="-4"/>
                <w:sz w:val="20"/>
              </w:rPr>
              <w:t xml:space="preserve"> </w:t>
            </w:r>
            <w:r>
              <w:rPr>
                <w:sz w:val="20"/>
              </w:rPr>
              <w:t>back</w:t>
            </w:r>
            <w:r>
              <w:rPr>
                <w:spacing w:val="-3"/>
                <w:sz w:val="20"/>
              </w:rPr>
              <w:t xml:space="preserve"> </w:t>
            </w:r>
            <w:r>
              <w:rPr>
                <w:sz w:val="20"/>
              </w:rPr>
              <w:t>to</w:t>
            </w:r>
            <w:r>
              <w:rPr>
                <w:spacing w:val="-4"/>
                <w:sz w:val="20"/>
              </w:rPr>
              <w:t xml:space="preserve"> </w:t>
            </w:r>
            <w:r>
              <w:rPr>
                <w:sz w:val="20"/>
              </w:rPr>
              <w:t>my</w:t>
            </w:r>
            <w:r>
              <w:rPr>
                <w:spacing w:val="-3"/>
                <w:sz w:val="20"/>
              </w:rPr>
              <w:t xml:space="preserve"> </w:t>
            </w:r>
            <w:r>
              <w:rPr>
                <w:sz w:val="20"/>
              </w:rPr>
              <w:t>old</w:t>
            </w:r>
            <w:r>
              <w:rPr>
                <w:spacing w:val="-3"/>
                <w:sz w:val="20"/>
              </w:rPr>
              <w:t xml:space="preserve"> </w:t>
            </w:r>
            <w:r>
              <w:rPr>
                <w:spacing w:val="-2"/>
                <w:sz w:val="20"/>
              </w:rPr>
              <w:t>pattern.</w:t>
            </w:r>
          </w:p>
        </w:tc>
        <w:tc>
          <w:tcPr>
            <w:tcW w:w="809" w:type="dxa"/>
          </w:tcPr>
          <w:p w14:paraId="5103EF8D" w14:textId="77777777" w:rsidR="00DB6E1F" w:rsidRDefault="00F666A6">
            <w:pPr>
              <w:pStyle w:val="TableParagraph"/>
              <w:spacing w:before="133"/>
              <w:ind w:left="7"/>
              <w:jc w:val="center"/>
              <w:rPr>
                <w:sz w:val="20"/>
              </w:rPr>
            </w:pPr>
            <w:r>
              <w:rPr>
                <w:w w:val="99"/>
                <w:sz w:val="20"/>
              </w:rPr>
              <w:t>1</w:t>
            </w:r>
          </w:p>
        </w:tc>
        <w:tc>
          <w:tcPr>
            <w:tcW w:w="811" w:type="dxa"/>
          </w:tcPr>
          <w:p w14:paraId="1F09C958" w14:textId="77777777" w:rsidR="00DB6E1F" w:rsidRDefault="00F666A6">
            <w:pPr>
              <w:pStyle w:val="TableParagraph"/>
              <w:spacing w:before="133"/>
              <w:ind w:left="352"/>
              <w:rPr>
                <w:sz w:val="20"/>
              </w:rPr>
            </w:pPr>
            <w:r>
              <w:rPr>
                <w:w w:val="99"/>
                <w:sz w:val="20"/>
              </w:rPr>
              <w:t>2</w:t>
            </w:r>
          </w:p>
        </w:tc>
        <w:tc>
          <w:tcPr>
            <w:tcW w:w="989" w:type="dxa"/>
          </w:tcPr>
          <w:p w14:paraId="557DF5A2" w14:textId="77777777" w:rsidR="00DB6E1F" w:rsidRDefault="00F666A6">
            <w:pPr>
              <w:pStyle w:val="TableParagraph"/>
              <w:spacing w:before="133"/>
              <w:ind w:left="441"/>
              <w:rPr>
                <w:sz w:val="20"/>
              </w:rPr>
            </w:pPr>
            <w:r>
              <w:rPr>
                <w:w w:val="99"/>
                <w:sz w:val="20"/>
              </w:rPr>
              <w:t>3</w:t>
            </w:r>
          </w:p>
        </w:tc>
        <w:tc>
          <w:tcPr>
            <w:tcW w:w="631" w:type="dxa"/>
          </w:tcPr>
          <w:p w14:paraId="5C451853" w14:textId="77777777" w:rsidR="00DB6E1F" w:rsidRDefault="00F666A6">
            <w:pPr>
              <w:pStyle w:val="TableParagraph"/>
              <w:spacing w:before="133"/>
              <w:ind w:left="11"/>
              <w:jc w:val="center"/>
              <w:rPr>
                <w:sz w:val="20"/>
              </w:rPr>
            </w:pPr>
            <w:r>
              <w:rPr>
                <w:w w:val="99"/>
                <w:sz w:val="20"/>
              </w:rPr>
              <w:t>4</w:t>
            </w:r>
          </w:p>
        </w:tc>
        <w:tc>
          <w:tcPr>
            <w:tcW w:w="816" w:type="dxa"/>
          </w:tcPr>
          <w:p w14:paraId="61C30523" w14:textId="77777777" w:rsidR="00DB6E1F" w:rsidRDefault="00F666A6">
            <w:pPr>
              <w:pStyle w:val="TableParagraph"/>
              <w:spacing w:before="133"/>
              <w:ind w:left="9"/>
              <w:jc w:val="center"/>
              <w:rPr>
                <w:sz w:val="20"/>
              </w:rPr>
            </w:pPr>
            <w:r>
              <w:rPr>
                <w:w w:val="99"/>
                <w:sz w:val="20"/>
              </w:rPr>
              <w:t>5</w:t>
            </w:r>
          </w:p>
        </w:tc>
      </w:tr>
      <w:tr w:rsidR="00DB6E1F" w14:paraId="65E908AC" w14:textId="77777777">
        <w:trPr>
          <w:trHeight w:val="263"/>
        </w:trPr>
        <w:tc>
          <w:tcPr>
            <w:tcW w:w="5304" w:type="dxa"/>
          </w:tcPr>
          <w:p w14:paraId="1A7902B7" w14:textId="77777777" w:rsidR="00DB6E1F" w:rsidRDefault="00F666A6">
            <w:pPr>
              <w:pStyle w:val="TableParagraph"/>
              <w:spacing w:line="242" w:lineRule="exact"/>
              <w:ind w:left="81"/>
              <w:rPr>
                <w:sz w:val="20"/>
              </w:rPr>
            </w:pPr>
            <w:r>
              <w:rPr>
                <w:color w:val="4D4D4F"/>
                <w:sz w:val="20"/>
              </w:rPr>
              <w:t>10.</w:t>
            </w:r>
            <w:r>
              <w:rPr>
                <w:color w:val="4D4D4F"/>
                <w:spacing w:val="19"/>
                <w:sz w:val="20"/>
              </w:rPr>
              <w:t xml:space="preserve"> </w:t>
            </w:r>
            <w:r>
              <w:rPr>
                <w:sz w:val="20"/>
              </w:rPr>
              <w:t>I</w:t>
            </w:r>
            <w:r>
              <w:rPr>
                <w:spacing w:val="2"/>
                <w:sz w:val="20"/>
              </w:rPr>
              <w:t xml:space="preserve"> </w:t>
            </w:r>
            <w:r>
              <w:rPr>
                <w:sz w:val="20"/>
              </w:rPr>
              <w:t>have</w:t>
            </w:r>
            <w:r>
              <w:rPr>
                <w:spacing w:val="1"/>
                <w:sz w:val="20"/>
              </w:rPr>
              <w:t xml:space="preserve"> </w:t>
            </w:r>
            <w:r>
              <w:rPr>
                <w:sz w:val="20"/>
              </w:rPr>
              <w:t>serious</w:t>
            </w:r>
            <w:r>
              <w:rPr>
                <w:spacing w:val="1"/>
                <w:sz w:val="20"/>
              </w:rPr>
              <w:t xml:space="preserve"> </w:t>
            </w:r>
            <w:r>
              <w:rPr>
                <w:sz w:val="20"/>
              </w:rPr>
              <w:t>problems</w:t>
            </w:r>
            <w:r>
              <w:rPr>
                <w:spacing w:val="4"/>
                <w:sz w:val="20"/>
              </w:rPr>
              <w:t xml:space="preserve"> </w:t>
            </w:r>
            <w:r>
              <w:rPr>
                <w:sz w:val="20"/>
              </w:rPr>
              <w:t>with</w:t>
            </w:r>
            <w:r>
              <w:rPr>
                <w:spacing w:val="3"/>
                <w:sz w:val="20"/>
              </w:rPr>
              <w:t xml:space="preserve"> </w:t>
            </w:r>
            <w:r>
              <w:rPr>
                <w:spacing w:val="-2"/>
                <w:sz w:val="20"/>
              </w:rPr>
              <w:t>drugs.</w:t>
            </w:r>
          </w:p>
        </w:tc>
        <w:tc>
          <w:tcPr>
            <w:tcW w:w="809" w:type="dxa"/>
          </w:tcPr>
          <w:p w14:paraId="2F69DE14" w14:textId="77777777" w:rsidR="00DB6E1F" w:rsidRDefault="00F666A6">
            <w:pPr>
              <w:pStyle w:val="TableParagraph"/>
              <w:spacing w:line="242" w:lineRule="exact"/>
              <w:ind w:left="7"/>
              <w:jc w:val="center"/>
              <w:rPr>
                <w:sz w:val="20"/>
              </w:rPr>
            </w:pPr>
            <w:r>
              <w:rPr>
                <w:w w:val="99"/>
                <w:sz w:val="20"/>
              </w:rPr>
              <w:t>1</w:t>
            </w:r>
          </w:p>
        </w:tc>
        <w:tc>
          <w:tcPr>
            <w:tcW w:w="811" w:type="dxa"/>
          </w:tcPr>
          <w:p w14:paraId="0B797691" w14:textId="77777777" w:rsidR="00DB6E1F" w:rsidRDefault="00F666A6">
            <w:pPr>
              <w:pStyle w:val="TableParagraph"/>
              <w:spacing w:line="242" w:lineRule="exact"/>
              <w:ind w:left="352"/>
              <w:rPr>
                <w:sz w:val="20"/>
              </w:rPr>
            </w:pPr>
            <w:r>
              <w:rPr>
                <w:w w:val="99"/>
                <w:sz w:val="20"/>
              </w:rPr>
              <w:t>2</w:t>
            </w:r>
          </w:p>
        </w:tc>
        <w:tc>
          <w:tcPr>
            <w:tcW w:w="989" w:type="dxa"/>
          </w:tcPr>
          <w:p w14:paraId="4DC64F39" w14:textId="77777777" w:rsidR="00DB6E1F" w:rsidRDefault="00F666A6">
            <w:pPr>
              <w:pStyle w:val="TableParagraph"/>
              <w:spacing w:line="242" w:lineRule="exact"/>
              <w:ind w:left="441"/>
              <w:rPr>
                <w:sz w:val="20"/>
              </w:rPr>
            </w:pPr>
            <w:r>
              <w:rPr>
                <w:w w:val="99"/>
                <w:sz w:val="20"/>
              </w:rPr>
              <w:t>3</w:t>
            </w:r>
          </w:p>
        </w:tc>
        <w:tc>
          <w:tcPr>
            <w:tcW w:w="631" w:type="dxa"/>
          </w:tcPr>
          <w:p w14:paraId="4BDA2089" w14:textId="77777777" w:rsidR="00DB6E1F" w:rsidRDefault="00F666A6">
            <w:pPr>
              <w:pStyle w:val="TableParagraph"/>
              <w:spacing w:line="242" w:lineRule="exact"/>
              <w:ind w:left="11"/>
              <w:jc w:val="center"/>
              <w:rPr>
                <w:sz w:val="20"/>
              </w:rPr>
            </w:pPr>
            <w:r>
              <w:rPr>
                <w:w w:val="99"/>
                <w:sz w:val="20"/>
              </w:rPr>
              <w:t>4</w:t>
            </w:r>
          </w:p>
        </w:tc>
        <w:tc>
          <w:tcPr>
            <w:tcW w:w="816" w:type="dxa"/>
          </w:tcPr>
          <w:p w14:paraId="0A1F1804" w14:textId="77777777" w:rsidR="00DB6E1F" w:rsidRDefault="00F666A6">
            <w:pPr>
              <w:pStyle w:val="TableParagraph"/>
              <w:spacing w:line="242" w:lineRule="exact"/>
              <w:ind w:left="9"/>
              <w:jc w:val="center"/>
              <w:rPr>
                <w:sz w:val="20"/>
              </w:rPr>
            </w:pPr>
            <w:r>
              <w:rPr>
                <w:w w:val="99"/>
                <w:sz w:val="20"/>
              </w:rPr>
              <w:t>5</w:t>
            </w:r>
          </w:p>
        </w:tc>
      </w:tr>
      <w:tr w:rsidR="00DB6E1F" w14:paraId="5CA2CD15" w14:textId="77777777">
        <w:trPr>
          <w:trHeight w:val="263"/>
        </w:trPr>
        <w:tc>
          <w:tcPr>
            <w:tcW w:w="5304" w:type="dxa"/>
          </w:tcPr>
          <w:p w14:paraId="37FEA9AB" w14:textId="77777777" w:rsidR="00DB6E1F" w:rsidRDefault="00F666A6">
            <w:pPr>
              <w:pStyle w:val="TableParagraph"/>
              <w:spacing w:line="242" w:lineRule="exact"/>
              <w:ind w:left="81"/>
              <w:rPr>
                <w:sz w:val="20"/>
              </w:rPr>
            </w:pPr>
            <w:r>
              <w:rPr>
                <w:color w:val="4D4D4F"/>
                <w:sz w:val="20"/>
              </w:rPr>
              <w:t>11.</w:t>
            </w:r>
            <w:r>
              <w:rPr>
                <w:color w:val="4D4D4F"/>
                <w:spacing w:val="16"/>
                <w:sz w:val="20"/>
              </w:rPr>
              <w:t xml:space="preserve"> </w:t>
            </w:r>
            <w:r>
              <w:rPr>
                <w:sz w:val="20"/>
              </w:rPr>
              <w:t>Sometimes</w:t>
            </w:r>
            <w:r>
              <w:rPr>
                <w:spacing w:val="-1"/>
                <w:sz w:val="20"/>
              </w:rPr>
              <w:t xml:space="preserve"> </w:t>
            </w:r>
            <w:r>
              <w:rPr>
                <w:sz w:val="20"/>
              </w:rPr>
              <w:t>I wonder if I am</w:t>
            </w:r>
            <w:r>
              <w:rPr>
                <w:spacing w:val="-1"/>
                <w:sz w:val="20"/>
              </w:rPr>
              <w:t xml:space="preserve"> </w:t>
            </w:r>
            <w:r>
              <w:rPr>
                <w:sz w:val="20"/>
              </w:rPr>
              <w:t>in</w:t>
            </w:r>
            <w:r>
              <w:rPr>
                <w:spacing w:val="3"/>
                <w:sz w:val="20"/>
              </w:rPr>
              <w:t xml:space="preserve"> </w:t>
            </w:r>
            <w:r>
              <w:rPr>
                <w:sz w:val="20"/>
              </w:rPr>
              <w:t>control</w:t>
            </w:r>
            <w:r>
              <w:rPr>
                <w:spacing w:val="1"/>
                <w:sz w:val="20"/>
              </w:rPr>
              <w:t xml:space="preserve"> </w:t>
            </w:r>
            <w:r>
              <w:rPr>
                <w:sz w:val="20"/>
              </w:rPr>
              <w:t>of</w:t>
            </w:r>
            <w:r>
              <w:rPr>
                <w:spacing w:val="-1"/>
                <w:sz w:val="20"/>
              </w:rPr>
              <w:t xml:space="preserve"> </w:t>
            </w:r>
            <w:r>
              <w:rPr>
                <w:sz w:val="20"/>
              </w:rPr>
              <w:t>my</w:t>
            </w:r>
            <w:r>
              <w:rPr>
                <w:spacing w:val="1"/>
                <w:sz w:val="20"/>
              </w:rPr>
              <w:t xml:space="preserve"> </w:t>
            </w:r>
            <w:r>
              <w:rPr>
                <w:sz w:val="20"/>
              </w:rPr>
              <w:t xml:space="preserve">drug </w:t>
            </w:r>
            <w:r>
              <w:rPr>
                <w:spacing w:val="-4"/>
                <w:sz w:val="20"/>
              </w:rPr>
              <w:t>use.</w:t>
            </w:r>
          </w:p>
        </w:tc>
        <w:tc>
          <w:tcPr>
            <w:tcW w:w="809" w:type="dxa"/>
          </w:tcPr>
          <w:p w14:paraId="3FBFD046" w14:textId="77777777" w:rsidR="00DB6E1F" w:rsidRDefault="00F666A6">
            <w:pPr>
              <w:pStyle w:val="TableParagraph"/>
              <w:spacing w:line="242" w:lineRule="exact"/>
              <w:ind w:left="7"/>
              <w:jc w:val="center"/>
              <w:rPr>
                <w:sz w:val="20"/>
              </w:rPr>
            </w:pPr>
            <w:r>
              <w:rPr>
                <w:w w:val="99"/>
                <w:sz w:val="20"/>
              </w:rPr>
              <w:t>1</w:t>
            </w:r>
          </w:p>
        </w:tc>
        <w:tc>
          <w:tcPr>
            <w:tcW w:w="811" w:type="dxa"/>
          </w:tcPr>
          <w:p w14:paraId="3CA5EE63" w14:textId="77777777" w:rsidR="00DB6E1F" w:rsidRDefault="00F666A6">
            <w:pPr>
              <w:pStyle w:val="TableParagraph"/>
              <w:spacing w:line="242" w:lineRule="exact"/>
              <w:ind w:left="352"/>
              <w:rPr>
                <w:sz w:val="20"/>
              </w:rPr>
            </w:pPr>
            <w:r>
              <w:rPr>
                <w:w w:val="99"/>
                <w:sz w:val="20"/>
              </w:rPr>
              <w:t>2</w:t>
            </w:r>
          </w:p>
        </w:tc>
        <w:tc>
          <w:tcPr>
            <w:tcW w:w="989" w:type="dxa"/>
          </w:tcPr>
          <w:p w14:paraId="44B72774" w14:textId="77777777" w:rsidR="00DB6E1F" w:rsidRDefault="00F666A6">
            <w:pPr>
              <w:pStyle w:val="TableParagraph"/>
              <w:spacing w:line="242" w:lineRule="exact"/>
              <w:ind w:left="441"/>
              <w:rPr>
                <w:sz w:val="20"/>
              </w:rPr>
            </w:pPr>
            <w:r>
              <w:rPr>
                <w:w w:val="99"/>
                <w:sz w:val="20"/>
              </w:rPr>
              <w:t>3</w:t>
            </w:r>
          </w:p>
        </w:tc>
        <w:tc>
          <w:tcPr>
            <w:tcW w:w="631" w:type="dxa"/>
          </w:tcPr>
          <w:p w14:paraId="41715EAA" w14:textId="77777777" w:rsidR="00DB6E1F" w:rsidRDefault="00F666A6">
            <w:pPr>
              <w:pStyle w:val="TableParagraph"/>
              <w:spacing w:line="242" w:lineRule="exact"/>
              <w:ind w:left="11"/>
              <w:jc w:val="center"/>
              <w:rPr>
                <w:sz w:val="20"/>
              </w:rPr>
            </w:pPr>
            <w:r>
              <w:rPr>
                <w:w w:val="99"/>
                <w:sz w:val="20"/>
              </w:rPr>
              <w:t>4</w:t>
            </w:r>
          </w:p>
        </w:tc>
        <w:tc>
          <w:tcPr>
            <w:tcW w:w="816" w:type="dxa"/>
          </w:tcPr>
          <w:p w14:paraId="35496B36" w14:textId="77777777" w:rsidR="00DB6E1F" w:rsidRDefault="00F666A6">
            <w:pPr>
              <w:pStyle w:val="TableParagraph"/>
              <w:spacing w:line="242" w:lineRule="exact"/>
              <w:ind w:left="9"/>
              <w:jc w:val="center"/>
              <w:rPr>
                <w:sz w:val="20"/>
              </w:rPr>
            </w:pPr>
            <w:r>
              <w:rPr>
                <w:w w:val="99"/>
                <w:sz w:val="20"/>
              </w:rPr>
              <w:t>5</w:t>
            </w:r>
          </w:p>
        </w:tc>
      </w:tr>
      <w:tr w:rsidR="00DB6E1F" w14:paraId="775DFC76" w14:textId="77777777">
        <w:trPr>
          <w:trHeight w:val="263"/>
        </w:trPr>
        <w:tc>
          <w:tcPr>
            <w:tcW w:w="5304" w:type="dxa"/>
          </w:tcPr>
          <w:p w14:paraId="6CA28FFE" w14:textId="77777777" w:rsidR="00DB6E1F" w:rsidRDefault="00F666A6">
            <w:pPr>
              <w:pStyle w:val="TableParagraph"/>
              <w:spacing w:line="242" w:lineRule="exact"/>
              <w:ind w:left="81"/>
              <w:rPr>
                <w:sz w:val="20"/>
              </w:rPr>
            </w:pPr>
            <w:r>
              <w:rPr>
                <w:color w:val="4D4D4F"/>
                <w:sz w:val="20"/>
              </w:rPr>
              <w:t>12.</w:t>
            </w:r>
            <w:r>
              <w:rPr>
                <w:color w:val="4D4D4F"/>
                <w:spacing w:val="18"/>
                <w:sz w:val="20"/>
              </w:rPr>
              <w:t xml:space="preserve"> </w:t>
            </w:r>
            <w:r>
              <w:rPr>
                <w:sz w:val="20"/>
              </w:rPr>
              <w:t>My</w:t>
            </w:r>
            <w:r>
              <w:rPr>
                <w:spacing w:val="3"/>
                <w:sz w:val="20"/>
              </w:rPr>
              <w:t xml:space="preserve"> </w:t>
            </w:r>
            <w:r>
              <w:rPr>
                <w:sz w:val="20"/>
              </w:rPr>
              <w:t>drug</w:t>
            </w:r>
            <w:r>
              <w:rPr>
                <w:spacing w:val="2"/>
                <w:sz w:val="20"/>
              </w:rPr>
              <w:t xml:space="preserve"> </w:t>
            </w:r>
            <w:r>
              <w:rPr>
                <w:sz w:val="20"/>
              </w:rPr>
              <w:t>use</w:t>
            </w:r>
            <w:r>
              <w:rPr>
                <w:spacing w:val="1"/>
                <w:sz w:val="20"/>
              </w:rPr>
              <w:t xml:space="preserve"> </w:t>
            </w:r>
            <w:r>
              <w:rPr>
                <w:sz w:val="20"/>
              </w:rPr>
              <w:t>is</w:t>
            </w:r>
            <w:r>
              <w:rPr>
                <w:spacing w:val="1"/>
                <w:sz w:val="20"/>
              </w:rPr>
              <w:t xml:space="preserve"> </w:t>
            </w:r>
            <w:r>
              <w:rPr>
                <w:sz w:val="20"/>
              </w:rPr>
              <w:t>causing</w:t>
            </w:r>
            <w:r>
              <w:rPr>
                <w:spacing w:val="1"/>
                <w:sz w:val="20"/>
              </w:rPr>
              <w:t xml:space="preserve"> </w:t>
            </w:r>
            <w:r>
              <w:rPr>
                <w:sz w:val="20"/>
              </w:rPr>
              <w:t>a</w:t>
            </w:r>
            <w:r>
              <w:rPr>
                <w:spacing w:val="3"/>
                <w:sz w:val="20"/>
              </w:rPr>
              <w:t xml:space="preserve"> </w:t>
            </w:r>
            <w:r>
              <w:rPr>
                <w:sz w:val="20"/>
              </w:rPr>
              <w:t>lot</w:t>
            </w:r>
            <w:r>
              <w:rPr>
                <w:spacing w:val="2"/>
                <w:sz w:val="20"/>
              </w:rPr>
              <w:t xml:space="preserve"> </w:t>
            </w:r>
            <w:r>
              <w:rPr>
                <w:sz w:val="20"/>
              </w:rPr>
              <w:t>of</w:t>
            </w:r>
            <w:r>
              <w:rPr>
                <w:spacing w:val="4"/>
                <w:sz w:val="20"/>
              </w:rPr>
              <w:t xml:space="preserve"> </w:t>
            </w:r>
            <w:r>
              <w:rPr>
                <w:spacing w:val="-4"/>
                <w:sz w:val="20"/>
              </w:rPr>
              <w:t>harm.</w:t>
            </w:r>
          </w:p>
        </w:tc>
        <w:tc>
          <w:tcPr>
            <w:tcW w:w="809" w:type="dxa"/>
          </w:tcPr>
          <w:p w14:paraId="337AFCA9" w14:textId="77777777" w:rsidR="00DB6E1F" w:rsidRDefault="00F666A6">
            <w:pPr>
              <w:pStyle w:val="TableParagraph"/>
              <w:spacing w:line="242" w:lineRule="exact"/>
              <w:ind w:left="7"/>
              <w:jc w:val="center"/>
              <w:rPr>
                <w:sz w:val="20"/>
              </w:rPr>
            </w:pPr>
            <w:r>
              <w:rPr>
                <w:w w:val="99"/>
                <w:sz w:val="20"/>
              </w:rPr>
              <w:t>1</w:t>
            </w:r>
          </w:p>
        </w:tc>
        <w:tc>
          <w:tcPr>
            <w:tcW w:w="811" w:type="dxa"/>
          </w:tcPr>
          <w:p w14:paraId="103B9CC4" w14:textId="77777777" w:rsidR="00DB6E1F" w:rsidRDefault="00F666A6">
            <w:pPr>
              <w:pStyle w:val="TableParagraph"/>
              <w:spacing w:line="242" w:lineRule="exact"/>
              <w:ind w:left="352"/>
              <w:rPr>
                <w:sz w:val="20"/>
              </w:rPr>
            </w:pPr>
            <w:r>
              <w:rPr>
                <w:w w:val="99"/>
                <w:sz w:val="20"/>
              </w:rPr>
              <w:t>2</w:t>
            </w:r>
          </w:p>
        </w:tc>
        <w:tc>
          <w:tcPr>
            <w:tcW w:w="989" w:type="dxa"/>
          </w:tcPr>
          <w:p w14:paraId="59F9B59C" w14:textId="77777777" w:rsidR="00DB6E1F" w:rsidRDefault="00F666A6">
            <w:pPr>
              <w:pStyle w:val="TableParagraph"/>
              <w:spacing w:line="242" w:lineRule="exact"/>
              <w:ind w:left="441"/>
              <w:rPr>
                <w:sz w:val="20"/>
              </w:rPr>
            </w:pPr>
            <w:r>
              <w:rPr>
                <w:w w:val="99"/>
                <w:sz w:val="20"/>
              </w:rPr>
              <w:t>3</w:t>
            </w:r>
          </w:p>
        </w:tc>
        <w:tc>
          <w:tcPr>
            <w:tcW w:w="631" w:type="dxa"/>
          </w:tcPr>
          <w:p w14:paraId="5BB91A88" w14:textId="77777777" w:rsidR="00DB6E1F" w:rsidRDefault="00F666A6">
            <w:pPr>
              <w:pStyle w:val="TableParagraph"/>
              <w:spacing w:line="242" w:lineRule="exact"/>
              <w:ind w:left="11"/>
              <w:jc w:val="center"/>
              <w:rPr>
                <w:sz w:val="20"/>
              </w:rPr>
            </w:pPr>
            <w:r>
              <w:rPr>
                <w:w w:val="99"/>
                <w:sz w:val="20"/>
              </w:rPr>
              <w:t>4</w:t>
            </w:r>
          </w:p>
        </w:tc>
        <w:tc>
          <w:tcPr>
            <w:tcW w:w="816" w:type="dxa"/>
          </w:tcPr>
          <w:p w14:paraId="673BACB8" w14:textId="77777777" w:rsidR="00DB6E1F" w:rsidRDefault="00F666A6">
            <w:pPr>
              <w:pStyle w:val="TableParagraph"/>
              <w:spacing w:line="242" w:lineRule="exact"/>
              <w:ind w:left="9"/>
              <w:jc w:val="center"/>
              <w:rPr>
                <w:sz w:val="20"/>
              </w:rPr>
            </w:pPr>
            <w:r>
              <w:rPr>
                <w:w w:val="99"/>
                <w:sz w:val="20"/>
              </w:rPr>
              <w:t>5</w:t>
            </w:r>
          </w:p>
        </w:tc>
      </w:tr>
      <w:tr w:rsidR="00DB6E1F" w14:paraId="373A20CE" w14:textId="77777777">
        <w:trPr>
          <w:trHeight w:val="527"/>
        </w:trPr>
        <w:tc>
          <w:tcPr>
            <w:tcW w:w="5304" w:type="dxa"/>
            <w:tcBorders>
              <w:bottom w:val="single" w:sz="6" w:space="0" w:color="000000"/>
            </w:tcBorders>
          </w:tcPr>
          <w:p w14:paraId="6BAB311A" w14:textId="77777777" w:rsidR="00DB6E1F" w:rsidRDefault="00F666A6">
            <w:pPr>
              <w:pStyle w:val="TableParagraph"/>
              <w:ind w:left="81"/>
              <w:rPr>
                <w:sz w:val="20"/>
              </w:rPr>
            </w:pPr>
            <w:r>
              <w:rPr>
                <w:color w:val="4D4D4F"/>
                <w:sz w:val="20"/>
              </w:rPr>
              <w:t>13.</w:t>
            </w:r>
            <w:r>
              <w:rPr>
                <w:color w:val="4D4D4F"/>
                <w:spacing w:val="13"/>
                <w:sz w:val="20"/>
              </w:rPr>
              <w:t xml:space="preserve"> </w:t>
            </w:r>
            <w:r>
              <w:rPr>
                <w:sz w:val="20"/>
              </w:rPr>
              <w:t>I</w:t>
            </w:r>
            <w:r>
              <w:rPr>
                <w:spacing w:val="-1"/>
                <w:sz w:val="20"/>
              </w:rPr>
              <w:t xml:space="preserve"> </w:t>
            </w:r>
            <w:r>
              <w:rPr>
                <w:sz w:val="20"/>
              </w:rPr>
              <w:t>am</w:t>
            </w:r>
            <w:r>
              <w:rPr>
                <w:spacing w:val="-2"/>
                <w:sz w:val="20"/>
              </w:rPr>
              <w:t xml:space="preserve"> </w:t>
            </w:r>
            <w:r>
              <w:rPr>
                <w:sz w:val="20"/>
              </w:rPr>
              <w:t>actively</w:t>
            </w:r>
            <w:r>
              <w:rPr>
                <w:spacing w:val="1"/>
                <w:sz w:val="20"/>
              </w:rPr>
              <w:t xml:space="preserve"> </w:t>
            </w:r>
            <w:r>
              <w:rPr>
                <w:sz w:val="20"/>
              </w:rPr>
              <w:t>doing</w:t>
            </w:r>
            <w:r>
              <w:rPr>
                <w:spacing w:val="-1"/>
                <w:sz w:val="20"/>
              </w:rPr>
              <w:t xml:space="preserve"> </w:t>
            </w:r>
            <w:r>
              <w:rPr>
                <w:sz w:val="20"/>
              </w:rPr>
              <w:t>things</w:t>
            </w:r>
            <w:r>
              <w:rPr>
                <w:spacing w:val="-2"/>
                <w:sz w:val="20"/>
              </w:rPr>
              <w:t xml:space="preserve"> </w:t>
            </w:r>
            <w:r>
              <w:rPr>
                <w:sz w:val="20"/>
              </w:rPr>
              <w:t>now</w:t>
            </w:r>
            <w:r>
              <w:rPr>
                <w:spacing w:val="-1"/>
                <w:sz w:val="20"/>
              </w:rPr>
              <w:t xml:space="preserve"> </w:t>
            </w:r>
            <w:r>
              <w:rPr>
                <w:sz w:val="20"/>
              </w:rPr>
              <w:t>to</w:t>
            </w:r>
            <w:r>
              <w:rPr>
                <w:spacing w:val="-1"/>
                <w:sz w:val="20"/>
              </w:rPr>
              <w:t xml:space="preserve"> </w:t>
            </w:r>
            <w:r>
              <w:rPr>
                <w:sz w:val="20"/>
              </w:rPr>
              <w:t>cut</w:t>
            </w:r>
            <w:r>
              <w:rPr>
                <w:spacing w:val="-1"/>
                <w:sz w:val="20"/>
              </w:rPr>
              <w:t xml:space="preserve"> </w:t>
            </w:r>
            <w:r>
              <w:rPr>
                <w:sz w:val="20"/>
              </w:rPr>
              <w:t>down</w:t>
            </w:r>
            <w:r>
              <w:rPr>
                <w:spacing w:val="1"/>
                <w:sz w:val="20"/>
              </w:rPr>
              <w:t xml:space="preserve"> </w:t>
            </w:r>
            <w:r>
              <w:rPr>
                <w:sz w:val="20"/>
              </w:rPr>
              <w:t>or</w:t>
            </w:r>
            <w:r>
              <w:rPr>
                <w:spacing w:val="-1"/>
                <w:sz w:val="20"/>
              </w:rPr>
              <w:t xml:space="preserve"> </w:t>
            </w:r>
            <w:r>
              <w:rPr>
                <w:sz w:val="20"/>
              </w:rPr>
              <w:t>stop my</w:t>
            </w:r>
            <w:r>
              <w:rPr>
                <w:spacing w:val="1"/>
                <w:sz w:val="20"/>
              </w:rPr>
              <w:t xml:space="preserve"> </w:t>
            </w:r>
            <w:r>
              <w:rPr>
                <w:spacing w:val="-5"/>
                <w:sz w:val="20"/>
              </w:rPr>
              <w:t>use</w:t>
            </w:r>
          </w:p>
          <w:p w14:paraId="2187A490" w14:textId="77777777" w:rsidR="00DB6E1F" w:rsidRDefault="00F666A6">
            <w:pPr>
              <w:pStyle w:val="TableParagraph"/>
              <w:spacing w:before="20" w:line="242" w:lineRule="exact"/>
              <w:ind w:left="441"/>
              <w:rPr>
                <w:sz w:val="20"/>
              </w:rPr>
            </w:pPr>
            <w:r>
              <w:rPr>
                <w:sz w:val="20"/>
              </w:rPr>
              <w:t>of</w:t>
            </w:r>
            <w:r>
              <w:rPr>
                <w:spacing w:val="-3"/>
                <w:sz w:val="20"/>
              </w:rPr>
              <w:t xml:space="preserve"> </w:t>
            </w:r>
            <w:r>
              <w:rPr>
                <w:spacing w:val="-2"/>
                <w:sz w:val="20"/>
              </w:rPr>
              <w:t>drugs.</w:t>
            </w:r>
          </w:p>
        </w:tc>
        <w:tc>
          <w:tcPr>
            <w:tcW w:w="809" w:type="dxa"/>
          </w:tcPr>
          <w:p w14:paraId="6BC0F45D" w14:textId="77777777" w:rsidR="00DB6E1F" w:rsidRDefault="00F666A6">
            <w:pPr>
              <w:pStyle w:val="TableParagraph"/>
              <w:spacing w:before="133"/>
              <w:ind w:left="7"/>
              <w:jc w:val="center"/>
              <w:rPr>
                <w:sz w:val="20"/>
              </w:rPr>
            </w:pPr>
            <w:r>
              <w:rPr>
                <w:w w:val="99"/>
                <w:sz w:val="20"/>
              </w:rPr>
              <w:t>1</w:t>
            </w:r>
          </w:p>
        </w:tc>
        <w:tc>
          <w:tcPr>
            <w:tcW w:w="811" w:type="dxa"/>
          </w:tcPr>
          <w:p w14:paraId="646B7BA2" w14:textId="77777777" w:rsidR="00DB6E1F" w:rsidRDefault="00F666A6">
            <w:pPr>
              <w:pStyle w:val="TableParagraph"/>
              <w:spacing w:before="133"/>
              <w:ind w:left="352"/>
              <w:rPr>
                <w:sz w:val="20"/>
              </w:rPr>
            </w:pPr>
            <w:r>
              <w:rPr>
                <w:w w:val="99"/>
                <w:sz w:val="20"/>
              </w:rPr>
              <w:t>2</w:t>
            </w:r>
          </w:p>
        </w:tc>
        <w:tc>
          <w:tcPr>
            <w:tcW w:w="989" w:type="dxa"/>
          </w:tcPr>
          <w:p w14:paraId="0A72ECC4" w14:textId="77777777" w:rsidR="00DB6E1F" w:rsidRDefault="00F666A6">
            <w:pPr>
              <w:pStyle w:val="TableParagraph"/>
              <w:spacing w:before="133"/>
              <w:ind w:left="441"/>
              <w:rPr>
                <w:sz w:val="20"/>
              </w:rPr>
            </w:pPr>
            <w:r>
              <w:rPr>
                <w:w w:val="99"/>
                <w:sz w:val="20"/>
              </w:rPr>
              <w:t>3</w:t>
            </w:r>
          </w:p>
        </w:tc>
        <w:tc>
          <w:tcPr>
            <w:tcW w:w="631" w:type="dxa"/>
          </w:tcPr>
          <w:p w14:paraId="75F1D8CB" w14:textId="77777777" w:rsidR="00DB6E1F" w:rsidRDefault="00F666A6">
            <w:pPr>
              <w:pStyle w:val="TableParagraph"/>
              <w:spacing w:before="133"/>
              <w:ind w:left="11"/>
              <w:jc w:val="center"/>
              <w:rPr>
                <w:sz w:val="20"/>
              </w:rPr>
            </w:pPr>
            <w:r>
              <w:rPr>
                <w:w w:val="99"/>
                <w:sz w:val="20"/>
              </w:rPr>
              <w:t>4</w:t>
            </w:r>
          </w:p>
        </w:tc>
        <w:tc>
          <w:tcPr>
            <w:tcW w:w="816" w:type="dxa"/>
          </w:tcPr>
          <w:p w14:paraId="5A16C96C" w14:textId="77777777" w:rsidR="00DB6E1F" w:rsidRDefault="00F666A6">
            <w:pPr>
              <w:pStyle w:val="TableParagraph"/>
              <w:spacing w:before="133"/>
              <w:ind w:left="9"/>
              <w:jc w:val="center"/>
              <w:rPr>
                <w:sz w:val="20"/>
              </w:rPr>
            </w:pPr>
            <w:r>
              <w:rPr>
                <w:w w:val="99"/>
                <w:sz w:val="20"/>
              </w:rPr>
              <w:t>5</w:t>
            </w:r>
          </w:p>
        </w:tc>
      </w:tr>
      <w:tr w:rsidR="00DB6E1F" w14:paraId="250D6009" w14:textId="77777777">
        <w:trPr>
          <w:trHeight w:val="527"/>
        </w:trPr>
        <w:tc>
          <w:tcPr>
            <w:tcW w:w="5304" w:type="dxa"/>
            <w:tcBorders>
              <w:top w:val="single" w:sz="6" w:space="0" w:color="000000"/>
            </w:tcBorders>
          </w:tcPr>
          <w:p w14:paraId="4C09603E" w14:textId="77777777" w:rsidR="00DB6E1F" w:rsidRDefault="00F666A6">
            <w:pPr>
              <w:pStyle w:val="TableParagraph"/>
              <w:ind w:left="81"/>
              <w:rPr>
                <w:sz w:val="20"/>
              </w:rPr>
            </w:pPr>
            <w:r>
              <w:rPr>
                <w:color w:val="4D4D4F"/>
                <w:sz w:val="20"/>
              </w:rPr>
              <w:t>14.</w:t>
            </w:r>
            <w:r>
              <w:rPr>
                <w:color w:val="4D4D4F"/>
                <w:spacing w:val="16"/>
                <w:sz w:val="20"/>
              </w:rPr>
              <w:t xml:space="preserve"> </w:t>
            </w:r>
            <w:r>
              <w:rPr>
                <w:sz w:val="20"/>
              </w:rPr>
              <w:t>I want help</w:t>
            </w:r>
            <w:r>
              <w:rPr>
                <w:spacing w:val="1"/>
                <w:sz w:val="20"/>
              </w:rPr>
              <w:t xml:space="preserve"> </w:t>
            </w:r>
            <w:r>
              <w:rPr>
                <w:sz w:val="20"/>
              </w:rPr>
              <w:t>to keep</w:t>
            </w:r>
            <w:r>
              <w:rPr>
                <w:spacing w:val="1"/>
                <w:sz w:val="20"/>
              </w:rPr>
              <w:t xml:space="preserve"> </w:t>
            </w:r>
            <w:r>
              <w:rPr>
                <w:sz w:val="20"/>
              </w:rPr>
              <w:t>from going back</w:t>
            </w:r>
            <w:r>
              <w:rPr>
                <w:spacing w:val="1"/>
                <w:sz w:val="20"/>
              </w:rPr>
              <w:t xml:space="preserve"> </w:t>
            </w:r>
            <w:r>
              <w:rPr>
                <w:sz w:val="20"/>
              </w:rPr>
              <w:t>to the</w:t>
            </w:r>
            <w:r>
              <w:rPr>
                <w:spacing w:val="-1"/>
                <w:sz w:val="20"/>
              </w:rPr>
              <w:t xml:space="preserve"> </w:t>
            </w:r>
            <w:r>
              <w:rPr>
                <w:sz w:val="20"/>
              </w:rPr>
              <w:t xml:space="preserve">drug </w:t>
            </w:r>
            <w:r>
              <w:rPr>
                <w:spacing w:val="-2"/>
                <w:sz w:val="20"/>
              </w:rPr>
              <w:t>problems</w:t>
            </w:r>
          </w:p>
          <w:p w14:paraId="1EBE0976" w14:textId="77777777" w:rsidR="00DB6E1F" w:rsidRDefault="00F666A6">
            <w:pPr>
              <w:pStyle w:val="TableParagraph"/>
              <w:spacing w:before="20" w:line="242" w:lineRule="exact"/>
              <w:ind w:left="441"/>
              <w:rPr>
                <w:sz w:val="20"/>
              </w:rPr>
            </w:pPr>
            <w:r>
              <w:rPr>
                <w:sz w:val="20"/>
              </w:rPr>
              <w:t>that</w:t>
            </w:r>
            <w:r>
              <w:rPr>
                <w:spacing w:val="-2"/>
                <w:sz w:val="20"/>
              </w:rPr>
              <w:t xml:space="preserve"> </w:t>
            </w:r>
            <w:r>
              <w:rPr>
                <w:sz w:val="20"/>
              </w:rPr>
              <w:t>I</w:t>
            </w:r>
            <w:r>
              <w:rPr>
                <w:spacing w:val="-2"/>
                <w:sz w:val="20"/>
              </w:rPr>
              <w:t xml:space="preserve"> </w:t>
            </w:r>
            <w:r>
              <w:rPr>
                <w:sz w:val="20"/>
              </w:rPr>
              <w:t>had</w:t>
            </w:r>
            <w:r>
              <w:rPr>
                <w:spacing w:val="-3"/>
                <w:sz w:val="20"/>
              </w:rPr>
              <w:t xml:space="preserve"> </w:t>
            </w:r>
            <w:r>
              <w:rPr>
                <w:spacing w:val="-2"/>
                <w:sz w:val="20"/>
              </w:rPr>
              <w:t>before.</w:t>
            </w:r>
          </w:p>
        </w:tc>
        <w:tc>
          <w:tcPr>
            <w:tcW w:w="809" w:type="dxa"/>
          </w:tcPr>
          <w:p w14:paraId="7B7DACA9" w14:textId="77777777" w:rsidR="00DB6E1F" w:rsidRDefault="00F666A6">
            <w:pPr>
              <w:pStyle w:val="TableParagraph"/>
              <w:spacing w:before="133"/>
              <w:ind w:left="7"/>
              <w:jc w:val="center"/>
              <w:rPr>
                <w:sz w:val="20"/>
              </w:rPr>
            </w:pPr>
            <w:r>
              <w:rPr>
                <w:w w:val="99"/>
                <w:sz w:val="20"/>
              </w:rPr>
              <w:t>1</w:t>
            </w:r>
          </w:p>
        </w:tc>
        <w:tc>
          <w:tcPr>
            <w:tcW w:w="811" w:type="dxa"/>
          </w:tcPr>
          <w:p w14:paraId="1F55C376" w14:textId="77777777" w:rsidR="00DB6E1F" w:rsidRDefault="00F666A6">
            <w:pPr>
              <w:pStyle w:val="TableParagraph"/>
              <w:spacing w:before="133"/>
              <w:ind w:left="352"/>
              <w:rPr>
                <w:sz w:val="20"/>
              </w:rPr>
            </w:pPr>
            <w:r>
              <w:rPr>
                <w:w w:val="99"/>
                <w:sz w:val="20"/>
              </w:rPr>
              <w:t>2</w:t>
            </w:r>
          </w:p>
        </w:tc>
        <w:tc>
          <w:tcPr>
            <w:tcW w:w="989" w:type="dxa"/>
          </w:tcPr>
          <w:p w14:paraId="38384748" w14:textId="77777777" w:rsidR="00DB6E1F" w:rsidRDefault="00F666A6">
            <w:pPr>
              <w:pStyle w:val="TableParagraph"/>
              <w:spacing w:before="133"/>
              <w:ind w:left="441"/>
              <w:rPr>
                <w:sz w:val="20"/>
              </w:rPr>
            </w:pPr>
            <w:r>
              <w:rPr>
                <w:w w:val="99"/>
                <w:sz w:val="20"/>
              </w:rPr>
              <w:t>3</w:t>
            </w:r>
          </w:p>
        </w:tc>
        <w:tc>
          <w:tcPr>
            <w:tcW w:w="631" w:type="dxa"/>
          </w:tcPr>
          <w:p w14:paraId="62135E96" w14:textId="77777777" w:rsidR="00DB6E1F" w:rsidRDefault="00F666A6">
            <w:pPr>
              <w:pStyle w:val="TableParagraph"/>
              <w:spacing w:before="133"/>
              <w:ind w:left="11"/>
              <w:jc w:val="center"/>
              <w:rPr>
                <w:sz w:val="20"/>
              </w:rPr>
            </w:pPr>
            <w:r>
              <w:rPr>
                <w:w w:val="99"/>
                <w:sz w:val="20"/>
              </w:rPr>
              <w:t>4</w:t>
            </w:r>
          </w:p>
        </w:tc>
        <w:tc>
          <w:tcPr>
            <w:tcW w:w="816" w:type="dxa"/>
          </w:tcPr>
          <w:p w14:paraId="1C207AA2" w14:textId="77777777" w:rsidR="00DB6E1F" w:rsidRDefault="00F666A6">
            <w:pPr>
              <w:pStyle w:val="TableParagraph"/>
              <w:spacing w:before="133"/>
              <w:ind w:left="9"/>
              <w:jc w:val="center"/>
              <w:rPr>
                <w:sz w:val="20"/>
              </w:rPr>
            </w:pPr>
            <w:r>
              <w:rPr>
                <w:w w:val="99"/>
                <w:sz w:val="20"/>
              </w:rPr>
              <w:t>5</w:t>
            </w:r>
          </w:p>
        </w:tc>
      </w:tr>
      <w:tr w:rsidR="00DB6E1F" w14:paraId="39B00313" w14:textId="77777777">
        <w:trPr>
          <w:trHeight w:val="263"/>
        </w:trPr>
        <w:tc>
          <w:tcPr>
            <w:tcW w:w="5304" w:type="dxa"/>
            <w:tcBorders>
              <w:bottom w:val="single" w:sz="6" w:space="0" w:color="000000"/>
            </w:tcBorders>
          </w:tcPr>
          <w:p w14:paraId="0D2A022E" w14:textId="77777777" w:rsidR="00DB6E1F" w:rsidRDefault="00F666A6">
            <w:pPr>
              <w:pStyle w:val="TableParagraph"/>
              <w:spacing w:line="242" w:lineRule="exact"/>
              <w:ind w:left="81"/>
              <w:rPr>
                <w:sz w:val="20"/>
              </w:rPr>
            </w:pPr>
            <w:r>
              <w:rPr>
                <w:color w:val="4D4D4F"/>
                <w:sz w:val="20"/>
              </w:rPr>
              <w:t>15.</w:t>
            </w:r>
            <w:r>
              <w:rPr>
                <w:color w:val="4D4D4F"/>
                <w:spacing w:val="19"/>
                <w:sz w:val="20"/>
              </w:rPr>
              <w:t xml:space="preserve"> </w:t>
            </w:r>
            <w:r>
              <w:rPr>
                <w:sz w:val="20"/>
              </w:rPr>
              <w:t>I</w:t>
            </w:r>
            <w:r>
              <w:rPr>
                <w:spacing w:val="3"/>
                <w:sz w:val="20"/>
              </w:rPr>
              <w:t xml:space="preserve"> </w:t>
            </w:r>
            <w:r>
              <w:rPr>
                <w:sz w:val="20"/>
              </w:rPr>
              <w:t>know</w:t>
            </w:r>
            <w:r>
              <w:rPr>
                <w:spacing w:val="2"/>
                <w:sz w:val="20"/>
              </w:rPr>
              <w:t xml:space="preserve"> </w:t>
            </w:r>
            <w:r>
              <w:rPr>
                <w:sz w:val="20"/>
              </w:rPr>
              <w:t>that</w:t>
            </w:r>
            <w:r>
              <w:rPr>
                <w:spacing w:val="2"/>
                <w:sz w:val="20"/>
              </w:rPr>
              <w:t xml:space="preserve"> </w:t>
            </w:r>
            <w:r>
              <w:rPr>
                <w:sz w:val="20"/>
              </w:rPr>
              <w:t>I</w:t>
            </w:r>
            <w:r>
              <w:rPr>
                <w:spacing w:val="3"/>
                <w:sz w:val="20"/>
              </w:rPr>
              <w:t xml:space="preserve"> </w:t>
            </w:r>
            <w:r>
              <w:rPr>
                <w:sz w:val="20"/>
              </w:rPr>
              <w:t>have</w:t>
            </w:r>
            <w:r>
              <w:rPr>
                <w:spacing w:val="2"/>
                <w:sz w:val="20"/>
              </w:rPr>
              <w:t xml:space="preserve"> </w:t>
            </w:r>
            <w:r>
              <w:rPr>
                <w:sz w:val="20"/>
              </w:rPr>
              <w:t>a</w:t>
            </w:r>
            <w:r>
              <w:rPr>
                <w:spacing w:val="3"/>
                <w:sz w:val="20"/>
              </w:rPr>
              <w:t xml:space="preserve"> </w:t>
            </w:r>
            <w:r>
              <w:rPr>
                <w:sz w:val="20"/>
              </w:rPr>
              <w:t>drug</w:t>
            </w:r>
            <w:r>
              <w:rPr>
                <w:spacing w:val="3"/>
                <w:sz w:val="20"/>
              </w:rPr>
              <w:t xml:space="preserve"> </w:t>
            </w:r>
            <w:r>
              <w:rPr>
                <w:spacing w:val="-2"/>
                <w:sz w:val="20"/>
              </w:rPr>
              <w:t>problem.</w:t>
            </w:r>
          </w:p>
        </w:tc>
        <w:tc>
          <w:tcPr>
            <w:tcW w:w="809" w:type="dxa"/>
          </w:tcPr>
          <w:p w14:paraId="1FA24813" w14:textId="77777777" w:rsidR="00DB6E1F" w:rsidRDefault="00F666A6">
            <w:pPr>
              <w:pStyle w:val="TableParagraph"/>
              <w:spacing w:line="242" w:lineRule="exact"/>
              <w:ind w:left="7"/>
              <w:jc w:val="center"/>
              <w:rPr>
                <w:sz w:val="20"/>
              </w:rPr>
            </w:pPr>
            <w:r>
              <w:rPr>
                <w:w w:val="99"/>
                <w:sz w:val="20"/>
              </w:rPr>
              <w:t>1</w:t>
            </w:r>
          </w:p>
        </w:tc>
        <w:tc>
          <w:tcPr>
            <w:tcW w:w="811" w:type="dxa"/>
          </w:tcPr>
          <w:p w14:paraId="2FB3BE92" w14:textId="77777777" w:rsidR="00DB6E1F" w:rsidRDefault="00F666A6">
            <w:pPr>
              <w:pStyle w:val="TableParagraph"/>
              <w:spacing w:line="242" w:lineRule="exact"/>
              <w:ind w:left="352"/>
              <w:rPr>
                <w:sz w:val="20"/>
              </w:rPr>
            </w:pPr>
            <w:r>
              <w:rPr>
                <w:w w:val="99"/>
                <w:sz w:val="20"/>
              </w:rPr>
              <w:t>2</w:t>
            </w:r>
          </w:p>
        </w:tc>
        <w:tc>
          <w:tcPr>
            <w:tcW w:w="989" w:type="dxa"/>
          </w:tcPr>
          <w:p w14:paraId="1DA2AD53" w14:textId="77777777" w:rsidR="00DB6E1F" w:rsidRDefault="00F666A6">
            <w:pPr>
              <w:pStyle w:val="TableParagraph"/>
              <w:spacing w:line="242" w:lineRule="exact"/>
              <w:ind w:left="441"/>
              <w:rPr>
                <w:sz w:val="20"/>
              </w:rPr>
            </w:pPr>
            <w:r>
              <w:rPr>
                <w:w w:val="99"/>
                <w:sz w:val="20"/>
              </w:rPr>
              <w:t>3</w:t>
            </w:r>
          </w:p>
        </w:tc>
        <w:tc>
          <w:tcPr>
            <w:tcW w:w="631" w:type="dxa"/>
          </w:tcPr>
          <w:p w14:paraId="04E00B2B" w14:textId="77777777" w:rsidR="00DB6E1F" w:rsidRDefault="00F666A6">
            <w:pPr>
              <w:pStyle w:val="TableParagraph"/>
              <w:spacing w:line="242" w:lineRule="exact"/>
              <w:ind w:left="11"/>
              <w:jc w:val="center"/>
              <w:rPr>
                <w:sz w:val="20"/>
              </w:rPr>
            </w:pPr>
            <w:r>
              <w:rPr>
                <w:w w:val="99"/>
                <w:sz w:val="20"/>
              </w:rPr>
              <w:t>4</w:t>
            </w:r>
          </w:p>
        </w:tc>
        <w:tc>
          <w:tcPr>
            <w:tcW w:w="816" w:type="dxa"/>
          </w:tcPr>
          <w:p w14:paraId="22192513" w14:textId="77777777" w:rsidR="00DB6E1F" w:rsidRDefault="00F666A6">
            <w:pPr>
              <w:pStyle w:val="TableParagraph"/>
              <w:spacing w:line="242" w:lineRule="exact"/>
              <w:ind w:left="9"/>
              <w:jc w:val="center"/>
              <w:rPr>
                <w:sz w:val="20"/>
              </w:rPr>
            </w:pPr>
            <w:r>
              <w:rPr>
                <w:w w:val="99"/>
                <w:sz w:val="20"/>
              </w:rPr>
              <w:t>5</w:t>
            </w:r>
          </w:p>
        </w:tc>
      </w:tr>
      <w:tr w:rsidR="00DB6E1F" w14:paraId="66BDFB42" w14:textId="77777777">
        <w:trPr>
          <w:trHeight w:val="263"/>
        </w:trPr>
        <w:tc>
          <w:tcPr>
            <w:tcW w:w="5304" w:type="dxa"/>
            <w:tcBorders>
              <w:top w:val="single" w:sz="6" w:space="0" w:color="000000"/>
            </w:tcBorders>
          </w:tcPr>
          <w:p w14:paraId="3072BA15" w14:textId="77777777" w:rsidR="00DB6E1F" w:rsidRDefault="00F666A6">
            <w:pPr>
              <w:pStyle w:val="TableParagraph"/>
              <w:spacing w:line="242" w:lineRule="exact"/>
              <w:ind w:left="81"/>
              <w:rPr>
                <w:sz w:val="20"/>
              </w:rPr>
            </w:pPr>
            <w:r>
              <w:rPr>
                <w:color w:val="4D4D4F"/>
                <w:sz w:val="20"/>
              </w:rPr>
              <w:t>16.</w:t>
            </w:r>
            <w:r>
              <w:rPr>
                <w:color w:val="4D4D4F"/>
                <w:spacing w:val="16"/>
                <w:sz w:val="20"/>
              </w:rPr>
              <w:t xml:space="preserve"> </w:t>
            </w:r>
            <w:r>
              <w:rPr>
                <w:sz w:val="20"/>
              </w:rPr>
              <w:t>There</w:t>
            </w:r>
            <w:r>
              <w:rPr>
                <w:spacing w:val="-1"/>
                <w:sz w:val="20"/>
              </w:rPr>
              <w:t xml:space="preserve"> </w:t>
            </w:r>
            <w:r>
              <w:rPr>
                <w:sz w:val="20"/>
              </w:rPr>
              <w:t>are</w:t>
            </w:r>
            <w:r>
              <w:rPr>
                <w:spacing w:val="-1"/>
                <w:sz w:val="20"/>
              </w:rPr>
              <w:t xml:space="preserve"> </w:t>
            </w:r>
            <w:r>
              <w:rPr>
                <w:sz w:val="20"/>
              </w:rPr>
              <w:t>times</w:t>
            </w:r>
            <w:r>
              <w:rPr>
                <w:spacing w:val="1"/>
                <w:sz w:val="20"/>
              </w:rPr>
              <w:t xml:space="preserve"> </w:t>
            </w:r>
            <w:r>
              <w:rPr>
                <w:sz w:val="20"/>
              </w:rPr>
              <w:t>when</w:t>
            </w:r>
            <w:r>
              <w:rPr>
                <w:spacing w:val="1"/>
                <w:sz w:val="20"/>
              </w:rPr>
              <w:t xml:space="preserve"> </w:t>
            </w:r>
            <w:r>
              <w:rPr>
                <w:sz w:val="20"/>
              </w:rPr>
              <w:t>I wonder if</w:t>
            </w:r>
            <w:r>
              <w:rPr>
                <w:spacing w:val="-1"/>
                <w:sz w:val="20"/>
              </w:rPr>
              <w:t xml:space="preserve"> </w:t>
            </w:r>
            <w:r>
              <w:rPr>
                <w:sz w:val="20"/>
              </w:rPr>
              <w:t>I use</w:t>
            </w:r>
            <w:r>
              <w:rPr>
                <w:spacing w:val="-1"/>
                <w:sz w:val="20"/>
              </w:rPr>
              <w:t xml:space="preserve"> </w:t>
            </w:r>
            <w:r>
              <w:rPr>
                <w:sz w:val="20"/>
              </w:rPr>
              <w:t>drugs</w:t>
            </w:r>
            <w:r>
              <w:rPr>
                <w:spacing w:val="-1"/>
                <w:sz w:val="20"/>
              </w:rPr>
              <w:t xml:space="preserve"> </w:t>
            </w:r>
            <w:r>
              <w:rPr>
                <w:sz w:val="20"/>
              </w:rPr>
              <w:t xml:space="preserve">too </w:t>
            </w:r>
            <w:r>
              <w:rPr>
                <w:spacing w:val="-4"/>
                <w:sz w:val="20"/>
              </w:rPr>
              <w:t>much.</w:t>
            </w:r>
          </w:p>
        </w:tc>
        <w:tc>
          <w:tcPr>
            <w:tcW w:w="809" w:type="dxa"/>
            <w:tcBorders>
              <w:bottom w:val="single" w:sz="6" w:space="0" w:color="000000"/>
            </w:tcBorders>
          </w:tcPr>
          <w:p w14:paraId="3C598ABA" w14:textId="77777777" w:rsidR="00DB6E1F" w:rsidRDefault="00F666A6">
            <w:pPr>
              <w:pStyle w:val="TableParagraph"/>
              <w:spacing w:line="242" w:lineRule="exact"/>
              <w:ind w:left="7"/>
              <w:jc w:val="center"/>
              <w:rPr>
                <w:sz w:val="20"/>
              </w:rPr>
            </w:pPr>
            <w:r>
              <w:rPr>
                <w:w w:val="99"/>
                <w:sz w:val="20"/>
              </w:rPr>
              <w:t>1</w:t>
            </w:r>
          </w:p>
        </w:tc>
        <w:tc>
          <w:tcPr>
            <w:tcW w:w="811" w:type="dxa"/>
            <w:tcBorders>
              <w:bottom w:val="single" w:sz="6" w:space="0" w:color="000000"/>
            </w:tcBorders>
          </w:tcPr>
          <w:p w14:paraId="522BC5E7" w14:textId="77777777" w:rsidR="00DB6E1F" w:rsidRDefault="00F666A6">
            <w:pPr>
              <w:pStyle w:val="TableParagraph"/>
              <w:spacing w:line="242" w:lineRule="exact"/>
              <w:ind w:left="352"/>
              <w:rPr>
                <w:sz w:val="20"/>
              </w:rPr>
            </w:pPr>
            <w:r>
              <w:rPr>
                <w:w w:val="99"/>
                <w:sz w:val="20"/>
              </w:rPr>
              <w:t>2</w:t>
            </w:r>
          </w:p>
        </w:tc>
        <w:tc>
          <w:tcPr>
            <w:tcW w:w="989" w:type="dxa"/>
            <w:tcBorders>
              <w:bottom w:val="single" w:sz="6" w:space="0" w:color="000000"/>
            </w:tcBorders>
          </w:tcPr>
          <w:p w14:paraId="745421EE" w14:textId="77777777" w:rsidR="00DB6E1F" w:rsidRDefault="00F666A6">
            <w:pPr>
              <w:pStyle w:val="TableParagraph"/>
              <w:spacing w:line="242" w:lineRule="exact"/>
              <w:ind w:left="441"/>
              <w:rPr>
                <w:sz w:val="20"/>
              </w:rPr>
            </w:pPr>
            <w:r>
              <w:rPr>
                <w:w w:val="99"/>
                <w:sz w:val="20"/>
              </w:rPr>
              <w:t>3</w:t>
            </w:r>
          </w:p>
        </w:tc>
        <w:tc>
          <w:tcPr>
            <w:tcW w:w="631" w:type="dxa"/>
            <w:tcBorders>
              <w:bottom w:val="single" w:sz="6" w:space="0" w:color="000000"/>
            </w:tcBorders>
          </w:tcPr>
          <w:p w14:paraId="5AA6A0B2" w14:textId="77777777" w:rsidR="00DB6E1F" w:rsidRDefault="00F666A6">
            <w:pPr>
              <w:pStyle w:val="TableParagraph"/>
              <w:spacing w:line="242" w:lineRule="exact"/>
              <w:ind w:left="11"/>
              <w:jc w:val="center"/>
              <w:rPr>
                <w:sz w:val="20"/>
              </w:rPr>
            </w:pPr>
            <w:r>
              <w:rPr>
                <w:w w:val="99"/>
                <w:sz w:val="20"/>
              </w:rPr>
              <w:t>4</w:t>
            </w:r>
          </w:p>
        </w:tc>
        <w:tc>
          <w:tcPr>
            <w:tcW w:w="816" w:type="dxa"/>
            <w:tcBorders>
              <w:bottom w:val="single" w:sz="6" w:space="0" w:color="000000"/>
            </w:tcBorders>
          </w:tcPr>
          <w:p w14:paraId="456FA29B" w14:textId="77777777" w:rsidR="00DB6E1F" w:rsidRDefault="00F666A6">
            <w:pPr>
              <w:pStyle w:val="TableParagraph"/>
              <w:spacing w:line="242" w:lineRule="exact"/>
              <w:ind w:left="9"/>
              <w:jc w:val="center"/>
              <w:rPr>
                <w:sz w:val="20"/>
              </w:rPr>
            </w:pPr>
            <w:r>
              <w:rPr>
                <w:w w:val="99"/>
                <w:sz w:val="20"/>
              </w:rPr>
              <w:t>5</w:t>
            </w:r>
          </w:p>
        </w:tc>
      </w:tr>
      <w:tr w:rsidR="00DB6E1F" w14:paraId="5CB9A611" w14:textId="77777777">
        <w:trPr>
          <w:trHeight w:val="263"/>
        </w:trPr>
        <w:tc>
          <w:tcPr>
            <w:tcW w:w="5304" w:type="dxa"/>
          </w:tcPr>
          <w:p w14:paraId="215D02D9" w14:textId="77777777" w:rsidR="00DB6E1F" w:rsidRDefault="00F666A6">
            <w:pPr>
              <w:pStyle w:val="TableParagraph"/>
              <w:spacing w:line="242" w:lineRule="exact"/>
              <w:ind w:left="81"/>
              <w:rPr>
                <w:sz w:val="20"/>
              </w:rPr>
            </w:pPr>
            <w:r>
              <w:rPr>
                <w:color w:val="4D4D4F"/>
                <w:sz w:val="20"/>
              </w:rPr>
              <w:t>17.</w:t>
            </w:r>
            <w:r>
              <w:rPr>
                <w:color w:val="4D4D4F"/>
                <w:spacing w:val="24"/>
                <w:sz w:val="20"/>
              </w:rPr>
              <w:t xml:space="preserve"> </w:t>
            </w:r>
            <w:r>
              <w:rPr>
                <w:sz w:val="20"/>
              </w:rPr>
              <w:t>I</w:t>
            </w:r>
            <w:r>
              <w:rPr>
                <w:spacing w:val="7"/>
                <w:sz w:val="20"/>
              </w:rPr>
              <w:t xml:space="preserve"> </w:t>
            </w:r>
            <w:r>
              <w:rPr>
                <w:sz w:val="20"/>
              </w:rPr>
              <w:t>am</w:t>
            </w:r>
            <w:r>
              <w:rPr>
                <w:spacing w:val="5"/>
                <w:sz w:val="20"/>
              </w:rPr>
              <w:t xml:space="preserve"> </w:t>
            </w:r>
            <w:r>
              <w:rPr>
                <w:sz w:val="20"/>
              </w:rPr>
              <w:t>a</w:t>
            </w:r>
            <w:r>
              <w:rPr>
                <w:spacing w:val="7"/>
                <w:sz w:val="20"/>
              </w:rPr>
              <w:t xml:space="preserve"> </w:t>
            </w:r>
            <w:r>
              <w:rPr>
                <w:sz w:val="20"/>
              </w:rPr>
              <w:t>drug</w:t>
            </w:r>
            <w:r>
              <w:rPr>
                <w:spacing w:val="7"/>
                <w:sz w:val="20"/>
              </w:rPr>
              <w:t xml:space="preserve"> </w:t>
            </w:r>
            <w:r>
              <w:rPr>
                <w:spacing w:val="-2"/>
                <w:sz w:val="20"/>
              </w:rPr>
              <w:t>addict.</w:t>
            </w:r>
          </w:p>
        </w:tc>
        <w:tc>
          <w:tcPr>
            <w:tcW w:w="809" w:type="dxa"/>
            <w:tcBorders>
              <w:top w:val="single" w:sz="6" w:space="0" w:color="000000"/>
            </w:tcBorders>
          </w:tcPr>
          <w:p w14:paraId="0842F994" w14:textId="77777777" w:rsidR="00DB6E1F" w:rsidRDefault="00F666A6">
            <w:pPr>
              <w:pStyle w:val="TableParagraph"/>
              <w:spacing w:line="242" w:lineRule="exact"/>
              <w:ind w:left="7"/>
              <w:jc w:val="center"/>
              <w:rPr>
                <w:sz w:val="20"/>
              </w:rPr>
            </w:pPr>
            <w:r>
              <w:rPr>
                <w:w w:val="99"/>
                <w:sz w:val="20"/>
              </w:rPr>
              <w:t>1</w:t>
            </w:r>
          </w:p>
        </w:tc>
        <w:tc>
          <w:tcPr>
            <w:tcW w:w="811" w:type="dxa"/>
            <w:tcBorders>
              <w:top w:val="single" w:sz="6" w:space="0" w:color="000000"/>
            </w:tcBorders>
          </w:tcPr>
          <w:p w14:paraId="0C6D65D4" w14:textId="77777777" w:rsidR="00DB6E1F" w:rsidRDefault="00F666A6">
            <w:pPr>
              <w:pStyle w:val="TableParagraph"/>
              <w:spacing w:line="242" w:lineRule="exact"/>
              <w:ind w:left="352"/>
              <w:rPr>
                <w:sz w:val="20"/>
              </w:rPr>
            </w:pPr>
            <w:r>
              <w:rPr>
                <w:w w:val="99"/>
                <w:sz w:val="20"/>
              </w:rPr>
              <w:t>2</w:t>
            </w:r>
          </w:p>
        </w:tc>
        <w:tc>
          <w:tcPr>
            <w:tcW w:w="989" w:type="dxa"/>
            <w:tcBorders>
              <w:top w:val="single" w:sz="6" w:space="0" w:color="000000"/>
            </w:tcBorders>
          </w:tcPr>
          <w:p w14:paraId="5BE83F4B" w14:textId="77777777" w:rsidR="00DB6E1F" w:rsidRDefault="00F666A6">
            <w:pPr>
              <w:pStyle w:val="TableParagraph"/>
              <w:spacing w:line="242" w:lineRule="exact"/>
              <w:ind w:left="441"/>
              <w:rPr>
                <w:sz w:val="20"/>
              </w:rPr>
            </w:pPr>
            <w:r>
              <w:rPr>
                <w:w w:val="99"/>
                <w:sz w:val="20"/>
              </w:rPr>
              <w:t>3</w:t>
            </w:r>
          </w:p>
        </w:tc>
        <w:tc>
          <w:tcPr>
            <w:tcW w:w="631" w:type="dxa"/>
            <w:tcBorders>
              <w:top w:val="single" w:sz="6" w:space="0" w:color="000000"/>
            </w:tcBorders>
          </w:tcPr>
          <w:p w14:paraId="77D112CF" w14:textId="77777777" w:rsidR="00DB6E1F" w:rsidRDefault="00F666A6">
            <w:pPr>
              <w:pStyle w:val="TableParagraph"/>
              <w:spacing w:line="242" w:lineRule="exact"/>
              <w:ind w:left="11"/>
              <w:jc w:val="center"/>
              <w:rPr>
                <w:sz w:val="20"/>
              </w:rPr>
            </w:pPr>
            <w:r>
              <w:rPr>
                <w:w w:val="99"/>
                <w:sz w:val="20"/>
              </w:rPr>
              <w:t>4</w:t>
            </w:r>
          </w:p>
        </w:tc>
        <w:tc>
          <w:tcPr>
            <w:tcW w:w="816" w:type="dxa"/>
            <w:tcBorders>
              <w:top w:val="single" w:sz="6" w:space="0" w:color="000000"/>
            </w:tcBorders>
          </w:tcPr>
          <w:p w14:paraId="2ACB84FD" w14:textId="77777777" w:rsidR="00DB6E1F" w:rsidRDefault="00F666A6">
            <w:pPr>
              <w:pStyle w:val="TableParagraph"/>
              <w:spacing w:line="242" w:lineRule="exact"/>
              <w:ind w:left="9"/>
              <w:jc w:val="center"/>
              <w:rPr>
                <w:sz w:val="20"/>
              </w:rPr>
            </w:pPr>
            <w:r>
              <w:rPr>
                <w:w w:val="99"/>
                <w:sz w:val="20"/>
              </w:rPr>
              <w:t>5</w:t>
            </w:r>
          </w:p>
        </w:tc>
      </w:tr>
      <w:tr w:rsidR="00DB6E1F" w14:paraId="326D1661" w14:textId="77777777">
        <w:trPr>
          <w:trHeight w:val="263"/>
        </w:trPr>
        <w:tc>
          <w:tcPr>
            <w:tcW w:w="5304" w:type="dxa"/>
          </w:tcPr>
          <w:p w14:paraId="5924B0F1" w14:textId="77777777" w:rsidR="00DB6E1F" w:rsidRDefault="00F666A6">
            <w:pPr>
              <w:pStyle w:val="TableParagraph"/>
              <w:spacing w:line="242" w:lineRule="exact"/>
              <w:ind w:left="81"/>
              <w:rPr>
                <w:sz w:val="20"/>
              </w:rPr>
            </w:pPr>
            <w:r>
              <w:rPr>
                <w:color w:val="4D4D4F"/>
                <w:sz w:val="20"/>
              </w:rPr>
              <w:t>18.</w:t>
            </w:r>
            <w:r>
              <w:rPr>
                <w:color w:val="4D4D4F"/>
                <w:spacing w:val="17"/>
                <w:sz w:val="20"/>
              </w:rPr>
              <w:t xml:space="preserve"> </w:t>
            </w:r>
            <w:r>
              <w:rPr>
                <w:sz w:val="20"/>
              </w:rPr>
              <w:t>I</w:t>
            </w:r>
            <w:r>
              <w:rPr>
                <w:spacing w:val="1"/>
                <w:sz w:val="20"/>
              </w:rPr>
              <w:t xml:space="preserve"> </w:t>
            </w:r>
            <w:r>
              <w:rPr>
                <w:sz w:val="20"/>
              </w:rPr>
              <w:t>am working</w:t>
            </w:r>
            <w:r>
              <w:rPr>
                <w:spacing w:val="1"/>
                <w:sz w:val="20"/>
              </w:rPr>
              <w:t xml:space="preserve"> </w:t>
            </w:r>
            <w:r>
              <w:rPr>
                <w:sz w:val="20"/>
              </w:rPr>
              <w:t>hard</w:t>
            </w:r>
            <w:r>
              <w:rPr>
                <w:spacing w:val="2"/>
                <w:sz w:val="20"/>
              </w:rPr>
              <w:t xml:space="preserve"> </w:t>
            </w:r>
            <w:r>
              <w:rPr>
                <w:sz w:val="20"/>
              </w:rPr>
              <w:t>to</w:t>
            </w:r>
            <w:r>
              <w:rPr>
                <w:spacing w:val="2"/>
                <w:sz w:val="20"/>
              </w:rPr>
              <w:t xml:space="preserve"> </w:t>
            </w:r>
            <w:r>
              <w:rPr>
                <w:sz w:val="20"/>
              </w:rPr>
              <w:t>change my</w:t>
            </w:r>
            <w:r>
              <w:rPr>
                <w:spacing w:val="2"/>
                <w:sz w:val="20"/>
              </w:rPr>
              <w:t xml:space="preserve"> </w:t>
            </w:r>
            <w:r>
              <w:rPr>
                <w:sz w:val="20"/>
              </w:rPr>
              <w:t>drug</w:t>
            </w:r>
            <w:r>
              <w:rPr>
                <w:spacing w:val="1"/>
                <w:sz w:val="20"/>
              </w:rPr>
              <w:t xml:space="preserve"> </w:t>
            </w:r>
            <w:r>
              <w:rPr>
                <w:spacing w:val="-4"/>
                <w:sz w:val="20"/>
              </w:rPr>
              <w:t>use.</w:t>
            </w:r>
          </w:p>
        </w:tc>
        <w:tc>
          <w:tcPr>
            <w:tcW w:w="809" w:type="dxa"/>
          </w:tcPr>
          <w:p w14:paraId="6FA4F46D" w14:textId="77777777" w:rsidR="00DB6E1F" w:rsidRDefault="00F666A6">
            <w:pPr>
              <w:pStyle w:val="TableParagraph"/>
              <w:spacing w:line="242" w:lineRule="exact"/>
              <w:ind w:left="7"/>
              <w:jc w:val="center"/>
              <w:rPr>
                <w:sz w:val="20"/>
              </w:rPr>
            </w:pPr>
            <w:r>
              <w:rPr>
                <w:w w:val="99"/>
                <w:sz w:val="20"/>
              </w:rPr>
              <w:t>1</w:t>
            </w:r>
          </w:p>
        </w:tc>
        <w:tc>
          <w:tcPr>
            <w:tcW w:w="811" w:type="dxa"/>
          </w:tcPr>
          <w:p w14:paraId="2641E280" w14:textId="77777777" w:rsidR="00DB6E1F" w:rsidRDefault="00F666A6">
            <w:pPr>
              <w:pStyle w:val="TableParagraph"/>
              <w:spacing w:line="242" w:lineRule="exact"/>
              <w:ind w:left="352"/>
              <w:rPr>
                <w:sz w:val="20"/>
              </w:rPr>
            </w:pPr>
            <w:r>
              <w:rPr>
                <w:w w:val="99"/>
                <w:sz w:val="20"/>
              </w:rPr>
              <w:t>2</w:t>
            </w:r>
          </w:p>
        </w:tc>
        <w:tc>
          <w:tcPr>
            <w:tcW w:w="989" w:type="dxa"/>
          </w:tcPr>
          <w:p w14:paraId="489B075D" w14:textId="77777777" w:rsidR="00DB6E1F" w:rsidRDefault="00F666A6">
            <w:pPr>
              <w:pStyle w:val="TableParagraph"/>
              <w:spacing w:line="242" w:lineRule="exact"/>
              <w:ind w:left="441"/>
              <w:rPr>
                <w:sz w:val="20"/>
              </w:rPr>
            </w:pPr>
            <w:r>
              <w:rPr>
                <w:w w:val="99"/>
                <w:sz w:val="20"/>
              </w:rPr>
              <w:t>3</w:t>
            </w:r>
          </w:p>
        </w:tc>
        <w:tc>
          <w:tcPr>
            <w:tcW w:w="631" w:type="dxa"/>
          </w:tcPr>
          <w:p w14:paraId="7E7663D5" w14:textId="77777777" w:rsidR="00DB6E1F" w:rsidRDefault="00F666A6">
            <w:pPr>
              <w:pStyle w:val="TableParagraph"/>
              <w:spacing w:line="242" w:lineRule="exact"/>
              <w:ind w:left="11"/>
              <w:jc w:val="center"/>
              <w:rPr>
                <w:sz w:val="20"/>
              </w:rPr>
            </w:pPr>
            <w:r>
              <w:rPr>
                <w:w w:val="99"/>
                <w:sz w:val="20"/>
              </w:rPr>
              <w:t>4</w:t>
            </w:r>
          </w:p>
        </w:tc>
        <w:tc>
          <w:tcPr>
            <w:tcW w:w="816" w:type="dxa"/>
          </w:tcPr>
          <w:p w14:paraId="1EE0D58C" w14:textId="77777777" w:rsidR="00DB6E1F" w:rsidRDefault="00F666A6">
            <w:pPr>
              <w:pStyle w:val="TableParagraph"/>
              <w:spacing w:line="242" w:lineRule="exact"/>
              <w:ind w:left="9"/>
              <w:jc w:val="center"/>
              <w:rPr>
                <w:sz w:val="20"/>
              </w:rPr>
            </w:pPr>
            <w:r>
              <w:rPr>
                <w:w w:val="99"/>
                <w:sz w:val="20"/>
              </w:rPr>
              <w:t>5</w:t>
            </w:r>
          </w:p>
        </w:tc>
      </w:tr>
      <w:tr w:rsidR="00DB6E1F" w14:paraId="5A973A60" w14:textId="77777777">
        <w:trPr>
          <w:trHeight w:val="527"/>
        </w:trPr>
        <w:tc>
          <w:tcPr>
            <w:tcW w:w="5304" w:type="dxa"/>
          </w:tcPr>
          <w:p w14:paraId="1E005BC3" w14:textId="77777777" w:rsidR="00DB6E1F" w:rsidRDefault="00F666A6">
            <w:pPr>
              <w:pStyle w:val="TableParagraph"/>
              <w:ind w:left="81"/>
              <w:rPr>
                <w:sz w:val="20"/>
              </w:rPr>
            </w:pPr>
            <w:r>
              <w:rPr>
                <w:color w:val="4D4D4F"/>
                <w:spacing w:val="-2"/>
                <w:sz w:val="20"/>
              </w:rPr>
              <w:t>19.</w:t>
            </w:r>
            <w:r>
              <w:rPr>
                <w:color w:val="4D4D4F"/>
                <w:spacing w:val="4"/>
                <w:sz w:val="20"/>
              </w:rPr>
              <w:t xml:space="preserve"> </w:t>
            </w:r>
            <w:r>
              <w:rPr>
                <w:spacing w:val="-2"/>
                <w:sz w:val="20"/>
              </w:rPr>
              <w:t>I</w:t>
            </w:r>
            <w:r>
              <w:rPr>
                <w:spacing w:val="-9"/>
                <w:sz w:val="20"/>
              </w:rPr>
              <w:t xml:space="preserve"> </w:t>
            </w:r>
            <w:r>
              <w:rPr>
                <w:spacing w:val="-2"/>
                <w:sz w:val="20"/>
              </w:rPr>
              <w:t>have</w:t>
            </w:r>
            <w:r>
              <w:rPr>
                <w:spacing w:val="-9"/>
                <w:sz w:val="20"/>
              </w:rPr>
              <w:t xml:space="preserve"> </w:t>
            </w:r>
            <w:r>
              <w:rPr>
                <w:spacing w:val="-2"/>
                <w:sz w:val="20"/>
              </w:rPr>
              <w:t>made</w:t>
            </w:r>
            <w:r>
              <w:rPr>
                <w:spacing w:val="-9"/>
                <w:sz w:val="20"/>
              </w:rPr>
              <w:t xml:space="preserve"> </w:t>
            </w:r>
            <w:r>
              <w:rPr>
                <w:spacing w:val="-2"/>
                <w:sz w:val="20"/>
              </w:rPr>
              <w:t>some</w:t>
            </w:r>
            <w:r>
              <w:rPr>
                <w:spacing w:val="-10"/>
                <w:sz w:val="20"/>
              </w:rPr>
              <w:t xml:space="preserve"> </w:t>
            </w:r>
            <w:r>
              <w:rPr>
                <w:spacing w:val="-2"/>
                <w:sz w:val="20"/>
              </w:rPr>
              <w:t>changes</w:t>
            </w:r>
            <w:r>
              <w:rPr>
                <w:spacing w:val="-11"/>
                <w:sz w:val="20"/>
              </w:rPr>
              <w:t xml:space="preserve"> </w:t>
            </w:r>
            <w:r>
              <w:rPr>
                <w:spacing w:val="-2"/>
                <w:sz w:val="20"/>
              </w:rPr>
              <w:t>in</w:t>
            </w:r>
            <w:r>
              <w:rPr>
                <w:spacing w:val="-9"/>
                <w:sz w:val="20"/>
              </w:rPr>
              <w:t xml:space="preserve"> </w:t>
            </w:r>
            <w:r>
              <w:rPr>
                <w:spacing w:val="-2"/>
                <w:sz w:val="20"/>
              </w:rPr>
              <w:t>my</w:t>
            </w:r>
            <w:r>
              <w:rPr>
                <w:spacing w:val="-9"/>
                <w:sz w:val="20"/>
              </w:rPr>
              <w:t xml:space="preserve"> </w:t>
            </w:r>
            <w:r>
              <w:rPr>
                <w:spacing w:val="-2"/>
                <w:sz w:val="20"/>
              </w:rPr>
              <w:t>drug</w:t>
            </w:r>
            <w:r>
              <w:rPr>
                <w:spacing w:val="-9"/>
                <w:sz w:val="20"/>
              </w:rPr>
              <w:t xml:space="preserve"> </w:t>
            </w:r>
            <w:r>
              <w:rPr>
                <w:spacing w:val="-2"/>
                <w:sz w:val="20"/>
              </w:rPr>
              <w:t>use,</w:t>
            </w:r>
            <w:r>
              <w:rPr>
                <w:spacing w:val="-10"/>
                <w:sz w:val="20"/>
              </w:rPr>
              <w:t xml:space="preserve"> </w:t>
            </w:r>
            <w:r>
              <w:rPr>
                <w:spacing w:val="-2"/>
                <w:sz w:val="20"/>
              </w:rPr>
              <w:t>and</w:t>
            </w:r>
            <w:r>
              <w:rPr>
                <w:spacing w:val="-9"/>
                <w:sz w:val="20"/>
              </w:rPr>
              <w:t xml:space="preserve"> </w:t>
            </w:r>
            <w:r>
              <w:rPr>
                <w:spacing w:val="-2"/>
                <w:sz w:val="20"/>
              </w:rPr>
              <w:t>I</w:t>
            </w:r>
            <w:r>
              <w:rPr>
                <w:spacing w:val="-9"/>
                <w:sz w:val="20"/>
              </w:rPr>
              <w:t xml:space="preserve"> </w:t>
            </w:r>
            <w:r>
              <w:rPr>
                <w:spacing w:val="-2"/>
                <w:sz w:val="20"/>
              </w:rPr>
              <w:t>want</w:t>
            </w:r>
            <w:r>
              <w:rPr>
                <w:spacing w:val="-9"/>
                <w:sz w:val="20"/>
              </w:rPr>
              <w:t xml:space="preserve"> </w:t>
            </w:r>
            <w:r>
              <w:rPr>
                <w:spacing w:val="-4"/>
                <w:sz w:val="20"/>
              </w:rPr>
              <w:t>some</w:t>
            </w:r>
          </w:p>
          <w:p w14:paraId="0ECCF71F" w14:textId="77777777" w:rsidR="00DB6E1F" w:rsidRDefault="00F666A6">
            <w:pPr>
              <w:pStyle w:val="TableParagraph"/>
              <w:spacing w:before="20" w:line="242" w:lineRule="exact"/>
              <w:ind w:left="441"/>
              <w:rPr>
                <w:sz w:val="20"/>
              </w:rPr>
            </w:pPr>
            <w:r>
              <w:rPr>
                <w:w w:val="95"/>
                <w:sz w:val="20"/>
              </w:rPr>
              <w:t>help</w:t>
            </w:r>
            <w:r>
              <w:rPr>
                <w:spacing w:val="-2"/>
                <w:w w:val="95"/>
                <w:sz w:val="20"/>
              </w:rPr>
              <w:t xml:space="preserve"> </w:t>
            </w:r>
            <w:r>
              <w:rPr>
                <w:w w:val="95"/>
                <w:sz w:val="20"/>
              </w:rPr>
              <w:t>to</w:t>
            </w:r>
            <w:r>
              <w:rPr>
                <w:spacing w:val="-2"/>
                <w:w w:val="95"/>
                <w:sz w:val="20"/>
              </w:rPr>
              <w:t xml:space="preserve"> </w:t>
            </w:r>
            <w:r>
              <w:rPr>
                <w:w w:val="95"/>
                <w:sz w:val="20"/>
              </w:rPr>
              <w:t>keep</w:t>
            </w:r>
            <w:r>
              <w:rPr>
                <w:spacing w:val="-1"/>
                <w:w w:val="95"/>
                <w:sz w:val="20"/>
              </w:rPr>
              <w:t xml:space="preserve"> </w:t>
            </w:r>
            <w:r>
              <w:rPr>
                <w:w w:val="95"/>
                <w:sz w:val="20"/>
              </w:rPr>
              <w:t>from</w:t>
            </w:r>
            <w:r>
              <w:rPr>
                <w:spacing w:val="-3"/>
                <w:w w:val="95"/>
                <w:sz w:val="20"/>
              </w:rPr>
              <w:t xml:space="preserve"> </w:t>
            </w:r>
            <w:r>
              <w:rPr>
                <w:w w:val="95"/>
                <w:sz w:val="20"/>
              </w:rPr>
              <w:t>going</w:t>
            </w:r>
            <w:r>
              <w:rPr>
                <w:spacing w:val="-6"/>
                <w:w w:val="95"/>
                <w:sz w:val="20"/>
              </w:rPr>
              <w:t xml:space="preserve"> </w:t>
            </w:r>
            <w:r>
              <w:rPr>
                <w:w w:val="95"/>
                <w:sz w:val="20"/>
              </w:rPr>
              <w:t>back</w:t>
            </w:r>
            <w:r>
              <w:rPr>
                <w:spacing w:val="-2"/>
                <w:w w:val="95"/>
                <w:sz w:val="20"/>
              </w:rPr>
              <w:t xml:space="preserve"> </w:t>
            </w:r>
            <w:r>
              <w:rPr>
                <w:w w:val="95"/>
                <w:sz w:val="20"/>
              </w:rPr>
              <w:t>to</w:t>
            </w:r>
            <w:r>
              <w:rPr>
                <w:spacing w:val="-4"/>
                <w:w w:val="95"/>
                <w:sz w:val="20"/>
              </w:rPr>
              <w:t xml:space="preserve"> </w:t>
            </w:r>
            <w:r>
              <w:rPr>
                <w:w w:val="95"/>
                <w:sz w:val="20"/>
              </w:rPr>
              <w:t>the</w:t>
            </w:r>
            <w:r>
              <w:rPr>
                <w:spacing w:val="-4"/>
                <w:w w:val="95"/>
                <w:sz w:val="20"/>
              </w:rPr>
              <w:t xml:space="preserve"> </w:t>
            </w:r>
            <w:r>
              <w:rPr>
                <w:w w:val="95"/>
                <w:sz w:val="20"/>
              </w:rPr>
              <w:t>way</w:t>
            </w:r>
            <w:r>
              <w:rPr>
                <w:spacing w:val="-1"/>
                <w:w w:val="95"/>
                <w:sz w:val="20"/>
              </w:rPr>
              <w:t xml:space="preserve"> </w:t>
            </w:r>
            <w:r>
              <w:rPr>
                <w:w w:val="95"/>
                <w:sz w:val="20"/>
              </w:rPr>
              <w:t>I</w:t>
            </w:r>
            <w:r>
              <w:rPr>
                <w:spacing w:val="-4"/>
                <w:w w:val="95"/>
                <w:sz w:val="20"/>
              </w:rPr>
              <w:t xml:space="preserve"> </w:t>
            </w:r>
            <w:r>
              <w:rPr>
                <w:w w:val="95"/>
                <w:sz w:val="20"/>
              </w:rPr>
              <w:t>used</w:t>
            </w:r>
            <w:r>
              <w:rPr>
                <w:spacing w:val="-5"/>
                <w:w w:val="95"/>
                <w:sz w:val="20"/>
              </w:rPr>
              <w:t xml:space="preserve"> </w:t>
            </w:r>
            <w:r>
              <w:rPr>
                <w:spacing w:val="-2"/>
                <w:w w:val="95"/>
                <w:sz w:val="20"/>
              </w:rPr>
              <w:t>before.</w:t>
            </w:r>
          </w:p>
        </w:tc>
        <w:tc>
          <w:tcPr>
            <w:tcW w:w="809" w:type="dxa"/>
          </w:tcPr>
          <w:p w14:paraId="68312B56" w14:textId="77777777" w:rsidR="00DB6E1F" w:rsidRDefault="00F666A6">
            <w:pPr>
              <w:pStyle w:val="TableParagraph"/>
              <w:spacing w:before="133"/>
              <w:ind w:left="7"/>
              <w:jc w:val="center"/>
              <w:rPr>
                <w:sz w:val="20"/>
              </w:rPr>
            </w:pPr>
            <w:r>
              <w:rPr>
                <w:w w:val="99"/>
                <w:sz w:val="20"/>
              </w:rPr>
              <w:t>1</w:t>
            </w:r>
          </w:p>
        </w:tc>
        <w:tc>
          <w:tcPr>
            <w:tcW w:w="811" w:type="dxa"/>
          </w:tcPr>
          <w:p w14:paraId="41588298" w14:textId="77777777" w:rsidR="00DB6E1F" w:rsidRDefault="00F666A6">
            <w:pPr>
              <w:pStyle w:val="TableParagraph"/>
              <w:spacing w:before="133"/>
              <w:ind w:left="352"/>
              <w:rPr>
                <w:sz w:val="20"/>
              </w:rPr>
            </w:pPr>
            <w:r>
              <w:rPr>
                <w:w w:val="99"/>
                <w:sz w:val="20"/>
              </w:rPr>
              <w:t>2</w:t>
            </w:r>
          </w:p>
        </w:tc>
        <w:tc>
          <w:tcPr>
            <w:tcW w:w="989" w:type="dxa"/>
          </w:tcPr>
          <w:p w14:paraId="7B96E0D3" w14:textId="77777777" w:rsidR="00DB6E1F" w:rsidRDefault="00F666A6">
            <w:pPr>
              <w:pStyle w:val="TableParagraph"/>
              <w:spacing w:before="133"/>
              <w:ind w:left="441"/>
              <w:rPr>
                <w:sz w:val="20"/>
              </w:rPr>
            </w:pPr>
            <w:r>
              <w:rPr>
                <w:w w:val="99"/>
                <w:sz w:val="20"/>
              </w:rPr>
              <w:t>3</w:t>
            </w:r>
          </w:p>
        </w:tc>
        <w:tc>
          <w:tcPr>
            <w:tcW w:w="631" w:type="dxa"/>
          </w:tcPr>
          <w:p w14:paraId="663BF629" w14:textId="77777777" w:rsidR="00DB6E1F" w:rsidRDefault="00F666A6">
            <w:pPr>
              <w:pStyle w:val="TableParagraph"/>
              <w:spacing w:before="133"/>
              <w:ind w:left="11"/>
              <w:jc w:val="center"/>
              <w:rPr>
                <w:sz w:val="20"/>
              </w:rPr>
            </w:pPr>
            <w:r>
              <w:rPr>
                <w:w w:val="99"/>
                <w:sz w:val="20"/>
              </w:rPr>
              <w:t>4</w:t>
            </w:r>
          </w:p>
        </w:tc>
        <w:tc>
          <w:tcPr>
            <w:tcW w:w="816" w:type="dxa"/>
          </w:tcPr>
          <w:p w14:paraId="255F784F" w14:textId="77777777" w:rsidR="00DB6E1F" w:rsidRDefault="00F666A6">
            <w:pPr>
              <w:pStyle w:val="TableParagraph"/>
              <w:spacing w:before="133"/>
              <w:ind w:left="9"/>
              <w:jc w:val="center"/>
              <w:rPr>
                <w:sz w:val="20"/>
              </w:rPr>
            </w:pPr>
            <w:r>
              <w:rPr>
                <w:w w:val="99"/>
                <w:sz w:val="20"/>
              </w:rPr>
              <w:t>5</w:t>
            </w:r>
          </w:p>
        </w:tc>
      </w:tr>
    </w:tbl>
    <w:p w14:paraId="76A7603F" w14:textId="77777777" w:rsidR="00DB6E1F" w:rsidRDefault="00F666A6">
      <w:pPr>
        <w:spacing w:before="128" w:after="42"/>
        <w:ind w:left="1440"/>
        <w:rPr>
          <w:sz w:val="20"/>
        </w:rPr>
      </w:pPr>
      <w:r>
        <w:rPr>
          <w:b/>
          <w:sz w:val="20"/>
        </w:rPr>
        <w:t>SOCRATES</w:t>
      </w:r>
      <w:r>
        <w:rPr>
          <w:b/>
          <w:spacing w:val="-7"/>
          <w:sz w:val="20"/>
        </w:rPr>
        <w:t xml:space="preserve"> </w:t>
      </w:r>
      <w:r>
        <w:rPr>
          <w:b/>
          <w:sz w:val="20"/>
        </w:rPr>
        <w:t>Scoring</w:t>
      </w:r>
      <w:r>
        <w:rPr>
          <w:b/>
          <w:spacing w:val="-7"/>
          <w:sz w:val="20"/>
        </w:rPr>
        <w:t xml:space="preserve"> </w:t>
      </w:r>
      <w:r>
        <w:rPr>
          <w:b/>
          <w:sz w:val="20"/>
        </w:rPr>
        <w:t>Form</w:t>
      </w:r>
      <w:r>
        <w:rPr>
          <w:b/>
          <w:spacing w:val="-5"/>
          <w:sz w:val="20"/>
        </w:rPr>
        <w:t xml:space="preserve"> </w:t>
      </w:r>
      <w:r>
        <w:rPr>
          <w:b/>
          <w:sz w:val="20"/>
        </w:rPr>
        <w:t>(19-Item</w:t>
      </w:r>
      <w:r>
        <w:rPr>
          <w:b/>
          <w:spacing w:val="-6"/>
          <w:sz w:val="20"/>
        </w:rPr>
        <w:t xml:space="preserve"> </w:t>
      </w:r>
      <w:r>
        <w:rPr>
          <w:b/>
          <w:sz w:val="20"/>
        </w:rPr>
        <w:t>Version</w:t>
      </w:r>
      <w:r>
        <w:rPr>
          <w:b/>
          <w:spacing w:val="-5"/>
          <w:sz w:val="20"/>
        </w:rPr>
        <w:t xml:space="preserve"> </w:t>
      </w:r>
      <w:r>
        <w:rPr>
          <w:b/>
          <w:sz w:val="20"/>
        </w:rPr>
        <w:t>8A</w:t>
      </w:r>
      <w:r>
        <w:rPr>
          <w:b/>
          <w:spacing w:val="-7"/>
          <w:sz w:val="20"/>
        </w:rPr>
        <w:t xml:space="preserve"> </w:t>
      </w:r>
      <w:r>
        <w:rPr>
          <w:b/>
          <w:sz w:val="20"/>
        </w:rPr>
        <w:t>&amp;</w:t>
      </w:r>
      <w:r>
        <w:rPr>
          <w:b/>
          <w:spacing w:val="-7"/>
          <w:sz w:val="20"/>
        </w:rPr>
        <w:t xml:space="preserve"> </w:t>
      </w:r>
      <w:r>
        <w:rPr>
          <w:b/>
          <w:sz w:val="20"/>
        </w:rPr>
        <w:t>8D):</w:t>
      </w:r>
      <w:r>
        <w:rPr>
          <w:b/>
          <w:spacing w:val="-3"/>
          <w:sz w:val="20"/>
        </w:rPr>
        <w:t xml:space="preserve"> </w:t>
      </w:r>
      <w:r>
        <w:rPr>
          <w:sz w:val="20"/>
        </w:rPr>
        <w:t>Transfer</w:t>
      </w:r>
      <w:r>
        <w:rPr>
          <w:spacing w:val="-6"/>
          <w:sz w:val="20"/>
        </w:rPr>
        <w:t xml:space="preserve"> </w:t>
      </w:r>
      <w:r>
        <w:rPr>
          <w:sz w:val="20"/>
        </w:rPr>
        <w:t>the</w:t>
      </w:r>
      <w:r>
        <w:rPr>
          <w:spacing w:val="-7"/>
          <w:sz w:val="20"/>
        </w:rPr>
        <w:t xml:space="preserve"> </w:t>
      </w:r>
      <w:r>
        <w:rPr>
          <w:sz w:val="20"/>
        </w:rPr>
        <w:t>client’s</w:t>
      </w:r>
      <w:r>
        <w:rPr>
          <w:spacing w:val="-7"/>
          <w:sz w:val="20"/>
        </w:rPr>
        <w:t xml:space="preserve"> </w:t>
      </w:r>
      <w:r>
        <w:rPr>
          <w:sz w:val="20"/>
        </w:rPr>
        <w:t>answers</w:t>
      </w:r>
      <w:r>
        <w:rPr>
          <w:spacing w:val="-5"/>
          <w:sz w:val="20"/>
        </w:rPr>
        <w:t xml:space="preserve"> </w:t>
      </w:r>
      <w:r>
        <w:rPr>
          <w:sz w:val="20"/>
        </w:rPr>
        <w:t>from</w:t>
      </w:r>
      <w:r>
        <w:rPr>
          <w:spacing w:val="-7"/>
          <w:sz w:val="20"/>
        </w:rPr>
        <w:t xml:space="preserve"> </w:t>
      </w:r>
      <w:r>
        <w:rPr>
          <w:spacing w:val="-2"/>
          <w:sz w:val="20"/>
        </w:rPr>
        <w:t>questionnaire:</w:t>
      </w:r>
    </w:p>
    <w:tbl>
      <w:tblPr>
        <w:tblW w:w="0" w:type="auto"/>
        <w:tblInd w:w="2837" w:type="dxa"/>
        <w:tblLayout w:type="fixed"/>
        <w:tblCellMar>
          <w:left w:w="0" w:type="dxa"/>
          <w:right w:w="0" w:type="dxa"/>
        </w:tblCellMar>
        <w:tblLook w:val="01E0" w:firstRow="1" w:lastRow="1" w:firstColumn="1" w:lastColumn="1" w:noHBand="0" w:noVBand="0"/>
      </w:tblPr>
      <w:tblGrid>
        <w:gridCol w:w="2160"/>
        <w:gridCol w:w="2955"/>
        <w:gridCol w:w="2103"/>
      </w:tblGrid>
      <w:tr w:rsidR="00DB6E1F" w14:paraId="38FC0F72" w14:textId="77777777">
        <w:trPr>
          <w:trHeight w:val="216"/>
        </w:trPr>
        <w:tc>
          <w:tcPr>
            <w:tcW w:w="2160" w:type="dxa"/>
          </w:tcPr>
          <w:p w14:paraId="0E2435E5" w14:textId="77777777" w:rsidR="00DB6E1F" w:rsidRDefault="00F666A6">
            <w:pPr>
              <w:pStyle w:val="TableParagraph"/>
              <w:spacing w:before="0" w:line="196" w:lineRule="exact"/>
              <w:ind w:left="50"/>
              <w:rPr>
                <w:sz w:val="20"/>
              </w:rPr>
            </w:pPr>
            <w:r>
              <w:rPr>
                <w:spacing w:val="-2"/>
                <w:sz w:val="20"/>
              </w:rPr>
              <w:t>Recognition</w:t>
            </w:r>
            <w:r>
              <w:rPr>
                <w:spacing w:val="8"/>
                <w:sz w:val="20"/>
              </w:rPr>
              <w:t xml:space="preserve"> </w:t>
            </w:r>
            <w:r>
              <w:rPr>
                <w:spacing w:val="-4"/>
                <w:sz w:val="20"/>
              </w:rPr>
              <w:t>(Re)</w:t>
            </w:r>
          </w:p>
        </w:tc>
        <w:tc>
          <w:tcPr>
            <w:tcW w:w="2955" w:type="dxa"/>
          </w:tcPr>
          <w:p w14:paraId="1E343FFA" w14:textId="77777777" w:rsidR="00DB6E1F" w:rsidRDefault="00F666A6">
            <w:pPr>
              <w:pStyle w:val="TableParagraph"/>
              <w:spacing w:before="0" w:line="196" w:lineRule="exact"/>
              <w:ind w:left="770"/>
              <w:rPr>
                <w:sz w:val="20"/>
              </w:rPr>
            </w:pPr>
            <w:r>
              <w:rPr>
                <w:w w:val="95"/>
                <w:sz w:val="20"/>
              </w:rPr>
              <w:t>Ambivalence</w:t>
            </w:r>
            <w:r>
              <w:rPr>
                <w:spacing w:val="35"/>
                <w:sz w:val="20"/>
              </w:rPr>
              <w:t xml:space="preserve"> </w:t>
            </w:r>
            <w:r>
              <w:rPr>
                <w:spacing w:val="-4"/>
                <w:sz w:val="20"/>
              </w:rPr>
              <w:t>(Am)</w:t>
            </w:r>
          </w:p>
        </w:tc>
        <w:tc>
          <w:tcPr>
            <w:tcW w:w="2103" w:type="dxa"/>
          </w:tcPr>
          <w:p w14:paraId="55870C9F" w14:textId="77777777" w:rsidR="00DB6E1F" w:rsidRDefault="00F666A6">
            <w:pPr>
              <w:pStyle w:val="TableParagraph"/>
              <w:spacing w:before="0" w:line="196" w:lineRule="exact"/>
              <w:ind w:left="695"/>
              <w:rPr>
                <w:sz w:val="20"/>
              </w:rPr>
            </w:pPr>
            <w:r>
              <w:rPr>
                <w:sz w:val="20"/>
              </w:rPr>
              <w:t>Taking</w:t>
            </w:r>
            <w:r>
              <w:rPr>
                <w:spacing w:val="-8"/>
                <w:sz w:val="20"/>
              </w:rPr>
              <w:t xml:space="preserve"> </w:t>
            </w:r>
            <w:r>
              <w:rPr>
                <w:sz w:val="20"/>
              </w:rPr>
              <w:t>Steps</w:t>
            </w:r>
            <w:r>
              <w:rPr>
                <w:spacing w:val="-6"/>
                <w:sz w:val="20"/>
              </w:rPr>
              <w:t xml:space="preserve"> </w:t>
            </w:r>
            <w:r>
              <w:rPr>
                <w:spacing w:val="-4"/>
                <w:sz w:val="20"/>
              </w:rPr>
              <w:t>(Ts)</w:t>
            </w:r>
          </w:p>
        </w:tc>
      </w:tr>
      <w:tr w:rsidR="00DB6E1F" w14:paraId="0336BA5C" w14:textId="77777777">
        <w:trPr>
          <w:trHeight w:val="262"/>
        </w:trPr>
        <w:tc>
          <w:tcPr>
            <w:tcW w:w="2160" w:type="dxa"/>
          </w:tcPr>
          <w:p w14:paraId="38E96088" w14:textId="77777777" w:rsidR="00DB6E1F" w:rsidRDefault="00F666A6">
            <w:pPr>
              <w:pStyle w:val="TableParagraph"/>
              <w:tabs>
                <w:tab w:val="left" w:pos="991"/>
              </w:tabs>
              <w:spacing w:before="4" w:line="239" w:lineRule="exact"/>
              <w:ind w:left="50"/>
              <w:rPr>
                <w:rFonts w:ascii="Times New Roman"/>
                <w:sz w:val="20"/>
              </w:rPr>
            </w:pPr>
            <w:r>
              <w:rPr>
                <w:sz w:val="20"/>
              </w:rPr>
              <w:t xml:space="preserve">1 </w:t>
            </w:r>
            <w:r>
              <w:rPr>
                <w:rFonts w:ascii="Times New Roman"/>
                <w:sz w:val="20"/>
                <w:u w:val="single"/>
              </w:rPr>
              <w:tab/>
            </w:r>
          </w:p>
        </w:tc>
        <w:tc>
          <w:tcPr>
            <w:tcW w:w="2955" w:type="dxa"/>
          </w:tcPr>
          <w:p w14:paraId="6C290C42" w14:textId="77777777" w:rsidR="00DB6E1F" w:rsidRDefault="00F666A6">
            <w:pPr>
              <w:pStyle w:val="TableParagraph"/>
              <w:tabs>
                <w:tab w:val="left" w:pos="1711"/>
              </w:tabs>
              <w:spacing w:before="4" w:line="239" w:lineRule="exact"/>
              <w:ind w:left="770"/>
              <w:rPr>
                <w:rFonts w:ascii="Times New Roman"/>
                <w:sz w:val="20"/>
              </w:rPr>
            </w:pPr>
            <w:r>
              <w:rPr>
                <w:sz w:val="20"/>
              </w:rPr>
              <w:t xml:space="preserve">2 </w:t>
            </w:r>
            <w:r>
              <w:rPr>
                <w:rFonts w:ascii="Times New Roman"/>
                <w:sz w:val="20"/>
                <w:u w:val="single"/>
              </w:rPr>
              <w:tab/>
            </w:r>
          </w:p>
        </w:tc>
        <w:tc>
          <w:tcPr>
            <w:tcW w:w="2103" w:type="dxa"/>
          </w:tcPr>
          <w:p w14:paraId="7DC82B6C" w14:textId="77777777" w:rsidR="00DB6E1F" w:rsidRDefault="00F666A6">
            <w:pPr>
              <w:pStyle w:val="TableParagraph"/>
              <w:tabs>
                <w:tab w:val="left" w:pos="1636"/>
              </w:tabs>
              <w:spacing w:before="4" w:line="239" w:lineRule="exact"/>
              <w:ind w:left="695"/>
              <w:rPr>
                <w:rFonts w:ascii="Times New Roman"/>
                <w:sz w:val="20"/>
              </w:rPr>
            </w:pPr>
            <w:r>
              <w:rPr>
                <w:sz w:val="20"/>
              </w:rPr>
              <w:t xml:space="preserve">4 </w:t>
            </w:r>
            <w:r>
              <w:rPr>
                <w:rFonts w:ascii="Times New Roman"/>
                <w:sz w:val="20"/>
                <w:u w:val="single"/>
              </w:rPr>
              <w:tab/>
            </w:r>
          </w:p>
        </w:tc>
      </w:tr>
      <w:tr w:rsidR="00DB6E1F" w14:paraId="697F39BE" w14:textId="77777777">
        <w:trPr>
          <w:trHeight w:val="263"/>
        </w:trPr>
        <w:tc>
          <w:tcPr>
            <w:tcW w:w="2160" w:type="dxa"/>
          </w:tcPr>
          <w:p w14:paraId="65981317" w14:textId="77777777" w:rsidR="00DB6E1F" w:rsidRDefault="00F666A6">
            <w:pPr>
              <w:pStyle w:val="TableParagraph"/>
              <w:tabs>
                <w:tab w:val="left" w:pos="991"/>
              </w:tabs>
              <w:spacing w:before="5" w:line="239" w:lineRule="exact"/>
              <w:ind w:left="50"/>
              <w:rPr>
                <w:rFonts w:ascii="Times New Roman"/>
                <w:sz w:val="20"/>
              </w:rPr>
            </w:pPr>
            <w:r>
              <w:rPr>
                <w:sz w:val="20"/>
              </w:rPr>
              <w:t xml:space="preserve">3 </w:t>
            </w:r>
            <w:r>
              <w:rPr>
                <w:rFonts w:ascii="Times New Roman"/>
                <w:sz w:val="20"/>
                <w:u w:val="single"/>
              </w:rPr>
              <w:tab/>
            </w:r>
          </w:p>
        </w:tc>
        <w:tc>
          <w:tcPr>
            <w:tcW w:w="2955" w:type="dxa"/>
          </w:tcPr>
          <w:p w14:paraId="162157FD" w14:textId="77777777" w:rsidR="00DB6E1F" w:rsidRDefault="00DB6E1F">
            <w:pPr>
              <w:pStyle w:val="TableParagraph"/>
              <w:spacing w:before="0"/>
              <w:ind w:left="0"/>
              <w:rPr>
                <w:rFonts w:ascii="Times New Roman"/>
                <w:sz w:val="18"/>
              </w:rPr>
            </w:pPr>
          </w:p>
        </w:tc>
        <w:tc>
          <w:tcPr>
            <w:tcW w:w="2103" w:type="dxa"/>
          </w:tcPr>
          <w:p w14:paraId="18394E58" w14:textId="77777777" w:rsidR="00DB6E1F" w:rsidRDefault="00F666A6">
            <w:pPr>
              <w:pStyle w:val="TableParagraph"/>
              <w:tabs>
                <w:tab w:val="left" w:pos="1636"/>
              </w:tabs>
              <w:spacing w:before="5" w:line="239" w:lineRule="exact"/>
              <w:ind w:left="695"/>
              <w:rPr>
                <w:rFonts w:ascii="Times New Roman"/>
                <w:sz w:val="20"/>
              </w:rPr>
            </w:pPr>
            <w:r>
              <w:rPr>
                <w:sz w:val="20"/>
              </w:rPr>
              <w:t xml:space="preserve">5 </w:t>
            </w:r>
            <w:r>
              <w:rPr>
                <w:rFonts w:ascii="Times New Roman"/>
                <w:sz w:val="20"/>
                <w:u w:val="single"/>
              </w:rPr>
              <w:tab/>
            </w:r>
          </w:p>
        </w:tc>
      </w:tr>
      <w:tr w:rsidR="00DB6E1F" w14:paraId="2312703F" w14:textId="77777777">
        <w:trPr>
          <w:trHeight w:val="263"/>
        </w:trPr>
        <w:tc>
          <w:tcPr>
            <w:tcW w:w="2160" w:type="dxa"/>
          </w:tcPr>
          <w:p w14:paraId="50D71B91" w14:textId="77777777" w:rsidR="00DB6E1F" w:rsidRDefault="00DB6E1F">
            <w:pPr>
              <w:pStyle w:val="TableParagraph"/>
              <w:spacing w:before="0"/>
              <w:ind w:left="0"/>
              <w:rPr>
                <w:rFonts w:ascii="Times New Roman"/>
                <w:sz w:val="18"/>
              </w:rPr>
            </w:pPr>
          </w:p>
        </w:tc>
        <w:tc>
          <w:tcPr>
            <w:tcW w:w="2955" w:type="dxa"/>
          </w:tcPr>
          <w:p w14:paraId="674978F1" w14:textId="77777777" w:rsidR="00DB6E1F" w:rsidRDefault="00F666A6">
            <w:pPr>
              <w:pStyle w:val="TableParagraph"/>
              <w:tabs>
                <w:tab w:val="left" w:pos="1712"/>
              </w:tabs>
              <w:spacing w:before="5" w:line="239" w:lineRule="exact"/>
              <w:ind w:left="770"/>
              <w:rPr>
                <w:rFonts w:ascii="Times New Roman"/>
                <w:sz w:val="20"/>
              </w:rPr>
            </w:pPr>
            <w:r>
              <w:rPr>
                <w:sz w:val="20"/>
              </w:rPr>
              <w:t xml:space="preserve">6 </w:t>
            </w:r>
            <w:r>
              <w:rPr>
                <w:rFonts w:ascii="Times New Roman"/>
                <w:sz w:val="20"/>
                <w:u w:val="single"/>
              </w:rPr>
              <w:tab/>
            </w:r>
          </w:p>
        </w:tc>
        <w:tc>
          <w:tcPr>
            <w:tcW w:w="2103" w:type="dxa"/>
          </w:tcPr>
          <w:p w14:paraId="08B1ABA4" w14:textId="77777777" w:rsidR="00DB6E1F" w:rsidRDefault="00DB6E1F">
            <w:pPr>
              <w:pStyle w:val="TableParagraph"/>
              <w:spacing w:before="0"/>
              <w:ind w:left="0"/>
              <w:rPr>
                <w:rFonts w:ascii="Times New Roman"/>
                <w:sz w:val="18"/>
              </w:rPr>
            </w:pPr>
          </w:p>
        </w:tc>
      </w:tr>
      <w:tr w:rsidR="00DB6E1F" w14:paraId="479BAC50" w14:textId="77777777">
        <w:trPr>
          <w:trHeight w:val="263"/>
        </w:trPr>
        <w:tc>
          <w:tcPr>
            <w:tcW w:w="2160" w:type="dxa"/>
          </w:tcPr>
          <w:p w14:paraId="1568E72C" w14:textId="77777777" w:rsidR="00DB6E1F" w:rsidRDefault="00F666A6">
            <w:pPr>
              <w:pStyle w:val="TableParagraph"/>
              <w:tabs>
                <w:tab w:val="left" w:pos="991"/>
              </w:tabs>
              <w:spacing w:before="5" w:line="239" w:lineRule="exact"/>
              <w:ind w:left="50"/>
              <w:rPr>
                <w:rFonts w:ascii="Times New Roman"/>
                <w:sz w:val="20"/>
              </w:rPr>
            </w:pPr>
            <w:r>
              <w:rPr>
                <w:sz w:val="20"/>
              </w:rPr>
              <w:t xml:space="preserve">7 </w:t>
            </w:r>
            <w:r>
              <w:rPr>
                <w:rFonts w:ascii="Times New Roman"/>
                <w:sz w:val="20"/>
                <w:u w:val="single"/>
              </w:rPr>
              <w:tab/>
            </w:r>
          </w:p>
        </w:tc>
        <w:tc>
          <w:tcPr>
            <w:tcW w:w="2955" w:type="dxa"/>
          </w:tcPr>
          <w:p w14:paraId="747944FE" w14:textId="77777777" w:rsidR="00DB6E1F" w:rsidRDefault="00DB6E1F">
            <w:pPr>
              <w:pStyle w:val="TableParagraph"/>
              <w:spacing w:before="0"/>
              <w:ind w:left="0"/>
              <w:rPr>
                <w:rFonts w:ascii="Times New Roman"/>
                <w:sz w:val="18"/>
              </w:rPr>
            </w:pPr>
          </w:p>
        </w:tc>
        <w:tc>
          <w:tcPr>
            <w:tcW w:w="2103" w:type="dxa"/>
          </w:tcPr>
          <w:p w14:paraId="6B58C573" w14:textId="77777777" w:rsidR="00DB6E1F" w:rsidRDefault="00F666A6">
            <w:pPr>
              <w:pStyle w:val="TableParagraph"/>
              <w:tabs>
                <w:tab w:val="left" w:pos="1637"/>
              </w:tabs>
              <w:spacing w:before="5" w:line="239" w:lineRule="exact"/>
              <w:ind w:left="695"/>
              <w:rPr>
                <w:rFonts w:ascii="Times New Roman"/>
                <w:sz w:val="20"/>
              </w:rPr>
            </w:pPr>
            <w:r>
              <w:rPr>
                <w:sz w:val="20"/>
              </w:rPr>
              <w:t xml:space="preserve">8 </w:t>
            </w:r>
            <w:r>
              <w:rPr>
                <w:rFonts w:ascii="Times New Roman"/>
                <w:sz w:val="20"/>
                <w:u w:val="single"/>
              </w:rPr>
              <w:tab/>
            </w:r>
          </w:p>
        </w:tc>
      </w:tr>
      <w:tr w:rsidR="00DB6E1F" w14:paraId="6C0BFC51" w14:textId="77777777">
        <w:trPr>
          <w:trHeight w:val="525"/>
        </w:trPr>
        <w:tc>
          <w:tcPr>
            <w:tcW w:w="2160" w:type="dxa"/>
          </w:tcPr>
          <w:p w14:paraId="3A2E4351" w14:textId="77777777" w:rsidR="00DB6E1F" w:rsidRDefault="00DB6E1F">
            <w:pPr>
              <w:pStyle w:val="TableParagraph"/>
              <w:spacing w:before="10"/>
              <w:ind w:left="0"/>
              <w:rPr>
                <w:sz w:val="21"/>
              </w:rPr>
            </w:pPr>
          </w:p>
          <w:p w14:paraId="1BD9547E" w14:textId="77777777" w:rsidR="00DB6E1F" w:rsidRDefault="00F666A6">
            <w:pPr>
              <w:pStyle w:val="TableParagraph"/>
              <w:tabs>
                <w:tab w:val="left" w:pos="1093"/>
              </w:tabs>
              <w:spacing w:before="0" w:line="239" w:lineRule="exact"/>
              <w:ind w:left="50"/>
              <w:rPr>
                <w:rFonts w:ascii="Times New Roman"/>
                <w:sz w:val="20"/>
              </w:rPr>
            </w:pPr>
            <w:r>
              <w:rPr>
                <w:sz w:val="20"/>
              </w:rPr>
              <w:t xml:space="preserve">10 </w:t>
            </w:r>
            <w:r>
              <w:rPr>
                <w:rFonts w:ascii="Times New Roman"/>
                <w:sz w:val="20"/>
                <w:u w:val="single"/>
              </w:rPr>
              <w:tab/>
            </w:r>
          </w:p>
        </w:tc>
        <w:tc>
          <w:tcPr>
            <w:tcW w:w="2955" w:type="dxa"/>
          </w:tcPr>
          <w:p w14:paraId="7B8B25FC" w14:textId="77777777" w:rsidR="00DB6E1F" w:rsidRDefault="00DB6E1F">
            <w:pPr>
              <w:pStyle w:val="TableParagraph"/>
              <w:spacing w:before="10"/>
              <w:ind w:left="0"/>
              <w:rPr>
                <w:sz w:val="21"/>
              </w:rPr>
            </w:pPr>
          </w:p>
          <w:p w14:paraId="243D27F0" w14:textId="77777777" w:rsidR="00DB6E1F" w:rsidRDefault="00F666A6">
            <w:pPr>
              <w:pStyle w:val="TableParagraph"/>
              <w:tabs>
                <w:tab w:val="left" w:pos="1813"/>
              </w:tabs>
              <w:spacing w:before="0" w:line="239" w:lineRule="exact"/>
              <w:ind w:left="770"/>
              <w:rPr>
                <w:rFonts w:ascii="Times New Roman"/>
                <w:sz w:val="20"/>
              </w:rPr>
            </w:pPr>
            <w:r>
              <w:rPr>
                <w:sz w:val="20"/>
              </w:rPr>
              <w:t xml:space="preserve">11 </w:t>
            </w:r>
            <w:r>
              <w:rPr>
                <w:rFonts w:ascii="Times New Roman"/>
                <w:sz w:val="20"/>
                <w:u w:val="single"/>
              </w:rPr>
              <w:tab/>
            </w:r>
          </w:p>
        </w:tc>
        <w:tc>
          <w:tcPr>
            <w:tcW w:w="2103" w:type="dxa"/>
          </w:tcPr>
          <w:p w14:paraId="5931F189" w14:textId="77777777" w:rsidR="00DB6E1F" w:rsidRDefault="00F666A6">
            <w:pPr>
              <w:pStyle w:val="TableParagraph"/>
              <w:tabs>
                <w:tab w:val="left" w:pos="1637"/>
              </w:tabs>
              <w:spacing w:before="5"/>
              <w:ind w:left="695"/>
              <w:rPr>
                <w:rFonts w:ascii="Times New Roman"/>
                <w:sz w:val="20"/>
              </w:rPr>
            </w:pPr>
            <w:r>
              <w:rPr>
                <w:sz w:val="20"/>
              </w:rPr>
              <w:t xml:space="preserve">9 </w:t>
            </w:r>
            <w:r>
              <w:rPr>
                <w:rFonts w:ascii="Times New Roman"/>
                <w:sz w:val="20"/>
                <w:u w:val="single"/>
              </w:rPr>
              <w:tab/>
            </w:r>
          </w:p>
        </w:tc>
      </w:tr>
      <w:tr w:rsidR="00DB6E1F" w14:paraId="0FD33E7A" w14:textId="77777777">
        <w:trPr>
          <w:trHeight w:val="263"/>
        </w:trPr>
        <w:tc>
          <w:tcPr>
            <w:tcW w:w="2160" w:type="dxa"/>
          </w:tcPr>
          <w:p w14:paraId="22DBB0AE" w14:textId="77777777" w:rsidR="00DB6E1F" w:rsidRDefault="00F666A6">
            <w:pPr>
              <w:pStyle w:val="TableParagraph"/>
              <w:tabs>
                <w:tab w:val="left" w:pos="1093"/>
              </w:tabs>
              <w:spacing w:before="5" w:line="239" w:lineRule="exact"/>
              <w:ind w:left="50"/>
              <w:rPr>
                <w:rFonts w:ascii="Times New Roman"/>
                <w:sz w:val="20"/>
              </w:rPr>
            </w:pPr>
            <w:r>
              <w:rPr>
                <w:sz w:val="20"/>
              </w:rPr>
              <w:t xml:space="preserve">12 </w:t>
            </w:r>
            <w:r>
              <w:rPr>
                <w:rFonts w:ascii="Times New Roman"/>
                <w:sz w:val="20"/>
                <w:u w:val="single"/>
              </w:rPr>
              <w:tab/>
            </w:r>
          </w:p>
        </w:tc>
        <w:tc>
          <w:tcPr>
            <w:tcW w:w="2955" w:type="dxa"/>
          </w:tcPr>
          <w:p w14:paraId="6115C36C" w14:textId="77777777" w:rsidR="00DB6E1F" w:rsidRDefault="00DB6E1F">
            <w:pPr>
              <w:pStyle w:val="TableParagraph"/>
              <w:spacing w:before="0"/>
              <w:ind w:left="0"/>
              <w:rPr>
                <w:rFonts w:ascii="Times New Roman"/>
                <w:sz w:val="18"/>
              </w:rPr>
            </w:pPr>
          </w:p>
        </w:tc>
        <w:tc>
          <w:tcPr>
            <w:tcW w:w="2103" w:type="dxa"/>
          </w:tcPr>
          <w:p w14:paraId="1AF6F9A0" w14:textId="77777777" w:rsidR="00DB6E1F" w:rsidRDefault="00F666A6">
            <w:pPr>
              <w:pStyle w:val="TableParagraph"/>
              <w:tabs>
                <w:tab w:val="left" w:pos="1738"/>
              </w:tabs>
              <w:spacing w:before="5" w:line="239" w:lineRule="exact"/>
              <w:ind w:left="695"/>
              <w:rPr>
                <w:rFonts w:ascii="Times New Roman"/>
                <w:sz w:val="20"/>
              </w:rPr>
            </w:pPr>
            <w:r>
              <w:rPr>
                <w:sz w:val="20"/>
              </w:rPr>
              <w:t xml:space="preserve">13 </w:t>
            </w:r>
            <w:r>
              <w:rPr>
                <w:rFonts w:ascii="Times New Roman"/>
                <w:sz w:val="20"/>
                <w:u w:val="single"/>
              </w:rPr>
              <w:tab/>
            </w:r>
          </w:p>
        </w:tc>
      </w:tr>
      <w:tr w:rsidR="00DB6E1F" w14:paraId="309879B1" w14:textId="77777777">
        <w:trPr>
          <w:trHeight w:val="245"/>
        </w:trPr>
        <w:tc>
          <w:tcPr>
            <w:tcW w:w="2160" w:type="dxa"/>
          </w:tcPr>
          <w:p w14:paraId="36108F82" w14:textId="77777777" w:rsidR="00DB6E1F" w:rsidRDefault="00DB6E1F">
            <w:pPr>
              <w:pStyle w:val="TableParagraph"/>
              <w:spacing w:before="0"/>
              <w:ind w:left="0"/>
              <w:rPr>
                <w:rFonts w:ascii="Times New Roman"/>
                <w:sz w:val="16"/>
              </w:rPr>
            </w:pPr>
          </w:p>
        </w:tc>
        <w:tc>
          <w:tcPr>
            <w:tcW w:w="2955" w:type="dxa"/>
          </w:tcPr>
          <w:p w14:paraId="345E491E" w14:textId="77777777" w:rsidR="00DB6E1F" w:rsidRDefault="00DB6E1F">
            <w:pPr>
              <w:pStyle w:val="TableParagraph"/>
              <w:spacing w:before="0"/>
              <w:ind w:left="0"/>
              <w:rPr>
                <w:rFonts w:ascii="Times New Roman"/>
                <w:sz w:val="16"/>
              </w:rPr>
            </w:pPr>
          </w:p>
        </w:tc>
        <w:tc>
          <w:tcPr>
            <w:tcW w:w="2103" w:type="dxa"/>
          </w:tcPr>
          <w:p w14:paraId="2027C40A" w14:textId="77777777" w:rsidR="00DB6E1F" w:rsidRDefault="00F666A6">
            <w:pPr>
              <w:pStyle w:val="TableParagraph"/>
              <w:tabs>
                <w:tab w:val="left" w:pos="1738"/>
              </w:tabs>
              <w:spacing w:before="5" w:line="220" w:lineRule="exact"/>
              <w:ind w:left="696"/>
              <w:rPr>
                <w:rFonts w:ascii="Times New Roman"/>
                <w:sz w:val="20"/>
              </w:rPr>
            </w:pPr>
            <w:r>
              <w:rPr>
                <w:sz w:val="20"/>
              </w:rPr>
              <w:t xml:space="preserve">14 </w:t>
            </w:r>
            <w:r>
              <w:rPr>
                <w:rFonts w:ascii="Times New Roman"/>
                <w:sz w:val="20"/>
                <w:u w:val="single"/>
              </w:rPr>
              <w:tab/>
            </w:r>
          </w:p>
        </w:tc>
      </w:tr>
    </w:tbl>
    <w:p w14:paraId="64814EC5" w14:textId="77777777" w:rsidR="00DB6E1F" w:rsidRDefault="00DB6E1F">
      <w:pPr>
        <w:spacing w:line="220" w:lineRule="exact"/>
        <w:rPr>
          <w:rFonts w:ascii="Times New Roman"/>
          <w:sz w:val="20"/>
        </w:rPr>
        <w:sectPr w:rsidR="00DB6E1F">
          <w:headerReference w:type="default" r:id="rId175"/>
          <w:footerReference w:type="default" r:id="rId176"/>
          <w:pgSz w:w="12240" w:h="15840"/>
          <w:pgMar w:top="1200" w:right="0" w:bottom="780" w:left="0" w:header="763" w:footer="585" w:gutter="0"/>
          <w:cols w:space="720"/>
        </w:sectPr>
      </w:pPr>
    </w:p>
    <w:p w14:paraId="4FB7C2BE" w14:textId="77777777" w:rsidR="00DB6E1F" w:rsidRDefault="00DB6E1F">
      <w:pPr>
        <w:pStyle w:val="BodyText"/>
        <w:spacing w:before="6"/>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1415"/>
        <w:gridCol w:w="2066"/>
        <w:gridCol w:w="2914"/>
        <w:gridCol w:w="1974"/>
      </w:tblGrid>
      <w:tr w:rsidR="00DB6E1F" w14:paraId="1F71CBA2" w14:textId="77777777">
        <w:trPr>
          <w:trHeight w:val="245"/>
        </w:trPr>
        <w:tc>
          <w:tcPr>
            <w:tcW w:w="1415" w:type="dxa"/>
            <w:vMerge w:val="restart"/>
          </w:tcPr>
          <w:p w14:paraId="57B6D16F" w14:textId="77777777" w:rsidR="00DB6E1F" w:rsidRDefault="00DB6E1F">
            <w:pPr>
              <w:pStyle w:val="TableParagraph"/>
              <w:spacing w:before="0"/>
              <w:ind w:left="0"/>
              <w:rPr>
                <w:rFonts w:ascii="Times New Roman"/>
                <w:sz w:val="18"/>
              </w:rPr>
            </w:pPr>
          </w:p>
        </w:tc>
        <w:tc>
          <w:tcPr>
            <w:tcW w:w="2066" w:type="dxa"/>
          </w:tcPr>
          <w:p w14:paraId="1B8D6412" w14:textId="77777777" w:rsidR="00DB6E1F" w:rsidRDefault="00F666A6">
            <w:pPr>
              <w:pStyle w:val="TableParagraph"/>
              <w:tabs>
                <w:tab w:val="left" w:pos="1117"/>
              </w:tabs>
              <w:spacing w:before="0" w:line="226" w:lineRule="exact"/>
              <w:ind w:left="74"/>
              <w:rPr>
                <w:rFonts w:ascii="Times New Roman"/>
                <w:sz w:val="20"/>
              </w:rPr>
            </w:pPr>
            <w:r>
              <w:rPr>
                <w:sz w:val="20"/>
              </w:rPr>
              <w:t xml:space="preserve">15 </w:t>
            </w:r>
            <w:r>
              <w:rPr>
                <w:rFonts w:ascii="Times New Roman"/>
                <w:sz w:val="20"/>
                <w:u w:val="single"/>
              </w:rPr>
              <w:tab/>
            </w:r>
          </w:p>
        </w:tc>
        <w:tc>
          <w:tcPr>
            <w:tcW w:w="2914" w:type="dxa"/>
          </w:tcPr>
          <w:p w14:paraId="1A44CABA" w14:textId="77777777" w:rsidR="00DB6E1F" w:rsidRDefault="00F666A6">
            <w:pPr>
              <w:pStyle w:val="TableParagraph"/>
              <w:tabs>
                <w:tab w:val="left" w:pos="1931"/>
              </w:tabs>
              <w:spacing w:before="0" w:line="226" w:lineRule="exact"/>
              <w:ind w:left="888"/>
              <w:rPr>
                <w:rFonts w:ascii="Times New Roman"/>
                <w:sz w:val="20"/>
              </w:rPr>
            </w:pPr>
            <w:r>
              <w:rPr>
                <w:sz w:val="20"/>
              </w:rPr>
              <w:t xml:space="preserve">16 </w:t>
            </w:r>
            <w:r>
              <w:rPr>
                <w:rFonts w:ascii="Times New Roman"/>
                <w:sz w:val="20"/>
                <w:u w:val="single"/>
              </w:rPr>
              <w:tab/>
            </w:r>
          </w:p>
        </w:tc>
        <w:tc>
          <w:tcPr>
            <w:tcW w:w="1974" w:type="dxa"/>
          </w:tcPr>
          <w:p w14:paraId="5C220049" w14:textId="77777777" w:rsidR="00DB6E1F" w:rsidRDefault="00DB6E1F">
            <w:pPr>
              <w:pStyle w:val="TableParagraph"/>
              <w:spacing w:before="0"/>
              <w:ind w:left="0"/>
              <w:rPr>
                <w:rFonts w:ascii="Times New Roman"/>
                <w:sz w:val="16"/>
              </w:rPr>
            </w:pPr>
          </w:p>
        </w:tc>
      </w:tr>
      <w:tr w:rsidR="00DB6E1F" w14:paraId="1C2F215F" w14:textId="77777777">
        <w:trPr>
          <w:trHeight w:val="263"/>
        </w:trPr>
        <w:tc>
          <w:tcPr>
            <w:tcW w:w="1415" w:type="dxa"/>
            <w:vMerge/>
            <w:tcBorders>
              <w:top w:val="nil"/>
            </w:tcBorders>
          </w:tcPr>
          <w:p w14:paraId="6B9DDAE5" w14:textId="77777777" w:rsidR="00DB6E1F" w:rsidRDefault="00DB6E1F">
            <w:pPr>
              <w:rPr>
                <w:sz w:val="2"/>
                <w:szCs w:val="2"/>
              </w:rPr>
            </w:pPr>
          </w:p>
        </w:tc>
        <w:tc>
          <w:tcPr>
            <w:tcW w:w="2066" w:type="dxa"/>
          </w:tcPr>
          <w:p w14:paraId="21E36340" w14:textId="77777777" w:rsidR="00DB6E1F" w:rsidRDefault="00F666A6">
            <w:pPr>
              <w:pStyle w:val="TableParagraph"/>
              <w:tabs>
                <w:tab w:val="left" w:pos="1117"/>
              </w:tabs>
              <w:spacing w:before="5" w:line="239" w:lineRule="exact"/>
              <w:ind w:left="74"/>
              <w:rPr>
                <w:rFonts w:ascii="Times New Roman"/>
                <w:sz w:val="20"/>
              </w:rPr>
            </w:pPr>
            <w:r>
              <w:rPr>
                <w:sz w:val="20"/>
              </w:rPr>
              <w:t xml:space="preserve">17 </w:t>
            </w:r>
            <w:r>
              <w:rPr>
                <w:rFonts w:ascii="Times New Roman"/>
                <w:sz w:val="20"/>
                <w:u w:val="single"/>
              </w:rPr>
              <w:tab/>
            </w:r>
          </w:p>
        </w:tc>
        <w:tc>
          <w:tcPr>
            <w:tcW w:w="2914" w:type="dxa"/>
          </w:tcPr>
          <w:p w14:paraId="2B6362FF" w14:textId="77777777" w:rsidR="00DB6E1F" w:rsidRDefault="00DB6E1F">
            <w:pPr>
              <w:pStyle w:val="TableParagraph"/>
              <w:spacing w:before="0"/>
              <w:ind w:left="0"/>
              <w:rPr>
                <w:rFonts w:ascii="Times New Roman"/>
                <w:sz w:val="18"/>
              </w:rPr>
            </w:pPr>
          </w:p>
        </w:tc>
        <w:tc>
          <w:tcPr>
            <w:tcW w:w="1974" w:type="dxa"/>
          </w:tcPr>
          <w:p w14:paraId="1ED994D3" w14:textId="77777777" w:rsidR="00DB6E1F" w:rsidRDefault="00F666A6">
            <w:pPr>
              <w:pStyle w:val="TableParagraph"/>
              <w:tabs>
                <w:tab w:val="left" w:pos="1897"/>
              </w:tabs>
              <w:spacing w:before="5" w:line="239" w:lineRule="exact"/>
              <w:ind w:left="854"/>
              <w:rPr>
                <w:rFonts w:ascii="Times New Roman"/>
                <w:sz w:val="20"/>
              </w:rPr>
            </w:pPr>
            <w:r>
              <w:rPr>
                <w:sz w:val="20"/>
              </w:rPr>
              <w:t xml:space="preserve">18 </w:t>
            </w:r>
            <w:r>
              <w:rPr>
                <w:rFonts w:ascii="Times New Roman"/>
                <w:sz w:val="20"/>
                <w:u w:val="single"/>
              </w:rPr>
              <w:tab/>
            </w:r>
          </w:p>
        </w:tc>
      </w:tr>
      <w:tr w:rsidR="00DB6E1F" w14:paraId="5F010FE9" w14:textId="77777777">
        <w:trPr>
          <w:trHeight w:val="539"/>
        </w:trPr>
        <w:tc>
          <w:tcPr>
            <w:tcW w:w="1415" w:type="dxa"/>
          </w:tcPr>
          <w:p w14:paraId="571FEE43" w14:textId="77777777" w:rsidR="00DB6E1F" w:rsidRDefault="00DB6E1F">
            <w:pPr>
              <w:pStyle w:val="TableParagraph"/>
              <w:spacing w:before="10"/>
              <w:ind w:left="0"/>
              <w:rPr>
                <w:sz w:val="21"/>
              </w:rPr>
            </w:pPr>
          </w:p>
          <w:p w14:paraId="7F045561" w14:textId="77777777" w:rsidR="00DB6E1F" w:rsidRDefault="00F666A6">
            <w:pPr>
              <w:pStyle w:val="TableParagraph"/>
              <w:spacing w:before="0"/>
              <w:ind w:left="50"/>
              <w:rPr>
                <w:sz w:val="20"/>
              </w:rPr>
            </w:pPr>
            <w:r>
              <w:rPr>
                <w:spacing w:val="-2"/>
                <w:sz w:val="20"/>
              </w:rPr>
              <w:t>Totals:</w:t>
            </w:r>
          </w:p>
        </w:tc>
        <w:tc>
          <w:tcPr>
            <w:tcW w:w="2066" w:type="dxa"/>
          </w:tcPr>
          <w:p w14:paraId="644C70A8" w14:textId="77777777" w:rsidR="00DB6E1F" w:rsidRDefault="00DB6E1F">
            <w:pPr>
              <w:pStyle w:val="TableParagraph"/>
              <w:spacing w:before="10"/>
              <w:ind w:left="0"/>
              <w:rPr>
                <w:sz w:val="21"/>
              </w:rPr>
            </w:pPr>
          </w:p>
          <w:p w14:paraId="638AD823" w14:textId="77777777" w:rsidR="00DB6E1F" w:rsidRDefault="00F666A6">
            <w:pPr>
              <w:pStyle w:val="TableParagraph"/>
              <w:tabs>
                <w:tab w:val="left" w:pos="1177"/>
              </w:tabs>
              <w:spacing w:before="0"/>
              <w:ind w:left="75"/>
              <w:rPr>
                <w:rFonts w:ascii="Times New Roman"/>
                <w:sz w:val="20"/>
              </w:rPr>
            </w:pPr>
            <w:r>
              <w:rPr>
                <w:sz w:val="20"/>
              </w:rPr>
              <w:t xml:space="preserve">Re: </w:t>
            </w:r>
            <w:r>
              <w:rPr>
                <w:rFonts w:ascii="Times New Roman"/>
                <w:sz w:val="20"/>
                <w:u w:val="single"/>
              </w:rPr>
              <w:tab/>
            </w:r>
          </w:p>
        </w:tc>
        <w:tc>
          <w:tcPr>
            <w:tcW w:w="2914" w:type="dxa"/>
          </w:tcPr>
          <w:p w14:paraId="6092A143" w14:textId="77777777" w:rsidR="00DB6E1F" w:rsidRDefault="00DB6E1F">
            <w:pPr>
              <w:pStyle w:val="TableParagraph"/>
              <w:spacing w:before="10"/>
              <w:ind w:left="0"/>
              <w:rPr>
                <w:sz w:val="21"/>
              </w:rPr>
            </w:pPr>
          </w:p>
          <w:p w14:paraId="74416C6A" w14:textId="77777777" w:rsidR="00DB6E1F" w:rsidRDefault="00F666A6">
            <w:pPr>
              <w:pStyle w:val="TableParagraph"/>
              <w:tabs>
                <w:tab w:val="left" w:pos="2059"/>
              </w:tabs>
              <w:spacing w:before="0"/>
              <w:ind w:left="889"/>
              <w:rPr>
                <w:rFonts w:ascii="Times New Roman"/>
                <w:sz w:val="20"/>
              </w:rPr>
            </w:pPr>
            <w:r>
              <w:rPr>
                <w:sz w:val="20"/>
              </w:rPr>
              <w:t xml:space="preserve">Am: </w:t>
            </w:r>
            <w:r>
              <w:rPr>
                <w:rFonts w:ascii="Times New Roman"/>
                <w:sz w:val="20"/>
                <w:u w:val="single"/>
              </w:rPr>
              <w:tab/>
            </w:r>
          </w:p>
        </w:tc>
        <w:tc>
          <w:tcPr>
            <w:tcW w:w="1974" w:type="dxa"/>
          </w:tcPr>
          <w:p w14:paraId="0CE91FFD" w14:textId="77777777" w:rsidR="00DB6E1F" w:rsidRDefault="00F666A6">
            <w:pPr>
              <w:pStyle w:val="TableParagraph"/>
              <w:tabs>
                <w:tab w:val="left" w:pos="1897"/>
              </w:tabs>
              <w:spacing w:before="5"/>
              <w:ind w:left="855"/>
              <w:rPr>
                <w:rFonts w:ascii="Times New Roman"/>
                <w:sz w:val="20"/>
              </w:rPr>
            </w:pPr>
            <w:r>
              <w:rPr>
                <w:sz w:val="20"/>
              </w:rPr>
              <w:t xml:space="preserve">19 </w:t>
            </w:r>
            <w:r>
              <w:rPr>
                <w:rFonts w:ascii="Times New Roman"/>
                <w:sz w:val="20"/>
                <w:u w:val="single"/>
              </w:rPr>
              <w:tab/>
            </w:r>
          </w:p>
          <w:p w14:paraId="667CDB97" w14:textId="77777777" w:rsidR="00DB6E1F" w:rsidRDefault="00F666A6">
            <w:pPr>
              <w:pStyle w:val="TableParagraph"/>
              <w:tabs>
                <w:tab w:val="left" w:pos="1923"/>
              </w:tabs>
              <w:spacing w:before="18"/>
              <w:ind w:left="855"/>
              <w:rPr>
                <w:rFonts w:ascii="Times New Roman"/>
                <w:sz w:val="20"/>
              </w:rPr>
            </w:pPr>
            <w:r>
              <w:rPr>
                <w:sz w:val="20"/>
              </w:rPr>
              <w:t xml:space="preserve">Ts: </w:t>
            </w:r>
            <w:r>
              <w:rPr>
                <w:rFonts w:ascii="Times New Roman"/>
                <w:sz w:val="20"/>
                <w:u w:val="single"/>
              </w:rPr>
              <w:tab/>
            </w:r>
          </w:p>
        </w:tc>
      </w:tr>
      <w:tr w:rsidR="00DB6E1F" w14:paraId="56945807" w14:textId="77777777">
        <w:trPr>
          <w:trHeight w:val="231"/>
        </w:trPr>
        <w:tc>
          <w:tcPr>
            <w:tcW w:w="1415" w:type="dxa"/>
          </w:tcPr>
          <w:p w14:paraId="46CC589A" w14:textId="77777777" w:rsidR="00DB6E1F" w:rsidRDefault="00F666A6">
            <w:pPr>
              <w:pStyle w:val="TableParagraph"/>
              <w:spacing w:before="0" w:line="212" w:lineRule="exact"/>
              <w:ind w:left="50"/>
              <w:rPr>
                <w:b/>
                <w:sz w:val="20"/>
              </w:rPr>
            </w:pPr>
            <w:r>
              <w:rPr>
                <w:b/>
                <w:sz w:val="20"/>
              </w:rPr>
              <w:t>Possible</w:t>
            </w:r>
            <w:r>
              <w:rPr>
                <w:b/>
                <w:spacing w:val="-11"/>
                <w:sz w:val="20"/>
              </w:rPr>
              <w:t xml:space="preserve"> </w:t>
            </w:r>
            <w:r>
              <w:rPr>
                <w:b/>
                <w:spacing w:val="-2"/>
                <w:sz w:val="20"/>
              </w:rPr>
              <w:t>Range:</w:t>
            </w:r>
          </w:p>
        </w:tc>
        <w:tc>
          <w:tcPr>
            <w:tcW w:w="2066" w:type="dxa"/>
          </w:tcPr>
          <w:p w14:paraId="286FE88F" w14:textId="77777777" w:rsidR="00DB6E1F" w:rsidRDefault="00F666A6">
            <w:pPr>
              <w:pStyle w:val="TableParagraph"/>
              <w:spacing w:before="0" w:line="212" w:lineRule="exact"/>
              <w:ind w:left="199"/>
              <w:rPr>
                <w:b/>
                <w:sz w:val="20"/>
              </w:rPr>
            </w:pPr>
            <w:r>
              <w:rPr>
                <w:b/>
                <w:spacing w:val="-4"/>
                <w:sz w:val="20"/>
              </w:rPr>
              <w:t>7–35</w:t>
            </w:r>
          </w:p>
        </w:tc>
        <w:tc>
          <w:tcPr>
            <w:tcW w:w="2914" w:type="dxa"/>
          </w:tcPr>
          <w:p w14:paraId="68397CE7" w14:textId="77777777" w:rsidR="00DB6E1F" w:rsidRDefault="00F666A6">
            <w:pPr>
              <w:pStyle w:val="TableParagraph"/>
              <w:spacing w:before="0" w:line="212" w:lineRule="exact"/>
              <w:ind w:left="980"/>
              <w:rPr>
                <w:b/>
                <w:sz w:val="20"/>
              </w:rPr>
            </w:pPr>
            <w:r>
              <w:rPr>
                <w:b/>
                <w:spacing w:val="-4"/>
                <w:sz w:val="20"/>
              </w:rPr>
              <w:t>4–20</w:t>
            </w:r>
          </w:p>
        </w:tc>
        <w:tc>
          <w:tcPr>
            <w:tcW w:w="1974" w:type="dxa"/>
          </w:tcPr>
          <w:p w14:paraId="0079AAA6" w14:textId="77777777" w:rsidR="00DB6E1F" w:rsidRDefault="00F666A6">
            <w:pPr>
              <w:pStyle w:val="TableParagraph"/>
              <w:spacing w:before="0" w:line="212" w:lineRule="exact"/>
              <w:ind w:left="946"/>
              <w:rPr>
                <w:b/>
                <w:sz w:val="20"/>
              </w:rPr>
            </w:pPr>
            <w:r>
              <w:rPr>
                <w:b/>
                <w:spacing w:val="-4"/>
                <w:sz w:val="20"/>
              </w:rPr>
              <w:t>8–40</w:t>
            </w:r>
          </w:p>
        </w:tc>
      </w:tr>
    </w:tbl>
    <w:p w14:paraId="1401E774" w14:textId="77777777" w:rsidR="00DB6E1F" w:rsidRDefault="00F666A6">
      <w:pPr>
        <w:spacing w:before="26"/>
        <w:ind w:left="1440"/>
        <w:rPr>
          <w:sz w:val="20"/>
        </w:rPr>
      </w:pPr>
      <w:r>
        <w:rPr>
          <w:sz w:val="20"/>
        </w:rPr>
        <w:t>SOCRATES</w:t>
      </w:r>
      <w:r>
        <w:rPr>
          <w:spacing w:val="-7"/>
          <w:sz w:val="20"/>
        </w:rPr>
        <w:t xml:space="preserve"> </w:t>
      </w:r>
      <w:r>
        <w:rPr>
          <w:sz w:val="20"/>
        </w:rPr>
        <w:t>Profile</w:t>
      </w:r>
      <w:r>
        <w:rPr>
          <w:spacing w:val="-7"/>
          <w:sz w:val="20"/>
        </w:rPr>
        <w:t xml:space="preserve"> </w:t>
      </w:r>
      <w:r>
        <w:rPr>
          <w:sz w:val="20"/>
        </w:rPr>
        <w:t>Sheet</w:t>
      </w:r>
      <w:r>
        <w:rPr>
          <w:spacing w:val="-6"/>
          <w:sz w:val="20"/>
        </w:rPr>
        <w:t xml:space="preserve"> </w:t>
      </w:r>
      <w:r>
        <w:rPr>
          <w:sz w:val="20"/>
        </w:rPr>
        <w:t>(19-Item</w:t>
      </w:r>
      <w:r>
        <w:rPr>
          <w:spacing w:val="-7"/>
          <w:sz w:val="20"/>
        </w:rPr>
        <w:t xml:space="preserve"> </w:t>
      </w:r>
      <w:r>
        <w:rPr>
          <w:sz w:val="20"/>
        </w:rPr>
        <w:t>Version</w:t>
      </w:r>
      <w:r>
        <w:rPr>
          <w:spacing w:val="-5"/>
          <w:sz w:val="20"/>
        </w:rPr>
        <w:t xml:space="preserve"> </w:t>
      </w:r>
      <w:r>
        <w:rPr>
          <w:sz w:val="20"/>
        </w:rPr>
        <w:t>8A</w:t>
      </w:r>
      <w:r>
        <w:rPr>
          <w:spacing w:val="-6"/>
          <w:sz w:val="20"/>
        </w:rPr>
        <w:t xml:space="preserve"> </w:t>
      </w:r>
      <w:r>
        <w:rPr>
          <w:sz w:val="20"/>
        </w:rPr>
        <w:t>&amp;</w:t>
      </w:r>
      <w:r>
        <w:rPr>
          <w:spacing w:val="-5"/>
          <w:sz w:val="20"/>
        </w:rPr>
        <w:t xml:space="preserve"> 8D)</w:t>
      </w:r>
    </w:p>
    <w:p w14:paraId="28190317" w14:textId="77777777" w:rsidR="00DB6E1F" w:rsidRDefault="00F666A6">
      <w:pPr>
        <w:spacing w:before="118"/>
        <w:ind w:left="1439" w:right="1444"/>
        <w:rPr>
          <w:sz w:val="20"/>
        </w:rPr>
      </w:pPr>
      <w:r>
        <w:rPr>
          <w:b/>
          <w:sz w:val="20"/>
        </w:rPr>
        <w:t>Instructions:</w:t>
      </w:r>
      <w:r>
        <w:rPr>
          <w:b/>
          <w:spacing w:val="-3"/>
          <w:sz w:val="20"/>
        </w:rPr>
        <w:t xml:space="preserve"> </w:t>
      </w:r>
      <w:r>
        <w:rPr>
          <w:sz w:val="20"/>
        </w:rPr>
        <w:t>From</w:t>
      </w:r>
      <w:r>
        <w:rPr>
          <w:spacing w:val="-4"/>
          <w:sz w:val="20"/>
        </w:rPr>
        <w:t xml:space="preserve"> </w:t>
      </w:r>
      <w:r>
        <w:rPr>
          <w:sz w:val="20"/>
        </w:rPr>
        <w:t>the</w:t>
      </w:r>
      <w:r>
        <w:rPr>
          <w:spacing w:val="-4"/>
          <w:sz w:val="20"/>
        </w:rPr>
        <w:t xml:space="preserve"> </w:t>
      </w:r>
      <w:r>
        <w:rPr>
          <w:sz w:val="20"/>
        </w:rPr>
        <w:t>SOCRATES</w:t>
      </w:r>
      <w:r>
        <w:rPr>
          <w:spacing w:val="-4"/>
          <w:sz w:val="20"/>
        </w:rPr>
        <w:t xml:space="preserve"> </w:t>
      </w:r>
      <w:r>
        <w:rPr>
          <w:sz w:val="20"/>
        </w:rPr>
        <w:t>Scoring</w:t>
      </w:r>
      <w:r>
        <w:rPr>
          <w:spacing w:val="-3"/>
          <w:sz w:val="20"/>
        </w:rPr>
        <w:t xml:space="preserve"> </w:t>
      </w:r>
      <w:r>
        <w:rPr>
          <w:sz w:val="20"/>
        </w:rPr>
        <w:t>Form</w:t>
      </w:r>
      <w:r>
        <w:rPr>
          <w:spacing w:val="-3"/>
          <w:sz w:val="20"/>
        </w:rPr>
        <w:t xml:space="preserve"> </w:t>
      </w:r>
      <w:r>
        <w:rPr>
          <w:sz w:val="20"/>
        </w:rPr>
        <w:t>above</w:t>
      </w:r>
      <w:r>
        <w:rPr>
          <w:spacing w:val="-1"/>
          <w:sz w:val="20"/>
        </w:rPr>
        <w:t xml:space="preserve"> </w:t>
      </w:r>
      <w:r>
        <w:rPr>
          <w:sz w:val="20"/>
        </w:rPr>
        <w:t>(19-Item</w:t>
      </w:r>
      <w:r>
        <w:rPr>
          <w:spacing w:val="-4"/>
          <w:sz w:val="20"/>
        </w:rPr>
        <w:t xml:space="preserve"> </w:t>
      </w:r>
      <w:r>
        <w:rPr>
          <w:sz w:val="20"/>
        </w:rPr>
        <w:t>Version)</w:t>
      </w:r>
      <w:r>
        <w:rPr>
          <w:spacing w:val="-3"/>
          <w:sz w:val="20"/>
        </w:rPr>
        <w:t xml:space="preserve"> </w:t>
      </w:r>
      <w:r>
        <w:rPr>
          <w:sz w:val="20"/>
        </w:rPr>
        <w:t>transfer</w:t>
      </w:r>
      <w:r>
        <w:rPr>
          <w:spacing w:val="-3"/>
          <w:sz w:val="20"/>
        </w:rPr>
        <w:t xml:space="preserve"> </w:t>
      </w:r>
      <w:r>
        <w:rPr>
          <w:sz w:val="20"/>
        </w:rPr>
        <w:t>the</w:t>
      </w:r>
      <w:r>
        <w:rPr>
          <w:spacing w:val="-1"/>
          <w:sz w:val="20"/>
        </w:rPr>
        <w:t xml:space="preserve"> </w:t>
      </w:r>
      <w:r>
        <w:rPr>
          <w:sz w:val="20"/>
        </w:rPr>
        <w:t>Totals</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appropriate</w:t>
      </w:r>
      <w:r>
        <w:rPr>
          <w:spacing w:val="-3"/>
          <w:sz w:val="20"/>
        </w:rPr>
        <w:t xml:space="preserve"> </w:t>
      </w:r>
      <w:r>
        <w:rPr>
          <w:sz w:val="20"/>
        </w:rPr>
        <w:t>Raw Scores cells below. Then for each scale, CIRCLE the same value above it to determine the decile range.</w:t>
      </w:r>
    </w:p>
    <w:p w14:paraId="62985ACD" w14:textId="77777777" w:rsidR="00DB6E1F" w:rsidRDefault="00DB6E1F">
      <w:pPr>
        <w:pStyle w:val="BodyText"/>
        <w:spacing w:before="10" w:after="1"/>
        <w:rPr>
          <w:sz w:val="9"/>
        </w:rPr>
      </w:pPr>
    </w:p>
    <w:tbl>
      <w:tblPr>
        <w:tblW w:w="0" w:type="auto"/>
        <w:tblInd w:w="144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3264"/>
        <w:gridCol w:w="2033"/>
        <w:gridCol w:w="2033"/>
        <w:gridCol w:w="2031"/>
      </w:tblGrid>
      <w:tr w:rsidR="00DB6E1F" w14:paraId="7E873CD8" w14:textId="77777777">
        <w:trPr>
          <w:trHeight w:val="263"/>
        </w:trPr>
        <w:tc>
          <w:tcPr>
            <w:tcW w:w="3264" w:type="dxa"/>
          </w:tcPr>
          <w:p w14:paraId="09E05553" w14:textId="77777777" w:rsidR="00DB6E1F" w:rsidRDefault="00F666A6">
            <w:pPr>
              <w:pStyle w:val="TableParagraph"/>
              <w:spacing w:line="242" w:lineRule="exact"/>
              <w:ind w:left="787" w:right="778"/>
              <w:jc w:val="center"/>
              <w:rPr>
                <w:b/>
                <w:sz w:val="20"/>
              </w:rPr>
            </w:pPr>
            <w:r>
              <w:rPr>
                <w:b/>
                <w:sz w:val="20"/>
              </w:rPr>
              <w:t>Decile</w:t>
            </w:r>
            <w:r>
              <w:rPr>
                <w:b/>
                <w:spacing w:val="-9"/>
                <w:sz w:val="20"/>
              </w:rPr>
              <w:t xml:space="preserve"> </w:t>
            </w:r>
            <w:r>
              <w:rPr>
                <w:b/>
                <w:spacing w:val="-2"/>
                <w:sz w:val="20"/>
              </w:rPr>
              <w:t>Scores</w:t>
            </w:r>
          </w:p>
        </w:tc>
        <w:tc>
          <w:tcPr>
            <w:tcW w:w="2033" w:type="dxa"/>
          </w:tcPr>
          <w:p w14:paraId="7E360560" w14:textId="77777777" w:rsidR="00DB6E1F" w:rsidRDefault="00F666A6">
            <w:pPr>
              <w:pStyle w:val="TableParagraph"/>
              <w:spacing w:line="242" w:lineRule="exact"/>
              <w:ind w:left="466" w:right="456"/>
              <w:jc w:val="center"/>
              <w:rPr>
                <w:b/>
                <w:sz w:val="20"/>
              </w:rPr>
            </w:pPr>
            <w:r>
              <w:rPr>
                <w:b/>
                <w:spacing w:val="-2"/>
                <w:sz w:val="20"/>
              </w:rPr>
              <w:t>Recognition</w:t>
            </w:r>
          </w:p>
        </w:tc>
        <w:tc>
          <w:tcPr>
            <w:tcW w:w="2033" w:type="dxa"/>
          </w:tcPr>
          <w:p w14:paraId="797924DD" w14:textId="77777777" w:rsidR="00DB6E1F" w:rsidRDefault="00F666A6">
            <w:pPr>
              <w:pStyle w:val="TableParagraph"/>
              <w:spacing w:line="242" w:lineRule="exact"/>
              <w:ind w:left="467" w:right="456"/>
              <w:jc w:val="center"/>
              <w:rPr>
                <w:b/>
                <w:sz w:val="20"/>
              </w:rPr>
            </w:pPr>
            <w:r>
              <w:rPr>
                <w:b/>
                <w:spacing w:val="-2"/>
                <w:sz w:val="20"/>
              </w:rPr>
              <w:t>Ambivalence</w:t>
            </w:r>
          </w:p>
        </w:tc>
        <w:tc>
          <w:tcPr>
            <w:tcW w:w="2031" w:type="dxa"/>
          </w:tcPr>
          <w:p w14:paraId="37882F31" w14:textId="77777777" w:rsidR="00DB6E1F" w:rsidRDefault="00F666A6">
            <w:pPr>
              <w:pStyle w:val="TableParagraph"/>
              <w:spacing w:line="242" w:lineRule="exact"/>
              <w:ind w:left="479" w:right="474"/>
              <w:jc w:val="center"/>
              <w:rPr>
                <w:b/>
                <w:sz w:val="20"/>
              </w:rPr>
            </w:pPr>
            <w:r>
              <w:rPr>
                <w:b/>
                <w:sz w:val="20"/>
              </w:rPr>
              <w:t>Ta</w:t>
            </w:r>
            <w:r>
              <w:rPr>
                <w:b/>
                <w:sz w:val="20"/>
              </w:rPr>
              <w:t>king</w:t>
            </w:r>
            <w:r>
              <w:rPr>
                <w:b/>
                <w:spacing w:val="-9"/>
                <w:sz w:val="20"/>
              </w:rPr>
              <w:t xml:space="preserve"> </w:t>
            </w:r>
            <w:r>
              <w:rPr>
                <w:b/>
                <w:spacing w:val="-2"/>
                <w:sz w:val="20"/>
              </w:rPr>
              <w:t>Steps</w:t>
            </w:r>
          </w:p>
        </w:tc>
      </w:tr>
      <w:tr w:rsidR="00DB6E1F" w14:paraId="3F8462F8" w14:textId="77777777">
        <w:trPr>
          <w:trHeight w:val="263"/>
        </w:trPr>
        <w:tc>
          <w:tcPr>
            <w:tcW w:w="3264" w:type="dxa"/>
          </w:tcPr>
          <w:p w14:paraId="253626B4" w14:textId="77777777" w:rsidR="00DB6E1F" w:rsidRDefault="00F666A6">
            <w:pPr>
              <w:pStyle w:val="TableParagraph"/>
              <w:spacing w:line="242" w:lineRule="exact"/>
              <w:ind w:left="788" w:right="776"/>
              <w:jc w:val="center"/>
              <w:rPr>
                <w:sz w:val="20"/>
              </w:rPr>
            </w:pPr>
            <w:r>
              <w:rPr>
                <w:sz w:val="20"/>
              </w:rPr>
              <w:t>90</w:t>
            </w:r>
            <w:r>
              <w:rPr>
                <w:spacing w:val="-6"/>
                <w:sz w:val="20"/>
              </w:rPr>
              <w:t xml:space="preserve"> </w:t>
            </w:r>
            <w:r>
              <w:rPr>
                <w:sz w:val="20"/>
              </w:rPr>
              <w:t>(Very</w:t>
            </w:r>
            <w:r>
              <w:rPr>
                <w:spacing w:val="-4"/>
                <w:sz w:val="20"/>
              </w:rPr>
              <w:t xml:space="preserve"> </w:t>
            </w:r>
            <w:r>
              <w:rPr>
                <w:spacing w:val="-2"/>
                <w:sz w:val="20"/>
              </w:rPr>
              <w:t>High)</w:t>
            </w:r>
          </w:p>
        </w:tc>
        <w:tc>
          <w:tcPr>
            <w:tcW w:w="2033" w:type="dxa"/>
          </w:tcPr>
          <w:p w14:paraId="29778129" w14:textId="77777777" w:rsidR="00DB6E1F" w:rsidRDefault="00DB6E1F">
            <w:pPr>
              <w:pStyle w:val="TableParagraph"/>
              <w:spacing w:before="0"/>
              <w:ind w:left="0"/>
              <w:rPr>
                <w:rFonts w:ascii="Times New Roman"/>
                <w:sz w:val="18"/>
              </w:rPr>
            </w:pPr>
          </w:p>
        </w:tc>
        <w:tc>
          <w:tcPr>
            <w:tcW w:w="2033" w:type="dxa"/>
          </w:tcPr>
          <w:p w14:paraId="68A2DD74" w14:textId="77777777" w:rsidR="00DB6E1F" w:rsidRDefault="00F666A6">
            <w:pPr>
              <w:pStyle w:val="TableParagraph"/>
              <w:spacing w:line="242" w:lineRule="exact"/>
              <w:ind w:left="464" w:right="456"/>
              <w:jc w:val="center"/>
              <w:rPr>
                <w:sz w:val="20"/>
              </w:rPr>
            </w:pPr>
            <w:r>
              <w:rPr>
                <w:spacing w:val="-2"/>
                <w:sz w:val="20"/>
              </w:rPr>
              <w:t>19–20</w:t>
            </w:r>
          </w:p>
        </w:tc>
        <w:tc>
          <w:tcPr>
            <w:tcW w:w="2031" w:type="dxa"/>
          </w:tcPr>
          <w:p w14:paraId="4B16A9FE" w14:textId="77777777" w:rsidR="00DB6E1F" w:rsidRDefault="00F666A6">
            <w:pPr>
              <w:pStyle w:val="TableParagraph"/>
              <w:spacing w:line="242" w:lineRule="exact"/>
              <w:ind w:left="479" w:right="474"/>
              <w:jc w:val="center"/>
              <w:rPr>
                <w:sz w:val="20"/>
              </w:rPr>
            </w:pPr>
            <w:r>
              <w:rPr>
                <w:spacing w:val="-2"/>
                <w:sz w:val="20"/>
              </w:rPr>
              <w:t>39–40</w:t>
            </w:r>
          </w:p>
        </w:tc>
      </w:tr>
      <w:tr w:rsidR="00DB6E1F" w14:paraId="6983C10F" w14:textId="77777777">
        <w:trPr>
          <w:trHeight w:val="263"/>
        </w:trPr>
        <w:tc>
          <w:tcPr>
            <w:tcW w:w="3264" w:type="dxa"/>
          </w:tcPr>
          <w:p w14:paraId="54D59AEF" w14:textId="77777777" w:rsidR="00DB6E1F" w:rsidRDefault="00F666A6">
            <w:pPr>
              <w:pStyle w:val="TableParagraph"/>
              <w:spacing w:line="242" w:lineRule="exact"/>
              <w:ind w:left="788" w:right="774"/>
              <w:jc w:val="center"/>
              <w:rPr>
                <w:sz w:val="20"/>
              </w:rPr>
            </w:pPr>
            <w:r>
              <w:rPr>
                <w:spacing w:val="-5"/>
                <w:sz w:val="20"/>
              </w:rPr>
              <w:t>80</w:t>
            </w:r>
          </w:p>
        </w:tc>
        <w:tc>
          <w:tcPr>
            <w:tcW w:w="2033" w:type="dxa"/>
          </w:tcPr>
          <w:p w14:paraId="21A5B0AC" w14:textId="77777777" w:rsidR="00DB6E1F" w:rsidRDefault="00DB6E1F">
            <w:pPr>
              <w:pStyle w:val="TableParagraph"/>
              <w:spacing w:before="0"/>
              <w:ind w:left="0"/>
              <w:rPr>
                <w:rFonts w:ascii="Times New Roman"/>
                <w:sz w:val="18"/>
              </w:rPr>
            </w:pPr>
          </w:p>
        </w:tc>
        <w:tc>
          <w:tcPr>
            <w:tcW w:w="2033" w:type="dxa"/>
          </w:tcPr>
          <w:p w14:paraId="6C7774E6" w14:textId="77777777" w:rsidR="00DB6E1F" w:rsidRDefault="00F666A6">
            <w:pPr>
              <w:pStyle w:val="TableParagraph"/>
              <w:spacing w:line="242" w:lineRule="exact"/>
              <w:ind w:left="467" w:right="456"/>
              <w:jc w:val="center"/>
              <w:rPr>
                <w:sz w:val="20"/>
              </w:rPr>
            </w:pPr>
            <w:r>
              <w:rPr>
                <w:spacing w:val="-5"/>
                <w:sz w:val="20"/>
              </w:rPr>
              <w:t>18</w:t>
            </w:r>
          </w:p>
        </w:tc>
        <w:tc>
          <w:tcPr>
            <w:tcW w:w="2031" w:type="dxa"/>
          </w:tcPr>
          <w:p w14:paraId="3DCC8128" w14:textId="77777777" w:rsidR="00DB6E1F" w:rsidRDefault="00F666A6">
            <w:pPr>
              <w:pStyle w:val="TableParagraph"/>
              <w:spacing w:line="242" w:lineRule="exact"/>
              <w:ind w:left="479" w:right="474"/>
              <w:jc w:val="center"/>
              <w:rPr>
                <w:sz w:val="20"/>
              </w:rPr>
            </w:pPr>
            <w:r>
              <w:rPr>
                <w:spacing w:val="-2"/>
                <w:sz w:val="20"/>
              </w:rPr>
              <w:t>37–38</w:t>
            </w:r>
          </w:p>
        </w:tc>
      </w:tr>
      <w:tr w:rsidR="00DB6E1F" w14:paraId="37A5D140" w14:textId="77777777">
        <w:trPr>
          <w:trHeight w:val="263"/>
        </w:trPr>
        <w:tc>
          <w:tcPr>
            <w:tcW w:w="3264" w:type="dxa"/>
          </w:tcPr>
          <w:p w14:paraId="7E923B01" w14:textId="77777777" w:rsidR="00DB6E1F" w:rsidRDefault="00F666A6">
            <w:pPr>
              <w:pStyle w:val="TableParagraph"/>
              <w:spacing w:line="242" w:lineRule="exact"/>
              <w:ind w:left="788" w:right="776"/>
              <w:jc w:val="center"/>
              <w:rPr>
                <w:sz w:val="20"/>
              </w:rPr>
            </w:pPr>
            <w:r>
              <w:rPr>
                <w:sz w:val="20"/>
              </w:rPr>
              <w:t>70</w:t>
            </w:r>
            <w:r>
              <w:rPr>
                <w:spacing w:val="-4"/>
                <w:sz w:val="20"/>
              </w:rPr>
              <w:t xml:space="preserve"> </w:t>
            </w:r>
            <w:r>
              <w:rPr>
                <w:spacing w:val="-2"/>
                <w:sz w:val="20"/>
              </w:rPr>
              <w:t>(High)</w:t>
            </w:r>
          </w:p>
        </w:tc>
        <w:tc>
          <w:tcPr>
            <w:tcW w:w="2033" w:type="dxa"/>
          </w:tcPr>
          <w:p w14:paraId="4AEE9E68" w14:textId="77777777" w:rsidR="00DB6E1F" w:rsidRDefault="00F666A6">
            <w:pPr>
              <w:pStyle w:val="TableParagraph"/>
              <w:spacing w:line="242" w:lineRule="exact"/>
              <w:ind w:left="467" w:right="456"/>
              <w:jc w:val="center"/>
              <w:rPr>
                <w:sz w:val="20"/>
              </w:rPr>
            </w:pPr>
            <w:r>
              <w:rPr>
                <w:spacing w:val="-5"/>
                <w:sz w:val="20"/>
              </w:rPr>
              <w:t>35</w:t>
            </w:r>
          </w:p>
        </w:tc>
        <w:tc>
          <w:tcPr>
            <w:tcW w:w="2033" w:type="dxa"/>
          </w:tcPr>
          <w:p w14:paraId="3F3FDE2A" w14:textId="77777777" w:rsidR="00DB6E1F" w:rsidRDefault="00F666A6">
            <w:pPr>
              <w:pStyle w:val="TableParagraph"/>
              <w:spacing w:line="242" w:lineRule="exact"/>
              <w:ind w:left="467" w:right="456"/>
              <w:jc w:val="center"/>
              <w:rPr>
                <w:sz w:val="20"/>
              </w:rPr>
            </w:pPr>
            <w:r>
              <w:rPr>
                <w:spacing w:val="-5"/>
                <w:sz w:val="20"/>
              </w:rPr>
              <w:t>17</w:t>
            </w:r>
          </w:p>
        </w:tc>
        <w:tc>
          <w:tcPr>
            <w:tcW w:w="2031" w:type="dxa"/>
          </w:tcPr>
          <w:p w14:paraId="103AB7B2" w14:textId="77777777" w:rsidR="00DB6E1F" w:rsidRDefault="00F666A6">
            <w:pPr>
              <w:pStyle w:val="TableParagraph"/>
              <w:spacing w:line="242" w:lineRule="exact"/>
              <w:ind w:left="479" w:right="471"/>
              <w:jc w:val="center"/>
              <w:rPr>
                <w:sz w:val="20"/>
              </w:rPr>
            </w:pPr>
            <w:r>
              <w:rPr>
                <w:spacing w:val="-5"/>
                <w:sz w:val="20"/>
              </w:rPr>
              <w:t>36</w:t>
            </w:r>
          </w:p>
        </w:tc>
      </w:tr>
      <w:tr w:rsidR="00DB6E1F" w14:paraId="5EDA2F92" w14:textId="77777777">
        <w:trPr>
          <w:trHeight w:val="263"/>
        </w:trPr>
        <w:tc>
          <w:tcPr>
            <w:tcW w:w="3264" w:type="dxa"/>
          </w:tcPr>
          <w:p w14:paraId="6F5956D2" w14:textId="77777777" w:rsidR="00DB6E1F" w:rsidRDefault="00F666A6">
            <w:pPr>
              <w:pStyle w:val="TableParagraph"/>
              <w:spacing w:line="242" w:lineRule="exact"/>
              <w:ind w:left="788" w:right="774"/>
              <w:jc w:val="center"/>
              <w:rPr>
                <w:sz w:val="20"/>
              </w:rPr>
            </w:pPr>
            <w:r>
              <w:rPr>
                <w:spacing w:val="-5"/>
                <w:sz w:val="20"/>
              </w:rPr>
              <w:t>60</w:t>
            </w:r>
          </w:p>
        </w:tc>
        <w:tc>
          <w:tcPr>
            <w:tcW w:w="2033" w:type="dxa"/>
          </w:tcPr>
          <w:p w14:paraId="51649692" w14:textId="77777777" w:rsidR="00DB6E1F" w:rsidRDefault="00F666A6">
            <w:pPr>
              <w:pStyle w:val="TableParagraph"/>
              <w:spacing w:line="242" w:lineRule="exact"/>
              <w:ind w:left="467" w:right="456"/>
              <w:jc w:val="center"/>
              <w:rPr>
                <w:sz w:val="20"/>
              </w:rPr>
            </w:pPr>
            <w:r>
              <w:rPr>
                <w:spacing w:val="-5"/>
                <w:sz w:val="20"/>
              </w:rPr>
              <w:t>34</w:t>
            </w:r>
          </w:p>
        </w:tc>
        <w:tc>
          <w:tcPr>
            <w:tcW w:w="2033" w:type="dxa"/>
          </w:tcPr>
          <w:p w14:paraId="1AF1489E" w14:textId="77777777" w:rsidR="00DB6E1F" w:rsidRDefault="00F666A6">
            <w:pPr>
              <w:pStyle w:val="TableParagraph"/>
              <w:spacing w:line="242" w:lineRule="exact"/>
              <w:ind w:left="467" w:right="456"/>
              <w:jc w:val="center"/>
              <w:rPr>
                <w:sz w:val="20"/>
              </w:rPr>
            </w:pPr>
            <w:r>
              <w:rPr>
                <w:spacing w:val="-5"/>
                <w:sz w:val="20"/>
              </w:rPr>
              <w:t>16</w:t>
            </w:r>
          </w:p>
        </w:tc>
        <w:tc>
          <w:tcPr>
            <w:tcW w:w="2031" w:type="dxa"/>
          </w:tcPr>
          <w:p w14:paraId="357B8641" w14:textId="77777777" w:rsidR="00DB6E1F" w:rsidRDefault="00F666A6">
            <w:pPr>
              <w:pStyle w:val="TableParagraph"/>
              <w:spacing w:line="242" w:lineRule="exact"/>
              <w:ind w:left="479" w:right="474"/>
              <w:jc w:val="center"/>
              <w:rPr>
                <w:sz w:val="20"/>
              </w:rPr>
            </w:pPr>
            <w:r>
              <w:rPr>
                <w:spacing w:val="-2"/>
                <w:sz w:val="20"/>
              </w:rPr>
              <w:t>34–35</w:t>
            </w:r>
          </w:p>
        </w:tc>
      </w:tr>
      <w:tr w:rsidR="00DB6E1F" w14:paraId="7AE98A9A" w14:textId="77777777">
        <w:trPr>
          <w:trHeight w:val="263"/>
        </w:trPr>
        <w:tc>
          <w:tcPr>
            <w:tcW w:w="3264" w:type="dxa"/>
            <w:tcBorders>
              <w:bottom w:val="single" w:sz="6" w:space="0" w:color="000000"/>
            </w:tcBorders>
          </w:tcPr>
          <w:p w14:paraId="735FEA93" w14:textId="77777777" w:rsidR="00DB6E1F" w:rsidRDefault="00F666A6">
            <w:pPr>
              <w:pStyle w:val="TableParagraph"/>
              <w:spacing w:line="242" w:lineRule="exact"/>
              <w:ind w:left="788" w:right="776"/>
              <w:jc w:val="center"/>
              <w:rPr>
                <w:sz w:val="20"/>
              </w:rPr>
            </w:pPr>
            <w:r>
              <w:rPr>
                <w:sz w:val="20"/>
              </w:rPr>
              <w:t>50</w:t>
            </w:r>
            <w:r>
              <w:rPr>
                <w:spacing w:val="-4"/>
                <w:sz w:val="20"/>
              </w:rPr>
              <w:t xml:space="preserve"> </w:t>
            </w:r>
            <w:r>
              <w:rPr>
                <w:spacing w:val="-2"/>
                <w:sz w:val="20"/>
              </w:rPr>
              <w:t>(Medium)</w:t>
            </w:r>
          </w:p>
        </w:tc>
        <w:tc>
          <w:tcPr>
            <w:tcW w:w="2033" w:type="dxa"/>
            <w:tcBorders>
              <w:bottom w:val="single" w:sz="6" w:space="0" w:color="000000"/>
            </w:tcBorders>
          </w:tcPr>
          <w:p w14:paraId="41B6F0E1" w14:textId="77777777" w:rsidR="00DB6E1F" w:rsidRDefault="00F666A6">
            <w:pPr>
              <w:pStyle w:val="TableParagraph"/>
              <w:spacing w:line="242" w:lineRule="exact"/>
              <w:ind w:left="465" w:right="456"/>
              <w:jc w:val="center"/>
              <w:rPr>
                <w:sz w:val="20"/>
              </w:rPr>
            </w:pPr>
            <w:r>
              <w:rPr>
                <w:spacing w:val="-2"/>
                <w:sz w:val="20"/>
              </w:rPr>
              <w:t>32–33</w:t>
            </w:r>
          </w:p>
        </w:tc>
        <w:tc>
          <w:tcPr>
            <w:tcW w:w="2033" w:type="dxa"/>
            <w:tcBorders>
              <w:bottom w:val="single" w:sz="6" w:space="0" w:color="000000"/>
            </w:tcBorders>
          </w:tcPr>
          <w:p w14:paraId="2243BBBC" w14:textId="77777777" w:rsidR="00DB6E1F" w:rsidRDefault="00F666A6">
            <w:pPr>
              <w:pStyle w:val="TableParagraph"/>
              <w:spacing w:line="242" w:lineRule="exact"/>
              <w:ind w:left="467" w:right="456"/>
              <w:jc w:val="center"/>
              <w:rPr>
                <w:sz w:val="20"/>
              </w:rPr>
            </w:pPr>
            <w:r>
              <w:rPr>
                <w:spacing w:val="-5"/>
                <w:sz w:val="20"/>
              </w:rPr>
              <w:t>15</w:t>
            </w:r>
          </w:p>
        </w:tc>
        <w:tc>
          <w:tcPr>
            <w:tcW w:w="2031" w:type="dxa"/>
            <w:tcBorders>
              <w:bottom w:val="single" w:sz="6" w:space="0" w:color="000000"/>
            </w:tcBorders>
          </w:tcPr>
          <w:p w14:paraId="1B85E687" w14:textId="77777777" w:rsidR="00DB6E1F" w:rsidRDefault="00F666A6">
            <w:pPr>
              <w:pStyle w:val="TableParagraph"/>
              <w:spacing w:line="242" w:lineRule="exact"/>
              <w:ind w:left="479" w:right="471"/>
              <w:jc w:val="center"/>
              <w:rPr>
                <w:sz w:val="20"/>
              </w:rPr>
            </w:pPr>
            <w:r>
              <w:rPr>
                <w:spacing w:val="-5"/>
                <w:sz w:val="20"/>
              </w:rPr>
              <w:t>33</w:t>
            </w:r>
          </w:p>
        </w:tc>
      </w:tr>
      <w:tr w:rsidR="00DB6E1F" w14:paraId="265414FE" w14:textId="77777777">
        <w:trPr>
          <w:trHeight w:val="263"/>
        </w:trPr>
        <w:tc>
          <w:tcPr>
            <w:tcW w:w="3264" w:type="dxa"/>
            <w:tcBorders>
              <w:top w:val="single" w:sz="6" w:space="0" w:color="000000"/>
            </w:tcBorders>
          </w:tcPr>
          <w:p w14:paraId="6C7733AC" w14:textId="77777777" w:rsidR="00DB6E1F" w:rsidRDefault="00F666A6">
            <w:pPr>
              <w:pStyle w:val="TableParagraph"/>
              <w:spacing w:line="242" w:lineRule="exact"/>
              <w:ind w:left="788" w:right="774"/>
              <w:jc w:val="center"/>
              <w:rPr>
                <w:sz w:val="20"/>
              </w:rPr>
            </w:pPr>
            <w:r>
              <w:rPr>
                <w:spacing w:val="-5"/>
                <w:sz w:val="20"/>
              </w:rPr>
              <w:t>40</w:t>
            </w:r>
          </w:p>
        </w:tc>
        <w:tc>
          <w:tcPr>
            <w:tcW w:w="2033" w:type="dxa"/>
            <w:tcBorders>
              <w:top w:val="single" w:sz="6" w:space="0" w:color="000000"/>
            </w:tcBorders>
          </w:tcPr>
          <w:p w14:paraId="340645E5" w14:textId="77777777" w:rsidR="00DB6E1F" w:rsidRDefault="00F666A6">
            <w:pPr>
              <w:pStyle w:val="TableParagraph"/>
              <w:spacing w:line="242" w:lineRule="exact"/>
              <w:ind w:left="467" w:right="456"/>
              <w:jc w:val="center"/>
              <w:rPr>
                <w:sz w:val="20"/>
              </w:rPr>
            </w:pPr>
            <w:r>
              <w:rPr>
                <w:spacing w:val="-5"/>
                <w:sz w:val="20"/>
              </w:rPr>
              <w:t>31</w:t>
            </w:r>
          </w:p>
        </w:tc>
        <w:tc>
          <w:tcPr>
            <w:tcW w:w="2033" w:type="dxa"/>
            <w:tcBorders>
              <w:top w:val="single" w:sz="6" w:space="0" w:color="000000"/>
            </w:tcBorders>
          </w:tcPr>
          <w:p w14:paraId="6FB43822" w14:textId="77777777" w:rsidR="00DB6E1F" w:rsidRDefault="00F666A6">
            <w:pPr>
              <w:pStyle w:val="TableParagraph"/>
              <w:spacing w:line="242" w:lineRule="exact"/>
              <w:ind w:left="467" w:right="456"/>
              <w:jc w:val="center"/>
              <w:rPr>
                <w:sz w:val="20"/>
              </w:rPr>
            </w:pPr>
            <w:r>
              <w:rPr>
                <w:spacing w:val="-5"/>
                <w:sz w:val="20"/>
              </w:rPr>
              <w:t>14</w:t>
            </w:r>
          </w:p>
        </w:tc>
        <w:tc>
          <w:tcPr>
            <w:tcW w:w="2031" w:type="dxa"/>
            <w:tcBorders>
              <w:top w:val="single" w:sz="6" w:space="0" w:color="000000"/>
            </w:tcBorders>
          </w:tcPr>
          <w:p w14:paraId="6FDA574D" w14:textId="77777777" w:rsidR="00DB6E1F" w:rsidRDefault="00F666A6">
            <w:pPr>
              <w:pStyle w:val="TableParagraph"/>
              <w:spacing w:line="242" w:lineRule="exact"/>
              <w:ind w:left="479" w:right="474"/>
              <w:jc w:val="center"/>
              <w:rPr>
                <w:sz w:val="20"/>
              </w:rPr>
            </w:pPr>
            <w:r>
              <w:rPr>
                <w:spacing w:val="-2"/>
                <w:sz w:val="20"/>
              </w:rPr>
              <w:t>31–32</w:t>
            </w:r>
          </w:p>
        </w:tc>
      </w:tr>
      <w:tr w:rsidR="00DB6E1F" w14:paraId="49F0478A" w14:textId="77777777">
        <w:trPr>
          <w:trHeight w:val="263"/>
        </w:trPr>
        <w:tc>
          <w:tcPr>
            <w:tcW w:w="3264" w:type="dxa"/>
          </w:tcPr>
          <w:p w14:paraId="02B61D08" w14:textId="77777777" w:rsidR="00DB6E1F" w:rsidRDefault="00F666A6">
            <w:pPr>
              <w:pStyle w:val="TableParagraph"/>
              <w:spacing w:before="3" w:line="240" w:lineRule="exact"/>
              <w:ind w:left="788" w:right="776"/>
              <w:jc w:val="center"/>
              <w:rPr>
                <w:sz w:val="20"/>
              </w:rPr>
            </w:pPr>
            <w:r>
              <w:rPr>
                <w:sz w:val="20"/>
              </w:rPr>
              <w:t>30</w:t>
            </w:r>
            <w:r>
              <w:rPr>
                <w:spacing w:val="-4"/>
                <w:sz w:val="20"/>
              </w:rPr>
              <w:t xml:space="preserve"> </w:t>
            </w:r>
            <w:r>
              <w:rPr>
                <w:spacing w:val="-2"/>
                <w:sz w:val="20"/>
              </w:rPr>
              <w:t>(Low)</w:t>
            </w:r>
          </w:p>
        </w:tc>
        <w:tc>
          <w:tcPr>
            <w:tcW w:w="2033" w:type="dxa"/>
          </w:tcPr>
          <w:p w14:paraId="1F847DB2" w14:textId="77777777" w:rsidR="00DB6E1F" w:rsidRDefault="00F666A6">
            <w:pPr>
              <w:pStyle w:val="TableParagraph"/>
              <w:spacing w:before="3" w:line="240" w:lineRule="exact"/>
              <w:ind w:left="465" w:right="456"/>
              <w:jc w:val="center"/>
              <w:rPr>
                <w:sz w:val="20"/>
              </w:rPr>
            </w:pPr>
            <w:r>
              <w:rPr>
                <w:spacing w:val="-2"/>
                <w:sz w:val="20"/>
              </w:rPr>
              <w:t>29–30</w:t>
            </w:r>
          </w:p>
        </w:tc>
        <w:tc>
          <w:tcPr>
            <w:tcW w:w="2033" w:type="dxa"/>
          </w:tcPr>
          <w:p w14:paraId="38D6DB93" w14:textId="77777777" w:rsidR="00DB6E1F" w:rsidRDefault="00F666A6">
            <w:pPr>
              <w:pStyle w:val="TableParagraph"/>
              <w:spacing w:before="3" w:line="240" w:lineRule="exact"/>
              <w:ind w:left="464" w:right="456"/>
              <w:jc w:val="center"/>
              <w:rPr>
                <w:sz w:val="20"/>
              </w:rPr>
            </w:pPr>
            <w:r>
              <w:rPr>
                <w:spacing w:val="-2"/>
                <w:sz w:val="20"/>
              </w:rPr>
              <w:t>12–13</w:t>
            </w:r>
          </w:p>
        </w:tc>
        <w:tc>
          <w:tcPr>
            <w:tcW w:w="2031" w:type="dxa"/>
          </w:tcPr>
          <w:p w14:paraId="25B272F1" w14:textId="77777777" w:rsidR="00DB6E1F" w:rsidRDefault="00F666A6">
            <w:pPr>
              <w:pStyle w:val="TableParagraph"/>
              <w:spacing w:before="3" w:line="240" w:lineRule="exact"/>
              <w:ind w:left="479" w:right="471"/>
              <w:jc w:val="center"/>
              <w:rPr>
                <w:sz w:val="20"/>
              </w:rPr>
            </w:pPr>
            <w:r>
              <w:rPr>
                <w:spacing w:val="-5"/>
                <w:sz w:val="20"/>
              </w:rPr>
              <w:t>30</w:t>
            </w:r>
          </w:p>
        </w:tc>
      </w:tr>
      <w:tr w:rsidR="00DB6E1F" w14:paraId="5C9363DC" w14:textId="77777777">
        <w:trPr>
          <w:trHeight w:val="263"/>
        </w:trPr>
        <w:tc>
          <w:tcPr>
            <w:tcW w:w="3264" w:type="dxa"/>
          </w:tcPr>
          <w:p w14:paraId="21F5579F" w14:textId="77777777" w:rsidR="00DB6E1F" w:rsidRDefault="00F666A6">
            <w:pPr>
              <w:pStyle w:val="TableParagraph"/>
              <w:spacing w:before="3" w:line="240" w:lineRule="exact"/>
              <w:ind w:left="788" w:right="774"/>
              <w:jc w:val="center"/>
              <w:rPr>
                <w:sz w:val="20"/>
              </w:rPr>
            </w:pPr>
            <w:r>
              <w:rPr>
                <w:spacing w:val="-5"/>
                <w:sz w:val="20"/>
              </w:rPr>
              <w:t>20</w:t>
            </w:r>
          </w:p>
        </w:tc>
        <w:tc>
          <w:tcPr>
            <w:tcW w:w="2033" w:type="dxa"/>
          </w:tcPr>
          <w:p w14:paraId="5C2F241C" w14:textId="77777777" w:rsidR="00DB6E1F" w:rsidRDefault="00F666A6">
            <w:pPr>
              <w:pStyle w:val="TableParagraph"/>
              <w:spacing w:before="3" w:line="240" w:lineRule="exact"/>
              <w:ind w:left="465" w:right="456"/>
              <w:jc w:val="center"/>
              <w:rPr>
                <w:sz w:val="20"/>
              </w:rPr>
            </w:pPr>
            <w:r>
              <w:rPr>
                <w:spacing w:val="-2"/>
                <w:sz w:val="20"/>
              </w:rPr>
              <w:t>27–28</w:t>
            </w:r>
          </w:p>
        </w:tc>
        <w:tc>
          <w:tcPr>
            <w:tcW w:w="2033" w:type="dxa"/>
          </w:tcPr>
          <w:p w14:paraId="17892C9A" w14:textId="77777777" w:rsidR="00DB6E1F" w:rsidRDefault="00F666A6">
            <w:pPr>
              <w:pStyle w:val="TableParagraph"/>
              <w:spacing w:before="3" w:line="240" w:lineRule="exact"/>
              <w:ind w:left="464" w:right="456"/>
              <w:jc w:val="center"/>
              <w:rPr>
                <w:sz w:val="20"/>
              </w:rPr>
            </w:pPr>
            <w:r>
              <w:rPr>
                <w:spacing w:val="-4"/>
                <w:sz w:val="20"/>
              </w:rPr>
              <w:t>9–11</w:t>
            </w:r>
          </w:p>
        </w:tc>
        <w:tc>
          <w:tcPr>
            <w:tcW w:w="2031" w:type="dxa"/>
          </w:tcPr>
          <w:p w14:paraId="0480CF0A" w14:textId="77777777" w:rsidR="00DB6E1F" w:rsidRDefault="00F666A6">
            <w:pPr>
              <w:pStyle w:val="TableParagraph"/>
              <w:spacing w:before="3" w:line="240" w:lineRule="exact"/>
              <w:ind w:left="479" w:right="474"/>
              <w:jc w:val="center"/>
              <w:rPr>
                <w:sz w:val="20"/>
              </w:rPr>
            </w:pPr>
            <w:r>
              <w:rPr>
                <w:spacing w:val="-2"/>
                <w:sz w:val="20"/>
              </w:rPr>
              <w:t>26–29</w:t>
            </w:r>
          </w:p>
        </w:tc>
      </w:tr>
      <w:tr w:rsidR="00DB6E1F" w14:paraId="57DA35BB" w14:textId="77777777">
        <w:trPr>
          <w:trHeight w:val="263"/>
        </w:trPr>
        <w:tc>
          <w:tcPr>
            <w:tcW w:w="3264" w:type="dxa"/>
          </w:tcPr>
          <w:p w14:paraId="1D6AD5BA" w14:textId="77777777" w:rsidR="00DB6E1F" w:rsidRDefault="00F666A6">
            <w:pPr>
              <w:pStyle w:val="TableParagraph"/>
              <w:spacing w:before="3" w:line="240" w:lineRule="exact"/>
              <w:ind w:left="787" w:right="778"/>
              <w:jc w:val="center"/>
              <w:rPr>
                <w:sz w:val="20"/>
              </w:rPr>
            </w:pPr>
            <w:r>
              <w:rPr>
                <w:sz w:val="20"/>
              </w:rPr>
              <w:t>10</w:t>
            </w:r>
            <w:r>
              <w:rPr>
                <w:spacing w:val="-6"/>
                <w:sz w:val="20"/>
              </w:rPr>
              <w:t xml:space="preserve"> </w:t>
            </w:r>
            <w:r>
              <w:rPr>
                <w:sz w:val="20"/>
              </w:rPr>
              <w:t>(Very</w:t>
            </w:r>
            <w:r>
              <w:rPr>
                <w:spacing w:val="-4"/>
                <w:sz w:val="20"/>
              </w:rPr>
              <w:t xml:space="preserve"> Low)</w:t>
            </w:r>
          </w:p>
        </w:tc>
        <w:tc>
          <w:tcPr>
            <w:tcW w:w="2033" w:type="dxa"/>
          </w:tcPr>
          <w:p w14:paraId="2695FC24" w14:textId="77777777" w:rsidR="00DB6E1F" w:rsidRDefault="00F666A6">
            <w:pPr>
              <w:pStyle w:val="TableParagraph"/>
              <w:spacing w:before="3" w:line="240" w:lineRule="exact"/>
              <w:ind w:left="465" w:right="456"/>
              <w:jc w:val="center"/>
              <w:rPr>
                <w:sz w:val="20"/>
              </w:rPr>
            </w:pPr>
            <w:r>
              <w:rPr>
                <w:spacing w:val="-4"/>
                <w:sz w:val="20"/>
              </w:rPr>
              <w:t>7–26</w:t>
            </w:r>
          </w:p>
        </w:tc>
        <w:tc>
          <w:tcPr>
            <w:tcW w:w="2033" w:type="dxa"/>
          </w:tcPr>
          <w:p w14:paraId="62F6B410" w14:textId="77777777" w:rsidR="00DB6E1F" w:rsidRDefault="00F666A6">
            <w:pPr>
              <w:pStyle w:val="TableParagraph"/>
              <w:spacing w:before="3" w:line="240" w:lineRule="exact"/>
              <w:ind w:left="465" w:right="456"/>
              <w:jc w:val="center"/>
              <w:rPr>
                <w:sz w:val="20"/>
              </w:rPr>
            </w:pPr>
            <w:r>
              <w:rPr>
                <w:spacing w:val="-5"/>
                <w:sz w:val="20"/>
              </w:rPr>
              <w:t>4–8</w:t>
            </w:r>
          </w:p>
        </w:tc>
        <w:tc>
          <w:tcPr>
            <w:tcW w:w="2031" w:type="dxa"/>
          </w:tcPr>
          <w:p w14:paraId="2D66B27D" w14:textId="77777777" w:rsidR="00DB6E1F" w:rsidRDefault="00F666A6">
            <w:pPr>
              <w:pStyle w:val="TableParagraph"/>
              <w:spacing w:before="3" w:line="240" w:lineRule="exact"/>
              <w:ind w:left="479" w:right="474"/>
              <w:jc w:val="center"/>
              <w:rPr>
                <w:sz w:val="20"/>
              </w:rPr>
            </w:pPr>
            <w:r>
              <w:rPr>
                <w:spacing w:val="-4"/>
                <w:sz w:val="20"/>
              </w:rPr>
              <w:t>8–25</w:t>
            </w:r>
          </w:p>
        </w:tc>
      </w:tr>
      <w:tr w:rsidR="00DB6E1F" w14:paraId="607BE1E1" w14:textId="77777777">
        <w:trPr>
          <w:trHeight w:val="527"/>
        </w:trPr>
        <w:tc>
          <w:tcPr>
            <w:tcW w:w="3264" w:type="dxa"/>
          </w:tcPr>
          <w:p w14:paraId="694C3C58" w14:textId="77777777" w:rsidR="00DB6E1F" w:rsidRDefault="00F666A6">
            <w:pPr>
              <w:pStyle w:val="TableParagraph"/>
              <w:spacing w:before="3"/>
              <w:ind w:left="788" w:right="775"/>
              <w:jc w:val="center"/>
              <w:rPr>
                <w:sz w:val="20"/>
              </w:rPr>
            </w:pPr>
            <w:r>
              <w:rPr>
                <w:sz w:val="20"/>
              </w:rPr>
              <w:t>Raw</w:t>
            </w:r>
            <w:r>
              <w:rPr>
                <w:spacing w:val="-6"/>
                <w:sz w:val="20"/>
              </w:rPr>
              <w:t xml:space="preserve"> </w:t>
            </w:r>
            <w:r>
              <w:rPr>
                <w:spacing w:val="-2"/>
                <w:sz w:val="20"/>
              </w:rPr>
              <w:t>Scores</w:t>
            </w:r>
          </w:p>
          <w:p w14:paraId="2CB3EE03" w14:textId="77777777" w:rsidR="00DB6E1F" w:rsidRDefault="00F666A6">
            <w:pPr>
              <w:pStyle w:val="TableParagraph"/>
              <w:spacing w:before="18" w:line="242" w:lineRule="exact"/>
              <w:ind w:left="788" w:right="778"/>
              <w:jc w:val="center"/>
              <w:rPr>
                <w:sz w:val="20"/>
              </w:rPr>
            </w:pPr>
            <w:r>
              <w:rPr>
                <w:sz w:val="20"/>
              </w:rPr>
              <w:t>(from</w:t>
            </w:r>
            <w:r>
              <w:rPr>
                <w:spacing w:val="-8"/>
                <w:sz w:val="20"/>
              </w:rPr>
              <w:t xml:space="preserve"> </w:t>
            </w:r>
            <w:r>
              <w:rPr>
                <w:sz w:val="20"/>
              </w:rPr>
              <w:t>Scoring</w:t>
            </w:r>
            <w:r>
              <w:rPr>
                <w:spacing w:val="-6"/>
                <w:sz w:val="20"/>
              </w:rPr>
              <w:t xml:space="preserve"> </w:t>
            </w:r>
            <w:r>
              <w:rPr>
                <w:spacing w:val="-2"/>
                <w:sz w:val="20"/>
              </w:rPr>
              <w:t>Sheet)</w:t>
            </w:r>
          </w:p>
        </w:tc>
        <w:tc>
          <w:tcPr>
            <w:tcW w:w="2033" w:type="dxa"/>
          </w:tcPr>
          <w:p w14:paraId="0DBEAE1A" w14:textId="77777777" w:rsidR="00DB6E1F" w:rsidRDefault="00F666A6">
            <w:pPr>
              <w:pStyle w:val="TableParagraph"/>
              <w:spacing w:before="133"/>
              <w:ind w:left="466" w:right="456"/>
              <w:jc w:val="center"/>
              <w:rPr>
                <w:sz w:val="20"/>
              </w:rPr>
            </w:pPr>
            <w:r>
              <w:rPr>
                <w:spacing w:val="-5"/>
                <w:sz w:val="20"/>
              </w:rPr>
              <w:t>Re=</w:t>
            </w:r>
          </w:p>
        </w:tc>
        <w:tc>
          <w:tcPr>
            <w:tcW w:w="2033" w:type="dxa"/>
          </w:tcPr>
          <w:p w14:paraId="6729DA15" w14:textId="77777777" w:rsidR="00DB6E1F" w:rsidRDefault="00F666A6">
            <w:pPr>
              <w:pStyle w:val="TableParagraph"/>
              <w:spacing w:before="133"/>
              <w:ind w:left="465" w:right="456"/>
              <w:jc w:val="center"/>
              <w:rPr>
                <w:sz w:val="20"/>
              </w:rPr>
            </w:pPr>
            <w:r>
              <w:rPr>
                <w:spacing w:val="-5"/>
                <w:sz w:val="20"/>
              </w:rPr>
              <w:t>Am=</w:t>
            </w:r>
          </w:p>
        </w:tc>
        <w:tc>
          <w:tcPr>
            <w:tcW w:w="2031" w:type="dxa"/>
          </w:tcPr>
          <w:p w14:paraId="4BA05223" w14:textId="77777777" w:rsidR="00DB6E1F" w:rsidRDefault="00F666A6">
            <w:pPr>
              <w:pStyle w:val="TableParagraph"/>
              <w:spacing w:before="133"/>
              <w:ind w:left="478" w:right="474"/>
              <w:jc w:val="center"/>
              <w:rPr>
                <w:sz w:val="20"/>
              </w:rPr>
            </w:pPr>
            <w:r>
              <w:rPr>
                <w:spacing w:val="-5"/>
                <w:sz w:val="20"/>
              </w:rPr>
              <w:t>Ts=</w:t>
            </w:r>
          </w:p>
        </w:tc>
      </w:tr>
    </w:tbl>
    <w:p w14:paraId="0B95546D" w14:textId="77777777" w:rsidR="00DB6E1F" w:rsidRDefault="00F666A6">
      <w:pPr>
        <w:spacing w:before="5"/>
        <w:ind w:left="1440" w:right="1491"/>
        <w:rPr>
          <w:i/>
          <w:sz w:val="20"/>
        </w:rPr>
      </w:pPr>
      <w:r>
        <w:rPr>
          <w:sz w:val="20"/>
        </w:rPr>
        <w:t>These interpretive ranges are based on a sample of 1,726 adult men and women presenting for treatment of alcohol</w:t>
      </w:r>
      <w:r>
        <w:rPr>
          <w:spacing w:val="-3"/>
          <w:sz w:val="20"/>
        </w:rPr>
        <w:t xml:space="preserve"> </w:t>
      </w:r>
      <w:r>
        <w:rPr>
          <w:sz w:val="20"/>
        </w:rPr>
        <w:t>problems</w:t>
      </w:r>
      <w:r>
        <w:rPr>
          <w:spacing w:val="-4"/>
          <w:sz w:val="20"/>
        </w:rPr>
        <w:t xml:space="preserve"> </w:t>
      </w:r>
      <w:r>
        <w:rPr>
          <w:sz w:val="20"/>
        </w:rPr>
        <w:t>through</w:t>
      </w:r>
      <w:r>
        <w:rPr>
          <w:spacing w:val="-2"/>
          <w:sz w:val="20"/>
        </w:rPr>
        <w:t xml:space="preserve"> </w:t>
      </w:r>
      <w:r>
        <w:rPr>
          <w:sz w:val="20"/>
        </w:rPr>
        <w:t>Project</w:t>
      </w:r>
      <w:r>
        <w:rPr>
          <w:spacing w:val="-3"/>
          <w:sz w:val="20"/>
        </w:rPr>
        <w:t xml:space="preserve"> </w:t>
      </w:r>
      <w:r>
        <w:rPr>
          <w:sz w:val="20"/>
        </w:rPr>
        <w:t>MATCH.</w:t>
      </w:r>
      <w:r>
        <w:rPr>
          <w:spacing w:val="-3"/>
          <w:sz w:val="20"/>
        </w:rPr>
        <w:t xml:space="preserve"> </w:t>
      </w:r>
      <w:r>
        <w:rPr>
          <w:sz w:val="20"/>
        </w:rPr>
        <w:t>Note</w:t>
      </w:r>
      <w:r>
        <w:rPr>
          <w:spacing w:val="-4"/>
          <w:sz w:val="20"/>
        </w:rPr>
        <w:t xml:space="preserve"> </w:t>
      </w:r>
      <w:r>
        <w:rPr>
          <w:sz w:val="20"/>
        </w:rPr>
        <w:t>that</w:t>
      </w:r>
      <w:r>
        <w:rPr>
          <w:spacing w:val="-3"/>
          <w:sz w:val="20"/>
        </w:rPr>
        <w:t xml:space="preserve"> </w:t>
      </w:r>
      <w:r>
        <w:rPr>
          <w:sz w:val="20"/>
        </w:rPr>
        <w:t>individual</w:t>
      </w:r>
      <w:r>
        <w:rPr>
          <w:spacing w:val="-3"/>
          <w:sz w:val="20"/>
        </w:rPr>
        <w:t xml:space="preserve"> </w:t>
      </w:r>
      <w:r>
        <w:rPr>
          <w:sz w:val="20"/>
        </w:rPr>
        <w:t>scores</w:t>
      </w:r>
      <w:r>
        <w:rPr>
          <w:spacing w:val="-4"/>
          <w:sz w:val="20"/>
        </w:rPr>
        <w:t xml:space="preserve"> </w:t>
      </w:r>
      <w:r>
        <w:rPr>
          <w:sz w:val="20"/>
        </w:rPr>
        <w:t>are</w:t>
      </w:r>
      <w:r>
        <w:rPr>
          <w:spacing w:val="-4"/>
          <w:sz w:val="20"/>
        </w:rPr>
        <w:t xml:space="preserve"> </w:t>
      </w:r>
      <w:r>
        <w:rPr>
          <w:sz w:val="20"/>
        </w:rPr>
        <w:t>therefore</w:t>
      </w:r>
      <w:r>
        <w:rPr>
          <w:spacing w:val="-4"/>
          <w:sz w:val="20"/>
        </w:rPr>
        <w:t xml:space="preserve"> </w:t>
      </w:r>
      <w:r>
        <w:rPr>
          <w:sz w:val="20"/>
        </w:rPr>
        <w:t>being</w:t>
      </w:r>
      <w:r>
        <w:rPr>
          <w:spacing w:val="-1"/>
          <w:sz w:val="20"/>
        </w:rPr>
        <w:t xml:space="preserve"> </w:t>
      </w:r>
      <w:r>
        <w:rPr>
          <w:sz w:val="20"/>
        </w:rPr>
        <w:t>ranked</w:t>
      </w:r>
      <w:r>
        <w:rPr>
          <w:spacing w:val="-2"/>
          <w:sz w:val="20"/>
        </w:rPr>
        <w:t xml:space="preserve"> </w:t>
      </w:r>
      <w:r>
        <w:rPr>
          <w:sz w:val="20"/>
        </w:rPr>
        <w:t>as</w:t>
      </w:r>
      <w:r>
        <w:rPr>
          <w:spacing w:val="-4"/>
          <w:sz w:val="20"/>
        </w:rPr>
        <w:t xml:space="preserve"> </w:t>
      </w:r>
      <w:r>
        <w:rPr>
          <w:sz w:val="20"/>
        </w:rPr>
        <w:t>low,</w:t>
      </w:r>
      <w:r>
        <w:rPr>
          <w:spacing w:val="-2"/>
          <w:sz w:val="20"/>
        </w:rPr>
        <w:t xml:space="preserve"> </w:t>
      </w:r>
      <w:r>
        <w:rPr>
          <w:sz w:val="20"/>
        </w:rPr>
        <w:t xml:space="preserve">medium, or high </w:t>
      </w:r>
      <w:r>
        <w:rPr>
          <w:i/>
          <w:sz w:val="20"/>
        </w:rPr>
        <w:t>relative to people already prese</w:t>
      </w:r>
      <w:r>
        <w:rPr>
          <w:i/>
          <w:sz w:val="20"/>
        </w:rPr>
        <w:t>nting for alcohol treatment.</w:t>
      </w:r>
    </w:p>
    <w:p w14:paraId="7AD48B59" w14:textId="77777777" w:rsidR="00DB6E1F" w:rsidRDefault="00F666A6">
      <w:pPr>
        <w:spacing w:before="120"/>
        <w:ind w:left="1440" w:right="1491"/>
        <w:rPr>
          <w:sz w:val="20"/>
        </w:rPr>
      </w:pPr>
      <w:r>
        <w:rPr>
          <w:b/>
          <w:sz w:val="20"/>
        </w:rPr>
        <w:t xml:space="preserve">Guidelines for Interpretation of SOCRATES-8A Scores: </w:t>
      </w:r>
      <w:r>
        <w:rPr>
          <w:sz w:val="20"/>
        </w:rPr>
        <w:t>Using the SOCRATES Profile Sheet, circle the client’s Raw Score within each of the three columns. This provides information as to whether the client’s scores are low, average,</w:t>
      </w:r>
      <w:r>
        <w:rPr>
          <w:spacing w:val="-2"/>
          <w:sz w:val="20"/>
        </w:rPr>
        <w:t xml:space="preserve"> </w:t>
      </w:r>
      <w:r>
        <w:rPr>
          <w:sz w:val="20"/>
        </w:rPr>
        <w:t>or</w:t>
      </w:r>
      <w:r>
        <w:rPr>
          <w:spacing w:val="-3"/>
          <w:sz w:val="20"/>
        </w:rPr>
        <w:t xml:space="preserve"> </w:t>
      </w:r>
      <w:r>
        <w:rPr>
          <w:sz w:val="20"/>
        </w:rPr>
        <w:t>high</w:t>
      </w:r>
      <w:r>
        <w:rPr>
          <w:spacing w:val="-2"/>
          <w:sz w:val="20"/>
        </w:rPr>
        <w:t xml:space="preserve"> </w:t>
      </w:r>
      <w:r>
        <w:rPr>
          <w:i/>
          <w:sz w:val="20"/>
        </w:rPr>
        <w:t>relative</w:t>
      </w:r>
      <w:r>
        <w:rPr>
          <w:i/>
          <w:spacing w:val="-2"/>
          <w:sz w:val="20"/>
        </w:rPr>
        <w:t xml:space="preserve"> </w:t>
      </w:r>
      <w:r>
        <w:rPr>
          <w:i/>
          <w:sz w:val="20"/>
        </w:rPr>
        <w:t>to</w:t>
      </w:r>
      <w:r>
        <w:rPr>
          <w:i/>
          <w:spacing w:val="-2"/>
          <w:sz w:val="20"/>
        </w:rPr>
        <w:t xml:space="preserve"> </w:t>
      </w:r>
      <w:r>
        <w:rPr>
          <w:i/>
          <w:sz w:val="20"/>
        </w:rPr>
        <w:t>people</w:t>
      </w:r>
      <w:r>
        <w:rPr>
          <w:i/>
          <w:spacing w:val="-2"/>
          <w:sz w:val="20"/>
        </w:rPr>
        <w:t xml:space="preserve"> </w:t>
      </w:r>
      <w:r>
        <w:rPr>
          <w:i/>
          <w:sz w:val="20"/>
        </w:rPr>
        <w:t>already</w:t>
      </w:r>
      <w:r>
        <w:rPr>
          <w:i/>
          <w:spacing w:val="-3"/>
          <w:sz w:val="20"/>
        </w:rPr>
        <w:t xml:space="preserve"> </w:t>
      </w:r>
      <w:r>
        <w:rPr>
          <w:i/>
          <w:sz w:val="20"/>
        </w:rPr>
        <w:t>seeking</w:t>
      </w:r>
      <w:r>
        <w:rPr>
          <w:i/>
          <w:spacing w:val="-2"/>
          <w:sz w:val="20"/>
        </w:rPr>
        <w:t xml:space="preserve"> </w:t>
      </w:r>
      <w:r>
        <w:rPr>
          <w:i/>
          <w:sz w:val="20"/>
        </w:rPr>
        <w:t>treatment</w:t>
      </w:r>
      <w:r>
        <w:rPr>
          <w:i/>
          <w:spacing w:val="-3"/>
          <w:sz w:val="20"/>
        </w:rPr>
        <w:t xml:space="preserve"> </w:t>
      </w:r>
      <w:r>
        <w:rPr>
          <w:i/>
          <w:sz w:val="20"/>
        </w:rPr>
        <w:t>for</w:t>
      </w:r>
      <w:r>
        <w:rPr>
          <w:i/>
          <w:spacing w:val="-4"/>
          <w:sz w:val="20"/>
        </w:rPr>
        <w:t xml:space="preserve"> </w:t>
      </w:r>
      <w:r>
        <w:rPr>
          <w:i/>
          <w:sz w:val="20"/>
        </w:rPr>
        <w:t>alcohol</w:t>
      </w:r>
      <w:r>
        <w:rPr>
          <w:i/>
          <w:spacing w:val="-3"/>
          <w:sz w:val="20"/>
        </w:rPr>
        <w:t xml:space="preserve"> </w:t>
      </w:r>
      <w:r>
        <w:rPr>
          <w:i/>
          <w:sz w:val="20"/>
        </w:rPr>
        <w:t>problems.</w:t>
      </w:r>
      <w:r>
        <w:rPr>
          <w:i/>
          <w:spacing w:val="-3"/>
          <w:sz w:val="20"/>
        </w:rPr>
        <w:t xml:space="preserve"> </w:t>
      </w:r>
      <w:r>
        <w:rPr>
          <w:sz w:val="20"/>
        </w:rPr>
        <w:t>The</w:t>
      </w:r>
      <w:r>
        <w:rPr>
          <w:spacing w:val="-4"/>
          <w:sz w:val="20"/>
        </w:rPr>
        <w:t xml:space="preserve"> </w:t>
      </w:r>
      <w:r>
        <w:rPr>
          <w:sz w:val="20"/>
        </w:rPr>
        <w:t>following</w:t>
      </w:r>
      <w:r>
        <w:rPr>
          <w:spacing w:val="-3"/>
          <w:sz w:val="20"/>
        </w:rPr>
        <w:t xml:space="preserve"> </w:t>
      </w:r>
      <w:r>
        <w:rPr>
          <w:sz w:val="20"/>
        </w:rPr>
        <w:t>descriptions</w:t>
      </w:r>
      <w:r>
        <w:rPr>
          <w:spacing w:val="-4"/>
          <w:sz w:val="20"/>
        </w:rPr>
        <w:t xml:space="preserve"> </w:t>
      </w:r>
      <w:r>
        <w:rPr>
          <w:sz w:val="20"/>
        </w:rPr>
        <w:t>are provided as general guidelines for interpretation of scores, but it is wise in an individual case also to examine individual item responses for additional information. The information should be adjusted as necessary</w:t>
      </w:r>
      <w:r>
        <w:rPr>
          <w:sz w:val="20"/>
        </w:rPr>
        <w:t xml:space="preserve"> when addressing drug problems.</w:t>
      </w:r>
    </w:p>
    <w:p w14:paraId="46F2C68C" w14:textId="77777777" w:rsidR="00DB6E1F" w:rsidRDefault="00DB6E1F">
      <w:pPr>
        <w:pStyle w:val="BodyText"/>
        <w:spacing w:before="10"/>
        <w:rPr>
          <w:sz w:val="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7954"/>
      </w:tblGrid>
      <w:tr w:rsidR="00DB6E1F" w14:paraId="63C2D0F2" w14:textId="77777777">
        <w:trPr>
          <w:trHeight w:val="731"/>
        </w:trPr>
        <w:tc>
          <w:tcPr>
            <w:tcW w:w="1397" w:type="dxa"/>
            <w:vMerge w:val="restart"/>
          </w:tcPr>
          <w:p w14:paraId="6AB7D461" w14:textId="77777777" w:rsidR="00DB6E1F" w:rsidRDefault="00F666A6">
            <w:pPr>
              <w:pStyle w:val="TableParagraph"/>
              <w:rPr>
                <w:sz w:val="20"/>
              </w:rPr>
            </w:pPr>
            <w:r>
              <w:rPr>
                <w:spacing w:val="-2"/>
                <w:sz w:val="20"/>
              </w:rPr>
              <w:t>Recognition</w:t>
            </w:r>
          </w:p>
        </w:tc>
        <w:tc>
          <w:tcPr>
            <w:tcW w:w="7954" w:type="dxa"/>
          </w:tcPr>
          <w:p w14:paraId="295B802E" w14:textId="77777777" w:rsidR="00DB6E1F" w:rsidRDefault="00F666A6">
            <w:pPr>
              <w:pStyle w:val="TableParagraph"/>
              <w:rPr>
                <w:sz w:val="20"/>
              </w:rPr>
            </w:pPr>
            <w:r>
              <w:rPr>
                <w:sz w:val="20"/>
              </w:rPr>
              <w:t>High scorers directly acknowledge that they are having problems related to their drinking, tending</w:t>
            </w:r>
            <w:r>
              <w:rPr>
                <w:spacing w:val="-3"/>
                <w:sz w:val="20"/>
              </w:rPr>
              <w:t xml:space="preserve"> </w:t>
            </w:r>
            <w:r>
              <w:rPr>
                <w:sz w:val="20"/>
              </w:rPr>
              <w:t>to</w:t>
            </w:r>
            <w:r>
              <w:rPr>
                <w:spacing w:val="-3"/>
                <w:sz w:val="20"/>
              </w:rPr>
              <w:t xml:space="preserve"> </w:t>
            </w:r>
            <w:r>
              <w:rPr>
                <w:sz w:val="20"/>
              </w:rPr>
              <w:t>express</w:t>
            </w:r>
            <w:r>
              <w:rPr>
                <w:spacing w:val="-4"/>
                <w:sz w:val="20"/>
              </w:rPr>
              <w:t xml:space="preserve"> </w:t>
            </w:r>
            <w:r>
              <w:rPr>
                <w:sz w:val="20"/>
              </w:rPr>
              <w:t>a</w:t>
            </w:r>
            <w:r>
              <w:rPr>
                <w:spacing w:val="-3"/>
                <w:sz w:val="20"/>
              </w:rPr>
              <w:t xml:space="preserve"> </w:t>
            </w:r>
            <w:r>
              <w:rPr>
                <w:sz w:val="20"/>
              </w:rPr>
              <w:t>desire</w:t>
            </w:r>
            <w:r>
              <w:rPr>
                <w:spacing w:val="-4"/>
                <w:sz w:val="20"/>
              </w:rPr>
              <w:t xml:space="preserve"> </w:t>
            </w:r>
            <w:r>
              <w:rPr>
                <w:sz w:val="20"/>
              </w:rPr>
              <w:t>for</w:t>
            </w:r>
            <w:r>
              <w:rPr>
                <w:spacing w:val="-3"/>
                <w:sz w:val="20"/>
              </w:rPr>
              <w:t xml:space="preserve"> </w:t>
            </w:r>
            <w:r>
              <w:rPr>
                <w:sz w:val="20"/>
              </w:rPr>
              <w:t>change</w:t>
            </w:r>
            <w:r>
              <w:rPr>
                <w:spacing w:val="-4"/>
                <w:sz w:val="20"/>
              </w:rPr>
              <w:t xml:space="preserve"> </w:t>
            </w:r>
            <w:r>
              <w:rPr>
                <w:sz w:val="20"/>
              </w:rPr>
              <w:t>and</w:t>
            </w:r>
            <w:r>
              <w:rPr>
                <w:spacing w:val="-2"/>
                <w:sz w:val="20"/>
              </w:rPr>
              <w:t xml:space="preserve"> </w:t>
            </w:r>
            <w:r>
              <w:rPr>
                <w:sz w:val="20"/>
              </w:rPr>
              <w:t>to</w:t>
            </w:r>
            <w:r>
              <w:rPr>
                <w:spacing w:val="-3"/>
                <w:sz w:val="20"/>
              </w:rPr>
              <w:t xml:space="preserve"> </w:t>
            </w:r>
            <w:r>
              <w:rPr>
                <w:sz w:val="20"/>
              </w:rPr>
              <w:t>perceive</w:t>
            </w:r>
            <w:r>
              <w:rPr>
                <w:spacing w:val="-4"/>
                <w:sz w:val="20"/>
              </w:rPr>
              <w:t xml:space="preserve"> </w:t>
            </w:r>
            <w:r>
              <w:rPr>
                <w:sz w:val="20"/>
              </w:rPr>
              <w:t>that harm</w:t>
            </w:r>
            <w:r>
              <w:rPr>
                <w:spacing w:val="-4"/>
                <w:sz w:val="20"/>
              </w:rPr>
              <w:t xml:space="preserve"> </w:t>
            </w:r>
            <w:r>
              <w:rPr>
                <w:sz w:val="20"/>
              </w:rPr>
              <w:t>will</w:t>
            </w:r>
            <w:r>
              <w:rPr>
                <w:spacing w:val="-3"/>
                <w:sz w:val="20"/>
              </w:rPr>
              <w:t xml:space="preserve"> </w:t>
            </w:r>
            <w:r>
              <w:rPr>
                <w:sz w:val="20"/>
              </w:rPr>
              <w:t>continue</w:t>
            </w:r>
            <w:r>
              <w:rPr>
                <w:spacing w:val="-4"/>
                <w:sz w:val="20"/>
              </w:rPr>
              <w:t xml:space="preserve"> </w:t>
            </w:r>
            <w:r>
              <w:rPr>
                <w:sz w:val="20"/>
              </w:rPr>
              <w:t>if</w:t>
            </w:r>
            <w:r>
              <w:rPr>
                <w:spacing w:val="-4"/>
                <w:sz w:val="20"/>
              </w:rPr>
              <w:t xml:space="preserve"> </w:t>
            </w:r>
            <w:r>
              <w:rPr>
                <w:sz w:val="20"/>
              </w:rPr>
              <w:t>they</w:t>
            </w:r>
            <w:r>
              <w:rPr>
                <w:spacing w:val="-2"/>
                <w:sz w:val="20"/>
              </w:rPr>
              <w:t xml:space="preserve"> </w:t>
            </w:r>
            <w:r>
              <w:rPr>
                <w:sz w:val="20"/>
              </w:rPr>
              <w:t>do not</w:t>
            </w:r>
          </w:p>
          <w:p w14:paraId="3651309D" w14:textId="77777777" w:rsidR="00DB6E1F" w:rsidRDefault="00F666A6">
            <w:pPr>
              <w:pStyle w:val="TableParagraph"/>
              <w:spacing w:before="0" w:line="222" w:lineRule="exact"/>
              <w:rPr>
                <w:sz w:val="20"/>
              </w:rPr>
            </w:pPr>
            <w:r>
              <w:rPr>
                <w:spacing w:val="-2"/>
                <w:sz w:val="20"/>
              </w:rPr>
              <w:t>change.</w:t>
            </w:r>
          </w:p>
        </w:tc>
      </w:tr>
      <w:tr w:rsidR="00DB6E1F" w14:paraId="2816A02E" w14:textId="77777777">
        <w:trPr>
          <w:trHeight w:val="489"/>
        </w:trPr>
        <w:tc>
          <w:tcPr>
            <w:tcW w:w="1397" w:type="dxa"/>
            <w:vMerge/>
            <w:tcBorders>
              <w:top w:val="nil"/>
            </w:tcBorders>
          </w:tcPr>
          <w:p w14:paraId="43D6D2EB" w14:textId="77777777" w:rsidR="00DB6E1F" w:rsidRDefault="00DB6E1F">
            <w:pPr>
              <w:rPr>
                <w:sz w:val="2"/>
                <w:szCs w:val="2"/>
              </w:rPr>
            </w:pPr>
          </w:p>
        </w:tc>
        <w:tc>
          <w:tcPr>
            <w:tcW w:w="7954" w:type="dxa"/>
          </w:tcPr>
          <w:p w14:paraId="236656A4" w14:textId="77777777" w:rsidR="00DB6E1F" w:rsidRDefault="00F666A6">
            <w:pPr>
              <w:pStyle w:val="TableParagraph"/>
              <w:spacing w:before="0" w:line="240" w:lineRule="atLeast"/>
              <w:ind w:right="193"/>
              <w:rPr>
                <w:sz w:val="20"/>
              </w:rPr>
            </w:pPr>
            <w:r>
              <w:rPr>
                <w:sz w:val="20"/>
              </w:rPr>
              <w:t>Low</w:t>
            </w:r>
            <w:r>
              <w:rPr>
                <w:spacing w:val="-4"/>
                <w:sz w:val="20"/>
              </w:rPr>
              <w:t xml:space="preserve"> </w:t>
            </w:r>
            <w:r>
              <w:rPr>
                <w:sz w:val="20"/>
              </w:rPr>
              <w:t>scorers</w:t>
            </w:r>
            <w:r>
              <w:rPr>
                <w:spacing w:val="-4"/>
                <w:sz w:val="20"/>
              </w:rPr>
              <w:t xml:space="preserve"> </w:t>
            </w:r>
            <w:r>
              <w:rPr>
                <w:sz w:val="20"/>
              </w:rPr>
              <w:t>deny</w:t>
            </w:r>
            <w:r>
              <w:rPr>
                <w:spacing w:val="-2"/>
                <w:sz w:val="20"/>
              </w:rPr>
              <w:t xml:space="preserve"> </w:t>
            </w:r>
            <w:r>
              <w:rPr>
                <w:sz w:val="20"/>
              </w:rPr>
              <w:t>that</w:t>
            </w:r>
            <w:r>
              <w:rPr>
                <w:spacing w:val="-3"/>
                <w:sz w:val="20"/>
              </w:rPr>
              <w:t xml:space="preserve"> </w:t>
            </w:r>
            <w:r>
              <w:rPr>
                <w:sz w:val="20"/>
              </w:rPr>
              <w:t>alcohol</w:t>
            </w:r>
            <w:r>
              <w:rPr>
                <w:spacing w:val="-3"/>
                <w:sz w:val="20"/>
              </w:rPr>
              <w:t xml:space="preserve"> </w:t>
            </w:r>
            <w:r>
              <w:rPr>
                <w:sz w:val="20"/>
              </w:rPr>
              <w:t>is</w:t>
            </w:r>
            <w:r>
              <w:rPr>
                <w:spacing w:val="-4"/>
                <w:sz w:val="20"/>
              </w:rPr>
              <w:t xml:space="preserve"> </w:t>
            </w:r>
            <w:r>
              <w:rPr>
                <w:sz w:val="20"/>
              </w:rPr>
              <w:t>causing</w:t>
            </w:r>
            <w:r>
              <w:rPr>
                <w:spacing w:val="-3"/>
                <w:sz w:val="20"/>
              </w:rPr>
              <w:t xml:space="preserve"> </w:t>
            </w:r>
            <w:r>
              <w:rPr>
                <w:sz w:val="20"/>
              </w:rPr>
              <w:t>them</w:t>
            </w:r>
            <w:r>
              <w:rPr>
                <w:spacing w:val="-4"/>
                <w:sz w:val="20"/>
              </w:rPr>
              <w:t xml:space="preserve"> </w:t>
            </w:r>
            <w:r>
              <w:rPr>
                <w:sz w:val="20"/>
              </w:rPr>
              <w:t>serious</w:t>
            </w:r>
            <w:r>
              <w:rPr>
                <w:spacing w:val="-4"/>
                <w:sz w:val="20"/>
              </w:rPr>
              <w:t xml:space="preserve"> </w:t>
            </w:r>
            <w:r>
              <w:rPr>
                <w:sz w:val="20"/>
              </w:rPr>
              <w:t>problems,</w:t>
            </w:r>
            <w:r>
              <w:rPr>
                <w:spacing w:val="-2"/>
                <w:sz w:val="20"/>
              </w:rPr>
              <w:t xml:space="preserve"> </w:t>
            </w:r>
            <w:r>
              <w:rPr>
                <w:sz w:val="20"/>
              </w:rPr>
              <w:t>reject</w:t>
            </w:r>
            <w:r>
              <w:rPr>
                <w:spacing w:val="-3"/>
                <w:sz w:val="20"/>
              </w:rPr>
              <w:t xml:space="preserve"> </w:t>
            </w:r>
            <w:r>
              <w:rPr>
                <w:sz w:val="20"/>
              </w:rPr>
              <w:t>diagnostic</w:t>
            </w:r>
            <w:r>
              <w:rPr>
                <w:spacing w:val="-3"/>
                <w:sz w:val="20"/>
              </w:rPr>
              <w:t xml:space="preserve"> </w:t>
            </w:r>
            <w:r>
              <w:rPr>
                <w:sz w:val="20"/>
              </w:rPr>
              <w:t>labels</w:t>
            </w:r>
            <w:r>
              <w:rPr>
                <w:spacing w:val="-4"/>
                <w:sz w:val="20"/>
              </w:rPr>
              <w:t xml:space="preserve"> </w:t>
            </w:r>
            <w:r>
              <w:rPr>
                <w:sz w:val="20"/>
              </w:rPr>
              <w:t>such as “problem drinker” and “alcoholic,” and do not express a desire for change.</w:t>
            </w:r>
          </w:p>
        </w:tc>
      </w:tr>
      <w:tr w:rsidR="00DB6E1F" w14:paraId="42701CB4" w14:textId="77777777">
        <w:trPr>
          <w:trHeight w:val="976"/>
        </w:trPr>
        <w:tc>
          <w:tcPr>
            <w:tcW w:w="1397" w:type="dxa"/>
            <w:vMerge w:val="restart"/>
          </w:tcPr>
          <w:p w14:paraId="070BCCF2" w14:textId="77777777" w:rsidR="00DB6E1F" w:rsidRDefault="00F666A6">
            <w:pPr>
              <w:pStyle w:val="TableParagraph"/>
              <w:rPr>
                <w:sz w:val="20"/>
              </w:rPr>
            </w:pPr>
            <w:r>
              <w:rPr>
                <w:spacing w:val="-2"/>
                <w:sz w:val="20"/>
              </w:rPr>
              <w:t>Ambivalence</w:t>
            </w:r>
          </w:p>
        </w:tc>
        <w:tc>
          <w:tcPr>
            <w:tcW w:w="7954" w:type="dxa"/>
          </w:tcPr>
          <w:p w14:paraId="6AC21749" w14:textId="77777777" w:rsidR="00DB6E1F" w:rsidRDefault="00F666A6">
            <w:pPr>
              <w:pStyle w:val="TableParagraph"/>
              <w:ind w:right="193"/>
              <w:rPr>
                <w:sz w:val="20"/>
              </w:rPr>
            </w:pPr>
            <w:r>
              <w:rPr>
                <w:sz w:val="20"/>
              </w:rPr>
              <w:t xml:space="preserve">High scorers say that they sometimes </w:t>
            </w:r>
            <w:r>
              <w:rPr>
                <w:i/>
                <w:sz w:val="20"/>
              </w:rPr>
              <w:t xml:space="preserve">wonder </w:t>
            </w:r>
            <w:r>
              <w:rPr>
                <w:sz w:val="20"/>
              </w:rPr>
              <w:t>if they are in control of their drinking, are drinking too much, are hurting other people, and/or are alcoholic. Thus a high score reflects ambivalence</w:t>
            </w:r>
            <w:r>
              <w:rPr>
                <w:spacing w:val="-4"/>
                <w:sz w:val="20"/>
              </w:rPr>
              <w:t xml:space="preserve"> </w:t>
            </w:r>
            <w:r>
              <w:rPr>
                <w:sz w:val="20"/>
              </w:rPr>
              <w:t>or</w:t>
            </w:r>
            <w:r>
              <w:rPr>
                <w:spacing w:val="-3"/>
                <w:sz w:val="20"/>
              </w:rPr>
              <w:t xml:space="preserve"> </w:t>
            </w:r>
            <w:r>
              <w:rPr>
                <w:sz w:val="20"/>
              </w:rPr>
              <w:t>uncertainty.</w:t>
            </w:r>
            <w:r>
              <w:rPr>
                <w:spacing w:val="-3"/>
                <w:sz w:val="20"/>
              </w:rPr>
              <w:t xml:space="preserve"> </w:t>
            </w:r>
            <w:r>
              <w:rPr>
                <w:sz w:val="20"/>
              </w:rPr>
              <w:t>A</w:t>
            </w:r>
            <w:r>
              <w:rPr>
                <w:spacing w:val="-1"/>
                <w:sz w:val="20"/>
              </w:rPr>
              <w:t xml:space="preserve"> </w:t>
            </w:r>
            <w:r>
              <w:rPr>
                <w:sz w:val="20"/>
              </w:rPr>
              <w:t>high</w:t>
            </w:r>
            <w:r>
              <w:rPr>
                <w:spacing w:val="-2"/>
                <w:sz w:val="20"/>
              </w:rPr>
              <w:t xml:space="preserve"> </w:t>
            </w:r>
            <w:r>
              <w:rPr>
                <w:sz w:val="20"/>
              </w:rPr>
              <w:t>score</w:t>
            </w:r>
            <w:r>
              <w:rPr>
                <w:spacing w:val="-4"/>
                <w:sz w:val="20"/>
              </w:rPr>
              <w:t xml:space="preserve"> </w:t>
            </w:r>
            <w:r>
              <w:rPr>
                <w:sz w:val="20"/>
              </w:rPr>
              <w:t>here</w:t>
            </w:r>
            <w:r>
              <w:rPr>
                <w:spacing w:val="-4"/>
                <w:sz w:val="20"/>
              </w:rPr>
              <w:t xml:space="preserve"> </w:t>
            </w:r>
            <w:r>
              <w:rPr>
                <w:sz w:val="20"/>
              </w:rPr>
              <w:t>reflects</w:t>
            </w:r>
            <w:r>
              <w:rPr>
                <w:spacing w:val="-4"/>
                <w:sz w:val="20"/>
              </w:rPr>
              <w:t xml:space="preserve"> </w:t>
            </w:r>
            <w:r>
              <w:rPr>
                <w:sz w:val="20"/>
              </w:rPr>
              <w:t>some</w:t>
            </w:r>
            <w:r>
              <w:rPr>
                <w:spacing w:val="-1"/>
                <w:sz w:val="20"/>
              </w:rPr>
              <w:t xml:space="preserve"> </w:t>
            </w:r>
            <w:r>
              <w:rPr>
                <w:sz w:val="20"/>
              </w:rPr>
              <w:t>openness</w:t>
            </w:r>
            <w:r>
              <w:rPr>
                <w:spacing w:val="-4"/>
                <w:sz w:val="20"/>
              </w:rPr>
              <w:t xml:space="preserve"> </w:t>
            </w:r>
            <w:r>
              <w:rPr>
                <w:sz w:val="20"/>
              </w:rPr>
              <w:t>to</w:t>
            </w:r>
            <w:r>
              <w:rPr>
                <w:spacing w:val="-3"/>
                <w:sz w:val="20"/>
              </w:rPr>
              <w:t xml:space="preserve"> </w:t>
            </w:r>
            <w:r>
              <w:rPr>
                <w:sz w:val="20"/>
              </w:rPr>
              <w:t>reflection,</w:t>
            </w:r>
            <w:r>
              <w:rPr>
                <w:spacing w:val="-2"/>
                <w:sz w:val="20"/>
              </w:rPr>
              <w:t xml:space="preserve"> </w:t>
            </w:r>
            <w:r>
              <w:rPr>
                <w:sz w:val="20"/>
              </w:rPr>
              <w:t>as</w:t>
            </w:r>
            <w:r>
              <w:rPr>
                <w:spacing w:val="-4"/>
                <w:sz w:val="20"/>
              </w:rPr>
              <w:t xml:space="preserve"> </w:t>
            </w:r>
            <w:r>
              <w:rPr>
                <w:sz w:val="20"/>
              </w:rPr>
              <w:t>might</w:t>
            </w:r>
          </w:p>
          <w:p w14:paraId="33042E47" w14:textId="77777777" w:rsidR="00DB6E1F" w:rsidRDefault="00F666A6">
            <w:pPr>
              <w:pStyle w:val="TableParagraph"/>
              <w:spacing w:before="0" w:line="223" w:lineRule="exact"/>
              <w:rPr>
                <w:sz w:val="20"/>
              </w:rPr>
            </w:pPr>
            <w:r>
              <w:rPr>
                <w:sz w:val="20"/>
              </w:rPr>
              <w:t>be</w:t>
            </w:r>
            <w:r>
              <w:rPr>
                <w:spacing w:val="-8"/>
                <w:sz w:val="20"/>
              </w:rPr>
              <w:t xml:space="preserve"> </w:t>
            </w:r>
            <w:r>
              <w:rPr>
                <w:sz w:val="20"/>
              </w:rPr>
              <w:t>particularly</w:t>
            </w:r>
            <w:r>
              <w:rPr>
                <w:spacing w:val="-6"/>
                <w:sz w:val="20"/>
              </w:rPr>
              <w:t xml:space="preserve"> </w:t>
            </w:r>
            <w:r>
              <w:rPr>
                <w:sz w:val="20"/>
              </w:rPr>
              <w:t>expecte</w:t>
            </w:r>
            <w:r>
              <w:rPr>
                <w:sz w:val="20"/>
              </w:rPr>
              <w:t>d</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Contemplation</w:t>
            </w:r>
            <w:r>
              <w:rPr>
                <w:spacing w:val="-6"/>
                <w:sz w:val="20"/>
              </w:rPr>
              <w:t xml:space="preserve"> </w:t>
            </w:r>
            <w:r>
              <w:rPr>
                <w:sz w:val="20"/>
              </w:rPr>
              <w:t>stage</w:t>
            </w:r>
            <w:r>
              <w:rPr>
                <w:spacing w:val="-8"/>
                <w:sz w:val="20"/>
              </w:rPr>
              <w:t xml:space="preserve"> </w:t>
            </w:r>
            <w:r>
              <w:rPr>
                <w:sz w:val="20"/>
              </w:rPr>
              <w:t>of</w:t>
            </w:r>
            <w:r>
              <w:rPr>
                <w:spacing w:val="-8"/>
                <w:sz w:val="20"/>
              </w:rPr>
              <w:t xml:space="preserve"> </w:t>
            </w:r>
            <w:r>
              <w:rPr>
                <w:spacing w:val="-2"/>
                <w:sz w:val="20"/>
              </w:rPr>
              <w:t>change.</w:t>
            </w:r>
          </w:p>
        </w:tc>
      </w:tr>
      <w:tr w:rsidR="00DB6E1F" w14:paraId="0BB3350C" w14:textId="77777777">
        <w:trPr>
          <w:trHeight w:val="1221"/>
        </w:trPr>
        <w:tc>
          <w:tcPr>
            <w:tcW w:w="1397" w:type="dxa"/>
            <w:vMerge/>
            <w:tcBorders>
              <w:top w:val="nil"/>
            </w:tcBorders>
          </w:tcPr>
          <w:p w14:paraId="620A0718" w14:textId="77777777" w:rsidR="00DB6E1F" w:rsidRDefault="00DB6E1F">
            <w:pPr>
              <w:rPr>
                <w:sz w:val="2"/>
                <w:szCs w:val="2"/>
              </w:rPr>
            </w:pPr>
          </w:p>
        </w:tc>
        <w:tc>
          <w:tcPr>
            <w:tcW w:w="7954" w:type="dxa"/>
          </w:tcPr>
          <w:p w14:paraId="35BF1E87" w14:textId="77777777" w:rsidR="00DB6E1F" w:rsidRDefault="00F666A6">
            <w:pPr>
              <w:pStyle w:val="TableParagraph"/>
              <w:ind w:right="193"/>
              <w:rPr>
                <w:sz w:val="20"/>
              </w:rPr>
            </w:pPr>
            <w:r>
              <w:rPr>
                <w:sz w:val="20"/>
              </w:rPr>
              <w:t xml:space="preserve">Low scorers say that they </w:t>
            </w:r>
            <w:r>
              <w:rPr>
                <w:i/>
                <w:sz w:val="20"/>
              </w:rPr>
              <w:t xml:space="preserve">do not wonder </w:t>
            </w:r>
            <w:r>
              <w:rPr>
                <w:sz w:val="20"/>
              </w:rPr>
              <w:t>whether they drink too much, are in control, are hurting others, or are alcoholic. Note that a person may score low on ambivalence either because</w:t>
            </w:r>
            <w:r>
              <w:rPr>
                <w:spacing w:val="-2"/>
                <w:sz w:val="20"/>
              </w:rPr>
              <w:t xml:space="preserve"> </w:t>
            </w:r>
            <w:r>
              <w:rPr>
                <w:sz w:val="20"/>
              </w:rPr>
              <w:t>they “know” their</w:t>
            </w:r>
            <w:r>
              <w:rPr>
                <w:spacing w:val="-1"/>
                <w:sz w:val="20"/>
              </w:rPr>
              <w:t xml:space="preserve"> </w:t>
            </w:r>
            <w:r>
              <w:rPr>
                <w:sz w:val="20"/>
              </w:rPr>
              <w:t>drinking</w:t>
            </w:r>
            <w:r>
              <w:rPr>
                <w:spacing w:val="-1"/>
                <w:sz w:val="20"/>
              </w:rPr>
              <w:t xml:space="preserve"> </w:t>
            </w:r>
            <w:r>
              <w:rPr>
                <w:sz w:val="20"/>
              </w:rPr>
              <w:t>is</w:t>
            </w:r>
            <w:r>
              <w:rPr>
                <w:spacing w:val="-2"/>
                <w:sz w:val="20"/>
              </w:rPr>
              <w:t xml:space="preserve"> </w:t>
            </w:r>
            <w:r>
              <w:rPr>
                <w:sz w:val="20"/>
              </w:rPr>
              <w:t>causing</w:t>
            </w:r>
            <w:r>
              <w:rPr>
                <w:spacing w:val="-1"/>
                <w:sz w:val="20"/>
              </w:rPr>
              <w:t xml:space="preserve"> </w:t>
            </w:r>
            <w:r>
              <w:rPr>
                <w:sz w:val="20"/>
              </w:rPr>
              <w:t>problems</w:t>
            </w:r>
            <w:r>
              <w:rPr>
                <w:spacing w:val="-2"/>
                <w:sz w:val="20"/>
              </w:rPr>
              <w:t xml:space="preserve"> </w:t>
            </w:r>
            <w:r>
              <w:rPr>
                <w:sz w:val="20"/>
              </w:rPr>
              <w:t>(high Recognition), or</w:t>
            </w:r>
            <w:r>
              <w:rPr>
                <w:spacing w:val="-1"/>
                <w:sz w:val="20"/>
              </w:rPr>
              <w:t xml:space="preserve"> </w:t>
            </w:r>
            <w:r>
              <w:rPr>
                <w:sz w:val="20"/>
              </w:rPr>
              <w:t>because</w:t>
            </w:r>
            <w:r>
              <w:rPr>
                <w:spacing w:val="-2"/>
                <w:sz w:val="20"/>
              </w:rPr>
              <w:t xml:space="preserve"> </w:t>
            </w:r>
            <w:r>
              <w:rPr>
                <w:sz w:val="20"/>
              </w:rPr>
              <w:t>they “know”</w:t>
            </w:r>
            <w:r>
              <w:rPr>
                <w:spacing w:val="-6"/>
                <w:sz w:val="20"/>
              </w:rPr>
              <w:t xml:space="preserve"> </w:t>
            </w:r>
            <w:r>
              <w:rPr>
                <w:sz w:val="20"/>
              </w:rPr>
              <w:t>that</w:t>
            </w:r>
            <w:r>
              <w:rPr>
                <w:spacing w:val="-6"/>
                <w:sz w:val="20"/>
              </w:rPr>
              <w:t xml:space="preserve"> </w:t>
            </w:r>
            <w:r>
              <w:rPr>
                <w:sz w:val="20"/>
              </w:rPr>
              <w:t>they</w:t>
            </w:r>
            <w:r>
              <w:rPr>
                <w:spacing w:val="-5"/>
                <w:sz w:val="20"/>
              </w:rPr>
              <w:t xml:space="preserve"> </w:t>
            </w:r>
            <w:r>
              <w:rPr>
                <w:sz w:val="20"/>
              </w:rPr>
              <w:t>do</w:t>
            </w:r>
            <w:r>
              <w:rPr>
                <w:spacing w:val="-7"/>
                <w:sz w:val="20"/>
              </w:rPr>
              <w:t xml:space="preserve"> </w:t>
            </w:r>
            <w:r>
              <w:rPr>
                <w:sz w:val="20"/>
              </w:rPr>
              <w:t>not</w:t>
            </w:r>
            <w:r>
              <w:rPr>
                <w:spacing w:val="-6"/>
                <w:sz w:val="20"/>
              </w:rPr>
              <w:t xml:space="preserve"> </w:t>
            </w:r>
            <w:r>
              <w:rPr>
                <w:sz w:val="20"/>
              </w:rPr>
              <w:t>have</w:t>
            </w:r>
            <w:r>
              <w:rPr>
                <w:spacing w:val="-7"/>
                <w:sz w:val="20"/>
              </w:rPr>
              <w:t xml:space="preserve"> </w:t>
            </w:r>
            <w:r>
              <w:rPr>
                <w:sz w:val="20"/>
              </w:rPr>
              <w:t>drinking</w:t>
            </w:r>
            <w:r>
              <w:rPr>
                <w:spacing w:val="-6"/>
                <w:sz w:val="20"/>
              </w:rPr>
              <w:t xml:space="preserve"> </w:t>
            </w:r>
            <w:r>
              <w:rPr>
                <w:sz w:val="20"/>
              </w:rPr>
              <w:t>problems</w:t>
            </w:r>
            <w:r>
              <w:rPr>
                <w:spacing w:val="-6"/>
                <w:sz w:val="20"/>
              </w:rPr>
              <w:t xml:space="preserve"> </w:t>
            </w:r>
            <w:r>
              <w:rPr>
                <w:sz w:val="20"/>
              </w:rPr>
              <w:t>(low</w:t>
            </w:r>
            <w:r>
              <w:rPr>
                <w:spacing w:val="-7"/>
                <w:sz w:val="20"/>
              </w:rPr>
              <w:t xml:space="preserve"> </w:t>
            </w:r>
            <w:r>
              <w:rPr>
                <w:sz w:val="20"/>
              </w:rPr>
              <w:t>Recognition).</w:t>
            </w:r>
            <w:r>
              <w:rPr>
                <w:spacing w:val="-6"/>
                <w:sz w:val="20"/>
              </w:rPr>
              <w:t xml:space="preserve"> </w:t>
            </w:r>
            <w:r>
              <w:rPr>
                <w:sz w:val="20"/>
              </w:rPr>
              <w:t>Thus</w:t>
            </w:r>
            <w:r>
              <w:rPr>
                <w:spacing w:val="-6"/>
                <w:sz w:val="20"/>
              </w:rPr>
              <w:t xml:space="preserve"> </w:t>
            </w:r>
            <w:r>
              <w:rPr>
                <w:sz w:val="20"/>
              </w:rPr>
              <w:t>a</w:t>
            </w:r>
            <w:r>
              <w:rPr>
                <w:spacing w:val="-6"/>
                <w:sz w:val="20"/>
              </w:rPr>
              <w:t xml:space="preserve"> </w:t>
            </w:r>
            <w:r>
              <w:rPr>
                <w:sz w:val="20"/>
              </w:rPr>
              <w:t>low</w:t>
            </w:r>
            <w:r>
              <w:rPr>
                <w:spacing w:val="-7"/>
                <w:sz w:val="20"/>
              </w:rPr>
              <w:t xml:space="preserve"> </w:t>
            </w:r>
            <w:r>
              <w:rPr>
                <w:spacing w:val="-2"/>
                <w:sz w:val="20"/>
              </w:rPr>
              <w:t>Ambivalence</w:t>
            </w:r>
          </w:p>
          <w:p w14:paraId="0002EFB9" w14:textId="77777777" w:rsidR="00DB6E1F" w:rsidRDefault="00F666A6">
            <w:pPr>
              <w:pStyle w:val="TableParagraph"/>
              <w:spacing w:before="0" w:line="223" w:lineRule="exact"/>
              <w:rPr>
                <w:sz w:val="20"/>
              </w:rPr>
            </w:pPr>
            <w:r>
              <w:rPr>
                <w:sz w:val="20"/>
              </w:rPr>
              <w:t>score</w:t>
            </w:r>
            <w:r>
              <w:rPr>
                <w:spacing w:val="-5"/>
                <w:sz w:val="20"/>
              </w:rPr>
              <w:t xml:space="preserve"> </w:t>
            </w:r>
            <w:r>
              <w:rPr>
                <w:sz w:val="20"/>
              </w:rPr>
              <w:t>should</w:t>
            </w:r>
            <w:r>
              <w:rPr>
                <w:spacing w:val="-6"/>
                <w:sz w:val="20"/>
              </w:rPr>
              <w:t xml:space="preserve"> </w:t>
            </w:r>
            <w:r>
              <w:rPr>
                <w:sz w:val="20"/>
              </w:rPr>
              <w:t>be</w:t>
            </w:r>
            <w:r>
              <w:rPr>
                <w:spacing w:val="-7"/>
                <w:sz w:val="20"/>
              </w:rPr>
              <w:t xml:space="preserve"> </w:t>
            </w:r>
            <w:r>
              <w:rPr>
                <w:sz w:val="20"/>
              </w:rPr>
              <w:t>interpreted</w:t>
            </w:r>
            <w:r>
              <w:rPr>
                <w:spacing w:val="-6"/>
                <w:sz w:val="20"/>
              </w:rPr>
              <w:t xml:space="preserve"> </w:t>
            </w:r>
            <w:r>
              <w:rPr>
                <w:sz w:val="20"/>
              </w:rPr>
              <w:t>in</w:t>
            </w:r>
            <w:r>
              <w:rPr>
                <w:spacing w:val="-4"/>
                <w:sz w:val="20"/>
              </w:rPr>
              <w:t xml:space="preserve"> </w:t>
            </w:r>
            <w:r>
              <w:rPr>
                <w:sz w:val="20"/>
              </w:rPr>
              <w:t>relation</w:t>
            </w:r>
            <w:r>
              <w:rPr>
                <w:spacing w:val="-5"/>
                <w:sz w:val="20"/>
              </w:rPr>
              <w:t xml:space="preserve"> </w:t>
            </w:r>
            <w:r>
              <w:rPr>
                <w:sz w:val="20"/>
              </w:rPr>
              <w:t>to</w:t>
            </w:r>
            <w:r>
              <w:rPr>
                <w:spacing w:val="-6"/>
                <w:sz w:val="20"/>
              </w:rPr>
              <w:t xml:space="preserve"> </w:t>
            </w:r>
            <w:r>
              <w:rPr>
                <w:sz w:val="20"/>
              </w:rPr>
              <w:t>the</w:t>
            </w:r>
            <w:r>
              <w:rPr>
                <w:spacing w:val="-7"/>
                <w:sz w:val="20"/>
              </w:rPr>
              <w:t xml:space="preserve"> </w:t>
            </w:r>
            <w:r>
              <w:rPr>
                <w:sz w:val="20"/>
              </w:rPr>
              <w:t>Recognition</w:t>
            </w:r>
            <w:r>
              <w:rPr>
                <w:spacing w:val="-6"/>
                <w:sz w:val="20"/>
              </w:rPr>
              <w:t xml:space="preserve"> </w:t>
            </w:r>
            <w:r>
              <w:rPr>
                <w:spacing w:val="-2"/>
                <w:sz w:val="20"/>
              </w:rPr>
              <w:t>score.</w:t>
            </w:r>
          </w:p>
        </w:tc>
      </w:tr>
      <w:tr w:rsidR="00DB6E1F" w14:paraId="5BFDE11F" w14:textId="77777777">
        <w:trPr>
          <w:trHeight w:val="976"/>
        </w:trPr>
        <w:tc>
          <w:tcPr>
            <w:tcW w:w="1397" w:type="dxa"/>
          </w:tcPr>
          <w:p w14:paraId="7506C09C" w14:textId="77777777" w:rsidR="00DB6E1F" w:rsidRDefault="00F666A6">
            <w:pPr>
              <w:pStyle w:val="TableParagraph"/>
              <w:rPr>
                <w:sz w:val="20"/>
              </w:rPr>
            </w:pPr>
            <w:r>
              <w:rPr>
                <w:sz w:val="20"/>
              </w:rPr>
              <w:t>Taking</w:t>
            </w:r>
            <w:r>
              <w:rPr>
                <w:spacing w:val="-8"/>
                <w:sz w:val="20"/>
              </w:rPr>
              <w:t xml:space="preserve"> </w:t>
            </w:r>
            <w:r>
              <w:rPr>
                <w:spacing w:val="-2"/>
                <w:sz w:val="20"/>
              </w:rPr>
              <w:t>Steps</w:t>
            </w:r>
          </w:p>
        </w:tc>
        <w:tc>
          <w:tcPr>
            <w:tcW w:w="7954" w:type="dxa"/>
          </w:tcPr>
          <w:p w14:paraId="1F1811A3" w14:textId="77777777" w:rsidR="00DB6E1F" w:rsidRDefault="00F666A6">
            <w:pPr>
              <w:pStyle w:val="TableParagraph"/>
              <w:ind w:right="55"/>
              <w:rPr>
                <w:sz w:val="20"/>
              </w:rPr>
            </w:pPr>
            <w:r>
              <w:rPr>
                <w:sz w:val="20"/>
              </w:rPr>
              <w:t>High scorers report that they are already doing things to make a positive change in their drinking and may have</w:t>
            </w:r>
            <w:r>
              <w:rPr>
                <w:spacing w:val="-1"/>
                <w:sz w:val="20"/>
              </w:rPr>
              <w:t xml:space="preserve"> </w:t>
            </w:r>
            <w:r>
              <w:rPr>
                <w:sz w:val="20"/>
              </w:rPr>
              <w:t>experienced some success</w:t>
            </w:r>
            <w:r>
              <w:rPr>
                <w:spacing w:val="-1"/>
                <w:sz w:val="20"/>
              </w:rPr>
              <w:t xml:space="preserve"> </w:t>
            </w:r>
            <w:r>
              <w:rPr>
                <w:sz w:val="20"/>
              </w:rPr>
              <w:t>in this</w:t>
            </w:r>
            <w:r>
              <w:rPr>
                <w:spacing w:val="-1"/>
                <w:sz w:val="20"/>
              </w:rPr>
              <w:t xml:space="preserve"> </w:t>
            </w:r>
            <w:r>
              <w:rPr>
                <w:sz w:val="20"/>
              </w:rPr>
              <w:t>regard. Change</w:t>
            </w:r>
            <w:r>
              <w:rPr>
                <w:spacing w:val="-1"/>
                <w:sz w:val="20"/>
              </w:rPr>
              <w:t xml:space="preserve"> </w:t>
            </w:r>
            <w:r>
              <w:rPr>
                <w:sz w:val="20"/>
              </w:rPr>
              <w:t>is</w:t>
            </w:r>
            <w:r>
              <w:rPr>
                <w:spacing w:val="-1"/>
                <w:sz w:val="20"/>
              </w:rPr>
              <w:t xml:space="preserve"> </w:t>
            </w:r>
            <w:r>
              <w:rPr>
                <w:sz w:val="20"/>
              </w:rPr>
              <w:t>underway, and they may</w:t>
            </w:r>
            <w:r>
              <w:rPr>
                <w:spacing w:val="-2"/>
                <w:sz w:val="20"/>
              </w:rPr>
              <w:t xml:space="preserve"> </w:t>
            </w:r>
            <w:r>
              <w:rPr>
                <w:sz w:val="20"/>
              </w:rPr>
              <w:t>want</w:t>
            </w:r>
            <w:r>
              <w:rPr>
                <w:spacing w:val="-3"/>
                <w:sz w:val="20"/>
              </w:rPr>
              <w:t xml:space="preserve"> </w:t>
            </w:r>
            <w:r>
              <w:rPr>
                <w:sz w:val="20"/>
              </w:rPr>
              <w:t>help</w:t>
            </w:r>
            <w:r>
              <w:rPr>
                <w:spacing w:val="-2"/>
                <w:sz w:val="20"/>
              </w:rPr>
              <w:t xml:space="preserve"> </w:t>
            </w:r>
            <w:r>
              <w:rPr>
                <w:sz w:val="20"/>
              </w:rPr>
              <w:t>to</w:t>
            </w:r>
            <w:r>
              <w:rPr>
                <w:spacing w:val="-3"/>
                <w:sz w:val="20"/>
              </w:rPr>
              <w:t xml:space="preserve"> </w:t>
            </w:r>
            <w:r>
              <w:rPr>
                <w:sz w:val="20"/>
              </w:rPr>
              <w:t>persist</w:t>
            </w:r>
            <w:r>
              <w:rPr>
                <w:spacing w:val="-3"/>
                <w:sz w:val="20"/>
              </w:rPr>
              <w:t xml:space="preserve"> </w:t>
            </w:r>
            <w:r>
              <w:rPr>
                <w:sz w:val="20"/>
              </w:rPr>
              <w:t>or</w:t>
            </w:r>
            <w:r>
              <w:rPr>
                <w:spacing w:val="-3"/>
                <w:sz w:val="20"/>
              </w:rPr>
              <w:t xml:space="preserve"> </w:t>
            </w:r>
            <w:r>
              <w:rPr>
                <w:sz w:val="20"/>
              </w:rPr>
              <w:t>to prevent</w:t>
            </w:r>
            <w:r>
              <w:rPr>
                <w:spacing w:val="-3"/>
                <w:sz w:val="20"/>
              </w:rPr>
              <w:t xml:space="preserve"> </w:t>
            </w:r>
            <w:r>
              <w:rPr>
                <w:sz w:val="20"/>
              </w:rPr>
              <w:t>backsliding. A</w:t>
            </w:r>
            <w:r>
              <w:rPr>
                <w:spacing w:val="-3"/>
                <w:sz w:val="20"/>
              </w:rPr>
              <w:t xml:space="preserve"> </w:t>
            </w:r>
            <w:r>
              <w:rPr>
                <w:sz w:val="20"/>
              </w:rPr>
              <w:t>high</w:t>
            </w:r>
            <w:r>
              <w:rPr>
                <w:spacing w:val="-2"/>
                <w:sz w:val="20"/>
              </w:rPr>
              <w:t xml:space="preserve"> </w:t>
            </w:r>
            <w:r>
              <w:rPr>
                <w:sz w:val="20"/>
              </w:rPr>
              <w:t>score</w:t>
            </w:r>
            <w:r>
              <w:rPr>
                <w:spacing w:val="-4"/>
                <w:sz w:val="20"/>
              </w:rPr>
              <w:t xml:space="preserve"> </w:t>
            </w:r>
            <w:r>
              <w:rPr>
                <w:sz w:val="20"/>
              </w:rPr>
              <w:t>on</w:t>
            </w:r>
            <w:r>
              <w:rPr>
                <w:spacing w:val="-2"/>
                <w:sz w:val="20"/>
              </w:rPr>
              <w:t xml:space="preserve"> </w:t>
            </w:r>
            <w:r>
              <w:rPr>
                <w:sz w:val="20"/>
              </w:rPr>
              <w:t>this</w:t>
            </w:r>
            <w:r>
              <w:rPr>
                <w:spacing w:val="-4"/>
                <w:sz w:val="20"/>
              </w:rPr>
              <w:t xml:space="preserve"> </w:t>
            </w:r>
            <w:r>
              <w:rPr>
                <w:sz w:val="20"/>
              </w:rPr>
              <w:t>scale</w:t>
            </w:r>
            <w:r>
              <w:rPr>
                <w:spacing w:val="-4"/>
                <w:sz w:val="20"/>
              </w:rPr>
              <w:t xml:space="preserve"> </w:t>
            </w:r>
            <w:r>
              <w:rPr>
                <w:sz w:val="20"/>
              </w:rPr>
              <w:t>has</w:t>
            </w:r>
            <w:r>
              <w:rPr>
                <w:spacing w:val="-4"/>
                <w:sz w:val="20"/>
              </w:rPr>
              <w:t xml:space="preserve"> </w:t>
            </w:r>
            <w:r>
              <w:rPr>
                <w:sz w:val="20"/>
              </w:rPr>
              <w:t>been</w:t>
            </w:r>
            <w:r>
              <w:rPr>
                <w:spacing w:val="-2"/>
                <w:sz w:val="20"/>
              </w:rPr>
              <w:t xml:space="preserve"> </w:t>
            </w:r>
            <w:r>
              <w:rPr>
                <w:sz w:val="20"/>
              </w:rPr>
              <w:t>found</w:t>
            </w:r>
            <w:r>
              <w:rPr>
                <w:spacing w:val="-2"/>
                <w:sz w:val="20"/>
              </w:rPr>
              <w:t xml:space="preserve"> </w:t>
            </w:r>
            <w:r>
              <w:rPr>
                <w:sz w:val="20"/>
              </w:rPr>
              <w:t>to</w:t>
            </w:r>
          </w:p>
          <w:p w14:paraId="79696969" w14:textId="77777777" w:rsidR="00DB6E1F" w:rsidRDefault="00F666A6">
            <w:pPr>
              <w:pStyle w:val="TableParagraph"/>
              <w:spacing w:before="0" w:line="223" w:lineRule="exact"/>
              <w:rPr>
                <w:sz w:val="20"/>
              </w:rPr>
            </w:pPr>
            <w:r>
              <w:rPr>
                <w:sz w:val="20"/>
              </w:rPr>
              <w:t>be</w:t>
            </w:r>
            <w:r>
              <w:rPr>
                <w:spacing w:val="-8"/>
                <w:sz w:val="20"/>
              </w:rPr>
              <w:t xml:space="preserve"> </w:t>
            </w:r>
            <w:r>
              <w:rPr>
                <w:sz w:val="20"/>
              </w:rPr>
              <w:t>predictive</w:t>
            </w:r>
            <w:r>
              <w:rPr>
                <w:spacing w:val="-7"/>
                <w:sz w:val="20"/>
              </w:rPr>
              <w:t xml:space="preserve"> </w:t>
            </w:r>
            <w:r>
              <w:rPr>
                <w:sz w:val="20"/>
              </w:rPr>
              <w:t>of</w:t>
            </w:r>
            <w:r>
              <w:rPr>
                <w:spacing w:val="-8"/>
                <w:sz w:val="20"/>
              </w:rPr>
              <w:t xml:space="preserve"> </w:t>
            </w:r>
            <w:r>
              <w:rPr>
                <w:sz w:val="20"/>
              </w:rPr>
              <w:t>successful</w:t>
            </w:r>
            <w:r>
              <w:rPr>
                <w:spacing w:val="-7"/>
                <w:sz w:val="20"/>
              </w:rPr>
              <w:t xml:space="preserve"> </w:t>
            </w:r>
            <w:r>
              <w:rPr>
                <w:spacing w:val="-2"/>
                <w:sz w:val="20"/>
              </w:rPr>
              <w:t>change.</w:t>
            </w:r>
          </w:p>
        </w:tc>
      </w:tr>
    </w:tbl>
    <w:p w14:paraId="35B24565" w14:textId="77777777" w:rsidR="00DB6E1F" w:rsidRDefault="00DB6E1F">
      <w:pPr>
        <w:spacing w:line="223" w:lineRule="exact"/>
        <w:rPr>
          <w:sz w:val="20"/>
        </w:rPr>
        <w:sectPr w:rsidR="00DB6E1F">
          <w:pgSz w:w="12240" w:h="15840"/>
          <w:pgMar w:top="1200" w:right="0" w:bottom="780" w:left="0" w:header="763" w:footer="585" w:gutter="0"/>
          <w:cols w:space="720"/>
        </w:sectPr>
      </w:pPr>
    </w:p>
    <w:p w14:paraId="131CF315"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7954"/>
      </w:tblGrid>
      <w:tr w:rsidR="00DB6E1F" w14:paraId="632E27AE" w14:textId="77777777">
        <w:trPr>
          <w:trHeight w:val="489"/>
        </w:trPr>
        <w:tc>
          <w:tcPr>
            <w:tcW w:w="1397" w:type="dxa"/>
          </w:tcPr>
          <w:p w14:paraId="58A639BB" w14:textId="77777777" w:rsidR="00DB6E1F" w:rsidRDefault="00DB6E1F">
            <w:pPr>
              <w:pStyle w:val="TableParagraph"/>
              <w:spacing w:before="0"/>
              <w:ind w:left="0"/>
              <w:rPr>
                <w:rFonts w:ascii="Times New Roman"/>
                <w:sz w:val="20"/>
              </w:rPr>
            </w:pPr>
          </w:p>
        </w:tc>
        <w:tc>
          <w:tcPr>
            <w:tcW w:w="7954" w:type="dxa"/>
          </w:tcPr>
          <w:p w14:paraId="7C01913F" w14:textId="77777777" w:rsidR="00DB6E1F" w:rsidRDefault="00F666A6">
            <w:pPr>
              <w:pStyle w:val="TableParagraph"/>
              <w:spacing w:before="0" w:line="240" w:lineRule="atLeast"/>
              <w:ind w:right="193"/>
              <w:rPr>
                <w:sz w:val="20"/>
              </w:rPr>
            </w:pPr>
            <w:r>
              <w:rPr>
                <w:sz w:val="20"/>
              </w:rPr>
              <w:t>Low</w:t>
            </w:r>
            <w:r>
              <w:rPr>
                <w:spacing w:val="-4"/>
                <w:sz w:val="20"/>
              </w:rPr>
              <w:t xml:space="preserve"> </w:t>
            </w:r>
            <w:r>
              <w:rPr>
                <w:sz w:val="20"/>
              </w:rPr>
              <w:t>scorers</w:t>
            </w:r>
            <w:r>
              <w:rPr>
                <w:spacing w:val="-4"/>
                <w:sz w:val="20"/>
              </w:rPr>
              <w:t xml:space="preserve"> </w:t>
            </w:r>
            <w:r>
              <w:rPr>
                <w:sz w:val="20"/>
              </w:rPr>
              <w:t>report</w:t>
            </w:r>
            <w:r>
              <w:rPr>
                <w:spacing w:val="-2"/>
                <w:sz w:val="20"/>
              </w:rPr>
              <w:t xml:space="preserve"> </w:t>
            </w:r>
            <w:r>
              <w:rPr>
                <w:sz w:val="20"/>
              </w:rPr>
              <w:t>that</w:t>
            </w:r>
            <w:r>
              <w:rPr>
                <w:spacing w:val="-2"/>
                <w:sz w:val="20"/>
              </w:rPr>
              <w:t xml:space="preserve"> </w:t>
            </w:r>
            <w:r>
              <w:rPr>
                <w:sz w:val="20"/>
              </w:rPr>
              <w:t>they</w:t>
            </w:r>
            <w:r>
              <w:rPr>
                <w:spacing w:val="-2"/>
                <w:sz w:val="20"/>
              </w:rPr>
              <w:t xml:space="preserve"> </w:t>
            </w:r>
            <w:r>
              <w:rPr>
                <w:sz w:val="20"/>
              </w:rPr>
              <w:t>are</w:t>
            </w:r>
            <w:r>
              <w:rPr>
                <w:spacing w:val="-4"/>
                <w:sz w:val="20"/>
              </w:rPr>
              <w:t xml:space="preserve"> </w:t>
            </w:r>
            <w:r>
              <w:rPr>
                <w:sz w:val="20"/>
              </w:rPr>
              <w:t>not</w:t>
            </w:r>
            <w:r>
              <w:rPr>
                <w:spacing w:val="-2"/>
                <w:sz w:val="20"/>
              </w:rPr>
              <w:t xml:space="preserve"> </w:t>
            </w:r>
            <w:r>
              <w:rPr>
                <w:sz w:val="20"/>
              </w:rPr>
              <w:t>currently</w:t>
            </w:r>
            <w:r>
              <w:rPr>
                <w:spacing w:val="-2"/>
                <w:sz w:val="20"/>
              </w:rPr>
              <w:t xml:space="preserve"> </w:t>
            </w:r>
            <w:r>
              <w:rPr>
                <w:sz w:val="20"/>
              </w:rPr>
              <w:t>doing</w:t>
            </w:r>
            <w:r>
              <w:rPr>
                <w:spacing w:val="-3"/>
                <w:sz w:val="20"/>
              </w:rPr>
              <w:t xml:space="preserve"> </w:t>
            </w:r>
            <w:r>
              <w:rPr>
                <w:sz w:val="20"/>
              </w:rPr>
              <w:t>things</w:t>
            </w:r>
            <w:r>
              <w:rPr>
                <w:spacing w:val="-4"/>
                <w:sz w:val="20"/>
              </w:rPr>
              <w:t xml:space="preserve"> </w:t>
            </w:r>
            <w:r>
              <w:rPr>
                <w:sz w:val="20"/>
              </w:rPr>
              <w:t>to</w:t>
            </w:r>
            <w:r>
              <w:rPr>
                <w:spacing w:val="-2"/>
                <w:sz w:val="20"/>
              </w:rPr>
              <w:t xml:space="preserve"> </w:t>
            </w:r>
            <w:r>
              <w:rPr>
                <w:sz w:val="20"/>
              </w:rPr>
              <w:t>change</w:t>
            </w:r>
            <w:r>
              <w:rPr>
                <w:spacing w:val="-4"/>
                <w:sz w:val="20"/>
              </w:rPr>
              <w:t xml:space="preserve"> </w:t>
            </w:r>
            <w:r>
              <w:rPr>
                <w:sz w:val="20"/>
              </w:rPr>
              <w:t>their</w:t>
            </w:r>
            <w:r>
              <w:rPr>
                <w:spacing w:val="-3"/>
                <w:sz w:val="20"/>
              </w:rPr>
              <w:t xml:space="preserve"> </w:t>
            </w:r>
            <w:r>
              <w:rPr>
                <w:sz w:val="20"/>
              </w:rPr>
              <w:t>drinking,</w:t>
            </w:r>
            <w:r>
              <w:rPr>
                <w:spacing w:val="-2"/>
                <w:sz w:val="20"/>
              </w:rPr>
              <w:t xml:space="preserve"> </w:t>
            </w:r>
            <w:r>
              <w:rPr>
                <w:sz w:val="20"/>
              </w:rPr>
              <w:t>and</w:t>
            </w:r>
            <w:r>
              <w:rPr>
                <w:spacing w:val="-2"/>
                <w:sz w:val="20"/>
              </w:rPr>
              <w:t xml:space="preserve"> </w:t>
            </w:r>
            <w:r>
              <w:rPr>
                <w:sz w:val="20"/>
              </w:rPr>
              <w:t>have not made such changes recently.</w:t>
            </w:r>
          </w:p>
        </w:tc>
      </w:tr>
      <w:tr w:rsidR="00DB6E1F" w14:paraId="42F94E0B" w14:textId="77777777">
        <w:trPr>
          <w:trHeight w:val="438"/>
        </w:trPr>
        <w:tc>
          <w:tcPr>
            <w:tcW w:w="9351" w:type="dxa"/>
            <w:gridSpan w:val="2"/>
          </w:tcPr>
          <w:p w14:paraId="7CB5198C" w14:textId="77777777" w:rsidR="00DB6E1F" w:rsidRDefault="00F666A6">
            <w:pPr>
              <w:pStyle w:val="TableParagraph"/>
              <w:spacing w:before="0" w:line="217" w:lineRule="exact"/>
              <w:rPr>
                <w:i/>
                <w:sz w:val="20"/>
              </w:rPr>
            </w:pPr>
            <w:r>
              <w:rPr>
                <w:i/>
                <w:sz w:val="20"/>
              </w:rPr>
              <w:t>Source:</w:t>
            </w:r>
            <w:r>
              <w:rPr>
                <w:i/>
                <w:spacing w:val="-8"/>
                <w:sz w:val="20"/>
              </w:rPr>
              <w:t xml:space="preserve"> </w:t>
            </w:r>
            <w:r>
              <w:rPr>
                <w:i/>
                <w:sz w:val="20"/>
              </w:rPr>
              <w:t>Miller</w:t>
            </w:r>
            <w:r>
              <w:rPr>
                <w:i/>
                <w:spacing w:val="-8"/>
                <w:sz w:val="20"/>
              </w:rPr>
              <w:t xml:space="preserve"> </w:t>
            </w:r>
            <w:r>
              <w:rPr>
                <w:i/>
                <w:sz w:val="20"/>
              </w:rPr>
              <w:t>&amp;</w:t>
            </w:r>
            <w:r>
              <w:rPr>
                <w:i/>
                <w:spacing w:val="-5"/>
                <w:sz w:val="20"/>
              </w:rPr>
              <w:t xml:space="preserve"> </w:t>
            </w:r>
            <w:r>
              <w:rPr>
                <w:i/>
                <w:sz w:val="20"/>
              </w:rPr>
              <w:t>Tonigan,</w:t>
            </w:r>
            <w:r>
              <w:rPr>
                <w:i/>
                <w:spacing w:val="-6"/>
                <w:sz w:val="20"/>
              </w:rPr>
              <w:t xml:space="preserve"> </w:t>
            </w:r>
            <w:r>
              <w:rPr>
                <w:i/>
                <w:sz w:val="20"/>
              </w:rPr>
              <w:t>1996.</w:t>
            </w:r>
            <w:r>
              <w:rPr>
                <w:i/>
                <w:spacing w:val="-7"/>
                <w:sz w:val="20"/>
              </w:rPr>
              <w:t xml:space="preserve"> </w:t>
            </w:r>
            <w:r>
              <w:rPr>
                <w:i/>
                <w:sz w:val="20"/>
              </w:rPr>
              <w:t>SOCRATES-8A</w:t>
            </w:r>
            <w:r>
              <w:rPr>
                <w:i/>
                <w:spacing w:val="-7"/>
                <w:sz w:val="20"/>
              </w:rPr>
              <w:t xml:space="preserve"> </w:t>
            </w:r>
            <w:r>
              <w:rPr>
                <w:i/>
                <w:sz w:val="20"/>
              </w:rPr>
              <w:t>and</w:t>
            </w:r>
            <w:r>
              <w:rPr>
                <w:i/>
                <w:spacing w:val="-5"/>
                <w:sz w:val="20"/>
              </w:rPr>
              <w:t xml:space="preserve"> </w:t>
            </w:r>
            <w:r>
              <w:rPr>
                <w:i/>
                <w:sz w:val="20"/>
              </w:rPr>
              <w:t>SOCRATES-8D</w:t>
            </w:r>
            <w:r>
              <w:rPr>
                <w:i/>
                <w:spacing w:val="-7"/>
                <w:sz w:val="20"/>
              </w:rPr>
              <w:t xml:space="preserve"> </w:t>
            </w:r>
            <w:r>
              <w:rPr>
                <w:i/>
                <w:sz w:val="20"/>
              </w:rPr>
              <w:t>are</w:t>
            </w:r>
            <w:r>
              <w:rPr>
                <w:i/>
                <w:spacing w:val="-6"/>
                <w:sz w:val="20"/>
              </w:rPr>
              <w:t xml:space="preserve"> </w:t>
            </w:r>
            <w:r>
              <w:rPr>
                <w:i/>
                <w:sz w:val="20"/>
              </w:rPr>
              <w:t>in</w:t>
            </w:r>
            <w:r>
              <w:rPr>
                <w:i/>
                <w:spacing w:val="-6"/>
                <w:sz w:val="20"/>
              </w:rPr>
              <w:t xml:space="preserve"> </w:t>
            </w:r>
            <w:r>
              <w:rPr>
                <w:i/>
                <w:sz w:val="20"/>
              </w:rPr>
              <w:t>the</w:t>
            </w:r>
            <w:r>
              <w:rPr>
                <w:i/>
                <w:spacing w:val="-5"/>
                <w:sz w:val="20"/>
              </w:rPr>
              <w:t xml:space="preserve"> </w:t>
            </w:r>
            <w:r>
              <w:rPr>
                <w:i/>
                <w:sz w:val="20"/>
              </w:rPr>
              <w:t>public</w:t>
            </w:r>
            <w:r>
              <w:rPr>
                <w:i/>
                <w:spacing w:val="-6"/>
                <w:sz w:val="20"/>
              </w:rPr>
              <w:t xml:space="preserve"> </w:t>
            </w:r>
            <w:r>
              <w:rPr>
                <w:i/>
                <w:sz w:val="20"/>
              </w:rPr>
              <w:t>domain</w:t>
            </w:r>
            <w:r>
              <w:rPr>
                <w:i/>
                <w:spacing w:val="-10"/>
                <w:sz w:val="20"/>
              </w:rPr>
              <w:t xml:space="preserve"> </w:t>
            </w:r>
            <w:r>
              <w:rPr>
                <w:i/>
                <w:sz w:val="20"/>
              </w:rPr>
              <w:t>and</w:t>
            </w:r>
            <w:r>
              <w:rPr>
                <w:i/>
                <w:spacing w:val="-6"/>
                <w:sz w:val="20"/>
              </w:rPr>
              <w:t xml:space="preserve"> </w:t>
            </w:r>
            <w:r>
              <w:rPr>
                <w:i/>
                <w:sz w:val="20"/>
              </w:rPr>
              <w:t>available</w:t>
            </w:r>
            <w:r>
              <w:rPr>
                <w:i/>
                <w:spacing w:val="-6"/>
                <w:sz w:val="20"/>
              </w:rPr>
              <w:t xml:space="preserve"> </w:t>
            </w:r>
            <w:r>
              <w:rPr>
                <w:i/>
                <w:sz w:val="20"/>
              </w:rPr>
              <w:t>online</w:t>
            </w:r>
            <w:r>
              <w:rPr>
                <w:i/>
                <w:spacing w:val="-6"/>
                <w:sz w:val="20"/>
              </w:rPr>
              <w:t xml:space="preserve"> </w:t>
            </w:r>
            <w:r>
              <w:rPr>
                <w:i/>
                <w:spacing w:val="-5"/>
                <w:sz w:val="20"/>
              </w:rPr>
              <w:t>at</w:t>
            </w:r>
          </w:p>
          <w:p w14:paraId="4AA1F9CF" w14:textId="77777777" w:rsidR="00DB6E1F" w:rsidRDefault="00F666A6">
            <w:pPr>
              <w:pStyle w:val="TableParagraph"/>
              <w:spacing w:before="0" w:line="202" w:lineRule="exact"/>
              <w:rPr>
                <w:i/>
                <w:sz w:val="20"/>
              </w:rPr>
            </w:pPr>
            <w:r>
              <w:rPr>
                <w:i/>
                <w:sz w:val="20"/>
              </w:rPr>
              <w:t>no</w:t>
            </w:r>
            <w:r>
              <w:rPr>
                <w:i/>
                <w:spacing w:val="-2"/>
                <w:sz w:val="20"/>
              </w:rPr>
              <w:t xml:space="preserve"> </w:t>
            </w:r>
            <w:r>
              <w:rPr>
                <w:i/>
                <w:sz w:val="20"/>
              </w:rPr>
              <w:t>cost</w:t>
            </w:r>
            <w:r>
              <w:rPr>
                <w:i/>
                <w:spacing w:val="-3"/>
                <w:sz w:val="20"/>
              </w:rPr>
              <w:t xml:space="preserve"> </w:t>
            </w:r>
            <w:hyperlink r:id="rId177">
              <w:r>
                <w:rPr>
                  <w:i/>
                  <w:spacing w:val="-2"/>
                  <w:sz w:val="20"/>
                </w:rPr>
                <w:t>(</w:t>
              </w:r>
              <w:r>
                <w:rPr>
                  <w:i/>
                  <w:color w:val="0563C1"/>
                  <w:spacing w:val="-2"/>
                  <w:sz w:val="20"/>
                  <w:u w:val="single" w:color="0563C1"/>
                </w:rPr>
                <w:t>https://casaa.unm.edu/inst/socratesv8.pdf</w:t>
              </w:r>
            </w:hyperlink>
            <w:r>
              <w:rPr>
                <w:i/>
                <w:spacing w:val="-2"/>
                <w:sz w:val="20"/>
              </w:rPr>
              <w:t>).</w:t>
            </w:r>
          </w:p>
        </w:tc>
      </w:tr>
    </w:tbl>
    <w:p w14:paraId="7133DFA6" w14:textId="77777777" w:rsidR="00DB6E1F" w:rsidRDefault="00DB6E1F">
      <w:pPr>
        <w:spacing w:line="202" w:lineRule="exact"/>
        <w:rPr>
          <w:sz w:val="20"/>
        </w:rPr>
        <w:sectPr w:rsidR="00DB6E1F">
          <w:pgSz w:w="12240" w:h="15840"/>
          <w:pgMar w:top="1200" w:right="0" w:bottom="780" w:left="0" w:header="763" w:footer="585" w:gutter="0"/>
          <w:cols w:space="720"/>
        </w:sectPr>
      </w:pPr>
    </w:p>
    <w:p w14:paraId="6E17D378" w14:textId="77777777" w:rsidR="00DB6E1F" w:rsidRDefault="00DB6E1F">
      <w:pPr>
        <w:pStyle w:val="BodyText"/>
        <w:spacing w:before="3"/>
        <w:rPr>
          <w:sz w:val="17"/>
        </w:rPr>
      </w:pPr>
    </w:p>
    <w:p w14:paraId="23189FA7" w14:textId="77777777" w:rsidR="00DB6E1F" w:rsidRDefault="00F666A6">
      <w:pPr>
        <w:pStyle w:val="Heading2"/>
        <w:numPr>
          <w:ilvl w:val="0"/>
          <w:numId w:val="28"/>
        </w:numPr>
        <w:tabs>
          <w:tab w:val="left" w:pos="1800"/>
        </w:tabs>
        <w:spacing w:line="259" w:lineRule="auto"/>
        <w:ind w:left="1440" w:right="2223" w:firstLine="0"/>
      </w:pPr>
      <w:bookmarkStart w:id="246" w:name="8._University_of_Rhode_Island_Change_Ass"/>
      <w:bookmarkStart w:id="247" w:name="_bookmark58"/>
      <w:bookmarkEnd w:id="246"/>
      <w:bookmarkEnd w:id="247"/>
      <w:r>
        <w:t>University</w:t>
      </w:r>
      <w:r>
        <w:rPr>
          <w:spacing w:val="-9"/>
        </w:rPr>
        <w:t xml:space="preserve"> </w:t>
      </w:r>
      <w:r>
        <w:t>of</w:t>
      </w:r>
      <w:r>
        <w:rPr>
          <w:spacing w:val="-8"/>
        </w:rPr>
        <w:t xml:space="preserve"> </w:t>
      </w:r>
      <w:r>
        <w:t>Rhode</w:t>
      </w:r>
      <w:r>
        <w:rPr>
          <w:spacing w:val="-6"/>
        </w:rPr>
        <w:t xml:space="preserve"> </w:t>
      </w:r>
      <w:r>
        <w:t>Island</w:t>
      </w:r>
      <w:r>
        <w:rPr>
          <w:spacing w:val="-6"/>
        </w:rPr>
        <w:t xml:space="preserve"> </w:t>
      </w:r>
      <w:r>
        <w:t>Change</w:t>
      </w:r>
      <w:r>
        <w:rPr>
          <w:spacing w:val="-6"/>
        </w:rPr>
        <w:t xml:space="preserve"> </w:t>
      </w:r>
      <w:r>
        <w:t>Assessment</w:t>
      </w:r>
      <w:r>
        <w:rPr>
          <w:spacing w:val="-7"/>
        </w:rPr>
        <w:t xml:space="preserve"> </w:t>
      </w:r>
      <w:r>
        <w:t xml:space="preserve">(URICA) </w:t>
      </w:r>
      <w:r>
        <w:rPr>
          <w:spacing w:val="-2"/>
        </w:rPr>
        <w:t>Scale</w:t>
      </w:r>
    </w:p>
    <w:p w14:paraId="02B1834B" w14:textId="77777777" w:rsidR="00DB6E1F" w:rsidRDefault="00F666A6">
      <w:pPr>
        <w:spacing w:before="117"/>
        <w:ind w:left="1440" w:right="1491"/>
        <w:rPr>
          <w:sz w:val="20"/>
        </w:rPr>
      </w:pPr>
      <w:r>
        <w:rPr>
          <w:b/>
          <w:sz w:val="20"/>
        </w:rPr>
        <w:t xml:space="preserve">Instructions: </w:t>
      </w:r>
      <w:r>
        <w:rPr>
          <w:sz w:val="20"/>
        </w:rPr>
        <w:t>Each statement below describes how a person might feel when sta</w:t>
      </w:r>
      <w:r>
        <w:rPr>
          <w:sz w:val="20"/>
        </w:rPr>
        <w:t>rting therapy or approaching problems</w:t>
      </w:r>
      <w:r>
        <w:rPr>
          <w:spacing w:val="-4"/>
          <w:sz w:val="20"/>
        </w:rPr>
        <w:t xml:space="preserve"> </w:t>
      </w:r>
      <w:r>
        <w:rPr>
          <w:sz w:val="20"/>
        </w:rPr>
        <w:t>in</w:t>
      </w:r>
      <w:r>
        <w:rPr>
          <w:spacing w:val="-2"/>
          <w:sz w:val="20"/>
        </w:rPr>
        <w:t xml:space="preserve"> </w:t>
      </w:r>
      <w:r>
        <w:rPr>
          <w:sz w:val="20"/>
        </w:rPr>
        <w:t>his</w:t>
      </w:r>
      <w:r>
        <w:rPr>
          <w:spacing w:val="-4"/>
          <w:sz w:val="20"/>
        </w:rPr>
        <w:t xml:space="preserve"> </w:t>
      </w:r>
      <w:r>
        <w:rPr>
          <w:sz w:val="20"/>
        </w:rPr>
        <w:t>life.</w:t>
      </w:r>
      <w:r>
        <w:rPr>
          <w:spacing w:val="-3"/>
          <w:sz w:val="20"/>
        </w:rPr>
        <w:t xml:space="preserve"> </w:t>
      </w:r>
      <w:r>
        <w:rPr>
          <w:sz w:val="20"/>
        </w:rPr>
        <w:t>Please</w:t>
      </w:r>
      <w:r>
        <w:rPr>
          <w:spacing w:val="-4"/>
          <w:sz w:val="20"/>
        </w:rPr>
        <w:t xml:space="preserve"> </w:t>
      </w:r>
      <w:r>
        <w:rPr>
          <w:sz w:val="20"/>
        </w:rPr>
        <w:t>indicate</w:t>
      </w:r>
      <w:r>
        <w:rPr>
          <w:spacing w:val="-4"/>
          <w:sz w:val="20"/>
        </w:rPr>
        <w:t xml:space="preserve"> </w:t>
      </w:r>
      <w:r>
        <w:rPr>
          <w:sz w:val="20"/>
        </w:rPr>
        <w:t>the</w:t>
      </w:r>
      <w:r>
        <w:rPr>
          <w:spacing w:val="-4"/>
          <w:sz w:val="20"/>
        </w:rPr>
        <w:t xml:space="preserve"> </w:t>
      </w:r>
      <w:r>
        <w:rPr>
          <w:sz w:val="20"/>
        </w:rPr>
        <w:t>extent</w:t>
      </w:r>
      <w:r>
        <w:rPr>
          <w:spacing w:val="-3"/>
          <w:sz w:val="20"/>
        </w:rPr>
        <w:t xml:space="preserve"> </w:t>
      </w:r>
      <w:r>
        <w:rPr>
          <w:sz w:val="20"/>
        </w:rPr>
        <w:t>to</w:t>
      </w:r>
      <w:r>
        <w:rPr>
          <w:spacing w:val="-3"/>
          <w:sz w:val="20"/>
        </w:rPr>
        <w:t xml:space="preserve"> </w:t>
      </w:r>
      <w:r>
        <w:rPr>
          <w:sz w:val="20"/>
        </w:rPr>
        <w:t>which</w:t>
      </w:r>
      <w:r>
        <w:rPr>
          <w:spacing w:val="-2"/>
          <w:sz w:val="20"/>
        </w:rPr>
        <w:t xml:space="preserve"> </w:t>
      </w:r>
      <w:r>
        <w:rPr>
          <w:sz w:val="20"/>
        </w:rPr>
        <w:t>you</w:t>
      </w:r>
      <w:r>
        <w:rPr>
          <w:spacing w:val="-2"/>
          <w:sz w:val="20"/>
        </w:rPr>
        <w:t xml:space="preserve"> </w:t>
      </w:r>
      <w:r>
        <w:rPr>
          <w:sz w:val="20"/>
        </w:rPr>
        <w:t>tend</w:t>
      </w:r>
      <w:r>
        <w:rPr>
          <w:spacing w:val="-2"/>
          <w:sz w:val="20"/>
        </w:rPr>
        <w:t xml:space="preserve"> </w:t>
      </w:r>
      <w:r>
        <w:rPr>
          <w:sz w:val="20"/>
        </w:rPr>
        <w:t>to</w:t>
      </w:r>
      <w:r>
        <w:rPr>
          <w:spacing w:val="-3"/>
          <w:sz w:val="20"/>
        </w:rPr>
        <w:t xml:space="preserve"> </w:t>
      </w:r>
      <w:r>
        <w:rPr>
          <w:sz w:val="20"/>
        </w:rPr>
        <w:t>agree</w:t>
      </w:r>
      <w:r>
        <w:rPr>
          <w:spacing w:val="-4"/>
          <w:sz w:val="20"/>
        </w:rPr>
        <w:t xml:space="preserve"> </w:t>
      </w:r>
      <w:r>
        <w:rPr>
          <w:sz w:val="20"/>
        </w:rPr>
        <w:t>or</w:t>
      </w:r>
      <w:r>
        <w:rPr>
          <w:spacing w:val="-3"/>
          <w:sz w:val="20"/>
        </w:rPr>
        <w:t xml:space="preserve"> </w:t>
      </w:r>
      <w:r>
        <w:rPr>
          <w:sz w:val="20"/>
        </w:rPr>
        <w:t>disagree</w:t>
      </w:r>
      <w:r>
        <w:rPr>
          <w:spacing w:val="-4"/>
          <w:sz w:val="20"/>
        </w:rPr>
        <w:t xml:space="preserve"> </w:t>
      </w:r>
      <w:r>
        <w:rPr>
          <w:sz w:val="20"/>
        </w:rPr>
        <w:t>with</w:t>
      </w:r>
      <w:r>
        <w:rPr>
          <w:spacing w:val="-2"/>
          <w:sz w:val="20"/>
        </w:rPr>
        <w:t xml:space="preserve"> </w:t>
      </w:r>
      <w:r>
        <w:rPr>
          <w:sz w:val="20"/>
        </w:rPr>
        <w:t>each</w:t>
      </w:r>
      <w:r>
        <w:rPr>
          <w:spacing w:val="-2"/>
          <w:sz w:val="20"/>
        </w:rPr>
        <w:t xml:space="preserve"> </w:t>
      </w:r>
      <w:r>
        <w:rPr>
          <w:sz w:val="20"/>
        </w:rPr>
        <w:t>statement.</w:t>
      </w:r>
      <w:r>
        <w:rPr>
          <w:spacing w:val="-3"/>
          <w:sz w:val="20"/>
        </w:rPr>
        <w:t xml:space="preserve"> </w:t>
      </w:r>
      <w:r>
        <w:rPr>
          <w:sz w:val="20"/>
        </w:rPr>
        <w:t>In</w:t>
      </w:r>
      <w:r>
        <w:rPr>
          <w:spacing w:val="-2"/>
          <w:sz w:val="20"/>
        </w:rPr>
        <w:t xml:space="preserve"> </w:t>
      </w:r>
      <w:r>
        <w:rPr>
          <w:sz w:val="20"/>
        </w:rPr>
        <w:t>each case,</w:t>
      </w:r>
      <w:r>
        <w:rPr>
          <w:spacing w:val="-1"/>
          <w:sz w:val="20"/>
        </w:rPr>
        <w:t xml:space="preserve"> </w:t>
      </w:r>
      <w:r>
        <w:rPr>
          <w:sz w:val="20"/>
        </w:rPr>
        <w:t>make</w:t>
      </w:r>
      <w:r>
        <w:rPr>
          <w:spacing w:val="-2"/>
          <w:sz w:val="20"/>
        </w:rPr>
        <w:t xml:space="preserve"> </w:t>
      </w:r>
      <w:r>
        <w:rPr>
          <w:sz w:val="20"/>
        </w:rPr>
        <w:t>your</w:t>
      </w:r>
      <w:r>
        <w:rPr>
          <w:spacing w:val="-1"/>
          <w:sz w:val="20"/>
        </w:rPr>
        <w:t xml:space="preserve"> </w:t>
      </w:r>
      <w:r>
        <w:rPr>
          <w:sz w:val="20"/>
        </w:rPr>
        <w:t>choice</w:t>
      </w:r>
      <w:r>
        <w:rPr>
          <w:spacing w:val="-2"/>
          <w:sz w:val="20"/>
        </w:rPr>
        <w:t xml:space="preserve"> </w:t>
      </w:r>
      <w:r>
        <w:rPr>
          <w:sz w:val="20"/>
        </w:rPr>
        <w:t>in terms</w:t>
      </w:r>
      <w:r>
        <w:rPr>
          <w:spacing w:val="-2"/>
          <w:sz w:val="20"/>
        </w:rPr>
        <w:t xml:space="preserve"> </w:t>
      </w:r>
      <w:r>
        <w:rPr>
          <w:sz w:val="20"/>
        </w:rPr>
        <w:t>of</w:t>
      </w:r>
      <w:r>
        <w:rPr>
          <w:spacing w:val="-2"/>
          <w:sz w:val="20"/>
        </w:rPr>
        <w:t xml:space="preserve"> </w:t>
      </w:r>
      <w:r>
        <w:rPr>
          <w:sz w:val="20"/>
        </w:rPr>
        <w:t>how</w:t>
      </w:r>
      <w:r>
        <w:rPr>
          <w:spacing w:val="-2"/>
          <w:sz w:val="20"/>
        </w:rPr>
        <w:t xml:space="preserve"> </w:t>
      </w:r>
      <w:r>
        <w:rPr>
          <w:sz w:val="20"/>
        </w:rPr>
        <w:t>you feel right</w:t>
      </w:r>
      <w:r>
        <w:rPr>
          <w:spacing w:val="-1"/>
          <w:sz w:val="20"/>
        </w:rPr>
        <w:t xml:space="preserve"> </w:t>
      </w:r>
      <w:r>
        <w:rPr>
          <w:sz w:val="20"/>
        </w:rPr>
        <w:t>now, not</w:t>
      </w:r>
      <w:r>
        <w:rPr>
          <w:spacing w:val="-1"/>
          <w:sz w:val="20"/>
        </w:rPr>
        <w:t xml:space="preserve"> </w:t>
      </w:r>
      <w:r>
        <w:rPr>
          <w:sz w:val="20"/>
        </w:rPr>
        <w:t>what</w:t>
      </w:r>
      <w:r>
        <w:rPr>
          <w:spacing w:val="-1"/>
          <w:sz w:val="20"/>
        </w:rPr>
        <w:t xml:space="preserve"> </w:t>
      </w:r>
      <w:r>
        <w:rPr>
          <w:sz w:val="20"/>
        </w:rPr>
        <w:t>you</w:t>
      </w:r>
      <w:r>
        <w:rPr>
          <w:spacing w:val="-3"/>
          <w:sz w:val="20"/>
        </w:rPr>
        <w:t xml:space="preserve"> </w:t>
      </w:r>
      <w:r>
        <w:rPr>
          <w:sz w:val="20"/>
        </w:rPr>
        <w:t>have</w:t>
      </w:r>
      <w:r>
        <w:rPr>
          <w:spacing w:val="-2"/>
          <w:sz w:val="20"/>
        </w:rPr>
        <w:t xml:space="preserve"> </w:t>
      </w:r>
      <w:r>
        <w:rPr>
          <w:sz w:val="20"/>
        </w:rPr>
        <w:t>felt</w:t>
      </w:r>
      <w:r>
        <w:rPr>
          <w:spacing w:val="-1"/>
          <w:sz w:val="20"/>
        </w:rPr>
        <w:t xml:space="preserve"> </w:t>
      </w:r>
      <w:r>
        <w:rPr>
          <w:sz w:val="20"/>
        </w:rPr>
        <w:t>in the past</w:t>
      </w:r>
      <w:r>
        <w:rPr>
          <w:spacing w:val="-1"/>
          <w:sz w:val="20"/>
        </w:rPr>
        <w:t xml:space="preserve"> </w:t>
      </w:r>
      <w:r>
        <w:rPr>
          <w:sz w:val="20"/>
        </w:rPr>
        <w:t>or</w:t>
      </w:r>
      <w:r>
        <w:rPr>
          <w:spacing w:val="-1"/>
          <w:sz w:val="20"/>
        </w:rPr>
        <w:t xml:space="preserve"> </w:t>
      </w:r>
      <w:r>
        <w:rPr>
          <w:sz w:val="20"/>
        </w:rPr>
        <w:t>would like</w:t>
      </w:r>
      <w:r>
        <w:rPr>
          <w:spacing w:val="-2"/>
          <w:sz w:val="20"/>
        </w:rPr>
        <w:t xml:space="preserve"> </w:t>
      </w:r>
      <w:r>
        <w:rPr>
          <w:sz w:val="20"/>
        </w:rPr>
        <w:t>to feel. For all the statements that refer to your “problem,” answer in terms of problems related to your drinking (or illicit drug use). The words “here” and “this place” refer to your treatment center.</w:t>
      </w:r>
    </w:p>
    <w:p w14:paraId="6F067B82" w14:textId="77777777" w:rsidR="00DB6E1F" w:rsidRDefault="00F666A6">
      <w:pPr>
        <w:spacing w:before="121" w:line="300" w:lineRule="auto"/>
        <w:ind w:left="1440" w:right="4652"/>
        <w:rPr>
          <w:sz w:val="20"/>
        </w:rPr>
      </w:pPr>
      <w:r>
        <w:rPr>
          <w:sz w:val="20"/>
        </w:rPr>
        <w:t>There</w:t>
      </w:r>
      <w:r>
        <w:rPr>
          <w:spacing w:val="-4"/>
          <w:sz w:val="20"/>
        </w:rPr>
        <w:t xml:space="preserve"> </w:t>
      </w:r>
      <w:r>
        <w:rPr>
          <w:sz w:val="20"/>
        </w:rPr>
        <w:t>are</w:t>
      </w:r>
      <w:r>
        <w:rPr>
          <w:spacing w:val="-4"/>
          <w:sz w:val="20"/>
        </w:rPr>
        <w:t xml:space="preserve"> </w:t>
      </w:r>
      <w:r>
        <w:rPr>
          <w:sz w:val="20"/>
        </w:rPr>
        <w:t>five</w:t>
      </w:r>
      <w:r>
        <w:rPr>
          <w:spacing w:val="-4"/>
          <w:sz w:val="20"/>
        </w:rPr>
        <w:t xml:space="preserve"> </w:t>
      </w:r>
      <w:r>
        <w:rPr>
          <w:sz w:val="20"/>
        </w:rPr>
        <w:t>possible</w:t>
      </w:r>
      <w:r>
        <w:rPr>
          <w:spacing w:val="-4"/>
          <w:sz w:val="20"/>
        </w:rPr>
        <w:t xml:space="preserve"> </w:t>
      </w:r>
      <w:r>
        <w:rPr>
          <w:sz w:val="20"/>
        </w:rPr>
        <w:t>responses</w:t>
      </w:r>
      <w:r>
        <w:rPr>
          <w:spacing w:val="-4"/>
          <w:sz w:val="20"/>
        </w:rPr>
        <w:t xml:space="preserve"> </w:t>
      </w:r>
      <w:r>
        <w:rPr>
          <w:sz w:val="20"/>
        </w:rPr>
        <w:t>to</w:t>
      </w:r>
      <w:r>
        <w:rPr>
          <w:spacing w:val="-3"/>
          <w:sz w:val="20"/>
        </w:rPr>
        <w:t xml:space="preserve"> </w:t>
      </w:r>
      <w:r>
        <w:rPr>
          <w:sz w:val="20"/>
        </w:rPr>
        <w:t>each</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items</w:t>
      </w:r>
      <w:r>
        <w:rPr>
          <w:spacing w:val="-4"/>
          <w:sz w:val="20"/>
        </w:rPr>
        <w:t xml:space="preserve"> </w:t>
      </w:r>
      <w:r>
        <w:rPr>
          <w:sz w:val="20"/>
        </w:rPr>
        <w:t>in</w:t>
      </w:r>
      <w:r>
        <w:rPr>
          <w:spacing w:val="-2"/>
          <w:sz w:val="20"/>
        </w:rPr>
        <w:t xml:space="preserve"> </w:t>
      </w:r>
      <w:r>
        <w:rPr>
          <w:sz w:val="20"/>
        </w:rPr>
        <w:t>the</w:t>
      </w:r>
      <w:r>
        <w:rPr>
          <w:spacing w:val="-2"/>
          <w:sz w:val="20"/>
        </w:rPr>
        <w:t xml:space="preserve"> </w:t>
      </w:r>
      <w:r>
        <w:rPr>
          <w:sz w:val="20"/>
        </w:rPr>
        <w:t>questionnaire: 1 = Strongly Disagree</w:t>
      </w:r>
    </w:p>
    <w:p w14:paraId="66BD0AF6" w14:textId="77777777" w:rsidR="00DB6E1F" w:rsidRDefault="00F666A6">
      <w:pPr>
        <w:spacing w:line="200" w:lineRule="exact"/>
        <w:ind w:left="1440"/>
        <w:rPr>
          <w:sz w:val="20"/>
        </w:rPr>
      </w:pPr>
      <w:r>
        <w:rPr>
          <w:sz w:val="20"/>
        </w:rPr>
        <w:t>2</w:t>
      </w:r>
      <w:r>
        <w:rPr>
          <w:spacing w:val="-4"/>
          <w:sz w:val="20"/>
        </w:rPr>
        <w:t xml:space="preserve"> </w:t>
      </w:r>
      <w:r>
        <w:rPr>
          <w:sz w:val="20"/>
        </w:rPr>
        <w:t>=</w:t>
      </w:r>
      <w:r>
        <w:rPr>
          <w:spacing w:val="-1"/>
          <w:sz w:val="20"/>
        </w:rPr>
        <w:t xml:space="preserve"> </w:t>
      </w:r>
      <w:r>
        <w:rPr>
          <w:spacing w:val="-2"/>
          <w:sz w:val="20"/>
        </w:rPr>
        <w:t>Disagree</w:t>
      </w:r>
    </w:p>
    <w:p w14:paraId="7D5A5CF3" w14:textId="77777777" w:rsidR="00DB6E1F" w:rsidRDefault="00F666A6">
      <w:pPr>
        <w:spacing w:before="20"/>
        <w:ind w:left="1440"/>
        <w:rPr>
          <w:sz w:val="20"/>
        </w:rPr>
      </w:pPr>
      <w:r>
        <w:rPr>
          <w:sz w:val="20"/>
        </w:rPr>
        <w:t>3</w:t>
      </w:r>
      <w:r>
        <w:rPr>
          <w:spacing w:val="-4"/>
          <w:sz w:val="20"/>
        </w:rPr>
        <w:t xml:space="preserve"> </w:t>
      </w:r>
      <w:r>
        <w:rPr>
          <w:sz w:val="20"/>
        </w:rPr>
        <w:t>=</w:t>
      </w:r>
      <w:r>
        <w:rPr>
          <w:spacing w:val="-1"/>
          <w:sz w:val="20"/>
        </w:rPr>
        <w:t xml:space="preserve"> </w:t>
      </w:r>
      <w:r>
        <w:rPr>
          <w:spacing w:val="-2"/>
          <w:sz w:val="20"/>
        </w:rPr>
        <w:t>Undecided</w:t>
      </w:r>
    </w:p>
    <w:p w14:paraId="0EACD176" w14:textId="77777777" w:rsidR="00DB6E1F" w:rsidRDefault="00F666A6">
      <w:pPr>
        <w:spacing w:before="20"/>
        <w:ind w:left="1440"/>
        <w:rPr>
          <w:sz w:val="20"/>
        </w:rPr>
      </w:pPr>
      <w:r>
        <w:rPr>
          <w:sz w:val="20"/>
        </w:rPr>
        <w:t>4</w:t>
      </w:r>
      <w:r>
        <w:rPr>
          <w:spacing w:val="-4"/>
          <w:sz w:val="20"/>
        </w:rPr>
        <w:t xml:space="preserve"> </w:t>
      </w:r>
      <w:r>
        <w:rPr>
          <w:sz w:val="20"/>
        </w:rPr>
        <w:t>=</w:t>
      </w:r>
      <w:r>
        <w:rPr>
          <w:spacing w:val="-1"/>
          <w:sz w:val="20"/>
        </w:rPr>
        <w:t xml:space="preserve"> </w:t>
      </w:r>
      <w:r>
        <w:rPr>
          <w:spacing w:val="-2"/>
          <w:sz w:val="20"/>
        </w:rPr>
        <w:t>Agree</w:t>
      </w:r>
    </w:p>
    <w:p w14:paraId="16EC6706" w14:textId="77777777" w:rsidR="00DB6E1F" w:rsidRDefault="00F666A6">
      <w:pPr>
        <w:spacing w:before="20"/>
        <w:ind w:left="1440"/>
        <w:rPr>
          <w:sz w:val="20"/>
        </w:rPr>
      </w:pPr>
      <w:r>
        <w:rPr>
          <w:sz w:val="20"/>
        </w:rPr>
        <w:t>5</w:t>
      </w:r>
      <w:r>
        <w:rPr>
          <w:spacing w:val="-4"/>
          <w:sz w:val="20"/>
        </w:rPr>
        <w:t xml:space="preserve"> </w:t>
      </w:r>
      <w:r>
        <w:rPr>
          <w:sz w:val="20"/>
        </w:rPr>
        <w:t>=</w:t>
      </w:r>
      <w:r>
        <w:rPr>
          <w:spacing w:val="-5"/>
          <w:sz w:val="20"/>
        </w:rPr>
        <w:t xml:space="preserve"> </w:t>
      </w:r>
      <w:r>
        <w:rPr>
          <w:sz w:val="20"/>
        </w:rPr>
        <w:t>Strongly</w:t>
      </w:r>
      <w:r>
        <w:rPr>
          <w:spacing w:val="-2"/>
          <w:sz w:val="20"/>
        </w:rPr>
        <w:t xml:space="preserve"> Agree</w:t>
      </w:r>
    </w:p>
    <w:p w14:paraId="06390BC7" w14:textId="77777777" w:rsidR="00DB6E1F" w:rsidRDefault="00F666A6">
      <w:pPr>
        <w:spacing w:before="17"/>
        <w:ind w:left="1440"/>
        <w:rPr>
          <w:sz w:val="20"/>
        </w:rPr>
      </w:pPr>
      <w:r>
        <w:rPr>
          <w:sz w:val="20"/>
        </w:rPr>
        <w:t>Circle</w:t>
      </w:r>
      <w:r>
        <w:rPr>
          <w:spacing w:val="-7"/>
          <w:sz w:val="20"/>
        </w:rPr>
        <w:t xml:space="preserve"> </w:t>
      </w:r>
      <w:r>
        <w:rPr>
          <w:sz w:val="20"/>
        </w:rPr>
        <w:t>the</w:t>
      </w:r>
      <w:r>
        <w:rPr>
          <w:spacing w:val="-7"/>
          <w:sz w:val="20"/>
        </w:rPr>
        <w:t xml:space="preserve"> </w:t>
      </w:r>
      <w:r>
        <w:rPr>
          <w:sz w:val="20"/>
        </w:rPr>
        <w:t>number</w:t>
      </w:r>
      <w:r>
        <w:rPr>
          <w:spacing w:val="-5"/>
          <w:sz w:val="20"/>
        </w:rPr>
        <w:t xml:space="preserve"> </w:t>
      </w:r>
      <w:r>
        <w:rPr>
          <w:sz w:val="20"/>
        </w:rPr>
        <w:t>that</w:t>
      </w:r>
      <w:r>
        <w:rPr>
          <w:spacing w:val="-6"/>
          <w:sz w:val="20"/>
        </w:rPr>
        <w:t xml:space="preserve"> </w:t>
      </w:r>
      <w:r>
        <w:rPr>
          <w:sz w:val="20"/>
        </w:rPr>
        <w:t>best</w:t>
      </w:r>
      <w:r>
        <w:rPr>
          <w:spacing w:val="-6"/>
          <w:sz w:val="20"/>
        </w:rPr>
        <w:t xml:space="preserve"> </w:t>
      </w:r>
      <w:r>
        <w:rPr>
          <w:sz w:val="20"/>
        </w:rPr>
        <w:t>describes</w:t>
      </w:r>
      <w:r>
        <w:rPr>
          <w:spacing w:val="-6"/>
          <w:sz w:val="20"/>
        </w:rPr>
        <w:t xml:space="preserve"> </w:t>
      </w:r>
      <w:r>
        <w:rPr>
          <w:sz w:val="20"/>
        </w:rPr>
        <w:t>how</w:t>
      </w:r>
      <w:r>
        <w:rPr>
          <w:spacing w:val="-4"/>
          <w:sz w:val="20"/>
        </w:rPr>
        <w:t xml:space="preserve"> </w:t>
      </w:r>
      <w:r>
        <w:rPr>
          <w:sz w:val="20"/>
        </w:rPr>
        <w:t>much</w:t>
      </w:r>
      <w:r>
        <w:rPr>
          <w:spacing w:val="-5"/>
          <w:sz w:val="20"/>
        </w:rPr>
        <w:t xml:space="preserve"> </w:t>
      </w:r>
      <w:r>
        <w:rPr>
          <w:sz w:val="20"/>
        </w:rPr>
        <w:t>you</w:t>
      </w:r>
      <w:r>
        <w:rPr>
          <w:spacing w:val="-5"/>
          <w:sz w:val="20"/>
        </w:rPr>
        <w:t xml:space="preserve"> </w:t>
      </w:r>
      <w:r>
        <w:rPr>
          <w:sz w:val="20"/>
        </w:rPr>
        <w:t>agree</w:t>
      </w:r>
      <w:r>
        <w:rPr>
          <w:spacing w:val="-4"/>
          <w:sz w:val="20"/>
        </w:rPr>
        <w:t xml:space="preserve"> </w:t>
      </w:r>
      <w:r>
        <w:rPr>
          <w:sz w:val="20"/>
        </w:rPr>
        <w:t>or</w:t>
      </w:r>
      <w:r>
        <w:rPr>
          <w:spacing w:val="-6"/>
          <w:sz w:val="20"/>
        </w:rPr>
        <w:t xml:space="preserve"> </w:t>
      </w:r>
      <w:r>
        <w:rPr>
          <w:sz w:val="20"/>
        </w:rPr>
        <w:t>disagree</w:t>
      </w:r>
      <w:r>
        <w:rPr>
          <w:spacing w:val="-4"/>
          <w:sz w:val="20"/>
        </w:rPr>
        <w:t xml:space="preserve"> </w:t>
      </w:r>
      <w:r>
        <w:rPr>
          <w:sz w:val="20"/>
        </w:rPr>
        <w:t>with</w:t>
      </w:r>
      <w:r>
        <w:rPr>
          <w:spacing w:val="-5"/>
          <w:sz w:val="20"/>
        </w:rPr>
        <w:t xml:space="preserve"> </w:t>
      </w:r>
      <w:r>
        <w:rPr>
          <w:sz w:val="20"/>
        </w:rPr>
        <w:t>each</w:t>
      </w:r>
      <w:r>
        <w:rPr>
          <w:spacing w:val="-4"/>
          <w:sz w:val="20"/>
        </w:rPr>
        <w:t xml:space="preserve"> </w:t>
      </w:r>
      <w:r>
        <w:rPr>
          <w:spacing w:val="-2"/>
          <w:sz w:val="20"/>
        </w:rPr>
        <w:t>statement.</w:t>
      </w:r>
    </w:p>
    <w:p w14:paraId="5585866B" w14:textId="77777777" w:rsidR="00DB6E1F" w:rsidRDefault="00DB6E1F">
      <w:pPr>
        <w:pStyle w:val="BodyText"/>
        <w:spacing w:before="9" w:after="1"/>
        <w:rPr>
          <w:sz w:val="9"/>
        </w:rPr>
      </w:pPr>
    </w:p>
    <w:tbl>
      <w:tblPr>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9"/>
        <w:gridCol w:w="991"/>
        <w:gridCol w:w="900"/>
        <w:gridCol w:w="989"/>
        <w:gridCol w:w="991"/>
        <w:gridCol w:w="989"/>
      </w:tblGrid>
      <w:tr w:rsidR="00DB6E1F" w14:paraId="3675628C" w14:textId="77777777">
        <w:trPr>
          <w:trHeight w:val="527"/>
        </w:trPr>
        <w:tc>
          <w:tcPr>
            <w:tcW w:w="4409" w:type="dxa"/>
          </w:tcPr>
          <w:p w14:paraId="7E828864" w14:textId="77777777" w:rsidR="00DB6E1F" w:rsidRDefault="00F666A6">
            <w:pPr>
              <w:pStyle w:val="TableParagraph"/>
              <w:ind w:left="1755" w:right="1749"/>
              <w:jc w:val="center"/>
              <w:rPr>
                <w:b/>
                <w:sz w:val="20"/>
              </w:rPr>
            </w:pPr>
            <w:r>
              <w:rPr>
                <w:b/>
                <w:spacing w:val="-2"/>
                <w:sz w:val="20"/>
              </w:rPr>
              <w:t>Statement</w:t>
            </w:r>
          </w:p>
        </w:tc>
        <w:tc>
          <w:tcPr>
            <w:tcW w:w="991" w:type="dxa"/>
          </w:tcPr>
          <w:p w14:paraId="70B75624" w14:textId="77777777" w:rsidR="00DB6E1F" w:rsidRDefault="00F666A6">
            <w:pPr>
              <w:pStyle w:val="TableParagraph"/>
              <w:ind w:left="150"/>
              <w:rPr>
                <w:b/>
                <w:sz w:val="20"/>
              </w:rPr>
            </w:pPr>
            <w:r>
              <w:rPr>
                <w:b/>
                <w:spacing w:val="-2"/>
                <w:sz w:val="20"/>
              </w:rPr>
              <w:t>Strongly</w:t>
            </w:r>
          </w:p>
          <w:p w14:paraId="44709FFC" w14:textId="77777777" w:rsidR="00DB6E1F" w:rsidRDefault="00F666A6">
            <w:pPr>
              <w:pStyle w:val="TableParagraph"/>
              <w:spacing w:before="20" w:line="242" w:lineRule="exact"/>
              <w:ind w:left="133"/>
              <w:rPr>
                <w:b/>
                <w:sz w:val="20"/>
              </w:rPr>
            </w:pPr>
            <w:r>
              <w:rPr>
                <w:b/>
                <w:spacing w:val="-2"/>
                <w:sz w:val="20"/>
              </w:rPr>
              <w:t>Disagree</w:t>
            </w:r>
          </w:p>
        </w:tc>
        <w:tc>
          <w:tcPr>
            <w:tcW w:w="900" w:type="dxa"/>
          </w:tcPr>
          <w:p w14:paraId="2FB65898" w14:textId="77777777" w:rsidR="00DB6E1F" w:rsidRDefault="00F666A6">
            <w:pPr>
              <w:pStyle w:val="TableParagraph"/>
              <w:ind w:left="6"/>
              <w:jc w:val="center"/>
              <w:rPr>
                <w:b/>
                <w:sz w:val="20"/>
              </w:rPr>
            </w:pPr>
            <w:r>
              <w:rPr>
                <w:b/>
                <w:spacing w:val="-2"/>
                <w:sz w:val="20"/>
              </w:rPr>
              <w:t>Disagree</w:t>
            </w:r>
          </w:p>
        </w:tc>
        <w:tc>
          <w:tcPr>
            <w:tcW w:w="989" w:type="dxa"/>
          </w:tcPr>
          <w:p w14:paraId="01719517" w14:textId="77777777" w:rsidR="00DB6E1F" w:rsidRDefault="00F666A6">
            <w:pPr>
              <w:pStyle w:val="TableParagraph"/>
              <w:ind w:left="34" w:right="28"/>
              <w:jc w:val="center"/>
              <w:rPr>
                <w:b/>
                <w:sz w:val="20"/>
              </w:rPr>
            </w:pPr>
            <w:r>
              <w:rPr>
                <w:b/>
                <w:spacing w:val="-2"/>
                <w:sz w:val="20"/>
              </w:rPr>
              <w:t>Undecided</w:t>
            </w:r>
          </w:p>
        </w:tc>
        <w:tc>
          <w:tcPr>
            <w:tcW w:w="991" w:type="dxa"/>
          </w:tcPr>
          <w:p w14:paraId="7D714CF9" w14:textId="77777777" w:rsidR="00DB6E1F" w:rsidRDefault="00F666A6">
            <w:pPr>
              <w:pStyle w:val="TableParagraph"/>
              <w:ind w:left="188" w:right="184"/>
              <w:jc w:val="center"/>
              <w:rPr>
                <w:b/>
                <w:sz w:val="20"/>
              </w:rPr>
            </w:pPr>
            <w:r>
              <w:rPr>
                <w:b/>
                <w:spacing w:val="-2"/>
                <w:sz w:val="20"/>
              </w:rPr>
              <w:t>Agree</w:t>
            </w:r>
          </w:p>
        </w:tc>
        <w:tc>
          <w:tcPr>
            <w:tcW w:w="989" w:type="dxa"/>
          </w:tcPr>
          <w:p w14:paraId="7EA2E072" w14:textId="77777777" w:rsidR="00DB6E1F" w:rsidRDefault="00F666A6">
            <w:pPr>
              <w:pStyle w:val="TableParagraph"/>
              <w:ind w:left="151"/>
              <w:rPr>
                <w:b/>
                <w:sz w:val="20"/>
              </w:rPr>
            </w:pPr>
            <w:r>
              <w:rPr>
                <w:b/>
                <w:spacing w:val="-2"/>
                <w:sz w:val="20"/>
              </w:rPr>
              <w:t>Strongly</w:t>
            </w:r>
          </w:p>
          <w:p w14:paraId="498961AF" w14:textId="77777777" w:rsidR="00DB6E1F" w:rsidRDefault="00F666A6">
            <w:pPr>
              <w:pStyle w:val="TableParagraph"/>
              <w:spacing w:before="20" w:line="242" w:lineRule="exact"/>
              <w:ind w:left="249"/>
              <w:rPr>
                <w:b/>
                <w:sz w:val="20"/>
              </w:rPr>
            </w:pPr>
            <w:r>
              <w:rPr>
                <w:b/>
                <w:spacing w:val="-2"/>
                <w:sz w:val="20"/>
              </w:rPr>
              <w:t>Agree</w:t>
            </w:r>
          </w:p>
        </w:tc>
      </w:tr>
      <w:tr w:rsidR="00DB6E1F" w14:paraId="7FA3525D" w14:textId="77777777">
        <w:trPr>
          <w:trHeight w:val="527"/>
        </w:trPr>
        <w:tc>
          <w:tcPr>
            <w:tcW w:w="4409" w:type="dxa"/>
          </w:tcPr>
          <w:p w14:paraId="505264E2" w14:textId="77777777" w:rsidR="00DB6E1F" w:rsidRDefault="00F666A6">
            <w:pPr>
              <w:pStyle w:val="TableParagraph"/>
              <w:ind w:left="95"/>
              <w:rPr>
                <w:sz w:val="20"/>
              </w:rPr>
            </w:pPr>
            <w:r>
              <w:rPr>
                <w:color w:val="4D4D4F"/>
                <w:sz w:val="20"/>
              </w:rPr>
              <w:t>1.</w:t>
            </w:r>
            <w:r>
              <w:rPr>
                <w:color w:val="4D4D4F"/>
                <w:spacing w:val="44"/>
                <w:sz w:val="20"/>
              </w:rPr>
              <w:t xml:space="preserve">  </w:t>
            </w:r>
            <w:r>
              <w:rPr>
                <w:sz w:val="20"/>
              </w:rPr>
              <w:t>As</w:t>
            </w:r>
            <w:r>
              <w:rPr>
                <w:spacing w:val="-2"/>
                <w:sz w:val="20"/>
              </w:rPr>
              <w:t xml:space="preserve"> </w:t>
            </w:r>
            <w:r>
              <w:rPr>
                <w:sz w:val="20"/>
              </w:rPr>
              <w:t>far as</w:t>
            </w:r>
            <w:r>
              <w:rPr>
                <w:spacing w:val="-2"/>
                <w:sz w:val="20"/>
              </w:rPr>
              <w:t xml:space="preserve"> </w:t>
            </w:r>
            <w:r>
              <w:rPr>
                <w:sz w:val="20"/>
              </w:rPr>
              <w:t>I’m</w:t>
            </w:r>
            <w:r>
              <w:rPr>
                <w:spacing w:val="-1"/>
                <w:sz w:val="20"/>
              </w:rPr>
              <w:t xml:space="preserve"> </w:t>
            </w:r>
            <w:r>
              <w:rPr>
                <w:sz w:val="20"/>
              </w:rPr>
              <w:t>concerned, I</w:t>
            </w:r>
            <w:r>
              <w:rPr>
                <w:spacing w:val="-1"/>
                <w:sz w:val="20"/>
              </w:rPr>
              <w:t xml:space="preserve"> </w:t>
            </w:r>
            <w:r>
              <w:rPr>
                <w:sz w:val="20"/>
              </w:rPr>
              <w:t>don’t have</w:t>
            </w:r>
            <w:r>
              <w:rPr>
                <w:spacing w:val="-2"/>
                <w:sz w:val="20"/>
              </w:rPr>
              <w:t xml:space="preserve"> </w:t>
            </w:r>
            <w:r>
              <w:rPr>
                <w:spacing w:val="-5"/>
                <w:sz w:val="20"/>
              </w:rPr>
              <w:t>any</w:t>
            </w:r>
          </w:p>
          <w:p w14:paraId="03F50BA5" w14:textId="77777777" w:rsidR="00DB6E1F" w:rsidRDefault="00F666A6">
            <w:pPr>
              <w:pStyle w:val="TableParagraph"/>
              <w:spacing w:before="20" w:line="242" w:lineRule="exact"/>
              <w:ind w:left="455"/>
              <w:rPr>
                <w:sz w:val="20"/>
              </w:rPr>
            </w:pPr>
            <w:r>
              <w:rPr>
                <w:sz w:val="20"/>
              </w:rPr>
              <w:t>problems</w:t>
            </w:r>
            <w:r>
              <w:rPr>
                <w:spacing w:val="-8"/>
                <w:sz w:val="20"/>
              </w:rPr>
              <w:t xml:space="preserve"> </w:t>
            </w:r>
            <w:r>
              <w:rPr>
                <w:sz w:val="20"/>
              </w:rPr>
              <w:t>that</w:t>
            </w:r>
            <w:r>
              <w:rPr>
                <w:spacing w:val="-7"/>
                <w:sz w:val="20"/>
              </w:rPr>
              <w:t xml:space="preserve"> </w:t>
            </w:r>
            <w:r>
              <w:rPr>
                <w:sz w:val="20"/>
              </w:rPr>
              <w:t>need</w:t>
            </w:r>
            <w:r>
              <w:rPr>
                <w:spacing w:val="-6"/>
                <w:sz w:val="20"/>
              </w:rPr>
              <w:t xml:space="preserve"> </w:t>
            </w:r>
            <w:r>
              <w:rPr>
                <w:spacing w:val="-2"/>
                <w:sz w:val="20"/>
              </w:rPr>
              <w:t>changing.</w:t>
            </w:r>
          </w:p>
        </w:tc>
        <w:tc>
          <w:tcPr>
            <w:tcW w:w="991" w:type="dxa"/>
          </w:tcPr>
          <w:p w14:paraId="6ACC6EBD" w14:textId="77777777" w:rsidR="00DB6E1F" w:rsidRDefault="00F666A6">
            <w:pPr>
              <w:pStyle w:val="TableParagraph"/>
              <w:ind w:left="7"/>
              <w:jc w:val="center"/>
              <w:rPr>
                <w:sz w:val="20"/>
              </w:rPr>
            </w:pPr>
            <w:r>
              <w:rPr>
                <w:w w:val="99"/>
                <w:sz w:val="20"/>
              </w:rPr>
              <w:t>1</w:t>
            </w:r>
          </w:p>
        </w:tc>
        <w:tc>
          <w:tcPr>
            <w:tcW w:w="900" w:type="dxa"/>
          </w:tcPr>
          <w:p w14:paraId="3FC13289" w14:textId="77777777" w:rsidR="00DB6E1F" w:rsidRDefault="00F666A6">
            <w:pPr>
              <w:pStyle w:val="TableParagraph"/>
              <w:ind w:left="7"/>
              <w:jc w:val="center"/>
              <w:rPr>
                <w:sz w:val="20"/>
              </w:rPr>
            </w:pPr>
            <w:r>
              <w:rPr>
                <w:w w:val="99"/>
                <w:sz w:val="20"/>
              </w:rPr>
              <w:t>2</w:t>
            </w:r>
          </w:p>
        </w:tc>
        <w:tc>
          <w:tcPr>
            <w:tcW w:w="989" w:type="dxa"/>
          </w:tcPr>
          <w:p w14:paraId="71BC7E91" w14:textId="77777777" w:rsidR="00DB6E1F" w:rsidRDefault="00F666A6">
            <w:pPr>
              <w:pStyle w:val="TableParagraph"/>
              <w:ind w:left="9"/>
              <w:jc w:val="center"/>
              <w:rPr>
                <w:sz w:val="20"/>
              </w:rPr>
            </w:pPr>
            <w:r>
              <w:rPr>
                <w:w w:val="99"/>
                <w:sz w:val="20"/>
              </w:rPr>
              <w:t>3</w:t>
            </w:r>
          </w:p>
        </w:tc>
        <w:tc>
          <w:tcPr>
            <w:tcW w:w="991" w:type="dxa"/>
          </w:tcPr>
          <w:p w14:paraId="675087D8" w14:textId="77777777" w:rsidR="00DB6E1F" w:rsidRDefault="00F666A6">
            <w:pPr>
              <w:pStyle w:val="TableParagraph"/>
              <w:ind w:left="7"/>
              <w:jc w:val="center"/>
              <w:rPr>
                <w:sz w:val="20"/>
              </w:rPr>
            </w:pPr>
            <w:r>
              <w:rPr>
                <w:w w:val="99"/>
                <w:sz w:val="20"/>
              </w:rPr>
              <w:t>4</w:t>
            </w:r>
          </w:p>
        </w:tc>
        <w:tc>
          <w:tcPr>
            <w:tcW w:w="989" w:type="dxa"/>
          </w:tcPr>
          <w:p w14:paraId="17785D63" w14:textId="77777777" w:rsidR="00DB6E1F" w:rsidRDefault="00F666A6">
            <w:pPr>
              <w:pStyle w:val="TableParagraph"/>
              <w:ind w:left="9"/>
              <w:jc w:val="center"/>
              <w:rPr>
                <w:sz w:val="20"/>
              </w:rPr>
            </w:pPr>
            <w:r>
              <w:rPr>
                <w:w w:val="99"/>
                <w:sz w:val="20"/>
              </w:rPr>
              <w:t>5</w:t>
            </w:r>
          </w:p>
        </w:tc>
      </w:tr>
      <w:tr w:rsidR="00DB6E1F" w14:paraId="3C54AFB8" w14:textId="77777777">
        <w:trPr>
          <w:trHeight w:val="525"/>
        </w:trPr>
        <w:tc>
          <w:tcPr>
            <w:tcW w:w="4409" w:type="dxa"/>
          </w:tcPr>
          <w:p w14:paraId="379BAADA" w14:textId="77777777" w:rsidR="00DB6E1F" w:rsidRDefault="00F666A6">
            <w:pPr>
              <w:pStyle w:val="TableParagraph"/>
              <w:ind w:left="95"/>
              <w:rPr>
                <w:sz w:val="20"/>
              </w:rPr>
            </w:pPr>
            <w:r>
              <w:rPr>
                <w:color w:val="4D4D4F"/>
                <w:sz w:val="20"/>
              </w:rPr>
              <w:t>2.</w:t>
            </w:r>
            <w:r>
              <w:rPr>
                <w:color w:val="4D4D4F"/>
                <w:spacing w:val="43"/>
                <w:sz w:val="20"/>
              </w:rPr>
              <w:t xml:space="preserve">  </w:t>
            </w:r>
            <w:r>
              <w:rPr>
                <w:sz w:val="20"/>
              </w:rPr>
              <w:t>I</w:t>
            </w:r>
            <w:r>
              <w:rPr>
                <w:spacing w:val="1"/>
                <w:sz w:val="20"/>
              </w:rPr>
              <w:t xml:space="preserve"> </w:t>
            </w:r>
            <w:r>
              <w:rPr>
                <w:sz w:val="20"/>
              </w:rPr>
              <w:t>think I might</w:t>
            </w:r>
            <w:r>
              <w:rPr>
                <w:spacing w:val="-1"/>
                <w:sz w:val="20"/>
              </w:rPr>
              <w:t xml:space="preserve"> </w:t>
            </w:r>
            <w:r>
              <w:rPr>
                <w:sz w:val="20"/>
              </w:rPr>
              <w:t>be</w:t>
            </w:r>
            <w:r>
              <w:rPr>
                <w:spacing w:val="-2"/>
                <w:sz w:val="20"/>
              </w:rPr>
              <w:t xml:space="preserve"> </w:t>
            </w:r>
            <w:r>
              <w:rPr>
                <w:sz w:val="20"/>
              </w:rPr>
              <w:t>ready</w:t>
            </w:r>
            <w:r>
              <w:rPr>
                <w:spacing w:val="1"/>
                <w:sz w:val="20"/>
              </w:rPr>
              <w:t xml:space="preserve"> </w:t>
            </w:r>
            <w:r>
              <w:rPr>
                <w:sz w:val="20"/>
              </w:rPr>
              <w:t>for</w:t>
            </w:r>
            <w:r>
              <w:rPr>
                <w:spacing w:val="-1"/>
                <w:sz w:val="20"/>
              </w:rPr>
              <w:t xml:space="preserve"> </w:t>
            </w:r>
            <w:r>
              <w:rPr>
                <w:sz w:val="20"/>
              </w:rPr>
              <w:t>some</w:t>
            </w:r>
            <w:r>
              <w:rPr>
                <w:spacing w:val="-2"/>
                <w:sz w:val="20"/>
              </w:rPr>
              <w:t xml:space="preserve"> </w:t>
            </w:r>
            <w:r>
              <w:rPr>
                <w:spacing w:val="-4"/>
                <w:sz w:val="20"/>
              </w:rPr>
              <w:t>self-</w:t>
            </w:r>
          </w:p>
          <w:p w14:paraId="69F64AC7" w14:textId="77777777" w:rsidR="00DB6E1F" w:rsidRDefault="00F666A6">
            <w:pPr>
              <w:pStyle w:val="TableParagraph"/>
              <w:spacing w:before="20" w:line="240" w:lineRule="exact"/>
              <w:ind w:left="455"/>
              <w:rPr>
                <w:sz w:val="20"/>
              </w:rPr>
            </w:pPr>
            <w:r>
              <w:rPr>
                <w:spacing w:val="-2"/>
                <w:sz w:val="20"/>
              </w:rPr>
              <w:t>improvement.</w:t>
            </w:r>
          </w:p>
        </w:tc>
        <w:tc>
          <w:tcPr>
            <w:tcW w:w="991" w:type="dxa"/>
          </w:tcPr>
          <w:p w14:paraId="289FAF7A" w14:textId="77777777" w:rsidR="00DB6E1F" w:rsidRDefault="00F666A6">
            <w:pPr>
              <w:pStyle w:val="TableParagraph"/>
              <w:ind w:left="7"/>
              <w:jc w:val="center"/>
              <w:rPr>
                <w:sz w:val="20"/>
              </w:rPr>
            </w:pPr>
            <w:r>
              <w:rPr>
                <w:w w:val="99"/>
                <w:sz w:val="20"/>
              </w:rPr>
              <w:t>1</w:t>
            </w:r>
          </w:p>
        </w:tc>
        <w:tc>
          <w:tcPr>
            <w:tcW w:w="900" w:type="dxa"/>
          </w:tcPr>
          <w:p w14:paraId="111BA67A" w14:textId="77777777" w:rsidR="00DB6E1F" w:rsidRDefault="00F666A6">
            <w:pPr>
              <w:pStyle w:val="TableParagraph"/>
              <w:ind w:left="7"/>
              <w:jc w:val="center"/>
              <w:rPr>
                <w:sz w:val="20"/>
              </w:rPr>
            </w:pPr>
            <w:r>
              <w:rPr>
                <w:w w:val="99"/>
                <w:sz w:val="20"/>
              </w:rPr>
              <w:t>2</w:t>
            </w:r>
          </w:p>
        </w:tc>
        <w:tc>
          <w:tcPr>
            <w:tcW w:w="989" w:type="dxa"/>
          </w:tcPr>
          <w:p w14:paraId="6CCE50E9" w14:textId="77777777" w:rsidR="00DB6E1F" w:rsidRDefault="00F666A6">
            <w:pPr>
              <w:pStyle w:val="TableParagraph"/>
              <w:ind w:left="9"/>
              <w:jc w:val="center"/>
              <w:rPr>
                <w:sz w:val="20"/>
              </w:rPr>
            </w:pPr>
            <w:r>
              <w:rPr>
                <w:w w:val="99"/>
                <w:sz w:val="20"/>
              </w:rPr>
              <w:t>3</w:t>
            </w:r>
          </w:p>
        </w:tc>
        <w:tc>
          <w:tcPr>
            <w:tcW w:w="991" w:type="dxa"/>
          </w:tcPr>
          <w:p w14:paraId="4202FC7F" w14:textId="77777777" w:rsidR="00DB6E1F" w:rsidRDefault="00F666A6">
            <w:pPr>
              <w:pStyle w:val="TableParagraph"/>
              <w:ind w:left="7"/>
              <w:jc w:val="center"/>
              <w:rPr>
                <w:sz w:val="20"/>
              </w:rPr>
            </w:pPr>
            <w:r>
              <w:rPr>
                <w:w w:val="99"/>
                <w:sz w:val="20"/>
              </w:rPr>
              <w:t>4</w:t>
            </w:r>
          </w:p>
        </w:tc>
        <w:tc>
          <w:tcPr>
            <w:tcW w:w="989" w:type="dxa"/>
          </w:tcPr>
          <w:p w14:paraId="079D65BD" w14:textId="77777777" w:rsidR="00DB6E1F" w:rsidRDefault="00F666A6">
            <w:pPr>
              <w:pStyle w:val="TableParagraph"/>
              <w:ind w:left="9"/>
              <w:jc w:val="center"/>
              <w:rPr>
                <w:sz w:val="20"/>
              </w:rPr>
            </w:pPr>
            <w:r>
              <w:rPr>
                <w:w w:val="99"/>
                <w:sz w:val="20"/>
              </w:rPr>
              <w:t>5</w:t>
            </w:r>
          </w:p>
        </w:tc>
      </w:tr>
      <w:tr w:rsidR="00DB6E1F" w14:paraId="1B276F42" w14:textId="77777777">
        <w:trPr>
          <w:trHeight w:val="527"/>
        </w:trPr>
        <w:tc>
          <w:tcPr>
            <w:tcW w:w="4409" w:type="dxa"/>
          </w:tcPr>
          <w:p w14:paraId="17E5F831" w14:textId="77777777" w:rsidR="00DB6E1F" w:rsidRDefault="00F666A6">
            <w:pPr>
              <w:pStyle w:val="TableParagraph"/>
              <w:spacing w:before="3"/>
              <w:ind w:left="95"/>
              <w:rPr>
                <w:sz w:val="20"/>
              </w:rPr>
            </w:pPr>
            <w:r>
              <w:rPr>
                <w:color w:val="4D4D4F"/>
                <w:sz w:val="20"/>
              </w:rPr>
              <w:t>3.</w:t>
            </w:r>
            <w:r>
              <w:rPr>
                <w:color w:val="4D4D4F"/>
                <w:spacing w:val="42"/>
                <w:sz w:val="20"/>
              </w:rPr>
              <w:t xml:space="preserve">  </w:t>
            </w:r>
            <w:r>
              <w:rPr>
                <w:sz w:val="20"/>
              </w:rPr>
              <w:t>I</w:t>
            </w:r>
            <w:r>
              <w:rPr>
                <w:spacing w:val="-1"/>
                <w:sz w:val="20"/>
              </w:rPr>
              <w:t xml:space="preserve"> </w:t>
            </w:r>
            <w:r>
              <w:rPr>
                <w:sz w:val="20"/>
              </w:rPr>
              <w:t>am</w:t>
            </w:r>
            <w:r>
              <w:rPr>
                <w:spacing w:val="-3"/>
                <w:sz w:val="20"/>
              </w:rPr>
              <w:t xml:space="preserve"> </w:t>
            </w:r>
            <w:r>
              <w:rPr>
                <w:sz w:val="20"/>
              </w:rPr>
              <w:t>doing</w:t>
            </w:r>
            <w:r>
              <w:rPr>
                <w:spacing w:val="-1"/>
                <w:sz w:val="20"/>
              </w:rPr>
              <w:t xml:space="preserve"> </w:t>
            </w:r>
            <w:r>
              <w:rPr>
                <w:sz w:val="20"/>
              </w:rPr>
              <w:t>something</w:t>
            </w:r>
            <w:r>
              <w:rPr>
                <w:spacing w:val="-1"/>
                <w:sz w:val="20"/>
              </w:rPr>
              <w:t xml:space="preserve"> </w:t>
            </w:r>
            <w:r>
              <w:rPr>
                <w:sz w:val="20"/>
              </w:rPr>
              <w:t>about</w:t>
            </w:r>
            <w:r>
              <w:rPr>
                <w:spacing w:val="-2"/>
                <w:sz w:val="20"/>
              </w:rPr>
              <w:t xml:space="preserve"> </w:t>
            </w:r>
            <w:r>
              <w:rPr>
                <w:sz w:val="20"/>
              </w:rPr>
              <w:t>the</w:t>
            </w:r>
            <w:r>
              <w:rPr>
                <w:spacing w:val="-2"/>
                <w:sz w:val="20"/>
              </w:rPr>
              <w:t xml:space="preserve"> </w:t>
            </w:r>
            <w:r>
              <w:rPr>
                <w:sz w:val="20"/>
              </w:rPr>
              <w:t>problems</w:t>
            </w:r>
            <w:r>
              <w:rPr>
                <w:spacing w:val="-3"/>
                <w:sz w:val="20"/>
              </w:rPr>
              <w:t xml:space="preserve"> </w:t>
            </w:r>
            <w:r>
              <w:rPr>
                <w:spacing w:val="-4"/>
                <w:sz w:val="20"/>
              </w:rPr>
              <w:t>that</w:t>
            </w:r>
          </w:p>
          <w:p w14:paraId="6C6F3B2D" w14:textId="77777777" w:rsidR="00DB6E1F" w:rsidRDefault="00F666A6">
            <w:pPr>
              <w:pStyle w:val="TableParagraph"/>
              <w:spacing w:before="18" w:line="242" w:lineRule="exact"/>
              <w:ind w:left="455"/>
              <w:rPr>
                <w:sz w:val="20"/>
              </w:rPr>
            </w:pPr>
            <w:r>
              <w:rPr>
                <w:sz w:val="20"/>
              </w:rPr>
              <w:t>had</w:t>
            </w:r>
            <w:r>
              <w:rPr>
                <w:spacing w:val="-6"/>
                <w:sz w:val="20"/>
              </w:rPr>
              <w:t xml:space="preserve"> </w:t>
            </w:r>
            <w:r>
              <w:rPr>
                <w:sz w:val="20"/>
              </w:rPr>
              <w:t>been</w:t>
            </w:r>
            <w:r>
              <w:rPr>
                <w:spacing w:val="-5"/>
                <w:sz w:val="20"/>
              </w:rPr>
              <w:t xml:space="preserve"> </w:t>
            </w:r>
            <w:r>
              <w:rPr>
                <w:sz w:val="20"/>
              </w:rPr>
              <w:t>bothering</w:t>
            </w:r>
            <w:r>
              <w:rPr>
                <w:spacing w:val="-7"/>
                <w:sz w:val="20"/>
              </w:rPr>
              <w:t xml:space="preserve"> </w:t>
            </w:r>
            <w:r>
              <w:rPr>
                <w:spacing w:val="-5"/>
                <w:sz w:val="20"/>
              </w:rPr>
              <w:t>me.</w:t>
            </w:r>
          </w:p>
        </w:tc>
        <w:tc>
          <w:tcPr>
            <w:tcW w:w="991" w:type="dxa"/>
          </w:tcPr>
          <w:p w14:paraId="023E2337" w14:textId="77777777" w:rsidR="00DB6E1F" w:rsidRDefault="00F666A6">
            <w:pPr>
              <w:pStyle w:val="TableParagraph"/>
              <w:spacing w:before="3"/>
              <w:ind w:left="7"/>
              <w:jc w:val="center"/>
              <w:rPr>
                <w:sz w:val="20"/>
              </w:rPr>
            </w:pPr>
            <w:r>
              <w:rPr>
                <w:w w:val="99"/>
                <w:sz w:val="20"/>
              </w:rPr>
              <w:t>1</w:t>
            </w:r>
          </w:p>
        </w:tc>
        <w:tc>
          <w:tcPr>
            <w:tcW w:w="900" w:type="dxa"/>
          </w:tcPr>
          <w:p w14:paraId="24D99DD2" w14:textId="77777777" w:rsidR="00DB6E1F" w:rsidRDefault="00F666A6">
            <w:pPr>
              <w:pStyle w:val="TableParagraph"/>
              <w:spacing w:before="3"/>
              <w:ind w:left="7"/>
              <w:jc w:val="center"/>
              <w:rPr>
                <w:sz w:val="20"/>
              </w:rPr>
            </w:pPr>
            <w:r>
              <w:rPr>
                <w:w w:val="99"/>
                <w:sz w:val="20"/>
              </w:rPr>
              <w:t>2</w:t>
            </w:r>
          </w:p>
        </w:tc>
        <w:tc>
          <w:tcPr>
            <w:tcW w:w="989" w:type="dxa"/>
          </w:tcPr>
          <w:p w14:paraId="4B88348B" w14:textId="77777777" w:rsidR="00DB6E1F" w:rsidRDefault="00F666A6">
            <w:pPr>
              <w:pStyle w:val="TableParagraph"/>
              <w:spacing w:before="3"/>
              <w:ind w:left="9"/>
              <w:jc w:val="center"/>
              <w:rPr>
                <w:sz w:val="20"/>
              </w:rPr>
            </w:pPr>
            <w:r>
              <w:rPr>
                <w:w w:val="99"/>
                <w:sz w:val="20"/>
              </w:rPr>
              <w:t>3</w:t>
            </w:r>
          </w:p>
        </w:tc>
        <w:tc>
          <w:tcPr>
            <w:tcW w:w="991" w:type="dxa"/>
          </w:tcPr>
          <w:p w14:paraId="43548C44" w14:textId="77777777" w:rsidR="00DB6E1F" w:rsidRDefault="00F666A6">
            <w:pPr>
              <w:pStyle w:val="TableParagraph"/>
              <w:spacing w:before="3"/>
              <w:ind w:left="7"/>
              <w:jc w:val="center"/>
              <w:rPr>
                <w:sz w:val="20"/>
              </w:rPr>
            </w:pPr>
            <w:r>
              <w:rPr>
                <w:w w:val="99"/>
                <w:sz w:val="20"/>
              </w:rPr>
              <w:t>4</w:t>
            </w:r>
          </w:p>
        </w:tc>
        <w:tc>
          <w:tcPr>
            <w:tcW w:w="989" w:type="dxa"/>
          </w:tcPr>
          <w:p w14:paraId="1D95E964" w14:textId="77777777" w:rsidR="00DB6E1F" w:rsidRDefault="00F666A6">
            <w:pPr>
              <w:pStyle w:val="TableParagraph"/>
              <w:spacing w:before="3"/>
              <w:ind w:left="9"/>
              <w:jc w:val="center"/>
              <w:rPr>
                <w:sz w:val="20"/>
              </w:rPr>
            </w:pPr>
            <w:r>
              <w:rPr>
                <w:w w:val="99"/>
                <w:sz w:val="20"/>
              </w:rPr>
              <w:t>5</w:t>
            </w:r>
          </w:p>
        </w:tc>
      </w:tr>
      <w:tr w:rsidR="00DB6E1F" w14:paraId="1CF3262A" w14:textId="77777777">
        <w:trPr>
          <w:trHeight w:val="263"/>
        </w:trPr>
        <w:tc>
          <w:tcPr>
            <w:tcW w:w="4409" w:type="dxa"/>
          </w:tcPr>
          <w:p w14:paraId="52E3E6DB" w14:textId="77777777" w:rsidR="00DB6E1F" w:rsidRDefault="00F666A6">
            <w:pPr>
              <w:pStyle w:val="TableParagraph"/>
              <w:spacing w:line="242" w:lineRule="exact"/>
              <w:ind w:left="95"/>
              <w:rPr>
                <w:sz w:val="20"/>
              </w:rPr>
            </w:pPr>
            <w:r>
              <w:rPr>
                <w:color w:val="4D4D4F"/>
                <w:sz w:val="20"/>
              </w:rPr>
              <w:t>4.</w:t>
            </w:r>
            <w:r>
              <w:rPr>
                <w:color w:val="4D4D4F"/>
                <w:spacing w:val="44"/>
                <w:sz w:val="20"/>
              </w:rPr>
              <w:t xml:space="preserve">  </w:t>
            </w:r>
            <w:r>
              <w:rPr>
                <w:sz w:val="20"/>
              </w:rPr>
              <w:t>It</w:t>
            </w:r>
            <w:r>
              <w:rPr>
                <w:spacing w:val="-1"/>
                <w:sz w:val="20"/>
              </w:rPr>
              <w:t xml:space="preserve"> </w:t>
            </w:r>
            <w:r>
              <w:rPr>
                <w:sz w:val="20"/>
              </w:rPr>
              <w:t>might be</w:t>
            </w:r>
            <w:r>
              <w:rPr>
                <w:spacing w:val="-2"/>
                <w:sz w:val="20"/>
              </w:rPr>
              <w:t xml:space="preserve"> </w:t>
            </w:r>
            <w:r>
              <w:rPr>
                <w:sz w:val="20"/>
              </w:rPr>
              <w:t>worthwhile</w:t>
            </w:r>
            <w:r>
              <w:rPr>
                <w:spacing w:val="-2"/>
                <w:sz w:val="20"/>
              </w:rPr>
              <w:t xml:space="preserve"> </w:t>
            </w:r>
            <w:r>
              <w:rPr>
                <w:sz w:val="20"/>
              </w:rPr>
              <w:t>to work on</w:t>
            </w:r>
            <w:r>
              <w:rPr>
                <w:spacing w:val="1"/>
                <w:sz w:val="20"/>
              </w:rPr>
              <w:t xml:space="preserve"> </w:t>
            </w:r>
            <w:r>
              <w:rPr>
                <w:sz w:val="20"/>
              </w:rPr>
              <w:t xml:space="preserve">my </w:t>
            </w:r>
            <w:r>
              <w:rPr>
                <w:spacing w:val="-2"/>
                <w:sz w:val="20"/>
              </w:rPr>
              <w:t>problem.</w:t>
            </w:r>
          </w:p>
        </w:tc>
        <w:tc>
          <w:tcPr>
            <w:tcW w:w="991" w:type="dxa"/>
          </w:tcPr>
          <w:p w14:paraId="0C1C3C06" w14:textId="77777777" w:rsidR="00DB6E1F" w:rsidRDefault="00F666A6">
            <w:pPr>
              <w:pStyle w:val="TableParagraph"/>
              <w:spacing w:line="242" w:lineRule="exact"/>
              <w:ind w:left="7"/>
              <w:jc w:val="center"/>
              <w:rPr>
                <w:sz w:val="20"/>
              </w:rPr>
            </w:pPr>
            <w:r>
              <w:rPr>
                <w:w w:val="99"/>
                <w:sz w:val="20"/>
              </w:rPr>
              <w:t>1</w:t>
            </w:r>
          </w:p>
        </w:tc>
        <w:tc>
          <w:tcPr>
            <w:tcW w:w="900" w:type="dxa"/>
          </w:tcPr>
          <w:p w14:paraId="32376B34" w14:textId="77777777" w:rsidR="00DB6E1F" w:rsidRDefault="00F666A6">
            <w:pPr>
              <w:pStyle w:val="TableParagraph"/>
              <w:spacing w:line="242" w:lineRule="exact"/>
              <w:ind w:left="7"/>
              <w:jc w:val="center"/>
              <w:rPr>
                <w:sz w:val="20"/>
              </w:rPr>
            </w:pPr>
            <w:r>
              <w:rPr>
                <w:w w:val="99"/>
                <w:sz w:val="20"/>
              </w:rPr>
              <w:t>2</w:t>
            </w:r>
          </w:p>
        </w:tc>
        <w:tc>
          <w:tcPr>
            <w:tcW w:w="989" w:type="dxa"/>
          </w:tcPr>
          <w:p w14:paraId="13186623" w14:textId="77777777" w:rsidR="00DB6E1F" w:rsidRDefault="00F666A6">
            <w:pPr>
              <w:pStyle w:val="TableParagraph"/>
              <w:spacing w:line="242" w:lineRule="exact"/>
              <w:ind w:left="9"/>
              <w:jc w:val="center"/>
              <w:rPr>
                <w:sz w:val="20"/>
              </w:rPr>
            </w:pPr>
            <w:r>
              <w:rPr>
                <w:w w:val="99"/>
                <w:sz w:val="20"/>
              </w:rPr>
              <w:t>3</w:t>
            </w:r>
          </w:p>
        </w:tc>
        <w:tc>
          <w:tcPr>
            <w:tcW w:w="991" w:type="dxa"/>
          </w:tcPr>
          <w:p w14:paraId="2A1301B1" w14:textId="77777777" w:rsidR="00DB6E1F" w:rsidRDefault="00F666A6">
            <w:pPr>
              <w:pStyle w:val="TableParagraph"/>
              <w:spacing w:line="242" w:lineRule="exact"/>
              <w:ind w:left="7"/>
              <w:jc w:val="center"/>
              <w:rPr>
                <w:sz w:val="20"/>
              </w:rPr>
            </w:pPr>
            <w:r>
              <w:rPr>
                <w:w w:val="99"/>
                <w:sz w:val="20"/>
              </w:rPr>
              <w:t>4</w:t>
            </w:r>
          </w:p>
        </w:tc>
        <w:tc>
          <w:tcPr>
            <w:tcW w:w="989" w:type="dxa"/>
          </w:tcPr>
          <w:p w14:paraId="3634A6E3" w14:textId="77777777" w:rsidR="00DB6E1F" w:rsidRDefault="00F666A6">
            <w:pPr>
              <w:pStyle w:val="TableParagraph"/>
              <w:spacing w:line="242" w:lineRule="exact"/>
              <w:ind w:left="9"/>
              <w:jc w:val="center"/>
              <w:rPr>
                <w:sz w:val="20"/>
              </w:rPr>
            </w:pPr>
            <w:r>
              <w:rPr>
                <w:w w:val="99"/>
                <w:sz w:val="20"/>
              </w:rPr>
              <w:t>5</w:t>
            </w:r>
          </w:p>
        </w:tc>
      </w:tr>
      <w:tr w:rsidR="00DB6E1F" w14:paraId="4D4D7005" w14:textId="77777777">
        <w:trPr>
          <w:trHeight w:val="527"/>
        </w:trPr>
        <w:tc>
          <w:tcPr>
            <w:tcW w:w="4409" w:type="dxa"/>
          </w:tcPr>
          <w:p w14:paraId="370BC89D" w14:textId="77777777" w:rsidR="00DB6E1F" w:rsidRDefault="00F666A6">
            <w:pPr>
              <w:pStyle w:val="TableParagraph"/>
              <w:ind w:left="95"/>
              <w:rPr>
                <w:sz w:val="20"/>
              </w:rPr>
            </w:pPr>
            <w:r>
              <w:rPr>
                <w:color w:val="4D4D4F"/>
                <w:sz w:val="20"/>
              </w:rPr>
              <w:t>5.</w:t>
            </w:r>
            <w:r>
              <w:rPr>
                <w:color w:val="4D4D4F"/>
                <w:spacing w:val="43"/>
                <w:sz w:val="20"/>
              </w:rPr>
              <w:t xml:space="preserve">  </w:t>
            </w:r>
            <w:r>
              <w:rPr>
                <w:sz w:val="20"/>
              </w:rPr>
              <w:t>I’m</w:t>
            </w:r>
            <w:r>
              <w:rPr>
                <w:spacing w:val="-2"/>
                <w:sz w:val="20"/>
              </w:rPr>
              <w:t xml:space="preserve"> </w:t>
            </w:r>
            <w:r>
              <w:rPr>
                <w:sz w:val="20"/>
              </w:rPr>
              <w:t>not</w:t>
            </w:r>
            <w:r>
              <w:rPr>
                <w:spacing w:val="-1"/>
                <w:sz w:val="20"/>
              </w:rPr>
              <w:t xml:space="preserve"> </w:t>
            </w:r>
            <w:r>
              <w:rPr>
                <w:sz w:val="20"/>
              </w:rPr>
              <w:t>the</w:t>
            </w:r>
            <w:r>
              <w:rPr>
                <w:spacing w:val="-2"/>
                <w:sz w:val="20"/>
              </w:rPr>
              <w:t xml:space="preserve"> </w:t>
            </w:r>
            <w:r>
              <w:rPr>
                <w:sz w:val="20"/>
              </w:rPr>
              <w:t>problem</w:t>
            </w:r>
            <w:r>
              <w:rPr>
                <w:spacing w:val="-2"/>
                <w:sz w:val="20"/>
              </w:rPr>
              <w:t xml:space="preserve"> </w:t>
            </w:r>
            <w:r>
              <w:rPr>
                <w:sz w:val="20"/>
              </w:rPr>
              <w:t>one.</w:t>
            </w:r>
            <w:r>
              <w:rPr>
                <w:spacing w:val="-1"/>
                <w:sz w:val="20"/>
              </w:rPr>
              <w:t xml:space="preserve"> </w:t>
            </w:r>
            <w:r>
              <w:rPr>
                <w:sz w:val="20"/>
              </w:rPr>
              <w:t>It</w:t>
            </w:r>
            <w:r>
              <w:rPr>
                <w:spacing w:val="-1"/>
                <w:sz w:val="20"/>
              </w:rPr>
              <w:t xml:space="preserve"> </w:t>
            </w:r>
            <w:r>
              <w:rPr>
                <w:sz w:val="20"/>
              </w:rPr>
              <w:t>doesn’t</w:t>
            </w:r>
            <w:r>
              <w:rPr>
                <w:spacing w:val="-2"/>
                <w:sz w:val="20"/>
              </w:rPr>
              <w:t xml:space="preserve"> </w:t>
            </w:r>
            <w:r>
              <w:rPr>
                <w:sz w:val="20"/>
              </w:rPr>
              <w:t>make</w:t>
            </w:r>
            <w:r>
              <w:rPr>
                <w:spacing w:val="1"/>
                <w:sz w:val="20"/>
              </w:rPr>
              <w:t xml:space="preserve"> </w:t>
            </w:r>
            <w:r>
              <w:rPr>
                <w:spacing w:val="-4"/>
                <w:sz w:val="20"/>
              </w:rPr>
              <w:t>much</w:t>
            </w:r>
          </w:p>
          <w:p w14:paraId="5A1C0115" w14:textId="77777777" w:rsidR="00DB6E1F" w:rsidRDefault="00F666A6">
            <w:pPr>
              <w:pStyle w:val="TableParagraph"/>
              <w:spacing w:before="20" w:line="242" w:lineRule="exact"/>
              <w:ind w:left="455"/>
              <w:rPr>
                <w:sz w:val="20"/>
              </w:rPr>
            </w:pPr>
            <w:r>
              <w:rPr>
                <w:sz w:val="20"/>
              </w:rPr>
              <w:t>sense</w:t>
            </w:r>
            <w:r>
              <w:rPr>
                <w:spacing w:val="-6"/>
                <w:sz w:val="20"/>
              </w:rPr>
              <w:t xml:space="preserve"> </w:t>
            </w:r>
            <w:r>
              <w:rPr>
                <w:sz w:val="20"/>
              </w:rPr>
              <w:t>for</w:t>
            </w:r>
            <w:r>
              <w:rPr>
                <w:spacing w:val="-1"/>
                <w:sz w:val="20"/>
              </w:rPr>
              <w:t xml:space="preserve"> </w:t>
            </w:r>
            <w:r>
              <w:rPr>
                <w:sz w:val="20"/>
              </w:rPr>
              <w:t>me</w:t>
            </w:r>
            <w:r>
              <w:rPr>
                <w:spacing w:val="-6"/>
                <w:sz w:val="20"/>
              </w:rPr>
              <w:t xml:space="preserve"> </w:t>
            </w:r>
            <w:r>
              <w:rPr>
                <w:sz w:val="20"/>
              </w:rPr>
              <w:t>to</w:t>
            </w:r>
            <w:r>
              <w:rPr>
                <w:spacing w:val="-3"/>
                <w:sz w:val="20"/>
              </w:rPr>
              <w:t xml:space="preserve"> </w:t>
            </w:r>
            <w:r>
              <w:rPr>
                <w:sz w:val="20"/>
              </w:rPr>
              <w:t>consider</w:t>
            </w:r>
            <w:r>
              <w:rPr>
                <w:spacing w:val="-5"/>
                <w:sz w:val="20"/>
              </w:rPr>
              <w:t xml:space="preserve"> </w:t>
            </w:r>
            <w:r>
              <w:rPr>
                <w:spacing w:val="-2"/>
                <w:sz w:val="20"/>
              </w:rPr>
              <w:t>changing.</w:t>
            </w:r>
          </w:p>
        </w:tc>
        <w:tc>
          <w:tcPr>
            <w:tcW w:w="991" w:type="dxa"/>
          </w:tcPr>
          <w:p w14:paraId="7F62587E" w14:textId="77777777" w:rsidR="00DB6E1F" w:rsidRDefault="00F666A6">
            <w:pPr>
              <w:pStyle w:val="TableParagraph"/>
              <w:ind w:left="7"/>
              <w:jc w:val="center"/>
              <w:rPr>
                <w:sz w:val="20"/>
              </w:rPr>
            </w:pPr>
            <w:r>
              <w:rPr>
                <w:w w:val="99"/>
                <w:sz w:val="20"/>
              </w:rPr>
              <w:t>1</w:t>
            </w:r>
          </w:p>
        </w:tc>
        <w:tc>
          <w:tcPr>
            <w:tcW w:w="900" w:type="dxa"/>
          </w:tcPr>
          <w:p w14:paraId="7AE9E01E" w14:textId="77777777" w:rsidR="00DB6E1F" w:rsidRDefault="00F666A6">
            <w:pPr>
              <w:pStyle w:val="TableParagraph"/>
              <w:ind w:left="7"/>
              <w:jc w:val="center"/>
              <w:rPr>
                <w:sz w:val="20"/>
              </w:rPr>
            </w:pPr>
            <w:r>
              <w:rPr>
                <w:w w:val="99"/>
                <w:sz w:val="20"/>
              </w:rPr>
              <w:t>2</w:t>
            </w:r>
          </w:p>
        </w:tc>
        <w:tc>
          <w:tcPr>
            <w:tcW w:w="989" w:type="dxa"/>
          </w:tcPr>
          <w:p w14:paraId="7947D2F6" w14:textId="77777777" w:rsidR="00DB6E1F" w:rsidRDefault="00F666A6">
            <w:pPr>
              <w:pStyle w:val="TableParagraph"/>
              <w:ind w:left="9"/>
              <w:jc w:val="center"/>
              <w:rPr>
                <w:sz w:val="20"/>
              </w:rPr>
            </w:pPr>
            <w:r>
              <w:rPr>
                <w:w w:val="99"/>
                <w:sz w:val="20"/>
              </w:rPr>
              <w:t>3</w:t>
            </w:r>
          </w:p>
        </w:tc>
        <w:tc>
          <w:tcPr>
            <w:tcW w:w="991" w:type="dxa"/>
          </w:tcPr>
          <w:p w14:paraId="53750F24" w14:textId="77777777" w:rsidR="00DB6E1F" w:rsidRDefault="00F666A6">
            <w:pPr>
              <w:pStyle w:val="TableParagraph"/>
              <w:ind w:left="7"/>
              <w:jc w:val="center"/>
              <w:rPr>
                <w:sz w:val="20"/>
              </w:rPr>
            </w:pPr>
            <w:r>
              <w:rPr>
                <w:w w:val="99"/>
                <w:sz w:val="20"/>
              </w:rPr>
              <w:t>4</w:t>
            </w:r>
          </w:p>
        </w:tc>
        <w:tc>
          <w:tcPr>
            <w:tcW w:w="989" w:type="dxa"/>
          </w:tcPr>
          <w:p w14:paraId="4CD2C7F2" w14:textId="77777777" w:rsidR="00DB6E1F" w:rsidRDefault="00F666A6">
            <w:pPr>
              <w:pStyle w:val="TableParagraph"/>
              <w:ind w:left="9"/>
              <w:jc w:val="center"/>
              <w:rPr>
                <w:sz w:val="20"/>
              </w:rPr>
            </w:pPr>
            <w:r>
              <w:rPr>
                <w:w w:val="99"/>
                <w:sz w:val="20"/>
              </w:rPr>
              <w:t>5</w:t>
            </w:r>
          </w:p>
        </w:tc>
      </w:tr>
      <w:tr w:rsidR="00DB6E1F" w14:paraId="4FAEFA3C" w14:textId="77777777">
        <w:trPr>
          <w:trHeight w:val="525"/>
        </w:trPr>
        <w:tc>
          <w:tcPr>
            <w:tcW w:w="4409" w:type="dxa"/>
          </w:tcPr>
          <w:p w14:paraId="2ECF593E" w14:textId="77777777" w:rsidR="00DB6E1F" w:rsidRDefault="00F666A6">
            <w:pPr>
              <w:pStyle w:val="TableParagraph"/>
              <w:ind w:left="0" w:right="-15"/>
              <w:jc w:val="right"/>
              <w:rPr>
                <w:sz w:val="20"/>
              </w:rPr>
            </w:pPr>
            <w:r>
              <w:rPr>
                <w:color w:val="4D4D4F"/>
                <w:sz w:val="20"/>
              </w:rPr>
              <w:t>6.</w:t>
            </w:r>
            <w:r>
              <w:rPr>
                <w:color w:val="4D4D4F"/>
                <w:spacing w:val="43"/>
                <w:sz w:val="20"/>
              </w:rPr>
              <w:t xml:space="preserve">  </w:t>
            </w:r>
            <w:r>
              <w:rPr>
                <w:sz w:val="20"/>
              </w:rPr>
              <w:t>It</w:t>
            </w:r>
            <w:r>
              <w:rPr>
                <w:spacing w:val="-1"/>
                <w:sz w:val="20"/>
              </w:rPr>
              <w:t xml:space="preserve"> </w:t>
            </w:r>
            <w:r>
              <w:rPr>
                <w:sz w:val="20"/>
              </w:rPr>
              <w:t>worries</w:t>
            </w:r>
            <w:r>
              <w:rPr>
                <w:spacing w:val="-2"/>
                <w:sz w:val="20"/>
              </w:rPr>
              <w:t xml:space="preserve"> </w:t>
            </w:r>
            <w:r>
              <w:rPr>
                <w:sz w:val="20"/>
              </w:rPr>
              <w:t>me</w:t>
            </w:r>
            <w:r>
              <w:rPr>
                <w:spacing w:val="-2"/>
                <w:sz w:val="20"/>
              </w:rPr>
              <w:t xml:space="preserve"> </w:t>
            </w:r>
            <w:r>
              <w:rPr>
                <w:sz w:val="20"/>
              </w:rPr>
              <w:t>that</w:t>
            </w:r>
            <w:r>
              <w:rPr>
                <w:spacing w:val="-1"/>
                <w:sz w:val="20"/>
              </w:rPr>
              <w:t xml:space="preserve"> </w:t>
            </w:r>
            <w:r>
              <w:rPr>
                <w:sz w:val="20"/>
              </w:rPr>
              <w:t>I might</w:t>
            </w:r>
            <w:r>
              <w:rPr>
                <w:spacing w:val="2"/>
                <w:sz w:val="20"/>
              </w:rPr>
              <w:t xml:space="preserve"> </w:t>
            </w:r>
            <w:r>
              <w:rPr>
                <w:sz w:val="20"/>
              </w:rPr>
              <w:t>slip back on a</w:t>
            </w:r>
            <w:r>
              <w:rPr>
                <w:spacing w:val="-1"/>
                <w:sz w:val="20"/>
              </w:rPr>
              <w:t xml:space="preserve"> </w:t>
            </w:r>
            <w:r>
              <w:rPr>
                <w:spacing w:val="-2"/>
                <w:sz w:val="20"/>
              </w:rPr>
              <w:t>problem</w:t>
            </w:r>
          </w:p>
          <w:p w14:paraId="639F68CD" w14:textId="77777777" w:rsidR="00DB6E1F" w:rsidRDefault="00F666A6">
            <w:pPr>
              <w:pStyle w:val="TableParagraph"/>
              <w:spacing w:before="20" w:line="240" w:lineRule="exact"/>
              <w:ind w:left="0" w:right="29"/>
              <w:jc w:val="right"/>
              <w:rPr>
                <w:sz w:val="20"/>
              </w:rPr>
            </w:pPr>
            <w:r>
              <w:rPr>
                <w:sz w:val="20"/>
              </w:rPr>
              <w:t>I</w:t>
            </w:r>
            <w:r>
              <w:rPr>
                <w:spacing w:val="-5"/>
                <w:sz w:val="20"/>
              </w:rPr>
              <w:t xml:space="preserve"> </w:t>
            </w:r>
            <w:r>
              <w:rPr>
                <w:sz w:val="20"/>
              </w:rPr>
              <w:t>have</w:t>
            </w:r>
            <w:r>
              <w:rPr>
                <w:spacing w:val="-6"/>
                <w:sz w:val="20"/>
              </w:rPr>
              <w:t xml:space="preserve"> </w:t>
            </w:r>
            <w:r>
              <w:rPr>
                <w:sz w:val="20"/>
              </w:rPr>
              <w:t>already</w:t>
            </w:r>
            <w:r>
              <w:rPr>
                <w:spacing w:val="-4"/>
                <w:sz w:val="20"/>
              </w:rPr>
              <w:t xml:space="preserve"> </w:t>
            </w:r>
            <w:r>
              <w:rPr>
                <w:sz w:val="20"/>
              </w:rPr>
              <w:t>changed,</w:t>
            </w:r>
            <w:r>
              <w:rPr>
                <w:spacing w:val="-4"/>
                <w:sz w:val="20"/>
              </w:rPr>
              <w:t xml:space="preserve"> </w:t>
            </w:r>
            <w:r>
              <w:rPr>
                <w:sz w:val="20"/>
              </w:rPr>
              <w:t>so</w:t>
            </w:r>
            <w:r>
              <w:rPr>
                <w:spacing w:val="-4"/>
                <w:sz w:val="20"/>
              </w:rPr>
              <w:t xml:space="preserve"> </w:t>
            </w:r>
            <w:r>
              <w:rPr>
                <w:sz w:val="20"/>
              </w:rPr>
              <w:t>I</w:t>
            </w:r>
            <w:r>
              <w:rPr>
                <w:spacing w:val="-5"/>
                <w:sz w:val="20"/>
              </w:rPr>
              <w:t xml:space="preserve"> </w:t>
            </w:r>
            <w:r>
              <w:rPr>
                <w:sz w:val="20"/>
              </w:rPr>
              <w:t>am</w:t>
            </w:r>
            <w:r>
              <w:rPr>
                <w:spacing w:val="-6"/>
                <w:sz w:val="20"/>
              </w:rPr>
              <w:t xml:space="preserve"> </w:t>
            </w:r>
            <w:r>
              <w:rPr>
                <w:sz w:val="20"/>
              </w:rPr>
              <w:t>looking</w:t>
            </w:r>
            <w:r>
              <w:rPr>
                <w:spacing w:val="-5"/>
                <w:sz w:val="20"/>
              </w:rPr>
              <w:t xml:space="preserve"> </w:t>
            </w:r>
            <w:r>
              <w:rPr>
                <w:sz w:val="20"/>
              </w:rPr>
              <w:t>for</w:t>
            </w:r>
            <w:r>
              <w:rPr>
                <w:spacing w:val="-5"/>
                <w:sz w:val="20"/>
              </w:rPr>
              <w:t xml:space="preserve"> </w:t>
            </w:r>
            <w:r>
              <w:rPr>
                <w:spacing w:val="-4"/>
                <w:sz w:val="20"/>
              </w:rPr>
              <w:t>help.</w:t>
            </w:r>
          </w:p>
        </w:tc>
        <w:tc>
          <w:tcPr>
            <w:tcW w:w="991" w:type="dxa"/>
          </w:tcPr>
          <w:p w14:paraId="75847309" w14:textId="77777777" w:rsidR="00DB6E1F" w:rsidRDefault="00F666A6">
            <w:pPr>
              <w:pStyle w:val="TableParagraph"/>
              <w:ind w:left="7"/>
              <w:jc w:val="center"/>
              <w:rPr>
                <w:sz w:val="20"/>
              </w:rPr>
            </w:pPr>
            <w:r>
              <w:rPr>
                <w:w w:val="99"/>
                <w:sz w:val="20"/>
              </w:rPr>
              <w:t>1</w:t>
            </w:r>
          </w:p>
        </w:tc>
        <w:tc>
          <w:tcPr>
            <w:tcW w:w="900" w:type="dxa"/>
          </w:tcPr>
          <w:p w14:paraId="753E160E" w14:textId="77777777" w:rsidR="00DB6E1F" w:rsidRDefault="00F666A6">
            <w:pPr>
              <w:pStyle w:val="TableParagraph"/>
              <w:ind w:left="7"/>
              <w:jc w:val="center"/>
              <w:rPr>
                <w:sz w:val="20"/>
              </w:rPr>
            </w:pPr>
            <w:r>
              <w:rPr>
                <w:w w:val="99"/>
                <w:sz w:val="20"/>
              </w:rPr>
              <w:t>2</w:t>
            </w:r>
          </w:p>
        </w:tc>
        <w:tc>
          <w:tcPr>
            <w:tcW w:w="989" w:type="dxa"/>
          </w:tcPr>
          <w:p w14:paraId="69E1059A" w14:textId="77777777" w:rsidR="00DB6E1F" w:rsidRDefault="00F666A6">
            <w:pPr>
              <w:pStyle w:val="TableParagraph"/>
              <w:ind w:left="9"/>
              <w:jc w:val="center"/>
              <w:rPr>
                <w:sz w:val="20"/>
              </w:rPr>
            </w:pPr>
            <w:r>
              <w:rPr>
                <w:w w:val="99"/>
                <w:sz w:val="20"/>
              </w:rPr>
              <w:t>3</w:t>
            </w:r>
          </w:p>
        </w:tc>
        <w:tc>
          <w:tcPr>
            <w:tcW w:w="991" w:type="dxa"/>
          </w:tcPr>
          <w:p w14:paraId="78A0E226" w14:textId="77777777" w:rsidR="00DB6E1F" w:rsidRDefault="00F666A6">
            <w:pPr>
              <w:pStyle w:val="TableParagraph"/>
              <w:ind w:left="7"/>
              <w:jc w:val="center"/>
              <w:rPr>
                <w:sz w:val="20"/>
              </w:rPr>
            </w:pPr>
            <w:r>
              <w:rPr>
                <w:w w:val="99"/>
                <w:sz w:val="20"/>
              </w:rPr>
              <w:t>4</w:t>
            </w:r>
          </w:p>
        </w:tc>
        <w:tc>
          <w:tcPr>
            <w:tcW w:w="989" w:type="dxa"/>
          </w:tcPr>
          <w:p w14:paraId="4F10B9A6" w14:textId="77777777" w:rsidR="00DB6E1F" w:rsidRDefault="00F666A6">
            <w:pPr>
              <w:pStyle w:val="TableParagraph"/>
              <w:ind w:left="9"/>
              <w:jc w:val="center"/>
              <w:rPr>
                <w:sz w:val="20"/>
              </w:rPr>
            </w:pPr>
            <w:r>
              <w:rPr>
                <w:w w:val="99"/>
                <w:sz w:val="20"/>
              </w:rPr>
              <w:t>5</w:t>
            </w:r>
          </w:p>
        </w:tc>
      </w:tr>
      <w:tr w:rsidR="00DB6E1F" w14:paraId="43A62F0F" w14:textId="77777777">
        <w:trPr>
          <w:trHeight w:val="263"/>
        </w:trPr>
        <w:tc>
          <w:tcPr>
            <w:tcW w:w="4409" w:type="dxa"/>
          </w:tcPr>
          <w:p w14:paraId="06C29CFA" w14:textId="77777777" w:rsidR="00DB6E1F" w:rsidRDefault="00F666A6">
            <w:pPr>
              <w:pStyle w:val="TableParagraph"/>
              <w:spacing w:before="3" w:line="240" w:lineRule="exact"/>
              <w:ind w:left="95"/>
              <w:rPr>
                <w:sz w:val="20"/>
              </w:rPr>
            </w:pPr>
            <w:r>
              <w:rPr>
                <w:color w:val="4D4D4F"/>
                <w:sz w:val="20"/>
              </w:rPr>
              <w:t>7.</w:t>
            </w:r>
            <w:r>
              <w:rPr>
                <w:color w:val="4D4D4F"/>
                <w:spacing w:val="43"/>
                <w:sz w:val="20"/>
              </w:rPr>
              <w:t xml:space="preserve">  </w:t>
            </w:r>
            <w:r>
              <w:rPr>
                <w:sz w:val="20"/>
              </w:rPr>
              <w:t>I am</w:t>
            </w:r>
            <w:r>
              <w:rPr>
                <w:spacing w:val="-1"/>
                <w:sz w:val="20"/>
              </w:rPr>
              <w:t xml:space="preserve"> </w:t>
            </w:r>
            <w:r>
              <w:rPr>
                <w:sz w:val="20"/>
              </w:rPr>
              <w:t>finally doing</w:t>
            </w:r>
            <w:r>
              <w:rPr>
                <w:spacing w:val="-1"/>
                <w:sz w:val="20"/>
              </w:rPr>
              <w:t xml:space="preserve"> </w:t>
            </w:r>
            <w:r>
              <w:rPr>
                <w:sz w:val="20"/>
              </w:rPr>
              <w:t>some</w:t>
            </w:r>
            <w:r>
              <w:rPr>
                <w:spacing w:val="-2"/>
                <w:sz w:val="20"/>
              </w:rPr>
              <w:t xml:space="preserve"> </w:t>
            </w:r>
            <w:r>
              <w:rPr>
                <w:sz w:val="20"/>
              </w:rPr>
              <w:t>work</w:t>
            </w:r>
            <w:r>
              <w:rPr>
                <w:spacing w:val="3"/>
                <w:sz w:val="20"/>
              </w:rPr>
              <w:t xml:space="preserve"> </w:t>
            </w:r>
            <w:r>
              <w:rPr>
                <w:sz w:val="20"/>
              </w:rPr>
              <w:t xml:space="preserve">on my </w:t>
            </w:r>
            <w:r>
              <w:rPr>
                <w:spacing w:val="-2"/>
                <w:sz w:val="20"/>
              </w:rPr>
              <w:t>problem.</w:t>
            </w:r>
          </w:p>
        </w:tc>
        <w:tc>
          <w:tcPr>
            <w:tcW w:w="991" w:type="dxa"/>
          </w:tcPr>
          <w:p w14:paraId="730CD9BD" w14:textId="77777777" w:rsidR="00DB6E1F" w:rsidRDefault="00F666A6">
            <w:pPr>
              <w:pStyle w:val="TableParagraph"/>
              <w:spacing w:before="3" w:line="240" w:lineRule="exact"/>
              <w:ind w:left="7"/>
              <w:jc w:val="center"/>
              <w:rPr>
                <w:sz w:val="20"/>
              </w:rPr>
            </w:pPr>
            <w:r>
              <w:rPr>
                <w:w w:val="99"/>
                <w:sz w:val="20"/>
              </w:rPr>
              <w:t>1</w:t>
            </w:r>
          </w:p>
        </w:tc>
        <w:tc>
          <w:tcPr>
            <w:tcW w:w="900" w:type="dxa"/>
          </w:tcPr>
          <w:p w14:paraId="4F0A2D55" w14:textId="77777777" w:rsidR="00DB6E1F" w:rsidRDefault="00F666A6">
            <w:pPr>
              <w:pStyle w:val="TableParagraph"/>
              <w:spacing w:before="3" w:line="240" w:lineRule="exact"/>
              <w:ind w:left="7"/>
              <w:jc w:val="center"/>
              <w:rPr>
                <w:sz w:val="20"/>
              </w:rPr>
            </w:pPr>
            <w:r>
              <w:rPr>
                <w:w w:val="99"/>
                <w:sz w:val="20"/>
              </w:rPr>
              <w:t>2</w:t>
            </w:r>
          </w:p>
        </w:tc>
        <w:tc>
          <w:tcPr>
            <w:tcW w:w="989" w:type="dxa"/>
          </w:tcPr>
          <w:p w14:paraId="5479F184" w14:textId="77777777" w:rsidR="00DB6E1F" w:rsidRDefault="00F666A6">
            <w:pPr>
              <w:pStyle w:val="TableParagraph"/>
              <w:spacing w:before="3" w:line="240" w:lineRule="exact"/>
              <w:ind w:left="9"/>
              <w:jc w:val="center"/>
              <w:rPr>
                <w:sz w:val="20"/>
              </w:rPr>
            </w:pPr>
            <w:r>
              <w:rPr>
                <w:w w:val="99"/>
                <w:sz w:val="20"/>
              </w:rPr>
              <w:t>3</w:t>
            </w:r>
          </w:p>
        </w:tc>
        <w:tc>
          <w:tcPr>
            <w:tcW w:w="991" w:type="dxa"/>
          </w:tcPr>
          <w:p w14:paraId="65333469" w14:textId="77777777" w:rsidR="00DB6E1F" w:rsidRDefault="00F666A6">
            <w:pPr>
              <w:pStyle w:val="TableParagraph"/>
              <w:spacing w:before="3" w:line="240" w:lineRule="exact"/>
              <w:ind w:left="7"/>
              <w:jc w:val="center"/>
              <w:rPr>
                <w:sz w:val="20"/>
              </w:rPr>
            </w:pPr>
            <w:r>
              <w:rPr>
                <w:w w:val="99"/>
                <w:sz w:val="20"/>
              </w:rPr>
              <w:t>4</w:t>
            </w:r>
          </w:p>
        </w:tc>
        <w:tc>
          <w:tcPr>
            <w:tcW w:w="989" w:type="dxa"/>
          </w:tcPr>
          <w:p w14:paraId="786E89B7" w14:textId="77777777" w:rsidR="00DB6E1F" w:rsidRDefault="00F666A6">
            <w:pPr>
              <w:pStyle w:val="TableParagraph"/>
              <w:spacing w:before="3" w:line="240" w:lineRule="exact"/>
              <w:ind w:left="9"/>
              <w:jc w:val="center"/>
              <w:rPr>
                <w:sz w:val="20"/>
              </w:rPr>
            </w:pPr>
            <w:r>
              <w:rPr>
                <w:w w:val="99"/>
                <w:sz w:val="20"/>
              </w:rPr>
              <w:t>5</w:t>
            </w:r>
          </w:p>
        </w:tc>
      </w:tr>
      <w:tr w:rsidR="00DB6E1F" w14:paraId="559F408F" w14:textId="77777777">
        <w:trPr>
          <w:trHeight w:val="527"/>
        </w:trPr>
        <w:tc>
          <w:tcPr>
            <w:tcW w:w="4409" w:type="dxa"/>
          </w:tcPr>
          <w:p w14:paraId="59683CC5" w14:textId="77777777" w:rsidR="00DB6E1F" w:rsidRDefault="00F666A6">
            <w:pPr>
              <w:pStyle w:val="TableParagraph"/>
              <w:spacing w:before="3"/>
              <w:ind w:left="95"/>
              <w:rPr>
                <w:sz w:val="20"/>
              </w:rPr>
            </w:pPr>
            <w:r>
              <w:rPr>
                <w:color w:val="4D4D4F"/>
                <w:sz w:val="20"/>
              </w:rPr>
              <w:t>8.</w:t>
            </w:r>
            <w:r>
              <w:rPr>
                <w:color w:val="4D4D4F"/>
                <w:spacing w:val="43"/>
                <w:sz w:val="20"/>
              </w:rPr>
              <w:t xml:space="preserve">  </w:t>
            </w:r>
            <w:r>
              <w:rPr>
                <w:sz w:val="20"/>
              </w:rPr>
              <w:t>I’ve</w:t>
            </w:r>
            <w:r>
              <w:rPr>
                <w:spacing w:val="-3"/>
                <w:sz w:val="20"/>
              </w:rPr>
              <w:t xml:space="preserve"> </w:t>
            </w:r>
            <w:r>
              <w:rPr>
                <w:sz w:val="20"/>
              </w:rPr>
              <w:t>been thinking</w:t>
            </w:r>
            <w:r>
              <w:rPr>
                <w:spacing w:val="-1"/>
                <w:sz w:val="20"/>
              </w:rPr>
              <w:t xml:space="preserve"> </w:t>
            </w:r>
            <w:r>
              <w:rPr>
                <w:sz w:val="20"/>
              </w:rPr>
              <w:t>that</w:t>
            </w:r>
            <w:r>
              <w:rPr>
                <w:spacing w:val="-1"/>
                <w:sz w:val="20"/>
              </w:rPr>
              <w:t xml:space="preserve"> </w:t>
            </w:r>
            <w:r>
              <w:rPr>
                <w:sz w:val="20"/>
              </w:rPr>
              <w:t>I</w:t>
            </w:r>
            <w:r>
              <w:rPr>
                <w:spacing w:val="-1"/>
                <w:sz w:val="20"/>
              </w:rPr>
              <w:t xml:space="preserve"> </w:t>
            </w:r>
            <w:r>
              <w:rPr>
                <w:sz w:val="20"/>
              </w:rPr>
              <w:t>might</w:t>
            </w:r>
            <w:r>
              <w:rPr>
                <w:spacing w:val="-1"/>
                <w:sz w:val="20"/>
              </w:rPr>
              <w:t xml:space="preserve"> </w:t>
            </w:r>
            <w:r>
              <w:rPr>
                <w:sz w:val="20"/>
              </w:rPr>
              <w:t>want</w:t>
            </w:r>
            <w:r>
              <w:rPr>
                <w:spacing w:val="-1"/>
                <w:sz w:val="20"/>
              </w:rPr>
              <w:t xml:space="preserve"> </w:t>
            </w:r>
            <w:r>
              <w:rPr>
                <w:sz w:val="20"/>
              </w:rPr>
              <w:t>to</w:t>
            </w:r>
            <w:r>
              <w:rPr>
                <w:spacing w:val="-1"/>
                <w:sz w:val="20"/>
              </w:rPr>
              <w:t xml:space="preserve"> </w:t>
            </w:r>
            <w:r>
              <w:rPr>
                <w:spacing w:val="-2"/>
                <w:sz w:val="20"/>
              </w:rPr>
              <w:t>change</w:t>
            </w:r>
          </w:p>
          <w:p w14:paraId="0EF0481B" w14:textId="77777777" w:rsidR="00DB6E1F" w:rsidRDefault="00F666A6">
            <w:pPr>
              <w:pStyle w:val="TableParagraph"/>
              <w:spacing w:before="18" w:line="242" w:lineRule="exact"/>
              <w:ind w:left="455"/>
              <w:rPr>
                <w:sz w:val="20"/>
              </w:rPr>
            </w:pPr>
            <w:r>
              <w:rPr>
                <w:sz w:val="20"/>
              </w:rPr>
              <w:t>something</w:t>
            </w:r>
            <w:r>
              <w:rPr>
                <w:spacing w:val="-9"/>
                <w:sz w:val="20"/>
              </w:rPr>
              <w:t xml:space="preserve"> </w:t>
            </w:r>
            <w:r>
              <w:rPr>
                <w:sz w:val="20"/>
              </w:rPr>
              <w:t>about</w:t>
            </w:r>
            <w:r>
              <w:rPr>
                <w:spacing w:val="-8"/>
                <w:sz w:val="20"/>
              </w:rPr>
              <w:t xml:space="preserve"> </w:t>
            </w:r>
            <w:r>
              <w:rPr>
                <w:spacing w:val="-2"/>
                <w:sz w:val="20"/>
              </w:rPr>
              <w:t>myself.</w:t>
            </w:r>
          </w:p>
        </w:tc>
        <w:tc>
          <w:tcPr>
            <w:tcW w:w="991" w:type="dxa"/>
          </w:tcPr>
          <w:p w14:paraId="330AF4EC" w14:textId="77777777" w:rsidR="00DB6E1F" w:rsidRDefault="00F666A6">
            <w:pPr>
              <w:pStyle w:val="TableParagraph"/>
              <w:spacing w:before="3"/>
              <w:ind w:left="7"/>
              <w:jc w:val="center"/>
              <w:rPr>
                <w:sz w:val="20"/>
              </w:rPr>
            </w:pPr>
            <w:r>
              <w:rPr>
                <w:w w:val="99"/>
                <w:sz w:val="20"/>
              </w:rPr>
              <w:t>1</w:t>
            </w:r>
          </w:p>
        </w:tc>
        <w:tc>
          <w:tcPr>
            <w:tcW w:w="900" w:type="dxa"/>
          </w:tcPr>
          <w:p w14:paraId="4662D5A7" w14:textId="77777777" w:rsidR="00DB6E1F" w:rsidRDefault="00F666A6">
            <w:pPr>
              <w:pStyle w:val="TableParagraph"/>
              <w:spacing w:before="3"/>
              <w:ind w:left="7"/>
              <w:jc w:val="center"/>
              <w:rPr>
                <w:sz w:val="20"/>
              </w:rPr>
            </w:pPr>
            <w:r>
              <w:rPr>
                <w:w w:val="99"/>
                <w:sz w:val="20"/>
              </w:rPr>
              <w:t>2</w:t>
            </w:r>
          </w:p>
        </w:tc>
        <w:tc>
          <w:tcPr>
            <w:tcW w:w="989" w:type="dxa"/>
          </w:tcPr>
          <w:p w14:paraId="58AB524A" w14:textId="77777777" w:rsidR="00DB6E1F" w:rsidRDefault="00F666A6">
            <w:pPr>
              <w:pStyle w:val="TableParagraph"/>
              <w:spacing w:before="3"/>
              <w:ind w:left="9"/>
              <w:jc w:val="center"/>
              <w:rPr>
                <w:sz w:val="20"/>
              </w:rPr>
            </w:pPr>
            <w:r>
              <w:rPr>
                <w:w w:val="99"/>
                <w:sz w:val="20"/>
              </w:rPr>
              <w:t>3</w:t>
            </w:r>
          </w:p>
        </w:tc>
        <w:tc>
          <w:tcPr>
            <w:tcW w:w="991" w:type="dxa"/>
          </w:tcPr>
          <w:p w14:paraId="3F80CCEE" w14:textId="77777777" w:rsidR="00DB6E1F" w:rsidRDefault="00F666A6">
            <w:pPr>
              <w:pStyle w:val="TableParagraph"/>
              <w:spacing w:before="3"/>
              <w:ind w:left="7"/>
              <w:jc w:val="center"/>
              <w:rPr>
                <w:sz w:val="20"/>
              </w:rPr>
            </w:pPr>
            <w:r>
              <w:rPr>
                <w:w w:val="99"/>
                <w:sz w:val="20"/>
              </w:rPr>
              <w:t>4</w:t>
            </w:r>
          </w:p>
        </w:tc>
        <w:tc>
          <w:tcPr>
            <w:tcW w:w="989" w:type="dxa"/>
          </w:tcPr>
          <w:p w14:paraId="4B429D74" w14:textId="77777777" w:rsidR="00DB6E1F" w:rsidRDefault="00F666A6">
            <w:pPr>
              <w:pStyle w:val="TableParagraph"/>
              <w:spacing w:before="3"/>
              <w:ind w:left="9"/>
              <w:jc w:val="center"/>
              <w:rPr>
                <w:sz w:val="20"/>
              </w:rPr>
            </w:pPr>
            <w:r>
              <w:rPr>
                <w:w w:val="99"/>
                <w:sz w:val="20"/>
              </w:rPr>
              <w:t>5</w:t>
            </w:r>
          </w:p>
        </w:tc>
      </w:tr>
      <w:tr w:rsidR="00DB6E1F" w14:paraId="6C42F848" w14:textId="77777777">
        <w:trPr>
          <w:trHeight w:val="791"/>
        </w:trPr>
        <w:tc>
          <w:tcPr>
            <w:tcW w:w="4409" w:type="dxa"/>
          </w:tcPr>
          <w:p w14:paraId="597C8A7C" w14:textId="77777777" w:rsidR="00DB6E1F" w:rsidRDefault="00F666A6">
            <w:pPr>
              <w:pStyle w:val="TableParagraph"/>
              <w:ind w:left="95"/>
              <w:rPr>
                <w:sz w:val="20"/>
              </w:rPr>
            </w:pPr>
            <w:r>
              <w:rPr>
                <w:color w:val="4D4D4F"/>
                <w:sz w:val="20"/>
              </w:rPr>
              <w:t>9.</w:t>
            </w:r>
            <w:r>
              <w:rPr>
                <w:color w:val="4D4D4F"/>
                <w:spacing w:val="43"/>
                <w:sz w:val="20"/>
              </w:rPr>
              <w:t xml:space="preserve">  </w:t>
            </w:r>
            <w:r>
              <w:rPr>
                <w:sz w:val="20"/>
              </w:rPr>
              <w:t>I have</w:t>
            </w:r>
            <w:r>
              <w:rPr>
                <w:spacing w:val="-2"/>
                <w:sz w:val="20"/>
              </w:rPr>
              <w:t xml:space="preserve"> </w:t>
            </w:r>
            <w:r>
              <w:rPr>
                <w:sz w:val="20"/>
              </w:rPr>
              <w:t>been successful</w:t>
            </w:r>
            <w:r>
              <w:rPr>
                <w:spacing w:val="-1"/>
                <w:sz w:val="20"/>
              </w:rPr>
              <w:t xml:space="preserve"> </w:t>
            </w:r>
            <w:r>
              <w:rPr>
                <w:sz w:val="20"/>
              </w:rPr>
              <w:t>in</w:t>
            </w:r>
            <w:r>
              <w:rPr>
                <w:spacing w:val="1"/>
                <w:sz w:val="20"/>
              </w:rPr>
              <w:t xml:space="preserve"> </w:t>
            </w:r>
            <w:r>
              <w:rPr>
                <w:sz w:val="20"/>
              </w:rPr>
              <w:t>working</w:t>
            </w:r>
            <w:r>
              <w:rPr>
                <w:spacing w:val="-1"/>
                <w:sz w:val="20"/>
              </w:rPr>
              <w:t xml:space="preserve"> </w:t>
            </w:r>
            <w:r>
              <w:rPr>
                <w:sz w:val="20"/>
              </w:rPr>
              <w:t xml:space="preserve">on </w:t>
            </w:r>
            <w:r>
              <w:rPr>
                <w:spacing w:val="-5"/>
                <w:sz w:val="20"/>
              </w:rPr>
              <w:t>my</w:t>
            </w:r>
          </w:p>
          <w:p w14:paraId="19D99D67" w14:textId="77777777" w:rsidR="00DB6E1F" w:rsidRDefault="00F666A6">
            <w:pPr>
              <w:pStyle w:val="TableParagraph"/>
              <w:spacing w:before="4" w:line="260" w:lineRule="atLeast"/>
              <w:ind w:left="455" w:right="99"/>
              <w:rPr>
                <w:sz w:val="20"/>
              </w:rPr>
            </w:pPr>
            <w:r>
              <w:rPr>
                <w:sz w:val="20"/>
              </w:rPr>
              <w:t>problem,</w:t>
            </w:r>
            <w:r>
              <w:rPr>
                <w:spacing w:val="-4"/>
                <w:sz w:val="20"/>
              </w:rPr>
              <w:t xml:space="preserve"> </w:t>
            </w:r>
            <w:r>
              <w:rPr>
                <w:sz w:val="20"/>
              </w:rPr>
              <w:t>but</w:t>
            </w:r>
            <w:r>
              <w:rPr>
                <w:spacing w:val="-5"/>
                <w:sz w:val="20"/>
              </w:rPr>
              <w:t xml:space="preserve"> </w:t>
            </w:r>
            <w:r>
              <w:rPr>
                <w:sz w:val="20"/>
              </w:rPr>
              <w:t>I’m</w:t>
            </w:r>
            <w:r>
              <w:rPr>
                <w:spacing w:val="-6"/>
                <w:sz w:val="20"/>
              </w:rPr>
              <w:t xml:space="preserve"> </w:t>
            </w:r>
            <w:r>
              <w:rPr>
                <w:sz w:val="20"/>
              </w:rPr>
              <w:t>not</w:t>
            </w:r>
            <w:r>
              <w:rPr>
                <w:spacing w:val="-5"/>
                <w:sz w:val="20"/>
              </w:rPr>
              <w:t xml:space="preserve"> </w:t>
            </w:r>
            <w:r>
              <w:rPr>
                <w:sz w:val="20"/>
              </w:rPr>
              <w:t>sure</w:t>
            </w:r>
            <w:r>
              <w:rPr>
                <w:spacing w:val="-6"/>
                <w:sz w:val="20"/>
              </w:rPr>
              <w:t xml:space="preserve"> </w:t>
            </w:r>
            <w:r>
              <w:rPr>
                <w:sz w:val="20"/>
              </w:rPr>
              <w:t>I</w:t>
            </w:r>
            <w:r>
              <w:rPr>
                <w:spacing w:val="-5"/>
                <w:sz w:val="20"/>
              </w:rPr>
              <w:t xml:space="preserve"> </w:t>
            </w:r>
            <w:r>
              <w:rPr>
                <w:sz w:val="20"/>
              </w:rPr>
              <w:t>can</w:t>
            </w:r>
            <w:r>
              <w:rPr>
                <w:spacing w:val="-4"/>
                <w:sz w:val="20"/>
              </w:rPr>
              <w:t xml:space="preserve"> </w:t>
            </w:r>
            <w:r>
              <w:rPr>
                <w:sz w:val="20"/>
              </w:rPr>
              <w:t>keep</w:t>
            </w:r>
            <w:r>
              <w:rPr>
                <w:spacing w:val="-4"/>
                <w:sz w:val="20"/>
              </w:rPr>
              <w:t xml:space="preserve"> </w:t>
            </w:r>
            <w:r>
              <w:rPr>
                <w:sz w:val="20"/>
              </w:rPr>
              <w:t>up</w:t>
            </w:r>
            <w:r>
              <w:rPr>
                <w:spacing w:val="-4"/>
                <w:sz w:val="20"/>
              </w:rPr>
              <w:t xml:space="preserve"> </w:t>
            </w:r>
            <w:r>
              <w:rPr>
                <w:sz w:val="20"/>
              </w:rPr>
              <w:t>the effort on my own.</w:t>
            </w:r>
          </w:p>
        </w:tc>
        <w:tc>
          <w:tcPr>
            <w:tcW w:w="991" w:type="dxa"/>
          </w:tcPr>
          <w:p w14:paraId="4C78308A" w14:textId="77777777" w:rsidR="00DB6E1F" w:rsidRDefault="00F666A6">
            <w:pPr>
              <w:pStyle w:val="TableParagraph"/>
              <w:ind w:left="7"/>
              <w:jc w:val="center"/>
              <w:rPr>
                <w:sz w:val="20"/>
              </w:rPr>
            </w:pPr>
            <w:r>
              <w:rPr>
                <w:w w:val="99"/>
                <w:sz w:val="20"/>
              </w:rPr>
              <w:t>1</w:t>
            </w:r>
          </w:p>
        </w:tc>
        <w:tc>
          <w:tcPr>
            <w:tcW w:w="900" w:type="dxa"/>
          </w:tcPr>
          <w:p w14:paraId="39EAF9D9" w14:textId="77777777" w:rsidR="00DB6E1F" w:rsidRDefault="00F666A6">
            <w:pPr>
              <w:pStyle w:val="TableParagraph"/>
              <w:ind w:left="7"/>
              <w:jc w:val="center"/>
              <w:rPr>
                <w:sz w:val="20"/>
              </w:rPr>
            </w:pPr>
            <w:r>
              <w:rPr>
                <w:w w:val="99"/>
                <w:sz w:val="20"/>
              </w:rPr>
              <w:t>2</w:t>
            </w:r>
          </w:p>
        </w:tc>
        <w:tc>
          <w:tcPr>
            <w:tcW w:w="989" w:type="dxa"/>
          </w:tcPr>
          <w:p w14:paraId="067FB9E6" w14:textId="77777777" w:rsidR="00DB6E1F" w:rsidRDefault="00F666A6">
            <w:pPr>
              <w:pStyle w:val="TableParagraph"/>
              <w:ind w:left="9"/>
              <w:jc w:val="center"/>
              <w:rPr>
                <w:sz w:val="20"/>
              </w:rPr>
            </w:pPr>
            <w:r>
              <w:rPr>
                <w:w w:val="99"/>
                <w:sz w:val="20"/>
              </w:rPr>
              <w:t>3</w:t>
            </w:r>
          </w:p>
        </w:tc>
        <w:tc>
          <w:tcPr>
            <w:tcW w:w="991" w:type="dxa"/>
          </w:tcPr>
          <w:p w14:paraId="6D0B6BA4" w14:textId="77777777" w:rsidR="00DB6E1F" w:rsidRDefault="00F666A6">
            <w:pPr>
              <w:pStyle w:val="TableParagraph"/>
              <w:ind w:left="7"/>
              <w:jc w:val="center"/>
              <w:rPr>
                <w:sz w:val="20"/>
              </w:rPr>
            </w:pPr>
            <w:r>
              <w:rPr>
                <w:w w:val="99"/>
                <w:sz w:val="20"/>
              </w:rPr>
              <w:t>4</w:t>
            </w:r>
          </w:p>
        </w:tc>
        <w:tc>
          <w:tcPr>
            <w:tcW w:w="989" w:type="dxa"/>
          </w:tcPr>
          <w:p w14:paraId="6A2D7088" w14:textId="77777777" w:rsidR="00DB6E1F" w:rsidRDefault="00F666A6">
            <w:pPr>
              <w:pStyle w:val="TableParagraph"/>
              <w:ind w:left="9"/>
              <w:jc w:val="center"/>
              <w:rPr>
                <w:sz w:val="20"/>
              </w:rPr>
            </w:pPr>
            <w:r>
              <w:rPr>
                <w:w w:val="99"/>
                <w:sz w:val="20"/>
              </w:rPr>
              <w:t>5</w:t>
            </w:r>
          </w:p>
        </w:tc>
      </w:tr>
      <w:tr w:rsidR="00DB6E1F" w14:paraId="00EABE9C" w14:textId="77777777">
        <w:trPr>
          <w:trHeight w:val="525"/>
        </w:trPr>
        <w:tc>
          <w:tcPr>
            <w:tcW w:w="4409" w:type="dxa"/>
          </w:tcPr>
          <w:p w14:paraId="603BCB0E" w14:textId="77777777" w:rsidR="00DB6E1F" w:rsidRDefault="00F666A6">
            <w:pPr>
              <w:pStyle w:val="TableParagraph"/>
              <w:ind w:left="95"/>
              <w:rPr>
                <w:sz w:val="20"/>
              </w:rPr>
            </w:pPr>
            <w:r>
              <w:rPr>
                <w:color w:val="4D4D4F"/>
                <w:sz w:val="20"/>
              </w:rPr>
              <w:t>10.</w:t>
            </w:r>
            <w:r>
              <w:rPr>
                <w:color w:val="4D4D4F"/>
                <w:spacing w:val="17"/>
                <w:sz w:val="20"/>
              </w:rPr>
              <w:t xml:space="preserve"> </w:t>
            </w:r>
            <w:r>
              <w:rPr>
                <w:sz w:val="20"/>
              </w:rPr>
              <w:t>At</w:t>
            </w:r>
            <w:r>
              <w:rPr>
                <w:spacing w:val="1"/>
                <w:sz w:val="20"/>
              </w:rPr>
              <w:t xml:space="preserve"> </w:t>
            </w:r>
            <w:r>
              <w:rPr>
                <w:sz w:val="20"/>
              </w:rPr>
              <w:t>times my</w:t>
            </w:r>
            <w:r>
              <w:rPr>
                <w:spacing w:val="2"/>
                <w:sz w:val="20"/>
              </w:rPr>
              <w:t xml:space="preserve"> </w:t>
            </w:r>
            <w:r>
              <w:rPr>
                <w:sz w:val="20"/>
              </w:rPr>
              <w:t>problem is difficult,</w:t>
            </w:r>
            <w:r>
              <w:rPr>
                <w:spacing w:val="2"/>
                <w:sz w:val="20"/>
              </w:rPr>
              <w:t xml:space="preserve"> </w:t>
            </w:r>
            <w:r>
              <w:rPr>
                <w:sz w:val="20"/>
              </w:rPr>
              <w:t xml:space="preserve">but I’m </w:t>
            </w:r>
            <w:r>
              <w:rPr>
                <w:spacing w:val="-2"/>
                <w:sz w:val="20"/>
              </w:rPr>
              <w:t>working</w:t>
            </w:r>
          </w:p>
          <w:p w14:paraId="70E9BD50" w14:textId="77777777" w:rsidR="00DB6E1F" w:rsidRDefault="00F666A6">
            <w:pPr>
              <w:pStyle w:val="TableParagraph"/>
              <w:spacing w:before="20" w:line="240" w:lineRule="exact"/>
              <w:ind w:left="455"/>
              <w:rPr>
                <w:sz w:val="20"/>
              </w:rPr>
            </w:pPr>
            <w:r>
              <w:rPr>
                <w:sz w:val="20"/>
              </w:rPr>
              <w:t>on</w:t>
            </w:r>
            <w:r>
              <w:rPr>
                <w:spacing w:val="-2"/>
                <w:sz w:val="20"/>
              </w:rPr>
              <w:t xml:space="preserve"> </w:t>
            </w:r>
            <w:r>
              <w:rPr>
                <w:spacing w:val="-5"/>
                <w:sz w:val="20"/>
              </w:rPr>
              <w:t>it.</w:t>
            </w:r>
          </w:p>
        </w:tc>
        <w:tc>
          <w:tcPr>
            <w:tcW w:w="991" w:type="dxa"/>
          </w:tcPr>
          <w:p w14:paraId="52108F1C" w14:textId="77777777" w:rsidR="00DB6E1F" w:rsidRDefault="00F666A6">
            <w:pPr>
              <w:pStyle w:val="TableParagraph"/>
              <w:ind w:left="7"/>
              <w:jc w:val="center"/>
              <w:rPr>
                <w:sz w:val="20"/>
              </w:rPr>
            </w:pPr>
            <w:r>
              <w:rPr>
                <w:w w:val="99"/>
                <w:sz w:val="20"/>
              </w:rPr>
              <w:t>1</w:t>
            </w:r>
          </w:p>
        </w:tc>
        <w:tc>
          <w:tcPr>
            <w:tcW w:w="900" w:type="dxa"/>
          </w:tcPr>
          <w:p w14:paraId="604F187C" w14:textId="77777777" w:rsidR="00DB6E1F" w:rsidRDefault="00F666A6">
            <w:pPr>
              <w:pStyle w:val="TableParagraph"/>
              <w:ind w:left="7"/>
              <w:jc w:val="center"/>
              <w:rPr>
                <w:sz w:val="20"/>
              </w:rPr>
            </w:pPr>
            <w:r>
              <w:rPr>
                <w:w w:val="99"/>
                <w:sz w:val="20"/>
              </w:rPr>
              <w:t>2</w:t>
            </w:r>
          </w:p>
        </w:tc>
        <w:tc>
          <w:tcPr>
            <w:tcW w:w="989" w:type="dxa"/>
          </w:tcPr>
          <w:p w14:paraId="556B3BCA" w14:textId="77777777" w:rsidR="00DB6E1F" w:rsidRDefault="00F666A6">
            <w:pPr>
              <w:pStyle w:val="TableParagraph"/>
              <w:ind w:left="9"/>
              <w:jc w:val="center"/>
              <w:rPr>
                <w:sz w:val="20"/>
              </w:rPr>
            </w:pPr>
            <w:r>
              <w:rPr>
                <w:w w:val="99"/>
                <w:sz w:val="20"/>
              </w:rPr>
              <w:t>3</w:t>
            </w:r>
          </w:p>
        </w:tc>
        <w:tc>
          <w:tcPr>
            <w:tcW w:w="991" w:type="dxa"/>
          </w:tcPr>
          <w:p w14:paraId="0DE1A00F" w14:textId="77777777" w:rsidR="00DB6E1F" w:rsidRDefault="00F666A6">
            <w:pPr>
              <w:pStyle w:val="TableParagraph"/>
              <w:ind w:left="7"/>
              <w:jc w:val="center"/>
              <w:rPr>
                <w:sz w:val="20"/>
              </w:rPr>
            </w:pPr>
            <w:r>
              <w:rPr>
                <w:w w:val="99"/>
                <w:sz w:val="20"/>
              </w:rPr>
              <w:t>4</w:t>
            </w:r>
          </w:p>
        </w:tc>
        <w:tc>
          <w:tcPr>
            <w:tcW w:w="989" w:type="dxa"/>
          </w:tcPr>
          <w:p w14:paraId="23C6139A" w14:textId="77777777" w:rsidR="00DB6E1F" w:rsidRDefault="00F666A6">
            <w:pPr>
              <w:pStyle w:val="TableParagraph"/>
              <w:ind w:left="9"/>
              <w:jc w:val="center"/>
              <w:rPr>
                <w:sz w:val="20"/>
              </w:rPr>
            </w:pPr>
            <w:r>
              <w:rPr>
                <w:w w:val="99"/>
                <w:sz w:val="20"/>
              </w:rPr>
              <w:t>5</w:t>
            </w:r>
          </w:p>
        </w:tc>
      </w:tr>
      <w:tr w:rsidR="00DB6E1F" w14:paraId="0FD97771" w14:textId="77777777">
        <w:trPr>
          <w:trHeight w:val="791"/>
        </w:trPr>
        <w:tc>
          <w:tcPr>
            <w:tcW w:w="4409" w:type="dxa"/>
          </w:tcPr>
          <w:p w14:paraId="489F1AF9" w14:textId="77777777" w:rsidR="00DB6E1F" w:rsidRDefault="00F666A6">
            <w:pPr>
              <w:pStyle w:val="TableParagraph"/>
              <w:spacing w:before="3" w:line="256" w:lineRule="auto"/>
              <w:ind w:left="455" w:hanging="360"/>
              <w:rPr>
                <w:sz w:val="20"/>
              </w:rPr>
            </w:pPr>
            <w:r>
              <w:rPr>
                <w:color w:val="4D4D4F"/>
                <w:sz w:val="20"/>
              </w:rPr>
              <w:t>11.</w:t>
            </w:r>
            <w:r>
              <w:rPr>
                <w:color w:val="4D4D4F"/>
                <w:spacing w:val="18"/>
                <w:sz w:val="20"/>
              </w:rPr>
              <w:t xml:space="preserve"> </w:t>
            </w:r>
            <w:r>
              <w:rPr>
                <w:sz w:val="20"/>
              </w:rPr>
              <w:t>Trying to change is pretty much a waste of time for</w:t>
            </w:r>
            <w:r>
              <w:rPr>
                <w:spacing w:val="-6"/>
                <w:sz w:val="20"/>
              </w:rPr>
              <w:t xml:space="preserve"> </w:t>
            </w:r>
            <w:r>
              <w:rPr>
                <w:sz w:val="20"/>
              </w:rPr>
              <w:t>me</w:t>
            </w:r>
            <w:r>
              <w:rPr>
                <w:spacing w:val="-6"/>
                <w:sz w:val="20"/>
              </w:rPr>
              <w:t xml:space="preserve"> </w:t>
            </w:r>
            <w:r>
              <w:rPr>
                <w:sz w:val="20"/>
              </w:rPr>
              <w:t>because</w:t>
            </w:r>
            <w:r>
              <w:rPr>
                <w:spacing w:val="-6"/>
                <w:sz w:val="20"/>
              </w:rPr>
              <w:t xml:space="preserve"> </w:t>
            </w:r>
            <w:r>
              <w:rPr>
                <w:sz w:val="20"/>
              </w:rPr>
              <w:t>the</w:t>
            </w:r>
            <w:r>
              <w:rPr>
                <w:spacing w:val="-6"/>
                <w:sz w:val="20"/>
              </w:rPr>
              <w:t xml:space="preserve"> </w:t>
            </w:r>
            <w:r>
              <w:rPr>
                <w:sz w:val="20"/>
              </w:rPr>
              <w:t>problem</w:t>
            </w:r>
            <w:r>
              <w:rPr>
                <w:spacing w:val="-4"/>
                <w:sz w:val="20"/>
              </w:rPr>
              <w:t xml:space="preserve"> </w:t>
            </w:r>
            <w:r>
              <w:rPr>
                <w:sz w:val="20"/>
              </w:rPr>
              <w:t>doesn’t</w:t>
            </w:r>
            <w:r>
              <w:rPr>
                <w:spacing w:val="-5"/>
                <w:sz w:val="20"/>
              </w:rPr>
              <w:t xml:space="preserve"> </w:t>
            </w:r>
            <w:r>
              <w:rPr>
                <w:sz w:val="20"/>
              </w:rPr>
              <w:t>have</w:t>
            </w:r>
            <w:r>
              <w:rPr>
                <w:spacing w:val="-6"/>
                <w:sz w:val="20"/>
              </w:rPr>
              <w:t xml:space="preserve"> </w:t>
            </w:r>
            <w:r>
              <w:rPr>
                <w:sz w:val="20"/>
              </w:rPr>
              <w:t>to</w:t>
            </w:r>
            <w:r>
              <w:rPr>
                <w:spacing w:val="-4"/>
                <w:sz w:val="20"/>
              </w:rPr>
              <w:t xml:space="preserve"> </w:t>
            </w:r>
            <w:r>
              <w:rPr>
                <w:spacing w:val="-5"/>
                <w:sz w:val="20"/>
              </w:rPr>
              <w:t>do</w:t>
            </w:r>
          </w:p>
          <w:p w14:paraId="1ADA940F" w14:textId="77777777" w:rsidR="00DB6E1F" w:rsidRDefault="00F666A6">
            <w:pPr>
              <w:pStyle w:val="TableParagraph"/>
              <w:spacing w:before="4" w:line="242" w:lineRule="exact"/>
              <w:ind w:left="455"/>
              <w:rPr>
                <w:sz w:val="20"/>
              </w:rPr>
            </w:pPr>
            <w:r>
              <w:rPr>
                <w:sz w:val="20"/>
              </w:rPr>
              <w:t>with</w:t>
            </w:r>
            <w:r>
              <w:rPr>
                <w:spacing w:val="-5"/>
                <w:sz w:val="20"/>
              </w:rPr>
              <w:t xml:space="preserve"> me.</w:t>
            </w:r>
          </w:p>
        </w:tc>
        <w:tc>
          <w:tcPr>
            <w:tcW w:w="991" w:type="dxa"/>
          </w:tcPr>
          <w:p w14:paraId="4E6EBAF8" w14:textId="77777777" w:rsidR="00DB6E1F" w:rsidRDefault="00F666A6">
            <w:pPr>
              <w:pStyle w:val="TableParagraph"/>
              <w:spacing w:before="3"/>
              <w:ind w:left="7"/>
              <w:jc w:val="center"/>
              <w:rPr>
                <w:sz w:val="20"/>
              </w:rPr>
            </w:pPr>
            <w:r>
              <w:rPr>
                <w:w w:val="99"/>
                <w:sz w:val="20"/>
              </w:rPr>
              <w:t>1</w:t>
            </w:r>
          </w:p>
        </w:tc>
        <w:tc>
          <w:tcPr>
            <w:tcW w:w="900" w:type="dxa"/>
          </w:tcPr>
          <w:p w14:paraId="0907ACCA" w14:textId="77777777" w:rsidR="00DB6E1F" w:rsidRDefault="00F666A6">
            <w:pPr>
              <w:pStyle w:val="TableParagraph"/>
              <w:spacing w:before="3"/>
              <w:ind w:left="7"/>
              <w:jc w:val="center"/>
              <w:rPr>
                <w:sz w:val="20"/>
              </w:rPr>
            </w:pPr>
            <w:r>
              <w:rPr>
                <w:w w:val="99"/>
                <w:sz w:val="20"/>
              </w:rPr>
              <w:t>2</w:t>
            </w:r>
          </w:p>
        </w:tc>
        <w:tc>
          <w:tcPr>
            <w:tcW w:w="989" w:type="dxa"/>
          </w:tcPr>
          <w:p w14:paraId="067C7C0E" w14:textId="77777777" w:rsidR="00DB6E1F" w:rsidRDefault="00F666A6">
            <w:pPr>
              <w:pStyle w:val="TableParagraph"/>
              <w:spacing w:before="3"/>
              <w:ind w:left="9"/>
              <w:jc w:val="center"/>
              <w:rPr>
                <w:sz w:val="20"/>
              </w:rPr>
            </w:pPr>
            <w:r>
              <w:rPr>
                <w:w w:val="99"/>
                <w:sz w:val="20"/>
              </w:rPr>
              <w:t>3</w:t>
            </w:r>
          </w:p>
        </w:tc>
        <w:tc>
          <w:tcPr>
            <w:tcW w:w="991" w:type="dxa"/>
          </w:tcPr>
          <w:p w14:paraId="70AFE12D" w14:textId="77777777" w:rsidR="00DB6E1F" w:rsidRDefault="00F666A6">
            <w:pPr>
              <w:pStyle w:val="TableParagraph"/>
              <w:spacing w:before="3"/>
              <w:ind w:left="7"/>
              <w:jc w:val="center"/>
              <w:rPr>
                <w:sz w:val="20"/>
              </w:rPr>
            </w:pPr>
            <w:r>
              <w:rPr>
                <w:w w:val="99"/>
                <w:sz w:val="20"/>
              </w:rPr>
              <w:t>4</w:t>
            </w:r>
          </w:p>
        </w:tc>
        <w:tc>
          <w:tcPr>
            <w:tcW w:w="989" w:type="dxa"/>
          </w:tcPr>
          <w:p w14:paraId="265E6F1D" w14:textId="77777777" w:rsidR="00DB6E1F" w:rsidRDefault="00F666A6">
            <w:pPr>
              <w:pStyle w:val="TableParagraph"/>
              <w:spacing w:before="3"/>
              <w:ind w:left="9"/>
              <w:jc w:val="center"/>
              <w:rPr>
                <w:sz w:val="20"/>
              </w:rPr>
            </w:pPr>
            <w:r>
              <w:rPr>
                <w:w w:val="99"/>
                <w:sz w:val="20"/>
              </w:rPr>
              <w:t>5</w:t>
            </w:r>
          </w:p>
        </w:tc>
      </w:tr>
      <w:tr w:rsidR="00DB6E1F" w14:paraId="3941AF67" w14:textId="77777777">
        <w:trPr>
          <w:trHeight w:val="527"/>
        </w:trPr>
        <w:tc>
          <w:tcPr>
            <w:tcW w:w="4409" w:type="dxa"/>
          </w:tcPr>
          <w:p w14:paraId="24C7DD9A" w14:textId="77777777" w:rsidR="00DB6E1F" w:rsidRDefault="00F666A6">
            <w:pPr>
              <w:pStyle w:val="TableParagraph"/>
              <w:ind w:left="95"/>
              <w:rPr>
                <w:sz w:val="20"/>
              </w:rPr>
            </w:pPr>
            <w:r>
              <w:rPr>
                <w:color w:val="4D4D4F"/>
                <w:sz w:val="20"/>
              </w:rPr>
              <w:t>12.</w:t>
            </w:r>
            <w:r>
              <w:rPr>
                <w:color w:val="4D4D4F"/>
                <w:spacing w:val="18"/>
                <w:sz w:val="20"/>
              </w:rPr>
              <w:t xml:space="preserve"> </w:t>
            </w:r>
            <w:r>
              <w:rPr>
                <w:sz w:val="20"/>
              </w:rPr>
              <w:t>I’m hoping</w:t>
            </w:r>
            <w:r>
              <w:rPr>
                <w:spacing w:val="2"/>
                <w:sz w:val="20"/>
              </w:rPr>
              <w:t xml:space="preserve"> </w:t>
            </w:r>
            <w:r>
              <w:rPr>
                <w:sz w:val="20"/>
              </w:rPr>
              <w:t>that</w:t>
            </w:r>
            <w:r>
              <w:rPr>
                <w:spacing w:val="1"/>
                <w:sz w:val="20"/>
              </w:rPr>
              <w:t xml:space="preserve"> </w:t>
            </w:r>
            <w:r>
              <w:rPr>
                <w:sz w:val="20"/>
              </w:rPr>
              <w:t>I</w:t>
            </w:r>
            <w:r>
              <w:rPr>
                <w:spacing w:val="2"/>
                <w:sz w:val="20"/>
              </w:rPr>
              <w:t xml:space="preserve"> </w:t>
            </w:r>
            <w:r>
              <w:rPr>
                <w:sz w:val="20"/>
              </w:rPr>
              <w:t>will</w:t>
            </w:r>
            <w:r>
              <w:rPr>
                <w:spacing w:val="2"/>
                <w:sz w:val="20"/>
              </w:rPr>
              <w:t xml:space="preserve"> </w:t>
            </w:r>
            <w:r>
              <w:rPr>
                <w:sz w:val="20"/>
              </w:rPr>
              <w:t>be able</w:t>
            </w:r>
            <w:r>
              <w:rPr>
                <w:spacing w:val="1"/>
                <w:sz w:val="20"/>
              </w:rPr>
              <w:t xml:space="preserve"> </w:t>
            </w:r>
            <w:r>
              <w:rPr>
                <w:sz w:val="20"/>
              </w:rPr>
              <w:t>to</w:t>
            </w:r>
            <w:r>
              <w:rPr>
                <w:spacing w:val="1"/>
                <w:sz w:val="20"/>
              </w:rPr>
              <w:t xml:space="preserve"> </w:t>
            </w:r>
            <w:r>
              <w:rPr>
                <w:spacing w:val="-2"/>
                <w:sz w:val="20"/>
              </w:rPr>
              <w:t>understand</w:t>
            </w:r>
          </w:p>
          <w:p w14:paraId="228D3596" w14:textId="77777777" w:rsidR="00DB6E1F" w:rsidRDefault="00F666A6">
            <w:pPr>
              <w:pStyle w:val="TableParagraph"/>
              <w:spacing w:before="20" w:line="242" w:lineRule="exact"/>
              <w:ind w:left="455"/>
              <w:rPr>
                <w:sz w:val="20"/>
              </w:rPr>
            </w:pPr>
            <w:r>
              <w:rPr>
                <w:sz w:val="20"/>
              </w:rPr>
              <w:t>myself</w:t>
            </w:r>
            <w:r>
              <w:rPr>
                <w:spacing w:val="-8"/>
                <w:sz w:val="20"/>
              </w:rPr>
              <w:t xml:space="preserve"> </w:t>
            </w:r>
            <w:r>
              <w:rPr>
                <w:spacing w:val="-2"/>
                <w:sz w:val="20"/>
              </w:rPr>
              <w:t>better.</w:t>
            </w:r>
          </w:p>
        </w:tc>
        <w:tc>
          <w:tcPr>
            <w:tcW w:w="991" w:type="dxa"/>
          </w:tcPr>
          <w:p w14:paraId="1E4D90C3" w14:textId="77777777" w:rsidR="00DB6E1F" w:rsidRDefault="00F666A6">
            <w:pPr>
              <w:pStyle w:val="TableParagraph"/>
              <w:ind w:left="7"/>
              <w:jc w:val="center"/>
              <w:rPr>
                <w:sz w:val="20"/>
              </w:rPr>
            </w:pPr>
            <w:r>
              <w:rPr>
                <w:w w:val="99"/>
                <w:sz w:val="20"/>
              </w:rPr>
              <w:t>1</w:t>
            </w:r>
          </w:p>
        </w:tc>
        <w:tc>
          <w:tcPr>
            <w:tcW w:w="900" w:type="dxa"/>
          </w:tcPr>
          <w:p w14:paraId="20B75771" w14:textId="77777777" w:rsidR="00DB6E1F" w:rsidRDefault="00F666A6">
            <w:pPr>
              <w:pStyle w:val="TableParagraph"/>
              <w:ind w:left="7"/>
              <w:jc w:val="center"/>
              <w:rPr>
                <w:sz w:val="20"/>
              </w:rPr>
            </w:pPr>
            <w:r>
              <w:rPr>
                <w:w w:val="99"/>
                <w:sz w:val="20"/>
              </w:rPr>
              <w:t>2</w:t>
            </w:r>
          </w:p>
        </w:tc>
        <w:tc>
          <w:tcPr>
            <w:tcW w:w="989" w:type="dxa"/>
          </w:tcPr>
          <w:p w14:paraId="34A25248" w14:textId="77777777" w:rsidR="00DB6E1F" w:rsidRDefault="00F666A6">
            <w:pPr>
              <w:pStyle w:val="TableParagraph"/>
              <w:ind w:left="9"/>
              <w:jc w:val="center"/>
              <w:rPr>
                <w:sz w:val="20"/>
              </w:rPr>
            </w:pPr>
            <w:r>
              <w:rPr>
                <w:w w:val="99"/>
                <w:sz w:val="20"/>
              </w:rPr>
              <w:t>3</w:t>
            </w:r>
          </w:p>
        </w:tc>
        <w:tc>
          <w:tcPr>
            <w:tcW w:w="991" w:type="dxa"/>
          </w:tcPr>
          <w:p w14:paraId="523B71E4" w14:textId="77777777" w:rsidR="00DB6E1F" w:rsidRDefault="00F666A6">
            <w:pPr>
              <w:pStyle w:val="TableParagraph"/>
              <w:ind w:left="7"/>
              <w:jc w:val="center"/>
              <w:rPr>
                <w:sz w:val="20"/>
              </w:rPr>
            </w:pPr>
            <w:r>
              <w:rPr>
                <w:w w:val="99"/>
                <w:sz w:val="20"/>
              </w:rPr>
              <w:t>4</w:t>
            </w:r>
          </w:p>
        </w:tc>
        <w:tc>
          <w:tcPr>
            <w:tcW w:w="989" w:type="dxa"/>
          </w:tcPr>
          <w:p w14:paraId="4D8D1A95" w14:textId="77777777" w:rsidR="00DB6E1F" w:rsidRDefault="00F666A6">
            <w:pPr>
              <w:pStyle w:val="TableParagraph"/>
              <w:ind w:left="9"/>
              <w:jc w:val="center"/>
              <w:rPr>
                <w:sz w:val="20"/>
              </w:rPr>
            </w:pPr>
            <w:r>
              <w:rPr>
                <w:w w:val="99"/>
                <w:sz w:val="20"/>
              </w:rPr>
              <w:t>5</w:t>
            </w:r>
          </w:p>
        </w:tc>
      </w:tr>
      <w:tr w:rsidR="00DB6E1F" w14:paraId="0F4289C0" w14:textId="77777777">
        <w:trPr>
          <w:trHeight w:val="525"/>
        </w:trPr>
        <w:tc>
          <w:tcPr>
            <w:tcW w:w="4409" w:type="dxa"/>
          </w:tcPr>
          <w:p w14:paraId="27F2E420" w14:textId="77777777" w:rsidR="00DB6E1F" w:rsidRDefault="00F666A6">
            <w:pPr>
              <w:pStyle w:val="TableParagraph"/>
              <w:ind w:left="95"/>
              <w:rPr>
                <w:sz w:val="20"/>
              </w:rPr>
            </w:pPr>
            <w:r>
              <w:rPr>
                <w:color w:val="4D4D4F"/>
                <w:sz w:val="20"/>
              </w:rPr>
              <w:t>13.</w:t>
            </w:r>
            <w:r>
              <w:rPr>
                <w:color w:val="4D4D4F"/>
                <w:spacing w:val="16"/>
                <w:sz w:val="20"/>
              </w:rPr>
              <w:t xml:space="preserve"> </w:t>
            </w:r>
            <w:r>
              <w:rPr>
                <w:sz w:val="20"/>
              </w:rPr>
              <w:t>I guess</w:t>
            </w:r>
            <w:r>
              <w:rPr>
                <w:spacing w:val="-1"/>
                <w:sz w:val="20"/>
              </w:rPr>
              <w:t xml:space="preserve"> </w:t>
            </w:r>
            <w:r>
              <w:rPr>
                <w:sz w:val="20"/>
              </w:rPr>
              <w:t>I have</w:t>
            </w:r>
            <w:r>
              <w:rPr>
                <w:spacing w:val="-1"/>
                <w:sz w:val="20"/>
              </w:rPr>
              <w:t xml:space="preserve"> </w:t>
            </w:r>
            <w:r>
              <w:rPr>
                <w:sz w:val="20"/>
              </w:rPr>
              <w:t>faults,</w:t>
            </w:r>
            <w:r>
              <w:rPr>
                <w:spacing w:val="1"/>
                <w:sz w:val="20"/>
              </w:rPr>
              <w:t xml:space="preserve"> </w:t>
            </w:r>
            <w:r>
              <w:rPr>
                <w:sz w:val="20"/>
              </w:rPr>
              <w:t>but</w:t>
            </w:r>
            <w:r>
              <w:rPr>
                <w:spacing w:val="1"/>
                <w:sz w:val="20"/>
              </w:rPr>
              <w:t xml:space="preserve"> </w:t>
            </w:r>
            <w:r>
              <w:rPr>
                <w:sz w:val="20"/>
              </w:rPr>
              <w:t>there’s</w:t>
            </w:r>
            <w:r>
              <w:rPr>
                <w:spacing w:val="-1"/>
                <w:sz w:val="20"/>
              </w:rPr>
              <w:t xml:space="preserve"> </w:t>
            </w:r>
            <w:r>
              <w:rPr>
                <w:sz w:val="20"/>
              </w:rPr>
              <w:t xml:space="preserve">nothing that </w:t>
            </w:r>
            <w:r>
              <w:rPr>
                <w:spacing w:val="-10"/>
                <w:sz w:val="20"/>
              </w:rPr>
              <w:t>I</w:t>
            </w:r>
          </w:p>
          <w:p w14:paraId="2C267412" w14:textId="77777777" w:rsidR="00DB6E1F" w:rsidRDefault="00F666A6">
            <w:pPr>
              <w:pStyle w:val="TableParagraph"/>
              <w:spacing w:before="20" w:line="240" w:lineRule="exact"/>
              <w:ind w:left="455"/>
              <w:rPr>
                <w:sz w:val="20"/>
              </w:rPr>
            </w:pPr>
            <w:r>
              <w:rPr>
                <w:sz w:val="20"/>
              </w:rPr>
              <w:t>really</w:t>
            </w:r>
            <w:r>
              <w:rPr>
                <w:spacing w:val="-4"/>
                <w:sz w:val="20"/>
              </w:rPr>
              <w:t xml:space="preserve"> </w:t>
            </w:r>
            <w:r>
              <w:rPr>
                <w:sz w:val="20"/>
              </w:rPr>
              <w:t>need</w:t>
            </w:r>
            <w:r>
              <w:rPr>
                <w:spacing w:val="-4"/>
                <w:sz w:val="20"/>
              </w:rPr>
              <w:t xml:space="preserve"> </w:t>
            </w:r>
            <w:r>
              <w:rPr>
                <w:sz w:val="20"/>
              </w:rPr>
              <w:t>to</w:t>
            </w:r>
            <w:r>
              <w:rPr>
                <w:spacing w:val="-4"/>
                <w:sz w:val="20"/>
              </w:rPr>
              <w:t xml:space="preserve"> </w:t>
            </w:r>
            <w:r>
              <w:rPr>
                <w:spacing w:val="-2"/>
                <w:sz w:val="20"/>
              </w:rPr>
              <w:t>change.</w:t>
            </w:r>
          </w:p>
        </w:tc>
        <w:tc>
          <w:tcPr>
            <w:tcW w:w="991" w:type="dxa"/>
          </w:tcPr>
          <w:p w14:paraId="5A3FA536" w14:textId="77777777" w:rsidR="00DB6E1F" w:rsidRDefault="00F666A6">
            <w:pPr>
              <w:pStyle w:val="TableParagraph"/>
              <w:ind w:left="7"/>
              <w:jc w:val="center"/>
              <w:rPr>
                <w:sz w:val="20"/>
              </w:rPr>
            </w:pPr>
            <w:r>
              <w:rPr>
                <w:w w:val="99"/>
                <w:sz w:val="20"/>
              </w:rPr>
              <w:t>1</w:t>
            </w:r>
          </w:p>
        </w:tc>
        <w:tc>
          <w:tcPr>
            <w:tcW w:w="900" w:type="dxa"/>
          </w:tcPr>
          <w:p w14:paraId="56B1FE2E" w14:textId="77777777" w:rsidR="00DB6E1F" w:rsidRDefault="00F666A6">
            <w:pPr>
              <w:pStyle w:val="TableParagraph"/>
              <w:ind w:left="7"/>
              <w:jc w:val="center"/>
              <w:rPr>
                <w:sz w:val="20"/>
              </w:rPr>
            </w:pPr>
            <w:r>
              <w:rPr>
                <w:w w:val="99"/>
                <w:sz w:val="20"/>
              </w:rPr>
              <w:t>2</w:t>
            </w:r>
          </w:p>
        </w:tc>
        <w:tc>
          <w:tcPr>
            <w:tcW w:w="989" w:type="dxa"/>
          </w:tcPr>
          <w:p w14:paraId="05710454" w14:textId="77777777" w:rsidR="00DB6E1F" w:rsidRDefault="00F666A6">
            <w:pPr>
              <w:pStyle w:val="TableParagraph"/>
              <w:ind w:left="9"/>
              <w:jc w:val="center"/>
              <w:rPr>
                <w:sz w:val="20"/>
              </w:rPr>
            </w:pPr>
            <w:r>
              <w:rPr>
                <w:w w:val="99"/>
                <w:sz w:val="20"/>
              </w:rPr>
              <w:t>3</w:t>
            </w:r>
          </w:p>
        </w:tc>
        <w:tc>
          <w:tcPr>
            <w:tcW w:w="991" w:type="dxa"/>
          </w:tcPr>
          <w:p w14:paraId="5BBFC748" w14:textId="77777777" w:rsidR="00DB6E1F" w:rsidRDefault="00F666A6">
            <w:pPr>
              <w:pStyle w:val="TableParagraph"/>
              <w:ind w:left="7"/>
              <w:jc w:val="center"/>
              <w:rPr>
                <w:sz w:val="20"/>
              </w:rPr>
            </w:pPr>
            <w:r>
              <w:rPr>
                <w:w w:val="99"/>
                <w:sz w:val="20"/>
              </w:rPr>
              <w:t>4</w:t>
            </w:r>
          </w:p>
        </w:tc>
        <w:tc>
          <w:tcPr>
            <w:tcW w:w="989" w:type="dxa"/>
          </w:tcPr>
          <w:p w14:paraId="674CFAE8" w14:textId="77777777" w:rsidR="00DB6E1F" w:rsidRDefault="00F666A6">
            <w:pPr>
              <w:pStyle w:val="TableParagraph"/>
              <w:ind w:left="9"/>
              <w:jc w:val="center"/>
              <w:rPr>
                <w:sz w:val="20"/>
              </w:rPr>
            </w:pPr>
            <w:r>
              <w:rPr>
                <w:w w:val="99"/>
                <w:sz w:val="20"/>
              </w:rPr>
              <w:t>5</w:t>
            </w:r>
          </w:p>
        </w:tc>
      </w:tr>
      <w:tr w:rsidR="00DB6E1F" w14:paraId="6F06950E" w14:textId="77777777">
        <w:trPr>
          <w:trHeight w:val="263"/>
        </w:trPr>
        <w:tc>
          <w:tcPr>
            <w:tcW w:w="4409" w:type="dxa"/>
          </w:tcPr>
          <w:p w14:paraId="06AB3AB5" w14:textId="77777777" w:rsidR="00DB6E1F" w:rsidRDefault="00F666A6">
            <w:pPr>
              <w:pStyle w:val="TableParagraph"/>
              <w:spacing w:line="242" w:lineRule="exact"/>
              <w:ind w:left="95"/>
              <w:rPr>
                <w:sz w:val="20"/>
              </w:rPr>
            </w:pPr>
            <w:r>
              <w:rPr>
                <w:color w:val="4D4D4F"/>
                <w:sz w:val="20"/>
              </w:rPr>
              <w:t>14.</w:t>
            </w:r>
            <w:r>
              <w:rPr>
                <w:color w:val="4D4D4F"/>
                <w:spacing w:val="19"/>
                <w:sz w:val="20"/>
              </w:rPr>
              <w:t xml:space="preserve"> </w:t>
            </w:r>
            <w:r>
              <w:rPr>
                <w:sz w:val="20"/>
              </w:rPr>
              <w:t>I</w:t>
            </w:r>
            <w:r>
              <w:rPr>
                <w:spacing w:val="2"/>
                <w:sz w:val="20"/>
              </w:rPr>
              <w:t xml:space="preserve"> </w:t>
            </w:r>
            <w:r>
              <w:rPr>
                <w:sz w:val="20"/>
              </w:rPr>
              <w:t>am</w:t>
            </w:r>
            <w:r>
              <w:rPr>
                <w:spacing w:val="1"/>
                <w:sz w:val="20"/>
              </w:rPr>
              <w:t xml:space="preserve"> </w:t>
            </w:r>
            <w:r>
              <w:rPr>
                <w:sz w:val="20"/>
              </w:rPr>
              <w:t>really</w:t>
            </w:r>
            <w:r>
              <w:rPr>
                <w:spacing w:val="4"/>
                <w:sz w:val="20"/>
              </w:rPr>
              <w:t xml:space="preserve"> </w:t>
            </w:r>
            <w:r>
              <w:rPr>
                <w:sz w:val="20"/>
              </w:rPr>
              <w:t>working</w:t>
            </w:r>
            <w:r>
              <w:rPr>
                <w:spacing w:val="2"/>
                <w:sz w:val="20"/>
              </w:rPr>
              <w:t xml:space="preserve"> </w:t>
            </w:r>
            <w:r>
              <w:rPr>
                <w:sz w:val="20"/>
              </w:rPr>
              <w:t>hard</w:t>
            </w:r>
            <w:r>
              <w:rPr>
                <w:spacing w:val="4"/>
                <w:sz w:val="20"/>
              </w:rPr>
              <w:t xml:space="preserve"> </w:t>
            </w:r>
            <w:r>
              <w:rPr>
                <w:sz w:val="20"/>
              </w:rPr>
              <w:t>to</w:t>
            </w:r>
            <w:r>
              <w:rPr>
                <w:spacing w:val="2"/>
                <w:sz w:val="20"/>
              </w:rPr>
              <w:t xml:space="preserve"> </w:t>
            </w:r>
            <w:r>
              <w:rPr>
                <w:spacing w:val="-2"/>
                <w:sz w:val="20"/>
              </w:rPr>
              <w:t>change.</w:t>
            </w:r>
          </w:p>
        </w:tc>
        <w:tc>
          <w:tcPr>
            <w:tcW w:w="991" w:type="dxa"/>
          </w:tcPr>
          <w:p w14:paraId="71F7EED1" w14:textId="77777777" w:rsidR="00DB6E1F" w:rsidRDefault="00F666A6">
            <w:pPr>
              <w:pStyle w:val="TableParagraph"/>
              <w:spacing w:line="242" w:lineRule="exact"/>
              <w:ind w:left="7"/>
              <w:jc w:val="center"/>
              <w:rPr>
                <w:sz w:val="20"/>
              </w:rPr>
            </w:pPr>
            <w:r>
              <w:rPr>
                <w:w w:val="99"/>
                <w:sz w:val="20"/>
              </w:rPr>
              <w:t>1</w:t>
            </w:r>
          </w:p>
        </w:tc>
        <w:tc>
          <w:tcPr>
            <w:tcW w:w="900" w:type="dxa"/>
          </w:tcPr>
          <w:p w14:paraId="4F91C98D" w14:textId="77777777" w:rsidR="00DB6E1F" w:rsidRDefault="00F666A6">
            <w:pPr>
              <w:pStyle w:val="TableParagraph"/>
              <w:spacing w:line="242" w:lineRule="exact"/>
              <w:ind w:left="7"/>
              <w:jc w:val="center"/>
              <w:rPr>
                <w:sz w:val="20"/>
              </w:rPr>
            </w:pPr>
            <w:r>
              <w:rPr>
                <w:w w:val="99"/>
                <w:sz w:val="20"/>
              </w:rPr>
              <w:t>2</w:t>
            </w:r>
          </w:p>
        </w:tc>
        <w:tc>
          <w:tcPr>
            <w:tcW w:w="989" w:type="dxa"/>
          </w:tcPr>
          <w:p w14:paraId="26EE095B" w14:textId="77777777" w:rsidR="00DB6E1F" w:rsidRDefault="00F666A6">
            <w:pPr>
              <w:pStyle w:val="TableParagraph"/>
              <w:spacing w:line="242" w:lineRule="exact"/>
              <w:ind w:left="9"/>
              <w:jc w:val="center"/>
              <w:rPr>
                <w:sz w:val="20"/>
              </w:rPr>
            </w:pPr>
            <w:r>
              <w:rPr>
                <w:w w:val="99"/>
                <w:sz w:val="20"/>
              </w:rPr>
              <w:t>3</w:t>
            </w:r>
          </w:p>
        </w:tc>
        <w:tc>
          <w:tcPr>
            <w:tcW w:w="991" w:type="dxa"/>
          </w:tcPr>
          <w:p w14:paraId="14E9A773" w14:textId="77777777" w:rsidR="00DB6E1F" w:rsidRDefault="00F666A6">
            <w:pPr>
              <w:pStyle w:val="TableParagraph"/>
              <w:spacing w:line="242" w:lineRule="exact"/>
              <w:ind w:left="7"/>
              <w:jc w:val="center"/>
              <w:rPr>
                <w:sz w:val="20"/>
              </w:rPr>
            </w:pPr>
            <w:r>
              <w:rPr>
                <w:w w:val="99"/>
                <w:sz w:val="20"/>
              </w:rPr>
              <w:t>4</w:t>
            </w:r>
          </w:p>
        </w:tc>
        <w:tc>
          <w:tcPr>
            <w:tcW w:w="989" w:type="dxa"/>
          </w:tcPr>
          <w:p w14:paraId="62C9B3E0" w14:textId="77777777" w:rsidR="00DB6E1F" w:rsidRDefault="00F666A6">
            <w:pPr>
              <w:pStyle w:val="TableParagraph"/>
              <w:spacing w:line="242" w:lineRule="exact"/>
              <w:ind w:left="9"/>
              <w:jc w:val="center"/>
              <w:rPr>
                <w:sz w:val="20"/>
              </w:rPr>
            </w:pPr>
            <w:r>
              <w:rPr>
                <w:w w:val="99"/>
                <w:sz w:val="20"/>
              </w:rPr>
              <w:t>5</w:t>
            </w:r>
          </w:p>
        </w:tc>
      </w:tr>
      <w:tr w:rsidR="00DB6E1F" w14:paraId="4B6B0908" w14:textId="77777777">
        <w:trPr>
          <w:trHeight w:val="527"/>
        </w:trPr>
        <w:tc>
          <w:tcPr>
            <w:tcW w:w="4409" w:type="dxa"/>
          </w:tcPr>
          <w:p w14:paraId="6A911D83" w14:textId="77777777" w:rsidR="00DB6E1F" w:rsidRDefault="00F666A6">
            <w:pPr>
              <w:pStyle w:val="TableParagraph"/>
              <w:ind w:left="95"/>
              <w:rPr>
                <w:sz w:val="20"/>
              </w:rPr>
            </w:pPr>
            <w:r>
              <w:rPr>
                <w:color w:val="4D4D4F"/>
                <w:sz w:val="20"/>
              </w:rPr>
              <w:t>15.</w:t>
            </w:r>
            <w:r>
              <w:rPr>
                <w:color w:val="4D4D4F"/>
                <w:spacing w:val="16"/>
                <w:sz w:val="20"/>
              </w:rPr>
              <w:t xml:space="preserve"> </w:t>
            </w:r>
            <w:r>
              <w:rPr>
                <w:sz w:val="20"/>
              </w:rPr>
              <w:t>I</w:t>
            </w:r>
            <w:r>
              <w:rPr>
                <w:spacing w:val="1"/>
                <w:sz w:val="20"/>
              </w:rPr>
              <w:t xml:space="preserve"> </w:t>
            </w:r>
            <w:r>
              <w:rPr>
                <w:sz w:val="20"/>
              </w:rPr>
              <w:t>have a</w:t>
            </w:r>
            <w:r>
              <w:rPr>
                <w:spacing w:val="1"/>
                <w:sz w:val="20"/>
              </w:rPr>
              <w:t xml:space="preserve"> </w:t>
            </w:r>
            <w:r>
              <w:rPr>
                <w:sz w:val="20"/>
              </w:rPr>
              <w:t>problem,</w:t>
            </w:r>
            <w:r>
              <w:rPr>
                <w:spacing w:val="1"/>
                <w:sz w:val="20"/>
              </w:rPr>
              <w:t xml:space="preserve"> </w:t>
            </w:r>
            <w:r>
              <w:rPr>
                <w:sz w:val="20"/>
              </w:rPr>
              <w:t>and</w:t>
            </w:r>
            <w:r>
              <w:rPr>
                <w:spacing w:val="2"/>
                <w:sz w:val="20"/>
              </w:rPr>
              <w:t xml:space="preserve"> </w:t>
            </w:r>
            <w:r>
              <w:rPr>
                <w:sz w:val="20"/>
              </w:rPr>
              <w:t>I</w:t>
            </w:r>
            <w:r>
              <w:rPr>
                <w:spacing w:val="1"/>
                <w:sz w:val="20"/>
              </w:rPr>
              <w:t xml:space="preserve"> </w:t>
            </w:r>
            <w:r>
              <w:rPr>
                <w:sz w:val="20"/>
              </w:rPr>
              <w:t>really</w:t>
            </w:r>
            <w:r>
              <w:rPr>
                <w:spacing w:val="2"/>
                <w:sz w:val="20"/>
              </w:rPr>
              <w:t xml:space="preserve"> </w:t>
            </w:r>
            <w:r>
              <w:rPr>
                <w:sz w:val="20"/>
              </w:rPr>
              <w:t>think</w:t>
            </w:r>
            <w:r>
              <w:rPr>
                <w:spacing w:val="1"/>
                <w:sz w:val="20"/>
              </w:rPr>
              <w:t xml:space="preserve"> </w:t>
            </w:r>
            <w:r>
              <w:rPr>
                <w:sz w:val="20"/>
              </w:rPr>
              <w:t>I</w:t>
            </w:r>
            <w:r>
              <w:rPr>
                <w:spacing w:val="1"/>
                <w:sz w:val="20"/>
              </w:rPr>
              <w:t xml:space="preserve"> </w:t>
            </w:r>
            <w:r>
              <w:rPr>
                <w:spacing w:val="-2"/>
                <w:sz w:val="20"/>
              </w:rPr>
              <w:t>should</w:t>
            </w:r>
          </w:p>
          <w:p w14:paraId="5C262C4A" w14:textId="77777777" w:rsidR="00DB6E1F" w:rsidRDefault="00F666A6">
            <w:pPr>
              <w:pStyle w:val="TableParagraph"/>
              <w:spacing w:before="20" w:line="242" w:lineRule="exact"/>
              <w:ind w:left="455"/>
              <w:rPr>
                <w:sz w:val="20"/>
              </w:rPr>
            </w:pPr>
            <w:r>
              <w:rPr>
                <w:sz w:val="20"/>
              </w:rPr>
              <w:t>work</w:t>
            </w:r>
            <w:r>
              <w:rPr>
                <w:spacing w:val="-3"/>
                <w:sz w:val="20"/>
              </w:rPr>
              <w:t xml:space="preserve"> </w:t>
            </w:r>
            <w:r>
              <w:rPr>
                <w:sz w:val="20"/>
              </w:rPr>
              <w:t>on</w:t>
            </w:r>
            <w:r>
              <w:rPr>
                <w:spacing w:val="-3"/>
                <w:sz w:val="20"/>
              </w:rPr>
              <w:t xml:space="preserve"> </w:t>
            </w:r>
            <w:r>
              <w:rPr>
                <w:spacing w:val="-5"/>
                <w:sz w:val="20"/>
              </w:rPr>
              <w:t>it.</w:t>
            </w:r>
          </w:p>
        </w:tc>
        <w:tc>
          <w:tcPr>
            <w:tcW w:w="991" w:type="dxa"/>
          </w:tcPr>
          <w:p w14:paraId="3F7DFCD5" w14:textId="77777777" w:rsidR="00DB6E1F" w:rsidRDefault="00F666A6">
            <w:pPr>
              <w:pStyle w:val="TableParagraph"/>
              <w:ind w:left="7"/>
              <w:jc w:val="center"/>
              <w:rPr>
                <w:sz w:val="20"/>
              </w:rPr>
            </w:pPr>
            <w:r>
              <w:rPr>
                <w:w w:val="99"/>
                <w:sz w:val="20"/>
              </w:rPr>
              <w:t>1</w:t>
            </w:r>
          </w:p>
        </w:tc>
        <w:tc>
          <w:tcPr>
            <w:tcW w:w="900" w:type="dxa"/>
          </w:tcPr>
          <w:p w14:paraId="5F594B12" w14:textId="77777777" w:rsidR="00DB6E1F" w:rsidRDefault="00F666A6">
            <w:pPr>
              <w:pStyle w:val="TableParagraph"/>
              <w:ind w:left="7"/>
              <w:jc w:val="center"/>
              <w:rPr>
                <w:sz w:val="20"/>
              </w:rPr>
            </w:pPr>
            <w:r>
              <w:rPr>
                <w:w w:val="99"/>
                <w:sz w:val="20"/>
              </w:rPr>
              <w:t>2</w:t>
            </w:r>
          </w:p>
        </w:tc>
        <w:tc>
          <w:tcPr>
            <w:tcW w:w="989" w:type="dxa"/>
          </w:tcPr>
          <w:p w14:paraId="7FA1ED9E" w14:textId="77777777" w:rsidR="00DB6E1F" w:rsidRDefault="00F666A6">
            <w:pPr>
              <w:pStyle w:val="TableParagraph"/>
              <w:ind w:left="9"/>
              <w:jc w:val="center"/>
              <w:rPr>
                <w:sz w:val="20"/>
              </w:rPr>
            </w:pPr>
            <w:r>
              <w:rPr>
                <w:w w:val="99"/>
                <w:sz w:val="20"/>
              </w:rPr>
              <w:t>3</w:t>
            </w:r>
          </w:p>
        </w:tc>
        <w:tc>
          <w:tcPr>
            <w:tcW w:w="991" w:type="dxa"/>
          </w:tcPr>
          <w:p w14:paraId="0225BED0" w14:textId="77777777" w:rsidR="00DB6E1F" w:rsidRDefault="00F666A6">
            <w:pPr>
              <w:pStyle w:val="TableParagraph"/>
              <w:ind w:left="7"/>
              <w:jc w:val="center"/>
              <w:rPr>
                <w:sz w:val="20"/>
              </w:rPr>
            </w:pPr>
            <w:r>
              <w:rPr>
                <w:w w:val="99"/>
                <w:sz w:val="20"/>
              </w:rPr>
              <w:t>4</w:t>
            </w:r>
          </w:p>
        </w:tc>
        <w:tc>
          <w:tcPr>
            <w:tcW w:w="989" w:type="dxa"/>
          </w:tcPr>
          <w:p w14:paraId="7D15E123" w14:textId="77777777" w:rsidR="00DB6E1F" w:rsidRDefault="00F666A6">
            <w:pPr>
              <w:pStyle w:val="TableParagraph"/>
              <w:ind w:left="9"/>
              <w:jc w:val="center"/>
              <w:rPr>
                <w:sz w:val="20"/>
              </w:rPr>
            </w:pPr>
            <w:r>
              <w:rPr>
                <w:w w:val="99"/>
                <w:sz w:val="20"/>
              </w:rPr>
              <w:t>5</w:t>
            </w:r>
          </w:p>
        </w:tc>
      </w:tr>
    </w:tbl>
    <w:p w14:paraId="6446587D" w14:textId="77777777" w:rsidR="00DB6E1F" w:rsidRDefault="00DB6E1F">
      <w:pPr>
        <w:jc w:val="center"/>
        <w:rPr>
          <w:sz w:val="20"/>
        </w:rPr>
        <w:sectPr w:rsidR="00DB6E1F">
          <w:pgSz w:w="12240" w:h="15840"/>
          <w:pgMar w:top="1200" w:right="0" w:bottom="780" w:left="0" w:header="763" w:footer="585" w:gutter="0"/>
          <w:cols w:space="720"/>
        </w:sectPr>
      </w:pPr>
    </w:p>
    <w:p w14:paraId="79BD926B" w14:textId="77777777" w:rsidR="00DB6E1F" w:rsidRDefault="00DB6E1F">
      <w:pPr>
        <w:pStyle w:val="BodyText"/>
        <w:spacing w:before="3" w:after="1"/>
        <w:rPr>
          <w:sz w:val="19"/>
        </w:rPr>
      </w:pPr>
    </w:p>
    <w:tbl>
      <w:tblPr>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9"/>
        <w:gridCol w:w="991"/>
        <w:gridCol w:w="900"/>
        <w:gridCol w:w="989"/>
        <w:gridCol w:w="991"/>
        <w:gridCol w:w="989"/>
      </w:tblGrid>
      <w:tr w:rsidR="00DB6E1F" w14:paraId="5DACD6CE" w14:textId="77777777">
        <w:trPr>
          <w:trHeight w:val="527"/>
        </w:trPr>
        <w:tc>
          <w:tcPr>
            <w:tcW w:w="4409" w:type="dxa"/>
          </w:tcPr>
          <w:p w14:paraId="78A6F8FF" w14:textId="77777777" w:rsidR="00DB6E1F" w:rsidRDefault="00F666A6">
            <w:pPr>
              <w:pStyle w:val="TableParagraph"/>
              <w:ind w:left="1755" w:right="1749"/>
              <w:jc w:val="center"/>
              <w:rPr>
                <w:b/>
                <w:sz w:val="20"/>
              </w:rPr>
            </w:pPr>
            <w:r>
              <w:rPr>
                <w:b/>
                <w:spacing w:val="-2"/>
                <w:sz w:val="20"/>
              </w:rPr>
              <w:t>Statement</w:t>
            </w:r>
          </w:p>
        </w:tc>
        <w:tc>
          <w:tcPr>
            <w:tcW w:w="991" w:type="dxa"/>
          </w:tcPr>
          <w:p w14:paraId="38AB3EA8" w14:textId="77777777" w:rsidR="00DB6E1F" w:rsidRDefault="00F666A6">
            <w:pPr>
              <w:pStyle w:val="TableParagraph"/>
              <w:ind w:left="150"/>
              <w:rPr>
                <w:b/>
                <w:sz w:val="20"/>
              </w:rPr>
            </w:pPr>
            <w:r>
              <w:rPr>
                <w:b/>
                <w:spacing w:val="-2"/>
                <w:sz w:val="20"/>
              </w:rPr>
              <w:t>Strongly</w:t>
            </w:r>
          </w:p>
          <w:p w14:paraId="1C8F7BCA" w14:textId="77777777" w:rsidR="00DB6E1F" w:rsidRDefault="00F666A6">
            <w:pPr>
              <w:pStyle w:val="TableParagraph"/>
              <w:spacing w:before="20" w:line="242" w:lineRule="exact"/>
              <w:ind w:left="133"/>
              <w:rPr>
                <w:b/>
                <w:sz w:val="20"/>
              </w:rPr>
            </w:pPr>
            <w:r>
              <w:rPr>
                <w:b/>
                <w:spacing w:val="-2"/>
                <w:sz w:val="20"/>
              </w:rPr>
              <w:t>Disagree</w:t>
            </w:r>
          </w:p>
        </w:tc>
        <w:tc>
          <w:tcPr>
            <w:tcW w:w="900" w:type="dxa"/>
          </w:tcPr>
          <w:p w14:paraId="478CB62B" w14:textId="77777777" w:rsidR="00DB6E1F" w:rsidRDefault="00F666A6">
            <w:pPr>
              <w:pStyle w:val="TableParagraph"/>
              <w:ind w:left="6"/>
              <w:jc w:val="center"/>
              <w:rPr>
                <w:b/>
                <w:sz w:val="20"/>
              </w:rPr>
            </w:pPr>
            <w:r>
              <w:rPr>
                <w:b/>
                <w:spacing w:val="-2"/>
                <w:sz w:val="20"/>
              </w:rPr>
              <w:t>Disagree</w:t>
            </w:r>
          </w:p>
        </w:tc>
        <w:tc>
          <w:tcPr>
            <w:tcW w:w="989" w:type="dxa"/>
          </w:tcPr>
          <w:p w14:paraId="7C357BE4" w14:textId="77777777" w:rsidR="00DB6E1F" w:rsidRDefault="00F666A6">
            <w:pPr>
              <w:pStyle w:val="TableParagraph"/>
              <w:ind w:left="34" w:right="28"/>
              <w:jc w:val="center"/>
              <w:rPr>
                <w:b/>
                <w:sz w:val="20"/>
              </w:rPr>
            </w:pPr>
            <w:r>
              <w:rPr>
                <w:b/>
                <w:spacing w:val="-2"/>
                <w:sz w:val="20"/>
              </w:rPr>
              <w:t>Undecided</w:t>
            </w:r>
          </w:p>
        </w:tc>
        <w:tc>
          <w:tcPr>
            <w:tcW w:w="991" w:type="dxa"/>
          </w:tcPr>
          <w:p w14:paraId="2ADEC5BA" w14:textId="77777777" w:rsidR="00DB6E1F" w:rsidRDefault="00F666A6">
            <w:pPr>
              <w:pStyle w:val="TableParagraph"/>
              <w:ind w:left="188" w:right="184"/>
              <w:jc w:val="center"/>
              <w:rPr>
                <w:b/>
                <w:sz w:val="20"/>
              </w:rPr>
            </w:pPr>
            <w:r>
              <w:rPr>
                <w:b/>
                <w:spacing w:val="-2"/>
                <w:sz w:val="20"/>
              </w:rPr>
              <w:t>Agree</w:t>
            </w:r>
          </w:p>
        </w:tc>
        <w:tc>
          <w:tcPr>
            <w:tcW w:w="989" w:type="dxa"/>
          </w:tcPr>
          <w:p w14:paraId="3F5439A0" w14:textId="77777777" w:rsidR="00DB6E1F" w:rsidRDefault="00F666A6">
            <w:pPr>
              <w:pStyle w:val="TableParagraph"/>
              <w:ind w:left="151"/>
              <w:rPr>
                <w:b/>
                <w:sz w:val="20"/>
              </w:rPr>
            </w:pPr>
            <w:r>
              <w:rPr>
                <w:b/>
                <w:spacing w:val="-2"/>
                <w:sz w:val="20"/>
              </w:rPr>
              <w:t>Strongly</w:t>
            </w:r>
          </w:p>
          <w:p w14:paraId="1D338CCA" w14:textId="77777777" w:rsidR="00DB6E1F" w:rsidRDefault="00F666A6">
            <w:pPr>
              <w:pStyle w:val="TableParagraph"/>
              <w:spacing w:before="20" w:line="242" w:lineRule="exact"/>
              <w:ind w:left="249"/>
              <w:rPr>
                <w:b/>
                <w:sz w:val="20"/>
              </w:rPr>
            </w:pPr>
            <w:r>
              <w:rPr>
                <w:b/>
                <w:spacing w:val="-2"/>
                <w:sz w:val="20"/>
              </w:rPr>
              <w:t>Agree</w:t>
            </w:r>
          </w:p>
        </w:tc>
      </w:tr>
      <w:tr w:rsidR="00DB6E1F" w14:paraId="49419987" w14:textId="77777777">
        <w:trPr>
          <w:trHeight w:val="789"/>
        </w:trPr>
        <w:tc>
          <w:tcPr>
            <w:tcW w:w="4409" w:type="dxa"/>
          </w:tcPr>
          <w:p w14:paraId="4AB98A3B" w14:textId="77777777" w:rsidR="00DB6E1F" w:rsidRDefault="00F666A6">
            <w:pPr>
              <w:pStyle w:val="TableParagraph"/>
              <w:ind w:left="95"/>
              <w:rPr>
                <w:sz w:val="20"/>
              </w:rPr>
            </w:pPr>
            <w:r>
              <w:rPr>
                <w:color w:val="4D4D4F"/>
                <w:sz w:val="20"/>
              </w:rPr>
              <w:t>16.</w:t>
            </w:r>
            <w:r>
              <w:rPr>
                <w:color w:val="4D4D4F"/>
                <w:spacing w:val="17"/>
                <w:sz w:val="20"/>
              </w:rPr>
              <w:t xml:space="preserve"> </w:t>
            </w:r>
            <w:r>
              <w:rPr>
                <w:sz w:val="20"/>
              </w:rPr>
              <w:t>I’m not</w:t>
            </w:r>
            <w:r>
              <w:rPr>
                <w:spacing w:val="1"/>
                <w:sz w:val="20"/>
              </w:rPr>
              <w:t xml:space="preserve"> </w:t>
            </w:r>
            <w:r>
              <w:rPr>
                <w:sz w:val="20"/>
              </w:rPr>
              <w:t>following</w:t>
            </w:r>
            <w:r>
              <w:rPr>
                <w:spacing w:val="1"/>
                <w:sz w:val="20"/>
              </w:rPr>
              <w:t xml:space="preserve"> </w:t>
            </w:r>
            <w:r>
              <w:rPr>
                <w:sz w:val="20"/>
              </w:rPr>
              <w:t>through</w:t>
            </w:r>
            <w:r>
              <w:rPr>
                <w:spacing w:val="2"/>
                <w:sz w:val="20"/>
              </w:rPr>
              <w:t xml:space="preserve"> </w:t>
            </w:r>
            <w:r>
              <w:rPr>
                <w:sz w:val="20"/>
              </w:rPr>
              <w:t>with</w:t>
            </w:r>
            <w:r>
              <w:rPr>
                <w:spacing w:val="2"/>
                <w:sz w:val="20"/>
              </w:rPr>
              <w:t xml:space="preserve"> </w:t>
            </w:r>
            <w:r>
              <w:rPr>
                <w:sz w:val="20"/>
              </w:rPr>
              <w:t>what</w:t>
            </w:r>
            <w:r>
              <w:rPr>
                <w:spacing w:val="1"/>
                <w:sz w:val="20"/>
              </w:rPr>
              <w:t xml:space="preserve"> </w:t>
            </w:r>
            <w:r>
              <w:rPr>
                <w:sz w:val="20"/>
              </w:rPr>
              <w:t>I</w:t>
            </w:r>
            <w:r>
              <w:rPr>
                <w:spacing w:val="1"/>
                <w:sz w:val="20"/>
              </w:rPr>
              <w:t xml:space="preserve"> </w:t>
            </w:r>
            <w:r>
              <w:rPr>
                <w:spacing w:val="-5"/>
                <w:sz w:val="20"/>
              </w:rPr>
              <w:t>had</w:t>
            </w:r>
          </w:p>
          <w:p w14:paraId="4AF8DAC4" w14:textId="77777777" w:rsidR="00DB6E1F" w:rsidRDefault="00F666A6">
            <w:pPr>
              <w:pStyle w:val="TableParagraph"/>
              <w:spacing w:before="4" w:line="260" w:lineRule="atLeast"/>
              <w:ind w:left="455"/>
              <w:rPr>
                <w:sz w:val="20"/>
              </w:rPr>
            </w:pPr>
            <w:r>
              <w:rPr>
                <w:sz w:val="20"/>
              </w:rPr>
              <w:t>already</w:t>
            </w:r>
            <w:r>
              <w:rPr>
                <w:spacing w:val="-4"/>
                <w:sz w:val="20"/>
              </w:rPr>
              <w:t xml:space="preserve"> </w:t>
            </w:r>
            <w:r>
              <w:rPr>
                <w:sz w:val="20"/>
              </w:rPr>
              <w:t>changed</w:t>
            </w:r>
            <w:r>
              <w:rPr>
                <w:spacing w:val="-4"/>
                <w:sz w:val="20"/>
              </w:rPr>
              <w:t xml:space="preserve"> </w:t>
            </w:r>
            <w:r>
              <w:rPr>
                <w:sz w:val="20"/>
              </w:rPr>
              <w:t>as</w:t>
            </w:r>
            <w:r>
              <w:rPr>
                <w:spacing w:val="-6"/>
                <w:sz w:val="20"/>
              </w:rPr>
              <w:t xml:space="preserve"> </w:t>
            </w:r>
            <w:r>
              <w:rPr>
                <w:sz w:val="20"/>
              </w:rPr>
              <w:t>well</w:t>
            </w:r>
            <w:r>
              <w:rPr>
                <w:spacing w:val="-5"/>
                <w:sz w:val="20"/>
              </w:rPr>
              <w:t xml:space="preserve"> </w:t>
            </w:r>
            <w:r>
              <w:rPr>
                <w:sz w:val="20"/>
              </w:rPr>
              <w:t>as</w:t>
            </w:r>
            <w:r>
              <w:rPr>
                <w:spacing w:val="-6"/>
                <w:sz w:val="20"/>
              </w:rPr>
              <w:t xml:space="preserve"> </w:t>
            </w:r>
            <w:r>
              <w:rPr>
                <w:sz w:val="20"/>
              </w:rPr>
              <w:t>I</w:t>
            </w:r>
            <w:r>
              <w:rPr>
                <w:spacing w:val="-5"/>
                <w:sz w:val="20"/>
              </w:rPr>
              <w:t xml:space="preserve"> </w:t>
            </w:r>
            <w:r>
              <w:rPr>
                <w:sz w:val="20"/>
              </w:rPr>
              <w:t>had</w:t>
            </w:r>
            <w:r>
              <w:rPr>
                <w:spacing w:val="-4"/>
                <w:sz w:val="20"/>
              </w:rPr>
              <w:t xml:space="preserve"> </w:t>
            </w:r>
            <w:r>
              <w:rPr>
                <w:sz w:val="20"/>
              </w:rPr>
              <w:t>hoped,</w:t>
            </w:r>
            <w:r>
              <w:rPr>
                <w:spacing w:val="-4"/>
                <w:sz w:val="20"/>
              </w:rPr>
              <w:t xml:space="preserve"> </w:t>
            </w:r>
            <w:r>
              <w:rPr>
                <w:sz w:val="20"/>
              </w:rPr>
              <w:t>and</w:t>
            </w:r>
            <w:r>
              <w:rPr>
                <w:spacing w:val="-4"/>
                <w:sz w:val="20"/>
              </w:rPr>
              <w:t xml:space="preserve"> </w:t>
            </w:r>
            <w:r>
              <w:rPr>
                <w:sz w:val="20"/>
              </w:rPr>
              <w:t>I want to prevent a relapse of the problem.</w:t>
            </w:r>
          </w:p>
        </w:tc>
        <w:tc>
          <w:tcPr>
            <w:tcW w:w="991" w:type="dxa"/>
          </w:tcPr>
          <w:p w14:paraId="47ED692B" w14:textId="77777777" w:rsidR="00DB6E1F" w:rsidRDefault="00F666A6">
            <w:pPr>
              <w:pStyle w:val="TableParagraph"/>
              <w:ind w:left="7"/>
              <w:jc w:val="center"/>
              <w:rPr>
                <w:sz w:val="20"/>
              </w:rPr>
            </w:pPr>
            <w:r>
              <w:rPr>
                <w:w w:val="99"/>
                <w:sz w:val="20"/>
              </w:rPr>
              <w:t>1</w:t>
            </w:r>
          </w:p>
        </w:tc>
        <w:tc>
          <w:tcPr>
            <w:tcW w:w="900" w:type="dxa"/>
          </w:tcPr>
          <w:p w14:paraId="79E879E6" w14:textId="77777777" w:rsidR="00DB6E1F" w:rsidRDefault="00F666A6">
            <w:pPr>
              <w:pStyle w:val="TableParagraph"/>
              <w:ind w:left="7"/>
              <w:jc w:val="center"/>
              <w:rPr>
                <w:sz w:val="20"/>
              </w:rPr>
            </w:pPr>
            <w:r>
              <w:rPr>
                <w:w w:val="99"/>
                <w:sz w:val="20"/>
              </w:rPr>
              <w:t>2</w:t>
            </w:r>
          </w:p>
        </w:tc>
        <w:tc>
          <w:tcPr>
            <w:tcW w:w="989" w:type="dxa"/>
          </w:tcPr>
          <w:p w14:paraId="6699603E" w14:textId="77777777" w:rsidR="00DB6E1F" w:rsidRDefault="00F666A6">
            <w:pPr>
              <w:pStyle w:val="TableParagraph"/>
              <w:ind w:left="9"/>
              <w:jc w:val="center"/>
              <w:rPr>
                <w:sz w:val="20"/>
              </w:rPr>
            </w:pPr>
            <w:r>
              <w:rPr>
                <w:w w:val="99"/>
                <w:sz w:val="20"/>
              </w:rPr>
              <w:t>3</w:t>
            </w:r>
          </w:p>
        </w:tc>
        <w:tc>
          <w:tcPr>
            <w:tcW w:w="991" w:type="dxa"/>
          </w:tcPr>
          <w:p w14:paraId="250E15BF" w14:textId="77777777" w:rsidR="00DB6E1F" w:rsidRDefault="00F666A6">
            <w:pPr>
              <w:pStyle w:val="TableParagraph"/>
              <w:ind w:left="7"/>
              <w:jc w:val="center"/>
              <w:rPr>
                <w:sz w:val="20"/>
              </w:rPr>
            </w:pPr>
            <w:r>
              <w:rPr>
                <w:w w:val="99"/>
                <w:sz w:val="20"/>
              </w:rPr>
              <w:t>4</w:t>
            </w:r>
          </w:p>
        </w:tc>
        <w:tc>
          <w:tcPr>
            <w:tcW w:w="989" w:type="dxa"/>
          </w:tcPr>
          <w:p w14:paraId="28651775" w14:textId="77777777" w:rsidR="00DB6E1F" w:rsidRDefault="00F666A6">
            <w:pPr>
              <w:pStyle w:val="TableParagraph"/>
              <w:ind w:left="9"/>
              <w:jc w:val="center"/>
              <w:rPr>
                <w:sz w:val="20"/>
              </w:rPr>
            </w:pPr>
            <w:r>
              <w:rPr>
                <w:w w:val="99"/>
                <w:sz w:val="20"/>
              </w:rPr>
              <w:t>5</w:t>
            </w:r>
          </w:p>
        </w:tc>
      </w:tr>
      <w:tr w:rsidR="00DB6E1F" w14:paraId="454F1FAE" w14:textId="77777777">
        <w:trPr>
          <w:trHeight w:val="527"/>
        </w:trPr>
        <w:tc>
          <w:tcPr>
            <w:tcW w:w="4409" w:type="dxa"/>
          </w:tcPr>
          <w:p w14:paraId="74ABA875" w14:textId="77777777" w:rsidR="00DB6E1F" w:rsidRDefault="00F666A6">
            <w:pPr>
              <w:pStyle w:val="TableParagraph"/>
              <w:ind w:left="95"/>
              <w:rPr>
                <w:sz w:val="20"/>
              </w:rPr>
            </w:pPr>
            <w:r>
              <w:rPr>
                <w:color w:val="4D4D4F"/>
                <w:sz w:val="20"/>
              </w:rPr>
              <w:t>17.</w:t>
            </w:r>
            <w:r>
              <w:rPr>
                <w:color w:val="4D4D4F"/>
                <w:spacing w:val="16"/>
                <w:sz w:val="20"/>
              </w:rPr>
              <w:t xml:space="preserve"> </w:t>
            </w:r>
            <w:r>
              <w:rPr>
                <w:sz w:val="20"/>
              </w:rPr>
              <w:t>Even</w:t>
            </w:r>
            <w:r>
              <w:rPr>
                <w:spacing w:val="2"/>
                <w:sz w:val="20"/>
              </w:rPr>
              <w:t xml:space="preserve"> </w:t>
            </w:r>
            <w:r>
              <w:rPr>
                <w:sz w:val="20"/>
              </w:rPr>
              <w:t>though</w:t>
            </w:r>
            <w:r>
              <w:rPr>
                <w:spacing w:val="2"/>
                <w:sz w:val="20"/>
              </w:rPr>
              <w:t xml:space="preserve"> </w:t>
            </w:r>
            <w:r>
              <w:rPr>
                <w:sz w:val="20"/>
              </w:rPr>
              <w:t>I’m not always successful</w:t>
            </w:r>
            <w:r>
              <w:rPr>
                <w:spacing w:val="1"/>
                <w:sz w:val="20"/>
              </w:rPr>
              <w:t xml:space="preserve"> </w:t>
            </w:r>
            <w:r>
              <w:rPr>
                <w:spacing w:val="-5"/>
                <w:sz w:val="20"/>
              </w:rPr>
              <w:t>in</w:t>
            </w:r>
          </w:p>
          <w:p w14:paraId="786A773A" w14:textId="77777777" w:rsidR="00DB6E1F" w:rsidRDefault="00F666A6">
            <w:pPr>
              <w:pStyle w:val="TableParagraph"/>
              <w:spacing w:before="20" w:line="242" w:lineRule="exact"/>
              <w:ind w:left="455"/>
              <w:rPr>
                <w:sz w:val="20"/>
              </w:rPr>
            </w:pPr>
            <w:r>
              <w:rPr>
                <w:sz w:val="20"/>
              </w:rPr>
              <w:t>changing,</w:t>
            </w:r>
            <w:r>
              <w:rPr>
                <w:spacing w:val="-4"/>
                <w:sz w:val="20"/>
              </w:rPr>
              <w:t xml:space="preserve"> </w:t>
            </w:r>
            <w:r>
              <w:rPr>
                <w:sz w:val="20"/>
              </w:rPr>
              <w:t>I</w:t>
            </w:r>
            <w:r>
              <w:rPr>
                <w:spacing w:val="-4"/>
                <w:sz w:val="20"/>
              </w:rPr>
              <w:t xml:space="preserve"> </w:t>
            </w:r>
            <w:r>
              <w:rPr>
                <w:sz w:val="20"/>
              </w:rPr>
              <w:t>am</w:t>
            </w:r>
            <w:r>
              <w:rPr>
                <w:spacing w:val="-6"/>
                <w:sz w:val="20"/>
              </w:rPr>
              <w:t xml:space="preserve"> </w:t>
            </w:r>
            <w:r>
              <w:rPr>
                <w:sz w:val="20"/>
              </w:rPr>
              <w:t>at</w:t>
            </w:r>
            <w:r>
              <w:rPr>
                <w:spacing w:val="-4"/>
                <w:sz w:val="20"/>
              </w:rPr>
              <w:t xml:space="preserve"> </w:t>
            </w:r>
            <w:r>
              <w:rPr>
                <w:sz w:val="20"/>
              </w:rPr>
              <w:t>least</w:t>
            </w:r>
            <w:r>
              <w:rPr>
                <w:spacing w:val="-5"/>
                <w:sz w:val="20"/>
              </w:rPr>
              <w:t xml:space="preserve"> </w:t>
            </w:r>
            <w:r>
              <w:rPr>
                <w:sz w:val="20"/>
              </w:rPr>
              <w:t>working</w:t>
            </w:r>
            <w:r>
              <w:rPr>
                <w:spacing w:val="-4"/>
                <w:sz w:val="20"/>
              </w:rPr>
              <w:t xml:space="preserve"> </w:t>
            </w:r>
            <w:r>
              <w:rPr>
                <w:sz w:val="20"/>
              </w:rPr>
              <w:t>on</w:t>
            </w:r>
            <w:r>
              <w:rPr>
                <w:spacing w:val="-3"/>
                <w:sz w:val="20"/>
              </w:rPr>
              <w:t xml:space="preserve"> </w:t>
            </w:r>
            <w:r>
              <w:rPr>
                <w:sz w:val="20"/>
              </w:rPr>
              <w:t>my</w:t>
            </w:r>
            <w:r>
              <w:rPr>
                <w:spacing w:val="-4"/>
                <w:sz w:val="20"/>
              </w:rPr>
              <w:t xml:space="preserve"> </w:t>
            </w:r>
            <w:r>
              <w:rPr>
                <w:spacing w:val="-2"/>
                <w:sz w:val="20"/>
              </w:rPr>
              <w:t>problem.</w:t>
            </w:r>
          </w:p>
        </w:tc>
        <w:tc>
          <w:tcPr>
            <w:tcW w:w="991" w:type="dxa"/>
          </w:tcPr>
          <w:p w14:paraId="276CED79" w14:textId="77777777" w:rsidR="00DB6E1F" w:rsidRDefault="00F666A6">
            <w:pPr>
              <w:pStyle w:val="TableParagraph"/>
              <w:ind w:left="7"/>
              <w:jc w:val="center"/>
              <w:rPr>
                <w:sz w:val="20"/>
              </w:rPr>
            </w:pPr>
            <w:r>
              <w:rPr>
                <w:w w:val="99"/>
                <w:sz w:val="20"/>
              </w:rPr>
              <w:t>1</w:t>
            </w:r>
          </w:p>
        </w:tc>
        <w:tc>
          <w:tcPr>
            <w:tcW w:w="900" w:type="dxa"/>
          </w:tcPr>
          <w:p w14:paraId="18DF091C" w14:textId="77777777" w:rsidR="00DB6E1F" w:rsidRDefault="00F666A6">
            <w:pPr>
              <w:pStyle w:val="TableParagraph"/>
              <w:ind w:left="7"/>
              <w:jc w:val="center"/>
              <w:rPr>
                <w:sz w:val="20"/>
              </w:rPr>
            </w:pPr>
            <w:r>
              <w:rPr>
                <w:w w:val="99"/>
                <w:sz w:val="20"/>
              </w:rPr>
              <w:t>2</w:t>
            </w:r>
          </w:p>
        </w:tc>
        <w:tc>
          <w:tcPr>
            <w:tcW w:w="989" w:type="dxa"/>
          </w:tcPr>
          <w:p w14:paraId="3F6D3BF5" w14:textId="77777777" w:rsidR="00DB6E1F" w:rsidRDefault="00F666A6">
            <w:pPr>
              <w:pStyle w:val="TableParagraph"/>
              <w:ind w:left="9"/>
              <w:jc w:val="center"/>
              <w:rPr>
                <w:sz w:val="20"/>
              </w:rPr>
            </w:pPr>
            <w:r>
              <w:rPr>
                <w:w w:val="99"/>
                <w:sz w:val="20"/>
              </w:rPr>
              <w:t>3</w:t>
            </w:r>
          </w:p>
        </w:tc>
        <w:tc>
          <w:tcPr>
            <w:tcW w:w="991" w:type="dxa"/>
          </w:tcPr>
          <w:p w14:paraId="5CA1F61A" w14:textId="77777777" w:rsidR="00DB6E1F" w:rsidRDefault="00F666A6">
            <w:pPr>
              <w:pStyle w:val="TableParagraph"/>
              <w:ind w:left="7"/>
              <w:jc w:val="center"/>
              <w:rPr>
                <w:sz w:val="20"/>
              </w:rPr>
            </w:pPr>
            <w:r>
              <w:rPr>
                <w:w w:val="99"/>
                <w:sz w:val="20"/>
              </w:rPr>
              <w:t>4</w:t>
            </w:r>
          </w:p>
        </w:tc>
        <w:tc>
          <w:tcPr>
            <w:tcW w:w="989" w:type="dxa"/>
          </w:tcPr>
          <w:p w14:paraId="4C6B23F4" w14:textId="77777777" w:rsidR="00DB6E1F" w:rsidRDefault="00F666A6">
            <w:pPr>
              <w:pStyle w:val="TableParagraph"/>
              <w:ind w:left="9"/>
              <w:jc w:val="center"/>
              <w:rPr>
                <w:sz w:val="20"/>
              </w:rPr>
            </w:pPr>
            <w:r>
              <w:rPr>
                <w:w w:val="99"/>
                <w:sz w:val="20"/>
              </w:rPr>
              <w:t>5</w:t>
            </w:r>
          </w:p>
        </w:tc>
      </w:tr>
      <w:tr w:rsidR="00DB6E1F" w14:paraId="091C0FA3" w14:textId="77777777">
        <w:trPr>
          <w:trHeight w:val="789"/>
        </w:trPr>
        <w:tc>
          <w:tcPr>
            <w:tcW w:w="4409" w:type="dxa"/>
          </w:tcPr>
          <w:p w14:paraId="077F4077" w14:textId="77777777" w:rsidR="00DB6E1F" w:rsidRDefault="00F666A6">
            <w:pPr>
              <w:pStyle w:val="TableParagraph"/>
              <w:spacing w:line="259" w:lineRule="auto"/>
              <w:ind w:left="455" w:right="99" w:hanging="360"/>
              <w:rPr>
                <w:sz w:val="20"/>
              </w:rPr>
            </w:pPr>
            <w:r>
              <w:rPr>
                <w:color w:val="4D4D4F"/>
                <w:sz w:val="20"/>
              </w:rPr>
              <w:t xml:space="preserve">18. </w:t>
            </w:r>
            <w:r>
              <w:rPr>
                <w:sz w:val="20"/>
              </w:rPr>
              <w:t>I thought once I had resolved the problem I would</w:t>
            </w:r>
            <w:r>
              <w:rPr>
                <w:spacing w:val="-4"/>
                <w:sz w:val="20"/>
              </w:rPr>
              <w:t xml:space="preserve"> </w:t>
            </w:r>
            <w:r>
              <w:rPr>
                <w:sz w:val="20"/>
              </w:rPr>
              <w:t>be</w:t>
            </w:r>
            <w:r>
              <w:rPr>
                <w:spacing w:val="-6"/>
                <w:sz w:val="20"/>
              </w:rPr>
              <w:t xml:space="preserve"> </w:t>
            </w:r>
            <w:r>
              <w:rPr>
                <w:sz w:val="20"/>
              </w:rPr>
              <w:t>free</w:t>
            </w:r>
            <w:r>
              <w:rPr>
                <w:spacing w:val="-6"/>
                <w:sz w:val="20"/>
              </w:rPr>
              <w:t xml:space="preserve"> </w:t>
            </w:r>
            <w:r>
              <w:rPr>
                <w:sz w:val="20"/>
              </w:rPr>
              <w:t>of</w:t>
            </w:r>
            <w:r>
              <w:rPr>
                <w:spacing w:val="-6"/>
                <w:sz w:val="20"/>
              </w:rPr>
              <w:t xml:space="preserve"> </w:t>
            </w:r>
            <w:r>
              <w:rPr>
                <w:sz w:val="20"/>
              </w:rPr>
              <w:t>it,</w:t>
            </w:r>
            <w:r>
              <w:rPr>
                <w:spacing w:val="-4"/>
                <w:sz w:val="20"/>
              </w:rPr>
              <w:t xml:space="preserve"> </w:t>
            </w:r>
            <w:r>
              <w:rPr>
                <w:sz w:val="20"/>
              </w:rPr>
              <w:t>but</w:t>
            </w:r>
            <w:r>
              <w:rPr>
                <w:spacing w:val="-5"/>
                <w:sz w:val="20"/>
              </w:rPr>
              <w:t xml:space="preserve"> </w:t>
            </w:r>
            <w:r>
              <w:rPr>
                <w:sz w:val="20"/>
              </w:rPr>
              <w:t>sometimes</w:t>
            </w:r>
            <w:r>
              <w:rPr>
                <w:spacing w:val="-6"/>
                <w:sz w:val="20"/>
              </w:rPr>
              <w:t xml:space="preserve"> </w:t>
            </w:r>
            <w:r>
              <w:rPr>
                <w:sz w:val="20"/>
              </w:rPr>
              <w:t>I</w:t>
            </w:r>
            <w:r>
              <w:rPr>
                <w:spacing w:val="-5"/>
                <w:sz w:val="20"/>
              </w:rPr>
              <w:t xml:space="preserve"> </w:t>
            </w:r>
            <w:r>
              <w:rPr>
                <w:sz w:val="20"/>
              </w:rPr>
              <w:t>still</w:t>
            </w:r>
            <w:r>
              <w:rPr>
                <w:spacing w:val="-3"/>
                <w:sz w:val="20"/>
              </w:rPr>
              <w:t xml:space="preserve"> </w:t>
            </w:r>
            <w:r>
              <w:rPr>
                <w:sz w:val="20"/>
              </w:rPr>
              <w:t>find</w:t>
            </w:r>
          </w:p>
          <w:p w14:paraId="37D8B813" w14:textId="77777777" w:rsidR="00DB6E1F" w:rsidRDefault="00F666A6">
            <w:pPr>
              <w:pStyle w:val="TableParagraph"/>
              <w:spacing w:line="240" w:lineRule="exact"/>
              <w:ind w:left="455"/>
              <w:rPr>
                <w:sz w:val="20"/>
              </w:rPr>
            </w:pPr>
            <w:r>
              <w:rPr>
                <w:sz w:val="20"/>
              </w:rPr>
              <w:t>myself</w:t>
            </w:r>
            <w:r>
              <w:rPr>
                <w:spacing w:val="-9"/>
                <w:sz w:val="20"/>
              </w:rPr>
              <w:t xml:space="preserve"> </w:t>
            </w:r>
            <w:r>
              <w:rPr>
                <w:sz w:val="20"/>
              </w:rPr>
              <w:t>struggling</w:t>
            </w:r>
            <w:r>
              <w:rPr>
                <w:spacing w:val="-8"/>
                <w:sz w:val="20"/>
              </w:rPr>
              <w:t xml:space="preserve"> </w:t>
            </w:r>
            <w:r>
              <w:rPr>
                <w:sz w:val="20"/>
              </w:rPr>
              <w:t>with</w:t>
            </w:r>
            <w:r>
              <w:rPr>
                <w:spacing w:val="-6"/>
                <w:sz w:val="20"/>
              </w:rPr>
              <w:t xml:space="preserve"> </w:t>
            </w:r>
            <w:r>
              <w:rPr>
                <w:spacing w:val="-5"/>
                <w:sz w:val="20"/>
              </w:rPr>
              <w:t>it.</w:t>
            </w:r>
          </w:p>
        </w:tc>
        <w:tc>
          <w:tcPr>
            <w:tcW w:w="991" w:type="dxa"/>
          </w:tcPr>
          <w:p w14:paraId="101A7624" w14:textId="77777777" w:rsidR="00DB6E1F" w:rsidRDefault="00F666A6">
            <w:pPr>
              <w:pStyle w:val="TableParagraph"/>
              <w:ind w:left="7"/>
              <w:jc w:val="center"/>
              <w:rPr>
                <w:sz w:val="20"/>
              </w:rPr>
            </w:pPr>
            <w:r>
              <w:rPr>
                <w:w w:val="99"/>
                <w:sz w:val="20"/>
              </w:rPr>
              <w:t>1</w:t>
            </w:r>
          </w:p>
        </w:tc>
        <w:tc>
          <w:tcPr>
            <w:tcW w:w="900" w:type="dxa"/>
          </w:tcPr>
          <w:p w14:paraId="6232F042" w14:textId="77777777" w:rsidR="00DB6E1F" w:rsidRDefault="00F666A6">
            <w:pPr>
              <w:pStyle w:val="TableParagraph"/>
              <w:ind w:left="7"/>
              <w:jc w:val="center"/>
              <w:rPr>
                <w:sz w:val="20"/>
              </w:rPr>
            </w:pPr>
            <w:r>
              <w:rPr>
                <w:w w:val="99"/>
                <w:sz w:val="20"/>
              </w:rPr>
              <w:t>2</w:t>
            </w:r>
          </w:p>
        </w:tc>
        <w:tc>
          <w:tcPr>
            <w:tcW w:w="989" w:type="dxa"/>
          </w:tcPr>
          <w:p w14:paraId="5738021F" w14:textId="77777777" w:rsidR="00DB6E1F" w:rsidRDefault="00F666A6">
            <w:pPr>
              <w:pStyle w:val="TableParagraph"/>
              <w:ind w:left="9"/>
              <w:jc w:val="center"/>
              <w:rPr>
                <w:sz w:val="20"/>
              </w:rPr>
            </w:pPr>
            <w:r>
              <w:rPr>
                <w:w w:val="99"/>
                <w:sz w:val="20"/>
              </w:rPr>
              <w:t>3</w:t>
            </w:r>
          </w:p>
        </w:tc>
        <w:tc>
          <w:tcPr>
            <w:tcW w:w="991" w:type="dxa"/>
          </w:tcPr>
          <w:p w14:paraId="1AB6398E" w14:textId="77777777" w:rsidR="00DB6E1F" w:rsidRDefault="00F666A6">
            <w:pPr>
              <w:pStyle w:val="TableParagraph"/>
              <w:ind w:left="7"/>
              <w:jc w:val="center"/>
              <w:rPr>
                <w:sz w:val="20"/>
              </w:rPr>
            </w:pPr>
            <w:r>
              <w:rPr>
                <w:w w:val="99"/>
                <w:sz w:val="20"/>
              </w:rPr>
              <w:t>4</w:t>
            </w:r>
          </w:p>
        </w:tc>
        <w:tc>
          <w:tcPr>
            <w:tcW w:w="989" w:type="dxa"/>
          </w:tcPr>
          <w:p w14:paraId="5BCAAB57" w14:textId="77777777" w:rsidR="00DB6E1F" w:rsidRDefault="00F666A6">
            <w:pPr>
              <w:pStyle w:val="TableParagraph"/>
              <w:ind w:left="9"/>
              <w:jc w:val="center"/>
              <w:rPr>
                <w:sz w:val="20"/>
              </w:rPr>
            </w:pPr>
            <w:r>
              <w:rPr>
                <w:w w:val="99"/>
                <w:sz w:val="20"/>
              </w:rPr>
              <w:t>5</w:t>
            </w:r>
          </w:p>
        </w:tc>
      </w:tr>
      <w:tr w:rsidR="00DB6E1F" w14:paraId="32387A8A" w14:textId="77777777">
        <w:trPr>
          <w:trHeight w:val="527"/>
        </w:trPr>
        <w:tc>
          <w:tcPr>
            <w:tcW w:w="4409" w:type="dxa"/>
          </w:tcPr>
          <w:p w14:paraId="14908A54" w14:textId="77777777" w:rsidR="00DB6E1F" w:rsidRDefault="00F666A6">
            <w:pPr>
              <w:pStyle w:val="TableParagraph"/>
              <w:spacing w:before="3"/>
              <w:ind w:left="95"/>
              <w:rPr>
                <w:sz w:val="20"/>
              </w:rPr>
            </w:pPr>
            <w:r>
              <w:rPr>
                <w:color w:val="4D4D4F"/>
                <w:sz w:val="20"/>
              </w:rPr>
              <w:t>19.</w:t>
            </w:r>
            <w:r>
              <w:rPr>
                <w:color w:val="4D4D4F"/>
                <w:spacing w:val="16"/>
                <w:sz w:val="20"/>
              </w:rPr>
              <w:t xml:space="preserve"> </w:t>
            </w:r>
            <w:r>
              <w:rPr>
                <w:sz w:val="20"/>
              </w:rPr>
              <w:t>I</w:t>
            </w:r>
            <w:r>
              <w:rPr>
                <w:spacing w:val="1"/>
                <w:sz w:val="20"/>
              </w:rPr>
              <w:t xml:space="preserve"> </w:t>
            </w:r>
            <w:r>
              <w:rPr>
                <w:sz w:val="20"/>
              </w:rPr>
              <w:t>wish</w:t>
            </w:r>
            <w:r>
              <w:rPr>
                <w:spacing w:val="2"/>
                <w:sz w:val="20"/>
              </w:rPr>
              <w:t xml:space="preserve"> </w:t>
            </w:r>
            <w:r>
              <w:rPr>
                <w:sz w:val="20"/>
              </w:rPr>
              <w:t>I had</w:t>
            </w:r>
            <w:r>
              <w:rPr>
                <w:spacing w:val="2"/>
                <w:sz w:val="20"/>
              </w:rPr>
              <w:t xml:space="preserve"> </w:t>
            </w:r>
            <w:r>
              <w:rPr>
                <w:sz w:val="20"/>
              </w:rPr>
              <w:t>more</w:t>
            </w:r>
            <w:r>
              <w:rPr>
                <w:spacing w:val="-1"/>
                <w:sz w:val="20"/>
              </w:rPr>
              <w:t xml:space="preserve"> </w:t>
            </w:r>
            <w:r>
              <w:rPr>
                <w:sz w:val="20"/>
              </w:rPr>
              <w:t>ideas on</w:t>
            </w:r>
            <w:r>
              <w:rPr>
                <w:spacing w:val="2"/>
                <w:sz w:val="20"/>
              </w:rPr>
              <w:t xml:space="preserve"> </w:t>
            </w:r>
            <w:r>
              <w:rPr>
                <w:sz w:val="20"/>
              </w:rPr>
              <w:t>how</w:t>
            </w:r>
            <w:r>
              <w:rPr>
                <w:spacing w:val="-1"/>
                <w:sz w:val="20"/>
              </w:rPr>
              <w:t xml:space="preserve"> </w:t>
            </w:r>
            <w:r>
              <w:rPr>
                <w:sz w:val="20"/>
              </w:rPr>
              <w:t>to</w:t>
            </w:r>
            <w:r>
              <w:rPr>
                <w:spacing w:val="1"/>
                <w:sz w:val="20"/>
              </w:rPr>
              <w:t xml:space="preserve"> </w:t>
            </w:r>
            <w:r>
              <w:rPr>
                <w:sz w:val="20"/>
              </w:rPr>
              <w:t xml:space="preserve">solve </w:t>
            </w:r>
            <w:r>
              <w:rPr>
                <w:spacing w:val="-5"/>
                <w:sz w:val="20"/>
              </w:rPr>
              <w:t>my</w:t>
            </w:r>
          </w:p>
          <w:p w14:paraId="08176F24" w14:textId="77777777" w:rsidR="00DB6E1F" w:rsidRDefault="00F666A6">
            <w:pPr>
              <w:pStyle w:val="TableParagraph"/>
              <w:spacing w:before="18" w:line="242" w:lineRule="exact"/>
              <w:ind w:left="455"/>
              <w:rPr>
                <w:sz w:val="20"/>
              </w:rPr>
            </w:pPr>
            <w:r>
              <w:rPr>
                <w:spacing w:val="-2"/>
                <w:sz w:val="20"/>
              </w:rPr>
              <w:t>problem.</w:t>
            </w:r>
          </w:p>
        </w:tc>
        <w:tc>
          <w:tcPr>
            <w:tcW w:w="991" w:type="dxa"/>
          </w:tcPr>
          <w:p w14:paraId="060F7B84" w14:textId="77777777" w:rsidR="00DB6E1F" w:rsidRDefault="00F666A6">
            <w:pPr>
              <w:pStyle w:val="TableParagraph"/>
              <w:spacing w:before="3"/>
              <w:ind w:left="7"/>
              <w:jc w:val="center"/>
              <w:rPr>
                <w:sz w:val="20"/>
              </w:rPr>
            </w:pPr>
            <w:r>
              <w:rPr>
                <w:w w:val="99"/>
                <w:sz w:val="20"/>
              </w:rPr>
              <w:t>1</w:t>
            </w:r>
          </w:p>
        </w:tc>
        <w:tc>
          <w:tcPr>
            <w:tcW w:w="900" w:type="dxa"/>
          </w:tcPr>
          <w:p w14:paraId="1B023CB7" w14:textId="77777777" w:rsidR="00DB6E1F" w:rsidRDefault="00F666A6">
            <w:pPr>
              <w:pStyle w:val="TableParagraph"/>
              <w:spacing w:before="3"/>
              <w:ind w:left="7"/>
              <w:jc w:val="center"/>
              <w:rPr>
                <w:sz w:val="20"/>
              </w:rPr>
            </w:pPr>
            <w:r>
              <w:rPr>
                <w:w w:val="99"/>
                <w:sz w:val="20"/>
              </w:rPr>
              <w:t>2</w:t>
            </w:r>
          </w:p>
        </w:tc>
        <w:tc>
          <w:tcPr>
            <w:tcW w:w="989" w:type="dxa"/>
          </w:tcPr>
          <w:p w14:paraId="3FDFF014" w14:textId="77777777" w:rsidR="00DB6E1F" w:rsidRDefault="00F666A6">
            <w:pPr>
              <w:pStyle w:val="TableParagraph"/>
              <w:spacing w:before="3"/>
              <w:ind w:left="9"/>
              <w:jc w:val="center"/>
              <w:rPr>
                <w:sz w:val="20"/>
              </w:rPr>
            </w:pPr>
            <w:r>
              <w:rPr>
                <w:w w:val="99"/>
                <w:sz w:val="20"/>
              </w:rPr>
              <w:t>3</w:t>
            </w:r>
          </w:p>
        </w:tc>
        <w:tc>
          <w:tcPr>
            <w:tcW w:w="991" w:type="dxa"/>
          </w:tcPr>
          <w:p w14:paraId="0D0A0091" w14:textId="77777777" w:rsidR="00DB6E1F" w:rsidRDefault="00F666A6">
            <w:pPr>
              <w:pStyle w:val="TableParagraph"/>
              <w:spacing w:before="3"/>
              <w:ind w:left="7"/>
              <w:jc w:val="center"/>
              <w:rPr>
                <w:sz w:val="20"/>
              </w:rPr>
            </w:pPr>
            <w:r>
              <w:rPr>
                <w:w w:val="99"/>
                <w:sz w:val="20"/>
              </w:rPr>
              <w:t>4</w:t>
            </w:r>
          </w:p>
        </w:tc>
        <w:tc>
          <w:tcPr>
            <w:tcW w:w="989" w:type="dxa"/>
          </w:tcPr>
          <w:p w14:paraId="53C47139" w14:textId="77777777" w:rsidR="00DB6E1F" w:rsidRDefault="00F666A6">
            <w:pPr>
              <w:pStyle w:val="TableParagraph"/>
              <w:spacing w:before="3"/>
              <w:ind w:left="9"/>
              <w:jc w:val="center"/>
              <w:rPr>
                <w:sz w:val="20"/>
              </w:rPr>
            </w:pPr>
            <w:r>
              <w:rPr>
                <w:w w:val="99"/>
                <w:sz w:val="20"/>
              </w:rPr>
              <w:t>5</w:t>
            </w:r>
          </w:p>
        </w:tc>
      </w:tr>
      <w:tr w:rsidR="00DB6E1F" w14:paraId="7C92E514" w14:textId="77777777">
        <w:trPr>
          <w:trHeight w:val="527"/>
        </w:trPr>
        <w:tc>
          <w:tcPr>
            <w:tcW w:w="4409" w:type="dxa"/>
          </w:tcPr>
          <w:p w14:paraId="3BC1CA03" w14:textId="77777777" w:rsidR="00DB6E1F" w:rsidRDefault="00F666A6">
            <w:pPr>
              <w:pStyle w:val="TableParagraph"/>
              <w:ind w:left="95"/>
              <w:rPr>
                <w:sz w:val="20"/>
              </w:rPr>
            </w:pPr>
            <w:r>
              <w:rPr>
                <w:color w:val="4D4D4F"/>
                <w:sz w:val="20"/>
              </w:rPr>
              <w:t>20.</w:t>
            </w:r>
            <w:r>
              <w:rPr>
                <w:color w:val="4D4D4F"/>
                <w:spacing w:val="15"/>
                <w:sz w:val="20"/>
              </w:rPr>
              <w:t xml:space="preserve"> </w:t>
            </w:r>
            <w:r>
              <w:rPr>
                <w:sz w:val="20"/>
              </w:rPr>
              <w:t>I have</w:t>
            </w:r>
            <w:r>
              <w:rPr>
                <w:spacing w:val="-1"/>
                <w:sz w:val="20"/>
              </w:rPr>
              <w:t xml:space="preserve"> </w:t>
            </w:r>
            <w:r>
              <w:rPr>
                <w:sz w:val="20"/>
              </w:rPr>
              <w:t>started</w:t>
            </w:r>
            <w:r>
              <w:rPr>
                <w:spacing w:val="3"/>
                <w:sz w:val="20"/>
              </w:rPr>
              <w:t xml:space="preserve"> </w:t>
            </w:r>
            <w:r>
              <w:rPr>
                <w:sz w:val="20"/>
              </w:rPr>
              <w:t>working on</w:t>
            </w:r>
            <w:r>
              <w:rPr>
                <w:spacing w:val="1"/>
                <w:sz w:val="20"/>
              </w:rPr>
              <w:t xml:space="preserve"> </w:t>
            </w:r>
            <w:r>
              <w:rPr>
                <w:sz w:val="20"/>
              </w:rPr>
              <w:t>my</w:t>
            </w:r>
            <w:r>
              <w:rPr>
                <w:spacing w:val="1"/>
                <w:sz w:val="20"/>
              </w:rPr>
              <w:t xml:space="preserve"> </w:t>
            </w:r>
            <w:r>
              <w:rPr>
                <w:sz w:val="20"/>
              </w:rPr>
              <w:t>problem,</w:t>
            </w:r>
            <w:r>
              <w:rPr>
                <w:spacing w:val="1"/>
                <w:sz w:val="20"/>
              </w:rPr>
              <w:t xml:space="preserve"> </w:t>
            </w:r>
            <w:r>
              <w:rPr>
                <w:sz w:val="20"/>
              </w:rPr>
              <w:t xml:space="preserve">but </w:t>
            </w:r>
            <w:r>
              <w:rPr>
                <w:spacing w:val="-10"/>
                <w:sz w:val="20"/>
              </w:rPr>
              <w:t>I</w:t>
            </w:r>
          </w:p>
          <w:p w14:paraId="146FB2AE" w14:textId="77777777" w:rsidR="00DB6E1F" w:rsidRDefault="00F666A6">
            <w:pPr>
              <w:pStyle w:val="TableParagraph"/>
              <w:spacing w:before="20" w:line="242" w:lineRule="exact"/>
              <w:ind w:left="455"/>
              <w:rPr>
                <w:sz w:val="20"/>
              </w:rPr>
            </w:pPr>
            <w:r>
              <w:rPr>
                <w:sz w:val="20"/>
              </w:rPr>
              <w:t>would</w:t>
            </w:r>
            <w:r>
              <w:rPr>
                <w:spacing w:val="-6"/>
                <w:sz w:val="20"/>
              </w:rPr>
              <w:t xml:space="preserve"> </w:t>
            </w:r>
            <w:r>
              <w:rPr>
                <w:sz w:val="20"/>
              </w:rPr>
              <w:t>like</w:t>
            </w:r>
            <w:r>
              <w:rPr>
                <w:spacing w:val="-6"/>
                <w:sz w:val="20"/>
              </w:rPr>
              <w:t xml:space="preserve"> </w:t>
            </w:r>
            <w:r>
              <w:rPr>
                <w:spacing w:val="-2"/>
                <w:sz w:val="20"/>
              </w:rPr>
              <w:t>help.</w:t>
            </w:r>
          </w:p>
        </w:tc>
        <w:tc>
          <w:tcPr>
            <w:tcW w:w="991" w:type="dxa"/>
          </w:tcPr>
          <w:p w14:paraId="1C266BAB" w14:textId="77777777" w:rsidR="00DB6E1F" w:rsidRDefault="00F666A6">
            <w:pPr>
              <w:pStyle w:val="TableParagraph"/>
              <w:ind w:left="7"/>
              <w:jc w:val="center"/>
              <w:rPr>
                <w:sz w:val="20"/>
              </w:rPr>
            </w:pPr>
            <w:r>
              <w:rPr>
                <w:w w:val="99"/>
                <w:sz w:val="20"/>
              </w:rPr>
              <w:t>1</w:t>
            </w:r>
          </w:p>
        </w:tc>
        <w:tc>
          <w:tcPr>
            <w:tcW w:w="900" w:type="dxa"/>
          </w:tcPr>
          <w:p w14:paraId="08FD4A47" w14:textId="77777777" w:rsidR="00DB6E1F" w:rsidRDefault="00F666A6">
            <w:pPr>
              <w:pStyle w:val="TableParagraph"/>
              <w:ind w:left="7"/>
              <w:jc w:val="center"/>
              <w:rPr>
                <w:sz w:val="20"/>
              </w:rPr>
            </w:pPr>
            <w:r>
              <w:rPr>
                <w:w w:val="99"/>
                <w:sz w:val="20"/>
              </w:rPr>
              <w:t>2</w:t>
            </w:r>
          </w:p>
        </w:tc>
        <w:tc>
          <w:tcPr>
            <w:tcW w:w="989" w:type="dxa"/>
          </w:tcPr>
          <w:p w14:paraId="78174062" w14:textId="77777777" w:rsidR="00DB6E1F" w:rsidRDefault="00F666A6">
            <w:pPr>
              <w:pStyle w:val="TableParagraph"/>
              <w:ind w:left="9"/>
              <w:jc w:val="center"/>
              <w:rPr>
                <w:sz w:val="20"/>
              </w:rPr>
            </w:pPr>
            <w:r>
              <w:rPr>
                <w:w w:val="99"/>
                <w:sz w:val="20"/>
              </w:rPr>
              <w:t>3</w:t>
            </w:r>
          </w:p>
        </w:tc>
        <w:tc>
          <w:tcPr>
            <w:tcW w:w="991" w:type="dxa"/>
          </w:tcPr>
          <w:p w14:paraId="2F0DF174" w14:textId="77777777" w:rsidR="00DB6E1F" w:rsidRDefault="00F666A6">
            <w:pPr>
              <w:pStyle w:val="TableParagraph"/>
              <w:ind w:left="7"/>
              <w:jc w:val="center"/>
              <w:rPr>
                <w:sz w:val="20"/>
              </w:rPr>
            </w:pPr>
            <w:r>
              <w:rPr>
                <w:w w:val="99"/>
                <w:sz w:val="20"/>
              </w:rPr>
              <w:t>4</w:t>
            </w:r>
          </w:p>
        </w:tc>
        <w:tc>
          <w:tcPr>
            <w:tcW w:w="989" w:type="dxa"/>
          </w:tcPr>
          <w:p w14:paraId="44F4C0BD" w14:textId="77777777" w:rsidR="00DB6E1F" w:rsidRDefault="00F666A6">
            <w:pPr>
              <w:pStyle w:val="TableParagraph"/>
              <w:ind w:left="9"/>
              <w:jc w:val="center"/>
              <w:rPr>
                <w:sz w:val="20"/>
              </w:rPr>
            </w:pPr>
            <w:r>
              <w:rPr>
                <w:w w:val="99"/>
                <w:sz w:val="20"/>
              </w:rPr>
              <w:t>5</w:t>
            </w:r>
          </w:p>
        </w:tc>
      </w:tr>
      <w:tr w:rsidR="00DB6E1F" w14:paraId="70E817D4" w14:textId="77777777">
        <w:trPr>
          <w:trHeight w:val="263"/>
        </w:trPr>
        <w:tc>
          <w:tcPr>
            <w:tcW w:w="4409" w:type="dxa"/>
          </w:tcPr>
          <w:p w14:paraId="2A6B28FA" w14:textId="77777777" w:rsidR="00DB6E1F" w:rsidRDefault="00F666A6">
            <w:pPr>
              <w:pStyle w:val="TableParagraph"/>
              <w:spacing w:line="242" w:lineRule="exact"/>
              <w:ind w:left="95"/>
              <w:rPr>
                <w:sz w:val="20"/>
              </w:rPr>
            </w:pPr>
            <w:r>
              <w:rPr>
                <w:color w:val="4D4D4F"/>
                <w:sz w:val="20"/>
              </w:rPr>
              <w:t>21.</w:t>
            </w:r>
            <w:r>
              <w:rPr>
                <w:color w:val="4D4D4F"/>
                <w:spacing w:val="17"/>
                <w:sz w:val="20"/>
              </w:rPr>
              <w:t xml:space="preserve"> </w:t>
            </w:r>
            <w:r>
              <w:rPr>
                <w:sz w:val="20"/>
              </w:rPr>
              <w:t>Maybe</w:t>
            </w:r>
            <w:r>
              <w:rPr>
                <w:spacing w:val="1"/>
                <w:sz w:val="20"/>
              </w:rPr>
              <w:t xml:space="preserve"> </w:t>
            </w:r>
            <w:r>
              <w:rPr>
                <w:sz w:val="20"/>
              </w:rPr>
              <w:t>this place</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able</w:t>
            </w:r>
            <w:r>
              <w:rPr>
                <w:spacing w:val="3"/>
                <w:sz w:val="20"/>
              </w:rPr>
              <w:t xml:space="preserve"> </w:t>
            </w:r>
            <w:r>
              <w:rPr>
                <w:sz w:val="20"/>
              </w:rPr>
              <w:t>to</w:t>
            </w:r>
            <w:r>
              <w:rPr>
                <w:spacing w:val="2"/>
                <w:sz w:val="20"/>
              </w:rPr>
              <w:t xml:space="preserve"> </w:t>
            </w:r>
            <w:r>
              <w:rPr>
                <w:sz w:val="20"/>
              </w:rPr>
              <w:t>help</w:t>
            </w:r>
            <w:r>
              <w:rPr>
                <w:spacing w:val="2"/>
                <w:sz w:val="20"/>
              </w:rPr>
              <w:t xml:space="preserve"> </w:t>
            </w:r>
            <w:r>
              <w:rPr>
                <w:spacing w:val="-5"/>
                <w:sz w:val="20"/>
              </w:rPr>
              <w:t>me.</w:t>
            </w:r>
          </w:p>
        </w:tc>
        <w:tc>
          <w:tcPr>
            <w:tcW w:w="991" w:type="dxa"/>
          </w:tcPr>
          <w:p w14:paraId="6C0FCA45" w14:textId="77777777" w:rsidR="00DB6E1F" w:rsidRDefault="00F666A6">
            <w:pPr>
              <w:pStyle w:val="TableParagraph"/>
              <w:spacing w:line="242" w:lineRule="exact"/>
              <w:ind w:left="7"/>
              <w:jc w:val="center"/>
              <w:rPr>
                <w:sz w:val="20"/>
              </w:rPr>
            </w:pPr>
            <w:r>
              <w:rPr>
                <w:w w:val="99"/>
                <w:sz w:val="20"/>
              </w:rPr>
              <w:t>1</w:t>
            </w:r>
          </w:p>
        </w:tc>
        <w:tc>
          <w:tcPr>
            <w:tcW w:w="900" w:type="dxa"/>
          </w:tcPr>
          <w:p w14:paraId="34CFB5E6" w14:textId="77777777" w:rsidR="00DB6E1F" w:rsidRDefault="00F666A6">
            <w:pPr>
              <w:pStyle w:val="TableParagraph"/>
              <w:spacing w:line="242" w:lineRule="exact"/>
              <w:ind w:left="7"/>
              <w:jc w:val="center"/>
              <w:rPr>
                <w:sz w:val="20"/>
              </w:rPr>
            </w:pPr>
            <w:r>
              <w:rPr>
                <w:w w:val="99"/>
                <w:sz w:val="20"/>
              </w:rPr>
              <w:t>2</w:t>
            </w:r>
          </w:p>
        </w:tc>
        <w:tc>
          <w:tcPr>
            <w:tcW w:w="989" w:type="dxa"/>
          </w:tcPr>
          <w:p w14:paraId="1F8203B6" w14:textId="77777777" w:rsidR="00DB6E1F" w:rsidRDefault="00F666A6">
            <w:pPr>
              <w:pStyle w:val="TableParagraph"/>
              <w:spacing w:line="242" w:lineRule="exact"/>
              <w:ind w:left="9"/>
              <w:jc w:val="center"/>
              <w:rPr>
                <w:sz w:val="20"/>
              </w:rPr>
            </w:pPr>
            <w:r>
              <w:rPr>
                <w:w w:val="99"/>
                <w:sz w:val="20"/>
              </w:rPr>
              <w:t>3</w:t>
            </w:r>
          </w:p>
        </w:tc>
        <w:tc>
          <w:tcPr>
            <w:tcW w:w="991" w:type="dxa"/>
          </w:tcPr>
          <w:p w14:paraId="59D517B6" w14:textId="77777777" w:rsidR="00DB6E1F" w:rsidRDefault="00F666A6">
            <w:pPr>
              <w:pStyle w:val="TableParagraph"/>
              <w:spacing w:line="242" w:lineRule="exact"/>
              <w:ind w:left="7"/>
              <w:jc w:val="center"/>
              <w:rPr>
                <w:sz w:val="20"/>
              </w:rPr>
            </w:pPr>
            <w:r>
              <w:rPr>
                <w:w w:val="99"/>
                <w:sz w:val="20"/>
              </w:rPr>
              <w:t>4</w:t>
            </w:r>
          </w:p>
        </w:tc>
        <w:tc>
          <w:tcPr>
            <w:tcW w:w="989" w:type="dxa"/>
          </w:tcPr>
          <w:p w14:paraId="5EFB7C9A" w14:textId="77777777" w:rsidR="00DB6E1F" w:rsidRDefault="00F666A6">
            <w:pPr>
              <w:pStyle w:val="TableParagraph"/>
              <w:spacing w:line="242" w:lineRule="exact"/>
              <w:ind w:left="9"/>
              <w:jc w:val="center"/>
              <w:rPr>
                <w:sz w:val="20"/>
              </w:rPr>
            </w:pPr>
            <w:r>
              <w:rPr>
                <w:w w:val="99"/>
                <w:sz w:val="20"/>
              </w:rPr>
              <w:t>5</w:t>
            </w:r>
          </w:p>
        </w:tc>
      </w:tr>
      <w:tr w:rsidR="00DB6E1F" w14:paraId="7D2D08DC" w14:textId="77777777">
        <w:trPr>
          <w:trHeight w:val="527"/>
        </w:trPr>
        <w:tc>
          <w:tcPr>
            <w:tcW w:w="4409" w:type="dxa"/>
          </w:tcPr>
          <w:p w14:paraId="12E711D6" w14:textId="77777777" w:rsidR="00DB6E1F" w:rsidRDefault="00F666A6">
            <w:pPr>
              <w:pStyle w:val="TableParagraph"/>
              <w:ind w:left="0" w:right="650"/>
              <w:jc w:val="right"/>
              <w:rPr>
                <w:sz w:val="20"/>
              </w:rPr>
            </w:pPr>
            <w:r>
              <w:rPr>
                <w:color w:val="4D4D4F"/>
                <w:sz w:val="20"/>
              </w:rPr>
              <w:t>22.</w:t>
            </w:r>
            <w:r>
              <w:rPr>
                <w:color w:val="4D4D4F"/>
                <w:spacing w:val="16"/>
                <w:sz w:val="20"/>
              </w:rPr>
              <w:t xml:space="preserve"> </w:t>
            </w:r>
            <w:r>
              <w:rPr>
                <w:sz w:val="20"/>
              </w:rPr>
              <w:t>I</w:t>
            </w:r>
            <w:r>
              <w:rPr>
                <w:spacing w:val="1"/>
                <w:sz w:val="20"/>
              </w:rPr>
              <w:t xml:space="preserve"> </w:t>
            </w:r>
            <w:r>
              <w:rPr>
                <w:sz w:val="20"/>
              </w:rPr>
              <w:t>may</w:t>
            </w:r>
            <w:r>
              <w:rPr>
                <w:spacing w:val="2"/>
                <w:sz w:val="20"/>
              </w:rPr>
              <w:t xml:space="preserve"> </w:t>
            </w:r>
            <w:r>
              <w:rPr>
                <w:sz w:val="20"/>
              </w:rPr>
              <w:t>need</w:t>
            </w:r>
            <w:r>
              <w:rPr>
                <w:spacing w:val="1"/>
                <w:sz w:val="20"/>
              </w:rPr>
              <w:t xml:space="preserve"> </w:t>
            </w:r>
            <w:r>
              <w:rPr>
                <w:sz w:val="20"/>
              </w:rPr>
              <w:t>a</w:t>
            </w:r>
            <w:r>
              <w:rPr>
                <w:spacing w:val="2"/>
                <w:sz w:val="20"/>
              </w:rPr>
              <w:t xml:space="preserve"> </w:t>
            </w:r>
            <w:r>
              <w:rPr>
                <w:sz w:val="20"/>
              </w:rPr>
              <w:t>boost</w:t>
            </w:r>
            <w:r>
              <w:rPr>
                <w:spacing w:val="1"/>
                <w:sz w:val="20"/>
              </w:rPr>
              <w:t xml:space="preserve"> </w:t>
            </w:r>
            <w:r>
              <w:rPr>
                <w:sz w:val="20"/>
              </w:rPr>
              <w:t>right now to</w:t>
            </w:r>
            <w:r>
              <w:rPr>
                <w:spacing w:val="1"/>
                <w:sz w:val="20"/>
              </w:rPr>
              <w:t xml:space="preserve"> </w:t>
            </w:r>
            <w:r>
              <w:rPr>
                <w:sz w:val="20"/>
              </w:rPr>
              <w:t>help</w:t>
            </w:r>
            <w:r>
              <w:rPr>
                <w:spacing w:val="1"/>
                <w:sz w:val="20"/>
              </w:rPr>
              <w:t xml:space="preserve"> </w:t>
            </w:r>
            <w:r>
              <w:rPr>
                <w:spacing w:val="-5"/>
                <w:sz w:val="20"/>
              </w:rPr>
              <w:t>me</w:t>
            </w:r>
          </w:p>
          <w:p w14:paraId="45A3EEEC" w14:textId="77777777" w:rsidR="00DB6E1F" w:rsidRDefault="00F666A6">
            <w:pPr>
              <w:pStyle w:val="TableParagraph"/>
              <w:spacing w:before="20" w:line="242" w:lineRule="exact"/>
              <w:ind w:left="0" w:right="658"/>
              <w:jc w:val="right"/>
              <w:rPr>
                <w:sz w:val="20"/>
              </w:rPr>
            </w:pPr>
            <w:r>
              <w:rPr>
                <w:sz w:val="20"/>
              </w:rPr>
              <w:t>maintain</w:t>
            </w:r>
            <w:r>
              <w:rPr>
                <w:spacing w:val="-6"/>
                <w:sz w:val="20"/>
              </w:rPr>
              <w:t xml:space="preserve"> </w:t>
            </w:r>
            <w:r>
              <w:rPr>
                <w:sz w:val="20"/>
              </w:rPr>
              <w:t>the</w:t>
            </w:r>
            <w:r>
              <w:rPr>
                <w:spacing w:val="-7"/>
                <w:sz w:val="20"/>
              </w:rPr>
              <w:t xml:space="preserve"> </w:t>
            </w:r>
            <w:r>
              <w:rPr>
                <w:sz w:val="20"/>
              </w:rPr>
              <w:t>changes</w:t>
            </w:r>
            <w:r>
              <w:rPr>
                <w:spacing w:val="-7"/>
                <w:sz w:val="20"/>
              </w:rPr>
              <w:t xml:space="preserve"> </w:t>
            </w:r>
            <w:r>
              <w:rPr>
                <w:sz w:val="20"/>
              </w:rPr>
              <w:t>I’ve</w:t>
            </w:r>
            <w:r>
              <w:rPr>
                <w:spacing w:val="-7"/>
                <w:sz w:val="20"/>
              </w:rPr>
              <w:t xml:space="preserve"> </w:t>
            </w:r>
            <w:r>
              <w:rPr>
                <w:sz w:val="20"/>
              </w:rPr>
              <w:t>already</w:t>
            </w:r>
            <w:r>
              <w:rPr>
                <w:spacing w:val="-6"/>
                <w:sz w:val="20"/>
              </w:rPr>
              <w:t xml:space="preserve"> </w:t>
            </w:r>
            <w:r>
              <w:rPr>
                <w:spacing w:val="-4"/>
                <w:sz w:val="20"/>
              </w:rPr>
              <w:t>made.</w:t>
            </w:r>
          </w:p>
        </w:tc>
        <w:tc>
          <w:tcPr>
            <w:tcW w:w="991" w:type="dxa"/>
          </w:tcPr>
          <w:p w14:paraId="3D11A5B5" w14:textId="77777777" w:rsidR="00DB6E1F" w:rsidRDefault="00F666A6">
            <w:pPr>
              <w:pStyle w:val="TableParagraph"/>
              <w:ind w:left="7"/>
              <w:jc w:val="center"/>
              <w:rPr>
                <w:sz w:val="20"/>
              </w:rPr>
            </w:pPr>
            <w:r>
              <w:rPr>
                <w:w w:val="99"/>
                <w:sz w:val="20"/>
              </w:rPr>
              <w:t>1</w:t>
            </w:r>
          </w:p>
        </w:tc>
        <w:tc>
          <w:tcPr>
            <w:tcW w:w="900" w:type="dxa"/>
          </w:tcPr>
          <w:p w14:paraId="690EDFA7" w14:textId="77777777" w:rsidR="00DB6E1F" w:rsidRDefault="00F666A6">
            <w:pPr>
              <w:pStyle w:val="TableParagraph"/>
              <w:ind w:left="7"/>
              <w:jc w:val="center"/>
              <w:rPr>
                <w:sz w:val="20"/>
              </w:rPr>
            </w:pPr>
            <w:r>
              <w:rPr>
                <w:w w:val="99"/>
                <w:sz w:val="20"/>
              </w:rPr>
              <w:t>2</w:t>
            </w:r>
          </w:p>
        </w:tc>
        <w:tc>
          <w:tcPr>
            <w:tcW w:w="989" w:type="dxa"/>
          </w:tcPr>
          <w:p w14:paraId="7AA6EDC5" w14:textId="77777777" w:rsidR="00DB6E1F" w:rsidRDefault="00F666A6">
            <w:pPr>
              <w:pStyle w:val="TableParagraph"/>
              <w:ind w:left="9"/>
              <w:jc w:val="center"/>
              <w:rPr>
                <w:sz w:val="20"/>
              </w:rPr>
            </w:pPr>
            <w:r>
              <w:rPr>
                <w:w w:val="99"/>
                <w:sz w:val="20"/>
              </w:rPr>
              <w:t>3</w:t>
            </w:r>
          </w:p>
        </w:tc>
        <w:tc>
          <w:tcPr>
            <w:tcW w:w="991" w:type="dxa"/>
          </w:tcPr>
          <w:p w14:paraId="70FC922E" w14:textId="77777777" w:rsidR="00DB6E1F" w:rsidRDefault="00F666A6">
            <w:pPr>
              <w:pStyle w:val="TableParagraph"/>
              <w:ind w:left="7"/>
              <w:jc w:val="center"/>
              <w:rPr>
                <w:sz w:val="20"/>
              </w:rPr>
            </w:pPr>
            <w:r>
              <w:rPr>
                <w:w w:val="99"/>
                <w:sz w:val="20"/>
              </w:rPr>
              <w:t>4</w:t>
            </w:r>
          </w:p>
        </w:tc>
        <w:tc>
          <w:tcPr>
            <w:tcW w:w="989" w:type="dxa"/>
          </w:tcPr>
          <w:p w14:paraId="2480D30B" w14:textId="77777777" w:rsidR="00DB6E1F" w:rsidRDefault="00F666A6">
            <w:pPr>
              <w:pStyle w:val="TableParagraph"/>
              <w:ind w:left="9"/>
              <w:jc w:val="center"/>
              <w:rPr>
                <w:sz w:val="20"/>
              </w:rPr>
            </w:pPr>
            <w:r>
              <w:rPr>
                <w:w w:val="99"/>
                <w:sz w:val="20"/>
              </w:rPr>
              <w:t>5</w:t>
            </w:r>
          </w:p>
        </w:tc>
      </w:tr>
      <w:tr w:rsidR="00DB6E1F" w14:paraId="12E98265" w14:textId="77777777">
        <w:trPr>
          <w:trHeight w:val="525"/>
        </w:trPr>
        <w:tc>
          <w:tcPr>
            <w:tcW w:w="4409" w:type="dxa"/>
          </w:tcPr>
          <w:p w14:paraId="43B9E525" w14:textId="77777777" w:rsidR="00DB6E1F" w:rsidRDefault="00F666A6">
            <w:pPr>
              <w:pStyle w:val="TableParagraph"/>
              <w:ind w:left="95"/>
              <w:rPr>
                <w:sz w:val="20"/>
              </w:rPr>
            </w:pPr>
            <w:r>
              <w:rPr>
                <w:color w:val="4D4D4F"/>
                <w:sz w:val="20"/>
              </w:rPr>
              <w:t>23.</w:t>
            </w:r>
            <w:r>
              <w:rPr>
                <w:color w:val="4D4D4F"/>
                <w:spacing w:val="16"/>
                <w:sz w:val="20"/>
              </w:rPr>
              <w:t xml:space="preserve"> </w:t>
            </w:r>
            <w:r>
              <w:rPr>
                <w:sz w:val="20"/>
              </w:rPr>
              <w:t>I</w:t>
            </w:r>
            <w:r>
              <w:rPr>
                <w:spacing w:val="1"/>
                <w:sz w:val="20"/>
              </w:rPr>
              <w:t xml:space="preserve"> </w:t>
            </w:r>
            <w:r>
              <w:rPr>
                <w:sz w:val="20"/>
              </w:rPr>
              <w:t>may</w:t>
            </w:r>
            <w:r>
              <w:rPr>
                <w:spacing w:val="2"/>
                <w:sz w:val="20"/>
              </w:rPr>
              <w:t xml:space="preserve"> </w:t>
            </w:r>
            <w:r>
              <w:rPr>
                <w:sz w:val="20"/>
              </w:rPr>
              <w:t>be</w:t>
            </w:r>
            <w:r>
              <w:rPr>
                <w:spacing w:val="-1"/>
                <w:sz w:val="20"/>
              </w:rPr>
              <w:t xml:space="preserve"> </w:t>
            </w:r>
            <w:r>
              <w:rPr>
                <w:sz w:val="20"/>
              </w:rPr>
              <w:t>part</w:t>
            </w:r>
            <w:r>
              <w:rPr>
                <w:spacing w:val="1"/>
                <w:sz w:val="20"/>
              </w:rPr>
              <w:t xml:space="preserve"> </w:t>
            </w:r>
            <w:r>
              <w:rPr>
                <w:sz w:val="20"/>
              </w:rPr>
              <w:t>of the</w:t>
            </w:r>
            <w:r>
              <w:rPr>
                <w:spacing w:val="-1"/>
                <w:sz w:val="20"/>
              </w:rPr>
              <w:t xml:space="preserve"> </w:t>
            </w:r>
            <w:r>
              <w:rPr>
                <w:sz w:val="20"/>
              </w:rPr>
              <w:t>problem,</w:t>
            </w:r>
            <w:r>
              <w:rPr>
                <w:spacing w:val="2"/>
                <w:sz w:val="20"/>
              </w:rPr>
              <w:t xml:space="preserve"> </w:t>
            </w:r>
            <w:r>
              <w:rPr>
                <w:sz w:val="20"/>
              </w:rPr>
              <w:t>but I</w:t>
            </w:r>
            <w:r>
              <w:rPr>
                <w:spacing w:val="1"/>
                <w:sz w:val="20"/>
              </w:rPr>
              <w:t xml:space="preserve"> </w:t>
            </w:r>
            <w:r>
              <w:rPr>
                <w:sz w:val="20"/>
              </w:rPr>
              <w:t>don’t</w:t>
            </w:r>
            <w:r>
              <w:rPr>
                <w:spacing w:val="1"/>
                <w:sz w:val="20"/>
              </w:rPr>
              <w:t xml:space="preserve"> </w:t>
            </w:r>
            <w:r>
              <w:rPr>
                <w:spacing w:val="-2"/>
                <w:sz w:val="20"/>
              </w:rPr>
              <w:t>really</w:t>
            </w:r>
          </w:p>
          <w:p w14:paraId="4D9894C8" w14:textId="77777777" w:rsidR="00DB6E1F" w:rsidRDefault="00F666A6">
            <w:pPr>
              <w:pStyle w:val="TableParagraph"/>
              <w:spacing w:before="20" w:line="240" w:lineRule="exact"/>
              <w:ind w:left="455"/>
              <w:rPr>
                <w:sz w:val="20"/>
              </w:rPr>
            </w:pPr>
            <w:r>
              <w:rPr>
                <w:sz w:val="20"/>
              </w:rPr>
              <w:t>think</w:t>
            </w:r>
            <w:r>
              <w:rPr>
                <w:spacing w:val="-2"/>
                <w:sz w:val="20"/>
              </w:rPr>
              <w:t xml:space="preserve"> </w:t>
            </w:r>
            <w:r>
              <w:rPr>
                <w:sz w:val="20"/>
              </w:rPr>
              <w:t>I</w:t>
            </w:r>
            <w:r>
              <w:rPr>
                <w:spacing w:val="-2"/>
                <w:sz w:val="20"/>
              </w:rPr>
              <w:t xml:space="preserve"> </w:t>
            </w:r>
            <w:r>
              <w:rPr>
                <w:spacing w:val="-5"/>
                <w:sz w:val="20"/>
              </w:rPr>
              <w:t>am.</w:t>
            </w:r>
          </w:p>
        </w:tc>
        <w:tc>
          <w:tcPr>
            <w:tcW w:w="991" w:type="dxa"/>
          </w:tcPr>
          <w:p w14:paraId="71909C69" w14:textId="77777777" w:rsidR="00DB6E1F" w:rsidRDefault="00F666A6">
            <w:pPr>
              <w:pStyle w:val="TableParagraph"/>
              <w:ind w:left="7"/>
              <w:jc w:val="center"/>
              <w:rPr>
                <w:sz w:val="20"/>
              </w:rPr>
            </w:pPr>
            <w:r>
              <w:rPr>
                <w:w w:val="99"/>
                <w:sz w:val="20"/>
              </w:rPr>
              <w:t>1</w:t>
            </w:r>
          </w:p>
        </w:tc>
        <w:tc>
          <w:tcPr>
            <w:tcW w:w="900" w:type="dxa"/>
          </w:tcPr>
          <w:p w14:paraId="53CD6D97" w14:textId="77777777" w:rsidR="00DB6E1F" w:rsidRDefault="00F666A6">
            <w:pPr>
              <w:pStyle w:val="TableParagraph"/>
              <w:ind w:left="7"/>
              <w:jc w:val="center"/>
              <w:rPr>
                <w:sz w:val="20"/>
              </w:rPr>
            </w:pPr>
            <w:r>
              <w:rPr>
                <w:w w:val="99"/>
                <w:sz w:val="20"/>
              </w:rPr>
              <w:t>2</w:t>
            </w:r>
          </w:p>
        </w:tc>
        <w:tc>
          <w:tcPr>
            <w:tcW w:w="989" w:type="dxa"/>
          </w:tcPr>
          <w:p w14:paraId="0AF22708" w14:textId="77777777" w:rsidR="00DB6E1F" w:rsidRDefault="00F666A6">
            <w:pPr>
              <w:pStyle w:val="TableParagraph"/>
              <w:ind w:left="9"/>
              <w:jc w:val="center"/>
              <w:rPr>
                <w:sz w:val="20"/>
              </w:rPr>
            </w:pPr>
            <w:r>
              <w:rPr>
                <w:w w:val="99"/>
                <w:sz w:val="20"/>
              </w:rPr>
              <w:t>3</w:t>
            </w:r>
          </w:p>
        </w:tc>
        <w:tc>
          <w:tcPr>
            <w:tcW w:w="991" w:type="dxa"/>
          </w:tcPr>
          <w:p w14:paraId="06D003F9" w14:textId="77777777" w:rsidR="00DB6E1F" w:rsidRDefault="00F666A6">
            <w:pPr>
              <w:pStyle w:val="TableParagraph"/>
              <w:ind w:left="7"/>
              <w:jc w:val="center"/>
              <w:rPr>
                <w:sz w:val="20"/>
              </w:rPr>
            </w:pPr>
            <w:r>
              <w:rPr>
                <w:w w:val="99"/>
                <w:sz w:val="20"/>
              </w:rPr>
              <w:t>4</w:t>
            </w:r>
          </w:p>
        </w:tc>
        <w:tc>
          <w:tcPr>
            <w:tcW w:w="989" w:type="dxa"/>
          </w:tcPr>
          <w:p w14:paraId="7535256B" w14:textId="77777777" w:rsidR="00DB6E1F" w:rsidRDefault="00F666A6">
            <w:pPr>
              <w:pStyle w:val="TableParagraph"/>
              <w:ind w:left="9"/>
              <w:jc w:val="center"/>
              <w:rPr>
                <w:sz w:val="20"/>
              </w:rPr>
            </w:pPr>
            <w:r>
              <w:rPr>
                <w:w w:val="99"/>
                <w:sz w:val="20"/>
              </w:rPr>
              <w:t>5</w:t>
            </w:r>
          </w:p>
        </w:tc>
      </w:tr>
      <w:tr w:rsidR="00DB6E1F" w14:paraId="2428F9AC" w14:textId="77777777">
        <w:trPr>
          <w:trHeight w:val="527"/>
        </w:trPr>
        <w:tc>
          <w:tcPr>
            <w:tcW w:w="4409" w:type="dxa"/>
          </w:tcPr>
          <w:p w14:paraId="233C0E5F" w14:textId="77777777" w:rsidR="00DB6E1F" w:rsidRDefault="00F666A6">
            <w:pPr>
              <w:pStyle w:val="TableParagraph"/>
              <w:ind w:left="95"/>
              <w:rPr>
                <w:sz w:val="20"/>
              </w:rPr>
            </w:pPr>
            <w:r>
              <w:rPr>
                <w:color w:val="4D4D4F"/>
                <w:sz w:val="20"/>
              </w:rPr>
              <w:t>24.</w:t>
            </w:r>
            <w:r>
              <w:rPr>
                <w:color w:val="4D4D4F"/>
                <w:spacing w:val="17"/>
                <w:sz w:val="20"/>
              </w:rPr>
              <w:t xml:space="preserve"> </w:t>
            </w:r>
            <w:r>
              <w:rPr>
                <w:sz w:val="20"/>
              </w:rPr>
              <w:t>I hope that</w:t>
            </w:r>
            <w:r>
              <w:rPr>
                <w:spacing w:val="1"/>
                <w:sz w:val="20"/>
              </w:rPr>
              <w:t xml:space="preserve"> </w:t>
            </w:r>
            <w:r>
              <w:rPr>
                <w:sz w:val="20"/>
              </w:rPr>
              <w:t>someone will have</w:t>
            </w:r>
            <w:r>
              <w:rPr>
                <w:spacing w:val="3"/>
                <w:sz w:val="20"/>
              </w:rPr>
              <w:t xml:space="preserve"> </w:t>
            </w:r>
            <w:r>
              <w:rPr>
                <w:sz w:val="20"/>
              </w:rPr>
              <w:t xml:space="preserve">some </w:t>
            </w:r>
            <w:r>
              <w:rPr>
                <w:spacing w:val="-4"/>
                <w:sz w:val="20"/>
              </w:rPr>
              <w:t>good</w:t>
            </w:r>
          </w:p>
          <w:p w14:paraId="52001665" w14:textId="77777777" w:rsidR="00DB6E1F" w:rsidRDefault="00F666A6">
            <w:pPr>
              <w:pStyle w:val="TableParagraph"/>
              <w:spacing w:before="20" w:line="242" w:lineRule="exact"/>
              <w:ind w:left="455"/>
              <w:rPr>
                <w:sz w:val="20"/>
              </w:rPr>
            </w:pPr>
            <w:r>
              <w:rPr>
                <w:sz w:val="20"/>
              </w:rPr>
              <w:t>advice</w:t>
            </w:r>
            <w:r>
              <w:rPr>
                <w:spacing w:val="-8"/>
                <w:sz w:val="20"/>
              </w:rPr>
              <w:t xml:space="preserve"> </w:t>
            </w:r>
            <w:r>
              <w:rPr>
                <w:sz w:val="20"/>
              </w:rPr>
              <w:t>for</w:t>
            </w:r>
            <w:r>
              <w:rPr>
                <w:spacing w:val="-4"/>
                <w:sz w:val="20"/>
              </w:rPr>
              <w:t xml:space="preserve"> </w:t>
            </w:r>
            <w:r>
              <w:rPr>
                <w:spacing w:val="-5"/>
                <w:sz w:val="20"/>
              </w:rPr>
              <w:t>me.</w:t>
            </w:r>
          </w:p>
        </w:tc>
        <w:tc>
          <w:tcPr>
            <w:tcW w:w="991" w:type="dxa"/>
          </w:tcPr>
          <w:p w14:paraId="68681042" w14:textId="77777777" w:rsidR="00DB6E1F" w:rsidRDefault="00F666A6">
            <w:pPr>
              <w:pStyle w:val="TableParagraph"/>
              <w:ind w:left="7"/>
              <w:jc w:val="center"/>
              <w:rPr>
                <w:sz w:val="20"/>
              </w:rPr>
            </w:pPr>
            <w:r>
              <w:rPr>
                <w:w w:val="99"/>
                <w:sz w:val="20"/>
              </w:rPr>
              <w:t>1</w:t>
            </w:r>
          </w:p>
        </w:tc>
        <w:tc>
          <w:tcPr>
            <w:tcW w:w="900" w:type="dxa"/>
          </w:tcPr>
          <w:p w14:paraId="7B449F92" w14:textId="77777777" w:rsidR="00DB6E1F" w:rsidRDefault="00F666A6">
            <w:pPr>
              <w:pStyle w:val="TableParagraph"/>
              <w:ind w:left="7"/>
              <w:jc w:val="center"/>
              <w:rPr>
                <w:sz w:val="20"/>
              </w:rPr>
            </w:pPr>
            <w:r>
              <w:rPr>
                <w:w w:val="99"/>
                <w:sz w:val="20"/>
              </w:rPr>
              <w:t>2</w:t>
            </w:r>
          </w:p>
        </w:tc>
        <w:tc>
          <w:tcPr>
            <w:tcW w:w="989" w:type="dxa"/>
          </w:tcPr>
          <w:p w14:paraId="12AA9DF3" w14:textId="77777777" w:rsidR="00DB6E1F" w:rsidRDefault="00F666A6">
            <w:pPr>
              <w:pStyle w:val="TableParagraph"/>
              <w:ind w:left="9"/>
              <w:jc w:val="center"/>
              <w:rPr>
                <w:sz w:val="20"/>
              </w:rPr>
            </w:pPr>
            <w:r>
              <w:rPr>
                <w:w w:val="99"/>
                <w:sz w:val="20"/>
              </w:rPr>
              <w:t>3</w:t>
            </w:r>
          </w:p>
        </w:tc>
        <w:tc>
          <w:tcPr>
            <w:tcW w:w="991" w:type="dxa"/>
          </w:tcPr>
          <w:p w14:paraId="367A3B22" w14:textId="77777777" w:rsidR="00DB6E1F" w:rsidRDefault="00F666A6">
            <w:pPr>
              <w:pStyle w:val="TableParagraph"/>
              <w:ind w:left="7"/>
              <w:jc w:val="center"/>
              <w:rPr>
                <w:sz w:val="20"/>
              </w:rPr>
            </w:pPr>
            <w:r>
              <w:rPr>
                <w:w w:val="99"/>
                <w:sz w:val="20"/>
              </w:rPr>
              <w:t>4</w:t>
            </w:r>
          </w:p>
        </w:tc>
        <w:tc>
          <w:tcPr>
            <w:tcW w:w="989" w:type="dxa"/>
          </w:tcPr>
          <w:p w14:paraId="0A3B689D" w14:textId="77777777" w:rsidR="00DB6E1F" w:rsidRDefault="00F666A6">
            <w:pPr>
              <w:pStyle w:val="TableParagraph"/>
              <w:ind w:left="9"/>
              <w:jc w:val="center"/>
              <w:rPr>
                <w:sz w:val="20"/>
              </w:rPr>
            </w:pPr>
            <w:r>
              <w:rPr>
                <w:w w:val="99"/>
                <w:sz w:val="20"/>
              </w:rPr>
              <w:t>5</w:t>
            </w:r>
          </w:p>
        </w:tc>
      </w:tr>
      <w:tr w:rsidR="00DB6E1F" w14:paraId="47ACF4D1" w14:textId="77777777">
        <w:trPr>
          <w:trHeight w:val="527"/>
        </w:trPr>
        <w:tc>
          <w:tcPr>
            <w:tcW w:w="4409" w:type="dxa"/>
          </w:tcPr>
          <w:p w14:paraId="52FEFC85" w14:textId="77777777" w:rsidR="00DB6E1F" w:rsidRDefault="00F666A6">
            <w:pPr>
              <w:pStyle w:val="TableParagraph"/>
              <w:ind w:left="95"/>
              <w:rPr>
                <w:sz w:val="20"/>
              </w:rPr>
            </w:pPr>
            <w:r>
              <w:rPr>
                <w:color w:val="4D4D4F"/>
                <w:sz w:val="20"/>
              </w:rPr>
              <w:t>25.</w:t>
            </w:r>
            <w:r>
              <w:rPr>
                <w:color w:val="4D4D4F"/>
                <w:spacing w:val="17"/>
                <w:sz w:val="20"/>
              </w:rPr>
              <w:t xml:space="preserve"> </w:t>
            </w:r>
            <w:r>
              <w:rPr>
                <w:sz w:val="20"/>
              </w:rPr>
              <w:t>Anyone can</w:t>
            </w:r>
            <w:r>
              <w:rPr>
                <w:spacing w:val="3"/>
                <w:sz w:val="20"/>
              </w:rPr>
              <w:t xml:space="preserve"> </w:t>
            </w:r>
            <w:r>
              <w:rPr>
                <w:sz w:val="20"/>
              </w:rPr>
              <w:t>talk</w:t>
            </w:r>
            <w:r>
              <w:rPr>
                <w:spacing w:val="1"/>
                <w:sz w:val="20"/>
              </w:rPr>
              <w:t xml:space="preserve"> </w:t>
            </w:r>
            <w:r>
              <w:rPr>
                <w:sz w:val="20"/>
              </w:rPr>
              <w:t>about</w:t>
            </w:r>
            <w:r>
              <w:rPr>
                <w:spacing w:val="-1"/>
                <w:sz w:val="20"/>
              </w:rPr>
              <w:t xml:space="preserve"> </w:t>
            </w:r>
            <w:r>
              <w:rPr>
                <w:sz w:val="20"/>
              </w:rPr>
              <w:t xml:space="preserve">changing; I’m </w:t>
            </w:r>
            <w:r>
              <w:rPr>
                <w:spacing w:val="-2"/>
                <w:sz w:val="20"/>
              </w:rPr>
              <w:t>actually</w:t>
            </w:r>
          </w:p>
          <w:p w14:paraId="1B2A6DA2" w14:textId="77777777" w:rsidR="00DB6E1F" w:rsidRDefault="00F666A6">
            <w:pPr>
              <w:pStyle w:val="TableParagraph"/>
              <w:spacing w:before="20" w:line="242" w:lineRule="exact"/>
              <w:ind w:left="455"/>
              <w:rPr>
                <w:sz w:val="20"/>
              </w:rPr>
            </w:pPr>
            <w:r>
              <w:rPr>
                <w:sz w:val="20"/>
              </w:rPr>
              <w:t>doing</w:t>
            </w:r>
            <w:r>
              <w:rPr>
                <w:spacing w:val="-8"/>
                <w:sz w:val="20"/>
              </w:rPr>
              <w:t xml:space="preserve"> </w:t>
            </w:r>
            <w:r>
              <w:rPr>
                <w:sz w:val="20"/>
              </w:rPr>
              <w:t>something</w:t>
            </w:r>
            <w:r>
              <w:rPr>
                <w:spacing w:val="-8"/>
                <w:sz w:val="20"/>
              </w:rPr>
              <w:t xml:space="preserve"> </w:t>
            </w:r>
            <w:r>
              <w:rPr>
                <w:sz w:val="20"/>
              </w:rPr>
              <w:t>about</w:t>
            </w:r>
            <w:r>
              <w:rPr>
                <w:spacing w:val="-8"/>
                <w:sz w:val="20"/>
              </w:rPr>
              <w:t xml:space="preserve"> </w:t>
            </w:r>
            <w:r>
              <w:rPr>
                <w:spacing w:val="-5"/>
                <w:sz w:val="20"/>
              </w:rPr>
              <w:t>it.</w:t>
            </w:r>
          </w:p>
        </w:tc>
        <w:tc>
          <w:tcPr>
            <w:tcW w:w="991" w:type="dxa"/>
          </w:tcPr>
          <w:p w14:paraId="45BCA83B" w14:textId="77777777" w:rsidR="00DB6E1F" w:rsidRDefault="00F666A6">
            <w:pPr>
              <w:pStyle w:val="TableParagraph"/>
              <w:ind w:left="7"/>
              <w:jc w:val="center"/>
              <w:rPr>
                <w:sz w:val="20"/>
              </w:rPr>
            </w:pPr>
            <w:r>
              <w:rPr>
                <w:w w:val="99"/>
                <w:sz w:val="20"/>
              </w:rPr>
              <w:t>1</w:t>
            </w:r>
          </w:p>
        </w:tc>
        <w:tc>
          <w:tcPr>
            <w:tcW w:w="900" w:type="dxa"/>
          </w:tcPr>
          <w:p w14:paraId="718ECB1A" w14:textId="77777777" w:rsidR="00DB6E1F" w:rsidRDefault="00F666A6">
            <w:pPr>
              <w:pStyle w:val="TableParagraph"/>
              <w:ind w:left="7"/>
              <w:jc w:val="center"/>
              <w:rPr>
                <w:sz w:val="20"/>
              </w:rPr>
            </w:pPr>
            <w:r>
              <w:rPr>
                <w:w w:val="99"/>
                <w:sz w:val="20"/>
              </w:rPr>
              <w:t>2</w:t>
            </w:r>
          </w:p>
        </w:tc>
        <w:tc>
          <w:tcPr>
            <w:tcW w:w="989" w:type="dxa"/>
          </w:tcPr>
          <w:p w14:paraId="0E12A553" w14:textId="77777777" w:rsidR="00DB6E1F" w:rsidRDefault="00F666A6">
            <w:pPr>
              <w:pStyle w:val="TableParagraph"/>
              <w:ind w:left="9"/>
              <w:jc w:val="center"/>
              <w:rPr>
                <w:sz w:val="20"/>
              </w:rPr>
            </w:pPr>
            <w:r>
              <w:rPr>
                <w:w w:val="99"/>
                <w:sz w:val="20"/>
              </w:rPr>
              <w:t>3</w:t>
            </w:r>
          </w:p>
        </w:tc>
        <w:tc>
          <w:tcPr>
            <w:tcW w:w="991" w:type="dxa"/>
          </w:tcPr>
          <w:p w14:paraId="7C5D24CF" w14:textId="77777777" w:rsidR="00DB6E1F" w:rsidRDefault="00F666A6">
            <w:pPr>
              <w:pStyle w:val="TableParagraph"/>
              <w:ind w:left="7"/>
              <w:jc w:val="center"/>
              <w:rPr>
                <w:sz w:val="20"/>
              </w:rPr>
            </w:pPr>
            <w:r>
              <w:rPr>
                <w:w w:val="99"/>
                <w:sz w:val="20"/>
              </w:rPr>
              <w:t>4</w:t>
            </w:r>
          </w:p>
        </w:tc>
        <w:tc>
          <w:tcPr>
            <w:tcW w:w="989" w:type="dxa"/>
          </w:tcPr>
          <w:p w14:paraId="1C5A1A3A" w14:textId="77777777" w:rsidR="00DB6E1F" w:rsidRDefault="00F666A6">
            <w:pPr>
              <w:pStyle w:val="TableParagraph"/>
              <w:ind w:left="9"/>
              <w:jc w:val="center"/>
              <w:rPr>
                <w:sz w:val="20"/>
              </w:rPr>
            </w:pPr>
            <w:r>
              <w:rPr>
                <w:w w:val="99"/>
                <w:sz w:val="20"/>
              </w:rPr>
              <w:t>5</w:t>
            </w:r>
          </w:p>
        </w:tc>
      </w:tr>
      <w:tr w:rsidR="00DB6E1F" w14:paraId="540A78CB" w14:textId="77777777">
        <w:trPr>
          <w:trHeight w:val="525"/>
        </w:trPr>
        <w:tc>
          <w:tcPr>
            <w:tcW w:w="4409" w:type="dxa"/>
          </w:tcPr>
          <w:p w14:paraId="5138D648" w14:textId="77777777" w:rsidR="00DB6E1F" w:rsidRDefault="00F666A6">
            <w:pPr>
              <w:pStyle w:val="TableParagraph"/>
              <w:ind w:left="95"/>
              <w:rPr>
                <w:sz w:val="20"/>
              </w:rPr>
            </w:pPr>
            <w:r>
              <w:rPr>
                <w:color w:val="4D4D4F"/>
                <w:sz w:val="20"/>
              </w:rPr>
              <w:t>26.</w:t>
            </w:r>
            <w:r>
              <w:rPr>
                <w:color w:val="4D4D4F"/>
                <w:spacing w:val="16"/>
                <w:sz w:val="20"/>
              </w:rPr>
              <w:t xml:space="preserve"> </w:t>
            </w:r>
            <w:r>
              <w:rPr>
                <w:sz w:val="20"/>
              </w:rPr>
              <w:t>All this talk</w:t>
            </w:r>
            <w:r>
              <w:rPr>
                <w:spacing w:val="1"/>
                <w:sz w:val="20"/>
              </w:rPr>
              <w:t xml:space="preserve"> </w:t>
            </w:r>
            <w:r>
              <w:rPr>
                <w:sz w:val="20"/>
              </w:rPr>
              <w:t>about</w:t>
            </w:r>
            <w:r>
              <w:rPr>
                <w:spacing w:val="1"/>
                <w:sz w:val="20"/>
              </w:rPr>
              <w:t xml:space="preserve"> </w:t>
            </w:r>
            <w:r>
              <w:rPr>
                <w:sz w:val="20"/>
              </w:rPr>
              <w:t>psychology</w:t>
            </w:r>
            <w:r>
              <w:rPr>
                <w:spacing w:val="-1"/>
                <w:sz w:val="20"/>
              </w:rPr>
              <w:t xml:space="preserve"> </w:t>
            </w:r>
            <w:r>
              <w:rPr>
                <w:sz w:val="20"/>
              </w:rPr>
              <w:t>is</w:t>
            </w:r>
            <w:r>
              <w:rPr>
                <w:spacing w:val="-1"/>
                <w:sz w:val="20"/>
              </w:rPr>
              <w:t xml:space="preserve"> </w:t>
            </w:r>
            <w:r>
              <w:rPr>
                <w:sz w:val="20"/>
              </w:rPr>
              <w:t>boring.</w:t>
            </w:r>
            <w:r>
              <w:rPr>
                <w:spacing w:val="1"/>
                <w:sz w:val="20"/>
              </w:rPr>
              <w:t xml:space="preserve"> </w:t>
            </w:r>
            <w:r>
              <w:rPr>
                <w:spacing w:val="-5"/>
                <w:sz w:val="20"/>
              </w:rPr>
              <w:t>Why</w:t>
            </w:r>
          </w:p>
          <w:p w14:paraId="0C8178A1" w14:textId="77777777" w:rsidR="00DB6E1F" w:rsidRDefault="00F666A6">
            <w:pPr>
              <w:pStyle w:val="TableParagraph"/>
              <w:spacing w:before="20" w:line="240" w:lineRule="exact"/>
              <w:ind w:left="455"/>
              <w:rPr>
                <w:sz w:val="20"/>
              </w:rPr>
            </w:pPr>
            <w:r>
              <w:rPr>
                <w:sz w:val="20"/>
              </w:rPr>
              <w:t>can’t</w:t>
            </w:r>
            <w:r>
              <w:rPr>
                <w:spacing w:val="-7"/>
                <w:sz w:val="20"/>
              </w:rPr>
              <w:t xml:space="preserve"> </w:t>
            </w:r>
            <w:r>
              <w:rPr>
                <w:sz w:val="20"/>
              </w:rPr>
              <w:t>people</w:t>
            </w:r>
            <w:r>
              <w:rPr>
                <w:spacing w:val="-6"/>
                <w:sz w:val="20"/>
              </w:rPr>
              <w:t xml:space="preserve"> </w:t>
            </w:r>
            <w:r>
              <w:rPr>
                <w:sz w:val="20"/>
              </w:rPr>
              <w:t>just</w:t>
            </w:r>
            <w:r>
              <w:rPr>
                <w:spacing w:val="-7"/>
                <w:sz w:val="20"/>
              </w:rPr>
              <w:t xml:space="preserve"> </w:t>
            </w:r>
            <w:r>
              <w:rPr>
                <w:sz w:val="20"/>
              </w:rPr>
              <w:t>forget</w:t>
            </w:r>
            <w:r>
              <w:rPr>
                <w:spacing w:val="-6"/>
                <w:sz w:val="20"/>
              </w:rPr>
              <w:t xml:space="preserve"> </w:t>
            </w:r>
            <w:r>
              <w:rPr>
                <w:sz w:val="20"/>
              </w:rPr>
              <w:t>about</w:t>
            </w:r>
            <w:r>
              <w:rPr>
                <w:spacing w:val="-6"/>
                <w:sz w:val="20"/>
              </w:rPr>
              <w:t xml:space="preserve"> </w:t>
            </w:r>
            <w:r>
              <w:rPr>
                <w:sz w:val="20"/>
              </w:rPr>
              <w:t>their</w:t>
            </w:r>
            <w:r>
              <w:rPr>
                <w:spacing w:val="-6"/>
                <w:sz w:val="20"/>
              </w:rPr>
              <w:t xml:space="preserve"> </w:t>
            </w:r>
            <w:r>
              <w:rPr>
                <w:spacing w:val="-2"/>
                <w:sz w:val="20"/>
              </w:rPr>
              <w:t>problems?</w:t>
            </w:r>
          </w:p>
        </w:tc>
        <w:tc>
          <w:tcPr>
            <w:tcW w:w="991" w:type="dxa"/>
          </w:tcPr>
          <w:p w14:paraId="5DFD5E40" w14:textId="77777777" w:rsidR="00DB6E1F" w:rsidRDefault="00F666A6">
            <w:pPr>
              <w:pStyle w:val="TableParagraph"/>
              <w:ind w:left="7"/>
              <w:jc w:val="center"/>
              <w:rPr>
                <w:sz w:val="20"/>
              </w:rPr>
            </w:pPr>
            <w:r>
              <w:rPr>
                <w:w w:val="99"/>
                <w:sz w:val="20"/>
              </w:rPr>
              <w:t>1</w:t>
            </w:r>
          </w:p>
        </w:tc>
        <w:tc>
          <w:tcPr>
            <w:tcW w:w="900" w:type="dxa"/>
          </w:tcPr>
          <w:p w14:paraId="5C15AC11" w14:textId="77777777" w:rsidR="00DB6E1F" w:rsidRDefault="00F666A6">
            <w:pPr>
              <w:pStyle w:val="TableParagraph"/>
              <w:ind w:left="7"/>
              <w:jc w:val="center"/>
              <w:rPr>
                <w:sz w:val="20"/>
              </w:rPr>
            </w:pPr>
            <w:r>
              <w:rPr>
                <w:w w:val="99"/>
                <w:sz w:val="20"/>
              </w:rPr>
              <w:t>2</w:t>
            </w:r>
          </w:p>
        </w:tc>
        <w:tc>
          <w:tcPr>
            <w:tcW w:w="989" w:type="dxa"/>
          </w:tcPr>
          <w:p w14:paraId="4676FAD1" w14:textId="77777777" w:rsidR="00DB6E1F" w:rsidRDefault="00F666A6">
            <w:pPr>
              <w:pStyle w:val="TableParagraph"/>
              <w:ind w:left="9"/>
              <w:jc w:val="center"/>
              <w:rPr>
                <w:sz w:val="20"/>
              </w:rPr>
            </w:pPr>
            <w:r>
              <w:rPr>
                <w:w w:val="99"/>
                <w:sz w:val="20"/>
              </w:rPr>
              <w:t>3</w:t>
            </w:r>
          </w:p>
        </w:tc>
        <w:tc>
          <w:tcPr>
            <w:tcW w:w="991" w:type="dxa"/>
          </w:tcPr>
          <w:p w14:paraId="5D80FA51" w14:textId="77777777" w:rsidR="00DB6E1F" w:rsidRDefault="00F666A6">
            <w:pPr>
              <w:pStyle w:val="TableParagraph"/>
              <w:ind w:left="7"/>
              <w:jc w:val="center"/>
              <w:rPr>
                <w:sz w:val="20"/>
              </w:rPr>
            </w:pPr>
            <w:r>
              <w:rPr>
                <w:w w:val="99"/>
                <w:sz w:val="20"/>
              </w:rPr>
              <w:t>4</w:t>
            </w:r>
          </w:p>
        </w:tc>
        <w:tc>
          <w:tcPr>
            <w:tcW w:w="989" w:type="dxa"/>
          </w:tcPr>
          <w:p w14:paraId="380FDFD3" w14:textId="77777777" w:rsidR="00DB6E1F" w:rsidRDefault="00F666A6">
            <w:pPr>
              <w:pStyle w:val="TableParagraph"/>
              <w:ind w:left="9"/>
              <w:jc w:val="center"/>
              <w:rPr>
                <w:sz w:val="20"/>
              </w:rPr>
            </w:pPr>
            <w:r>
              <w:rPr>
                <w:w w:val="99"/>
                <w:sz w:val="20"/>
              </w:rPr>
              <w:t>5</w:t>
            </w:r>
          </w:p>
        </w:tc>
      </w:tr>
      <w:tr w:rsidR="00DB6E1F" w14:paraId="64926DF1" w14:textId="77777777">
        <w:trPr>
          <w:trHeight w:val="527"/>
        </w:trPr>
        <w:tc>
          <w:tcPr>
            <w:tcW w:w="4409" w:type="dxa"/>
          </w:tcPr>
          <w:p w14:paraId="30C8E71A" w14:textId="77777777" w:rsidR="00DB6E1F" w:rsidRDefault="00F666A6">
            <w:pPr>
              <w:pStyle w:val="TableParagraph"/>
              <w:spacing w:before="3"/>
              <w:ind w:left="95"/>
              <w:rPr>
                <w:sz w:val="20"/>
              </w:rPr>
            </w:pPr>
            <w:r>
              <w:rPr>
                <w:color w:val="4D4D4F"/>
                <w:sz w:val="20"/>
              </w:rPr>
              <w:t>27.</w:t>
            </w:r>
            <w:r>
              <w:rPr>
                <w:color w:val="4D4D4F"/>
                <w:spacing w:val="17"/>
                <w:sz w:val="20"/>
              </w:rPr>
              <w:t xml:space="preserve"> </w:t>
            </w:r>
            <w:r>
              <w:rPr>
                <w:sz w:val="20"/>
              </w:rPr>
              <w:t>I’m here to</w:t>
            </w:r>
            <w:r>
              <w:rPr>
                <w:spacing w:val="2"/>
                <w:sz w:val="20"/>
              </w:rPr>
              <w:t xml:space="preserve"> </w:t>
            </w:r>
            <w:r>
              <w:rPr>
                <w:sz w:val="20"/>
              </w:rPr>
              <w:t>prevent</w:t>
            </w:r>
            <w:r>
              <w:rPr>
                <w:spacing w:val="1"/>
                <w:sz w:val="20"/>
              </w:rPr>
              <w:t xml:space="preserve"> </w:t>
            </w:r>
            <w:r>
              <w:rPr>
                <w:sz w:val="20"/>
              </w:rPr>
              <w:t>myself</w:t>
            </w:r>
            <w:r>
              <w:rPr>
                <w:spacing w:val="2"/>
                <w:sz w:val="20"/>
              </w:rPr>
              <w:t xml:space="preserve"> </w:t>
            </w:r>
            <w:r>
              <w:rPr>
                <w:sz w:val="20"/>
              </w:rPr>
              <w:t>from</w:t>
            </w:r>
            <w:r>
              <w:rPr>
                <w:spacing w:val="-1"/>
                <w:sz w:val="20"/>
              </w:rPr>
              <w:t xml:space="preserve"> </w:t>
            </w:r>
            <w:r>
              <w:rPr>
                <w:sz w:val="20"/>
              </w:rPr>
              <w:t>having</w:t>
            </w:r>
            <w:r>
              <w:rPr>
                <w:spacing w:val="1"/>
                <w:sz w:val="20"/>
              </w:rPr>
              <w:t xml:space="preserve"> </w:t>
            </w:r>
            <w:r>
              <w:rPr>
                <w:spacing w:val="-10"/>
                <w:sz w:val="20"/>
              </w:rPr>
              <w:t>a</w:t>
            </w:r>
          </w:p>
          <w:p w14:paraId="2656A4BE" w14:textId="77777777" w:rsidR="00DB6E1F" w:rsidRDefault="00F666A6">
            <w:pPr>
              <w:pStyle w:val="TableParagraph"/>
              <w:spacing w:before="18" w:line="242" w:lineRule="exact"/>
              <w:ind w:left="455"/>
              <w:rPr>
                <w:sz w:val="20"/>
              </w:rPr>
            </w:pPr>
            <w:r>
              <w:rPr>
                <w:sz w:val="20"/>
              </w:rPr>
              <w:t>relapse</w:t>
            </w:r>
            <w:r>
              <w:rPr>
                <w:spacing w:val="-5"/>
                <w:sz w:val="20"/>
              </w:rPr>
              <w:t xml:space="preserve"> </w:t>
            </w:r>
            <w:r>
              <w:rPr>
                <w:sz w:val="20"/>
              </w:rPr>
              <w:t>of</w:t>
            </w:r>
            <w:r>
              <w:rPr>
                <w:spacing w:val="-5"/>
                <w:sz w:val="20"/>
              </w:rPr>
              <w:t xml:space="preserve"> </w:t>
            </w:r>
            <w:r>
              <w:rPr>
                <w:sz w:val="20"/>
              </w:rPr>
              <w:t>my</w:t>
            </w:r>
            <w:r>
              <w:rPr>
                <w:spacing w:val="-3"/>
                <w:sz w:val="20"/>
              </w:rPr>
              <w:t xml:space="preserve"> </w:t>
            </w:r>
            <w:r>
              <w:rPr>
                <w:spacing w:val="-2"/>
                <w:sz w:val="20"/>
              </w:rPr>
              <w:t>problem.</w:t>
            </w:r>
          </w:p>
        </w:tc>
        <w:tc>
          <w:tcPr>
            <w:tcW w:w="991" w:type="dxa"/>
          </w:tcPr>
          <w:p w14:paraId="64FACDC2" w14:textId="77777777" w:rsidR="00DB6E1F" w:rsidRDefault="00F666A6">
            <w:pPr>
              <w:pStyle w:val="TableParagraph"/>
              <w:spacing w:before="3"/>
              <w:ind w:left="7"/>
              <w:jc w:val="center"/>
              <w:rPr>
                <w:sz w:val="20"/>
              </w:rPr>
            </w:pPr>
            <w:r>
              <w:rPr>
                <w:w w:val="99"/>
                <w:sz w:val="20"/>
              </w:rPr>
              <w:t>1</w:t>
            </w:r>
          </w:p>
        </w:tc>
        <w:tc>
          <w:tcPr>
            <w:tcW w:w="900" w:type="dxa"/>
          </w:tcPr>
          <w:p w14:paraId="04B48949" w14:textId="77777777" w:rsidR="00DB6E1F" w:rsidRDefault="00F666A6">
            <w:pPr>
              <w:pStyle w:val="TableParagraph"/>
              <w:spacing w:before="3"/>
              <w:ind w:left="7"/>
              <w:jc w:val="center"/>
              <w:rPr>
                <w:sz w:val="20"/>
              </w:rPr>
            </w:pPr>
            <w:r>
              <w:rPr>
                <w:w w:val="99"/>
                <w:sz w:val="20"/>
              </w:rPr>
              <w:t>2</w:t>
            </w:r>
          </w:p>
        </w:tc>
        <w:tc>
          <w:tcPr>
            <w:tcW w:w="989" w:type="dxa"/>
          </w:tcPr>
          <w:p w14:paraId="1D036806" w14:textId="77777777" w:rsidR="00DB6E1F" w:rsidRDefault="00F666A6">
            <w:pPr>
              <w:pStyle w:val="TableParagraph"/>
              <w:spacing w:before="3"/>
              <w:ind w:left="9"/>
              <w:jc w:val="center"/>
              <w:rPr>
                <w:sz w:val="20"/>
              </w:rPr>
            </w:pPr>
            <w:r>
              <w:rPr>
                <w:w w:val="99"/>
                <w:sz w:val="20"/>
              </w:rPr>
              <w:t>3</w:t>
            </w:r>
          </w:p>
        </w:tc>
        <w:tc>
          <w:tcPr>
            <w:tcW w:w="991" w:type="dxa"/>
          </w:tcPr>
          <w:p w14:paraId="26BA71FE" w14:textId="77777777" w:rsidR="00DB6E1F" w:rsidRDefault="00F666A6">
            <w:pPr>
              <w:pStyle w:val="TableParagraph"/>
              <w:spacing w:before="3"/>
              <w:ind w:left="7"/>
              <w:jc w:val="center"/>
              <w:rPr>
                <w:sz w:val="20"/>
              </w:rPr>
            </w:pPr>
            <w:r>
              <w:rPr>
                <w:w w:val="99"/>
                <w:sz w:val="20"/>
              </w:rPr>
              <w:t>4</w:t>
            </w:r>
          </w:p>
        </w:tc>
        <w:tc>
          <w:tcPr>
            <w:tcW w:w="989" w:type="dxa"/>
          </w:tcPr>
          <w:p w14:paraId="59B3DF82" w14:textId="77777777" w:rsidR="00DB6E1F" w:rsidRDefault="00F666A6">
            <w:pPr>
              <w:pStyle w:val="TableParagraph"/>
              <w:spacing w:before="3"/>
              <w:ind w:left="9"/>
              <w:jc w:val="center"/>
              <w:rPr>
                <w:sz w:val="20"/>
              </w:rPr>
            </w:pPr>
            <w:r>
              <w:rPr>
                <w:w w:val="99"/>
                <w:sz w:val="20"/>
              </w:rPr>
              <w:t>5</w:t>
            </w:r>
          </w:p>
        </w:tc>
      </w:tr>
      <w:tr w:rsidR="00DB6E1F" w14:paraId="1F419C16" w14:textId="77777777">
        <w:trPr>
          <w:trHeight w:val="791"/>
        </w:trPr>
        <w:tc>
          <w:tcPr>
            <w:tcW w:w="4409" w:type="dxa"/>
          </w:tcPr>
          <w:p w14:paraId="6090B015" w14:textId="77777777" w:rsidR="00DB6E1F" w:rsidRDefault="00F666A6">
            <w:pPr>
              <w:pStyle w:val="TableParagraph"/>
              <w:ind w:left="95"/>
              <w:rPr>
                <w:sz w:val="20"/>
              </w:rPr>
            </w:pPr>
            <w:r>
              <w:rPr>
                <w:color w:val="4D4D4F"/>
                <w:sz w:val="20"/>
              </w:rPr>
              <w:t>28.</w:t>
            </w:r>
            <w:r>
              <w:rPr>
                <w:color w:val="4D4D4F"/>
                <w:spacing w:val="15"/>
                <w:sz w:val="20"/>
              </w:rPr>
              <w:t xml:space="preserve"> </w:t>
            </w:r>
            <w:r>
              <w:rPr>
                <w:sz w:val="20"/>
              </w:rPr>
              <w:t>It is</w:t>
            </w:r>
            <w:r>
              <w:rPr>
                <w:spacing w:val="-1"/>
                <w:sz w:val="20"/>
              </w:rPr>
              <w:t xml:space="preserve"> </w:t>
            </w:r>
            <w:r>
              <w:rPr>
                <w:sz w:val="20"/>
              </w:rPr>
              <w:t>frustrating,</w:t>
            </w:r>
            <w:r>
              <w:rPr>
                <w:spacing w:val="1"/>
                <w:sz w:val="20"/>
              </w:rPr>
              <w:t xml:space="preserve"> </w:t>
            </w:r>
            <w:r>
              <w:rPr>
                <w:sz w:val="20"/>
              </w:rPr>
              <w:t>but I feel I</w:t>
            </w:r>
            <w:r>
              <w:rPr>
                <w:spacing w:val="3"/>
                <w:sz w:val="20"/>
              </w:rPr>
              <w:t xml:space="preserve"> </w:t>
            </w:r>
            <w:r>
              <w:rPr>
                <w:sz w:val="20"/>
              </w:rPr>
              <w:t>might be</w:t>
            </w:r>
            <w:r>
              <w:rPr>
                <w:spacing w:val="-1"/>
                <w:sz w:val="20"/>
              </w:rPr>
              <w:t xml:space="preserve"> </w:t>
            </w:r>
            <w:r>
              <w:rPr>
                <w:sz w:val="20"/>
              </w:rPr>
              <w:t xml:space="preserve">having </w:t>
            </w:r>
            <w:r>
              <w:rPr>
                <w:spacing w:val="-10"/>
                <w:sz w:val="20"/>
              </w:rPr>
              <w:t>a</w:t>
            </w:r>
          </w:p>
          <w:p w14:paraId="29C0074C" w14:textId="77777777" w:rsidR="00DB6E1F" w:rsidRDefault="00F666A6">
            <w:pPr>
              <w:pStyle w:val="TableParagraph"/>
              <w:spacing w:before="4" w:line="260" w:lineRule="atLeast"/>
              <w:ind w:left="455" w:right="99"/>
              <w:rPr>
                <w:sz w:val="20"/>
              </w:rPr>
            </w:pPr>
            <w:r>
              <w:rPr>
                <w:sz w:val="20"/>
              </w:rPr>
              <w:t>recurrence</w:t>
            </w:r>
            <w:r>
              <w:rPr>
                <w:spacing w:val="-6"/>
                <w:sz w:val="20"/>
              </w:rPr>
              <w:t xml:space="preserve"> </w:t>
            </w:r>
            <w:r>
              <w:rPr>
                <w:sz w:val="20"/>
              </w:rPr>
              <w:t>of</w:t>
            </w:r>
            <w:r>
              <w:rPr>
                <w:spacing w:val="-6"/>
                <w:sz w:val="20"/>
              </w:rPr>
              <w:t xml:space="preserve"> </w:t>
            </w:r>
            <w:r>
              <w:rPr>
                <w:sz w:val="20"/>
              </w:rPr>
              <w:t>a</w:t>
            </w:r>
            <w:r>
              <w:rPr>
                <w:spacing w:val="-4"/>
                <w:sz w:val="20"/>
              </w:rPr>
              <w:t xml:space="preserve"> </w:t>
            </w:r>
            <w:r>
              <w:rPr>
                <w:sz w:val="20"/>
              </w:rPr>
              <w:t>problem</w:t>
            </w:r>
            <w:r>
              <w:rPr>
                <w:spacing w:val="-6"/>
                <w:sz w:val="20"/>
              </w:rPr>
              <w:t xml:space="preserve"> </w:t>
            </w:r>
            <w:r>
              <w:rPr>
                <w:sz w:val="20"/>
              </w:rPr>
              <w:t>I</w:t>
            </w:r>
            <w:r>
              <w:rPr>
                <w:spacing w:val="-5"/>
                <w:sz w:val="20"/>
              </w:rPr>
              <w:t xml:space="preserve"> </w:t>
            </w:r>
            <w:r>
              <w:rPr>
                <w:sz w:val="20"/>
              </w:rPr>
              <w:t>thought</w:t>
            </w:r>
            <w:r>
              <w:rPr>
                <w:spacing w:val="-5"/>
                <w:sz w:val="20"/>
              </w:rPr>
              <w:t xml:space="preserve"> </w:t>
            </w:r>
            <w:r>
              <w:rPr>
                <w:sz w:val="20"/>
              </w:rPr>
              <w:t>I</w:t>
            </w:r>
            <w:r>
              <w:rPr>
                <w:spacing w:val="-5"/>
                <w:sz w:val="20"/>
              </w:rPr>
              <w:t xml:space="preserve"> </w:t>
            </w:r>
            <w:r>
              <w:rPr>
                <w:sz w:val="20"/>
              </w:rPr>
              <w:t xml:space="preserve">had </w:t>
            </w:r>
            <w:r>
              <w:rPr>
                <w:spacing w:val="-2"/>
                <w:sz w:val="20"/>
              </w:rPr>
              <w:t>resolved.</w:t>
            </w:r>
          </w:p>
        </w:tc>
        <w:tc>
          <w:tcPr>
            <w:tcW w:w="991" w:type="dxa"/>
          </w:tcPr>
          <w:p w14:paraId="46E4B724" w14:textId="77777777" w:rsidR="00DB6E1F" w:rsidRDefault="00F666A6">
            <w:pPr>
              <w:pStyle w:val="TableParagraph"/>
              <w:ind w:left="7"/>
              <w:jc w:val="center"/>
              <w:rPr>
                <w:sz w:val="20"/>
              </w:rPr>
            </w:pPr>
            <w:r>
              <w:rPr>
                <w:w w:val="99"/>
                <w:sz w:val="20"/>
              </w:rPr>
              <w:t>1</w:t>
            </w:r>
          </w:p>
        </w:tc>
        <w:tc>
          <w:tcPr>
            <w:tcW w:w="900" w:type="dxa"/>
          </w:tcPr>
          <w:p w14:paraId="4F52B353" w14:textId="77777777" w:rsidR="00DB6E1F" w:rsidRDefault="00F666A6">
            <w:pPr>
              <w:pStyle w:val="TableParagraph"/>
              <w:ind w:left="7"/>
              <w:jc w:val="center"/>
              <w:rPr>
                <w:sz w:val="20"/>
              </w:rPr>
            </w:pPr>
            <w:r>
              <w:rPr>
                <w:w w:val="99"/>
                <w:sz w:val="20"/>
              </w:rPr>
              <w:t>2</w:t>
            </w:r>
          </w:p>
        </w:tc>
        <w:tc>
          <w:tcPr>
            <w:tcW w:w="989" w:type="dxa"/>
          </w:tcPr>
          <w:p w14:paraId="32B6496D" w14:textId="77777777" w:rsidR="00DB6E1F" w:rsidRDefault="00F666A6">
            <w:pPr>
              <w:pStyle w:val="TableParagraph"/>
              <w:ind w:left="9"/>
              <w:jc w:val="center"/>
              <w:rPr>
                <w:sz w:val="20"/>
              </w:rPr>
            </w:pPr>
            <w:r>
              <w:rPr>
                <w:w w:val="99"/>
                <w:sz w:val="20"/>
              </w:rPr>
              <w:t>3</w:t>
            </w:r>
          </w:p>
        </w:tc>
        <w:tc>
          <w:tcPr>
            <w:tcW w:w="991" w:type="dxa"/>
          </w:tcPr>
          <w:p w14:paraId="162B9F03" w14:textId="77777777" w:rsidR="00DB6E1F" w:rsidRDefault="00F666A6">
            <w:pPr>
              <w:pStyle w:val="TableParagraph"/>
              <w:ind w:left="7"/>
              <w:jc w:val="center"/>
              <w:rPr>
                <w:sz w:val="20"/>
              </w:rPr>
            </w:pPr>
            <w:r>
              <w:rPr>
                <w:w w:val="99"/>
                <w:sz w:val="20"/>
              </w:rPr>
              <w:t>4</w:t>
            </w:r>
          </w:p>
        </w:tc>
        <w:tc>
          <w:tcPr>
            <w:tcW w:w="989" w:type="dxa"/>
          </w:tcPr>
          <w:p w14:paraId="227FE359" w14:textId="77777777" w:rsidR="00DB6E1F" w:rsidRDefault="00F666A6">
            <w:pPr>
              <w:pStyle w:val="TableParagraph"/>
              <w:ind w:left="9"/>
              <w:jc w:val="center"/>
              <w:rPr>
                <w:sz w:val="20"/>
              </w:rPr>
            </w:pPr>
            <w:r>
              <w:rPr>
                <w:w w:val="99"/>
                <w:sz w:val="20"/>
              </w:rPr>
              <w:t>5</w:t>
            </w:r>
          </w:p>
        </w:tc>
      </w:tr>
      <w:tr w:rsidR="00DB6E1F" w14:paraId="57FC0CE3" w14:textId="77777777">
        <w:trPr>
          <w:trHeight w:val="525"/>
        </w:trPr>
        <w:tc>
          <w:tcPr>
            <w:tcW w:w="4409" w:type="dxa"/>
          </w:tcPr>
          <w:p w14:paraId="330DA7CC" w14:textId="77777777" w:rsidR="00DB6E1F" w:rsidRDefault="00F666A6">
            <w:pPr>
              <w:pStyle w:val="TableParagraph"/>
              <w:ind w:left="95"/>
              <w:rPr>
                <w:sz w:val="20"/>
              </w:rPr>
            </w:pPr>
            <w:r>
              <w:rPr>
                <w:color w:val="4D4D4F"/>
                <w:sz w:val="20"/>
              </w:rPr>
              <w:t>29.</w:t>
            </w:r>
            <w:r>
              <w:rPr>
                <w:color w:val="4D4D4F"/>
                <w:spacing w:val="17"/>
                <w:sz w:val="20"/>
              </w:rPr>
              <w:t xml:space="preserve"> </w:t>
            </w:r>
            <w:r>
              <w:rPr>
                <w:sz w:val="20"/>
              </w:rPr>
              <w:t>I have worries,</w:t>
            </w:r>
            <w:r>
              <w:rPr>
                <w:spacing w:val="2"/>
                <w:sz w:val="20"/>
              </w:rPr>
              <w:t xml:space="preserve"> </w:t>
            </w:r>
            <w:r>
              <w:rPr>
                <w:sz w:val="20"/>
              </w:rPr>
              <w:t>but</w:t>
            </w:r>
            <w:r>
              <w:rPr>
                <w:spacing w:val="1"/>
                <w:sz w:val="20"/>
              </w:rPr>
              <w:t xml:space="preserve"> </w:t>
            </w:r>
            <w:r>
              <w:rPr>
                <w:sz w:val="20"/>
              </w:rPr>
              <w:t>so does the next</w:t>
            </w:r>
            <w:r>
              <w:rPr>
                <w:spacing w:val="1"/>
                <w:sz w:val="20"/>
              </w:rPr>
              <w:t xml:space="preserve"> </w:t>
            </w:r>
            <w:r>
              <w:rPr>
                <w:sz w:val="20"/>
              </w:rPr>
              <w:t xml:space="preserve">guy. </w:t>
            </w:r>
            <w:r>
              <w:rPr>
                <w:spacing w:val="-5"/>
                <w:sz w:val="20"/>
              </w:rPr>
              <w:t>Why</w:t>
            </w:r>
          </w:p>
          <w:p w14:paraId="2DEB129B" w14:textId="77777777" w:rsidR="00DB6E1F" w:rsidRDefault="00F666A6">
            <w:pPr>
              <w:pStyle w:val="TableParagraph"/>
              <w:spacing w:before="20" w:line="240" w:lineRule="exact"/>
              <w:ind w:left="455"/>
              <w:rPr>
                <w:sz w:val="20"/>
              </w:rPr>
            </w:pPr>
            <w:r>
              <w:rPr>
                <w:sz w:val="20"/>
              </w:rPr>
              <w:t>spend</w:t>
            </w:r>
            <w:r>
              <w:rPr>
                <w:spacing w:val="-6"/>
                <w:sz w:val="20"/>
              </w:rPr>
              <w:t xml:space="preserve"> </w:t>
            </w:r>
            <w:r>
              <w:rPr>
                <w:sz w:val="20"/>
              </w:rPr>
              <w:t>time</w:t>
            </w:r>
            <w:r>
              <w:rPr>
                <w:spacing w:val="-8"/>
                <w:sz w:val="20"/>
              </w:rPr>
              <w:t xml:space="preserve"> </w:t>
            </w:r>
            <w:r>
              <w:rPr>
                <w:sz w:val="20"/>
              </w:rPr>
              <w:t>thinking</w:t>
            </w:r>
            <w:r>
              <w:rPr>
                <w:spacing w:val="-7"/>
                <w:sz w:val="20"/>
              </w:rPr>
              <w:t xml:space="preserve"> </w:t>
            </w:r>
            <w:r>
              <w:rPr>
                <w:sz w:val="20"/>
              </w:rPr>
              <w:t>about</w:t>
            </w:r>
            <w:r>
              <w:rPr>
                <w:spacing w:val="-7"/>
                <w:sz w:val="20"/>
              </w:rPr>
              <w:t xml:space="preserve"> </w:t>
            </w:r>
            <w:r>
              <w:rPr>
                <w:spacing w:val="-2"/>
                <w:sz w:val="20"/>
              </w:rPr>
              <w:t>them?</w:t>
            </w:r>
          </w:p>
        </w:tc>
        <w:tc>
          <w:tcPr>
            <w:tcW w:w="991" w:type="dxa"/>
          </w:tcPr>
          <w:p w14:paraId="2E358174" w14:textId="77777777" w:rsidR="00DB6E1F" w:rsidRDefault="00F666A6">
            <w:pPr>
              <w:pStyle w:val="TableParagraph"/>
              <w:ind w:left="7"/>
              <w:jc w:val="center"/>
              <w:rPr>
                <w:sz w:val="20"/>
              </w:rPr>
            </w:pPr>
            <w:r>
              <w:rPr>
                <w:w w:val="99"/>
                <w:sz w:val="20"/>
              </w:rPr>
              <w:t>1</w:t>
            </w:r>
          </w:p>
        </w:tc>
        <w:tc>
          <w:tcPr>
            <w:tcW w:w="900" w:type="dxa"/>
          </w:tcPr>
          <w:p w14:paraId="55B3FB02" w14:textId="77777777" w:rsidR="00DB6E1F" w:rsidRDefault="00F666A6">
            <w:pPr>
              <w:pStyle w:val="TableParagraph"/>
              <w:ind w:left="7"/>
              <w:jc w:val="center"/>
              <w:rPr>
                <w:sz w:val="20"/>
              </w:rPr>
            </w:pPr>
            <w:r>
              <w:rPr>
                <w:w w:val="99"/>
                <w:sz w:val="20"/>
              </w:rPr>
              <w:t>2</w:t>
            </w:r>
          </w:p>
        </w:tc>
        <w:tc>
          <w:tcPr>
            <w:tcW w:w="989" w:type="dxa"/>
          </w:tcPr>
          <w:p w14:paraId="74B15A95" w14:textId="77777777" w:rsidR="00DB6E1F" w:rsidRDefault="00F666A6">
            <w:pPr>
              <w:pStyle w:val="TableParagraph"/>
              <w:ind w:left="9"/>
              <w:jc w:val="center"/>
              <w:rPr>
                <w:sz w:val="20"/>
              </w:rPr>
            </w:pPr>
            <w:r>
              <w:rPr>
                <w:w w:val="99"/>
                <w:sz w:val="20"/>
              </w:rPr>
              <w:t>3</w:t>
            </w:r>
          </w:p>
        </w:tc>
        <w:tc>
          <w:tcPr>
            <w:tcW w:w="991" w:type="dxa"/>
          </w:tcPr>
          <w:p w14:paraId="52ED04AF" w14:textId="77777777" w:rsidR="00DB6E1F" w:rsidRDefault="00F666A6">
            <w:pPr>
              <w:pStyle w:val="TableParagraph"/>
              <w:ind w:left="7"/>
              <w:jc w:val="center"/>
              <w:rPr>
                <w:sz w:val="20"/>
              </w:rPr>
            </w:pPr>
            <w:r>
              <w:rPr>
                <w:w w:val="99"/>
                <w:sz w:val="20"/>
              </w:rPr>
              <w:t>4</w:t>
            </w:r>
          </w:p>
        </w:tc>
        <w:tc>
          <w:tcPr>
            <w:tcW w:w="989" w:type="dxa"/>
          </w:tcPr>
          <w:p w14:paraId="69D97F78" w14:textId="77777777" w:rsidR="00DB6E1F" w:rsidRDefault="00F666A6">
            <w:pPr>
              <w:pStyle w:val="TableParagraph"/>
              <w:ind w:left="9"/>
              <w:jc w:val="center"/>
              <w:rPr>
                <w:sz w:val="20"/>
              </w:rPr>
            </w:pPr>
            <w:r>
              <w:rPr>
                <w:w w:val="99"/>
                <w:sz w:val="20"/>
              </w:rPr>
              <w:t>5</w:t>
            </w:r>
          </w:p>
        </w:tc>
      </w:tr>
      <w:tr w:rsidR="00DB6E1F" w14:paraId="6ABEE641" w14:textId="77777777">
        <w:trPr>
          <w:trHeight w:val="263"/>
        </w:trPr>
        <w:tc>
          <w:tcPr>
            <w:tcW w:w="4409" w:type="dxa"/>
          </w:tcPr>
          <w:p w14:paraId="7B8748B0" w14:textId="77777777" w:rsidR="00DB6E1F" w:rsidRDefault="00F666A6">
            <w:pPr>
              <w:pStyle w:val="TableParagraph"/>
              <w:spacing w:before="3" w:line="240" w:lineRule="exact"/>
              <w:ind w:left="95"/>
              <w:rPr>
                <w:sz w:val="20"/>
              </w:rPr>
            </w:pPr>
            <w:r>
              <w:rPr>
                <w:color w:val="4D4D4F"/>
                <w:sz w:val="20"/>
              </w:rPr>
              <w:t>30.</w:t>
            </w:r>
            <w:r>
              <w:rPr>
                <w:color w:val="4D4D4F"/>
                <w:spacing w:val="18"/>
                <w:sz w:val="20"/>
              </w:rPr>
              <w:t xml:space="preserve"> </w:t>
            </w:r>
            <w:r>
              <w:rPr>
                <w:sz w:val="20"/>
              </w:rPr>
              <w:t>I</w:t>
            </w:r>
            <w:r>
              <w:rPr>
                <w:spacing w:val="2"/>
                <w:sz w:val="20"/>
              </w:rPr>
              <w:t xml:space="preserve"> </w:t>
            </w:r>
            <w:r>
              <w:rPr>
                <w:sz w:val="20"/>
              </w:rPr>
              <w:t>am</w:t>
            </w:r>
            <w:r>
              <w:rPr>
                <w:spacing w:val="1"/>
                <w:sz w:val="20"/>
              </w:rPr>
              <w:t xml:space="preserve"> </w:t>
            </w:r>
            <w:r>
              <w:rPr>
                <w:sz w:val="20"/>
              </w:rPr>
              <w:t>actively</w:t>
            </w:r>
            <w:r>
              <w:rPr>
                <w:spacing w:val="3"/>
                <w:sz w:val="20"/>
              </w:rPr>
              <w:t xml:space="preserve"> </w:t>
            </w:r>
            <w:r>
              <w:rPr>
                <w:sz w:val="20"/>
              </w:rPr>
              <w:t>working</w:t>
            </w:r>
            <w:r>
              <w:rPr>
                <w:spacing w:val="2"/>
                <w:sz w:val="20"/>
              </w:rPr>
              <w:t xml:space="preserve"> </w:t>
            </w:r>
            <w:r>
              <w:rPr>
                <w:sz w:val="20"/>
              </w:rPr>
              <w:t>on</w:t>
            </w:r>
            <w:r>
              <w:rPr>
                <w:spacing w:val="3"/>
                <w:sz w:val="20"/>
              </w:rPr>
              <w:t xml:space="preserve"> </w:t>
            </w:r>
            <w:r>
              <w:rPr>
                <w:sz w:val="20"/>
              </w:rPr>
              <w:t>my</w:t>
            </w:r>
            <w:r>
              <w:rPr>
                <w:spacing w:val="3"/>
                <w:sz w:val="20"/>
              </w:rPr>
              <w:t xml:space="preserve"> </w:t>
            </w:r>
            <w:r>
              <w:rPr>
                <w:spacing w:val="-2"/>
                <w:sz w:val="20"/>
              </w:rPr>
              <w:t>problem.</w:t>
            </w:r>
          </w:p>
        </w:tc>
        <w:tc>
          <w:tcPr>
            <w:tcW w:w="991" w:type="dxa"/>
          </w:tcPr>
          <w:p w14:paraId="0FFC7B2E" w14:textId="77777777" w:rsidR="00DB6E1F" w:rsidRDefault="00F666A6">
            <w:pPr>
              <w:pStyle w:val="TableParagraph"/>
              <w:spacing w:before="3" w:line="240" w:lineRule="exact"/>
              <w:ind w:left="7"/>
              <w:jc w:val="center"/>
              <w:rPr>
                <w:sz w:val="20"/>
              </w:rPr>
            </w:pPr>
            <w:r>
              <w:rPr>
                <w:w w:val="99"/>
                <w:sz w:val="20"/>
              </w:rPr>
              <w:t>1</w:t>
            </w:r>
          </w:p>
        </w:tc>
        <w:tc>
          <w:tcPr>
            <w:tcW w:w="900" w:type="dxa"/>
          </w:tcPr>
          <w:p w14:paraId="640E5545" w14:textId="77777777" w:rsidR="00DB6E1F" w:rsidRDefault="00F666A6">
            <w:pPr>
              <w:pStyle w:val="TableParagraph"/>
              <w:spacing w:before="3" w:line="240" w:lineRule="exact"/>
              <w:ind w:left="7"/>
              <w:jc w:val="center"/>
              <w:rPr>
                <w:sz w:val="20"/>
              </w:rPr>
            </w:pPr>
            <w:r>
              <w:rPr>
                <w:w w:val="99"/>
                <w:sz w:val="20"/>
              </w:rPr>
              <w:t>2</w:t>
            </w:r>
          </w:p>
        </w:tc>
        <w:tc>
          <w:tcPr>
            <w:tcW w:w="989" w:type="dxa"/>
          </w:tcPr>
          <w:p w14:paraId="14EA35CD" w14:textId="77777777" w:rsidR="00DB6E1F" w:rsidRDefault="00F666A6">
            <w:pPr>
              <w:pStyle w:val="TableParagraph"/>
              <w:spacing w:before="3" w:line="240" w:lineRule="exact"/>
              <w:ind w:left="9"/>
              <w:jc w:val="center"/>
              <w:rPr>
                <w:sz w:val="20"/>
              </w:rPr>
            </w:pPr>
            <w:r>
              <w:rPr>
                <w:w w:val="99"/>
                <w:sz w:val="20"/>
              </w:rPr>
              <w:t>3</w:t>
            </w:r>
          </w:p>
        </w:tc>
        <w:tc>
          <w:tcPr>
            <w:tcW w:w="991" w:type="dxa"/>
          </w:tcPr>
          <w:p w14:paraId="781EA501" w14:textId="77777777" w:rsidR="00DB6E1F" w:rsidRDefault="00F666A6">
            <w:pPr>
              <w:pStyle w:val="TableParagraph"/>
              <w:spacing w:before="3" w:line="240" w:lineRule="exact"/>
              <w:ind w:left="7"/>
              <w:jc w:val="center"/>
              <w:rPr>
                <w:sz w:val="20"/>
              </w:rPr>
            </w:pPr>
            <w:r>
              <w:rPr>
                <w:w w:val="99"/>
                <w:sz w:val="20"/>
              </w:rPr>
              <w:t>4</w:t>
            </w:r>
          </w:p>
        </w:tc>
        <w:tc>
          <w:tcPr>
            <w:tcW w:w="989" w:type="dxa"/>
          </w:tcPr>
          <w:p w14:paraId="4AAD05A8" w14:textId="77777777" w:rsidR="00DB6E1F" w:rsidRDefault="00F666A6">
            <w:pPr>
              <w:pStyle w:val="TableParagraph"/>
              <w:spacing w:before="3" w:line="240" w:lineRule="exact"/>
              <w:ind w:left="9"/>
              <w:jc w:val="center"/>
              <w:rPr>
                <w:sz w:val="20"/>
              </w:rPr>
            </w:pPr>
            <w:r>
              <w:rPr>
                <w:w w:val="99"/>
                <w:sz w:val="20"/>
              </w:rPr>
              <w:t>5</w:t>
            </w:r>
          </w:p>
        </w:tc>
      </w:tr>
      <w:tr w:rsidR="00DB6E1F" w14:paraId="696AE8B9" w14:textId="77777777">
        <w:trPr>
          <w:trHeight w:val="527"/>
        </w:trPr>
        <w:tc>
          <w:tcPr>
            <w:tcW w:w="4409" w:type="dxa"/>
          </w:tcPr>
          <w:p w14:paraId="38943EDB" w14:textId="77777777" w:rsidR="00DB6E1F" w:rsidRDefault="00F666A6">
            <w:pPr>
              <w:pStyle w:val="TableParagraph"/>
              <w:spacing w:before="3"/>
              <w:ind w:left="95"/>
              <w:rPr>
                <w:sz w:val="20"/>
              </w:rPr>
            </w:pPr>
            <w:r>
              <w:rPr>
                <w:color w:val="4D4D4F"/>
                <w:sz w:val="20"/>
              </w:rPr>
              <w:t>31.</w:t>
            </w:r>
            <w:r>
              <w:rPr>
                <w:color w:val="4D4D4F"/>
                <w:spacing w:val="16"/>
                <w:sz w:val="20"/>
              </w:rPr>
              <w:t xml:space="preserve"> </w:t>
            </w:r>
            <w:r>
              <w:rPr>
                <w:sz w:val="20"/>
              </w:rPr>
              <w:t>I would</w:t>
            </w:r>
            <w:r>
              <w:rPr>
                <w:spacing w:val="2"/>
                <w:sz w:val="20"/>
              </w:rPr>
              <w:t xml:space="preserve"> </w:t>
            </w:r>
            <w:r>
              <w:rPr>
                <w:sz w:val="20"/>
              </w:rPr>
              <w:t>rather cope</w:t>
            </w:r>
            <w:r>
              <w:rPr>
                <w:spacing w:val="-1"/>
                <w:sz w:val="20"/>
              </w:rPr>
              <w:t xml:space="preserve"> </w:t>
            </w:r>
            <w:r>
              <w:rPr>
                <w:sz w:val="20"/>
              </w:rPr>
              <w:t>with</w:t>
            </w:r>
            <w:r>
              <w:rPr>
                <w:spacing w:val="2"/>
                <w:sz w:val="20"/>
              </w:rPr>
              <w:t xml:space="preserve"> </w:t>
            </w:r>
            <w:r>
              <w:rPr>
                <w:sz w:val="20"/>
              </w:rPr>
              <w:t>my</w:t>
            </w:r>
            <w:r>
              <w:rPr>
                <w:spacing w:val="1"/>
                <w:sz w:val="20"/>
              </w:rPr>
              <w:t xml:space="preserve"> </w:t>
            </w:r>
            <w:r>
              <w:rPr>
                <w:sz w:val="20"/>
              </w:rPr>
              <w:t>faults than</w:t>
            </w:r>
            <w:r>
              <w:rPr>
                <w:spacing w:val="1"/>
                <w:sz w:val="20"/>
              </w:rPr>
              <w:t xml:space="preserve"> </w:t>
            </w:r>
            <w:r>
              <w:rPr>
                <w:sz w:val="20"/>
              </w:rPr>
              <w:t>try</w:t>
            </w:r>
            <w:r>
              <w:rPr>
                <w:spacing w:val="1"/>
                <w:sz w:val="20"/>
              </w:rPr>
              <w:t xml:space="preserve"> </w:t>
            </w:r>
            <w:r>
              <w:rPr>
                <w:spacing w:val="-5"/>
                <w:sz w:val="20"/>
              </w:rPr>
              <w:t>to</w:t>
            </w:r>
          </w:p>
          <w:p w14:paraId="2A3C18F9" w14:textId="77777777" w:rsidR="00DB6E1F" w:rsidRDefault="00F666A6">
            <w:pPr>
              <w:pStyle w:val="TableParagraph"/>
              <w:spacing w:before="18" w:line="242" w:lineRule="exact"/>
              <w:ind w:left="455"/>
              <w:rPr>
                <w:sz w:val="20"/>
              </w:rPr>
            </w:pPr>
            <w:r>
              <w:rPr>
                <w:sz w:val="20"/>
              </w:rPr>
              <w:t>change</w:t>
            </w:r>
            <w:r>
              <w:rPr>
                <w:spacing w:val="-9"/>
                <w:sz w:val="20"/>
              </w:rPr>
              <w:t xml:space="preserve"> </w:t>
            </w:r>
            <w:r>
              <w:rPr>
                <w:spacing w:val="-2"/>
                <w:sz w:val="20"/>
              </w:rPr>
              <w:t>them.</w:t>
            </w:r>
          </w:p>
        </w:tc>
        <w:tc>
          <w:tcPr>
            <w:tcW w:w="991" w:type="dxa"/>
          </w:tcPr>
          <w:p w14:paraId="5E96D1E3" w14:textId="77777777" w:rsidR="00DB6E1F" w:rsidRDefault="00F666A6">
            <w:pPr>
              <w:pStyle w:val="TableParagraph"/>
              <w:spacing w:before="3"/>
              <w:ind w:left="7"/>
              <w:jc w:val="center"/>
              <w:rPr>
                <w:sz w:val="20"/>
              </w:rPr>
            </w:pPr>
            <w:r>
              <w:rPr>
                <w:w w:val="99"/>
                <w:sz w:val="20"/>
              </w:rPr>
              <w:t>1</w:t>
            </w:r>
          </w:p>
        </w:tc>
        <w:tc>
          <w:tcPr>
            <w:tcW w:w="900" w:type="dxa"/>
          </w:tcPr>
          <w:p w14:paraId="5AFECB9A" w14:textId="77777777" w:rsidR="00DB6E1F" w:rsidRDefault="00F666A6">
            <w:pPr>
              <w:pStyle w:val="TableParagraph"/>
              <w:spacing w:before="3"/>
              <w:ind w:left="7"/>
              <w:jc w:val="center"/>
              <w:rPr>
                <w:sz w:val="20"/>
              </w:rPr>
            </w:pPr>
            <w:r>
              <w:rPr>
                <w:w w:val="99"/>
                <w:sz w:val="20"/>
              </w:rPr>
              <w:t>2</w:t>
            </w:r>
          </w:p>
        </w:tc>
        <w:tc>
          <w:tcPr>
            <w:tcW w:w="989" w:type="dxa"/>
          </w:tcPr>
          <w:p w14:paraId="7BD5C07D" w14:textId="77777777" w:rsidR="00DB6E1F" w:rsidRDefault="00F666A6">
            <w:pPr>
              <w:pStyle w:val="TableParagraph"/>
              <w:spacing w:before="3"/>
              <w:ind w:left="9"/>
              <w:jc w:val="center"/>
              <w:rPr>
                <w:sz w:val="20"/>
              </w:rPr>
            </w:pPr>
            <w:r>
              <w:rPr>
                <w:w w:val="99"/>
                <w:sz w:val="20"/>
              </w:rPr>
              <w:t>3</w:t>
            </w:r>
          </w:p>
        </w:tc>
        <w:tc>
          <w:tcPr>
            <w:tcW w:w="991" w:type="dxa"/>
          </w:tcPr>
          <w:p w14:paraId="52466AAE" w14:textId="77777777" w:rsidR="00DB6E1F" w:rsidRDefault="00F666A6">
            <w:pPr>
              <w:pStyle w:val="TableParagraph"/>
              <w:spacing w:before="3"/>
              <w:ind w:left="7"/>
              <w:jc w:val="center"/>
              <w:rPr>
                <w:sz w:val="20"/>
              </w:rPr>
            </w:pPr>
            <w:r>
              <w:rPr>
                <w:w w:val="99"/>
                <w:sz w:val="20"/>
              </w:rPr>
              <w:t>4</w:t>
            </w:r>
          </w:p>
        </w:tc>
        <w:tc>
          <w:tcPr>
            <w:tcW w:w="989" w:type="dxa"/>
          </w:tcPr>
          <w:p w14:paraId="72776502" w14:textId="77777777" w:rsidR="00DB6E1F" w:rsidRDefault="00F666A6">
            <w:pPr>
              <w:pStyle w:val="TableParagraph"/>
              <w:spacing w:before="3"/>
              <w:ind w:left="9"/>
              <w:jc w:val="center"/>
              <w:rPr>
                <w:sz w:val="20"/>
              </w:rPr>
            </w:pPr>
            <w:r>
              <w:rPr>
                <w:w w:val="99"/>
                <w:sz w:val="20"/>
              </w:rPr>
              <w:t>5</w:t>
            </w:r>
          </w:p>
        </w:tc>
      </w:tr>
      <w:tr w:rsidR="00DB6E1F" w14:paraId="19E7A836" w14:textId="77777777">
        <w:trPr>
          <w:trHeight w:val="791"/>
        </w:trPr>
        <w:tc>
          <w:tcPr>
            <w:tcW w:w="4409" w:type="dxa"/>
          </w:tcPr>
          <w:p w14:paraId="456EE9BB" w14:textId="77777777" w:rsidR="00DB6E1F" w:rsidRDefault="00F666A6">
            <w:pPr>
              <w:pStyle w:val="TableParagraph"/>
              <w:spacing w:line="259" w:lineRule="auto"/>
              <w:ind w:left="455" w:right="99" w:hanging="360"/>
              <w:rPr>
                <w:sz w:val="20"/>
              </w:rPr>
            </w:pPr>
            <w:r>
              <w:rPr>
                <w:color w:val="4D4D4F"/>
                <w:sz w:val="20"/>
              </w:rPr>
              <w:t xml:space="preserve">32. </w:t>
            </w:r>
            <w:r>
              <w:rPr>
                <w:sz w:val="20"/>
              </w:rPr>
              <w:t>After all I had done to try to change my problem,</w:t>
            </w:r>
            <w:r>
              <w:rPr>
                <w:spacing w:val="-5"/>
                <w:sz w:val="20"/>
              </w:rPr>
              <w:t xml:space="preserve"> </w:t>
            </w:r>
            <w:r>
              <w:rPr>
                <w:sz w:val="20"/>
              </w:rPr>
              <w:t>every</w:t>
            </w:r>
            <w:r>
              <w:rPr>
                <w:spacing w:val="-5"/>
                <w:sz w:val="20"/>
              </w:rPr>
              <w:t xml:space="preserve"> </w:t>
            </w:r>
            <w:r>
              <w:rPr>
                <w:sz w:val="20"/>
              </w:rPr>
              <w:t>now</w:t>
            </w:r>
            <w:r>
              <w:rPr>
                <w:spacing w:val="-7"/>
                <w:sz w:val="20"/>
              </w:rPr>
              <w:t xml:space="preserve"> </w:t>
            </w:r>
            <w:r>
              <w:rPr>
                <w:sz w:val="20"/>
              </w:rPr>
              <w:t>and</w:t>
            </w:r>
            <w:r>
              <w:rPr>
                <w:spacing w:val="-5"/>
                <w:sz w:val="20"/>
              </w:rPr>
              <w:t xml:space="preserve"> </w:t>
            </w:r>
            <w:r>
              <w:rPr>
                <w:sz w:val="20"/>
              </w:rPr>
              <w:t>again</w:t>
            </w:r>
            <w:r>
              <w:rPr>
                <w:spacing w:val="-5"/>
                <w:sz w:val="20"/>
              </w:rPr>
              <w:t xml:space="preserve"> </w:t>
            </w:r>
            <w:r>
              <w:rPr>
                <w:sz w:val="20"/>
              </w:rPr>
              <w:t>it</w:t>
            </w:r>
            <w:r>
              <w:rPr>
                <w:spacing w:val="-6"/>
                <w:sz w:val="20"/>
              </w:rPr>
              <w:t xml:space="preserve"> </w:t>
            </w:r>
            <w:r>
              <w:rPr>
                <w:sz w:val="20"/>
              </w:rPr>
              <w:t>comes</w:t>
            </w:r>
            <w:r>
              <w:rPr>
                <w:spacing w:val="-7"/>
                <w:sz w:val="20"/>
              </w:rPr>
              <w:t xml:space="preserve"> </w:t>
            </w:r>
            <w:r>
              <w:rPr>
                <w:sz w:val="20"/>
              </w:rPr>
              <w:t>back</w:t>
            </w:r>
            <w:r>
              <w:rPr>
                <w:spacing w:val="-5"/>
                <w:sz w:val="20"/>
              </w:rPr>
              <w:t xml:space="preserve"> </w:t>
            </w:r>
            <w:r>
              <w:rPr>
                <w:sz w:val="20"/>
              </w:rPr>
              <w:t>to</w:t>
            </w:r>
          </w:p>
          <w:p w14:paraId="4B0993AF" w14:textId="77777777" w:rsidR="00DB6E1F" w:rsidRDefault="00F666A6">
            <w:pPr>
              <w:pStyle w:val="TableParagraph"/>
              <w:spacing w:line="242" w:lineRule="exact"/>
              <w:ind w:left="455"/>
              <w:rPr>
                <w:sz w:val="20"/>
              </w:rPr>
            </w:pPr>
            <w:r>
              <w:rPr>
                <w:sz w:val="20"/>
              </w:rPr>
              <w:t>haunt</w:t>
            </w:r>
            <w:r>
              <w:rPr>
                <w:spacing w:val="-5"/>
                <w:sz w:val="20"/>
              </w:rPr>
              <w:t xml:space="preserve"> me.</w:t>
            </w:r>
          </w:p>
        </w:tc>
        <w:tc>
          <w:tcPr>
            <w:tcW w:w="991" w:type="dxa"/>
          </w:tcPr>
          <w:p w14:paraId="497377DE" w14:textId="77777777" w:rsidR="00DB6E1F" w:rsidRDefault="00F666A6">
            <w:pPr>
              <w:pStyle w:val="TableParagraph"/>
              <w:ind w:left="7"/>
              <w:jc w:val="center"/>
              <w:rPr>
                <w:sz w:val="20"/>
              </w:rPr>
            </w:pPr>
            <w:r>
              <w:rPr>
                <w:w w:val="99"/>
                <w:sz w:val="20"/>
              </w:rPr>
              <w:t>1</w:t>
            </w:r>
          </w:p>
        </w:tc>
        <w:tc>
          <w:tcPr>
            <w:tcW w:w="900" w:type="dxa"/>
          </w:tcPr>
          <w:p w14:paraId="6DCA4A93" w14:textId="77777777" w:rsidR="00DB6E1F" w:rsidRDefault="00F666A6">
            <w:pPr>
              <w:pStyle w:val="TableParagraph"/>
              <w:ind w:left="7"/>
              <w:jc w:val="center"/>
              <w:rPr>
                <w:sz w:val="20"/>
              </w:rPr>
            </w:pPr>
            <w:r>
              <w:rPr>
                <w:w w:val="99"/>
                <w:sz w:val="20"/>
              </w:rPr>
              <w:t>2</w:t>
            </w:r>
          </w:p>
        </w:tc>
        <w:tc>
          <w:tcPr>
            <w:tcW w:w="989" w:type="dxa"/>
          </w:tcPr>
          <w:p w14:paraId="049BDBD2" w14:textId="77777777" w:rsidR="00DB6E1F" w:rsidRDefault="00F666A6">
            <w:pPr>
              <w:pStyle w:val="TableParagraph"/>
              <w:ind w:left="9"/>
              <w:jc w:val="center"/>
              <w:rPr>
                <w:sz w:val="20"/>
              </w:rPr>
            </w:pPr>
            <w:r>
              <w:rPr>
                <w:w w:val="99"/>
                <w:sz w:val="20"/>
              </w:rPr>
              <w:t>3</w:t>
            </w:r>
          </w:p>
        </w:tc>
        <w:tc>
          <w:tcPr>
            <w:tcW w:w="991" w:type="dxa"/>
          </w:tcPr>
          <w:p w14:paraId="6A4CC8D9" w14:textId="77777777" w:rsidR="00DB6E1F" w:rsidRDefault="00F666A6">
            <w:pPr>
              <w:pStyle w:val="TableParagraph"/>
              <w:ind w:left="7"/>
              <w:jc w:val="center"/>
              <w:rPr>
                <w:sz w:val="20"/>
              </w:rPr>
            </w:pPr>
            <w:r>
              <w:rPr>
                <w:w w:val="99"/>
                <w:sz w:val="20"/>
              </w:rPr>
              <w:t>4</w:t>
            </w:r>
          </w:p>
        </w:tc>
        <w:tc>
          <w:tcPr>
            <w:tcW w:w="989" w:type="dxa"/>
          </w:tcPr>
          <w:p w14:paraId="1EC22A90" w14:textId="77777777" w:rsidR="00DB6E1F" w:rsidRDefault="00F666A6">
            <w:pPr>
              <w:pStyle w:val="TableParagraph"/>
              <w:ind w:left="9"/>
              <w:jc w:val="center"/>
              <w:rPr>
                <w:sz w:val="20"/>
              </w:rPr>
            </w:pPr>
            <w:r>
              <w:rPr>
                <w:w w:val="99"/>
                <w:sz w:val="20"/>
              </w:rPr>
              <w:t>5</w:t>
            </w:r>
          </w:p>
        </w:tc>
      </w:tr>
    </w:tbl>
    <w:p w14:paraId="672CE78C" w14:textId="77777777" w:rsidR="00DB6E1F" w:rsidRDefault="00DB6E1F">
      <w:pPr>
        <w:pStyle w:val="BodyText"/>
        <w:spacing w:before="9"/>
        <w:rPr>
          <w:sz w:val="5"/>
        </w:rPr>
      </w:pPr>
    </w:p>
    <w:p w14:paraId="40BBCE16" w14:textId="77777777" w:rsidR="00DB6E1F" w:rsidRDefault="00F666A6">
      <w:pPr>
        <w:spacing w:before="60"/>
        <w:ind w:left="1440"/>
        <w:rPr>
          <w:b/>
          <w:sz w:val="20"/>
        </w:rPr>
      </w:pPr>
      <w:r>
        <w:rPr>
          <w:b/>
          <w:spacing w:val="-2"/>
          <w:sz w:val="20"/>
        </w:rPr>
        <w:t>Scoring</w:t>
      </w:r>
    </w:p>
    <w:p w14:paraId="7FDDEEDD" w14:textId="77777777" w:rsidR="00DB6E1F" w:rsidRDefault="00DB6E1F">
      <w:pPr>
        <w:pStyle w:val="BodyText"/>
        <w:spacing w:before="6"/>
        <w:rPr>
          <w:b/>
          <w:sz w:val="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DB6E1F" w14:paraId="14413B8F" w14:textId="77777777">
        <w:trPr>
          <w:trHeight w:val="350"/>
        </w:trPr>
        <w:tc>
          <w:tcPr>
            <w:tcW w:w="4675" w:type="dxa"/>
          </w:tcPr>
          <w:p w14:paraId="0021A26E" w14:textId="77777777" w:rsidR="00DB6E1F" w:rsidRDefault="00F666A6">
            <w:pPr>
              <w:pStyle w:val="TableParagraph"/>
              <w:spacing w:before="75"/>
              <w:ind w:left="186"/>
              <w:rPr>
                <w:sz w:val="20"/>
              </w:rPr>
            </w:pPr>
            <w:r>
              <w:rPr>
                <w:w w:val="95"/>
                <w:sz w:val="20"/>
              </w:rPr>
              <w:t>Precontemplation</w:t>
            </w:r>
            <w:r>
              <w:rPr>
                <w:spacing w:val="55"/>
                <w:sz w:val="20"/>
              </w:rPr>
              <w:t xml:space="preserve"> </w:t>
            </w:r>
            <w:r>
              <w:rPr>
                <w:spacing w:val="-4"/>
                <w:sz w:val="20"/>
              </w:rPr>
              <w:t>items</w:t>
            </w:r>
          </w:p>
        </w:tc>
        <w:tc>
          <w:tcPr>
            <w:tcW w:w="4675" w:type="dxa"/>
          </w:tcPr>
          <w:p w14:paraId="2560F91B" w14:textId="77777777" w:rsidR="00DB6E1F" w:rsidRDefault="00F666A6">
            <w:pPr>
              <w:pStyle w:val="TableParagraph"/>
              <w:spacing w:before="75"/>
              <w:ind w:left="187"/>
              <w:rPr>
                <w:sz w:val="20"/>
              </w:rPr>
            </w:pPr>
            <w:r>
              <w:rPr>
                <w:sz w:val="20"/>
              </w:rPr>
              <w:t>1,</w:t>
            </w:r>
            <w:r>
              <w:rPr>
                <w:spacing w:val="-3"/>
                <w:sz w:val="20"/>
              </w:rPr>
              <w:t xml:space="preserve"> </w:t>
            </w:r>
            <w:r>
              <w:rPr>
                <w:sz w:val="20"/>
              </w:rPr>
              <w:t>5,</w:t>
            </w:r>
            <w:r>
              <w:rPr>
                <w:spacing w:val="-3"/>
                <w:sz w:val="20"/>
              </w:rPr>
              <w:t xml:space="preserve"> </w:t>
            </w:r>
            <w:r>
              <w:rPr>
                <w:sz w:val="20"/>
              </w:rPr>
              <w:t>11,</w:t>
            </w:r>
            <w:r>
              <w:rPr>
                <w:spacing w:val="-3"/>
                <w:sz w:val="20"/>
              </w:rPr>
              <w:t xml:space="preserve"> </w:t>
            </w:r>
            <w:r>
              <w:rPr>
                <w:sz w:val="20"/>
              </w:rPr>
              <w:t>13,</w:t>
            </w:r>
            <w:r>
              <w:rPr>
                <w:spacing w:val="-3"/>
                <w:sz w:val="20"/>
              </w:rPr>
              <w:t xml:space="preserve"> </w:t>
            </w:r>
            <w:r>
              <w:rPr>
                <w:sz w:val="20"/>
              </w:rPr>
              <w:t>23,</w:t>
            </w:r>
            <w:r>
              <w:rPr>
                <w:spacing w:val="-3"/>
                <w:sz w:val="20"/>
              </w:rPr>
              <w:t xml:space="preserve"> </w:t>
            </w:r>
            <w:r>
              <w:rPr>
                <w:sz w:val="20"/>
              </w:rPr>
              <w:t>26,</w:t>
            </w:r>
            <w:r>
              <w:rPr>
                <w:spacing w:val="-3"/>
                <w:sz w:val="20"/>
              </w:rPr>
              <w:t xml:space="preserve"> </w:t>
            </w:r>
            <w:r>
              <w:rPr>
                <w:sz w:val="20"/>
              </w:rPr>
              <w:t>29,</w:t>
            </w:r>
            <w:r>
              <w:rPr>
                <w:spacing w:val="-3"/>
                <w:sz w:val="20"/>
              </w:rPr>
              <w:t xml:space="preserve"> </w:t>
            </w:r>
            <w:r>
              <w:rPr>
                <w:spacing w:val="-5"/>
                <w:sz w:val="20"/>
              </w:rPr>
              <w:t>31</w:t>
            </w:r>
          </w:p>
        </w:tc>
      </w:tr>
      <w:tr w:rsidR="00DB6E1F" w14:paraId="253117B4" w14:textId="77777777">
        <w:trPr>
          <w:trHeight w:val="350"/>
        </w:trPr>
        <w:tc>
          <w:tcPr>
            <w:tcW w:w="4675" w:type="dxa"/>
          </w:tcPr>
          <w:p w14:paraId="25968809" w14:textId="77777777" w:rsidR="00DB6E1F" w:rsidRDefault="00F666A6">
            <w:pPr>
              <w:pStyle w:val="TableParagraph"/>
              <w:spacing w:before="75"/>
              <w:ind w:left="186"/>
              <w:rPr>
                <w:sz w:val="20"/>
              </w:rPr>
            </w:pPr>
            <w:r>
              <w:rPr>
                <w:w w:val="95"/>
                <w:sz w:val="20"/>
              </w:rPr>
              <w:t>Contemplation</w:t>
            </w:r>
            <w:r>
              <w:rPr>
                <w:spacing w:val="44"/>
                <w:sz w:val="20"/>
              </w:rPr>
              <w:t xml:space="preserve"> </w:t>
            </w:r>
            <w:r>
              <w:rPr>
                <w:spacing w:val="-4"/>
                <w:sz w:val="20"/>
              </w:rPr>
              <w:t>items</w:t>
            </w:r>
          </w:p>
        </w:tc>
        <w:tc>
          <w:tcPr>
            <w:tcW w:w="4675" w:type="dxa"/>
          </w:tcPr>
          <w:p w14:paraId="1AED85C2" w14:textId="77777777" w:rsidR="00DB6E1F" w:rsidRDefault="00F666A6">
            <w:pPr>
              <w:pStyle w:val="TableParagraph"/>
              <w:spacing w:before="75"/>
              <w:ind w:left="187"/>
              <w:rPr>
                <w:sz w:val="20"/>
              </w:rPr>
            </w:pPr>
            <w:r>
              <w:rPr>
                <w:sz w:val="20"/>
              </w:rPr>
              <w:t>2,</w:t>
            </w:r>
            <w:r>
              <w:rPr>
                <w:spacing w:val="-3"/>
                <w:sz w:val="20"/>
              </w:rPr>
              <w:t xml:space="preserve"> </w:t>
            </w:r>
            <w:r>
              <w:rPr>
                <w:sz w:val="20"/>
              </w:rPr>
              <w:t>4,</w:t>
            </w:r>
            <w:r>
              <w:rPr>
                <w:spacing w:val="-3"/>
                <w:sz w:val="20"/>
              </w:rPr>
              <w:t xml:space="preserve"> </w:t>
            </w:r>
            <w:r>
              <w:rPr>
                <w:sz w:val="20"/>
              </w:rPr>
              <w:t>8,</w:t>
            </w:r>
            <w:r>
              <w:rPr>
                <w:spacing w:val="-2"/>
                <w:sz w:val="20"/>
              </w:rPr>
              <w:t xml:space="preserve"> </w:t>
            </w:r>
            <w:r>
              <w:rPr>
                <w:sz w:val="20"/>
              </w:rPr>
              <w:t>12,</w:t>
            </w:r>
            <w:r>
              <w:rPr>
                <w:spacing w:val="-3"/>
                <w:sz w:val="20"/>
              </w:rPr>
              <w:t xml:space="preserve"> </w:t>
            </w:r>
            <w:r>
              <w:rPr>
                <w:sz w:val="20"/>
              </w:rPr>
              <w:t>15,</w:t>
            </w:r>
            <w:r>
              <w:rPr>
                <w:spacing w:val="-3"/>
                <w:sz w:val="20"/>
              </w:rPr>
              <w:t xml:space="preserve"> </w:t>
            </w:r>
            <w:r>
              <w:rPr>
                <w:sz w:val="20"/>
              </w:rPr>
              <w:t>19,</w:t>
            </w:r>
            <w:r>
              <w:rPr>
                <w:spacing w:val="-2"/>
                <w:sz w:val="20"/>
              </w:rPr>
              <w:t xml:space="preserve"> </w:t>
            </w:r>
            <w:r>
              <w:rPr>
                <w:sz w:val="20"/>
              </w:rPr>
              <w:t>21,</w:t>
            </w:r>
            <w:r>
              <w:rPr>
                <w:spacing w:val="-3"/>
                <w:sz w:val="20"/>
              </w:rPr>
              <w:t xml:space="preserve"> </w:t>
            </w:r>
            <w:r>
              <w:rPr>
                <w:spacing w:val="-5"/>
                <w:sz w:val="20"/>
              </w:rPr>
              <w:t>24</w:t>
            </w:r>
          </w:p>
        </w:tc>
      </w:tr>
      <w:tr w:rsidR="00DB6E1F" w14:paraId="66287064" w14:textId="77777777">
        <w:trPr>
          <w:trHeight w:val="350"/>
        </w:trPr>
        <w:tc>
          <w:tcPr>
            <w:tcW w:w="4675" w:type="dxa"/>
          </w:tcPr>
          <w:p w14:paraId="67671F04" w14:textId="77777777" w:rsidR="00DB6E1F" w:rsidRDefault="00F666A6">
            <w:pPr>
              <w:pStyle w:val="TableParagraph"/>
              <w:spacing w:before="75"/>
              <w:ind w:left="186"/>
              <w:rPr>
                <w:sz w:val="20"/>
              </w:rPr>
            </w:pPr>
            <w:r>
              <w:rPr>
                <w:sz w:val="20"/>
              </w:rPr>
              <w:t>Action</w:t>
            </w:r>
            <w:r>
              <w:rPr>
                <w:spacing w:val="-8"/>
                <w:sz w:val="20"/>
              </w:rPr>
              <w:t xml:space="preserve"> </w:t>
            </w:r>
            <w:r>
              <w:rPr>
                <w:spacing w:val="-2"/>
                <w:sz w:val="20"/>
              </w:rPr>
              <w:t>items</w:t>
            </w:r>
          </w:p>
        </w:tc>
        <w:tc>
          <w:tcPr>
            <w:tcW w:w="4675" w:type="dxa"/>
          </w:tcPr>
          <w:p w14:paraId="7A1DD95B" w14:textId="77777777" w:rsidR="00DB6E1F" w:rsidRDefault="00F666A6">
            <w:pPr>
              <w:pStyle w:val="TableParagraph"/>
              <w:spacing w:before="75"/>
              <w:ind w:left="187"/>
              <w:rPr>
                <w:sz w:val="20"/>
              </w:rPr>
            </w:pPr>
            <w:r>
              <w:rPr>
                <w:sz w:val="20"/>
              </w:rPr>
              <w:t>3,</w:t>
            </w:r>
            <w:r>
              <w:rPr>
                <w:spacing w:val="-3"/>
                <w:sz w:val="20"/>
              </w:rPr>
              <w:t xml:space="preserve"> </w:t>
            </w:r>
            <w:r>
              <w:rPr>
                <w:sz w:val="20"/>
              </w:rPr>
              <w:t>7,</w:t>
            </w:r>
            <w:r>
              <w:rPr>
                <w:spacing w:val="-3"/>
                <w:sz w:val="20"/>
              </w:rPr>
              <w:t xml:space="preserve"> </w:t>
            </w:r>
            <w:r>
              <w:rPr>
                <w:sz w:val="20"/>
              </w:rPr>
              <w:t>10,</w:t>
            </w:r>
            <w:r>
              <w:rPr>
                <w:spacing w:val="-3"/>
                <w:sz w:val="20"/>
              </w:rPr>
              <w:t xml:space="preserve"> </w:t>
            </w:r>
            <w:r>
              <w:rPr>
                <w:sz w:val="20"/>
              </w:rPr>
              <w:t>14,</w:t>
            </w:r>
            <w:r>
              <w:rPr>
                <w:spacing w:val="-3"/>
                <w:sz w:val="20"/>
              </w:rPr>
              <w:t xml:space="preserve"> </w:t>
            </w:r>
            <w:r>
              <w:rPr>
                <w:sz w:val="20"/>
              </w:rPr>
              <w:t>17,</w:t>
            </w:r>
            <w:r>
              <w:rPr>
                <w:spacing w:val="-3"/>
                <w:sz w:val="20"/>
              </w:rPr>
              <w:t xml:space="preserve"> </w:t>
            </w:r>
            <w:r>
              <w:rPr>
                <w:sz w:val="20"/>
              </w:rPr>
              <w:t>20,</w:t>
            </w:r>
            <w:r>
              <w:rPr>
                <w:spacing w:val="-3"/>
                <w:sz w:val="20"/>
              </w:rPr>
              <w:t xml:space="preserve"> </w:t>
            </w:r>
            <w:r>
              <w:rPr>
                <w:sz w:val="20"/>
              </w:rPr>
              <w:t>25,</w:t>
            </w:r>
            <w:r>
              <w:rPr>
                <w:spacing w:val="-3"/>
                <w:sz w:val="20"/>
              </w:rPr>
              <w:t xml:space="preserve"> </w:t>
            </w:r>
            <w:r>
              <w:rPr>
                <w:spacing w:val="-5"/>
                <w:sz w:val="20"/>
              </w:rPr>
              <w:t>30</w:t>
            </w:r>
          </w:p>
        </w:tc>
      </w:tr>
      <w:tr w:rsidR="00DB6E1F" w14:paraId="3864DB66" w14:textId="77777777">
        <w:trPr>
          <w:trHeight w:val="352"/>
        </w:trPr>
        <w:tc>
          <w:tcPr>
            <w:tcW w:w="4675" w:type="dxa"/>
          </w:tcPr>
          <w:p w14:paraId="386CA1BE" w14:textId="77777777" w:rsidR="00DB6E1F" w:rsidRDefault="00F666A6">
            <w:pPr>
              <w:pStyle w:val="TableParagraph"/>
              <w:spacing w:before="75"/>
              <w:ind w:left="186"/>
              <w:rPr>
                <w:sz w:val="20"/>
              </w:rPr>
            </w:pPr>
            <w:r>
              <w:rPr>
                <w:w w:val="95"/>
                <w:sz w:val="20"/>
              </w:rPr>
              <w:t>Maintenance</w:t>
            </w:r>
            <w:r>
              <w:rPr>
                <w:spacing w:val="41"/>
                <w:sz w:val="20"/>
              </w:rPr>
              <w:t xml:space="preserve"> </w:t>
            </w:r>
            <w:r>
              <w:rPr>
                <w:spacing w:val="-2"/>
                <w:sz w:val="20"/>
              </w:rPr>
              <w:t>items</w:t>
            </w:r>
          </w:p>
        </w:tc>
        <w:tc>
          <w:tcPr>
            <w:tcW w:w="4675" w:type="dxa"/>
          </w:tcPr>
          <w:p w14:paraId="3A85C1B4" w14:textId="77777777" w:rsidR="00DB6E1F" w:rsidRDefault="00F666A6">
            <w:pPr>
              <w:pStyle w:val="TableParagraph"/>
              <w:spacing w:before="75"/>
              <w:ind w:left="187"/>
              <w:rPr>
                <w:sz w:val="20"/>
              </w:rPr>
            </w:pPr>
            <w:r>
              <w:rPr>
                <w:sz w:val="20"/>
              </w:rPr>
              <w:t>6,</w:t>
            </w:r>
            <w:r>
              <w:rPr>
                <w:spacing w:val="-3"/>
                <w:sz w:val="20"/>
              </w:rPr>
              <w:t xml:space="preserve"> </w:t>
            </w:r>
            <w:r>
              <w:rPr>
                <w:sz w:val="20"/>
              </w:rPr>
              <w:t>9,</w:t>
            </w:r>
            <w:r>
              <w:rPr>
                <w:spacing w:val="-3"/>
                <w:sz w:val="20"/>
              </w:rPr>
              <w:t xml:space="preserve"> </w:t>
            </w:r>
            <w:r>
              <w:rPr>
                <w:sz w:val="20"/>
              </w:rPr>
              <w:t>16,</w:t>
            </w:r>
            <w:r>
              <w:rPr>
                <w:spacing w:val="-3"/>
                <w:sz w:val="20"/>
              </w:rPr>
              <w:t xml:space="preserve"> </w:t>
            </w:r>
            <w:r>
              <w:rPr>
                <w:sz w:val="20"/>
              </w:rPr>
              <w:t>18,</w:t>
            </w:r>
            <w:r>
              <w:rPr>
                <w:spacing w:val="-3"/>
                <w:sz w:val="20"/>
              </w:rPr>
              <w:t xml:space="preserve"> </w:t>
            </w:r>
            <w:r>
              <w:rPr>
                <w:sz w:val="20"/>
              </w:rPr>
              <w:t>22,</w:t>
            </w:r>
            <w:r>
              <w:rPr>
                <w:spacing w:val="-3"/>
                <w:sz w:val="20"/>
              </w:rPr>
              <w:t xml:space="preserve"> </w:t>
            </w:r>
            <w:r>
              <w:rPr>
                <w:sz w:val="20"/>
              </w:rPr>
              <w:t>27,</w:t>
            </w:r>
            <w:r>
              <w:rPr>
                <w:spacing w:val="-3"/>
                <w:sz w:val="20"/>
              </w:rPr>
              <w:t xml:space="preserve"> </w:t>
            </w:r>
            <w:r>
              <w:rPr>
                <w:sz w:val="20"/>
              </w:rPr>
              <w:t>28,</w:t>
            </w:r>
            <w:r>
              <w:rPr>
                <w:spacing w:val="-3"/>
                <w:sz w:val="20"/>
              </w:rPr>
              <w:t xml:space="preserve"> </w:t>
            </w:r>
            <w:r>
              <w:rPr>
                <w:spacing w:val="-5"/>
                <w:sz w:val="20"/>
              </w:rPr>
              <w:t>32</w:t>
            </w:r>
          </w:p>
        </w:tc>
      </w:tr>
    </w:tbl>
    <w:p w14:paraId="1041BD10" w14:textId="77777777" w:rsidR="00DB6E1F" w:rsidRDefault="00F666A6">
      <w:pPr>
        <w:ind w:left="1440" w:right="1699"/>
        <w:jc w:val="both"/>
        <w:rPr>
          <w:sz w:val="20"/>
        </w:rPr>
      </w:pPr>
      <w:r>
        <w:rPr>
          <w:sz w:val="20"/>
        </w:rPr>
        <w:t>High</w:t>
      </w:r>
      <w:r>
        <w:rPr>
          <w:spacing w:val="-2"/>
          <w:sz w:val="20"/>
        </w:rPr>
        <w:t xml:space="preserve"> </w:t>
      </w:r>
      <w:r>
        <w:rPr>
          <w:sz w:val="20"/>
        </w:rPr>
        <w:t>scores</w:t>
      </w:r>
      <w:r>
        <w:rPr>
          <w:spacing w:val="-4"/>
          <w:sz w:val="20"/>
        </w:rPr>
        <w:t xml:space="preserve"> </w:t>
      </w:r>
      <w:r>
        <w:rPr>
          <w:sz w:val="20"/>
        </w:rPr>
        <w:t>on</w:t>
      </w:r>
      <w:r>
        <w:rPr>
          <w:spacing w:val="-2"/>
          <w:sz w:val="20"/>
        </w:rPr>
        <w:t xml:space="preserve"> </w:t>
      </w:r>
      <w:r>
        <w:rPr>
          <w:sz w:val="20"/>
        </w:rPr>
        <w:t>a</w:t>
      </w:r>
      <w:r>
        <w:rPr>
          <w:spacing w:val="-2"/>
          <w:sz w:val="20"/>
        </w:rPr>
        <w:t xml:space="preserve"> </w:t>
      </w:r>
      <w:r>
        <w:rPr>
          <w:sz w:val="20"/>
        </w:rPr>
        <w:t>SOC</w:t>
      </w:r>
      <w:r>
        <w:rPr>
          <w:spacing w:val="-4"/>
          <w:sz w:val="20"/>
        </w:rPr>
        <w:t xml:space="preserve"> </w:t>
      </w:r>
      <w:r>
        <w:rPr>
          <w:sz w:val="20"/>
        </w:rPr>
        <w:t>subscale</w:t>
      </w:r>
      <w:r>
        <w:rPr>
          <w:spacing w:val="-2"/>
          <w:sz w:val="20"/>
        </w:rPr>
        <w:t xml:space="preserve"> </w:t>
      </w:r>
      <w:r>
        <w:rPr>
          <w:sz w:val="20"/>
        </w:rPr>
        <w:t>indicate</w:t>
      </w:r>
      <w:r>
        <w:rPr>
          <w:spacing w:val="-4"/>
          <w:sz w:val="20"/>
        </w:rPr>
        <w:t xml:space="preserve"> </w:t>
      </w:r>
      <w:r>
        <w:rPr>
          <w:sz w:val="20"/>
        </w:rPr>
        <w:t>that</w:t>
      </w:r>
      <w:r>
        <w:rPr>
          <w:spacing w:val="-3"/>
          <w:sz w:val="20"/>
        </w:rPr>
        <w:t xml:space="preserve"> </w:t>
      </w:r>
      <w:r>
        <w:rPr>
          <w:sz w:val="20"/>
        </w:rPr>
        <w:t>the</w:t>
      </w:r>
      <w:r>
        <w:rPr>
          <w:spacing w:val="-4"/>
          <w:sz w:val="20"/>
        </w:rPr>
        <w:t xml:space="preserve"> </w:t>
      </w:r>
      <w:r>
        <w:rPr>
          <w:sz w:val="20"/>
        </w:rPr>
        <w:t>respondent</w:t>
      </w:r>
      <w:r>
        <w:rPr>
          <w:spacing w:val="-3"/>
          <w:sz w:val="20"/>
        </w:rPr>
        <w:t xml:space="preserve"> </w:t>
      </w:r>
      <w:r>
        <w:rPr>
          <w:sz w:val="20"/>
        </w:rPr>
        <w:t>is</w:t>
      </w:r>
      <w:r>
        <w:rPr>
          <w:spacing w:val="-4"/>
          <w:sz w:val="20"/>
        </w:rPr>
        <w:t xml:space="preserve"> </w:t>
      </w:r>
      <w:r>
        <w:rPr>
          <w:sz w:val="20"/>
        </w:rPr>
        <w:t>likely</w:t>
      </w:r>
      <w:r>
        <w:rPr>
          <w:spacing w:val="-2"/>
          <w:sz w:val="20"/>
        </w:rPr>
        <w:t xml:space="preserve"> </w:t>
      </w:r>
      <w:r>
        <w:rPr>
          <w:sz w:val="20"/>
        </w:rPr>
        <w:t>in</w:t>
      </w:r>
      <w:r>
        <w:rPr>
          <w:spacing w:val="-2"/>
          <w:sz w:val="20"/>
        </w:rPr>
        <w:t xml:space="preserve"> </w:t>
      </w:r>
      <w:r>
        <w:rPr>
          <w:sz w:val="20"/>
        </w:rPr>
        <w:t>that</w:t>
      </w:r>
      <w:r>
        <w:rPr>
          <w:spacing w:val="-3"/>
          <w:sz w:val="20"/>
        </w:rPr>
        <w:t xml:space="preserve"> </w:t>
      </w:r>
      <w:r>
        <w:rPr>
          <w:sz w:val="20"/>
        </w:rPr>
        <w:t>SOC.</w:t>
      </w:r>
      <w:r>
        <w:rPr>
          <w:spacing w:val="-3"/>
          <w:sz w:val="20"/>
        </w:rPr>
        <w:t xml:space="preserve"> </w:t>
      </w:r>
      <w:r>
        <w:rPr>
          <w:sz w:val="20"/>
        </w:rPr>
        <w:t>However, the</w:t>
      </w:r>
      <w:r>
        <w:rPr>
          <w:spacing w:val="-4"/>
          <w:sz w:val="20"/>
        </w:rPr>
        <w:t xml:space="preserve"> </w:t>
      </w:r>
      <w:r>
        <w:rPr>
          <w:sz w:val="20"/>
        </w:rPr>
        <w:t>SOC</w:t>
      </w:r>
      <w:r>
        <w:rPr>
          <w:spacing w:val="-4"/>
          <w:sz w:val="20"/>
        </w:rPr>
        <w:t xml:space="preserve"> </w:t>
      </w:r>
      <w:r>
        <w:rPr>
          <w:sz w:val="20"/>
        </w:rPr>
        <w:t>subscales</w:t>
      </w:r>
      <w:r>
        <w:rPr>
          <w:spacing w:val="-4"/>
          <w:sz w:val="20"/>
        </w:rPr>
        <w:t xml:space="preserve"> </w:t>
      </w:r>
      <w:r>
        <w:rPr>
          <w:sz w:val="20"/>
        </w:rPr>
        <w:t>are designed to be</w:t>
      </w:r>
      <w:r>
        <w:rPr>
          <w:spacing w:val="-1"/>
          <w:sz w:val="20"/>
        </w:rPr>
        <w:t xml:space="preserve"> </w:t>
      </w:r>
      <w:r>
        <w:rPr>
          <w:sz w:val="20"/>
        </w:rPr>
        <w:t>a continuous</w:t>
      </w:r>
      <w:r>
        <w:rPr>
          <w:spacing w:val="-1"/>
          <w:sz w:val="20"/>
        </w:rPr>
        <w:t xml:space="preserve"> </w:t>
      </w:r>
      <w:r>
        <w:rPr>
          <w:sz w:val="20"/>
        </w:rPr>
        <w:t>measure, therefore, the</w:t>
      </w:r>
      <w:r>
        <w:rPr>
          <w:spacing w:val="-1"/>
          <w:sz w:val="20"/>
        </w:rPr>
        <w:t xml:space="preserve"> </w:t>
      </w:r>
      <w:r>
        <w:rPr>
          <w:sz w:val="20"/>
        </w:rPr>
        <w:t>stages</w:t>
      </w:r>
      <w:r>
        <w:rPr>
          <w:spacing w:val="-1"/>
          <w:sz w:val="20"/>
        </w:rPr>
        <w:t xml:space="preserve"> </w:t>
      </w:r>
      <w:r>
        <w:rPr>
          <w:sz w:val="20"/>
        </w:rPr>
        <w:t>are</w:t>
      </w:r>
      <w:r>
        <w:rPr>
          <w:spacing w:val="-1"/>
          <w:sz w:val="20"/>
        </w:rPr>
        <w:t xml:space="preserve"> </w:t>
      </w:r>
      <w:r>
        <w:rPr>
          <w:sz w:val="20"/>
        </w:rPr>
        <w:t>not discrete</w:t>
      </w:r>
      <w:r>
        <w:rPr>
          <w:spacing w:val="-1"/>
          <w:sz w:val="20"/>
        </w:rPr>
        <w:t xml:space="preserve"> </w:t>
      </w:r>
      <w:r>
        <w:rPr>
          <w:sz w:val="20"/>
        </w:rPr>
        <w:t>and respondents</w:t>
      </w:r>
      <w:r>
        <w:rPr>
          <w:spacing w:val="-1"/>
          <w:sz w:val="20"/>
        </w:rPr>
        <w:t xml:space="preserve"> </w:t>
      </w:r>
      <w:r>
        <w:rPr>
          <w:sz w:val="20"/>
        </w:rPr>
        <w:t>can score</w:t>
      </w:r>
      <w:r>
        <w:rPr>
          <w:spacing w:val="-1"/>
          <w:sz w:val="20"/>
        </w:rPr>
        <w:t xml:space="preserve"> </w:t>
      </w:r>
      <w:r>
        <w:rPr>
          <w:sz w:val="20"/>
        </w:rPr>
        <w:t>high on more than one of the four stages.</w:t>
      </w:r>
    </w:p>
    <w:p w14:paraId="44FEBC98" w14:textId="77777777" w:rsidR="00DB6E1F" w:rsidRDefault="00DB6E1F">
      <w:pPr>
        <w:jc w:val="both"/>
        <w:rPr>
          <w:sz w:val="20"/>
        </w:rPr>
        <w:sectPr w:rsidR="00DB6E1F">
          <w:pgSz w:w="12240" w:h="15840"/>
          <w:pgMar w:top="1200" w:right="0" w:bottom="780" w:left="0" w:header="763" w:footer="585" w:gutter="0"/>
          <w:cols w:space="720"/>
        </w:sectPr>
      </w:pPr>
    </w:p>
    <w:p w14:paraId="7B95EC61"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574707B6" w14:textId="77777777">
        <w:trPr>
          <w:trHeight w:val="647"/>
        </w:trPr>
        <w:tc>
          <w:tcPr>
            <w:tcW w:w="9350" w:type="dxa"/>
          </w:tcPr>
          <w:p w14:paraId="419A4B49" w14:textId="77777777" w:rsidR="00DB6E1F" w:rsidRDefault="00F666A6">
            <w:pPr>
              <w:pStyle w:val="TableParagraph"/>
              <w:spacing w:before="80"/>
              <w:ind w:right="117"/>
              <w:rPr>
                <w:i/>
                <w:sz w:val="20"/>
              </w:rPr>
            </w:pPr>
            <w:r>
              <w:rPr>
                <w:i/>
                <w:sz w:val="20"/>
              </w:rPr>
              <w:t>Source:</w:t>
            </w:r>
            <w:r>
              <w:rPr>
                <w:i/>
                <w:spacing w:val="-4"/>
                <w:sz w:val="20"/>
              </w:rPr>
              <w:t xml:space="preserve"> </w:t>
            </w:r>
            <w:r>
              <w:rPr>
                <w:i/>
                <w:sz w:val="20"/>
              </w:rPr>
              <w:t>McConnaghy,</w:t>
            </w:r>
            <w:r>
              <w:rPr>
                <w:i/>
                <w:spacing w:val="-3"/>
                <w:sz w:val="20"/>
              </w:rPr>
              <w:t xml:space="preserve"> </w:t>
            </w:r>
            <w:r>
              <w:rPr>
                <w:i/>
                <w:sz w:val="20"/>
              </w:rPr>
              <w:t>Prochaska,</w:t>
            </w:r>
            <w:r>
              <w:rPr>
                <w:i/>
                <w:spacing w:val="-3"/>
                <w:sz w:val="20"/>
              </w:rPr>
              <w:t xml:space="preserve"> </w:t>
            </w:r>
            <w:r>
              <w:rPr>
                <w:i/>
                <w:sz w:val="20"/>
              </w:rPr>
              <w:t>&amp;</w:t>
            </w:r>
            <w:r>
              <w:rPr>
                <w:i/>
                <w:spacing w:val="-3"/>
                <w:sz w:val="20"/>
              </w:rPr>
              <w:t xml:space="preserve"> </w:t>
            </w:r>
            <w:r>
              <w:rPr>
                <w:i/>
                <w:sz w:val="20"/>
              </w:rPr>
              <w:t>Velcier,</w:t>
            </w:r>
            <w:r>
              <w:rPr>
                <w:i/>
                <w:spacing w:val="-3"/>
                <w:sz w:val="20"/>
              </w:rPr>
              <w:t xml:space="preserve"> </w:t>
            </w:r>
            <w:r>
              <w:rPr>
                <w:i/>
                <w:sz w:val="20"/>
              </w:rPr>
              <w:t>1983.</w:t>
            </w:r>
            <w:r>
              <w:rPr>
                <w:i/>
                <w:spacing w:val="-4"/>
                <w:sz w:val="20"/>
              </w:rPr>
              <w:t xml:space="preserve"> </w:t>
            </w:r>
            <w:r>
              <w:rPr>
                <w:i/>
                <w:sz w:val="20"/>
              </w:rPr>
              <w:t>Reprinted</w:t>
            </w:r>
            <w:r>
              <w:rPr>
                <w:i/>
                <w:spacing w:val="-3"/>
                <w:sz w:val="20"/>
              </w:rPr>
              <w:t xml:space="preserve"> </w:t>
            </w:r>
            <w:r>
              <w:rPr>
                <w:i/>
                <w:sz w:val="20"/>
              </w:rPr>
              <w:t>from</w:t>
            </w:r>
            <w:r>
              <w:rPr>
                <w:i/>
                <w:spacing w:val="-3"/>
                <w:sz w:val="20"/>
              </w:rPr>
              <w:t xml:space="preserve"> </w:t>
            </w:r>
            <w:r>
              <w:rPr>
                <w:i/>
                <w:sz w:val="20"/>
              </w:rPr>
              <w:t>material</w:t>
            </w:r>
            <w:r>
              <w:rPr>
                <w:i/>
                <w:spacing w:val="-4"/>
                <w:sz w:val="20"/>
              </w:rPr>
              <w:t xml:space="preserve"> </w:t>
            </w:r>
            <w:r>
              <w:rPr>
                <w:i/>
                <w:sz w:val="20"/>
              </w:rPr>
              <w:t>in</w:t>
            </w:r>
            <w:r>
              <w:rPr>
                <w:i/>
                <w:spacing w:val="-3"/>
                <w:sz w:val="20"/>
              </w:rPr>
              <w:t xml:space="preserve"> </w:t>
            </w:r>
            <w:r>
              <w:rPr>
                <w:i/>
                <w:sz w:val="20"/>
              </w:rPr>
              <w:t>the</w:t>
            </w:r>
            <w:r>
              <w:rPr>
                <w:i/>
                <w:spacing w:val="-3"/>
                <w:sz w:val="20"/>
              </w:rPr>
              <w:t xml:space="preserve"> </w:t>
            </w:r>
            <w:r>
              <w:rPr>
                <w:i/>
                <w:sz w:val="20"/>
              </w:rPr>
              <w:t>public</w:t>
            </w:r>
            <w:r>
              <w:rPr>
                <w:i/>
                <w:spacing w:val="-3"/>
                <w:sz w:val="20"/>
              </w:rPr>
              <w:t xml:space="preserve"> </w:t>
            </w:r>
            <w:r>
              <w:rPr>
                <w:i/>
                <w:sz w:val="20"/>
              </w:rPr>
              <w:t>domain.</w:t>
            </w:r>
            <w:r>
              <w:rPr>
                <w:i/>
                <w:spacing w:val="-4"/>
                <w:sz w:val="20"/>
              </w:rPr>
              <w:t xml:space="preserve"> </w:t>
            </w:r>
            <w:r>
              <w:rPr>
                <w:i/>
                <w:sz w:val="20"/>
              </w:rPr>
              <w:t>Available</w:t>
            </w:r>
            <w:r>
              <w:rPr>
                <w:i/>
                <w:spacing w:val="-3"/>
                <w:sz w:val="20"/>
              </w:rPr>
              <w:t xml:space="preserve"> </w:t>
            </w:r>
            <w:r>
              <w:rPr>
                <w:i/>
                <w:sz w:val="20"/>
              </w:rPr>
              <w:t xml:space="preserve">online at no cost </w:t>
            </w:r>
            <w:hyperlink r:id="rId178">
              <w:r>
                <w:rPr>
                  <w:i/>
                  <w:sz w:val="20"/>
                </w:rPr>
                <w:t>(</w:t>
              </w:r>
              <w:r>
                <w:rPr>
                  <w:i/>
                  <w:color w:val="0563C1"/>
                  <w:sz w:val="20"/>
                  <w:u w:val="single" w:color="0563C1"/>
                </w:rPr>
                <w:t>https://web.uri.edu/cprc/psychotherapy-urica</w:t>
              </w:r>
            </w:hyperlink>
            <w:r>
              <w:rPr>
                <w:i/>
                <w:color w:val="0563C1"/>
                <w:sz w:val="20"/>
              </w:rPr>
              <w:t>).</w:t>
            </w:r>
          </w:p>
        </w:tc>
      </w:tr>
    </w:tbl>
    <w:p w14:paraId="5AFFA2F0" w14:textId="77777777" w:rsidR="00DB6E1F" w:rsidRDefault="00DB6E1F">
      <w:pPr>
        <w:rPr>
          <w:sz w:val="20"/>
        </w:rPr>
        <w:sectPr w:rsidR="00DB6E1F">
          <w:pgSz w:w="12240" w:h="15840"/>
          <w:pgMar w:top="1200" w:right="0" w:bottom="780" w:left="0" w:header="763" w:footer="585" w:gutter="0"/>
          <w:cols w:space="720"/>
        </w:sectPr>
      </w:pPr>
    </w:p>
    <w:p w14:paraId="1C1AB884" w14:textId="77777777" w:rsidR="00DB6E1F" w:rsidRDefault="00DB6E1F">
      <w:pPr>
        <w:pStyle w:val="BodyText"/>
        <w:spacing w:before="3"/>
        <w:rPr>
          <w:sz w:val="17"/>
        </w:rPr>
      </w:pPr>
    </w:p>
    <w:p w14:paraId="482565F0" w14:textId="77777777" w:rsidR="00DB6E1F" w:rsidRDefault="00F666A6">
      <w:pPr>
        <w:pStyle w:val="Heading2"/>
        <w:numPr>
          <w:ilvl w:val="0"/>
          <w:numId w:val="28"/>
        </w:numPr>
        <w:tabs>
          <w:tab w:val="left" w:pos="1800"/>
        </w:tabs>
      </w:pPr>
      <w:bookmarkStart w:id="248" w:name="9._Alcohol_and_Drug_Consequences_Questio"/>
      <w:bookmarkStart w:id="249" w:name="_bookmark59"/>
      <w:bookmarkEnd w:id="248"/>
      <w:bookmarkEnd w:id="249"/>
      <w:r>
        <w:t>Alcohol</w:t>
      </w:r>
      <w:r>
        <w:rPr>
          <w:spacing w:val="-3"/>
        </w:rPr>
        <w:t xml:space="preserve"> </w:t>
      </w:r>
      <w:r>
        <w:t>and</w:t>
      </w:r>
      <w:r>
        <w:rPr>
          <w:spacing w:val="-2"/>
        </w:rPr>
        <w:t xml:space="preserve"> </w:t>
      </w:r>
      <w:r>
        <w:t>Drug</w:t>
      </w:r>
      <w:r>
        <w:rPr>
          <w:spacing w:val="-4"/>
        </w:rPr>
        <w:t xml:space="preserve"> </w:t>
      </w:r>
      <w:r>
        <w:t>Consequences</w:t>
      </w:r>
      <w:r>
        <w:rPr>
          <w:spacing w:val="-3"/>
        </w:rPr>
        <w:t xml:space="preserve"> </w:t>
      </w:r>
      <w:r>
        <w:t>Questionnaire</w:t>
      </w:r>
      <w:r>
        <w:rPr>
          <w:spacing w:val="-1"/>
        </w:rPr>
        <w:t xml:space="preserve"> </w:t>
      </w:r>
      <w:r>
        <w:rPr>
          <w:spacing w:val="-2"/>
        </w:rPr>
        <w:t>(ADCQ)</w:t>
      </w:r>
    </w:p>
    <w:p w14:paraId="5DC474B0" w14:textId="77777777" w:rsidR="00DB6E1F" w:rsidRDefault="00F666A6">
      <w:pPr>
        <w:spacing w:before="152"/>
        <w:ind w:left="1440" w:right="1491"/>
        <w:rPr>
          <w:sz w:val="20"/>
        </w:rPr>
      </w:pPr>
      <w:r>
        <w:rPr>
          <w:b/>
          <w:sz w:val="20"/>
        </w:rPr>
        <w:t>Instructions:</w:t>
      </w:r>
      <w:r>
        <w:rPr>
          <w:b/>
          <w:spacing w:val="-3"/>
          <w:sz w:val="20"/>
        </w:rPr>
        <w:t xml:space="preserve"> </w:t>
      </w:r>
      <w:r>
        <w:rPr>
          <w:sz w:val="20"/>
        </w:rPr>
        <w:t>There</w:t>
      </w:r>
      <w:r>
        <w:rPr>
          <w:spacing w:val="-4"/>
          <w:sz w:val="20"/>
        </w:rPr>
        <w:t xml:space="preserve"> </w:t>
      </w:r>
      <w:r>
        <w:rPr>
          <w:sz w:val="20"/>
        </w:rPr>
        <w:t>can</w:t>
      </w:r>
      <w:r>
        <w:rPr>
          <w:spacing w:val="-2"/>
          <w:sz w:val="20"/>
        </w:rPr>
        <w:t xml:space="preserve"> </w:t>
      </w:r>
      <w:r>
        <w:rPr>
          <w:sz w:val="20"/>
        </w:rPr>
        <w:t>be</w:t>
      </w:r>
      <w:r>
        <w:rPr>
          <w:spacing w:val="-4"/>
          <w:sz w:val="20"/>
        </w:rPr>
        <w:t xml:space="preserve"> </w:t>
      </w:r>
      <w:r>
        <w:rPr>
          <w:sz w:val="20"/>
        </w:rPr>
        <w:t>good</w:t>
      </w:r>
      <w:r>
        <w:rPr>
          <w:spacing w:val="-2"/>
          <w:sz w:val="20"/>
        </w:rPr>
        <w:t xml:space="preserve"> </w:t>
      </w:r>
      <w:r>
        <w:rPr>
          <w:sz w:val="20"/>
        </w:rPr>
        <w:t>and</w:t>
      </w:r>
      <w:r>
        <w:rPr>
          <w:spacing w:val="-2"/>
          <w:sz w:val="20"/>
        </w:rPr>
        <w:t xml:space="preserve"> </w:t>
      </w:r>
      <w:r>
        <w:rPr>
          <w:sz w:val="20"/>
        </w:rPr>
        <w:t>bad</w:t>
      </w:r>
      <w:r>
        <w:rPr>
          <w:spacing w:val="-2"/>
          <w:sz w:val="20"/>
        </w:rPr>
        <w:t xml:space="preserve"> </w:t>
      </w:r>
      <w:r>
        <w:rPr>
          <w:sz w:val="20"/>
        </w:rPr>
        <w:t>consequences</w:t>
      </w:r>
      <w:r>
        <w:rPr>
          <w:spacing w:val="-4"/>
          <w:sz w:val="20"/>
        </w:rPr>
        <w:t xml:space="preserve"> </w:t>
      </w:r>
      <w:r>
        <w:rPr>
          <w:sz w:val="20"/>
        </w:rPr>
        <w:t>to any</w:t>
      </w:r>
      <w:r>
        <w:rPr>
          <w:spacing w:val="-2"/>
          <w:sz w:val="20"/>
        </w:rPr>
        <w:t xml:space="preserve"> </w:t>
      </w:r>
      <w:r>
        <w:rPr>
          <w:sz w:val="20"/>
        </w:rPr>
        <w:t>change.</w:t>
      </w:r>
      <w:r>
        <w:rPr>
          <w:spacing w:val="-3"/>
          <w:sz w:val="20"/>
        </w:rPr>
        <w:t xml:space="preserve"> </w:t>
      </w:r>
      <w:r>
        <w:rPr>
          <w:sz w:val="20"/>
        </w:rPr>
        <w:t>These</w:t>
      </w:r>
      <w:r>
        <w:rPr>
          <w:spacing w:val="-4"/>
          <w:sz w:val="20"/>
        </w:rPr>
        <w:t xml:space="preserve"> </w:t>
      </w:r>
      <w:r>
        <w:rPr>
          <w:sz w:val="20"/>
        </w:rPr>
        <w:t>consequences</w:t>
      </w:r>
      <w:r>
        <w:rPr>
          <w:spacing w:val="-2"/>
          <w:sz w:val="20"/>
        </w:rPr>
        <w:t xml:space="preserve"> </w:t>
      </w:r>
      <w:r>
        <w:rPr>
          <w:sz w:val="20"/>
        </w:rPr>
        <w:t>may</w:t>
      </w:r>
      <w:r>
        <w:rPr>
          <w:spacing w:val="-2"/>
          <w:sz w:val="20"/>
        </w:rPr>
        <w:t xml:space="preserve"> </w:t>
      </w:r>
      <w:r>
        <w:rPr>
          <w:sz w:val="20"/>
        </w:rPr>
        <w:t>not</w:t>
      </w:r>
      <w:r>
        <w:rPr>
          <w:spacing w:val="-3"/>
          <w:sz w:val="20"/>
        </w:rPr>
        <w:t xml:space="preserve"> </w:t>
      </w:r>
      <w:r>
        <w:rPr>
          <w:sz w:val="20"/>
        </w:rPr>
        <w:t>be</w:t>
      </w:r>
      <w:r>
        <w:rPr>
          <w:spacing w:val="-4"/>
          <w:sz w:val="20"/>
        </w:rPr>
        <w:t xml:space="preserve"> </w:t>
      </w:r>
      <w:r>
        <w:rPr>
          <w:sz w:val="20"/>
        </w:rPr>
        <w:t>the</w:t>
      </w:r>
      <w:r>
        <w:rPr>
          <w:spacing w:val="-4"/>
          <w:sz w:val="20"/>
        </w:rPr>
        <w:t xml:space="preserve"> </w:t>
      </w:r>
      <w:r>
        <w:rPr>
          <w:sz w:val="20"/>
        </w:rPr>
        <w:t>same for everyone. In thinking about your decision to change your alcohol or drug use, we would like to know what consequences are important to you. This is not a test: There are no right or wrong answers. We simply want to know what you think.</w:t>
      </w:r>
    </w:p>
    <w:p w14:paraId="54BD6F3C" w14:textId="77777777" w:rsidR="00DB6E1F" w:rsidRDefault="00F666A6">
      <w:pPr>
        <w:spacing w:before="122"/>
        <w:ind w:left="1440"/>
        <w:rPr>
          <w:i/>
          <w:sz w:val="20"/>
        </w:rPr>
      </w:pPr>
      <w:r>
        <w:rPr>
          <w:i/>
          <w:sz w:val="20"/>
        </w:rPr>
        <w:t>My</w:t>
      </w:r>
      <w:r>
        <w:rPr>
          <w:i/>
          <w:spacing w:val="-6"/>
          <w:sz w:val="20"/>
        </w:rPr>
        <w:t xml:space="preserve"> </w:t>
      </w:r>
      <w:r>
        <w:rPr>
          <w:i/>
          <w:sz w:val="20"/>
        </w:rPr>
        <w:t>primary</w:t>
      </w:r>
      <w:r>
        <w:rPr>
          <w:i/>
          <w:spacing w:val="-6"/>
          <w:sz w:val="20"/>
        </w:rPr>
        <w:t xml:space="preserve"> </w:t>
      </w:r>
      <w:r>
        <w:rPr>
          <w:i/>
          <w:sz w:val="20"/>
        </w:rPr>
        <w:t>problem</w:t>
      </w:r>
      <w:r>
        <w:rPr>
          <w:i/>
          <w:spacing w:val="-5"/>
          <w:sz w:val="20"/>
        </w:rPr>
        <w:t xml:space="preserve"> </w:t>
      </w:r>
      <w:r>
        <w:rPr>
          <w:i/>
          <w:sz w:val="20"/>
        </w:rPr>
        <w:t>drug</w:t>
      </w:r>
      <w:r>
        <w:rPr>
          <w:i/>
          <w:spacing w:val="-4"/>
          <w:sz w:val="20"/>
        </w:rPr>
        <w:t xml:space="preserve"> </w:t>
      </w:r>
      <w:r>
        <w:rPr>
          <w:i/>
          <w:sz w:val="20"/>
        </w:rPr>
        <w:t>is</w:t>
      </w:r>
      <w:r>
        <w:rPr>
          <w:i/>
          <w:spacing w:val="-7"/>
          <w:sz w:val="20"/>
        </w:rPr>
        <w:t xml:space="preserve"> </w:t>
      </w:r>
      <w:r>
        <w:rPr>
          <w:i/>
          <w:sz w:val="20"/>
        </w:rPr>
        <w:t>(write</w:t>
      </w:r>
      <w:r>
        <w:rPr>
          <w:i/>
          <w:spacing w:val="-5"/>
          <w:sz w:val="20"/>
        </w:rPr>
        <w:t xml:space="preserve"> </w:t>
      </w:r>
      <w:r>
        <w:rPr>
          <w:i/>
          <w:sz w:val="20"/>
        </w:rPr>
        <w:t>in</w:t>
      </w:r>
      <w:r>
        <w:rPr>
          <w:i/>
          <w:spacing w:val="-4"/>
          <w:sz w:val="20"/>
        </w:rPr>
        <w:t xml:space="preserve"> </w:t>
      </w:r>
      <w:r>
        <w:rPr>
          <w:i/>
          <w:sz w:val="20"/>
        </w:rPr>
        <w:t>name</w:t>
      </w:r>
      <w:r>
        <w:rPr>
          <w:i/>
          <w:spacing w:val="-5"/>
          <w:sz w:val="20"/>
        </w:rPr>
        <w:t xml:space="preserve"> </w:t>
      </w:r>
      <w:r>
        <w:rPr>
          <w:i/>
          <w:sz w:val="20"/>
        </w:rPr>
        <w:t>of</w:t>
      </w:r>
      <w:r>
        <w:rPr>
          <w:i/>
          <w:spacing w:val="-7"/>
          <w:sz w:val="20"/>
        </w:rPr>
        <w:t xml:space="preserve"> </w:t>
      </w:r>
      <w:r>
        <w:rPr>
          <w:i/>
          <w:sz w:val="20"/>
        </w:rPr>
        <w:t>primary</w:t>
      </w:r>
      <w:r>
        <w:rPr>
          <w:i/>
          <w:spacing w:val="-5"/>
          <w:sz w:val="20"/>
        </w:rPr>
        <w:t xml:space="preserve"> </w:t>
      </w:r>
      <w:r>
        <w:rPr>
          <w:i/>
          <w:sz w:val="20"/>
        </w:rPr>
        <w:t>drug,</w:t>
      </w:r>
      <w:r>
        <w:rPr>
          <w:i/>
          <w:spacing w:val="-5"/>
          <w:sz w:val="20"/>
        </w:rPr>
        <w:t xml:space="preserve"> </w:t>
      </w:r>
      <w:r>
        <w:rPr>
          <w:i/>
          <w:sz w:val="20"/>
        </w:rPr>
        <w:t>e.g.,</w:t>
      </w:r>
      <w:r>
        <w:rPr>
          <w:i/>
          <w:spacing w:val="-5"/>
          <w:sz w:val="20"/>
        </w:rPr>
        <w:t xml:space="preserve"> </w:t>
      </w:r>
      <w:r>
        <w:rPr>
          <w:i/>
          <w:sz w:val="20"/>
        </w:rPr>
        <w:t>alcohol,</w:t>
      </w:r>
      <w:r>
        <w:rPr>
          <w:i/>
          <w:spacing w:val="-7"/>
          <w:sz w:val="20"/>
        </w:rPr>
        <w:t xml:space="preserve"> </w:t>
      </w:r>
      <w:r>
        <w:rPr>
          <w:i/>
          <w:spacing w:val="-2"/>
          <w:sz w:val="20"/>
        </w:rPr>
        <w:t>cocaine)</w:t>
      </w:r>
    </w:p>
    <w:p w14:paraId="02612ED6" w14:textId="77777777" w:rsidR="00DB6E1F" w:rsidRDefault="00F666A6">
      <w:pPr>
        <w:pStyle w:val="BodyText"/>
        <w:spacing w:before="3"/>
        <w:rPr>
          <w:i/>
          <w:sz w:val="23"/>
        </w:rPr>
      </w:pPr>
      <w:r>
        <w:pict w14:anchorId="2D3AB602">
          <v:shape id="docshape242" o:spid="_x0000_s2061" style="position:absolute;margin-left:1in;margin-top:15.4pt;width:365pt;height:.1pt;z-index:-15702528;mso-wrap-distance-left:0;mso-wrap-distance-right:0;mso-position-horizontal-relative:page" coordorigin="1440,308" coordsize="7300,0" path="m1440,308r7300,e" filled="f" strokecolor="#050505">
            <v:path arrowok="t"/>
            <w10:wrap type="topAndBottom" anchorx="page"/>
          </v:shape>
        </w:pict>
      </w:r>
    </w:p>
    <w:p w14:paraId="654E79A4" w14:textId="77777777" w:rsidR="00DB6E1F" w:rsidRDefault="00F666A6">
      <w:pPr>
        <w:spacing w:before="167"/>
        <w:ind w:left="1439"/>
        <w:rPr>
          <w:sz w:val="20"/>
        </w:rPr>
      </w:pPr>
      <w:r>
        <w:rPr>
          <w:sz w:val="20"/>
        </w:rPr>
        <w:t>All</w:t>
      </w:r>
      <w:r>
        <w:rPr>
          <w:spacing w:val="-6"/>
          <w:sz w:val="20"/>
        </w:rPr>
        <w:t xml:space="preserve"> </w:t>
      </w:r>
      <w:r>
        <w:rPr>
          <w:sz w:val="20"/>
        </w:rPr>
        <w:t>questions</w:t>
      </w:r>
      <w:r>
        <w:rPr>
          <w:spacing w:val="-6"/>
          <w:sz w:val="20"/>
        </w:rPr>
        <w:t xml:space="preserve"> </w:t>
      </w:r>
      <w:r>
        <w:rPr>
          <w:sz w:val="20"/>
        </w:rPr>
        <w:t>below</w:t>
      </w:r>
      <w:r>
        <w:rPr>
          <w:spacing w:val="-6"/>
          <w:sz w:val="20"/>
        </w:rPr>
        <w:t xml:space="preserve"> </w:t>
      </w:r>
      <w:r>
        <w:rPr>
          <w:sz w:val="20"/>
        </w:rPr>
        <w:t>refer</w:t>
      </w:r>
      <w:r>
        <w:rPr>
          <w:spacing w:val="-5"/>
          <w:sz w:val="20"/>
        </w:rPr>
        <w:t xml:space="preserve"> </w:t>
      </w:r>
      <w:r>
        <w:rPr>
          <w:sz w:val="20"/>
        </w:rPr>
        <w:t>to</w:t>
      </w:r>
      <w:r>
        <w:rPr>
          <w:spacing w:val="-2"/>
          <w:sz w:val="20"/>
        </w:rPr>
        <w:t xml:space="preserve"> </w:t>
      </w:r>
      <w:r>
        <w:rPr>
          <w:sz w:val="20"/>
        </w:rPr>
        <w:t>my</w:t>
      </w:r>
      <w:r>
        <w:rPr>
          <w:spacing w:val="-4"/>
          <w:sz w:val="20"/>
        </w:rPr>
        <w:t xml:space="preserve"> </w:t>
      </w:r>
      <w:r>
        <w:rPr>
          <w:sz w:val="20"/>
        </w:rPr>
        <w:t>primary</w:t>
      </w:r>
      <w:r>
        <w:rPr>
          <w:spacing w:val="-5"/>
          <w:sz w:val="20"/>
        </w:rPr>
        <w:t xml:space="preserve"> </w:t>
      </w:r>
      <w:r>
        <w:rPr>
          <w:sz w:val="20"/>
        </w:rPr>
        <w:t>drug</w:t>
      </w:r>
      <w:r>
        <w:rPr>
          <w:spacing w:val="-5"/>
          <w:sz w:val="20"/>
        </w:rPr>
        <w:t xml:space="preserve"> </w:t>
      </w:r>
      <w:r>
        <w:rPr>
          <w:spacing w:val="-4"/>
          <w:sz w:val="20"/>
        </w:rPr>
        <w:t>use.</w:t>
      </w:r>
    </w:p>
    <w:p w14:paraId="0E9D87BD" w14:textId="77777777" w:rsidR="00DB6E1F" w:rsidRDefault="00F666A6">
      <w:pPr>
        <w:tabs>
          <w:tab w:val="left" w:leader="dot" w:pos="3510"/>
        </w:tabs>
        <w:spacing w:before="119"/>
        <w:ind w:left="1439" w:right="1762"/>
        <w:rPr>
          <w:i/>
          <w:sz w:val="20"/>
        </w:rPr>
      </w:pPr>
      <w:r>
        <w:rPr>
          <w:i/>
          <w:sz w:val="20"/>
        </w:rPr>
        <w:t>When</w:t>
      </w:r>
      <w:r>
        <w:rPr>
          <w:i/>
          <w:spacing w:val="-2"/>
          <w:sz w:val="20"/>
        </w:rPr>
        <w:t xml:space="preserve"> </w:t>
      </w:r>
      <w:r>
        <w:rPr>
          <w:i/>
          <w:sz w:val="20"/>
        </w:rPr>
        <w:t>I</w:t>
      </w:r>
      <w:r>
        <w:rPr>
          <w:i/>
          <w:spacing w:val="-3"/>
          <w:sz w:val="20"/>
        </w:rPr>
        <w:t xml:space="preserve"> </w:t>
      </w:r>
      <w:r>
        <w:rPr>
          <w:i/>
          <w:sz w:val="20"/>
        </w:rPr>
        <w:t>consider</w:t>
      </w:r>
      <w:r>
        <w:rPr>
          <w:i/>
          <w:spacing w:val="-4"/>
          <w:sz w:val="20"/>
        </w:rPr>
        <w:t xml:space="preserve"> </w:t>
      </w:r>
      <w:r>
        <w:rPr>
          <w:i/>
          <w:sz w:val="20"/>
        </w:rPr>
        <w:t>stopping</w:t>
      </w:r>
      <w:r>
        <w:rPr>
          <w:i/>
          <w:spacing w:val="-2"/>
          <w:sz w:val="20"/>
        </w:rPr>
        <w:t xml:space="preserve"> </w:t>
      </w:r>
      <w:r>
        <w:rPr>
          <w:i/>
          <w:sz w:val="20"/>
        </w:rPr>
        <w:t>or</w:t>
      </w:r>
      <w:r>
        <w:rPr>
          <w:i/>
          <w:spacing w:val="-4"/>
          <w:sz w:val="20"/>
        </w:rPr>
        <w:t xml:space="preserve"> </w:t>
      </w:r>
      <w:r>
        <w:rPr>
          <w:i/>
          <w:sz w:val="20"/>
        </w:rPr>
        <w:t>cutting</w:t>
      </w:r>
      <w:r>
        <w:rPr>
          <w:i/>
          <w:spacing w:val="-2"/>
          <w:sz w:val="20"/>
        </w:rPr>
        <w:t xml:space="preserve"> </w:t>
      </w:r>
      <w:r>
        <w:rPr>
          <w:i/>
          <w:sz w:val="20"/>
        </w:rPr>
        <w:t>down</w:t>
      </w:r>
      <w:r>
        <w:rPr>
          <w:i/>
          <w:spacing w:val="-2"/>
          <w:sz w:val="20"/>
        </w:rPr>
        <w:t xml:space="preserve"> </w:t>
      </w:r>
      <w:r>
        <w:rPr>
          <w:i/>
          <w:sz w:val="20"/>
        </w:rPr>
        <w:t>my</w:t>
      </w:r>
      <w:r>
        <w:rPr>
          <w:i/>
          <w:spacing w:val="-3"/>
          <w:sz w:val="20"/>
        </w:rPr>
        <w:t xml:space="preserve"> </w:t>
      </w:r>
      <w:r>
        <w:rPr>
          <w:i/>
          <w:sz w:val="20"/>
        </w:rPr>
        <w:t>primary</w:t>
      </w:r>
      <w:r>
        <w:rPr>
          <w:i/>
          <w:spacing w:val="-3"/>
          <w:sz w:val="20"/>
        </w:rPr>
        <w:t xml:space="preserve"> </w:t>
      </w:r>
      <w:r>
        <w:rPr>
          <w:i/>
          <w:sz w:val="20"/>
        </w:rPr>
        <w:t>drug</w:t>
      </w:r>
      <w:r>
        <w:rPr>
          <w:i/>
          <w:spacing w:val="-2"/>
          <w:sz w:val="20"/>
        </w:rPr>
        <w:t xml:space="preserve"> </w:t>
      </w:r>
      <w:r>
        <w:rPr>
          <w:i/>
          <w:sz w:val="20"/>
        </w:rPr>
        <w:t>use,</w:t>
      </w:r>
      <w:r>
        <w:rPr>
          <w:i/>
          <w:spacing w:val="-2"/>
          <w:sz w:val="20"/>
        </w:rPr>
        <w:t xml:space="preserve"> </w:t>
      </w:r>
      <w:r>
        <w:rPr>
          <w:i/>
          <w:sz w:val="20"/>
        </w:rPr>
        <w:t>the</w:t>
      </w:r>
      <w:r>
        <w:rPr>
          <w:i/>
          <w:spacing w:val="-2"/>
          <w:sz w:val="20"/>
        </w:rPr>
        <w:t xml:space="preserve"> </w:t>
      </w:r>
      <w:r>
        <w:rPr>
          <w:i/>
          <w:sz w:val="20"/>
        </w:rPr>
        <w:t>following</w:t>
      </w:r>
      <w:r>
        <w:rPr>
          <w:i/>
          <w:spacing w:val="-2"/>
          <w:sz w:val="20"/>
        </w:rPr>
        <w:t xml:space="preserve"> </w:t>
      </w:r>
      <w:r>
        <w:rPr>
          <w:i/>
          <w:sz w:val="20"/>
        </w:rPr>
        <w:t>reasons</w:t>
      </w:r>
      <w:r>
        <w:rPr>
          <w:i/>
          <w:spacing w:val="-4"/>
          <w:sz w:val="20"/>
        </w:rPr>
        <w:t xml:space="preserve"> </w:t>
      </w:r>
      <w:r>
        <w:rPr>
          <w:i/>
          <w:sz w:val="20"/>
        </w:rPr>
        <w:t>are</w:t>
      </w:r>
      <w:r>
        <w:rPr>
          <w:i/>
          <w:spacing w:val="-2"/>
          <w:sz w:val="20"/>
        </w:rPr>
        <w:t xml:space="preserve"> </w:t>
      </w:r>
      <w:r>
        <w:rPr>
          <w:i/>
          <w:sz w:val="20"/>
        </w:rPr>
        <w:t>important</w:t>
      </w:r>
      <w:r>
        <w:rPr>
          <w:i/>
          <w:spacing w:val="-3"/>
          <w:sz w:val="20"/>
        </w:rPr>
        <w:t xml:space="preserve"> </w:t>
      </w:r>
      <w:r>
        <w:rPr>
          <w:i/>
          <w:sz w:val="20"/>
        </w:rPr>
        <w:t>to</w:t>
      </w:r>
      <w:r>
        <w:rPr>
          <w:i/>
          <w:spacing w:val="-2"/>
          <w:sz w:val="20"/>
        </w:rPr>
        <w:t xml:space="preserve"> </w:t>
      </w:r>
      <w:r>
        <w:rPr>
          <w:i/>
          <w:sz w:val="20"/>
        </w:rPr>
        <w:t>me.</w:t>
      </w:r>
      <w:r>
        <w:rPr>
          <w:i/>
          <w:spacing w:val="-5"/>
          <w:sz w:val="20"/>
        </w:rPr>
        <w:t xml:space="preserve"> </w:t>
      </w:r>
      <w:r>
        <w:rPr>
          <w:i/>
          <w:sz w:val="20"/>
        </w:rPr>
        <w:t>“IF</w:t>
      </w:r>
      <w:r>
        <w:rPr>
          <w:i/>
          <w:spacing w:val="-3"/>
          <w:sz w:val="20"/>
        </w:rPr>
        <w:t xml:space="preserve"> </w:t>
      </w:r>
      <w:r>
        <w:rPr>
          <w:i/>
          <w:sz w:val="20"/>
        </w:rPr>
        <w:t>I</w:t>
      </w:r>
      <w:r>
        <w:rPr>
          <w:i/>
          <w:sz w:val="20"/>
        </w:rPr>
        <w:t xml:space="preserve"> STOP OR CUT DOWN</w:t>
      </w:r>
      <w:r>
        <w:rPr>
          <w:rFonts w:ascii="Times New Roman" w:hAnsi="Times New Roman"/>
          <w:sz w:val="20"/>
        </w:rPr>
        <w:tab/>
      </w:r>
      <w:r>
        <w:rPr>
          <w:i/>
          <w:spacing w:val="-10"/>
          <w:sz w:val="20"/>
        </w:rPr>
        <w:t>”</w:t>
      </w:r>
    </w:p>
    <w:p w14:paraId="4C6D0B24" w14:textId="77777777" w:rsidR="00DB6E1F" w:rsidRDefault="00F666A6">
      <w:pPr>
        <w:spacing w:before="121" w:after="19"/>
        <w:ind w:left="6391"/>
        <w:rPr>
          <w:sz w:val="20"/>
        </w:rPr>
      </w:pPr>
      <w:r>
        <w:rPr>
          <w:sz w:val="20"/>
        </w:rPr>
        <w:t>Circle</w:t>
      </w:r>
      <w:r>
        <w:rPr>
          <w:spacing w:val="-7"/>
          <w:sz w:val="20"/>
        </w:rPr>
        <w:t xml:space="preserve"> </w:t>
      </w:r>
      <w:r>
        <w:rPr>
          <w:sz w:val="20"/>
        </w:rPr>
        <w:t>the</w:t>
      </w:r>
      <w:r>
        <w:rPr>
          <w:spacing w:val="-6"/>
          <w:sz w:val="20"/>
        </w:rPr>
        <w:t xml:space="preserve"> </w:t>
      </w:r>
      <w:r>
        <w:rPr>
          <w:sz w:val="20"/>
        </w:rPr>
        <w:t>number</w:t>
      </w:r>
      <w:r>
        <w:rPr>
          <w:spacing w:val="-5"/>
          <w:sz w:val="20"/>
        </w:rPr>
        <w:t xml:space="preserve"> </w:t>
      </w:r>
      <w:r>
        <w:rPr>
          <w:sz w:val="20"/>
        </w:rPr>
        <w:t>which</w:t>
      </w:r>
      <w:r>
        <w:rPr>
          <w:spacing w:val="-5"/>
          <w:sz w:val="20"/>
        </w:rPr>
        <w:t xml:space="preserve"> </w:t>
      </w:r>
      <w:r>
        <w:rPr>
          <w:sz w:val="20"/>
        </w:rPr>
        <w:t>applies</w:t>
      </w:r>
      <w:r>
        <w:rPr>
          <w:spacing w:val="-6"/>
          <w:sz w:val="20"/>
        </w:rPr>
        <w:t xml:space="preserve"> </w:t>
      </w:r>
      <w:r>
        <w:rPr>
          <w:sz w:val="20"/>
        </w:rPr>
        <w:t>to</w:t>
      </w:r>
      <w:r>
        <w:rPr>
          <w:spacing w:val="-5"/>
          <w:sz w:val="20"/>
        </w:rPr>
        <w:t xml:space="preserve"> </w:t>
      </w:r>
      <w:r>
        <w:rPr>
          <w:spacing w:val="-4"/>
          <w:sz w:val="20"/>
        </w:rPr>
        <w:t>you.</w:t>
      </w: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900"/>
        <w:gridCol w:w="989"/>
        <w:gridCol w:w="991"/>
        <w:gridCol w:w="989"/>
        <w:gridCol w:w="900"/>
        <w:gridCol w:w="900"/>
      </w:tblGrid>
      <w:tr w:rsidR="00DB6E1F" w14:paraId="1E4DFF93" w14:textId="77777777">
        <w:trPr>
          <w:trHeight w:val="527"/>
        </w:trPr>
        <w:tc>
          <w:tcPr>
            <w:tcW w:w="3691" w:type="dxa"/>
          </w:tcPr>
          <w:p w14:paraId="0E5147BC" w14:textId="77777777" w:rsidR="00DB6E1F" w:rsidRDefault="00F666A6">
            <w:pPr>
              <w:pStyle w:val="TableParagraph"/>
              <w:ind w:left="1638" w:right="1632"/>
              <w:jc w:val="center"/>
              <w:rPr>
                <w:b/>
                <w:sz w:val="20"/>
              </w:rPr>
            </w:pPr>
            <w:r>
              <w:rPr>
                <w:b/>
                <w:spacing w:val="-4"/>
                <w:sz w:val="20"/>
              </w:rPr>
              <w:t>Item</w:t>
            </w:r>
          </w:p>
        </w:tc>
        <w:tc>
          <w:tcPr>
            <w:tcW w:w="900" w:type="dxa"/>
          </w:tcPr>
          <w:p w14:paraId="5F39C11A" w14:textId="77777777" w:rsidR="00DB6E1F" w:rsidRDefault="00F666A6">
            <w:pPr>
              <w:pStyle w:val="TableParagraph"/>
              <w:ind w:left="9"/>
              <w:jc w:val="center"/>
              <w:rPr>
                <w:b/>
                <w:sz w:val="20"/>
              </w:rPr>
            </w:pPr>
            <w:r>
              <w:rPr>
                <w:b/>
                <w:spacing w:val="-5"/>
                <w:sz w:val="20"/>
              </w:rPr>
              <w:t>Not</w:t>
            </w:r>
          </w:p>
          <w:p w14:paraId="45B1D910" w14:textId="77777777" w:rsidR="00DB6E1F" w:rsidRDefault="00F666A6">
            <w:pPr>
              <w:pStyle w:val="TableParagraph"/>
              <w:spacing w:before="20" w:line="242" w:lineRule="exact"/>
              <w:ind w:left="11"/>
              <w:jc w:val="center"/>
              <w:rPr>
                <w:b/>
                <w:sz w:val="20"/>
              </w:rPr>
            </w:pPr>
            <w:r>
              <w:rPr>
                <w:b/>
                <w:spacing w:val="-2"/>
                <w:sz w:val="20"/>
              </w:rPr>
              <w:t>Important</w:t>
            </w:r>
          </w:p>
        </w:tc>
        <w:tc>
          <w:tcPr>
            <w:tcW w:w="989" w:type="dxa"/>
          </w:tcPr>
          <w:p w14:paraId="52E113C0" w14:textId="77777777" w:rsidR="00DB6E1F" w:rsidRDefault="00F666A6">
            <w:pPr>
              <w:pStyle w:val="TableParagraph"/>
              <w:ind w:left="34" w:right="24"/>
              <w:jc w:val="center"/>
              <w:rPr>
                <w:b/>
                <w:sz w:val="20"/>
              </w:rPr>
            </w:pPr>
            <w:r>
              <w:rPr>
                <w:b/>
                <w:spacing w:val="-2"/>
                <w:sz w:val="20"/>
              </w:rPr>
              <w:t>Slightly</w:t>
            </w:r>
          </w:p>
          <w:p w14:paraId="1FBF9DE5" w14:textId="77777777" w:rsidR="00DB6E1F" w:rsidRDefault="00F666A6">
            <w:pPr>
              <w:pStyle w:val="TableParagraph"/>
              <w:spacing w:before="20" w:line="242" w:lineRule="exact"/>
              <w:ind w:left="34" w:right="25"/>
              <w:jc w:val="center"/>
              <w:rPr>
                <w:b/>
                <w:sz w:val="20"/>
              </w:rPr>
            </w:pPr>
            <w:r>
              <w:rPr>
                <w:b/>
                <w:spacing w:val="-2"/>
                <w:sz w:val="20"/>
              </w:rPr>
              <w:t>Important</w:t>
            </w:r>
          </w:p>
        </w:tc>
        <w:tc>
          <w:tcPr>
            <w:tcW w:w="991" w:type="dxa"/>
          </w:tcPr>
          <w:p w14:paraId="1519184F" w14:textId="77777777" w:rsidR="00DB6E1F" w:rsidRDefault="00F666A6">
            <w:pPr>
              <w:pStyle w:val="TableParagraph"/>
              <w:ind w:left="7" w:right="-15"/>
              <w:rPr>
                <w:b/>
                <w:sz w:val="20"/>
              </w:rPr>
            </w:pPr>
            <w:r>
              <w:rPr>
                <w:b/>
                <w:spacing w:val="-2"/>
                <w:sz w:val="20"/>
              </w:rPr>
              <w:t>Moderately</w:t>
            </w:r>
          </w:p>
          <w:p w14:paraId="7EC6586D" w14:textId="77777777" w:rsidR="00DB6E1F" w:rsidRDefault="00F666A6">
            <w:pPr>
              <w:pStyle w:val="TableParagraph"/>
              <w:spacing w:before="20" w:line="242" w:lineRule="exact"/>
              <w:ind w:left="69"/>
              <w:rPr>
                <w:b/>
                <w:sz w:val="20"/>
              </w:rPr>
            </w:pPr>
            <w:r>
              <w:rPr>
                <w:b/>
                <w:spacing w:val="-2"/>
                <w:sz w:val="20"/>
              </w:rPr>
              <w:t>Important</w:t>
            </w:r>
          </w:p>
        </w:tc>
        <w:tc>
          <w:tcPr>
            <w:tcW w:w="989" w:type="dxa"/>
          </w:tcPr>
          <w:p w14:paraId="1A3B439D" w14:textId="77777777" w:rsidR="00DB6E1F" w:rsidRDefault="00F666A6">
            <w:pPr>
              <w:pStyle w:val="TableParagraph"/>
              <w:ind w:left="34" w:right="24"/>
              <w:jc w:val="center"/>
              <w:rPr>
                <w:b/>
                <w:sz w:val="20"/>
              </w:rPr>
            </w:pPr>
            <w:r>
              <w:rPr>
                <w:b/>
                <w:spacing w:val="-4"/>
                <w:sz w:val="20"/>
              </w:rPr>
              <w:t>Very</w:t>
            </w:r>
          </w:p>
          <w:p w14:paraId="6E9D94CE" w14:textId="77777777" w:rsidR="00DB6E1F" w:rsidRDefault="00F666A6">
            <w:pPr>
              <w:pStyle w:val="TableParagraph"/>
              <w:spacing w:before="20" w:line="242" w:lineRule="exact"/>
              <w:ind w:left="34" w:right="25"/>
              <w:jc w:val="center"/>
              <w:rPr>
                <w:b/>
                <w:sz w:val="20"/>
              </w:rPr>
            </w:pPr>
            <w:r>
              <w:rPr>
                <w:b/>
                <w:spacing w:val="-2"/>
                <w:sz w:val="20"/>
              </w:rPr>
              <w:t>Important</w:t>
            </w:r>
          </w:p>
        </w:tc>
        <w:tc>
          <w:tcPr>
            <w:tcW w:w="900" w:type="dxa"/>
          </w:tcPr>
          <w:p w14:paraId="2E629A93" w14:textId="77777777" w:rsidR="00DB6E1F" w:rsidRDefault="00F666A6">
            <w:pPr>
              <w:pStyle w:val="TableParagraph"/>
              <w:ind w:left="31"/>
              <w:rPr>
                <w:b/>
                <w:sz w:val="20"/>
              </w:rPr>
            </w:pPr>
            <w:r>
              <w:rPr>
                <w:b/>
                <w:spacing w:val="-2"/>
                <w:sz w:val="20"/>
              </w:rPr>
              <w:t>Extremely</w:t>
            </w:r>
          </w:p>
          <w:p w14:paraId="17D0B712" w14:textId="77777777" w:rsidR="00DB6E1F" w:rsidRDefault="00F666A6">
            <w:pPr>
              <w:pStyle w:val="TableParagraph"/>
              <w:spacing w:before="20" w:line="242" w:lineRule="exact"/>
              <w:ind w:left="26"/>
              <w:rPr>
                <w:b/>
                <w:sz w:val="20"/>
              </w:rPr>
            </w:pPr>
            <w:r>
              <w:rPr>
                <w:b/>
                <w:spacing w:val="-2"/>
                <w:sz w:val="20"/>
              </w:rPr>
              <w:t>Important</w:t>
            </w:r>
          </w:p>
        </w:tc>
        <w:tc>
          <w:tcPr>
            <w:tcW w:w="900" w:type="dxa"/>
          </w:tcPr>
          <w:p w14:paraId="3D0BF3D3" w14:textId="77777777" w:rsidR="00DB6E1F" w:rsidRDefault="00F666A6">
            <w:pPr>
              <w:pStyle w:val="TableParagraph"/>
              <w:ind w:left="9"/>
              <w:jc w:val="center"/>
              <w:rPr>
                <w:b/>
                <w:sz w:val="20"/>
              </w:rPr>
            </w:pPr>
            <w:r>
              <w:rPr>
                <w:b/>
                <w:spacing w:val="-5"/>
                <w:sz w:val="20"/>
              </w:rPr>
              <w:t>Not</w:t>
            </w:r>
          </w:p>
          <w:p w14:paraId="0E95A7AB" w14:textId="77777777" w:rsidR="00DB6E1F" w:rsidRDefault="00F666A6">
            <w:pPr>
              <w:pStyle w:val="TableParagraph"/>
              <w:spacing w:before="20" w:line="242" w:lineRule="exact"/>
              <w:ind w:left="4"/>
              <w:jc w:val="center"/>
              <w:rPr>
                <w:b/>
                <w:sz w:val="20"/>
              </w:rPr>
            </w:pPr>
            <w:r>
              <w:rPr>
                <w:b/>
                <w:spacing w:val="-2"/>
                <w:sz w:val="20"/>
              </w:rPr>
              <w:t>Applicable</w:t>
            </w:r>
          </w:p>
        </w:tc>
      </w:tr>
      <w:tr w:rsidR="00DB6E1F" w14:paraId="12D1A619" w14:textId="77777777">
        <w:trPr>
          <w:trHeight w:val="263"/>
        </w:trPr>
        <w:tc>
          <w:tcPr>
            <w:tcW w:w="3691" w:type="dxa"/>
          </w:tcPr>
          <w:p w14:paraId="31526393" w14:textId="77777777" w:rsidR="00DB6E1F" w:rsidRDefault="00F666A6">
            <w:pPr>
              <w:pStyle w:val="TableParagraph"/>
              <w:spacing w:line="242" w:lineRule="exact"/>
              <w:ind w:left="95"/>
              <w:rPr>
                <w:sz w:val="20"/>
              </w:rPr>
            </w:pPr>
            <w:r>
              <w:rPr>
                <w:color w:val="4D4D4F"/>
                <w:sz w:val="20"/>
              </w:rPr>
              <w:t>1.</w:t>
            </w:r>
            <w:r>
              <w:rPr>
                <w:color w:val="4D4D4F"/>
                <w:spacing w:val="47"/>
                <w:sz w:val="20"/>
              </w:rPr>
              <w:t xml:space="preserve">  </w:t>
            </w:r>
            <w:r>
              <w:rPr>
                <w:sz w:val="20"/>
              </w:rPr>
              <w:t>I</w:t>
            </w:r>
            <w:r>
              <w:rPr>
                <w:spacing w:val="2"/>
                <w:sz w:val="20"/>
              </w:rPr>
              <w:t xml:space="preserve"> </w:t>
            </w:r>
            <w:r>
              <w:rPr>
                <w:sz w:val="20"/>
              </w:rPr>
              <w:t>will</w:t>
            </w:r>
            <w:r>
              <w:rPr>
                <w:spacing w:val="1"/>
                <w:sz w:val="20"/>
              </w:rPr>
              <w:t xml:space="preserve"> </w:t>
            </w:r>
            <w:r>
              <w:rPr>
                <w:sz w:val="20"/>
              </w:rPr>
              <w:t>feel</w:t>
            </w:r>
            <w:r>
              <w:rPr>
                <w:spacing w:val="1"/>
                <w:sz w:val="20"/>
              </w:rPr>
              <w:t xml:space="preserve"> </w:t>
            </w:r>
            <w:r>
              <w:rPr>
                <w:sz w:val="20"/>
              </w:rPr>
              <w:t>better</w:t>
            </w:r>
            <w:r>
              <w:rPr>
                <w:spacing w:val="1"/>
                <w:sz w:val="20"/>
              </w:rPr>
              <w:t xml:space="preserve"> </w:t>
            </w:r>
            <w:r>
              <w:rPr>
                <w:spacing w:val="-2"/>
                <w:sz w:val="20"/>
              </w:rPr>
              <w:t>physically.</w:t>
            </w:r>
          </w:p>
        </w:tc>
        <w:tc>
          <w:tcPr>
            <w:tcW w:w="900" w:type="dxa"/>
          </w:tcPr>
          <w:p w14:paraId="40C2C895" w14:textId="77777777" w:rsidR="00DB6E1F" w:rsidRDefault="00F666A6">
            <w:pPr>
              <w:pStyle w:val="TableParagraph"/>
              <w:spacing w:line="242" w:lineRule="exact"/>
              <w:ind w:left="7"/>
              <w:jc w:val="center"/>
              <w:rPr>
                <w:sz w:val="20"/>
              </w:rPr>
            </w:pPr>
            <w:r>
              <w:rPr>
                <w:w w:val="99"/>
                <w:sz w:val="20"/>
              </w:rPr>
              <w:t>1</w:t>
            </w:r>
          </w:p>
        </w:tc>
        <w:tc>
          <w:tcPr>
            <w:tcW w:w="989" w:type="dxa"/>
          </w:tcPr>
          <w:p w14:paraId="0B95CF3A" w14:textId="77777777" w:rsidR="00DB6E1F" w:rsidRDefault="00F666A6">
            <w:pPr>
              <w:pStyle w:val="TableParagraph"/>
              <w:spacing w:line="242" w:lineRule="exact"/>
              <w:ind w:left="9"/>
              <w:jc w:val="center"/>
              <w:rPr>
                <w:sz w:val="20"/>
              </w:rPr>
            </w:pPr>
            <w:r>
              <w:rPr>
                <w:w w:val="99"/>
                <w:sz w:val="20"/>
              </w:rPr>
              <w:t>2</w:t>
            </w:r>
          </w:p>
        </w:tc>
        <w:tc>
          <w:tcPr>
            <w:tcW w:w="991" w:type="dxa"/>
          </w:tcPr>
          <w:p w14:paraId="0D3BA869" w14:textId="77777777" w:rsidR="00DB6E1F" w:rsidRDefault="00F666A6">
            <w:pPr>
              <w:pStyle w:val="TableParagraph"/>
              <w:spacing w:line="242" w:lineRule="exact"/>
              <w:ind w:left="7"/>
              <w:jc w:val="center"/>
              <w:rPr>
                <w:sz w:val="20"/>
              </w:rPr>
            </w:pPr>
            <w:r>
              <w:rPr>
                <w:w w:val="99"/>
                <w:sz w:val="20"/>
              </w:rPr>
              <w:t>3</w:t>
            </w:r>
          </w:p>
        </w:tc>
        <w:tc>
          <w:tcPr>
            <w:tcW w:w="989" w:type="dxa"/>
          </w:tcPr>
          <w:p w14:paraId="44B86A6F" w14:textId="77777777" w:rsidR="00DB6E1F" w:rsidRDefault="00F666A6">
            <w:pPr>
              <w:pStyle w:val="TableParagraph"/>
              <w:spacing w:line="242" w:lineRule="exact"/>
              <w:ind w:left="9"/>
              <w:jc w:val="center"/>
              <w:rPr>
                <w:sz w:val="20"/>
              </w:rPr>
            </w:pPr>
            <w:r>
              <w:rPr>
                <w:w w:val="99"/>
                <w:sz w:val="20"/>
              </w:rPr>
              <w:t>4</w:t>
            </w:r>
          </w:p>
        </w:tc>
        <w:tc>
          <w:tcPr>
            <w:tcW w:w="900" w:type="dxa"/>
          </w:tcPr>
          <w:p w14:paraId="71D7F731" w14:textId="77777777" w:rsidR="00DB6E1F" w:rsidRDefault="00F666A6">
            <w:pPr>
              <w:pStyle w:val="TableParagraph"/>
              <w:spacing w:line="242" w:lineRule="exact"/>
              <w:ind w:left="7"/>
              <w:jc w:val="center"/>
              <w:rPr>
                <w:sz w:val="20"/>
              </w:rPr>
            </w:pPr>
            <w:r>
              <w:rPr>
                <w:w w:val="99"/>
                <w:sz w:val="20"/>
              </w:rPr>
              <w:t>5</w:t>
            </w:r>
          </w:p>
        </w:tc>
        <w:tc>
          <w:tcPr>
            <w:tcW w:w="900" w:type="dxa"/>
          </w:tcPr>
          <w:p w14:paraId="05330EF6" w14:textId="77777777" w:rsidR="00DB6E1F" w:rsidRDefault="00F666A6">
            <w:pPr>
              <w:pStyle w:val="TableParagraph"/>
              <w:spacing w:line="242" w:lineRule="exact"/>
              <w:ind w:left="7"/>
              <w:jc w:val="center"/>
              <w:rPr>
                <w:sz w:val="20"/>
              </w:rPr>
            </w:pPr>
            <w:r>
              <w:rPr>
                <w:w w:val="99"/>
                <w:sz w:val="20"/>
              </w:rPr>
              <w:t>0</w:t>
            </w:r>
          </w:p>
        </w:tc>
      </w:tr>
      <w:tr w:rsidR="00DB6E1F" w14:paraId="1C92F4BA" w14:textId="77777777">
        <w:trPr>
          <w:trHeight w:val="263"/>
        </w:trPr>
        <w:tc>
          <w:tcPr>
            <w:tcW w:w="3691" w:type="dxa"/>
          </w:tcPr>
          <w:p w14:paraId="0FDDBF70" w14:textId="77777777" w:rsidR="00DB6E1F" w:rsidRDefault="00F666A6">
            <w:pPr>
              <w:pStyle w:val="TableParagraph"/>
              <w:spacing w:line="242" w:lineRule="exact"/>
              <w:ind w:left="95"/>
              <w:rPr>
                <w:sz w:val="20"/>
              </w:rPr>
            </w:pPr>
            <w:r>
              <w:rPr>
                <w:color w:val="4D4D4F"/>
                <w:sz w:val="20"/>
              </w:rPr>
              <w:t>2.</w:t>
            </w:r>
            <w:r>
              <w:rPr>
                <w:color w:val="4D4D4F"/>
                <w:spacing w:val="45"/>
                <w:sz w:val="20"/>
              </w:rPr>
              <w:t xml:space="preserve">  </w:t>
            </w:r>
            <w:r>
              <w:rPr>
                <w:sz w:val="20"/>
              </w:rPr>
              <w:t>I</w:t>
            </w:r>
            <w:r>
              <w:rPr>
                <w:spacing w:val="1"/>
                <w:sz w:val="20"/>
              </w:rPr>
              <w:t xml:space="preserve"> </w:t>
            </w:r>
            <w:r>
              <w:rPr>
                <w:sz w:val="20"/>
              </w:rPr>
              <w:t>will</w:t>
            </w:r>
            <w:r>
              <w:rPr>
                <w:spacing w:val="1"/>
                <w:sz w:val="20"/>
              </w:rPr>
              <w:t xml:space="preserve"> </w:t>
            </w:r>
            <w:r>
              <w:rPr>
                <w:sz w:val="20"/>
              </w:rPr>
              <w:t>have</w:t>
            </w:r>
            <w:r>
              <w:rPr>
                <w:spacing w:val="-1"/>
                <w:sz w:val="20"/>
              </w:rPr>
              <w:t xml:space="preserve"> </w:t>
            </w:r>
            <w:r>
              <w:rPr>
                <w:sz w:val="20"/>
              </w:rPr>
              <w:t>difficulty</w:t>
            </w:r>
            <w:r>
              <w:rPr>
                <w:spacing w:val="1"/>
                <w:sz w:val="20"/>
              </w:rPr>
              <w:t xml:space="preserve"> </w:t>
            </w:r>
            <w:r>
              <w:rPr>
                <w:spacing w:val="-2"/>
                <w:sz w:val="20"/>
              </w:rPr>
              <w:t>relaxing.</w:t>
            </w:r>
          </w:p>
        </w:tc>
        <w:tc>
          <w:tcPr>
            <w:tcW w:w="900" w:type="dxa"/>
          </w:tcPr>
          <w:p w14:paraId="4905E190" w14:textId="77777777" w:rsidR="00DB6E1F" w:rsidRDefault="00F666A6">
            <w:pPr>
              <w:pStyle w:val="TableParagraph"/>
              <w:spacing w:line="242" w:lineRule="exact"/>
              <w:ind w:left="7"/>
              <w:jc w:val="center"/>
              <w:rPr>
                <w:sz w:val="20"/>
              </w:rPr>
            </w:pPr>
            <w:r>
              <w:rPr>
                <w:w w:val="99"/>
                <w:sz w:val="20"/>
              </w:rPr>
              <w:t>1</w:t>
            </w:r>
          </w:p>
        </w:tc>
        <w:tc>
          <w:tcPr>
            <w:tcW w:w="989" w:type="dxa"/>
          </w:tcPr>
          <w:p w14:paraId="01AB1BCC" w14:textId="77777777" w:rsidR="00DB6E1F" w:rsidRDefault="00F666A6">
            <w:pPr>
              <w:pStyle w:val="TableParagraph"/>
              <w:spacing w:line="242" w:lineRule="exact"/>
              <w:ind w:left="9"/>
              <w:jc w:val="center"/>
              <w:rPr>
                <w:sz w:val="20"/>
              </w:rPr>
            </w:pPr>
            <w:r>
              <w:rPr>
                <w:w w:val="99"/>
                <w:sz w:val="20"/>
              </w:rPr>
              <w:t>2</w:t>
            </w:r>
          </w:p>
        </w:tc>
        <w:tc>
          <w:tcPr>
            <w:tcW w:w="991" w:type="dxa"/>
          </w:tcPr>
          <w:p w14:paraId="1C56035B" w14:textId="77777777" w:rsidR="00DB6E1F" w:rsidRDefault="00F666A6">
            <w:pPr>
              <w:pStyle w:val="TableParagraph"/>
              <w:spacing w:line="242" w:lineRule="exact"/>
              <w:ind w:left="7"/>
              <w:jc w:val="center"/>
              <w:rPr>
                <w:sz w:val="20"/>
              </w:rPr>
            </w:pPr>
            <w:r>
              <w:rPr>
                <w:w w:val="99"/>
                <w:sz w:val="20"/>
              </w:rPr>
              <w:t>3</w:t>
            </w:r>
          </w:p>
        </w:tc>
        <w:tc>
          <w:tcPr>
            <w:tcW w:w="989" w:type="dxa"/>
          </w:tcPr>
          <w:p w14:paraId="2ACB6DEA" w14:textId="77777777" w:rsidR="00DB6E1F" w:rsidRDefault="00F666A6">
            <w:pPr>
              <w:pStyle w:val="TableParagraph"/>
              <w:spacing w:line="242" w:lineRule="exact"/>
              <w:ind w:left="9"/>
              <w:jc w:val="center"/>
              <w:rPr>
                <w:sz w:val="20"/>
              </w:rPr>
            </w:pPr>
            <w:r>
              <w:rPr>
                <w:w w:val="99"/>
                <w:sz w:val="20"/>
              </w:rPr>
              <w:t>4</w:t>
            </w:r>
          </w:p>
        </w:tc>
        <w:tc>
          <w:tcPr>
            <w:tcW w:w="900" w:type="dxa"/>
          </w:tcPr>
          <w:p w14:paraId="594468CC" w14:textId="77777777" w:rsidR="00DB6E1F" w:rsidRDefault="00F666A6">
            <w:pPr>
              <w:pStyle w:val="TableParagraph"/>
              <w:spacing w:line="242" w:lineRule="exact"/>
              <w:ind w:left="7"/>
              <w:jc w:val="center"/>
              <w:rPr>
                <w:sz w:val="20"/>
              </w:rPr>
            </w:pPr>
            <w:r>
              <w:rPr>
                <w:w w:val="99"/>
                <w:sz w:val="20"/>
              </w:rPr>
              <w:t>5</w:t>
            </w:r>
          </w:p>
        </w:tc>
        <w:tc>
          <w:tcPr>
            <w:tcW w:w="900" w:type="dxa"/>
          </w:tcPr>
          <w:p w14:paraId="30753C31" w14:textId="77777777" w:rsidR="00DB6E1F" w:rsidRDefault="00F666A6">
            <w:pPr>
              <w:pStyle w:val="TableParagraph"/>
              <w:spacing w:line="242" w:lineRule="exact"/>
              <w:ind w:left="7"/>
              <w:jc w:val="center"/>
              <w:rPr>
                <w:sz w:val="20"/>
              </w:rPr>
            </w:pPr>
            <w:r>
              <w:rPr>
                <w:w w:val="99"/>
                <w:sz w:val="20"/>
              </w:rPr>
              <w:t>0</w:t>
            </w:r>
          </w:p>
        </w:tc>
      </w:tr>
      <w:tr w:rsidR="00DB6E1F" w14:paraId="2D40FE32" w14:textId="77777777">
        <w:trPr>
          <w:trHeight w:val="261"/>
        </w:trPr>
        <w:tc>
          <w:tcPr>
            <w:tcW w:w="3691" w:type="dxa"/>
          </w:tcPr>
          <w:p w14:paraId="4CC33DA4" w14:textId="77777777" w:rsidR="00DB6E1F" w:rsidRDefault="00F666A6">
            <w:pPr>
              <w:pStyle w:val="TableParagraph"/>
              <w:spacing w:line="240" w:lineRule="exact"/>
              <w:ind w:left="95"/>
              <w:rPr>
                <w:sz w:val="20"/>
              </w:rPr>
            </w:pPr>
            <w:r>
              <w:rPr>
                <w:color w:val="4D4D4F"/>
                <w:sz w:val="20"/>
              </w:rPr>
              <w:t>3.</w:t>
            </w:r>
            <w:r>
              <w:rPr>
                <w:color w:val="4D4D4F"/>
                <w:spacing w:val="45"/>
                <w:sz w:val="20"/>
              </w:rPr>
              <w:t xml:space="preserve">  </w:t>
            </w:r>
            <w:r>
              <w:rPr>
                <w:sz w:val="20"/>
              </w:rPr>
              <w:t>I</w:t>
            </w:r>
            <w:r>
              <w:rPr>
                <w:spacing w:val="1"/>
                <w:sz w:val="20"/>
              </w:rPr>
              <w:t xml:space="preserve"> </w:t>
            </w:r>
            <w:r>
              <w:rPr>
                <w:sz w:val="20"/>
              </w:rPr>
              <w:t>will change</w:t>
            </w:r>
            <w:r>
              <w:rPr>
                <w:spacing w:val="-1"/>
                <w:sz w:val="20"/>
              </w:rPr>
              <w:t xml:space="preserve"> </w:t>
            </w:r>
            <w:r>
              <w:rPr>
                <w:sz w:val="20"/>
              </w:rPr>
              <w:t xml:space="preserve">a lifestyle I </w:t>
            </w:r>
            <w:r>
              <w:rPr>
                <w:spacing w:val="-2"/>
                <w:sz w:val="20"/>
              </w:rPr>
              <w:t>enjoy.</w:t>
            </w:r>
          </w:p>
        </w:tc>
        <w:tc>
          <w:tcPr>
            <w:tcW w:w="900" w:type="dxa"/>
          </w:tcPr>
          <w:p w14:paraId="79208DA6" w14:textId="77777777" w:rsidR="00DB6E1F" w:rsidRDefault="00F666A6">
            <w:pPr>
              <w:pStyle w:val="TableParagraph"/>
              <w:spacing w:line="240" w:lineRule="exact"/>
              <w:ind w:left="7"/>
              <w:jc w:val="center"/>
              <w:rPr>
                <w:sz w:val="20"/>
              </w:rPr>
            </w:pPr>
            <w:r>
              <w:rPr>
                <w:w w:val="99"/>
                <w:sz w:val="20"/>
              </w:rPr>
              <w:t>1</w:t>
            </w:r>
          </w:p>
        </w:tc>
        <w:tc>
          <w:tcPr>
            <w:tcW w:w="989" w:type="dxa"/>
          </w:tcPr>
          <w:p w14:paraId="70E707AC" w14:textId="77777777" w:rsidR="00DB6E1F" w:rsidRDefault="00F666A6">
            <w:pPr>
              <w:pStyle w:val="TableParagraph"/>
              <w:spacing w:line="240" w:lineRule="exact"/>
              <w:ind w:left="9"/>
              <w:jc w:val="center"/>
              <w:rPr>
                <w:sz w:val="20"/>
              </w:rPr>
            </w:pPr>
            <w:r>
              <w:rPr>
                <w:w w:val="99"/>
                <w:sz w:val="20"/>
              </w:rPr>
              <w:t>2</w:t>
            </w:r>
          </w:p>
        </w:tc>
        <w:tc>
          <w:tcPr>
            <w:tcW w:w="991" w:type="dxa"/>
          </w:tcPr>
          <w:p w14:paraId="6A1E40C0" w14:textId="77777777" w:rsidR="00DB6E1F" w:rsidRDefault="00F666A6">
            <w:pPr>
              <w:pStyle w:val="TableParagraph"/>
              <w:spacing w:line="240" w:lineRule="exact"/>
              <w:ind w:left="7"/>
              <w:jc w:val="center"/>
              <w:rPr>
                <w:sz w:val="20"/>
              </w:rPr>
            </w:pPr>
            <w:r>
              <w:rPr>
                <w:w w:val="99"/>
                <w:sz w:val="20"/>
              </w:rPr>
              <w:t>3</w:t>
            </w:r>
          </w:p>
        </w:tc>
        <w:tc>
          <w:tcPr>
            <w:tcW w:w="989" w:type="dxa"/>
          </w:tcPr>
          <w:p w14:paraId="25A6FBEA" w14:textId="77777777" w:rsidR="00DB6E1F" w:rsidRDefault="00F666A6">
            <w:pPr>
              <w:pStyle w:val="TableParagraph"/>
              <w:spacing w:line="240" w:lineRule="exact"/>
              <w:ind w:left="9"/>
              <w:jc w:val="center"/>
              <w:rPr>
                <w:sz w:val="20"/>
              </w:rPr>
            </w:pPr>
            <w:r>
              <w:rPr>
                <w:w w:val="99"/>
                <w:sz w:val="20"/>
              </w:rPr>
              <w:t>4</w:t>
            </w:r>
          </w:p>
        </w:tc>
        <w:tc>
          <w:tcPr>
            <w:tcW w:w="900" w:type="dxa"/>
          </w:tcPr>
          <w:p w14:paraId="121B04A5" w14:textId="77777777" w:rsidR="00DB6E1F" w:rsidRDefault="00F666A6">
            <w:pPr>
              <w:pStyle w:val="TableParagraph"/>
              <w:spacing w:line="240" w:lineRule="exact"/>
              <w:ind w:left="7"/>
              <w:jc w:val="center"/>
              <w:rPr>
                <w:sz w:val="20"/>
              </w:rPr>
            </w:pPr>
            <w:r>
              <w:rPr>
                <w:w w:val="99"/>
                <w:sz w:val="20"/>
              </w:rPr>
              <w:t>5</w:t>
            </w:r>
          </w:p>
        </w:tc>
        <w:tc>
          <w:tcPr>
            <w:tcW w:w="900" w:type="dxa"/>
          </w:tcPr>
          <w:p w14:paraId="318DF01B" w14:textId="77777777" w:rsidR="00DB6E1F" w:rsidRDefault="00F666A6">
            <w:pPr>
              <w:pStyle w:val="TableParagraph"/>
              <w:spacing w:line="240" w:lineRule="exact"/>
              <w:ind w:left="7"/>
              <w:jc w:val="center"/>
              <w:rPr>
                <w:sz w:val="20"/>
              </w:rPr>
            </w:pPr>
            <w:r>
              <w:rPr>
                <w:w w:val="99"/>
                <w:sz w:val="20"/>
              </w:rPr>
              <w:t>0</w:t>
            </w:r>
          </w:p>
        </w:tc>
      </w:tr>
      <w:tr w:rsidR="00DB6E1F" w14:paraId="7D0BB8D4" w14:textId="77777777">
        <w:trPr>
          <w:trHeight w:val="527"/>
        </w:trPr>
        <w:tc>
          <w:tcPr>
            <w:tcW w:w="3691" w:type="dxa"/>
          </w:tcPr>
          <w:p w14:paraId="31649B75" w14:textId="77777777" w:rsidR="00DB6E1F" w:rsidRDefault="00F666A6">
            <w:pPr>
              <w:pStyle w:val="TableParagraph"/>
              <w:spacing w:before="3"/>
              <w:ind w:left="95"/>
              <w:rPr>
                <w:sz w:val="20"/>
              </w:rPr>
            </w:pPr>
            <w:r>
              <w:rPr>
                <w:color w:val="4D4D4F"/>
                <w:sz w:val="20"/>
              </w:rPr>
              <w:t>4.</w:t>
            </w:r>
            <w:r>
              <w:rPr>
                <w:color w:val="4D4D4F"/>
                <w:spacing w:val="43"/>
                <w:sz w:val="20"/>
              </w:rPr>
              <w:t xml:space="preserve">  </w:t>
            </w:r>
            <w:r>
              <w:rPr>
                <w:sz w:val="20"/>
              </w:rPr>
              <w:t>I</w:t>
            </w:r>
            <w:r>
              <w:rPr>
                <w:spacing w:val="1"/>
                <w:sz w:val="20"/>
              </w:rPr>
              <w:t xml:space="preserve"> </w:t>
            </w:r>
            <w:r>
              <w:rPr>
                <w:sz w:val="20"/>
              </w:rPr>
              <w:t>will</w:t>
            </w:r>
            <w:r>
              <w:rPr>
                <w:spacing w:val="-1"/>
                <w:sz w:val="20"/>
              </w:rPr>
              <w:t xml:space="preserve"> </w:t>
            </w:r>
            <w:r>
              <w:rPr>
                <w:sz w:val="20"/>
              </w:rPr>
              <w:t>have</w:t>
            </w:r>
            <w:r>
              <w:rPr>
                <w:spacing w:val="1"/>
                <w:sz w:val="20"/>
              </w:rPr>
              <w:t xml:space="preserve"> </w:t>
            </w:r>
            <w:r>
              <w:rPr>
                <w:sz w:val="20"/>
              </w:rPr>
              <w:t xml:space="preserve">fewer problems with </w:t>
            </w:r>
            <w:r>
              <w:rPr>
                <w:spacing w:val="-5"/>
                <w:sz w:val="20"/>
              </w:rPr>
              <w:t>my</w:t>
            </w:r>
          </w:p>
          <w:p w14:paraId="7BACA26E" w14:textId="77777777" w:rsidR="00DB6E1F" w:rsidRDefault="00F666A6">
            <w:pPr>
              <w:pStyle w:val="TableParagraph"/>
              <w:spacing w:before="18" w:line="242" w:lineRule="exact"/>
              <w:ind w:left="455"/>
              <w:rPr>
                <w:sz w:val="20"/>
              </w:rPr>
            </w:pPr>
            <w:r>
              <w:rPr>
                <w:spacing w:val="-2"/>
                <w:sz w:val="20"/>
              </w:rPr>
              <w:t>family.</w:t>
            </w:r>
          </w:p>
        </w:tc>
        <w:tc>
          <w:tcPr>
            <w:tcW w:w="900" w:type="dxa"/>
          </w:tcPr>
          <w:p w14:paraId="28E04861" w14:textId="77777777" w:rsidR="00DB6E1F" w:rsidRDefault="00F666A6">
            <w:pPr>
              <w:pStyle w:val="TableParagraph"/>
              <w:spacing w:before="3"/>
              <w:ind w:left="7"/>
              <w:jc w:val="center"/>
              <w:rPr>
                <w:sz w:val="20"/>
              </w:rPr>
            </w:pPr>
            <w:r>
              <w:rPr>
                <w:w w:val="99"/>
                <w:sz w:val="20"/>
              </w:rPr>
              <w:t>1</w:t>
            </w:r>
          </w:p>
        </w:tc>
        <w:tc>
          <w:tcPr>
            <w:tcW w:w="989" w:type="dxa"/>
          </w:tcPr>
          <w:p w14:paraId="3F4572CD" w14:textId="77777777" w:rsidR="00DB6E1F" w:rsidRDefault="00F666A6">
            <w:pPr>
              <w:pStyle w:val="TableParagraph"/>
              <w:spacing w:before="3"/>
              <w:ind w:left="9"/>
              <w:jc w:val="center"/>
              <w:rPr>
                <w:sz w:val="20"/>
              </w:rPr>
            </w:pPr>
            <w:r>
              <w:rPr>
                <w:w w:val="99"/>
                <w:sz w:val="20"/>
              </w:rPr>
              <w:t>2</w:t>
            </w:r>
          </w:p>
        </w:tc>
        <w:tc>
          <w:tcPr>
            <w:tcW w:w="991" w:type="dxa"/>
          </w:tcPr>
          <w:p w14:paraId="6651F9D6" w14:textId="77777777" w:rsidR="00DB6E1F" w:rsidRDefault="00F666A6">
            <w:pPr>
              <w:pStyle w:val="TableParagraph"/>
              <w:spacing w:before="3"/>
              <w:ind w:left="7"/>
              <w:jc w:val="center"/>
              <w:rPr>
                <w:sz w:val="20"/>
              </w:rPr>
            </w:pPr>
            <w:r>
              <w:rPr>
                <w:w w:val="99"/>
                <w:sz w:val="20"/>
              </w:rPr>
              <w:t>3</w:t>
            </w:r>
          </w:p>
        </w:tc>
        <w:tc>
          <w:tcPr>
            <w:tcW w:w="989" w:type="dxa"/>
          </w:tcPr>
          <w:p w14:paraId="71EA7F00" w14:textId="77777777" w:rsidR="00DB6E1F" w:rsidRDefault="00F666A6">
            <w:pPr>
              <w:pStyle w:val="TableParagraph"/>
              <w:spacing w:before="3"/>
              <w:ind w:left="9"/>
              <w:jc w:val="center"/>
              <w:rPr>
                <w:sz w:val="20"/>
              </w:rPr>
            </w:pPr>
            <w:r>
              <w:rPr>
                <w:w w:val="99"/>
                <w:sz w:val="20"/>
              </w:rPr>
              <w:t>4</w:t>
            </w:r>
          </w:p>
        </w:tc>
        <w:tc>
          <w:tcPr>
            <w:tcW w:w="900" w:type="dxa"/>
          </w:tcPr>
          <w:p w14:paraId="4C17114B" w14:textId="77777777" w:rsidR="00DB6E1F" w:rsidRDefault="00F666A6">
            <w:pPr>
              <w:pStyle w:val="TableParagraph"/>
              <w:spacing w:before="3"/>
              <w:ind w:left="7"/>
              <w:jc w:val="center"/>
              <w:rPr>
                <w:sz w:val="20"/>
              </w:rPr>
            </w:pPr>
            <w:r>
              <w:rPr>
                <w:w w:val="99"/>
                <w:sz w:val="20"/>
              </w:rPr>
              <w:t>5</w:t>
            </w:r>
          </w:p>
        </w:tc>
        <w:tc>
          <w:tcPr>
            <w:tcW w:w="900" w:type="dxa"/>
          </w:tcPr>
          <w:p w14:paraId="2BFF5279" w14:textId="77777777" w:rsidR="00DB6E1F" w:rsidRDefault="00F666A6">
            <w:pPr>
              <w:pStyle w:val="TableParagraph"/>
              <w:spacing w:before="3"/>
              <w:ind w:left="7"/>
              <w:jc w:val="center"/>
              <w:rPr>
                <w:sz w:val="20"/>
              </w:rPr>
            </w:pPr>
            <w:r>
              <w:rPr>
                <w:w w:val="99"/>
                <w:sz w:val="20"/>
              </w:rPr>
              <w:t>0</w:t>
            </w:r>
          </w:p>
        </w:tc>
      </w:tr>
      <w:tr w:rsidR="00DB6E1F" w14:paraId="7D8FBED9" w14:textId="77777777">
        <w:trPr>
          <w:trHeight w:val="263"/>
        </w:trPr>
        <w:tc>
          <w:tcPr>
            <w:tcW w:w="3691" w:type="dxa"/>
          </w:tcPr>
          <w:p w14:paraId="45BEAB28" w14:textId="77777777" w:rsidR="00DB6E1F" w:rsidRDefault="00F666A6">
            <w:pPr>
              <w:pStyle w:val="TableParagraph"/>
              <w:spacing w:line="242" w:lineRule="exact"/>
              <w:ind w:left="95"/>
              <w:rPr>
                <w:sz w:val="20"/>
              </w:rPr>
            </w:pPr>
            <w:r>
              <w:rPr>
                <w:color w:val="4D4D4F"/>
                <w:sz w:val="20"/>
              </w:rPr>
              <w:t>5.</w:t>
            </w:r>
            <w:r>
              <w:rPr>
                <w:color w:val="4D4D4F"/>
                <w:spacing w:val="45"/>
                <w:sz w:val="20"/>
              </w:rPr>
              <w:t xml:space="preserve">  </w:t>
            </w:r>
            <w:r>
              <w:rPr>
                <w:sz w:val="20"/>
              </w:rPr>
              <w:t>I</w:t>
            </w:r>
            <w:r>
              <w:rPr>
                <w:spacing w:val="1"/>
                <w:sz w:val="20"/>
              </w:rPr>
              <w:t xml:space="preserve"> </w:t>
            </w:r>
            <w:r>
              <w:rPr>
                <w:sz w:val="20"/>
              </w:rPr>
              <w:t>will feel</w:t>
            </w:r>
            <w:r>
              <w:rPr>
                <w:spacing w:val="1"/>
                <w:sz w:val="20"/>
              </w:rPr>
              <w:t xml:space="preserve"> </w:t>
            </w:r>
            <w:r>
              <w:rPr>
                <w:sz w:val="20"/>
              </w:rPr>
              <w:t>frustrated</w:t>
            </w:r>
            <w:r>
              <w:rPr>
                <w:spacing w:val="1"/>
                <w:sz w:val="20"/>
              </w:rPr>
              <w:t xml:space="preserve"> </w:t>
            </w:r>
            <w:r>
              <w:rPr>
                <w:sz w:val="20"/>
              </w:rPr>
              <w:t>and</w:t>
            </w:r>
            <w:r>
              <w:rPr>
                <w:spacing w:val="1"/>
                <w:sz w:val="20"/>
              </w:rPr>
              <w:t xml:space="preserve"> </w:t>
            </w:r>
            <w:r>
              <w:rPr>
                <w:spacing w:val="-2"/>
                <w:sz w:val="20"/>
              </w:rPr>
              <w:t>anxious.</w:t>
            </w:r>
          </w:p>
        </w:tc>
        <w:tc>
          <w:tcPr>
            <w:tcW w:w="900" w:type="dxa"/>
          </w:tcPr>
          <w:p w14:paraId="3EB8E709" w14:textId="77777777" w:rsidR="00DB6E1F" w:rsidRDefault="00F666A6">
            <w:pPr>
              <w:pStyle w:val="TableParagraph"/>
              <w:spacing w:line="242" w:lineRule="exact"/>
              <w:ind w:left="7"/>
              <w:jc w:val="center"/>
              <w:rPr>
                <w:sz w:val="20"/>
              </w:rPr>
            </w:pPr>
            <w:r>
              <w:rPr>
                <w:w w:val="99"/>
                <w:sz w:val="20"/>
              </w:rPr>
              <w:t>1</w:t>
            </w:r>
          </w:p>
        </w:tc>
        <w:tc>
          <w:tcPr>
            <w:tcW w:w="989" w:type="dxa"/>
          </w:tcPr>
          <w:p w14:paraId="56842560" w14:textId="77777777" w:rsidR="00DB6E1F" w:rsidRDefault="00F666A6">
            <w:pPr>
              <w:pStyle w:val="TableParagraph"/>
              <w:spacing w:line="242" w:lineRule="exact"/>
              <w:ind w:left="9"/>
              <w:jc w:val="center"/>
              <w:rPr>
                <w:sz w:val="20"/>
              </w:rPr>
            </w:pPr>
            <w:r>
              <w:rPr>
                <w:w w:val="99"/>
                <w:sz w:val="20"/>
              </w:rPr>
              <w:t>2</w:t>
            </w:r>
          </w:p>
        </w:tc>
        <w:tc>
          <w:tcPr>
            <w:tcW w:w="991" w:type="dxa"/>
          </w:tcPr>
          <w:p w14:paraId="269ABD4D" w14:textId="77777777" w:rsidR="00DB6E1F" w:rsidRDefault="00F666A6">
            <w:pPr>
              <w:pStyle w:val="TableParagraph"/>
              <w:spacing w:line="242" w:lineRule="exact"/>
              <w:ind w:left="7"/>
              <w:jc w:val="center"/>
              <w:rPr>
                <w:sz w:val="20"/>
              </w:rPr>
            </w:pPr>
            <w:r>
              <w:rPr>
                <w:w w:val="99"/>
                <w:sz w:val="20"/>
              </w:rPr>
              <w:t>3</w:t>
            </w:r>
          </w:p>
        </w:tc>
        <w:tc>
          <w:tcPr>
            <w:tcW w:w="989" w:type="dxa"/>
          </w:tcPr>
          <w:p w14:paraId="195CFC41" w14:textId="77777777" w:rsidR="00DB6E1F" w:rsidRDefault="00F666A6">
            <w:pPr>
              <w:pStyle w:val="TableParagraph"/>
              <w:spacing w:line="242" w:lineRule="exact"/>
              <w:ind w:left="9"/>
              <w:jc w:val="center"/>
              <w:rPr>
                <w:sz w:val="20"/>
              </w:rPr>
            </w:pPr>
            <w:r>
              <w:rPr>
                <w:w w:val="99"/>
                <w:sz w:val="20"/>
              </w:rPr>
              <w:t>4</w:t>
            </w:r>
          </w:p>
        </w:tc>
        <w:tc>
          <w:tcPr>
            <w:tcW w:w="900" w:type="dxa"/>
          </w:tcPr>
          <w:p w14:paraId="1F4615D1" w14:textId="77777777" w:rsidR="00DB6E1F" w:rsidRDefault="00F666A6">
            <w:pPr>
              <w:pStyle w:val="TableParagraph"/>
              <w:spacing w:line="242" w:lineRule="exact"/>
              <w:ind w:left="7"/>
              <w:jc w:val="center"/>
              <w:rPr>
                <w:sz w:val="20"/>
              </w:rPr>
            </w:pPr>
            <w:r>
              <w:rPr>
                <w:w w:val="99"/>
                <w:sz w:val="20"/>
              </w:rPr>
              <w:t>5</w:t>
            </w:r>
          </w:p>
        </w:tc>
        <w:tc>
          <w:tcPr>
            <w:tcW w:w="900" w:type="dxa"/>
          </w:tcPr>
          <w:p w14:paraId="5EBFC259" w14:textId="77777777" w:rsidR="00DB6E1F" w:rsidRDefault="00F666A6">
            <w:pPr>
              <w:pStyle w:val="TableParagraph"/>
              <w:spacing w:line="242" w:lineRule="exact"/>
              <w:ind w:left="7"/>
              <w:jc w:val="center"/>
              <w:rPr>
                <w:sz w:val="20"/>
              </w:rPr>
            </w:pPr>
            <w:r>
              <w:rPr>
                <w:w w:val="99"/>
                <w:sz w:val="20"/>
              </w:rPr>
              <w:t>0</w:t>
            </w:r>
          </w:p>
        </w:tc>
      </w:tr>
      <w:tr w:rsidR="00DB6E1F" w14:paraId="464A5938" w14:textId="77777777">
        <w:trPr>
          <w:trHeight w:val="527"/>
        </w:trPr>
        <w:tc>
          <w:tcPr>
            <w:tcW w:w="3691" w:type="dxa"/>
          </w:tcPr>
          <w:p w14:paraId="0E9987F7" w14:textId="77777777" w:rsidR="00DB6E1F" w:rsidRDefault="00F666A6">
            <w:pPr>
              <w:pStyle w:val="TableParagraph"/>
              <w:ind w:left="95"/>
              <w:rPr>
                <w:sz w:val="20"/>
              </w:rPr>
            </w:pPr>
            <w:r>
              <w:rPr>
                <w:color w:val="4D4D4F"/>
                <w:sz w:val="20"/>
              </w:rPr>
              <w:t>6.</w:t>
            </w:r>
            <w:r>
              <w:rPr>
                <w:color w:val="4D4D4F"/>
                <w:spacing w:val="44"/>
                <w:sz w:val="20"/>
              </w:rPr>
              <w:t xml:space="preserve">  </w:t>
            </w:r>
            <w:r>
              <w:rPr>
                <w:sz w:val="20"/>
              </w:rPr>
              <w:t>I will have</w:t>
            </w:r>
            <w:r>
              <w:rPr>
                <w:spacing w:val="1"/>
                <w:sz w:val="20"/>
              </w:rPr>
              <w:t xml:space="preserve"> </w:t>
            </w:r>
            <w:r>
              <w:rPr>
                <w:sz w:val="20"/>
              </w:rPr>
              <w:t>more</w:t>
            </w:r>
            <w:r>
              <w:rPr>
                <w:spacing w:val="2"/>
                <w:sz w:val="20"/>
              </w:rPr>
              <w:t xml:space="preserve"> </w:t>
            </w:r>
            <w:r>
              <w:rPr>
                <w:sz w:val="20"/>
              </w:rPr>
              <w:t xml:space="preserve">money to do </w:t>
            </w:r>
            <w:r>
              <w:rPr>
                <w:spacing w:val="-2"/>
                <w:sz w:val="20"/>
              </w:rPr>
              <w:t>other</w:t>
            </w:r>
          </w:p>
          <w:p w14:paraId="3301CF65" w14:textId="77777777" w:rsidR="00DB6E1F" w:rsidRDefault="00F666A6">
            <w:pPr>
              <w:pStyle w:val="TableParagraph"/>
              <w:spacing w:before="20" w:line="242" w:lineRule="exact"/>
              <w:ind w:left="455"/>
              <w:rPr>
                <w:sz w:val="20"/>
              </w:rPr>
            </w:pPr>
            <w:r>
              <w:rPr>
                <w:sz w:val="20"/>
              </w:rPr>
              <w:t>things</w:t>
            </w:r>
            <w:r>
              <w:rPr>
                <w:spacing w:val="-8"/>
                <w:sz w:val="20"/>
              </w:rPr>
              <w:t xml:space="preserve"> </w:t>
            </w:r>
            <w:r>
              <w:rPr>
                <w:spacing w:val="-2"/>
                <w:sz w:val="20"/>
              </w:rPr>
              <w:t>with.</w:t>
            </w:r>
          </w:p>
        </w:tc>
        <w:tc>
          <w:tcPr>
            <w:tcW w:w="900" w:type="dxa"/>
          </w:tcPr>
          <w:p w14:paraId="677E262A" w14:textId="77777777" w:rsidR="00DB6E1F" w:rsidRDefault="00F666A6">
            <w:pPr>
              <w:pStyle w:val="TableParagraph"/>
              <w:ind w:left="7"/>
              <w:jc w:val="center"/>
              <w:rPr>
                <w:sz w:val="20"/>
              </w:rPr>
            </w:pPr>
            <w:r>
              <w:rPr>
                <w:w w:val="99"/>
                <w:sz w:val="20"/>
              </w:rPr>
              <w:t>1</w:t>
            </w:r>
          </w:p>
        </w:tc>
        <w:tc>
          <w:tcPr>
            <w:tcW w:w="989" w:type="dxa"/>
          </w:tcPr>
          <w:p w14:paraId="6D8AF63E" w14:textId="77777777" w:rsidR="00DB6E1F" w:rsidRDefault="00F666A6">
            <w:pPr>
              <w:pStyle w:val="TableParagraph"/>
              <w:ind w:left="9"/>
              <w:jc w:val="center"/>
              <w:rPr>
                <w:sz w:val="20"/>
              </w:rPr>
            </w:pPr>
            <w:r>
              <w:rPr>
                <w:w w:val="99"/>
                <w:sz w:val="20"/>
              </w:rPr>
              <w:t>2</w:t>
            </w:r>
          </w:p>
        </w:tc>
        <w:tc>
          <w:tcPr>
            <w:tcW w:w="991" w:type="dxa"/>
          </w:tcPr>
          <w:p w14:paraId="07159253" w14:textId="77777777" w:rsidR="00DB6E1F" w:rsidRDefault="00F666A6">
            <w:pPr>
              <w:pStyle w:val="TableParagraph"/>
              <w:ind w:left="7"/>
              <w:jc w:val="center"/>
              <w:rPr>
                <w:sz w:val="20"/>
              </w:rPr>
            </w:pPr>
            <w:r>
              <w:rPr>
                <w:w w:val="99"/>
                <w:sz w:val="20"/>
              </w:rPr>
              <w:t>3</w:t>
            </w:r>
          </w:p>
        </w:tc>
        <w:tc>
          <w:tcPr>
            <w:tcW w:w="989" w:type="dxa"/>
          </w:tcPr>
          <w:p w14:paraId="619B3FE9" w14:textId="77777777" w:rsidR="00DB6E1F" w:rsidRDefault="00F666A6">
            <w:pPr>
              <w:pStyle w:val="TableParagraph"/>
              <w:ind w:left="9"/>
              <w:jc w:val="center"/>
              <w:rPr>
                <w:sz w:val="20"/>
              </w:rPr>
            </w:pPr>
            <w:r>
              <w:rPr>
                <w:w w:val="99"/>
                <w:sz w:val="20"/>
              </w:rPr>
              <w:t>4</w:t>
            </w:r>
          </w:p>
        </w:tc>
        <w:tc>
          <w:tcPr>
            <w:tcW w:w="900" w:type="dxa"/>
          </w:tcPr>
          <w:p w14:paraId="1BEFAB9B" w14:textId="77777777" w:rsidR="00DB6E1F" w:rsidRDefault="00F666A6">
            <w:pPr>
              <w:pStyle w:val="TableParagraph"/>
              <w:ind w:left="7"/>
              <w:jc w:val="center"/>
              <w:rPr>
                <w:sz w:val="20"/>
              </w:rPr>
            </w:pPr>
            <w:r>
              <w:rPr>
                <w:w w:val="99"/>
                <w:sz w:val="20"/>
              </w:rPr>
              <w:t>5</w:t>
            </w:r>
          </w:p>
        </w:tc>
        <w:tc>
          <w:tcPr>
            <w:tcW w:w="900" w:type="dxa"/>
          </w:tcPr>
          <w:p w14:paraId="54972A9B" w14:textId="77777777" w:rsidR="00DB6E1F" w:rsidRDefault="00F666A6">
            <w:pPr>
              <w:pStyle w:val="TableParagraph"/>
              <w:ind w:left="7"/>
              <w:jc w:val="center"/>
              <w:rPr>
                <w:sz w:val="20"/>
              </w:rPr>
            </w:pPr>
            <w:r>
              <w:rPr>
                <w:w w:val="99"/>
                <w:sz w:val="20"/>
              </w:rPr>
              <w:t>0</w:t>
            </w:r>
          </w:p>
        </w:tc>
      </w:tr>
      <w:tr w:rsidR="00DB6E1F" w14:paraId="4F91D008" w14:textId="77777777">
        <w:trPr>
          <w:trHeight w:val="263"/>
        </w:trPr>
        <w:tc>
          <w:tcPr>
            <w:tcW w:w="3691" w:type="dxa"/>
          </w:tcPr>
          <w:p w14:paraId="2D4D9C2D" w14:textId="77777777" w:rsidR="00DB6E1F" w:rsidRDefault="00F666A6">
            <w:pPr>
              <w:pStyle w:val="TableParagraph"/>
              <w:spacing w:line="242" w:lineRule="exact"/>
              <w:ind w:left="95"/>
              <w:rPr>
                <w:sz w:val="20"/>
              </w:rPr>
            </w:pPr>
            <w:r>
              <w:rPr>
                <w:color w:val="4D4D4F"/>
                <w:sz w:val="20"/>
              </w:rPr>
              <w:t>7.</w:t>
            </w:r>
            <w:r>
              <w:rPr>
                <w:color w:val="4D4D4F"/>
                <w:spacing w:val="46"/>
                <w:sz w:val="20"/>
              </w:rPr>
              <w:t xml:space="preserve">  </w:t>
            </w:r>
            <w:r>
              <w:rPr>
                <w:sz w:val="20"/>
              </w:rPr>
              <w:t>I will be more</w:t>
            </w:r>
            <w:r>
              <w:rPr>
                <w:spacing w:val="-1"/>
                <w:sz w:val="20"/>
              </w:rPr>
              <w:t xml:space="preserve"> </w:t>
            </w:r>
            <w:r>
              <w:rPr>
                <w:sz w:val="20"/>
              </w:rPr>
              <w:t>active and</w:t>
            </w:r>
            <w:r>
              <w:rPr>
                <w:spacing w:val="1"/>
                <w:sz w:val="20"/>
              </w:rPr>
              <w:t xml:space="preserve"> </w:t>
            </w:r>
            <w:r>
              <w:rPr>
                <w:spacing w:val="-2"/>
                <w:sz w:val="20"/>
              </w:rPr>
              <w:t>alert.</w:t>
            </w:r>
          </w:p>
        </w:tc>
        <w:tc>
          <w:tcPr>
            <w:tcW w:w="900" w:type="dxa"/>
          </w:tcPr>
          <w:p w14:paraId="156D343B" w14:textId="77777777" w:rsidR="00DB6E1F" w:rsidRDefault="00F666A6">
            <w:pPr>
              <w:pStyle w:val="TableParagraph"/>
              <w:spacing w:line="242" w:lineRule="exact"/>
              <w:ind w:left="7"/>
              <w:jc w:val="center"/>
              <w:rPr>
                <w:sz w:val="20"/>
              </w:rPr>
            </w:pPr>
            <w:r>
              <w:rPr>
                <w:w w:val="99"/>
                <w:sz w:val="20"/>
              </w:rPr>
              <w:t>1</w:t>
            </w:r>
          </w:p>
        </w:tc>
        <w:tc>
          <w:tcPr>
            <w:tcW w:w="989" w:type="dxa"/>
          </w:tcPr>
          <w:p w14:paraId="197972A9" w14:textId="77777777" w:rsidR="00DB6E1F" w:rsidRDefault="00F666A6">
            <w:pPr>
              <w:pStyle w:val="TableParagraph"/>
              <w:spacing w:line="242" w:lineRule="exact"/>
              <w:ind w:left="9"/>
              <w:jc w:val="center"/>
              <w:rPr>
                <w:sz w:val="20"/>
              </w:rPr>
            </w:pPr>
            <w:r>
              <w:rPr>
                <w:w w:val="99"/>
                <w:sz w:val="20"/>
              </w:rPr>
              <w:t>2</w:t>
            </w:r>
          </w:p>
        </w:tc>
        <w:tc>
          <w:tcPr>
            <w:tcW w:w="991" w:type="dxa"/>
          </w:tcPr>
          <w:p w14:paraId="63306BD9" w14:textId="77777777" w:rsidR="00DB6E1F" w:rsidRDefault="00F666A6">
            <w:pPr>
              <w:pStyle w:val="TableParagraph"/>
              <w:spacing w:line="242" w:lineRule="exact"/>
              <w:ind w:left="7"/>
              <w:jc w:val="center"/>
              <w:rPr>
                <w:sz w:val="20"/>
              </w:rPr>
            </w:pPr>
            <w:r>
              <w:rPr>
                <w:w w:val="99"/>
                <w:sz w:val="20"/>
              </w:rPr>
              <w:t>3</w:t>
            </w:r>
          </w:p>
        </w:tc>
        <w:tc>
          <w:tcPr>
            <w:tcW w:w="989" w:type="dxa"/>
          </w:tcPr>
          <w:p w14:paraId="53A65559" w14:textId="77777777" w:rsidR="00DB6E1F" w:rsidRDefault="00F666A6">
            <w:pPr>
              <w:pStyle w:val="TableParagraph"/>
              <w:spacing w:line="242" w:lineRule="exact"/>
              <w:ind w:left="9"/>
              <w:jc w:val="center"/>
              <w:rPr>
                <w:sz w:val="20"/>
              </w:rPr>
            </w:pPr>
            <w:r>
              <w:rPr>
                <w:w w:val="99"/>
                <w:sz w:val="20"/>
              </w:rPr>
              <w:t>4</w:t>
            </w:r>
          </w:p>
        </w:tc>
        <w:tc>
          <w:tcPr>
            <w:tcW w:w="900" w:type="dxa"/>
          </w:tcPr>
          <w:p w14:paraId="2F25184A" w14:textId="77777777" w:rsidR="00DB6E1F" w:rsidRDefault="00F666A6">
            <w:pPr>
              <w:pStyle w:val="TableParagraph"/>
              <w:spacing w:line="242" w:lineRule="exact"/>
              <w:ind w:left="7"/>
              <w:jc w:val="center"/>
              <w:rPr>
                <w:sz w:val="20"/>
              </w:rPr>
            </w:pPr>
            <w:r>
              <w:rPr>
                <w:w w:val="99"/>
                <w:sz w:val="20"/>
              </w:rPr>
              <w:t>5</w:t>
            </w:r>
          </w:p>
        </w:tc>
        <w:tc>
          <w:tcPr>
            <w:tcW w:w="900" w:type="dxa"/>
          </w:tcPr>
          <w:p w14:paraId="3D21AA5F" w14:textId="77777777" w:rsidR="00DB6E1F" w:rsidRDefault="00F666A6">
            <w:pPr>
              <w:pStyle w:val="TableParagraph"/>
              <w:spacing w:line="242" w:lineRule="exact"/>
              <w:ind w:left="7"/>
              <w:jc w:val="center"/>
              <w:rPr>
                <w:sz w:val="20"/>
              </w:rPr>
            </w:pPr>
            <w:r>
              <w:rPr>
                <w:w w:val="99"/>
                <w:sz w:val="20"/>
              </w:rPr>
              <w:t>0</w:t>
            </w:r>
          </w:p>
        </w:tc>
      </w:tr>
      <w:tr w:rsidR="00DB6E1F" w14:paraId="14522178" w14:textId="77777777">
        <w:trPr>
          <w:trHeight w:val="263"/>
        </w:trPr>
        <w:tc>
          <w:tcPr>
            <w:tcW w:w="3691" w:type="dxa"/>
          </w:tcPr>
          <w:p w14:paraId="27E6B4B9" w14:textId="77777777" w:rsidR="00DB6E1F" w:rsidRDefault="00F666A6">
            <w:pPr>
              <w:pStyle w:val="TableParagraph"/>
              <w:spacing w:line="242" w:lineRule="exact"/>
              <w:ind w:left="95"/>
              <w:rPr>
                <w:sz w:val="20"/>
              </w:rPr>
            </w:pPr>
            <w:r>
              <w:rPr>
                <w:color w:val="4D4D4F"/>
                <w:sz w:val="20"/>
              </w:rPr>
              <w:t>8.</w:t>
            </w:r>
            <w:r>
              <w:rPr>
                <w:color w:val="4D4D4F"/>
                <w:spacing w:val="49"/>
                <w:sz w:val="20"/>
              </w:rPr>
              <w:t xml:space="preserve">  </w:t>
            </w:r>
            <w:r>
              <w:rPr>
                <w:sz w:val="20"/>
              </w:rPr>
              <w:t>I</w:t>
            </w:r>
            <w:r>
              <w:rPr>
                <w:spacing w:val="2"/>
                <w:sz w:val="20"/>
              </w:rPr>
              <w:t xml:space="preserve"> </w:t>
            </w:r>
            <w:r>
              <w:rPr>
                <w:sz w:val="20"/>
              </w:rPr>
              <w:t>will</w:t>
            </w:r>
            <w:r>
              <w:rPr>
                <w:spacing w:val="2"/>
                <w:sz w:val="20"/>
              </w:rPr>
              <w:t xml:space="preserve"> </w:t>
            </w:r>
            <w:r>
              <w:rPr>
                <w:sz w:val="20"/>
              </w:rPr>
              <w:t>get</w:t>
            </w:r>
            <w:r>
              <w:rPr>
                <w:spacing w:val="2"/>
                <w:sz w:val="20"/>
              </w:rPr>
              <w:t xml:space="preserve"> </w:t>
            </w:r>
            <w:r>
              <w:rPr>
                <w:spacing w:val="-2"/>
                <w:sz w:val="20"/>
              </w:rPr>
              <w:t>depressed.</w:t>
            </w:r>
          </w:p>
        </w:tc>
        <w:tc>
          <w:tcPr>
            <w:tcW w:w="900" w:type="dxa"/>
          </w:tcPr>
          <w:p w14:paraId="58AFF3AC" w14:textId="77777777" w:rsidR="00DB6E1F" w:rsidRDefault="00F666A6">
            <w:pPr>
              <w:pStyle w:val="TableParagraph"/>
              <w:spacing w:line="242" w:lineRule="exact"/>
              <w:ind w:left="7"/>
              <w:jc w:val="center"/>
              <w:rPr>
                <w:sz w:val="20"/>
              </w:rPr>
            </w:pPr>
            <w:r>
              <w:rPr>
                <w:w w:val="99"/>
                <w:sz w:val="20"/>
              </w:rPr>
              <w:t>1</w:t>
            </w:r>
          </w:p>
        </w:tc>
        <w:tc>
          <w:tcPr>
            <w:tcW w:w="989" w:type="dxa"/>
          </w:tcPr>
          <w:p w14:paraId="7123FED9" w14:textId="77777777" w:rsidR="00DB6E1F" w:rsidRDefault="00F666A6">
            <w:pPr>
              <w:pStyle w:val="TableParagraph"/>
              <w:spacing w:line="242" w:lineRule="exact"/>
              <w:ind w:left="9"/>
              <w:jc w:val="center"/>
              <w:rPr>
                <w:sz w:val="20"/>
              </w:rPr>
            </w:pPr>
            <w:r>
              <w:rPr>
                <w:w w:val="99"/>
                <w:sz w:val="20"/>
              </w:rPr>
              <w:t>2</w:t>
            </w:r>
          </w:p>
        </w:tc>
        <w:tc>
          <w:tcPr>
            <w:tcW w:w="991" w:type="dxa"/>
          </w:tcPr>
          <w:p w14:paraId="0CF4C438" w14:textId="77777777" w:rsidR="00DB6E1F" w:rsidRDefault="00F666A6">
            <w:pPr>
              <w:pStyle w:val="TableParagraph"/>
              <w:spacing w:line="242" w:lineRule="exact"/>
              <w:ind w:left="7"/>
              <w:jc w:val="center"/>
              <w:rPr>
                <w:sz w:val="20"/>
              </w:rPr>
            </w:pPr>
            <w:r>
              <w:rPr>
                <w:w w:val="99"/>
                <w:sz w:val="20"/>
              </w:rPr>
              <w:t>3</w:t>
            </w:r>
          </w:p>
        </w:tc>
        <w:tc>
          <w:tcPr>
            <w:tcW w:w="989" w:type="dxa"/>
          </w:tcPr>
          <w:p w14:paraId="251855B6" w14:textId="77777777" w:rsidR="00DB6E1F" w:rsidRDefault="00F666A6">
            <w:pPr>
              <w:pStyle w:val="TableParagraph"/>
              <w:spacing w:line="242" w:lineRule="exact"/>
              <w:ind w:left="9"/>
              <w:jc w:val="center"/>
              <w:rPr>
                <w:sz w:val="20"/>
              </w:rPr>
            </w:pPr>
            <w:r>
              <w:rPr>
                <w:w w:val="99"/>
                <w:sz w:val="20"/>
              </w:rPr>
              <w:t>4</w:t>
            </w:r>
          </w:p>
        </w:tc>
        <w:tc>
          <w:tcPr>
            <w:tcW w:w="900" w:type="dxa"/>
          </w:tcPr>
          <w:p w14:paraId="319CF7E4" w14:textId="77777777" w:rsidR="00DB6E1F" w:rsidRDefault="00F666A6">
            <w:pPr>
              <w:pStyle w:val="TableParagraph"/>
              <w:spacing w:line="242" w:lineRule="exact"/>
              <w:ind w:left="7"/>
              <w:jc w:val="center"/>
              <w:rPr>
                <w:sz w:val="20"/>
              </w:rPr>
            </w:pPr>
            <w:r>
              <w:rPr>
                <w:w w:val="99"/>
                <w:sz w:val="20"/>
              </w:rPr>
              <w:t>5</w:t>
            </w:r>
          </w:p>
        </w:tc>
        <w:tc>
          <w:tcPr>
            <w:tcW w:w="900" w:type="dxa"/>
          </w:tcPr>
          <w:p w14:paraId="6DDEB852" w14:textId="77777777" w:rsidR="00DB6E1F" w:rsidRDefault="00F666A6">
            <w:pPr>
              <w:pStyle w:val="TableParagraph"/>
              <w:spacing w:line="242" w:lineRule="exact"/>
              <w:ind w:left="7"/>
              <w:jc w:val="center"/>
              <w:rPr>
                <w:sz w:val="20"/>
              </w:rPr>
            </w:pPr>
            <w:r>
              <w:rPr>
                <w:w w:val="99"/>
                <w:sz w:val="20"/>
              </w:rPr>
              <w:t>0</w:t>
            </w:r>
          </w:p>
        </w:tc>
      </w:tr>
      <w:tr w:rsidR="00DB6E1F" w14:paraId="6B242C94" w14:textId="77777777">
        <w:trPr>
          <w:trHeight w:val="263"/>
        </w:trPr>
        <w:tc>
          <w:tcPr>
            <w:tcW w:w="3691" w:type="dxa"/>
          </w:tcPr>
          <w:p w14:paraId="2DDABFDA" w14:textId="77777777" w:rsidR="00DB6E1F" w:rsidRDefault="00F666A6">
            <w:pPr>
              <w:pStyle w:val="TableParagraph"/>
              <w:spacing w:line="242" w:lineRule="exact"/>
              <w:ind w:left="95"/>
              <w:rPr>
                <w:sz w:val="20"/>
              </w:rPr>
            </w:pPr>
            <w:r>
              <w:rPr>
                <w:color w:val="4D4D4F"/>
                <w:sz w:val="20"/>
              </w:rPr>
              <w:t>9.</w:t>
            </w:r>
            <w:r>
              <w:rPr>
                <w:color w:val="4D4D4F"/>
                <w:spacing w:val="43"/>
                <w:sz w:val="20"/>
              </w:rPr>
              <w:t xml:space="preserve">  </w:t>
            </w:r>
            <w:r>
              <w:rPr>
                <w:sz w:val="20"/>
              </w:rPr>
              <w:t>I</w:t>
            </w:r>
            <w:r>
              <w:rPr>
                <w:spacing w:val="1"/>
                <w:sz w:val="20"/>
              </w:rPr>
              <w:t xml:space="preserve"> </w:t>
            </w:r>
            <w:r>
              <w:rPr>
                <w:sz w:val="20"/>
              </w:rPr>
              <w:t>will</w:t>
            </w:r>
            <w:r>
              <w:rPr>
                <w:spacing w:val="-1"/>
                <w:sz w:val="20"/>
              </w:rPr>
              <w:t xml:space="preserve"> </w:t>
            </w:r>
            <w:r>
              <w:rPr>
                <w:sz w:val="20"/>
              </w:rPr>
              <w:t>have</w:t>
            </w:r>
            <w:r>
              <w:rPr>
                <w:spacing w:val="1"/>
                <w:sz w:val="20"/>
              </w:rPr>
              <w:t xml:space="preserve"> </w:t>
            </w:r>
            <w:r>
              <w:rPr>
                <w:sz w:val="20"/>
              </w:rPr>
              <w:t xml:space="preserve">fewer problems with </w:t>
            </w:r>
            <w:r>
              <w:rPr>
                <w:spacing w:val="-2"/>
                <w:sz w:val="20"/>
              </w:rPr>
              <w:t>friends.</w:t>
            </w:r>
          </w:p>
        </w:tc>
        <w:tc>
          <w:tcPr>
            <w:tcW w:w="900" w:type="dxa"/>
          </w:tcPr>
          <w:p w14:paraId="3BFEDE12" w14:textId="77777777" w:rsidR="00DB6E1F" w:rsidRDefault="00F666A6">
            <w:pPr>
              <w:pStyle w:val="TableParagraph"/>
              <w:spacing w:line="242" w:lineRule="exact"/>
              <w:ind w:left="7"/>
              <w:jc w:val="center"/>
              <w:rPr>
                <w:sz w:val="20"/>
              </w:rPr>
            </w:pPr>
            <w:r>
              <w:rPr>
                <w:w w:val="99"/>
                <w:sz w:val="20"/>
              </w:rPr>
              <w:t>1</w:t>
            </w:r>
          </w:p>
        </w:tc>
        <w:tc>
          <w:tcPr>
            <w:tcW w:w="989" w:type="dxa"/>
          </w:tcPr>
          <w:p w14:paraId="3B9A2424" w14:textId="77777777" w:rsidR="00DB6E1F" w:rsidRDefault="00F666A6">
            <w:pPr>
              <w:pStyle w:val="TableParagraph"/>
              <w:spacing w:line="242" w:lineRule="exact"/>
              <w:ind w:left="9"/>
              <w:jc w:val="center"/>
              <w:rPr>
                <w:sz w:val="20"/>
              </w:rPr>
            </w:pPr>
            <w:r>
              <w:rPr>
                <w:w w:val="99"/>
                <w:sz w:val="20"/>
              </w:rPr>
              <w:t>2</w:t>
            </w:r>
          </w:p>
        </w:tc>
        <w:tc>
          <w:tcPr>
            <w:tcW w:w="991" w:type="dxa"/>
          </w:tcPr>
          <w:p w14:paraId="23695D7C" w14:textId="77777777" w:rsidR="00DB6E1F" w:rsidRDefault="00F666A6">
            <w:pPr>
              <w:pStyle w:val="TableParagraph"/>
              <w:spacing w:line="242" w:lineRule="exact"/>
              <w:ind w:left="7"/>
              <w:jc w:val="center"/>
              <w:rPr>
                <w:sz w:val="20"/>
              </w:rPr>
            </w:pPr>
            <w:r>
              <w:rPr>
                <w:w w:val="99"/>
                <w:sz w:val="20"/>
              </w:rPr>
              <w:t>3</w:t>
            </w:r>
          </w:p>
        </w:tc>
        <w:tc>
          <w:tcPr>
            <w:tcW w:w="989" w:type="dxa"/>
          </w:tcPr>
          <w:p w14:paraId="1C3420CF" w14:textId="77777777" w:rsidR="00DB6E1F" w:rsidRDefault="00F666A6">
            <w:pPr>
              <w:pStyle w:val="TableParagraph"/>
              <w:spacing w:line="242" w:lineRule="exact"/>
              <w:ind w:left="9"/>
              <w:jc w:val="center"/>
              <w:rPr>
                <w:sz w:val="20"/>
              </w:rPr>
            </w:pPr>
            <w:r>
              <w:rPr>
                <w:w w:val="99"/>
                <w:sz w:val="20"/>
              </w:rPr>
              <w:t>4</w:t>
            </w:r>
          </w:p>
        </w:tc>
        <w:tc>
          <w:tcPr>
            <w:tcW w:w="900" w:type="dxa"/>
          </w:tcPr>
          <w:p w14:paraId="16DB78F9" w14:textId="77777777" w:rsidR="00DB6E1F" w:rsidRDefault="00F666A6">
            <w:pPr>
              <w:pStyle w:val="TableParagraph"/>
              <w:spacing w:line="242" w:lineRule="exact"/>
              <w:ind w:left="7"/>
              <w:jc w:val="center"/>
              <w:rPr>
                <w:sz w:val="20"/>
              </w:rPr>
            </w:pPr>
            <w:r>
              <w:rPr>
                <w:w w:val="99"/>
                <w:sz w:val="20"/>
              </w:rPr>
              <w:t>5</w:t>
            </w:r>
          </w:p>
        </w:tc>
        <w:tc>
          <w:tcPr>
            <w:tcW w:w="900" w:type="dxa"/>
          </w:tcPr>
          <w:p w14:paraId="7CBC9EC7" w14:textId="77777777" w:rsidR="00DB6E1F" w:rsidRDefault="00F666A6">
            <w:pPr>
              <w:pStyle w:val="TableParagraph"/>
              <w:spacing w:line="242" w:lineRule="exact"/>
              <w:ind w:left="7"/>
              <w:jc w:val="center"/>
              <w:rPr>
                <w:sz w:val="20"/>
              </w:rPr>
            </w:pPr>
            <w:r>
              <w:rPr>
                <w:w w:val="99"/>
                <w:sz w:val="20"/>
              </w:rPr>
              <w:t>0</w:t>
            </w:r>
          </w:p>
        </w:tc>
      </w:tr>
      <w:tr w:rsidR="00DB6E1F" w14:paraId="3E067A98" w14:textId="77777777">
        <w:trPr>
          <w:trHeight w:val="263"/>
        </w:trPr>
        <w:tc>
          <w:tcPr>
            <w:tcW w:w="3691" w:type="dxa"/>
          </w:tcPr>
          <w:p w14:paraId="65CF265F" w14:textId="77777777" w:rsidR="00DB6E1F" w:rsidRDefault="00F666A6">
            <w:pPr>
              <w:pStyle w:val="TableParagraph"/>
              <w:spacing w:line="242" w:lineRule="exact"/>
              <w:ind w:left="163"/>
              <w:rPr>
                <w:sz w:val="20"/>
              </w:rPr>
            </w:pPr>
            <w:r>
              <w:rPr>
                <w:color w:val="4D4D4F"/>
                <w:sz w:val="20"/>
              </w:rPr>
              <w:t>10.</w:t>
            </w:r>
            <w:r>
              <w:rPr>
                <w:color w:val="4D4D4F"/>
                <w:spacing w:val="20"/>
                <w:sz w:val="20"/>
              </w:rPr>
              <w:t xml:space="preserve"> </w:t>
            </w:r>
            <w:r>
              <w:rPr>
                <w:color w:val="221F1F"/>
                <w:sz w:val="20"/>
              </w:rPr>
              <w:t>I</w:t>
            </w:r>
            <w:r>
              <w:rPr>
                <w:color w:val="221F1F"/>
                <w:spacing w:val="4"/>
                <w:sz w:val="20"/>
              </w:rPr>
              <w:t xml:space="preserve"> </w:t>
            </w:r>
            <w:r>
              <w:rPr>
                <w:color w:val="221F1F"/>
                <w:sz w:val="20"/>
              </w:rPr>
              <w:t>will</w:t>
            </w:r>
            <w:r>
              <w:rPr>
                <w:color w:val="221F1F"/>
                <w:spacing w:val="3"/>
                <w:sz w:val="20"/>
              </w:rPr>
              <w:t xml:space="preserve"> </w:t>
            </w:r>
            <w:r>
              <w:rPr>
                <w:color w:val="221F1F"/>
                <w:sz w:val="20"/>
              </w:rPr>
              <w:t>feel</w:t>
            </w:r>
            <w:r>
              <w:rPr>
                <w:color w:val="221F1F"/>
                <w:spacing w:val="3"/>
                <w:sz w:val="20"/>
              </w:rPr>
              <w:t xml:space="preserve"> </w:t>
            </w:r>
            <w:r>
              <w:rPr>
                <w:color w:val="221F1F"/>
                <w:sz w:val="20"/>
              </w:rPr>
              <w:t>better</w:t>
            </w:r>
            <w:r>
              <w:rPr>
                <w:color w:val="221F1F"/>
                <w:spacing w:val="4"/>
                <w:sz w:val="20"/>
              </w:rPr>
              <w:t xml:space="preserve"> </w:t>
            </w:r>
            <w:r>
              <w:rPr>
                <w:color w:val="221F1F"/>
                <w:sz w:val="20"/>
              </w:rPr>
              <w:t>about</w:t>
            </w:r>
            <w:r>
              <w:rPr>
                <w:color w:val="221F1F"/>
                <w:spacing w:val="3"/>
                <w:sz w:val="20"/>
              </w:rPr>
              <w:t xml:space="preserve"> </w:t>
            </w:r>
            <w:r>
              <w:rPr>
                <w:color w:val="221F1F"/>
                <w:spacing w:val="-2"/>
                <w:sz w:val="20"/>
              </w:rPr>
              <w:t>myself.</w:t>
            </w:r>
          </w:p>
        </w:tc>
        <w:tc>
          <w:tcPr>
            <w:tcW w:w="900" w:type="dxa"/>
          </w:tcPr>
          <w:p w14:paraId="56FFE70C" w14:textId="77777777" w:rsidR="00DB6E1F" w:rsidRDefault="00F666A6">
            <w:pPr>
              <w:pStyle w:val="TableParagraph"/>
              <w:spacing w:line="242" w:lineRule="exact"/>
              <w:ind w:left="7"/>
              <w:jc w:val="center"/>
              <w:rPr>
                <w:sz w:val="20"/>
              </w:rPr>
            </w:pPr>
            <w:r>
              <w:rPr>
                <w:w w:val="99"/>
                <w:sz w:val="20"/>
              </w:rPr>
              <w:t>1</w:t>
            </w:r>
          </w:p>
        </w:tc>
        <w:tc>
          <w:tcPr>
            <w:tcW w:w="989" w:type="dxa"/>
          </w:tcPr>
          <w:p w14:paraId="324F9DB6" w14:textId="77777777" w:rsidR="00DB6E1F" w:rsidRDefault="00F666A6">
            <w:pPr>
              <w:pStyle w:val="TableParagraph"/>
              <w:spacing w:line="242" w:lineRule="exact"/>
              <w:ind w:left="9"/>
              <w:jc w:val="center"/>
              <w:rPr>
                <w:sz w:val="20"/>
              </w:rPr>
            </w:pPr>
            <w:r>
              <w:rPr>
                <w:w w:val="99"/>
                <w:sz w:val="20"/>
              </w:rPr>
              <w:t>2</w:t>
            </w:r>
          </w:p>
        </w:tc>
        <w:tc>
          <w:tcPr>
            <w:tcW w:w="991" w:type="dxa"/>
          </w:tcPr>
          <w:p w14:paraId="33622D9A" w14:textId="77777777" w:rsidR="00DB6E1F" w:rsidRDefault="00F666A6">
            <w:pPr>
              <w:pStyle w:val="TableParagraph"/>
              <w:spacing w:line="242" w:lineRule="exact"/>
              <w:ind w:left="7"/>
              <w:jc w:val="center"/>
              <w:rPr>
                <w:sz w:val="20"/>
              </w:rPr>
            </w:pPr>
            <w:r>
              <w:rPr>
                <w:w w:val="99"/>
                <w:sz w:val="20"/>
              </w:rPr>
              <w:t>3</w:t>
            </w:r>
          </w:p>
        </w:tc>
        <w:tc>
          <w:tcPr>
            <w:tcW w:w="989" w:type="dxa"/>
          </w:tcPr>
          <w:p w14:paraId="587C48A8" w14:textId="77777777" w:rsidR="00DB6E1F" w:rsidRDefault="00F666A6">
            <w:pPr>
              <w:pStyle w:val="TableParagraph"/>
              <w:spacing w:line="242" w:lineRule="exact"/>
              <w:ind w:left="9"/>
              <w:jc w:val="center"/>
              <w:rPr>
                <w:sz w:val="20"/>
              </w:rPr>
            </w:pPr>
            <w:r>
              <w:rPr>
                <w:w w:val="99"/>
                <w:sz w:val="20"/>
              </w:rPr>
              <w:t>4</w:t>
            </w:r>
          </w:p>
        </w:tc>
        <w:tc>
          <w:tcPr>
            <w:tcW w:w="900" w:type="dxa"/>
          </w:tcPr>
          <w:p w14:paraId="32FC3B76" w14:textId="77777777" w:rsidR="00DB6E1F" w:rsidRDefault="00F666A6">
            <w:pPr>
              <w:pStyle w:val="TableParagraph"/>
              <w:spacing w:line="242" w:lineRule="exact"/>
              <w:ind w:left="7"/>
              <w:jc w:val="center"/>
              <w:rPr>
                <w:sz w:val="20"/>
              </w:rPr>
            </w:pPr>
            <w:r>
              <w:rPr>
                <w:w w:val="99"/>
                <w:sz w:val="20"/>
              </w:rPr>
              <w:t>5</w:t>
            </w:r>
          </w:p>
        </w:tc>
        <w:tc>
          <w:tcPr>
            <w:tcW w:w="900" w:type="dxa"/>
          </w:tcPr>
          <w:p w14:paraId="1181DCF6" w14:textId="77777777" w:rsidR="00DB6E1F" w:rsidRDefault="00F666A6">
            <w:pPr>
              <w:pStyle w:val="TableParagraph"/>
              <w:spacing w:line="242" w:lineRule="exact"/>
              <w:ind w:left="7"/>
              <w:jc w:val="center"/>
              <w:rPr>
                <w:sz w:val="20"/>
              </w:rPr>
            </w:pPr>
            <w:r>
              <w:rPr>
                <w:w w:val="99"/>
                <w:sz w:val="20"/>
              </w:rPr>
              <w:t>0</w:t>
            </w:r>
          </w:p>
        </w:tc>
      </w:tr>
      <w:tr w:rsidR="00DB6E1F" w14:paraId="1DAA9A56" w14:textId="77777777">
        <w:trPr>
          <w:trHeight w:val="263"/>
        </w:trPr>
        <w:tc>
          <w:tcPr>
            <w:tcW w:w="3691" w:type="dxa"/>
          </w:tcPr>
          <w:p w14:paraId="199A0006" w14:textId="77777777" w:rsidR="00DB6E1F" w:rsidRDefault="00F666A6">
            <w:pPr>
              <w:pStyle w:val="TableParagraph"/>
              <w:spacing w:line="242" w:lineRule="exact"/>
              <w:ind w:left="163"/>
              <w:rPr>
                <w:sz w:val="20"/>
              </w:rPr>
            </w:pPr>
            <w:r>
              <w:rPr>
                <w:color w:val="4D4D4F"/>
                <w:sz w:val="20"/>
              </w:rPr>
              <w:t>11.</w:t>
            </w:r>
            <w:r>
              <w:rPr>
                <w:color w:val="4D4D4F"/>
                <w:spacing w:val="20"/>
                <w:sz w:val="20"/>
              </w:rPr>
              <w:t xml:space="preserve"> </w:t>
            </w:r>
            <w:r>
              <w:rPr>
                <w:color w:val="221F1F"/>
                <w:sz w:val="20"/>
              </w:rPr>
              <w:t>I</w:t>
            </w:r>
            <w:r>
              <w:rPr>
                <w:color w:val="221F1F"/>
                <w:spacing w:val="3"/>
                <w:sz w:val="20"/>
              </w:rPr>
              <w:t xml:space="preserve"> </w:t>
            </w:r>
            <w:r>
              <w:rPr>
                <w:color w:val="221F1F"/>
                <w:sz w:val="20"/>
              </w:rPr>
              <w:t>will</w:t>
            </w:r>
            <w:r>
              <w:rPr>
                <w:color w:val="221F1F"/>
                <w:spacing w:val="3"/>
                <w:sz w:val="20"/>
              </w:rPr>
              <w:t xml:space="preserve"> </w:t>
            </w:r>
            <w:r>
              <w:rPr>
                <w:color w:val="221F1F"/>
                <w:sz w:val="20"/>
              </w:rPr>
              <w:t>regain</w:t>
            </w:r>
            <w:r>
              <w:rPr>
                <w:color w:val="221F1F"/>
                <w:spacing w:val="7"/>
                <w:sz w:val="20"/>
              </w:rPr>
              <w:t xml:space="preserve"> </w:t>
            </w:r>
            <w:r>
              <w:rPr>
                <w:color w:val="221F1F"/>
                <w:sz w:val="20"/>
              </w:rPr>
              <w:t>some</w:t>
            </w:r>
            <w:r>
              <w:rPr>
                <w:color w:val="221F1F"/>
                <w:spacing w:val="2"/>
                <w:sz w:val="20"/>
              </w:rPr>
              <w:t xml:space="preserve"> </w:t>
            </w:r>
            <w:r>
              <w:rPr>
                <w:color w:val="221F1F"/>
                <w:sz w:val="20"/>
              </w:rPr>
              <w:t>self-</w:t>
            </w:r>
            <w:r>
              <w:rPr>
                <w:color w:val="221F1F"/>
                <w:spacing w:val="-2"/>
                <w:sz w:val="20"/>
              </w:rPr>
              <w:t>respect.</w:t>
            </w:r>
          </w:p>
        </w:tc>
        <w:tc>
          <w:tcPr>
            <w:tcW w:w="900" w:type="dxa"/>
          </w:tcPr>
          <w:p w14:paraId="43FFA1BF" w14:textId="77777777" w:rsidR="00DB6E1F" w:rsidRDefault="00F666A6">
            <w:pPr>
              <w:pStyle w:val="TableParagraph"/>
              <w:spacing w:line="242" w:lineRule="exact"/>
              <w:ind w:left="7"/>
              <w:jc w:val="center"/>
              <w:rPr>
                <w:sz w:val="20"/>
              </w:rPr>
            </w:pPr>
            <w:r>
              <w:rPr>
                <w:w w:val="99"/>
                <w:sz w:val="20"/>
              </w:rPr>
              <w:t>1</w:t>
            </w:r>
          </w:p>
        </w:tc>
        <w:tc>
          <w:tcPr>
            <w:tcW w:w="989" w:type="dxa"/>
          </w:tcPr>
          <w:p w14:paraId="40ED05BC" w14:textId="77777777" w:rsidR="00DB6E1F" w:rsidRDefault="00F666A6">
            <w:pPr>
              <w:pStyle w:val="TableParagraph"/>
              <w:spacing w:line="242" w:lineRule="exact"/>
              <w:ind w:left="9"/>
              <w:jc w:val="center"/>
              <w:rPr>
                <w:sz w:val="20"/>
              </w:rPr>
            </w:pPr>
            <w:r>
              <w:rPr>
                <w:w w:val="99"/>
                <w:sz w:val="20"/>
              </w:rPr>
              <w:t>2</w:t>
            </w:r>
          </w:p>
        </w:tc>
        <w:tc>
          <w:tcPr>
            <w:tcW w:w="991" w:type="dxa"/>
          </w:tcPr>
          <w:p w14:paraId="6001E5F8" w14:textId="77777777" w:rsidR="00DB6E1F" w:rsidRDefault="00F666A6">
            <w:pPr>
              <w:pStyle w:val="TableParagraph"/>
              <w:spacing w:line="242" w:lineRule="exact"/>
              <w:ind w:left="7"/>
              <w:jc w:val="center"/>
              <w:rPr>
                <w:sz w:val="20"/>
              </w:rPr>
            </w:pPr>
            <w:r>
              <w:rPr>
                <w:w w:val="99"/>
                <w:sz w:val="20"/>
              </w:rPr>
              <w:t>3</w:t>
            </w:r>
          </w:p>
        </w:tc>
        <w:tc>
          <w:tcPr>
            <w:tcW w:w="989" w:type="dxa"/>
          </w:tcPr>
          <w:p w14:paraId="43E051C8" w14:textId="77777777" w:rsidR="00DB6E1F" w:rsidRDefault="00F666A6">
            <w:pPr>
              <w:pStyle w:val="TableParagraph"/>
              <w:spacing w:line="242" w:lineRule="exact"/>
              <w:ind w:left="9"/>
              <w:jc w:val="center"/>
              <w:rPr>
                <w:sz w:val="20"/>
              </w:rPr>
            </w:pPr>
            <w:r>
              <w:rPr>
                <w:w w:val="99"/>
                <w:sz w:val="20"/>
              </w:rPr>
              <w:t>4</w:t>
            </w:r>
          </w:p>
        </w:tc>
        <w:tc>
          <w:tcPr>
            <w:tcW w:w="900" w:type="dxa"/>
          </w:tcPr>
          <w:p w14:paraId="0FAE34B5" w14:textId="77777777" w:rsidR="00DB6E1F" w:rsidRDefault="00F666A6">
            <w:pPr>
              <w:pStyle w:val="TableParagraph"/>
              <w:spacing w:line="242" w:lineRule="exact"/>
              <w:ind w:left="7"/>
              <w:jc w:val="center"/>
              <w:rPr>
                <w:sz w:val="20"/>
              </w:rPr>
            </w:pPr>
            <w:r>
              <w:rPr>
                <w:w w:val="99"/>
                <w:sz w:val="20"/>
              </w:rPr>
              <w:t>5</w:t>
            </w:r>
          </w:p>
        </w:tc>
        <w:tc>
          <w:tcPr>
            <w:tcW w:w="900" w:type="dxa"/>
          </w:tcPr>
          <w:p w14:paraId="2928CF6F" w14:textId="77777777" w:rsidR="00DB6E1F" w:rsidRDefault="00F666A6">
            <w:pPr>
              <w:pStyle w:val="TableParagraph"/>
              <w:spacing w:line="242" w:lineRule="exact"/>
              <w:ind w:left="7"/>
              <w:jc w:val="center"/>
              <w:rPr>
                <w:sz w:val="20"/>
              </w:rPr>
            </w:pPr>
            <w:r>
              <w:rPr>
                <w:w w:val="99"/>
                <w:sz w:val="20"/>
              </w:rPr>
              <w:t>0</w:t>
            </w:r>
          </w:p>
        </w:tc>
      </w:tr>
      <w:tr w:rsidR="00DB6E1F" w14:paraId="5214C005" w14:textId="77777777">
        <w:trPr>
          <w:trHeight w:val="525"/>
        </w:trPr>
        <w:tc>
          <w:tcPr>
            <w:tcW w:w="3691" w:type="dxa"/>
          </w:tcPr>
          <w:p w14:paraId="34EF93E2" w14:textId="77777777" w:rsidR="00DB6E1F" w:rsidRDefault="00F666A6">
            <w:pPr>
              <w:pStyle w:val="TableParagraph"/>
              <w:ind w:left="163"/>
              <w:rPr>
                <w:sz w:val="20"/>
              </w:rPr>
            </w:pPr>
            <w:r>
              <w:rPr>
                <w:color w:val="4D4D4F"/>
                <w:sz w:val="20"/>
              </w:rPr>
              <w:t>12.</w:t>
            </w:r>
            <w:r>
              <w:rPr>
                <w:color w:val="4D4D4F"/>
                <w:spacing w:val="17"/>
                <w:sz w:val="20"/>
              </w:rPr>
              <w:t xml:space="preserve"> </w:t>
            </w:r>
            <w:r>
              <w:rPr>
                <w:color w:val="221F1F"/>
                <w:sz w:val="20"/>
              </w:rPr>
              <w:t>I</w:t>
            </w:r>
            <w:r>
              <w:rPr>
                <w:color w:val="221F1F"/>
                <w:spacing w:val="1"/>
                <w:sz w:val="20"/>
              </w:rPr>
              <w:t xml:space="preserve"> </w:t>
            </w:r>
            <w:r>
              <w:rPr>
                <w:color w:val="221F1F"/>
                <w:sz w:val="20"/>
              </w:rPr>
              <w:t>will</w:t>
            </w:r>
            <w:r>
              <w:rPr>
                <w:color w:val="221F1F"/>
                <w:spacing w:val="1"/>
                <w:sz w:val="20"/>
              </w:rPr>
              <w:t xml:space="preserve"> </w:t>
            </w:r>
            <w:r>
              <w:rPr>
                <w:color w:val="221F1F"/>
                <w:sz w:val="20"/>
              </w:rPr>
              <w:t>accomplish</w:t>
            </w:r>
            <w:r>
              <w:rPr>
                <w:color w:val="221F1F"/>
                <w:spacing w:val="2"/>
                <w:sz w:val="20"/>
              </w:rPr>
              <w:t xml:space="preserve"> </w:t>
            </w:r>
            <w:r>
              <w:rPr>
                <w:color w:val="221F1F"/>
                <w:sz w:val="20"/>
              </w:rPr>
              <w:t xml:space="preserve">more of the things </w:t>
            </w:r>
            <w:r>
              <w:rPr>
                <w:color w:val="221F1F"/>
                <w:spacing w:val="-10"/>
                <w:sz w:val="20"/>
              </w:rPr>
              <w:t>I</w:t>
            </w:r>
          </w:p>
          <w:p w14:paraId="6609193E" w14:textId="77777777" w:rsidR="00DB6E1F" w:rsidRDefault="00F666A6">
            <w:pPr>
              <w:pStyle w:val="TableParagraph"/>
              <w:spacing w:before="20" w:line="240" w:lineRule="exact"/>
              <w:ind w:left="523"/>
              <w:rPr>
                <w:sz w:val="20"/>
              </w:rPr>
            </w:pPr>
            <w:r>
              <w:rPr>
                <w:color w:val="221F1F"/>
                <w:sz w:val="20"/>
              </w:rPr>
              <w:t>want</w:t>
            </w:r>
            <w:r>
              <w:rPr>
                <w:color w:val="221F1F"/>
                <w:spacing w:val="-4"/>
                <w:sz w:val="20"/>
              </w:rPr>
              <w:t xml:space="preserve"> </w:t>
            </w:r>
            <w:r>
              <w:rPr>
                <w:color w:val="221F1F"/>
                <w:sz w:val="20"/>
              </w:rPr>
              <w:t>to</w:t>
            </w:r>
            <w:r>
              <w:rPr>
                <w:color w:val="221F1F"/>
                <w:spacing w:val="-4"/>
                <w:sz w:val="20"/>
              </w:rPr>
              <w:t xml:space="preserve"> </w:t>
            </w:r>
            <w:r>
              <w:rPr>
                <w:color w:val="221F1F"/>
                <w:sz w:val="20"/>
              </w:rPr>
              <w:t>get</w:t>
            </w:r>
            <w:r>
              <w:rPr>
                <w:color w:val="221F1F"/>
                <w:spacing w:val="-4"/>
                <w:sz w:val="20"/>
              </w:rPr>
              <w:t xml:space="preserve"> </w:t>
            </w:r>
            <w:r>
              <w:rPr>
                <w:color w:val="221F1F"/>
                <w:spacing w:val="-2"/>
                <w:sz w:val="20"/>
              </w:rPr>
              <w:t>done.</w:t>
            </w:r>
          </w:p>
        </w:tc>
        <w:tc>
          <w:tcPr>
            <w:tcW w:w="900" w:type="dxa"/>
          </w:tcPr>
          <w:p w14:paraId="061A5F0E" w14:textId="77777777" w:rsidR="00DB6E1F" w:rsidRDefault="00F666A6">
            <w:pPr>
              <w:pStyle w:val="TableParagraph"/>
              <w:ind w:left="7"/>
              <w:jc w:val="center"/>
              <w:rPr>
                <w:sz w:val="20"/>
              </w:rPr>
            </w:pPr>
            <w:r>
              <w:rPr>
                <w:w w:val="99"/>
                <w:sz w:val="20"/>
              </w:rPr>
              <w:t>1</w:t>
            </w:r>
          </w:p>
        </w:tc>
        <w:tc>
          <w:tcPr>
            <w:tcW w:w="989" w:type="dxa"/>
          </w:tcPr>
          <w:p w14:paraId="3CBD5568" w14:textId="77777777" w:rsidR="00DB6E1F" w:rsidRDefault="00F666A6">
            <w:pPr>
              <w:pStyle w:val="TableParagraph"/>
              <w:ind w:left="9"/>
              <w:jc w:val="center"/>
              <w:rPr>
                <w:sz w:val="20"/>
              </w:rPr>
            </w:pPr>
            <w:r>
              <w:rPr>
                <w:w w:val="99"/>
                <w:sz w:val="20"/>
              </w:rPr>
              <w:t>2</w:t>
            </w:r>
          </w:p>
        </w:tc>
        <w:tc>
          <w:tcPr>
            <w:tcW w:w="991" w:type="dxa"/>
          </w:tcPr>
          <w:p w14:paraId="46824EE6" w14:textId="77777777" w:rsidR="00DB6E1F" w:rsidRDefault="00F666A6">
            <w:pPr>
              <w:pStyle w:val="TableParagraph"/>
              <w:ind w:left="7"/>
              <w:jc w:val="center"/>
              <w:rPr>
                <w:sz w:val="20"/>
              </w:rPr>
            </w:pPr>
            <w:r>
              <w:rPr>
                <w:w w:val="99"/>
                <w:sz w:val="20"/>
              </w:rPr>
              <w:t>3</w:t>
            </w:r>
          </w:p>
        </w:tc>
        <w:tc>
          <w:tcPr>
            <w:tcW w:w="989" w:type="dxa"/>
          </w:tcPr>
          <w:p w14:paraId="10199869" w14:textId="77777777" w:rsidR="00DB6E1F" w:rsidRDefault="00F666A6">
            <w:pPr>
              <w:pStyle w:val="TableParagraph"/>
              <w:ind w:left="9"/>
              <w:jc w:val="center"/>
              <w:rPr>
                <w:sz w:val="20"/>
              </w:rPr>
            </w:pPr>
            <w:r>
              <w:rPr>
                <w:w w:val="99"/>
                <w:sz w:val="20"/>
              </w:rPr>
              <w:t>4</w:t>
            </w:r>
          </w:p>
        </w:tc>
        <w:tc>
          <w:tcPr>
            <w:tcW w:w="900" w:type="dxa"/>
          </w:tcPr>
          <w:p w14:paraId="40F8B93B" w14:textId="77777777" w:rsidR="00DB6E1F" w:rsidRDefault="00F666A6">
            <w:pPr>
              <w:pStyle w:val="TableParagraph"/>
              <w:ind w:left="7"/>
              <w:jc w:val="center"/>
              <w:rPr>
                <w:sz w:val="20"/>
              </w:rPr>
            </w:pPr>
            <w:r>
              <w:rPr>
                <w:w w:val="99"/>
                <w:sz w:val="20"/>
              </w:rPr>
              <w:t>5</w:t>
            </w:r>
          </w:p>
        </w:tc>
        <w:tc>
          <w:tcPr>
            <w:tcW w:w="900" w:type="dxa"/>
          </w:tcPr>
          <w:p w14:paraId="20E6D20B" w14:textId="77777777" w:rsidR="00DB6E1F" w:rsidRDefault="00F666A6">
            <w:pPr>
              <w:pStyle w:val="TableParagraph"/>
              <w:ind w:left="7"/>
              <w:jc w:val="center"/>
              <w:rPr>
                <w:sz w:val="20"/>
              </w:rPr>
            </w:pPr>
            <w:r>
              <w:rPr>
                <w:w w:val="99"/>
                <w:sz w:val="20"/>
              </w:rPr>
              <w:t>0</w:t>
            </w:r>
          </w:p>
        </w:tc>
      </w:tr>
      <w:tr w:rsidR="00DB6E1F" w14:paraId="493ED263" w14:textId="77777777">
        <w:trPr>
          <w:trHeight w:val="527"/>
        </w:trPr>
        <w:tc>
          <w:tcPr>
            <w:tcW w:w="3691" w:type="dxa"/>
          </w:tcPr>
          <w:p w14:paraId="0117595C" w14:textId="77777777" w:rsidR="00DB6E1F" w:rsidRDefault="00F666A6">
            <w:pPr>
              <w:pStyle w:val="TableParagraph"/>
              <w:ind w:left="163"/>
              <w:rPr>
                <w:sz w:val="20"/>
              </w:rPr>
            </w:pPr>
            <w:r>
              <w:rPr>
                <w:color w:val="4D4D4F"/>
                <w:sz w:val="20"/>
              </w:rPr>
              <w:t>13.</w:t>
            </w:r>
            <w:r>
              <w:rPr>
                <w:color w:val="4D4D4F"/>
                <w:spacing w:val="18"/>
                <w:sz w:val="20"/>
              </w:rPr>
              <w:t xml:space="preserve"> </w:t>
            </w:r>
            <w:r>
              <w:rPr>
                <w:color w:val="221F1F"/>
                <w:sz w:val="20"/>
              </w:rPr>
              <w:t>I</w:t>
            </w:r>
            <w:r>
              <w:rPr>
                <w:color w:val="221F1F"/>
                <w:spacing w:val="1"/>
                <w:sz w:val="20"/>
              </w:rPr>
              <w:t xml:space="preserve"> </w:t>
            </w:r>
            <w:r>
              <w:rPr>
                <w:color w:val="221F1F"/>
                <w:sz w:val="20"/>
              </w:rPr>
              <w:t>will</w:t>
            </w:r>
            <w:r>
              <w:rPr>
                <w:color w:val="221F1F"/>
                <w:spacing w:val="2"/>
                <w:sz w:val="20"/>
              </w:rPr>
              <w:t xml:space="preserve"> </w:t>
            </w:r>
            <w:r>
              <w:rPr>
                <w:color w:val="221F1F"/>
                <w:sz w:val="20"/>
              </w:rPr>
              <w:t>have a</w:t>
            </w:r>
            <w:r>
              <w:rPr>
                <w:color w:val="221F1F"/>
                <w:spacing w:val="3"/>
                <w:sz w:val="20"/>
              </w:rPr>
              <w:t xml:space="preserve"> </w:t>
            </w:r>
            <w:r>
              <w:rPr>
                <w:color w:val="221F1F"/>
                <w:sz w:val="20"/>
              </w:rPr>
              <w:t>better</w:t>
            </w:r>
            <w:r>
              <w:rPr>
                <w:color w:val="221F1F"/>
                <w:spacing w:val="1"/>
                <w:sz w:val="20"/>
              </w:rPr>
              <w:t xml:space="preserve"> </w:t>
            </w:r>
            <w:r>
              <w:rPr>
                <w:color w:val="221F1F"/>
                <w:sz w:val="20"/>
              </w:rPr>
              <w:t>relationship</w:t>
            </w:r>
            <w:r>
              <w:rPr>
                <w:color w:val="221F1F"/>
                <w:spacing w:val="3"/>
                <w:sz w:val="20"/>
              </w:rPr>
              <w:t xml:space="preserve"> </w:t>
            </w:r>
            <w:r>
              <w:rPr>
                <w:color w:val="221F1F"/>
                <w:spacing w:val="-4"/>
                <w:sz w:val="20"/>
              </w:rPr>
              <w:t>with</w:t>
            </w:r>
          </w:p>
          <w:p w14:paraId="77CBD438" w14:textId="77777777" w:rsidR="00DB6E1F" w:rsidRDefault="00F666A6">
            <w:pPr>
              <w:pStyle w:val="TableParagraph"/>
              <w:spacing w:before="20" w:line="242" w:lineRule="exact"/>
              <w:ind w:left="523"/>
              <w:rPr>
                <w:sz w:val="20"/>
              </w:rPr>
            </w:pPr>
            <w:r>
              <w:rPr>
                <w:color w:val="221F1F"/>
                <w:sz w:val="20"/>
              </w:rPr>
              <w:t>my</w:t>
            </w:r>
            <w:r>
              <w:rPr>
                <w:color w:val="221F1F"/>
                <w:spacing w:val="-3"/>
                <w:sz w:val="20"/>
              </w:rPr>
              <w:t xml:space="preserve"> </w:t>
            </w:r>
            <w:r>
              <w:rPr>
                <w:color w:val="221F1F"/>
                <w:spacing w:val="-2"/>
                <w:sz w:val="20"/>
              </w:rPr>
              <w:t>family.</w:t>
            </w:r>
          </w:p>
        </w:tc>
        <w:tc>
          <w:tcPr>
            <w:tcW w:w="900" w:type="dxa"/>
          </w:tcPr>
          <w:p w14:paraId="61995238" w14:textId="77777777" w:rsidR="00DB6E1F" w:rsidRDefault="00F666A6">
            <w:pPr>
              <w:pStyle w:val="TableParagraph"/>
              <w:ind w:left="7"/>
              <w:jc w:val="center"/>
              <w:rPr>
                <w:sz w:val="20"/>
              </w:rPr>
            </w:pPr>
            <w:r>
              <w:rPr>
                <w:w w:val="99"/>
                <w:sz w:val="20"/>
              </w:rPr>
              <w:t>1</w:t>
            </w:r>
          </w:p>
        </w:tc>
        <w:tc>
          <w:tcPr>
            <w:tcW w:w="989" w:type="dxa"/>
          </w:tcPr>
          <w:p w14:paraId="51F406AF" w14:textId="77777777" w:rsidR="00DB6E1F" w:rsidRDefault="00F666A6">
            <w:pPr>
              <w:pStyle w:val="TableParagraph"/>
              <w:ind w:left="9"/>
              <w:jc w:val="center"/>
              <w:rPr>
                <w:sz w:val="20"/>
              </w:rPr>
            </w:pPr>
            <w:r>
              <w:rPr>
                <w:w w:val="99"/>
                <w:sz w:val="20"/>
              </w:rPr>
              <w:t>2</w:t>
            </w:r>
          </w:p>
        </w:tc>
        <w:tc>
          <w:tcPr>
            <w:tcW w:w="991" w:type="dxa"/>
          </w:tcPr>
          <w:p w14:paraId="19B14756" w14:textId="77777777" w:rsidR="00DB6E1F" w:rsidRDefault="00F666A6">
            <w:pPr>
              <w:pStyle w:val="TableParagraph"/>
              <w:ind w:left="7"/>
              <w:jc w:val="center"/>
              <w:rPr>
                <w:sz w:val="20"/>
              </w:rPr>
            </w:pPr>
            <w:r>
              <w:rPr>
                <w:w w:val="99"/>
                <w:sz w:val="20"/>
              </w:rPr>
              <w:t>3</w:t>
            </w:r>
          </w:p>
        </w:tc>
        <w:tc>
          <w:tcPr>
            <w:tcW w:w="989" w:type="dxa"/>
          </w:tcPr>
          <w:p w14:paraId="410A66F7" w14:textId="77777777" w:rsidR="00DB6E1F" w:rsidRDefault="00F666A6">
            <w:pPr>
              <w:pStyle w:val="TableParagraph"/>
              <w:ind w:left="9"/>
              <w:jc w:val="center"/>
              <w:rPr>
                <w:sz w:val="20"/>
              </w:rPr>
            </w:pPr>
            <w:r>
              <w:rPr>
                <w:w w:val="99"/>
                <w:sz w:val="20"/>
              </w:rPr>
              <w:t>4</w:t>
            </w:r>
          </w:p>
        </w:tc>
        <w:tc>
          <w:tcPr>
            <w:tcW w:w="900" w:type="dxa"/>
          </w:tcPr>
          <w:p w14:paraId="471CD876" w14:textId="77777777" w:rsidR="00DB6E1F" w:rsidRDefault="00F666A6">
            <w:pPr>
              <w:pStyle w:val="TableParagraph"/>
              <w:ind w:left="7"/>
              <w:jc w:val="center"/>
              <w:rPr>
                <w:sz w:val="20"/>
              </w:rPr>
            </w:pPr>
            <w:r>
              <w:rPr>
                <w:w w:val="99"/>
                <w:sz w:val="20"/>
              </w:rPr>
              <w:t>5</w:t>
            </w:r>
          </w:p>
        </w:tc>
        <w:tc>
          <w:tcPr>
            <w:tcW w:w="900" w:type="dxa"/>
          </w:tcPr>
          <w:p w14:paraId="38A912B1" w14:textId="77777777" w:rsidR="00DB6E1F" w:rsidRDefault="00F666A6">
            <w:pPr>
              <w:pStyle w:val="TableParagraph"/>
              <w:ind w:left="7"/>
              <w:jc w:val="center"/>
              <w:rPr>
                <w:sz w:val="20"/>
              </w:rPr>
            </w:pPr>
            <w:r>
              <w:rPr>
                <w:w w:val="99"/>
                <w:sz w:val="20"/>
              </w:rPr>
              <w:t>0</w:t>
            </w:r>
          </w:p>
        </w:tc>
      </w:tr>
      <w:tr w:rsidR="00DB6E1F" w14:paraId="104A3CDF" w14:textId="77777777">
        <w:trPr>
          <w:trHeight w:val="527"/>
        </w:trPr>
        <w:tc>
          <w:tcPr>
            <w:tcW w:w="3691" w:type="dxa"/>
          </w:tcPr>
          <w:p w14:paraId="0A1A01C0" w14:textId="77777777" w:rsidR="00DB6E1F" w:rsidRDefault="00F666A6">
            <w:pPr>
              <w:pStyle w:val="TableParagraph"/>
              <w:ind w:left="163"/>
              <w:rPr>
                <w:sz w:val="20"/>
              </w:rPr>
            </w:pPr>
            <w:r>
              <w:rPr>
                <w:color w:val="4D4D4F"/>
                <w:sz w:val="20"/>
              </w:rPr>
              <w:t>14.</w:t>
            </w:r>
            <w:r>
              <w:rPr>
                <w:color w:val="4D4D4F"/>
                <w:spacing w:val="17"/>
                <w:sz w:val="20"/>
              </w:rPr>
              <w:t xml:space="preserve"> </w:t>
            </w:r>
            <w:r>
              <w:rPr>
                <w:color w:val="221F1F"/>
                <w:sz w:val="20"/>
              </w:rPr>
              <w:t>I</w:t>
            </w:r>
            <w:r>
              <w:rPr>
                <w:color w:val="221F1F"/>
                <w:spacing w:val="1"/>
                <w:sz w:val="20"/>
              </w:rPr>
              <w:t xml:space="preserve"> </w:t>
            </w:r>
            <w:r>
              <w:rPr>
                <w:color w:val="221F1F"/>
                <w:sz w:val="20"/>
              </w:rPr>
              <w:t>will</w:t>
            </w:r>
            <w:r>
              <w:rPr>
                <w:color w:val="221F1F"/>
                <w:spacing w:val="1"/>
                <w:sz w:val="20"/>
              </w:rPr>
              <w:t xml:space="preserve"> </w:t>
            </w:r>
            <w:r>
              <w:rPr>
                <w:color w:val="221F1F"/>
                <w:sz w:val="20"/>
              </w:rPr>
              <w:t>have</w:t>
            </w:r>
            <w:r>
              <w:rPr>
                <w:color w:val="221F1F"/>
                <w:spacing w:val="1"/>
                <w:sz w:val="20"/>
              </w:rPr>
              <w:t xml:space="preserve"> </w:t>
            </w:r>
            <w:r>
              <w:rPr>
                <w:color w:val="221F1F"/>
                <w:sz w:val="20"/>
              </w:rPr>
              <w:t>difficulty</w:t>
            </w:r>
            <w:r>
              <w:rPr>
                <w:color w:val="221F1F"/>
                <w:spacing w:val="2"/>
                <w:sz w:val="20"/>
              </w:rPr>
              <w:t xml:space="preserve"> </w:t>
            </w:r>
            <w:r>
              <w:rPr>
                <w:color w:val="221F1F"/>
                <w:sz w:val="20"/>
              </w:rPr>
              <w:t>coping</w:t>
            </w:r>
            <w:r>
              <w:rPr>
                <w:color w:val="221F1F"/>
                <w:spacing w:val="1"/>
                <w:sz w:val="20"/>
              </w:rPr>
              <w:t xml:space="preserve"> </w:t>
            </w:r>
            <w:r>
              <w:rPr>
                <w:color w:val="221F1F"/>
                <w:sz w:val="20"/>
              </w:rPr>
              <w:t>with</w:t>
            </w:r>
            <w:r>
              <w:rPr>
                <w:color w:val="221F1F"/>
                <w:spacing w:val="2"/>
                <w:sz w:val="20"/>
              </w:rPr>
              <w:t xml:space="preserve"> </w:t>
            </w:r>
            <w:r>
              <w:rPr>
                <w:color w:val="221F1F"/>
                <w:spacing w:val="-5"/>
                <w:sz w:val="20"/>
              </w:rPr>
              <w:t>my</w:t>
            </w:r>
          </w:p>
          <w:p w14:paraId="22C1D7CD" w14:textId="77777777" w:rsidR="00DB6E1F" w:rsidRDefault="00F666A6">
            <w:pPr>
              <w:pStyle w:val="TableParagraph"/>
              <w:spacing w:before="20" w:line="242" w:lineRule="exact"/>
              <w:ind w:left="523"/>
              <w:rPr>
                <w:sz w:val="20"/>
              </w:rPr>
            </w:pPr>
            <w:r>
              <w:rPr>
                <w:color w:val="221F1F"/>
                <w:spacing w:val="-2"/>
                <w:sz w:val="20"/>
              </w:rPr>
              <w:t>problems.</w:t>
            </w:r>
          </w:p>
        </w:tc>
        <w:tc>
          <w:tcPr>
            <w:tcW w:w="900" w:type="dxa"/>
          </w:tcPr>
          <w:p w14:paraId="01809E08" w14:textId="77777777" w:rsidR="00DB6E1F" w:rsidRDefault="00F666A6">
            <w:pPr>
              <w:pStyle w:val="TableParagraph"/>
              <w:ind w:left="7"/>
              <w:jc w:val="center"/>
              <w:rPr>
                <w:sz w:val="20"/>
              </w:rPr>
            </w:pPr>
            <w:r>
              <w:rPr>
                <w:w w:val="99"/>
                <w:sz w:val="20"/>
              </w:rPr>
              <w:t>1</w:t>
            </w:r>
          </w:p>
        </w:tc>
        <w:tc>
          <w:tcPr>
            <w:tcW w:w="989" w:type="dxa"/>
          </w:tcPr>
          <w:p w14:paraId="3E3B421E" w14:textId="77777777" w:rsidR="00DB6E1F" w:rsidRDefault="00F666A6">
            <w:pPr>
              <w:pStyle w:val="TableParagraph"/>
              <w:ind w:left="9"/>
              <w:jc w:val="center"/>
              <w:rPr>
                <w:sz w:val="20"/>
              </w:rPr>
            </w:pPr>
            <w:r>
              <w:rPr>
                <w:w w:val="99"/>
                <w:sz w:val="20"/>
              </w:rPr>
              <w:t>2</w:t>
            </w:r>
          </w:p>
        </w:tc>
        <w:tc>
          <w:tcPr>
            <w:tcW w:w="991" w:type="dxa"/>
          </w:tcPr>
          <w:p w14:paraId="02644EFF" w14:textId="77777777" w:rsidR="00DB6E1F" w:rsidRDefault="00F666A6">
            <w:pPr>
              <w:pStyle w:val="TableParagraph"/>
              <w:ind w:left="7"/>
              <w:jc w:val="center"/>
              <w:rPr>
                <w:sz w:val="20"/>
              </w:rPr>
            </w:pPr>
            <w:r>
              <w:rPr>
                <w:w w:val="99"/>
                <w:sz w:val="20"/>
              </w:rPr>
              <w:t>3</w:t>
            </w:r>
          </w:p>
        </w:tc>
        <w:tc>
          <w:tcPr>
            <w:tcW w:w="989" w:type="dxa"/>
          </w:tcPr>
          <w:p w14:paraId="5D374043" w14:textId="77777777" w:rsidR="00DB6E1F" w:rsidRDefault="00F666A6">
            <w:pPr>
              <w:pStyle w:val="TableParagraph"/>
              <w:ind w:left="9"/>
              <w:jc w:val="center"/>
              <w:rPr>
                <w:sz w:val="20"/>
              </w:rPr>
            </w:pPr>
            <w:r>
              <w:rPr>
                <w:w w:val="99"/>
                <w:sz w:val="20"/>
              </w:rPr>
              <w:t>4</w:t>
            </w:r>
          </w:p>
        </w:tc>
        <w:tc>
          <w:tcPr>
            <w:tcW w:w="900" w:type="dxa"/>
          </w:tcPr>
          <w:p w14:paraId="2BA929F4" w14:textId="77777777" w:rsidR="00DB6E1F" w:rsidRDefault="00F666A6">
            <w:pPr>
              <w:pStyle w:val="TableParagraph"/>
              <w:ind w:left="7"/>
              <w:jc w:val="center"/>
              <w:rPr>
                <w:sz w:val="20"/>
              </w:rPr>
            </w:pPr>
            <w:r>
              <w:rPr>
                <w:w w:val="99"/>
                <w:sz w:val="20"/>
              </w:rPr>
              <w:t>5</w:t>
            </w:r>
          </w:p>
        </w:tc>
        <w:tc>
          <w:tcPr>
            <w:tcW w:w="900" w:type="dxa"/>
          </w:tcPr>
          <w:p w14:paraId="13BB376E" w14:textId="77777777" w:rsidR="00DB6E1F" w:rsidRDefault="00F666A6">
            <w:pPr>
              <w:pStyle w:val="TableParagraph"/>
              <w:ind w:left="7"/>
              <w:jc w:val="center"/>
              <w:rPr>
                <w:sz w:val="20"/>
              </w:rPr>
            </w:pPr>
            <w:r>
              <w:rPr>
                <w:w w:val="99"/>
                <w:sz w:val="20"/>
              </w:rPr>
              <w:t>0</w:t>
            </w:r>
          </w:p>
        </w:tc>
      </w:tr>
      <w:tr w:rsidR="00DB6E1F" w14:paraId="7DFF1754" w14:textId="77777777">
        <w:trPr>
          <w:trHeight w:val="263"/>
        </w:trPr>
        <w:tc>
          <w:tcPr>
            <w:tcW w:w="3691" w:type="dxa"/>
          </w:tcPr>
          <w:p w14:paraId="0B0DFC8C" w14:textId="77777777" w:rsidR="00DB6E1F" w:rsidRDefault="00F666A6">
            <w:pPr>
              <w:pStyle w:val="TableParagraph"/>
              <w:spacing w:line="242" w:lineRule="exact"/>
              <w:ind w:left="163"/>
              <w:rPr>
                <w:sz w:val="20"/>
              </w:rPr>
            </w:pPr>
            <w:r>
              <w:rPr>
                <w:color w:val="4D4D4F"/>
                <w:sz w:val="20"/>
              </w:rPr>
              <w:t>15.</w:t>
            </w:r>
            <w:r>
              <w:rPr>
                <w:color w:val="4D4D4F"/>
                <w:spacing w:val="20"/>
                <w:sz w:val="20"/>
              </w:rPr>
              <w:t xml:space="preserve"> </w:t>
            </w:r>
            <w:r>
              <w:rPr>
                <w:color w:val="221F1F"/>
                <w:sz w:val="20"/>
              </w:rPr>
              <w:t>I</w:t>
            </w:r>
            <w:r>
              <w:rPr>
                <w:color w:val="221F1F"/>
                <w:spacing w:val="3"/>
                <w:sz w:val="20"/>
              </w:rPr>
              <w:t xml:space="preserve"> </w:t>
            </w:r>
            <w:r>
              <w:rPr>
                <w:color w:val="221F1F"/>
                <w:sz w:val="20"/>
              </w:rPr>
              <w:t>will</w:t>
            </w:r>
            <w:r>
              <w:rPr>
                <w:color w:val="221F1F"/>
                <w:spacing w:val="3"/>
                <w:sz w:val="20"/>
              </w:rPr>
              <w:t xml:space="preserve"> </w:t>
            </w:r>
            <w:r>
              <w:rPr>
                <w:color w:val="221F1F"/>
                <w:sz w:val="20"/>
              </w:rPr>
              <w:t>feel</w:t>
            </w:r>
            <w:r>
              <w:rPr>
                <w:color w:val="221F1F"/>
                <w:spacing w:val="5"/>
                <w:sz w:val="20"/>
              </w:rPr>
              <w:t xml:space="preserve"> </w:t>
            </w:r>
            <w:r>
              <w:rPr>
                <w:color w:val="221F1F"/>
                <w:sz w:val="20"/>
              </w:rPr>
              <w:t>withdrawal</w:t>
            </w:r>
            <w:r>
              <w:rPr>
                <w:color w:val="221F1F"/>
                <w:spacing w:val="3"/>
                <w:sz w:val="20"/>
              </w:rPr>
              <w:t xml:space="preserve"> </w:t>
            </w:r>
            <w:r>
              <w:rPr>
                <w:color w:val="221F1F"/>
                <w:sz w:val="20"/>
              </w:rPr>
              <w:t>or</w:t>
            </w:r>
            <w:r>
              <w:rPr>
                <w:color w:val="221F1F"/>
                <w:spacing w:val="3"/>
                <w:sz w:val="20"/>
              </w:rPr>
              <w:t xml:space="preserve"> </w:t>
            </w:r>
            <w:r>
              <w:rPr>
                <w:color w:val="221F1F"/>
                <w:spacing w:val="-2"/>
                <w:sz w:val="20"/>
              </w:rPr>
              <w:t>craving.</w:t>
            </w:r>
          </w:p>
        </w:tc>
        <w:tc>
          <w:tcPr>
            <w:tcW w:w="900" w:type="dxa"/>
          </w:tcPr>
          <w:p w14:paraId="329E4FEA" w14:textId="77777777" w:rsidR="00DB6E1F" w:rsidRDefault="00F666A6">
            <w:pPr>
              <w:pStyle w:val="TableParagraph"/>
              <w:spacing w:line="242" w:lineRule="exact"/>
              <w:ind w:left="7"/>
              <w:jc w:val="center"/>
              <w:rPr>
                <w:sz w:val="20"/>
              </w:rPr>
            </w:pPr>
            <w:r>
              <w:rPr>
                <w:w w:val="99"/>
                <w:sz w:val="20"/>
              </w:rPr>
              <w:t>1</w:t>
            </w:r>
          </w:p>
        </w:tc>
        <w:tc>
          <w:tcPr>
            <w:tcW w:w="989" w:type="dxa"/>
          </w:tcPr>
          <w:p w14:paraId="7E6CA1AA" w14:textId="77777777" w:rsidR="00DB6E1F" w:rsidRDefault="00F666A6">
            <w:pPr>
              <w:pStyle w:val="TableParagraph"/>
              <w:spacing w:line="242" w:lineRule="exact"/>
              <w:ind w:left="9"/>
              <w:jc w:val="center"/>
              <w:rPr>
                <w:sz w:val="20"/>
              </w:rPr>
            </w:pPr>
            <w:r>
              <w:rPr>
                <w:w w:val="99"/>
                <w:sz w:val="20"/>
              </w:rPr>
              <w:t>2</w:t>
            </w:r>
          </w:p>
        </w:tc>
        <w:tc>
          <w:tcPr>
            <w:tcW w:w="991" w:type="dxa"/>
          </w:tcPr>
          <w:p w14:paraId="2882F8E9" w14:textId="77777777" w:rsidR="00DB6E1F" w:rsidRDefault="00F666A6">
            <w:pPr>
              <w:pStyle w:val="TableParagraph"/>
              <w:spacing w:line="242" w:lineRule="exact"/>
              <w:ind w:left="7"/>
              <w:jc w:val="center"/>
              <w:rPr>
                <w:sz w:val="20"/>
              </w:rPr>
            </w:pPr>
            <w:r>
              <w:rPr>
                <w:w w:val="99"/>
                <w:sz w:val="20"/>
              </w:rPr>
              <w:t>3</w:t>
            </w:r>
          </w:p>
        </w:tc>
        <w:tc>
          <w:tcPr>
            <w:tcW w:w="989" w:type="dxa"/>
          </w:tcPr>
          <w:p w14:paraId="4393C9C0" w14:textId="77777777" w:rsidR="00DB6E1F" w:rsidRDefault="00F666A6">
            <w:pPr>
              <w:pStyle w:val="TableParagraph"/>
              <w:spacing w:line="242" w:lineRule="exact"/>
              <w:ind w:left="9"/>
              <w:jc w:val="center"/>
              <w:rPr>
                <w:sz w:val="20"/>
              </w:rPr>
            </w:pPr>
            <w:r>
              <w:rPr>
                <w:w w:val="99"/>
                <w:sz w:val="20"/>
              </w:rPr>
              <w:t>4</w:t>
            </w:r>
          </w:p>
        </w:tc>
        <w:tc>
          <w:tcPr>
            <w:tcW w:w="900" w:type="dxa"/>
          </w:tcPr>
          <w:p w14:paraId="17AFB30E" w14:textId="77777777" w:rsidR="00DB6E1F" w:rsidRDefault="00F666A6">
            <w:pPr>
              <w:pStyle w:val="TableParagraph"/>
              <w:spacing w:line="242" w:lineRule="exact"/>
              <w:ind w:left="7"/>
              <w:jc w:val="center"/>
              <w:rPr>
                <w:sz w:val="20"/>
              </w:rPr>
            </w:pPr>
            <w:r>
              <w:rPr>
                <w:w w:val="99"/>
                <w:sz w:val="20"/>
              </w:rPr>
              <w:t>5</w:t>
            </w:r>
          </w:p>
        </w:tc>
        <w:tc>
          <w:tcPr>
            <w:tcW w:w="900" w:type="dxa"/>
          </w:tcPr>
          <w:p w14:paraId="4A74CD91" w14:textId="77777777" w:rsidR="00DB6E1F" w:rsidRDefault="00F666A6">
            <w:pPr>
              <w:pStyle w:val="TableParagraph"/>
              <w:spacing w:line="242" w:lineRule="exact"/>
              <w:ind w:left="7"/>
              <w:jc w:val="center"/>
              <w:rPr>
                <w:sz w:val="20"/>
              </w:rPr>
            </w:pPr>
            <w:r>
              <w:rPr>
                <w:w w:val="99"/>
                <w:sz w:val="20"/>
              </w:rPr>
              <w:t>0</w:t>
            </w:r>
          </w:p>
        </w:tc>
      </w:tr>
      <w:tr w:rsidR="00DB6E1F" w14:paraId="63E39D67" w14:textId="77777777">
        <w:trPr>
          <w:trHeight w:val="525"/>
        </w:trPr>
        <w:tc>
          <w:tcPr>
            <w:tcW w:w="3691" w:type="dxa"/>
          </w:tcPr>
          <w:p w14:paraId="3E2EE1AF" w14:textId="77777777" w:rsidR="00DB6E1F" w:rsidRDefault="00F666A6">
            <w:pPr>
              <w:pStyle w:val="TableParagraph"/>
              <w:ind w:left="163"/>
              <w:rPr>
                <w:sz w:val="20"/>
              </w:rPr>
            </w:pPr>
            <w:r>
              <w:rPr>
                <w:color w:val="4D4D4F"/>
                <w:sz w:val="20"/>
              </w:rPr>
              <w:t>16.</w:t>
            </w:r>
            <w:r>
              <w:rPr>
                <w:color w:val="4D4D4F"/>
                <w:spacing w:val="18"/>
                <w:sz w:val="20"/>
              </w:rPr>
              <w:t xml:space="preserve"> </w:t>
            </w:r>
            <w:r>
              <w:rPr>
                <w:color w:val="221F1F"/>
                <w:sz w:val="20"/>
              </w:rPr>
              <w:t>I</w:t>
            </w:r>
            <w:r>
              <w:rPr>
                <w:color w:val="221F1F"/>
                <w:spacing w:val="1"/>
                <w:sz w:val="20"/>
              </w:rPr>
              <w:t xml:space="preserve"> </w:t>
            </w:r>
            <w:r>
              <w:rPr>
                <w:color w:val="221F1F"/>
                <w:sz w:val="20"/>
              </w:rPr>
              <w:t>will</w:t>
            </w:r>
            <w:r>
              <w:rPr>
                <w:color w:val="221F1F"/>
                <w:spacing w:val="2"/>
                <w:sz w:val="20"/>
              </w:rPr>
              <w:t xml:space="preserve"> </w:t>
            </w:r>
            <w:r>
              <w:rPr>
                <w:color w:val="221F1F"/>
                <w:sz w:val="20"/>
              </w:rPr>
              <w:t>have too</w:t>
            </w:r>
            <w:r>
              <w:rPr>
                <w:color w:val="221F1F"/>
                <w:spacing w:val="5"/>
                <w:sz w:val="20"/>
              </w:rPr>
              <w:t xml:space="preserve"> </w:t>
            </w:r>
            <w:r>
              <w:rPr>
                <w:color w:val="221F1F"/>
                <w:sz w:val="20"/>
              </w:rPr>
              <w:t>much</w:t>
            </w:r>
            <w:r>
              <w:rPr>
                <w:color w:val="221F1F"/>
                <w:spacing w:val="2"/>
                <w:sz w:val="20"/>
              </w:rPr>
              <w:t xml:space="preserve"> </w:t>
            </w:r>
            <w:r>
              <w:rPr>
                <w:color w:val="221F1F"/>
                <w:sz w:val="20"/>
              </w:rPr>
              <w:t>time</w:t>
            </w:r>
            <w:r>
              <w:rPr>
                <w:color w:val="221F1F"/>
                <w:spacing w:val="1"/>
                <w:sz w:val="20"/>
              </w:rPr>
              <w:t xml:space="preserve"> </w:t>
            </w:r>
            <w:r>
              <w:rPr>
                <w:color w:val="221F1F"/>
                <w:sz w:val="20"/>
              </w:rPr>
              <w:t>on</w:t>
            </w:r>
            <w:r>
              <w:rPr>
                <w:color w:val="221F1F"/>
                <w:spacing w:val="4"/>
                <w:sz w:val="20"/>
              </w:rPr>
              <w:t xml:space="preserve"> </w:t>
            </w:r>
            <w:r>
              <w:rPr>
                <w:color w:val="221F1F"/>
                <w:spacing w:val="-5"/>
                <w:sz w:val="20"/>
              </w:rPr>
              <w:t>my</w:t>
            </w:r>
          </w:p>
          <w:p w14:paraId="2794CD45" w14:textId="77777777" w:rsidR="00DB6E1F" w:rsidRDefault="00F666A6">
            <w:pPr>
              <w:pStyle w:val="TableParagraph"/>
              <w:spacing w:before="20" w:line="240" w:lineRule="exact"/>
              <w:ind w:left="523"/>
              <w:rPr>
                <w:sz w:val="20"/>
              </w:rPr>
            </w:pPr>
            <w:r>
              <w:rPr>
                <w:color w:val="221F1F"/>
                <w:spacing w:val="-2"/>
                <w:sz w:val="20"/>
              </w:rPr>
              <w:t>hands.</w:t>
            </w:r>
          </w:p>
        </w:tc>
        <w:tc>
          <w:tcPr>
            <w:tcW w:w="900" w:type="dxa"/>
          </w:tcPr>
          <w:p w14:paraId="1293899D" w14:textId="77777777" w:rsidR="00DB6E1F" w:rsidRDefault="00F666A6">
            <w:pPr>
              <w:pStyle w:val="TableParagraph"/>
              <w:ind w:left="7"/>
              <w:jc w:val="center"/>
              <w:rPr>
                <w:sz w:val="20"/>
              </w:rPr>
            </w:pPr>
            <w:r>
              <w:rPr>
                <w:w w:val="99"/>
                <w:sz w:val="20"/>
              </w:rPr>
              <w:t>1</w:t>
            </w:r>
          </w:p>
        </w:tc>
        <w:tc>
          <w:tcPr>
            <w:tcW w:w="989" w:type="dxa"/>
          </w:tcPr>
          <w:p w14:paraId="411312B1" w14:textId="77777777" w:rsidR="00DB6E1F" w:rsidRDefault="00F666A6">
            <w:pPr>
              <w:pStyle w:val="TableParagraph"/>
              <w:ind w:left="9"/>
              <w:jc w:val="center"/>
              <w:rPr>
                <w:sz w:val="20"/>
              </w:rPr>
            </w:pPr>
            <w:r>
              <w:rPr>
                <w:w w:val="99"/>
                <w:sz w:val="20"/>
              </w:rPr>
              <w:t>2</w:t>
            </w:r>
          </w:p>
        </w:tc>
        <w:tc>
          <w:tcPr>
            <w:tcW w:w="991" w:type="dxa"/>
          </w:tcPr>
          <w:p w14:paraId="13C0F528" w14:textId="77777777" w:rsidR="00DB6E1F" w:rsidRDefault="00F666A6">
            <w:pPr>
              <w:pStyle w:val="TableParagraph"/>
              <w:ind w:left="7"/>
              <w:jc w:val="center"/>
              <w:rPr>
                <w:sz w:val="20"/>
              </w:rPr>
            </w:pPr>
            <w:r>
              <w:rPr>
                <w:w w:val="99"/>
                <w:sz w:val="20"/>
              </w:rPr>
              <w:t>3</w:t>
            </w:r>
          </w:p>
        </w:tc>
        <w:tc>
          <w:tcPr>
            <w:tcW w:w="989" w:type="dxa"/>
          </w:tcPr>
          <w:p w14:paraId="6C89C5BD" w14:textId="77777777" w:rsidR="00DB6E1F" w:rsidRDefault="00F666A6">
            <w:pPr>
              <w:pStyle w:val="TableParagraph"/>
              <w:ind w:left="9"/>
              <w:jc w:val="center"/>
              <w:rPr>
                <w:sz w:val="20"/>
              </w:rPr>
            </w:pPr>
            <w:r>
              <w:rPr>
                <w:w w:val="99"/>
                <w:sz w:val="20"/>
              </w:rPr>
              <w:t>4</w:t>
            </w:r>
          </w:p>
        </w:tc>
        <w:tc>
          <w:tcPr>
            <w:tcW w:w="900" w:type="dxa"/>
          </w:tcPr>
          <w:p w14:paraId="7C73C510" w14:textId="77777777" w:rsidR="00DB6E1F" w:rsidRDefault="00F666A6">
            <w:pPr>
              <w:pStyle w:val="TableParagraph"/>
              <w:ind w:left="7"/>
              <w:jc w:val="center"/>
              <w:rPr>
                <w:sz w:val="20"/>
              </w:rPr>
            </w:pPr>
            <w:r>
              <w:rPr>
                <w:w w:val="99"/>
                <w:sz w:val="20"/>
              </w:rPr>
              <w:t>5</w:t>
            </w:r>
          </w:p>
        </w:tc>
        <w:tc>
          <w:tcPr>
            <w:tcW w:w="900" w:type="dxa"/>
          </w:tcPr>
          <w:p w14:paraId="005BFC1D" w14:textId="77777777" w:rsidR="00DB6E1F" w:rsidRDefault="00F666A6">
            <w:pPr>
              <w:pStyle w:val="TableParagraph"/>
              <w:ind w:left="7"/>
              <w:jc w:val="center"/>
              <w:rPr>
                <w:sz w:val="20"/>
              </w:rPr>
            </w:pPr>
            <w:r>
              <w:rPr>
                <w:w w:val="99"/>
                <w:sz w:val="20"/>
              </w:rPr>
              <w:t>0</w:t>
            </w:r>
          </w:p>
        </w:tc>
      </w:tr>
      <w:tr w:rsidR="00DB6E1F" w14:paraId="341660FA" w14:textId="77777777">
        <w:trPr>
          <w:trHeight w:val="527"/>
        </w:trPr>
        <w:tc>
          <w:tcPr>
            <w:tcW w:w="3691" w:type="dxa"/>
          </w:tcPr>
          <w:p w14:paraId="2E1A7374" w14:textId="77777777" w:rsidR="00DB6E1F" w:rsidRDefault="00F666A6">
            <w:pPr>
              <w:pStyle w:val="TableParagraph"/>
              <w:spacing w:before="3"/>
              <w:ind w:left="163"/>
              <w:rPr>
                <w:sz w:val="20"/>
              </w:rPr>
            </w:pPr>
            <w:r>
              <w:rPr>
                <w:color w:val="4D4D4F"/>
                <w:sz w:val="20"/>
              </w:rPr>
              <w:t>17.</w:t>
            </w:r>
            <w:r>
              <w:rPr>
                <w:color w:val="4D4D4F"/>
                <w:spacing w:val="17"/>
                <w:sz w:val="20"/>
              </w:rPr>
              <w:t xml:space="preserve"> </w:t>
            </w:r>
            <w:r>
              <w:rPr>
                <w:color w:val="221F1F"/>
                <w:sz w:val="20"/>
              </w:rPr>
              <w:t>I</w:t>
            </w:r>
            <w:r>
              <w:rPr>
                <w:color w:val="221F1F"/>
                <w:spacing w:val="1"/>
                <w:sz w:val="20"/>
              </w:rPr>
              <w:t xml:space="preserve"> </w:t>
            </w:r>
            <w:r>
              <w:rPr>
                <w:color w:val="221F1F"/>
                <w:sz w:val="20"/>
              </w:rPr>
              <w:t>will</w:t>
            </w:r>
            <w:r>
              <w:rPr>
                <w:color w:val="221F1F"/>
                <w:spacing w:val="1"/>
                <w:sz w:val="20"/>
              </w:rPr>
              <w:t xml:space="preserve"> </w:t>
            </w:r>
            <w:r>
              <w:rPr>
                <w:color w:val="221F1F"/>
                <w:sz w:val="20"/>
              </w:rPr>
              <w:t>have difficulty</w:t>
            </w:r>
            <w:r>
              <w:rPr>
                <w:color w:val="221F1F"/>
                <w:spacing w:val="3"/>
                <w:sz w:val="20"/>
              </w:rPr>
              <w:t xml:space="preserve"> </w:t>
            </w:r>
            <w:r>
              <w:rPr>
                <w:color w:val="221F1F"/>
                <w:sz w:val="20"/>
              </w:rPr>
              <w:t>not</w:t>
            </w:r>
            <w:r>
              <w:rPr>
                <w:color w:val="221F1F"/>
                <w:spacing w:val="1"/>
                <w:sz w:val="20"/>
              </w:rPr>
              <w:t xml:space="preserve"> </w:t>
            </w:r>
            <w:r>
              <w:rPr>
                <w:color w:val="221F1F"/>
                <w:sz w:val="20"/>
              </w:rPr>
              <w:t>drinking</w:t>
            </w:r>
            <w:r>
              <w:rPr>
                <w:color w:val="221F1F"/>
                <w:spacing w:val="1"/>
                <w:sz w:val="20"/>
              </w:rPr>
              <w:t xml:space="preserve"> </w:t>
            </w:r>
            <w:r>
              <w:rPr>
                <w:color w:val="221F1F"/>
                <w:spacing w:val="-5"/>
                <w:sz w:val="20"/>
              </w:rPr>
              <w:t>or</w:t>
            </w:r>
          </w:p>
          <w:p w14:paraId="47CBF4BE" w14:textId="77777777" w:rsidR="00DB6E1F" w:rsidRDefault="00F666A6">
            <w:pPr>
              <w:pStyle w:val="TableParagraph"/>
              <w:spacing w:before="18" w:line="242" w:lineRule="exact"/>
              <w:ind w:left="523"/>
              <w:rPr>
                <w:sz w:val="20"/>
              </w:rPr>
            </w:pPr>
            <w:r>
              <w:rPr>
                <w:color w:val="221F1F"/>
                <w:sz w:val="20"/>
              </w:rPr>
              <w:t>using</w:t>
            </w:r>
            <w:r>
              <w:rPr>
                <w:color w:val="221F1F"/>
                <w:spacing w:val="-8"/>
                <w:sz w:val="20"/>
              </w:rPr>
              <w:t xml:space="preserve"> </w:t>
            </w:r>
            <w:r>
              <w:rPr>
                <w:color w:val="221F1F"/>
                <w:spacing w:val="-2"/>
                <w:sz w:val="20"/>
              </w:rPr>
              <w:t>drugs.</w:t>
            </w:r>
          </w:p>
        </w:tc>
        <w:tc>
          <w:tcPr>
            <w:tcW w:w="900" w:type="dxa"/>
          </w:tcPr>
          <w:p w14:paraId="7679016D" w14:textId="77777777" w:rsidR="00DB6E1F" w:rsidRDefault="00F666A6">
            <w:pPr>
              <w:pStyle w:val="TableParagraph"/>
              <w:spacing w:before="3"/>
              <w:ind w:left="7"/>
              <w:jc w:val="center"/>
              <w:rPr>
                <w:sz w:val="20"/>
              </w:rPr>
            </w:pPr>
            <w:r>
              <w:rPr>
                <w:w w:val="99"/>
                <w:sz w:val="20"/>
              </w:rPr>
              <w:t>1</w:t>
            </w:r>
          </w:p>
        </w:tc>
        <w:tc>
          <w:tcPr>
            <w:tcW w:w="989" w:type="dxa"/>
          </w:tcPr>
          <w:p w14:paraId="1B389BBA" w14:textId="77777777" w:rsidR="00DB6E1F" w:rsidRDefault="00F666A6">
            <w:pPr>
              <w:pStyle w:val="TableParagraph"/>
              <w:spacing w:before="3"/>
              <w:ind w:left="9"/>
              <w:jc w:val="center"/>
              <w:rPr>
                <w:sz w:val="20"/>
              </w:rPr>
            </w:pPr>
            <w:r>
              <w:rPr>
                <w:w w:val="99"/>
                <w:sz w:val="20"/>
              </w:rPr>
              <w:t>2</w:t>
            </w:r>
          </w:p>
        </w:tc>
        <w:tc>
          <w:tcPr>
            <w:tcW w:w="991" w:type="dxa"/>
          </w:tcPr>
          <w:p w14:paraId="65BADC0D" w14:textId="77777777" w:rsidR="00DB6E1F" w:rsidRDefault="00F666A6">
            <w:pPr>
              <w:pStyle w:val="TableParagraph"/>
              <w:spacing w:before="3"/>
              <w:ind w:left="7"/>
              <w:jc w:val="center"/>
              <w:rPr>
                <w:sz w:val="20"/>
              </w:rPr>
            </w:pPr>
            <w:r>
              <w:rPr>
                <w:w w:val="99"/>
                <w:sz w:val="20"/>
              </w:rPr>
              <w:t>3</w:t>
            </w:r>
          </w:p>
        </w:tc>
        <w:tc>
          <w:tcPr>
            <w:tcW w:w="989" w:type="dxa"/>
          </w:tcPr>
          <w:p w14:paraId="4C98C260" w14:textId="77777777" w:rsidR="00DB6E1F" w:rsidRDefault="00F666A6">
            <w:pPr>
              <w:pStyle w:val="TableParagraph"/>
              <w:spacing w:before="3"/>
              <w:ind w:left="9"/>
              <w:jc w:val="center"/>
              <w:rPr>
                <w:sz w:val="20"/>
              </w:rPr>
            </w:pPr>
            <w:r>
              <w:rPr>
                <w:w w:val="99"/>
                <w:sz w:val="20"/>
              </w:rPr>
              <w:t>4</w:t>
            </w:r>
          </w:p>
        </w:tc>
        <w:tc>
          <w:tcPr>
            <w:tcW w:w="900" w:type="dxa"/>
          </w:tcPr>
          <w:p w14:paraId="1B65CD0C" w14:textId="77777777" w:rsidR="00DB6E1F" w:rsidRDefault="00F666A6">
            <w:pPr>
              <w:pStyle w:val="TableParagraph"/>
              <w:spacing w:before="3"/>
              <w:ind w:left="7"/>
              <w:jc w:val="center"/>
              <w:rPr>
                <w:sz w:val="20"/>
              </w:rPr>
            </w:pPr>
            <w:r>
              <w:rPr>
                <w:w w:val="99"/>
                <w:sz w:val="20"/>
              </w:rPr>
              <w:t>5</w:t>
            </w:r>
          </w:p>
        </w:tc>
        <w:tc>
          <w:tcPr>
            <w:tcW w:w="900" w:type="dxa"/>
          </w:tcPr>
          <w:p w14:paraId="2B77F59D" w14:textId="77777777" w:rsidR="00DB6E1F" w:rsidRDefault="00F666A6">
            <w:pPr>
              <w:pStyle w:val="TableParagraph"/>
              <w:spacing w:before="3"/>
              <w:ind w:left="7"/>
              <w:jc w:val="center"/>
              <w:rPr>
                <w:sz w:val="20"/>
              </w:rPr>
            </w:pPr>
            <w:r>
              <w:rPr>
                <w:w w:val="99"/>
                <w:sz w:val="20"/>
              </w:rPr>
              <w:t>0</w:t>
            </w:r>
          </w:p>
        </w:tc>
      </w:tr>
      <w:tr w:rsidR="00DB6E1F" w14:paraId="15388CBA" w14:textId="77777777">
        <w:trPr>
          <w:trHeight w:val="263"/>
        </w:trPr>
        <w:tc>
          <w:tcPr>
            <w:tcW w:w="3691" w:type="dxa"/>
          </w:tcPr>
          <w:p w14:paraId="59932199" w14:textId="77777777" w:rsidR="00DB6E1F" w:rsidRDefault="00F666A6">
            <w:pPr>
              <w:pStyle w:val="TableParagraph"/>
              <w:spacing w:line="242" w:lineRule="exact"/>
              <w:ind w:left="163"/>
              <w:rPr>
                <w:sz w:val="20"/>
              </w:rPr>
            </w:pPr>
            <w:r>
              <w:rPr>
                <w:color w:val="4D4D4F"/>
                <w:sz w:val="20"/>
              </w:rPr>
              <w:t>18.</w:t>
            </w:r>
            <w:r>
              <w:rPr>
                <w:color w:val="4D4D4F"/>
                <w:spacing w:val="24"/>
                <w:sz w:val="20"/>
              </w:rPr>
              <w:t xml:space="preserve"> </w:t>
            </w:r>
            <w:r>
              <w:rPr>
                <w:color w:val="221F1F"/>
                <w:sz w:val="20"/>
              </w:rPr>
              <w:t>My</w:t>
            </w:r>
            <w:r>
              <w:rPr>
                <w:color w:val="221F1F"/>
                <w:spacing w:val="7"/>
                <w:sz w:val="20"/>
              </w:rPr>
              <w:t xml:space="preserve"> </w:t>
            </w:r>
            <w:r>
              <w:rPr>
                <w:color w:val="221F1F"/>
                <w:sz w:val="20"/>
              </w:rPr>
              <w:t>health</w:t>
            </w:r>
            <w:r>
              <w:rPr>
                <w:color w:val="221F1F"/>
                <w:spacing w:val="7"/>
                <w:sz w:val="20"/>
              </w:rPr>
              <w:t xml:space="preserve"> </w:t>
            </w:r>
            <w:r>
              <w:rPr>
                <w:color w:val="221F1F"/>
                <w:sz w:val="20"/>
              </w:rPr>
              <w:t>will</w:t>
            </w:r>
            <w:r>
              <w:rPr>
                <w:color w:val="221F1F"/>
                <w:spacing w:val="6"/>
                <w:sz w:val="20"/>
              </w:rPr>
              <w:t xml:space="preserve"> </w:t>
            </w:r>
            <w:r>
              <w:rPr>
                <w:color w:val="221F1F"/>
                <w:spacing w:val="-2"/>
                <w:sz w:val="20"/>
              </w:rPr>
              <w:t>improve.</w:t>
            </w:r>
          </w:p>
        </w:tc>
        <w:tc>
          <w:tcPr>
            <w:tcW w:w="900" w:type="dxa"/>
          </w:tcPr>
          <w:p w14:paraId="7C7CCF0F" w14:textId="77777777" w:rsidR="00DB6E1F" w:rsidRDefault="00F666A6">
            <w:pPr>
              <w:pStyle w:val="TableParagraph"/>
              <w:spacing w:line="242" w:lineRule="exact"/>
              <w:ind w:left="7"/>
              <w:jc w:val="center"/>
              <w:rPr>
                <w:sz w:val="20"/>
              </w:rPr>
            </w:pPr>
            <w:r>
              <w:rPr>
                <w:w w:val="99"/>
                <w:sz w:val="20"/>
              </w:rPr>
              <w:t>1</w:t>
            </w:r>
          </w:p>
        </w:tc>
        <w:tc>
          <w:tcPr>
            <w:tcW w:w="989" w:type="dxa"/>
          </w:tcPr>
          <w:p w14:paraId="5B20628A" w14:textId="77777777" w:rsidR="00DB6E1F" w:rsidRDefault="00F666A6">
            <w:pPr>
              <w:pStyle w:val="TableParagraph"/>
              <w:spacing w:line="242" w:lineRule="exact"/>
              <w:ind w:left="9"/>
              <w:jc w:val="center"/>
              <w:rPr>
                <w:sz w:val="20"/>
              </w:rPr>
            </w:pPr>
            <w:r>
              <w:rPr>
                <w:w w:val="99"/>
                <w:sz w:val="20"/>
              </w:rPr>
              <w:t>2</w:t>
            </w:r>
          </w:p>
        </w:tc>
        <w:tc>
          <w:tcPr>
            <w:tcW w:w="991" w:type="dxa"/>
          </w:tcPr>
          <w:p w14:paraId="04713E26" w14:textId="77777777" w:rsidR="00DB6E1F" w:rsidRDefault="00F666A6">
            <w:pPr>
              <w:pStyle w:val="TableParagraph"/>
              <w:spacing w:line="242" w:lineRule="exact"/>
              <w:ind w:left="7"/>
              <w:jc w:val="center"/>
              <w:rPr>
                <w:sz w:val="20"/>
              </w:rPr>
            </w:pPr>
            <w:r>
              <w:rPr>
                <w:w w:val="99"/>
                <w:sz w:val="20"/>
              </w:rPr>
              <w:t>3</w:t>
            </w:r>
          </w:p>
        </w:tc>
        <w:tc>
          <w:tcPr>
            <w:tcW w:w="989" w:type="dxa"/>
          </w:tcPr>
          <w:p w14:paraId="0769EE82" w14:textId="77777777" w:rsidR="00DB6E1F" w:rsidRDefault="00F666A6">
            <w:pPr>
              <w:pStyle w:val="TableParagraph"/>
              <w:spacing w:line="242" w:lineRule="exact"/>
              <w:ind w:left="9"/>
              <w:jc w:val="center"/>
              <w:rPr>
                <w:sz w:val="20"/>
              </w:rPr>
            </w:pPr>
            <w:r>
              <w:rPr>
                <w:w w:val="99"/>
                <w:sz w:val="20"/>
              </w:rPr>
              <w:t>4</w:t>
            </w:r>
          </w:p>
        </w:tc>
        <w:tc>
          <w:tcPr>
            <w:tcW w:w="900" w:type="dxa"/>
          </w:tcPr>
          <w:p w14:paraId="05EF9545" w14:textId="77777777" w:rsidR="00DB6E1F" w:rsidRDefault="00F666A6">
            <w:pPr>
              <w:pStyle w:val="TableParagraph"/>
              <w:spacing w:line="242" w:lineRule="exact"/>
              <w:ind w:left="7"/>
              <w:jc w:val="center"/>
              <w:rPr>
                <w:sz w:val="20"/>
              </w:rPr>
            </w:pPr>
            <w:r>
              <w:rPr>
                <w:w w:val="99"/>
                <w:sz w:val="20"/>
              </w:rPr>
              <w:t>5</w:t>
            </w:r>
          </w:p>
        </w:tc>
        <w:tc>
          <w:tcPr>
            <w:tcW w:w="900" w:type="dxa"/>
          </w:tcPr>
          <w:p w14:paraId="533E39B4" w14:textId="77777777" w:rsidR="00DB6E1F" w:rsidRDefault="00F666A6">
            <w:pPr>
              <w:pStyle w:val="TableParagraph"/>
              <w:spacing w:line="242" w:lineRule="exact"/>
              <w:ind w:left="7"/>
              <w:jc w:val="center"/>
              <w:rPr>
                <w:sz w:val="20"/>
              </w:rPr>
            </w:pPr>
            <w:r>
              <w:rPr>
                <w:w w:val="99"/>
                <w:sz w:val="20"/>
              </w:rPr>
              <w:t>0</w:t>
            </w:r>
          </w:p>
        </w:tc>
      </w:tr>
      <w:tr w:rsidR="00DB6E1F" w14:paraId="0D5FE92F" w14:textId="77777777">
        <w:trPr>
          <w:trHeight w:val="263"/>
        </w:trPr>
        <w:tc>
          <w:tcPr>
            <w:tcW w:w="3691" w:type="dxa"/>
          </w:tcPr>
          <w:p w14:paraId="357B8959" w14:textId="77777777" w:rsidR="00DB6E1F" w:rsidRDefault="00F666A6">
            <w:pPr>
              <w:pStyle w:val="TableParagraph"/>
              <w:spacing w:line="242" w:lineRule="exact"/>
              <w:ind w:left="163"/>
              <w:rPr>
                <w:sz w:val="20"/>
              </w:rPr>
            </w:pPr>
            <w:r>
              <w:rPr>
                <w:color w:val="4D4D4F"/>
                <w:sz w:val="20"/>
              </w:rPr>
              <w:t>19.</w:t>
            </w:r>
            <w:r>
              <w:rPr>
                <w:color w:val="4D4D4F"/>
                <w:spacing w:val="25"/>
                <w:sz w:val="20"/>
              </w:rPr>
              <w:t xml:space="preserve"> </w:t>
            </w:r>
            <w:r>
              <w:rPr>
                <w:color w:val="221F1F"/>
                <w:sz w:val="20"/>
              </w:rPr>
              <w:t>I</w:t>
            </w:r>
            <w:r>
              <w:rPr>
                <w:color w:val="221F1F"/>
                <w:spacing w:val="8"/>
                <w:sz w:val="20"/>
              </w:rPr>
              <w:t xml:space="preserve"> </w:t>
            </w:r>
            <w:r>
              <w:rPr>
                <w:color w:val="221F1F"/>
                <w:sz w:val="20"/>
              </w:rPr>
              <w:t>will</w:t>
            </w:r>
            <w:r>
              <w:rPr>
                <w:color w:val="221F1F"/>
                <w:spacing w:val="7"/>
                <w:sz w:val="20"/>
              </w:rPr>
              <w:t xml:space="preserve"> </w:t>
            </w:r>
            <w:r>
              <w:rPr>
                <w:color w:val="221F1F"/>
                <w:sz w:val="20"/>
              </w:rPr>
              <w:t>live</w:t>
            </w:r>
            <w:r>
              <w:rPr>
                <w:color w:val="221F1F"/>
                <w:spacing w:val="6"/>
                <w:sz w:val="20"/>
              </w:rPr>
              <w:t xml:space="preserve"> </w:t>
            </w:r>
            <w:r>
              <w:rPr>
                <w:color w:val="221F1F"/>
                <w:spacing w:val="-2"/>
                <w:sz w:val="20"/>
              </w:rPr>
              <w:t>longer.</w:t>
            </w:r>
          </w:p>
        </w:tc>
        <w:tc>
          <w:tcPr>
            <w:tcW w:w="900" w:type="dxa"/>
          </w:tcPr>
          <w:p w14:paraId="5F50E3A3" w14:textId="77777777" w:rsidR="00DB6E1F" w:rsidRDefault="00F666A6">
            <w:pPr>
              <w:pStyle w:val="TableParagraph"/>
              <w:spacing w:line="242" w:lineRule="exact"/>
              <w:ind w:left="7"/>
              <w:jc w:val="center"/>
              <w:rPr>
                <w:sz w:val="20"/>
              </w:rPr>
            </w:pPr>
            <w:r>
              <w:rPr>
                <w:w w:val="99"/>
                <w:sz w:val="20"/>
              </w:rPr>
              <w:t>1</w:t>
            </w:r>
          </w:p>
        </w:tc>
        <w:tc>
          <w:tcPr>
            <w:tcW w:w="989" w:type="dxa"/>
          </w:tcPr>
          <w:p w14:paraId="3D39C8EB" w14:textId="77777777" w:rsidR="00DB6E1F" w:rsidRDefault="00F666A6">
            <w:pPr>
              <w:pStyle w:val="TableParagraph"/>
              <w:spacing w:line="242" w:lineRule="exact"/>
              <w:ind w:left="9"/>
              <w:jc w:val="center"/>
              <w:rPr>
                <w:sz w:val="20"/>
              </w:rPr>
            </w:pPr>
            <w:r>
              <w:rPr>
                <w:w w:val="99"/>
                <w:sz w:val="20"/>
              </w:rPr>
              <w:t>2</w:t>
            </w:r>
          </w:p>
        </w:tc>
        <w:tc>
          <w:tcPr>
            <w:tcW w:w="991" w:type="dxa"/>
          </w:tcPr>
          <w:p w14:paraId="6CDDBE01" w14:textId="77777777" w:rsidR="00DB6E1F" w:rsidRDefault="00F666A6">
            <w:pPr>
              <w:pStyle w:val="TableParagraph"/>
              <w:spacing w:line="242" w:lineRule="exact"/>
              <w:ind w:left="7"/>
              <w:jc w:val="center"/>
              <w:rPr>
                <w:sz w:val="20"/>
              </w:rPr>
            </w:pPr>
            <w:r>
              <w:rPr>
                <w:w w:val="99"/>
                <w:sz w:val="20"/>
              </w:rPr>
              <w:t>3</w:t>
            </w:r>
          </w:p>
        </w:tc>
        <w:tc>
          <w:tcPr>
            <w:tcW w:w="989" w:type="dxa"/>
          </w:tcPr>
          <w:p w14:paraId="11CF1604" w14:textId="77777777" w:rsidR="00DB6E1F" w:rsidRDefault="00F666A6">
            <w:pPr>
              <w:pStyle w:val="TableParagraph"/>
              <w:spacing w:line="242" w:lineRule="exact"/>
              <w:ind w:left="9"/>
              <w:jc w:val="center"/>
              <w:rPr>
                <w:sz w:val="20"/>
              </w:rPr>
            </w:pPr>
            <w:r>
              <w:rPr>
                <w:w w:val="99"/>
                <w:sz w:val="20"/>
              </w:rPr>
              <w:t>4</w:t>
            </w:r>
          </w:p>
        </w:tc>
        <w:tc>
          <w:tcPr>
            <w:tcW w:w="900" w:type="dxa"/>
          </w:tcPr>
          <w:p w14:paraId="508C4F6D" w14:textId="77777777" w:rsidR="00DB6E1F" w:rsidRDefault="00F666A6">
            <w:pPr>
              <w:pStyle w:val="TableParagraph"/>
              <w:spacing w:line="242" w:lineRule="exact"/>
              <w:ind w:left="7"/>
              <w:jc w:val="center"/>
              <w:rPr>
                <w:sz w:val="20"/>
              </w:rPr>
            </w:pPr>
            <w:r>
              <w:rPr>
                <w:w w:val="99"/>
                <w:sz w:val="20"/>
              </w:rPr>
              <w:t>5</w:t>
            </w:r>
          </w:p>
        </w:tc>
        <w:tc>
          <w:tcPr>
            <w:tcW w:w="900" w:type="dxa"/>
          </w:tcPr>
          <w:p w14:paraId="31CFD660" w14:textId="77777777" w:rsidR="00DB6E1F" w:rsidRDefault="00F666A6">
            <w:pPr>
              <w:pStyle w:val="TableParagraph"/>
              <w:spacing w:line="242" w:lineRule="exact"/>
              <w:ind w:left="7"/>
              <w:jc w:val="center"/>
              <w:rPr>
                <w:sz w:val="20"/>
              </w:rPr>
            </w:pPr>
            <w:r>
              <w:rPr>
                <w:w w:val="99"/>
                <w:sz w:val="20"/>
              </w:rPr>
              <w:t>0</w:t>
            </w:r>
          </w:p>
        </w:tc>
      </w:tr>
      <w:tr w:rsidR="00DB6E1F" w14:paraId="60A9ACB1" w14:textId="77777777">
        <w:trPr>
          <w:trHeight w:val="263"/>
        </w:trPr>
        <w:tc>
          <w:tcPr>
            <w:tcW w:w="3691" w:type="dxa"/>
          </w:tcPr>
          <w:p w14:paraId="33816E6A" w14:textId="77777777" w:rsidR="00DB6E1F" w:rsidRDefault="00F666A6">
            <w:pPr>
              <w:pStyle w:val="TableParagraph"/>
              <w:spacing w:line="242" w:lineRule="exact"/>
              <w:ind w:left="163"/>
              <w:rPr>
                <w:sz w:val="20"/>
              </w:rPr>
            </w:pPr>
            <w:r>
              <w:rPr>
                <w:color w:val="4D4D4F"/>
                <w:sz w:val="20"/>
              </w:rPr>
              <w:t>20.</w:t>
            </w:r>
            <w:r>
              <w:rPr>
                <w:color w:val="4D4D4F"/>
                <w:spacing w:val="19"/>
                <w:sz w:val="20"/>
              </w:rPr>
              <w:t xml:space="preserve"> </w:t>
            </w:r>
            <w:r>
              <w:rPr>
                <w:color w:val="221F1F"/>
                <w:sz w:val="20"/>
              </w:rPr>
              <w:t>I</w:t>
            </w:r>
            <w:r>
              <w:rPr>
                <w:color w:val="221F1F"/>
                <w:spacing w:val="2"/>
                <w:sz w:val="20"/>
              </w:rPr>
              <w:t xml:space="preserve"> </w:t>
            </w:r>
            <w:r>
              <w:rPr>
                <w:color w:val="221F1F"/>
                <w:sz w:val="20"/>
              </w:rPr>
              <w:t>will</w:t>
            </w:r>
            <w:r>
              <w:rPr>
                <w:color w:val="221F1F"/>
                <w:spacing w:val="2"/>
                <w:sz w:val="20"/>
              </w:rPr>
              <w:t xml:space="preserve"> </w:t>
            </w:r>
            <w:r>
              <w:rPr>
                <w:color w:val="221F1F"/>
                <w:sz w:val="20"/>
              </w:rPr>
              <w:t>be</w:t>
            </w:r>
            <w:r>
              <w:rPr>
                <w:color w:val="221F1F"/>
                <w:spacing w:val="2"/>
                <w:sz w:val="20"/>
              </w:rPr>
              <w:t xml:space="preserve"> </w:t>
            </w:r>
            <w:r>
              <w:rPr>
                <w:color w:val="221F1F"/>
                <w:sz w:val="20"/>
              </w:rPr>
              <w:t>more</w:t>
            </w:r>
            <w:r>
              <w:rPr>
                <w:color w:val="221F1F"/>
                <w:spacing w:val="1"/>
                <w:sz w:val="20"/>
              </w:rPr>
              <w:t xml:space="preserve"> </w:t>
            </w:r>
            <w:r>
              <w:rPr>
                <w:color w:val="221F1F"/>
                <w:sz w:val="20"/>
              </w:rPr>
              <w:t>in</w:t>
            </w:r>
            <w:r>
              <w:rPr>
                <w:color w:val="221F1F"/>
                <w:spacing w:val="3"/>
                <w:sz w:val="20"/>
              </w:rPr>
              <w:t xml:space="preserve"> </w:t>
            </w:r>
            <w:r>
              <w:rPr>
                <w:color w:val="221F1F"/>
                <w:sz w:val="20"/>
              </w:rPr>
              <w:t>control</w:t>
            </w:r>
            <w:r>
              <w:rPr>
                <w:color w:val="221F1F"/>
                <w:spacing w:val="3"/>
                <w:sz w:val="20"/>
              </w:rPr>
              <w:t xml:space="preserve"> </w:t>
            </w:r>
            <w:r>
              <w:rPr>
                <w:color w:val="221F1F"/>
                <w:sz w:val="20"/>
              </w:rPr>
              <w:t>of</w:t>
            </w:r>
            <w:r>
              <w:rPr>
                <w:color w:val="221F1F"/>
                <w:spacing w:val="1"/>
                <w:sz w:val="20"/>
              </w:rPr>
              <w:t xml:space="preserve"> </w:t>
            </w:r>
            <w:r>
              <w:rPr>
                <w:color w:val="221F1F"/>
                <w:spacing w:val="-2"/>
                <w:sz w:val="20"/>
              </w:rPr>
              <w:t>life.</w:t>
            </w:r>
          </w:p>
        </w:tc>
        <w:tc>
          <w:tcPr>
            <w:tcW w:w="900" w:type="dxa"/>
          </w:tcPr>
          <w:p w14:paraId="0775B725" w14:textId="77777777" w:rsidR="00DB6E1F" w:rsidRDefault="00F666A6">
            <w:pPr>
              <w:pStyle w:val="TableParagraph"/>
              <w:spacing w:line="242" w:lineRule="exact"/>
              <w:ind w:left="7"/>
              <w:jc w:val="center"/>
              <w:rPr>
                <w:sz w:val="20"/>
              </w:rPr>
            </w:pPr>
            <w:r>
              <w:rPr>
                <w:w w:val="99"/>
                <w:sz w:val="20"/>
              </w:rPr>
              <w:t>1</w:t>
            </w:r>
          </w:p>
        </w:tc>
        <w:tc>
          <w:tcPr>
            <w:tcW w:w="989" w:type="dxa"/>
          </w:tcPr>
          <w:p w14:paraId="49FFC9BA" w14:textId="77777777" w:rsidR="00DB6E1F" w:rsidRDefault="00F666A6">
            <w:pPr>
              <w:pStyle w:val="TableParagraph"/>
              <w:spacing w:line="242" w:lineRule="exact"/>
              <w:ind w:left="9"/>
              <w:jc w:val="center"/>
              <w:rPr>
                <w:sz w:val="20"/>
              </w:rPr>
            </w:pPr>
            <w:r>
              <w:rPr>
                <w:w w:val="99"/>
                <w:sz w:val="20"/>
              </w:rPr>
              <w:t>2</w:t>
            </w:r>
          </w:p>
        </w:tc>
        <w:tc>
          <w:tcPr>
            <w:tcW w:w="991" w:type="dxa"/>
          </w:tcPr>
          <w:p w14:paraId="74EAC2C1" w14:textId="77777777" w:rsidR="00DB6E1F" w:rsidRDefault="00F666A6">
            <w:pPr>
              <w:pStyle w:val="TableParagraph"/>
              <w:spacing w:line="242" w:lineRule="exact"/>
              <w:ind w:left="7"/>
              <w:jc w:val="center"/>
              <w:rPr>
                <w:sz w:val="20"/>
              </w:rPr>
            </w:pPr>
            <w:r>
              <w:rPr>
                <w:w w:val="99"/>
                <w:sz w:val="20"/>
              </w:rPr>
              <w:t>3</w:t>
            </w:r>
          </w:p>
        </w:tc>
        <w:tc>
          <w:tcPr>
            <w:tcW w:w="989" w:type="dxa"/>
          </w:tcPr>
          <w:p w14:paraId="6D3E4C50" w14:textId="77777777" w:rsidR="00DB6E1F" w:rsidRDefault="00F666A6">
            <w:pPr>
              <w:pStyle w:val="TableParagraph"/>
              <w:spacing w:line="242" w:lineRule="exact"/>
              <w:ind w:left="9"/>
              <w:jc w:val="center"/>
              <w:rPr>
                <w:sz w:val="20"/>
              </w:rPr>
            </w:pPr>
            <w:r>
              <w:rPr>
                <w:w w:val="99"/>
                <w:sz w:val="20"/>
              </w:rPr>
              <w:t>4</w:t>
            </w:r>
          </w:p>
        </w:tc>
        <w:tc>
          <w:tcPr>
            <w:tcW w:w="900" w:type="dxa"/>
          </w:tcPr>
          <w:p w14:paraId="0A028FFA" w14:textId="77777777" w:rsidR="00DB6E1F" w:rsidRDefault="00F666A6">
            <w:pPr>
              <w:pStyle w:val="TableParagraph"/>
              <w:spacing w:line="242" w:lineRule="exact"/>
              <w:ind w:left="7"/>
              <w:jc w:val="center"/>
              <w:rPr>
                <w:sz w:val="20"/>
              </w:rPr>
            </w:pPr>
            <w:r>
              <w:rPr>
                <w:w w:val="99"/>
                <w:sz w:val="20"/>
              </w:rPr>
              <w:t>5</w:t>
            </w:r>
          </w:p>
        </w:tc>
        <w:tc>
          <w:tcPr>
            <w:tcW w:w="900" w:type="dxa"/>
          </w:tcPr>
          <w:p w14:paraId="1F5A277D" w14:textId="77777777" w:rsidR="00DB6E1F" w:rsidRDefault="00F666A6">
            <w:pPr>
              <w:pStyle w:val="TableParagraph"/>
              <w:spacing w:line="242" w:lineRule="exact"/>
              <w:ind w:left="7"/>
              <w:jc w:val="center"/>
              <w:rPr>
                <w:sz w:val="20"/>
              </w:rPr>
            </w:pPr>
            <w:r>
              <w:rPr>
                <w:w w:val="99"/>
                <w:sz w:val="20"/>
              </w:rPr>
              <w:t>0</w:t>
            </w:r>
          </w:p>
        </w:tc>
      </w:tr>
      <w:tr w:rsidR="00DB6E1F" w14:paraId="392503EC" w14:textId="77777777">
        <w:trPr>
          <w:trHeight w:val="263"/>
        </w:trPr>
        <w:tc>
          <w:tcPr>
            <w:tcW w:w="3691" w:type="dxa"/>
          </w:tcPr>
          <w:p w14:paraId="6852EAAC" w14:textId="77777777" w:rsidR="00DB6E1F" w:rsidRDefault="00F666A6">
            <w:pPr>
              <w:pStyle w:val="TableParagraph"/>
              <w:spacing w:line="242" w:lineRule="exact"/>
              <w:ind w:left="163"/>
              <w:rPr>
                <w:sz w:val="20"/>
              </w:rPr>
            </w:pPr>
            <w:r>
              <w:rPr>
                <w:color w:val="4D4D4F"/>
                <w:sz w:val="20"/>
              </w:rPr>
              <w:t>21.</w:t>
            </w:r>
            <w:r>
              <w:rPr>
                <w:color w:val="4D4D4F"/>
                <w:spacing w:val="25"/>
                <w:sz w:val="20"/>
              </w:rPr>
              <w:t xml:space="preserve"> </w:t>
            </w:r>
            <w:r>
              <w:rPr>
                <w:color w:val="221F1F"/>
                <w:sz w:val="20"/>
              </w:rPr>
              <w:t>I</w:t>
            </w:r>
            <w:r>
              <w:rPr>
                <w:color w:val="221F1F"/>
                <w:spacing w:val="8"/>
                <w:sz w:val="20"/>
              </w:rPr>
              <w:t xml:space="preserve"> </w:t>
            </w:r>
            <w:r>
              <w:rPr>
                <w:color w:val="221F1F"/>
                <w:sz w:val="20"/>
              </w:rPr>
              <w:t>will</w:t>
            </w:r>
            <w:r>
              <w:rPr>
                <w:color w:val="221F1F"/>
                <w:spacing w:val="7"/>
                <w:sz w:val="20"/>
              </w:rPr>
              <w:t xml:space="preserve"> </w:t>
            </w:r>
            <w:r>
              <w:rPr>
                <w:color w:val="221F1F"/>
                <w:sz w:val="20"/>
              </w:rPr>
              <w:t>feel</w:t>
            </w:r>
            <w:r>
              <w:rPr>
                <w:color w:val="221F1F"/>
                <w:spacing w:val="7"/>
                <w:sz w:val="20"/>
              </w:rPr>
              <w:t xml:space="preserve"> </w:t>
            </w:r>
            <w:r>
              <w:rPr>
                <w:color w:val="221F1F"/>
                <w:spacing w:val="-2"/>
                <w:sz w:val="20"/>
              </w:rPr>
              <w:t>bored.</w:t>
            </w:r>
          </w:p>
        </w:tc>
        <w:tc>
          <w:tcPr>
            <w:tcW w:w="900" w:type="dxa"/>
          </w:tcPr>
          <w:p w14:paraId="5001C9A9" w14:textId="77777777" w:rsidR="00DB6E1F" w:rsidRDefault="00F666A6">
            <w:pPr>
              <w:pStyle w:val="TableParagraph"/>
              <w:spacing w:line="242" w:lineRule="exact"/>
              <w:ind w:left="7"/>
              <w:jc w:val="center"/>
              <w:rPr>
                <w:sz w:val="20"/>
              </w:rPr>
            </w:pPr>
            <w:r>
              <w:rPr>
                <w:w w:val="99"/>
                <w:sz w:val="20"/>
              </w:rPr>
              <w:t>1</w:t>
            </w:r>
          </w:p>
        </w:tc>
        <w:tc>
          <w:tcPr>
            <w:tcW w:w="989" w:type="dxa"/>
          </w:tcPr>
          <w:p w14:paraId="6FA237ED" w14:textId="77777777" w:rsidR="00DB6E1F" w:rsidRDefault="00F666A6">
            <w:pPr>
              <w:pStyle w:val="TableParagraph"/>
              <w:spacing w:line="242" w:lineRule="exact"/>
              <w:ind w:left="9"/>
              <w:jc w:val="center"/>
              <w:rPr>
                <w:sz w:val="20"/>
              </w:rPr>
            </w:pPr>
            <w:r>
              <w:rPr>
                <w:w w:val="99"/>
                <w:sz w:val="20"/>
              </w:rPr>
              <w:t>2</w:t>
            </w:r>
          </w:p>
        </w:tc>
        <w:tc>
          <w:tcPr>
            <w:tcW w:w="991" w:type="dxa"/>
          </w:tcPr>
          <w:p w14:paraId="3D486FA4" w14:textId="77777777" w:rsidR="00DB6E1F" w:rsidRDefault="00F666A6">
            <w:pPr>
              <w:pStyle w:val="TableParagraph"/>
              <w:spacing w:line="242" w:lineRule="exact"/>
              <w:ind w:left="7"/>
              <w:jc w:val="center"/>
              <w:rPr>
                <w:sz w:val="20"/>
              </w:rPr>
            </w:pPr>
            <w:r>
              <w:rPr>
                <w:w w:val="99"/>
                <w:sz w:val="20"/>
              </w:rPr>
              <w:t>3</w:t>
            </w:r>
          </w:p>
        </w:tc>
        <w:tc>
          <w:tcPr>
            <w:tcW w:w="989" w:type="dxa"/>
          </w:tcPr>
          <w:p w14:paraId="1EEFB9D3" w14:textId="77777777" w:rsidR="00DB6E1F" w:rsidRDefault="00F666A6">
            <w:pPr>
              <w:pStyle w:val="TableParagraph"/>
              <w:spacing w:line="242" w:lineRule="exact"/>
              <w:ind w:left="9"/>
              <w:jc w:val="center"/>
              <w:rPr>
                <w:sz w:val="20"/>
              </w:rPr>
            </w:pPr>
            <w:r>
              <w:rPr>
                <w:w w:val="99"/>
                <w:sz w:val="20"/>
              </w:rPr>
              <w:t>4</w:t>
            </w:r>
          </w:p>
        </w:tc>
        <w:tc>
          <w:tcPr>
            <w:tcW w:w="900" w:type="dxa"/>
          </w:tcPr>
          <w:p w14:paraId="6DB8A5EC" w14:textId="77777777" w:rsidR="00DB6E1F" w:rsidRDefault="00F666A6">
            <w:pPr>
              <w:pStyle w:val="TableParagraph"/>
              <w:spacing w:line="242" w:lineRule="exact"/>
              <w:ind w:left="7"/>
              <w:jc w:val="center"/>
              <w:rPr>
                <w:sz w:val="20"/>
              </w:rPr>
            </w:pPr>
            <w:r>
              <w:rPr>
                <w:w w:val="99"/>
                <w:sz w:val="20"/>
              </w:rPr>
              <w:t>5</w:t>
            </w:r>
          </w:p>
        </w:tc>
        <w:tc>
          <w:tcPr>
            <w:tcW w:w="900" w:type="dxa"/>
          </w:tcPr>
          <w:p w14:paraId="5FC23981" w14:textId="77777777" w:rsidR="00DB6E1F" w:rsidRDefault="00F666A6">
            <w:pPr>
              <w:pStyle w:val="TableParagraph"/>
              <w:spacing w:line="242" w:lineRule="exact"/>
              <w:ind w:left="7"/>
              <w:jc w:val="center"/>
              <w:rPr>
                <w:sz w:val="20"/>
              </w:rPr>
            </w:pPr>
            <w:r>
              <w:rPr>
                <w:w w:val="99"/>
                <w:sz w:val="20"/>
              </w:rPr>
              <w:t>0</w:t>
            </w:r>
          </w:p>
        </w:tc>
      </w:tr>
      <w:tr w:rsidR="00DB6E1F" w14:paraId="51916FA8" w14:textId="77777777">
        <w:trPr>
          <w:trHeight w:val="263"/>
        </w:trPr>
        <w:tc>
          <w:tcPr>
            <w:tcW w:w="3691" w:type="dxa"/>
          </w:tcPr>
          <w:p w14:paraId="5C144A73" w14:textId="77777777" w:rsidR="00DB6E1F" w:rsidRDefault="00F666A6">
            <w:pPr>
              <w:pStyle w:val="TableParagraph"/>
              <w:spacing w:line="242" w:lineRule="exact"/>
              <w:ind w:left="163"/>
              <w:rPr>
                <w:sz w:val="20"/>
              </w:rPr>
            </w:pPr>
            <w:r>
              <w:rPr>
                <w:color w:val="4D4D4F"/>
                <w:sz w:val="20"/>
              </w:rPr>
              <w:t>22.</w:t>
            </w:r>
            <w:r>
              <w:rPr>
                <w:color w:val="4D4D4F"/>
                <w:spacing w:val="26"/>
                <w:sz w:val="20"/>
              </w:rPr>
              <w:t xml:space="preserve"> </w:t>
            </w:r>
            <w:r>
              <w:rPr>
                <w:color w:val="221F1F"/>
                <w:sz w:val="20"/>
              </w:rPr>
              <w:t>I</w:t>
            </w:r>
            <w:r>
              <w:rPr>
                <w:color w:val="221F1F"/>
                <w:spacing w:val="8"/>
                <w:sz w:val="20"/>
              </w:rPr>
              <w:t xml:space="preserve"> </w:t>
            </w:r>
            <w:r>
              <w:rPr>
                <w:color w:val="221F1F"/>
                <w:sz w:val="20"/>
              </w:rPr>
              <w:t>will</w:t>
            </w:r>
            <w:r>
              <w:rPr>
                <w:color w:val="221F1F"/>
                <w:spacing w:val="8"/>
                <w:sz w:val="20"/>
              </w:rPr>
              <w:t xml:space="preserve"> </w:t>
            </w:r>
            <w:r>
              <w:rPr>
                <w:color w:val="221F1F"/>
                <w:sz w:val="20"/>
              </w:rPr>
              <w:t>be</w:t>
            </w:r>
            <w:r>
              <w:rPr>
                <w:color w:val="221F1F"/>
                <w:spacing w:val="6"/>
                <w:sz w:val="20"/>
              </w:rPr>
              <w:t xml:space="preserve"> </w:t>
            </w:r>
            <w:r>
              <w:rPr>
                <w:color w:val="221F1F"/>
                <w:spacing w:val="-2"/>
                <w:sz w:val="20"/>
              </w:rPr>
              <w:t>irritable.</w:t>
            </w:r>
          </w:p>
        </w:tc>
        <w:tc>
          <w:tcPr>
            <w:tcW w:w="900" w:type="dxa"/>
          </w:tcPr>
          <w:p w14:paraId="11791631" w14:textId="77777777" w:rsidR="00DB6E1F" w:rsidRDefault="00F666A6">
            <w:pPr>
              <w:pStyle w:val="TableParagraph"/>
              <w:spacing w:line="242" w:lineRule="exact"/>
              <w:ind w:left="7"/>
              <w:jc w:val="center"/>
              <w:rPr>
                <w:sz w:val="20"/>
              </w:rPr>
            </w:pPr>
            <w:r>
              <w:rPr>
                <w:w w:val="99"/>
                <w:sz w:val="20"/>
              </w:rPr>
              <w:t>1</w:t>
            </w:r>
          </w:p>
        </w:tc>
        <w:tc>
          <w:tcPr>
            <w:tcW w:w="989" w:type="dxa"/>
          </w:tcPr>
          <w:p w14:paraId="6D55054E" w14:textId="77777777" w:rsidR="00DB6E1F" w:rsidRDefault="00F666A6">
            <w:pPr>
              <w:pStyle w:val="TableParagraph"/>
              <w:spacing w:line="242" w:lineRule="exact"/>
              <w:ind w:left="9"/>
              <w:jc w:val="center"/>
              <w:rPr>
                <w:sz w:val="20"/>
              </w:rPr>
            </w:pPr>
            <w:r>
              <w:rPr>
                <w:w w:val="99"/>
                <w:sz w:val="20"/>
              </w:rPr>
              <w:t>2</w:t>
            </w:r>
          </w:p>
        </w:tc>
        <w:tc>
          <w:tcPr>
            <w:tcW w:w="991" w:type="dxa"/>
          </w:tcPr>
          <w:p w14:paraId="71B96151" w14:textId="77777777" w:rsidR="00DB6E1F" w:rsidRDefault="00F666A6">
            <w:pPr>
              <w:pStyle w:val="TableParagraph"/>
              <w:spacing w:line="242" w:lineRule="exact"/>
              <w:ind w:left="7"/>
              <w:jc w:val="center"/>
              <w:rPr>
                <w:sz w:val="20"/>
              </w:rPr>
            </w:pPr>
            <w:r>
              <w:rPr>
                <w:w w:val="99"/>
                <w:sz w:val="20"/>
              </w:rPr>
              <w:t>3</w:t>
            </w:r>
          </w:p>
        </w:tc>
        <w:tc>
          <w:tcPr>
            <w:tcW w:w="989" w:type="dxa"/>
          </w:tcPr>
          <w:p w14:paraId="6FD7547D" w14:textId="77777777" w:rsidR="00DB6E1F" w:rsidRDefault="00F666A6">
            <w:pPr>
              <w:pStyle w:val="TableParagraph"/>
              <w:spacing w:line="242" w:lineRule="exact"/>
              <w:ind w:left="9"/>
              <w:jc w:val="center"/>
              <w:rPr>
                <w:sz w:val="20"/>
              </w:rPr>
            </w:pPr>
            <w:r>
              <w:rPr>
                <w:w w:val="99"/>
                <w:sz w:val="20"/>
              </w:rPr>
              <w:t>4</w:t>
            </w:r>
          </w:p>
        </w:tc>
        <w:tc>
          <w:tcPr>
            <w:tcW w:w="900" w:type="dxa"/>
          </w:tcPr>
          <w:p w14:paraId="32D12730" w14:textId="77777777" w:rsidR="00DB6E1F" w:rsidRDefault="00F666A6">
            <w:pPr>
              <w:pStyle w:val="TableParagraph"/>
              <w:spacing w:line="242" w:lineRule="exact"/>
              <w:ind w:left="7"/>
              <w:jc w:val="center"/>
              <w:rPr>
                <w:sz w:val="20"/>
              </w:rPr>
            </w:pPr>
            <w:r>
              <w:rPr>
                <w:w w:val="99"/>
                <w:sz w:val="20"/>
              </w:rPr>
              <w:t>5</w:t>
            </w:r>
          </w:p>
        </w:tc>
        <w:tc>
          <w:tcPr>
            <w:tcW w:w="900" w:type="dxa"/>
          </w:tcPr>
          <w:p w14:paraId="1CD925F2" w14:textId="77777777" w:rsidR="00DB6E1F" w:rsidRDefault="00F666A6">
            <w:pPr>
              <w:pStyle w:val="TableParagraph"/>
              <w:spacing w:line="242" w:lineRule="exact"/>
              <w:ind w:left="7"/>
              <w:jc w:val="center"/>
              <w:rPr>
                <w:sz w:val="20"/>
              </w:rPr>
            </w:pPr>
            <w:r>
              <w:rPr>
                <w:w w:val="99"/>
                <w:sz w:val="20"/>
              </w:rPr>
              <w:t>0</w:t>
            </w:r>
          </w:p>
        </w:tc>
      </w:tr>
      <w:tr w:rsidR="00DB6E1F" w14:paraId="4AFCBA02" w14:textId="77777777">
        <w:trPr>
          <w:trHeight w:val="263"/>
        </w:trPr>
        <w:tc>
          <w:tcPr>
            <w:tcW w:w="3691" w:type="dxa"/>
          </w:tcPr>
          <w:p w14:paraId="53756974" w14:textId="77777777" w:rsidR="00DB6E1F" w:rsidRDefault="00F666A6">
            <w:pPr>
              <w:pStyle w:val="TableParagraph"/>
              <w:spacing w:line="242" w:lineRule="exact"/>
              <w:ind w:left="163"/>
              <w:rPr>
                <w:sz w:val="20"/>
              </w:rPr>
            </w:pPr>
            <w:r>
              <w:rPr>
                <w:color w:val="4D4D4F"/>
                <w:sz w:val="20"/>
              </w:rPr>
              <w:t>23.</w:t>
            </w:r>
            <w:r>
              <w:rPr>
                <w:color w:val="4D4D4F"/>
                <w:spacing w:val="19"/>
                <w:sz w:val="20"/>
              </w:rPr>
              <w:t xml:space="preserve"> </w:t>
            </w:r>
            <w:r>
              <w:rPr>
                <w:color w:val="221F1F"/>
                <w:sz w:val="20"/>
              </w:rPr>
              <w:t>I</w:t>
            </w:r>
            <w:r>
              <w:rPr>
                <w:color w:val="221F1F"/>
                <w:spacing w:val="2"/>
                <w:sz w:val="20"/>
              </w:rPr>
              <w:t xml:space="preserve"> </w:t>
            </w:r>
            <w:r>
              <w:rPr>
                <w:color w:val="221F1F"/>
                <w:sz w:val="20"/>
              </w:rPr>
              <w:t>will</w:t>
            </w:r>
            <w:r>
              <w:rPr>
                <w:color w:val="221F1F"/>
                <w:spacing w:val="3"/>
                <w:sz w:val="20"/>
              </w:rPr>
              <w:t xml:space="preserve"> </w:t>
            </w:r>
            <w:r>
              <w:rPr>
                <w:color w:val="221F1F"/>
                <w:sz w:val="20"/>
              </w:rPr>
              <w:t>be</w:t>
            </w:r>
            <w:r>
              <w:rPr>
                <w:color w:val="221F1F"/>
                <w:spacing w:val="2"/>
                <w:sz w:val="20"/>
              </w:rPr>
              <w:t xml:space="preserve"> </w:t>
            </w:r>
            <w:r>
              <w:rPr>
                <w:color w:val="221F1F"/>
                <w:sz w:val="20"/>
              </w:rPr>
              <w:t>more</w:t>
            </w:r>
            <w:r>
              <w:rPr>
                <w:color w:val="221F1F"/>
                <w:spacing w:val="1"/>
                <w:sz w:val="20"/>
              </w:rPr>
              <w:t xml:space="preserve"> </w:t>
            </w:r>
            <w:r>
              <w:rPr>
                <w:color w:val="221F1F"/>
                <w:sz w:val="20"/>
              </w:rPr>
              <w:t>financially</w:t>
            </w:r>
            <w:r>
              <w:rPr>
                <w:color w:val="221F1F"/>
                <w:spacing w:val="4"/>
                <w:sz w:val="20"/>
              </w:rPr>
              <w:t xml:space="preserve"> </w:t>
            </w:r>
            <w:r>
              <w:rPr>
                <w:color w:val="221F1F"/>
                <w:spacing w:val="-2"/>
                <w:sz w:val="20"/>
              </w:rPr>
              <w:t>stable.</w:t>
            </w:r>
          </w:p>
        </w:tc>
        <w:tc>
          <w:tcPr>
            <w:tcW w:w="900" w:type="dxa"/>
          </w:tcPr>
          <w:p w14:paraId="5A5B76C8" w14:textId="77777777" w:rsidR="00DB6E1F" w:rsidRDefault="00F666A6">
            <w:pPr>
              <w:pStyle w:val="TableParagraph"/>
              <w:spacing w:line="242" w:lineRule="exact"/>
              <w:ind w:left="7"/>
              <w:jc w:val="center"/>
              <w:rPr>
                <w:sz w:val="20"/>
              </w:rPr>
            </w:pPr>
            <w:r>
              <w:rPr>
                <w:w w:val="99"/>
                <w:sz w:val="20"/>
              </w:rPr>
              <w:t>1</w:t>
            </w:r>
          </w:p>
        </w:tc>
        <w:tc>
          <w:tcPr>
            <w:tcW w:w="989" w:type="dxa"/>
          </w:tcPr>
          <w:p w14:paraId="01E8C93A" w14:textId="77777777" w:rsidR="00DB6E1F" w:rsidRDefault="00F666A6">
            <w:pPr>
              <w:pStyle w:val="TableParagraph"/>
              <w:spacing w:line="242" w:lineRule="exact"/>
              <w:ind w:left="9"/>
              <w:jc w:val="center"/>
              <w:rPr>
                <w:sz w:val="20"/>
              </w:rPr>
            </w:pPr>
            <w:r>
              <w:rPr>
                <w:w w:val="99"/>
                <w:sz w:val="20"/>
              </w:rPr>
              <w:t>2</w:t>
            </w:r>
          </w:p>
        </w:tc>
        <w:tc>
          <w:tcPr>
            <w:tcW w:w="991" w:type="dxa"/>
          </w:tcPr>
          <w:p w14:paraId="5A7C5F21" w14:textId="77777777" w:rsidR="00DB6E1F" w:rsidRDefault="00F666A6">
            <w:pPr>
              <w:pStyle w:val="TableParagraph"/>
              <w:spacing w:line="242" w:lineRule="exact"/>
              <w:ind w:left="7"/>
              <w:jc w:val="center"/>
              <w:rPr>
                <w:sz w:val="20"/>
              </w:rPr>
            </w:pPr>
            <w:r>
              <w:rPr>
                <w:w w:val="99"/>
                <w:sz w:val="20"/>
              </w:rPr>
              <w:t>3</w:t>
            </w:r>
          </w:p>
        </w:tc>
        <w:tc>
          <w:tcPr>
            <w:tcW w:w="989" w:type="dxa"/>
          </w:tcPr>
          <w:p w14:paraId="705A6382" w14:textId="77777777" w:rsidR="00DB6E1F" w:rsidRDefault="00F666A6">
            <w:pPr>
              <w:pStyle w:val="TableParagraph"/>
              <w:spacing w:line="242" w:lineRule="exact"/>
              <w:ind w:left="9"/>
              <w:jc w:val="center"/>
              <w:rPr>
                <w:sz w:val="20"/>
              </w:rPr>
            </w:pPr>
            <w:r>
              <w:rPr>
                <w:w w:val="99"/>
                <w:sz w:val="20"/>
              </w:rPr>
              <w:t>4</w:t>
            </w:r>
          </w:p>
        </w:tc>
        <w:tc>
          <w:tcPr>
            <w:tcW w:w="900" w:type="dxa"/>
          </w:tcPr>
          <w:p w14:paraId="56A85FFF" w14:textId="77777777" w:rsidR="00DB6E1F" w:rsidRDefault="00F666A6">
            <w:pPr>
              <w:pStyle w:val="TableParagraph"/>
              <w:spacing w:line="242" w:lineRule="exact"/>
              <w:ind w:left="7"/>
              <w:jc w:val="center"/>
              <w:rPr>
                <w:sz w:val="20"/>
              </w:rPr>
            </w:pPr>
            <w:r>
              <w:rPr>
                <w:w w:val="99"/>
                <w:sz w:val="20"/>
              </w:rPr>
              <w:t>5</w:t>
            </w:r>
          </w:p>
        </w:tc>
        <w:tc>
          <w:tcPr>
            <w:tcW w:w="900" w:type="dxa"/>
          </w:tcPr>
          <w:p w14:paraId="14779786" w14:textId="77777777" w:rsidR="00DB6E1F" w:rsidRDefault="00F666A6">
            <w:pPr>
              <w:pStyle w:val="TableParagraph"/>
              <w:spacing w:line="242" w:lineRule="exact"/>
              <w:ind w:left="7"/>
              <w:jc w:val="center"/>
              <w:rPr>
                <w:sz w:val="20"/>
              </w:rPr>
            </w:pPr>
            <w:r>
              <w:rPr>
                <w:w w:val="99"/>
                <w:sz w:val="20"/>
              </w:rPr>
              <w:t>0</w:t>
            </w:r>
          </w:p>
        </w:tc>
      </w:tr>
      <w:tr w:rsidR="00DB6E1F" w14:paraId="582CE8EB" w14:textId="77777777">
        <w:trPr>
          <w:trHeight w:val="263"/>
        </w:trPr>
        <w:tc>
          <w:tcPr>
            <w:tcW w:w="3691" w:type="dxa"/>
          </w:tcPr>
          <w:p w14:paraId="5C78BFC2" w14:textId="77777777" w:rsidR="00DB6E1F" w:rsidRDefault="00F666A6">
            <w:pPr>
              <w:pStyle w:val="TableParagraph"/>
              <w:spacing w:line="242" w:lineRule="exact"/>
              <w:ind w:left="163"/>
              <w:rPr>
                <w:sz w:val="20"/>
              </w:rPr>
            </w:pPr>
            <w:r>
              <w:rPr>
                <w:color w:val="4D4D4F"/>
                <w:sz w:val="20"/>
              </w:rPr>
              <w:t>24.</w:t>
            </w:r>
            <w:r>
              <w:rPr>
                <w:color w:val="4D4D4F"/>
                <w:spacing w:val="24"/>
                <w:sz w:val="20"/>
              </w:rPr>
              <w:t xml:space="preserve"> </w:t>
            </w:r>
            <w:r>
              <w:rPr>
                <w:color w:val="221F1F"/>
                <w:sz w:val="20"/>
              </w:rPr>
              <w:t>I</w:t>
            </w:r>
            <w:r>
              <w:rPr>
                <w:color w:val="221F1F"/>
                <w:spacing w:val="5"/>
                <w:sz w:val="20"/>
              </w:rPr>
              <w:t xml:space="preserve"> </w:t>
            </w:r>
            <w:r>
              <w:rPr>
                <w:color w:val="221F1F"/>
                <w:sz w:val="20"/>
              </w:rPr>
              <w:t>will</w:t>
            </w:r>
            <w:r>
              <w:rPr>
                <w:color w:val="221F1F"/>
                <w:spacing w:val="6"/>
                <w:sz w:val="20"/>
              </w:rPr>
              <w:t xml:space="preserve"> </w:t>
            </w:r>
            <w:r>
              <w:rPr>
                <w:color w:val="221F1F"/>
                <w:sz w:val="20"/>
              </w:rPr>
              <w:t>miss</w:t>
            </w:r>
            <w:r>
              <w:rPr>
                <w:color w:val="221F1F"/>
                <w:spacing w:val="5"/>
                <w:sz w:val="20"/>
              </w:rPr>
              <w:t xml:space="preserve"> </w:t>
            </w:r>
            <w:r>
              <w:rPr>
                <w:color w:val="221F1F"/>
                <w:sz w:val="20"/>
              </w:rPr>
              <w:t>the</w:t>
            </w:r>
            <w:r>
              <w:rPr>
                <w:color w:val="221F1F"/>
                <w:spacing w:val="5"/>
                <w:sz w:val="20"/>
              </w:rPr>
              <w:t xml:space="preserve"> </w:t>
            </w:r>
            <w:r>
              <w:rPr>
                <w:color w:val="221F1F"/>
                <w:spacing w:val="-2"/>
                <w:sz w:val="20"/>
              </w:rPr>
              <w:t>taste.</w:t>
            </w:r>
          </w:p>
        </w:tc>
        <w:tc>
          <w:tcPr>
            <w:tcW w:w="900" w:type="dxa"/>
          </w:tcPr>
          <w:p w14:paraId="1F6157EF" w14:textId="77777777" w:rsidR="00DB6E1F" w:rsidRDefault="00F666A6">
            <w:pPr>
              <w:pStyle w:val="TableParagraph"/>
              <w:spacing w:line="242" w:lineRule="exact"/>
              <w:ind w:left="7"/>
              <w:jc w:val="center"/>
              <w:rPr>
                <w:sz w:val="20"/>
              </w:rPr>
            </w:pPr>
            <w:r>
              <w:rPr>
                <w:w w:val="99"/>
                <w:sz w:val="20"/>
              </w:rPr>
              <w:t>1</w:t>
            </w:r>
          </w:p>
        </w:tc>
        <w:tc>
          <w:tcPr>
            <w:tcW w:w="989" w:type="dxa"/>
          </w:tcPr>
          <w:p w14:paraId="74773939" w14:textId="77777777" w:rsidR="00DB6E1F" w:rsidRDefault="00F666A6">
            <w:pPr>
              <w:pStyle w:val="TableParagraph"/>
              <w:spacing w:line="242" w:lineRule="exact"/>
              <w:ind w:left="9"/>
              <w:jc w:val="center"/>
              <w:rPr>
                <w:sz w:val="20"/>
              </w:rPr>
            </w:pPr>
            <w:r>
              <w:rPr>
                <w:w w:val="99"/>
                <w:sz w:val="20"/>
              </w:rPr>
              <w:t>2</w:t>
            </w:r>
          </w:p>
        </w:tc>
        <w:tc>
          <w:tcPr>
            <w:tcW w:w="991" w:type="dxa"/>
          </w:tcPr>
          <w:p w14:paraId="1CDB31E6" w14:textId="77777777" w:rsidR="00DB6E1F" w:rsidRDefault="00F666A6">
            <w:pPr>
              <w:pStyle w:val="TableParagraph"/>
              <w:spacing w:line="242" w:lineRule="exact"/>
              <w:ind w:left="7"/>
              <w:jc w:val="center"/>
              <w:rPr>
                <w:sz w:val="20"/>
              </w:rPr>
            </w:pPr>
            <w:r>
              <w:rPr>
                <w:w w:val="99"/>
                <w:sz w:val="20"/>
              </w:rPr>
              <w:t>3</w:t>
            </w:r>
          </w:p>
        </w:tc>
        <w:tc>
          <w:tcPr>
            <w:tcW w:w="989" w:type="dxa"/>
          </w:tcPr>
          <w:p w14:paraId="20161781" w14:textId="77777777" w:rsidR="00DB6E1F" w:rsidRDefault="00F666A6">
            <w:pPr>
              <w:pStyle w:val="TableParagraph"/>
              <w:spacing w:line="242" w:lineRule="exact"/>
              <w:ind w:left="9"/>
              <w:jc w:val="center"/>
              <w:rPr>
                <w:sz w:val="20"/>
              </w:rPr>
            </w:pPr>
            <w:r>
              <w:rPr>
                <w:w w:val="99"/>
                <w:sz w:val="20"/>
              </w:rPr>
              <w:t>4</w:t>
            </w:r>
          </w:p>
        </w:tc>
        <w:tc>
          <w:tcPr>
            <w:tcW w:w="900" w:type="dxa"/>
          </w:tcPr>
          <w:p w14:paraId="0A906644" w14:textId="77777777" w:rsidR="00DB6E1F" w:rsidRDefault="00F666A6">
            <w:pPr>
              <w:pStyle w:val="TableParagraph"/>
              <w:spacing w:line="242" w:lineRule="exact"/>
              <w:ind w:left="7"/>
              <w:jc w:val="center"/>
              <w:rPr>
                <w:sz w:val="20"/>
              </w:rPr>
            </w:pPr>
            <w:r>
              <w:rPr>
                <w:w w:val="99"/>
                <w:sz w:val="20"/>
              </w:rPr>
              <w:t>5</w:t>
            </w:r>
          </w:p>
        </w:tc>
        <w:tc>
          <w:tcPr>
            <w:tcW w:w="900" w:type="dxa"/>
          </w:tcPr>
          <w:p w14:paraId="60AFED3B" w14:textId="77777777" w:rsidR="00DB6E1F" w:rsidRDefault="00F666A6">
            <w:pPr>
              <w:pStyle w:val="TableParagraph"/>
              <w:spacing w:line="242" w:lineRule="exact"/>
              <w:ind w:left="7"/>
              <w:jc w:val="center"/>
              <w:rPr>
                <w:sz w:val="20"/>
              </w:rPr>
            </w:pPr>
            <w:r>
              <w:rPr>
                <w:w w:val="99"/>
                <w:sz w:val="20"/>
              </w:rPr>
              <w:t>0</w:t>
            </w:r>
          </w:p>
        </w:tc>
      </w:tr>
    </w:tbl>
    <w:p w14:paraId="4DF05C35" w14:textId="77777777" w:rsidR="00DB6E1F" w:rsidRDefault="00DB6E1F">
      <w:pPr>
        <w:spacing w:line="242" w:lineRule="exact"/>
        <w:jc w:val="center"/>
        <w:rPr>
          <w:sz w:val="20"/>
        </w:rPr>
        <w:sectPr w:rsidR="00DB6E1F">
          <w:pgSz w:w="12240" w:h="15840"/>
          <w:pgMar w:top="1200" w:right="0" w:bottom="780" w:left="0" w:header="763" w:footer="585" w:gutter="0"/>
          <w:cols w:space="720"/>
        </w:sectPr>
      </w:pPr>
    </w:p>
    <w:p w14:paraId="190E391E"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900"/>
        <w:gridCol w:w="989"/>
        <w:gridCol w:w="991"/>
        <w:gridCol w:w="989"/>
        <w:gridCol w:w="900"/>
        <w:gridCol w:w="895"/>
      </w:tblGrid>
      <w:tr w:rsidR="00DB6E1F" w14:paraId="6A7BB969" w14:textId="77777777">
        <w:trPr>
          <w:trHeight w:val="527"/>
        </w:trPr>
        <w:tc>
          <w:tcPr>
            <w:tcW w:w="3691" w:type="dxa"/>
          </w:tcPr>
          <w:p w14:paraId="51B201E6" w14:textId="77777777" w:rsidR="00DB6E1F" w:rsidRDefault="00F666A6">
            <w:pPr>
              <w:pStyle w:val="TableParagraph"/>
              <w:ind w:left="1638" w:right="1632"/>
              <w:jc w:val="center"/>
              <w:rPr>
                <w:b/>
                <w:sz w:val="20"/>
              </w:rPr>
            </w:pPr>
            <w:r>
              <w:rPr>
                <w:b/>
                <w:spacing w:val="-4"/>
                <w:sz w:val="20"/>
              </w:rPr>
              <w:t>Item</w:t>
            </w:r>
          </w:p>
        </w:tc>
        <w:tc>
          <w:tcPr>
            <w:tcW w:w="900" w:type="dxa"/>
          </w:tcPr>
          <w:p w14:paraId="34FFB1C4" w14:textId="77777777" w:rsidR="00DB6E1F" w:rsidRDefault="00F666A6">
            <w:pPr>
              <w:pStyle w:val="TableParagraph"/>
              <w:ind w:left="9"/>
              <w:jc w:val="center"/>
              <w:rPr>
                <w:b/>
                <w:sz w:val="20"/>
              </w:rPr>
            </w:pPr>
            <w:r>
              <w:rPr>
                <w:b/>
                <w:spacing w:val="-5"/>
                <w:sz w:val="20"/>
              </w:rPr>
              <w:t>Not</w:t>
            </w:r>
          </w:p>
          <w:p w14:paraId="5053848B" w14:textId="77777777" w:rsidR="00DB6E1F" w:rsidRDefault="00F666A6">
            <w:pPr>
              <w:pStyle w:val="TableParagraph"/>
              <w:spacing w:before="20" w:line="242" w:lineRule="exact"/>
              <w:ind w:left="11"/>
              <w:jc w:val="center"/>
              <w:rPr>
                <w:b/>
                <w:sz w:val="20"/>
              </w:rPr>
            </w:pPr>
            <w:r>
              <w:rPr>
                <w:b/>
                <w:spacing w:val="-2"/>
                <w:sz w:val="20"/>
              </w:rPr>
              <w:t>Important</w:t>
            </w:r>
          </w:p>
        </w:tc>
        <w:tc>
          <w:tcPr>
            <w:tcW w:w="989" w:type="dxa"/>
          </w:tcPr>
          <w:p w14:paraId="2F10A841" w14:textId="77777777" w:rsidR="00DB6E1F" w:rsidRDefault="00F666A6">
            <w:pPr>
              <w:pStyle w:val="TableParagraph"/>
              <w:ind w:left="34" w:right="24"/>
              <w:jc w:val="center"/>
              <w:rPr>
                <w:b/>
                <w:sz w:val="20"/>
              </w:rPr>
            </w:pPr>
            <w:r>
              <w:rPr>
                <w:b/>
                <w:spacing w:val="-2"/>
                <w:sz w:val="20"/>
              </w:rPr>
              <w:t>Slightly</w:t>
            </w:r>
          </w:p>
          <w:p w14:paraId="2D13A4B3" w14:textId="77777777" w:rsidR="00DB6E1F" w:rsidRDefault="00F666A6">
            <w:pPr>
              <w:pStyle w:val="TableParagraph"/>
              <w:spacing w:before="20" w:line="242" w:lineRule="exact"/>
              <w:ind w:left="34" w:right="25"/>
              <w:jc w:val="center"/>
              <w:rPr>
                <w:b/>
                <w:sz w:val="20"/>
              </w:rPr>
            </w:pPr>
            <w:r>
              <w:rPr>
                <w:b/>
                <w:spacing w:val="-2"/>
                <w:sz w:val="20"/>
              </w:rPr>
              <w:t>Important</w:t>
            </w:r>
          </w:p>
        </w:tc>
        <w:tc>
          <w:tcPr>
            <w:tcW w:w="991" w:type="dxa"/>
          </w:tcPr>
          <w:p w14:paraId="65A22DC2" w14:textId="77777777" w:rsidR="00DB6E1F" w:rsidRDefault="00F666A6">
            <w:pPr>
              <w:pStyle w:val="TableParagraph"/>
              <w:ind w:left="7" w:right="-15"/>
              <w:rPr>
                <w:b/>
                <w:sz w:val="20"/>
              </w:rPr>
            </w:pPr>
            <w:r>
              <w:rPr>
                <w:b/>
                <w:spacing w:val="-2"/>
                <w:sz w:val="20"/>
              </w:rPr>
              <w:t>Moderately</w:t>
            </w:r>
          </w:p>
          <w:p w14:paraId="19C2574D" w14:textId="77777777" w:rsidR="00DB6E1F" w:rsidRDefault="00F666A6">
            <w:pPr>
              <w:pStyle w:val="TableParagraph"/>
              <w:spacing w:before="20" w:line="242" w:lineRule="exact"/>
              <w:ind w:left="69"/>
              <w:rPr>
                <w:b/>
                <w:sz w:val="20"/>
              </w:rPr>
            </w:pPr>
            <w:r>
              <w:rPr>
                <w:b/>
                <w:spacing w:val="-2"/>
                <w:sz w:val="20"/>
              </w:rPr>
              <w:t>Important</w:t>
            </w:r>
          </w:p>
        </w:tc>
        <w:tc>
          <w:tcPr>
            <w:tcW w:w="989" w:type="dxa"/>
          </w:tcPr>
          <w:p w14:paraId="4F9BE70F" w14:textId="77777777" w:rsidR="00DB6E1F" w:rsidRDefault="00F666A6">
            <w:pPr>
              <w:pStyle w:val="TableParagraph"/>
              <w:ind w:left="34" w:right="24"/>
              <w:jc w:val="center"/>
              <w:rPr>
                <w:b/>
                <w:sz w:val="20"/>
              </w:rPr>
            </w:pPr>
            <w:r>
              <w:rPr>
                <w:b/>
                <w:spacing w:val="-4"/>
                <w:sz w:val="20"/>
              </w:rPr>
              <w:t>Very</w:t>
            </w:r>
          </w:p>
          <w:p w14:paraId="2AFC0C3B" w14:textId="77777777" w:rsidR="00DB6E1F" w:rsidRDefault="00F666A6">
            <w:pPr>
              <w:pStyle w:val="TableParagraph"/>
              <w:spacing w:before="20" w:line="242" w:lineRule="exact"/>
              <w:ind w:left="34" w:right="25"/>
              <w:jc w:val="center"/>
              <w:rPr>
                <w:b/>
                <w:sz w:val="20"/>
              </w:rPr>
            </w:pPr>
            <w:r>
              <w:rPr>
                <w:b/>
                <w:spacing w:val="-2"/>
                <w:sz w:val="20"/>
              </w:rPr>
              <w:t>Important</w:t>
            </w:r>
          </w:p>
        </w:tc>
        <w:tc>
          <w:tcPr>
            <w:tcW w:w="900" w:type="dxa"/>
          </w:tcPr>
          <w:p w14:paraId="226E0ED9" w14:textId="77777777" w:rsidR="00DB6E1F" w:rsidRDefault="00F666A6">
            <w:pPr>
              <w:pStyle w:val="TableParagraph"/>
              <w:ind w:left="31"/>
              <w:rPr>
                <w:b/>
                <w:sz w:val="20"/>
              </w:rPr>
            </w:pPr>
            <w:r>
              <w:rPr>
                <w:b/>
                <w:spacing w:val="-2"/>
                <w:sz w:val="20"/>
              </w:rPr>
              <w:t>Extremely</w:t>
            </w:r>
          </w:p>
          <w:p w14:paraId="733C6562" w14:textId="77777777" w:rsidR="00DB6E1F" w:rsidRDefault="00F666A6">
            <w:pPr>
              <w:pStyle w:val="TableParagraph"/>
              <w:spacing w:before="20" w:line="242" w:lineRule="exact"/>
              <w:ind w:left="26"/>
              <w:rPr>
                <w:b/>
                <w:sz w:val="20"/>
              </w:rPr>
            </w:pPr>
            <w:r>
              <w:rPr>
                <w:b/>
                <w:spacing w:val="-2"/>
                <w:sz w:val="20"/>
              </w:rPr>
              <w:t>Important</w:t>
            </w:r>
          </w:p>
        </w:tc>
        <w:tc>
          <w:tcPr>
            <w:tcW w:w="895" w:type="dxa"/>
          </w:tcPr>
          <w:p w14:paraId="6F0A5689" w14:textId="77777777" w:rsidR="00DB6E1F" w:rsidRDefault="00F666A6">
            <w:pPr>
              <w:pStyle w:val="TableParagraph"/>
              <w:ind w:left="14"/>
              <w:jc w:val="center"/>
              <w:rPr>
                <w:b/>
                <w:sz w:val="20"/>
              </w:rPr>
            </w:pPr>
            <w:r>
              <w:rPr>
                <w:b/>
                <w:spacing w:val="-5"/>
                <w:sz w:val="20"/>
              </w:rPr>
              <w:t>Not</w:t>
            </w:r>
          </w:p>
          <w:p w14:paraId="7AA6C25F" w14:textId="77777777" w:rsidR="00DB6E1F" w:rsidRDefault="00F666A6">
            <w:pPr>
              <w:pStyle w:val="TableParagraph"/>
              <w:spacing w:before="20" w:line="242" w:lineRule="exact"/>
              <w:ind w:left="9"/>
              <w:jc w:val="center"/>
              <w:rPr>
                <w:b/>
                <w:sz w:val="20"/>
              </w:rPr>
            </w:pPr>
            <w:r>
              <w:rPr>
                <w:b/>
                <w:spacing w:val="-2"/>
                <w:sz w:val="20"/>
              </w:rPr>
              <w:t>Applicable</w:t>
            </w:r>
          </w:p>
        </w:tc>
      </w:tr>
      <w:tr w:rsidR="00DB6E1F" w14:paraId="6668BAE3" w14:textId="77777777">
        <w:trPr>
          <w:trHeight w:val="525"/>
        </w:trPr>
        <w:tc>
          <w:tcPr>
            <w:tcW w:w="3691" w:type="dxa"/>
          </w:tcPr>
          <w:p w14:paraId="2784D793" w14:textId="77777777" w:rsidR="00DB6E1F" w:rsidRDefault="00F666A6">
            <w:pPr>
              <w:pStyle w:val="TableParagraph"/>
              <w:ind w:left="95"/>
              <w:rPr>
                <w:sz w:val="20"/>
              </w:rPr>
            </w:pPr>
            <w:r>
              <w:rPr>
                <w:color w:val="4D4D4F"/>
                <w:sz w:val="20"/>
              </w:rPr>
              <w:t>25.</w:t>
            </w:r>
            <w:r>
              <w:rPr>
                <w:color w:val="4D4D4F"/>
                <w:spacing w:val="16"/>
                <w:sz w:val="20"/>
              </w:rPr>
              <w:t xml:space="preserve"> </w:t>
            </w:r>
            <w:r>
              <w:rPr>
                <w:color w:val="221F1F"/>
                <w:sz w:val="20"/>
              </w:rPr>
              <w:t>I</w:t>
            </w:r>
            <w:r>
              <w:rPr>
                <w:color w:val="221F1F"/>
                <w:spacing w:val="1"/>
                <w:sz w:val="20"/>
              </w:rPr>
              <w:t xml:space="preserve"> </w:t>
            </w:r>
            <w:r>
              <w:rPr>
                <w:color w:val="221F1F"/>
                <w:sz w:val="20"/>
              </w:rPr>
              <w:t>will</w:t>
            </w:r>
            <w:r>
              <w:rPr>
                <w:color w:val="221F1F"/>
                <w:spacing w:val="1"/>
                <w:sz w:val="20"/>
              </w:rPr>
              <w:t xml:space="preserve"> </w:t>
            </w:r>
            <w:r>
              <w:rPr>
                <w:color w:val="221F1F"/>
                <w:sz w:val="20"/>
              </w:rPr>
              <w:t>have</w:t>
            </w:r>
            <w:r>
              <w:rPr>
                <w:color w:val="221F1F"/>
                <w:spacing w:val="-1"/>
                <w:sz w:val="20"/>
              </w:rPr>
              <w:t xml:space="preserve"> </w:t>
            </w:r>
            <w:r>
              <w:rPr>
                <w:color w:val="221F1F"/>
                <w:sz w:val="20"/>
              </w:rPr>
              <w:t>a</w:t>
            </w:r>
            <w:r>
              <w:rPr>
                <w:color w:val="221F1F"/>
                <w:spacing w:val="2"/>
                <w:sz w:val="20"/>
              </w:rPr>
              <w:t xml:space="preserve"> </w:t>
            </w:r>
            <w:r>
              <w:rPr>
                <w:color w:val="221F1F"/>
                <w:sz w:val="20"/>
              </w:rPr>
              <w:t>better</w:t>
            </w:r>
            <w:r>
              <w:rPr>
                <w:color w:val="221F1F"/>
                <w:spacing w:val="1"/>
                <w:sz w:val="20"/>
              </w:rPr>
              <w:t xml:space="preserve"> </w:t>
            </w:r>
            <w:r>
              <w:rPr>
                <w:color w:val="221F1F"/>
                <w:sz w:val="20"/>
              </w:rPr>
              <w:t>relationship</w:t>
            </w:r>
            <w:r>
              <w:rPr>
                <w:color w:val="221F1F"/>
                <w:spacing w:val="1"/>
                <w:sz w:val="20"/>
              </w:rPr>
              <w:t xml:space="preserve"> </w:t>
            </w:r>
            <w:r>
              <w:rPr>
                <w:color w:val="221F1F"/>
                <w:sz w:val="20"/>
              </w:rPr>
              <w:t>with</w:t>
            </w:r>
            <w:r>
              <w:rPr>
                <w:color w:val="221F1F"/>
                <w:spacing w:val="2"/>
                <w:sz w:val="20"/>
              </w:rPr>
              <w:t xml:space="preserve"> </w:t>
            </w:r>
            <w:r>
              <w:rPr>
                <w:color w:val="221F1F"/>
                <w:spacing w:val="-5"/>
                <w:sz w:val="20"/>
              </w:rPr>
              <w:t>my</w:t>
            </w:r>
          </w:p>
          <w:p w14:paraId="2E4EE17E" w14:textId="77777777" w:rsidR="00DB6E1F" w:rsidRDefault="00F666A6">
            <w:pPr>
              <w:pStyle w:val="TableParagraph"/>
              <w:spacing w:before="20" w:line="240" w:lineRule="exact"/>
              <w:ind w:left="455"/>
              <w:rPr>
                <w:sz w:val="20"/>
              </w:rPr>
            </w:pPr>
            <w:r>
              <w:rPr>
                <w:color w:val="221F1F"/>
                <w:spacing w:val="-2"/>
                <w:sz w:val="20"/>
              </w:rPr>
              <w:t>friends.</w:t>
            </w:r>
          </w:p>
        </w:tc>
        <w:tc>
          <w:tcPr>
            <w:tcW w:w="900" w:type="dxa"/>
          </w:tcPr>
          <w:p w14:paraId="232D765E" w14:textId="77777777" w:rsidR="00DB6E1F" w:rsidRDefault="00DB6E1F">
            <w:pPr>
              <w:pStyle w:val="TableParagraph"/>
              <w:spacing w:before="0"/>
              <w:ind w:left="0"/>
              <w:rPr>
                <w:rFonts w:ascii="Times New Roman"/>
                <w:sz w:val="20"/>
              </w:rPr>
            </w:pPr>
          </w:p>
        </w:tc>
        <w:tc>
          <w:tcPr>
            <w:tcW w:w="989" w:type="dxa"/>
          </w:tcPr>
          <w:p w14:paraId="2222B497" w14:textId="77777777" w:rsidR="00DB6E1F" w:rsidRDefault="00DB6E1F">
            <w:pPr>
              <w:pStyle w:val="TableParagraph"/>
              <w:spacing w:before="0"/>
              <w:ind w:left="0"/>
              <w:rPr>
                <w:rFonts w:ascii="Times New Roman"/>
                <w:sz w:val="20"/>
              </w:rPr>
            </w:pPr>
          </w:p>
        </w:tc>
        <w:tc>
          <w:tcPr>
            <w:tcW w:w="991" w:type="dxa"/>
          </w:tcPr>
          <w:p w14:paraId="2876C06D" w14:textId="77777777" w:rsidR="00DB6E1F" w:rsidRDefault="00DB6E1F">
            <w:pPr>
              <w:pStyle w:val="TableParagraph"/>
              <w:spacing w:before="0"/>
              <w:ind w:left="0"/>
              <w:rPr>
                <w:rFonts w:ascii="Times New Roman"/>
                <w:sz w:val="20"/>
              </w:rPr>
            </w:pPr>
          </w:p>
        </w:tc>
        <w:tc>
          <w:tcPr>
            <w:tcW w:w="989" w:type="dxa"/>
          </w:tcPr>
          <w:p w14:paraId="6EC0D895" w14:textId="77777777" w:rsidR="00DB6E1F" w:rsidRDefault="00DB6E1F">
            <w:pPr>
              <w:pStyle w:val="TableParagraph"/>
              <w:spacing w:before="0"/>
              <w:ind w:left="0"/>
              <w:rPr>
                <w:rFonts w:ascii="Times New Roman"/>
                <w:sz w:val="20"/>
              </w:rPr>
            </w:pPr>
          </w:p>
        </w:tc>
        <w:tc>
          <w:tcPr>
            <w:tcW w:w="900" w:type="dxa"/>
          </w:tcPr>
          <w:p w14:paraId="7741B4CD" w14:textId="77777777" w:rsidR="00DB6E1F" w:rsidRDefault="00DB6E1F">
            <w:pPr>
              <w:pStyle w:val="TableParagraph"/>
              <w:spacing w:before="0"/>
              <w:ind w:left="0"/>
              <w:rPr>
                <w:rFonts w:ascii="Times New Roman"/>
                <w:sz w:val="20"/>
              </w:rPr>
            </w:pPr>
          </w:p>
        </w:tc>
        <w:tc>
          <w:tcPr>
            <w:tcW w:w="895" w:type="dxa"/>
          </w:tcPr>
          <w:p w14:paraId="2EC2133C" w14:textId="77777777" w:rsidR="00DB6E1F" w:rsidRDefault="00DB6E1F">
            <w:pPr>
              <w:pStyle w:val="TableParagraph"/>
              <w:spacing w:before="0"/>
              <w:ind w:left="0"/>
              <w:rPr>
                <w:rFonts w:ascii="Times New Roman"/>
                <w:sz w:val="20"/>
              </w:rPr>
            </w:pPr>
          </w:p>
        </w:tc>
      </w:tr>
      <w:tr w:rsidR="00DB6E1F" w14:paraId="08FE7615" w14:textId="77777777">
        <w:trPr>
          <w:trHeight w:val="263"/>
        </w:trPr>
        <w:tc>
          <w:tcPr>
            <w:tcW w:w="3691" w:type="dxa"/>
          </w:tcPr>
          <w:p w14:paraId="5AD68B5A" w14:textId="77777777" w:rsidR="00DB6E1F" w:rsidRDefault="00F666A6">
            <w:pPr>
              <w:pStyle w:val="TableParagraph"/>
              <w:spacing w:before="3" w:line="240" w:lineRule="exact"/>
              <w:ind w:left="95"/>
              <w:rPr>
                <w:sz w:val="20"/>
              </w:rPr>
            </w:pPr>
            <w:r>
              <w:rPr>
                <w:color w:val="4D4D4F"/>
                <w:sz w:val="20"/>
              </w:rPr>
              <w:t>26.</w:t>
            </w:r>
            <w:r>
              <w:rPr>
                <w:color w:val="4D4D4F"/>
                <w:spacing w:val="21"/>
                <w:sz w:val="20"/>
              </w:rPr>
              <w:t xml:space="preserve"> </w:t>
            </w:r>
            <w:r>
              <w:rPr>
                <w:color w:val="221F1F"/>
                <w:sz w:val="20"/>
              </w:rPr>
              <w:t>I</w:t>
            </w:r>
            <w:r>
              <w:rPr>
                <w:color w:val="221F1F"/>
                <w:spacing w:val="4"/>
                <w:sz w:val="20"/>
              </w:rPr>
              <w:t xml:space="preserve"> </w:t>
            </w:r>
            <w:r>
              <w:rPr>
                <w:color w:val="221F1F"/>
                <w:sz w:val="20"/>
              </w:rPr>
              <w:t>will</w:t>
            </w:r>
            <w:r>
              <w:rPr>
                <w:color w:val="221F1F"/>
                <w:spacing w:val="4"/>
                <w:sz w:val="20"/>
              </w:rPr>
              <w:t xml:space="preserve"> </w:t>
            </w:r>
            <w:r>
              <w:rPr>
                <w:color w:val="221F1F"/>
                <w:sz w:val="20"/>
              </w:rPr>
              <w:t>feel</w:t>
            </w:r>
            <w:r>
              <w:rPr>
                <w:color w:val="221F1F"/>
                <w:spacing w:val="6"/>
                <w:sz w:val="20"/>
              </w:rPr>
              <w:t xml:space="preserve"> </w:t>
            </w:r>
            <w:r>
              <w:rPr>
                <w:color w:val="221F1F"/>
                <w:sz w:val="20"/>
              </w:rPr>
              <w:t>stressed</w:t>
            </w:r>
            <w:r>
              <w:rPr>
                <w:color w:val="221F1F"/>
                <w:spacing w:val="5"/>
                <w:sz w:val="20"/>
              </w:rPr>
              <w:t xml:space="preserve"> </w:t>
            </w:r>
            <w:r>
              <w:rPr>
                <w:color w:val="221F1F"/>
                <w:spacing w:val="-4"/>
                <w:sz w:val="20"/>
              </w:rPr>
              <w:t>out.</w:t>
            </w:r>
          </w:p>
        </w:tc>
        <w:tc>
          <w:tcPr>
            <w:tcW w:w="900" w:type="dxa"/>
          </w:tcPr>
          <w:p w14:paraId="73ACE351" w14:textId="77777777" w:rsidR="00DB6E1F" w:rsidRDefault="00F666A6">
            <w:pPr>
              <w:pStyle w:val="TableParagraph"/>
              <w:spacing w:before="3" w:line="240" w:lineRule="exact"/>
              <w:ind w:left="7"/>
              <w:jc w:val="center"/>
              <w:rPr>
                <w:sz w:val="20"/>
              </w:rPr>
            </w:pPr>
            <w:r>
              <w:rPr>
                <w:w w:val="99"/>
                <w:sz w:val="20"/>
              </w:rPr>
              <w:t>1</w:t>
            </w:r>
          </w:p>
        </w:tc>
        <w:tc>
          <w:tcPr>
            <w:tcW w:w="989" w:type="dxa"/>
          </w:tcPr>
          <w:p w14:paraId="4A99A2A5" w14:textId="77777777" w:rsidR="00DB6E1F" w:rsidRDefault="00F666A6">
            <w:pPr>
              <w:pStyle w:val="TableParagraph"/>
              <w:spacing w:before="3" w:line="240" w:lineRule="exact"/>
              <w:ind w:left="9"/>
              <w:jc w:val="center"/>
              <w:rPr>
                <w:sz w:val="20"/>
              </w:rPr>
            </w:pPr>
            <w:r>
              <w:rPr>
                <w:w w:val="99"/>
                <w:sz w:val="20"/>
              </w:rPr>
              <w:t>2</w:t>
            </w:r>
          </w:p>
        </w:tc>
        <w:tc>
          <w:tcPr>
            <w:tcW w:w="991" w:type="dxa"/>
          </w:tcPr>
          <w:p w14:paraId="0301767A" w14:textId="77777777" w:rsidR="00DB6E1F" w:rsidRDefault="00F666A6">
            <w:pPr>
              <w:pStyle w:val="TableParagraph"/>
              <w:spacing w:before="3" w:line="240" w:lineRule="exact"/>
              <w:ind w:left="7"/>
              <w:jc w:val="center"/>
              <w:rPr>
                <w:sz w:val="20"/>
              </w:rPr>
            </w:pPr>
            <w:r>
              <w:rPr>
                <w:w w:val="99"/>
                <w:sz w:val="20"/>
              </w:rPr>
              <w:t>3</w:t>
            </w:r>
          </w:p>
        </w:tc>
        <w:tc>
          <w:tcPr>
            <w:tcW w:w="989" w:type="dxa"/>
          </w:tcPr>
          <w:p w14:paraId="6A2AD453" w14:textId="77777777" w:rsidR="00DB6E1F" w:rsidRDefault="00F666A6">
            <w:pPr>
              <w:pStyle w:val="TableParagraph"/>
              <w:spacing w:before="3" w:line="240" w:lineRule="exact"/>
              <w:ind w:left="9"/>
              <w:jc w:val="center"/>
              <w:rPr>
                <w:sz w:val="20"/>
              </w:rPr>
            </w:pPr>
            <w:r>
              <w:rPr>
                <w:w w:val="99"/>
                <w:sz w:val="20"/>
              </w:rPr>
              <w:t>4</w:t>
            </w:r>
          </w:p>
        </w:tc>
        <w:tc>
          <w:tcPr>
            <w:tcW w:w="900" w:type="dxa"/>
          </w:tcPr>
          <w:p w14:paraId="0820623A" w14:textId="77777777" w:rsidR="00DB6E1F" w:rsidRDefault="00F666A6">
            <w:pPr>
              <w:pStyle w:val="TableParagraph"/>
              <w:spacing w:before="3" w:line="240" w:lineRule="exact"/>
              <w:ind w:left="7"/>
              <w:jc w:val="center"/>
              <w:rPr>
                <w:sz w:val="20"/>
              </w:rPr>
            </w:pPr>
            <w:r>
              <w:rPr>
                <w:w w:val="99"/>
                <w:sz w:val="20"/>
              </w:rPr>
              <w:t>5</w:t>
            </w:r>
          </w:p>
        </w:tc>
        <w:tc>
          <w:tcPr>
            <w:tcW w:w="895" w:type="dxa"/>
          </w:tcPr>
          <w:p w14:paraId="5D650F07" w14:textId="77777777" w:rsidR="00DB6E1F" w:rsidRDefault="00F666A6">
            <w:pPr>
              <w:pStyle w:val="TableParagraph"/>
              <w:spacing w:before="3" w:line="240" w:lineRule="exact"/>
              <w:ind w:left="12"/>
              <w:jc w:val="center"/>
              <w:rPr>
                <w:sz w:val="20"/>
              </w:rPr>
            </w:pPr>
            <w:r>
              <w:rPr>
                <w:w w:val="99"/>
                <w:sz w:val="20"/>
              </w:rPr>
              <w:t>0</w:t>
            </w:r>
          </w:p>
        </w:tc>
      </w:tr>
      <w:tr w:rsidR="00DB6E1F" w14:paraId="1C17D7C6" w14:textId="77777777">
        <w:trPr>
          <w:trHeight w:val="263"/>
        </w:trPr>
        <w:tc>
          <w:tcPr>
            <w:tcW w:w="3691" w:type="dxa"/>
          </w:tcPr>
          <w:p w14:paraId="2504C4BE" w14:textId="77777777" w:rsidR="00DB6E1F" w:rsidRDefault="00F666A6">
            <w:pPr>
              <w:pStyle w:val="TableParagraph"/>
              <w:spacing w:before="3" w:line="240" w:lineRule="exact"/>
              <w:ind w:left="95"/>
              <w:rPr>
                <w:sz w:val="20"/>
              </w:rPr>
            </w:pPr>
            <w:r>
              <w:rPr>
                <w:color w:val="4D4D4F"/>
                <w:sz w:val="20"/>
              </w:rPr>
              <w:t>27.</w:t>
            </w:r>
            <w:r>
              <w:rPr>
                <w:color w:val="4D4D4F"/>
                <w:spacing w:val="22"/>
                <w:sz w:val="20"/>
              </w:rPr>
              <w:t xml:space="preserve"> </w:t>
            </w:r>
            <w:r>
              <w:rPr>
                <w:color w:val="221F1F"/>
                <w:sz w:val="20"/>
              </w:rPr>
              <w:t>I</w:t>
            </w:r>
            <w:r>
              <w:rPr>
                <w:color w:val="221F1F"/>
                <w:spacing w:val="4"/>
                <w:sz w:val="20"/>
              </w:rPr>
              <w:t xml:space="preserve"> </w:t>
            </w:r>
            <w:r>
              <w:rPr>
                <w:color w:val="221F1F"/>
                <w:sz w:val="20"/>
              </w:rPr>
              <w:t>will</w:t>
            </w:r>
            <w:r>
              <w:rPr>
                <w:color w:val="221F1F"/>
                <w:spacing w:val="5"/>
                <w:sz w:val="20"/>
              </w:rPr>
              <w:t xml:space="preserve"> </w:t>
            </w:r>
            <w:r>
              <w:rPr>
                <w:color w:val="221F1F"/>
                <w:sz w:val="20"/>
              </w:rPr>
              <w:t>save</w:t>
            </w:r>
            <w:r>
              <w:rPr>
                <w:color w:val="221F1F"/>
                <w:spacing w:val="6"/>
                <w:sz w:val="20"/>
              </w:rPr>
              <w:t xml:space="preserve"> </w:t>
            </w:r>
            <w:r>
              <w:rPr>
                <w:color w:val="221F1F"/>
                <w:sz w:val="20"/>
              </w:rPr>
              <w:t>more</w:t>
            </w:r>
            <w:r>
              <w:rPr>
                <w:color w:val="221F1F"/>
                <w:spacing w:val="7"/>
                <w:sz w:val="20"/>
              </w:rPr>
              <w:t xml:space="preserve"> </w:t>
            </w:r>
            <w:r>
              <w:rPr>
                <w:color w:val="221F1F"/>
                <w:spacing w:val="-2"/>
                <w:sz w:val="20"/>
              </w:rPr>
              <w:t>money.</w:t>
            </w:r>
          </w:p>
        </w:tc>
        <w:tc>
          <w:tcPr>
            <w:tcW w:w="900" w:type="dxa"/>
          </w:tcPr>
          <w:p w14:paraId="42FC80F1" w14:textId="77777777" w:rsidR="00DB6E1F" w:rsidRDefault="00F666A6">
            <w:pPr>
              <w:pStyle w:val="TableParagraph"/>
              <w:spacing w:before="3" w:line="240" w:lineRule="exact"/>
              <w:ind w:left="7"/>
              <w:jc w:val="center"/>
              <w:rPr>
                <w:sz w:val="20"/>
              </w:rPr>
            </w:pPr>
            <w:r>
              <w:rPr>
                <w:w w:val="99"/>
                <w:sz w:val="20"/>
              </w:rPr>
              <w:t>1</w:t>
            </w:r>
          </w:p>
        </w:tc>
        <w:tc>
          <w:tcPr>
            <w:tcW w:w="989" w:type="dxa"/>
          </w:tcPr>
          <w:p w14:paraId="6BEB882C" w14:textId="77777777" w:rsidR="00DB6E1F" w:rsidRDefault="00F666A6">
            <w:pPr>
              <w:pStyle w:val="TableParagraph"/>
              <w:spacing w:before="3" w:line="240" w:lineRule="exact"/>
              <w:ind w:left="9"/>
              <w:jc w:val="center"/>
              <w:rPr>
                <w:sz w:val="20"/>
              </w:rPr>
            </w:pPr>
            <w:r>
              <w:rPr>
                <w:w w:val="99"/>
                <w:sz w:val="20"/>
              </w:rPr>
              <w:t>2</w:t>
            </w:r>
          </w:p>
        </w:tc>
        <w:tc>
          <w:tcPr>
            <w:tcW w:w="991" w:type="dxa"/>
          </w:tcPr>
          <w:p w14:paraId="45D3EC08" w14:textId="77777777" w:rsidR="00DB6E1F" w:rsidRDefault="00F666A6">
            <w:pPr>
              <w:pStyle w:val="TableParagraph"/>
              <w:spacing w:before="3" w:line="240" w:lineRule="exact"/>
              <w:ind w:left="7"/>
              <w:jc w:val="center"/>
              <w:rPr>
                <w:sz w:val="20"/>
              </w:rPr>
            </w:pPr>
            <w:r>
              <w:rPr>
                <w:w w:val="99"/>
                <w:sz w:val="20"/>
              </w:rPr>
              <w:t>3</w:t>
            </w:r>
          </w:p>
        </w:tc>
        <w:tc>
          <w:tcPr>
            <w:tcW w:w="989" w:type="dxa"/>
          </w:tcPr>
          <w:p w14:paraId="6E12C60C" w14:textId="77777777" w:rsidR="00DB6E1F" w:rsidRDefault="00F666A6">
            <w:pPr>
              <w:pStyle w:val="TableParagraph"/>
              <w:spacing w:before="3" w:line="240" w:lineRule="exact"/>
              <w:ind w:left="9"/>
              <w:jc w:val="center"/>
              <w:rPr>
                <w:sz w:val="20"/>
              </w:rPr>
            </w:pPr>
            <w:r>
              <w:rPr>
                <w:w w:val="99"/>
                <w:sz w:val="20"/>
              </w:rPr>
              <w:t>4</w:t>
            </w:r>
          </w:p>
        </w:tc>
        <w:tc>
          <w:tcPr>
            <w:tcW w:w="900" w:type="dxa"/>
          </w:tcPr>
          <w:p w14:paraId="61449DB6" w14:textId="77777777" w:rsidR="00DB6E1F" w:rsidRDefault="00F666A6">
            <w:pPr>
              <w:pStyle w:val="TableParagraph"/>
              <w:spacing w:before="3" w:line="240" w:lineRule="exact"/>
              <w:ind w:left="7"/>
              <w:jc w:val="center"/>
              <w:rPr>
                <w:sz w:val="20"/>
              </w:rPr>
            </w:pPr>
            <w:r>
              <w:rPr>
                <w:w w:val="99"/>
                <w:sz w:val="20"/>
              </w:rPr>
              <w:t>5</w:t>
            </w:r>
          </w:p>
        </w:tc>
        <w:tc>
          <w:tcPr>
            <w:tcW w:w="895" w:type="dxa"/>
          </w:tcPr>
          <w:p w14:paraId="206349ED" w14:textId="77777777" w:rsidR="00DB6E1F" w:rsidRDefault="00F666A6">
            <w:pPr>
              <w:pStyle w:val="TableParagraph"/>
              <w:spacing w:before="3" w:line="240" w:lineRule="exact"/>
              <w:ind w:left="12"/>
              <w:jc w:val="center"/>
              <w:rPr>
                <w:sz w:val="20"/>
              </w:rPr>
            </w:pPr>
            <w:r>
              <w:rPr>
                <w:w w:val="99"/>
                <w:sz w:val="20"/>
              </w:rPr>
              <w:t>0</w:t>
            </w:r>
          </w:p>
        </w:tc>
      </w:tr>
      <w:tr w:rsidR="00DB6E1F" w14:paraId="0E879DA3" w14:textId="77777777">
        <w:trPr>
          <w:trHeight w:val="263"/>
        </w:trPr>
        <w:tc>
          <w:tcPr>
            <w:tcW w:w="3691" w:type="dxa"/>
            <w:tcBorders>
              <w:bottom w:val="single" w:sz="8" w:space="0" w:color="000000"/>
            </w:tcBorders>
          </w:tcPr>
          <w:p w14:paraId="59BD9621" w14:textId="77777777" w:rsidR="00DB6E1F" w:rsidRDefault="00F666A6">
            <w:pPr>
              <w:pStyle w:val="TableParagraph"/>
              <w:spacing w:before="3" w:line="240" w:lineRule="exact"/>
              <w:ind w:left="95"/>
              <w:rPr>
                <w:sz w:val="20"/>
              </w:rPr>
            </w:pPr>
            <w:r>
              <w:rPr>
                <w:color w:val="4D4D4F"/>
                <w:sz w:val="20"/>
              </w:rPr>
              <w:t>28.</w:t>
            </w:r>
            <w:r>
              <w:rPr>
                <w:color w:val="4D4D4F"/>
                <w:spacing w:val="18"/>
                <w:sz w:val="20"/>
              </w:rPr>
              <w:t xml:space="preserve"> </w:t>
            </w:r>
            <w:r>
              <w:rPr>
                <w:color w:val="221F1F"/>
                <w:sz w:val="20"/>
              </w:rPr>
              <w:t>I</w:t>
            </w:r>
            <w:r>
              <w:rPr>
                <w:color w:val="221F1F"/>
                <w:spacing w:val="2"/>
                <w:sz w:val="20"/>
              </w:rPr>
              <w:t xml:space="preserve"> </w:t>
            </w:r>
            <w:r>
              <w:rPr>
                <w:color w:val="221F1F"/>
                <w:sz w:val="20"/>
              </w:rPr>
              <w:t>will</w:t>
            </w:r>
            <w:r>
              <w:rPr>
                <w:color w:val="221F1F"/>
                <w:spacing w:val="1"/>
                <w:sz w:val="20"/>
              </w:rPr>
              <w:t xml:space="preserve"> </w:t>
            </w:r>
            <w:r>
              <w:rPr>
                <w:color w:val="221F1F"/>
                <w:sz w:val="20"/>
              </w:rPr>
              <w:t>miss</w:t>
            </w:r>
            <w:r>
              <w:rPr>
                <w:color w:val="221F1F"/>
                <w:spacing w:val="1"/>
                <w:sz w:val="20"/>
              </w:rPr>
              <w:t xml:space="preserve"> </w:t>
            </w:r>
            <w:r>
              <w:rPr>
                <w:color w:val="221F1F"/>
                <w:sz w:val="20"/>
              </w:rPr>
              <w:t>the</w:t>
            </w:r>
            <w:r>
              <w:rPr>
                <w:color w:val="221F1F"/>
                <w:spacing w:val="1"/>
                <w:sz w:val="20"/>
              </w:rPr>
              <w:t xml:space="preserve"> </w:t>
            </w:r>
            <w:r>
              <w:rPr>
                <w:color w:val="221F1F"/>
                <w:sz w:val="20"/>
              </w:rPr>
              <w:t>feeling</w:t>
            </w:r>
            <w:r>
              <w:rPr>
                <w:color w:val="221F1F"/>
                <w:spacing w:val="2"/>
                <w:sz w:val="20"/>
              </w:rPr>
              <w:t xml:space="preserve"> </w:t>
            </w:r>
            <w:r>
              <w:rPr>
                <w:color w:val="221F1F"/>
                <w:sz w:val="20"/>
              </w:rPr>
              <w:t>of being</w:t>
            </w:r>
            <w:r>
              <w:rPr>
                <w:color w:val="221F1F"/>
                <w:spacing w:val="4"/>
                <w:sz w:val="20"/>
              </w:rPr>
              <w:t xml:space="preserve"> </w:t>
            </w:r>
            <w:r>
              <w:rPr>
                <w:color w:val="221F1F"/>
                <w:spacing w:val="-4"/>
                <w:sz w:val="20"/>
              </w:rPr>
              <w:t>high.</w:t>
            </w:r>
          </w:p>
        </w:tc>
        <w:tc>
          <w:tcPr>
            <w:tcW w:w="900" w:type="dxa"/>
            <w:tcBorders>
              <w:bottom w:val="single" w:sz="8" w:space="0" w:color="000000"/>
            </w:tcBorders>
          </w:tcPr>
          <w:p w14:paraId="5935499A" w14:textId="77777777" w:rsidR="00DB6E1F" w:rsidRDefault="00F666A6">
            <w:pPr>
              <w:pStyle w:val="TableParagraph"/>
              <w:spacing w:before="3" w:line="240" w:lineRule="exact"/>
              <w:ind w:left="7"/>
              <w:jc w:val="center"/>
              <w:rPr>
                <w:sz w:val="20"/>
              </w:rPr>
            </w:pPr>
            <w:r>
              <w:rPr>
                <w:w w:val="99"/>
                <w:sz w:val="20"/>
              </w:rPr>
              <w:t>1</w:t>
            </w:r>
          </w:p>
        </w:tc>
        <w:tc>
          <w:tcPr>
            <w:tcW w:w="989" w:type="dxa"/>
            <w:tcBorders>
              <w:bottom w:val="single" w:sz="8" w:space="0" w:color="000000"/>
            </w:tcBorders>
          </w:tcPr>
          <w:p w14:paraId="6C557C13" w14:textId="77777777" w:rsidR="00DB6E1F" w:rsidRDefault="00F666A6">
            <w:pPr>
              <w:pStyle w:val="TableParagraph"/>
              <w:spacing w:before="3" w:line="240" w:lineRule="exact"/>
              <w:ind w:left="9"/>
              <w:jc w:val="center"/>
              <w:rPr>
                <w:sz w:val="20"/>
              </w:rPr>
            </w:pPr>
            <w:r>
              <w:rPr>
                <w:w w:val="99"/>
                <w:sz w:val="20"/>
              </w:rPr>
              <w:t>2</w:t>
            </w:r>
          </w:p>
        </w:tc>
        <w:tc>
          <w:tcPr>
            <w:tcW w:w="991" w:type="dxa"/>
            <w:tcBorders>
              <w:bottom w:val="single" w:sz="8" w:space="0" w:color="000000"/>
            </w:tcBorders>
          </w:tcPr>
          <w:p w14:paraId="2685CAA8" w14:textId="77777777" w:rsidR="00DB6E1F" w:rsidRDefault="00F666A6">
            <w:pPr>
              <w:pStyle w:val="TableParagraph"/>
              <w:spacing w:before="3" w:line="240" w:lineRule="exact"/>
              <w:ind w:left="7"/>
              <w:jc w:val="center"/>
              <w:rPr>
                <w:sz w:val="20"/>
              </w:rPr>
            </w:pPr>
            <w:r>
              <w:rPr>
                <w:w w:val="99"/>
                <w:sz w:val="20"/>
              </w:rPr>
              <w:t>3</w:t>
            </w:r>
          </w:p>
        </w:tc>
        <w:tc>
          <w:tcPr>
            <w:tcW w:w="989" w:type="dxa"/>
            <w:tcBorders>
              <w:bottom w:val="single" w:sz="8" w:space="0" w:color="000000"/>
            </w:tcBorders>
          </w:tcPr>
          <w:p w14:paraId="75BC5C48" w14:textId="77777777" w:rsidR="00DB6E1F" w:rsidRDefault="00F666A6">
            <w:pPr>
              <w:pStyle w:val="TableParagraph"/>
              <w:spacing w:before="3" w:line="240" w:lineRule="exact"/>
              <w:ind w:left="9"/>
              <w:jc w:val="center"/>
              <w:rPr>
                <w:sz w:val="20"/>
              </w:rPr>
            </w:pPr>
            <w:r>
              <w:rPr>
                <w:w w:val="99"/>
                <w:sz w:val="20"/>
              </w:rPr>
              <w:t>4</w:t>
            </w:r>
          </w:p>
        </w:tc>
        <w:tc>
          <w:tcPr>
            <w:tcW w:w="900" w:type="dxa"/>
            <w:tcBorders>
              <w:bottom w:val="single" w:sz="8" w:space="0" w:color="000000"/>
            </w:tcBorders>
          </w:tcPr>
          <w:p w14:paraId="562D1A69" w14:textId="77777777" w:rsidR="00DB6E1F" w:rsidRDefault="00F666A6">
            <w:pPr>
              <w:pStyle w:val="TableParagraph"/>
              <w:spacing w:before="3" w:line="240" w:lineRule="exact"/>
              <w:ind w:left="7"/>
              <w:jc w:val="center"/>
              <w:rPr>
                <w:sz w:val="20"/>
              </w:rPr>
            </w:pPr>
            <w:r>
              <w:rPr>
                <w:w w:val="99"/>
                <w:sz w:val="20"/>
              </w:rPr>
              <w:t>5</w:t>
            </w:r>
          </w:p>
        </w:tc>
        <w:tc>
          <w:tcPr>
            <w:tcW w:w="895" w:type="dxa"/>
            <w:tcBorders>
              <w:bottom w:val="single" w:sz="8" w:space="0" w:color="000000"/>
            </w:tcBorders>
          </w:tcPr>
          <w:p w14:paraId="1B5B097C" w14:textId="77777777" w:rsidR="00DB6E1F" w:rsidRDefault="00F666A6">
            <w:pPr>
              <w:pStyle w:val="TableParagraph"/>
              <w:spacing w:before="3" w:line="240" w:lineRule="exact"/>
              <w:ind w:left="12"/>
              <w:jc w:val="center"/>
              <w:rPr>
                <w:sz w:val="20"/>
              </w:rPr>
            </w:pPr>
            <w:r>
              <w:rPr>
                <w:w w:val="99"/>
                <w:sz w:val="20"/>
              </w:rPr>
              <w:t>0</w:t>
            </w:r>
          </w:p>
        </w:tc>
      </w:tr>
      <w:tr w:rsidR="00DB6E1F" w14:paraId="61BE92F1" w14:textId="77777777">
        <w:trPr>
          <w:trHeight w:val="2149"/>
        </w:trPr>
        <w:tc>
          <w:tcPr>
            <w:tcW w:w="9355" w:type="dxa"/>
            <w:gridSpan w:val="7"/>
            <w:tcBorders>
              <w:top w:val="single" w:sz="8" w:space="0" w:color="000000"/>
            </w:tcBorders>
          </w:tcPr>
          <w:p w14:paraId="03B7238D" w14:textId="77777777" w:rsidR="00DB6E1F" w:rsidRDefault="00F666A6">
            <w:pPr>
              <w:pStyle w:val="TableParagraph"/>
              <w:ind w:right="345"/>
              <w:rPr>
                <w:sz w:val="20"/>
              </w:rPr>
            </w:pPr>
            <w:r>
              <w:rPr>
                <w:b/>
                <w:sz w:val="20"/>
              </w:rPr>
              <w:t>Scoring</w:t>
            </w:r>
            <w:r>
              <w:rPr>
                <w:sz w:val="20"/>
              </w:rPr>
              <w:t>:</w:t>
            </w:r>
            <w:r>
              <w:rPr>
                <w:spacing w:val="-4"/>
                <w:sz w:val="20"/>
              </w:rPr>
              <w:t xml:space="preserve"> </w:t>
            </w:r>
            <w:r>
              <w:rPr>
                <w:sz w:val="20"/>
              </w:rPr>
              <w:t>Scale</w:t>
            </w:r>
            <w:r>
              <w:rPr>
                <w:spacing w:val="-4"/>
                <w:sz w:val="20"/>
              </w:rPr>
              <w:t xml:space="preserve"> </w:t>
            </w:r>
            <w:r>
              <w:rPr>
                <w:sz w:val="20"/>
              </w:rPr>
              <w:t>scores</w:t>
            </w:r>
            <w:r>
              <w:rPr>
                <w:spacing w:val="-4"/>
                <w:sz w:val="20"/>
              </w:rPr>
              <w:t xml:space="preserve"> </w:t>
            </w:r>
            <w:r>
              <w:rPr>
                <w:sz w:val="20"/>
              </w:rPr>
              <w:t>are</w:t>
            </w:r>
            <w:r>
              <w:rPr>
                <w:spacing w:val="-4"/>
                <w:sz w:val="20"/>
              </w:rPr>
              <w:t xml:space="preserve"> </w:t>
            </w:r>
            <w:r>
              <w:rPr>
                <w:sz w:val="20"/>
              </w:rPr>
              <w:t>derived</w:t>
            </w:r>
            <w:r>
              <w:rPr>
                <w:spacing w:val="-2"/>
                <w:sz w:val="20"/>
              </w:rPr>
              <w:t xml:space="preserve"> </w:t>
            </w:r>
            <w:r>
              <w:rPr>
                <w:sz w:val="20"/>
              </w:rPr>
              <w:t>by</w:t>
            </w:r>
            <w:r>
              <w:rPr>
                <w:spacing w:val="-2"/>
                <w:sz w:val="20"/>
              </w:rPr>
              <w:t xml:space="preserve"> </w:t>
            </w:r>
            <w:r>
              <w:rPr>
                <w:sz w:val="20"/>
              </w:rPr>
              <w:t>summing</w:t>
            </w:r>
            <w:r>
              <w:rPr>
                <w:spacing w:val="-3"/>
                <w:sz w:val="20"/>
              </w:rPr>
              <w:t xml:space="preserve"> </w:t>
            </w:r>
            <w:r>
              <w:rPr>
                <w:sz w:val="20"/>
              </w:rPr>
              <w:t>benefits</w:t>
            </w:r>
            <w:r>
              <w:rPr>
                <w:spacing w:val="-4"/>
                <w:sz w:val="20"/>
              </w:rPr>
              <w:t xml:space="preserve"> </w:t>
            </w:r>
            <w:r>
              <w:rPr>
                <w:sz w:val="20"/>
              </w:rPr>
              <w:t>and</w:t>
            </w:r>
            <w:r>
              <w:rPr>
                <w:spacing w:val="-2"/>
                <w:sz w:val="20"/>
              </w:rPr>
              <w:t xml:space="preserve"> </w:t>
            </w:r>
            <w:r>
              <w:rPr>
                <w:sz w:val="20"/>
              </w:rPr>
              <w:t>cost</w:t>
            </w:r>
            <w:r>
              <w:rPr>
                <w:spacing w:val="-3"/>
                <w:sz w:val="20"/>
              </w:rPr>
              <w:t xml:space="preserve"> </w:t>
            </w:r>
            <w:r>
              <w:rPr>
                <w:sz w:val="20"/>
              </w:rPr>
              <w:t>items,</w:t>
            </w:r>
            <w:r>
              <w:rPr>
                <w:spacing w:val="-2"/>
                <w:sz w:val="20"/>
              </w:rPr>
              <w:t xml:space="preserve"> </w:t>
            </w:r>
            <w:r>
              <w:rPr>
                <w:sz w:val="20"/>
              </w:rPr>
              <w:t>dividing</w:t>
            </w:r>
            <w:r>
              <w:rPr>
                <w:spacing w:val="-3"/>
                <w:sz w:val="20"/>
              </w:rPr>
              <w:t xml:space="preserve"> </w:t>
            </w:r>
            <w:r>
              <w:rPr>
                <w:sz w:val="20"/>
              </w:rPr>
              <w:t>by</w:t>
            </w:r>
            <w:r>
              <w:rPr>
                <w:spacing w:val="-2"/>
                <w:sz w:val="20"/>
              </w:rPr>
              <w:t xml:space="preserve"> </w:t>
            </w:r>
            <w:r>
              <w:rPr>
                <w:sz w:val="20"/>
              </w:rPr>
              <w:t>the</w:t>
            </w:r>
            <w:r>
              <w:rPr>
                <w:spacing w:val="-4"/>
                <w:sz w:val="20"/>
              </w:rPr>
              <w:t xml:space="preserve"> </w:t>
            </w:r>
            <w:r>
              <w:rPr>
                <w:sz w:val="20"/>
              </w:rPr>
              <w:t>maximum</w:t>
            </w:r>
            <w:r>
              <w:rPr>
                <w:spacing w:val="-4"/>
                <w:sz w:val="20"/>
              </w:rPr>
              <w:t xml:space="preserve"> </w:t>
            </w:r>
            <w:r>
              <w:rPr>
                <w:sz w:val="20"/>
              </w:rPr>
              <w:t>possible subscale score, and multiplying by 100.</w:t>
            </w:r>
          </w:p>
          <w:p w14:paraId="23DB8794" w14:textId="77777777" w:rsidR="00DB6E1F" w:rsidRDefault="00F666A6">
            <w:pPr>
              <w:pStyle w:val="TableParagraph"/>
              <w:tabs>
                <w:tab w:val="left" w:pos="6677"/>
              </w:tabs>
              <w:spacing w:before="121"/>
              <w:ind w:right="345" w:hanging="1"/>
              <w:rPr>
                <w:rFonts w:ascii="Times New Roman"/>
                <w:sz w:val="20"/>
              </w:rPr>
            </w:pPr>
            <w:r>
              <w:rPr>
                <w:i/>
                <w:sz w:val="20"/>
              </w:rPr>
              <w:t>Benefits</w:t>
            </w:r>
            <w:r>
              <w:rPr>
                <w:i/>
                <w:spacing w:val="-3"/>
                <w:sz w:val="20"/>
              </w:rPr>
              <w:t xml:space="preserve"> </w:t>
            </w:r>
            <w:r>
              <w:rPr>
                <w:i/>
                <w:sz w:val="20"/>
              </w:rPr>
              <w:t>Score</w:t>
            </w:r>
            <w:r>
              <w:rPr>
                <w:sz w:val="20"/>
              </w:rPr>
              <w:t>:</w:t>
            </w:r>
            <w:r>
              <w:rPr>
                <w:spacing w:val="-3"/>
                <w:sz w:val="20"/>
              </w:rPr>
              <w:t xml:space="preserve"> </w:t>
            </w:r>
            <w:r>
              <w:rPr>
                <w:sz w:val="20"/>
              </w:rPr>
              <w:t>Total</w:t>
            </w:r>
            <w:r>
              <w:rPr>
                <w:spacing w:val="-2"/>
                <w:sz w:val="20"/>
              </w:rPr>
              <w:t xml:space="preserve"> </w:t>
            </w:r>
            <w:r>
              <w:rPr>
                <w:sz w:val="20"/>
              </w:rPr>
              <w:t>the</w:t>
            </w:r>
            <w:r>
              <w:rPr>
                <w:spacing w:val="-3"/>
                <w:sz w:val="20"/>
              </w:rPr>
              <w:t xml:space="preserve"> </w:t>
            </w:r>
            <w:r>
              <w:rPr>
                <w:sz w:val="20"/>
              </w:rPr>
              <w:t>scores</w:t>
            </w:r>
            <w:r>
              <w:rPr>
                <w:spacing w:val="-3"/>
                <w:sz w:val="20"/>
              </w:rPr>
              <w:t xml:space="preserve"> </w:t>
            </w:r>
            <w:r>
              <w:rPr>
                <w:sz w:val="20"/>
              </w:rPr>
              <w:t>on</w:t>
            </w:r>
            <w:r>
              <w:rPr>
                <w:spacing w:val="-1"/>
                <w:sz w:val="20"/>
              </w:rPr>
              <w:t xml:space="preserve"> </w:t>
            </w:r>
            <w:r>
              <w:rPr>
                <w:sz w:val="20"/>
              </w:rPr>
              <w:t>items</w:t>
            </w:r>
            <w:r>
              <w:rPr>
                <w:spacing w:val="-3"/>
                <w:sz w:val="20"/>
              </w:rPr>
              <w:t xml:space="preserve"> </w:t>
            </w:r>
            <w:r>
              <w:rPr>
                <w:sz w:val="20"/>
              </w:rPr>
              <w:t>1,</w:t>
            </w:r>
            <w:r>
              <w:rPr>
                <w:spacing w:val="-1"/>
                <w:sz w:val="20"/>
              </w:rPr>
              <w:t xml:space="preserve"> </w:t>
            </w:r>
            <w:r>
              <w:rPr>
                <w:sz w:val="20"/>
              </w:rPr>
              <w:t>4,</w:t>
            </w:r>
            <w:r>
              <w:rPr>
                <w:spacing w:val="-1"/>
                <w:sz w:val="20"/>
              </w:rPr>
              <w:t xml:space="preserve"> </w:t>
            </w:r>
            <w:r>
              <w:rPr>
                <w:sz w:val="20"/>
              </w:rPr>
              <w:t>6,</w:t>
            </w:r>
            <w:r>
              <w:rPr>
                <w:spacing w:val="-1"/>
                <w:sz w:val="20"/>
              </w:rPr>
              <w:t xml:space="preserve"> </w:t>
            </w:r>
            <w:r>
              <w:rPr>
                <w:sz w:val="20"/>
              </w:rPr>
              <w:t>7,</w:t>
            </w:r>
            <w:r>
              <w:rPr>
                <w:spacing w:val="-1"/>
                <w:sz w:val="20"/>
              </w:rPr>
              <w:t xml:space="preserve"> </w:t>
            </w:r>
            <w:r>
              <w:rPr>
                <w:sz w:val="20"/>
              </w:rPr>
              <w:t>9,</w:t>
            </w:r>
            <w:r>
              <w:rPr>
                <w:spacing w:val="-1"/>
                <w:sz w:val="20"/>
              </w:rPr>
              <w:t xml:space="preserve"> </w:t>
            </w:r>
            <w:r>
              <w:rPr>
                <w:sz w:val="20"/>
              </w:rPr>
              <w:t>10,</w:t>
            </w:r>
            <w:r>
              <w:rPr>
                <w:spacing w:val="-1"/>
                <w:sz w:val="20"/>
              </w:rPr>
              <w:t xml:space="preserve"> </w:t>
            </w:r>
            <w:r>
              <w:rPr>
                <w:sz w:val="20"/>
              </w:rPr>
              <w:t>11,</w:t>
            </w:r>
            <w:r>
              <w:rPr>
                <w:spacing w:val="-1"/>
                <w:sz w:val="20"/>
              </w:rPr>
              <w:t xml:space="preserve"> </w:t>
            </w:r>
            <w:r>
              <w:rPr>
                <w:sz w:val="20"/>
              </w:rPr>
              <w:t>12,</w:t>
            </w:r>
            <w:r>
              <w:rPr>
                <w:spacing w:val="-1"/>
                <w:sz w:val="20"/>
              </w:rPr>
              <w:t xml:space="preserve"> </w:t>
            </w:r>
            <w:r>
              <w:rPr>
                <w:sz w:val="20"/>
              </w:rPr>
              <w:t>13,</w:t>
            </w:r>
            <w:r>
              <w:rPr>
                <w:spacing w:val="-1"/>
                <w:sz w:val="20"/>
              </w:rPr>
              <w:t xml:space="preserve"> </w:t>
            </w:r>
            <w:r>
              <w:rPr>
                <w:sz w:val="20"/>
              </w:rPr>
              <w:t>18,</w:t>
            </w:r>
            <w:r>
              <w:rPr>
                <w:spacing w:val="-1"/>
                <w:sz w:val="20"/>
              </w:rPr>
              <w:t xml:space="preserve"> </w:t>
            </w:r>
            <w:r>
              <w:rPr>
                <w:sz w:val="20"/>
              </w:rPr>
              <w:t>19,</w:t>
            </w:r>
            <w:r>
              <w:rPr>
                <w:spacing w:val="-1"/>
                <w:sz w:val="20"/>
              </w:rPr>
              <w:t xml:space="preserve"> </w:t>
            </w:r>
            <w:r>
              <w:rPr>
                <w:sz w:val="20"/>
              </w:rPr>
              <w:t>20,</w:t>
            </w:r>
            <w:r>
              <w:rPr>
                <w:spacing w:val="-1"/>
                <w:sz w:val="20"/>
              </w:rPr>
              <w:t xml:space="preserve"> </w:t>
            </w:r>
            <w:r>
              <w:rPr>
                <w:sz w:val="20"/>
              </w:rPr>
              <w:t>23,</w:t>
            </w:r>
            <w:r>
              <w:rPr>
                <w:spacing w:val="-1"/>
                <w:sz w:val="20"/>
              </w:rPr>
              <w:t xml:space="preserve"> </w:t>
            </w:r>
            <w:r>
              <w:rPr>
                <w:sz w:val="20"/>
              </w:rPr>
              <w:t>25,</w:t>
            </w:r>
            <w:r>
              <w:rPr>
                <w:spacing w:val="-1"/>
                <w:sz w:val="20"/>
              </w:rPr>
              <w:t xml:space="preserve"> </w:t>
            </w:r>
            <w:r>
              <w:rPr>
                <w:sz w:val="20"/>
              </w:rPr>
              <w:t>and</w:t>
            </w:r>
            <w:r>
              <w:rPr>
                <w:spacing w:val="-1"/>
                <w:sz w:val="20"/>
              </w:rPr>
              <w:t xml:space="preserve"> </w:t>
            </w:r>
            <w:r>
              <w:rPr>
                <w:sz w:val="20"/>
              </w:rPr>
              <w:t>27.</w:t>
            </w:r>
            <w:r>
              <w:rPr>
                <w:spacing w:val="-2"/>
                <w:sz w:val="20"/>
              </w:rPr>
              <w:t xml:space="preserve"> </w:t>
            </w:r>
            <w:r>
              <w:rPr>
                <w:sz w:val="20"/>
              </w:rPr>
              <w:t>Divide</w:t>
            </w:r>
            <w:r>
              <w:rPr>
                <w:spacing w:val="-3"/>
                <w:sz w:val="20"/>
              </w:rPr>
              <w:t xml:space="preserve"> </w:t>
            </w:r>
            <w:r>
              <w:rPr>
                <w:sz w:val="20"/>
              </w:rPr>
              <w:t>the</w:t>
            </w:r>
            <w:r>
              <w:rPr>
                <w:spacing w:val="-3"/>
                <w:sz w:val="20"/>
              </w:rPr>
              <w:t xml:space="preserve"> </w:t>
            </w:r>
            <w:r>
              <w:rPr>
                <w:sz w:val="20"/>
              </w:rPr>
              <w:t xml:space="preserve">total score by the maximum score of 75 (15 items X 5). Multiple by 100. Score: </w:t>
            </w:r>
            <w:r>
              <w:rPr>
                <w:rFonts w:ascii="Times New Roman"/>
                <w:sz w:val="20"/>
                <w:u w:val="single"/>
              </w:rPr>
              <w:tab/>
            </w:r>
          </w:p>
          <w:p w14:paraId="37ED0AD0" w14:textId="77777777" w:rsidR="00DB6E1F" w:rsidRDefault="00F666A6">
            <w:pPr>
              <w:pStyle w:val="TableParagraph"/>
              <w:tabs>
                <w:tab w:val="left" w:pos="5954"/>
              </w:tabs>
              <w:spacing w:before="119"/>
              <w:ind w:right="341"/>
              <w:rPr>
                <w:rFonts w:ascii="Times New Roman"/>
                <w:sz w:val="20"/>
              </w:rPr>
            </w:pPr>
            <w:r>
              <w:rPr>
                <w:i/>
                <w:sz w:val="20"/>
              </w:rPr>
              <w:t>Costs</w:t>
            </w:r>
            <w:r>
              <w:rPr>
                <w:i/>
                <w:spacing w:val="-3"/>
                <w:sz w:val="20"/>
              </w:rPr>
              <w:t xml:space="preserve"> </w:t>
            </w:r>
            <w:r>
              <w:rPr>
                <w:i/>
                <w:sz w:val="20"/>
              </w:rPr>
              <w:t>Score</w:t>
            </w:r>
            <w:r>
              <w:rPr>
                <w:sz w:val="20"/>
              </w:rPr>
              <w:t>:</w:t>
            </w:r>
            <w:r>
              <w:rPr>
                <w:spacing w:val="-3"/>
                <w:sz w:val="20"/>
              </w:rPr>
              <w:t xml:space="preserve"> </w:t>
            </w:r>
            <w:r>
              <w:rPr>
                <w:sz w:val="20"/>
              </w:rPr>
              <w:t>Total</w:t>
            </w:r>
            <w:r>
              <w:rPr>
                <w:spacing w:val="-2"/>
                <w:sz w:val="20"/>
              </w:rPr>
              <w:t xml:space="preserve"> </w:t>
            </w:r>
            <w:r>
              <w:rPr>
                <w:sz w:val="20"/>
              </w:rPr>
              <w:t>the scores</w:t>
            </w:r>
            <w:r>
              <w:rPr>
                <w:spacing w:val="-3"/>
                <w:sz w:val="20"/>
              </w:rPr>
              <w:t xml:space="preserve"> </w:t>
            </w:r>
            <w:r>
              <w:rPr>
                <w:sz w:val="20"/>
              </w:rPr>
              <w:t>on</w:t>
            </w:r>
            <w:r>
              <w:rPr>
                <w:spacing w:val="-1"/>
                <w:sz w:val="20"/>
              </w:rPr>
              <w:t xml:space="preserve"> </w:t>
            </w:r>
            <w:r>
              <w:rPr>
                <w:sz w:val="20"/>
              </w:rPr>
              <w:t>items</w:t>
            </w:r>
            <w:r>
              <w:rPr>
                <w:spacing w:val="-3"/>
                <w:sz w:val="20"/>
              </w:rPr>
              <w:t xml:space="preserve"> </w:t>
            </w:r>
            <w:r>
              <w:rPr>
                <w:sz w:val="20"/>
              </w:rPr>
              <w:t>2,</w:t>
            </w:r>
            <w:r>
              <w:rPr>
                <w:spacing w:val="-1"/>
                <w:sz w:val="20"/>
              </w:rPr>
              <w:t xml:space="preserve"> </w:t>
            </w:r>
            <w:r>
              <w:rPr>
                <w:sz w:val="20"/>
              </w:rPr>
              <w:t>3,</w:t>
            </w:r>
            <w:r>
              <w:rPr>
                <w:spacing w:val="-1"/>
                <w:sz w:val="20"/>
              </w:rPr>
              <w:t xml:space="preserve"> </w:t>
            </w:r>
            <w:r>
              <w:rPr>
                <w:sz w:val="20"/>
              </w:rPr>
              <w:t>5,</w:t>
            </w:r>
            <w:r>
              <w:rPr>
                <w:spacing w:val="-1"/>
                <w:sz w:val="20"/>
              </w:rPr>
              <w:t xml:space="preserve"> </w:t>
            </w:r>
            <w:r>
              <w:rPr>
                <w:sz w:val="20"/>
              </w:rPr>
              <w:t>8,</w:t>
            </w:r>
            <w:r>
              <w:rPr>
                <w:spacing w:val="-1"/>
                <w:sz w:val="20"/>
              </w:rPr>
              <w:t xml:space="preserve"> </w:t>
            </w:r>
            <w:r>
              <w:rPr>
                <w:sz w:val="20"/>
              </w:rPr>
              <w:t>14,</w:t>
            </w:r>
            <w:r>
              <w:rPr>
                <w:spacing w:val="-1"/>
                <w:sz w:val="20"/>
              </w:rPr>
              <w:t xml:space="preserve"> </w:t>
            </w:r>
            <w:r>
              <w:rPr>
                <w:sz w:val="20"/>
              </w:rPr>
              <w:t>15,</w:t>
            </w:r>
            <w:r>
              <w:rPr>
                <w:spacing w:val="-1"/>
                <w:sz w:val="20"/>
              </w:rPr>
              <w:t xml:space="preserve"> </w:t>
            </w:r>
            <w:r>
              <w:rPr>
                <w:sz w:val="20"/>
              </w:rPr>
              <w:t>16,</w:t>
            </w:r>
            <w:r>
              <w:rPr>
                <w:spacing w:val="-1"/>
                <w:sz w:val="20"/>
              </w:rPr>
              <w:t xml:space="preserve"> </w:t>
            </w:r>
            <w:r>
              <w:rPr>
                <w:sz w:val="20"/>
              </w:rPr>
              <w:t>17,</w:t>
            </w:r>
            <w:r>
              <w:rPr>
                <w:spacing w:val="-1"/>
                <w:sz w:val="20"/>
              </w:rPr>
              <w:t xml:space="preserve"> </w:t>
            </w:r>
            <w:r>
              <w:rPr>
                <w:sz w:val="20"/>
              </w:rPr>
              <w:t>21,</w:t>
            </w:r>
            <w:r>
              <w:rPr>
                <w:spacing w:val="-1"/>
                <w:sz w:val="20"/>
              </w:rPr>
              <w:t xml:space="preserve"> </w:t>
            </w:r>
            <w:r>
              <w:rPr>
                <w:sz w:val="20"/>
              </w:rPr>
              <w:t>22,</w:t>
            </w:r>
            <w:r>
              <w:rPr>
                <w:spacing w:val="-1"/>
                <w:sz w:val="20"/>
              </w:rPr>
              <w:t xml:space="preserve"> </w:t>
            </w:r>
            <w:r>
              <w:rPr>
                <w:sz w:val="20"/>
              </w:rPr>
              <w:t>24,</w:t>
            </w:r>
            <w:r>
              <w:rPr>
                <w:spacing w:val="-1"/>
                <w:sz w:val="20"/>
              </w:rPr>
              <w:t xml:space="preserve"> </w:t>
            </w:r>
            <w:r>
              <w:rPr>
                <w:sz w:val="20"/>
              </w:rPr>
              <w:t>26,</w:t>
            </w:r>
            <w:r>
              <w:rPr>
                <w:spacing w:val="-1"/>
                <w:sz w:val="20"/>
              </w:rPr>
              <w:t xml:space="preserve"> </w:t>
            </w:r>
            <w:r>
              <w:rPr>
                <w:sz w:val="20"/>
              </w:rPr>
              <w:t>and</w:t>
            </w:r>
            <w:r>
              <w:rPr>
                <w:spacing w:val="-1"/>
                <w:sz w:val="20"/>
              </w:rPr>
              <w:t xml:space="preserve"> </w:t>
            </w:r>
            <w:r>
              <w:rPr>
                <w:sz w:val="20"/>
              </w:rPr>
              <w:t>28.</w:t>
            </w:r>
            <w:r>
              <w:rPr>
                <w:spacing w:val="-2"/>
                <w:sz w:val="20"/>
              </w:rPr>
              <w:t xml:space="preserve"> </w:t>
            </w:r>
            <w:r>
              <w:rPr>
                <w:sz w:val="20"/>
              </w:rPr>
              <w:t>Divide</w:t>
            </w:r>
            <w:r>
              <w:rPr>
                <w:spacing w:val="-3"/>
                <w:sz w:val="20"/>
              </w:rPr>
              <w:t xml:space="preserve"> </w:t>
            </w:r>
            <w:r>
              <w:rPr>
                <w:sz w:val="20"/>
              </w:rPr>
              <w:t>the</w:t>
            </w:r>
            <w:r>
              <w:rPr>
                <w:spacing w:val="-3"/>
                <w:sz w:val="20"/>
              </w:rPr>
              <w:t xml:space="preserve"> </w:t>
            </w:r>
            <w:r>
              <w:rPr>
                <w:sz w:val="20"/>
              </w:rPr>
              <w:t>total</w:t>
            </w:r>
            <w:r>
              <w:rPr>
                <w:spacing w:val="-2"/>
                <w:sz w:val="20"/>
              </w:rPr>
              <w:t xml:space="preserve"> </w:t>
            </w:r>
            <w:r>
              <w:rPr>
                <w:sz w:val="20"/>
              </w:rPr>
              <w:t>score</w:t>
            </w:r>
            <w:r>
              <w:rPr>
                <w:spacing w:val="-3"/>
                <w:sz w:val="20"/>
              </w:rPr>
              <w:t xml:space="preserve"> </w:t>
            </w:r>
            <w:r>
              <w:rPr>
                <w:sz w:val="20"/>
              </w:rPr>
              <w:t xml:space="preserve">by the maximum score of 65 (13 items X 5). Multiple by 100. Score: </w:t>
            </w:r>
            <w:r>
              <w:rPr>
                <w:rFonts w:ascii="Times New Roman"/>
                <w:sz w:val="20"/>
                <w:u w:val="single"/>
              </w:rPr>
              <w:tab/>
            </w:r>
          </w:p>
          <w:p w14:paraId="1BC4A36F" w14:textId="77777777" w:rsidR="00DB6E1F" w:rsidRDefault="00F666A6">
            <w:pPr>
              <w:pStyle w:val="TableParagraph"/>
              <w:spacing w:before="121"/>
              <w:rPr>
                <w:i/>
                <w:sz w:val="20"/>
              </w:rPr>
            </w:pPr>
            <w:r>
              <w:rPr>
                <w:i/>
                <w:sz w:val="20"/>
              </w:rPr>
              <w:t>Source:</w:t>
            </w:r>
            <w:r>
              <w:rPr>
                <w:i/>
                <w:spacing w:val="-8"/>
                <w:sz w:val="20"/>
              </w:rPr>
              <w:t xml:space="preserve"> </w:t>
            </w:r>
            <w:r>
              <w:rPr>
                <w:i/>
                <w:sz w:val="20"/>
              </w:rPr>
              <w:t>Cunningham,</w:t>
            </w:r>
            <w:r>
              <w:rPr>
                <w:i/>
                <w:spacing w:val="-9"/>
                <w:sz w:val="20"/>
              </w:rPr>
              <w:t xml:space="preserve"> </w:t>
            </w:r>
            <w:r>
              <w:rPr>
                <w:i/>
                <w:sz w:val="20"/>
              </w:rPr>
              <w:t>Sobell,</w:t>
            </w:r>
            <w:r>
              <w:rPr>
                <w:i/>
                <w:spacing w:val="-9"/>
                <w:sz w:val="20"/>
              </w:rPr>
              <w:t xml:space="preserve"> </w:t>
            </w:r>
            <w:r>
              <w:rPr>
                <w:i/>
                <w:sz w:val="20"/>
              </w:rPr>
              <w:t>Gavin,</w:t>
            </w:r>
            <w:r>
              <w:rPr>
                <w:i/>
                <w:spacing w:val="-6"/>
                <w:sz w:val="20"/>
              </w:rPr>
              <w:t xml:space="preserve"> </w:t>
            </w:r>
            <w:r>
              <w:rPr>
                <w:i/>
                <w:sz w:val="20"/>
              </w:rPr>
              <w:t>Sobell,</w:t>
            </w:r>
            <w:r>
              <w:rPr>
                <w:i/>
                <w:spacing w:val="-7"/>
                <w:sz w:val="20"/>
              </w:rPr>
              <w:t xml:space="preserve"> </w:t>
            </w:r>
            <w:r>
              <w:rPr>
                <w:i/>
                <w:sz w:val="20"/>
              </w:rPr>
              <w:t>&amp;</w:t>
            </w:r>
            <w:r>
              <w:rPr>
                <w:i/>
                <w:spacing w:val="-6"/>
                <w:sz w:val="20"/>
              </w:rPr>
              <w:t xml:space="preserve"> </w:t>
            </w:r>
            <w:r>
              <w:rPr>
                <w:i/>
                <w:sz w:val="20"/>
              </w:rPr>
              <w:t>Breslin,</w:t>
            </w:r>
            <w:r>
              <w:rPr>
                <w:i/>
                <w:spacing w:val="-6"/>
                <w:sz w:val="20"/>
              </w:rPr>
              <w:t xml:space="preserve"> </w:t>
            </w:r>
            <w:r>
              <w:rPr>
                <w:i/>
                <w:sz w:val="20"/>
              </w:rPr>
              <w:t>1997.</w:t>
            </w:r>
            <w:r>
              <w:rPr>
                <w:i/>
                <w:spacing w:val="-6"/>
                <w:sz w:val="20"/>
              </w:rPr>
              <w:t xml:space="preserve"> </w:t>
            </w:r>
            <w:r>
              <w:rPr>
                <w:i/>
                <w:sz w:val="20"/>
              </w:rPr>
              <w:t>Adapted</w:t>
            </w:r>
            <w:r>
              <w:rPr>
                <w:i/>
                <w:spacing w:val="-6"/>
                <w:sz w:val="20"/>
              </w:rPr>
              <w:t xml:space="preserve"> </w:t>
            </w:r>
            <w:r>
              <w:rPr>
                <w:i/>
                <w:sz w:val="20"/>
              </w:rPr>
              <w:t>with</w:t>
            </w:r>
            <w:r>
              <w:rPr>
                <w:i/>
                <w:spacing w:val="-6"/>
                <w:sz w:val="20"/>
              </w:rPr>
              <w:t xml:space="preserve"> </w:t>
            </w:r>
            <w:r>
              <w:rPr>
                <w:i/>
                <w:spacing w:val="-2"/>
                <w:sz w:val="20"/>
              </w:rPr>
              <w:t>permission.</w:t>
            </w:r>
          </w:p>
        </w:tc>
      </w:tr>
    </w:tbl>
    <w:p w14:paraId="67181B8A" w14:textId="77777777" w:rsidR="00DB6E1F" w:rsidRDefault="00DB6E1F">
      <w:pPr>
        <w:rPr>
          <w:sz w:val="20"/>
        </w:rPr>
        <w:sectPr w:rsidR="00DB6E1F">
          <w:pgSz w:w="12240" w:h="15840"/>
          <w:pgMar w:top="1200" w:right="0" w:bottom="780" w:left="0" w:header="763" w:footer="585" w:gutter="0"/>
          <w:cols w:space="720"/>
        </w:sectPr>
      </w:pPr>
    </w:p>
    <w:p w14:paraId="22E55DDE" w14:textId="77777777" w:rsidR="00DB6E1F" w:rsidRDefault="00DB6E1F">
      <w:pPr>
        <w:pStyle w:val="BodyText"/>
        <w:spacing w:before="3"/>
        <w:rPr>
          <w:sz w:val="17"/>
        </w:rPr>
      </w:pPr>
    </w:p>
    <w:p w14:paraId="544ED43B" w14:textId="77777777" w:rsidR="00DB6E1F" w:rsidRDefault="00F666A6">
      <w:pPr>
        <w:pStyle w:val="Heading2"/>
        <w:numPr>
          <w:ilvl w:val="0"/>
          <w:numId w:val="28"/>
        </w:numPr>
        <w:tabs>
          <w:tab w:val="left" w:pos="1983"/>
        </w:tabs>
        <w:ind w:left="1982" w:hanging="543"/>
      </w:pPr>
      <w:bookmarkStart w:id="250" w:name="10._Alcohol_Decisional_Balance_Scale"/>
      <w:bookmarkStart w:id="251" w:name="_bookmark60"/>
      <w:bookmarkEnd w:id="250"/>
      <w:bookmarkEnd w:id="251"/>
      <w:r>
        <w:t>Alcohol</w:t>
      </w:r>
      <w:r>
        <w:rPr>
          <w:spacing w:val="-4"/>
        </w:rPr>
        <w:t xml:space="preserve"> </w:t>
      </w:r>
      <w:r>
        <w:t>Decisional</w:t>
      </w:r>
      <w:r>
        <w:rPr>
          <w:spacing w:val="-4"/>
        </w:rPr>
        <w:t xml:space="preserve"> </w:t>
      </w:r>
      <w:r>
        <w:t>Balance</w:t>
      </w:r>
      <w:r>
        <w:rPr>
          <w:spacing w:val="-3"/>
        </w:rPr>
        <w:t xml:space="preserve"> </w:t>
      </w:r>
      <w:r>
        <w:rPr>
          <w:spacing w:val="-4"/>
        </w:rPr>
        <w:t>Scale</w:t>
      </w:r>
    </w:p>
    <w:p w14:paraId="6F30B951" w14:textId="77777777" w:rsidR="00DB6E1F" w:rsidRDefault="00F666A6">
      <w:pPr>
        <w:tabs>
          <w:tab w:val="left" w:pos="4018"/>
          <w:tab w:val="left" w:pos="5189"/>
          <w:tab w:val="left" w:pos="5865"/>
          <w:tab w:val="left" w:pos="6541"/>
          <w:tab w:val="left" w:pos="9455"/>
        </w:tabs>
        <w:spacing w:before="154"/>
        <w:ind w:left="1440"/>
        <w:rPr>
          <w:rFonts w:ascii="Times New Roman"/>
          <w:sz w:val="20"/>
        </w:rPr>
      </w:pPr>
      <w:r>
        <w:rPr>
          <w:sz w:val="20"/>
        </w:rPr>
        <w:t>Client</w:t>
      </w:r>
      <w:r>
        <w:rPr>
          <w:spacing w:val="-3"/>
          <w:sz w:val="20"/>
        </w:rPr>
        <w:t xml:space="preserve"> </w:t>
      </w:r>
      <w:r>
        <w:rPr>
          <w:sz w:val="20"/>
        </w:rPr>
        <w:t>ID#:</w:t>
      </w:r>
      <w:r>
        <w:rPr>
          <w:spacing w:val="-4"/>
          <w:sz w:val="20"/>
        </w:rPr>
        <w:t xml:space="preserve"> </w:t>
      </w:r>
      <w:r>
        <w:rPr>
          <w:rFonts w:ascii="Times New Roman"/>
          <w:sz w:val="20"/>
          <w:u w:val="single"/>
        </w:rPr>
        <w:tab/>
      </w:r>
      <w:r>
        <w:rPr>
          <w:rFonts w:ascii="Times New Roman"/>
          <w:spacing w:val="40"/>
          <w:sz w:val="20"/>
        </w:rPr>
        <w:t xml:space="preserve"> </w:t>
      </w:r>
      <w:r>
        <w:rPr>
          <w:sz w:val="20"/>
        </w:rPr>
        <w:t xml:space="preserve">Date: </w:t>
      </w:r>
      <w:r>
        <w:rPr>
          <w:rFonts w:ascii="Times New Roman"/>
          <w:sz w:val="20"/>
          <w:u w:val="single"/>
        </w:rPr>
        <w:tab/>
      </w:r>
      <w:r>
        <w:rPr>
          <w:spacing w:val="-10"/>
          <w:sz w:val="20"/>
        </w:rPr>
        <w:t>/</w:t>
      </w:r>
      <w:r>
        <w:rPr>
          <w:rFonts w:ascii="Times New Roman"/>
          <w:sz w:val="20"/>
          <w:u w:val="single"/>
        </w:rPr>
        <w:tab/>
      </w:r>
      <w:r>
        <w:rPr>
          <w:spacing w:val="-10"/>
          <w:sz w:val="20"/>
        </w:rPr>
        <w:t>/</w:t>
      </w:r>
      <w:r>
        <w:rPr>
          <w:rFonts w:ascii="Times New Roman"/>
          <w:sz w:val="20"/>
          <w:u w:val="single"/>
        </w:rPr>
        <w:tab/>
      </w:r>
      <w:r>
        <w:rPr>
          <w:rFonts w:ascii="Times New Roman"/>
          <w:spacing w:val="40"/>
          <w:sz w:val="20"/>
        </w:rPr>
        <w:t xml:space="preserve"> </w:t>
      </w:r>
      <w:r>
        <w:rPr>
          <w:spacing w:val="-2"/>
          <w:sz w:val="20"/>
        </w:rPr>
        <w:t xml:space="preserve">Assessment </w:t>
      </w:r>
      <w:r>
        <w:rPr>
          <w:sz w:val="20"/>
        </w:rPr>
        <w:t xml:space="preserve">Point: </w:t>
      </w:r>
      <w:r>
        <w:rPr>
          <w:rFonts w:ascii="Times New Roman"/>
          <w:sz w:val="20"/>
          <w:u w:val="single"/>
        </w:rPr>
        <w:tab/>
      </w:r>
    </w:p>
    <w:p w14:paraId="3B42491E" w14:textId="77777777" w:rsidR="00DB6E1F" w:rsidRDefault="00F666A6">
      <w:pPr>
        <w:spacing w:before="118"/>
        <w:ind w:left="1440" w:right="1555"/>
        <w:rPr>
          <w:sz w:val="20"/>
        </w:rPr>
      </w:pPr>
      <w:r>
        <w:rPr>
          <w:b/>
          <w:sz w:val="20"/>
        </w:rPr>
        <w:t>Instructions:</w:t>
      </w:r>
      <w:r>
        <w:rPr>
          <w:b/>
          <w:spacing w:val="-3"/>
          <w:sz w:val="20"/>
        </w:rPr>
        <w:t xml:space="preserve"> </w:t>
      </w:r>
      <w:r>
        <w:rPr>
          <w:sz w:val="20"/>
        </w:rPr>
        <w:t>The</w:t>
      </w:r>
      <w:r>
        <w:rPr>
          <w:spacing w:val="-4"/>
          <w:sz w:val="20"/>
        </w:rPr>
        <w:t xml:space="preserve"> </w:t>
      </w:r>
      <w:r>
        <w:rPr>
          <w:sz w:val="20"/>
        </w:rPr>
        <w:t>following</w:t>
      </w:r>
      <w:r>
        <w:rPr>
          <w:spacing w:val="-1"/>
          <w:sz w:val="20"/>
        </w:rPr>
        <w:t xml:space="preserve"> </w:t>
      </w:r>
      <w:r>
        <w:rPr>
          <w:sz w:val="20"/>
        </w:rPr>
        <w:t>statements</w:t>
      </w:r>
      <w:r>
        <w:rPr>
          <w:spacing w:val="-4"/>
          <w:sz w:val="20"/>
        </w:rPr>
        <w:t xml:space="preserve"> </w:t>
      </w:r>
      <w:r>
        <w:rPr>
          <w:sz w:val="20"/>
        </w:rPr>
        <w:t>may</w:t>
      </w:r>
      <w:r>
        <w:rPr>
          <w:spacing w:val="-2"/>
          <w:sz w:val="20"/>
        </w:rPr>
        <w:t xml:space="preserve"> </w:t>
      </w:r>
      <w:r>
        <w:rPr>
          <w:sz w:val="20"/>
        </w:rPr>
        <w:t>play</w:t>
      </w:r>
      <w:r>
        <w:rPr>
          <w:spacing w:val="-2"/>
          <w:sz w:val="20"/>
        </w:rPr>
        <w:t xml:space="preserve"> </w:t>
      </w:r>
      <w:r>
        <w:rPr>
          <w:sz w:val="20"/>
        </w:rPr>
        <w:t>a</w:t>
      </w:r>
      <w:r>
        <w:rPr>
          <w:spacing w:val="-2"/>
          <w:sz w:val="20"/>
        </w:rPr>
        <w:t xml:space="preserve"> </w:t>
      </w:r>
      <w:r>
        <w:rPr>
          <w:sz w:val="20"/>
        </w:rPr>
        <w:t>part</w:t>
      </w:r>
      <w:r>
        <w:rPr>
          <w:spacing w:val="-3"/>
          <w:sz w:val="20"/>
        </w:rPr>
        <w:t xml:space="preserve"> </w:t>
      </w:r>
      <w:r>
        <w:rPr>
          <w:sz w:val="20"/>
        </w:rPr>
        <w:t>in</w:t>
      </w:r>
      <w:r>
        <w:rPr>
          <w:spacing w:val="-5"/>
          <w:sz w:val="20"/>
        </w:rPr>
        <w:t xml:space="preserve"> </w:t>
      </w:r>
      <w:r>
        <w:rPr>
          <w:sz w:val="20"/>
        </w:rPr>
        <w:t>making</w:t>
      </w:r>
      <w:r>
        <w:rPr>
          <w:spacing w:val="-3"/>
          <w:sz w:val="20"/>
        </w:rPr>
        <w:t xml:space="preserve"> </w:t>
      </w:r>
      <w:r>
        <w:rPr>
          <w:sz w:val="20"/>
        </w:rPr>
        <w:t>a</w:t>
      </w:r>
      <w:r>
        <w:rPr>
          <w:spacing w:val="-2"/>
          <w:sz w:val="20"/>
        </w:rPr>
        <w:t xml:space="preserve"> </w:t>
      </w:r>
      <w:r>
        <w:rPr>
          <w:sz w:val="20"/>
        </w:rPr>
        <w:t>decision</w:t>
      </w:r>
      <w:r>
        <w:rPr>
          <w:spacing w:val="-2"/>
          <w:sz w:val="20"/>
        </w:rPr>
        <w:t xml:space="preserve"> </w:t>
      </w:r>
      <w:r>
        <w:rPr>
          <w:sz w:val="20"/>
        </w:rPr>
        <w:t>about</w:t>
      </w:r>
      <w:r>
        <w:rPr>
          <w:spacing w:val="-3"/>
          <w:sz w:val="20"/>
        </w:rPr>
        <w:t xml:space="preserve"> </w:t>
      </w:r>
      <w:r>
        <w:rPr>
          <w:sz w:val="20"/>
        </w:rPr>
        <w:t>using</w:t>
      </w:r>
      <w:r>
        <w:rPr>
          <w:spacing w:val="-1"/>
          <w:sz w:val="20"/>
        </w:rPr>
        <w:t xml:space="preserve"> </w:t>
      </w:r>
      <w:r>
        <w:rPr>
          <w:sz w:val="20"/>
        </w:rPr>
        <w:t>alcohol.</w:t>
      </w:r>
      <w:r>
        <w:rPr>
          <w:spacing w:val="-3"/>
          <w:sz w:val="20"/>
        </w:rPr>
        <w:t xml:space="preserve"> </w:t>
      </w:r>
      <w:r>
        <w:rPr>
          <w:sz w:val="20"/>
        </w:rPr>
        <w:t>We</w:t>
      </w:r>
      <w:r>
        <w:rPr>
          <w:spacing w:val="-4"/>
          <w:sz w:val="20"/>
        </w:rPr>
        <w:t xml:space="preserve"> </w:t>
      </w:r>
      <w:r>
        <w:rPr>
          <w:sz w:val="20"/>
        </w:rPr>
        <w:t>would</w:t>
      </w:r>
      <w:r>
        <w:rPr>
          <w:spacing w:val="-2"/>
          <w:sz w:val="20"/>
        </w:rPr>
        <w:t xml:space="preserve"> </w:t>
      </w:r>
      <w:r>
        <w:rPr>
          <w:sz w:val="20"/>
        </w:rPr>
        <w:t>like</w:t>
      </w:r>
      <w:r>
        <w:rPr>
          <w:spacing w:val="-4"/>
          <w:sz w:val="20"/>
        </w:rPr>
        <w:t xml:space="preserve"> </w:t>
      </w:r>
      <w:r>
        <w:rPr>
          <w:sz w:val="20"/>
        </w:rPr>
        <w:t>to know how important each statement is to you at the present time in relation to making a decision about your using alcohol. Please rate the lev</w:t>
      </w:r>
      <w:r>
        <w:rPr>
          <w:sz w:val="20"/>
        </w:rPr>
        <w:t>el of importance to each statement on the following 5 points:</w:t>
      </w:r>
    </w:p>
    <w:p w14:paraId="78FBE4ED" w14:textId="77777777" w:rsidR="00DB6E1F" w:rsidRDefault="00F666A6">
      <w:pPr>
        <w:spacing w:before="161" w:line="259" w:lineRule="auto"/>
        <w:ind w:left="1440" w:right="8859"/>
        <w:rPr>
          <w:sz w:val="20"/>
        </w:rPr>
      </w:pPr>
      <w:r>
        <w:rPr>
          <w:sz w:val="20"/>
        </w:rPr>
        <w:t>1</w:t>
      </w:r>
      <w:r>
        <w:rPr>
          <w:spacing w:val="-8"/>
          <w:sz w:val="20"/>
        </w:rPr>
        <w:t xml:space="preserve"> </w:t>
      </w:r>
      <w:r>
        <w:rPr>
          <w:sz w:val="20"/>
        </w:rPr>
        <w:t>=</w:t>
      </w:r>
      <w:r>
        <w:rPr>
          <w:spacing w:val="-9"/>
          <w:sz w:val="20"/>
        </w:rPr>
        <w:t xml:space="preserve"> </w:t>
      </w:r>
      <w:r>
        <w:rPr>
          <w:sz w:val="20"/>
        </w:rPr>
        <w:t>Not</w:t>
      </w:r>
      <w:r>
        <w:rPr>
          <w:spacing w:val="-8"/>
          <w:sz w:val="20"/>
        </w:rPr>
        <w:t xml:space="preserve"> </w:t>
      </w:r>
      <w:r>
        <w:rPr>
          <w:sz w:val="20"/>
        </w:rPr>
        <w:t>important</w:t>
      </w:r>
      <w:r>
        <w:rPr>
          <w:spacing w:val="-8"/>
          <w:sz w:val="20"/>
        </w:rPr>
        <w:t xml:space="preserve"> </w:t>
      </w:r>
      <w:r>
        <w:rPr>
          <w:sz w:val="20"/>
        </w:rPr>
        <w:t>at</w:t>
      </w:r>
      <w:r>
        <w:rPr>
          <w:spacing w:val="-8"/>
          <w:sz w:val="20"/>
        </w:rPr>
        <w:t xml:space="preserve"> </w:t>
      </w:r>
      <w:r>
        <w:rPr>
          <w:sz w:val="20"/>
        </w:rPr>
        <w:t>all 2 = Slightly important</w:t>
      </w:r>
    </w:p>
    <w:p w14:paraId="728A60EA" w14:textId="77777777" w:rsidR="00DB6E1F" w:rsidRDefault="00F666A6">
      <w:pPr>
        <w:spacing w:line="259" w:lineRule="auto"/>
        <w:ind w:left="1440" w:right="8660"/>
        <w:rPr>
          <w:sz w:val="20"/>
        </w:rPr>
      </w:pPr>
      <w:r>
        <w:rPr>
          <w:sz w:val="20"/>
        </w:rPr>
        <w:t>3</w:t>
      </w:r>
      <w:r>
        <w:rPr>
          <w:spacing w:val="-12"/>
          <w:sz w:val="20"/>
        </w:rPr>
        <w:t xml:space="preserve"> </w:t>
      </w:r>
      <w:r>
        <w:rPr>
          <w:sz w:val="20"/>
        </w:rPr>
        <w:t>=</w:t>
      </w:r>
      <w:r>
        <w:rPr>
          <w:spacing w:val="-11"/>
          <w:sz w:val="20"/>
        </w:rPr>
        <w:t xml:space="preserve"> </w:t>
      </w:r>
      <w:r>
        <w:rPr>
          <w:sz w:val="20"/>
        </w:rPr>
        <w:t>Moderately</w:t>
      </w:r>
      <w:r>
        <w:rPr>
          <w:spacing w:val="-11"/>
          <w:sz w:val="20"/>
        </w:rPr>
        <w:t xml:space="preserve"> </w:t>
      </w:r>
      <w:r>
        <w:rPr>
          <w:sz w:val="20"/>
        </w:rPr>
        <w:t>important 4 = Very important</w:t>
      </w:r>
    </w:p>
    <w:p w14:paraId="41B4E4EC" w14:textId="77777777" w:rsidR="00DB6E1F" w:rsidRDefault="00F666A6">
      <w:pPr>
        <w:spacing w:line="242" w:lineRule="exact"/>
        <w:ind w:left="1440"/>
        <w:rPr>
          <w:sz w:val="20"/>
        </w:rPr>
      </w:pPr>
      <w:r>
        <w:rPr>
          <w:sz w:val="20"/>
        </w:rPr>
        <w:t>5</w:t>
      </w:r>
      <w:r>
        <w:rPr>
          <w:spacing w:val="-4"/>
          <w:sz w:val="20"/>
        </w:rPr>
        <w:t xml:space="preserve"> </w:t>
      </w:r>
      <w:r>
        <w:rPr>
          <w:sz w:val="20"/>
        </w:rPr>
        <w:t>=</w:t>
      </w:r>
      <w:r>
        <w:rPr>
          <w:spacing w:val="-5"/>
          <w:sz w:val="20"/>
        </w:rPr>
        <w:t xml:space="preserve"> </w:t>
      </w:r>
      <w:r>
        <w:rPr>
          <w:sz w:val="20"/>
        </w:rPr>
        <w:t>Extremely</w:t>
      </w:r>
      <w:r>
        <w:rPr>
          <w:spacing w:val="-3"/>
          <w:sz w:val="20"/>
        </w:rPr>
        <w:t xml:space="preserve"> </w:t>
      </w:r>
      <w:r>
        <w:rPr>
          <w:spacing w:val="-2"/>
          <w:sz w:val="20"/>
        </w:rPr>
        <w:t>important</w:t>
      </w:r>
    </w:p>
    <w:p w14:paraId="53BF0B93" w14:textId="77777777" w:rsidR="00DB6E1F" w:rsidRDefault="00F666A6">
      <w:pPr>
        <w:spacing w:before="20"/>
        <w:ind w:left="1440" w:right="1444"/>
        <w:rPr>
          <w:sz w:val="20"/>
        </w:rPr>
      </w:pPr>
      <w:r>
        <w:rPr>
          <w:sz w:val="20"/>
        </w:rPr>
        <w:t>Please</w:t>
      </w:r>
      <w:r>
        <w:rPr>
          <w:spacing w:val="-3"/>
          <w:sz w:val="20"/>
        </w:rPr>
        <w:t xml:space="preserve"> </w:t>
      </w:r>
      <w:r>
        <w:rPr>
          <w:sz w:val="20"/>
        </w:rPr>
        <w:t>read</w:t>
      </w:r>
      <w:r>
        <w:rPr>
          <w:spacing w:val="-1"/>
          <w:sz w:val="20"/>
        </w:rPr>
        <w:t xml:space="preserve"> </w:t>
      </w:r>
      <w:r>
        <w:rPr>
          <w:sz w:val="20"/>
        </w:rPr>
        <w:t>each</w:t>
      </w:r>
      <w:r>
        <w:rPr>
          <w:spacing w:val="-1"/>
          <w:sz w:val="20"/>
        </w:rPr>
        <w:t xml:space="preserve"> </w:t>
      </w:r>
      <w:r>
        <w:rPr>
          <w:sz w:val="20"/>
        </w:rPr>
        <w:t>statement</w:t>
      </w:r>
      <w:r>
        <w:rPr>
          <w:spacing w:val="-2"/>
          <w:sz w:val="20"/>
        </w:rPr>
        <w:t xml:space="preserve"> </w:t>
      </w:r>
      <w:r>
        <w:rPr>
          <w:sz w:val="20"/>
        </w:rPr>
        <w:t>and</w:t>
      </w:r>
      <w:r>
        <w:rPr>
          <w:spacing w:val="-1"/>
          <w:sz w:val="20"/>
        </w:rPr>
        <w:t xml:space="preserve"> </w:t>
      </w:r>
      <w:r>
        <w:rPr>
          <w:sz w:val="20"/>
        </w:rPr>
        <w:t>circle</w:t>
      </w:r>
      <w:r>
        <w:rPr>
          <w:spacing w:val="-3"/>
          <w:sz w:val="20"/>
        </w:rPr>
        <w:t xml:space="preserve"> </w:t>
      </w:r>
      <w:r>
        <w:rPr>
          <w:sz w:val="20"/>
        </w:rPr>
        <w:t>the</w:t>
      </w:r>
      <w:r>
        <w:rPr>
          <w:spacing w:val="-3"/>
          <w:sz w:val="20"/>
        </w:rPr>
        <w:t xml:space="preserve"> </w:t>
      </w:r>
      <w:r>
        <w:rPr>
          <w:sz w:val="20"/>
        </w:rPr>
        <w:t>number</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right</w:t>
      </w:r>
      <w:r>
        <w:rPr>
          <w:spacing w:val="-2"/>
          <w:sz w:val="20"/>
        </w:rPr>
        <w:t xml:space="preserve"> </w:t>
      </w:r>
      <w:r>
        <w:rPr>
          <w:sz w:val="20"/>
        </w:rPr>
        <w:t>to</w:t>
      </w:r>
      <w:r>
        <w:rPr>
          <w:spacing w:val="-2"/>
          <w:sz w:val="20"/>
        </w:rPr>
        <w:t xml:space="preserve"> </w:t>
      </w:r>
      <w:r>
        <w:rPr>
          <w:sz w:val="20"/>
        </w:rPr>
        <w:t>indicate</w:t>
      </w:r>
      <w:r>
        <w:rPr>
          <w:spacing w:val="-3"/>
          <w:sz w:val="20"/>
        </w:rPr>
        <w:t xml:space="preserve"> </w:t>
      </w:r>
      <w:r>
        <w:rPr>
          <w:sz w:val="20"/>
        </w:rPr>
        <w:t>how</w:t>
      </w:r>
      <w:r>
        <w:rPr>
          <w:spacing w:val="-3"/>
          <w:sz w:val="20"/>
        </w:rPr>
        <w:t xml:space="preserve"> </w:t>
      </w:r>
      <w:r>
        <w:rPr>
          <w:sz w:val="20"/>
        </w:rPr>
        <w:t>you</w:t>
      </w:r>
      <w:r>
        <w:rPr>
          <w:spacing w:val="-1"/>
          <w:sz w:val="20"/>
        </w:rPr>
        <w:t xml:space="preserve"> </w:t>
      </w:r>
      <w:r>
        <w:rPr>
          <w:sz w:val="20"/>
        </w:rPr>
        <w:t>rate</w:t>
      </w:r>
      <w:r>
        <w:rPr>
          <w:spacing w:val="-3"/>
          <w:sz w:val="20"/>
        </w:rPr>
        <w:t xml:space="preserve"> </w:t>
      </w:r>
      <w:r>
        <w:rPr>
          <w:sz w:val="20"/>
        </w:rPr>
        <w:t>its</w:t>
      </w:r>
      <w:r>
        <w:rPr>
          <w:spacing w:val="-4"/>
          <w:sz w:val="20"/>
        </w:rPr>
        <w:t xml:space="preserve"> </w:t>
      </w:r>
      <w:r>
        <w:rPr>
          <w:sz w:val="20"/>
        </w:rPr>
        <w:t>level</w:t>
      </w:r>
      <w:r>
        <w:rPr>
          <w:spacing w:val="-2"/>
          <w:sz w:val="20"/>
        </w:rPr>
        <w:t xml:space="preserve"> </w:t>
      </w:r>
      <w:r>
        <w:rPr>
          <w:sz w:val="20"/>
        </w:rPr>
        <w:t>of</w:t>
      </w:r>
      <w:r>
        <w:rPr>
          <w:spacing w:val="-3"/>
          <w:sz w:val="20"/>
        </w:rPr>
        <w:t xml:space="preserve"> </w:t>
      </w:r>
      <w:r>
        <w:rPr>
          <w:sz w:val="20"/>
        </w:rPr>
        <w:t>importance</w:t>
      </w:r>
      <w:r>
        <w:rPr>
          <w:spacing w:val="-3"/>
          <w:sz w:val="20"/>
        </w:rPr>
        <w:t xml:space="preserve"> </w:t>
      </w:r>
      <w:r>
        <w:rPr>
          <w:sz w:val="20"/>
        </w:rPr>
        <w:t>as</w:t>
      </w:r>
      <w:r>
        <w:rPr>
          <w:spacing w:val="-3"/>
          <w:sz w:val="20"/>
        </w:rPr>
        <w:t xml:space="preserve"> </w:t>
      </w:r>
      <w:r>
        <w:rPr>
          <w:sz w:val="20"/>
        </w:rPr>
        <w:t>it relates to your making a decision about whether to drink at the present time.</w:t>
      </w:r>
    </w:p>
    <w:p w14:paraId="632BD813" w14:textId="77777777" w:rsidR="00DB6E1F" w:rsidRDefault="00DB6E1F">
      <w:pPr>
        <w:pStyle w:val="BodyText"/>
        <w:spacing w:before="10"/>
        <w:rPr>
          <w:sz w:val="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1078"/>
        <w:gridCol w:w="1080"/>
        <w:gridCol w:w="1082"/>
        <w:gridCol w:w="988"/>
        <w:gridCol w:w="990"/>
      </w:tblGrid>
      <w:tr w:rsidR="00DB6E1F" w14:paraId="1E1013E0" w14:textId="77777777">
        <w:trPr>
          <w:trHeight w:val="261"/>
        </w:trPr>
        <w:tc>
          <w:tcPr>
            <w:tcW w:w="4140" w:type="dxa"/>
          </w:tcPr>
          <w:p w14:paraId="240D2A4B" w14:textId="77777777" w:rsidR="00DB6E1F" w:rsidRDefault="00F666A6">
            <w:pPr>
              <w:pStyle w:val="TableParagraph"/>
              <w:spacing w:line="240" w:lineRule="exact"/>
              <w:ind w:left="859"/>
              <w:rPr>
                <w:b/>
                <w:sz w:val="20"/>
              </w:rPr>
            </w:pPr>
            <w:r>
              <w:rPr>
                <w:b/>
                <w:sz w:val="20"/>
              </w:rPr>
              <w:t>How</w:t>
            </w:r>
            <w:r>
              <w:rPr>
                <w:b/>
                <w:spacing w:val="-4"/>
                <w:sz w:val="20"/>
              </w:rPr>
              <w:t xml:space="preserve"> </w:t>
            </w:r>
            <w:r>
              <w:rPr>
                <w:b/>
                <w:sz w:val="20"/>
              </w:rPr>
              <w:t>important</w:t>
            </w:r>
            <w:r>
              <w:rPr>
                <w:b/>
                <w:spacing w:val="-3"/>
                <w:sz w:val="20"/>
              </w:rPr>
              <w:t xml:space="preserve"> </w:t>
            </w:r>
            <w:r>
              <w:rPr>
                <w:b/>
                <w:sz w:val="20"/>
              </w:rPr>
              <w:t>is</w:t>
            </w:r>
            <w:r>
              <w:rPr>
                <w:b/>
                <w:spacing w:val="-4"/>
                <w:sz w:val="20"/>
              </w:rPr>
              <w:t xml:space="preserve"> </w:t>
            </w:r>
            <w:r>
              <w:rPr>
                <w:b/>
                <w:sz w:val="20"/>
              </w:rPr>
              <w:t>this</w:t>
            </w:r>
            <w:r>
              <w:rPr>
                <w:b/>
                <w:spacing w:val="-3"/>
                <w:sz w:val="20"/>
              </w:rPr>
              <w:t xml:space="preserve"> </w:t>
            </w:r>
            <w:r>
              <w:rPr>
                <w:b/>
                <w:sz w:val="20"/>
              </w:rPr>
              <w:t>to</w:t>
            </w:r>
            <w:r>
              <w:rPr>
                <w:b/>
                <w:spacing w:val="-3"/>
                <w:sz w:val="20"/>
              </w:rPr>
              <w:t xml:space="preserve"> </w:t>
            </w:r>
            <w:r>
              <w:rPr>
                <w:b/>
                <w:spacing w:val="-5"/>
                <w:sz w:val="20"/>
              </w:rPr>
              <w:t>me?</w:t>
            </w:r>
          </w:p>
        </w:tc>
        <w:tc>
          <w:tcPr>
            <w:tcW w:w="1078" w:type="dxa"/>
          </w:tcPr>
          <w:p w14:paraId="281C4D79" w14:textId="77777777" w:rsidR="00DB6E1F" w:rsidRDefault="00F666A6">
            <w:pPr>
              <w:pStyle w:val="TableParagraph"/>
              <w:spacing w:line="240" w:lineRule="exact"/>
              <w:ind w:left="132" w:right="127"/>
              <w:jc w:val="center"/>
              <w:rPr>
                <w:b/>
                <w:sz w:val="20"/>
              </w:rPr>
            </w:pPr>
            <w:r>
              <w:rPr>
                <w:b/>
                <w:sz w:val="20"/>
              </w:rPr>
              <w:t>Not</w:t>
            </w:r>
            <w:r>
              <w:rPr>
                <w:b/>
                <w:spacing w:val="-3"/>
                <w:sz w:val="20"/>
              </w:rPr>
              <w:t xml:space="preserve"> </w:t>
            </w:r>
            <w:r>
              <w:rPr>
                <w:b/>
                <w:sz w:val="20"/>
              </w:rPr>
              <w:t>at</w:t>
            </w:r>
            <w:r>
              <w:rPr>
                <w:b/>
                <w:spacing w:val="-1"/>
                <w:sz w:val="20"/>
              </w:rPr>
              <w:t xml:space="preserve"> </w:t>
            </w:r>
            <w:r>
              <w:rPr>
                <w:b/>
                <w:spacing w:val="-5"/>
                <w:sz w:val="20"/>
              </w:rPr>
              <w:t>All</w:t>
            </w:r>
          </w:p>
        </w:tc>
        <w:tc>
          <w:tcPr>
            <w:tcW w:w="1080" w:type="dxa"/>
          </w:tcPr>
          <w:p w14:paraId="60D4E6B5" w14:textId="77777777" w:rsidR="00DB6E1F" w:rsidRDefault="00F666A6">
            <w:pPr>
              <w:pStyle w:val="TableParagraph"/>
              <w:spacing w:line="240" w:lineRule="exact"/>
              <w:ind w:left="220" w:right="216"/>
              <w:jc w:val="center"/>
              <w:rPr>
                <w:b/>
                <w:sz w:val="20"/>
              </w:rPr>
            </w:pPr>
            <w:r>
              <w:rPr>
                <w:b/>
                <w:spacing w:val="-2"/>
                <w:sz w:val="20"/>
              </w:rPr>
              <w:t>Slightly</w:t>
            </w:r>
          </w:p>
        </w:tc>
        <w:tc>
          <w:tcPr>
            <w:tcW w:w="1082" w:type="dxa"/>
          </w:tcPr>
          <w:p w14:paraId="62A3A018" w14:textId="77777777" w:rsidR="00DB6E1F" w:rsidRDefault="00F666A6">
            <w:pPr>
              <w:pStyle w:val="TableParagraph"/>
              <w:spacing w:line="240" w:lineRule="exact"/>
              <w:ind w:left="42" w:right="35"/>
              <w:jc w:val="center"/>
              <w:rPr>
                <w:b/>
                <w:sz w:val="20"/>
              </w:rPr>
            </w:pPr>
            <w:r>
              <w:rPr>
                <w:b/>
                <w:spacing w:val="-2"/>
                <w:sz w:val="20"/>
              </w:rPr>
              <w:t>Moderately</w:t>
            </w:r>
          </w:p>
        </w:tc>
        <w:tc>
          <w:tcPr>
            <w:tcW w:w="988" w:type="dxa"/>
          </w:tcPr>
          <w:p w14:paraId="3A41999A" w14:textId="77777777" w:rsidR="00DB6E1F" w:rsidRDefault="00F666A6">
            <w:pPr>
              <w:pStyle w:val="TableParagraph"/>
              <w:spacing w:line="240" w:lineRule="exact"/>
              <w:ind w:left="289" w:right="278"/>
              <w:jc w:val="center"/>
              <w:rPr>
                <w:b/>
                <w:sz w:val="20"/>
              </w:rPr>
            </w:pPr>
            <w:r>
              <w:rPr>
                <w:b/>
                <w:spacing w:val="-4"/>
                <w:sz w:val="20"/>
              </w:rPr>
              <w:t>Very</w:t>
            </w:r>
          </w:p>
        </w:tc>
        <w:tc>
          <w:tcPr>
            <w:tcW w:w="990" w:type="dxa"/>
          </w:tcPr>
          <w:p w14:paraId="01AE7D78" w14:textId="77777777" w:rsidR="00DB6E1F" w:rsidRDefault="00F666A6">
            <w:pPr>
              <w:pStyle w:val="TableParagraph"/>
              <w:spacing w:line="240" w:lineRule="exact"/>
              <w:ind w:left="65" w:right="55"/>
              <w:jc w:val="center"/>
              <w:rPr>
                <w:b/>
                <w:sz w:val="20"/>
              </w:rPr>
            </w:pPr>
            <w:r>
              <w:rPr>
                <w:b/>
                <w:spacing w:val="-2"/>
                <w:sz w:val="20"/>
              </w:rPr>
              <w:t>Extremely</w:t>
            </w:r>
          </w:p>
        </w:tc>
      </w:tr>
      <w:tr w:rsidR="00DB6E1F" w14:paraId="479B83CA" w14:textId="77777777">
        <w:trPr>
          <w:trHeight w:val="263"/>
        </w:trPr>
        <w:tc>
          <w:tcPr>
            <w:tcW w:w="4140" w:type="dxa"/>
          </w:tcPr>
          <w:p w14:paraId="69D74374" w14:textId="77777777" w:rsidR="00DB6E1F" w:rsidRDefault="00F666A6">
            <w:pPr>
              <w:pStyle w:val="TableParagraph"/>
              <w:spacing w:before="3" w:line="240" w:lineRule="exact"/>
              <w:ind w:left="95"/>
              <w:rPr>
                <w:sz w:val="20"/>
              </w:rPr>
            </w:pPr>
            <w:r>
              <w:rPr>
                <w:color w:val="4D4D4F"/>
                <w:sz w:val="20"/>
              </w:rPr>
              <w:t>1.</w:t>
            </w:r>
            <w:r>
              <w:rPr>
                <w:color w:val="4D4D4F"/>
                <w:spacing w:val="44"/>
                <w:sz w:val="20"/>
              </w:rPr>
              <w:t xml:space="preserve">  </w:t>
            </w:r>
            <w:r>
              <w:rPr>
                <w:sz w:val="20"/>
              </w:rPr>
              <w:t>My</w:t>
            </w:r>
            <w:r>
              <w:rPr>
                <w:spacing w:val="1"/>
                <w:sz w:val="20"/>
              </w:rPr>
              <w:t xml:space="preserve"> </w:t>
            </w:r>
            <w:r>
              <w:rPr>
                <w:sz w:val="20"/>
              </w:rPr>
              <w:t>drinking</w:t>
            </w:r>
            <w:r>
              <w:rPr>
                <w:spacing w:val="-1"/>
                <w:sz w:val="20"/>
              </w:rPr>
              <w:t xml:space="preserve"> </w:t>
            </w:r>
            <w:r>
              <w:rPr>
                <w:sz w:val="20"/>
              </w:rPr>
              <w:t>causes</w:t>
            </w:r>
            <w:r>
              <w:rPr>
                <w:spacing w:val="-1"/>
                <w:sz w:val="20"/>
              </w:rPr>
              <w:t xml:space="preserve"> </w:t>
            </w:r>
            <w:r>
              <w:rPr>
                <w:sz w:val="20"/>
              </w:rPr>
              <w:t>problems with</w:t>
            </w:r>
            <w:r>
              <w:rPr>
                <w:spacing w:val="1"/>
                <w:sz w:val="20"/>
              </w:rPr>
              <w:t xml:space="preserve"> </w:t>
            </w:r>
            <w:r>
              <w:rPr>
                <w:spacing w:val="-2"/>
                <w:sz w:val="20"/>
              </w:rPr>
              <w:t>others.</w:t>
            </w:r>
          </w:p>
        </w:tc>
        <w:tc>
          <w:tcPr>
            <w:tcW w:w="1078" w:type="dxa"/>
          </w:tcPr>
          <w:p w14:paraId="0243AA23" w14:textId="77777777" w:rsidR="00DB6E1F" w:rsidRDefault="00F666A6">
            <w:pPr>
              <w:pStyle w:val="TableParagraph"/>
              <w:spacing w:before="3" w:line="240" w:lineRule="exact"/>
              <w:ind w:left="6"/>
              <w:jc w:val="center"/>
              <w:rPr>
                <w:sz w:val="20"/>
              </w:rPr>
            </w:pPr>
            <w:r>
              <w:rPr>
                <w:color w:val="221F1F"/>
                <w:w w:val="99"/>
                <w:sz w:val="20"/>
              </w:rPr>
              <w:t>1</w:t>
            </w:r>
          </w:p>
        </w:tc>
        <w:tc>
          <w:tcPr>
            <w:tcW w:w="1080" w:type="dxa"/>
          </w:tcPr>
          <w:p w14:paraId="78E2B0E4" w14:textId="77777777" w:rsidR="00DB6E1F" w:rsidRDefault="00F666A6">
            <w:pPr>
              <w:pStyle w:val="TableParagraph"/>
              <w:spacing w:before="3" w:line="240" w:lineRule="exact"/>
              <w:ind w:left="8"/>
              <w:jc w:val="center"/>
              <w:rPr>
                <w:sz w:val="20"/>
              </w:rPr>
            </w:pPr>
            <w:r>
              <w:rPr>
                <w:color w:val="221F1F"/>
                <w:w w:val="99"/>
                <w:sz w:val="20"/>
              </w:rPr>
              <w:t>2</w:t>
            </w:r>
          </w:p>
        </w:tc>
        <w:tc>
          <w:tcPr>
            <w:tcW w:w="1082" w:type="dxa"/>
          </w:tcPr>
          <w:p w14:paraId="2BA9132B" w14:textId="77777777" w:rsidR="00DB6E1F" w:rsidRDefault="00F666A6">
            <w:pPr>
              <w:pStyle w:val="TableParagraph"/>
              <w:spacing w:before="3" w:line="240" w:lineRule="exact"/>
              <w:ind w:left="6"/>
              <w:jc w:val="center"/>
              <w:rPr>
                <w:sz w:val="20"/>
              </w:rPr>
            </w:pPr>
            <w:r>
              <w:rPr>
                <w:color w:val="221F1F"/>
                <w:w w:val="99"/>
                <w:sz w:val="20"/>
              </w:rPr>
              <w:t>3</w:t>
            </w:r>
          </w:p>
        </w:tc>
        <w:tc>
          <w:tcPr>
            <w:tcW w:w="988" w:type="dxa"/>
          </w:tcPr>
          <w:p w14:paraId="1051183D" w14:textId="77777777" w:rsidR="00DB6E1F" w:rsidRDefault="00F666A6">
            <w:pPr>
              <w:pStyle w:val="TableParagraph"/>
              <w:spacing w:before="3" w:line="240" w:lineRule="exact"/>
              <w:ind w:left="10"/>
              <w:jc w:val="center"/>
              <w:rPr>
                <w:sz w:val="20"/>
              </w:rPr>
            </w:pPr>
            <w:r>
              <w:rPr>
                <w:color w:val="221F1F"/>
                <w:w w:val="99"/>
                <w:sz w:val="20"/>
              </w:rPr>
              <w:t>4</w:t>
            </w:r>
          </w:p>
        </w:tc>
        <w:tc>
          <w:tcPr>
            <w:tcW w:w="990" w:type="dxa"/>
          </w:tcPr>
          <w:p w14:paraId="121B97CE" w14:textId="77777777" w:rsidR="00DB6E1F" w:rsidRDefault="00F666A6">
            <w:pPr>
              <w:pStyle w:val="TableParagraph"/>
              <w:spacing w:before="3" w:line="240" w:lineRule="exact"/>
              <w:ind w:left="10"/>
              <w:jc w:val="center"/>
              <w:rPr>
                <w:sz w:val="20"/>
              </w:rPr>
            </w:pPr>
            <w:r>
              <w:rPr>
                <w:color w:val="221F1F"/>
                <w:w w:val="99"/>
                <w:sz w:val="20"/>
              </w:rPr>
              <w:t>5</w:t>
            </w:r>
          </w:p>
        </w:tc>
      </w:tr>
      <w:tr w:rsidR="00DB6E1F" w14:paraId="1ECA79E7" w14:textId="77777777">
        <w:trPr>
          <w:trHeight w:val="263"/>
        </w:trPr>
        <w:tc>
          <w:tcPr>
            <w:tcW w:w="4140" w:type="dxa"/>
          </w:tcPr>
          <w:p w14:paraId="341BC0F0" w14:textId="77777777" w:rsidR="00DB6E1F" w:rsidRDefault="00F666A6">
            <w:pPr>
              <w:pStyle w:val="TableParagraph"/>
              <w:spacing w:before="3" w:line="240" w:lineRule="exact"/>
              <w:ind w:left="95"/>
              <w:rPr>
                <w:sz w:val="20"/>
              </w:rPr>
            </w:pPr>
            <w:r>
              <w:rPr>
                <w:color w:val="4D4D4F"/>
                <w:sz w:val="20"/>
              </w:rPr>
              <w:t>2.</w:t>
            </w:r>
            <w:r>
              <w:rPr>
                <w:color w:val="4D4D4F"/>
                <w:spacing w:val="44"/>
                <w:sz w:val="20"/>
              </w:rPr>
              <w:t xml:space="preserve">  </w:t>
            </w:r>
            <w:r>
              <w:rPr>
                <w:sz w:val="20"/>
              </w:rPr>
              <w:t>I</w:t>
            </w:r>
            <w:r>
              <w:rPr>
                <w:spacing w:val="1"/>
                <w:sz w:val="20"/>
              </w:rPr>
              <w:t xml:space="preserve"> </w:t>
            </w:r>
            <w:r>
              <w:rPr>
                <w:sz w:val="20"/>
              </w:rPr>
              <w:t>like</w:t>
            </w:r>
            <w:r>
              <w:rPr>
                <w:spacing w:val="-1"/>
                <w:sz w:val="20"/>
              </w:rPr>
              <w:t xml:space="preserve"> </w:t>
            </w:r>
            <w:r>
              <w:rPr>
                <w:sz w:val="20"/>
              </w:rPr>
              <w:t>myself</w:t>
            </w:r>
            <w:r>
              <w:rPr>
                <w:spacing w:val="-1"/>
                <w:sz w:val="20"/>
              </w:rPr>
              <w:t xml:space="preserve"> </w:t>
            </w:r>
            <w:r>
              <w:rPr>
                <w:sz w:val="20"/>
              </w:rPr>
              <w:t>better when</w:t>
            </w:r>
            <w:r>
              <w:rPr>
                <w:spacing w:val="1"/>
                <w:sz w:val="20"/>
              </w:rPr>
              <w:t xml:space="preserve"> </w:t>
            </w:r>
            <w:r>
              <w:rPr>
                <w:sz w:val="20"/>
              </w:rPr>
              <w:t xml:space="preserve">I am </w:t>
            </w:r>
            <w:r>
              <w:rPr>
                <w:spacing w:val="-2"/>
                <w:sz w:val="20"/>
              </w:rPr>
              <w:t>drinking.</w:t>
            </w:r>
          </w:p>
        </w:tc>
        <w:tc>
          <w:tcPr>
            <w:tcW w:w="1078" w:type="dxa"/>
          </w:tcPr>
          <w:p w14:paraId="27C587E3" w14:textId="77777777" w:rsidR="00DB6E1F" w:rsidRDefault="00F666A6">
            <w:pPr>
              <w:pStyle w:val="TableParagraph"/>
              <w:spacing w:before="3" w:line="240" w:lineRule="exact"/>
              <w:ind w:left="6"/>
              <w:jc w:val="center"/>
              <w:rPr>
                <w:sz w:val="20"/>
              </w:rPr>
            </w:pPr>
            <w:r>
              <w:rPr>
                <w:w w:val="99"/>
                <w:sz w:val="20"/>
              </w:rPr>
              <w:t>1</w:t>
            </w:r>
          </w:p>
        </w:tc>
        <w:tc>
          <w:tcPr>
            <w:tcW w:w="1080" w:type="dxa"/>
          </w:tcPr>
          <w:p w14:paraId="5FFADAFE" w14:textId="77777777" w:rsidR="00DB6E1F" w:rsidRDefault="00F666A6">
            <w:pPr>
              <w:pStyle w:val="TableParagraph"/>
              <w:spacing w:before="3" w:line="240" w:lineRule="exact"/>
              <w:ind w:left="8"/>
              <w:jc w:val="center"/>
              <w:rPr>
                <w:sz w:val="20"/>
              </w:rPr>
            </w:pPr>
            <w:r>
              <w:rPr>
                <w:w w:val="99"/>
                <w:sz w:val="20"/>
              </w:rPr>
              <w:t>2</w:t>
            </w:r>
          </w:p>
        </w:tc>
        <w:tc>
          <w:tcPr>
            <w:tcW w:w="1082" w:type="dxa"/>
          </w:tcPr>
          <w:p w14:paraId="35B01FB6" w14:textId="77777777" w:rsidR="00DB6E1F" w:rsidRDefault="00F666A6">
            <w:pPr>
              <w:pStyle w:val="TableParagraph"/>
              <w:spacing w:before="3" w:line="240" w:lineRule="exact"/>
              <w:ind w:left="6"/>
              <w:jc w:val="center"/>
              <w:rPr>
                <w:sz w:val="20"/>
              </w:rPr>
            </w:pPr>
            <w:r>
              <w:rPr>
                <w:w w:val="99"/>
                <w:sz w:val="20"/>
              </w:rPr>
              <w:t>3</w:t>
            </w:r>
          </w:p>
        </w:tc>
        <w:tc>
          <w:tcPr>
            <w:tcW w:w="988" w:type="dxa"/>
          </w:tcPr>
          <w:p w14:paraId="40BD5000" w14:textId="77777777" w:rsidR="00DB6E1F" w:rsidRDefault="00F666A6">
            <w:pPr>
              <w:pStyle w:val="TableParagraph"/>
              <w:spacing w:before="3" w:line="240" w:lineRule="exact"/>
              <w:ind w:left="10"/>
              <w:jc w:val="center"/>
              <w:rPr>
                <w:sz w:val="20"/>
              </w:rPr>
            </w:pPr>
            <w:r>
              <w:rPr>
                <w:w w:val="99"/>
                <w:sz w:val="20"/>
              </w:rPr>
              <w:t>4</w:t>
            </w:r>
          </w:p>
        </w:tc>
        <w:tc>
          <w:tcPr>
            <w:tcW w:w="990" w:type="dxa"/>
          </w:tcPr>
          <w:p w14:paraId="39B2E365" w14:textId="77777777" w:rsidR="00DB6E1F" w:rsidRDefault="00F666A6">
            <w:pPr>
              <w:pStyle w:val="TableParagraph"/>
              <w:spacing w:before="3" w:line="240" w:lineRule="exact"/>
              <w:ind w:left="10"/>
              <w:jc w:val="center"/>
              <w:rPr>
                <w:sz w:val="20"/>
              </w:rPr>
            </w:pPr>
            <w:r>
              <w:rPr>
                <w:w w:val="99"/>
                <w:sz w:val="20"/>
              </w:rPr>
              <w:t>5</w:t>
            </w:r>
          </w:p>
        </w:tc>
      </w:tr>
      <w:tr w:rsidR="00DB6E1F" w14:paraId="5C995123" w14:textId="77777777">
        <w:trPr>
          <w:trHeight w:val="527"/>
        </w:trPr>
        <w:tc>
          <w:tcPr>
            <w:tcW w:w="4140" w:type="dxa"/>
          </w:tcPr>
          <w:p w14:paraId="58B34F16" w14:textId="77777777" w:rsidR="00DB6E1F" w:rsidRDefault="00F666A6">
            <w:pPr>
              <w:pStyle w:val="TableParagraph"/>
              <w:spacing w:before="3"/>
              <w:ind w:left="95"/>
              <w:rPr>
                <w:sz w:val="20"/>
              </w:rPr>
            </w:pPr>
            <w:r>
              <w:rPr>
                <w:color w:val="4D4D4F"/>
                <w:sz w:val="20"/>
              </w:rPr>
              <w:t>3.</w:t>
            </w:r>
            <w:r>
              <w:rPr>
                <w:color w:val="4D4D4F"/>
                <w:spacing w:val="43"/>
                <w:sz w:val="20"/>
              </w:rPr>
              <w:t xml:space="preserve">  </w:t>
            </w:r>
            <w:r>
              <w:rPr>
                <w:sz w:val="20"/>
              </w:rPr>
              <w:t>Because</w:t>
            </w:r>
            <w:r>
              <w:rPr>
                <w:spacing w:val="-1"/>
                <w:sz w:val="20"/>
              </w:rPr>
              <w:t xml:space="preserve"> </w:t>
            </w:r>
            <w:r>
              <w:rPr>
                <w:sz w:val="20"/>
              </w:rPr>
              <w:t>I</w:t>
            </w:r>
            <w:r>
              <w:rPr>
                <w:spacing w:val="-1"/>
                <w:sz w:val="20"/>
              </w:rPr>
              <w:t xml:space="preserve"> </w:t>
            </w:r>
            <w:r>
              <w:rPr>
                <w:sz w:val="20"/>
              </w:rPr>
              <w:t>continue</w:t>
            </w:r>
            <w:r>
              <w:rPr>
                <w:spacing w:val="-2"/>
                <w:sz w:val="20"/>
              </w:rPr>
              <w:t xml:space="preserve"> </w:t>
            </w:r>
            <w:r>
              <w:rPr>
                <w:sz w:val="20"/>
              </w:rPr>
              <w:t>to</w:t>
            </w:r>
            <w:r>
              <w:rPr>
                <w:spacing w:val="1"/>
                <w:sz w:val="20"/>
              </w:rPr>
              <w:t xml:space="preserve"> </w:t>
            </w:r>
            <w:r>
              <w:rPr>
                <w:sz w:val="20"/>
              </w:rPr>
              <w:t>drink some</w:t>
            </w:r>
            <w:r>
              <w:rPr>
                <w:spacing w:val="-2"/>
                <w:sz w:val="20"/>
              </w:rPr>
              <w:t xml:space="preserve"> people</w:t>
            </w:r>
          </w:p>
          <w:p w14:paraId="71EDD35C" w14:textId="77777777" w:rsidR="00DB6E1F" w:rsidRDefault="00F666A6">
            <w:pPr>
              <w:pStyle w:val="TableParagraph"/>
              <w:spacing w:before="18" w:line="242" w:lineRule="exact"/>
              <w:ind w:left="455"/>
              <w:rPr>
                <w:sz w:val="20"/>
              </w:rPr>
            </w:pPr>
            <w:r>
              <w:rPr>
                <w:sz w:val="20"/>
              </w:rPr>
              <w:t>think</w:t>
            </w:r>
            <w:r>
              <w:rPr>
                <w:spacing w:val="-4"/>
                <w:sz w:val="20"/>
              </w:rPr>
              <w:t xml:space="preserve"> </w:t>
            </w:r>
            <w:r>
              <w:rPr>
                <w:sz w:val="20"/>
              </w:rPr>
              <w:t>I</w:t>
            </w:r>
            <w:r>
              <w:rPr>
                <w:spacing w:val="-4"/>
                <w:sz w:val="20"/>
              </w:rPr>
              <w:t xml:space="preserve"> </w:t>
            </w:r>
            <w:r>
              <w:rPr>
                <w:sz w:val="20"/>
              </w:rPr>
              <w:t>lack</w:t>
            </w:r>
            <w:r>
              <w:rPr>
                <w:spacing w:val="-4"/>
                <w:sz w:val="20"/>
              </w:rPr>
              <w:t xml:space="preserve"> </w:t>
            </w:r>
            <w:r>
              <w:rPr>
                <w:sz w:val="20"/>
              </w:rPr>
              <w:t>the</w:t>
            </w:r>
            <w:r>
              <w:rPr>
                <w:spacing w:val="-5"/>
                <w:sz w:val="20"/>
              </w:rPr>
              <w:t xml:space="preserve"> </w:t>
            </w:r>
            <w:r>
              <w:rPr>
                <w:sz w:val="20"/>
              </w:rPr>
              <w:t>character</w:t>
            </w:r>
            <w:r>
              <w:rPr>
                <w:spacing w:val="-4"/>
                <w:sz w:val="20"/>
              </w:rPr>
              <w:t xml:space="preserve"> </w:t>
            </w:r>
            <w:r>
              <w:rPr>
                <w:sz w:val="20"/>
              </w:rPr>
              <w:t>to</w:t>
            </w:r>
            <w:r>
              <w:rPr>
                <w:spacing w:val="-4"/>
                <w:sz w:val="20"/>
              </w:rPr>
              <w:t xml:space="preserve"> quit.</w:t>
            </w:r>
          </w:p>
        </w:tc>
        <w:tc>
          <w:tcPr>
            <w:tcW w:w="1078" w:type="dxa"/>
          </w:tcPr>
          <w:p w14:paraId="4BD25E7E" w14:textId="77777777" w:rsidR="00DB6E1F" w:rsidRDefault="00F666A6">
            <w:pPr>
              <w:pStyle w:val="TableParagraph"/>
              <w:spacing w:before="3"/>
              <w:ind w:left="6"/>
              <w:jc w:val="center"/>
              <w:rPr>
                <w:sz w:val="20"/>
              </w:rPr>
            </w:pPr>
            <w:r>
              <w:rPr>
                <w:w w:val="99"/>
                <w:sz w:val="20"/>
              </w:rPr>
              <w:t>1</w:t>
            </w:r>
          </w:p>
        </w:tc>
        <w:tc>
          <w:tcPr>
            <w:tcW w:w="1080" w:type="dxa"/>
          </w:tcPr>
          <w:p w14:paraId="607FDB2B" w14:textId="77777777" w:rsidR="00DB6E1F" w:rsidRDefault="00F666A6">
            <w:pPr>
              <w:pStyle w:val="TableParagraph"/>
              <w:spacing w:before="3"/>
              <w:ind w:left="8"/>
              <w:jc w:val="center"/>
              <w:rPr>
                <w:sz w:val="20"/>
              </w:rPr>
            </w:pPr>
            <w:r>
              <w:rPr>
                <w:w w:val="99"/>
                <w:sz w:val="20"/>
              </w:rPr>
              <w:t>2</w:t>
            </w:r>
          </w:p>
        </w:tc>
        <w:tc>
          <w:tcPr>
            <w:tcW w:w="1082" w:type="dxa"/>
          </w:tcPr>
          <w:p w14:paraId="2407E0D5" w14:textId="77777777" w:rsidR="00DB6E1F" w:rsidRDefault="00F666A6">
            <w:pPr>
              <w:pStyle w:val="TableParagraph"/>
              <w:spacing w:before="3"/>
              <w:ind w:left="6"/>
              <w:jc w:val="center"/>
              <w:rPr>
                <w:sz w:val="20"/>
              </w:rPr>
            </w:pPr>
            <w:r>
              <w:rPr>
                <w:w w:val="99"/>
                <w:sz w:val="20"/>
              </w:rPr>
              <w:t>3</w:t>
            </w:r>
          </w:p>
        </w:tc>
        <w:tc>
          <w:tcPr>
            <w:tcW w:w="988" w:type="dxa"/>
          </w:tcPr>
          <w:p w14:paraId="5D49078B" w14:textId="77777777" w:rsidR="00DB6E1F" w:rsidRDefault="00F666A6">
            <w:pPr>
              <w:pStyle w:val="TableParagraph"/>
              <w:spacing w:before="3"/>
              <w:ind w:left="10"/>
              <w:jc w:val="center"/>
              <w:rPr>
                <w:sz w:val="20"/>
              </w:rPr>
            </w:pPr>
            <w:r>
              <w:rPr>
                <w:w w:val="99"/>
                <w:sz w:val="20"/>
              </w:rPr>
              <w:t>4</w:t>
            </w:r>
          </w:p>
        </w:tc>
        <w:tc>
          <w:tcPr>
            <w:tcW w:w="990" w:type="dxa"/>
          </w:tcPr>
          <w:p w14:paraId="55B35A3A" w14:textId="77777777" w:rsidR="00DB6E1F" w:rsidRDefault="00F666A6">
            <w:pPr>
              <w:pStyle w:val="TableParagraph"/>
              <w:spacing w:before="3"/>
              <w:ind w:left="10"/>
              <w:jc w:val="center"/>
              <w:rPr>
                <w:sz w:val="20"/>
              </w:rPr>
            </w:pPr>
            <w:r>
              <w:rPr>
                <w:w w:val="99"/>
                <w:sz w:val="20"/>
              </w:rPr>
              <w:t>5</w:t>
            </w:r>
          </w:p>
        </w:tc>
      </w:tr>
      <w:tr w:rsidR="00DB6E1F" w14:paraId="16851DE0" w14:textId="77777777">
        <w:trPr>
          <w:trHeight w:val="263"/>
        </w:trPr>
        <w:tc>
          <w:tcPr>
            <w:tcW w:w="4140" w:type="dxa"/>
          </w:tcPr>
          <w:p w14:paraId="00CAA567" w14:textId="77777777" w:rsidR="00DB6E1F" w:rsidRDefault="00F666A6">
            <w:pPr>
              <w:pStyle w:val="TableParagraph"/>
              <w:spacing w:line="242" w:lineRule="exact"/>
              <w:ind w:left="95"/>
              <w:rPr>
                <w:sz w:val="20"/>
              </w:rPr>
            </w:pPr>
            <w:r>
              <w:rPr>
                <w:color w:val="4D4D4F"/>
                <w:sz w:val="20"/>
              </w:rPr>
              <w:t>4.</w:t>
            </w:r>
            <w:r>
              <w:rPr>
                <w:color w:val="4D4D4F"/>
                <w:spacing w:val="44"/>
                <w:sz w:val="20"/>
              </w:rPr>
              <w:t xml:space="preserve">  </w:t>
            </w:r>
            <w:r>
              <w:rPr>
                <w:sz w:val="20"/>
              </w:rPr>
              <w:t>Drinking helps</w:t>
            </w:r>
            <w:r>
              <w:rPr>
                <w:spacing w:val="-1"/>
                <w:sz w:val="20"/>
              </w:rPr>
              <w:t xml:space="preserve"> </w:t>
            </w:r>
            <w:r>
              <w:rPr>
                <w:sz w:val="20"/>
              </w:rPr>
              <w:t>me</w:t>
            </w:r>
            <w:r>
              <w:rPr>
                <w:spacing w:val="-1"/>
                <w:sz w:val="20"/>
              </w:rPr>
              <w:t xml:space="preserve"> </w:t>
            </w:r>
            <w:r>
              <w:rPr>
                <w:sz w:val="20"/>
              </w:rPr>
              <w:t>deal</w:t>
            </w:r>
            <w:r>
              <w:rPr>
                <w:spacing w:val="-1"/>
                <w:sz w:val="20"/>
              </w:rPr>
              <w:t xml:space="preserve"> </w:t>
            </w:r>
            <w:r>
              <w:rPr>
                <w:sz w:val="20"/>
              </w:rPr>
              <w:t>with</w:t>
            </w:r>
            <w:r>
              <w:rPr>
                <w:spacing w:val="1"/>
                <w:sz w:val="20"/>
              </w:rPr>
              <w:t xml:space="preserve"> </w:t>
            </w:r>
            <w:r>
              <w:rPr>
                <w:spacing w:val="-2"/>
                <w:sz w:val="20"/>
              </w:rPr>
              <w:t>problems.</w:t>
            </w:r>
          </w:p>
        </w:tc>
        <w:tc>
          <w:tcPr>
            <w:tcW w:w="1078" w:type="dxa"/>
          </w:tcPr>
          <w:p w14:paraId="7938134B" w14:textId="77777777" w:rsidR="00DB6E1F" w:rsidRDefault="00F666A6">
            <w:pPr>
              <w:pStyle w:val="TableParagraph"/>
              <w:spacing w:line="242" w:lineRule="exact"/>
              <w:ind w:left="6"/>
              <w:jc w:val="center"/>
              <w:rPr>
                <w:sz w:val="20"/>
              </w:rPr>
            </w:pPr>
            <w:r>
              <w:rPr>
                <w:w w:val="99"/>
                <w:sz w:val="20"/>
              </w:rPr>
              <w:t>1</w:t>
            </w:r>
          </w:p>
        </w:tc>
        <w:tc>
          <w:tcPr>
            <w:tcW w:w="1080" w:type="dxa"/>
          </w:tcPr>
          <w:p w14:paraId="77490AE5" w14:textId="77777777" w:rsidR="00DB6E1F" w:rsidRDefault="00F666A6">
            <w:pPr>
              <w:pStyle w:val="TableParagraph"/>
              <w:spacing w:line="242" w:lineRule="exact"/>
              <w:ind w:left="8"/>
              <w:jc w:val="center"/>
              <w:rPr>
                <w:sz w:val="20"/>
              </w:rPr>
            </w:pPr>
            <w:r>
              <w:rPr>
                <w:w w:val="99"/>
                <w:sz w:val="20"/>
              </w:rPr>
              <w:t>2</w:t>
            </w:r>
          </w:p>
        </w:tc>
        <w:tc>
          <w:tcPr>
            <w:tcW w:w="1082" w:type="dxa"/>
          </w:tcPr>
          <w:p w14:paraId="4833F917" w14:textId="77777777" w:rsidR="00DB6E1F" w:rsidRDefault="00F666A6">
            <w:pPr>
              <w:pStyle w:val="TableParagraph"/>
              <w:spacing w:line="242" w:lineRule="exact"/>
              <w:ind w:left="6"/>
              <w:jc w:val="center"/>
              <w:rPr>
                <w:sz w:val="20"/>
              </w:rPr>
            </w:pPr>
            <w:r>
              <w:rPr>
                <w:w w:val="99"/>
                <w:sz w:val="20"/>
              </w:rPr>
              <w:t>3</w:t>
            </w:r>
          </w:p>
        </w:tc>
        <w:tc>
          <w:tcPr>
            <w:tcW w:w="988" w:type="dxa"/>
          </w:tcPr>
          <w:p w14:paraId="0CE7B19D" w14:textId="77777777" w:rsidR="00DB6E1F" w:rsidRDefault="00F666A6">
            <w:pPr>
              <w:pStyle w:val="TableParagraph"/>
              <w:spacing w:line="242" w:lineRule="exact"/>
              <w:ind w:left="10"/>
              <w:jc w:val="center"/>
              <w:rPr>
                <w:sz w:val="20"/>
              </w:rPr>
            </w:pPr>
            <w:r>
              <w:rPr>
                <w:w w:val="99"/>
                <w:sz w:val="20"/>
              </w:rPr>
              <w:t>4</w:t>
            </w:r>
          </w:p>
        </w:tc>
        <w:tc>
          <w:tcPr>
            <w:tcW w:w="990" w:type="dxa"/>
          </w:tcPr>
          <w:p w14:paraId="2F9587BD" w14:textId="77777777" w:rsidR="00DB6E1F" w:rsidRDefault="00F666A6">
            <w:pPr>
              <w:pStyle w:val="TableParagraph"/>
              <w:spacing w:line="242" w:lineRule="exact"/>
              <w:ind w:left="10"/>
              <w:jc w:val="center"/>
              <w:rPr>
                <w:sz w:val="20"/>
              </w:rPr>
            </w:pPr>
            <w:r>
              <w:rPr>
                <w:w w:val="99"/>
                <w:sz w:val="20"/>
              </w:rPr>
              <w:t>5</w:t>
            </w:r>
          </w:p>
        </w:tc>
      </w:tr>
      <w:tr w:rsidR="00DB6E1F" w14:paraId="27DA2F97" w14:textId="77777777">
        <w:trPr>
          <w:trHeight w:val="527"/>
        </w:trPr>
        <w:tc>
          <w:tcPr>
            <w:tcW w:w="4140" w:type="dxa"/>
          </w:tcPr>
          <w:p w14:paraId="0BD7E768" w14:textId="77777777" w:rsidR="00DB6E1F" w:rsidRDefault="00F666A6">
            <w:pPr>
              <w:pStyle w:val="TableParagraph"/>
              <w:ind w:left="95"/>
              <w:rPr>
                <w:sz w:val="20"/>
              </w:rPr>
            </w:pPr>
            <w:r>
              <w:rPr>
                <w:color w:val="4D4D4F"/>
                <w:sz w:val="20"/>
              </w:rPr>
              <w:t>5.</w:t>
            </w:r>
            <w:r>
              <w:rPr>
                <w:color w:val="4D4D4F"/>
                <w:spacing w:val="44"/>
                <w:sz w:val="20"/>
              </w:rPr>
              <w:t xml:space="preserve">  </w:t>
            </w:r>
            <w:r>
              <w:rPr>
                <w:sz w:val="20"/>
              </w:rPr>
              <w:t>Having</w:t>
            </w:r>
            <w:r>
              <w:rPr>
                <w:spacing w:val="1"/>
                <w:sz w:val="20"/>
              </w:rPr>
              <w:t xml:space="preserve"> </w:t>
            </w:r>
            <w:r>
              <w:rPr>
                <w:sz w:val="20"/>
              </w:rPr>
              <w:t>to lie</w:t>
            </w:r>
            <w:r>
              <w:rPr>
                <w:spacing w:val="-1"/>
                <w:sz w:val="20"/>
              </w:rPr>
              <w:t xml:space="preserve"> </w:t>
            </w:r>
            <w:r>
              <w:rPr>
                <w:sz w:val="20"/>
              </w:rPr>
              <w:t>to others</w:t>
            </w:r>
            <w:r>
              <w:rPr>
                <w:spacing w:val="-1"/>
                <w:sz w:val="20"/>
              </w:rPr>
              <w:t xml:space="preserve"> </w:t>
            </w:r>
            <w:r>
              <w:rPr>
                <w:sz w:val="20"/>
              </w:rPr>
              <w:t>about</w:t>
            </w:r>
            <w:r>
              <w:rPr>
                <w:spacing w:val="-1"/>
                <w:sz w:val="20"/>
              </w:rPr>
              <w:t xml:space="preserve"> </w:t>
            </w:r>
            <w:r>
              <w:rPr>
                <w:sz w:val="20"/>
              </w:rPr>
              <w:t>my</w:t>
            </w:r>
            <w:r>
              <w:rPr>
                <w:spacing w:val="1"/>
                <w:sz w:val="20"/>
              </w:rPr>
              <w:t xml:space="preserve"> </w:t>
            </w:r>
            <w:r>
              <w:rPr>
                <w:spacing w:val="-2"/>
                <w:sz w:val="20"/>
              </w:rPr>
              <w:t>drinking</w:t>
            </w:r>
          </w:p>
          <w:p w14:paraId="74D529C4" w14:textId="77777777" w:rsidR="00DB6E1F" w:rsidRDefault="00F666A6">
            <w:pPr>
              <w:pStyle w:val="TableParagraph"/>
              <w:spacing w:before="20" w:line="242" w:lineRule="exact"/>
              <w:ind w:left="455"/>
              <w:rPr>
                <w:sz w:val="20"/>
              </w:rPr>
            </w:pPr>
            <w:r>
              <w:rPr>
                <w:sz w:val="20"/>
              </w:rPr>
              <w:t>bothers</w:t>
            </w:r>
            <w:r>
              <w:rPr>
                <w:spacing w:val="-9"/>
                <w:sz w:val="20"/>
              </w:rPr>
              <w:t xml:space="preserve"> </w:t>
            </w:r>
            <w:r>
              <w:rPr>
                <w:spacing w:val="-5"/>
                <w:sz w:val="20"/>
              </w:rPr>
              <w:t>me.</w:t>
            </w:r>
          </w:p>
        </w:tc>
        <w:tc>
          <w:tcPr>
            <w:tcW w:w="1078" w:type="dxa"/>
          </w:tcPr>
          <w:p w14:paraId="30B02BC1" w14:textId="77777777" w:rsidR="00DB6E1F" w:rsidRDefault="00F666A6">
            <w:pPr>
              <w:pStyle w:val="TableParagraph"/>
              <w:ind w:left="6"/>
              <w:jc w:val="center"/>
              <w:rPr>
                <w:sz w:val="20"/>
              </w:rPr>
            </w:pPr>
            <w:r>
              <w:rPr>
                <w:w w:val="99"/>
                <w:sz w:val="20"/>
              </w:rPr>
              <w:t>1</w:t>
            </w:r>
          </w:p>
        </w:tc>
        <w:tc>
          <w:tcPr>
            <w:tcW w:w="1080" w:type="dxa"/>
          </w:tcPr>
          <w:p w14:paraId="718B6626" w14:textId="77777777" w:rsidR="00DB6E1F" w:rsidRDefault="00F666A6">
            <w:pPr>
              <w:pStyle w:val="TableParagraph"/>
              <w:ind w:left="8"/>
              <w:jc w:val="center"/>
              <w:rPr>
                <w:sz w:val="20"/>
              </w:rPr>
            </w:pPr>
            <w:r>
              <w:rPr>
                <w:w w:val="99"/>
                <w:sz w:val="20"/>
              </w:rPr>
              <w:t>2</w:t>
            </w:r>
          </w:p>
        </w:tc>
        <w:tc>
          <w:tcPr>
            <w:tcW w:w="1082" w:type="dxa"/>
          </w:tcPr>
          <w:p w14:paraId="0BDAB43F" w14:textId="77777777" w:rsidR="00DB6E1F" w:rsidRDefault="00F666A6">
            <w:pPr>
              <w:pStyle w:val="TableParagraph"/>
              <w:ind w:left="6"/>
              <w:jc w:val="center"/>
              <w:rPr>
                <w:sz w:val="20"/>
              </w:rPr>
            </w:pPr>
            <w:r>
              <w:rPr>
                <w:w w:val="99"/>
                <w:sz w:val="20"/>
              </w:rPr>
              <w:t>3</w:t>
            </w:r>
          </w:p>
        </w:tc>
        <w:tc>
          <w:tcPr>
            <w:tcW w:w="988" w:type="dxa"/>
          </w:tcPr>
          <w:p w14:paraId="604192DA" w14:textId="77777777" w:rsidR="00DB6E1F" w:rsidRDefault="00F666A6">
            <w:pPr>
              <w:pStyle w:val="TableParagraph"/>
              <w:ind w:left="10"/>
              <w:jc w:val="center"/>
              <w:rPr>
                <w:sz w:val="20"/>
              </w:rPr>
            </w:pPr>
            <w:r>
              <w:rPr>
                <w:w w:val="99"/>
                <w:sz w:val="20"/>
              </w:rPr>
              <w:t>4</w:t>
            </w:r>
          </w:p>
        </w:tc>
        <w:tc>
          <w:tcPr>
            <w:tcW w:w="990" w:type="dxa"/>
          </w:tcPr>
          <w:p w14:paraId="4EAB975A" w14:textId="77777777" w:rsidR="00DB6E1F" w:rsidRDefault="00F666A6">
            <w:pPr>
              <w:pStyle w:val="TableParagraph"/>
              <w:ind w:left="10"/>
              <w:jc w:val="center"/>
              <w:rPr>
                <w:sz w:val="20"/>
              </w:rPr>
            </w:pPr>
            <w:r>
              <w:rPr>
                <w:w w:val="99"/>
                <w:sz w:val="20"/>
              </w:rPr>
              <w:t>5</w:t>
            </w:r>
          </w:p>
        </w:tc>
      </w:tr>
      <w:tr w:rsidR="00DB6E1F" w14:paraId="6D359FCB" w14:textId="77777777">
        <w:trPr>
          <w:trHeight w:val="263"/>
        </w:trPr>
        <w:tc>
          <w:tcPr>
            <w:tcW w:w="4140" w:type="dxa"/>
          </w:tcPr>
          <w:p w14:paraId="786069CD" w14:textId="77777777" w:rsidR="00DB6E1F" w:rsidRDefault="00F666A6">
            <w:pPr>
              <w:pStyle w:val="TableParagraph"/>
              <w:spacing w:line="242" w:lineRule="exact"/>
              <w:ind w:left="95"/>
              <w:rPr>
                <w:sz w:val="20"/>
              </w:rPr>
            </w:pPr>
            <w:r>
              <w:rPr>
                <w:color w:val="4D4D4F"/>
                <w:sz w:val="20"/>
              </w:rPr>
              <w:t>6.</w:t>
            </w:r>
            <w:r>
              <w:rPr>
                <w:color w:val="4D4D4F"/>
                <w:spacing w:val="41"/>
                <w:sz w:val="20"/>
              </w:rPr>
              <w:t xml:space="preserve">  </w:t>
            </w:r>
            <w:r>
              <w:rPr>
                <w:sz w:val="20"/>
              </w:rPr>
              <w:t>Some people</w:t>
            </w:r>
            <w:r>
              <w:rPr>
                <w:spacing w:val="-2"/>
                <w:sz w:val="20"/>
              </w:rPr>
              <w:t xml:space="preserve"> </w:t>
            </w:r>
            <w:r>
              <w:rPr>
                <w:sz w:val="20"/>
              </w:rPr>
              <w:t>try</w:t>
            </w:r>
            <w:r>
              <w:rPr>
                <w:spacing w:val="1"/>
                <w:sz w:val="20"/>
              </w:rPr>
              <w:t xml:space="preserve"> </w:t>
            </w:r>
            <w:r>
              <w:rPr>
                <w:sz w:val="20"/>
              </w:rPr>
              <w:t>to</w:t>
            </w:r>
            <w:r>
              <w:rPr>
                <w:spacing w:val="-1"/>
                <w:sz w:val="20"/>
              </w:rPr>
              <w:t xml:space="preserve"> </w:t>
            </w:r>
            <w:r>
              <w:rPr>
                <w:sz w:val="20"/>
              </w:rPr>
              <w:t>avoid me</w:t>
            </w:r>
            <w:r>
              <w:rPr>
                <w:spacing w:val="2"/>
                <w:sz w:val="20"/>
              </w:rPr>
              <w:t xml:space="preserve"> </w:t>
            </w:r>
            <w:r>
              <w:rPr>
                <w:sz w:val="20"/>
              </w:rPr>
              <w:t xml:space="preserve">when I </w:t>
            </w:r>
            <w:r>
              <w:rPr>
                <w:spacing w:val="-2"/>
                <w:sz w:val="20"/>
              </w:rPr>
              <w:t>drink.</w:t>
            </w:r>
          </w:p>
        </w:tc>
        <w:tc>
          <w:tcPr>
            <w:tcW w:w="1078" w:type="dxa"/>
          </w:tcPr>
          <w:p w14:paraId="25C7D549" w14:textId="77777777" w:rsidR="00DB6E1F" w:rsidRDefault="00F666A6">
            <w:pPr>
              <w:pStyle w:val="TableParagraph"/>
              <w:spacing w:line="242" w:lineRule="exact"/>
              <w:ind w:left="6"/>
              <w:jc w:val="center"/>
              <w:rPr>
                <w:sz w:val="20"/>
              </w:rPr>
            </w:pPr>
            <w:r>
              <w:rPr>
                <w:w w:val="99"/>
                <w:sz w:val="20"/>
              </w:rPr>
              <w:t>1</w:t>
            </w:r>
          </w:p>
        </w:tc>
        <w:tc>
          <w:tcPr>
            <w:tcW w:w="1080" w:type="dxa"/>
          </w:tcPr>
          <w:p w14:paraId="7E4E1613" w14:textId="77777777" w:rsidR="00DB6E1F" w:rsidRDefault="00F666A6">
            <w:pPr>
              <w:pStyle w:val="TableParagraph"/>
              <w:spacing w:line="242" w:lineRule="exact"/>
              <w:ind w:left="8"/>
              <w:jc w:val="center"/>
              <w:rPr>
                <w:sz w:val="20"/>
              </w:rPr>
            </w:pPr>
            <w:r>
              <w:rPr>
                <w:w w:val="99"/>
                <w:sz w:val="20"/>
              </w:rPr>
              <w:t>2</w:t>
            </w:r>
          </w:p>
        </w:tc>
        <w:tc>
          <w:tcPr>
            <w:tcW w:w="1082" w:type="dxa"/>
          </w:tcPr>
          <w:p w14:paraId="14B1DED3" w14:textId="77777777" w:rsidR="00DB6E1F" w:rsidRDefault="00F666A6">
            <w:pPr>
              <w:pStyle w:val="TableParagraph"/>
              <w:spacing w:line="242" w:lineRule="exact"/>
              <w:ind w:left="6"/>
              <w:jc w:val="center"/>
              <w:rPr>
                <w:sz w:val="20"/>
              </w:rPr>
            </w:pPr>
            <w:r>
              <w:rPr>
                <w:w w:val="99"/>
                <w:sz w:val="20"/>
              </w:rPr>
              <w:t>3</w:t>
            </w:r>
          </w:p>
        </w:tc>
        <w:tc>
          <w:tcPr>
            <w:tcW w:w="988" w:type="dxa"/>
          </w:tcPr>
          <w:p w14:paraId="06BE0B50" w14:textId="77777777" w:rsidR="00DB6E1F" w:rsidRDefault="00F666A6">
            <w:pPr>
              <w:pStyle w:val="TableParagraph"/>
              <w:spacing w:line="242" w:lineRule="exact"/>
              <w:ind w:left="10"/>
              <w:jc w:val="center"/>
              <w:rPr>
                <w:sz w:val="20"/>
              </w:rPr>
            </w:pPr>
            <w:r>
              <w:rPr>
                <w:w w:val="99"/>
                <w:sz w:val="20"/>
              </w:rPr>
              <w:t>4</w:t>
            </w:r>
          </w:p>
        </w:tc>
        <w:tc>
          <w:tcPr>
            <w:tcW w:w="990" w:type="dxa"/>
          </w:tcPr>
          <w:p w14:paraId="43C4BA8E" w14:textId="77777777" w:rsidR="00DB6E1F" w:rsidRDefault="00F666A6">
            <w:pPr>
              <w:pStyle w:val="TableParagraph"/>
              <w:spacing w:line="242" w:lineRule="exact"/>
              <w:ind w:left="10"/>
              <w:jc w:val="center"/>
              <w:rPr>
                <w:sz w:val="20"/>
              </w:rPr>
            </w:pPr>
            <w:r>
              <w:rPr>
                <w:w w:val="99"/>
                <w:sz w:val="20"/>
              </w:rPr>
              <w:t>5</w:t>
            </w:r>
          </w:p>
        </w:tc>
      </w:tr>
      <w:tr w:rsidR="00DB6E1F" w14:paraId="3B2B8E92" w14:textId="77777777">
        <w:trPr>
          <w:trHeight w:val="263"/>
        </w:trPr>
        <w:tc>
          <w:tcPr>
            <w:tcW w:w="4140" w:type="dxa"/>
          </w:tcPr>
          <w:p w14:paraId="3D401027" w14:textId="77777777" w:rsidR="00DB6E1F" w:rsidRDefault="00F666A6">
            <w:pPr>
              <w:pStyle w:val="TableParagraph"/>
              <w:spacing w:line="242" w:lineRule="exact"/>
              <w:ind w:left="95"/>
              <w:rPr>
                <w:sz w:val="20"/>
              </w:rPr>
            </w:pPr>
            <w:r>
              <w:rPr>
                <w:color w:val="4D4D4F"/>
                <w:sz w:val="20"/>
              </w:rPr>
              <w:t>7.</w:t>
            </w:r>
            <w:r>
              <w:rPr>
                <w:color w:val="4D4D4F"/>
                <w:spacing w:val="43"/>
                <w:sz w:val="20"/>
              </w:rPr>
              <w:t xml:space="preserve">  </w:t>
            </w:r>
            <w:r>
              <w:rPr>
                <w:sz w:val="20"/>
              </w:rPr>
              <w:t>Drinking helps</w:t>
            </w:r>
            <w:r>
              <w:rPr>
                <w:spacing w:val="-2"/>
                <w:sz w:val="20"/>
              </w:rPr>
              <w:t xml:space="preserve"> </w:t>
            </w:r>
            <w:r>
              <w:rPr>
                <w:sz w:val="20"/>
              </w:rPr>
              <w:t>me</w:t>
            </w:r>
            <w:r>
              <w:rPr>
                <w:spacing w:val="-1"/>
                <w:sz w:val="20"/>
              </w:rPr>
              <w:t xml:space="preserve"> </w:t>
            </w:r>
            <w:r>
              <w:rPr>
                <w:sz w:val="20"/>
              </w:rPr>
              <w:t>to</w:t>
            </w:r>
            <w:r>
              <w:rPr>
                <w:spacing w:val="-1"/>
                <w:sz w:val="20"/>
              </w:rPr>
              <w:t xml:space="preserve"> </w:t>
            </w:r>
            <w:r>
              <w:rPr>
                <w:sz w:val="20"/>
              </w:rPr>
              <w:t>have</w:t>
            </w:r>
            <w:r>
              <w:rPr>
                <w:spacing w:val="-2"/>
                <w:sz w:val="20"/>
              </w:rPr>
              <w:t xml:space="preserve"> </w:t>
            </w:r>
            <w:r>
              <w:rPr>
                <w:sz w:val="20"/>
              </w:rPr>
              <w:t>fun</w:t>
            </w:r>
            <w:r>
              <w:rPr>
                <w:spacing w:val="2"/>
                <w:sz w:val="20"/>
              </w:rPr>
              <w:t xml:space="preserve"> </w:t>
            </w:r>
            <w:r>
              <w:rPr>
                <w:sz w:val="20"/>
              </w:rPr>
              <w:t>and</w:t>
            </w:r>
            <w:r>
              <w:rPr>
                <w:spacing w:val="1"/>
                <w:sz w:val="20"/>
              </w:rPr>
              <w:t xml:space="preserve"> </w:t>
            </w:r>
            <w:r>
              <w:rPr>
                <w:spacing w:val="-2"/>
                <w:sz w:val="20"/>
              </w:rPr>
              <w:t>socialize.</w:t>
            </w:r>
          </w:p>
        </w:tc>
        <w:tc>
          <w:tcPr>
            <w:tcW w:w="1078" w:type="dxa"/>
          </w:tcPr>
          <w:p w14:paraId="5DB8871A" w14:textId="77777777" w:rsidR="00DB6E1F" w:rsidRDefault="00F666A6">
            <w:pPr>
              <w:pStyle w:val="TableParagraph"/>
              <w:spacing w:line="242" w:lineRule="exact"/>
              <w:ind w:left="6"/>
              <w:jc w:val="center"/>
              <w:rPr>
                <w:sz w:val="20"/>
              </w:rPr>
            </w:pPr>
            <w:r>
              <w:rPr>
                <w:w w:val="99"/>
                <w:sz w:val="20"/>
              </w:rPr>
              <w:t>1</w:t>
            </w:r>
          </w:p>
        </w:tc>
        <w:tc>
          <w:tcPr>
            <w:tcW w:w="1080" w:type="dxa"/>
          </w:tcPr>
          <w:p w14:paraId="0B23CF9C" w14:textId="77777777" w:rsidR="00DB6E1F" w:rsidRDefault="00F666A6">
            <w:pPr>
              <w:pStyle w:val="TableParagraph"/>
              <w:spacing w:line="242" w:lineRule="exact"/>
              <w:ind w:left="8"/>
              <w:jc w:val="center"/>
              <w:rPr>
                <w:sz w:val="20"/>
              </w:rPr>
            </w:pPr>
            <w:r>
              <w:rPr>
                <w:w w:val="99"/>
                <w:sz w:val="20"/>
              </w:rPr>
              <w:t>2</w:t>
            </w:r>
          </w:p>
        </w:tc>
        <w:tc>
          <w:tcPr>
            <w:tcW w:w="1082" w:type="dxa"/>
          </w:tcPr>
          <w:p w14:paraId="77E03B02" w14:textId="77777777" w:rsidR="00DB6E1F" w:rsidRDefault="00F666A6">
            <w:pPr>
              <w:pStyle w:val="TableParagraph"/>
              <w:spacing w:line="242" w:lineRule="exact"/>
              <w:ind w:left="6"/>
              <w:jc w:val="center"/>
              <w:rPr>
                <w:sz w:val="20"/>
              </w:rPr>
            </w:pPr>
            <w:r>
              <w:rPr>
                <w:w w:val="99"/>
                <w:sz w:val="20"/>
              </w:rPr>
              <w:t>3</w:t>
            </w:r>
          </w:p>
        </w:tc>
        <w:tc>
          <w:tcPr>
            <w:tcW w:w="988" w:type="dxa"/>
          </w:tcPr>
          <w:p w14:paraId="7044A36D" w14:textId="77777777" w:rsidR="00DB6E1F" w:rsidRDefault="00F666A6">
            <w:pPr>
              <w:pStyle w:val="TableParagraph"/>
              <w:spacing w:line="242" w:lineRule="exact"/>
              <w:ind w:left="10"/>
              <w:jc w:val="center"/>
              <w:rPr>
                <w:sz w:val="20"/>
              </w:rPr>
            </w:pPr>
            <w:r>
              <w:rPr>
                <w:w w:val="99"/>
                <w:sz w:val="20"/>
              </w:rPr>
              <w:t>4</w:t>
            </w:r>
          </w:p>
        </w:tc>
        <w:tc>
          <w:tcPr>
            <w:tcW w:w="990" w:type="dxa"/>
          </w:tcPr>
          <w:p w14:paraId="143E756D" w14:textId="77777777" w:rsidR="00DB6E1F" w:rsidRDefault="00F666A6">
            <w:pPr>
              <w:pStyle w:val="TableParagraph"/>
              <w:spacing w:line="242" w:lineRule="exact"/>
              <w:ind w:left="10"/>
              <w:jc w:val="center"/>
              <w:rPr>
                <w:sz w:val="20"/>
              </w:rPr>
            </w:pPr>
            <w:r>
              <w:rPr>
                <w:w w:val="99"/>
                <w:sz w:val="20"/>
              </w:rPr>
              <w:t>5</w:t>
            </w:r>
          </w:p>
        </w:tc>
      </w:tr>
      <w:tr w:rsidR="00DB6E1F" w14:paraId="6799CE72" w14:textId="77777777">
        <w:trPr>
          <w:trHeight w:val="525"/>
        </w:trPr>
        <w:tc>
          <w:tcPr>
            <w:tcW w:w="4140" w:type="dxa"/>
          </w:tcPr>
          <w:p w14:paraId="110944D1" w14:textId="77777777" w:rsidR="00DB6E1F" w:rsidRDefault="00F666A6">
            <w:pPr>
              <w:pStyle w:val="TableParagraph"/>
              <w:ind w:left="95"/>
              <w:rPr>
                <w:sz w:val="20"/>
              </w:rPr>
            </w:pPr>
            <w:r>
              <w:rPr>
                <w:color w:val="4D4D4F"/>
                <w:sz w:val="20"/>
              </w:rPr>
              <w:t>8.</w:t>
            </w:r>
            <w:r>
              <w:rPr>
                <w:color w:val="4D4D4F"/>
                <w:spacing w:val="41"/>
                <w:sz w:val="20"/>
              </w:rPr>
              <w:t xml:space="preserve">  </w:t>
            </w:r>
            <w:r>
              <w:rPr>
                <w:sz w:val="20"/>
              </w:rPr>
              <w:t>Drinking</w:t>
            </w:r>
            <w:r>
              <w:rPr>
                <w:spacing w:val="-1"/>
                <w:sz w:val="20"/>
              </w:rPr>
              <w:t xml:space="preserve"> </w:t>
            </w:r>
            <w:r>
              <w:rPr>
                <w:sz w:val="20"/>
              </w:rPr>
              <w:t>interferes with</w:t>
            </w:r>
            <w:r>
              <w:rPr>
                <w:spacing w:val="-1"/>
                <w:sz w:val="20"/>
              </w:rPr>
              <w:t xml:space="preserve"> </w:t>
            </w:r>
            <w:r>
              <w:rPr>
                <w:sz w:val="20"/>
              </w:rPr>
              <w:t>my</w:t>
            </w:r>
            <w:r>
              <w:rPr>
                <w:spacing w:val="-1"/>
                <w:sz w:val="20"/>
              </w:rPr>
              <w:t xml:space="preserve"> </w:t>
            </w:r>
            <w:r>
              <w:rPr>
                <w:sz w:val="20"/>
              </w:rPr>
              <w:t>functioning</w:t>
            </w:r>
            <w:r>
              <w:rPr>
                <w:spacing w:val="-1"/>
                <w:sz w:val="20"/>
              </w:rPr>
              <w:t xml:space="preserve"> </w:t>
            </w:r>
            <w:r>
              <w:rPr>
                <w:spacing w:val="-5"/>
                <w:sz w:val="20"/>
              </w:rPr>
              <w:t>at</w:t>
            </w:r>
          </w:p>
          <w:p w14:paraId="2BA1CE3C" w14:textId="77777777" w:rsidR="00DB6E1F" w:rsidRDefault="00F666A6">
            <w:pPr>
              <w:pStyle w:val="TableParagraph"/>
              <w:spacing w:before="20" w:line="240" w:lineRule="exact"/>
              <w:ind w:left="455"/>
              <w:rPr>
                <w:sz w:val="20"/>
              </w:rPr>
            </w:pPr>
            <w:r>
              <w:rPr>
                <w:sz w:val="20"/>
              </w:rPr>
              <w:t>home</w:t>
            </w:r>
            <w:r>
              <w:rPr>
                <w:spacing w:val="-6"/>
                <w:sz w:val="20"/>
              </w:rPr>
              <w:t xml:space="preserve"> </w:t>
            </w:r>
            <w:r>
              <w:rPr>
                <w:sz w:val="20"/>
              </w:rPr>
              <w:t>or/and</w:t>
            </w:r>
            <w:r>
              <w:rPr>
                <w:spacing w:val="-4"/>
                <w:sz w:val="20"/>
              </w:rPr>
              <w:t xml:space="preserve"> </w:t>
            </w:r>
            <w:r>
              <w:rPr>
                <w:sz w:val="20"/>
              </w:rPr>
              <w:t>at</w:t>
            </w:r>
            <w:r>
              <w:rPr>
                <w:spacing w:val="-4"/>
                <w:sz w:val="20"/>
              </w:rPr>
              <w:t xml:space="preserve"> </w:t>
            </w:r>
            <w:r>
              <w:rPr>
                <w:spacing w:val="-2"/>
                <w:sz w:val="20"/>
              </w:rPr>
              <w:t>work.</w:t>
            </w:r>
          </w:p>
        </w:tc>
        <w:tc>
          <w:tcPr>
            <w:tcW w:w="1078" w:type="dxa"/>
          </w:tcPr>
          <w:p w14:paraId="79719222" w14:textId="77777777" w:rsidR="00DB6E1F" w:rsidRDefault="00F666A6">
            <w:pPr>
              <w:pStyle w:val="TableParagraph"/>
              <w:ind w:left="6"/>
              <w:jc w:val="center"/>
              <w:rPr>
                <w:sz w:val="20"/>
              </w:rPr>
            </w:pPr>
            <w:r>
              <w:rPr>
                <w:w w:val="99"/>
                <w:sz w:val="20"/>
              </w:rPr>
              <w:t>1</w:t>
            </w:r>
          </w:p>
        </w:tc>
        <w:tc>
          <w:tcPr>
            <w:tcW w:w="1080" w:type="dxa"/>
          </w:tcPr>
          <w:p w14:paraId="1500275A" w14:textId="77777777" w:rsidR="00DB6E1F" w:rsidRDefault="00F666A6">
            <w:pPr>
              <w:pStyle w:val="TableParagraph"/>
              <w:ind w:left="8"/>
              <w:jc w:val="center"/>
              <w:rPr>
                <w:sz w:val="20"/>
              </w:rPr>
            </w:pPr>
            <w:r>
              <w:rPr>
                <w:w w:val="99"/>
                <w:sz w:val="20"/>
              </w:rPr>
              <w:t>2</w:t>
            </w:r>
          </w:p>
        </w:tc>
        <w:tc>
          <w:tcPr>
            <w:tcW w:w="1082" w:type="dxa"/>
          </w:tcPr>
          <w:p w14:paraId="41F26B0E" w14:textId="77777777" w:rsidR="00DB6E1F" w:rsidRDefault="00F666A6">
            <w:pPr>
              <w:pStyle w:val="TableParagraph"/>
              <w:ind w:left="6"/>
              <w:jc w:val="center"/>
              <w:rPr>
                <w:sz w:val="20"/>
              </w:rPr>
            </w:pPr>
            <w:r>
              <w:rPr>
                <w:w w:val="99"/>
                <w:sz w:val="20"/>
              </w:rPr>
              <w:t>3</w:t>
            </w:r>
          </w:p>
        </w:tc>
        <w:tc>
          <w:tcPr>
            <w:tcW w:w="988" w:type="dxa"/>
          </w:tcPr>
          <w:p w14:paraId="0C01DD3E" w14:textId="77777777" w:rsidR="00DB6E1F" w:rsidRDefault="00F666A6">
            <w:pPr>
              <w:pStyle w:val="TableParagraph"/>
              <w:ind w:left="10"/>
              <w:jc w:val="center"/>
              <w:rPr>
                <w:sz w:val="20"/>
              </w:rPr>
            </w:pPr>
            <w:r>
              <w:rPr>
                <w:w w:val="99"/>
                <w:sz w:val="20"/>
              </w:rPr>
              <w:t>4</w:t>
            </w:r>
          </w:p>
        </w:tc>
        <w:tc>
          <w:tcPr>
            <w:tcW w:w="990" w:type="dxa"/>
          </w:tcPr>
          <w:p w14:paraId="3E914F3E" w14:textId="77777777" w:rsidR="00DB6E1F" w:rsidRDefault="00F666A6">
            <w:pPr>
              <w:pStyle w:val="TableParagraph"/>
              <w:ind w:left="10"/>
              <w:jc w:val="center"/>
              <w:rPr>
                <w:sz w:val="20"/>
              </w:rPr>
            </w:pPr>
            <w:r>
              <w:rPr>
                <w:w w:val="99"/>
                <w:sz w:val="20"/>
              </w:rPr>
              <w:t>5</w:t>
            </w:r>
          </w:p>
        </w:tc>
      </w:tr>
      <w:tr w:rsidR="00DB6E1F" w14:paraId="05877964" w14:textId="77777777">
        <w:trPr>
          <w:trHeight w:val="263"/>
        </w:trPr>
        <w:tc>
          <w:tcPr>
            <w:tcW w:w="4140" w:type="dxa"/>
          </w:tcPr>
          <w:p w14:paraId="1291CBDA" w14:textId="77777777" w:rsidR="00DB6E1F" w:rsidRDefault="00F666A6">
            <w:pPr>
              <w:pStyle w:val="TableParagraph"/>
              <w:spacing w:before="3" w:line="240" w:lineRule="exact"/>
              <w:ind w:left="95"/>
              <w:rPr>
                <w:sz w:val="20"/>
              </w:rPr>
            </w:pPr>
            <w:r>
              <w:rPr>
                <w:color w:val="4D4D4F"/>
                <w:sz w:val="20"/>
              </w:rPr>
              <w:t>9.</w:t>
            </w:r>
            <w:r>
              <w:rPr>
                <w:color w:val="4D4D4F"/>
                <w:spacing w:val="45"/>
                <w:sz w:val="20"/>
              </w:rPr>
              <w:t xml:space="preserve">  </w:t>
            </w:r>
            <w:r>
              <w:rPr>
                <w:sz w:val="20"/>
              </w:rPr>
              <w:t>Drinking makes</w:t>
            </w:r>
            <w:r>
              <w:rPr>
                <w:spacing w:val="-1"/>
                <w:sz w:val="20"/>
              </w:rPr>
              <w:t xml:space="preserve"> </w:t>
            </w:r>
            <w:r>
              <w:rPr>
                <w:sz w:val="20"/>
              </w:rPr>
              <w:t>me</w:t>
            </w:r>
            <w:r>
              <w:rPr>
                <w:spacing w:val="2"/>
                <w:sz w:val="20"/>
              </w:rPr>
              <w:t xml:space="preserve"> </w:t>
            </w:r>
            <w:r>
              <w:rPr>
                <w:sz w:val="20"/>
              </w:rPr>
              <w:t>more</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fun</w:t>
            </w:r>
            <w:r>
              <w:rPr>
                <w:spacing w:val="1"/>
                <w:sz w:val="20"/>
              </w:rPr>
              <w:t xml:space="preserve"> </w:t>
            </w:r>
            <w:r>
              <w:rPr>
                <w:spacing w:val="-2"/>
                <w:sz w:val="20"/>
              </w:rPr>
              <w:t>person.</w:t>
            </w:r>
          </w:p>
        </w:tc>
        <w:tc>
          <w:tcPr>
            <w:tcW w:w="1078" w:type="dxa"/>
          </w:tcPr>
          <w:p w14:paraId="7E4614E7" w14:textId="77777777" w:rsidR="00DB6E1F" w:rsidRDefault="00F666A6">
            <w:pPr>
              <w:pStyle w:val="TableParagraph"/>
              <w:spacing w:before="3" w:line="240" w:lineRule="exact"/>
              <w:ind w:left="6"/>
              <w:jc w:val="center"/>
              <w:rPr>
                <w:sz w:val="20"/>
              </w:rPr>
            </w:pPr>
            <w:r>
              <w:rPr>
                <w:w w:val="99"/>
                <w:sz w:val="20"/>
              </w:rPr>
              <w:t>1</w:t>
            </w:r>
          </w:p>
        </w:tc>
        <w:tc>
          <w:tcPr>
            <w:tcW w:w="1080" w:type="dxa"/>
          </w:tcPr>
          <w:p w14:paraId="619CD049" w14:textId="77777777" w:rsidR="00DB6E1F" w:rsidRDefault="00F666A6">
            <w:pPr>
              <w:pStyle w:val="TableParagraph"/>
              <w:spacing w:before="3" w:line="240" w:lineRule="exact"/>
              <w:ind w:left="8"/>
              <w:jc w:val="center"/>
              <w:rPr>
                <w:sz w:val="20"/>
              </w:rPr>
            </w:pPr>
            <w:r>
              <w:rPr>
                <w:w w:val="99"/>
                <w:sz w:val="20"/>
              </w:rPr>
              <w:t>2</w:t>
            </w:r>
          </w:p>
        </w:tc>
        <w:tc>
          <w:tcPr>
            <w:tcW w:w="1082" w:type="dxa"/>
          </w:tcPr>
          <w:p w14:paraId="57EF6FC9" w14:textId="77777777" w:rsidR="00DB6E1F" w:rsidRDefault="00F666A6">
            <w:pPr>
              <w:pStyle w:val="TableParagraph"/>
              <w:spacing w:before="3" w:line="240" w:lineRule="exact"/>
              <w:ind w:left="6"/>
              <w:jc w:val="center"/>
              <w:rPr>
                <w:sz w:val="20"/>
              </w:rPr>
            </w:pPr>
            <w:r>
              <w:rPr>
                <w:w w:val="99"/>
                <w:sz w:val="20"/>
              </w:rPr>
              <w:t>3</w:t>
            </w:r>
          </w:p>
        </w:tc>
        <w:tc>
          <w:tcPr>
            <w:tcW w:w="988" w:type="dxa"/>
          </w:tcPr>
          <w:p w14:paraId="17A0681C" w14:textId="77777777" w:rsidR="00DB6E1F" w:rsidRDefault="00F666A6">
            <w:pPr>
              <w:pStyle w:val="TableParagraph"/>
              <w:spacing w:before="3" w:line="240" w:lineRule="exact"/>
              <w:ind w:left="10"/>
              <w:jc w:val="center"/>
              <w:rPr>
                <w:sz w:val="20"/>
              </w:rPr>
            </w:pPr>
            <w:r>
              <w:rPr>
                <w:w w:val="99"/>
                <w:sz w:val="20"/>
              </w:rPr>
              <w:t>4</w:t>
            </w:r>
          </w:p>
        </w:tc>
        <w:tc>
          <w:tcPr>
            <w:tcW w:w="990" w:type="dxa"/>
          </w:tcPr>
          <w:p w14:paraId="7FC6B7D6" w14:textId="77777777" w:rsidR="00DB6E1F" w:rsidRDefault="00F666A6">
            <w:pPr>
              <w:pStyle w:val="TableParagraph"/>
              <w:spacing w:before="3" w:line="240" w:lineRule="exact"/>
              <w:ind w:left="10"/>
              <w:jc w:val="center"/>
              <w:rPr>
                <w:sz w:val="20"/>
              </w:rPr>
            </w:pPr>
            <w:r>
              <w:rPr>
                <w:w w:val="99"/>
                <w:sz w:val="20"/>
              </w:rPr>
              <w:t>5</w:t>
            </w:r>
          </w:p>
        </w:tc>
      </w:tr>
      <w:tr w:rsidR="00DB6E1F" w14:paraId="54C1C03C" w14:textId="77777777">
        <w:trPr>
          <w:trHeight w:val="527"/>
        </w:trPr>
        <w:tc>
          <w:tcPr>
            <w:tcW w:w="4140" w:type="dxa"/>
          </w:tcPr>
          <w:p w14:paraId="3948B37E" w14:textId="77777777" w:rsidR="00DB6E1F" w:rsidRDefault="00F666A6">
            <w:pPr>
              <w:pStyle w:val="TableParagraph"/>
              <w:ind w:left="95"/>
              <w:rPr>
                <w:sz w:val="20"/>
              </w:rPr>
            </w:pPr>
            <w:r>
              <w:rPr>
                <w:color w:val="4D4D4F"/>
                <w:sz w:val="20"/>
              </w:rPr>
              <w:t>10.</w:t>
            </w:r>
            <w:r>
              <w:rPr>
                <w:color w:val="4D4D4F"/>
                <w:spacing w:val="16"/>
                <w:sz w:val="20"/>
              </w:rPr>
              <w:t xml:space="preserve"> </w:t>
            </w:r>
            <w:r>
              <w:rPr>
                <w:sz w:val="20"/>
              </w:rPr>
              <w:t>Some people</w:t>
            </w:r>
            <w:r>
              <w:rPr>
                <w:spacing w:val="-1"/>
                <w:sz w:val="20"/>
              </w:rPr>
              <w:t xml:space="preserve"> </w:t>
            </w:r>
            <w:r>
              <w:rPr>
                <w:sz w:val="20"/>
              </w:rPr>
              <w:t>close to me are</w:t>
            </w:r>
            <w:r>
              <w:rPr>
                <w:spacing w:val="2"/>
                <w:sz w:val="20"/>
              </w:rPr>
              <w:t xml:space="preserve"> </w:t>
            </w:r>
            <w:r>
              <w:rPr>
                <w:sz w:val="20"/>
              </w:rPr>
              <w:t>disappointed</w:t>
            </w:r>
            <w:r>
              <w:rPr>
                <w:spacing w:val="2"/>
                <w:sz w:val="20"/>
              </w:rPr>
              <w:t xml:space="preserve"> </w:t>
            </w:r>
            <w:r>
              <w:rPr>
                <w:spacing w:val="-5"/>
                <w:sz w:val="20"/>
              </w:rPr>
              <w:t>in</w:t>
            </w:r>
          </w:p>
          <w:p w14:paraId="351AAB29" w14:textId="77777777" w:rsidR="00DB6E1F" w:rsidRDefault="00F666A6">
            <w:pPr>
              <w:pStyle w:val="TableParagraph"/>
              <w:spacing w:before="20" w:line="242" w:lineRule="exact"/>
              <w:ind w:left="455"/>
              <w:rPr>
                <w:sz w:val="20"/>
              </w:rPr>
            </w:pPr>
            <w:r>
              <w:rPr>
                <w:sz w:val="20"/>
              </w:rPr>
              <w:t>me</w:t>
            </w:r>
            <w:r>
              <w:rPr>
                <w:spacing w:val="-6"/>
                <w:sz w:val="20"/>
              </w:rPr>
              <w:t xml:space="preserve"> </w:t>
            </w:r>
            <w:r>
              <w:rPr>
                <w:sz w:val="20"/>
              </w:rPr>
              <w:t>because</w:t>
            </w:r>
            <w:r>
              <w:rPr>
                <w:spacing w:val="-5"/>
                <w:sz w:val="20"/>
              </w:rPr>
              <w:t xml:space="preserve"> </w:t>
            </w:r>
            <w:r>
              <w:rPr>
                <w:sz w:val="20"/>
              </w:rPr>
              <w:t>of</w:t>
            </w:r>
            <w:r>
              <w:rPr>
                <w:spacing w:val="-3"/>
                <w:sz w:val="20"/>
              </w:rPr>
              <w:t xml:space="preserve"> </w:t>
            </w:r>
            <w:r>
              <w:rPr>
                <w:sz w:val="20"/>
              </w:rPr>
              <w:t>my</w:t>
            </w:r>
            <w:r>
              <w:rPr>
                <w:spacing w:val="-3"/>
                <w:sz w:val="20"/>
              </w:rPr>
              <w:t xml:space="preserve"> </w:t>
            </w:r>
            <w:r>
              <w:rPr>
                <w:spacing w:val="-2"/>
                <w:sz w:val="20"/>
              </w:rPr>
              <w:t>drinking.</w:t>
            </w:r>
          </w:p>
        </w:tc>
        <w:tc>
          <w:tcPr>
            <w:tcW w:w="1078" w:type="dxa"/>
          </w:tcPr>
          <w:p w14:paraId="5B251B2F" w14:textId="77777777" w:rsidR="00DB6E1F" w:rsidRDefault="00F666A6">
            <w:pPr>
              <w:pStyle w:val="TableParagraph"/>
              <w:ind w:left="6"/>
              <w:jc w:val="center"/>
              <w:rPr>
                <w:sz w:val="20"/>
              </w:rPr>
            </w:pPr>
            <w:r>
              <w:rPr>
                <w:w w:val="99"/>
                <w:sz w:val="20"/>
              </w:rPr>
              <w:t>1</w:t>
            </w:r>
          </w:p>
        </w:tc>
        <w:tc>
          <w:tcPr>
            <w:tcW w:w="1080" w:type="dxa"/>
          </w:tcPr>
          <w:p w14:paraId="3990CB5E" w14:textId="77777777" w:rsidR="00DB6E1F" w:rsidRDefault="00F666A6">
            <w:pPr>
              <w:pStyle w:val="TableParagraph"/>
              <w:ind w:left="8"/>
              <w:jc w:val="center"/>
              <w:rPr>
                <w:sz w:val="20"/>
              </w:rPr>
            </w:pPr>
            <w:r>
              <w:rPr>
                <w:w w:val="99"/>
                <w:sz w:val="20"/>
              </w:rPr>
              <w:t>2</w:t>
            </w:r>
          </w:p>
        </w:tc>
        <w:tc>
          <w:tcPr>
            <w:tcW w:w="1082" w:type="dxa"/>
          </w:tcPr>
          <w:p w14:paraId="02D6A134" w14:textId="77777777" w:rsidR="00DB6E1F" w:rsidRDefault="00F666A6">
            <w:pPr>
              <w:pStyle w:val="TableParagraph"/>
              <w:ind w:left="6"/>
              <w:jc w:val="center"/>
              <w:rPr>
                <w:sz w:val="20"/>
              </w:rPr>
            </w:pPr>
            <w:r>
              <w:rPr>
                <w:w w:val="99"/>
                <w:sz w:val="20"/>
              </w:rPr>
              <w:t>3</w:t>
            </w:r>
          </w:p>
        </w:tc>
        <w:tc>
          <w:tcPr>
            <w:tcW w:w="988" w:type="dxa"/>
          </w:tcPr>
          <w:p w14:paraId="7EF30960" w14:textId="77777777" w:rsidR="00DB6E1F" w:rsidRDefault="00F666A6">
            <w:pPr>
              <w:pStyle w:val="TableParagraph"/>
              <w:ind w:left="10"/>
              <w:jc w:val="center"/>
              <w:rPr>
                <w:sz w:val="20"/>
              </w:rPr>
            </w:pPr>
            <w:r>
              <w:rPr>
                <w:w w:val="99"/>
                <w:sz w:val="20"/>
              </w:rPr>
              <w:t>4</w:t>
            </w:r>
          </w:p>
        </w:tc>
        <w:tc>
          <w:tcPr>
            <w:tcW w:w="990" w:type="dxa"/>
          </w:tcPr>
          <w:p w14:paraId="4CBB9EA3" w14:textId="77777777" w:rsidR="00DB6E1F" w:rsidRDefault="00F666A6">
            <w:pPr>
              <w:pStyle w:val="TableParagraph"/>
              <w:ind w:left="10"/>
              <w:jc w:val="center"/>
              <w:rPr>
                <w:sz w:val="20"/>
              </w:rPr>
            </w:pPr>
            <w:r>
              <w:rPr>
                <w:w w:val="99"/>
                <w:sz w:val="20"/>
              </w:rPr>
              <w:t>5</w:t>
            </w:r>
          </w:p>
        </w:tc>
      </w:tr>
      <w:tr w:rsidR="00DB6E1F" w14:paraId="5EA03679" w14:textId="77777777">
        <w:trPr>
          <w:trHeight w:val="527"/>
        </w:trPr>
        <w:tc>
          <w:tcPr>
            <w:tcW w:w="4140" w:type="dxa"/>
          </w:tcPr>
          <w:p w14:paraId="27F8A2A7" w14:textId="77777777" w:rsidR="00DB6E1F" w:rsidRDefault="00F666A6">
            <w:pPr>
              <w:pStyle w:val="TableParagraph"/>
              <w:ind w:left="95"/>
              <w:rPr>
                <w:sz w:val="20"/>
              </w:rPr>
            </w:pPr>
            <w:r>
              <w:rPr>
                <w:color w:val="4D4D4F"/>
                <w:sz w:val="20"/>
              </w:rPr>
              <w:t>11.</w:t>
            </w:r>
            <w:r>
              <w:rPr>
                <w:color w:val="4D4D4F"/>
                <w:spacing w:val="17"/>
                <w:sz w:val="20"/>
              </w:rPr>
              <w:t xml:space="preserve"> </w:t>
            </w:r>
            <w:r>
              <w:rPr>
                <w:sz w:val="20"/>
              </w:rPr>
              <w:t>Drinking</w:t>
            </w:r>
            <w:r>
              <w:rPr>
                <w:spacing w:val="2"/>
                <w:sz w:val="20"/>
              </w:rPr>
              <w:t xml:space="preserve"> </w:t>
            </w:r>
            <w:r>
              <w:rPr>
                <w:sz w:val="20"/>
              </w:rPr>
              <w:t>helps me to</w:t>
            </w:r>
            <w:r>
              <w:rPr>
                <w:spacing w:val="1"/>
                <w:sz w:val="20"/>
              </w:rPr>
              <w:t xml:space="preserve"> </w:t>
            </w:r>
            <w:r>
              <w:rPr>
                <w:sz w:val="20"/>
              </w:rPr>
              <w:t>loosen</w:t>
            </w:r>
            <w:r>
              <w:rPr>
                <w:spacing w:val="3"/>
                <w:sz w:val="20"/>
              </w:rPr>
              <w:t xml:space="preserve"> </w:t>
            </w:r>
            <w:r>
              <w:rPr>
                <w:sz w:val="20"/>
              </w:rPr>
              <w:t>up</w:t>
            </w:r>
            <w:r>
              <w:rPr>
                <w:spacing w:val="2"/>
                <w:sz w:val="20"/>
              </w:rPr>
              <w:t xml:space="preserve"> </w:t>
            </w:r>
            <w:r>
              <w:rPr>
                <w:sz w:val="20"/>
              </w:rPr>
              <w:t>and</w:t>
            </w:r>
            <w:r>
              <w:rPr>
                <w:spacing w:val="2"/>
                <w:sz w:val="20"/>
              </w:rPr>
              <w:t xml:space="preserve"> </w:t>
            </w:r>
            <w:r>
              <w:rPr>
                <w:spacing w:val="-2"/>
                <w:sz w:val="20"/>
              </w:rPr>
              <w:t>express</w:t>
            </w:r>
          </w:p>
          <w:p w14:paraId="0884A6E1" w14:textId="77777777" w:rsidR="00DB6E1F" w:rsidRDefault="00F666A6">
            <w:pPr>
              <w:pStyle w:val="TableParagraph"/>
              <w:spacing w:before="20" w:line="242" w:lineRule="exact"/>
              <w:ind w:left="455"/>
              <w:rPr>
                <w:sz w:val="20"/>
              </w:rPr>
            </w:pPr>
            <w:r>
              <w:rPr>
                <w:spacing w:val="-2"/>
                <w:sz w:val="20"/>
              </w:rPr>
              <w:t>myself.</w:t>
            </w:r>
          </w:p>
        </w:tc>
        <w:tc>
          <w:tcPr>
            <w:tcW w:w="1078" w:type="dxa"/>
          </w:tcPr>
          <w:p w14:paraId="6402C0C8" w14:textId="77777777" w:rsidR="00DB6E1F" w:rsidRDefault="00F666A6">
            <w:pPr>
              <w:pStyle w:val="TableParagraph"/>
              <w:ind w:left="6"/>
              <w:jc w:val="center"/>
              <w:rPr>
                <w:sz w:val="20"/>
              </w:rPr>
            </w:pPr>
            <w:r>
              <w:rPr>
                <w:w w:val="99"/>
                <w:sz w:val="20"/>
              </w:rPr>
              <w:t>1</w:t>
            </w:r>
          </w:p>
        </w:tc>
        <w:tc>
          <w:tcPr>
            <w:tcW w:w="1080" w:type="dxa"/>
          </w:tcPr>
          <w:p w14:paraId="58AA9797" w14:textId="77777777" w:rsidR="00DB6E1F" w:rsidRDefault="00F666A6">
            <w:pPr>
              <w:pStyle w:val="TableParagraph"/>
              <w:ind w:left="8"/>
              <w:jc w:val="center"/>
              <w:rPr>
                <w:sz w:val="20"/>
              </w:rPr>
            </w:pPr>
            <w:r>
              <w:rPr>
                <w:w w:val="99"/>
                <w:sz w:val="20"/>
              </w:rPr>
              <w:t>2</w:t>
            </w:r>
          </w:p>
        </w:tc>
        <w:tc>
          <w:tcPr>
            <w:tcW w:w="1082" w:type="dxa"/>
          </w:tcPr>
          <w:p w14:paraId="23865B04" w14:textId="77777777" w:rsidR="00DB6E1F" w:rsidRDefault="00F666A6">
            <w:pPr>
              <w:pStyle w:val="TableParagraph"/>
              <w:ind w:left="6"/>
              <w:jc w:val="center"/>
              <w:rPr>
                <w:sz w:val="20"/>
              </w:rPr>
            </w:pPr>
            <w:r>
              <w:rPr>
                <w:w w:val="99"/>
                <w:sz w:val="20"/>
              </w:rPr>
              <w:t>3</w:t>
            </w:r>
          </w:p>
        </w:tc>
        <w:tc>
          <w:tcPr>
            <w:tcW w:w="988" w:type="dxa"/>
          </w:tcPr>
          <w:p w14:paraId="745E7627" w14:textId="77777777" w:rsidR="00DB6E1F" w:rsidRDefault="00F666A6">
            <w:pPr>
              <w:pStyle w:val="TableParagraph"/>
              <w:ind w:left="10"/>
              <w:jc w:val="center"/>
              <w:rPr>
                <w:sz w:val="20"/>
              </w:rPr>
            </w:pPr>
            <w:r>
              <w:rPr>
                <w:w w:val="99"/>
                <w:sz w:val="20"/>
              </w:rPr>
              <w:t>4</w:t>
            </w:r>
          </w:p>
        </w:tc>
        <w:tc>
          <w:tcPr>
            <w:tcW w:w="990" w:type="dxa"/>
          </w:tcPr>
          <w:p w14:paraId="66E79DDE" w14:textId="77777777" w:rsidR="00DB6E1F" w:rsidRDefault="00F666A6">
            <w:pPr>
              <w:pStyle w:val="TableParagraph"/>
              <w:ind w:left="10"/>
              <w:jc w:val="center"/>
              <w:rPr>
                <w:sz w:val="20"/>
              </w:rPr>
            </w:pPr>
            <w:r>
              <w:rPr>
                <w:w w:val="99"/>
                <w:sz w:val="20"/>
              </w:rPr>
              <w:t>5</w:t>
            </w:r>
          </w:p>
        </w:tc>
      </w:tr>
      <w:tr w:rsidR="00DB6E1F" w14:paraId="781D999A" w14:textId="77777777">
        <w:trPr>
          <w:trHeight w:val="525"/>
        </w:trPr>
        <w:tc>
          <w:tcPr>
            <w:tcW w:w="4140" w:type="dxa"/>
          </w:tcPr>
          <w:p w14:paraId="43569E38" w14:textId="77777777" w:rsidR="00DB6E1F" w:rsidRDefault="00F666A6">
            <w:pPr>
              <w:pStyle w:val="TableParagraph"/>
              <w:ind w:left="95"/>
              <w:rPr>
                <w:sz w:val="20"/>
              </w:rPr>
            </w:pPr>
            <w:r>
              <w:rPr>
                <w:color w:val="4D4D4F"/>
                <w:sz w:val="20"/>
              </w:rPr>
              <w:t>12.</w:t>
            </w:r>
            <w:r>
              <w:rPr>
                <w:color w:val="4D4D4F"/>
                <w:spacing w:val="17"/>
                <w:sz w:val="20"/>
              </w:rPr>
              <w:t xml:space="preserve"> </w:t>
            </w:r>
            <w:r>
              <w:rPr>
                <w:sz w:val="20"/>
              </w:rPr>
              <w:t>I</w:t>
            </w:r>
            <w:r>
              <w:rPr>
                <w:spacing w:val="2"/>
                <w:sz w:val="20"/>
              </w:rPr>
              <w:t xml:space="preserve"> </w:t>
            </w:r>
            <w:r>
              <w:rPr>
                <w:sz w:val="20"/>
              </w:rPr>
              <w:t>seem to</w:t>
            </w:r>
            <w:r>
              <w:rPr>
                <w:spacing w:val="1"/>
                <w:sz w:val="20"/>
              </w:rPr>
              <w:t xml:space="preserve"> </w:t>
            </w:r>
            <w:r>
              <w:rPr>
                <w:sz w:val="20"/>
              </w:rPr>
              <w:t>get</w:t>
            </w:r>
            <w:r>
              <w:rPr>
                <w:spacing w:val="5"/>
                <w:sz w:val="20"/>
              </w:rPr>
              <w:t xml:space="preserve"> </w:t>
            </w:r>
            <w:r>
              <w:rPr>
                <w:sz w:val="20"/>
              </w:rPr>
              <w:t>myself into</w:t>
            </w:r>
            <w:r>
              <w:rPr>
                <w:spacing w:val="1"/>
                <w:sz w:val="20"/>
              </w:rPr>
              <w:t xml:space="preserve"> </w:t>
            </w:r>
            <w:r>
              <w:rPr>
                <w:sz w:val="20"/>
              </w:rPr>
              <w:t>trouble</w:t>
            </w:r>
            <w:r>
              <w:rPr>
                <w:spacing w:val="1"/>
                <w:sz w:val="20"/>
              </w:rPr>
              <w:t xml:space="preserve"> </w:t>
            </w:r>
            <w:r>
              <w:rPr>
                <w:spacing w:val="-4"/>
                <w:sz w:val="20"/>
              </w:rPr>
              <w:t>when</w:t>
            </w:r>
          </w:p>
          <w:p w14:paraId="6D009126" w14:textId="77777777" w:rsidR="00DB6E1F" w:rsidRDefault="00F666A6">
            <w:pPr>
              <w:pStyle w:val="TableParagraph"/>
              <w:spacing w:before="20" w:line="240" w:lineRule="exact"/>
              <w:ind w:left="455"/>
              <w:rPr>
                <w:sz w:val="20"/>
              </w:rPr>
            </w:pPr>
            <w:r>
              <w:rPr>
                <w:spacing w:val="-2"/>
                <w:sz w:val="20"/>
              </w:rPr>
              <w:t>drinking.</w:t>
            </w:r>
          </w:p>
        </w:tc>
        <w:tc>
          <w:tcPr>
            <w:tcW w:w="1078" w:type="dxa"/>
          </w:tcPr>
          <w:p w14:paraId="49CD5198" w14:textId="77777777" w:rsidR="00DB6E1F" w:rsidRDefault="00F666A6">
            <w:pPr>
              <w:pStyle w:val="TableParagraph"/>
              <w:ind w:left="6"/>
              <w:jc w:val="center"/>
              <w:rPr>
                <w:sz w:val="20"/>
              </w:rPr>
            </w:pPr>
            <w:r>
              <w:rPr>
                <w:w w:val="99"/>
                <w:sz w:val="20"/>
              </w:rPr>
              <w:t>1</w:t>
            </w:r>
          </w:p>
        </w:tc>
        <w:tc>
          <w:tcPr>
            <w:tcW w:w="1080" w:type="dxa"/>
          </w:tcPr>
          <w:p w14:paraId="64C0188C" w14:textId="77777777" w:rsidR="00DB6E1F" w:rsidRDefault="00F666A6">
            <w:pPr>
              <w:pStyle w:val="TableParagraph"/>
              <w:ind w:left="8"/>
              <w:jc w:val="center"/>
              <w:rPr>
                <w:sz w:val="20"/>
              </w:rPr>
            </w:pPr>
            <w:r>
              <w:rPr>
                <w:w w:val="99"/>
                <w:sz w:val="20"/>
              </w:rPr>
              <w:t>2</w:t>
            </w:r>
          </w:p>
        </w:tc>
        <w:tc>
          <w:tcPr>
            <w:tcW w:w="1082" w:type="dxa"/>
          </w:tcPr>
          <w:p w14:paraId="387A9504" w14:textId="77777777" w:rsidR="00DB6E1F" w:rsidRDefault="00F666A6">
            <w:pPr>
              <w:pStyle w:val="TableParagraph"/>
              <w:ind w:left="6"/>
              <w:jc w:val="center"/>
              <w:rPr>
                <w:sz w:val="20"/>
              </w:rPr>
            </w:pPr>
            <w:r>
              <w:rPr>
                <w:w w:val="99"/>
                <w:sz w:val="20"/>
              </w:rPr>
              <w:t>3</w:t>
            </w:r>
          </w:p>
        </w:tc>
        <w:tc>
          <w:tcPr>
            <w:tcW w:w="988" w:type="dxa"/>
          </w:tcPr>
          <w:p w14:paraId="51B39258" w14:textId="77777777" w:rsidR="00DB6E1F" w:rsidRDefault="00F666A6">
            <w:pPr>
              <w:pStyle w:val="TableParagraph"/>
              <w:ind w:left="10"/>
              <w:jc w:val="center"/>
              <w:rPr>
                <w:sz w:val="20"/>
              </w:rPr>
            </w:pPr>
            <w:r>
              <w:rPr>
                <w:w w:val="99"/>
                <w:sz w:val="20"/>
              </w:rPr>
              <w:t>4</w:t>
            </w:r>
          </w:p>
        </w:tc>
        <w:tc>
          <w:tcPr>
            <w:tcW w:w="990" w:type="dxa"/>
          </w:tcPr>
          <w:p w14:paraId="71021647" w14:textId="77777777" w:rsidR="00DB6E1F" w:rsidRDefault="00F666A6">
            <w:pPr>
              <w:pStyle w:val="TableParagraph"/>
              <w:ind w:left="10"/>
              <w:jc w:val="center"/>
              <w:rPr>
                <w:sz w:val="20"/>
              </w:rPr>
            </w:pPr>
            <w:r>
              <w:rPr>
                <w:w w:val="99"/>
                <w:sz w:val="20"/>
              </w:rPr>
              <w:t>5</w:t>
            </w:r>
          </w:p>
        </w:tc>
      </w:tr>
      <w:tr w:rsidR="00DB6E1F" w14:paraId="4983B184" w14:textId="77777777">
        <w:trPr>
          <w:trHeight w:val="527"/>
        </w:trPr>
        <w:tc>
          <w:tcPr>
            <w:tcW w:w="4140" w:type="dxa"/>
          </w:tcPr>
          <w:p w14:paraId="229A93DF" w14:textId="77777777" w:rsidR="00DB6E1F" w:rsidRDefault="00F666A6">
            <w:pPr>
              <w:pStyle w:val="TableParagraph"/>
              <w:spacing w:before="3"/>
              <w:ind w:left="95"/>
              <w:rPr>
                <w:sz w:val="20"/>
              </w:rPr>
            </w:pPr>
            <w:r>
              <w:rPr>
                <w:color w:val="4D4D4F"/>
                <w:sz w:val="20"/>
              </w:rPr>
              <w:t>13.</w:t>
            </w:r>
            <w:r>
              <w:rPr>
                <w:color w:val="4D4D4F"/>
                <w:spacing w:val="15"/>
                <w:sz w:val="20"/>
              </w:rPr>
              <w:t xml:space="preserve"> </w:t>
            </w:r>
            <w:r>
              <w:rPr>
                <w:sz w:val="20"/>
              </w:rPr>
              <w:t>I</w:t>
            </w:r>
            <w:r>
              <w:rPr>
                <w:spacing w:val="-1"/>
                <w:sz w:val="20"/>
              </w:rPr>
              <w:t xml:space="preserve"> </w:t>
            </w:r>
            <w:r>
              <w:rPr>
                <w:sz w:val="20"/>
              </w:rPr>
              <w:t>could</w:t>
            </w:r>
            <w:r>
              <w:rPr>
                <w:spacing w:val="1"/>
                <w:sz w:val="20"/>
              </w:rPr>
              <w:t xml:space="preserve"> </w:t>
            </w:r>
            <w:r>
              <w:rPr>
                <w:sz w:val="20"/>
              </w:rPr>
              <w:t>accidentally hurt</w:t>
            </w:r>
            <w:r>
              <w:rPr>
                <w:spacing w:val="-1"/>
                <w:sz w:val="20"/>
              </w:rPr>
              <w:t xml:space="preserve"> </w:t>
            </w:r>
            <w:r>
              <w:rPr>
                <w:sz w:val="20"/>
              </w:rPr>
              <w:t>someone</w:t>
            </w:r>
            <w:r>
              <w:rPr>
                <w:spacing w:val="-1"/>
                <w:sz w:val="20"/>
              </w:rPr>
              <w:t xml:space="preserve"> </w:t>
            </w:r>
            <w:r>
              <w:rPr>
                <w:sz w:val="20"/>
              </w:rPr>
              <w:t>because</w:t>
            </w:r>
            <w:r>
              <w:rPr>
                <w:spacing w:val="-2"/>
                <w:sz w:val="20"/>
              </w:rPr>
              <w:t xml:space="preserve"> </w:t>
            </w:r>
            <w:r>
              <w:rPr>
                <w:spacing w:val="-5"/>
                <w:sz w:val="20"/>
              </w:rPr>
              <w:t>of</w:t>
            </w:r>
          </w:p>
          <w:p w14:paraId="1F278D48" w14:textId="77777777" w:rsidR="00DB6E1F" w:rsidRDefault="00F666A6">
            <w:pPr>
              <w:pStyle w:val="TableParagraph"/>
              <w:spacing w:before="18" w:line="242" w:lineRule="exact"/>
              <w:ind w:left="455"/>
              <w:rPr>
                <w:sz w:val="20"/>
              </w:rPr>
            </w:pPr>
            <w:r>
              <w:rPr>
                <w:sz w:val="20"/>
              </w:rPr>
              <w:t>my</w:t>
            </w:r>
            <w:r>
              <w:rPr>
                <w:spacing w:val="-3"/>
                <w:sz w:val="20"/>
              </w:rPr>
              <w:t xml:space="preserve"> </w:t>
            </w:r>
            <w:r>
              <w:rPr>
                <w:spacing w:val="-2"/>
                <w:sz w:val="20"/>
              </w:rPr>
              <w:t>drinking.</w:t>
            </w:r>
          </w:p>
        </w:tc>
        <w:tc>
          <w:tcPr>
            <w:tcW w:w="1078" w:type="dxa"/>
          </w:tcPr>
          <w:p w14:paraId="4B63D0A2" w14:textId="77777777" w:rsidR="00DB6E1F" w:rsidRDefault="00F666A6">
            <w:pPr>
              <w:pStyle w:val="TableParagraph"/>
              <w:spacing w:before="3"/>
              <w:ind w:left="6"/>
              <w:jc w:val="center"/>
              <w:rPr>
                <w:sz w:val="20"/>
              </w:rPr>
            </w:pPr>
            <w:r>
              <w:rPr>
                <w:w w:val="99"/>
                <w:sz w:val="20"/>
              </w:rPr>
              <w:t>1</w:t>
            </w:r>
          </w:p>
        </w:tc>
        <w:tc>
          <w:tcPr>
            <w:tcW w:w="1080" w:type="dxa"/>
          </w:tcPr>
          <w:p w14:paraId="4F47A9A6" w14:textId="77777777" w:rsidR="00DB6E1F" w:rsidRDefault="00F666A6">
            <w:pPr>
              <w:pStyle w:val="TableParagraph"/>
              <w:spacing w:before="3"/>
              <w:ind w:left="8"/>
              <w:jc w:val="center"/>
              <w:rPr>
                <w:sz w:val="20"/>
              </w:rPr>
            </w:pPr>
            <w:r>
              <w:rPr>
                <w:w w:val="99"/>
                <w:sz w:val="20"/>
              </w:rPr>
              <w:t>2</w:t>
            </w:r>
          </w:p>
        </w:tc>
        <w:tc>
          <w:tcPr>
            <w:tcW w:w="1082" w:type="dxa"/>
          </w:tcPr>
          <w:p w14:paraId="0B441422" w14:textId="77777777" w:rsidR="00DB6E1F" w:rsidRDefault="00F666A6">
            <w:pPr>
              <w:pStyle w:val="TableParagraph"/>
              <w:spacing w:before="3"/>
              <w:ind w:left="6"/>
              <w:jc w:val="center"/>
              <w:rPr>
                <w:sz w:val="20"/>
              </w:rPr>
            </w:pPr>
            <w:r>
              <w:rPr>
                <w:w w:val="99"/>
                <w:sz w:val="20"/>
              </w:rPr>
              <w:t>3</w:t>
            </w:r>
          </w:p>
        </w:tc>
        <w:tc>
          <w:tcPr>
            <w:tcW w:w="988" w:type="dxa"/>
          </w:tcPr>
          <w:p w14:paraId="4DC51320" w14:textId="77777777" w:rsidR="00DB6E1F" w:rsidRDefault="00F666A6">
            <w:pPr>
              <w:pStyle w:val="TableParagraph"/>
              <w:spacing w:before="3"/>
              <w:ind w:left="10"/>
              <w:jc w:val="center"/>
              <w:rPr>
                <w:sz w:val="20"/>
              </w:rPr>
            </w:pPr>
            <w:r>
              <w:rPr>
                <w:w w:val="99"/>
                <w:sz w:val="20"/>
              </w:rPr>
              <w:t>4</w:t>
            </w:r>
          </w:p>
        </w:tc>
        <w:tc>
          <w:tcPr>
            <w:tcW w:w="990" w:type="dxa"/>
          </w:tcPr>
          <w:p w14:paraId="1C7B8400" w14:textId="77777777" w:rsidR="00DB6E1F" w:rsidRDefault="00F666A6">
            <w:pPr>
              <w:pStyle w:val="TableParagraph"/>
              <w:spacing w:before="3"/>
              <w:ind w:left="10"/>
              <w:jc w:val="center"/>
              <w:rPr>
                <w:sz w:val="20"/>
              </w:rPr>
            </w:pPr>
            <w:r>
              <w:rPr>
                <w:w w:val="99"/>
                <w:sz w:val="20"/>
              </w:rPr>
              <w:t>5</w:t>
            </w:r>
          </w:p>
        </w:tc>
      </w:tr>
      <w:tr w:rsidR="00DB6E1F" w14:paraId="7F305135" w14:textId="77777777">
        <w:trPr>
          <w:trHeight w:val="527"/>
        </w:trPr>
        <w:tc>
          <w:tcPr>
            <w:tcW w:w="4140" w:type="dxa"/>
          </w:tcPr>
          <w:p w14:paraId="5C3DF3A9" w14:textId="77777777" w:rsidR="00DB6E1F" w:rsidRDefault="00F666A6">
            <w:pPr>
              <w:pStyle w:val="TableParagraph"/>
              <w:ind w:left="95"/>
              <w:rPr>
                <w:sz w:val="20"/>
              </w:rPr>
            </w:pPr>
            <w:r>
              <w:rPr>
                <w:color w:val="4D4D4F"/>
                <w:sz w:val="20"/>
              </w:rPr>
              <w:t>14.</w:t>
            </w:r>
            <w:r>
              <w:rPr>
                <w:color w:val="4D4D4F"/>
                <w:spacing w:val="17"/>
                <w:sz w:val="20"/>
              </w:rPr>
              <w:t xml:space="preserve"> </w:t>
            </w:r>
            <w:r>
              <w:rPr>
                <w:sz w:val="20"/>
              </w:rPr>
              <w:t>Not</w:t>
            </w:r>
            <w:r>
              <w:rPr>
                <w:spacing w:val="2"/>
                <w:sz w:val="20"/>
              </w:rPr>
              <w:t xml:space="preserve"> </w:t>
            </w:r>
            <w:r>
              <w:rPr>
                <w:sz w:val="20"/>
              </w:rPr>
              <w:t>drinking</w:t>
            </w:r>
            <w:r>
              <w:rPr>
                <w:spacing w:val="1"/>
                <w:sz w:val="20"/>
              </w:rPr>
              <w:t xml:space="preserve"> </w:t>
            </w:r>
            <w:r>
              <w:rPr>
                <w:sz w:val="20"/>
              </w:rPr>
              <w:t>at</w:t>
            </w:r>
            <w:r>
              <w:rPr>
                <w:spacing w:val="1"/>
                <w:sz w:val="20"/>
              </w:rPr>
              <w:t xml:space="preserve"> </w:t>
            </w:r>
            <w:r>
              <w:rPr>
                <w:sz w:val="20"/>
              </w:rPr>
              <w:t>a</w:t>
            </w:r>
            <w:r>
              <w:rPr>
                <w:spacing w:val="2"/>
                <w:sz w:val="20"/>
              </w:rPr>
              <w:t xml:space="preserve"> </w:t>
            </w:r>
            <w:r>
              <w:rPr>
                <w:sz w:val="20"/>
              </w:rPr>
              <w:t>social</w:t>
            </w:r>
            <w:r>
              <w:rPr>
                <w:spacing w:val="2"/>
                <w:sz w:val="20"/>
              </w:rPr>
              <w:t xml:space="preserve"> </w:t>
            </w:r>
            <w:r>
              <w:rPr>
                <w:sz w:val="20"/>
              </w:rPr>
              <w:t>gathering</w:t>
            </w:r>
            <w:r>
              <w:rPr>
                <w:spacing w:val="1"/>
                <w:sz w:val="20"/>
              </w:rPr>
              <w:t xml:space="preserve"> </w:t>
            </w:r>
            <w:r>
              <w:rPr>
                <w:spacing w:val="-4"/>
                <w:sz w:val="20"/>
              </w:rPr>
              <w:t>would</w:t>
            </w:r>
          </w:p>
          <w:p w14:paraId="4FB98B03" w14:textId="77777777" w:rsidR="00DB6E1F" w:rsidRDefault="00F666A6">
            <w:pPr>
              <w:pStyle w:val="TableParagraph"/>
              <w:spacing w:before="20" w:line="242" w:lineRule="exact"/>
              <w:ind w:left="455"/>
              <w:rPr>
                <w:sz w:val="20"/>
              </w:rPr>
            </w:pPr>
            <w:r>
              <w:rPr>
                <w:sz w:val="20"/>
              </w:rPr>
              <w:t>make</w:t>
            </w:r>
            <w:r>
              <w:rPr>
                <w:spacing w:val="-5"/>
                <w:sz w:val="20"/>
              </w:rPr>
              <w:t xml:space="preserve"> </w:t>
            </w:r>
            <w:r>
              <w:rPr>
                <w:sz w:val="20"/>
              </w:rPr>
              <w:t>me</w:t>
            </w:r>
            <w:r>
              <w:rPr>
                <w:spacing w:val="-4"/>
                <w:sz w:val="20"/>
              </w:rPr>
              <w:t xml:space="preserve"> </w:t>
            </w:r>
            <w:r>
              <w:rPr>
                <w:sz w:val="20"/>
              </w:rPr>
              <w:t>feel</w:t>
            </w:r>
            <w:r>
              <w:rPr>
                <w:spacing w:val="-4"/>
                <w:sz w:val="20"/>
              </w:rPr>
              <w:t xml:space="preserve"> </w:t>
            </w:r>
            <w:r>
              <w:rPr>
                <w:sz w:val="20"/>
              </w:rPr>
              <w:t>too</w:t>
            </w:r>
            <w:r>
              <w:rPr>
                <w:spacing w:val="-3"/>
                <w:sz w:val="20"/>
              </w:rPr>
              <w:t xml:space="preserve"> </w:t>
            </w:r>
            <w:r>
              <w:rPr>
                <w:spacing w:val="-2"/>
                <w:sz w:val="20"/>
              </w:rPr>
              <w:t>different.</w:t>
            </w:r>
          </w:p>
        </w:tc>
        <w:tc>
          <w:tcPr>
            <w:tcW w:w="1078" w:type="dxa"/>
          </w:tcPr>
          <w:p w14:paraId="1C16CC28" w14:textId="77777777" w:rsidR="00DB6E1F" w:rsidRDefault="00F666A6">
            <w:pPr>
              <w:pStyle w:val="TableParagraph"/>
              <w:ind w:left="6"/>
              <w:jc w:val="center"/>
              <w:rPr>
                <w:sz w:val="20"/>
              </w:rPr>
            </w:pPr>
            <w:r>
              <w:rPr>
                <w:w w:val="99"/>
                <w:sz w:val="20"/>
              </w:rPr>
              <w:t>1</w:t>
            </w:r>
          </w:p>
        </w:tc>
        <w:tc>
          <w:tcPr>
            <w:tcW w:w="1080" w:type="dxa"/>
          </w:tcPr>
          <w:p w14:paraId="31A2DABF" w14:textId="77777777" w:rsidR="00DB6E1F" w:rsidRDefault="00F666A6">
            <w:pPr>
              <w:pStyle w:val="TableParagraph"/>
              <w:ind w:left="8"/>
              <w:jc w:val="center"/>
              <w:rPr>
                <w:sz w:val="20"/>
              </w:rPr>
            </w:pPr>
            <w:r>
              <w:rPr>
                <w:w w:val="99"/>
                <w:sz w:val="20"/>
              </w:rPr>
              <w:t>2</w:t>
            </w:r>
          </w:p>
        </w:tc>
        <w:tc>
          <w:tcPr>
            <w:tcW w:w="1082" w:type="dxa"/>
          </w:tcPr>
          <w:p w14:paraId="4FAE9E6A" w14:textId="77777777" w:rsidR="00DB6E1F" w:rsidRDefault="00F666A6">
            <w:pPr>
              <w:pStyle w:val="TableParagraph"/>
              <w:ind w:left="6"/>
              <w:jc w:val="center"/>
              <w:rPr>
                <w:sz w:val="20"/>
              </w:rPr>
            </w:pPr>
            <w:r>
              <w:rPr>
                <w:w w:val="99"/>
                <w:sz w:val="20"/>
              </w:rPr>
              <w:t>3</w:t>
            </w:r>
          </w:p>
        </w:tc>
        <w:tc>
          <w:tcPr>
            <w:tcW w:w="988" w:type="dxa"/>
          </w:tcPr>
          <w:p w14:paraId="790017DB" w14:textId="77777777" w:rsidR="00DB6E1F" w:rsidRDefault="00F666A6">
            <w:pPr>
              <w:pStyle w:val="TableParagraph"/>
              <w:ind w:left="10"/>
              <w:jc w:val="center"/>
              <w:rPr>
                <w:sz w:val="20"/>
              </w:rPr>
            </w:pPr>
            <w:r>
              <w:rPr>
                <w:w w:val="99"/>
                <w:sz w:val="20"/>
              </w:rPr>
              <w:t>4</w:t>
            </w:r>
          </w:p>
        </w:tc>
        <w:tc>
          <w:tcPr>
            <w:tcW w:w="990" w:type="dxa"/>
          </w:tcPr>
          <w:p w14:paraId="13A0141D" w14:textId="77777777" w:rsidR="00DB6E1F" w:rsidRDefault="00F666A6">
            <w:pPr>
              <w:pStyle w:val="TableParagraph"/>
              <w:ind w:left="10"/>
              <w:jc w:val="center"/>
              <w:rPr>
                <w:sz w:val="20"/>
              </w:rPr>
            </w:pPr>
            <w:r>
              <w:rPr>
                <w:w w:val="99"/>
                <w:sz w:val="20"/>
              </w:rPr>
              <w:t>5</w:t>
            </w:r>
          </w:p>
        </w:tc>
      </w:tr>
      <w:tr w:rsidR="00DB6E1F" w14:paraId="0F9F2830" w14:textId="77777777">
        <w:trPr>
          <w:trHeight w:val="789"/>
        </w:trPr>
        <w:tc>
          <w:tcPr>
            <w:tcW w:w="4140" w:type="dxa"/>
          </w:tcPr>
          <w:p w14:paraId="7BA852B0" w14:textId="77777777" w:rsidR="00DB6E1F" w:rsidRDefault="00F666A6">
            <w:pPr>
              <w:pStyle w:val="TableParagraph"/>
              <w:ind w:left="95"/>
              <w:rPr>
                <w:sz w:val="20"/>
              </w:rPr>
            </w:pPr>
            <w:r>
              <w:rPr>
                <w:color w:val="4D4D4F"/>
                <w:sz w:val="20"/>
              </w:rPr>
              <w:t>15.</w:t>
            </w:r>
            <w:r>
              <w:rPr>
                <w:color w:val="4D4D4F"/>
                <w:spacing w:val="17"/>
                <w:sz w:val="20"/>
              </w:rPr>
              <w:t xml:space="preserve"> </w:t>
            </w:r>
            <w:r>
              <w:rPr>
                <w:sz w:val="20"/>
              </w:rPr>
              <w:t>I</w:t>
            </w:r>
            <w:r>
              <w:rPr>
                <w:spacing w:val="1"/>
                <w:sz w:val="20"/>
              </w:rPr>
              <w:t xml:space="preserve"> </w:t>
            </w:r>
            <w:r>
              <w:rPr>
                <w:sz w:val="20"/>
              </w:rPr>
              <w:t>am losing</w:t>
            </w:r>
            <w:r>
              <w:rPr>
                <w:spacing w:val="1"/>
                <w:sz w:val="20"/>
              </w:rPr>
              <w:t xml:space="preserve"> </w:t>
            </w:r>
            <w:r>
              <w:rPr>
                <w:sz w:val="20"/>
              </w:rPr>
              <w:t>the trust and</w:t>
            </w:r>
            <w:r>
              <w:rPr>
                <w:spacing w:val="2"/>
                <w:sz w:val="20"/>
              </w:rPr>
              <w:t xml:space="preserve"> </w:t>
            </w:r>
            <w:r>
              <w:rPr>
                <w:sz w:val="20"/>
              </w:rPr>
              <w:t>respect</w:t>
            </w:r>
            <w:r>
              <w:rPr>
                <w:spacing w:val="1"/>
                <w:sz w:val="20"/>
              </w:rPr>
              <w:t xml:space="preserve"> </w:t>
            </w:r>
            <w:r>
              <w:rPr>
                <w:sz w:val="20"/>
              </w:rPr>
              <w:t xml:space="preserve">of </w:t>
            </w:r>
            <w:r>
              <w:rPr>
                <w:spacing w:val="-5"/>
                <w:sz w:val="20"/>
              </w:rPr>
              <w:t>my</w:t>
            </w:r>
          </w:p>
          <w:p w14:paraId="037934A2" w14:textId="77777777" w:rsidR="00DB6E1F" w:rsidRDefault="00F666A6">
            <w:pPr>
              <w:pStyle w:val="TableParagraph"/>
              <w:spacing w:before="4" w:line="260" w:lineRule="atLeast"/>
              <w:ind w:left="455"/>
              <w:rPr>
                <w:sz w:val="20"/>
              </w:rPr>
            </w:pPr>
            <w:r>
              <w:rPr>
                <w:sz w:val="20"/>
              </w:rPr>
              <w:t>coworkers</w:t>
            </w:r>
            <w:r>
              <w:rPr>
                <w:spacing w:val="-9"/>
                <w:sz w:val="20"/>
              </w:rPr>
              <w:t xml:space="preserve"> </w:t>
            </w:r>
            <w:r>
              <w:rPr>
                <w:sz w:val="20"/>
              </w:rPr>
              <w:t>and/or</w:t>
            </w:r>
            <w:r>
              <w:rPr>
                <w:spacing w:val="-8"/>
                <w:sz w:val="20"/>
              </w:rPr>
              <w:t xml:space="preserve"> </w:t>
            </w:r>
            <w:r>
              <w:rPr>
                <w:sz w:val="20"/>
              </w:rPr>
              <w:t>spouse</w:t>
            </w:r>
            <w:r>
              <w:rPr>
                <w:spacing w:val="-9"/>
                <w:sz w:val="20"/>
              </w:rPr>
              <w:t xml:space="preserve"> </w:t>
            </w:r>
            <w:r>
              <w:rPr>
                <w:sz w:val="20"/>
              </w:rPr>
              <w:t>because</w:t>
            </w:r>
            <w:r>
              <w:rPr>
                <w:spacing w:val="-9"/>
                <w:sz w:val="20"/>
              </w:rPr>
              <w:t xml:space="preserve"> </w:t>
            </w:r>
            <w:r>
              <w:rPr>
                <w:sz w:val="20"/>
              </w:rPr>
              <w:t>of</w:t>
            </w:r>
            <w:r>
              <w:rPr>
                <w:spacing w:val="-9"/>
                <w:sz w:val="20"/>
              </w:rPr>
              <w:t xml:space="preserve"> </w:t>
            </w:r>
            <w:r>
              <w:rPr>
                <w:sz w:val="20"/>
              </w:rPr>
              <w:t xml:space="preserve">my </w:t>
            </w:r>
            <w:r>
              <w:rPr>
                <w:spacing w:val="-2"/>
                <w:sz w:val="20"/>
              </w:rPr>
              <w:t>drinking.</w:t>
            </w:r>
          </w:p>
        </w:tc>
        <w:tc>
          <w:tcPr>
            <w:tcW w:w="1078" w:type="dxa"/>
          </w:tcPr>
          <w:p w14:paraId="5BE4E6B8" w14:textId="77777777" w:rsidR="00DB6E1F" w:rsidRDefault="00F666A6">
            <w:pPr>
              <w:pStyle w:val="TableParagraph"/>
              <w:ind w:left="6"/>
              <w:jc w:val="center"/>
              <w:rPr>
                <w:sz w:val="20"/>
              </w:rPr>
            </w:pPr>
            <w:r>
              <w:rPr>
                <w:w w:val="99"/>
                <w:sz w:val="20"/>
              </w:rPr>
              <w:t>1</w:t>
            </w:r>
          </w:p>
        </w:tc>
        <w:tc>
          <w:tcPr>
            <w:tcW w:w="1080" w:type="dxa"/>
          </w:tcPr>
          <w:p w14:paraId="7773FFB3" w14:textId="77777777" w:rsidR="00DB6E1F" w:rsidRDefault="00F666A6">
            <w:pPr>
              <w:pStyle w:val="TableParagraph"/>
              <w:ind w:left="8"/>
              <w:jc w:val="center"/>
              <w:rPr>
                <w:sz w:val="20"/>
              </w:rPr>
            </w:pPr>
            <w:r>
              <w:rPr>
                <w:w w:val="99"/>
                <w:sz w:val="20"/>
              </w:rPr>
              <w:t>2</w:t>
            </w:r>
          </w:p>
        </w:tc>
        <w:tc>
          <w:tcPr>
            <w:tcW w:w="1082" w:type="dxa"/>
          </w:tcPr>
          <w:p w14:paraId="38257495" w14:textId="77777777" w:rsidR="00DB6E1F" w:rsidRDefault="00F666A6">
            <w:pPr>
              <w:pStyle w:val="TableParagraph"/>
              <w:ind w:left="6"/>
              <w:jc w:val="center"/>
              <w:rPr>
                <w:sz w:val="20"/>
              </w:rPr>
            </w:pPr>
            <w:r>
              <w:rPr>
                <w:w w:val="99"/>
                <w:sz w:val="20"/>
              </w:rPr>
              <w:t>3</w:t>
            </w:r>
          </w:p>
        </w:tc>
        <w:tc>
          <w:tcPr>
            <w:tcW w:w="988" w:type="dxa"/>
          </w:tcPr>
          <w:p w14:paraId="0FF64A07" w14:textId="77777777" w:rsidR="00DB6E1F" w:rsidRDefault="00F666A6">
            <w:pPr>
              <w:pStyle w:val="TableParagraph"/>
              <w:ind w:left="10"/>
              <w:jc w:val="center"/>
              <w:rPr>
                <w:sz w:val="20"/>
              </w:rPr>
            </w:pPr>
            <w:r>
              <w:rPr>
                <w:w w:val="99"/>
                <w:sz w:val="20"/>
              </w:rPr>
              <w:t>4</w:t>
            </w:r>
          </w:p>
        </w:tc>
        <w:tc>
          <w:tcPr>
            <w:tcW w:w="990" w:type="dxa"/>
          </w:tcPr>
          <w:p w14:paraId="7682B679" w14:textId="77777777" w:rsidR="00DB6E1F" w:rsidRDefault="00F666A6">
            <w:pPr>
              <w:pStyle w:val="TableParagraph"/>
              <w:ind w:left="10"/>
              <w:jc w:val="center"/>
              <w:rPr>
                <w:sz w:val="20"/>
              </w:rPr>
            </w:pPr>
            <w:r>
              <w:rPr>
                <w:w w:val="99"/>
                <w:sz w:val="20"/>
              </w:rPr>
              <w:t>5</w:t>
            </w:r>
          </w:p>
        </w:tc>
      </w:tr>
      <w:tr w:rsidR="00DB6E1F" w14:paraId="4226FB59" w14:textId="77777777">
        <w:trPr>
          <w:trHeight w:val="527"/>
        </w:trPr>
        <w:tc>
          <w:tcPr>
            <w:tcW w:w="4140" w:type="dxa"/>
          </w:tcPr>
          <w:p w14:paraId="67D56006" w14:textId="77777777" w:rsidR="00DB6E1F" w:rsidRDefault="00F666A6">
            <w:pPr>
              <w:pStyle w:val="TableParagraph"/>
              <w:spacing w:before="3"/>
              <w:ind w:left="95"/>
              <w:rPr>
                <w:sz w:val="20"/>
              </w:rPr>
            </w:pPr>
            <w:r>
              <w:rPr>
                <w:color w:val="4D4D4F"/>
                <w:sz w:val="20"/>
              </w:rPr>
              <w:t>16.</w:t>
            </w:r>
            <w:r>
              <w:rPr>
                <w:color w:val="4D4D4F"/>
                <w:spacing w:val="17"/>
                <w:sz w:val="20"/>
              </w:rPr>
              <w:t xml:space="preserve"> </w:t>
            </w:r>
            <w:r>
              <w:rPr>
                <w:sz w:val="20"/>
              </w:rPr>
              <w:t>My</w:t>
            </w:r>
            <w:r>
              <w:rPr>
                <w:spacing w:val="2"/>
                <w:sz w:val="20"/>
              </w:rPr>
              <w:t xml:space="preserve"> </w:t>
            </w:r>
            <w:r>
              <w:rPr>
                <w:sz w:val="20"/>
              </w:rPr>
              <w:t>drinking</w:t>
            </w:r>
            <w:r>
              <w:rPr>
                <w:spacing w:val="1"/>
                <w:sz w:val="20"/>
              </w:rPr>
              <w:t xml:space="preserve"> </w:t>
            </w:r>
            <w:r>
              <w:rPr>
                <w:sz w:val="20"/>
              </w:rPr>
              <w:t>helps give</w:t>
            </w:r>
            <w:r>
              <w:rPr>
                <w:spacing w:val="3"/>
                <w:sz w:val="20"/>
              </w:rPr>
              <w:t xml:space="preserve"> </w:t>
            </w:r>
            <w:r>
              <w:rPr>
                <w:sz w:val="20"/>
              </w:rPr>
              <w:t>me</w:t>
            </w:r>
            <w:r>
              <w:rPr>
                <w:spacing w:val="3"/>
                <w:sz w:val="20"/>
              </w:rPr>
              <w:t xml:space="preserve"> </w:t>
            </w:r>
            <w:r>
              <w:rPr>
                <w:sz w:val="20"/>
              </w:rPr>
              <w:t>energy</w:t>
            </w:r>
            <w:r>
              <w:rPr>
                <w:spacing w:val="2"/>
                <w:sz w:val="20"/>
              </w:rPr>
              <w:t xml:space="preserve"> </w:t>
            </w:r>
            <w:r>
              <w:rPr>
                <w:sz w:val="20"/>
              </w:rPr>
              <w:t>and</w:t>
            </w:r>
            <w:r>
              <w:rPr>
                <w:spacing w:val="2"/>
                <w:sz w:val="20"/>
              </w:rPr>
              <w:t xml:space="preserve"> </w:t>
            </w:r>
            <w:r>
              <w:rPr>
                <w:spacing w:val="-4"/>
                <w:sz w:val="20"/>
              </w:rPr>
              <w:t>keeps</w:t>
            </w:r>
          </w:p>
          <w:p w14:paraId="7FD1B4EC" w14:textId="77777777" w:rsidR="00DB6E1F" w:rsidRDefault="00F666A6">
            <w:pPr>
              <w:pStyle w:val="TableParagraph"/>
              <w:spacing w:before="18" w:line="242" w:lineRule="exact"/>
              <w:ind w:left="455"/>
              <w:rPr>
                <w:sz w:val="20"/>
              </w:rPr>
            </w:pPr>
            <w:r>
              <w:rPr>
                <w:sz w:val="20"/>
              </w:rPr>
              <w:t>me</w:t>
            </w:r>
            <w:r>
              <w:rPr>
                <w:spacing w:val="-5"/>
                <w:sz w:val="20"/>
              </w:rPr>
              <w:t xml:space="preserve"> </w:t>
            </w:r>
            <w:r>
              <w:rPr>
                <w:spacing w:val="-2"/>
                <w:sz w:val="20"/>
              </w:rPr>
              <w:t>going.</w:t>
            </w:r>
          </w:p>
        </w:tc>
        <w:tc>
          <w:tcPr>
            <w:tcW w:w="1078" w:type="dxa"/>
          </w:tcPr>
          <w:p w14:paraId="2B16AD68" w14:textId="77777777" w:rsidR="00DB6E1F" w:rsidRDefault="00F666A6">
            <w:pPr>
              <w:pStyle w:val="TableParagraph"/>
              <w:spacing w:before="3"/>
              <w:ind w:left="6"/>
              <w:jc w:val="center"/>
              <w:rPr>
                <w:sz w:val="20"/>
              </w:rPr>
            </w:pPr>
            <w:r>
              <w:rPr>
                <w:w w:val="99"/>
                <w:sz w:val="20"/>
              </w:rPr>
              <w:t>1</w:t>
            </w:r>
          </w:p>
        </w:tc>
        <w:tc>
          <w:tcPr>
            <w:tcW w:w="1080" w:type="dxa"/>
          </w:tcPr>
          <w:p w14:paraId="2007495F" w14:textId="77777777" w:rsidR="00DB6E1F" w:rsidRDefault="00F666A6">
            <w:pPr>
              <w:pStyle w:val="TableParagraph"/>
              <w:spacing w:before="3"/>
              <w:ind w:left="8"/>
              <w:jc w:val="center"/>
              <w:rPr>
                <w:sz w:val="20"/>
              </w:rPr>
            </w:pPr>
            <w:r>
              <w:rPr>
                <w:w w:val="99"/>
                <w:sz w:val="20"/>
              </w:rPr>
              <w:t>2</w:t>
            </w:r>
          </w:p>
        </w:tc>
        <w:tc>
          <w:tcPr>
            <w:tcW w:w="1082" w:type="dxa"/>
          </w:tcPr>
          <w:p w14:paraId="52968C24" w14:textId="77777777" w:rsidR="00DB6E1F" w:rsidRDefault="00F666A6">
            <w:pPr>
              <w:pStyle w:val="TableParagraph"/>
              <w:spacing w:before="3"/>
              <w:ind w:left="6"/>
              <w:jc w:val="center"/>
              <w:rPr>
                <w:sz w:val="20"/>
              </w:rPr>
            </w:pPr>
            <w:r>
              <w:rPr>
                <w:w w:val="99"/>
                <w:sz w:val="20"/>
              </w:rPr>
              <w:t>3</w:t>
            </w:r>
          </w:p>
        </w:tc>
        <w:tc>
          <w:tcPr>
            <w:tcW w:w="988" w:type="dxa"/>
          </w:tcPr>
          <w:p w14:paraId="748B179E" w14:textId="77777777" w:rsidR="00DB6E1F" w:rsidRDefault="00F666A6">
            <w:pPr>
              <w:pStyle w:val="TableParagraph"/>
              <w:spacing w:before="3"/>
              <w:ind w:left="10"/>
              <w:jc w:val="center"/>
              <w:rPr>
                <w:sz w:val="20"/>
              </w:rPr>
            </w:pPr>
            <w:r>
              <w:rPr>
                <w:w w:val="99"/>
                <w:sz w:val="20"/>
              </w:rPr>
              <w:t>4</w:t>
            </w:r>
          </w:p>
        </w:tc>
        <w:tc>
          <w:tcPr>
            <w:tcW w:w="990" w:type="dxa"/>
          </w:tcPr>
          <w:p w14:paraId="171600BC" w14:textId="77777777" w:rsidR="00DB6E1F" w:rsidRDefault="00F666A6">
            <w:pPr>
              <w:pStyle w:val="TableParagraph"/>
              <w:spacing w:before="3"/>
              <w:ind w:left="10"/>
              <w:jc w:val="center"/>
              <w:rPr>
                <w:sz w:val="20"/>
              </w:rPr>
            </w:pPr>
            <w:r>
              <w:rPr>
                <w:w w:val="99"/>
                <w:sz w:val="20"/>
              </w:rPr>
              <w:t>5</w:t>
            </w:r>
          </w:p>
        </w:tc>
      </w:tr>
      <w:tr w:rsidR="00DB6E1F" w14:paraId="4C580DB8" w14:textId="77777777">
        <w:trPr>
          <w:trHeight w:val="263"/>
        </w:trPr>
        <w:tc>
          <w:tcPr>
            <w:tcW w:w="4140" w:type="dxa"/>
          </w:tcPr>
          <w:p w14:paraId="6C855102" w14:textId="77777777" w:rsidR="00DB6E1F" w:rsidRDefault="00F666A6">
            <w:pPr>
              <w:pStyle w:val="TableParagraph"/>
              <w:spacing w:line="242" w:lineRule="exact"/>
              <w:ind w:left="95" w:right="-15"/>
              <w:rPr>
                <w:sz w:val="20"/>
              </w:rPr>
            </w:pPr>
            <w:r>
              <w:rPr>
                <w:color w:val="4D4D4F"/>
                <w:sz w:val="20"/>
              </w:rPr>
              <w:t>17.</w:t>
            </w:r>
            <w:r>
              <w:rPr>
                <w:color w:val="4D4D4F"/>
                <w:spacing w:val="17"/>
                <w:sz w:val="20"/>
              </w:rPr>
              <w:t xml:space="preserve"> </w:t>
            </w:r>
            <w:r>
              <w:rPr>
                <w:sz w:val="20"/>
              </w:rPr>
              <w:t>I</w:t>
            </w:r>
            <w:r>
              <w:rPr>
                <w:spacing w:val="2"/>
                <w:sz w:val="20"/>
              </w:rPr>
              <w:t xml:space="preserve"> </w:t>
            </w:r>
            <w:r>
              <w:rPr>
                <w:sz w:val="20"/>
              </w:rPr>
              <w:t>am more</w:t>
            </w:r>
            <w:r>
              <w:rPr>
                <w:spacing w:val="4"/>
                <w:sz w:val="20"/>
              </w:rPr>
              <w:t xml:space="preserve"> </w:t>
            </w:r>
            <w:r>
              <w:rPr>
                <w:sz w:val="20"/>
              </w:rPr>
              <w:t>sure of</w:t>
            </w:r>
            <w:r>
              <w:rPr>
                <w:spacing w:val="2"/>
                <w:sz w:val="20"/>
              </w:rPr>
              <w:t xml:space="preserve"> </w:t>
            </w:r>
            <w:r>
              <w:rPr>
                <w:sz w:val="20"/>
              </w:rPr>
              <w:t>myself</w:t>
            </w:r>
            <w:r>
              <w:rPr>
                <w:spacing w:val="1"/>
                <w:sz w:val="20"/>
              </w:rPr>
              <w:t xml:space="preserve"> </w:t>
            </w:r>
            <w:r>
              <w:rPr>
                <w:sz w:val="20"/>
              </w:rPr>
              <w:t>when</w:t>
            </w:r>
            <w:r>
              <w:rPr>
                <w:spacing w:val="2"/>
                <w:sz w:val="20"/>
              </w:rPr>
              <w:t xml:space="preserve"> </w:t>
            </w:r>
            <w:r>
              <w:rPr>
                <w:sz w:val="20"/>
              </w:rPr>
              <w:t>I</w:t>
            </w:r>
            <w:r>
              <w:rPr>
                <w:spacing w:val="2"/>
                <w:sz w:val="20"/>
              </w:rPr>
              <w:t xml:space="preserve"> </w:t>
            </w:r>
            <w:r>
              <w:rPr>
                <w:sz w:val="20"/>
              </w:rPr>
              <w:t>am</w:t>
            </w:r>
            <w:r>
              <w:rPr>
                <w:spacing w:val="1"/>
                <w:sz w:val="20"/>
              </w:rPr>
              <w:t xml:space="preserve"> </w:t>
            </w:r>
            <w:r>
              <w:rPr>
                <w:spacing w:val="-2"/>
                <w:sz w:val="20"/>
              </w:rPr>
              <w:t>drinking.</w:t>
            </w:r>
          </w:p>
        </w:tc>
        <w:tc>
          <w:tcPr>
            <w:tcW w:w="1078" w:type="dxa"/>
          </w:tcPr>
          <w:p w14:paraId="5181A519" w14:textId="77777777" w:rsidR="00DB6E1F" w:rsidRDefault="00F666A6">
            <w:pPr>
              <w:pStyle w:val="TableParagraph"/>
              <w:spacing w:line="242" w:lineRule="exact"/>
              <w:ind w:left="6"/>
              <w:jc w:val="center"/>
              <w:rPr>
                <w:sz w:val="20"/>
              </w:rPr>
            </w:pPr>
            <w:r>
              <w:rPr>
                <w:w w:val="99"/>
                <w:sz w:val="20"/>
              </w:rPr>
              <w:t>1</w:t>
            </w:r>
          </w:p>
        </w:tc>
        <w:tc>
          <w:tcPr>
            <w:tcW w:w="1080" w:type="dxa"/>
          </w:tcPr>
          <w:p w14:paraId="75A79528" w14:textId="77777777" w:rsidR="00DB6E1F" w:rsidRDefault="00F666A6">
            <w:pPr>
              <w:pStyle w:val="TableParagraph"/>
              <w:spacing w:line="242" w:lineRule="exact"/>
              <w:ind w:left="8"/>
              <w:jc w:val="center"/>
              <w:rPr>
                <w:sz w:val="20"/>
              </w:rPr>
            </w:pPr>
            <w:r>
              <w:rPr>
                <w:w w:val="99"/>
                <w:sz w:val="20"/>
              </w:rPr>
              <w:t>2</w:t>
            </w:r>
          </w:p>
        </w:tc>
        <w:tc>
          <w:tcPr>
            <w:tcW w:w="1082" w:type="dxa"/>
          </w:tcPr>
          <w:p w14:paraId="39122102" w14:textId="77777777" w:rsidR="00DB6E1F" w:rsidRDefault="00F666A6">
            <w:pPr>
              <w:pStyle w:val="TableParagraph"/>
              <w:spacing w:line="242" w:lineRule="exact"/>
              <w:ind w:left="6"/>
              <w:jc w:val="center"/>
              <w:rPr>
                <w:sz w:val="20"/>
              </w:rPr>
            </w:pPr>
            <w:r>
              <w:rPr>
                <w:w w:val="99"/>
                <w:sz w:val="20"/>
              </w:rPr>
              <w:t>3</w:t>
            </w:r>
          </w:p>
        </w:tc>
        <w:tc>
          <w:tcPr>
            <w:tcW w:w="988" w:type="dxa"/>
          </w:tcPr>
          <w:p w14:paraId="07891EC6" w14:textId="77777777" w:rsidR="00DB6E1F" w:rsidRDefault="00F666A6">
            <w:pPr>
              <w:pStyle w:val="TableParagraph"/>
              <w:spacing w:line="242" w:lineRule="exact"/>
              <w:ind w:left="10"/>
              <w:jc w:val="center"/>
              <w:rPr>
                <w:sz w:val="20"/>
              </w:rPr>
            </w:pPr>
            <w:r>
              <w:rPr>
                <w:w w:val="99"/>
                <w:sz w:val="20"/>
              </w:rPr>
              <w:t>4</w:t>
            </w:r>
          </w:p>
        </w:tc>
        <w:tc>
          <w:tcPr>
            <w:tcW w:w="990" w:type="dxa"/>
          </w:tcPr>
          <w:p w14:paraId="326E4BA0" w14:textId="77777777" w:rsidR="00DB6E1F" w:rsidRDefault="00F666A6">
            <w:pPr>
              <w:pStyle w:val="TableParagraph"/>
              <w:spacing w:line="242" w:lineRule="exact"/>
              <w:ind w:left="10"/>
              <w:jc w:val="center"/>
              <w:rPr>
                <w:sz w:val="20"/>
              </w:rPr>
            </w:pPr>
            <w:r>
              <w:rPr>
                <w:w w:val="99"/>
                <w:sz w:val="20"/>
              </w:rPr>
              <w:t>5</w:t>
            </w:r>
          </w:p>
        </w:tc>
      </w:tr>
      <w:tr w:rsidR="00DB6E1F" w14:paraId="1C33941F" w14:textId="77777777">
        <w:trPr>
          <w:trHeight w:val="527"/>
        </w:trPr>
        <w:tc>
          <w:tcPr>
            <w:tcW w:w="4140" w:type="dxa"/>
          </w:tcPr>
          <w:p w14:paraId="69132874" w14:textId="77777777" w:rsidR="00DB6E1F" w:rsidRDefault="00F666A6">
            <w:pPr>
              <w:pStyle w:val="TableParagraph"/>
              <w:ind w:left="95"/>
              <w:rPr>
                <w:sz w:val="20"/>
              </w:rPr>
            </w:pPr>
            <w:r>
              <w:rPr>
                <w:color w:val="4D4D4F"/>
                <w:sz w:val="20"/>
              </w:rPr>
              <w:t>18.</w:t>
            </w:r>
            <w:r>
              <w:rPr>
                <w:color w:val="4D4D4F"/>
                <w:spacing w:val="17"/>
                <w:sz w:val="20"/>
              </w:rPr>
              <w:t xml:space="preserve"> </w:t>
            </w:r>
            <w:r>
              <w:rPr>
                <w:sz w:val="20"/>
              </w:rPr>
              <w:t>I</w:t>
            </w:r>
            <w:r>
              <w:rPr>
                <w:spacing w:val="1"/>
                <w:sz w:val="20"/>
              </w:rPr>
              <w:t xml:space="preserve"> </w:t>
            </w:r>
            <w:r>
              <w:rPr>
                <w:sz w:val="20"/>
              </w:rPr>
              <w:t>am setting</w:t>
            </w:r>
            <w:r>
              <w:rPr>
                <w:spacing w:val="2"/>
                <w:sz w:val="20"/>
              </w:rPr>
              <w:t xml:space="preserve"> </w:t>
            </w:r>
            <w:r>
              <w:rPr>
                <w:sz w:val="20"/>
              </w:rPr>
              <w:t>a</w:t>
            </w:r>
            <w:r>
              <w:rPr>
                <w:spacing w:val="1"/>
                <w:sz w:val="20"/>
              </w:rPr>
              <w:t xml:space="preserve"> </w:t>
            </w:r>
            <w:r>
              <w:rPr>
                <w:sz w:val="20"/>
              </w:rPr>
              <w:t>bad</w:t>
            </w:r>
            <w:r>
              <w:rPr>
                <w:spacing w:val="2"/>
                <w:sz w:val="20"/>
              </w:rPr>
              <w:t xml:space="preserve"> </w:t>
            </w:r>
            <w:r>
              <w:rPr>
                <w:sz w:val="20"/>
              </w:rPr>
              <w:t>example for</w:t>
            </w:r>
            <w:r>
              <w:rPr>
                <w:spacing w:val="1"/>
                <w:sz w:val="20"/>
              </w:rPr>
              <w:t xml:space="preserve"> </w:t>
            </w:r>
            <w:r>
              <w:rPr>
                <w:sz w:val="20"/>
              </w:rPr>
              <w:t xml:space="preserve">others </w:t>
            </w:r>
            <w:r>
              <w:rPr>
                <w:spacing w:val="-4"/>
                <w:sz w:val="20"/>
              </w:rPr>
              <w:t>with</w:t>
            </w:r>
          </w:p>
          <w:p w14:paraId="1F03D777" w14:textId="77777777" w:rsidR="00DB6E1F" w:rsidRDefault="00F666A6">
            <w:pPr>
              <w:pStyle w:val="TableParagraph"/>
              <w:spacing w:before="20" w:line="242" w:lineRule="exact"/>
              <w:ind w:left="455"/>
              <w:rPr>
                <w:sz w:val="20"/>
              </w:rPr>
            </w:pPr>
            <w:r>
              <w:rPr>
                <w:sz w:val="20"/>
              </w:rPr>
              <w:t>my</w:t>
            </w:r>
            <w:r>
              <w:rPr>
                <w:spacing w:val="-3"/>
                <w:sz w:val="20"/>
              </w:rPr>
              <w:t xml:space="preserve"> </w:t>
            </w:r>
            <w:r>
              <w:rPr>
                <w:spacing w:val="-2"/>
                <w:sz w:val="20"/>
              </w:rPr>
              <w:t>drinking.</w:t>
            </w:r>
          </w:p>
        </w:tc>
        <w:tc>
          <w:tcPr>
            <w:tcW w:w="1078" w:type="dxa"/>
          </w:tcPr>
          <w:p w14:paraId="716DA43A" w14:textId="77777777" w:rsidR="00DB6E1F" w:rsidRDefault="00F666A6">
            <w:pPr>
              <w:pStyle w:val="TableParagraph"/>
              <w:ind w:left="6"/>
              <w:jc w:val="center"/>
              <w:rPr>
                <w:sz w:val="20"/>
              </w:rPr>
            </w:pPr>
            <w:r>
              <w:rPr>
                <w:w w:val="99"/>
                <w:sz w:val="20"/>
              </w:rPr>
              <w:t>1</w:t>
            </w:r>
          </w:p>
        </w:tc>
        <w:tc>
          <w:tcPr>
            <w:tcW w:w="1080" w:type="dxa"/>
          </w:tcPr>
          <w:p w14:paraId="16424786" w14:textId="77777777" w:rsidR="00DB6E1F" w:rsidRDefault="00F666A6">
            <w:pPr>
              <w:pStyle w:val="TableParagraph"/>
              <w:ind w:left="8"/>
              <w:jc w:val="center"/>
              <w:rPr>
                <w:sz w:val="20"/>
              </w:rPr>
            </w:pPr>
            <w:r>
              <w:rPr>
                <w:w w:val="99"/>
                <w:sz w:val="20"/>
              </w:rPr>
              <w:t>2</w:t>
            </w:r>
          </w:p>
        </w:tc>
        <w:tc>
          <w:tcPr>
            <w:tcW w:w="1082" w:type="dxa"/>
          </w:tcPr>
          <w:p w14:paraId="07BE9C4D" w14:textId="77777777" w:rsidR="00DB6E1F" w:rsidRDefault="00F666A6">
            <w:pPr>
              <w:pStyle w:val="TableParagraph"/>
              <w:ind w:left="6"/>
              <w:jc w:val="center"/>
              <w:rPr>
                <w:sz w:val="20"/>
              </w:rPr>
            </w:pPr>
            <w:r>
              <w:rPr>
                <w:w w:val="99"/>
                <w:sz w:val="20"/>
              </w:rPr>
              <w:t>3</w:t>
            </w:r>
          </w:p>
        </w:tc>
        <w:tc>
          <w:tcPr>
            <w:tcW w:w="988" w:type="dxa"/>
          </w:tcPr>
          <w:p w14:paraId="367EE76D" w14:textId="77777777" w:rsidR="00DB6E1F" w:rsidRDefault="00F666A6">
            <w:pPr>
              <w:pStyle w:val="TableParagraph"/>
              <w:ind w:left="10"/>
              <w:jc w:val="center"/>
              <w:rPr>
                <w:sz w:val="20"/>
              </w:rPr>
            </w:pPr>
            <w:r>
              <w:rPr>
                <w:w w:val="99"/>
                <w:sz w:val="20"/>
              </w:rPr>
              <w:t>4</w:t>
            </w:r>
          </w:p>
        </w:tc>
        <w:tc>
          <w:tcPr>
            <w:tcW w:w="990" w:type="dxa"/>
          </w:tcPr>
          <w:p w14:paraId="3D8115F1" w14:textId="77777777" w:rsidR="00DB6E1F" w:rsidRDefault="00F666A6">
            <w:pPr>
              <w:pStyle w:val="TableParagraph"/>
              <w:ind w:left="10"/>
              <w:jc w:val="center"/>
              <w:rPr>
                <w:sz w:val="20"/>
              </w:rPr>
            </w:pPr>
            <w:r>
              <w:rPr>
                <w:w w:val="99"/>
                <w:sz w:val="20"/>
              </w:rPr>
              <w:t>5</w:t>
            </w:r>
          </w:p>
        </w:tc>
      </w:tr>
      <w:tr w:rsidR="00DB6E1F" w14:paraId="5009171F" w14:textId="77777777">
        <w:trPr>
          <w:trHeight w:val="527"/>
        </w:trPr>
        <w:tc>
          <w:tcPr>
            <w:tcW w:w="4140" w:type="dxa"/>
          </w:tcPr>
          <w:p w14:paraId="01C62D60" w14:textId="77777777" w:rsidR="00DB6E1F" w:rsidRDefault="00F666A6">
            <w:pPr>
              <w:pStyle w:val="TableParagraph"/>
              <w:ind w:left="95"/>
              <w:rPr>
                <w:sz w:val="20"/>
              </w:rPr>
            </w:pPr>
            <w:r>
              <w:rPr>
                <w:color w:val="4D4D4F"/>
                <w:sz w:val="20"/>
              </w:rPr>
              <w:t>19.</w:t>
            </w:r>
            <w:r>
              <w:rPr>
                <w:color w:val="4D4D4F"/>
                <w:spacing w:val="16"/>
                <w:sz w:val="20"/>
              </w:rPr>
              <w:t xml:space="preserve"> </w:t>
            </w:r>
            <w:r>
              <w:rPr>
                <w:sz w:val="20"/>
              </w:rPr>
              <w:t>Without</w:t>
            </w:r>
            <w:r>
              <w:rPr>
                <w:spacing w:val="1"/>
                <w:sz w:val="20"/>
              </w:rPr>
              <w:t xml:space="preserve"> </w:t>
            </w:r>
            <w:r>
              <w:rPr>
                <w:sz w:val="20"/>
              </w:rPr>
              <w:t>alcohol,</w:t>
            </w:r>
            <w:r>
              <w:rPr>
                <w:spacing w:val="2"/>
                <w:sz w:val="20"/>
              </w:rPr>
              <w:t xml:space="preserve"> </w:t>
            </w:r>
            <w:r>
              <w:rPr>
                <w:sz w:val="20"/>
              </w:rPr>
              <w:t>my</w:t>
            </w:r>
            <w:r>
              <w:rPr>
                <w:spacing w:val="2"/>
                <w:sz w:val="20"/>
              </w:rPr>
              <w:t xml:space="preserve"> </w:t>
            </w:r>
            <w:r>
              <w:rPr>
                <w:sz w:val="20"/>
              </w:rPr>
              <w:t>life</w:t>
            </w:r>
            <w:r>
              <w:rPr>
                <w:spacing w:val="-1"/>
                <w:sz w:val="20"/>
              </w:rPr>
              <w:t xml:space="preserve"> </w:t>
            </w:r>
            <w:r>
              <w:rPr>
                <w:sz w:val="20"/>
              </w:rPr>
              <w:t>would</w:t>
            </w:r>
            <w:r>
              <w:rPr>
                <w:spacing w:val="2"/>
                <w:sz w:val="20"/>
              </w:rPr>
              <w:t xml:space="preserve"> </w:t>
            </w:r>
            <w:r>
              <w:rPr>
                <w:sz w:val="20"/>
              </w:rPr>
              <w:t xml:space="preserve">be dull </w:t>
            </w:r>
            <w:r>
              <w:rPr>
                <w:spacing w:val="-5"/>
                <w:sz w:val="20"/>
              </w:rPr>
              <w:t>and</w:t>
            </w:r>
          </w:p>
          <w:p w14:paraId="2AC773A0" w14:textId="77777777" w:rsidR="00DB6E1F" w:rsidRDefault="00F666A6">
            <w:pPr>
              <w:pStyle w:val="TableParagraph"/>
              <w:spacing w:before="20" w:line="242" w:lineRule="exact"/>
              <w:ind w:left="455"/>
              <w:rPr>
                <w:sz w:val="20"/>
              </w:rPr>
            </w:pPr>
            <w:r>
              <w:rPr>
                <w:spacing w:val="-2"/>
                <w:sz w:val="20"/>
              </w:rPr>
              <w:t>boring.</w:t>
            </w:r>
          </w:p>
        </w:tc>
        <w:tc>
          <w:tcPr>
            <w:tcW w:w="1078" w:type="dxa"/>
          </w:tcPr>
          <w:p w14:paraId="40AB7A00" w14:textId="77777777" w:rsidR="00DB6E1F" w:rsidRDefault="00F666A6">
            <w:pPr>
              <w:pStyle w:val="TableParagraph"/>
              <w:ind w:left="6"/>
              <w:jc w:val="center"/>
              <w:rPr>
                <w:sz w:val="20"/>
              </w:rPr>
            </w:pPr>
            <w:r>
              <w:rPr>
                <w:w w:val="99"/>
                <w:sz w:val="20"/>
              </w:rPr>
              <w:t>1</w:t>
            </w:r>
          </w:p>
        </w:tc>
        <w:tc>
          <w:tcPr>
            <w:tcW w:w="1080" w:type="dxa"/>
          </w:tcPr>
          <w:p w14:paraId="0D741750" w14:textId="77777777" w:rsidR="00DB6E1F" w:rsidRDefault="00F666A6">
            <w:pPr>
              <w:pStyle w:val="TableParagraph"/>
              <w:ind w:left="8"/>
              <w:jc w:val="center"/>
              <w:rPr>
                <w:sz w:val="20"/>
              </w:rPr>
            </w:pPr>
            <w:r>
              <w:rPr>
                <w:w w:val="99"/>
                <w:sz w:val="20"/>
              </w:rPr>
              <w:t>2</w:t>
            </w:r>
          </w:p>
        </w:tc>
        <w:tc>
          <w:tcPr>
            <w:tcW w:w="1082" w:type="dxa"/>
          </w:tcPr>
          <w:p w14:paraId="39AF0C37" w14:textId="77777777" w:rsidR="00DB6E1F" w:rsidRDefault="00F666A6">
            <w:pPr>
              <w:pStyle w:val="TableParagraph"/>
              <w:ind w:left="6"/>
              <w:jc w:val="center"/>
              <w:rPr>
                <w:sz w:val="20"/>
              </w:rPr>
            </w:pPr>
            <w:r>
              <w:rPr>
                <w:w w:val="99"/>
                <w:sz w:val="20"/>
              </w:rPr>
              <w:t>3</w:t>
            </w:r>
          </w:p>
        </w:tc>
        <w:tc>
          <w:tcPr>
            <w:tcW w:w="988" w:type="dxa"/>
          </w:tcPr>
          <w:p w14:paraId="0B745DA5" w14:textId="77777777" w:rsidR="00DB6E1F" w:rsidRDefault="00F666A6">
            <w:pPr>
              <w:pStyle w:val="TableParagraph"/>
              <w:ind w:left="10"/>
              <w:jc w:val="center"/>
              <w:rPr>
                <w:sz w:val="20"/>
              </w:rPr>
            </w:pPr>
            <w:r>
              <w:rPr>
                <w:w w:val="99"/>
                <w:sz w:val="20"/>
              </w:rPr>
              <w:t>4</w:t>
            </w:r>
          </w:p>
        </w:tc>
        <w:tc>
          <w:tcPr>
            <w:tcW w:w="990" w:type="dxa"/>
          </w:tcPr>
          <w:p w14:paraId="0A39373F" w14:textId="77777777" w:rsidR="00DB6E1F" w:rsidRDefault="00F666A6">
            <w:pPr>
              <w:pStyle w:val="TableParagraph"/>
              <w:ind w:left="10"/>
              <w:jc w:val="center"/>
              <w:rPr>
                <w:sz w:val="20"/>
              </w:rPr>
            </w:pPr>
            <w:r>
              <w:rPr>
                <w:w w:val="99"/>
                <w:sz w:val="20"/>
              </w:rPr>
              <w:t>5</w:t>
            </w:r>
          </w:p>
        </w:tc>
      </w:tr>
    </w:tbl>
    <w:p w14:paraId="07C8D2B0" w14:textId="77777777" w:rsidR="00DB6E1F" w:rsidRDefault="00DB6E1F">
      <w:pPr>
        <w:jc w:val="center"/>
        <w:rPr>
          <w:sz w:val="20"/>
        </w:rPr>
        <w:sectPr w:rsidR="00DB6E1F">
          <w:pgSz w:w="12240" w:h="15840"/>
          <w:pgMar w:top="1200" w:right="0" w:bottom="780" w:left="0" w:header="763" w:footer="585" w:gutter="0"/>
          <w:cols w:space="720"/>
        </w:sectPr>
      </w:pPr>
    </w:p>
    <w:p w14:paraId="3E4755EC"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1078"/>
        <w:gridCol w:w="1080"/>
        <w:gridCol w:w="1082"/>
        <w:gridCol w:w="988"/>
        <w:gridCol w:w="990"/>
      </w:tblGrid>
      <w:tr w:rsidR="00DB6E1F" w14:paraId="46C56AAE" w14:textId="77777777">
        <w:trPr>
          <w:trHeight w:val="263"/>
        </w:trPr>
        <w:tc>
          <w:tcPr>
            <w:tcW w:w="4140" w:type="dxa"/>
          </w:tcPr>
          <w:p w14:paraId="51B80A1D" w14:textId="77777777" w:rsidR="00DB6E1F" w:rsidRDefault="00F666A6">
            <w:pPr>
              <w:pStyle w:val="TableParagraph"/>
              <w:spacing w:line="242" w:lineRule="exact"/>
              <w:ind w:left="859"/>
              <w:rPr>
                <w:b/>
                <w:sz w:val="20"/>
              </w:rPr>
            </w:pPr>
            <w:r>
              <w:rPr>
                <w:b/>
                <w:sz w:val="20"/>
              </w:rPr>
              <w:t>How</w:t>
            </w:r>
            <w:r>
              <w:rPr>
                <w:b/>
                <w:spacing w:val="-4"/>
                <w:sz w:val="20"/>
              </w:rPr>
              <w:t xml:space="preserve"> </w:t>
            </w:r>
            <w:r>
              <w:rPr>
                <w:b/>
                <w:sz w:val="20"/>
              </w:rPr>
              <w:t>important</w:t>
            </w:r>
            <w:r>
              <w:rPr>
                <w:b/>
                <w:spacing w:val="-3"/>
                <w:sz w:val="20"/>
              </w:rPr>
              <w:t xml:space="preserve"> </w:t>
            </w:r>
            <w:r>
              <w:rPr>
                <w:b/>
                <w:sz w:val="20"/>
              </w:rPr>
              <w:t>is</w:t>
            </w:r>
            <w:r>
              <w:rPr>
                <w:b/>
                <w:spacing w:val="-4"/>
                <w:sz w:val="20"/>
              </w:rPr>
              <w:t xml:space="preserve"> </w:t>
            </w:r>
            <w:r>
              <w:rPr>
                <w:b/>
                <w:sz w:val="20"/>
              </w:rPr>
              <w:t>this</w:t>
            </w:r>
            <w:r>
              <w:rPr>
                <w:b/>
                <w:spacing w:val="-3"/>
                <w:sz w:val="20"/>
              </w:rPr>
              <w:t xml:space="preserve"> </w:t>
            </w:r>
            <w:r>
              <w:rPr>
                <w:b/>
                <w:sz w:val="20"/>
              </w:rPr>
              <w:t>to</w:t>
            </w:r>
            <w:r>
              <w:rPr>
                <w:b/>
                <w:spacing w:val="-3"/>
                <w:sz w:val="20"/>
              </w:rPr>
              <w:t xml:space="preserve"> </w:t>
            </w:r>
            <w:r>
              <w:rPr>
                <w:b/>
                <w:spacing w:val="-5"/>
                <w:sz w:val="20"/>
              </w:rPr>
              <w:t>me?</w:t>
            </w:r>
          </w:p>
        </w:tc>
        <w:tc>
          <w:tcPr>
            <w:tcW w:w="1078" w:type="dxa"/>
          </w:tcPr>
          <w:p w14:paraId="1C68CA09" w14:textId="77777777" w:rsidR="00DB6E1F" w:rsidRDefault="00F666A6">
            <w:pPr>
              <w:pStyle w:val="TableParagraph"/>
              <w:spacing w:line="242" w:lineRule="exact"/>
              <w:ind w:left="132" w:right="127"/>
              <w:jc w:val="center"/>
              <w:rPr>
                <w:b/>
                <w:sz w:val="20"/>
              </w:rPr>
            </w:pPr>
            <w:r>
              <w:rPr>
                <w:b/>
                <w:sz w:val="20"/>
              </w:rPr>
              <w:t>Not</w:t>
            </w:r>
            <w:r>
              <w:rPr>
                <w:b/>
                <w:spacing w:val="-3"/>
                <w:sz w:val="20"/>
              </w:rPr>
              <w:t xml:space="preserve"> </w:t>
            </w:r>
            <w:r>
              <w:rPr>
                <w:b/>
                <w:sz w:val="20"/>
              </w:rPr>
              <w:t>at</w:t>
            </w:r>
            <w:r>
              <w:rPr>
                <w:b/>
                <w:spacing w:val="-1"/>
                <w:sz w:val="20"/>
              </w:rPr>
              <w:t xml:space="preserve"> </w:t>
            </w:r>
            <w:r>
              <w:rPr>
                <w:b/>
                <w:spacing w:val="-5"/>
                <w:sz w:val="20"/>
              </w:rPr>
              <w:t>All</w:t>
            </w:r>
          </w:p>
        </w:tc>
        <w:tc>
          <w:tcPr>
            <w:tcW w:w="1080" w:type="dxa"/>
          </w:tcPr>
          <w:p w14:paraId="7B1B8A64" w14:textId="77777777" w:rsidR="00DB6E1F" w:rsidRDefault="00F666A6">
            <w:pPr>
              <w:pStyle w:val="TableParagraph"/>
              <w:spacing w:line="242" w:lineRule="exact"/>
              <w:ind w:left="220" w:right="216"/>
              <w:jc w:val="center"/>
              <w:rPr>
                <w:b/>
                <w:sz w:val="20"/>
              </w:rPr>
            </w:pPr>
            <w:r>
              <w:rPr>
                <w:b/>
                <w:spacing w:val="-2"/>
                <w:sz w:val="20"/>
              </w:rPr>
              <w:t>Slightly</w:t>
            </w:r>
          </w:p>
        </w:tc>
        <w:tc>
          <w:tcPr>
            <w:tcW w:w="1082" w:type="dxa"/>
          </w:tcPr>
          <w:p w14:paraId="6A991756" w14:textId="77777777" w:rsidR="00DB6E1F" w:rsidRDefault="00F666A6">
            <w:pPr>
              <w:pStyle w:val="TableParagraph"/>
              <w:spacing w:line="242" w:lineRule="exact"/>
              <w:ind w:left="42" w:right="35"/>
              <w:jc w:val="center"/>
              <w:rPr>
                <w:b/>
                <w:sz w:val="20"/>
              </w:rPr>
            </w:pPr>
            <w:r>
              <w:rPr>
                <w:b/>
                <w:spacing w:val="-2"/>
                <w:sz w:val="20"/>
              </w:rPr>
              <w:t>Moderately</w:t>
            </w:r>
          </w:p>
        </w:tc>
        <w:tc>
          <w:tcPr>
            <w:tcW w:w="988" w:type="dxa"/>
          </w:tcPr>
          <w:p w14:paraId="0E212592" w14:textId="77777777" w:rsidR="00DB6E1F" w:rsidRDefault="00F666A6">
            <w:pPr>
              <w:pStyle w:val="TableParagraph"/>
              <w:spacing w:line="242" w:lineRule="exact"/>
              <w:ind w:left="289" w:right="278"/>
              <w:jc w:val="center"/>
              <w:rPr>
                <w:b/>
                <w:sz w:val="20"/>
              </w:rPr>
            </w:pPr>
            <w:r>
              <w:rPr>
                <w:b/>
                <w:spacing w:val="-4"/>
                <w:sz w:val="20"/>
              </w:rPr>
              <w:t>Very</w:t>
            </w:r>
          </w:p>
        </w:tc>
        <w:tc>
          <w:tcPr>
            <w:tcW w:w="990" w:type="dxa"/>
          </w:tcPr>
          <w:p w14:paraId="28AB1806" w14:textId="77777777" w:rsidR="00DB6E1F" w:rsidRDefault="00F666A6">
            <w:pPr>
              <w:pStyle w:val="TableParagraph"/>
              <w:spacing w:line="242" w:lineRule="exact"/>
              <w:ind w:left="65" w:right="55"/>
              <w:jc w:val="center"/>
              <w:rPr>
                <w:b/>
                <w:sz w:val="20"/>
              </w:rPr>
            </w:pPr>
            <w:r>
              <w:rPr>
                <w:b/>
                <w:spacing w:val="-2"/>
                <w:sz w:val="20"/>
              </w:rPr>
              <w:t>Extremely</w:t>
            </w:r>
          </w:p>
        </w:tc>
      </w:tr>
      <w:tr w:rsidR="00DB6E1F" w14:paraId="71A4AF8D" w14:textId="77777777">
        <w:trPr>
          <w:trHeight w:val="527"/>
        </w:trPr>
        <w:tc>
          <w:tcPr>
            <w:tcW w:w="4140" w:type="dxa"/>
          </w:tcPr>
          <w:p w14:paraId="1E9A8083" w14:textId="77777777" w:rsidR="00DB6E1F" w:rsidRDefault="00F666A6">
            <w:pPr>
              <w:pStyle w:val="TableParagraph"/>
              <w:ind w:left="95"/>
              <w:rPr>
                <w:sz w:val="20"/>
              </w:rPr>
            </w:pPr>
            <w:r>
              <w:rPr>
                <w:color w:val="4D4D4F"/>
                <w:sz w:val="20"/>
              </w:rPr>
              <w:t>20.</w:t>
            </w:r>
            <w:r>
              <w:rPr>
                <w:color w:val="4D4D4F"/>
                <w:spacing w:val="17"/>
                <w:sz w:val="20"/>
              </w:rPr>
              <w:t xml:space="preserve"> </w:t>
            </w:r>
            <w:r>
              <w:rPr>
                <w:sz w:val="20"/>
              </w:rPr>
              <w:t>People seem to</w:t>
            </w:r>
            <w:r>
              <w:rPr>
                <w:spacing w:val="1"/>
                <w:sz w:val="20"/>
              </w:rPr>
              <w:t xml:space="preserve"> </w:t>
            </w:r>
            <w:r>
              <w:rPr>
                <w:sz w:val="20"/>
              </w:rPr>
              <w:t>like</w:t>
            </w:r>
            <w:r>
              <w:rPr>
                <w:spacing w:val="-1"/>
                <w:sz w:val="20"/>
              </w:rPr>
              <w:t xml:space="preserve"> </w:t>
            </w:r>
            <w:r>
              <w:rPr>
                <w:sz w:val="20"/>
              </w:rPr>
              <w:t>me better</w:t>
            </w:r>
            <w:r>
              <w:rPr>
                <w:spacing w:val="3"/>
                <w:sz w:val="20"/>
              </w:rPr>
              <w:t xml:space="preserve"> </w:t>
            </w:r>
            <w:r>
              <w:rPr>
                <w:sz w:val="20"/>
              </w:rPr>
              <w:t>when</w:t>
            </w:r>
            <w:r>
              <w:rPr>
                <w:spacing w:val="2"/>
                <w:sz w:val="20"/>
              </w:rPr>
              <w:t xml:space="preserve"> </w:t>
            </w:r>
            <w:r>
              <w:rPr>
                <w:sz w:val="20"/>
              </w:rPr>
              <w:t>I</w:t>
            </w:r>
            <w:r>
              <w:rPr>
                <w:spacing w:val="1"/>
                <w:sz w:val="20"/>
              </w:rPr>
              <w:t xml:space="preserve"> </w:t>
            </w:r>
            <w:r>
              <w:rPr>
                <w:spacing w:val="-5"/>
                <w:sz w:val="20"/>
              </w:rPr>
              <w:t>am</w:t>
            </w:r>
          </w:p>
          <w:p w14:paraId="2840D943" w14:textId="77777777" w:rsidR="00DB6E1F" w:rsidRDefault="00F666A6">
            <w:pPr>
              <w:pStyle w:val="TableParagraph"/>
              <w:spacing w:before="20" w:line="242" w:lineRule="exact"/>
              <w:ind w:left="455"/>
              <w:rPr>
                <w:sz w:val="20"/>
              </w:rPr>
            </w:pPr>
            <w:r>
              <w:rPr>
                <w:spacing w:val="-2"/>
                <w:sz w:val="20"/>
              </w:rPr>
              <w:t>drinking.</w:t>
            </w:r>
          </w:p>
        </w:tc>
        <w:tc>
          <w:tcPr>
            <w:tcW w:w="1078" w:type="dxa"/>
          </w:tcPr>
          <w:p w14:paraId="5ADBB79B" w14:textId="77777777" w:rsidR="00DB6E1F" w:rsidRDefault="00F666A6">
            <w:pPr>
              <w:pStyle w:val="TableParagraph"/>
              <w:ind w:left="6"/>
              <w:jc w:val="center"/>
              <w:rPr>
                <w:sz w:val="20"/>
              </w:rPr>
            </w:pPr>
            <w:r>
              <w:rPr>
                <w:w w:val="99"/>
                <w:sz w:val="20"/>
              </w:rPr>
              <w:t>1</w:t>
            </w:r>
          </w:p>
        </w:tc>
        <w:tc>
          <w:tcPr>
            <w:tcW w:w="1080" w:type="dxa"/>
          </w:tcPr>
          <w:p w14:paraId="3A1F8E19" w14:textId="77777777" w:rsidR="00DB6E1F" w:rsidRDefault="00F666A6">
            <w:pPr>
              <w:pStyle w:val="TableParagraph"/>
              <w:ind w:left="8"/>
              <w:jc w:val="center"/>
              <w:rPr>
                <w:sz w:val="20"/>
              </w:rPr>
            </w:pPr>
            <w:r>
              <w:rPr>
                <w:w w:val="99"/>
                <w:sz w:val="20"/>
              </w:rPr>
              <w:t>2</w:t>
            </w:r>
          </w:p>
        </w:tc>
        <w:tc>
          <w:tcPr>
            <w:tcW w:w="1082" w:type="dxa"/>
          </w:tcPr>
          <w:p w14:paraId="679B3849" w14:textId="77777777" w:rsidR="00DB6E1F" w:rsidRDefault="00F666A6">
            <w:pPr>
              <w:pStyle w:val="TableParagraph"/>
              <w:ind w:left="6"/>
              <w:jc w:val="center"/>
              <w:rPr>
                <w:sz w:val="20"/>
              </w:rPr>
            </w:pPr>
            <w:r>
              <w:rPr>
                <w:w w:val="99"/>
                <w:sz w:val="20"/>
              </w:rPr>
              <w:t>3</w:t>
            </w:r>
          </w:p>
        </w:tc>
        <w:tc>
          <w:tcPr>
            <w:tcW w:w="988" w:type="dxa"/>
          </w:tcPr>
          <w:p w14:paraId="48CB353E" w14:textId="77777777" w:rsidR="00DB6E1F" w:rsidRDefault="00F666A6">
            <w:pPr>
              <w:pStyle w:val="TableParagraph"/>
              <w:ind w:left="10"/>
              <w:jc w:val="center"/>
              <w:rPr>
                <w:sz w:val="20"/>
              </w:rPr>
            </w:pPr>
            <w:r>
              <w:rPr>
                <w:w w:val="99"/>
                <w:sz w:val="20"/>
              </w:rPr>
              <w:t>4</w:t>
            </w:r>
          </w:p>
        </w:tc>
        <w:tc>
          <w:tcPr>
            <w:tcW w:w="990" w:type="dxa"/>
          </w:tcPr>
          <w:p w14:paraId="36C65481" w14:textId="77777777" w:rsidR="00DB6E1F" w:rsidRDefault="00F666A6">
            <w:pPr>
              <w:pStyle w:val="TableParagraph"/>
              <w:ind w:left="10"/>
              <w:jc w:val="center"/>
              <w:rPr>
                <w:sz w:val="20"/>
              </w:rPr>
            </w:pPr>
            <w:r>
              <w:rPr>
                <w:w w:val="99"/>
                <w:sz w:val="20"/>
              </w:rPr>
              <w:t>5</w:t>
            </w:r>
          </w:p>
        </w:tc>
      </w:tr>
    </w:tbl>
    <w:p w14:paraId="55EFBA7E" w14:textId="77777777" w:rsidR="00DB6E1F" w:rsidRDefault="00DB6E1F">
      <w:pPr>
        <w:pStyle w:val="BodyText"/>
        <w:spacing w:before="4"/>
        <w:rPr>
          <w:sz w:val="8"/>
        </w:rPr>
      </w:pPr>
    </w:p>
    <w:p w14:paraId="68D260CB" w14:textId="77777777" w:rsidR="00DB6E1F" w:rsidRDefault="00F666A6">
      <w:pPr>
        <w:pStyle w:val="Heading5"/>
        <w:spacing w:before="57"/>
      </w:pPr>
      <w:r>
        <w:rPr>
          <w:spacing w:val="-2"/>
        </w:rPr>
        <w:t>Scoring:</w:t>
      </w:r>
    </w:p>
    <w:p w14:paraId="69D83099" w14:textId="77777777" w:rsidR="00DB6E1F" w:rsidRDefault="00DB6E1F">
      <w:pPr>
        <w:pStyle w:val="BodyText"/>
        <w:spacing w:before="2" w:after="1"/>
        <w:rPr>
          <w:b/>
          <w:sz w:val="13"/>
        </w:rPr>
      </w:pPr>
    </w:p>
    <w:tbl>
      <w:tblPr>
        <w:tblW w:w="0" w:type="auto"/>
        <w:tblInd w:w="1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3"/>
        <w:gridCol w:w="4673"/>
      </w:tblGrid>
      <w:tr w:rsidR="00DB6E1F" w14:paraId="2C373557" w14:textId="77777777">
        <w:trPr>
          <w:trHeight w:val="376"/>
        </w:trPr>
        <w:tc>
          <w:tcPr>
            <w:tcW w:w="4673" w:type="dxa"/>
            <w:tcBorders>
              <w:left w:val="single" w:sz="6" w:space="0" w:color="000000"/>
            </w:tcBorders>
          </w:tcPr>
          <w:p w14:paraId="25CD4A28" w14:textId="77777777" w:rsidR="00DB6E1F" w:rsidRDefault="00F666A6">
            <w:pPr>
              <w:pStyle w:val="TableParagraph"/>
              <w:spacing w:before="8"/>
              <w:ind w:left="4"/>
              <w:rPr>
                <w:sz w:val="20"/>
              </w:rPr>
            </w:pPr>
            <w:r>
              <w:rPr>
                <w:sz w:val="20"/>
              </w:rPr>
              <w:t>Pros</w:t>
            </w:r>
            <w:r>
              <w:rPr>
                <w:spacing w:val="-4"/>
                <w:sz w:val="20"/>
              </w:rPr>
              <w:t xml:space="preserve"> </w:t>
            </w:r>
            <w:r>
              <w:rPr>
                <w:sz w:val="20"/>
              </w:rPr>
              <w:t>of</w:t>
            </w:r>
            <w:r>
              <w:rPr>
                <w:spacing w:val="-4"/>
                <w:sz w:val="20"/>
              </w:rPr>
              <w:t xml:space="preserve"> </w:t>
            </w:r>
            <w:r>
              <w:rPr>
                <w:spacing w:val="-2"/>
                <w:sz w:val="20"/>
              </w:rPr>
              <w:t>Drinking</w:t>
            </w:r>
          </w:p>
        </w:tc>
        <w:tc>
          <w:tcPr>
            <w:tcW w:w="4673" w:type="dxa"/>
            <w:tcBorders>
              <w:right w:val="single" w:sz="6" w:space="0" w:color="000000"/>
            </w:tcBorders>
          </w:tcPr>
          <w:p w14:paraId="4FA29B93" w14:textId="77777777" w:rsidR="00DB6E1F" w:rsidRDefault="00F666A6">
            <w:pPr>
              <w:pStyle w:val="TableParagraph"/>
              <w:spacing w:before="8"/>
              <w:ind w:left="6"/>
              <w:rPr>
                <w:sz w:val="20"/>
              </w:rPr>
            </w:pPr>
            <w:r>
              <w:rPr>
                <w:sz w:val="20"/>
              </w:rPr>
              <w:t>Cons</w:t>
            </w:r>
            <w:r>
              <w:rPr>
                <w:spacing w:val="-5"/>
                <w:sz w:val="20"/>
              </w:rPr>
              <w:t xml:space="preserve"> </w:t>
            </w:r>
            <w:r>
              <w:rPr>
                <w:sz w:val="20"/>
              </w:rPr>
              <w:t>of</w:t>
            </w:r>
            <w:r>
              <w:rPr>
                <w:spacing w:val="-4"/>
                <w:sz w:val="20"/>
              </w:rPr>
              <w:t xml:space="preserve"> </w:t>
            </w:r>
            <w:r>
              <w:rPr>
                <w:spacing w:val="-2"/>
                <w:sz w:val="20"/>
              </w:rPr>
              <w:t>Drinking</w:t>
            </w:r>
          </w:p>
        </w:tc>
      </w:tr>
      <w:tr w:rsidR="00DB6E1F" w14:paraId="5C50EA99" w14:textId="77777777">
        <w:trPr>
          <w:trHeight w:val="363"/>
        </w:trPr>
        <w:tc>
          <w:tcPr>
            <w:tcW w:w="4673" w:type="dxa"/>
            <w:tcBorders>
              <w:left w:val="single" w:sz="6" w:space="0" w:color="000000"/>
            </w:tcBorders>
          </w:tcPr>
          <w:p w14:paraId="5D060366" w14:textId="77777777" w:rsidR="00DB6E1F" w:rsidRDefault="00F666A6">
            <w:pPr>
              <w:pStyle w:val="TableParagraph"/>
              <w:ind w:left="4"/>
              <w:rPr>
                <w:sz w:val="20"/>
              </w:rPr>
            </w:pPr>
            <w:r>
              <w:rPr>
                <w:sz w:val="20"/>
              </w:rPr>
              <w:t>2,</w:t>
            </w:r>
            <w:r>
              <w:rPr>
                <w:spacing w:val="-3"/>
                <w:sz w:val="20"/>
              </w:rPr>
              <w:t xml:space="preserve"> </w:t>
            </w:r>
            <w:r>
              <w:rPr>
                <w:sz w:val="20"/>
              </w:rPr>
              <w:t>4,</w:t>
            </w:r>
            <w:r>
              <w:rPr>
                <w:spacing w:val="-3"/>
                <w:sz w:val="20"/>
              </w:rPr>
              <w:t xml:space="preserve"> </w:t>
            </w:r>
            <w:r>
              <w:rPr>
                <w:sz w:val="20"/>
              </w:rPr>
              <w:t>7,</w:t>
            </w:r>
            <w:r>
              <w:rPr>
                <w:spacing w:val="-2"/>
                <w:sz w:val="20"/>
              </w:rPr>
              <w:t xml:space="preserve"> </w:t>
            </w:r>
            <w:r>
              <w:rPr>
                <w:sz w:val="20"/>
              </w:rPr>
              <w:t>9,</w:t>
            </w:r>
            <w:r>
              <w:rPr>
                <w:spacing w:val="-3"/>
                <w:sz w:val="20"/>
              </w:rPr>
              <w:t xml:space="preserve"> </w:t>
            </w:r>
            <w:r>
              <w:rPr>
                <w:sz w:val="20"/>
              </w:rPr>
              <w:t>11,</w:t>
            </w:r>
            <w:r>
              <w:rPr>
                <w:spacing w:val="-3"/>
                <w:sz w:val="20"/>
              </w:rPr>
              <w:t xml:space="preserve"> </w:t>
            </w:r>
            <w:r>
              <w:rPr>
                <w:sz w:val="20"/>
              </w:rPr>
              <w:t>14,</w:t>
            </w:r>
            <w:r>
              <w:rPr>
                <w:spacing w:val="-2"/>
                <w:sz w:val="20"/>
              </w:rPr>
              <w:t xml:space="preserve"> </w:t>
            </w:r>
            <w:r>
              <w:rPr>
                <w:sz w:val="20"/>
              </w:rPr>
              <w:t>16,</w:t>
            </w:r>
            <w:r>
              <w:rPr>
                <w:spacing w:val="-3"/>
                <w:sz w:val="20"/>
              </w:rPr>
              <w:t xml:space="preserve"> </w:t>
            </w:r>
            <w:r>
              <w:rPr>
                <w:sz w:val="20"/>
              </w:rPr>
              <w:t>17,</w:t>
            </w:r>
            <w:r>
              <w:rPr>
                <w:spacing w:val="-3"/>
                <w:sz w:val="20"/>
              </w:rPr>
              <w:t xml:space="preserve"> </w:t>
            </w:r>
            <w:r>
              <w:rPr>
                <w:sz w:val="20"/>
              </w:rPr>
              <w:t>19,</w:t>
            </w:r>
            <w:r>
              <w:rPr>
                <w:spacing w:val="-2"/>
                <w:sz w:val="20"/>
              </w:rPr>
              <w:t xml:space="preserve"> </w:t>
            </w:r>
            <w:r>
              <w:rPr>
                <w:spacing w:val="-5"/>
                <w:sz w:val="20"/>
              </w:rPr>
              <w:t>20</w:t>
            </w:r>
          </w:p>
        </w:tc>
        <w:tc>
          <w:tcPr>
            <w:tcW w:w="4673" w:type="dxa"/>
            <w:tcBorders>
              <w:right w:val="single" w:sz="6" w:space="0" w:color="000000"/>
            </w:tcBorders>
          </w:tcPr>
          <w:p w14:paraId="4ABD541E" w14:textId="77777777" w:rsidR="00DB6E1F" w:rsidRDefault="00F666A6">
            <w:pPr>
              <w:pStyle w:val="TableParagraph"/>
              <w:ind w:left="6"/>
              <w:rPr>
                <w:sz w:val="20"/>
              </w:rPr>
            </w:pPr>
            <w:r>
              <w:rPr>
                <w:sz w:val="20"/>
              </w:rPr>
              <w:t>1,</w:t>
            </w:r>
            <w:r>
              <w:rPr>
                <w:spacing w:val="-3"/>
                <w:sz w:val="20"/>
              </w:rPr>
              <w:t xml:space="preserve"> </w:t>
            </w:r>
            <w:r>
              <w:rPr>
                <w:sz w:val="20"/>
              </w:rPr>
              <w:t>3,</w:t>
            </w:r>
            <w:r>
              <w:rPr>
                <w:spacing w:val="-2"/>
                <w:sz w:val="20"/>
              </w:rPr>
              <w:t xml:space="preserve"> </w:t>
            </w:r>
            <w:r>
              <w:rPr>
                <w:sz w:val="20"/>
              </w:rPr>
              <w:t>5,</w:t>
            </w:r>
            <w:r>
              <w:rPr>
                <w:spacing w:val="-3"/>
                <w:sz w:val="20"/>
              </w:rPr>
              <w:t xml:space="preserve"> </w:t>
            </w:r>
            <w:r>
              <w:rPr>
                <w:sz w:val="20"/>
              </w:rPr>
              <w:t>6,</w:t>
            </w:r>
            <w:r>
              <w:rPr>
                <w:spacing w:val="-2"/>
                <w:sz w:val="20"/>
              </w:rPr>
              <w:t xml:space="preserve"> </w:t>
            </w:r>
            <w:r>
              <w:rPr>
                <w:sz w:val="20"/>
              </w:rPr>
              <w:t>8,</w:t>
            </w:r>
            <w:r>
              <w:rPr>
                <w:spacing w:val="-3"/>
                <w:sz w:val="20"/>
              </w:rPr>
              <w:t xml:space="preserve"> </w:t>
            </w:r>
            <w:r>
              <w:rPr>
                <w:sz w:val="20"/>
              </w:rPr>
              <w:t>10,</w:t>
            </w:r>
            <w:r>
              <w:rPr>
                <w:spacing w:val="-2"/>
                <w:sz w:val="20"/>
              </w:rPr>
              <w:t xml:space="preserve"> </w:t>
            </w:r>
            <w:r>
              <w:rPr>
                <w:sz w:val="20"/>
              </w:rPr>
              <w:t>12,</w:t>
            </w:r>
            <w:r>
              <w:rPr>
                <w:spacing w:val="-2"/>
                <w:sz w:val="20"/>
              </w:rPr>
              <w:t xml:space="preserve"> </w:t>
            </w:r>
            <w:r>
              <w:rPr>
                <w:sz w:val="20"/>
              </w:rPr>
              <w:t>13,</w:t>
            </w:r>
            <w:r>
              <w:rPr>
                <w:spacing w:val="-3"/>
                <w:sz w:val="20"/>
              </w:rPr>
              <w:t xml:space="preserve"> </w:t>
            </w:r>
            <w:r>
              <w:rPr>
                <w:sz w:val="20"/>
              </w:rPr>
              <w:t>15,</w:t>
            </w:r>
            <w:r>
              <w:rPr>
                <w:spacing w:val="-2"/>
                <w:sz w:val="20"/>
              </w:rPr>
              <w:t xml:space="preserve"> </w:t>
            </w:r>
            <w:r>
              <w:rPr>
                <w:spacing w:val="-5"/>
                <w:sz w:val="20"/>
              </w:rPr>
              <w:t>18</w:t>
            </w:r>
          </w:p>
        </w:tc>
      </w:tr>
    </w:tbl>
    <w:p w14:paraId="2744D869" w14:textId="77777777" w:rsidR="00DB6E1F" w:rsidRDefault="00F666A6">
      <w:pPr>
        <w:spacing w:before="1"/>
        <w:ind w:left="1440" w:right="1491"/>
        <w:rPr>
          <w:sz w:val="20"/>
        </w:rPr>
      </w:pPr>
      <w:r>
        <w:rPr>
          <w:sz w:val="20"/>
        </w:rPr>
        <w:t>To</w:t>
      </w:r>
      <w:r>
        <w:rPr>
          <w:spacing w:val="-2"/>
          <w:sz w:val="20"/>
        </w:rPr>
        <w:t xml:space="preserve"> </w:t>
      </w:r>
      <w:r>
        <w:rPr>
          <w:sz w:val="20"/>
        </w:rPr>
        <w:t>get</w:t>
      </w:r>
      <w:r>
        <w:rPr>
          <w:spacing w:val="-2"/>
          <w:sz w:val="20"/>
        </w:rPr>
        <w:t xml:space="preserve"> </w:t>
      </w:r>
      <w:r>
        <w:rPr>
          <w:sz w:val="20"/>
        </w:rPr>
        <w:t>the</w:t>
      </w:r>
      <w:r>
        <w:rPr>
          <w:spacing w:val="-3"/>
          <w:sz w:val="20"/>
        </w:rPr>
        <w:t xml:space="preserve"> </w:t>
      </w:r>
      <w:r>
        <w:rPr>
          <w:sz w:val="20"/>
        </w:rPr>
        <w:t>average</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Pros</w:t>
      </w:r>
      <w:r>
        <w:rPr>
          <w:spacing w:val="-3"/>
          <w:sz w:val="20"/>
        </w:rPr>
        <w:t xml:space="preserve"> </w:t>
      </w:r>
      <w:r>
        <w:rPr>
          <w:sz w:val="20"/>
        </w:rPr>
        <w:t>endorsed,</w:t>
      </w:r>
      <w:r>
        <w:rPr>
          <w:spacing w:val="-1"/>
          <w:sz w:val="20"/>
        </w:rPr>
        <w:t xml:space="preserve"> </w:t>
      </w:r>
      <w:r>
        <w:rPr>
          <w:sz w:val="20"/>
        </w:rPr>
        <w:t>add</w:t>
      </w:r>
      <w:r>
        <w:rPr>
          <w:spacing w:val="-1"/>
          <w:sz w:val="20"/>
        </w:rPr>
        <w:t xml:space="preserve"> </w:t>
      </w:r>
      <w:r>
        <w:rPr>
          <w:sz w:val="20"/>
        </w:rPr>
        <w:t>up</w:t>
      </w:r>
      <w:r>
        <w:rPr>
          <w:spacing w:val="-1"/>
          <w:sz w:val="20"/>
        </w:rPr>
        <w:t xml:space="preserve"> </w:t>
      </w:r>
      <w:r>
        <w:rPr>
          <w:sz w:val="20"/>
        </w:rPr>
        <w:t>the</w:t>
      </w:r>
      <w:r>
        <w:rPr>
          <w:spacing w:val="-3"/>
          <w:sz w:val="20"/>
        </w:rPr>
        <w:t xml:space="preserve"> </w:t>
      </w:r>
      <w:r>
        <w:rPr>
          <w:sz w:val="20"/>
        </w:rPr>
        <w:t>total</w:t>
      </w:r>
      <w:r>
        <w:rPr>
          <w:spacing w:val="-2"/>
          <w:sz w:val="20"/>
        </w:rPr>
        <w:t xml:space="preserve"> </w:t>
      </w:r>
      <w:r>
        <w:rPr>
          <w:sz w:val="20"/>
        </w:rPr>
        <w:t>number</w:t>
      </w:r>
      <w:r>
        <w:rPr>
          <w:spacing w:val="-2"/>
          <w:sz w:val="20"/>
        </w:rPr>
        <w:t xml:space="preserve"> </w:t>
      </w:r>
      <w:r>
        <w:rPr>
          <w:sz w:val="20"/>
        </w:rPr>
        <w:t>of</w:t>
      </w:r>
      <w:r>
        <w:rPr>
          <w:spacing w:val="-3"/>
          <w:sz w:val="20"/>
        </w:rPr>
        <w:t xml:space="preserve"> </w:t>
      </w:r>
      <w:r>
        <w:rPr>
          <w:sz w:val="20"/>
        </w:rPr>
        <w:t>points</w:t>
      </w:r>
      <w:r>
        <w:rPr>
          <w:spacing w:val="-3"/>
          <w:sz w:val="20"/>
        </w:rPr>
        <w:t xml:space="preserve"> </w:t>
      </w:r>
      <w:r>
        <w:rPr>
          <w:sz w:val="20"/>
        </w:rPr>
        <w:t>from</w:t>
      </w:r>
      <w:r>
        <w:rPr>
          <w:spacing w:val="-3"/>
          <w:sz w:val="20"/>
        </w:rPr>
        <w:t xml:space="preserve"> </w:t>
      </w:r>
      <w:r>
        <w:rPr>
          <w:sz w:val="20"/>
        </w:rPr>
        <w:t>the</w:t>
      </w:r>
      <w:r>
        <w:rPr>
          <w:spacing w:val="-1"/>
          <w:sz w:val="20"/>
        </w:rPr>
        <w:t xml:space="preserve"> </w:t>
      </w:r>
      <w:r>
        <w:rPr>
          <w:sz w:val="20"/>
        </w:rPr>
        <w:t>items</w:t>
      </w:r>
      <w:r>
        <w:rPr>
          <w:spacing w:val="-3"/>
          <w:sz w:val="20"/>
        </w:rPr>
        <w:t xml:space="preserve"> </w:t>
      </w:r>
      <w:r>
        <w:rPr>
          <w:sz w:val="20"/>
        </w:rPr>
        <w:t>and</w:t>
      </w:r>
      <w:r>
        <w:rPr>
          <w:spacing w:val="-1"/>
          <w:sz w:val="20"/>
        </w:rPr>
        <w:t xml:space="preserve"> </w:t>
      </w:r>
      <w:r>
        <w:rPr>
          <w:sz w:val="20"/>
        </w:rPr>
        <w:t>divide</w:t>
      </w:r>
      <w:r>
        <w:rPr>
          <w:spacing w:val="-3"/>
          <w:sz w:val="20"/>
        </w:rPr>
        <w:t xml:space="preserve"> </w:t>
      </w:r>
      <w:r>
        <w:rPr>
          <w:sz w:val="20"/>
        </w:rPr>
        <w:t>by</w:t>
      </w:r>
      <w:r>
        <w:rPr>
          <w:spacing w:val="-1"/>
          <w:sz w:val="20"/>
        </w:rPr>
        <w:t xml:space="preserve"> </w:t>
      </w:r>
      <w:r>
        <w:rPr>
          <w:sz w:val="20"/>
        </w:rPr>
        <w:t>10. Pros of drinking alcohol (2+4+7+9+11+14+16+17+19+20) / (10 possible items for drinking) = Sum of items</w:t>
      </w:r>
    </w:p>
    <w:p w14:paraId="172EEC0B" w14:textId="77777777" w:rsidR="00DB6E1F" w:rsidRDefault="00F666A6">
      <w:pPr>
        <w:spacing w:before="119"/>
        <w:ind w:left="1439" w:right="1491"/>
        <w:rPr>
          <w:sz w:val="20"/>
        </w:rPr>
      </w:pPr>
      <w:r>
        <w:rPr>
          <w:sz w:val="20"/>
        </w:rPr>
        <w:t>To</w:t>
      </w:r>
      <w:r>
        <w:rPr>
          <w:spacing w:val="-2"/>
          <w:sz w:val="20"/>
        </w:rPr>
        <w:t xml:space="preserve"> </w:t>
      </w:r>
      <w:r>
        <w:rPr>
          <w:sz w:val="20"/>
        </w:rPr>
        <w:t>get</w:t>
      </w:r>
      <w:r>
        <w:rPr>
          <w:spacing w:val="-2"/>
          <w:sz w:val="20"/>
        </w:rPr>
        <w:t xml:space="preserve"> </w:t>
      </w:r>
      <w:r>
        <w:rPr>
          <w:sz w:val="20"/>
        </w:rPr>
        <w:t>the</w:t>
      </w:r>
      <w:r>
        <w:rPr>
          <w:spacing w:val="-3"/>
          <w:sz w:val="20"/>
        </w:rPr>
        <w:t xml:space="preserve"> </w:t>
      </w:r>
      <w:r>
        <w:rPr>
          <w:sz w:val="20"/>
        </w:rPr>
        <w:t>average</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Cons</w:t>
      </w:r>
      <w:r>
        <w:rPr>
          <w:spacing w:val="-3"/>
          <w:sz w:val="20"/>
        </w:rPr>
        <w:t xml:space="preserve"> </w:t>
      </w:r>
      <w:r>
        <w:rPr>
          <w:sz w:val="20"/>
        </w:rPr>
        <w:t>endorsed,</w:t>
      </w:r>
      <w:r>
        <w:rPr>
          <w:spacing w:val="-1"/>
          <w:sz w:val="20"/>
        </w:rPr>
        <w:t xml:space="preserve"> </w:t>
      </w:r>
      <w:r>
        <w:rPr>
          <w:sz w:val="20"/>
        </w:rPr>
        <w:t>add</w:t>
      </w:r>
      <w:r>
        <w:rPr>
          <w:spacing w:val="-1"/>
          <w:sz w:val="20"/>
        </w:rPr>
        <w:t xml:space="preserve"> </w:t>
      </w:r>
      <w:r>
        <w:rPr>
          <w:sz w:val="20"/>
        </w:rPr>
        <w:t>up</w:t>
      </w:r>
      <w:r>
        <w:rPr>
          <w:spacing w:val="-1"/>
          <w:sz w:val="20"/>
        </w:rPr>
        <w:t xml:space="preserve"> </w:t>
      </w:r>
      <w:r>
        <w:rPr>
          <w:sz w:val="20"/>
        </w:rPr>
        <w:t>the</w:t>
      </w:r>
      <w:r>
        <w:rPr>
          <w:spacing w:val="-3"/>
          <w:sz w:val="20"/>
        </w:rPr>
        <w:t xml:space="preserve"> </w:t>
      </w:r>
      <w:r>
        <w:rPr>
          <w:sz w:val="20"/>
        </w:rPr>
        <w:t>total</w:t>
      </w:r>
      <w:r>
        <w:rPr>
          <w:spacing w:val="-2"/>
          <w:sz w:val="20"/>
        </w:rPr>
        <w:t xml:space="preserve"> </w:t>
      </w:r>
      <w:r>
        <w:rPr>
          <w:sz w:val="20"/>
        </w:rPr>
        <w:t>number</w:t>
      </w:r>
      <w:r>
        <w:rPr>
          <w:spacing w:val="-2"/>
          <w:sz w:val="20"/>
        </w:rPr>
        <w:t xml:space="preserve"> </w:t>
      </w:r>
      <w:r>
        <w:rPr>
          <w:sz w:val="20"/>
        </w:rPr>
        <w:t>of</w:t>
      </w:r>
      <w:r>
        <w:rPr>
          <w:spacing w:val="-3"/>
          <w:sz w:val="20"/>
        </w:rPr>
        <w:t xml:space="preserve"> </w:t>
      </w:r>
      <w:r>
        <w:rPr>
          <w:sz w:val="20"/>
        </w:rPr>
        <w:t>points</w:t>
      </w:r>
      <w:r>
        <w:rPr>
          <w:spacing w:val="-3"/>
          <w:sz w:val="20"/>
        </w:rPr>
        <w:t xml:space="preserve"> </w:t>
      </w:r>
      <w:r>
        <w:rPr>
          <w:sz w:val="20"/>
        </w:rPr>
        <w:t>from</w:t>
      </w:r>
      <w:r>
        <w:rPr>
          <w:spacing w:val="-2"/>
          <w:sz w:val="20"/>
        </w:rPr>
        <w:t xml:space="preserve"> </w:t>
      </w:r>
      <w:r>
        <w:rPr>
          <w:sz w:val="20"/>
        </w:rPr>
        <w:t>the items</w:t>
      </w:r>
      <w:r>
        <w:rPr>
          <w:spacing w:val="-3"/>
          <w:sz w:val="20"/>
        </w:rPr>
        <w:t xml:space="preserve"> </w:t>
      </w:r>
      <w:r>
        <w:rPr>
          <w:sz w:val="20"/>
        </w:rPr>
        <w:t>and</w:t>
      </w:r>
      <w:r>
        <w:rPr>
          <w:spacing w:val="-1"/>
          <w:sz w:val="20"/>
        </w:rPr>
        <w:t xml:space="preserve"> </w:t>
      </w:r>
      <w:r>
        <w:rPr>
          <w:sz w:val="20"/>
        </w:rPr>
        <w:t>divide</w:t>
      </w:r>
      <w:r>
        <w:rPr>
          <w:spacing w:val="-3"/>
          <w:sz w:val="20"/>
        </w:rPr>
        <w:t xml:space="preserve"> </w:t>
      </w:r>
      <w:r>
        <w:rPr>
          <w:sz w:val="20"/>
        </w:rPr>
        <w:t>by</w:t>
      </w:r>
      <w:r>
        <w:rPr>
          <w:spacing w:val="-1"/>
          <w:sz w:val="20"/>
        </w:rPr>
        <w:t xml:space="preserve"> </w:t>
      </w:r>
      <w:r>
        <w:rPr>
          <w:sz w:val="20"/>
        </w:rPr>
        <w:t>10. Cons of drinking alcohol (1+3+5+6+8+10+12+13+15+18) / (10 possible items for not drinking) = Sum of items</w:t>
      </w:r>
    </w:p>
    <w:p w14:paraId="7E2228CD" w14:textId="77777777" w:rsidR="00DB6E1F" w:rsidRDefault="00F666A6">
      <w:pPr>
        <w:spacing w:before="122"/>
        <w:ind w:left="1439" w:right="1491"/>
        <w:rPr>
          <w:sz w:val="20"/>
        </w:rPr>
      </w:pPr>
      <w:r>
        <w:rPr>
          <w:sz w:val="20"/>
        </w:rPr>
        <w:t>To calculate the difference score, subtract the Cons from the Pros. If the number is positive, the individual is endorsing</w:t>
      </w:r>
      <w:r>
        <w:rPr>
          <w:spacing w:val="-2"/>
          <w:sz w:val="20"/>
        </w:rPr>
        <w:t xml:space="preserve"> </w:t>
      </w:r>
      <w:r>
        <w:rPr>
          <w:sz w:val="20"/>
        </w:rPr>
        <w:t>more</w:t>
      </w:r>
      <w:r>
        <w:rPr>
          <w:spacing w:val="-3"/>
          <w:sz w:val="20"/>
        </w:rPr>
        <w:t xml:space="preserve"> </w:t>
      </w:r>
      <w:r>
        <w:rPr>
          <w:sz w:val="20"/>
        </w:rPr>
        <w:t>Pros</w:t>
      </w:r>
      <w:r>
        <w:rPr>
          <w:spacing w:val="-3"/>
          <w:sz w:val="20"/>
        </w:rPr>
        <w:t xml:space="preserve"> </w:t>
      </w:r>
      <w:r>
        <w:rPr>
          <w:sz w:val="20"/>
        </w:rPr>
        <w:t>than</w:t>
      </w:r>
      <w:r>
        <w:rPr>
          <w:spacing w:val="-1"/>
          <w:sz w:val="20"/>
        </w:rPr>
        <w:t xml:space="preserve"> </w:t>
      </w:r>
      <w:r>
        <w:rPr>
          <w:sz w:val="20"/>
        </w:rPr>
        <w:t>Cons</w:t>
      </w:r>
      <w:r>
        <w:rPr>
          <w:spacing w:val="-3"/>
          <w:sz w:val="20"/>
        </w:rPr>
        <w:t xml:space="preserve"> </w:t>
      </w:r>
      <w:r>
        <w:rPr>
          <w:sz w:val="20"/>
        </w:rPr>
        <w:t>for</w:t>
      </w:r>
      <w:r>
        <w:rPr>
          <w:spacing w:val="-2"/>
          <w:sz w:val="20"/>
        </w:rPr>
        <w:t xml:space="preserve"> </w:t>
      </w:r>
      <w:r>
        <w:rPr>
          <w:sz w:val="20"/>
        </w:rPr>
        <w:t>drinking</w:t>
      </w:r>
      <w:r>
        <w:rPr>
          <w:spacing w:val="-2"/>
          <w:sz w:val="20"/>
        </w:rPr>
        <w:t xml:space="preserve"> </w:t>
      </w:r>
      <w:r>
        <w:rPr>
          <w:sz w:val="20"/>
        </w:rPr>
        <w:t>alcohol</w:t>
      </w:r>
      <w:r>
        <w:rPr>
          <w:spacing w:val="-2"/>
          <w:sz w:val="20"/>
        </w:rPr>
        <w:t xml:space="preserve"> </w:t>
      </w:r>
      <w:r>
        <w:rPr>
          <w:sz w:val="20"/>
        </w:rPr>
        <w:t>or</w:t>
      </w:r>
      <w:r>
        <w:rPr>
          <w:spacing w:val="-2"/>
          <w:sz w:val="20"/>
        </w:rPr>
        <w:t xml:space="preserve"> </w:t>
      </w:r>
      <w:r>
        <w:rPr>
          <w:sz w:val="20"/>
        </w:rPr>
        <w:t>using</w:t>
      </w:r>
      <w:r>
        <w:rPr>
          <w:spacing w:val="-2"/>
          <w:sz w:val="20"/>
        </w:rPr>
        <w:t xml:space="preserve"> </w:t>
      </w:r>
      <w:r>
        <w:rPr>
          <w:sz w:val="20"/>
        </w:rPr>
        <w:t>drugs.</w:t>
      </w:r>
      <w:r>
        <w:rPr>
          <w:spacing w:val="-2"/>
          <w:sz w:val="20"/>
        </w:rPr>
        <w:t xml:space="preserve"> </w:t>
      </w:r>
      <w:r>
        <w:rPr>
          <w:sz w:val="20"/>
        </w:rPr>
        <w:t>If</w:t>
      </w:r>
      <w:r>
        <w:rPr>
          <w:spacing w:val="-3"/>
          <w:sz w:val="20"/>
        </w:rPr>
        <w:t xml:space="preserve"> </w:t>
      </w:r>
      <w:r>
        <w:rPr>
          <w:sz w:val="20"/>
        </w:rPr>
        <w:t>the</w:t>
      </w:r>
      <w:r>
        <w:rPr>
          <w:spacing w:val="-3"/>
          <w:sz w:val="20"/>
        </w:rPr>
        <w:t xml:space="preserve"> </w:t>
      </w:r>
      <w:r>
        <w:rPr>
          <w:sz w:val="20"/>
        </w:rPr>
        <w:t>number</w:t>
      </w:r>
      <w:r>
        <w:rPr>
          <w:spacing w:val="-2"/>
          <w:sz w:val="20"/>
        </w:rPr>
        <w:t xml:space="preserve"> </w:t>
      </w:r>
      <w:r>
        <w:rPr>
          <w:sz w:val="20"/>
        </w:rPr>
        <w:t>is</w:t>
      </w:r>
      <w:r>
        <w:rPr>
          <w:spacing w:val="-3"/>
          <w:sz w:val="20"/>
        </w:rPr>
        <w:t xml:space="preserve"> </w:t>
      </w:r>
      <w:r>
        <w:rPr>
          <w:sz w:val="20"/>
        </w:rPr>
        <w:t>negative,</w:t>
      </w:r>
      <w:r>
        <w:rPr>
          <w:spacing w:val="-1"/>
          <w:sz w:val="20"/>
        </w:rPr>
        <w:t xml:space="preserve"> </w:t>
      </w:r>
      <w:r>
        <w:rPr>
          <w:sz w:val="20"/>
        </w:rPr>
        <w:t>the</w:t>
      </w:r>
      <w:r>
        <w:rPr>
          <w:spacing w:val="-3"/>
          <w:sz w:val="20"/>
        </w:rPr>
        <w:t xml:space="preserve"> </w:t>
      </w:r>
      <w:r>
        <w:rPr>
          <w:sz w:val="20"/>
        </w:rPr>
        <w:t>individual</w:t>
      </w:r>
      <w:r>
        <w:rPr>
          <w:spacing w:val="-2"/>
          <w:sz w:val="20"/>
        </w:rPr>
        <w:t xml:space="preserve"> </w:t>
      </w:r>
      <w:r>
        <w:rPr>
          <w:sz w:val="20"/>
        </w:rPr>
        <w:t>is endorsing more Cons then Pros for drinking alcohol.</w:t>
      </w:r>
    </w:p>
    <w:p w14:paraId="7F843342" w14:textId="77777777" w:rsidR="00DB6E1F" w:rsidRDefault="00DB6E1F">
      <w:pPr>
        <w:pStyle w:val="BodyText"/>
        <w:spacing w:before="8"/>
        <w:rPr>
          <w:sz w:val="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1F42035B" w14:textId="77777777">
        <w:trPr>
          <w:trHeight w:val="650"/>
        </w:trPr>
        <w:tc>
          <w:tcPr>
            <w:tcW w:w="9350" w:type="dxa"/>
          </w:tcPr>
          <w:p w14:paraId="0DAF75AC" w14:textId="77777777" w:rsidR="00DB6E1F" w:rsidRDefault="00F666A6">
            <w:pPr>
              <w:pStyle w:val="TableParagraph"/>
              <w:spacing w:before="80"/>
              <w:ind w:right="828"/>
              <w:rPr>
                <w:i/>
                <w:sz w:val="20"/>
              </w:rPr>
            </w:pPr>
            <w:r>
              <w:rPr>
                <w:i/>
                <w:sz w:val="20"/>
              </w:rPr>
              <w:t>Source:</w:t>
            </w:r>
            <w:r>
              <w:rPr>
                <w:i/>
                <w:spacing w:val="-4"/>
                <w:sz w:val="20"/>
              </w:rPr>
              <w:t xml:space="preserve"> </w:t>
            </w:r>
            <w:r>
              <w:rPr>
                <w:i/>
                <w:sz w:val="20"/>
              </w:rPr>
              <w:t>Prochaska</w:t>
            </w:r>
            <w:r>
              <w:rPr>
                <w:i/>
                <w:spacing w:val="-2"/>
                <w:sz w:val="20"/>
              </w:rPr>
              <w:t xml:space="preserve"> </w:t>
            </w:r>
            <w:r>
              <w:rPr>
                <w:i/>
                <w:sz w:val="20"/>
              </w:rPr>
              <w:t>et</w:t>
            </w:r>
            <w:r>
              <w:rPr>
                <w:i/>
                <w:spacing w:val="-3"/>
                <w:sz w:val="20"/>
              </w:rPr>
              <w:t xml:space="preserve"> </w:t>
            </w:r>
            <w:r>
              <w:rPr>
                <w:i/>
                <w:sz w:val="20"/>
              </w:rPr>
              <w:t>al.,</w:t>
            </w:r>
            <w:r>
              <w:rPr>
                <w:i/>
                <w:spacing w:val="-5"/>
                <w:sz w:val="20"/>
              </w:rPr>
              <w:t xml:space="preserve"> </w:t>
            </w:r>
            <w:r>
              <w:rPr>
                <w:i/>
                <w:sz w:val="20"/>
              </w:rPr>
              <w:t>1994.</w:t>
            </w:r>
            <w:r>
              <w:rPr>
                <w:i/>
                <w:spacing w:val="-3"/>
                <w:sz w:val="20"/>
              </w:rPr>
              <w:t xml:space="preserve"> </w:t>
            </w:r>
            <w:r>
              <w:rPr>
                <w:i/>
                <w:sz w:val="20"/>
              </w:rPr>
              <w:t>Reprinted</w:t>
            </w:r>
            <w:r>
              <w:rPr>
                <w:i/>
                <w:spacing w:val="-2"/>
                <w:sz w:val="20"/>
              </w:rPr>
              <w:t xml:space="preserve"> </w:t>
            </w:r>
            <w:r>
              <w:rPr>
                <w:i/>
                <w:sz w:val="20"/>
              </w:rPr>
              <w:t>from</w:t>
            </w:r>
            <w:r>
              <w:rPr>
                <w:i/>
                <w:spacing w:val="-2"/>
                <w:sz w:val="20"/>
              </w:rPr>
              <w:t xml:space="preserve"> </w:t>
            </w:r>
            <w:r>
              <w:rPr>
                <w:i/>
                <w:sz w:val="20"/>
              </w:rPr>
              <w:t>material</w:t>
            </w:r>
            <w:r>
              <w:rPr>
                <w:i/>
                <w:spacing w:val="-3"/>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public</w:t>
            </w:r>
            <w:r>
              <w:rPr>
                <w:i/>
                <w:spacing w:val="-2"/>
                <w:sz w:val="20"/>
              </w:rPr>
              <w:t xml:space="preserve"> </w:t>
            </w:r>
            <w:r>
              <w:rPr>
                <w:i/>
                <w:sz w:val="20"/>
              </w:rPr>
              <w:t>domain.</w:t>
            </w:r>
            <w:r>
              <w:rPr>
                <w:i/>
                <w:spacing w:val="-3"/>
                <w:sz w:val="20"/>
              </w:rPr>
              <w:t xml:space="preserve"> </w:t>
            </w:r>
            <w:r>
              <w:rPr>
                <w:i/>
                <w:sz w:val="20"/>
              </w:rPr>
              <w:t>Available</w:t>
            </w:r>
            <w:r>
              <w:rPr>
                <w:i/>
                <w:spacing w:val="-2"/>
                <w:sz w:val="20"/>
              </w:rPr>
              <w:t xml:space="preserve"> </w:t>
            </w:r>
            <w:r>
              <w:rPr>
                <w:i/>
                <w:sz w:val="20"/>
              </w:rPr>
              <w:t>online</w:t>
            </w:r>
            <w:r>
              <w:rPr>
                <w:i/>
                <w:spacing w:val="-2"/>
                <w:sz w:val="20"/>
              </w:rPr>
              <w:t xml:space="preserve"> </w:t>
            </w:r>
            <w:r>
              <w:rPr>
                <w:i/>
                <w:sz w:val="20"/>
              </w:rPr>
              <w:t>at</w:t>
            </w:r>
            <w:r>
              <w:rPr>
                <w:i/>
                <w:spacing w:val="-3"/>
                <w:sz w:val="20"/>
              </w:rPr>
              <w:t xml:space="preserve"> </w:t>
            </w:r>
            <w:r>
              <w:rPr>
                <w:i/>
                <w:sz w:val="20"/>
              </w:rPr>
              <w:t>no</w:t>
            </w:r>
            <w:r>
              <w:rPr>
                <w:i/>
                <w:spacing w:val="-4"/>
                <w:sz w:val="20"/>
              </w:rPr>
              <w:t xml:space="preserve"> </w:t>
            </w:r>
            <w:r>
              <w:rPr>
                <w:i/>
                <w:sz w:val="20"/>
              </w:rPr>
              <w:t xml:space="preserve">cost </w:t>
            </w:r>
            <w:r>
              <w:rPr>
                <w:i/>
                <w:spacing w:val="-2"/>
                <w:sz w:val="20"/>
              </w:rPr>
              <w:t>(</w:t>
            </w:r>
            <w:hyperlink r:id="rId179">
              <w:r>
                <w:rPr>
                  <w:i/>
                  <w:color w:val="0563C1"/>
                  <w:spacing w:val="-2"/>
                  <w:sz w:val="20"/>
                  <w:u w:val="single" w:color="0563C1"/>
                </w:rPr>
                <w:t>https://habitslab.umbc.edu/files/2014/07/Alcohol-Decisional-Balance-scale.pdf</w:t>
              </w:r>
            </w:hyperlink>
            <w:r>
              <w:rPr>
                <w:i/>
                <w:spacing w:val="-2"/>
                <w:sz w:val="20"/>
              </w:rPr>
              <w:t>).</w:t>
            </w:r>
          </w:p>
        </w:tc>
      </w:tr>
    </w:tbl>
    <w:p w14:paraId="4287728E" w14:textId="77777777" w:rsidR="00DB6E1F" w:rsidRDefault="00DB6E1F">
      <w:pPr>
        <w:rPr>
          <w:sz w:val="20"/>
        </w:rPr>
        <w:sectPr w:rsidR="00DB6E1F">
          <w:pgSz w:w="12240" w:h="15840"/>
          <w:pgMar w:top="1200" w:right="0" w:bottom="780" w:left="0" w:header="763" w:footer="585" w:gutter="0"/>
          <w:cols w:space="720"/>
        </w:sectPr>
      </w:pPr>
    </w:p>
    <w:p w14:paraId="614289C6" w14:textId="77777777" w:rsidR="00DB6E1F" w:rsidRDefault="00DB6E1F">
      <w:pPr>
        <w:pStyle w:val="BodyText"/>
        <w:spacing w:before="3"/>
        <w:rPr>
          <w:sz w:val="17"/>
        </w:rPr>
      </w:pPr>
    </w:p>
    <w:p w14:paraId="50AC691D" w14:textId="77777777" w:rsidR="00DB6E1F" w:rsidRDefault="00F666A6">
      <w:pPr>
        <w:pStyle w:val="Heading2"/>
        <w:numPr>
          <w:ilvl w:val="0"/>
          <w:numId w:val="28"/>
        </w:numPr>
        <w:tabs>
          <w:tab w:val="left" w:pos="1983"/>
        </w:tabs>
        <w:ind w:left="1982" w:hanging="543"/>
      </w:pPr>
      <w:bookmarkStart w:id="252" w:name="11._Drug_Use_Decisional_Balance_Scale"/>
      <w:bookmarkStart w:id="253" w:name="_bookmark61"/>
      <w:bookmarkEnd w:id="252"/>
      <w:bookmarkEnd w:id="253"/>
      <w:r>
        <w:t>Drug</w:t>
      </w:r>
      <w:r>
        <w:rPr>
          <w:spacing w:val="-2"/>
        </w:rPr>
        <w:t xml:space="preserve"> </w:t>
      </w:r>
      <w:r>
        <w:t>Use</w:t>
      </w:r>
      <w:r>
        <w:rPr>
          <w:spacing w:val="-4"/>
        </w:rPr>
        <w:t xml:space="preserve"> </w:t>
      </w:r>
      <w:r>
        <w:t>Decisional</w:t>
      </w:r>
      <w:r>
        <w:rPr>
          <w:spacing w:val="-1"/>
        </w:rPr>
        <w:t xml:space="preserve"> </w:t>
      </w:r>
      <w:r>
        <w:t>Balance</w:t>
      </w:r>
      <w:r>
        <w:rPr>
          <w:spacing w:val="-2"/>
        </w:rPr>
        <w:t xml:space="preserve"> </w:t>
      </w:r>
      <w:r>
        <w:rPr>
          <w:spacing w:val="-4"/>
        </w:rPr>
        <w:t>Scale</w:t>
      </w:r>
    </w:p>
    <w:p w14:paraId="014964DE" w14:textId="77777777" w:rsidR="00DB6E1F" w:rsidRDefault="00F666A6">
      <w:pPr>
        <w:tabs>
          <w:tab w:val="left" w:pos="4018"/>
          <w:tab w:val="left" w:pos="5189"/>
          <w:tab w:val="left" w:pos="5865"/>
          <w:tab w:val="left" w:pos="6541"/>
          <w:tab w:val="left" w:pos="9455"/>
        </w:tabs>
        <w:spacing w:before="154"/>
        <w:ind w:left="1440"/>
        <w:rPr>
          <w:rFonts w:ascii="Times New Roman"/>
          <w:sz w:val="20"/>
        </w:rPr>
      </w:pPr>
      <w:r>
        <w:rPr>
          <w:sz w:val="20"/>
        </w:rPr>
        <w:t>Client</w:t>
      </w:r>
      <w:r>
        <w:rPr>
          <w:spacing w:val="-3"/>
          <w:sz w:val="20"/>
        </w:rPr>
        <w:t xml:space="preserve"> </w:t>
      </w:r>
      <w:r>
        <w:rPr>
          <w:sz w:val="20"/>
        </w:rPr>
        <w:t>ID#:</w:t>
      </w:r>
      <w:r>
        <w:rPr>
          <w:spacing w:val="-4"/>
          <w:sz w:val="20"/>
        </w:rPr>
        <w:t xml:space="preserve"> </w:t>
      </w:r>
      <w:r>
        <w:rPr>
          <w:rFonts w:ascii="Times New Roman"/>
          <w:sz w:val="20"/>
          <w:u w:val="single"/>
        </w:rPr>
        <w:tab/>
      </w:r>
      <w:r>
        <w:rPr>
          <w:rFonts w:ascii="Times New Roman"/>
          <w:spacing w:val="40"/>
          <w:sz w:val="20"/>
        </w:rPr>
        <w:t xml:space="preserve"> </w:t>
      </w:r>
      <w:r>
        <w:rPr>
          <w:sz w:val="20"/>
        </w:rPr>
        <w:t xml:space="preserve">Date: </w:t>
      </w:r>
      <w:r>
        <w:rPr>
          <w:rFonts w:ascii="Times New Roman"/>
          <w:sz w:val="20"/>
          <w:u w:val="single"/>
        </w:rPr>
        <w:tab/>
      </w:r>
      <w:r>
        <w:rPr>
          <w:spacing w:val="-10"/>
          <w:sz w:val="20"/>
        </w:rPr>
        <w:t>/</w:t>
      </w:r>
      <w:r>
        <w:rPr>
          <w:rFonts w:ascii="Times New Roman"/>
          <w:sz w:val="20"/>
          <w:u w:val="single"/>
        </w:rPr>
        <w:tab/>
      </w:r>
      <w:r>
        <w:rPr>
          <w:spacing w:val="-10"/>
          <w:sz w:val="20"/>
        </w:rPr>
        <w:t>/</w:t>
      </w:r>
      <w:r>
        <w:rPr>
          <w:rFonts w:ascii="Times New Roman"/>
          <w:sz w:val="20"/>
          <w:u w:val="single"/>
        </w:rPr>
        <w:tab/>
      </w:r>
      <w:r>
        <w:rPr>
          <w:rFonts w:ascii="Times New Roman"/>
          <w:spacing w:val="40"/>
          <w:sz w:val="20"/>
        </w:rPr>
        <w:t xml:space="preserve"> </w:t>
      </w:r>
      <w:r>
        <w:rPr>
          <w:spacing w:val="-2"/>
          <w:sz w:val="20"/>
        </w:rPr>
        <w:t xml:space="preserve">Assessment </w:t>
      </w:r>
      <w:r>
        <w:rPr>
          <w:sz w:val="20"/>
        </w:rPr>
        <w:t xml:space="preserve">Point: </w:t>
      </w:r>
      <w:r>
        <w:rPr>
          <w:rFonts w:ascii="Times New Roman"/>
          <w:sz w:val="20"/>
          <w:u w:val="single"/>
        </w:rPr>
        <w:tab/>
      </w:r>
    </w:p>
    <w:p w14:paraId="77AF3844" w14:textId="77777777" w:rsidR="00DB6E1F" w:rsidRDefault="00F666A6">
      <w:pPr>
        <w:spacing w:before="118"/>
        <w:ind w:left="1440" w:right="1555"/>
        <w:rPr>
          <w:sz w:val="20"/>
        </w:rPr>
      </w:pPr>
      <w:r>
        <w:rPr>
          <w:b/>
          <w:sz w:val="20"/>
        </w:rPr>
        <w:t>Instructions:</w:t>
      </w:r>
      <w:r>
        <w:rPr>
          <w:b/>
          <w:spacing w:val="-3"/>
          <w:sz w:val="20"/>
        </w:rPr>
        <w:t xml:space="preserve"> </w:t>
      </w:r>
      <w:r>
        <w:rPr>
          <w:sz w:val="20"/>
        </w:rPr>
        <w:t>The</w:t>
      </w:r>
      <w:r>
        <w:rPr>
          <w:spacing w:val="-4"/>
          <w:sz w:val="20"/>
        </w:rPr>
        <w:t xml:space="preserve"> </w:t>
      </w:r>
      <w:r>
        <w:rPr>
          <w:sz w:val="20"/>
        </w:rPr>
        <w:t>following</w:t>
      </w:r>
      <w:r>
        <w:rPr>
          <w:spacing w:val="-1"/>
          <w:sz w:val="20"/>
        </w:rPr>
        <w:t xml:space="preserve"> </w:t>
      </w:r>
      <w:r>
        <w:rPr>
          <w:sz w:val="20"/>
        </w:rPr>
        <w:t>statements</w:t>
      </w:r>
      <w:r>
        <w:rPr>
          <w:spacing w:val="-4"/>
          <w:sz w:val="20"/>
        </w:rPr>
        <w:t xml:space="preserve"> </w:t>
      </w:r>
      <w:r>
        <w:rPr>
          <w:sz w:val="20"/>
        </w:rPr>
        <w:t>may</w:t>
      </w:r>
      <w:r>
        <w:rPr>
          <w:spacing w:val="-2"/>
          <w:sz w:val="20"/>
        </w:rPr>
        <w:t xml:space="preserve"> </w:t>
      </w:r>
      <w:r>
        <w:rPr>
          <w:sz w:val="20"/>
        </w:rPr>
        <w:t>play</w:t>
      </w:r>
      <w:r>
        <w:rPr>
          <w:spacing w:val="-2"/>
          <w:sz w:val="20"/>
        </w:rPr>
        <w:t xml:space="preserve"> </w:t>
      </w:r>
      <w:r>
        <w:rPr>
          <w:sz w:val="20"/>
        </w:rPr>
        <w:t>a</w:t>
      </w:r>
      <w:r>
        <w:rPr>
          <w:spacing w:val="-3"/>
          <w:sz w:val="20"/>
        </w:rPr>
        <w:t xml:space="preserve"> </w:t>
      </w:r>
      <w:r>
        <w:rPr>
          <w:sz w:val="20"/>
        </w:rPr>
        <w:t>part</w:t>
      </w:r>
      <w:r>
        <w:rPr>
          <w:spacing w:val="-3"/>
          <w:sz w:val="20"/>
        </w:rPr>
        <w:t xml:space="preserve"> </w:t>
      </w:r>
      <w:r>
        <w:rPr>
          <w:sz w:val="20"/>
        </w:rPr>
        <w:t>in</w:t>
      </w:r>
      <w:r>
        <w:rPr>
          <w:spacing w:val="-5"/>
          <w:sz w:val="20"/>
        </w:rPr>
        <w:t xml:space="preserve"> </w:t>
      </w:r>
      <w:r>
        <w:rPr>
          <w:sz w:val="20"/>
        </w:rPr>
        <w:t>making</w:t>
      </w:r>
      <w:r>
        <w:rPr>
          <w:spacing w:val="-3"/>
          <w:sz w:val="20"/>
        </w:rPr>
        <w:t xml:space="preserve"> </w:t>
      </w:r>
      <w:r>
        <w:rPr>
          <w:sz w:val="20"/>
        </w:rPr>
        <w:t>a</w:t>
      </w:r>
      <w:r>
        <w:rPr>
          <w:spacing w:val="-3"/>
          <w:sz w:val="20"/>
        </w:rPr>
        <w:t xml:space="preserve"> </w:t>
      </w:r>
      <w:r>
        <w:rPr>
          <w:sz w:val="20"/>
        </w:rPr>
        <w:t>decision</w:t>
      </w:r>
      <w:r>
        <w:rPr>
          <w:spacing w:val="-2"/>
          <w:sz w:val="20"/>
        </w:rPr>
        <w:t xml:space="preserve"> </w:t>
      </w:r>
      <w:r>
        <w:rPr>
          <w:sz w:val="20"/>
        </w:rPr>
        <w:t>about</w:t>
      </w:r>
      <w:r>
        <w:rPr>
          <w:spacing w:val="-3"/>
          <w:sz w:val="20"/>
        </w:rPr>
        <w:t xml:space="preserve"> </w:t>
      </w:r>
      <w:r>
        <w:rPr>
          <w:sz w:val="20"/>
        </w:rPr>
        <w:t>using</w:t>
      </w:r>
      <w:r>
        <w:rPr>
          <w:spacing w:val="-1"/>
          <w:sz w:val="20"/>
        </w:rPr>
        <w:t xml:space="preserve"> </w:t>
      </w:r>
      <w:r>
        <w:rPr>
          <w:sz w:val="20"/>
        </w:rPr>
        <w:t>drugs.</w:t>
      </w:r>
      <w:r>
        <w:rPr>
          <w:spacing w:val="-3"/>
          <w:sz w:val="20"/>
        </w:rPr>
        <w:t xml:space="preserve"> </w:t>
      </w:r>
      <w:r>
        <w:rPr>
          <w:sz w:val="20"/>
        </w:rPr>
        <w:t>We</w:t>
      </w:r>
      <w:r>
        <w:rPr>
          <w:spacing w:val="-4"/>
          <w:sz w:val="20"/>
        </w:rPr>
        <w:t xml:space="preserve"> </w:t>
      </w:r>
      <w:r>
        <w:rPr>
          <w:sz w:val="20"/>
        </w:rPr>
        <w:t>would</w:t>
      </w:r>
      <w:r>
        <w:rPr>
          <w:spacing w:val="-2"/>
          <w:sz w:val="20"/>
        </w:rPr>
        <w:t xml:space="preserve"> </w:t>
      </w:r>
      <w:r>
        <w:rPr>
          <w:sz w:val="20"/>
        </w:rPr>
        <w:t>like</w:t>
      </w:r>
      <w:r>
        <w:rPr>
          <w:spacing w:val="-4"/>
          <w:sz w:val="20"/>
        </w:rPr>
        <w:t xml:space="preserve"> </w:t>
      </w:r>
      <w:r>
        <w:rPr>
          <w:sz w:val="20"/>
        </w:rPr>
        <w:t>to know how important each statement is to you at the present time in relation to making a decision about your using drugs. Ple</w:t>
      </w:r>
      <w:r>
        <w:rPr>
          <w:sz w:val="20"/>
        </w:rPr>
        <w:t>ase rate the level of importance to each statement on the following 5 points:</w:t>
      </w:r>
    </w:p>
    <w:p w14:paraId="180E7B92" w14:textId="77777777" w:rsidR="00DB6E1F" w:rsidRDefault="00F666A6">
      <w:pPr>
        <w:spacing w:before="122" w:line="259" w:lineRule="auto"/>
        <w:ind w:left="1440" w:right="8775"/>
        <w:rPr>
          <w:sz w:val="20"/>
        </w:rPr>
      </w:pPr>
      <w:r>
        <w:rPr>
          <w:sz w:val="20"/>
        </w:rPr>
        <w:t>1=Not important at all 2=Slightly important 3=Moderately</w:t>
      </w:r>
      <w:r>
        <w:rPr>
          <w:spacing w:val="-12"/>
          <w:sz w:val="20"/>
        </w:rPr>
        <w:t xml:space="preserve"> </w:t>
      </w:r>
      <w:r>
        <w:rPr>
          <w:sz w:val="20"/>
        </w:rPr>
        <w:t>important 4=Very important 5=Extremely important</w:t>
      </w:r>
    </w:p>
    <w:p w14:paraId="7EA76095" w14:textId="77777777" w:rsidR="00DB6E1F" w:rsidRDefault="00F666A6">
      <w:pPr>
        <w:ind w:left="1440" w:right="1444"/>
        <w:rPr>
          <w:sz w:val="20"/>
        </w:rPr>
      </w:pPr>
      <w:r>
        <w:rPr>
          <w:sz w:val="20"/>
        </w:rPr>
        <w:t>Please</w:t>
      </w:r>
      <w:r>
        <w:rPr>
          <w:spacing w:val="-3"/>
          <w:sz w:val="20"/>
        </w:rPr>
        <w:t xml:space="preserve"> </w:t>
      </w:r>
      <w:r>
        <w:rPr>
          <w:sz w:val="20"/>
        </w:rPr>
        <w:t>read</w:t>
      </w:r>
      <w:r>
        <w:rPr>
          <w:spacing w:val="-1"/>
          <w:sz w:val="20"/>
        </w:rPr>
        <w:t xml:space="preserve"> </w:t>
      </w:r>
      <w:r>
        <w:rPr>
          <w:sz w:val="20"/>
        </w:rPr>
        <w:t>each</w:t>
      </w:r>
      <w:r>
        <w:rPr>
          <w:spacing w:val="-1"/>
          <w:sz w:val="20"/>
        </w:rPr>
        <w:t xml:space="preserve"> </w:t>
      </w:r>
      <w:r>
        <w:rPr>
          <w:sz w:val="20"/>
        </w:rPr>
        <w:t>statement</w:t>
      </w:r>
      <w:r>
        <w:rPr>
          <w:spacing w:val="-2"/>
          <w:sz w:val="20"/>
        </w:rPr>
        <w:t xml:space="preserve"> </w:t>
      </w:r>
      <w:r>
        <w:rPr>
          <w:sz w:val="20"/>
        </w:rPr>
        <w:t>and</w:t>
      </w:r>
      <w:r>
        <w:rPr>
          <w:spacing w:val="-1"/>
          <w:sz w:val="20"/>
        </w:rPr>
        <w:t xml:space="preserve"> </w:t>
      </w:r>
      <w:r>
        <w:rPr>
          <w:sz w:val="20"/>
        </w:rPr>
        <w:t>circle</w:t>
      </w:r>
      <w:r>
        <w:rPr>
          <w:spacing w:val="-3"/>
          <w:sz w:val="20"/>
        </w:rPr>
        <w:t xml:space="preserve"> </w:t>
      </w:r>
      <w:r>
        <w:rPr>
          <w:sz w:val="20"/>
        </w:rPr>
        <w:t>the</w:t>
      </w:r>
      <w:r>
        <w:rPr>
          <w:spacing w:val="-3"/>
          <w:sz w:val="20"/>
        </w:rPr>
        <w:t xml:space="preserve"> </w:t>
      </w:r>
      <w:r>
        <w:rPr>
          <w:sz w:val="20"/>
        </w:rPr>
        <w:t>number</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right</w:t>
      </w:r>
      <w:r>
        <w:rPr>
          <w:spacing w:val="-2"/>
          <w:sz w:val="20"/>
        </w:rPr>
        <w:t xml:space="preserve"> </w:t>
      </w:r>
      <w:r>
        <w:rPr>
          <w:sz w:val="20"/>
        </w:rPr>
        <w:t>to</w:t>
      </w:r>
      <w:r>
        <w:rPr>
          <w:spacing w:val="-2"/>
          <w:sz w:val="20"/>
        </w:rPr>
        <w:t xml:space="preserve"> </w:t>
      </w:r>
      <w:r>
        <w:rPr>
          <w:sz w:val="20"/>
        </w:rPr>
        <w:t>indicate</w:t>
      </w:r>
      <w:r>
        <w:rPr>
          <w:spacing w:val="-3"/>
          <w:sz w:val="20"/>
        </w:rPr>
        <w:t xml:space="preserve"> </w:t>
      </w:r>
      <w:r>
        <w:rPr>
          <w:sz w:val="20"/>
        </w:rPr>
        <w:t>how</w:t>
      </w:r>
      <w:r>
        <w:rPr>
          <w:spacing w:val="-3"/>
          <w:sz w:val="20"/>
        </w:rPr>
        <w:t xml:space="preserve"> </w:t>
      </w:r>
      <w:r>
        <w:rPr>
          <w:sz w:val="20"/>
        </w:rPr>
        <w:t>you</w:t>
      </w:r>
      <w:r>
        <w:rPr>
          <w:spacing w:val="-1"/>
          <w:sz w:val="20"/>
        </w:rPr>
        <w:t xml:space="preserve"> </w:t>
      </w:r>
      <w:r>
        <w:rPr>
          <w:sz w:val="20"/>
        </w:rPr>
        <w:t>rate</w:t>
      </w:r>
      <w:r>
        <w:rPr>
          <w:spacing w:val="-3"/>
          <w:sz w:val="20"/>
        </w:rPr>
        <w:t xml:space="preserve"> </w:t>
      </w:r>
      <w:r>
        <w:rPr>
          <w:sz w:val="20"/>
        </w:rPr>
        <w:t>its</w:t>
      </w:r>
      <w:r>
        <w:rPr>
          <w:spacing w:val="-3"/>
          <w:sz w:val="20"/>
        </w:rPr>
        <w:t xml:space="preserve"> </w:t>
      </w:r>
      <w:r>
        <w:rPr>
          <w:sz w:val="20"/>
        </w:rPr>
        <w:t>level</w:t>
      </w:r>
      <w:r>
        <w:rPr>
          <w:spacing w:val="-2"/>
          <w:sz w:val="20"/>
        </w:rPr>
        <w:t xml:space="preserve"> </w:t>
      </w:r>
      <w:r>
        <w:rPr>
          <w:sz w:val="20"/>
        </w:rPr>
        <w:t>of</w:t>
      </w:r>
      <w:r>
        <w:rPr>
          <w:spacing w:val="-4"/>
          <w:sz w:val="20"/>
        </w:rPr>
        <w:t xml:space="preserve"> </w:t>
      </w:r>
      <w:r>
        <w:rPr>
          <w:sz w:val="20"/>
        </w:rPr>
        <w:t>importance</w:t>
      </w:r>
      <w:r>
        <w:rPr>
          <w:spacing w:val="-3"/>
          <w:sz w:val="20"/>
        </w:rPr>
        <w:t xml:space="preserve"> </w:t>
      </w:r>
      <w:r>
        <w:rPr>
          <w:sz w:val="20"/>
        </w:rPr>
        <w:t>as</w:t>
      </w:r>
      <w:r>
        <w:rPr>
          <w:spacing w:val="-3"/>
          <w:sz w:val="20"/>
        </w:rPr>
        <w:t xml:space="preserve"> </w:t>
      </w:r>
      <w:r>
        <w:rPr>
          <w:sz w:val="20"/>
        </w:rPr>
        <w:t>it relates to your making a decision about whether to use drugs at the present time</w:t>
      </w:r>
    </w:p>
    <w:p w14:paraId="76313E72" w14:textId="77777777" w:rsidR="00DB6E1F" w:rsidRDefault="00DB6E1F">
      <w:pPr>
        <w:pStyle w:val="BodyText"/>
        <w:spacing w:before="7"/>
        <w:rPr>
          <w:sz w:val="9"/>
        </w:rPr>
      </w:pP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9"/>
        <w:gridCol w:w="1078"/>
        <w:gridCol w:w="1080"/>
        <w:gridCol w:w="1082"/>
        <w:gridCol w:w="988"/>
        <w:gridCol w:w="990"/>
      </w:tblGrid>
      <w:tr w:rsidR="00DB6E1F" w14:paraId="5673A736" w14:textId="77777777">
        <w:trPr>
          <w:trHeight w:val="263"/>
        </w:trPr>
        <w:tc>
          <w:tcPr>
            <w:tcW w:w="4589" w:type="dxa"/>
          </w:tcPr>
          <w:p w14:paraId="5A35813E" w14:textId="77777777" w:rsidR="00DB6E1F" w:rsidRDefault="00F666A6">
            <w:pPr>
              <w:pStyle w:val="TableParagraph"/>
              <w:spacing w:line="242" w:lineRule="exact"/>
              <w:ind w:left="1084"/>
              <w:rPr>
                <w:b/>
                <w:sz w:val="20"/>
              </w:rPr>
            </w:pPr>
            <w:r>
              <w:rPr>
                <w:b/>
                <w:sz w:val="20"/>
              </w:rPr>
              <w:t>How</w:t>
            </w:r>
            <w:r>
              <w:rPr>
                <w:b/>
                <w:spacing w:val="-4"/>
                <w:sz w:val="20"/>
              </w:rPr>
              <w:t xml:space="preserve"> </w:t>
            </w:r>
            <w:r>
              <w:rPr>
                <w:b/>
                <w:sz w:val="20"/>
              </w:rPr>
              <w:t>important</w:t>
            </w:r>
            <w:r>
              <w:rPr>
                <w:b/>
                <w:spacing w:val="-3"/>
                <w:sz w:val="20"/>
              </w:rPr>
              <w:t xml:space="preserve"> </w:t>
            </w:r>
            <w:r>
              <w:rPr>
                <w:b/>
                <w:sz w:val="20"/>
              </w:rPr>
              <w:t>is</w:t>
            </w:r>
            <w:r>
              <w:rPr>
                <w:b/>
                <w:spacing w:val="-4"/>
                <w:sz w:val="20"/>
              </w:rPr>
              <w:t xml:space="preserve"> </w:t>
            </w:r>
            <w:r>
              <w:rPr>
                <w:b/>
                <w:sz w:val="20"/>
              </w:rPr>
              <w:t>this</w:t>
            </w:r>
            <w:r>
              <w:rPr>
                <w:b/>
                <w:spacing w:val="-3"/>
                <w:sz w:val="20"/>
              </w:rPr>
              <w:t xml:space="preserve"> </w:t>
            </w:r>
            <w:r>
              <w:rPr>
                <w:b/>
                <w:sz w:val="20"/>
              </w:rPr>
              <w:t>to</w:t>
            </w:r>
            <w:r>
              <w:rPr>
                <w:b/>
                <w:spacing w:val="-3"/>
                <w:sz w:val="20"/>
              </w:rPr>
              <w:t xml:space="preserve"> </w:t>
            </w:r>
            <w:r>
              <w:rPr>
                <w:b/>
                <w:spacing w:val="-5"/>
                <w:sz w:val="20"/>
              </w:rPr>
              <w:t>me?</w:t>
            </w:r>
          </w:p>
        </w:tc>
        <w:tc>
          <w:tcPr>
            <w:tcW w:w="1078" w:type="dxa"/>
          </w:tcPr>
          <w:p w14:paraId="51ABFBAB" w14:textId="77777777" w:rsidR="00DB6E1F" w:rsidRDefault="00F666A6">
            <w:pPr>
              <w:pStyle w:val="TableParagraph"/>
              <w:spacing w:line="242" w:lineRule="exact"/>
              <w:ind w:left="132" w:right="127"/>
              <w:jc w:val="center"/>
              <w:rPr>
                <w:b/>
                <w:sz w:val="20"/>
              </w:rPr>
            </w:pPr>
            <w:r>
              <w:rPr>
                <w:b/>
                <w:sz w:val="20"/>
              </w:rPr>
              <w:t>Not</w:t>
            </w:r>
            <w:r>
              <w:rPr>
                <w:b/>
                <w:spacing w:val="-3"/>
                <w:sz w:val="20"/>
              </w:rPr>
              <w:t xml:space="preserve"> </w:t>
            </w:r>
            <w:r>
              <w:rPr>
                <w:b/>
                <w:sz w:val="20"/>
              </w:rPr>
              <w:t>at</w:t>
            </w:r>
            <w:r>
              <w:rPr>
                <w:b/>
                <w:spacing w:val="-1"/>
                <w:sz w:val="20"/>
              </w:rPr>
              <w:t xml:space="preserve"> </w:t>
            </w:r>
            <w:r>
              <w:rPr>
                <w:b/>
                <w:spacing w:val="-5"/>
                <w:sz w:val="20"/>
              </w:rPr>
              <w:t>All</w:t>
            </w:r>
          </w:p>
        </w:tc>
        <w:tc>
          <w:tcPr>
            <w:tcW w:w="1080" w:type="dxa"/>
          </w:tcPr>
          <w:p w14:paraId="4DE2A849" w14:textId="77777777" w:rsidR="00DB6E1F" w:rsidRDefault="00F666A6">
            <w:pPr>
              <w:pStyle w:val="TableParagraph"/>
              <w:spacing w:line="242" w:lineRule="exact"/>
              <w:ind w:left="220" w:right="216"/>
              <w:jc w:val="center"/>
              <w:rPr>
                <w:b/>
                <w:sz w:val="20"/>
              </w:rPr>
            </w:pPr>
            <w:r>
              <w:rPr>
                <w:b/>
                <w:spacing w:val="-2"/>
                <w:sz w:val="20"/>
              </w:rPr>
              <w:t>Slightly</w:t>
            </w:r>
          </w:p>
        </w:tc>
        <w:tc>
          <w:tcPr>
            <w:tcW w:w="1082" w:type="dxa"/>
          </w:tcPr>
          <w:p w14:paraId="0B5ED835" w14:textId="77777777" w:rsidR="00DB6E1F" w:rsidRDefault="00F666A6">
            <w:pPr>
              <w:pStyle w:val="TableParagraph"/>
              <w:spacing w:line="242" w:lineRule="exact"/>
              <w:ind w:left="42" w:right="35"/>
              <w:jc w:val="center"/>
              <w:rPr>
                <w:b/>
                <w:sz w:val="20"/>
              </w:rPr>
            </w:pPr>
            <w:r>
              <w:rPr>
                <w:b/>
                <w:spacing w:val="-2"/>
                <w:sz w:val="20"/>
              </w:rPr>
              <w:t>Moderately</w:t>
            </w:r>
          </w:p>
        </w:tc>
        <w:tc>
          <w:tcPr>
            <w:tcW w:w="988" w:type="dxa"/>
          </w:tcPr>
          <w:p w14:paraId="50991B01" w14:textId="77777777" w:rsidR="00DB6E1F" w:rsidRDefault="00F666A6">
            <w:pPr>
              <w:pStyle w:val="TableParagraph"/>
              <w:spacing w:line="242" w:lineRule="exact"/>
              <w:ind w:left="289" w:right="279"/>
              <w:jc w:val="center"/>
              <w:rPr>
                <w:b/>
                <w:sz w:val="20"/>
              </w:rPr>
            </w:pPr>
            <w:r>
              <w:rPr>
                <w:b/>
                <w:spacing w:val="-4"/>
                <w:sz w:val="20"/>
              </w:rPr>
              <w:t>Very</w:t>
            </w:r>
          </w:p>
        </w:tc>
        <w:tc>
          <w:tcPr>
            <w:tcW w:w="990" w:type="dxa"/>
          </w:tcPr>
          <w:p w14:paraId="1CADE695" w14:textId="77777777" w:rsidR="00DB6E1F" w:rsidRDefault="00F666A6">
            <w:pPr>
              <w:pStyle w:val="TableParagraph"/>
              <w:spacing w:line="242" w:lineRule="exact"/>
              <w:ind w:left="65" w:right="55"/>
              <w:jc w:val="center"/>
              <w:rPr>
                <w:b/>
                <w:sz w:val="20"/>
              </w:rPr>
            </w:pPr>
            <w:r>
              <w:rPr>
                <w:b/>
                <w:spacing w:val="-2"/>
                <w:sz w:val="20"/>
              </w:rPr>
              <w:t>Extremely</w:t>
            </w:r>
          </w:p>
        </w:tc>
      </w:tr>
      <w:tr w:rsidR="00DB6E1F" w14:paraId="160CBF25" w14:textId="77777777">
        <w:trPr>
          <w:trHeight w:val="263"/>
        </w:trPr>
        <w:tc>
          <w:tcPr>
            <w:tcW w:w="4589" w:type="dxa"/>
          </w:tcPr>
          <w:p w14:paraId="2DE2AE97" w14:textId="77777777" w:rsidR="00DB6E1F" w:rsidRDefault="00F666A6">
            <w:pPr>
              <w:pStyle w:val="TableParagraph"/>
              <w:spacing w:line="242" w:lineRule="exact"/>
              <w:ind w:left="95"/>
              <w:rPr>
                <w:sz w:val="20"/>
              </w:rPr>
            </w:pPr>
            <w:r>
              <w:rPr>
                <w:color w:val="4D4D4F"/>
                <w:sz w:val="20"/>
              </w:rPr>
              <w:t>1.</w:t>
            </w:r>
            <w:r>
              <w:rPr>
                <w:color w:val="4D4D4F"/>
                <w:spacing w:val="44"/>
                <w:sz w:val="20"/>
              </w:rPr>
              <w:t xml:space="preserve">  </w:t>
            </w:r>
            <w:r>
              <w:rPr>
                <w:sz w:val="20"/>
              </w:rPr>
              <w:t>My</w:t>
            </w:r>
            <w:r>
              <w:rPr>
                <w:spacing w:val="2"/>
                <w:sz w:val="20"/>
              </w:rPr>
              <w:t xml:space="preserve"> </w:t>
            </w:r>
            <w:r>
              <w:rPr>
                <w:sz w:val="20"/>
              </w:rPr>
              <w:t>drug use</w:t>
            </w:r>
            <w:r>
              <w:rPr>
                <w:spacing w:val="-2"/>
                <w:sz w:val="20"/>
              </w:rPr>
              <w:t xml:space="preserve"> </w:t>
            </w:r>
            <w:r>
              <w:rPr>
                <w:sz w:val="20"/>
              </w:rPr>
              <w:t>causes</w:t>
            </w:r>
            <w:r>
              <w:rPr>
                <w:spacing w:val="-1"/>
                <w:sz w:val="20"/>
              </w:rPr>
              <w:t xml:space="preserve"> </w:t>
            </w:r>
            <w:r>
              <w:rPr>
                <w:sz w:val="20"/>
              </w:rPr>
              <w:t>problems</w:t>
            </w:r>
            <w:r>
              <w:rPr>
                <w:spacing w:val="1"/>
                <w:sz w:val="20"/>
              </w:rPr>
              <w:t xml:space="preserve"> </w:t>
            </w:r>
            <w:r>
              <w:rPr>
                <w:sz w:val="20"/>
              </w:rPr>
              <w:t>with</w:t>
            </w:r>
            <w:r>
              <w:rPr>
                <w:spacing w:val="1"/>
                <w:sz w:val="20"/>
              </w:rPr>
              <w:t xml:space="preserve"> </w:t>
            </w:r>
            <w:r>
              <w:rPr>
                <w:spacing w:val="-2"/>
                <w:sz w:val="20"/>
              </w:rPr>
              <w:t>others.</w:t>
            </w:r>
          </w:p>
        </w:tc>
        <w:tc>
          <w:tcPr>
            <w:tcW w:w="1078" w:type="dxa"/>
          </w:tcPr>
          <w:p w14:paraId="6C50A6E0" w14:textId="77777777" w:rsidR="00DB6E1F" w:rsidRDefault="00F666A6">
            <w:pPr>
              <w:pStyle w:val="TableParagraph"/>
              <w:spacing w:line="242" w:lineRule="exact"/>
              <w:ind w:left="6"/>
              <w:jc w:val="center"/>
              <w:rPr>
                <w:sz w:val="20"/>
              </w:rPr>
            </w:pPr>
            <w:r>
              <w:rPr>
                <w:color w:val="221F1F"/>
                <w:w w:val="99"/>
                <w:sz w:val="20"/>
              </w:rPr>
              <w:t>1</w:t>
            </w:r>
          </w:p>
        </w:tc>
        <w:tc>
          <w:tcPr>
            <w:tcW w:w="1080" w:type="dxa"/>
          </w:tcPr>
          <w:p w14:paraId="6D1EDF46" w14:textId="77777777" w:rsidR="00DB6E1F" w:rsidRDefault="00F666A6">
            <w:pPr>
              <w:pStyle w:val="TableParagraph"/>
              <w:spacing w:line="242" w:lineRule="exact"/>
              <w:ind w:left="8"/>
              <w:jc w:val="center"/>
              <w:rPr>
                <w:sz w:val="20"/>
              </w:rPr>
            </w:pPr>
            <w:r>
              <w:rPr>
                <w:color w:val="221F1F"/>
                <w:w w:val="99"/>
                <w:sz w:val="20"/>
              </w:rPr>
              <w:t>2</w:t>
            </w:r>
          </w:p>
        </w:tc>
        <w:tc>
          <w:tcPr>
            <w:tcW w:w="1082" w:type="dxa"/>
          </w:tcPr>
          <w:p w14:paraId="54688307" w14:textId="77777777" w:rsidR="00DB6E1F" w:rsidRDefault="00F666A6">
            <w:pPr>
              <w:pStyle w:val="TableParagraph"/>
              <w:spacing w:line="242" w:lineRule="exact"/>
              <w:ind w:left="6"/>
              <w:jc w:val="center"/>
              <w:rPr>
                <w:sz w:val="20"/>
              </w:rPr>
            </w:pPr>
            <w:r>
              <w:rPr>
                <w:color w:val="221F1F"/>
                <w:w w:val="99"/>
                <w:sz w:val="20"/>
              </w:rPr>
              <w:t>3</w:t>
            </w:r>
          </w:p>
        </w:tc>
        <w:tc>
          <w:tcPr>
            <w:tcW w:w="988" w:type="dxa"/>
          </w:tcPr>
          <w:p w14:paraId="48779476" w14:textId="77777777" w:rsidR="00DB6E1F" w:rsidRDefault="00F666A6">
            <w:pPr>
              <w:pStyle w:val="TableParagraph"/>
              <w:spacing w:line="242" w:lineRule="exact"/>
              <w:ind w:left="10"/>
              <w:jc w:val="center"/>
              <w:rPr>
                <w:sz w:val="20"/>
              </w:rPr>
            </w:pPr>
            <w:r>
              <w:rPr>
                <w:color w:val="221F1F"/>
                <w:w w:val="99"/>
                <w:sz w:val="20"/>
              </w:rPr>
              <w:t>4</w:t>
            </w:r>
          </w:p>
        </w:tc>
        <w:tc>
          <w:tcPr>
            <w:tcW w:w="990" w:type="dxa"/>
          </w:tcPr>
          <w:p w14:paraId="2E874271" w14:textId="77777777" w:rsidR="00DB6E1F" w:rsidRDefault="00F666A6">
            <w:pPr>
              <w:pStyle w:val="TableParagraph"/>
              <w:spacing w:line="242" w:lineRule="exact"/>
              <w:ind w:left="9"/>
              <w:jc w:val="center"/>
              <w:rPr>
                <w:sz w:val="20"/>
              </w:rPr>
            </w:pPr>
            <w:r>
              <w:rPr>
                <w:color w:val="221F1F"/>
                <w:w w:val="99"/>
                <w:sz w:val="20"/>
              </w:rPr>
              <w:t>5</w:t>
            </w:r>
          </w:p>
        </w:tc>
      </w:tr>
      <w:tr w:rsidR="00DB6E1F" w14:paraId="5A94EE34" w14:textId="77777777">
        <w:trPr>
          <w:trHeight w:val="263"/>
        </w:trPr>
        <w:tc>
          <w:tcPr>
            <w:tcW w:w="4589" w:type="dxa"/>
          </w:tcPr>
          <w:p w14:paraId="020DBCF8" w14:textId="77777777" w:rsidR="00DB6E1F" w:rsidRDefault="00F666A6">
            <w:pPr>
              <w:pStyle w:val="TableParagraph"/>
              <w:spacing w:line="242" w:lineRule="exact"/>
              <w:ind w:left="95"/>
              <w:rPr>
                <w:sz w:val="20"/>
              </w:rPr>
            </w:pPr>
            <w:r>
              <w:rPr>
                <w:color w:val="4D4D4F"/>
                <w:sz w:val="20"/>
              </w:rPr>
              <w:t>2.</w:t>
            </w:r>
            <w:r>
              <w:rPr>
                <w:color w:val="4D4D4F"/>
                <w:spacing w:val="43"/>
                <w:sz w:val="20"/>
              </w:rPr>
              <w:t xml:space="preserve">  </w:t>
            </w:r>
            <w:r>
              <w:rPr>
                <w:sz w:val="20"/>
              </w:rPr>
              <w:t>I like</w:t>
            </w:r>
            <w:r>
              <w:rPr>
                <w:spacing w:val="-1"/>
                <w:sz w:val="20"/>
              </w:rPr>
              <w:t xml:space="preserve"> </w:t>
            </w:r>
            <w:r>
              <w:rPr>
                <w:sz w:val="20"/>
              </w:rPr>
              <w:t>myself</w:t>
            </w:r>
            <w:r>
              <w:rPr>
                <w:spacing w:val="-2"/>
                <w:sz w:val="20"/>
              </w:rPr>
              <w:t xml:space="preserve"> </w:t>
            </w:r>
            <w:r>
              <w:rPr>
                <w:sz w:val="20"/>
              </w:rPr>
              <w:t>better</w:t>
            </w:r>
            <w:r>
              <w:rPr>
                <w:spacing w:val="-1"/>
                <w:sz w:val="20"/>
              </w:rPr>
              <w:t xml:space="preserve"> </w:t>
            </w:r>
            <w:r>
              <w:rPr>
                <w:sz w:val="20"/>
              </w:rPr>
              <w:t>when I am</w:t>
            </w:r>
            <w:r>
              <w:rPr>
                <w:spacing w:val="1"/>
                <w:sz w:val="20"/>
              </w:rPr>
              <w:t xml:space="preserve"> </w:t>
            </w:r>
            <w:r>
              <w:rPr>
                <w:sz w:val="20"/>
              </w:rPr>
              <w:t>using</w:t>
            </w:r>
            <w:r>
              <w:rPr>
                <w:spacing w:val="-1"/>
                <w:sz w:val="20"/>
              </w:rPr>
              <w:t xml:space="preserve"> </w:t>
            </w:r>
            <w:r>
              <w:rPr>
                <w:spacing w:val="-2"/>
                <w:sz w:val="20"/>
              </w:rPr>
              <w:t>drugs.</w:t>
            </w:r>
          </w:p>
        </w:tc>
        <w:tc>
          <w:tcPr>
            <w:tcW w:w="1078" w:type="dxa"/>
          </w:tcPr>
          <w:p w14:paraId="6417375B" w14:textId="77777777" w:rsidR="00DB6E1F" w:rsidRDefault="00F666A6">
            <w:pPr>
              <w:pStyle w:val="TableParagraph"/>
              <w:spacing w:line="242" w:lineRule="exact"/>
              <w:ind w:left="6"/>
              <w:jc w:val="center"/>
              <w:rPr>
                <w:sz w:val="20"/>
              </w:rPr>
            </w:pPr>
            <w:r>
              <w:rPr>
                <w:w w:val="99"/>
                <w:sz w:val="20"/>
              </w:rPr>
              <w:t>1</w:t>
            </w:r>
          </w:p>
        </w:tc>
        <w:tc>
          <w:tcPr>
            <w:tcW w:w="1080" w:type="dxa"/>
          </w:tcPr>
          <w:p w14:paraId="69B37FEA" w14:textId="77777777" w:rsidR="00DB6E1F" w:rsidRDefault="00F666A6">
            <w:pPr>
              <w:pStyle w:val="TableParagraph"/>
              <w:spacing w:line="242" w:lineRule="exact"/>
              <w:ind w:left="8"/>
              <w:jc w:val="center"/>
              <w:rPr>
                <w:sz w:val="20"/>
              </w:rPr>
            </w:pPr>
            <w:r>
              <w:rPr>
                <w:w w:val="99"/>
                <w:sz w:val="20"/>
              </w:rPr>
              <w:t>2</w:t>
            </w:r>
          </w:p>
        </w:tc>
        <w:tc>
          <w:tcPr>
            <w:tcW w:w="1082" w:type="dxa"/>
          </w:tcPr>
          <w:p w14:paraId="263F2D65" w14:textId="77777777" w:rsidR="00DB6E1F" w:rsidRDefault="00F666A6">
            <w:pPr>
              <w:pStyle w:val="TableParagraph"/>
              <w:spacing w:line="242" w:lineRule="exact"/>
              <w:ind w:left="6"/>
              <w:jc w:val="center"/>
              <w:rPr>
                <w:sz w:val="20"/>
              </w:rPr>
            </w:pPr>
            <w:r>
              <w:rPr>
                <w:w w:val="99"/>
                <w:sz w:val="20"/>
              </w:rPr>
              <w:t>3</w:t>
            </w:r>
          </w:p>
        </w:tc>
        <w:tc>
          <w:tcPr>
            <w:tcW w:w="988" w:type="dxa"/>
          </w:tcPr>
          <w:p w14:paraId="60BD390E" w14:textId="77777777" w:rsidR="00DB6E1F" w:rsidRDefault="00F666A6">
            <w:pPr>
              <w:pStyle w:val="TableParagraph"/>
              <w:spacing w:line="242" w:lineRule="exact"/>
              <w:ind w:left="10"/>
              <w:jc w:val="center"/>
              <w:rPr>
                <w:sz w:val="20"/>
              </w:rPr>
            </w:pPr>
            <w:r>
              <w:rPr>
                <w:w w:val="99"/>
                <w:sz w:val="20"/>
              </w:rPr>
              <w:t>4</w:t>
            </w:r>
          </w:p>
        </w:tc>
        <w:tc>
          <w:tcPr>
            <w:tcW w:w="990" w:type="dxa"/>
          </w:tcPr>
          <w:p w14:paraId="5642C539" w14:textId="77777777" w:rsidR="00DB6E1F" w:rsidRDefault="00F666A6">
            <w:pPr>
              <w:pStyle w:val="TableParagraph"/>
              <w:spacing w:line="242" w:lineRule="exact"/>
              <w:ind w:left="9"/>
              <w:jc w:val="center"/>
              <w:rPr>
                <w:sz w:val="20"/>
              </w:rPr>
            </w:pPr>
            <w:r>
              <w:rPr>
                <w:w w:val="99"/>
                <w:sz w:val="20"/>
              </w:rPr>
              <w:t>5</w:t>
            </w:r>
          </w:p>
        </w:tc>
      </w:tr>
      <w:tr w:rsidR="00DB6E1F" w14:paraId="13035949" w14:textId="77777777">
        <w:trPr>
          <w:trHeight w:val="525"/>
        </w:trPr>
        <w:tc>
          <w:tcPr>
            <w:tcW w:w="4589" w:type="dxa"/>
          </w:tcPr>
          <w:p w14:paraId="1E831A35" w14:textId="77777777" w:rsidR="00DB6E1F" w:rsidRDefault="00F666A6">
            <w:pPr>
              <w:pStyle w:val="TableParagraph"/>
              <w:ind w:left="95" w:right="-15"/>
              <w:rPr>
                <w:sz w:val="20"/>
              </w:rPr>
            </w:pPr>
            <w:r>
              <w:rPr>
                <w:color w:val="4D4D4F"/>
                <w:sz w:val="20"/>
              </w:rPr>
              <w:t>3.</w:t>
            </w:r>
            <w:r>
              <w:rPr>
                <w:color w:val="4D4D4F"/>
                <w:spacing w:val="42"/>
                <w:sz w:val="20"/>
              </w:rPr>
              <w:t xml:space="preserve">  </w:t>
            </w:r>
            <w:r>
              <w:rPr>
                <w:sz w:val="20"/>
              </w:rPr>
              <w:t>Because</w:t>
            </w:r>
            <w:r>
              <w:rPr>
                <w:spacing w:val="-1"/>
                <w:sz w:val="20"/>
              </w:rPr>
              <w:t xml:space="preserve"> </w:t>
            </w:r>
            <w:r>
              <w:rPr>
                <w:sz w:val="20"/>
              </w:rPr>
              <w:t>I</w:t>
            </w:r>
            <w:r>
              <w:rPr>
                <w:spacing w:val="-1"/>
                <w:sz w:val="20"/>
              </w:rPr>
              <w:t xml:space="preserve"> </w:t>
            </w:r>
            <w:r>
              <w:rPr>
                <w:sz w:val="20"/>
              </w:rPr>
              <w:t>continue</w:t>
            </w:r>
            <w:r>
              <w:rPr>
                <w:spacing w:val="-2"/>
                <w:sz w:val="20"/>
              </w:rPr>
              <w:t xml:space="preserve"> </w:t>
            </w:r>
            <w:r>
              <w:rPr>
                <w:sz w:val="20"/>
              </w:rPr>
              <w:t>to</w:t>
            </w:r>
            <w:r>
              <w:rPr>
                <w:spacing w:val="-1"/>
                <w:sz w:val="20"/>
              </w:rPr>
              <w:t xml:space="preserve"> </w:t>
            </w:r>
            <w:r>
              <w:rPr>
                <w:sz w:val="20"/>
              </w:rPr>
              <w:t>use</w:t>
            </w:r>
            <w:r>
              <w:rPr>
                <w:spacing w:val="-2"/>
                <w:sz w:val="20"/>
              </w:rPr>
              <w:t xml:space="preserve"> </w:t>
            </w:r>
            <w:r>
              <w:rPr>
                <w:sz w:val="20"/>
              </w:rPr>
              <w:t>drugs</w:t>
            </w:r>
            <w:r>
              <w:rPr>
                <w:spacing w:val="-3"/>
                <w:sz w:val="20"/>
              </w:rPr>
              <w:t xml:space="preserve"> </w:t>
            </w:r>
            <w:r>
              <w:rPr>
                <w:sz w:val="20"/>
              </w:rPr>
              <w:t>some</w:t>
            </w:r>
            <w:r>
              <w:rPr>
                <w:spacing w:val="-2"/>
                <w:sz w:val="20"/>
              </w:rPr>
              <w:t xml:space="preserve"> </w:t>
            </w:r>
            <w:r>
              <w:rPr>
                <w:sz w:val="20"/>
              </w:rPr>
              <w:t>people</w:t>
            </w:r>
            <w:r>
              <w:rPr>
                <w:spacing w:val="-2"/>
                <w:sz w:val="20"/>
              </w:rPr>
              <w:t xml:space="preserve"> </w:t>
            </w:r>
            <w:r>
              <w:rPr>
                <w:spacing w:val="-4"/>
                <w:sz w:val="20"/>
              </w:rPr>
              <w:t>think</w:t>
            </w:r>
          </w:p>
          <w:p w14:paraId="26912A83" w14:textId="77777777" w:rsidR="00DB6E1F" w:rsidRDefault="00F666A6">
            <w:pPr>
              <w:pStyle w:val="TableParagraph"/>
              <w:spacing w:before="20" w:line="240" w:lineRule="exact"/>
              <w:ind w:left="455"/>
              <w:rPr>
                <w:sz w:val="20"/>
              </w:rPr>
            </w:pPr>
            <w:r>
              <w:rPr>
                <w:sz w:val="20"/>
              </w:rPr>
              <w:t>I</w:t>
            </w:r>
            <w:r>
              <w:rPr>
                <w:spacing w:val="-5"/>
                <w:sz w:val="20"/>
              </w:rPr>
              <w:t xml:space="preserve"> </w:t>
            </w:r>
            <w:r>
              <w:rPr>
                <w:sz w:val="20"/>
              </w:rPr>
              <w:t>lack</w:t>
            </w:r>
            <w:r>
              <w:rPr>
                <w:spacing w:val="-3"/>
                <w:sz w:val="20"/>
              </w:rPr>
              <w:t xml:space="preserve"> </w:t>
            </w:r>
            <w:r>
              <w:rPr>
                <w:sz w:val="20"/>
              </w:rPr>
              <w:t>the</w:t>
            </w:r>
            <w:r>
              <w:rPr>
                <w:spacing w:val="-5"/>
                <w:sz w:val="20"/>
              </w:rPr>
              <w:t xml:space="preserve"> </w:t>
            </w:r>
            <w:r>
              <w:rPr>
                <w:sz w:val="20"/>
              </w:rPr>
              <w:t>character</w:t>
            </w:r>
            <w:r>
              <w:rPr>
                <w:spacing w:val="-4"/>
                <w:sz w:val="20"/>
              </w:rPr>
              <w:t xml:space="preserve"> </w:t>
            </w:r>
            <w:r>
              <w:rPr>
                <w:sz w:val="20"/>
              </w:rPr>
              <w:t>to</w:t>
            </w:r>
            <w:r>
              <w:rPr>
                <w:spacing w:val="-4"/>
                <w:sz w:val="20"/>
              </w:rPr>
              <w:t xml:space="preserve"> </w:t>
            </w:r>
            <w:r>
              <w:rPr>
                <w:spacing w:val="-2"/>
                <w:sz w:val="20"/>
              </w:rPr>
              <w:t>quit.</w:t>
            </w:r>
          </w:p>
        </w:tc>
        <w:tc>
          <w:tcPr>
            <w:tcW w:w="1078" w:type="dxa"/>
          </w:tcPr>
          <w:p w14:paraId="2A18B377" w14:textId="77777777" w:rsidR="00DB6E1F" w:rsidRDefault="00F666A6">
            <w:pPr>
              <w:pStyle w:val="TableParagraph"/>
              <w:ind w:left="6"/>
              <w:jc w:val="center"/>
              <w:rPr>
                <w:sz w:val="20"/>
              </w:rPr>
            </w:pPr>
            <w:r>
              <w:rPr>
                <w:w w:val="99"/>
                <w:sz w:val="20"/>
              </w:rPr>
              <w:t>1</w:t>
            </w:r>
          </w:p>
        </w:tc>
        <w:tc>
          <w:tcPr>
            <w:tcW w:w="1080" w:type="dxa"/>
          </w:tcPr>
          <w:p w14:paraId="10A9A7D6" w14:textId="77777777" w:rsidR="00DB6E1F" w:rsidRDefault="00F666A6">
            <w:pPr>
              <w:pStyle w:val="TableParagraph"/>
              <w:ind w:left="8"/>
              <w:jc w:val="center"/>
              <w:rPr>
                <w:sz w:val="20"/>
              </w:rPr>
            </w:pPr>
            <w:r>
              <w:rPr>
                <w:w w:val="99"/>
                <w:sz w:val="20"/>
              </w:rPr>
              <w:t>2</w:t>
            </w:r>
          </w:p>
        </w:tc>
        <w:tc>
          <w:tcPr>
            <w:tcW w:w="1082" w:type="dxa"/>
          </w:tcPr>
          <w:p w14:paraId="57987AC8" w14:textId="77777777" w:rsidR="00DB6E1F" w:rsidRDefault="00F666A6">
            <w:pPr>
              <w:pStyle w:val="TableParagraph"/>
              <w:ind w:left="6"/>
              <w:jc w:val="center"/>
              <w:rPr>
                <w:sz w:val="20"/>
              </w:rPr>
            </w:pPr>
            <w:r>
              <w:rPr>
                <w:w w:val="99"/>
                <w:sz w:val="20"/>
              </w:rPr>
              <w:t>3</w:t>
            </w:r>
          </w:p>
        </w:tc>
        <w:tc>
          <w:tcPr>
            <w:tcW w:w="988" w:type="dxa"/>
          </w:tcPr>
          <w:p w14:paraId="0FAB33C9" w14:textId="77777777" w:rsidR="00DB6E1F" w:rsidRDefault="00F666A6">
            <w:pPr>
              <w:pStyle w:val="TableParagraph"/>
              <w:ind w:left="10"/>
              <w:jc w:val="center"/>
              <w:rPr>
                <w:sz w:val="20"/>
              </w:rPr>
            </w:pPr>
            <w:r>
              <w:rPr>
                <w:w w:val="99"/>
                <w:sz w:val="20"/>
              </w:rPr>
              <w:t>4</w:t>
            </w:r>
          </w:p>
        </w:tc>
        <w:tc>
          <w:tcPr>
            <w:tcW w:w="990" w:type="dxa"/>
          </w:tcPr>
          <w:p w14:paraId="35EE536D" w14:textId="77777777" w:rsidR="00DB6E1F" w:rsidRDefault="00F666A6">
            <w:pPr>
              <w:pStyle w:val="TableParagraph"/>
              <w:ind w:left="9"/>
              <w:jc w:val="center"/>
              <w:rPr>
                <w:sz w:val="20"/>
              </w:rPr>
            </w:pPr>
            <w:r>
              <w:rPr>
                <w:w w:val="99"/>
                <w:sz w:val="20"/>
              </w:rPr>
              <w:t>5</w:t>
            </w:r>
          </w:p>
        </w:tc>
      </w:tr>
      <w:tr w:rsidR="00DB6E1F" w14:paraId="31BD8DCB" w14:textId="77777777">
        <w:trPr>
          <w:trHeight w:val="263"/>
        </w:trPr>
        <w:tc>
          <w:tcPr>
            <w:tcW w:w="4589" w:type="dxa"/>
          </w:tcPr>
          <w:p w14:paraId="02851373" w14:textId="77777777" w:rsidR="00DB6E1F" w:rsidRDefault="00F666A6">
            <w:pPr>
              <w:pStyle w:val="TableParagraph"/>
              <w:spacing w:before="3" w:line="240" w:lineRule="exact"/>
              <w:ind w:left="95"/>
              <w:rPr>
                <w:sz w:val="20"/>
              </w:rPr>
            </w:pPr>
            <w:r>
              <w:rPr>
                <w:color w:val="4D4D4F"/>
                <w:sz w:val="20"/>
              </w:rPr>
              <w:t>4.</w:t>
            </w:r>
            <w:r>
              <w:rPr>
                <w:color w:val="4D4D4F"/>
                <w:spacing w:val="45"/>
                <w:sz w:val="20"/>
              </w:rPr>
              <w:t xml:space="preserve">  </w:t>
            </w:r>
            <w:r>
              <w:rPr>
                <w:sz w:val="20"/>
              </w:rPr>
              <w:t>Using drugs</w:t>
            </w:r>
            <w:r>
              <w:rPr>
                <w:spacing w:val="-1"/>
                <w:sz w:val="20"/>
              </w:rPr>
              <w:t xml:space="preserve"> </w:t>
            </w:r>
            <w:r>
              <w:rPr>
                <w:sz w:val="20"/>
              </w:rPr>
              <w:t>helps</w:t>
            </w:r>
            <w:r>
              <w:rPr>
                <w:spacing w:val="1"/>
                <w:sz w:val="20"/>
              </w:rPr>
              <w:t xml:space="preserve"> </w:t>
            </w:r>
            <w:r>
              <w:rPr>
                <w:sz w:val="20"/>
              </w:rPr>
              <w:t>me</w:t>
            </w:r>
            <w:r>
              <w:rPr>
                <w:spacing w:val="-1"/>
                <w:sz w:val="20"/>
              </w:rPr>
              <w:t xml:space="preserve"> </w:t>
            </w:r>
            <w:r>
              <w:rPr>
                <w:sz w:val="20"/>
              </w:rPr>
              <w:t>deal</w:t>
            </w:r>
            <w:r>
              <w:rPr>
                <w:spacing w:val="2"/>
                <w:sz w:val="20"/>
              </w:rPr>
              <w:t xml:space="preserve"> </w:t>
            </w:r>
            <w:r>
              <w:rPr>
                <w:sz w:val="20"/>
              </w:rPr>
              <w:t>with</w:t>
            </w:r>
            <w:r>
              <w:rPr>
                <w:spacing w:val="1"/>
                <w:sz w:val="20"/>
              </w:rPr>
              <w:t xml:space="preserve"> </w:t>
            </w:r>
            <w:r>
              <w:rPr>
                <w:spacing w:val="-2"/>
                <w:sz w:val="20"/>
              </w:rPr>
              <w:t>problems.</w:t>
            </w:r>
          </w:p>
        </w:tc>
        <w:tc>
          <w:tcPr>
            <w:tcW w:w="1078" w:type="dxa"/>
          </w:tcPr>
          <w:p w14:paraId="4647D2A8" w14:textId="77777777" w:rsidR="00DB6E1F" w:rsidRDefault="00F666A6">
            <w:pPr>
              <w:pStyle w:val="TableParagraph"/>
              <w:spacing w:before="3" w:line="240" w:lineRule="exact"/>
              <w:ind w:left="6"/>
              <w:jc w:val="center"/>
              <w:rPr>
                <w:sz w:val="20"/>
              </w:rPr>
            </w:pPr>
            <w:r>
              <w:rPr>
                <w:w w:val="99"/>
                <w:sz w:val="20"/>
              </w:rPr>
              <w:t>1</w:t>
            </w:r>
          </w:p>
        </w:tc>
        <w:tc>
          <w:tcPr>
            <w:tcW w:w="1080" w:type="dxa"/>
          </w:tcPr>
          <w:p w14:paraId="4C69537F" w14:textId="77777777" w:rsidR="00DB6E1F" w:rsidRDefault="00F666A6">
            <w:pPr>
              <w:pStyle w:val="TableParagraph"/>
              <w:spacing w:before="3" w:line="240" w:lineRule="exact"/>
              <w:ind w:left="8"/>
              <w:jc w:val="center"/>
              <w:rPr>
                <w:sz w:val="20"/>
              </w:rPr>
            </w:pPr>
            <w:r>
              <w:rPr>
                <w:w w:val="99"/>
                <w:sz w:val="20"/>
              </w:rPr>
              <w:t>2</w:t>
            </w:r>
          </w:p>
        </w:tc>
        <w:tc>
          <w:tcPr>
            <w:tcW w:w="1082" w:type="dxa"/>
          </w:tcPr>
          <w:p w14:paraId="7FB4FF28" w14:textId="77777777" w:rsidR="00DB6E1F" w:rsidRDefault="00F666A6">
            <w:pPr>
              <w:pStyle w:val="TableParagraph"/>
              <w:spacing w:before="3" w:line="240" w:lineRule="exact"/>
              <w:ind w:left="6"/>
              <w:jc w:val="center"/>
              <w:rPr>
                <w:sz w:val="20"/>
              </w:rPr>
            </w:pPr>
            <w:r>
              <w:rPr>
                <w:w w:val="99"/>
                <w:sz w:val="20"/>
              </w:rPr>
              <w:t>3</w:t>
            </w:r>
          </w:p>
        </w:tc>
        <w:tc>
          <w:tcPr>
            <w:tcW w:w="988" w:type="dxa"/>
          </w:tcPr>
          <w:p w14:paraId="5DADA16F" w14:textId="77777777" w:rsidR="00DB6E1F" w:rsidRDefault="00F666A6">
            <w:pPr>
              <w:pStyle w:val="TableParagraph"/>
              <w:spacing w:before="3" w:line="240" w:lineRule="exact"/>
              <w:ind w:left="10"/>
              <w:jc w:val="center"/>
              <w:rPr>
                <w:sz w:val="20"/>
              </w:rPr>
            </w:pPr>
            <w:r>
              <w:rPr>
                <w:w w:val="99"/>
                <w:sz w:val="20"/>
              </w:rPr>
              <w:t>4</w:t>
            </w:r>
          </w:p>
        </w:tc>
        <w:tc>
          <w:tcPr>
            <w:tcW w:w="990" w:type="dxa"/>
          </w:tcPr>
          <w:p w14:paraId="6916FB8F" w14:textId="77777777" w:rsidR="00DB6E1F" w:rsidRDefault="00F666A6">
            <w:pPr>
              <w:pStyle w:val="TableParagraph"/>
              <w:spacing w:before="3" w:line="240" w:lineRule="exact"/>
              <w:ind w:left="9"/>
              <w:jc w:val="center"/>
              <w:rPr>
                <w:sz w:val="20"/>
              </w:rPr>
            </w:pPr>
            <w:r>
              <w:rPr>
                <w:w w:val="99"/>
                <w:sz w:val="20"/>
              </w:rPr>
              <w:t>5</w:t>
            </w:r>
          </w:p>
        </w:tc>
      </w:tr>
      <w:tr w:rsidR="00DB6E1F" w14:paraId="0C0E7D66" w14:textId="77777777">
        <w:trPr>
          <w:trHeight w:val="527"/>
        </w:trPr>
        <w:tc>
          <w:tcPr>
            <w:tcW w:w="4589" w:type="dxa"/>
          </w:tcPr>
          <w:p w14:paraId="4FF56D5A" w14:textId="77777777" w:rsidR="00DB6E1F" w:rsidRDefault="00F666A6">
            <w:pPr>
              <w:pStyle w:val="TableParagraph"/>
              <w:spacing w:before="3"/>
              <w:ind w:left="95"/>
              <w:rPr>
                <w:sz w:val="20"/>
              </w:rPr>
            </w:pPr>
            <w:r>
              <w:rPr>
                <w:color w:val="4D4D4F"/>
                <w:sz w:val="20"/>
              </w:rPr>
              <w:t>5.</w:t>
            </w:r>
            <w:r>
              <w:rPr>
                <w:color w:val="4D4D4F"/>
                <w:spacing w:val="43"/>
                <w:sz w:val="20"/>
              </w:rPr>
              <w:t xml:space="preserve">  </w:t>
            </w:r>
            <w:r>
              <w:rPr>
                <w:sz w:val="20"/>
              </w:rPr>
              <w:t>Having</w:t>
            </w:r>
            <w:r>
              <w:rPr>
                <w:spacing w:val="-1"/>
                <w:sz w:val="20"/>
              </w:rPr>
              <w:t xml:space="preserve"> </w:t>
            </w:r>
            <w:r>
              <w:rPr>
                <w:sz w:val="20"/>
              </w:rPr>
              <w:t>to</w:t>
            </w:r>
            <w:r>
              <w:rPr>
                <w:spacing w:val="-1"/>
                <w:sz w:val="20"/>
              </w:rPr>
              <w:t xml:space="preserve"> </w:t>
            </w:r>
            <w:r>
              <w:rPr>
                <w:sz w:val="20"/>
              </w:rPr>
              <w:t>lie</w:t>
            </w:r>
            <w:r>
              <w:rPr>
                <w:spacing w:val="-2"/>
                <w:sz w:val="20"/>
              </w:rPr>
              <w:t xml:space="preserve"> </w:t>
            </w:r>
            <w:r>
              <w:rPr>
                <w:sz w:val="20"/>
              </w:rPr>
              <w:t>to</w:t>
            </w:r>
            <w:r>
              <w:rPr>
                <w:spacing w:val="-1"/>
                <w:sz w:val="20"/>
              </w:rPr>
              <w:t xml:space="preserve"> </w:t>
            </w:r>
            <w:r>
              <w:rPr>
                <w:sz w:val="20"/>
              </w:rPr>
              <w:t>others</w:t>
            </w:r>
            <w:r>
              <w:rPr>
                <w:spacing w:val="-2"/>
                <w:sz w:val="20"/>
              </w:rPr>
              <w:t xml:space="preserve"> </w:t>
            </w:r>
            <w:r>
              <w:rPr>
                <w:sz w:val="20"/>
              </w:rPr>
              <w:t>about</w:t>
            </w:r>
            <w:r>
              <w:rPr>
                <w:spacing w:val="-1"/>
                <w:sz w:val="20"/>
              </w:rPr>
              <w:t xml:space="preserve"> </w:t>
            </w:r>
            <w:r>
              <w:rPr>
                <w:sz w:val="20"/>
              </w:rPr>
              <w:t>my drug</w:t>
            </w:r>
            <w:r>
              <w:rPr>
                <w:spacing w:val="-1"/>
                <w:sz w:val="20"/>
              </w:rPr>
              <w:t xml:space="preserve"> </w:t>
            </w:r>
            <w:r>
              <w:rPr>
                <w:sz w:val="20"/>
              </w:rPr>
              <w:t>use</w:t>
            </w:r>
            <w:r>
              <w:rPr>
                <w:spacing w:val="-2"/>
                <w:sz w:val="20"/>
              </w:rPr>
              <w:t xml:space="preserve"> bothers</w:t>
            </w:r>
          </w:p>
          <w:p w14:paraId="1570EFE9" w14:textId="77777777" w:rsidR="00DB6E1F" w:rsidRDefault="00F666A6">
            <w:pPr>
              <w:pStyle w:val="TableParagraph"/>
              <w:spacing w:before="18" w:line="242" w:lineRule="exact"/>
              <w:ind w:left="455"/>
              <w:rPr>
                <w:sz w:val="20"/>
              </w:rPr>
            </w:pPr>
            <w:r>
              <w:rPr>
                <w:spacing w:val="-5"/>
                <w:sz w:val="20"/>
              </w:rPr>
              <w:t>me.</w:t>
            </w:r>
          </w:p>
        </w:tc>
        <w:tc>
          <w:tcPr>
            <w:tcW w:w="1078" w:type="dxa"/>
          </w:tcPr>
          <w:p w14:paraId="28B08BCC" w14:textId="77777777" w:rsidR="00DB6E1F" w:rsidRDefault="00F666A6">
            <w:pPr>
              <w:pStyle w:val="TableParagraph"/>
              <w:spacing w:before="3"/>
              <w:ind w:left="6"/>
              <w:jc w:val="center"/>
              <w:rPr>
                <w:sz w:val="20"/>
              </w:rPr>
            </w:pPr>
            <w:r>
              <w:rPr>
                <w:w w:val="99"/>
                <w:sz w:val="20"/>
              </w:rPr>
              <w:t>1</w:t>
            </w:r>
          </w:p>
        </w:tc>
        <w:tc>
          <w:tcPr>
            <w:tcW w:w="1080" w:type="dxa"/>
          </w:tcPr>
          <w:p w14:paraId="17EFD5E5" w14:textId="77777777" w:rsidR="00DB6E1F" w:rsidRDefault="00F666A6">
            <w:pPr>
              <w:pStyle w:val="TableParagraph"/>
              <w:spacing w:before="3"/>
              <w:ind w:left="8"/>
              <w:jc w:val="center"/>
              <w:rPr>
                <w:sz w:val="20"/>
              </w:rPr>
            </w:pPr>
            <w:r>
              <w:rPr>
                <w:w w:val="99"/>
                <w:sz w:val="20"/>
              </w:rPr>
              <w:t>2</w:t>
            </w:r>
          </w:p>
        </w:tc>
        <w:tc>
          <w:tcPr>
            <w:tcW w:w="1082" w:type="dxa"/>
          </w:tcPr>
          <w:p w14:paraId="66ED824A" w14:textId="77777777" w:rsidR="00DB6E1F" w:rsidRDefault="00F666A6">
            <w:pPr>
              <w:pStyle w:val="TableParagraph"/>
              <w:spacing w:before="3"/>
              <w:ind w:left="6"/>
              <w:jc w:val="center"/>
              <w:rPr>
                <w:sz w:val="20"/>
              </w:rPr>
            </w:pPr>
            <w:r>
              <w:rPr>
                <w:w w:val="99"/>
                <w:sz w:val="20"/>
              </w:rPr>
              <w:t>3</w:t>
            </w:r>
          </w:p>
        </w:tc>
        <w:tc>
          <w:tcPr>
            <w:tcW w:w="988" w:type="dxa"/>
          </w:tcPr>
          <w:p w14:paraId="40AC3164" w14:textId="77777777" w:rsidR="00DB6E1F" w:rsidRDefault="00F666A6">
            <w:pPr>
              <w:pStyle w:val="TableParagraph"/>
              <w:spacing w:before="3"/>
              <w:ind w:left="10"/>
              <w:jc w:val="center"/>
              <w:rPr>
                <w:sz w:val="20"/>
              </w:rPr>
            </w:pPr>
            <w:r>
              <w:rPr>
                <w:w w:val="99"/>
                <w:sz w:val="20"/>
              </w:rPr>
              <w:t>4</w:t>
            </w:r>
          </w:p>
        </w:tc>
        <w:tc>
          <w:tcPr>
            <w:tcW w:w="990" w:type="dxa"/>
          </w:tcPr>
          <w:p w14:paraId="28EFA15F" w14:textId="77777777" w:rsidR="00DB6E1F" w:rsidRDefault="00F666A6">
            <w:pPr>
              <w:pStyle w:val="TableParagraph"/>
              <w:spacing w:before="3"/>
              <w:ind w:left="9"/>
              <w:jc w:val="center"/>
              <w:rPr>
                <w:sz w:val="20"/>
              </w:rPr>
            </w:pPr>
            <w:r>
              <w:rPr>
                <w:w w:val="99"/>
                <w:sz w:val="20"/>
              </w:rPr>
              <w:t>5</w:t>
            </w:r>
          </w:p>
        </w:tc>
      </w:tr>
      <w:tr w:rsidR="00DB6E1F" w14:paraId="04AA1F53" w14:textId="77777777">
        <w:trPr>
          <w:trHeight w:val="263"/>
        </w:trPr>
        <w:tc>
          <w:tcPr>
            <w:tcW w:w="4589" w:type="dxa"/>
          </w:tcPr>
          <w:p w14:paraId="22ED7B43" w14:textId="77777777" w:rsidR="00DB6E1F" w:rsidRDefault="00F666A6">
            <w:pPr>
              <w:pStyle w:val="TableParagraph"/>
              <w:spacing w:line="242" w:lineRule="exact"/>
              <w:ind w:left="95"/>
              <w:rPr>
                <w:sz w:val="20"/>
              </w:rPr>
            </w:pPr>
            <w:r>
              <w:rPr>
                <w:color w:val="4D4D4F"/>
                <w:sz w:val="20"/>
              </w:rPr>
              <w:t>6.</w:t>
            </w:r>
            <w:r>
              <w:rPr>
                <w:color w:val="4D4D4F"/>
                <w:spacing w:val="43"/>
                <w:sz w:val="20"/>
              </w:rPr>
              <w:t xml:space="preserve">  </w:t>
            </w:r>
            <w:r>
              <w:rPr>
                <w:sz w:val="20"/>
              </w:rPr>
              <w:t>Some</w:t>
            </w:r>
            <w:r>
              <w:rPr>
                <w:spacing w:val="-2"/>
                <w:sz w:val="20"/>
              </w:rPr>
              <w:t xml:space="preserve"> </w:t>
            </w:r>
            <w:r>
              <w:rPr>
                <w:sz w:val="20"/>
              </w:rPr>
              <w:t>people</w:t>
            </w:r>
            <w:r>
              <w:rPr>
                <w:spacing w:val="-2"/>
                <w:sz w:val="20"/>
              </w:rPr>
              <w:t xml:space="preserve"> </w:t>
            </w:r>
            <w:r>
              <w:rPr>
                <w:sz w:val="20"/>
              </w:rPr>
              <w:t>try to avoid me</w:t>
            </w:r>
            <w:r>
              <w:rPr>
                <w:spacing w:val="1"/>
                <w:sz w:val="20"/>
              </w:rPr>
              <w:t xml:space="preserve"> </w:t>
            </w:r>
            <w:r>
              <w:rPr>
                <w:sz w:val="20"/>
              </w:rPr>
              <w:t>when I</w:t>
            </w:r>
            <w:r>
              <w:rPr>
                <w:spacing w:val="-1"/>
                <w:sz w:val="20"/>
              </w:rPr>
              <w:t xml:space="preserve"> </w:t>
            </w:r>
            <w:r>
              <w:rPr>
                <w:sz w:val="20"/>
              </w:rPr>
              <w:t>use</w:t>
            </w:r>
            <w:r>
              <w:rPr>
                <w:spacing w:val="-2"/>
                <w:sz w:val="20"/>
              </w:rPr>
              <w:t xml:space="preserve"> drugs.</w:t>
            </w:r>
          </w:p>
        </w:tc>
        <w:tc>
          <w:tcPr>
            <w:tcW w:w="1078" w:type="dxa"/>
          </w:tcPr>
          <w:p w14:paraId="0B9E7E94" w14:textId="77777777" w:rsidR="00DB6E1F" w:rsidRDefault="00F666A6">
            <w:pPr>
              <w:pStyle w:val="TableParagraph"/>
              <w:spacing w:line="242" w:lineRule="exact"/>
              <w:ind w:left="6"/>
              <w:jc w:val="center"/>
              <w:rPr>
                <w:sz w:val="20"/>
              </w:rPr>
            </w:pPr>
            <w:r>
              <w:rPr>
                <w:w w:val="99"/>
                <w:sz w:val="20"/>
              </w:rPr>
              <w:t>1</w:t>
            </w:r>
          </w:p>
        </w:tc>
        <w:tc>
          <w:tcPr>
            <w:tcW w:w="1080" w:type="dxa"/>
          </w:tcPr>
          <w:p w14:paraId="5A6AA0F2" w14:textId="77777777" w:rsidR="00DB6E1F" w:rsidRDefault="00F666A6">
            <w:pPr>
              <w:pStyle w:val="TableParagraph"/>
              <w:spacing w:line="242" w:lineRule="exact"/>
              <w:ind w:left="8"/>
              <w:jc w:val="center"/>
              <w:rPr>
                <w:sz w:val="20"/>
              </w:rPr>
            </w:pPr>
            <w:r>
              <w:rPr>
                <w:w w:val="99"/>
                <w:sz w:val="20"/>
              </w:rPr>
              <w:t>2</w:t>
            </w:r>
          </w:p>
        </w:tc>
        <w:tc>
          <w:tcPr>
            <w:tcW w:w="1082" w:type="dxa"/>
          </w:tcPr>
          <w:p w14:paraId="47AD520F" w14:textId="77777777" w:rsidR="00DB6E1F" w:rsidRDefault="00F666A6">
            <w:pPr>
              <w:pStyle w:val="TableParagraph"/>
              <w:spacing w:line="242" w:lineRule="exact"/>
              <w:ind w:left="6"/>
              <w:jc w:val="center"/>
              <w:rPr>
                <w:sz w:val="20"/>
              </w:rPr>
            </w:pPr>
            <w:r>
              <w:rPr>
                <w:w w:val="99"/>
                <w:sz w:val="20"/>
              </w:rPr>
              <w:t>3</w:t>
            </w:r>
          </w:p>
        </w:tc>
        <w:tc>
          <w:tcPr>
            <w:tcW w:w="988" w:type="dxa"/>
          </w:tcPr>
          <w:p w14:paraId="5F31E3BC" w14:textId="77777777" w:rsidR="00DB6E1F" w:rsidRDefault="00F666A6">
            <w:pPr>
              <w:pStyle w:val="TableParagraph"/>
              <w:spacing w:line="242" w:lineRule="exact"/>
              <w:ind w:left="10"/>
              <w:jc w:val="center"/>
              <w:rPr>
                <w:sz w:val="20"/>
              </w:rPr>
            </w:pPr>
            <w:r>
              <w:rPr>
                <w:w w:val="99"/>
                <w:sz w:val="20"/>
              </w:rPr>
              <w:t>4</w:t>
            </w:r>
          </w:p>
        </w:tc>
        <w:tc>
          <w:tcPr>
            <w:tcW w:w="990" w:type="dxa"/>
          </w:tcPr>
          <w:p w14:paraId="17FA9EC8" w14:textId="77777777" w:rsidR="00DB6E1F" w:rsidRDefault="00F666A6">
            <w:pPr>
              <w:pStyle w:val="TableParagraph"/>
              <w:spacing w:line="242" w:lineRule="exact"/>
              <w:ind w:left="9"/>
              <w:jc w:val="center"/>
              <w:rPr>
                <w:sz w:val="20"/>
              </w:rPr>
            </w:pPr>
            <w:r>
              <w:rPr>
                <w:w w:val="99"/>
                <w:sz w:val="20"/>
              </w:rPr>
              <w:t>5</w:t>
            </w:r>
          </w:p>
        </w:tc>
      </w:tr>
      <w:tr w:rsidR="00DB6E1F" w14:paraId="5548CA67" w14:textId="77777777">
        <w:trPr>
          <w:trHeight w:val="263"/>
        </w:trPr>
        <w:tc>
          <w:tcPr>
            <w:tcW w:w="4589" w:type="dxa"/>
          </w:tcPr>
          <w:p w14:paraId="0D805D44" w14:textId="77777777" w:rsidR="00DB6E1F" w:rsidRDefault="00F666A6">
            <w:pPr>
              <w:pStyle w:val="TableParagraph"/>
              <w:spacing w:line="242" w:lineRule="exact"/>
              <w:ind w:left="95"/>
              <w:rPr>
                <w:sz w:val="20"/>
              </w:rPr>
            </w:pPr>
            <w:r>
              <w:rPr>
                <w:color w:val="4D4D4F"/>
                <w:sz w:val="20"/>
              </w:rPr>
              <w:t>7.</w:t>
            </w:r>
            <w:r>
              <w:rPr>
                <w:color w:val="4D4D4F"/>
                <w:spacing w:val="45"/>
                <w:sz w:val="20"/>
              </w:rPr>
              <w:t xml:space="preserve">  </w:t>
            </w:r>
            <w:r>
              <w:rPr>
                <w:sz w:val="20"/>
              </w:rPr>
              <w:t>Drug</w:t>
            </w:r>
            <w:r>
              <w:rPr>
                <w:spacing w:val="1"/>
                <w:sz w:val="20"/>
              </w:rPr>
              <w:t xml:space="preserve"> </w:t>
            </w:r>
            <w:r>
              <w:rPr>
                <w:sz w:val="20"/>
              </w:rPr>
              <w:t>use helps</w:t>
            </w:r>
            <w:r>
              <w:rPr>
                <w:spacing w:val="-1"/>
                <w:sz w:val="20"/>
              </w:rPr>
              <w:t xml:space="preserve"> </w:t>
            </w:r>
            <w:r>
              <w:rPr>
                <w:sz w:val="20"/>
              </w:rPr>
              <w:t>me</w:t>
            </w:r>
            <w:r>
              <w:rPr>
                <w:spacing w:val="-1"/>
                <w:sz w:val="20"/>
              </w:rPr>
              <w:t xml:space="preserve"> </w:t>
            </w:r>
            <w:r>
              <w:rPr>
                <w:sz w:val="20"/>
              </w:rPr>
              <w:t>to</w:t>
            </w:r>
            <w:r>
              <w:rPr>
                <w:spacing w:val="2"/>
                <w:sz w:val="20"/>
              </w:rPr>
              <w:t xml:space="preserve"> </w:t>
            </w:r>
            <w:r>
              <w:rPr>
                <w:sz w:val="20"/>
              </w:rPr>
              <w:t>have</w:t>
            </w:r>
            <w:r>
              <w:rPr>
                <w:spacing w:val="-1"/>
                <w:sz w:val="20"/>
              </w:rPr>
              <w:t xml:space="preserve"> </w:t>
            </w:r>
            <w:r>
              <w:rPr>
                <w:sz w:val="20"/>
              </w:rPr>
              <w:t>fun</w:t>
            </w:r>
            <w:r>
              <w:rPr>
                <w:spacing w:val="1"/>
                <w:sz w:val="20"/>
              </w:rPr>
              <w:t xml:space="preserve"> </w:t>
            </w:r>
            <w:r>
              <w:rPr>
                <w:sz w:val="20"/>
              </w:rPr>
              <w:t>and</w:t>
            </w:r>
            <w:r>
              <w:rPr>
                <w:spacing w:val="2"/>
                <w:sz w:val="20"/>
              </w:rPr>
              <w:t xml:space="preserve"> </w:t>
            </w:r>
            <w:r>
              <w:rPr>
                <w:spacing w:val="-2"/>
                <w:sz w:val="20"/>
              </w:rPr>
              <w:t>socialize.</w:t>
            </w:r>
          </w:p>
        </w:tc>
        <w:tc>
          <w:tcPr>
            <w:tcW w:w="1078" w:type="dxa"/>
          </w:tcPr>
          <w:p w14:paraId="1086B054" w14:textId="77777777" w:rsidR="00DB6E1F" w:rsidRDefault="00F666A6">
            <w:pPr>
              <w:pStyle w:val="TableParagraph"/>
              <w:spacing w:line="242" w:lineRule="exact"/>
              <w:ind w:left="6"/>
              <w:jc w:val="center"/>
              <w:rPr>
                <w:sz w:val="20"/>
              </w:rPr>
            </w:pPr>
            <w:r>
              <w:rPr>
                <w:w w:val="99"/>
                <w:sz w:val="20"/>
              </w:rPr>
              <w:t>1</w:t>
            </w:r>
          </w:p>
        </w:tc>
        <w:tc>
          <w:tcPr>
            <w:tcW w:w="1080" w:type="dxa"/>
          </w:tcPr>
          <w:p w14:paraId="1A2749F4" w14:textId="77777777" w:rsidR="00DB6E1F" w:rsidRDefault="00F666A6">
            <w:pPr>
              <w:pStyle w:val="TableParagraph"/>
              <w:spacing w:line="242" w:lineRule="exact"/>
              <w:ind w:left="8"/>
              <w:jc w:val="center"/>
              <w:rPr>
                <w:sz w:val="20"/>
              </w:rPr>
            </w:pPr>
            <w:r>
              <w:rPr>
                <w:w w:val="99"/>
                <w:sz w:val="20"/>
              </w:rPr>
              <w:t>2</w:t>
            </w:r>
          </w:p>
        </w:tc>
        <w:tc>
          <w:tcPr>
            <w:tcW w:w="1082" w:type="dxa"/>
          </w:tcPr>
          <w:p w14:paraId="704CDB65" w14:textId="77777777" w:rsidR="00DB6E1F" w:rsidRDefault="00F666A6">
            <w:pPr>
              <w:pStyle w:val="TableParagraph"/>
              <w:spacing w:line="242" w:lineRule="exact"/>
              <w:ind w:left="6"/>
              <w:jc w:val="center"/>
              <w:rPr>
                <w:sz w:val="20"/>
              </w:rPr>
            </w:pPr>
            <w:r>
              <w:rPr>
                <w:w w:val="99"/>
                <w:sz w:val="20"/>
              </w:rPr>
              <w:t>3</w:t>
            </w:r>
          </w:p>
        </w:tc>
        <w:tc>
          <w:tcPr>
            <w:tcW w:w="988" w:type="dxa"/>
          </w:tcPr>
          <w:p w14:paraId="4F89B604" w14:textId="77777777" w:rsidR="00DB6E1F" w:rsidRDefault="00F666A6">
            <w:pPr>
              <w:pStyle w:val="TableParagraph"/>
              <w:spacing w:line="242" w:lineRule="exact"/>
              <w:ind w:left="10"/>
              <w:jc w:val="center"/>
              <w:rPr>
                <w:sz w:val="20"/>
              </w:rPr>
            </w:pPr>
            <w:r>
              <w:rPr>
                <w:w w:val="99"/>
                <w:sz w:val="20"/>
              </w:rPr>
              <w:t>4</w:t>
            </w:r>
          </w:p>
        </w:tc>
        <w:tc>
          <w:tcPr>
            <w:tcW w:w="990" w:type="dxa"/>
          </w:tcPr>
          <w:p w14:paraId="711888E6" w14:textId="77777777" w:rsidR="00DB6E1F" w:rsidRDefault="00F666A6">
            <w:pPr>
              <w:pStyle w:val="TableParagraph"/>
              <w:spacing w:line="242" w:lineRule="exact"/>
              <w:ind w:left="9"/>
              <w:jc w:val="center"/>
              <w:rPr>
                <w:sz w:val="20"/>
              </w:rPr>
            </w:pPr>
            <w:r>
              <w:rPr>
                <w:w w:val="99"/>
                <w:sz w:val="20"/>
              </w:rPr>
              <w:t>5</w:t>
            </w:r>
          </w:p>
        </w:tc>
      </w:tr>
      <w:tr w:rsidR="00DB6E1F" w14:paraId="4CD0B2E6" w14:textId="77777777">
        <w:trPr>
          <w:trHeight w:val="527"/>
        </w:trPr>
        <w:tc>
          <w:tcPr>
            <w:tcW w:w="4589" w:type="dxa"/>
          </w:tcPr>
          <w:p w14:paraId="6489AC27" w14:textId="77777777" w:rsidR="00DB6E1F" w:rsidRDefault="00F666A6">
            <w:pPr>
              <w:pStyle w:val="TableParagraph"/>
              <w:ind w:left="95"/>
              <w:rPr>
                <w:sz w:val="20"/>
              </w:rPr>
            </w:pPr>
            <w:r>
              <w:rPr>
                <w:color w:val="4D4D4F"/>
                <w:sz w:val="20"/>
              </w:rPr>
              <w:t>8.</w:t>
            </w:r>
            <w:r>
              <w:rPr>
                <w:color w:val="4D4D4F"/>
                <w:spacing w:val="43"/>
                <w:sz w:val="20"/>
              </w:rPr>
              <w:t xml:space="preserve">  </w:t>
            </w:r>
            <w:r>
              <w:rPr>
                <w:sz w:val="20"/>
              </w:rPr>
              <w:t>Drug use</w:t>
            </w:r>
            <w:r>
              <w:rPr>
                <w:spacing w:val="-2"/>
                <w:sz w:val="20"/>
              </w:rPr>
              <w:t xml:space="preserve"> </w:t>
            </w:r>
            <w:r>
              <w:rPr>
                <w:sz w:val="20"/>
              </w:rPr>
              <w:t>interferes with my</w:t>
            </w:r>
            <w:r>
              <w:rPr>
                <w:spacing w:val="1"/>
                <w:sz w:val="20"/>
              </w:rPr>
              <w:t xml:space="preserve"> </w:t>
            </w:r>
            <w:r>
              <w:rPr>
                <w:sz w:val="20"/>
              </w:rPr>
              <w:t>functioning</w:t>
            </w:r>
            <w:r>
              <w:rPr>
                <w:spacing w:val="-1"/>
                <w:sz w:val="20"/>
              </w:rPr>
              <w:t xml:space="preserve"> </w:t>
            </w:r>
            <w:r>
              <w:rPr>
                <w:sz w:val="20"/>
              </w:rPr>
              <w:t>at</w:t>
            </w:r>
            <w:r>
              <w:rPr>
                <w:spacing w:val="-1"/>
                <w:sz w:val="20"/>
              </w:rPr>
              <w:t xml:space="preserve"> </w:t>
            </w:r>
            <w:r>
              <w:rPr>
                <w:spacing w:val="-4"/>
                <w:sz w:val="20"/>
              </w:rPr>
              <w:t>home</w:t>
            </w:r>
          </w:p>
          <w:p w14:paraId="109E531A" w14:textId="77777777" w:rsidR="00DB6E1F" w:rsidRDefault="00F666A6">
            <w:pPr>
              <w:pStyle w:val="TableParagraph"/>
              <w:spacing w:before="20" w:line="242" w:lineRule="exact"/>
              <w:ind w:left="455"/>
              <w:rPr>
                <w:sz w:val="20"/>
              </w:rPr>
            </w:pPr>
            <w:r>
              <w:rPr>
                <w:sz w:val="20"/>
              </w:rPr>
              <w:t>or/and</w:t>
            </w:r>
            <w:r>
              <w:rPr>
                <w:spacing w:val="-4"/>
                <w:sz w:val="20"/>
              </w:rPr>
              <w:t xml:space="preserve"> </w:t>
            </w:r>
            <w:r>
              <w:rPr>
                <w:sz w:val="20"/>
              </w:rPr>
              <w:t>at</w:t>
            </w:r>
            <w:r>
              <w:rPr>
                <w:spacing w:val="-4"/>
                <w:sz w:val="20"/>
              </w:rPr>
              <w:t xml:space="preserve"> work.</w:t>
            </w:r>
          </w:p>
        </w:tc>
        <w:tc>
          <w:tcPr>
            <w:tcW w:w="1078" w:type="dxa"/>
          </w:tcPr>
          <w:p w14:paraId="24E6B462" w14:textId="77777777" w:rsidR="00DB6E1F" w:rsidRDefault="00F666A6">
            <w:pPr>
              <w:pStyle w:val="TableParagraph"/>
              <w:ind w:left="6"/>
              <w:jc w:val="center"/>
              <w:rPr>
                <w:sz w:val="20"/>
              </w:rPr>
            </w:pPr>
            <w:r>
              <w:rPr>
                <w:w w:val="99"/>
                <w:sz w:val="20"/>
              </w:rPr>
              <w:t>1</w:t>
            </w:r>
          </w:p>
        </w:tc>
        <w:tc>
          <w:tcPr>
            <w:tcW w:w="1080" w:type="dxa"/>
          </w:tcPr>
          <w:p w14:paraId="41A2E653" w14:textId="77777777" w:rsidR="00DB6E1F" w:rsidRDefault="00F666A6">
            <w:pPr>
              <w:pStyle w:val="TableParagraph"/>
              <w:ind w:left="8"/>
              <w:jc w:val="center"/>
              <w:rPr>
                <w:sz w:val="20"/>
              </w:rPr>
            </w:pPr>
            <w:r>
              <w:rPr>
                <w:w w:val="99"/>
                <w:sz w:val="20"/>
              </w:rPr>
              <w:t>2</w:t>
            </w:r>
          </w:p>
        </w:tc>
        <w:tc>
          <w:tcPr>
            <w:tcW w:w="1082" w:type="dxa"/>
          </w:tcPr>
          <w:p w14:paraId="216AC603" w14:textId="77777777" w:rsidR="00DB6E1F" w:rsidRDefault="00F666A6">
            <w:pPr>
              <w:pStyle w:val="TableParagraph"/>
              <w:ind w:left="6"/>
              <w:jc w:val="center"/>
              <w:rPr>
                <w:sz w:val="20"/>
              </w:rPr>
            </w:pPr>
            <w:r>
              <w:rPr>
                <w:w w:val="99"/>
                <w:sz w:val="20"/>
              </w:rPr>
              <w:t>3</w:t>
            </w:r>
          </w:p>
        </w:tc>
        <w:tc>
          <w:tcPr>
            <w:tcW w:w="988" w:type="dxa"/>
          </w:tcPr>
          <w:p w14:paraId="183B1BFC" w14:textId="77777777" w:rsidR="00DB6E1F" w:rsidRDefault="00F666A6">
            <w:pPr>
              <w:pStyle w:val="TableParagraph"/>
              <w:ind w:left="10"/>
              <w:jc w:val="center"/>
              <w:rPr>
                <w:sz w:val="20"/>
              </w:rPr>
            </w:pPr>
            <w:r>
              <w:rPr>
                <w:w w:val="99"/>
                <w:sz w:val="20"/>
              </w:rPr>
              <w:t>4</w:t>
            </w:r>
          </w:p>
        </w:tc>
        <w:tc>
          <w:tcPr>
            <w:tcW w:w="990" w:type="dxa"/>
          </w:tcPr>
          <w:p w14:paraId="2EAD638C" w14:textId="77777777" w:rsidR="00DB6E1F" w:rsidRDefault="00F666A6">
            <w:pPr>
              <w:pStyle w:val="TableParagraph"/>
              <w:ind w:left="9"/>
              <w:jc w:val="center"/>
              <w:rPr>
                <w:sz w:val="20"/>
              </w:rPr>
            </w:pPr>
            <w:r>
              <w:rPr>
                <w:w w:val="99"/>
                <w:sz w:val="20"/>
              </w:rPr>
              <w:t>5</w:t>
            </w:r>
          </w:p>
        </w:tc>
      </w:tr>
      <w:tr w:rsidR="00DB6E1F" w14:paraId="76F70D35" w14:textId="77777777">
        <w:trPr>
          <w:trHeight w:val="263"/>
        </w:trPr>
        <w:tc>
          <w:tcPr>
            <w:tcW w:w="4589" w:type="dxa"/>
          </w:tcPr>
          <w:p w14:paraId="7D6BEE81" w14:textId="77777777" w:rsidR="00DB6E1F" w:rsidRDefault="00F666A6">
            <w:pPr>
              <w:pStyle w:val="TableParagraph"/>
              <w:spacing w:line="242" w:lineRule="exact"/>
              <w:ind w:left="95"/>
              <w:rPr>
                <w:sz w:val="20"/>
              </w:rPr>
            </w:pPr>
            <w:r>
              <w:rPr>
                <w:color w:val="4D4D4F"/>
                <w:sz w:val="20"/>
              </w:rPr>
              <w:t>9.</w:t>
            </w:r>
            <w:r>
              <w:rPr>
                <w:color w:val="4D4D4F"/>
                <w:spacing w:val="44"/>
                <w:sz w:val="20"/>
              </w:rPr>
              <w:t xml:space="preserve">  </w:t>
            </w:r>
            <w:r>
              <w:rPr>
                <w:sz w:val="20"/>
              </w:rPr>
              <w:t>Drug</w:t>
            </w:r>
            <w:r>
              <w:rPr>
                <w:spacing w:val="1"/>
                <w:sz w:val="20"/>
              </w:rPr>
              <w:t xml:space="preserve"> </w:t>
            </w:r>
            <w:r>
              <w:rPr>
                <w:sz w:val="20"/>
              </w:rPr>
              <w:t>use</w:t>
            </w:r>
            <w:r>
              <w:rPr>
                <w:spacing w:val="-1"/>
                <w:sz w:val="20"/>
              </w:rPr>
              <w:t xml:space="preserve"> </w:t>
            </w:r>
            <w:r>
              <w:rPr>
                <w:sz w:val="20"/>
              </w:rPr>
              <w:t>makes</w:t>
            </w:r>
            <w:r>
              <w:rPr>
                <w:spacing w:val="1"/>
                <w:sz w:val="20"/>
              </w:rPr>
              <w:t xml:space="preserve"> </w:t>
            </w:r>
            <w:r>
              <w:rPr>
                <w:sz w:val="20"/>
              </w:rPr>
              <w:t>me</w:t>
            </w:r>
            <w:r>
              <w:rPr>
                <w:spacing w:val="1"/>
                <w:sz w:val="20"/>
              </w:rPr>
              <w:t xml:space="preserve"> </w:t>
            </w:r>
            <w:r>
              <w:rPr>
                <w:sz w:val="20"/>
              </w:rPr>
              <w:t>more</w:t>
            </w:r>
            <w:r>
              <w:rPr>
                <w:spacing w:val="-1"/>
                <w:sz w:val="20"/>
              </w:rPr>
              <w:t xml:space="preserve"> </w:t>
            </w:r>
            <w:r>
              <w:rPr>
                <w:sz w:val="20"/>
              </w:rPr>
              <w:t>of</w:t>
            </w:r>
            <w:r>
              <w:rPr>
                <w:spacing w:val="-1"/>
                <w:sz w:val="20"/>
              </w:rPr>
              <w:t xml:space="preserve"> </w:t>
            </w:r>
            <w:r>
              <w:rPr>
                <w:sz w:val="20"/>
              </w:rPr>
              <w:t>a</w:t>
            </w:r>
            <w:r>
              <w:rPr>
                <w:spacing w:val="3"/>
                <w:sz w:val="20"/>
              </w:rPr>
              <w:t xml:space="preserve"> </w:t>
            </w:r>
            <w:r>
              <w:rPr>
                <w:sz w:val="20"/>
              </w:rPr>
              <w:t xml:space="preserve">fun </w:t>
            </w:r>
            <w:r>
              <w:rPr>
                <w:spacing w:val="-2"/>
                <w:sz w:val="20"/>
              </w:rPr>
              <w:t>person.</w:t>
            </w:r>
          </w:p>
        </w:tc>
        <w:tc>
          <w:tcPr>
            <w:tcW w:w="1078" w:type="dxa"/>
          </w:tcPr>
          <w:p w14:paraId="30A9B99C" w14:textId="77777777" w:rsidR="00DB6E1F" w:rsidRDefault="00F666A6">
            <w:pPr>
              <w:pStyle w:val="TableParagraph"/>
              <w:spacing w:line="242" w:lineRule="exact"/>
              <w:ind w:left="6"/>
              <w:jc w:val="center"/>
              <w:rPr>
                <w:sz w:val="20"/>
              </w:rPr>
            </w:pPr>
            <w:r>
              <w:rPr>
                <w:w w:val="99"/>
                <w:sz w:val="20"/>
              </w:rPr>
              <w:t>1</w:t>
            </w:r>
          </w:p>
        </w:tc>
        <w:tc>
          <w:tcPr>
            <w:tcW w:w="1080" w:type="dxa"/>
          </w:tcPr>
          <w:p w14:paraId="7A425B21" w14:textId="77777777" w:rsidR="00DB6E1F" w:rsidRDefault="00F666A6">
            <w:pPr>
              <w:pStyle w:val="TableParagraph"/>
              <w:spacing w:line="242" w:lineRule="exact"/>
              <w:ind w:left="8"/>
              <w:jc w:val="center"/>
              <w:rPr>
                <w:sz w:val="20"/>
              </w:rPr>
            </w:pPr>
            <w:r>
              <w:rPr>
                <w:w w:val="99"/>
                <w:sz w:val="20"/>
              </w:rPr>
              <w:t>2</w:t>
            </w:r>
          </w:p>
        </w:tc>
        <w:tc>
          <w:tcPr>
            <w:tcW w:w="1082" w:type="dxa"/>
          </w:tcPr>
          <w:p w14:paraId="5EAEE970" w14:textId="77777777" w:rsidR="00DB6E1F" w:rsidRDefault="00F666A6">
            <w:pPr>
              <w:pStyle w:val="TableParagraph"/>
              <w:spacing w:line="242" w:lineRule="exact"/>
              <w:ind w:left="6"/>
              <w:jc w:val="center"/>
              <w:rPr>
                <w:sz w:val="20"/>
              </w:rPr>
            </w:pPr>
            <w:r>
              <w:rPr>
                <w:w w:val="99"/>
                <w:sz w:val="20"/>
              </w:rPr>
              <w:t>3</w:t>
            </w:r>
          </w:p>
        </w:tc>
        <w:tc>
          <w:tcPr>
            <w:tcW w:w="988" w:type="dxa"/>
          </w:tcPr>
          <w:p w14:paraId="773E4F9E" w14:textId="77777777" w:rsidR="00DB6E1F" w:rsidRDefault="00F666A6">
            <w:pPr>
              <w:pStyle w:val="TableParagraph"/>
              <w:spacing w:line="242" w:lineRule="exact"/>
              <w:ind w:left="10"/>
              <w:jc w:val="center"/>
              <w:rPr>
                <w:sz w:val="20"/>
              </w:rPr>
            </w:pPr>
            <w:r>
              <w:rPr>
                <w:w w:val="99"/>
                <w:sz w:val="20"/>
              </w:rPr>
              <w:t>4</w:t>
            </w:r>
          </w:p>
        </w:tc>
        <w:tc>
          <w:tcPr>
            <w:tcW w:w="990" w:type="dxa"/>
          </w:tcPr>
          <w:p w14:paraId="2C8149C0" w14:textId="77777777" w:rsidR="00DB6E1F" w:rsidRDefault="00F666A6">
            <w:pPr>
              <w:pStyle w:val="TableParagraph"/>
              <w:spacing w:line="242" w:lineRule="exact"/>
              <w:ind w:left="9"/>
              <w:jc w:val="center"/>
              <w:rPr>
                <w:sz w:val="20"/>
              </w:rPr>
            </w:pPr>
            <w:r>
              <w:rPr>
                <w:w w:val="99"/>
                <w:sz w:val="20"/>
              </w:rPr>
              <w:t>5</w:t>
            </w:r>
          </w:p>
        </w:tc>
      </w:tr>
      <w:tr w:rsidR="00DB6E1F" w14:paraId="4A10CBEC" w14:textId="77777777">
        <w:trPr>
          <w:trHeight w:val="525"/>
        </w:trPr>
        <w:tc>
          <w:tcPr>
            <w:tcW w:w="4589" w:type="dxa"/>
          </w:tcPr>
          <w:p w14:paraId="7EC2AEE0" w14:textId="77777777" w:rsidR="00DB6E1F" w:rsidRDefault="00F666A6">
            <w:pPr>
              <w:pStyle w:val="TableParagraph"/>
              <w:ind w:left="95"/>
              <w:rPr>
                <w:sz w:val="20"/>
              </w:rPr>
            </w:pPr>
            <w:r>
              <w:rPr>
                <w:color w:val="4D4D4F"/>
                <w:sz w:val="20"/>
              </w:rPr>
              <w:t>10.</w:t>
            </w:r>
            <w:r>
              <w:rPr>
                <w:color w:val="4D4D4F"/>
                <w:spacing w:val="16"/>
                <w:sz w:val="20"/>
              </w:rPr>
              <w:t xml:space="preserve"> </w:t>
            </w:r>
            <w:r>
              <w:rPr>
                <w:sz w:val="20"/>
              </w:rPr>
              <w:t>Some</w:t>
            </w:r>
            <w:r>
              <w:rPr>
                <w:spacing w:val="-1"/>
                <w:sz w:val="20"/>
              </w:rPr>
              <w:t xml:space="preserve"> </w:t>
            </w:r>
            <w:r>
              <w:rPr>
                <w:sz w:val="20"/>
              </w:rPr>
              <w:t>people</w:t>
            </w:r>
            <w:r>
              <w:rPr>
                <w:spacing w:val="-1"/>
                <w:sz w:val="20"/>
              </w:rPr>
              <w:t xml:space="preserve"> </w:t>
            </w:r>
            <w:r>
              <w:rPr>
                <w:sz w:val="20"/>
              </w:rPr>
              <w:t>close</w:t>
            </w:r>
            <w:r>
              <w:rPr>
                <w:spacing w:val="-1"/>
                <w:sz w:val="20"/>
              </w:rPr>
              <w:t xml:space="preserve"> </w:t>
            </w:r>
            <w:r>
              <w:rPr>
                <w:sz w:val="20"/>
              </w:rPr>
              <w:t>to me are</w:t>
            </w:r>
            <w:r>
              <w:rPr>
                <w:spacing w:val="2"/>
                <w:sz w:val="20"/>
              </w:rPr>
              <w:t xml:space="preserve"> </w:t>
            </w:r>
            <w:r>
              <w:rPr>
                <w:sz w:val="20"/>
              </w:rPr>
              <w:t>disappointed</w:t>
            </w:r>
            <w:r>
              <w:rPr>
                <w:spacing w:val="1"/>
                <w:sz w:val="20"/>
              </w:rPr>
              <w:t xml:space="preserve"> </w:t>
            </w:r>
            <w:r>
              <w:rPr>
                <w:sz w:val="20"/>
              </w:rPr>
              <w:t>in</w:t>
            </w:r>
            <w:r>
              <w:rPr>
                <w:spacing w:val="1"/>
                <w:sz w:val="20"/>
              </w:rPr>
              <w:t xml:space="preserve"> </w:t>
            </w:r>
            <w:r>
              <w:rPr>
                <w:spacing w:val="-5"/>
                <w:sz w:val="20"/>
              </w:rPr>
              <w:t>me</w:t>
            </w:r>
          </w:p>
          <w:p w14:paraId="0DBBB4B3" w14:textId="77777777" w:rsidR="00DB6E1F" w:rsidRDefault="00F666A6">
            <w:pPr>
              <w:pStyle w:val="TableParagraph"/>
              <w:spacing w:before="20" w:line="240" w:lineRule="exact"/>
              <w:ind w:left="455"/>
              <w:rPr>
                <w:sz w:val="20"/>
              </w:rPr>
            </w:pPr>
            <w:r>
              <w:rPr>
                <w:sz w:val="20"/>
              </w:rPr>
              <w:t>because</w:t>
            </w:r>
            <w:r>
              <w:rPr>
                <w:spacing w:val="-6"/>
                <w:sz w:val="20"/>
              </w:rPr>
              <w:t xml:space="preserve"> </w:t>
            </w:r>
            <w:r>
              <w:rPr>
                <w:sz w:val="20"/>
              </w:rPr>
              <w:t>of</w:t>
            </w:r>
            <w:r>
              <w:rPr>
                <w:spacing w:val="-5"/>
                <w:sz w:val="20"/>
              </w:rPr>
              <w:t xml:space="preserve"> </w:t>
            </w:r>
            <w:r>
              <w:rPr>
                <w:sz w:val="20"/>
              </w:rPr>
              <w:t>my</w:t>
            </w:r>
            <w:r>
              <w:rPr>
                <w:spacing w:val="-4"/>
                <w:sz w:val="20"/>
              </w:rPr>
              <w:t xml:space="preserve"> </w:t>
            </w:r>
            <w:r>
              <w:rPr>
                <w:sz w:val="20"/>
              </w:rPr>
              <w:t>drug</w:t>
            </w:r>
            <w:r>
              <w:rPr>
                <w:spacing w:val="-5"/>
                <w:sz w:val="20"/>
              </w:rPr>
              <w:t xml:space="preserve"> </w:t>
            </w:r>
            <w:r>
              <w:rPr>
                <w:spacing w:val="-4"/>
                <w:sz w:val="20"/>
              </w:rPr>
              <w:t>use.</w:t>
            </w:r>
          </w:p>
        </w:tc>
        <w:tc>
          <w:tcPr>
            <w:tcW w:w="1078" w:type="dxa"/>
          </w:tcPr>
          <w:p w14:paraId="750FEB19" w14:textId="77777777" w:rsidR="00DB6E1F" w:rsidRDefault="00F666A6">
            <w:pPr>
              <w:pStyle w:val="TableParagraph"/>
              <w:ind w:left="6"/>
              <w:jc w:val="center"/>
              <w:rPr>
                <w:sz w:val="20"/>
              </w:rPr>
            </w:pPr>
            <w:r>
              <w:rPr>
                <w:w w:val="99"/>
                <w:sz w:val="20"/>
              </w:rPr>
              <w:t>1</w:t>
            </w:r>
          </w:p>
        </w:tc>
        <w:tc>
          <w:tcPr>
            <w:tcW w:w="1080" w:type="dxa"/>
          </w:tcPr>
          <w:p w14:paraId="7EBB277F" w14:textId="77777777" w:rsidR="00DB6E1F" w:rsidRDefault="00F666A6">
            <w:pPr>
              <w:pStyle w:val="TableParagraph"/>
              <w:ind w:left="8"/>
              <w:jc w:val="center"/>
              <w:rPr>
                <w:sz w:val="20"/>
              </w:rPr>
            </w:pPr>
            <w:r>
              <w:rPr>
                <w:w w:val="99"/>
                <w:sz w:val="20"/>
              </w:rPr>
              <w:t>2</w:t>
            </w:r>
          </w:p>
        </w:tc>
        <w:tc>
          <w:tcPr>
            <w:tcW w:w="1082" w:type="dxa"/>
          </w:tcPr>
          <w:p w14:paraId="6CE7386F" w14:textId="77777777" w:rsidR="00DB6E1F" w:rsidRDefault="00F666A6">
            <w:pPr>
              <w:pStyle w:val="TableParagraph"/>
              <w:ind w:left="6"/>
              <w:jc w:val="center"/>
              <w:rPr>
                <w:sz w:val="20"/>
              </w:rPr>
            </w:pPr>
            <w:r>
              <w:rPr>
                <w:w w:val="99"/>
                <w:sz w:val="20"/>
              </w:rPr>
              <w:t>3</w:t>
            </w:r>
          </w:p>
        </w:tc>
        <w:tc>
          <w:tcPr>
            <w:tcW w:w="988" w:type="dxa"/>
          </w:tcPr>
          <w:p w14:paraId="7D6CD98E" w14:textId="77777777" w:rsidR="00DB6E1F" w:rsidRDefault="00F666A6">
            <w:pPr>
              <w:pStyle w:val="TableParagraph"/>
              <w:ind w:left="10"/>
              <w:jc w:val="center"/>
              <w:rPr>
                <w:sz w:val="20"/>
              </w:rPr>
            </w:pPr>
            <w:r>
              <w:rPr>
                <w:w w:val="99"/>
                <w:sz w:val="20"/>
              </w:rPr>
              <w:t>4</w:t>
            </w:r>
          </w:p>
        </w:tc>
        <w:tc>
          <w:tcPr>
            <w:tcW w:w="990" w:type="dxa"/>
          </w:tcPr>
          <w:p w14:paraId="53E317B1" w14:textId="77777777" w:rsidR="00DB6E1F" w:rsidRDefault="00F666A6">
            <w:pPr>
              <w:pStyle w:val="TableParagraph"/>
              <w:ind w:left="9"/>
              <w:jc w:val="center"/>
              <w:rPr>
                <w:sz w:val="20"/>
              </w:rPr>
            </w:pPr>
            <w:r>
              <w:rPr>
                <w:w w:val="99"/>
                <w:sz w:val="20"/>
              </w:rPr>
              <w:t>5</w:t>
            </w:r>
          </w:p>
        </w:tc>
      </w:tr>
      <w:tr w:rsidR="00DB6E1F" w14:paraId="0DD840DE" w14:textId="77777777">
        <w:trPr>
          <w:trHeight w:val="527"/>
        </w:trPr>
        <w:tc>
          <w:tcPr>
            <w:tcW w:w="4589" w:type="dxa"/>
          </w:tcPr>
          <w:p w14:paraId="016C08C9" w14:textId="77777777" w:rsidR="00DB6E1F" w:rsidRDefault="00F666A6">
            <w:pPr>
              <w:pStyle w:val="TableParagraph"/>
              <w:spacing w:before="3"/>
              <w:ind w:left="95"/>
              <w:rPr>
                <w:sz w:val="20"/>
              </w:rPr>
            </w:pPr>
            <w:r>
              <w:rPr>
                <w:color w:val="4D4D4F"/>
                <w:sz w:val="20"/>
              </w:rPr>
              <w:t>11.</w:t>
            </w:r>
            <w:r>
              <w:rPr>
                <w:color w:val="4D4D4F"/>
                <w:spacing w:val="17"/>
                <w:sz w:val="20"/>
              </w:rPr>
              <w:t xml:space="preserve"> </w:t>
            </w:r>
            <w:r>
              <w:rPr>
                <w:sz w:val="20"/>
              </w:rPr>
              <w:t>Drug</w:t>
            </w:r>
            <w:r>
              <w:rPr>
                <w:spacing w:val="2"/>
                <w:sz w:val="20"/>
              </w:rPr>
              <w:t xml:space="preserve"> </w:t>
            </w:r>
            <w:r>
              <w:rPr>
                <w:sz w:val="20"/>
              </w:rPr>
              <w:t>use helps me</w:t>
            </w:r>
            <w:r>
              <w:rPr>
                <w:spacing w:val="1"/>
                <w:sz w:val="20"/>
              </w:rPr>
              <w:t xml:space="preserve"> </w:t>
            </w:r>
            <w:r>
              <w:rPr>
                <w:sz w:val="20"/>
              </w:rPr>
              <w:t>to</w:t>
            </w:r>
            <w:r>
              <w:rPr>
                <w:spacing w:val="1"/>
                <w:sz w:val="20"/>
              </w:rPr>
              <w:t xml:space="preserve"> </w:t>
            </w:r>
            <w:r>
              <w:rPr>
                <w:sz w:val="20"/>
              </w:rPr>
              <w:t>loosen</w:t>
            </w:r>
            <w:r>
              <w:rPr>
                <w:spacing w:val="5"/>
                <w:sz w:val="20"/>
              </w:rPr>
              <w:t xml:space="preserve"> </w:t>
            </w:r>
            <w:r>
              <w:rPr>
                <w:sz w:val="20"/>
              </w:rPr>
              <w:t>up</w:t>
            </w:r>
            <w:r>
              <w:rPr>
                <w:spacing w:val="2"/>
                <w:sz w:val="20"/>
              </w:rPr>
              <w:t xml:space="preserve"> </w:t>
            </w:r>
            <w:r>
              <w:rPr>
                <w:sz w:val="20"/>
              </w:rPr>
              <w:t>and</w:t>
            </w:r>
            <w:r>
              <w:rPr>
                <w:spacing w:val="3"/>
                <w:sz w:val="20"/>
              </w:rPr>
              <w:t xml:space="preserve"> </w:t>
            </w:r>
            <w:r>
              <w:rPr>
                <w:spacing w:val="-2"/>
                <w:sz w:val="20"/>
              </w:rPr>
              <w:t>express</w:t>
            </w:r>
          </w:p>
          <w:p w14:paraId="2899B7A6" w14:textId="77777777" w:rsidR="00DB6E1F" w:rsidRDefault="00F666A6">
            <w:pPr>
              <w:pStyle w:val="TableParagraph"/>
              <w:spacing w:before="18" w:line="242" w:lineRule="exact"/>
              <w:ind w:left="455"/>
              <w:rPr>
                <w:sz w:val="20"/>
              </w:rPr>
            </w:pPr>
            <w:r>
              <w:rPr>
                <w:spacing w:val="-2"/>
                <w:sz w:val="20"/>
              </w:rPr>
              <w:t>myself.</w:t>
            </w:r>
          </w:p>
        </w:tc>
        <w:tc>
          <w:tcPr>
            <w:tcW w:w="1078" w:type="dxa"/>
          </w:tcPr>
          <w:p w14:paraId="2C2730BA" w14:textId="77777777" w:rsidR="00DB6E1F" w:rsidRDefault="00F666A6">
            <w:pPr>
              <w:pStyle w:val="TableParagraph"/>
              <w:spacing w:before="3"/>
              <w:ind w:left="6"/>
              <w:jc w:val="center"/>
              <w:rPr>
                <w:sz w:val="20"/>
              </w:rPr>
            </w:pPr>
            <w:r>
              <w:rPr>
                <w:w w:val="99"/>
                <w:sz w:val="20"/>
              </w:rPr>
              <w:t>1</w:t>
            </w:r>
          </w:p>
        </w:tc>
        <w:tc>
          <w:tcPr>
            <w:tcW w:w="1080" w:type="dxa"/>
          </w:tcPr>
          <w:p w14:paraId="7685113E" w14:textId="77777777" w:rsidR="00DB6E1F" w:rsidRDefault="00F666A6">
            <w:pPr>
              <w:pStyle w:val="TableParagraph"/>
              <w:spacing w:before="3"/>
              <w:ind w:left="8"/>
              <w:jc w:val="center"/>
              <w:rPr>
                <w:sz w:val="20"/>
              </w:rPr>
            </w:pPr>
            <w:r>
              <w:rPr>
                <w:w w:val="99"/>
                <w:sz w:val="20"/>
              </w:rPr>
              <w:t>2</w:t>
            </w:r>
          </w:p>
        </w:tc>
        <w:tc>
          <w:tcPr>
            <w:tcW w:w="1082" w:type="dxa"/>
          </w:tcPr>
          <w:p w14:paraId="69F36C86" w14:textId="77777777" w:rsidR="00DB6E1F" w:rsidRDefault="00F666A6">
            <w:pPr>
              <w:pStyle w:val="TableParagraph"/>
              <w:spacing w:before="3"/>
              <w:ind w:left="6"/>
              <w:jc w:val="center"/>
              <w:rPr>
                <w:sz w:val="20"/>
              </w:rPr>
            </w:pPr>
            <w:r>
              <w:rPr>
                <w:w w:val="99"/>
                <w:sz w:val="20"/>
              </w:rPr>
              <w:t>3</w:t>
            </w:r>
          </w:p>
        </w:tc>
        <w:tc>
          <w:tcPr>
            <w:tcW w:w="988" w:type="dxa"/>
          </w:tcPr>
          <w:p w14:paraId="3A972F9D" w14:textId="77777777" w:rsidR="00DB6E1F" w:rsidRDefault="00F666A6">
            <w:pPr>
              <w:pStyle w:val="TableParagraph"/>
              <w:spacing w:before="3"/>
              <w:ind w:left="10"/>
              <w:jc w:val="center"/>
              <w:rPr>
                <w:sz w:val="20"/>
              </w:rPr>
            </w:pPr>
            <w:r>
              <w:rPr>
                <w:w w:val="99"/>
                <w:sz w:val="20"/>
              </w:rPr>
              <w:t>4</w:t>
            </w:r>
          </w:p>
        </w:tc>
        <w:tc>
          <w:tcPr>
            <w:tcW w:w="990" w:type="dxa"/>
          </w:tcPr>
          <w:p w14:paraId="550A7931" w14:textId="77777777" w:rsidR="00DB6E1F" w:rsidRDefault="00F666A6">
            <w:pPr>
              <w:pStyle w:val="TableParagraph"/>
              <w:spacing w:before="3"/>
              <w:ind w:left="9"/>
              <w:jc w:val="center"/>
              <w:rPr>
                <w:sz w:val="20"/>
              </w:rPr>
            </w:pPr>
            <w:r>
              <w:rPr>
                <w:w w:val="99"/>
                <w:sz w:val="20"/>
              </w:rPr>
              <w:t>5</w:t>
            </w:r>
          </w:p>
        </w:tc>
      </w:tr>
      <w:tr w:rsidR="00DB6E1F" w14:paraId="66065FF1" w14:textId="77777777">
        <w:trPr>
          <w:trHeight w:val="263"/>
        </w:trPr>
        <w:tc>
          <w:tcPr>
            <w:tcW w:w="4589" w:type="dxa"/>
          </w:tcPr>
          <w:p w14:paraId="3C3D45FD" w14:textId="77777777" w:rsidR="00DB6E1F" w:rsidRDefault="00F666A6">
            <w:pPr>
              <w:pStyle w:val="TableParagraph"/>
              <w:spacing w:line="242" w:lineRule="exact"/>
              <w:ind w:left="95"/>
              <w:rPr>
                <w:sz w:val="20"/>
              </w:rPr>
            </w:pPr>
            <w:r>
              <w:rPr>
                <w:color w:val="4D4D4F"/>
                <w:sz w:val="20"/>
              </w:rPr>
              <w:t>12.</w:t>
            </w:r>
            <w:r>
              <w:rPr>
                <w:color w:val="4D4D4F"/>
                <w:spacing w:val="15"/>
                <w:sz w:val="20"/>
              </w:rPr>
              <w:t xml:space="preserve"> </w:t>
            </w:r>
            <w:r>
              <w:rPr>
                <w:sz w:val="20"/>
              </w:rPr>
              <w:t>I seem</w:t>
            </w:r>
            <w:r>
              <w:rPr>
                <w:spacing w:val="-1"/>
                <w:sz w:val="20"/>
              </w:rPr>
              <w:t xml:space="preserve"> </w:t>
            </w:r>
            <w:r>
              <w:rPr>
                <w:sz w:val="20"/>
              </w:rPr>
              <w:t>to get</w:t>
            </w:r>
            <w:r>
              <w:rPr>
                <w:spacing w:val="3"/>
                <w:sz w:val="20"/>
              </w:rPr>
              <w:t xml:space="preserve"> </w:t>
            </w:r>
            <w:r>
              <w:rPr>
                <w:sz w:val="20"/>
              </w:rPr>
              <w:t>myself</w:t>
            </w:r>
            <w:r>
              <w:rPr>
                <w:spacing w:val="-1"/>
                <w:sz w:val="20"/>
              </w:rPr>
              <w:t xml:space="preserve"> </w:t>
            </w:r>
            <w:r>
              <w:rPr>
                <w:sz w:val="20"/>
              </w:rPr>
              <w:t>into trouble</w:t>
            </w:r>
            <w:r>
              <w:rPr>
                <w:spacing w:val="-1"/>
                <w:sz w:val="20"/>
              </w:rPr>
              <w:t xml:space="preserve"> </w:t>
            </w:r>
            <w:r>
              <w:rPr>
                <w:sz w:val="20"/>
              </w:rPr>
              <w:t>when</w:t>
            </w:r>
            <w:r>
              <w:rPr>
                <w:spacing w:val="1"/>
                <w:sz w:val="20"/>
              </w:rPr>
              <w:t xml:space="preserve"> </w:t>
            </w:r>
            <w:r>
              <w:rPr>
                <w:sz w:val="20"/>
              </w:rPr>
              <w:t>I use</w:t>
            </w:r>
            <w:r>
              <w:rPr>
                <w:spacing w:val="-1"/>
                <w:sz w:val="20"/>
              </w:rPr>
              <w:t xml:space="preserve"> </w:t>
            </w:r>
            <w:r>
              <w:rPr>
                <w:spacing w:val="-2"/>
                <w:sz w:val="20"/>
              </w:rPr>
              <w:t>drugs.</w:t>
            </w:r>
          </w:p>
        </w:tc>
        <w:tc>
          <w:tcPr>
            <w:tcW w:w="1078" w:type="dxa"/>
          </w:tcPr>
          <w:p w14:paraId="15B2BD60" w14:textId="77777777" w:rsidR="00DB6E1F" w:rsidRDefault="00F666A6">
            <w:pPr>
              <w:pStyle w:val="TableParagraph"/>
              <w:spacing w:line="242" w:lineRule="exact"/>
              <w:ind w:left="6"/>
              <w:jc w:val="center"/>
              <w:rPr>
                <w:sz w:val="20"/>
              </w:rPr>
            </w:pPr>
            <w:r>
              <w:rPr>
                <w:w w:val="99"/>
                <w:sz w:val="20"/>
              </w:rPr>
              <w:t>1</w:t>
            </w:r>
          </w:p>
        </w:tc>
        <w:tc>
          <w:tcPr>
            <w:tcW w:w="1080" w:type="dxa"/>
          </w:tcPr>
          <w:p w14:paraId="0517C3C7" w14:textId="77777777" w:rsidR="00DB6E1F" w:rsidRDefault="00F666A6">
            <w:pPr>
              <w:pStyle w:val="TableParagraph"/>
              <w:spacing w:line="242" w:lineRule="exact"/>
              <w:ind w:left="8"/>
              <w:jc w:val="center"/>
              <w:rPr>
                <w:sz w:val="20"/>
              </w:rPr>
            </w:pPr>
            <w:r>
              <w:rPr>
                <w:w w:val="99"/>
                <w:sz w:val="20"/>
              </w:rPr>
              <w:t>2</w:t>
            </w:r>
          </w:p>
        </w:tc>
        <w:tc>
          <w:tcPr>
            <w:tcW w:w="1082" w:type="dxa"/>
          </w:tcPr>
          <w:p w14:paraId="7BBE49BC" w14:textId="77777777" w:rsidR="00DB6E1F" w:rsidRDefault="00F666A6">
            <w:pPr>
              <w:pStyle w:val="TableParagraph"/>
              <w:spacing w:line="242" w:lineRule="exact"/>
              <w:ind w:left="6"/>
              <w:jc w:val="center"/>
              <w:rPr>
                <w:sz w:val="20"/>
              </w:rPr>
            </w:pPr>
            <w:r>
              <w:rPr>
                <w:w w:val="99"/>
                <w:sz w:val="20"/>
              </w:rPr>
              <w:t>3</w:t>
            </w:r>
          </w:p>
        </w:tc>
        <w:tc>
          <w:tcPr>
            <w:tcW w:w="988" w:type="dxa"/>
          </w:tcPr>
          <w:p w14:paraId="4E1FA416" w14:textId="77777777" w:rsidR="00DB6E1F" w:rsidRDefault="00F666A6">
            <w:pPr>
              <w:pStyle w:val="TableParagraph"/>
              <w:spacing w:line="242" w:lineRule="exact"/>
              <w:ind w:left="10"/>
              <w:jc w:val="center"/>
              <w:rPr>
                <w:sz w:val="20"/>
              </w:rPr>
            </w:pPr>
            <w:r>
              <w:rPr>
                <w:w w:val="99"/>
                <w:sz w:val="20"/>
              </w:rPr>
              <w:t>4</w:t>
            </w:r>
          </w:p>
        </w:tc>
        <w:tc>
          <w:tcPr>
            <w:tcW w:w="990" w:type="dxa"/>
          </w:tcPr>
          <w:p w14:paraId="2EE6C453" w14:textId="77777777" w:rsidR="00DB6E1F" w:rsidRDefault="00F666A6">
            <w:pPr>
              <w:pStyle w:val="TableParagraph"/>
              <w:spacing w:line="242" w:lineRule="exact"/>
              <w:ind w:left="9"/>
              <w:jc w:val="center"/>
              <w:rPr>
                <w:sz w:val="20"/>
              </w:rPr>
            </w:pPr>
            <w:r>
              <w:rPr>
                <w:w w:val="99"/>
                <w:sz w:val="20"/>
              </w:rPr>
              <w:t>5</w:t>
            </w:r>
          </w:p>
        </w:tc>
      </w:tr>
      <w:tr w:rsidR="00DB6E1F" w14:paraId="022583D0" w14:textId="77777777">
        <w:trPr>
          <w:trHeight w:val="527"/>
        </w:trPr>
        <w:tc>
          <w:tcPr>
            <w:tcW w:w="4589" w:type="dxa"/>
          </w:tcPr>
          <w:p w14:paraId="1D9B9ECF" w14:textId="77777777" w:rsidR="00DB6E1F" w:rsidRDefault="00F666A6">
            <w:pPr>
              <w:pStyle w:val="TableParagraph"/>
              <w:ind w:left="95"/>
              <w:rPr>
                <w:sz w:val="20"/>
              </w:rPr>
            </w:pPr>
            <w:r>
              <w:rPr>
                <w:color w:val="4D4D4F"/>
                <w:sz w:val="20"/>
              </w:rPr>
              <w:t>13.</w:t>
            </w:r>
            <w:r>
              <w:rPr>
                <w:color w:val="4D4D4F"/>
                <w:spacing w:val="15"/>
                <w:sz w:val="20"/>
              </w:rPr>
              <w:t xml:space="preserve"> </w:t>
            </w:r>
            <w:r>
              <w:rPr>
                <w:sz w:val="20"/>
              </w:rPr>
              <w:t>I</w:t>
            </w:r>
            <w:r>
              <w:rPr>
                <w:spacing w:val="-1"/>
                <w:sz w:val="20"/>
              </w:rPr>
              <w:t xml:space="preserve"> </w:t>
            </w:r>
            <w:r>
              <w:rPr>
                <w:sz w:val="20"/>
              </w:rPr>
              <w:t>could</w:t>
            </w:r>
            <w:r>
              <w:rPr>
                <w:spacing w:val="1"/>
                <w:sz w:val="20"/>
              </w:rPr>
              <w:t xml:space="preserve"> </w:t>
            </w:r>
            <w:r>
              <w:rPr>
                <w:sz w:val="20"/>
              </w:rPr>
              <w:t>accidentally hurt someone</w:t>
            </w:r>
            <w:r>
              <w:rPr>
                <w:spacing w:val="-2"/>
                <w:sz w:val="20"/>
              </w:rPr>
              <w:t xml:space="preserve"> </w:t>
            </w:r>
            <w:r>
              <w:rPr>
                <w:sz w:val="20"/>
              </w:rPr>
              <w:t>because</w:t>
            </w:r>
            <w:r>
              <w:rPr>
                <w:spacing w:val="-1"/>
                <w:sz w:val="20"/>
              </w:rPr>
              <w:t xml:space="preserve"> </w:t>
            </w:r>
            <w:r>
              <w:rPr>
                <w:sz w:val="20"/>
              </w:rPr>
              <w:t>of</w:t>
            </w:r>
            <w:r>
              <w:rPr>
                <w:spacing w:val="-1"/>
                <w:sz w:val="20"/>
              </w:rPr>
              <w:t xml:space="preserve"> </w:t>
            </w:r>
            <w:r>
              <w:rPr>
                <w:spacing w:val="-5"/>
                <w:sz w:val="20"/>
              </w:rPr>
              <w:t>my</w:t>
            </w:r>
          </w:p>
          <w:p w14:paraId="76282125" w14:textId="77777777" w:rsidR="00DB6E1F" w:rsidRDefault="00F666A6">
            <w:pPr>
              <w:pStyle w:val="TableParagraph"/>
              <w:spacing w:before="20" w:line="242" w:lineRule="exact"/>
              <w:ind w:left="455"/>
              <w:rPr>
                <w:sz w:val="20"/>
              </w:rPr>
            </w:pPr>
            <w:r>
              <w:rPr>
                <w:sz w:val="20"/>
              </w:rPr>
              <w:t>drug</w:t>
            </w:r>
            <w:r>
              <w:rPr>
                <w:spacing w:val="-5"/>
                <w:sz w:val="20"/>
              </w:rPr>
              <w:t xml:space="preserve"> </w:t>
            </w:r>
            <w:r>
              <w:rPr>
                <w:spacing w:val="-4"/>
                <w:sz w:val="20"/>
              </w:rPr>
              <w:t>use.</w:t>
            </w:r>
          </w:p>
        </w:tc>
        <w:tc>
          <w:tcPr>
            <w:tcW w:w="1078" w:type="dxa"/>
          </w:tcPr>
          <w:p w14:paraId="7C8C8040" w14:textId="77777777" w:rsidR="00DB6E1F" w:rsidRDefault="00F666A6">
            <w:pPr>
              <w:pStyle w:val="TableParagraph"/>
              <w:ind w:left="6"/>
              <w:jc w:val="center"/>
              <w:rPr>
                <w:sz w:val="20"/>
              </w:rPr>
            </w:pPr>
            <w:r>
              <w:rPr>
                <w:w w:val="99"/>
                <w:sz w:val="20"/>
              </w:rPr>
              <w:t>1</w:t>
            </w:r>
          </w:p>
        </w:tc>
        <w:tc>
          <w:tcPr>
            <w:tcW w:w="1080" w:type="dxa"/>
          </w:tcPr>
          <w:p w14:paraId="3521022C" w14:textId="77777777" w:rsidR="00DB6E1F" w:rsidRDefault="00F666A6">
            <w:pPr>
              <w:pStyle w:val="TableParagraph"/>
              <w:ind w:left="8"/>
              <w:jc w:val="center"/>
              <w:rPr>
                <w:sz w:val="20"/>
              </w:rPr>
            </w:pPr>
            <w:r>
              <w:rPr>
                <w:w w:val="99"/>
                <w:sz w:val="20"/>
              </w:rPr>
              <w:t>2</w:t>
            </w:r>
          </w:p>
        </w:tc>
        <w:tc>
          <w:tcPr>
            <w:tcW w:w="1082" w:type="dxa"/>
          </w:tcPr>
          <w:p w14:paraId="4E5D339E" w14:textId="77777777" w:rsidR="00DB6E1F" w:rsidRDefault="00F666A6">
            <w:pPr>
              <w:pStyle w:val="TableParagraph"/>
              <w:ind w:left="6"/>
              <w:jc w:val="center"/>
              <w:rPr>
                <w:sz w:val="20"/>
              </w:rPr>
            </w:pPr>
            <w:r>
              <w:rPr>
                <w:w w:val="99"/>
                <w:sz w:val="20"/>
              </w:rPr>
              <w:t>3</w:t>
            </w:r>
          </w:p>
        </w:tc>
        <w:tc>
          <w:tcPr>
            <w:tcW w:w="988" w:type="dxa"/>
          </w:tcPr>
          <w:p w14:paraId="689201DF" w14:textId="77777777" w:rsidR="00DB6E1F" w:rsidRDefault="00F666A6">
            <w:pPr>
              <w:pStyle w:val="TableParagraph"/>
              <w:ind w:left="10"/>
              <w:jc w:val="center"/>
              <w:rPr>
                <w:sz w:val="20"/>
              </w:rPr>
            </w:pPr>
            <w:r>
              <w:rPr>
                <w:w w:val="99"/>
                <w:sz w:val="20"/>
              </w:rPr>
              <w:t>4</w:t>
            </w:r>
          </w:p>
        </w:tc>
        <w:tc>
          <w:tcPr>
            <w:tcW w:w="990" w:type="dxa"/>
          </w:tcPr>
          <w:p w14:paraId="445EC12C" w14:textId="77777777" w:rsidR="00DB6E1F" w:rsidRDefault="00F666A6">
            <w:pPr>
              <w:pStyle w:val="TableParagraph"/>
              <w:ind w:left="9"/>
              <w:jc w:val="center"/>
              <w:rPr>
                <w:sz w:val="20"/>
              </w:rPr>
            </w:pPr>
            <w:r>
              <w:rPr>
                <w:w w:val="99"/>
                <w:sz w:val="20"/>
              </w:rPr>
              <w:t>5</w:t>
            </w:r>
          </w:p>
        </w:tc>
      </w:tr>
      <w:tr w:rsidR="00DB6E1F" w14:paraId="4A372A07" w14:textId="77777777">
        <w:trPr>
          <w:trHeight w:val="525"/>
        </w:trPr>
        <w:tc>
          <w:tcPr>
            <w:tcW w:w="4589" w:type="dxa"/>
          </w:tcPr>
          <w:p w14:paraId="743E7955" w14:textId="77777777" w:rsidR="00DB6E1F" w:rsidRDefault="00F666A6">
            <w:pPr>
              <w:pStyle w:val="TableParagraph"/>
              <w:ind w:left="95"/>
              <w:rPr>
                <w:sz w:val="20"/>
              </w:rPr>
            </w:pPr>
            <w:r>
              <w:rPr>
                <w:color w:val="4D4D4F"/>
                <w:sz w:val="20"/>
              </w:rPr>
              <w:t>14.</w:t>
            </w:r>
            <w:r>
              <w:rPr>
                <w:color w:val="4D4D4F"/>
                <w:spacing w:val="15"/>
                <w:sz w:val="20"/>
              </w:rPr>
              <w:t xml:space="preserve"> </w:t>
            </w:r>
            <w:r>
              <w:rPr>
                <w:sz w:val="20"/>
              </w:rPr>
              <w:t>Not using drugs</w:t>
            </w:r>
            <w:r>
              <w:rPr>
                <w:spacing w:val="-2"/>
                <w:sz w:val="20"/>
              </w:rPr>
              <w:t xml:space="preserve"> </w:t>
            </w:r>
            <w:r>
              <w:rPr>
                <w:sz w:val="20"/>
              </w:rPr>
              <w:t>at a</w:t>
            </w:r>
            <w:r>
              <w:rPr>
                <w:spacing w:val="1"/>
                <w:sz w:val="20"/>
              </w:rPr>
              <w:t xml:space="preserve"> </w:t>
            </w:r>
            <w:r>
              <w:rPr>
                <w:sz w:val="20"/>
              </w:rPr>
              <w:t>social</w:t>
            </w:r>
            <w:r>
              <w:rPr>
                <w:spacing w:val="-1"/>
                <w:sz w:val="20"/>
              </w:rPr>
              <w:t xml:space="preserve"> </w:t>
            </w:r>
            <w:r>
              <w:rPr>
                <w:sz w:val="20"/>
              </w:rPr>
              <w:t>gathering would</w:t>
            </w:r>
            <w:r>
              <w:rPr>
                <w:spacing w:val="1"/>
                <w:sz w:val="20"/>
              </w:rPr>
              <w:t xml:space="preserve"> </w:t>
            </w:r>
            <w:r>
              <w:rPr>
                <w:spacing w:val="-4"/>
                <w:sz w:val="20"/>
              </w:rPr>
              <w:t>make</w:t>
            </w:r>
          </w:p>
          <w:p w14:paraId="1BC1A99F" w14:textId="77777777" w:rsidR="00DB6E1F" w:rsidRDefault="00F666A6">
            <w:pPr>
              <w:pStyle w:val="TableParagraph"/>
              <w:spacing w:before="20" w:line="240" w:lineRule="exact"/>
              <w:ind w:left="455"/>
              <w:rPr>
                <w:sz w:val="20"/>
              </w:rPr>
            </w:pPr>
            <w:r>
              <w:rPr>
                <w:sz w:val="20"/>
              </w:rPr>
              <w:t>me</w:t>
            </w:r>
            <w:r>
              <w:rPr>
                <w:spacing w:val="-5"/>
                <w:sz w:val="20"/>
              </w:rPr>
              <w:t xml:space="preserve"> </w:t>
            </w:r>
            <w:r>
              <w:rPr>
                <w:sz w:val="20"/>
              </w:rPr>
              <w:t>feel</w:t>
            </w:r>
            <w:r>
              <w:rPr>
                <w:spacing w:val="-3"/>
                <w:sz w:val="20"/>
              </w:rPr>
              <w:t xml:space="preserve"> </w:t>
            </w:r>
            <w:r>
              <w:rPr>
                <w:sz w:val="20"/>
              </w:rPr>
              <w:t>too</w:t>
            </w:r>
            <w:r>
              <w:rPr>
                <w:spacing w:val="-4"/>
                <w:sz w:val="20"/>
              </w:rPr>
              <w:t xml:space="preserve"> </w:t>
            </w:r>
            <w:r>
              <w:rPr>
                <w:spacing w:val="-2"/>
                <w:sz w:val="20"/>
              </w:rPr>
              <w:t>different.</w:t>
            </w:r>
          </w:p>
        </w:tc>
        <w:tc>
          <w:tcPr>
            <w:tcW w:w="1078" w:type="dxa"/>
          </w:tcPr>
          <w:p w14:paraId="6F94E6FD" w14:textId="77777777" w:rsidR="00DB6E1F" w:rsidRDefault="00F666A6">
            <w:pPr>
              <w:pStyle w:val="TableParagraph"/>
              <w:ind w:left="6"/>
              <w:jc w:val="center"/>
              <w:rPr>
                <w:sz w:val="20"/>
              </w:rPr>
            </w:pPr>
            <w:r>
              <w:rPr>
                <w:w w:val="99"/>
                <w:sz w:val="20"/>
              </w:rPr>
              <w:t>1</w:t>
            </w:r>
          </w:p>
        </w:tc>
        <w:tc>
          <w:tcPr>
            <w:tcW w:w="1080" w:type="dxa"/>
          </w:tcPr>
          <w:p w14:paraId="3E6E7AE3" w14:textId="77777777" w:rsidR="00DB6E1F" w:rsidRDefault="00F666A6">
            <w:pPr>
              <w:pStyle w:val="TableParagraph"/>
              <w:ind w:left="8"/>
              <w:jc w:val="center"/>
              <w:rPr>
                <w:sz w:val="20"/>
              </w:rPr>
            </w:pPr>
            <w:r>
              <w:rPr>
                <w:w w:val="99"/>
                <w:sz w:val="20"/>
              </w:rPr>
              <w:t>2</w:t>
            </w:r>
          </w:p>
        </w:tc>
        <w:tc>
          <w:tcPr>
            <w:tcW w:w="1082" w:type="dxa"/>
          </w:tcPr>
          <w:p w14:paraId="2F6D1D6C" w14:textId="77777777" w:rsidR="00DB6E1F" w:rsidRDefault="00F666A6">
            <w:pPr>
              <w:pStyle w:val="TableParagraph"/>
              <w:ind w:left="6"/>
              <w:jc w:val="center"/>
              <w:rPr>
                <w:sz w:val="20"/>
              </w:rPr>
            </w:pPr>
            <w:r>
              <w:rPr>
                <w:w w:val="99"/>
                <w:sz w:val="20"/>
              </w:rPr>
              <w:t>3</w:t>
            </w:r>
          </w:p>
        </w:tc>
        <w:tc>
          <w:tcPr>
            <w:tcW w:w="988" w:type="dxa"/>
          </w:tcPr>
          <w:p w14:paraId="080E929A" w14:textId="77777777" w:rsidR="00DB6E1F" w:rsidRDefault="00F666A6">
            <w:pPr>
              <w:pStyle w:val="TableParagraph"/>
              <w:ind w:left="10"/>
              <w:jc w:val="center"/>
              <w:rPr>
                <w:sz w:val="20"/>
              </w:rPr>
            </w:pPr>
            <w:r>
              <w:rPr>
                <w:w w:val="99"/>
                <w:sz w:val="20"/>
              </w:rPr>
              <w:t>4</w:t>
            </w:r>
          </w:p>
        </w:tc>
        <w:tc>
          <w:tcPr>
            <w:tcW w:w="990" w:type="dxa"/>
          </w:tcPr>
          <w:p w14:paraId="321AD3AC" w14:textId="77777777" w:rsidR="00DB6E1F" w:rsidRDefault="00F666A6">
            <w:pPr>
              <w:pStyle w:val="TableParagraph"/>
              <w:ind w:left="9"/>
              <w:jc w:val="center"/>
              <w:rPr>
                <w:sz w:val="20"/>
              </w:rPr>
            </w:pPr>
            <w:r>
              <w:rPr>
                <w:w w:val="99"/>
                <w:sz w:val="20"/>
              </w:rPr>
              <w:t>5</w:t>
            </w:r>
          </w:p>
        </w:tc>
      </w:tr>
      <w:tr w:rsidR="00DB6E1F" w14:paraId="61F4ACAC" w14:textId="77777777">
        <w:trPr>
          <w:trHeight w:val="527"/>
        </w:trPr>
        <w:tc>
          <w:tcPr>
            <w:tcW w:w="4589" w:type="dxa"/>
          </w:tcPr>
          <w:p w14:paraId="41541F64" w14:textId="77777777" w:rsidR="00DB6E1F" w:rsidRDefault="00F666A6">
            <w:pPr>
              <w:pStyle w:val="TableParagraph"/>
              <w:spacing w:before="3"/>
              <w:ind w:left="95"/>
              <w:rPr>
                <w:sz w:val="20"/>
              </w:rPr>
            </w:pPr>
            <w:r>
              <w:rPr>
                <w:color w:val="4D4D4F"/>
                <w:sz w:val="20"/>
              </w:rPr>
              <w:t>15.</w:t>
            </w:r>
            <w:r>
              <w:rPr>
                <w:color w:val="4D4D4F"/>
                <w:spacing w:val="16"/>
                <w:sz w:val="20"/>
              </w:rPr>
              <w:t xml:space="preserve"> </w:t>
            </w:r>
            <w:r>
              <w:rPr>
                <w:sz w:val="20"/>
              </w:rPr>
              <w:t>I</w:t>
            </w:r>
            <w:r>
              <w:rPr>
                <w:spacing w:val="1"/>
                <w:sz w:val="20"/>
              </w:rPr>
              <w:t xml:space="preserve"> </w:t>
            </w:r>
            <w:r>
              <w:rPr>
                <w:sz w:val="20"/>
              </w:rPr>
              <w:t>am</w:t>
            </w:r>
            <w:r>
              <w:rPr>
                <w:spacing w:val="-1"/>
                <w:sz w:val="20"/>
              </w:rPr>
              <w:t xml:space="preserve"> </w:t>
            </w:r>
            <w:r>
              <w:rPr>
                <w:sz w:val="20"/>
              </w:rPr>
              <w:t>losing</w:t>
            </w:r>
            <w:r>
              <w:rPr>
                <w:spacing w:val="1"/>
                <w:sz w:val="20"/>
              </w:rPr>
              <w:t xml:space="preserve"> </w:t>
            </w:r>
            <w:r>
              <w:rPr>
                <w:sz w:val="20"/>
              </w:rPr>
              <w:t>the</w:t>
            </w:r>
            <w:r>
              <w:rPr>
                <w:spacing w:val="-1"/>
                <w:sz w:val="20"/>
              </w:rPr>
              <w:t xml:space="preserve"> </w:t>
            </w:r>
            <w:r>
              <w:rPr>
                <w:sz w:val="20"/>
              </w:rPr>
              <w:t>trust</w:t>
            </w:r>
            <w:r>
              <w:rPr>
                <w:spacing w:val="1"/>
                <w:sz w:val="20"/>
              </w:rPr>
              <w:t xml:space="preserve"> </w:t>
            </w:r>
            <w:r>
              <w:rPr>
                <w:sz w:val="20"/>
              </w:rPr>
              <w:t>and</w:t>
            </w:r>
            <w:r>
              <w:rPr>
                <w:spacing w:val="1"/>
                <w:sz w:val="20"/>
              </w:rPr>
              <w:t xml:space="preserve"> </w:t>
            </w:r>
            <w:r>
              <w:rPr>
                <w:sz w:val="20"/>
              </w:rPr>
              <w:t>respect</w:t>
            </w:r>
            <w:r>
              <w:rPr>
                <w:spacing w:val="1"/>
                <w:sz w:val="20"/>
              </w:rPr>
              <w:t xml:space="preserve"> </w:t>
            </w:r>
            <w:r>
              <w:rPr>
                <w:sz w:val="20"/>
              </w:rPr>
              <w:t>of</w:t>
            </w:r>
            <w:r>
              <w:rPr>
                <w:spacing w:val="-1"/>
                <w:sz w:val="20"/>
              </w:rPr>
              <w:t xml:space="preserve"> </w:t>
            </w:r>
            <w:r>
              <w:rPr>
                <w:sz w:val="20"/>
              </w:rPr>
              <w:t>my</w:t>
            </w:r>
            <w:r>
              <w:rPr>
                <w:spacing w:val="2"/>
                <w:sz w:val="20"/>
              </w:rPr>
              <w:t xml:space="preserve"> </w:t>
            </w:r>
            <w:r>
              <w:rPr>
                <w:spacing w:val="-2"/>
                <w:sz w:val="20"/>
              </w:rPr>
              <w:t>coworkers</w:t>
            </w:r>
          </w:p>
          <w:p w14:paraId="534518CB" w14:textId="77777777" w:rsidR="00DB6E1F" w:rsidRDefault="00F666A6">
            <w:pPr>
              <w:pStyle w:val="TableParagraph"/>
              <w:spacing w:before="18" w:line="242" w:lineRule="exact"/>
              <w:ind w:left="455"/>
              <w:rPr>
                <w:sz w:val="20"/>
              </w:rPr>
            </w:pPr>
            <w:r>
              <w:rPr>
                <w:sz w:val="20"/>
              </w:rPr>
              <w:t>and/or</w:t>
            </w:r>
            <w:r>
              <w:rPr>
                <w:spacing w:val="-6"/>
                <w:sz w:val="20"/>
              </w:rPr>
              <w:t xml:space="preserve"> </w:t>
            </w:r>
            <w:r>
              <w:rPr>
                <w:sz w:val="20"/>
              </w:rPr>
              <w:t>spouse</w:t>
            </w:r>
            <w:r>
              <w:rPr>
                <w:spacing w:val="-6"/>
                <w:sz w:val="20"/>
              </w:rPr>
              <w:t xml:space="preserve"> </w:t>
            </w:r>
            <w:r>
              <w:rPr>
                <w:sz w:val="20"/>
              </w:rPr>
              <w:t>because</w:t>
            </w:r>
            <w:r>
              <w:rPr>
                <w:spacing w:val="-7"/>
                <w:sz w:val="20"/>
              </w:rPr>
              <w:t xml:space="preserve"> </w:t>
            </w:r>
            <w:r>
              <w:rPr>
                <w:sz w:val="20"/>
              </w:rPr>
              <w:t>of</w:t>
            </w:r>
            <w:r>
              <w:rPr>
                <w:spacing w:val="-6"/>
                <w:sz w:val="20"/>
              </w:rPr>
              <w:t xml:space="preserve"> </w:t>
            </w:r>
            <w:r>
              <w:rPr>
                <w:sz w:val="20"/>
              </w:rPr>
              <w:t>my</w:t>
            </w:r>
            <w:r>
              <w:rPr>
                <w:spacing w:val="-3"/>
                <w:sz w:val="20"/>
              </w:rPr>
              <w:t xml:space="preserve"> </w:t>
            </w:r>
            <w:r>
              <w:rPr>
                <w:sz w:val="20"/>
              </w:rPr>
              <w:t>drug</w:t>
            </w:r>
            <w:r>
              <w:rPr>
                <w:spacing w:val="-5"/>
                <w:sz w:val="20"/>
              </w:rPr>
              <w:t xml:space="preserve"> </w:t>
            </w:r>
            <w:r>
              <w:rPr>
                <w:spacing w:val="-4"/>
                <w:sz w:val="20"/>
              </w:rPr>
              <w:t>use.</w:t>
            </w:r>
          </w:p>
        </w:tc>
        <w:tc>
          <w:tcPr>
            <w:tcW w:w="1078" w:type="dxa"/>
          </w:tcPr>
          <w:p w14:paraId="1CD4F8F1" w14:textId="77777777" w:rsidR="00DB6E1F" w:rsidRDefault="00F666A6">
            <w:pPr>
              <w:pStyle w:val="TableParagraph"/>
              <w:spacing w:before="3"/>
              <w:ind w:left="6"/>
              <w:jc w:val="center"/>
              <w:rPr>
                <w:sz w:val="20"/>
              </w:rPr>
            </w:pPr>
            <w:r>
              <w:rPr>
                <w:w w:val="99"/>
                <w:sz w:val="20"/>
              </w:rPr>
              <w:t>1</w:t>
            </w:r>
          </w:p>
        </w:tc>
        <w:tc>
          <w:tcPr>
            <w:tcW w:w="1080" w:type="dxa"/>
          </w:tcPr>
          <w:p w14:paraId="315EFD2F" w14:textId="77777777" w:rsidR="00DB6E1F" w:rsidRDefault="00F666A6">
            <w:pPr>
              <w:pStyle w:val="TableParagraph"/>
              <w:spacing w:before="3"/>
              <w:ind w:left="8"/>
              <w:jc w:val="center"/>
              <w:rPr>
                <w:sz w:val="20"/>
              </w:rPr>
            </w:pPr>
            <w:r>
              <w:rPr>
                <w:w w:val="99"/>
                <w:sz w:val="20"/>
              </w:rPr>
              <w:t>2</w:t>
            </w:r>
          </w:p>
        </w:tc>
        <w:tc>
          <w:tcPr>
            <w:tcW w:w="1082" w:type="dxa"/>
          </w:tcPr>
          <w:p w14:paraId="2423C06E" w14:textId="77777777" w:rsidR="00DB6E1F" w:rsidRDefault="00F666A6">
            <w:pPr>
              <w:pStyle w:val="TableParagraph"/>
              <w:spacing w:before="3"/>
              <w:ind w:left="6"/>
              <w:jc w:val="center"/>
              <w:rPr>
                <w:sz w:val="20"/>
              </w:rPr>
            </w:pPr>
            <w:r>
              <w:rPr>
                <w:w w:val="99"/>
                <w:sz w:val="20"/>
              </w:rPr>
              <w:t>3</w:t>
            </w:r>
          </w:p>
        </w:tc>
        <w:tc>
          <w:tcPr>
            <w:tcW w:w="988" w:type="dxa"/>
          </w:tcPr>
          <w:p w14:paraId="0A99F2F6" w14:textId="77777777" w:rsidR="00DB6E1F" w:rsidRDefault="00F666A6">
            <w:pPr>
              <w:pStyle w:val="TableParagraph"/>
              <w:spacing w:before="3"/>
              <w:ind w:left="10"/>
              <w:jc w:val="center"/>
              <w:rPr>
                <w:sz w:val="20"/>
              </w:rPr>
            </w:pPr>
            <w:r>
              <w:rPr>
                <w:w w:val="99"/>
                <w:sz w:val="20"/>
              </w:rPr>
              <w:t>4</w:t>
            </w:r>
          </w:p>
        </w:tc>
        <w:tc>
          <w:tcPr>
            <w:tcW w:w="990" w:type="dxa"/>
          </w:tcPr>
          <w:p w14:paraId="4F0A8748" w14:textId="77777777" w:rsidR="00DB6E1F" w:rsidRDefault="00F666A6">
            <w:pPr>
              <w:pStyle w:val="TableParagraph"/>
              <w:spacing w:before="3"/>
              <w:ind w:left="9"/>
              <w:jc w:val="center"/>
              <w:rPr>
                <w:sz w:val="20"/>
              </w:rPr>
            </w:pPr>
            <w:r>
              <w:rPr>
                <w:w w:val="99"/>
                <w:sz w:val="20"/>
              </w:rPr>
              <w:t>5</w:t>
            </w:r>
          </w:p>
        </w:tc>
      </w:tr>
      <w:tr w:rsidR="00DB6E1F" w14:paraId="33DD6D59" w14:textId="77777777">
        <w:trPr>
          <w:trHeight w:val="527"/>
        </w:trPr>
        <w:tc>
          <w:tcPr>
            <w:tcW w:w="4589" w:type="dxa"/>
          </w:tcPr>
          <w:p w14:paraId="02912252" w14:textId="77777777" w:rsidR="00DB6E1F" w:rsidRDefault="00F666A6">
            <w:pPr>
              <w:pStyle w:val="TableParagraph"/>
              <w:ind w:left="95"/>
              <w:rPr>
                <w:sz w:val="20"/>
              </w:rPr>
            </w:pPr>
            <w:r>
              <w:rPr>
                <w:color w:val="4D4D4F"/>
                <w:sz w:val="20"/>
              </w:rPr>
              <w:t>16.</w:t>
            </w:r>
            <w:r>
              <w:rPr>
                <w:color w:val="4D4D4F"/>
                <w:spacing w:val="16"/>
                <w:sz w:val="20"/>
              </w:rPr>
              <w:t xml:space="preserve"> </w:t>
            </w:r>
            <w:r>
              <w:rPr>
                <w:sz w:val="20"/>
              </w:rPr>
              <w:t>My</w:t>
            </w:r>
            <w:r>
              <w:rPr>
                <w:spacing w:val="1"/>
                <w:sz w:val="20"/>
              </w:rPr>
              <w:t xml:space="preserve"> </w:t>
            </w:r>
            <w:r>
              <w:rPr>
                <w:sz w:val="20"/>
              </w:rPr>
              <w:t>drug use</w:t>
            </w:r>
            <w:r>
              <w:rPr>
                <w:spacing w:val="-1"/>
                <w:sz w:val="20"/>
              </w:rPr>
              <w:t xml:space="preserve"> </w:t>
            </w:r>
            <w:r>
              <w:rPr>
                <w:sz w:val="20"/>
              </w:rPr>
              <w:t>helps</w:t>
            </w:r>
            <w:r>
              <w:rPr>
                <w:spacing w:val="-1"/>
                <w:sz w:val="20"/>
              </w:rPr>
              <w:t xml:space="preserve"> </w:t>
            </w:r>
            <w:r>
              <w:rPr>
                <w:sz w:val="20"/>
              </w:rPr>
              <w:t>give</w:t>
            </w:r>
            <w:r>
              <w:rPr>
                <w:spacing w:val="2"/>
                <w:sz w:val="20"/>
              </w:rPr>
              <w:t xml:space="preserve"> </w:t>
            </w:r>
            <w:r>
              <w:rPr>
                <w:sz w:val="20"/>
              </w:rPr>
              <w:t>me</w:t>
            </w:r>
            <w:r>
              <w:rPr>
                <w:spacing w:val="-1"/>
                <w:sz w:val="20"/>
              </w:rPr>
              <w:t xml:space="preserve"> </w:t>
            </w:r>
            <w:r>
              <w:rPr>
                <w:sz w:val="20"/>
              </w:rPr>
              <w:t>energy</w:t>
            </w:r>
            <w:r>
              <w:rPr>
                <w:spacing w:val="1"/>
                <w:sz w:val="20"/>
              </w:rPr>
              <w:t xml:space="preserve"> </w:t>
            </w:r>
            <w:r>
              <w:rPr>
                <w:sz w:val="20"/>
              </w:rPr>
              <w:t>and</w:t>
            </w:r>
            <w:r>
              <w:rPr>
                <w:spacing w:val="1"/>
                <w:sz w:val="20"/>
              </w:rPr>
              <w:t xml:space="preserve"> </w:t>
            </w:r>
            <w:r>
              <w:rPr>
                <w:sz w:val="20"/>
              </w:rPr>
              <w:t>keeps</w:t>
            </w:r>
            <w:r>
              <w:rPr>
                <w:spacing w:val="-1"/>
                <w:sz w:val="20"/>
              </w:rPr>
              <w:t xml:space="preserve"> </w:t>
            </w:r>
            <w:r>
              <w:rPr>
                <w:spacing w:val="-5"/>
                <w:sz w:val="20"/>
              </w:rPr>
              <w:t>me</w:t>
            </w:r>
          </w:p>
          <w:p w14:paraId="14DE637B" w14:textId="77777777" w:rsidR="00DB6E1F" w:rsidRDefault="00F666A6">
            <w:pPr>
              <w:pStyle w:val="TableParagraph"/>
              <w:spacing w:before="20" w:line="242" w:lineRule="exact"/>
              <w:ind w:left="455"/>
              <w:rPr>
                <w:sz w:val="20"/>
              </w:rPr>
            </w:pPr>
            <w:r>
              <w:rPr>
                <w:spacing w:val="-2"/>
                <w:sz w:val="20"/>
              </w:rPr>
              <w:t>going.</w:t>
            </w:r>
          </w:p>
        </w:tc>
        <w:tc>
          <w:tcPr>
            <w:tcW w:w="1078" w:type="dxa"/>
          </w:tcPr>
          <w:p w14:paraId="329B284C" w14:textId="77777777" w:rsidR="00DB6E1F" w:rsidRDefault="00F666A6">
            <w:pPr>
              <w:pStyle w:val="TableParagraph"/>
              <w:ind w:left="6"/>
              <w:jc w:val="center"/>
              <w:rPr>
                <w:sz w:val="20"/>
              </w:rPr>
            </w:pPr>
            <w:r>
              <w:rPr>
                <w:w w:val="99"/>
                <w:sz w:val="20"/>
              </w:rPr>
              <w:t>1</w:t>
            </w:r>
          </w:p>
        </w:tc>
        <w:tc>
          <w:tcPr>
            <w:tcW w:w="1080" w:type="dxa"/>
          </w:tcPr>
          <w:p w14:paraId="0565C873" w14:textId="77777777" w:rsidR="00DB6E1F" w:rsidRDefault="00F666A6">
            <w:pPr>
              <w:pStyle w:val="TableParagraph"/>
              <w:ind w:left="8"/>
              <w:jc w:val="center"/>
              <w:rPr>
                <w:sz w:val="20"/>
              </w:rPr>
            </w:pPr>
            <w:r>
              <w:rPr>
                <w:w w:val="99"/>
                <w:sz w:val="20"/>
              </w:rPr>
              <w:t>2</w:t>
            </w:r>
          </w:p>
        </w:tc>
        <w:tc>
          <w:tcPr>
            <w:tcW w:w="1082" w:type="dxa"/>
          </w:tcPr>
          <w:p w14:paraId="2CC79947" w14:textId="77777777" w:rsidR="00DB6E1F" w:rsidRDefault="00F666A6">
            <w:pPr>
              <w:pStyle w:val="TableParagraph"/>
              <w:ind w:left="6"/>
              <w:jc w:val="center"/>
              <w:rPr>
                <w:sz w:val="20"/>
              </w:rPr>
            </w:pPr>
            <w:r>
              <w:rPr>
                <w:w w:val="99"/>
                <w:sz w:val="20"/>
              </w:rPr>
              <w:t>3</w:t>
            </w:r>
          </w:p>
        </w:tc>
        <w:tc>
          <w:tcPr>
            <w:tcW w:w="988" w:type="dxa"/>
          </w:tcPr>
          <w:p w14:paraId="005006CC" w14:textId="77777777" w:rsidR="00DB6E1F" w:rsidRDefault="00F666A6">
            <w:pPr>
              <w:pStyle w:val="TableParagraph"/>
              <w:ind w:left="10"/>
              <w:jc w:val="center"/>
              <w:rPr>
                <w:sz w:val="20"/>
              </w:rPr>
            </w:pPr>
            <w:r>
              <w:rPr>
                <w:w w:val="99"/>
                <w:sz w:val="20"/>
              </w:rPr>
              <w:t>4</w:t>
            </w:r>
          </w:p>
        </w:tc>
        <w:tc>
          <w:tcPr>
            <w:tcW w:w="990" w:type="dxa"/>
          </w:tcPr>
          <w:p w14:paraId="192176F6" w14:textId="77777777" w:rsidR="00DB6E1F" w:rsidRDefault="00F666A6">
            <w:pPr>
              <w:pStyle w:val="TableParagraph"/>
              <w:ind w:left="9"/>
              <w:jc w:val="center"/>
              <w:rPr>
                <w:sz w:val="20"/>
              </w:rPr>
            </w:pPr>
            <w:r>
              <w:rPr>
                <w:w w:val="99"/>
                <w:sz w:val="20"/>
              </w:rPr>
              <w:t>5</w:t>
            </w:r>
          </w:p>
        </w:tc>
      </w:tr>
      <w:tr w:rsidR="00DB6E1F" w14:paraId="19F9E902" w14:textId="77777777">
        <w:trPr>
          <w:trHeight w:val="263"/>
        </w:trPr>
        <w:tc>
          <w:tcPr>
            <w:tcW w:w="4589" w:type="dxa"/>
          </w:tcPr>
          <w:p w14:paraId="50B8B718" w14:textId="77777777" w:rsidR="00DB6E1F" w:rsidRDefault="00F666A6">
            <w:pPr>
              <w:pStyle w:val="TableParagraph"/>
              <w:spacing w:line="242" w:lineRule="exact"/>
              <w:ind w:left="95"/>
              <w:rPr>
                <w:sz w:val="20"/>
              </w:rPr>
            </w:pPr>
            <w:r>
              <w:rPr>
                <w:color w:val="4D4D4F"/>
                <w:sz w:val="20"/>
              </w:rPr>
              <w:t>17.</w:t>
            </w:r>
            <w:r>
              <w:rPr>
                <w:color w:val="4D4D4F"/>
                <w:spacing w:val="16"/>
                <w:sz w:val="20"/>
              </w:rPr>
              <w:t xml:space="preserve"> </w:t>
            </w:r>
            <w:r>
              <w:rPr>
                <w:sz w:val="20"/>
              </w:rPr>
              <w:t>I</w:t>
            </w:r>
            <w:r>
              <w:rPr>
                <w:spacing w:val="1"/>
                <w:sz w:val="20"/>
              </w:rPr>
              <w:t xml:space="preserve"> </w:t>
            </w:r>
            <w:r>
              <w:rPr>
                <w:sz w:val="20"/>
              </w:rPr>
              <w:t>am more</w:t>
            </w:r>
            <w:r>
              <w:rPr>
                <w:spacing w:val="2"/>
                <w:sz w:val="20"/>
              </w:rPr>
              <w:t xml:space="preserve"> </w:t>
            </w:r>
            <w:r>
              <w:rPr>
                <w:sz w:val="20"/>
              </w:rPr>
              <w:t>sure</w:t>
            </w:r>
            <w:r>
              <w:rPr>
                <w:spacing w:val="1"/>
                <w:sz w:val="20"/>
              </w:rPr>
              <w:t xml:space="preserve"> </w:t>
            </w:r>
            <w:r>
              <w:rPr>
                <w:sz w:val="20"/>
              </w:rPr>
              <w:t>of</w:t>
            </w:r>
            <w:r>
              <w:rPr>
                <w:spacing w:val="2"/>
                <w:sz w:val="20"/>
              </w:rPr>
              <w:t xml:space="preserve"> </w:t>
            </w:r>
            <w:r>
              <w:rPr>
                <w:sz w:val="20"/>
              </w:rPr>
              <w:t>myself</w:t>
            </w:r>
            <w:r>
              <w:rPr>
                <w:spacing w:val="-1"/>
                <w:sz w:val="20"/>
              </w:rPr>
              <w:t xml:space="preserve"> </w:t>
            </w:r>
            <w:r>
              <w:rPr>
                <w:sz w:val="20"/>
              </w:rPr>
              <w:t>when</w:t>
            </w:r>
            <w:r>
              <w:rPr>
                <w:spacing w:val="2"/>
                <w:sz w:val="20"/>
              </w:rPr>
              <w:t xml:space="preserve"> </w:t>
            </w:r>
            <w:r>
              <w:rPr>
                <w:sz w:val="20"/>
              </w:rPr>
              <w:t>I am using</w:t>
            </w:r>
            <w:r>
              <w:rPr>
                <w:spacing w:val="1"/>
                <w:sz w:val="20"/>
              </w:rPr>
              <w:t xml:space="preserve"> </w:t>
            </w:r>
            <w:r>
              <w:rPr>
                <w:spacing w:val="-2"/>
                <w:sz w:val="20"/>
              </w:rPr>
              <w:t>drugs.</w:t>
            </w:r>
          </w:p>
        </w:tc>
        <w:tc>
          <w:tcPr>
            <w:tcW w:w="1078" w:type="dxa"/>
          </w:tcPr>
          <w:p w14:paraId="5954F5E0" w14:textId="77777777" w:rsidR="00DB6E1F" w:rsidRDefault="00F666A6">
            <w:pPr>
              <w:pStyle w:val="TableParagraph"/>
              <w:spacing w:line="242" w:lineRule="exact"/>
              <w:ind w:left="6"/>
              <w:jc w:val="center"/>
              <w:rPr>
                <w:sz w:val="20"/>
              </w:rPr>
            </w:pPr>
            <w:r>
              <w:rPr>
                <w:w w:val="99"/>
                <w:sz w:val="20"/>
              </w:rPr>
              <w:t>1</w:t>
            </w:r>
          </w:p>
        </w:tc>
        <w:tc>
          <w:tcPr>
            <w:tcW w:w="1080" w:type="dxa"/>
          </w:tcPr>
          <w:p w14:paraId="2B696A44" w14:textId="77777777" w:rsidR="00DB6E1F" w:rsidRDefault="00F666A6">
            <w:pPr>
              <w:pStyle w:val="TableParagraph"/>
              <w:spacing w:line="242" w:lineRule="exact"/>
              <w:ind w:left="8"/>
              <w:jc w:val="center"/>
              <w:rPr>
                <w:sz w:val="20"/>
              </w:rPr>
            </w:pPr>
            <w:r>
              <w:rPr>
                <w:w w:val="99"/>
                <w:sz w:val="20"/>
              </w:rPr>
              <w:t>2</w:t>
            </w:r>
          </w:p>
        </w:tc>
        <w:tc>
          <w:tcPr>
            <w:tcW w:w="1082" w:type="dxa"/>
          </w:tcPr>
          <w:p w14:paraId="061E8F05" w14:textId="77777777" w:rsidR="00DB6E1F" w:rsidRDefault="00F666A6">
            <w:pPr>
              <w:pStyle w:val="TableParagraph"/>
              <w:spacing w:line="242" w:lineRule="exact"/>
              <w:ind w:left="6"/>
              <w:jc w:val="center"/>
              <w:rPr>
                <w:sz w:val="20"/>
              </w:rPr>
            </w:pPr>
            <w:r>
              <w:rPr>
                <w:w w:val="99"/>
                <w:sz w:val="20"/>
              </w:rPr>
              <w:t>3</w:t>
            </w:r>
          </w:p>
        </w:tc>
        <w:tc>
          <w:tcPr>
            <w:tcW w:w="988" w:type="dxa"/>
          </w:tcPr>
          <w:p w14:paraId="5D615DE6" w14:textId="77777777" w:rsidR="00DB6E1F" w:rsidRDefault="00F666A6">
            <w:pPr>
              <w:pStyle w:val="TableParagraph"/>
              <w:spacing w:line="242" w:lineRule="exact"/>
              <w:ind w:left="10"/>
              <w:jc w:val="center"/>
              <w:rPr>
                <w:sz w:val="20"/>
              </w:rPr>
            </w:pPr>
            <w:r>
              <w:rPr>
                <w:w w:val="99"/>
                <w:sz w:val="20"/>
              </w:rPr>
              <w:t>4</w:t>
            </w:r>
          </w:p>
        </w:tc>
        <w:tc>
          <w:tcPr>
            <w:tcW w:w="990" w:type="dxa"/>
          </w:tcPr>
          <w:p w14:paraId="7B5C2B66" w14:textId="77777777" w:rsidR="00DB6E1F" w:rsidRDefault="00F666A6">
            <w:pPr>
              <w:pStyle w:val="TableParagraph"/>
              <w:spacing w:line="242" w:lineRule="exact"/>
              <w:ind w:left="9"/>
              <w:jc w:val="center"/>
              <w:rPr>
                <w:sz w:val="20"/>
              </w:rPr>
            </w:pPr>
            <w:r>
              <w:rPr>
                <w:w w:val="99"/>
                <w:sz w:val="20"/>
              </w:rPr>
              <w:t>5</w:t>
            </w:r>
          </w:p>
        </w:tc>
      </w:tr>
      <w:tr w:rsidR="00DB6E1F" w14:paraId="1D87F90D" w14:textId="77777777">
        <w:trPr>
          <w:trHeight w:val="527"/>
        </w:trPr>
        <w:tc>
          <w:tcPr>
            <w:tcW w:w="4589" w:type="dxa"/>
          </w:tcPr>
          <w:p w14:paraId="236CBC6F" w14:textId="77777777" w:rsidR="00DB6E1F" w:rsidRDefault="00F666A6">
            <w:pPr>
              <w:pStyle w:val="TableParagraph"/>
              <w:ind w:left="95"/>
              <w:rPr>
                <w:sz w:val="20"/>
              </w:rPr>
            </w:pPr>
            <w:r>
              <w:rPr>
                <w:color w:val="4D4D4F"/>
                <w:sz w:val="20"/>
              </w:rPr>
              <w:t>18.</w:t>
            </w:r>
            <w:r>
              <w:rPr>
                <w:color w:val="4D4D4F"/>
                <w:spacing w:val="16"/>
                <w:sz w:val="20"/>
              </w:rPr>
              <w:t xml:space="preserve"> </w:t>
            </w:r>
            <w:r>
              <w:rPr>
                <w:sz w:val="20"/>
              </w:rPr>
              <w:t>I</w:t>
            </w:r>
            <w:r>
              <w:rPr>
                <w:spacing w:val="1"/>
                <w:sz w:val="20"/>
              </w:rPr>
              <w:t xml:space="preserve"> </w:t>
            </w:r>
            <w:r>
              <w:rPr>
                <w:sz w:val="20"/>
              </w:rPr>
              <w:t>am</w:t>
            </w:r>
            <w:r>
              <w:rPr>
                <w:spacing w:val="-1"/>
                <w:sz w:val="20"/>
              </w:rPr>
              <w:t xml:space="preserve"> </w:t>
            </w:r>
            <w:r>
              <w:rPr>
                <w:sz w:val="20"/>
              </w:rPr>
              <w:t>setting</w:t>
            </w:r>
            <w:r>
              <w:rPr>
                <w:spacing w:val="1"/>
                <w:sz w:val="20"/>
              </w:rPr>
              <w:t xml:space="preserve"> </w:t>
            </w:r>
            <w:r>
              <w:rPr>
                <w:sz w:val="20"/>
              </w:rPr>
              <w:t>a bad</w:t>
            </w:r>
            <w:r>
              <w:rPr>
                <w:spacing w:val="2"/>
                <w:sz w:val="20"/>
              </w:rPr>
              <w:t xml:space="preserve"> </w:t>
            </w:r>
            <w:r>
              <w:rPr>
                <w:sz w:val="20"/>
              </w:rPr>
              <w:t>example</w:t>
            </w:r>
            <w:r>
              <w:rPr>
                <w:spacing w:val="-1"/>
                <w:sz w:val="20"/>
              </w:rPr>
              <w:t xml:space="preserve"> </w:t>
            </w:r>
            <w:r>
              <w:rPr>
                <w:sz w:val="20"/>
              </w:rPr>
              <w:t>for</w:t>
            </w:r>
            <w:r>
              <w:rPr>
                <w:spacing w:val="1"/>
                <w:sz w:val="20"/>
              </w:rPr>
              <w:t xml:space="preserve"> </w:t>
            </w:r>
            <w:r>
              <w:rPr>
                <w:sz w:val="20"/>
              </w:rPr>
              <w:t>others</w:t>
            </w:r>
            <w:r>
              <w:rPr>
                <w:spacing w:val="-1"/>
                <w:sz w:val="20"/>
              </w:rPr>
              <w:t xml:space="preserve"> </w:t>
            </w:r>
            <w:r>
              <w:rPr>
                <w:sz w:val="20"/>
              </w:rPr>
              <w:t>with</w:t>
            </w:r>
            <w:r>
              <w:rPr>
                <w:spacing w:val="2"/>
                <w:sz w:val="20"/>
              </w:rPr>
              <w:t xml:space="preserve"> </w:t>
            </w:r>
            <w:r>
              <w:rPr>
                <w:spacing w:val="-5"/>
                <w:sz w:val="20"/>
              </w:rPr>
              <w:t>my</w:t>
            </w:r>
          </w:p>
          <w:p w14:paraId="1D85A579" w14:textId="77777777" w:rsidR="00DB6E1F" w:rsidRDefault="00F666A6">
            <w:pPr>
              <w:pStyle w:val="TableParagraph"/>
              <w:spacing w:before="20" w:line="242" w:lineRule="exact"/>
              <w:ind w:left="455"/>
              <w:rPr>
                <w:sz w:val="20"/>
              </w:rPr>
            </w:pPr>
            <w:r>
              <w:rPr>
                <w:sz w:val="20"/>
              </w:rPr>
              <w:t>drug</w:t>
            </w:r>
            <w:r>
              <w:rPr>
                <w:spacing w:val="-5"/>
                <w:sz w:val="20"/>
              </w:rPr>
              <w:t xml:space="preserve"> </w:t>
            </w:r>
            <w:r>
              <w:rPr>
                <w:spacing w:val="-4"/>
                <w:sz w:val="20"/>
              </w:rPr>
              <w:t>use.</w:t>
            </w:r>
          </w:p>
        </w:tc>
        <w:tc>
          <w:tcPr>
            <w:tcW w:w="1078" w:type="dxa"/>
          </w:tcPr>
          <w:p w14:paraId="2B29E0CF" w14:textId="77777777" w:rsidR="00DB6E1F" w:rsidRDefault="00F666A6">
            <w:pPr>
              <w:pStyle w:val="TableParagraph"/>
              <w:ind w:left="6"/>
              <w:jc w:val="center"/>
              <w:rPr>
                <w:sz w:val="20"/>
              </w:rPr>
            </w:pPr>
            <w:r>
              <w:rPr>
                <w:w w:val="99"/>
                <w:sz w:val="20"/>
              </w:rPr>
              <w:t>1</w:t>
            </w:r>
          </w:p>
        </w:tc>
        <w:tc>
          <w:tcPr>
            <w:tcW w:w="1080" w:type="dxa"/>
          </w:tcPr>
          <w:p w14:paraId="00A2347A" w14:textId="77777777" w:rsidR="00DB6E1F" w:rsidRDefault="00F666A6">
            <w:pPr>
              <w:pStyle w:val="TableParagraph"/>
              <w:ind w:left="8"/>
              <w:jc w:val="center"/>
              <w:rPr>
                <w:sz w:val="20"/>
              </w:rPr>
            </w:pPr>
            <w:r>
              <w:rPr>
                <w:w w:val="99"/>
                <w:sz w:val="20"/>
              </w:rPr>
              <w:t>2</w:t>
            </w:r>
          </w:p>
        </w:tc>
        <w:tc>
          <w:tcPr>
            <w:tcW w:w="1082" w:type="dxa"/>
          </w:tcPr>
          <w:p w14:paraId="69C3E68A" w14:textId="77777777" w:rsidR="00DB6E1F" w:rsidRDefault="00F666A6">
            <w:pPr>
              <w:pStyle w:val="TableParagraph"/>
              <w:ind w:left="6"/>
              <w:jc w:val="center"/>
              <w:rPr>
                <w:sz w:val="20"/>
              </w:rPr>
            </w:pPr>
            <w:r>
              <w:rPr>
                <w:w w:val="99"/>
                <w:sz w:val="20"/>
              </w:rPr>
              <w:t>3</w:t>
            </w:r>
          </w:p>
        </w:tc>
        <w:tc>
          <w:tcPr>
            <w:tcW w:w="988" w:type="dxa"/>
          </w:tcPr>
          <w:p w14:paraId="1B701B25" w14:textId="77777777" w:rsidR="00DB6E1F" w:rsidRDefault="00F666A6">
            <w:pPr>
              <w:pStyle w:val="TableParagraph"/>
              <w:ind w:left="10"/>
              <w:jc w:val="center"/>
              <w:rPr>
                <w:sz w:val="20"/>
              </w:rPr>
            </w:pPr>
            <w:r>
              <w:rPr>
                <w:w w:val="99"/>
                <w:sz w:val="20"/>
              </w:rPr>
              <w:t>4</w:t>
            </w:r>
          </w:p>
        </w:tc>
        <w:tc>
          <w:tcPr>
            <w:tcW w:w="990" w:type="dxa"/>
          </w:tcPr>
          <w:p w14:paraId="36CE25AC" w14:textId="77777777" w:rsidR="00DB6E1F" w:rsidRDefault="00F666A6">
            <w:pPr>
              <w:pStyle w:val="TableParagraph"/>
              <w:ind w:left="9"/>
              <w:jc w:val="center"/>
              <w:rPr>
                <w:sz w:val="20"/>
              </w:rPr>
            </w:pPr>
            <w:r>
              <w:rPr>
                <w:w w:val="99"/>
                <w:sz w:val="20"/>
              </w:rPr>
              <w:t>5</w:t>
            </w:r>
          </w:p>
        </w:tc>
      </w:tr>
      <w:tr w:rsidR="00DB6E1F" w14:paraId="381B5B21" w14:textId="77777777">
        <w:trPr>
          <w:trHeight w:val="263"/>
        </w:trPr>
        <w:tc>
          <w:tcPr>
            <w:tcW w:w="4589" w:type="dxa"/>
          </w:tcPr>
          <w:p w14:paraId="046A18BB" w14:textId="77777777" w:rsidR="00DB6E1F" w:rsidRDefault="00F666A6">
            <w:pPr>
              <w:pStyle w:val="TableParagraph"/>
              <w:spacing w:line="242" w:lineRule="exact"/>
              <w:ind w:left="95"/>
              <w:rPr>
                <w:sz w:val="20"/>
              </w:rPr>
            </w:pPr>
            <w:r>
              <w:rPr>
                <w:color w:val="4D4D4F"/>
                <w:sz w:val="20"/>
              </w:rPr>
              <w:t>19.</w:t>
            </w:r>
            <w:r>
              <w:rPr>
                <w:color w:val="4D4D4F"/>
                <w:spacing w:val="16"/>
                <w:sz w:val="20"/>
              </w:rPr>
              <w:t xml:space="preserve"> </w:t>
            </w:r>
            <w:r>
              <w:rPr>
                <w:sz w:val="20"/>
              </w:rPr>
              <w:t>Without drugs, my</w:t>
            </w:r>
            <w:r>
              <w:rPr>
                <w:spacing w:val="1"/>
                <w:sz w:val="20"/>
              </w:rPr>
              <w:t xml:space="preserve"> </w:t>
            </w:r>
            <w:r>
              <w:rPr>
                <w:sz w:val="20"/>
              </w:rPr>
              <w:t>life would</w:t>
            </w:r>
            <w:r>
              <w:rPr>
                <w:spacing w:val="3"/>
                <w:sz w:val="20"/>
              </w:rPr>
              <w:t xml:space="preserve"> </w:t>
            </w:r>
            <w:r>
              <w:rPr>
                <w:sz w:val="20"/>
              </w:rPr>
              <w:t>be</w:t>
            </w:r>
            <w:r>
              <w:rPr>
                <w:spacing w:val="-1"/>
                <w:sz w:val="20"/>
              </w:rPr>
              <w:t xml:space="preserve"> </w:t>
            </w:r>
            <w:r>
              <w:rPr>
                <w:sz w:val="20"/>
              </w:rPr>
              <w:t>dull and</w:t>
            </w:r>
            <w:r>
              <w:rPr>
                <w:spacing w:val="2"/>
                <w:sz w:val="20"/>
              </w:rPr>
              <w:t xml:space="preserve"> </w:t>
            </w:r>
            <w:r>
              <w:rPr>
                <w:spacing w:val="-2"/>
                <w:sz w:val="20"/>
              </w:rPr>
              <w:t>boring.</w:t>
            </w:r>
          </w:p>
        </w:tc>
        <w:tc>
          <w:tcPr>
            <w:tcW w:w="1078" w:type="dxa"/>
          </w:tcPr>
          <w:p w14:paraId="75436977" w14:textId="77777777" w:rsidR="00DB6E1F" w:rsidRDefault="00F666A6">
            <w:pPr>
              <w:pStyle w:val="TableParagraph"/>
              <w:spacing w:line="242" w:lineRule="exact"/>
              <w:ind w:left="6"/>
              <w:jc w:val="center"/>
              <w:rPr>
                <w:sz w:val="20"/>
              </w:rPr>
            </w:pPr>
            <w:r>
              <w:rPr>
                <w:w w:val="99"/>
                <w:sz w:val="20"/>
              </w:rPr>
              <w:t>1</w:t>
            </w:r>
          </w:p>
        </w:tc>
        <w:tc>
          <w:tcPr>
            <w:tcW w:w="1080" w:type="dxa"/>
          </w:tcPr>
          <w:p w14:paraId="3631E887" w14:textId="77777777" w:rsidR="00DB6E1F" w:rsidRDefault="00F666A6">
            <w:pPr>
              <w:pStyle w:val="TableParagraph"/>
              <w:spacing w:line="242" w:lineRule="exact"/>
              <w:ind w:left="8"/>
              <w:jc w:val="center"/>
              <w:rPr>
                <w:sz w:val="20"/>
              </w:rPr>
            </w:pPr>
            <w:r>
              <w:rPr>
                <w:w w:val="99"/>
                <w:sz w:val="20"/>
              </w:rPr>
              <w:t>2</w:t>
            </w:r>
          </w:p>
        </w:tc>
        <w:tc>
          <w:tcPr>
            <w:tcW w:w="1082" w:type="dxa"/>
          </w:tcPr>
          <w:p w14:paraId="33B244E8" w14:textId="77777777" w:rsidR="00DB6E1F" w:rsidRDefault="00F666A6">
            <w:pPr>
              <w:pStyle w:val="TableParagraph"/>
              <w:spacing w:line="242" w:lineRule="exact"/>
              <w:ind w:left="6"/>
              <w:jc w:val="center"/>
              <w:rPr>
                <w:sz w:val="20"/>
              </w:rPr>
            </w:pPr>
            <w:r>
              <w:rPr>
                <w:w w:val="99"/>
                <w:sz w:val="20"/>
              </w:rPr>
              <w:t>3</w:t>
            </w:r>
          </w:p>
        </w:tc>
        <w:tc>
          <w:tcPr>
            <w:tcW w:w="988" w:type="dxa"/>
          </w:tcPr>
          <w:p w14:paraId="590A4528" w14:textId="77777777" w:rsidR="00DB6E1F" w:rsidRDefault="00F666A6">
            <w:pPr>
              <w:pStyle w:val="TableParagraph"/>
              <w:spacing w:line="242" w:lineRule="exact"/>
              <w:ind w:left="10"/>
              <w:jc w:val="center"/>
              <w:rPr>
                <w:sz w:val="20"/>
              </w:rPr>
            </w:pPr>
            <w:r>
              <w:rPr>
                <w:w w:val="99"/>
                <w:sz w:val="20"/>
              </w:rPr>
              <w:t>4</w:t>
            </w:r>
          </w:p>
        </w:tc>
        <w:tc>
          <w:tcPr>
            <w:tcW w:w="990" w:type="dxa"/>
          </w:tcPr>
          <w:p w14:paraId="7A0BF74E" w14:textId="77777777" w:rsidR="00DB6E1F" w:rsidRDefault="00F666A6">
            <w:pPr>
              <w:pStyle w:val="TableParagraph"/>
              <w:spacing w:line="242" w:lineRule="exact"/>
              <w:ind w:left="9"/>
              <w:jc w:val="center"/>
              <w:rPr>
                <w:sz w:val="20"/>
              </w:rPr>
            </w:pPr>
            <w:r>
              <w:rPr>
                <w:w w:val="99"/>
                <w:sz w:val="20"/>
              </w:rPr>
              <w:t>5</w:t>
            </w:r>
          </w:p>
        </w:tc>
      </w:tr>
      <w:tr w:rsidR="00DB6E1F" w14:paraId="12F98771" w14:textId="77777777">
        <w:trPr>
          <w:trHeight w:val="263"/>
        </w:trPr>
        <w:tc>
          <w:tcPr>
            <w:tcW w:w="4589" w:type="dxa"/>
          </w:tcPr>
          <w:p w14:paraId="0C83DB21" w14:textId="77777777" w:rsidR="00DB6E1F" w:rsidRDefault="00F666A6">
            <w:pPr>
              <w:pStyle w:val="TableParagraph"/>
              <w:spacing w:line="242" w:lineRule="exact"/>
              <w:ind w:left="95"/>
              <w:rPr>
                <w:sz w:val="20"/>
              </w:rPr>
            </w:pPr>
            <w:r>
              <w:rPr>
                <w:color w:val="4D4D4F"/>
                <w:sz w:val="20"/>
              </w:rPr>
              <w:t>20.</w:t>
            </w:r>
            <w:r>
              <w:rPr>
                <w:color w:val="4D4D4F"/>
                <w:spacing w:val="16"/>
                <w:sz w:val="20"/>
              </w:rPr>
              <w:t xml:space="preserve"> </w:t>
            </w:r>
            <w:r>
              <w:rPr>
                <w:sz w:val="20"/>
              </w:rPr>
              <w:t>People</w:t>
            </w:r>
            <w:r>
              <w:rPr>
                <w:spacing w:val="-1"/>
                <w:sz w:val="20"/>
              </w:rPr>
              <w:t xml:space="preserve"> </w:t>
            </w:r>
            <w:r>
              <w:rPr>
                <w:sz w:val="20"/>
              </w:rPr>
              <w:t>seem to like me</w:t>
            </w:r>
            <w:r>
              <w:rPr>
                <w:spacing w:val="-1"/>
                <w:sz w:val="20"/>
              </w:rPr>
              <w:t xml:space="preserve"> </w:t>
            </w:r>
            <w:r>
              <w:rPr>
                <w:sz w:val="20"/>
              </w:rPr>
              <w:t>better</w:t>
            </w:r>
            <w:r>
              <w:rPr>
                <w:spacing w:val="2"/>
                <w:sz w:val="20"/>
              </w:rPr>
              <w:t xml:space="preserve"> </w:t>
            </w:r>
            <w:r>
              <w:rPr>
                <w:sz w:val="20"/>
              </w:rPr>
              <w:t>when</w:t>
            </w:r>
            <w:r>
              <w:rPr>
                <w:spacing w:val="2"/>
                <w:sz w:val="20"/>
              </w:rPr>
              <w:t xml:space="preserve"> </w:t>
            </w:r>
            <w:r>
              <w:rPr>
                <w:sz w:val="20"/>
              </w:rPr>
              <w:t>I use</w:t>
            </w:r>
            <w:r>
              <w:rPr>
                <w:spacing w:val="-1"/>
                <w:sz w:val="20"/>
              </w:rPr>
              <w:t xml:space="preserve"> </w:t>
            </w:r>
            <w:r>
              <w:rPr>
                <w:spacing w:val="-2"/>
                <w:sz w:val="20"/>
              </w:rPr>
              <w:t>drugs.</w:t>
            </w:r>
          </w:p>
        </w:tc>
        <w:tc>
          <w:tcPr>
            <w:tcW w:w="1078" w:type="dxa"/>
          </w:tcPr>
          <w:p w14:paraId="397A482C" w14:textId="77777777" w:rsidR="00DB6E1F" w:rsidRDefault="00F666A6">
            <w:pPr>
              <w:pStyle w:val="TableParagraph"/>
              <w:spacing w:line="242" w:lineRule="exact"/>
              <w:ind w:left="6"/>
              <w:jc w:val="center"/>
              <w:rPr>
                <w:sz w:val="20"/>
              </w:rPr>
            </w:pPr>
            <w:r>
              <w:rPr>
                <w:w w:val="99"/>
                <w:sz w:val="20"/>
              </w:rPr>
              <w:t>1</w:t>
            </w:r>
          </w:p>
        </w:tc>
        <w:tc>
          <w:tcPr>
            <w:tcW w:w="1080" w:type="dxa"/>
          </w:tcPr>
          <w:p w14:paraId="232F88E4" w14:textId="77777777" w:rsidR="00DB6E1F" w:rsidRDefault="00F666A6">
            <w:pPr>
              <w:pStyle w:val="TableParagraph"/>
              <w:spacing w:line="242" w:lineRule="exact"/>
              <w:ind w:left="8"/>
              <w:jc w:val="center"/>
              <w:rPr>
                <w:sz w:val="20"/>
              </w:rPr>
            </w:pPr>
            <w:r>
              <w:rPr>
                <w:w w:val="99"/>
                <w:sz w:val="20"/>
              </w:rPr>
              <w:t>2</w:t>
            </w:r>
          </w:p>
        </w:tc>
        <w:tc>
          <w:tcPr>
            <w:tcW w:w="1082" w:type="dxa"/>
          </w:tcPr>
          <w:p w14:paraId="71A3628D" w14:textId="77777777" w:rsidR="00DB6E1F" w:rsidRDefault="00F666A6">
            <w:pPr>
              <w:pStyle w:val="TableParagraph"/>
              <w:spacing w:line="242" w:lineRule="exact"/>
              <w:ind w:left="6"/>
              <w:jc w:val="center"/>
              <w:rPr>
                <w:sz w:val="20"/>
              </w:rPr>
            </w:pPr>
            <w:r>
              <w:rPr>
                <w:w w:val="99"/>
                <w:sz w:val="20"/>
              </w:rPr>
              <w:t>3</w:t>
            </w:r>
          </w:p>
        </w:tc>
        <w:tc>
          <w:tcPr>
            <w:tcW w:w="988" w:type="dxa"/>
          </w:tcPr>
          <w:p w14:paraId="24089F41" w14:textId="77777777" w:rsidR="00DB6E1F" w:rsidRDefault="00F666A6">
            <w:pPr>
              <w:pStyle w:val="TableParagraph"/>
              <w:spacing w:line="242" w:lineRule="exact"/>
              <w:ind w:left="10"/>
              <w:jc w:val="center"/>
              <w:rPr>
                <w:sz w:val="20"/>
              </w:rPr>
            </w:pPr>
            <w:r>
              <w:rPr>
                <w:w w:val="99"/>
                <w:sz w:val="20"/>
              </w:rPr>
              <w:t>4</w:t>
            </w:r>
          </w:p>
        </w:tc>
        <w:tc>
          <w:tcPr>
            <w:tcW w:w="990" w:type="dxa"/>
          </w:tcPr>
          <w:p w14:paraId="79D246F8" w14:textId="77777777" w:rsidR="00DB6E1F" w:rsidRDefault="00F666A6">
            <w:pPr>
              <w:pStyle w:val="TableParagraph"/>
              <w:spacing w:line="242" w:lineRule="exact"/>
              <w:ind w:left="9"/>
              <w:jc w:val="center"/>
              <w:rPr>
                <w:sz w:val="20"/>
              </w:rPr>
            </w:pPr>
            <w:r>
              <w:rPr>
                <w:w w:val="99"/>
                <w:sz w:val="20"/>
              </w:rPr>
              <w:t>5</w:t>
            </w:r>
          </w:p>
        </w:tc>
      </w:tr>
    </w:tbl>
    <w:p w14:paraId="09CDAA88" w14:textId="77777777" w:rsidR="00DB6E1F" w:rsidRDefault="00DB6E1F">
      <w:pPr>
        <w:spacing w:line="242" w:lineRule="exact"/>
        <w:jc w:val="center"/>
        <w:rPr>
          <w:sz w:val="20"/>
        </w:rPr>
        <w:sectPr w:rsidR="00DB6E1F">
          <w:pgSz w:w="12240" w:h="15840"/>
          <w:pgMar w:top="1200" w:right="0" w:bottom="780" w:left="0" w:header="763" w:footer="585" w:gutter="0"/>
          <w:cols w:space="720"/>
        </w:sectPr>
      </w:pPr>
    </w:p>
    <w:p w14:paraId="3213EAE4" w14:textId="77777777" w:rsidR="00DB6E1F" w:rsidRDefault="00DB6E1F">
      <w:pPr>
        <w:pStyle w:val="BodyText"/>
        <w:spacing w:before="8"/>
        <w:rPr>
          <w:sz w:val="14"/>
        </w:rPr>
      </w:pPr>
    </w:p>
    <w:p w14:paraId="4126EB3E" w14:textId="77777777" w:rsidR="00DB6E1F" w:rsidRDefault="00F666A6">
      <w:pPr>
        <w:pStyle w:val="Heading5"/>
        <w:spacing w:before="56"/>
      </w:pPr>
      <w:r>
        <w:rPr>
          <w:spacing w:val="-2"/>
        </w:rPr>
        <w:t>Scoring:</w:t>
      </w:r>
    </w:p>
    <w:p w14:paraId="0D1B8F21" w14:textId="77777777" w:rsidR="00DB6E1F" w:rsidRDefault="00DB6E1F">
      <w:pPr>
        <w:pStyle w:val="BodyText"/>
        <w:spacing w:before="3"/>
        <w:rPr>
          <w:b/>
          <w:sz w:val="13"/>
        </w:rPr>
      </w:pPr>
    </w:p>
    <w:tbl>
      <w:tblPr>
        <w:tblW w:w="0" w:type="auto"/>
        <w:tblInd w:w="1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3"/>
        <w:gridCol w:w="4673"/>
      </w:tblGrid>
      <w:tr w:rsidR="00DB6E1F" w14:paraId="3DCBA467" w14:textId="77777777">
        <w:trPr>
          <w:trHeight w:val="363"/>
        </w:trPr>
        <w:tc>
          <w:tcPr>
            <w:tcW w:w="4673" w:type="dxa"/>
            <w:tcBorders>
              <w:left w:val="single" w:sz="6" w:space="0" w:color="000000"/>
            </w:tcBorders>
          </w:tcPr>
          <w:p w14:paraId="754EA426" w14:textId="77777777" w:rsidR="00DB6E1F" w:rsidRDefault="00F666A6">
            <w:pPr>
              <w:pStyle w:val="TableParagraph"/>
              <w:ind w:left="4"/>
              <w:rPr>
                <w:sz w:val="20"/>
              </w:rPr>
            </w:pPr>
            <w:r>
              <w:rPr>
                <w:sz w:val="20"/>
              </w:rPr>
              <w:t>Pros</w:t>
            </w:r>
            <w:r>
              <w:rPr>
                <w:spacing w:val="-5"/>
                <w:sz w:val="20"/>
              </w:rPr>
              <w:t xml:space="preserve"> </w:t>
            </w:r>
            <w:r>
              <w:rPr>
                <w:sz w:val="20"/>
              </w:rPr>
              <w:t>of</w:t>
            </w:r>
            <w:r>
              <w:rPr>
                <w:spacing w:val="-5"/>
                <w:sz w:val="20"/>
              </w:rPr>
              <w:t xml:space="preserve"> </w:t>
            </w:r>
            <w:r>
              <w:rPr>
                <w:sz w:val="20"/>
              </w:rPr>
              <w:t>Using</w:t>
            </w:r>
            <w:r>
              <w:rPr>
                <w:spacing w:val="-4"/>
                <w:sz w:val="20"/>
              </w:rPr>
              <w:t xml:space="preserve"> Drugs</w:t>
            </w:r>
          </w:p>
        </w:tc>
        <w:tc>
          <w:tcPr>
            <w:tcW w:w="4673" w:type="dxa"/>
            <w:tcBorders>
              <w:right w:val="single" w:sz="6" w:space="0" w:color="000000"/>
            </w:tcBorders>
          </w:tcPr>
          <w:p w14:paraId="64FC4ABA" w14:textId="77777777" w:rsidR="00DB6E1F" w:rsidRDefault="00F666A6">
            <w:pPr>
              <w:pStyle w:val="TableParagraph"/>
              <w:ind w:left="6"/>
              <w:rPr>
                <w:sz w:val="20"/>
              </w:rPr>
            </w:pPr>
            <w:r>
              <w:rPr>
                <w:sz w:val="20"/>
              </w:rPr>
              <w:t>Cons</w:t>
            </w:r>
            <w:r>
              <w:rPr>
                <w:spacing w:val="-6"/>
                <w:sz w:val="20"/>
              </w:rPr>
              <w:t xml:space="preserve"> </w:t>
            </w:r>
            <w:r>
              <w:rPr>
                <w:sz w:val="20"/>
              </w:rPr>
              <w:t>of</w:t>
            </w:r>
            <w:r>
              <w:rPr>
                <w:spacing w:val="-5"/>
                <w:sz w:val="20"/>
              </w:rPr>
              <w:t xml:space="preserve"> </w:t>
            </w:r>
            <w:r>
              <w:rPr>
                <w:sz w:val="20"/>
              </w:rPr>
              <w:t>Using</w:t>
            </w:r>
            <w:r>
              <w:rPr>
                <w:spacing w:val="-5"/>
                <w:sz w:val="20"/>
              </w:rPr>
              <w:t xml:space="preserve"> </w:t>
            </w:r>
            <w:r>
              <w:rPr>
                <w:spacing w:val="-2"/>
                <w:sz w:val="20"/>
              </w:rPr>
              <w:t>Drugs</w:t>
            </w:r>
          </w:p>
        </w:tc>
      </w:tr>
      <w:tr w:rsidR="00DB6E1F" w14:paraId="2BE1E4FC" w14:textId="77777777">
        <w:trPr>
          <w:trHeight w:val="363"/>
        </w:trPr>
        <w:tc>
          <w:tcPr>
            <w:tcW w:w="4673" w:type="dxa"/>
            <w:tcBorders>
              <w:left w:val="single" w:sz="6" w:space="0" w:color="000000"/>
            </w:tcBorders>
          </w:tcPr>
          <w:p w14:paraId="486ECD4C" w14:textId="77777777" w:rsidR="00DB6E1F" w:rsidRDefault="00F666A6">
            <w:pPr>
              <w:pStyle w:val="TableParagraph"/>
              <w:ind w:left="4"/>
              <w:rPr>
                <w:sz w:val="20"/>
              </w:rPr>
            </w:pPr>
            <w:r>
              <w:rPr>
                <w:sz w:val="20"/>
              </w:rPr>
              <w:t>2,</w:t>
            </w:r>
            <w:r>
              <w:rPr>
                <w:spacing w:val="-3"/>
                <w:sz w:val="20"/>
              </w:rPr>
              <w:t xml:space="preserve"> </w:t>
            </w:r>
            <w:r>
              <w:rPr>
                <w:sz w:val="20"/>
              </w:rPr>
              <w:t>4,</w:t>
            </w:r>
            <w:r>
              <w:rPr>
                <w:spacing w:val="-3"/>
                <w:sz w:val="20"/>
              </w:rPr>
              <w:t xml:space="preserve"> </w:t>
            </w:r>
            <w:r>
              <w:rPr>
                <w:sz w:val="20"/>
              </w:rPr>
              <w:t>7,</w:t>
            </w:r>
            <w:r>
              <w:rPr>
                <w:spacing w:val="-2"/>
                <w:sz w:val="20"/>
              </w:rPr>
              <w:t xml:space="preserve"> </w:t>
            </w:r>
            <w:r>
              <w:rPr>
                <w:sz w:val="20"/>
              </w:rPr>
              <w:t>9,</w:t>
            </w:r>
            <w:r>
              <w:rPr>
                <w:spacing w:val="-3"/>
                <w:sz w:val="20"/>
              </w:rPr>
              <w:t xml:space="preserve"> </w:t>
            </w:r>
            <w:r>
              <w:rPr>
                <w:sz w:val="20"/>
              </w:rPr>
              <w:t>11,</w:t>
            </w:r>
            <w:r>
              <w:rPr>
                <w:spacing w:val="-3"/>
                <w:sz w:val="20"/>
              </w:rPr>
              <w:t xml:space="preserve"> </w:t>
            </w:r>
            <w:r>
              <w:rPr>
                <w:sz w:val="20"/>
              </w:rPr>
              <w:t>14,</w:t>
            </w:r>
            <w:r>
              <w:rPr>
                <w:spacing w:val="-2"/>
                <w:sz w:val="20"/>
              </w:rPr>
              <w:t xml:space="preserve"> </w:t>
            </w:r>
            <w:r>
              <w:rPr>
                <w:sz w:val="20"/>
              </w:rPr>
              <w:t>16,</w:t>
            </w:r>
            <w:r>
              <w:rPr>
                <w:spacing w:val="-3"/>
                <w:sz w:val="20"/>
              </w:rPr>
              <w:t xml:space="preserve"> </w:t>
            </w:r>
            <w:r>
              <w:rPr>
                <w:sz w:val="20"/>
              </w:rPr>
              <w:t>17,</w:t>
            </w:r>
            <w:r>
              <w:rPr>
                <w:spacing w:val="-3"/>
                <w:sz w:val="20"/>
              </w:rPr>
              <w:t xml:space="preserve"> </w:t>
            </w:r>
            <w:r>
              <w:rPr>
                <w:sz w:val="20"/>
              </w:rPr>
              <w:t>19,</w:t>
            </w:r>
            <w:r>
              <w:rPr>
                <w:spacing w:val="-2"/>
                <w:sz w:val="20"/>
              </w:rPr>
              <w:t xml:space="preserve"> </w:t>
            </w:r>
            <w:r>
              <w:rPr>
                <w:spacing w:val="-5"/>
                <w:sz w:val="20"/>
              </w:rPr>
              <w:t>20</w:t>
            </w:r>
          </w:p>
        </w:tc>
        <w:tc>
          <w:tcPr>
            <w:tcW w:w="4673" w:type="dxa"/>
            <w:tcBorders>
              <w:right w:val="single" w:sz="6" w:space="0" w:color="000000"/>
            </w:tcBorders>
          </w:tcPr>
          <w:p w14:paraId="5DC6BA31" w14:textId="77777777" w:rsidR="00DB6E1F" w:rsidRDefault="00F666A6">
            <w:pPr>
              <w:pStyle w:val="TableParagraph"/>
              <w:ind w:left="6"/>
              <w:rPr>
                <w:sz w:val="20"/>
              </w:rPr>
            </w:pPr>
            <w:r>
              <w:rPr>
                <w:sz w:val="20"/>
              </w:rPr>
              <w:t>1,</w:t>
            </w:r>
            <w:r>
              <w:rPr>
                <w:spacing w:val="-3"/>
                <w:sz w:val="20"/>
              </w:rPr>
              <w:t xml:space="preserve"> </w:t>
            </w:r>
            <w:r>
              <w:rPr>
                <w:sz w:val="20"/>
              </w:rPr>
              <w:t>3,</w:t>
            </w:r>
            <w:r>
              <w:rPr>
                <w:spacing w:val="-2"/>
                <w:sz w:val="20"/>
              </w:rPr>
              <w:t xml:space="preserve"> </w:t>
            </w:r>
            <w:r>
              <w:rPr>
                <w:sz w:val="20"/>
              </w:rPr>
              <w:t>5,</w:t>
            </w:r>
            <w:r>
              <w:rPr>
                <w:spacing w:val="-3"/>
                <w:sz w:val="20"/>
              </w:rPr>
              <w:t xml:space="preserve"> </w:t>
            </w:r>
            <w:r>
              <w:rPr>
                <w:sz w:val="20"/>
              </w:rPr>
              <w:t>6,</w:t>
            </w:r>
            <w:r>
              <w:rPr>
                <w:spacing w:val="-2"/>
                <w:sz w:val="20"/>
              </w:rPr>
              <w:t xml:space="preserve"> </w:t>
            </w:r>
            <w:r>
              <w:rPr>
                <w:sz w:val="20"/>
              </w:rPr>
              <w:t>8,</w:t>
            </w:r>
            <w:r>
              <w:rPr>
                <w:spacing w:val="-3"/>
                <w:sz w:val="20"/>
              </w:rPr>
              <w:t xml:space="preserve"> </w:t>
            </w:r>
            <w:r>
              <w:rPr>
                <w:sz w:val="20"/>
              </w:rPr>
              <w:t>10,</w:t>
            </w:r>
            <w:r>
              <w:rPr>
                <w:spacing w:val="-2"/>
                <w:sz w:val="20"/>
              </w:rPr>
              <w:t xml:space="preserve"> </w:t>
            </w:r>
            <w:r>
              <w:rPr>
                <w:sz w:val="20"/>
              </w:rPr>
              <w:t>12,</w:t>
            </w:r>
            <w:r>
              <w:rPr>
                <w:spacing w:val="-2"/>
                <w:sz w:val="20"/>
              </w:rPr>
              <w:t xml:space="preserve"> </w:t>
            </w:r>
            <w:r>
              <w:rPr>
                <w:sz w:val="20"/>
              </w:rPr>
              <w:t>13,</w:t>
            </w:r>
            <w:r>
              <w:rPr>
                <w:spacing w:val="-3"/>
                <w:sz w:val="20"/>
              </w:rPr>
              <w:t xml:space="preserve"> </w:t>
            </w:r>
            <w:r>
              <w:rPr>
                <w:sz w:val="20"/>
              </w:rPr>
              <w:t>15,</w:t>
            </w:r>
            <w:r>
              <w:rPr>
                <w:spacing w:val="-2"/>
                <w:sz w:val="20"/>
              </w:rPr>
              <w:t xml:space="preserve"> </w:t>
            </w:r>
            <w:r>
              <w:rPr>
                <w:spacing w:val="-5"/>
                <w:sz w:val="20"/>
              </w:rPr>
              <w:t>18</w:t>
            </w:r>
          </w:p>
        </w:tc>
      </w:tr>
    </w:tbl>
    <w:p w14:paraId="141A62B4" w14:textId="77777777" w:rsidR="00DB6E1F" w:rsidRDefault="00F666A6">
      <w:pPr>
        <w:spacing w:before="2"/>
        <w:ind w:left="1440" w:right="1491"/>
        <w:rPr>
          <w:sz w:val="20"/>
        </w:rPr>
      </w:pPr>
      <w:r>
        <w:rPr>
          <w:sz w:val="20"/>
        </w:rPr>
        <w:t>To</w:t>
      </w:r>
      <w:r>
        <w:rPr>
          <w:spacing w:val="-2"/>
          <w:sz w:val="20"/>
        </w:rPr>
        <w:t xml:space="preserve"> </w:t>
      </w:r>
      <w:r>
        <w:rPr>
          <w:sz w:val="20"/>
        </w:rPr>
        <w:t>get</w:t>
      </w:r>
      <w:r>
        <w:rPr>
          <w:spacing w:val="-2"/>
          <w:sz w:val="20"/>
        </w:rPr>
        <w:t xml:space="preserve"> </w:t>
      </w:r>
      <w:r>
        <w:rPr>
          <w:sz w:val="20"/>
        </w:rPr>
        <w:t>the</w:t>
      </w:r>
      <w:r>
        <w:rPr>
          <w:spacing w:val="-3"/>
          <w:sz w:val="20"/>
        </w:rPr>
        <w:t xml:space="preserve"> </w:t>
      </w:r>
      <w:r>
        <w:rPr>
          <w:sz w:val="20"/>
        </w:rPr>
        <w:t>average</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Pros</w:t>
      </w:r>
      <w:r>
        <w:rPr>
          <w:spacing w:val="-3"/>
          <w:sz w:val="20"/>
        </w:rPr>
        <w:t xml:space="preserve"> </w:t>
      </w:r>
      <w:r>
        <w:rPr>
          <w:sz w:val="20"/>
        </w:rPr>
        <w:t>endorsed,</w:t>
      </w:r>
      <w:r>
        <w:rPr>
          <w:spacing w:val="-1"/>
          <w:sz w:val="20"/>
        </w:rPr>
        <w:t xml:space="preserve"> </w:t>
      </w:r>
      <w:r>
        <w:rPr>
          <w:sz w:val="20"/>
        </w:rPr>
        <w:t>add</w:t>
      </w:r>
      <w:r>
        <w:rPr>
          <w:spacing w:val="-1"/>
          <w:sz w:val="20"/>
        </w:rPr>
        <w:t xml:space="preserve"> </w:t>
      </w:r>
      <w:r>
        <w:rPr>
          <w:sz w:val="20"/>
        </w:rPr>
        <w:t>up</w:t>
      </w:r>
      <w:r>
        <w:rPr>
          <w:spacing w:val="-1"/>
          <w:sz w:val="20"/>
        </w:rPr>
        <w:t xml:space="preserve"> </w:t>
      </w:r>
      <w:r>
        <w:rPr>
          <w:sz w:val="20"/>
        </w:rPr>
        <w:t>the</w:t>
      </w:r>
      <w:r>
        <w:rPr>
          <w:spacing w:val="-3"/>
          <w:sz w:val="20"/>
        </w:rPr>
        <w:t xml:space="preserve"> </w:t>
      </w:r>
      <w:r>
        <w:rPr>
          <w:sz w:val="20"/>
        </w:rPr>
        <w:t>total</w:t>
      </w:r>
      <w:r>
        <w:rPr>
          <w:spacing w:val="-2"/>
          <w:sz w:val="20"/>
        </w:rPr>
        <w:t xml:space="preserve"> </w:t>
      </w:r>
      <w:r>
        <w:rPr>
          <w:sz w:val="20"/>
        </w:rPr>
        <w:t>number</w:t>
      </w:r>
      <w:r>
        <w:rPr>
          <w:spacing w:val="-2"/>
          <w:sz w:val="20"/>
        </w:rPr>
        <w:t xml:space="preserve"> </w:t>
      </w:r>
      <w:r>
        <w:rPr>
          <w:sz w:val="20"/>
        </w:rPr>
        <w:t>of</w:t>
      </w:r>
      <w:r>
        <w:rPr>
          <w:spacing w:val="-3"/>
          <w:sz w:val="20"/>
        </w:rPr>
        <w:t xml:space="preserve"> </w:t>
      </w:r>
      <w:r>
        <w:rPr>
          <w:sz w:val="20"/>
        </w:rPr>
        <w:t>points</w:t>
      </w:r>
      <w:r>
        <w:rPr>
          <w:spacing w:val="-3"/>
          <w:sz w:val="20"/>
        </w:rPr>
        <w:t xml:space="preserve"> </w:t>
      </w:r>
      <w:r>
        <w:rPr>
          <w:sz w:val="20"/>
        </w:rPr>
        <w:t>from</w:t>
      </w:r>
      <w:r>
        <w:rPr>
          <w:spacing w:val="-3"/>
          <w:sz w:val="20"/>
        </w:rPr>
        <w:t xml:space="preserve"> </w:t>
      </w:r>
      <w:r>
        <w:rPr>
          <w:sz w:val="20"/>
        </w:rPr>
        <w:t>the</w:t>
      </w:r>
      <w:r>
        <w:rPr>
          <w:spacing w:val="-1"/>
          <w:sz w:val="20"/>
        </w:rPr>
        <w:t xml:space="preserve"> </w:t>
      </w:r>
      <w:r>
        <w:rPr>
          <w:sz w:val="20"/>
        </w:rPr>
        <w:t>items</w:t>
      </w:r>
      <w:r>
        <w:rPr>
          <w:spacing w:val="-3"/>
          <w:sz w:val="20"/>
        </w:rPr>
        <w:t xml:space="preserve"> </w:t>
      </w:r>
      <w:r>
        <w:rPr>
          <w:sz w:val="20"/>
        </w:rPr>
        <w:t>and</w:t>
      </w:r>
      <w:r>
        <w:rPr>
          <w:spacing w:val="-1"/>
          <w:sz w:val="20"/>
        </w:rPr>
        <w:t xml:space="preserve"> </w:t>
      </w:r>
      <w:r>
        <w:rPr>
          <w:sz w:val="20"/>
        </w:rPr>
        <w:t>divide</w:t>
      </w:r>
      <w:r>
        <w:rPr>
          <w:spacing w:val="-3"/>
          <w:sz w:val="20"/>
        </w:rPr>
        <w:t xml:space="preserve"> </w:t>
      </w:r>
      <w:r>
        <w:rPr>
          <w:sz w:val="20"/>
        </w:rPr>
        <w:t>by</w:t>
      </w:r>
      <w:r>
        <w:rPr>
          <w:spacing w:val="-1"/>
          <w:sz w:val="20"/>
        </w:rPr>
        <w:t xml:space="preserve"> </w:t>
      </w:r>
      <w:r>
        <w:rPr>
          <w:sz w:val="20"/>
        </w:rPr>
        <w:t>10. Pros of drug use (2+4+7+9+11+14+16+17+19+20) / (10 possible items for using drugs)= Sum of items</w:t>
      </w:r>
    </w:p>
    <w:p w14:paraId="53494DFC" w14:textId="77777777" w:rsidR="00DB6E1F" w:rsidRDefault="00F666A6">
      <w:pPr>
        <w:spacing w:before="119"/>
        <w:ind w:left="1440" w:right="1491"/>
        <w:rPr>
          <w:sz w:val="20"/>
        </w:rPr>
      </w:pPr>
      <w:r>
        <w:rPr>
          <w:sz w:val="20"/>
        </w:rPr>
        <w:t>To</w:t>
      </w:r>
      <w:r>
        <w:rPr>
          <w:spacing w:val="-2"/>
          <w:sz w:val="20"/>
        </w:rPr>
        <w:t xml:space="preserve"> </w:t>
      </w:r>
      <w:r>
        <w:rPr>
          <w:sz w:val="20"/>
        </w:rPr>
        <w:t>get</w:t>
      </w:r>
      <w:r>
        <w:rPr>
          <w:spacing w:val="-2"/>
          <w:sz w:val="20"/>
        </w:rPr>
        <w:t xml:space="preserve"> </w:t>
      </w:r>
      <w:r>
        <w:rPr>
          <w:sz w:val="20"/>
        </w:rPr>
        <w:t>the</w:t>
      </w:r>
      <w:r>
        <w:rPr>
          <w:spacing w:val="-3"/>
          <w:sz w:val="20"/>
        </w:rPr>
        <w:t xml:space="preserve"> </w:t>
      </w:r>
      <w:r>
        <w:rPr>
          <w:sz w:val="20"/>
        </w:rPr>
        <w:t>average</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Cons</w:t>
      </w:r>
      <w:r>
        <w:rPr>
          <w:spacing w:val="-3"/>
          <w:sz w:val="20"/>
        </w:rPr>
        <w:t xml:space="preserve"> </w:t>
      </w:r>
      <w:r>
        <w:rPr>
          <w:sz w:val="20"/>
        </w:rPr>
        <w:t>endorsed,</w:t>
      </w:r>
      <w:r>
        <w:rPr>
          <w:spacing w:val="-1"/>
          <w:sz w:val="20"/>
        </w:rPr>
        <w:t xml:space="preserve"> </w:t>
      </w:r>
      <w:r>
        <w:rPr>
          <w:sz w:val="20"/>
        </w:rPr>
        <w:t>add</w:t>
      </w:r>
      <w:r>
        <w:rPr>
          <w:spacing w:val="-1"/>
          <w:sz w:val="20"/>
        </w:rPr>
        <w:t xml:space="preserve"> </w:t>
      </w:r>
      <w:r>
        <w:rPr>
          <w:sz w:val="20"/>
        </w:rPr>
        <w:t>up</w:t>
      </w:r>
      <w:r>
        <w:rPr>
          <w:spacing w:val="-1"/>
          <w:sz w:val="20"/>
        </w:rPr>
        <w:t xml:space="preserve"> </w:t>
      </w:r>
      <w:r>
        <w:rPr>
          <w:sz w:val="20"/>
        </w:rPr>
        <w:t>the</w:t>
      </w:r>
      <w:r>
        <w:rPr>
          <w:spacing w:val="-3"/>
          <w:sz w:val="20"/>
        </w:rPr>
        <w:t xml:space="preserve"> </w:t>
      </w:r>
      <w:r>
        <w:rPr>
          <w:sz w:val="20"/>
        </w:rPr>
        <w:t>total</w:t>
      </w:r>
      <w:r>
        <w:rPr>
          <w:spacing w:val="-2"/>
          <w:sz w:val="20"/>
        </w:rPr>
        <w:t xml:space="preserve"> </w:t>
      </w:r>
      <w:r>
        <w:rPr>
          <w:sz w:val="20"/>
        </w:rPr>
        <w:t>number</w:t>
      </w:r>
      <w:r>
        <w:rPr>
          <w:spacing w:val="-2"/>
          <w:sz w:val="20"/>
        </w:rPr>
        <w:t xml:space="preserve"> </w:t>
      </w:r>
      <w:r>
        <w:rPr>
          <w:sz w:val="20"/>
        </w:rPr>
        <w:t>of</w:t>
      </w:r>
      <w:r>
        <w:rPr>
          <w:spacing w:val="-3"/>
          <w:sz w:val="20"/>
        </w:rPr>
        <w:t xml:space="preserve"> </w:t>
      </w:r>
      <w:r>
        <w:rPr>
          <w:sz w:val="20"/>
        </w:rPr>
        <w:t>points</w:t>
      </w:r>
      <w:r>
        <w:rPr>
          <w:spacing w:val="-3"/>
          <w:sz w:val="20"/>
        </w:rPr>
        <w:t xml:space="preserve"> </w:t>
      </w:r>
      <w:r>
        <w:rPr>
          <w:sz w:val="20"/>
        </w:rPr>
        <w:t>from</w:t>
      </w:r>
      <w:r>
        <w:rPr>
          <w:spacing w:val="-3"/>
          <w:sz w:val="20"/>
        </w:rPr>
        <w:t xml:space="preserve"> </w:t>
      </w:r>
      <w:r>
        <w:rPr>
          <w:sz w:val="20"/>
        </w:rPr>
        <w:t>the items</w:t>
      </w:r>
      <w:r>
        <w:rPr>
          <w:spacing w:val="-3"/>
          <w:sz w:val="20"/>
        </w:rPr>
        <w:t xml:space="preserve"> </w:t>
      </w:r>
      <w:r>
        <w:rPr>
          <w:sz w:val="20"/>
        </w:rPr>
        <w:t>and</w:t>
      </w:r>
      <w:r>
        <w:rPr>
          <w:spacing w:val="-1"/>
          <w:sz w:val="20"/>
        </w:rPr>
        <w:t xml:space="preserve"> </w:t>
      </w:r>
      <w:r>
        <w:rPr>
          <w:sz w:val="20"/>
        </w:rPr>
        <w:t>divide</w:t>
      </w:r>
      <w:r>
        <w:rPr>
          <w:spacing w:val="-3"/>
          <w:sz w:val="20"/>
        </w:rPr>
        <w:t xml:space="preserve"> </w:t>
      </w:r>
      <w:r>
        <w:rPr>
          <w:sz w:val="20"/>
        </w:rPr>
        <w:t>by</w:t>
      </w:r>
      <w:r>
        <w:rPr>
          <w:spacing w:val="-1"/>
          <w:sz w:val="20"/>
        </w:rPr>
        <w:t xml:space="preserve"> </w:t>
      </w:r>
      <w:r>
        <w:rPr>
          <w:sz w:val="20"/>
        </w:rPr>
        <w:t>10. Cons of drug use (1+3+5+6+8+10+12+13+15+18) / (10 possible items for not using drugs) = Sum of items</w:t>
      </w:r>
    </w:p>
    <w:p w14:paraId="3E419809" w14:textId="77777777" w:rsidR="00DB6E1F" w:rsidRDefault="00F666A6">
      <w:pPr>
        <w:spacing w:before="122"/>
        <w:ind w:left="1439" w:right="1491"/>
        <w:rPr>
          <w:sz w:val="20"/>
        </w:rPr>
      </w:pPr>
      <w:r>
        <w:rPr>
          <w:sz w:val="20"/>
        </w:rPr>
        <w:t>To calculate the difference score, subtract the Cons from the Pros. If the num</w:t>
      </w:r>
      <w:r>
        <w:rPr>
          <w:sz w:val="20"/>
        </w:rPr>
        <w:t>ber is positive, the individual is endorsing</w:t>
      </w:r>
      <w:r>
        <w:rPr>
          <w:spacing w:val="-2"/>
          <w:sz w:val="20"/>
        </w:rPr>
        <w:t xml:space="preserve"> </w:t>
      </w:r>
      <w:r>
        <w:rPr>
          <w:sz w:val="20"/>
        </w:rPr>
        <w:t>more</w:t>
      </w:r>
      <w:r>
        <w:rPr>
          <w:spacing w:val="-3"/>
          <w:sz w:val="20"/>
        </w:rPr>
        <w:t xml:space="preserve"> </w:t>
      </w:r>
      <w:r>
        <w:rPr>
          <w:sz w:val="20"/>
        </w:rPr>
        <w:t>Pros</w:t>
      </w:r>
      <w:r>
        <w:rPr>
          <w:spacing w:val="-3"/>
          <w:sz w:val="20"/>
        </w:rPr>
        <w:t xml:space="preserve"> </w:t>
      </w:r>
      <w:r>
        <w:rPr>
          <w:sz w:val="20"/>
        </w:rPr>
        <w:t>than</w:t>
      </w:r>
      <w:r>
        <w:rPr>
          <w:spacing w:val="-1"/>
          <w:sz w:val="20"/>
        </w:rPr>
        <w:t xml:space="preserve"> </w:t>
      </w:r>
      <w:r>
        <w:rPr>
          <w:sz w:val="20"/>
        </w:rPr>
        <w:t>Cons</w:t>
      </w:r>
      <w:r>
        <w:rPr>
          <w:spacing w:val="-3"/>
          <w:sz w:val="20"/>
        </w:rPr>
        <w:t xml:space="preserve"> </w:t>
      </w:r>
      <w:r>
        <w:rPr>
          <w:sz w:val="20"/>
        </w:rPr>
        <w:t>for</w:t>
      </w:r>
      <w:r>
        <w:rPr>
          <w:spacing w:val="-2"/>
          <w:sz w:val="20"/>
        </w:rPr>
        <w:t xml:space="preserve"> </w:t>
      </w:r>
      <w:r>
        <w:rPr>
          <w:sz w:val="20"/>
        </w:rPr>
        <w:t>using</w:t>
      </w:r>
      <w:r>
        <w:rPr>
          <w:spacing w:val="-2"/>
          <w:sz w:val="20"/>
        </w:rPr>
        <w:t xml:space="preserve"> </w:t>
      </w:r>
      <w:r>
        <w:rPr>
          <w:sz w:val="20"/>
        </w:rPr>
        <w:t>drugs.</w:t>
      </w:r>
      <w:r>
        <w:rPr>
          <w:spacing w:val="-2"/>
          <w:sz w:val="20"/>
        </w:rPr>
        <w:t xml:space="preserve"> </w:t>
      </w:r>
      <w:r>
        <w:rPr>
          <w:sz w:val="20"/>
        </w:rPr>
        <w:t>If</w:t>
      </w:r>
      <w:r>
        <w:rPr>
          <w:spacing w:val="-3"/>
          <w:sz w:val="20"/>
        </w:rPr>
        <w:t xml:space="preserve"> </w:t>
      </w:r>
      <w:r>
        <w:rPr>
          <w:sz w:val="20"/>
        </w:rPr>
        <w:t>the</w:t>
      </w:r>
      <w:r>
        <w:rPr>
          <w:spacing w:val="-3"/>
          <w:sz w:val="20"/>
        </w:rPr>
        <w:t xml:space="preserve"> </w:t>
      </w:r>
      <w:r>
        <w:rPr>
          <w:sz w:val="20"/>
        </w:rPr>
        <w:t>number</w:t>
      </w:r>
      <w:r>
        <w:rPr>
          <w:spacing w:val="-2"/>
          <w:sz w:val="20"/>
        </w:rPr>
        <w:t xml:space="preserve"> </w:t>
      </w:r>
      <w:r>
        <w:rPr>
          <w:sz w:val="20"/>
        </w:rPr>
        <w:t>is</w:t>
      </w:r>
      <w:r>
        <w:rPr>
          <w:spacing w:val="-3"/>
          <w:sz w:val="20"/>
        </w:rPr>
        <w:t xml:space="preserve"> </w:t>
      </w:r>
      <w:r>
        <w:rPr>
          <w:sz w:val="20"/>
        </w:rPr>
        <w:t>negative,</w:t>
      </w:r>
      <w:r>
        <w:rPr>
          <w:spacing w:val="-1"/>
          <w:sz w:val="20"/>
        </w:rPr>
        <w:t xml:space="preserve"> </w:t>
      </w:r>
      <w:r>
        <w:rPr>
          <w:sz w:val="20"/>
        </w:rPr>
        <w:t>the</w:t>
      </w:r>
      <w:r>
        <w:rPr>
          <w:spacing w:val="-3"/>
          <w:sz w:val="20"/>
        </w:rPr>
        <w:t xml:space="preserve"> </w:t>
      </w:r>
      <w:r>
        <w:rPr>
          <w:sz w:val="20"/>
        </w:rPr>
        <w:t>individual is</w:t>
      </w:r>
      <w:r>
        <w:rPr>
          <w:spacing w:val="-3"/>
          <w:sz w:val="20"/>
        </w:rPr>
        <w:t xml:space="preserve"> </w:t>
      </w:r>
      <w:r>
        <w:rPr>
          <w:sz w:val="20"/>
        </w:rPr>
        <w:t>endorsing more</w:t>
      </w:r>
      <w:r>
        <w:rPr>
          <w:spacing w:val="-1"/>
          <w:sz w:val="20"/>
        </w:rPr>
        <w:t xml:space="preserve"> </w:t>
      </w:r>
      <w:r>
        <w:rPr>
          <w:sz w:val="20"/>
        </w:rPr>
        <w:t>Cons then Pros for using drugs.</w:t>
      </w:r>
    </w:p>
    <w:p w14:paraId="757262CA" w14:textId="77777777" w:rsidR="00DB6E1F" w:rsidRDefault="00DB6E1F">
      <w:pPr>
        <w:pStyle w:val="BodyText"/>
        <w:spacing w:before="8"/>
        <w:rPr>
          <w:sz w:val="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2B1A6812" w14:textId="77777777">
        <w:trPr>
          <w:trHeight w:val="650"/>
        </w:trPr>
        <w:tc>
          <w:tcPr>
            <w:tcW w:w="9350" w:type="dxa"/>
          </w:tcPr>
          <w:p w14:paraId="4044D133" w14:textId="77777777" w:rsidR="00DB6E1F" w:rsidRDefault="00F666A6">
            <w:pPr>
              <w:pStyle w:val="TableParagraph"/>
              <w:spacing w:before="80"/>
              <w:ind w:right="828"/>
              <w:rPr>
                <w:i/>
                <w:sz w:val="20"/>
              </w:rPr>
            </w:pPr>
            <w:r>
              <w:rPr>
                <w:i/>
                <w:sz w:val="20"/>
              </w:rPr>
              <w:t>Source:</w:t>
            </w:r>
            <w:r>
              <w:rPr>
                <w:i/>
                <w:spacing w:val="-4"/>
                <w:sz w:val="20"/>
              </w:rPr>
              <w:t xml:space="preserve"> </w:t>
            </w:r>
            <w:r>
              <w:rPr>
                <w:i/>
                <w:sz w:val="20"/>
              </w:rPr>
              <w:t>Prochaska</w:t>
            </w:r>
            <w:r>
              <w:rPr>
                <w:i/>
                <w:spacing w:val="-2"/>
                <w:sz w:val="20"/>
              </w:rPr>
              <w:t xml:space="preserve"> </w:t>
            </w:r>
            <w:r>
              <w:rPr>
                <w:i/>
                <w:sz w:val="20"/>
              </w:rPr>
              <w:t>et</w:t>
            </w:r>
            <w:r>
              <w:rPr>
                <w:i/>
                <w:spacing w:val="-3"/>
                <w:sz w:val="20"/>
              </w:rPr>
              <w:t xml:space="preserve"> </w:t>
            </w:r>
            <w:r>
              <w:rPr>
                <w:i/>
                <w:sz w:val="20"/>
              </w:rPr>
              <w:t>al.,</w:t>
            </w:r>
            <w:r>
              <w:rPr>
                <w:i/>
                <w:spacing w:val="-5"/>
                <w:sz w:val="20"/>
              </w:rPr>
              <w:t xml:space="preserve"> </w:t>
            </w:r>
            <w:r>
              <w:rPr>
                <w:i/>
                <w:sz w:val="20"/>
              </w:rPr>
              <w:t>1994.</w:t>
            </w:r>
            <w:r>
              <w:rPr>
                <w:i/>
                <w:spacing w:val="-3"/>
                <w:sz w:val="20"/>
              </w:rPr>
              <w:t xml:space="preserve"> </w:t>
            </w:r>
            <w:r>
              <w:rPr>
                <w:i/>
                <w:sz w:val="20"/>
              </w:rPr>
              <w:t>Reprinted</w:t>
            </w:r>
            <w:r>
              <w:rPr>
                <w:i/>
                <w:spacing w:val="-2"/>
                <w:sz w:val="20"/>
              </w:rPr>
              <w:t xml:space="preserve"> </w:t>
            </w:r>
            <w:r>
              <w:rPr>
                <w:i/>
                <w:sz w:val="20"/>
              </w:rPr>
              <w:t>from</w:t>
            </w:r>
            <w:r>
              <w:rPr>
                <w:i/>
                <w:spacing w:val="-2"/>
                <w:sz w:val="20"/>
              </w:rPr>
              <w:t xml:space="preserve"> </w:t>
            </w:r>
            <w:r>
              <w:rPr>
                <w:i/>
                <w:sz w:val="20"/>
              </w:rPr>
              <w:t>material</w:t>
            </w:r>
            <w:r>
              <w:rPr>
                <w:i/>
                <w:spacing w:val="-3"/>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public</w:t>
            </w:r>
            <w:r>
              <w:rPr>
                <w:i/>
                <w:spacing w:val="-2"/>
                <w:sz w:val="20"/>
              </w:rPr>
              <w:t xml:space="preserve"> </w:t>
            </w:r>
            <w:r>
              <w:rPr>
                <w:i/>
                <w:sz w:val="20"/>
              </w:rPr>
              <w:t>domain.</w:t>
            </w:r>
            <w:r>
              <w:rPr>
                <w:i/>
                <w:spacing w:val="-3"/>
                <w:sz w:val="20"/>
              </w:rPr>
              <w:t xml:space="preserve"> </w:t>
            </w:r>
            <w:r>
              <w:rPr>
                <w:i/>
                <w:sz w:val="20"/>
              </w:rPr>
              <w:t>Available</w:t>
            </w:r>
            <w:r>
              <w:rPr>
                <w:i/>
                <w:spacing w:val="-3"/>
                <w:sz w:val="20"/>
              </w:rPr>
              <w:t xml:space="preserve"> </w:t>
            </w:r>
            <w:r>
              <w:rPr>
                <w:i/>
                <w:sz w:val="20"/>
              </w:rPr>
              <w:t>online</w:t>
            </w:r>
            <w:r>
              <w:rPr>
                <w:i/>
                <w:spacing w:val="-2"/>
                <w:sz w:val="20"/>
              </w:rPr>
              <w:t xml:space="preserve"> </w:t>
            </w:r>
            <w:r>
              <w:rPr>
                <w:i/>
                <w:sz w:val="20"/>
              </w:rPr>
              <w:t>at</w:t>
            </w:r>
            <w:r>
              <w:rPr>
                <w:i/>
                <w:spacing w:val="-3"/>
                <w:sz w:val="20"/>
              </w:rPr>
              <w:t xml:space="preserve"> </w:t>
            </w:r>
            <w:r>
              <w:rPr>
                <w:i/>
                <w:sz w:val="20"/>
              </w:rPr>
              <w:t>no</w:t>
            </w:r>
            <w:r>
              <w:rPr>
                <w:i/>
                <w:spacing w:val="-4"/>
                <w:sz w:val="20"/>
              </w:rPr>
              <w:t xml:space="preserve"> </w:t>
            </w:r>
            <w:r>
              <w:rPr>
                <w:i/>
                <w:sz w:val="20"/>
              </w:rPr>
              <w:t xml:space="preserve">cost </w:t>
            </w:r>
            <w:r>
              <w:rPr>
                <w:i/>
                <w:spacing w:val="-2"/>
                <w:sz w:val="20"/>
              </w:rPr>
              <w:t>(</w:t>
            </w:r>
            <w:hyperlink r:id="rId180">
              <w:r>
                <w:rPr>
                  <w:i/>
                  <w:color w:val="0563C1"/>
                  <w:spacing w:val="-2"/>
                  <w:sz w:val="20"/>
                  <w:u w:val="single" w:color="0563C1"/>
                </w:rPr>
                <w:t>https://habitslab.umbc.edu/files/2014/07/Drug-Decisional-Balance-scale20item.pdf</w:t>
              </w:r>
              <w:r>
                <w:rPr>
                  <w:i/>
                  <w:spacing w:val="-2"/>
                  <w:sz w:val="20"/>
                </w:rPr>
                <w:t>)</w:t>
              </w:r>
            </w:hyperlink>
            <w:r>
              <w:rPr>
                <w:i/>
                <w:spacing w:val="-2"/>
                <w:sz w:val="20"/>
              </w:rPr>
              <w:t>.</w:t>
            </w:r>
          </w:p>
        </w:tc>
      </w:tr>
    </w:tbl>
    <w:p w14:paraId="2F174C83" w14:textId="77777777" w:rsidR="00DB6E1F" w:rsidRDefault="00DB6E1F">
      <w:pPr>
        <w:rPr>
          <w:sz w:val="20"/>
        </w:rPr>
        <w:sectPr w:rsidR="00DB6E1F">
          <w:pgSz w:w="12240" w:h="15840"/>
          <w:pgMar w:top="1200" w:right="0" w:bottom="780" w:left="0" w:header="763" w:footer="585" w:gutter="0"/>
          <w:cols w:space="720"/>
        </w:sectPr>
      </w:pPr>
    </w:p>
    <w:p w14:paraId="2BDF0C7E" w14:textId="77777777" w:rsidR="00DB6E1F" w:rsidRDefault="00DB6E1F">
      <w:pPr>
        <w:pStyle w:val="BodyText"/>
        <w:spacing w:before="3"/>
        <w:rPr>
          <w:sz w:val="17"/>
        </w:rPr>
      </w:pPr>
    </w:p>
    <w:p w14:paraId="26EEFB84" w14:textId="77777777" w:rsidR="00DB6E1F" w:rsidRDefault="00F666A6">
      <w:pPr>
        <w:pStyle w:val="Heading2"/>
        <w:numPr>
          <w:ilvl w:val="0"/>
          <w:numId w:val="28"/>
        </w:numPr>
        <w:tabs>
          <w:tab w:val="left" w:pos="1983"/>
        </w:tabs>
        <w:ind w:left="1982" w:hanging="543"/>
      </w:pPr>
      <w:bookmarkStart w:id="254" w:name="12._Brief_Situational_Confidence_Questio"/>
      <w:bookmarkStart w:id="255" w:name="_bookmark62"/>
      <w:bookmarkEnd w:id="254"/>
      <w:bookmarkEnd w:id="255"/>
      <w:r>
        <w:t>Brief</w:t>
      </w:r>
      <w:r>
        <w:rPr>
          <w:spacing w:val="-5"/>
        </w:rPr>
        <w:t xml:space="preserve"> </w:t>
      </w:r>
      <w:r>
        <w:t>Situational</w:t>
      </w:r>
      <w:r>
        <w:rPr>
          <w:spacing w:val="-3"/>
        </w:rPr>
        <w:t xml:space="preserve"> </w:t>
      </w:r>
      <w:r>
        <w:t>Confidence</w:t>
      </w:r>
      <w:r>
        <w:rPr>
          <w:spacing w:val="-4"/>
        </w:rPr>
        <w:t xml:space="preserve"> </w:t>
      </w:r>
      <w:r>
        <w:t>Questionnaire</w:t>
      </w:r>
      <w:r>
        <w:rPr>
          <w:spacing w:val="-2"/>
        </w:rPr>
        <w:t xml:space="preserve"> (BSCQ)</w:t>
      </w:r>
    </w:p>
    <w:p w14:paraId="3933C434" w14:textId="77777777" w:rsidR="00DB6E1F" w:rsidRDefault="00F666A6">
      <w:pPr>
        <w:tabs>
          <w:tab w:val="left" w:pos="5308"/>
          <w:tab w:val="left" w:pos="5901"/>
          <w:tab w:val="left" w:pos="8825"/>
        </w:tabs>
        <w:spacing w:before="154"/>
        <w:ind w:left="1440"/>
        <w:rPr>
          <w:rFonts w:ascii="Times New Roman"/>
          <w:sz w:val="20"/>
        </w:rPr>
      </w:pPr>
      <w:r>
        <w:rPr>
          <w:sz w:val="20"/>
        </w:rPr>
        <w:t xml:space="preserve">Name: </w:t>
      </w:r>
      <w:r>
        <w:rPr>
          <w:rFonts w:ascii="Times New Roman"/>
          <w:sz w:val="20"/>
          <w:u w:val="single"/>
        </w:rPr>
        <w:tab/>
      </w:r>
      <w:r>
        <w:rPr>
          <w:rFonts w:ascii="Times New Roman"/>
          <w:sz w:val="20"/>
        </w:rPr>
        <w:tab/>
      </w:r>
      <w:r>
        <w:rPr>
          <w:spacing w:val="-4"/>
          <w:sz w:val="20"/>
        </w:rPr>
        <w:t>Date:</w:t>
      </w:r>
      <w:r>
        <w:rPr>
          <w:rFonts w:ascii="Times New Roman"/>
          <w:sz w:val="20"/>
          <w:u w:val="single"/>
        </w:rPr>
        <w:tab/>
      </w:r>
    </w:p>
    <w:p w14:paraId="11FAE326" w14:textId="77777777" w:rsidR="00DB6E1F" w:rsidRDefault="00F666A6">
      <w:pPr>
        <w:spacing w:before="118"/>
        <w:ind w:left="1440" w:right="1491"/>
        <w:rPr>
          <w:sz w:val="20"/>
        </w:rPr>
      </w:pPr>
      <w:r>
        <w:rPr>
          <w:b/>
          <w:sz w:val="20"/>
        </w:rPr>
        <w:t xml:space="preserve">Instructions: </w:t>
      </w:r>
      <w:r>
        <w:rPr>
          <w:sz w:val="20"/>
        </w:rPr>
        <w:t>Listed below are eight types of situations in which some people experience an alcohol or drug problem.</w:t>
      </w:r>
      <w:r>
        <w:rPr>
          <w:spacing w:val="-1"/>
          <w:sz w:val="20"/>
        </w:rPr>
        <w:t xml:space="preserve"> </w:t>
      </w:r>
      <w:r>
        <w:rPr>
          <w:sz w:val="20"/>
        </w:rPr>
        <w:t>Imagine</w:t>
      </w:r>
      <w:r>
        <w:rPr>
          <w:spacing w:val="-2"/>
          <w:sz w:val="20"/>
        </w:rPr>
        <w:t xml:space="preserve"> </w:t>
      </w:r>
      <w:r>
        <w:rPr>
          <w:sz w:val="20"/>
        </w:rPr>
        <w:t>yourself</w:t>
      </w:r>
      <w:r>
        <w:rPr>
          <w:spacing w:val="-2"/>
          <w:sz w:val="20"/>
        </w:rPr>
        <w:t xml:space="preserve"> </w:t>
      </w:r>
      <w:r>
        <w:rPr>
          <w:sz w:val="20"/>
        </w:rPr>
        <w:t>as you are</w:t>
      </w:r>
      <w:r>
        <w:rPr>
          <w:spacing w:val="-2"/>
          <w:sz w:val="20"/>
        </w:rPr>
        <w:t xml:space="preserve"> </w:t>
      </w:r>
      <w:r>
        <w:rPr>
          <w:sz w:val="20"/>
        </w:rPr>
        <w:t>right</w:t>
      </w:r>
      <w:r>
        <w:rPr>
          <w:spacing w:val="-1"/>
          <w:sz w:val="20"/>
        </w:rPr>
        <w:t xml:space="preserve"> </w:t>
      </w:r>
      <w:r>
        <w:rPr>
          <w:sz w:val="20"/>
        </w:rPr>
        <w:t>now</w:t>
      </w:r>
      <w:r>
        <w:rPr>
          <w:spacing w:val="-2"/>
          <w:sz w:val="20"/>
        </w:rPr>
        <w:t xml:space="preserve"> </w:t>
      </w:r>
      <w:r>
        <w:rPr>
          <w:sz w:val="20"/>
        </w:rPr>
        <w:t>in each of</w:t>
      </w:r>
      <w:r>
        <w:rPr>
          <w:spacing w:val="-2"/>
          <w:sz w:val="20"/>
        </w:rPr>
        <w:t xml:space="preserve"> </w:t>
      </w:r>
      <w:r>
        <w:rPr>
          <w:sz w:val="20"/>
        </w:rPr>
        <w:t>the</w:t>
      </w:r>
      <w:r>
        <w:rPr>
          <w:spacing w:val="-2"/>
          <w:sz w:val="20"/>
        </w:rPr>
        <w:t xml:space="preserve"> </w:t>
      </w:r>
      <w:r>
        <w:rPr>
          <w:sz w:val="20"/>
        </w:rPr>
        <w:t>following</w:t>
      </w:r>
      <w:r>
        <w:rPr>
          <w:spacing w:val="-1"/>
          <w:sz w:val="20"/>
        </w:rPr>
        <w:t xml:space="preserve"> </w:t>
      </w:r>
      <w:r>
        <w:rPr>
          <w:sz w:val="20"/>
        </w:rPr>
        <w:t>types</w:t>
      </w:r>
      <w:r>
        <w:rPr>
          <w:spacing w:val="-2"/>
          <w:sz w:val="20"/>
        </w:rPr>
        <w:t xml:space="preserve"> </w:t>
      </w:r>
      <w:r>
        <w:rPr>
          <w:sz w:val="20"/>
        </w:rPr>
        <w:t>of</w:t>
      </w:r>
      <w:r>
        <w:rPr>
          <w:spacing w:val="-2"/>
          <w:sz w:val="20"/>
        </w:rPr>
        <w:t xml:space="preserve"> </w:t>
      </w:r>
      <w:r>
        <w:rPr>
          <w:sz w:val="20"/>
        </w:rPr>
        <w:t>situations.</w:t>
      </w:r>
      <w:r>
        <w:rPr>
          <w:spacing w:val="-1"/>
          <w:sz w:val="20"/>
        </w:rPr>
        <w:t xml:space="preserve"> </w:t>
      </w:r>
      <w:r>
        <w:rPr>
          <w:sz w:val="20"/>
        </w:rPr>
        <w:t>Indicate</w:t>
      </w:r>
      <w:r>
        <w:rPr>
          <w:spacing w:val="-2"/>
          <w:sz w:val="20"/>
        </w:rPr>
        <w:t xml:space="preserve"> </w:t>
      </w:r>
      <w:r>
        <w:rPr>
          <w:sz w:val="20"/>
        </w:rPr>
        <w:t>on the</w:t>
      </w:r>
      <w:r>
        <w:rPr>
          <w:spacing w:val="-2"/>
          <w:sz w:val="20"/>
        </w:rPr>
        <w:t xml:space="preserve"> </w:t>
      </w:r>
      <w:r>
        <w:rPr>
          <w:sz w:val="20"/>
        </w:rPr>
        <w:t>scale provided</w:t>
      </w:r>
      <w:r>
        <w:rPr>
          <w:spacing w:val="-1"/>
          <w:sz w:val="20"/>
        </w:rPr>
        <w:t xml:space="preserve"> </w:t>
      </w:r>
      <w:r>
        <w:rPr>
          <w:sz w:val="20"/>
        </w:rPr>
        <w:t>how</w:t>
      </w:r>
      <w:r>
        <w:rPr>
          <w:spacing w:val="-3"/>
          <w:sz w:val="20"/>
        </w:rPr>
        <w:t xml:space="preserve"> </w:t>
      </w:r>
      <w:r>
        <w:rPr>
          <w:sz w:val="20"/>
        </w:rPr>
        <w:t>confident</w:t>
      </w:r>
      <w:r>
        <w:rPr>
          <w:spacing w:val="-2"/>
          <w:sz w:val="20"/>
        </w:rPr>
        <w:t xml:space="preserve"> </w:t>
      </w:r>
      <w:r>
        <w:rPr>
          <w:sz w:val="20"/>
        </w:rPr>
        <w:t>you</w:t>
      </w:r>
      <w:r>
        <w:rPr>
          <w:spacing w:val="-1"/>
          <w:sz w:val="20"/>
        </w:rPr>
        <w:t xml:space="preserve"> </w:t>
      </w:r>
      <w:r>
        <w:rPr>
          <w:sz w:val="20"/>
        </w:rPr>
        <w:t>are</w:t>
      </w:r>
      <w:r>
        <w:rPr>
          <w:spacing w:val="-3"/>
          <w:sz w:val="20"/>
        </w:rPr>
        <w:t xml:space="preserve"> </w:t>
      </w:r>
      <w:r>
        <w:rPr>
          <w:sz w:val="20"/>
        </w:rPr>
        <w:t>right</w:t>
      </w:r>
      <w:r>
        <w:rPr>
          <w:spacing w:val="-2"/>
          <w:sz w:val="20"/>
        </w:rPr>
        <w:t xml:space="preserve"> </w:t>
      </w:r>
      <w:r>
        <w:rPr>
          <w:sz w:val="20"/>
        </w:rPr>
        <w:t>now</w:t>
      </w:r>
      <w:r>
        <w:rPr>
          <w:spacing w:val="-3"/>
          <w:sz w:val="20"/>
        </w:rPr>
        <w:t xml:space="preserve"> </w:t>
      </w:r>
      <w:r>
        <w:rPr>
          <w:sz w:val="20"/>
        </w:rPr>
        <w:t>that</w:t>
      </w:r>
      <w:r>
        <w:rPr>
          <w:spacing w:val="-2"/>
          <w:sz w:val="20"/>
        </w:rPr>
        <w:t xml:space="preserve"> </w:t>
      </w:r>
      <w:r>
        <w:rPr>
          <w:sz w:val="20"/>
        </w:rPr>
        <w:t>you</w:t>
      </w:r>
      <w:r>
        <w:rPr>
          <w:spacing w:val="-1"/>
          <w:sz w:val="20"/>
        </w:rPr>
        <w:t xml:space="preserve"> </w:t>
      </w:r>
      <w:r>
        <w:rPr>
          <w:sz w:val="20"/>
        </w:rPr>
        <w:t>will</w:t>
      </w:r>
      <w:r>
        <w:rPr>
          <w:spacing w:val="-2"/>
          <w:sz w:val="20"/>
        </w:rPr>
        <w:t xml:space="preserve"> </w:t>
      </w:r>
      <w:r>
        <w:rPr>
          <w:sz w:val="20"/>
        </w:rPr>
        <w:t>be</w:t>
      </w:r>
      <w:r>
        <w:rPr>
          <w:spacing w:val="-3"/>
          <w:sz w:val="20"/>
        </w:rPr>
        <w:t xml:space="preserve"> </w:t>
      </w:r>
      <w:r>
        <w:rPr>
          <w:sz w:val="20"/>
        </w:rPr>
        <w:t>able</w:t>
      </w:r>
      <w:r>
        <w:rPr>
          <w:spacing w:val="-3"/>
          <w:sz w:val="20"/>
        </w:rPr>
        <w:t xml:space="preserve"> </w:t>
      </w:r>
      <w:r>
        <w:rPr>
          <w:sz w:val="20"/>
        </w:rPr>
        <w:t>to</w:t>
      </w:r>
      <w:r>
        <w:rPr>
          <w:spacing w:val="-2"/>
          <w:sz w:val="20"/>
        </w:rPr>
        <w:t xml:space="preserve"> </w:t>
      </w:r>
      <w:r>
        <w:rPr>
          <w:sz w:val="20"/>
        </w:rPr>
        <w:t>resist</w:t>
      </w:r>
      <w:r>
        <w:rPr>
          <w:spacing w:val="-2"/>
          <w:sz w:val="20"/>
        </w:rPr>
        <w:t xml:space="preserve"> </w:t>
      </w:r>
      <w:r>
        <w:rPr>
          <w:sz w:val="20"/>
        </w:rPr>
        <w:t>drinking</w:t>
      </w:r>
      <w:r>
        <w:rPr>
          <w:spacing w:val="-2"/>
          <w:sz w:val="20"/>
        </w:rPr>
        <w:t xml:space="preserve"> </w:t>
      </w:r>
      <w:r>
        <w:rPr>
          <w:sz w:val="20"/>
        </w:rPr>
        <w:t>heavily</w:t>
      </w:r>
      <w:r>
        <w:rPr>
          <w:spacing w:val="-1"/>
          <w:sz w:val="20"/>
        </w:rPr>
        <w:t xml:space="preserve"> </w:t>
      </w:r>
      <w:r>
        <w:rPr>
          <w:sz w:val="20"/>
        </w:rPr>
        <w:t>or</w:t>
      </w:r>
      <w:r>
        <w:rPr>
          <w:spacing w:val="-2"/>
          <w:sz w:val="20"/>
        </w:rPr>
        <w:t xml:space="preserve"> </w:t>
      </w:r>
      <w:r>
        <w:rPr>
          <w:sz w:val="20"/>
        </w:rPr>
        <w:t>resist</w:t>
      </w:r>
      <w:r>
        <w:rPr>
          <w:spacing w:val="-2"/>
          <w:sz w:val="20"/>
        </w:rPr>
        <w:t xml:space="preserve"> </w:t>
      </w:r>
      <w:r>
        <w:rPr>
          <w:sz w:val="20"/>
        </w:rPr>
        <w:t>the</w:t>
      </w:r>
      <w:r>
        <w:rPr>
          <w:spacing w:val="-3"/>
          <w:sz w:val="20"/>
        </w:rPr>
        <w:t xml:space="preserve"> </w:t>
      </w:r>
      <w:r>
        <w:rPr>
          <w:sz w:val="20"/>
        </w:rPr>
        <w:t>urge</w:t>
      </w:r>
      <w:r>
        <w:rPr>
          <w:spacing w:val="-3"/>
          <w:sz w:val="20"/>
        </w:rPr>
        <w:t xml:space="preserve"> </w:t>
      </w:r>
      <w:r>
        <w:rPr>
          <w:sz w:val="20"/>
        </w:rPr>
        <w:t>to</w:t>
      </w:r>
      <w:r>
        <w:rPr>
          <w:spacing w:val="-2"/>
          <w:sz w:val="20"/>
        </w:rPr>
        <w:t xml:space="preserve"> </w:t>
      </w:r>
      <w:r>
        <w:rPr>
          <w:sz w:val="20"/>
        </w:rPr>
        <w:t>use your primary drug in each situation by placing an “X” along the line, from 0% “Not at all confident” to 10</w:t>
      </w:r>
      <w:r>
        <w:rPr>
          <w:sz w:val="20"/>
        </w:rPr>
        <w:t>0% “Totally confident.”</w:t>
      </w:r>
    </w:p>
    <w:p w14:paraId="60E8DDA1" w14:textId="77777777" w:rsidR="00DB6E1F" w:rsidRDefault="00F666A6">
      <w:pPr>
        <w:spacing w:before="121"/>
        <w:ind w:left="1440"/>
        <w:rPr>
          <w:sz w:val="20"/>
        </w:rPr>
      </w:pPr>
      <w:r>
        <w:rPr>
          <w:sz w:val="20"/>
        </w:rPr>
        <w:t>Right</w:t>
      </w:r>
      <w:r>
        <w:rPr>
          <w:spacing w:val="-5"/>
          <w:sz w:val="20"/>
        </w:rPr>
        <w:t xml:space="preserve"> </w:t>
      </w:r>
      <w:r>
        <w:rPr>
          <w:sz w:val="20"/>
        </w:rPr>
        <w:t>now</w:t>
      </w:r>
      <w:r>
        <w:rPr>
          <w:spacing w:val="-6"/>
          <w:sz w:val="20"/>
        </w:rPr>
        <w:t xml:space="preserve"> </w:t>
      </w:r>
      <w:r>
        <w:rPr>
          <w:sz w:val="20"/>
        </w:rPr>
        <w:t>I</w:t>
      </w:r>
      <w:r>
        <w:rPr>
          <w:spacing w:val="-4"/>
          <w:sz w:val="20"/>
        </w:rPr>
        <w:t xml:space="preserve"> </w:t>
      </w:r>
      <w:r>
        <w:rPr>
          <w:sz w:val="20"/>
        </w:rPr>
        <w:t>would</w:t>
      </w:r>
      <w:r>
        <w:rPr>
          <w:spacing w:val="-4"/>
          <w:sz w:val="20"/>
        </w:rPr>
        <w:t xml:space="preserve"> </w:t>
      </w:r>
      <w:r>
        <w:rPr>
          <w:sz w:val="20"/>
        </w:rPr>
        <w:t>be</w:t>
      </w:r>
      <w:r>
        <w:rPr>
          <w:spacing w:val="-6"/>
          <w:sz w:val="20"/>
        </w:rPr>
        <w:t xml:space="preserve"> </w:t>
      </w:r>
      <w:r>
        <w:rPr>
          <w:sz w:val="20"/>
        </w:rPr>
        <w:t>able</w:t>
      </w:r>
      <w:r>
        <w:rPr>
          <w:spacing w:val="-5"/>
          <w:sz w:val="20"/>
        </w:rPr>
        <w:t xml:space="preserve"> </w:t>
      </w:r>
      <w:r>
        <w:rPr>
          <w:sz w:val="20"/>
        </w:rPr>
        <w:t>to</w:t>
      </w:r>
      <w:r>
        <w:rPr>
          <w:spacing w:val="-5"/>
          <w:sz w:val="20"/>
        </w:rPr>
        <w:t xml:space="preserve"> </w:t>
      </w:r>
      <w:r>
        <w:rPr>
          <w:sz w:val="20"/>
        </w:rPr>
        <w:t>resist</w:t>
      </w:r>
      <w:r>
        <w:rPr>
          <w:spacing w:val="-4"/>
          <w:sz w:val="20"/>
        </w:rPr>
        <w:t xml:space="preserve"> </w:t>
      </w:r>
      <w:r>
        <w:rPr>
          <w:sz w:val="20"/>
        </w:rPr>
        <w:t>the</w:t>
      </w:r>
      <w:r>
        <w:rPr>
          <w:spacing w:val="-6"/>
          <w:sz w:val="20"/>
        </w:rPr>
        <w:t xml:space="preserve"> </w:t>
      </w:r>
      <w:r>
        <w:rPr>
          <w:sz w:val="20"/>
        </w:rPr>
        <w:t>urge</w:t>
      </w:r>
      <w:r>
        <w:rPr>
          <w:spacing w:val="-5"/>
          <w:sz w:val="20"/>
        </w:rPr>
        <w:t xml:space="preserve"> </w:t>
      </w:r>
      <w:r>
        <w:rPr>
          <w:sz w:val="20"/>
        </w:rPr>
        <w:t>to</w:t>
      </w:r>
      <w:r>
        <w:rPr>
          <w:spacing w:val="-5"/>
          <w:sz w:val="20"/>
        </w:rPr>
        <w:t xml:space="preserve"> </w:t>
      </w:r>
      <w:r>
        <w:rPr>
          <w:sz w:val="20"/>
        </w:rPr>
        <w:t>drink</w:t>
      </w:r>
      <w:r>
        <w:rPr>
          <w:spacing w:val="-4"/>
          <w:sz w:val="20"/>
        </w:rPr>
        <w:t xml:space="preserve"> </w:t>
      </w:r>
      <w:r>
        <w:rPr>
          <w:sz w:val="20"/>
        </w:rPr>
        <w:t>heavily</w:t>
      </w:r>
      <w:r>
        <w:rPr>
          <w:spacing w:val="-2"/>
          <w:sz w:val="20"/>
        </w:rPr>
        <w:t xml:space="preserve"> </w:t>
      </w:r>
      <w:r>
        <w:rPr>
          <w:sz w:val="20"/>
        </w:rPr>
        <w:t>or</w:t>
      </w:r>
      <w:r>
        <w:rPr>
          <w:spacing w:val="-4"/>
          <w:sz w:val="20"/>
        </w:rPr>
        <w:t xml:space="preserve"> </w:t>
      </w:r>
      <w:r>
        <w:rPr>
          <w:sz w:val="20"/>
        </w:rPr>
        <w:t>use</w:t>
      </w:r>
      <w:r>
        <w:rPr>
          <w:spacing w:val="-6"/>
          <w:sz w:val="20"/>
        </w:rPr>
        <w:t xml:space="preserve"> </w:t>
      </w:r>
      <w:r>
        <w:rPr>
          <w:sz w:val="20"/>
        </w:rPr>
        <w:t>my</w:t>
      </w:r>
      <w:r>
        <w:rPr>
          <w:spacing w:val="-3"/>
          <w:sz w:val="20"/>
        </w:rPr>
        <w:t xml:space="preserve"> </w:t>
      </w:r>
      <w:r>
        <w:rPr>
          <w:sz w:val="20"/>
        </w:rPr>
        <w:t>primary</w:t>
      </w:r>
      <w:r>
        <w:rPr>
          <w:spacing w:val="-4"/>
          <w:sz w:val="20"/>
        </w:rPr>
        <w:t xml:space="preserve"> </w:t>
      </w:r>
      <w:r>
        <w:rPr>
          <w:sz w:val="20"/>
        </w:rPr>
        <w:t>drug</w:t>
      </w:r>
      <w:r>
        <w:rPr>
          <w:spacing w:val="-5"/>
          <w:sz w:val="20"/>
        </w:rPr>
        <w:t xml:space="preserve"> </w:t>
      </w:r>
      <w:r>
        <w:rPr>
          <w:sz w:val="20"/>
        </w:rPr>
        <w:t>in</w:t>
      </w:r>
      <w:r>
        <w:rPr>
          <w:spacing w:val="-4"/>
          <w:sz w:val="20"/>
        </w:rPr>
        <w:t xml:space="preserve"> </w:t>
      </w:r>
      <w:r>
        <w:rPr>
          <w:sz w:val="20"/>
        </w:rPr>
        <w:t>situations</w:t>
      </w:r>
      <w:r>
        <w:rPr>
          <w:spacing w:val="-5"/>
          <w:sz w:val="20"/>
        </w:rPr>
        <w:t xml:space="preserve"> </w:t>
      </w:r>
      <w:r>
        <w:rPr>
          <w:spacing w:val="-2"/>
          <w:sz w:val="20"/>
        </w:rPr>
        <w:t>involving…</w:t>
      </w:r>
    </w:p>
    <w:p w14:paraId="608B4580" w14:textId="77777777" w:rsidR="00DB6E1F" w:rsidRDefault="00F666A6">
      <w:pPr>
        <w:spacing w:before="119"/>
        <w:ind w:left="1440" w:right="1491"/>
        <w:rPr>
          <w:sz w:val="20"/>
        </w:rPr>
      </w:pPr>
      <w:r>
        <w:pict w14:anchorId="4065397A">
          <v:rect id="docshape243" o:spid="_x0000_s2060" style="position:absolute;left:0;text-align:left;margin-left:148.55pt;margin-top:42pt;width:283.45pt;height:.6pt;z-index:-21745152;mso-position-horizontal-relative:page" fillcolor="black" stroked="f">
            <w10:wrap anchorx="page"/>
          </v:rect>
        </w:pict>
      </w:r>
      <w:r>
        <w:rPr>
          <w:sz w:val="20"/>
        </w:rPr>
        <w:t>1.</w:t>
      </w:r>
      <w:r>
        <w:rPr>
          <w:spacing w:val="-2"/>
          <w:sz w:val="20"/>
        </w:rPr>
        <w:t xml:space="preserve"> </w:t>
      </w:r>
      <w:r>
        <w:rPr>
          <w:sz w:val="20"/>
        </w:rPr>
        <w:t>UNPLEASANT</w:t>
      </w:r>
      <w:r>
        <w:rPr>
          <w:spacing w:val="-3"/>
          <w:sz w:val="20"/>
        </w:rPr>
        <w:t xml:space="preserve"> </w:t>
      </w:r>
      <w:r>
        <w:rPr>
          <w:sz w:val="20"/>
        </w:rPr>
        <w:t>EMOTIONS</w:t>
      </w:r>
      <w:r>
        <w:rPr>
          <w:spacing w:val="-2"/>
          <w:sz w:val="20"/>
        </w:rPr>
        <w:t xml:space="preserve"> </w:t>
      </w:r>
      <w:r>
        <w:rPr>
          <w:sz w:val="20"/>
        </w:rPr>
        <w:t>(e.g.,</w:t>
      </w:r>
      <w:r>
        <w:rPr>
          <w:spacing w:val="-2"/>
          <w:sz w:val="20"/>
        </w:rPr>
        <w:t xml:space="preserve"> </w:t>
      </w:r>
      <w:r>
        <w:rPr>
          <w:sz w:val="20"/>
        </w:rPr>
        <w:t>if</w:t>
      </w:r>
      <w:r>
        <w:rPr>
          <w:spacing w:val="-3"/>
          <w:sz w:val="20"/>
        </w:rPr>
        <w:t xml:space="preserve"> </w:t>
      </w:r>
      <w:r>
        <w:rPr>
          <w:sz w:val="20"/>
        </w:rPr>
        <w:t>I</w:t>
      </w:r>
      <w:r>
        <w:rPr>
          <w:spacing w:val="-2"/>
          <w:sz w:val="20"/>
        </w:rPr>
        <w:t xml:space="preserve"> </w:t>
      </w:r>
      <w:r>
        <w:rPr>
          <w:sz w:val="20"/>
        </w:rPr>
        <w:t>were</w:t>
      </w:r>
      <w:r>
        <w:rPr>
          <w:spacing w:val="-3"/>
          <w:sz w:val="20"/>
        </w:rPr>
        <w:t xml:space="preserve"> </w:t>
      </w:r>
      <w:r>
        <w:rPr>
          <w:sz w:val="20"/>
        </w:rPr>
        <w:t>depressed</w:t>
      </w:r>
      <w:r>
        <w:rPr>
          <w:spacing w:val="-1"/>
          <w:sz w:val="20"/>
        </w:rPr>
        <w:t xml:space="preserve"> </w:t>
      </w:r>
      <w:r>
        <w:rPr>
          <w:sz w:val="20"/>
        </w:rPr>
        <w:t>about</w:t>
      </w:r>
      <w:r>
        <w:rPr>
          <w:spacing w:val="-2"/>
          <w:sz w:val="20"/>
        </w:rPr>
        <w:t xml:space="preserve"> </w:t>
      </w:r>
      <w:r>
        <w:rPr>
          <w:sz w:val="20"/>
        </w:rPr>
        <w:t>things</w:t>
      </w:r>
      <w:r>
        <w:rPr>
          <w:spacing w:val="-3"/>
          <w:sz w:val="20"/>
        </w:rPr>
        <w:t xml:space="preserve"> </w:t>
      </w:r>
      <w:r>
        <w:rPr>
          <w:sz w:val="20"/>
        </w:rPr>
        <w:t>in</w:t>
      </w:r>
      <w:r>
        <w:rPr>
          <w:spacing w:val="-1"/>
          <w:sz w:val="20"/>
        </w:rPr>
        <w:t xml:space="preserve"> </w:t>
      </w:r>
      <w:r>
        <w:rPr>
          <w:sz w:val="20"/>
        </w:rPr>
        <w:t>general;</w:t>
      </w:r>
      <w:r>
        <w:rPr>
          <w:spacing w:val="-3"/>
          <w:sz w:val="20"/>
        </w:rPr>
        <w:t xml:space="preserve"> </w:t>
      </w:r>
      <w:r>
        <w:rPr>
          <w:sz w:val="20"/>
        </w:rPr>
        <w:t>if</w:t>
      </w:r>
      <w:r>
        <w:rPr>
          <w:spacing w:val="-3"/>
          <w:sz w:val="20"/>
        </w:rPr>
        <w:t xml:space="preserve"> </w:t>
      </w:r>
      <w:r>
        <w:rPr>
          <w:sz w:val="20"/>
        </w:rPr>
        <w:t>everything</w:t>
      </w:r>
      <w:r>
        <w:rPr>
          <w:spacing w:val="-2"/>
          <w:sz w:val="20"/>
        </w:rPr>
        <w:t xml:space="preserve"> </w:t>
      </w:r>
      <w:r>
        <w:rPr>
          <w:sz w:val="20"/>
        </w:rPr>
        <w:t>were</w:t>
      </w:r>
      <w:r>
        <w:rPr>
          <w:spacing w:val="-3"/>
          <w:sz w:val="20"/>
        </w:rPr>
        <w:t xml:space="preserve"> </w:t>
      </w:r>
      <w:r>
        <w:rPr>
          <w:sz w:val="20"/>
        </w:rPr>
        <w:t>going</w:t>
      </w:r>
      <w:r>
        <w:rPr>
          <w:spacing w:val="-2"/>
          <w:sz w:val="20"/>
        </w:rPr>
        <w:t xml:space="preserve"> </w:t>
      </w:r>
      <w:r>
        <w:rPr>
          <w:sz w:val="20"/>
        </w:rPr>
        <w:t>badly</w:t>
      </w:r>
      <w:r>
        <w:rPr>
          <w:spacing w:val="-1"/>
          <w:sz w:val="20"/>
        </w:rPr>
        <w:t xml:space="preserve"> </w:t>
      </w:r>
      <w:r>
        <w:rPr>
          <w:sz w:val="20"/>
        </w:rPr>
        <w:t xml:space="preserve">for </w:t>
      </w:r>
      <w:r>
        <w:rPr>
          <w:spacing w:val="-4"/>
          <w:sz w:val="20"/>
        </w:rPr>
        <w:t>me).</w:t>
      </w:r>
    </w:p>
    <w:p w14:paraId="59F61B70" w14:textId="77777777" w:rsidR="00DB6E1F" w:rsidRDefault="00DB6E1F">
      <w:pPr>
        <w:pStyle w:val="BodyText"/>
        <w:spacing w:before="3"/>
        <w:rPr>
          <w:sz w:val="13"/>
        </w:rPr>
      </w:pPr>
    </w:p>
    <w:tbl>
      <w:tblPr>
        <w:tblW w:w="0" w:type="auto"/>
        <w:tblInd w:w="1397" w:type="dxa"/>
        <w:tblLayout w:type="fixed"/>
        <w:tblCellMar>
          <w:left w:w="0" w:type="dxa"/>
          <w:right w:w="0" w:type="dxa"/>
        </w:tblCellMar>
        <w:tblLook w:val="01E0" w:firstRow="1" w:lastRow="1" w:firstColumn="1" w:lastColumn="1" w:noHBand="0" w:noVBand="0"/>
      </w:tblPr>
      <w:tblGrid>
        <w:gridCol w:w="1039"/>
        <w:gridCol w:w="4114"/>
        <w:gridCol w:w="3516"/>
      </w:tblGrid>
      <w:tr w:rsidR="00DB6E1F" w14:paraId="4E688E0E" w14:textId="77777777">
        <w:trPr>
          <w:trHeight w:val="231"/>
        </w:trPr>
        <w:tc>
          <w:tcPr>
            <w:tcW w:w="1039" w:type="dxa"/>
          </w:tcPr>
          <w:p w14:paraId="51876CA8" w14:textId="77777777" w:rsidR="00DB6E1F" w:rsidRDefault="00F666A6">
            <w:pPr>
              <w:pStyle w:val="TableParagraph"/>
              <w:spacing w:before="0" w:line="203" w:lineRule="exact"/>
              <w:ind w:left="50"/>
              <w:rPr>
                <w:sz w:val="20"/>
              </w:rPr>
            </w:pPr>
            <w:r>
              <w:rPr>
                <w:sz w:val="20"/>
              </w:rPr>
              <w:t>I</w:t>
            </w:r>
            <w:r>
              <w:rPr>
                <w:spacing w:val="-1"/>
                <w:sz w:val="20"/>
              </w:rPr>
              <w:t xml:space="preserve"> </w:t>
            </w:r>
            <w:r>
              <w:rPr>
                <w:spacing w:val="-2"/>
                <w:sz w:val="20"/>
              </w:rPr>
              <w:t>feel…</w:t>
            </w:r>
          </w:p>
        </w:tc>
        <w:tc>
          <w:tcPr>
            <w:tcW w:w="4114" w:type="dxa"/>
          </w:tcPr>
          <w:p w14:paraId="5360421F" w14:textId="77777777" w:rsidR="00DB6E1F" w:rsidRDefault="00F666A6">
            <w:pPr>
              <w:pStyle w:val="TableParagraph"/>
              <w:spacing w:before="0" w:line="203" w:lineRule="exact"/>
              <w:ind w:left="451"/>
              <w:rPr>
                <w:sz w:val="20"/>
              </w:rPr>
            </w:pPr>
            <w:r>
              <w:rPr>
                <w:w w:val="99"/>
                <w:sz w:val="20"/>
              </w:rPr>
              <w:t>|</w:t>
            </w:r>
          </w:p>
        </w:tc>
        <w:tc>
          <w:tcPr>
            <w:tcW w:w="3516" w:type="dxa"/>
          </w:tcPr>
          <w:p w14:paraId="2ED577FA" w14:textId="77777777" w:rsidR="00DB6E1F" w:rsidRDefault="00F666A6">
            <w:pPr>
              <w:pStyle w:val="TableParagraph"/>
              <w:spacing w:before="0" w:line="203" w:lineRule="exact"/>
              <w:ind w:left="0" w:right="1325"/>
              <w:jc w:val="right"/>
              <w:rPr>
                <w:sz w:val="20"/>
              </w:rPr>
            </w:pPr>
            <w:r>
              <w:rPr>
                <w:w w:val="99"/>
                <w:sz w:val="20"/>
              </w:rPr>
              <w:t>|</w:t>
            </w:r>
          </w:p>
        </w:tc>
      </w:tr>
      <w:tr w:rsidR="00DB6E1F" w14:paraId="62E9E090" w14:textId="77777777">
        <w:trPr>
          <w:trHeight w:val="495"/>
        </w:trPr>
        <w:tc>
          <w:tcPr>
            <w:tcW w:w="1039" w:type="dxa"/>
          </w:tcPr>
          <w:p w14:paraId="1C1E9FEE" w14:textId="77777777" w:rsidR="00DB6E1F" w:rsidRDefault="00DB6E1F">
            <w:pPr>
              <w:pStyle w:val="TableParagraph"/>
              <w:spacing w:before="0"/>
              <w:ind w:left="0"/>
              <w:rPr>
                <w:rFonts w:ascii="Times New Roman"/>
                <w:sz w:val="20"/>
              </w:rPr>
            </w:pPr>
          </w:p>
        </w:tc>
        <w:tc>
          <w:tcPr>
            <w:tcW w:w="4114" w:type="dxa"/>
          </w:tcPr>
          <w:p w14:paraId="5DEA3611" w14:textId="77777777" w:rsidR="00DB6E1F" w:rsidRDefault="00F666A6">
            <w:pPr>
              <w:pStyle w:val="TableParagraph"/>
              <w:spacing w:before="0" w:line="236" w:lineRule="exact"/>
              <w:ind w:left="451"/>
              <w:rPr>
                <w:sz w:val="20"/>
              </w:rPr>
            </w:pPr>
            <w:r>
              <w:rPr>
                <w:spacing w:val="-5"/>
                <w:sz w:val="20"/>
              </w:rPr>
              <w:t>0%</w:t>
            </w:r>
          </w:p>
          <w:p w14:paraId="7D290463" w14:textId="77777777" w:rsidR="00DB6E1F" w:rsidRDefault="00F666A6">
            <w:pPr>
              <w:pStyle w:val="TableParagraph"/>
              <w:spacing w:before="19" w:line="220" w:lineRule="exact"/>
              <w:ind w:left="451"/>
              <w:rPr>
                <w:sz w:val="20"/>
              </w:rPr>
            </w:pPr>
            <w:r>
              <w:rPr>
                <w:sz w:val="20"/>
              </w:rPr>
              <w:t>Not</w:t>
            </w:r>
            <w:r>
              <w:rPr>
                <w:spacing w:val="-3"/>
                <w:sz w:val="20"/>
              </w:rPr>
              <w:t xml:space="preserve"> </w:t>
            </w:r>
            <w:r>
              <w:rPr>
                <w:sz w:val="20"/>
              </w:rPr>
              <w:t>at</w:t>
            </w:r>
            <w:r>
              <w:rPr>
                <w:spacing w:val="-2"/>
                <w:sz w:val="20"/>
              </w:rPr>
              <w:t xml:space="preserve"> </w:t>
            </w:r>
            <w:r>
              <w:rPr>
                <w:sz w:val="20"/>
              </w:rPr>
              <w:t>all</w:t>
            </w:r>
            <w:r>
              <w:rPr>
                <w:spacing w:val="-2"/>
                <w:sz w:val="20"/>
              </w:rPr>
              <w:t xml:space="preserve"> confident</w:t>
            </w:r>
          </w:p>
        </w:tc>
        <w:tc>
          <w:tcPr>
            <w:tcW w:w="3516" w:type="dxa"/>
          </w:tcPr>
          <w:p w14:paraId="299A3E7B" w14:textId="77777777" w:rsidR="00DB6E1F" w:rsidRDefault="00F666A6">
            <w:pPr>
              <w:pStyle w:val="TableParagraph"/>
              <w:spacing w:before="0" w:line="236" w:lineRule="exact"/>
              <w:ind w:left="2097"/>
              <w:rPr>
                <w:sz w:val="20"/>
              </w:rPr>
            </w:pPr>
            <w:r>
              <w:rPr>
                <w:spacing w:val="-4"/>
                <w:sz w:val="20"/>
              </w:rPr>
              <w:t>100%</w:t>
            </w:r>
          </w:p>
          <w:p w14:paraId="1D5BB98C" w14:textId="77777777" w:rsidR="00DB6E1F" w:rsidRDefault="00F666A6">
            <w:pPr>
              <w:pStyle w:val="TableParagraph"/>
              <w:spacing w:before="19" w:line="220" w:lineRule="exact"/>
              <w:ind w:left="2097"/>
              <w:rPr>
                <w:sz w:val="20"/>
              </w:rPr>
            </w:pPr>
            <w:r>
              <w:rPr>
                <w:sz w:val="20"/>
              </w:rPr>
              <w:t>Totally</w:t>
            </w:r>
            <w:r>
              <w:rPr>
                <w:spacing w:val="-9"/>
                <w:sz w:val="20"/>
              </w:rPr>
              <w:t xml:space="preserve"> </w:t>
            </w:r>
            <w:r>
              <w:rPr>
                <w:spacing w:val="-2"/>
                <w:sz w:val="20"/>
              </w:rPr>
              <w:t>confident</w:t>
            </w:r>
          </w:p>
        </w:tc>
      </w:tr>
      <w:tr w:rsidR="00DB6E1F" w14:paraId="074B3B72" w14:textId="77777777">
        <w:trPr>
          <w:trHeight w:val="261"/>
        </w:trPr>
        <w:tc>
          <w:tcPr>
            <w:tcW w:w="8669" w:type="dxa"/>
            <w:gridSpan w:val="3"/>
          </w:tcPr>
          <w:p w14:paraId="4158D0B3" w14:textId="77777777" w:rsidR="00DB6E1F" w:rsidRDefault="00F666A6">
            <w:pPr>
              <w:pStyle w:val="TableParagraph"/>
              <w:spacing w:before="21" w:line="220" w:lineRule="exact"/>
              <w:ind w:left="50"/>
              <w:rPr>
                <w:sz w:val="20"/>
              </w:rPr>
            </w:pPr>
            <w:r>
              <w:rPr>
                <w:sz w:val="20"/>
              </w:rPr>
              <w:t>2.</w:t>
            </w:r>
            <w:r>
              <w:rPr>
                <w:spacing w:val="-6"/>
                <w:sz w:val="20"/>
              </w:rPr>
              <w:t xml:space="preserve"> </w:t>
            </w:r>
            <w:r>
              <w:rPr>
                <w:sz w:val="20"/>
              </w:rPr>
              <w:t>PHYSICAL</w:t>
            </w:r>
            <w:r>
              <w:rPr>
                <w:spacing w:val="-5"/>
                <w:sz w:val="20"/>
              </w:rPr>
              <w:t xml:space="preserve"> </w:t>
            </w:r>
            <w:r>
              <w:rPr>
                <w:sz w:val="20"/>
              </w:rPr>
              <w:t>DISCOMFORT</w:t>
            </w:r>
            <w:r>
              <w:rPr>
                <w:spacing w:val="-6"/>
                <w:sz w:val="20"/>
              </w:rPr>
              <w:t xml:space="preserve"> </w:t>
            </w:r>
            <w:r>
              <w:rPr>
                <w:sz w:val="20"/>
              </w:rPr>
              <w:t>(e.g.,</w:t>
            </w:r>
            <w:r>
              <w:rPr>
                <w:spacing w:val="-5"/>
                <w:sz w:val="20"/>
              </w:rPr>
              <w:t xml:space="preserve"> </w:t>
            </w:r>
            <w:r>
              <w:rPr>
                <w:sz w:val="20"/>
              </w:rPr>
              <w:t>if</w:t>
            </w:r>
            <w:r>
              <w:rPr>
                <w:spacing w:val="-6"/>
                <w:sz w:val="20"/>
              </w:rPr>
              <w:t xml:space="preserve"> </w:t>
            </w:r>
            <w:r>
              <w:rPr>
                <w:sz w:val="20"/>
              </w:rPr>
              <w:t>I</w:t>
            </w:r>
            <w:r>
              <w:rPr>
                <w:spacing w:val="-5"/>
                <w:sz w:val="20"/>
              </w:rPr>
              <w:t xml:space="preserve"> </w:t>
            </w:r>
            <w:r>
              <w:rPr>
                <w:sz w:val="20"/>
              </w:rPr>
              <w:t>were</w:t>
            </w:r>
            <w:r>
              <w:rPr>
                <w:spacing w:val="-6"/>
                <w:sz w:val="20"/>
              </w:rPr>
              <w:t xml:space="preserve"> </w:t>
            </w:r>
            <w:r>
              <w:rPr>
                <w:sz w:val="20"/>
              </w:rPr>
              <w:t>to</w:t>
            </w:r>
            <w:r>
              <w:rPr>
                <w:spacing w:val="-5"/>
                <w:sz w:val="20"/>
              </w:rPr>
              <w:t xml:space="preserve"> </w:t>
            </w:r>
            <w:r>
              <w:rPr>
                <w:sz w:val="20"/>
              </w:rPr>
              <w:t>have</w:t>
            </w:r>
            <w:r>
              <w:rPr>
                <w:spacing w:val="-6"/>
                <w:sz w:val="20"/>
              </w:rPr>
              <w:t xml:space="preserve"> </w:t>
            </w:r>
            <w:r>
              <w:rPr>
                <w:sz w:val="20"/>
              </w:rPr>
              <w:t>trouble</w:t>
            </w:r>
            <w:r>
              <w:rPr>
                <w:spacing w:val="-6"/>
                <w:sz w:val="20"/>
              </w:rPr>
              <w:t xml:space="preserve"> </w:t>
            </w:r>
            <w:r>
              <w:rPr>
                <w:sz w:val="20"/>
              </w:rPr>
              <w:t>sleeping;</w:t>
            </w:r>
            <w:r>
              <w:rPr>
                <w:spacing w:val="-6"/>
                <w:sz w:val="20"/>
              </w:rPr>
              <w:t xml:space="preserve"> </w:t>
            </w:r>
            <w:r>
              <w:rPr>
                <w:sz w:val="20"/>
              </w:rPr>
              <w:t>if</w:t>
            </w:r>
            <w:r>
              <w:rPr>
                <w:spacing w:val="-6"/>
                <w:sz w:val="20"/>
              </w:rPr>
              <w:t xml:space="preserve"> </w:t>
            </w:r>
            <w:r>
              <w:rPr>
                <w:sz w:val="20"/>
              </w:rPr>
              <w:t>I</w:t>
            </w:r>
            <w:r>
              <w:rPr>
                <w:spacing w:val="-5"/>
                <w:sz w:val="20"/>
              </w:rPr>
              <w:t xml:space="preserve"> </w:t>
            </w:r>
            <w:r>
              <w:rPr>
                <w:sz w:val="20"/>
              </w:rPr>
              <w:t>felt</w:t>
            </w:r>
            <w:r>
              <w:rPr>
                <w:spacing w:val="-5"/>
                <w:sz w:val="20"/>
              </w:rPr>
              <w:t xml:space="preserve"> </w:t>
            </w:r>
            <w:r>
              <w:rPr>
                <w:sz w:val="20"/>
              </w:rPr>
              <w:t>jumpy</w:t>
            </w:r>
            <w:r>
              <w:rPr>
                <w:spacing w:val="-4"/>
                <w:sz w:val="20"/>
              </w:rPr>
              <w:t xml:space="preserve"> </w:t>
            </w:r>
            <w:r>
              <w:rPr>
                <w:sz w:val="20"/>
              </w:rPr>
              <w:t>and</w:t>
            </w:r>
            <w:r>
              <w:rPr>
                <w:spacing w:val="-5"/>
                <w:sz w:val="20"/>
              </w:rPr>
              <w:t xml:space="preserve"> </w:t>
            </w:r>
            <w:r>
              <w:rPr>
                <w:sz w:val="20"/>
              </w:rPr>
              <w:t>physically</w:t>
            </w:r>
            <w:r>
              <w:rPr>
                <w:spacing w:val="-4"/>
                <w:sz w:val="20"/>
              </w:rPr>
              <w:t xml:space="preserve"> </w:t>
            </w:r>
            <w:r>
              <w:rPr>
                <w:spacing w:val="-2"/>
                <w:sz w:val="20"/>
              </w:rPr>
              <w:t>tense).</w:t>
            </w:r>
          </w:p>
        </w:tc>
      </w:tr>
      <w:tr w:rsidR="00DB6E1F" w14:paraId="371415AC" w14:textId="77777777">
        <w:trPr>
          <w:trHeight w:val="397"/>
        </w:trPr>
        <w:tc>
          <w:tcPr>
            <w:tcW w:w="1039" w:type="dxa"/>
          </w:tcPr>
          <w:p w14:paraId="6C3444C6" w14:textId="77777777" w:rsidR="00DB6E1F" w:rsidRDefault="00F666A6">
            <w:pPr>
              <w:pStyle w:val="TableParagraph"/>
              <w:spacing w:before="124"/>
              <w:ind w:left="50"/>
              <w:rPr>
                <w:sz w:val="20"/>
              </w:rPr>
            </w:pPr>
            <w:r>
              <w:rPr>
                <w:sz w:val="20"/>
              </w:rPr>
              <w:t>I</w:t>
            </w:r>
            <w:r>
              <w:rPr>
                <w:spacing w:val="-1"/>
                <w:sz w:val="20"/>
              </w:rPr>
              <w:t xml:space="preserve"> </w:t>
            </w:r>
            <w:r>
              <w:rPr>
                <w:spacing w:val="-2"/>
                <w:sz w:val="20"/>
              </w:rPr>
              <w:t>feel…</w:t>
            </w:r>
          </w:p>
        </w:tc>
        <w:tc>
          <w:tcPr>
            <w:tcW w:w="4114" w:type="dxa"/>
          </w:tcPr>
          <w:p w14:paraId="2C3F6142" w14:textId="77777777" w:rsidR="00DB6E1F" w:rsidRDefault="00F666A6">
            <w:pPr>
              <w:pStyle w:val="TableParagraph"/>
              <w:spacing w:before="124"/>
              <w:ind w:left="451"/>
              <w:rPr>
                <w:sz w:val="20"/>
              </w:rPr>
            </w:pPr>
            <w:r>
              <w:rPr>
                <w:w w:val="99"/>
                <w:sz w:val="20"/>
              </w:rPr>
              <w:t>|</w:t>
            </w:r>
          </w:p>
        </w:tc>
        <w:tc>
          <w:tcPr>
            <w:tcW w:w="3516" w:type="dxa"/>
          </w:tcPr>
          <w:p w14:paraId="1682E83C" w14:textId="77777777" w:rsidR="00DB6E1F" w:rsidRDefault="00F666A6">
            <w:pPr>
              <w:pStyle w:val="TableParagraph"/>
              <w:spacing w:before="124"/>
              <w:ind w:left="0" w:right="1325"/>
              <w:jc w:val="right"/>
              <w:rPr>
                <w:sz w:val="20"/>
              </w:rPr>
            </w:pPr>
            <w:r>
              <w:rPr>
                <w:w w:val="99"/>
                <w:sz w:val="20"/>
              </w:rPr>
              <w:t>|</w:t>
            </w:r>
          </w:p>
        </w:tc>
      </w:tr>
      <w:tr w:rsidR="00DB6E1F" w14:paraId="36AC2483" w14:textId="77777777">
        <w:trPr>
          <w:trHeight w:val="495"/>
        </w:trPr>
        <w:tc>
          <w:tcPr>
            <w:tcW w:w="1039" w:type="dxa"/>
          </w:tcPr>
          <w:p w14:paraId="18903317" w14:textId="77777777" w:rsidR="00DB6E1F" w:rsidRDefault="00DB6E1F">
            <w:pPr>
              <w:pStyle w:val="TableParagraph"/>
              <w:spacing w:before="0"/>
              <w:ind w:left="0"/>
              <w:rPr>
                <w:rFonts w:ascii="Times New Roman"/>
                <w:sz w:val="20"/>
              </w:rPr>
            </w:pPr>
          </w:p>
        </w:tc>
        <w:tc>
          <w:tcPr>
            <w:tcW w:w="4114" w:type="dxa"/>
          </w:tcPr>
          <w:p w14:paraId="6F04B765" w14:textId="77777777" w:rsidR="00DB6E1F" w:rsidRDefault="00F666A6">
            <w:pPr>
              <w:pStyle w:val="TableParagraph"/>
              <w:spacing w:before="0" w:line="236" w:lineRule="exact"/>
              <w:ind w:left="451"/>
              <w:rPr>
                <w:sz w:val="20"/>
              </w:rPr>
            </w:pPr>
            <w:r>
              <w:rPr>
                <w:spacing w:val="-5"/>
                <w:sz w:val="20"/>
              </w:rPr>
              <w:t>0%</w:t>
            </w:r>
          </w:p>
          <w:p w14:paraId="22FC86D1" w14:textId="77777777" w:rsidR="00DB6E1F" w:rsidRDefault="00F666A6">
            <w:pPr>
              <w:pStyle w:val="TableParagraph"/>
              <w:spacing w:before="19" w:line="220" w:lineRule="exact"/>
              <w:ind w:left="451"/>
              <w:rPr>
                <w:sz w:val="20"/>
              </w:rPr>
            </w:pPr>
            <w:r>
              <w:rPr>
                <w:sz w:val="20"/>
              </w:rPr>
              <w:t>Not</w:t>
            </w:r>
            <w:r>
              <w:rPr>
                <w:spacing w:val="-3"/>
                <w:sz w:val="20"/>
              </w:rPr>
              <w:t xml:space="preserve"> </w:t>
            </w:r>
            <w:r>
              <w:rPr>
                <w:sz w:val="20"/>
              </w:rPr>
              <w:t>at</w:t>
            </w:r>
            <w:r>
              <w:rPr>
                <w:spacing w:val="-2"/>
                <w:sz w:val="20"/>
              </w:rPr>
              <w:t xml:space="preserve"> </w:t>
            </w:r>
            <w:r>
              <w:rPr>
                <w:sz w:val="20"/>
              </w:rPr>
              <w:t>all</w:t>
            </w:r>
            <w:r>
              <w:rPr>
                <w:spacing w:val="-2"/>
                <w:sz w:val="20"/>
              </w:rPr>
              <w:t xml:space="preserve"> confident</w:t>
            </w:r>
          </w:p>
        </w:tc>
        <w:tc>
          <w:tcPr>
            <w:tcW w:w="3516" w:type="dxa"/>
          </w:tcPr>
          <w:p w14:paraId="4CCCD3C5" w14:textId="77777777" w:rsidR="00DB6E1F" w:rsidRDefault="00F666A6">
            <w:pPr>
              <w:pStyle w:val="TableParagraph"/>
              <w:spacing w:before="0" w:line="236" w:lineRule="exact"/>
              <w:ind w:left="2097"/>
              <w:rPr>
                <w:sz w:val="20"/>
              </w:rPr>
            </w:pPr>
            <w:r>
              <w:rPr>
                <w:spacing w:val="-4"/>
                <w:sz w:val="20"/>
              </w:rPr>
              <w:t>100%</w:t>
            </w:r>
          </w:p>
          <w:p w14:paraId="68E51038" w14:textId="77777777" w:rsidR="00DB6E1F" w:rsidRDefault="00F666A6">
            <w:pPr>
              <w:pStyle w:val="TableParagraph"/>
              <w:spacing w:before="19" w:line="220" w:lineRule="exact"/>
              <w:ind w:left="2097"/>
              <w:rPr>
                <w:sz w:val="20"/>
              </w:rPr>
            </w:pPr>
            <w:r>
              <w:rPr>
                <w:sz w:val="20"/>
              </w:rPr>
              <w:t>Totally</w:t>
            </w:r>
            <w:r>
              <w:rPr>
                <w:spacing w:val="-9"/>
                <w:sz w:val="20"/>
              </w:rPr>
              <w:t xml:space="preserve"> </w:t>
            </w:r>
            <w:r>
              <w:rPr>
                <w:spacing w:val="-2"/>
                <w:sz w:val="20"/>
              </w:rPr>
              <w:t>confident</w:t>
            </w:r>
          </w:p>
        </w:tc>
      </w:tr>
    </w:tbl>
    <w:p w14:paraId="05018C36" w14:textId="77777777" w:rsidR="00DB6E1F" w:rsidRDefault="00F666A6">
      <w:pPr>
        <w:pStyle w:val="ListParagraph"/>
        <w:numPr>
          <w:ilvl w:val="0"/>
          <w:numId w:val="27"/>
        </w:numPr>
        <w:tabs>
          <w:tab w:val="left" w:pos="1638"/>
        </w:tabs>
        <w:spacing w:before="24"/>
        <w:ind w:right="1874" w:firstLine="0"/>
        <w:rPr>
          <w:sz w:val="20"/>
        </w:rPr>
      </w:pPr>
      <w:r>
        <w:pict w14:anchorId="065AD37E">
          <v:rect id="docshape244" o:spid="_x0000_s2059" style="position:absolute;left:0;text-align:left;margin-left:148.55pt;margin-top:-32.7pt;width:283.45pt;height:.6pt;z-index:-21744640;mso-position-horizontal-relative:page;mso-position-vertical-relative:text" fillcolor="black" stroked="f">
            <w10:wrap anchorx="page"/>
          </v:rect>
        </w:pict>
      </w:r>
      <w:r>
        <w:pict w14:anchorId="657037E7">
          <v:rect id="docshape245" o:spid="_x0000_s2058" style="position:absolute;left:0;text-align:left;margin-left:148.55pt;margin-top:37.25pt;width:283.45pt;height:.6pt;z-index:-21744128;mso-position-horizontal-relative:page;mso-position-vertical-relative:text" fillcolor="black" stroked="f">
            <w10:wrap anchorx="page"/>
          </v:rect>
        </w:pict>
      </w:r>
      <w:r>
        <w:rPr>
          <w:sz w:val="20"/>
        </w:rPr>
        <w:t>PLEASANT</w:t>
      </w:r>
      <w:r>
        <w:rPr>
          <w:spacing w:val="-4"/>
          <w:sz w:val="20"/>
        </w:rPr>
        <w:t xml:space="preserve"> </w:t>
      </w:r>
      <w:r>
        <w:rPr>
          <w:sz w:val="20"/>
        </w:rPr>
        <w:t>EMOTIONS</w:t>
      </w:r>
      <w:r>
        <w:rPr>
          <w:spacing w:val="-3"/>
          <w:sz w:val="20"/>
        </w:rPr>
        <w:t xml:space="preserve"> </w:t>
      </w:r>
      <w:r>
        <w:rPr>
          <w:sz w:val="20"/>
        </w:rPr>
        <w:t>(e.g.,</w:t>
      </w:r>
      <w:r>
        <w:rPr>
          <w:spacing w:val="-1"/>
          <w:sz w:val="20"/>
        </w:rPr>
        <w:t xml:space="preserve"> </w:t>
      </w:r>
      <w:r>
        <w:rPr>
          <w:sz w:val="20"/>
        </w:rPr>
        <w:t>if</w:t>
      </w:r>
      <w:r>
        <w:rPr>
          <w:spacing w:val="-4"/>
          <w:sz w:val="20"/>
        </w:rPr>
        <w:t xml:space="preserve"> </w:t>
      </w:r>
      <w:r>
        <w:rPr>
          <w:sz w:val="20"/>
        </w:rPr>
        <w:t>something</w:t>
      </w:r>
      <w:r>
        <w:rPr>
          <w:spacing w:val="-3"/>
          <w:sz w:val="20"/>
        </w:rPr>
        <w:t xml:space="preserve"> </w:t>
      </w:r>
      <w:r>
        <w:rPr>
          <w:sz w:val="20"/>
        </w:rPr>
        <w:t>good</w:t>
      </w:r>
      <w:r>
        <w:rPr>
          <w:spacing w:val="-2"/>
          <w:sz w:val="20"/>
        </w:rPr>
        <w:t xml:space="preserve"> </w:t>
      </w:r>
      <w:r>
        <w:rPr>
          <w:sz w:val="20"/>
        </w:rPr>
        <w:t>happened</w:t>
      </w:r>
      <w:r>
        <w:rPr>
          <w:spacing w:val="-2"/>
          <w:sz w:val="20"/>
        </w:rPr>
        <w:t xml:space="preserve"> </w:t>
      </w:r>
      <w:r>
        <w:rPr>
          <w:sz w:val="20"/>
        </w:rPr>
        <w:t>and</w:t>
      </w:r>
      <w:r>
        <w:rPr>
          <w:spacing w:val="-2"/>
          <w:sz w:val="20"/>
        </w:rPr>
        <w:t xml:space="preserve"> </w:t>
      </w:r>
      <w:r>
        <w:rPr>
          <w:sz w:val="20"/>
        </w:rPr>
        <w:t>I</w:t>
      </w:r>
      <w:r>
        <w:rPr>
          <w:spacing w:val="-3"/>
          <w:sz w:val="20"/>
        </w:rPr>
        <w:t xml:space="preserve"> </w:t>
      </w:r>
      <w:r>
        <w:rPr>
          <w:sz w:val="20"/>
        </w:rPr>
        <w:t>felt</w:t>
      </w:r>
      <w:r>
        <w:rPr>
          <w:spacing w:val="-3"/>
          <w:sz w:val="20"/>
        </w:rPr>
        <w:t xml:space="preserve"> </w:t>
      </w:r>
      <w:r>
        <w:rPr>
          <w:sz w:val="20"/>
        </w:rPr>
        <w:t>like</w:t>
      </w:r>
      <w:r>
        <w:rPr>
          <w:spacing w:val="-4"/>
          <w:sz w:val="20"/>
        </w:rPr>
        <w:t xml:space="preserve"> </w:t>
      </w:r>
      <w:r>
        <w:rPr>
          <w:sz w:val="20"/>
        </w:rPr>
        <w:t>celebrating;</w:t>
      </w:r>
      <w:r>
        <w:rPr>
          <w:spacing w:val="-4"/>
          <w:sz w:val="20"/>
        </w:rPr>
        <w:t xml:space="preserve"> </w:t>
      </w:r>
      <w:r>
        <w:rPr>
          <w:sz w:val="20"/>
        </w:rPr>
        <w:t>if</w:t>
      </w:r>
      <w:r>
        <w:rPr>
          <w:spacing w:val="-2"/>
          <w:sz w:val="20"/>
        </w:rPr>
        <w:t xml:space="preserve"> </w:t>
      </w:r>
      <w:r>
        <w:rPr>
          <w:sz w:val="20"/>
        </w:rPr>
        <w:t>everything</w:t>
      </w:r>
      <w:r>
        <w:rPr>
          <w:spacing w:val="-3"/>
          <w:sz w:val="20"/>
        </w:rPr>
        <w:t xml:space="preserve"> </w:t>
      </w:r>
      <w:r>
        <w:rPr>
          <w:sz w:val="20"/>
        </w:rPr>
        <w:t>were</w:t>
      </w:r>
      <w:r>
        <w:rPr>
          <w:spacing w:val="-1"/>
          <w:sz w:val="20"/>
        </w:rPr>
        <w:t xml:space="preserve"> </w:t>
      </w:r>
      <w:r>
        <w:rPr>
          <w:sz w:val="20"/>
        </w:rPr>
        <w:t xml:space="preserve">going </w:t>
      </w:r>
      <w:r>
        <w:rPr>
          <w:spacing w:val="-2"/>
          <w:sz w:val="20"/>
        </w:rPr>
        <w:t>well).</w:t>
      </w:r>
    </w:p>
    <w:p w14:paraId="276CA632" w14:textId="77777777" w:rsidR="00DB6E1F" w:rsidRDefault="00DB6E1F">
      <w:pPr>
        <w:pStyle w:val="BodyText"/>
        <w:spacing w:before="3"/>
        <w:rPr>
          <w:sz w:val="13"/>
        </w:rPr>
      </w:pPr>
    </w:p>
    <w:tbl>
      <w:tblPr>
        <w:tblW w:w="0" w:type="auto"/>
        <w:tblInd w:w="1397" w:type="dxa"/>
        <w:tblLayout w:type="fixed"/>
        <w:tblCellMar>
          <w:left w:w="0" w:type="dxa"/>
          <w:right w:w="0" w:type="dxa"/>
        </w:tblCellMar>
        <w:tblLook w:val="01E0" w:firstRow="1" w:lastRow="1" w:firstColumn="1" w:lastColumn="1" w:noHBand="0" w:noVBand="0"/>
      </w:tblPr>
      <w:tblGrid>
        <w:gridCol w:w="1039"/>
        <w:gridCol w:w="4114"/>
        <w:gridCol w:w="3516"/>
      </w:tblGrid>
      <w:tr w:rsidR="00DB6E1F" w14:paraId="66B948DD" w14:textId="77777777">
        <w:trPr>
          <w:trHeight w:val="231"/>
        </w:trPr>
        <w:tc>
          <w:tcPr>
            <w:tcW w:w="1039" w:type="dxa"/>
          </w:tcPr>
          <w:p w14:paraId="0E3096F2" w14:textId="77777777" w:rsidR="00DB6E1F" w:rsidRDefault="00F666A6">
            <w:pPr>
              <w:pStyle w:val="TableParagraph"/>
              <w:spacing w:before="0" w:line="203" w:lineRule="exact"/>
              <w:ind w:left="50"/>
              <w:rPr>
                <w:sz w:val="20"/>
              </w:rPr>
            </w:pPr>
            <w:r>
              <w:rPr>
                <w:sz w:val="20"/>
              </w:rPr>
              <w:t>I</w:t>
            </w:r>
            <w:r>
              <w:rPr>
                <w:spacing w:val="-1"/>
                <w:sz w:val="20"/>
              </w:rPr>
              <w:t xml:space="preserve"> </w:t>
            </w:r>
            <w:r>
              <w:rPr>
                <w:spacing w:val="-2"/>
                <w:sz w:val="20"/>
              </w:rPr>
              <w:t>feel…</w:t>
            </w:r>
          </w:p>
        </w:tc>
        <w:tc>
          <w:tcPr>
            <w:tcW w:w="4114" w:type="dxa"/>
          </w:tcPr>
          <w:p w14:paraId="791B8007" w14:textId="77777777" w:rsidR="00DB6E1F" w:rsidRDefault="00F666A6">
            <w:pPr>
              <w:pStyle w:val="TableParagraph"/>
              <w:spacing w:before="0" w:line="203" w:lineRule="exact"/>
              <w:ind w:left="451"/>
              <w:rPr>
                <w:sz w:val="20"/>
              </w:rPr>
            </w:pPr>
            <w:r>
              <w:rPr>
                <w:w w:val="99"/>
                <w:sz w:val="20"/>
              </w:rPr>
              <w:t>|</w:t>
            </w:r>
          </w:p>
        </w:tc>
        <w:tc>
          <w:tcPr>
            <w:tcW w:w="3516" w:type="dxa"/>
          </w:tcPr>
          <w:p w14:paraId="2F0B7CA3" w14:textId="77777777" w:rsidR="00DB6E1F" w:rsidRDefault="00F666A6">
            <w:pPr>
              <w:pStyle w:val="TableParagraph"/>
              <w:spacing w:before="0" w:line="203" w:lineRule="exact"/>
              <w:ind w:left="2097"/>
              <w:rPr>
                <w:sz w:val="20"/>
              </w:rPr>
            </w:pPr>
            <w:r>
              <w:rPr>
                <w:w w:val="99"/>
                <w:sz w:val="20"/>
              </w:rPr>
              <w:t>|</w:t>
            </w:r>
          </w:p>
        </w:tc>
      </w:tr>
      <w:tr w:rsidR="00DB6E1F" w14:paraId="415C34E4" w14:textId="77777777">
        <w:trPr>
          <w:trHeight w:val="263"/>
        </w:trPr>
        <w:tc>
          <w:tcPr>
            <w:tcW w:w="1039" w:type="dxa"/>
          </w:tcPr>
          <w:p w14:paraId="6D2D2358" w14:textId="77777777" w:rsidR="00DB6E1F" w:rsidRDefault="00DB6E1F">
            <w:pPr>
              <w:pStyle w:val="TableParagraph"/>
              <w:spacing w:before="0"/>
              <w:ind w:left="0"/>
              <w:rPr>
                <w:rFonts w:ascii="Times New Roman"/>
                <w:sz w:val="18"/>
              </w:rPr>
            </w:pPr>
          </w:p>
        </w:tc>
        <w:tc>
          <w:tcPr>
            <w:tcW w:w="4114" w:type="dxa"/>
          </w:tcPr>
          <w:p w14:paraId="77B1D7BC" w14:textId="77777777" w:rsidR="00DB6E1F" w:rsidRDefault="00F666A6">
            <w:pPr>
              <w:pStyle w:val="TableParagraph"/>
              <w:spacing w:before="0" w:line="236" w:lineRule="exact"/>
              <w:ind w:left="451"/>
              <w:rPr>
                <w:sz w:val="20"/>
              </w:rPr>
            </w:pPr>
            <w:r>
              <w:rPr>
                <w:spacing w:val="-5"/>
                <w:sz w:val="20"/>
              </w:rPr>
              <w:t>0%</w:t>
            </w:r>
          </w:p>
        </w:tc>
        <w:tc>
          <w:tcPr>
            <w:tcW w:w="3516" w:type="dxa"/>
          </w:tcPr>
          <w:p w14:paraId="7CAE2F5E" w14:textId="77777777" w:rsidR="00DB6E1F" w:rsidRDefault="00F666A6">
            <w:pPr>
              <w:pStyle w:val="TableParagraph"/>
              <w:spacing w:before="0" w:line="236" w:lineRule="exact"/>
              <w:ind w:left="2097"/>
              <w:rPr>
                <w:sz w:val="20"/>
              </w:rPr>
            </w:pPr>
            <w:r>
              <w:rPr>
                <w:spacing w:val="-4"/>
                <w:sz w:val="20"/>
              </w:rPr>
              <w:t>100%</w:t>
            </w:r>
          </w:p>
        </w:tc>
      </w:tr>
      <w:tr w:rsidR="00DB6E1F" w14:paraId="59832634" w14:textId="77777777">
        <w:trPr>
          <w:trHeight w:val="231"/>
        </w:trPr>
        <w:tc>
          <w:tcPr>
            <w:tcW w:w="1039" w:type="dxa"/>
          </w:tcPr>
          <w:p w14:paraId="0965DF88" w14:textId="77777777" w:rsidR="00DB6E1F" w:rsidRDefault="00DB6E1F">
            <w:pPr>
              <w:pStyle w:val="TableParagraph"/>
              <w:spacing w:before="0"/>
              <w:ind w:left="0"/>
              <w:rPr>
                <w:rFonts w:ascii="Times New Roman"/>
                <w:sz w:val="16"/>
              </w:rPr>
            </w:pPr>
          </w:p>
        </w:tc>
        <w:tc>
          <w:tcPr>
            <w:tcW w:w="4114" w:type="dxa"/>
          </w:tcPr>
          <w:p w14:paraId="243D0993" w14:textId="77777777" w:rsidR="00DB6E1F" w:rsidRDefault="00F666A6">
            <w:pPr>
              <w:pStyle w:val="TableParagraph"/>
              <w:spacing w:before="0" w:line="212" w:lineRule="exact"/>
              <w:ind w:left="451"/>
              <w:rPr>
                <w:sz w:val="20"/>
              </w:rPr>
            </w:pPr>
            <w:r>
              <w:rPr>
                <w:sz w:val="20"/>
              </w:rPr>
              <w:t>Not</w:t>
            </w:r>
            <w:r>
              <w:rPr>
                <w:spacing w:val="-3"/>
                <w:sz w:val="20"/>
              </w:rPr>
              <w:t xml:space="preserve"> </w:t>
            </w:r>
            <w:r>
              <w:rPr>
                <w:sz w:val="20"/>
              </w:rPr>
              <w:t>at</w:t>
            </w:r>
            <w:r>
              <w:rPr>
                <w:spacing w:val="-2"/>
                <w:sz w:val="20"/>
              </w:rPr>
              <w:t xml:space="preserve"> </w:t>
            </w:r>
            <w:r>
              <w:rPr>
                <w:sz w:val="20"/>
              </w:rPr>
              <w:t>all</w:t>
            </w:r>
            <w:r>
              <w:rPr>
                <w:spacing w:val="-2"/>
                <w:sz w:val="20"/>
              </w:rPr>
              <w:t xml:space="preserve"> confident</w:t>
            </w:r>
          </w:p>
        </w:tc>
        <w:tc>
          <w:tcPr>
            <w:tcW w:w="3516" w:type="dxa"/>
          </w:tcPr>
          <w:p w14:paraId="54A50379" w14:textId="77777777" w:rsidR="00DB6E1F" w:rsidRDefault="00F666A6">
            <w:pPr>
              <w:pStyle w:val="TableParagraph"/>
              <w:spacing w:before="0" w:line="212" w:lineRule="exact"/>
              <w:ind w:left="2097"/>
              <w:rPr>
                <w:sz w:val="20"/>
              </w:rPr>
            </w:pPr>
            <w:r>
              <w:rPr>
                <w:sz w:val="20"/>
              </w:rPr>
              <w:t>Totally</w:t>
            </w:r>
            <w:r>
              <w:rPr>
                <w:spacing w:val="-9"/>
                <w:sz w:val="20"/>
              </w:rPr>
              <w:t xml:space="preserve"> </w:t>
            </w:r>
            <w:r>
              <w:rPr>
                <w:spacing w:val="-2"/>
                <w:sz w:val="20"/>
              </w:rPr>
              <w:t>confident</w:t>
            </w:r>
          </w:p>
        </w:tc>
      </w:tr>
    </w:tbl>
    <w:p w14:paraId="175D6C4A" w14:textId="77777777" w:rsidR="00DB6E1F" w:rsidRDefault="00DB6E1F">
      <w:pPr>
        <w:pStyle w:val="BodyText"/>
        <w:spacing w:before="6"/>
        <w:rPr>
          <w:sz w:val="23"/>
        </w:rPr>
      </w:pPr>
    </w:p>
    <w:p w14:paraId="76100CB9" w14:textId="77777777" w:rsidR="00DB6E1F" w:rsidRDefault="00F666A6">
      <w:pPr>
        <w:ind w:left="1440"/>
        <w:rPr>
          <w:sz w:val="20"/>
        </w:rPr>
      </w:pPr>
      <w:r>
        <w:rPr>
          <w:sz w:val="20"/>
        </w:rPr>
        <w:t>Right</w:t>
      </w:r>
      <w:r>
        <w:rPr>
          <w:spacing w:val="-5"/>
          <w:sz w:val="20"/>
        </w:rPr>
        <w:t xml:space="preserve"> </w:t>
      </w:r>
      <w:r>
        <w:rPr>
          <w:sz w:val="20"/>
        </w:rPr>
        <w:t>now</w:t>
      </w:r>
      <w:r>
        <w:rPr>
          <w:spacing w:val="-6"/>
          <w:sz w:val="20"/>
        </w:rPr>
        <w:t xml:space="preserve"> </w:t>
      </w:r>
      <w:r>
        <w:rPr>
          <w:sz w:val="20"/>
        </w:rPr>
        <w:t>I</w:t>
      </w:r>
      <w:r>
        <w:rPr>
          <w:spacing w:val="-4"/>
          <w:sz w:val="20"/>
        </w:rPr>
        <w:t xml:space="preserve"> </w:t>
      </w:r>
      <w:r>
        <w:rPr>
          <w:sz w:val="20"/>
        </w:rPr>
        <w:t>would</w:t>
      </w:r>
      <w:r>
        <w:rPr>
          <w:spacing w:val="-4"/>
          <w:sz w:val="20"/>
        </w:rPr>
        <w:t xml:space="preserve"> </w:t>
      </w:r>
      <w:r>
        <w:rPr>
          <w:sz w:val="20"/>
        </w:rPr>
        <w:t>be</w:t>
      </w:r>
      <w:r>
        <w:rPr>
          <w:spacing w:val="-6"/>
          <w:sz w:val="20"/>
        </w:rPr>
        <w:t xml:space="preserve"> </w:t>
      </w:r>
      <w:r>
        <w:rPr>
          <w:sz w:val="20"/>
        </w:rPr>
        <w:t>able</w:t>
      </w:r>
      <w:r>
        <w:rPr>
          <w:spacing w:val="-5"/>
          <w:sz w:val="20"/>
        </w:rPr>
        <w:t xml:space="preserve"> </w:t>
      </w:r>
      <w:r>
        <w:rPr>
          <w:sz w:val="20"/>
        </w:rPr>
        <w:t>to</w:t>
      </w:r>
      <w:r>
        <w:rPr>
          <w:spacing w:val="-5"/>
          <w:sz w:val="20"/>
        </w:rPr>
        <w:t xml:space="preserve"> </w:t>
      </w:r>
      <w:r>
        <w:rPr>
          <w:sz w:val="20"/>
        </w:rPr>
        <w:t>resist</w:t>
      </w:r>
      <w:r>
        <w:rPr>
          <w:spacing w:val="-4"/>
          <w:sz w:val="20"/>
        </w:rPr>
        <w:t xml:space="preserve"> </w:t>
      </w:r>
      <w:r>
        <w:rPr>
          <w:sz w:val="20"/>
        </w:rPr>
        <w:t>the</w:t>
      </w:r>
      <w:r>
        <w:rPr>
          <w:spacing w:val="-6"/>
          <w:sz w:val="20"/>
        </w:rPr>
        <w:t xml:space="preserve"> </w:t>
      </w:r>
      <w:r>
        <w:rPr>
          <w:sz w:val="20"/>
        </w:rPr>
        <w:t>urge</w:t>
      </w:r>
      <w:r>
        <w:rPr>
          <w:spacing w:val="-5"/>
          <w:sz w:val="20"/>
        </w:rPr>
        <w:t xml:space="preserve"> </w:t>
      </w:r>
      <w:r>
        <w:rPr>
          <w:sz w:val="20"/>
        </w:rPr>
        <w:t>to</w:t>
      </w:r>
      <w:r>
        <w:rPr>
          <w:spacing w:val="-5"/>
          <w:sz w:val="20"/>
        </w:rPr>
        <w:t xml:space="preserve"> </w:t>
      </w:r>
      <w:r>
        <w:rPr>
          <w:sz w:val="20"/>
        </w:rPr>
        <w:t>drink</w:t>
      </w:r>
      <w:r>
        <w:rPr>
          <w:spacing w:val="-4"/>
          <w:sz w:val="20"/>
        </w:rPr>
        <w:t xml:space="preserve"> </w:t>
      </w:r>
      <w:r>
        <w:rPr>
          <w:sz w:val="20"/>
        </w:rPr>
        <w:t>heavily</w:t>
      </w:r>
      <w:r>
        <w:rPr>
          <w:spacing w:val="-2"/>
          <w:sz w:val="20"/>
        </w:rPr>
        <w:t xml:space="preserve"> </w:t>
      </w:r>
      <w:r>
        <w:rPr>
          <w:sz w:val="20"/>
        </w:rPr>
        <w:t>or</w:t>
      </w:r>
      <w:r>
        <w:rPr>
          <w:spacing w:val="-4"/>
          <w:sz w:val="20"/>
        </w:rPr>
        <w:t xml:space="preserve"> </w:t>
      </w:r>
      <w:r>
        <w:rPr>
          <w:sz w:val="20"/>
        </w:rPr>
        <w:t>use</w:t>
      </w:r>
      <w:r>
        <w:rPr>
          <w:spacing w:val="-6"/>
          <w:sz w:val="20"/>
        </w:rPr>
        <w:t xml:space="preserve"> </w:t>
      </w:r>
      <w:r>
        <w:rPr>
          <w:sz w:val="20"/>
        </w:rPr>
        <w:t>my</w:t>
      </w:r>
      <w:r>
        <w:rPr>
          <w:spacing w:val="-3"/>
          <w:sz w:val="20"/>
        </w:rPr>
        <w:t xml:space="preserve"> </w:t>
      </w:r>
      <w:r>
        <w:rPr>
          <w:sz w:val="20"/>
        </w:rPr>
        <w:t>primary</w:t>
      </w:r>
      <w:r>
        <w:rPr>
          <w:spacing w:val="-4"/>
          <w:sz w:val="20"/>
        </w:rPr>
        <w:t xml:space="preserve"> </w:t>
      </w:r>
      <w:r>
        <w:rPr>
          <w:sz w:val="20"/>
        </w:rPr>
        <w:t>drug</w:t>
      </w:r>
      <w:r>
        <w:rPr>
          <w:spacing w:val="-5"/>
          <w:sz w:val="20"/>
        </w:rPr>
        <w:t xml:space="preserve"> </w:t>
      </w:r>
      <w:r>
        <w:rPr>
          <w:sz w:val="20"/>
        </w:rPr>
        <w:t>in</w:t>
      </w:r>
      <w:r>
        <w:rPr>
          <w:spacing w:val="-4"/>
          <w:sz w:val="20"/>
        </w:rPr>
        <w:t xml:space="preserve"> </w:t>
      </w:r>
      <w:r>
        <w:rPr>
          <w:sz w:val="20"/>
        </w:rPr>
        <w:t>situations</w:t>
      </w:r>
      <w:r>
        <w:rPr>
          <w:spacing w:val="-5"/>
          <w:sz w:val="20"/>
        </w:rPr>
        <w:t xml:space="preserve"> </w:t>
      </w:r>
      <w:r>
        <w:rPr>
          <w:spacing w:val="-2"/>
          <w:sz w:val="20"/>
        </w:rPr>
        <w:t>involving…</w:t>
      </w:r>
    </w:p>
    <w:p w14:paraId="60C51E19" w14:textId="77777777" w:rsidR="00DB6E1F" w:rsidRDefault="00F666A6">
      <w:pPr>
        <w:pStyle w:val="ListParagraph"/>
        <w:numPr>
          <w:ilvl w:val="0"/>
          <w:numId w:val="27"/>
        </w:numPr>
        <w:tabs>
          <w:tab w:val="left" w:pos="1638"/>
        </w:tabs>
        <w:spacing w:before="20"/>
        <w:ind w:right="1517" w:firstLine="0"/>
        <w:rPr>
          <w:sz w:val="20"/>
        </w:rPr>
      </w:pPr>
      <w:r>
        <w:rPr>
          <w:sz w:val="20"/>
        </w:rPr>
        <w:t>TESTING</w:t>
      </w:r>
      <w:r>
        <w:rPr>
          <w:spacing w:val="-3"/>
          <w:sz w:val="20"/>
        </w:rPr>
        <w:t xml:space="preserve"> </w:t>
      </w:r>
      <w:r>
        <w:rPr>
          <w:sz w:val="20"/>
        </w:rPr>
        <w:t>CONTROL</w:t>
      </w:r>
      <w:r>
        <w:rPr>
          <w:spacing w:val="-2"/>
          <w:sz w:val="20"/>
        </w:rPr>
        <w:t xml:space="preserve"> </w:t>
      </w:r>
      <w:r>
        <w:rPr>
          <w:sz w:val="20"/>
        </w:rPr>
        <w:t>OVER</w:t>
      </w:r>
      <w:r>
        <w:rPr>
          <w:spacing w:val="-2"/>
          <w:sz w:val="20"/>
        </w:rPr>
        <w:t xml:space="preserve"> </w:t>
      </w:r>
      <w:r>
        <w:rPr>
          <w:sz w:val="20"/>
        </w:rPr>
        <w:t>MY</w:t>
      </w:r>
      <w:r>
        <w:rPr>
          <w:spacing w:val="-3"/>
          <w:sz w:val="20"/>
        </w:rPr>
        <w:t xml:space="preserve"> </w:t>
      </w:r>
      <w:r>
        <w:rPr>
          <w:sz w:val="20"/>
        </w:rPr>
        <w:t>USE</w:t>
      </w:r>
      <w:r>
        <w:rPr>
          <w:spacing w:val="-1"/>
          <w:sz w:val="20"/>
        </w:rPr>
        <w:t xml:space="preserve"> </w:t>
      </w:r>
      <w:r>
        <w:rPr>
          <w:sz w:val="20"/>
        </w:rPr>
        <w:t>OF</w:t>
      </w:r>
      <w:r>
        <w:rPr>
          <w:spacing w:val="-2"/>
          <w:sz w:val="20"/>
        </w:rPr>
        <w:t xml:space="preserve"> </w:t>
      </w:r>
      <w:r>
        <w:rPr>
          <w:sz w:val="20"/>
        </w:rPr>
        <w:t>ALCOHOL</w:t>
      </w:r>
      <w:r>
        <w:rPr>
          <w:spacing w:val="-2"/>
          <w:sz w:val="20"/>
        </w:rPr>
        <w:t xml:space="preserve"> </w:t>
      </w:r>
      <w:r>
        <w:rPr>
          <w:sz w:val="20"/>
        </w:rPr>
        <w:t>OR</w:t>
      </w:r>
      <w:r>
        <w:rPr>
          <w:spacing w:val="-2"/>
          <w:sz w:val="20"/>
        </w:rPr>
        <w:t xml:space="preserve"> </w:t>
      </w:r>
      <w:r>
        <w:rPr>
          <w:sz w:val="20"/>
        </w:rPr>
        <w:t>DRUGS</w:t>
      </w:r>
      <w:r>
        <w:rPr>
          <w:spacing w:val="-2"/>
          <w:sz w:val="20"/>
        </w:rPr>
        <w:t xml:space="preserve"> </w:t>
      </w:r>
      <w:r>
        <w:rPr>
          <w:sz w:val="20"/>
        </w:rPr>
        <w:t>(e.g.,</w:t>
      </w:r>
      <w:r>
        <w:rPr>
          <w:spacing w:val="-2"/>
          <w:sz w:val="20"/>
        </w:rPr>
        <w:t xml:space="preserve"> </w:t>
      </w:r>
      <w:r>
        <w:rPr>
          <w:sz w:val="20"/>
        </w:rPr>
        <w:t>if</w:t>
      </w:r>
      <w:r>
        <w:rPr>
          <w:spacing w:val="-3"/>
          <w:sz w:val="20"/>
        </w:rPr>
        <w:t xml:space="preserve"> </w:t>
      </w:r>
      <w:r>
        <w:rPr>
          <w:sz w:val="20"/>
        </w:rPr>
        <w:t>I were</w:t>
      </w:r>
      <w:r>
        <w:rPr>
          <w:spacing w:val="-3"/>
          <w:sz w:val="20"/>
        </w:rPr>
        <w:t xml:space="preserve"> </w:t>
      </w:r>
      <w:r>
        <w:rPr>
          <w:sz w:val="20"/>
        </w:rPr>
        <w:t>to</w:t>
      </w:r>
      <w:r>
        <w:rPr>
          <w:spacing w:val="-2"/>
          <w:sz w:val="20"/>
        </w:rPr>
        <w:t xml:space="preserve"> </w:t>
      </w:r>
      <w:r>
        <w:rPr>
          <w:sz w:val="20"/>
        </w:rPr>
        <w:t>start</w:t>
      </w:r>
      <w:r>
        <w:rPr>
          <w:spacing w:val="-2"/>
          <w:sz w:val="20"/>
        </w:rPr>
        <w:t xml:space="preserve"> </w:t>
      </w:r>
      <w:r>
        <w:rPr>
          <w:sz w:val="20"/>
        </w:rPr>
        <w:t>to</w:t>
      </w:r>
      <w:r>
        <w:rPr>
          <w:spacing w:val="-2"/>
          <w:sz w:val="20"/>
        </w:rPr>
        <w:t xml:space="preserve"> </w:t>
      </w:r>
      <w:r>
        <w:rPr>
          <w:sz w:val="20"/>
        </w:rPr>
        <w:t>believe</w:t>
      </w:r>
      <w:r>
        <w:rPr>
          <w:spacing w:val="-3"/>
          <w:sz w:val="20"/>
        </w:rPr>
        <w:t xml:space="preserve"> </w:t>
      </w:r>
      <w:r>
        <w:rPr>
          <w:sz w:val="20"/>
        </w:rPr>
        <w:t>that</w:t>
      </w:r>
      <w:r>
        <w:rPr>
          <w:spacing w:val="-2"/>
          <w:sz w:val="20"/>
        </w:rPr>
        <w:t xml:space="preserve"> </w:t>
      </w:r>
      <w:r>
        <w:rPr>
          <w:sz w:val="20"/>
        </w:rPr>
        <w:t>alcohol</w:t>
      </w:r>
      <w:r>
        <w:rPr>
          <w:spacing w:val="-2"/>
          <w:sz w:val="20"/>
        </w:rPr>
        <w:t xml:space="preserve"> </w:t>
      </w:r>
      <w:r>
        <w:rPr>
          <w:sz w:val="20"/>
        </w:rPr>
        <w:t>or</w:t>
      </w:r>
      <w:r>
        <w:rPr>
          <w:spacing w:val="-2"/>
          <w:sz w:val="20"/>
        </w:rPr>
        <w:t xml:space="preserve"> </w:t>
      </w:r>
      <w:r>
        <w:rPr>
          <w:sz w:val="20"/>
        </w:rPr>
        <w:t>drugs were no longer a problem for me; if I felt confident that I could handle drugs or several drinks).</w:t>
      </w:r>
    </w:p>
    <w:p w14:paraId="05209FE5" w14:textId="77777777" w:rsidR="00DB6E1F" w:rsidRDefault="00F666A6">
      <w:pPr>
        <w:tabs>
          <w:tab w:val="left" w:pos="2879"/>
          <w:tab w:val="left" w:pos="8639"/>
        </w:tabs>
        <w:spacing w:before="119"/>
        <w:ind w:left="1440"/>
        <w:rPr>
          <w:sz w:val="20"/>
        </w:rPr>
      </w:pPr>
      <w:r>
        <w:pict w14:anchorId="1D1D7C6D">
          <v:rect id="docshape246" o:spid="_x0000_s2057" style="position:absolute;left:0;text-align:left;margin-left:148.55pt;margin-top:11.5pt;width:283.45pt;height:.6pt;z-index:-21743616;mso-position-horizontal-relative:page" fillcolor="black" stroked="f">
            <w10:wrap anchorx="page"/>
          </v:rect>
        </w:pict>
      </w:r>
      <w:r>
        <w:rPr>
          <w:sz w:val="20"/>
        </w:rPr>
        <w:t>I</w:t>
      </w:r>
      <w:r>
        <w:rPr>
          <w:spacing w:val="-1"/>
          <w:sz w:val="20"/>
        </w:rPr>
        <w:t xml:space="preserve"> </w:t>
      </w:r>
      <w:r>
        <w:rPr>
          <w:spacing w:val="-2"/>
          <w:sz w:val="20"/>
        </w:rPr>
        <w:t>feel…</w:t>
      </w:r>
      <w:r>
        <w:rPr>
          <w:sz w:val="20"/>
        </w:rPr>
        <w:tab/>
      </w:r>
      <w:r>
        <w:rPr>
          <w:spacing w:val="-10"/>
          <w:sz w:val="20"/>
        </w:rPr>
        <w:t>|</w:t>
      </w:r>
      <w:r>
        <w:rPr>
          <w:sz w:val="20"/>
        </w:rPr>
        <w:tab/>
      </w:r>
      <w:r>
        <w:rPr>
          <w:spacing w:val="-10"/>
          <w:sz w:val="20"/>
        </w:rPr>
        <w:t>|</w:t>
      </w:r>
    </w:p>
    <w:p w14:paraId="4FA2BC81" w14:textId="77777777" w:rsidR="00DB6E1F" w:rsidRDefault="00F666A6">
      <w:pPr>
        <w:tabs>
          <w:tab w:val="left" w:pos="8639"/>
        </w:tabs>
        <w:spacing w:before="20"/>
        <w:ind w:left="2880"/>
        <w:rPr>
          <w:sz w:val="20"/>
        </w:rPr>
      </w:pPr>
      <w:r>
        <w:rPr>
          <w:spacing w:val="-5"/>
          <w:sz w:val="20"/>
        </w:rPr>
        <w:t>0%</w:t>
      </w:r>
      <w:r>
        <w:rPr>
          <w:sz w:val="20"/>
        </w:rPr>
        <w:tab/>
      </w:r>
      <w:r>
        <w:rPr>
          <w:spacing w:val="-4"/>
          <w:sz w:val="20"/>
        </w:rPr>
        <w:t>100%</w:t>
      </w:r>
    </w:p>
    <w:p w14:paraId="31267010" w14:textId="77777777" w:rsidR="00DB6E1F" w:rsidRDefault="00F666A6">
      <w:pPr>
        <w:tabs>
          <w:tab w:val="left" w:pos="8640"/>
        </w:tabs>
        <w:spacing w:before="20"/>
        <w:ind w:left="2880"/>
        <w:rPr>
          <w:sz w:val="20"/>
        </w:rPr>
      </w:pPr>
      <w:r>
        <w:rPr>
          <w:sz w:val="20"/>
        </w:rPr>
        <w:t>Not</w:t>
      </w:r>
      <w:r>
        <w:rPr>
          <w:spacing w:val="-3"/>
          <w:sz w:val="20"/>
        </w:rPr>
        <w:t xml:space="preserve"> </w:t>
      </w:r>
      <w:r>
        <w:rPr>
          <w:sz w:val="20"/>
        </w:rPr>
        <w:t>at</w:t>
      </w:r>
      <w:r>
        <w:rPr>
          <w:spacing w:val="-2"/>
          <w:sz w:val="20"/>
        </w:rPr>
        <w:t xml:space="preserve"> </w:t>
      </w:r>
      <w:r>
        <w:rPr>
          <w:sz w:val="20"/>
        </w:rPr>
        <w:t>all</w:t>
      </w:r>
      <w:r>
        <w:rPr>
          <w:spacing w:val="-2"/>
          <w:sz w:val="20"/>
        </w:rPr>
        <w:t xml:space="preserve"> confident</w:t>
      </w:r>
      <w:r>
        <w:rPr>
          <w:sz w:val="20"/>
        </w:rPr>
        <w:tab/>
        <w:t>Totally</w:t>
      </w:r>
      <w:r>
        <w:rPr>
          <w:spacing w:val="-9"/>
          <w:sz w:val="20"/>
        </w:rPr>
        <w:t xml:space="preserve"> </w:t>
      </w:r>
      <w:r>
        <w:rPr>
          <w:spacing w:val="-2"/>
          <w:sz w:val="20"/>
        </w:rPr>
        <w:t>confident</w:t>
      </w:r>
    </w:p>
    <w:p w14:paraId="2AA5EF6E" w14:textId="77777777" w:rsidR="00DB6E1F" w:rsidRDefault="00F666A6">
      <w:pPr>
        <w:pStyle w:val="ListParagraph"/>
        <w:numPr>
          <w:ilvl w:val="0"/>
          <w:numId w:val="27"/>
        </w:numPr>
        <w:tabs>
          <w:tab w:val="left" w:pos="1638"/>
        </w:tabs>
        <w:spacing w:before="17"/>
        <w:ind w:right="1681" w:firstLine="0"/>
        <w:rPr>
          <w:sz w:val="20"/>
        </w:rPr>
      </w:pPr>
      <w:r>
        <w:pict w14:anchorId="0F3B1D78">
          <v:rect id="docshape247" o:spid="_x0000_s2056" style="position:absolute;left:0;text-align:left;margin-left:148.55pt;margin-top:36.9pt;width:283.45pt;height:.6pt;z-index:-21743104;mso-position-horizontal-relative:page" fillcolor="black" stroked="f">
            <w10:wrap anchorx="page"/>
          </v:rect>
        </w:pict>
      </w:r>
      <w:r>
        <w:rPr>
          <w:sz w:val="20"/>
        </w:rPr>
        <w:t>URGES</w:t>
      </w:r>
      <w:r>
        <w:rPr>
          <w:spacing w:val="-3"/>
          <w:sz w:val="20"/>
        </w:rPr>
        <w:t xml:space="preserve"> </w:t>
      </w:r>
      <w:r>
        <w:rPr>
          <w:sz w:val="20"/>
        </w:rPr>
        <w:t>AND</w:t>
      </w:r>
      <w:r>
        <w:rPr>
          <w:spacing w:val="-3"/>
          <w:sz w:val="20"/>
        </w:rPr>
        <w:t xml:space="preserve"> </w:t>
      </w:r>
      <w:r>
        <w:rPr>
          <w:sz w:val="20"/>
        </w:rPr>
        <w:t>TEMPTATIONS</w:t>
      </w:r>
      <w:r>
        <w:rPr>
          <w:spacing w:val="-1"/>
          <w:sz w:val="20"/>
        </w:rPr>
        <w:t xml:space="preserve"> </w:t>
      </w:r>
      <w:r>
        <w:rPr>
          <w:sz w:val="20"/>
        </w:rPr>
        <w:t>(e.g.,</w:t>
      </w:r>
      <w:r>
        <w:rPr>
          <w:spacing w:val="-2"/>
          <w:sz w:val="20"/>
        </w:rPr>
        <w:t xml:space="preserve"> </w:t>
      </w:r>
      <w:r>
        <w:rPr>
          <w:sz w:val="20"/>
        </w:rPr>
        <w:t>if</w:t>
      </w:r>
      <w:r>
        <w:rPr>
          <w:spacing w:val="-4"/>
          <w:sz w:val="20"/>
        </w:rPr>
        <w:t xml:space="preserve"> </w:t>
      </w:r>
      <w:r>
        <w:rPr>
          <w:sz w:val="20"/>
        </w:rPr>
        <w:t>I suddenly</w:t>
      </w:r>
      <w:r>
        <w:rPr>
          <w:spacing w:val="-2"/>
          <w:sz w:val="20"/>
        </w:rPr>
        <w:t xml:space="preserve"> </w:t>
      </w:r>
      <w:r>
        <w:rPr>
          <w:sz w:val="20"/>
        </w:rPr>
        <w:t>had</w:t>
      </w:r>
      <w:r>
        <w:rPr>
          <w:spacing w:val="-2"/>
          <w:sz w:val="20"/>
        </w:rPr>
        <w:t xml:space="preserve"> </w:t>
      </w:r>
      <w:r>
        <w:rPr>
          <w:sz w:val="20"/>
        </w:rPr>
        <w:t>an</w:t>
      </w:r>
      <w:r>
        <w:rPr>
          <w:spacing w:val="-4"/>
          <w:sz w:val="20"/>
        </w:rPr>
        <w:t xml:space="preserve"> </w:t>
      </w:r>
      <w:r>
        <w:rPr>
          <w:sz w:val="20"/>
        </w:rPr>
        <w:t>urge</w:t>
      </w:r>
      <w:r>
        <w:rPr>
          <w:spacing w:val="-4"/>
          <w:sz w:val="20"/>
        </w:rPr>
        <w:t xml:space="preserve"> </w:t>
      </w:r>
      <w:r>
        <w:rPr>
          <w:sz w:val="20"/>
        </w:rPr>
        <w:t>to</w:t>
      </w:r>
      <w:r>
        <w:rPr>
          <w:spacing w:val="-2"/>
          <w:sz w:val="20"/>
        </w:rPr>
        <w:t xml:space="preserve"> </w:t>
      </w:r>
      <w:r>
        <w:rPr>
          <w:sz w:val="20"/>
        </w:rPr>
        <w:t>drink</w:t>
      </w:r>
      <w:r>
        <w:rPr>
          <w:spacing w:val="-2"/>
          <w:sz w:val="20"/>
        </w:rPr>
        <w:t xml:space="preserve"> </w:t>
      </w:r>
      <w:r>
        <w:rPr>
          <w:sz w:val="20"/>
        </w:rPr>
        <w:t>or</w:t>
      </w:r>
      <w:r>
        <w:rPr>
          <w:spacing w:val="-3"/>
          <w:sz w:val="20"/>
        </w:rPr>
        <w:t xml:space="preserve"> </w:t>
      </w:r>
      <w:r>
        <w:rPr>
          <w:sz w:val="20"/>
        </w:rPr>
        <w:t>use</w:t>
      </w:r>
      <w:r>
        <w:rPr>
          <w:spacing w:val="-4"/>
          <w:sz w:val="20"/>
        </w:rPr>
        <w:t xml:space="preserve"> </w:t>
      </w:r>
      <w:r>
        <w:rPr>
          <w:sz w:val="20"/>
        </w:rPr>
        <w:t>drugs;</w:t>
      </w:r>
      <w:r>
        <w:rPr>
          <w:spacing w:val="-4"/>
          <w:sz w:val="20"/>
        </w:rPr>
        <w:t xml:space="preserve"> </w:t>
      </w:r>
      <w:r>
        <w:rPr>
          <w:sz w:val="20"/>
        </w:rPr>
        <w:t>if</w:t>
      </w:r>
      <w:r>
        <w:rPr>
          <w:spacing w:val="-4"/>
          <w:sz w:val="20"/>
        </w:rPr>
        <w:t xml:space="preserve"> </w:t>
      </w:r>
      <w:r>
        <w:rPr>
          <w:sz w:val="20"/>
        </w:rPr>
        <w:t>I</w:t>
      </w:r>
      <w:r>
        <w:rPr>
          <w:spacing w:val="-3"/>
          <w:sz w:val="20"/>
        </w:rPr>
        <w:t xml:space="preserve"> </w:t>
      </w:r>
      <w:r>
        <w:rPr>
          <w:sz w:val="20"/>
        </w:rPr>
        <w:t>were</w:t>
      </w:r>
      <w:r>
        <w:rPr>
          <w:spacing w:val="-4"/>
          <w:sz w:val="20"/>
        </w:rPr>
        <w:t xml:space="preserve"> </w:t>
      </w:r>
      <w:r>
        <w:rPr>
          <w:sz w:val="20"/>
        </w:rPr>
        <w:t>in</w:t>
      </w:r>
      <w:r>
        <w:rPr>
          <w:spacing w:val="-2"/>
          <w:sz w:val="20"/>
        </w:rPr>
        <w:t xml:space="preserve"> </w:t>
      </w:r>
      <w:r>
        <w:rPr>
          <w:sz w:val="20"/>
        </w:rPr>
        <w:t>a</w:t>
      </w:r>
      <w:r>
        <w:rPr>
          <w:spacing w:val="-3"/>
          <w:sz w:val="20"/>
        </w:rPr>
        <w:t xml:space="preserve"> </w:t>
      </w:r>
      <w:r>
        <w:rPr>
          <w:sz w:val="20"/>
        </w:rPr>
        <w:t>situation</w:t>
      </w:r>
      <w:r>
        <w:rPr>
          <w:spacing w:val="-2"/>
          <w:sz w:val="20"/>
        </w:rPr>
        <w:t xml:space="preserve"> </w:t>
      </w:r>
      <w:r>
        <w:rPr>
          <w:sz w:val="20"/>
        </w:rPr>
        <w:t>where</w:t>
      </w:r>
      <w:r>
        <w:rPr>
          <w:spacing w:val="-4"/>
          <w:sz w:val="20"/>
        </w:rPr>
        <w:t xml:space="preserve"> </w:t>
      </w:r>
      <w:r>
        <w:rPr>
          <w:sz w:val="20"/>
        </w:rPr>
        <w:t>I had often used drugs or drank heavily).</w:t>
      </w:r>
    </w:p>
    <w:p w14:paraId="3ADF0BBA" w14:textId="77777777" w:rsidR="00DB6E1F" w:rsidRDefault="00DB6E1F">
      <w:pPr>
        <w:pStyle w:val="BodyText"/>
        <w:spacing w:before="4"/>
        <w:rPr>
          <w:sz w:val="13"/>
        </w:rPr>
      </w:pPr>
    </w:p>
    <w:tbl>
      <w:tblPr>
        <w:tblW w:w="0" w:type="auto"/>
        <w:tblInd w:w="1397" w:type="dxa"/>
        <w:tblLayout w:type="fixed"/>
        <w:tblCellMar>
          <w:left w:w="0" w:type="dxa"/>
          <w:right w:w="0" w:type="dxa"/>
        </w:tblCellMar>
        <w:tblLook w:val="01E0" w:firstRow="1" w:lastRow="1" w:firstColumn="1" w:lastColumn="1" w:noHBand="0" w:noVBand="0"/>
      </w:tblPr>
      <w:tblGrid>
        <w:gridCol w:w="1039"/>
        <w:gridCol w:w="4114"/>
        <w:gridCol w:w="3516"/>
      </w:tblGrid>
      <w:tr w:rsidR="00DB6E1F" w14:paraId="2648ADE5" w14:textId="77777777">
        <w:trPr>
          <w:trHeight w:val="231"/>
        </w:trPr>
        <w:tc>
          <w:tcPr>
            <w:tcW w:w="1039" w:type="dxa"/>
          </w:tcPr>
          <w:p w14:paraId="19D1C453" w14:textId="77777777" w:rsidR="00DB6E1F" w:rsidRDefault="00F666A6">
            <w:pPr>
              <w:pStyle w:val="TableParagraph"/>
              <w:spacing w:before="0" w:line="203" w:lineRule="exact"/>
              <w:ind w:left="50"/>
              <w:rPr>
                <w:sz w:val="20"/>
              </w:rPr>
            </w:pPr>
            <w:r>
              <w:rPr>
                <w:sz w:val="20"/>
              </w:rPr>
              <w:t>I</w:t>
            </w:r>
            <w:r>
              <w:rPr>
                <w:spacing w:val="-1"/>
                <w:sz w:val="20"/>
              </w:rPr>
              <w:t xml:space="preserve"> </w:t>
            </w:r>
            <w:r>
              <w:rPr>
                <w:spacing w:val="-2"/>
                <w:sz w:val="20"/>
              </w:rPr>
              <w:t>feel…</w:t>
            </w:r>
          </w:p>
        </w:tc>
        <w:tc>
          <w:tcPr>
            <w:tcW w:w="4114" w:type="dxa"/>
          </w:tcPr>
          <w:p w14:paraId="1F657142" w14:textId="77777777" w:rsidR="00DB6E1F" w:rsidRDefault="00F666A6">
            <w:pPr>
              <w:pStyle w:val="TableParagraph"/>
              <w:spacing w:before="0" w:line="203" w:lineRule="exact"/>
              <w:ind w:left="451"/>
              <w:rPr>
                <w:sz w:val="20"/>
              </w:rPr>
            </w:pPr>
            <w:r>
              <w:rPr>
                <w:w w:val="99"/>
                <w:sz w:val="20"/>
              </w:rPr>
              <w:t>|</w:t>
            </w:r>
          </w:p>
        </w:tc>
        <w:tc>
          <w:tcPr>
            <w:tcW w:w="3516" w:type="dxa"/>
          </w:tcPr>
          <w:p w14:paraId="11B6A0EF" w14:textId="77777777" w:rsidR="00DB6E1F" w:rsidRDefault="00F666A6">
            <w:pPr>
              <w:pStyle w:val="TableParagraph"/>
              <w:spacing w:before="0" w:line="203" w:lineRule="exact"/>
              <w:ind w:left="2097"/>
              <w:rPr>
                <w:sz w:val="20"/>
              </w:rPr>
            </w:pPr>
            <w:r>
              <w:rPr>
                <w:w w:val="99"/>
                <w:sz w:val="20"/>
              </w:rPr>
              <w:t>|</w:t>
            </w:r>
          </w:p>
        </w:tc>
      </w:tr>
      <w:tr w:rsidR="00DB6E1F" w14:paraId="54491BCB" w14:textId="77777777">
        <w:trPr>
          <w:trHeight w:val="263"/>
        </w:trPr>
        <w:tc>
          <w:tcPr>
            <w:tcW w:w="1039" w:type="dxa"/>
          </w:tcPr>
          <w:p w14:paraId="4D43DF17" w14:textId="77777777" w:rsidR="00DB6E1F" w:rsidRDefault="00DB6E1F">
            <w:pPr>
              <w:pStyle w:val="TableParagraph"/>
              <w:spacing w:before="0"/>
              <w:ind w:left="0"/>
              <w:rPr>
                <w:rFonts w:ascii="Times New Roman"/>
                <w:sz w:val="18"/>
              </w:rPr>
            </w:pPr>
          </w:p>
        </w:tc>
        <w:tc>
          <w:tcPr>
            <w:tcW w:w="4114" w:type="dxa"/>
          </w:tcPr>
          <w:p w14:paraId="3FD25856" w14:textId="77777777" w:rsidR="00DB6E1F" w:rsidRDefault="00F666A6">
            <w:pPr>
              <w:pStyle w:val="TableParagraph"/>
              <w:spacing w:before="0" w:line="236" w:lineRule="exact"/>
              <w:ind w:left="451"/>
              <w:rPr>
                <w:sz w:val="20"/>
              </w:rPr>
            </w:pPr>
            <w:r>
              <w:rPr>
                <w:spacing w:val="-5"/>
                <w:sz w:val="20"/>
              </w:rPr>
              <w:t>0%</w:t>
            </w:r>
          </w:p>
        </w:tc>
        <w:tc>
          <w:tcPr>
            <w:tcW w:w="3516" w:type="dxa"/>
          </w:tcPr>
          <w:p w14:paraId="0393B310" w14:textId="77777777" w:rsidR="00DB6E1F" w:rsidRDefault="00F666A6">
            <w:pPr>
              <w:pStyle w:val="TableParagraph"/>
              <w:spacing w:before="0" w:line="236" w:lineRule="exact"/>
              <w:ind w:left="2097"/>
              <w:rPr>
                <w:sz w:val="20"/>
              </w:rPr>
            </w:pPr>
            <w:r>
              <w:rPr>
                <w:spacing w:val="-4"/>
                <w:sz w:val="20"/>
              </w:rPr>
              <w:t>100%</w:t>
            </w:r>
          </w:p>
        </w:tc>
      </w:tr>
      <w:tr w:rsidR="00DB6E1F" w14:paraId="6C92F6F8" w14:textId="77777777">
        <w:trPr>
          <w:trHeight w:val="231"/>
        </w:trPr>
        <w:tc>
          <w:tcPr>
            <w:tcW w:w="1039" w:type="dxa"/>
          </w:tcPr>
          <w:p w14:paraId="13BC1051" w14:textId="77777777" w:rsidR="00DB6E1F" w:rsidRDefault="00DB6E1F">
            <w:pPr>
              <w:pStyle w:val="TableParagraph"/>
              <w:spacing w:before="0"/>
              <w:ind w:left="0"/>
              <w:rPr>
                <w:rFonts w:ascii="Times New Roman"/>
                <w:sz w:val="16"/>
              </w:rPr>
            </w:pPr>
          </w:p>
        </w:tc>
        <w:tc>
          <w:tcPr>
            <w:tcW w:w="4114" w:type="dxa"/>
          </w:tcPr>
          <w:p w14:paraId="30CAB789" w14:textId="77777777" w:rsidR="00DB6E1F" w:rsidRDefault="00F666A6">
            <w:pPr>
              <w:pStyle w:val="TableParagraph"/>
              <w:spacing w:before="0" w:line="212" w:lineRule="exact"/>
              <w:ind w:left="451"/>
              <w:rPr>
                <w:sz w:val="20"/>
              </w:rPr>
            </w:pPr>
            <w:r>
              <w:rPr>
                <w:sz w:val="20"/>
              </w:rPr>
              <w:t>Not</w:t>
            </w:r>
            <w:r>
              <w:rPr>
                <w:spacing w:val="-3"/>
                <w:sz w:val="20"/>
              </w:rPr>
              <w:t xml:space="preserve"> </w:t>
            </w:r>
            <w:r>
              <w:rPr>
                <w:sz w:val="20"/>
              </w:rPr>
              <w:t>at</w:t>
            </w:r>
            <w:r>
              <w:rPr>
                <w:spacing w:val="-2"/>
                <w:sz w:val="20"/>
              </w:rPr>
              <w:t xml:space="preserve"> </w:t>
            </w:r>
            <w:r>
              <w:rPr>
                <w:sz w:val="20"/>
              </w:rPr>
              <w:t>all</w:t>
            </w:r>
            <w:r>
              <w:rPr>
                <w:spacing w:val="-2"/>
                <w:sz w:val="20"/>
              </w:rPr>
              <w:t xml:space="preserve"> confident</w:t>
            </w:r>
          </w:p>
        </w:tc>
        <w:tc>
          <w:tcPr>
            <w:tcW w:w="3516" w:type="dxa"/>
          </w:tcPr>
          <w:p w14:paraId="6BEFE0E1" w14:textId="77777777" w:rsidR="00DB6E1F" w:rsidRDefault="00F666A6">
            <w:pPr>
              <w:pStyle w:val="TableParagraph"/>
              <w:spacing w:before="0" w:line="212" w:lineRule="exact"/>
              <w:ind w:left="2097"/>
              <w:rPr>
                <w:sz w:val="20"/>
              </w:rPr>
            </w:pPr>
            <w:r>
              <w:rPr>
                <w:sz w:val="20"/>
              </w:rPr>
              <w:t>Totally</w:t>
            </w:r>
            <w:r>
              <w:rPr>
                <w:spacing w:val="-9"/>
                <w:sz w:val="20"/>
              </w:rPr>
              <w:t xml:space="preserve"> </w:t>
            </w:r>
            <w:r>
              <w:rPr>
                <w:spacing w:val="-2"/>
                <w:sz w:val="20"/>
              </w:rPr>
              <w:t>confident</w:t>
            </w:r>
          </w:p>
        </w:tc>
      </w:tr>
    </w:tbl>
    <w:p w14:paraId="5D198333" w14:textId="77777777" w:rsidR="00DB6E1F" w:rsidRDefault="00DB6E1F">
      <w:pPr>
        <w:pStyle w:val="BodyText"/>
        <w:spacing w:before="6"/>
        <w:rPr>
          <w:sz w:val="23"/>
        </w:rPr>
      </w:pPr>
    </w:p>
    <w:p w14:paraId="36CB2627" w14:textId="77777777" w:rsidR="00DB6E1F" w:rsidRDefault="00F666A6">
      <w:pPr>
        <w:pStyle w:val="ListParagraph"/>
        <w:numPr>
          <w:ilvl w:val="0"/>
          <w:numId w:val="27"/>
        </w:numPr>
        <w:tabs>
          <w:tab w:val="left" w:pos="1638"/>
        </w:tabs>
        <w:spacing w:before="0"/>
        <w:ind w:right="1639" w:firstLine="0"/>
        <w:rPr>
          <w:sz w:val="20"/>
        </w:rPr>
      </w:pPr>
      <w:r>
        <w:pict w14:anchorId="69E63D16">
          <v:rect id="docshape248" o:spid="_x0000_s2055" style="position:absolute;left:0;text-align:left;margin-left:148.55pt;margin-top:36.05pt;width:283.45pt;height:.6pt;z-index:-21742592;mso-position-horizontal-relative:page" fillcolor="black" stroked="f">
            <w10:wrap anchorx="page"/>
          </v:rect>
        </w:pict>
      </w:r>
      <w:r>
        <w:rPr>
          <w:sz w:val="20"/>
        </w:rPr>
        <w:t>CONFLICT</w:t>
      </w:r>
      <w:r>
        <w:rPr>
          <w:spacing w:val="-3"/>
          <w:sz w:val="20"/>
        </w:rPr>
        <w:t xml:space="preserve"> </w:t>
      </w:r>
      <w:r>
        <w:rPr>
          <w:sz w:val="20"/>
        </w:rPr>
        <w:t>WITH</w:t>
      </w:r>
      <w:r>
        <w:rPr>
          <w:spacing w:val="-1"/>
          <w:sz w:val="20"/>
        </w:rPr>
        <w:t xml:space="preserve"> </w:t>
      </w:r>
      <w:r>
        <w:rPr>
          <w:sz w:val="20"/>
        </w:rPr>
        <w:t>OTHERS</w:t>
      </w:r>
      <w:r>
        <w:rPr>
          <w:spacing w:val="-2"/>
          <w:sz w:val="20"/>
        </w:rPr>
        <w:t xml:space="preserve"> </w:t>
      </w:r>
      <w:r>
        <w:rPr>
          <w:sz w:val="20"/>
        </w:rPr>
        <w:t>(e.g.,</w:t>
      </w:r>
      <w:r>
        <w:rPr>
          <w:spacing w:val="-2"/>
          <w:sz w:val="20"/>
        </w:rPr>
        <w:t xml:space="preserve"> </w:t>
      </w:r>
      <w:r>
        <w:rPr>
          <w:sz w:val="20"/>
        </w:rPr>
        <w:t>if</w:t>
      </w:r>
      <w:r>
        <w:rPr>
          <w:spacing w:val="-3"/>
          <w:sz w:val="20"/>
        </w:rPr>
        <w:t xml:space="preserve"> </w:t>
      </w:r>
      <w:r>
        <w:rPr>
          <w:sz w:val="20"/>
        </w:rPr>
        <w:t>I</w:t>
      </w:r>
      <w:r>
        <w:rPr>
          <w:spacing w:val="-2"/>
          <w:sz w:val="20"/>
        </w:rPr>
        <w:t xml:space="preserve"> </w:t>
      </w:r>
      <w:r>
        <w:rPr>
          <w:sz w:val="20"/>
        </w:rPr>
        <w:t>had</w:t>
      </w:r>
      <w:r>
        <w:rPr>
          <w:spacing w:val="-1"/>
          <w:sz w:val="20"/>
        </w:rPr>
        <w:t xml:space="preserve"> </w:t>
      </w:r>
      <w:r>
        <w:rPr>
          <w:sz w:val="20"/>
        </w:rPr>
        <w:t>an</w:t>
      </w:r>
      <w:r>
        <w:rPr>
          <w:spacing w:val="-1"/>
          <w:sz w:val="20"/>
        </w:rPr>
        <w:t xml:space="preserve"> </w:t>
      </w:r>
      <w:r>
        <w:rPr>
          <w:sz w:val="20"/>
        </w:rPr>
        <w:t>argument</w:t>
      </w:r>
      <w:r>
        <w:rPr>
          <w:spacing w:val="-2"/>
          <w:sz w:val="20"/>
        </w:rPr>
        <w:t xml:space="preserve"> </w:t>
      </w:r>
      <w:r>
        <w:rPr>
          <w:sz w:val="20"/>
        </w:rPr>
        <w:t>with</w:t>
      </w:r>
      <w:r>
        <w:rPr>
          <w:spacing w:val="-1"/>
          <w:sz w:val="20"/>
        </w:rPr>
        <w:t xml:space="preserve"> </w:t>
      </w:r>
      <w:r>
        <w:rPr>
          <w:sz w:val="20"/>
        </w:rPr>
        <w:t>a</w:t>
      </w:r>
      <w:r>
        <w:rPr>
          <w:spacing w:val="-1"/>
          <w:sz w:val="20"/>
        </w:rPr>
        <w:t xml:space="preserve"> </w:t>
      </w:r>
      <w:r>
        <w:rPr>
          <w:sz w:val="20"/>
        </w:rPr>
        <w:t>friend;</w:t>
      </w:r>
      <w:r>
        <w:rPr>
          <w:spacing w:val="-3"/>
          <w:sz w:val="20"/>
        </w:rPr>
        <w:t xml:space="preserve"> </w:t>
      </w:r>
      <w:r>
        <w:rPr>
          <w:sz w:val="20"/>
        </w:rPr>
        <w:t>if</w:t>
      </w:r>
      <w:r>
        <w:rPr>
          <w:spacing w:val="-3"/>
          <w:sz w:val="20"/>
        </w:rPr>
        <w:t xml:space="preserve"> </w:t>
      </w:r>
      <w:r>
        <w:rPr>
          <w:sz w:val="20"/>
        </w:rPr>
        <w:t>I</w:t>
      </w:r>
      <w:r>
        <w:rPr>
          <w:spacing w:val="-2"/>
          <w:sz w:val="20"/>
        </w:rPr>
        <w:t xml:space="preserve"> </w:t>
      </w:r>
      <w:r>
        <w:rPr>
          <w:sz w:val="20"/>
        </w:rPr>
        <w:t>were</w:t>
      </w:r>
      <w:r>
        <w:rPr>
          <w:spacing w:val="-3"/>
          <w:sz w:val="20"/>
        </w:rPr>
        <w:t xml:space="preserve"> </w:t>
      </w:r>
      <w:r>
        <w:rPr>
          <w:sz w:val="20"/>
        </w:rPr>
        <w:t>not</w:t>
      </w:r>
      <w:r>
        <w:rPr>
          <w:spacing w:val="-2"/>
          <w:sz w:val="20"/>
        </w:rPr>
        <w:t xml:space="preserve"> </w:t>
      </w:r>
      <w:r>
        <w:rPr>
          <w:sz w:val="20"/>
        </w:rPr>
        <w:t>getting</w:t>
      </w:r>
      <w:r>
        <w:rPr>
          <w:spacing w:val="-2"/>
          <w:sz w:val="20"/>
        </w:rPr>
        <w:t xml:space="preserve"> </w:t>
      </w:r>
      <w:r>
        <w:rPr>
          <w:sz w:val="20"/>
        </w:rPr>
        <w:t>along</w:t>
      </w:r>
      <w:r>
        <w:rPr>
          <w:spacing w:val="-2"/>
          <w:sz w:val="20"/>
        </w:rPr>
        <w:t xml:space="preserve"> </w:t>
      </w:r>
      <w:r>
        <w:rPr>
          <w:sz w:val="20"/>
        </w:rPr>
        <w:t>well</w:t>
      </w:r>
      <w:r>
        <w:rPr>
          <w:spacing w:val="-1"/>
          <w:sz w:val="20"/>
        </w:rPr>
        <w:t xml:space="preserve"> </w:t>
      </w:r>
      <w:r>
        <w:rPr>
          <w:sz w:val="20"/>
        </w:rPr>
        <w:t>with</w:t>
      </w:r>
      <w:r>
        <w:rPr>
          <w:spacing w:val="-1"/>
          <w:sz w:val="20"/>
        </w:rPr>
        <w:t xml:space="preserve"> </w:t>
      </w:r>
      <w:r>
        <w:rPr>
          <w:sz w:val="20"/>
        </w:rPr>
        <w:t>others</w:t>
      </w:r>
      <w:r>
        <w:rPr>
          <w:spacing w:val="-3"/>
          <w:sz w:val="20"/>
        </w:rPr>
        <w:t xml:space="preserve"> </w:t>
      </w:r>
      <w:r>
        <w:rPr>
          <w:sz w:val="20"/>
        </w:rPr>
        <w:t xml:space="preserve">at </w:t>
      </w:r>
      <w:r>
        <w:rPr>
          <w:spacing w:val="-2"/>
          <w:sz w:val="20"/>
        </w:rPr>
        <w:t>work).</w:t>
      </w:r>
    </w:p>
    <w:p w14:paraId="2A836BDA" w14:textId="77777777" w:rsidR="00DB6E1F" w:rsidRDefault="00DB6E1F">
      <w:pPr>
        <w:pStyle w:val="BodyText"/>
        <w:spacing w:before="4"/>
        <w:rPr>
          <w:sz w:val="13"/>
        </w:rPr>
      </w:pPr>
    </w:p>
    <w:tbl>
      <w:tblPr>
        <w:tblW w:w="0" w:type="auto"/>
        <w:tblInd w:w="1397" w:type="dxa"/>
        <w:tblLayout w:type="fixed"/>
        <w:tblCellMar>
          <w:left w:w="0" w:type="dxa"/>
          <w:right w:w="0" w:type="dxa"/>
        </w:tblCellMar>
        <w:tblLook w:val="01E0" w:firstRow="1" w:lastRow="1" w:firstColumn="1" w:lastColumn="1" w:noHBand="0" w:noVBand="0"/>
      </w:tblPr>
      <w:tblGrid>
        <w:gridCol w:w="1039"/>
        <w:gridCol w:w="4114"/>
        <w:gridCol w:w="3516"/>
      </w:tblGrid>
      <w:tr w:rsidR="00DB6E1F" w14:paraId="786E5025" w14:textId="77777777">
        <w:trPr>
          <w:trHeight w:val="230"/>
        </w:trPr>
        <w:tc>
          <w:tcPr>
            <w:tcW w:w="1039" w:type="dxa"/>
          </w:tcPr>
          <w:p w14:paraId="0ECD6131" w14:textId="77777777" w:rsidR="00DB6E1F" w:rsidRDefault="00F666A6">
            <w:pPr>
              <w:pStyle w:val="TableParagraph"/>
              <w:spacing w:before="0" w:line="203" w:lineRule="exact"/>
              <w:ind w:left="50"/>
              <w:rPr>
                <w:sz w:val="20"/>
              </w:rPr>
            </w:pPr>
            <w:r>
              <w:rPr>
                <w:sz w:val="20"/>
              </w:rPr>
              <w:t>I</w:t>
            </w:r>
            <w:r>
              <w:rPr>
                <w:spacing w:val="-1"/>
                <w:sz w:val="20"/>
              </w:rPr>
              <w:t xml:space="preserve"> </w:t>
            </w:r>
            <w:r>
              <w:rPr>
                <w:spacing w:val="-2"/>
                <w:sz w:val="20"/>
              </w:rPr>
              <w:t>feel…</w:t>
            </w:r>
          </w:p>
        </w:tc>
        <w:tc>
          <w:tcPr>
            <w:tcW w:w="4114" w:type="dxa"/>
          </w:tcPr>
          <w:p w14:paraId="781643DA" w14:textId="77777777" w:rsidR="00DB6E1F" w:rsidRDefault="00F666A6">
            <w:pPr>
              <w:pStyle w:val="TableParagraph"/>
              <w:spacing w:before="0" w:line="203" w:lineRule="exact"/>
              <w:ind w:left="451"/>
              <w:rPr>
                <w:sz w:val="20"/>
              </w:rPr>
            </w:pPr>
            <w:r>
              <w:rPr>
                <w:w w:val="99"/>
                <w:sz w:val="20"/>
              </w:rPr>
              <w:t>|</w:t>
            </w:r>
          </w:p>
        </w:tc>
        <w:tc>
          <w:tcPr>
            <w:tcW w:w="3516" w:type="dxa"/>
          </w:tcPr>
          <w:p w14:paraId="09360519" w14:textId="77777777" w:rsidR="00DB6E1F" w:rsidRDefault="00F666A6">
            <w:pPr>
              <w:pStyle w:val="TableParagraph"/>
              <w:spacing w:before="0" w:line="203" w:lineRule="exact"/>
              <w:ind w:left="2097"/>
              <w:rPr>
                <w:sz w:val="20"/>
              </w:rPr>
            </w:pPr>
            <w:r>
              <w:rPr>
                <w:w w:val="99"/>
                <w:sz w:val="20"/>
              </w:rPr>
              <w:t>|</w:t>
            </w:r>
          </w:p>
        </w:tc>
      </w:tr>
      <w:tr w:rsidR="00DB6E1F" w14:paraId="27022938" w14:textId="77777777">
        <w:trPr>
          <w:trHeight w:val="262"/>
        </w:trPr>
        <w:tc>
          <w:tcPr>
            <w:tcW w:w="1039" w:type="dxa"/>
          </w:tcPr>
          <w:p w14:paraId="3B0580E5" w14:textId="77777777" w:rsidR="00DB6E1F" w:rsidRDefault="00DB6E1F">
            <w:pPr>
              <w:pStyle w:val="TableParagraph"/>
              <w:spacing w:before="0"/>
              <w:ind w:left="0"/>
              <w:rPr>
                <w:rFonts w:ascii="Times New Roman"/>
                <w:sz w:val="18"/>
              </w:rPr>
            </w:pPr>
          </w:p>
        </w:tc>
        <w:tc>
          <w:tcPr>
            <w:tcW w:w="4114" w:type="dxa"/>
          </w:tcPr>
          <w:p w14:paraId="5D2EA8EE" w14:textId="77777777" w:rsidR="00DB6E1F" w:rsidRDefault="00F666A6">
            <w:pPr>
              <w:pStyle w:val="TableParagraph"/>
              <w:spacing w:before="0" w:line="234" w:lineRule="exact"/>
              <w:ind w:left="451"/>
              <w:rPr>
                <w:sz w:val="20"/>
              </w:rPr>
            </w:pPr>
            <w:r>
              <w:rPr>
                <w:spacing w:val="-5"/>
                <w:sz w:val="20"/>
              </w:rPr>
              <w:t>0%</w:t>
            </w:r>
          </w:p>
        </w:tc>
        <w:tc>
          <w:tcPr>
            <w:tcW w:w="3516" w:type="dxa"/>
          </w:tcPr>
          <w:p w14:paraId="6213A733" w14:textId="77777777" w:rsidR="00DB6E1F" w:rsidRDefault="00F666A6">
            <w:pPr>
              <w:pStyle w:val="TableParagraph"/>
              <w:spacing w:before="0" w:line="234" w:lineRule="exact"/>
              <w:ind w:left="2097"/>
              <w:rPr>
                <w:sz w:val="20"/>
              </w:rPr>
            </w:pPr>
            <w:r>
              <w:rPr>
                <w:spacing w:val="-4"/>
                <w:sz w:val="20"/>
              </w:rPr>
              <w:t>100%</w:t>
            </w:r>
          </w:p>
        </w:tc>
      </w:tr>
      <w:tr w:rsidR="00DB6E1F" w14:paraId="753B37B3" w14:textId="77777777">
        <w:trPr>
          <w:trHeight w:val="231"/>
        </w:trPr>
        <w:tc>
          <w:tcPr>
            <w:tcW w:w="1039" w:type="dxa"/>
          </w:tcPr>
          <w:p w14:paraId="18F40D15" w14:textId="77777777" w:rsidR="00DB6E1F" w:rsidRDefault="00DB6E1F">
            <w:pPr>
              <w:pStyle w:val="TableParagraph"/>
              <w:spacing w:before="0"/>
              <w:ind w:left="0"/>
              <w:rPr>
                <w:rFonts w:ascii="Times New Roman"/>
                <w:sz w:val="16"/>
              </w:rPr>
            </w:pPr>
          </w:p>
        </w:tc>
        <w:tc>
          <w:tcPr>
            <w:tcW w:w="4114" w:type="dxa"/>
          </w:tcPr>
          <w:p w14:paraId="65A699E5" w14:textId="77777777" w:rsidR="00DB6E1F" w:rsidRDefault="00F666A6">
            <w:pPr>
              <w:pStyle w:val="TableParagraph"/>
              <w:spacing w:before="0" w:line="212" w:lineRule="exact"/>
              <w:ind w:left="451"/>
              <w:rPr>
                <w:sz w:val="20"/>
              </w:rPr>
            </w:pPr>
            <w:r>
              <w:rPr>
                <w:sz w:val="20"/>
              </w:rPr>
              <w:t>Not</w:t>
            </w:r>
            <w:r>
              <w:rPr>
                <w:spacing w:val="-3"/>
                <w:sz w:val="20"/>
              </w:rPr>
              <w:t xml:space="preserve"> </w:t>
            </w:r>
            <w:r>
              <w:rPr>
                <w:sz w:val="20"/>
              </w:rPr>
              <w:t>at</w:t>
            </w:r>
            <w:r>
              <w:rPr>
                <w:spacing w:val="-2"/>
                <w:sz w:val="20"/>
              </w:rPr>
              <w:t xml:space="preserve"> </w:t>
            </w:r>
            <w:r>
              <w:rPr>
                <w:sz w:val="20"/>
              </w:rPr>
              <w:t>all</w:t>
            </w:r>
            <w:r>
              <w:rPr>
                <w:spacing w:val="-2"/>
                <w:sz w:val="20"/>
              </w:rPr>
              <w:t xml:space="preserve"> confident</w:t>
            </w:r>
          </w:p>
        </w:tc>
        <w:tc>
          <w:tcPr>
            <w:tcW w:w="3516" w:type="dxa"/>
          </w:tcPr>
          <w:p w14:paraId="436ADA08" w14:textId="77777777" w:rsidR="00DB6E1F" w:rsidRDefault="00F666A6">
            <w:pPr>
              <w:pStyle w:val="TableParagraph"/>
              <w:spacing w:before="0" w:line="212" w:lineRule="exact"/>
              <w:ind w:left="2097"/>
              <w:rPr>
                <w:sz w:val="20"/>
              </w:rPr>
            </w:pPr>
            <w:r>
              <w:rPr>
                <w:sz w:val="20"/>
              </w:rPr>
              <w:t>Totally</w:t>
            </w:r>
            <w:r>
              <w:rPr>
                <w:spacing w:val="-9"/>
                <w:sz w:val="20"/>
              </w:rPr>
              <w:t xml:space="preserve"> </w:t>
            </w:r>
            <w:r>
              <w:rPr>
                <w:spacing w:val="-2"/>
                <w:sz w:val="20"/>
              </w:rPr>
              <w:t>confident</w:t>
            </w:r>
          </w:p>
        </w:tc>
      </w:tr>
    </w:tbl>
    <w:p w14:paraId="7BD4C336" w14:textId="77777777" w:rsidR="00DB6E1F" w:rsidRDefault="00F666A6">
      <w:pPr>
        <w:pStyle w:val="ListParagraph"/>
        <w:numPr>
          <w:ilvl w:val="0"/>
          <w:numId w:val="27"/>
        </w:numPr>
        <w:tabs>
          <w:tab w:val="left" w:pos="1638"/>
        </w:tabs>
        <w:spacing w:before="25"/>
        <w:ind w:right="1815" w:firstLine="0"/>
        <w:rPr>
          <w:sz w:val="20"/>
        </w:rPr>
      </w:pPr>
      <w:r>
        <w:rPr>
          <w:sz w:val="20"/>
        </w:rPr>
        <w:t>SOCIAL</w:t>
      </w:r>
      <w:r>
        <w:rPr>
          <w:spacing w:val="-2"/>
          <w:sz w:val="20"/>
        </w:rPr>
        <w:t xml:space="preserve"> </w:t>
      </w:r>
      <w:r>
        <w:rPr>
          <w:sz w:val="20"/>
        </w:rPr>
        <w:t>PRESSURE TO</w:t>
      </w:r>
      <w:r>
        <w:rPr>
          <w:spacing w:val="-2"/>
          <w:sz w:val="20"/>
        </w:rPr>
        <w:t xml:space="preserve"> </w:t>
      </w:r>
      <w:r>
        <w:rPr>
          <w:sz w:val="20"/>
        </w:rPr>
        <w:t>USE</w:t>
      </w:r>
      <w:r>
        <w:rPr>
          <w:spacing w:val="-2"/>
          <w:sz w:val="20"/>
        </w:rPr>
        <w:t xml:space="preserve"> </w:t>
      </w:r>
      <w:r>
        <w:rPr>
          <w:sz w:val="20"/>
        </w:rPr>
        <w:t>(e.g.,</w:t>
      </w:r>
      <w:r>
        <w:rPr>
          <w:spacing w:val="-2"/>
          <w:sz w:val="20"/>
        </w:rPr>
        <w:t xml:space="preserve"> </w:t>
      </w:r>
      <w:r>
        <w:rPr>
          <w:sz w:val="20"/>
        </w:rPr>
        <w:t>if</w:t>
      </w:r>
      <w:r>
        <w:rPr>
          <w:spacing w:val="-3"/>
          <w:sz w:val="20"/>
        </w:rPr>
        <w:t xml:space="preserve"> </w:t>
      </w:r>
      <w:r>
        <w:rPr>
          <w:sz w:val="20"/>
        </w:rPr>
        <w:t>someone</w:t>
      </w:r>
      <w:r>
        <w:rPr>
          <w:spacing w:val="-3"/>
          <w:sz w:val="20"/>
        </w:rPr>
        <w:t xml:space="preserve"> </w:t>
      </w:r>
      <w:r>
        <w:rPr>
          <w:sz w:val="20"/>
        </w:rPr>
        <w:t>were</w:t>
      </w:r>
      <w:r>
        <w:rPr>
          <w:spacing w:val="-3"/>
          <w:sz w:val="20"/>
        </w:rPr>
        <w:t xml:space="preserve"> </w:t>
      </w:r>
      <w:r>
        <w:rPr>
          <w:sz w:val="20"/>
        </w:rPr>
        <w:t>to</w:t>
      </w:r>
      <w:r>
        <w:rPr>
          <w:spacing w:val="-2"/>
          <w:sz w:val="20"/>
        </w:rPr>
        <w:t xml:space="preserve"> </w:t>
      </w:r>
      <w:r>
        <w:rPr>
          <w:sz w:val="20"/>
        </w:rPr>
        <w:t>pressure</w:t>
      </w:r>
      <w:r>
        <w:rPr>
          <w:spacing w:val="-3"/>
          <w:sz w:val="20"/>
        </w:rPr>
        <w:t xml:space="preserve"> </w:t>
      </w:r>
      <w:r>
        <w:rPr>
          <w:sz w:val="20"/>
        </w:rPr>
        <w:t>me</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a</w:t>
      </w:r>
      <w:r>
        <w:rPr>
          <w:spacing w:val="-2"/>
          <w:sz w:val="20"/>
        </w:rPr>
        <w:t xml:space="preserve"> </w:t>
      </w:r>
      <w:r>
        <w:rPr>
          <w:sz w:val="20"/>
        </w:rPr>
        <w:t>good</w:t>
      </w:r>
      <w:r>
        <w:rPr>
          <w:spacing w:val="-2"/>
          <w:sz w:val="20"/>
        </w:rPr>
        <w:t xml:space="preserve"> </w:t>
      </w:r>
      <w:r>
        <w:rPr>
          <w:sz w:val="20"/>
        </w:rPr>
        <w:t>sport”</w:t>
      </w:r>
      <w:r>
        <w:rPr>
          <w:spacing w:val="-2"/>
          <w:sz w:val="20"/>
        </w:rPr>
        <w:t xml:space="preserve"> </w:t>
      </w:r>
      <w:r>
        <w:rPr>
          <w:sz w:val="20"/>
        </w:rPr>
        <w:t>and</w:t>
      </w:r>
      <w:r>
        <w:rPr>
          <w:spacing w:val="-2"/>
          <w:sz w:val="20"/>
        </w:rPr>
        <w:t xml:space="preserve"> </w:t>
      </w:r>
      <w:r>
        <w:rPr>
          <w:sz w:val="20"/>
        </w:rPr>
        <w:t>drink</w:t>
      </w:r>
      <w:r>
        <w:rPr>
          <w:spacing w:val="-2"/>
          <w:sz w:val="20"/>
        </w:rPr>
        <w:t xml:space="preserve"> </w:t>
      </w:r>
      <w:r>
        <w:rPr>
          <w:sz w:val="20"/>
        </w:rPr>
        <w:t>or</w:t>
      </w:r>
      <w:r>
        <w:rPr>
          <w:spacing w:val="-2"/>
          <w:sz w:val="20"/>
        </w:rPr>
        <w:t xml:space="preserve"> </w:t>
      </w:r>
      <w:r>
        <w:rPr>
          <w:sz w:val="20"/>
        </w:rPr>
        <w:t>use</w:t>
      </w:r>
      <w:r>
        <w:rPr>
          <w:spacing w:val="-3"/>
          <w:sz w:val="20"/>
        </w:rPr>
        <w:t xml:space="preserve"> </w:t>
      </w:r>
      <w:r>
        <w:rPr>
          <w:sz w:val="20"/>
        </w:rPr>
        <w:t>drugs with him; if I were invited to someone’s home and he offered me a drink or drugs).</w:t>
      </w:r>
    </w:p>
    <w:p w14:paraId="2C51F21E" w14:textId="77777777" w:rsidR="00DB6E1F" w:rsidRDefault="00F666A6">
      <w:pPr>
        <w:tabs>
          <w:tab w:val="left" w:pos="2879"/>
          <w:tab w:val="left" w:pos="8639"/>
        </w:tabs>
        <w:spacing w:before="119"/>
        <w:ind w:left="1440"/>
        <w:rPr>
          <w:sz w:val="20"/>
        </w:rPr>
      </w:pPr>
      <w:r>
        <w:pict w14:anchorId="40C2738C">
          <v:rect id="docshape249" o:spid="_x0000_s2054" style="position:absolute;left:0;text-align:left;margin-left:148.55pt;margin-top:11.5pt;width:283.45pt;height:.6pt;z-index:-21742080;mso-position-horizontal-relative:page" fillcolor="black" stroked="f">
            <w10:wrap anchorx="page"/>
          </v:rect>
        </w:pict>
      </w:r>
      <w:r>
        <w:rPr>
          <w:sz w:val="20"/>
        </w:rPr>
        <w:t>I</w:t>
      </w:r>
      <w:r>
        <w:rPr>
          <w:spacing w:val="-1"/>
          <w:sz w:val="20"/>
        </w:rPr>
        <w:t xml:space="preserve"> </w:t>
      </w:r>
      <w:r>
        <w:rPr>
          <w:spacing w:val="-2"/>
          <w:sz w:val="20"/>
        </w:rPr>
        <w:t>feel…</w:t>
      </w:r>
      <w:r>
        <w:rPr>
          <w:sz w:val="20"/>
        </w:rPr>
        <w:tab/>
      </w:r>
      <w:r>
        <w:rPr>
          <w:spacing w:val="-10"/>
          <w:sz w:val="20"/>
        </w:rPr>
        <w:t>|</w:t>
      </w:r>
      <w:r>
        <w:rPr>
          <w:sz w:val="20"/>
        </w:rPr>
        <w:tab/>
      </w:r>
      <w:r>
        <w:rPr>
          <w:spacing w:val="-10"/>
          <w:sz w:val="20"/>
        </w:rPr>
        <w:t>|</w:t>
      </w:r>
    </w:p>
    <w:p w14:paraId="5EC23A58" w14:textId="77777777" w:rsidR="00DB6E1F" w:rsidRDefault="00F666A6">
      <w:pPr>
        <w:tabs>
          <w:tab w:val="left" w:pos="8639"/>
        </w:tabs>
        <w:spacing w:before="20"/>
        <w:ind w:left="2880"/>
        <w:rPr>
          <w:sz w:val="20"/>
        </w:rPr>
      </w:pPr>
      <w:r>
        <w:rPr>
          <w:spacing w:val="-5"/>
          <w:sz w:val="20"/>
        </w:rPr>
        <w:t>0%</w:t>
      </w:r>
      <w:r>
        <w:rPr>
          <w:sz w:val="20"/>
        </w:rPr>
        <w:tab/>
      </w:r>
      <w:r>
        <w:rPr>
          <w:spacing w:val="-4"/>
          <w:sz w:val="20"/>
        </w:rPr>
        <w:t>100%</w:t>
      </w:r>
    </w:p>
    <w:p w14:paraId="5C452CD1" w14:textId="77777777" w:rsidR="00DB6E1F" w:rsidRDefault="00DB6E1F">
      <w:pPr>
        <w:rPr>
          <w:sz w:val="20"/>
        </w:rPr>
        <w:sectPr w:rsidR="00DB6E1F">
          <w:pgSz w:w="12240" w:h="15840"/>
          <w:pgMar w:top="1200" w:right="0" w:bottom="780" w:left="0" w:header="763" w:footer="585" w:gutter="0"/>
          <w:cols w:space="720"/>
        </w:sectPr>
      </w:pPr>
    </w:p>
    <w:p w14:paraId="64D52883" w14:textId="77777777" w:rsidR="00DB6E1F" w:rsidRDefault="00DB6E1F">
      <w:pPr>
        <w:pStyle w:val="BodyText"/>
        <w:spacing w:before="7"/>
        <w:rPr>
          <w:sz w:val="14"/>
        </w:rPr>
      </w:pPr>
    </w:p>
    <w:p w14:paraId="60801A94" w14:textId="77777777" w:rsidR="00DB6E1F" w:rsidRDefault="00F666A6">
      <w:pPr>
        <w:tabs>
          <w:tab w:val="left" w:pos="8639"/>
        </w:tabs>
        <w:spacing w:before="59"/>
        <w:ind w:left="2880"/>
        <w:rPr>
          <w:sz w:val="20"/>
        </w:rPr>
      </w:pPr>
      <w:r>
        <w:rPr>
          <w:sz w:val="20"/>
        </w:rPr>
        <w:t>Not</w:t>
      </w:r>
      <w:r>
        <w:rPr>
          <w:spacing w:val="-3"/>
          <w:sz w:val="20"/>
        </w:rPr>
        <w:t xml:space="preserve"> </w:t>
      </w:r>
      <w:r>
        <w:rPr>
          <w:sz w:val="20"/>
        </w:rPr>
        <w:t>at</w:t>
      </w:r>
      <w:r>
        <w:rPr>
          <w:spacing w:val="-2"/>
          <w:sz w:val="20"/>
        </w:rPr>
        <w:t xml:space="preserve"> </w:t>
      </w:r>
      <w:r>
        <w:rPr>
          <w:sz w:val="20"/>
        </w:rPr>
        <w:t>all</w:t>
      </w:r>
      <w:r>
        <w:rPr>
          <w:spacing w:val="-2"/>
          <w:sz w:val="20"/>
        </w:rPr>
        <w:t xml:space="preserve"> confident</w:t>
      </w:r>
      <w:r>
        <w:rPr>
          <w:sz w:val="20"/>
        </w:rPr>
        <w:tab/>
        <w:t>Totally</w:t>
      </w:r>
      <w:r>
        <w:rPr>
          <w:spacing w:val="-9"/>
          <w:sz w:val="20"/>
        </w:rPr>
        <w:t xml:space="preserve"> </w:t>
      </w:r>
      <w:r>
        <w:rPr>
          <w:spacing w:val="-2"/>
          <w:sz w:val="20"/>
        </w:rPr>
        <w:t>confident</w:t>
      </w:r>
    </w:p>
    <w:p w14:paraId="2D889CAC" w14:textId="77777777" w:rsidR="00DB6E1F" w:rsidRDefault="00F666A6">
      <w:pPr>
        <w:pStyle w:val="ListParagraph"/>
        <w:numPr>
          <w:ilvl w:val="0"/>
          <w:numId w:val="27"/>
        </w:numPr>
        <w:tabs>
          <w:tab w:val="left" w:pos="1637"/>
        </w:tabs>
        <w:spacing w:before="20"/>
        <w:ind w:right="1652" w:firstLine="0"/>
        <w:rPr>
          <w:sz w:val="20"/>
        </w:rPr>
      </w:pPr>
      <w:r>
        <w:rPr>
          <w:sz w:val="20"/>
        </w:rPr>
        <w:t>PLEASANT</w:t>
      </w:r>
      <w:r>
        <w:rPr>
          <w:spacing w:val="-3"/>
          <w:sz w:val="20"/>
        </w:rPr>
        <w:t xml:space="preserve"> </w:t>
      </w:r>
      <w:r>
        <w:rPr>
          <w:sz w:val="20"/>
        </w:rPr>
        <w:t>TIMES</w:t>
      </w:r>
      <w:r>
        <w:rPr>
          <w:spacing w:val="-2"/>
          <w:sz w:val="20"/>
        </w:rPr>
        <w:t xml:space="preserve"> </w:t>
      </w:r>
      <w:r>
        <w:rPr>
          <w:sz w:val="20"/>
        </w:rPr>
        <w:t>WITH</w:t>
      </w:r>
      <w:r>
        <w:rPr>
          <w:spacing w:val="-1"/>
          <w:sz w:val="20"/>
        </w:rPr>
        <w:t xml:space="preserve"> </w:t>
      </w:r>
      <w:r>
        <w:rPr>
          <w:sz w:val="20"/>
        </w:rPr>
        <w:t>OTHERS</w:t>
      </w:r>
      <w:r>
        <w:rPr>
          <w:spacing w:val="-2"/>
          <w:sz w:val="20"/>
        </w:rPr>
        <w:t xml:space="preserve"> </w:t>
      </w:r>
      <w:r>
        <w:rPr>
          <w:sz w:val="20"/>
        </w:rPr>
        <w:t>(e.g.,</w:t>
      </w:r>
      <w:r>
        <w:rPr>
          <w:spacing w:val="-2"/>
          <w:sz w:val="20"/>
        </w:rPr>
        <w:t xml:space="preserve"> </w:t>
      </w:r>
      <w:r>
        <w:rPr>
          <w:sz w:val="20"/>
        </w:rPr>
        <w:t>if</w:t>
      </w:r>
      <w:r>
        <w:rPr>
          <w:spacing w:val="-3"/>
          <w:sz w:val="20"/>
        </w:rPr>
        <w:t xml:space="preserve"> </w:t>
      </w:r>
      <w:r>
        <w:rPr>
          <w:sz w:val="20"/>
        </w:rPr>
        <w:t>I</w:t>
      </w:r>
      <w:r>
        <w:rPr>
          <w:spacing w:val="-2"/>
          <w:sz w:val="20"/>
        </w:rPr>
        <w:t xml:space="preserve"> </w:t>
      </w:r>
      <w:r>
        <w:rPr>
          <w:sz w:val="20"/>
        </w:rPr>
        <w:t>wanted</w:t>
      </w:r>
      <w:r>
        <w:rPr>
          <w:spacing w:val="-1"/>
          <w:sz w:val="20"/>
        </w:rPr>
        <w:t xml:space="preserve"> </w:t>
      </w:r>
      <w:r>
        <w:rPr>
          <w:sz w:val="20"/>
        </w:rPr>
        <w:t>to</w:t>
      </w:r>
      <w:r>
        <w:rPr>
          <w:spacing w:val="-2"/>
          <w:sz w:val="20"/>
        </w:rPr>
        <w:t xml:space="preserve"> </w:t>
      </w:r>
      <w:r>
        <w:rPr>
          <w:sz w:val="20"/>
        </w:rPr>
        <w:t>celebrate</w:t>
      </w:r>
      <w:r>
        <w:rPr>
          <w:spacing w:val="-3"/>
          <w:sz w:val="20"/>
        </w:rPr>
        <w:t xml:space="preserve"> </w:t>
      </w:r>
      <w:r>
        <w:rPr>
          <w:sz w:val="20"/>
        </w:rPr>
        <w:t>with</w:t>
      </w:r>
      <w:r>
        <w:rPr>
          <w:spacing w:val="-1"/>
          <w:sz w:val="20"/>
        </w:rPr>
        <w:t xml:space="preserve"> </w:t>
      </w:r>
      <w:r>
        <w:rPr>
          <w:sz w:val="20"/>
        </w:rPr>
        <w:t>a</w:t>
      </w:r>
      <w:r>
        <w:rPr>
          <w:spacing w:val="-1"/>
          <w:sz w:val="20"/>
        </w:rPr>
        <w:t xml:space="preserve"> </w:t>
      </w:r>
      <w:r>
        <w:rPr>
          <w:sz w:val="20"/>
        </w:rPr>
        <w:t>friend;</w:t>
      </w:r>
      <w:r>
        <w:rPr>
          <w:spacing w:val="-3"/>
          <w:sz w:val="20"/>
        </w:rPr>
        <w:t xml:space="preserve"> </w:t>
      </w:r>
      <w:r>
        <w:rPr>
          <w:sz w:val="20"/>
        </w:rPr>
        <w:t>if</w:t>
      </w:r>
      <w:r>
        <w:rPr>
          <w:spacing w:val="-3"/>
          <w:sz w:val="20"/>
        </w:rPr>
        <w:t xml:space="preserve"> </w:t>
      </w:r>
      <w:r>
        <w:rPr>
          <w:sz w:val="20"/>
        </w:rPr>
        <w:t>I were</w:t>
      </w:r>
      <w:r>
        <w:rPr>
          <w:spacing w:val="-3"/>
          <w:sz w:val="20"/>
        </w:rPr>
        <w:t xml:space="preserve"> </w:t>
      </w:r>
      <w:r>
        <w:rPr>
          <w:sz w:val="20"/>
        </w:rPr>
        <w:t>enjoying</w:t>
      </w:r>
      <w:r>
        <w:rPr>
          <w:spacing w:val="-2"/>
          <w:sz w:val="20"/>
        </w:rPr>
        <w:t xml:space="preserve"> </w:t>
      </w:r>
      <w:r>
        <w:rPr>
          <w:sz w:val="20"/>
        </w:rPr>
        <w:t>myself</w:t>
      </w:r>
      <w:r>
        <w:rPr>
          <w:spacing w:val="-3"/>
          <w:sz w:val="20"/>
        </w:rPr>
        <w:t xml:space="preserve"> </w:t>
      </w:r>
      <w:r>
        <w:rPr>
          <w:sz w:val="20"/>
        </w:rPr>
        <w:t>at</w:t>
      </w:r>
      <w:r>
        <w:rPr>
          <w:spacing w:val="-2"/>
          <w:sz w:val="20"/>
        </w:rPr>
        <w:t xml:space="preserve"> </w:t>
      </w:r>
      <w:r>
        <w:rPr>
          <w:sz w:val="20"/>
        </w:rPr>
        <w:t>a</w:t>
      </w:r>
      <w:r>
        <w:rPr>
          <w:spacing w:val="-1"/>
          <w:sz w:val="20"/>
        </w:rPr>
        <w:t xml:space="preserve"> </w:t>
      </w:r>
      <w:r>
        <w:rPr>
          <w:sz w:val="20"/>
        </w:rPr>
        <w:t>party and wanted to feel even better).</w:t>
      </w:r>
    </w:p>
    <w:p w14:paraId="6CEF4474" w14:textId="77777777" w:rsidR="00DB6E1F" w:rsidRDefault="00F666A6">
      <w:pPr>
        <w:tabs>
          <w:tab w:val="left" w:pos="2879"/>
          <w:tab w:val="left" w:pos="8639"/>
        </w:tabs>
        <w:spacing w:before="119"/>
        <w:ind w:left="1440"/>
        <w:rPr>
          <w:sz w:val="20"/>
        </w:rPr>
      </w:pPr>
      <w:r>
        <w:pict w14:anchorId="7ED793AD">
          <v:rect id="docshape250" o:spid="_x0000_s2053" style="position:absolute;left:0;text-align:left;margin-left:148.55pt;margin-top:11.5pt;width:283.45pt;height:.6pt;z-index:-21741568;mso-position-horizontal-relative:page" fillcolor="black" stroked="f">
            <w10:wrap anchorx="page"/>
          </v:rect>
        </w:pict>
      </w:r>
      <w:r>
        <w:rPr>
          <w:sz w:val="20"/>
        </w:rPr>
        <w:t>I</w:t>
      </w:r>
      <w:r>
        <w:rPr>
          <w:spacing w:val="-1"/>
          <w:sz w:val="20"/>
        </w:rPr>
        <w:t xml:space="preserve"> </w:t>
      </w:r>
      <w:r>
        <w:rPr>
          <w:spacing w:val="-2"/>
          <w:sz w:val="20"/>
        </w:rPr>
        <w:t>feel…</w:t>
      </w:r>
      <w:r>
        <w:rPr>
          <w:sz w:val="20"/>
        </w:rPr>
        <w:tab/>
      </w:r>
      <w:r>
        <w:rPr>
          <w:spacing w:val="-10"/>
          <w:sz w:val="20"/>
        </w:rPr>
        <w:t>|</w:t>
      </w:r>
      <w:r>
        <w:rPr>
          <w:sz w:val="20"/>
        </w:rPr>
        <w:tab/>
      </w:r>
      <w:r>
        <w:rPr>
          <w:spacing w:val="-10"/>
          <w:sz w:val="20"/>
        </w:rPr>
        <w:t>|</w:t>
      </w:r>
    </w:p>
    <w:p w14:paraId="32220B68" w14:textId="77777777" w:rsidR="00DB6E1F" w:rsidRDefault="00F666A6">
      <w:pPr>
        <w:tabs>
          <w:tab w:val="left" w:pos="8639"/>
        </w:tabs>
        <w:spacing w:before="20"/>
        <w:ind w:left="2880"/>
        <w:rPr>
          <w:sz w:val="20"/>
        </w:rPr>
      </w:pPr>
      <w:r>
        <w:rPr>
          <w:spacing w:val="-5"/>
          <w:sz w:val="20"/>
        </w:rPr>
        <w:t>0%</w:t>
      </w:r>
      <w:r>
        <w:rPr>
          <w:sz w:val="20"/>
        </w:rPr>
        <w:tab/>
      </w:r>
      <w:r>
        <w:rPr>
          <w:spacing w:val="-4"/>
          <w:sz w:val="20"/>
        </w:rPr>
        <w:t>100%</w:t>
      </w:r>
    </w:p>
    <w:p w14:paraId="5F1C5298" w14:textId="77777777" w:rsidR="00DB6E1F" w:rsidRDefault="00F666A6">
      <w:pPr>
        <w:tabs>
          <w:tab w:val="left" w:pos="8640"/>
        </w:tabs>
        <w:spacing w:before="20"/>
        <w:ind w:left="2880"/>
        <w:rPr>
          <w:sz w:val="20"/>
        </w:rPr>
      </w:pPr>
      <w:r>
        <w:rPr>
          <w:sz w:val="20"/>
        </w:rPr>
        <w:t>Not</w:t>
      </w:r>
      <w:r>
        <w:rPr>
          <w:spacing w:val="-3"/>
          <w:sz w:val="20"/>
        </w:rPr>
        <w:t xml:space="preserve"> </w:t>
      </w:r>
      <w:r>
        <w:rPr>
          <w:sz w:val="20"/>
        </w:rPr>
        <w:t>at</w:t>
      </w:r>
      <w:r>
        <w:rPr>
          <w:spacing w:val="-2"/>
          <w:sz w:val="20"/>
        </w:rPr>
        <w:t xml:space="preserve"> </w:t>
      </w:r>
      <w:r>
        <w:rPr>
          <w:sz w:val="20"/>
        </w:rPr>
        <w:t>all</w:t>
      </w:r>
      <w:r>
        <w:rPr>
          <w:spacing w:val="-2"/>
          <w:sz w:val="20"/>
        </w:rPr>
        <w:t xml:space="preserve"> confident</w:t>
      </w:r>
      <w:r>
        <w:rPr>
          <w:sz w:val="20"/>
        </w:rPr>
        <w:tab/>
        <w:t>Totally</w:t>
      </w:r>
      <w:r>
        <w:rPr>
          <w:spacing w:val="-9"/>
          <w:sz w:val="20"/>
        </w:rPr>
        <w:t xml:space="preserve"> </w:t>
      </w:r>
      <w:r>
        <w:rPr>
          <w:spacing w:val="-2"/>
          <w:sz w:val="20"/>
        </w:rPr>
        <w:t>confident</w:t>
      </w:r>
    </w:p>
    <w:p w14:paraId="5C998BCD" w14:textId="77777777" w:rsidR="00DB6E1F" w:rsidRDefault="00F666A6">
      <w:pPr>
        <w:spacing w:before="17"/>
        <w:ind w:left="1440" w:right="1491"/>
        <w:rPr>
          <w:sz w:val="20"/>
        </w:rPr>
      </w:pPr>
      <w:r>
        <w:rPr>
          <w:b/>
          <w:sz w:val="20"/>
        </w:rPr>
        <w:t>Scoring</w:t>
      </w:r>
      <w:r>
        <w:rPr>
          <w:sz w:val="20"/>
        </w:rPr>
        <w:t>:</w:t>
      </w:r>
      <w:r>
        <w:rPr>
          <w:spacing w:val="-3"/>
          <w:sz w:val="20"/>
        </w:rPr>
        <w:t xml:space="preserve"> </w:t>
      </w:r>
      <w:r>
        <w:rPr>
          <w:sz w:val="20"/>
        </w:rPr>
        <w:t>Each</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8</w:t>
      </w:r>
      <w:r>
        <w:rPr>
          <w:spacing w:val="-2"/>
          <w:sz w:val="20"/>
        </w:rPr>
        <w:t xml:space="preserve"> </w:t>
      </w:r>
      <w:r>
        <w:rPr>
          <w:sz w:val="20"/>
        </w:rPr>
        <w:t>scales</w:t>
      </w:r>
      <w:r>
        <w:rPr>
          <w:spacing w:val="-3"/>
          <w:sz w:val="20"/>
        </w:rPr>
        <w:t xml:space="preserve"> </w:t>
      </w:r>
      <w:r>
        <w:rPr>
          <w:sz w:val="20"/>
        </w:rPr>
        <w:t>produces</w:t>
      </w:r>
      <w:r>
        <w:rPr>
          <w:spacing w:val="-3"/>
          <w:sz w:val="20"/>
        </w:rPr>
        <w:t xml:space="preserve"> </w:t>
      </w:r>
      <w:r>
        <w:rPr>
          <w:sz w:val="20"/>
        </w:rPr>
        <w:t>a</w:t>
      </w:r>
      <w:r>
        <w:rPr>
          <w:spacing w:val="-2"/>
          <w:sz w:val="20"/>
        </w:rPr>
        <w:t xml:space="preserve"> </w:t>
      </w:r>
      <w:r>
        <w:rPr>
          <w:sz w:val="20"/>
        </w:rPr>
        <w:t>score</w:t>
      </w:r>
      <w:r>
        <w:rPr>
          <w:spacing w:val="-3"/>
          <w:sz w:val="20"/>
        </w:rPr>
        <w:t xml:space="preserve"> </w:t>
      </w:r>
      <w:r>
        <w:rPr>
          <w:sz w:val="20"/>
        </w:rPr>
        <w:t>from</w:t>
      </w:r>
      <w:r>
        <w:rPr>
          <w:spacing w:val="-3"/>
          <w:sz w:val="20"/>
        </w:rPr>
        <w:t xml:space="preserve"> </w:t>
      </w:r>
      <w:r>
        <w:rPr>
          <w:sz w:val="20"/>
        </w:rPr>
        <w:t>0%</w:t>
      </w:r>
      <w:r>
        <w:rPr>
          <w:spacing w:val="-3"/>
          <w:sz w:val="20"/>
        </w:rPr>
        <w:t xml:space="preserve"> </w:t>
      </w:r>
      <w:r>
        <w:rPr>
          <w:sz w:val="20"/>
        </w:rPr>
        <w:t>to</w:t>
      </w:r>
      <w:r>
        <w:rPr>
          <w:spacing w:val="-2"/>
          <w:sz w:val="20"/>
        </w:rPr>
        <w:t xml:space="preserve"> </w:t>
      </w:r>
      <w:r>
        <w:rPr>
          <w:sz w:val="20"/>
        </w:rPr>
        <w:t>100</w:t>
      </w:r>
      <w:r>
        <w:rPr>
          <w:spacing w:val="-2"/>
          <w:sz w:val="20"/>
        </w:rPr>
        <w:t xml:space="preserve"> </w:t>
      </w:r>
      <w:r>
        <w:rPr>
          <w:sz w:val="20"/>
        </w:rPr>
        <w:t>%.</w:t>
      </w:r>
      <w:r>
        <w:rPr>
          <w:spacing w:val="-2"/>
          <w:sz w:val="20"/>
        </w:rPr>
        <w:t xml:space="preserve"> </w:t>
      </w:r>
      <w:r>
        <w:rPr>
          <w:sz w:val="20"/>
        </w:rPr>
        <w:t>Identify</w:t>
      </w:r>
      <w:r>
        <w:rPr>
          <w:spacing w:val="-1"/>
          <w:sz w:val="20"/>
        </w:rPr>
        <w:t xml:space="preserve"> </w:t>
      </w:r>
      <w:r>
        <w:rPr>
          <w:sz w:val="20"/>
        </w:rPr>
        <w:t>1</w:t>
      </w:r>
      <w:r>
        <w:rPr>
          <w:spacing w:val="-2"/>
          <w:sz w:val="20"/>
        </w:rPr>
        <w:t xml:space="preserve"> </w:t>
      </w:r>
      <w:r>
        <w:rPr>
          <w:sz w:val="20"/>
        </w:rPr>
        <w:t>to</w:t>
      </w:r>
      <w:r>
        <w:rPr>
          <w:spacing w:val="-2"/>
          <w:sz w:val="20"/>
        </w:rPr>
        <w:t xml:space="preserve"> </w:t>
      </w:r>
      <w:r>
        <w:rPr>
          <w:sz w:val="20"/>
        </w:rPr>
        <w:t>3</w:t>
      </w:r>
      <w:r>
        <w:rPr>
          <w:spacing w:val="-2"/>
          <w:sz w:val="20"/>
        </w:rPr>
        <w:t xml:space="preserve"> </w:t>
      </w:r>
      <w:r>
        <w:rPr>
          <w:sz w:val="20"/>
        </w:rPr>
        <w:t>situations</w:t>
      </w:r>
      <w:r>
        <w:rPr>
          <w:spacing w:val="-3"/>
          <w:sz w:val="20"/>
        </w:rPr>
        <w:t xml:space="preserve"> </w:t>
      </w:r>
      <w:r>
        <w:rPr>
          <w:sz w:val="20"/>
        </w:rPr>
        <w:t>where</w:t>
      </w:r>
      <w:r>
        <w:rPr>
          <w:spacing w:val="-3"/>
          <w:sz w:val="20"/>
        </w:rPr>
        <w:t xml:space="preserve"> </w:t>
      </w:r>
      <w:r>
        <w:rPr>
          <w:sz w:val="20"/>
        </w:rPr>
        <w:t>the</w:t>
      </w:r>
      <w:r>
        <w:rPr>
          <w:spacing w:val="-3"/>
          <w:sz w:val="20"/>
        </w:rPr>
        <w:t xml:space="preserve"> </w:t>
      </w:r>
      <w:r>
        <w:rPr>
          <w:sz w:val="20"/>
        </w:rPr>
        <w:t>client</w:t>
      </w:r>
      <w:r>
        <w:rPr>
          <w:spacing w:val="-2"/>
          <w:sz w:val="20"/>
        </w:rPr>
        <w:t xml:space="preserve"> </w:t>
      </w:r>
      <w:r>
        <w:rPr>
          <w:sz w:val="20"/>
        </w:rPr>
        <w:t>has</w:t>
      </w:r>
      <w:r>
        <w:rPr>
          <w:spacing w:val="-3"/>
          <w:sz w:val="20"/>
        </w:rPr>
        <w:t xml:space="preserve"> </w:t>
      </w:r>
      <w:r>
        <w:rPr>
          <w:sz w:val="20"/>
        </w:rPr>
        <w:t>the lowest confidence rating for further discussion.</w:t>
      </w:r>
    </w:p>
    <w:p w14:paraId="0995179C" w14:textId="77777777" w:rsidR="00DB6E1F" w:rsidRDefault="00F666A6">
      <w:pPr>
        <w:spacing w:before="121"/>
        <w:ind w:left="1440" w:right="1491"/>
        <w:rPr>
          <w:sz w:val="20"/>
        </w:rPr>
      </w:pPr>
      <w:r>
        <w:rPr>
          <w:sz w:val="20"/>
        </w:rPr>
        <w:t>Instructions</w:t>
      </w:r>
      <w:r>
        <w:rPr>
          <w:spacing w:val="-6"/>
          <w:sz w:val="20"/>
        </w:rPr>
        <w:t xml:space="preserve"> </w:t>
      </w:r>
      <w:r>
        <w:rPr>
          <w:sz w:val="20"/>
        </w:rPr>
        <w:t>for</w:t>
      </w:r>
      <w:r>
        <w:rPr>
          <w:spacing w:val="-5"/>
          <w:sz w:val="20"/>
        </w:rPr>
        <w:t xml:space="preserve"> </w:t>
      </w:r>
      <w:r>
        <w:rPr>
          <w:sz w:val="20"/>
        </w:rPr>
        <w:t>presenting</w:t>
      </w:r>
      <w:r>
        <w:rPr>
          <w:spacing w:val="-5"/>
          <w:sz w:val="20"/>
        </w:rPr>
        <w:t xml:space="preserve"> </w:t>
      </w:r>
      <w:r>
        <w:rPr>
          <w:sz w:val="20"/>
        </w:rPr>
        <w:t>findings</w:t>
      </w:r>
      <w:r>
        <w:rPr>
          <w:spacing w:val="-6"/>
          <w:sz w:val="20"/>
        </w:rPr>
        <w:t xml:space="preserve"> </w:t>
      </w:r>
      <w:r>
        <w:rPr>
          <w:sz w:val="20"/>
        </w:rPr>
        <w:t>to</w:t>
      </w:r>
      <w:r>
        <w:rPr>
          <w:spacing w:val="-5"/>
          <w:sz w:val="20"/>
        </w:rPr>
        <w:t xml:space="preserve"> </w:t>
      </w:r>
      <w:r>
        <w:rPr>
          <w:sz w:val="20"/>
        </w:rPr>
        <w:t>clients</w:t>
      </w:r>
      <w:r>
        <w:rPr>
          <w:spacing w:val="-5"/>
          <w:sz w:val="20"/>
        </w:rPr>
        <w:t xml:space="preserve"> </w:t>
      </w:r>
      <w:r>
        <w:rPr>
          <w:sz w:val="20"/>
        </w:rPr>
        <w:t>are</w:t>
      </w:r>
      <w:r>
        <w:rPr>
          <w:spacing w:val="-6"/>
          <w:sz w:val="20"/>
        </w:rPr>
        <w:t xml:space="preserve"> </w:t>
      </w:r>
      <w:r>
        <w:rPr>
          <w:sz w:val="20"/>
        </w:rPr>
        <w:t>available</w:t>
      </w:r>
      <w:r>
        <w:rPr>
          <w:spacing w:val="-6"/>
          <w:sz w:val="20"/>
        </w:rPr>
        <w:t xml:space="preserve"> </w:t>
      </w:r>
      <w:r>
        <w:rPr>
          <w:sz w:val="20"/>
        </w:rPr>
        <w:t xml:space="preserve">online </w:t>
      </w:r>
      <w:r>
        <w:rPr>
          <w:spacing w:val="-2"/>
          <w:sz w:val="20"/>
        </w:rPr>
        <w:t>(</w:t>
      </w:r>
      <w:hyperlink r:id="rId181">
        <w:r>
          <w:rPr>
            <w:color w:val="0563C1"/>
            <w:spacing w:val="-2"/>
            <w:sz w:val="20"/>
            <w:u w:val="single" w:color="0563C1"/>
          </w:rPr>
          <w:t>www.nova.edu/gsc/forms/BSCQ%20Instructions.pdf</w:t>
        </w:r>
      </w:hyperlink>
      <w:r>
        <w:rPr>
          <w:spacing w:val="-2"/>
          <w:sz w:val="20"/>
        </w:rPr>
        <w:t>).</w:t>
      </w:r>
    </w:p>
    <w:p w14:paraId="37B770DF" w14:textId="77777777" w:rsidR="00DB6E1F" w:rsidRDefault="00F666A6">
      <w:pPr>
        <w:spacing w:before="119"/>
        <w:ind w:left="1440"/>
        <w:rPr>
          <w:sz w:val="20"/>
        </w:rPr>
      </w:pPr>
      <w:r>
        <w:rPr>
          <w:sz w:val="20"/>
        </w:rPr>
        <w:t>A</w:t>
      </w:r>
      <w:r>
        <w:rPr>
          <w:spacing w:val="-7"/>
          <w:sz w:val="20"/>
        </w:rPr>
        <w:t xml:space="preserve"> </w:t>
      </w:r>
      <w:r>
        <w:rPr>
          <w:sz w:val="20"/>
        </w:rPr>
        <w:t>blank</w:t>
      </w:r>
      <w:r>
        <w:rPr>
          <w:spacing w:val="-7"/>
          <w:sz w:val="20"/>
        </w:rPr>
        <w:t xml:space="preserve"> </w:t>
      </w:r>
      <w:r>
        <w:rPr>
          <w:sz w:val="20"/>
        </w:rPr>
        <w:t>self-confidence</w:t>
      </w:r>
      <w:r>
        <w:rPr>
          <w:spacing w:val="-7"/>
          <w:sz w:val="20"/>
        </w:rPr>
        <w:t xml:space="preserve"> </w:t>
      </w:r>
      <w:r>
        <w:rPr>
          <w:sz w:val="20"/>
        </w:rPr>
        <w:t>profile</w:t>
      </w:r>
      <w:r>
        <w:rPr>
          <w:spacing w:val="-8"/>
          <w:sz w:val="20"/>
        </w:rPr>
        <w:t xml:space="preserve"> </w:t>
      </w:r>
      <w:r>
        <w:rPr>
          <w:sz w:val="20"/>
        </w:rPr>
        <w:t>chart</w:t>
      </w:r>
      <w:r>
        <w:rPr>
          <w:spacing w:val="-7"/>
          <w:sz w:val="20"/>
        </w:rPr>
        <w:t xml:space="preserve"> </w:t>
      </w:r>
      <w:r>
        <w:rPr>
          <w:sz w:val="20"/>
        </w:rPr>
        <w:t>is</w:t>
      </w:r>
      <w:r>
        <w:rPr>
          <w:spacing w:val="-8"/>
          <w:sz w:val="20"/>
        </w:rPr>
        <w:t xml:space="preserve"> </w:t>
      </w:r>
      <w:r>
        <w:rPr>
          <w:sz w:val="20"/>
        </w:rPr>
        <w:t>available</w:t>
      </w:r>
      <w:r>
        <w:rPr>
          <w:spacing w:val="-8"/>
          <w:sz w:val="20"/>
        </w:rPr>
        <w:t xml:space="preserve"> </w:t>
      </w:r>
      <w:r>
        <w:rPr>
          <w:sz w:val="20"/>
        </w:rPr>
        <w:t>online</w:t>
      </w:r>
      <w:r>
        <w:rPr>
          <w:spacing w:val="-8"/>
          <w:sz w:val="20"/>
        </w:rPr>
        <w:t xml:space="preserve"> </w:t>
      </w:r>
      <w:r>
        <w:rPr>
          <w:spacing w:val="-2"/>
          <w:sz w:val="20"/>
        </w:rPr>
        <w:t>(</w:t>
      </w:r>
      <w:hyperlink r:id="rId182">
        <w:r>
          <w:rPr>
            <w:color w:val="0563C1"/>
            <w:spacing w:val="-2"/>
            <w:sz w:val="20"/>
            <w:u w:val="single" w:color="0563C1"/>
          </w:rPr>
          <w:t>www.nova.edu/gsc/forms/BSCQ%20blank.pdf</w:t>
        </w:r>
        <w:r>
          <w:rPr>
            <w:spacing w:val="-2"/>
            <w:sz w:val="20"/>
          </w:rPr>
          <w:t>)</w:t>
        </w:r>
      </w:hyperlink>
      <w:r>
        <w:rPr>
          <w:spacing w:val="-2"/>
          <w:sz w:val="20"/>
        </w:rPr>
        <w:t>.</w:t>
      </w:r>
    </w:p>
    <w:p w14:paraId="1371F381" w14:textId="77777777" w:rsidR="00DB6E1F" w:rsidRDefault="00DB6E1F">
      <w:pPr>
        <w:pStyle w:val="BodyText"/>
        <w:spacing w:before="9" w:after="1"/>
        <w:rPr>
          <w:sz w:val="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BC54C01" w14:textId="77777777">
        <w:trPr>
          <w:trHeight w:val="405"/>
        </w:trPr>
        <w:tc>
          <w:tcPr>
            <w:tcW w:w="9350" w:type="dxa"/>
          </w:tcPr>
          <w:p w14:paraId="15976333" w14:textId="77777777" w:rsidR="00DB6E1F" w:rsidRDefault="00F666A6">
            <w:pPr>
              <w:pStyle w:val="TableParagraph"/>
              <w:spacing w:before="80"/>
              <w:rPr>
                <w:i/>
                <w:sz w:val="20"/>
              </w:rPr>
            </w:pPr>
            <w:r>
              <w:rPr>
                <w:i/>
                <w:sz w:val="20"/>
              </w:rPr>
              <w:t>Source:</w:t>
            </w:r>
            <w:r>
              <w:rPr>
                <w:i/>
                <w:spacing w:val="-8"/>
                <w:sz w:val="20"/>
              </w:rPr>
              <w:t xml:space="preserve"> </w:t>
            </w:r>
            <w:r>
              <w:rPr>
                <w:i/>
                <w:sz w:val="20"/>
              </w:rPr>
              <w:t>Bresslin,</w:t>
            </w:r>
            <w:r>
              <w:rPr>
                <w:i/>
                <w:spacing w:val="-6"/>
                <w:sz w:val="20"/>
              </w:rPr>
              <w:t xml:space="preserve"> </w:t>
            </w:r>
            <w:r>
              <w:rPr>
                <w:i/>
                <w:sz w:val="20"/>
              </w:rPr>
              <w:t>Sobell,</w:t>
            </w:r>
            <w:r>
              <w:rPr>
                <w:i/>
                <w:spacing w:val="-6"/>
                <w:sz w:val="20"/>
              </w:rPr>
              <w:t xml:space="preserve"> </w:t>
            </w:r>
            <w:r>
              <w:rPr>
                <w:i/>
                <w:sz w:val="20"/>
              </w:rPr>
              <w:t>&amp;</w:t>
            </w:r>
            <w:r>
              <w:rPr>
                <w:i/>
                <w:spacing w:val="-5"/>
                <w:sz w:val="20"/>
              </w:rPr>
              <w:t xml:space="preserve"> </w:t>
            </w:r>
            <w:r>
              <w:rPr>
                <w:i/>
                <w:sz w:val="20"/>
              </w:rPr>
              <w:t>Sobell,</w:t>
            </w:r>
            <w:r>
              <w:rPr>
                <w:i/>
                <w:spacing w:val="-6"/>
                <w:sz w:val="20"/>
              </w:rPr>
              <w:t xml:space="preserve"> </w:t>
            </w:r>
            <w:r>
              <w:rPr>
                <w:i/>
                <w:sz w:val="20"/>
              </w:rPr>
              <w:t>200</w:t>
            </w:r>
            <w:r>
              <w:rPr>
                <w:i/>
                <w:sz w:val="20"/>
              </w:rPr>
              <w:t>0.</w:t>
            </w:r>
            <w:r>
              <w:rPr>
                <w:i/>
                <w:spacing w:val="-7"/>
                <w:sz w:val="20"/>
              </w:rPr>
              <w:t xml:space="preserve"> </w:t>
            </w:r>
            <w:r>
              <w:rPr>
                <w:i/>
                <w:sz w:val="20"/>
              </w:rPr>
              <w:t>Adapted</w:t>
            </w:r>
            <w:r>
              <w:rPr>
                <w:i/>
                <w:spacing w:val="-6"/>
                <w:sz w:val="20"/>
              </w:rPr>
              <w:t xml:space="preserve"> </w:t>
            </w:r>
            <w:r>
              <w:rPr>
                <w:i/>
                <w:sz w:val="20"/>
              </w:rPr>
              <w:t>from</w:t>
            </w:r>
            <w:r>
              <w:rPr>
                <w:i/>
                <w:spacing w:val="-6"/>
                <w:sz w:val="20"/>
              </w:rPr>
              <w:t xml:space="preserve"> </w:t>
            </w:r>
            <w:r>
              <w:rPr>
                <w:i/>
                <w:sz w:val="20"/>
              </w:rPr>
              <w:t>material</w:t>
            </w:r>
            <w:r>
              <w:rPr>
                <w:i/>
                <w:spacing w:val="-6"/>
                <w:sz w:val="20"/>
              </w:rPr>
              <w:t xml:space="preserve"> </w:t>
            </w:r>
            <w:r>
              <w:rPr>
                <w:i/>
                <w:sz w:val="20"/>
              </w:rPr>
              <w:t>in</w:t>
            </w:r>
            <w:r>
              <w:rPr>
                <w:i/>
                <w:spacing w:val="-6"/>
                <w:sz w:val="20"/>
              </w:rPr>
              <w:t xml:space="preserve"> </w:t>
            </w:r>
            <w:r>
              <w:rPr>
                <w:i/>
                <w:sz w:val="20"/>
              </w:rPr>
              <w:t>the</w:t>
            </w:r>
            <w:r>
              <w:rPr>
                <w:i/>
                <w:spacing w:val="-6"/>
                <w:sz w:val="20"/>
              </w:rPr>
              <w:t xml:space="preserve"> </w:t>
            </w:r>
            <w:r>
              <w:rPr>
                <w:i/>
                <w:sz w:val="20"/>
              </w:rPr>
              <w:t>public</w:t>
            </w:r>
            <w:r>
              <w:rPr>
                <w:i/>
                <w:spacing w:val="-7"/>
                <w:sz w:val="20"/>
              </w:rPr>
              <w:t xml:space="preserve"> </w:t>
            </w:r>
            <w:r>
              <w:rPr>
                <w:i/>
                <w:spacing w:val="-2"/>
                <w:sz w:val="20"/>
              </w:rPr>
              <w:t>domain.</w:t>
            </w:r>
          </w:p>
        </w:tc>
      </w:tr>
    </w:tbl>
    <w:p w14:paraId="0B01B036" w14:textId="77777777" w:rsidR="00DB6E1F" w:rsidRDefault="00DB6E1F">
      <w:pPr>
        <w:rPr>
          <w:sz w:val="20"/>
        </w:rPr>
        <w:sectPr w:rsidR="00DB6E1F">
          <w:pgSz w:w="12240" w:h="15840"/>
          <w:pgMar w:top="1200" w:right="0" w:bottom="780" w:left="0" w:header="763" w:footer="585" w:gutter="0"/>
          <w:cols w:space="720"/>
        </w:sectPr>
      </w:pPr>
    </w:p>
    <w:p w14:paraId="5AD1C62E" w14:textId="77777777" w:rsidR="00DB6E1F" w:rsidRDefault="00DB6E1F">
      <w:pPr>
        <w:pStyle w:val="BodyText"/>
        <w:spacing w:before="3"/>
        <w:rPr>
          <w:sz w:val="17"/>
        </w:rPr>
      </w:pPr>
    </w:p>
    <w:p w14:paraId="3CACC640" w14:textId="77777777" w:rsidR="00DB6E1F" w:rsidRDefault="00F666A6">
      <w:pPr>
        <w:pStyle w:val="Heading2"/>
        <w:numPr>
          <w:ilvl w:val="0"/>
          <w:numId w:val="26"/>
        </w:numPr>
        <w:tabs>
          <w:tab w:val="left" w:pos="1983"/>
        </w:tabs>
      </w:pPr>
      <w:bookmarkStart w:id="256" w:name="13._Alcohol_Abstinence_Self-Efficacy_Sca"/>
      <w:bookmarkStart w:id="257" w:name="_bookmark63"/>
      <w:bookmarkEnd w:id="256"/>
      <w:bookmarkEnd w:id="257"/>
      <w:r>
        <w:t>Alcohol</w:t>
      </w:r>
      <w:r>
        <w:rPr>
          <w:spacing w:val="-6"/>
        </w:rPr>
        <w:t xml:space="preserve"> </w:t>
      </w:r>
      <w:r>
        <w:t>Abstinence</w:t>
      </w:r>
      <w:r>
        <w:rPr>
          <w:spacing w:val="-5"/>
        </w:rPr>
        <w:t xml:space="preserve"> </w:t>
      </w:r>
      <w:r>
        <w:t>Self-Efficacy</w:t>
      </w:r>
      <w:r>
        <w:rPr>
          <w:spacing w:val="-4"/>
        </w:rPr>
        <w:t xml:space="preserve"> </w:t>
      </w:r>
      <w:r>
        <w:t>Scale</w:t>
      </w:r>
      <w:r>
        <w:rPr>
          <w:spacing w:val="-2"/>
        </w:rPr>
        <w:t xml:space="preserve"> (AASES)</w:t>
      </w:r>
    </w:p>
    <w:p w14:paraId="4B3E6289" w14:textId="77777777" w:rsidR="00DB6E1F" w:rsidRDefault="00F666A6">
      <w:pPr>
        <w:tabs>
          <w:tab w:val="left" w:pos="5709"/>
          <w:tab w:val="left" w:pos="6297"/>
          <w:tab w:val="left" w:pos="7222"/>
          <w:tab w:val="left" w:pos="7834"/>
          <w:tab w:val="left" w:pos="8935"/>
        </w:tabs>
        <w:spacing w:before="154"/>
        <w:ind w:left="1440"/>
        <w:rPr>
          <w:rFonts w:ascii="Times New Roman"/>
          <w:sz w:val="20"/>
        </w:rPr>
      </w:pPr>
      <w:r>
        <w:rPr>
          <w:sz w:val="20"/>
        </w:rPr>
        <w:t xml:space="preserve">Name: </w:t>
      </w:r>
      <w:r>
        <w:rPr>
          <w:rFonts w:ascii="Times New Roman"/>
          <w:sz w:val="20"/>
          <w:u w:val="single"/>
        </w:rPr>
        <w:tab/>
      </w:r>
      <w:r>
        <w:rPr>
          <w:rFonts w:ascii="Times New Roman"/>
          <w:sz w:val="20"/>
        </w:rPr>
        <w:tab/>
      </w:r>
      <w:r>
        <w:rPr>
          <w:sz w:val="20"/>
        </w:rPr>
        <w:t xml:space="preserve">Date: </w:t>
      </w:r>
      <w:r>
        <w:rPr>
          <w:rFonts w:ascii="Times New Roman"/>
          <w:sz w:val="20"/>
          <w:u w:val="single"/>
        </w:rPr>
        <w:tab/>
      </w:r>
      <w:r>
        <w:rPr>
          <w:rFonts w:ascii="Times New Roman"/>
          <w:sz w:val="20"/>
        </w:rPr>
        <w:t xml:space="preserve"> </w:t>
      </w:r>
      <w:r>
        <w:rPr>
          <w:sz w:val="20"/>
        </w:rPr>
        <w:t xml:space="preserve">/ </w:t>
      </w:r>
      <w:r>
        <w:rPr>
          <w:rFonts w:ascii="Times New Roman"/>
          <w:sz w:val="20"/>
          <w:u w:val="single"/>
        </w:rPr>
        <w:tab/>
      </w:r>
      <w:r>
        <w:rPr>
          <w:rFonts w:ascii="Times New Roman"/>
          <w:sz w:val="20"/>
        </w:rPr>
        <w:t xml:space="preserve"> </w:t>
      </w:r>
      <w:r>
        <w:rPr>
          <w:sz w:val="20"/>
        </w:rPr>
        <w:t xml:space="preserve">/ </w:t>
      </w:r>
      <w:r>
        <w:rPr>
          <w:rFonts w:ascii="Times New Roman"/>
          <w:sz w:val="20"/>
          <w:u w:val="single"/>
        </w:rPr>
        <w:tab/>
      </w:r>
    </w:p>
    <w:p w14:paraId="33570114" w14:textId="77777777" w:rsidR="00DB6E1F" w:rsidRDefault="00F666A6">
      <w:pPr>
        <w:spacing w:before="118"/>
        <w:ind w:left="1440" w:right="1491"/>
        <w:rPr>
          <w:sz w:val="20"/>
        </w:rPr>
      </w:pPr>
      <w:r>
        <w:rPr>
          <w:b/>
          <w:sz w:val="20"/>
        </w:rPr>
        <w:t>Instructions:</w:t>
      </w:r>
      <w:r>
        <w:rPr>
          <w:b/>
          <w:spacing w:val="-2"/>
          <w:sz w:val="20"/>
        </w:rPr>
        <w:t xml:space="preserve"> </w:t>
      </w:r>
      <w:r>
        <w:rPr>
          <w:sz w:val="20"/>
        </w:rPr>
        <w:t>Listed</w:t>
      </w:r>
      <w:r>
        <w:rPr>
          <w:spacing w:val="-1"/>
          <w:sz w:val="20"/>
        </w:rPr>
        <w:t xml:space="preserve"> </w:t>
      </w:r>
      <w:r>
        <w:rPr>
          <w:sz w:val="20"/>
        </w:rPr>
        <w:t>below</w:t>
      </w:r>
      <w:r>
        <w:rPr>
          <w:spacing w:val="-3"/>
          <w:sz w:val="20"/>
        </w:rPr>
        <w:t xml:space="preserve"> </w:t>
      </w:r>
      <w:r>
        <w:rPr>
          <w:sz w:val="20"/>
        </w:rPr>
        <w:t>are a</w:t>
      </w:r>
      <w:r>
        <w:rPr>
          <w:spacing w:val="-1"/>
          <w:sz w:val="20"/>
        </w:rPr>
        <w:t xml:space="preserve"> </w:t>
      </w:r>
      <w:r>
        <w:rPr>
          <w:sz w:val="20"/>
        </w:rPr>
        <w:t>number</w:t>
      </w:r>
      <w:r>
        <w:rPr>
          <w:spacing w:val="-2"/>
          <w:sz w:val="20"/>
        </w:rPr>
        <w:t xml:space="preserve"> </w:t>
      </w:r>
      <w:r>
        <w:rPr>
          <w:sz w:val="20"/>
        </w:rPr>
        <w:t>of</w:t>
      </w:r>
      <w:r>
        <w:rPr>
          <w:spacing w:val="-3"/>
          <w:sz w:val="20"/>
        </w:rPr>
        <w:t xml:space="preserve"> </w:t>
      </w:r>
      <w:r>
        <w:rPr>
          <w:sz w:val="20"/>
        </w:rPr>
        <w:t>situations</w:t>
      </w:r>
      <w:r>
        <w:rPr>
          <w:spacing w:val="-3"/>
          <w:sz w:val="20"/>
        </w:rPr>
        <w:t xml:space="preserve"> </w:t>
      </w:r>
      <w:r>
        <w:rPr>
          <w:sz w:val="20"/>
        </w:rPr>
        <w:t>that</w:t>
      </w:r>
      <w:r>
        <w:rPr>
          <w:spacing w:val="-2"/>
          <w:sz w:val="20"/>
        </w:rPr>
        <w:t xml:space="preserve"> </w:t>
      </w:r>
      <w:r>
        <w:rPr>
          <w:sz w:val="20"/>
        </w:rPr>
        <w:t>lead</w:t>
      </w:r>
      <w:r>
        <w:rPr>
          <w:spacing w:val="-1"/>
          <w:sz w:val="20"/>
        </w:rPr>
        <w:t xml:space="preserve"> </w:t>
      </w:r>
      <w:r>
        <w:rPr>
          <w:sz w:val="20"/>
        </w:rPr>
        <w:t>some</w:t>
      </w:r>
      <w:r>
        <w:rPr>
          <w:spacing w:val="-3"/>
          <w:sz w:val="20"/>
        </w:rPr>
        <w:t xml:space="preserve"> </w:t>
      </w:r>
      <w:r>
        <w:rPr>
          <w:sz w:val="20"/>
        </w:rPr>
        <w:t>people</w:t>
      </w:r>
      <w:r>
        <w:rPr>
          <w:spacing w:val="-3"/>
          <w:sz w:val="20"/>
        </w:rPr>
        <w:t xml:space="preserve"> </w:t>
      </w:r>
      <w:r>
        <w:rPr>
          <w:sz w:val="20"/>
        </w:rPr>
        <w:t>to</w:t>
      </w:r>
      <w:r>
        <w:rPr>
          <w:spacing w:val="-2"/>
          <w:sz w:val="20"/>
        </w:rPr>
        <w:t xml:space="preserve"> </w:t>
      </w:r>
      <w:r>
        <w:rPr>
          <w:sz w:val="20"/>
        </w:rPr>
        <w:t>use</w:t>
      </w:r>
      <w:r>
        <w:rPr>
          <w:spacing w:val="-3"/>
          <w:sz w:val="20"/>
        </w:rPr>
        <w:t xml:space="preserve"> </w:t>
      </w:r>
      <w:r>
        <w:rPr>
          <w:sz w:val="20"/>
        </w:rPr>
        <w:t>alcohol.</w:t>
      </w:r>
      <w:r>
        <w:rPr>
          <w:spacing w:val="-2"/>
          <w:sz w:val="20"/>
        </w:rPr>
        <w:t xml:space="preserve"> </w:t>
      </w:r>
      <w:r>
        <w:rPr>
          <w:sz w:val="20"/>
        </w:rPr>
        <w:t>We</w:t>
      </w:r>
      <w:r>
        <w:rPr>
          <w:spacing w:val="-3"/>
          <w:sz w:val="20"/>
        </w:rPr>
        <w:t xml:space="preserve"> </w:t>
      </w:r>
      <w:r>
        <w:rPr>
          <w:sz w:val="20"/>
        </w:rPr>
        <w:t>would</w:t>
      </w:r>
      <w:r>
        <w:rPr>
          <w:spacing w:val="-1"/>
          <w:sz w:val="20"/>
        </w:rPr>
        <w:t xml:space="preserve"> </w:t>
      </w:r>
      <w:r>
        <w:rPr>
          <w:sz w:val="20"/>
        </w:rPr>
        <w:t>like</w:t>
      </w:r>
      <w:r>
        <w:rPr>
          <w:spacing w:val="-3"/>
          <w:sz w:val="20"/>
        </w:rPr>
        <w:t xml:space="preserve"> </w:t>
      </w:r>
      <w:r>
        <w:rPr>
          <w:sz w:val="20"/>
        </w:rPr>
        <w:t>to</w:t>
      </w:r>
      <w:r>
        <w:rPr>
          <w:spacing w:val="-2"/>
          <w:sz w:val="20"/>
        </w:rPr>
        <w:t xml:space="preserve"> </w:t>
      </w:r>
      <w:r>
        <w:rPr>
          <w:sz w:val="20"/>
        </w:rPr>
        <w:t>know how confident you are that you would not drink alcohol in each situation.</w:t>
      </w:r>
    </w:p>
    <w:p w14:paraId="2BD137E8" w14:textId="77777777" w:rsidR="00DB6E1F" w:rsidRDefault="00F666A6">
      <w:pPr>
        <w:spacing w:before="122"/>
        <w:ind w:left="1440" w:right="1491"/>
        <w:rPr>
          <w:sz w:val="20"/>
        </w:rPr>
      </w:pPr>
      <w:r>
        <w:rPr>
          <w:sz w:val="20"/>
        </w:rPr>
        <w:t>Circle</w:t>
      </w:r>
      <w:r>
        <w:rPr>
          <w:spacing w:val="-3"/>
          <w:sz w:val="20"/>
        </w:rPr>
        <w:t xml:space="preserve"> </w:t>
      </w:r>
      <w:r>
        <w:rPr>
          <w:sz w:val="20"/>
        </w:rPr>
        <w:t>the</w:t>
      </w:r>
      <w:r>
        <w:rPr>
          <w:spacing w:val="-3"/>
          <w:sz w:val="20"/>
        </w:rPr>
        <w:t xml:space="preserve"> </w:t>
      </w:r>
      <w:r>
        <w:rPr>
          <w:sz w:val="20"/>
        </w:rPr>
        <w:t>number</w:t>
      </w:r>
      <w:r>
        <w:rPr>
          <w:spacing w:val="-2"/>
          <w:sz w:val="20"/>
        </w:rPr>
        <w:t xml:space="preserve"> </w:t>
      </w:r>
      <w:r>
        <w:rPr>
          <w:sz w:val="20"/>
        </w:rPr>
        <w:t>that</w:t>
      </w:r>
      <w:r>
        <w:rPr>
          <w:spacing w:val="-2"/>
          <w:sz w:val="20"/>
        </w:rPr>
        <w:t xml:space="preserve"> </w:t>
      </w:r>
      <w:r>
        <w:rPr>
          <w:sz w:val="20"/>
        </w:rPr>
        <w:t>best</w:t>
      </w:r>
      <w:r>
        <w:rPr>
          <w:spacing w:val="-2"/>
          <w:sz w:val="20"/>
        </w:rPr>
        <w:t xml:space="preserve"> </w:t>
      </w:r>
      <w:r>
        <w:rPr>
          <w:sz w:val="20"/>
        </w:rPr>
        <w:t>describes</w:t>
      </w:r>
      <w:r>
        <w:rPr>
          <w:spacing w:val="-3"/>
          <w:sz w:val="20"/>
        </w:rPr>
        <w:t xml:space="preserve"> </w:t>
      </w:r>
      <w:r>
        <w:rPr>
          <w:sz w:val="20"/>
        </w:rPr>
        <w:t>your</w:t>
      </w:r>
      <w:r>
        <w:rPr>
          <w:spacing w:val="-2"/>
          <w:sz w:val="20"/>
        </w:rPr>
        <w:t xml:space="preserve"> </w:t>
      </w:r>
      <w:r>
        <w:rPr>
          <w:sz w:val="20"/>
        </w:rPr>
        <w:t>feelings</w:t>
      </w:r>
      <w:r>
        <w:rPr>
          <w:spacing w:val="-3"/>
          <w:sz w:val="20"/>
        </w:rPr>
        <w:t xml:space="preserve"> </w:t>
      </w:r>
      <w:r>
        <w:rPr>
          <w:sz w:val="20"/>
        </w:rPr>
        <w:t>of</w:t>
      </w:r>
      <w:r>
        <w:rPr>
          <w:spacing w:val="-3"/>
          <w:sz w:val="20"/>
        </w:rPr>
        <w:t xml:space="preserve"> </w:t>
      </w:r>
      <w:r>
        <w:rPr>
          <w:sz w:val="20"/>
        </w:rPr>
        <w:t>confidence</w:t>
      </w:r>
      <w:r>
        <w:rPr>
          <w:spacing w:val="-3"/>
          <w:sz w:val="20"/>
        </w:rPr>
        <w:t xml:space="preserve"> </w:t>
      </w:r>
      <w:r>
        <w:rPr>
          <w:sz w:val="20"/>
        </w:rPr>
        <w:t>not</w:t>
      </w:r>
      <w:r>
        <w:rPr>
          <w:spacing w:val="-2"/>
          <w:sz w:val="20"/>
        </w:rPr>
        <w:t xml:space="preserve"> </w:t>
      </w:r>
      <w:r>
        <w:rPr>
          <w:sz w:val="20"/>
        </w:rPr>
        <w:t>to</w:t>
      </w:r>
      <w:r>
        <w:rPr>
          <w:spacing w:val="-2"/>
          <w:sz w:val="20"/>
        </w:rPr>
        <w:t xml:space="preserve"> </w:t>
      </w:r>
      <w:r>
        <w:rPr>
          <w:sz w:val="20"/>
        </w:rPr>
        <w:t>drink</w:t>
      </w:r>
      <w:r>
        <w:rPr>
          <w:spacing w:val="-1"/>
          <w:sz w:val="20"/>
        </w:rPr>
        <w:t xml:space="preserve"> </w:t>
      </w:r>
      <w:r>
        <w:rPr>
          <w:sz w:val="20"/>
        </w:rPr>
        <w:t>alcohol</w:t>
      </w:r>
      <w:r>
        <w:rPr>
          <w:spacing w:val="-2"/>
          <w:sz w:val="20"/>
        </w:rPr>
        <w:t xml:space="preserve"> </w:t>
      </w:r>
      <w:r>
        <w:rPr>
          <w:sz w:val="20"/>
        </w:rPr>
        <w:t>in</w:t>
      </w:r>
      <w:r>
        <w:rPr>
          <w:spacing w:val="-4"/>
          <w:sz w:val="20"/>
        </w:rPr>
        <w:t xml:space="preserve"> </w:t>
      </w:r>
      <w:r>
        <w:rPr>
          <w:sz w:val="20"/>
        </w:rPr>
        <w:t>each</w:t>
      </w:r>
      <w:r>
        <w:rPr>
          <w:spacing w:val="-1"/>
          <w:sz w:val="20"/>
        </w:rPr>
        <w:t xml:space="preserve"> </w:t>
      </w:r>
      <w:r>
        <w:rPr>
          <w:sz w:val="20"/>
        </w:rPr>
        <w:t>situation</w:t>
      </w:r>
      <w:r>
        <w:rPr>
          <w:spacing w:val="-1"/>
          <w:sz w:val="20"/>
        </w:rPr>
        <w:t xml:space="preserve"> </w:t>
      </w:r>
      <w:r>
        <w:rPr>
          <w:sz w:val="20"/>
        </w:rPr>
        <w:t>during</w:t>
      </w:r>
      <w:r>
        <w:rPr>
          <w:spacing w:val="-2"/>
          <w:sz w:val="20"/>
        </w:rPr>
        <w:t xml:space="preserve"> </w:t>
      </w:r>
      <w:r>
        <w:rPr>
          <w:sz w:val="20"/>
        </w:rPr>
        <w:t>the past week according to the following scale:</w:t>
      </w:r>
    </w:p>
    <w:p w14:paraId="145A7861" w14:textId="77777777" w:rsidR="00DB6E1F" w:rsidRDefault="00F666A6">
      <w:pPr>
        <w:spacing w:before="119" w:line="259" w:lineRule="auto"/>
        <w:ind w:left="1440" w:right="8901"/>
        <w:rPr>
          <w:sz w:val="20"/>
        </w:rPr>
      </w:pPr>
      <w:r>
        <w:rPr>
          <w:sz w:val="20"/>
        </w:rPr>
        <w:t>1</w:t>
      </w:r>
      <w:r>
        <w:rPr>
          <w:spacing w:val="-8"/>
          <w:sz w:val="20"/>
        </w:rPr>
        <w:t xml:space="preserve"> </w:t>
      </w:r>
      <w:r>
        <w:rPr>
          <w:sz w:val="20"/>
        </w:rPr>
        <w:t>=</w:t>
      </w:r>
      <w:r>
        <w:rPr>
          <w:spacing w:val="-9"/>
          <w:sz w:val="20"/>
        </w:rPr>
        <w:t xml:space="preserve"> </w:t>
      </w:r>
      <w:r>
        <w:rPr>
          <w:sz w:val="20"/>
        </w:rPr>
        <w:t>Not</w:t>
      </w:r>
      <w:r>
        <w:rPr>
          <w:spacing w:val="-8"/>
          <w:sz w:val="20"/>
        </w:rPr>
        <w:t xml:space="preserve"> </w:t>
      </w:r>
      <w:r>
        <w:rPr>
          <w:sz w:val="20"/>
        </w:rPr>
        <w:t>at</w:t>
      </w:r>
      <w:r>
        <w:rPr>
          <w:spacing w:val="-8"/>
          <w:sz w:val="20"/>
        </w:rPr>
        <w:t xml:space="preserve"> </w:t>
      </w:r>
      <w:r>
        <w:rPr>
          <w:sz w:val="20"/>
        </w:rPr>
        <w:t>all</w:t>
      </w:r>
      <w:r>
        <w:rPr>
          <w:spacing w:val="-8"/>
          <w:sz w:val="20"/>
        </w:rPr>
        <w:t xml:space="preserve"> </w:t>
      </w:r>
      <w:r>
        <w:rPr>
          <w:sz w:val="20"/>
        </w:rPr>
        <w:t>confident 2 = Not very confident</w:t>
      </w:r>
    </w:p>
    <w:p w14:paraId="6DC8E472" w14:textId="77777777" w:rsidR="00DB6E1F" w:rsidRDefault="00F666A6">
      <w:pPr>
        <w:spacing w:line="259" w:lineRule="auto"/>
        <w:ind w:left="1440" w:right="8688" w:hanging="1"/>
        <w:rPr>
          <w:sz w:val="20"/>
        </w:rPr>
      </w:pPr>
      <w:r>
        <w:rPr>
          <w:sz w:val="20"/>
        </w:rPr>
        <w:t>3</w:t>
      </w:r>
      <w:r>
        <w:rPr>
          <w:spacing w:val="-12"/>
          <w:sz w:val="20"/>
        </w:rPr>
        <w:t xml:space="preserve"> </w:t>
      </w:r>
      <w:r>
        <w:rPr>
          <w:sz w:val="20"/>
        </w:rPr>
        <w:t>=</w:t>
      </w:r>
      <w:r>
        <w:rPr>
          <w:spacing w:val="-11"/>
          <w:sz w:val="20"/>
        </w:rPr>
        <w:t xml:space="preserve"> </w:t>
      </w:r>
      <w:r>
        <w:rPr>
          <w:sz w:val="20"/>
        </w:rPr>
        <w:t>Moderately</w:t>
      </w:r>
      <w:r>
        <w:rPr>
          <w:spacing w:val="-11"/>
          <w:sz w:val="20"/>
        </w:rPr>
        <w:t xml:space="preserve"> </w:t>
      </w:r>
      <w:r>
        <w:rPr>
          <w:sz w:val="20"/>
        </w:rPr>
        <w:t>confident 4 = Very confident</w:t>
      </w:r>
    </w:p>
    <w:p w14:paraId="4EF0E6FE" w14:textId="77777777" w:rsidR="00DB6E1F" w:rsidRDefault="00F666A6">
      <w:pPr>
        <w:spacing w:line="242" w:lineRule="exact"/>
        <w:ind w:left="1440"/>
        <w:rPr>
          <w:sz w:val="20"/>
        </w:rPr>
      </w:pPr>
      <w:r>
        <w:pict w14:anchorId="2F49618A">
          <v:group id="docshapegroup251" o:spid="_x0000_s2050" style="position:absolute;left:0;text-align:left;margin-left:1in;margin-top:12.5pt;width:463.8pt;height:344.8pt;z-index:-15697920;mso-wrap-distance-left:0;mso-wrap-distance-right:0;mso-position-horizontal-relative:page" coordorigin="1440,250" coordsize="9276,6896">
            <v:shape id="docshape252" o:spid="_x0000_s2052" style="position:absolute;left:1440;top:249;width:9276;height:6896" coordorigin="1440,250" coordsize="9276,6896" o:spt="100" adj="0,,0" path="m10706,250r-9256,l1440,250r,9l1440,7135r,10l1450,7145r9256,l10706,7135r-9256,l1450,259r9256,l10706,250xm10716,250r-10,l10706,259r,6876l10706,7145r10,l10716,7135r,-6876l10716,250xe" fillcolor="black" stroked="f">
              <v:stroke joinstyle="round"/>
              <v:formulas/>
              <v:path arrowok="t" o:connecttype="segments"/>
            </v:shape>
            <v:shape id="docshape253" o:spid="_x0000_s2051" type="#_x0000_t75" style="position:absolute;left:1578;top:412;width:8611;height:6683">
              <v:imagedata r:id="rId183" o:title=""/>
            </v:shape>
            <w10:wrap type="topAndBottom" anchorx="page"/>
          </v:group>
        </w:pict>
      </w:r>
      <w:r>
        <w:rPr>
          <w:sz w:val="20"/>
        </w:rPr>
        <w:t>5</w:t>
      </w:r>
      <w:r>
        <w:rPr>
          <w:spacing w:val="-4"/>
          <w:sz w:val="20"/>
        </w:rPr>
        <w:t xml:space="preserve"> </w:t>
      </w:r>
      <w:r>
        <w:rPr>
          <w:sz w:val="20"/>
        </w:rPr>
        <w:t>=</w:t>
      </w:r>
      <w:r>
        <w:rPr>
          <w:spacing w:val="-5"/>
          <w:sz w:val="20"/>
        </w:rPr>
        <w:t xml:space="preserve"> </w:t>
      </w:r>
      <w:r>
        <w:rPr>
          <w:sz w:val="20"/>
        </w:rPr>
        <w:t>Extremely</w:t>
      </w:r>
      <w:r>
        <w:rPr>
          <w:spacing w:val="-3"/>
          <w:sz w:val="20"/>
        </w:rPr>
        <w:t xml:space="preserve"> </w:t>
      </w:r>
      <w:r>
        <w:rPr>
          <w:spacing w:val="-2"/>
          <w:sz w:val="20"/>
        </w:rPr>
        <w:t>confident</w:t>
      </w:r>
    </w:p>
    <w:p w14:paraId="0ADA889A" w14:textId="77777777" w:rsidR="00DB6E1F" w:rsidRDefault="00DB6E1F">
      <w:pPr>
        <w:spacing w:line="242" w:lineRule="exact"/>
        <w:rPr>
          <w:sz w:val="20"/>
        </w:rPr>
        <w:sectPr w:rsidR="00DB6E1F">
          <w:pgSz w:w="12240" w:h="15840"/>
          <w:pgMar w:top="1200" w:right="0" w:bottom="780" w:left="0" w:header="763" w:footer="585" w:gutter="0"/>
          <w:cols w:space="720"/>
        </w:sectPr>
      </w:pPr>
    </w:p>
    <w:p w14:paraId="7CB725C0"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6300"/>
      </w:tblGrid>
      <w:tr w:rsidR="00DB6E1F" w14:paraId="6BC428D9" w14:textId="77777777">
        <w:trPr>
          <w:trHeight w:val="6570"/>
        </w:trPr>
        <w:tc>
          <w:tcPr>
            <w:tcW w:w="9266" w:type="dxa"/>
            <w:gridSpan w:val="2"/>
          </w:tcPr>
          <w:p w14:paraId="19304498" w14:textId="77777777" w:rsidR="00DB6E1F" w:rsidRDefault="00F666A6">
            <w:pPr>
              <w:pStyle w:val="TableParagraph"/>
              <w:spacing w:before="0"/>
              <w:ind w:left="108"/>
              <w:rPr>
                <w:sz w:val="20"/>
              </w:rPr>
            </w:pPr>
            <w:r>
              <w:rPr>
                <w:noProof/>
                <w:sz w:val="20"/>
              </w:rPr>
              <w:drawing>
                <wp:inline distT="0" distB="0" distL="0" distR="0" wp14:anchorId="2D2FB131" wp14:editId="19AD7846">
                  <wp:extent cx="5593543" cy="4135088"/>
                  <wp:effectExtent l="0" t="0" r="0" b="0"/>
                  <wp:docPr id="1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4.jpeg"/>
                          <pic:cNvPicPr/>
                        </pic:nvPicPr>
                        <pic:blipFill>
                          <a:blip r:embed="rId184" cstate="print"/>
                          <a:stretch>
                            <a:fillRect/>
                          </a:stretch>
                        </pic:blipFill>
                        <pic:spPr>
                          <a:xfrm>
                            <a:off x="0" y="0"/>
                            <a:ext cx="5593543" cy="4135088"/>
                          </a:xfrm>
                          <a:prstGeom prst="rect">
                            <a:avLst/>
                          </a:prstGeom>
                        </pic:spPr>
                      </pic:pic>
                    </a:graphicData>
                  </a:graphic>
                </wp:inline>
              </w:drawing>
            </w:r>
          </w:p>
        </w:tc>
      </w:tr>
      <w:tr w:rsidR="00DB6E1F" w14:paraId="00B05D2A" w14:textId="77777777">
        <w:trPr>
          <w:trHeight w:val="244"/>
        </w:trPr>
        <w:tc>
          <w:tcPr>
            <w:tcW w:w="9266" w:type="dxa"/>
            <w:gridSpan w:val="2"/>
          </w:tcPr>
          <w:p w14:paraId="5F5FFE6C" w14:textId="77777777" w:rsidR="00DB6E1F" w:rsidRDefault="00F666A6">
            <w:pPr>
              <w:pStyle w:val="TableParagraph"/>
              <w:spacing w:line="223" w:lineRule="exact"/>
              <w:rPr>
                <w:b/>
                <w:sz w:val="20"/>
              </w:rPr>
            </w:pPr>
            <w:r>
              <w:rPr>
                <w:b/>
                <w:spacing w:val="-2"/>
                <w:sz w:val="20"/>
              </w:rPr>
              <w:t>Scoring:</w:t>
            </w:r>
          </w:p>
        </w:tc>
      </w:tr>
      <w:tr w:rsidR="00DB6E1F" w14:paraId="14199099" w14:textId="77777777">
        <w:trPr>
          <w:trHeight w:val="241"/>
        </w:trPr>
        <w:tc>
          <w:tcPr>
            <w:tcW w:w="2966" w:type="dxa"/>
          </w:tcPr>
          <w:p w14:paraId="08F2C544" w14:textId="77777777" w:rsidR="00DB6E1F" w:rsidRDefault="00F666A6">
            <w:pPr>
              <w:pStyle w:val="TableParagraph"/>
              <w:spacing w:before="0" w:line="222" w:lineRule="exact"/>
              <w:rPr>
                <w:b/>
                <w:sz w:val="20"/>
              </w:rPr>
            </w:pPr>
            <w:r>
              <w:rPr>
                <w:b/>
                <w:spacing w:val="-2"/>
                <w:sz w:val="20"/>
              </w:rPr>
              <w:t>Subscale</w:t>
            </w:r>
          </w:p>
        </w:tc>
        <w:tc>
          <w:tcPr>
            <w:tcW w:w="6300" w:type="dxa"/>
          </w:tcPr>
          <w:p w14:paraId="64866D3C" w14:textId="77777777" w:rsidR="00DB6E1F" w:rsidRDefault="00F666A6">
            <w:pPr>
              <w:pStyle w:val="TableParagraph"/>
              <w:spacing w:before="0" w:line="222" w:lineRule="exact"/>
              <w:ind w:left="2579" w:right="2573"/>
              <w:jc w:val="center"/>
              <w:rPr>
                <w:b/>
                <w:sz w:val="20"/>
              </w:rPr>
            </w:pPr>
            <w:r>
              <w:rPr>
                <w:b/>
                <w:sz w:val="20"/>
              </w:rPr>
              <w:t>Item</w:t>
            </w:r>
            <w:r>
              <w:rPr>
                <w:b/>
                <w:spacing w:val="-4"/>
                <w:sz w:val="20"/>
              </w:rPr>
              <w:t xml:space="preserve"> </w:t>
            </w:r>
            <w:r>
              <w:rPr>
                <w:b/>
                <w:spacing w:val="-2"/>
                <w:sz w:val="20"/>
              </w:rPr>
              <w:t>Number</w:t>
            </w:r>
          </w:p>
        </w:tc>
      </w:tr>
      <w:tr w:rsidR="00DB6E1F" w14:paraId="1C853052" w14:textId="77777777">
        <w:trPr>
          <w:trHeight w:val="244"/>
        </w:trPr>
        <w:tc>
          <w:tcPr>
            <w:tcW w:w="2966" w:type="dxa"/>
          </w:tcPr>
          <w:p w14:paraId="33CCE7B1" w14:textId="77777777" w:rsidR="00DB6E1F" w:rsidRDefault="00F666A6">
            <w:pPr>
              <w:pStyle w:val="TableParagraph"/>
              <w:spacing w:line="223" w:lineRule="exact"/>
              <w:rPr>
                <w:sz w:val="20"/>
              </w:rPr>
            </w:pPr>
            <w:r>
              <w:rPr>
                <w:sz w:val="20"/>
              </w:rPr>
              <w:t>Negative</w:t>
            </w:r>
            <w:r>
              <w:rPr>
                <w:spacing w:val="-10"/>
                <w:sz w:val="20"/>
              </w:rPr>
              <w:t xml:space="preserve"> </w:t>
            </w:r>
            <w:r>
              <w:rPr>
                <w:spacing w:val="-2"/>
                <w:sz w:val="20"/>
              </w:rPr>
              <w:t>Affect</w:t>
            </w:r>
          </w:p>
        </w:tc>
        <w:tc>
          <w:tcPr>
            <w:tcW w:w="6300" w:type="dxa"/>
          </w:tcPr>
          <w:p w14:paraId="56E14E49" w14:textId="77777777" w:rsidR="00DB6E1F" w:rsidRDefault="00F666A6">
            <w:pPr>
              <w:pStyle w:val="TableParagraph"/>
              <w:spacing w:line="223" w:lineRule="exact"/>
              <w:ind w:left="2576" w:right="2573"/>
              <w:jc w:val="center"/>
              <w:rPr>
                <w:sz w:val="20"/>
              </w:rPr>
            </w:pPr>
            <w:r>
              <w:rPr>
                <w:spacing w:val="-2"/>
                <w:sz w:val="20"/>
              </w:rPr>
              <w:t>1,3,9</w:t>
            </w:r>
          </w:p>
        </w:tc>
      </w:tr>
      <w:tr w:rsidR="00DB6E1F" w14:paraId="20617897" w14:textId="77777777">
        <w:trPr>
          <w:trHeight w:val="244"/>
        </w:trPr>
        <w:tc>
          <w:tcPr>
            <w:tcW w:w="2966" w:type="dxa"/>
          </w:tcPr>
          <w:p w14:paraId="3C9B7F8C" w14:textId="77777777" w:rsidR="00DB6E1F" w:rsidRDefault="00F666A6">
            <w:pPr>
              <w:pStyle w:val="TableParagraph"/>
              <w:spacing w:line="223" w:lineRule="exact"/>
              <w:rPr>
                <w:sz w:val="20"/>
              </w:rPr>
            </w:pPr>
            <w:r>
              <w:rPr>
                <w:spacing w:val="-2"/>
                <w:sz w:val="20"/>
              </w:rPr>
              <w:t>Social/Positive</w:t>
            </w:r>
          </w:p>
        </w:tc>
        <w:tc>
          <w:tcPr>
            <w:tcW w:w="6300" w:type="dxa"/>
          </w:tcPr>
          <w:p w14:paraId="3478FBD2" w14:textId="77777777" w:rsidR="00DB6E1F" w:rsidRDefault="00F666A6">
            <w:pPr>
              <w:pStyle w:val="TableParagraph"/>
              <w:spacing w:line="223" w:lineRule="exact"/>
              <w:ind w:left="2576" w:right="2573"/>
              <w:jc w:val="center"/>
              <w:rPr>
                <w:sz w:val="20"/>
              </w:rPr>
            </w:pPr>
            <w:r>
              <w:rPr>
                <w:spacing w:val="-2"/>
                <w:sz w:val="20"/>
              </w:rPr>
              <w:t>10,11,12</w:t>
            </w:r>
          </w:p>
        </w:tc>
      </w:tr>
      <w:tr w:rsidR="00DB6E1F" w14:paraId="272DD222" w14:textId="77777777">
        <w:trPr>
          <w:trHeight w:val="244"/>
        </w:trPr>
        <w:tc>
          <w:tcPr>
            <w:tcW w:w="2966" w:type="dxa"/>
          </w:tcPr>
          <w:p w14:paraId="565BEF67" w14:textId="77777777" w:rsidR="00DB6E1F" w:rsidRDefault="00F666A6">
            <w:pPr>
              <w:pStyle w:val="TableParagraph"/>
              <w:spacing w:line="223" w:lineRule="exact"/>
              <w:rPr>
                <w:sz w:val="20"/>
              </w:rPr>
            </w:pPr>
            <w:r>
              <w:rPr>
                <w:sz w:val="20"/>
              </w:rPr>
              <w:t>Physical</w:t>
            </w:r>
            <w:r>
              <w:rPr>
                <w:spacing w:val="-7"/>
                <w:sz w:val="20"/>
              </w:rPr>
              <w:t xml:space="preserve"> </w:t>
            </w:r>
            <w:r>
              <w:rPr>
                <w:sz w:val="20"/>
              </w:rPr>
              <w:t>and</w:t>
            </w:r>
            <w:r>
              <w:rPr>
                <w:spacing w:val="-5"/>
                <w:sz w:val="20"/>
              </w:rPr>
              <w:t xml:space="preserve"> </w:t>
            </w:r>
            <w:r>
              <w:rPr>
                <w:sz w:val="20"/>
              </w:rPr>
              <w:t>Other</w:t>
            </w:r>
            <w:r>
              <w:rPr>
                <w:spacing w:val="-6"/>
                <w:sz w:val="20"/>
              </w:rPr>
              <w:t xml:space="preserve"> </w:t>
            </w:r>
            <w:r>
              <w:rPr>
                <w:spacing w:val="-2"/>
                <w:sz w:val="20"/>
              </w:rPr>
              <w:t>Concerns</w:t>
            </w:r>
          </w:p>
        </w:tc>
        <w:tc>
          <w:tcPr>
            <w:tcW w:w="6300" w:type="dxa"/>
          </w:tcPr>
          <w:p w14:paraId="1FFC2540" w14:textId="77777777" w:rsidR="00DB6E1F" w:rsidRDefault="00F666A6">
            <w:pPr>
              <w:pStyle w:val="TableParagraph"/>
              <w:spacing w:line="223" w:lineRule="exact"/>
              <w:ind w:left="2576" w:right="2573"/>
              <w:jc w:val="center"/>
              <w:rPr>
                <w:sz w:val="20"/>
              </w:rPr>
            </w:pPr>
            <w:r>
              <w:rPr>
                <w:spacing w:val="-2"/>
                <w:sz w:val="20"/>
              </w:rPr>
              <w:t>2,7,8</w:t>
            </w:r>
          </w:p>
        </w:tc>
      </w:tr>
      <w:tr w:rsidR="00DB6E1F" w14:paraId="212AE2DD" w14:textId="77777777">
        <w:trPr>
          <w:trHeight w:val="261"/>
        </w:trPr>
        <w:tc>
          <w:tcPr>
            <w:tcW w:w="2966" w:type="dxa"/>
          </w:tcPr>
          <w:p w14:paraId="23E31993" w14:textId="77777777" w:rsidR="00DB6E1F" w:rsidRDefault="00F666A6">
            <w:pPr>
              <w:pStyle w:val="TableParagraph"/>
              <w:spacing w:line="240" w:lineRule="exact"/>
              <w:rPr>
                <w:sz w:val="20"/>
              </w:rPr>
            </w:pPr>
            <w:r>
              <w:rPr>
                <w:sz w:val="20"/>
              </w:rPr>
              <w:t>Cravings</w:t>
            </w:r>
            <w:r>
              <w:rPr>
                <w:spacing w:val="-8"/>
                <w:sz w:val="20"/>
              </w:rPr>
              <w:t xml:space="preserve"> </w:t>
            </w:r>
            <w:r>
              <w:rPr>
                <w:sz w:val="20"/>
              </w:rPr>
              <w:t>and</w:t>
            </w:r>
            <w:r>
              <w:rPr>
                <w:spacing w:val="-5"/>
                <w:sz w:val="20"/>
              </w:rPr>
              <w:t xml:space="preserve"> </w:t>
            </w:r>
            <w:r>
              <w:rPr>
                <w:spacing w:val="-2"/>
                <w:sz w:val="20"/>
              </w:rPr>
              <w:t>Urges</w:t>
            </w:r>
          </w:p>
        </w:tc>
        <w:tc>
          <w:tcPr>
            <w:tcW w:w="6300" w:type="dxa"/>
          </w:tcPr>
          <w:p w14:paraId="5A58F138" w14:textId="77777777" w:rsidR="00DB6E1F" w:rsidRDefault="00F666A6">
            <w:pPr>
              <w:pStyle w:val="TableParagraph"/>
              <w:spacing w:line="240" w:lineRule="exact"/>
              <w:ind w:left="2576" w:right="2573"/>
              <w:jc w:val="center"/>
              <w:rPr>
                <w:sz w:val="20"/>
              </w:rPr>
            </w:pPr>
            <w:r>
              <w:rPr>
                <w:spacing w:val="-2"/>
                <w:sz w:val="20"/>
              </w:rPr>
              <w:t>4,5,6</w:t>
            </w:r>
          </w:p>
        </w:tc>
      </w:tr>
      <w:tr w:rsidR="00DB6E1F" w14:paraId="28AFEB98" w14:textId="77777777">
        <w:trPr>
          <w:trHeight w:val="1216"/>
        </w:trPr>
        <w:tc>
          <w:tcPr>
            <w:tcW w:w="9266" w:type="dxa"/>
            <w:gridSpan w:val="2"/>
          </w:tcPr>
          <w:p w14:paraId="054DF2E2" w14:textId="77777777" w:rsidR="00DB6E1F" w:rsidRDefault="00F666A6">
            <w:pPr>
              <w:pStyle w:val="TableParagraph"/>
              <w:rPr>
                <w:sz w:val="20"/>
              </w:rPr>
            </w:pPr>
            <w:r>
              <w:rPr>
                <w:sz w:val="20"/>
              </w:rPr>
              <w:t>To</w:t>
            </w:r>
            <w:r>
              <w:rPr>
                <w:spacing w:val="-3"/>
                <w:sz w:val="20"/>
              </w:rPr>
              <w:t xml:space="preserve"> </w:t>
            </w:r>
            <w:r>
              <w:rPr>
                <w:sz w:val="20"/>
              </w:rPr>
              <w:t>obtain</w:t>
            </w:r>
            <w:r>
              <w:rPr>
                <w:spacing w:val="-2"/>
                <w:sz w:val="20"/>
              </w:rPr>
              <w:t xml:space="preserve"> </w:t>
            </w:r>
            <w:r>
              <w:rPr>
                <w:sz w:val="20"/>
              </w:rPr>
              <w:t>a</w:t>
            </w:r>
            <w:r>
              <w:rPr>
                <w:spacing w:val="-2"/>
                <w:sz w:val="20"/>
              </w:rPr>
              <w:t xml:space="preserve"> </w:t>
            </w:r>
            <w:r>
              <w:rPr>
                <w:sz w:val="20"/>
              </w:rPr>
              <w:t>mean</w:t>
            </w:r>
            <w:r>
              <w:rPr>
                <w:spacing w:val="-2"/>
                <w:sz w:val="20"/>
              </w:rPr>
              <w:t xml:space="preserve"> </w:t>
            </w:r>
            <w:r>
              <w:rPr>
                <w:sz w:val="20"/>
              </w:rPr>
              <w:t>overall</w:t>
            </w:r>
            <w:r>
              <w:rPr>
                <w:spacing w:val="-3"/>
                <w:sz w:val="20"/>
              </w:rPr>
              <w:t xml:space="preserve"> </w:t>
            </w:r>
            <w:r>
              <w:rPr>
                <w:sz w:val="20"/>
              </w:rPr>
              <w:t>Abstinence</w:t>
            </w:r>
            <w:r>
              <w:rPr>
                <w:spacing w:val="-4"/>
                <w:sz w:val="20"/>
              </w:rPr>
              <w:t xml:space="preserve"> </w:t>
            </w:r>
            <w:r>
              <w:rPr>
                <w:sz w:val="20"/>
              </w:rPr>
              <w:t>Self-Efficacy</w:t>
            </w:r>
            <w:r>
              <w:rPr>
                <w:spacing w:val="-2"/>
                <w:sz w:val="20"/>
              </w:rPr>
              <w:t xml:space="preserve"> </w:t>
            </w:r>
            <w:r>
              <w:rPr>
                <w:sz w:val="20"/>
              </w:rPr>
              <w:t>or</w:t>
            </w:r>
            <w:r>
              <w:rPr>
                <w:spacing w:val="-3"/>
                <w:sz w:val="20"/>
              </w:rPr>
              <w:t xml:space="preserve"> </w:t>
            </w:r>
            <w:r>
              <w:rPr>
                <w:sz w:val="20"/>
              </w:rPr>
              <w:t>Temptation</w:t>
            </w:r>
            <w:r>
              <w:rPr>
                <w:spacing w:val="-2"/>
                <w:sz w:val="20"/>
              </w:rPr>
              <w:t xml:space="preserve"> </w:t>
            </w:r>
            <w:r>
              <w:rPr>
                <w:sz w:val="20"/>
              </w:rPr>
              <w:t>score,</w:t>
            </w:r>
            <w:r>
              <w:rPr>
                <w:spacing w:val="-3"/>
                <w:sz w:val="20"/>
              </w:rPr>
              <w:t xml:space="preserve"> </w:t>
            </w:r>
            <w:r>
              <w:rPr>
                <w:sz w:val="20"/>
              </w:rPr>
              <w:t>sum</w:t>
            </w:r>
            <w:r>
              <w:rPr>
                <w:spacing w:val="-4"/>
                <w:sz w:val="20"/>
              </w:rPr>
              <w:t xml:space="preserve"> </w:t>
            </w:r>
            <w:r>
              <w:rPr>
                <w:sz w:val="20"/>
              </w:rPr>
              <w:t>scores</w:t>
            </w:r>
            <w:r>
              <w:rPr>
                <w:spacing w:val="-2"/>
                <w:sz w:val="20"/>
              </w:rPr>
              <w:t xml:space="preserve"> </w:t>
            </w:r>
            <w:r>
              <w:rPr>
                <w:sz w:val="20"/>
              </w:rPr>
              <w:t>from</w:t>
            </w:r>
            <w:r>
              <w:rPr>
                <w:spacing w:val="-4"/>
                <w:sz w:val="20"/>
              </w:rPr>
              <w:t xml:space="preserve"> </w:t>
            </w:r>
            <w:r>
              <w:rPr>
                <w:sz w:val="20"/>
              </w:rPr>
              <w:t>all</w:t>
            </w:r>
            <w:r>
              <w:rPr>
                <w:spacing w:val="-3"/>
                <w:sz w:val="20"/>
              </w:rPr>
              <w:t xml:space="preserve"> </w:t>
            </w:r>
            <w:r>
              <w:rPr>
                <w:sz w:val="20"/>
              </w:rPr>
              <w:t>items</w:t>
            </w:r>
            <w:r>
              <w:rPr>
                <w:spacing w:val="-4"/>
                <w:sz w:val="20"/>
              </w:rPr>
              <w:t xml:space="preserve"> </w:t>
            </w:r>
            <w:r>
              <w:rPr>
                <w:sz w:val="20"/>
              </w:rPr>
              <w:t>and</w:t>
            </w:r>
            <w:r>
              <w:rPr>
                <w:spacing w:val="-2"/>
                <w:sz w:val="20"/>
              </w:rPr>
              <w:t xml:space="preserve"> </w:t>
            </w:r>
            <w:r>
              <w:rPr>
                <w:sz w:val="20"/>
              </w:rPr>
              <w:t>divide</w:t>
            </w:r>
            <w:r>
              <w:rPr>
                <w:spacing w:val="-4"/>
                <w:sz w:val="20"/>
              </w:rPr>
              <w:t xml:space="preserve"> </w:t>
            </w:r>
            <w:r>
              <w:rPr>
                <w:sz w:val="20"/>
              </w:rPr>
              <w:t xml:space="preserve">by </w:t>
            </w:r>
            <w:r>
              <w:rPr>
                <w:spacing w:val="-4"/>
                <w:sz w:val="20"/>
              </w:rPr>
              <w:t>12.</w:t>
            </w:r>
          </w:p>
          <w:p w14:paraId="1A6B7D3A" w14:textId="77777777" w:rsidR="00DB6E1F" w:rsidRDefault="00F666A6">
            <w:pPr>
              <w:pStyle w:val="TableParagraph"/>
              <w:spacing w:before="119"/>
              <w:rPr>
                <w:sz w:val="20"/>
              </w:rPr>
            </w:pPr>
            <w:r>
              <w:rPr>
                <w:sz w:val="20"/>
              </w:rPr>
              <w:t>To</w:t>
            </w:r>
            <w:r>
              <w:rPr>
                <w:spacing w:val="-3"/>
                <w:sz w:val="20"/>
              </w:rPr>
              <w:t xml:space="preserve"> </w:t>
            </w:r>
            <w:r>
              <w:rPr>
                <w:sz w:val="20"/>
              </w:rPr>
              <w:t>obtain</w:t>
            </w:r>
            <w:r>
              <w:rPr>
                <w:spacing w:val="-2"/>
                <w:sz w:val="20"/>
              </w:rPr>
              <w:t xml:space="preserve"> </w:t>
            </w:r>
            <w:r>
              <w:rPr>
                <w:sz w:val="20"/>
              </w:rPr>
              <w:t>mean</w:t>
            </w:r>
            <w:r>
              <w:rPr>
                <w:spacing w:val="-2"/>
                <w:sz w:val="20"/>
              </w:rPr>
              <w:t xml:space="preserve"> </w:t>
            </w:r>
            <w:r>
              <w:rPr>
                <w:sz w:val="20"/>
              </w:rPr>
              <w:t>scores</w:t>
            </w:r>
            <w:r>
              <w:rPr>
                <w:spacing w:val="-4"/>
                <w:sz w:val="20"/>
              </w:rPr>
              <w:t xml:space="preserve"> </w:t>
            </w:r>
            <w:r>
              <w:rPr>
                <w:sz w:val="20"/>
              </w:rPr>
              <w:t>for</w:t>
            </w:r>
            <w:r>
              <w:rPr>
                <w:spacing w:val="-3"/>
                <w:sz w:val="20"/>
              </w:rPr>
              <w:t xml:space="preserve"> </w:t>
            </w:r>
            <w:r>
              <w:rPr>
                <w:sz w:val="20"/>
              </w:rPr>
              <w:t>individual</w:t>
            </w:r>
            <w:r>
              <w:rPr>
                <w:spacing w:val="-3"/>
                <w:sz w:val="20"/>
              </w:rPr>
              <w:t xml:space="preserve"> </w:t>
            </w:r>
            <w:r>
              <w:rPr>
                <w:sz w:val="20"/>
              </w:rPr>
              <w:t>subscales, sum</w:t>
            </w:r>
            <w:r>
              <w:rPr>
                <w:spacing w:val="-4"/>
                <w:sz w:val="20"/>
              </w:rPr>
              <w:t xml:space="preserve"> </w:t>
            </w:r>
            <w:r>
              <w:rPr>
                <w:sz w:val="20"/>
              </w:rPr>
              <w:t>item</w:t>
            </w:r>
            <w:r>
              <w:rPr>
                <w:spacing w:val="-4"/>
                <w:sz w:val="20"/>
              </w:rPr>
              <w:t xml:space="preserve"> </w:t>
            </w:r>
            <w:r>
              <w:rPr>
                <w:sz w:val="20"/>
              </w:rPr>
              <w:t>scores</w:t>
            </w:r>
            <w:r>
              <w:rPr>
                <w:spacing w:val="-4"/>
                <w:sz w:val="20"/>
              </w:rPr>
              <w:t xml:space="preserve"> </w:t>
            </w:r>
            <w:r>
              <w:rPr>
                <w:sz w:val="20"/>
              </w:rPr>
              <w:t>for</w:t>
            </w:r>
            <w:r>
              <w:rPr>
                <w:spacing w:val="-1"/>
                <w:sz w:val="20"/>
              </w:rPr>
              <w:t xml:space="preserve"> </w:t>
            </w:r>
            <w:r>
              <w:rPr>
                <w:sz w:val="20"/>
              </w:rPr>
              <w:t>each</w:t>
            </w:r>
            <w:r>
              <w:rPr>
                <w:spacing w:val="-2"/>
                <w:sz w:val="20"/>
              </w:rPr>
              <w:t xml:space="preserve"> </w:t>
            </w:r>
            <w:r>
              <w:rPr>
                <w:sz w:val="20"/>
              </w:rPr>
              <w:t>subscale</w:t>
            </w:r>
            <w:r>
              <w:rPr>
                <w:spacing w:val="-4"/>
                <w:sz w:val="20"/>
              </w:rPr>
              <w:t xml:space="preserve"> </w:t>
            </w:r>
            <w:r>
              <w:rPr>
                <w:sz w:val="20"/>
              </w:rPr>
              <w:t>and</w:t>
            </w:r>
            <w:r>
              <w:rPr>
                <w:spacing w:val="-2"/>
                <w:sz w:val="20"/>
              </w:rPr>
              <w:t xml:space="preserve"> </w:t>
            </w:r>
            <w:r>
              <w:rPr>
                <w:sz w:val="20"/>
              </w:rPr>
              <w:t>divide</w:t>
            </w:r>
            <w:r>
              <w:rPr>
                <w:spacing w:val="-4"/>
                <w:sz w:val="20"/>
              </w:rPr>
              <w:t xml:space="preserve"> </w:t>
            </w:r>
            <w:r>
              <w:rPr>
                <w:sz w:val="20"/>
              </w:rPr>
              <w:t>by</w:t>
            </w:r>
            <w:r>
              <w:rPr>
                <w:spacing w:val="-2"/>
                <w:sz w:val="20"/>
              </w:rPr>
              <w:t xml:space="preserve"> </w:t>
            </w:r>
            <w:r>
              <w:rPr>
                <w:sz w:val="20"/>
              </w:rPr>
              <w:t>the</w:t>
            </w:r>
            <w:r>
              <w:rPr>
                <w:spacing w:val="-4"/>
                <w:sz w:val="20"/>
              </w:rPr>
              <w:t xml:space="preserve"> </w:t>
            </w:r>
            <w:r>
              <w:rPr>
                <w:sz w:val="20"/>
              </w:rPr>
              <w:t>number</w:t>
            </w:r>
            <w:r>
              <w:rPr>
                <w:spacing w:val="-3"/>
                <w:sz w:val="20"/>
              </w:rPr>
              <w:t xml:space="preserve"> </w:t>
            </w:r>
            <w:r>
              <w:rPr>
                <w:sz w:val="20"/>
              </w:rPr>
              <w:t>of items (3).</w:t>
            </w:r>
          </w:p>
        </w:tc>
      </w:tr>
      <w:tr w:rsidR="00DB6E1F" w14:paraId="0D058CB5" w14:textId="77777777">
        <w:trPr>
          <w:trHeight w:val="1619"/>
        </w:trPr>
        <w:tc>
          <w:tcPr>
            <w:tcW w:w="9266" w:type="dxa"/>
            <w:gridSpan w:val="2"/>
          </w:tcPr>
          <w:p w14:paraId="7FEDF1AB" w14:textId="77777777" w:rsidR="00DB6E1F" w:rsidRDefault="00F666A6">
            <w:pPr>
              <w:pStyle w:val="TableParagraph"/>
              <w:spacing w:before="80"/>
              <w:rPr>
                <w:i/>
                <w:sz w:val="20"/>
              </w:rPr>
            </w:pPr>
            <w:r>
              <w:rPr>
                <w:i/>
                <w:sz w:val="20"/>
              </w:rPr>
              <w:t>Source:</w:t>
            </w:r>
            <w:r>
              <w:rPr>
                <w:i/>
                <w:spacing w:val="-8"/>
                <w:sz w:val="20"/>
              </w:rPr>
              <w:t xml:space="preserve"> </w:t>
            </w:r>
            <w:r>
              <w:rPr>
                <w:i/>
                <w:sz w:val="20"/>
              </w:rPr>
              <w:t>DiClemente,</w:t>
            </w:r>
            <w:r>
              <w:rPr>
                <w:i/>
                <w:spacing w:val="-7"/>
                <w:sz w:val="20"/>
              </w:rPr>
              <w:t xml:space="preserve"> </w:t>
            </w:r>
            <w:r>
              <w:rPr>
                <w:i/>
                <w:sz w:val="20"/>
              </w:rPr>
              <w:t>Carbonari,</w:t>
            </w:r>
            <w:r>
              <w:rPr>
                <w:i/>
                <w:spacing w:val="-7"/>
                <w:sz w:val="20"/>
              </w:rPr>
              <w:t xml:space="preserve"> </w:t>
            </w:r>
            <w:r>
              <w:rPr>
                <w:i/>
                <w:sz w:val="20"/>
              </w:rPr>
              <w:t>Montgomery,</w:t>
            </w:r>
            <w:r>
              <w:rPr>
                <w:i/>
                <w:spacing w:val="-7"/>
                <w:sz w:val="20"/>
              </w:rPr>
              <w:t xml:space="preserve"> </w:t>
            </w:r>
            <w:r>
              <w:rPr>
                <w:i/>
                <w:sz w:val="20"/>
              </w:rPr>
              <w:t>&amp;</w:t>
            </w:r>
            <w:r>
              <w:rPr>
                <w:i/>
                <w:spacing w:val="-7"/>
                <w:sz w:val="20"/>
              </w:rPr>
              <w:t xml:space="preserve"> </w:t>
            </w:r>
            <w:r>
              <w:rPr>
                <w:i/>
                <w:sz w:val="20"/>
              </w:rPr>
              <w:t>Hughes,</w:t>
            </w:r>
            <w:r>
              <w:rPr>
                <w:i/>
                <w:spacing w:val="-7"/>
                <w:sz w:val="20"/>
              </w:rPr>
              <w:t xml:space="preserve"> </w:t>
            </w:r>
            <w:r>
              <w:rPr>
                <w:i/>
                <w:sz w:val="20"/>
              </w:rPr>
              <w:t>1994.</w:t>
            </w:r>
            <w:r>
              <w:rPr>
                <w:i/>
                <w:spacing w:val="-8"/>
                <w:sz w:val="20"/>
              </w:rPr>
              <w:t xml:space="preserve"> </w:t>
            </w:r>
            <w:r>
              <w:rPr>
                <w:i/>
                <w:sz w:val="20"/>
              </w:rPr>
              <w:t>Adapted</w:t>
            </w:r>
            <w:r>
              <w:rPr>
                <w:i/>
                <w:spacing w:val="-7"/>
                <w:sz w:val="20"/>
              </w:rPr>
              <w:t xml:space="preserve"> </w:t>
            </w:r>
            <w:r>
              <w:rPr>
                <w:i/>
                <w:sz w:val="20"/>
              </w:rPr>
              <w:t>from</w:t>
            </w:r>
            <w:r>
              <w:rPr>
                <w:i/>
                <w:spacing w:val="-7"/>
                <w:sz w:val="20"/>
              </w:rPr>
              <w:t xml:space="preserve"> </w:t>
            </w:r>
            <w:r>
              <w:rPr>
                <w:i/>
                <w:sz w:val="20"/>
              </w:rPr>
              <w:t>material</w:t>
            </w:r>
            <w:r>
              <w:rPr>
                <w:i/>
                <w:spacing w:val="-8"/>
                <w:sz w:val="20"/>
              </w:rPr>
              <w:t xml:space="preserve"> </w:t>
            </w:r>
            <w:r>
              <w:rPr>
                <w:i/>
                <w:sz w:val="20"/>
              </w:rPr>
              <w:t>in</w:t>
            </w:r>
            <w:r>
              <w:rPr>
                <w:i/>
                <w:spacing w:val="-7"/>
                <w:sz w:val="20"/>
              </w:rPr>
              <w:t xml:space="preserve"> </w:t>
            </w:r>
            <w:r>
              <w:rPr>
                <w:i/>
                <w:sz w:val="20"/>
              </w:rPr>
              <w:t>the</w:t>
            </w:r>
            <w:r>
              <w:rPr>
                <w:i/>
                <w:spacing w:val="-7"/>
                <w:sz w:val="20"/>
              </w:rPr>
              <w:t xml:space="preserve"> </w:t>
            </w:r>
            <w:r>
              <w:rPr>
                <w:i/>
                <w:sz w:val="20"/>
              </w:rPr>
              <w:t>public</w:t>
            </w:r>
            <w:r>
              <w:rPr>
                <w:i/>
                <w:spacing w:val="-7"/>
                <w:sz w:val="20"/>
              </w:rPr>
              <w:t xml:space="preserve"> </w:t>
            </w:r>
            <w:r>
              <w:rPr>
                <w:i/>
                <w:spacing w:val="-2"/>
                <w:sz w:val="20"/>
              </w:rPr>
              <w:t>domain.</w:t>
            </w:r>
          </w:p>
          <w:p w14:paraId="665D29F3" w14:textId="77777777" w:rsidR="00DB6E1F" w:rsidRDefault="00F666A6">
            <w:pPr>
              <w:pStyle w:val="TableParagraph"/>
              <w:spacing w:before="80"/>
              <w:ind w:right="248"/>
              <w:rPr>
                <w:i/>
                <w:sz w:val="20"/>
              </w:rPr>
            </w:pPr>
            <w:r>
              <w:rPr>
                <w:sz w:val="20"/>
              </w:rPr>
              <w:t>AASES</w:t>
            </w:r>
            <w:r>
              <w:rPr>
                <w:spacing w:val="-7"/>
                <w:sz w:val="20"/>
              </w:rPr>
              <w:t xml:space="preserve"> </w:t>
            </w:r>
            <w:r>
              <w:rPr>
                <w:sz w:val="20"/>
              </w:rPr>
              <w:t>available</w:t>
            </w:r>
            <w:r>
              <w:rPr>
                <w:spacing w:val="-7"/>
                <w:sz w:val="20"/>
              </w:rPr>
              <w:t xml:space="preserve"> </w:t>
            </w:r>
            <w:r>
              <w:rPr>
                <w:sz w:val="20"/>
              </w:rPr>
              <w:t>online</w:t>
            </w:r>
            <w:r>
              <w:rPr>
                <w:spacing w:val="-7"/>
                <w:sz w:val="20"/>
              </w:rPr>
              <w:t xml:space="preserve"> </w:t>
            </w:r>
            <w:r>
              <w:rPr>
                <w:sz w:val="20"/>
              </w:rPr>
              <w:t>at</w:t>
            </w:r>
            <w:r>
              <w:rPr>
                <w:spacing w:val="-7"/>
                <w:sz w:val="20"/>
              </w:rPr>
              <w:t xml:space="preserve"> </w:t>
            </w:r>
            <w:r>
              <w:rPr>
                <w:sz w:val="20"/>
              </w:rPr>
              <w:t>no</w:t>
            </w:r>
            <w:r>
              <w:rPr>
                <w:spacing w:val="-7"/>
                <w:sz w:val="20"/>
              </w:rPr>
              <w:t xml:space="preserve"> </w:t>
            </w:r>
            <w:r>
              <w:rPr>
                <w:sz w:val="20"/>
              </w:rPr>
              <w:t>cost</w:t>
            </w:r>
            <w:r>
              <w:rPr>
                <w:spacing w:val="-7"/>
                <w:sz w:val="20"/>
              </w:rPr>
              <w:t xml:space="preserve"> </w:t>
            </w:r>
            <w:r>
              <w:rPr>
                <w:sz w:val="20"/>
              </w:rPr>
              <w:t>(</w:t>
            </w:r>
            <w:hyperlink r:id="rId185">
              <w:r>
                <w:rPr>
                  <w:i/>
                  <w:color w:val="0563C1"/>
                  <w:sz w:val="20"/>
                  <w:u w:val="single" w:color="0563C1"/>
                </w:rPr>
                <w:t>https://habitslab.umbc.edu/files/2014/07/Alcohol-Abstinence-Self-efficacy-</w:t>
              </w:r>
            </w:hyperlink>
            <w:r>
              <w:rPr>
                <w:i/>
                <w:color w:val="0563C1"/>
                <w:sz w:val="20"/>
              </w:rPr>
              <w:t xml:space="preserve"> </w:t>
            </w:r>
            <w:hyperlink r:id="rId186">
              <w:r>
                <w:rPr>
                  <w:i/>
                  <w:color w:val="0563C1"/>
                  <w:spacing w:val="-2"/>
                  <w:sz w:val="20"/>
                  <w:u w:val="single" w:color="0563C1"/>
                </w:rPr>
                <w:t>Scale-20item.pdf</w:t>
              </w:r>
            </w:hyperlink>
            <w:r>
              <w:rPr>
                <w:i/>
                <w:color w:val="0563C1"/>
                <w:spacing w:val="-2"/>
                <w:sz w:val="20"/>
                <w:u w:val="single" w:color="0563C1"/>
              </w:rPr>
              <w:t>).</w:t>
            </w:r>
          </w:p>
          <w:p w14:paraId="1F1F40CC" w14:textId="77777777" w:rsidR="00DB6E1F" w:rsidRDefault="00F666A6">
            <w:pPr>
              <w:pStyle w:val="TableParagraph"/>
              <w:spacing w:before="119"/>
              <w:ind w:right="1906"/>
              <w:rPr>
                <w:sz w:val="20"/>
              </w:rPr>
            </w:pPr>
            <w:r>
              <w:rPr>
                <w:sz w:val="20"/>
              </w:rPr>
              <w:t>Drug</w:t>
            </w:r>
            <w:r>
              <w:rPr>
                <w:spacing w:val="-4"/>
                <w:sz w:val="20"/>
              </w:rPr>
              <w:t xml:space="preserve"> </w:t>
            </w:r>
            <w:r>
              <w:rPr>
                <w:sz w:val="20"/>
              </w:rPr>
              <w:t>Abstinence</w:t>
            </w:r>
            <w:r>
              <w:rPr>
                <w:spacing w:val="-4"/>
                <w:sz w:val="20"/>
              </w:rPr>
              <w:t xml:space="preserve"> </w:t>
            </w:r>
            <w:r>
              <w:rPr>
                <w:sz w:val="20"/>
              </w:rPr>
              <w:t>Self-Efficacy</w:t>
            </w:r>
            <w:r>
              <w:rPr>
                <w:spacing w:val="-1"/>
                <w:sz w:val="20"/>
              </w:rPr>
              <w:t xml:space="preserve"> </w:t>
            </w:r>
            <w:r>
              <w:rPr>
                <w:sz w:val="20"/>
              </w:rPr>
              <w:t>Scale</w:t>
            </w:r>
            <w:r>
              <w:rPr>
                <w:spacing w:val="-5"/>
                <w:sz w:val="20"/>
              </w:rPr>
              <w:t xml:space="preserve"> </w:t>
            </w:r>
            <w:r>
              <w:rPr>
                <w:sz w:val="20"/>
              </w:rPr>
              <w:t>(adapted</w:t>
            </w:r>
            <w:r>
              <w:rPr>
                <w:spacing w:val="-3"/>
                <w:sz w:val="20"/>
              </w:rPr>
              <w:t xml:space="preserve"> </w:t>
            </w:r>
            <w:r>
              <w:rPr>
                <w:sz w:val="20"/>
              </w:rPr>
              <w:t>version</w:t>
            </w:r>
            <w:r>
              <w:rPr>
                <w:spacing w:val="-3"/>
                <w:sz w:val="20"/>
              </w:rPr>
              <w:t xml:space="preserve"> </w:t>
            </w:r>
            <w:r>
              <w:rPr>
                <w:sz w:val="20"/>
              </w:rPr>
              <w:t>of</w:t>
            </w:r>
            <w:r>
              <w:rPr>
                <w:spacing w:val="-5"/>
                <w:sz w:val="20"/>
              </w:rPr>
              <w:t xml:space="preserve"> </w:t>
            </w:r>
            <w:r>
              <w:rPr>
                <w:sz w:val="20"/>
              </w:rPr>
              <w:t>AASES)</w:t>
            </w:r>
            <w:r>
              <w:rPr>
                <w:spacing w:val="-5"/>
                <w:sz w:val="20"/>
              </w:rPr>
              <w:t xml:space="preserve"> </w:t>
            </w:r>
            <w:r>
              <w:rPr>
                <w:sz w:val="20"/>
              </w:rPr>
              <w:t>available</w:t>
            </w:r>
            <w:r>
              <w:rPr>
                <w:spacing w:val="-5"/>
                <w:sz w:val="20"/>
              </w:rPr>
              <w:t xml:space="preserve"> </w:t>
            </w:r>
            <w:r>
              <w:rPr>
                <w:sz w:val="20"/>
              </w:rPr>
              <w:t>online</w:t>
            </w:r>
            <w:r>
              <w:rPr>
                <w:spacing w:val="-5"/>
                <w:sz w:val="20"/>
              </w:rPr>
              <w:t xml:space="preserve"> </w:t>
            </w:r>
            <w:r>
              <w:rPr>
                <w:sz w:val="20"/>
              </w:rPr>
              <w:t>at</w:t>
            </w:r>
            <w:r>
              <w:rPr>
                <w:spacing w:val="-4"/>
                <w:sz w:val="20"/>
              </w:rPr>
              <w:t xml:space="preserve"> </w:t>
            </w:r>
            <w:r>
              <w:rPr>
                <w:sz w:val="20"/>
              </w:rPr>
              <w:t>no</w:t>
            </w:r>
            <w:r>
              <w:rPr>
                <w:spacing w:val="-4"/>
                <w:sz w:val="20"/>
              </w:rPr>
              <w:t xml:space="preserve"> </w:t>
            </w:r>
            <w:r>
              <w:rPr>
                <w:sz w:val="20"/>
              </w:rPr>
              <w:t xml:space="preserve">cost </w:t>
            </w:r>
            <w:r>
              <w:rPr>
                <w:spacing w:val="-2"/>
                <w:sz w:val="20"/>
              </w:rPr>
              <w:t>(</w:t>
            </w:r>
            <w:hyperlink r:id="rId187">
              <w:r>
                <w:rPr>
                  <w:i/>
                  <w:color w:val="0563C1"/>
                  <w:spacing w:val="-2"/>
                  <w:sz w:val="20"/>
                  <w:u w:val="single" w:color="0563C1"/>
                </w:rPr>
                <w:t>https://habitslab.umbc.edu/files/2014/07/Drug-Abstinence-Self-efficacy-scale.pdf</w:t>
              </w:r>
              <w:r>
                <w:rPr>
                  <w:spacing w:val="-2"/>
                  <w:sz w:val="20"/>
                </w:rPr>
                <w:t>)</w:t>
              </w:r>
            </w:hyperlink>
            <w:r>
              <w:rPr>
                <w:spacing w:val="-2"/>
                <w:sz w:val="20"/>
              </w:rPr>
              <w:t>.</w:t>
            </w:r>
          </w:p>
        </w:tc>
      </w:tr>
    </w:tbl>
    <w:p w14:paraId="28F3B0E1" w14:textId="77777777" w:rsidR="00DB6E1F" w:rsidRDefault="00DB6E1F">
      <w:pPr>
        <w:rPr>
          <w:sz w:val="20"/>
        </w:rPr>
        <w:sectPr w:rsidR="00DB6E1F">
          <w:pgSz w:w="12240" w:h="15840"/>
          <w:pgMar w:top="1200" w:right="0" w:bottom="780" w:left="0" w:header="763" w:footer="585" w:gutter="0"/>
          <w:cols w:space="720"/>
        </w:sectPr>
      </w:pPr>
    </w:p>
    <w:p w14:paraId="27D57943" w14:textId="77777777" w:rsidR="00DB6E1F" w:rsidRDefault="00DB6E1F">
      <w:pPr>
        <w:pStyle w:val="BodyText"/>
        <w:spacing w:before="3"/>
        <w:rPr>
          <w:sz w:val="17"/>
        </w:rPr>
      </w:pPr>
    </w:p>
    <w:p w14:paraId="4399CACB" w14:textId="77777777" w:rsidR="00DB6E1F" w:rsidRDefault="00F666A6">
      <w:pPr>
        <w:pStyle w:val="Heading2"/>
        <w:numPr>
          <w:ilvl w:val="0"/>
          <w:numId w:val="26"/>
        </w:numPr>
        <w:tabs>
          <w:tab w:val="left" w:pos="1983"/>
        </w:tabs>
      </w:pPr>
      <w:bookmarkStart w:id="258" w:name="14._Motivational_Interviewing_Knowledge_"/>
      <w:bookmarkStart w:id="259" w:name="_bookmark64"/>
      <w:bookmarkEnd w:id="258"/>
      <w:bookmarkEnd w:id="259"/>
      <w:r>
        <w:t>Motivational</w:t>
      </w:r>
      <w:r>
        <w:rPr>
          <w:spacing w:val="-4"/>
        </w:rPr>
        <w:t xml:space="preserve"> </w:t>
      </w:r>
      <w:r>
        <w:t>Interviewing</w:t>
      </w:r>
      <w:r>
        <w:rPr>
          <w:spacing w:val="-4"/>
        </w:rPr>
        <w:t xml:space="preserve"> </w:t>
      </w:r>
      <w:r>
        <w:t>Knowledge</w:t>
      </w:r>
      <w:r>
        <w:rPr>
          <w:spacing w:val="-2"/>
        </w:rPr>
        <w:t xml:space="preserve"> </w:t>
      </w:r>
      <w:r>
        <w:rPr>
          <w:spacing w:val="-4"/>
        </w:rPr>
        <w:t>Test</w:t>
      </w:r>
    </w:p>
    <w:p w14:paraId="7E05A436" w14:textId="77777777" w:rsidR="00DB6E1F" w:rsidRDefault="00F666A6">
      <w:pPr>
        <w:spacing w:before="152"/>
        <w:ind w:left="1440" w:right="1491"/>
        <w:rPr>
          <w:sz w:val="20"/>
        </w:rPr>
      </w:pPr>
      <w:r>
        <w:rPr>
          <w:b/>
          <w:sz w:val="20"/>
        </w:rPr>
        <w:t>Instructions:</w:t>
      </w:r>
      <w:r>
        <w:rPr>
          <w:b/>
          <w:spacing w:val="-3"/>
          <w:sz w:val="20"/>
        </w:rPr>
        <w:t xml:space="preserve"> </w:t>
      </w:r>
      <w:r>
        <w:rPr>
          <w:sz w:val="20"/>
        </w:rPr>
        <w:t>Choo</w:t>
      </w:r>
      <w:r>
        <w:rPr>
          <w:sz w:val="20"/>
        </w:rPr>
        <w:t>se</w:t>
      </w:r>
      <w:r>
        <w:rPr>
          <w:spacing w:val="-4"/>
          <w:sz w:val="20"/>
        </w:rPr>
        <w:t xml:space="preserve"> </w:t>
      </w:r>
      <w:r>
        <w:rPr>
          <w:sz w:val="20"/>
        </w:rPr>
        <w:t>the</w:t>
      </w:r>
      <w:r>
        <w:rPr>
          <w:spacing w:val="-4"/>
          <w:sz w:val="20"/>
        </w:rPr>
        <w:t xml:space="preserve"> </w:t>
      </w:r>
      <w:r>
        <w:rPr>
          <w:sz w:val="20"/>
        </w:rPr>
        <w:t>best answer</w:t>
      </w:r>
      <w:r>
        <w:rPr>
          <w:spacing w:val="-1"/>
          <w:sz w:val="20"/>
        </w:rPr>
        <w:t xml:space="preserve"> </w:t>
      </w:r>
      <w:r>
        <w:rPr>
          <w:sz w:val="20"/>
        </w:rPr>
        <w:t>for</w:t>
      </w:r>
      <w:r>
        <w:rPr>
          <w:spacing w:val="-3"/>
          <w:sz w:val="20"/>
        </w:rPr>
        <w:t xml:space="preserve"> </w:t>
      </w:r>
      <w:r>
        <w:rPr>
          <w:sz w:val="20"/>
        </w:rPr>
        <w:t>each</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3"/>
          <w:sz w:val="20"/>
        </w:rPr>
        <w:t xml:space="preserve"> </w:t>
      </w:r>
      <w:r>
        <w:rPr>
          <w:sz w:val="20"/>
        </w:rPr>
        <w:t>questions.</w:t>
      </w:r>
      <w:r>
        <w:rPr>
          <w:spacing w:val="-3"/>
          <w:sz w:val="20"/>
        </w:rPr>
        <w:t xml:space="preserve"> </w:t>
      </w:r>
      <w:r>
        <w:rPr>
          <w:sz w:val="20"/>
        </w:rPr>
        <w:t>Each</w:t>
      </w:r>
      <w:r>
        <w:rPr>
          <w:spacing w:val="-2"/>
          <w:sz w:val="20"/>
        </w:rPr>
        <w:t xml:space="preserve"> </w:t>
      </w:r>
      <w:r>
        <w:rPr>
          <w:sz w:val="20"/>
        </w:rPr>
        <w:t>question</w:t>
      </w:r>
      <w:r>
        <w:rPr>
          <w:spacing w:val="-2"/>
          <w:sz w:val="20"/>
        </w:rPr>
        <w:t xml:space="preserve"> </w:t>
      </w:r>
      <w:r>
        <w:rPr>
          <w:sz w:val="20"/>
        </w:rPr>
        <w:t>has</w:t>
      </w:r>
      <w:r>
        <w:rPr>
          <w:spacing w:val="-4"/>
          <w:sz w:val="20"/>
        </w:rPr>
        <w:t xml:space="preserve"> </w:t>
      </w:r>
      <w:r>
        <w:rPr>
          <w:sz w:val="20"/>
        </w:rPr>
        <w:t>only</w:t>
      </w:r>
      <w:r>
        <w:rPr>
          <w:spacing w:val="-2"/>
          <w:sz w:val="20"/>
        </w:rPr>
        <w:t xml:space="preserve"> </w:t>
      </w:r>
      <w:r>
        <w:rPr>
          <w:sz w:val="20"/>
        </w:rPr>
        <w:t>one</w:t>
      </w:r>
      <w:r>
        <w:rPr>
          <w:spacing w:val="-4"/>
          <w:sz w:val="20"/>
        </w:rPr>
        <w:t xml:space="preserve"> </w:t>
      </w:r>
      <w:r>
        <w:rPr>
          <w:sz w:val="20"/>
        </w:rPr>
        <w:t xml:space="preserve">correct </w:t>
      </w:r>
      <w:r>
        <w:rPr>
          <w:spacing w:val="-2"/>
          <w:sz w:val="20"/>
        </w:rPr>
        <w:t>answer.</w:t>
      </w:r>
    </w:p>
    <w:p w14:paraId="39799CFC" w14:textId="77777777" w:rsidR="00DB6E1F" w:rsidRDefault="00DB6E1F">
      <w:pPr>
        <w:pStyle w:val="BodyText"/>
        <w:spacing w:before="10"/>
        <w:rPr>
          <w:sz w:val="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6F2B6E03" w14:textId="77777777">
        <w:trPr>
          <w:trHeight w:val="11582"/>
        </w:trPr>
        <w:tc>
          <w:tcPr>
            <w:tcW w:w="9350" w:type="dxa"/>
          </w:tcPr>
          <w:p w14:paraId="098842A5" w14:textId="77777777" w:rsidR="00DB6E1F" w:rsidRDefault="00F666A6">
            <w:pPr>
              <w:pStyle w:val="TableParagraph"/>
              <w:rPr>
                <w:b/>
                <w:sz w:val="20"/>
              </w:rPr>
            </w:pPr>
            <w:r>
              <w:rPr>
                <w:b/>
                <w:sz w:val="20"/>
              </w:rPr>
              <w:t>1.</w:t>
            </w:r>
            <w:r>
              <w:rPr>
                <w:b/>
                <w:spacing w:val="-5"/>
                <w:sz w:val="20"/>
              </w:rPr>
              <w:t xml:space="preserve"> </w:t>
            </w:r>
            <w:r>
              <w:rPr>
                <w:b/>
                <w:sz w:val="20"/>
              </w:rPr>
              <w:t>Which</w:t>
            </w:r>
            <w:r>
              <w:rPr>
                <w:b/>
                <w:spacing w:val="-3"/>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following</w:t>
            </w:r>
            <w:r>
              <w:rPr>
                <w:b/>
                <w:spacing w:val="-5"/>
                <w:sz w:val="20"/>
              </w:rPr>
              <w:t xml:space="preserve"> </w:t>
            </w:r>
            <w:r>
              <w:rPr>
                <w:b/>
                <w:sz w:val="20"/>
              </w:rPr>
              <w:t>is</w:t>
            </w:r>
            <w:r>
              <w:rPr>
                <w:b/>
                <w:spacing w:val="-4"/>
                <w:sz w:val="20"/>
              </w:rPr>
              <w:t xml:space="preserve"> </w:t>
            </w:r>
            <w:r>
              <w:rPr>
                <w:b/>
                <w:sz w:val="20"/>
              </w:rPr>
              <w:t>NOT</w:t>
            </w:r>
            <w:r>
              <w:rPr>
                <w:b/>
                <w:spacing w:val="-4"/>
                <w:sz w:val="20"/>
              </w:rPr>
              <w:t xml:space="preserve"> </w:t>
            </w:r>
            <w:r>
              <w:rPr>
                <w:b/>
                <w:sz w:val="20"/>
              </w:rPr>
              <w:t>consistent</w:t>
            </w:r>
            <w:r>
              <w:rPr>
                <w:b/>
                <w:spacing w:val="-4"/>
                <w:sz w:val="20"/>
              </w:rPr>
              <w:t xml:space="preserve"> </w:t>
            </w:r>
            <w:r>
              <w:rPr>
                <w:b/>
                <w:sz w:val="20"/>
              </w:rPr>
              <w:t>with</w:t>
            </w:r>
            <w:r>
              <w:rPr>
                <w:b/>
                <w:spacing w:val="-4"/>
                <w:sz w:val="20"/>
              </w:rPr>
              <w:t xml:space="preserve"> </w:t>
            </w:r>
            <w:r>
              <w:rPr>
                <w:b/>
                <w:sz w:val="20"/>
              </w:rPr>
              <w:t>the</w:t>
            </w:r>
            <w:r>
              <w:rPr>
                <w:b/>
                <w:spacing w:val="-4"/>
                <w:sz w:val="20"/>
              </w:rPr>
              <w:t xml:space="preserve"> </w:t>
            </w:r>
            <w:r>
              <w:rPr>
                <w:b/>
                <w:sz w:val="20"/>
              </w:rPr>
              <w:t>MI</w:t>
            </w:r>
            <w:r>
              <w:rPr>
                <w:b/>
                <w:spacing w:val="-4"/>
                <w:sz w:val="20"/>
              </w:rPr>
              <w:t xml:space="preserve"> </w:t>
            </w:r>
            <w:r>
              <w:rPr>
                <w:b/>
                <w:sz w:val="20"/>
              </w:rPr>
              <w:t>approach</w:t>
            </w:r>
            <w:r>
              <w:rPr>
                <w:b/>
                <w:spacing w:val="-3"/>
                <w:sz w:val="20"/>
              </w:rPr>
              <w:t xml:space="preserve"> </w:t>
            </w:r>
            <w:r>
              <w:rPr>
                <w:b/>
                <w:sz w:val="20"/>
              </w:rPr>
              <w:t>to</w:t>
            </w:r>
            <w:r>
              <w:rPr>
                <w:b/>
                <w:spacing w:val="-3"/>
                <w:sz w:val="20"/>
              </w:rPr>
              <w:t xml:space="preserve"> </w:t>
            </w:r>
            <w:r>
              <w:rPr>
                <w:b/>
                <w:spacing w:val="-2"/>
                <w:sz w:val="20"/>
              </w:rPr>
              <w:t>counseling?</w:t>
            </w:r>
          </w:p>
          <w:p w14:paraId="4B717847" w14:textId="77777777" w:rsidR="00DB6E1F" w:rsidRDefault="00F666A6">
            <w:pPr>
              <w:pStyle w:val="TableParagraph"/>
              <w:numPr>
                <w:ilvl w:val="0"/>
                <w:numId w:val="25"/>
              </w:numPr>
              <w:tabs>
                <w:tab w:val="left" w:pos="310"/>
              </w:tabs>
              <w:spacing w:line="243" w:lineRule="exact"/>
              <w:ind w:hanging="203"/>
              <w:rPr>
                <w:sz w:val="20"/>
              </w:rPr>
            </w:pPr>
            <w:r>
              <w:rPr>
                <w:sz w:val="20"/>
              </w:rPr>
              <w:t>rolling</w:t>
            </w:r>
            <w:r>
              <w:rPr>
                <w:spacing w:val="-7"/>
                <w:sz w:val="20"/>
              </w:rPr>
              <w:t xml:space="preserve"> </w:t>
            </w:r>
            <w:r>
              <w:rPr>
                <w:sz w:val="20"/>
              </w:rPr>
              <w:t>with</w:t>
            </w:r>
            <w:r>
              <w:rPr>
                <w:spacing w:val="-6"/>
                <w:sz w:val="20"/>
              </w:rPr>
              <w:t xml:space="preserve"> </w:t>
            </w:r>
            <w:r>
              <w:rPr>
                <w:spacing w:val="-2"/>
                <w:sz w:val="20"/>
              </w:rPr>
              <w:t>resistance</w:t>
            </w:r>
          </w:p>
          <w:p w14:paraId="5B200871" w14:textId="77777777" w:rsidR="00DB6E1F" w:rsidRDefault="00F666A6">
            <w:pPr>
              <w:pStyle w:val="TableParagraph"/>
              <w:numPr>
                <w:ilvl w:val="0"/>
                <w:numId w:val="25"/>
              </w:numPr>
              <w:tabs>
                <w:tab w:val="left" w:pos="319"/>
              </w:tabs>
              <w:spacing w:before="0" w:line="243" w:lineRule="exact"/>
              <w:ind w:left="318" w:hanging="212"/>
              <w:rPr>
                <w:sz w:val="20"/>
              </w:rPr>
            </w:pPr>
            <w:r>
              <w:rPr>
                <w:sz w:val="20"/>
              </w:rPr>
              <w:t>avoiding</w:t>
            </w:r>
            <w:r>
              <w:rPr>
                <w:spacing w:val="-11"/>
                <w:sz w:val="20"/>
              </w:rPr>
              <w:t xml:space="preserve"> </w:t>
            </w:r>
            <w:r>
              <w:rPr>
                <w:spacing w:val="-2"/>
                <w:sz w:val="20"/>
              </w:rPr>
              <w:t>argumentation</w:t>
            </w:r>
          </w:p>
          <w:p w14:paraId="76F0D048" w14:textId="77777777" w:rsidR="00DB6E1F" w:rsidRDefault="00F666A6">
            <w:pPr>
              <w:pStyle w:val="TableParagraph"/>
              <w:numPr>
                <w:ilvl w:val="0"/>
                <w:numId w:val="25"/>
              </w:numPr>
              <w:tabs>
                <w:tab w:val="left" w:pos="298"/>
              </w:tabs>
              <w:spacing w:before="0"/>
              <w:ind w:left="297" w:hanging="191"/>
              <w:rPr>
                <w:sz w:val="20"/>
              </w:rPr>
            </w:pPr>
            <w:r>
              <w:rPr>
                <w:spacing w:val="-2"/>
                <w:sz w:val="20"/>
              </w:rPr>
              <w:t>confronting</w:t>
            </w:r>
            <w:r>
              <w:rPr>
                <w:spacing w:val="9"/>
                <w:sz w:val="20"/>
              </w:rPr>
              <w:t xml:space="preserve"> </w:t>
            </w:r>
            <w:r>
              <w:rPr>
                <w:spacing w:val="-2"/>
                <w:sz w:val="20"/>
              </w:rPr>
              <w:t>denial</w:t>
            </w:r>
          </w:p>
          <w:p w14:paraId="0F735651" w14:textId="77777777" w:rsidR="00DB6E1F" w:rsidRDefault="00F666A6">
            <w:pPr>
              <w:pStyle w:val="TableParagraph"/>
              <w:numPr>
                <w:ilvl w:val="0"/>
                <w:numId w:val="25"/>
              </w:numPr>
              <w:tabs>
                <w:tab w:val="left" w:pos="320"/>
              </w:tabs>
              <w:ind w:left="319" w:hanging="213"/>
              <w:rPr>
                <w:sz w:val="20"/>
              </w:rPr>
            </w:pPr>
            <w:r>
              <w:rPr>
                <w:w w:val="95"/>
                <w:sz w:val="20"/>
              </w:rPr>
              <w:t>supporting</w:t>
            </w:r>
            <w:r>
              <w:rPr>
                <w:spacing w:val="41"/>
                <w:sz w:val="20"/>
              </w:rPr>
              <w:t xml:space="preserve"> </w:t>
            </w:r>
            <w:r>
              <w:rPr>
                <w:w w:val="95"/>
                <w:sz w:val="20"/>
              </w:rPr>
              <w:t>self-</w:t>
            </w:r>
            <w:r>
              <w:rPr>
                <w:spacing w:val="-2"/>
                <w:w w:val="95"/>
                <w:sz w:val="20"/>
              </w:rPr>
              <w:t>efficacy</w:t>
            </w:r>
          </w:p>
          <w:p w14:paraId="56C31427" w14:textId="77777777" w:rsidR="00DB6E1F" w:rsidRDefault="00F666A6">
            <w:pPr>
              <w:pStyle w:val="TableParagraph"/>
              <w:spacing w:before="121" w:line="243" w:lineRule="exact"/>
              <w:rPr>
                <w:b/>
                <w:sz w:val="20"/>
              </w:rPr>
            </w:pPr>
            <w:r>
              <w:rPr>
                <w:b/>
                <w:sz w:val="20"/>
              </w:rPr>
              <w:t>2.</w:t>
            </w:r>
            <w:r>
              <w:rPr>
                <w:b/>
                <w:spacing w:val="-4"/>
                <w:sz w:val="20"/>
              </w:rPr>
              <w:t xml:space="preserve"> </w:t>
            </w:r>
            <w:r>
              <w:rPr>
                <w:b/>
                <w:sz w:val="20"/>
              </w:rPr>
              <w:t>Within</w:t>
            </w:r>
            <w:r>
              <w:rPr>
                <w:b/>
                <w:spacing w:val="-2"/>
                <w:sz w:val="20"/>
              </w:rPr>
              <w:t xml:space="preserve"> </w:t>
            </w:r>
            <w:r>
              <w:rPr>
                <w:b/>
                <w:sz w:val="20"/>
              </w:rPr>
              <w:t>the</w:t>
            </w:r>
            <w:r>
              <w:rPr>
                <w:b/>
                <w:spacing w:val="-4"/>
                <w:sz w:val="20"/>
              </w:rPr>
              <w:t xml:space="preserve"> </w:t>
            </w:r>
            <w:r>
              <w:rPr>
                <w:b/>
                <w:sz w:val="20"/>
              </w:rPr>
              <w:t>MI</w:t>
            </w:r>
            <w:r>
              <w:rPr>
                <w:b/>
                <w:spacing w:val="-3"/>
                <w:sz w:val="20"/>
              </w:rPr>
              <w:t xml:space="preserve"> </w:t>
            </w:r>
            <w:r>
              <w:rPr>
                <w:b/>
                <w:sz w:val="20"/>
              </w:rPr>
              <w:t>framework,</w:t>
            </w:r>
            <w:r>
              <w:rPr>
                <w:b/>
                <w:spacing w:val="-5"/>
                <w:sz w:val="20"/>
              </w:rPr>
              <w:t xml:space="preserve"> </w:t>
            </w:r>
            <w:r>
              <w:rPr>
                <w:b/>
                <w:sz w:val="20"/>
              </w:rPr>
              <w:t>advice</w:t>
            </w:r>
            <w:r>
              <w:rPr>
                <w:b/>
                <w:spacing w:val="-3"/>
                <w:sz w:val="20"/>
              </w:rPr>
              <w:t xml:space="preserve"> </w:t>
            </w:r>
            <w:r>
              <w:rPr>
                <w:b/>
                <w:sz w:val="20"/>
              </w:rPr>
              <w:t>may</w:t>
            </w:r>
            <w:r>
              <w:rPr>
                <w:b/>
                <w:spacing w:val="-4"/>
                <w:sz w:val="20"/>
              </w:rPr>
              <w:t xml:space="preserve"> </w:t>
            </w:r>
            <w:r>
              <w:rPr>
                <w:b/>
                <w:sz w:val="20"/>
              </w:rPr>
              <w:t>be</w:t>
            </w:r>
            <w:r>
              <w:rPr>
                <w:b/>
                <w:spacing w:val="-4"/>
                <w:sz w:val="20"/>
              </w:rPr>
              <w:t xml:space="preserve"> </w:t>
            </w:r>
            <w:r>
              <w:rPr>
                <w:b/>
                <w:sz w:val="20"/>
              </w:rPr>
              <w:t>given</w:t>
            </w:r>
            <w:r>
              <w:rPr>
                <w:b/>
                <w:spacing w:val="-2"/>
                <w:sz w:val="20"/>
              </w:rPr>
              <w:t xml:space="preserve"> </w:t>
            </w:r>
            <w:r>
              <w:rPr>
                <w:b/>
                <w:sz w:val="20"/>
              </w:rPr>
              <w:t>by</w:t>
            </w:r>
            <w:r>
              <w:rPr>
                <w:b/>
                <w:spacing w:val="-4"/>
                <w:sz w:val="20"/>
              </w:rPr>
              <w:t xml:space="preserve"> </w:t>
            </w:r>
            <w:r>
              <w:rPr>
                <w:b/>
                <w:sz w:val="20"/>
              </w:rPr>
              <w:t>a</w:t>
            </w:r>
            <w:r>
              <w:rPr>
                <w:b/>
                <w:spacing w:val="-4"/>
                <w:sz w:val="20"/>
              </w:rPr>
              <w:t xml:space="preserve"> </w:t>
            </w:r>
            <w:r>
              <w:rPr>
                <w:b/>
                <w:sz w:val="20"/>
              </w:rPr>
              <w:t>therapist</w:t>
            </w:r>
            <w:r>
              <w:rPr>
                <w:b/>
                <w:spacing w:val="-3"/>
                <w:sz w:val="20"/>
              </w:rPr>
              <w:t xml:space="preserve"> </w:t>
            </w:r>
            <w:r>
              <w:rPr>
                <w:b/>
                <w:sz w:val="20"/>
              </w:rPr>
              <w:t>to</w:t>
            </w:r>
            <w:r>
              <w:rPr>
                <w:b/>
                <w:spacing w:val="-3"/>
                <w:sz w:val="20"/>
              </w:rPr>
              <w:t xml:space="preserve"> </w:t>
            </w:r>
            <w:r>
              <w:rPr>
                <w:b/>
                <w:sz w:val="20"/>
              </w:rPr>
              <w:t>a</w:t>
            </w:r>
            <w:r>
              <w:rPr>
                <w:b/>
                <w:spacing w:val="-3"/>
                <w:sz w:val="20"/>
              </w:rPr>
              <w:t xml:space="preserve"> </w:t>
            </w:r>
            <w:r>
              <w:rPr>
                <w:b/>
                <w:spacing w:val="-2"/>
                <w:sz w:val="20"/>
              </w:rPr>
              <w:t>client</w:t>
            </w:r>
          </w:p>
          <w:p w14:paraId="14E8F4E3" w14:textId="77777777" w:rsidR="00DB6E1F" w:rsidRDefault="00F666A6">
            <w:pPr>
              <w:pStyle w:val="TableParagraph"/>
              <w:numPr>
                <w:ilvl w:val="0"/>
                <w:numId w:val="24"/>
              </w:numPr>
              <w:tabs>
                <w:tab w:val="left" w:pos="310"/>
              </w:tabs>
              <w:spacing w:before="0" w:line="243" w:lineRule="exact"/>
              <w:ind w:hanging="203"/>
              <w:rPr>
                <w:sz w:val="20"/>
              </w:rPr>
            </w:pPr>
            <w:r>
              <w:rPr>
                <w:sz w:val="20"/>
              </w:rPr>
              <w:t>at</w:t>
            </w:r>
            <w:r>
              <w:rPr>
                <w:spacing w:val="-3"/>
                <w:sz w:val="20"/>
              </w:rPr>
              <w:t xml:space="preserve"> </w:t>
            </w:r>
            <w:r>
              <w:rPr>
                <w:sz w:val="20"/>
              </w:rPr>
              <w:t>any</w:t>
            </w:r>
            <w:r>
              <w:rPr>
                <w:spacing w:val="-1"/>
                <w:sz w:val="20"/>
              </w:rPr>
              <w:t xml:space="preserve"> </w:t>
            </w:r>
            <w:r>
              <w:rPr>
                <w:spacing w:val="-4"/>
                <w:sz w:val="20"/>
              </w:rPr>
              <w:t>time</w:t>
            </w:r>
          </w:p>
          <w:p w14:paraId="48075E57" w14:textId="77777777" w:rsidR="00DB6E1F" w:rsidRDefault="00F666A6">
            <w:pPr>
              <w:pStyle w:val="TableParagraph"/>
              <w:numPr>
                <w:ilvl w:val="0"/>
                <w:numId w:val="24"/>
              </w:numPr>
              <w:tabs>
                <w:tab w:val="left" w:pos="320"/>
              </w:tabs>
              <w:spacing w:before="0"/>
              <w:ind w:left="319" w:hanging="213"/>
              <w:rPr>
                <w:sz w:val="20"/>
              </w:rPr>
            </w:pPr>
            <w:r>
              <w:rPr>
                <w:sz w:val="20"/>
              </w:rPr>
              <w:t>when</w:t>
            </w:r>
            <w:r>
              <w:rPr>
                <w:spacing w:val="-6"/>
                <w:sz w:val="20"/>
              </w:rPr>
              <w:t xml:space="preserve"> </w:t>
            </w:r>
            <w:r>
              <w:rPr>
                <w:sz w:val="20"/>
              </w:rPr>
              <w:t>the</w:t>
            </w:r>
            <w:r>
              <w:rPr>
                <w:spacing w:val="-7"/>
                <w:sz w:val="20"/>
              </w:rPr>
              <w:t xml:space="preserve"> </w:t>
            </w:r>
            <w:r>
              <w:rPr>
                <w:sz w:val="20"/>
              </w:rPr>
              <w:t>client</w:t>
            </w:r>
            <w:r>
              <w:rPr>
                <w:spacing w:val="-6"/>
                <w:sz w:val="20"/>
              </w:rPr>
              <w:t xml:space="preserve"> </w:t>
            </w:r>
            <w:r>
              <w:rPr>
                <w:sz w:val="20"/>
              </w:rPr>
              <w:t>requests</w:t>
            </w:r>
            <w:r>
              <w:rPr>
                <w:spacing w:val="-7"/>
                <w:sz w:val="20"/>
              </w:rPr>
              <w:t xml:space="preserve"> </w:t>
            </w:r>
            <w:r>
              <w:rPr>
                <w:spacing w:val="-5"/>
                <w:sz w:val="20"/>
              </w:rPr>
              <w:t>it</w:t>
            </w:r>
          </w:p>
          <w:p w14:paraId="5DBAFA15" w14:textId="77777777" w:rsidR="00DB6E1F" w:rsidRDefault="00F666A6">
            <w:pPr>
              <w:pStyle w:val="TableParagraph"/>
              <w:numPr>
                <w:ilvl w:val="0"/>
                <w:numId w:val="24"/>
              </w:numPr>
              <w:tabs>
                <w:tab w:val="left" w:pos="298"/>
              </w:tabs>
              <w:spacing w:line="243" w:lineRule="exact"/>
              <w:ind w:left="297" w:hanging="191"/>
              <w:rPr>
                <w:sz w:val="20"/>
              </w:rPr>
            </w:pPr>
            <w:r>
              <w:rPr>
                <w:sz w:val="20"/>
              </w:rPr>
              <w:t>after</w:t>
            </w:r>
            <w:r>
              <w:rPr>
                <w:spacing w:val="-7"/>
                <w:sz w:val="20"/>
              </w:rPr>
              <w:t xml:space="preserve"> </w:t>
            </w:r>
            <w:r>
              <w:rPr>
                <w:sz w:val="20"/>
              </w:rPr>
              <w:t>the</w:t>
            </w:r>
            <w:r>
              <w:rPr>
                <w:spacing w:val="-7"/>
                <w:sz w:val="20"/>
              </w:rPr>
              <w:t xml:space="preserve"> </w:t>
            </w:r>
            <w:r>
              <w:rPr>
                <w:sz w:val="20"/>
              </w:rPr>
              <w:t>therapist</w:t>
            </w:r>
            <w:r>
              <w:rPr>
                <w:spacing w:val="-6"/>
                <w:sz w:val="20"/>
              </w:rPr>
              <w:t xml:space="preserve"> </w:t>
            </w:r>
            <w:r>
              <w:rPr>
                <w:sz w:val="20"/>
              </w:rPr>
              <w:t>receives</w:t>
            </w:r>
            <w:r>
              <w:rPr>
                <w:spacing w:val="-5"/>
                <w:sz w:val="20"/>
              </w:rPr>
              <w:t xml:space="preserve"> </w:t>
            </w:r>
            <w:r>
              <w:rPr>
                <w:sz w:val="20"/>
              </w:rPr>
              <w:t>permission</w:t>
            </w:r>
            <w:r>
              <w:rPr>
                <w:spacing w:val="-6"/>
                <w:sz w:val="20"/>
              </w:rPr>
              <w:t xml:space="preserve"> </w:t>
            </w:r>
            <w:r>
              <w:rPr>
                <w:sz w:val="20"/>
              </w:rPr>
              <w:t>to</w:t>
            </w:r>
            <w:r>
              <w:rPr>
                <w:spacing w:val="-5"/>
                <w:sz w:val="20"/>
              </w:rPr>
              <w:t xml:space="preserve"> </w:t>
            </w:r>
            <w:r>
              <w:rPr>
                <w:sz w:val="20"/>
              </w:rPr>
              <w:t>give</w:t>
            </w:r>
            <w:r>
              <w:rPr>
                <w:spacing w:val="-7"/>
                <w:sz w:val="20"/>
              </w:rPr>
              <w:t xml:space="preserve"> </w:t>
            </w:r>
            <w:r>
              <w:rPr>
                <w:spacing w:val="-5"/>
                <w:sz w:val="20"/>
              </w:rPr>
              <w:t>it</w:t>
            </w:r>
          </w:p>
          <w:p w14:paraId="6918E698" w14:textId="77777777" w:rsidR="00DB6E1F" w:rsidRDefault="00F666A6">
            <w:pPr>
              <w:pStyle w:val="TableParagraph"/>
              <w:numPr>
                <w:ilvl w:val="0"/>
                <w:numId w:val="24"/>
              </w:numPr>
              <w:tabs>
                <w:tab w:val="left" w:pos="320"/>
              </w:tabs>
              <w:spacing w:before="0" w:line="243" w:lineRule="exact"/>
              <w:ind w:left="319" w:hanging="213"/>
              <w:rPr>
                <w:sz w:val="20"/>
              </w:rPr>
            </w:pPr>
            <w:r>
              <w:rPr>
                <w:spacing w:val="-2"/>
                <w:sz w:val="20"/>
              </w:rPr>
              <w:t>never</w:t>
            </w:r>
          </w:p>
          <w:p w14:paraId="7B5355CB" w14:textId="77777777" w:rsidR="00DB6E1F" w:rsidRDefault="00F666A6">
            <w:pPr>
              <w:pStyle w:val="TableParagraph"/>
              <w:numPr>
                <w:ilvl w:val="0"/>
                <w:numId w:val="24"/>
              </w:numPr>
              <w:tabs>
                <w:tab w:val="left" w:pos="313"/>
              </w:tabs>
              <w:ind w:left="312" w:hanging="206"/>
              <w:rPr>
                <w:sz w:val="20"/>
              </w:rPr>
            </w:pPr>
            <w:r>
              <w:rPr>
                <w:sz w:val="20"/>
              </w:rPr>
              <w:t>both</w:t>
            </w:r>
            <w:r>
              <w:rPr>
                <w:spacing w:val="-2"/>
                <w:sz w:val="20"/>
              </w:rPr>
              <w:t xml:space="preserve"> </w:t>
            </w:r>
            <w:r>
              <w:rPr>
                <w:sz w:val="20"/>
              </w:rPr>
              <w:t>a</w:t>
            </w:r>
            <w:r>
              <w:rPr>
                <w:spacing w:val="-2"/>
                <w:sz w:val="20"/>
              </w:rPr>
              <w:t xml:space="preserve"> </w:t>
            </w:r>
            <w:r>
              <w:rPr>
                <w:sz w:val="20"/>
              </w:rPr>
              <w:t>and</w:t>
            </w:r>
            <w:r>
              <w:rPr>
                <w:spacing w:val="-1"/>
                <w:sz w:val="20"/>
              </w:rPr>
              <w:t xml:space="preserve"> </w:t>
            </w:r>
            <w:r>
              <w:rPr>
                <w:spacing w:val="-10"/>
                <w:sz w:val="20"/>
              </w:rPr>
              <w:t>b</w:t>
            </w:r>
          </w:p>
          <w:p w14:paraId="470F4142" w14:textId="77777777" w:rsidR="00DB6E1F" w:rsidRDefault="00F666A6">
            <w:pPr>
              <w:pStyle w:val="TableParagraph"/>
              <w:numPr>
                <w:ilvl w:val="0"/>
                <w:numId w:val="24"/>
              </w:numPr>
              <w:tabs>
                <w:tab w:val="left" w:pos="274"/>
              </w:tabs>
              <w:spacing w:before="0"/>
              <w:ind w:left="273" w:hanging="167"/>
              <w:rPr>
                <w:sz w:val="20"/>
              </w:rPr>
            </w:pPr>
            <w:r>
              <w:rPr>
                <w:sz w:val="20"/>
              </w:rPr>
              <w:t>both</w:t>
            </w:r>
            <w:r>
              <w:rPr>
                <w:spacing w:val="-2"/>
                <w:sz w:val="20"/>
              </w:rPr>
              <w:t xml:space="preserve"> </w:t>
            </w:r>
            <w:r>
              <w:rPr>
                <w:sz w:val="20"/>
              </w:rPr>
              <w:t>b</w:t>
            </w:r>
            <w:r>
              <w:rPr>
                <w:spacing w:val="-2"/>
                <w:sz w:val="20"/>
              </w:rPr>
              <w:t xml:space="preserve"> </w:t>
            </w:r>
            <w:r>
              <w:rPr>
                <w:sz w:val="20"/>
              </w:rPr>
              <w:t>and</w:t>
            </w:r>
            <w:r>
              <w:rPr>
                <w:spacing w:val="-1"/>
                <w:sz w:val="20"/>
              </w:rPr>
              <w:t xml:space="preserve"> </w:t>
            </w:r>
            <w:r>
              <w:rPr>
                <w:spacing w:val="-10"/>
                <w:sz w:val="20"/>
              </w:rPr>
              <w:t>c</w:t>
            </w:r>
          </w:p>
          <w:p w14:paraId="2F476C33" w14:textId="77777777" w:rsidR="00DB6E1F" w:rsidRDefault="00F666A6">
            <w:pPr>
              <w:pStyle w:val="TableParagraph"/>
              <w:spacing w:before="121"/>
              <w:ind w:right="169"/>
              <w:rPr>
                <w:b/>
                <w:sz w:val="20"/>
              </w:rPr>
            </w:pPr>
            <w:r>
              <w:rPr>
                <w:b/>
                <w:sz w:val="20"/>
              </w:rPr>
              <w:t>3.</w:t>
            </w:r>
            <w:r>
              <w:rPr>
                <w:b/>
                <w:spacing w:val="-3"/>
                <w:sz w:val="20"/>
              </w:rPr>
              <w:t xml:space="preserve"> </w:t>
            </w:r>
            <w:r>
              <w:rPr>
                <w:b/>
                <w:sz w:val="20"/>
              </w:rPr>
              <w:t>According</w:t>
            </w:r>
            <w:r>
              <w:rPr>
                <w:b/>
                <w:spacing w:val="-4"/>
                <w:sz w:val="20"/>
              </w:rPr>
              <w:t xml:space="preserve"> </w:t>
            </w:r>
            <w:r>
              <w:rPr>
                <w:b/>
                <w:sz w:val="20"/>
              </w:rPr>
              <w:t>to</w:t>
            </w:r>
            <w:r>
              <w:rPr>
                <w:b/>
                <w:spacing w:val="-2"/>
                <w:sz w:val="20"/>
              </w:rPr>
              <w:t xml:space="preserve"> </w:t>
            </w:r>
            <w:r>
              <w:rPr>
                <w:b/>
                <w:sz w:val="20"/>
              </w:rPr>
              <w:t>Miller</w:t>
            </w:r>
            <w:r>
              <w:rPr>
                <w:b/>
                <w:spacing w:val="-2"/>
                <w:sz w:val="20"/>
              </w:rPr>
              <w:t xml:space="preserve"> </w:t>
            </w:r>
            <w:r>
              <w:rPr>
                <w:b/>
                <w:sz w:val="20"/>
              </w:rPr>
              <w:t>and</w:t>
            </w:r>
            <w:r>
              <w:rPr>
                <w:b/>
                <w:spacing w:val="-2"/>
                <w:sz w:val="20"/>
              </w:rPr>
              <w:t xml:space="preserve"> </w:t>
            </w:r>
            <w:r>
              <w:rPr>
                <w:b/>
                <w:sz w:val="20"/>
              </w:rPr>
              <w:t>Rollnick</w:t>
            </w:r>
            <w:r>
              <w:rPr>
                <w:b/>
                <w:spacing w:val="-3"/>
                <w:sz w:val="20"/>
              </w:rPr>
              <w:t xml:space="preserve"> </w:t>
            </w:r>
            <w:r>
              <w:rPr>
                <w:b/>
                <w:sz w:val="20"/>
              </w:rPr>
              <w:t>(1991),</w:t>
            </w:r>
            <w:r>
              <w:rPr>
                <w:b/>
                <w:spacing w:val="-4"/>
                <w:sz w:val="20"/>
              </w:rPr>
              <w:t xml:space="preserve"> </w:t>
            </w:r>
            <w:r>
              <w:rPr>
                <w:b/>
                <w:sz w:val="20"/>
              </w:rPr>
              <w:t>when</w:t>
            </w:r>
            <w:r>
              <w:rPr>
                <w:b/>
                <w:spacing w:val="-2"/>
                <w:sz w:val="20"/>
              </w:rPr>
              <w:t xml:space="preserve"> </w:t>
            </w:r>
            <w:r>
              <w:rPr>
                <w:b/>
                <w:sz w:val="20"/>
              </w:rPr>
              <w:t>a</w:t>
            </w:r>
            <w:r>
              <w:rPr>
                <w:b/>
                <w:spacing w:val="-3"/>
                <w:sz w:val="20"/>
              </w:rPr>
              <w:t xml:space="preserve"> </w:t>
            </w:r>
            <w:r>
              <w:rPr>
                <w:b/>
                <w:sz w:val="20"/>
              </w:rPr>
              <w:t>therapist</w:t>
            </w:r>
            <w:r>
              <w:rPr>
                <w:b/>
                <w:spacing w:val="-3"/>
                <w:sz w:val="20"/>
              </w:rPr>
              <w:t xml:space="preserve"> </w:t>
            </w:r>
            <w:r>
              <w:rPr>
                <w:b/>
                <w:sz w:val="20"/>
              </w:rPr>
              <w:t>argues</w:t>
            </w:r>
            <w:r>
              <w:rPr>
                <w:b/>
                <w:spacing w:val="-3"/>
                <w:sz w:val="20"/>
              </w:rPr>
              <w:t xml:space="preserve"> </w:t>
            </w:r>
            <w:r>
              <w:rPr>
                <w:b/>
                <w:sz w:val="20"/>
              </w:rPr>
              <w:t>that</w:t>
            </w:r>
            <w:r>
              <w:rPr>
                <w:b/>
                <w:spacing w:val="-3"/>
                <w:sz w:val="20"/>
              </w:rPr>
              <w:t xml:space="preserve"> </w:t>
            </w:r>
            <w:r>
              <w:rPr>
                <w:b/>
                <w:sz w:val="20"/>
              </w:rPr>
              <w:t>a</w:t>
            </w:r>
            <w:r>
              <w:rPr>
                <w:b/>
                <w:spacing w:val="-3"/>
                <w:sz w:val="20"/>
              </w:rPr>
              <w:t xml:space="preserve"> </w:t>
            </w:r>
            <w:r>
              <w:rPr>
                <w:b/>
                <w:sz w:val="20"/>
              </w:rPr>
              <w:t>client’s</w:t>
            </w:r>
            <w:r>
              <w:rPr>
                <w:b/>
                <w:spacing w:val="-3"/>
                <w:sz w:val="20"/>
              </w:rPr>
              <w:t xml:space="preserve"> </w:t>
            </w:r>
            <w:r>
              <w:rPr>
                <w:b/>
                <w:sz w:val="20"/>
              </w:rPr>
              <w:t>behavior</w:t>
            </w:r>
            <w:r>
              <w:rPr>
                <w:b/>
                <w:spacing w:val="-2"/>
                <w:sz w:val="20"/>
              </w:rPr>
              <w:t xml:space="preserve"> </w:t>
            </w:r>
            <w:r>
              <w:rPr>
                <w:b/>
                <w:sz w:val="20"/>
              </w:rPr>
              <w:t>needs</w:t>
            </w:r>
            <w:r>
              <w:rPr>
                <w:b/>
                <w:spacing w:val="-3"/>
                <w:sz w:val="20"/>
              </w:rPr>
              <w:t xml:space="preserve"> </w:t>
            </w:r>
            <w:r>
              <w:rPr>
                <w:b/>
                <w:sz w:val="20"/>
              </w:rPr>
              <w:t>to</w:t>
            </w:r>
            <w:r>
              <w:rPr>
                <w:b/>
                <w:spacing w:val="-2"/>
                <w:sz w:val="20"/>
              </w:rPr>
              <w:t xml:space="preserve"> </w:t>
            </w:r>
            <w:r>
              <w:rPr>
                <w:b/>
                <w:sz w:val="20"/>
              </w:rPr>
              <w:t>change, the client often responds by</w:t>
            </w:r>
          </w:p>
          <w:p w14:paraId="620EB798" w14:textId="77777777" w:rsidR="00DB6E1F" w:rsidRDefault="00F666A6">
            <w:pPr>
              <w:pStyle w:val="TableParagraph"/>
              <w:numPr>
                <w:ilvl w:val="0"/>
                <w:numId w:val="23"/>
              </w:numPr>
              <w:tabs>
                <w:tab w:val="left" w:pos="310"/>
              </w:tabs>
              <w:spacing w:before="0" w:line="243" w:lineRule="exact"/>
              <w:ind w:hanging="203"/>
              <w:rPr>
                <w:sz w:val="20"/>
              </w:rPr>
            </w:pPr>
            <w:r>
              <w:rPr>
                <w:sz w:val="20"/>
              </w:rPr>
              <w:t>accepting</w:t>
            </w:r>
            <w:r>
              <w:rPr>
                <w:spacing w:val="-6"/>
                <w:sz w:val="20"/>
              </w:rPr>
              <w:t xml:space="preserve"> </w:t>
            </w:r>
            <w:r>
              <w:rPr>
                <w:sz w:val="20"/>
              </w:rPr>
              <w:t>the</w:t>
            </w:r>
            <w:r>
              <w:rPr>
                <w:spacing w:val="-7"/>
                <w:sz w:val="20"/>
              </w:rPr>
              <w:t xml:space="preserve"> </w:t>
            </w:r>
            <w:r>
              <w:rPr>
                <w:sz w:val="20"/>
              </w:rPr>
              <w:t>need</w:t>
            </w:r>
            <w:r>
              <w:rPr>
                <w:spacing w:val="-5"/>
                <w:sz w:val="20"/>
              </w:rPr>
              <w:t xml:space="preserve"> </w:t>
            </w:r>
            <w:r>
              <w:rPr>
                <w:sz w:val="20"/>
              </w:rPr>
              <w:t>for</w:t>
            </w:r>
            <w:r>
              <w:rPr>
                <w:spacing w:val="-6"/>
                <w:sz w:val="20"/>
              </w:rPr>
              <w:t xml:space="preserve"> </w:t>
            </w:r>
            <w:r>
              <w:rPr>
                <w:spacing w:val="-2"/>
                <w:sz w:val="20"/>
              </w:rPr>
              <w:t>change</w:t>
            </w:r>
          </w:p>
          <w:p w14:paraId="69A61E9A" w14:textId="77777777" w:rsidR="00DB6E1F" w:rsidRDefault="00F666A6">
            <w:pPr>
              <w:pStyle w:val="TableParagraph"/>
              <w:numPr>
                <w:ilvl w:val="0"/>
                <w:numId w:val="23"/>
              </w:numPr>
              <w:tabs>
                <w:tab w:val="left" w:pos="320"/>
              </w:tabs>
              <w:ind w:left="319" w:hanging="213"/>
              <w:rPr>
                <w:sz w:val="20"/>
              </w:rPr>
            </w:pPr>
            <w:r>
              <w:rPr>
                <w:sz w:val="20"/>
              </w:rPr>
              <w:t>arguing</w:t>
            </w:r>
            <w:r>
              <w:rPr>
                <w:spacing w:val="-9"/>
                <w:sz w:val="20"/>
              </w:rPr>
              <w:t xml:space="preserve"> </w:t>
            </w:r>
            <w:r>
              <w:rPr>
                <w:sz w:val="20"/>
              </w:rPr>
              <w:t>against</w:t>
            </w:r>
            <w:r>
              <w:rPr>
                <w:spacing w:val="-9"/>
                <w:sz w:val="20"/>
              </w:rPr>
              <w:t xml:space="preserve"> </w:t>
            </w:r>
            <w:r>
              <w:rPr>
                <w:spacing w:val="-2"/>
                <w:sz w:val="20"/>
              </w:rPr>
              <w:t>change</w:t>
            </w:r>
          </w:p>
          <w:p w14:paraId="24F0F8BA" w14:textId="77777777" w:rsidR="00DB6E1F" w:rsidRDefault="00F666A6">
            <w:pPr>
              <w:pStyle w:val="TableParagraph"/>
              <w:numPr>
                <w:ilvl w:val="0"/>
                <w:numId w:val="23"/>
              </w:numPr>
              <w:tabs>
                <w:tab w:val="left" w:pos="298"/>
              </w:tabs>
              <w:spacing w:before="0" w:line="243" w:lineRule="exact"/>
              <w:ind w:left="297" w:hanging="191"/>
              <w:rPr>
                <w:sz w:val="20"/>
              </w:rPr>
            </w:pPr>
            <w:r>
              <w:rPr>
                <w:sz w:val="20"/>
              </w:rPr>
              <w:t>asking</w:t>
            </w:r>
            <w:r>
              <w:rPr>
                <w:spacing w:val="-6"/>
                <w:sz w:val="20"/>
              </w:rPr>
              <w:t xml:space="preserve"> </w:t>
            </w:r>
            <w:r>
              <w:rPr>
                <w:sz w:val="20"/>
              </w:rPr>
              <w:t>for</w:t>
            </w:r>
            <w:r>
              <w:rPr>
                <w:spacing w:val="-6"/>
                <w:sz w:val="20"/>
              </w:rPr>
              <w:t xml:space="preserve"> </w:t>
            </w:r>
            <w:r>
              <w:rPr>
                <w:spacing w:val="-2"/>
                <w:sz w:val="20"/>
              </w:rPr>
              <w:t>advice</w:t>
            </w:r>
          </w:p>
          <w:p w14:paraId="4B82B7EF" w14:textId="77777777" w:rsidR="00DB6E1F" w:rsidRDefault="00F666A6">
            <w:pPr>
              <w:pStyle w:val="TableParagraph"/>
              <w:numPr>
                <w:ilvl w:val="0"/>
                <w:numId w:val="23"/>
              </w:numPr>
              <w:tabs>
                <w:tab w:val="left" w:pos="320"/>
              </w:tabs>
              <w:spacing w:before="0" w:line="243" w:lineRule="exact"/>
              <w:ind w:left="319" w:hanging="213"/>
              <w:rPr>
                <w:sz w:val="20"/>
              </w:rPr>
            </w:pPr>
            <w:r>
              <w:rPr>
                <w:sz w:val="20"/>
              </w:rPr>
              <w:t>moving</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z w:val="20"/>
              </w:rPr>
              <w:t>next</w:t>
            </w:r>
            <w:r>
              <w:rPr>
                <w:spacing w:val="-4"/>
                <w:sz w:val="20"/>
              </w:rPr>
              <w:t xml:space="preserve"> </w:t>
            </w:r>
            <w:r>
              <w:rPr>
                <w:sz w:val="20"/>
              </w:rPr>
              <w:t>stage</w:t>
            </w:r>
            <w:r>
              <w:rPr>
                <w:spacing w:val="-5"/>
                <w:sz w:val="20"/>
              </w:rPr>
              <w:t xml:space="preserve"> </w:t>
            </w:r>
            <w:r>
              <w:rPr>
                <w:sz w:val="20"/>
              </w:rPr>
              <w:t>in</w:t>
            </w:r>
            <w:r>
              <w:rPr>
                <w:spacing w:val="-1"/>
                <w:sz w:val="20"/>
              </w:rPr>
              <w:t xml:space="preserve"> </w:t>
            </w:r>
            <w:r>
              <w:rPr>
                <w:sz w:val="20"/>
              </w:rPr>
              <w:t>the</w:t>
            </w:r>
            <w:r>
              <w:rPr>
                <w:spacing w:val="-5"/>
                <w:sz w:val="20"/>
              </w:rPr>
              <w:t xml:space="preserve"> </w:t>
            </w:r>
            <w:r>
              <w:rPr>
                <w:sz w:val="20"/>
              </w:rPr>
              <w:t>process</w:t>
            </w:r>
            <w:r>
              <w:rPr>
                <w:spacing w:val="-5"/>
                <w:sz w:val="20"/>
              </w:rPr>
              <w:t xml:space="preserve"> </w:t>
            </w:r>
            <w:r>
              <w:rPr>
                <w:sz w:val="20"/>
              </w:rPr>
              <w:t>of</w:t>
            </w:r>
            <w:r>
              <w:rPr>
                <w:spacing w:val="-5"/>
                <w:sz w:val="20"/>
              </w:rPr>
              <w:t xml:space="preserve"> </w:t>
            </w:r>
            <w:r>
              <w:rPr>
                <w:spacing w:val="-2"/>
                <w:sz w:val="20"/>
              </w:rPr>
              <w:t>change</w:t>
            </w:r>
          </w:p>
          <w:p w14:paraId="70D726C9" w14:textId="77777777" w:rsidR="00DB6E1F" w:rsidRDefault="00F666A6">
            <w:pPr>
              <w:pStyle w:val="TableParagraph"/>
              <w:numPr>
                <w:ilvl w:val="0"/>
                <w:numId w:val="23"/>
              </w:numPr>
              <w:tabs>
                <w:tab w:val="left" w:pos="313"/>
              </w:tabs>
              <w:ind w:left="312" w:hanging="206"/>
              <w:rPr>
                <w:sz w:val="20"/>
              </w:rPr>
            </w:pPr>
            <w:r>
              <w:rPr>
                <w:sz w:val="20"/>
              </w:rPr>
              <w:t>all</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above</w:t>
            </w:r>
          </w:p>
          <w:p w14:paraId="08F7DA7E" w14:textId="77777777" w:rsidR="00DB6E1F" w:rsidRDefault="00F666A6">
            <w:pPr>
              <w:pStyle w:val="TableParagraph"/>
              <w:spacing w:before="121" w:line="243" w:lineRule="exact"/>
              <w:rPr>
                <w:b/>
                <w:sz w:val="20"/>
              </w:rPr>
            </w:pPr>
            <w:r>
              <w:rPr>
                <w:b/>
                <w:sz w:val="20"/>
              </w:rPr>
              <w:t>4.</w:t>
            </w:r>
            <w:r>
              <w:rPr>
                <w:b/>
                <w:spacing w:val="-6"/>
                <w:sz w:val="20"/>
              </w:rPr>
              <w:t xml:space="preserve"> </w:t>
            </w:r>
            <w:r>
              <w:rPr>
                <w:b/>
                <w:sz w:val="20"/>
              </w:rPr>
              <w:t>Two</w:t>
            </w:r>
            <w:r>
              <w:rPr>
                <w:b/>
                <w:spacing w:val="-5"/>
                <w:sz w:val="20"/>
              </w:rPr>
              <w:t xml:space="preserve"> </w:t>
            </w:r>
            <w:r>
              <w:rPr>
                <w:b/>
                <w:sz w:val="20"/>
              </w:rPr>
              <w:t>strategies</w:t>
            </w:r>
            <w:r>
              <w:rPr>
                <w:b/>
                <w:spacing w:val="-6"/>
                <w:sz w:val="20"/>
              </w:rPr>
              <w:t xml:space="preserve"> </w:t>
            </w:r>
            <w:r>
              <w:rPr>
                <w:b/>
                <w:sz w:val="20"/>
              </w:rPr>
              <w:t>which</w:t>
            </w:r>
            <w:r>
              <w:rPr>
                <w:b/>
                <w:spacing w:val="-5"/>
                <w:sz w:val="20"/>
              </w:rPr>
              <w:t xml:space="preserve"> </w:t>
            </w:r>
            <w:r>
              <w:rPr>
                <w:b/>
                <w:sz w:val="20"/>
              </w:rPr>
              <w:t>are</w:t>
            </w:r>
            <w:r>
              <w:rPr>
                <w:b/>
                <w:spacing w:val="-6"/>
                <w:sz w:val="20"/>
              </w:rPr>
              <w:t xml:space="preserve"> </w:t>
            </w:r>
            <w:r>
              <w:rPr>
                <w:b/>
                <w:sz w:val="20"/>
              </w:rPr>
              <w:t>usually</w:t>
            </w:r>
            <w:r>
              <w:rPr>
                <w:b/>
                <w:spacing w:val="-7"/>
                <w:sz w:val="20"/>
              </w:rPr>
              <w:t xml:space="preserve"> </w:t>
            </w:r>
            <w:r>
              <w:rPr>
                <w:b/>
                <w:sz w:val="20"/>
              </w:rPr>
              <w:t>effective</w:t>
            </w:r>
            <w:r>
              <w:rPr>
                <w:b/>
                <w:spacing w:val="-6"/>
                <w:sz w:val="20"/>
              </w:rPr>
              <w:t xml:space="preserve"> </w:t>
            </w:r>
            <w:r>
              <w:rPr>
                <w:b/>
                <w:sz w:val="20"/>
              </w:rPr>
              <w:t>for</w:t>
            </w:r>
            <w:r>
              <w:rPr>
                <w:b/>
                <w:spacing w:val="-5"/>
                <w:sz w:val="20"/>
              </w:rPr>
              <w:t xml:space="preserve"> </w:t>
            </w:r>
            <w:r>
              <w:rPr>
                <w:b/>
                <w:sz w:val="20"/>
              </w:rPr>
              <w:t>avoiding</w:t>
            </w:r>
            <w:r>
              <w:rPr>
                <w:b/>
                <w:spacing w:val="-7"/>
                <w:sz w:val="20"/>
              </w:rPr>
              <w:t xml:space="preserve"> </w:t>
            </w:r>
            <w:r>
              <w:rPr>
                <w:b/>
                <w:sz w:val="20"/>
              </w:rPr>
              <w:t>the</w:t>
            </w:r>
            <w:r>
              <w:rPr>
                <w:b/>
                <w:spacing w:val="-6"/>
                <w:sz w:val="20"/>
              </w:rPr>
              <w:t xml:space="preserve"> </w:t>
            </w:r>
            <w:r>
              <w:rPr>
                <w:b/>
                <w:sz w:val="20"/>
              </w:rPr>
              <w:t>confrontation-denial</w:t>
            </w:r>
            <w:r>
              <w:rPr>
                <w:b/>
                <w:spacing w:val="-7"/>
                <w:sz w:val="20"/>
              </w:rPr>
              <w:t xml:space="preserve"> </w:t>
            </w:r>
            <w:r>
              <w:rPr>
                <w:b/>
                <w:sz w:val="20"/>
              </w:rPr>
              <w:t>trap</w:t>
            </w:r>
            <w:r>
              <w:rPr>
                <w:b/>
                <w:spacing w:val="-6"/>
                <w:sz w:val="20"/>
              </w:rPr>
              <w:t xml:space="preserve"> </w:t>
            </w:r>
            <w:r>
              <w:rPr>
                <w:b/>
                <w:spacing w:val="-5"/>
                <w:sz w:val="20"/>
              </w:rPr>
              <w:t>are</w:t>
            </w:r>
          </w:p>
          <w:p w14:paraId="2785D5C9" w14:textId="77777777" w:rsidR="00DB6E1F" w:rsidRDefault="00F666A6">
            <w:pPr>
              <w:pStyle w:val="TableParagraph"/>
              <w:numPr>
                <w:ilvl w:val="0"/>
                <w:numId w:val="22"/>
              </w:numPr>
              <w:tabs>
                <w:tab w:val="left" w:pos="310"/>
              </w:tabs>
              <w:spacing w:before="0" w:line="243" w:lineRule="exact"/>
              <w:ind w:hanging="203"/>
              <w:rPr>
                <w:sz w:val="20"/>
              </w:rPr>
            </w:pPr>
            <w:r>
              <w:rPr>
                <w:sz w:val="20"/>
              </w:rPr>
              <w:t>giving</w:t>
            </w:r>
            <w:r>
              <w:rPr>
                <w:spacing w:val="-8"/>
                <w:sz w:val="20"/>
              </w:rPr>
              <w:t xml:space="preserve"> </w:t>
            </w:r>
            <w:r>
              <w:rPr>
                <w:sz w:val="20"/>
              </w:rPr>
              <w:t>advice</w:t>
            </w:r>
            <w:r>
              <w:rPr>
                <w:spacing w:val="-8"/>
                <w:sz w:val="20"/>
              </w:rPr>
              <w:t xml:space="preserve"> </w:t>
            </w:r>
            <w:r>
              <w:rPr>
                <w:sz w:val="20"/>
              </w:rPr>
              <w:t>and</w:t>
            </w:r>
            <w:r>
              <w:rPr>
                <w:spacing w:val="-6"/>
                <w:sz w:val="20"/>
              </w:rPr>
              <w:t xml:space="preserve"> </w:t>
            </w:r>
            <w:r>
              <w:rPr>
                <w:sz w:val="20"/>
              </w:rPr>
              <w:t>reflective</w:t>
            </w:r>
            <w:r>
              <w:rPr>
                <w:spacing w:val="-5"/>
                <w:sz w:val="20"/>
              </w:rPr>
              <w:t xml:space="preserve"> </w:t>
            </w:r>
            <w:r>
              <w:rPr>
                <w:spacing w:val="-2"/>
                <w:sz w:val="20"/>
              </w:rPr>
              <w:t>listening</w:t>
            </w:r>
          </w:p>
          <w:p w14:paraId="54675AD5" w14:textId="77777777" w:rsidR="00DB6E1F" w:rsidRDefault="00F666A6">
            <w:pPr>
              <w:pStyle w:val="TableParagraph"/>
              <w:numPr>
                <w:ilvl w:val="0"/>
                <w:numId w:val="22"/>
              </w:numPr>
              <w:tabs>
                <w:tab w:val="left" w:pos="320"/>
              </w:tabs>
              <w:spacing w:before="0"/>
              <w:ind w:left="319" w:hanging="213"/>
              <w:rPr>
                <w:sz w:val="20"/>
              </w:rPr>
            </w:pPr>
            <w:r>
              <w:rPr>
                <w:sz w:val="20"/>
              </w:rPr>
              <w:t>reflective</w:t>
            </w:r>
            <w:r>
              <w:rPr>
                <w:spacing w:val="-12"/>
                <w:sz w:val="20"/>
              </w:rPr>
              <w:t xml:space="preserve"> </w:t>
            </w:r>
            <w:r>
              <w:rPr>
                <w:sz w:val="20"/>
              </w:rPr>
              <w:t>listening</w:t>
            </w:r>
            <w:r>
              <w:rPr>
                <w:spacing w:val="-10"/>
                <w:sz w:val="20"/>
              </w:rPr>
              <w:t xml:space="preserve"> </w:t>
            </w:r>
            <w:r>
              <w:rPr>
                <w:sz w:val="20"/>
              </w:rPr>
              <w:t>and</w:t>
            </w:r>
            <w:r>
              <w:rPr>
                <w:spacing w:val="-10"/>
                <w:sz w:val="20"/>
              </w:rPr>
              <w:t xml:space="preserve"> </w:t>
            </w:r>
            <w:r>
              <w:rPr>
                <w:sz w:val="20"/>
              </w:rPr>
              <w:t>eliciting</w:t>
            </w:r>
            <w:r>
              <w:rPr>
                <w:spacing w:val="-11"/>
                <w:sz w:val="20"/>
              </w:rPr>
              <w:t xml:space="preserve"> </w:t>
            </w:r>
            <w:r>
              <w:rPr>
                <w:sz w:val="20"/>
              </w:rPr>
              <w:t>self-motivational</w:t>
            </w:r>
            <w:r>
              <w:rPr>
                <w:spacing w:val="-10"/>
                <w:sz w:val="20"/>
              </w:rPr>
              <w:t xml:space="preserve"> </w:t>
            </w:r>
            <w:r>
              <w:rPr>
                <w:spacing w:val="-2"/>
                <w:sz w:val="20"/>
              </w:rPr>
              <w:t>statements</w:t>
            </w:r>
          </w:p>
          <w:p w14:paraId="1C147CEA" w14:textId="77777777" w:rsidR="00DB6E1F" w:rsidRDefault="00F666A6">
            <w:pPr>
              <w:pStyle w:val="TableParagraph"/>
              <w:numPr>
                <w:ilvl w:val="0"/>
                <w:numId w:val="22"/>
              </w:numPr>
              <w:tabs>
                <w:tab w:val="left" w:pos="298"/>
              </w:tabs>
              <w:ind w:left="297" w:hanging="191"/>
              <w:rPr>
                <w:sz w:val="20"/>
              </w:rPr>
            </w:pPr>
            <w:r>
              <w:rPr>
                <w:sz w:val="20"/>
              </w:rPr>
              <w:t>skills</w:t>
            </w:r>
            <w:r>
              <w:rPr>
                <w:spacing w:val="-7"/>
                <w:sz w:val="20"/>
              </w:rPr>
              <w:t xml:space="preserve"> </w:t>
            </w:r>
            <w:r>
              <w:rPr>
                <w:sz w:val="20"/>
              </w:rPr>
              <w:t>training</w:t>
            </w:r>
            <w:r>
              <w:rPr>
                <w:spacing w:val="-6"/>
                <w:sz w:val="20"/>
              </w:rPr>
              <w:t xml:space="preserve"> </w:t>
            </w:r>
            <w:r>
              <w:rPr>
                <w:sz w:val="20"/>
              </w:rPr>
              <w:t>and</w:t>
            </w:r>
            <w:r>
              <w:rPr>
                <w:spacing w:val="-5"/>
                <w:sz w:val="20"/>
              </w:rPr>
              <w:t xml:space="preserve"> </w:t>
            </w:r>
            <w:r>
              <w:rPr>
                <w:spacing w:val="-2"/>
                <w:sz w:val="20"/>
              </w:rPr>
              <w:t>warning</w:t>
            </w:r>
          </w:p>
          <w:p w14:paraId="5908E730" w14:textId="77777777" w:rsidR="00DB6E1F" w:rsidRDefault="00F666A6">
            <w:pPr>
              <w:pStyle w:val="TableParagraph"/>
              <w:numPr>
                <w:ilvl w:val="0"/>
                <w:numId w:val="22"/>
              </w:numPr>
              <w:tabs>
                <w:tab w:val="left" w:pos="319"/>
              </w:tabs>
              <w:ind w:left="318" w:hanging="212"/>
              <w:rPr>
                <w:sz w:val="20"/>
              </w:rPr>
            </w:pPr>
            <w:r>
              <w:rPr>
                <w:spacing w:val="-2"/>
                <w:sz w:val="20"/>
              </w:rPr>
              <w:t>aversive</w:t>
            </w:r>
            <w:r>
              <w:rPr>
                <w:spacing w:val="6"/>
                <w:sz w:val="20"/>
              </w:rPr>
              <w:t xml:space="preserve"> </w:t>
            </w:r>
            <w:r>
              <w:rPr>
                <w:spacing w:val="-2"/>
                <w:sz w:val="20"/>
              </w:rPr>
              <w:t>conditioning</w:t>
            </w:r>
            <w:r>
              <w:rPr>
                <w:spacing w:val="7"/>
                <w:sz w:val="20"/>
              </w:rPr>
              <w:t xml:space="preserve"> </w:t>
            </w:r>
            <w:r>
              <w:rPr>
                <w:spacing w:val="-2"/>
                <w:sz w:val="20"/>
              </w:rPr>
              <w:t>and</w:t>
            </w:r>
            <w:r>
              <w:rPr>
                <w:spacing w:val="9"/>
                <w:sz w:val="20"/>
              </w:rPr>
              <w:t xml:space="preserve"> </w:t>
            </w:r>
            <w:r>
              <w:rPr>
                <w:spacing w:val="-2"/>
                <w:sz w:val="20"/>
              </w:rPr>
              <w:t>supporting</w:t>
            </w:r>
            <w:r>
              <w:rPr>
                <w:spacing w:val="7"/>
                <w:sz w:val="20"/>
              </w:rPr>
              <w:t xml:space="preserve"> </w:t>
            </w:r>
            <w:r>
              <w:rPr>
                <w:spacing w:val="-2"/>
                <w:sz w:val="20"/>
              </w:rPr>
              <w:t>self-efficacy</w:t>
            </w:r>
          </w:p>
          <w:p w14:paraId="4599EF88" w14:textId="77777777" w:rsidR="00DB6E1F" w:rsidRDefault="00F666A6">
            <w:pPr>
              <w:pStyle w:val="TableParagraph"/>
              <w:spacing w:before="118"/>
              <w:rPr>
                <w:b/>
                <w:sz w:val="20"/>
              </w:rPr>
            </w:pPr>
            <w:r>
              <w:rPr>
                <w:b/>
                <w:sz w:val="20"/>
              </w:rPr>
              <w:t>5.</w:t>
            </w:r>
            <w:r>
              <w:rPr>
                <w:b/>
                <w:spacing w:val="-3"/>
                <w:sz w:val="20"/>
              </w:rPr>
              <w:t xml:space="preserve"> </w:t>
            </w:r>
            <w:r>
              <w:rPr>
                <w:b/>
                <w:sz w:val="20"/>
              </w:rPr>
              <w:t>The</w:t>
            </w:r>
            <w:r>
              <w:rPr>
                <w:b/>
                <w:spacing w:val="-3"/>
                <w:sz w:val="20"/>
              </w:rPr>
              <w:t xml:space="preserve"> </w:t>
            </w:r>
            <w:r>
              <w:rPr>
                <w:b/>
                <w:sz w:val="20"/>
              </w:rPr>
              <w:t>MI</w:t>
            </w:r>
            <w:r>
              <w:rPr>
                <w:b/>
                <w:spacing w:val="-3"/>
                <w:sz w:val="20"/>
              </w:rPr>
              <w:t xml:space="preserve"> </w:t>
            </w:r>
            <w:r>
              <w:rPr>
                <w:b/>
                <w:sz w:val="20"/>
              </w:rPr>
              <w:t>approach</w:t>
            </w:r>
            <w:r>
              <w:rPr>
                <w:b/>
                <w:spacing w:val="-2"/>
                <w:sz w:val="20"/>
              </w:rPr>
              <w:t xml:space="preserve"> </w:t>
            </w:r>
            <w:r>
              <w:rPr>
                <w:b/>
                <w:spacing w:val="-5"/>
                <w:sz w:val="20"/>
              </w:rPr>
              <w:t>is</w:t>
            </w:r>
          </w:p>
          <w:p w14:paraId="3D871F1B" w14:textId="77777777" w:rsidR="00DB6E1F" w:rsidRDefault="00F666A6">
            <w:pPr>
              <w:pStyle w:val="TableParagraph"/>
              <w:numPr>
                <w:ilvl w:val="0"/>
                <w:numId w:val="21"/>
              </w:numPr>
              <w:tabs>
                <w:tab w:val="left" w:pos="310"/>
              </w:tabs>
              <w:ind w:hanging="203"/>
              <w:rPr>
                <w:sz w:val="20"/>
              </w:rPr>
            </w:pPr>
            <w:r>
              <w:rPr>
                <w:w w:val="95"/>
                <w:sz w:val="20"/>
              </w:rPr>
              <w:t>completely</w:t>
            </w:r>
            <w:r>
              <w:rPr>
                <w:spacing w:val="47"/>
                <w:sz w:val="20"/>
              </w:rPr>
              <w:t xml:space="preserve"> </w:t>
            </w:r>
            <w:r>
              <w:rPr>
                <w:w w:val="95"/>
                <w:sz w:val="20"/>
              </w:rPr>
              <w:t>non-</w:t>
            </w:r>
            <w:r>
              <w:rPr>
                <w:spacing w:val="-2"/>
                <w:w w:val="95"/>
                <w:sz w:val="20"/>
              </w:rPr>
              <w:t>directive</w:t>
            </w:r>
          </w:p>
          <w:p w14:paraId="03C11B77" w14:textId="77777777" w:rsidR="00DB6E1F" w:rsidRDefault="00F666A6">
            <w:pPr>
              <w:pStyle w:val="TableParagraph"/>
              <w:numPr>
                <w:ilvl w:val="0"/>
                <w:numId w:val="21"/>
              </w:numPr>
              <w:tabs>
                <w:tab w:val="left" w:pos="319"/>
              </w:tabs>
              <w:spacing w:before="0"/>
              <w:ind w:left="318" w:hanging="212"/>
              <w:rPr>
                <w:sz w:val="20"/>
              </w:rPr>
            </w:pPr>
            <w:r>
              <w:rPr>
                <w:sz w:val="20"/>
              </w:rPr>
              <w:t>highly</w:t>
            </w:r>
            <w:r>
              <w:rPr>
                <w:spacing w:val="-7"/>
                <w:sz w:val="20"/>
              </w:rPr>
              <w:t xml:space="preserve"> </w:t>
            </w:r>
            <w:r>
              <w:rPr>
                <w:spacing w:val="-2"/>
                <w:sz w:val="20"/>
              </w:rPr>
              <w:t>authoritarian</w:t>
            </w:r>
          </w:p>
          <w:p w14:paraId="224750BD" w14:textId="77777777" w:rsidR="00DB6E1F" w:rsidRDefault="00F666A6">
            <w:pPr>
              <w:pStyle w:val="TableParagraph"/>
              <w:numPr>
                <w:ilvl w:val="0"/>
                <w:numId w:val="21"/>
              </w:numPr>
              <w:tabs>
                <w:tab w:val="left" w:pos="298"/>
              </w:tabs>
              <w:spacing w:line="243" w:lineRule="exact"/>
              <w:ind w:left="297" w:hanging="191"/>
              <w:rPr>
                <w:sz w:val="20"/>
              </w:rPr>
            </w:pPr>
            <w:r>
              <w:rPr>
                <w:spacing w:val="-2"/>
                <w:sz w:val="20"/>
              </w:rPr>
              <w:t>directive</w:t>
            </w:r>
            <w:r>
              <w:rPr>
                <w:spacing w:val="6"/>
                <w:sz w:val="20"/>
              </w:rPr>
              <w:t xml:space="preserve"> </w:t>
            </w:r>
            <w:r>
              <w:rPr>
                <w:spacing w:val="-2"/>
                <w:sz w:val="20"/>
              </w:rPr>
              <w:t>but</w:t>
            </w:r>
            <w:r>
              <w:rPr>
                <w:spacing w:val="8"/>
                <w:sz w:val="20"/>
              </w:rPr>
              <w:t xml:space="preserve"> </w:t>
            </w:r>
            <w:r>
              <w:rPr>
                <w:spacing w:val="-2"/>
                <w:sz w:val="20"/>
              </w:rPr>
              <w:t>client-centered</w:t>
            </w:r>
          </w:p>
          <w:p w14:paraId="24F13874" w14:textId="77777777" w:rsidR="00DB6E1F" w:rsidRDefault="00F666A6">
            <w:pPr>
              <w:pStyle w:val="TableParagraph"/>
              <w:numPr>
                <w:ilvl w:val="0"/>
                <w:numId w:val="21"/>
              </w:numPr>
              <w:tabs>
                <w:tab w:val="left" w:pos="319"/>
              </w:tabs>
              <w:spacing w:before="0" w:line="243" w:lineRule="exact"/>
              <w:ind w:left="318" w:hanging="212"/>
              <w:rPr>
                <w:sz w:val="20"/>
              </w:rPr>
            </w:pPr>
            <w:r>
              <w:rPr>
                <w:sz w:val="20"/>
              </w:rPr>
              <w:t>primarily</w:t>
            </w:r>
            <w:r>
              <w:rPr>
                <w:spacing w:val="-12"/>
                <w:sz w:val="20"/>
              </w:rPr>
              <w:t xml:space="preserve"> </w:t>
            </w:r>
            <w:r>
              <w:rPr>
                <w:spacing w:val="-2"/>
                <w:sz w:val="20"/>
              </w:rPr>
              <w:t>educational</w:t>
            </w:r>
          </w:p>
          <w:p w14:paraId="550F9328" w14:textId="77777777" w:rsidR="00DB6E1F" w:rsidRDefault="00F666A6">
            <w:pPr>
              <w:pStyle w:val="TableParagraph"/>
              <w:numPr>
                <w:ilvl w:val="0"/>
                <w:numId w:val="21"/>
              </w:numPr>
              <w:tabs>
                <w:tab w:val="left" w:pos="312"/>
              </w:tabs>
              <w:ind w:left="311" w:hanging="205"/>
              <w:rPr>
                <w:sz w:val="20"/>
              </w:rPr>
            </w:pPr>
            <w:r>
              <w:rPr>
                <w:sz w:val="20"/>
              </w:rPr>
              <w:t>all</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above</w:t>
            </w:r>
          </w:p>
          <w:p w14:paraId="518D3747" w14:textId="77777777" w:rsidR="00DB6E1F" w:rsidRDefault="00F666A6">
            <w:pPr>
              <w:pStyle w:val="TableParagraph"/>
              <w:spacing w:before="120" w:line="243" w:lineRule="exact"/>
              <w:rPr>
                <w:b/>
                <w:sz w:val="20"/>
              </w:rPr>
            </w:pPr>
            <w:r>
              <w:rPr>
                <w:b/>
                <w:sz w:val="20"/>
              </w:rPr>
              <w:t>6.</w:t>
            </w:r>
            <w:r>
              <w:rPr>
                <w:b/>
                <w:spacing w:val="-6"/>
                <w:sz w:val="20"/>
              </w:rPr>
              <w:t xml:space="preserve"> </w:t>
            </w:r>
            <w:r>
              <w:rPr>
                <w:b/>
                <w:sz w:val="20"/>
              </w:rPr>
              <w:t>To</w:t>
            </w:r>
            <w:r>
              <w:rPr>
                <w:b/>
                <w:spacing w:val="-4"/>
                <w:sz w:val="20"/>
              </w:rPr>
              <w:t xml:space="preserve"> </w:t>
            </w:r>
            <w:r>
              <w:rPr>
                <w:b/>
                <w:sz w:val="20"/>
              </w:rPr>
              <w:t>develop</w:t>
            </w:r>
            <w:r>
              <w:rPr>
                <w:b/>
                <w:spacing w:val="-4"/>
                <w:sz w:val="20"/>
              </w:rPr>
              <w:t xml:space="preserve"> </w:t>
            </w:r>
            <w:r>
              <w:rPr>
                <w:b/>
                <w:sz w:val="20"/>
              </w:rPr>
              <w:t>discrepancy,</w:t>
            </w:r>
            <w:r>
              <w:rPr>
                <w:b/>
                <w:spacing w:val="-5"/>
                <w:sz w:val="20"/>
              </w:rPr>
              <w:t xml:space="preserve"> </w:t>
            </w:r>
            <w:r>
              <w:rPr>
                <w:b/>
                <w:sz w:val="20"/>
              </w:rPr>
              <w:t>therapists</w:t>
            </w:r>
            <w:r>
              <w:rPr>
                <w:b/>
                <w:spacing w:val="-5"/>
                <w:sz w:val="20"/>
              </w:rPr>
              <w:t xml:space="preserve"> </w:t>
            </w:r>
            <w:r>
              <w:rPr>
                <w:b/>
                <w:sz w:val="20"/>
              </w:rPr>
              <w:t>using</w:t>
            </w:r>
            <w:r>
              <w:rPr>
                <w:b/>
                <w:spacing w:val="-6"/>
                <w:sz w:val="20"/>
              </w:rPr>
              <w:t xml:space="preserve"> </w:t>
            </w:r>
            <w:r>
              <w:rPr>
                <w:b/>
                <w:sz w:val="20"/>
              </w:rPr>
              <w:t>the</w:t>
            </w:r>
            <w:r>
              <w:rPr>
                <w:b/>
                <w:spacing w:val="-4"/>
                <w:sz w:val="20"/>
              </w:rPr>
              <w:t xml:space="preserve"> </w:t>
            </w:r>
            <w:r>
              <w:rPr>
                <w:b/>
                <w:sz w:val="20"/>
              </w:rPr>
              <w:t>MI</w:t>
            </w:r>
            <w:r>
              <w:rPr>
                <w:b/>
                <w:spacing w:val="-5"/>
                <w:sz w:val="20"/>
              </w:rPr>
              <w:t xml:space="preserve"> </w:t>
            </w:r>
            <w:r>
              <w:rPr>
                <w:b/>
                <w:spacing w:val="-2"/>
                <w:sz w:val="20"/>
              </w:rPr>
              <w:t>approach</w:t>
            </w:r>
          </w:p>
          <w:p w14:paraId="318E7F27" w14:textId="77777777" w:rsidR="00DB6E1F" w:rsidRDefault="00F666A6">
            <w:pPr>
              <w:pStyle w:val="TableParagraph"/>
              <w:numPr>
                <w:ilvl w:val="0"/>
                <w:numId w:val="20"/>
              </w:numPr>
              <w:tabs>
                <w:tab w:val="left" w:pos="310"/>
              </w:tabs>
              <w:spacing w:before="0" w:line="243" w:lineRule="exact"/>
              <w:ind w:hanging="203"/>
              <w:rPr>
                <w:sz w:val="20"/>
              </w:rPr>
            </w:pPr>
            <w:r>
              <w:rPr>
                <w:sz w:val="20"/>
              </w:rPr>
              <w:t>inform</w:t>
            </w:r>
            <w:r>
              <w:rPr>
                <w:spacing w:val="-7"/>
                <w:sz w:val="20"/>
              </w:rPr>
              <w:t xml:space="preserve"> </w:t>
            </w:r>
            <w:r>
              <w:rPr>
                <w:sz w:val="20"/>
              </w:rPr>
              <w:t>clients</w:t>
            </w:r>
            <w:r>
              <w:rPr>
                <w:spacing w:val="-6"/>
                <w:sz w:val="20"/>
              </w:rPr>
              <w:t xml:space="preserve"> </w:t>
            </w:r>
            <w:r>
              <w:rPr>
                <w:sz w:val="20"/>
              </w:rPr>
              <w:t>about</w:t>
            </w:r>
            <w:r>
              <w:rPr>
                <w:spacing w:val="-5"/>
                <w:sz w:val="20"/>
              </w:rPr>
              <w:t xml:space="preserve"> </w:t>
            </w:r>
            <w:r>
              <w:rPr>
                <w:sz w:val="20"/>
              </w:rPr>
              <w:t>the</w:t>
            </w:r>
            <w:r>
              <w:rPr>
                <w:spacing w:val="-6"/>
                <w:sz w:val="20"/>
              </w:rPr>
              <w:t xml:space="preserve"> </w:t>
            </w:r>
            <w:r>
              <w:rPr>
                <w:sz w:val="20"/>
              </w:rPr>
              <w:t>harmful</w:t>
            </w:r>
            <w:r>
              <w:rPr>
                <w:spacing w:val="-6"/>
                <w:sz w:val="20"/>
              </w:rPr>
              <w:t xml:space="preserve"> </w:t>
            </w:r>
            <w:r>
              <w:rPr>
                <w:sz w:val="20"/>
              </w:rPr>
              <w:t>effects</w:t>
            </w:r>
            <w:r>
              <w:rPr>
                <w:spacing w:val="-6"/>
                <w:sz w:val="20"/>
              </w:rPr>
              <w:t xml:space="preserve"> </w:t>
            </w:r>
            <w:r>
              <w:rPr>
                <w:sz w:val="20"/>
              </w:rPr>
              <w:t>of</w:t>
            </w:r>
            <w:r>
              <w:rPr>
                <w:spacing w:val="-6"/>
                <w:sz w:val="20"/>
              </w:rPr>
              <w:t xml:space="preserve"> </w:t>
            </w:r>
            <w:r>
              <w:rPr>
                <w:sz w:val="20"/>
              </w:rPr>
              <w:t>their</w:t>
            </w:r>
            <w:r>
              <w:rPr>
                <w:spacing w:val="-5"/>
                <w:sz w:val="20"/>
              </w:rPr>
              <w:t xml:space="preserve"> </w:t>
            </w:r>
            <w:r>
              <w:rPr>
                <w:spacing w:val="-2"/>
                <w:sz w:val="20"/>
              </w:rPr>
              <w:t>behavior</w:t>
            </w:r>
          </w:p>
          <w:p w14:paraId="42B0C546" w14:textId="77777777" w:rsidR="00DB6E1F" w:rsidRDefault="00F666A6">
            <w:pPr>
              <w:pStyle w:val="TableParagraph"/>
              <w:numPr>
                <w:ilvl w:val="0"/>
                <w:numId w:val="20"/>
              </w:numPr>
              <w:tabs>
                <w:tab w:val="left" w:pos="319"/>
              </w:tabs>
              <w:ind w:left="318" w:hanging="212"/>
              <w:rPr>
                <w:sz w:val="20"/>
              </w:rPr>
            </w:pPr>
            <w:r>
              <w:rPr>
                <w:sz w:val="20"/>
              </w:rPr>
              <w:t>direct</w:t>
            </w:r>
            <w:r>
              <w:rPr>
                <w:spacing w:val="-6"/>
                <w:sz w:val="20"/>
              </w:rPr>
              <w:t xml:space="preserve"> </w:t>
            </w:r>
            <w:r>
              <w:rPr>
                <w:sz w:val="20"/>
              </w:rPr>
              <w:t>clients</w:t>
            </w:r>
            <w:r>
              <w:rPr>
                <w:spacing w:val="-7"/>
                <w:sz w:val="20"/>
              </w:rPr>
              <w:t xml:space="preserve"> </w:t>
            </w:r>
            <w:r>
              <w:rPr>
                <w:sz w:val="20"/>
              </w:rPr>
              <w:t>to</w:t>
            </w:r>
            <w:r>
              <w:rPr>
                <w:spacing w:val="-5"/>
                <w:sz w:val="20"/>
              </w:rPr>
              <w:t xml:space="preserve"> </w:t>
            </w:r>
            <w:r>
              <w:rPr>
                <w:sz w:val="20"/>
              </w:rPr>
              <w:t>stop</w:t>
            </w:r>
            <w:r>
              <w:rPr>
                <w:spacing w:val="-5"/>
                <w:sz w:val="20"/>
              </w:rPr>
              <w:t xml:space="preserve"> </w:t>
            </w:r>
            <w:r>
              <w:rPr>
                <w:sz w:val="20"/>
              </w:rPr>
              <w:t>the</w:t>
            </w:r>
            <w:r>
              <w:rPr>
                <w:spacing w:val="-7"/>
                <w:sz w:val="20"/>
              </w:rPr>
              <w:t xml:space="preserve"> </w:t>
            </w:r>
            <w:r>
              <w:rPr>
                <w:sz w:val="20"/>
              </w:rPr>
              <w:t>problem</w:t>
            </w:r>
            <w:r>
              <w:rPr>
                <w:spacing w:val="-6"/>
                <w:sz w:val="20"/>
              </w:rPr>
              <w:t xml:space="preserve"> </w:t>
            </w:r>
            <w:r>
              <w:rPr>
                <w:spacing w:val="-2"/>
                <w:sz w:val="20"/>
              </w:rPr>
              <w:t>behavior</w:t>
            </w:r>
          </w:p>
          <w:p w14:paraId="128CDA8F" w14:textId="77777777" w:rsidR="00DB6E1F" w:rsidRDefault="00F666A6">
            <w:pPr>
              <w:pStyle w:val="TableParagraph"/>
              <w:numPr>
                <w:ilvl w:val="0"/>
                <w:numId w:val="20"/>
              </w:numPr>
              <w:tabs>
                <w:tab w:val="left" w:pos="297"/>
              </w:tabs>
              <w:spacing w:before="0"/>
              <w:ind w:left="296" w:hanging="190"/>
              <w:rPr>
                <w:sz w:val="20"/>
              </w:rPr>
            </w:pPr>
            <w:r>
              <w:rPr>
                <w:sz w:val="20"/>
              </w:rPr>
              <w:t>warn</w:t>
            </w:r>
            <w:r>
              <w:rPr>
                <w:spacing w:val="-8"/>
                <w:sz w:val="20"/>
              </w:rPr>
              <w:t xml:space="preserve"> </w:t>
            </w:r>
            <w:r>
              <w:rPr>
                <w:sz w:val="20"/>
              </w:rPr>
              <w:t>clients</w:t>
            </w:r>
            <w:r>
              <w:rPr>
                <w:spacing w:val="-6"/>
                <w:sz w:val="20"/>
              </w:rPr>
              <w:t xml:space="preserve"> </w:t>
            </w:r>
            <w:r>
              <w:rPr>
                <w:sz w:val="20"/>
              </w:rPr>
              <w:t>about</w:t>
            </w:r>
            <w:r>
              <w:rPr>
                <w:spacing w:val="-6"/>
                <w:sz w:val="20"/>
              </w:rPr>
              <w:t xml:space="preserve"> </w:t>
            </w:r>
            <w:r>
              <w:rPr>
                <w:sz w:val="20"/>
              </w:rPr>
              <w:t>the</w:t>
            </w:r>
            <w:r>
              <w:rPr>
                <w:spacing w:val="-7"/>
                <w:sz w:val="20"/>
              </w:rPr>
              <w:t xml:space="preserve"> </w:t>
            </w:r>
            <w:r>
              <w:rPr>
                <w:sz w:val="20"/>
              </w:rPr>
              <w:t>future</w:t>
            </w:r>
            <w:r>
              <w:rPr>
                <w:spacing w:val="-7"/>
                <w:sz w:val="20"/>
              </w:rPr>
              <w:t xml:space="preserve"> </w:t>
            </w:r>
            <w:r>
              <w:rPr>
                <w:sz w:val="20"/>
              </w:rPr>
              <w:t>consequences</w:t>
            </w:r>
            <w:r>
              <w:rPr>
                <w:spacing w:val="-7"/>
                <w:sz w:val="20"/>
              </w:rPr>
              <w:t xml:space="preserve"> </w:t>
            </w:r>
            <w:r>
              <w:rPr>
                <w:sz w:val="20"/>
              </w:rPr>
              <w:t>of</w:t>
            </w:r>
            <w:r>
              <w:rPr>
                <w:spacing w:val="-7"/>
                <w:sz w:val="20"/>
              </w:rPr>
              <w:t xml:space="preserve"> </w:t>
            </w:r>
            <w:r>
              <w:rPr>
                <w:sz w:val="20"/>
              </w:rPr>
              <w:t>their</w:t>
            </w:r>
            <w:r>
              <w:rPr>
                <w:spacing w:val="-5"/>
                <w:sz w:val="20"/>
              </w:rPr>
              <w:t xml:space="preserve"> </w:t>
            </w:r>
            <w:r>
              <w:rPr>
                <w:spacing w:val="-2"/>
                <w:sz w:val="20"/>
              </w:rPr>
              <w:t>behavior</w:t>
            </w:r>
          </w:p>
          <w:p w14:paraId="40A96868" w14:textId="77777777" w:rsidR="00DB6E1F" w:rsidRDefault="00F666A6">
            <w:pPr>
              <w:pStyle w:val="TableParagraph"/>
              <w:numPr>
                <w:ilvl w:val="0"/>
                <w:numId w:val="20"/>
              </w:numPr>
              <w:tabs>
                <w:tab w:val="left" w:pos="319"/>
              </w:tabs>
              <w:ind w:left="318" w:hanging="212"/>
              <w:rPr>
                <w:sz w:val="20"/>
              </w:rPr>
            </w:pPr>
            <w:r>
              <w:rPr>
                <w:sz w:val="20"/>
              </w:rPr>
              <w:t>point</w:t>
            </w:r>
            <w:r>
              <w:rPr>
                <w:spacing w:val="-7"/>
                <w:sz w:val="20"/>
              </w:rPr>
              <w:t xml:space="preserve"> </w:t>
            </w:r>
            <w:r>
              <w:rPr>
                <w:sz w:val="20"/>
              </w:rPr>
              <w:t>out</w:t>
            </w:r>
            <w:r>
              <w:rPr>
                <w:spacing w:val="-6"/>
                <w:sz w:val="20"/>
              </w:rPr>
              <w:t xml:space="preserve"> </w:t>
            </w:r>
            <w:r>
              <w:rPr>
                <w:sz w:val="20"/>
              </w:rPr>
              <w:t>differences</w:t>
            </w:r>
            <w:r>
              <w:rPr>
                <w:spacing w:val="-7"/>
                <w:sz w:val="20"/>
              </w:rPr>
              <w:t xml:space="preserve"> </w:t>
            </w:r>
            <w:r>
              <w:rPr>
                <w:sz w:val="20"/>
              </w:rPr>
              <w:t>between</w:t>
            </w:r>
            <w:r>
              <w:rPr>
                <w:spacing w:val="-5"/>
                <w:sz w:val="20"/>
              </w:rPr>
              <w:t xml:space="preserve"> </w:t>
            </w:r>
            <w:r>
              <w:rPr>
                <w:sz w:val="20"/>
              </w:rPr>
              <w:t>the</w:t>
            </w:r>
            <w:r>
              <w:rPr>
                <w:spacing w:val="-8"/>
                <w:sz w:val="20"/>
              </w:rPr>
              <w:t xml:space="preserve"> </w:t>
            </w:r>
            <w:r>
              <w:rPr>
                <w:sz w:val="20"/>
              </w:rPr>
              <w:t>client’s</w:t>
            </w:r>
            <w:r>
              <w:rPr>
                <w:spacing w:val="-6"/>
                <w:sz w:val="20"/>
              </w:rPr>
              <w:t xml:space="preserve"> </w:t>
            </w:r>
            <w:r>
              <w:rPr>
                <w:sz w:val="20"/>
              </w:rPr>
              <w:t>own</w:t>
            </w:r>
            <w:r>
              <w:rPr>
                <w:spacing w:val="-5"/>
                <w:sz w:val="20"/>
              </w:rPr>
              <w:t xml:space="preserve"> </w:t>
            </w:r>
            <w:r>
              <w:rPr>
                <w:sz w:val="20"/>
              </w:rPr>
              <w:t>stated</w:t>
            </w:r>
            <w:r>
              <w:rPr>
                <w:spacing w:val="-6"/>
                <w:sz w:val="20"/>
              </w:rPr>
              <w:t xml:space="preserve"> </w:t>
            </w:r>
            <w:r>
              <w:rPr>
                <w:sz w:val="20"/>
              </w:rPr>
              <w:t>goals</w:t>
            </w:r>
            <w:r>
              <w:rPr>
                <w:spacing w:val="-7"/>
                <w:sz w:val="20"/>
              </w:rPr>
              <w:t xml:space="preserve"> </w:t>
            </w:r>
            <w:r>
              <w:rPr>
                <w:sz w:val="20"/>
              </w:rPr>
              <w:t>and</w:t>
            </w:r>
            <w:r>
              <w:rPr>
                <w:spacing w:val="-5"/>
                <w:sz w:val="20"/>
              </w:rPr>
              <w:t xml:space="preserve"> </w:t>
            </w:r>
            <w:r>
              <w:rPr>
                <w:sz w:val="20"/>
              </w:rPr>
              <w:t>current</w:t>
            </w:r>
            <w:r>
              <w:rPr>
                <w:spacing w:val="-6"/>
                <w:sz w:val="20"/>
              </w:rPr>
              <w:t xml:space="preserve"> </w:t>
            </w:r>
            <w:r>
              <w:rPr>
                <w:spacing w:val="-2"/>
                <w:sz w:val="20"/>
              </w:rPr>
              <w:t>behavior</w:t>
            </w:r>
          </w:p>
          <w:p w14:paraId="3E172A0F" w14:textId="77777777" w:rsidR="00DB6E1F" w:rsidRDefault="00F666A6">
            <w:pPr>
              <w:pStyle w:val="TableParagraph"/>
              <w:numPr>
                <w:ilvl w:val="0"/>
                <w:numId w:val="20"/>
              </w:numPr>
              <w:tabs>
                <w:tab w:val="left" w:pos="312"/>
              </w:tabs>
              <w:ind w:left="311" w:hanging="205"/>
              <w:rPr>
                <w:sz w:val="20"/>
              </w:rPr>
            </w:pPr>
            <w:r>
              <w:rPr>
                <w:sz w:val="20"/>
              </w:rPr>
              <w:t>none</w:t>
            </w:r>
            <w:r>
              <w:rPr>
                <w:spacing w:val="-4"/>
                <w:sz w:val="20"/>
              </w:rPr>
              <w:t xml:space="preserve"> </w:t>
            </w:r>
            <w:r>
              <w:rPr>
                <w:sz w:val="20"/>
              </w:rPr>
              <w:t>of</w:t>
            </w:r>
            <w:r>
              <w:rPr>
                <w:spacing w:val="-4"/>
                <w:sz w:val="20"/>
              </w:rPr>
              <w:t xml:space="preserve"> </w:t>
            </w:r>
            <w:r>
              <w:rPr>
                <w:sz w:val="20"/>
              </w:rPr>
              <w:t>the</w:t>
            </w:r>
            <w:r>
              <w:rPr>
                <w:spacing w:val="-4"/>
                <w:sz w:val="20"/>
              </w:rPr>
              <w:t xml:space="preserve"> above</w:t>
            </w:r>
          </w:p>
          <w:p w14:paraId="19B557D8" w14:textId="77777777" w:rsidR="00DB6E1F" w:rsidRDefault="00F666A6">
            <w:pPr>
              <w:pStyle w:val="TableParagraph"/>
              <w:spacing w:before="118"/>
              <w:rPr>
                <w:b/>
                <w:sz w:val="20"/>
              </w:rPr>
            </w:pPr>
            <w:r>
              <w:rPr>
                <w:b/>
                <w:sz w:val="20"/>
              </w:rPr>
              <w:t>7.</w:t>
            </w:r>
            <w:r>
              <w:rPr>
                <w:b/>
                <w:spacing w:val="-5"/>
                <w:sz w:val="20"/>
              </w:rPr>
              <w:t xml:space="preserve"> </w:t>
            </w:r>
            <w:r>
              <w:rPr>
                <w:b/>
                <w:sz w:val="20"/>
              </w:rPr>
              <w:t>According</w:t>
            </w:r>
            <w:r>
              <w:rPr>
                <w:b/>
                <w:spacing w:val="-6"/>
                <w:sz w:val="20"/>
              </w:rPr>
              <w:t xml:space="preserve"> </w:t>
            </w:r>
            <w:r>
              <w:rPr>
                <w:b/>
                <w:sz w:val="20"/>
              </w:rPr>
              <w:t>to</w:t>
            </w:r>
            <w:r>
              <w:rPr>
                <w:b/>
                <w:spacing w:val="-4"/>
                <w:sz w:val="20"/>
              </w:rPr>
              <w:t xml:space="preserve"> </w:t>
            </w:r>
            <w:r>
              <w:rPr>
                <w:b/>
                <w:sz w:val="20"/>
              </w:rPr>
              <w:t>Miller</w:t>
            </w:r>
            <w:r>
              <w:rPr>
                <w:b/>
                <w:spacing w:val="-3"/>
                <w:sz w:val="20"/>
              </w:rPr>
              <w:t xml:space="preserve"> </w:t>
            </w:r>
            <w:r>
              <w:rPr>
                <w:b/>
                <w:sz w:val="20"/>
              </w:rPr>
              <w:t>&amp;</w:t>
            </w:r>
            <w:r>
              <w:rPr>
                <w:b/>
                <w:spacing w:val="-6"/>
                <w:sz w:val="20"/>
              </w:rPr>
              <w:t xml:space="preserve"> </w:t>
            </w:r>
            <w:r>
              <w:rPr>
                <w:b/>
                <w:sz w:val="20"/>
              </w:rPr>
              <w:t>Rollnick</w:t>
            </w:r>
            <w:r>
              <w:rPr>
                <w:b/>
                <w:spacing w:val="-5"/>
                <w:sz w:val="20"/>
              </w:rPr>
              <w:t xml:space="preserve"> </w:t>
            </w:r>
            <w:r>
              <w:rPr>
                <w:b/>
                <w:sz w:val="20"/>
              </w:rPr>
              <w:t>(1991),</w:t>
            </w:r>
            <w:r>
              <w:rPr>
                <w:b/>
                <w:spacing w:val="-5"/>
                <w:sz w:val="20"/>
              </w:rPr>
              <w:t xml:space="preserve"> </w:t>
            </w:r>
            <w:r>
              <w:rPr>
                <w:b/>
                <w:sz w:val="20"/>
              </w:rPr>
              <w:t>resistance</w:t>
            </w:r>
            <w:r>
              <w:rPr>
                <w:b/>
                <w:spacing w:val="-5"/>
                <w:sz w:val="20"/>
              </w:rPr>
              <w:t xml:space="preserve"> </w:t>
            </w:r>
            <w:r>
              <w:rPr>
                <w:b/>
                <w:sz w:val="20"/>
              </w:rPr>
              <w:t>is</w:t>
            </w:r>
            <w:r>
              <w:rPr>
                <w:b/>
                <w:spacing w:val="-4"/>
                <w:sz w:val="20"/>
              </w:rPr>
              <w:t xml:space="preserve"> </w:t>
            </w:r>
            <w:r>
              <w:rPr>
                <w:b/>
                <w:sz w:val="20"/>
              </w:rPr>
              <w:t>best</w:t>
            </w:r>
            <w:r>
              <w:rPr>
                <w:b/>
                <w:spacing w:val="-5"/>
                <w:sz w:val="20"/>
              </w:rPr>
              <w:t xml:space="preserve"> </w:t>
            </w:r>
            <w:r>
              <w:rPr>
                <w:b/>
                <w:sz w:val="20"/>
              </w:rPr>
              <w:t>seen</w:t>
            </w:r>
            <w:r>
              <w:rPr>
                <w:b/>
                <w:spacing w:val="-4"/>
                <w:sz w:val="20"/>
              </w:rPr>
              <w:t xml:space="preserve"> </w:t>
            </w:r>
            <w:r>
              <w:rPr>
                <w:b/>
                <w:spacing w:val="-5"/>
                <w:sz w:val="20"/>
              </w:rPr>
              <w:t>as</w:t>
            </w:r>
          </w:p>
          <w:p w14:paraId="5CF7BD81" w14:textId="77777777" w:rsidR="00DB6E1F" w:rsidRDefault="00F666A6">
            <w:pPr>
              <w:pStyle w:val="TableParagraph"/>
              <w:numPr>
                <w:ilvl w:val="0"/>
                <w:numId w:val="19"/>
              </w:numPr>
              <w:tabs>
                <w:tab w:val="left" w:pos="310"/>
              </w:tabs>
              <w:ind w:hanging="203"/>
              <w:rPr>
                <w:sz w:val="20"/>
              </w:rPr>
            </w:pPr>
            <w:r>
              <w:rPr>
                <w:sz w:val="20"/>
              </w:rPr>
              <w:t>a</w:t>
            </w:r>
            <w:r>
              <w:rPr>
                <w:spacing w:val="-5"/>
                <w:sz w:val="20"/>
              </w:rPr>
              <w:t xml:space="preserve"> </w:t>
            </w:r>
            <w:r>
              <w:rPr>
                <w:sz w:val="20"/>
              </w:rPr>
              <w:t>trait</w:t>
            </w:r>
            <w:r>
              <w:rPr>
                <w:spacing w:val="-5"/>
                <w:sz w:val="20"/>
              </w:rPr>
              <w:t xml:space="preserve"> </w:t>
            </w:r>
            <w:r>
              <w:rPr>
                <w:sz w:val="20"/>
              </w:rPr>
              <w:t>of</w:t>
            </w:r>
            <w:r>
              <w:rPr>
                <w:spacing w:val="-6"/>
                <w:sz w:val="20"/>
              </w:rPr>
              <w:t xml:space="preserve"> </w:t>
            </w:r>
            <w:r>
              <w:rPr>
                <w:sz w:val="20"/>
              </w:rPr>
              <w:t>difficult</w:t>
            </w:r>
            <w:r>
              <w:rPr>
                <w:spacing w:val="-5"/>
                <w:sz w:val="20"/>
              </w:rPr>
              <w:t xml:space="preserve"> </w:t>
            </w:r>
            <w:r>
              <w:rPr>
                <w:spacing w:val="-2"/>
                <w:sz w:val="20"/>
              </w:rPr>
              <w:t>clients</w:t>
            </w:r>
          </w:p>
          <w:p w14:paraId="272DD502" w14:textId="77777777" w:rsidR="00DB6E1F" w:rsidRDefault="00F666A6">
            <w:pPr>
              <w:pStyle w:val="TableParagraph"/>
              <w:numPr>
                <w:ilvl w:val="0"/>
                <w:numId w:val="19"/>
              </w:numPr>
              <w:tabs>
                <w:tab w:val="left" w:pos="319"/>
              </w:tabs>
              <w:spacing w:before="0" w:line="243" w:lineRule="exact"/>
              <w:ind w:left="318" w:hanging="212"/>
              <w:rPr>
                <w:sz w:val="20"/>
              </w:rPr>
            </w:pPr>
            <w:r>
              <w:rPr>
                <w:sz w:val="20"/>
              </w:rPr>
              <w:t>a</w:t>
            </w:r>
            <w:r>
              <w:rPr>
                <w:spacing w:val="-6"/>
                <w:sz w:val="20"/>
              </w:rPr>
              <w:t xml:space="preserve"> </w:t>
            </w:r>
            <w:r>
              <w:rPr>
                <w:sz w:val="20"/>
              </w:rPr>
              <w:t>healthy</w:t>
            </w:r>
            <w:r>
              <w:rPr>
                <w:spacing w:val="-5"/>
                <w:sz w:val="20"/>
              </w:rPr>
              <w:t xml:space="preserve"> </w:t>
            </w:r>
            <w:r>
              <w:rPr>
                <w:sz w:val="20"/>
              </w:rPr>
              <w:t>assertion</w:t>
            </w:r>
            <w:r>
              <w:rPr>
                <w:spacing w:val="-5"/>
                <w:sz w:val="20"/>
              </w:rPr>
              <w:t xml:space="preserve"> </w:t>
            </w:r>
            <w:r>
              <w:rPr>
                <w:sz w:val="20"/>
              </w:rPr>
              <w:t>of</w:t>
            </w:r>
            <w:r>
              <w:rPr>
                <w:spacing w:val="-7"/>
                <w:sz w:val="20"/>
              </w:rPr>
              <w:t xml:space="preserve"> </w:t>
            </w:r>
            <w:r>
              <w:rPr>
                <w:spacing w:val="-2"/>
                <w:sz w:val="20"/>
              </w:rPr>
              <w:t>independence</w:t>
            </w:r>
          </w:p>
          <w:p w14:paraId="24516AB8" w14:textId="77777777" w:rsidR="00DB6E1F" w:rsidRDefault="00F666A6">
            <w:pPr>
              <w:pStyle w:val="TableParagraph"/>
              <w:numPr>
                <w:ilvl w:val="0"/>
                <w:numId w:val="19"/>
              </w:numPr>
              <w:tabs>
                <w:tab w:val="left" w:pos="297"/>
              </w:tabs>
              <w:spacing w:before="0" w:line="243" w:lineRule="exact"/>
              <w:ind w:left="296" w:hanging="190"/>
              <w:rPr>
                <w:sz w:val="20"/>
              </w:rPr>
            </w:pPr>
            <w:r>
              <w:rPr>
                <w:sz w:val="20"/>
              </w:rPr>
              <w:t>a</w:t>
            </w:r>
            <w:r>
              <w:rPr>
                <w:spacing w:val="-6"/>
                <w:sz w:val="20"/>
              </w:rPr>
              <w:t xml:space="preserve"> </w:t>
            </w:r>
            <w:r>
              <w:rPr>
                <w:sz w:val="20"/>
              </w:rPr>
              <w:t>function</w:t>
            </w:r>
            <w:r>
              <w:rPr>
                <w:spacing w:val="-4"/>
                <w:sz w:val="20"/>
              </w:rPr>
              <w:t xml:space="preserve"> </w:t>
            </w:r>
            <w:r>
              <w:rPr>
                <w:sz w:val="20"/>
              </w:rPr>
              <w:t>of</w:t>
            </w:r>
            <w:r>
              <w:rPr>
                <w:spacing w:val="-6"/>
                <w:sz w:val="20"/>
              </w:rPr>
              <w:t xml:space="preserve"> </w:t>
            </w:r>
            <w:r>
              <w:rPr>
                <w:sz w:val="20"/>
              </w:rPr>
              <w:t>a</w:t>
            </w:r>
            <w:r>
              <w:rPr>
                <w:spacing w:val="-5"/>
                <w:sz w:val="20"/>
              </w:rPr>
              <w:t xml:space="preserve"> </w:t>
            </w:r>
            <w:r>
              <w:rPr>
                <w:sz w:val="20"/>
              </w:rPr>
              <w:t>mismatch</w:t>
            </w:r>
            <w:r>
              <w:rPr>
                <w:spacing w:val="-5"/>
                <w:sz w:val="20"/>
              </w:rPr>
              <w:t xml:space="preserve"> </w:t>
            </w:r>
            <w:r>
              <w:rPr>
                <w:sz w:val="20"/>
              </w:rPr>
              <w:t>between</w:t>
            </w:r>
            <w:r>
              <w:rPr>
                <w:spacing w:val="-4"/>
                <w:sz w:val="20"/>
              </w:rPr>
              <w:t xml:space="preserve"> </w:t>
            </w:r>
            <w:r>
              <w:rPr>
                <w:sz w:val="20"/>
              </w:rPr>
              <w:t>the</w:t>
            </w:r>
            <w:r>
              <w:rPr>
                <w:spacing w:val="-6"/>
                <w:sz w:val="20"/>
              </w:rPr>
              <w:t xml:space="preserve"> </w:t>
            </w:r>
            <w:r>
              <w:rPr>
                <w:sz w:val="20"/>
              </w:rPr>
              <w:t>client’s</w:t>
            </w:r>
            <w:r>
              <w:rPr>
                <w:spacing w:val="-5"/>
                <w:sz w:val="20"/>
              </w:rPr>
              <w:t xml:space="preserve"> </w:t>
            </w:r>
            <w:r>
              <w:rPr>
                <w:sz w:val="20"/>
              </w:rPr>
              <w:t>stage</w:t>
            </w:r>
            <w:r>
              <w:rPr>
                <w:spacing w:val="-6"/>
                <w:sz w:val="20"/>
              </w:rPr>
              <w:t xml:space="preserve"> </w:t>
            </w:r>
            <w:r>
              <w:rPr>
                <w:sz w:val="20"/>
              </w:rPr>
              <w:t>of</w:t>
            </w:r>
            <w:r>
              <w:rPr>
                <w:spacing w:val="-6"/>
                <w:sz w:val="20"/>
              </w:rPr>
              <w:t xml:space="preserve"> </w:t>
            </w:r>
            <w:r>
              <w:rPr>
                <w:sz w:val="20"/>
              </w:rPr>
              <w:t>change</w:t>
            </w:r>
            <w:r>
              <w:rPr>
                <w:spacing w:val="-6"/>
                <w:sz w:val="20"/>
              </w:rPr>
              <w:t xml:space="preserve"> </w:t>
            </w:r>
            <w:r>
              <w:rPr>
                <w:sz w:val="20"/>
              </w:rPr>
              <w:t>and</w:t>
            </w:r>
            <w:r>
              <w:rPr>
                <w:spacing w:val="-4"/>
                <w:sz w:val="20"/>
              </w:rPr>
              <w:t xml:space="preserve"> </w:t>
            </w:r>
            <w:r>
              <w:rPr>
                <w:sz w:val="20"/>
              </w:rPr>
              <w:t>the</w:t>
            </w:r>
            <w:r>
              <w:rPr>
                <w:spacing w:val="-7"/>
                <w:sz w:val="20"/>
              </w:rPr>
              <w:t xml:space="preserve"> </w:t>
            </w:r>
            <w:r>
              <w:rPr>
                <w:sz w:val="20"/>
              </w:rPr>
              <w:t>therapist’s</w:t>
            </w:r>
            <w:r>
              <w:rPr>
                <w:spacing w:val="-6"/>
                <w:sz w:val="20"/>
              </w:rPr>
              <w:t xml:space="preserve"> </w:t>
            </w:r>
            <w:r>
              <w:rPr>
                <w:spacing w:val="-2"/>
                <w:sz w:val="20"/>
              </w:rPr>
              <w:t>strategies</w:t>
            </w:r>
          </w:p>
          <w:p w14:paraId="6277E923" w14:textId="77777777" w:rsidR="00DB6E1F" w:rsidRDefault="00F666A6">
            <w:pPr>
              <w:pStyle w:val="TableParagraph"/>
              <w:numPr>
                <w:ilvl w:val="0"/>
                <w:numId w:val="19"/>
              </w:numPr>
              <w:tabs>
                <w:tab w:val="left" w:pos="319"/>
              </w:tabs>
              <w:ind w:left="107" w:right="950" w:firstLine="0"/>
              <w:rPr>
                <w:sz w:val="20"/>
              </w:rPr>
            </w:pPr>
            <w:r>
              <w:rPr>
                <w:sz w:val="20"/>
              </w:rPr>
              <w:t>an</w:t>
            </w:r>
            <w:r>
              <w:rPr>
                <w:spacing w:val="-2"/>
                <w:sz w:val="20"/>
              </w:rPr>
              <w:t xml:space="preserve"> </w:t>
            </w:r>
            <w:r>
              <w:rPr>
                <w:sz w:val="20"/>
              </w:rPr>
              <w:t>indicator</w:t>
            </w:r>
            <w:r>
              <w:rPr>
                <w:spacing w:val="-3"/>
                <w:sz w:val="20"/>
              </w:rPr>
              <w:t xml:space="preserve"> </w:t>
            </w:r>
            <w:r>
              <w:rPr>
                <w:sz w:val="20"/>
              </w:rPr>
              <w:t>of</w:t>
            </w:r>
            <w:r>
              <w:rPr>
                <w:spacing w:val="-4"/>
                <w:sz w:val="20"/>
              </w:rPr>
              <w:t xml:space="preserve"> </w:t>
            </w:r>
            <w:r>
              <w:rPr>
                <w:sz w:val="20"/>
              </w:rPr>
              <w:t>poor</w:t>
            </w:r>
            <w:r>
              <w:rPr>
                <w:spacing w:val="-3"/>
                <w:sz w:val="20"/>
              </w:rPr>
              <w:t xml:space="preserve"> </w:t>
            </w:r>
            <w:r>
              <w:rPr>
                <w:sz w:val="20"/>
              </w:rPr>
              <w:t>prognosis</w:t>
            </w:r>
            <w:r>
              <w:rPr>
                <w:spacing w:val="-2"/>
                <w:sz w:val="20"/>
              </w:rPr>
              <w:t xml:space="preserve"> </w:t>
            </w:r>
            <w:r>
              <w:rPr>
                <w:sz w:val="20"/>
              </w:rPr>
              <w:t>which,</w:t>
            </w:r>
            <w:r>
              <w:rPr>
                <w:spacing w:val="-3"/>
                <w:sz w:val="20"/>
              </w:rPr>
              <w:t xml:space="preserve"> </w:t>
            </w:r>
            <w:r>
              <w:rPr>
                <w:sz w:val="20"/>
              </w:rPr>
              <w:t>if</w:t>
            </w:r>
            <w:r>
              <w:rPr>
                <w:spacing w:val="-4"/>
                <w:sz w:val="20"/>
              </w:rPr>
              <w:t xml:space="preserve"> </w:t>
            </w:r>
            <w:r>
              <w:rPr>
                <w:sz w:val="20"/>
              </w:rPr>
              <w:t>persistent,</w:t>
            </w:r>
            <w:r>
              <w:rPr>
                <w:spacing w:val="-2"/>
                <w:sz w:val="20"/>
              </w:rPr>
              <w:t xml:space="preserve"> </w:t>
            </w:r>
            <w:r>
              <w:rPr>
                <w:sz w:val="20"/>
              </w:rPr>
              <w:t>indicates</w:t>
            </w:r>
            <w:r>
              <w:rPr>
                <w:spacing w:val="-4"/>
                <w:sz w:val="20"/>
              </w:rPr>
              <w:t xml:space="preserve"> </w:t>
            </w:r>
            <w:r>
              <w:rPr>
                <w:sz w:val="20"/>
              </w:rPr>
              <w:t>that</w:t>
            </w:r>
            <w:r>
              <w:rPr>
                <w:spacing w:val="-3"/>
                <w:sz w:val="20"/>
              </w:rPr>
              <w:t xml:space="preserve"> </w:t>
            </w:r>
            <w:r>
              <w:rPr>
                <w:sz w:val="20"/>
              </w:rPr>
              <w:t>the</w:t>
            </w:r>
            <w:r>
              <w:rPr>
                <w:spacing w:val="-4"/>
                <w:sz w:val="20"/>
              </w:rPr>
              <w:t xml:space="preserve"> </w:t>
            </w:r>
            <w:r>
              <w:rPr>
                <w:sz w:val="20"/>
              </w:rPr>
              <w:t>client</w:t>
            </w:r>
            <w:r>
              <w:rPr>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dropped</w:t>
            </w:r>
            <w:r>
              <w:rPr>
                <w:spacing w:val="-2"/>
                <w:sz w:val="20"/>
              </w:rPr>
              <w:t xml:space="preserve"> </w:t>
            </w:r>
            <w:r>
              <w:rPr>
                <w:sz w:val="20"/>
              </w:rPr>
              <w:t xml:space="preserve">from </w:t>
            </w:r>
            <w:r>
              <w:rPr>
                <w:spacing w:val="-2"/>
                <w:sz w:val="20"/>
              </w:rPr>
              <w:t>counseling</w:t>
            </w:r>
          </w:p>
          <w:p w14:paraId="2D37CAD1" w14:textId="77777777" w:rsidR="00DB6E1F" w:rsidRDefault="00F666A6">
            <w:pPr>
              <w:pStyle w:val="TableParagraph"/>
              <w:numPr>
                <w:ilvl w:val="0"/>
                <w:numId w:val="19"/>
              </w:numPr>
              <w:tabs>
                <w:tab w:val="left" w:pos="312"/>
              </w:tabs>
              <w:ind w:left="311" w:hanging="205"/>
              <w:rPr>
                <w:sz w:val="20"/>
              </w:rPr>
            </w:pPr>
            <w:r>
              <w:rPr>
                <w:sz w:val="20"/>
              </w:rPr>
              <w:t>none</w:t>
            </w:r>
            <w:r>
              <w:rPr>
                <w:spacing w:val="-4"/>
                <w:sz w:val="20"/>
              </w:rPr>
              <w:t xml:space="preserve"> </w:t>
            </w:r>
            <w:r>
              <w:rPr>
                <w:sz w:val="20"/>
              </w:rPr>
              <w:t>of</w:t>
            </w:r>
            <w:r>
              <w:rPr>
                <w:spacing w:val="-4"/>
                <w:sz w:val="20"/>
              </w:rPr>
              <w:t xml:space="preserve"> </w:t>
            </w:r>
            <w:r>
              <w:rPr>
                <w:sz w:val="20"/>
              </w:rPr>
              <w:t>the</w:t>
            </w:r>
            <w:r>
              <w:rPr>
                <w:spacing w:val="-4"/>
                <w:sz w:val="20"/>
              </w:rPr>
              <w:t xml:space="preserve"> above</w:t>
            </w:r>
          </w:p>
          <w:p w14:paraId="506C8B5E" w14:textId="77777777" w:rsidR="00DB6E1F" w:rsidRDefault="00F666A6">
            <w:pPr>
              <w:pStyle w:val="TableParagraph"/>
              <w:spacing w:before="118" w:line="223" w:lineRule="exact"/>
              <w:rPr>
                <w:b/>
                <w:sz w:val="20"/>
              </w:rPr>
            </w:pPr>
            <w:r>
              <w:rPr>
                <w:b/>
                <w:sz w:val="20"/>
              </w:rPr>
              <w:t>8.</w:t>
            </w:r>
            <w:r>
              <w:rPr>
                <w:b/>
                <w:spacing w:val="-4"/>
                <w:sz w:val="20"/>
              </w:rPr>
              <w:t xml:space="preserve"> </w:t>
            </w:r>
            <w:r>
              <w:rPr>
                <w:b/>
                <w:sz w:val="20"/>
              </w:rPr>
              <w:t>Within</w:t>
            </w:r>
            <w:r>
              <w:rPr>
                <w:b/>
                <w:spacing w:val="-4"/>
                <w:sz w:val="20"/>
              </w:rPr>
              <w:t xml:space="preserve"> </w:t>
            </w:r>
            <w:r>
              <w:rPr>
                <w:b/>
                <w:sz w:val="20"/>
              </w:rPr>
              <w:t>the</w:t>
            </w:r>
            <w:r>
              <w:rPr>
                <w:b/>
                <w:spacing w:val="-4"/>
                <w:sz w:val="20"/>
              </w:rPr>
              <w:t xml:space="preserve"> </w:t>
            </w:r>
            <w:r>
              <w:rPr>
                <w:b/>
                <w:sz w:val="20"/>
              </w:rPr>
              <w:t>MI</w:t>
            </w:r>
            <w:r>
              <w:rPr>
                <w:b/>
                <w:spacing w:val="-4"/>
                <w:sz w:val="20"/>
              </w:rPr>
              <w:t xml:space="preserve"> </w:t>
            </w:r>
            <w:r>
              <w:rPr>
                <w:b/>
                <w:sz w:val="20"/>
              </w:rPr>
              <w:t>framework,</w:t>
            </w:r>
            <w:r>
              <w:rPr>
                <w:b/>
                <w:spacing w:val="-5"/>
                <w:sz w:val="20"/>
              </w:rPr>
              <w:t xml:space="preserve"> </w:t>
            </w:r>
            <w:r>
              <w:rPr>
                <w:b/>
                <w:sz w:val="20"/>
              </w:rPr>
              <w:t>ambivalence</w:t>
            </w:r>
            <w:r>
              <w:rPr>
                <w:b/>
                <w:spacing w:val="-4"/>
                <w:sz w:val="20"/>
              </w:rPr>
              <w:t xml:space="preserve"> </w:t>
            </w:r>
            <w:r>
              <w:rPr>
                <w:b/>
                <w:sz w:val="20"/>
              </w:rPr>
              <w:t>about</w:t>
            </w:r>
            <w:r>
              <w:rPr>
                <w:b/>
                <w:spacing w:val="-4"/>
                <w:sz w:val="20"/>
              </w:rPr>
              <w:t xml:space="preserve"> </w:t>
            </w:r>
            <w:r>
              <w:rPr>
                <w:b/>
                <w:sz w:val="20"/>
              </w:rPr>
              <w:t>change</w:t>
            </w:r>
            <w:r>
              <w:rPr>
                <w:b/>
                <w:spacing w:val="-4"/>
                <w:sz w:val="20"/>
              </w:rPr>
              <w:t xml:space="preserve"> </w:t>
            </w:r>
            <w:r>
              <w:rPr>
                <w:b/>
                <w:sz w:val="20"/>
              </w:rPr>
              <w:t>on</w:t>
            </w:r>
            <w:r>
              <w:rPr>
                <w:b/>
                <w:spacing w:val="-3"/>
                <w:sz w:val="20"/>
              </w:rPr>
              <w:t xml:space="preserve"> </w:t>
            </w:r>
            <w:r>
              <w:rPr>
                <w:b/>
                <w:sz w:val="20"/>
              </w:rPr>
              <w:t>the</w:t>
            </w:r>
            <w:r>
              <w:rPr>
                <w:b/>
                <w:spacing w:val="-4"/>
                <w:sz w:val="20"/>
              </w:rPr>
              <w:t xml:space="preserve"> </w:t>
            </w:r>
            <w:r>
              <w:rPr>
                <w:b/>
                <w:sz w:val="20"/>
              </w:rPr>
              <w:t>part</w:t>
            </w:r>
            <w:r>
              <w:rPr>
                <w:b/>
                <w:spacing w:val="-4"/>
                <w:sz w:val="20"/>
              </w:rPr>
              <w:t xml:space="preserve"> </w:t>
            </w:r>
            <w:r>
              <w:rPr>
                <w:b/>
                <w:sz w:val="20"/>
              </w:rPr>
              <w:t>of</w:t>
            </w:r>
            <w:r>
              <w:rPr>
                <w:b/>
                <w:spacing w:val="-5"/>
                <w:sz w:val="20"/>
              </w:rPr>
              <w:t xml:space="preserve"> </w:t>
            </w:r>
            <w:r>
              <w:rPr>
                <w:b/>
                <w:sz w:val="20"/>
              </w:rPr>
              <w:t>the</w:t>
            </w:r>
            <w:r>
              <w:rPr>
                <w:b/>
                <w:spacing w:val="-5"/>
                <w:sz w:val="20"/>
              </w:rPr>
              <w:t xml:space="preserve"> </w:t>
            </w:r>
            <w:r>
              <w:rPr>
                <w:b/>
                <w:sz w:val="20"/>
              </w:rPr>
              <w:t>client</w:t>
            </w:r>
            <w:r>
              <w:rPr>
                <w:b/>
                <w:spacing w:val="-4"/>
                <w:sz w:val="20"/>
              </w:rPr>
              <w:t xml:space="preserve"> </w:t>
            </w:r>
            <w:r>
              <w:rPr>
                <w:b/>
                <w:sz w:val="20"/>
              </w:rPr>
              <w:t>is</w:t>
            </w:r>
            <w:r>
              <w:rPr>
                <w:b/>
                <w:spacing w:val="-4"/>
                <w:sz w:val="20"/>
              </w:rPr>
              <w:t xml:space="preserve"> </w:t>
            </w:r>
            <w:r>
              <w:rPr>
                <w:b/>
                <w:sz w:val="20"/>
              </w:rPr>
              <w:t>seen</w:t>
            </w:r>
            <w:r>
              <w:rPr>
                <w:b/>
                <w:spacing w:val="-3"/>
                <w:sz w:val="20"/>
              </w:rPr>
              <w:t xml:space="preserve"> </w:t>
            </w:r>
            <w:r>
              <w:rPr>
                <w:b/>
                <w:spacing w:val="-5"/>
                <w:sz w:val="20"/>
              </w:rPr>
              <w:t>as</w:t>
            </w:r>
          </w:p>
        </w:tc>
      </w:tr>
    </w:tbl>
    <w:p w14:paraId="70285343" w14:textId="77777777" w:rsidR="00DB6E1F" w:rsidRDefault="00DB6E1F">
      <w:pPr>
        <w:spacing w:line="223" w:lineRule="exact"/>
        <w:rPr>
          <w:sz w:val="20"/>
        </w:rPr>
        <w:sectPr w:rsidR="00DB6E1F">
          <w:pgSz w:w="12240" w:h="15840"/>
          <w:pgMar w:top="1200" w:right="0" w:bottom="780" w:left="0" w:header="763" w:footer="585" w:gutter="0"/>
          <w:cols w:space="720"/>
        </w:sectPr>
      </w:pPr>
    </w:p>
    <w:p w14:paraId="560F1A03"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35D492AC" w14:textId="77777777">
        <w:trPr>
          <w:trHeight w:val="12803"/>
        </w:trPr>
        <w:tc>
          <w:tcPr>
            <w:tcW w:w="9350" w:type="dxa"/>
          </w:tcPr>
          <w:p w14:paraId="1C65DBDB" w14:textId="77777777" w:rsidR="00DB6E1F" w:rsidRDefault="00F666A6">
            <w:pPr>
              <w:pStyle w:val="TableParagraph"/>
              <w:numPr>
                <w:ilvl w:val="0"/>
                <w:numId w:val="18"/>
              </w:numPr>
              <w:tabs>
                <w:tab w:val="left" w:pos="310"/>
              </w:tabs>
              <w:ind w:hanging="203"/>
              <w:rPr>
                <w:sz w:val="20"/>
              </w:rPr>
            </w:pPr>
            <w:r>
              <w:rPr>
                <w:sz w:val="20"/>
              </w:rPr>
              <w:t>normal</w:t>
            </w:r>
            <w:r>
              <w:rPr>
                <w:spacing w:val="-5"/>
                <w:sz w:val="20"/>
              </w:rPr>
              <w:t xml:space="preserve"> </w:t>
            </w:r>
            <w:r>
              <w:rPr>
                <w:sz w:val="20"/>
              </w:rPr>
              <w:t>and</w:t>
            </w:r>
            <w:r>
              <w:rPr>
                <w:spacing w:val="-4"/>
                <w:sz w:val="20"/>
              </w:rPr>
              <w:t xml:space="preserve"> </w:t>
            </w:r>
            <w:r>
              <w:rPr>
                <w:spacing w:val="-2"/>
                <w:sz w:val="20"/>
              </w:rPr>
              <w:t>useful</w:t>
            </w:r>
          </w:p>
          <w:p w14:paraId="0AB01037" w14:textId="77777777" w:rsidR="00DB6E1F" w:rsidRDefault="00F666A6">
            <w:pPr>
              <w:pStyle w:val="TableParagraph"/>
              <w:numPr>
                <w:ilvl w:val="0"/>
                <w:numId w:val="18"/>
              </w:numPr>
              <w:tabs>
                <w:tab w:val="left" w:pos="319"/>
              </w:tabs>
              <w:spacing w:line="243" w:lineRule="exact"/>
              <w:ind w:left="318" w:hanging="212"/>
              <w:rPr>
                <w:sz w:val="20"/>
              </w:rPr>
            </w:pPr>
            <w:r>
              <w:rPr>
                <w:sz w:val="20"/>
              </w:rPr>
              <w:t>a</w:t>
            </w:r>
            <w:r>
              <w:rPr>
                <w:spacing w:val="-4"/>
                <w:sz w:val="20"/>
              </w:rPr>
              <w:t xml:space="preserve"> </w:t>
            </w:r>
            <w:r>
              <w:rPr>
                <w:sz w:val="20"/>
              </w:rPr>
              <w:t>major</w:t>
            </w:r>
            <w:r>
              <w:rPr>
                <w:spacing w:val="-5"/>
                <w:sz w:val="20"/>
              </w:rPr>
              <w:t xml:space="preserve"> </w:t>
            </w:r>
            <w:r>
              <w:rPr>
                <w:sz w:val="20"/>
              </w:rPr>
              <w:t>roadblock</w:t>
            </w:r>
            <w:r>
              <w:rPr>
                <w:spacing w:val="-3"/>
                <w:sz w:val="20"/>
              </w:rPr>
              <w:t xml:space="preserve"> </w:t>
            </w:r>
            <w:r>
              <w:rPr>
                <w:sz w:val="20"/>
              </w:rPr>
              <w:t>to</w:t>
            </w:r>
            <w:r>
              <w:rPr>
                <w:spacing w:val="-5"/>
                <w:sz w:val="20"/>
              </w:rPr>
              <w:t xml:space="preserve"> </w:t>
            </w:r>
            <w:r>
              <w:rPr>
                <w:spacing w:val="-2"/>
                <w:sz w:val="20"/>
              </w:rPr>
              <w:t>change</w:t>
            </w:r>
          </w:p>
          <w:p w14:paraId="1F6AD58A" w14:textId="77777777" w:rsidR="00DB6E1F" w:rsidRDefault="00F666A6">
            <w:pPr>
              <w:pStyle w:val="TableParagraph"/>
              <w:numPr>
                <w:ilvl w:val="0"/>
                <w:numId w:val="18"/>
              </w:numPr>
              <w:tabs>
                <w:tab w:val="left" w:pos="298"/>
              </w:tabs>
              <w:spacing w:before="0" w:line="243" w:lineRule="exact"/>
              <w:ind w:left="297" w:hanging="191"/>
              <w:rPr>
                <w:sz w:val="20"/>
              </w:rPr>
            </w:pPr>
            <w:r>
              <w:rPr>
                <w:spacing w:val="-2"/>
                <w:sz w:val="20"/>
              </w:rPr>
              <w:t>pathological</w:t>
            </w:r>
          </w:p>
          <w:p w14:paraId="608ED484" w14:textId="77777777" w:rsidR="00DB6E1F" w:rsidRDefault="00F666A6">
            <w:pPr>
              <w:pStyle w:val="TableParagraph"/>
              <w:numPr>
                <w:ilvl w:val="0"/>
                <w:numId w:val="18"/>
              </w:numPr>
              <w:tabs>
                <w:tab w:val="left" w:pos="319"/>
              </w:tabs>
              <w:spacing w:before="0"/>
              <w:ind w:left="318" w:hanging="212"/>
              <w:rPr>
                <w:sz w:val="20"/>
              </w:rPr>
            </w:pPr>
            <w:r>
              <w:rPr>
                <w:spacing w:val="-2"/>
                <w:sz w:val="20"/>
              </w:rPr>
              <w:t>irrelevant</w:t>
            </w:r>
          </w:p>
          <w:p w14:paraId="627BAD6F" w14:textId="77777777" w:rsidR="00DB6E1F" w:rsidRDefault="00F666A6">
            <w:pPr>
              <w:pStyle w:val="TableParagraph"/>
              <w:spacing w:before="121"/>
              <w:rPr>
                <w:b/>
                <w:sz w:val="20"/>
              </w:rPr>
            </w:pPr>
            <w:r>
              <w:rPr>
                <w:b/>
                <w:sz w:val="20"/>
              </w:rPr>
              <w:t>9.</w:t>
            </w:r>
            <w:r>
              <w:rPr>
                <w:b/>
                <w:spacing w:val="-5"/>
                <w:sz w:val="20"/>
              </w:rPr>
              <w:t xml:space="preserve"> </w:t>
            </w:r>
            <w:r>
              <w:rPr>
                <w:b/>
                <w:sz w:val="20"/>
              </w:rPr>
              <w:t>Which</w:t>
            </w:r>
            <w:r>
              <w:rPr>
                <w:b/>
                <w:spacing w:val="-4"/>
                <w:sz w:val="20"/>
              </w:rPr>
              <w:t xml:space="preserve"> </w:t>
            </w:r>
            <w:r>
              <w:rPr>
                <w:b/>
                <w:sz w:val="20"/>
              </w:rPr>
              <w:t>of</w:t>
            </w:r>
            <w:r>
              <w:rPr>
                <w:b/>
                <w:spacing w:val="-6"/>
                <w:sz w:val="20"/>
              </w:rPr>
              <w:t xml:space="preserve"> </w:t>
            </w:r>
            <w:r>
              <w:rPr>
                <w:b/>
                <w:sz w:val="20"/>
              </w:rPr>
              <w:t>the</w:t>
            </w:r>
            <w:r>
              <w:rPr>
                <w:b/>
                <w:spacing w:val="-5"/>
                <w:sz w:val="20"/>
              </w:rPr>
              <w:t xml:space="preserve"> </w:t>
            </w:r>
            <w:r>
              <w:rPr>
                <w:b/>
                <w:sz w:val="20"/>
              </w:rPr>
              <w:t>following</w:t>
            </w:r>
            <w:r>
              <w:rPr>
                <w:b/>
                <w:spacing w:val="-6"/>
                <w:sz w:val="20"/>
              </w:rPr>
              <w:t xml:space="preserve"> </w:t>
            </w:r>
            <w:r>
              <w:rPr>
                <w:b/>
                <w:sz w:val="20"/>
              </w:rPr>
              <w:t>therapist</w:t>
            </w:r>
            <w:r>
              <w:rPr>
                <w:b/>
                <w:spacing w:val="-5"/>
                <w:sz w:val="20"/>
              </w:rPr>
              <w:t xml:space="preserve"> </w:t>
            </w:r>
            <w:r>
              <w:rPr>
                <w:b/>
                <w:sz w:val="20"/>
              </w:rPr>
              <w:t>behaviors</w:t>
            </w:r>
            <w:r>
              <w:rPr>
                <w:b/>
                <w:spacing w:val="-4"/>
                <w:sz w:val="20"/>
              </w:rPr>
              <w:t xml:space="preserve"> </w:t>
            </w:r>
            <w:r>
              <w:rPr>
                <w:b/>
                <w:sz w:val="20"/>
              </w:rPr>
              <w:t>is</w:t>
            </w:r>
            <w:r>
              <w:rPr>
                <w:b/>
                <w:spacing w:val="-5"/>
                <w:sz w:val="20"/>
              </w:rPr>
              <w:t xml:space="preserve"> </w:t>
            </w:r>
            <w:r>
              <w:rPr>
                <w:b/>
                <w:sz w:val="20"/>
              </w:rPr>
              <w:t>NOT</w:t>
            </w:r>
            <w:r>
              <w:rPr>
                <w:b/>
                <w:spacing w:val="-5"/>
                <w:sz w:val="20"/>
              </w:rPr>
              <w:t xml:space="preserve"> </w:t>
            </w:r>
            <w:r>
              <w:rPr>
                <w:b/>
                <w:sz w:val="20"/>
              </w:rPr>
              <w:t>a</w:t>
            </w:r>
            <w:r>
              <w:rPr>
                <w:b/>
                <w:spacing w:val="-5"/>
                <w:sz w:val="20"/>
              </w:rPr>
              <w:t xml:space="preserve"> </w:t>
            </w:r>
            <w:r>
              <w:rPr>
                <w:b/>
                <w:sz w:val="20"/>
              </w:rPr>
              <w:t>roadblock</w:t>
            </w:r>
            <w:r>
              <w:rPr>
                <w:b/>
                <w:spacing w:val="-5"/>
                <w:sz w:val="20"/>
              </w:rPr>
              <w:t xml:space="preserve"> </w:t>
            </w:r>
            <w:r>
              <w:rPr>
                <w:b/>
                <w:sz w:val="20"/>
              </w:rPr>
              <w:t>to</w:t>
            </w:r>
            <w:r>
              <w:rPr>
                <w:b/>
                <w:spacing w:val="-4"/>
                <w:sz w:val="20"/>
              </w:rPr>
              <w:t xml:space="preserve"> </w:t>
            </w:r>
            <w:r>
              <w:rPr>
                <w:b/>
                <w:sz w:val="20"/>
              </w:rPr>
              <w:t>a</w:t>
            </w:r>
            <w:r>
              <w:rPr>
                <w:b/>
                <w:spacing w:val="-5"/>
                <w:sz w:val="20"/>
              </w:rPr>
              <w:t xml:space="preserve"> </w:t>
            </w:r>
            <w:r>
              <w:rPr>
                <w:b/>
                <w:sz w:val="20"/>
              </w:rPr>
              <w:t>client’s</w:t>
            </w:r>
            <w:r>
              <w:rPr>
                <w:b/>
                <w:spacing w:val="-5"/>
                <w:sz w:val="20"/>
              </w:rPr>
              <w:t xml:space="preserve"> </w:t>
            </w:r>
            <w:r>
              <w:rPr>
                <w:b/>
                <w:sz w:val="20"/>
              </w:rPr>
              <w:t>self-</w:t>
            </w:r>
            <w:r>
              <w:rPr>
                <w:b/>
                <w:spacing w:val="-2"/>
                <w:sz w:val="20"/>
              </w:rPr>
              <w:t>expression</w:t>
            </w:r>
          </w:p>
          <w:p w14:paraId="3DB9613A" w14:textId="77777777" w:rsidR="00DB6E1F" w:rsidRDefault="00F666A6">
            <w:pPr>
              <w:pStyle w:val="TableParagraph"/>
              <w:numPr>
                <w:ilvl w:val="0"/>
                <w:numId w:val="17"/>
              </w:numPr>
              <w:tabs>
                <w:tab w:val="left" w:pos="310"/>
              </w:tabs>
              <w:spacing w:line="243" w:lineRule="exact"/>
              <w:ind w:hanging="203"/>
              <w:rPr>
                <w:sz w:val="20"/>
              </w:rPr>
            </w:pPr>
            <w:r>
              <w:rPr>
                <w:sz w:val="20"/>
              </w:rPr>
              <w:t>interpreting</w:t>
            </w:r>
            <w:r>
              <w:rPr>
                <w:spacing w:val="-8"/>
                <w:sz w:val="20"/>
              </w:rPr>
              <w:t xml:space="preserve"> </w:t>
            </w:r>
            <w:r>
              <w:rPr>
                <w:sz w:val="20"/>
              </w:rPr>
              <w:t>or</w:t>
            </w:r>
            <w:r>
              <w:rPr>
                <w:spacing w:val="-8"/>
                <w:sz w:val="20"/>
              </w:rPr>
              <w:t xml:space="preserve"> </w:t>
            </w:r>
            <w:r>
              <w:rPr>
                <w:spacing w:val="-2"/>
                <w:sz w:val="20"/>
              </w:rPr>
              <w:t>analyzing</w:t>
            </w:r>
          </w:p>
          <w:p w14:paraId="0BD3C91D" w14:textId="77777777" w:rsidR="00DB6E1F" w:rsidRDefault="00F666A6">
            <w:pPr>
              <w:pStyle w:val="TableParagraph"/>
              <w:numPr>
                <w:ilvl w:val="0"/>
                <w:numId w:val="17"/>
              </w:numPr>
              <w:tabs>
                <w:tab w:val="left" w:pos="319"/>
              </w:tabs>
              <w:spacing w:before="0" w:line="243" w:lineRule="exact"/>
              <w:ind w:left="318" w:hanging="212"/>
              <w:rPr>
                <w:sz w:val="20"/>
              </w:rPr>
            </w:pPr>
            <w:r>
              <w:rPr>
                <w:spacing w:val="-2"/>
                <w:sz w:val="20"/>
              </w:rPr>
              <w:t>warning</w:t>
            </w:r>
          </w:p>
          <w:p w14:paraId="56D7053F" w14:textId="77777777" w:rsidR="00DB6E1F" w:rsidRDefault="00F666A6">
            <w:pPr>
              <w:pStyle w:val="TableParagraph"/>
              <w:numPr>
                <w:ilvl w:val="0"/>
                <w:numId w:val="17"/>
              </w:numPr>
              <w:tabs>
                <w:tab w:val="left" w:pos="298"/>
              </w:tabs>
              <w:spacing w:before="0"/>
              <w:ind w:left="297" w:hanging="191"/>
              <w:rPr>
                <w:sz w:val="20"/>
              </w:rPr>
            </w:pPr>
            <w:r>
              <w:rPr>
                <w:spacing w:val="-2"/>
                <w:sz w:val="20"/>
              </w:rPr>
              <w:t>reflecting</w:t>
            </w:r>
          </w:p>
          <w:p w14:paraId="11F12612" w14:textId="77777777" w:rsidR="00DB6E1F" w:rsidRDefault="00F666A6">
            <w:pPr>
              <w:pStyle w:val="TableParagraph"/>
              <w:numPr>
                <w:ilvl w:val="0"/>
                <w:numId w:val="17"/>
              </w:numPr>
              <w:tabs>
                <w:tab w:val="left" w:pos="319"/>
              </w:tabs>
              <w:ind w:left="319" w:hanging="212"/>
              <w:rPr>
                <w:sz w:val="20"/>
              </w:rPr>
            </w:pPr>
            <w:r>
              <w:rPr>
                <w:sz w:val="20"/>
              </w:rPr>
              <w:t>reassuring,</w:t>
            </w:r>
            <w:r>
              <w:rPr>
                <w:spacing w:val="-10"/>
                <w:sz w:val="20"/>
              </w:rPr>
              <w:t xml:space="preserve"> </w:t>
            </w:r>
            <w:r>
              <w:rPr>
                <w:sz w:val="20"/>
              </w:rPr>
              <w:t>sympathizing,</w:t>
            </w:r>
            <w:r>
              <w:rPr>
                <w:spacing w:val="-9"/>
                <w:sz w:val="20"/>
              </w:rPr>
              <w:t xml:space="preserve"> </w:t>
            </w:r>
            <w:r>
              <w:rPr>
                <w:sz w:val="20"/>
              </w:rPr>
              <w:t>or</w:t>
            </w:r>
            <w:r>
              <w:rPr>
                <w:spacing w:val="-9"/>
                <w:sz w:val="20"/>
              </w:rPr>
              <w:t xml:space="preserve"> </w:t>
            </w:r>
            <w:r>
              <w:rPr>
                <w:spacing w:val="-2"/>
                <w:sz w:val="20"/>
              </w:rPr>
              <w:t>consoling</w:t>
            </w:r>
          </w:p>
          <w:p w14:paraId="6B4E2E65" w14:textId="77777777" w:rsidR="00DB6E1F" w:rsidRDefault="00F666A6">
            <w:pPr>
              <w:pStyle w:val="TableParagraph"/>
              <w:spacing w:before="118"/>
              <w:rPr>
                <w:b/>
                <w:sz w:val="20"/>
              </w:rPr>
            </w:pPr>
            <w:r>
              <w:rPr>
                <w:b/>
                <w:sz w:val="20"/>
              </w:rPr>
              <w:t>10.</w:t>
            </w:r>
            <w:r>
              <w:rPr>
                <w:b/>
                <w:spacing w:val="-7"/>
                <w:sz w:val="20"/>
              </w:rPr>
              <w:t xml:space="preserve"> </w:t>
            </w:r>
            <w:r>
              <w:rPr>
                <w:b/>
                <w:sz w:val="20"/>
              </w:rPr>
              <w:t>Within</w:t>
            </w:r>
            <w:r>
              <w:rPr>
                <w:b/>
                <w:spacing w:val="-4"/>
                <w:sz w:val="20"/>
              </w:rPr>
              <w:t xml:space="preserve"> </w:t>
            </w:r>
            <w:r>
              <w:rPr>
                <w:b/>
                <w:sz w:val="20"/>
              </w:rPr>
              <w:t>the</w:t>
            </w:r>
            <w:r>
              <w:rPr>
                <w:b/>
                <w:spacing w:val="-5"/>
                <w:sz w:val="20"/>
              </w:rPr>
              <w:t xml:space="preserve"> </w:t>
            </w:r>
            <w:r>
              <w:rPr>
                <w:b/>
                <w:sz w:val="20"/>
              </w:rPr>
              <w:t>MI</w:t>
            </w:r>
            <w:r>
              <w:rPr>
                <w:b/>
                <w:spacing w:val="-6"/>
                <w:sz w:val="20"/>
              </w:rPr>
              <w:t xml:space="preserve"> </w:t>
            </w:r>
            <w:r>
              <w:rPr>
                <w:b/>
                <w:sz w:val="20"/>
              </w:rPr>
              <w:t>framework,</w:t>
            </w:r>
            <w:r>
              <w:rPr>
                <w:b/>
                <w:spacing w:val="-6"/>
                <w:sz w:val="20"/>
              </w:rPr>
              <w:t xml:space="preserve"> </w:t>
            </w:r>
            <w:r>
              <w:rPr>
                <w:b/>
                <w:sz w:val="20"/>
              </w:rPr>
              <w:t>individual</w:t>
            </w:r>
            <w:r>
              <w:rPr>
                <w:b/>
                <w:spacing w:val="-6"/>
                <w:sz w:val="20"/>
              </w:rPr>
              <w:t xml:space="preserve"> </w:t>
            </w:r>
            <w:r>
              <w:rPr>
                <w:b/>
                <w:sz w:val="20"/>
              </w:rPr>
              <w:t>client</w:t>
            </w:r>
            <w:r>
              <w:rPr>
                <w:b/>
                <w:spacing w:val="-5"/>
                <w:sz w:val="20"/>
              </w:rPr>
              <w:t xml:space="preserve"> </w:t>
            </w:r>
            <w:r>
              <w:rPr>
                <w:b/>
                <w:sz w:val="20"/>
              </w:rPr>
              <w:t>assessment</w:t>
            </w:r>
            <w:r>
              <w:rPr>
                <w:b/>
                <w:spacing w:val="-5"/>
                <w:sz w:val="20"/>
              </w:rPr>
              <w:t xml:space="preserve"> </w:t>
            </w:r>
            <w:r>
              <w:rPr>
                <w:b/>
                <w:sz w:val="20"/>
              </w:rPr>
              <w:t>is</w:t>
            </w:r>
            <w:r>
              <w:rPr>
                <w:b/>
                <w:spacing w:val="-6"/>
                <w:sz w:val="20"/>
              </w:rPr>
              <w:t xml:space="preserve"> </w:t>
            </w:r>
            <w:r>
              <w:rPr>
                <w:b/>
                <w:sz w:val="20"/>
              </w:rPr>
              <w:t>seen</w:t>
            </w:r>
            <w:r>
              <w:rPr>
                <w:b/>
                <w:spacing w:val="-4"/>
                <w:sz w:val="20"/>
              </w:rPr>
              <w:t xml:space="preserve"> </w:t>
            </w:r>
            <w:r>
              <w:rPr>
                <w:b/>
                <w:spacing w:val="-5"/>
                <w:sz w:val="20"/>
              </w:rPr>
              <w:t>as</w:t>
            </w:r>
          </w:p>
          <w:p w14:paraId="3156B8D3" w14:textId="77777777" w:rsidR="00DB6E1F" w:rsidRDefault="00F666A6">
            <w:pPr>
              <w:pStyle w:val="TableParagraph"/>
              <w:numPr>
                <w:ilvl w:val="0"/>
                <w:numId w:val="16"/>
              </w:numPr>
              <w:tabs>
                <w:tab w:val="left" w:pos="310"/>
              </w:tabs>
              <w:ind w:hanging="203"/>
              <w:rPr>
                <w:sz w:val="20"/>
              </w:rPr>
            </w:pPr>
            <w:r>
              <w:rPr>
                <w:sz w:val="20"/>
              </w:rPr>
              <w:t>a</w:t>
            </w:r>
            <w:r>
              <w:rPr>
                <w:spacing w:val="-6"/>
                <w:sz w:val="20"/>
              </w:rPr>
              <w:t xml:space="preserve"> </w:t>
            </w:r>
            <w:r>
              <w:rPr>
                <w:sz w:val="20"/>
              </w:rPr>
              <w:t>stumbling</w:t>
            </w:r>
            <w:r>
              <w:rPr>
                <w:spacing w:val="-5"/>
                <w:sz w:val="20"/>
              </w:rPr>
              <w:t xml:space="preserve"> </w:t>
            </w:r>
            <w:r>
              <w:rPr>
                <w:sz w:val="20"/>
              </w:rPr>
              <w:t>block</w:t>
            </w:r>
            <w:r>
              <w:rPr>
                <w:spacing w:val="-5"/>
                <w:sz w:val="20"/>
              </w:rPr>
              <w:t xml:space="preserve"> </w:t>
            </w:r>
            <w:r>
              <w:rPr>
                <w:sz w:val="20"/>
              </w:rPr>
              <w:t>to</w:t>
            </w:r>
            <w:r>
              <w:rPr>
                <w:spacing w:val="-6"/>
                <w:sz w:val="20"/>
              </w:rPr>
              <w:t xml:space="preserve"> </w:t>
            </w:r>
            <w:r>
              <w:rPr>
                <w:spacing w:val="-2"/>
                <w:sz w:val="20"/>
              </w:rPr>
              <w:t>change</w:t>
            </w:r>
          </w:p>
          <w:p w14:paraId="66FD524A" w14:textId="77777777" w:rsidR="00DB6E1F" w:rsidRDefault="00F666A6">
            <w:pPr>
              <w:pStyle w:val="TableParagraph"/>
              <w:numPr>
                <w:ilvl w:val="0"/>
                <w:numId w:val="16"/>
              </w:numPr>
              <w:tabs>
                <w:tab w:val="left" w:pos="320"/>
              </w:tabs>
              <w:ind w:left="319" w:hanging="213"/>
              <w:rPr>
                <w:sz w:val="20"/>
              </w:rPr>
            </w:pPr>
            <w:r>
              <w:rPr>
                <w:sz w:val="20"/>
              </w:rPr>
              <w:t>an</w:t>
            </w:r>
            <w:r>
              <w:rPr>
                <w:spacing w:val="-7"/>
                <w:sz w:val="20"/>
              </w:rPr>
              <w:t xml:space="preserve"> </w:t>
            </w:r>
            <w:r>
              <w:rPr>
                <w:sz w:val="20"/>
              </w:rPr>
              <w:t>unnecessary</w:t>
            </w:r>
            <w:r>
              <w:rPr>
                <w:spacing w:val="-6"/>
                <w:sz w:val="20"/>
              </w:rPr>
              <w:t xml:space="preserve"> </w:t>
            </w:r>
            <w:r>
              <w:rPr>
                <w:sz w:val="20"/>
              </w:rPr>
              <w:t>distraction</w:t>
            </w:r>
            <w:r>
              <w:rPr>
                <w:spacing w:val="-4"/>
                <w:sz w:val="20"/>
              </w:rPr>
              <w:t xml:space="preserve"> </w:t>
            </w:r>
            <w:r>
              <w:rPr>
                <w:sz w:val="20"/>
              </w:rPr>
              <w:t>since</w:t>
            </w:r>
            <w:r>
              <w:rPr>
                <w:spacing w:val="-8"/>
                <w:sz w:val="20"/>
              </w:rPr>
              <w:t xml:space="preserve"> </w:t>
            </w:r>
            <w:r>
              <w:rPr>
                <w:sz w:val="20"/>
              </w:rPr>
              <w:t>the</w:t>
            </w:r>
            <w:r>
              <w:rPr>
                <w:spacing w:val="-8"/>
                <w:sz w:val="20"/>
              </w:rPr>
              <w:t xml:space="preserve"> </w:t>
            </w:r>
            <w:r>
              <w:rPr>
                <w:sz w:val="20"/>
              </w:rPr>
              <w:t>only</w:t>
            </w:r>
            <w:r>
              <w:rPr>
                <w:spacing w:val="-6"/>
                <w:sz w:val="20"/>
              </w:rPr>
              <w:t xml:space="preserve"> </w:t>
            </w:r>
            <w:r>
              <w:rPr>
                <w:sz w:val="20"/>
              </w:rPr>
              <w:t>effective</w:t>
            </w:r>
            <w:r>
              <w:rPr>
                <w:spacing w:val="-8"/>
                <w:sz w:val="20"/>
              </w:rPr>
              <w:t xml:space="preserve"> </w:t>
            </w:r>
            <w:r>
              <w:rPr>
                <w:sz w:val="20"/>
              </w:rPr>
              <w:t>treatment</w:t>
            </w:r>
            <w:r>
              <w:rPr>
                <w:spacing w:val="-7"/>
                <w:sz w:val="20"/>
              </w:rPr>
              <w:t xml:space="preserve"> </w:t>
            </w:r>
            <w:r>
              <w:rPr>
                <w:sz w:val="20"/>
              </w:rPr>
              <w:t>is</w:t>
            </w:r>
            <w:r>
              <w:rPr>
                <w:spacing w:val="-8"/>
                <w:sz w:val="20"/>
              </w:rPr>
              <w:t xml:space="preserve"> </w:t>
            </w:r>
            <w:r>
              <w:rPr>
                <w:sz w:val="20"/>
              </w:rPr>
              <w:t>already</w:t>
            </w:r>
            <w:r>
              <w:rPr>
                <w:spacing w:val="-6"/>
                <w:sz w:val="20"/>
              </w:rPr>
              <w:t xml:space="preserve"> </w:t>
            </w:r>
            <w:r>
              <w:rPr>
                <w:spacing w:val="-2"/>
                <w:sz w:val="20"/>
              </w:rPr>
              <w:t>known</w:t>
            </w:r>
          </w:p>
          <w:p w14:paraId="1F4AC058" w14:textId="77777777" w:rsidR="00DB6E1F" w:rsidRDefault="00F666A6">
            <w:pPr>
              <w:pStyle w:val="TableParagraph"/>
              <w:numPr>
                <w:ilvl w:val="0"/>
                <w:numId w:val="16"/>
              </w:numPr>
              <w:tabs>
                <w:tab w:val="left" w:pos="298"/>
              </w:tabs>
              <w:spacing w:before="0"/>
              <w:ind w:left="297" w:hanging="191"/>
              <w:rPr>
                <w:sz w:val="20"/>
              </w:rPr>
            </w:pPr>
            <w:r>
              <w:rPr>
                <w:sz w:val="20"/>
              </w:rPr>
              <w:t>a</w:t>
            </w:r>
            <w:r>
              <w:rPr>
                <w:spacing w:val="-5"/>
                <w:sz w:val="20"/>
              </w:rPr>
              <w:t xml:space="preserve"> </w:t>
            </w:r>
            <w:r>
              <w:rPr>
                <w:sz w:val="20"/>
              </w:rPr>
              <w:t>vital</w:t>
            </w:r>
            <w:r>
              <w:rPr>
                <w:spacing w:val="-5"/>
                <w:sz w:val="20"/>
              </w:rPr>
              <w:t xml:space="preserve"> </w:t>
            </w:r>
            <w:r>
              <w:rPr>
                <w:sz w:val="20"/>
              </w:rPr>
              <w:t>part</w:t>
            </w:r>
            <w:r>
              <w:rPr>
                <w:spacing w:val="-5"/>
                <w:sz w:val="20"/>
              </w:rPr>
              <w:t xml:space="preserve"> </w:t>
            </w:r>
            <w:r>
              <w:rPr>
                <w:sz w:val="20"/>
              </w:rPr>
              <w:t>of</w:t>
            </w:r>
            <w:r>
              <w:rPr>
                <w:spacing w:val="-6"/>
                <w:sz w:val="20"/>
              </w:rPr>
              <w:t xml:space="preserve"> </w:t>
            </w:r>
            <w:r>
              <w:rPr>
                <w:sz w:val="20"/>
              </w:rPr>
              <w:t>determining</w:t>
            </w:r>
            <w:r>
              <w:rPr>
                <w:spacing w:val="-5"/>
                <w:sz w:val="20"/>
              </w:rPr>
              <w:t xml:space="preserve"> </w:t>
            </w:r>
            <w:r>
              <w:rPr>
                <w:sz w:val="20"/>
              </w:rPr>
              <w:t>a</w:t>
            </w:r>
            <w:r>
              <w:rPr>
                <w:spacing w:val="-3"/>
                <w:sz w:val="20"/>
              </w:rPr>
              <w:t xml:space="preserve"> </w:t>
            </w:r>
            <w:r>
              <w:rPr>
                <w:sz w:val="20"/>
              </w:rPr>
              <w:t>client’s</w:t>
            </w:r>
            <w:r>
              <w:rPr>
                <w:spacing w:val="-6"/>
                <w:sz w:val="20"/>
              </w:rPr>
              <w:t xml:space="preserve"> </w:t>
            </w:r>
            <w:r>
              <w:rPr>
                <w:spacing w:val="-4"/>
                <w:sz w:val="20"/>
              </w:rPr>
              <w:t>needs</w:t>
            </w:r>
          </w:p>
          <w:p w14:paraId="11C1B32F" w14:textId="77777777" w:rsidR="00DB6E1F" w:rsidRDefault="00F666A6">
            <w:pPr>
              <w:pStyle w:val="TableParagraph"/>
              <w:numPr>
                <w:ilvl w:val="0"/>
                <w:numId w:val="16"/>
              </w:numPr>
              <w:tabs>
                <w:tab w:val="left" w:pos="320"/>
              </w:tabs>
              <w:ind w:left="319" w:hanging="213"/>
              <w:rPr>
                <w:sz w:val="20"/>
              </w:rPr>
            </w:pPr>
            <w:r>
              <w:rPr>
                <w:sz w:val="20"/>
              </w:rPr>
              <w:t>a</w:t>
            </w:r>
            <w:r>
              <w:rPr>
                <w:spacing w:val="-8"/>
                <w:sz w:val="20"/>
              </w:rPr>
              <w:t xml:space="preserve"> </w:t>
            </w:r>
            <w:r>
              <w:rPr>
                <w:sz w:val="20"/>
              </w:rPr>
              <w:t>dehumanizing</w:t>
            </w:r>
            <w:r>
              <w:rPr>
                <w:spacing w:val="-8"/>
                <w:sz w:val="20"/>
              </w:rPr>
              <w:t xml:space="preserve"> </w:t>
            </w:r>
            <w:r>
              <w:rPr>
                <w:sz w:val="20"/>
              </w:rPr>
              <w:t>and</w:t>
            </w:r>
            <w:r>
              <w:rPr>
                <w:spacing w:val="-8"/>
                <w:sz w:val="20"/>
              </w:rPr>
              <w:t xml:space="preserve"> </w:t>
            </w:r>
            <w:r>
              <w:rPr>
                <w:sz w:val="20"/>
              </w:rPr>
              <w:t>authoritarian</w:t>
            </w:r>
            <w:r>
              <w:rPr>
                <w:spacing w:val="-8"/>
                <w:sz w:val="20"/>
              </w:rPr>
              <w:t xml:space="preserve"> </w:t>
            </w:r>
            <w:r>
              <w:rPr>
                <w:spacing w:val="-2"/>
                <w:sz w:val="20"/>
              </w:rPr>
              <w:t>exercise</w:t>
            </w:r>
          </w:p>
          <w:p w14:paraId="4F03C2ED" w14:textId="77777777" w:rsidR="00DB6E1F" w:rsidRDefault="00F666A6">
            <w:pPr>
              <w:pStyle w:val="TableParagraph"/>
              <w:spacing w:before="118"/>
              <w:rPr>
                <w:b/>
                <w:sz w:val="20"/>
              </w:rPr>
            </w:pPr>
            <w:r>
              <w:rPr>
                <w:b/>
                <w:sz w:val="20"/>
              </w:rPr>
              <w:t>11.</w:t>
            </w:r>
            <w:r>
              <w:rPr>
                <w:b/>
                <w:spacing w:val="-6"/>
                <w:sz w:val="20"/>
              </w:rPr>
              <w:t xml:space="preserve"> </w:t>
            </w:r>
            <w:r>
              <w:rPr>
                <w:b/>
                <w:sz w:val="20"/>
              </w:rPr>
              <w:t>Which</w:t>
            </w:r>
            <w:r>
              <w:rPr>
                <w:b/>
                <w:spacing w:val="-5"/>
                <w:sz w:val="20"/>
              </w:rPr>
              <w:t xml:space="preserve"> </w:t>
            </w:r>
            <w:r>
              <w:rPr>
                <w:b/>
                <w:sz w:val="20"/>
              </w:rPr>
              <w:t>of</w:t>
            </w:r>
            <w:r>
              <w:rPr>
                <w:b/>
                <w:spacing w:val="-6"/>
                <w:sz w:val="20"/>
              </w:rPr>
              <w:t xml:space="preserve"> </w:t>
            </w:r>
            <w:r>
              <w:rPr>
                <w:b/>
                <w:sz w:val="20"/>
              </w:rPr>
              <w:t>the</w:t>
            </w:r>
            <w:r>
              <w:rPr>
                <w:b/>
                <w:spacing w:val="-5"/>
                <w:sz w:val="20"/>
              </w:rPr>
              <w:t xml:space="preserve"> </w:t>
            </w:r>
            <w:r>
              <w:rPr>
                <w:b/>
                <w:sz w:val="20"/>
              </w:rPr>
              <w:t>following</w:t>
            </w:r>
            <w:r>
              <w:rPr>
                <w:b/>
                <w:spacing w:val="-6"/>
                <w:sz w:val="20"/>
              </w:rPr>
              <w:t xml:space="preserve"> </w:t>
            </w:r>
            <w:r>
              <w:rPr>
                <w:b/>
                <w:sz w:val="20"/>
              </w:rPr>
              <w:t>is</w:t>
            </w:r>
            <w:r>
              <w:rPr>
                <w:b/>
                <w:spacing w:val="-3"/>
                <w:sz w:val="20"/>
              </w:rPr>
              <w:t xml:space="preserve"> </w:t>
            </w:r>
            <w:r>
              <w:rPr>
                <w:b/>
                <w:sz w:val="20"/>
              </w:rPr>
              <w:t>NOT</w:t>
            </w:r>
            <w:r>
              <w:rPr>
                <w:b/>
                <w:spacing w:val="-5"/>
                <w:sz w:val="20"/>
              </w:rPr>
              <w:t xml:space="preserve"> </w:t>
            </w:r>
            <w:r>
              <w:rPr>
                <w:b/>
                <w:sz w:val="20"/>
              </w:rPr>
              <w:t>an</w:t>
            </w:r>
            <w:r>
              <w:rPr>
                <w:b/>
                <w:spacing w:val="-4"/>
                <w:sz w:val="20"/>
              </w:rPr>
              <w:t xml:space="preserve"> </w:t>
            </w:r>
            <w:r>
              <w:rPr>
                <w:b/>
                <w:sz w:val="20"/>
              </w:rPr>
              <w:t>MI-consistent</w:t>
            </w:r>
            <w:r>
              <w:rPr>
                <w:b/>
                <w:spacing w:val="-5"/>
                <w:sz w:val="20"/>
              </w:rPr>
              <w:t xml:space="preserve"> </w:t>
            </w:r>
            <w:r>
              <w:rPr>
                <w:b/>
                <w:sz w:val="20"/>
              </w:rPr>
              <w:t>strategy</w:t>
            </w:r>
            <w:r>
              <w:rPr>
                <w:b/>
                <w:spacing w:val="-6"/>
                <w:sz w:val="20"/>
              </w:rPr>
              <w:t xml:space="preserve"> </w:t>
            </w:r>
            <w:r>
              <w:rPr>
                <w:b/>
                <w:sz w:val="20"/>
              </w:rPr>
              <w:t>for</w:t>
            </w:r>
            <w:r>
              <w:rPr>
                <w:b/>
                <w:spacing w:val="-4"/>
                <w:sz w:val="20"/>
              </w:rPr>
              <w:t xml:space="preserve"> </w:t>
            </w:r>
            <w:r>
              <w:rPr>
                <w:b/>
                <w:sz w:val="20"/>
              </w:rPr>
              <w:t>handling</w:t>
            </w:r>
            <w:r>
              <w:rPr>
                <w:b/>
                <w:spacing w:val="-6"/>
                <w:sz w:val="20"/>
              </w:rPr>
              <w:t xml:space="preserve"> </w:t>
            </w:r>
            <w:r>
              <w:rPr>
                <w:b/>
                <w:spacing w:val="-2"/>
                <w:sz w:val="20"/>
              </w:rPr>
              <w:t>resistance?</w:t>
            </w:r>
          </w:p>
          <w:p w14:paraId="5E59E86B" w14:textId="77777777" w:rsidR="00DB6E1F" w:rsidRDefault="00F666A6">
            <w:pPr>
              <w:pStyle w:val="TableParagraph"/>
              <w:numPr>
                <w:ilvl w:val="0"/>
                <w:numId w:val="15"/>
              </w:numPr>
              <w:tabs>
                <w:tab w:val="left" w:pos="310"/>
              </w:tabs>
              <w:spacing w:line="243" w:lineRule="exact"/>
              <w:ind w:hanging="203"/>
              <w:rPr>
                <w:sz w:val="20"/>
              </w:rPr>
            </w:pPr>
            <w:r>
              <w:rPr>
                <w:sz w:val="20"/>
              </w:rPr>
              <w:t>simple</w:t>
            </w:r>
            <w:r>
              <w:rPr>
                <w:spacing w:val="-9"/>
                <w:sz w:val="20"/>
              </w:rPr>
              <w:t xml:space="preserve"> </w:t>
            </w:r>
            <w:r>
              <w:rPr>
                <w:spacing w:val="-2"/>
                <w:sz w:val="20"/>
              </w:rPr>
              <w:t>reflection</w:t>
            </w:r>
          </w:p>
          <w:p w14:paraId="3A364769" w14:textId="77777777" w:rsidR="00DB6E1F" w:rsidRDefault="00F666A6">
            <w:pPr>
              <w:pStyle w:val="TableParagraph"/>
              <w:numPr>
                <w:ilvl w:val="0"/>
                <w:numId w:val="15"/>
              </w:numPr>
              <w:tabs>
                <w:tab w:val="left" w:pos="320"/>
              </w:tabs>
              <w:spacing w:before="0" w:line="243" w:lineRule="exact"/>
              <w:ind w:left="319" w:hanging="213"/>
              <w:rPr>
                <w:sz w:val="20"/>
              </w:rPr>
            </w:pPr>
            <w:r>
              <w:rPr>
                <w:spacing w:val="-2"/>
                <w:sz w:val="20"/>
              </w:rPr>
              <w:t>amplified</w:t>
            </w:r>
            <w:r>
              <w:rPr>
                <w:spacing w:val="5"/>
                <w:sz w:val="20"/>
              </w:rPr>
              <w:t xml:space="preserve"> </w:t>
            </w:r>
            <w:r>
              <w:rPr>
                <w:spacing w:val="-2"/>
                <w:sz w:val="20"/>
              </w:rPr>
              <w:t>reflection</w:t>
            </w:r>
          </w:p>
          <w:p w14:paraId="4F5E4842" w14:textId="77777777" w:rsidR="00DB6E1F" w:rsidRDefault="00F666A6">
            <w:pPr>
              <w:pStyle w:val="TableParagraph"/>
              <w:numPr>
                <w:ilvl w:val="0"/>
                <w:numId w:val="15"/>
              </w:numPr>
              <w:tabs>
                <w:tab w:val="left" w:pos="298"/>
              </w:tabs>
              <w:spacing w:before="0"/>
              <w:ind w:left="297" w:hanging="191"/>
              <w:rPr>
                <w:sz w:val="20"/>
              </w:rPr>
            </w:pPr>
            <w:r>
              <w:rPr>
                <w:spacing w:val="-2"/>
                <w:sz w:val="20"/>
              </w:rPr>
              <w:t>argument</w:t>
            </w:r>
          </w:p>
          <w:p w14:paraId="6F06DFE5" w14:textId="77777777" w:rsidR="00DB6E1F" w:rsidRDefault="00F666A6">
            <w:pPr>
              <w:pStyle w:val="TableParagraph"/>
              <w:numPr>
                <w:ilvl w:val="0"/>
                <w:numId w:val="15"/>
              </w:numPr>
              <w:tabs>
                <w:tab w:val="left" w:pos="319"/>
              </w:tabs>
              <w:ind w:left="318" w:hanging="212"/>
              <w:rPr>
                <w:sz w:val="20"/>
              </w:rPr>
            </w:pPr>
            <w:r>
              <w:rPr>
                <w:spacing w:val="-2"/>
                <w:sz w:val="20"/>
              </w:rPr>
              <w:t>reframe</w:t>
            </w:r>
          </w:p>
          <w:p w14:paraId="75C83ED0" w14:textId="77777777" w:rsidR="00DB6E1F" w:rsidRDefault="00F666A6">
            <w:pPr>
              <w:pStyle w:val="TableParagraph"/>
              <w:numPr>
                <w:ilvl w:val="0"/>
                <w:numId w:val="15"/>
              </w:numPr>
              <w:tabs>
                <w:tab w:val="left" w:pos="312"/>
              </w:tabs>
              <w:ind w:left="311" w:hanging="205"/>
              <w:rPr>
                <w:sz w:val="20"/>
              </w:rPr>
            </w:pPr>
            <w:r>
              <w:rPr>
                <w:sz w:val="20"/>
              </w:rPr>
              <w:t>emphasizing</w:t>
            </w:r>
            <w:r>
              <w:rPr>
                <w:spacing w:val="-11"/>
                <w:sz w:val="20"/>
              </w:rPr>
              <w:t xml:space="preserve"> </w:t>
            </w:r>
            <w:r>
              <w:rPr>
                <w:sz w:val="20"/>
              </w:rPr>
              <w:t>personal</w:t>
            </w:r>
            <w:r>
              <w:rPr>
                <w:spacing w:val="-11"/>
                <w:sz w:val="20"/>
              </w:rPr>
              <w:t xml:space="preserve"> </w:t>
            </w:r>
            <w:r>
              <w:rPr>
                <w:spacing w:val="-2"/>
                <w:sz w:val="20"/>
              </w:rPr>
              <w:t>control</w:t>
            </w:r>
          </w:p>
          <w:p w14:paraId="1E1E9DB0" w14:textId="77777777" w:rsidR="00DB6E1F" w:rsidRDefault="00F666A6">
            <w:pPr>
              <w:pStyle w:val="TableParagraph"/>
              <w:spacing w:before="118"/>
              <w:rPr>
                <w:b/>
                <w:sz w:val="20"/>
              </w:rPr>
            </w:pPr>
            <w:r>
              <w:rPr>
                <w:b/>
                <w:sz w:val="20"/>
              </w:rPr>
              <w:t>Please</w:t>
            </w:r>
            <w:r>
              <w:rPr>
                <w:b/>
                <w:spacing w:val="-6"/>
                <w:sz w:val="20"/>
              </w:rPr>
              <w:t xml:space="preserve"> </w:t>
            </w:r>
            <w:r>
              <w:rPr>
                <w:b/>
                <w:sz w:val="20"/>
              </w:rPr>
              <w:t>read</w:t>
            </w:r>
            <w:r>
              <w:rPr>
                <w:b/>
                <w:spacing w:val="-5"/>
                <w:sz w:val="20"/>
              </w:rPr>
              <w:t xml:space="preserve"> </w:t>
            </w:r>
            <w:r>
              <w:rPr>
                <w:b/>
                <w:sz w:val="20"/>
              </w:rPr>
              <w:t>this</w:t>
            </w:r>
            <w:r>
              <w:rPr>
                <w:b/>
                <w:spacing w:val="-5"/>
                <w:sz w:val="20"/>
              </w:rPr>
              <w:t xml:space="preserve"> </w:t>
            </w:r>
            <w:r>
              <w:rPr>
                <w:b/>
                <w:sz w:val="20"/>
              </w:rPr>
              <w:t>exchange</w:t>
            </w:r>
            <w:r>
              <w:rPr>
                <w:b/>
                <w:spacing w:val="-6"/>
                <w:sz w:val="20"/>
              </w:rPr>
              <w:t xml:space="preserve"> </w:t>
            </w:r>
            <w:r>
              <w:rPr>
                <w:b/>
                <w:sz w:val="20"/>
              </w:rPr>
              <w:t>between</w:t>
            </w:r>
            <w:r>
              <w:rPr>
                <w:b/>
                <w:spacing w:val="-5"/>
                <w:sz w:val="20"/>
              </w:rPr>
              <w:t xml:space="preserve"> </w:t>
            </w:r>
            <w:r>
              <w:rPr>
                <w:b/>
                <w:sz w:val="20"/>
              </w:rPr>
              <w:t>counselor</w:t>
            </w:r>
            <w:r>
              <w:rPr>
                <w:b/>
                <w:spacing w:val="-4"/>
                <w:sz w:val="20"/>
              </w:rPr>
              <w:t xml:space="preserve"> </w:t>
            </w:r>
            <w:r>
              <w:rPr>
                <w:b/>
                <w:sz w:val="20"/>
              </w:rPr>
              <w:t>and</w:t>
            </w:r>
            <w:r>
              <w:rPr>
                <w:b/>
                <w:spacing w:val="-5"/>
                <w:sz w:val="20"/>
              </w:rPr>
              <w:t xml:space="preserve"> </w:t>
            </w:r>
            <w:r>
              <w:rPr>
                <w:b/>
                <w:sz w:val="20"/>
              </w:rPr>
              <w:t>client</w:t>
            </w:r>
            <w:r>
              <w:rPr>
                <w:b/>
                <w:spacing w:val="-5"/>
                <w:sz w:val="20"/>
              </w:rPr>
              <w:t xml:space="preserve"> </w:t>
            </w:r>
            <w:r>
              <w:rPr>
                <w:b/>
                <w:sz w:val="20"/>
              </w:rPr>
              <w:t>and</w:t>
            </w:r>
            <w:r>
              <w:rPr>
                <w:b/>
                <w:spacing w:val="-5"/>
                <w:sz w:val="20"/>
              </w:rPr>
              <w:t xml:space="preserve"> </w:t>
            </w:r>
            <w:r>
              <w:rPr>
                <w:b/>
                <w:sz w:val="20"/>
              </w:rPr>
              <w:t>answer</w:t>
            </w:r>
            <w:r>
              <w:rPr>
                <w:b/>
                <w:spacing w:val="-5"/>
                <w:sz w:val="20"/>
              </w:rPr>
              <w:t xml:space="preserve"> </w:t>
            </w:r>
            <w:r>
              <w:rPr>
                <w:b/>
                <w:sz w:val="20"/>
              </w:rPr>
              <w:t>the</w:t>
            </w:r>
            <w:r>
              <w:rPr>
                <w:b/>
                <w:spacing w:val="-5"/>
                <w:sz w:val="20"/>
              </w:rPr>
              <w:t xml:space="preserve"> </w:t>
            </w:r>
            <w:r>
              <w:rPr>
                <w:b/>
                <w:sz w:val="20"/>
              </w:rPr>
              <w:t>questions</w:t>
            </w:r>
            <w:r>
              <w:rPr>
                <w:b/>
                <w:spacing w:val="-6"/>
                <w:sz w:val="20"/>
              </w:rPr>
              <w:t xml:space="preserve"> </w:t>
            </w:r>
            <w:r>
              <w:rPr>
                <w:b/>
                <w:sz w:val="20"/>
              </w:rPr>
              <w:t>that</w:t>
            </w:r>
            <w:r>
              <w:rPr>
                <w:b/>
                <w:spacing w:val="-7"/>
                <w:sz w:val="20"/>
              </w:rPr>
              <w:t xml:space="preserve"> </w:t>
            </w:r>
            <w:r>
              <w:rPr>
                <w:b/>
                <w:spacing w:val="-2"/>
                <w:sz w:val="20"/>
              </w:rPr>
              <w:t>follow:</w:t>
            </w:r>
          </w:p>
          <w:p w14:paraId="1794209D" w14:textId="77777777" w:rsidR="00DB6E1F" w:rsidRDefault="00F666A6">
            <w:pPr>
              <w:pStyle w:val="TableParagraph"/>
              <w:numPr>
                <w:ilvl w:val="1"/>
                <w:numId w:val="15"/>
              </w:numPr>
              <w:tabs>
                <w:tab w:val="left" w:pos="962"/>
              </w:tabs>
              <w:ind w:right="354" w:firstLine="0"/>
              <w:rPr>
                <w:sz w:val="20"/>
              </w:rPr>
            </w:pPr>
            <w:r>
              <w:rPr>
                <w:sz w:val="20"/>
              </w:rPr>
              <w:t>C:</w:t>
            </w:r>
            <w:r>
              <w:rPr>
                <w:spacing w:val="-4"/>
                <w:sz w:val="20"/>
              </w:rPr>
              <w:t xml:space="preserve"> </w:t>
            </w:r>
            <w:r>
              <w:rPr>
                <w:sz w:val="20"/>
              </w:rPr>
              <w:t>I</w:t>
            </w:r>
            <w:r>
              <w:rPr>
                <w:spacing w:val="-3"/>
                <w:sz w:val="20"/>
              </w:rPr>
              <w:t xml:space="preserve"> </w:t>
            </w:r>
            <w:r>
              <w:rPr>
                <w:sz w:val="20"/>
              </w:rPr>
              <w:t>know</w:t>
            </w:r>
            <w:r>
              <w:rPr>
                <w:spacing w:val="-4"/>
                <w:sz w:val="20"/>
              </w:rPr>
              <w:t xml:space="preserve"> </w:t>
            </w:r>
            <w:r>
              <w:rPr>
                <w:sz w:val="20"/>
              </w:rPr>
              <w:t>I messed</w:t>
            </w:r>
            <w:r>
              <w:rPr>
                <w:spacing w:val="-2"/>
                <w:sz w:val="20"/>
              </w:rPr>
              <w:t xml:space="preserve"> </w:t>
            </w:r>
            <w:r>
              <w:rPr>
                <w:sz w:val="20"/>
              </w:rPr>
              <w:t>up.</w:t>
            </w:r>
            <w:r>
              <w:rPr>
                <w:spacing w:val="-3"/>
                <w:sz w:val="20"/>
              </w:rPr>
              <w:t xml:space="preserve"> </w:t>
            </w:r>
            <w:r>
              <w:rPr>
                <w:sz w:val="20"/>
              </w:rPr>
              <w:t>I</w:t>
            </w:r>
            <w:r>
              <w:rPr>
                <w:spacing w:val="-3"/>
                <w:sz w:val="20"/>
              </w:rPr>
              <w:t xml:space="preserve"> </w:t>
            </w:r>
            <w:r>
              <w:rPr>
                <w:sz w:val="20"/>
              </w:rPr>
              <w:t>ruined</w:t>
            </w:r>
            <w:r>
              <w:rPr>
                <w:spacing w:val="-2"/>
                <w:sz w:val="20"/>
              </w:rPr>
              <w:t xml:space="preserve"> </w:t>
            </w:r>
            <w:r>
              <w:rPr>
                <w:sz w:val="20"/>
              </w:rPr>
              <w:t>my</w:t>
            </w:r>
            <w:r>
              <w:rPr>
                <w:spacing w:val="-2"/>
                <w:sz w:val="20"/>
              </w:rPr>
              <w:t xml:space="preserve"> </w:t>
            </w:r>
            <w:r>
              <w:rPr>
                <w:sz w:val="20"/>
              </w:rPr>
              <w:t>family,</w:t>
            </w:r>
            <w:r>
              <w:rPr>
                <w:spacing w:val="-2"/>
                <w:sz w:val="20"/>
              </w:rPr>
              <w:t xml:space="preserve"> </w:t>
            </w:r>
            <w:r>
              <w:rPr>
                <w:sz w:val="20"/>
              </w:rPr>
              <w:t>my</w:t>
            </w:r>
            <w:r>
              <w:rPr>
                <w:spacing w:val="-2"/>
                <w:sz w:val="20"/>
              </w:rPr>
              <w:t xml:space="preserve"> </w:t>
            </w:r>
            <w:r>
              <w:rPr>
                <w:sz w:val="20"/>
              </w:rPr>
              <w:t>wife</w:t>
            </w:r>
            <w:r>
              <w:rPr>
                <w:spacing w:val="-4"/>
                <w:sz w:val="20"/>
              </w:rPr>
              <w:t xml:space="preserve"> </w:t>
            </w:r>
            <w:r>
              <w:rPr>
                <w:sz w:val="20"/>
              </w:rPr>
              <w:t>hates</w:t>
            </w:r>
            <w:r>
              <w:rPr>
                <w:spacing w:val="-2"/>
                <w:sz w:val="20"/>
              </w:rPr>
              <w:t xml:space="preserve"> </w:t>
            </w:r>
            <w:r>
              <w:rPr>
                <w:sz w:val="20"/>
              </w:rPr>
              <w:t>me,</w:t>
            </w:r>
            <w:r>
              <w:rPr>
                <w:spacing w:val="-2"/>
                <w:sz w:val="20"/>
              </w:rPr>
              <w:t xml:space="preserve"> </w:t>
            </w:r>
            <w:r>
              <w:rPr>
                <w:sz w:val="20"/>
              </w:rPr>
              <w:t>I</w:t>
            </w:r>
            <w:r>
              <w:rPr>
                <w:spacing w:val="-3"/>
                <w:sz w:val="20"/>
              </w:rPr>
              <w:t xml:space="preserve"> </w:t>
            </w:r>
            <w:r>
              <w:rPr>
                <w:sz w:val="20"/>
              </w:rPr>
              <w:t>got</w:t>
            </w:r>
            <w:r>
              <w:rPr>
                <w:spacing w:val="-3"/>
                <w:sz w:val="20"/>
              </w:rPr>
              <w:t xml:space="preserve"> </w:t>
            </w:r>
            <w:r>
              <w:rPr>
                <w:sz w:val="20"/>
              </w:rPr>
              <w:t>fired</w:t>
            </w:r>
            <w:r>
              <w:rPr>
                <w:spacing w:val="-2"/>
                <w:sz w:val="20"/>
              </w:rPr>
              <w:t xml:space="preserve"> </w:t>
            </w:r>
            <w:r>
              <w:rPr>
                <w:sz w:val="20"/>
              </w:rPr>
              <w:t>from</w:t>
            </w:r>
            <w:r>
              <w:rPr>
                <w:spacing w:val="-1"/>
                <w:sz w:val="20"/>
              </w:rPr>
              <w:t xml:space="preserve"> </w:t>
            </w:r>
            <w:r>
              <w:rPr>
                <w:sz w:val="20"/>
              </w:rPr>
              <w:t>my</w:t>
            </w:r>
            <w:r>
              <w:rPr>
                <w:spacing w:val="-2"/>
                <w:sz w:val="20"/>
              </w:rPr>
              <w:t xml:space="preserve"> </w:t>
            </w:r>
            <w:r>
              <w:rPr>
                <w:sz w:val="20"/>
              </w:rPr>
              <w:t>job,</w:t>
            </w:r>
            <w:r>
              <w:rPr>
                <w:spacing w:val="-2"/>
                <w:sz w:val="20"/>
              </w:rPr>
              <w:t xml:space="preserve"> </w:t>
            </w:r>
            <w:r>
              <w:rPr>
                <w:sz w:val="20"/>
              </w:rPr>
              <w:t>and</w:t>
            </w:r>
            <w:r>
              <w:rPr>
                <w:spacing w:val="-2"/>
                <w:sz w:val="20"/>
              </w:rPr>
              <w:t xml:space="preserve"> </w:t>
            </w:r>
            <w:r>
              <w:rPr>
                <w:sz w:val="20"/>
              </w:rPr>
              <w:t>now</w:t>
            </w:r>
            <w:r>
              <w:rPr>
                <w:spacing w:val="-4"/>
                <w:sz w:val="20"/>
              </w:rPr>
              <w:t xml:space="preserve"> </w:t>
            </w:r>
            <w:r>
              <w:rPr>
                <w:sz w:val="20"/>
              </w:rPr>
              <w:t>I</w:t>
            </w:r>
            <w:r>
              <w:rPr>
                <w:spacing w:val="-3"/>
                <w:sz w:val="20"/>
              </w:rPr>
              <w:t xml:space="preserve"> </w:t>
            </w:r>
            <w:r>
              <w:rPr>
                <w:sz w:val="20"/>
              </w:rPr>
              <w:t>just feel so hopeless. I’m sad all the time, and it’s like I can’t do anything about it.</w:t>
            </w:r>
          </w:p>
          <w:p w14:paraId="28B3D8F0" w14:textId="77777777" w:rsidR="00DB6E1F" w:rsidRDefault="00F666A6">
            <w:pPr>
              <w:pStyle w:val="TableParagraph"/>
              <w:numPr>
                <w:ilvl w:val="1"/>
                <w:numId w:val="15"/>
              </w:numPr>
              <w:tabs>
                <w:tab w:val="left" w:pos="962"/>
              </w:tabs>
              <w:spacing w:line="243" w:lineRule="exact"/>
              <w:ind w:left="961" w:hanging="164"/>
              <w:rPr>
                <w:sz w:val="20"/>
              </w:rPr>
            </w:pPr>
            <w:r>
              <w:rPr>
                <w:sz w:val="20"/>
              </w:rPr>
              <w:t>T:</w:t>
            </w:r>
            <w:r>
              <w:rPr>
                <w:spacing w:val="-5"/>
                <w:sz w:val="20"/>
              </w:rPr>
              <w:t xml:space="preserve"> </w:t>
            </w:r>
            <w:r>
              <w:rPr>
                <w:sz w:val="20"/>
              </w:rPr>
              <w:t>Where</w:t>
            </w:r>
            <w:r>
              <w:rPr>
                <w:spacing w:val="-4"/>
                <w:sz w:val="20"/>
              </w:rPr>
              <w:t xml:space="preserve"> </w:t>
            </w:r>
            <w:r>
              <w:rPr>
                <w:sz w:val="20"/>
              </w:rPr>
              <w:t>did</w:t>
            </w:r>
            <w:r>
              <w:rPr>
                <w:spacing w:val="-2"/>
                <w:sz w:val="20"/>
              </w:rPr>
              <w:t xml:space="preserve"> </w:t>
            </w:r>
            <w:r>
              <w:rPr>
                <w:sz w:val="20"/>
              </w:rPr>
              <w:t>you</w:t>
            </w:r>
            <w:r>
              <w:rPr>
                <w:spacing w:val="-2"/>
                <w:sz w:val="20"/>
              </w:rPr>
              <w:t xml:space="preserve"> work?</w:t>
            </w:r>
          </w:p>
          <w:p w14:paraId="169647FB" w14:textId="77777777" w:rsidR="00DB6E1F" w:rsidRDefault="00F666A6">
            <w:pPr>
              <w:pStyle w:val="TableParagraph"/>
              <w:numPr>
                <w:ilvl w:val="1"/>
                <w:numId w:val="15"/>
              </w:numPr>
              <w:tabs>
                <w:tab w:val="left" w:pos="962"/>
              </w:tabs>
              <w:spacing w:before="0"/>
              <w:ind w:right="2676" w:firstLine="0"/>
              <w:rPr>
                <w:sz w:val="20"/>
              </w:rPr>
            </w:pPr>
            <w:r>
              <w:rPr>
                <w:sz w:val="20"/>
              </w:rPr>
              <w:t>C:</w:t>
            </w:r>
            <w:r>
              <w:rPr>
                <w:spacing w:val="-1"/>
                <w:sz w:val="20"/>
              </w:rPr>
              <w:t xml:space="preserve"> </w:t>
            </w:r>
            <w:r>
              <w:rPr>
                <w:sz w:val="20"/>
              </w:rPr>
              <w:t>Joe’s</w:t>
            </w:r>
            <w:r>
              <w:rPr>
                <w:spacing w:val="-4"/>
                <w:sz w:val="20"/>
              </w:rPr>
              <w:t xml:space="preserve"> </w:t>
            </w:r>
            <w:r>
              <w:rPr>
                <w:sz w:val="20"/>
              </w:rPr>
              <w:t>Auto.</w:t>
            </w:r>
            <w:r>
              <w:rPr>
                <w:spacing w:val="-3"/>
                <w:sz w:val="20"/>
              </w:rPr>
              <w:t xml:space="preserve"> </w:t>
            </w:r>
            <w:r>
              <w:rPr>
                <w:sz w:val="20"/>
              </w:rPr>
              <w:t>I</w:t>
            </w:r>
            <w:r>
              <w:rPr>
                <w:spacing w:val="-3"/>
                <w:sz w:val="20"/>
              </w:rPr>
              <w:t xml:space="preserve"> </w:t>
            </w:r>
            <w:r>
              <w:rPr>
                <w:sz w:val="20"/>
              </w:rPr>
              <w:t>just</w:t>
            </w:r>
            <w:r>
              <w:rPr>
                <w:spacing w:val="-3"/>
                <w:sz w:val="20"/>
              </w:rPr>
              <w:t xml:space="preserve"> </w:t>
            </w:r>
            <w:r>
              <w:rPr>
                <w:sz w:val="20"/>
              </w:rPr>
              <w:t>felt</w:t>
            </w:r>
            <w:r>
              <w:rPr>
                <w:spacing w:val="-3"/>
                <w:sz w:val="20"/>
              </w:rPr>
              <w:t xml:space="preserve"> </w:t>
            </w:r>
            <w:r>
              <w:rPr>
                <w:sz w:val="20"/>
              </w:rPr>
              <w:t>lost</w:t>
            </w:r>
            <w:r>
              <w:rPr>
                <w:spacing w:val="-3"/>
                <w:sz w:val="20"/>
              </w:rPr>
              <w:t xml:space="preserve"> </w:t>
            </w:r>
            <w:r>
              <w:rPr>
                <w:sz w:val="20"/>
              </w:rPr>
              <w:t>there</w:t>
            </w:r>
            <w:r>
              <w:rPr>
                <w:spacing w:val="-4"/>
                <w:sz w:val="20"/>
              </w:rPr>
              <w:t xml:space="preserve"> </w:t>
            </w:r>
            <w:r>
              <w:rPr>
                <w:sz w:val="20"/>
              </w:rPr>
              <w:t>all</w:t>
            </w:r>
            <w:r>
              <w:rPr>
                <w:spacing w:val="-3"/>
                <w:sz w:val="20"/>
              </w:rPr>
              <w:t xml:space="preserve"> </w:t>
            </w:r>
            <w:r>
              <w:rPr>
                <w:sz w:val="20"/>
              </w:rPr>
              <w:t>day,</w:t>
            </w:r>
            <w:r>
              <w:rPr>
                <w:spacing w:val="-2"/>
                <w:sz w:val="20"/>
              </w:rPr>
              <w:t xml:space="preserve"> </w:t>
            </w:r>
            <w:r>
              <w:rPr>
                <w:sz w:val="20"/>
              </w:rPr>
              <w:t>like</w:t>
            </w:r>
            <w:r>
              <w:rPr>
                <w:spacing w:val="-4"/>
                <w:sz w:val="20"/>
              </w:rPr>
              <w:t xml:space="preserve"> </w:t>
            </w:r>
            <w:r>
              <w:rPr>
                <w:sz w:val="20"/>
              </w:rPr>
              <w:t>I</w:t>
            </w:r>
            <w:r>
              <w:rPr>
                <w:spacing w:val="-3"/>
                <w:sz w:val="20"/>
              </w:rPr>
              <w:t xml:space="preserve"> </w:t>
            </w:r>
            <w:r>
              <w:rPr>
                <w:sz w:val="20"/>
              </w:rPr>
              <w:t>didn’t</w:t>
            </w:r>
            <w:r>
              <w:rPr>
                <w:spacing w:val="-3"/>
                <w:sz w:val="20"/>
              </w:rPr>
              <w:t xml:space="preserve"> </w:t>
            </w:r>
            <w:r>
              <w:rPr>
                <w:sz w:val="20"/>
              </w:rPr>
              <w:t>want</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there. 4-T: Did your boss know you were drinking?</w:t>
            </w:r>
          </w:p>
          <w:p w14:paraId="1E542507" w14:textId="77777777" w:rsidR="00DB6E1F" w:rsidRDefault="00F666A6">
            <w:pPr>
              <w:pStyle w:val="TableParagraph"/>
              <w:numPr>
                <w:ilvl w:val="0"/>
                <w:numId w:val="14"/>
              </w:numPr>
              <w:tabs>
                <w:tab w:val="left" w:pos="962"/>
              </w:tabs>
              <w:ind w:right="518" w:firstLine="0"/>
              <w:rPr>
                <w:sz w:val="20"/>
              </w:rPr>
            </w:pPr>
            <w:r>
              <w:rPr>
                <w:sz w:val="20"/>
              </w:rPr>
              <w:t>C:</w:t>
            </w:r>
            <w:r>
              <w:rPr>
                <w:spacing w:val="-1"/>
                <w:sz w:val="20"/>
              </w:rPr>
              <w:t xml:space="preserve"> </w:t>
            </w:r>
            <w:r>
              <w:rPr>
                <w:sz w:val="20"/>
              </w:rPr>
              <w:t>Yeah,</w:t>
            </w:r>
            <w:r>
              <w:rPr>
                <w:spacing w:val="-2"/>
                <w:sz w:val="20"/>
              </w:rPr>
              <w:t xml:space="preserve"> </w:t>
            </w:r>
            <w:r>
              <w:rPr>
                <w:sz w:val="20"/>
              </w:rPr>
              <w:t>when</w:t>
            </w:r>
            <w:r>
              <w:rPr>
                <w:spacing w:val="-2"/>
                <w:sz w:val="20"/>
              </w:rPr>
              <w:t xml:space="preserve"> </w:t>
            </w:r>
            <w:r>
              <w:rPr>
                <w:sz w:val="20"/>
              </w:rPr>
              <w:t>he</w:t>
            </w:r>
            <w:r>
              <w:rPr>
                <w:spacing w:val="-4"/>
                <w:sz w:val="20"/>
              </w:rPr>
              <w:t xml:space="preserve"> </w:t>
            </w:r>
            <w:r>
              <w:rPr>
                <w:sz w:val="20"/>
              </w:rPr>
              <w:t>fired me, he</w:t>
            </w:r>
            <w:r>
              <w:rPr>
                <w:spacing w:val="-4"/>
                <w:sz w:val="20"/>
              </w:rPr>
              <w:t xml:space="preserve"> </w:t>
            </w:r>
            <w:r>
              <w:rPr>
                <w:sz w:val="20"/>
              </w:rPr>
              <w:t>told</w:t>
            </w:r>
            <w:r>
              <w:rPr>
                <w:spacing w:val="-2"/>
                <w:sz w:val="20"/>
              </w:rPr>
              <w:t xml:space="preserve"> </w:t>
            </w:r>
            <w:r>
              <w:rPr>
                <w:sz w:val="20"/>
              </w:rPr>
              <w:t>me</w:t>
            </w:r>
            <w:r>
              <w:rPr>
                <w:spacing w:val="-4"/>
                <w:sz w:val="20"/>
              </w:rPr>
              <w:t xml:space="preserve"> </w:t>
            </w:r>
            <w:r>
              <w:rPr>
                <w:sz w:val="20"/>
              </w:rPr>
              <w:t>he</w:t>
            </w:r>
            <w:r>
              <w:rPr>
                <w:spacing w:val="-4"/>
                <w:sz w:val="20"/>
              </w:rPr>
              <w:t xml:space="preserve"> </w:t>
            </w:r>
            <w:r>
              <w:rPr>
                <w:sz w:val="20"/>
              </w:rPr>
              <w:t>could</w:t>
            </w:r>
            <w:r>
              <w:rPr>
                <w:spacing w:val="-2"/>
                <w:sz w:val="20"/>
              </w:rPr>
              <w:t xml:space="preserve"> </w:t>
            </w:r>
            <w:r>
              <w:rPr>
                <w:sz w:val="20"/>
              </w:rPr>
              <w:t>smell</w:t>
            </w:r>
            <w:r>
              <w:rPr>
                <w:spacing w:val="-3"/>
                <w:sz w:val="20"/>
              </w:rPr>
              <w:t xml:space="preserve"> </w:t>
            </w:r>
            <w:r>
              <w:rPr>
                <w:sz w:val="20"/>
              </w:rPr>
              <w:t>the</w:t>
            </w:r>
            <w:r>
              <w:rPr>
                <w:spacing w:val="-1"/>
                <w:sz w:val="20"/>
              </w:rPr>
              <w:t xml:space="preserve"> </w:t>
            </w:r>
            <w:r>
              <w:rPr>
                <w:sz w:val="20"/>
              </w:rPr>
              <w:t>alcohol.</w:t>
            </w:r>
            <w:r>
              <w:rPr>
                <w:spacing w:val="-3"/>
                <w:sz w:val="20"/>
              </w:rPr>
              <w:t xml:space="preserve"> </w:t>
            </w:r>
            <w:r>
              <w:rPr>
                <w:sz w:val="20"/>
              </w:rPr>
              <w:t>God,</w:t>
            </w:r>
            <w:r>
              <w:rPr>
                <w:spacing w:val="-2"/>
                <w:sz w:val="20"/>
              </w:rPr>
              <w:t xml:space="preserve"> </w:t>
            </w:r>
            <w:r>
              <w:rPr>
                <w:sz w:val="20"/>
              </w:rPr>
              <w:t>he</w:t>
            </w:r>
            <w:r>
              <w:rPr>
                <w:spacing w:val="-4"/>
                <w:sz w:val="20"/>
              </w:rPr>
              <w:t xml:space="preserve"> </w:t>
            </w:r>
            <w:r>
              <w:rPr>
                <w:sz w:val="20"/>
              </w:rPr>
              <w:t>must</w:t>
            </w:r>
            <w:r>
              <w:rPr>
                <w:spacing w:val="-3"/>
                <w:sz w:val="20"/>
              </w:rPr>
              <w:t xml:space="preserve"> </w:t>
            </w:r>
            <w:r>
              <w:rPr>
                <w:sz w:val="20"/>
              </w:rPr>
              <w:t>really</w:t>
            </w:r>
            <w:r>
              <w:rPr>
                <w:spacing w:val="-2"/>
                <w:sz w:val="20"/>
              </w:rPr>
              <w:t xml:space="preserve"> </w:t>
            </w:r>
            <w:r>
              <w:rPr>
                <w:sz w:val="20"/>
              </w:rPr>
              <w:t>think</w:t>
            </w:r>
            <w:r>
              <w:rPr>
                <w:spacing w:val="-2"/>
                <w:sz w:val="20"/>
              </w:rPr>
              <w:t xml:space="preserve"> </w:t>
            </w:r>
            <w:r>
              <w:rPr>
                <w:sz w:val="20"/>
              </w:rPr>
              <w:t>I’m</w:t>
            </w:r>
            <w:r>
              <w:rPr>
                <w:spacing w:val="-4"/>
                <w:sz w:val="20"/>
              </w:rPr>
              <w:t xml:space="preserve"> </w:t>
            </w:r>
            <w:r>
              <w:rPr>
                <w:sz w:val="20"/>
              </w:rPr>
              <w:t xml:space="preserve">a </w:t>
            </w:r>
            <w:r>
              <w:rPr>
                <w:spacing w:val="-2"/>
                <w:sz w:val="20"/>
              </w:rPr>
              <w:t>loser.</w:t>
            </w:r>
          </w:p>
          <w:p w14:paraId="1D1D43E7" w14:textId="77777777" w:rsidR="00DB6E1F" w:rsidRDefault="00F666A6">
            <w:pPr>
              <w:pStyle w:val="TableParagraph"/>
              <w:numPr>
                <w:ilvl w:val="0"/>
                <w:numId w:val="14"/>
              </w:numPr>
              <w:tabs>
                <w:tab w:val="left" w:pos="962"/>
              </w:tabs>
              <w:spacing w:before="0" w:line="243" w:lineRule="exact"/>
              <w:ind w:left="961" w:hanging="164"/>
              <w:rPr>
                <w:sz w:val="20"/>
              </w:rPr>
            </w:pPr>
            <w:r>
              <w:rPr>
                <w:sz w:val="20"/>
              </w:rPr>
              <w:t>T:</w:t>
            </w:r>
            <w:r>
              <w:rPr>
                <w:spacing w:val="-4"/>
                <w:sz w:val="20"/>
              </w:rPr>
              <w:t xml:space="preserve"> </w:t>
            </w:r>
            <w:r>
              <w:rPr>
                <w:sz w:val="20"/>
              </w:rPr>
              <w:t>What</w:t>
            </w:r>
            <w:r>
              <w:rPr>
                <w:spacing w:val="-2"/>
                <w:sz w:val="20"/>
              </w:rPr>
              <w:t xml:space="preserve"> </w:t>
            </w:r>
            <w:r>
              <w:rPr>
                <w:sz w:val="20"/>
              </w:rPr>
              <w:t>you</w:t>
            </w:r>
            <w:r>
              <w:rPr>
                <w:spacing w:val="-1"/>
                <w:sz w:val="20"/>
              </w:rPr>
              <w:t xml:space="preserve"> </w:t>
            </w:r>
            <w:r>
              <w:rPr>
                <w:sz w:val="20"/>
              </w:rPr>
              <w:t>are</w:t>
            </w:r>
            <w:r>
              <w:rPr>
                <w:spacing w:val="-4"/>
                <w:sz w:val="20"/>
              </w:rPr>
              <w:t xml:space="preserve"> </w:t>
            </w:r>
            <w:r>
              <w:rPr>
                <w:sz w:val="20"/>
              </w:rPr>
              <w:t>is</w:t>
            </w:r>
            <w:r>
              <w:rPr>
                <w:spacing w:val="-3"/>
                <w:sz w:val="20"/>
              </w:rPr>
              <w:t xml:space="preserve"> </w:t>
            </w:r>
            <w:r>
              <w:rPr>
                <w:sz w:val="20"/>
              </w:rPr>
              <w:t>an</w:t>
            </w:r>
            <w:r>
              <w:rPr>
                <w:spacing w:val="-1"/>
                <w:sz w:val="20"/>
              </w:rPr>
              <w:t xml:space="preserve"> </w:t>
            </w:r>
            <w:r>
              <w:rPr>
                <w:spacing w:val="-2"/>
                <w:sz w:val="20"/>
              </w:rPr>
              <w:t>addict.</w:t>
            </w:r>
          </w:p>
          <w:p w14:paraId="06C2BDE7" w14:textId="77777777" w:rsidR="00DB6E1F" w:rsidRDefault="00F666A6">
            <w:pPr>
              <w:pStyle w:val="TableParagraph"/>
              <w:numPr>
                <w:ilvl w:val="0"/>
                <w:numId w:val="14"/>
              </w:numPr>
              <w:tabs>
                <w:tab w:val="left" w:pos="962"/>
              </w:tabs>
              <w:spacing w:before="0"/>
              <w:ind w:left="961" w:hanging="164"/>
              <w:rPr>
                <w:sz w:val="20"/>
              </w:rPr>
            </w:pPr>
            <w:r>
              <w:rPr>
                <w:sz w:val="20"/>
              </w:rPr>
              <w:t>C:</w:t>
            </w:r>
            <w:r>
              <w:rPr>
                <w:spacing w:val="-5"/>
                <w:sz w:val="20"/>
              </w:rPr>
              <w:t xml:space="preserve"> </w:t>
            </w:r>
            <w:r>
              <w:rPr>
                <w:sz w:val="20"/>
              </w:rPr>
              <w:t>I’m</w:t>
            </w:r>
            <w:r>
              <w:rPr>
                <w:spacing w:val="-4"/>
                <w:sz w:val="20"/>
              </w:rPr>
              <w:t xml:space="preserve"> </w:t>
            </w:r>
            <w:r>
              <w:rPr>
                <w:sz w:val="20"/>
              </w:rPr>
              <w:t>not</w:t>
            </w:r>
            <w:r>
              <w:rPr>
                <w:spacing w:val="-4"/>
                <w:sz w:val="20"/>
              </w:rPr>
              <w:t xml:space="preserve"> </w:t>
            </w:r>
            <w:r>
              <w:rPr>
                <w:sz w:val="20"/>
              </w:rPr>
              <w:t>addicted,</w:t>
            </w:r>
            <w:r>
              <w:rPr>
                <w:spacing w:val="-2"/>
                <w:sz w:val="20"/>
              </w:rPr>
              <w:t xml:space="preserve"> </w:t>
            </w:r>
            <w:r>
              <w:rPr>
                <w:sz w:val="20"/>
              </w:rPr>
              <w:t>OK.</w:t>
            </w:r>
            <w:r>
              <w:rPr>
                <w:spacing w:val="-3"/>
                <w:sz w:val="20"/>
              </w:rPr>
              <w:t xml:space="preserve"> </w:t>
            </w:r>
            <w:r>
              <w:rPr>
                <w:sz w:val="20"/>
              </w:rPr>
              <w:t>I</w:t>
            </w:r>
            <w:r>
              <w:rPr>
                <w:spacing w:val="-4"/>
                <w:sz w:val="20"/>
              </w:rPr>
              <w:t xml:space="preserve"> </w:t>
            </w:r>
            <w:r>
              <w:rPr>
                <w:sz w:val="20"/>
              </w:rPr>
              <w:t>just</w:t>
            </w:r>
            <w:r>
              <w:rPr>
                <w:spacing w:val="-3"/>
                <w:sz w:val="20"/>
              </w:rPr>
              <w:t xml:space="preserve"> </w:t>
            </w:r>
            <w:r>
              <w:rPr>
                <w:sz w:val="20"/>
              </w:rPr>
              <w:t>need</w:t>
            </w:r>
            <w:r>
              <w:rPr>
                <w:spacing w:val="-3"/>
                <w:sz w:val="20"/>
              </w:rPr>
              <w:t xml:space="preserve"> </w:t>
            </w:r>
            <w:r>
              <w:rPr>
                <w:sz w:val="20"/>
              </w:rPr>
              <w:t>a</w:t>
            </w:r>
            <w:r>
              <w:rPr>
                <w:spacing w:val="-2"/>
                <w:sz w:val="20"/>
              </w:rPr>
              <w:t xml:space="preserve"> </w:t>
            </w:r>
            <w:r>
              <w:rPr>
                <w:sz w:val="20"/>
              </w:rPr>
              <w:t>few</w:t>
            </w:r>
            <w:r>
              <w:rPr>
                <w:spacing w:val="-5"/>
                <w:sz w:val="20"/>
              </w:rPr>
              <w:t xml:space="preserve"> </w:t>
            </w:r>
            <w:r>
              <w:rPr>
                <w:sz w:val="20"/>
              </w:rPr>
              <w:t>beers</w:t>
            </w:r>
            <w:r>
              <w:rPr>
                <w:spacing w:val="-4"/>
                <w:sz w:val="20"/>
              </w:rPr>
              <w:t xml:space="preserve"> </w:t>
            </w:r>
            <w:r>
              <w:rPr>
                <w:sz w:val="20"/>
              </w:rPr>
              <w:t>after</w:t>
            </w:r>
            <w:r>
              <w:rPr>
                <w:spacing w:val="-3"/>
                <w:sz w:val="20"/>
              </w:rPr>
              <w:t xml:space="preserve"> </w:t>
            </w:r>
            <w:r>
              <w:rPr>
                <w:sz w:val="20"/>
              </w:rPr>
              <w:t>work</w:t>
            </w:r>
            <w:r>
              <w:rPr>
                <w:spacing w:val="-3"/>
                <w:sz w:val="20"/>
              </w:rPr>
              <w:t xml:space="preserve"> </w:t>
            </w:r>
            <w:r>
              <w:rPr>
                <w:sz w:val="20"/>
              </w:rPr>
              <w:t>to</w:t>
            </w:r>
            <w:r>
              <w:rPr>
                <w:spacing w:val="-2"/>
                <w:sz w:val="20"/>
              </w:rPr>
              <w:t xml:space="preserve"> </w:t>
            </w:r>
            <w:r>
              <w:rPr>
                <w:sz w:val="20"/>
              </w:rPr>
              <w:t>calm</w:t>
            </w:r>
            <w:r>
              <w:rPr>
                <w:spacing w:val="-5"/>
                <w:sz w:val="20"/>
              </w:rPr>
              <w:t xml:space="preserve"> </w:t>
            </w:r>
            <w:r>
              <w:rPr>
                <w:spacing w:val="-2"/>
                <w:sz w:val="20"/>
              </w:rPr>
              <w:t>down.</w:t>
            </w:r>
          </w:p>
          <w:p w14:paraId="77FBF73E" w14:textId="77777777" w:rsidR="00DB6E1F" w:rsidRDefault="00F666A6">
            <w:pPr>
              <w:pStyle w:val="TableParagraph"/>
              <w:numPr>
                <w:ilvl w:val="0"/>
                <w:numId w:val="14"/>
              </w:numPr>
              <w:tabs>
                <w:tab w:val="left" w:pos="962"/>
              </w:tabs>
              <w:spacing w:line="243" w:lineRule="exact"/>
              <w:ind w:left="961" w:hanging="164"/>
              <w:rPr>
                <w:sz w:val="20"/>
              </w:rPr>
            </w:pPr>
            <w:r>
              <w:rPr>
                <w:sz w:val="20"/>
              </w:rPr>
              <w:t>T:</w:t>
            </w:r>
            <w:r>
              <w:rPr>
                <w:spacing w:val="-5"/>
                <w:sz w:val="20"/>
              </w:rPr>
              <w:t xml:space="preserve"> </w:t>
            </w:r>
            <w:r>
              <w:rPr>
                <w:sz w:val="20"/>
              </w:rPr>
              <w:t>No,</w:t>
            </w:r>
            <w:r>
              <w:rPr>
                <w:spacing w:val="-3"/>
                <w:sz w:val="20"/>
              </w:rPr>
              <w:t xml:space="preserve"> </w:t>
            </w:r>
            <w:r>
              <w:rPr>
                <w:sz w:val="20"/>
              </w:rPr>
              <w:t>you</w:t>
            </w:r>
            <w:r>
              <w:rPr>
                <w:spacing w:val="-3"/>
                <w:sz w:val="20"/>
              </w:rPr>
              <w:t xml:space="preserve"> </w:t>
            </w:r>
            <w:r>
              <w:rPr>
                <w:sz w:val="20"/>
              </w:rPr>
              <w:t>are</w:t>
            </w:r>
            <w:r>
              <w:rPr>
                <w:spacing w:val="-5"/>
                <w:sz w:val="20"/>
              </w:rPr>
              <w:t xml:space="preserve"> </w:t>
            </w:r>
            <w:r>
              <w:rPr>
                <w:sz w:val="20"/>
              </w:rPr>
              <w:t>an</w:t>
            </w:r>
            <w:r>
              <w:rPr>
                <w:spacing w:val="-3"/>
                <w:sz w:val="20"/>
              </w:rPr>
              <w:t xml:space="preserve"> </w:t>
            </w:r>
            <w:r>
              <w:rPr>
                <w:sz w:val="20"/>
              </w:rPr>
              <w:t>addict.</w:t>
            </w:r>
            <w:r>
              <w:rPr>
                <w:spacing w:val="-4"/>
                <w:sz w:val="20"/>
              </w:rPr>
              <w:t xml:space="preserve"> </w:t>
            </w:r>
            <w:r>
              <w:rPr>
                <w:sz w:val="20"/>
              </w:rPr>
              <w:t>You</w:t>
            </w:r>
            <w:r>
              <w:rPr>
                <w:spacing w:val="-2"/>
                <w:sz w:val="20"/>
              </w:rPr>
              <w:t xml:space="preserve"> </w:t>
            </w:r>
            <w:r>
              <w:rPr>
                <w:sz w:val="20"/>
              </w:rPr>
              <w:t>have</w:t>
            </w:r>
            <w:r>
              <w:rPr>
                <w:spacing w:val="-5"/>
                <w:sz w:val="20"/>
              </w:rPr>
              <w:t xml:space="preserve"> </w:t>
            </w:r>
            <w:r>
              <w:rPr>
                <w:sz w:val="20"/>
              </w:rPr>
              <w:t>to</w:t>
            </w:r>
            <w:r>
              <w:rPr>
                <w:spacing w:val="-4"/>
                <w:sz w:val="20"/>
              </w:rPr>
              <w:t xml:space="preserve"> </w:t>
            </w:r>
            <w:r>
              <w:rPr>
                <w:sz w:val="20"/>
              </w:rPr>
              <w:t>admit</w:t>
            </w:r>
            <w:r>
              <w:rPr>
                <w:spacing w:val="-4"/>
                <w:sz w:val="20"/>
              </w:rPr>
              <w:t xml:space="preserve"> </w:t>
            </w:r>
            <w:r>
              <w:rPr>
                <w:sz w:val="20"/>
              </w:rPr>
              <w:t>you</w:t>
            </w:r>
            <w:r>
              <w:rPr>
                <w:spacing w:val="-3"/>
                <w:sz w:val="20"/>
              </w:rPr>
              <w:t xml:space="preserve"> </w:t>
            </w:r>
            <w:r>
              <w:rPr>
                <w:sz w:val="20"/>
              </w:rPr>
              <w:t>are</w:t>
            </w:r>
            <w:r>
              <w:rPr>
                <w:spacing w:val="-4"/>
                <w:sz w:val="20"/>
              </w:rPr>
              <w:t xml:space="preserve"> </w:t>
            </w:r>
            <w:r>
              <w:rPr>
                <w:sz w:val="20"/>
              </w:rPr>
              <w:t>powerless</w:t>
            </w:r>
            <w:r>
              <w:rPr>
                <w:spacing w:val="-5"/>
                <w:sz w:val="20"/>
              </w:rPr>
              <w:t xml:space="preserve"> </w:t>
            </w:r>
            <w:r>
              <w:rPr>
                <w:sz w:val="20"/>
              </w:rPr>
              <w:t>over</w:t>
            </w:r>
            <w:r>
              <w:rPr>
                <w:spacing w:val="-4"/>
                <w:sz w:val="20"/>
              </w:rPr>
              <w:t xml:space="preserve"> </w:t>
            </w:r>
            <w:r>
              <w:rPr>
                <w:sz w:val="20"/>
              </w:rPr>
              <w:t>it</w:t>
            </w:r>
            <w:r>
              <w:rPr>
                <w:spacing w:val="-4"/>
                <w:sz w:val="20"/>
              </w:rPr>
              <w:t xml:space="preserve"> </w:t>
            </w:r>
            <w:r>
              <w:rPr>
                <w:sz w:val="20"/>
              </w:rPr>
              <w:t>before</w:t>
            </w:r>
            <w:r>
              <w:rPr>
                <w:spacing w:val="-5"/>
                <w:sz w:val="20"/>
              </w:rPr>
              <w:t xml:space="preserve"> </w:t>
            </w:r>
            <w:r>
              <w:rPr>
                <w:sz w:val="20"/>
              </w:rPr>
              <w:t>you</w:t>
            </w:r>
            <w:r>
              <w:rPr>
                <w:spacing w:val="-3"/>
                <w:sz w:val="20"/>
              </w:rPr>
              <w:t xml:space="preserve"> </w:t>
            </w:r>
            <w:r>
              <w:rPr>
                <w:sz w:val="20"/>
              </w:rPr>
              <w:t>can</w:t>
            </w:r>
            <w:r>
              <w:rPr>
                <w:spacing w:val="-2"/>
                <w:sz w:val="20"/>
              </w:rPr>
              <w:t xml:space="preserve"> better.</w:t>
            </w:r>
          </w:p>
          <w:p w14:paraId="18490BCC" w14:textId="77777777" w:rsidR="00DB6E1F" w:rsidRDefault="00F666A6">
            <w:pPr>
              <w:pStyle w:val="TableParagraph"/>
              <w:spacing w:before="0" w:line="243" w:lineRule="exact"/>
              <w:rPr>
                <w:b/>
                <w:sz w:val="20"/>
              </w:rPr>
            </w:pPr>
            <w:r>
              <w:rPr>
                <w:b/>
                <w:sz w:val="20"/>
              </w:rPr>
              <w:t>12.</w:t>
            </w:r>
            <w:r>
              <w:rPr>
                <w:b/>
                <w:spacing w:val="-6"/>
                <w:sz w:val="20"/>
              </w:rPr>
              <w:t xml:space="preserve"> </w:t>
            </w:r>
            <w:r>
              <w:rPr>
                <w:b/>
                <w:sz w:val="20"/>
              </w:rPr>
              <w:t>Therapist</w:t>
            </w:r>
            <w:r>
              <w:rPr>
                <w:b/>
                <w:spacing w:val="-6"/>
                <w:sz w:val="20"/>
              </w:rPr>
              <w:t xml:space="preserve"> </w:t>
            </w:r>
            <w:r>
              <w:rPr>
                <w:b/>
                <w:sz w:val="20"/>
              </w:rPr>
              <w:t>statement</w:t>
            </w:r>
            <w:r>
              <w:rPr>
                <w:b/>
                <w:spacing w:val="-6"/>
                <w:sz w:val="20"/>
              </w:rPr>
              <w:t xml:space="preserve"> </w:t>
            </w:r>
            <w:r>
              <w:rPr>
                <w:b/>
                <w:sz w:val="20"/>
              </w:rPr>
              <w:t>#2</w:t>
            </w:r>
            <w:r>
              <w:rPr>
                <w:b/>
                <w:spacing w:val="-5"/>
                <w:sz w:val="20"/>
              </w:rPr>
              <w:t xml:space="preserve"> </w:t>
            </w:r>
            <w:r>
              <w:rPr>
                <w:b/>
                <w:spacing w:val="-2"/>
                <w:sz w:val="20"/>
              </w:rPr>
              <w:t>represents</w:t>
            </w:r>
          </w:p>
          <w:p w14:paraId="455657C4" w14:textId="77777777" w:rsidR="00DB6E1F" w:rsidRDefault="00F666A6">
            <w:pPr>
              <w:pStyle w:val="TableParagraph"/>
              <w:numPr>
                <w:ilvl w:val="0"/>
                <w:numId w:val="13"/>
              </w:numPr>
              <w:tabs>
                <w:tab w:val="left" w:pos="310"/>
              </w:tabs>
              <w:ind w:hanging="203"/>
              <w:rPr>
                <w:sz w:val="20"/>
              </w:rPr>
            </w:pPr>
            <w:r>
              <w:rPr>
                <w:sz w:val="20"/>
              </w:rPr>
              <w:t>a</w:t>
            </w:r>
            <w:r>
              <w:rPr>
                <w:spacing w:val="-5"/>
                <w:sz w:val="20"/>
              </w:rPr>
              <w:t xml:space="preserve"> </w:t>
            </w:r>
            <w:r>
              <w:rPr>
                <w:sz w:val="20"/>
              </w:rPr>
              <w:t>failure</w:t>
            </w:r>
            <w:r>
              <w:rPr>
                <w:spacing w:val="-6"/>
                <w:sz w:val="20"/>
              </w:rPr>
              <w:t xml:space="preserve"> </w:t>
            </w:r>
            <w:r>
              <w:rPr>
                <w:sz w:val="20"/>
              </w:rPr>
              <w:t>to</w:t>
            </w:r>
            <w:r>
              <w:rPr>
                <w:spacing w:val="-5"/>
                <w:sz w:val="20"/>
              </w:rPr>
              <w:t xml:space="preserve"> </w:t>
            </w:r>
            <w:r>
              <w:rPr>
                <w:sz w:val="20"/>
              </w:rPr>
              <w:t>express</w:t>
            </w:r>
            <w:r>
              <w:rPr>
                <w:spacing w:val="-4"/>
                <w:sz w:val="20"/>
              </w:rPr>
              <w:t xml:space="preserve"> </w:t>
            </w:r>
            <w:r>
              <w:rPr>
                <w:spacing w:val="-2"/>
                <w:sz w:val="20"/>
              </w:rPr>
              <w:t>empathy</w:t>
            </w:r>
          </w:p>
          <w:p w14:paraId="1C71DF0F" w14:textId="77777777" w:rsidR="00DB6E1F" w:rsidRDefault="00F666A6">
            <w:pPr>
              <w:pStyle w:val="TableParagraph"/>
              <w:numPr>
                <w:ilvl w:val="0"/>
                <w:numId w:val="13"/>
              </w:numPr>
              <w:tabs>
                <w:tab w:val="left" w:pos="319"/>
              </w:tabs>
              <w:spacing w:before="0"/>
              <w:ind w:left="318" w:hanging="212"/>
              <w:rPr>
                <w:sz w:val="20"/>
              </w:rPr>
            </w:pPr>
            <w:r>
              <w:rPr>
                <w:sz w:val="20"/>
              </w:rPr>
              <w:t>a</w:t>
            </w:r>
            <w:r>
              <w:rPr>
                <w:spacing w:val="-5"/>
                <w:sz w:val="20"/>
              </w:rPr>
              <w:t xml:space="preserve"> </w:t>
            </w:r>
            <w:r>
              <w:rPr>
                <w:sz w:val="20"/>
              </w:rPr>
              <w:t>failure</w:t>
            </w:r>
            <w:r>
              <w:rPr>
                <w:spacing w:val="-6"/>
                <w:sz w:val="20"/>
              </w:rPr>
              <w:t xml:space="preserve"> </w:t>
            </w:r>
            <w:r>
              <w:rPr>
                <w:sz w:val="20"/>
              </w:rPr>
              <w:t>to</w:t>
            </w:r>
            <w:r>
              <w:rPr>
                <w:spacing w:val="-5"/>
                <w:sz w:val="20"/>
              </w:rPr>
              <w:t xml:space="preserve"> </w:t>
            </w:r>
            <w:r>
              <w:rPr>
                <w:sz w:val="20"/>
              </w:rPr>
              <w:t>develop</w:t>
            </w:r>
            <w:r>
              <w:rPr>
                <w:spacing w:val="-4"/>
                <w:sz w:val="20"/>
              </w:rPr>
              <w:t xml:space="preserve"> </w:t>
            </w:r>
            <w:r>
              <w:rPr>
                <w:spacing w:val="-2"/>
                <w:sz w:val="20"/>
              </w:rPr>
              <w:t>discrepancy</w:t>
            </w:r>
          </w:p>
          <w:p w14:paraId="578708A8" w14:textId="77777777" w:rsidR="00DB6E1F" w:rsidRDefault="00F666A6">
            <w:pPr>
              <w:pStyle w:val="TableParagraph"/>
              <w:numPr>
                <w:ilvl w:val="0"/>
                <w:numId w:val="13"/>
              </w:numPr>
              <w:tabs>
                <w:tab w:val="left" w:pos="298"/>
              </w:tabs>
              <w:spacing w:line="243" w:lineRule="exact"/>
              <w:ind w:left="297" w:hanging="191"/>
              <w:rPr>
                <w:sz w:val="20"/>
              </w:rPr>
            </w:pPr>
            <w:r>
              <w:rPr>
                <w:sz w:val="20"/>
              </w:rPr>
              <w:t>a</w:t>
            </w:r>
            <w:r>
              <w:rPr>
                <w:spacing w:val="-5"/>
                <w:sz w:val="20"/>
              </w:rPr>
              <w:t xml:space="preserve"> </w:t>
            </w:r>
            <w:r>
              <w:rPr>
                <w:sz w:val="20"/>
              </w:rPr>
              <w:t>failure</w:t>
            </w:r>
            <w:r>
              <w:rPr>
                <w:spacing w:val="-5"/>
                <w:sz w:val="20"/>
              </w:rPr>
              <w:t xml:space="preserve"> </w:t>
            </w:r>
            <w:r>
              <w:rPr>
                <w:sz w:val="20"/>
              </w:rPr>
              <w:t>to</w:t>
            </w:r>
            <w:r>
              <w:rPr>
                <w:spacing w:val="-4"/>
                <w:sz w:val="20"/>
              </w:rPr>
              <w:t xml:space="preserve"> </w:t>
            </w:r>
            <w:r>
              <w:rPr>
                <w:sz w:val="20"/>
              </w:rPr>
              <w:t>explore</w:t>
            </w:r>
            <w:r>
              <w:rPr>
                <w:spacing w:val="-6"/>
                <w:sz w:val="20"/>
              </w:rPr>
              <w:t xml:space="preserve"> </w:t>
            </w:r>
            <w:r>
              <w:rPr>
                <w:spacing w:val="-2"/>
                <w:sz w:val="20"/>
              </w:rPr>
              <w:t>ambivalence</w:t>
            </w:r>
          </w:p>
          <w:p w14:paraId="7263F66F" w14:textId="77777777" w:rsidR="00DB6E1F" w:rsidRDefault="00F666A6">
            <w:pPr>
              <w:pStyle w:val="TableParagraph"/>
              <w:numPr>
                <w:ilvl w:val="0"/>
                <w:numId w:val="13"/>
              </w:numPr>
              <w:tabs>
                <w:tab w:val="left" w:pos="319"/>
              </w:tabs>
              <w:spacing w:before="0" w:line="243" w:lineRule="exact"/>
              <w:ind w:left="318" w:hanging="212"/>
              <w:rPr>
                <w:sz w:val="20"/>
              </w:rPr>
            </w:pPr>
            <w:r>
              <w:rPr>
                <w:sz w:val="20"/>
              </w:rPr>
              <w:t>all</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above</w:t>
            </w:r>
          </w:p>
          <w:p w14:paraId="7FF2059E" w14:textId="77777777" w:rsidR="00DB6E1F" w:rsidRDefault="00F666A6">
            <w:pPr>
              <w:pStyle w:val="TableParagraph"/>
              <w:numPr>
                <w:ilvl w:val="0"/>
                <w:numId w:val="13"/>
              </w:numPr>
              <w:tabs>
                <w:tab w:val="left" w:pos="312"/>
              </w:tabs>
              <w:ind w:left="311" w:hanging="205"/>
              <w:rPr>
                <w:sz w:val="20"/>
              </w:rPr>
            </w:pPr>
            <w:r>
              <w:rPr>
                <w:sz w:val="20"/>
              </w:rPr>
              <w:t>none</w:t>
            </w:r>
            <w:r>
              <w:rPr>
                <w:spacing w:val="-4"/>
                <w:sz w:val="20"/>
              </w:rPr>
              <w:t xml:space="preserve"> </w:t>
            </w:r>
            <w:r>
              <w:rPr>
                <w:sz w:val="20"/>
              </w:rPr>
              <w:t>of</w:t>
            </w:r>
            <w:r>
              <w:rPr>
                <w:spacing w:val="-4"/>
                <w:sz w:val="20"/>
              </w:rPr>
              <w:t xml:space="preserve"> </w:t>
            </w:r>
            <w:r>
              <w:rPr>
                <w:sz w:val="20"/>
              </w:rPr>
              <w:t>the</w:t>
            </w:r>
            <w:r>
              <w:rPr>
                <w:spacing w:val="-4"/>
                <w:sz w:val="20"/>
              </w:rPr>
              <w:t xml:space="preserve"> above</w:t>
            </w:r>
          </w:p>
          <w:p w14:paraId="02CE8400" w14:textId="77777777" w:rsidR="00DB6E1F" w:rsidRDefault="00F666A6">
            <w:pPr>
              <w:pStyle w:val="TableParagraph"/>
              <w:spacing w:before="120" w:line="243" w:lineRule="exact"/>
              <w:rPr>
                <w:b/>
                <w:sz w:val="20"/>
              </w:rPr>
            </w:pPr>
            <w:r>
              <w:rPr>
                <w:b/>
                <w:sz w:val="20"/>
              </w:rPr>
              <w:t>13.</w:t>
            </w:r>
            <w:r>
              <w:rPr>
                <w:b/>
                <w:spacing w:val="-6"/>
                <w:sz w:val="20"/>
              </w:rPr>
              <w:t xml:space="preserve"> </w:t>
            </w:r>
            <w:r>
              <w:rPr>
                <w:b/>
                <w:sz w:val="20"/>
              </w:rPr>
              <w:t>Therapist</w:t>
            </w:r>
            <w:r>
              <w:rPr>
                <w:b/>
                <w:spacing w:val="-5"/>
                <w:sz w:val="20"/>
              </w:rPr>
              <w:t xml:space="preserve"> </w:t>
            </w:r>
            <w:r>
              <w:rPr>
                <w:b/>
                <w:sz w:val="20"/>
              </w:rPr>
              <w:t>statements</w:t>
            </w:r>
            <w:r>
              <w:rPr>
                <w:b/>
                <w:spacing w:val="-4"/>
                <w:sz w:val="20"/>
              </w:rPr>
              <w:t xml:space="preserve"> </w:t>
            </w:r>
            <w:r>
              <w:rPr>
                <w:b/>
                <w:sz w:val="20"/>
              </w:rPr>
              <w:t>#2</w:t>
            </w:r>
            <w:r>
              <w:rPr>
                <w:b/>
                <w:spacing w:val="-3"/>
                <w:sz w:val="20"/>
              </w:rPr>
              <w:t xml:space="preserve"> </w:t>
            </w:r>
            <w:r>
              <w:rPr>
                <w:b/>
                <w:sz w:val="20"/>
              </w:rPr>
              <w:t>and</w:t>
            </w:r>
            <w:r>
              <w:rPr>
                <w:b/>
                <w:spacing w:val="-4"/>
                <w:sz w:val="20"/>
              </w:rPr>
              <w:t xml:space="preserve"> </w:t>
            </w:r>
            <w:r>
              <w:rPr>
                <w:b/>
                <w:sz w:val="20"/>
              </w:rPr>
              <w:t>#4</w:t>
            </w:r>
            <w:r>
              <w:rPr>
                <w:b/>
                <w:spacing w:val="-4"/>
                <w:sz w:val="20"/>
              </w:rPr>
              <w:t xml:space="preserve"> </w:t>
            </w:r>
            <w:r>
              <w:rPr>
                <w:b/>
                <w:sz w:val="20"/>
              </w:rPr>
              <w:t>indicate</w:t>
            </w:r>
            <w:r>
              <w:rPr>
                <w:b/>
                <w:spacing w:val="-5"/>
                <w:sz w:val="20"/>
              </w:rPr>
              <w:t xml:space="preserve"> </w:t>
            </w:r>
            <w:r>
              <w:rPr>
                <w:b/>
                <w:sz w:val="20"/>
              </w:rPr>
              <w:t>which</w:t>
            </w:r>
            <w:r>
              <w:rPr>
                <w:b/>
                <w:spacing w:val="-4"/>
                <w:sz w:val="20"/>
              </w:rPr>
              <w:t xml:space="preserve"> </w:t>
            </w:r>
            <w:r>
              <w:rPr>
                <w:b/>
                <w:sz w:val="20"/>
              </w:rPr>
              <w:t>MI</w:t>
            </w:r>
            <w:r>
              <w:rPr>
                <w:b/>
                <w:spacing w:val="-4"/>
                <w:sz w:val="20"/>
              </w:rPr>
              <w:t xml:space="preserve"> trap?</w:t>
            </w:r>
          </w:p>
          <w:p w14:paraId="47AAA261" w14:textId="77777777" w:rsidR="00DB6E1F" w:rsidRDefault="00F666A6">
            <w:pPr>
              <w:pStyle w:val="TableParagraph"/>
              <w:numPr>
                <w:ilvl w:val="0"/>
                <w:numId w:val="12"/>
              </w:numPr>
              <w:tabs>
                <w:tab w:val="left" w:pos="310"/>
              </w:tabs>
              <w:spacing w:before="0" w:line="243" w:lineRule="exact"/>
              <w:ind w:hanging="203"/>
              <w:rPr>
                <w:sz w:val="20"/>
              </w:rPr>
            </w:pPr>
            <w:r>
              <w:rPr>
                <w:sz w:val="20"/>
              </w:rPr>
              <w:t>labeling</w:t>
            </w:r>
            <w:r>
              <w:rPr>
                <w:spacing w:val="-10"/>
                <w:sz w:val="20"/>
              </w:rPr>
              <w:t xml:space="preserve"> </w:t>
            </w:r>
            <w:r>
              <w:rPr>
                <w:spacing w:val="-4"/>
                <w:sz w:val="20"/>
              </w:rPr>
              <w:t>trap</w:t>
            </w:r>
          </w:p>
          <w:p w14:paraId="78244DC9" w14:textId="77777777" w:rsidR="00DB6E1F" w:rsidRDefault="00F666A6">
            <w:pPr>
              <w:pStyle w:val="TableParagraph"/>
              <w:numPr>
                <w:ilvl w:val="0"/>
                <w:numId w:val="12"/>
              </w:numPr>
              <w:tabs>
                <w:tab w:val="left" w:pos="319"/>
              </w:tabs>
              <w:ind w:left="318" w:hanging="212"/>
              <w:rPr>
                <w:sz w:val="20"/>
              </w:rPr>
            </w:pPr>
            <w:r>
              <w:rPr>
                <w:sz w:val="20"/>
              </w:rPr>
              <w:t>Q-A</w:t>
            </w:r>
            <w:r>
              <w:rPr>
                <w:spacing w:val="-6"/>
                <w:sz w:val="20"/>
              </w:rPr>
              <w:t xml:space="preserve"> </w:t>
            </w:r>
            <w:r>
              <w:rPr>
                <w:spacing w:val="-4"/>
                <w:sz w:val="20"/>
              </w:rPr>
              <w:t>trap</w:t>
            </w:r>
          </w:p>
          <w:p w14:paraId="23C9141A" w14:textId="77777777" w:rsidR="00DB6E1F" w:rsidRDefault="00F666A6">
            <w:pPr>
              <w:pStyle w:val="TableParagraph"/>
              <w:numPr>
                <w:ilvl w:val="0"/>
                <w:numId w:val="12"/>
              </w:numPr>
              <w:tabs>
                <w:tab w:val="left" w:pos="298"/>
              </w:tabs>
              <w:ind w:left="297" w:hanging="191"/>
              <w:rPr>
                <w:sz w:val="20"/>
              </w:rPr>
            </w:pPr>
            <w:r>
              <w:rPr>
                <w:sz w:val="20"/>
              </w:rPr>
              <w:t>expert</w:t>
            </w:r>
            <w:r>
              <w:rPr>
                <w:spacing w:val="-8"/>
                <w:sz w:val="20"/>
              </w:rPr>
              <w:t xml:space="preserve"> </w:t>
            </w:r>
            <w:r>
              <w:rPr>
                <w:spacing w:val="-4"/>
                <w:sz w:val="20"/>
              </w:rPr>
              <w:t>trap</w:t>
            </w:r>
          </w:p>
          <w:p w14:paraId="7414FB7D" w14:textId="77777777" w:rsidR="00DB6E1F" w:rsidRDefault="00F666A6">
            <w:pPr>
              <w:pStyle w:val="TableParagraph"/>
              <w:numPr>
                <w:ilvl w:val="0"/>
                <w:numId w:val="12"/>
              </w:numPr>
              <w:tabs>
                <w:tab w:val="left" w:pos="319"/>
              </w:tabs>
              <w:spacing w:before="0"/>
              <w:ind w:left="318" w:hanging="212"/>
              <w:rPr>
                <w:sz w:val="20"/>
              </w:rPr>
            </w:pPr>
            <w:r>
              <w:rPr>
                <w:sz w:val="20"/>
              </w:rPr>
              <w:t>premature</w:t>
            </w:r>
            <w:r>
              <w:rPr>
                <w:spacing w:val="-8"/>
                <w:sz w:val="20"/>
              </w:rPr>
              <w:t xml:space="preserve"> </w:t>
            </w:r>
            <w:r>
              <w:rPr>
                <w:sz w:val="20"/>
              </w:rPr>
              <w:t>focus</w:t>
            </w:r>
            <w:r>
              <w:rPr>
                <w:spacing w:val="-8"/>
                <w:sz w:val="20"/>
              </w:rPr>
              <w:t xml:space="preserve"> </w:t>
            </w:r>
            <w:r>
              <w:rPr>
                <w:spacing w:val="-4"/>
                <w:sz w:val="20"/>
              </w:rPr>
              <w:t>trap</w:t>
            </w:r>
          </w:p>
          <w:p w14:paraId="6400E6A4" w14:textId="77777777" w:rsidR="00DB6E1F" w:rsidRDefault="00F666A6">
            <w:pPr>
              <w:pStyle w:val="TableParagraph"/>
              <w:numPr>
                <w:ilvl w:val="0"/>
                <w:numId w:val="12"/>
              </w:numPr>
              <w:tabs>
                <w:tab w:val="left" w:pos="312"/>
              </w:tabs>
              <w:ind w:left="311" w:hanging="205"/>
              <w:rPr>
                <w:sz w:val="20"/>
              </w:rPr>
            </w:pPr>
            <w:r>
              <w:rPr>
                <w:sz w:val="20"/>
              </w:rPr>
              <w:t>blaming</w:t>
            </w:r>
            <w:r>
              <w:rPr>
                <w:spacing w:val="-10"/>
                <w:sz w:val="20"/>
              </w:rPr>
              <w:t xml:space="preserve"> </w:t>
            </w:r>
            <w:r>
              <w:rPr>
                <w:spacing w:val="-4"/>
                <w:sz w:val="20"/>
              </w:rPr>
              <w:t>trap</w:t>
            </w:r>
          </w:p>
          <w:p w14:paraId="119D01B7" w14:textId="77777777" w:rsidR="00DB6E1F" w:rsidRDefault="00F666A6">
            <w:pPr>
              <w:pStyle w:val="TableParagraph"/>
              <w:spacing w:before="118"/>
              <w:rPr>
                <w:b/>
                <w:sz w:val="20"/>
              </w:rPr>
            </w:pPr>
            <w:r>
              <w:rPr>
                <w:b/>
                <w:sz w:val="20"/>
              </w:rPr>
              <w:t>14.</w:t>
            </w:r>
            <w:r>
              <w:rPr>
                <w:b/>
                <w:spacing w:val="-6"/>
                <w:sz w:val="20"/>
              </w:rPr>
              <w:t xml:space="preserve"> </w:t>
            </w:r>
            <w:r>
              <w:rPr>
                <w:b/>
                <w:sz w:val="20"/>
              </w:rPr>
              <w:t>Therapist</w:t>
            </w:r>
            <w:r>
              <w:rPr>
                <w:b/>
                <w:spacing w:val="-5"/>
                <w:sz w:val="20"/>
              </w:rPr>
              <w:t xml:space="preserve"> </w:t>
            </w:r>
            <w:r>
              <w:rPr>
                <w:b/>
                <w:sz w:val="20"/>
              </w:rPr>
              <w:t>statement</w:t>
            </w:r>
            <w:r>
              <w:rPr>
                <w:b/>
                <w:spacing w:val="-5"/>
                <w:sz w:val="20"/>
              </w:rPr>
              <w:t xml:space="preserve"> </w:t>
            </w:r>
            <w:r>
              <w:rPr>
                <w:b/>
                <w:sz w:val="20"/>
              </w:rPr>
              <w:t>#6</w:t>
            </w:r>
            <w:r>
              <w:rPr>
                <w:b/>
                <w:spacing w:val="-5"/>
                <w:sz w:val="20"/>
              </w:rPr>
              <w:t xml:space="preserve"> </w:t>
            </w:r>
            <w:r>
              <w:rPr>
                <w:b/>
                <w:sz w:val="20"/>
              </w:rPr>
              <w:t>reflects</w:t>
            </w:r>
            <w:r>
              <w:rPr>
                <w:b/>
                <w:spacing w:val="-5"/>
                <w:sz w:val="20"/>
              </w:rPr>
              <w:t xml:space="preserve"> </w:t>
            </w:r>
            <w:r>
              <w:rPr>
                <w:b/>
                <w:sz w:val="20"/>
              </w:rPr>
              <w:t>which</w:t>
            </w:r>
            <w:r>
              <w:rPr>
                <w:b/>
                <w:spacing w:val="-5"/>
                <w:sz w:val="20"/>
              </w:rPr>
              <w:t xml:space="preserve"> </w:t>
            </w:r>
            <w:r>
              <w:rPr>
                <w:b/>
                <w:sz w:val="20"/>
              </w:rPr>
              <w:t>MI</w:t>
            </w:r>
            <w:r>
              <w:rPr>
                <w:b/>
                <w:spacing w:val="-5"/>
                <w:sz w:val="20"/>
              </w:rPr>
              <w:t xml:space="preserve"> </w:t>
            </w:r>
            <w:r>
              <w:rPr>
                <w:b/>
                <w:spacing w:val="-4"/>
                <w:sz w:val="20"/>
              </w:rPr>
              <w:t>trap?</w:t>
            </w:r>
          </w:p>
          <w:p w14:paraId="4F577EAE" w14:textId="77777777" w:rsidR="00DB6E1F" w:rsidRDefault="00F666A6">
            <w:pPr>
              <w:pStyle w:val="TableParagraph"/>
              <w:numPr>
                <w:ilvl w:val="0"/>
                <w:numId w:val="11"/>
              </w:numPr>
              <w:tabs>
                <w:tab w:val="left" w:pos="310"/>
              </w:tabs>
              <w:ind w:hanging="203"/>
              <w:rPr>
                <w:sz w:val="20"/>
              </w:rPr>
            </w:pPr>
            <w:r>
              <w:rPr>
                <w:sz w:val="20"/>
              </w:rPr>
              <w:t>labeling</w:t>
            </w:r>
            <w:r>
              <w:rPr>
                <w:spacing w:val="-10"/>
                <w:sz w:val="20"/>
              </w:rPr>
              <w:t xml:space="preserve"> </w:t>
            </w:r>
            <w:r>
              <w:rPr>
                <w:spacing w:val="-4"/>
                <w:sz w:val="20"/>
              </w:rPr>
              <w:t>trap</w:t>
            </w:r>
          </w:p>
          <w:p w14:paraId="6AA3B1B3" w14:textId="77777777" w:rsidR="00DB6E1F" w:rsidRDefault="00F666A6">
            <w:pPr>
              <w:pStyle w:val="TableParagraph"/>
              <w:numPr>
                <w:ilvl w:val="0"/>
                <w:numId w:val="11"/>
              </w:numPr>
              <w:tabs>
                <w:tab w:val="left" w:pos="319"/>
              </w:tabs>
              <w:spacing w:before="0" w:line="243" w:lineRule="exact"/>
              <w:ind w:left="318" w:hanging="212"/>
              <w:rPr>
                <w:sz w:val="20"/>
              </w:rPr>
            </w:pPr>
            <w:r>
              <w:rPr>
                <w:sz w:val="20"/>
              </w:rPr>
              <w:t>Q-A</w:t>
            </w:r>
            <w:r>
              <w:rPr>
                <w:spacing w:val="-6"/>
                <w:sz w:val="20"/>
              </w:rPr>
              <w:t xml:space="preserve"> </w:t>
            </w:r>
            <w:r>
              <w:rPr>
                <w:spacing w:val="-4"/>
                <w:sz w:val="20"/>
              </w:rPr>
              <w:t>trap</w:t>
            </w:r>
          </w:p>
          <w:p w14:paraId="24E50DB9" w14:textId="77777777" w:rsidR="00DB6E1F" w:rsidRDefault="00F666A6">
            <w:pPr>
              <w:pStyle w:val="TableParagraph"/>
              <w:numPr>
                <w:ilvl w:val="0"/>
                <w:numId w:val="11"/>
              </w:numPr>
              <w:tabs>
                <w:tab w:val="left" w:pos="298"/>
              </w:tabs>
              <w:spacing w:before="0" w:line="243" w:lineRule="exact"/>
              <w:ind w:left="297" w:hanging="191"/>
              <w:rPr>
                <w:sz w:val="20"/>
              </w:rPr>
            </w:pPr>
            <w:r>
              <w:rPr>
                <w:sz w:val="20"/>
              </w:rPr>
              <w:t>expert</w:t>
            </w:r>
            <w:r>
              <w:rPr>
                <w:spacing w:val="-8"/>
                <w:sz w:val="20"/>
              </w:rPr>
              <w:t xml:space="preserve"> </w:t>
            </w:r>
            <w:r>
              <w:rPr>
                <w:spacing w:val="-4"/>
                <w:sz w:val="20"/>
              </w:rPr>
              <w:t>trap</w:t>
            </w:r>
          </w:p>
          <w:p w14:paraId="024C490E" w14:textId="77777777" w:rsidR="00DB6E1F" w:rsidRDefault="00F666A6">
            <w:pPr>
              <w:pStyle w:val="TableParagraph"/>
              <w:numPr>
                <w:ilvl w:val="0"/>
                <w:numId w:val="11"/>
              </w:numPr>
              <w:tabs>
                <w:tab w:val="left" w:pos="319"/>
              </w:tabs>
              <w:ind w:left="318" w:hanging="212"/>
              <w:rPr>
                <w:sz w:val="20"/>
              </w:rPr>
            </w:pPr>
            <w:r>
              <w:rPr>
                <w:sz w:val="20"/>
              </w:rPr>
              <w:t>premature</w:t>
            </w:r>
            <w:r>
              <w:rPr>
                <w:spacing w:val="-8"/>
                <w:sz w:val="20"/>
              </w:rPr>
              <w:t xml:space="preserve"> </w:t>
            </w:r>
            <w:r>
              <w:rPr>
                <w:sz w:val="20"/>
              </w:rPr>
              <w:t>focus</w:t>
            </w:r>
            <w:r>
              <w:rPr>
                <w:spacing w:val="-8"/>
                <w:sz w:val="20"/>
              </w:rPr>
              <w:t xml:space="preserve"> </w:t>
            </w:r>
            <w:r>
              <w:rPr>
                <w:spacing w:val="-4"/>
                <w:sz w:val="20"/>
              </w:rPr>
              <w:t>trap</w:t>
            </w:r>
          </w:p>
          <w:p w14:paraId="439B3F34" w14:textId="77777777" w:rsidR="00DB6E1F" w:rsidRDefault="00F666A6">
            <w:pPr>
              <w:pStyle w:val="TableParagraph"/>
              <w:numPr>
                <w:ilvl w:val="0"/>
                <w:numId w:val="11"/>
              </w:numPr>
              <w:tabs>
                <w:tab w:val="left" w:pos="312"/>
              </w:tabs>
              <w:ind w:left="311" w:hanging="205"/>
              <w:rPr>
                <w:sz w:val="20"/>
              </w:rPr>
            </w:pPr>
            <w:r>
              <w:rPr>
                <w:sz w:val="20"/>
              </w:rPr>
              <w:t>blaming</w:t>
            </w:r>
            <w:r>
              <w:rPr>
                <w:spacing w:val="-10"/>
                <w:sz w:val="20"/>
              </w:rPr>
              <w:t xml:space="preserve"> </w:t>
            </w:r>
            <w:r>
              <w:rPr>
                <w:spacing w:val="-4"/>
                <w:sz w:val="20"/>
              </w:rPr>
              <w:t>trap</w:t>
            </w:r>
          </w:p>
        </w:tc>
      </w:tr>
    </w:tbl>
    <w:p w14:paraId="370BA6BA" w14:textId="77777777" w:rsidR="00DB6E1F" w:rsidRDefault="00DB6E1F">
      <w:pPr>
        <w:rPr>
          <w:sz w:val="20"/>
        </w:rPr>
        <w:sectPr w:rsidR="00DB6E1F">
          <w:pgSz w:w="12240" w:h="15840"/>
          <w:pgMar w:top="1200" w:right="0" w:bottom="780" w:left="0" w:header="763" w:footer="585" w:gutter="0"/>
          <w:cols w:space="720"/>
        </w:sectPr>
      </w:pPr>
    </w:p>
    <w:p w14:paraId="55080A08"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2E10F6BE" w14:textId="77777777">
        <w:trPr>
          <w:trHeight w:val="12803"/>
        </w:trPr>
        <w:tc>
          <w:tcPr>
            <w:tcW w:w="9350" w:type="dxa"/>
          </w:tcPr>
          <w:p w14:paraId="3075B44B" w14:textId="77777777" w:rsidR="00DB6E1F" w:rsidRDefault="00F666A6">
            <w:pPr>
              <w:pStyle w:val="TableParagraph"/>
              <w:rPr>
                <w:b/>
                <w:sz w:val="20"/>
              </w:rPr>
            </w:pPr>
            <w:r>
              <w:rPr>
                <w:b/>
                <w:sz w:val="20"/>
              </w:rPr>
              <w:t>15.</w:t>
            </w:r>
            <w:r>
              <w:rPr>
                <w:b/>
                <w:spacing w:val="-6"/>
                <w:sz w:val="20"/>
              </w:rPr>
              <w:t xml:space="preserve"> </w:t>
            </w:r>
            <w:r>
              <w:rPr>
                <w:b/>
                <w:sz w:val="20"/>
              </w:rPr>
              <w:t>Therapist</w:t>
            </w:r>
            <w:r>
              <w:rPr>
                <w:b/>
                <w:spacing w:val="-6"/>
                <w:sz w:val="20"/>
              </w:rPr>
              <w:t xml:space="preserve"> </w:t>
            </w:r>
            <w:r>
              <w:rPr>
                <w:b/>
                <w:sz w:val="20"/>
              </w:rPr>
              <w:t>statement</w:t>
            </w:r>
            <w:r>
              <w:rPr>
                <w:b/>
                <w:spacing w:val="-6"/>
                <w:sz w:val="20"/>
              </w:rPr>
              <w:t xml:space="preserve"> </w:t>
            </w:r>
            <w:r>
              <w:rPr>
                <w:b/>
                <w:sz w:val="20"/>
              </w:rPr>
              <w:t>#8</w:t>
            </w:r>
            <w:r>
              <w:rPr>
                <w:b/>
                <w:spacing w:val="-5"/>
                <w:sz w:val="20"/>
              </w:rPr>
              <w:t xml:space="preserve"> </w:t>
            </w:r>
            <w:r>
              <w:rPr>
                <w:b/>
                <w:spacing w:val="-2"/>
                <w:sz w:val="20"/>
              </w:rPr>
              <w:t>represents</w:t>
            </w:r>
          </w:p>
          <w:p w14:paraId="2E925D7D" w14:textId="77777777" w:rsidR="00DB6E1F" w:rsidRDefault="00F666A6">
            <w:pPr>
              <w:pStyle w:val="TableParagraph"/>
              <w:numPr>
                <w:ilvl w:val="0"/>
                <w:numId w:val="10"/>
              </w:numPr>
              <w:tabs>
                <w:tab w:val="left" w:pos="310"/>
              </w:tabs>
              <w:spacing w:line="243" w:lineRule="exact"/>
              <w:ind w:hanging="203"/>
              <w:rPr>
                <w:sz w:val="20"/>
              </w:rPr>
            </w:pPr>
            <w:r>
              <w:rPr>
                <w:sz w:val="20"/>
              </w:rPr>
              <w:t>a</w:t>
            </w:r>
            <w:r>
              <w:rPr>
                <w:spacing w:val="-5"/>
                <w:sz w:val="20"/>
              </w:rPr>
              <w:t xml:space="preserve"> </w:t>
            </w:r>
            <w:r>
              <w:rPr>
                <w:sz w:val="20"/>
              </w:rPr>
              <w:t>confrontation</w:t>
            </w:r>
            <w:r>
              <w:rPr>
                <w:spacing w:val="-5"/>
                <w:sz w:val="20"/>
              </w:rPr>
              <w:t xml:space="preserve"> </w:t>
            </w:r>
            <w:r>
              <w:rPr>
                <w:sz w:val="20"/>
              </w:rPr>
              <w:t>of</w:t>
            </w:r>
            <w:r>
              <w:rPr>
                <w:spacing w:val="-6"/>
                <w:sz w:val="20"/>
              </w:rPr>
              <w:t xml:space="preserve"> </w:t>
            </w:r>
            <w:r>
              <w:rPr>
                <w:spacing w:val="-2"/>
                <w:sz w:val="20"/>
              </w:rPr>
              <w:t>denial</w:t>
            </w:r>
          </w:p>
          <w:p w14:paraId="40195FC0" w14:textId="77777777" w:rsidR="00DB6E1F" w:rsidRDefault="00F666A6">
            <w:pPr>
              <w:pStyle w:val="TableParagraph"/>
              <w:numPr>
                <w:ilvl w:val="0"/>
                <w:numId w:val="10"/>
              </w:numPr>
              <w:tabs>
                <w:tab w:val="left" w:pos="319"/>
              </w:tabs>
              <w:spacing w:before="0" w:line="243" w:lineRule="exact"/>
              <w:ind w:left="318" w:hanging="212"/>
              <w:rPr>
                <w:sz w:val="20"/>
              </w:rPr>
            </w:pPr>
            <w:r>
              <w:rPr>
                <w:sz w:val="20"/>
              </w:rPr>
              <w:t>an</w:t>
            </w:r>
            <w:r>
              <w:rPr>
                <w:spacing w:val="-6"/>
                <w:sz w:val="20"/>
              </w:rPr>
              <w:t xml:space="preserve"> </w:t>
            </w:r>
            <w:r>
              <w:rPr>
                <w:sz w:val="20"/>
              </w:rPr>
              <w:t>accurate</w:t>
            </w:r>
            <w:r>
              <w:rPr>
                <w:spacing w:val="-7"/>
                <w:sz w:val="20"/>
              </w:rPr>
              <w:t xml:space="preserve"> </w:t>
            </w:r>
            <w:r>
              <w:rPr>
                <w:spacing w:val="-2"/>
                <w:sz w:val="20"/>
              </w:rPr>
              <w:t>reflection</w:t>
            </w:r>
          </w:p>
          <w:p w14:paraId="287B0C56" w14:textId="77777777" w:rsidR="00DB6E1F" w:rsidRDefault="00F666A6">
            <w:pPr>
              <w:pStyle w:val="TableParagraph"/>
              <w:numPr>
                <w:ilvl w:val="0"/>
                <w:numId w:val="10"/>
              </w:numPr>
              <w:tabs>
                <w:tab w:val="left" w:pos="298"/>
              </w:tabs>
              <w:spacing w:before="0"/>
              <w:ind w:left="297" w:hanging="191"/>
              <w:rPr>
                <w:sz w:val="20"/>
              </w:rPr>
            </w:pPr>
            <w:r>
              <w:rPr>
                <w:sz w:val="20"/>
              </w:rPr>
              <w:t>a</w:t>
            </w:r>
            <w:r>
              <w:rPr>
                <w:spacing w:val="-4"/>
                <w:sz w:val="20"/>
              </w:rPr>
              <w:t xml:space="preserve"> </w:t>
            </w:r>
            <w:r>
              <w:rPr>
                <w:sz w:val="20"/>
              </w:rPr>
              <w:t>failure</w:t>
            </w:r>
            <w:r>
              <w:rPr>
                <w:spacing w:val="-5"/>
                <w:sz w:val="20"/>
              </w:rPr>
              <w:t xml:space="preserve"> </w:t>
            </w:r>
            <w:r>
              <w:rPr>
                <w:sz w:val="20"/>
              </w:rPr>
              <w:t>to</w:t>
            </w:r>
            <w:r>
              <w:rPr>
                <w:spacing w:val="-4"/>
                <w:sz w:val="20"/>
              </w:rPr>
              <w:t xml:space="preserve"> </w:t>
            </w:r>
            <w:r>
              <w:rPr>
                <w:sz w:val="20"/>
              </w:rPr>
              <w:t>roll</w:t>
            </w:r>
            <w:r>
              <w:rPr>
                <w:spacing w:val="-4"/>
                <w:sz w:val="20"/>
              </w:rPr>
              <w:t xml:space="preserve"> </w:t>
            </w:r>
            <w:r>
              <w:rPr>
                <w:sz w:val="20"/>
              </w:rPr>
              <w:t>with</w:t>
            </w:r>
            <w:r>
              <w:rPr>
                <w:spacing w:val="-3"/>
                <w:sz w:val="20"/>
              </w:rPr>
              <w:t xml:space="preserve"> </w:t>
            </w:r>
            <w:r>
              <w:rPr>
                <w:spacing w:val="-2"/>
                <w:sz w:val="20"/>
              </w:rPr>
              <w:t>resistance</w:t>
            </w:r>
          </w:p>
          <w:p w14:paraId="139512F1" w14:textId="77777777" w:rsidR="00DB6E1F" w:rsidRDefault="00F666A6">
            <w:pPr>
              <w:pStyle w:val="TableParagraph"/>
              <w:numPr>
                <w:ilvl w:val="0"/>
                <w:numId w:val="10"/>
              </w:numPr>
              <w:tabs>
                <w:tab w:val="left" w:pos="319"/>
              </w:tabs>
              <w:ind w:left="318" w:hanging="212"/>
              <w:rPr>
                <w:sz w:val="20"/>
              </w:rPr>
            </w:pPr>
            <w:r>
              <w:rPr>
                <w:sz w:val="20"/>
              </w:rPr>
              <w:t>both</w:t>
            </w:r>
            <w:r>
              <w:rPr>
                <w:spacing w:val="-3"/>
                <w:sz w:val="20"/>
              </w:rPr>
              <w:t xml:space="preserve"> </w:t>
            </w:r>
            <w:r>
              <w:rPr>
                <w:sz w:val="20"/>
              </w:rPr>
              <w:t>a</w:t>
            </w:r>
            <w:r>
              <w:rPr>
                <w:spacing w:val="-2"/>
                <w:sz w:val="20"/>
              </w:rPr>
              <w:t xml:space="preserve"> </w:t>
            </w:r>
            <w:r>
              <w:rPr>
                <w:sz w:val="20"/>
              </w:rPr>
              <w:t>and</w:t>
            </w:r>
            <w:r>
              <w:rPr>
                <w:spacing w:val="-2"/>
                <w:sz w:val="20"/>
              </w:rPr>
              <w:t xml:space="preserve"> </w:t>
            </w:r>
            <w:r>
              <w:rPr>
                <w:spacing w:val="-10"/>
                <w:sz w:val="20"/>
              </w:rPr>
              <w:t>b</w:t>
            </w:r>
          </w:p>
          <w:p w14:paraId="590456E7" w14:textId="77777777" w:rsidR="00DB6E1F" w:rsidRDefault="00F666A6">
            <w:pPr>
              <w:pStyle w:val="TableParagraph"/>
              <w:numPr>
                <w:ilvl w:val="0"/>
                <w:numId w:val="10"/>
              </w:numPr>
              <w:tabs>
                <w:tab w:val="left" w:pos="312"/>
              </w:tabs>
              <w:ind w:left="311" w:hanging="205"/>
              <w:rPr>
                <w:sz w:val="20"/>
              </w:rPr>
            </w:pPr>
            <w:r>
              <w:rPr>
                <w:sz w:val="20"/>
              </w:rPr>
              <w:t>both</w:t>
            </w:r>
            <w:r>
              <w:rPr>
                <w:spacing w:val="-2"/>
                <w:sz w:val="20"/>
              </w:rPr>
              <w:t xml:space="preserve"> </w:t>
            </w:r>
            <w:r>
              <w:rPr>
                <w:sz w:val="20"/>
              </w:rPr>
              <w:t>a</w:t>
            </w:r>
            <w:r>
              <w:rPr>
                <w:spacing w:val="-2"/>
                <w:sz w:val="20"/>
              </w:rPr>
              <w:t xml:space="preserve"> </w:t>
            </w:r>
            <w:r>
              <w:rPr>
                <w:sz w:val="20"/>
              </w:rPr>
              <w:t>and</w:t>
            </w:r>
            <w:r>
              <w:rPr>
                <w:spacing w:val="-1"/>
                <w:sz w:val="20"/>
              </w:rPr>
              <w:t xml:space="preserve"> </w:t>
            </w:r>
            <w:r>
              <w:rPr>
                <w:spacing w:val="-10"/>
                <w:sz w:val="20"/>
              </w:rPr>
              <w:t>c</w:t>
            </w:r>
          </w:p>
          <w:p w14:paraId="1686D455" w14:textId="77777777" w:rsidR="00DB6E1F" w:rsidRDefault="00F666A6">
            <w:pPr>
              <w:pStyle w:val="TableParagraph"/>
              <w:spacing w:before="118"/>
              <w:rPr>
                <w:b/>
                <w:sz w:val="20"/>
              </w:rPr>
            </w:pPr>
            <w:r>
              <w:rPr>
                <w:b/>
                <w:sz w:val="20"/>
              </w:rPr>
              <w:t>For</w:t>
            </w:r>
            <w:r>
              <w:rPr>
                <w:b/>
                <w:spacing w:val="-6"/>
                <w:sz w:val="20"/>
              </w:rPr>
              <w:t xml:space="preserve"> </w:t>
            </w:r>
            <w:r>
              <w:rPr>
                <w:b/>
                <w:sz w:val="20"/>
              </w:rPr>
              <w:t>the</w:t>
            </w:r>
            <w:r>
              <w:rPr>
                <w:b/>
                <w:spacing w:val="-5"/>
                <w:sz w:val="20"/>
              </w:rPr>
              <w:t xml:space="preserve"> </w:t>
            </w:r>
            <w:r>
              <w:rPr>
                <w:b/>
                <w:sz w:val="20"/>
              </w:rPr>
              <w:t>following</w:t>
            </w:r>
            <w:r>
              <w:rPr>
                <w:b/>
                <w:spacing w:val="-7"/>
                <w:sz w:val="20"/>
              </w:rPr>
              <w:t xml:space="preserve"> </w:t>
            </w:r>
            <w:r>
              <w:rPr>
                <w:b/>
                <w:sz w:val="20"/>
              </w:rPr>
              <w:t>exchange</w:t>
            </w:r>
            <w:r>
              <w:rPr>
                <w:b/>
                <w:spacing w:val="-6"/>
                <w:sz w:val="20"/>
              </w:rPr>
              <w:t xml:space="preserve"> </w:t>
            </w:r>
            <w:r>
              <w:rPr>
                <w:b/>
                <w:sz w:val="20"/>
              </w:rPr>
              <w:t>between</w:t>
            </w:r>
            <w:r>
              <w:rPr>
                <w:b/>
                <w:spacing w:val="-5"/>
                <w:sz w:val="20"/>
              </w:rPr>
              <w:t xml:space="preserve"> </w:t>
            </w:r>
            <w:r>
              <w:rPr>
                <w:b/>
                <w:sz w:val="20"/>
              </w:rPr>
              <w:t>client</w:t>
            </w:r>
            <w:r>
              <w:rPr>
                <w:b/>
                <w:spacing w:val="-6"/>
                <w:sz w:val="20"/>
              </w:rPr>
              <w:t xml:space="preserve"> </w:t>
            </w:r>
            <w:r>
              <w:rPr>
                <w:b/>
                <w:sz w:val="20"/>
              </w:rPr>
              <w:t>and</w:t>
            </w:r>
            <w:r>
              <w:rPr>
                <w:b/>
                <w:spacing w:val="-5"/>
                <w:sz w:val="20"/>
              </w:rPr>
              <w:t xml:space="preserve"> </w:t>
            </w:r>
            <w:r>
              <w:rPr>
                <w:b/>
                <w:sz w:val="20"/>
              </w:rPr>
              <w:t>therapist,</w:t>
            </w:r>
            <w:r>
              <w:rPr>
                <w:b/>
                <w:spacing w:val="-7"/>
                <w:sz w:val="20"/>
              </w:rPr>
              <w:t xml:space="preserve"> </w:t>
            </w:r>
            <w:r>
              <w:rPr>
                <w:b/>
                <w:sz w:val="20"/>
              </w:rPr>
              <w:t>answer</w:t>
            </w:r>
            <w:r>
              <w:rPr>
                <w:b/>
                <w:spacing w:val="-5"/>
                <w:sz w:val="20"/>
              </w:rPr>
              <w:t xml:space="preserve"> </w:t>
            </w:r>
            <w:r>
              <w:rPr>
                <w:b/>
                <w:sz w:val="20"/>
              </w:rPr>
              <w:t>the</w:t>
            </w:r>
            <w:r>
              <w:rPr>
                <w:b/>
                <w:spacing w:val="-6"/>
                <w:sz w:val="20"/>
              </w:rPr>
              <w:t xml:space="preserve"> </w:t>
            </w:r>
            <w:r>
              <w:rPr>
                <w:b/>
                <w:sz w:val="20"/>
              </w:rPr>
              <w:t>questions</w:t>
            </w:r>
            <w:r>
              <w:rPr>
                <w:b/>
                <w:spacing w:val="-6"/>
                <w:sz w:val="20"/>
              </w:rPr>
              <w:t xml:space="preserve"> </w:t>
            </w:r>
            <w:r>
              <w:rPr>
                <w:b/>
                <w:spacing w:val="-2"/>
                <w:sz w:val="20"/>
              </w:rPr>
              <w:t>below:</w:t>
            </w:r>
          </w:p>
          <w:p w14:paraId="4D8C7062" w14:textId="77777777" w:rsidR="00DB6E1F" w:rsidRDefault="00F666A6">
            <w:pPr>
              <w:pStyle w:val="TableParagraph"/>
              <w:numPr>
                <w:ilvl w:val="1"/>
                <w:numId w:val="10"/>
              </w:numPr>
              <w:tabs>
                <w:tab w:val="left" w:pos="962"/>
              </w:tabs>
              <w:rPr>
                <w:sz w:val="20"/>
              </w:rPr>
            </w:pPr>
            <w:r>
              <w:rPr>
                <w:sz w:val="20"/>
              </w:rPr>
              <w:t>T:</w:t>
            </w:r>
            <w:r>
              <w:rPr>
                <w:spacing w:val="-6"/>
                <w:sz w:val="20"/>
              </w:rPr>
              <w:t xml:space="preserve"> </w:t>
            </w:r>
            <w:r>
              <w:rPr>
                <w:sz w:val="20"/>
              </w:rPr>
              <w:t>What</w:t>
            </w:r>
            <w:r>
              <w:rPr>
                <w:spacing w:val="-4"/>
                <w:sz w:val="20"/>
              </w:rPr>
              <w:t xml:space="preserve"> </w:t>
            </w:r>
            <w:r>
              <w:rPr>
                <w:sz w:val="20"/>
              </w:rPr>
              <w:t>would</w:t>
            </w:r>
            <w:r>
              <w:rPr>
                <w:spacing w:val="-3"/>
                <w:sz w:val="20"/>
              </w:rPr>
              <w:t xml:space="preserve"> </w:t>
            </w:r>
            <w:r>
              <w:rPr>
                <w:sz w:val="20"/>
              </w:rPr>
              <w:t>you</w:t>
            </w:r>
            <w:r>
              <w:rPr>
                <w:spacing w:val="-3"/>
                <w:sz w:val="20"/>
              </w:rPr>
              <w:t xml:space="preserve"> </w:t>
            </w:r>
            <w:r>
              <w:rPr>
                <w:sz w:val="20"/>
              </w:rPr>
              <w:t>like</w:t>
            </w:r>
            <w:r>
              <w:rPr>
                <w:spacing w:val="-6"/>
                <w:sz w:val="20"/>
              </w:rPr>
              <w:t xml:space="preserve"> </w:t>
            </w:r>
            <w:r>
              <w:rPr>
                <w:sz w:val="20"/>
              </w:rPr>
              <w:t>to</w:t>
            </w:r>
            <w:r>
              <w:rPr>
                <w:spacing w:val="-4"/>
                <w:sz w:val="20"/>
              </w:rPr>
              <w:t xml:space="preserve"> </w:t>
            </w:r>
            <w:r>
              <w:rPr>
                <w:sz w:val="20"/>
              </w:rPr>
              <w:t>discuss</w:t>
            </w:r>
            <w:r>
              <w:rPr>
                <w:spacing w:val="-5"/>
                <w:sz w:val="20"/>
              </w:rPr>
              <w:t xml:space="preserve"> </w:t>
            </w:r>
            <w:r>
              <w:rPr>
                <w:spacing w:val="-2"/>
                <w:sz w:val="20"/>
              </w:rPr>
              <w:t>today?</w:t>
            </w:r>
          </w:p>
          <w:p w14:paraId="1FC03F96" w14:textId="77777777" w:rsidR="00DB6E1F" w:rsidRDefault="00F666A6">
            <w:pPr>
              <w:pStyle w:val="TableParagraph"/>
              <w:numPr>
                <w:ilvl w:val="1"/>
                <w:numId w:val="10"/>
              </w:numPr>
              <w:tabs>
                <w:tab w:val="left" w:pos="962"/>
              </w:tabs>
              <w:spacing w:before="0"/>
              <w:ind w:left="798" w:right="362" w:firstLine="0"/>
              <w:rPr>
                <w:sz w:val="20"/>
              </w:rPr>
            </w:pPr>
            <w:r>
              <w:rPr>
                <w:sz w:val="20"/>
              </w:rPr>
              <w:t>C:</w:t>
            </w:r>
            <w:r>
              <w:rPr>
                <w:spacing w:val="-3"/>
                <w:sz w:val="20"/>
              </w:rPr>
              <w:t xml:space="preserve"> </w:t>
            </w:r>
            <w:r>
              <w:rPr>
                <w:sz w:val="20"/>
              </w:rPr>
              <w:t>Look,</w:t>
            </w:r>
            <w:r>
              <w:rPr>
                <w:spacing w:val="-1"/>
                <w:sz w:val="20"/>
              </w:rPr>
              <w:t xml:space="preserve"> </w:t>
            </w:r>
            <w:r>
              <w:rPr>
                <w:sz w:val="20"/>
              </w:rPr>
              <w:t>the</w:t>
            </w:r>
            <w:r>
              <w:rPr>
                <w:spacing w:val="-3"/>
                <w:sz w:val="20"/>
              </w:rPr>
              <w:t xml:space="preserve"> </w:t>
            </w:r>
            <w:r>
              <w:rPr>
                <w:sz w:val="20"/>
              </w:rPr>
              <w:t>judge</w:t>
            </w:r>
            <w:r>
              <w:rPr>
                <w:spacing w:val="-3"/>
                <w:sz w:val="20"/>
              </w:rPr>
              <w:t xml:space="preserve"> </w:t>
            </w:r>
            <w:r>
              <w:rPr>
                <w:sz w:val="20"/>
              </w:rPr>
              <w:t>said</w:t>
            </w:r>
            <w:r>
              <w:rPr>
                <w:spacing w:val="-1"/>
                <w:sz w:val="20"/>
              </w:rPr>
              <w:t xml:space="preserve"> </w:t>
            </w:r>
            <w:r>
              <w:rPr>
                <w:sz w:val="20"/>
              </w:rPr>
              <w:t>I</w:t>
            </w:r>
            <w:r>
              <w:rPr>
                <w:spacing w:val="-2"/>
                <w:sz w:val="20"/>
              </w:rPr>
              <w:t xml:space="preserve"> </w:t>
            </w:r>
            <w:r>
              <w:rPr>
                <w:sz w:val="20"/>
              </w:rPr>
              <w:t>gotta</w:t>
            </w:r>
            <w:r>
              <w:rPr>
                <w:spacing w:val="-1"/>
                <w:sz w:val="20"/>
              </w:rPr>
              <w:t xml:space="preserve"> </w:t>
            </w:r>
            <w:r>
              <w:rPr>
                <w:sz w:val="20"/>
              </w:rPr>
              <w:t>come</w:t>
            </w:r>
            <w:r>
              <w:rPr>
                <w:spacing w:val="-3"/>
                <w:sz w:val="20"/>
              </w:rPr>
              <w:t xml:space="preserve"> </w:t>
            </w:r>
            <w:r>
              <w:rPr>
                <w:sz w:val="20"/>
              </w:rPr>
              <w:t>here,</w:t>
            </w:r>
            <w:r>
              <w:rPr>
                <w:spacing w:val="-1"/>
                <w:sz w:val="20"/>
              </w:rPr>
              <w:t xml:space="preserve"> </w:t>
            </w:r>
            <w:r>
              <w:rPr>
                <w:sz w:val="20"/>
              </w:rPr>
              <w:t>but</w:t>
            </w:r>
            <w:r>
              <w:rPr>
                <w:spacing w:val="-2"/>
                <w:sz w:val="20"/>
              </w:rPr>
              <w:t xml:space="preserve"> </w:t>
            </w:r>
            <w:r>
              <w:rPr>
                <w:sz w:val="20"/>
              </w:rPr>
              <w:t>I</w:t>
            </w:r>
            <w:r>
              <w:rPr>
                <w:spacing w:val="-2"/>
                <w:sz w:val="20"/>
              </w:rPr>
              <w:t xml:space="preserve"> </w:t>
            </w:r>
            <w:r>
              <w:rPr>
                <w:sz w:val="20"/>
              </w:rPr>
              <w:t>don’t</w:t>
            </w:r>
            <w:r>
              <w:rPr>
                <w:spacing w:val="-4"/>
                <w:sz w:val="20"/>
              </w:rPr>
              <w:t xml:space="preserve"> </w:t>
            </w:r>
            <w:r>
              <w:rPr>
                <w:sz w:val="20"/>
              </w:rPr>
              <w:t>think</w:t>
            </w:r>
            <w:r>
              <w:rPr>
                <w:spacing w:val="-1"/>
                <w:sz w:val="20"/>
              </w:rPr>
              <w:t xml:space="preserve"> </w:t>
            </w:r>
            <w:r>
              <w:rPr>
                <w:sz w:val="20"/>
              </w:rPr>
              <w:t>I</w:t>
            </w:r>
            <w:r>
              <w:rPr>
                <w:spacing w:val="-2"/>
                <w:sz w:val="20"/>
              </w:rPr>
              <w:t xml:space="preserve"> </w:t>
            </w:r>
            <w:r>
              <w:rPr>
                <w:sz w:val="20"/>
              </w:rPr>
              <w:t>need</w:t>
            </w:r>
            <w:r>
              <w:rPr>
                <w:spacing w:val="-1"/>
                <w:sz w:val="20"/>
              </w:rPr>
              <w:t xml:space="preserve"> </w:t>
            </w:r>
            <w:r>
              <w:rPr>
                <w:sz w:val="20"/>
              </w:rPr>
              <w:t>to</w:t>
            </w:r>
            <w:r>
              <w:rPr>
                <w:spacing w:val="-2"/>
                <w:sz w:val="20"/>
              </w:rPr>
              <w:t xml:space="preserve"> </w:t>
            </w:r>
            <w:r>
              <w:rPr>
                <w:sz w:val="20"/>
              </w:rPr>
              <w:t>be</w:t>
            </w:r>
            <w:r>
              <w:rPr>
                <w:spacing w:val="-3"/>
                <w:sz w:val="20"/>
              </w:rPr>
              <w:t xml:space="preserve"> </w:t>
            </w:r>
            <w:r>
              <w:rPr>
                <w:sz w:val="20"/>
              </w:rPr>
              <w:t>here,</w:t>
            </w:r>
            <w:r>
              <w:rPr>
                <w:spacing w:val="-1"/>
                <w:sz w:val="20"/>
              </w:rPr>
              <w:t xml:space="preserve"> </w:t>
            </w:r>
            <w:r>
              <w:rPr>
                <w:sz w:val="20"/>
              </w:rPr>
              <w:t>so</w:t>
            </w:r>
            <w:r>
              <w:rPr>
                <w:spacing w:val="-2"/>
                <w:sz w:val="20"/>
              </w:rPr>
              <w:t xml:space="preserve"> </w:t>
            </w:r>
            <w:r>
              <w:rPr>
                <w:sz w:val="20"/>
              </w:rPr>
              <w:t>don’t</w:t>
            </w:r>
            <w:r>
              <w:rPr>
                <w:spacing w:val="-2"/>
                <w:sz w:val="20"/>
              </w:rPr>
              <w:t xml:space="preserve"> </w:t>
            </w:r>
            <w:r>
              <w:rPr>
                <w:sz w:val="20"/>
              </w:rPr>
              <w:t>expect</w:t>
            </w:r>
            <w:r>
              <w:rPr>
                <w:spacing w:val="-2"/>
                <w:sz w:val="20"/>
              </w:rPr>
              <w:t xml:space="preserve"> </w:t>
            </w:r>
            <w:r>
              <w:rPr>
                <w:sz w:val="20"/>
              </w:rPr>
              <w:t>me</w:t>
            </w:r>
            <w:r>
              <w:rPr>
                <w:spacing w:val="-3"/>
                <w:sz w:val="20"/>
              </w:rPr>
              <w:t xml:space="preserve"> </w:t>
            </w:r>
            <w:r>
              <w:rPr>
                <w:sz w:val="20"/>
              </w:rPr>
              <w:t>to cooperate with you.</w:t>
            </w:r>
          </w:p>
          <w:p w14:paraId="2D542B1F" w14:textId="77777777" w:rsidR="00DB6E1F" w:rsidRDefault="00F666A6">
            <w:pPr>
              <w:pStyle w:val="TableParagraph"/>
              <w:numPr>
                <w:ilvl w:val="1"/>
                <w:numId w:val="10"/>
              </w:numPr>
              <w:tabs>
                <w:tab w:val="left" w:pos="962"/>
              </w:tabs>
              <w:spacing w:before="0" w:line="243" w:lineRule="exact"/>
              <w:ind w:hanging="164"/>
              <w:rPr>
                <w:sz w:val="20"/>
              </w:rPr>
            </w:pPr>
            <w:r>
              <w:rPr>
                <w:sz w:val="20"/>
              </w:rPr>
              <w:t>T:</w:t>
            </w:r>
            <w:r>
              <w:rPr>
                <w:spacing w:val="-5"/>
                <w:sz w:val="20"/>
              </w:rPr>
              <w:t xml:space="preserve"> </w:t>
            </w:r>
            <w:r>
              <w:rPr>
                <w:sz w:val="20"/>
              </w:rPr>
              <w:t>You</w:t>
            </w:r>
            <w:r>
              <w:rPr>
                <w:spacing w:val="-3"/>
                <w:sz w:val="20"/>
              </w:rPr>
              <w:t xml:space="preserve"> </w:t>
            </w:r>
            <w:r>
              <w:rPr>
                <w:sz w:val="20"/>
              </w:rPr>
              <w:t>feel</w:t>
            </w:r>
            <w:r>
              <w:rPr>
                <w:spacing w:val="-4"/>
                <w:sz w:val="20"/>
              </w:rPr>
              <w:t xml:space="preserve"> </w:t>
            </w:r>
            <w:r>
              <w:rPr>
                <w:sz w:val="20"/>
              </w:rPr>
              <w:t>that</w:t>
            </w:r>
            <w:r>
              <w:rPr>
                <w:spacing w:val="-4"/>
                <w:sz w:val="20"/>
              </w:rPr>
              <w:t xml:space="preserve"> </w:t>
            </w:r>
            <w:r>
              <w:rPr>
                <w:sz w:val="20"/>
              </w:rPr>
              <w:t>things</w:t>
            </w:r>
            <w:r>
              <w:rPr>
                <w:spacing w:val="-4"/>
                <w:sz w:val="20"/>
              </w:rPr>
              <w:t xml:space="preserve"> </w:t>
            </w:r>
            <w:r>
              <w:rPr>
                <w:sz w:val="20"/>
              </w:rPr>
              <w:t>are</w:t>
            </w:r>
            <w:r>
              <w:rPr>
                <w:spacing w:val="-5"/>
                <w:sz w:val="20"/>
              </w:rPr>
              <w:t xml:space="preserve"> </w:t>
            </w:r>
            <w:r>
              <w:rPr>
                <w:spacing w:val="-4"/>
                <w:sz w:val="20"/>
              </w:rPr>
              <w:t>fine.</w:t>
            </w:r>
          </w:p>
          <w:p w14:paraId="1106FEA2" w14:textId="77777777" w:rsidR="00DB6E1F" w:rsidRDefault="00F666A6">
            <w:pPr>
              <w:pStyle w:val="TableParagraph"/>
              <w:numPr>
                <w:ilvl w:val="1"/>
                <w:numId w:val="10"/>
              </w:numPr>
              <w:tabs>
                <w:tab w:val="left" w:pos="962"/>
              </w:tabs>
              <w:ind w:left="798" w:right="2827" w:firstLine="0"/>
              <w:rPr>
                <w:sz w:val="20"/>
              </w:rPr>
            </w:pPr>
            <w:r>
              <w:rPr>
                <w:sz w:val="20"/>
              </w:rPr>
              <w:t>C:</w:t>
            </w:r>
            <w:r>
              <w:rPr>
                <w:spacing w:val="-4"/>
                <w:sz w:val="20"/>
              </w:rPr>
              <w:t xml:space="preserve"> </w:t>
            </w:r>
            <w:r>
              <w:rPr>
                <w:sz w:val="20"/>
              </w:rPr>
              <w:t>I’m</w:t>
            </w:r>
            <w:r>
              <w:rPr>
                <w:spacing w:val="-4"/>
                <w:sz w:val="20"/>
              </w:rPr>
              <w:t xml:space="preserve"> </w:t>
            </w:r>
            <w:r>
              <w:rPr>
                <w:sz w:val="20"/>
              </w:rPr>
              <w:t>not</w:t>
            </w:r>
            <w:r>
              <w:rPr>
                <w:spacing w:val="-3"/>
                <w:sz w:val="20"/>
              </w:rPr>
              <w:t xml:space="preserve"> </w:t>
            </w:r>
            <w:r>
              <w:rPr>
                <w:sz w:val="20"/>
              </w:rPr>
              <w:t>saying</w:t>
            </w:r>
            <w:r>
              <w:rPr>
                <w:spacing w:val="-3"/>
                <w:sz w:val="20"/>
              </w:rPr>
              <w:t xml:space="preserve"> </w:t>
            </w:r>
            <w:r>
              <w:rPr>
                <w:sz w:val="20"/>
              </w:rPr>
              <w:t>that</w:t>
            </w:r>
            <w:r>
              <w:rPr>
                <w:spacing w:val="-3"/>
                <w:sz w:val="20"/>
              </w:rPr>
              <w:t xml:space="preserve"> </w:t>
            </w:r>
            <w:r>
              <w:rPr>
                <w:sz w:val="20"/>
              </w:rPr>
              <w:t>everything</w:t>
            </w:r>
            <w:r>
              <w:rPr>
                <w:spacing w:val="-3"/>
                <w:sz w:val="20"/>
              </w:rPr>
              <w:t xml:space="preserve"> </w:t>
            </w:r>
            <w:r>
              <w:rPr>
                <w:sz w:val="20"/>
              </w:rPr>
              <w:t>is</w:t>
            </w:r>
            <w:r>
              <w:rPr>
                <w:spacing w:val="-4"/>
                <w:sz w:val="20"/>
              </w:rPr>
              <w:t xml:space="preserve"> </w:t>
            </w:r>
            <w:r>
              <w:rPr>
                <w:sz w:val="20"/>
              </w:rPr>
              <w:t>perfect,</w:t>
            </w:r>
            <w:r>
              <w:rPr>
                <w:spacing w:val="-2"/>
                <w:sz w:val="20"/>
              </w:rPr>
              <w:t xml:space="preserve"> </w:t>
            </w:r>
            <w:r>
              <w:rPr>
                <w:sz w:val="20"/>
              </w:rPr>
              <w:t>but</w:t>
            </w:r>
            <w:r>
              <w:rPr>
                <w:spacing w:val="-3"/>
                <w:sz w:val="20"/>
              </w:rPr>
              <w:t xml:space="preserve"> </w:t>
            </w:r>
            <w:r>
              <w:rPr>
                <w:sz w:val="20"/>
              </w:rPr>
              <w:t>I’m</w:t>
            </w:r>
            <w:r>
              <w:rPr>
                <w:spacing w:val="-4"/>
                <w:sz w:val="20"/>
              </w:rPr>
              <w:t xml:space="preserve"> </w:t>
            </w:r>
            <w:r>
              <w:rPr>
                <w:sz w:val="20"/>
              </w:rPr>
              <w:t>not</w:t>
            </w:r>
            <w:r>
              <w:rPr>
                <w:spacing w:val="-3"/>
                <w:sz w:val="20"/>
              </w:rPr>
              <w:t xml:space="preserve"> </w:t>
            </w:r>
            <w:r>
              <w:rPr>
                <w:sz w:val="20"/>
              </w:rPr>
              <w:t>a</w:t>
            </w:r>
            <w:r>
              <w:rPr>
                <w:spacing w:val="-2"/>
                <w:sz w:val="20"/>
              </w:rPr>
              <w:t xml:space="preserve"> </w:t>
            </w:r>
            <w:r>
              <w:rPr>
                <w:sz w:val="20"/>
              </w:rPr>
              <w:t>dope</w:t>
            </w:r>
            <w:r>
              <w:rPr>
                <w:spacing w:val="-4"/>
                <w:sz w:val="20"/>
              </w:rPr>
              <w:t xml:space="preserve"> </w:t>
            </w:r>
            <w:r>
              <w:rPr>
                <w:sz w:val="20"/>
              </w:rPr>
              <w:t>fiend. 5-T: Do you feel that others see you that way?</w:t>
            </w:r>
          </w:p>
          <w:p w14:paraId="5463536F" w14:textId="77777777" w:rsidR="00DB6E1F" w:rsidRDefault="00F666A6">
            <w:pPr>
              <w:pStyle w:val="TableParagraph"/>
              <w:numPr>
                <w:ilvl w:val="0"/>
                <w:numId w:val="9"/>
              </w:numPr>
              <w:tabs>
                <w:tab w:val="left" w:pos="962"/>
              </w:tabs>
              <w:spacing w:before="0"/>
              <w:ind w:right="280" w:firstLine="0"/>
              <w:rPr>
                <w:sz w:val="20"/>
              </w:rPr>
            </w:pPr>
            <w:r>
              <w:rPr>
                <w:sz w:val="20"/>
              </w:rPr>
              <w:t>C:</w:t>
            </w:r>
            <w:r>
              <w:rPr>
                <w:spacing w:val="-1"/>
                <w:sz w:val="20"/>
              </w:rPr>
              <w:t xml:space="preserve"> </w:t>
            </w:r>
            <w:r>
              <w:rPr>
                <w:sz w:val="20"/>
              </w:rPr>
              <w:t>Yeah!</w:t>
            </w:r>
            <w:r>
              <w:rPr>
                <w:spacing w:val="-3"/>
                <w:sz w:val="20"/>
              </w:rPr>
              <w:t xml:space="preserve"> </w:t>
            </w:r>
            <w:r>
              <w:rPr>
                <w:sz w:val="20"/>
              </w:rPr>
              <w:t>People</w:t>
            </w:r>
            <w:r>
              <w:rPr>
                <w:spacing w:val="-4"/>
                <w:sz w:val="20"/>
              </w:rPr>
              <w:t xml:space="preserve"> </w:t>
            </w:r>
            <w:r>
              <w:rPr>
                <w:sz w:val="20"/>
              </w:rPr>
              <w:t>at</w:t>
            </w:r>
            <w:r>
              <w:rPr>
                <w:spacing w:val="-3"/>
                <w:sz w:val="20"/>
              </w:rPr>
              <w:t xml:space="preserve"> </w:t>
            </w:r>
            <w:r>
              <w:rPr>
                <w:sz w:val="20"/>
              </w:rPr>
              <w:t>work</w:t>
            </w:r>
            <w:r>
              <w:rPr>
                <w:spacing w:val="-2"/>
                <w:sz w:val="20"/>
              </w:rPr>
              <w:t xml:space="preserve"> </w:t>
            </w:r>
            <w:r>
              <w:rPr>
                <w:sz w:val="20"/>
              </w:rPr>
              <w:t>are</w:t>
            </w:r>
            <w:r>
              <w:rPr>
                <w:spacing w:val="-1"/>
                <w:sz w:val="20"/>
              </w:rPr>
              <w:t xml:space="preserve"> </w:t>
            </w:r>
            <w:r>
              <w:rPr>
                <w:sz w:val="20"/>
              </w:rPr>
              <w:t>always</w:t>
            </w:r>
            <w:r>
              <w:rPr>
                <w:spacing w:val="-4"/>
                <w:sz w:val="20"/>
              </w:rPr>
              <w:t xml:space="preserve"> </w:t>
            </w:r>
            <w:r>
              <w:rPr>
                <w:sz w:val="20"/>
              </w:rPr>
              <w:t>on</w:t>
            </w:r>
            <w:r>
              <w:rPr>
                <w:spacing w:val="-2"/>
                <w:sz w:val="20"/>
              </w:rPr>
              <w:t xml:space="preserve"> </w:t>
            </w:r>
            <w:r>
              <w:rPr>
                <w:sz w:val="20"/>
              </w:rPr>
              <w:t>my</w:t>
            </w:r>
            <w:r>
              <w:rPr>
                <w:spacing w:val="-2"/>
                <w:sz w:val="20"/>
              </w:rPr>
              <w:t xml:space="preserve"> </w:t>
            </w:r>
            <w:r>
              <w:rPr>
                <w:sz w:val="20"/>
              </w:rPr>
              <w:t>case</w:t>
            </w:r>
            <w:r>
              <w:rPr>
                <w:spacing w:val="-4"/>
                <w:sz w:val="20"/>
              </w:rPr>
              <w:t xml:space="preserve"> </w:t>
            </w:r>
            <w:r>
              <w:rPr>
                <w:sz w:val="20"/>
              </w:rPr>
              <w:t>about</w:t>
            </w:r>
            <w:r>
              <w:rPr>
                <w:spacing w:val="-3"/>
                <w:sz w:val="20"/>
              </w:rPr>
              <w:t xml:space="preserve"> </w:t>
            </w:r>
            <w:r>
              <w:rPr>
                <w:sz w:val="20"/>
              </w:rPr>
              <w:t>it,</w:t>
            </w:r>
            <w:r>
              <w:rPr>
                <w:spacing w:val="-2"/>
                <w:sz w:val="20"/>
              </w:rPr>
              <w:t xml:space="preserve"> </w:t>
            </w:r>
            <w:r>
              <w:rPr>
                <w:sz w:val="20"/>
              </w:rPr>
              <w:t>saying</w:t>
            </w:r>
            <w:r>
              <w:rPr>
                <w:spacing w:val="-3"/>
                <w:sz w:val="20"/>
              </w:rPr>
              <w:t xml:space="preserve"> </w:t>
            </w:r>
            <w:r>
              <w:rPr>
                <w:sz w:val="20"/>
              </w:rPr>
              <w:t>I’m</w:t>
            </w:r>
            <w:r>
              <w:rPr>
                <w:spacing w:val="-4"/>
                <w:sz w:val="20"/>
              </w:rPr>
              <w:t xml:space="preserve"> </w:t>
            </w:r>
            <w:r>
              <w:rPr>
                <w:sz w:val="20"/>
              </w:rPr>
              <w:t>gonna</w:t>
            </w:r>
            <w:r>
              <w:rPr>
                <w:spacing w:val="-2"/>
                <w:sz w:val="20"/>
              </w:rPr>
              <w:t xml:space="preserve"> </w:t>
            </w:r>
            <w:r>
              <w:rPr>
                <w:sz w:val="20"/>
              </w:rPr>
              <w:t>die</w:t>
            </w:r>
            <w:r>
              <w:rPr>
                <w:spacing w:val="-4"/>
                <w:sz w:val="20"/>
              </w:rPr>
              <w:t xml:space="preserve"> </w:t>
            </w:r>
            <w:r>
              <w:rPr>
                <w:sz w:val="20"/>
              </w:rPr>
              <w:t>someday</w:t>
            </w:r>
            <w:r>
              <w:rPr>
                <w:spacing w:val="-2"/>
                <w:sz w:val="20"/>
              </w:rPr>
              <w:t xml:space="preserve"> </w:t>
            </w:r>
            <w:r>
              <w:rPr>
                <w:sz w:val="20"/>
              </w:rPr>
              <w:t>from</w:t>
            </w:r>
            <w:r>
              <w:rPr>
                <w:spacing w:val="-4"/>
                <w:sz w:val="20"/>
              </w:rPr>
              <w:t xml:space="preserve"> </w:t>
            </w:r>
            <w:r>
              <w:rPr>
                <w:sz w:val="20"/>
              </w:rPr>
              <w:t>it.</w:t>
            </w:r>
            <w:r>
              <w:rPr>
                <w:spacing w:val="-3"/>
                <w:sz w:val="20"/>
              </w:rPr>
              <w:t xml:space="preserve"> </w:t>
            </w:r>
            <w:r>
              <w:rPr>
                <w:sz w:val="20"/>
              </w:rPr>
              <w:t>They just need to mind their business.</w:t>
            </w:r>
          </w:p>
          <w:p w14:paraId="0184A737" w14:textId="77777777" w:rsidR="00DB6E1F" w:rsidRDefault="00F666A6">
            <w:pPr>
              <w:pStyle w:val="TableParagraph"/>
              <w:numPr>
                <w:ilvl w:val="0"/>
                <w:numId w:val="9"/>
              </w:numPr>
              <w:tabs>
                <w:tab w:val="left" w:pos="962"/>
              </w:tabs>
              <w:spacing w:before="0"/>
              <w:ind w:right="5681" w:firstLine="0"/>
              <w:rPr>
                <w:sz w:val="20"/>
              </w:rPr>
            </w:pPr>
            <w:r>
              <w:rPr>
                <w:sz w:val="20"/>
              </w:rPr>
              <w:t>T:</w:t>
            </w:r>
            <w:r>
              <w:rPr>
                <w:spacing w:val="-10"/>
                <w:sz w:val="20"/>
              </w:rPr>
              <w:t xml:space="preserve"> </w:t>
            </w:r>
            <w:r>
              <w:rPr>
                <w:sz w:val="20"/>
              </w:rPr>
              <w:t>Sounds</w:t>
            </w:r>
            <w:r>
              <w:rPr>
                <w:spacing w:val="-10"/>
                <w:sz w:val="20"/>
              </w:rPr>
              <w:t xml:space="preserve"> </w:t>
            </w:r>
            <w:r>
              <w:rPr>
                <w:sz w:val="20"/>
              </w:rPr>
              <w:t>like</w:t>
            </w:r>
            <w:r>
              <w:rPr>
                <w:spacing w:val="-10"/>
                <w:sz w:val="20"/>
              </w:rPr>
              <w:t xml:space="preserve"> </w:t>
            </w:r>
            <w:r>
              <w:rPr>
                <w:sz w:val="20"/>
              </w:rPr>
              <w:t>they’re</w:t>
            </w:r>
            <w:r>
              <w:rPr>
                <w:spacing w:val="-10"/>
                <w:sz w:val="20"/>
              </w:rPr>
              <w:t xml:space="preserve"> </w:t>
            </w:r>
            <w:r>
              <w:rPr>
                <w:sz w:val="20"/>
              </w:rPr>
              <w:t>concerned. 8-C: Yeah, well, I guess.</w:t>
            </w:r>
          </w:p>
          <w:p w14:paraId="590F8CF2" w14:textId="77777777" w:rsidR="00DB6E1F" w:rsidRDefault="00F666A6">
            <w:pPr>
              <w:pStyle w:val="TableParagraph"/>
              <w:spacing w:before="119"/>
              <w:rPr>
                <w:b/>
                <w:sz w:val="20"/>
              </w:rPr>
            </w:pPr>
            <w:r>
              <w:rPr>
                <w:b/>
                <w:sz w:val="20"/>
              </w:rPr>
              <w:t>16.</w:t>
            </w:r>
            <w:r>
              <w:rPr>
                <w:b/>
                <w:spacing w:val="-6"/>
                <w:sz w:val="20"/>
              </w:rPr>
              <w:t xml:space="preserve"> </w:t>
            </w:r>
            <w:r>
              <w:rPr>
                <w:b/>
                <w:sz w:val="20"/>
              </w:rPr>
              <w:t>Therapist</w:t>
            </w:r>
            <w:r>
              <w:rPr>
                <w:b/>
                <w:spacing w:val="-5"/>
                <w:sz w:val="20"/>
              </w:rPr>
              <w:t xml:space="preserve"> </w:t>
            </w:r>
            <w:r>
              <w:rPr>
                <w:b/>
                <w:sz w:val="20"/>
              </w:rPr>
              <w:t>statement</w:t>
            </w:r>
            <w:r>
              <w:rPr>
                <w:b/>
                <w:spacing w:val="-5"/>
                <w:sz w:val="20"/>
              </w:rPr>
              <w:t xml:space="preserve"> </w:t>
            </w:r>
            <w:r>
              <w:rPr>
                <w:b/>
                <w:sz w:val="20"/>
              </w:rPr>
              <w:t>#3</w:t>
            </w:r>
            <w:r>
              <w:rPr>
                <w:b/>
                <w:spacing w:val="-5"/>
                <w:sz w:val="20"/>
              </w:rPr>
              <w:t xml:space="preserve"> </w:t>
            </w:r>
            <w:r>
              <w:rPr>
                <w:b/>
                <w:sz w:val="20"/>
              </w:rPr>
              <w:t>is</w:t>
            </w:r>
            <w:r>
              <w:rPr>
                <w:b/>
                <w:spacing w:val="-4"/>
                <w:sz w:val="20"/>
              </w:rPr>
              <w:t xml:space="preserve"> </w:t>
            </w:r>
            <w:r>
              <w:rPr>
                <w:b/>
                <w:sz w:val="20"/>
              </w:rPr>
              <w:t>a</w:t>
            </w:r>
            <w:r>
              <w:rPr>
                <w:b/>
                <w:spacing w:val="-5"/>
                <w:sz w:val="20"/>
              </w:rPr>
              <w:t xml:space="preserve"> </w:t>
            </w:r>
            <w:r>
              <w:rPr>
                <w:b/>
                <w:sz w:val="20"/>
              </w:rPr>
              <w:t>demonstration</w:t>
            </w:r>
            <w:r>
              <w:rPr>
                <w:b/>
                <w:spacing w:val="-6"/>
                <w:sz w:val="20"/>
              </w:rPr>
              <w:t xml:space="preserve"> </w:t>
            </w:r>
            <w:r>
              <w:rPr>
                <w:b/>
                <w:spacing w:val="-5"/>
                <w:sz w:val="20"/>
              </w:rPr>
              <w:t>of</w:t>
            </w:r>
          </w:p>
          <w:p w14:paraId="449F00F3" w14:textId="77777777" w:rsidR="00DB6E1F" w:rsidRDefault="00F666A6">
            <w:pPr>
              <w:pStyle w:val="TableParagraph"/>
              <w:numPr>
                <w:ilvl w:val="0"/>
                <w:numId w:val="8"/>
              </w:numPr>
              <w:tabs>
                <w:tab w:val="left" w:pos="310"/>
              </w:tabs>
              <w:ind w:hanging="203"/>
              <w:rPr>
                <w:sz w:val="20"/>
              </w:rPr>
            </w:pPr>
            <w:r>
              <w:rPr>
                <w:sz w:val="20"/>
              </w:rPr>
              <w:t>the</w:t>
            </w:r>
            <w:r>
              <w:rPr>
                <w:spacing w:val="-4"/>
                <w:sz w:val="20"/>
              </w:rPr>
              <w:t xml:space="preserve"> </w:t>
            </w:r>
            <w:r>
              <w:rPr>
                <w:sz w:val="20"/>
              </w:rPr>
              <w:t>MI</w:t>
            </w:r>
            <w:r>
              <w:rPr>
                <w:spacing w:val="-2"/>
                <w:sz w:val="20"/>
              </w:rPr>
              <w:t xml:space="preserve"> </w:t>
            </w:r>
            <w:r>
              <w:rPr>
                <w:sz w:val="20"/>
              </w:rPr>
              <w:t>trap</w:t>
            </w:r>
            <w:r>
              <w:rPr>
                <w:spacing w:val="-2"/>
                <w:sz w:val="20"/>
              </w:rPr>
              <w:t xml:space="preserve"> </w:t>
            </w:r>
            <w:r>
              <w:rPr>
                <w:sz w:val="20"/>
              </w:rPr>
              <w:t>of</w:t>
            </w:r>
            <w:r>
              <w:rPr>
                <w:spacing w:val="-3"/>
                <w:sz w:val="20"/>
              </w:rPr>
              <w:t xml:space="preserve"> </w:t>
            </w:r>
            <w:r>
              <w:rPr>
                <w:spacing w:val="-2"/>
                <w:sz w:val="20"/>
              </w:rPr>
              <w:t>labeling</w:t>
            </w:r>
          </w:p>
          <w:p w14:paraId="22F431D6" w14:textId="77777777" w:rsidR="00DB6E1F" w:rsidRDefault="00F666A6">
            <w:pPr>
              <w:pStyle w:val="TableParagraph"/>
              <w:numPr>
                <w:ilvl w:val="0"/>
                <w:numId w:val="8"/>
              </w:numPr>
              <w:tabs>
                <w:tab w:val="left" w:pos="319"/>
              </w:tabs>
              <w:spacing w:line="243" w:lineRule="exact"/>
              <w:ind w:left="318" w:hanging="212"/>
              <w:rPr>
                <w:sz w:val="20"/>
              </w:rPr>
            </w:pPr>
            <w:r>
              <w:rPr>
                <w:sz w:val="20"/>
              </w:rPr>
              <w:t>the</w:t>
            </w:r>
            <w:r>
              <w:rPr>
                <w:spacing w:val="-6"/>
                <w:sz w:val="20"/>
              </w:rPr>
              <w:t xml:space="preserve"> </w:t>
            </w:r>
            <w:r>
              <w:rPr>
                <w:sz w:val="20"/>
              </w:rPr>
              <w:t>MI</w:t>
            </w:r>
            <w:r>
              <w:rPr>
                <w:spacing w:val="-5"/>
                <w:sz w:val="20"/>
              </w:rPr>
              <w:t xml:space="preserve"> </w:t>
            </w:r>
            <w:r>
              <w:rPr>
                <w:sz w:val="20"/>
              </w:rPr>
              <w:t>trap</w:t>
            </w:r>
            <w:r>
              <w:rPr>
                <w:spacing w:val="-3"/>
                <w:sz w:val="20"/>
              </w:rPr>
              <w:t xml:space="preserve"> </w:t>
            </w:r>
            <w:r>
              <w:rPr>
                <w:sz w:val="20"/>
              </w:rPr>
              <w:t>of</w:t>
            </w:r>
            <w:r>
              <w:rPr>
                <w:spacing w:val="-6"/>
                <w:sz w:val="20"/>
              </w:rPr>
              <w:t xml:space="preserve"> </w:t>
            </w:r>
            <w:r>
              <w:rPr>
                <w:sz w:val="20"/>
              </w:rPr>
              <w:t>premature</w:t>
            </w:r>
            <w:r>
              <w:rPr>
                <w:spacing w:val="-5"/>
                <w:sz w:val="20"/>
              </w:rPr>
              <w:t xml:space="preserve"> </w:t>
            </w:r>
            <w:r>
              <w:rPr>
                <w:spacing w:val="-4"/>
                <w:sz w:val="20"/>
              </w:rPr>
              <w:t>focus</w:t>
            </w:r>
          </w:p>
          <w:p w14:paraId="0D28A421" w14:textId="77777777" w:rsidR="00DB6E1F" w:rsidRDefault="00F666A6">
            <w:pPr>
              <w:pStyle w:val="TableParagraph"/>
              <w:numPr>
                <w:ilvl w:val="0"/>
                <w:numId w:val="8"/>
              </w:numPr>
              <w:tabs>
                <w:tab w:val="left" w:pos="298"/>
              </w:tabs>
              <w:spacing w:before="0" w:line="243" w:lineRule="exact"/>
              <w:ind w:left="297" w:hanging="191"/>
              <w:rPr>
                <w:sz w:val="20"/>
              </w:rPr>
            </w:pPr>
            <w:r>
              <w:rPr>
                <w:sz w:val="20"/>
              </w:rPr>
              <w:t>the</w:t>
            </w:r>
            <w:r>
              <w:rPr>
                <w:spacing w:val="-6"/>
                <w:sz w:val="20"/>
              </w:rPr>
              <w:t xml:space="preserve"> </w:t>
            </w:r>
            <w:r>
              <w:rPr>
                <w:sz w:val="20"/>
              </w:rPr>
              <w:t>MI</w:t>
            </w:r>
            <w:r>
              <w:rPr>
                <w:spacing w:val="-5"/>
                <w:sz w:val="20"/>
              </w:rPr>
              <w:t xml:space="preserve"> </w:t>
            </w:r>
            <w:r>
              <w:rPr>
                <w:sz w:val="20"/>
              </w:rPr>
              <w:t>principle</w:t>
            </w:r>
            <w:r>
              <w:rPr>
                <w:spacing w:val="-6"/>
                <w:sz w:val="20"/>
              </w:rPr>
              <w:t xml:space="preserve"> </w:t>
            </w:r>
            <w:r>
              <w:rPr>
                <w:sz w:val="20"/>
              </w:rPr>
              <w:t>of</w:t>
            </w:r>
            <w:r>
              <w:rPr>
                <w:spacing w:val="-6"/>
                <w:sz w:val="20"/>
              </w:rPr>
              <w:t xml:space="preserve"> </w:t>
            </w:r>
            <w:r>
              <w:rPr>
                <w:sz w:val="20"/>
              </w:rPr>
              <w:t>rolling</w:t>
            </w:r>
            <w:r>
              <w:rPr>
                <w:spacing w:val="-3"/>
                <w:sz w:val="20"/>
              </w:rPr>
              <w:t xml:space="preserve"> </w:t>
            </w:r>
            <w:r>
              <w:rPr>
                <w:sz w:val="20"/>
              </w:rPr>
              <w:t>with</w:t>
            </w:r>
            <w:r>
              <w:rPr>
                <w:spacing w:val="-4"/>
                <w:sz w:val="20"/>
              </w:rPr>
              <w:t xml:space="preserve"> </w:t>
            </w:r>
            <w:r>
              <w:rPr>
                <w:spacing w:val="-2"/>
                <w:sz w:val="20"/>
              </w:rPr>
              <w:t>resistance</w:t>
            </w:r>
          </w:p>
          <w:p w14:paraId="6B2D411B" w14:textId="77777777" w:rsidR="00DB6E1F" w:rsidRDefault="00F666A6">
            <w:pPr>
              <w:pStyle w:val="TableParagraph"/>
              <w:numPr>
                <w:ilvl w:val="0"/>
                <w:numId w:val="8"/>
              </w:numPr>
              <w:tabs>
                <w:tab w:val="left" w:pos="319"/>
              </w:tabs>
              <w:spacing w:before="0"/>
              <w:ind w:left="318" w:hanging="212"/>
              <w:rPr>
                <w:sz w:val="20"/>
              </w:rPr>
            </w:pPr>
            <w:r>
              <w:rPr>
                <w:sz w:val="20"/>
              </w:rPr>
              <w:t>the</w:t>
            </w:r>
            <w:r>
              <w:rPr>
                <w:spacing w:val="-7"/>
                <w:sz w:val="20"/>
              </w:rPr>
              <w:t xml:space="preserve"> </w:t>
            </w:r>
            <w:r>
              <w:rPr>
                <w:sz w:val="20"/>
              </w:rPr>
              <w:t>MI</w:t>
            </w:r>
            <w:r>
              <w:rPr>
                <w:spacing w:val="-5"/>
                <w:sz w:val="20"/>
              </w:rPr>
              <w:t xml:space="preserve"> </w:t>
            </w:r>
            <w:r>
              <w:rPr>
                <w:sz w:val="20"/>
              </w:rPr>
              <w:t>principle</w:t>
            </w:r>
            <w:r>
              <w:rPr>
                <w:spacing w:val="-6"/>
                <w:sz w:val="20"/>
              </w:rPr>
              <w:t xml:space="preserve"> </w:t>
            </w:r>
            <w:r>
              <w:rPr>
                <w:sz w:val="20"/>
              </w:rPr>
              <w:t>of</w:t>
            </w:r>
            <w:r>
              <w:rPr>
                <w:spacing w:val="-6"/>
                <w:sz w:val="20"/>
              </w:rPr>
              <w:t xml:space="preserve"> </w:t>
            </w:r>
            <w:r>
              <w:rPr>
                <w:sz w:val="20"/>
              </w:rPr>
              <w:t>expressing</w:t>
            </w:r>
            <w:r>
              <w:rPr>
                <w:spacing w:val="-5"/>
                <w:sz w:val="20"/>
              </w:rPr>
              <w:t xml:space="preserve"> </w:t>
            </w:r>
            <w:r>
              <w:rPr>
                <w:spacing w:val="-2"/>
                <w:sz w:val="20"/>
              </w:rPr>
              <w:t>empathy</w:t>
            </w:r>
          </w:p>
          <w:p w14:paraId="42278EB6" w14:textId="77777777" w:rsidR="00DB6E1F" w:rsidRDefault="00F666A6">
            <w:pPr>
              <w:pStyle w:val="TableParagraph"/>
              <w:numPr>
                <w:ilvl w:val="0"/>
                <w:numId w:val="8"/>
              </w:numPr>
              <w:tabs>
                <w:tab w:val="left" w:pos="312"/>
              </w:tabs>
              <w:ind w:left="311" w:hanging="205"/>
              <w:rPr>
                <w:sz w:val="20"/>
              </w:rPr>
            </w:pPr>
            <w:r>
              <w:rPr>
                <w:sz w:val="20"/>
              </w:rPr>
              <w:t>both</w:t>
            </w:r>
            <w:r>
              <w:rPr>
                <w:spacing w:val="-2"/>
                <w:sz w:val="20"/>
              </w:rPr>
              <w:t xml:space="preserve"> </w:t>
            </w:r>
            <w:r>
              <w:rPr>
                <w:sz w:val="20"/>
              </w:rPr>
              <w:t>c</w:t>
            </w:r>
            <w:r>
              <w:rPr>
                <w:spacing w:val="-3"/>
                <w:sz w:val="20"/>
              </w:rPr>
              <w:t xml:space="preserve"> </w:t>
            </w:r>
            <w:r>
              <w:rPr>
                <w:sz w:val="20"/>
              </w:rPr>
              <w:t>and</w:t>
            </w:r>
            <w:r>
              <w:rPr>
                <w:spacing w:val="-1"/>
                <w:sz w:val="20"/>
              </w:rPr>
              <w:t xml:space="preserve"> </w:t>
            </w:r>
            <w:r>
              <w:rPr>
                <w:spacing w:val="-10"/>
                <w:sz w:val="20"/>
              </w:rPr>
              <w:t>d</w:t>
            </w:r>
          </w:p>
          <w:p w14:paraId="029AB729" w14:textId="77777777" w:rsidR="00DB6E1F" w:rsidRDefault="00F666A6">
            <w:pPr>
              <w:pStyle w:val="TableParagraph"/>
              <w:spacing w:before="120" w:line="243" w:lineRule="exact"/>
              <w:rPr>
                <w:b/>
                <w:sz w:val="20"/>
              </w:rPr>
            </w:pPr>
            <w:r>
              <w:rPr>
                <w:b/>
                <w:sz w:val="20"/>
              </w:rPr>
              <w:t>17.</w:t>
            </w:r>
            <w:r>
              <w:rPr>
                <w:b/>
                <w:spacing w:val="-4"/>
                <w:sz w:val="20"/>
              </w:rPr>
              <w:t xml:space="preserve"> </w:t>
            </w:r>
            <w:r>
              <w:rPr>
                <w:b/>
                <w:sz w:val="20"/>
              </w:rPr>
              <w:t>This</w:t>
            </w:r>
            <w:r>
              <w:rPr>
                <w:b/>
                <w:spacing w:val="-4"/>
                <w:sz w:val="20"/>
              </w:rPr>
              <w:t xml:space="preserve"> </w:t>
            </w:r>
            <w:r>
              <w:rPr>
                <w:b/>
                <w:sz w:val="20"/>
              </w:rPr>
              <w:t>therapist</w:t>
            </w:r>
            <w:r>
              <w:rPr>
                <w:b/>
                <w:spacing w:val="-4"/>
                <w:sz w:val="20"/>
              </w:rPr>
              <w:t xml:space="preserve"> </w:t>
            </w:r>
            <w:r>
              <w:rPr>
                <w:b/>
                <w:sz w:val="20"/>
              </w:rPr>
              <w:t>is</w:t>
            </w:r>
            <w:r>
              <w:rPr>
                <w:b/>
                <w:spacing w:val="-4"/>
                <w:sz w:val="20"/>
              </w:rPr>
              <w:t xml:space="preserve"> </w:t>
            </w:r>
            <w:r>
              <w:rPr>
                <w:b/>
                <w:sz w:val="20"/>
              </w:rPr>
              <w:t>using</w:t>
            </w:r>
            <w:r>
              <w:rPr>
                <w:b/>
                <w:spacing w:val="-5"/>
                <w:sz w:val="20"/>
              </w:rPr>
              <w:t xml:space="preserve"> </w:t>
            </w:r>
            <w:r>
              <w:rPr>
                <w:b/>
                <w:sz w:val="20"/>
              </w:rPr>
              <w:t>which</w:t>
            </w:r>
            <w:r>
              <w:rPr>
                <w:b/>
                <w:spacing w:val="-3"/>
                <w:sz w:val="20"/>
              </w:rPr>
              <w:t xml:space="preserve"> </w:t>
            </w:r>
            <w:r>
              <w:rPr>
                <w:b/>
                <w:sz w:val="20"/>
              </w:rPr>
              <w:t>opening</w:t>
            </w:r>
            <w:r>
              <w:rPr>
                <w:b/>
                <w:spacing w:val="-4"/>
                <w:sz w:val="20"/>
              </w:rPr>
              <w:t xml:space="preserve"> </w:t>
            </w:r>
            <w:r>
              <w:rPr>
                <w:b/>
                <w:spacing w:val="-2"/>
                <w:sz w:val="20"/>
              </w:rPr>
              <w:t>strategy?</w:t>
            </w:r>
          </w:p>
          <w:p w14:paraId="0471479C" w14:textId="77777777" w:rsidR="00DB6E1F" w:rsidRDefault="00F666A6">
            <w:pPr>
              <w:pStyle w:val="TableParagraph"/>
              <w:numPr>
                <w:ilvl w:val="0"/>
                <w:numId w:val="7"/>
              </w:numPr>
              <w:tabs>
                <w:tab w:val="left" w:pos="309"/>
              </w:tabs>
              <w:spacing w:before="0" w:line="243" w:lineRule="exact"/>
              <w:rPr>
                <w:sz w:val="20"/>
              </w:rPr>
            </w:pPr>
            <w:r>
              <w:rPr>
                <w:sz w:val="20"/>
              </w:rPr>
              <w:t>listen</w:t>
            </w:r>
            <w:r>
              <w:rPr>
                <w:spacing w:val="-9"/>
                <w:sz w:val="20"/>
              </w:rPr>
              <w:t xml:space="preserve"> </w:t>
            </w:r>
            <w:r>
              <w:rPr>
                <w:spacing w:val="-2"/>
                <w:sz w:val="20"/>
              </w:rPr>
              <w:t>reflectively</w:t>
            </w:r>
          </w:p>
          <w:p w14:paraId="08D4E97E" w14:textId="77777777" w:rsidR="00DB6E1F" w:rsidRDefault="00F666A6">
            <w:pPr>
              <w:pStyle w:val="TableParagraph"/>
              <w:numPr>
                <w:ilvl w:val="0"/>
                <w:numId w:val="7"/>
              </w:numPr>
              <w:tabs>
                <w:tab w:val="left" w:pos="319"/>
              </w:tabs>
              <w:ind w:left="318" w:hanging="212"/>
              <w:rPr>
                <w:sz w:val="20"/>
              </w:rPr>
            </w:pPr>
            <w:r>
              <w:rPr>
                <w:spacing w:val="-2"/>
                <w:sz w:val="20"/>
              </w:rPr>
              <w:t>affirm</w:t>
            </w:r>
          </w:p>
          <w:p w14:paraId="6B0E4B9F" w14:textId="77777777" w:rsidR="00DB6E1F" w:rsidRDefault="00F666A6">
            <w:pPr>
              <w:pStyle w:val="TableParagraph"/>
              <w:numPr>
                <w:ilvl w:val="0"/>
                <w:numId w:val="7"/>
              </w:numPr>
              <w:tabs>
                <w:tab w:val="left" w:pos="297"/>
              </w:tabs>
              <w:ind w:left="296" w:hanging="190"/>
              <w:rPr>
                <w:sz w:val="20"/>
              </w:rPr>
            </w:pPr>
            <w:r>
              <w:rPr>
                <w:spacing w:val="-2"/>
                <w:sz w:val="20"/>
              </w:rPr>
              <w:t>summarize</w:t>
            </w:r>
          </w:p>
          <w:p w14:paraId="1E7800F0" w14:textId="77777777" w:rsidR="00DB6E1F" w:rsidRDefault="00F666A6">
            <w:pPr>
              <w:pStyle w:val="TableParagraph"/>
              <w:numPr>
                <w:ilvl w:val="0"/>
                <w:numId w:val="7"/>
              </w:numPr>
              <w:tabs>
                <w:tab w:val="left" w:pos="319"/>
              </w:tabs>
              <w:ind w:left="318" w:hanging="212"/>
              <w:rPr>
                <w:sz w:val="20"/>
              </w:rPr>
            </w:pPr>
            <w:r>
              <w:rPr>
                <w:sz w:val="20"/>
              </w:rPr>
              <w:t>all</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above</w:t>
            </w:r>
          </w:p>
          <w:p w14:paraId="7CC8B29A" w14:textId="77777777" w:rsidR="00DB6E1F" w:rsidRDefault="00F666A6">
            <w:pPr>
              <w:pStyle w:val="TableParagraph"/>
              <w:spacing w:before="118"/>
              <w:ind w:right="169"/>
              <w:rPr>
                <w:b/>
                <w:sz w:val="20"/>
              </w:rPr>
            </w:pPr>
            <w:r>
              <w:rPr>
                <w:b/>
                <w:sz w:val="20"/>
              </w:rPr>
              <w:t>18.</w:t>
            </w:r>
            <w:r>
              <w:rPr>
                <w:b/>
                <w:spacing w:val="-2"/>
                <w:sz w:val="20"/>
              </w:rPr>
              <w:t xml:space="preserve"> </w:t>
            </w:r>
            <w:r>
              <w:rPr>
                <w:b/>
                <w:sz w:val="20"/>
              </w:rPr>
              <w:t>A</w:t>
            </w:r>
            <w:r>
              <w:rPr>
                <w:b/>
                <w:spacing w:val="-3"/>
                <w:sz w:val="20"/>
              </w:rPr>
              <w:t xml:space="preserve"> </w:t>
            </w:r>
            <w:r>
              <w:rPr>
                <w:b/>
                <w:sz w:val="20"/>
              </w:rPr>
              <w:t>therapist</w:t>
            </w:r>
            <w:r>
              <w:rPr>
                <w:b/>
                <w:spacing w:val="-2"/>
                <w:sz w:val="20"/>
              </w:rPr>
              <w:t xml:space="preserve"> </w:t>
            </w:r>
            <w:r>
              <w:rPr>
                <w:b/>
                <w:sz w:val="20"/>
              </w:rPr>
              <w:t>who</w:t>
            </w:r>
            <w:r>
              <w:rPr>
                <w:b/>
                <w:spacing w:val="-1"/>
                <w:sz w:val="20"/>
              </w:rPr>
              <w:t xml:space="preserve"> </w:t>
            </w:r>
            <w:r>
              <w:rPr>
                <w:b/>
                <w:sz w:val="20"/>
              </w:rPr>
              <w:t>responds</w:t>
            </w:r>
            <w:r>
              <w:rPr>
                <w:b/>
                <w:spacing w:val="-5"/>
                <w:sz w:val="20"/>
              </w:rPr>
              <w:t xml:space="preserve"> </w:t>
            </w:r>
            <w:r>
              <w:rPr>
                <w:b/>
                <w:sz w:val="20"/>
              </w:rPr>
              <w:t>to</w:t>
            </w:r>
            <w:r>
              <w:rPr>
                <w:b/>
                <w:spacing w:val="-1"/>
                <w:sz w:val="20"/>
              </w:rPr>
              <w:t xml:space="preserve"> </w:t>
            </w:r>
            <w:r>
              <w:rPr>
                <w:b/>
                <w:sz w:val="20"/>
              </w:rPr>
              <w:t>a</w:t>
            </w:r>
            <w:r>
              <w:rPr>
                <w:b/>
                <w:spacing w:val="-2"/>
                <w:sz w:val="20"/>
              </w:rPr>
              <w:t xml:space="preserve"> </w:t>
            </w:r>
            <w:r>
              <w:rPr>
                <w:b/>
                <w:sz w:val="20"/>
              </w:rPr>
              <w:t>client’s</w:t>
            </w:r>
            <w:r>
              <w:rPr>
                <w:b/>
                <w:spacing w:val="-2"/>
                <w:sz w:val="20"/>
              </w:rPr>
              <w:t xml:space="preserve"> </w:t>
            </w:r>
            <w:r>
              <w:rPr>
                <w:b/>
                <w:sz w:val="20"/>
              </w:rPr>
              <w:t>reluctance</w:t>
            </w:r>
            <w:r>
              <w:rPr>
                <w:b/>
                <w:spacing w:val="-2"/>
                <w:sz w:val="20"/>
              </w:rPr>
              <w:t xml:space="preserve"> </w:t>
            </w:r>
            <w:r>
              <w:rPr>
                <w:b/>
                <w:sz w:val="20"/>
              </w:rPr>
              <w:t>to</w:t>
            </w:r>
            <w:r>
              <w:rPr>
                <w:b/>
                <w:spacing w:val="-1"/>
                <w:sz w:val="20"/>
              </w:rPr>
              <w:t xml:space="preserve"> </w:t>
            </w:r>
            <w:r>
              <w:rPr>
                <w:b/>
                <w:sz w:val="20"/>
              </w:rPr>
              <w:t>accept</w:t>
            </w:r>
            <w:r>
              <w:rPr>
                <w:b/>
                <w:spacing w:val="-2"/>
                <w:sz w:val="20"/>
              </w:rPr>
              <w:t xml:space="preserve"> </w:t>
            </w:r>
            <w:r>
              <w:rPr>
                <w:b/>
                <w:sz w:val="20"/>
              </w:rPr>
              <w:t>the</w:t>
            </w:r>
            <w:r>
              <w:rPr>
                <w:b/>
                <w:spacing w:val="-2"/>
                <w:sz w:val="20"/>
              </w:rPr>
              <w:t xml:space="preserve"> </w:t>
            </w:r>
            <w:r>
              <w:rPr>
                <w:b/>
                <w:sz w:val="20"/>
              </w:rPr>
              <w:t>label</w:t>
            </w:r>
            <w:r>
              <w:rPr>
                <w:b/>
                <w:spacing w:val="-3"/>
                <w:sz w:val="20"/>
              </w:rPr>
              <w:t xml:space="preserve"> </w:t>
            </w:r>
            <w:r>
              <w:rPr>
                <w:b/>
                <w:sz w:val="20"/>
              </w:rPr>
              <w:t>of</w:t>
            </w:r>
            <w:r>
              <w:rPr>
                <w:b/>
                <w:spacing w:val="-3"/>
                <w:sz w:val="20"/>
              </w:rPr>
              <w:t xml:space="preserve"> </w:t>
            </w:r>
            <w:r>
              <w:rPr>
                <w:b/>
                <w:sz w:val="20"/>
              </w:rPr>
              <w:t>alcoholic</w:t>
            </w:r>
            <w:r>
              <w:rPr>
                <w:b/>
                <w:spacing w:val="-1"/>
                <w:sz w:val="20"/>
              </w:rPr>
              <w:t xml:space="preserve"> </w:t>
            </w:r>
            <w:r>
              <w:rPr>
                <w:b/>
                <w:sz w:val="20"/>
              </w:rPr>
              <w:t>by</w:t>
            </w:r>
            <w:r>
              <w:rPr>
                <w:b/>
                <w:spacing w:val="-3"/>
                <w:sz w:val="20"/>
              </w:rPr>
              <w:t xml:space="preserve"> </w:t>
            </w:r>
            <w:r>
              <w:rPr>
                <w:b/>
                <w:sz w:val="20"/>
              </w:rPr>
              <w:t>saying,</w:t>
            </w:r>
            <w:r>
              <w:rPr>
                <w:b/>
                <w:spacing w:val="-3"/>
                <w:sz w:val="20"/>
              </w:rPr>
              <w:t xml:space="preserve"> </w:t>
            </w:r>
            <w:r>
              <w:rPr>
                <w:b/>
                <w:sz w:val="20"/>
              </w:rPr>
              <w:t>“I’ve</w:t>
            </w:r>
            <w:r>
              <w:rPr>
                <w:b/>
                <w:spacing w:val="-2"/>
                <w:sz w:val="20"/>
              </w:rPr>
              <w:t xml:space="preserve"> </w:t>
            </w:r>
            <w:r>
              <w:rPr>
                <w:b/>
                <w:sz w:val="20"/>
              </w:rPr>
              <w:t>been</w:t>
            </w:r>
            <w:r>
              <w:rPr>
                <w:b/>
                <w:spacing w:val="-1"/>
                <w:sz w:val="20"/>
              </w:rPr>
              <w:t xml:space="preserve"> </w:t>
            </w:r>
            <w:r>
              <w:rPr>
                <w:b/>
                <w:sz w:val="20"/>
              </w:rPr>
              <w:t>in this business for 15 years and I know an alcoholic when I see one" has fallen into</w:t>
            </w:r>
          </w:p>
          <w:p w14:paraId="3A78BFB9" w14:textId="77777777" w:rsidR="00DB6E1F" w:rsidRDefault="00F666A6">
            <w:pPr>
              <w:pStyle w:val="TableParagraph"/>
              <w:numPr>
                <w:ilvl w:val="0"/>
                <w:numId w:val="6"/>
              </w:numPr>
              <w:tabs>
                <w:tab w:val="left" w:pos="309"/>
              </w:tabs>
              <w:spacing w:line="243" w:lineRule="exact"/>
              <w:rPr>
                <w:sz w:val="20"/>
              </w:rPr>
            </w:pPr>
            <w:r>
              <w:rPr>
                <w:sz w:val="20"/>
              </w:rPr>
              <w:t>the</w:t>
            </w:r>
            <w:r>
              <w:rPr>
                <w:spacing w:val="-8"/>
                <w:sz w:val="20"/>
              </w:rPr>
              <w:t xml:space="preserve"> </w:t>
            </w:r>
            <w:r>
              <w:rPr>
                <w:sz w:val="20"/>
              </w:rPr>
              <w:t>reflection</w:t>
            </w:r>
            <w:r>
              <w:rPr>
                <w:spacing w:val="-6"/>
                <w:sz w:val="20"/>
              </w:rPr>
              <w:t xml:space="preserve"> </w:t>
            </w:r>
            <w:r>
              <w:rPr>
                <w:spacing w:val="-4"/>
                <w:sz w:val="20"/>
              </w:rPr>
              <w:t>trap</w:t>
            </w:r>
          </w:p>
          <w:p w14:paraId="455FE6C3" w14:textId="77777777" w:rsidR="00DB6E1F" w:rsidRDefault="00F666A6">
            <w:pPr>
              <w:pStyle w:val="TableParagraph"/>
              <w:numPr>
                <w:ilvl w:val="0"/>
                <w:numId w:val="6"/>
              </w:numPr>
              <w:tabs>
                <w:tab w:val="left" w:pos="319"/>
              </w:tabs>
              <w:spacing w:before="0" w:line="243" w:lineRule="exact"/>
              <w:ind w:left="318" w:hanging="212"/>
              <w:rPr>
                <w:sz w:val="20"/>
              </w:rPr>
            </w:pPr>
            <w:r>
              <w:rPr>
                <w:sz w:val="20"/>
              </w:rPr>
              <w:t>the</w:t>
            </w:r>
            <w:r>
              <w:rPr>
                <w:spacing w:val="-10"/>
                <w:sz w:val="20"/>
              </w:rPr>
              <w:t xml:space="preserve"> </w:t>
            </w:r>
            <w:r>
              <w:rPr>
                <w:sz w:val="20"/>
              </w:rPr>
              <w:t>authenticity</w:t>
            </w:r>
            <w:r>
              <w:rPr>
                <w:spacing w:val="-7"/>
                <w:sz w:val="20"/>
              </w:rPr>
              <w:t xml:space="preserve"> </w:t>
            </w:r>
            <w:r>
              <w:rPr>
                <w:spacing w:val="-4"/>
                <w:sz w:val="20"/>
              </w:rPr>
              <w:t>mode</w:t>
            </w:r>
          </w:p>
          <w:p w14:paraId="0B24966B" w14:textId="77777777" w:rsidR="00DB6E1F" w:rsidRDefault="00F666A6">
            <w:pPr>
              <w:pStyle w:val="TableParagraph"/>
              <w:numPr>
                <w:ilvl w:val="0"/>
                <w:numId w:val="6"/>
              </w:numPr>
              <w:tabs>
                <w:tab w:val="left" w:pos="297"/>
              </w:tabs>
              <w:ind w:left="296" w:hanging="190"/>
              <w:rPr>
                <w:sz w:val="20"/>
              </w:rPr>
            </w:pPr>
            <w:r>
              <w:rPr>
                <w:sz w:val="20"/>
              </w:rPr>
              <w:t>the</w:t>
            </w:r>
            <w:r>
              <w:rPr>
                <w:spacing w:val="-6"/>
                <w:sz w:val="20"/>
              </w:rPr>
              <w:t xml:space="preserve"> </w:t>
            </w:r>
            <w:r>
              <w:rPr>
                <w:sz w:val="20"/>
              </w:rPr>
              <w:t>expert</w:t>
            </w:r>
            <w:r>
              <w:rPr>
                <w:spacing w:val="-4"/>
                <w:sz w:val="20"/>
              </w:rPr>
              <w:t xml:space="preserve"> trap</w:t>
            </w:r>
          </w:p>
          <w:p w14:paraId="15AB369A" w14:textId="77777777" w:rsidR="00DB6E1F" w:rsidRDefault="00F666A6">
            <w:pPr>
              <w:pStyle w:val="TableParagraph"/>
              <w:numPr>
                <w:ilvl w:val="0"/>
                <w:numId w:val="6"/>
              </w:numPr>
              <w:tabs>
                <w:tab w:val="left" w:pos="319"/>
              </w:tabs>
              <w:spacing w:before="0"/>
              <w:ind w:left="318" w:hanging="212"/>
              <w:rPr>
                <w:sz w:val="20"/>
              </w:rPr>
            </w:pPr>
            <w:r>
              <w:rPr>
                <w:sz w:val="20"/>
              </w:rPr>
              <w:t>the</w:t>
            </w:r>
            <w:r>
              <w:rPr>
                <w:spacing w:val="-11"/>
                <w:sz w:val="20"/>
              </w:rPr>
              <w:t xml:space="preserve"> </w:t>
            </w:r>
            <w:r>
              <w:rPr>
                <w:sz w:val="20"/>
              </w:rPr>
              <w:t>motivational</w:t>
            </w:r>
            <w:r>
              <w:rPr>
                <w:spacing w:val="-9"/>
                <w:sz w:val="20"/>
              </w:rPr>
              <w:t xml:space="preserve"> </w:t>
            </w:r>
            <w:r>
              <w:rPr>
                <w:sz w:val="20"/>
              </w:rPr>
              <w:t>interviewing</w:t>
            </w:r>
            <w:r>
              <w:rPr>
                <w:spacing w:val="-10"/>
                <w:sz w:val="20"/>
              </w:rPr>
              <w:t xml:space="preserve"> </w:t>
            </w:r>
            <w:r>
              <w:rPr>
                <w:spacing w:val="-4"/>
                <w:sz w:val="20"/>
              </w:rPr>
              <w:t>mode</w:t>
            </w:r>
          </w:p>
          <w:p w14:paraId="645A8078" w14:textId="77777777" w:rsidR="00DB6E1F" w:rsidRDefault="00F666A6">
            <w:pPr>
              <w:pStyle w:val="TableParagraph"/>
              <w:spacing w:before="121" w:line="243" w:lineRule="exact"/>
              <w:rPr>
                <w:b/>
                <w:sz w:val="20"/>
              </w:rPr>
            </w:pPr>
            <w:r>
              <w:rPr>
                <w:b/>
                <w:sz w:val="20"/>
              </w:rPr>
              <w:t>19.</w:t>
            </w:r>
            <w:r>
              <w:rPr>
                <w:b/>
                <w:spacing w:val="-6"/>
                <w:sz w:val="20"/>
              </w:rPr>
              <w:t xml:space="preserve"> </w:t>
            </w:r>
            <w:r>
              <w:rPr>
                <w:b/>
                <w:sz w:val="20"/>
              </w:rPr>
              <w:t>The</w:t>
            </w:r>
            <w:r>
              <w:rPr>
                <w:b/>
                <w:spacing w:val="-6"/>
                <w:sz w:val="20"/>
              </w:rPr>
              <w:t xml:space="preserve"> </w:t>
            </w:r>
            <w:r>
              <w:rPr>
                <w:b/>
                <w:sz w:val="20"/>
              </w:rPr>
              <w:t>importance</w:t>
            </w:r>
            <w:r>
              <w:rPr>
                <w:b/>
                <w:spacing w:val="-5"/>
                <w:sz w:val="20"/>
              </w:rPr>
              <w:t xml:space="preserve"> </w:t>
            </w:r>
            <w:r>
              <w:rPr>
                <w:b/>
                <w:sz w:val="20"/>
              </w:rPr>
              <w:t>and</w:t>
            </w:r>
            <w:r>
              <w:rPr>
                <w:b/>
                <w:spacing w:val="-6"/>
                <w:sz w:val="20"/>
              </w:rPr>
              <w:t xml:space="preserve"> </w:t>
            </w:r>
            <w:r>
              <w:rPr>
                <w:b/>
                <w:sz w:val="20"/>
              </w:rPr>
              <w:t>confidence</w:t>
            </w:r>
            <w:r>
              <w:rPr>
                <w:b/>
                <w:spacing w:val="-5"/>
                <w:sz w:val="20"/>
              </w:rPr>
              <w:t xml:space="preserve"> </w:t>
            </w:r>
            <w:r>
              <w:rPr>
                <w:b/>
                <w:sz w:val="20"/>
              </w:rPr>
              <w:t>rulers</w:t>
            </w:r>
            <w:r>
              <w:rPr>
                <w:b/>
                <w:spacing w:val="-5"/>
                <w:sz w:val="20"/>
              </w:rPr>
              <w:t xml:space="preserve"> are</w:t>
            </w:r>
          </w:p>
          <w:p w14:paraId="7EFF6337" w14:textId="77777777" w:rsidR="00DB6E1F" w:rsidRDefault="00F666A6">
            <w:pPr>
              <w:pStyle w:val="TableParagraph"/>
              <w:numPr>
                <w:ilvl w:val="0"/>
                <w:numId w:val="5"/>
              </w:numPr>
              <w:tabs>
                <w:tab w:val="left" w:pos="310"/>
              </w:tabs>
              <w:spacing w:before="0" w:line="243" w:lineRule="exact"/>
              <w:ind w:hanging="203"/>
              <w:rPr>
                <w:sz w:val="20"/>
              </w:rPr>
            </w:pPr>
            <w:r>
              <w:rPr>
                <w:sz w:val="20"/>
              </w:rPr>
              <w:t>a</w:t>
            </w:r>
            <w:r>
              <w:rPr>
                <w:spacing w:val="-5"/>
                <w:sz w:val="20"/>
              </w:rPr>
              <w:t xml:space="preserve"> </w:t>
            </w:r>
            <w:r>
              <w:rPr>
                <w:sz w:val="20"/>
              </w:rPr>
              <w:t>means</w:t>
            </w:r>
            <w:r>
              <w:rPr>
                <w:spacing w:val="-6"/>
                <w:sz w:val="20"/>
              </w:rPr>
              <w:t xml:space="preserve"> </w:t>
            </w:r>
            <w:r>
              <w:rPr>
                <w:sz w:val="20"/>
              </w:rPr>
              <w:t>of</w:t>
            </w:r>
            <w:r>
              <w:rPr>
                <w:spacing w:val="-5"/>
                <w:sz w:val="20"/>
              </w:rPr>
              <w:t xml:space="preserve"> </w:t>
            </w:r>
            <w:r>
              <w:rPr>
                <w:sz w:val="20"/>
              </w:rPr>
              <w:t>assessing</w:t>
            </w:r>
            <w:r>
              <w:rPr>
                <w:spacing w:val="-5"/>
                <w:sz w:val="20"/>
              </w:rPr>
              <w:t xml:space="preserve"> </w:t>
            </w:r>
            <w:r>
              <w:rPr>
                <w:sz w:val="20"/>
              </w:rPr>
              <w:t>client</w:t>
            </w:r>
            <w:r>
              <w:rPr>
                <w:spacing w:val="-6"/>
                <w:sz w:val="20"/>
              </w:rPr>
              <w:t xml:space="preserve"> </w:t>
            </w:r>
            <w:r>
              <w:rPr>
                <w:spacing w:val="-2"/>
                <w:sz w:val="20"/>
              </w:rPr>
              <w:t>read</w:t>
            </w:r>
            <w:r>
              <w:rPr>
                <w:spacing w:val="-2"/>
                <w:sz w:val="20"/>
              </w:rPr>
              <w:t>iness</w:t>
            </w:r>
          </w:p>
          <w:p w14:paraId="268E3D34" w14:textId="77777777" w:rsidR="00DB6E1F" w:rsidRDefault="00F666A6">
            <w:pPr>
              <w:pStyle w:val="TableParagraph"/>
              <w:numPr>
                <w:ilvl w:val="0"/>
                <w:numId w:val="5"/>
              </w:numPr>
              <w:tabs>
                <w:tab w:val="left" w:pos="319"/>
              </w:tabs>
              <w:ind w:left="318" w:hanging="212"/>
              <w:rPr>
                <w:sz w:val="20"/>
              </w:rPr>
            </w:pPr>
            <w:r>
              <w:rPr>
                <w:sz w:val="20"/>
              </w:rPr>
              <w:t>an</w:t>
            </w:r>
            <w:r>
              <w:rPr>
                <w:spacing w:val="-7"/>
                <w:sz w:val="20"/>
              </w:rPr>
              <w:t xml:space="preserve"> </w:t>
            </w:r>
            <w:r>
              <w:rPr>
                <w:sz w:val="20"/>
              </w:rPr>
              <w:t>intervention</w:t>
            </w:r>
            <w:r>
              <w:rPr>
                <w:spacing w:val="-7"/>
                <w:sz w:val="20"/>
              </w:rPr>
              <w:t xml:space="preserve"> </w:t>
            </w:r>
            <w:r>
              <w:rPr>
                <w:sz w:val="20"/>
              </w:rPr>
              <w:t>that</w:t>
            </w:r>
            <w:r>
              <w:rPr>
                <w:spacing w:val="-8"/>
                <w:sz w:val="20"/>
              </w:rPr>
              <w:t xml:space="preserve"> </w:t>
            </w:r>
            <w:r>
              <w:rPr>
                <w:sz w:val="20"/>
              </w:rPr>
              <w:t>is</w:t>
            </w:r>
            <w:r>
              <w:rPr>
                <w:spacing w:val="-9"/>
                <w:sz w:val="20"/>
              </w:rPr>
              <w:t xml:space="preserve"> </w:t>
            </w:r>
            <w:r>
              <w:rPr>
                <w:sz w:val="20"/>
              </w:rPr>
              <w:t>inconsistent</w:t>
            </w:r>
            <w:r>
              <w:rPr>
                <w:spacing w:val="-5"/>
                <w:sz w:val="20"/>
              </w:rPr>
              <w:t xml:space="preserve"> </w:t>
            </w:r>
            <w:r>
              <w:rPr>
                <w:sz w:val="20"/>
              </w:rPr>
              <w:t>with</w:t>
            </w:r>
            <w:r>
              <w:rPr>
                <w:spacing w:val="-7"/>
                <w:sz w:val="20"/>
              </w:rPr>
              <w:t xml:space="preserve"> </w:t>
            </w:r>
            <w:r>
              <w:rPr>
                <w:spacing w:val="-5"/>
                <w:sz w:val="20"/>
              </w:rPr>
              <w:t>MI</w:t>
            </w:r>
          </w:p>
          <w:p w14:paraId="39CEB00F" w14:textId="77777777" w:rsidR="00DB6E1F" w:rsidRDefault="00F666A6">
            <w:pPr>
              <w:pStyle w:val="TableParagraph"/>
              <w:numPr>
                <w:ilvl w:val="0"/>
                <w:numId w:val="5"/>
              </w:numPr>
              <w:tabs>
                <w:tab w:val="left" w:pos="298"/>
              </w:tabs>
              <w:spacing w:before="0"/>
              <w:ind w:left="297" w:hanging="191"/>
              <w:rPr>
                <w:sz w:val="20"/>
              </w:rPr>
            </w:pPr>
            <w:r>
              <w:rPr>
                <w:sz w:val="20"/>
              </w:rPr>
              <w:t>used</w:t>
            </w:r>
            <w:r>
              <w:rPr>
                <w:spacing w:val="-4"/>
                <w:sz w:val="20"/>
              </w:rPr>
              <w:t xml:space="preserve"> </w:t>
            </w:r>
            <w:r>
              <w:rPr>
                <w:sz w:val="20"/>
              </w:rPr>
              <w:t>only</w:t>
            </w:r>
            <w:r>
              <w:rPr>
                <w:spacing w:val="-4"/>
                <w:sz w:val="20"/>
              </w:rPr>
              <w:t xml:space="preserve"> </w:t>
            </w:r>
            <w:r>
              <w:rPr>
                <w:sz w:val="20"/>
              </w:rPr>
              <w:t>with</w:t>
            </w:r>
            <w:r>
              <w:rPr>
                <w:spacing w:val="-4"/>
                <w:sz w:val="20"/>
              </w:rPr>
              <w:t xml:space="preserve"> </w:t>
            </w:r>
            <w:r>
              <w:rPr>
                <w:sz w:val="20"/>
              </w:rPr>
              <w:t>clients</w:t>
            </w:r>
            <w:r>
              <w:rPr>
                <w:spacing w:val="-5"/>
                <w:sz w:val="20"/>
              </w:rPr>
              <w:t xml:space="preserve"> </w:t>
            </w:r>
            <w:r>
              <w:rPr>
                <w:sz w:val="20"/>
              </w:rPr>
              <w:t>who</w:t>
            </w:r>
            <w:r>
              <w:rPr>
                <w:spacing w:val="-2"/>
                <w:sz w:val="20"/>
              </w:rPr>
              <w:t xml:space="preserve"> </w:t>
            </w:r>
            <w:r>
              <w:rPr>
                <w:sz w:val="20"/>
              </w:rPr>
              <w:t>are</w:t>
            </w:r>
            <w:r>
              <w:rPr>
                <w:spacing w:val="-6"/>
                <w:sz w:val="20"/>
              </w:rPr>
              <w:t xml:space="preserve"> </w:t>
            </w:r>
            <w:r>
              <w:rPr>
                <w:sz w:val="20"/>
              </w:rPr>
              <w:t>in</w:t>
            </w:r>
            <w:r>
              <w:rPr>
                <w:spacing w:val="-4"/>
                <w:sz w:val="20"/>
              </w:rPr>
              <w:t xml:space="preserve"> </w:t>
            </w:r>
            <w:r>
              <w:rPr>
                <w:sz w:val="20"/>
              </w:rPr>
              <w:t>the</w:t>
            </w:r>
            <w:r>
              <w:rPr>
                <w:spacing w:val="-5"/>
                <w:sz w:val="20"/>
              </w:rPr>
              <w:t xml:space="preserve"> </w:t>
            </w:r>
            <w:r>
              <w:rPr>
                <w:sz w:val="20"/>
              </w:rPr>
              <w:t>action</w:t>
            </w:r>
            <w:r>
              <w:rPr>
                <w:spacing w:val="-4"/>
                <w:sz w:val="20"/>
              </w:rPr>
              <w:t xml:space="preserve"> </w:t>
            </w:r>
            <w:r>
              <w:rPr>
                <w:sz w:val="20"/>
              </w:rPr>
              <w:t>stage</w:t>
            </w:r>
            <w:r>
              <w:rPr>
                <w:spacing w:val="-6"/>
                <w:sz w:val="20"/>
              </w:rPr>
              <w:t xml:space="preserve"> </w:t>
            </w:r>
            <w:r>
              <w:rPr>
                <w:sz w:val="20"/>
              </w:rPr>
              <w:t>of</w:t>
            </w:r>
            <w:r>
              <w:rPr>
                <w:spacing w:val="-5"/>
                <w:sz w:val="20"/>
              </w:rPr>
              <w:t xml:space="preserve"> </w:t>
            </w:r>
            <w:r>
              <w:rPr>
                <w:spacing w:val="-2"/>
                <w:sz w:val="20"/>
              </w:rPr>
              <w:t>change</w:t>
            </w:r>
          </w:p>
          <w:p w14:paraId="494503D1" w14:textId="77777777" w:rsidR="00DB6E1F" w:rsidRDefault="00F666A6">
            <w:pPr>
              <w:pStyle w:val="TableParagraph"/>
              <w:numPr>
                <w:ilvl w:val="0"/>
                <w:numId w:val="5"/>
              </w:numPr>
              <w:tabs>
                <w:tab w:val="left" w:pos="319"/>
              </w:tabs>
              <w:ind w:left="318" w:hanging="212"/>
              <w:rPr>
                <w:sz w:val="20"/>
              </w:rPr>
            </w:pPr>
            <w:r>
              <w:rPr>
                <w:sz w:val="20"/>
              </w:rPr>
              <w:t>a</w:t>
            </w:r>
            <w:r>
              <w:rPr>
                <w:spacing w:val="-4"/>
                <w:sz w:val="20"/>
              </w:rPr>
              <w:t xml:space="preserve"> </w:t>
            </w:r>
            <w:r>
              <w:rPr>
                <w:sz w:val="20"/>
              </w:rPr>
              <w:t>way</w:t>
            </w:r>
            <w:r>
              <w:rPr>
                <w:spacing w:val="-3"/>
                <w:sz w:val="20"/>
              </w:rPr>
              <w:t xml:space="preserve"> </w:t>
            </w:r>
            <w:r>
              <w:rPr>
                <w:sz w:val="20"/>
              </w:rPr>
              <w:t>of</w:t>
            </w:r>
            <w:r>
              <w:rPr>
                <w:spacing w:val="-5"/>
                <w:sz w:val="20"/>
              </w:rPr>
              <w:t xml:space="preserve"> </w:t>
            </w:r>
            <w:r>
              <w:rPr>
                <w:sz w:val="20"/>
              </w:rPr>
              <w:t>rolling</w:t>
            </w:r>
            <w:r>
              <w:rPr>
                <w:spacing w:val="-4"/>
                <w:sz w:val="20"/>
              </w:rPr>
              <w:t xml:space="preserve"> </w:t>
            </w:r>
            <w:r>
              <w:rPr>
                <w:sz w:val="20"/>
              </w:rPr>
              <w:t>with</w:t>
            </w:r>
            <w:r>
              <w:rPr>
                <w:spacing w:val="-3"/>
                <w:sz w:val="20"/>
              </w:rPr>
              <w:t xml:space="preserve"> </w:t>
            </w:r>
            <w:r>
              <w:rPr>
                <w:spacing w:val="-2"/>
                <w:sz w:val="20"/>
              </w:rPr>
              <w:t>resistance</w:t>
            </w:r>
          </w:p>
          <w:p w14:paraId="77B056FE" w14:textId="77777777" w:rsidR="00DB6E1F" w:rsidRDefault="00F666A6">
            <w:pPr>
              <w:pStyle w:val="TableParagraph"/>
              <w:spacing w:before="118"/>
              <w:rPr>
                <w:b/>
                <w:sz w:val="20"/>
              </w:rPr>
            </w:pPr>
            <w:r>
              <w:rPr>
                <w:b/>
                <w:sz w:val="20"/>
              </w:rPr>
              <w:t>20.</w:t>
            </w:r>
            <w:r>
              <w:rPr>
                <w:b/>
                <w:spacing w:val="-3"/>
                <w:sz w:val="20"/>
              </w:rPr>
              <w:t xml:space="preserve"> </w:t>
            </w:r>
            <w:r>
              <w:rPr>
                <w:b/>
                <w:sz w:val="20"/>
              </w:rPr>
              <w:t>According</w:t>
            </w:r>
            <w:r>
              <w:rPr>
                <w:b/>
                <w:spacing w:val="-4"/>
                <w:sz w:val="20"/>
              </w:rPr>
              <w:t xml:space="preserve"> </w:t>
            </w:r>
            <w:r>
              <w:rPr>
                <w:b/>
                <w:sz w:val="20"/>
              </w:rPr>
              <w:t>to</w:t>
            </w:r>
            <w:r>
              <w:rPr>
                <w:b/>
                <w:spacing w:val="-2"/>
                <w:sz w:val="20"/>
              </w:rPr>
              <w:t xml:space="preserve"> </w:t>
            </w:r>
            <w:r>
              <w:rPr>
                <w:b/>
                <w:sz w:val="20"/>
              </w:rPr>
              <w:t>Miller</w:t>
            </w:r>
            <w:r>
              <w:rPr>
                <w:b/>
                <w:spacing w:val="-2"/>
                <w:sz w:val="20"/>
              </w:rPr>
              <w:t xml:space="preserve"> </w:t>
            </w:r>
            <w:r>
              <w:rPr>
                <w:b/>
                <w:sz w:val="20"/>
              </w:rPr>
              <w:t>and</w:t>
            </w:r>
            <w:r>
              <w:rPr>
                <w:b/>
                <w:spacing w:val="-2"/>
                <w:sz w:val="20"/>
              </w:rPr>
              <w:t xml:space="preserve"> </w:t>
            </w:r>
            <w:r>
              <w:rPr>
                <w:b/>
                <w:sz w:val="20"/>
              </w:rPr>
              <w:t>Rollnick</w:t>
            </w:r>
            <w:r>
              <w:rPr>
                <w:b/>
                <w:spacing w:val="-3"/>
                <w:sz w:val="20"/>
              </w:rPr>
              <w:t xml:space="preserve"> </w:t>
            </w:r>
            <w:r>
              <w:rPr>
                <w:b/>
                <w:sz w:val="20"/>
              </w:rPr>
              <w:t>(2002),</w:t>
            </w:r>
            <w:r>
              <w:rPr>
                <w:b/>
                <w:spacing w:val="-4"/>
                <w:sz w:val="20"/>
              </w:rPr>
              <w:t xml:space="preserve"> </w:t>
            </w:r>
            <w:r>
              <w:rPr>
                <w:b/>
                <w:sz w:val="20"/>
              </w:rPr>
              <w:t>a</w:t>
            </w:r>
            <w:r>
              <w:rPr>
                <w:b/>
                <w:spacing w:val="-3"/>
                <w:sz w:val="20"/>
              </w:rPr>
              <w:t xml:space="preserve"> </w:t>
            </w:r>
            <w:r>
              <w:rPr>
                <w:b/>
                <w:sz w:val="20"/>
              </w:rPr>
              <w:t>therapist</w:t>
            </w:r>
            <w:r>
              <w:rPr>
                <w:b/>
                <w:spacing w:val="-3"/>
                <w:sz w:val="20"/>
              </w:rPr>
              <w:t xml:space="preserve"> </w:t>
            </w:r>
            <w:r>
              <w:rPr>
                <w:b/>
                <w:sz w:val="20"/>
              </w:rPr>
              <w:t>should</w:t>
            </w:r>
            <w:r>
              <w:rPr>
                <w:b/>
                <w:spacing w:val="-2"/>
                <w:sz w:val="20"/>
              </w:rPr>
              <w:t xml:space="preserve"> </w:t>
            </w:r>
            <w:r>
              <w:rPr>
                <w:b/>
                <w:sz w:val="20"/>
              </w:rPr>
              <w:t>respond</w:t>
            </w:r>
            <w:r>
              <w:rPr>
                <w:b/>
                <w:spacing w:val="-4"/>
                <w:sz w:val="20"/>
              </w:rPr>
              <w:t xml:space="preserve"> </w:t>
            </w:r>
            <w:r>
              <w:rPr>
                <w:b/>
                <w:sz w:val="20"/>
              </w:rPr>
              <w:t>to</w:t>
            </w:r>
            <w:r>
              <w:rPr>
                <w:b/>
                <w:spacing w:val="-2"/>
                <w:sz w:val="20"/>
              </w:rPr>
              <w:t xml:space="preserve"> </w:t>
            </w:r>
            <w:r>
              <w:rPr>
                <w:b/>
                <w:sz w:val="20"/>
              </w:rPr>
              <w:t>client</w:t>
            </w:r>
            <w:r>
              <w:rPr>
                <w:b/>
                <w:spacing w:val="-3"/>
                <w:sz w:val="20"/>
              </w:rPr>
              <w:t xml:space="preserve"> </w:t>
            </w:r>
            <w:r>
              <w:rPr>
                <w:b/>
                <w:sz w:val="20"/>
              </w:rPr>
              <w:t>change</w:t>
            </w:r>
            <w:r>
              <w:rPr>
                <w:b/>
                <w:spacing w:val="-5"/>
                <w:sz w:val="20"/>
              </w:rPr>
              <w:t xml:space="preserve"> </w:t>
            </w:r>
            <w:r>
              <w:rPr>
                <w:b/>
                <w:sz w:val="20"/>
              </w:rPr>
              <w:t>talk</w:t>
            </w:r>
            <w:r>
              <w:rPr>
                <w:b/>
                <w:spacing w:val="-3"/>
                <w:sz w:val="20"/>
              </w:rPr>
              <w:t xml:space="preserve"> </w:t>
            </w:r>
            <w:r>
              <w:rPr>
                <w:b/>
                <w:sz w:val="20"/>
              </w:rPr>
              <w:t>in</w:t>
            </w:r>
            <w:r>
              <w:rPr>
                <w:b/>
                <w:spacing w:val="-2"/>
                <w:sz w:val="20"/>
              </w:rPr>
              <w:t xml:space="preserve"> </w:t>
            </w:r>
            <w:r>
              <w:rPr>
                <w:b/>
                <w:sz w:val="20"/>
              </w:rPr>
              <w:t>all</w:t>
            </w:r>
            <w:r>
              <w:rPr>
                <w:b/>
                <w:spacing w:val="-4"/>
                <w:sz w:val="20"/>
              </w:rPr>
              <w:t xml:space="preserve"> </w:t>
            </w:r>
            <w:r>
              <w:rPr>
                <w:b/>
                <w:sz w:val="20"/>
              </w:rPr>
              <w:t>of</w:t>
            </w:r>
            <w:r>
              <w:rPr>
                <w:b/>
                <w:spacing w:val="-4"/>
                <w:sz w:val="20"/>
              </w:rPr>
              <w:t xml:space="preserve"> </w:t>
            </w:r>
            <w:r>
              <w:rPr>
                <w:b/>
                <w:sz w:val="20"/>
              </w:rPr>
              <w:t>the following ways, except by</w:t>
            </w:r>
          </w:p>
          <w:p w14:paraId="430647F5" w14:textId="77777777" w:rsidR="00DB6E1F" w:rsidRDefault="00F666A6">
            <w:pPr>
              <w:pStyle w:val="TableParagraph"/>
              <w:numPr>
                <w:ilvl w:val="0"/>
                <w:numId w:val="4"/>
              </w:numPr>
              <w:tabs>
                <w:tab w:val="left" w:pos="309"/>
              </w:tabs>
              <w:spacing w:before="2" w:line="243" w:lineRule="exact"/>
              <w:rPr>
                <w:sz w:val="20"/>
              </w:rPr>
            </w:pPr>
            <w:r>
              <w:rPr>
                <w:sz w:val="20"/>
              </w:rPr>
              <w:t>elaborating</w:t>
            </w:r>
            <w:r>
              <w:rPr>
                <w:spacing w:val="-6"/>
                <w:sz w:val="20"/>
              </w:rPr>
              <w:t xml:space="preserve"> </w:t>
            </w:r>
            <w:r>
              <w:rPr>
                <w:sz w:val="20"/>
              </w:rPr>
              <w:t>on</w:t>
            </w:r>
            <w:r>
              <w:rPr>
                <w:spacing w:val="-4"/>
                <w:sz w:val="20"/>
              </w:rPr>
              <w:t xml:space="preserve"> </w:t>
            </w:r>
            <w:r>
              <w:rPr>
                <w:sz w:val="20"/>
              </w:rPr>
              <w:t>the</w:t>
            </w:r>
            <w:r>
              <w:rPr>
                <w:spacing w:val="-6"/>
                <w:sz w:val="20"/>
              </w:rPr>
              <w:t xml:space="preserve"> </w:t>
            </w:r>
            <w:r>
              <w:rPr>
                <w:sz w:val="20"/>
              </w:rPr>
              <w:t>change</w:t>
            </w:r>
            <w:r>
              <w:rPr>
                <w:spacing w:val="-7"/>
                <w:sz w:val="20"/>
              </w:rPr>
              <w:t xml:space="preserve"> </w:t>
            </w:r>
            <w:r>
              <w:rPr>
                <w:sz w:val="20"/>
              </w:rPr>
              <w:t>talk</w:t>
            </w:r>
            <w:r>
              <w:rPr>
                <w:spacing w:val="-4"/>
                <w:sz w:val="20"/>
              </w:rPr>
              <w:t xml:space="preserve"> </w:t>
            </w:r>
            <w:r>
              <w:rPr>
                <w:sz w:val="20"/>
              </w:rPr>
              <w:t>with</w:t>
            </w:r>
            <w:r>
              <w:rPr>
                <w:spacing w:val="-4"/>
                <w:sz w:val="20"/>
              </w:rPr>
              <w:t xml:space="preserve"> </w:t>
            </w:r>
            <w:r>
              <w:rPr>
                <w:sz w:val="20"/>
              </w:rPr>
              <w:t>an</w:t>
            </w:r>
            <w:r>
              <w:rPr>
                <w:spacing w:val="-5"/>
                <w:sz w:val="20"/>
              </w:rPr>
              <w:t xml:space="preserve"> </w:t>
            </w:r>
            <w:r>
              <w:rPr>
                <w:sz w:val="20"/>
              </w:rPr>
              <w:t>open</w:t>
            </w:r>
            <w:r>
              <w:rPr>
                <w:spacing w:val="-4"/>
                <w:sz w:val="20"/>
              </w:rPr>
              <w:t xml:space="preserve"> </w:t>
            </w:r>
            <w:r>
              <w:rPr>
                <w:spacing w:val="-2"/>
                <w:sz w:val="20"/>
              </w:rPr>
              <w:t>question</w:t>
            </w:r>
          </w:p>
          <w:p w14:paraId="63035B3E" w14:textId="77777777" w:rsidR="00DB6E1F" w:rsidRDefault="00F666A6">
            <w:pPr>
              <w:pStyle w:val="TableParagraph"/>
              <w:numPr>
                <w:ilvl w:val="0"/>
                <w:numId w:val="4"/>
              </w:numPr>
              <w:tabs>
                <w:tab w:val="left" w:pos="319"/>
              </w:tabs>
              <w:spacing w:before="0" w:line="243" w:lineRule="exact"/>
              <w:ind w:left="318" w:hanging="212"/>
              <w:rPr>
                <w:sz w:val="20"/>
              </w:rPr>
            </w:pPr>
            <w:r>
              <w:rPr>
                <w:sz w:val="20"/>
              </w:rPr>
              <w:t>reflecting</w:t>
            </w:r>
            <w:r>
              <w:rPr>
                <w:spacing w:val="-8"/>
                <w:sz w:val="20"/>
              </w:rPr>
              <w:t xml:space="preserve"> </w:t>
            </w:r>
            <w:r>
              <w:rPr>
                <w:sz w:val="20"/>
              </w:rPr>
              <w:t>the</w:t>
            </w:r>
            <w:r>
              <w:rPr>
                <w:spacing w:val="-8"/>
                <w:sz w:val="20"/>
              </w:rPr>
              <w:t xml:space="preserve"> </w:t>
            </w:r>
            <w:r>
              <w:rPr>
                <w:sz w:val="20"/>
              </w:rPr>
              <w:t>client’s</w:t>
            </w:r>
            <w:r>
              <w:rPr>
                <w:spacing w:val="-8"/>
                <w:sz w:val="20"/>
              </w:rPr>
              <w:t xml:space="preserve"> </w:t>
            </w:r>
            <w:r>
              <w:rPr>
                <w:sz w:val="20"/>
              </w:rPr>
              <w:t>change</w:t>
            </w:r>
            <w:r>
              <w:rPr>
                <w:spacing w:val="-9"/>
                <w:sz w:val="20"/>
              </w:rPr>
              <w:t xml:space="preserve"> </w:t>
            </w:r>
            <w:r>
              <w:rPr>
                <w:spacing w:val="-4"/>
                <w:sz w:val="20"/>
              </w:rPr>
              <w:t>talk</w:t>
            </w:r>
          </w:p>
          <w:p w14:paraId="12D0402E" w14:textId="77777777" w:rsidR="00DB6E1F" w:rsidRDefault="00F666A6">
            <w:pPr>
              <w:pStyle w:val="TableParagraph"/>
              <w:numPr>
                <w:ilvl w:val="0"/>
                <w:numId w:val="4"/>
              </w:numPr>
              <w:tabs>
                <w:tab w:val="left" w:pos="298"/>
              </w:tabs>
              <w:spacing w:before="0"/>
              <w:ind w:left="297" w:hanging="191"/>
              <w:rPr>
                <w:sz w:val="20"/>
              </w:rPr>
            </w:pPr>
            <w:r>
              <w:rPr>
                <w:sz w:val="20"/>
              </w:rPr>
              <w:t>asking</w:t>
            </w:r>
            <w:r>
              <w:rPr>
                <w:spacing w:val="-6"/>
                <w:sz w:val="20"/>
              </w:rPr>
              <w:t xml:space="preserve"> </w:t>
            </w:r>
            <w:r>
              <w:rPr>
                <w:sz w:val="20"/>
              </w:rPr>
              <w:t>the</w:t>
            </w:r>
            <w:r>
              <w:rPr>
                <w:spacing w:val="-6"/>
                <w:sz w:val="20"/>
              </w:rPr>
              <w:t xml:space="preserve"> </w:t>
            </w:r>
            <w:r>
              <w:rPr>
                <w:sz w:val="20"/>
              </w:rPr>
              <w:t>client</w:t>
            </w:r>
            <w:r>
              <w:rPr>
                <w:spacing w:val="-5"/>
                <w:sz w:val="20"/>
              </w:rPr>
              <w:t xml:space="preserve"> </w:t>
            </w:r>
            <w:r>
              <w:rPr>
                <w:sz w:val="20"/>
              </w:rPr>
              <w:t>to</w:t>
            </w:r>
            <w:r>
              <w:rPr>
                <w:spacing w:val="-5"/>
                <w:sz w:val="20"/>
              </w:rPr>
              <w:t xml:space="preserve"> </w:t>
            </w:r>
            <w:r>
              <w:rPr>
                <w:sz w:val="20"/>
              </w:rPr>
              <w:t>commit</w:t>
            </w:r>
            <w:r>
              <w:rPr>
                <w:spacing w:val="-2"/>
                <w:sz w:val="20"/>
              </w:rPr>
              <w:t xml:space="preserve"> </w:t>
            </w:r>
            <w:r>
              <w:rPr>
                <w:sz w:val="20"/>
              </w:rPr>
              <w:t>to</w:t>
            </w:r>
            <w:r>
              <w:rPr>
                <w:spacing w:val="-5"/>
                <w:sz w:val="20"/>
              </w:rPr>
              <w:t xml:space="preserve"> </w:t>
            </w:r>
            <w:r>
              <w:rPr>
                <w:sz w:val="20"/>
              </w:rPr>
              <w:t>a</w:t>
            </w:r>
            <w:r>
              <w:rPr>
                <w:spacing w:val="-6"/>
                <w:sz w:val="20"/>
              </w:rPr>
              <w:t xml:space="preserve"> </w:t>
            </w:r>
            <w:r>
              <w:rPr>
                <w:sz w:val="20"/>
              </w:rPr>
              <w:t>treatment</w:t>
            </w:r>
            <w:r>
              <w:rPr>
                <w:spacing w:val="-5"/>
                <w:sz w:val="20"/>
              </w:rPr>
              <w:t xml:space="preserve"> </w:t>
            </w:r>
            <w:r>
              <w:rPr>
                <w:spacing w:val="-4"/>
                <w:sz w:val="20"/>
              </w:rPr>
              <w:t>plan</w:t>
            </w:r>
          </w:p>
          <w:p w14:paraId="5A3AD257" w14:textId="77777777" w:rsidR="00DB6E1F" w:rsidRDefault="00F666A6">
            <w:pPr>
              <w:pStyle w:val="TableParagraph"/>
              <w:numPr>
                <w:ilvl w:val="0"/>
                <w:numId w:val="4"/>
              </w:numPr>
              <w:tabs>
                <w:tab w:val="left" w:pos="319"/>
              </w:tabs>
              <w:ind w:left="318" w:hanging="212"/>
              <w:rPr>
                <w:sz w:val="20"/>
              </w:rPr>
            </w:pPr>
            <w:r>
              <w:rPr>
                <w:sz w:val="20"/>
              </w:rPr>
              <w:t>summarizing</w:t>
            </w:r>
            <w:r>
              <w:rPr>
                <w:spacing w:val="-10"/>
                <w:sz w:val="20"/>
              </w:rPr>
              <w:t xml:space="preserve"> </w:t>
            </w:r>
            <w:r>
              <w:rPr>
                <w:sz w:val="20"/>
              </w:rPr>
              <w:t>the</w:t>
            </w:r>
            <w:r>
              <w:rPr>
                <w:spacing w:val="-9"/>
                <w:sz w:val="20"/>
              </w:rPr>
              <w:t xml:space="preserve"> </w:t>
            </w:r>
            <w:r>
              <w:rPr>
                <w:sz w:val="20"/>
              </w:rPr>
              <w:t>client’s</w:t>
            </w:r>
            <w:r>
              <w:rPr>
                <w:spacing w:val="-10"/>
                <w:sz w:val="20"/>
              </w:rPr>
              <w:t xml:space="preserve"> </w:t>
            </w:r>
            <w:r>
              <w:rPr>
                <w:spacing w:val="-2"/>
                <w:sz w:val="20"/>
              </w:rPr>
              <w:t>language</w:t>
            </w:r>
          </w:p>
          <w:p w14:paraId="1DA44533" w14:textId="77777777" w:rsidR="00DB6E1F" w:rsidRDefault="00F666A6">
            <w:pPr>
              <w:pStyle w:val="TableParagraph"/>
              <w:spacing w:before="121" w:line="243" w:lineRule="exact"/>
              <w:rPr>
                <w:b/>
                <w:sz w:val="20"/>
              </w:rPr>
            </w:pPr>
            <w:r>
              <w:rPr>
                <w:b/>
                <w:sz w:val="20"/>
              </w:rPr>
              <w:t>21.</w:t>
            </w:r>
            <w:r>
              <w:rPr>
                <w:b/>
                <w:spacing w:val="-7"/>
                <w:sz w:val="20"/>
              </w:rPr>
              <w:t xml:space="preserve"> </w:t>
            </w:r>
            <w:r>
              <w:rPr>
                <w:b/>
                <w:sz w:val="20"/>
              </w:rPr>
              <w:t>The</w:t>
            </w:r>
            <w:r>
              <w:rPr>
                <w:b/>
                <w:spacing w:val="-6"/>
                <w:sz w:val="20"/>
              </w:rPr>
              <w:t xml:space="preserve"> </w:t>
            </w:r>
            <w:r>
              <w:rPr>
                <w:b/>
                <w:sz w:val="20"/>
              </w:rPr>
              <w:t>purpose</w:t>
            </w:r>
            <w:r>
              <w:rPr>
                <w:b/>
                <w:spacing w:val="-6"/>
                <w:sz w:val="20"/>
              </w:rPr>
              <w:t xml:space="preserve"> </w:t>
            </w:r>
            <w:r>
              <w:rPr>
                <w:b/>
                <w:sz w:val="20"/>
              </w:rPr>
              <w:t>of</w:t>
            </w:r>
            <w:r>
              <w:rPr>
                <w:b/>
                <w:spacing w:val="-7"/>
                <w:sz w:val="20"/>
              </w:rPr>
              <w:t xml:space="preserve"> </w:t>
            </w:r>
            <w:r>
              <w:rPr>
                <w:b/>
                <w:sz w:val="20"/>
              </w:rPr>
              <w:t>querying</w:t>
            </w:r>
            <w:r>
              <w:rPr>
                <w:b/>
                <w:spacing w:val="-6"/>
                <w:sz w:val="20"/>
              </w:rPr>
              <w:t xml:space="preserve"> </w:t>
            </w:r>
            <w:r>
              <w:rPr>
                <w:b/>
                <w:sz w:val="20"/>
              </w:rPr>
              <w:t>extreme</w:t>
            </w:r>
            <w:r>
              <w:rPr>
                <w:b/>
                <w:spacing w:val="-7"/>
                <w:sz w:val="20"/>
              </w:rPr>
              <w:t xml:space="preserve"> </w:t>
            </w:r>
            <w:r>
              <w:rPr>
                <w:b/>
                <w:sz w:val="20"/>
              </w:rPr>
              <w:t>consequences</w:t>
            </w:r>
            <w:r>
              <w:rPr>
                <w:b/>
                <w:spacing w:val="-6"/>
                <w:sz w:val="20"/>
              </w:rPr>
              <w:t xml:space="preserve"> </w:t>
            </w:r>
            <w:r>
              <w:rPr>
                <w:b/>
                <w:sz w:val="20"/>
              </w:rPr>
              <w:t>of</w:t>
            </w:r>
            <w:r>
              <w:rPr>
                <w:b/>
                <w:spacing w:val="-6"/>
                <w:sz w:val="20"/>
              </w:rPr>
              <w:t xml:space="preserve"> </w:t>
            </w:r>
            <w:r>
              <w:rPr>
                <w:b/>
                <w:sz w:val="20"/>
              </w:rPr>
              <w:t>maintaining</w:t>
            </w:r>
            <w:r>
              <w:rPr>
                <w:b/>
                <w:spacing w:val="-7"/>
                <w:sz w:val="20"/>
              </w:rPr>
              <w:t xml:space="preserve"> </w:t>
            </w:r>
            <w:r>
              <w:rPr>
                <w:b/>
                <w:sz w:val="20"/>
              </w:rPr>
              <w:t>behavior</w:t>
            </w:r>
            <w:r>
              <w:rPr>
                <w:b/>
                <w:spacing w:val="-6"/>
                <w:sz w:val="20"/>
              </w:rPr>
              <w:t xml:space="preserve"> </w:t>
            </w:r>
            <w:r>
              <w:rPr>
                <w:b/>
                <w:spacing w:val="-5"/>
                <w:sz w:val="20"/>
              </w:rPr>
              <w:t>is</w:t>
            </w:r>
          </w:p>
          <w:p w14:paraId="41FF7717" w14:textId="77777777" w:rsidR="00DB6E1F" w:rsidRDefault="00F666A6">
            <w:pPr>
              <w:pStyle w:val="TableParagraph"/>
              <w:numPr>
                <w:ilvl w:val="0"/>
                <w:numId w:val="3"/>
              </w:numPr>
              <w:tabs>
                <w:tab w:val="left" w:pos="309"/>
              </w:tabs>
              <w:spacing w:before="0" w:line="243" w:lineRule="exact"/>
              <w:rPr>
                <w:sz w:val="20"/>
              </w:rPr>
            </w:pPr>
            <w:r>
              <w:rPr>
                <w:sz w:val="20"/>
              </w:rPr>
              <w:t>to</w:t>
            </w:r>
            <w:r>
              <w:rPr>
                <w:spacing w:val="-6"/>
                <w:sz w:val="20"/>
              </w:rPr>
              <w:t xml:space="preserve"> </w:t>
            </w:r>
            <w:r>
              <w:rPr>
                <w:sz w:val="20"/>
              </w:rPr>
              <w:t>elicit</w:t>
            </w:r>
            <w:r>
              <w:rPr>
                <w:spacing w:val="-6"/>
                <w:sz w:val="20"/>
              </w:rPr>
              <w:t xml:space="preserve"> </w:t>
            </w:r>
            <w:r>
              <w:rPr>
                <w:sz w:val="20"/>
              </w:rPr>
              <w:t>the</w:t>
            </w:r>
            <w:r>
              <w:rPr>
                <w:spacing w:val="-6"/>
                <w:sz w:val="20"/>
              </w:rPr>
              <w:t xml:space="preserve"> </w:t>
            </w:r>
            <w:r>
              <w:rPr>
                <w:sz w:val="20"/>
              </w:rPr>
              <w:t>cons</w:t>
            </w:r>
            <w:r>
              <w:rPr>
                <w:spacing w:val="-7"/>
                <w:sz w:val="20"/>
              </w:rPr>
              <w:t xml:space="preserve"> </w:t>
            </w:r>
            <w:r>
              <w:rPr>
                <w:sz w:val="20"/>
              </w:rPr>
              <w:t>of</w:t>
            </w:r>
            <w:r>
              <w:rPr>
                <w:spacing w:val="-7"/>
                <w:sz w:val="20"/>
              </w:rPr>
              <w:t xml:space="preserve"> </w:t>
            </w:r>
            <w:r>
              <w:rPr>
                <w:sz w:val="20"/>
              </w:rPr>
              <w:t>behavior</w:t>
            </w:r>
            <w:r>
              <w:rPr>
                <w:spacing w:val="-5"/>
                <w:sz w:val="20"/>
              </w:rPr>
              <w:t xml:space="preserve"> </w:t>
            </w:r>
            <w:r>
              <w:rPr>
                <w:sz w:val="20"/>
              </w:rPr>
              <w:t>change</w:t>
            </w:r>
            <w:r>
              <w:rPr>
                <w:spacing w:val="-7"/>
                <w:sz w:val="20"/>
              </w:rPr>
              <w:t xml:space="preserve"> </w:t>
            </w:r>
            <w:r>
              <w:rPr>
                <w:sz w:val="20"/>
              </w:rPr>
              <w:t>(counter</w:t>
            </w:r>
            <w:r>
              <w:rPr>
                <w:spacing w:val="-5"/>
                <w:sz w:val="20"/>
              </w:rPr>
              <w:t xml:space="preserve"> </w:t>
            </w:r>
            <w:r>
              <w:rPr>
                <w:sz w:val="20"/>
              </w:rPr>
              <w:t>change</w:t>
            </w:r>
            <w:r>
              <w:rPr>
                <w:spacing w:val="-7"/>
                <w:sz w:val="20"/>
              </w:rPr>
              <w:t xml:space="preserve"> </w:t>
            </w:r>
            <w:r>
              <w:rPr>
                <w:spacing w:val="-2"/>
                <w:sz w:val="20"/>
              </w:rPr>
              <w:t>talk)</w:t>
            </w:r>
          </w:p>
          <w:p w14:paraId="008884BA" w14:textId="77777777" w:rsidR="00DB6E1F" w:rsidRDefault="00F666A6">
            <w:pPr>
              <w:pStyle w:val="TableParagraph"/>
              <w:numPr>
                <w:ilvl w:val="0"/>
                <w:numId w:val="3"/>
              </w:numPr>
              <w:tabs>
                <w:tab w:val="left" w:pos="319"/>
              </w:tabs>
              <w:spacing w:before="0"/>
              <w:ind w:left="318" w:hanging="212"/>
              <w:rPr>
                <w:sz w:val="20"/>
              </w:rPr>
            </w:pPr>
            <w:r>
              <w:rPr>
                <w:sz w:val="20"/>
              </w:rPr>
              <w:t>to</w:t>
            </w:r>
            <w:r>
              <w:rPr>
                <w:spacing w:val="-6"/>
                <w:sz w:val="20"/>
              </w:rPr>
              <w:t xml:space="preserve"> </w:t>
            </w:r>
            <w:r>
              <w:rPr>
                <w:sz w:val="20"/>
              </w:rPr>
              <w:t>warn</w:t>
            </w:r>
            <w:r>
              <w:rPr>
                <w:spacing w:val="-5"/>
                <w:sz w:val="20"/>
              </w:rPr>
              <w:t xml:space="preserve"> </w:t>
            </w:r>
            <w:r>
              <w:rPr>
                <w:sz w:val="20"/>
              </w:rPr>
              <w:t>the</w:t>
            </w:r>
            <w:r>
              <w:rPr>
                <w:spacing w:val="-7"/>
                <w:sz w:val="20"/>
              </w:rPr>
              <w:t xml:space="preserve"> </w:t>
            </w:r>
            <w:r>
              <w:rPr>
                <w:sz w:val="20"/>
              </w:rPr>
              <w:t>client</w:t>
            </w:r>
            <w:r>
              <w:rPr>
                <w:spacing w:val="-6"/>
                <w:sz w:val="20"/>
              </w:rPr>
              <w:t xml:space="preserve"> </w:t>
            </w:r>
            <w:r>
              <w:rPr>
                <w:sz w:val="20"/>
              </w:rPr>
              <w:t>about</w:t>
            </w:r>
            <w:r>
              <w:rPr>
                <w:spacing w:val="-5"/>
                <w:sz w:val="20"/>
              </w:rPr>
              <w:t xml:space="preserve"> </w:t>
            </w:r>
            <w:r>
              <w:rPr>
                <w:sz w:val="20"/>
              </w:rPr>
              <w:t>negative</w:t>
            </w:r>
            <w:r>
              <w:rPr>
                <w:spacing w:val="-7"/>
                <w:sz w:val="20"/>
              </w:rPr>
              <w:t xml:space="preserve"> </w:t>
            </w:r>
            <w:r>
              <w:rPr>
                <w:sz w:val="20"/>
              </w:rPr>
              <w:t>consequences</w:t>
            </w:r>
            <w:r>
              <w:rPr>
                <w:spacing w:val="-7"/>
                <w:sz w:val="20"/>
              </w:rPr>
              <w:t xml:space="preserve"> </w:t>
            </w:r>
            <w:r>
              <w:rPr>
                <w:sz w:val="20"/>
              </w:rPr>
              <w:t>of</w:t>
            </w:r>
            <w:r>
              <w:rPr>
                <w:spacing w:val="-6"/>
                <w:sz w:val="20"/>
              </w:rPr>
              <w:t xml:space="preserve"> </w:t>
            </w:r>
            <w:r>
              <w:rPr>
                <w:sz w:val="20"/>
              </w:rPr>
              <w:t>their</w:t>
            </w:r>
            <w:r>
              <w:rPr>
                <w:spacing w:val="-4"/>
                <w:sz w:val="20"/>
              </w:rPr>
              <w:t xml:space="preserve"> </w:t>
            </w:r>
            <w:r>
              <w:rPr>
                <w:spacing w:val="-2"/>
                <w:sz w:val="20"/>
              </w:rPr>
              <w:t>behavior</w:t>
            </w:r>
          </w:p>
          <w:p w14:paraId="10587F1B" w14:textId="77777777" w:rsidR="00DB6E1F" w:rsidRDefault="00F666A6">
            <w:pPr>
              <w:pStyle w:val="TableParagraph"/>
              <w:numPr>
                <w:ilvl w:val="0"/>
                <w:numId w:val="3"/>
              </w:numPr>
              <w:tabs>
                <w:tab w:val="left" w:pos="298"/>
              </w:tabs>
              <w:spacing w:line="223" w:lineRule="exact"/>
              <w:ind w:left="297" w:hanging="191"/>
              <w:rPr>
                <w:sz w:val="20"/>
              </w:rPr>
            </w:pPr>
            <w:r>
              <w:rPr>
                <w:sz w:val="20"/>
              </w:rPr>
              <w:t>to</w:t>
            </w:r>
            <w:r>
              <w:rPr>
                <w:spacing w:val="-7"/>
                <w:sz w:val="20"/>
              </w:rPr>
              <w:t xml:space="preserve"> </w:t>
            </w:r>
            <w:r>
              <w:rPr>
                <w:sz w:val="20"/>
              </w:rPr>
              <w:t>elicit</w:t>
            </w:r>
            <w:r>
              <w:rPr>
                <w:spacing w:val="-6"/>
                <w:sz w:val="20"/>
              </w:rPr>
              <w:t xml:space="preserve"> </w:t>
            </w:r>
            <w:r>
              <w:rPr>
                <w:sz w:val="20"/>
              </w:rPr>
              <w:t>the</w:t>
            </w:r>
            <w:r>
              <w:rPr>
                <w:spacing w:val="-8"/>
                <w:sz w:val="20"/>
              </w:rPr>
              <w:t xml:space="preserve"> </w:t>
            </w:r>
            <w:r>
              <w:rPr>
                <w:sz w:val="20"/>
              </w:rPr>
              <w:t>pros</w:t>
            </w:r>
            <w:r>
              <w:rPr>
                <w:spacing w:val="-7"/>
                <w:sz w:val="20"/>
              </w:rPr>
              <w:t xml:space="preserve"> </w:t>
            </w:r>
            <w:r>
              <w:rPr>
                <w:sz w:val="20"/>
              </w:rPr>
              <w:t>of</w:t>
            </w:r>
            <w:r>
              <w:rPr>
                <w:spacing w:val="-8"/>
                <w:sz w:val="20"/>
              </w:rPr>
              <w:t xml:space="preserve"> </w:t>
            </w:r>
            <w:r>
              <w:rPr>
                <w:sz w:val="20"/>
              </w:rPr>
              <w:t>behavior</w:t>
            </w:r>
            <w:r>
              <w:rPr>
                <w:spacing w:val="-6"/>
                <w:sz w:val="20"/>
              </w:rPr>
              <w:t xml:space="preserve"> </w:t>
            </w:r>
            <w:r>
              <w:rPr>
                <w:sz w:val="20"/>
              </w:rPr>
              <w:t>change</w:t>
            </w:r>
            <w:r>
              <w:rPr>
                <w:spacing w:val="-7"/>
                <w:sz w:val="20"/>
              </w:rPr>
              <w:t xml:space="preserve"> </w:t>
            </w:r>
            <w:r>
              <w:rPr>
                <w:sz w:val="20"/>
              </w:rPr>
              <w:t>(self-motivating</w:t>
            </w:r>
            <w:r>
              <w:rPr>
                <w:spacing w:val="-7"/>
                <w:sz w:val="20"/>
              </w:rPr>
              <w:t xml:space="preserve"> </w:t>
            </w:r>
            <w:r>
              <w:rPr>
                <w:spacing w:val="-2"/>
                <w:sz w:val="20"/>
              </w:rPr>
              <w:t>statements)</w:t>
            </w:r>
          </w:p>
        </w:tc>
      </w:tr>
    </w:tbl>
    <w:p w14:paraId="5BD6A463" w14:textId="77777777" w:rsidR="00DB6E1F" w:rsidRDefault="00DB6E1F">
      <w:pPr>
        <w:spacing w:line="223" w:lineRule="exact"/>
        <w:rPr>
          <w:sz w:val="20"/>
        </w:rPr>
        <w:sectPr w:rsidR="00DB6E1F">
          <w:pgSz w:w="12240" w:h="15840"/>
          <w:pgMar w:top="1200" w:right="0" w:bottom="780" w:left="0" w:header="763" w:footer="585" w:gutter="0"/>
          <w:cols w:space="720"/>
        </w:sectPr>
      </w:pPr>
    </w:p>
    <w:p w14:paraId="546D457D" w14:textId="77777777" w:rsidR="00DB6E1F" w:rsidRDefault="00DB6E1F">
      <w:pPr>
        <w:pStyle w:val="BodyText"/>
        <w:spacing w:before="3" w:after="1"/>
        <w:rPr>
          <w:sz w:val="19"/>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6E1F" w14:paraId="43A4979E" w14:textId="77777777">
        <w:trPr>
          <w:trHeight w:val="2193"/>
        </w:trPr>
        <w:tc>
          <w:tcPr>
            <w:tcW w:w="9350" w:type="dxa"/>
          </w:tcPr>
          <w:p w14:paraId="7F0FB48F" w14:textId="77777777" w:rsidR="00DB6E1F" w:rsidRDefault="00F666A6">
            <w:pPr>
              <w:pStyle w:val="TableParagraph"/>
              <w:rPr>
                <w:sz w:val="20"/>
              </w:rPr>
            </w:pPr>
            <w:r>
              <w:rPr>
                <w:sz w:val="20"/>
              </w:rPr>
              <w:t>d)</w:t>
            </w:r>
            <w:r>
              <w:rPr>
                <w:spacing w:val="-4"/>
                <w:sz w:val="20"/>
              </w:rPr>
              <w:t xml:space="preserve"> </w:t>
            </w:r>
            <w:r>
              <w:rPr>
                <w:sz w:val="20"/>
              </w:rPr>
              <w:t>to</w:t>
            </w:r>
            <w:r>
              <w:rPr>
                <w:spacing w:val="-4"/>
                <w:sz w:val="20"/>
              </w:rPr>
              <w:t xml:space="preserve"> </w:t>
            </w:r>
            <w:r>
              <w:rPr>
                <w:sz w:val="20"/>
              </w:rPr>
              <w:t>scare</w:t>
            </w:r>
            <w:r>
              <w:rPr>
                <w:spacing w:val="-5"/>
                <w:sz w:val="20"/>
              </w:rPr>
              <w:t xml:space="preserve"> </w:t>
            </w:r>
            <w:r>
              <w:rPr>
                <w:sz w:val="20"/>
              </w:rPr>
              <w:t>the</w:t>
            </w:r>
            <w:r>
              <w:rPr>
                <w:spacing w:val="-5"/>
                <w:sz w:val="20"/>
              </w:rPr>
              <w:t xml:space="preserve"> </w:t>
            </w:r>
            <w:r>
              <w:rPr>
                <w:sz w:val="20"/>
              </w:rPr>
              <w:t>client</w:t>
            </w:r>
            <w:r>
              <w:rPr>
                <w:spacing w:val="-3"/>
                <w:sz w:val="20"/>
              </w:rPr>
              <w:t xml:space="preserve"> </w:t>
            </w:r>
            <w:r>
              <w:rPr>
                <w:spacing w:val="-2"/>
                <w:sz w:val="20"/>
              </w:rPr>
              <w:t>straight</w:t>
            </w:r>
          </w:p>
          <w:p w14:paraId="188EBE39" w14:textId="77777777" w:rsidR="00DB6E1F" w:rsidRDefault="00F666A6">
            <w:pPr>
              <w:pStyle w:val="TableParagraph"/>
              <w:spacing w:before="121" w:line="243" w:lineRule="exact"/>
              <w:rPr>
                <w:b/>
                <w:sz w:val="20"/>
              </w:rPr>
            </w:pPr>
            <w:r>
              <w:rPr>
                <w:b/>
                <w:sz w:val="20"/>
              </w:rPr>
              <w:t>22.</w:t>
            </w:r>
            <w:r>
              <w:rPr>
                <w:b/>
                <w:spacing w:val="-5"/>
                <w:sz w:val="20"/>
              </w:rPr>
              <w:t xml:space="preserve"> </w:t>
            </w:r>
            <w:r>
              <w:rPr>
                <w:b/>
                <w:sz w:val="20"/>
              </w:rPr>
              <w:t>What</w:t>
            </w:r>
            <w:r>
              <w:rPr>
                <w:b/>
                <w:spacing w:val="-5"/>
                <w:sz w:val="20"/>
              </w:rPr>
              <w:t xml:space="preserve"> </w:t>
            </w:r>
            <w:r>
              <w:rPr>
                <w:b/>
                <w:sz w:val="20"/>
              </w:rPr>
              <w:t>would</w:t>
            </w:r>
            <w:r>
              <w:rPr>
                <w:b/>
                <w:spacing w:val="-3"/>
                <w:sz w:val="20"/>
              </w:rPr>
              <w:t xml:space="preserve"> </w:t>
            </w:r>
            <w:r>
              <w:rPr>
                <w:b/>
                <w:sz w:val="20"/>
              </w:rPr>
              <w:t>be</w:t>
            </w:r>
            <w:r>
              <w:rPr>
                <w:b/>
                <w:spacing w:val="-5"/>
                <w:sz w:val="20"/>
              </w:rPr>
              <w:t xml:space="preserve"> </w:t>
            </w:r>
            <w:r>
              <w:rPr>
                <w:b/>
                <w:sz w:val="20"/>
              </w:rPr>
              <w:t>the</w:t>
            </w:r>
            <w:r>
              <w:rPr>
                <w:b/>
                <w:spacing w:val="-4"/>
                <w:sz w:val="20"/>
              </w:rPr>
              <w:t xml:space="preserve"> </w:t>
            </w:r>
            <w:r>
              <w:rPr>
                <w:b/>
                <w:sz w:val="20"/>
              </w:rPr>
              <w:t>best</w:t>
            </w:r>
            <w:r>
              <w:rPr>
                <w:b/>
                <w:spacing w:val="-5"/>
                <w:sz w:val="20"/>
              </w:rPr>
              <w:t xml:space="preserve"> </w:t>
            </w:r>
            <w:r>
              <w:rPr>
                <w:b/>
                <w:sz w:val="20"/>
              </w:rPr>
              <w:t>therapist</w:t>
            </w:r>
            <w:r>
              <w:rPr>
                <w:b/>
                <w:spacing w:val="-5"/>
                <w:sz w:val="20"/>
              </w:rPr>
              <w:t xml:space="preserve"> </w:t>
            </w:r>
            <w:r>
              <w:rPr>
                <w:b/>
                <w:sz w:val="20"/>
              </w:rPr>
              <w:t>response</w:t>
            </w:r>
            <w:r>
              <w:rPr>
                <w:b/>
                <w:spacing w:val="-4"/>
                <w:sz w:val="20"/>
              </w:rPr>
              <w:t xml:space="preserve"> </w:t>
            </w:r>
            <w:r>
              <w:rPr>
                <w:b/>
                <w:sz w:val="20"/>
              </w:rPr>
              <w:t>to</w:t>
            </w:r>
            <w:r>
              <w:rPr>
                <w:b/>
                <w:spacing w:val="-4"/>
                <w:sz w:val="20"/>
              </w:rPr>
              <w:t xml:space="preserve"> </w:t>
            </w:r>
            <w:r>
              <w:rPr>
                <w:b/>
                <w:sz w:val="20"/>
              </w:rPr>
              <w:t>elicit</w:t>
            </w:r>
            <w:r>
              <w:rPr>
                <w:b/>
                <w:spacing w:val="-4"/>
                <w:sz w:val="20"/>
              </w:rPr>
              <w:t xml:space="preserve"> </w:t>
            </w:r>
            <w:r>
              <w:rPr>
                <w:b/>
                <w:sz w:val="20"/>
              </w:rPr>
              <w:t>change</w:t>
            </w:r>
            <w:r>
              <w:rPr>
                <w:b/>
                <w:spacing w:val="-5"/>
                <w:sz w:val="20"/>
              </w:rPr>
              <w:t xml:space="preserve"> </w:t>
            </w:r>
            <w:r>
              <w:rPr>
                <w:b/>
                <w:sz w:val="20"/>
              </w:rPr>
              <w:t>talk</w:t>
            </w:r>
            <w:r>
              <w:rPr>
                <w:b/>
                <w:spacing w:val="-5"/>
                <w:sz w:val="20"/>
              </w:rPr>
              <w:t xml:space="preserve"> </w:t>
            </w:r>
            <w:r>
              <w:rPr>
                <w:b/>
                <w:sz w:val="20"/>
              </w:rPr>
              <w:t>in</w:t>
            </w:r>
            <w:r>
              <w:rPr>
                <w:b/>
                <w:spacing w:val="-3"/>
                <w:sz w:val="20"/>
              </w:rPr>
              <w:t xml:space="preserve"> </w:t>
            </w:r>
            <w:r>
              <w:rPr>
                <w:b/>
                <w:sz w:val="20"/>
              </w:rPr>
              <w:t>the</w:t>
            </w:r>
            <w:r>
              <w:rPr>
                <w:b/>
                <w:spacing w:val="-5"/>
                <w:sz w:val="20"/>
              </w:rPr>
              <w:t xml:space="preserve"> </w:t>
            </w:r>
            <w:r>
              <w:rPr>
                <w:b/>
                <w:sz w:val="20"/>
              </w:rPr>
              <w:t>following</w:t>
            </w:r>
            <w:r>
              <w:rPr>
                <w:b/>
                <w:spacing w:val="-5"/>
                <w:sz w:val="20"/>
              </w:rPr>
              <w:t xml:space="preserve"> </w:t>
            </w:r>
            <w:r>
              <w:rPr>
                <w:b/>
                <w:spacing w:val="-2"/>
                <w:sz w:val="20"/>
              </w:rPr>
              <w:t>situation?</w:t>
            </w:r>
          </w:p>
          <w:p w14:paraId="37245651" w14:textId="77777777" w:rsidR="00DB6E1F" w:rsidRDefault="00F666A6">
            <w:pPr>
              <w:pStyle w:val="TableParagraph"/>
              <w:spacing w:before="0"/>
              <w:ind w:left="799" w:right="1957"/>
              <w:rPr>
                <w:sz w:val="20"/>
              </w:rPr>
            </w:pPr>
            <w:r>
              <w:rPr>
                <w:sz w:val="20"/>
              </w:rPr>
              <w:t>T:</w:t>
            </w:r>
            <w:r>
              <w:rPr>
                <w:spacing w:val="-4"/>
                <w:sz w:val="20"/>
              </w:rPr>
              <w:t xml:space="preserve"> </w:t>
            </w:r>
            <w:r>
              <w:rPr>
                <w:sz w:val="20"/>
              </w:rPr>
              <w:t>“How</w:t>
            </w:r>
            <w:r>
              <w:rPr>
                <w:spacing w:val="-4"/>
                <w:sz w:val="20"/>
              </w:rPr>
              <w:t xml:space="preserve"> </w:t>
            </w:r>
            <w:r>
              <w:rPr>
                <w:sz w:val="20"/>
              </w:rPr>
              <w:t>confident</w:t>
            </w:r>
            <w:r>
              <w:rPr>
                <w:spacing w:val="-3"/>
                <w:sz w:val="20"/>
              </w:rPr>
              <w:t xml:space="preserve"> </w:t>
            </w:r>
            <w:r>
              <w:rPr>
                <w:sz w:val="20"/>
              </w:rPr>
              <w:t>are</w:t>
            </w:r>
            <w:r>
              <w:rPr>
                <w:spacing w:val="-4"/>
                <w:sz w:val="20"/>
              </w:rPr>
              <w:t xml:space="preserve"> </w:t>
            </w:r>
            <w:r>
              <w:rPr>
                <w:sz w:val="20"/>
              </w:rPr>
              <w:t>you</w:t>
            </w:r>
            <w:r>
              <w:rPr>
                <w:spacing w:val="-2"/>
                <w:sz w:val="20"/>
              </w:rPr>
              <w:t xml:space="preserve"> </w:t>
            </w:r>
            <w:r>
              <w:rPr>
                <w:sz w:val="20"/>
              </w:rPr>
              <w:t>on</w:t>
            </w:r>
            <w:r>
              <w:rPr>
                <w:spacing w:val="-4"/>
                <w:sz w:val="20"/>
              </w:rPr>
              <w:t xml:space="preserve"> </w:t>
            </w:r>
            <w:r>
              <w:rPr>
                <w:sz w:val="20"/>
              </w:rPr>
              <w:t>a</w:t>
            </w:r>
            <w:r>
              <w:rPr>
                <w:spacing w:val="-2"/>
                <w:sz w:val="20"/>
              </w:rPr>
              <w:t xml:space="preserve"> </w:t>
            </w:r>
            <w:r>
              <w:rPr>
                <w:sz w:val="20"/>
              </w:rPr>
              <w:t>scale</w:t>
            </w:r>
            <w:r>
              <w:rPr>
                <w:spacing w:val="-4"/>
                <w:sz w:val="20"/>
              </w:rPr>
              <w:t xml:space="preserve"> </w:t>
            </w:r>
            <w:r>
              <w:rPr>
                <w:sz w:val="20"/>
              </w:rPr>
              <w:t>of</w:t>
            </w:r>
            <w:r>
              <w:rPr>
                <w:spacing w:val="-4"/>
                <w:sz w:val="20"/>
              </w:rPr>
              <w:t xml:space="preserve"> </w:t>
            </w:r>
            <w:r>
              <w:rPr>
                <w:sz w:val="20"/>
              </w:rPr>
              <w:t>0</w:t>
            </w:r>
            <w:r>
              <w:rPr>
                <w:spacing w:val="-3"/>
                <w:sz w:val="20"/>
              </w:rPr>
              <w:t xml:space="preserve"> </w:t>
            </w:r>
            <w:r>
              <w:rPr>
                <w:sz w:val="20"/>
              </w:rPr>
              <w:t>to</w:t>
            </w:r>
            <w:r>
              <w:rPr>
                <w:spacing w:val="-3"/>
                <w:sz w:val="20"/>
              </w:rPr>
              <w:t xml:space="preserve"> </w:t>
            </w:r>
            <w:r>
              <w:rPr>
                <w:sz w:val="20"/>
              </w:rPr>
              <w:t>10</w:t>
            </w:r>
            <w:r>
              <w:rPr>
                <w:spacing w:val="-3"/>
                <w:sz w:val="20"/>
              </w:rPr>
              <w:t xml:space="preserve"> </w:t>
            </w:r>
            <w:r>
              <w:rPr>
                <w:sz w:val="20"/>
              </w:rPr>
              <w:t>that</w:t>
            </w:r>
            <w:r>
              <w:rPr>
                <w:spacing w:val="-3"/>
                <w:sz w:val="20"/>
              </w:rPr>
              <w:t xml:space="preserve"> </w:t>
            </w:r>
            <w:r>
              <w:rPr>
                <w:sz w:val="20"/>
              </w:rPr>
              <w:t>you</w:t>
            </w:r>
            <w:r>
              <w:rPr>
                <w:spacing w:val="-2"/>
                <w:sz w:val="20"/>
              </w:rPr>
              <w:t xml:space="preserve"> </w:t>
            </w:r>
            <w:r>
              <w:rPr>
                <w:sz w:val="20"/>
              </w:rPr>
              <w:t>can</w:t>
            </w:r>
            <w:r>
              <w:rPr>
                <w:spacing w:val="-2"/>
                <w:sz w:val="20"/>
              </w:rPr>
              <w:t xml:space="preserve"> </w:t>
            </w:r>
            <w:r>
              <w:rPr>
                <w:sz w:val="20"/>
              </w:rPr>
              <w:t>make</w:t>
            </w:r>
            <w:r>
              <w:rPr>
                <w:spacing w:val="-4"/>
                <w:sz w:val="20"/>
              </w:rPr>
              <w:t xml:space="preserve"> </w:t>
            </w:r>
            <w:r>
              <w:rPr>
                <w:sz w:val="20"/>
              </w:rPr>
              <w:t>this</w:t>
            </w:r>
            <w:r>
              <w:rPr>
                <w:spacing w:val="-4"/>
                <w:sz w:val="20"/>
              </w:rPr>
              <w:t xml:space="preserve"> </w:t>
            </w:r>
            <w:r>
              <w:rPr>
                <w:sz w:val="20"/>
              </w:rPr>
              <w:t>change?” C: “About a 4.”</w:t>
            </w:r>
          </w:p>
          <w:p w14:paraId="08103174" w14:textId="77777777" w:rsidR="00DB6E1F" w:rsidRDefault="00F666A6">
            <w:pPr>
              <w:pStyle w:val="TableParagraph"/>
              <w:numPr>
                <w:ilvl w:val="0"/>
                <w:numId w:val="2"/>
              </w:numPr>
              <w:tabs>
                <w:tab w:val="left" w:pos="310"/>
              </w:tabs>
              <w:spacing w:before="0"/>
              <w:ind w:hanging="203"/>
              <w:rPr>
                <w:sz w:val="20"/>
              </w:rPr>
            </w:pPr>
            <w:r>
              <w:rPr>
                <w:sz w:val="20"/>
              </w:rPr>
              <w:t>So,</w:t>
            </w:r>
            <w:r>
              <w:rPr>
                <w:spacing w:val="-4"/>
                <w:sz w:val="20"/>
              </w:rPr>
              <w:t xml:space="preserve"> </w:t>
            </w:r>
            <w:r>
              <w:rPr>
                <w:sz w:val="20"/>
              </w:rPr>
              <w:t>you’re</w:t>
            </w:r>
            <w:r>
              <w:rPr>
                <w:spacing w:val="-4"/>
                <w:sz w:val="20"/>
              </w:rPr>
              <w:t xml:space="preserve"> </w:t>
            </w:r>
            <w:r>
              <w:rPr>
                <w:sz w:val="20"/>
              </w:rPr>
              <w:t>about</w:t>
            </w:r>
            <w:r>
              <w:rPr>
                <w:spacing w:val="-3"/>
                <w:sz w:val="20"/>
              </w:rPr>
              <w:t xml:space="preserve"> </w:t>
            </w:r>
            <w:r>
              <w:rPr>
                <w:sz w:val="20"/>
              </w:rPr>
              <w:t>a</w:t>
            </w:r>
            <w:r>
              <w:rPr>
                <w:spacing w:val="-5"/>
                <w:sz w:val="20"/>
              </w:rPr>
              <w:t xml:space="preserve"> 4.</w:t>
            </w:r>
          </w:p>
          <w:p w14:paraId="7045E250" w14:textId="77777777" w:rsidR="00DB6E1F" w:rsidRDefault="00F666A6">
            <w:pPr>
              <w:pStyle w:val="TableParagraph"/>
              <w:numPr>
                <w:ilvl w:val="0"/>
                <w:numId w:val="2"/>
              </w:numPr>
              <w:tabs>
                <w:tab w:val="left" w:pos="319"/>
              </w:tabs>
              <w:spacing w:line="243" w:lineRule="exact"/>
              <w:ind w:left="318" w:hanging="212"/>
              <w:rPr>
                <w:sz w:val="20"/>
              </w:rPr>
            </w:pPr>
            <w:r>
              <w:rPr>
                <w:sz w:val="20"/>
              </w:rPr>
              <w:t>Why</w:t>
            </w:r>
            <w:r>
              <w:rPr>
                <w:spacing w:val="-2"/>
                <w:sz w:val="20"/>
              </w:rPr>
              <w:t xml:space="preserve"> </w:t>
            </w:r>
            <w:r>
              <w:rPr>
                <w:sz w:val="20"/>
              </w:rPr>
              <w:t>are</w:t>
            </w:r>
            <w:r>
              <w:rPr>
                <w:spacing w:val="-3"/>
                <w:sz w:val="20"/>
              </w:rPr>
              <w:t xml:space="preserve"> </w:t>
            </w:r>
            <w:r>
              <w:rPr>
                <w:sz w:val="20"/>
              </w:rPr>
              <w:t>you</w:t>
            </w:r>
            <w:r>
              <w:rPr>
                <w:spacing w:val="-2"/>
                <w:sz w:val="20"/>
              </w:rPr>
              <w:t xml:space="preserve"> </w:t>
            </w:r>
            <w:r>
              <w:rPr>
                <w:sz w:val="20"/>
              </w:rPr>
              <w:t>a</w:t>
            </w:r>
            <w:r>
              <w:rPr>
                <w:spacing w:val="-1"/>
                <w:sz w:val="20"/>
              </w:rPr>
              <w:t xml:space="preserve"> </w:t>
            </w:r>
            <w:r>
              <w:rPr>
                <w:sz w:val="20"/>
              </w:rPr>
              <w:t>4</w:t>
            </w:r>
            <w:r>
              <w:rPr>
                <w:spacing w:val="-3"/>
                <w:sz w:val="20"/>
              </w:rPr>
              <w:t xml:space="preserve"> </w:t>
            </w:r>
            <w:r>
              <w:rPr>
                <w:sz w:val="20"/>
              </w:rPr>
              <w:t>and</w:t>
            </w:r>
            <w:r>
              <w:rPr>
                <w:spacing w:val="-1"/>
                <w:sz w:val="20"/>
              </w:rPr>
              <w:t xml:space="preserve"> </w:t>
            </w:r>
            <w:r>
              <w:rPr>
                <w:sz w:val="20"/>
              </w:rPr>
              <w:t>not</w:t>
            </w:r>
            <w:r>
              <w:rPr>
                <w:spacing w:val="-2"/>
                <w:sz w:val="20"/>
              </w:rPr>
              <w:t xml:space="preserve"> </w:t>
            </w:r>
            <w:r>
              <w:rPr>
                <w:sz w:val="20"/>
              </w:rPr>
              <w:t>a</w:t>
            </w:r>
            <w:r>
              <w:rPr>
                <w:spacing w:val="-7"/>
                <w:sz w:val="20"/>
              </w:rPr>
              <w:t xml:space="preserve"> </w:t>
            </w:r>
            <w:r>
              <w:rPr>
                <w:spacing w:val="-5"/>
                <w:sz w:val="20"/>
              </w:rPr>
              <w:t>0?</w:t>
            </w:r>
          </w:p>
          <w:p w14:paraId="44081996" w14:textId="77777777" w:rsidR="00DB6E1F" w:rsidRDefault="00F666A6">
            <w:pPr>
              <w:pStyle w:val="TableParagraph"/>
              <w:numPr>
                <w:ilvl w:val="0"/>
                <w:numId w:val="2"/>
              </w:numPr>
              <w:tabs>
                <w:tab w:val="left" w:pos="298"/>
              </w:tabs>
              <w:spacing w:before="0" w:line="243" w:lineRule="exact"/>
              <w:ind w:left="297" w:hanging="191"/>
              <w:rPr>
                <w:sz w:val="20"/>
              </w:rPr>
            </w:pPr>
            <w:r>
              <w:rPr>
                <w:sz w:val="20"/>
              </w:rPr>
              <w:t>You’ve</w:t>
            </w:r>
            <w:r>
              <w:rPr>
                <w:spacing w:val="-6"/>
                <w:sz w:val="20"/>
              </w:rPr>
              <w:t xml:space="preserve"> </w:t>
            </w:r>
            <w:r>
              <w:rPr>
                <w:sz w:val="20"/>
              </w:rPr>
              <w:t>got</w:t>
            </w:r>
            <w:r>
              <w:rPr>
                <w:spacing w:val="-4"/>
                <w:sz w:val="20"/>
              </w:rPr>
              <w:t xml:space="preserve"> </w:t>
            </w:r>
            <w:r>
              <w:rPr>
                <w:sz w:val="20"/>
              </w:rPr>
              <w:t>some</w:t>
            </w:r>
            <w:r>
              <w:rPr>
                <w:spacing w:val="-6"/>
                <w:sz w:val="20"/>
              </w:rPr>
              <w:t xml:space="preserve"> </w:t>
            </w:r>
            <w:r>
              <w:rPr>
                <w:sz w:val="20"/>
              </w:rPr>
              <w:t>confidence,</w:t>
            </w:r>
            <w:r>
              <w:rPr>
                <w:spacing w:val="-3"/>
                <w:sz w:val="20"/>
              </w:rPr>
              <w:t xml:space="preserve"> </w:t>
            </w:r>
            <w:r>
              <w:rPr>
                <w:sz w:val="20"/>
              </w:rPr>
              <w:t>but</w:t>
            </w:r>
            <w:r>
              <w:rPr>
                <w:spacing w:val="-5"/>
                <w:sz w:val="20"/>
              </w:rPr>
              <w:t xml:space="preserve"> </w:t>
            </w:r>
            <w:r>
              <w:rPr>
                <w:sz w:val="20"/>
              </w:rPr>
              <w:t>not</w:t>
            </w:r>
            <w:r>
              <w:rPr>
                <w:spacing w:val="-4"/>
                <w:sz w:val="20"/>
              </w:rPr>
              <w:t xml:space="preserve"> </w:t>
            </w:r>
            <w:r>
              <w:rPr>
                <w:sz w:val="20"/>
              </w:rPr>
              <w:t>a</w:t>
            </w:r>
            <w:r>
              <w:rPr>
                <w:spacing w:val="-4"/>
                <w:sz w:val="20"/>
              </w:rPr>
              <w:t xml:space="preserve"> lot.</w:t>
            </w:r>
          </w:p>
          <w:p w14:paraId="05CA7985" w14:textId="77777777" w:rsidR="00DB6E1F" w:rsidRDefault="00F666A6">
            <w:pPr>
              <w:pStyle w:val="TableParagraph"/>
              <w:numPr>
                <w:ilvl w:val="0"/>
                <w:numId w:val="2"/>
              </w:numPr>
              <w:tabs>
                <w:tab w:val="left" w:pos="319"/>
              </w:tabs>
              <w:ind w:left="318" w:hanging="212"/>
              <w:rPr>
                <w:sz w:val="20"/>
              </w:rPr>
            </w:pPr>
            <w:r>
              <w:rPr>
                <w:sz w:val="20"/>
              </w:rPr>
              <w:t>Why</w:t>
            </w:r>
            <w:r>
              <w:rPr>
                <w:spacing w:val="-2"/>
                <w:sz w:val="20"/>
              </w:rPr>
              <w:t xml:space="preserve"> </w:t>
            </w:r>
            <w:r>
              <w:rPr>
                <w:sz w:val="20"/>
              </w:rPr>
              <w:t>are</w:t>
            </w:r>
            <w:r>
              <w:rPr>
                <w:spacing w:val="-3"/>
                <w:sz w:val="20"/>
              </w:rPr>
              <w:t xml:space="preserve"> </w:t>
            </w:r>
            <w:r>
              <w:rPr>
                <w:sz w:val="20"/>
              </w:rPr>
              <w:t>you</w:t>
            </w:r>
            <w:r>
              <w:rPr>
                <w:spacing w:val="-2"/>
                <w:sz w:val="20"/>
              </w:rPr>
              <w:t xml:space="preserve"> </w:t>
            </w:r>
            <w:r>
              <w:rPr>
                <w:sz w:val="20"/>
              </w:rPr>
              <w:t>not</w:t>
            </w:r>
            <w:r>
              <w:rPr>
                <w:spacing w:val="-4"/>
                <w:sz w:val="20"/>
              </w:rPr>
              <w:t xml:space="preserve"> </w:t>
            </w:r>
            <w:r>
              <w:rPr>
                <w:sz w:val="20"/>
              </w:rPr>
              <w:t>a</w:t>
            </w:r>
            <w:r>
              <w:rPr>
                <w:spacing w:val="-2"/>
                <w:sz w:val="20"/>
              </w:rPr>
              <w:t xml:space="preserve"> </w:t>
            </w:r>
            <w:r>
              <w:rPr>
                <w:spacing w:val="-5"/>
                <w:sz w:val="20"/>
              </w:rPr>
              <w:t>10?</w:t>
            </w:r>
          </w:p>
        </w:tc>
      </w:tr>
      <w:tr w:rsidR="00DB6E1F" w14:paraId="2ADE5E0F" w14:textId="77777777">
        <w:trPr>
          <w:trHeight w:val="364"/>
        </w:trPr>
        <w:tc>
          <w:tcPr>
            <w:tcW w:w="9350" w:type="dxa"/>
          </w:tcPr>
          <w:p w14:paraId="1C5959FF" w14:textId="77777777" w:rsidR="00DB6E1F" w:rsidRDefault="00F666A6">
            <w:pPr>
              <w:pStyle w:val="TableParagraph"/>
              <w:rPr>
                <w:sz w:val="20"/>
              </w:rPr>
            </w:pPr>
            <w:r>
              <w:rPr>
                <w:sz w:val="20"/>
              </w:rPr>
              <w:t>Motivational</w:t>
            </w:r>
            <w:r>
              <w:rPr>
                <w:spacing w:val="-9"/>
                <w:sz w:val="20"/>
              </w:rPr>
              <w:t xml:space="preserve"> </w:t>
            </w:r>
            <w:r>
              <w:rPr>
                <w:sz w:val="20"/>
              </w:rPr>
              <w:t>Interviewing</w:t>
            </w:r>
            <w:r>
              <w:rPr>
                <w:spacing w:val="-8"/>
                <w:sz w:val="20"/>
              </w:rPr>
              <w:t xml:space="preserve"> </w:t>
            </w:r>
            <w:r>
              <w:rPr>
                <w:sz w:val="20"/>
              </w:rPr>
              <w:t>Knowledge</w:t>
            </w:r>
            <w:r>
              <w:rPr>
                <w:spacing w:val="-9"/>
                <w:sz w:val="20"/>
              </w:rPr>
              <w:t xml:space="preserve"> </w:t>
            </w:r>
            <w:r>
              <w:rPr>
                <w:sz w:val="20"/>
              </w:rPr>
              <w:t>Test</w:t>
            </w:r>
            <w:r>
              <w:rPr>
                <w:spacing w:val="-8"/>
                <w:sz w:val="20"/>
              </w:rPr>
              <w:t xml:space="preserve"> </w:t>
            </w:r>
            <w:r>
              <w:rPr>
                <w:sz w:val="20"/>
              </w:rPr>
              <w:t>Answer</w:t>
            </w:r>
            <w:r>
              <w:rPr>
                <w:spacing w:val="-9"/>
                <w:sz w:val="20"/>
              </w:rPr>
              <w:t xml:space="preserve"> </w:t>
            </w:r>
            <w:r>
              <w:rPr>
                <w:spacing w:val="-5"/>
                <w:sz w:val="20"/>
              </w:rPr>
              <w:t>Key</w:t>
            </w:r>
          </w:p>
        </w:tc>
      </w:tr>
      <w:tr w:rsidR="00DB6E1F" w14:paraId="664BF1CB" w14:textId="77777777">
        <w:trPr>
          <w:trHeight w:val="8010"/>
        </w:trPr>
        <w:tc>
          <w:tcPr>
            <w:tcW w:w="9350" w:type="dxa"/>
          </w:tcPr>
          <w:p w14:paraId="2FCB37CC" w14:textId="77777777" w:rsidR="00DB6E1F" w:rsidRDefault="00F666A6">
            <w:pPr>
              <w:pStyle w:val="TableParagraph"/>
              <w:numPr>
                <w:ilvl w:val="0"/>
                <w:numId w:val="1"/>
              </w:numPr>
              <w:tabs>
                <w:tab w:val="left" w:pos="305"/>
              </w:tabs>
              <w:ind w:hanging="198"/>
              <w:rPr>
                <w:sz w:val="20"/>
              </w:rPr>
            </w:pPr>
            <w:r>
              <w:rPr>
                <w:sz w:val="20"/>
              </w:rPr>
              <w:t>c)</w:t>
            </w:r>
            <w:r>
              <w:rPr>
                <w:spacing w:val="-9"/>
                <w:sz w:val="20"/>
              </w:rPr>
              <w:t xml:space="preserve"> </w:t>
            </w:r>
            <w:r>
              <w:rPr>
                <w:sz w:val="20"/>
              </w:rPr>
              <w:t>confronting</w:t>
            </w:r>
            <w:r>
              <w:rPr>
                <w:spacing w:val="-7"/>
                <w:sz w:val="20"/>
              </w:rPr>
              <w:t xml:space="preserve"> </w:t>
            </w:r>
            <w:r>
              <w:rPr>
                <w:spacing w:val="-2"/>
                <w:sz w:val="20"/>
              </w:rPr>
              <w:t>denial</w:t>
            </w:r>
          </w:p>
          <w:p w14:paraId="2228587D" w14:textId="77777777" w:rsidR="00DB6E1F" w:rsidRDefault="00F666A6">
            <w:pPr>
              <w:pStyle w:val="TableParagraph"/>
              <w:numPr>
                <w:ilvl w:val="0"/>
                <w:numId w:val="1"/>
              </w:numPr>
              <w:tabs>
                <w:tab w:val="left" w:pos="305"/>
              </w:tabs>
              <w:spacing w:before="121"/>
              <w:ind w:hanging="198"/>
              <w:rPr>
                <w:sz w:val="20"/>
              </w:rPr>
            </w:pPr>
            <w:r>
              <w:rPr>
                <w:sz w:val="20"/>
              </w:rPr>
              <w:t>f)</w:t>
            </w:r>
            <w:r>
              <w:rPr>
                <w:spacing w:val="-3"/>
                <w:sz w:val="20"/>
              </w:rPr>
              <w:t xml:space="preserve"> </w:t>
            </w:r>
            <w:r>
              <w:rPr>
                <w:sz w:val="20"/>
              </w:rPr>
              <w:t>both</w:t>
            </w:r>
            <w:r>
              <w:rPr>
                <w:spacing w:val="-2"/>
                <w:sz w:val="20"/>
              </w:rPr>
              <w:t xml:space="preserve"> </w:t>
            </w:r>
            <w:r>
              <w:rPr>
                <w:sz w:val="20"/>
              </w:rPr>
              <w:t>b</w:t>
            </w:r>
            <w:r>
              <w:rPr>
                <w:spacing w:val="-1"/>
                <w:sz w:val="20"/>
              </w:rPr>
              <w:t xml:space="preserve"> </w:t>
            </w:r>
            <w:r>
              <w:rPr>
                <w:sz w:val="20"/>
              </w:rPr>
              <w:t>and</w:t>
            </w:r>
            <w:r>
              <w:rPr>
                <w:spacing w:val="-2"/>
                <w:sz w:val="20"/>
              </w:rPr>
              <w:t xml:space="preserve"> </w:t>
            </w:r>
            <w:r>
              <w:rPr>
                <w:spacing w:val="-10"/>
                <w:sz w:val="20"/>
              </w:rPr>
              <w:t>c</w:t>
            </w:r>
          </w:p>
          <w:p w14:paraId="00D782EA" w14:textId="77777777" w:rsidR="00DB6E1F" w:rsidRDefault="00F666A6">
            <w:pPr>
              <w:pStyle w:val="TableParagraph"/>
              <w:numPr>
                <w:ilvl w:val="0"/>
                <w:numId w:val="1"/>
              </w:numPr>
              <w:tabs>
                <w:tab w:val="left" w:pos="305"/>
              </w:tabs>
              <w:spacing w:before="118"/>
              <w:ind w:hanging="198"/>
              <w:rPr>
                <w:sz w:val="20"/>
              </w:rPr>
            </w:pPr>
            <w:r>
              <w:rPr>
                <w:sz w:val="20"/>
              </w:rPr>
              <w:t>b)</w:t>
            </w:r>
            <w:r>
              <w:rPr>
                <w:spacing w:val="-7"/>
                <w:sz w:val="20"/>
              </w:rPr>
              <w:t xml:space="preserve"> </w:t>
            </w:r>
            <w:r>
              <w:rPr>
                <w:sz w:val="20"/>
              </w:rPr>
              <w:t>arguing</w:t>
            </w:r>
            <w:r>
              <w:rPr>
                <w:spacing w:val="-7"/>
                <w:sz w:val="20"/>
              </w:rPr>
              <w:t xml:space="preserve"> </w:t>
            </w:r>
            <w:r>
              <w:rPr>
                <w:sz w:val="20"/>
              </w:rPr>
              <w:t>against</w:t>
            </w:r>
            <w:r>
              <w:rPr>
                <w:spacing w:val="-6"/>
                <w:sz w:val="20"/>
              </w:rPr>
              <w:t xml:space="preserve"> </w:t>
            </w:r>
            <w:r>
              <w:rPr>
                <w:spacing w:val="-2"/>
                <w:sz w:val="20"/>
              </w:rPr>
              <w:t>change</w:t>
            </w:r>
          </w:p>
          <w:p w14:paraId="66C5F3C4" w14:textId="77777777" w:rsidR="00DB6E1F" w:rsidRDefault="00F666A6">
            <w:pPr>
              <w:pStyle w:val="TableParagraph"/>
              <w:numPr>
                <w:ilvl w:val="0"/>
                <w:numId w:val="1"/>
              </w:numPr>
              <w:tabs>
                <w:tab w:val="left" w:pos="305"/>
              </w:tabs>
              <w:spacing w:before="121"/>
              <w:ind w:hanging="198"/>
              <w:rPr>
                <w:sz w:val="20"/>
              </w:rPr>
            </w:pPr>
            <w:r>
              <w:rPr>
                <w:sz w:val="20"/>
              </w:rPr>
              <w:t>b)</w:t>
            </w:r>
            <w:r>
              <w:rPr>
                <w:spacing w:val="-9"/>
                <w:sz w:val="20"/>
              </w:rPr>
              <w:t xml:space="preserve"> </w:t>
            </w:r>
            <w:r>
              <w:rPr>
                <w:sz w:val="20"/>
              </w:rPr>
              <w:t>reflective</w:t>
            </w:r>
            <w:r>
              <w:rPr>
                <w:spacing w:val="-10"/>
                <w:sz w:val="20"/>
              </w:rPr>
              <w:t xml:space="preserve"> </w:t>
            </w:r>
            <w:r>
              <w:rPr>
                <w:sz w:val="20"/>
              </w:rPr>
              <w:t>listening</w:t>
            </w:r>
            <w:r>
              <w:rPr>
                <w:spacing w:val="-8"/>
                <w:sz w:val="20"/>
              </w:rPr>
              <w:t xml:space="preserve"> </w:t>
            </w:r>
            <w:r>
              <w:rPr>
                <w:sz w:val="20"/>
              </w:rPr>
              <w:t>and</w:t>
            </w:r>
            <w:r>
              <w:rPr>
                <w:spacing w:val="-8"/>
                <w:sz w:val="20"/>
              </w:rPr>
              <w:t xml:space="preserve"> </w:t>
            </w:r>
            <w:r>
              <w:rPr>
                <w:sz w:val="20"/>
              </w:rPr>
              <w:t>eliciting</w:t>
            </w:r>
            <w:r>
              <w:rPr>
                <w:spacing w:val="-9"/>
                <w:sz w:val="20"/>
              </w:rPr>
              <w:t xml:space="preserve"> </w:t>
            </w:r>
            <w:r>
              <w:rPr>
                <w:sz w:val="20"/>
              </w:rPr>
              <w:t>self-motivational</w:t>
            </w:r>
            <w:r>
              <w:rPr>
                <w:spacing w:val="-9"/>
                <w:sz w:val="20"/>
              </w:rPr>
              <w:t xml:space="preserve"> </w:t>
            </w:r>
            <w:r>
              <w:rPr>
                <w:spacing w:val="-2"/>
                <w:sz w:val="20"/>
              </w:rPr>
              <w:t>statements</w:t>
            </w:r>
          </w:p>
          <w:p w14:paraId="53259F36" w14:textId="77777777" w:rsidR="00DB6E1F" w:rsidRDefault="00F666A6">
            <w:pPr>
              <w:pStyle w:val="TableParagraph"/>
              <w:numPr>
                <w:ilvl w:val="0"/>
                <w:numId w:val="1"/>
              </w:numPr>
              <w:tabs>
                <w:tab w:val="left" w:pos="305"/>
              </w:tabs>
              <w:spacing w:before="120"/>
              <w:ind w:hanging="198"/>
              <w:rPr>
                <w:sz w:val="20"/>
              </w:rPr>
            </w:pPr>
            <w:r>
              <w:rPr>
                <w:sz w:val="20"/>
              </w:rPr>
              <w:t>c)</w:t>
            </w:r>
            <w:r>
              <w:rPr>
                <w:spacing w:val="-9"/>
                <w:sz w:val="20"/>
              </w:rPr>
              <w:t xml:space="preserve"> </w:t>
            </w:r>
            <w:r>
              <w:rPr>
                <w:sz w:val="20"/>
              </w:rPr>
              <w:t>directive</w:t>
            </w:r>
            <w:r>
              <w:rPr>
                <w:spacing w:val="-9"/>
                <w:sz w:val="20"/>
              </w:rPr>
              <w:t xml:space="preserve"> </w:t>
            </w:r>
            <w:r>
              <w:rPr>
                <w:sz w:val="20"/>
              </w:rPr>
              <w:t>but</w:t>
            </w:r>
            <w:r>
              <w:rPr>
                <w:spacing w:val="-8"/>
                <w:sz w:val="20"/>
              </w:rPr>
              <w:t xml:space="preserve"> </w:t>
            </w:r>
            <w:r>
              <w:rPr>
                <w:sz w:val="20"/>
              </w:rPr>
              <w:t>client-</w:t>
            </w:r>
            <w:r>
              <w:rPr>
                <w:spacing w:val="-2"/>
                <w:sz w:val="20"/>
              </w:rPr>
              <w:t>centered</w:t>
            </w:r>
          </w:p>
          <w:p w14:paraId="6559CD55" w14:textId="77777777" w:rsidR="00DB6E1F" w:rsidRDefault="00F666A6">
            <w:pPr>
              <w:pStyle w:val="TableParagraph"/>
              <w:numPr>
                <w:ilvl w:val="0"/>
                <w:numId w:val="1"/>
              </w:numPr>
              <w:tabs>
                <w:tab w:val="left" w:pos="305"/>
              </w:tabs>
              <w:spacing w:before="121"/>
              <w:ind w:hanging="198"/>
              <w:rPr>
                <w:sz w:val="20"/>
              </w:rPr>
            </w:pPr>
            <w:r>
              <w:rPr>
                <w:sz w:val="20"/>
              </w:rPr>
              <w:t>d)</w:t>
            </w:r>
            <w:r>
              <w:rPr>
                <w:spacing w:val="-6"/>
                <w:sz w:val="20"/>
              </w:rPr>
              <w:t xml:space="preserve"> </w:t>
            </w:r>
            <w:r>
              <w:rPr>
                <w:sz w:val="20"/>
              </w:rPr>
              <w:t>point</w:t>
            </w:r>
            <w:r>
              <w:rPr>
                <w:spacing w:val="-6"/>
                <w:sz w:val="20"/>
              </w:rPr>
              <w:t xml:space="preserve"> </w:t>
            </w:r>
            <w:r>
              <w:rPr>
                <w:sz w:val="20"/>
              </w:rPr>
              <w:t>out</w:t>
            </w:r>
            <w:r>
              <w:rPr>
                <w:spacing w:val="-6"/>
                <w:sz w:val="20"/>
              </w:rPr>
              <w:t xml:space="preserve"> </w:t>
            </w:r>
            <w:r>
              <w:rPr>
                <w:sz w:val="20"/>
              </w:rPr>
              <w:t>differences</w:t>
            </w:r>
            <w:r>
              <w:rPr>
                <w:spacing w:val="-7"/>
                <w:sz w:val="20"/>
              </w:rPr>
              <w:t xml:space="preserve"> </w:t>
            </w:r>
            <w:r>
              <w:rPr>
                <w:sz w:val="20"/>
              </w:rPr>
              <w:t>between</w:t>
            </w:r>
            <w:r>
              <w:rPr>
                <w:spacing w:val="-5"/>
                <w:sz w:val="20"/>
              </w:rPr>
              <w:t xml:space="preserve"> </w:t>
            </w:r>
            <w:r>
              <w:rPr>
                <w:sz w:val="20"/>
              </w:rPr>
              <w:t>the</w:t>
            </w:r>
            <w:r>
              <w:rPr>
                <w:spacing w:val="-7"/>
                <w:sz w:val="20"/>
              </w:rPr>
              <w:t xml:space="preserve"> </w:t>
            </w:r>
            <w:r>
              <w:rPr>
                <w:sz w:val="20"/>
              </w:rPr>
              <w:t>client’s</w:t>
            </w:r>
            <w:r>
              <w:rPr>
                <w:spacing w:val="-7"/>
                <w:sz w:val="20"/>
              </w:rPr>
              <w:t xml:space="preserve"> </w:t>
            </w:r>
            <w:r>
              <w:rPr>
                <w:sz w:val="20"/>
              </w:rPr>
              <w:t>own</w:t>
            </w:r>
            <w:r>
              <w:rPr>
                <w:spacing w:val="-5"/>
                <w:sz w:val="20"/>
              </w:rPr>
              <w:t xml:space="preserve"> </w:t>
            </w:r>
            <w:r>
              <w:rPr>
                <w:sz w:val="20"/>
              </w:rPr>
              <w:t>stated</w:t>
            </w:r>
            <w:r>
              <w:rPr>
                <w:spacing w:val="-3"/>
                <w:sz w:val="20"/>
              </w:rPr>
              <w:t xml:space="preserve"> </w:t>
            </w:r>
            <w:r>
              <w:rPr>
                <w:sz w:val="20"/>
              </w:rPr>
              <w:t>goals</w:t>
            </w:r>
            <w:r>
              <w:rPr>
                <w:spacing w:val="-7"/>
                <w:sz w:val="20"/>
              </w:rPr>
              <w:t xml:space="preserve"> </w:t>
            </w:r>
            <w:r>
              <w:rPr>
                <w:sz w:val="20"/>
              </w:rPr>
              <w:t>and</w:t>
            </w:r>
            <w:r>
              <w:rPr>
                <w:spacing w:val="-5"/>
                <w:sz w:val="20"/>
              </w:rPr>
              <w:t xml:space="preserve"> </w:t>
            </w:r>
            <w:r>
              <w:rPr>
                <w:sz w:val="20"/>
              </w:rPr>
              <w:t>current</w:t>
            </w:r>
            <w:r>
              <w:rPr>
                <w:spacing w:val="-6"/>
                <w:sz w:val="20"/>
              </w:rPr>
              <w:t xml:space="preserve"> </w:t>
            </w:r>
            <w:r>
              <w:rPr>
                <w:spacing w:val="-2"/>
                <w:sz w:val="20"/>
              </w:rPr>
              <w:t>behavior</w:t>
            </w:r>
          </w:p>
          <w:p w14:paraId="4127133D" w14:textId="77777777" w:rsidR="00DB6E1F" w:rsidRDefault="00F666A6">
            <w:pPr>
              <w:pStyle w:val="TableParagraph"/>
              <w:numPr>
                <w:ilvl w:val="0"/>
                <w:numId w:val="1"/>
              </w:numPr>
              <w:tabs>
                <w:tab w:val="left" w:pos="305"/>
              </w:tabs>
              <w:spacing w:before="118"/>
              <w:ind w:hanging="198"/>
              <w:rPr>
                <w:sz w:val="20"/>
              </w:rPr>
            </w:pPr>
            <w:r>
              <w:rPr>
                <w:sz w:val="20"/>
              </w:rPr>
              <w:t>c)</w:t>
            </w:r>
            <w:r>
              <w:rPr>
                <w:spacing w:val="-7"/>
                <w:sz w:val="20"/>
              </w:rPr>
              <w:t xml:space="preserve"> </w:t>
            </w:r>
            <w:r>
              <w:rPr>
                <w:sz w:val="20"/>
              </w:rPr>
              <w:t>a</w:t>
            </w:r>
            <w:r>
              <w:rPr>
                <w:spacing w:val="-5"/>
                <w:sz w:val="20"/>
              </w:rPr>
              <w:t xml:space="preserve"> </w:t>
            </w:r>
            <w:r>
              <w:rPr>
                <w:sz w:val="20"/>
              </w:rPr>
              <w:t>function</w:t>
            </w:r>
            <w:r>
              <w:rPr>
                <w:spacing w:val="-4"/>
                <w:sz w:val="20"/>
              </w:rPr>
              <w:t xml:space="preserve"> </w:t>
            </w:r>
            <w:r>
              <w:rPr>
                <w:sz w:val="20"/>
              </w:rPr>
              <w:t>of</w:t>
            </w:r>
            <w:r>
              <w:rPr>
                <w:spacing w:val="-7"/>
                <w:sz w:val="20"/>
              </w:rPr>
              <w:t xml:space="preserve"> </w:t>
            </w:r>
            <w:r>
              <w:rPr>
                <w:sz w:val="20"/>
              </w:rPr>
              <w:t>a</w:t>
            </w:r>
            <w:r>
              <w:rPr>
                <w:spacing w:val="-5"/>
                <w:sz w:val="20"/>
              </w:rPr>
              <w:t xml:space="preserve"> </w:t>
            </w:r>
            <w:r>
              <w:rPr>
                <w:sz w:val="20"/>
              </w:rPr>
              <w:t>mismatch</w:t>
            </w:r>
            <w:r>
              <w:rPr>
                <w:spacing w:val="-3"/>
                <w:sz w:val="20"/>
              </w:rPr>
              <w:t xml:space="preserve"> </w:t>
            </w:r>
            <w:r>
              <w:rPr>
                <w:sz w:val="20"/>
              </w:rPr>
              <w:t>between</w:t>
            </w:r>
            <w:r>
              <w:rPr>
                <w:spacing w:val="-4"/>
                <w:sz w:val="20"/>
              </w:rPr>
              <w:t xml:space="preserve"> </w:t>
            </w:r>
            <w:r>
              <w:rPr>
                <w:sz w:val="20"/>
              </w:rPr>
              <w:t>the</w:t>
            </w:r>
            <w:r>
              <w:rPr>
                <w:spacing w:val="-6"/>
                <w:sz w:val="20"/>
              </w:rPr>
              <w:t xml:space="preserve"> </w:t>
            </w:r>
            <w:r>
              <w:rPr>
                <w:sz w:val="20"/>
              </w:rPr>
              <w:t>client’s</w:t>
            </w:r>
            <w:r>
              <w:rPr>
                <w:spacing w:val="-5"/>
                <w:sz w:val="20"/>
              </w:rPr>
              <w:t xml:space="preserve"> </w:t>
            </w:r>
            <w:r>
              <w:rPr>
                <w:sz w:val="20"/>
              </w:rPr>
              <w:t>stage</w:t>
            </w:r>
            <w:r>
              <w:rPr>
                <w:spacing w:val="-6"/>
                <w:sz w:val="20"/>
              </w:rPr>
              <w:t xml:space="preserve"> </w:t>
            </w:r>
            <w:r>
              <w:rPr>
                <w:sz w:val="20"/>
              </w:rPr>
              <w:t>of</w:t>
            </w:r>
            <w:r>
              <w:rPr>
                <w:spacing w:val="-6"/>
                <w:sz w:val="20"/>
              </w:rPr>
              <w:t xml:space="preserve"> </w:t>
            </w:r>
            <w:r>
              <w:rPr>
                <w:sz w:val="20"/>
              </w:rPr>
              <w:t>change</w:t>
            </w:r>
            <w:r>
              <w:rPr>
                <w:spacing w:val="-6"/>
                <w:sz w:val="20"/>
              </w:rPr>
              <w:t xml:space="preserve"> </w:t>
            </w:r>
            <w:r>
              <w:rPr>
                <w:sz w:val="20"/>
              </w:rPr>
              <w:t>and</w:t>
            </w:r>
            <w:r>
              <w:rPr>
                <w:spacing w:val="-5"/>
                <w:sz w:val="20"/>
              </w:rPr>
              <w:t xml:space="preserve"> </w:t>
            </w:r>
            <w:r>
              <w:rPr>
                <w:sz w:val="20"/>
              </w:rPr>
              <w:t>the</w:t>
            </w:r>
            <w:r>
              <w:rPr>
                <w:spacing w:val="-6"/>
                <w:sz w:val="20"/>
              </w:rPr>
              <w:t xml:space="preserve"> </w:t>
            </w:r>
            <w:r>
              <w:rPr>
                <w:sz w:val="20"/>
              </w:rPr>
              <w:t>therapist’s</w:t>
            </w:r>
            <w:r>
              <w:rPr>
                <w:spacing w:val="-6"/>
                <w:sz w:val="20"/>
              </w:rPr>
              <w:t xml:space="preserve"> </w:t>
            </w:r>
            <w:r>
              <w:rPr>
                <w:spacing w:val="-2"/>
                <w:sz w:val="20"/>
              </w:rPr>
              <w:t>strategies</w:t>
            </w:r>
          </w:p>
          <w:p w14:paraId="1319F171" w14:textId="77777777" w:rsidR="00DB6E1F" w:rsidRDefault="00F666A6">
            <w:pPr>
              <w:pStyle w:val="TableParagraph"/>
              <w:numPr>
                <w:ilvl w:val="0"/>
                <w:numId w:val="1"/>
              </w:numPr>
              <w:tabs>
                <w:tab w:val="left" w:pos="305"/>
              </w:tabs>
              <w:spacing w:before="121"/>
              <w:ind w:hanging="198"/>
              <w:rPr>
                <w:sz w:val="20"/>
              </w:rPr>
            </w:pPr>
            <w:r>
              <w:rPr>
                <w:sz w:val="20"/>
              </w:rPr>
              <w:t>a)</w:t>
            </w:r>
            <w:r>
              <w:rPr>
                <w:spacing w:val="-6"/>
                <w:sz w:val="20"/>
              </w:rPr>
              <w:t xml:space="preserve"> </w:t>
            </w:r>
            <w:r>
              <w:rPr>
                <w:sz w:val="20"/>
              </w:rPr>
              <w:t>normal</w:t>
            </w:r>
            <w:r>
              <w:rPr>
                <w:spacing w:val="-4"/>
                <w:sz w:val="20"/>
              </w:rPr>
              <w:t xml:space="preserve"> </w:t>
            </w:r>
            <w:r>
              <w:rPr>
                <w:sz w:val="20"/>
              </w:rPr>
              <w:t>and</w:t>
            </w:r>
            <w:r>
              <w:rPr>
                <w:spacing w:val="-3"/>
                <w:sz w:val="20"/>
              </w:rPr>
              <w:t xml:space="preserve"> </w:t>
            </w:r>
            <w:r>
              <w:rPr>
                <w:spacing w:val="-2"/>
                <w:sz w:val="20"/>
              </w:rPr>
              <w:t>useful</w:t>
            </w:r>
          </w:p>
          <w:p w14:paraId="65502D34" w14:textId="77777777" w:rsidR="00DB6E1F" w:rsidRDefault="00F666A6">
            <w:pPr>
              <w:pStyle w:val="TableParagraph"/>
              <w:numPr>
                <w:ilvl w:val="0"/>
                <w:numId w:val="1"/>
              </w:numPr>
              <w:tabs>
                <w:tab w:val="left" w:pos="305"/>
              </w:tabs>
              <w:spacing w:before="120"/>
              <w:ind w:hanging="198"/>
              <w:rPr>
                <w:sz w:val="20"/>
              </w:rPr>
            </w:pPr>
            <w:r>
              <w:rPr>
                <w:sz w:val="20"/>
              </w:rPr>
              <w:t>c)</w:t>
            </w:r>
            <w:r>
              <w:rPr>
                <w:spacing w:val="-3"/>
                <w:sz w:val="20"/>
              </w:rPr>
              <w:t xml:space="preserve"> </w:t>
            </w:r>
            <w:r>
              <w:rPr>
                <w:spacing w:val="-2"/>
                <w:sz w:val="20"/>
              </w:rPr>
              <w:t>reflecting</w:t>
            </w:r>
          </w:p>
          <w:p w14:paraId="4FE303B9" w14:textId="77777777" w:rsidR="00DB6E1F" w:rsidRDefault="00F666A6">
            <w:pPr>
              <w:pStyle w:val="TableParagraph"/>
              <w:numPr>
                <w:ilvl w:val="0"/>
                <w:numId w:val="1"/>
              </w:numPr>
              <w:tabs>
                <w:tab w:val="left" w:pos="406"/>
              </w:tabs>
              <w:spacing w:before="121"/>
              <w:ind w:left="405" w:hanging="299"/>
              <w:rPr>
                <w:sz w:val="20"/>
              </w:rPr>
            </w:pPr>
            <w:r>
              <w:rPr>
                <w:sz w:val="20"/>
              </w:rPr>
              <w:t>c)</w:t>
            </w:r>
            <w:r>
              <w:rPr>
                <w:spacing w:val="-5"/>
                <w:sz w:val="20"/>
              </w:rPr>
              <w:t xml:space="preserve"> </w:t>
            </w:r>
            <w:r>
              <w:rPr>
                <w:sz w:val="20"/>
              </w:rPr>
              <w:t>a</w:t>
            </w:r>
            <w:r>
              <w:rPr>
                <w:spacing w:val="-4"/>
                <w:sz w:val="20"/>
              </w:rPr>
              <w:t xml:space="preserve"> </w:t>
            </w:r>
            <w:r>
              <w:rPr>
                <w:sz w:val="20"/>
              </w:rPr>
              <w:t>vital</w:t>
            </w:r>
            <w:r>
              <w:rPr>
                <w:spacing w:val="-4"/>
                <w:sz w:val="20"/>
              </w:rPr>
              <w:t xml:space="preserve"> </w:t>
            </w:r>
            <w:r>
              <w:rPr>
                <w:sz w:val="20"/>
              </w:rPr>
              <w:t>part</w:t>
            </w:r>
            <w:r>
              <w:rPr>
                <w:spacing w:val="-4"/>
                <w:sz w:val="20"/>
              </w:rPr>
              <w:t xml:space="preserve"> </w:t>
            </w:r>
            <w:r>
              <w:rPr>
                <w:sz w:val="20"/>
              </w:rPr>
              <w:t>of</w:t>
            </w:r>
            <w:r>
              <w:rPr>
                <w:spacing w:val="-6"/>
                <w:sz w:val="20"/>
              </w:rPr>
              <w:t xml:space="preserve"> </w:t>
            </w:r>
            <w:r>
              <w:rPr>
                <w:sz w:val="20"/>
              </w:rPr>
              <w:t>determining</w:t>
            </w:r>
            <w:r>
              <w:rPr>
                <w:spacing w:val="-4"/>
                <w:sz w:val="20"/>
              </w:rPr>
              <w:t xml:space="preserve"> </w:t>
            </w:r>
            <w:r>
              <w:rPr>
                <w:sz w:val="20"/>
              </w:rPr>
              <w:t>a</w:t>
            </w:r>
            <w:r>
              <w:rPr>
                <w:spacing w:val="-5"/>
                <w:sz w:val="20"/>
              </w:rPr>
              <w:t xml:space="preserve"> </w:t>
            </w:r>
            <w:r>
              <w:rPr>
                <w:sz w:val="20"/>
              </w:rPr>
              <w:t>client’s</w:t>
            </w:r>
            <w:r>
              <w:rPr>
                <w:spacing w:val="-5"/>
                <w:sz w:val="20"/>
              </w:rPr>
              <w:t xml:space="preserve"> </w:t>
            </w:r>
            <w:r>
              <w:rPr>
                <w:spacing w:val="-4"/>
                <w:sz w:val="20"/>
              </w:rPr>
              <w:t>needs</w:t>
            </w:r>
          </w:p>
          <w:p w14:paraId="5312B642" w14:textId="77777777" w:rsidR="00DB6E1F" w:rsidRDefault="00F666A6">
            <w:pPr>
              <w:pStyle w:val="TableParagraph"/>
              <w:numPr>
                <w:ilvl w:val="0"/>
                <w:numId w:val="1"/>
              </w:numPr>
              <w:tabs>
                <w:tab w:val="left" w:pos="406"/>
              </w:tabs>
              <w:spacing w:before="118"/>
              <w:ind w:left="405" w:hanging="299"/>
              <w:rPr>
                <w:sz w:val="20"/>
              </w:rPr>
            </w:pPr>
            <w:r>
              <w:rPr>
                <w:sz w:val="20"/>
              </w:rPr>
              <w:t>c)</w:t>
            </w:r>
            <w:r>
              <w:rPr>
                <w:spacing w:val="-3"/>
                <w:sz w:val="20"/>
              </w:rPr>
              <w:t xml:space="preserve"> </w:t>
            </w:r>
            <w:r>
              <w:rPr>
                <w:spacing w:val="-2"/>
                <w:sz w:val="20"/>
              </w:rPr>
              <w:t>argument</w:t>
            </w:r>
          </w:p>
          <w:p w14:paraId="0FE6EAF4" w14:textId="77777777" w:rsidR="00DB6E1F" w:rsidRDefault="00F666A6">
            <w:pPr>
              <w:pStyle w:val="TableParagraph"/>
              <w:numPr>
                <w:ilvl w:val="0"/>
                <w:numId w:val="1"/>
              </w:numPr>
              <w:tabs>
                <w:tab w:val="left" w:pos="406"/>
              </w:tabs>
              <w:spacing w:before="121"/>
              <w:ind w:left="405" w:hanging="299"/>
              <w:rPr>
                <w:sz w:val="20"/>
              </w:rPr>
            </w:pPr>
            <w:r>
              <w:rPr>
                <w:sz w:val="20"/>
              </w:rPr>
              <w:t>d)</w:t>
            </w:r>
            <w:r>
              <w:rPr>
                <w:spacing w:val="-4"/>
                <w:sz w:val="20"/>
              </w:rPr>
              <w:t xml:space="preserve"> </w:t>
            </w:r>
            <w:r>
              <w:rPr>
                <w:sz w:val="20"/>
              </w:rPr>
              <w:t>all</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pacing w:val="-4"/>
                <w:sz w:val="20"/>
              </w:rPr>
              <w:t>above</w:t>
            </w:r>
          </w:p>
          <w:p w14:paraId="28D0587A" w14:textId="77777777" w:rsidR="00DB6E1F" w:rsidRDefault="00F666A6">
            <w:pPr>
              <w:pStyle w:val="TableParagraph"/>
              <w:numPr>
                <w:ilvl w:val="0"/>
                <w:numId w:val="1"/>
              </w:numPr>
              <w:tabs>
                <w:tab w:val="left" w:pos="406"/>
              </w:tabs>
              <w:spacing w:before="120"/>
              <w:ind w:left="405" w:hanging="299"/>
              <w:rPr>
                <w:sz w:val="20"/>
              </w:rPr>
            </w:pPr>
            <w:r>
              <w:rPr>
                <w:sz w:val="20"/>
              </w:rPr>
              <w:t>b)</w:t>
            </w:r>
            <w:r>
              <w:rPr>
                <w:spacing w:val="-5"/>
                <w:sz w:val="20"/>
              </w:rPr>
              <w:t xml:space="preserve"> </w:t>
            </w:r>
            <w:r>
              <w:rPr>
                <w:sz w:val="20"/>
              </w:rPr>
              <w:t>Q-A</w:t>
            </w:r>
            <w:r>
              <w:rPr>
                <w:spacing w:val="-3"/>
                <w:sz w:val="20"/>
              </w:rPr>
              <w:t xml:space="preserve"> </w:t>
            </w:r>
            <w:r>
              <w:rPr>
                <w:spacing w:val="-4"/>
                <w:sz w:val="20"/>
              </w:rPr>
              <w:t>trap</w:t>
            </w:r>
          </w:p>
          <w:p w14:paraId="5BDEFEE2" w14:textId="77777777" w:rsidR="00DB6E1F" w:rsidRDefault="00F666A6">
            <w:pPr>
              <w:pStyle w:val="TableParagraph"/>
              <w:numPr>
                <w:ilvl w:val="0"/>
                <w:numId w:val="1"/>
              </w:numPr>
              <w:tabs>
                <w:tab w:val="left" w:pos="406"/>
              </w:tabs>
              <w:spacing w:before="118"/>
              <w:ind w:left="405" w:hanging="299"/>
              <w:rPr>
                <w:sz w:val="20"/>
              </w:rPr>
            </w:pPr>
            <w:r>
              <w:rPr>
                <w:sz w:val="20"/>
              </w:rPr>
              <w:t>a)</w:t>
            </w:r>
            <w:r>
              <w:rPr>
                <w:spacing w:val="-7"/>
                <w:sz w:val="20"/>
              </w:rPr>
              <w:t xml:space="preserve"> </w:t>
            </w:r>
            <w:r>
              <w:rPr>
                <w:sz w:val="20"/>
              </w:rPr>
              <w:t>labeling</w:t>
            </w:r>
            <w:r>
              <w:rPr>
                <w:spacing w:val="-5"/>
                <w:sz w:val="20"/>
              </w:rPr>
              <w:t xml:space="preserve"> </w:t>
            </w:r>
            <w:r>
              <w:rPr>
                <w:spacing w:val="-4"/>
                <w:sz w:val="20"/>
              </w:rPr>
              <w:t>trap</w:t>
            </w:r>
          </w:p>
          <w:p w14:paraId="14E517A5" w14:textId="77777777" w:rsidR="00DB6E1F" w:rsidRDefault="00F666A6">
            <w:pPr>
              <w:pStyle w:val="TableParagraph"/>
              <w:numPr>
                <w:ilvl w:val="0"/>
                <w:numId w:val="1"/>
              </w:numPr>
              <w:tabs>
                <w:tab w:val="left" w:pos="406"/>
              </w:tabs>
              <w:spacing w:before="121"/>
              <w:ind w:left="405" w:hanging="299"/>
              <w:rPr>
                <w:sz w:val="20"/>
              </w:rPr>
            </w:pPr>
            <w:r>
              <w:rPr>
                <w:sz w:val="20"/>
              </w:rPr>
              <w:t>e)</w:t>
            </w:r>
            <w:r>
              <w:rPr>
                <w:spacing w:val="-3"/>
                <w:sz w:val="20"/>
              </w:rPr>
              <w:t xml:space="preserve"> </w:t>
            </w:r>
            <w:r>
              <w:rPr>
                <w:sz w:val="20"/>
              </w:rPr>
              <w:t>both</w:t>
            </w:r>
            <w:r>
              <w:rPr>
                <w:spacing w:val="-2"/>
                <w:sz w:val="20"/>
              </w:rPr>
              <w:t xml:space="preserve"> </w:t>
            </w:r>
            <w:r>
              <w:rPr>
                <w:sz w:val="20"/>
              </w:rPr>
              <w:t>a</w:t>
            </w:r>
            <w:r>
              <w:rPr>
                <w:spacing w:val="-1"/>
                <w:sz w:val="20"/>
              </w:rPr>
              <w:t xml:space="preserve"> </w:t>
            </w:r>
            <w:r>
              <w:rPr>
                <w:sz w:val="20"/>
              </w:rPr>
              <w:t>and</w:t>
            </w:r>
            <w:r>
              <w:rPr>
                <w:spacing w:val="-2"/>
                <w:sz w:val="20"/>
              </w:rPr>
              <w:t xml:space="preserve"> </w:t>
            </w:r>
            <w:r>
              <w:rPr>
                <w:spacing w:val="-10"/>
                <w:sz w:val="20"/>
              </w:rPr>
              <w:t>c</w:t>
            </w:r>
          </w:p>
          <w:p w14:paraId="33C8CBDD" w14:textId="77777777" w:rsidR="00DB6E1F" w:rsidRDefault="00F666A6">
            <w:pPr>
              <w:pStyle w:val="TableParagraph"/>
              <w:numPr>
                <w:ilvl w:val="0"/>
                <w:numId w:val="1"/>
              </w:numPr>
              <w:tabs>
                <w:tab w:val="left" w:pos="406"/>
              </w:tabs>
              <w:spacing w:before="120"/>
              <w:ind w:left="405" w:hanging="299"/>
              <w:rPr>
                <w:sz w:val="20"/>
              </w:rPr>
            </w:pPr>
            <w:r>
              <w:rPr>
                <w:sz w:val="20"/>
              </w:rPr>
              <w:t>e)</w:t>
            </w:r>
            <w:r>
              <w:rPr>
                <w:spacing w:val="-3"/>
                <w:sz w:val="20"/>
              </w:rPr>
              <w:t xml:space="preserve"> </w:t>
            </w:r>
            <w:r>
              <w:rPr>
                <w:sz w:val="20"/>
              </w:rPr>
              <w:t>both</w:t>
            </w:r>
            <w:r>
              <w:rPr>
                <w:spacing w:val="-2"/>
                <w:sz w:val="20"/>
              </w:rPr>
              <w:t xml:space="preserve"> </w:t>
            </w:r>
            <w:r>
              <w:rPr>
                <w:sz w:val="20"/>
              </w:rPr>
              <w:t>c</w:t>
            </w:r>
            <w:r>
              <w:rPr>
                <w:spacing w:val="-2"/>
                <w:sz w:val="20"/>
              </w:rPr>
              <w:t xml:space="preserve"> </w:t>
            </w:r>
            <w:r>
              <w:rPr>
                <w:sz w:val="20"/>
              </w:rPr>
              <w:t>and</w:t>
            </w:r>
            <w:r>
              <w:rPr>
                <w:spacing w:val="-2"/>
                <w:sz w:val="20"/>
              </w:rPr>
              <w:t xml:space="preserve"> </w:t>
            </w:r>
            <w:r>
              <w:rPr>
                <w:spacing w:val="-10"/>
                <w:sz w:val="20"/>
              </w:rPr>
              <w:t>d</w:t>
            </w:r>
          </w:p>
          <w:p w14:paraId="3941BC98" w14:textId="77777777" w:rsidR="00DB6E1F" w:rsidRDefault="00F666A6">
            <w:pPr>
              <w:pStyle w:val="TableParagraph"/>
              <w:numPr>
                <w:ilvl w:val="0"/>
                <w:numId w:val="1"/>
              </w:numPr>
              <w:tabs>
                <w:tab w:val="left" w:pos="406"/>
              </w:tabs>
              <w:spacing w:before="121"/>
              <w:ind w:left="405" w:hanging="299"/>
              <w:rPr>
                <w:sz w:val="20"/>
              </w:rPr>
            </w:pPr>
            <w:r>
              <w:rPr>
                <w:sz w:val="20"/>
              </w:rPr>
              <w:t>a)</w:t>
            </w:r>
            <w:r>
              <w:rPr>
                <w:spacing w:val="-5"/>
                <w:sz w:val="20"/>
              </w:rPr>
              <w:t xml:space="preserve"> </w:t>
            </w:r>
            <w:r>
              <w:rPr>
                <w:sz w:val="20"/>
              </w:rPr>
              <w:t>listen</w:t>
            </w:r>
            <w:r>
              <w:rPr>
                <w:spacing w:val="-3"/>
                <w:sz w:val="20"/>
              </w:rPr>
              <w:t xml:space="preserve"> </w:t>
            </w:r>
            <w:r>
              <w:rPr>
                <w:spacing w:val="-2"/>
                <w:sz w:val="20"/>
              </w:rPr>
              <w:t>reflectively</w:t>
            </w:r>
          </w:p>
          <w:p w14:paraId="29ECEEDC" w14:textId="77777777" w:rsidR="00DB6E1F" w:rsidRDefault="00F666A6">
            <w:pPr>
              <w:pStyle w:val="TableParagraph"/>
              <w:numPr>
                <w:ilvl w:val="0"/>
                <w:numId w:val="1"/>
              </w:numPr>
              <w:tabs>
                <w:tab w:val="left" w:pos="406"/>
              </w:tabs>
              <w:spacing w:before="118"/>
              <w:ind w:left="405" w:hanging="299"/>
              <w:rPr>
                <w:sz w:val="20"/>
              </w:rPr>
            </w:pPr>
            <w:r>
              <w:rPr>
                <w:sz w:val="20"/>
              </w:rPr>
              <w:t>c)</w:t>
            </w:r>
            <w:r>
              <w:rPr>
                <w:spacing w:val="-5"/>
                <w:sz w:val="20"/>
              </w:rPr>
              <w:t xml:space="preserve"> </w:t>
            </w:r>
            <w:r>
              <w:rPr>
                <w:sz w:val="20"/>
              </w:rPr>
              <w:t>the</w:t>
            </w:r>
            <w:r>
              <w:rPr>
                <w:spacing w:val="-4"/>
                <w:sz w:val="20"/>
              </w:rPr>
              <w:t xml:space="preserve"> </w:t>
            </w:r>
            <w:r>
              <w:rPr>
                <w:sz w:val="20"/>
              </w:rPr>
              <w:t>expert</w:t>
            </w:r>
            <w:r>
              <w:rPr>
                <w:spacing w:val="-3"/>
                <w:sz w:val="20"/>
              </w:rPr>
              <w:t xml:space="preserve"> </w:t>
            </w:r>
            <w:r>
              <w:rPr>
                <w:spacing w:val="-4"/>
                <w:sz w:val="20"/>
              </w:rPr>
              <w:t>trap</w:t>
            </w:r>
          </w:p>
          <w:p w14:paraId="01942705" w14:textId="77777777" w:rsidR="00DB6E1F" w:rsidRDefault="00F666A6">
            <w:pPr>
              <w:pStyle w:val="TableParagraph"/>
              <w:numPr>
                <w:ilvl w:val="0"/>
                <w:numId w:val="1"/>
              </w:numPr>
              <w:tabs>
                <w:tab w:val="left" w:pos="406"/>
              </w:tabs>
              <w:spacing w:before="121"/>
              <w:ind w:left="405" w:hanging="299"/>
              <w:rPr>
                <w:sz w:val="20"/>
              </w:rPr>
            </w:pPr>
            <w:r>
              <w:rPr>
                <w:sz w:val="20"/>
              </w:rPr>
              <w:t>a)</w:t>
            </w:r>
            <w:r>
              <w:rPr>
                <w:spacing w:val="-5"/>
                <w:sz w:val="20"/>
              </w:rPr>
              <w:t xml:space="preserve"> </w:t>
            </w:r>
            <w:r>
              <w:rPr>
                <w:sz w:val="20"/>
              </w:rPr>
              <w:t>a</w:t>
            </w:r>
            <w:r>
              <w:rPr>
                <w:spacing w:val="-4"/>
                <w:sz w:val="20"/>
              </w:rPr>
              <w:t xml:space="preserve"> </w:t>
            </w:r>
            <w:r>
              <w:rPr>
                <w:sz w:val="20"/>
              </w:rPr>
              <w:t>means</w:t>
            </w:r>
            <w:r>
              <w:rPr>
                <w:spacing w:val="-5"/>
                <w:sz w:val="20"/>
              </w:rPr>
              <w:t xml:space="preserve"> </w:t>
            </w:r>
            <w:r>
              <w:rPr>
                <w:sz w:val="20"/>
              </w:rPr>
              <w:t>of</w:t>
            </w:r>
            <w:r>
              <w:rPr>
                <w:spacing w:val="-6"/>
                <w:sz w:val="20"/>
              </w:rPr>
              <w:t xml:space="preserve"> </w:t>
            </w:r>
            <w:r>
              <w:rPr>
                <w:sz w:val="20"/>
              </w:rPr>
              <w:t>assessing</w:t>
            </w:r>
            <w:r>
              <w:rPr>
                <w:spacing w:val="-2"/>
                <w:sz w:val="20"/>
              </w:rPr>
              <w:t xml:space="preserve"> </w:t>
            </w:r>
            <w:r>
              <w:rPr>
                <w:sz w:val="20"/>
              </w:rPr>
              <w:t>client</w:t>
            </w:r>
            <w:r>
              <w:rPr>
                <w:spacing w:val="-5"/>
                <w:sz w:val="20"/>
              </w:rPr>
              <w:t xml:space="preserve"> </w:t>
            </w:r>
            <w:r>
              <w:rPr>
                <w:spacing w:val="-2"/>
                <w:sz w:val="20"/>
              </w:rPr>
              <w:t>readiness</w:t>
            </w:r>
          </w:p>
          <w:p w14:paraId="2BA9AE07" w14:textId="77777777" w:rsidR="00DB6E1F" w:rsidRDefault="00F666A6">
            <w:pPr>
              <w:pStyle w:val="TableParagraph"/>
              <w:numPr>
                <w:ilvl w:val="0"/>
                <w:numId w:val="1"/>
              </w:numPr>
              <w:tabs>
                <w:tab w:val="left" w:pos="406"/>
              </w:tabs>
              <w:spacing w:before="120"/>
              <w:ind w:left="405" w:hanging="299"/>
              <w:rPr>
                <w:sz w:val="20"/>
              </w:rPr>
            </w:pPr>
            <w:r>
              <w:rPr>
                <w:sz w:val="20"/>
              </w:rPr>
              <w:t>c)</w:t>
            </w:r>
            <w:r>
              <w:rPr>
                <w:spacing w:val="-5"/>
                <w:sz w:val="20"/>
              </w:rPr>
              <w:t xml:space="preserve"> </w:t>
            </w:r>
            <w:r>
              <w:rPr>
                <w:sz w:val="20"/>
              </w:rPr>
              <w:t>asking</w:t>
            </w:r>
            <w:r>
              <w:rPr>
                <w:spacing w:val="-5"/>
                <w:sz w:val="20"/>
              </w:rPr>
              <w:t xml:space="preserve"> </w:t>
            </w:r>
            <w:r>
              <w:rPr>
                <w:sz w:val="20"/>
              </w:rPr>
              <w:t>the</w:t>
            </w:r>
            <w:r>
              <w:rPr>
                <w:spacing w:val="-6"/>
                <w:sz w:val="20"/>
              </w:rPr>
              <w:t xml:space="preserve"> </w:t>
            </w:r>
            <w:r>
              <w:rPr>
                <w:sz w:val="20"/>
              </w:rPr>
              <w:t>client</w:t>
            </w:r>
            <w:r>
              <w:rPr>
                <w:spacing w:val="-4"/>
                <w:sz w:val="20"/>
              </w:rPr>
              <w:t xml:space="preserve"> </w:t>
            </w:r>
            <w:r>
              <w:rPr>
                <w:sz w:val="20"/>
              </w:rPr>
              <w:t>to</w:t>
            </w:r>
            <w:r>
              <w:rPr>
                <w:spacing w:val="-5"/>
                <w:sz w:val="20"/>
              </w:rPr>
              <w:t xml:space="preserve"> </w:t>
            </w:r>
            <w:r>
              <w:rPr>
                <w:sz w:val="20"/>
              </w:rPr>
              <w:t>commit</w:t>
            </w:r>
            <w:r>
              <w:rPr>
                <w:spacing w:val="-5"/>
                <w:sz w:val="20"/>
              </w:rPr>
              <w:t xml:space="preserve"> </w:t>
            </w:r>
            <w:r>
              <w:rPr>
                <w:sz w:val="20"/>
              </w:rPr>
              <w:t>to</w:t>
            </w:r>
            <w:r>
              <w:rPr>
                <w:spacing w:val="-5"/>
                <w:sz w:val="20"/>
              </w:rPr>
              <w:t xml:space="preserve"> </w:t>
            </w:r>
            <w:r>
              <w:rPr>
                <w:sz w:val="20"/>
              </w:rPr>
              <w:t>a</w:t>
            </w:r>
            <w:r>
              <w:rPr>
                <w:spacing w:val="-4"/>
                <w:sz w:val="20"/>
              </w:rPr>
              <w:t xml:space="preserve"> </w:t>
            </w:r>
            <w:r>
              <w:rPr>
                <w:sz w:val="20"/>
              </w:rPr>
              <w:t>treatment</w:t>
            </w:r>
            <w:r>
              <w:rPr>
                <w:spacing w:val="-5"/>
                <w:sz w:val="20"/>
              </w:rPr>
              <w:t xml:space="preserve"> </w:t>
            </w:r>
            <w:r>
              <w:rPr>
                <w:spacing w:val="-4"/>
                <w:sz w:val="20"/>
              </w:rPr>
              <w:t>plan</w:t>
            </w:r>
          </w:p>
          <w:p w14:paraId="278619C3" w14:textId="77777777" w:rsidR="00DB6E1F" w:rsidRDefault="00F666A6">
            <w:pPr>
              <w:pStyle w:val="TableParagraph"/>
              <w:numPr>
                <w:ilvl w:val="0"/>
                <w:numId w:val="1"/>
              </w:numPr>
              <w:tabs>
                <w:tab w:val="left" w:pos="406"/>
              </w:tabs>
              <w:spacing w:before="121"/>
              <w:ind w:left="405" w:hanging="299"/>
              <w:rPr>
                <w:sz w:val="20"/>
              </w:rPr>
            </w:pPr>
            <w:r>
              <w:rPr>
                <w:sz w:val="20"/>
              </w:rPr>
              <w:t>c)</w:t>
            </w:r>
            <w:r>
              <w:rPr>
                <w:spacing w:val="-6"/>
                <w:sz w:val="20"/>
              </w:rPr>
              <w:t xml:space="preserve"> </w:t>
            </w:r>
            <w:r>
              <w:rPr>
                <w:sz w:val="20"/>
              </w:rPr>
              <w:t>to</w:t>
            </w:r>
            <w:r>
              <w:rPr>
                <w:spacing w:val="-6"/>
                <w:sz w:val="20"/>
              </w:rPr>
              <w:t xml:space="preserve"> </w:t>
            </w:r>
            <w:r>
              <w:rPr>
                <w:sz w:val="20"/>
              </w:rPr>
              <w:t>elicit</w:t>
            </w:r>
            <w:r>
              <w:rPr>
                <w:spacing w:val="-6"/>
                <w:sz w:val="20"/>
              </w:rPr>
              <w:t xml:space="preserve"> </w:t>
            </w:r>
            <w:r>
              <w:rPr>
                <w:sz w:val="20"/>
              </w:rPr>
              <w:t>the</w:t>
            </w:r>
            <w:r>
              <w:rPr>
                <w:spacing w:val="-7"/>
                <w:sz w:val="20"/>
              </w:rPr>
              <w:t xml:space="preserve"> </w:t>
            </w:r>
            <w:r>
              <w:rPr>
                <w:sz w:val="20"/>
              </w:rPr>
              <w:t>pros</w:t>
            </w:r>
            <w:r>
              <w:rPr>
                <w:spacing w:val="-7"/>
                <w:sz w:val="20"/>
              </w:rPr>
              <w:t xml:space="preserve"> </w:t>
            </w:r>
            <w:r>
              <w:rPr>
                <w:sz w:val="20"/>
              </w:rPr>
              <w:t>of</w:t>
            </w:r>
            <w:r>
              <w:rPr>
                <w:spacing w:val="-7"/>
                <w:sz w:val="20"/>
              </w:rPr>
              <w:t xml:space="preserve"> </w:t>
            </w:r>
            <w:r>
              <w:rPr>
                <w:sz w:val="20"/>
              </w:rPr>
              <w:t>behavior</w:t>
            </w:r>
            <w:r>
              <w:rPr>
                <w:spacing w:val="-5"/>
                <w:sz w:val="20"/>
              </w:rPr>
              <w:t xml:space="preserve"> </w:t>
            </w:r>
            <w:r>
              <w:rPr>
                <w:sz w:val="20"/>
              </w:rPr>
              <w:t>change</w:t>
            </w:r>
            <w:r>
              <w:rPr>
                <w:spacing w:val="-7"/>
                <w:sz w:val="20"/>
              </w:rPr>
              <w:t xml:space="preserve"> </w:t>
            </w:r>
            <w:r>
              <w:rPr>
                <w:sz w:val="20"/>
              </w:rPr>
              <w:t>(self-motivating</w:t>
            </w:r>
            <w:r>
              <w:rPr>
                <w:spacing w:val="-4"/>
                <w:sz w:val="20"/>
              </w:rPr>
              <w:t xml:space="preserve"> </w:t>
            </w:r>
            <w:r>
              <w:rPr>
                <w:spacing w:val="-2"/>
                <w:sz w:val="20"/>
              </w:rPr>
              <w:t>statements)</w:t>
            </w:r>
          </w:p>
          <w:p w14:paraId="5E971D4D" w14:textId="77777777" w:rsidR="00DB6E1F" w:rsidRDefault="00F666A6">
            <w:pPr>
              <w:pStyle w:val="TableParagraph"/>
              <w:numPr>
                <w:ilvl w:val="0"/>
                <w:numId w:val="1"/>
              </w:numPr>
              <w:tabs>
                <w:tab w:val="left" w:pos="406"/>
              </w:tabs>
              <w:spacing w:before="118"/>
              <w:ind w:left="405" w:hanging="299"/>
              <w:rPr>
                <w:sz w:val="20"/>
              </w:rPr>
            </w:pPr>
            <w:r>
              <w:rPr>
                <w:sz w:val="20"/>
              </w:rPr>
              <w:t>b)</w:t>
            </w:r>
            <w:r>
              <w:rPr>
                <w:spacing w:val="-4"/>
                <w:sz w:val="20"/>
              </w:rPr>
              <w:t xml:space="preserve"> </w:t>
            </w:r>
            <w:r>
              <w:rPr>
                <w:sz w:val="20"/>
              </w:rPr>
              <w:t>Why</w:t>
            </w:r>
            <w:r>
              <w:rPr>
                <w:spacing w:val="-1"/>
                <w:sz w:val="20"/>
              </w:rPr>
              <w:t xml:space="preserve"> </w:t>
            </w:r>
            <w:r>
              <w:rPr>
                <w:sz w:val="20"/>
              </w:rPr>
              <w:t>are</w:t>
            </w:r>
            <w:r>
              <w:rPr>
                <w:spacing w:val="-3"/>
                <w:sz w:val="20"/>
              </w:rPr>
              <w:t xml:space="preserve"> </w:t>
            </w:r>
            <w:r>
              <w:rPr>
                <w:sz w:val="20"/>
              </w:rPr>
              <w:t>you</w:t>
            </w:r>
            <w:r>
              <w:rPr>
                <w:spacing w:val="-2"/>
                <w:sz w:val="20"/>
              </w:rPr>
              <w:t xml:space="preserve"> </w:t>
            </w:r>
            <w:r>
              <w:rPr>
                <w:sz w:val="20"/>
              </w:rPr>
              <w:t>a</w:t>
            </w:r>
            <w:r>
              <w:rPr>
                <w:spacing w:val="-1"/>
                <w:sz w:val="20"/>
              </w:rPr>
              <w:t xml:space="preserve"> </w:t>
            </w:r>
            <w:r>
              <w:rPr>
                <w:sz w:val="20"/>
              </w:rPr>
              <w:t>4</w:t>
            </w:r>
            <w:r>
              <w:rPr>
                <w:spacing w:val="-2"/>
                <w:sz w:val="20"/>
              </w:rPr>
              <w:t xml:space="preserve"> </w:t>
            </w:r>
            <w:r>
              <w:rPr>
                <w:sz w:val="20"/>
              </w:rPr>
              <w:t>and</w:t>
            </w:r>
            <w:r>
              <w:rPr>
                <w:spacing w:val="-5"/>
                <w:sz w:val="20"/>
              </w:rPr>
              <w:t xml:space="preserve"> </w:t>
            </w:r>
            <w:r>
              <w:rPr>
                <w:sz w:val="20"/>
              </w:rPr>
              <w:t>not</w:t>
            </w:r>
            <w:r>
              <w:rPr>
                <w:spacing w:val="-2"/>
                <w:sz w:val="20"/>
              </w:rPr>
              <w:t xml:space="preserve"> </w:t>
            </w:r>
            <w:r>
              <w:rPr>
                <w:sz w:val="20"/>
              </w:rPr>
              <w:t>a</w:t>
            </w:r>
            <w:r>
              <w:rPr>
                <w:spacing w:val="-1"/>
                <w:sz w:val="20"/>
              </w:rPr>
              <w:t xml:space="preserve"> </w:t>
            </w:r>
            <w:r>
              <w:rPr>
                <w:spacing w:val="-5"/>
                <w:sz w:val="20"/>
              </w:rPr>
              <w:t>0?</w:t>
            </w:r>
          </w:p>
        </w:tc>
      </w:tr>
      <w:tr w:rsidR="00DB6E1F" w14:paraId="19C01DFC" w14:textId="77777777">
        <w:trPr>
          <w:trHeight w:val="673"/>
        </w:trPr>
        <w:tc>
          <w:tcPr>
            <w:tcW w:w="9350" w:type="dxa"/>
          </w:tcPr>
          <w:p w14:paraId="0A87E09A" w14:textId="77777777" w:rsidR="00DB6E1F" w:rsidRDefault="00F666A6">
            <w:pPr>
              <w:pStyle w:val="TableParagraph"/>
              <w:spacing w:before="80"/>
              <w:ind w:right="169"/>
              <w:rPr>
                <w:i/>
              </w:rPr>
            </w:pPr>
            <w:r>
              <w:rPr>
                <w:i/>
                <w:sz w:val="20"/>
              </w:rPr>
              <w:t>Source:</w:t>
            </w:r>
            <w:r>
              <w:rPr>
                <w:i/>
                <w:spacing w:val="-4"/>
                <w:sz w:val="20"/>
              </w:rPr>
              <w:t xml:space="preserve"> </w:t>
            </w:r>
            <w:r>
              <w:rPr>
                <w:i/>
                <w:sz w:val="20"/>
              </w:rPr>
              <w:t>Moyers,</w:t>
            </w:r>
            <w:r>
              <w:rPr>
                <w:i/>
                <w:spacing w:val="-2"/>
                <w:sz w:val="20"/>
              </w:rPr>
              <w:t xml:space="preserve"> </w:t>
            </w:r>
            <w:r>
              <w:rPr>
                <w:i/>
                <w:sz w:val="20"/>
              </w:rPr>
              <w:t>Martin,</w:t>
            </w:r>
            <w:r>
              <w:rPr>
                <w:i/>
                <w:spacing w:val="-2"/>
                <w:sz w:val="20"/>
              </w:rPr>
              <w:t xml:space="preserve"> </w:t>
            </w:r>
            <w:r>
              <w:rPr>
                <w:i/>
                <w:sz w:val="20"/>
              </w:rPr>
              <w:t>&amp;</w:t>
            </w:r>
            <w:r>
              <w:rPr>
                <w:i/>
                <w:spacing w:val="-2"/>
                <w:sz w:val="20"/>
              </w:rPr>
              <w:t xml:space="preserve"> </w:t>
            </w:r>
            <w:r>
              <w:rPr>
                <w:i/>
                <w:sz w:val="20"/>
              </w:rPr>
              <w:t>Christopher,</w:t>
            </w:r>
            <w:r>
              <w:rPr>
                <w:i/>
                <w:spacing w:val="-2"/>
                <w:sz w:val="20"/>
              </w:rPr>
              <w:t xml:space="preserve"> </w:t>
            </w:r>
            <w:r>
              <w:rPr>
                <w:i/>
                <w:sz w:val="20"/>
              </w:rPr>
              <w:t>2005.</w:t>
            </w:r>
            <w:r>
              <w:rPr>
                <w:i/>
                <w:spacing w:val="-3"/>
                <w:sz w:val="20"/>
              </w:rPr>
              <w:t xml:space="preserve"> </w:t>
            </w:r>
            <w:r>
              <w:rPr>
                <w:i/>
                <w:sz w:val="20"/>
              </w:rPr>
              <w:t>Reprinted</w:t>
            </w:r>
            <w:r>
              <w:rPr>
                <w:i/>
                <w:spacing w:val="-2"/>
                <w:sz w:val="20"/>
              </w:rPr>
              <w:t xml:space="preserve"> </w:t>
            </w:r>
            <w:r>
              <w:rPr>
                <w:i/>
                <w:sz w:val="20"/>
              </w:rPr>
              <w:t>from</w:t>
            </w:r>
            <w:r>
              <w:rPr>
                <w:i/>
                <w:spacing w:val="-2"/>
                <w:sz w:val="20"/>
              </w:rPr>
              <w:t xml:space="preserve"> </w:t>
            </w:r>
            <w:r>
              <w:rPr>
                <w:i/>
                <w:sz w:val="20"/>
              </w:rPr>
              <w:t>material</w:t>
            </w:r>
            <w:r>
              <w:rPr>
                <w:i/>
                <w:spacing w:val="-3"/>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public</w:t>
            </w:r>
            <w:r>
              <w:rPr>
                <w:i/>
                <w:spacing w:val="-2"/>
                <w:sz w:val="20"/>
              </w:rPr>
              <w:t xml:space="preserve"> </w:t>
            </w:r>
            <w:r>
              <w:rPr>
                <w:i/>
                <w:sz w:val="20"/>
              </w:rPr>
              <w:t>domain.</w:t>
            </w:r>
            <w:r>
              <w:rPr>
                <w:i/>
                <w:spacing w:val="-3"/>
                <w:sz w:val="20"/>
              </w:rPr>
              <w:t xml:space="preserve"> </w:t>
            </w:r>
            <w:r>
              <w:rPr>
                <w:i/>
                <w:sz w:val="20"/>
              </w:rPr>
              <w:t>Available</w:t>
            </w:r>
            <w:r>
              <w:rPr>
                <w:i/>
                <w:spacing w:val="-2"/>
                <w:sz w:val="20"/>
              </w:rPr>
              <w:t xml:space="preserve"> </w:t>
            </w:r>
            <w:r>
              <w:rPr>
                <w:i/>
                <w:sz w:val="20"/>
              </w:rPr>
              <w:t>online</w:t>
            </w:r>
            <w:r>
              <w:rPr>
                <w:i/>
                <w:spacing w:val="-2"/>
                <w:sz w:val="20"/>
              </w:rPr>
              <w:t xml:space="preserve"> </w:t>
            </w:r>
            <w:r>
              <w:rPr>
                <w:i/>
                <w:sz w:val="20"/>
              </w:rPr>
              <w:t xml:space="preserve">at no cost </w:t>
            </w:r>
            <w:hyperlink r:id="rId188">
              <w:r>
                <w:rPr>
                  <w:i/>
                  <w:sz w:val="20"/>
                </w:rPr>
                <w:t>(</w:t>
              </w:r>
              <w:r>
                <w:rPr>
                  <w:i/>
                  <w:color w:val="0563C1"/>
                  <w:sz w:val="20"/>
                  <w:u w:val="single" w:color="0563C1"/>
                </w:rPr>
                <w:t>https://casaa.unm.edu/download/ELICIT/MI%20Knowledge%20Test.pdf</w:t>
              </w:r>
            </w:hyperlink>
            <w:r>
              <w:rPr>
                <w:i/>
                <w:color w:val="0563C1"/>
              </w:rPr>
              <w:t>).</w:t>
            </w:r>
          </w:p>
        </w:tc>
      </w:tr>
    </w:tbl>
    <w:p w14:paraId="7A4AFC33" w14:textId="77777777" w:rsidR="00DB6E1F" w:rsidRDefault="00DB6E1F">
      <w:pPr>
        <w:sectPr w:rsidR="00DB6E1F">
          <w:pgSz w:w="12240" w:h="15840"/>
          <w:pgMar w:top="1200" w:right="0" w:bottom="780" w:left="0" w:header="763" w:footer="585" w:gutter="0"/>
          <w:cols w:space="720"/>
        </w:sectPr>
      </w:pPr>
    </w:p>
    <w:p w14:paraId="29BA1E73" w14:textId="77777777" w:rsidR="00DB6E1F" w:rsidRDefault="00DB6E1F">
      <w:pPr>
        <w:pStyle w:val="BodyText"/>
        <w:spacing w:before="12"/>
        <w:rPr>
          <w:sz w:val="18"/>
        </w:rPr>
      </w:pPr>
    </w:p>
    <w:p w14:paraId="642EE73C" w14:textId="77777777" w:rsidR="00DB6E1F" w:rsidRDefault="00F666A6">
      <w:pPr>
        <w:pStyle w:val="Heading1"/>
      </w:pPr>
      <w:bookmarkStart w:id="260" w:name="Appendix_C—Resources"/>
      <w:bookmarkStart w:id="261" w:name="_bookmark65"/>
      <w:bookmarkEnd w:id="260"/>
      <w:bookmarkEnd w:id="261"/>
      <w:r>
        <w:t>Appendix</w:t>
      </w:r>
      <w:r>
        <w:rPr>
          <w:spacing w:val="-7"/>
        </w:rPr>
        <w:t xml:space="preserve"> </w:t>
      </w:r>
      <w:r>
        <w:t>C—</w:t>
      </w:r>
      <w:r>
        <w:rPr>
          <w:spacing w:val="-2"/>
        </w:rPr>
        <w:t>Resources</w:t>
      </w:r>
    </w:p>
    <w:p w14:paraId="7669D13E" w14:textId="77777777" w:rsidR="00DB6E1F" w:rsidRDefault="00DB6E1F">
      <w:pPr>
        <w:pStyle w:val="BodyText"/>
        <w:spacing w:before="4"/>
        <w:rPr>
          <w:b/>
          <w:sz w:val="43"/>
        </w:rPr>
      </w:pPr>
    </w:p>
    <w:p w14:paraId="548D3FAB" w14:textId="77777777" w:rsidR="00DB6E1F" w:rsidRDefault="00F666A6">
      <w:pPr>
        <w:pStyle w:val="Heading2"/>
        <w:spacing w:before="0" w:line="259" w:lineRule="auto"/>
        <w:ind w:left="1439" w:right="1491"/>
      </w:pPr>
      <w:bookmarkStart w:id="262" w:name="Motivational_Interviewing_and_Motivation"/>
      <w:bookmarkStart w:id="263" w:name="_bookmark66"/>
      <w:bookmarkEnd w:id="262"/>
      <w:bookmarkEnd w:id="263"/>
      <w:r>
        <w:t>Motivational</w:t>
      </w:r>
      <w:r>
        <w:rPr>
          <w:spacing w:val="-10"/>
        </w:rPr>
        <w:t xml:space="preserve"> </w:t>
      </w:r>
      <w:r>
        <w:t>Interviewing</w:t>
      </w:r>
      <w:r>
        <w:rPr>
          <w:spacing w:val="-9"/>
        </w:rPr>
        <w:t xml:space="preserve"> </w:t>
      </w:r>
      <w:r>
        <w:t>and</w:t>
      </w:r>
      <w:r>
        <w:rPr>
          <w:spacing w:val="-9"/>
        </w:rPr>
        <w:t xml:space="preserve"> </w:t>
      </w:r>
      <w:r>
        <w:t>Motivational</w:t>
      </w:r>
      <w:r>
        <w:rPr>
          <w:spacing w:val="-10"/>
        </w:rPr>
        <w:t xml:space="preserve"> </w:t>
      </w:r>
      <w:r>
        <w:t xml:space="preserve">Enhancement </w:t>
      </w:r>
      <w:r>
        <w:rPr>
          <w:spacing w:val="-2"/>
        </w:rPr>
        <w:t>Therapy</w:t>
      </w:r>
    </w:p>
    <w:p w14:paraId="49D05E9C" w14:textId="77777777" w:rsidR="00DB6E1F" w:rsidRDefault="00F666A6">
      <w:pPr>
        <w:spacing w:before="118"/>
        <w:ind w:left="1440" w:right="1444"/>
      </w:pPr>
      <w:hyperlink r:id="rId189">
        <w:r>
          <w:rPr>
            <w:b/>
            <w:spacing w:val="-2"/>
          </w:rPr>
          <w:t>Motivational Interviewing Network of Trainers</w:t>
        </w:r>
        <w:r>
          <w:rPr>
            <w:b/>
            <w:spacing w:val="-3"/>
          </w:rPr>
          <w:t xml:space="preserve"> </w:t>
        </w:r>
        <w:r>
          <w:rPr>
            <w:b/>
            <w:spacing w:val="-2"/>
          </w:rPr>
          <w:t>(MINT)</w:t>
        </w:r>
        <w:r>
          <w:rPr>
            <w:b/>
            <w:spacing w:val="-3"/>
          </w:rPr>
          <w:t xml:space="preserve"> </w:t>
        </w:r>
        <w:r>
          <w:rPr>
            <w:spacing w:val="-2"/>
          </w:rPr>
          <w:t>(</w:t>
        </w:r>
      </w:hyperlink>
      <w:hyperlink r:id="rId190">
        <w:r>
          <w:rPr>
            <w:color w:val="0563C1"/>
            <w:spacing w:val="-2"/>
            <w:u w:val="single" w:color="0563C1"/>
          </w:rPr>
          <w:t>www.motivationalinterviewing.org</w:t>
        </w:r>
      </w:hyperlink>
      <w:r>
        <w:rPr>
          <w:spacing w:val="-2"/>
        </w:rPr>
        <w:t>).</w:t>
      </w:r>
      <w:r>
        <w:rPr>
          <w:spacing w:val="-4"/>
        </w:rPr>
        <w:t xml:space="preserve"> </w:t>
      </w:r>
      <w:r>
        <w:rPr>
          <w:spacing w:val="-2"/>
        </w:rPr>
        <w:t>This</w:t>
      </w:r>
      <w:r>
        <w:rPr>
          <w:spacing w:val="-4"/>
        </w:rPr>
        <w:t xml:space="preserve"> </w:t>
      </w:r>
      <w:r>
        <w:rPr>
          <w:spacing w:val="-2"/>
        </w:rPr>
        <w:t xml:space="preserve">website </w:t>
      </w:r>
      <w:r>
        <w:t>includes links to publications, motivational interviewing (MI) assessment and coding resources, and training resources and events.</w:t>
      </w:r>
    </w:p>
    <w:p w14:paraId="59CA5831" w14:textId="77777777" w:rsidR="00DB6E1F" w:rsidRDefault="00F666A6">
      <w:pPr>
        <w:pStyle w:val="BodyText"/>
        <w:spacing w:before="159"/>
        <w:ind w:left="1439" w:right="1444"/>
      </w:pPr>
      <w:r>
        <w:rPr>
          <w:b/>
          <w:i/>
        </w:rPr>
        <w:t xml:space="preserve">Motivational Enhancement Therapy Manual </w:t>
      </w:r>
      <w:r>
        <w:t>(</w:t>
      </w:r>
      <w:hyperlink r:id="rId191">
        <w:r>
          <w:t>https://ca</w:t>
        </w:r>
        <w:r>
          <w:t>saa.unm.edu/download/met.pdf</w:t>
        </w:r>
      </w:hyperlink>
      <w:r>
        <w:t>). This manual describes the history of motivational enhancement therapy (MET) and its use in Project MATCH. It provides</w:t>
      </w:r>
      <w:r>
        <w:rPr>
          <w:spacing w:val="-4"/>
        </w:rPr>
        <w:t xml:space="preserve"> </w:t>
      </w:r>
      <w:r>
        <w:t>an</w:t>
      </w:r>
      <w:r>
        <w:rPr>
          <w:spacing w:val="-5"/>
        </w:rPr>
        <w:t xml:space="preserve"> </w:t>
      </w:r>
      <w:r>
        <w:t>overview</w:t>
      </w:r>
      <w:r>
        <w:rPr>
          <w:spacing w:val="-4"/>
        </w:rPr>
        <w:t xml:space="preserve"> </w:t>
      </w:r>
      <w:r>
        <w:t>of</w:t>
      </w:r>
      <w:r>
        <w:rPr>
          <w:spacing w:val="-4"/>
        </w:rPr>
        <w:t xml:space="preserve"> </w:t>
      </w:r>
      <w:r>
        <w:t>MET,</w:t>
      </w:r>
      <w:r>
        <w:rPr>
          <w:spacing w:val="-2"/>
        </w:rPr>
        <w:t xml:space="preserve"> </w:t>
      </w:r>
      <w:r>
        <w:t>its</w:t>
      </w:r>
      <w:r>
        <w:rPr>
          <w:spacing w:val="-4"/>
        </w:rPr>
        <w:t xml:space="preserve"> </w:t>
      </w:r>
      <w:r>
        <w:t>relationship</w:t>
      </w:r>
      <w:r>
        <w:rPr>
          <w:spacing w:val="-3"/>
        </w:rPr>
        <w:t xml:space="preserve"> </w:t>
      </w:r>
      <w:r>
        <w:t>to</w:t>
      </w:r>
      <w:r>
        <w:rPr>
          <w:spacing w:val="-1"/>
        </w:rPr>
        <w:t xml:space="preserve"> </w:t>
      </w:r>
      <w:r>
        <w:t>the</w:t>
      </w:r>
      <w:r>
        <w:rPr>
          <w:spacing w:val="-1"/>
        </w:rPr>
        <w:t xml:space="preserve"> </w:t>
      </w:r>
      <w:r>
        <w:t>stages</w:t>
      </w:r>
      <w:r>
        <w:rPr>
          <w:spacing w:val="-2"/>
        </w:rPr>
        <w:t xml:space="preserve"> </w:t>
      </w:r>
      <w:r>
        <w:t>of</w:t>
      </w:r>
      <w:r>
        <w:rPr>
          <w:spacing w:val="-4"/>
        </w:rPr>
        <w:t xml:space="preserve"> </w:t>
      </w:r>
      <w:r>
        <w:t>change,</w:t>
      </w:r>
      <w:r>
        <w:rPr>
          <w:spacing w:val="-4"/>
        </w:rPr>
        <w:t xml:space="preserve"> </w:t>
      </w:r>
      <w:r>
        <w:t>the</w:t>
      </w:r>
      <w:r>
        <w:rPr>
          <w:spacing w:val="-1"/>
        </w:rPr>
        <w:t xml:space="preserve"> </w:t>
      </w:r>
      <w:r>
        <w:t>structure</w:t>
      </w:r>
      <w:r>
        <w:rPr>
          <w:spacing w:val="-1"/>
        </w:rPr>
        <w:t xml:space="preserve"> </w:t>
      </w:r>
      <w:r>
        <w:t>of</w:t>
      </w:r>
      <w:r>
        <w:rPr>
          <w:spacing w:val="-4"/>
        </w:rPr>
        <w:t xml:space="preserve"> </w:t>
      </w:r>
      <w:r>
        <w:t>MET</w:t>
      </w:r>
      <w:r>
        <w:rPr>
          <w:spacing w:val="-2"/>
        </w:rPr>
        <w:t xml:space="preserve"> </w:t>
      </w:r>
      <w:r>
        <w:t>sessions,</w:t>
      </w:r>
      <w:r>
        <w:rPr>
          <w:spacing w:val="-2"/>
        </w:rPr>
        <w:t xml:space="preserve"> </w:t>
      </w:r>
      <w:r>
        <w:t>and a thorough review of the assessment and personalized feedback process used in MET.</w:t>
      </w:r>
    </w:p>
    <w:p w14:paraId="42A6419E" w14:textId="77777777" w:rsidR="00DB6E1F" w:rsidRDefault="00F666A6">
      <w:pPr>
        <w:spacing w:before="159"/>
        <w:ind w:left="1439" w:right="2066"/>
      </w:pPr>
      <w:r>
        <w:rPr>
          <w:b/>
        </w:rPr>
        <w:t xml:space="preserve">Institute for Research, Education &amp; Training in Addictions Motivational Interviewing Toolkit </w:t>
      </w:r>
      <w:r>
        <w:t>(</w:t>
      </w:r>
      <w:hyperlink r:id="rId192">
        <w:r>
          <w:t>https://ireta.org/resources/motivational-interviewing-toolkit</w:t>
        </w:r>
      </w:hyperlink>
      <w:r>
        <w:t>).</w:t>
      </w:r>
      <w:r>
        <w:rPr>
          <w:spacing w:val="-10"/>
        </w:rPr>
        <w:t xml:space="preserve"> </w:t>
      </w:r>
      <w:r>
        <w:t>This</w:t>
      </w:r>
      <w:r>
        <w:rPr>
          <w:spacing w:val="-7"/>
        </w:rPr>
        <w:t xml:space="preserve"> </w:t>
      </w:r>
      <w:r>
        <w:t>website</w:t>
      </w:r>
      <w:r>
        <w:rPr>
          <w:spacing w:val="-9"/>
        </w:rPr>
        <w:t xml:space="preserve"> </w:t>
      </w:r>
      <w:r>
        <w:t>provides</w:t>
      </w:r>
      <w:r>
        <w:rPr>
          <w:spacing w:val="-9"/>
        </w:rPr>
        <w:t xml:space="preserve"> </w:t>
      </w:r>
      <w:r>
        <w:t>educational materials about MI and links to no-cost MI resources.</w:t>
      </w:r>
    </w:p>
    <w:p w14:paraId="7F3020DD" w14:textId="77777777" w:rsidR="00DB6E1F" w:rsidRDefault="00F666A6">
      <w:pPr>
        <w:pStyle w:val="Heading2"/>
        <w:spacing w:before="165"/>
      </w:pPr>
      <w:bookmarkStart w:id="264" w:name="Stages_of_Change"/>
      <w:bookmarkStart w:id="265" w:name="_bookmark67"/>
      <w:bookmarkEnd w:id="264"/>
      <w:bookmarkEnd w:id="265"/>
      <w:r>
        <w:t>Stages</w:t>
      </w:r>
      <w:r>
        <w:rPr>
          <w:spacing w:val="-1"/>
        </w:rPr>
        <w:t xml:space="preserve"> </w:t>
      </w:r>
      <w:r>
        <w:t>of</w:t>
      </w:r>
      <w:r>
        <w:rPr>
          <w:spacing w:val="-1"/>
        </w:rPr>
        <w:t xml:space="preserve"> </w:t>
      </w:r>
      <w:r>
        <w:rPr>
          <w:spacing w:val="-2"/>
        </w:rPr>
        <w:t>Change</w:t>
      </w:r>
    </w:p>
    <w:p w14:paraId="7469AFA6" w14:textId="77777777" w:rsidR="00DB6E1F" w:rsidRDefault="00F666A6">
      <w:pPr>
        <w:spacing w:before="150"/>
        <w:ind w:left="1439" w:right="1491"/>
      </w:pPr>
      <w:r>
        <w:rPr>
          <w:b/>
        </w:rPr>
        <w:t>Health and Addictive Behaviors: Investigating Transtheoretical Solutions Lab at the University of Maryland,</w:t>
      </w:r>
      <w:r>
        <w:rPr>
          <w:b/>
          <w:spacing w:val="-5"/>
        </w:rPr>
        <w:t xml:space="preserve"> </w:t>
      </w:r>
      <w:r>
        <w:rPr>
          <w:b/>
        </w:rPr>
        <w:t>Baltimore</w:t>
      </w:r>
      <w:r>
        <w:rPr>
          <w:b/>
          <w:spacing w:val="-6"/>
        </w:rPr>
        <w:t xml:space="preserve"> </w:t>
      </w:r>
      <w:r>
        <w:rPr>
          <w:b/>
        </w:rPr>
        <w:t>County</w:t>
      </w:r>
      <w:r>
        <w:rPr>
          <w:b/>
          <w:spacing w:val="-2"/>
        </w:rPr>
        <w:t xml:space="preserve"> </w:t>
      </w:r>
      <w:r>
        <w:t>(</w:t>
      </w:r>
      <w:hyperlink r:id="rId193">
        <w:r>
          <w:t>https://habitslab.umbc.edu</w:t>
        </w:r>
      </w:hyperlink>
      <w:r>
        <w:t>).</w:t>
      </w:r>
      <w:r>
        <w:rPr>
          <w:spacing w:val="-3"/>
        </w:rPr>
        <w:t xml:space="preserve"> </w:t>
      </w:r>
      <w:r>
        <w:t>This</w:t>
      </w:r>
      <w:r>
        <w:rPr>
          <w:spacing w:val="-3"/>
        </w:rPr>
        <w:t xml:space="preserve"> </w:t>
      </w:r>
      <w:r>
        <w:t>website</w:t>
      </w:r>
      <w:r>
        <w:rPr>
          <w:spacing w:val="-4"/>
        </w:rPr>
        <w:t xml:space="preserve"> </w:t>
      </w:r>
      <w:r>
        <w:t>provides</w:t>
      </w:r>
      <w:r>
        <w:rPr>
          <w:spacing w:val="-6"/>
        </w:rPr>
        <w:t xml:space="preserve"> </w:t>
      </w:r>
      <w:r>
        <w:t>an</w:t>
      </w:r>
      <w:r>
        <w:rPr>
          <w:spacing w:val="-4"/>
        </w:rPr>
        <w:t xml:space="preserve"> </w:t>
      </w:r>
      <w:r>
        <w:t>overview</w:t>
      </w:r>
      <w:r>
        <w:rPr>
          <w:spacing w:val="-2"/>
        </w:rPr>
        <w:t xml:space="preserve"> </w:t>
      </w:r>
      <w:r>
        <w:t>of</w:t>
      </w:r>
      <w:r>
        <w:rPr>
          <w:spacing w:val="-3"/>
        </w:rPr>
        <w:t xml:space="preserve"> </w:t>
      </w:r>
      <w:r>
        <w:t>the Transtheoreti</w:t>
      </w:r>
      <w:r>
        <w:t>cal Model of behavior change, printable assessments and scoring information, related publications, and learning tools.</w:t>
      </w:r>
    </w:p>
    <w:p w14:paraId="15846CC4" w14:textId="77777777" w:rsidR="00DB6E1F" w:rsidRDefault="00F666A6">
      <w:pPr>
        <w:pStyle w:val="Heading2"/>
        <w:spacing w:before="165"/>
      </w:pPr>
      <w:bookmarkStart w:id="266" w:name="Training_and_Supervision"/>
      <w:bookmarkStart w:id="267" w:name="_bookmark68"/>
      <w:bookmarkEnd w:id="266"/>
      <w:bookmarkEnd w:id="267"/>
      <w:r>
        <w:t>Training</w:t>
      </w:r>
      <w:r>
        <w:rPr>
          <w:spacing w:val="-2"/>
        </w:rPr>
        <w:t xml:space="preserve"> </w:t>
      </w:r>
      <w:r>
        <w:t>and</w:t>
      </w:r>
      <w:r>
        <w:rPr>
          <w:spacing w:val="-1"/>
        </w:rPr>
        <w:t xml:space="preserve"> </w:t>
      </w:r>
      <w:r>
        <w:rPr>
          <w:spacing w:val="-2"/>
        </w:rPr>
        <w:t>Supervision</w:t>
      </w:r>
    </w:p>
    <w:p w14:paraId="144D5F9E" w14:textId="77777777" w:rsidR="00DB6E1F" w:rsidRDefault="00F666A6">
      <w:pPr>
        <w:pStyle w:val="BodyText"/>
        <w:spacing w:before="150"/>
        <w:ind w:left="1440" w:right="1745"/>
      </w:pPr>
      <w:r>
        <w:rPr>
          <w:b/>
          <w:i/>
        </w:rPr>
        <w:t xml:space="preserve">Motivational Interviewing Assessment: Supervisory Tools for Enhancing Proficiency Manual </w:t>
      </w:r>
      <w:r>
        <w:t>(</w:t>
      </w:r>
      <w:hyperlink r:id="rId194">
        <w:r>
          <w:rPr>
            <w:color w:val="0563C1"/>
            <w:u w:val="single" w:color="0563C1"/>
          </w:rPr>
          <w:t>www.motivationalinterviewing.org/sites/default/files/mia-step.pdf</w:t>
        </w:r>
      </w:hyperlink>
      <w:r>
        <w:t>). This c</w:t>
      </w:r>
      <w:r>
        <w:t>ollection of tools is for mentoring</w:t>
      </w:r>
      <w:r>
        <w:rPr>
          <w:spacing w:val="-3"/>
        </w:rPr>
        <w:t xml:space="preserve"> </w:t>
      </w:r>
      <w:r>
        <w:t>counselors</w:t>
      </w:r>
      <w:r>
        <w:rPr>
          <w:spacing w:val="-2"/>
        </w:rPr>
        <w:t xml:space="preserve"> </w:t>
      </w:r>
      <w:r>
        <w:t>in</w:t>
      </w:r>
      <w:r>
        <w:rPr>
          <w:spacing w:val="-5"/>
        </w:rPr>
        <w:t xml:space="preserve"> </w:t>
      </w:r>
      <w:r>
        <w:t>MI</w:t>
      </w:r>
      <w:r>
        <w:rPr>
          <w:spacing w:val="-2"/>
        </w:rPr>
        <w:t xml:space="preserve"> </w:t>
      </w:r>
      <w:r>
        <w:t>skills</w:t>
      </w:r>
      <w:r>
        <w:rPr>
          <w:spacing w:val="-1"/>
        </w:rPr>
        <w:t xml:space="preserve"> </w:t>
      </w:r>
      <w:r>
        <w:t>used</w:t>
      </w:r>
      <w:r>
        <w:rPr>
          <w:spacing w:val="-3"/>
        </w:rPr>
        <w:t xml:space="preserve"> </w:t>
      </w:r>
      <w:r>
        <w:t>in</w:t>
      </w:r>
      <w:r>
        <w:rPr>
          <w:spacing w:val="-5"/>
        </w:rPr>
        <w:t xml:space="preserve"> </w:t>
      </w:r>
      <w:r>
        <w:t>the</w:t>
      </w:r>
      <w:r>
        <w:rPr>
          <w:spacing w:val="-4"/>
        </w:rPr>
        <w:t xml:space="preserve"> </w:t>
      </w:r>
      <w:r>
        <w:t>engagement</w:t>
      </w:r>
      <w:r>
        <w:rPr>
          <w:spacing w:val="-1"/>
        </w:rPr>
        <w:t xml:space="preserve"> </w:t>
      </w:r>
      <w:r>
        <w:t>and</w:t>
      </w:r>
      <w:r>
        <w:rPr>
          <w:spacing w:val="-3"/>
        </w:rPr>
        <w:t xml:space="preserve"> </w:t>
      </w:r>
      <w:r>
        <w:t>assessment</w:t>
      </w:r>
      <w:r>
        <w:rPr>
          <w:spacing w:val="-4"/>
        </w:rPr>
        <w:t xml:space="preserve"> </w:t>
      </w:r>
      <w:r>
        <w:t>stage</w:t>
      </w:r>
      <w:r>
        <w:rPr>
          <w:spacing w:val="-4"/>
        </w:rPr>
        <w:t xml:space="preserve"> </w:t>
      </w:r>
      <w:r>
        <w:t>of</w:t>
      </w:r>
      <w:r>
        <w:rPr>
          <w:spacing w:val="-2"/>
        </w:rPr>
        <w:t xml:space="preserve"> </w:t>
      </w:r>
      <w:r>
        <w:t>counseling</w:t>
      </w:r>
      <w:r>
        <w:rPr>
          <w:spacing w:val="-3"/>
        </w:rPr>
        <w:t xml:space="preserve"> </w:t>
      </w:r>
      <w:r>
        <w:t>people with substance use disorders (SUDs). It includes teaching tools, counselor self-assessment skill summaries, MI rating guides and fo</w:t>
      </w:r>
      <w:r>
        <w:t xml:space="preserve">rms, transcripts and ratings of sample MI interviews, and trainer </w:t>
      </w:r>
      <w:r>
        <w:rPr>
          <w:spacing w:val="-2"/>
        </w:rPr>
        <w:t>instructions.</w:t>
      </w:r>
    </w:p>
    <w:p w14:paraId="7759DDA7" w14:textId="77777777" w:rsidR="00DB6E1F" w:rsidRDefault="00F666A6">
      <w:pPr>
        <w:pStyle w:val="BodyText"/>
        <w:spacing w:before="160"/>
        <w:ind w:left="1439" w:right="1491"/>
        <w:jc w:val="both"/>
      </w:pPr>
      <w:r>
        <w:rPr>
          <w:b/>
        </w:rPr>
        <w:t>Center</w:t>
      </w:r>
      <w:r>
        <w:rPr>
          <w:b/>
          <w:spacing w:val="-4"/>
        </w:rPr>
        <w:t xml:space="preserve"> </w:t>
      </w:r>
      <w:r>
        <w:rPr>
          <w:b/>
        </w:rPr>
        <w:t>on</w:t>
      </w:r>
      <w:r>
        <w:rPr>
          <w:b/>
          <w:spacing w:val="-5"/>
        </w:rPr>
        <w:t xml:space="preserve"> </w:t>
      </w:r>
      <w:r>
        <w:rPr>
          <w:b/>
        </w:rPr>
        <w:t>Alcoholism,</w:t>
      </w:r>
      <w:r>
        <w:rPr>
          <w:b/>
          <w:spacing w:val="-4"/>
        </w:rPr>
        <w:t xml:space="preserve"> </w:t>
      </w:r>
      <w:r>
        <w:rPr>
          <w:b/>
        </w:rPr>
        <w:t>Substance</w:t>
      </w:r>
      <w:r>
        <w:rPr>
          <w:b/>
          <w:spacing w:val="-5"/>
        </w:rPr>
        <w:t xml:space="preserve"> </w:t>
      </w:r>
      <w:r>
        <w:rPr>
          <w:b/>
        </w:rPr>
        <w:t>Abuse,</w:t>
      </w:r>
      <w:r>
        <w:rPr>
          <w:b/>
          <w:spacing w:val="-4"/>
        </w:rPr>
        <w:t xml:space="preserve"> </w:t>
      </w:r>
      <w:r>
        <w:rPr>
          <w:b/>
        </w:rPr>
        <w:t>and</w:t>
      </w:r>
      <w:r>
        <w:rPr>
          <w:b/>
          <w:spacing w:val="-5"/>
        </w:rPr>
        <w:t xml:space="preserve"> </w:t>
      </w:r>
      <w:r>
        <w:rPr>
          <w:b/>
        </w:rPr>
        <w:t>Addictions</w:t>
      </w:r>
      <w:r>
        <w:rPr>
          <w:b/>
          <w:spacing w:val="-2"/>
        </w:rPr>
        <w:t xml:space="preserve"> </w:t>
      </w:r>
      <w:r>
        <w:t>(</w:t>
      </w:r>
      <w:hyperlink r:id="rId195">
        <w:r>
          <w:rPr>
            <w:color w:val="0563C1"/>
            <w:u w:val="single" w:color="0563C1"/>
          </w:rPr>
          <w:t>https://casaa.unm.edu</w:t>
        </w:r>
      </w:hyperlink>
      <w:r>
        <w:t>).</w:t>
      </w:r>
      <w:r>
        <w:rPr>
          <w:spacing w:val="-5"/>
        </w:rPr>
        <w:t xml:space="preserve"> </w:t>
      </w:r>
      <w:r>
        <w:t>This</w:t>
      </w:r>
      <w:r>
        <w:rPr>
          <w:spacing w:val="-4"/>
        </w:rPr>
        <w:t xml:space="preserve"> </w:t>
      </w:r>
      <w:r>
        <w:t>multidisciplinary research</w:t>
      </w:r>
      <w:r>
        <w:rPr>
          <w:spacing w:val="-4"/>
        </w:rPr>
        <w:t xml:space="preserve"> </w:t>
      </w:r>
      <w:r>
        <w:t>center</w:t>
      </w:r>
      <w:r>
        <w:rPr>
          <w:spacing w:val="-2"/>
        </w:rPr>
        <w:t xml:space="preserve"> </w:t>
      </w:r>
      <w:r>
        <w:t>at</w:t>
      </w:r>
      <w:r>
        <w:rPr>
          <w:spacing w:val="-4"/>
        </w:rPr>
        <w:t xml:space="preserve"> </w:t>
      </w:r>
      <w:r>
        <w:t>the</w:t>
      </w:r>
      <w:r>
        <w:rPr>
          <w:spacing w:val="-4"/>
        </w:rPr>
        <w:t xml:space="preserve"> </w:t>
      </w:r>
      <w:r>
        <w:t>Universit</w:t>
      </w:r>
      <w:r>
        <w:t>y</w:t>
      </w:r>
      <w:r>
        <w:rPr>
          <w:spacing w:val="-3"/>
        </w:rPr>
        <w:t xml:space="preserve"> </w:t>
      </w:r>
      <w:r>
        <w:t>of</w:t>
      </w:r>
      <w:r>
        <w:rPr>
          <w:spacing w:val="-4"/>
        </w:rPr>
        <w:t xml:space="preserve"> </w:t>
      </w:r>
      <w:r>
        <w:t>New</w:t>
      </w:r>
      <w:r>
        <w:rPr>
          <w:spacing w:val="-4"/>
        </w:rPr>
        <w:t xml:space="preserve"> </w:t>
      </w:r>
      <w:r>
        <w:t>Mexico</w:t>
      </w:r>
      <w:r>
        <w:rPr>
          <w:spacing w:val="-1"/>
        </w:rPr>
        <w:t xml:space="preserve"> </w:t>
      </w:r>
      <w:r>
        <w:t>provides</w:t>
      </w:r>
      <w:r>
        <w:rPr>
          <w:spacing w:val="-2"/>
        </w:rPr>
        <w:t xml:space="preserve"> </w:t>
      </w:r>
      <w:r>
        <w:t>links</w:t>
      </w:r>
      <w:r>
        <w:rPr>
          <w:spacing w:val="-2"/>
        </w:rPr>
        <w:t xml:space="preserve"> </w:t>
      </w:r>
      <w:r>
        <w:t>to</w:t>
      </w:r>
      <w:r>
        <w:rPr>
          <w:spacing w:val="-1"/>
        </w:rPr>
        <w:t xml:space="preserve"> </w:t>
      </w:r>
      <w:r>
        <w:t>alcohol</w:t>
      </w:r>
      <w:r>
        <w:rPr>
          <w:spacing w:val="-2"/>
        </w:rPr>
        <w:t xml:space="preserve"> </w:t>
      </w:r>
      <w:r>
        <w:t>and</w:t>
      </w:r>
      <w:r>
        <w:rPr>
          <w:spacing w:val="-3"/>
        </w:rPr>
        <w:t xml:space="preserve"> </w:t>
      </w:r>
      <w:r>
        <w:t>drug</w:t>
      </w:r>
      <w:r>
        <w:rPr>
          <w:spacing w:val="-3"/>
        </w:rPr>
        <w:t xml:space="preserve"> </w:t>
      </w:r>
      <w:r>
        <w:t>assessment</w:t>
      </w:r>
      <w:r>
        <w:rPr>
          <w:spacing w:val="-4"/>
        </w:rPr>
        <w:t xml:space="preserve"> </w:t>
      </w:r>
      <w:r>
        <w:t>tools,</w:t>
      </w:r>
      <w:r>
        <w:rPr>
          <w:spacing w:val="-2"/>
        </w:rPr>
        <w:t xml:space="preserve"> </w:t>
      </w:r>
      <w:r>
        <w:t>MI coding tools and therapist manuals, and audio files and uncoded transcripts of counselor role plays that can be used for training.</w:t>
      </w:r>
    </w:p>
    <w:p w14:paraId="4D9944C8" w14:textId="77777777" w:rsidR="00DB6E1F" w:rsidRDefault="00F666A6">
      <w:pPr>
        <w:spacing w:before="159"/>
        <w:ind w:left="1439" w:right="1491"/>
      </w:pPr>
      <w:r>
        <w:rPr>
          <w:b/>
        </w:rPr>
        <w:t>Motivational</w:t>
      </w:r>
      <w:r>
        <w:rPr>
          <w:b/>
          <w:spacing w:val="-13"/>
        </w:rPr>
        <w:t xml:space="preserve"> </w:t>
      </w:r>
      <w:r>
        <w:rPr>
          <w:b/>
        </w:rPr>
        <w:t>Interviewing</w:t>
      </w:r>
      <w:r>
        <w:rPr>
          <w:b/>
          <w:spacing w:val="-11"/>
        </w:rPr>
        <w:t xml:space="preserve"> </w:t>
      </w:r>
      <w:r>
        <w:rPr>
          <w:b/>
        </w:rPr>
        <w:t>Resources</w:t>
      </w:r>
      <w:r>
        <w:rPr>
          <w:b/>
          <w:spacing w:val="-11"/>
        </w:rPr>
        <w:t xml:space="preserve"> </w:t>
      </w:r>
      <w:r>
        <w:t>(</w:t>
      </w:r>
      <w:hyperlink r:id="rId196">
        <w:r>
          <w:rPr>
            <w:color w:val="0563C1"/>
            <w:u w:val="single" w:color="0563C1"/>
          </w:rPr>
          <w:t>https://motivationalinterviewing.org/motivational-interviewing-</w:t>
        </w:r>
      </w:hyperlink>
      <w:r>
        <w:rPr>
          <w:color w:val="0563C1"/>
        </w:rPr>
        <w:t xml:space="preserve"> </w:t>
      </w:r>
      <w:hyperlink r:id="rId197">
        <w:r>
          <w:rPr>
            <w:color w:val="0563C1"/>
            <w:u w:val="single" w:color="0563C1"/>
          </w:rPr>
          <w:t>resources</w:t>
        </w:r>
      </w:hyperlink>
      <w:r>
        <w:t>).</w:t>
      </w:r>
      <w:r>
        <w:rPr>
          <w:spacing w:val="-4"/>
        </w:rPr>
        <w:t xml:space="preserve"> </w:t>
      </w:r>
      <w:r>
        <w:t>This</w:t>
      </w:r>
      <w:r>
        <w:rPr>
          <w:spacing w:val="-1"/>
        </w:rPr>
        <w:t xml:space="preserve"> </w:t>
      </w:r>
      <w:r>
        <w:t>MINT</w:t>
      </w:r>
      <w:r>
        <w:rPr>
          <w:spacing w:val="-3"/>
        </w:rPr>
        <w:t xml:space="preserve"> </w:t>
      </w:r>
      <w:r>
        <w:t>webpage provides</w:t>
      </w:r>
      <w:r>
        <w:rPr>
          <w:spacing w:val="-1"/>
        </w:rPr>
        <w:t xml:space="preserve"> </w:t>
      </w:r>
      <w:r>
        <w:t>links</w:t>
      </w:r>
      <w:r>
        <w:rPr>
          <w:spacing w:val="-3"/>
        </w:rPr>
        <w:t xml:space="preserve"> </w:t>
      </w:r>
      <w:r>
        <w:t>to downloadable coding</w:t>
      </w:r>
      <w:r>
        <w:rPr>
          <w:spacing w:val="-1"/>
        </w:rPr>
        <w:t xml:space="preserve"> </w:t>
      </w:r>
      <w:r>
        <w:t>manuals</w:t>
      </w:r>
      <w:r>
        <w:rPr>
          <w:spacing w:val="-3"/>
        </w:rPr>
        <w:t xml:space="preserve"> </w:t>
      </w:r>
      <w:r>
        <w:t>for</w:t>
      </w:r>
      <w:r>
        <w:rPr>
          <w:spacing w:val="-1"/>
        </w:rPr>
        <w:t xml:space="preserve"> </w:t>
      </w:r>
      <w:r>
        <w:t>assessing</w:t>
      </w:r>
      <w:r>
        <w:rPr>
          <w:spacing w:val="-1"/>
        </w:rPr>
        <w:t xml:space="preserve"> </w:t>
      </w:r>
      <w:r>
        <w:t>cou</w:t>
      </w:r>
      <w:r>
        <w:t xml:space="preserve">nselor fidelity to the MI spirit and practice skills including the </w:t>
      </w:r>
      <w:r>
        <w:rPr>
          <w:b/>
          <w:i/>
        </w:rPr>
        <w:t xml:space="preserve">Manual for the Motivational Interviewing Skill Code (MISC) </w:t>
      </w:r>
      <w:r>
        <w:t>(</w:t>
      </w:r>
      <w:hyperlink r:id="rId198">
        <w:r>
          <w:rPr>
            <w:color w:val="0563C1"/>
            <w:u w:val="single" w:color="0563C1"/>
          </w:rPr>
          <w:t>https://casaa.unm.edu/download/misc.pdf</w:t>
        </w:r>
      </w:hyperlink>
      <w:r>
        <w:t xml:space="preserve">), the </w:t>
      </w:r>
      <w:r>
        <w:rPr>
          <w:b/>
          <w:i/>
        </w:rPr>
        <w:t xml:space="preserve">MISC 2.5 </w:t>
      </w:r>
      <w:r>
        <w:t>(</w:t>
      </w:r>
      <w:hyperlink r:id="rId199">
        <w:r>
          <w:rPr>
            <w:color w:val="0563C1"/>
            <w:u w:val="single" w:color="0563C1"/>
          </w:rPr>
          <w:t>https://casaa.unm.edu/download/misc25.pdf</w:t>
        </w:r>
      </w:hyperlink>
      <w:r>
        <w:t xml:space="preserve">), the </w:t>
      </w:r>
      <w:r>
        <w:rPr>
          <w:b/>
          <w:i/>
        </w:rPr>
        <w:t xml:space="preserve">Motivational Interviewing Treatment Integrity Coding Manual 4.2.1 </w:t>
      </w:r>
      <w:r>
        <w:t>(</w:t>
      </w:r>
      <w:hyperlink r:id="rId200">
        <w:r>
          <w:rPr>
            <w:color w:val="0563C1"/>
            <w:u w:val="single" w:color="0563C1"/>
          </w:rPr>
          <w:t>https://motivationalinterviewing.org/sites/default/files/miti4_2.pdf</w:t>
        </w:r>
      </w:hyperlink>
      <w:r>
        <w:t xml:space="preserve">), and the </w:t>
      </w:r>
      <w:r>
        <w:rPr>
          <w:b/>
          <w:i/>
        </w:rPr>
        <w:t>Assessment of Motivational Interviewing Groups</w:t>
      </w:r>
      <w:r>
        <w:rPr>
          <w:rFonts w:ascii="Arial" w:hAnsi="Arial"/>
          <w:b/>
          <w:i/>
        </w:rPr>
        <w:t>—</w:t>
      </w:r>
      <w:r>
        <w:rPr>
          <w:b/>
          <w:i/>
        </w:rPr>
        <w:t>Observer Scale (AMIGOS</w:t>
      </w:r>
      <w:r>
        <w:rPr>
          <w:rFonts w:ascii="Arial" w:hAnsi="Arial"/>
          <w:b/>
          <w:i/>
        </w:rPr>
        <w:t>‒</w:t>
      </w:r>
      <w:r>
        <w:rPr>
          <w:b/>
          <w:i/>
        </w:rPr>
        <w:t xml:space="preserve">v 1.2) </w:t>
      </w:r>
      <w:r>
        <w:rPr>
          <w:spacing w:val="-2"/>
        </w:rPr>
        <w:t>(</w:t>
      </w:r>
      <w:hyperlink r:id="rId201">
        <w:r>
          <w:rPr>
            <w:color w:val="0563C1"/>
            <w:spacing w:val="-2"/>
            <w:u w:val="single" w:color="0563C1"/>
          </w:rPr>
          <w:t>https://motivationalinterviewing.org/sites/default/files/amigos_rating_form_v1.2.pdf</w:t>
        </w:r>
      </w:hyperlink>
      <w:r>
        <w:rPr>
          <w:spacing w:val="-2"/>
        </w:rPr>
        <w:t>)</w:t>
      </w:r>
    </w:p>
    <w:p w14:paraId="0BF082E7" w14:textId="77777777" w:rsidR="00DB6E1F" w:rsidRDefault="00DB6E1F">
      <w:pPr>
        <w:sectPr w:rsidR="00DB6E1F">
          <w:headerReference w:type="default" r:id="rId202"/>
          <w:footerReference w:type="default" r:id="rId203"/>
          <w:pgSz w:w="12240" w:h="15840"/>
          <w:pgMar w:top="1200" w:right="0" w:bottom="780" w:left="0" w:header="763" w:footer="585" w:gutter="0"/>
          <w:cols w:space="720"/>
        </w:sectPr>
      </w:pPr>
    </w:p>
    <w:p w14:paraId="24DA8E05" w14:textId="77777777" w:rsidR="00DB6E1F" w:rsidRDefault="00DB6E1F">
      <w:pPr>
        <w:pStyle w:val="BodyText"/>
        <w:spacing w:before="3"/>
        <w:rPr>
          <w:sz w:val="17"/>
        </w:rPr>
      </w:pPr>
    </w:p>
    <w:p w14:paraId="6F870ED6" w14:textId="77777777" w:rsidR="00DB6E1F" w:rsidRDefault="00F666A6">
      <w:pPr>
        <w:pStyle w:val="Heading2"/>
      </w:pPr>
      <w:bookmarkStart w:id="268" w:name="Substance_Abuse_and_Mental_Health_Servic"/>
      <w:bookmarkStart w:id="269" w:name="_bookmark69"/>
      <w:bookmarkEnd w:id="268"/>
      <w:bookmarkEnd w:id="269"/>
      <w:r>
        <w:t>Substance</w:t>
      </w:r>
      <w:r>
        <w:rPr>
          <w:spacing w:val="-7"/>
        </w:rPr>
        <w:t xml:space="preserve"> </w:t>
      </w:r>
      <w:r>
        <w:t>Abuse</w:t>
      </w:r>
      <w:r>
        <w:rPr>
          <w:spacing w:val="-2"/>
        </w:rPr>
        <w:t xml:space="preserve"> </w:t>
      </w:r>
      <w:r>
        <w:t>and</w:t>
      </w:r>
      <w:r>
        <w:rPr>
          <w:spacing w:val="-2"/>
        </w:rPr>
        <w:t xml:space="preserve"> </w:t>
      </w:r>
      <w:r>
        <w:t>Mental</w:t>
      </w:r>
      <w:r>
        <w:rPr>
          <w:spacing w:val="-2"/>
        </w:rPr>
        <w:t xml:space="preserve"> </w:t>
      </w:r>
      <w:r>
        <w:t>Health</w:t>
      </w:r>
      <w:r>
        <w:rPr>
          <w:spacing w:val="-2"/>
        </w:rPr>
        <w:t xml:space="preserve"> </w:t>
      </w:r>
      <w:r>
        <w:t>Services</w:t>
      </w:r>
      <w:r>
        <w:rPr>
          <w:spacing w:val="-4"/>
        </w:rPr>
        <w:t xml:space="preserve"> </w:t>
      </w:r>
      <w:r>
        <w:rPr>
          <w:spacing w:val="-2"/>
        </w:rPr>
        <w:t>Administration</w:t>
      </w:r>
    </w:p>
    <w:p w14:paraId="2B510A59" w14:textId="77777777" w:rsidR="00DB6E1F" w:rsidRDefault="00F666A6">
      <w:pPr>
        <w:spacing w:before="150"/>
        <w:ind w:left="1440" w:right="1491"/>
      </w:pPr>
      <w:r>
        <w:rPr>
          <w:b/>
        </w:rPr>
        <w:t>Screening,</w:t>
      </w:r>
      <w:r>
        <w:rPr>
          <w:b/>
          <w:spacing w:val="-4"/>
        </w:rPr>
        <w:t xml:space="preserve"> </w:t>
      </w:r>
      <w:r>
        <w:rPr>
          <w:b/>
        </w:rPr>
        <w:t>Brief</w:t>
      </w:r>
      <w:r>
        <w:rPr>
          <w:b/>
          <w:spacing w:val="-5"/>
        </w:rPr>
        <w:t xml:space="preserve"> </w:t>
      </w:r>
      <w:r>
        <w:rPr>
          <w:b/>
        </w:rPr>
        <w:t>Intervention,</w:t>
      </w:r>
      <w:r>
        <w:rPr>
          <w:b/>
          <w:spacing w:val="-2"/>
        </w:rPr>
        <w:t xml:space="preserve"> </w:t>
      </w:r>
      <w:r>
        <w:rPr>
          <w:b/>
        </w:rPr>
        <w:t>and</w:t>
      </w:r>
      <w:r>
        <w:rPr>
          <w:b/>
          <w:spacing w:val="-4"/>
        </w:rPr>
        <w:t xml:space="preserve"> </w:t>
      </w:r>
      <w:r>
        <w:rPr>
          <w:b/>
        </w:rPr>
        <w:t>Referral</w:t>
      </w:r>
      <w:r>
        <w:rPr>
          <w:b/>
          <w:spacing w:val="-2"/>
        </w:rPr>
        <w:t xml:space="preserve"> </w:t>
      </w:r>
      <w:r>
        <w:rPr>
          <w:b/>
        </w:rPr>
        <w:t>to</w:t>
      </w:r>
      <w:r>
        <w:rPr>
          <w:b/>
          <w:spacing w:val="-6"/>
        </w:rPr>
        <w:t xml:space="preserve"> </w:t>
      </w:r>
      <w:r>
        <w:rPr>
          <w:b/>
        </w:rPr>
        <w:t>Treatment</w:t>
      </w:r>
      <w:r>
        <w:rPr>
          <w:b/>
          <w:spacing w:val="-3"/>
        </w:rPr>
        <w:t xml:space="preserve"> </w:t>
      </w:r>
      <w:r>
        <w:rPr>
          <w:b/>
        </w:rPr>
        <w:t>(SBIRT)</w:t>
      </w:r>
      <w:r>
        <w:rPr>
          <w:b/>
          <w:spacing w:val="-5"/>
        </w:rPr>
        <w:t xml:space="preserve"> </w:t>
      </w:r>
      <w:r>
        <w:t>(</w:t>
      </w:r>
      <w:hyperlink r:id="rId204">
        <w:r>
          <w:rPr>
            <w:color w:val="0563C1"/>
            <w:u w:val="single" w:color="0563C1"/>
          </w:rPr>
          <w:t>www.samhsa.gov/sbirt</w:t>
        </w:r>
      </w:hyperlink>
      <w:r>
        <w:t>).</w:t>
      </w:r>
      <w:r>
        <w:rPr>
          <w:spacing w:val="-6"/>
        </w:rPr>
        <w:t xml:space="preserve"> </w:t>
      </w:r>
      <w:r>
        <w:t>This</w:t>
      </w:r>
      <w:r>
        <w:rPr>
          <w:spacing w:val="-3"/>
        </w:rPr>
        <w:t xml:space="preserve"> </w:t>
      </w:r>
      <w:r>
        <w:t>website has information on dissemination and implementation of SBIRT and additional resources.</w:t>
      </w:r>
    </w:p>
    <w:p w14:paraId="5F06D3AB" w14:textId="77777777" w:rsidR="00DB6E1F" w:rsidRDefault="00F666A6">
      <w:pPr>
        <w:pStyle w:val="BodyText"/>
        <w:spacing w:before="161"/>
        <w:ind w:left="1439" w:right="1444"/>
      </w:pPr>
      <w:r>
        <w:rPr>
          <w:b/>
        </w:rPr>
        <w:t xml:space="preserve">Substance Abuse and Mental Health Services Administration-Health Resources and Services </w:t>
      </w:r>
      <w:r>
        <w:rPr>
          <w:b/>
        </w:rPr>
        <w:t xml:space="preserve">Administration Center for Integrated Health Solutions </w:t>
      </w:r>
      <w:r>
        <w:t>(</w:t>
      </w:r>
      <w:hyperlink r:id="rId205">
        <w:r>
          <w:rPr>
            <w:color w:val="0563C1"/>
            <w:u w:val="single" w:color="0563C1"/>
          </w:rPr>
          <w:t>www.integration.samhsa.gov</w:t>
        </w:r>
      </w:hyperlink>
      <w:r>
        <w:t>). The Center for Integrated</w:t>
      </w:r>
      <w:r>
        <w:rPr>
          <w:spacing w:val="-3"/>
        </w:rPr>
        <w:t xml:space="preserve"> </w:t>
      </w:r>
      <w:r>
        <w:t>Health</w:t>
      </w:r>
      <w:r>
        <w:rPr>
          <w:spacing w:val="-3"/>
        </w:rPr>
        <w:t xml:space="preserve"> </w:t>
      </w:r>
      <w:r>
        <w:t>Solutions</w:t>
      </w:r>
      <w:r>
        <w:rPr>
          <w:spacing w:val="-4"/>
        </w:rPr>
        <w:t xml:space="preserve"> </w:t>
      </w:r>
      <w:r>
        <w:t>promotes</w:t>
      </w:r>
      <w:r>
        <w:rPr>
          <w:spacing w:val="-2"/>
        </w:rPr>
        <w:t xml:space="preserve"> </w:t>
      </w:r>
      <w:r>
        <w:t>development</w:t>
      </w:r>
      <w:r>
        <w:rPr>
          <w:spacing w:val="-4"/>
        </w:rPr>
        <w:t xml:space="preserve"> </w:t>
      </w:r>
      <w:r>
        <w:t>of</w:t>
      </w:r>
      <w:r>
        <w:rPr>
          <w:spacing w:val="-7"/>
        </w:rPr>
        <w:t xml:space="preserve"> </w:t>
      </w:r>
      <w:r>
        <w:t>integrated</w:t>
      </w:r>
      <w:r>
        <w:rPr>
          <w:spacing w:val="-3"/>
        </w:rPr>
        <w:t xml:space="preserve"> </w:t>
      </w:r>
      <w:r>
        <w:t>primary</w:t>
      </w:r>
      <w:r>
        <w:rPr>
          <w:spacing w:val="-3"/>
        </w:rPr>
        <w:t xml:space="preserve"> </w:t>
      </w:r>
      <w:r>
        <w:t>and</w:t>
      </w:r>
      <w:r>
        <w:rPr>
          <w:spacing w:val="-3"/>
        </w:rPr>
        <w:t xml:space="preserve"> </w:t>
      </w:r>
      <w:r>
        <w:t>behavioral</w:t>
      </w:r>
      <w:r>
        <w:rPr>
          <w:spacing w:val="-2"/>
        </w:rPr>
        <w:t xml:space="preserve"> </w:t>
      </w:r>
      <w:r>
        <w:t>health</w:t>
      </w:r>
      <w:r>
        <w:rPr>
          <w:spacing w:val="-3"/>
        </w:rPr>
        <w:t xml:space="preserve"> </w:t>
      </w:r>
      <w:r>
        <w:t>services t</w:t>
      </w:r>
      <w:r>
        <w:t>o better address the needs of people with mental disorders and SUDs, whether they are seen in specialty</w:t>
      </w:r>
      <w:r>
        <w:rPr>
          <w:spacing w:val="-1"/>
        </w:rPr>
        <w:t xml:space="preserve"> </w:t>
      </w:r>
      <w:r>
        <w:t>behavioral health</w:t>
      </w:r>
      <w:r>
        <w:rPr>
          <w:spacing w:val="-3"/>
        </w:rPr>
        <w:t xml:space="preserve"> </w:t>
      </w:r>
      <w:r>
        <w:t>or primary</w:t>
      </w:r>
      <w:r>
        <w:rPr>
          <w:spacing w:val="-1"/>
        </w:rPr>
        <w:t xml:space="preserve"> </w:t>
      </w:r>
      <w:r>
        <w:t>care</w:t>
      </w:r>
      <w:r>
        <w:rPr>
          <w:spacing w:val="-2"/>
        </w:rPr>
        <w:t xml:space="preserve"> </w:t>
      </w:r>
      <w:r>
        <w:t>settings.</w:t>
      </w:r>
      <w:r>
        <w:rPr>
          <w:spacing w:val="-1"/>
        </w:rPr>
        <w:t xml:space="preserve"> </w:t>
      </w:r>
      <w:r>
        <w:t>This website provides information</w:t>
      </w:r>
      <w:r>
        <w:rPr>
          <w:spacing w:val="-1"/>
        </w:rPr>
        <w:t xml:space="preserve"> </w:t>
      </w:r>
      <w:r>
        <w:t>and</w:t>
      </w:r>
      <w:r>
        <w:rPr>
          <w:spacing w:val="-1"/>
        </w:rPr>
        <w:t xml:space="preserve"> </w:t>
      </w:r>
      <w:r>
        <w:t>resources</w:t>
      </w:r>
      <w:r>
        <w:rPr>
          <w:spacing w:val="-2"/>
        </w:rPr>
        <w:t xml:space="preserve"> </w:t>
      </w:r>
      <w:r>
        <w:t>on screening tools (</w:t>
      </w:r>
      <w:hyperlink r:id="rId206">
        <w:r>
          <w:rPr>
            <w:color w:val="0563C1"/>
            <w:u w:val="single" w:color="0563C1"/>
          </w:rPr>
          <w:t>www.integration.samhsa.gov/clinical-practice/screening-tools</w:t>
        </w:r>
      </w:hyperlink>
      <w:r>
        <w:t>), motivational interviewing (</w:t>
      </w:r>
      <w:hyperlink r:id="rId207">
        <w:r>
          <w:rPr>
            <w:color w:val="0563C1"/>
            <w:u w:val="single" w:color="0563C1"/>
          </w:rPr>
          <w:t>www.integration.samhsa.gov/clinical-practice/motivational-interviewing</w:t>
        </w:r>
      </w:hyperlink>
      <w:r>
        <w:t>), and tobacco cessation (</w:t>
      </w:r>
      <w:hyperlink r:id="rId208">
        <w:r>
          <w:rPr>
            <w:color w:val="0563C1"/>
            <w:u w:val="single" w:color="0563C1"/>
          </w:rPr>
          <w:t>www.integration.samhsa.gov/health-w</w:t>
        </w:r>
        <w:r>
          <w:rPr>
            <w:color w:val="0563C1"/>
            <w:u w:val="single" w:color="0563C1"/>
          </w:rPr>
          <w:t>ellness/wellness-strategies/tobacco-cessation-2</w:t>
        </w:r>
      </w:hyperlink>
      <w:r>
        <w:t>).</w:t>
      </w:r>
    </w:p>
    <w:p w14:paraId="23F33112" w14:textId="77777777" w:rsidR="00DB6E1F" w:rsidRDefault="00F666A6">
      <w:pPr>
        <w:pStyle w:val="BodyText"/>
        <w:spacing w:before="160"/>
        <w:ind w:left="1439" w:right="1826"/>
      </w:pPr>
      <w:r>
        <w:rPr>
          <w:b/>
        </w:rPr>
        <w:t xml:space="preserve">Treatment Improvement Protocol (TIP) 63: </w:t>
      </w:r>
      <w:r>
        <w:rPr>
          <w:b/>
          <w:i/>
        </w:rPr>
        <w:t xml:space="preserve">Medications for Opioid Use Disorder </w:t>
      </w:r>
      <w:r>
        <w:rPr>
          <w:spacing w:val="-2"/>
        </w:rPr>
        <w:t>(</w:t>
      </w:r>
      <w:hyperlink r:id="rId209">
        <w:r>
          <w:rPr>
            <w:color w:val="0563C1"/>
            <w:spacing w:val="-2"/>
            <w:u w:val="single" w:color="0563C1"/>
          </w:rPr>
          <w:t>https://store.samhsa.gov/product/TIP-63-Medications-for-Opioid-Use-Disorder-Full-Document-</w:t>
        </w:r>
      </w:hyperlink>
      <w:r>
        <w:rPr>
          <w:color w:val="0563C1"/>
          <w:spacing w:val="-2"/>
        </w:rPr>
        <w:t xml:space="preserve"> </w:t>
      </w:r>
      <w:hyperlink r:id="rId210">
        <w:r>
          <w:rPr>
            <w:color w:val="0563C1"/>
            <w:u w:val="single" w:color="0563C1"/>
          </w:rPr>
          <w:t>Including-Executive-Summary-and-Parts-1-5-/SMA18-5063FULLDOC</w:t>
        </w:r>
      </w:hyperlink>
      <w:r>
        <w:t>).</w:t>
      </w:r>
      <w:r>
        <w:rPr>
          <w:spacing w:val="-5"/>
        </w:rPr>
        <w:t xml:space="preserve"> </w:t>
      </w:r>
      <w:r>
        <w:t>This</w:t>
      </w:r>
      <w:r>
        <w:rPr>
          <w:spacing w:val="-2"/>
        </w:rPr>
        <w:t xml:space="preserve"> </w:t>
      </w:r>
      <w:r>
        <w:t>TIP</w:t>
      </w:r>
      <w:r>
        <w:rPr>
          <w:spacing w:val="-1"/>
        </w:rPr>
        <w:t xml:space="preserve"> </w:t>
      </w:r>
      <w:r>
        <w:t>reviews</w:t>
      </w:r>
      <w:r>
        <w:rPr>
          <w:spacing w:val="-2"/>
        </w:rPr>
        <w:t xml:space="preserve"> </w:t>
      </w:r>
      <w:r>
        <w:t>the</w:t>
      </w:r>
      <w:r>
        <w:rPr>
          <w:spacing w:val="-4"/>
        </w:rPr>
        <w:t xml:space="preserve"> </w:t>
      </w:r>
      <w:r>
        <w:t>use</w:t>
      </w:r>
      <w:r>
        <w:rPr>
          <w:spacing w:val="-4"/>
        </w:rPr>
        <w:t xml:space="preserve"> </w:t>
      </w:r>
      <w:r>
        <w:t>of</w:t>
      </w:r>
      <w:r>
        <w:rPr>
          <w:spacing w:val="-5"/>
        </w:rPr>
        <w:t xml:space="preserve"> </w:t>
      </w:r>
      <w:r>
        <w:t>the three Food and Drug Administration-approved medications used to treat opioid use disorder— methadone,</w:t>
      </w:r>
      <w:r>
        <w:rPr>
          <w:spacing w:val="-3"/>
        </w:rPr>
        <w:t xml:space="preserve"> </w:t>
      </w:r>
      <w:r>
        <w:t>naltrexone,</w:t>
      </w:r>
      <w:r>
        <w:rPr>
          <w:spacing w:val="-5"/>
        </w:rPr>
        <w:t xml:space="preserve"> </w:t>
      </w:r>
      <w:r>
        <w:t>and</w:t>
      </w:r>
      <w:r>
        <w:rPr>
          <w:spacing w:val="-4"/>
        </w:rPr>
        <w:t xml:space="preserve"> </w:t>
      </w:r>
      <w:r>
        <w:t>buprenorphine—and</w:t>
      </w:r>
      <w:r>
        <w:rPr>
          <w:spacing w:val="-4"/>
        </w:rPr>
        <w:t xml:space="preserve"> </w:t>
      </w:r>
      <w:r>
        <w:t>other</w:t>
      </w:r>
      <w:r>
        <w:rPr>
          <w:spacing w:val="-3"/>
        </w:rPr>
        <w:t xml:space="preserve"> </w:t>
      </w:r>
      <w:r>
        <w:t>strategies</w:t>
      </w:r>
      <w:r>
        <w:rPr>
          <w:spacing w:val="-5"/>
        </w:rPr>
        <w:t xml:space="preserve"> </w:t>
      </w:r>
      <w:r>
        <w:t>and</w:t>
      </w:r>
      <w:r>
        <w:rPr>
          <w:spacing w:val="-4"/>
        </w:rPr>
        <w:t xml:space="preserve"> </w:t>
      </w:r>
      <w:r>
        <w:t>services</w:t>
      </w:r>
      <w:r>
        <w:rPr>
          <w:spacing w:val="-5"/>
        </w:rPr>
        <w:t xml:space="preserve"> </w:t>
      </w:r>
      <w:r>
        <w:t>to</w:t>
      </w:r>
      <w:r>
        <w:rPr>
          <w:spacing w:val="-2"/>
        </w:rPr>
        <w:t xml:space="preserve"> </w:t>
      </w:r>
      <w:r>
        <w:t>support</w:t>
      </w:r>
      <w:r>
        <w:rPr>
          <w:spacing w:val="-2"/>
        </w:rPr>
        <w:t xml:space="preserve"> </w:t>
      </w:r>
      <w:r>
        <w:t>recovery.</w:t>
      </w:r>
    </w:p>
    <w:p w14:paraId="43AE533C" w14:textId="77777777" w:rsidR="00DB6E1F" w:rsidRDefault="00F666A6">
      <w:pPr>
        <w:pStyle w:val="BodyText"/>
        <w:spacing w:before="160"/>
        <w:ind w:left="1440" w:right="1480"/>
      </w:pPr>
      <w:r>
        <w:rPr>
          <w:b/>
        </w:rPr>
        <w:t xml:space="preserve">TIP 60: </w:t>
      </w:r>
      <w:r>
        <w:rPr>
          <w:b/>
          <w:i/>
        </w:rPr>
        <w:t xml:space="preserve">Using Technology-Based Therapeutic Tools in Behavioral Health Services </w:t>
      </w:r>
      <w:r>
        <w:rPr>
          <w:spacing w:val="-2"/>
        </w:rPr>
        <w:t>(</w:t>
      </w:r>
      <w:hyperlink r:id="rId211">
        <w:r>
          <w:rPr>
            <w:color w:val="0563C1"/>
            <w:spacing w:val="-2"/>
            <w:u w:val="single" w:color="0563C1"/>
          </w:rPr>
          <w:t>https://store.samhsa.gov/product/TIP-60-Using-Technology-Based-Therapeutic-Tools-in-Behavioral-</w:t>
        </w:r>
      </w:hyperlink>
      <w:r>
        <w:rPr>
          <w:color w:val="0563C1"/>
          <w:spacing w:val="-2"/>
        </w:rPr>
        <w:t xml:space="preserve"> </w:t>
      </w:r>
      <w:hyperlink r:id="rId212">
        <w:r>
          <w:rPr>
            <w:color w:val="0563C1"/>
            <w:u w:val="single" w:color="0563C1"/>
          </w:rPr>
          <w:t>Health-Services/SMA15-4924</w:t>
        </w:r>
      </w:hyperlink>
      <w:r>
        <w:t>).</w:t>
      </w:r>
      <w:r>
        <w:rPr>
          <w:spacing w:val="-5"/>
        </w:rPr>
        <w:t xml:space="preserve"> </w:t>
      </w:r>
      <w:r>
        <w:t>This</w:t>
      </w:r>
      <w:r>
        <w:rPr>
          <w:spacing w:val="-2"/>
        </w:rPr>
        <w:t xml:space="preserve"> </w:t>
      </w:r>
      <w:r>
        <w:t>TIP</w:t>
      </w:r>
      <w:r>
        <w:rPr>
          <w:spacing w:val="-1"/>
        </w:rPr>
        <w:t xml:space="preserve"> </w:t>
      </w:r>
      <w:r>
        <w:t>provides</w:t>
      </w:r>
      <w:r>
        <w:rPr>
          <w:spacing w:val="-2"/>
        </w:rPr>
        <w:t xml:space="preserve"> </w:t>
      </w:r>
      <w:r>
        <w:t>information</w:t>
      </w:r>
      <w:r>
        <w:rPr>
          <w:spacing w:val="-5"/>
        </w:rPr>
        <w:t xml:space="preserve"> </w:t>
      </w:r>
      <w:r>
        <w:t>on</w:t>
      </w:r>
      <w:r>
        <w:rPr>
          <w:spacing w:val="-3"/>
        </w:rPr>
        <w:t xml:space="preserve"> </w:t>
      </w:r>
      <w:r>
        <w:t>implementing</w:t>
      </w:r>
      <w:r>
        <w:rPr>
          <w:spacing w:val="-2"/>
        </w:rPr>
        <w:t xml:space="preserve"> </w:t>
      </w:r>
      <w:r>
        <w:t>technology-assisted</w:t>
      </w:r>
      <w:r>
        <w:rPr>
          <w:spacing w:val="-3"/>
        </w:rPr>
        <w:t xml:space="preserve"> </w:t>
      </w:r>
      <w:r>
        <w:t>care. It</w:t>
      </w:r>
      <w:r>
        <w:rPr>
          <w:spacing w:val="-1"/>
        </w:rPr>
        <w:t xml:space="preserve"> </w:t>
      </w:r>
      <w:r>
        <w:t>discusses</w:t>
      </w:r>
      <w:r>
        <w:rPr>
          <w:spacing w:val="-4"/>
        </w:rPr>
        <w:t xml:space="preserve"> </w:t>
      </w:r>
      <w:r>
        <w:t>the</w:t>
      </w:r>
      <w:r>
        <w:rPr>
          <w:spacing w:val="-1"/>
        </w:rPr>
        <w:t xml:space="preserve"> </w:t>
      </w:r>
      <w:r>
        <w:t>importance</w:t>
      </w:r>
      <w:r>
        <w:rPr>
          <w:spacing w:val="-4"/>
        </w:rPr>
        <w:t xml:space="preserve"> </w:t>
      </w:r>
      <w:r>
        <w:t>of</w:t>
      </w:r>
      <w:r>
        <w:rPr>
          <w:spacing w:val="-5"/>
        </w:rPr>
        <w:t xml:space="preserve"> </w:t>
      </w:r>
      <w:r>
        <w:t>tech</w:t>
      </w:r>
      <w:r>
        <w:t>nology</w:t>
      </w:r>
      <w:r>
        <w:rPr>
          <w:spacing w:val="-3"/>
        </w:rPr>
        <w:t xml:space="preserve"> </w:t>
      </w:r>
      <w:r>
        <w:t>in</w:t>
      </w:r>
      <w:r>
        <w:rPr>
          <w:spacing w:val="-3"/>
        </w:rPr>
        <w:t xml:space="preserve"> </w:t>
      </w:r>
      <w:r>
        <w:t>reducing</w:t>
      </w:r>
      <w:r>
        <w:rPr>
          <w:spacing w:val="-5"/>
        </w:rPr>
        <w:t xml:space="preserve"> </w:t>
      </w:r>
      <w:r>
        <w:t>access</w:t>
      </w:r>
      <w:r>
        <w:rPr>
          <w:spacing w:val="-4"/>
        </w:rPr>
        <w:t xml:space="preserve"> </w:t>
      </w:r>
      <w:r>
        <w:t>to</w:t>
      </w:r>
      <w:r>
        <w:rPr>
          <w:spacing w:val="-3"/>
        </w:rPr>
        <w:t xml:space="preserve"> </w:t>
      </w:r>
      <w:r>
        <w:t>treatment</w:t>
      </w:r>
      <w:r>
        <w:rPr>
          <w:spacing w:val="-2"/>
        </w:rPr>
        <w:t xml:space="preserve"> </w:t>
      </w:r>
      <w:r>
        <w:t>and</w:t>
      </w:r>
      <w:r>
        <w:rPr>
          <w:spacing w:val="-2"/>
        </w:rPr>
        <w:t xml:space="preserve"> </w:t>
      </w:r>
      <w:r>
        <w:t>highlights</w:t>
      </w:r>
      <w:r>
        <w:rPr>
          <w:spacing w:val="-2"/>
        </w:rPr>
        <w:t xml:space="preserve"> </w:t>
      </w:r>
      <w:r>
        <w:t>the</w:t>
      </w:r>
      <w:r>
        <w:rPr>
          <w:spacing w:val="-2"/>
        </w:rPr>
        <w:t xml:space="preserve"> </w:t>
      </w:r>
      <w:r>
        <w:t>importance of using technology-based assessments and interventions in behavioral health services.</w:t>
      </w:r>
    </w:p>
    <w:p w14:paraId="11BBFA85" w14:textId="77777777" w:rsidR="00DB6E1F" w:rsidRDefault="00F666A6">
      <w:pPr>
        <w:pStyle w:val="BodyText"/>
        <w:spacing w:before="160"/>
        <w:ind w:left="1440" w:right="1436"/>
      </w:pPr>
      <w:r>
        <w:rPr>
          <w:b/>
        </w:rPr>
        <w:t xml:space="preserve">TIP 59: </w:t>
      </w:r>
      <w:r>
        <w:rPr>
          <w:b/>
          <w:i/>
        </w:rPr>
        <w:t xml:space="preserve">Improving Cultural Competence </w:t>
      </w:r>
      <w:r>
        <w:t>(</w:t>
      </w:r>
      <w:hyperlink r:id="rId213">
        <w:r>
          <w:rPr>
            <w:color w:val="0563C1"/>
            <w:u w:val="single" w:color="0563C1"/>
          </w:rPr>
          <w:t>https://store.samhsa.gov/product/TIP-59-Improving-Cultural-</w:t>
        </w:r>
      </w:hyperlink>
      <w:r>
        <w:rPr>
          <w:color w:val="0563C1"/>
        </w:rPr>
        <w:t xml:space="preserve"> </w:t>
      </w:r>
      <w:hyperlink r:id="rId214">
        <w:r>
          <w:rPr>
            <w:color w:val="0563C1"/>
            <w:u w:val="single" w:color="0563C1"/>
          </w:rPr>
          <w:t>Competence/SMA15-4849</w:t>
        </w:r>
      </w:hyperlink>
      <w:r>
        <w:t>).</w:t>
      </w:r>
      <w:r>
        <w:rPr>
          <w:spacing w:val="-3"/>
        </w:rPr>
        <w:t xml:space="preserve"> </w:t>
      </w:r>
      <w:r>
        <w:t>This</w:t>
      </w:r>
      <w:r>
        <w:rPr>
          <w:spacing w:val="-3"/>
        </w:rPr>
        <w:t xml:space="preserve"> </w:t>
      </w:r>
      <w:r>
        <w:t>TIP</w:t>
      </w:r>
      <w:r>
        <w:rPr>
          <w:spacing w:val="-2"/>
        </w:rPr>
        <w:t xml:space="preserve"> </w:t>
      </w:r>
      <w:r>
        <w:t>helps</w:t>
      </w:r>
      <w:r>
        <w:rPr>
          <w:spacing w:val="-3"/>
        </w:rPr>
        <w:t xml:space="preserve"> </w:t>
      </w:r>
      <w:r>
        <w:t>providers</w:t>
      </w:r>
      <w:r>
        <w:rPr>
          <w:spacing w:val="-3"/>
        </w:rPr>
        <w:t xml:space="preserve"> </w:t>
      </w:r>
      <w:r>
        <w:t>and</w:t>
      </w:r>
      <w:r>
        <w:rPr>
          <w:spacing w:val="-4"/>
        </w:rPr>
        <w:t xml:space="preserve"> </w:t>
      </w:r>
      <w:r>
        <w:t>administrators</w:t>
      </w:r>
      <w:r>
        <w:rPr>
          <w:spacing w:val="-3"/>
        </w:rPr>
        <w:t xml:space="preserve"> </w:t>
      </w:r>
      <w:r>
        <w:t>understand</w:t>
      </w:r>
      <w:r>
        <w:rPr>
          <w:spacing w:val="-4"/>
        </w:rPr>
        <w:t xml:space="preserve"> </w:t>
      </w:r>
      <w:r>
        <w:t>the</w:t>
      </w:r>
      <w:r>
        <w:rPr>
          <w:spacing w:val="-3"/>
        </w:rPr>
        <w:t xml:space="preserve"> </w:t>
      </w:r>
      <w:r>
        <w:t>role</w:t>
      </w:r>
      <w:r>
        <w:rPr>
          <w:spacing w:val="-5"/>
        </w:rPr>
        <w:t xml:space="preserve"> </w:t>
      </w:r>
      <w:r>
        <w:t>of</w:t>
      </w:r>
      <w:r>
        <w:rPr>
          <w:spacing w:val="-3"/>
        </w:rPr>
        <w:t xml:space="preserve"> </w:t>
      </w:r>
      <w:r>
        <w:t>culture</w:t>
      </w:r>
      <w:r>
        <w:rPr>
          <w:spacing w:val="-2"/>
        </w:rPr>
        <w:t xml:space="preserve"> </w:t>
      </w:r>
      <w:r>
        <w:t>in the delivery</w:t>
      </w:r>
      <w:r>
        <w:rPr>
          <w:spacing w:val="-2"/>
        </w:rPr>
        <w:t xml:space="preserve"> </w:t>
      </w:r>
      <w:r>
        <w:t>of</w:t>
      </w:r>
      <w:r>
        <w:rPr>
          <w:spacing w:val="-4"/>
        </w:rPr>
        <w:t xml:space="preserve"> </w:t>
      </w:r>
      <w:r>
        <w:t>mental</w:t>
      </w:r>
      <w:r>
        <w:rPr>
          <w:spacing w:val="-1"/>
        </w:rPr>
        <w:t xml:space="preserve"> </w:t>
      </w:r>
      <w:r>
        <w:t>health</w:t>
      </w:r>
      <w:r>
        <w:rPr>
          <w:spacing w:val="-2"/>
        </w:rPr>
        <w:t xml:space="preserve"> </w:t>
      </w:r>
      <w:r>
        <w:t>and</w:t>
      </w:r>
      <w:r>
        <w:rPr>
          <w:spacing w:val="-2"/>
        </w:rPr>
        <w:t xml:space="preserve"> </w:t>
      </w:r>
      <w:r>
        <w:t>substance</w:t>
      </w:r>
      <w:r>
        <w:rPr>
          <w:spacing w:val="-3"/>
        </w:rPr>
        <w:t xml:space="preserve"> </w:t>
      </w:r>
      <w:r>
        <w:t>use services.</w:t>
      </w:r>
      <w:r>
        <w:rPr>
          <w:spacing w:val="-1"/>
        </w:rPr>
        <w:t xml:space="preserve"> </w:t>
      </w:r>
      <w:r>
        <w:t>It describes</w:t>
      </w:r>
      <w:r>
        <w:rPr>
          <w:spacing w:val="-3"/>
        </w:rPr>
        <w:t xml:space="preserve"> </w:t>
      </w:r>
      <w:r>
        <w:t>cultural</w:t>
      </w:r>
      <w:r>
        <w:rPr>
          <w:spacing w:val="-1"/>
        </w:rPr>
        <w:t xml:space="preserve"> </w:t>
      </w:r>
      <w:r>
        <w:t>competence and</w:t>
      </w:r>
      <w:r>
        <w:rPr>
          <w:spacing w:val="-2"/>
        </w:rPr>
        <w:t xml:space="preserve"> </w:t>
      </w:r>
      <w:r>
        <w:t>discusses racial, ethnic, and cultural considerations.</w:t>
      </w:r>
    </w:p>
    <w:p w14:paraId="73866BFF" w14:textId="77777777" w:rsidR="00DB6E1F" w:rsidRDefault="00F666A6">
      <w:pPr>
        <w:pStyle w:val="BodyText"/>
        <w:spacing w:before="159"/>
        <w:ind w:left="1440" w:right="1440"/>
      </w:pPr>
      <w:r>
        <w:rPr>
          <w:b/>
        </w:rPr>
        <w:t>TIP</w:t>
      </w:r>
      <w:r>
        <w:rPr>
          <w:b/>
          <w:spacing w:val="-3"/>
        </w:rPr>
        <w:t xml:space="preserve"> </w:t>
      </w:r>
      <w:r>
        <w:rPr>
          <w:b/>
        </w:rPr>
        <w:t>57:</w:t>
      </w:r>
      <w:r>
        <w:rPr>
          <w:b/>
          <w:spacing w:val="-2"/>
        </w:rPr>
        <w:t xml:space="preserve"> </w:t>
      </w:r>
      <w:r>
        <w:rPr>
          <w:b/>
          <w:i/>
        </w:rPr>
        <w:t>Trauma-Informed Care</w:t>
      </w:r>
      <w:r>
        <w:rPr>
          <w:b/>
          <w:i/>
          <w:spacing w:val="-1"/>
        </w:rPr>
        <w:t xml:space="preserve"> </w:t>
      </w:r>
      <w:r>
        <w:rPr>
          <w:b/>
          <w:i/>
        </w:rPr>
        <w:t>in</w:t>
      </w:r>
      <w:r>
        <w:rPr>
          <w:b/>
          <w:i/>
          <w:spacing w:val="-2"/>
        </w:rPr>
        <w:t xml:space="preserve"> </w:t>
      </w:r>
      <w:r>
        <w:rPr>
          <w:b/>
          <w:i/>
        </w:rPr>
        <w:t>Behavioral Health</w:t>
      </w:r>
      <w:r>
        <w:rPr>
          <w:b/>
          <w:i/>
          <w:spacing w:val="-2"/>
        </w:rPr>
        <w:t xml:space="preserve"> </w:t>
      </w:r>
      <w:r>
        <w:rPr>
          <w:b/>
          <w:i/>
        </w:rPr>
        <w:t>Service</w:t>
      </w:r>
      <w:r>
        <w:rPr>
          <w:b/>
          <w:i/>
        </w:rPr>
        <w:t>s</w:t>
      </w:r>
      <w:r>
        <w:rPr>
          <w:b/>
          <w:i/>
          <w:spacing w:val="-2"/>
        </w:rPr>
        <w:t xml:space="preserve"> </w:t>
      </w:r>
      <w:r>
        <w:t>(</w:t>
      </w:r>
      <w:hyperlink r:id="rId215">
        <w:r>
          <w:rPr>
            <w:color w:val="0563C1"/>
            <w:u w:val="single" w:color="0563C1"/>
          </w:rPr>
          <w:t>https://store.samhsa.gov/product/TIP-57-</w:t>
        </w:r>
      </w:hyperlink>
      <w:r>
        <w:rPr>
          <w:color w:val="0563C1"/>
        </w:rPr>
        <w:t xml:space="preserve"> </w:t>
      </w:r>
      <w:hyperlink r:id="rId216">
        <w:r>
          <w:rPr>
            <w:color w:val="0563C1"/>
            <w:u w:val="single" w:color="0563C1"/>
          </w:rPr>
          <w:t>Trauma-Informed-Care-in-Behavioral-Health-Services/SMA14-4816</w:t>
        </w:r>
      </w:hyperlink>
      <w:r>
        <w:t>). This TIP helps behavioral health professionals</w:t>
      </w:r>
      <w:r>
        <w:rPr>
          <w:spacing w:val="-3"/>
        </w:rPr>
        <w:t xml:space="preserve"> </w:t>
      </w:r>
      <w:r>
        <w:t>understand</w:t>
      </w:r>
      <w:r>
        <w:rPr>
          <w:spacing w:val="-4"/>
        </w:rPr>
        <w:t xml:space="preserve"> </w:t>
      </w:r>
      <w:r>
        <w:t>the</w:t>
      </w:r>
      <w:r>
        <w:rPr>
          <w:spacing w:val="-3"/>
        </w:rPr>
        <w:t xml:space="preserve"> </w:t>
      </w:r>
      <w:r>
        <w:t>impact</w:t>
      </w:r>
      <w:r>
        <w:rPr>
          <w:spacing w:val="-5"/>
        </w:rPr>
        <w:t xml:space="preserve"> </w:t>
      </w:r>
      <w:r>
        <w:t>of</w:t>
      </w:r>
      <w:r>
        <w:rPr>
          <w:spacing w:val="-3"/>
        </w:rPr>
        <w:t xml:space="preserve"> </w:t>
      </w:r>
      <w:r>
        <w:t>trauma</w:t>
      </w:r>
      <w:r>
        <w:rPr>
          <w:spacing w:val="-4"/>
        </w:rPr>
        <w:t xml:space="preserve"> </w:t>
      </w:r>
      <w:r>
        <w:t>on</w:t>
      </w:r>
      <w:r>
        <w:rPr>
          <w:spacing w:val="-4"/>
        </w:rPr>
        <w:t xml:space="preserve"> </w:t>
      </w:r>
      <w:r>
        <w:t>clients.</w:t>
      </w:r>
      <w:r>
        <w:rPr>
          <w:spacing w:val="-3"/>
        </w:rPr>
        <w:t xml:space="preserve"> </w:t>
      </w:r>
      <w:r>
        <w:t>It</w:t>
      </w:r>
      <w:r>
        <w:rPr>
          <w:spacing w:val="-2"/>
        </w:rPr>
        <w:t xml:space="preserve"> </w:t>
      </w:r>
      <w:r>
        <w:t>discusses</w:t>
      </w:r>
      <w:r>
        <w:rPr>
          <w:spacing w:val="-3"/>
        </w:rPr>
        <w:t xml:space="preserve"> </w:t>
      </w:r>
      <w:r>
        <w:t>patient</w:t>
      </w:r>
      <w:r>
        <w:rPr>
          <w:spacing w:val="-3"/>
        </w:rPr>
        <w:t xml:space="preserve"> </w:t>
      </w:r>
      <w:r>
        <w:t>assessment</w:t>
      </w:r>
      <w:r>
        <w:rPr>
          <w:spacing w:val="-2"/>
        </w:rPr>
        <w:t xml:space="preserve"> </w:t>
      </w:r>
      <w:r>
        <w:t>and</w:t>
      </w:r>
      <w:r>
        <w:rPr>
          <w:spacing w:val="-6"/>
        </w:rPr>
        <w:t xml:space="preserve"> </w:t>
      </w:r>
      <w:r>
        <w:t>treatment planning strategies. These strategies support recovery and building a trauma-informed care workforce.</w:t>
      </w:r>
    </w:p>
    <w:p w14:paraId="06EA11DF" w14:textId="77777777" w:rsidR="00DB6E1F" w:rsidRDefault="00F666A6">
      <w:pPr>
        <w:pStyle w:val="BodyText"/>
        <w:spacing w:before="162"/>
        <w:ind w:left="1439" w:right="1446"/>
      </w:pPr>
      <w:r>
        <w:rPr>
          <w:b/>
        </w:rPr>
        <w:t xml:space="preserve">TIP 52: </w:t>
      </w:r>
      <w:r>
        <w:rPr>
          <w:b/>
          <w:i/>
        </w:rPr>
        <w:t xml:space="preserve">Clinical Supervision and Professional Development of the Substance Abuse Counselor </w:t>
      </w:r>
      <w:r>
        <w:rPr>
          <w:spacing w:val="-2"/>
        </w:rPr>
        <w:t>(</w:t>
      </w:r>
      <w:hyperlink r:id="rId217">
        <w:r>
          <w:rPr>
            <w:color w:val="0563C1"/>
            <w:spacing w:val="-2"/>
            <w:u w:val="single" w:color="0563C1"/>
          </w:rPr>
          <w:t>https://store.samhsa.gov/product/TIP-52-Clinical-Supervision-and-Professional-Development-of-the-</w:t>
        </w:r>
      </w:hyperlink>
      <w:r>
        <w:rPr>
          <w:color w:val="0563C1"/>
          <w:spacing w:val="-2"/>
        </w:rPr>
        <w:t xml:space="preserve"> </w:t>
      </w:r>
      <w:hyperlink r:id="rId218">
        <w:r>
          <w:rPr>
            <w:color w:val="0563C1"/>
            <w:u w:val="single" w:color="0563C1"/>
          </w:rPr>
          <w:t>Substance-Abuse-Counselor/SMA14-4435.html</w:t>
        </w:r>
      </w:hyperlink>
      <w:r>
        <w:t>). This TIP presents guidelines for clinical supervision in SUD</w:t>
      </w:r>
      <w:r>
        <w:rPr>
          <w:spacing w:val="-1"/>
        </w:rPr>
        <w:t xml:space="preserve"> </w:t>
      </w:r>
      <w:r>
        <w:t>treatment.</w:t>
      </w:r>
      <w:r>
        <w:rPr>
          <w:spacing w:val="-2"/>
        </w:rPr>
        <w:t xml:space="preserve"> </w:t>
      </w:r>
      <w:r>
        <w:t>It</w:t>
      </w:r>
      <w:r>
        <w:rPr>
          <w:spacing w:val="-1"/>
        </w:rPr>
        <w:t xml:space="preserve"> </w:t>
      </w:r>
      <w:r>
        <w:t>covers</w:t>
      </w:r>
      <w:r>
        <w:rPr>
          <w:spacing w:val="-2"/>
        </w:rPr>
        <w:t xml:space="preserve"> </w:t>
      </w:r>
      <w:r>
        <w:t>supervision</w:t>
      </w:r>
      <w:r>
        <w:rPr>
          <w:spacing w:val="-5"/>
        </w:rPr>
        <w:t xml:space="preserve"> </w:t>
      </w:r>
      <w:r>
        <w:t>methods</w:t>
      </w:r>
      <w:r>
        <w:rPr>
          <w:spacing w:val="-4"/>
        </w:rPr>
        <w:t xml:space="preserve"> </w:t>
      </w:r>
      <w:r>
        <w:t>and</w:t>
      </w:r>
      <w:r>
        <w:rPr>
          <w:spacing w:val="-5"/>
        </w:rPr>
        <w:t xml:space="preserve"> </w:t>
      </w:r>
      <w:r>
        <w:t>models,</w:t>
      </w:r>
      <w:r>
        <w:rPr>
          <w:spacing w:val="-4"/>
        </w:rPr>
        <w:t xml:space="preserve"> </w:t>
      </w:r>
      <w:r>
        <w:t>cultural</w:t>
      </w:r>
      <w:r>
        <w:rPr>
          <w:spacing w:val="-2"/>
        </w:rPr>
        <w:t xml:space="preserve"> </w:t>
      </w:r>
      <w:r>
        <w:t>competence,</w:t>
      </w:r>
      <w:r>
        <w:rPr>
          <w:spacing w:val="-2"/>
        </w:rPr>
        <w:t xml:space="preserve"> </w:t>
      </w:r>
      <w:r>
        <w:t>ethical</w:t>
      </w:r>
      <w:r>
        <w:rPr>
          <w:spacing w:val="-5"/>
        </w:rPr>
        <w:t xml:space="preserve"> </w:t>
      </w:r>
      <w:r>
        <w:t>and</w:t>
      </w:r>
      <w:r>
        <w:rPr>
          <w:spacing w:val="-3"/>
        </w:rPr>
        <w:t xml:space="preserve"> </w:t>
      </w:r>
      <w:r>
        <w:t>legal</w:t>
      </w:r>
      <w:r>
        <w:rPr>
          <w:spacing w:val="-2"/>
        </w:rPr>
        <w:t xml:space="preserve"> </w:t>
      </w:r>
      <w:r>
        <w:t>issues, performance monitoring, and an implementation guide for program administrators.</w:t>
      </w:r>
    </w:p>
    <w:p w14:paraId="5CBC51C8" w14:textId="77777777" w:rsidR="00DB6E1F" w:rsidRDefault="00F666A6">
      <w:pPr>
        <w:spacing w:before="159"/>
        <w:ind w:left="1440" w:right="1450"/>
      </w:pPr>
      <w:r>
        <w:rPr>
          <w:b/>
        </w:rPr>
        <w:t xml:space="preserve">TIP 42: </w:t>
      </w:r>
      <w:r>
        <w:rPr>
          <w:b/>
          <w:i/>
        </w:rPr>
        <w:t xml:space="preserve">Substance Abuse Treatment for Persons With Co-Occurring Disorders </w:t>
      </w:r>
      <w:r>
        <w:rPr>
          <w:spacing w:val="-2"/>
        </w:rPr>
        <w:t>(</w:t>
      </w:r>
      <w:hyperlink r:id="rId219">
        <w:r>
          <w:rPr>
            <w:color w:val="0563C1"/>
            <w:spacing w:val="-2"/>
            <w:u w:val="single" w:color="0563C1"/>
          </w:rPr>
          <w:t>https://store.samhsa.gov/product/TIP-42-Substance-Abuse-Treatment-for-Persons-With-Co-Occurring-</w:t>
        </w:r>
      </w:hyperlink>
      <w:r>
        <w:rPr>
          <w:color w:val="0563C1"/>
          <w:spacing w:val="-2"/>
        </w:rPr>
        <w:t xml:space="preserve"> </w:t>
      </w:r>
      <w:hyperlink r:id="rId220">
        <w:r>
          <w:rPr>
            <w:color w:val="0563C1"/>
            <w:u w:val="single" w:color="0563C1"/>
          </w:rPr>
          <w:t>Disorders/SMA13-3992</w:t>
        </w:r>
      </w:hyperlink>
      <w:r>
        <w:t>).</w:t>
      </w:r>
      <w:r>
        <w:rPr>
          <w:spacing w:val="-6"/>
        </w:rPr>
        <w:t xml:space="preserve"> </w:t>
      </w:r>
      <w:r>
        <w:t>This</w:t>
      </w:r>
      <w:r>
        <w:rPr>
          <w:spacing w:val="-3"/>
        </w:rPr>
        <w:t xml:space="preserve"> </w:t>
      </w:r>
      <w:r>
        <w:t>TIP</w:t>
      </w:r>
      <w:r>
        <w:rPr>
          <w:spacing w:val="-2"/>
        </w:rPr>
        <w:t xml:space="preserve"> </w:t>
      </w:r>
      <w:r>
        <w:t>gives</w:t>
      </w:r>
      <w:r>
        <w:rPr>
          <w:spacing w:val="-5"/>
        </w:rPr>
        <w:t xml:space="preserve"> </w:t>
      </w:r>
      <w:r>
        <w:t>SUD</w:t>
      </w:r>
      <w:r>
        <w:rPr>
          <w:spacing w:val="-4"/>
        </w:rPr>
        <w:t xml:space="preserve"> </w:t>
      </w:r>
      <w:r>
        <w:t>providers</w:t>
      </w:r>
      <w:r>
        <w:rPr>
          <w:spacing w:val="-5"/>
        </w:rPr>
        <w:t xml:space="preserve"> </w:t>
      </w:r>
      <w:r>
        <w:t>information</w:t>
      </w:r>
      <w:r>
        <w:rPr>
          <w:spacing w:val="-6"/>
        </w:rPr>
        <w:t xml:space="preserve"> </w:t>
      </w:r>
      <w:r>
        <w:t>on</w:t>
      </w:r>
      <w:r>
        <w:rPr>
          <w:spacing w:val="-3"/>
        </w:rPr>
        <w:t xml:space="preserve"> </w:t>
      </w:r>
      <w:r>
        <w:t>co-occurring</w:t>
      </w:r>
      <w:r>
        <w:rPr>
          <w:spacing w:val="-3"/>
        </w:rPr>
        <w:t xml:space="preserve"> </w:t>
      </w:r>
      <w:r>
        <w:t>mental</w:t>
      </w:r>
      <w:r>
        <w:rPr>
          <w:spacing w:val="-5"/>
        </w:rPr>
        <w:t xml:space="preserve"> </w:t>
      </w:r>
      <w:r>
        <w:t>and</w:t>
      </w:r>
      <w:r>
        <w:rPr>
          <w:spacing w:val="-4"/>
        </w:rPr>
        <w:t xml:space="preserve"> </w:t>
      </w:r>
      <w:r>
        <w:t>substance use disorders. It dis</w:t>
      </w:r>
      <w:r>
        <w:t>cusses terminology, assessment, and treatment strategies and models.</w:t>
      </w:r>
    </w:p>
    <w:p w14:paraId="3F9A4138" w14:textId="77777777" w:rsidR="00DB6E1F" w:rsidRDefault="00F666A6">
      <w:pPr>
        <w:pStyle w:val="BodyText"/>
        <w:spacing w:before="160"/>
        <w:ind w:left="1440" w:right="1539"/>
      </w:pPr>
      <w:r>
        <w:rPr>
          <w:b/>
        </w:rPr>
        <w:t xml:space="preserve">TIP 39: </w:t>
      </w:r>
      <w:r>
        <w:rPr>
          <w:b/>
          <w:i/>
        </w:rPr>
        <w:t xml:space="preserve">Substance Abuse Treatment and Family Therapy </w:t>
      </w:r>
      <w:r>
        <w:t>(</w:t>
      </w:r>
      <w:hyperlink r:id="rId221">
        <w:r>
          <w:rPr>
            <w:color w:val="0563C1"/>
            <w:u w:val="single" w:color="0563C1"/>
          </w:rPr>
          <w:t>https://store.samh</w:t>
        </w:r>
        <w:r>
          <w:rPr>
            <w:color w:val="0563C1"/>
            <w:u w:val="single" w:color="0563C1"/>
          </w:rPr>
          <w:t>sa.gov/product/TIP-39-</w:t>
        </w:r>
      </w:hyperlink>
      <w:r>
        <w:rPr>
          <w:color w:val="0563C1"/>
        </w:rPr>
        <w:t xml:space="preserve"> </w:t>
      </w:r>
      <w:hyperlink r:id="rId222">
        <w:r>
          <w:rPr>
            <w:color w:val="0563C1"/>
            <w:u w:val="single" w:color="0563C1"/>
          </w:rPr>
          <w:t>Substance-Abuse-Treatment-and-Family-Therapy/SMA15-4219</w:t>
        </w:r>
      </w:hyperlink>
      <w:r>
        <w:t>). This TIP describes the integration of family</w:t>
      </w:r>
      <w:r>
        <w:rPr>
          <w:spacing w:val="-5"/>
        </w:rPr>
        <w:t xml:space="preserve"> </w:t>
      </w:r>
      <w:r>
        <w:t>counseling</w:t>
      </w:r>
      <w:r>
        <w:rPr>
          <w:spacing w:val="-4"/>
        </w:rPr>
        <w:t xml:space="preserve"> </w:t>
      </w:r>
      <w:r>
        <w:t>appr</w:t>
      </w:r>
      <w:r>
        <w:t>oaches</w:t>
      </w:r>
      <w:r>
        <w:rPr>
          <w:spacing w:val="-3"/>
        </w:rPr>
        <w:t xml:space="preserve"> </w:t>
      </w:r>
      <w:r>
        <w:t>into</w:t>
      </w:r>
      <w:r>
        <w:rPr>
          <w:spacing w:val="-2"/>
        </w:rPr>
        <w:t xml:space="preserve"> </w:t>
      </w:r>
      <w:r>
        <w:t>SUD</w:t>
      </w:r>
      <w:r>
        <w:rPr>
          <w:spacing w:val="-4"/>
        </w:rPr>
        <w:t xml:space="preserve"> </w:t>
      </w:r>
      <w:r>
        <w:t>treatment.</w:t>
      </w:r>
      <w:r>
        <w:rPr>
          <w:spacing w:val="-2"/>
        </w:rPr>
        <w:t xml:space="preserve"> </w:t>
      </w:r>
      <w:r>
        <w:t>It</w:t>
      </w:r>
      <w:r>
        <w:rPr>
          <w:spacing w:val="-5"/>
        </w:rPr>
        <w:t xml:space="preserve"> </w:t>
      </w:r>
      <w:r>
        <w:t>also</w:t>
      </w:r>
      <w:r>
        <w:rPr>
          <w:spacing w:val="-2"/>
        </w:rPr>
        <w:t xml:space="preserve"> </w:t>
      </w:r>
      <w:r>
        <w:t>discusses</w:t>
      </w:r>
      <w:r>
        <w:rPr>
          <w:spacing w:val="-3"/>
        </w:rPr>
        <w:t xml:space="preserve"> </w:t>
      </w:r>
      <w:r>
        <w:t>cultural</w:t>
      </w:r>
      <w:r>
        <w:rPr>
          <w:spacing w:val="-3"/>
        </w:rPr>
        <w:t xml:space="preserve"> </w:t>
      </w:r>
      <w:r>
        <w:t>competency,</w:t>
      </w:r>
      <w:r>
        <w:rPr>
          <w:spacing w:val="-3"/>
        </w:rPr>
        <w:t xml:space="preserve"> </w:t>
      </w:r>
      <w:r>
        <w:t>considerations for specific populations, policy and program issues, and guidelines for assessing violence.</w:t>
      </w:r>
    </w:p>
    <w:p w14:paraId="1BC4D9D6" w14:textId="77777777" w:rsidR="00DB6E1F" w:rsidRDefault="00DB6E1F">
      <w:pPr>
        <w:sectPr w:rsidR="00DB6E1F">
          <w:pgSz w:w="12240" w:h="15840"/>
          <w:pgMar w:top="1200" w:right="0" w:bottom="780" w:left="0" w:header="763" w:footer="585" w:gutter="0"/>
          <w:cols w:space="720"/>
        </w:sectPr>
      </w:pPr>
    </w:p>
    <w:p w14:paraId="69E5AE12" w14:textId="77777777" w:rsidR="00DB6E1F" w:rsidRDefault="00F666A6">
      <w:pPr>
        <w:pStyle w:val="BodyText"/>
        <w:spacing w:before="4"/>
        <w:rPr>
          <w:sz w:val="16"/>
        </w:rPr>
      </w:pPr>
      <w:r>
        <w:rPr>
          <w:noProof/>
        </w:rPr>
        <w:lastRenderedPageBreak/>
        <w:drawing>
          <wp:anchor distT="0" distB="0" distL="0" distR="0" simplePos="0" relativeHeight="15759872" behindDoc="0" locked="0" layoutInCell="1" allowOverlap="1" wp14:anchorId="2EEBD63E" wp14:editId="2886E6EF">
            <wp:simplePos x="0" y="0"/>
            <wp:positionH relativeFrom="page">
              <wp:posOffset>0</wp:posOffset>
            </wp:positionH>
            <wp:positionV relativeFrom="page">
              <wp:posOffset>1</wp:posOffset>
            </wp:positionV>
            <wp:extent cx="7772400" cy="10058398"/>
            <wp:effectExtent l="0" t="0" r="0" b="0"/>
            <wp:wrapNone/>
            <wp:docPr id="1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5.jpeg"/>
                    <pic:cNvPicPr/>
                  </pic:nvPicPr>
                  <pic:blipFill>
                    <a:blip r:embed="rId223" cstate="print"/>
                    <a:stretch>
                      <a:fillRect/>
                    </a:stretch>
                  </pic:blipFill>
                  <pic:spPr>
                    <a:xfrm>
                      <a:off x="0" y="0"/>
                      <a:ext cx="7772400" cy="10058398"/>
                    </a:xfrm>
                    <a:prstGeom prst="rect">
                      <a:avLst/>
                    </a:prstGeom>
                  </pic:spPr>
                </pic:pic>
              </a:graphicData>
            </a:graphic>
          </wp:anchor>
        </w:drawing>
      </w:r>
    </w:p>
    <w:sectPr w:rsidR="00DB6E1F">
      <w:headerReference w:type="default" r:id="rId224"/>
      <w:footerReference w:type="default" r:id="rId225"/>
      <w:pgSz w:w="12240" w:h="15840"/>
      <w:pgMar w:top="15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DA871" w14:textId="77777777" w:rsidR="00F666A6" w:rsidRDefault="00F666A6">
      <w:r>
        <w:separator/>
      </w:r>
    </w:p>
  </w:endnote>
  <w:endnote w:type="continuationSeparator" w:id="0">
    <w:p w14:paraId="522FFC68" w14:textId="77777777" w:rsidR="00F666A6" w:rsidRDefault="00F66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2205" w14:textId="77777777" w:rsidR="00DB6E1F" w:rsidRDefault="00F666A6">
    <w:pPr>
      <w:pStyle w:val="BodyText"/>
      <w:spacing w:line="14" w:lineRule="auto"/>
      <w:rPr>
        <w:sz w:val="8"/>
      </w:rPr>
    </w:pPr>
    <w:r>
      <w:pict w14:anchorId="6B3810EF">
        <v:shapetype id="_x0000_t202" coordsize="21600,21600" o:spt="202" path="m,l,21600r21600,l21600,xe">
          <v:stroke joinstyle="miter"/>
          <v:path gradientshapeok="t" o:connecttype="rect"/>
        </v:shapetype>
        <v:shape id="docshape3" o:spid="_x0000_s1065" type="#_x0000_t202" style="position:absolute;margin-left:284.5pt;margin-top:743.7pt;width:46.3pt;height:20.25pt;z-index:-21770752;mso-position-horizontal-relative:page;mso-position-vertical-relative:page" filled="f" stroked="f">
          <v:textbox inset="0,0,0,0">
            <w:txbxContent>
              <w:p w14:paraId="246250A5" w14:textId="77777777" w:rsidR="00DB6E1F" w:rsidRDefault="00F666A6">
                <w:pPr>
                  <w:pStyle w:val="BodyText"/>
                  <w:spacing w:before="120"/>
                  <w:ind w:left="20"/>
                </w:pPr>
                <w:r>
                  <w:t>Page</w:t>
                </w:r>
                <w:r>
                  <w:rPr>
                    <w:spacing w:val="-5"/>
                  </w:rPr>
                  <w:t xml:space="preserve"> </w:t>
                </w:r>
                <w:r>
                  <w:rPr>
                    <w:spacing w:val="-2"/>
                  </w:rPr>
                  <w:fldChar w:fldCharType="begin"/>
                </w:r>
                <w:r>
                  <w:rPr>
                    <w:spacing w:val="-2"/>
                  </w:rPr>
                  <w:instrText xml:space="preserve"> PAGE  \* roman </w:instrText>
                </w:r>
                <w:r>
                  <w:rPr>
                    <w:spacing w:val="-2"/>
                  </w:rPr>
                  <w:fldChar w:fldCharType="separate"/>
                </w:r>
                <w:r>
                  <w:rPr>
                    <w:spacing w:val="-2"/>
                  </w:rPr>
                  <w:t>xxiii</w:t>
                </w:r>
                <w:r>
                  <w:rPr>
                    <w:spacing w:val="-2"/>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D02D" w14:textId="77777777" w:rsidR="00DB6E1F" w:rsidRDefault="00F666A6">
    <w:pPr>
      <w:pStyle w:val="BodyText"/>
      <w:spacing w:line="14" w:lineRule="auto"/>
      <w:rPr>
        <w:sz w:val="20"/>
      </w:rPr>
    </w:pPr>
    <w:r>
      <w:pict w14:anchorId="552D9AE9">
        <v:shapetype id="_x0000_t202" coordsize="21600,21600" o:spt="202" path="m,l,21600r21600,l21600,xe">
          <v:stroke joinstyle="miter"/>
          <v:path gradientshapeok="t" o:connecttype="rect"/>
        </v:shapetype>
        <v:shape id="docshape199" o:spid="_x0000_s1038" type="#_x0000_t202" style="position:absolute;margin-left:269.25pt;margin-top:751.75pt;width:73.75pt;height:13.05pt;z-index:-21756928;mso-position-horizontal-relative:page;mso-position-vertical-relative:page" filled="f" stroked="f">
          <v:textbox inset="0,0,0,0">
            <w:txbxContent>
              <w:p w14:paraId="79A1400D"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133</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E34D" w14:textId="77777777" w:rsidR="00DB6E1F" w:rsidRDefault="00F666A6">
    <w:pPr>
      <w:pStyle w:val="BodyText"/>
      <w:spacing w:line="14" w:lineRule="auto"/>
      <w:rPr>
        <w:sz w:val="20"/>
      </w:rPr>
    </w:pPr>
    <w:r>
      <w:pict w14:anchorId="3493D236">
        <v:shapetype id="_x0000_t202" coordsize="21600,21600" o:spt="202" path="m,l,21600r21600,l21600,xe">
          <v:stroke joinstyle="miter"/>
          <v:path gradientshapeok="t" o:connecttype="rect"/>
        </v:shapetype>
        <v:shape id="docshape202" o:spid="_x0000_s1035" type="#_x0000_t202" style="position:absolute;margin-left:269.25pt;margin-top:751.75pt;width:73.75pt;height:13.05pt;z-index:-21755392;mso-position-horizontal-relative:page;mso-position-vertical-relative:page" filled="f" stroked="f">
          <v:textbox inset="0,0,0,0">
            <w:txbxContent>
              <w:p w14:paraId="7EA86541"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148</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2839" w14:textId="77777777" w:rsidR="00DB6E1F" w:rsidRDefault="00F666A6">
    <w:pPr>
      <w:pStyle w:val="BodyText"/>
      <w:spacing w:line="14" w:lineRule="auto"/>
      <w:rPr>
        <w:sz w:val="20"/>
      </w:rPr>
    </w:pPr>
    <w:r>
      <w:pict w14:anchorId="041C3F1F">
        <v:shapetype id="_x0000_t202" coordsize="21600,21600" o:spt="202" path="m,l,21600r21600,l21600,xe">
          <v:stroke joinstyle="miter"/>
          <v:path gradientshapeok="t" o:connecttype="rect"/>
        </v:shapetype>
        <v:shape id="docshape238" o:spid="_x0000_s1031" type="#_x0000_t202" style="position:absolute;margin-left:269.25pt;margin-top:751.75pt;width:73.75pt;height:13.05pt;z-index:-21753344;mso-position-horizontal-relative:page;mso-position-vertical-relative:page" filled="f" stroked="f">
          <v:textbox inset="0,0,0,0">
            <w:txbxContent>
              <w:p w14:paraId="758AA76A"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161</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F187" w14:textId="77777777" w:rsidR="00DB6E1F" w:rsidRDefault="00F666A6">
    <w:pPr>
      <w:pStyle w:val="BodyText"/>
      <w:spacing w:line="14" w:lineRule="auto"/>
      <w:rPr>
        <w:sz w:val="20"/>
      </w:rPr>
    </w:pPr>
    <w:r>
      <w:pict w14:anchorId="3AA9285F">
        <v:shapetype id="_x0000_t202" coordsize="21600,21600" o:spt="202" path="m,l,21600r21600,l21600,xe">
          <v:stroke joinstyle="miter"/>
          <v:path gradientshapeok="t" o:connecttype="rect"/>
        </v:shapetype>
        <v:shape id="docshape241" o:spid="_x0000_s1028" type="#_x0000_t202" style="position:absolute;margin-left:269.25pt;margin-top:751.75pt;width:73.75pt;height:13.05pt;z-index:-21751808;mso-position-horizontal-relative:page;mso-position-vertical-relative:page" filled="f" stroked="f">
          <v:textbox inset="0,0,0,0">
            <w:txbxContent>
              <w:p w14:paraId="547B0645"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162</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B61E" w14:textId="77777777" w:rsidR="00DB6E1F" w:rsidRDefault="00F666A6">
    <w:pPr>
      <w:pStyle w:val="BodyText"/>
      <w:spacing w:line="14" w:lineRule="auto"/>
      <w:rPr>
        <w:sz w:val="20"/>
      </w:rPr>
    </w:pPr>
    <w:r>
      <w:pict w14:anchorId="76E59E08">
        <v:shapetype id="_x0000_t202" coordsize="21600,21600" o:spt="202" path="m,l,21600r21600,l21600,xe">
          <v:stroke joinstyle="miter"/>
          <v:path gradientshapeok="t" o:connecttype="rect"/>
        </v:shapetype>
        <v:shape id="docshape256" o:spid="_x0000_s1025" type="#_x0000_t202" style="position:absolute;margin-left:269.25pt;margin-top:751.75pt;width:73.75pt;height:13.05pt;z-index:-21750272;mso-position-horizontal-relative:page;mso-position-vertical-relative:page" filled="f" stroked="f">
          <v:textbox inset="0,0,0,0">
            <w:txbxContent>
              <w:p w14:paraId="07CFD769"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182</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0B463" w14:textId="77777777" w:rsidR="00DB6E1F" w:rsidRDefault="00DB6E1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8DB9E" w14:textId="77777777" w:rsidR="00DB6E1F" w:rsidRDefault="00F666A6">
    <w:pPr>
      <w:pStyle w:val="BodyText"/>
      <w:spacing w:line="14" w:lineRule="auto"/>
      <w:rPr>
        <w:sz w:val="20"/>
      </w:rPr>
    </w:pPr>
    <w:r>
      <w:pict w14:anchorId="6735EA4D">
        <v:shapetype id="_x0000_t202" coordsize="21600,21600" o:spt="202" path="m,l,21600r21600,l21600,xe">
          <v:stroke joinstyle="miter"/>
          <v:path gradientshapeok="t" o:connecttype="rect"/>
        </v:shapetype>
        <v:shape id="docshape7" o:spid="_x0000_s1062" type="#_x0000_t202" style="position:absolute;margin-left:272pt;margin-top:751.75pt;width:68.2pt;height:13.05pt;z-index:-21769216;mso-position-horizontal-relative:page;mso-position-vertical-relative:page" filled="f" stroked="f">
          <v:textbox inset="0,0,0,0">
            <w:txbxContent>
              <w:p w14:paraId="1DE6C072"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3DAB" w14:textId="77777777" w:rsidR="00DB6E1F" w:rsidRDefault="00F666A6">
    <w:pPr>
      <w:pStyle w:val="BodyText"/>
      <w:spacing w:line="14" w:lineRule="auto"/>
      <w:rPr>
        <w:sz w:val="20"/>
      </w:rPr>
    </w:pPr>
    <w:r>
      <w:pict w14:anchorId="474C6C7C">
        <v:shapetype id="_x0000_t202" coordsize="21600,21600" o:spt="202" path="m,l,21600r21600,l21600,xe">
          <v:stroke joinstyle="miter"/>
          <v:path gradientshapeok="t" o:connecttype="rect"/>
        </v:shapetype>
        <v:shape id="docshape45" o:spid="_x0000_s1059" type="#_x0000_t202" style="position:absolute;margin-left:272pt;margin-top:751.75pt;width:68.2pt;height:13.05pt;z-index:-21767680;mso-position-horizontal-relative:page;mso-position-vertical-relative:page" filled="f" stroked="f">
          <v:textbox inset="0,0,0,0">
            <w:txbxContent>
              <w:p w14:paraId="7E5E965A"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17</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D98E" w14:textId="77777777" w:rsidR="00DB6E1F" w:rsidRDefault="00F666A6">
    <w:pPr>
      <w:pStyle w:val="BodyText"/>
      <w:spacing w:line="14" w:lineRule="auto"/>
      <w:rPr>
        <w:sz w:val="20"/>
      </w:rPr>
    </w:pPr>
    <w:r>
      <w:pict w14:anchorId="488AEF79">
        <v:shapetype id="_x0000_t202" coordsize="21600,21600" o:spt="202" path="m,l,21600r21600,l21600,xe">
          <v:stroke joinstyle="miter"/>
          <v:path gradientshapeok="t" o:connecttype="rect"/>
        </v:shapetype>
        <v:shape id="docshape181" o:spid="_x0000_s1056" type="#_x0000_t202" style="position:absolute;margin-left:272pt;margin-top:751.75pt;width:68.2pt;height:13.05pt;z-index:-21766144;mso-position-horizontal-relative:page;mso-position-vertical-relative:page" filled="f" stroked="f">
          <v:textbox inset="0,0,0,0">
            <w:txbxContent>
              <w:p w14:paraId="0AB47C74"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64</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71EF" w14:textId="77777777" w:rsidR="00DB6E1F" w:rsidRDefault="00F666A6">
    <w:pPr>
      <w:pStyle w:val="BodyText"/>
      <w:spacing w:line="14" w:lineRule="auto"/>
      <w:rPr>
        <w:sz w:val="20"/>
      </w:rPr>
    </w:pPr>
    <w:r>
      <w:pict w14:anchorId="4514F6CA">
        <v:shapetype id="_x0000_t202" coordsize="21600,21600" o:spt="202" path="m,l,21600r21600,l21600,xe">
          <v:stroke joinstyle="miter"/>
          <v:path gradientshapeok="t" o:connecttype="rect"/>
        </v:shapetype>
        <v:shape id="docshape184" o:spid="_x0000_s1053" type="#_x0000_t202" style="position:absolute;margin-left:272pt;margin-top:751.75pt;width:68.2pt;height:13.05pt;z-index:-21764608;mso-position-horizontal-relative:page;mso-position-vertical-relative:page" filled="f" stroked="f">
          <v:textbox inset="0,0,0,0">
            <w:txbxContent>
              <w:p w14:paraId="6408F8E5"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79</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80DAA" w14:textId="77777777" w:rsidR="00DB6E1F" w:rsidRDefault="00F666A6">
    <w:pPr>
      <w:pStyle w:val="BodyText"/>
      <w:spacing w:line="14" w:lineRule="auto"/>
      <w:rPr>
        <w:sz w:val="20"/>
      </w:rPr>
    </w:pPr>
    <w:r>
      <w:pict w14:anchorId="13D89557">
        <v:shapetype id="_x0000_t202" coordsize="21600,21600" o:spt="202" path="m,l,21600r21600,l21600,xe">
          <v:stroke joinstyle="miter"/>
          <v:path gradientshapeok="t" o:connecttype="rect"/>
        </v:shapetype>
        <v:shape id="docshape187" o:spid="_x0000_s1050" type="#_x0000_t202" style="position:absolute;margin-left:272pt;margin-top:751.75pt;width:68.2pt;height:13.05pt;z-index:-21763072;mso-position-horizontal-relative:page;mso-position-vertical-relative:page" filled="f" stroked="f">
          <v:textbox inset="0,0,0,0">
            <w:txbxContent>
              <w:p w14:paraId="3DD72909"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89</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64EA" w14:textId="77777777" w:rsidR="00DB6E1F" w:rsidRDefault="00F666A6">
    <w:pPr>
      <w:pStyle w:val="BodyText"/>
      <w:spacing w:line="14" w:lineRule="auto"/>
      <w:rPr>
        <w:sz w:val="20"/>
      </w:rPr>
    </w:pPr>
    <w:r>
      <w:pict w14:anchorId="1964AFD6">
        <v:shapetype id="_x0000_t202" coordsize="21600,21600" o:spt="202" path="m,l,21600r21600,l21600,xe">
          <v:stroke joinstyle="miter"/>
          <v:path gradientshapeok="t" o:connecttype="rect"/>
        </v:shapetype>
        <v:shape id="docshape190" o:spid="_x0000_s1047" type="#_x0000_t202" style="position:absolute;margin-left:269.25pt;margin-top:751.75pt;width:73.75pt;height:13.05pt;z-index:-21761536;mso-position-horizontal-relative:page;mso-position-vertical-relative:page" filled="f" stroked="f">
          <v:textbox inset="0,0,0,0">
            <w:txbxContent>
              <w:p w14:paraId="6534B82C"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100</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DBBD" w14:textId="77777777" w:rsidR="00DB6E1F" w:rsidRDefault="00F666A6">
    <w:pPr>
      <w:pStyle w:val="BodyText"/>
      <w:spacing w:line="14" w:lineRule="auto"/>
      <w:rPr>
        <w:sz w:val="20"/>
      </w:rPr>
    </w:pPr>
    <w:r>
      <w:pict w14:anchorId="03F6C70B">
        <v:shapetype id="_x0000_t202" coordsize="21600,21600" o:spt="202" path="m,l,21600r21600,l21600,xe">
          <v:stroke joinstyle="miter"/>
          <v:path gradientshapeok="t" o:connecttype="rect"/>
        </v:shapetype>
        <v:shape id="docshape193" o:spid="_x0000_s1044" type="#_x0000_t202" style="position:absolute;margin-left:269.25pt;margin-top:751.75pt;width:73.75pt;height:13.05pt;z-index:-21760000;mso-position-horizontal-relative:page;mso-position-vertical-relative:page" filled="f" stroked="f">
          <v:textbox inset="0,0,0,0">
            <w:txbxContent>
              <w:p w14:paraId="5F613AEC"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103</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1746" w14:textId="77777777" w:rsidR="00DB6E1F" w:rsidRDefault="00F666A6">
    <w:pPr>
      <w:pStyle w:val="BodyText"/>
      <w:spacing w:line="14" w:lineRule="auto"/>
      <w:rPr>
        <w:sz w:val="20"/>
      </w:rPr>
    </w:pPr>
    <w:r>
      <w:pict w14:anchorId="0B44D8AA">
        <v:shapetype id="_x0000_t202" coordsize="21600,21600" o:spt="202" path="m,l,21600r21600,l21600,xe">
          <v:stroke joinstyle="miter"/>
          <v:path gradientshapeok="t" o:connecttype="rect"/>
        </v:shapetype>
        <v:shape id="docshape196" o:spid="_x0000_s1041" type="#_x0000_t202" style="position:absolute;margin-left:269.25pt;margin-top:751.75pt;width:73.75pt;height:13.05pt;z-index:-21758464;mso-position-horizontal-relative:page;mso-position-vertical-relative:page" filled="f" stroked="f">
          <v:textbox inset="0,0,0,0">
            <w:txbxContent>
              <w:p w14:paraId="324FC8F6" w14:textId="77777777" w:rsidR="00DB6E1F" w:rsidRDefault="00F666A6">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121</w:t>
                </w:r>
                <w:r>
                  <w:rPr>
                    <w:b/>
                  </w:rPr>
                  <w:fldChar w:fldCharType="end"/>
                </w:r>
                <w:r>
                  <w:rPr>
                    <w:b/>
                    <w:spacing w:val="-1"/>
                  </w:rPr>
                  <w:t xml:space="preserve"> </w:t>
                </w:r>
                <w:r>
                  <w:t>of</w:t>
                </w:r>
                <w:r>
                  <w:rPr>
                    <w:spacing w:val="-2"/>
                  </w:rPr>
                  <w:t xml:space="preserve"> </w:t>
                </w:r>
                <w:r>
                  <w:rPr>
                    <w:b/>
                    <w:spacing w:val="-5"/>
                  </w:rPr>
                  <w:t>183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8B233" w14:textId="77777777" w:rsidR="00F666A6" w:rsidRDefault="00F666A6">
      <w:r>
        <w:separator/>
      </w:r>
    </w:p>
  </w:footnote>
  <w:footnote w:type="continuationSeparator" w:id="0">
    <w:p w14:paraId="5BB36250" w14:textId="77777777" w:rsidR="00F666A6" w:rsidRDefault="00F66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CD16" w14:textId="77777777" w:rsidR="00DB6E1F" w:rsidRDefault="00F666A6">
    <w:pPr>
      <w:pStyle w:val="BodyText"/>
      <w:spacing w:line="14" w:lineRule="auto"/>
      <w:rPr>
        <w:sz w:val="20"/>
      </w:rPr>
    </w:pPr>
    <w:r>
      <w:pict w14:anchorId="65AEB6C6">
        <v:shapetype id="_x0000_t202" coordsize="21600,21600" o:spt="202" path="m,l,21600r21600,l21600,xe">
          <v:stroke joinstyle="miter"/>
          <v:path gradientshapeok="t" o:connecttype="rect"/>
        </v:shapetype>
        <v:shape id="docshape1" o:spid="_x0000_s1067" type="#_x0000_t202" style="position:absolute;margin-left:71pt;margin-top:37.15pt;width:315.95pt;height:12pt;z-index:-21771776;mso-position-horizontal-relative:page;mso-position-vertical-relative:page" filled="f" stroked="f">
          <v:textbox inset="0,0,0,0">
            <w:txbxContent>
              <w:p w14:paraId="356AE028" w14:textId="77777777" w:rsidR="00DB6E1F" w:rsidRDefault="00F666A6">
                <w:pPr>
                  <w:spacing w:line="223"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txbxContent>
          </v:textbox>
          <w10:wrap anchorx="page" anchory="page"/>
        </v:shape>
      </w:pict>
    </w:r>
    <w:r>
      <w:pict w14:anchorId="7AA6C748">
        <v:shape id="docshape2" o:spid="_x0000_s1066" type="#_x0000_t202" style="position:absolute;margin-left:483.55pt;margin-top:37.15pt;width:57.35pt;height:12pt;z-index:-21771264;mso-position-horizontal-relative:page;mso-position-vertical-relative:page" filled="f" stroked="f">
          <v:textbox inset="0,0,0,0">
            <w:txbxContent>
              <w:p w14:paraId="32D222C4"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79B9" w14:textId="77777777" w:rsidR="00DB6E1F" w:rsidRDefault="00F666A6">
    <w:pPr>
      <w:pStyle w:val="BodyText"/>
      <w:spacing w:line="14" w:lineRule="auto"/>
      <w:rPr>
        <w:sz w:val="20"/>
      </w:rPr>
    </w:pPr>
    <w:r>
      <w:pict w14:anchorId="6B389A5E">
        <v:shapetype id="_x0000_t202" coordsize="21600,21600" o:spt="202" path="m,l,21600r21600,l21600,xe">
          <v:stroke joinstyle="miter"/>
          <v:path gradientshapeok="t" o:connecttype="rect"/>
        </v:shapetype>
        <v:shape id="docshape197" o:spid="_x0000_s1040" type="#_x0000_t202" style="position:absolute;margin-left:71pt;margin-top:29.95pt;width:316pt;height:25.35pt;z-index:-21757952;mso-position-horizontal-relative:page;mso-position-vertical-relative:page" filled="f" stroked="f">
          <v:textbox inset="0,0,0,0">
            <w:txbxContent>
              <w:p w14:paraId="7D6EFC5A"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p w14:paraId="25D40A66" w14:textId="77777777" w:rsidR="00DB6E1F" w:rsidRDefault="00F666A6">
                <w:pPr>
                  <w:spacing w:line="268" w:lineRule="exact"/>
                  <w:ind w:left="20"/>
                  <w:rPr>
                    <w:rFonts w:ascii="Calibri Light" w:hAnsi="Calibri Light"/>
                    <w:sz w:val="20"/>
                  </w:rPr>
                </w:pPr>
                <w:r>
                  <w:rPr>
                    <w:rFonts w:ascii="Calibri Light" w:hAnsi="Calibri Light"/>
                    <w:spacing w:val="-2"/>
                    <w:sz w:val="20"/>
                  </w:rPr>
                  <w:t>Appendix</w:t>
                </w:r>
                <w:r>
                  <w:rPr>
                    <w:rFonts w:ascii="Calibri Light" w:hAnsi="Calibri Light"/>
                    <w:spacing w:val="8"/>
                    <w:sz w:val="20"/>
                  </w:rPr>
                  <w:t xml:space="preserve"> </w:t>
                </w:r>
                <w:r>
                  <w:rPr>
                    <w:rFonts w:ascii="Calibri Light" w:hAnsi="Calibri Light"/>
                    <w:spacing w:val="-2"/>
                    <w:sz w:val="20"/>
                  </w:rPr>
                  <w:t>A</w:t>
                </w:r>
                <w:r>
                  <w:rPr>
                    <w:spacing w:val="-2"/>
                  </w:rPr>
                  <w:t>—</w:t>
                </w:r>
                <w:r>
                  <w:rPr>
                    <w:rFonts w:ascii="Calibri Light" w:hAnsi="Calibri Light"/>
                    <w:spacing w:val="-2"/>
                    <w:sz w:val="20"/>
                  </w:rPr>
                  <w:t>Bibliography</w:t>
                </w:r>
              </w:p>
            </w:txbxContent>
          </v:textbox>
          <w10:wrap anchorx="page" anchory="page"/>
        </v:shape>
      </w:pict>
    </w:r>
    <w:r>
      <w:pict w14:anchorId="7586F338">
        <v:shape id="docshape198" o:spid="_x0000_s1039" type="#_x0000_t202" style="position:absolute;margin-left:483.55pt;margin-top:29.95pt;width:57.35pt;height:12pt;z-index:-21757440;mso-position-horizontal-relative:page;mso-position-vertical-relative:page" filled="f" stroked="f">
          <v:textbox inset="0,0,0,0">
            <w:txbxContent>
              <w:p w14:paraId="52FE7D25"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361B" w14:textId="77777777" w:rsidR="00DB6E1F" w:rsidRDefault="00F666A6">
    <w:pPr>
      <w:pStyle w:val="BodyText"/>
      <w:spacing w:line="14" w:lineRule="auto"/>
      <w:rPr>
        <w:sz w:val="20"/>
      </w:rPr>
    </w:pPr>
    <w:r>
      <w:pict w14:anchorId="519CC851">
        <v:shapetype id="_x0000_t202" coordsize="21600,21600" o:spt="202" path="m,l,21600r21600,l21600,xe">
          <v:stroke joinstyle="miter"/>
          <v:path gradientshapeok="t" o:connecttype="rect"/>
        </v:shapetype>
        <v:shape id="docshape200" o:spid="_x0000_s1037" type="#_x0000_t202" style="position:absolute;margin-left:71pt;margin-top:37.15pt;width:272.85pt;height:24.1pt;z-index:-21756416;mso-position-horizontal-relative:page;mso-position-vertical-relative:page" filled="f" stroked="f">
          <v:textbox inset="0,0,0,0">
            <w:txbxContent>
              <w:p w14:paraId="72460CC6" w14:textId="77777777" w:rsidR="00DB6E1F" w:rsidRDefault="00F666A6">
                <w:pPr>
                  <w:spacing w:line="222" w:lineRule="exact"/>
                  <w:ind w:left="20"/>
                  <w:rPr>
                    <w:rFonts w:ascii="Calibri Light"/>
                    <w:i/>
                    <w:sz w:val="20"/>
                  </w:rPr>
                </w:pPr>
                <w:r>
                  <w:rPr>
                    <w:rFonts w:ascii="Calibri Light"/>
                    <w:sz w:val="20"/>
                  </w:rPr>
                  <w:t>TIP</w:t>
                </w:r>
                <w:r>
                  <w:rPr>
                    <w:rFonts w:ascii="Calibri Light"/>
                    <w:spacing w:val="-6"/>
                    <w:sz w:val="20"/>
                  </w:rPr>
                  <w:t xml:space="preserve"> </w:t>
                </w:r>
                <w:r>
                  <w:rPr>
                    <w:rFonts w:ascii="Calibri Light"/>
                    <w:sz w:val="20"/>
                  </w:rPr>
                  <w:t>35:</w:t>
                </w:r>
                <w:r>
                  <w:rPr>
                    <w:rFonts w:ascii="Calibri Light"/>
                    <w:spacing w:val="-6"/>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4"/>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6"/>
                    <w:sz w:val="20"/>
                  </w:rPr>
                  <w:t xml:space="preserve"> </w:t>
                </w:r>
                <w:r>
                  <w:rPr>
                    <w:rFonts w:ascii="Calibri Light"/>
                    <w:i/>
                    <w:sz w:val="20"/>
                  </w:rPr>
                  <w:t>in</w:t>
                </w:r>
                <w:r>
                  <w:rPr>
                    <w:rFonts w:ascii="Calibri Light"/>
                    <w:i/>
                    <w:spacing w:val="-6"/>
                    <w:sz w:val="20"/>
                  </w:rPr>
                  <w:t xml:space="preserve"> </w:t>
                </w:r>
                <w:r>
                  <w:rPr>
                    <w:rFonts w:ascii="Calibri Light"/>
                    <w:i/>
                    <w:sz w:val="20"/>
                  </w:rPr>
                  <w:t>Use</w:t>
                </w:r>
                <w:r>
                  <w:rPr>
                    <w:rFonts w:ascii="Calibri Light"/>
                    <w:i/>
                    <w:spacing w:val="-6"/>
                    <w:sz w:val="20"/>
                  </w:rPr>
                  <w:t xml:space="preserve"> </w:t>
                </w:r>
                <w:r>
                  <w:rPr>
                    <w:rFonts w:ascii="Calibri Light"/>
                    <w:i/>
                    <w:sz w:val="20"/>
                  </w:rPr>
                  <w:t>Disorder</w:t>
                </w:r>
                <w:r>
                  <w:rPr>
                    <w:rFonts w:ascii="Calibri Light"/>
                    <w:i/>
                    <w:spacing w:val="-4"/>
                    <w:sz w:val="20"/>
                  </w:rPr>
                  <w:t xml:space="preserve"> </w:t>
                </w:r>
                <w:r>
                  <w:rPr>
                    <w:rFonts w:ascii="Calibri Light"/>
                    <w:i/>
                    <w:spacing w:val="-2"/>
                    <w:sz w:val="20"/>
                  </w:rPr>
                  <w:t>Treatment</w:t>
                </w:r>
              </w:p>
              <w:p w14:paraId="046504C4" w14:textId="77777777" w:rsidR="00DB6E1F" w:rsidRDefault="00F666A6">
                <w:pPr>
                  <w:spacing w:line="243" w:lineRule="exact"/>
                  <w:ind w:left="20"/>
                  <w:rPr>
                    <w:rFonts w:ascii="Calibri Light" w:hAnsi="Calibri Light"/>
                    <w:sz w:val="20"/>
                  </w:rPr>
                </w:pPr>
                <w:r>
                  <w:rPr>
                    <w:rFonts w:ascii="Calibri Light" w:hAnsi="Calibri Light"/>
                    <w:sz w:val="20"/>
                  </w:rPr>
                  <w:t>Appendix</w:t>
                </w:r>
                <w:r>
                  <w:rPr>
                    <w:rFonts w:ascii="Calibri Light" w:hAnsi="Calibri Light"/>
                    <w:spacing w:val="-10"/>
                    <w:sz w:val="20"/>
                  </w:rPr>
                  <w:t xml:space="preserve"> </w:t>
                </w:r>
                <w:r>
                  <w:rPr>
                    <w:rFonts w:ascii="Calibri Light" w:hAnsi="Calibri Light"/>
                    <w:sz w:val="20"/>
                  </w:rPr>
                  <w:t>B—Screening</w:t>
                </w:r>
                <w:r>
                  <w:rPr>
                    <w:rFonts w:ascii="Calibri Light" w:hAnsi="Calibri Light"/>
                    <w:spacing w:val="-10"/>
                    <w:sz w:val="20"/>
                  </w:rPr>
                  <w:t xml:space="preserve"> </w:t>
                </w:r>
                <w:r>
                  <w:rPr>
                    <w:rFonts w:ascii="Calibri Light" w:hAnsi="Calibri Light"/>
                    <w:sz w:val="20"/>
                  </w:rPr>
                  <w:t>and</w:t>
                </w:r>
                <w:r>
                  <w:rPr>
                    <w:rFonts w:ascii="Calibri Light" w:hAnsi="Calibri Light"/>
                    <w:spacing w:val="-10"/>
                    <w:sz w:val="20"/>
                  </w:rPr>
                  <w:t xml:space="preserve"> </w:t>
                </w:r>
                <w:r>
                  <w:rPr>
                    <w:rFonts w:ascii="Calibri Light" w:hAnsi="Calibri Light"/>
                    <w:sz w:val="20"/>
                  </w:rPr>
                  <w:t>Assessment</w:t>
                </w:r>
                <w:r>
                  <w:rPr>
                    <w:rFonts w:ascii="Calibri Light" w:hAnsi="Calibri Light"/>
                    <w:spacing w:val="-11"/>
                    <w:sz w:val="20"/>
                  </w:rPr>
                  <w:t xml:space="preserve"> </w:t>
                </w:r>
                <w:r>
                  <w:rPr>
                    <w:rFonts w:ascii="Calibri Light" w:hAnsi="Calibri Light"/>
                    <w:spacing w:val="-2"/>
                    <w:sz w:val="20"/>
                  </w:rPr>
                  <w:t>Instruments</w:t>
                </w:r>
              </w:p>
            </w:txbxContent>
          </v:textbox>
          <w10:wrap anchorx="page" anchory="page"/>
        </v:shape>
      </w:pict>
    </w:r>
    <w:r>
      <w:pict w14:anchorId="06BDA5F1">
        <v:shape id="docshape201" o:spid="_x0000_s1036" type="#_x0000_t202" style="position:absolute;margin-left:483.55pt;margin-top:37.15pt;width:57.35pt;height:12pt;z-index:-21755904;mso-position-horizontal-relative:page;mso-position-vertical-relative:page" filled="f" stroked="f">
          <v:textbox inset="0,0,0,0">
            <w:txbxContent>
              <w:p w14:paraId="392C2C3B"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3DDB" w14:textId="77777777" w:rsidR="00DB6E1F" w:rsidRDefault="00F666A6">
    <w:pPr>
      <w:pStyle w:val="BodyText"/>
      <w:spacing w:line="14" w:lineRule="auto"/>
      <w:rPr>
        <w:sz w:val="20"/>
      </w:rPr>
    </w:pPr>
    <w:r>
      <w:pict w14:anchorId="25F43C48">
        <v:shapetype id="_x0000_t202" coordsize="21600,21600" o:spt="202" path="m,l,21600r21600,l21600,xe">
          <v:stroke joinstyle="miter"/>
          <v:path gradientshapeok="t" o:connecttype="rect"/>
        </v:shapetype>
        <v:shape id="docshape235" o:spid="_x0000_s1034" type="#_x0000_t202" style="position:absolute;margin-left:71pt;margin-top:37.15pt;width:272.85pt;height:24.1pt;z-index:-21754880;mso-position-horizontal-relative:page;mso-position-vertical-relative:page" filled="f" stroked="f">
          <v:textbox inset="0,0,0,0">
            <w:txbxContent>
              <w:p w14:paraId="701D3280" w14:textId="77777777" w:rsidR="00DB6E1F" w:rsidRDefault="00F666A6">
                <w:pPr>
                  <w:spacing w:line="222" w:lineRule="exact"/>
                  <w:ind w:left="20"/>
                  <w:rPr>
                    <w:rFonts w:ascii="Calibri Light"/>
                    <w:i/>
                    <w:sz w:val="20"/>
                  </w:rPr>
                </w:pPr>
                <w:r>
                  <w:rPr>
                    <w:rFonts w:ascii="Calibri Light"/>
                    <w:sz w:val="20"/>
                  </w:rPr>
                  <w:t>TIP</w:t>
                </w:r>
                <w:r>
                  <w:rPr>
                    <w:rFonts w:ascii="Calibri Light"/>
                    <w:spacing w:val="-6"/>
                    <w:sz w:val="20"/>
                  </w:rPr>
                  <w:t xml:space="preserve"> </w:t>
                </w:r>
                <w:r>
                  <w:rPr>
                    <w:rFonts w:ascii="Calibri Light"/>
                    <w:sz w:val="20"/>
                  </w:rPr>
                  <w:t>35:</w:t>
                </w:r>
                <w:r>
                  <w:rPr>
                    <w:rFonts w:ascii="Calibri Light"/>
                    <w:spacing w:val="-6"/>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4"/>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6"/>
                    <w:sz w:val="20"/>
                  </w:rPr>
                  <w:t xml:space="preserve"> </w:t>
                </w:r>
                <w:r>
                  <w:rPr>
                    <w:rFonts w:ascii="Calibri Light"/>
                    <w:i/>
                    <w:sz w:val="20"/>
                  </w:rPr>
                  <w:t>in</w:t>
                </w:r>
                <w:r>
                  <w:rPr>
                    <w:rFonts w:ascii="Calibri Light"/>
                    <w:i/>
                    <w:spacing w:val="-6"/>
                    <w:sz w:val="20"/>
                  </w:rPr>
                  <w:t xml:space="preserve"> </w:t>
                </w:r>
                <w:r>
                  <w:rPr>
                    <w:rFonts w:ascii="Calibri Light"/>
                    <w:i/>
                    <w:sz w:val="20"/>
                  </w:rPr>
                  <w:t>Use</w:t>
                </w:r>
                <w:r>
                  <w:rPr>
                    <w:rFonts w:ascii="Calibri Light"/>
                    <w:i/>
                    <w:spacing w:val="-6"/>
                    <w:sz w:val="20"/>
                  </w:rPr>
                  <w:t xml:space="preserve"> </w:t>
                </w:r>
                <w:r>
                  <w:rPr>
                    <w:rFonts w:ascii="Calibri Light"/>
                    <w:i/>
                    <w:sz w:val="20"/>
                  </w:rPr>
                  <w:t>Disorder</w:t>
                </w:r>
                <w:r>
                  <w:rPr>
                    <w:rFonts w:ascii="Calibri Light"/>
                    <w:i/>
                    <w:spacing w:val="-4"/>
                    <w:sz w:val="20"/>
                  </w:rPr>
                  <w:t xml:space="preserve"> </w:t>
                </w:r>
                <w:r>
                  <w:rPr>
                    <w:rFonts w:ascii="Calibri Light"/>
                    <w:i/>
                    <w:spacing w:val="-2"/>
                    <w:sz w:val="20"/>
                  </w:rPr>
                  <w:t>Treatment</w:t>
                </w:r>
              </w:p>
              <w:p w14:paraId="2B2750D6" w14:textId="77777777" w:rsidR="00DB6E1F" w:rsidRDefault="00F666A6">
                <w:pPr>
                  <w:spacing w:line="243" w:lineRule="exact"/>
                  <w:ind w:left="20"/>
                  <w:rPr>
                    <w:rFonts w:ascii="Calibri Light" w:hAnsi="Calibri Light"/>
                    <w:sz w:val="20"/>
                  </w:rPr>
                </w:pPr>
                <w:r>
                  <w:rPr>
                    <w:rFonts w:ascii="Calibri Light" w:hAnsi="Calibri Light"/>
                    <w:sz w:val="20"/>
                  </w:rPr>
                  <w:t>Appendix</w:t>
                </w:r>
                <w:r>
                  <w:rPr>
                    <w:rFonts w:ascii="Calibri Light" w:hAnsi="Calibri Light"/>
                    <w:spacing w:val="-10"/>
                    <w:sz w:val="20"/>
                  </w:rPr>
                  <w:t xml:space="preserve"> </w:t>
                </w:r>
                <w:r>
                  <w:rPr>
                    <w:rFonts w:ascii="Calibri Light" w:hAnsi="Calibri Light"/>
                    <w:sz w:val="20"/>
                  </w:rPr>
                  <w:t>B—Screening</w:t>
                </w:r>
                <w:r>
                  <w:rPr>
                    <w:rFonts w:ascii="Calibri Light" w:hAnsi="Calibri Light"/>
                    <w:spacing w:val="-10"/>
                    <w:sz w:val="20"/>
                  </w:rPr>
                  <w:t xml:space="preserve"> </w:t>
                </w:r>
                <w:r>
                  <w:rPr>
                    <w:rFonts w:ascii="Calibri Light" w:hAnsi="Calibri Light"/>
                    <w:sz w:val="20"/>
                  </w:rPr>
                  <w:t>and</w:t>
                </w:r>
                <w:r>
                  <w:rPr>
                    <w:rFonts w:ascii="Calibri Light" w:hAnsi="Calibri Light"/>
                    <w:spacing w:val="-10"/>
                    <w:sz w:val="20"/>
                  </w:rPr>
                  <w:t xml:space="preserve"> </w:t>
                </w:r>
                <w:r>
                  <w:rPr>
                    <w:rFonts w:ascii="Calibri Light" w:hAnsi="Calibri Light"/>
                    <w:sz w:val="20"/>
                  </w:rPr>
                  <w:t>Assessment</w:t>
                </w:r>
                <w:r>
                  <w:rPr>
                    <w:rFonts w:ascii="Calibri Light" w:hAnsi="Calibri Light"/>
                    <w:spacing w:val="-11"/>
                    <w:sz w:val="20"/>
                  </w:rPr>
                  <w:t xml:space="preserve"> </w:t>
                </w:r>
                <w:r>
                  <w:rPr>
                    <w:rFonts w:ascii="Calibri Light" w:hAnsi="Calibri Light"/>
                    <w:spacing w:val="-2"/>
                    <w:sz w:val="20"/>
                  </w:rPr>
                  <w:t>Instruments</w:t>
                </w:r>
              </w:p>
            </w:txbxContent>
          </v:textbox>
          <w10:wrap anchorx="page" anchory="page"/>
        </v:shape>
      </w:pict>
    </w:r>
    <w:r>
      <w:pict w14:anchorId="25B967C1">
        <v:shape id="docshape236" o:spid="_x0000_s1033" type="#_x0000_t202" style="position:absolute;margin-left:483.55pt;margin-top:37.15pt;width:57.35pt;height:12pt;z-index:-21754368;mso-position-horizontal-relative:page;mso-position-vertical-relative:page" filled="f" stroked="f">
          <v:textbox inset="0,0,0,0">
            <w:txbxContent>
              <w:p w14:paraId="3BA6676D"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r>
      <w:pict w14:anchorId="54CE2989">
        <v:shape id="docshape237" o:spid="_x0000_s1032" type="#_x0000_t202" style="position:absolute;margin-left:69pt;margin-top:74.8pt;width:422.95pt;height:20pt;z-index:-21753856;mso-position-horizontal-relative:page;mso-position-vertical-relative:page" filled="f" stroked="f">
          <v:textbox inset="0,0,0,0">
            <w:txbxContent>
              <w:p w14:paraId="4F447050" w14:textId="77777777" w:rsidR="00DB6E1F" w:rsidRDefault="00F666A6">
                <w:pPr>
                  <w:spacing w:line="387" w:lineRule="exact"/>
                  <w:ind w:left="60"/>
                  <w:rPr>
                    <w:b/>
                    <w:sz w:val="36"/>
                  </w:rPr>
                </w:pPr>
                <w:r>
                  <w:rPr>
                    <w:b/>
                    <w:sz w:val="36"/>
                  </w:rPr>
                  <w:fldChar w:fldCharType="begin"/>
                </w:r>
                <w:r>
                  <w:rPr>
                    <w:b/>
                    <w:sz w:val="36"/>
                  </w:rPr>
                  <w:instrText xml:space="preserve"> PAGE </w:instrText>
                </w:r>
                <w:r>
                  <w:rPr>
                    <w:b/>
                    <w:sz w:val="36"/>
                  </w:rPr>
                  <w:fldChar w:fldCharType="separate"/>
                </w:r>
                <w:r>
                  <w:rPr>
                    <w:b/>
                    <w:sz w:val="36"/>
                  </w:rPr>
                  <w:t>6</w:t>
                </w:r>
                <w:r>
                  <w:rPr>
                    <w:b/>
                    <w:sz w:val="36"/>
                  </w:rPr>
                  <w:fldChar w:fldCharType="end"/>
                </w:r>
                <w:r>
                  <w:rPr>
                    <w:b/>
                    <w:sz w:val="36"/>
                  </w:rPr>
                  <w:t>.</w:t>
                </w:r>
                <w:r>
                  <w:rPr>
                    <w:b/>
                    <w:spacing w:val="-3"/>
                    <w:sz w:val="36"/>
                  </w:rPr>
                  <w:t xml:space="preserve"> </w:t>
                </w:r>
                <w:r>
                  <w:rPr>
                    <w:b/>
                    <w:sz w:val="36"/>
                  </w:rPr>
                  <w:t>Stages</w:t>
                </w:r>
                <w:r>
                  <w:rPr>
                    <w:b/>
                    <w:spacing w:val="-2"/>
                    <w:sz w:val="36"/>
                  </w:rPr>
                  <w:t xml:space="preserve"> </w:t>
                </w:r>
                <w:r>
                  <w:rPr>
                    <w:b/>
                    <w:sz w:val="36"/>
                  </w:rPr>
                  <w:t>of</w:t>
                </w:r>
                <w:r>
                  <w:rPr>
                    <w:b/>
                    <w:spacing w:val="-3"/>
                    <w:sz w:val="36"/>
                  </w:rPr>
                  <w:t xml:space="preserve"> </w:t>
                </w:r>
                <w:r>
                  <w:rPr>
                    <w:b/>
                    <w:sz w:val="36"/>
                  </w:rPr>
                  <w:t>Change</w:t>
                </w:r>
                <w:r>
                  <w:rPr>
                    <w:b/>
                    <w:spacing w:val="-1"/>
                    <w:sz w:val="36"/>
                  </w:rPr>
                  <w:t xml:space="preserve"> </w:t>
                </w:r>
                <w:r>
                  <w:rPr>
                    <w:b/>
                    <w:sz w:val="36"/>
                  </w:rPr>
                  <w:t>Readiness</w:t>
                </w:r>
                <w:r>
                  <w:rPr>
                    <w:b/>
                    <w:spacing w:val="-2"/>
                    <w:sz w:val="36"/>
                  </w:rPr>
                  <w:t xml:space="preserve"> </w:t>
                </w:r>
                <w:r>
                  <w:rPr>
                    <w:b/>
                    <w:sz w:val="36"/>
                  </w:rPr>
                  <w:t>and</w:t>
                </w:r>
                <w:r>
                  <w:rPr>
                    <w:b/>
                    <w:spacing w:val="-1"/>
                    <w:sz w:val="36"/>
                  </w:rPr>
                  <w:t xml:space="preserve"> </w:t>
                </w:r>
                <w:r>
                  <w:rPr>
                    <w:b/>
                    <w:sz w:val="36"/>
                  </w:rPr>
                  <w:t>Treatment</w:t>
                </w:r>
                <w:r>
                  <w:rPr>
                    <w:b/>
                    <w:spacing w:val="-1"/>
                    <w:sz w:val="36"/>
                  </w:rPr>
                  <w:t xml:space="preserve"> </w:t>
                </w:r>
                <w:r>
                  <w:rPr>
                    <w:b/>
                    <w:spacing w:val="-2"/>
                    <w:sz w:val="36"/>
                  </w:rPr>
                  <w:t>Eagerness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90EC" w14:textId="77777777" w:rsidR="00DB6E1F" w:rsidRDefault="00F666A6">
    <w:pPr>
      <w:pStyle w:val="BodyText"/>
      <w:spacing w:line="14" w:lineRule="auto"/>
      <w:rPr>
        <w:sz w:val="20"/>
      </w:rPr>
    </w:pPr>
    <w:r>
      <w:pict w14:anchorId="4AAE2D47">
        <v:shapetype id="_x0000_t202" coordsize="21600,21600" o:spt="202" path="m,l,21600r21600,l21600,xe">
          <v:stroke joinstyle="miter"/>
          <v:path gradientshapeok="t" o:connecttype="rect"/>
        </v:shapetype>
        <v:shape id="docshape239" o:spid="_x0000_s1030" type="#_x0000_t202" style="position:absolute;margin-left:71pt;margin-top:37.15pt;width:272.85pt;height:24.1pt;z-index:-21752832;mso-position-horizontal-relative:page;mso-position-vertical-relative:page" filled="f" stroked="f">
          <v:textbox inset="0,0,0,0">
            <w:txbxContent>
              <w:p w14:paraId="7F3A86C6" w14:textId="77777777" w:rsidR="00DB6E1F" w:rsidRDefault="00F666A6">
                <w:pPr>
                  <w:spacing w:line="222" w:lineRule="exact"/>
                  <w:ind w:left="20"/>
                  <w:rPr>
                    <w:rFonts w:ascii="Calibri Light"/>
                    <w:i/>
                    <w:sz w:val="20"/>
                  </w:rPr>
                </w:pPr>
                <w:r>
                  <w:rPr>
                    <w:rFonts w:ascii="Calibri Light"/>
                    <w:sz w:val="20"/>
                  </w:rPr>
                  <w:t>TIP</w:t>
                </w:r>
                <w:r>
                  <w:rPr>
                    <w:rFonts w:ascii="Calibri Light"/>
                    <w:spacing w:val="-6"/>
                    <w:sz w:val="20"/>
                  </w:rPr>
                  <w:t xml:space="preserve"> </w:t>
                </w:r>
                <w:r>
                  <w:rPr>
                    <w:rFonts w:ascii="Calibri Light"/>
                    <w:sz w:val="20"/>
                  </w:rPr>
                  <w:t>35:</w:t>
                </w:r>
                <w:r>
                  <w:rPr>
                    <w:rFonts w:ascii="Calibri Light"/>
                    <w:spacing w:val="-6"/>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4"/>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6"/>
                    <w:sz w:val="20"/>
                  </w:rPr>
                  <w:t xml:space="preserve"> </w:t>
                </w:r>
                <w:r>
                  <w:rPr>
                    <w:rFonts w:ascii="Calibri Light"/>
                    <w:i/>
                    <w:sz w:val="20"/>
                  </w:rPr>
                  <w:t>in</w:t>
                </w:r>
                <w:r>
                  <w:rPr>
                    <w:rFonts w:ascii="Calibri Light"/>
                    <w:i/>
                    <w:spacing w:val="-6"/>
                    <w:sz w:val="20"/>
                  </w:rPr>
                  <w:t xml:space="preserve"> </w:t>
                </w:r>
                <w:r>
                  <w:rPr>
                    <w:rFonts w:ascii="Calibri Light"/>
                    <w:i/>
                    <w:sz w:val="20"/>
                  </w:rPr>
                  <w:t>Use</w:t>
                </w:r>
                <w:r>
                  <w:rPr>
                    <w:rFonts w:ascii="Calibri Light"/>
                    <w:i/>
                    <w:spacing w:val="-6"/>
                    <w:sz w:val="20"/>
                  </w:rPr>
                  <w:t xml:space="preserve"> </w:t>
                </w:r>
                <w:r>
                  <w:rPr>
                    <w:rFonts w:ascii="Calibri Light"/>
                    <w:i/>
                    <w:sz w:val="20"/>
                  </w:rPr>
                  <w:t>Disorder</w:t>
                </w:r>
                <w:r>
                  <w:rPr>
                    <w:rFonts w:ascii="Calibri Light"/>
                    <w:i/>
                    <w:spacing w:val="-4"/>
                    <w:sz w:val="20"/>
                  </w:rPr>
                  <w:t xml:space="preserve"> </w:t>
                </w:r>
                <w:r>
                  <w:rPr>
                    <w:rFonts w:ascii="Calibri Light"/>
                    <w:i/>
                    <w:spacing w:val="-2"/>
                    <w:sz w:val="20"/>
                  </w:rPr>
                  <w:t>Treatment</w:t>
                </w:r>
              </w:p>
              <w:p w14:paraId="0351521E" w14:textId="77777777" w:rsidR="00DB6E1F" w:rsidRDefault="00F666A6">
                <w:pPr>
                  <w:spacing w:line="243" w:lineRule="exact"/>
                  <w:ind w:left="20"/>
                  <w:rPr>
                    <w:rFonts w:ascii="Calibri Light" w:hAnsi="Calibri Light"/>
                    <w:sz w:val="20"/>
                  </w:rPr>
                </w:pPr>
                <w:r>
                  <w:rPr>
                    <w:rFonts w:ascii="Calibri Light" w:hAnsi="Calibri Light"/>
                    <w:sz w:val="20"/>
                  </w:rPr>
                  <w:t>Appendix</w:t>
                </w:r>
                <w:r>
                  <w:rPr>
                    <w:rFonts w:ascii="Calibri Light" w:hAnsi="Calibri Light"/>
                    <w:spacing w:val="-10"/>
                    <w:sz w:val="20"/>
                  </w:rPr>
                  <w:t xml:space="preserve"> </w:t>
                </w:r>
                <w:r>
                  <w:rPr>
                    <w:rFonts w:ascii="Calibri Light" w:hAnsi="Calibri Light"/>
                    <w:sz w:val="20"/>
                  </w:rPr>
                  <w:t>B—Screening</w:t>
                </w:r>
                <w:r>
                  <w:rPr>
                    <w:rFonts w:ascii="Calibri Light" w:hAnsi="Calibri Light"/>
                    <w:spacing w:val="-10"/>
                    <w:sz w:val="20"/>
                  </w:rPr>
                  <w:t xml:space="preserve"> </w:t>
                </w:r>
                <w:r>
                  <w:rPr>
                    <w:rFonts w:ascii="Calibri Light" w:hAnsi="Calibri Light"/>
                    <w:sz w:val="20"/>
                  </w:rPr>
                  <w:t>and</w:t>
                </w:r>
                <w:r>
                  <w:rPr>
                    <w:rFonts w:ascii="Calibri Light" w:hAnsi="Calibri Light"/>
                    <w:spacing w:val="-10"/>
                    <w:sz w:val="20"/>
                  </w:rPr>
                  <w:t xml:space="preserve"> </w:t>
                </w:r>
                <w:r>
                  <w:rPr>
                    <w:rFonts w:ascii="Calibri Light" w:hAnsi="Calibri Light"/>
                    <w:sz w:val="20"/>
                  </w:rPr>
                  <w:t>Assessment</w:t>
                </w:r>
                <w:r>
                  <w:rPr>
                    <w:rFonts w:ascii="Calibri Light" w:hAnsi="Calibri Light"/>
                    <w:spacing w:val="-11"/>
                    <w:sz w:val="20"/>
                  </w:rPr>
                  <w:t xml:space="preserve"> </w:t>
                </w:r>
                <w:r>
                  <w:rPr>
                    <w:rFonts w:ascii="Calibri Light" w:hAnsi="Calibri Light"/>
                    <w:spacing w:val="-2"/>
                    <w:sz w:val="20"/>
                  </w:rPr>
                  <w:t>Instruments</w:t>
                </w:r>
              </w:p>
            </w:txbxContent>
          </v:textbox>
          <w10:wrap anchorx="page" anchory="page"/>
        </v:shape>
      </w:pict>
    </w:r>
    <w:r>
      <w:pict w14:anchorId="170BCC4B">
        <v:shape id="docshape240" o:spid="_x0000_s1029" type="#_x0000_t202" style="position:absolute;margin-left:483.55pt;margin-top:37.15pt;width:57.35pt;height:12pt;z-index:-21752320;mso-position-horizontal-relative:page;mso-position-vertical-relative:page" filled="f" stroked="f">
          <v:textbox inset="0,0,0,0">
            <w:txbxContent>
              <w:p w14:paraId="522F2945"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2464" w14:textId="77777777" w:rsidR="00DB6E1F" w:rsidRDefault="00F666A6">
    <w:pPr>
      <w:pStyle w:val="BodyText"/>
      <w:spacing w:line="14" w:lineRule="auto"/>
      <w:rPr>
        <w:sz w:val="20"/>
      </w:rPr>
    </w:pPr>
    <w:r>
      <w:pict w14:anchorId="067E9729">
        <v:shapetype id="_x0000_t202" coordsize="21600,21600" o:spt="202" path="m,l,21600r21600,l21600,xe">
          <v:stroke joinstyle="miter"/>
          <v:path gradientshapeok="t" o:connecttype="rect"/>
        </v:shapetype>
        <v:shape id="docshape254" o:spid="_x0000_s1027" type="#_x0000_t202" style="position:absolute;margin-left:71pt;margin-top:37.15pt;width:316pt;height:24.1pt;z-index:-21751296;mso-position-horizontal-relative:page;mso-position-vertical-relative:page" filled="f" stroked="f">
          <v:textbox inset="0,0,0,0">
            <w:txbxContent>
              <w:p w14:paraId="0685332A"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w:t>
                </w:r>
                <w:r>
                  <w:rPr>
                    <w:rFonts w:ascii="Calibri Light"/>
                    <w:i/>
                    <w:spacing w:val="-2"/>
                    <w:sz w:val="20"/>
                  </w:rPr>
                  <w:t>t</w:t>
                </w:r>
              </w:p>
              <w:p w14:paraId="3F087998" w14:textId="77777777" w:rsidR="00DB6E1F" w:rsidRDefault="00F666A6">
                <w:pPr>
                  <w:spacing w:line="243" w:lineRule="exact"/>
                  <w:ind w:left="20"/>
                  <w:rPr>
                    <w:rFonts w:ascii="Calibri Light" w:hAnsi="Calibri Light"/>
                    <w:sz w:val="20"/>
                  </w:rPr>
                </w:pPr>
                <w:r>
                  <w:rPr>
                    <w:rFonts w:ascii="Calibri Light" w:hAnsi="Calibri Light"/>
                    <w:spacing w:val="-2"/>
                    <w:sz w:val="20"/>
                  </w:rPr>
                  <w:t>Appendix</w:t>
                </w:r>
                <w:r>
                  <w:rPr>
                    <w:rFonts w:ascii="Calibri Light" w:hAnsi="Calibri Light"/>
                    <w:spacing w:val="8"/>
                    <w:sz w:val="20"/>
                  </w:rPr>
                  <w:t xml:space="preserve"> </w:t>
                </w:r>
                <w:r>
                  <w:rPr>
                    <w:rFonts w:ascii="Calibri Light" w:hAnsi="Calibri Light"/>
                    <w:spacing w:val="-2"/>
                    <w:sz w:val="20"/>
                  </w:rPr>
                  <w:t>C—Resources</w:t>
                </w:r>
              </w:p>
            </w:txbxContent>
          </v:textbox>
          <w10:wrap anchorx="page" anchory="page"/>
        </v:shape>
      </w:pict>
    </w:r>
    <w:r>
      <w:pict w14:anchorId="4179C0C8">
        <v:shape id="docshape255" o:spid="_x0000_s1026" type="#_x0000_t202" style="position:absolute;margin-left:483.55pt;margin-top:37.15pt;width:57.35pt;height:12pt;z-index:-21750784;mso-position-horizontal-relative:page;mso-position-vertical-relative:page" filled="f" stroked="f">
          <v:textbox inset="0,0,0,0">
            <w:txbxContent>
              <w:p w14:paraId="48F65732"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77A8" w14:textId="77777777" w:rsidR="00DB6E1F" w:rsidRDefault="00DB6E1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3F62" w14:textId="77777777" w:rsidR="00DB6E1F" w:rsidRDefault="00F666A6">
    <w:pPr>
      <w:pStyle w:val="BodyText"/>
      <w:spacing w:line="14" w:lineRule="auto"/>
      <w:rPr>
        <w:sz w:val="20"/>
      </w:rPr>
    </w:pPr>
    <w:r>
      <w:pict w14:anchorId="60EEA3B9">
        <v:shapetype id="_x0000_t202" coordsize="21600,21600" o:spt="202" path="m,l,21600r21600,l21600,xe">
          <v:stroke joinstyle="miter"/>
          <v:path gradientshapeok="t" o:connecttype="rect"/>
        </v:shapetype>
        <v:shape id="docshape5" o:spid="_x0000_s1064" type="#_x0000_t202" style="position:absolute;margin-left:71pt;margin-top:37.15pt;width:316pt;height:24.1pt;z-index:-21770240;mso-position-horizontal-relative:page;mso-position-vertical-relative:page" filled="f" stroked="f">
          <v:textbox inset="0,0,0,0">
            <w:txbxContent>
              <w:p w14:paraId="616E26A1"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p w14:paraId="59CCD763" w14:textId="77777777" w:rsidR="00DB6E1F" w:rsidRDefault="00F666A6">
                <w:pPr>
                  <w:spacing w:line="243" w:lineRule="exact"/>
                  <w:ind w:left="20"/>
                  <w:rPr>
                    <w:rFonts w:ascii="Calibri Light" w:hAnsi="Calibri Light"/>
                    <w:sz w:val="20"/>
                  </w:rPr>
                </w:pPr>
                <w:r>
                  <w:rPr>
                    <w:rFonts w:ascii="Calibri Light" w:hAnsi="Calibri Light"/>
                    <w:sz w:val="20"/>
                  </w:rPr>
                  <w:t>Chapter</w:t>
                </w:r>
                <w:r>
                  <w:rPr>
                    <w:rFonts w:ascii="Calibri Light" w:hAnsi="Calibri Light"/>
                    <w:spacing w:val="-4"/>
                    <w:sz w:val="20"/>
                  </w:rPr>
                  <w:t xml:space="preserve"> </w:t>
                </w:r>
                <w:r>
                  <w:rPr>
                    <w:rFonts w:ascii="Calibri Light" w:hAnsi="Calibri Light"/>
                    <w:sz w:val="20"/>
                  </w:rPr>
                  <w:t>1—A</w:t>
                </w:r>
                <w:r>
                  <w:rPr>
                    <w:rFonts w:ascii="Calibri Light" w:hAnsi="Calibri Light"/>
                    <w:spacing w:val="-5"/>
                    <w:sz w:val="20"/>
                  </w:rPr>
                  <w:t xml:space="preserve"> </w:t>
                </w:r>
                <w:r>
                  <w:rPr>
                    <w:rFonts w:ascii="Calibri Light" w:hAnsi="Calibri Light"/>
                    <w:sz w:val="20"/>
                  </w:rPr>
                  <w:t>New</w:t>
                </w:r>
                <w:r>
                  <w:rPr>
                    <w:rFonts w:ascii="Calibri Light" w:hAnsi="Calibri Light"/>
                    <w:spacing w:val="-4"/>
                    <w:sz w:val="20"/>
                  </w:rPr>
                  <w:t xml:space="preserve"> </w:t>
                </w:r>
                <w:r>
                  <w:rPr>
                    <w:rFonts w:ascii="Calibri Light" w:hAnsi="Calibri Light"/>
                    <w:sz w:val="20"/>
                  </w:rPr>
                  <w:t>Look</w:t>
                </w:r>
                <w:r>
                  <w:rPr>
                    <w:rFonts w:ascii="Calibri Light" w:hAnsi="Calibri Light"/>
                    <w:spacing w:val="-4"/>
                    <w:sz w:val="20"/>
                  </w:rPr>
                  <w:t xml:space="preserve"> </w:t>
                </w:r>
                <w:r>
                  <w:rPr>
                    <w:rFonts w:ascii="Calibri Light" w:hAnsi="Calibri Light"/>
                    <w:sz w:val="20"/>
                  </w:rPr>
                  <w:t>at</w:t>
                </w:r>
                <w:r>
                  <w:rPr>
                    <w:rFonts w:ascii="Calibri Light" w:hAnsi="Calibri Light"/>
                    <w:spacing w:val="-5"/>
                    <w:sz w:val="20"/>
                  </w:rPr>
                  <w:t xml:space="preserve"> </w:t>
                </w:r>
                <w:r>
                  <w:rPr>
                    <w:rFonts w:ascii="Calibri Light" w:hAnsi="Calibri Light"/>
                    <w:spacing w:val="-2"/>
                    <w:sz w:val="20"/>
                  </w:rPr>
                  <w:t>Motivation</w:t>
                </w:r>
              </w:p>
            </w:txbxContent>
          </v:textbox>
          <w10:wrap anchorx="page" anchory="page"/>
        </v:shape>
      </w:pict>
    </w:r>
    <w:r>
      <w:pict w14:anchorId="3E0BD6A2">
        <v:shape id="docshape6" o:spid="_x0000_s1063" type="#_x0000_t202" style="position:absolute;margin-left:483.55pt;margin-top:37.15pt;width:57.35pt;height:12pt;z-index:-21769728;mso-position-horizontal-relative:page;mso-position-vertical-relative:page" filled="f" stroked="f">
          <v:textbox inset="0,0,0,0">
            <w:txbxContent>
              <w:p w14:paraId="3778FEDA"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D5B7" w14:textId="77777777" w:rsidR="00DB6E1F" w:rsidRDefault="00F666A6">
    <w:pPr>
      <w:pStyle w:val="BodyText"/>
      <w:spacing w:line="14" w:lineRule="auto"/>
      <w:rPr>
        <w:sz w:val="20"/>
      </w:rPr>
    </w:pPr>
    <w:r>
      <w:pict w14:anchorId="1A6A89EE">
        <v:shapetype id="_x0000_t202" coordsize="21600,21600" o:spt="202" path="m,l,21600r21600,l21600,xe">
          <v:stroke joinstyle="miter"/>
          <v:path gradientshapeok="t" o:connecttype="rect"/>
        </v:shapetype>
        <v:shape id="docshape43" o:spid="_x0000_s1061" type="#_x0000_t202" style="position:absolute;margin-left:71pt;margin-top:37.15pt;width:316pt;height:24.1pt;z-index:-21768704;mso-position-horizontal-relative:page;mso-position-vertical-relative:page" filled="f" stroked="f">
          <v:textbox inset="0,0,0,0">
            <w:txbxContent>
              <w:p w14:paraId="7A85B77E"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p w14:paraId="76DD4DD6" w14:textId="77777777" w:rsidR="00DB6E1F" w:rsidRDefault="00F666A6">
                <w:pPr>
                  <w:spacing w:line="243" w:lineRule="exact"/>
                  <w:ind w:left="20"/>
                  <w:rPr>
                    <w:rFonts w:ascii="Calibri Light" w:hAnsi="Calibri Light"/>
                    <w:sz w:val="20"/>
                  </w:rPr>
                </w:pPr>
                <w:r>
                  <w:rPr>
                    <w:rFonts w:ascii="Calibri Light" w:hAnsi="Calibri Light"/>
                    <w:sz w:val="20"/>
                  </w:rPr>
                  <w:t>Chapter</w:t>
                </w:r>
                <w:r>
                  <w:rPr>
                    <w:rFonts w:ascii="Calibri Light" w:hAnsi="Calibri Light"/>
                    <w:spacing w:val="-7"/>
                    <w:sz w:val="20"/>
                  </w:rPr>
                  <w:t xml:space="preserve"> </w:t>
                </w:r>
                <w:r>
                  <w:rPr>
                    <w:rFonts w:ascii="Calibri Light" w:hAnsi="Calibri Light"/>
                    <w:sz w:val="20"/>
                  </w:rPr>
                  <w:t>3—Motivational</w:t>
                </w:r>
                <w:r>
                  <w:rPr>
                    <w:rFonts w:ascii="Calibri Light" w:hAnsi="Calibri Light"/>
                    <w:spacing w:val="-9"/>
                    <w:sz w:val="20"/>
                  </w:rPr>
                  <w:t xml:space="preserve"> </w:t>
                </w:r>
                <w:r>
                  <w:rPr>
                    <w:rFonts w:ascii="Calibri Light" w:hAnsi="Calibri Light"/>
                    <w:sz w:val="20"/>
                  </w:rPr>
                  <w:t>Interviewing</w:t>
                </w:r>
                <w:r>
                  <w:rPr>
                    <w:rFonts w:ascii="Calibri Light" w:hAnsi="Calibri Light"/>
                    <w:spacing w:val="-8"/>
                    <w:sz w:val="20"/>
                  </w:rPr>
                  <w:t xml:space="preserve"> </w:t>
                </w:r>
                <w:r>
                  <w:rPr>
                    <w:rFonts w:ascii="Calibri Light" w:hAnsi="Calibri Light"/>
                    <w:sz w:val="20"/>
                  </w:rPr>
                  <w:t>as</w:t>
                </w:r>
                <w:r>
                  <w:rPr>
                    <w:rFonts w:ascii="Calibri Light" w:hAnsi="Calibri Light"/>
                    <w:spacing w:val="-8"/>
                    <w:sz w:val="20"/>
                  </w:rPr>
                  <w:t xml:space="preserve"> </w:t>
                </w:r>
                <w:r>
                  <w:rPr>
                    <w:rFonts w:ascii="Calibri Light" w:hAnsi="Calibri Light"/>
                    <w:sz w:val="20"/>
                  </w:rPr>
                  <w:t>a</w:t>
                </w:r>
                <w:r>
                  <w:rPr>
                    <w:rFonts w:ascii="Calibri Light" w:hAnsi="Calibri Light"/>
                    <w:spacing w:val="-8"/>
                    <w:sz w:val="20"/>
                  </w:rPr>
                  <w:t xml:space="preserve"> </w:t>
                </w:r>
                <w:r>
                  <w:rPr>
                    <w:rFonts w:ascii="Calibri Light" w:hAnsi="Calibri Light"/>
                    <w:sz w:val="20"/>
                  </w:rPr>
                  <w:t>Counseling</w:t>
                </w:r>
                <w:r>
                  <w:rPr>
                    <w:rFonts w:ascii="Calibri Light" w:hAnsi="Calibri Light"/>
                    <w:spacing w:val="-7"/>
                    <w:sz w:val="20"/>
                  </w:rPr>
                  <w:t xml:space="preserve"> </w:t>
                </w:r>
                <w:r>
                  <w:rPr>
                    <w:rFonts w:ascii="Calibri Light" w:hAnsi="Calibri Light"/>
                    <w:spacing w:val="-4"/>
                    <w:sz w:val="20"/>
                  </w:rPr>
                  <w:t>Style</w:t>
                </w:r>
              </w:p>
            </w:txbxContent>
          </v:textbox>
          <w10:wrap anchorx="page" anchory="page"/>
        </v:shape>
      </w:pict>
    </w:r>
    <w:r>
      <w:pict w14:anchorId="043A2FE7">
        <v:shape id="docshape44" o:spid="_x0000_s1060" type="#_x0000_t202" style="position:absolute;margin-left:483.55pt;margin-top:37.15pt;width:57.35pt;height:12pt;z-index:-21768192;mso-position-horizontal-relative:page;mso-position-vertical-relative:page" filled="f" stroked="f">
          <v:textbox inset="0,0,0,0">
            <w:txbxContent>
              <w:p w14:paraId="54407132"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DDFD" w14:textId="77777777" w:rsidR="00DB6E1F" w:rsidRDefault="00F666A6">
    <w:pPr>
      <w:pStyle w:val="BodyText"/>
      <w:spacing w:line="14" w:lineRule="auto"/>
      <w:rPr>
        <w:sz w:val="20"/>
      </w:rPr>
    </w:pPr>
    <w:r>
      <w:pict w14:anchorId="59EABA65">
        <v:shapetype id="_x0000_t202" coordsize="21600,21600" o:spt="202" path="m,l,21600r21600,l21600,xe">
          <v:stroke joinstyle="miter"/>
          <v:path gradientshapeok="t" o:connecttype="rect"/>
        </v:shapetype>
        <v:shape id="docshape179" o:spid="_x0000_s1058" type="#_x0000_t202" style="position:absolute;margin-left:71pt;margin-top:37.15pt;width:316pt;height:24.1pt;z-index:-21767168;mso-position-horizontal-relative:page;mso-position-vertical-relative:page" filled="f" stroked="f">
          <v:textbox inset="0,0,0,0">
            <w:txbxContent>
              <w:p w14:paraId="5985B7E2"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p w14:paraId="79EC443F" w14:textId="77777777" w:rsidR="00DB6E1F" w:rsidRDefault="00F666A6">
                <w:pPr>
                  <w:spacing w:line="243" w:lineRule="exact"/>
                  <w:ind w:left="20"/>
                  <w:rPr>
                    <w:rFonts w:ascii="Calibri Light" w:hAnsi="Calibri Light"/>
                    <w:sz w:val="20"/>
                  </w:rPr>
                </w:pPr>
                <w:r>
                  <w:rPr>
                    <w:rFonts w:ascii="Calibri Light" w:hAnsi="Calibri Light"/>
                    <w:sz w:val="20"/>
                  </w:rPr>
                  <w:t>Chapter</w:t>
                </w:r>
                <w:r>
                  <w:rPr>
                    <w:rFonts w:ascii="Calibri Light" w:hAnsi="Calibri Light"/>
                    <w:spacing w:val="-10"/>
                    <w:sz w:val="20"/>
                  </w:rPr>
                  <w:t xml:space="preserve"> </w:t>
                </w:r>
                <w:r>
                  <w:rPr>
                    <w:rFonts w:ascii="Calibri Light" w:hAnsi="Calibri Light"/>
                    <w:sz w:val="20"/>
                  </w:rPr>
                  <w:t>4—From</w:t>
                </w:r>
                <w:r>
                  <w:rPr>
                    <w:rFonts w:ascii="Calibri Light" w:hAnsi="Calibri Light"/>
                    <w:spacing w:val="-9"/>
                    <w:sz w:val="20"/>
                  </w:rPr>
                  <w:t xml:space="preserve"> </w:t>
                </w:r>
                <w:r>
                  <w:rPr>
                    <w:rFonts w:ascii="Calibri Light" w:hAnsi="Calibri Light"/>
                    <w:sz w:val="20"/>
                  </w:rPr>
                  <w:t>Precontemplation</w:t>
                </w:r>
                <w:r>
                  <w:rPr>
                    <w:rFonts w:ascii="Calibri Light" w:hAnsi="Calibri Light"/>
                    <w:spacing w:val="-10"/>
                    <w:sz w:val="20"/>
                  </w:rPr>
                  <w:t xml:space="preserve"> </w:t>
                </w:r>
                <w:r>
                  <w:rPr>
                    <w:rFonts w:ascii="Calibri Light" w:hAnsi="Calibri Light"/>
                    <w:sz w:val="20"/>
                  </w:rPr>
                  <w:t>to</w:t>
                </w:r>
                <w:r>
                  <w:rPr>
                    <w:rFonts w:ascii="Calibri Light" w:hAnsi="Calibri Light"/>
                    <w:spacing w:val="-10"/>
                    <w:sz w:val="20"/>
                  </w:rPr>
                  <w:t xml:space="preserve"> </w:t>
                </w:r>
                <w:r>
                  <w:rPr>
                    <w:rFonts w:ascii="Calibri Light" w:hAnsi="Calibri Light"/>
                    <w:sz w:val="20"/>
                  </w:rPr>
                  <w:t>Contemplation:</w:t>
                </w:r>
                <w:r>
                  <w:rPr>
                    <w:rFonts w:ascii="Calibri Light" w:hAnsi="Calibri Light"/>
                    <w:spacing w:val="-10"/>
                    <w:sz w:val="20"/>
                  </w:rPr>
                  <w:t xml:space="preserve"> </w:t>
                </w:r>
                <w:r>
                  <w:rPr>
                    <w:rFonts w:ascii="Calibri Light" w:hAnsi="Calibri Light"/>
                    <w:sz w:val="20"/>
                  </w:rPr>
                  <w:t>Building</w:t>
                </w:r>
                <w:r>
                  <w:rPr>
                    <w:rFonts w:ascii="Calibri Light" w:hAnsi="Calibri Light"/>
                    <w:spacing w:val="-10"/>
                    <w:sz w:val="20"/>
                  </w:rPr>
                  <w:t xml:space="preserve"> </w:t>
                </w:r>
                <w:r>
                  <w:rPr>
                    <w:rFonts w:ascii="Calibri Light" w:hAnsi="Calibri Light"/>
                    <w:spacing w:val="-2"/>
                    <w:sz w:val="20"/>
                  </w:rPr>
                  <w:t>Readiness</w:t>
                </w:r>
              </w:p>
            </w:txbxContent>
          </v:textbox>
          <w10:wrap anchorx="page" anchory="page"/>
        </v:shape>
      </w:pict>
    </w:r>
    <w:r>
      <w:pict w14:anchorId="1CFD9D5E">
        <v:shape id="docshape180" o:spid="_x0000_s1057" type="#_x0000_t202" style="position:absolute;margin-left:483.55pt;margin-top:37.15pt;width:57.35pt;height:12pt;z-index:-21766656;mso-position-horizontal-relative:page;mso-position-vertical-relative:page" filled="f" stroked="f">
          <v:textbox inset="0,0,0,0">
            <w:txbxContent>
              <w:p w14:paraId="2A3D05EB"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23FA" w14:textId="77777777" w:rsidR="00DB6E1F" w:rsidRDefault="00F666A6">
    <w:pPr>
      <w:pStyle w:val="BodyText"/>
      <w:spacing w:line="14" w:lineRule="auto"/>
      <w:rPr>
        <w:sz w:val="20"/>
      </w:rPr>
    </w:pPr>
    <w:r>
      <w:pict w14:anchorId="1511C402">
        <v:shapetype id="_x0000_t202" coordsize="21600,21600" o:spt="202" path="m,l,21600r21600,l21600,xe">
          <v:stroke joinstyle="miter"/>
          <v:path gradientshapeok="t" o:connecttype="rect"/>
        </v:shapetype>
        <v:shape id="docshape182" o:spid="_x0000_s1055" type="#_x0000_t202" style="position:absolute;margin-left:71pt;margin-top:37.15pt;width:316pt;height:24.1pt;z-index:-21765632;mso-position-horizontal-relative:page;mso-position-vertical-relative:page" filled="f" stroked="f">
          <v:textbox inset="0,0,0,0">
            <w:txbxContent>
              <w:p w14:paraId="1A237407"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p w14:paraId="5D26F9F9" w14:textId="77777777" w:rsidR="00DB6E1F" w:rsidRDefault="00F666A6">
                <w:pPr>
                  <w:spacing w:line="243" w:lineRule="exact"/>
                  <w:ind w:left="20"/>
                  <w:rPr>
                    <w:rFonts w:ascii="Calibri Light" w:hAnsi="Calibri Light"/>
                    <w:sz w:val="20"/>
                  </w:rPr>
                </w:pPr>
                <w:r>
                  <w:rPr>
                    <w:rFonts w:ascii="Calibri Light" w:hAnsi="Calibri Light"/>
                    <w:sz w:val="20"/>
                  </w:rPr>
                  <w:t>Chapter</w:t>
                </w:r>
                <w:r>
                  <w:rPr>
                    <w:rFonts w:ascii="Calibri Light" w:hAnsi="Calibri Light"/>
                    <w:spacing w:val="-10"/>
                    <w:sz w:val="20"/>
                  </w:rPr>
                  <w:t xml:space="preserve"> </w:t>
                </w:r>
                <w:r>
                  <w:rPr>
                    <w:rFonts w:ascii="Calibri Light" w:hAnsi="Calibri Light"/>
                    <w:sz w:val="20"/>
                  </w:rPr>
                  <w:t>5—From</w:t>
                </w:r>
                <w:r>
                  <w:rPr>
                    <w:rFonts w:ascii="Calibri Light" w:hAnsi="Calibri Light"/>
                    <w:spacing w:val="-9"/>
                    <w:sz w:val="20"/>
                  </w:rPr>
                  <w:t xml:space="preserve"> </w:t>
                </w:r>
                <w:r>
                  <w:rPr>
                    <w:rFonts w:ascii="Calibri Light" w:hAnsi="Calibri Light"/>
                    <w:sz w:val="20"/>
                  </w:rPr>
                  <w:t>Contemplation</w:t>
                </w:r>
                <w:r>
                  <w:rPr>
                    <w:rFonts w:ascii="Calibri Light" w:hAnsi="Calibri Light"/>
                    <w:spacing w:val="-10"/>
                    <w:sz w:val="20"/>
                  </w:rPr>
                  <w:t xml:space="preserve"> </w:t>
                </w:r>
                <w:r>
                  <w:rPr>
                    <w:rFonts w:ascii="Calibri Light" w:hAnsi="Calibri Light"/>
                    <w:sz w:val="20"/>
                  </w:rPr>
                  <w:t>to</w:t>
                </w:r>
                <w:r>
                  <w:rPr>
                    <w:rFonts w:ascii="Calibri Light" w:hAnsi="Calibri Light"/>
                    <w:spacing w:val="-8"/>
                    <w:sz w:val="20"/>
                  </w:rPr>
                  <w:t xml:space="preserve"> </w:t>
                </w:r>
                <w:r>
                  <w:rPr>
                    <w:rFonts w:ascii="Calibri Light" w:hAnsi="Calibri Light"/>
                    <w:sz w:val="20"/>
                  </w:rPr>
                  <w:t>Preparation:</w:t>
                </w:r>
                <w:r>
                  <w:rPr>
                    <w:rFonts w:ascii="Calibri Light" w:hAnsi="Calibri Light"/>
                    <w:spacing w:val="-10"/>
                    <w:sz w:val="20"/>
                  </w:rPr>
                  <w:t xml:space="preserve"> </w:t>
                </w:r>
                <w:r>
                  <w:rPr>
                    <w:rFonts w:ascii="Calibri Light" w:hAnsi="Calibri Light"/>
                    <w:sz w:val="20"/>
                  </w:rPr>
                  <w:t>Increasing</w:t>
                </w:r>
                <w:r>
                  <w:rPr>
                    <w:rFonts w:ascii="Calibri Light" w:hAnsi="Calibri Light"/>
                    <w:spacing w:val="-8"/>
                    <w:sz w:val="20"/>
                  </w:rPr>
                  <w:t xml:space="preserve"> </w:t>
                </w:r>
                <w:r>
                  <w:rPr>
                    <w:rFonts w:ascii="Calibri Light" w:hAnsi="Calibri Light"/>
                    <w:spacing w:val="-2"/>
                    <w:sz w:val="20"/>
                  </w:rPr>
                  <w:t>Commitment</w:t>
                </w:r>
              </w:p>
            </w:txbxContent>
          </v:textbox>
          <w10:wrap anchorx="page" anchory="page"/>
        </v:shape>
      </w:pict>
    </w:r>
    <w:r>
      <w:pict w14:anchorId="65994C67">
        <v:shape id="docshape183" o:spid="_x0000_s1054" type="#_x0000_t202" style="position:absolute;margin-left:483.55pt;margin-top:37.15pt;width:57.35pt;height:12pt;z-index:-21765120;mso-position-horizontal-relative:page;mso-position-vertical-relative:page" filled="f" stroked="f">
          <v:textbox inset="0,0,0,0">
            <w:txbxContent>
              <w:p w14:paraId="1F0777C4"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6925" w14:textId="77777777" w:rsidR="00DB6E1F" w:rsidRDefault="00F666A6">
    <w:pPr>
      <w:pStyle w:val="BodyText"/>
      <w:spacing w:line="14" w:lineRule="auto"/>
      <w:rPr>
        <w:sz w:val="20"/>
      </w:rPr>
    </w:pPr>
    <w:r>
      <w:pict w14:anchorId="504C8863">
        <v:shapetype id="_x0000_t202" coordsize="21600,21600" o:spt="202" path="m,l,21600r21600,l21600,xe">
          <v:stroke joinstyle="miter"/>
          <v:path gradientshapeok="t" o:connecttype="rect"/>
        </v:shapetype>
        <v:shape id="docshape185" o:spid="_x0000_s1052" type="#_x0000_t202" style="position:absolute;margin-left:71pt;margin-top:37.15pt;width:316pt;height:24.1pt;z-index:-21764096;mso-position-horizontal-relative:page;mso-position-vertical-relative:page" filled="f" stroked="f">
          <v:textbox inset="0,0,0,0">
            <w:txbxContent>
              <w:p w14:paraId="2F3C49FE"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p w14:paraId="36EF5749" w14:textId="77777777" w:rsidR="00DB6E1F" w:rsidRDefault="00F666A6">
                <w:pPr>
                  <w:spacing w:line="243" w:lineRule="exact"/>
                  <w:ind w:left="20"/>
                  <w:rPr>
                    <w:rFonts w:ascii="Calibri Light" w:hAnsi="Calibri Light"/>
                    <w:sz w:val="20"/>
                  </w:rPr>
                </w:pPr>
                <w:r>
                  <w:rPr>
                    <w:rFonts w:ascii="Calibri Light" w:hAnsi="Calibri Light"/>
                    <w:sz w:val="20"/>
                  </w:rPr>
                  <w:t>Chapter</w:t>
                </w:r>
                <w:r>
                  <w:rPr>
                    <w:rFonts w:ascii="Calibri Light" w:hAnsi="Calibri Light"/>
                    <w:spacing w:val="-7"/>
                    <w:sz w:val="20"/>
                  </w:rPr>
                  <w:t xml:space="preserve"> </w:t>
                </w:r>
                <w:r>
                  <w:rPr>
                    <w:rFonts w:ascii="Calibri Light" w:hAnsi="Calibri Light"/>
                    <w:sz w:val="20"/>
                  </w:rPr>
                  <w:t>6—From</w:t>
                </w:r>
                <w:r>
                  <w:rPr>
                    <w:rFonts w:ascii="Calibri Light" w:hAnsi="Calibri Light"/>
                    <w:spacing w:val="-7"/>
                    <w:sz w:val="20"/>
                  </w:rPr>
                  <w:t xml:space="preserve"> </w:t>
                </w:r>
                <w:r>
                  <w:rPr>
                    <w:rFonts w:ascii="Calibri Light" w:hAnsi="Calibri Light"/>
                    <w:sz w:val="20"/>
                  </w:rPr>
                  <w:t>Preparation</w:t>
                </w:r>
                <w:r>
                  <w:rPr>
                    <w:rFonts w:ascii="Calibri Light" w:hAnsi="Calibri Light"/>
                    <w:spacing w:val="-6"/>
                    <w:sz w:val="20"/>
                  </w:rPr>
                  <w:t xml:space="preserve"> </w:t>
                </w:r>
                <w:r>
                  <w:rPr>
                    <w:rFonts w:ascii="Calibri Light" w:hAnsi="Calibri Light"/>
                    <w:sz w:val="20"/>
                  </w:rPr>
                  <w:t>to</w:t>
                </w:r>
                <w:r>
                  <w:rPr>
                    <w:rFonts w:ascii="Calibri Light" w:hAnsi="Calibri Light"/>
                    <w:spacing w:val="-9"/>
                    <w:sz w:val="20"/>
                  </w:rPr>
                  <w:t xml:space="preserve"> </w:t>
                </w:r>
                <w:r>
                  <w:rPr>
                    <w:rFonts w:ascii="Calibri Light" w:hAnsi="Calibri Light"/>
                    <w:sz w:val="20"/>
                  </w:rPr>
                  <w:t>Action:</w:t>
                </w:r>
                <w:r>
                  <w:rPr>
                    <w:rFonts w:ascii="Calibri Light" w:hAnsi="Calibri Light"/>
                    <w:spacing w:val="-7"/>
                    <w:sz w:val="20"/>
                  </w:rPr>
                  <w:t xml:space="preserve"> </w:t>
                </w:r>
                <w:r>
                  <w:rPr>
                    <w:rFonts w:ascii="Calibri Light" w:hAnsi="Calibri Light"/>
                    <w:sz w:val="20"/>
                  </w:rPr>
                  <w:t>Initiating</w:t>
                </w:r>
                <w:r>
                  <w:rPr>
                    <w:rFonts w:ascii="Calibri Light" w:hAnsi="Calibri Light"/>
                    <w:spacing w:val="-8"/>
                    <w:sz w:val="20"/>
                  </w:rPr>
                  <w:t xml:space="preserve"> </w:t>
                </w:r>
                <w:r>
                  <w:rPr>
                    <w:rFonts w:ascii="Calibri Light" w:hAnsi="Calibri Light"/>
                    <w:spacing w:val="-2"/>
                    <w:sz w:val="20"/>
                  </w:rPr>
                  <w:t>Change</w:t>
                </w:r>
              </w:p>
            </w:txbxContent>
          </v:textbox>
          <w10:wrap anchorx="page" anchory="page"/>
        </v:shape>
      </w:pict>
    </w:r>
    <w:r>
      <w:pict w14:anchorId="2319121D">
        <v:shape id="docshape186" o:spid="_x0000_s1051" type="#_x0000_t202" style="position:absolute;margin-left:483.55pt;margin-top:37.15pt;width:57.35pt;height:12pt;z-index:-21763584;mso-position-horizontal-relative:page;mso-position-vertical-relative:page" filled="f" stroked="f">
          <v:textbox inset="0,0,0,0">
            <w:txbxContent>
              <w:p w14:paraId="3906AA6A"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5859" w14:textId="77777777" w:rsidR="00DB6E1F" w:rsidRDefault="00F666A6">
    <w:pPr>
      <w:pStyle w:val="BodyText"/>
      <w:spacing w:line="14" w:lineRule="auto"/>
      <w:rPr>
        <w:sz w:val="20"/>
      </w:rPr>
    </w:pPr>
    <w:r>
      <w:pict w14:anchorId="76E5E3EC">
        <v:shapetype id="_x0000_t202" coordsize="21600,21600" o:spt="202" path="m,l,21600r21600,l21600,xe">
          <v:stroke joinstyle="miter"/>
          <v:path gradientshapeok="t" o:connecttype="rect"/>
        </v:shapetype>
        <v:shape id="docshape188" o:spid="_x0000_s1049" type="#_x0000_t202" style="position:absolute;margin-left:71pt;margin-top:37.15pt;width:316pt;height:24.1pt;z-index:-21762560;mso-position-horizontal-relative:page;mso-position-vertical-relative:page" filled="f" stroked="f">
          <v:textbox inset="0,0,0,0">
            <w:txbxContent>
              <w:p w14:paraId="05C6C0F7"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p w14:paraId="34E5703E" w14:textId="77777777" w:rsidR="00DB6E1F" w:rsidRDefault="00F666A6">
                <w:pPr>
                  <w:spacing w:line="243" w:lineRule="exact"/>
                  <w:ind w:left="20"/>
                  <w:rPr>
                    <w:rFonts w:ascii="Calibri Light" w:hAnsi="Calibri Light"/>
                    <w:sz w:val="20"/>
                  </w:rPr>
                </w:pPr>
                <w:r>
                  <w:rPr>
                    <w:rFonts w:ascii="Calibri Light" w:hAnsi="Calibri Light"/>
                    <w:sz w:val="20"/>
                  </w:rPr>
                  <w:t>Chapter</w:t>
                </w:r>
                <w:r>
                  <w:rPr>
                    <w:rFonts w:ascii="Calibri Light" w:hAnsi="Calibri Light"/>
                    <w:spacing w:val="-7"/>
                    <w:sz w:val="20"/>
                  </w:rPr>
                  <w:t xml:space="preserve"> </w:t>
                </w:r>
                <w:r>
                  <w:rPr>
                    <w:rFonts w:ascii="Calibri Light" w:hAnsi="Calibri Light"/>
                    <w:sz w:val="20"/>
                  </w:rPr>
                  <w:t>6—From</w:t>
                </w:r>
                <w:r>
                  <w:rPr>
                    <w:rFonts w:ascii="Calibri Light" w:hAnsi="Calibri Light"/>
                    <w:spacing w:val="-7"/>
                    <w:sz w:val="20"/>
                  </w:rPr>
                  <w:t xml:space="preserve"> </w:t>
                </w:r>
                <w:r>
                  <w:rPr>
                    <w:rFonts w:ascii="Calibri Light" w:hAnsi="Calibri Light"/>
                    <w:sz w:val="20"/>
                  </w:rPr>
                  <w:t>Preparation</w:t>
                </w:r>
                <w:r>
                  <w:rPr>
                    <w:rFonts w:ascii="Calibri Light" w:hAnsi="Calibri Light"/>
                    <w:spacing w:val="-6"/>
                    <w:sz w:val="20"/>
                  </w:rPr>
                  <w:t xml:space="preserve"> </w:t>
                </w:r>
                <w:r>
                  <w:rPr>
                    <w:rFonts w:ascii="Calibri Light" w:hAnsi="Calibri Light"/>
                    <w:sz w:val="20"/>
                  </w:rPr>
                  <w:t>to</w:t>
                </w:r>
                <w:r>
                  <w:rPr>
                    <w:rFonts w:ascii="Calibri Light" w:hAnsi="Calibri Light"/>
                    <w:spacing w:val="-9"/>
                    <w:sz w:val="20"/>
                  </w:rPr>
                  <w:t xml:space="preserve"> </w:t>
                </w:r>
                <w:r>
                  <w:rPr>
                    <w:rFonts w:ascii="Calibri Light" w:hAnsi="Calibri Light"/>
                    <w:sz w:val="20"/>
                  </w:rPr>
                  <w:t>Action:</w:t>
                </w:r>
                <w:r>
                  <w:rPr>
                    <w:rFonts w:ascii="Calibri Light" w:hAnsi="Calibri Light"/>
                    <w:spacing w:val="-7"/>
                    <w:sz w:val="20"/>
                  </w:rPr>
                  <w:t xml:space="preserve"> </w:t>
                </w:r>
                <w:r>
                  <w:rPr>
                    <w:rFonts w:ascii="Calibri Light" w:hAnsi="Calibri Light"/>
                    <w:sz w:val="20"/>
                  </w:rPr>
                  <w:t>Initiating</w:t>
                </w:r>
                <w:r>
                  <w:rPr>
                    <w:rFonts w:ascii="Calibri Light" w:hAnsi="Calibri Light"/>
                    <w:spacing w:val="-8"/>
                    <w:sz w:val="20"/>
                  </w:rPr>
                  <w:t xml:space="preserve"> </w:t>
                </w:r>
                <w:r>
                  <w:rPr>
                    <w:rFonts w:ascii="Calibri Light" w:hAnsi="Calibri Light"/>
                    <w:spacing w:val="-2"/>
                    <w:sz w:val="20"/>
                  </w:rPr>
                  <w:t>Change</w:t>
                </w:r>
              </w:p>
            </w:txbxContent>
          </v:textbox>
          <w10:wrap anchorx="page" anchory="page"/>
        </v:shape>
      </w:pict>
    </w:r>
    <w:r>
      <w:pict w14:anchorId="6C65D336">
        <v:shape id="docshape189" o:spid="_x0000_s1048" type="#_x0000_t202" style="position:absolute;margin-left:483.55pt;margin-top:37.15pt;width:57.35pt;height:12pt;z-index:-21762048;mso-position-horizontal-relative:page;mso-position-vertical-relative:page" filled="f" stroked="f">
          <v:textbox inset="0,0,0,0">
            <w:txbxContent>
              <w:p w14:paraId="3469EAFB"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C6AB" w14:textId="77777777" w:rsidR="00DB6E1F" w:rsidRDefault="00F666A6">
    <w:pPr>
      <w:pStyle w:val="BodyText"/>
      <w:spacing w:line="14" w:lineRule="auto"/>
      <w:rPr>
        <w:sz w:val="20"/>
      </w:rPr>
    </w:pPr>
    <w:r>
      <w:pict w14:anchorId="46BA69E7">
        <v:shapetype id="_x0000_t202" coordsize="21600,21600" o:spt="202" path="m,l,21600r21600,l21600,xe">
          <v:stroke joinstyle="miter"/>
          <v:path gradientshapeok="t" o:connecttype="rect"/>
        </v:shapetype>
        <v:shape id="docshape191" o:spid="_x0000_s1046" type="#_x0000_t202" style="position:absolute;margin-left:71pt;margin-top:37.15pt;width:316pt;height:24.1pt;z-index:-21761024;mso-position-horizontal-relative:page;mso-position-vertical-relative:page" filled="f" stroked="f">
          <v:textbox inset="0,0,0,0">
            <w:txbxContent>
              <w:p w14:paraId="03D954CB"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p w14:paraId="4396B1FC" w14:textId="77777777" w:rsidR="00DB6E1F" w:rsidRDefault="00F666A6">
                <w:pPr>
                  <w:spacing w:line="243" w:lineRule="exact"/>
                  <w:ind w:left="20"/>
                  <w:rPr>
                    <w:rFonts w:ascii="Calibri Light" w:hAnsi="Calibri Light"/>
                    <w:sz w:val="20"/>
                  </w:rPr>
                </w:pPr>
                <w:r>
                  <w:rPr>
                    <w:rFonts w:ascii="Calibri Light" w:hAnsi="Calibri Light"/>
                    <w:sz w:val="20"/>
                  </w:rPr>
                  <w:t>Chapter</w:t>
                </w:r>
                <w:r>
                  <w:rPr>
                    <w:rFonts w:ascii="Calibri Light" w:hAnsi="Calibri Light"/>
                    <w:spacing w:val="-8"/>
                    <w:sz w:val="20"/>
                  </w:rPr>
                  <w:t xml:space="preserve"> </w:t>
                </w:r>
                <w:r>
                  <w:rPr>
                    <w:rFonts w:ascii="Calibri Light" w:hAnsi="Calibri Light"/>
                    <w:sz w:val="20"/>
                  </w:rPr>
                  <w:t>7—From</w:t>
                </w:r>
                <w:r>
                  <w:rPr>
                    <w:rFonts w:ascii="Calibri Light" w:hAnsi="Calibri Light"/>
                    <w:spacing w:val="-8"/>
                    <w:sz w:val="20"/>
                  </w:rPr>
                  <w:t xml:space="preserve"> </w:t>
                </w:r>
                <w:r>
                  <w:rPr>
                    <w:rFonts w:ascii="Calibri Light" w:hAnsi="Calibri Light"/>
                    <w:sz w:val="20"/>
                  </w:rPr>
                  <w:t>Action</w:t>
                </w:r>
                <w:r>
                  <w:rPr>
                    <w:rFonts w:ascii="Calibri Light" w:hAnsi="Calibri Light"/>
                    <w:spacing w:val="-6"/>
                    <w:sz w:val="20"/>
                  </w:rPr>
                  <w:t xml:space="preserve"> </w:t>
                </w:r>
                <w:r>
                  <w:rPr>
                    <w:rFonts w:ascii="Calibri Light" w:hAnsi="Calibri Light"/>
                    <w:sz w:val="20"/>
                  </w:rPr>
                  <w:t>to</w:t>
                </w:r>
                <w:r>
                  <w:rPr>
                    <w:rFonts w:ascii="Calibri Light" w:hAnsi="Calibri Light"/>
                    <w:spacing w:val="-9"/>
                    <w:sz w:val="20"/>
                  </w:rPr>
                  <w:t xml:space="preserve"> </w:t>
                </w:r>
                <w:r>
                  <w:rPr>
                    <w:rFonts w:ascii="Calibri Light" w:hAnsi="Calibri Light"/>
                    <w:sz w:val="20"/>
                  </w:rPr>
                  <w:t>Maintenance:</w:t>
                </w:r>
                <w:r>
                  <w:rPr>
                    <w:rFonts w:ascii="Calibri Light" w:hAnsi="Calibri Light"/>
                    <w:spacing w:val="-9"/>
                    <w:sz w:val="20"/>
                  </w:rPr>
                  <w:t xml:space="preserve"> </w:t>
                </w:r>
                <w:r>
                  <w:rPr>
                    <w:rFonts w:ascii="Calibri Light" w:hAnsi="Calibri Light"/>
                    <w:sz w:val="20"/>
                  </w:rPr>
                  <w:t>Stabilizing</w:t>
                </w:r>
                <w:r>
                  <w:rPr>
                    <w:rFonts w:ascii="Calibri Light" w:hAnsi="Calibri Light"/>
                    <w:spacing w:val="-8"/>
                    <w:sz w:val="20"/>
                  </w:rPr>
                  <w:t xml:space="preserve"> </w:t>
                </w:r>
                <w:r>
                  <w:rPr>
                    <w:rFonts w:ascii="Calibri Light" w:hAnsi="Calibri Light"/>
                    <w:spacing w:val="-2"/>
                    <w:sz w:val="20"/>
                  </w:rPr>
                  <w:t>Change</w:t>
                </w:r>
              </w:p>
            </w:txbxContent>
          </v:textbox>
          <w10:wrap anchorx="page" anchory="page"/>
        </v:shape>
      </w:pict>
    </w:r>
    <w:r>
      <w:pict w14:anchorId="787D8F7E">
        <v:shape id="docshape192" o:spid="_x0000_s1045" type="#_x0000_t202" style="position:absolute;margin-left:483.55pt;margin-top:37.15pt;width:57.35pt;height:12pt;z-index:-21760512;mso-position-horizontal-relative:page;mso-position-vertical-relative:page" filled="f" stroked="f">
          <v:textbox inset="0,0,0,0">
            <w:txbxContent>
              <w:p w14:paraId="5E524616"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4C66" w14:textId="77777777" w:rsidR="00DB6E1F" w:rsidRDefault="00F666A6">
    <w:pPr>
      <w:pStyle w:val="BodyText"/>
      <w:spacing w:line="14" w:lineRule="auto"/>
      <w:rPr>
        <w:sz w:val="20"/>
      </w:rPr>
    </w:pPr>
    <w:r>
      <w:pict w14:anchorId="2D3EA4A0">
        <v:shapetype id="_x0000_t202" coordsize="21600,21600" o:spt="202" path="m,l,21600r21600,l21600,xe">
          <v:stroke joinstyle="miter"/>
          <v:path gradientshapeok="t" o:connecttype="rect"/>
        </v:shapetype>
        <v:shape id="docshape194" o:spid="_x0000_s1043" type="#_x0000_t202" style="position:absolute;margin-left:71pt;margin-top:37.15pt;width:316pt;height:24.1pt;z-index:-21759488;mso-position-horizontal-relative:page;mso-position-vertical-relative:page" filled="f" stroked="f">
          <v:textbox inset="0,0,0,0">
            <w:txbxContent>
              <w:p w14:paraId="19BC273E" w14:textId="77777777" w:rsidR="00DB6E1F" w:rsidRDefault="00F666A6">
                <w:pPr>
                  <w:spacing w:line="222" w:lineRule="exact"/>
                  <w:ind w:left="20"/>
                  <w:rPr>
                    <w:rFonts w:ascii="Calibri Light"/>
                    <w:i/>
                    <w:sz w:val="20"/>
                  </w:rPr>
                </w:pPr>
                <w:r>
                  <w:rPr>
                    <w:rFonts w:ascii="Calibri Light"/>
                    <w:sz w:val="20"/>
                  </w:rPr>
                  <w:t>TIP</w:t>
                </w:r>
                <w:r>
                  <w:rPr>
                    <w:rFonts w:ascii="Calibri Light"/>
                    <w:spacing w:val="-7"/>
                    <w:sz w:val="20"/>
                  </w:rPr>
                  <w:t xml:space="preserve"> </w:t>
                </w:r>
                <w:r>
                  <w:rPr>
                    <w:rFonts w:ascii="Calibri Light"/>
                    <w:sz w:val="20"/>
                  </w:rPr>
                  <w:t>35:</w:t>
                </w:r>
                <w:r>
                  <w:rPr>
                    <w:rFonts w:ascii="Calibri Light"/>
                    <w:spacing w:val="-7"/>
                    <w:sz w:val="20"/>
                  </w:rPr>
                  <w:t xml:space="preserve"> </w:t>
                </w:r>
                <w:r>
                  <w:rPr>
                    <w:rFonts w:ascii="Calibri Light"/>
                    <w:i/>
                    <w:sz w:val="20"/>
                  </w:rPr>
                  <w:t>Enhancing</w:t>
                </w:r>
                <w:r>
                  <w:rPr>
                    <w:rFonts w:ascii="Calibri Light"/>
                    <w:i/>
                    <w:spacing w:val="-5"/>
                    <w:sz w:val="20"/>
                  </w:rPr>
                  <w:t xml:space="preserve"> </w:t>
                </w:r>
                <w:r>
                  <w:rPr>
                    <w:rFonts w:ascii="Calibri Light"/>
                    <w:i/>
                    <w:sz w:val="20"/>
                  </w:rPr>
                  <w:t>Motivation</w:t>
                </w:r>
                <w:r>
                  <w:rPr>
                    <w:rFonts w:ascii="Calibri Light"/>
                    <w:i/>
                    <w:spacing w:val="-5"/>
                    <w:sz w:val="20"/>
                  </w:rPr>
                  <w:t xml:space="preserve"> </w:t>
                </w:r>
                <w:r>
                  <w:rPr>
                    <w:rFonts w:ascii="Calibri Light"/>
                    <w:i/>
                    <w:sz w:val="20"/>
                  </w:rPr>
                  <w:t>for</w:t>
                </w:r>
                <w:r>
                  <w:rPr>
                    <w:rFonts w:ascii="Calibri Light"/>
                    <w:i/>
                    <w:spacing w:val="-6"/>
                    <w:sz w:val="20"/>
                  </w:rPr>
                  <w:t xml:space="preserve"> </w:t>
                </w:r>
                <w:r>
                  <w:rPr>
                    <w:rFonts w:ascii="Calibri Light"/>
                    <w:i/>
                    <w:sz w:val="20"/>
                  </w:rPr>
                  <w:t>Change</w:t>
                </w:r>
                <w:r>
                  <w:rPr>
                    <w:rFonts w:ascii="Calibri Light"/>
                    <w:i/>
                    <w:spacing w:val="-7"/>
                    <w:sz w:val="20"/>
                  </w:rPr>
                  <w:t xml:space="preserve"> </w:t>
                </w:r>
                <w:r>
                  <w:rPr>
                    <w:rFonts w:ascii="Calibri Light"/>
                    <w:i/>
                    <w:sz w:val="20"/>
                  </w:rPr>
                  <w:t>in</w:t>
                </w:r>
                <w:r>
                  <w:rPr>
                    <w:rFonts w:ascii="Calibri Light"/>
                    <w:i/>
                    <w:spacing w:val="-7"/>
                    <w:sz w:val="20"/>
                  </w:rPr>
                  <w:t xml:space="preserve"> </w:t>
                </w:r>
                <w:r>
                  <w:rPr>
                    <w:rFonts w:ascii="Calibri Light"/>
                    <w:i/>
                    <w:sz w:val="20"/>
                  </w:rPr>
                  <w:t>Substance</w:t>
                </w:r>
                <w:r>
                  <w:rPr>
                    <w:rFonts w:ascii="Calibri Light"/>
                    <w:i/>
                    <w:spacing w:val="-6"/>
                    <w:sz w:val="20"/>
                  </w:rPr>
                  <w:t xml:space="preserve"> </w:t>
                </w:r>
                <w:r>
                  <w:rPr>
                    <w:rFonts w:ascii="Calibri Light"/>
                    <w:i/>
                    <w:sz w:val="20"/>
                  </w:rPr>
                  <w:t>Use</w:t>
                </w:r>
                <w:r>
                  <w:rPr>
                    <w:rFonts w:ascii="Calibri Light"/>
                    <w:i/>
                    <w:spacing w:val="-5"/>
                    <w:sz w:val="20"/>
                  </w:rPr>
                  <w:t xml:space="preserve"> </w:t>
                </w:r>
                <w:r>
                  <w:rPr>
                    <w:rFonts w:ascii="Calibri Light"/>
                    <w:i/>
                    <w:sz w:val="20"/>
                  </w:rPr>
                  <w:t>Disorder</w:t>
                </w:r>
                <w:r>
                  <w:rPr>
                    <w:rFonts w:ascii="Calibri Light"/>
                    <w:i/>
                    <w:spacing w:val="-5"/>
                    <w:sz w:val="20"/>
                  </w:rPr>
                  <w:t xml:space="preserve"> </w:t>
                </w:r>
                <w:r>
                  <w:rPr>
                    <w:rFonts w:ascii="Calibri Light"/>
                    <w:i/>
                    <w:spacing w:val="-2"/>
                    <w:sz w:val="20"/>
                  </w:rPr>
                  <w:t>Treatment</w:t>
                </w:r>
              </w:p>
              <w:p w14:paraId="623A39EE" w14:textId="77777777" w:rsidR="00DB6E1F" w:rsidRDefault="00F666A6">
                <w:pPr>
                  <w:spacing w:line="243" w:lineRule="exact"/>
                  <w:ind w:left="20"/>
                  <w:rPr>
                    <w:rFonts w:ascii="Calibri Light" w:hAnsi="Calibri Light"/>
                    <w:sz w:val="20"/>
                  </w:rPr>
                </w:pPr>
                <w:r>
                  <w:rPr>
                    <w:rFonts w:ascii="Calibri Light" w:hAnsi="Calibri Light"/>
                    <w:sz w:val="20"/>
                  </w:rPr>
                  <w:t>Chapter</w:t>
                </w:r>
                <w:r>
                  <w:rPr>
                    <w:rFonts w:ascii="Calibri Light" w:hAnsi="Calibri Light"/>
                    <w:spacing w:val="-9"/>
                    <w:sz w:val="20"/>
                  </w:rPr>
                  <w:t xml:space="preserve"> </w:t>
                </w:r>
                <w:r>
                  <w:rPr>
                    <w:rFonts w:ascii="Calibri Light" w:hAnsi="Calibri Light"/>
                    <w:sz w:val="20"/>
                  </w:rPr>
                  <w:t>8—Integrating</w:t>
                </w:r>
                <w:r>
                  <w:rPr>
                    <w:rFonts w:ascii="Calibri Light" w:hAnsi="Calibri Light"/>
                    <w:spacing w:val="-9"/>
                    <w:sz w:val="20"/>
                  </w:rPr>
                  <w:t xml:space="preserve"> </w:t>
                </w:r>
                <w:r>
                  <w:rPr>
                    <w:rFonts w:ascii="Calibri Light" w:hAnsi="Calibri Light"/>
                    <w:sz w:val="20"/>
                  </w:rPr>
                  <w:t>Motivational</w:t>
                </w:r>
                <w:r>
                  <w:rPr>
                    <w:rFonts w:ascii="Calibri Light" w:hAnsi="Calibri Light"/>
                    <w:spacing w:val="-10"/>
                    <w:sz w:val="20"/>
                  </w:rPr>
                  <w:t xml:space="preserve"> </w:t>
                </w:r>
                <w:r>
                  <w:rPr>
                    <w:rFonts w:ascii="Calibri Light" w:hAnsi="Calibri Light"/>
                    <w:sz w:val="20"/>
                  </w:rPr>
                  <w:t>Approaches</w:t>
                </w:r>
                <w:r>
                  <w:rPr>
                    <w:rFonts w:ascii="Calibri Light" w:hAnsi="Calibri Light"/>
                    <w:spacing w:val="-7"/>
                    <w:sz w:val="20"/>
                  </w:rPr>
                  <w:t xml:space="preserve"> </w:t>
                </w:r>
                <w:r>
                  <w:rPr>
                    <w:rFonts w:ascii="Calibri Light" w:hAnsi="Calibri Light"/>
                    <w:sz w:val="20"/>
                  </w:rPr>
                  <w:t>in</w:t>
                </w:r>
                <w:r>
                  <w:rPr>
                    <w:rFonts w:ascii="Calibri Light" w:hAnsi="Calibri Light"/>
                    <w:spacing w:val="-9"/>
                    <w:sz w:val="20"/>
                  </w:rPr>
                  <w:t xml:space="preserve"> </w:t>
                </w:r>
                <w:r>
                  <w:rPr>
                    <w:rFonts w:ascii="Calibri Light" w:hAnsi="Calibri Light"/>
                    <w:sz w:val="20"/>
                  </w:rPr>
                  <w:t>SUD</w:t>
                </w:r>
                <w:r>
                  <w:rPr>
                    <w:rFonts w:ascii="Calibri Light" w:hAnsi="Calibri Light"/>
                    <w:spacing w:val="-10"/>
                    <w:sz w:val="20"/>
                  </w:rPr>
                  <w:t xml:space="preserve"> </w:t>
                </w:r>
                <w:r>
                  <w:rPr>
                    <w:rFonts w:ascii="Calibri Light" w:hAnsi="Calibri Light"/>
                    <w:sz w:val="20"/>
                  </w:rPr>
                  <w:t>Treatment</w:t>
                </w:r>
                <w:r>
                  <w:rPr>
                    <w:rFonts w:ascii="Calibri Light" w:hAnsi="Calibri Light"/>
                    <w:spacing w:val="-10"/>
                    <w:sz w:val="20"/>
                  </w:rPr>
                  <w:t xml:space="preserve"> </w:t>
                </w:r>
                <w:r>
                  <w:rPr>
                    <w:rFonts w:ascii="Calibri Light" w:hAnsi="Calibri Light"/>
                    <w:spacing w:val="-2"/>
                    <w:sz w:val="20"/>
                  </w:rPr>
                  <w:t>Settings</w:t>
                </w:r>
              </w:p>
            </w:txbxContent>
          </v:textbox>
          <w10:wrap anchorx="page" anchory="page"/>
        </v:shape>
      </w:pict>
    </w:r>
    <w:r>
      <w:pict w14:anchorId="573E475E">
        <v:shape id="docshape195" o:spid="_x0000_s1042" type="#_x0000_t202" style="position:absolute;margin-left:483.55pt;margin-top:37.15pt;width:57.35pt;height:12pt;z-index:-21758976;mso-position-horizontal-relative:page;mso-position-vertical-relative:page" filled="f" stroked="f">
          <v:textbox inset="0,0,0,0">
            <w:txbxContent>
              <w:p w14:paraId="56ED392A" w14:textId="77777777" w:rsidR="00DB6E1F" w:rsidRDefault="00F666A6">
                <w:pPr>
                  <w:spacing w:line="223" w:lineRule="exact"/>
                  <w:ind w:left="20"/>
                  <w:rPr>
                    <w:rFonts w:ascii="Calibri Light"/>
                    <w:sz w:val="20"/>
                  </w:rPr>
                </w:pPr>
                <w:r>
                  <w:rPr>
                    <w:rFonts w:ascii="Calibri Light"/>
                    <w:sz w:val="20"/>
                  </w:rPr>
                  <w:t>October</w:t>
                </w:r>
                <w:r>
                  <w:rPr>
                    <w:rFonts w:ascii="Calibri Light"/>
                    <w:spacing w:val="-10"/>
                    <w:sz w:val="20"/>
                  </w:rPr>
                  <w:t xml:space="preserve"> </w:t>
                </w:r>
                <w:r>
                  <w:rPr>
                    <w:rFonts w:ascii="Calibri Light"/>
                    <w:spacing w:val="-4"/>
                    <w:sz w:val="20"/>
                  </w:rPr>
                  <w:t>2019</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1EB"/>
    <w:multiLevelType w:val="hybridMultilevel"/>
    <w:tmpl w:val="32B0D362"/>
    <w:lvl w:ilvl="0" w:tplc="E45C2AE8">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5C602C24">
      <w:numFmt w:val="bullet"/>
      <w:lvlText w:val="•"/>
      <w:lvlJc w:val="left"/>
      <w:pPr>
        <w:ind w:left="1204" w:hanging="202"/>
      </w:pPr>
      <w:rPr>
        <w:rFonts w:hint="default"/>
      </w:rPr>
    </w:lvl>
    <w:lvl w:ilvl="2" w:tplc="D3169A4C">
      <w:numFmt w:val="bullet"/>
      <w:lvlText w:val="•"/>
      <w:lvlJc w:val="left"/>
      <w:pPr>
        <w:ind w:left="2108" w:hanging="202"/>
      </w:pPr>
      <w:rPr>
        <w:rFonts w:hint="default"/>
      </w:rPr>
    </w:lvl>
    <w:lvl w:ilvl="3" w:tplc="CF8853D4">
      <w:numFmt w:val="bullet"/>
      <w:lvlText w:val="•"/>
      <w:lvlJc w:val="left"/>
      <w:pPr>
        <w:ind w:left="3012" w:hanging="202"/>
      </w:pPr>
      <w:rPr>
        <w:rFonts w:hint="default"/>
      </w:rPr>
    </w:lvl>
    <w:lvl w:ilvl="4" w:tplc="54A0F036">
      <w:numFmt w:val="bullet"/>
      <w:lvlText w:val="•"/>
      <w:lvlJc w:val="left"/>
      <w:pPr>
        <w:ind w:left="3916" w:hanging="202"/>
      </w:pPr>
      <w:rPr>
        <w:rFonts w:hint="default"/>
      </w:rPr>
    </w:lvl>
    <w:lvl w:ilvl="5" w:tplc="C6E03410">
      <w:numFmt w:val="bullet"/>
      <w:lvlText w:val="•"/>
      <w:lvlJc w:val="left"/>
      <w:pPr>
        <w:ind w:left="4820" w:hanging="202"/>
      </w:pPr>
      <w:rPr>
        <w:rFonts w:hint="default"/>
      </w:rPr>
    </w:lvl>
    <w:lvl w:ilvl="6" w:tplc="A9C0A38E">
      <w:numFmt w:val="bullet"/>
      <w:lvlText w:val="•"/>
      <w:lvlJc w:val="left"/>
      <w:pPr>
        <w:ind w:left="5724" w:hanging="202"/>
      </w:pPr>
      <w:rPr>
        <w:rFonts w:hint="default"/>
      </w:rPr>
    </w:lvl>
    <w:lvl w:ilvl="7" w:tplc="2A3EF60C">
      <w:numFmt w:val="bullet"/>
      <w:lvlText w:val="•"/>
      <w:lvlJc w:val="left"/>
      <w:pPr>
        <w:ind w:left="6628" w:hanging="202"/>
      </w:pPr>
      <w:rPr>
        <w:rFonts w:hint="default"/>
      </w:rPr>
    </w:lvl>
    <w:lvl w:ilvl="8" w:tplc="C29EA2D0">
      <w:numFmt w:val="bullet"/>
      <w:lvlText w:val="•"/>
      <w:lvlJc w:val="left"/>
      <w:pPr>
        <w:ind w:left="7532" w:hanging="202"/>
      </w:pPr>
      <w:rPr>
        <w:rFonts w:hint="default"/>
      </w:rPr>
    </w:lvl>
  </w:abstractNum>
  <w:abstractNum w:abstractNumId="1" w15:restartNumberingAfterBreak="0">
    <w:nsid w:val="02DF62D2"/>
    <w:multiLevelType w:val="hybridMultilevel"/>
    <w:tmpl w:val="CDEA1F2E"/>
    <w:lvl w:ilvl="0" w:tplc="7B34EE7C">
      <w:numFmt w:val="bullet"/>
      <w:lvlText w:val=""/>
      <w:lvlJc w:val="left"/>
      <w:pPr>
        <w:ind w:left="465" w:hanging="360"/>
      </w:pPr>
      <w:rPr>
        <w:rFonts w:ascii="Symbol" w:eastAsia="Symbol" w:hAnsi="Symbol" w:cs="Symbol" w:hint="default"/>
        <w:b w:val="0"/>
        <w:bCs w:val="0"/>
        <w:i w:val="0"/>
        <w:iCs w:val="0"/>
        <w:w w:val="99"/>
        <w:sz w:val="20"/>
        <w:szCs w:val="20"/>
      </w:rPr>
    </w:lvl>
    <w:lvl w:ilvl="1" w:tplc="986CD032">
      <w:numFmt w:val="bullet"/>
      <w:lvlText w:val="•"/>
      <w:lvlJc w:val="left"/>
      <w:pPr>
        <w:ind w:left="853" w:hanging="360"/>
      </w:pPr>
      <w:rPr>
        <w:rFonts w:hint="default"/>
      </w:rPr>
    </w:lvl>
    <w:lvl w:ilvl="2" w:tplc="A42826B4">
      <w:numFmt w:val="bullet"/>
      <w:lvlText w:val="•"/>
      <w:lvlJc w:val="left"/>
      <w:pPr>
        <w:ind w:left="1246" w:hanging="360"/>
      </w:pPr>
      <w:rPr>
        <w:rFonts w:hint="default"/>
      </w:rPr>
    </w:lvl>
    <w:lvl w:ilvl="3" w:tplc="111225F8">
      <w:numFmt w:val="bullet"/>
      <w:lvlText w:val="•"/>
      <w:lvlJc w:val="left"/>
      <w:pPr>
        <w:ind w:left="1640" w:hanging="360"/>
      </w:pPr>
      <w:rPr>
        <w:rFonts w:hint="default"/>
      </w:rPr>
    </w:lvl>
    <w:lvl w:ilvl="4" w:tplc="E662D7E2">
      <w:numFmt w:val="bullet"/>
      <w:lvlText w:val="•"/>
      <w:lvlJc w:val="left"/>
      <w:pPr>
        <w:ind w:left="2033" w:hanging="360"/>
      </w:pPr>
      <w:rPr>
        <w:rFonts w:hint="default"/>
      </w:rPr>
    </w:lvl>
    <w:lvl w:ilvl="5" w:tplc="A8CAB86A">
      <w:numFmt w:val="bullet"/>
      <w:lvlText w:val="•"/>
      <w:lvlJc w:val="left"/>
      <w:pPr>
        <w:ind w:left="2427" w:hanging="360"/>
      </w:pPr>
      <w:rPr>
        <w:rFonts w:hint="default"/>
      </w:rPr>
    </w:lvl>
    <w:lvl w:ilvl="6" w:tplc="643E05FA">
      <w:numFmt w:val="bullet"/>
      <w:lvlText w:val="•"/>
      <w:lvlJc w:val="left"/>
      <w:pPr>
        <w:ind w:left="2820" w:hanging="360"/>
      </w:pPr>
      <w:rPr>
        <w:rFonts w:hint="default"/>
      </w:rPr>
    </w:lvl>
    <w:lvl w:ilvl="7" w:tplc="C4929108">
      <w:numFmt w:val="bullet"/>
      <w:lvlText w:val="•"/>
      <w:lvlJc w:val="left"/>
      <w:pPr>
        <w:ind w:left="3213" w:hanging="360"/>
      </w:pPr>
      <w:rPr>
        <w:rFonts w:hint="default"/>
      </w:rPr>
    </w:lvl>
    <w:lvl w:ilvl="8" w:tplc="884EA4EC">
      <w:numFmt w:val="bullet"/>
      <w:lvlText w:val="•"/>
      <w:lvlJc w:val="left"/>
      <w:pPr>
        <w:ind w:left="3607" w:hanging="360"/>
      </w:pPr>
      <w:rPr>
        <w:rFonts w:hint="default"/>
      </w:rPr>
    </w:lvl>
  </w:abstractNum>
  <w:abstractNum w:abstractNumId="2" w15:restartNumberingAfterBreak="0">
    <w:nsid w:val="03B42DBA"/>
    <w:multiLevelType w:val="hybridMultilevel"/>
    <w:tmpl w:val="0EE47C9A"/>
    <w:lvl w:ilvl="0" w:tplc="95BE3840">
      <w:numFmt w:val="bullet"/>
      <w:lvlText w:val=""/>
      <w:lvlJc w:val="left"/>
      <w:pPr>
        <w:ind w:left="467" w:hanging="360"/>
      </w:pPr>
      <w:rPr>
        <w:rFonts w:ascii="Symbol" w:eastAsia="Symbol" w:hAnsi="Symbol" w:cs="Symbol" w:hint="default"/>
        <w:b w:val="0"/>
        <w:bCs w:val="0"/>
        <w:i w:val="0"/>
        <w:iCs w:val="0"/>
        <w:w w:val="99"/>
        <w:sz w:val="20"/>
        <w:szCs w:val="20"/>
      </w:rPr>
    </w:lvl>
    <w:lvl w:ilvl="1" w:tplc="7A2C511E">
      <w:numFmt w:val="bullet"/>
      <w:lvlText w:val="•"/>
      <w:lvlJc w:val="left"/>
      <w:pPr>
        <w:ind w:left="1348" w:hanging="360"/>
      </w:pPr>
      <w:rPr>
        <w:rFonts w:hint="default"/>
      </w:rPr>
    </w:lvl>
    <w:lvl w:ilvl="2" w:tplc="6EFE9EE4">
      <w:numFmt w:val="bullet"/>
      <w:lvlText w:val="•"/>
      <w:lvlJc w:val="left"/>
      <w:pPr>
        <w:ind w:left="2236" w:hanging="360"/>
      </w:pPr>
      <w:rPr>
        <w:rFonts w:hint="default"/>
      </w:rPr>
    </w:lvl>
    <w:lvl w:ilvl="3" w:tplc="1A62790A">
      <w:numFmt w:val="bullet"/>
      <w:lvlText w:val="•"/>
      <w:lvlJc w:val="left"/>
      <w:pPr>
        <w:ind w:left="3124" w:hanging="360"/>
      </w:pPr>
      <w:rPr>
        <w:rFonts w:hint="default"/>
      </w:rPr>
    </w:lvl>
    <w:lvl w:ilvl="4" w:tplc="F03A8884">
      <w:numFmt w:val="bullet"/>
      <w:lvlText w:val="•"/>
      <w:lvlJc w:val="left"/>
      <w:pPr>
        <w:ind w:left="4012" w:hanging="360"/>
      </w:pPr>
      <w:rPr>
        <w:rFonts w:hint="default"/>
      </w:rPr>
    </w:lvl>
    <w:lvl w:ilvl="5" w:tplc="C2DCE444">
      <w:numFmt w:val="bullet"/>
      <w:lvlText w:val="•"/>
      <w:lvlJc w:val="left"/>
      <w:pPr>
        <w:ind w:left="4900" w:hanging="360"/>
      </w:pPr>
      <w:rPr>
        <w:rFonts w:hint="default"/>
      </w:rPr>
    </w:lvl>
    <w:lvl w:ilvl="6" w:tplc="BA169866">
      <w:numFmt w:val="bullet"/>
      <w:lvlText w:val="•"/>
      <w:lvlJc w:val="left"/>
      <w:pPr>
        <w:ind w:left="5788" w:hanging="360"/>
      </w:pPr>
      <w:rPr>
        <w:rFonts w:hint="default"/>
      </w:rPr>
    </w:lvl>
    <w:lvl w:ilvl="7" w:tplc="01A8097E">
      <w:numFmt w:val="bullet"/>
      <w:lvlText w:val="•"/>
      <w:lvlJc w:val="left"/>
      <w:pPr>
        <w:ind w:left="6676" w:hanging="360"/>
      </w:pPr>
      <w:rPr>
        <w:rFonts w:hint="default"/>
      </w:rPr>
    </w:lvl>
    <w:lvl w:ilvl="8" w:tplc="6FC415B6">
      <w:numFmt w:val="bullet"/>
      <w:lvlText w:val="•"/>
      <w:lvlJc w:val="left"/>
      <w:pPr>
        <w:ind w:left="7564" w:hanging="360"/>
      </w:pPr>
      <w:rPr>
        <w:rFonts w:hint="default"/>
      </w:rPr>
    </w:lvl>
  </w:abstractNum>
  <w:abstractNum w:abstractNumId="3" w15:restartNumberingAfterBreak="0">
    <w:nsid w:val="05176812"/>
    <w:multiLevelType w:val="hybridMultilevel"/>
    <w:tmpl w:val="714ABD94"/>
    <w:lvl w:ilvl="0" w:tplc="498253E4">
      <w:numFmt w:val="bullet"/>
      <w:lvlText w:val=""/>
      <w:lvlJc w:val="left"/>
      <w:pPr>
        <w:ind w:left="467" w:hanging="360"/>
      </w:pPr>
      <w:rPr>
        <w:rFonts w:ascii="Symbol" w:eastAsia="Symbol" w:hAnsi="Symbol" w:cs="Symbol" w:hint="default"/>
        <w:b w:val="0"/>
        <w:bCs w:val="0"/>
        <w:i w:val="0"/>
        <w:iCs w:val="0"/>
        <w:w w:val="99"/>
        <w:sz w:val="20"/>
        <w:szCs w:val="20"/>
      </w:rPr>
    </w:lvl>
    <w:lvl w:ilvl="1" w:tplc="D6564ED8">
      <w:numFmt w:val="bullet"/>
      <w:lvlText w:val="•"/>
      <w:lvlJc w:val="left"/>
      <w:pPr>
        <w:ind w:left="1348" w:hanging="360"/>
      </w:pPr>
      <w:rPr>
        <w:rFonts w:hint="default"/>
      </w:rPr>
    </w:lvl>
    <w:lvl w:ilvl="2" w:tplc="2AAC8928">
      <w:numFmt w:val="bullet"/>
      <w:lvlText w:val="•"/>
      <w:lvlJc w:val="left"/>
      <w:pPr>
        <w:ind w:left="2236" w:hanging="360"/>
      </w:pPr>
      <w:rPr>
        <w:rFonts w:hint="default"/>
      </w:rPr>
    </w:lvl>
    <w:lvl w:ilvl="3" w:tplc="2B04BB64">
      <w:numFmt w:val="bullet"/>
      <w:lvlText w:val="•"/>
      <w:lvlJc w:val="left"/>
      <w:pPr>
        <w:ind w:left="3124" w:hanging="360"/>
      </w:pPr>
      <w:rPr>
        <w:rFonts w:hint="default"/>
      </w:rPr>
    </w:lvl>
    <w:lvl w:ilvl="4" w:tplc="77300D88">
      <w:numFmt w:val="bullet"/>
      <w:lvlText w:val="•"/>
      <w:lvlJc w:val="left"/>
      <w:pPr>
        <w:ind w:left="4012" w:hanging="360"/>
      </w:pPr>
      <w:rPr>
        <w:rFonts w:hint="default"/>
      </w:rPr>
    </w:lvl>
    <w:lvl w:ilvl="5" w:tplc="99CCB050">
      <w:numFmt w:val="bullet"/>
      <w:lvlText w:val="•"/>
      <w:lvlJc w:val="left"/>
      <w:pPr>
        <w:ind w:left="4900" w:hanging="360"/>
      </w:pPr>
      <w:rPr>
        <w:rFonts w:hint="default"/>
      </w:rPr>
    </w:lvl>
    <w:lvl w:ilvl="6" w:tplc="6A9C6310">
      <w:numFmt w:val="bullet"/>
      <w:lvlText w:val="•"/>
      <w:lvlJc w:val="left"/>
      <w:pPr>
        <w:ind w:left="5788" w:hanging="360"/>
      </w:pPr>
      <w:rPr>
        <w:rFonts w:hint="default"/>
      </w:rPr>
    </w:lvl>
    <w:lvl w:ilvl="7" w:tplc="F014BDC8">
      <w:numFmt w:val="bullet"/>
      <w:lvlText w:val="•"/>
      <w:lvlJc w:val="left"/>
      <w:pPr>
        <w:ind w:left="6676" w:hanging="360"/>
      </w:pPr>
      <w:rPr>
        <w:rFonts w:hint="default"/>
      </w:rPr>
    </w:lvl>
    <w:lvl w:ilvl="8" w:tplc="419A3520">
      <w:numFmt w:val="bullet"/>
      <w:lvlText w:val="•"/>
      <w:lvlJc w:val="left"/>
      <w:pPr>
        <w:ind w:left="7564" w:hanging="360"/>
      </w:pPr>
      <w:rPr>
        <w:rFonts w:hint="default"/>
      </w:rPr>
    </w:lvl>
  </w:abstractNum>
  <w:abstractNum w:abstractNumId="4" w15:restartNumberingAfterBreak="0">
    <w:nsid w:val="06D018E8"/>
    <w:multiLevelType w:val="hybridMultilevel"/>
    <w:tmpl w:val="57C6B3EC"/>
    <w:lvl w:ilvl="0" w:tplc="EC96B3FE">
      <w:numFmt w:val="decimal"/>
      <w:lvlText w:val="(%1)"/>
      <w:lvlJc w:val="left"/>
      <w:pPr>
        <w:ind w:left="460" w:hanging="353"/>
        <w:jc w:val="left"/>
      </w:pPr>
      <w:rPr>
        <w:rFonts w:ascii="Calibri" w:eastAsia="Calibri" w:hAnsi="Calibri" w:cs="Calibri" w:hint="default"/>
        <w:b w:val="0"/>
        <w:bCs w:val="0"/>
        <w:i w:val="0"/>
        <w:iCs w:val="0"/>
        <w:spacing w:val="-1"/>
        <w:w w:val="99"/>
        <w:sz w:val="20"/>
        <w:szCs w:val="20"/>
      </w:rPr>
    </w:lvl>
    <w:lvl w:ilvl="1" w:tplc="8C064B54">
      <w:numFmt w:val="bullet"/>
      <w:lvlText w:val="•"/>
      <w:lvlJc w:val="left"/>
      <w:pPr>
        <w:ind w:left="880" w:hanging="353"/>
      </w:pPr>
      <w:rPr>
        <w:rFonts w:hint="default"/>
      </w:rPr>
    </w:lvl>
    <w:lvl w:ilvl="2" w:tplc="6A9A1A5E">
      <w:numFmt w:val="bullet"/>
      <w:lvlText w:val="•"/>
      <w:lvlJc w:val="left"/>
      <w:pPr>
        <w:ind w:left="1301" w:hanging="353"/>
      </w:pPr>
      <w:rPr>
        <w:rFonts w:hint="default"/>
      </w:rPr>
    </w:lvl>
    <w:lvl w:ilvl="3" w:tplc="CD94662E">
      <w:numFmt w:val="bullet"/>
      <w:lvlText w:val="•"/>
      <w:lvlJc w:val="left"/>
      <w:pPr>
        <w:ind w:left="1721" w:hanging="353"/>
      </w:pPr>
      <w:rPr>
        <w:rFonts w:hint="default"/>
      </w:rPr>
    </w:lvl>
    <w:lvl w:ilvl="4" w:tplc="6BA2C6A8">
      <w:numFmt w:val="bullet"/>
      <w:lvlText w:val="•"/>
      <w:lvlJc w:val="left"/>
      <w:pPr>
        <w:ind w:left="2142" w:hanging="353"/>
      </w:pPr>
      <w:rPr>
        <w:rFonts w:hint="default"/>
      </w:rPr>
    </w:lvl>
    <w:lvl w:ilvl="5" w:tplc="B2E8E8FC">
      <w:numFmt w:val="bullet"/>
      <w:lvlText w:val="•"/>
      <w:lvlJc w:val="left"/>
      <w:pPr>
        <w:ind w:left="2562" w:hanging="353"/>
      </w:pPr>
      <w:rPr>
        <w:rFonts w:hint="default"/>
      </w:rPr>
    </w:lvl>
    <w:lvl w:ilvl="6" w:tplc="B3D0B1E8">
      <w:numFmt w:val="bullet"/>
      <w:lvlText w:val="•"/>
      <w:lvlJc w:val="left"/>
      <w:pPr>
        <w:ind w:left="2983" w:hanging="353"/>
      </w:pPr>
      <w:rPr>
        <w:rFonts w:hint="default"/>
      </w:rPr>
    </w:lvl>
    <w:lvl w:ilvl="7" w:tplc="93C8F0E6">
      <w:numFmt w:val="bullet"/>
      <w:lvlText w:val="•"/>
      <w:lvlJc w:val="left"/>
      <w:pPr>
        <w:ind w:left="3403" w:hanging="353"/>
      </w:pPr>
      <w:rPr>
        <w:rFonts w:hint="default"/>
      </w:rPr>
    </w:lvl>
    <w:lvl w:ilvl="8" w:tplc="3822C28A">
      <w:numFmt w:val="bullet"/>
      <w:lvlText w:val="•"/>
      <w:lvlJc w:val="left"/>
      <w:pPr>
        <w:ind w:left="3824" w:hanging="353"/>
      </w:pPr>
      <w:rPr>
        <w:rFonts w:hint="default"/>
      </w:rPr>
    </w:lvl>
  </w:abstractNum>
  <w:abstractNum w:abstractNumId="5" w15:restartNumberingAfterBreak="0">
    <w:nsid w:val="076D22A7"/>
    <w:multiLevelType w:val="hybridMultilevel"/>
    <w:tmpl w:val="58AC49EA"/>
    <w:lvl w:ilvl="0" w:tplc="E578C066">
      <w:start w:val="1"/>
      <w:numFmt w:val="lowerLetter"/>
      <w:lvlText w:val="%1)"/>
      <w:lvlJc w:val="left"/>
      <w:pPr>
        <w:ind w:left="308" w:hanging="202"/>
        <w:jc w:val="left"/>
      </w:pPr>
      <w:rPr>
        <w:rFonts w:ascii="Calibri" w:eastAsia="Calibri" w:hAnsi="Calibri" w:cs="Calibri" w:hint="default"/>
        <w:b w:val="0"/>
        <w:bCs w:val="0"/>
        <w:i w:val="0"/>
        <w:iCs w:val="0"/>
        <w:w w:val="99"/>
        <w:sz w:val="20"/>
        <w:szCs w:val="20"/>
      </w:rPr>
    </w:lvl>
    <w:lvl w:ilvl="1" w:tplc="8FA2E054">
      <w:numFmt w:val="bullet"/>
      <w:lvlText w:val="•"/>
      <w:lvlJc w:val="left"/>
      <w:pPr>
        <w:ind w:left="1204" w:hanging="202"/>
      </w:pPr>
      <w:rPr>
        <w:rFonts w:hint="default"/>
      </w:rPr>
    </w:lvl>
    <w:lvl w:ilvl="2" w:tplc="94BA20F4">
      <w:numFmt w:val="bullet"/>
      <w:lvlText w:val="•"/>
      <w:lvlJc w:val="left"/>
      <w:pPr>
        <w:ind w:left="2108" w:hanging="202"/>
      </w:pPr>
      <w:rPr>
        <w:rFonts w:hint="default"/>
      </w:rPr>
    </w:lvl>
    <w:lvl w:ilvl="3" w:tplc="AB7AF0AE">
      <w:numFmt w:val="bullet"/>
      <w:lvlText w:val="•"/>
      <w:lvlJc w:val="left"/>
      <w:pPr>
        <w:ind w:left="3012" w:hanging="202"/>
      </w:pPr>
      <w:rPr>
        <w:rFonts w:hint="default"/>
      </w:rPr>
    </w:lvl>
    <w:lvl w:ilvl="4" w:tplc="CA7A5B8A">
      <w:numFmt w:val="bullet"/>
      <w:lvlText w:val="•"/>
      <w:lvlJc w:val="left"/>
      <w:pPr>
        <w:ind w:left="3916" w:hanging="202"/>
      </w:pPr>
      <w:rPr>
        <w:rFonts w:hint="default"/>
      </w:rPr>
    </w:lvl>
    <w:lvl w:ilvl="5" w:tplc="34AAC814">
      <w:numFmt w:val="bullet"/>
      <w:lvlText w:val="•"/>
      <w:lvlJc w:val="left"/>
      <w:pPr>
        <w:ind w:left="4820" w:hanging="202"/>
      </w:pPr>
      <w:rPr>
        <w:rFonts w:hint="default"/>
      </w:rPr>
    </w:lvl>
    <w:lvl w:ilvl="6" w:tplc="451CC42C">
      <w:numFmt w:val="bullet"/>
      <w:lvlText w:val="•"/>
      <w:lvlJc w:val="left"/>
      <w:pPr>
        <w:ind w:left="5724" w:hanging="202"/>
      </w:pPr>
      <w:rPr>
        <w:rFonts w:hint="default"/>
      </w:rPr>
    </w:lvl>
    <w:lvl w:ilvl="7" w:tplc="66AA1C76">
      <w:numFmt w:val="bullet"/>
      <w:lvlText w:val="•"/>
      <w:lvlJc w:val="left"/>
      <w:pPr>
        <w:ind w:left="6628" w:hanging="202"/>
      </w:pPr>
      <w:rPr>
        <w:rFonts w:hint="default"/>
      </w:rPr>
    </w:lvl>
    <w:lvl w:ilvl="8" w:tplc="42869E98">
      <w:numFmt w:val="bullet"/>
      <w:lvlText w:val="•"/>
      <w:lvlJc w:val="left"/>
      <w:pPr>
        <w:ind w:left="7532" w:hanging="202"/>
      </w:pPr>
      <w:rPr>
        <w:rFonts w:hint="default"/>
      </w:rPr>
    </w:lvl>
  </w:abstractNum>
  <w:abstractNum w:abstractNumId="6" w15:restartNumberingAfterBreak="0">
    <w:nsid w:val="0AFC053D"/>
    <w:multiLevelType w:val="hybridMultilevel"/>
    <w:tmpl w:val="64B26DF6"/>
    <w:lvl w:ilvl="0" w:tplc="048CBFC6">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9C5E2AAC">
      <w:numFmt w:val="bullet"/>
      <w:lvlText w:val="•"/>
      <w:lvlJc w:val="left"/>
      <w:pPr>
        <w:ind w:left="1204" w:hanging="202"/>
      </w:pPr>
      <w:rPr>
        <w:rFonts w:hint="default"/>
      </w:rPr>
    </w:lvl>
    <w:lvl w:ilvl="2" w:tplc="5E8E08F2">
      <w:numFmt w:val="bullet"/>
      <w:lvlText w:val="•"/>
      <w:lvlJc w:val="left"/>
      <w:pPr>
        <w:ind w:left="2108" w:hanging="202"/>
      </w:pPr>
      <w:rPr>
        <w:rFonts w:hint="default"/>
      </w:rPr>
    </w:lvl>
    <w:lvl w:ilvl="3" w:tplc="705E68C6">
      <w:numFmt w:val="bullet"/>
      <w:lvlText w:val="•"/>
      <w:lvlJc w:val="left"/>
      <w:pPr>
        <w:ind w:left="3012" w:hanging="202"/>
      </w:pPr>
      <w:rPr>
        <w:rFonts w:hint="default"/>
      </w:rPr>
    </w:lvl>
    <w:lvl w:ilvl="4" w:tplc="EE8AE212">
      <w:numFmt w:val="bullet"/>
      <w:lvlText w:val="•"/>
      <w:lvlJc w:val="left"/>
      <w:pPr>
        <w:ind w:left="3916" w:hanging="202"/>
      </w:pPr>
      <w:rPr>
        <w:rFonts w:hint="default"/>
      </w:rPr>
    </w:lvl>
    <w:lvl w:ilvl="5" w:tplc="7048D7DA">
      <w:numFmt w:val="bullet"/>
      <w:lvlText w:val="•"/>
      <w:lvlJc w:val="left"/>
      <w:pPr>
        <w:ind w:left="4820" w:hanging="202"/>
      </w:pPr>
      <w:rPr>
        <w:rFonts w:hint="default"/>
      </w:rPr>
    </w:lvl>
    <w:lvl w:ilvl="6" w:tplc="3DD22786">
      <w:numFmt w:val="bullet"/>
      <w:lvlText w:val="•"/>
      <w:lvlJc w:val="left"/>
      <w:pPr>
        <w:ind w:left="5724" w:hanging="202"/>
      </w:pPr>
      <w:rPr>
        <w:rFonts w:hint="default"/>
      </w:rPr>
    </w:lvl>
    <w:lvl w:ilvl="7" w:tplc="B046DE10">
      <w:numFmt w:val="bullet"/>
      <w:lvlText w:val="•"/>
      <w:lvlJc w:val="left"/>
      <w:pPr>
        <w:ind w:left="6628" w:hanging="202"/>
      </w:pPr>
      <w:rPr>
        <w:rFonts w:hint="default"/>
      </w:rPr>
    </w:lvl>
    <w:lvl w:ilvl="8" w:tplc="ACDE341E">
      <w:numFmt w:val="bullet"/>
      <w:lvlText w:val="•"/>
      <w:lvlJc w:val="left"/>
      <w:pPr>
        <w:ind w:left="7532" w:hanging="202"/>
      </w:pPr>
      <w:rPr>
        <w:rFonts w:hint="default"/>
      </w:rPr>
    </w:lvl>
  </w:abstractNum>
  <w:abstractNum w:abstractNumId="7" w15:restartNumberingAfterBreak="0">
    <w:nsid w:val="0B6C5603"/>
    <w:multiLevelType w:val="hybridMultilevel"/>
    <w:tmpl w:val="F3883624"/>
    <w:lvl w:ilvl="0" w:tplc="8722A5CE">
      <w:numFmt w:val="decimal"/>
      <w:lvlText w:val="(%1)"/>
      <w:lvlJc w:val="left"/>
      <w:pPr>
        <w:ind w:left="475" w:hanging="368"/>
        <w:jc w:val="left"/>
      </w:pPr>
      <w:rPr>
        <w:rFonts w:ascii="Calibri" w:eastAsia="Calibri" w:hAnsi="Calibri" w:cs="Calibri" w:hint="default"/>
        <w:b w:val="0"/>
        <w:bCs w:val="0"/>
        <w:i w:val="0"/>
        <w:iCs w:val="0"/>
        <w:spacing w:val="-1"/>
        <w:w w:val="99"/>
        <w:sz w:val="20"/>
        <w:szCs w:val="20"/>
      </w:rPr>
    </w:lvl>
    <w:lvl w:ilvl="1" w:tplc="72688DC2">
      <w:numFmt w:val="bullet"/>
      <w:lvlText w:val="•"/>
      <w:lvlJc w:val="left"/>
      <w:pPr>
        <w:ind w:left="898" w:hanging="368"/>
      </w:pPr>
      <w:rPr>
        <w:rFonts w:hint="default"/>
      </w:rPr>
    </w:lvl>
    <w:lvl w:ilvl="2" w:tplc="DB1A1BFA">
      <w:numFmt w:val="bullet"/>
      <w:lvlText w:val="•"/>
      <w:lvlJc w:val="left"/>
      <w:pPr>
        <w:ind w:left="1317" w:hanging="368"/>
      </w:pPr>
      <w:rPr>
        <w:rFonts w:hint="default"/>
      </w:rPr>
    </w:lvl>
    <w:lvl w:ilvl="3" w:tplc="BF7EC700">
      <w:numFmt w:val="bullet"/>
      <w:lvlText w:val="•"/>
      <w:lvlJc w:val="left"/>
      <w:pPr>
        <w:ind w:left="1735" w:hanging="368"/>
      </w:pPr>
      <w:rPr>
        <w:rFonts w:hint="default"/>
      </w:rPr>
    </w:lvl>
    <w:lvl w:ilvl="4" w:tplc="E24889C0">
      <w:numFmt w:val="bullet"/>
      <w:lvlText w:val="•"/>
      <w:lvlJc w:val="left"/>
      <w:pPr>
        <w:ind w:left="2154" w:hanging="368"/>
      </w:pPr>
      <w:rPr>
        <w:rFonts w:hint="default"/>
      </w:rPr>
    </w:lvl>
    <w:lvl w:ilvl="5" w:tplc="F6780AA2">
      <w:numFmt w:val="bullet"/>
      <w:lvlText w:val="•"/>
      <w:lvlJc w:val="left"/>
      <w:pPr>
        <w:ind w:left="2572" w:hanging="368"/>
      </w:pPr>
      <w:rPr>
        <w:rFonts w:hint="default"/>
      </w:rPr>
    </w:lvl>
    <w:lvl w:ilvl="6" w:tplc="3926BA94">
      <w:numFmt w:val="bullet"/>
      <w:lvlText w:val="•"/>
      <w:lvlJc w:val="left"/>
      <w:pPr>
        <w:ind w:left="2991" w:hanging="368"/>
      </w:pPr>
      <w:rPr>
        <w:rFonts w:hint="default"/>
      </w:rPr>
    </w:lvl>
    <w:lvl w:ilvl="7" w:tplc="50A05C4C">
      <w:numFmt w:val="bullet"/>
      <w:lvlText w:val="•"/>
      <w:lvlJc w:val="left"/>
      <w:pPr>
        <w:ind w:left="3409" w:hanging="368"/>
      </w:pPr>
      <w:rPr>
        <w:rFonts w:hint="default"/>
      </w:rPr>
    </w:lvl>
    <w:lvl w:ilvl="8" w:tplc="6CCC376E">
      <w:numFmt w:val="bullet"/>
      <w:lvlText w:val="•"/>
      <w:lvlJc w:val="left"/>
      <w:pPr>
        <w:ind w:left="3828" w:hanging="368"/>
      </w:pPr>
      <w:rPr>
        <w:rFonts w:hint="default"/>
      </w:rPr>
    </w:lvl>
  </w:abstractNum>
  <w:abstractNum w:abstractNumId="8" w15:restartNumberingAfterBreak="0">
    <w:nsid w:val="0BA975AA"/>
    <w:multiLevelType w:val="hybridMultilevel"/>
    <w:tmpl w:val="9ED86FAE"/>
    <w:lvl w:ilvl="0" w:tplc="E14801A8">
      <w:numFmt w:val="bullet"/>
      <w:lvlText w:val=""/>
      <w:lvlJc w:val="left"/>
      <w:pPr>
        <w:ind w:left="467" w:hanging="360"/>
      </w:pPr>
      <w:rPr>
        <w:rFonts w:ascii="Symbol" w:eastAsia="Symbol" w:hAnsi="Symbol" w:cs="Symbol" w:hint="default"/>
        <w:b w:val="0"/>
        <w:bCs w:val="0"/>
        <w:i w:val="0"/>
        <w:iCs w:val="0"/>
        <w:w w:val="99"/>
        <w:sz w:val="20"/>
        <w:szCs w:val="20"/>
      </w:rPr>
    </w:lvl>
    <w:lvl w:ilvl="1" w:tplc="C8C269CA">
      <w:numFmt w:val="bullet"/>
      <w:lvlText w:val="•"/>
      <w:lvlJc w:val="left"/>
      <w:pPr>
        <w:ind w:left="1348" w:hanging="360"/>
      </w:pPr>
      <w:rPr>
        <w:rFonts w:hint="default"/>
      </w:rPr>
    </w:lvl>
    <w:lvl w:ilvl="2" w:tplc="F7BA30C6">
      <w:numFmt w:val="bullet"/>
      <w:lvlText w:val="•"/>
      <w:lvlJc w:val="left"/>
      <w:pPr>
        <w:ind w:left="2236" w:hanging="360"/>
      </w:pPr>
      <w:rPr>
        <w:rFonts w:hint="default"/>
      </w:rPr>
    </w:lvl>
    <w:lvl w:ilvl="3" w:tplc="82D8F880">
      <w:numFmt w:val="bullet"/>
      <w:lvlText w:val="•"/>
      <w:lvlJc w:val="left"/>
      <w:pPr>
        <w:ind w:left="3124" w:hanging="360"/>
      </w:pPr>
      <w:rPr>
        <w:rFonts w:hint="default"/>
      </w:rPr>
    </w:lvl>
    <w:lvl w:ilvl="4" w:tplc="FB3CFA32">
      <w:numFmt w:val="bullet"/>
      <w:lvlText w:val="•"/>
      <w:lvlJc w:val="left"/>
      <w:pPr>
        <w:ind w:left="4012" w:hanging="360"/>
      </w:pPr>
      <w:rPr>
        <w:rFonts w:hint="default"/>
      </w:rPr>
    </w:lvl>
    <w:lvl w:ilvl="5" w:tplc="EA1CB65A">
      <w:numFmt w:val="bullet"/>
      <w:lvlText w:val="•"/>
      <w:lvlJc w:val="left"/>
      <w:pPr>
        <w:ind w:left="4900" w:hanging="360"/>
      </w:pPr>
      <w:rPr>
        <w:rFonts w:hint="default"/>
      </w:rPr>
    </w:lvl>
    <w:lvl w:ilvl="6" w:tplc="3E9E9B62">
      <w:numFmt w:val="bullet"/>
      <w:lvlText w:val="•"/>
      <w:lvlJc w:val="left"/>
      <w:pPr>
        <w:ind w:left="5788" w:hanging="360"/>
      </w:pPr>
      <w:rPr>
        <w:rFonts w:hint="default"/>
      </w:rPr>
    </w:lvl>
    <w:lvl w:ilvl="7" w:tplc="7BA02536">
      <w:numFmt w:val="bullet"/>
      <w:lvlText w:val="•"/>
      <w:lvlJc w:val="left"/>
      <w:pPr>
        <w:ind w:left="6676" w:hanging="360"/>
      </w:pPr>
      <w:rPr>
        <w:rFonts w:hint="default"/>
      </w:rPr>
    </w:lvl>
    <w:lvl w:ilvl="8" w:tplc="07D4B63A">
      <w:numFmt w:val="bullet"/>
      <w:lvlText w:val="•"/>
      <w:lvlJc w:val="left"/>
      <w:pPr>
        <w:ind w:left="7564" w:hanging="360"/>
      </w:pPr>
      <w:rPr>
        <w:rFonts w:hint="default"/>
      </w:rPr>
    </w:lvl>
  </w:abstractNum>
  <w:abstractNum w:abstractNumId="9" w15:restartNumberingAfterBreak="0">
    <w:nsid w:val="0C9C74CE"/>
    <w:multiLevelType w:val="hybridMultilevel"/>
    <w:tmpl w:val="A0488EDA"/>
    <w:lvl w:ilvl="0" w:tplc="E62E2998">
      <w:start w:val="1"/>
      <w:numFmt w:val="decimal"/>
      <w:lvlText w:val="%1."/>
      <w:lvlJc w:val="left"/>
      <w:pPr>
        <w:ind w:left="304" w:hanging="197"/>
        <w:jc w:val="left"/>
      </w:pPr>
      <w:rPr>
        <w:rFonts w:ascii="Calibri" w:eastAsia="Calibri" w:hAnsi="Calibri" w:cs="Calibri" w:hint="default"/>
        <w:b w:val="0"/>
        <w:bCs w:val="0"/>
        <w:i w:val="0"/>
        <w:iCs w:val="0"/>
        <w:spacing w:val="-1"/>
        <w:w w:val="99"/>
        <w:sz w:val="20"/>
        <w:szCs w:val="20"/>
      </w:rPr>
    </w:lvl>
    <w:lvl w:ilvl="1" w:tplc="320C7A28">
      <w:numFmt w:val="bullet"/>
      <w:lvlText w:val="•"/>
      <w:lvlJc w:val="left"/>
      <w:pPr>
        <w:ind w:left="1204" w:hanging="197"/>
      </w:pPr>
      <w:rPr>
        <w:rFonts w:hint="default"/>
      </w:rPr>
    </w:lvl>
    <w:lvl w:ilvl="2" w:tplc="D9B21F04">
      <w:numFmt w:val="bullet"/>
      <w:lvlText w:val="•"/>
      <w:lvlJc w:val="left"/>
      <w:pPr>
        <w:ind w:left="2108" w:hanging="197"/>
      </w:pPr>
      <w:rPr>
        <w:rFonts w:hint="default"/>
      </w:rPr>
    </w:lvl>
    <w:lvl w:ilvl="3" w:tplc="26587090">
      <w:numFmt w:val="bullet"/>
      <w:lvlText w:val="•"/>
      <w:lvlJc w:val="left"/>
      <w:pPr>
        <w:ind w:left="3012" w:hanging="197"/>
      </w:pPr>
      <w:rPr>
        <w:rFonts w:hint="default"/>
      </w:rPr>
    </w:lvl>
    <w:lvl w:ilvl="4" w:tplc="B83C55F6">
      <w:numFmt w:val="bullet"/>
      <w:lvlText w:val="•"/>
      <w:lvlJc w:val="left"/>
      <w:pPr>
        <w:ind w:left="3916" w:hanging="197"/>
      </w:pPr>
      <w:rPr>
        <w:rFonts w:hint="default"/>
      </w:rPr>
    </w:lvl>
    <w:lvl w:ilvl="5" w:tplc="12D6EE28">
      <w:numFmt w:val="bullet"/>
      <w:lvlText w:val="•"/>
      <w:lvlJc w:val="left"/>
      <w:pPr>
        <w:ind w:left="4820" w:hanging="197"/>
      </w:pPr>
      <w:rPr>
        <w:rFonts w:hint="default"/>
      </w:rPr>
    </w:lvl>
    <w:lvl w:ilvl="6" w:tplc="F9CEF926">
      <w:numFmt w:val="bullet"/>
      <w:lvlText w:val="•"/>
      <w:lvlJc w:val="left"/>
      <w:pPr>
        <w:ind w:left="5724" w:hanging="197"/>
      </w:pPr>
      <w:rPr>
        <w:rFonts w:hint="default"/>
      </w:rPr>
    </w:lvl>
    <w:lvl w:ilvl="7" w:tplc="D98C7A40">
      <w:numFmt w:val="bullet"/>
      <w:lvlText w:val="•"/>
      <w:lvlJc w:val="left"/>
      <w:pPr>
        <w:ind w:left="6628" w:hanging="197"/>
      </w:pPr>
      <w:rPr>
        <w:rFonts w:hint="default"/>
      </w:rPr>
    </w:lvl>
    <w:lvl w:ilvl="8" w:tplc="7CC65364">
      <w:numFmt w:val="bullet"/>
      <w:lvlText w:val="•"/>
      <w:lvlJc w:val="left"/>
      <w:pPr>
        <w:ind w:left="7532" w:hanging="197"/>
      </w:pPr>
      <w:rPr>
        <w:rFonts w:hint="default"/>
      </w:rPr>
    </w:lvl>
  </w:abstractNum>
  <w:abstractNum w:abstractNumId="10" w15:restartNumberingAfterBreak="0">
    <w:nsid w:val="0CC50910"/>
    <w:multiLevelType w:val="hybridMultilevel"/>
    <w:tmpl w:val="D98C9332"/>
    <w:lvl w:ilvl="0" w:tplc="884C6A96">
      <w:numFmt w:val="bullet"/>
      <w:lvlText w:val=""/>
      <w:lvlJc w:val="left"/>
      <w:pPr>
        <w:ind w:left="465" w:hanging="360"/>
      </w:pPr>
      <w:rPr>
        <w:rFonts w:ascii="Symbol" w:eastAsia="Symbol" w:hAnsi="Symbol" w:cs="Symbol" w:hint="default"/>
        <w:b w:val="0"/>
        <w:bCs w:val="0"/>
        <w:i w:val="0"/>
        <w:iCs w:val="0"/>
        <w:w w:val="99"/>
        <w:sz w:val="20"/>
        <w:szCs w:val="20"/>
      </w:rPr>
    </w:lvl>
    <w:lvl w:ilvl="1" w:tplc="59F20F92">
      <w:numFmt w:val="bullet"/>
      <w:lvlText w:val="•"/>
      <w:lvlJc w:val="left"/>
      <w:pPr>
        <w:ind w:left="1015" w:hanging="360"/>
      </w:pPr>
      <w:rPr>
        <w:rFonts w:hint="default"/>
      </w:rPr>
    </w:lvl>
    <w:lvl w:ilvl="2" w:tplc="A2DC440C">
      <w:numFmt w:val="bullet"/>
      <w:lvlText w:val="•"/>
      <w:lvlJc w:val="left"/>
      <w:pPr>
        <w:ind w:left="1570" w:hanging="360"/>
      </w:pPr>
      <w:rPr>
        <w:rFonts w:hint="default"/>
      </w:rPr>
    </w:lvl>
    <w:lvl w:ilvl="3" w:tplc="005E72DA">
      <w:numFmt w:val="bullet"/>
      <w:lvlText w:val="•"/>
      <w:lvlJc w:val="left"/>
      <w:pPr>
        <w:ind w:left="2126" w:hanging="360"/>
      </w:pPr>
      <w:rPr>
        <w:rFonts w:hint="default"/>
      </w:rPr>
    </w:lvl>
    <w:lvl w:ilvl="4" w:tplc="B13A980E">
      <w:numFmt w:val="bullet"/>
      <w:lvlText w:val="•"/>
      <w:lvlJc w:val="left"/>
      <w:pPr>
        <w:ind w:left="2681" w:hanging="360"/>
      </w:pPr>
      <w:rPr>
        <w:rFonts w:hint="default"/>
      </w:rPr>
    </w:lvl>
    <w:lvl w:ilvl="5" w:tplc="B6128014">
      <w:numFmt w:val="bullet"/>
      <w:lvlText w:val="•"/>
      <w:lvlJc w:val="left"/>
      <w:pPr>
        <w:ind w:left="3237" w:hanging="360"/>
      </w:pPr>
      <w:rPr>
        <w:rFonts w:hint="default"/>
      </w:rPr>
    </w:lvl>
    <w:lvl w:ilvl="6" w:tplc="1022375E">
      <w:numFmt w:val="bullet"/>
      <w:lvlText w:val="•"/>
      <w:lvlJc w:val="left"/>
      <w:pPr>
        <w:ind w:left="3792" w:hanging="360"/>
      </w:pPr>
      <w:rPr>
        <w:rFonts w:hint="default"/>
      </w:rPr>
    </w:lvl>
    <w:lvl w:ilvl="7" w:tplc="A2725E12">
      <w:numFmt w:val="bullet"/>
      <w:lvlText w:val="•"/>
      <w:lvlJc w:val="left"/>
      <w:pPr>
        <w:ind w:left="4347" w:hanging="360"/>
      </w:pPr>
      <w:rPr>
        <w:rFonts w:hint="default"/>
      </w:rPr>
    </w:lvl>
    <w:lvl w:ilvl="8" w:tplc="7228ECCE">
      <w:numFmt w:val="bullet"/>
      <w:lvlText w:val="•"/>
      <w:lvlJc w:val="left"/>
      <w:pPr>
        <w:ind w:left="4903" w:hanging="360"/>
      </w:pPr>
      <w:rPr>
        <w:rFonts w:hint="default"/>
      </w:rPr>
    </w:lvl>
  </w:abstractNum>
  <w:abstractNum w:abstractNumId="11" w15:restartNumberingAfterBreak="0">
    <w:nsid w:val="0EF8719A"/>
    <w:multiLevelType w:val="hybridMultilevel"/>
    <w:tmpl w:val="FF62DACA"/>
    <w:lvl w:ilvl="0" w:tplc="0520016E">
      <w:numFmt w:val="bullet"/>
      <w:lvlText w:val=""/>
      <w:lvlJc w:val="left"/>
      <w:pPr>
        <w:ind w:left="467" w:hanging="360"/>
      </w:pPr>
      <w:rPr>
        <w:rFonts w:ascii="Symbol" w:eastAsia="Symbol" w:hAnsi="Symbol" w:cs="Symbol" w:hint="default"/>
        <w:b w:val="0"/>
        <w:bCs w:val="0"/>
        <w:i w:val="0"/>
        <w:iCs w:val="0"/>
        <w:w w:val="99"/>
        <w:sz w:val="20"/>
        <w:szCs w:val="20"/>
      </w:rPr>
    </w:lvl>
    <w:lvl w:ilvl="1" w:tplc="500A1E0C">
      <w:numFmt w:val="bullet"/>
      <w:lvlText w:val="•"/>
      <w:lvlJc w:val="left"/>
      <w:pPr>
        <w:ind w:left="1348" w:hanging="360"/>
      </w:pPr>
      <w:rPr>
        <w:rFonts w:hint="default"/>
      </w:rPr>
    </w:lvl>
    <w:lvl w:ilvl="2" w:tplc="FAB6D0BE">
      <w:numFmt w:val="bullet"/>
      <w:lvlText w:val="•"/>
      <w:lvlJc w:val="left"/>
      <w:pPr>
        <w:ind w:left="2236" w:hanging="360"/>
      </w:pPr>
      <w:rPr>
        <w:rFonts w:hint="default"/>
      </w:rPr>
    </w:lvl>
    <w:lvl w:ilvl="3" w:tplc="C0B2070E">
      <w:numFmt w:val="bullet"/>
      <w:lvlText w:val="•"/>
      <w:lvlJc w:val="left"/>
      <w:pPr>
        <w:ind w:left="3124" w:hanging="360"/>
      </w:pPr>
      <w:rPr>
        <w:rFonts w:hint="default"/>
      </w:rPr>
    </w:lvl>
    <w:lvl w:ilvl="4" w:tplc="EB666450">
      <w:numFmt w:val="bullet"/>
      <w:lvlText w:val="•"/>
      <w:lvlJc w:val="left"/>
      <w:pPr>
        <w:ind w:left="4012" w:hanging="360"/>
      </w:pPr>
      <w:rPr>
        <w:rFonts w:hint="default"/>
      </w:rPr>
    </w:lvl>
    <w:lvl w:ilvl="5" w:tplc="ABC643FA">
      <w:numFmt w:val="bullet"/>
      <w:lvlText w:val="•"/>
      <w:lvlJc w:val="left"/>
      <w:pPr>
        <w:ind w:left="4900" w:hanging="360"/>
      </w:pPr>
      <w:rPr>
        <w:rFonts w:hint="default"/>
      </w:rPr>
    </w:lvl>
    <w:lvl w:ilvl="6" w:tplc="57C0FA70">
      <w:numFmt w:val="bullet"/>
      <w:lvlText w:val="•"/>
      <w:lvlJc w:val="left"/>
      <w:pPr>
        <w:ind w:left="5788" w:hanging="360"/>
      </w:pPr>
      <w:rPr>
        <w:rFonts w:hint="default"/>
      </w:rPr>
    </w:lvl>
    <w:lvl w:ilvl="7" w:tplc="2C4CC8E0">
      <w:numFmt w:val="bullet"/>
      <w:lvlText w:val="•"/>
      <w:lvlJc w:val="left"/>
      <w:pPr>
        <w:ind w:left="6676" w:hanging="360"/>
      </w:pPr>
      <w:rPr>
        <w:rFonts w:hint="default"/>
      </w:rPr>
    </w:lvl>
    <w:lvl w:ilvl="8" w:tplc="D94270B6">
      <w:numFmt w:val="bullet"/>
      <w:lvlText w:val="•"/>
      <w:lvlJc w:val="left"/>
      <w:pPr>
        <w:ind w:left="7564" w:hanging="360"/>
      </w:pPr>
      <w:rPr>
        <w:rFonts w:hint="default"/>
      </w:rPr>
    </w:lvl>
  </w:abstractNum>
  <w:abstractNum w:abstractNumId="12" w15:restartNumberingAfterBreak="0">
    <w:nsid w:val="1260105D"/>
    <w:multiLevelType w:val="hybridMultilevel"/>
    <w:tmpl w:val="DF56A490"/>
    <w:lvl w:ilvl="0" w:tplc="936296E6">
      <w:numFmt w:val="bullet"/>
      <w:lvlText w:val=""/>
      <w:lvlJc w:val="left"/>
      <w:pPr>
        <w:ind w:left="270" w:hanging="190"/>
      </w:pPr>
      <w:rPr>
        <w:rFonts w:ascii="Symbol" w:eastAsia="Symbol" w:hAnsi="Symbol" w:cs="Symbol" w:hint="default"/>
        <w:b w:val="0"/>
        <w:bCs w:val="0"/>
        <w:i w:val="0"/>
        <w:iCs w:val="0"/>
        <w:w w:val="99"/>
        <w:sz w:val="20"/>
        <w:szCs w:val="20"/>
      </w:rPr>
    </w:lvl>
    <w:lvl w:ilvl="1" w:tplc="875E9C14">
      <w:numFmt w:val="bullet"/>
      <w:lvlText w:val="•"/>
      <w:lvlJc w:val="left"/>
      <w:pPr>
        <w:ind w:left="614" w:hanging="190"/>
      </w:pPr>
      <w:rPr>
        <w:rFonts w:hint="default"/>
      </w:rPr>
    </w:lvl>
    <w:lvl w:ilvl="2" w:tplc="22FEEC88">
      <w:numFmt w:val="bullet"/>
      <w:lvlText w:val="•"/>
      <w:lvlJc w:val="left"/>
      <w:pPr>
        <w:ind w:left="949" w:hanging="190"/>
      </w:pPr>
      <w:rPr>
        <w:rFonts w:hint="default"/>
      </w:rPr>
    </w:lvl>
    <w:lvl w:ilvl="3" w:tplc="C990489A">
      <w:numFmt w:val="bullet"/>
      <w:lvlText w:val="•"/>
      <w:lvlJc w:val="left"/>
      <w:pPr>
        <w:ind w:left="1283" w:hanging="190"/>
      </w:pPr>
      <w:rPr>
        <w:rFonts w:hint="default"/>
      </w:rPr>
    </w:lvl>
    <w:lvl w:ilvl="4" w:tplc="C818D99C">
      <w:numFmt w:val="bullet"/>
      <w:lvlText w:val="•"/>
      <w:lvlJc w:val="left"/>
      <w:pPr>
        <w:ind w:left="1618" w:hanging="190"/>
      </w:pPr>
      <w:rPr>
        <w:rFonts w:hint="default"/>
      </w:rPr>
    </w:lvl>
    <w:lvl w:ilvl="5" w:tplc="C43A8782">
      <w:numFmt w:val="bullet"/>
      <w:lvlText w:val="•"/>
      <w:lvlJc w:val="left"/>
      <w:pPr>
        <w:ind w:left="1953" w:hanging="190"/>
      </w:pPr>
      <w:rPr>
        <w:rFonts w:hint="default"/>
      </w:rPr>
    </w:lvl>
    <w:lvl w:ilvl="6" w:tplc="0F5CB51A">
      <w:numFmt w:val="bullet"/>
      <w:lvlText w:val="•"/>
      <w:lvlJc w:val="left"/>
      <w:pPr>
        <w:ind w:left="2287" w:hanging="190"/>
      </w:pPr>
      <w:rPr>
        <w:rFonts w:hint="default"/>
      </w:rPr>
    </w:lvl>
    <w:lvl w:ilvl="7" w:tplc="450659D0">
      <w:numFmt w:val="bullet"/>
      <w:lvlText w:val="•"/>
      <w:lvlJc w:val="left"/>
      <w:pPr>
        <w:ind w:left="2622" w:hanging="190"/>
      </w:pPr>
      <w:rPr>
        <w:rFonts w:hint="default"/>
      </w:rPr>
    </w:lvl>
    <w:lvl w:ilvl="8" w:tplc="F040551E">
      <w:numFmt w:val="bullet"/>
      <w:lvlText w:val="•"/>
      <w:lvlJc w:val="left"/>
      <w:pPr>
        <w:ind w:left="2956" w:hanging="190"/>
      </w:pPr>
      <w:rPr>
        <w:rFonts w:hint="default"/>
      </w:rPr>
    </w:lvl>
  </w:abstractNum>
  <w:abstractNum w:abstractNumId="13" w15:restartNumberingAfterBreak="0">
    <w:nsid w:val="13BD5F9D"/>
    <w:multiLevelType w:val="hybridMultilevel"/>
    <w:tmpl w:val="AA089A82"/>
    <w:lvl w:ilvl="0" w:tplc="F1586282">
      <w:start w:val="1"/>
      <w:numFmt w:val="lowerLetter"/>
      <w:lvlText w:val="%1)"/>
      <w:lvlJc w:val="left"/>
      <w:pPr>
        <w:ind w:left="308" w:hanging="202"/>
        <w:jc w:val="left"/>
      </w:pPr>
      <w:rPr>
        <w:rFonts w:ascii="Calibri" w:eastAsia="Calibri" w:hAnsi="Calibri" w:cs="Calibri" w:hint="default"/>
        <w:b w:val="0"/>
        <w:bCs w:val="0"/>
        <w:i w:val="0"/>
        <w:iCs w:val="0"/>
        <w:w w:val="99"/>
        <w:sz w:val="20"/>
        <w:szCs w:val="20"/>
      </w:rPr>
    </w:lvl>
    <w:lvl w:ilvl="1" w:tplc="9392D5A6">
      <w:numFmt w:val="bullet"/>
      <w:lvlText w:val="•"/>
      <w:lvlJc w:val="left"/>
      <w:pPr>
        <w:ind w:left="1204" w:hanging="202"/>
      </w:pPr>
      <w:rPr>
        <w:rFonts w:hint="default"/>
      </w:rPr>
    </w:lvl>
    <w:lvl w:ilvl="2" w:tplc="F356EC74">
      <w:numFmt w:val="bullet"/>
      <w:lvlText w:val="•"/>
      <w:lvlJc w:val="left"/>
      <w:pPr>
        <w:ind w:left="2108" w:hanging="202"/>
      </w:pPr>
      <w:rPr>
        <w:rFonts w:hint="default"/>
      </w:rPr>
    </w:lvl>
    <w:lvl w:ilvl="3" w:tplc="A0C42010">
      <w:numFmt w:val="bullet"/>
      <w:lvlText w:val="•"/>
      <w:lvlJc w:val="left"/>
      <w:pPr>
        <w:ind w:left="3012" w:hanging="202"/>
      </w:pPr>
      <w:rPr>
        <w:rFonts w:hint="default"/>
      </w:rPr>
    </w:lvl>
    <w:lvl w:ilvl="4" w:tplc="8F54337C">
      <w:numFmt w:val="bullet"/>
      <w:lvlText w:val="•"/>
      <w:lvlJc w:val="left"/>
      <w:pPr>
        <w:ind w:left="3916" w:hanging="202"/>
      </w:pPr>
      <w:rPr>
        <w:rFonts w:hint="default"/>
      </w:rPr>
    </w:lvl>
    <w:lvl w:ilvl="5" w:tplc="864237A0">
      <w:numFmt w:val="bullet"/>
      <w:lvlText w:val="•"/>
      <w:lvlJc w:val="left"/>
      <w:pPr>
        <w:ind w:left="4820" w:hanging="202"/>
      </w:pPr>
      <w:rPr>
        <w:rFonts w:hint="default"/>
      </w:rPr>
    </w:lvl>
    <w:lvl w:ilvl="6" w:tplc="587869AC">
      <w:numFmt w:val="bullet"/>
      <w:lvlText w:val="•"/>
      <w:lvlJc w:val="left"/>
      <w:pPr>
        <w:ind w:left="5724" w:hanging="202"/>
      </w:pPr>
      <w:rPr>
        <w:rFonts w:hint="default"/>
      </w:rPr>
    </w:lvl>
    <w:lvl w:ilvl="7" w:tplc="4C864478">
      <w:numFmt w:val="bullet"/>
      <w:lvlText w:val="•"/>
      <w:lvlJc w:val="left"/>
      <w:pPr>
        <w:ind w:left="6628" w:hanging="202"/>
      </w:pPr>
      <w:rPr>
        <w:rFonts w:hint="default"/>
      </w:rPr>
    </w:lvl>
    <w:lvl w:ilvl="8" w:tplc="23D62B46">
      <w:numFmt w:val="bullet"/>
      <w:lvlText w:val="•"/>
      <w:lvlJc w:val="left"/>
      <w:pPr>
        <w:ind w:left="7532" w:hanging="202"/>
      </w:pPr>
      <w:rPr>
        <w:rFonts w:hint="default"/>
      </w:rPr>
    </w:lvl>
  </w:abstractNum>
  <w:abstractNum w:abstractNumId="14" w15:restartNumberingAfterBreak="0">
    <w:nsid w:val="13BE1878"/>
    <w:multiLevelType w:val="hybridMultilevel"/>
    <w:tmpl w:val="B76076A6"/>
    <w:lvl w:ilvl="0" w:tplc="3160B62C">
      <w:numFmt w:val="bullet"/>
      <w:lvlText w:val=""/>
      <w:lvlJc w:val="left"/>
      <w:pPr>
        <w:ind w:left="467" w:hanging="360"/>
      </w:pPr>
      <w:rPr>
        <w:rFonts w:ascii="Symbol" w:eastAsia="Symbol" w:hAnsi="Symbol" w:cs="Symbol" w:hint="default"/>
        <w:b w:val="0"/>
        <w:bCs w:val="0"/>
        <w:i w:val="0"/>
        <w:iCs w:val="0"/>
        <w:w w:val="99"/>
        <w:sz w:val="20"/>
        <w:szCs w:val="20"/>
      </w:rPr>
    </w:lvl>
    <w:lvl w:ilvl="1" w:tplc="56D22588">
      <w:numFmt w:val="bullet"/>
      <w:lvlText w:val="•"/>
      <w:lvlJc w:val="left"/>
      <w:pPr>
        <w:ind w:left="1348" w:hanging="360"/>
      </w:pPr>
      <w:rPr>
        <w:rFonts w:hint="default"/>
      </w:rPr>
    </w:lvl>
    <w:lvl w:ilvl="2" w:tplc="444C9798">
      <w:numFmt w:val="bullet"/>
      <w:lvlText w:val="•"/>
      <w:lvlJc w:val="left"/>
      <w:pPr>
        <w:ind w:left="2236" w:hanging="360"/>
      </w:pPr>
      <w:rPr>
        <w:rFonts w:hint="default"/>
      </w:rPr>
    </w:lvl>
    <w:lvl w:ilvl="3" w:tplc="0ADA8BFE">
      <w:numFmt w:val="bullet"/>
      <w:lvlText w:val="•"/>
      <w:lvlJc w:val="left"/>
      <w:pPr>
        <w:ind w:left="3124" w:hanging="360"/>
      </w:pPr>
      <w:rPr>
        <w:rFonts w:hint="default"/>
      </w:rPr>
    </w:lvl>
    <w:lvl w:ilvl="4" w:tplc="1FDCA462">
      <w:numFmt w:val="bullet"/>
      <w:lvlText w:val="•"/>
      <w:lvlJc w:val="left"/>
      <w:pPr>
        <w:ind w:left="4012" w:hanging="360"/>
      </w:pPr>
      <w:rPr>
        <w:rFonts w:hint="default"/>
      </w:rPr>
    </w:lvl>
    <w:lvl w:ilvl="5" w:tplc="D8086152">
      <w:numFmt w:val="bullet"/>
      <w:lvlText w:val="•"/>
      <w:lvlJc w:val="left"/>
      <w:pPr>
        <w:ind w:left="4900" w:hanging="360"/>
      </w:pPr>
      <w:rPr>
        <w:rFonts w:hint="default"/>
      </w:rPr>
    </w:lvl>
    <w:lvl w:ilvl="6" w:tplc="0E204AA8">
      <w:numFmt w:val="bullet"/>
      <w:lvlText w:val="•"/>
      <w:lvlJc w:val="left"/>
      <w:pPr>
        <w:ind w:left="5788" w:hanging="360"/>
      </w:pPr>
      <w:rPr>
        <w:rFonts w:hint="default"/>
      </w:rPr>
    </w:lvl>
    <w:lvl w:ilvl="7" w:tplc="970C3446">
      <w:numFmt w:val="bullet"/>
      <w:lvlText w:val="•"/>
      <w:lvlJc w:val="left"/>
      <w:pPr>
        <w:ind w:left="6676" w:hanging="360"/>
      </w:pPr>
      <w:rPr>
        <w:rFonts w:hint="default"/>
      </w:rPr>
    </w:lvl>
    <w:lvl w:ilvl="8" w:tplc="D8A8625E">
      <w:numFmt w:val="bullet"/>
      <w:lvlText w:val="•"/>
      <w:lvlJc w:val="left"/>
      <w:pPr>
        <w:ind w:left="7564" w:hanging="360"/>
      </w:pPr>
      <w:rPr>
        <w:rFonts w:hint="default"/>
      </w:rPr>
    </w:lvl>
  </w:abstractNum>
  <w:abstractNum w:abstractNumId="15" w15:restartNumberingAfterBreak="0">
    <w:nsid w:val="13D623FB"/>
    <w:multiLevelType w:val="hybridMultilevel"/>
    <w:tmpl w:val="244828CC"/>
    <w:lvl w:ilvl="0" w:tplc="9F5AAACA">
      <w:numFmt w:val="bullet"/>
      <w:lvlText w:val=""/>
      <w:lvlJc w:val="left"/>
      <w:pPr>
        <w:ind w:left="106" w:hanging="360"/>
      </w:pPr>
      <w:rPr>
        <w:rFonts w:ascii="Symbol" w:eastAsia="Symbol" w:hAnsi="Symbol" w:cs="Symbol" w:hint="default"/>
        <w:b w:val="0"/>
        <w:bCs w:val="0"/>
        <w:i w:val="0"/>
        <w:iCs w:val="0"/>
        <w:w w:val="99"/>
        <w:sz w:val="20"/>
        <w:szCs w:val="20"/>
      </w:rPr>
    </w:lvl>
    <w:lvl w:ilvl="1" w:tplc="9A8C89FE">
      <w:numFmt w:val="bullet"/>
      <w:lvlText w:val="•"/>
      <w:lvlJc w:val="left"/>
      <w:pPr>
        <w:ind w:left="1024" w:hanging="360"/>
      </w:pPr>
      <w:rPr>
        <w:rFonts w:hint="default"/>
      </w:rPr>
    </w:lvl>
    <w:lvl w:ilvl="2" w:tplc="60D2EF62">
      <w:numFmt w:val="bullet"/>
      <w:lvlText w:val="•"/>
      <w:lvlJc w:val="left"/>
      <w:pPr>
        <w:ind w:left="1948" w:hanging="360"/>
      </w:pPr>
      <w:rPr>
        <w:rFonts w:hint="default"/>
      </w:rPr>
    </w:lvl>
    <w:lvl w:ilvl="3" w:tplc="464083FC">
      <w:numFmt w:val="bullet"/>
      <w:lvlText w:val="•"/>
      <w:lvlJc w:val="left"/>
      <w:pPr>
        <w:ind w:left="2872" w:hanging="360"/>
      </w:pPr>
      <w:rPr>
        <w:rFonts w:hint="default"/>
      </w:rPr>
    </w:lvl>
    <w:lvl w:ilvl="4" w:tplc="CBC6FD6A">
      <w:numFmt w:val="bullet"/>
      <w:lvlText w:val="•"/>
      <w:lvlJc w:val="left"/>
      <w:pPr>
        <w:ind w:left="3796" w:hanging="360"/>
      </w:pPr>
      <w:rPr>
        <w:rFonts w:hint="default"/>
      </w:rPr>
    </w:lvl>
    <w:lvl w:ilvl="5" w:tplc="676AB7A0">
      <w:numFmt w:val="bullet"/>
      <w:lvlText w:val="•"/>
      <w:lvlJc w:val="left"/>
      <w:pPr>
        <w:ind w:left="4720" w:hanging="360"/>
      </w:pPr>
      <w:rPr>
        <w:rFonts w:hint="default"/>
      </w:rPr>
    </w:lvl>
    <w:lvl w:ilvl="6" w:tplc="EE2CB1CA">
      <w:numFmt w:val="bullet"/>
      <w:lvlText w:val="•"/>
      <w:lvlJc w:val="left"/>
      <w:pPr>
        <w:ind w:left="5644" w:hanging="360"/>
      </w:pPr>
      <w:rPr>
        <w:rFonts w:hint="default"/>
      </w:rPr>
    </w:lvl>
    <w:lvl w:ilvl="7" w:tplc="FF6A3E1E">
      <w:numFmt w:val="bullet"/>
      <w:lvlText w:val="•"/>
      <w:lvlJc w:val="left"/>
      <w:pPr>
        <w:ind w:left="6568" w:hanging="360"/>
      </w:pPr>
      <w:rPr>
        <w:rFonts w:hint="default"/>
      </w:rPr>
    </w:lvl>
    <w:lvl w:ilvl="8" w:tplc="5DD2C07A">
      <w:numFmt w:val="bullet"/>
      <w:lvlText w:val="•"/>
      <w:lvlJc w:val="left"/>
      <w:pPr>
        <w:ind w:left="7492" w:hanging="360"/>
      </w:pPr>
      <w:rPr>
        <w:rFonts w:hint="default"/>
      </w:rPr>
    </w:lvl>
  </w:abstractNum>
  <w:abstractNum w:abstractNumId="16" w15:restartNumberingAfterBreak="0">
    <w:nsid w:val="14A0659E"/>
    <w:multiLevelType w:val="hybridMultilevel"/>
    <w:tmpl w:val="4A4E1CF0"/>
    <w:lvl w:ilvl="0" w:tplc="8B42C8E6">
      <w:numFmt w:val="bullet"/>
      <w:lvlText w:val=""/>
      <w:lvlJc w:val="left"/>
      <w:pPr>
        <w:ind w:left="466" w:hanging="360"/>
      </w:pPr>
      <w:rPr>
        <w:rFonts w:ascii="Symbol" w:eastAsia="Symbol" w:hAnsi="Symbol" w:cs="Symbol" w:hint="default"/>
        <w:b w:val="0"/>
        <w:bCs w:val="0"/>
        <w:i w:val="0"/>
        <w:iCs w:val="0"/>
        <w:w w:val="99"/>
        <w:sz w:val="20"/>
        <w:szCs w:val="20"/>
      </w:rPr>
    </w:lvl>
    <w:lvl w:ilvl="1" w:tplc="B168642E">
      <w:numFmt w:val="bullet"/>
      <w:lvlText w:val="•"/>
      <w:lvlJc w:val="left"/>
      <w:pPr>
        <w:ind w:left="871" w:hanging="360"/>
      </w:pPr>
      <w:rPr>
        <w:rFonts w:hint="default"/>
      </w:rPr>
    </w:lvl>
    <w:lvl w:ilvl="2" w:tplc="A4E45516">
      <w:numFmt w:val="bullet"/>
      <w:lvlText w:val="•"/>
      <w:lvlJc w:val="left"/>
      <w:pPr>
        <w:ind w:left="1283" w:hanging="360"/>
      </w:pPr>
      <w:rPr>
        <w:rFonts w:hint="default"/>
      </w:rPr>
    </w:lvl>
    <w:lvl w:ilvl="3" w:tplc="9B7C9096">
      <w:numFmt w:val="bullet"/>
      <w:lvlText w:val="•"/>
      <w:lvlJc w:val="left"/>
      <w:pPr>
        <w:ind w:left="1694" w:hanging="360"/>
      </w:pPr>
      <w:rPr>
        <w:rFonts w:hint="default"/>
      </w:rPr>
    </w:lvl>
    <w:lvl w:ilvl="4" w:tplc="54281066">
      <w:numFmt w:val="bullet"/>
      <w:lvlText w:val="•"/>
      <w:lvlJc w:val="left"/>
      <w:pPr>
        <w:ind w:left="2106" w:hanging="360"/>
      </w:pPr>
      <w:rPr>
        <w:rFonts w:hint="default"/>
      </w:rPr>
    </w:lvl>
    <w:lvl w:ilvl="5" w:tplc="76DC6358">
      <w:numFmt w:val="bullet"/>
      <w:lvlText w:val="•"/>
      <w:lvlJc w:val="left"/>
      <w:pPr>
        <w:ind w:left="2518" w:hanging="360"/>
      </w:pPr>
      <w:rPr>
        <w:rFonts w:hint="default"/>
      </w:rPr>
    </w:lvl>
    <w:lvl w:ilvl="6" w:tplc="AAF4F4FE">
      <w:numFmt w:val="bullet"/>
      <w:lvlText w:val="•"/>
      <w:lvlJc w:val="left"/>
      <w:pPr>
        <w:ind w:left="2929" w:hanging="360"/>
      </w:pPr>
      <w:rPr>
        <w:rFonts w:hint="default"/>
      </w:rPr>
    </w:lvl>
    <w:lvl w:ilvl="7" w:tplc="525AAD54">
      <w:numFmt w:val="bullet"/>
      <w:lvlText w:val="•"/>
      <w:lvlJc w:val="left"/>
      <w:pPr>
        <w:ind w:left="3341" w:hanging="360"/>
      </w:pPr>
      <w:rPr>
        <w:rFonts w:hint="default"/>
      </w:rPr>
    </w:lvl>
    <w:lvl w:ilvl="8" w:tplc="223CAE9E">
      <w:numFmt w:val="bullet"/>
      <w:lvlText w:val="•"/>
      <w:lvlJc w:val="left"/>
      <w:pPr>
        <w:ind w:left="3752" w:hanging="360"/>
      </w:pPr>
      <w:rPr>
        <w:rFonts w:hint="default"/>
      </w:rPr>
    </w:lvl>
  </w:abstractNum>
  <w:abstractNum w:abstractNumId="17" w15:restartNumberingAfterBreak="0">
    <w:nsid w:val="15AF111A"/>
    <w:multiLevelType w:val="hybridMultilevel"/>
    <w:tmpl w:val="74BEFA0E"/>
    <w:lvl w:ilvl="0" w:tplc="76120F08">
      <w:start w:val="7"/>
      <w:numFmt w:val="decimal"/>
      <w:lvlText w:val="%1."/>
      <w:lvlJc w:val="left"/>
      <w:pPr>
        <w:ind w:left="1800" w:hanging="360"/>
        <w:jc w:val="left"/>
      </w:pPr>
      <w:rPr>
        <w:rFonts w:ascii="Calibri" w:eastAsia="Calibri" w:hAnsi="Calibri" w:cs="Calibri" w:hint="default"/>
        <w:b/>
        <w:bCs/>
        <w:i w:val="0"/>
        <w:iCs w:val="0"/>
        <w:w w:val="100"/>
        <w:sz w:val="36"/>
        <w:szCs w:val="36"/>
      </w:rPr>
    </w:lvl>
    <w:lvl w:ilvl="1" w:tplc="2C38A888">
      <w:numFmt w:val="bullet"/>
      <w:lvlText w:val="•"/>
      <w:lvlJc w:val="left"/>
      <w:pPr>
        <w:ind w:left="2844" w:hanging="360"/>
      </w:pPr>
      <w:rPr>
        <w:rFonts w:hint="default"/>
      </w:rPr>
    </w:lvl>
    <w:lvl w:ilvl="2" w:tplc="156C2F14">
      <w:numFmt w:val="bullet"/>
      <w:lvlText w:val="•"/>
      <w:lvlJc w:val="left"/>
      <w:pPr>
        <w:ind w:left="3888" w:hanging="360"/>
      </w:pPr>
      <w:rPr>
        <w:rFonts w:hint="default"/>
      </w:rPr>
    </w:lvl>
    <w:lvl w:ilvl="3" w:tplc="9E9691EC">
      <w:numFmt w:val="bullet"/>
      <w:lvlText w:val="•"/>
      <w:lvlJc w:val="left"/>
      <w:pPr>
        <w:ind w:left="4932" w:hanging="360"/>
      </w:pPr>
      <w:rPr>
        <w:rFonts w:hint="default"/>
      </w:rPr>
    </w:lvl>
    <w:lvl w:ilvl="4" w:tplc="AAA2ABF2">
      <w:numFmt w:val="bullet"/>
      <w:lvlText w:val="•"/>
      <w:lvlJc w:val="left"/>
      <w:pPr>
        <w:ind w:left="5976" w:hanging="360"/>
      </w:pPr>
      <w:rPr>
        <w:rFonts w:hint="default"/>
      </w:rPr>
    </w:lvl>
    <w:lvl w:ilvl="5" w:tplc="EDF6B9B8">
      <w:numFmt w:val="bullet"/>
      <w:lvlText w:val="•"/>
      <w:lvlJc w:val="left"/>
      <w:pPr>
        <w:ind w:left="7020" w:hanging="360"/>
      </w:pPr>
      <w:rPr>
        <w:rFonts w:hint="default"/>
      </w:rPr>
    </w:lvl>
    <w:lvl w:ilvl="6" w:tplc="3C5608F6">
      <w:numFmt w:val="bullet"/>
      <w:lvlText w:val="•"/>
      <w:lvlJc w:val="left"/>
      <w:pPr>
        <w:ind w:left="8064" w:hanging="360"/>
      </w:pPr>
      <w:rPr>
        <w:rFonts w:hint="default"/>
      </w:rPr>
    </w:lvl>
    <w:lvl w:ilvl="7" w:tplc="360015F6">
      <w:numFmt w:val="bullet"/>
      <w:lvlText w:val="•"/>
      <w:lvlJc w:val="left"/>
      <w:pPr>
        <w:ind w:left="9108" w:hanging="360"/>
      </w:pPr>
      <w:rPr>
        <w:rFonts w:hint="default"/>
      </w:rPr>
    </w:lvl>
    <w:lvl w:ilvl="8" w:tplc="D8DAE1C0">
      <w:numFmt w:val="bullet"/>
      <w:lvlText w:val="•"/>
      <w:lvlJc w:val="left"/>
      <w:pPr>
        <w:ind w:left="10152" w:hanging="360"/>
      </w:pPr>
      <w:rPr>
        <w:rFonts w:hint="default"/>
      </w:rPr>
    </w:lvl>
  </w:abstractNum>
  <w:abstractNum w:abstractNumId="18" w15:restartNumberingAfterBreak="0">
    <w:nsid w:val="1A2407A3"/>
    <w:multiLevelType w:val="hybridMultilevel"/>
    <w:tmpl w:val="649AC544"/>
    <w:lvl w:ilvl="0" w:tplc="66DED4EA">
      <w:start w:val="3"/>
      <w:numFmt w:val="decimal"/>
      <w:lvlText w:val="%1."/>
      <w:lvlJc w:val="left"/>
      <w:pPr>
        <w:ind w:left="1440" w:hanging="197"/>
        <w:jc w:val="left"/>
      </w:pPr>
      <w:rPr>
        <w:rFonts w:ascii="Calibri" w:eastAsia="Calibri" w:hAnsi="Calibri" w:cs="Calibri" w:hint="default"/>
        <w:b w:val="0"/>
        <w:bCs w:val="0"/>
        <w:i w:val="0"/>
        <w:iCs w:val="0"/>
        <w:spacing w:val="-1"/>
        <w:w w:val="99"/>
        <w:sz w:val="20"/>
        <w:szCs w:val="20"/>
      </w:rPr>
    </w:lvl>
    <w:lvl w:ilvl="1" w:tplc="C9B0F42E">
      <w:numFmt w:val="bullet"/>
      <w:lvlText w:val="•"/>
      <w:lvlJc w:val="left"/>
      <w:pPr>
        <w:ind w:left="2520" w:hanging="197"/>
      </w:pPr>
      <w:rPr>
        <w:rFonts w:hint="default"/>
      </w:rPr>
    </w:lvl>
    <w:lvl w:ilvl="2" w:tplc="211EE562">
      <w:numFmt w:val="bullet"/>
      <w:lvlText w:val="•"/>
      <w:lvlJc w:val="left"/>
      <w:pPr>
        <w:ind w:left="3600" w:hanging="197"/>
      </w:pPr>
      <w:rPr>
        <w:rFonts w:hint="default"/>
      </w:rPr>
    </w:lvl>
    <w:lvl w:ilvl="3" w:tplc="77382790">
      <w:numFmt w:val="bullet"/>
      <w:lvlText w:val="•"/>
      <w:lvlJc w:val="left"/>
      <w:pPr>
        <w:ind w:left="4680" w:hanging="197"/>
      </w:pPr>
      <w:rPr>
        <w:rFonts w:hint="default"/>
      </w:rPr>
    </w:lvl>
    <w:lvl w:ilvl="4" w:tplc="3DE87392">
      <w:numFmt w:val="bullet"/>
      <w:lvlText w:val="•"/>
      <w:lvlJc w:val="left"/>
      <w:pPr>
        <w:ind w:left="5760" w:hanging="197"/>
      </w:pPr>
      <w:rPr>
        <w:rFonts w:hint="default"/>
      </w:rPr>
    </w:lvl>
    <w:lvl w:ilvl="5" w:tplc="24FC1968">
      <w:numFmt w:val="bullet"/>
      <w:lvlText w:val="•"/>
      <w:lvlJc w:val="left"/>
      <w:pPr>
        <w:ind w:left="6840" w:hanging="197"/>
      </w:pPr>
      <w:rPr>
        <w:rFonts w:hint="default"/>
      </w:rPr>
    </w:lvl>
    <w:lvl w:ilvl="6" w:tplc="FF645FCA">
      <w:numFmt w:val="bullet"/>
      <w:lvlText w:val="•"/>
      <w:lvlJc w:val="left"/>
      <w:pPr>
        <w:ind w:left="7920" w:hanging="197"/>
      </w:pPr>
      <w:rPr>
        <w:rFonts w:hint="default"/>
      </w:rPr>
    </w:lvl>
    <w:lvl w:ilvl="7" w:tplc="2D90442C">
      <w:numFmt w:val="bullet"/>
      <w:lvlText w:val="•"/>
      <w:lvlJc w:val="left"/>
      <w:pPr>
        <w:ind w:left="9000" w:hanging="197"/>
      </w:pPr>
      <w:rPr>
        <w:rFonts w:hint="default"/>
      </w:rPr>
    </w:lvl>
    <w:lvl w:ilvl="8" w:tplc="BDC601B0">
      <w:numFmt w:val="bullet"/>
      <w:lvlText w:val="•"/>
      <w:lvlJc w:val="left"/>
      <w:pPr>
        <w:ind w:left="10080" w:hanging="197"/>
      </w:pPr>
      <w:rPr>
        <w:rFonts w:hint="default"/>
      </w:rPr>
    </w:lvl>
  </w:abstractNum>
  <w:abstractNum w:abstractNumId="19" w15:restartNumberingAfterBreak="0">
    <w:nsid w:val="1DCB2BC5"/>
    <w:multiLevelType w:val="hybridMultilevel"/>
    <w:tmpl w:val="B46AEB00"/>
    <w:lvl w:ilvl="0" w:tplc="F73EBF48">
      <w:numFmt w:val="bullet"/>
      <w:lvlText w:val=""/>
      <w:lvlJc w:val="left"/>
      <w:pPr>
        <w:ind w:left="467" w:hanging="360"/>
      </w:pPr>
      <w:rPr>
        <w:rFonts w:ascii="Symbol" w:eastAsia="Symbol" w:hAnsi="Symbol" w:cs="Symbol" w:hint="default"/>
        <w:b w:val="0"/>
        <w:bCs w:val="0"/>
        <w:i w:val="0"/>
        <w:iCs w:val="0"/>
        <w:w w:val="99"/>
        <w:sz w:val="20"/>
        <w:szCs w:val="20"/>
      </w:rPr>
    </w:lvl>
    <w:lvl w:ilvl="1" w:tplc="D25C8DDA">
      <w:numFmt w:val="bullet"/>
      <w:lvlText w:val="•"/>
      <w:lvlJc w:val="left"/>
      <w:pPr>
        <w:ind w:left="1349" w:hanging="360"/>
      </w:pPr>
      <w:rPr>
        <w:rFonts w:hint="default"/>
      </w:rPr>
    </w:lvl>
    <w:lvl w:ilvl="2" w:tplc="8940DA38">
      <w:numFmt w:val="bullet"/>
      <w:lvlText w:val="•"/>
      <w:lvlJc w:val="left"/>
      <w:pPr>
        <w:ind w:left="2238" w:hanging="360"/>
      </w:pPr>
      <w:rPr>
        <w:rFonts w:hint="default"/>
      </w:rPr>
    </w:lvl>
    <w:lvl w:ilvl="3" w:tplc="124EA8DA">
      <w:numFmt w:val="bullet"/>
      <w:lvlText w:val="•"/>
      <w:lvlJc w:val="left"/>
      <w:pPr>
        <w:ind w:left="3127" w:hanging="360"/>
      </w:pPr>
      <w:rPr>
        <w:rFonts w:hint="default"/>
      </w:rPr>
    </w:lvl>
    <w:lvl w:ilvl="4" w:tplc="225ED966">
      <w:numFmt w:val="bullet"/>
      <w:lvlText w:val="•"/>
      <w:lvlJc w:val="left"/>
      <w:pPr>
        <w:ind w:left="4016" w:hanging="360"/>
      </w:pPr>
      <w:rPr>
        <w:rFonts w:hint="default"/>
      </w:rPr>
    </w:lvl>
    <w:lvl w:ilvl="5" w:tplc="C2BA055E">
      <w:numFmt w:val="bullet"/>
      <w:lvlText w:val="•"/>
      <w:lvlJc w:val="left"/>
      <w:pPr>
        <w:ind w:left="4905" w:hanging="360"/>
      </w:pPr>
      <w:rPr>
        <w:rFonts w:hint="default"/>
      </w:rPr>
    </w:lvl>
    <w:lvl w:ilvl="6" w:tplc="23525244">
      <w:numFmt w:val="bullet"/>
      <w:lvlText w:val="•"/>
      <w:lvlJc w:val="left"/>
      <w:pPr>
        <w:ind w:left="5794" w:hanging="360"/>
      </w:pPr>
      <w:rPr>
        <w:rFonts w:hint="default"/>
      </w:rPr>
    </w:lvl>
    <w:lvl w:ilvl="7" w:tplc="58FAD7A8">
      <w:numFmt w:val="bullet"/>
      <w:lvlText w:val="•"/>
      <w:lvlJc w:val="left"/>
      <w:pPr>
        <w:ind w:left="6683" w:hanging="360"/>
      </w:pPr>
      <w:rPr>
        <w:rFonts w:hint="default"/>
      </w:rPr>
    </w:lvl>
    <w:lvl w:ilvl="8" w:tplc="E9CE1628">
      <w:numFmt w:val="bullet"/>
      <w:lvlText w:val="•"/>
      <w:lvlJc w:val="left"/>
      <w:pPr>
        <w:ind w:left="7572" w:hanging="360"/>
      </w:pPr>
      <w:rPr>
        <w:rFonts w:hint="default"/>
      </w:rPr>
    </w:lvl>
  </w:abstractNum>
  <w:abstractNum w:abstractNumId="20" w15:restartNumberingAfterBreak="0">
    <w:nsid w:val="1F4E332F"/>
    <w:multiLevelType w:val="hybridMultilevel"/>
    <w:tmpl w:val="87AEB184"/>
    <w:lvl w:ilvl="0" w:tplc="961C36D8">
      <w:start w:val="1"/>
      <w:numFmt w:val="decimal"/>
      <w:lvlText w:val="%1."/>
      <w:lvlJc w:val="left"/>
      <w:pPr>
        <w:ind w:left="1879" w:hanging="219"/>
        <w:jc w:val="left"/>
      </w:pPr>
      <w:rPr>
        <w:rFonts w:ascii="Calibri" w:eastAsia="Calibri" w:hAnsi="Calibri" w:cs="Calibri" w:hint="default"/>
        <w:b w:val="0"/>
        <w:bCs w:val="0"/>
        <w:i w:val="0"/>
        <w:iCs w:val="0"/>
        <w:w w:val="100"/>
        <w:sz w:val="22"/>
        <w:szCs w:val="22"/>
      </w:rPr>
    </w:lvl>
    <w:lvl w:ilvl="1" w:tplc="823A5198">
      <w:numFmt w:val="bullet"/>
      <w:lvlText w:val="•"/>
      <w:lvlJc w:val="left"/>
      <w:pPr>
        <w:ind w:left="2916" w:hanging="219"/>
      </w:pPr>
      <w:rPr>
        <w:rFonts w:hint="default"/>
      </w:rPr>
    </w:lvl>
    <w:lvl w:ilvl="2" w:tplc="AF62CC56">
      <w:numFmt w:val="bullet"/>
      <w:lvlText w:val="•"/>
      <w:lvlJc w:val="left"/>
      <w:pPr>
        <w:ind w:left="3952" w:hanging="219"/>
      </w:pPr>
      <w:rPr>
        <w:rFonts w:hint="default"/>
      </w:rPr>
    </w:lvl>
    <w:lvl w:ilvl="3" w:tplc="99ACE420">
      <w:numFmt w:val="bullet"/>
      <w:lvlText w:val="•"/>
      <w:lvlJc w:val="left"/>
      <w:pPr>
        <w:ind w:left="4988" w:hanging="219"/>
      </w:pPr>
      <w:rPr>
        <w:rFonts w:hint="default"/>
      </w:rPr>
    </w:lvl>
    <w:lvl w:ilvl="4" w:tplc="543E47D8">
      <w:numFmt w:val="bullet"/>
      <w:lvlText w:val="•"/>
      <w:lvlJc w:val="left"/>
      <w:pPr>
        <w:ind w:left="6024" w:hanging="219"/>
      </w:pPr>
      <w:rPr>
        <w:rFonts w:hint="default"/>
      </w:rPr>
    </w:lvl>
    <w:lvl w:ilvl="5" w:tplc="BC349EB6">
      <w:numFmt w:val="bullet"/>
      <w:lvlText w:val="•"/>
      <w:lvlJc w:val="left"/>
      <w:pPr>
        <w:ind w:left="7060" w:hanging="219"/>
      </w:pPr>
      <w:rPr>
        <w:rFonts w:hint="default"/>
      </w:rPr>
    </w:lvl>
    <w:lvl w:ilvl="6" w:tplc="43E07EC0">
      <w:numFmt w:val="bullet"/>
      <w:lvlText w:val="•"/>
      <w:lvlJc w:val="left"/>
      <w:pPr>
        <w:ind w:left="8096" w:hanging="219"/>
      </w:pPr>
      <w:rPr>
        <w:rFonts w:hint="default"/>
      </w:rPr>
    </w:lvl>
    <w:lvl w:ilvl="7" w:tplc="056AF552">
      <w:numFmt w:val="bullet"/>
      <w:lvlText w:val="•"/>
      <w:lvlJc w:val="left"/>
      <w:pPr>
        <w:ind w:left="9132" w:hanging="219"/>
      </w:pPr>
      <w:rPr>
        <w:rFonts w:hint="default"/>
      </w:rPr>
    </w:lvl>
    <w:lvl w:ilvl="8" w:tplc="D2BAE64A">
      <w:numFmt w:val="bullet"/>
      <w:lvlText w:val="•"/>
      <w:lvlJc w:val="left"/>
      <w:pPr>
        <w:ind w:left="10168" w:hanging="219"/>
      </w:pPr>
      <w:rPr>
        <w:rFonts w:hint="default"/>
      </w:rPr>
    </w:lvl>
  </w:abstractNum>
  <w:abstractNum w:abstractNumId="21" w15:restartNumberingAfterBreak="0">
    <w:nsid w:val="204A7ED3"/>
    <w:multiLevelType w:val="hybridMultilevel"/>
    <w:tmpl w:val="802217A2"/>
    <w:lvl w:ilvl="0" w:tplc="EA8489EA">
      <w:numFmt w:val="bullet"/>
      <w:lvlText w:val=""/>
      <w:lvlJc w:val="left"/>
      <w:pPr>
        <w:ind w:left="467" w:hanging="360"/>
      </w:pPr>
      <w:rPr>
        <w:rFonts w:ascii="Symbol" w:eastAsia="Symbol" w:hAnsi="Symbol" w:cs="Symbol" w:hint="default"/>
        <w:b w:val="0"/>
        <w:bCs w:val="0"/>
        <w:i w:val="0"/>
        <w:iCs w:val="0"/>
        <w:w w:val="99"/>
        <w:sz w:val="20"/>
        <w:szCs w:val="20"/>
      </w:rPr>
    </w:lvl>
    <w:lvl w:ilvl="1" w:tplc="660064E8">
      <w:numFmt w:val="bullet"/>
      <w:lvlText w:val="•"/>
      <w:lvlJc w:val="left"/>
      <w:pPr>
        <w:ind w:left="1348" w:hanging="360"/>
      </w:pPr>
      <w:rPr>
        <w:rFonts w:hint="default"/>
      </w:rPr>
    </w:lvl>
    <w:lvl w:ilvl="2" w:tplc="8D80CCAC">
      <w:numFmt w:val="bullet"/>
      <w:lvlText w:val="•"/>
      <w:lvlJc w:val="left"/>
      <w:pPr>
        <w:ind w:left="2236" w:hanging="360"/>
      </w:pPr>
      <w:rPr>
        <w:rFonts w:hint="default"/>
      </w:rPr>
    </w:lvl>
    <w:lvl w:ilvl="3" w:tplc="778A6A6A">
      <w:numFmt w:val="bullet"/>
      <w:lvlText w:val="•"/>
      <w:lvlJc w:val="left"/>
      <w:pPr>
        <w:ind w:left="3124" w:hanging="360"/>
      </w:pPr>
      <w:rPr>
        <w:rFonts w:hint="default"/>
      </w:rPr>
    </w:lvl>
    <w:lvl w:ilvl="4" w:tplc="E188ABEA">
      <w:numFmt w:val="bullet"/>
      <w:lvlText w:val="•"/>
      <w:lvlJc w:val="left"/>
      <w:pPr>
        <w:ind w:left="4012" w:hanging="360"/>
      </w:pPr>
      <w:rPr>
        <w:rFonts w:hint="default"/>
      </w:rPr>
    </w:lvl>
    <w:lvl w:ilvl="5" w:tplc="DDDCF272">
      <w:numFmt w:val="bullet"/>
      <w:lvlText w:val="•"/>
      <w:lvlJc w:val="left"/>
      <w:pPr>
        <w:ind w:left="4900" w:hanging="360"/>
      </w:pPr>
      <w:rPr>
        <w:rFonts w:hint="default"/>
      </w:rPr>
    </w:lvl>
    <w:lvl w:ilvl="6" w:tplc="BE147FD2">
      <w:numFmt w:val="bullet"/>
      <w:lvlText w:val="•"/>
      <w:lvlJc w:val="left"/>
      <w:pPr>
        <w:ind w:left="5788" w:hanging="360"/>
      </w:pPr>
      <w:rPr>
        <w:rFonts w:hint="default"/>
      </w:rPr>
    </w:lvl>
    <w:lvl w:ilvl="7" w:tplc="2B8AA2FC">
      <w:numFmt w:val="bullet"/>
      <w:lvlText w:val="•"/>
      <w:lvlJc w:val="left"/>
      <w:pPr>
        <w:ind w:left="6676" w:hanging="360"/>
      </w:pPr>
      <w:rPr>
        <w:rFonts w:hint="default"/>
      </w:rPr>
    </w:lvl>
    <w:lvl w:ilvl="8" w:tplc="3496CD24">
      <w:numFmt w:val="bullet"/>
      <w:lvlText w:val="•"/>
      <w:lvlJc w:val="left"/>
      <w:pPr>
        <w:ind w:left="7564" w:hanging="360"/>
      </w:pPr>
      <w:rPr>
        <w:rFonts w:hint="default"/>
      </w:rPr>
    </w:lvl>
  </w:abstractNum>
  <w:abstractNum w:abstractNumId="22" w15:restartNumberingAfterBreak="0">
    <w:nsid w:val="208A161D"/>
    <w:multiLevelType w:val="hybridMultilevel"/>
    <w:tmpl w:val="1B46C206"/>
    <w:lvl w:ilvl="0" w:tplc="D494E82A">
      <w:numFmt w:val="decimal"/>
      <w:lvlText w:val="(%1)"/>
      <w:lvlJc w:val="left"/>
      <w:pPr>
        <w:ind w:left="475" w:hanging="368"/>
        <w:jc w:val="left"/>
      </w:pPr>
      <w:rPr>
        <w:rFonts w:ascii="Calibri" w:eastAsia="Calibri" w:hAnsi="Calibri" w:cs="Calibri" w:hint="default"/>
        <w:b w:val="0"/>
        <w:bCs w:val="0"/>
        <w:i w:val="0"/>
        <w:iCs w:val="0"/>
        <w:spacing w:val="-1"/>
        <w:w w:val="99"/>
        <w:sz w:val="20"/>
        <w:szCs w:val="20"/>
      </w:rPr>
    </w:lvl>
    <w:lvl w:ilvl="1" w:tplc="340030A4">
      <w:numFmt w:val="bullet"/>
      <w:lvlText w:val="•"/>
      <w:lvlJc w:val="left"/>
      <w:pPr>
        <w:ind w:left="898" w:hanging="368"/>
      </w:pPr>
      <w:rPr>
        <w:rFonts w:hint="default"/>
      </w:rPr>
    </w:lvl>
    <w:lvl w:ilvl="2" w:tplc="74C05C44">
      <w:numFmt w:val="bullet"/>
      <w:lvlText w:val="•"/>
      <w:lvlJc w:val="left"/>
      <w:pPr>
        <w:ind w:left="1317" w:hanging="368"/>
      </w:pPr>
      <w:rPr>
        <w:rFonts w:hint="default"/>
      </w:rPr>
    </w:lvl>
    <w:lvl w:ilvl="3" w:tplc="03005922">
      <w:numFmt w:val="bullet"/>
      <w:lvlText w:val="•"/>
      <w:lvlJc w:val="left"/>
      <w:pPr>
        <w:ind w:left="1735" w:hanging="368"/>
      </w:pPr>
      <w:rPr>
        <w:rFonts w:hint="default"/>
      </w:rPr>
    </w:lvl>
    <w:lvl w:ilvl="4" w:tplc="F42839A4">
      <w:numFmt w:val="bullet"/>
      <w:lvlText w:val="•"/>
      <w:lvlJc w:val="left"/>
      <w:pPr>
        <w:ind w:left="2154" w:hanging="368"/>
      </w:pPr>
      <w:rPr>
        <w:rFonts w:hint="default"/>
      </w:rPr>
    </w:lvl>
    <w:lvl w:ilvl="5" w:tplc="D0AC0AF8">
      <w:numFmt w:val="bullet"/>
      <w:lvlText w:val="•"/>
      <w:lvlJc w:val="left"/>
      <w:pPr>
        <w:ind w:left="2572" w:hanging="368"/>
      </w:pPr>
      <w:rPr>
        <w:rFonts w:hint="default"/>
      </w:rPr>
    </w:lvl>
    <w:lvl w:ilvl="6" w:tplc="37D09E4A">
      <w:numFmt w:val="bullet"/>
      <w:lvlText w:val="•"/>
      <w:lvlJc w:val="left"/>
      <w:pPr>
        <w:ind w:left="2991" w:hanging="368"/>
      </w:pPr>
      <w:rPr>
        <w:rFonts w:hint="default"/>
      </w:rPr>
    </w:lvl>
    <w:lvl w:ilvl="7" w:tplc="E35CFFC0">
      <w:numFmt w:val="bullet"/>
      <w:lvlText w:val="•"/>
      <w:lvlJc w:val="left"/>
      <w:pPr>
        <w:ind w:left="3409" w:hanging="368"/>
      </w:pPr>
      <w:rPr>
        <w:rFonts w:hint="default"/>
      </w:rPr>
    </w:lvl>
    <w:lvl w:ilvl="8" w:tplc="3198F6BC">
      <w:numFmt w:val="bullet"/>
      <w:lvlText w:val="•"/>
      <w:lvlJc w:val="left"/>
      <w:pPr>
        <w:ind w:left="3828" w:hanging="368"/>
      </w:pPr>
      <w:rPr>
        <w:rFonts w:hint="default"/>
      </w:rPr>
    </w:lvl>
  </w:abstractNum>
  <w:abstractNum w:abstractNumId="23" w15:restartNumberingAfterBreak="0">
    <w:nsid w:val="20B277D8"/>
    <w:multiLevelType w:val="hybridMultilevel"/>
    <w:tmpl w:val="DD160DA8"/>
    <w:lvl w:ilvl="0" w:tplc="33A81876">
      <w:numFmt w:val="decimal"/>
      <w:lvlText w:val="(%1)"/>
      <w:lvlJc w:val="left"/>
      <w:pPr>
        <w:ind w:left="460" w:hanging="353"/>
        <w:jc w:val="left"/>
      </w:pPr>
      <w:rPr>
        <w:rFonts w:ascii="Calibri" w:eastAsia="Calibri" w:hAnsi="Calibri" w:cs="Calibri" w:hint="default"/>
        <w:b w:val="0"/>
        <w:bCs w:val="0"/>
        <w:i w:val="0"/>
        <w:iCs w:val="0"/>
        <w:spacing w:val="-1"/>
        <w:w w:val="99"/>
        <w:sz w:val="20"/>
        <w:szCs w:val="20"/>
      </w:rPr>
    </w:lvl>
    <w:lvl w:ilvl="1" w:tplc="A48AE4CE">
      <w:numFmt w:val="bullet"/>
      <w:lvlText w:val="•"/>
      <w:lvlJc w:val="left"/>
      <w:pPr>
        <w:ind w:left="880" w:hanging="353"/>
      </w:pPr>
      <w:rPr>
        <w:rFonts w:hint="default"/>
      </w:rPr>
    </w:lvl>
    <w:lvl w:ilvl="2" w:tplc="305CA714">
      <w:numFmt w:val="bullet"/>
      <w:lvlText w:val="•"/>
      <w:lvlJc w:val="left"/>
      <w:pPr>
        <w:ind w:left="1301" w:hanging="353"/>
      </w:pPr>
      <w:rPr>
        <w:rFonts w:hint="default"/>
      </w:rPr>
    </w:lvl>
    <w:lvl w:ilvl="3" w:tplc="45308EF2">
      <w:numFmt w:val="bullet"/>
      <w:lvlText w:val="•"/>
      <w:lvlJc w:val="left"/>
      <w:pPr>
        <w:ind w:left="1721" w:hanging="353"/>
      </w:pPr>
      <w:rPr>
        <w:rFonts w:hint="default"/>
      </w:rPr>
    </w:lvl>
    <w:lvl w:ilvl="4" w:tplc="71006B7E">
      <w:numFmt w:val="bullet"/>
      <w:lvlText w:val="•"/>
      <w:lvlJc w:val="left"/>
      <w:pPr>
        <w:ind w:left="2142" w:hanging="353"/>
      </w:pPr>
      <w:rPr>
        <w:rFonts w:hint="default"/>
      </w:rPr>
    </w:lvl>
    <w:lvl w:ilvl="5" w:tplc="49383B6C">
      <w:numFmt w:val="bullet"/>
      <w:lvlText w:val="•"/>
      <w:lvlJc w:val="left"/>
      <w:pPr>
        <w:ind w:left="2562" w:hanging="353"/>
      </w:pPr>
      <w:rPr>
        <w:rFonts w:hint="default"/>
      </w:rPr>
    </w:lvl>
    <w:lvl w:ilvl="6" w:tplc="03BCA050">
      <w:numFmt w:val="bullet"/>
      <w:lvlText w:val="•"/>
      <w:lvlJc w:val="left"/>
      <w:pPr>
        <w:ind w:left="2983" w:hanging="353"/>
      </w:pPr>
      <w:rPr>
        <w:rFonts w:hint="default"/>
      </w:rPr>
    </w:lvl>
    <w:lvl w:ilvl="7" w:tplc="C624F042">
      <w:numFmt w:val="bullet"/>
      <w:lvlText w:val="•"/>
      <w:lvlJc w:val="left"/>
      <w:pPr>
        <w:ind w:left="3403" w:hanging="353"/>
      </w:pPr>
      <w:rPr>
        <w:rFonts w:hint="default"/>
      </w:rPr>
    </w:lvl>
    <w:lvl w:ilvl="8" w:tplc="998ABFAA">
      <w:numFmt w:val="bullet"/>
      <w:lvlText w:val="•"/>
      <w:lvlJc w:val="left"/>
      <w:pPr>
        <w:ind w:left="3824" w:hanging="353"/>
      </w:pPr>
      <w:rPr>
        <w:rFonts w:hint="default"/>
      </w:rPr>
    </w:lvl>
  </w:abstractNum>
  <w:abstractNum w:abstractNumId="24" w15:restartNumberingAfterBreak="0">
    <w:nsid w:val="238F6C28"/>
    <w:multiLevelType w:val="hybridMultilevel"/>
    <w:tmpl w:val="0F64E542"/>
    <w:lvl w:ilvl="0" w:tplc="C8609A26">
      <w:numFmt w:val="bullet"/>
      <w:lvlText w:val=""/>
      <w:lvlJc w:val="left"/>
      <w:pPr>
        <w:ind w:left="465" w:hanging="360"/>
      </w:pPr>
      <w:rPr>
        <w:rFonts w:ascii="Symbol" w:eastAsia="Symbol" w:hAnsi="Symbol" w:cs="Symbol" w:hint="default"/>
        <w:b w:val="0"/>
        <w:bCs w:val="0"/>
        <w:i w:val="0"/>
        <w:iCs w:val="0"/>
        <w:w w:val="99"/>
        <w:sz w:val="20"/>
        <w:szCs w:val="20"/>
      </w:rPr>
    </w:lvl>
    <w:lvl w:ilvl="1" w:tplc="4A983132">
      <w:numFmt w:val="bullet"/>
      <w:lvlText w:val="•"/>
      <w:lvlJc w:val="left"/>
      <w:pPr>
        <w:ind w:left="889" w:hanging="360"/>
      </w:pPr>
      <w:rPr>
        <w:rFonts w:hint="default"/>
      </w:rPr>
    </w:lvl>
    <w:lvl w:ilvl="2" w:tplc="D8AE31BC">
      <w:numFmt w:val="bullet"/>
      <w:lvlText w:val="•"/>
      <w:lvlJc w:val="left"/>
      <w:pPr>
        <w:ind w:left="1318" w:hanging="360"/>
      </w:pPr>
      <w:rPr>
        <w:rFonts w:hint="default"/>
      </w:rPr>
    </w:lvl>
    <w:lvl w:ilvl="3" w:tplc="6C8E130A">
      <w:numFmt w:val="bullet"/>
      <w:lvlText w:val="•"/>
      <w:lvlJc w:val="left"/>
      <w:pPr>
        <w:ind w:left="1748" w:hanging="360"/>
      </w:pPr>
      <w:rPr>
        <w:rFonts w:hint="default"/>
      </w:rPr>
    </w:lvl>
    <w:lvl w:ilvl="4" w:tplc="EA520AC0">
      <w:numFmt w:val="bullet"/>
      <w:lvlText w:val="•"/>
      <w:lvlJc w:val="left"/>
      <w:pPr>
        <w:ind w:left="2177" w:hanging="360"/>
      </w:pPr>
      <w:rPr>
        <w:rFonts w:hint="default"/>
      </w:rPr>
    </w:lvl>
    <w:lvl w:ilvl="5" w:tplc="E4C84848">
      <w:numFmt w:val="bullet"/>
      <w:lvlText w:val="•"/>
      <w:lvlJc w:val="left"/>
      <w:pPr>
        <w:ind w:left="2607" w:hanging="360"/>
      </w:pPr>
      <w:rPr>
        <w:rFonts w:hint="default"/>
      </w:rPr>
    </w:lvl>
    <w:lvl w:ilvl="6" w:tplc="60D2F4B2">
      <w:numFmt w:val="bullet"/>
      <w:lvlText w:val="•"/>
      <w:lvlJc w:val="left"/>
      <w:pPr>
        <w:ind w:left="3036" w:hanging="360"/>
      </w:pPr>
      <w:rPr>
        <w:rFonts w:hint="default"/>
      </w:rPr>
    </w:lvl>
    <w:lvl w:ilvl="7" w:tplc="01ECF556">
      <w:numFmt w:val="bullet"/>
      <w:lvlText w:val="•"/>
      <w:lvlJc w:val="left"/>
      <w:pPr>
        <w:ind w:left="3465" w:hanging="360"/>
      </w:pPr>
      <w:rPr>
        <w:rFonts w:hint="default"/>
      </w:rPr>
    </w:lvl>
    <w:lvl w:ilvl="8" w:tplc="743A64BE">
      <w:numFmt w:val="bullet"/>
      <w:lvlText w:val="•"/>
      <w:lvlJc w:val="left"/>
      <w:pPr>
        <w:ind w:left="3895" w:hanging="360"/>
      </w:pPr>
      <w:rPr>
        <w:rFonts w:hint="default"/>
      </w:rPr>
    </w:lvl>
  </w:abstractNum>
  <w:abstractNum w:abstractNumId="25" w15:restartNumberingAfterBreak="0">
    <w:nsid w:val="257E0BA8"/>
    <w:multiLevelType w:val="hybridMultilevel"/>
    <w:tmpl w:val="D7AC8D30"/>
    <w:lvl w:ilvl="0" w:tplc="D66A5C60">
      <w:numFmt w:val="bullet"/>
      <w:lvlText w:val=""/>
      <w:lvlJc w:val="left"/>
      <w:pPr>
        <w:ind w:left="2518" w:hanging="360"/>
      </w:pPr>
      <w:rPr>
        <w:rFonts w:ascii="Symbol" w:eastAsia="Symbol" w:hAnsi="Symbol" w:cs="Symbol" w:hint="default"/>
        <w:b w:val="0"/>
        <w:bCs w:val="0"/>
        <w:i w:val="0"/>
        <w:iCs w:val="0"/>
        <w:w w:val="100"/>
        <w:sz w:val="22"/>
        <w:szCs w:val="22"/>
      </w:rPr>
    </w:lvl>
    <w:lvl w:ilvl="1" w:tplc="22E6206E">
      <w:numFmt w:val="bullet"/>
      <w:lvlText w:val="•"/>
      <w:lvlJc w:val="left"/>
      <w:pPr>
        <w:ind w:left="3492" w:hanging="360"/>
      </w:pPr>
      <w:rPr>
        <w:rFonts w:hint="default"/>
      </w:rPr>
    </w:lvl>
    <w:lvl w:ilvl="2" w:tplc="77EAE264">
      <w:numFmt w:val="bullet"/>
      <w:lvlText w:val="•"/>
      <w:lvlJc w:val="left"/>
      <w:pPr>
        <w:ind w:left="4464" w:hanging="360"/>
      </w:pPr>
      <w:rPr>
        <w:rFonts w:hint="default"/>
      </w:rPr>
    </w:lvl>
    <w:lvl w:ilvl="3" w:tplc="D2A49DF2">
      <w:numFmt w:val="bullet"/>
      <w:lvlText w:val="•"/>
      <w:lvlJc w:val="left"/>
      <w:pPr>
        <w:ind w:left="5436" w:hanging="360"/>
      </w:pPr>
      <w:rPr>
        <w:rFonts w:hint="default"/>
      </w:rPr>
    </w:lvl>
    <w:lvl w:ilvl="4" w:tplc="D9A4EB50">
      <w:numFmt w:val="bullet"/>
      <w:lvlText w:val="•"/>
      <w:lvlJc w:val="left"/>
      <w:pPr>
        <w:ind w:left="6408" w:hanging="360"/>
      </w:pPr>
      <w:rPr>
        <w:rFonts w:hint="default"/>
      </w:rPr>
    </w:lvl>
    <w:lvl w:ilvl="5" w:tplc="12E2ABF8">
      <w:numFmt w:val="bullet"/>
      <w:lvlText w:val="•"/>
      <w:lvlJc w:val="left"/>
      <w:pPr>
        <w:ind w:left="7380" w:hanging="360"/>
      </w:pPr>
      <w:rPr>
        <w:rFonts w:hint="default"/>
      </w:rPr>
    </w:lvl>
    <w:lvl w:ilvl="6" w:tplc="D018C58E">
      <w:numFmt w:val="bullet"/>
      <w:lvlText w:val="•"/>
      <w:lvlJc w:val="left"/>
      <w:pPr>
        <w:ind w:left="8352" w:hanging="360"/>
      </w:pPr>
      <w:rPr>
        <w:rFonts w:hint="default"/>
      </w:rPr>
    </w:lvl>
    <w:lvl w:ilvl="7" w:tplc="5B0AEF72">
      <w:numFmt w:val="bullet"/>
      <w:lvlText w:val="•"/>
      <w:lvlJc w:val="left"/>
      <w:pPr>
        <w:ind w:left="9324" w:hanging="360"/>
      </w:pPr>
      <w:rPr>
        <w:rFonts w:hint="default"/>
      </w:rPr>
    </w:lvl>
    <w:lvl w:ilvl="8" w:tplc="9B28D39C">
      <w:numFmt w:val="bullet"/>
      <w:lvlText w:val="•"/>
      <w:lvlJc w:val="left"/>
      <w:pPr>
        <w:ind w:left="10296" w:hanging="360"/>
      </w:pPr>
      <w:rPr>
        <w:rFonts w:hint="default"/>
      </w:rPr>
    </w:lvl>
  </w:abstractNum>
  <w:abstractNum w:abstractNumId="26" w15:restartNumberingAfterBreak="0">
    <w:nsid w:val="26F131CF"/>
    <w:multiLevelType w:val="hybridMultilevel"/>
    <w:tmpl w:val="3146B46E"/>
    <w:lvl w:ilvl="0" w:tplc="97BC8320">
      <w:numFmt w:val="bullet"/>
      <w:lvlText w:val=""/>
      <w:lvlJc w:val="left"/>
      <w:pPr>
        <w:ind w:left="467" w:hanging="360"/>
      </w:pPr>
      <w:rPr>
        <w:rFonts w:ascii="Symbol" w:eastAsia="Symbol" w:hAnsi="Symbol" w:cs="Symbol" w:hint="default"/>
        <w:b w:val="0"/>
        <w:bCs w:val="0"/>
        <w:i w:val="0"/>
        <w:iCs w:val="0"/>
        <w:w w:val="99"/>
        <w:sz w:val="20"/>
        <w:szCs w:val="20"/>
      </w:rPr>
    </w:lvl>
    <w:lvl w:ilvl="1" w:tplc="C6AE7648">
      <w:numFmt w:val="bullet"/>
      <w:lvlText w:val="•"/>
      <w:lvlJc w:val="left"/>
      <w:pPr>
        <w:ind w:left="628" w:hanging="360"/>
      </w:pPr>
      <w:rPr>
        <w:rFonts w:hint="default"/>
      </w:rPr>
    </w:lvl>
    <w:lvl w:ilvl="2" w:tplc="3F724D88">
      <w:numFmt w:val="bullet"/>
      <w:lvlText w:val="•"/>
      <w:lvlJc w:val="left"/>
      <w:pPr>
        <w:ind w:left="797" w:hanging="360"/>
      </w:pPr>
      <w:rPr>
        <w:rFonts w:hint="default"/>
      </w:rPr>
    </w:lvl>
    <w:lvl w:ilvl="3" w:tplc="C302CED8">
      <w:numFmt w:val="bullet"/>
      <w:lvlText w:val="•"/>
      <w:lvlJc w:val="left"/>
      <w:pPr>
        <w:ind w:left="965" w:hanging="360"/>
      </w:pPr>
      <w:rPr>
        <w:rFonts w:hint="default"/>
      </w:rPr>
    </w:lvl>
    <w:lvl w:ilvl="4" w:tplc="B8F4E324">
      <w:numFmt w:val="bullet"/>
      <w:lvlText w:val="•"/>
      <w:lvlJc w:val="left"/>
      <w:pPr>
        <w:ind w:left="1134" w:hanging="360"/>
      </w:pPr>
      <w:rPr>
        <w:rFonts w:hint="default"/>
      </w:rPr>
    </w:lvl>
    <w:lvl w:ilvl="5" w:tplc="9B5A5CF0">
      <w:numFmt w:val="bullet"/>
      <w:lvlText w:val="•"/>
      <w:lvlJc w:val="left"/>
      <w:pPr>
        <w:ind w:left="1302" w:hanging="360"/>
      </w:pPr>
      <w:rPr>
        <w:rFonts w:hint="default"/>
      </w:rPr>
    </w:lvl>
    <w:lvl w:ilvl="6" w:tplc="DF3C8998">
      <w:numFmt w:val="bullet"/>
      <w:lvlText w:val="•"/>
      <w:lvlJc w:val="left"/>
      <w:pPr>
        <w:ind w:left="1471" w:hanging="360"/>
      </w:pPr>
      <w:rPr>
        <w:rFonts w:hint="default"/>
      </w:rPr>
    </w:lvl>
    <w:lvl w:ilvl="7" w:tplc="1238438A">
      <w:numFmt w:val="bullet"/>
      <w:lvlText w:val="•"/>
      <w:lvlJc w:val="left"/>
      <w:pPr>
        <w:ind w:left="1639" w:hanging="360"/>
      </w:pPr>
      <w:rPr>
        <w:rFonts w:hint="default"/>
      </w:rPr>
    </w:lvl>
    <w:lvl w:ilvl="8" w:tplc="80FCC318">
      <w:numFmt w:val="bullet"/>
      <w:lvlText w:val="•"/>
      <w:lvlJc w:val="left"/>
      <w:pPr>
        <w:ind w:left="1808" w:hanging="360"/>
      </w:pPr>
      <w:rPr>
        <w:rFonts w:hint="default"/>
      </w:rPr>
    </w:lvl>
  </w:abstractNum>
  <w:abstractNum w:abstractNumId="27" w15:restartNumberingAfterBreak="0">
    <w:nsid w:val="2BA940C8"/>
    <w:multiLevelType w:val="hybridMultilevel"/>
    <w:tmpl w:val="0EC6454E"/>
    <w:lvl w:ilvl="0" w:tplc="10DE8210">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3FB09A86">
      <w:numFmt w:val="bullet"/>
      <w:lvlText w:val="•"/>
      <w:lvlJc w:val="left"/>
      <w:pPr>
        <w:ind w:left="1204" w:hanging="202"/>
      </w:pPr>
      <w:rPr>
        <w:rFonts w:hint="default"/>
      </w:rPr>
    </w:lvl>
    <w:lvl w:ilvl="2" w:tplc="AE9E87AA">
      <w:numFmt w:val="bullet"/>
      <w:lvlText w:val="•"/>
      <w:lvlJc w:val="left"/>
      <w:pPr>
        <w:ind w:left="2108" w:hanging="202"/>
      </w:pPr>
      <w:rPr>
        <w:rFonts w:hint="default"/>
      </w:rPr>
    </w:lvl>
    <w:lvl w:ilvl="3" w:tplc="1D328198">
      <w:numFmt w:val="bullet"/>
      <w:lvlText w:val="•"/>
      <w:lvlJc w:val="left"/>
      <w:pPr>
        <w:ind w:left="3012" w:hanging="202"/>
      </w:pPr>
      <w:rPr>
        <w:rFonts w:hint="default"/>
      </w:rPr>
    </w:lvl>
    <w:lvl w:ilvl="4" w:tplc="41B42B04">
      <w:numFmt w:val="bullet"/>
      <w:lvlText w:val="•"/>
      <w:lvlJc w:val="left"/>
      <w:pPr>
        <w:ind w:left="3916" w:hanging="202"/>
      </w:pPr>
      <w:rPr>
        <w:rFonts w:hint="default"/>
      </w:rPr>
    </w:lvl>
    <w:lvl w:ilvl="5" w:tplc="9618A580">
      <w:numFmt w:val="bullet"/>
      <w:lvlText w:val="•"/>
      <w:lvlJc w:val="left"/>
      <w:pPr>
        <w:ind w:left="4820" w:hanging="202"/>
      </w:pPr>
      <w:rPr>
        <w:rFonts w:hint="default"/>
      </w:rPr>
    </w:lvl>
    <w:lvl w:ilvl="6" w:tplc="B4021DC6">
      <w:numFmt w:val="bullet"/>
      <w:lvlText w:val="•"/>
      <w:lvlJc w:val="left"/>
      <w:pPr>
        <w:ind w:left="5724" w:hanging="202"/>
      </w:pPr>
      <w:rPr>
        <w:rFonts w:hint="default"/>
      </w:rPr>
    </w:lvl>
    <w:lvl w:ilvl="7" w:tplc="BD726E04">
      <w:numFmt w:val="bullet"/>
      <w:lvlText w:val="•"/>
      <w:lvlJc w:val="left"/>
      <w:pPr>
        <w:ind w:left="6628" w:hanging="202"/>
      </w:pPr>
      <w:rPr>
        <w:rFonts w:hint="default"/>
      </w:rPr>
    </w:lvl>
    <w:lvl w:ilvl="8" w:tplc="FD8EC0BE">
      <w:numFmt w:val="bullet"/>
      <w:lvlText w:val="•"/>
      <w:lvlJc w:val="left"/>
      <w:pPr>
        <w:ind w:left="7532" w:hanging="202"/>
      </w:pPr>
      <w:rPr>
        <w:rFonts w:hint="default"/>
      </w:rPr>
    </w:lvl>
  </w:abstractNum>
  <w:abstractNum w:abstractNumId="28" w15:restartNumberingAfterBreak="0">
    <w:nsid w:val="2C987428"/>
    <w:multiLevelType w:val="hybridMultilevel"/>
    <w:tmpl w:val="D2F0CE7A"/>
    <w:lvl w:ilvl="0" w:tplc="9EC43B2E">
      <w:numFmt w:val="bullet"/>
      <w:lvlText w:val=""/>
      <w:lvlJc w:val="left"/>
      <w:pPr>
        <w:ind w:left="270" w:hanging="190"/>
      </w:pPr>
      <w:rPr>
        <w:rFonts w:ascii="Symbol" w:eastAsia="Symbol" w:hAnsi="Symbol" w:cs="Symbol" w:hint="default"/>
        <w:b w:val="0"/>
        <w:bCs w:val="0"/>
        <w:i w:val="0"/>
        <w:iCs w:val="0"/>
        <w:w w:val="99"/>
        <w:sz w:val="20"/>
        <w:szCs w:val="20"/>
      </w:rPr>
    </w:lvl>
    <w:lvl w:ilvl="1" w:tplc="E820BD10">
      <w:numFmt w:val="bullet"/>
      <w:lvlText w:val="•"/>
      <w:lvlJc w:val="left"/>
      <w:pPr>
        <w:ind w:left="490" w:hanging="190"/>
      </w:pPr>
      <w:rPr>
        <w:rFonts w:hint="default"/>
      </w:rPr>
    </w:lvl>
    <w:lvl w:ilvl="2" w:tplc="9F4486C2">
      <w:numFmt w:val="bullet"/>
      <w:lvlText w:val="•"/>
      <w:lvlJc w:val="left"/>
      <w:pPr>
        <w:ind w:left="701" w:hanging="190"/>
      </w:pPr>
      <w:rPr>
        <w:rFonts w:hint="default"/>
      </w:rPr>
    </w:lvl>
    <w:lvl w:ilvl="3" w:tplc="60E6D6D2">
      <w:numFmt w:val="bullet"/>
      <w:lvlText w:val="•"/>
      <w:lvlJc w:val="left"/>
      <w:pPr>
        <w:ind w:left="912" w:hanging="190"/>
      </w:pPr>
      <w:rPr>
        <w:rFonts w:hint="default"/>
      </w:rPr>
    </w:lvl>
    <w:lvl w:ilvl="4" w:tplc="EAB6DA46">
      <w:numFmt w:val="bullet"/>
      <w:lvlText w:val="•"/>
      <w:lvlJc w:val="left"/>
      <w:pPr>
        <w:ind w:left="1123" w:hanging="190"/>
      </w:pPr>
      <w:rPr>
        <w:rFonts w:hint="default"/>
      </w:rPr>
    </w:lvl>
    <w:lvl w:ilvl="5" w:tplc="52C6E5C8">
      <w:numFmt w:val="bullet"/>
      <w:lvlText w:val="•"/>
      <w:lvlJc w:val="left"/>
      <w:pPr>
        <w:ind w:left="1334" w:hanging="190"/>
      </w:pPr>
      <w:rPr>
        <w:rFonts w:hint="default"/>
      </w:rPr>
    </w:lvl>
    <w:lvl w:ilvl="6" w:tplc="BD76D6A8">
      <w:numFmt w:val="bullet"/>
      <w:lvlText w:val="•"/>
      <w:lvlJc w:val="left"/>
      <w:pPr>
        <w:ind w:left="1544" w:hanging="190"/>
      </w:pPr>
      <w:rPr>
        <w:rFonts w:hint="default"/>
      </w:rPr>
    </w:lvl>
    <w:lvl w:ilvl="7" w:tplc="6F08F1B4">
      <w:numFmt w:val="bullet"/>
      <w:lvlText w:val="•"/>
      <w:lvlJc w:val="left"/>
      <w:pPr>
        <w:ind w:left="1755" w:hanging="190"/>
      </w:pPr>
      <w:rPr>
        <w:rFonts w:hint="default"/>
      </w:rPr>
    </w:lvl>
    <w:lvl w:ilvl="8" w:tplc="39A03466">
      <w:numFmt w:val="bullet"/>
      <w:lvlText w:val="•"/>
      <w:lvlJc w:val="left"/>
      <w:pPr>
        <w:ind w:left="1966" w:hanging="190"/>
      </w:pPr>
      <w:rPr>
        <w:rFonts w:hint="default"/>
      </w:rPr>
    </w:lvl>
  </w:abstractNum>
  <w:abstractNum w:abstractNumId="29" w15:restartNumberingAfterBreak="0">
    <w:nsid w:val="2D1125F2"/>
    <w:multiLevelType w:val="hybridMultilevel"/>
    <w:tmpl w:val="E9A4C482"/>
    <w:lvl w:ilvl="0" w:tplc="51FA4108">
      <w:start w:val="1"/>
      <w:numFmt w:val="decimal"/>
      <w:lvlText w:val="%1."/>
      <w:lvlJc w:val="left"/>
      <w:pPr>
        <w:ind w:left="1799" w:hanging="361"/>
        <w:jc w:val="left"/>
      </w:pPr>
      <w:rPr>
        <w:rFonts w:ascii="Calibri" w:eastAsia="Calibri" w:hAnsi="Calibri" w:cs="Calibri" w:hint="default"/>
        <w:b w:val="0"/>
        <w:bCs w:val="0"/>
        <w:i w:val="0"/>
        <w:iCs w:val="0"/>
        <w:w w:val="100"/>
        <w:sz w:val="22"/>
        <w:szCs w:val="22"/>
      </w:rPr>
    </w:lvl>
    <w:lvl w:ilvl="1" w:tplc="1E446864">
      <w:start w:val="1"/>
      <w:numFmt w:val="decimal"/>
      <w:lvlText w:val="%2."/>
      <w:lvlJc w:val="left"/>
      <w:pPr>
        <w:ind w:left="2159" w:hanging="361"/>
        <w:jc w:val="left"/>
      </w:pPr>
      <w:rPr>
        <w:rFonts w:ascii="Calibri" w:eastAsia="Calibri" w:hAnsi="Calibri" w:cs="Calibri" w:hint="default"/>
        <w:b w:val="0"/>
        <w:bCs w:val="0"/>
        <w:i w:val="0"/>
        <w:iCs w:val="0"/>
        <w:w w:val="100"/>
        <w:sz w:val="22"/>
        <w:szCs w:val="22"/>
      </w:rPr>
    </w:lvl>
    <w:lvl w:ilvl="2" w:tplc="22D81BC6">
      <w:numFmt w:val="bullet"/>
      <w:lvlText w:val="•"/>
      <w:lvlJc w:val="left"/>
      <w:pPr>
        <w:ind w:left="3280" w:hanging="361"/>
      </w:pPr>
      <w:rPr>
        <w:rFonts w:hint="default"/>
      </w:rPr>
    </w:lvl>
    <w:lvl w:ilvl="3" w:tplc="D916B548">
      <w:numFmt w:val="bullet"/>
      <w:lvlText w:val="•"/>
      <w:lvlJc w:val="left"/>
      <w:pPr>
        <w:ind w:left="4400" w:hanging="361"/>
      </w:pPr>
      <w:rPr>
        <w:rFonts w:hint="default"/>
      </w:rPr>
    </w:lvl>
    <w:lvl w:ilvl="4" w:tplc="39644266">
      <w:numFmt w:val="bullet"/>
      <w:lvlText w:val="•"/>
      <w:lvlJc w:val="left"/>
      <w:pPr>
        <w:ind w:left="5520" w:hanging="361"/>
      </w:pPr>
      <w:rPr>
        <w:rFonts w:hint="default"/>
      </w:rPr>
    </w:lvl>
    <w:lvl w:ilvl="5" w:tplc="C0FE5D3E">
      <w:numFmt w:val="bullet"/>
      <w:lvlText w:val="•"/>
      <w:lvlJc w:val="left"/>
      <w:pPr>
        <w:ind w:left="6640" w:hanging="361"/>
      </w:pPr>
      <w:rPr>
        <w:rFonts w:hint="default"/>
      </w:rPr>
    </w:lvl>
    <w:lvl w:ilvl="6" w:tplc="8D44F60C">
      <w:numFmt w:val="bullet"/>
      <w:lvlText w:val="•"/>
      <w:lvlJc w:val="left"/>
      <w:pPr>
        <w:ind w:left="7760" w:hanging="361"/>
      </w:pPr>
      <w:rPr>
        <w:rFonts w:hint="default"/>
      </w:rPr>
    </w:lvl>
    <w:lvl w:ilvl="7" w:tplc="D3F017A2">
      <w:numFmt w:val="bullet"/>
      <w:lvlText w:val="•"/>
      <w:lvlJc w:val="left"/>
      <w:pPr>
        <w:ind w:left="8880" w:hanging="361"/>
      </w:pPr>
      <w:rPr>
        <w:rFonts w:hint="default"/>
      </w:rPr>
    </w:lvl>
    <w:lvl w:ilvl="8" w:tplc="F782E506">
      <w:numFmt w:val="bullet"/>
      <w:lvlText w:val="•"/>
      <w:lvlJc w:val="left"/>
      <w:pPr>
        <w:ind w:left="10000" w:hanging="361"/>
      </w:pPr>
      <w:rPr>
        <w:rFonts w:hint="default"/>
      </w:rPr>
    </w:lvl>
  </w:abstractNum>
  <w:abstractNum w:abstractNumId="30" w15:restartNumberingAfterBreak="0">
    <w:nsid w:val="2D166B83"/>
    <w:multiLevelType w:val="hybridMultilevel"/>
    <w:tmpl w:val="A9886932"/>
    <w:lvl w:ilvl="0" w:tplc="2CAE7A36">
      <w:start w:val="1"/>
      <w:numFmt w:val="decimal"/>
      <w:lvlText w:val="%1."/>
      <w:lvlJc w:val="left"/>
      <w:pPr>
        <w:ind w:left="1799" w:hanging="361"/>
        <w:jc w:val="left"/>
      </w:pPr>
      <w:rPr>
        <w:rFonts w:ascii="Calibri" w:eastAsia="Calibri" w:hAnsi="Calibri" w:cs="Calibri" w:hint="default"/>
        <w:b w:val="0"/>
        <w:bCs w:val="0"/>
        <w:i w:val="0"/>
        <w:iCs w:val="0"/>
        <w:w w:val="100"/>
        <w:sz w:val="22"/>
        <w:szCs w:val="22"/>
      </w:rPr>
    </w:lvl>
    <w:lvl w:ilvl="1" w:tplc="CD6C5AA4">
      <w:numFmt w:val="bullet"/>
      <w:lvlText w:val="•"/>
      <w:lvlJc w:val="left"/>
      <w:pPr>
        <w:ind w:left="2844" w:hanging="361"/>
      </w:pPr>
      <w:rPr>
        <w:rFonts w:hint="default"/>
      </w:rPr>
    </w:lvl>
    <w:lvl w:ilvl="2" w:tplc="D1842DD4">
      <w:numFmt w:val="bullet"/>
      <w:lvlText w:val="•"/>
      <w:lvlJc w:val="left"/>
      <w:pPr>
        <w:ind w:left="3888" w:hanging="361"/>
      </w:pPr>
      <w:rPr>
        <w:rFonts w:hint="default"/>
      </w:rPr>
    </w:lvl>
    <w:lvl w:ilvl="3" w:tplc="8BBEA376">
      <w:numFmt w:val="bullet"/>
      <w:lvlText w:val="•"/>
      <w:lvlJc w:val="left"/>
      <w:pPr>
        <w:ind w:left="4932" w:hanging="361"/>
      </w:pPr>
      <w:rPr>
        <w:rFonts w:hint="default"/>
      </w:rPr>
    </w:lvl>
    <w:lvl w:ilvl="4" w:tplc="5666E93E">
      <w:numFmt w:val="bullet"/>
      <w:lvlText w:val="•"/>
      <w:lvlJc w:val="left"/>
      <w:pPr>
        <w:ind w:left="5976" w:hanging="361"/>
      </w:pPr>
      <w:rPr>
        <w:rFonts w:hint="default"/>
      </w:rPr>
    </w:lvl>
    <w:lvl w:ilvl="5" w:tplc="9AC61BD4">
      <w:numFmt w:val="bullet"/>
      <w:lvlText w:val="•"/>
      <w:lvlJc w:val="left"/>
      <w:pPr>
        <w:ind w:left="7020" w:hanging="361"/>
      </w:pPr>
      <w:rPr>
        <w:rFonts w:hint="default"/>
      </w:rPr>
    </w:lvl>
    <w:lvl w:ilvl="6" w:tplc="1C6EFA00">
      <w:numFmt w:val="bullet"/>
      <w:lvlText w:val="•"/>
      <w:lvlJc w:val="left"/>
      <w:pPr>
        <w:ind w:left="8064" w:hanging="361"/>
      </w:pPr>
      <w:rPr>
        <w:rFonts w:hint="default"/>
      </w:rPr>
    </w:lvl>
    <w:lvl w:ilvl="7" w:tplc="568E03B4">
      <w:numFmt w:val="bullet"/>
      <w:lvlText w:val="•"/>
      <w:lvlJc w:val="left"/>
      <w:pPr>
        <w:ind w:left="9108" w:hanging="361"/>
      </w:pPr>
      <w:rPr>
        <w:rFonts w:hint="default"/>
      </w:rPr>
    </w:lvl>
    <w:lvl w:ilvl="8" w:tplc="66EE2110">
      <w:numFmt w:val="bullet"/>
      <w:lvlText w:val="•"/>
      <w:lvlJc w:val="left"/>
      <w:pPr>
        <w:ind w:left="10152" w:hanging="361"/>
      </w:pPr>
      <w:rPr>
        <w:rFonts w:hint="default"/>
      </w:rPr>
    </w:lvl>
  </w:abstractNum>
  <w:abstractNum w:abstractNumId="31" w15:restartNumberingAfterBreak="0">
    <w:nsid w:val="2D8D29EF"/>
    <w:multiLevelType w:val="hybridMultilevel"/>
    <w:tmpl w:val="DEE6C2BC"/>
    <w:lvl w:ilvl="0" w:tplc="45C87C72">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81760FA6">
      <w:numFmt w:val="bullet"/>
      <w:lvlText w:val="•"/>
      <w:lvlJc w:val="left"/>
      <w:pPr>
        <w:ind w:left="1204" w:hanging="202"/>
      </w:pPr>
      <w:rPr>
        <w:rFonts w:hint="default"/>
      </w:rPr>
    </w:lvl>
    <w:lvl w:ilvl="2" w:tplc="D5DA8AEC">
      <w:numFmt w:val="bullet"/>
      <w:lvlText w:val="•"/>
      <w:lvlJc w:val="left"/>
      <w:pPr>
        <w:ind w:left="2108" w:hanging="202"/>
      </w:pPr>
      <w:rPr>
        <w:rFonts w:hint="default"/>
      </w:rPr>
    </w:lvl>
    <w:lvl w:ilvl="3" w:tplc="F82EB0D8">
      <w:numFmt w:val="bullet"/>
      <w:lvlText w:val="•"/>
      <w:lvlJc w:val="left"/>
      <w:pPr>
        <w:ind w:left="3012" w:hanging="202"/>
      </w:pPr>
      <w:rPr>
        <w:rFonts w:hint="default"/>
      </w:rPr>
    </w:lvl>
    <w:lvl w:ilvl="4" w:tplc="DAE87C26">
      <w:numFmt w:val="bullet"/>
      <w:lvlText w:val="•"/>
      <w:lvlJc w:val="left"/>
      <w:pPr>
        <w:ind w:left="3916" w:hanging="202"/>
      </w:pPr>
      <w:rPr>
        <w:rFonts w:hint="default"/>
      </w:rPr>
    </w:lvl>
    <w:lvl w:ilvl="5" w:tplc="34ACFCE8">
      <w:numFmt w:val="bullet"/>
      <w:lvlText w:val="•"/>
      <w:lvlJc w:val="left"/>
      <w:pPr>
        <w:ind w:left="4820" w:hanging="202"/>
      </w:pPr>
      <w:rPr>
        <w:rFonts w:hint="default"/>
      </w:rPr>
    </w:lvl>
    <w:lvl w:ilvl="6" w:tplc="1DDCE4D6">
      <w:numFmt w:val="bullet"/>
      <w:lvlText w:val="•"/>
      <w:lvlJc w:val="left"/>
      <w:pPr>
        <w:ind w:left="5724" w:hanging="202"/>
      </w:pPr>
      <w:rPr>
        <w:rFonts w:hint="default"/>
      </w:rPr>
    </w:lvl>
    <w:lvl w:ilvl="7" w:tplc="8FA097F6">
      <w:numFmt w:val="bullet"/>
      <w:lvlText w:val="•"/>
      <w:lvlJc w:val="left"/>
      <w:pPr>
        <w:ind w:left="6628" w:hanging="202"/>
      </w:pPr>
      <w:rPr>
        <w:rFonts w:hint="default"/>
      </w:rPr>
    </w:lvl>
    <w:lvl w:ilvl="8" w:tplc="43B83C90">
      <w:numFmt w:val="bullet"/>
      <w:lvlText w:val="•"/>
      <w:lvlJc w:val="left"/>
      <w:pPr>
        <w:ind w:left="7532" w:hanging="202"/>
      </w:pPr>
      <w:rPr>
        <w:rFonts w:hint="default"/>
      </w:rPr>
    </w:lvl>
  </w:abstractNum>
  <w:abstractNum w:abstractNumId="32" w15:restartNumberingAfterBreak="0">
    <w:nsid w:val="32F51BA6"/>
    <w:multiLevelType w:val="hybridMultilevel"/>
    <w:tmpl w:val="CA1045D6"/>
    <w:lvl w:ilvl="0" w:tplc="8C761294">
      <w:start w:val="1"/>
      <w:numFmt w:val="decimal"/>
      <w:lvlText w:val="%1."/>
      <w:lvlJc w:val="left"/>
      <w:pPr>
        <w:ind w:left="1800" w:hanging="360"/>
        <w:jc w:val="left"/>
      </w:pPr>
      <w:rPr>
        <w:rFonts w:ascii="Calibri" w:eastAsia="Calibri" w:hAnsi="Calibri" w:cs="Calibri" w:hint="default"/>
        <w:b/>
        <w:bCs/>
        <w:i w:val="0"/>
        <w:iCs w:val="0"/>
        <w:w w:val="100"/>
        <w:sz w:val="36"/>
        <w:szCs w:val="36"/>
      </w:rPr>
    </w:lvl>
    <w:lvl w:ilvl="1" w:tplc="0AB62544">
      <w:start w:val="1"/>
      <w:numFmt w:val="decimal"/>
      <w:lvlText w:val="%2."/>
      <w:lvlJc w:val="left"/>
      <w:pPr>
        <w:ind w:left="1891" w:hanging="360"/>
        <w:jc w:val="left"/>
      </w:pPr>
      <w:rPr>
        <w:rFonts w:ascii="Calibri" w:eastAsia="Calibri" w:hAnsi="Calibri" w:cs="Calibri" w:hint="default"/>
        <w:b w:val="0"/>
        <w:bCs w:val="0"/>
        <w:i w:val="0"/>
        <w:iCs w:val="0"/>
        <w:color w:val="4D4D4F"/>
        <w:spacing w:val="0"/>
        <w:w w:val="115"/>
        <w:sz w:val="20"/>
        <w:szCs w:val="20"/>
      </w:rPr>
    </w:lvl>
    <w:lvl w:ilvl="2" w:tplc="2AA09AA6">
      <w:numFmt w:val="bullet"/>
      <w:lvlText w:val="•"/>
      <w:lvlJc w:val="left"/>
      <w:pPr>
        <w:ind w:left="9000" w:hanging="360"/>
      </w:pPr>
      <w:rPr>
        <w:rFonts w:hint="default"/>
      </w:rPr>
    </w:lvl>
    <w:lvl w:ilvl="3" w:tplc="62B64896">
      <w:numFmt w:val="bullet"/>
      <w:lvlText w:val="•"/>
      <w:lvlJc w:val="left"/>
      <w:pPr>
        <w:ind w:left="8583" w:hanging="360"/>
      </w:pPr>
      <w:rPr>
        <w:rFonts w:hint="default"/>
      </w:rPr>
    </w:lvl>
    <w:lvl w:ilvl="4" w:tplc="34A407DA">
      <w:numFmt w:val="bullet"/>
      <w:lvlText w:val="•"/>
      <w:lvlJc w:val="left"/>
      <w:pPr>
        <w:ind w:left="8167" w:hanging="360"/>
      </w:pPr>
      <w:rPr>
        <w:rFonts w:hint="default"/>
      </w:rPr>
    </w:lvl>
    <w:lvl w:ilvl="5" w:tplc="7862B962">
      <w:numFmt w:val="bullet"/>
      <w:lvlText w:val="•"/>
      <w:lvlJc w:val="left"/>
      <w:pPr>
        <w:ind w:left="7750" w:hanging="360"/>
      </w:pPr>
      <w:rPr>
        <w:rFonts w:hint="default"/>
      </w:rPr>
    </w:lvl>
    <w:lvl w:ilvl="6" w:tplc="735895D4">
      <w:numFmt w:val="bullet"/>
      <w:lvlText w:val="•"/>
      <w:lvlJc w:val="left"/>
      <w:pPr>
        <w:ind w:left="7334" w:hanging="360"/>
      </w:pPr>
      <w:rPr>
        <w:rFonts w:hint="default"/>
      </w:rPr>
    </w:lvl>
    <w:lvl w:ilvl="7" w:tplc="5E5A08E0">
      <w:numFmt w:val="bullet"/>
      <w:lvlText w:val="•"/>
      <w:lvlJc w:val="left"/>
      <w:pPr>
        <w:ind w:left="6918" w:hanging="360"/>
      </w:pPr>
      <w:rPr>
        <w:rFonts w:hint="default"/>
      </w:rPr>
    </w:lvl>
    <w:lvl w:ilvl="8" w:tplc="B2C6D030">
      <w:numFmt w:val="bullet"/>
      <w:lvlText w:val="•"/>
      <w:lvlJc w:val="left"/>
      <w:pPr>
        <w:ind w:left="6501" w:hanging="360"/>
      </w:pPr>
      <w:rPr>
        <w:rFonts w:hint="default"/>
      </w:rPr>
    </w:lvl>
  </w:abstractNum>
  <w:abstractNum w:abstractNumId="33" w15:restartNumberingAfterBreak="0">
    <w:nsid w:val="35431A9E"/>
    <w:multiLevelType w:val="hybridMultilevel"/>
    <w:tmpl w:val="B41629E8"/>
    <w:lvl w:ilvl="0" w:tplc="34B4645C">
      <w:numFmt w:val="bullet"/>
      <w:lvlText w:val=""/>
      <w:lvlJc w:val="left"/>
      <w:pPr>
        <w:ind w:left="467" w:hanging="360"/>
      </w:pPr>
      <w:rPr>
        <w:rFonts w:ascii="Symbol" w:eastAsia="Symbol" w:hAnsi="Symbol" w:cs="Symbol" w:hint="default"/>
        <w:b w:val="0"/>
        <w:bCs w:val="0"/>
        <w:i w:val="0"/>
        <w:iCs w:val="0"/>
        <w:w w:val="99"/>
        <w:sz w:val="20"/>
        <w:szCs w:val="20"/>
      </w:rPr>
    </w:lvl>
    <w:lvl w:ilvl="1" w:tplc="92B82C38">
      <w:numFmt w:val="bullet"/>
      <w:lvlText w:val="•"/>
      <w:lvlJc w:val="left"/>
      <w:pPr>
        <w:ind w:left="664" w:hanging="360"/>
      </w:pPr>
      <w:rPr>
        <w:rFonts w:hint="default"/>
      </w:rPr>
    </w:lvl>
    <w:lvl w:ilvl="2" w:tplc="B5646410">
      <w:numFmt w:val="bullet"/>
      <w:lvlText w:val="•"/>
      <w:lvlJc w:val="left"/>
      <w:pPr>
        <w:ind w:left="869" w:hanging="360"/>
      </w:pPr>
      <w:rPr>
        <w:rFonts w:hint="default"/>
      </w:rPr>
    </w:lvl>
    <w:lvl w:ilvl="3" w:tplc="1916AB34">
      <w:numFmt w:val="bullet"/>
      <w:lvlText w:val="•"/>
      <w:lvlJc w:val="left"/>
      <w:pPr>
        <w:ind w:left="1073" w:hanging="360"/>
      </w:pPr>
      <w:rPr>
        <w:rFonts w:hint="default"/>
      </w:rPr>
    </w:lvl>
    <w:lvl w:ilvl="4" w:tplc="6FC8D698">
      <w:numFmt w:val="bullet"/>
      <w:lvlText w:val="•"/>
      <w:lvlJc w:val="left"/>
      <w:pPr>
        <w:ind w:left="1278" w:hanging="360"/>
      </w:pPr>
      <w:rPr>
        <w:rFonts w:hint="default"/>
      </w:rPr>
    </w:lvl>
    <w:lvl w:ilvl="5" w:tplc="40BE2AD4">
      <w:numFmt w:val="bullet"/>
      <w:lvlText w:val="•"/>
      <w:lvlJc w:val="left"/>
      <w:pPr>
        <w:ind w:left="1482" w:hanging="360"/>
      </w:pPr>
      <w:rPr>
        <w:rFonts w:hint="default"/>
      </w:rPr>
    </w:lvl>
    <w:lvl w:ilvl="6" w:tplc="9140D3A4">
      <w:numFmt w:val="bullet"/>
      <w:lvlText w:val="•"/>
      <w:lvlJc w:val="left"/>
      <w:pPr>
        <w:ind w:left="1687" w:hanging="360"/>
      </w:pPr>
      <w:rPr>
        <w:rFonts w:hint="default"/>
      </w:rPr>
    </w:lvl>
    <w:lvl w:ilvl="7" w:tplc="E2A67556">
      <w:numFmt w:val="bullet"/>
      <w:lvlText w:val="•"/>
      <w:lvlJc w:val="left"/>
      <w:pPr>
        <w:ind w:left="1891" w:hanging="360"/>
      </w:pPr>
      <w:rPr>
        <w:rFonts w:hint="default"/>
      </w:rPr>
    </w:lvl>
    <w:lvl w:ilvl="8" w:tplc="F01276D8">
      <w:numFmt w:val="bullet"/>
      <w:lvlText w:val="•"/>
      <w:lvlJc w:val="left"/>
      <w:pPr>
        <w:ind w:left="2096" w:hanging="360"/>
      </w:pPr>
      <w:rPr>
        <w:rFonts w:hint="default"/>
      </w:rPr>
    </w:lvl>
  </w:abstractNum>
  <w:abstractNum w:abstractNumId="34" w15:restartNumberingAfterBreak="0">
    <w:nsid w:val="35F40C70"/>
    <w:multiLevelType w:val="hybridMultilevel"/>
    <w:tmpl w:val="A03A4764"/>
    <w:lvl w:ilvl="0" w:tplc="4DA8A8F6">
      <w:start w:val="4"/>
      <w:numFmt w:val="decimal"/>
      <w:lvlText w:val="(%1)"/>
      <w:lvlJc w:val="left"/>
      <w:pPr>
        <w:ind w:left="460" w:hanging="353"/>
        <w:jc w:val="left"/>
      </w:pPr>
      <w:rPr>
        <w:rFonts w:ascii="Calibri" w:eastAsia="Calibri" w:hAnsi="Calibri" w:cs="Calibri" w:hint="default"/>
        <w:b w:val="0"/>
        <w:bCs w:val="0"/>
        <w:i w:val="0"/>
        <w:iCs w:val="0"/>
        <w:spacing w:val="-1"/>
        <w:w w:val="99"/>
        <w:sz w:val="20"/>
        <w:szCs w:val="20"/>
      </w:rPr>
    </w:lvl>
    <w:lvl w:ilvl="1" w:tplc="992CADA8">
      <w:numFmt w:val="bullet"/>
      <w:lvlText w:val="•"/>
      <w:lvlJc w:val="left"/>
      <w:pPr>
        <w:ind w:left="880" w:hanging="353"/>
      </w:pPr>
      <w:rPr>
        <w:rFonts w:hint="default"/>
      </w:rPr>
    </w:lvl>
    <w:lvl w:ilvl="2" w:tplc="A91E5FE0">
      <w:numFmt w:val="bullet"/>
      <w:lvlText w:val="•"/>
      <w:lvlJc w:val="left"/>
      <w:pPr>
        <w:ind w:left="1301" w:hanging="353"/>
      </w:pPr>
      <w:rPr>
        <w:rFonts w:hint="default"/>
      </w:rPr>
    </w:lvl>
    <w:lvl w:ilvl="3" w:tplc="9000C8F8">
      <w:numFmt w:val="bullet"/>
      <w:lvlText w:val="•"/>
      <w:lvlJc w:val="left"/>
      <w:pPr>
        <w:ind w:left="1721" w:hanging="353"/>
      </w:pPr>
      <w:rPr>
        <w:rFonts w:hint="default"/>
      </w:rPr>
    </w:lvl>
    <w:lvl w:ilvl="4" w:tplc="8CA04310">
      <w:numFmt w:val="bullet"/>
      <w:lvlText w:val="•"/>
      <w:lvlJc w:val="left"/>
      <w:pPr>
        <w:ind w:left="2142" w:hanging="353"/>
      </w:pPr>
      <w:rPr>
        <w:rFonts w:hint="default"/>
      </w:rPr>
    </w:lvl>
    <w:lvl w:ilvl="5" w:tplc="42227DBE">
      <w:numFmt w:val="bullet"/>
      <w:lvlText w:val="•"/>
      <w:lvlJc w:val="left"/>
      <w:pPr>
        <w:ind w:left="2562" w:hanging="353"/>
      </w:pPr>
      <w:rPr>
        <w:rFonts w:hint="default"/>
      </w:rPr>
    </w:lvl>
    <w:lvl w:ilvl="6" w:tplc="43F802F4">
      <w:numFmt w:val="bullet"/>
      <w:lvlText w:val="•"/>
      <w:lvlJc w:val="left"/>
      <w:pPr>
        <w:ind w:left="2983" w:hanging="353"/>
      </w:pPr>
      <w:rPr>
        <w:rFonts w:hint="default"/>
      </w:rPr>
    </w:lvl>
    <w:lvl w:ilvl="7" w:tplc="8A2C1A36">
      <w:numFmt w:val="bullet"/>
      <w:lvlText w:val="•"/>
      <w:lvlJc w:val="left"/>
      <w:pPr>
        <w:ind w:left="3403" w:hanging="353"/>
      </w:pPr>
      <w:rPr>
        <w:rFonts w:hint="default"/>
      </w:rPr>
    </w:lvl>
    <w:lvl w:ilvl="8" w:tplc="F0B887E8">
      <w:numFmt w:val="bullet"/>
      <w:lvlText w:val="•"/>
      <w:lvlJc w:val="left"/>
      <w:pPr>
        <w:ind w:left="3824" w:hanging="353"/>
      </w:pPr>
      <w:rPr>
        <w:rFonts w:hint="default"/>
      </w:rPr>
    </w:lvl>
  </w:abstractNum>
  <w:abstractNum w:abstractNumId="35" w15:restartNumberingAfterBreak="0">
    <w:nsid w:val="37A14B63"/>
    <w:multiLevelType w:val="hybridMultilevel"/>
    <w:tmpl w:val="C6204A30"/>
    <w:lvl w:ilvl="0" w:tplc="67EC4250">
      <w:start w:val="13"/>
      <w:numFmt w:val="decimal"/>
      <w:lvlText w:val="%1."/>
      <w:lvlJc w:val="left"/>
      <w:pPr>
        <w:ind w:left="1982" w:hanging="543"/>
        <w:jc w:val="left"/>
      </w:pPr>
      <w:rPr>
        <w:rFonts w:ascii="Calibri" w:eastAsia="Calibri" w:hAnsi="Calibri" w:cs="Calibri" w:hint="default"/>
        <w:b/>
        <w:bCs/>
        <w:i w:val="0"/>
        <w:iCs w:val="0"/>
        <w:w w:val="100"/>
        <w:sz w:val="36"/>
        <w:szCs w:val="36"/>
      </w:rPr>
    </w:lvl>
    <w:lvl w:ilvl="1" w:tplc="5934B218">
      <w:numFmt w:val="bullet"/>
      <w:lvlText w:val="•"/>
      <w:lvlJc w:val="left"/>
      <w:pPr>
        <w:ind w:left="3006" w:hanging="543"/>
      </w:pPr>
      <w:rPr>
        <w:rFonts w:hint="default"/>
      </w:rPr>
    </w:lvl>
    <w:lvl w:ilvl="2" w:tplc="B0D8EBA6">
      <w:numFmt w:val="bullet"/>
      <w:lvlText w:val="•"/>
      <w:lvlJc w:val="left"/>
      <w:pPr>
        <w:ind w:left="4032" w:hanging="543"/>
      </w:pPr>
      <w:rPr>
        <w:rFonts w:hint="default"/>
      </w:rPr>
    </w:lvl>
    <w:lvl w:ilvl="3" w:tplc="ECD09BD2">
      <w:numFmt w:val="bullet"/>
      <w:lvlText w:val="•"/>
      <w:lvlJc w:val="left"/>
      <w:pPr>
        <w:ind w:left="5058" w:hanging="543"/>
      </w:pPr>
      <w:rPr>
        <w:rFonts w:hint="default"/>
      </w:rPr>
    </w:lvl>
    <w:lvl w:ilvl="4" w:tplc="39D88D24">
      <w:numFmt w:val="bullet"/>
      <w:lvlText w:val="•"/>
      <w:lvlJc w:val="left"/>
      <w:pPr>
        <w:ind w:left="6084" w:hanging="543"/>
      </w:pPr>
      <w:rPr>
        <w:rFonts w:hint="default"/>
      </w:rPr>
    </w:lvl>
    <w:lvl w:ilvl="5" w:tplc="14B47F38">
      <w:numFmt w:val="bullet"/>
      <w:lvlText w:val="•"/>
      <w:lvlJc w:val="left"/>
      <w:pPr>
        <w:ind w:left="7110" w:hanging="543"/>
      </w:pPr>
      <w:rPr>
        <w:rFonts w:hint="default"/>
      </w:rPr>
    </w:lvl>
    <w:lvl w:ilvl="6" w:tplc="EBC0DF58">
      <w:numFmt w:val="bullet"/>
      <w:lvlText w:val="•"/>
      <w:lvlJc w:val="left"/>
      <w:pPr>
        <w:ind w:left="8136" w:hanging="543"/>
      </w:pPr>
      <w:rPr>
        <w:rFonts w:hint="default"/>
      </w:rPr>
    </w:lvl>
    <w:lvl w:ilvl="7" w:tplc="E8440C98">
      <w:numFmt w:val="bullet"/>
      <w:lvlText w:val="•"/>
      <w:lvlJc w:val="left"/>
      <w:pPr>
        <w:ind w:left="9162" w:hanging="543"/>
      </w:pPr>
      <w:rPr>
        <w:rFonts w:hint="default"/>
      </w:rPr>
    </w:lvl>
    <w:lvl w:ilvl="8" w:tplc="5EF67F76">
      <w:numFmt w:val="bullet"/>
      <w:lvlText w:val="•"/>
      <w:lvlJc w:val="left"/>
      <w:pPr>
        <w:ind w:left="10188" w:hanging="543"/>
      </w:pPr>
      <w:rPr>
        <w:rFonts w:hint="default"/>
      </w:rPr>
    </w:lvl>
  </w:abstractNum>
  <w:abstractNum w:abstractNumId="36" w15:restartNumberingAfterBreak="0">
    <w:nsid w:val="3ECB21A5"/>
    <w:multiLevelType w:val="hybridMultilevel"/>
    <w:tmpl w:val="D304BCF6"/>
    <w:lvl w:ilvl="0" w:tplc="B89E3CF6">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1878057C">
      <w:numFmt w:val="bullet"/>
      <w:lvlText w:val="•"/>
      <w:lvlJc w:val="left"/>
      <w:pPr>
        <w:ind w:left="1204" w:hanging="202"/>
      </w:pPr>
      <w:rPr>
        <w:rFonts w:hint="default"/>
      </w:rPr>
    </w:lvl>
    <w:lvl w:ilvl="2" w:tplc="AF64171A">
      <w:numFmt w:val="bullet"/>
      <w:lvlText w:val="•"/>
      <w:lvlJc w:val="left"/>
      <w:pPr>
        <w:ind w:left="2108" w:hanging="202"/>
      </w:pPr>
      <w:rPr>
        <w:rFonts w:hint="default"/>
      </w:rPr>
    </w:lvl>
    <w:lvl w:ilvl="3" w:tplc="9EC0C138">
      <w:numFmt w:val="bullet"/>
      <w:lvlText w:val="•"/>
      <w:lvlJc w:val="left"/>
      <w:pPr>
        <w:ind w:left="3012" w:hanging="202"/>
      </w:pPr>
      <w:rPr>
        <w:rFonts w:hint="default"/>
      </w:rPr>
    </w:lvl>
    <w:lvl w:ilvl="4" w:tplc="3D5C3BBE">
      <w:numFmt w:val="bullet"/>
      <w:lvlText w:val="•"/>
      <w:lvlJc w:val="left"/>
      <w:pPr>
        <w:ind w:left="3916" w:hanging="202"/>
      </w:pPr>
      <w:rPr>
        <w:rFonts w:hint="default"/>
      </w:rPr>
    </w:lvl>
    <w:lvl w:ilvl="5" w:tplc="62C4687A">
      <w:numFmt w:val="bullet"/>
      <w:lvlText w:val="•"/>
      <w:lvlJc w:val="left"/>
      <w:pPr>
        <w:ind w:left="4820" w:hanging="202"/>
      </w:pPr>
      <w:rPr>
        <w:rFonts w:hint="default"/>
      </w:rPr>
    </w:lvl>
    <w:lvl w:ilvl="6" w:tplc="6B622A2A">
      <w:numFmt w:val="bullet"/>
      <w:lvlText w:val="•"/>
      <w:lvlJc w:val="left"/>
      <w:pPr>
        <w:ind w:left="5724" w:hanging="202"/>
      </w:pPr>
      <w:rPr>
        <w:rFonts w:hint="default"/>
      </w:rPr>
    </w:lvl>
    <w:lvl w:ilvl="7" w:tplc="1B5262AE">
      <w:numFmt w:val="bullet"/>
      <w:lvlText w:val="•"/>
      <w:lvlJc w:val="left"/>
      <w:pPr>
        <w:ind w:left="6628" w:hanging="202"/>
      </w:pPr>
      <w:rPr>
        <w:rFonts w:hint="default"/>
      </w:rPr>
    </w:lvl>
    <w:lvl w:ilvl="8" w:tplc="04CA2BFC">
      <w:numFmt w:val="bullet"/>
      <w:lvlText w:val="•"/>
      <w:lvlJc w:val="left"/>
      <w:pPr>
        <w:ind w:left="7532" w:hanging="202"/>
      </w:pPr>
      <w:rPr>
        <w:rFonts w:hint="default"/>
      </w:rPr>
    </w:lvl>
  </w:abstractNum>
  <w:abstractNum w:abstractNumId="37" w15:restartNumberingAfterBreak="0">
    <w:nsid w:val="3F72306E"/>
    <w:multiLevelType w:val="hybridMultilevel"/>
    <w:tmpl w:val="5940634A"/>
    <w:lvl w:ilvl="0" w:tplc="80D4ACAC">
      <w:start w:val="1"/>
      <w:numFmt w:val="decimal"/>
      <w:lvlText w:val="%1."/>
      <w:lvlJc w:val="left"/>
      <w:pPr>
        <w:ind w:left="1800" w:hanging="361"/>
        <w:jc w:val="left"/>
      </w:pPr>
      <w:rPr>
        <w:rFonts w:ascii="Calibri" w:eastAsia="Calibri" w:hAnsi="Calibri" w:cs="Calibri" w:hint="default"/>
        <w:b w:val="0"/>
        <w:bCs w:val="0"/>
        <w:i w:val="0"/>
        <w:iCs w:val="0"/>
        <w:w w:val="100"/>
        <w:sz w:val="22"/>
        <w:szCs w:val="22"/>
      </w:rPr>
    </w:lvl>
    <w:lvl w:ilvl="1" w:tplc="E78CA278">
      <w:numFmt w:val="bullet"/>
      <w:lvlText w:val="•"/>
      <w:lvlJc w:val="left"/>
      <w:pPr>
        <w:ind w:left="2844" w:hanging="361"/>
      </w:pPr>
      <w:rPr>
        <w:rFonts w:hint="default"/>
      </w:rPr>
    </w:lvl>
    <w:lvl w:ilvl="2" w:tplc="5A5E384C">
      <w:numFmt w:val="bullet"/>
      <w:lvlText w:val="•"/>
      <w:lvlJc w:val="left"/>
      <w:pPr>
        <w:ind w:left="3888" w:hanging="361"/>
      </w:pPr>
      <w:rPr>
        <w:rFonts w:hint="default"/>
      </w:rPr>
    </w:lvl>
    <w:lvl w:ilvl="3" w:tplc="410CDD70">
      <w:numFmt w:val="bullet"/>
      <w:lvlText w:val="•"/>
      <w:lvlJc w:val="left"/>
      <w:pPr>
        <w:ind w:left="4932" w:hanging="361"/>
      </w:pPr>
      <w:rPr>
        <w:rFonts w:hint="default"/>
      </w:rPr>
    </w:lvl>
    <w:lvl w:ilvl="4" w:tplc="9370D630">
      <w:numFmt w:val="bullet"/>
      <w:lvlText w:val="•"/>
      <w:lvlJc w:val="left"/>
      <w:pPr>
        <w:ind w:left="5976" w:hanging="361"/>
      </w:pPr>
      <w:rPr>
        <w:rFonts w:hint="default"/>
      </w:rPr>
    </w:lvl>
    <w:lvl w:ilvl="5" w:tplc="871E0E7E">
      <w:numFmt w:val="bullet"/>
      <w:lvlText w:val="•"/>
      <w:lvlJc w:val="left"/>
      <w:pPr>
        <w:ind w:left="7020" w:hanging="361"/>
      </w:pPr>
      <w:rPr>
        <w:rFonts w:hint="default"/>
      </w:rPr>
    </w:lvl>
    <w:lvl w:ilvl="6" w:tplc="44365126">
      <w:numFmt w:val="bullet"/>
      <w:lvlText w:val="•"/>
      <w:lvlJc w:val="left"/>
      <w:pPr>
        <w:ind w:left="8064" w:hanging="361"/>
      </w:pPr>
      <w:rPr>
        <w:rFonts w:hint="default"/>
      </w:rPr>
    </w:lvl>
    <w:lvl w:ilvl="7" w:tplc="949C9330">
      <w:numFmt w:val="bullet"/>
      <w:lvlText w:val="•"/>
      <w:lvlJc w:val="left"/>
      <w:pPr>
        <w:ind w:left="9108" w:hanging="361"/>
      </w:pPr>
      <w:rPr>
        <w:rFonts w:hint="default"/>
      </w:rPr>
    </w:lvl>
    <w:lvl w:ilvl="8" w:tplc="17A475B4">
      <w:numFmt w:val="bullet"/>
      <w:lvlText w:val="•"/>
      <w:lvlJc w:val="left"/>
      <w:pPr>
        <w:ind w:left="10152" w:hanging="361"/>
      </w:pPr>
      <w:rPr>
        <w:rFonts w:hint="default"/>
      </w:rPr>
    </w:lvl>
  </w:abstractNum>
  <w:abstractNum w:abstractNumId="38" w15:restartNumberingAfterBreak="0">
    <w:nsid w:val="419B0C0D"/>
    <w:multiLevelType w:val="hybridMultilevel"/>
    <w:tmpl w:val="053E8B0E"/>
    <w:lvl w:ilvl="0" w:tplc="426232BC">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E1480FBC">
      <w:numFmt w:val="bullet"/>
      <w:lvlText w:val="•"/>
      <w:lvlJc w:val="left"/>
      <w:pPr>
        <w:ind w:left="1204" w:hanging="202"/>
      </w:pPr>
      <w:rPr>
        <w:rFonts w:hint="default"/>
      </w:rPr>
    </w:lvl>
    <w:lvl w:ilvl="2" w:tplc="0A98A5C2">
      <w:numFmt w:val="bullet"/>
      <w:lvlText w:val="•"/>
      <w:lvlJc w:val="left"/>
      <w:pPr>
        <w:ind w:left="2108" w:hanging="202"/>
      </w:pPr>
      <w:rPr>
        <w:rFonts w:hint="default"/>
      </w:rPr>
    </w:lvl>
    <w:lvl w:ilvl="3" w:tplc="6CA80820">
      <w:numFmt w:val="bullet"/>
      <w:lvlText w:val="•"/>
      <w:lvlJc w:val="left"/>
      <w:pPr>
        <w:ind w:left="3012" w:hanging="202"/>
      </w:pPr>
      <w:rPr>
        <w:rFonts w:hint="default"/>
      </w:rPr>
    </w:lvl>
    <w:lvl w:ilvl="4" w:tplc="321EEEFA">
      <w:numFmt w:val="bullet"/>
      <w:lvlText w:val="•"/>
      <w:lvlJc w:val="left"/>
      <w:pPr>
        <w:ind w:left="3916" w:hanging="202"/>
      </w:pPr>
      <w:rPr>
        <w:rFonts w:hint="default"/>
      </w:rPr>
    </w:lvl>
    <w:lvl w:ilvl="5" w:tplc="7D8243BA">
      <w:numFmt w:val="bullet"/>
      <w:lvlText w:val="•"/>
      <w:lvlJc w:val="left"/>
      <w:pPr>
        <w:ind w:left="4820" w:hanging="202"/>
      </w:pPr>
      <w:rPr>
        <w:rFonts w:hint="default"/>
      </w:rPr>
    </w:lvl>
    <w:lvl w:ilvl="6" w:tplc="9444719C">
      <w:numFmt w:val="bullet"/>
      <w:lvlText w:val="•"/>
      <w:lvlJc w:val="left"/>
      <w:pPr>
        <w:ind w:left="5724" w:hanging="202"/>
      </w:pPr>
      <w:rPr>
        <w:rFonts w:hint="default"/>
      </w:rPr>
    </w:lvl>
    <w:lvl w:ilvl="7" w:tplc="CE063C74">
      <w:numFmt w:val="bullet"/>
      <w:lvlText w:val="•"/>
      <w:lvlJc w:val="left"/>
      <w:pPr>
        <w:ind w:left="6628" w:hanging="202"/>
      </w:pPr>
      <w:rPr>
        <w:rFonts w:hint="default"/>
      </w:rPr>
    </w:lvl>
    <w:lvl w:ilvl="8" w:tplc="81E6DEBE">
      <w:numFmt w:val="bullet"/>
      <w:lvlText w:val="•"/>
      <w:lvlJc w:val="left"/>
      <w:pPr>
        <w:ind w:left="7532" w:hanging="202"/>
      </w:pPr>
      <w:rPr>
        <w:rFonts w:hint="default"/>
      </w:rPr>
    </w:lvl>
  </w:abstractNum>
  <w:abstractNum w:abstractNumId="39" w15:restartNumberingAfterBreak="0">
    <w:nsid w:val="41EF3511"/>
    <w:multiLevelType w:val="hybridMultilevel"/>
    <w:tmpl w:val="2E68B6C2"/>
    <w:lvl w:ilvl="0" w:tplc="BB3ED31E">
      <w:numFmt w:val="decimal"/>
      <w:lvlText w:val="(%1)"/>
      <w:lvlJc w:val="left"/>
      <w:pPr>
        <w:ind w:left="460" w:hanging="353"/>
        <w:jc w:val="left"/>
      </w:pPr>
      <w:rPr>
        <w:rFonts w:ascii="Calibri" w:eastAsia="Calibri" w:hAnsi="Calibri" w:cs="Calibri" w:hint="default"/>
        <w:b w:val="0"/>
        <w:bCs w:val="0"/>
        <w:i w:val="0"/>
        <w:iCs w:val="0"/>
        <w:spacing w:val="-1"/>
        <w:w w:val="99"/>
        <w:sz w:val="20"/>
        <w:szCs w:val="20"/>
      </w:rPr>
    </w:lvl>
    <w:lvl w:ilvl="1" w:tplc="A9BE6F4E">
      <w:numFmt w:val="bullet"/>
      <w:lvlText w:val="•"/>
      <w:lvlJc w:val="left"/>
      <w:pPr>
        <w:ind w:left="880" w:hanging="353"/>
      </w:pPr>
      <w:rPr>
        <w:rFonts w:hint="default"/>
      </w:rPr>
    </w:lvl>
    <w:lvl w:ilvl="2" w:tplc="94226750">
      <w:numFmt w:val="bullet"/>
      <w:lvlText w:val="•"/>
      <w:lvlJc w:val="left"/>
      <w:pPr>
        <w:ind w:left="1301" w:hanging="353"/>
      </w:pPr>
      <w:rPr>
        <w:rFonts w:hint="default"/>
      </w:rPr>
    </w:lvl>
    <w:lvl w:ilvl="3" w:tplc="07967D32">
      <w:numFmt w:val="bullet"/>
      <w:lvlText w:val="•"/>
      <w:lvlJc w:val="left"/>
      <w:pPr>
        <w:ind w:left="1721" w:hanging="353"/>
      </w:pPr>
      <w:rPr>
        <w:rFonts w:hint="default"/>
      </w:rPr>
    </w:lvl>
    <w:lvl w:ilvl="4" w:tplc="6E4CC7E2">
      <w:numFmt w:val="bullet"/>
      <w:lvlText w:val="•"/>
      <w:lvlJc w:val="left"/>
      <w:pPr>
        <w:ind w:left="2142" w:hanging="353"/>
      </w:pPr>
      <w:rPr>
        <w:rFonts w:hint="default"/>
      </w:rPr>
    </w:lvl>
    <w:lvl w:ilvl="5" w:tplc="D8163C3C">
      <w:numFmt w:val="bullet"/>
      <w:lvlText w:val="•"/>
      <w:lvlJc w:val="left"/>
      <w:pPr>
        <w:ind w:left="2562" w:hanging="353"/>
      </w:pPr>
      <w:rPr>
        <w:rFonts w:hint="default"/>
      </w:rPr>
    </w:lvl>
    <w:lvl w:ilvl="6" w:tplc="3D3A3CDA">
      <w:numFmt w:val="bullet"/>
      <w:lvlText w:val="•"/>
      <w:lvlJc w:val="left"/>
      <w:pPr>
        <w:ind w:left="2983" w:hanging="353"/>
      </w:pPr>
      <w:rPr>
        <w:rFonts w:hint="default"/>
      </w:rPr>
    </w:lvl>
    <w:lvl w:ilvl="7" w:tplc="FD6A989A">
      <w:numFmt w:val="bullet"/>
      <w:lvlText w:val="•"/>
      <w:lvlJc w:val="left"/>
      <w:pPr>
        <w:ind w:left="3403" w:hanging="353"/>
      </w:pPr>
      <w:rPr>
        <w:rFonts w:hint="default"/>
      </w:rPr>
    </w:lvl>
    <w:lvl w:ilvl="8" w:tplc="EC3A2C52">
      <w:numFmt w:val="bullet"/>
      <w:lvlText w:val="•"/>
      <w:lvlJc w:val="left"/>
      <w:pPr>
        <w:ind w:left="3824" w:hanging="353"/>
      </w:pPr>
      <w:rPr>
        <w:rFonts w:hint="default"/>
      </w:rPr>
    </w:lvl>
  </w:abstractNum>
  <w:abstractNum w:abstractNumId="40" w15:restartNumberingAfterBreak="0">
    <w:nsid w:val="41FB0938"/>
    <w:multiLevelType w:val="hybridMultilevel"/>
    <w:tmpl w:val="90E41B2C"/>
    <w:lvl w:ilvl="0" w:tplc="C2BAEC2A">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B52A8446">
      <w:numFmt w:val="bullet"/>
      <w:lvlText w:val="•"/>
      <w:lvlJc w:val="left"/>
      <w:pPr>
        <w:ind w:left="1204" w:hanging="202"/>
      </w:pPr>
      <w:rPr>
        <w:rFonts w:hint="default"/>
      </w:rPr>
    </w:lvl>
    <w:lvl w:ilvl="2" w:tplc="D6E4AAEC">
      <w:numFmt w:val="bullet"/>
      <w:lvlText w:val="•"/>
      <w:lvlJc w:val="left"/>
      <w:pPr>
        <w:ind w:left="2108" w:hanging="202"/>
      </w:pPr>
      <w:rPr>
        <w:rFonts w:hint="default"/>
      </w:rPr>
    </w:lvl>
    <w:lvl w:ilvl="3" w:tplc="D0F6EEE6">
      <w:numFmt w:val="bullet"/>
      <w:lvlText w:val="•"/>
      <w:lvlJc w:val="left"/>
      <w:pPr>
        <w:ind w:left="3012" w:hanging="202"/>
      </w:pPr>
      <w:rPr>
        <w:rFonts w:hint="default"/>
      </w:rPr>
    </w:lvl>
    <w:lvl w:ilvl="4" w:tplc="6ED2E2B2">
      <w:numFmt w:val="bullet"/>
      <w:lvlText w:val="•"/>
      <w:lvlJc w:val="left"/>
      <w:pPr>
        <w:ind w:left="3916" w:hanging="202"/>
      </w:pPr>
      <w:rPr>
        <w:rFonts w:hint="default"/>
      </w:rPr>
    </w:lvl>
    <w:lvl w:ilvl="5" w:tplc="429E3BC4">
      <w:numFmt w:val="bullet"/>
      <w:lvlText w:val="•"/>
      <w:lvlJc w:val="left"/>
      <w:pPr>
        <w:ind w:left="4820" w:hanging="202"/>
      </w:pPr>
      <w:rPr>
        <w:rFonts w:hint="default"/>
      </w:rPr>
    </w:lvl>
    <w:lvl w:ilvl="6" w:tplc="508A1D8A">
      <w:numFmt w:val="bullet"/>
      <w:lvlText w:val="•"/>
      <w:lvlJc w:val="left"/>
      <w:pPr>
        <w:ind w:left="5724" w:hanging="202"/>
      </w:pPr>
      <w:rPr>
        <w:rFonts w:hint="default"/>
      </w:rPr>
    </w:lvl>
    <w:lvl w:ilvl="7" w:tplc="9724EF9A">
      <w:numFmt w:val="bullet"/>
      <w:lvlText w:val="•"/>
      <w:lvlJc w:val="left"/>
      <w:pPr>
        <w:ind w:left="6628" w:hanging="202"/>
      </w:pPr>
      <w:rPr>
        <w:rFonts w:hint="default"/>
      </w:rPr>
    </w:lvl>
    <w:lvl w:ilvl="8" w:tplc="9176BE10">
      <w:numFmt w:val="bullet"/>
      <w:lvlText w:val="•"/>
      <w:lvlJc w:val="left"/>
      <w:pPr>
        <w:ind w:left="7532" w:hanging="202"/>
      </w:pPr>
      <w:rPr>
        <w:rFonts w:hint="default"/>
      </w:rPr>
    </w:lvl>
  </w:abstractNum>
  <w:abstractNum w:abstractNumId="41" w15:restartNumberingAfterBreak="0">
    <w:nsid w:val="43026996"/>
    <w:multiLevelType w:val="hybridMultilevel"/>
    <w:tmpl w:val="EE3E530A"/>
    <w:lvl w:ilvl="0" w:tplc="23968BB2">
      <w:numFmt w:val="bullet"/>
      <w:lvlText w:val=""/>
      <w:lvlJc w:val="left"/>
      <w:pPr>
        <w:ind w:left="467" w:hanging="360"/>
      </w:pPr>
      <w:rPr>
        <w:rFonts w:ascii="Symbol" w:eastAsia="Symbol" w:hAnsi="Symbol" w:cs="Symbol" w:hint="default"/>
        <w:b w:val="0"/>
        <w:bCs w:val="0"/>
        <w:i w:val="0"/>
        <w:iCs w:val="0"/>
        <w:w w:val="99"/>
        <w:sz w:val="20"/>
        <w:szCs w:val="20"/>
      </w:rPr>
    </w:lvl>
    <w:lvl w:ilvl="1" w:tplc="D4C4123E">
      <w:numFmt w:val="bullet"/>
      <w:lvlText w:val="•"/>
      <w:lvlJc w:val="left"/>
      <w:pPr>
        <w:ind w:left="1348" w:hanging="360"/>
      </w:pPr>
      <w:rPr>
        <w:rFonts w:hint="default"/>
      </w:rPr>
    </w:lvl>
    <w:lvl w:ilvl="2" w:tplc="437C72CA">
      <w:numFmt w:val="bullet"/>
      <w:lvlText w:val="•"/>
      <w:lvlJc w:val="left"/>
      <w:pPr>
        <w:ind w:left="2236" w:hanging="360"/>
      </w:pPr>
      <w:rPr>
        <w:rFonts w:hint="default"/>
      </w:rPr>
    </w:lvl>
    <w:lvl w:ilvl="3" w:tplc="45C03AC6">
      <w:numFmt w:val="bullet"/>
      <w:lvlText w:val="•"/>
      <w:lvlJc w:val="left"/>
      <w:pPr>
        <w:ind w:left="3124" w:hanging="360"/>
      </w:pPr>
      <w:rPr>
        <w:rFonts w:hint="default"/>
      </w:rPr>
    </w:lvl>
    <w:lvl w:ilvl="4" w:tplc="366E6A6E">
      <w:numFmt w:val="bullet"/>
      <w:lvlText w:val="•"/>
      <w:lvlJc w:val="left"/>
      <w:pPr>
        <w:ind w:left="4012" w:hanging="360"/>
      </w:pPr>
      <w:rPr>
        <w:rFonts w:hint="default"/>
      </w:rPr>
    </w:lvl>
    <w:lvl w:ilvl="5" w:tplc="5D24A3D0">
      <w:numFmt w:val="bullet"/>
      <w:lvlText w:val="•"/>
      <w:lvlJc w:val="left"/>
      <w:pPr>
        <w:ind w:left="4900" w:hanging="360"/>
      </w:pPr>
      <w:rPr>
        <w:rFonts w:hint="default"/>
      </w:rPr>
    </w:lvl>
    <w:lvl w:ilvl="6" w:tplc="03EA6544">
      <w:numFmt w:val="bullet"/>
      <w:lvlText w:val="•"/>
      <w:lvlJc w:val="left"/>
      <w:pPr>
        <w:ind w:left="5788" w:hanging="360"/>
      </w:pPr>
      <w:rPr>
        <w:rFonts w:hint="default"/>
      </w:rPr>
    </w:lvl>
    <w:lvl w:ilvl="7" w:tplc="76C87386">
      <w:numFmt w:val="bullet"/>
      <w:lvlText w:val="•"/>
      <w:lvlJc w:val="left"/>
      <w:pPr>
        <w:ind w:left="6676" w:hanging="360"/>
      </w:pPr>
      <w:rPr>
        <w:rFonts w:hint="default"/>
      </w:rPr>
    </w:lvl>
    <w:lvl w:ilvl="8" w:tplc="3586A40C">
      <w:numFmt w:val="bullet"/>
      <w:lvlText w:val="•"/>
      <w:lvlJc w:val="left"/>
      <w:pPr>
        <w:ind w:left="7564" w:hanging="360"/>
      </w:pPr>
      <w:rPr>
        <w:rFonts w:hint="default"/>
      </w:rPr>
    </w:lvl>
  </w:abstractNum>
  <w:abstractNum w:abstractNumId="42" w15:restartNumberingAfterBreak="0">
    <w:nsid w:val="43C93B08"/>
    <w:multiLevelType w:val="hybridMultilevel"/>
    <w:tmpl w:val="E9EA484A"/>
    <w:lvl w:ilvl="0" w:tplc="C52CC216">
      <w:start w:val="6"/>
      <w:numFmt w:val="decimal"/>
      <w:lvlText w:val="%1-"/>
      <w:lvlJc w:val="left"/>
      <w:pPr>
        <w:ind w:left="798" w:hanging="163"/>
        <w:jc w:val="left"/>
      </w:pPr>
      <w:rPr>
        <w:rFonts w:ascii="Calibri" w:eastAsia="Calibri" w:hAnsi="Calibri" w:cs="Calibri" w:hint="default"/>
        <w:b w:val="0"/>
        <w:bCs w:val="0"/>
        <w:i w:val="0"/>
        <w:iCs w:val="0"/>
        <w:spacing w:val="-2"/>
        <w:w w:val="99"/>
        <w:sz w:val="18"/>
        <w:szCs w:val="18"/>
      </w:rPr>
    </w:lvl>
    <w:lvl w:ilvl="1" w:tplc="3726370A">
      <w:numFmt w:val="bullet"/>
      <w:lvlText w:val="•"/>
      <w:lvlJc w:val="left"/>
      <w:pPr>
        <w:ind w:left="1654" w:hanging="163"/>
      </w:pPr>
      <w:rPr>
        <w:rFonts w:hint="default"/>
      </w:rPr>
    </w:lvl>
    <w:lvl w:ilvl="2" w:tplc="E4401AFA">
      <w:numFmt w:val="bullet"/>
      <w:lvlText w:val="•"/>
      <w:lvlJc w:val="left"/>
      <w:pPr>
        <w:ind w:left="2508" w:hanging="163"/>
      </w:pPr>
      <w:rPr>
        <w:rFonts w:hint="default"/>
      </w:rPr>
    </w:lvl>
    <w:lvl w:ilvl="3" w:tplc="2B7A767A">
      <w:numFmt w:val="bullet"/>
      <w:lvlText w:val="•"/>
      <w:lvlJc w:val="left"/>
      <w:pPr>
        <w:ind w:left="3362" w:hanging="163"/>
      </w:pPr>
      <w:rPr>
        <w:rFonts w:hint="default"/>
      </w:rPr>
    </w:lvl>
    <w:lvl w:ilvl="4" w:tplc="A426C8E6">
      <w:numFmt w:val="bullet"/>
      <w:lvlText w:val="•"/>
      <w:lvlJc w:val="left"/>
      <w:pPr>
        <w:ind w:left="4216" w:hanging="163"/>
      </w:pPr>
      <w:rPr>
        <w:rFonts w:hint="default"/>
      </w:rPr>
    </w:lvl>
    <w:lvl w:ilvl="5" w:tplc="B6EABABA">
      <w:numFmt w:val="bullet"/>
      <w:lvlText w:val="•"/>
      <w:lvlJc w:val="left"/>
      <w:pPr>
        <w:ind w:left="5070" w:hanging="163"/>
      </w:pPr>
      <w:rPr>
        <w:rFonts w:hint="default"/>
      </w:rPr>
    </w:lvl>
    <w:lvl w:ilvl="6" w:tplc="0930C844">
      <w:numFmt w:val="bullet"/>
      <w:lvlText w:val="•"/>
      <w:lvlJc w:val="left"/>
      <w:pPr>
        <w:ind w:left="5924" w:hanging="163"/>
      </w:pPr>
      <w:rPr>
        <w:rFonts w:hint="default"/>
      </w:rPr>
    </w:lvl>
    <w:lvl w:ilvl="7" w:tplc="77903170">
      <w:numFmt w:val="bullet"/>
      <w:lvlText w:val="•"/>
      <w:lvlJc w:val="left"/>
      <w:pPr>
        <w:ind w:left="6778" w:hanging="163"/>
      </w:pPr>
      <w:rPr>
        <w:rFonts w:hint="default"/>
      </w:rPr>
    </w:lvl>
    <w:lvl w:ilvl="8" w:tplc="056C7FCE">
      <w:numFmt w:val="bullet"/>
      <w:lvlText w:val="•"/>
      <w:lvlJc w:val="left"/>
      <w:pPr>
        <w:ind w:left="7632" w:hanging="163"/>
      </w:pPr>
      <w:rPr>
        <w:rFonts w:hint="default"/>
      </w:rPr>
    </w:lvl>
  </w:abstractNum>
  <w:abstractNum w:abstractNumId="43" w15:restartNumberingAfterBreak="0">
    <w:nsid w:val="46C2419D"/>
    <w:multiLevelType w:val="hybridMultilevel"/>
    <w:tmpl w:val="D51AC5A6"/>
    <w:lvl w:ilvl="0" w:tplc="02F613AC">
      <w:start w:val="1"/>
      <w:numFmt w:val="lowerLetter"/>
      <w:lvlText w:val="%1)"/>
      <w:lvlJc w:val="left"/>
      <w:pPr>
        <w:ind w:left="308" w:hanging="202"/>
        <w:jc w:val="left"/>
      </w:pPr>
      <w:rPr>
        <w:rFonts w:ascii="Calibri" w:eastAsia="Calibri" w:hAnsi="Calibri" w:cs="Calibri" w:hint="default"/>
        <w:b w:val="0"/>
        <w:bCs w:val="0"/>
        <w:i w:val="0"/>
        <w:iCs w:val="0"/>
        <w:w w:val="99"/>
        <w:sz w:val="20"/>
        <w:szCs w:val="20"/>
      </w:rPr>
    </w:lvl>
    <w:lvl w:ilvl="1" w:tplc="F46A3E48">
      <w:numFmt w:val="bullet"/>
      <w:lvlText w:val="•"/>
      <w:lvlJc w:val="left"/>
      <w:pPr>
        <w:ind w:left="1204" w:hanging="202"/>
      </w:pPr>
      <w:rPr>
        <w:rFonts w:hint="default"/>
      </w:rPr>
    </w:lvl>
    <w:lvl w:ilvl="2" w:tplc="C54C98FA">
      <w:numFmt w:val="bullet"/>
      <w:lvlText w:val="•"/>
      <w:lvlJc w:val="left"/>
      <w:pPr>
        <w:ind w:left="2108" w:hanging="202"/>
      </w:pPr>
      <w:rPr>
        <w:rFonts w:hint="default"/>
      </w:rPr>
    </w:lvl>
    <w:lvl w:ilvl="3" w:tplc="377AADCC">
      <w:numFmt w:val="bullet"/>
      <w:lvlText w:val="•"/>
      <w:lvlJc w:val="left"/>
      <w:pPr>
        <w:ind w:left="3012" w:hanging="202"/>
      </w:pPr>
      <w:rPr>
        <w:rFonts w:hint="default"/>
      </w:rPr>
    </w:lvl>
    <w:lvl w:ilvl="4" w:tplc="1B5A8EA8">
      <w:numFmt w:val="bullet"/>
      <w:lvlText w:val="•"/>
      <w:lvlJc w:val="left"/>
      <w:pPr>
        <w:ind w:left="3916" w:hanging="202"/>
      </w:pPr>
      <w:rPr>
        <w:rFonts w:hint="default"/>
      </w:rPr>
    </w:lvl>
    <w:lvl w:ilvl="5" w:tplc="28245846">
      <w:numFmt w:val="bullet"/>
      <w:lvlText w:val="•"/>
      <w:lvlJc w:val="left"/>
      <w:pPr>
        <w:ind w:left="4820" w:hanging="202"/>
      </w:pPr>
      <w:rPr>
        <w:rFonts w:hint="default"/>
      </w:rPr>
    </w:lvl>
    <w:lvl w:ilvl="6" w:tplc="C6BC9E02">
      <w:numFmt w:val="bullet"/>
      <w:lvlText w:val="•"/>
      <w:lvlJc w:val="left"/>
      <w:pPr>
        <w:ind w:left="5724" w:hanging="202"/>
      </w:pPr>
      <w:rPr>
        <w:rFonts w:hint="default"/>
      </w:rPr>
    </w:lvl>
    <w:lvl w:ilvl="7" w:tplc="31CE0CCC">
      <w:numFmt w:val="bullet"/>
      <w:lvlText w:val="•"/>
      <w:lvlJc w:val="left"/>
      <w:pPr>
        <w:ind w:left="6628" w:hanging="202"/>
      </w:pPr>
      <w:rPr>
        <w:rFonts w:hint="default"/>
      </w:rPr>
    </w:lvl>
    <w:lvl w:ilvl="8" w:tplc="6772E988">
      <w:numFmt w:val="bullet"/>
      <w:lvlText w:val="•"/>
      <w:lvlJc w:val="left"/>
      <w:pPr>
        <w:ind w:left="7532" w:hanging="202"/>
      </w:pPr>
      <w:rPr>
        <w:rFonts w:hint="default"/>
      </w:rPr>
    </w:lvl>
  </w:abstractNum>
  <w:abstractNum w:abstractNumId="44" w15:restartNumberingAfterBreak="0">
    <w:nsid w:val="47932432"/>
    <w:multiLevelType w:val="hybridMultilevel"/>
    <w:tmpl w:val="A6E63896"/>
    <w:lvl w:ilvl="0" w:tplc="47E22460">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B8005352">
      <w:numFmt w:val="bullet"/>
      <w:lvlText w:val="•"/>
      <w:lvlJc w:val="left"/>
      <w:pPr>
        <w:ind w:left="1204" w:hanging="202"/>
      </w:pPr>
      <w:rPr>
        <w:rFonts w:hint="default"/>
      </w:rPr>
    </w:lvl>
    <w:lvl w:ilvl="2" w:tplc="E45C2CA2">
      <w:numFmt w:val="bullet"/>
      <w:lvlText w:val="•"/>
      <w:lvlJc w:val="left"/>
      <w:pPr>
        <w:ind w:left="2108" w:hanging="202"/>
      </w:pPr>
      <w:rPr>
        <w:rFonts w:hint="default"/>
      </w:rPr>
    </w:lvl>
    <w:lvl w:ilvl="3" w:tplc="93F6DE6C">
      <w:numFmt w:val="bullet"/>
      <w:lvlText w:val="•"/>
      <w:lvlJc w:val="left"/>
      <w:pPr>
        <w:ind w:left="3012" w:hanging="202"/>
      </w:pPr>
      <w:rPr>
        <w:rFonts w:hint="default"/>
      </w:rPr>
    </w:lvl>
    <w:lvl w:ilvl="4" w:tplc="5F9C3CE8">
      <w:numFmt w:val="bullet"/>
      <w:lvlText w:val="•"/>
      <w:lvlJc w:val="left"/>
      <w:pPr>
        <w:ind w:left="3916" w:hanging="202"/>
      </w:pPr>
      <w:rPr>
        <w:rFonts w:hint="default"/>
      </w:rPr>
    </w:lvl>
    <w:lvl w:ilvl="5" w:tplc="00CA8E82">
      <w:numFmt w:val="bullet"/>
      <w:lvlText w:val="•"/>
      <w:lvlJc w:val="left"/>
      <w:pPr>
        <w:ind w:left="4820" w:hanging="202"/>
      </w:pPr>
      <w:rPr>
        <w:rFonts w:hint="default"/>
      </w:rPr>
    </w:lvl>
    <w:lvl w:ilvl="6" w:tplc="957C6384">
      <w:numFmt w:val="bullet"/>
      <w:lvlText w:val="•"/>
      <w:lvlJc w:val="left"/>
      <w:pPr>
        <w:ind w:left="5724" w:hanging="202"/>
      </w:pPr>
      <w:rPr>
        <w:rFonts w:hint="default"/>
      </w:rPr>
    </w:lvl>
    <w:lvl w:ilvl="7" w:tplc="55122744">
      <w:numFmt w:val="bullet"/>
      <w:lvlText w:val="•"/>
      <w:lvlJc w:val="left"/>
      <w:pPr>
        <w:ind w:left="6628" w:hanging="202"/>
      </w:pPr>
      <w:rPr>
        <w:rFonts w:hint="default"/>
      </w:rPr>
    </w:lvl>
    <w:lvl w:ilvl="8" w:tplc="D6C871B8">
      <w:numFmt w:val="bullet"/>
      <w:lvlText w:val="•"/>
      <w:lvlJc w:val="left"/>
      <w:pPr>
        <w:ind w:left="7532" w:hanging="202"/>
      </w:pPr>
      <w:rPr>
        <w:rFonts w:hint="default"/>
      </w:rPr>
    </w:lvl>
  </w:abstractNum>
  <w:abstractNum w:abstractNumId="45" w15:restartNumberingAfterBreak="0">
    <w:nsid w:val="4C081C7B"/>
    <w:multiLevelType w:val="hybridMultilevel"/>
    <w:tmpl w:val="8986729C"/>
    <w:lvl w:ilvl="0" w:tplc="4C62DD76">
      <w:numFmt w:val="bullet"/>
      <w:lvlText w:val=""/>
      <w:lvlJc w:val="left"/>
      <w:pPr>
        <w:ind w:left="467" w:hanging="360"/>
      </w:pPr>
      <w:rPr>
        <w:rFonts w:ascii="Symbol" w:eastAsia="Symbol" w:hAnsi="Symbol" w:cs="Symbol" w:hint="default"/>
        <w:b w:val="0"/>
        <w:bCs w:val="0"/>
        <w:i w:val="0"/>
        <w:iCs w:val="0"/>
        <w:w w:val="99"/>
        <w:sz w:val="20"/>
        <w:szCs w:val="20"/>
      </w:rPr>
    </w:lvl>
    <w:lvl w:ilvl="1" w:tplc="A9F0D61C">
      <w:numFmt w:val="bullet"/>
      <w:lvlText w:val="•"/>
      <w:lvlJc w:val="left"/>
      <w:pPr>
        <w:ind w:left="1348" w:hanging="360"/>
      </w:pPr>
      <w:rPr>
        <w:rFonts w:hint="default"/>
      </w:rPr>
    </w:lvl>
    <w:lvl w:ilvl="2" w:tplc="72826A8A">
      <w:numFmt w:val="bullet"/>
      <w:lvlText w:val="•"/>
      <w:lvlJc w:val="left"/>
      <w:pPr>
        <w:ind w:left="2236" w:hanging="360"/>
      </w:pPr>
      <w:rPr>
        <w:rFonts w:hint="default"/>
      </w:rPr>
    </w:lvl>
    <w:lvl w:ilvl="3" w:tplc="9B7C90EE">
      <w:numFmt w:val="bullet"/>
      <w:lvlText w:val="•"/>
      <w:lvlJc w:val="left"/>
      <w:pPr>
        <w:ind w:left="3124" w:hanging="360"/>
      </w:pPr>
      <w:rPr>
        <w:rFonts w:hint="default"/>
      </w:rPr>
    </w:lvl>
    <w:lvl w:ilvl="4" w:tplc="8B362FBE">
      <w:numFmt w:val="bullet"/>
      <w:lvlText w:val="•"/>
      <w:lvlJc w:val="left"/>
      <w:pPr>
        <w:ind w:left="4012" w:hanging="360"/>
      </w:pPr>
      <w:rPr>
        <w:rFonts w:hint="default"/>
      </w:rPr>
    </w:lvl>
    <w:lvl w:ilvl="5" w:tplc="11A65CF8">
      <w:numFmt w:val="bullet"/>
      <w:lvlText w:val="•"/>
      <w:lvlJc w:val="left"/>
      <w:pPr>
        <w:ind w:left="4900" w:hanging="360"/>
      </w:pPr>
      <w:rPr>
        <w:rFonts w:hint="default"/>
      </w:rPr>
    </w:lvl>
    <w:lvl w:ilvl="6" w:tplc="2C96BED6">
      <w:numFmt w:val="bullet"/>
      <w:lvlText w:val="•"/>
      <w:lvlJc w:val="left"/>
      <w:pPr>
        <w:ind w:left="5788" w:hanging="360"/>
      </w:pPr>
      <w:rPr>
        <w:rFonts w:hint="default"/>
      </w:rPr>
    </w:lvl>
    <w:lvl w:ilvl="7" w:tplc="872AE29A">
      <w:numFmt w:val="bullet"/>
      <w:lvlText w:val="•"/>
      <w:lvlJc w:val="left"/>
      <w:pPr>
        <w:ind w:left="6676" w:hanging="360"/>
      </w:pPr>
      <w:rPr>
        <w:rFonts w:hint="default"/>
      </w:rPr>
    </w:lvl>
    <w:lvl w:ilvl="8" w:tplc="E42AB2D4">
      <w:numFmt w:val="bullet"/>
      <w:lvlText w:val="•"/>
      <w:lvlJc w:val="left"/>
      <w:pPr>
        <w:ind w:left="7564" w:hanging="360"/>
      </w:pPr>
      <w:rPr>
        <w:rFonts w:hint="default"/>
      </w:rPr>
    </w:lvl>
  </w:abstractNum>
  <w:abstractNum w:abstractNumId="46" w15:restartNumberingAfterBreak="0">
    <w:nsid w:val="4C29170C"/>
    <w:multiLevelType w:val="hybridMultilevel"/>
    <w:tmpl w:val="9E105722"/>
    <w:lvl w:ilvl="0" w:tplc="10306DF8">
      <w:numFmt w:val="bullet"/>
      <w:lvlText w:val=""/>
      <w:lvlJc w:val="left"/>
      <w:pPr>
        <w:ind w:left="467" w:hanging="360"/>
      </w:pPr>
      <w:rPr>
        <w:rFonts w:ascii="Symbol" w:eastAsia="Symbol" w:hAnsi="Symbol" w:cs="Symbol" w:hint="default"/>
        <w:b w:val="0"/>
        <w:bCs w:val="0"/>
        <w:i w:val="0"/>
        <w:iCs w:val="0"/>
        <w:w w:val="99"/>
        <w:sz w:val="20"/>
        <w:szCs w:val="20"/>
      </w:rPr>
    </w:lvl>
    <w:lvl w:ilvl="1" w:tplc="51B2752C">
      <w:numFmt w:val="bullet"/>
      <w:lvlText w:val="•"/>
      <w:lvlJc w:val="left"/>
      <w:pPr>
        <w:ind w:left="1348" w:hanging="360"/>
      </w:pPr>
      <w:rPr>
        <w:rFonts w:hint="default"/>
      </w:rPr>
    </w:lvl>
    <w:lvl w:ilvl="2" w:tplc="8482EFC6">
      <w:numFmt w:val="bullet"/>
      <w:lvlText w:val="•"/>
      <w:lvlJc w:val="left"/>
      <w:pPr>
        <w:ind w:left="2236" w:hanging="360"/>
      </w:pPr>
      <w:rPr>
        <w:rFonts w:hint="default"/>
      </w:rPr>
    </w:lvl>
    <w:lvl w:ilvl="3" w:tplc="1B3AEA4C">
      <w:numFmt w:val="bullet"/>
      <w:lvlText w:val="•"/>
      <w:lvlJc w:val="left"/>
      <w:pPr>
        <w:ind w:left="3124" w:hanging="360"/>
      </w:pPr>
      <w:rPr>
        <w:rFonts w:hint="default"/>
      </w:rPr>
    </w:lvl>
    <w:lvl w:ilvl="4" w:tplc="F7703CDE">
      <w:numFmt w:val="bullet"/>
      <w:lvlText w:val="•"/>
      <w:lvlJc w:val="left"/>
      <w:pPr>
        <w:ind w:left="4012" w:hanging="360"/>
      </w:pPr>
      <w:rPr>
        <w:rFonts w:hint="default"/>
      </w:rPr>
    </w:lvl>
    <w:lvl w:ilvl="5" w:tplc="63CE426A">
      <w:numFmt w:val="bullet"/>
      <w:lvlText w:val="•"/>
      <w:lvlJc w:val="left"/>
      <w:pPr>
        <w:ind w:left="4900" w:hanging="360"/>
      </w:pPr>
      <w:rPr>
        <w:rFonts w:hint="default"/>
      </w:rPr>
    </w:lvl>
    <w:lvl w:ilvl="6" w:tplc="321E3846">
      <w:numFmt w:val="bullet"/>
      <w:lvlText w:val="•"/>
      <w:lvlJc w:val="left"/>
      <w:pPr>
        <w:ind w:left="5788" w:hanging="360"/>
      </w:pPr>
      <w:rPr>
        <w:rFonts w:hint="default"/>
      </w:rPr>
    </w:lvl>
    <w:lvl w:ilvl="7" w:tplc="2B68839A">
      <w:numFmt w:val="bullet"/>
      <w:lvlText w:val="•"/>
      <w:lvlJc w:val="left"/>
      <w:pPr>
        <w:ind w:left="6676" w:hanging="360"/>
      </w:pPr>
      <w:rPr>
        <w:rFonts w:hint="default"/>
      </w:rPr>
    </w:lvl>
    <w:lvl w:ilvl="8" w:tplc="53CC4428">
      <w:numFmt w:val="bullet"/>
      <w:lvlText w:val="•"/>
      <w:lvlJc w:val="left"/>
      <w:pPr>
        <w:ind w:left="7564" w:hanging="360"/>
      </w:pPr>
      <w:rPr>
        <w:rFonts w:hint="default"/>
      </w:rPr>
    </w:lvl>
  </w:abstractNum>
  <w:abstractNum w:abstractNumId="47" w15:restartNumberingAfterBreak="0">
    <w:nsid w:val="4CAC3375"/>
    <w:multiLevelType w:val="hybridMultilevel"/>
    <w:tmpl w:val="A9EEAA78"/>
    <w:lvl w:ilvl="0" w:tplc="4710A2E6">
      <w:numFmt w:val="bullet"/>
      <w:lvlText w:val=""/>
      <w:lvlJc w:val="left"/>
      <w:pPr>
        <w:ind w:left="467" w:hanging="360"/>
      </w:pPr>
      <w:rPr>
        <w:rFonts w:ascii="Symbol" w:eastAsia="Symbol" w:hAnsi="Symbol" w:cs="Symbol" w:hint="default"/>
        <w:b w:val="0"/>
        <w:bCs w:val="0"/>
        <w:i w:val="0"/>
        <w:iCs w:val="0"/>
        <w:w w:val="99"/>
        <w:sz w:val="20"/>
        <w:szCs w:val="20"/>
      </w:rPr>
    </w:lvl>
    <w:lvl w:ilvl="1" w:tplc="C472BD22">
      <w:numFmt w:val="bullet"/>
      <w:lvlText w:val="•"/>
      <w:lvlJc w:val="left"/>
      <w:pPr>
        <w:ind w:left="745" w:hanging="360"/>
      </w:pPr>
      <w:rPr>
        <w:rFonts w:hint="default"/>
      </w:rPr>
    </w:lvl>
    <w:lvl w:ilvl="2" w:tplc="74A8F052">
      <w:numFmt w:val="bullet"/>
      <w:lvlText w:val="•"/>
      <w:lvlJc w:val="left"/>
      <w:pPr>
        <w:ind w:left="1031" w:hanging="360"/>
      </w:pPr>
      <w:rPr>
        <w:rFonts w:hint="default"/>
      </w:rPr>
    </w:lvl>
    <w:lvl w:ilvl="3" w:tplc="286288A8">
      <w:numFmt w:val="bullet"/>
      <w:lvlText w:val="•"/>
      <w:lvlJc w:val="left"/>
      <w:pPr>
        <w:ind w:left="1316" w:hanging="360"/>
      </w:pPr>
      <w:rPr>
        <w:rFonts w:hint="default"/>
      </w:rPr>
    </w:lvl>
    <w:lvl w:ilvl="4" w:tplc="0CC8AD72">
      <w:numFmt w:val="bullet"/>
      <w:lvlText w:val="•"/>
      <w:lvlJc w:val="left"/>
      <w:pPr>
        <w:ind w:left="1602" w:hanging="360"/>
      </w:pPr>
      <w:rPr>
        <w:rFonts w:hint="default"/>
      </w:rPr>
    </w:lvl>
    <w:lvl w:ilvl="5" w:tplc="6B007D48">
      <w:numFmt w:val="bullet"/>
      <w:lvlText w:val="•"/>
      <w:lvlJc w:val="left"/>
      <w:pPr>
        <w:ind w:left="1888" w:hanging="360"/>
      </w:pPr>
      <w:rPr>
        <w:rFonts w:hint="default"/>
      </w:rPr>
    </w:lvl>
    <w:lvl w:ilvl="6" w:tplc="A01240D0">
      <w:numFmt w:val="bullet"/>
      <w:lvlText w:val="•"/>
      <w:lvlJc w:val="left"/>
      <w:pPr>
        <w:ind w:left="2173" w:hanging="360"/>
      </w:pPr>
      <w:rPr>
        <w:rFonts w:hint="default"/>
      </w:rPr>
    </w:lvl>
    <w:lvl w:ilvl="7" w:tplc="E604CA66">
      <w:numFmt w:val="bullet"/>
      <w:lvlText w:val="•"/>
      <w:lvlJc w:val="left"/>
      <w:pPr>
        <w:ind w:left="2459" w:hanging="360"/>
      </w:pPr>
      <w:rPr>
        <w:rFonts w:hint="default"/>
      </w:rPr>
    </w:lvl>
    <w:lvl w:ilvl="8" w:tplc="455E9A02">
      <w:numFmt w:val="bullet"/>
      <w:lvlText w:val="•"/>
      <w:lvlJc w:val="left"/>
      <w:pPr>
        <w:ind w:left="2744" w:hanging="360"/>
      </w:pPr>
      <w:rPr>
        <w:rFonts w:hint="default"/>
      </w:rPr>
    </w:lvl>
  </w:abstractNum>
  <w:abstractNum w:abstractNumId="48" w15:restartNumberingAfterBreak="0">
    <w:nsid w:val="4D742EB2"/>
    <w:multiLevelType w:val="hybridMultilevel"/>
    <w:tmpl w:val="407E9DD6"/>
    <w:lvl w:ilvl="0" w:tplc="89A4E896">
      <w:start w:val="1"/>
      <w:numFmt w:val="decimal"/>
      <w:lvlText w:val="%1."/>
      <w:lvlJc w:val="left"/>
      <w:pPr>
        <w:ind w:left="1799" w:hanging="361"/>
        <w:jc w:val="left"/>
      </w:pPr>
      <w:rPr>
        <w:rFonts w:ascii="Calibri" w:eastAsia="Calibri" w:hAnsi="Calibri" w:cs="Calibri" w:hint="default"/>
        <w:b w:val="0"/>
        <w:bCs w:val="0"/>
        <w:i w:val="0"/>
        <w:iCs w:val="0"/>
        <w:w w:val="100"/>
        <w:sz w:val="22"/>
        <w:szCs w:val="22"/>
      </w:rPr>
    </w:lvl>
    <w:lvl w:ilvl="1" w:tplc="86DAB83A">
      <w:numFmt w:val="bullet"/>
      <w:lvlText w:val="•"/>
      <w:lvlJc w:val="left"/>
      <w:pPr>
        <w:ind w:left="2020" w:hanging="361"/>
      </w:pPr>
      <w:rPr>
        <w:rFonts w:hint="default"/>
      </w:rPr>
    </w:lvl>
    <w:lvl w:ilvl="2" w:tplc="0F3CE5FA">
      <w:numFmt w:val="bullet"/>
      <w:lvlText w:val="•"/>
      <w:lvlJc w:val="left"/>
      <w:pPr>
        <w:ind w:left="3155" w:hanging="361"/>
      </w:pPr>
      <w:rPr>
        <w:rFonts w:hint="default"/>
      </w:rPr>
    </w:lvl>
    <w:lvl w:ilvl="3" w:tplc="43186AEA">
      <w:numFmt w:val="bullet"/>
      <w:lvlText w:val="•"/>
      <w:lvlJc w:val="left"/>
      <w:pPr>
        <w:ind w:left="4291" w:hanging="361"/>
      </w:pPr>
      <w:rPr>
        <w:rFonts w:hint="default"/>
      </w:rPr>
    </w:lvl>
    <w:lvl w:ilvl="4" w:tplc="2C64625A">
      <w:numFmt w:val="bullet"/>
      <w:lvlText w:val="•"/>
      <w:lvlJc w:val="left"/>
      <w:pPr>
        <w:ind w:left="5426" w:hanging="361"/>
      </w:pPr>
      <w:rPr>
        <w:rFonts w:hint="default"/>
      </w:rPr>
    </w:lvl>
    <w:lvl w:ilvl="5" w:tplc="A2D0ABE4">
      <w:numFmt w:val="bullet"/>
      <w:lvlText w:val="•"/>
      <w:lvlJc w:val="left"/>
      <w:pPr>
        <w:ind w:left="6562" w:hanging="361"/>
      </w:pPr>
      <w:rPr>
        <w:rFonts w:hint="default"/>
      </w:rPr>
    </w:lvl>
    <w:lvl w:ilvl="6" w:tplc="E0301626">
      <w:numFmt w:val="bullet"/>
      <w:lvlText w:val="•"/>
      <w:lvlJc w:val="left"/>
      <w:pPr>
        <w:ind w:left="7697" w:hanging="361"/>
      </w:pPr>
      <w:rPr>
        <w:rFonts w:hint="default"/>
      </w:rPr>
    </w:lvl>
    <w:lvl w:ilvl="7" w:tplc="312EF788">
      <w:numFmt w:val="bullet"/>
      <w:lvlText w:val="•"/>
      <w:lvlJc w:val="left"/>
      <w:pPr>
        <w:ind w:left="8833" w:hanging="361"/>
      </w:pPr>
      <w:rPr>
        <w:rFonts w:hint="default"/>
      </w:rPr>
    </w:lvl>
    <w:lvl w:ilvl="8" w:tplc="A29E2F48">
      <w:numFmt w:val="bullet"/>
      <w:lvlText w:val="•"/>
      <w:lvlJc w:val="left"/>
      <w:pPr>
        <w:ind w:left="9968" w:hanging="361"/>
      </w:pPr>
      <w:rPr>
        <w:rFonts w:hint="default"/>
      </w:rPr>
    </w:lvl>
  </w:abstractNum>
  <w:abstractNum w:abstractNumId="49" w15:restartNumberingAfterBreak="0">
    <w:nsid w:val="4DEB6743"/>
    <w:multiLevelType w:val="hybridMultilevel"/>
    <w:tmpl w:val="829896BE"/>
    <w:lvl w:ilvl="0" w:tplc="5D725EDA">
      <w:numFmt w:val="bullet"/>
      <w:lvlText w:val=""/>
      <w:lvlJc w:val="left"/>
      <w:pPr>
        <w:ind w:left="467" w:hanging="360"/>
      </w:pPr>
      <w:rPr>
        <w:rFonts w:ascii="Symbol" w:eastAsia="Symbol" w:hAnsi="Symbol" w:cs="Symbol" w:hint="default"/>
        <w:b w:val="0"/>
        <w:bCs w:val="0"/>
        <w:i w:val="0"/>
        <w:iCs w:val="0"/>
        <w:w w:val="99"/>
        <w:sz w:val="20"/>
        <w:szCs w:val="20"/>
      </w:rPr>
    </w:lvl>
    <w:lvl w:ilvl="1" w:tplc="56AA12D6">
      <w:numFmt w:val="bullet"/>
      <w:lvlText w:val="•"/>
      <w:lvlJc w:val="left"/>
      <w:pPr>
        <w:ind w:left="1348" w:hanging="360"/>
      </w:pPr>
      <w:rPr>
        <w:rFonts w:hint="default"/>
      </w:rPr>
    </w:lvl>
    <w:lvl w:ilvl="2" w:tplc="F9B2E430">
      <w:numFmt w:val="bullet"/>
      <w:lvlText w:val="•"/>
      <w:lvlJc w:val="left"/>
      <w:pPr>
        <w:ind w:left="2236" w:hanging="360"/>
      </w:pPr>
      <w:rPr>
        <w:rFonts w:hint="default"/>
      </w:rPr>
    </w:lvl>
    <w:lvl w:ilvl="3" w:tplc="8A5092A0">
      <w:numFmt w:val="bullet"/>
      <w:lvlText w:val="•"/>
      <w:lvlJc w:val="left"/>
      <w:pPr>
        <w:ind w:left="3124" w:hanging="360"/>
      </w:pPr>
      <w:rPr>
        <w:rFonts w:hint="default"/>
      </w:rPr>
    </w:lvl>
    <w:lvl w:ilvl="4" w:tplc="AECEC48A">
      <w:numFmt w:val="bullet"/>
      <w:lvlText w:val="•"/>
      <w:lvlJc w:val="left"/>
      <w:pPr>
        <w:ind w:left="4012" w:hanging="360"/>
      </w:pPr>
      <w:rPr>
        <w:rFonts w:hint="default"/>
      </w:rPr>
    </w:lvl>
    <w:lvl w:ilvl="5" w:tplc="744E648A">
      <w:numFmt w:val="bullet"/>
      <w:lvlText w:val="•"/>
      <w:lvlJc w:val="left"/>
      <w:pPr>
        <w:ind w:left="4900" w:hanging="360"/>
      </w:pPr>
      <w:rPr>
        <w:rFonts w:hint="default"/>
      </w:rPr>
    </w:lvl>
    <w:lvl w:ilvl="6" w:tplc="8D161ED4">
      <w:numFmt w:val="bullet"/>
      <w:lvlText w:val="•"/>
      <w:lvlJc w:val="left"/>
      <w:pPr>
        <w:ind w:left="5788" w:hanging="360"/>
      </w:pPr>
      <w:rPr>
        <w:rFonts w:hint="default"/>
      </w:rPr>
    </w:lvl>
    <w:lvl w:ilvl="7" w:tplc="0456DB28">
      <w:numFmt w:val="bullet"/>
      <w:lvlText w:val="•"/>
      <w:lvlJc w:val="left"/>
      <w:pPr>
        <w:ind w:left="6676" w:hanging="360"/>
      </w:pPr>
      <w:rPr>
        <w:rFonts w:hint="default"/>
      </w:rPr>
    </w:lvl>
    <w:lvl w:ilvl="8" w:tplc="0C8EDE36">
      <w:numFmt w:val="bullet"/>
      <w:lvlText w:val="•"/>
      <w:lvlJc w:val="left"/>
      <w:pPr>
        <w:ind w:left="7564" w:hanging="360"/>
      </w:pPr>
      <w:rPr>
        <w:rFonts w:hint="default"/>
      </w:rPr>
    </w:lvl>
  </w:abstractNum>
  <w:abstractNum w:abstractNumId="50" w15:restartNumberingAfterBreak="0">
    <w:nsid w:val="4E0723D2"/>
    <w:multiLevelType w:val="hybridMultilevel"/>
    <w:tmpl w:val="C7C0B9D4"/>
    <w:lvl w:ilvl="0" w:tplc="789C7296">
      <w:numFmt w:val="bullet"/>
      <w:lvlText w:val=""/>
      <w:lvlJc w:val="left"/>
      <w:pPr>
        <w:ind w:left="465" w:hanging="360"/>
      </w:pPr>
      <w:rPr>
        <w:rFonts w:ascii="Symbol" w:eastAsia="Symbol" w:hAnsi="Symbol" w:cs="Symbol" w:hint="default"/>
        <w:b w:val="0"/>
        <w:bCs w:val="0"/>
        <w:i w:val="0"/>
        <w:iCs w:val="0"/>
        <w:w w:val="99"/>
        <w:sz w:val="20"/>
        <w:szCs w:val="20"/>
      </w:rPr>
    </w:lvl>
    <w:lvl w:ilvl="1" w:tplc="6D32AC6A">
      <w:numFmt w:val="bullet"/>
      <w:lvlText w:val="•"/>
      <w:lvlJc w:val="left"/>
      <w:pPr>
        <w:ind w:left="1015" w:hanging="360"/>
      </w:pPr>
      <w:rPr>
        <w:rFonts w:hint="default"/>
      </w:rPr>
    </w:lvl>
    <w:lvl w:ilvl="2" w:tplc="CFFA403A">
      <w:numFmt w:val="bullet"/>
      <w:lvlText w:val="•"/>
      <w:lvlJc w:val="left"/>
      <w:pPr>
        <w:ind w:left="1570" w:hanging="360"/>
      </w:pPr>
      <w:rPr>
        <w:rFonts w:hint="default"/>
      </w:rPr>
    </w:lvl>
    <w:lvl w:ilvl="3" w:tplc="55D08370">
      <w:numFmt w:val="bullet"/>
      <w:lvlText w:val="•"/>
      <w:lvlJc w:val="left"/>
      <w:pPr>
        <w:ind w:left="2126" w:hanging="360"/>
      </w:pPr>
      <w:rPr>
        <w:rFonts w:hint="default"/>
      </w:rPr>
    </w:lvl>
    <w:lvl w:ilvl="4" w:tplc="CC8828D2">
      <w:numFmt w:val="bullet"/>
      <w:lvlText w:val="•"/>
      <w:lvlJc w:val="left"/>
      <w:pPr>
        <w:ind w:left="2681" w:hanging="360"/>
      </w:pPr>
      <w:rPr>
        <w:rFonts w:hint="default"/>
      </w:rPr>
    </w:lvl>
    <w:lvl w:ilvl="5" w:tplc="56F8C16C">
      <w:numFmt w:val="bullet"/>
      <w:lvlText w:val="•"/>
      <w:lvlJc w:val="left"/>
      <w:pPr>
        <w:ind w:left="3237" w:hanging="360"/>
      </w:pPr>
      <w:rPr>
        <w:rFonts w:hint="default"/>
      </w:rPr>
    </w:lvl>
    <w:lvl w:ilvl="6" w:tplc="02720CA8">
      <w:numFmt w:val="bullet"/>
      <w:lvlText w:val="•"/>
      <w:lvlJc w:val="left"/>
      <w:pPr>
        <w:ind w:left="3792" w:hanging="360"/>
      </w:pPr>
      <w:rPr>
        <w:rFonts w:hint="default"/>
      </w:rPr>
    </w:lvl>
    <w:lvl w:ilvl="7" w:tplc="EBB2C24E">
      <w:numFmt w:val="bullet"/>
      <w:lvlText w:val="•"/>
      <w:lvlJc w:val="left"/>
      <w:pPr>
        <w:ind w:left="4347" w:hanging="360"/>
      </w:pPr>
      <w:rPr>
        <w:rFonts w:hint="default"/>
      </w:rPr>
    </w:lvl>
    <w:lvl w:ilvl="8" w:tplc="CED2C492">
      <w:numFmt w:val="bullet"/>
      <w:lvlText w:val="•"/>
      <w:lvlJc w:val="left"/>
      <w:pPr>
        <w:ind w:left="4903" w:hanging="360"/>
      </w:pPr>
      <w:rPr>
        <w:rFonts w:hint="default"/>
      </w:rPr>
    </w:lvl>
  </w:abstractNum>
  <w:abstractNum w:abstractNumId="51" w15:restartNumberingAfterBreak="0">
    <w:nsid w:val="4E1B39C7"/>
    <w:multiLevelType w:val="hybridMultilevel"/>
    <w:tmpl w:val="6ACC827C"/>
    <w:lvl w:ilvl="0" w:tplc="4D648CBC">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8312D97E">
      <w:numFmt w:val="bullet"/>
      <w:lvlText w:val="•"/>
      <w:lvlJc w:val="left"/>
      <w:pPr>
        <w:ind w:left="1204" w:hanging="202"/>
      </w:pPr>
      <w:rPr>
        <w:rFonts w:hint="default"/>
      </w:rPr>
    </w:lvl>
    <w:lvl w:ilvl="2" w:tplc="670E1F3C">
      <w:numFmt w:val="bullet"/>
      <w:lvlText w:val="•"/>
      <w:lvlJc w:val="left"/>
      <w:pPr>
        <w:ind w:left="2108" w:hanging="202"/>
      </w:pPr>
      <w:rPr>
        <w:rFonts w:hint="default"/>
      </w:rPr>
    </w:lvl>
    <w:lvl w:ilvl="3" w:tplc="B060D940">
      <w:numFmt w:val="bullet"/>
      <w:lvlText w:val="•"/>
      <w:lvlJc w:val="left"/>
      <w:pPr>
        <w:ind w:left="3012" w:hanging="202"/>
      </w:pPr>
      <w:rPr>
        <w:rFonts w:hint="default"/>
      </w:rPr>
    </w:lvl>
    <w:lvl w:ilvl="4" w:tplc="F1B440E4">
      <w:numFmt w:val="bullet"/>
      <w:lvlText w:val="•"/>
      <w:lvlJc w:val="left"/>
      <w:pPr>
        <w:ind w:left="3916" w:hanging="202"/>
      </w:pPr>
      <w:rPr>
        <w:rFonts w:hint="default"/>
      </w:rPr>
    </w:lvl>
    <w:lvl w:ilvl="5" w:tplc="E0420004">
      <w:numFmt w:val="bullet"/>
      <w:lvlText w:val="•"/>
      <w:lvlJc w:val="left"/>
      <w:pPr>
        <w:ind w:left="4820" w:hanging="202"/>
      </w:pPr>
      <w:rPr>
        <w:rFonts w:hint="default"/>
      </w:rPr>
    </w:lvl>
    <w:lvl w:ilvl="6" w:tplc="DD80F752">
      <w:numFmt w:val="bullet"/>
      <w:lvlText w:val="•"/>
      <w:lvlJc w:val="left"/>
      <w:pPr>
        <w:ind w:left="5724" w:hanging="202"/>
      </w:pPr>
      <w:rPr>
        <w:rFonts w:hint="default"/>
      </w:rPr>
    </w:lvl>
    <w:lvl w:ilvl="7" w:tplc="8BA82D96">
      <w:numFmt w:val="bullet"/>
      <w:lvlText w:val="•"/>
      <w:lvlJc w:val="left"/>
      <w:pPr>
        <w:ind w:left="6628" w:hanging="202"/>
      </w:pPr>
      <w:rPr>
        <w:rFonts w:hint="default"/>
      </w:rPr>
    </w:lvl>
    <w:lvl w:ilvl="8" w:tplc="5C26A7C0">
      <w:numFmt w:val="bullet"/>
      <w:lvlText w:val="•"/>
      <w:lvlJc w:val="left"/>
      <w:pPr>
        <w:ind w:left="7532" w:hanging="202"/>
      </w:pPr>
      <w:rPr>
        <w:rFonts w:hint="default"/>
      </w:rPr>
    </w:lvl>
  </w:abstractNum>
  <w:abstractNum w:abstractNumId="52" w15:restartNumberingAfterBreak="0">
    <w:nsid w:val="50FE5D5C"/>
    <w:multiLevelType w:val="hybridMultilevel"/>
    <w:tmpl w:val="A258AC32"/>
    <w:lvl w:ilvl="0" w:tplc="77F0B31C">
      <w:start w:val="1"/>
      <w:numFmt w:val="decimal"/>
      <w:lvlText w:val="%1."/>
      <w:lvlJc w:val="left"/>
      <w:pPr>
        <w:ind w:left="1799" w:hanging="361"/>
        <w:jc w:val="left"/>
      </w:pPr>
      <w:rPr>
        <w:rFonts w:ascii="Calibri" w:eastAsia="Calibri" w:hAnsi="Calibri" w:cs="Calibri" w:hint="default"/>
        <w:b w:val="0"/>
        <w:bCs w:val="0"/>
        <w:i w:val="0"/>
        <w:iCs w:val="0"/>
        <w:w w:val="100"/>
        <w:sz w:val="22"/>
        <w:szCs w:val="22"/>
      </w:rPr>
    </w:lvl>
    <w:lvl w:ilvl="1" w:tplc="BDCCE374">
      <w:numFmt w:val="bullet"/>
      <w:lvlText w:val="•"/>
      <w:lvlJc w:val="left"/>
      <w:pPr>
        <w:ind w:left="2844" w:hanging="361"/>
      </w:pPr>
      <w:rPr>
        <w:rFonts w:hint="default"/>
      </w:rPr>
    </w:lvl>
    <w:lvl w:ilvl="2" w:tplc="6A7446DA">
      <w:numFmt w:val="bullet"/>
      <w:lvlText w:val="•"/>
      <w:lvlJc w:val="left"/>
      <w:pPr>
        <w:ind w:left="3888" w:hanging="361"/>
      </w:pPr>
      <w:rPr>
        <w:rFonts w:hint="default"/>
      </w:rPr>
    </w:lvl>
    <w:lvl w:ilvl="3" w:tplc="74CE9F68">
      <w:numFmt w:val="bullet"/>
      <w:lvlText w:val="•"/>
      <w:lvlJc w:val="left"/>
      <w:pPr>
        <w:ind w:left="4932" w:hanging="361"/>
      </w:pPr>
      <w:rPr>
        <w:rFonts w:hint="default"/>
      </w:rPr>
    </w:lvl>
    <w:lvl w:ilvl="4" w:tplc="FC840FB2">
      <w:numFmt w:val="bullet"/>
      <w:lvlText w:val="•"/>
      <w:lvlJc w:val="left"/>
      <w:pPr>
        <w:ind w:left="5976" w:hanging="361"/>
      </w:pPr>
      <w:rPr>
        <w:rFonts w:hint="default"/>
      </w:rPr>
    </w:lvl>
    <w:lvl w:ilvl="5" w:tplc="5C9C55E0">
      <w:numFmt w:val="bullet"/>
      <w:lvlText w:val="•"/>
      <w:lvlJc w:val="left"/>
      <w:pPr>
        <w:ind w:left="7020" w:hanging="361"/>
      </w:pPr>
      <w:rPr>
        <w:rFonts w:hint="default"/>
      </w:rPr>
    </w:lvl>
    <w:lvl w:ilvl="6" w:tplc="E3A84CC6">
      <w:numFmt w:val="bullet"/>
      <w:lvlText w:val="•"/>
      <w:lvlJc w:val="left"/>
      <w:pPr>
        <w:ind w:left="8064" w:hanging="361"/>
      </w:pPr>
      <w:rPr>
        <w:rFonts w:hint="default"/>
      </w:rPr>
    </w:lvl>
    <w:lvl w:ilvl="7" w:tplc="9A5E9242">
      <w:numFmt w:val="bullet"/>
      <w:lvlText w:val="•"/>
      <w:lvlJc w:val="left"/>
      <w:pPr>
        <w:ind w:left="9108" w:hanging="361"/>
      </w:pPr>
      <w:rPr>
        <w:rFonts w:hint="default"/>
      </w:rPr>
    </w:lvl>
    <w:lvl w:ilvl="8" w:tplc="73B45BAC">
      <w:numFmt w:val="bullet"/>
      <w:lvlText w:val="•"/>
      <w:lvlJc w:val="left"/>
      <w:pPr>
        <w:ind w:left="10152" w:hanging="361"/>
      </w:pPr>
      <w:rPr>
        <w:rFonts w:hint="default"/>
      </w:rPr>
    </w:lvl>
  </w:abstractNum>
  <w:abstractNum w:abstractNumId="53" w15:restartNumberingAfterBreak="0">
    <w:nsid w:val="53DD00DB"/>
    <w:multiLevelType w:val="hybridMultilevel"/>
    <w:tmpl w:val="EE84D1DA"/>
    <w:lvl w:ilvl="0" w:tplc="1FF8B7FE">
      <w:start w:val="1"/>
      <w:numFmt w:val="decimal"/>
      <w:lvlText w:val="%1."/>
      <w:lvlJc w:val="left"/>
      <w:pPr>
        <w:ind w:left="1800" w:hanging="361"/>
        <w:jc w:val="left"/>
      </w:pPr>
      <w:rPr>
        <w:rFonts w:ascii="Calibri" w:eastAsia="Calibri" w:hAnsi="Calibri" w:cs="Calibri" w:hint="default"/>
        <w:b w:val="0"/>
        <w:bCs w:val="0"/>
        <w:i w:val="0"/>
        <w:iCs w:val="0"/>
        <w:w w:val="100"/>
        <w:sz w:val="22"/>
        <w:szCs w:val="22"/>
      </w:rPr>
    </w:lvl>
    <w:lvl w:ilvl="1" w:tplc="3B5819B2">
      <w:numFmt w:val="bullet"/>
      <w:lvlText w:val="•"/>
      <w:lvlJc w:val="left"/>
      <w:pPr>
        <w:ind w:left="2844" w:hanging="361"/>
      </w:pPr>
      <w:rPr>
        <w:rFonts w:hint="default"/>
      </w:rPr>
    </w:lvl>
    <w:lvl w:ilvl="2" w:tplc="24460842">
      <w:numFmt w:val="bullet"/>
      <w:lvlText w:val="•"/>
      <w:lvlJc w:val="left"/>
      <w:pPr>
        <w:ind w:left="3888" w:hanging="361"/>
      </w:pPr>
      <w:rPr>
        <w:rFonts w:hint="default"/>
      </w:rPr>
    </w:lvl>
    <w:lvl w:ilvl="3" w:tplc="34D2CA04">
      <w:numFmt w:val="bullet"/>
      <w:lvlText w:val="•"/>
      <w:lvlJc w:val="left"/>
      <w:pPr>
        <w:ind w:left="4932" w:hanging="361"/>
      </w:pPr>
      <w:rPr>
        <w:rFonts w:hint="default"/>
      </w:rPr>
    </w:lvl>
    <w:lvl w:ilvl="4" w:tplc="9320C542">
      <w:numFmt w:val="bullet"/>
      <w:lvlText w:val="•"/>
      <w:lvlJc w:val="left"/>
      <w:pPr>
        <w:ind w:left="5976" w:hanging="361"/>
      </w:pPr>
      <w:rPr>
        <w:rFonts w:hint="default"/>
      </w:rPr>
    </w:lvl>
    <w:lvl w:ilvl="5" w:tplc="23F60A24">
      <w:numFmt w:val="bullet"/>
      <w:lvlText w:val="•"/>
      <w:lvlJc w:val="left"/>
      <w:pPr>
        <w:ind w:left="7020" w:hanging="361"/>
      </w:pPr>
      <w:rPr>
        <w:rFonts w:hint="default"/>
      </w:rPr>
    </w:lvl>
    <w:lvl w:ilvl="6" w:tplc="6B96E298">
      <w:numFmt w:val="bullet"/>
      <w:lvlText w:val="•"/>
      <w:lvlJc w:val="left"/>
      <w:pPr>
        <w:ind w:left="8064" w:hanging="361"/>
      </w:pPr>
      <w:rPr>
        <w:rFonts w:hint="default"/>
      </w:rPr>
    </w:lvl>
    <w:lvl w:ilvl="7" w:tplc="A3F811E8">
      <w:numFmt w:val="bullet"/>
      <w:lvlText w:val="•"/>
      <w:lvlJc w:val="left"/>
      <w:pPr>
        <w:ind w:left="9108" w:hanging="361"/>
      </w:pPr>
      <w:rPr>
        <w:rFonts w:hint="default"/>
      </w:rPr>
    </w:lvl>
    <w:lvl w:ilvl="8" w:tplc="74C8BF2C">
      <w:numFmt w:val="bullet"/>
      <w:lvlText w:val="•"/>
      <w:lvlJc w:val="left"/>
      <w:pPr>
        <w:ind w:left="10152" w:hanging="361"/>
      </w:pPr>
      <w:rPr>
        <w:rFonts w:hint="default"/>
      </w:rPr>
    </w:lvl>
  </w:abstractNum>
  <w:abstractNum w:abstractNumId="54" w15:restartNumberingAfterBreak="0">
    <w:nsid w:val="5438378E"/>
    <w:multiLevelType w:val="hybridMultilevel"/>
    <w:tmpl w:val="F49A4C9E"/>
    <w:lvl w:ilvl="0" w:tplc="9CCA59C8">
      <w:numFmt w:val="bullet"/>
      <w:lvlText w:val=""/>
      <w:lvlJc w:val="left"/>
      <w:pPr>
        <w:ind w:left="1797" w:hanging="361"/>
      </w:pPr>
      <w:rPr>
        <w:rFonts w:ascii="Symbol" w:eastAsia="Symbol" w:hAnsi="Symbol" w:cs="Symbol" w:hint="default"/>
        <w:w w:val="100"/>
      </w:rPr>
    </w:lvl>
    <w:lvl w:ilvl="1" w:tplc="BB5E8A30">
      <w:numFmt w:val="bullet"/>
      <w:lvlText w:val="–"/>
      <w:lvlJc w:val="left"/>
      <w:pPr>
        <w:ind w:left="2159" w:hanging="360"/>
      </w:pPr>
      <w:rPr>
        <w:rFonts w:ascii="Calibri" w:eastAsia="Calibri" w:hAnsi="Calibri" w:cs="Calibri" w:hint="default"/>
        <w:b w:val="0"/>
        <w:bCs w:val="0"/>
        <w:i w:val="0"/>
        <w:iCs w:val="0"/>
        <w:w w:val="100"/>
        <w:sz w:val="22"/>
        <w:szCs w:val="22"/>
      </w:rPr>
    </w:lvl>
    <w:lvl w:ilvl="2" w:tplc="D29AD822">
      <w:numFmt w:val="bullet"/>
      <w:lvlText w:val="■"/>
      <w:lvlJc w:val="left"/>
      <w:pPr>
        <w:ind w:left="2520" w:hanging="361"/>
      </w:pPr>
      <w:rPr>
        <w:rFonts w:ascii="Arial" w:eastAsia="Arial" w:hAnsi="Arial" w:cs="Arial" w:hint="default"/>
        <w:b w:val="0"/>
        <w:bCs w:val="0"/>
        <w:i w:val="0"/>
        <w:iCs w:val="0"/>
        <w:w w:val="76"/>
        <w:sz w:val="22"/>
        <w:szCs w:val="22"/>
      </w:rPr>
    </w:lvl>
    <w:lvl w:ilvl="3" w:tplc="18C48D82">
      <w:numFmt w:val="bullet"/>
      <w:lvlText w:val="•"/>
      <w:lvlJc w:val="left"/>
      <w:pPr>
        <w:ind w:left="3735" w:hanging="361"/>
      </w:pPr>
      <w:rPr>
        <w:rFonts w:hint="default"/>
      </w:rPr>
    </w:lvl>
    <w:lvl w:ilvl="4" w:tplc="50869ACA">
      <w:numFmt w:val="bullet"/>
      <w:lvlText w:val="•"/>
      <w:lvlJc w:val="left"/>
      <w:pPr>
        <w:ind w:left="4950" w:hanging="361"/>
      </w:pPr>
      <w:rPr>
        <w:rFonts w:hint="default"/>
      </w:rPr>
    </w:lvl>
    <w:lvl w:ilvl="5" w:tplc="AB186C30">
      <w:numFmt w:val="bullet"/>
      <w:lvlText w:val="•"/>
      <w:lvlJc w:val="left"/>
      <w:pPr>
        <w:ind w:left="6165" w:hanging="361"/>
      </w:pPr>
      <w:rPr>
        <w:rFonts w:hint="default"/>
      </w:rPr>
    </w:lvl>
    <w:lvl w:ilvl="6" w:tplc="D8EEDA04">
      <w:numFmt w:val="bullet"/>
      <w:lvlText w:val="•"/>
      <w:lvlJc w:val="left"/>
      <w:pPr>
        <w:ind w:left="7380" w:hanging="361"/>
      </w:pPr>
      <w:rPr>
        <w:rFonts w:hint="default"/>
      </w:rPr>
    </w:lvl>
    <w:lvl w:ilvl="7" w:tplc="57C22B0A">
      <w:numFmt w:val="bullet"/>
      <w:lvlText w:val="•"/>
      <w:lvlJc w:val="left"/>
      <w:pPr>
        <w:ind w:left="8595" w:hanging="361"/>
      </w:pPr>
      <w:rPr>
        <w:rFonts w:hint="default"/>
      </w:rPr>
    </w:lvl>
    <w:lvl w:ilvl="8" w:tplc="97B81168">
      <w:numFmt w:val="bullet"/>
      <w:lvlText w:val="•"/>
      <w:lvlJc w:val="left"/>
      <w:pPr>
        <w:ind w:left="9810" w:hanging="361"/>
      </w:pPr>
      <w:rPr>
        <w:rFonts w:hint="default"/>
      </w:rPr>
    </w:lvl>
  </w:abstractNum>
  <w:abstractNum w:abstractNumId="55" w15:restartNumberingAfterBreak="0">
    <w:nsid w:val="55770C1A"/>
    <w:multiLevelType w:val="hybridMultilevel"/>
    <w:tmpl w:val="03F66EA8"/>
    <w:lvl w:ilvl="0" w:tplc="A9E663E2">
      <w:start w:val="5"/>
      <w:numFmt w:val="decimal"/>
      <w:lvlText w:val="%1-"/>
      <w:lvlJc w:val="left"/>
      <w:pPr>
        <w:ind w:left="798" w:hanging="163"/>
        <w:jc w:val="left"/>
      </w:pPr>
      <w:rPr>
        <w:rFonts w:ascii="Calibri" w:eastAsia="Calibri" w:hAnsi="Calibri" w:cs="Calibri" w:hint="default"/>
        <w:b w:val="0"/>
        <w:bCs w:val="0"/>
        <w:i w:val="0"/>
        <w:iCs w:val="0"/>
        <w:spacing w:val="-2"/>
        <w:w w:val="99"/>
        <w:sz w:val="18"/>
        <w:szCs w:val="18"/>
      </w:rPr>
    </w:lvl>
    <w:lvl w:ilvl="1" w:tplc="5114EE82">
      <w:numFmt w:val="bullet"/>
      <w:lvlText w:val="•"/>
      <w:lvlJc w:val="left"/>
      <w:pPr>
        <w:ind w:left="1654" w:hanging="163"/>
      </w:pPr>
      <w:rPr>
        <w:rFonts w:hint="default"/>
      </w:rPr>
    </w:lvl>
    <w:lvl w:ilvl="2" w:tplc="B5167C84">
      <w:numFmt w:val="bullet"/>
      <w:lvlText w:val="•"/>
      <w:lvlJc w:val="left"/>
      <w:pPr>
        <w:ind w:left="2508" w:hanging="163"/>
      </w:pPr>
      <w:rPr>
        <w:rFonts w:hint="default"/>
      </w:rPr>
    </w:lvl>
    <w:lvl w:ilvl="3" w:tplc="613A7780">
      <w:numFmt w:val="bullet"/>
      <w:lvlText w:val="•"/>
      <w:lvlJc w:val="left"/>
      <w:pPr>
        <w:ind w:left="3362" w:hanging="163"/>
      </w:pPr>
      <w:rPr>
        <w:rFonts w:hint="default"/>
      </w:rPr>
    </w:lvl>
    <w:lvl w:ilvl="4" w:tplc="FC3C249E">
      <w:numFmt w:val="bullet"/>
      <w:lvlText w:val="•"/>
      <w:lvlJc w:val="left"/>
      <w:pPr>
        <w:ind w:left="4216" w:hanging="163"/>
      </w:pPr>
      <w:rPr>
        <w:rFonts w:hint="default"/>
      </w:rPr>
    </w:lvl>
    <w:lvl w:ilvl="5" w:tplc="4B8CCB50">
      <w:numFmt w:val="bullet"/>
      <w:lvlText w:val="•"/>
      <w:lvlJc w:val="left"/>
      <w:pPr>
        <w:ind w:left="5070" w:hanging="163"/>
      </w:pPr>
      <w:rPr>
        <w:rFonts w:hint="default"/>
      </w:rPr>
    </w:lvl>
    <w:lvl w:ilvl="6" w:tplc="2F8EA734">
      <w:numFmt w:val="bullet"/>
      <w:lvlText w:val="•"/>
      <w:lvlJc w:val="left"/>
      <w:pPr>
        <w:ind w:left="5924" w:hanging="163"/>
      </w:pPr>
      <w:rPr>
        <w:rFonts w:hint="default"/>
      </w:rPr>
    </w:lvl>
    <w:lvl w:ilvl="7" w:tplc="1DEC4B5C">
      <w:numFmt w:val="bullet"/>
      <w:lvlText w:val="•"/>
      <w:lvlJc w:val="left"/>
      <w:pPr>
        <w:ind w:left="6778" w:hanging="163"/>
      </w:pPr>
      <w:rPr>
        <w:rFonts w:hint="default"/>
      </w:rPr>
    </w:lvl>
    <w:lvl w:ilvl="8" w:tplc="5B683D88">
      <w:numFmt w:val="bullet"/>
      <w:lvlText w:val="•"/>
      <w:lvlJc w:val="left"/>
      <w:pPr>
        <w:ind w:left="7632" w:hanging="163"/>
      </w:pPr>
      <w:rPr>
        <w:rFonts w:hint="default"/>
      </w:rPr>
    </w:lvl>
  </w:abstractNum>
  <w:abstractNum w:abstractNumId="56" w15:restartNumberingAfterBreak="0">
    <w:nsid w:val="55BA7F65"/>
    <w:multiLevelType w:val="hybridMultilevel"/>
    <w:tmpl w:val="57B6393A"/>
    <w:lvl w:ilvl="0" w:tplc="D0A626E2">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FC108ABA">
      <w:start w:val="1"/>
      <w:numFmt w:val="decimal"/>
      <w:lvlText w:val="%2-"/>
      <w:lvlJc w:val="left"/>
      <w:pPr>
        <w:ind w:left="798" w:hanging="163"/>
        <w:jc w:val="left"/>
      </w:pPr>
      <w:rPr>
        <w:rFonts w:ascii="Calibri" w:eastAsia="Calibri" w:hAnsi="Calibri" w:cs="Calibri" w:hint="default"/>
        <w:b w:val="0"/>
        <w:bCs w:val="0"/>
        <w:i w:val="0"/>
        <w:iCs w:val="0"/>
        <w:spacing w:val="-2"/>
        <w:w w:val="99"/>
        <w:sz w:val="18"/>
        <w:szCs w:val="18"/>
      </w:rPr>
    </w:lvl>
    <w:lvl w:ilvl="2" w:tplc="954C107E">
      <w:numFmt w:val="bullet"/>
      <w:lvlText w:val="•"/>
      <w:lvlJc w:val="left"/>
      <w:pPr>
        <w:ind w:left="1748" w:hanging="163"/>
      </w:pPr>
      <w:rPr>
        <w:rFonts w:hint="default"/>
      </w:rPr>
    </w:lvl>
    <w:lvl w:ilvl="3" w:tplc="297CF012">
      <w:numFmt w:val="bullet"/>
      <w:lvlText w:val="•"/>
      <w:lvlJc w:val="left"/>
      <w:pPr>
        <w:ind w:left="2697" w:hanging="163"/>
      </w:pPr>
      <w:rPr>
        <w:rFonts w:hint="default"/>
      </w:rPr>
    </w:lvl>
    <w:lvl w:ilvl="4" w:tplc="8CF4DE64">
      <w:numFmt w:val="bullet"/>
      <w:lvlText w:val="•"/>
      <w:lvlJc w:val="left"/>
      <w:pPr>
        <w:ind w:left="3646" w:hanging="163"/>
      </w:pPr>
      <w:rPr>
        <w:rFonts w:hint="default"/>
      </w:rPr>
    </w:lvl>
    <w:lvl w:ilvl="5" w:tplc="573C318E">
      <w:numFmt w:val="bullet"/>
      <w:lvlText w:val="•"/>
      <w:lvlJc w:val="left"/>
      <w:pPr>
        <w:ind w:left="4595" w:hanging="163"/>
      </w:pPr>
      <w:rPr>
        <w:rFonts w:hint="default"/>
      </w:rPr>
    </w:lvl>
    <w:lvl w:ilvl="6" w:tplc="8EE453BA">
      <w:numFmt w:val="bullet"/>
      <w:lvlText w:val="•"/>
      <w:lvlJc w:val="left"/>
      <w:pPr>
        <w:ind w:left="5544" w:hanging="163"/>
      </w:pPr>
      <w:rPr>
        <w:rFonts w:hint="default"/>
      </w:rPr>
    </w:lvl>
    <w:lvl w:ilvl="7" w:tplc="99968AA8">
      <w:numFmt w:val="bullet"/>
      <w:lvlText w:val="•"/>
      <w:lvlJc w:val="left"/>
      <w:pPr>
        <w:ind w:left="6493" w:hanging="163"/>
      </w:pPr>
      <w:rPr>
        <w:rFonts w:hint="default"/>
      </w:rPr>
    </w:lvl>
    <w:lvl w:ilvl="8" w:tplc="DF08CF1C">
      <w:numFmt w:val="bullet"/>
      <w:lvlText w:val="•"/>
      <w:lvlJc w:val="left"/>
      <w:pPr>
        <w:ind w:left="7442" w:hanging="163"/>
      </w:pPr>
      <w:rPr>
        <w:rFonts w:hint="default"/>
      </w:rPr>
    </w:lvl>
  </w:abstractNum>
  <w:abstractNum w:abstractNumId="57" w15:restartNumberingAfterBreak="0">
    <w:nsid w:val="56523EF3"/>
    <w:multiLevelType w:val="hybridMultilevel"/>
    <w:tmpl w:val="6DD64B6E"/>
    <w:lvl w:ilvl="0" w:tplc="143A69E6">
      <w:numFmt w:val="decimal"/>
      <w:lvlText w:val="(%1)"/>
      <w:lvlJc w:val="left"/>
      <w:pPr>
        <w:ind w:left="460" w:hanging="353"/>
        <w:jc w:val="left"/>
      </w:pPr>
      <w:rPr>
        <w:rFonts w:ascii="Calibri" w:eastAsia="Calibri" w:hAnsi="Calibri" w:cs="Calibri" w:hint="default"/>
        <w:b w:val="0"/>
        <w:bCs w:val="0"/>
        <w:i w:val="0"/>
        <w:iCs w:val="0"/>
        <w:spacing w:val="-1"/>
        <w:w w:val="99"/>
        <w:sz w:val="20"/>
        <w:szCs w:val="20"/>
      </w:rPr>
    </w:lvl>
    <w:lvl w:ilvl="1" w:tplc="158AB2A2">
      <w:numFmt w:val="bullet"/>
      <w:lvlText w:val="•"/>
      <w:lvlJc w:val="left"/>
      <w:pPr>
        <w:ind w:left="880" w:hanging="353"/>
      </w:pPr>
      <w:rPr>
        <w:rFonts w:hint="default"/>
      </w:rPr>
    </w:lvl>
    <w:lvl w:ilvl="2" w:tplc="97C4E874">
      <w:numFmt w:val="bullet"/>
      <w:lvlText w:val="•"/>
      <w:lvlJc w:val="left"/>
      <w:pPr>
        <w:ind w:left="1301" w:hanging="353"/>
      </w:pPr>
      <w:rPr>
        <w:rFonts w:hint="default"/>
      </w:rPr>
    </w:lvl>
    <w:lvl w:ilvl="3" w:tplc="4C9C86A0">
      <w:numFmt w:val="bullet"/>
      <w:lvlText w:val="•"/>
      <w:lvlJc w:val="left"/>
      <w:pPr>
        <w:ind w:left="1721" w:hanging="353"/>
      </w:pPr>
      <w:rPr>
        <w:rFonts w:hint="default"/>
      </w:rPr>
    </w:lvl>
    <w:lvl w:ilvl="4" w:tplc="3064FB2A">
      <w:numFmt w:val="bullet"/>
      <w:lvlText w:val="•"/>
      <w:lvlJc w:val="left"/>
      <w:pPr>
        <w:ind w:left="2142" w:hanging="353"/>
      </w:pPr>
      <w:rPr>
        <w:rFonts w:hint="default"/>
      </w:rPr>
    </w:lvl>
    <w:lvl w:ilvl="5" w:tplc="1F8467FC">
      <w:numFmt w:val="bullet"/>
      <w:lvlText w:val="•"/>
      <w:lvlJc w:val="left"/>
      <w:pPr>
        <w:ind w:left="2562" w:hanging="353"/>
      </w:pPr>
      <w:rPr>
        <w:rFonts w:hint="default"/>
      </w:rPr>
    </w:lvl>
    <w:lvl w:ilvl="6" w:tplc="BCEC2BF8">
      <w:numFmt w:val="bullet"/>
      <w:lvlText w:val="•"/>
      <w:lvlJc w:val="left"/>
      <w:pPr>
        <w:ind w:left="2983" w:hanging="353"/>
      </w:pPr>
      <w:rPr>
        <w:rFonts w:hint="default"/>
      </w:rPr>
    </w:lvl>
    <w:lvl w:ilvl="7" w:tplc="25DE1F0A">
      <w:numFmt w:val="bullet"/>
      <w:lvlText w:val="•"/>
      <w:lvlJc w:val="left"/>
      <w:pPr>
        <w:ind w:left="3403" w:hanging="353"/>
      </w:pPr>
      <w:rPr>
        <w:rFonts w:hint="default"/>
      </w:rPr>
    </w:lvl>
    <w:lvl w:ilvl="8" w:tplc="04CC708C">
      <w:numFmt w:val="bullet"/>
      <w:lvlText w:val="•"/>
      <w:lvlJc w:val="left"/>
      <w:pPr>
        <w:ind w:left="3824" w:hanging="353"/>
      </w:pPr>
      <w:rPr>
        <w:rFonts w:hint="default"/>
      </w:rPr>
    </w:lvl>
  </w:abstractNum>
  <w:abstractNum w:abstractNumId="58" w15:restartNumberingAfterBreak="0">
    <w:nsid w:val="57355B30"/>
    <w:multiLevelType w:val="hybridMultilevel"/>
    <w:tmpl w:val="1DD84DD2"/>
    <w:lvl w:ilvl="0" w:tplc="F1F4E870">
      <w:numFmt w:val="bullet"/>
      <w:lvlText w:val=""/>
      <w:lvlJc w:val="left"/>
      <w:pPr>
        <w:ind w:left="467" w:hanging="360"/>
      </w:pPr>
      <w:rPr>
        <w:rFonts w:ascii="Symbol" w:eastAsia="Symbol" w:hAnsi="Symbol" w:cs="Symbol" w:hint="default"/>
        <w:b w:val="0"/>
        <w:bCs w:val="0"/>
        <w:i w:val="0"/>
        <w:iCs w:val="0"/>
        <w:w w:val="99"/>
        <w:sz w:val="20"/>
        <w:szCs w:val="20"/>
      </w:rPr>
    </w:lvl>
    <w:lvl w:ilvl="1" w:tplc="CC8A5F04">
      <w:numFmt w:val="bullet"/>
      <w:lvlText w:val="•"/>
      <w:lvlJc w:val="left"/>
      <w:pPr>
        <w:ind w:left="1348" w:hanging="360"/>
      </w:pPr>
      <w:rPr>
        <w:rFonts w:hint="default"/>
      </w:rPr>
    </w:lvl>
    <w:lvl w:ilvl="2" w:tplc="7466CF5C">
      <w:numFmt w:val="bullet"/>
      <w:lvlText w:val="•"/>
      <w:lvlJc w:val="left"/>
      <w:pPr>
        <w:ind w:left="2236" w:hanging="360"/>
      </w:pPr>
      <w:rPr>
        <w:rFonts w:hint="default"/>
      </w:rPr>
    </w:lvl>
    <w:lvl w:ilvl="3" w:tplc="B75E22C4">
      <w:numFmt w:val="bullet"/>
      <w:lvlText w:val="•"/>
      <w:lvlJc w:val="left"/>
      <w:pPr>
        <w:ind w:left="3124" w:hanging="360"/>
      </w:pPr>
      <w:rPr>
        <w:rFonts w:hint="default"/>
      </w:rPr>
    </w:lvl>
    <w:lvl w:ilvl="4" w:tplc="1DB4CC6E">
      <w:numFmt w:val="bullet"/>
      <w:lvlText w:val="•"/>
      <w:lvlJc w:val="left"/>
      <w:pPr>
        <w:ind w:left="4012" w:hanging="360"/>
      </w:pPr>
      <w:rPr>
        <w:rFonts w:hint="default"/>
      </w:rPr>
    </w:lvl>
    <w:lvl w:ilvl="5" w:tplc="22B02734">
      <w:numFmt w:val="bullet"/>
      <w:lvlText w:val="•"/>
      <w:lvlJc w:val="left"/>
      <w:pPr>
        <w:ind w:left="4900" w:hanging="360"/>
      </w:pPr>
      <w:rPr>
        <w:rFonts w:hint="default"/>
      </w:rPr>
    </w:lvl>
    <w:lvl w:ilvl="6" w:tplc="66BA4CFE">
      <w:numFmt w:val="bullet"/>
      <w:lvlText w:val="•"/>
      <w:lvlJc w:val="left"/>
      <w:pPr>
        <w:ind w:left="5788" w:hanging="360"/>
      </w:pPr>
      <w:rPr>
        <w:rFonts w:hint="default"/>
      </w:rPr>
    </w:lvl>
    <w:lvl w:ilvl="7" w:tplc="1DDE3C28">
      <w:numFmt w:val="bullet"/>
      <w:lvlText w:val="•"/>
      <w:lvlJc w:val="left"/>
      <w:pPr>
        <w:ind w:left="6676" w:hanging="360"/>
      </w:pPr>
      <w:rPr>
        <w:rFonts w:hint="default"/>
      </w:rPr>
    </w:lvl>
    <w:lvl w:ilvl="8" w:tplc="3B4AEA8E">
      <w:numFmt w:val="bullet"/>
      <w:lvlText w:val="•"/>
      <w:lvlJc w:val="left"/>
      <w:pPr>
        <w:ind w:left="7564" w:hanging="360"/>
      </w:pPr>
      <w:rPr>
        <w:rFonts w:hint="default"/>
      </w:rPr>
    </w:lvl>
  </w:abstractNum>
  <w:abstractNum w:abstractNumId="59" w15:restartNumberingAfterBreak="0">
    <w:nsid w:val="587E3482"/>
    <w:multiLevelType w:val="hybridMultilevel"/>
    <w:tmpl w:val="537AF7F4"/>
    <w:lvl w:ilvl="0" w:tplc="D1600516">
      <w:numFmt w:val="bullet"/>
      <w:lvlText w:val=""/>
      <w:lvlJc w:val="left"/>
      <w:pPr>
        <w:ind w:left="467" w:hanging="360"/>
      </w:pPr>
      <w:rPr>
        <w:rFonts w:ascii="Symbol" w:eastAsia="Symbol" w:hAnsi="Symbol" w:cs="Symbol" w:hint="default"/>
        <w:b w:val="0"/>
        <w:bCs w:val="0"/>
        <w:i w:val="0"/>
        <w:iCs w:val="0"/>
        <w:w w:val="99"/>
        <w:sz w:val="20"/>
        <w:szCs w:val="20"/>
      </w:rPr>
    </w:lvl>
    <w:lvl w:ilvl="1" w:tplc="7DEAE63E">
      <w:numFmt w:val="bullet"/>
      <w:lvlText w:val="•"/>
      <w:lvlJc w:val="left"/>
      <w:pPr>
        <w:ind w:left="638" w:hanging="360"/>
      </w:pPr>
      <w:rPr>
        <w:rFonts w:hint="default"/>
      </w:rPr>
    </w:lvl>
    <w:lvl w:ilvl="2" w:tplc="9BC2D944">
      <w:numFmt w:val="bullet"/>
      <w:lvlText w:val="•"/>
      <w:lvlJc w:val="left"/>
      <w:pPr>
        <w:ind w:left="816" w:hanging="360"/>
      </w:pPr>
      <w:rPr>
        <w:rFonts w:hint="default"/>
      </w:rPr>
    </w:lvl>
    <w:lvl w:ilvl="3" w:tplc="8AD229E4">
      <w:numFmt w:val="bullet"/>
      <w:lvlText w:val="•"/>
      <w:lvlJc w:val="left"/>
      <w:pPr>
        <w:ind w:left="994" w:hanging="360"/>
      </w:pPr>
      <w:rPr>
        <w:rFonts w:hint="default"/>
      </w:rPr>
    </w:lvl>
    <w:lvl w:ilvl="4" w:tplc="934AF6BC">
      <w:numFmt w:val="bullet"/>
      <w:lvlText w:val="•"/>
      <w:lvlJc w:val="left"/>
      <w:pPr>
        <w:ind w:left="1172" w:hanging="360"/>
      </w:pPr>
      <w:rPr>
        <w:rFonts w:hint="default"/>
      </w:rPr>
    </w:lvl>
    <w:lvl w:ilvl="5" w:tplc="54803F14">
      <w:numFmt w:val="bullet"/>
      <w:lvlText w:val="•"/>
      <w:lvlJc w:val="left"/>
      <w:pPr>
        <w:ind w:left="1350" w:hanging="360"/>
      </w:pPr>
      <w:rPr>
        <w:rFonts w:hint="default"/>
      </w:rPr>
    </w:lvl>
    <w:lvl w:ilvl="6" w:tplc="332A2C40">
      <w:numFmt w:val="bullet"/>
      <w:lvlText w:val="•"/>
      <w:lvlJc w:val="left"/>
      <w:pPr>
        <w:ind w:left="1528" w:hanging="360"/>
      </w:pPr>
      <w:rPr>
        <w:rFonts w:hint="default"/>
      </w:rPr>
    </w:lvl>
    <w:lvl w:ilvl="7" w:tplc="0428C0FC">
      <w:numFmt w:val="bullet"/>
      <w:lvlText w:val="•"/>
      <w:lvlJc w:val="left"/>
      <w:pPr>
        <w:ind w:left="1706" w:hanging="360"/>
      </w:pPr>
      <w:rPr>
        <w:rFonts w:hint="default"/>
      </w:rPr>
    </w:lvl>
    <w:lvl w:ilvl="8" w:tplc="2300054E">
      <w:numFmt w:val="bullet"/>
      <w:lvlText w:val="•"/>
      <w:lvlJc w:val="left"/>
      <w:pPr>
        <w:ind w:left="1884" w:hanging="360"/>
      </w:pPr>
      <w:rPr>
        <w:rFonts w:hint="default"/>
      </w:rPr>
    </w:lvl>
  </w:abstractNum>
  <w:abstractNum w:abstractNumId="60" w15:restartNumberingAfterBreak="0">
    <w:nsid w:val="589F1130"/>
    <w:multiLevelType w:val="hybridMultilevel"/>
    <w:tmpl w:val="0BD083B6"/>
    <w:lvl w:ilvl="0" w:tplc="87148898">
      <w:numFmt w:val="bullet"/>
      <w:lvlText w:val=""/>
      <w:lvlJc w:val="left"/>
      <w:pPr>
        <w:ind w:left="467" w:hanging="360"/>
      </w:pPr>
      <w:rPr>
        <w:rFonts w:ascii="Symbol" w:eastAsia="Symbol" w:hAnsi="Symbol" w:cs="Symbol" w:hint="default"/>
        <w:b w:val="0"/>
        <w:bCs w:val="0"/>
        <w:i w:val="0"/>
        <w:iCs w:val="0"/>
        <w:w w:val="99"/>
        <w:sz w:val="20"/>
        <w:szCs w:val="20"/>
      </w:rPr>
    </w:lvl>
    <w:lvl w:ilvl="1" w:tplc="A6B85576">
      <w:numFmt w:val="bullet"/>
      <w:lvlText w:val="•"/>
      <w:lvlJc w:val="left"/>
      <w:pPr>
        <w:ind w:left="1349" w:hanging="360"/>
      </w:pPr>
      <w:rPr>
        <w:rFonts w:hint="default"/>
      </w:rPr>
    </w:lvl>
    <w:lvl w:ilvl="2" w:tplc="1494DC06">
      <w:numFmt w:val="bullet"/>
      <w:lvlText w:val="•"/>
      <w:lvlJc w:val="left"/>
      <w:pPr>
        <w:ind w:left="2238" w:hanging="360"/>
      </w:pPr>
      <w:rPr>
        <w:rFonts w:hint="default"/>
      </w:rPr>
    </w:lvl>
    <w:lvl w:ilvl="3" w:tplc="6FD22ABC">
      <w:numFmt w:val="bullet"/>
      <w:lvlText w:val="•"/>
      <w:lvlJc w:val="left"/>
      <w:pPr>
        <w:ind w:left="3127" w:hanging="360"/>
      </w:pPr>
      <w:rPr>
        <w:rFonts w:hint="default"/>
      </w:rPr>
    </w:lvl>
    <w:lvl w:ilvl="4" w:tplc="D9841BFC">
      <w:numFmt w:val="bullet"/>
      <w:lvlText w:val="•"/>
      <w:lvlJc w:val="left"/>
      <w:pPr>
        <w:ind w:left="4016" w:hanging="360"/>
      </w:pPr>
      <w:rPr>
        <w:rFonts w:hint="default"/>
      </w:rPr>
    </w:lvl>
    <w:lvl w:ilvl="5" w:tplc="199608CE">
      <w:numFmt w:val="bullet"/>
      <w:lvlText w:val="•"/>
      <w:lvlJc w:val="left"/>
      <w:pPr>
        <w:ind w:left="4905" w:hanging="360"/>
      </w:pPr>
      <w:rPr>
        <w:rFonts w:hint="default"/>
      </w:rPr>
    </w:lvl>
    <w:lvl w:ilvl="6" w:tplc="26526660">
      <w:numFmt w:val="bullet"/>
      <w:lvlText w:val="•"/>
      <w:lvlJc w:val="left"/>
      <w:pPr>
        <w:ind w:left="5794" w:hanging="360"/>
      </w:pPr>
      <w:rPr>
        <w:rFonts w:hint="default"/>
      </w:rPr>
    </w:lvl>
    <w:lvl w:ilvl="7" w:tplc="F0FCB402">
      <w:numFmt w:val="bullet"/>
      <w:lvlText w:val="•"/>
      <w:lvlJc w:val="left"/>
      <w:pPr>
        <w:ind w:left="6683" w:hanging="360"/>
      </w:pPr>
      <w:rPr>
        <w:rFonts w:hint="default"/>
      </w:rPr>
    </w:lvl>
    <w:lvl w:ilvl="8" w:tplc="51FA4FA8">
      <w:numFmt w:val="bullet"/>
      <w:lvlText w:val="•"/>
      <w:lvlJc w:val="left"/>
      <w:pPr>
        <w:ind w:left="7572" w:hanging="360"/>
      </w:pPr>
      <w:rPr>
        <w:rFonts w:hint="default"/>
      </w:rPr>
    </w:lvl>
  </w:abstractNum>
  <w:abstractNum w:abstractNumId="61" w15:restartNumberingAfterBreak="0">
    <w:nsid w:val="599448C8"/>
    <w:multiLevelType w:val="hybridMultilevel"/>
    <w:tmpl w:val="C82005C4"/>
    <w:lvl w:ilvl="0" w:tplc="68F87326">
      <w:numFmt w:val="bullet"/>
      <w:lvlText w:val=""/>
      <w:lvlJc w:val="left"/>
      <w:pPr>
        <w:ind w:left="107" w:hanging="360"/>
      </w:pPr>
      <w:rPr>
        <w:rFonts w:ascii="Symbol" w:eastAsia="Symbol" w:hAnsi="Symbol" w:cs="Symbol" w:hint="default"/>
        <w:b w:val="0"/>
        <w:bCs w:val="0"/>
        <w:i w:val="0"/>
        <w:iCs w:val="0"/>
        <w:w w:val="99"/>
        <w:sz w:val="20"/>
        <w:szCs w:val="20"/>
      </w:rPr>
    </w:lvl>
    <w:lvl w:ilvl="1" w:tplc="F10E33B0">
      <w:numFmt w:val="bullet"/>
      <w:lvlText w:val="•"/>
      <w:lvlJc w:val="left"/>
      <w:pPr>
        <w:ind w:left="1024" w:hanging="360"/>
      </w:pPr>
      <w:rPr>
        <w:rFonts w:hint="default"/>
      </w:rPr>
    </w:lvl>
    <w:lvl w:ilvl="2" w:tplc="44B65C30">
      <w:numFmt w:val="bullet"/>
      <w:lvlText w:val="•"/>
      <w:lvlJc w:val="left"/>
      <w:pPr>
        <w:ind w:left="1948" w:hanging="360"/>
      </w:pPr>
      <w:rPr>
        <w:rFonts w:hint="default"/>
      </w:rPr>
    </w:lvl>
    <w:lvl w:ilvl="3" w:tplc="FB62A984">
      <w:numFmt w:val="bullet"/>
      <w:lvlText w:val="•"/>
      <w:lvlJc w:val="left"/>
      <w:pPr>
        <w:ind w:left="2872" w:hanging="360"/>
      </w:pPr>
      <w:rPr>
        <w:rFonts w:hint="default"/>
      </w:rPr>
    </w:lvl>
    <w:lvl w:ilvl="4" w:tplc="AB1842DC">
      <w:numFmt w:val="bullet"/>
      <w:lvlText w:val="•"/>
      <w:lvlJc w:val="left"/>
      <w:pPr>
        <w:ind w:left="3796" w:hanging="360"/>
      </w:pPr>
      <w:rPr>
        <w:rFonts w:hint="default"/>
      </w:rPr>
    </w:lvl>
    <w:lvl w:ilvl="5" w:tplc="3ED0FC14">
      <w:numFmt w:val="bullet"/>
      <w:lvlText w:val="•"/>
      <w:lvlJc w:val="left"/>
      <w:pPr>
        <w:ind w:left="4720" w:hanging="360"/>
      </w:pPr>
      <w:rPr>
        <w:rFonts w:hint="default"/>
      </w:rPr>
    </w:lvl>
    <w:lvl w:ilvl="6" w:tplc="1B86616E">
      <w:numFmt w:val="bullet"/>
      <w:lvlText w:val="•"/>
      <w:lvlJc w:val="left"/>
      <w:pPr>
        <w:ind w:left="5644" w:hanging="360"/>
      </w:pPr>
      <w:rPr>
        <w:rFonts w:hint="default"/>
      </w:rPr>
    </w:lvl>
    <w:lvl w:ilvl="7" w:tplc="169A77A2">
      <w:numFmt w:val="bullet"/>
      <w:lvlText w:val="•"/>
      <w:lvlJc w:val="left"/>
      <w:pPr>
        <w:ind w:left="6568" w:hanging="360"/>
      </w:pPr>
      <w:rPr>
        <w:rFonts w:hint="default"/>
      </w:rPr>
    </w:lvl>
    <w:lvl w:ilvl="8" w:tplc="FD600946">
      <w:numFmt w:val="bullet"/>
      <w:lvlText w:val="•"/>
      <w:lvlJc w:val="left"/>
      <w:pPr>
        <w:ind w:left="7492" w:hanging="360"/>
      </w:pPr>
      <w:rPr>
        <w:rFonts w:hint="default"/>
      </w:rPr>
    </w:lvl>
  </w:abstractNum>
  <w:abstractNum w:abstractNumId="62" w15:restartNumberingAfterBreak="0">
    <w:nsid w:val="5B0773D1"/>
    <w:multiLevelType w:val="hybridMultilevel"/>
    <w:tmpl w:val="F45ACE14"/>
    <w:lvl w:ilvl="0" w:tplc="4A1EE042">
      <w:start w:val="1"/>
      <w:numFmt w:val="decimal"/>
      <w:lvlText w:val="%1."/>
      <w:lvlJc w:val="left"/>
      <w:pPr>
        <w:ind w:left="467" w:hanging="360"/>
        <w:jc w:val="left"/>
      </w:pPr>
      <w:rPr>
        <w:rFonts w:ascii="Calibri" w:eastAsia="Calibri" w:hAnsi="Calibri" w:cs="Calibri" w:hint="default"/>
        <w:b w:val="0"/>
        <w:bCs w:val="0"/>
        <w:i w:val="0"/>
        <w:iCs w:val="0"/>
        <w:spacing w:val="-1"/>
        <w:w w:val="99"/>
        <w:sz w:val="20"/>
        <w:szCs w:val="20"/>
      </w:rPr>
    </w:lvl>
    <w:lvl w:ilvl="1" w:tplc="EEB67518">
      <w:numFmt w:val="bullet"/>
      <w:lvlText w:val="•"/>
      <w:lvlJc w:val="left"/>
      <w:pPr>
        <w:ind w:left="844" w:hanging="360"/>
      </w:pPr>
      <w:rPr>
        <w:rFonts w:hint="default"/>
      </w:rPr>
    </w:lvl>
    <w:lvl w:ilvl="2" w:tplc="8C08AF42">
      <w:numFmt w:val="bullet"/>
      <w:lvlText w:val="•"/>
      <w:lvlJc w:val="left"/>
      <w:pPr>
        <w:ind w:left="1229" w:hanging="360"/>
      </w:pPr>
      <w:rPr>
        <w:rFonts w:hint="default"/>
      </w:rPr>
    </w:lvl>
    <w:lvl w:ilvl="3" w:tplc="1E5E6458">
      <w:numFmt w:val="bullet"/>
      <w:lvlText w:val="•"/>
      <w:lvlJc w:val="left"/>
      <w:pPr>
        <w:ind w:left="1613" w:hanging="360"/>
      </w:pPr>
      <w:rPr>
        <w:rFonts w:hint="default"/>
      </w:rPr>
    </w:lvl>
    <w:lvl w:ilvl="4" w:tplc="0CC2CE70">
      <w:numFmt w:val="bullet"/>
      <w:lvlText w:val="•"/>
      <w:lvlJc w:val="left"/>
      <w:pPr>
        <w:ind w:left="1998" w:hanging="360"/>
      </w:pPr>
      <w:rPr>
        <w:rFonts w:hint="default"/>
      </w:rPr>
    </w:lvl>
    <w:lvl w:ilvl="5" w:tplc="5A06E9B8">
      <w:numFmt w:val="bullet"/>
      <w:lvlText w:val="•"/>
      <w:lvlJc w:val="left"/>
      <w:pPr>
        <w:ind w:left="2382" w:hanging="360"/>
      </w:pPr>
      <w:rPr>
        <w:rFonts w:hint="default"/>
      </w:rPr>
    </w:lvl>
    <w:lvl w:ilvl="6" w:tplc="EA54413E">
      <w:numFmt w:val="bullet"/>
      <w:lvlText w:val="•"/>
      <w:lvlJc w:val="left"/>
      <w:pPr>
        <w:ind w:left="2767" w:hanging="360"/>
      </w:pPr>
      <w:rPr>
        <w:rFonts w:hint="default"/>
      </w:rPr>
    </w:lvl>
    <w:lvl w:ilvl="7" w:tplc="67827460">
      <w:numFmt w:val="bullet"/>
      <w:lvlText w:val="•"/>
      <w:lvlJc w:val="left"/>
      <w:pPr>
        <w:ind w:left="3151" w:hanging="360"/>
      </w:pPr>
      <w:rPr>
        <w:rFonts w:hint="default"/>
      </w:rPr>
    </w:lvl>
    <w:lvl w:ilvl="8" w:tplc="27F40DAE">
      <w:numFmt w:val="bullet"/>
      <w:lvlText w:val="•"/>
      <w:lvlJc w:val="left"/>
      <w:pPr>
        <w:ind w:left="3536" w:hanging="360"/>
      </w:pPr>
      <w:rPr>
        <w:rFonts w:hint="default"/>
      </w:rPr>
    </w:lvl>
  </w:abstractNum>
  <w:abstractNum w:abstractNumId="63" w15:restartNumberingAfterBreak="0">
    <w:nsid w:val="5B384A4A"/>
    <w:multiLevelType w:val="hybridMultilevel"/>
    <w:tmpl w:val="9D0E8B3C"/>
    <w:lvl w:ilvl="0" w:tplc="0248D12A">
      <w:start w:val="1"/>
      <w:numFmt w:val="decimal"/>
      <w:lvlText w:val="%1."/>
      <w:lvlJc w:val="left"/>
      <w:pPr>
        <w:ind w:left="467" w:hanging="360"/>
        <w:jc w:val="left"/>
      </w:pPr>
      <w:rPr>
        <w:rFonts w:ascii="Calibri" w:eastAsia="Calibri" w:hAnsi="Calibri" w:cs="Calibri" w:hint="default"/>
        <w:b w:val="0"/>
        <w:bCs w:val="0"/>
        <w:i w:val="0"/>
        <w:iCs w:val="0"/>
        <w:spacing w:val="-1"/>
        <w:w w:val="99"/>
        <w:sz w:val="20"/>
        <w:szCs w:val="20"/>
      </w:rPr>
    </w:lvl>
    <w:lvl w:ilvl="1" w:tplc="E2207CCC">
      <w:numFmt w:val="bullet"/>
      <w:lvlText w:val="•"/>
      <w:lvlJc w:val="left"/>
      <w:pPr>
        <w:ind w:left="916" w:hanging="360"/>
      </w:pPr>
      <w:rPr>
        <w:rFonts w:hint="default"/>
      </w:rPr>
    </w:lvl>
    <w:lvl w:ilvl="2" w:tplc="0806273E">
      <w:numFmt w:val="bullet"/>
      <w:lvlText w:val="•"/>
      <w:lvlJc w:val="left"/>
      <w:pPr>
        <w:ind w:left="1373" w:hanging="360"/>
      </w:pPr>
      <w:rPr>
        <w:rFonts w:hint="default"/>
      </w:rPr>
    </w:lvl>
    <w:lvl w:ilvl="3" w:tplc="FA485004">
      <w:numFmt w:val="bullet"/>
      <w:lvlText w:val="•"/>
      <w:lvlJc w:val="left"/>
      <w:pPr>
        <w:ind w:left="1829" w:hanging="360"/>
      </w:pPr>
      <w:rPr>
        <w:rFonts w:hint="default"/>
      </w:rPr>
    </w:lvl>
    <w:lvl w:ilvl="4" w:tplc="3C9C8CCE">
      <w:numFmt w:val="bullet"/>
      <w:lvlText w:val="•"/>
      <w:lvlJc w:val="left"/>
      <w:pPr>
        <w:ind w:left="2286" w:hanging="360"/>
      </w:pPr>
      <w:rPr>
        <w:rFonts w:hint="default"/>
      </w:rPr>
    </w:lvl>
    <w:lvl w:ilvl="5" w:tplc="31282344">
      <w:numFmt w:val="bullet"/>
      <w:lvlText w:val="•"/>
      <w:lvlJc w:val="left"/>
      <w:pPr>
        <w:ind w:left="2742" w:hanging="360"/>
      </w:pPr>
      <w:rPr>
        <w:rFonts w:hint="default"/>
      </w:rPr>
    </w:lvl>
    <w:lvl w:ilvl="6" w:tplc="3E64D2E4">
      <w:numFmt w:val="bullet"/>
      <w:lvlText w:val="•"/>
      <w:lvlJc w:val="left"/>
      <w:pPr>
        <w:ind w:left="3199" w:hanging="360"/>
      </w:pPr>
      <w:rPr>
        <w:rFonts w:hint="default"/>
      </w:rPr>
    </w:lvl>
    <w:lvl w:ilvl="7" w:tplc="EF4859D2">
      <w:numFmt w:val="bullet"/>
      <w:lvlText w:val="•"/>
      <w:lvlJc w:val="left"/>
      <w:pPr>
        <w:ind w:left="3655" w:hanging="360"/>
      </w:pPr>
      <w:rPr>
        <w:rFonts w:hint="default"/>
      </w:rPr>
    </w:lvl>
    <w:lvl w:ilvl="8" w:tplc="31A268F6">
      <w:numFmt w:val="bullet"/>
      <w:lvlText w:val="•"/>
      <w:lvlJc w:val="left"/>
      <w:pPr>
        <w:ind w:left="4112" w:hanging="360"/>
      </w:pPr>
      <w:rPr>
        <w:rFonts w:hint="default"/>
      </w:rPr>
    </w:lvl>
  </w:abstractNum>
  <w:abstractNum w:abstractNumId="64" w15:restartNumberingAfterBreak="0">
    <w:nsid w:val="5B7200A0"/>
    <w:multiLevelType w:val="hybridMultilevel"/>
    <w:tmpl w:val="5B16B2BE"/>
    <w:lvl w:ilvl="0" w:tplc="A3B26F90">
      <w:numFmt w:val="bullet"/>
      <w:lvlText w:val=""/>
      <w:lvlJc w:val="left"/>
      <w:pPr>
        <w:ind w:left="468" w:hanging="360"/>
      </w:pPr>
      <w:rPr>
        <w:rFonts w:ascii="Symbol" w:eastAsia="Symbol" w:hAnsi="Symbol" w:cs="Symbol" w:hint="default"/>
        <w:b w:val="0"/>
        <w:bCs w:val="0"/>
        <w:i w:val="0"/>
        <w:iCs w:val="0"/>
        <w:w w:val="99"/>
        <w:sz w:val="20"/>
        <w:szCs w:val="20"/>
      </w:rPr>
    </w:lvl>
    <w:lvl w:ilvl="1" w:tplc="69BAA558">
      <w:numFmt w:val="bullet"/>
      <w:lvlText w:val="•"/>
      <w:lvlJc w:val="left"/>
      <w:pPr>
        <w:ind w:left="953" w:hanging="360"/>
      </w:pPr>
      <w:rPr>
        <w:rFonts w:hint="default"/>
      </w:rPr>
    </w:lvl>
    <w:lvl w:ilvl="2" w:tplc="B26EA45E">
      <w:numFmt w:val="bullet"/>
      <w:lvlText w:val="•"/>
      <w:lvlJc w:val="left"/>
      <w:pPr>
        <w:ind w:left="1446" w:hanging="360"/>
      </w:pPr>
      <w:rPr>
        <w:rFonts w:hint="default"/>
      </w:rPr>
    </w:lvl>
    <w:lvl w:ilvl="3" w:tplc="4F42126E">
      <w:numFmt w:val="bullet"/>
      <w:lvlText w:val="•"/>
      <w:lvlJc w:val="left"/>
      <w:pPr>
        <w:ind w:left="1939" w:hanging="360"/>
      </w:pPr>
      <w:rPr>
        <w:rFonts w:hint="default"/>
      </w:rPr>
    </w:lvl>
    <w:lvl w:ilvl="4" w:tplc="599E7E80">
      <w:numFmt w:val="bullet"/>
      <w:lvlText w:val="•"/>
      <w:lvlJc w:val="left"/>
      <w:pPr>
        <w:ind w:left="2432" w:hanging="360"/>
      </w:pPr>
      <w:rPr>
        <w:rFonts w:hint="default"/>
      </w:rPr>
    </w:lvl>
    <w:lvl w:ilvl="5" w:tplc="92007928">
      <w:numFmt w:val="bullet"/>
      <w:lvlText w:val="•"/>
      <w:lvlJc w:val="left"/>
      <w:pPr>
        <w:ind w:left="2925" w:hanging="360"/>
      </w:pPr>
      <w:rPr>
        <w:rFonts w:hint="default"/>
      </w:rPr>
    </w:lvl>
    <w:lvl w:ilvl="6" w:tplc="8BEE8C44">
      <w:numFmt w:val="bullet"/>
      <w:lvlText w:val="•"/>
      <w:lvlJc w:val="left"/>
      <w:pPr>
        <w:ind w:left="3418" w:hanging="360"/>
      </w:pPr>
      <w:rPr>
        <w:rFonts w:hint="default"/>
      </w:rPr>
    </w:lvl>
    <w:lvl w:ilvl="7" w:tplc="ACFCBED6">
      <w:numFmt w:val="bullet"/>
      <w:lvlText w:val="•"/>
      <w:lvlJc w:val="left"/>
      <w:pPr>
        <w:ind w:left="3911" w:hanging="360"/>
      </w:pPr>
      <w:rPr>
        <w:rFonts w:hint="default"/>
      </w:rPr>
    </w:lvl>
    <w:lvl w:ilvl="8" w:tplc="97CC1274">
      <w:numFmt w:val="bullet"/>
      <w:lvlText w:val="•"/>
      <w:lvlJc w:val="left"/>
      <w:pPr>
        <w:ind w:left="4404" w:hanging="360"/>
      </w:pPr>
      <w:rPr>
        <w:rFonts w:hint="default"/>
      </w:rPr>
    </w:lvl>
  </w:abstractNum>
  <w:abstractNum w:abstractNumId="65" w15:restartNumberingAfterBreak="0">
    <w:nsid w:val="5B9350EE"/>
    <w:multiLevelType w:val="hybridMultilevel"/>
    <w:tmpl w:val="072A1D3A"/>
    <w:lvl w:ilvl="0" w:tplc="8104110E">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8DEAE0CA">
      <w:numFmt w:val="bullet"/>
      <w:lvlText w:val="•"/>
      <w:lvlJc w:val="left"/>
      <w:pPr>
        <w:ind w:left="1204" w:hanging="202"/>
      </w:pPr>
      <w:rPr>
        <w:rFonts w:hint="default"/>
      </w:rPr>
    </w:lvl>
    <w:lvl w:ilvl="2" w:tplc="2A78A518">
      <w:numFmt w:val="bullet"/>
      <w:lvlText w:val="•"/>
      <w:lvlJc w:val="left"/>
      <w:pPr>
        <w:ind w:left="2108" w:hanging="202"/>
      </w:pPr>
      <w:rPr>
        <w:rFonts w:hint="default"/>
      </w:rPr>
    </w:lvl>
    <w:lvl w:ilvl="3" w:tplc="24AAE0B2">
      <w:numFmt w:val="bullet"/>
      <w:lvlText w:val="•"/>
      <w:lvlJc w:val="left"/>
      <w:pPr>
        <w:ind w:left="3012" w:hanging="202"/>
      </w:pPr>
      <w:rPr>
        <w:rFonts w:hint="default"/>
      </w:rPr>
    </w:lvl>
    <w:lvl w:ilvl="4" w:tplc="8B00E24C">
      <w:numFmt w:val="bullet"/>
      <w:lvlText w:val="•"/>
      <w:lvlJc w:val="left"/>
      <w:pPr>
        <w:ind w:left="3916" w:hanging="202"/>
      </w:pPr>
      <w:rPr>
        <w:rFonts w:hint="default"/>
      </w:rPr>
    </w:lvl>
    <w:lvl w:ilvl="5" w:tplc="FA2AAB32">
      <w:numFmt w:val="bullet"/>
      <w:lvlText w:val="•"/>
      <w:lvlJc w:val="left"/>
      <w:pPr>
        <w:ind w:left="4820" w:hanging="202"/>
      </w:pPr>
      <w:rPr>
        <w:rFonts w:hint="default"/>
      </w:rPr>
    </w:lvl>
    <w:lvl w:ilvl="6" w:tplc="3224F43E">
      <w:numFmt w:val="bullet"/>
      <w:lvlText w:val="•"/>
      <w:lvlJc w:val="left"/>
      <w:pPr>
        <w:ind w:left="5724" w:hanging="202"/>
      </w:pPr>
      <w:rPr>
        <w:rFonts w:hint="default"/>
      </w:rPr>
    </w:lvl>
    <w:lvl w:ilvl="7" w:tplc="767AA930">
      <w:numFmt w:val="bullet"/>
      <w:lvlText w:val="•"/>
      <w:lvlJc w:val="left"/>
      <w:pPr>
        <w:ind w:left="6628" w:hanging="202"/>
      </w:pPr>
      <w:rPr>
        <w:rFonts w:hint="default"/>
      </w:rPr>
    </w:lvl>
    <w:lvl w:ilvl="8" w:tplc="36A84202">
      <w:numFmt w:val="bullet"/>
      <w:lvlText w:val="•"/>
      <w:lvlJc w:val="left"/>
      <w:pPr>
        <w:ind w:left="7532" w:hanging="202"/>
      </w:pPr>
      <w:rPr>
        <w:rFonts w:hint="default"/>
      </w:rPr>
    </w:lvl>
  </w:abstractNum>
  <w:abstractNum w:abstractNumId="66" w15:restartNumberingAfterBreak="0">
    <w:nsid w:val="5C50342E"/>
    <w:multiLevelType w:val="hybridMultilevel"/>
    <w:tmpl w:val="198457CA"/>
    <w:lvl w:ilvl="0" w:tplc="5948A610">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56161CE8">
      <w:start w:val="1"/>
      <w:numFmt w:val="decimal"/>
      <w:lvlText w:val="%2-"/>
      <w:lvlJc w:val="left"/>
      <w:pPr>
        <w:ind w:left="961" w:hanging="163"/>
        <w:jc w:val="left"/>
      </w:pPr>
      <w:rPr>
        <w:rFonts w:ascii="Calibri" w:eastAsia="Calibri" w:hAnsi="Calibri" w:cs="Calibri" w:hint="default"/>
        <w:b w:val="0"/>
        <w:bCs w:val="0"/>
        <w:i w:val="0"/>
        <w:iCs w:val="0"/>
        <w:spacing w:val="-2"/>
        <w:w w:val="99"/>
        <w:sz w:val="18"/>
        <w:szCs w:val="18"/>
      </w:rPr>
    </w:lvl>
    <w:lvl w:ilvl="2" w:tplc="748A4418">
      <w:numFmt w:val="bullet"/>
      <w:lvlText w:val="•"/>
      <w:lvlJc w:val="left"/>
      <w:pPr>
        <w:ind w:left="1891" w:hanging="163"/>
      </w:pPr>
      <w:rPr>
        <w:rFonts w:hint="default"/>
      </w:rPr>
    </w:lvl>
    <w:lvl w:ilvl="3" w:tplc="BEF8C0FE">
      <w:numFmt w:val="bullet"/>
      <w:lvlText w:val="•"/>
      <w:lvlJc w:val="left"/>
      <w:pPr>
        <w:ind w:left="2822" w:hanging="163"/>
      </w:pPr>
      <w:rPr>
        <w:rFonts w:hint="default"/>
      </w:rPr>
    </w:lvl>
    <w:lvl w:ilvl="4" w:tplc="66D4634A">
      <w:numFmt w:val="bullet"/>
      <w:lvlText w:val="•"/>
      <w:lvlJc w:val="left"/>
      <w:pPr>
        <w:ind w:left="3753" w:hanging="163"/>
      </w:pPr>
      <w:rPr>
        <w:rFonts w:hint="default"/>
      </w:rPr>
    </w:lvl>
    <w:lvl w:ilvl="5" w:tplc="A956C2FE">
      <w:numFmt w:val="bullet"/>
      <w:lvlText w:val="•"/>
      <w:lvlJc w:val="left"/>
      <w:pPr>
        <w:ind w:left="4684" w:hanging="163"/>
      </w:pPr>
      <w:rPr>
        <w:rFonts w:hint="default"/>
      </w:rPr>
    </w:lvl>
    <w:lvl w:ilvl="6" w:tplc="286C2324">
      <w:numFmt w:val="bullet"/>
      <w:lvlText w:val="•"/>
      <w:lvlJc w:val="left"/>
      <w:pPr>
        <w:ind w:left="5615" w:hanging="163"/>
      </w:pPr>
      <w:rPr>
        <w:rFonts w:hint="default"/>
      </w:rPr>
    </w:lvl>
    <w:lvl w:ilvl="7" w:tplc="9CBA3536">
      <w:numFmt w:val="bullet"/>
      <w:lvlText w:val="•"/>
      <w:lvlJc w:val="left"/>
      <w:pPr>
        <w:ind w:left="6546" w:hanging="163"/>
      </w:pPr>
      <w:rPr>
        <w:rFonts w:hint="default"/>
      </w:rPr>
    </w:lvl>
    <w:lvl w:ilvl="8" w:tplc="C3C26688">
      <w:numFmt w:val="bullet"/>
      <w:lvlText w:val="•"/>
      <w:lvlJc w:val="left"/>
      <w:pPr>
        <w:ind w:left="7477" w:hanging="163"/>
      </w:pPr>
      <w:rPr>
        <w:rFonts w:hint="default"/>
      </w:rPr>
    </w:lvl>
  </w:abstractNum>
  <w:abstractNum w:abstractNumId="67" w15:restartNumberingAfterBreak="0">
    <w:nsid w:val="5F2152D7"/>
    <w:multiLevelType w:val="hybridMultilevel"/>
    <w:tmpl w:val="71D8EDB8"/>
    <w:lvl w:ilvl="0" w:tplc="56F0D14A">
      <w:numFmt w:val="bullet"/>
      <w:lvlText w:val=""/>
      <w:lvlJc w:val="left"/>
      <w:pPr>
        <w:ind w:left="468" w:hanging="360"/>
      </w:pPr>
      <w:rPr>
        <w:rFonts w:ascii="Symbol" w:eastAsia="Symbol" w:hAnsi="Symbol" w:cs="Symbol" w:hint="default"/>
        <w:b w:val="0"/>
        <w:bCs w:val="0"/>
        <w:i w:val="0"/>
        <w:iCs w:val="0"/>
        <w:w w:val="99"/>
        <w:sz w:val="20"/>
        <w:szCs w:val="20"/>
      </w:rPr>
    </w:lvl>
    <w:lvl w:ilvl="1" w:tplc="9CD890AA">
      <w:numFmt w:val="bullet"/>
      <w:lvlText w:val="•"/>
      <w:lvlJc w:val="left"/>
      <w:pPr>
        <w:ind w:left="953" w:hanging="360"/>
      </w:pPr>
      <w:rPr>
        <w:rFonts w:hint="default"/>
      </w:rPr>
    </w:lvl>
    <w:lvl w:ilvl="2" w:tplc="481263D4">
      <w:numFmt w:val="bullet"/>
      <w:lvlText w:val="•"/>
      <w:lvlJc w:val="left"/>
      <w:pPr>
        <w:ind w:left="1446" w:hanging="360"/>
      </w:pPr>
      <w:rPr>
        <w:rFonts w:hint="default"/>
      </w:rPr>
    </w:lvl>
    <w:lvl w:ilvl="3" w:tplc="3E349A68">
      <w:numFmt w:val="bullet"/>
      <w:lvlText w:val="•"/>
      <w:lvlJc w:val="left"/>
      <w:pPr>
        <w:ind w:left="1939" w:hanging="360"/>
      </w:pPr>
      <w:rPr>
        <w:rFonts w:hint="default"/>
      </w:rPr>
    </w:lvl>
    <w:lvl w:ilvl="4" w:tplc="10F25536">
      <w:numFmt w:val="bullet"/>
      <w:lvlText w:val="•"/>
      <w:lvlJc w:val="left"/>
      <w:pPr>
        <w:ind w:left="2432" w:hanging="360"/>
      </w:pPr>
      <w:rPr>
        <w:rFonts w:hint="default"/>
      </w:rPr>
    </w:lvl>
    <w:lvl w:ilvl="5" w:tplc="64B4E6FE">
      <w:numFmt w:val="bullet"/>
      <w:lvlText w:val="•"/>
      <w:lvlJc w:val="left"/>
      <w:pPr>
        <w:ind w:left="2925" w:hanging="360"/>
      </w:pPr>
      <w:rPr>
        <w:rFonts w:hint="default"/>
      </w:rPr>
    </w:lvl>
    <w:lvl w:ilvl="6" w:tplc="50CC0174">
      <w:numFmt w:val="bullet"/>
      <w:lvlText w:val="•"/>
      <w:lvlJc w:val="left"/>
      <w:pPr>
        <w:ind w:left="3418" w:hanging="360"/>
      </w:pPr>
      <w:rPr>
        <w:rFonts w:hint="default"/>
      </w:rPr>
    </w:lvl>
    <w:lvl w:ilvl="7" w:tplc="FD9E3786">
      <w:numFmt w:val="bullet"/>
      <w:lvlText w:val="•"/>
      <w:lvlJc w:val="left"/>
      <w:pPr>
        <w:ind w:left="3911" w:hanging="360"/>
      </w:pPr>
      <w:rPr>
        <w:rFonts w:hint="default"/>
      </w:rPr>
    </w:lvl>
    <w:lvl w:ilvl="8" w:tplc="975AC0B0">
      <w:numFmt w:val="bullet"/>
      <w:lvlText w:val="•"/>
      <w:lvlJc w:val="left"/>
      <w:pPr>
        <w:ind w:left="4404" w:hanging="360"/>
      </w:pPr>
      <w:rPr>
        <w:rFonts w:hint="default"/>
      </w:rPr>
    </w:lvl>
  </w:abstractNum>
  <w:abstractNum w:abstractNumId="68" w15:restartNumberingAfterBreak="0">
    <w:nsid w:val="5F934244"/>
    <w:multiLevelType w:val="hybridMultilevel"/>
    <w:tmpl w:val="CA40B65C"/>
    <w:lvl w:ilvl="0" w:tplc="7C10E620">
      <w:numFmt w:val="bullet"/>
      <w:lvlText w:val=""/>
      <w:lvlJc w:val="left"/>
      <w:pPr>
        <w:ind w:left="465" w:hanging="360"/>
      </w:pPr>
      <w:rPr>
        <w:rFonts w:ascii="Symbol" w:eastAsia="Symbol" w:hAnsi="Symbol" w:cs="Symbol" w:hint="default"/>
        <w:b w:val="0"/>
        <w:bCs w:val="0"/>
        <w:i w:val="0"/>
        <w:iCs w:val="0"/>
        <w:w w:val="99"/>
        <w:sz w:val="20"/>
        <w:szCs w:val="20"/>
      </w:rPr>
    </w:lvl>
    <w:lvl w:ilvl="1" w:tplc="1B469F24">
      <w:numFmt w:val="bullet"/>
      <w:lvlText w:val="•"/>
      <w:lvlJc w:val="left"/>
      <w:pPr>
        <w:ind w:left="907" w:hanging="360"/>
      </w:pPr>
      <w:rPr>
        <w:rFonts w:hint="default"/>
      </w:rPr>
    </w:lvl>
    <w:lvl w:ilvl="2" w:tplc="A0A684DC">
      <w:numFmt w:val="bullet"/>
      <w:lvlText w:val="•"/>
      <w:lvlJc w:val="left"/>
      <w:pPr>
        <w:ind w:left="1354" w:hanging="360"/>
      </w:pPr>
      <w:rPr>
        <w:rFonts w:hint="default"/>
      </w:rPr>
    </w:lvl>
    <w:lvl w:ilvl="3" w:tplc="7E727838">
      <w:numFmt w:val="bullet"/>
      <w:lvlText w:val="•"/>
      <w:lvlJc w:val="left"/>
      <w:pPr>
        <w:ind w:left="1802" w:hanging="360"/>
      </w:pPr>
      <w:rPr>
        <w:rFonts w:hint="default"/>
      </w:rPr>
    </w:lvl>
    <w:lvl w:ilvl="4" w:tplc="648815D4">
      <w:numFmt w:val="bullet"/>
      <w:lvlText w:val="•"/>
      <w:lvlJc w:val="left"/>
      <w:pPr>
        <w:ind w:left="2249" w:hanging="360"/>
      </w:pPr>
      <w:rPr>
        <w:rFonts w:hint="default"/>
      </w:rPr>
    </w:lvl>
    <w:lvl w:ilvl="5" w:tplc="E372126C">
      <w:numFmt w:val="bullet"/>
      <w:lvlText w:val="•"/>
      <w:lvlJc w:val="left"/>
      <w:pPr>
        <w:ind w:left="2697" w:hanging="360"/>
      </w:pPr>
      <w:rPr>
        <w:rFonts w:hint="default"/>
      </w:rPr>
    </w:lvl>
    <w:lvl w:ilvl="6" w:tplc="30C6AB18">
      <w:numFmt w:val="bullet"/>
      <w:lvlText w:val="•"/>
      <w:lvlJc w:val="left"/>
      <w:pPr>
        <w:ind w:left="3144" w:hanging="360"/>
      </w:pPr>
      <w:rPr>
        <w:rFonts w:hint="default"/>
      </w:rPr>
    </w:lvl>
    <w:lvl w:ilvl="7" w:tplc="216A4DA8">
      <w:numFmt w:val="bullet"/>
      <w:lvlText w:val="•"/>
      <w:lvlJc w:val="left"/>
      <w:pPr>
        <w:ind w:left="3591" w:hanging="360"/>
      </w:pPr>
      <w:rPr>
        <w:rFonts w:hint="default"/>
      </w:rPr>
    </w:lvl>
    <w:lvl w:ilvl="8" w:tplc="8C62F0A6">
      <w:numFmt w:val="bullet"/>
      <w:lvlText w:val="•"/>
      <w:lvlJc w:val="left"/>
      <w:pPr>
        <w:ind w:left="4039" w:hanging="360"/>
      </w:pPr>
      <w:rPr>
        <w:rFonts w:hint="default"/>
      </w:rPr>
    </w:lvl>
  </w:abstractNum>
  <w:abstractNum w:abstractNumId="69" w15:restartNumberingAfterBreak="0">
    <w:nsid w:val="5FDB27C1"/>
    <w:multiLevelType w:val="hybridMultilevel"/>
    <w:tmpl w:val="B108FB8E"/>
    <w:lvl w:ilvl="0" w:tplc="2788EBDC">
      <w:numFmt w:val="bullet"/>
      <w:lvlText w:val=""/>
      <w:lvlJc w:val="left"/>
      <w:pPr>
        <w:ind w:left="467" w:hanging="360"/>
      </w:pPr>
      <w:rPr>
        <w:rFonts w:ascii="Symbol" w:eastAsia="Symbol" w:hAnsi="Symbol" w:cs="Symbol" w:hint="default"/>
        <w:b w:val="0"/>
        <w:bCs w:val="0"/>
        <w:i w:val="0"/>
        <w:iCs w:val="0"/>
        <w:w w:val="99"/>
        <w:sz w:val="20"/>
        <w:szCs w:val="20"/>
      </w:rPr>
    </w:lvl>
    <w:lvl w:ilvl="1" w:tplc="ED825082">
      <w:numFmt w:val="bullet"/>
      <w:lvlText w:val="•"/>
      <w:lvlJc w:val="left"/>
      <w:pPr>
        <w:ind w:left="745" w:hanging="360"/>
      </w:pPr>
      <w:rPr>
        <w:rFonts w:hint="default"/>
      </w:rPr>
    </w:lvl>
    <w:lvl w:ilvl="2" w:tplc="1BB06D8C">
      <w:numFmt w:val="bullet"/>
      <w:lvlText w:val="•"/>
      <w:lvlJc w:val="left"/>
      <w:pPr>
        <w:ind w:left="1031" w:hanging="360"/>
      </w:pPr>
      <w:rPr>
        <w:rFonts w:hint="default"/>
      </w:rPr>
    </w:lvl>
    <w:lvl w:ilvl="3" w:tplc="F4E237CE">
      <w:numFmt w:val="bullet"/>
      <w:lvlText w:val="•"/>
      <w:lvlJc w:val="left"/>
      <w:pPr>
        <w:ind w:left="1316" w:hanging="360"/>
      </w:pPr>
      <w:rPr>
        <w:rFonts w:hint="default"/>
      </w:rPr>
    </w:lvl>
    <w:lvl w:ilvl="4" w:tplc="52FE4D96">
      <w:numFmt w:val="bullet"/>
      <w:lvlText w:val="•"/>
      <w:lvlJc w:val="left"/>
      <w:pPr>
        <w:ind w:left="1602" w:hanging="360"/>
      </w:pPr>
      <w:rPr>
        <w:rFonts w:hint="default"/>
      </w:rPr>
    </w:lvl>
    <w:lvl w:ilvl="5" w:tplc="D15439C8">
      <w:numFmt w:val="bullet"/>
      <w:lvlText w:val="•"/>
      <w:lvlJc w:val="left"/>
      <w:pPr>
        <w:ind w:left="1888" w:hanging="360"/>
      </w:pPr>
      <w:rPr>
        <w:rFonts w:hint="default"/>
      </w:rPr>
    </w:lvl>
    <w:lvl w:ilvl="6" w:tplc="0F4C374E">
      <w:numFmt w:val="bullet"/>
      <w:lvlText w:val="•"/>
      <w:lvlJc w:val="left"/>
      <w:pPr>
        <w:ind w:left="2173" w:hanging="360"/>
      </w:pPr>
      <w:rPr>
        <w:rFonts w:hint="default"/>
      </w:rPr>
    </w:lvl>
    <w:lvl w:ilvl="7" w:tplc="15D04A40">
      <w:numFmt w:val="bullet"/>
      <w:lvlText w:val="•"/>
      <w:lvlJc w:val="left"/>
      <w:pPr>
        <w:ind w:left="2459" w:hanging="360"/>
      </w:pPr>
      <w:rPr>
        <w:rFonts w:hint="default"/>
      </w:rPr>
    </w:lvl>
    <w:lvl w:ilvl="8" w:tplc="E380502E">
      <w:numFmt w:val="bullet"/>
      <w:lvlText w:val="•"/>
      <w:lvlJc w:val="left"/>
      <w:pPr>
        <w:ind w:left="2744" w:hanging="360"/>
      </w:pPr>
      <w:rPr>
        <w:rFonts w:hint="default"/>
      </w:rPr>
    </w:lvl>
  </w:abstractNum>
  <w:abstractNum w:abstractNumId="70" w15:restartNumberingAfterBreak="0">
    <w:nsid w:val="5FE75EB7"/>
    <w:multiLevelType w:val="hybridMultilevel"/>
    <w:tmpl w:val="DCA4266A"/>
    <w:lvl w:ilvl="0" w:tplc="2752C184">
      <w:numFmt w:val="bullet"/>
      <w:lvlText w:val=""/>
      <w:lvlJc w:val="left"/>
      <w:pPr>
        <w:ind w:left="1907" w:hanging="360"/>
      </w:pPr>
      <w:rPr>
        <w:rFonts w:ascii="Symbol" w:eastAsia="Symbol" w:hAnsi="Symbol" w:cs="Symbol" w:hint="default"/>
        <w:b w:val="0"/>
        <w:bCs w:val="0"/>
        <w:i w:val="0"/>
        <w:iCs w:val="0"/>
        <w:w w:val="99"/>
        <w:sz w:val="20"/>
        <w:szCs w:val="20"/>
      </w:rPr>
    </w:lvl>
    <w:lvl w:ilvl="1" w:tplc="891C7C42">
      <w:numFmt w:val="bullet"/>
      <w:lvlText w:val=""/>
      <w:lvlJc w:val="left"/>
      <w:pPr>
        <w:ind w:left="2268" w:hanging="360"/>
      </w:pPr>
      <w:rPr>
        <w:rFonts w:ascii="Symbol" w:eastAsia="Symbol" w:hAnsi="Symbol" w:cs="Symbol" w:hint="default"/>
        <w:b w:val="0"/>
        <w:bCs w:val="0"/>
        <w:i w:val="0"/>
        <w:iCs w:val="0"/>
        <w:w w:val="99"/>
        <w:sz w:val="20"/>
        <w:szCs w:val="20"/>
      </w:rPr>
    </w:lvl>
    <w:lvl w:ilvl="2" w:tplc="85348E3C">
      <w:numFmt w:val="bullet"/>
      <w:lvlText w:val="•"/>
      <w:lvlJc w:val="left"/>
      <w:pPr>
        <w:ind w:left="3368" w:hanging="360"/>
      </w:pPr>
      <w:rPr>
        <w:rFonts w:hint="default"/>
      </w:rPr>
    </w:lvl>
    <w:lvl w:ilvl="3" w:tplc="0666F818">
      <w:numFmt w:val="bullet"/>
      <w:lvlText w:val="•"/>
      <w:lvlJc w:val="left"/>
      <w:pPr>
        <w:ind w:left="4477" w:hanging="360"/>
      </w:pPr>
      <w:rPr>
        <w:rFonts w:hint="default"/>
      </w:rPr>
    </w:lvl>
    <w:lvl w:ilvl="4" w:tplc="7262B75C">
      <w:numFmt w:val="bullet"/>
      <w:lvlText w:val="•"/>
      <w:lvlJc w:val="left"/>
      <w:pPr>
        <w:ind w:left="5586" w:hanging="360"/>
      </w:pPr>
      <w:rPr>
        <w:rFonts w:hint="default"/>
      </w:rPr>
    </w:lvl>
    <w:lvl w:ilvl="5" w:tplc="C2ACE86C">
      <w:numFmt w:val="bullet"/>
      <w:lvlText w:val="•"/>
      <w:lvlJc w:val="left"/>
      <w:pPr>
        <w:ind w:left="6695" w:hanging="360"/>
      </w:pPr>
      <w:rPr>
        <w:rFonts w:hint="default"/>
      </w:rPr>
    </w:lvl>
    <w:lvl w:ilvl="6" w:tplc="0282B5AA">
      <w:numFmt w:val="bullet"/>
      <w:lvlText w:val="•"/>
      <w:lvlJc w:val="left"/>
      <w:pPr>
        <w:ind w:left="7804" w:hanging="360"/>
      </w:pPr>
      <w:rPr>
        <w:rFonts w:hint="default"/>
      </w:rPr>
    </w:lvl>
    <w:lvl w:ilvl="7" w:tplc="E50CB252">
      <w:numFmt w:val="bullet"/>
      <w:lvlText w:val="•"/>
      <w:lvlJc w:val="left"/>
      <w:pPr>
        <w:ind w:left="8913" w:hanging="360"/>
      </w:pPr>
      <w:rPr>
        <w:rFonts w:hint="default"/>
      </w:rPr>
    </w:lvl>
    <w:lvl w:ilvl="8" w:tplc="70F630FE">
      <w:numFmt w:val="bullet"/>
      <w:lvlText w:val="•"/>
      <w:lvlJc w:val="left"/>
      <w:pPr>
        <w:ind w:left="10022" w:hanging="360"/>
      </w:pPr>
      <w:rPr>
        <w:rFonts w:hint="default"/>
      </w:rPr>
    </w:lvl>
  </w:abstractNum>
  <w:abstractNum w:abstractNumId="71" w15:restartNumberingAfterBreak="0">
    <w:nsid w:val="62D600E5"/>
    <w:multiLevelType w:val="hybridMultilevel"/>
    <w:tmpl w:val="DD083C92"/>
    <w:lvl w:ilvl="0" w:tplc="FD56674C">
      <w:numFmt w:val="bullet"/>
      <w:lvlText w:val=""/>
      <w:lvlJc w:val="left"/>
      <w:pPr>
        <w:ind w:left="467" w:hanging="360"/>
      </w:pPr>
      <w:rPr>
        <w:rFonts w:ascii="Symbol" w:eastAsia="Symbol" w:hAnsi="Symbol" w:cs="Symbol" w:hint="default"/>
        <w:b w:val="0"/>
        <w:bCs w:val="0"/>
        <w:i w:val="0"/>
        <w:iCs w:val="0"/>
        <w:w w:val="99"/>
        <w:sz w:val="20"/>
        <w:szCs w:val="20"/>
      </w:rPr>
    </w:lvl>
    <w:lvl w:ilvl="1" w:tplc="44587992">
      <w:numFmt w:val="bullet"/>
      <w:lvlText w:val="•"/>
      <w:lvlJc w:val="left"/>
      <w:pPr>
        <w:ind w:left="1348" w:hanging="360"/>
      </w:pPr>
      <w:rPr>
        <w:rFonts w:hint="default"/>
      </w:rPr>
    </w:lvl>
    <w:lvl w:ilvl="2" w:tplc="44585FA2">
      <w:numFmt w:val="bullet"/>
      <w:lvlText w:val="•"/>
      <w:lvlJc w:val="left"/>
      <w:pPr>
        <w:ind w:left="2236" w:hanging="360"/>
      </w:pPr>
      <w:rPr>
        <w:rFonts w:hint="default"/>
      </w:rPr>
    </w:lvl>
    <w:lvl w:ilvl="3" w:tplc="255EDAB2">
      <w:numFmt w:val="bullet"/>
      <w:lvlText w:val="•"/>
      <w:lvlJc w:val="left"/>
      <w:pPr>
        <w:ind w:left="3124" w:hanging="360"/>
      </w:pPr>
      <w:rPr>
        <w:rFonts w:hint="default"/>
      </w:rPr>
    </w:lvl>
    <w:lvl w:ilvl="4" w:tplc="6DAA92A2">
      <w:numFmt w:val="bullet"/>
      <w:lvlText w:val="•"/>
      <w:lvlJc w:val="left"/>
      <w:pPr>
        <w:ind w:left="4012" w:hanging="360"/>
      </w:pPr>
      <w:rPr>
        <w:rFonts w:hint="default"/>
      </w:rPr>
    </w:lvl>
    <w:lvl w:ilvl="5" w:tplc="B532D510">
      <w:numFmt w:val="bullet"/>
      <w:lvlText w:val="•"/>
      <w:lvlJc w:val="left"/>
      <w:pPr>
        <w:ind w:left="4900" w:hanging="360"/>
      </w:pPr>
      <w:rPr>
        <w:rFonts w:hint="default"/>
      </w:rPr>
    </w:lvl>
    <w:lvl w:ilvl="6" w:tplc="56682C08">
      <w:numFmt w:val="bullet"/>
      <w:lvlText w:val="•"/>
      <w:lvlJc w:val="left"/>
      <w:pPr>
        <w:ind w:left="5788" w:hanging="360"/>
      </w:pPr>
      <w:rPr>
        <w:rFonts w:hint="default"/>
      </w:rPr>
    </w:lvl>
    <w:lvl w:ilvl="7" w:tplc="73D644D4">
      <w:numFmt w:val="bullet"/>
      <w:lvlText w:val="•"/>
      <w:lvlJc w:val="left"/>
      <w:pPr>
        <w:ind w:left="6676" w:hanging="360"/>
      </w:pPr>
      <w:rPr>
        <w:rFonts w:hint="default"/>
      </w:rPr>
    </w:lvl>
    <w:lvl w:ilvl="8" w:tplc="EF1ED832">
      <w:numFmt w:val="bullet"/>
      <w:lvlText w:val="•"/>
      <w:lvlJc w:val="left"/>
      <w:pPr>
        <w:ind w:left="7564" w:hanging="360"/>
      </w:pPr>
      <w:rPr>
        <w:rFonts w:hint="default"/>
      </w:rPr>
    </w:lvl>
  </w:abstractNum>
  <w:abstractNum w:abstractNumId="72" w15:restartNumberingAfterBreak="0">
    <w:nsid w:val="63B84B64"/>
    <w:multiLevelType w:val="hybridMultilevel"/>
    <w:tmpl w:val="DF2C17A8"/>
    <w:lvl w:ilvl="0" w:tplc="DEECC690">
      <w:numFmt w:val="bullet"/>
      <w:lvlText w:val=""/>
      <w:lvlJc w:val="left"/>
      <w:pPr>
        <w:ind w:left="467" w:hanging="360"/>
      </w:pPr>
      <w:rPr>
        <w:rFonts w:ascii="Symbol" w:eastAsia="Symbol" w:hAnsi="Symbol" w:cs="Symbol" w:hint="default"/>
        <w:b w:val="0"/>
        <w:bCs w:val="0"/>
        <w:i w:val="0"/>
        <w:iCs w:val="0"/>
        <w:w w:val="99"/>
        <w:sz w:val="20"/>
        <w:szCs w:val="20"/>
      </w:rPr>
    </w:lvl>
    <w:lvl w:ilvl="1" w:tplc="27401662">
      <w:numFmt w:val="bullet"/>
      <w:lvlText w:val=""/>
      <w:lvlJc w:val="left"/>
      <w:pPr>
        <w:ind w:left="827" w:hanging="360"/>
      </w:pPr>
      <w:rPr>
        <w:rFonts w:ascii="Symbol" w:eastAsia="Symbol" w:hAnsi="Symbol" w:cs="Symbol" w:hint="default"/>
        <w:b w:val="0"/>
        <w:bCs w:val="0"/>
        <w:i w:val="0"/>
        <w:iCs w:val="0"/>
        <w:w w:val="99"/>
        <w:sz w:val="20"/>
        <w:szCs w:val="20"/>
      </w:rPr>
    </w:lvl>
    <w:lvl w:ilvl="2" w:tplc="1C9AAE30">
      <w:numFmt w:val="bullet"/>
      <w:lvlText w:val="•"/>
      <w:lvlJc w:val="left"/>
      <w:pPr>
        <w:ind w:left="1766" w:hanging="360"/>
      </w:pPr>
      <w:rPr>
        <w:rFonts w:hint="default"/>
      </w:rPr>
    </w:lvl>
    <w:lvl w:ilvl="3" w:tplc="F7C0268E">
      <w:numFmt w:val="bullet"/>
      <w:lvlText w:val="•"/>
      <w:lvlJc w:val="left"/>
      <w:pPr>
        <w:ind w:left="2713" w:hanging="360"/>
      </w:pPr>
      <w:rPr>
        <w:rFonts w:hint="default"/>
      </w:rPr>
    </w:lvl>
    <w:lvl w:ilvl="4" w:tplc="9ADC7A44">
      <w:numFmt w:val="bullet"/>
      <w:lvlText w:val="•"/>
      <w:lvlJc w:val="left"/>
      <w:pPr>
        <w:ind w:left="3660" w:hanging="360"/>
      </w:pPr>
      <w:rPr>
        <w:rFonts w:hint="default"/>
      </w:rPr>
    </w:lvl>
    <w:lvl w:ilvl="5" w:tplc="F9B8A21A">
      <w:numFmt w:val="bullet"/>
      <w:lvlText w:val="•"/>
      <w:lvlJc w:val="left"/>
      <w:pPr>
        <w:ind w:left="4606" w:hanging="360"/>
      </w:pPr>
      <w:rPr>
        <w:rFonts w:hint="default"/>
      </w:rPr>
    </w:lvl>
    <w:lvl w:ilvl="6" w:tplc="5A667ABC">
      <w:numFmt w:val="bullet"/>
      <w:lvlText w:val="•"/>
      <w:lvlJc w:val="left"/>
      <w:pPr>
        <w:ind w:left="5553" w:hanging="360"/>
      </w:pPr>
      <w:rPr>
        <w:rFonts w:hint="default"/>
      </w:rPr>
    </w:lvl>
    <w:lvl w:ilvl="7" w:tplc="07909DC2">
      <w:numFmt w:val="bullet"/>
      <w:lvlText w:val="•"/>
      <w:lvlJc w:val="left"/>
      <w:pPr>
        <w:ind w:left="6500" w:hanging="360"/>
      </w:pPr>
      <w:rPr>
        <w:rFonts w:hint="default"/>
      </w:rPr>
    </w:lvl>
    <w:lvl w:ilvl="8" w:tplc="C5D071BC">
      <w:numFmt w:val="bullet"/>
      <w:lvlText w:val="•"/>
      <w:lvlJc w:val="left"/>
      <w:pPr>
        <w:ind w:left="7446" w:hanging="360"/>
      </w:pPr>
      <w:rPr>
        <w:rFonts w:hint="default"/>
      </w:rPr>
    </w:lvl>
  </w:abstractNum>
  <w:abstractNum w:abstractNumId="73" w15:restartNumberingAfterBreak="0">
    <w:nsid w:val="64597E19"/>
    <w:multiLevelType w:val="hybridMultilevel"/>
    <w:tmpl w:val="96A2435E"/>
    <w:lvl w:ilvl="0" w:tplc="DB562320">
      <w:numFmt w:val="decimal"/>
      <w:lvlText w:val="(%1)"/>
      <w:lvlJc w:val="left"/>
      <w:pPr>
        <w:ind w:left="475" w:hanging="368"/>
        <w:jc w:val="left"/>
      </w:pPr>
      <w:rPr>
        <w:rFonts w:ascii="Calibri" w:eastAsia="Calibri" w:hAnsi="Calibri" w:cs="Calibri" w:hint="default"/>
        <w:b w:val="0"/>
        <w:bCs w:val="0"/>
        <w:i w:val="0"/>
        <w:iCs w:val="0"/>
        <w:spacing w:val="-1"/>
        <w:w w:val="99"/>
        <w:sz w:val="20"/>
        <w:szCs w:val="20"/>
      </w:rPr>
    </w:lvl>
    <w:lvl w:ilvl="1" w:tplc="09B23EBA">
      <w:numFmt w:val="bullet"/>
      <w:lvlText w:val="•"/>
      <w:lvlJc w:val="left"/>
      <w:pPr>
        <w:ind w:left="898" w:hanging="368"/>
      </w:pPr>
      <w:rPr>
        <w:rFonts w:hint="default"/>
      </w:rPr>
    </w:lvl>
    <w:lvl w:ilvl="2" w:tplc="CC1013E6">
      <w:numFmt w:val="bullet"/>
      <w:lvlText w:val="•"/>
      <w:lvlJc w:val="left"/>
      <w:pPr>
        <w:ind w:left="1317" w:hanging="368"/>
      </w:pPr>
      <w:rPr>
        <w:rFonts w:hint="default"/>
      </w:rPr>
    </w:lvl>
    <w:lvl w:ilvl="3" w:tplc="A63026AA">
      <w:numFmt w:val="bullet"/>
      <w:lvlText w:val="•"/>
      <w:lvlJc w:val="left"/>
      <w:pPr>
        <w:ind w:left="1735" w:hanging="368"/>
      </w:pPr>
      <w:rPr>
        <w:rFonts w:hint="default"/>
      </w:rPr>
    </w:lvl>
    <w:lvl w:ilvl="4" w:tplc="8C04E5A2">
      <w:numFmt w:val="bullet"/>
      <w:lvlText w:val="•"/>
      <w:lvlJc w:val="left"/>
      <w:pPr>
        <w:ind w:left="2154" w:hanging="368"/>
      </w:pPr>
      <w:rPr>
        <w:rFonts w:hint="default"/>
      </w:rPr>
    </w:lvl>
    <w:lvl w:ilvl="5" w:tplc="38407804">
      <w:numFmt w:val="bullet"/>
      <w:lvlText w:val="•"/>
      <w:lvlJc w:val="left"/>
      <w:pPr>
        <w:ind w:left="2572" w:hanging="368"/>
      </w:pPr>
      <w:rPr>
        <w:rFonts w:hint="default"/>
      </w:rPr>
    </w:lvl>
    <w:lvl w:ilvl="6" w:tplc="AF3C3980">
      <w:numFmt w:val="bullet"/>
      <w:lvlText w:val="•"/>
      <w:lvlJc w:val="left"/>
      <w:pPr>
        <w:ind w:left="2991" w:hanging="368"/>
      </w:pPr>
      <w:rPr>
        <w:rFonts w:hint="default"/>
      </w:rPr>
    </w:lvl>
    <w:lvl w:ilvl="7" w:tplc="5EDC74FA">
      <w:numFmt w:val="bullet"/>
      <w:lvlText w:val="•"/>
      <w:lvlJc w:val="left"/>
      <w:pPr>
        <w:ind w:left="3409" w:hanging="368"/>
      </w:pPr>
      <w:rPr>
        <w:rFonts w:hint="default"/>
      </w:rPr>
    </w:lvl>
    <w:lvl w:ilvl="8" w:tplc="FAF63F24">
      <w:numFmt w:val="bullet"/>
      <w:lvlText w:val="•"/>
      <w:lvlJc w:val="left"/>
      <w:pPr>
        <w:ind w:left="3828" w:hanging="368"/>
      </w:pPr>
      <w:rPr>
        <w:rFonts w:hint="default"/>
      </w:rPr>
    </w:lvl>
  </w:abstractNum>
  <w:abstractNum w:abstractNumId="74" w15:restartNumberingAfterBreak="0">
    <w:nsid w:val="65095FCF"/>
    <w:multiLevelType w:val="hybridMultilevel"/>
    <w:tmpl w:val="9D3C99A0"/>
    <w:lvl w:ilvl="0" w:tplc="3A5C4C2A">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791A3ED2">
      <w:numFmt w:val="bullet"/>
      <w:lvlText w:val="•"/>
      <w:lvlJc w:val="left"/>
      <w:pPr>
        <w:ind w:left="1204" w:hanging="202"/>
      </w:pPr>
      <w:rPr>
        <w:rFonts w:hint="default"/>
      </w:rPr>
    </w:lvl>
    <w:lvl w:ilvl="2" w:tplc="6AC6861A">
      <w:numFmt w:val="bullet"/>
      <w:lvlText w:val="•"/>
      <w:lvlJc w:val="left"/>
      <w:pPr>
        <w:ind w:left="2108" w:hanging="202"/>
      </w:pPr>
      <w:rPr>
        <w:rFonts w:hint="default"/>
      </w:rPr>
    </w:lvl>
    <w:lvl w:ilvl="3" w:tplc="383E2022">
      <w:numFmt w:val="bullet"/>
      <w:lvlText w:val="•"/>
      <w:lvlJc w:val="left"/>
      <w:pPr>
        <w:ind w:left="3012" w:hanging="202"/>
      </w:pPr>
      <w:rPr>
        <w:rFonts w:hint="default"/>
      </w:rPr>
    </w:lvl>
    <w:lvl w:ilvl="4" w:tplc="0B588F7A">
      <w:numFmt w:val="bullet"/>
      <w:lvlText w:val="•"/>
      <w:lvlJc w:val="left"/>
      <w:pPr>
        <w:ind w:left="3916" w:hanging="202"/>
      </w:pPr>
      <w:rPr>
        <w:rFonts w:hint="default"/>
      </w:rPr>
    </w:lvl>
    <w:lvl w:ilvl="5" w:tplc="A572920C">
      <w:numFmt w:val="bullet"/>
      <w:lvlText w:val="•"/>
      <w:lvlJc w:val="left"/>
      <w:pPr>
        <w:ind w:left="4820" w:hanging="202"/>
      </w:pPr>
      <w:rPr>
        <w:rFonts w:hint="default"/>
      </w:rPr>
    </w:lvl>
    <w:lvl w:ilvl="6" w:tplc="48C07EBE">
      <w:numFmt w:val="bullet"/>
      <w:lvlText w:val="•"/>
      <w:lvlJc w:val="left"/>
      <w:pPr>
        <w:ind w:left="5724" w:hanging="202"/>
      </w:pPr>
      <w:rPr>
        <w:rFonts w:hint="default"/>
      </w:rPr>
    </w:lvl>
    <w:lvl w:ilvl="7" w:tplc="D9CCE96E">
      <w:numFmt w:val="bullet"/>
      <w:lvlText w:val="•"/>
      <w:lvlJc w:val="left"/>
      <w:pPr>
        <w:ind w:left="6628" w:hanging="202"/>
      </w:pPr>
      <w:rPr>
        <w:rFonts w:hint="default"/>
      </w:rPr>
    </w:lvl>
    <w:lvl w:ilvl="8" w:tplc="DB34FFA6">
      <w:numFmt w:val="bullet"/>
      <w:lvlText w:val="•"/>
      <w:lvlJc w:val="left"/>
      <w:pPr>
        <w:ind w:left="7532" w:hanging="202"/>
      </w:pPr>
      <w:rPr>
        <w:rFonts w:hint="default"/>
      </w:rPr>
    </w:lvl>
  </w:abstractNum>
  <w:abstractNum w:abstractNumId="75" w15:restartNumberingAfterBreak="0">
    <w:nsid w:val="662E410F"/>
    <w:multiLevelType w:val="hybridMultilevel"/>
    <w:tmpl w:val="26EE01BC"/>
    <w:lvl w:ilvl="0" w:tplc="E32C9A62">
      <w:numFmt w:val="bullet"/>
      <w:lvlText w:val=""/>
      <w:lvlJc w:val="left"/>
      <w:pPr>
        <w:ind w:left="270" w:hanging="190"/>
      </w:pPr>
      <w:rPr>
        <w:rFonts w:ascii="Symbol" w:eastAsia="Symbol" w:hAnsi="Symbol" w:cs="Symbol" w:hint="default"/>
        <w:b w:val="0"/>
        <w:bCs w:val="0"/>
        <w:i w:val="0"/>
        <w:iCs w:val="0"/>
        <w:w w:val="99"/>
        <w:sz w:val="20"/>
        <w:szCs w:val="20"/>
      </w:rPr>
    </w:lvl>
    <w:lvl w:ilvl="1" w:tplc="368E70A8">
      <w:numFmt w:val="bullet"/>
      <w:lvlText w:val="•"/>
      <w:lvlJc w:val="left"/>
      <w:pPr>
        <w:ind w:left="614" w:hanging="190"/>
      </w:pPr>
      <w:rPr>
        <w:rFonts w:hint="default"/>
      </w:rPr>
    </w:lvl>
    <w:lvl w:ilvl="2" w:tplc="4468A2BC">
      <w:numFmt w:val="bullet"/>
      <w:lvlText w:val="•"/>
      <w:lvlJc w:val="left"/>
      <w:pPr>
        <w:ind w:left="949" w:hanging="190"/>
      </w:pPr>
      <w:rPr>
        <w:rFonts w:hint="default"/>
      </w:rPr>
    </w:lvl>
    <w:lvl w:ilvl="3" w:tplc="874CE8D0">
      <w:numFmt w:val="bullet"/>
      <w:lvlText w:val="•"/>
      <w:lvlJc w:val="left"/>
      <w:pPr>
        <w:ind w:left="1283" w:hanging="190"/>
      </w:pPr>
      <w:rPr>
        <w:rFonts w:hint="default"/>
      </w:rPr>
    </w:lvl>
    <w:lvl w:ilvl="4" w:tplc="2D22D00C">
      <w:numFmt w:val="bullet"/>
      <w:lvlText w:val="•"/>
      <w:lvlJc w:val="left"/>
      <w:pPr>
        <w:ind w:left="1618" w:hanging="190"/>
      </w:pPr>
      <w:rPr>
        <w:rFonts w:hint="default"/>
      </w:rPr>
    </w:lvl>
    <w:lvl w:ilvl="5" w:tplc="EABCCC60">
      <w:numFmt w:val="bullet"/>
      <w:lvlText w:val="•"/>
      <w:lvlJc w:val="left"/>
      <w:pPr>
        <w:ind w:left="1953" w:hanging="190"/>
      </w:pPr>
      <w:rPr>
        <w:rFonts w:hint="default"/>
      </w:rPr>
    </w:lvl>
    <w:lvl w:ilvl="6" w:tplc="F84E7768">
      <w:numFmt w:val="bullet"/>
      <w:lvlText w:val="•"/>
      <w:lvlJc w:val="left"/>
      <w:pPr>
        <w:ind w:left="2287" w:hanging="190"/>
      </w:pPr>
      <w:rPr>
        <w:rFonts w:hint="default"/>
      </w:rPr>
    </w:lvl>
    <w:lvl w:ilvl="7" w:tplc="2E50FF5C">
      <w:numFmt w:val="bullet"/>
      <w:lvlText w:val="•"/>
      <w:lvlJc w:val="left"/>
      <w:pPr>
        <w:ind w:left="2622" w:hanging="190"/>
      </w:pPr>
      <w:rPr>
        <w:rFonts w:hint="default"/>
      </w:rPr>
    </w:lvl>
    <w:lvl w:ilvl="8" w:tplc="F064F6C0">
      <w:numFmt w:val="bullet"/>
      <w:lvlText w:val="•"/>
      <w:lvlJc w:val="left"/>
      <w:pPr>
        <w:ind w:left="2956" w:hanging="190"/>
      </w:pPr>
      <w:rPr>
        <w:rFonts w:hint="default"/>
      </w:rPr>
    </w:lvl>
  </w:abstractNum>
  <w:abstractNum w:abstractNumId="76" w15:restartNumberingAfterBreak="0">
    <w:nsid w:val="66936C73"/>
    <w:multiLevelType w:val="hybridMultilevel"/>
    <w:tmpl w:val="88D61EAC"/>
    <w:lvl w:ilvl="0" w:tplc="FE28DC4A">
      <w:numFmt w:val="bullet"/>
      <w:lvlText w:val=""/>
      <w:lvlJc w:val="left"/>
      <w:pPr>
        <w:ind w:left="467" w:hanging="360"/>
      </w:pPr>
      <w:rPr>
        <w:rFonts w:ascii="Symbol" w:eastAsia="Symbol" w:hAnsi="Symbol" w:cs="Symbol" w:hint="default"/>
        <w:b w:val="0"/>
        <w:bCs w:val="0"/>
        <w:i w:val="0"/>
        <w:iCs w:val="0"/>
        <w:w w:val="99"/>
        <w:sz w:val="20"/>
        <w:szCs w:val="20"/>
      </w:rPr>
    </w:lvl>
    <w:lvl w:ilvl="1" w:tplc="9924A3E8">
      <w:numFmt w:val="bullet"/>
      <w:lvlText w:val="•"/>
      <w:lvlJc w:val="left"/>
      <w:pPr>
        <w:ind w:left="1348" w:hanging="360"/>
      </w:pPr>
      <w:rPr>
        <w:rFonts w:hint="default"/>
      </w:rPr>
    </w:lvl>
    <w:lvl w:ilvl="2" w:tplc="7AFC8822">
      <w:numFmt w:val="bullet"/>
      <w:lvlText w:val="•"/>
      <w:lvlJc w:val="left"/>
      <w:pPr>
        <w:ind w:left="2236" w:hanging="360"/>
      </w:pPr>
      <w:rPr>
        <w:rFonts w:hint="default"/>
      </w:rPr>
    </w:lvl>
    <w:lvl w:ilvl="3" w:tplc="184A2BD2">
      <w:numFmt w:val="bullet"/>
      <w:lvlText w:val="•"/>
      <w:lvlJc w:val="left"/>
      <w:pPr>
        <w:ind w:left="3124" w:hanging="360"/>
      </w:pPr>
      <w:rPr>
        <w:rFonts w:hint="default"/>
      </w:rPr>
    </w:lvl>
    <w:lvl w:ilvl="4" w:tplc="71D0D7D0">
      <w:numFmt w:val="bullet"/>
      <w:lvlText w:val="•"/>
      <w:lvlJc w:val="left"/>
      <w:pPr>
        <w:ind w:left="4012" w:hanging="360"/>
      </w:pPr>
      <w:rPr>
        <w:rFonts w:hint="default"/>
      </w:rPr>
    </w:lvl>
    <w:lvl w:ilvl="5" w:tplc="056432B2">
      <w:numFmt w:val="bullet"/>
      <w:lvlText w:val="•"/>
      <w:lvlJc w:val="left"/>
      <w:pPr>
        <w:ind w:left="4900" w:hanging="360"/>
      </w:pPr>
      <w:rPr>
        <w:rFonts w:hint="default"/>
      </w:rPr>
    </w:lvl>
    <w:lvl w:ilvl="6" w:tplc="48A43DF4">
      <w:numFmt w:val="bullet"/>
      <w:lvlText w:val="•"/>
      <w:lvlJc w:val="left"/>
      <w:pPr>
        <w:ind w:left="5788" w:hanging="360"/>
      </w:pPr>
      <w:rPr>
        <w:rFonts w:hint="default"/>
      </w:rPr>
    </w:lvl>
    <w:lvl w:ilvl="7" w:tplc="1C86CA42">
      <w:numFmt w:val="bullet"/>
      <w:lvlText w:val="•"/>
      <w:lvlJc w:val="left"/>
      <w:pPr>
        <w:ind w:left="6676" w:hanging="360"/>
      </w:pPr>
      <w:rPr>
        <w:rFonts w:hint="default"/>
      </w:rPr>
    </w:lvl>
    <w:lvl w:ilvl="8" w:tplc="BBBCA1A2">
      <w:numFmt w:val="bullet"/>
      <w:lvlText w:val="•"/>
      <w:lvlJc w:val="left"/>
      <w:pPr>
        <w:ind w:left="7564" w:hanging="360"/>
      </w:pPr>
      <w:rPr>
        <w:rFonts w:hint="default"/>
      </w:rPr>
    </w:lvl>
  </w:abstractNum>
  <w:abstractNum w:abstractNumId="77" w15:restartNumberingAfterBreak="0">
    <w:nsid w:val="680723D7"/>
    <w:multiLevelType w:val="hybridMultilevel"/>
    <w:tmpl w:val="63785A28"/>
    <w:lvl w:ilvl="0" w:tplc="4D7AB2B6">
      <w:numFmt w:val="bullet"/>
      <w:lvlText w:val=""/>
      <w:lvlJc w:val="left"/>
      <w:pPr>
        <w:ind w:left="465" w:hanging="360"/>
      </w:pPr>
      <w:rPr>
        <w:rFonts w:ascii="Symbol" w:eastAsia="Symbol" w:hAnsi="Symbol" w:cs="Symbol" w:hint="default"/>
        <w:b w:val="0"/>
        <w:bCs w:val="0"/>
        <w:i w:val="0"/>
        <w:iCs w:val="0"/>
        <w:w w:val="99"/>
        <w:sz w:val="20"/>
        <w:szCs w:val="20"/>
      </w:rPr>
    </w:lvl>
    <w:lvl w:ilvl="1" w:tplc="A4EEA906">
      <w:numFmt w:val="bullet"/>
      <w:lvlText w:val="•"/>
      <w:lvlJc w:val="left"/>
      <w:pPr>
        <w:ind w:left="575" w:hanging="360"/>
      </w:pPr>
      <w:rPr>
        <w:rFonts w:hint="default"/>
      </w:rPr>
    </w:lvl>
    <w:lvl w:ilvl="2" w:tplc="FF0E89B0">
      <w:numFmt w:val="bullet"/>
      <w:lvlText w:val="•"/>
      <w:lvlJc w:val="left"/>
      <w:pPr>
        <w:ind w:left="690" w:hanging="360"/>
      </w:pPr>
      <w:rPr>
        <w:rFonts w:hint="default"/>
      </w:rPr>
    </w:lvl>
    <w:lvl w:ilvl="3" w:tplc="BD526E04">
      <w:numFmt w:val="bullet"/>
      <w:lvlText w:val="•"/>
      <w:lvlJc w:val="left"/>
      <w:pPr>
        <w:ind w:left="805" w:hanging="360"/>
      </w:pPr>
      <w:rPr>
        <w:rFonts w:hint="default"/>
      </w:rPr>
    </w:lvl>
    <w:lvl w:ilvl="4" w:tplc="EEBAE81C">
      <w:numFmt w:val="bullet"/>
      <w:lvlText w:val="•"/>
      <w:lvlJc w:val="left"/>
      <w:pPr>
        <w:ind w:left="920" w:hanging="360"/>
      </w:pPr>
      <w:rPr>
        <w:rFonts w:hint="default"/>
      </w:rPr>
    </w:lvl>
    <w:lvl w:ilvl="5" w:tplc="39722128">
      <w:numFmt w:val="bullet"/>
      <w:lvlText w:val="•"/>
      <w:lvlJc w:val="left"/>
      <w:pPr>
        <w:ind w:left="1035" w:hanging="360"/>
      </w:pPr>
      <w:rPr>
        <w:rFonts w:hint="default"/>
      </w:rPr>
    </w:lvl>
    <w:lvl w:ilvl="6" w:tplc="73121D86">
      <w:numFmt w:val="bullet"/>
      <w:lvlText w:val="•"/>
      <w:lvlJc w:val="left"/>
      <w:pPr>
        <w:ind w:left="1150" w:hanging="360"/>
      </w:pPr>
      <w:rPr>
        <w:rFonts w:hint="default"/>
      </w:rPr>
    </w:lvl>
    <w:lvl w:ilvl="7" w:tplc="ED08DBD0">
      <w:numFmt w:val="bullet"/>
      <w:lvlText w:val="•"/>
      <w:lvlJc w:val="left"/>
      <w:pPr>
        <w:ind w:left="1265" w:hanging="360"/>
      </w:pPr>
      <w:rPr>
        <w:rFonts w:hint="default"/>
      </w:rPr>
    </w:lvl>
    <w:lvl w:ilvl="8" w:tplc="414675A0">
      <w:numFmt w:val="bullet"/>
      <w:lvlText w:val="•"/>
      <w:lvlJc w:val="left"/>
      <w:pPr>
        <w:ind w:left="1380" w:hanging="360"/>
      </w:pPr>
      <w:rPr>
        <w:rFonts w:hint="default"/>
      </w:rPr>
    </w:lvl>
  </w:abstractNum>
  <w:abstractNum w:abstractNumId="78" w15:restartNumberingAfterBreak="0">
    <w:nsid w:val="681705C2"/>
    <w:multiLevelType w:val="hybridMultilevel"/>
    <w:tmpl w:val="0D98C92A"/>
    <w:lvl w:ilvl="0" w:tplc="0D2235E4">
      <w:numFmt w:val="bullet"/>
      <w:lvlText w:val=""/>
      <w:lvlJc w:val="left"/>
      <w:pPr>
        <w:ind w:left="467" w:hanging="360"/>
      </w:pPr>
      <w:rPr>
        <w:rFonts w:ascii="Symbol" w:eastAsia="Symbol" w:hAnsi="Symbol" w:cs="Symbol" w:hint="default"/>
        <w:b w:val="0"/>
        <w:bCs w:val="0"/>
        <w:i w:val="0"/>
        <w:iCs w:val="0"/>
        <w:w w:val="99"/>
        <w:sz w:val="20"/>
        <w:szCs w:val="20"/>
      </w:rPr>
    </w:lvl>
    <w:lvl w:ilvl="1" w:tplc="D58E2C32">
      <w:numFmt w:val="bullet"/>
      <w:lvlText w:val="•"/>
      <w:lvlJc w:val="left"/>
      <w:pPr>
        <w:ind w:left="1348" w:hanging="360"/>
      </w:pPr>
      <w:rPr>
        <w:rFonts w:hint="default"/>
      </w:rPr>
    </w:lvl>
    <w:lvl w:ilvl="2" w:tplc="D60416D8">
      <w:numFmt w:val="bullet"/>
      <w:lvlText w:val="•"/>
      <w:lvlJc w:val="left"/>
      <w:pPr>
        <w:ind w:left="2236" w:hanging="360"/>
      </w:pPr>
      <w:rPr>
        <w:rFonts w:hint="default"/>
      </w:rPr>
    </w:lvl>
    <w:lvl w:ilvl="3" w:tplc="E070B0F4">
      <w:numFmt w:val="bullet"/>
      <w:lvlText w:val="•"/>
      <w:lvlJc w:val="left"/>
      <w:pPr>
        <w:ind w:left="3124" w:hanging="360"/>
      </w:pPr>
      <w:rPr>
        <w:rFonts w:hint="default"/>
      </w:rPr>
    </w:lvl>
    <w:lvl w:ilvl="4" w:tplc="F1BEB846">
      <w:numFmt w:val="bullet"/>
      <w:lvlText w:val="•"/>
      <w:lvlJc w:val="left"/>
      <w:pPr>
        <w:ind w:left="4012" w:hanging="360"/>
      </w:pPr>
      <w:rPr>
        <w:rFonts w:hint="default"/>
      </w:rPr>
    </w:lvl>
    <w:lvl w:ilvl="5" w:tplc="068A2006">
      <w:numFmt w:val="bullet"/>
      <w:lvlText w:val="•"/>
      <w:lvlJc w:val="left"/>
      <w:pPr>
        <w:ind w:left="4900" w:hanging="360"/>
      </w:pPr>
      <w:rPr>
        <w:rFonts w:hint="default"/>
      </w:rPr>
    </w:lvl>
    <w:lvl w:ilvl="6" w:tplc="E320C414">
      <w:numFmt w:val="bullet"/>
      <w:lvlText w:val="•"/>
      <w:lvlJc w:val="left"/>
      <w:pPr>
        <w:ind w:left="5788" w:hanging="360"/>
      </w:pPr>
      <w:rPr>
        <w:rFonts w:hint="default"/>
      </w:rPr>
    </w:lvl>
    <w:lvl w:ilvl="7" w:tplc="BE6E2932">
      <w:numFmt w:val="bullet"/>
      <w:lvlText w:val="•"/>
      <w:lvlJc w:val="left"/>
      <w:pPr>
        <w:ind w:left="6676" w:hanging="360"/>
      </w:pPr>
      <w:rPr>
        <w:rFonts w:hint="default"/>
      </w:rPr>
    </w:lvl>
    <w:lvl w:ilvl="8" w:tplc="E0ACA8C8">
      <w:numFmt w:val="bullet"/>
      <w:lvlText w:val="•"/>
      <w:lvlJc w:val="left"/>
      <w:pPr>
        <w:ind w:left="7564" w:hanging="360"/>
      </w:pPr>
      <w:rPr>
        <w:rFonts w:hint="default"/>
      </w:rPr>
    </w:lvl>
  </w:abstractNum>
  <w:abstractNum w:abstractNumId="79" w15:restartNumberingAfterBreak="0">
    <w:nsid w:val="683873DC"/>
    <w:multiLevelType w:val="hybridMultilevel"/>
    <w:tmpl w:val="0542007C"/>
    <w:lvl w:ilvl="0" w:tplc="D2A22456">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64D81E92">
      <w:numFmt w:val="bullet"/>
      <w:lvlText w:val="•"/>
      <w:lvlJc w:val="left"/>
      <w:pPr>
        <w:ind w:left="1204" w:hanging="202"/>
      </w:pPr>
      <w:rPr>
        <w:rFonts w:hint="default"/>
      </w:rPr>
    </w:lvl>
    <w:lvl w:ilvl="2" w:tplc="2784425E">
      <w:numFmt w:val="bullet"/>
      <w:lvlText w:val="•"/>
      <w:lvlJc w:val="left"/>
      <w:pPr>
        <w:ind w:left="2108" w:hanging="202"/>
      </w:pPr>
      <w:rPr>
        <w:rFonts w:hint="default"/>
      </w:rPr>
    </w:lvl>
    <w:lvl w:ilvl="3" w:tplc="75CC87FE">
      <w:numFmt w:val="bullet"/>
      <w:lvlText w:val="•"/>
      <w:lvlJc w:val="left"/>
      <w:pPr>
        <w:ind w:left="3012" w:hanging="202"/>
      </w:pPr>
      <w:rPr>
        <w:rFonts w:hint="default"/>
      </w:rPr>
    </w:lvl>
    <w:lvl w:ilvl="4" w:tplc="97CCFDC0">
      <w:numFmt w:val="bullet"/>
      <w:lvlText w:val="•"/>
      <w:lvlJc w:val="left"/>
      <w:pPr>
        <w:ind w:left="3916" w:hanging="202"/>
      </w:pPr>
      <w:rPr>
        <w:rFonts w:hint="default"/>
      </w:rPr>
    </w:lvl>
    <w:lvl w:ilvl="5" w:tplc="4AD4175A">
      <w:numFmt w:val="bullet"/>
      <w:lvlText w:val="•"/>
      <w:lvlJc w:val="left"/>
      <w:pPr>
        <w:ind w:left="4820" w:hanging="202"/>
      </w:pPr>
      <w:rPr>
        <w:rFonts w:hint="default"/>
      </w:rPr>
    </w:lvl>
    <w:lvl w:ilvl="6" w:tplc="350A2970">
      <w:numFmt w:val="bullet"/>
      <w:lvlText w:val="•"/>
      <w:lvlJc w:val="left"/>
      <w:pPr>
        <w:ind w:left="5724" w:hanging="202"/>
      </w:pPr>
      <w:rPr>
        <w:rFonts w:hint="default"/>
      </w:rPr>
    </w:lvl>
    <w:lvl w:ilvl="7" w:tplc="2A94D0E2">
      <w:numFmt w:val="bullet"/>
      <w:lvlText w:val="•"/>
      <w:lvlJc w:val="left"/>
      <w:pPr>
        <w:ind w:left="6628" w:hanging="202"/>
      </w:pPr>
      <w:rPr>
        <w:rFonts w:hint="default"/>
      </w:rPr>
    </w:lvl>
    <w:lvl w:ilvl="8" w:tplc="0624CF46">
      <w:numFmt w:val="bullet"/>
      <w:lvlText w:val="•"/>
      <w:lvlJc w:val="left"/>
      <w:pPr>
        <w:ind w:left="7532" w:hanging="202"/>
      </w:pPr>
      <w:rPr>
        <w:rFonts w:hint="default"/>
      </w:rPr>
    </w:lvl>
  </w:abstractNum>
  <w:abstractNum w:abstractNumId="80" w15:restartNumberingAfterBreak="0">
    <w:nsid w:val="69227C40"/>
    <w:multiLevelType w:val="hybridMultilevel"/>
    <w:tmpl w:val="E6B4450C"/>
    <w:lvl w:ilvl="0" w:tplc="35BA8482">
      <w:numFmt w:val="bullet"/>
      <w:lvlText w:val=""/>
      <w:lvlJc w:val="left"/>
      <w:pPr>
        <w:ind w:left="465" w:hanging="360"/>
      </w:pPr>
      <w:rPr>
        <w:rFonts w:ascii="Symbol" w:eastAsia="Symbol" w:hAnsi="Symbol" w:cs="Symbol" w:hint="default"/>
        <w:b w:val="0"/>
        <w:bCs w:val="0"/>
        <w:i w:val="0"/>
        <w:iCs w:val="0"/>
        <w:w w:val="99"/>
        <w:sz w:val="20"/>
        <w:szCs w:val="20"/>
      </w:rPr>
    </w:lvl>
    <w:lvl w:ilvl="1" w:tplc="0E24D4E2">
      <w:numFmt w:val="bullet"/>
      <w:lvlText w:val="•"/>
      <w:lvlJc w:val="left"/>
      <w:pPr>
        <w:ind w:left="853" w:hanging="360"/>
      </w:pPr>
      <w:rPr>
        <w:rFonts w:hint="default"/>
      </w:rPr>
    </w:lvl>
    <w:lvl w:ilvl="2" w:tplc="9370D27C">
      <w:numFmt w:val="bullet"/>
      <w:lvlText w:val="•"/>
      <w:lvlJc w:val="left"/>
      <w:pPr>
        <w:ind w:left="1246" w:hanging="360"/>
      </w:pPr>
      <w:rPr>
        <w:rFonts w:hint="default"/>
      </w:rPr>
    </w:lvl>
    <w:lvl w:ilvl="3" w:tplc="A094C36A">
      <w:numFmt w:val="bullet"/>
      <w:lvlText w:val="•"/>
      <w:lvlJc w:val="left"/>
      <w:pPr>
        <w:ind w:left="1640" w:hanging="360"/>
      </w:pPr>
      <w:rPr>
        <w:rFonts w:hint="default"/>
      </w:rPr>
    </w:lvl>
    <w:lvl w:ilvl="4" w:tplc="69F65E06">
      <w:numFmt w:val="bullet"/>
      <w:lvlText w:val="•"/>
      <w:lvlJc w:val="left"/>
      <w:pPr>
        <w:ind w:left="2033" w:hanging="360"/>
      </w:pPr>
      <w:rPr>
        <w:rFonts w:hint="default"/>
      </w:rPr>
    </w:lvl>
    <w:lvl w:ilvl="5" w:tplc="8B92CE1C">
      <w:numFmt w:val="bullet"/>
      <w:lvlText w:val="•"/>
      <w:lvlJc w:val="left"/>
      <w:pPr>
        <w:ind w:left="2427" w:hanging="360"/>
      </w:pPr>
      <w:rPr>
        <w:rFonts w:hint="default"/>
      </w:rPr>
    </w:lvl>
    <w:lvl w:ilvl="6" w:tplc="B48AABBA">
      <w:numFmt w:val="bullet"/>
      <w:lvlText w:val="•"/>
      <w:lvlJc w:val="left"/>
      <w:pPr>
        <w:ind w:left="2820" w:hanging="360"/>
      </w:pPr>
      <w:rPr>
        <w:rFonts w:hint="default"/>
      </w:rPr>
    </w:lvl>
    <w:lvl w:ilvl="7" w:tplc="6ECAB4FE">
      <w:numFmt w:val="bullet"/>
      <w:lvlText w:val="•"/>
      <w:lvlJc w:val="left"/>
      <w:pPr>
        <w:ind w:left="3213" w:hanging="360"/>
      </w:pPr>
      <w:rPr>
        <w:rFonts w:hint="default"/>
      </w:rPr>
    </w:lvl>
    <w:lvl w:ilvl="8" w:tplc="2A1CC06E">
      <w:numFmt w:val="bullet"/>
      <w:lvlText w:val="•"/>
      <w:lvlJc w:val="left"/>
      <w:pPr>
        <w:ind w:left="3607" w:hanging="360"/>
      </w:pPr>
      <w:rPr>
        <w:rFonts w:hint="default"/>
      </w:rPr>
    </w:lvl>
  </w:abstractNum>
  <w:abstractNum w:abstractNumId="81" w15:restartNumberingAfterBreak="0">
    <w:nsid w:val="69A93721"/>
    <w:multiLevelType w:val="hybridMultilevel"/>
    <w:tmpl w:val="4988379A"/>
    <w:lvl w:ilvl="0" w:tplc="77960FF8">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0958DDBC">
      <w:numFmt w:val="bullet"/>
      <w:lvlText w:val="•"/>
      <w:lvlJc w:val="left"/>
      <w:pPr>
        <w:ind w:left="1204" w:hanging="202"/>
      </w:pPr>
      <w:rPr>
        <w:rFonts w:hint="default"/>
      </w:rPr>
    </w:lvl>
    <w:lvl w:ilvl="2" w:tplc="2FB233AE">
      <w:numFmt w:val="bullet"/>
      <w:lvlText w:val="•"/>
      <w:lvlJc w:val="left"/>
      <w:pPr>
        <w:ind w:left="2108" w:hanging="202"/>
      </w:pPr>
      <w:rPr>
        <w:rFonts w:hint="default"/>
      </w:rPr>
    </w:lvl>
    <w:lvl w:ilvl="3" w:tplc="23F6DB34">
      <w:numFmt w:val="bullet"/>
      <w:lvlText w:val="•"/>
      <w:lvlJc w:val="left"/>
      <w:pPr>
        <w:ind w:left="3012" w:hanging="202"/>
      </w:pPr>
      <w:rPr>
        <w:rFonts w:hint="default"/>
      </w:rPr>
    </w:lvl>
    <w:lvl w:ilvl="4" w:tplc="0D001310">
      <w:numFmt w:val="bullet"/>
      <w:lvlText w:val="•"/>
      <w:lvlJc w:val="left"/>
      <w:pPr>
        <w:ind w:left="3916" w:hanging="202"/>
      </w:pPr>
      <w:rPr>
        <w:rFonts w:hint="default"/>
      </w:rPr>
    </w:lvl>
    <w:lvl w:ilvl="5" w:tplc="AB660D10">
      <w:numFmt w:val="bullet"/>
      <w:lvlText w:val="•"/>
      <w:lvlJc w:val="left"/>
      <w:pPr>
        <w:ind w:left="4820" w:hanging="202"/>
      </w:pPr>
      <w:rPr>
        <w:rFonts w:hint="default"/>
      </w:rPr>
    </w:lvl>
    <w:lvl w:ilvl="6" w:tplc="5F4AEEA8">
      <w:numFmt w:val="bullet"/>
      <w:lvlText w:val="•"/>
      <w:lvlJc w:val="left"/>
      <w:pPr>
        <w:ind w:left="5724" w:hanging="202"/>
      </w:pPr>
      <w:rPr>
        <w:rFonts w:hint="default"/>
      </w:rPr>
    </w:lvl>
    <w:lvl w:ilvl="7" w:tplc="59B6F4B8">
      <w:numFmt w:val="bullet"/>
      <w:lvlText w:val="•"/>
      <w:lvlJc w:val="left"/>
      <w:pPr>
        <w:ind w:left="6628" w:hanging="202"/>
      </w:pPr>
      <w:rPr>
        <w:rFonts w:hint="default"/>
      </w:rPr>
    </w:lvl>
    <w:lvl w:ilvl="8" w:tplc="BA561A84">
      <w:numFmt w:val="bullet"/>
      <w:lvlText w:val="•"/>
      <w:lvlJc w:val="left"/>
      <w:pPr>
        <w:ind w:left="7532" w:hanging="202"/>
      </w:pPr>
      <w:rPr>
        <w:rFonts w:hint="default"/>
      </w:rPr>
    </w:lvl>
  </w:abstractNum>
  <w:abstractNum w:abstractNumId="82" w15:restartNumberingAfterBreak="0">
    <w:nsid w:val="6B876AE3"/>
    <w:multiLevelType w:val="hybridMultilevel"/>
    <w:tmpl w:val="8C947B7C"/>
    <w:lvl w:ilvl="0" w:tplc="B3D8D4B2">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31BEB1B4">
      <w:numFmt w:val="bullet"/>
      <w:lvlText w:val="•"/>
      <w:lvlJc w:val="left"/>
      <w:pPr>
        <w:ind w:left="1204" w:hanging="202"/>
      </w:pPr>
      <w:rPr>
        <w:rFonts w:hint="default"/>
      </w:rPr>
    </w:lvl>
    <w:lvl w:ilvl="2" w:tplc="C1F43DD6">
      <w:numFmt w:val="bullet"/>
      <w:lvlText w:val="•"/>
      <w:lvlJc w:val="left"/>
      <w:pPr>
        <w:ind w:left="2108" w:hanging="202"/>
      </w:pPr>
      <w:rPr>
        <w:rFonts w:hint="default"/>
      </w:rPr>
    </w:lvl>
    <w:lvl w:ilvl="3" w:tplc="8E82BBBE">
      <w:numFmt w:val="bullet"/>
      <w:lvlText w:val="•"/>
      <w:lvlJc w:val="left"/>
      <w:pPr>
        <w:ind w:left="3012" w:hanging="202"/>
      </w:pPr>
      <w:rPr>
        <w:rFonts w:hint="default"/>
      </w:rPr>
    </w:lvl>
    <w:lvl w:ilvl="4" w:tplc="D8CA78BA">
      <w:numFmt w:val="bullet"/>
      <w:lvlText w:val="•"/>
      <w:lvlJc w:val="left"/>
      <w:pPr>
        <w:ind w:left="3916" w:hanging="202"/>
      </w:pPr>
      <w:rPr>
        <w:rFonts w:hint="default"/>
      </w:rPr>
    </w:lvl>
    <w:lvl w:ilvl="5" w:tplc="0CEC329A">
      <w:numFmt w:val="bullet"/>
      <w:lvlText w:val="•"/>
      <w:lvlJc w:val="left"/>
      <w:pPr>
        <w:ind w:left="4820" w:hanging="202"/>
      </w:pPr>
      <w:rPr>
        <w:rFonts w:hint="default"/>
      </w:rPr>
    </w:lvl>
    <w:lvl w:ilvl="6" w:tplc="9C6662B4">
      <w:numFmt w:val="bullet"/>
      <w:lvlText w:val="•"/>
      <w:lvlJc w:val="left"/>
      <w:pPr>
        <w:ind w:left="5724" w:hanging="202"/>
      </w:pPr>
      <w:rPr>
        <w:rFonts w:hint="default"/>
      </w:rPr>
    </w:lvl>
    <w:lvl w:ilvl="7" w:tplc="1DAE205A">
      <w:numFmt w:val="bullet"/>
      <w:lvlText w:val="•"/>
      <w:lvlJc w:val="left"/>
      <w:pPr>
        <w:ind w:left="6628" w:hanging="202"/>
      </w:pPr>
      <w:rPr>
        <w:rFonts w:hint="default"/>
      </w:rPr>
    </w:lvl>
    <w:lvl w:ilvl="8" w:tplc="8EC4852E">
      <w:numFmt w:val="bullet"/>
      <w:lvlText w:val="•"/>
      <w:lvlJc w:val="left"/>
      <w:pPr>
        <w:ind w:left="7532" w:hanging="202"/>
      </w:pPr>
      <w:rPr>
        <w:rFonts w:hint="default"/>
      </w:rPr>
    </w:lvl>
  </w:abstractNum>
  <w:abstractNum w:abstractNumId="83" w15:restartNumberingAfterBreak="0">
    <w:nsid w:val="6C820568"/>
    <w:multiLevelType w:val="hybridMultilevel"/>
    <w:tmpl w:val="21344C56"/>
    <w:lvl w:ilvl="0" w:tplc="D1202E8A">
      <w:start w:val="1"/>
      <w:numFmt w:val="lowerLetter"/>
      <w:lvlText w:val="%1)"/>
      <w:lvlJc w:val="left"/>
      <w:pPr>
        <w:ind w:left="308" w:hanging="202"/>
        <w:jc w:val="left"/>
      </w:pPr>
      <w:rPr>
        <w:rFonts w:ascii="Calibri" w:eastAsia="Calibri" w:hAnsi="Calibri" w:cs="Calibri" w:hint="default"/>
        <w:b w:val="0"/>
        <w:bCs w:val="0"/>
        <w:i w:val="0"/>
        <w:iCs w:val="0"/>
        <w:w w:val="99"/>
        <w:sz w:val="20"/>
        <w:szCs w:val="20"/>
      </w:rPr>
    </w:lvl>
    <w:lvl w:ilvl="1" w:tplc="D6AE633E">
      <w:numFmt w:val="bullet"/>
      <w:lvlText w:val="•"/>
      <w:lvlJc w:val="left"/>
      <w:pPr>
        <w:ind w:left="1204" w:hanging="202"/>
      </w:pPr>
      <w:rPr>
        <w:rFonts w:hint="default"/>
      </w:rPr>
    </w:lvl>
    <w:lvl w:ilvl="2" w:tplc="9F703926">
      <w:numFmt w:val="bullet"/>
      <w:lvlText w:val="•"/>
      <w:lvlJc w:val="left"/>
      <w:pPr>
        <w:ind w:left="2108" w:hanging="202"/>
      </w:pPr>
      <w:rPr>
        <w:rFonts w:hint="default"/>
      </w:rPr>
    </w:lvl>
    <w:lvl w:ilvl="3" w:tplc="D6DEB970">
      <w:numFmt w:val="bullet"/>
      <w:lvlText w:val="•"/>
      <w:lvlJc w:val="left"/>
      <w:pPr>
        <w:ind w:left="3012" w:hanging="202"/>
      </w:pPr>
      <w:rPr>
        <w:rFonts w:hint="default"/>
      </w:rPr>
    </w:lvl>
    <w:lvl w:ilvl="4" w:tplc="71D42E46">
      <w:numFmt w:val="bullet"/>
      <w:lvlText w:val="•"/>
      <w:lvlJc w:val="left"/>
      <w:pPr>
        <w:ind w:left="3916" w:hanging="202"/>
      </w:pPr>
      <w:rPr>
        <w:rFonts w:hint="default"/>
      </w:rPr>
    </w:lvl>
    <w:lvl w:ilvl="5" w:tplc="99864AF4">
      <w:numFmt w:val="bullet"/>
      <w:lvlText w:val="•"/>
      <w:lvlJc w:val="left"/>
      <w:pPr>
        <w:ind w:left="4820" w:hanging="202"/>
      </w:pPr>
      <w:rPr>
        <w:rFonts w:hint="default"/>
      </w:rPr>
    </w:lvl>
    <w:lvl w:ilvl="6" w:tplc="01F0C5F0">
      <w:numFmt w:val="bullet"/>
      <w:lvlText w:val="•"/>
      <w:lvlJc w:val="left"/>
      <w:pPr>
        <w:ind w:left="5724" w:hanging="202"/>
      </w:pPr>
      <w:rPr>
        <w:rFonts w:hint="default"/>
      </w:rPr>
    </w:lvl>
    <w:lvl w:ilvl="7" w:tplc="11543E52">
      <w:numFmt w:val="bullet"/>
      <w:lvlText w:val="•"/>
      <w:lvlJc w:val="left"/>
      <w:pPr>
        <w:ind w:left="6628" w:hanging="202"/>
      </w:pPr>
      <w:rPr>
        <w:rFonts w:hint="default"/>
      </w:rPr>
    </w:lvl>
    <w:lvl w:ilvl="8" w:tplc="4008DB08">
      <w:numFmt w:val="bullet"/>
      <w:lvlText w:val="•"/>
      <w:lvlJc w:val="left"/>
      <w:pPr>
        <w:ind w:left="7532" w:hanging="202"/>
      </w:pPr>
      <w:rPr>
        <w:rFonts w:hint="default"/>
      </w:rPr>
    </w:lvl>
  </w:abstractNum>
  <w:abstractNum w:abstractNumId="84" w15:restartNumberingAfterBreak="0">
    <w:nsid w:val="6DED7B48"/>
    <w:multiLevelType w:val="hybridMultilevel"/>
    <w:tmpl w:val="7F8A6CBA"/>
    <w:lvl w:ilvl="0" w:tplc="7A581B3E">
      <w:numFmt w:val="bullet"/>
      <w:lvlText w:val=""/>
      <w:lvlJc w:val="left"/>
      <w:pPr>
        <w:ind w:left="270" w:hanging="190"/>
      </w:pPr>
      <w:rPr>
        <w:rFonts w:ascii="Symbol" w:eastAsia="Symbol" w:hAnsi="Symbol" w:cs="Symbol" w:hint="default"/>
        <w:b w:val="0"/>
        <w:bCs w:val="0"/>
        <w:i w:val="0"/>
        <w:iCs w:val="0"/>
        <w:w w:val="99"/>
        <w:sz w:val="20"/>
        <w:szCs w:val="20"/>
      </w:rPr>
    </w:lvl>
    <w:lvl w:ilvl="1" w:tplc="7416E03E">
      <w:numFmt w:val="bullet"/>
      <w:lvlText w:val="•"/>
      <w:lvlJc w:val="left"/>
      <w:pPr>
        <w:ind w:left="614" w:hanging="190"/>
      </w:pPr>
      <w:rPr>
        <w:rFonts w:hint="default"/>
      </w:rPr>
    </w:lvl>
    <w:lvl w:ilvl="2" w:tplc="50985ADE">
      <w:numFmt w:val="bullet"/>
      <w:lvlText w:val="•"/>
      <w:lvlJc w:val="left"/>
      <w:pPr>
        <w:ind w:left="949" w:hanging="190"/>
      </w:pPr>
      <w:rPr>
        <w:rFonts w:hint="default"/>
      </w:rPr>
    </w:lvl>
    <w:lvl w:ilvl="3" w:tplc="7BB2C05C">
      <w:numFmt w:val="bullet"/>
      <w:lvlText w:val="•"/>
      <w:lvlJc w:val="left"/>
      <w:pPr>
        <w:ind w:left="1283" w:hanging="190"/>
      </w:pPr>
      <w:rPr>
        <w:rFonts w:hint="default"/>
      </w:rPr>
    </w:lvl>
    <w:lvl w:ilvl="4" w:tplc="0CC67A8E">
      <w:numFmt w:val="bullet"/>
      <w:lvlText w:val="•"/>
      <w:lvlJc w:val="left"/>
      <w:pPr>
        <w:ind w:left="1618" w:hanging="190"/>
      </w:pPr>
      <w:rPr>
        <w:rFonts w:hint="default"/>
      </w:rPr>
    </w:lvl>
    <w:lvl w:ilvl="5" w:tplc="1B3ABFFA">
      <w:numFmt w:val="bullet"/>
      <w:lvlText w:val="•"/>
      <w:lvlJc w:val="left"/>
      <w:pPr>
        <w:ind w:left="1953" w:hanging="190"/>
      </w:pPr>
      <w:rPr>
        <w:rFonts w:hint="default"/>
      </w:rPr>
    </w:lvl>
    <w:lvl w:ilvl="6" w:tplc="528C5A14">
      <w:numFmt w:val="bullet"/>
      <w:lvlText w:val="•"/>
      <w:lvlJc w:val="left"/>
      <w:pPr>
        <w:ind w:left="2287" w:hanging="190"/>
      </w:pPr>
      <w:rPr>
        <w:rFonts w:hint="default"/>
      </w:rPr>
    </w:lvl>
    <w:lvl w:ilvl="7" w:tplc="38B02AAE">
      <w:numFmt w:val="bullet"/>
      <w:lvlText w:val="•"/>
      <w:lvlJc w:val="left"/>
      <w:pPr>
        <w:ind w:left="2622" w:hanging="190"/>
      </w:pPr>
      <w:rPr>
        <w:rFonts w:hint="default"/>
      </w:rPr>
    </w:lvl>
    <w:lvl w:ilvl="8" w:tplc="D722DB1A">
      <w:numFmt w:val="bullet"/>
      <w:lvlText w:val="•"/>
      <w:lvlJc w:val="left"/>
      <w:pPr>
        <w:ind w:left="2956" w:hanging="190"/>
      </w:pPr>
      <w:rPr>
        <w:rFonts w:hint="default"/>
      </w:rPr>
    </w:lvl>
  </w:abstractNum>
  <w:abstractNum w:abstractNumId="85" w15:restartNumberingAfterBreak="0">
    <w:nsid w:val="73F96EE2"/>
    <w:multiLevelType w:val="hybridMultilevel"/>
    <w:tmpl w:val="4000C730"/>
    <w:lvl w:ilvl="0" w:tplc="364EAE1C">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1DE09FBE">
      <w:numFmt w:val="bullet"/>
      <w:lvlText w:val="•"/>
      <w:lvlJc w:val="left"/>
      <w:pPr>
        <w:ind w:left="1204" w:hanging="202"/>
      </w:pPr>
      <w:rPr>
        <w:rFonts w:hint="default"/>
      </w:rPr>
    </w:lvl>
    <w:lvl w:ilvl="2" w:tplc="E6F86404">
      <w:numFmt w:val="bullet"/>
      <w:lvlText w:val="•"/>
      <w:lvlJc w:val="left"/>
      <w:pPr>
        <w:ind w:left="2108" w:hanging="202"/>
      </w:pPr>
      <w:rPr>
        <w:rFonts w:hint="default"/>
      </w:rPr>
    </w:lvl>
    <w:lvl w:ilvl="3" w:tplc="780CF896">
      <w:numFmt w:val="bullet"/>
      <w:lvlText w:val="•"/>
      <w:lvlJc w:val="left"/>
      <w:pPr>
        <w:ind w:left="3012" w:hanging="202"/>
      </w:pPr>
      <w:rPr>
        <w:rFonts w:hint="default"/>
      </w:rPr>
    </w:lvl>
    <w:lvl w:ilvl="4" w:tplc="43CE8C82">
      <w:numFmt w:val="bullet"/>
      <w:lvlText w:val="•"/>
      <w:lvlJc w:val="left"/>
      <w:pPr>
        <w:ind w:left="3916" w:hanging="202"/>
      </w:pPr>
      <w:rPr>
        <w:rFonts w:hint="default"/>
      </w:rPr>
    </w:lvl>
    <w:lvl w:ilvl="5" w:tplc="C3A8BDC8">
      <w:numFmt w:val="bullet"/>
      <w:lvlText w:val="•"/>
      <w:lvlJc w:val="left"/>
      <w:pPr>
        <w:ind w:left="4820" w:hanging="202"/>
      </w:pPr>
      <w:rPr>
        <w:rFonts w:hint="default"/>
      </w:rPr>
    </w:lvl>
    <w:lvl w:ilvl="6" w:tplc="5A8C16A2">
      <w:numFmt w:val="bullet"/>
      <w:lvlText w:val="•"/>
      <w:lvlJc w:val="left"/>
      <w:pPr>
        <w:ind w:left="5724" w:hanging="202"/>
      </w:pPr>
      <w:rPr>
        <w:rFonts w:hint="default"/>
      </w:rPr>
    </w:lvl>
    <w:lvl w:ilvl="7" w:tplc="C2E46210">
      <w:numFmt w:val="bullet"/>
      <w:lvlText w:val="•"/>
      <w:lvlJc w:val="left"/>
      <w:pPr>
        <w:ind w:left="6628" w:hanging="202"/>
      </w:pPr>
      <w:rPr>
        <w:rFonts w:hint="default"/>
      </w:rPr>
    </w:lvl>
    <w:lvl w:ilvl="8" w:tplc="6E262EFA">
      <w:numFmt w:val="bullet"/>
      <w:lvlText w:val="•"/>
      <w:lvlJc w:val="left"/>
      <w:pPr>
        <w:ind w:left="7532" w:hanging="202"/>
      </w:pPr>
      <w:rPr>
        <w:rFonts w:hint="default"/>
      </w:rPr>
    </w:lvl>
  </w:abstractNum>
  <w:abstractNum w:abstractNumId="86" w15:restartNumberingAfterBreak="0">
    <w:nsid w:val="74B34C48"/>
    <w:multiLevelType w:val="hybridMultilevel"/>
    <w:tmpl w:val="79FAFF66"/>
    <w:lvl w:ilvl="0" w:tplc="8BD852F6">
      <w:numFmt w:val="bullet"/>
      <w:lvlText w:val=""/>
      <w:lvlJc w:val="left"/>
      <w:pPr>
        <w:ind w:left="467" w:hanging="360"/>
      </w:pPr>
      <w:rPr>
        <w:rFonts w:ascii="Symbol" w:eastAsia="Symbol" w:hAnsi="Symbol" w:cs="Symbol" w:hint="default"/>
        <w:b w:val="0"/>
        <w:bCs w:val="0"/>
        <w:i w:val="0"/>
        <w:iCs w:val="0"/>
        <w:w w:val="99"/>
        <w:sz w:val="20"/>
        <w:szCs w:val="20"/>
      </w:rPr>
    </w:lvl>
    <w:lvl w:ilvl="1" w:tplc="376A42AC">
      <w:numFmt w:val="bullet"/>
      <w:lvlText w:val="•"/>
      <w:lvlJc w:val="left"/>
      <w:pPr>
        <w:ind w:left="1348" w:hanging="360"/>
      </w:pPr>
      <w:rPr>
        <w:rFonts w:hint="default"/>
      </w:rPr>
    </w:lvl>
    <w:lvl w:ilvl="2" w:tplc="20665AB8">
      <w:numFmt w:val="bullet"/>
      <w:lvlText w:val="•"/>
      <w:lvlJc w:val="left"/>
      <w:pPr>
        <w:ind w:left="2236" w:hanging="360"/>
      </w:pPr>
      <w:rPr>
        <w:rFonts w:hint="default"/>
      </w:rPr>
    </w:lvl>
    <w:lvl w:ilvl="3" w:tplc="BDC25ACC">
      <w:numFmt w:val="bullet"/>
      <w:lvlText w:val="•"/>
      <w:lvlJc w:val="left"/>
      <w:pPr>
        <w:ind w:left="3124" w:hanging="360"/>
      </w:pPr>
      <w:rPr>
        <w:rFonts w:hint="default"/>
      </w:rPr>
    </w:lvl>
    <w:lvl w:ilvl="4" w:tplc="99945518">
      <w:numFmt w:val="bullet"/>
      <w:lvlText w:val="•"/>
      <w:lvlJc w:val="left"/>
      <w:pPr>
        <w:ind w:left="4012" w:hanging="360"/>
      </w:pPr>
      <w:rPr>
        <w:rFonts w:hint="default"/>
      </w:rPr>
    </w:lvl>
    <w:lvl w:ilvl="5" w:tplc="12EEA4C2">
      <w:numFmt w:val="bullet"/>
      <w:lvlText w:val="•"/>
      <w:lvlJc w:val="left"/>
      <w:pPr>
        <w:ind w:left="4900" w:hanging="360"/>
      </w:pPr>
      <w:rPr>
        <w:rFonts w:hint="default"/>
      </w:rPr>
    </w:lvl>
    <w:lvl w:ilvl="6" w:tplc="1270D298">
      <w:numFmt w:val="bullet"/>
      <w:lvlText w:val="•"/>
      <w:lvlJc w:val="left"/>
      <w:pPr>
        <w:ind w:left="5788" w:hanging="360"/>
      </w:pPr>
      <w:rPr>
        <w:rFonts w:hint="default"/>
      </w:rPr>
    </w:lvl>
    <w:lvl w:ilvl="7" w:tplc="991440F6">
      <w:numFmt w:val="bullet"/>
      <w:lvlText w:val="•"/>
      <w:lvlJc w:val="left"/>
      <w:pPr>
        <w:ind w:left="6676" w:hanging="360"/>
      </w:pPr>
      <w:rPr>
        <w:rFonts w:hint="default"/>
      </w:rPr>
    </w:lvl>
    <w:lvl w:ilvl="8" w:tplc="68E0B78C">
      <w:numFmt w:val="bullet"/>
      <w:lvlText w:val="•"/>
      <w:lvlJc w:val="left"/>
      <w:pPr>
        <w:ind w:left="7564" w:hanging="360"/>
      </w:pPr>
      <w:rPr>
        <w:rFonts w:hint="default"/>
      </w:rPr>
    </w:lvl>
  </w:abstractNum>
  <w:abstractNum w:abstractNumId="87" w15:restartNumberingAfterBreak="0">
    <w:nsid w:val="74F05D19"/>
    <w:multiLevelType w:val="hybridMultilevel"/>
    <w:tmpl w:val="9186254E"/>
    <w:lvl w:ilvl="0" w:tplc="A9F8126A">
      <w:start w:val="1"/>
      <w:numFmt w:val="lowerLetter"/>
      <w:lvlText w:val="%1)"/>
      <w:lvlJc w:val="left"/>
      <w:pPr>
        <w:ind w:left="309" w:hanging="202"/>
        <w:jc w:val="left"/>
      </w:pPr>
      <w:rPr>
        <w:rFonts w:ascii="Calibri" w:eastAsia="Calibri" w:hAnsi="Calibri" w:cs="Calibri" w:hint="default"/>
        <w:b w:val="0"/>
        <w:bCs w:val="0"/>
        <w:i w:val="0"/>
        <w:iCs w:val="0"/>
        <w:w w:val="99"/>
        <w:sz w:val="20"/>
        <w:szCs w:val="20"/>
      </w:rPr>
    </w:lvl>
    <w:lvl w:ilvl="1" w:tplc="B2D04F9A">
      <w:numFmt w:val="bullet"/>
      <w:lvlText w:val="•"/>
      <w:lvlJc w:val="left"/>
      <w:pPr>
        <w:ind w:left="1204" w:hanging="202"/>
      </w:pPr>
      <w:rPr>
        <w:rFonts w:hint="default"/>
      </w:rPr>
    </w:lvl>
    <w:lvl w:ilvl="2" w:tplc="3FCE432E">
      <w:numFmt w:val="bullet"/>
      <w:lvlText w:val="•"/>
      <w:lvlJc w:val="left"/>
      <w:pPr>
        <w:ind w:left="2108" w:hanging="202"/>
      </w:pPr>
      <w:rPr>
        <w:rFonts w:hint="default"/>
      </w:rPr>
    </w:lvl>
    <w:lvl w:ilvl="3" w:tplc="9B408F04">
      <w:numFmt w:val="bullet"/>
      <w:lvlText w:val="•"/>
      <w:lvlJc w:val="left"/>
      <w:pPr>
        <w:ind w:left="3012" w:hanging="202"/>
      </w:pPr>
      <w:rPr>
        <w:rFonts w:hint="default"/>
      </w:rPr>
    </w:lvl>
    <w:lvl w:ilvl="4" w:tplc="2A72B160">
      <w:numFmt w:val="bullet"/>
      <w:lvlText w:val="•"/>
      <w:lvlJc w:val="left"/>
      <w:pPr>
        <w:ind w:left="3916" w:hanging="202"/>
      </w:pPr>
      <w:rPr>
        <w:rFonts w:hint="default"/>
      </w:rPr>
    </w:lvl>
    <w:lvl w:ilvl="5" w:tplc="4770EE5E">
      <w:numFmt w:val="bullet"/>
      <w:lvlText w:val="•"/>
      <w:lvlJc w:val="left"/>
      <w:pPr>
        <w:ind w:left="4820" w:hanging="202"/>
      </w:pPr>
      <w:rPr>
        <w:rFonts w:hint="default"/>
      </w:rPr>
    </w:lvl>
    <w:lvl w:ilvl="6" w:tplc="35324534">
      <w:numFmt w:val="bullet"/>
      <w:lvlText w:val="•"/>
      <w:lvlJc w:val="left"/>
      <w:pPr>
        <w:ind w:left="5724" w:hanging="202"/>
      </w:pPr>
      <w:rPr>
        <w:rFonts w:hint="default"/>
      </w:rPr>
    </w:lvl>
    <w:lvl w:ilvl="7" w:tplc="3806CA72">
      <w:numFmt w:val="bullet"/>
      <w:lvlText w:val="•"/>
      <w:lvlJc w:val="left"/>
      <w:pPr>
        <w:ind w:left="6628" w:hanging="202"/>
      </w:pPr>
      <w:rPr>
        <w:rFonts w:hint="default"/>
      </w:rPr>
    </w:lvl>
    <w:lvl w:ilvl="8" w:tplc="F2E2751C">
      <w:numFmt w:val="bullet"/>
      <w:lvlText w:val="•"/>
      <w:lvlJc w:val="left"/>
      <w:pPr>
        <w:ind w:left="7532" w:hanging="202"/>
      </w:pPr>
      <w:rPr>
        <w:rFonts w:hint="default"/>
      </w:rPr>
    </w:lvl>
  </w:abstractNum>
  <w:abstractNum w:abstractNumId="88" w15:restartNumberingAfterBreak="0">
    <w:nsid w:val="75CD1B9B"/>
    <w:multiLevelType w:val="hybridMultilevel"/>
    <w:tmpl w:val="75E097E4"/>
    <w:lvl w:ilvl="0" w:tplc="8E46A138">
      <w:numFmt w:val="bullet"/>
      <w:lvlText w:val=""/>
      <w:lvlJc w:val="left"/>
      <w:pPr>
        <w:ind w:left="108" w:hanging="360"/>
      </w:pPr>
      <w:rPr>
        <w:rFonts w:ascii="Symbol" w:eastAsia="Symbol" w:hAnsi="Symbol" w:cs="Symbol" w:hint="default"/>
        <w:b w:val="0"/>
        <w:bCs w:val="0"/>
        <w:i w:val="0"/>
        <w:iCs w:val="0"/>
        <w:w w:val="99"/>
        <w:sz w:val="20"/>
        <w:szCs w:val="20"/>
      </w:rPr>
    </w:lvl>
    <w:lvl w:ilvl="1" w:tplc="5C766CE2">
      <w:numFmt w:val="bullet"/>
      <w:lvlText w:val="•"/>
      <w:lvlJc w:val="left"/>
      <w:pPr>
        <w:ind w:left="1024" w:hanging="360"/>
      </w:pPr>
      <w:rPr>
        <w:rFonts w:hint="default"/>
      </w:rPr>
    </w:lvl>
    <w:lvl w:ilvl="2" w:tplc="79CC228A">
      <w:numFmt w:val="bullet"/>
      <w:lvlText w:val="•"/>
      <w:lvlJc w:val="left"/>
      <w:pPr>
        <w:ind w:left="1948" w:hanging="360"/>
      </w:pPr>
      <w:rPr>
        <w:rFonts w:hint="default"/>
      </w:rPr>
    </w:lvl>
    <w:lvl w:ilvl="3" w:tplc="82128690">
      <w:numFmt w:val="bullet"/>
      <w:lvlText w:val="•"/>
      <w:lvlJc w:val="left"/>
      <w:pPr>
        <w:ind w:left="2872" w:hanging="360"/>
      </w:pPr>
      <w:rPr>
        <w:rFonts w:hint="default"/>
      </w:rPr>
    </w:lvl>
    <w:lvl w:ilvl="4" w:tplc="C8C845FA">
      <w:numFmt w:val="bullet"/>
      <w:lvlText w:val="•"/>
      <w:lvlJc w:val="left"/>
      <w:pPr>
        <w:ind w:left="3796" w:hanging="360"/>
      </w:pPr>
      <w:rPr>
        <w:rFonts w:hint="default"/>
      </w:rPr>
    </w:lvl>
    <w:lvl w:ilvl="5" w:tplc="0E4002EC">
      <w:numFmt w:val="bullet"/>
      <w:lvlText w:val="•"/>
      <w:lvlJc w:val="left"/>
      <w:pPr>
        <w:ind w:left="4720" w:hanging="360"/>
      </w:pPr>
      <w:rPr>
        <w:rFonts w:hint="default"/>
      </w:rPr>
    </w:lvl>
    <w:lvl w:ilvl="6" w:tplc="5E9E5EE6">
      <w:numFmt w:val="bullet"/>
      <w:lvlText w:val="•"/>
      <w:lvlJc w:val="left"/>
      <w:pPr>
        <w:ind w:left="5644" w:hanging="360"/>
      </w:pPr>
      <w:rPr>
        <w:rFonts w:hint="default"/>
      </w:rPr>
    </w:lvl>
    <w:lvl w:ilvl="7" w:tplc="20AA720C">
      <w:numFmt w:val="bullet"/>
      <w:lvlText w:val="•"/>
      <w:lvlJc w:val="left"/>
      <w:pPr>
        <w:ind w:left="6568" w:hanging="360"/>
      </w:pPr>
      <w:rPr>
        <w:rFonts w:hint="default"/>
      </w:rPr>
    </w:lvl>
    <w:lvl w:ilvl="8" w:tplc="9462F254">
      <w:numFmt w:val="bullet"/>
      <w:lvlText w:val="•"/>
      <w:lvlJc w:val="left"/>
      <w:pPr>
        <w:ind w:left="7492" w:hanging="360"/>
      </w:pPr>
      <w:rPr>
        <w:rFonts w:hint="default"/>
      </w:rPr>
    </w:lvl>
  </w:abstractNum>
  <w:abstractNum w:abstractNumId="89" w15:restartNumberingAfterBreak="0">
    <w:nsid w:val="785524D8"/>
    <w:multiLevelType w:val="hybridMultilevel"/>
    <w:tmpl w:val="4C945954"/>
    <w:lvl w:ilvl="0" w:tplc="4CE41B00">
      <w:numFmt w:val="bullet"/>
      <w:lvlText w:val=""/>
      <w:lvlJc w:val="left"/>
      <w:pPr>
        <w:ind w:left="270" w:hanging="190"/>
      </w:pPr>
      <w:rPr>
        <w:rFonts w:ascii="Symbol" w:eastAsia="Symbol" w:hAnsi="Symbol" w:cs="Symbol" w:hint="default"/>
        <w:b w:val="0"/>
        <w:bCs w:val="0"/>
        <w:i w:val="0"/>
        <w:iCs w:val="0"/>
        <w:w w:val="99"/>
        <w:sz w:val="20"/>
        <w:szCs w:val="20"/>
      </w:rPr>
    </w:lvl>
    <w:lvl w:ilvl="1" w:tplc="4A04DE2A">
      <w:numFmt w:val="bullet"/>
      <w:lvlText w:val="•"/>
      <w:lvlJc w:val="left"/>
      <w:pPr>
        <w:ind w:left="490" w:hanging="190"/>
      </w:pPr>
      <w:rPr>
        <w:rFonts w:hint="default"/>
      </w:rPr>
    </w:lvl>
    <w:lvl w:ilvl="2" w:tplc="A274C1AE">
      <w:numFmt w:val="bullet"/>
      <w:lvlText w:val="•"/>
      <w:lvlJc w:val="left"/>
      <w:pPr>
        <w:ind w:left="701" w:hanging="190"/>
      </w:pPr>
      <w:rPr>
        <w:rFonts w:hint="default"/>
      </w:rPr>
    </w:lvl>
    <w:lvl w:ilvl="3" w:tplc="A336FD58">
      <w:numFmt w:val="bullet"/>
      <w:lvlText w:val="•"/>
      <w:lvlJc w:val="left"/>
      <w:pPr>
        <w:ind w:left="912" w:hanging="190"/>
      </w:pPr>
      <w:rPr>
        <w:rFonts w:hint="default"/>
      </w:rPr>
    </w:lvl>
    <w:lvl w:ilvl="4" w:tplc="CCF0B5BC">
      <w:numFmt w:val="bullet"/>
      <w:lvlText w:val="•"/>
      <w:lvlJc w:val="left"/>
      <w:pPr>
        <w:ind w:left="1123" w:hanging="190"/>
      </w:pPr>
      <w:rPr>
        <w:rFonts w:hint="default"/>
      </w:rPr>
    </w:lvl>
    <w:lvl w:ilvl="5" w:tplc="863AFCA0">
      <w:numFmt w:val="bullet"/>
      <w:lvlText w:val="•"/>
      <w:lvlJc w:val="left"/>
      <w:pPr>
        <w:ind w:left="1334" w:hanging="190"/>
      </w:pPr>
      <w:rPr>
        <w:rFonts w:hint="default"/>
      </w:rPr>
    </w:lvl>
    <w:lvl w:ilvl="6" w:tplc="34A86F4E">
      <w:numFmt w:val="bullet"/>
      <w:lvlText w:val="•"/>
      <w:lvlJc w:val="left"/>
      <w:pPr>
        <w:ind w:left="1544" w:hanging="190"/>
      </w:pPr>
      <w:rPr>
        <w:rFonts w:hint="default"/>
      </w:rPr>
    </w:lvl>
    <w:lvl w:ilvl="7" w:tplc="A240026C">
      <w:numFmt w:val="bullet"/>
      <w:lvlText w:val="•"/>
      <w:lvlJc w:val="left"/>
      <w:pPr>
        <w:ind w:left="1755" w:hanging="190"/>
      </w:pPr>
      <w:rPr>
        <w:rFonts w:hint="default"/>
      </w:rPr>
    </w:lvl>
    <w:lvl w:ilvl="8" w:tplc="31701AAA">
      <w:numFmt w:val="bullet"/>
      <w:lvlText w:val="•"/>
      <w:lvlJc w:val="left"/>
      <w:pPr>
        <w:ind w:left="1966" w:hanging="190"/>
      </w:pPr>
      <w:rPr>
        <w:rFonts w:hint="default"/>
      </w:rPr>
    </w:lvl>
  </w:abstractNum>
  <w:abstractNum w:abstractNumId="90" w15:restartNumberingAfterBreak="0">
    <w:nsid w:val="7A3103F5"/>
    <w:multiLevelType w:val="hybridMultilevel"/>
    <w:tmpl w:val="00B467F2"/>
    <w:lvl w:ilvl="0" w:tplc="324040DC">
      <w:numFmt w:val="bullet"/>
      <w:lvlText w:val=""/>
      <w:lvlJc w:val="left"/>
      <w:pPr>
        <w:ind w:left="468" w:hanging="360"/>
      </w:pPr>
      <w:rPr>
        <w:rFonts w:ascii="Symbol" w:eastAsia="Symbol" w:hAnsi="Symbol" w:cs="Symbol" w:hint="default"/>
        <w:b w:val="0"/>
        <w:bCs w:val="0"/>
        <w:i w:val="0"/>
        <w:iCs w:val="0"/>
        <w:w w:val="99"/>
        <w:sz w:val="20"/>
        <w:szCs w:val="20"/>
      </w:rPr>
    </w:lvl>
    <w:lvl w:ilvl="1" w:tplc="C08A29D8">
      <w:numFmt w:val="bullet"/>
      <w:lvlText w:val="•"/>
      <w:lvlJc w:val="left"/>
      <w:pPr>
        <w:ind w:left="575" w:hanging="360"/>
      </w:pPr>
      <w:rPr>
        <w:rFonts w:hint="default"/>
      </w:rPr>
    </w:lvl>
    <w:lvl w:ilvl="2" w:tplc="AB0693C4">
      <w:numFmt w:val="bullet"/>
      <w:lvlText w:val="•"/>
      <w:lvlJc w:val="left"/>
      <w:pPr>
        <w:ind w:left="690" w:hanging="360"/>
      </w:pPr>
      <w:rPr>
        <w:rFonts w:hint="default"/>
      </w:rPr>
    </w:lvl>
    <w:lvl w:ilvl="3" w:tplc="3B5CB720">
      <w:numFmt w:val="bullet"/>
      <w:lvlText w:val="•"/>
      <w:lvlJc w:val="left"/>
      <w:pPr>
        <w:ind w:left="805" w:hanging="360"/>
      </w:pPr>
      <w:rPr>
        <w:rFonts w:hint="default"/>
      </w:rPr>
    </w:lvl>
    <w:lvl w:ilvl="4" w:tplc="C73E3608">
      <w:numFmt w:val="bullet"/>
      <w:lvlText w:val="•"/>
      <w:lvlJc w:val="left"/>
      <w:pPr>
        <w:ind w:left="920" w:hanging="360"/>
      </w:pPr>
      <w:rPr>
        <w:rFonts w:hint="default"/>
      </w:rPr>
    </w:lvl>
    <w:lvl w:ilvl="5" w:tplc="4E08FEFA">
      <w:numFmt w:val="bullet"/>
      <w:lvlText w:val="•"/>
      <w:lvlJc w:val="left"/>
      <w:pPr>
        <w:ind w:left="1035" w:hanging="360"/>
      </w:pPr>
      <w:rPr>
        <w:rFonts w:hint="default"/>
      </w:rPr>
    </w:lvl>
    <w:lvl w:ilvl="6" w:tplc="4B2C4AAE">
      <w:numFmt w:val="bullet"/>
      <w:lvlText w:val="•"/>
      <w:lvlJc w:val="left"/>
      <w:pPr>
        <w:ind w:left="1150" w:hanging="360"/>
      </w:pPr>
      <w:rPr>
        <w:rFonts w:hint="default"/>
      </w:rPr>
    </w:lvl>
    <w:lvl w:ilvl="7" w:tplc="8256AC2E">
      <w:numFmt w:val="bullet"/>
      <w:lvlText w:val="•"/>
      <w:lvlJc w:val="left"/>
      <w:pPr>
        <w:ind w:left="1265" w:hanging="360"/>
      </w:pPr>
      <w:rPr>
        <w:rFonts w:hint="default"/>
      </w:rPr>
    </w:lvl>
    <w:lvl w:ilvl="8" w:tplc="13AC0AD0">
      <w:numFmt w:val="bullet"/>
      <w:lvlText w:val="•"/>
      <w:lvlJc w:val="left"/>
      <w:pPr>
        <w:ind w:left="1380" w:hanging="360"/>
      </w:pPr>
      <w:rPr>
        <w:rFonts w:hint="default"/>
      </w:rPr>
    </w:lvl>
  </w:abstractNum>
  <w:abstractNum w:abstractNumId="91" w15:restartNumberingAfterBreak="0">
    <w:nsid w:val="7E40312D"/>
    <w:multiLevelType w:val="hybridMultilevel"/>
    <w:tmpl w:val="B1465F54"/>
    <w:lvl w:ilvl="0" w:tplc="98D80ECE">
      <w:numFmt w:val="bullet"/>
      <w:lvlText w:val=""/>
      <w:lvlJc w:val="left"/>
      <w:pPr>
        <w:ind w:left="359" w:hanging="360"/>
      </w:pPr>
      <w:rPr>
        <w:rFonts w:ascii="Symbol" w:eastAsia="Symbol" w:hAnsi="Symbol" w:cs="Symbol" w:hint="default"/>
        <w:b w:val="0"/>
        <w:bCs w:val="0"/>
        <w:i w:val="0"/>
        <w:iCs w:val="0"/>
        <w:w w:val="99"/>
        <w:sz w:val="20"/>
        <w:szCs w:val="20"/>
      </w:rPr>
    </w:lvl>
    <w:lvl w:ilvl="1" w:tplc="5A689F00">
      <w:numFmt w:val="bullet"/>
      <w:lvlText w:val=""/>
      <w:lvlJc w:val="left"/>
      <w:pPr>
        <w:ind w:left="720" w:hanging="360"/>
      </w:pPr>
      <w:rPr>
        <w:rFonts w:ascii="Symbol" w:eastAsia="Symbol" w:hAnsi="Symbol" w:cs="Symbol" w:hint="default"/>
        <w:b w:val="0"/>
        <w:bCs w:val="0"/>
        <w:i w:val="0"/>
        <w:iCs w:val="0"/>
        <w:w w:val="99"/>
        <w:sz w:val="20"/>
        <w:szCs w:val="20"/>
      </w:rPr>
    </w:lvl>
    <w:lvl w:ilvl="2" w:tplc="305C95EC">
      <w:numFmt w:val="bullet"/>
      <w:lvlText w:val="•"/>
      <w:lvlJc w:val="left"/>
      <w:pPr>
        <w:ind w:left="1660" w:hanging="360"/>
      </w:pPr>
      <w:rPr>
        <w:rFonts w:hint="default"/>
      </w:rPr>
    </w:lvl>
    <w:lvl w:ilvl="3" w:tplc="2A86DF1E">
      <w:numFmt w:val="bullet"/>
      <w:lvlText w:val="•"/>
      <w:lvlJc w:val="left"/>
      <w:pPr>
        <w:ind w:left="2601" w:hanging="360"/>
      </w:pPr>
      <w:rPr>
        <w:rFonts w:hint="default"/>
      </w:rPr>
    </w:lvl>
    <w:lvl w:ilvl="4" w:tplc="473C5EDE">
      <w:numFmt w:val="bullet"/>
      <w:lvlText w:val="•"/>
      <w:lvlJc w:val="left"/>
      <w:pPr>
        <w:ind w:left="3541" w:hanging="360"/>
      </w:pPr>
      <w:rPr>
        <w:rFonts w:hint="default"/>
      </w:rPr>
    </w:lvl>
    <w:lvl w:ilvl="5" w:tplc="04F23962">
      <w:numFmt w:val="bullet"/>
      <w:lvlText w:val="•"/>
      <w:lvlJc w:val="left"/>
      <w:pPr>
        <w:ind w:left="4482" w:hanging="360"/>
      </w:pPr>
      <w:rPr>
        <w:rFonts w:hint="default"/>
      </w:rPr>
    </w:lvl>
    <w:lvl w:ilvl="6" w:tplc="B994D1BE">
      <w:numFmt w:val="bullet"/>
      <w:lvlText w:val="•"/>
      <w:lvlJc w:val="left"/>
      <w:pPr>
        <w:ind w:left="5423" w:hanging="360"/>
      </w:pPr>
      <w:rPr>
        <w:rFonts w:hint="default"/>
      </w:rPr>
    </w:lvl>
    <w:lvl w:ilvl="7" w:tplc="08A8888A">
      <w:numFmt w:val="bullet"/>
      <w:lvlText w:val="•"/>
      <w:lvlJc w:val="left"/>
      <w:pPr>
        <w:ind w:left="6363" w:hanging="360"/>
      </w:pPr>
      <w:rPr>
        <w:rFonts w:hint="default"/>
      </w:rPr>
    </w:lvl>
    <w:lvl w:ilvl="8" w:tplc="82486FDE">
      <w:numFmt w:val="bullet"/>
      <w:lvlText w:val="•"/>
      <w:lvlJc w:val="left"/>
      <w:pPr>
        <w:ind w:left="7304" w:hanging="360"/>
      </w:pPr>
      <w:rPr>
        <w:rFonts w:hint="default"/>
      </w:rPr>
    </w:lvl>
  </w:abstractNum>
  <w:abstractNum w:abstractNumId="92" w15:restartNumberingAfterBreak="0">
    <w:nsid w:val="7FBA5FCC"/>
    <w:multiLevelType w:val="hybridMultilevel"/>
    <w:tmpl w:val="CC046696"/>
    <w:lvl w:ilvl="0" w:tplc="0B4A7546">
      <w:numFmt w:val="bullet"/>
      <w:lvlText w:val=""/>
      <w:lvlJc w:val="left"/>
      <w:pPr>
        <w:ind w:left="467" w:hanging="360"/>
      </w:pPr>
      <w:rPr>
        <w:rFonts w:ascii="Symbol" w:eastAsia="Symbol" w:hAnsi="Symbol" w:cs="Symbol" w:hint="default"/>
        <w:b w:val="0"/>
        <w:bCs w:val="0"/>
        <w:i w:val="0"/>
        <w:iCs w:val="0"/>
        <w:w w:val="99"/>
        <w:sz w:val="20"/>
        <w:szCs w:val="20"/>
      </w:rPr>
    </w:lvl>
    <w:lvl w:ilvl="1" w:tplc="9B2C59F8">
      <w:numFmt w:val="bullet"/>
      <w:lvlText w:val="•"/>
      <w:lvlJc w:val="left"/>
      <w:pPr>
        <w:ind w:left="1348" w:hanging="360"/>
      </w:pPr>
      <w:rPr>
        <w:rFonts w:hint="default"/>
      </w:rPr>
    </w:lvl>
    <w:lvl w:ilvl="2" w:tplc="E482D16C">
      <w:numFmt w:val="bullet"/>
      <w:lvlText w:val="•"/>
      <w:lvlJc w:val="left"/>
      <w:pPr>
        <w:ind w:left="2236" w:hanging="360"/>
      </w:pPr>
      <w:rPr>
        <w:rFonts w:hint="default"/>
      </w:rPr>
    </w:lvl>
    <w:lvl w:ilvl="3" w:tplc="C7327EF6">
      <w:numFmt w:val="bullet"/>
      <w:lvlText w:val="•"/>
      <w:lvlJc w:val="left"/>
      <w:pPr>
        <w:ind w:left="3124" w:hanging="360"/>
      </w:pPr>
      <w:rPr>
        <w:rFonts w:hint="default"/>
      </w:rPr>
    </w:lvl>
    <w:lvl w:ilvl="4" w:tplc="3D60EFC4">
      <w:numFmt w:val="bullet"/>
      <w:lvlText w:val="•"/>
      <w:lvlJc w:val="left"/>
      <w:pPr>
        <w:ind w:left="4012" w:hanging="360"/>
      </w:pPr>
      <w:rPr>
        <w:rFonts w:hint="default"/>
      </w:rPr>
    </w:lvl>
    <w:lvl w:ilvl="5" w:tplc="CC62826C">
      <w:numFmt w:val="bullet"/>
      <w:lvlText w:val="•"/>
      <w:lvlJc w:val="left"/>
      <w:pPr>
        <w:ind w:left="4900" w:hanging="360"/>
      </w:pPr>
      <w:rPr>
        <w:rFonts w:hint="default"/>
      </w:rPr>
    </w:lvl>
    <w:lvl w:ilvl="6" w:tplc="FCBC3C1A">
      <w:numFmt w:val="bullet"/>
      <w:lvlText w:val="•"/>
      <w:lvlJc w:val="left"/>
      <w:pPr>
        <w:ind w:left="5788" w:hanging="360"/>
      </w:pPr>
      <w:rPr>
        <w:rFonts w:hint="default"/>
      </w:rPr>
    </w:lvl>
    <w:lvl w:ilvl="7" w:tplc="44D289EE">
      <w:numFmt w:val="bullet"/>
      <w:lvlText w:val="•"/>
      <w:lvlJc w:val="left"/>
      <w:pPr>
        <w:ind w:left="6676" w:hanging="360"/>
      </w:pPr>
      <w:rPr>
        <w:rFonts w:hint="default"/>
      </w:rPr>
    </w:lvl>
    <w:lvl w:ilvl="8" w:tplc="0A76D048">
      <w:numFmt w:val="bullet"/>
      <w:lvlText w:val="•"/>
      <w:lvlJc w:val="left"/>
      <w:pPr>
        <w:ind w:left="7564" w:hanging="360"/>
      </w:pPr>
      <w:rPr>
        <w:rFonts w:hint="default"/>
      </w:rPr>
    </w:lvl>
  </w:abstractNum>
  <w:num w:numId="1" w16cid:durableId="1914075839">
    <w:abstractNumId w:val="9"/>
  </w:num>
  <w:num w:numId="2" w16cid:durableId="1650284215">
    <w:abstractNumId w:val="51"/>
  </w:num>
  <w:num w:numId="3" w16cid:durableId="1198856224">
    <w:abstractNumId w:val="83"/>
  </w:num>
  <w:num w:numId="4" w16cid:durableId="682436873">
    <w:abstractNumId w:val="43"/>
  </w:num>
  <w:num w:numId="5" w16cid:durableId="1319109786">
    <w:abstractNumId w:val="40"/>
  </w:num>
  <w:num w:numId="6" w16cid:durableId="62028829">
    <w:abstractNumId w:val="13"/>
  </w:num>
  <w:num w:numId="7" w16cid:durableId="903180277">
    <w:abstractNumId w:val="5"/>
  </w:num>
  <w:num w:numId="8" w16cid:durableId="391541475">
    <w:abstractNumId w:val="36"/>
  </w:num>
  <w:num w:numId="9" w16cid:durableId="2122676092">
    <w:abstractNumId w:val="42"/>
  </w:num>
  <w:num w:numId="10" w16cid:durableId="1762337203">
    <w:abstractNumId w:val="66"/>
  </w:num>
  <w:num w:numId="11" w16cid:durableId="1940871416">
    <w:abstractNumId w:val="74"/>
  </w:num>
  <w:num w:numId="12" w16cid:durableId="1894999922">
    <w:abstractNumId w:val="65"/>
  </w:num>
  <w:num w:numId="13" w16cid:durableId="1800875614">
    <w:abstractNumId w:val="82"/>
  </w:num>
  <w:num w:numId="14" w16cid:durableId="1370644413">
    <w:abstractNumId w:val="55"/>
  </w:num>
  <w:num w:numId="15" w16cid:durableId="942423738">
    <w:abstractNumId w:val="56"/>
  </w:num>
  <w:num w:numId="16" w16cid:durableId="1097167078">
    <w:abstractNumId w:val="31"/>
  </w:num>
  <w:num w:numId="17" w16cid:durableId="1547911831">
    <w:abstractNumId w:val="6"/>
  </w:num>
  <w:num w:numId="18" w16cid:durableId="2110853086">
    <w:abstractNumId w:val="0"/>
  </w:num>
  <w:num w:numId="19" w16cid:durableId="289289782">
    <w:abstractNumId w:val="81"/>
  </w:num>
  <w:num w:numId="20" w16cid:durableId="2025981196">
    <w:abstractNumId w:val="79"/>
  </w:num>
  <w:num w:numId="21" w16cid:durableId="2065522479">
    <w:abstractNumId w:val="87"/>
  </w:num>
  <w:num w:numId="22" w16cid:durableId="1191071061">
    <w:abstractNumId w:val="38"/>
  </w:num>
  <w:num w:numId="23" w16cid:durableId="1075395317">
    <w:abstractNumId w:val="27"/>
  </w:num>
  <w:num w:numId="24" w16cid:durableId="1224369449">
    <w:abstractNumId w:val="44"/>
  </w:num>
  <w:num w:numId="25" w16cid:durableId="1448810811">
    <w:abstractNumId w:val="85"/>
  </w:num>
  <w:num w:numId="26" w16cid:durableId="1124812971">
    <w:abstractNumId w:val="35"/>
  </w:num>
  <w:num w:numId="27" w16cid:durableId="486212775">
    <w:abstractNumId w:val="18"/>
  </w:num>
  <w:num w:numId="28" w16cid:durableId="1493792085">
    <w:abstractNumId w:val="17"/>
  </w:num>
  <w:num w:numId="29" w16cid:durableId="1534880273">
    <w:abstractNumId w:val="4"/>
  </w:num>
  <w:num w:numId="30" w16cid:durableId="1559320681">
    <w:abstractNumId w:val="23"/>
  </w:num>
  <w:num w:numId="31" w16cid:durableId="1120874764">
    <w:abstractNumId w:val="73"/>
  </w:num>
  <w:num w:numId="32" w16cid:durableId="416832380">
    <w:abstractNumId w:val="39"/>
  </w:num>
  <w:num w:numId="33" w16cid:durableId="1954821928">
    <w:abstractNumId w:val="7"/>
  </w:num>
  <w:num w:numId="34" w16cid:durableId="1806314929">
    <w:abstractNumId w:val="34"/>
  </w:num>
  <w:num w:numId="35" w16cid:durableId="1280333647">
    <w:abstractNumId w:val="22"/>
  </w:num>
  <w:num w:numId="36" w16cid:durableId="1492990969">
    <w:abstractNumId w:val="57"/>
  </w:num>
  <w:num w:numId="37" w16cid:durableId="809441715">
    <w:abstractNumId w:val="32"/>
  </w:num>
  <w:num w:numId="38" w16cid:durableId="1555652073">
    <w:abstractNumId w:val="30"/>
  </w:num>
  <w:num w:numId="39" w16cid:durableId="1940020114">
    <w:abstractNumId w:val="46"/>
  </w:num>
  <w:num w:numId="40" w16cid:durableId="1053118109">
    <w:abstractNumId w:val="48"/>
  </w:num>
  <w:num w:numId="41" w16cid:durableId="1384910731">
    <w:abstractNumId w:val="41"/>
  </w:num>
  <w:num w:numId="42" w16cid:durableId="1948583976">
    <w:abstractNumId w:val="92"/>
  </w:num>
  <w:num w:numId="43" w16cid:durableId="1836988152">
    <w:abstractNumId w:val="1"/>
  </w:num>
  <w:num w:numId="44" w16cid:durableId="2047414352">
    <w:abstractNumId w:val="80"/>
  </w:num>
  <w:num w:numId="45" w16cid:durableId="773749055">
    <w:abstractNumId w:val="77"/>
  </w:num>
  <w:num w:numId="46" w16cid:durableId="210311512">
    <w:abstractNumId w:val="2"/>
  </w:num>
  <w:num w:numId="47" w16cid:durableId="389884109">
    <w:abstractNumId w:val="53"/>
  </w:num>
  <w:num w:numId="48" w16cid:durableId="1617759053">
    <w:abstractNumId w:val="49"/>
  </w:num>
  <w:num w:numId="49" w16cid:durableId="1463961113">
    <w:abstractNumId w:val="15"/>
  </w:num>
  <w:num w:numId="50" w16cid:durableId="2093895189">
    <w:abstractNumId w:val="72"/>
  </w:num>
  <w:num w:numId="51" w16cid:durableId="1883125586">
    <w:abstractNumId w:val="75"/>
  </w:num>
  <w:num w:numId="52" w16cid:durableId="169878786">
    <w:abstractNumId w:val="89"/>
  </w:num>
  <w:num w:numId="53" w16cid:durableId="652636542">
    <w:abstractNumId w:val="12"/>
  </w:num>
  <w:num w:numId="54" w16cid:durableId="99447919">
    <w:abstractNumId w:val="84"/>
  </w:num>
  <w:num w:numId="55" w16cid:durableId="1209024952">
    <w:abstractNumId w:val="28"/>
  </w:num>
  <w:num w:numId="56" w16cid:durableId="900796034">
    <w:abstractNumId w:val="58"/>
  </w:num>
  <w:num w:numId="57" w16cid:durableId="358773447">
    <w:abstractNumId w:val="61"/>
  </w:num>
  <w:num w:numId="58" w16cid:durableId="1746679751">
    <w:abstractNumId w:val="29"/>
  </w:num>
  <w:num w:numId="59" w16cid:durableId="304044055">
    <w:abstractNumId w:val="64"/>
  </w:num>
  <w:num w:numId="60" w16cid:durableId="1923760939">
    <w:abstractNumId w:val="67"/>
  </w:num>
  <w:num w:numId="61" w16cid:durableId="143931139">
    <w:abstractNumId w:val="90"/>
  </w:num>
  <w:num w:numId="62" w16cid:durableId="1327245479">
    <w:abstractNumId w:val="33"/>
  </w:num>
  <w:num w:numId="63" w16cid:durableId="1369917506">
    <w:abstractNumId w:val="78"/>
  </w:num>
  <w:num w:numId="64" w16cid:durableId="1229147807">
    <w:abstractNumId w:val="88"/>
  </w:num>
  <w:num w:numId="65" w16cid:durableId="1481263749">
    <w:abstractNumId w:val="11"/>
  </w:num>
  <w:num w:numId="66" w16cid:durableId="1775437362">
    <w:abstractNumId w:val="86"/>
  </w:num>
  <w:num w:numId="67" w16cid:durableId="1133214056">
    <w:abstractNumId w:val="25"/>
  </w:num>
  <w:num w:numId="68" w16cid:durableId="696471918">
    <w:abstractNumId w:val="68"/>
  </w:num>
  <w:num w:numId="69" w16cid:durableId="143936892">
    <w:abstractNumId w:val="59"/>
  </w:num>
  <w:num w:numId="70" w16cid:durableId="2061857252">
    <w:abstractNumId w:val="26"/>
  </w:num>
  <w:num w:numId="71" w16cid:durableId="232087481">
    <w:abstractNumId w:val="76"/>
  </w:num>
  <w:num w:numId="72" w16cid:durableId="1540047706">
    <w:abstractNumId w:val="91"/>
  </w:num>
  <w:num w:numId="73" w16cid:durableId="625821475">
    <w:abstractNumId w:val="70"/>
  </w:num>
  <w:num w:numId="74" w16cid:durableId="840698338">
    <w:abstractNumId w:val="37"/>
  </w:num>
  <w:num w:numId="75" w16cid:durableId="1329747024">
    <w:abstractNumId w:val="8"/>
  </w:num>
  <w:num w:numId="76" w16cid:durableId="2011565719">
    <w:abstractNumId w:val="63"/>
  </w:num>
  <w:num w:numId="77" w16cid:durableId="1568421538">
    <w:abstractNumId w:val="62"/>
  </w:num>
  <w:num w:numId="78" w16cid:durableId="435373996">
    <w:abstractNumId w:val="45"/>
  </w:num>
  <w:num w:numId="79" w16cid:durableId="1600135218">
    <w:abstractNumId w:val="14"/>
  </w:num>
  <w:num w:numId="80" w16cid:durableId="1798329722">
    <w:abstractNumId w:val="19"/>
  </w:num>
  <w:num w:numId="81" w16cid:durableId="67271250">
    <w:abstractNumId w:val="60"/>
  </w:num>
  <w:num w:numId="82" w16cid:durableId="1426271358">
    <w:abstractNumId w:val="24"/>
  </w:num>
  <w:num w:numId="83" w16cid:durableId="88354719">
    <w:abstractNumId w:val="16"/>
  </w:num>
  <w:num w:numId="84" w16cid:durableId="924262787">
    <w:abstractNumId w:val="71"/>
  </w:num>
  <w:num w:numId="85" w16cid:durableId="2047439735">
    <w:abstractNumId w:val="10"/>
  </w:num>
  <w:num w:numId="86" w16cid:durableId="687567167">
    <w:abstractNumId w:val="47"/>
  </w:num>
  <w:num w:numId="87" w16cid:durableId="1236431461">
    <w:abstractNumId w:val="50"/>
  </w:num>
  <w:num w:numId="88" w16cid:durableId="1433626804">
    <w:abstractNumId w:val="69"/>
  </w:num>
  <w:num w:numId="89" w16cid:durableId="414712226">
    <w:abstractNumId w:val="21"/>
  </w:num>
  <w:num w:numId="90" w16cid:durableId="1642078015">
    <w:abstractNumId w:val="52"/>
  </w:num>
  <w:num w:numId="91" w16cid:durableId="260796217">
    <w:abstractNumId w:val="3"/>
  </w:num>
  <w:num w:numId="92" w16cid:durableId="1382632428">
    <w:abstractNumId w:val="54"/>
  </w:num>
  <w:num w:numId="93" w16cid:durableId="1157527940">
    <w:abstractNumId w:val="2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tn84K35ixu6xLUFkP6117POg0piDhYa6DrjckhQM/8WHYPwFI742diejc1/a7hE2z3B8ifhmN1AZnezgpvagpg==" w:salt="+IP4kYVtlaA4umwXtcmStQ=="/>
  <w:defaultTabStop w:val="720"/>
  <w:drawingGridHorizontalSpacing w:val="110"/>
  <w:displayHorizontalDrawingGridEvery w:val="2"/>
  <w:characterSpacingControl w:val="doNotCompress"/>
  <w:hdrShapeDefaults>
    <o:shapedefaults v:ext="edit" spidmax="226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B6E1F"/>
    <w:rsid w:val="0063638F"/>
    <w:rsid w:val="00DB6E1F"/>
    <w:rsid w:val="00F66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67"/>
    <o:shapelayout v:ext="edit">
      <o:idmap v:ext="edit" data="2"/>
    </o:shapelayout>
  </w:shapeDefaults>
  <w:decimalSymbol w:val="."/>
  <w:listSeparator w:val=","/>
  <w14:docId w14:val="1AD0146A"/>
  <w15:docId w15:val="{75AA76F2-5397-4225-8574-697F8E0E0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
      <w:ind w:left="1444" w:right="1444"/>
      <w:jc w:val="center"/>
      <w:outlineLvl w:val="0"/>
    </w:pPr>
    <w:rPr>
      <w:b/>
      <w:bCs/>
      <w:sz w:val="48"/>
      <w:szCs w:val="48"/>
    </w:rPr>
  </w:style>
  <w:style w:type="paragraph" w:styleId="Heading2">
    <w:name w:val="heading 2"/>
    <w:basedOn w:val="Normal"/>
    <w:uiPriority w:val="9"/>
    <w:unhideWhenUsed/>
    <w:qFormat/>
    <w:pPr>
      <w:spacing w:before="28"/>
      <w:ind w:left="1440"/>
      <w:outlineLvl w:val="1"/>
    </w:pPr>
    <w:rPr>
      <w:b/>
      <w:bCs/>
      <w:sz w:val="36"/>
      <w:szCs w:val="36"/>
    </w:rPr>
  </w:style>
  <w:style w:type="paragraph" w:styleId="Heading3">
    <w:name w:val="heading 3"/>
    <w:basedOn w:val="Normal"/>
    <w:uiPriority w:val="9"/>
    <w:unhideWhenUsed/>
    <w:qFormat/>
    <w:pPr>
      <w:spacing w:before="162"/>
      <w:ind w:left="1440"/>
      <w:outlineLvl w:val="2"/>
    </w:pPr>
    <w:rPr>
      <w:b/>
      <w:bCs/>
      <w:sz w:val="26"/>
      <w:szCs w:val="26"/>
    </w:rPr>
  </w:style>
  <w:style w:type="paragraph" w:styleId="Heading4">
    <w:name w:val="heading 4"/>
    <w:basedOn w:val="Normal"/>
    <w:uiPriority w:val="9"/>
    <w:unhideWhenUsed/>
    <w:qFormat/>
    <w:pPr>
      <w:ind w:left="1440"/>
      <w:outlineLvl w:val="3"/>
    </w:pPr>
    <w:rPr>
      <w:b/>
      <w:bCs/>
      <w:i/>
      <w:iCs/>
      <w:sz w:val="26"/>
      <w:szCs w:val="26"/>
    </w:rPr>
  </w:style>
  <w:style w:type="paragraph" w:styleId="Heading5">
    <w:name w:val="heading 5"/>
    <w:basedOn w:val="Normal"/>
    <w:uiPriority w:val="9"/>
    <w:unhideWhenUsed/>
    <w:qFormat/>
    <w:pPr>
      <w:spacing w:before="159"/>
      <w:ind w:left="14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440"/>
    </w:pPr>
  </w:style>
  <w:style w:type="paragraph" w:styleId="TOC2">
    <w:name w:val="toc 2"/>
    <w:basedOn w:val="Normal"/>
    <w:uiPriority w:val="1"/>
    <w:qFormat/>
    <w:pPr>
      <w:spacing w:before="121"/>
      <w:ind w:left="1989" w:hanging="333"/>
    </w:pPr>
  </w:style>
  <w:style w:type="paragraph" w:styleId="TOC3">
    <w:name w:val="toc 3"/>
    <w:basedOn w:val="Normal"/>
    <w:uiPriority w:val="1"/>
    <w:qFormat/>
    <w:pPr>
      <w:spacing w:before="120"/>
      <w:ind w:left="1661"/>
    </w:pPr>
  </w:style>
  <w:style w:type="paragraph" w:styleId="BodyText">
    <w:name w:val="Body Text"/>
    <w:basedOn w:val="Normal"/>
    <w:uiPriority w:val="1"/>
    <w:qFormat/>
  </w:style>
  <w:style w:type="paragraph" w:styleId="Title">
    <w:name w:val="Title"/>
    <w:basedOn w:val="Normal"/>
    <w:uiPriority w:val="10"/>
    <w:qFormat/>
    <w:pPr>
      <w:spacing w:before="85"/>
      <w:ind w:left="1444" w:right="1434"/>
      <w:jc w:val="center"/>
    </w:pPr>
    <w:rPr>
      <w:rFonts w:ascii="Arial" w:eastAsia="Arial" w:hAnsi="Arial" w:cs="Arial"/>
      <w:sz w:val="50"/>
      <w:szCs w:val="50"/>
    </w:rPr>
  </w:style>
  <w:style w:type="paragraph" w:styleId="ListParagraph">
    <w:name w:val="List Paragraph"/>
    <w:basedOn w:val="Normal"/>
    <w:uiPriority w:val="1"/>
    <w:qFormat/>
    <w:pPr>
      <w:spacing w:before="60"/>
      <w:ind w:left="1799" w:hanging="361"/>
    </w:pPr>
  </w:style>
  <w:style w:type="paragraph" w:customStyle="1" w:styleId="TableParagraph">
    <w:name w:val="Table Paragraph"/>
    <w:basedOn w:val="Normal"/>
    <w:uiPriority w:val="1"/>
    <w:qFormat/>
    <w:pPr>
      <w:spacing w:before="1"/>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9.xml"/><Relationship Id="rId21" Type="http://schemas.openxmlformats.org/officeDocument/2006/relationships/image" Target="media/image7.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hyperlink" Target="https://media.wcwpds.wisc.edu/motivational-interviewing/files/The-Relationship-in-Motivational-Interviewing.pdf" TargetMode="External"/><Relationship Id="rId159" Type="http://schemas.openxmlformats.org/officeDocument/2006/relationships/hyperlink" Target="https://facesandvoicesofrecovery.org/wp-content/uploads/2019/06/Words-Matter-How-Language-Choice-Can-Reduce-Stigma.pdf" TargetMode="External"/><Relationship Id="rId170" Type="http://schemas.openxmlformats.org/officeDocument/2006/relationships/hyperlink" Target="https://pubs.niaaa.nih.gov/publications/projectmatch/match04.pdf" TargetMode="External"/><Relationship Id="rId191" Type="http://schemas.openxmlformats.org/officeDocument/2006/relationships/hyperlink" Target="https://casaa.unm.edu/download/met.pdf" TargetMode="External"/><Relationship Id="rId205" Type="http://schemas.openxmlformats.org/officeDocument/2006/relationships/hyperlink" Target="http://www.integration.samhsa.gov/" TargetMode="External"/><Relationship Id="rId226" Type="http://schemas.openxmlformats.org/officeDocument/2006/relationships/fontTable" Target="fontTable.xml"/><Relationship Id="rId107" Type="http://schemas.openxmlformats.org/officeDocument/2006/relationships/footer" Target="footer5.xml"/><Relationship Id="rId11" Type="http://schemas.openxmlformats.org/officeDocument/2006/relationships/footer" Target="footer1.xml"/><Relationship Id="rId32" Type="http://schemas.openxmlformats.org/officeDocument/2006/relationships/footer" Target="footer3.xml"/><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hyperlink" Target="http://www.motivationalinterviewing.org/sites/default/files/mia-step.pdf" TargetMode="External"/><Relationship Id="rId149" Type="http://schemas.openxmlformats.org/officeDocument/2006/relationships/hyperlink" Target="https://store.samhsa.gov/product/TIP-60-Using-Technology-Based-Therapeutic-Tools-in-Behavioral-Health-Services/SMA15-4924" TargetMode="External"/><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hyperlink" Target="https://store.samhsa.gov/product/Medication-for-the-Treatment-of-Alcohol-Use-Disorder-A-Brief-Guide/SMA15-4907" TargetMode="External"/><Relationship Id="rId181" Type="http://schemas.openxmlformats.org/officeDocument/2006/relationships/hyperlink" Target="http://www.nova.edu/gsc/forms/BSCQ%20Instructions.pdf" TargetMode="External"/><Relationship Id="rId216" Type="http://schemas.openxmlformats.org/officeDocument/2006/relationships/hyperlink" Target="https://store.samhsa.gov/product/TIP-57-Trauma-Informed-Care-in-Behavioral-Health-Services/SMA14-4816" TargetMode="External"/><Relationship Id="rId22" Type="http://schemas.openxmlformats.org/officeDocument/2006/relationships/image" Target="media/image8.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hyperlink" Target="http://www.ct.gov/dmhas/lib/dmhas/publications/USAUDIT-2017.pdf" TargetMode="External"/><Relationship Id="rId139" Type="http://schemas.openxmlformats.org/officeDocument/2006/relationships/hyperlink" Target="https://motivationalinterviewing.org/sites/default/files/miti4_2.pdf" TargetMode="External"/><Relationship Id="rId85" Type="http://schemas.openxmlformats.org/officeDocument/2006/relationships/image" Target="media/image69.png"/><Relationship Id="rId150" Type="http://schemas.openxmlformats.org/officeDocument/2006/relationships/hyperlink" Target="https://store.samhsa.gov/product/TIP-60-Using-Technology-Based-Therapeutic-Tools-in-Behavioral-Health-Services/SMA15-4924" TargetMode="External"/><Relationship Id="rId171" Type="http://schemas.openxmlformats.org/officeDocument/2006/relationships/hyperlink" Target="https://casaa.unm.edu/inst/What%20I%20Want%20From%20Treatment.pdf" TargetMode="External"/><Relationship Id="rId192" Type="http://schemas.openxmlformats.org/officeDocument/2006/relationships/hyperlink" Target="https://ireta.org/resources/motivational-interviewing-toolkit" TargetMode="External"/><Relationship Id="rId206" Type="http://schemas.openxmlformats.org/officeDocument/2006/relationships/hyperlink" Target="http://www.integration.samhsa.gov/clinical-practice/screening-tools" TargetMode="External"/><Relationship Id="rId227" Type="http://schemas.openxmlformats.org/officeDocument/2006/relationships/theme" Target="theme/theme1.xml"/><Relationship Id="rId12" Type="http://schemas.openxmlformats.org/officeDocument/2006/relationships/hyperlink" Target="http://store.samhsa.gov/" TargetMode="External"/><Relationship Id="rId33" Type="http://schemas.openxmlformats.org/officeDocument/2006/relationships/image" Target="media/image17.png"/><Relationship Id="rId108" Type="http://schemas.openxmlformats.org/officeDocument/2006/relationships/image" Target="media/image87.png"/><Relationship Id="rId129" Type="http://schemas.openxmlformats.org/officeDocument/2006/relationships/hyperlink" Target="http://www.researchgate.net/publication/235326763_Clinical_Guidelines_for_Implementing_RelapsePrevention_Therapy_A_Guideline_Developed_for_the_Behavioral_Health_Recovery_Management_Project" TargetMode="External"/><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hyperlink" Target="https://casaa.unm.edu/download/ELICIT/MI%20Knowledge%20Test.pdf" TargetMode="External"/><Relationship Id="rId161" Type="http://schemas.openxmlformats.org/officeDocument/2006/relationships/hyperlink" Target="https://store.samhsa.gov/product/Medication-for-the-Treatment-of-Alcohol-Use-Disorder-A-Brief-Guide/SMA15-4907" TargetMode="External"/><Relationship Id="rId182" Type="http://schemas.openxmlformats.org/officeDocument/2006/relationships/hyperlink" Target="http://www.nova.edu/gsc/forms/BSCQ%20blank.pdf" TargetMode="External"/><Relationship Id="rId217" Type="http://schemas.openxmlformats.org/officeDocument/2006/relationships/hyperlink" Target="https://store.samhsa.gov/product/TIP-52-Clinical-Supervision-and-Professional-Development-of-the-Substance-Abuse-Counselor/SMA14-4435.html" TargetMode="External"/><Relationship Id="rId6" Type="http://schemas.openxmlformats.org/officeDocument/2006/relationships/endnotes" Target="endnotes.xml"/><Relationship Id="rId23" Type="http://schemas.openxmlformats.org/officeDocument/2006/relationships/image" Target="media/image9.png"/><Relationship Id="rId119" Type="http://schemas.openxmlformats.org/officeDocument/2006/relationships/header" Target="header10.xml"/><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hyperlink" Target="http://www.researchgate.net/publication/235326763_Clinical_Guidelines_for_Implementing_RelapsePrevention_Therapy_A_Guideline_Developed_for_the_Behavioral_Health_Recovery_Management_Project" TargetMode="External"/><Relationship Id="rId151" Type="http://schemas.openxmlformats.org/officeDocument/2006/relationships/hyperlink" Target="https://store.samhsa.gov/product/TIP-59-Improving-Cultural-Competence/SMA15-4849" TargetMode="External"/><Relationship Id="rId172" Type="http://schemas.openxmlformats.org/officeDocument/2006/relationships/hyperlink" Target="https://ndarc.med.unsw.edu.au/sites/default/files/ndarc/resources/TR.019.pdf" TargetMode="External"/><Relationship Id="rId193" Type="http://schemas.openxmlformats.org/officeDocument/2006/relationships/hyperlink" Target="https://habitslab.umbc.edu/" TargetMode="External"/><Relationship Id="rId207" Type="http://schemas.openxmlformats.org/officeDocument/2006/relationships/hyperlink" Target="http://www.integration.samhsa.gov/clinical-practice/motivational-interviewing" TargetMode="External"/><Relationship Id="rId13" Type="http://schemas.openxmlformats.org/officeDocument/2006/relationships/header" Target="header2.xml"/><Relationship Id="rId109" Type="http://schemas.openxmlformats.org/officeDocument/2006/relationships/header" Target="header6.xml"/><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footer" Target="footer10.xml"/><Relationship Id="rId141" Type="http://schemas.openxmlformats.org/officeDocument/2006/relationships/hyperlink" Target="http://www.researchgate.net/publication/49683193_Stages_of_Change" TargetMode="External"/><Relationship Id="rId7" Type="http://schemas.openxmlformats.org/officeDocument/2006/relationships/image" Target="media/image1.jpeg"/><Relationship Id="rId162" Type="http://schemas.openxmlformats.org/officeDocument/2006/relationships/hyperlink" Target="http://www.integration.samhsa.gov/clinical-practice/Native_American_MI_Manual.pdf" TargetMode="External"/><Relationship Id="rId183" Type="http://schemas.openxmlformats.org/officeDocument/2006/relationships/image" Target="media/image92.jpeg"/><Relationship Id="rId218" Type="http://schemas.openxmlformats.org/officeDocument/2006/relationships/hyperlink" Target="https://store.samhsa.gov/product/TIP-52-Clinical-Supervision-and-Professional-Development-of-the-Substance-Abuse-Counselor/SMA14-4435.html" TargetMode="External"/><Relationship Id="rId24" Type="http://schemas.openxmlformats.org/officeDocument/2006/relationships/image" Target="media/image10.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footer" Target="footer6.xml"/><Relationship Id="rId131" Type="http://schemas.openxmlformats.org/officeDocument/2006/relationships/hyperlink" Target="http://www.motivationalinterviewing.org/sites/default/files/mia-step.pdf" TargetMode="External"/><Relationship Id="rId152" Type="http://schemas.openxmlformats.org/officeDocument/2006/relationships/hyperlink" Target="https://store.samhsa.gov/product/TIP-59-Improving-Cultural-Competence/SMA15-4849" TargetMode="External"/><Relationship Id="rId173" Type="http://schemas.openxmlformats.org/officeDocument/2006/relationships/header" Target="header12.xml"/><Relationship Id="rId194" Type="http://schemas.openxmlformats.org/officeDocument/2006/relationships/hyperlink" Target="http://www.motivationalinterviewing.org/sites/default/files/mia-step.pdf" TargetMode="External"/><Relationship Id="rId208" Type="http://schemas.openxmlformats.org/officeDocument/2006/relationships/hyperlink" Target="http://www.integration.samhsa.gov/health-wellness/wellness-strategies/tobacco-cessation-2" TargetMode="External"/><Relationship Id="rId14" Type="http://schemas.openxmlformats.org/officeDocument/2006/relationships/footer" Target="footer2.xm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8" Type="http://schemas.openxmlformats.org/officeDocument/2006/relationships/image" Target="media/image2.jpeg"/><Relationship Id="rId98" Type="http://schemas.openxmlformats.org/officeDocument/2006/relationships/image" Target="media/image82.png"/><Relationship Id="rId121" Type="http://schemas.openxmlformats.org/officeDocument/2006/relationships/hyperlink" Target="http://www.mass.gov/files/documents/2016/07/ty/bt-manual-module10.pdf" TargetMode="External"/><Relationship Id="rId142" Type="http://schemas.openxmlformats.org/officeDocument/2006/relationships/hyperlink" Target="https://addiction.surgeongeneral.gov/sites/default/files/surgeon-generals-report.pdf" TargetMode="External"/><Relationship Id="rId163" Type="http://schemas.openxmlformats.org/officeDocument/2006/relationships/hyperlink" Target="http://www.integration.samhsa.gov/clinical-practice/Native_American_MI_Manual.pdf" TargetMode="External"/><Relationship Id="rId184" Type="http://schemas.openxmlformats.org/officeDocument/2006/relationships/image" Target="media/image93.jpeg"/><Relationship Id="rId219" Type="http://schemas.openxmlformats.org/officeDocument/2006/relationships/hyperlink" Target="https://store.samhsa.gov/product/TIP-42-Substance-Abuse-Treatment-for-Persons-With-Co-Occurring-Disorders/SMA13-3992" TargetMode="External"/><Relationship Id="rId3" Type="http://schemas.openxmlformats.org/officeDocument/2006/relationships/settings" Target="settings.xml"/><Relationship Id="rId214" Type="http://schemas.openxmlformats.org/officeDocument/2006/relationships/hyperlink" Target="https://store.samhsa.gov/product/TIP-59-Improving-Cultural-Competence/SMA15-4849" TargetMode="Externa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header" Target="header9.xml"/><Relationship Id="rId137" Type="http://schemas.openxmlformats.org/officeDocument/2006/relationships/hyperlink" Target="https://media.wcwpds.wisc.edu/motivational-interviewing/files/The-Relationship-in-Motivational-Interviewing.pdf" TargetMode="External"/><Relationship Id="rId158" Type="http://schemas.openxmlformats.org/officeDocument/2006/relationships/hyperlink" Target="https://facesandvoicesofrecovery.org/wp-content/uploads/2019/06/Words-Matter-How-Language-Choice-Can-Reduce-Stigma.pdf" TargetMode="External"/><Relationship Id="rId20" Type="http://schemas.openxmlformats.org/officeDocument/2006/relationships/image" Target="media/image6.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header" Target="header7.xml"/><Relationship Id="rId132" Type="http://schemas.openxmlformats.org/officeDocument/2006/relationships/hyperlink" Target="https://casaa.unm.edu/inst/What%20I%20Want%20From%20Treatment.pdf" TargetMode="External"/><Relationship Id="rId153" Type="http://schemas.openxmlformats.org/officeDocument/2006/relationships/hyperlink" Target="https://store.samhsa.gov/product/TIP-57-Trauma-Informed-Care-in-Behavioral-Health-Services/SMA14-4816" TargetMode="External"/><Relationship Id="rId174" Type="http://schemas.openxmlformats.org/officeDocument/2006/relationships/footer" Target="footer12.xml"/><Relationship Id="rId179" Type="http://schemas.openxmlformats.org/officeDocument/2006/relationships/hyperlink" Target="https://habitslab.umbc.edu/files/2014/07/Alcohol-Decisional-Balance-scale.pdf" TargetMode="External"/><Relationship Id="rId195" Type="http://schemas.openxmlformats.org/officeDocument/2006/relationships/hyperlink" Target="https://casaa.unm.edu/" TargetMode="External"/><Relationship Id="rId209" Type="http://schemas.openxmlformats.org/officeDocument/2006/relationships/hyperlink" Target="https://store.samhsa.gov/product/TIP-63-Medications-for-Opioid-Use-Disorder-Full-Document-Including-Executive-Summary-and-Parts-1-5-/SMA18-5063FULLDOC" TargetMode="External"/><Relationship Id="rId190" Type="http://schemas.openxmlformats.org/officeDocument/2006/relationships/hyperlink" Target="http://www.motivationalinterviewing.org/" TargetMode="External"/><Relationship Id="rId204" Type="http://schemas.openxmlformats.org/officeDocument/2006/relationships/hyperlink" Target="http://www.samhsa.gov/sbirt" TargetMode="External"/><Relationship Id="rId220" Type="http://schemas.openxmlformats.org/officeDocument/2006/relationships/hyperlink" Target="https://store.samhsa.gov/product/TIP-42-Substance-Abuse-Treatment-for-Persons-With-Co-Occurring-Disorders/SMA13-3992" TargetMode="External"/><Relationship Id="rId225" Type="http://schemas.openxmlformats.org/officeDocument/2006/relationships/footer" Target="footer15.xml"/><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header" Target="header5.xml"/><Relationship Id="rId127" Type="http://schemas.openxmlformats.org/officeDocument/2006/relationships/hyperlink" Target="https://eurekamag.com/research/064/949/064949750.php" TargetMode="External"/><Relationship Id="rId10" Type="http://schemas.openxmlformats.org/officeDocument/2006/relationships/header" Target="header1.xml"/><Relationship Id="rId31" Type="http://schemas.openxmlformats.org/officeDocument/2006/relationships/header" Target="header3.xml"/><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hyperlink" Target="http://www.ncbi.nlm.nih.gov/pubmed/29049282" TargetMode="External"/><Relationship Id="rId143" Type="http://schemas.openxmlformats.org/officeDocument/2006/relationships/hyperlink" Target="http://www.ncbi.nlm.nih.gov/books/NBK241643/" TargetMode="External"/><Relationship Id="rId148" Type="http://schemas.openxmlformats.org/officeDocument/2006/relationships/hyperlink" Target="https://store.samhsa.gov/product/TIP-39-Substance-Abuse-Treatment-and-Family-Therapy/SMA15-4219" TargetMode="External"/><Relationship Id="rId164" Type="http://schemas.openxmlformats.org/officeDocument/2006/relationships/header" Target="header11.xml"/><Relationship Id="rId169" Type="http://schemas.openxmlformats.org/officeDocument/2006/relationships/image" Target="media/image91.png"/><Relationship Id="rId185" Type="http://schemas.openxmlformats.org/officeDocument/2006/relationships/hyperlink" Target="https://habitslab.umbc.edu/files/2014/07/Alcohol-Abstinence-Self-efficacy-Scale-20item.pdf" TargetMode="External"/><Relationship Id="rId4" Type="http://schemas.openxmlformats.org/officeDocument/2006/relationships/webSettings" Target="webSettings.xml"/><Relationship Id="rId9" Type="http://schemas.openxmlformats.org/officeDocument/2006/relationships/hyperlink" Target="http://www.surveymonkey.com/r/KAPPFS" TargetMode="External"/><Relationship Id="rId180" Type="http://schemas.openxmlformats.org/officeDocument/2006/relationships/hyperlink" Target="https://habitslab.umbc.edu/files/2014/07/Drug-Decisional-Balance-scale20item.pdf" TargetMode="External"/><Relationship Id="rId210" Type="http://schemas.openxmlformats.org/officeDocument/2006/relationships/hyperlink" Target="https://store.samhsa.gov/product/TIP-63-Medications-for-Opioid-Use-Disorder-Full-Document-Including-Executive-Summary-and-Parts-1-5-/SMA18-5063FULLDOC" TargetMode="External"/><Relationship Id="rId215" Type="http://schemas.openxmlformats.org/officeDocument/2006/relationships/hyperlink" Target="https://store.samhsa.gov/product/TIP-57-Trauma-Informed-Care-in-Behavioral-Health-Services/SMA14-4816" TargetMode="External"/><Relationship Id="rId26" Type="http://schemas.openxmlformats.org/officeDocument/2006/relationships/image" Target="media/image12.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footer" Target="footer7.xml"/><Relationship Id="rId133" Type="http://schemas.openxmlformats.org/officeDocument/2006/relationships/hyperlink" Target="https://casaa.unm.edu/download/misc.pdf" TargetMode="External"/><Relationship Id="rId154" Type="http://schemas.openxmlformats.org/officeDocument/2006/relationships/hyperlink" Target="https://store.samhsa.gov/product/TIP-42-Substance-Abuse-Treatment-for-Persons-With-Co-Occurring-Disorders/SMA13-3992" TargetMode="External"/><Relationship Id="rId175" Type="http://schemas.openxmlformats.org/officeDocument/2006/relationships/header" Target="header13.xml"/><Relationship Id="rId196" Type="http://schemas.openxmlformats.org/officeDocument/2006/relationships/hyperlink" Target="https://motivationalinterviewing.org/motivational-interviewing-resources" TargetMode="External"/><Relationship Id="rId200" Type="http://schemas.openxmlformats.org/officeDocument/2006/relationships/hyperlink" Target="https://motivationalinterviewing.org/sites/default/files/miti4_2.pdf" TargetMode="External"/><Relationship Id="rId16" Type="http://schemas.openxmlformats.org/officeDocument/2006/relationships/image" Target="media/image4.png"/><Relationship Id="rId221" Type="http://schemas.openxmlformats.org/officeDocument/2006/relationships/hyperlink" Target="https://store.samhsa.gov/product/TIP-39-Substance-Abuse-Treatment-and-Family-Therapy/SMA15-4219" TargetMode="Externa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hyperlink" Target="http://www.ncbi.nlm.nih.gov/pubmed/23537923" TargetMode="External"/><Relationship Id="rId144" Type="http://schemas.openxmlformats.org/officeDocument/2006/relationships/hyperlink" Target="https://onlinelibrary.wiley.com/doi/abs/10.1111/add.12558" TargetMode="External"/><Relationship Id="rId90" Type="http://schemas.openxmlformats.org/officeDocument/2006/relationships/image" Target="media/image74.png"/><Relationship Id="rId165" Type="http://schemas.openxmlformats.org/officeDocument/2006/relationships/footer" Target="footer11.xml"/><Relationship Id="rId186" Type="http://schemas.openxmlformats.org/officeDocument/2006/relationships/hyperlink" Target="https://habitslab.umbc.edu/files/2014/07/Alcohol-Abstinence-Self-efficacy-Scale-20item.pdf" TargetMode="External"/><Relationship Id="rId211" Type="http://schemas.openxmlformats.org/officeDocument/2006/relationships/hyperlink" Target="https://store.samhsa.gov/product/TIP-60-Using-Technology-Based-Therapeutic-Tools-in-Behavioral-Health-Services/SMA15-4924" TargetMode="External"/><Relationship Id="rId27" Type="http://schemas.openxmlformats.org/officeDocument/2006/relationships/image" Target="media/image13.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header" Target="header8.xml"/><Relationship Id="rId134" Type="http://schemas.openxmlformats.org/officeDocument/2006/relationships/hyperlink" Target="http://motivationalinterviewing.org/sites/default/files/Forum_2010_Plenary_Bill.ppt" TargetMode="External"/><Relationship Id="rId80" Type="http://schemas.openxmlformats.org/officeDocument/2006/relationships/image" Target="media/image64.png"/><Relationship Id="rId155" Type="http://schemas.openxmlformats.org/officeDocument/2006/relationships/hyperlink" Target="https://store.samhsa.gov/product/TIP-42-Substance-Abuse-Treatment-for-Persons-With-Co-Occurring-Disorders/SMA13-3992" TargetMode="External"/><Relationship Id="rId176" Type="http://schemas.openxmlformats.org/officeDocument/2006/relationships/footer" Target="footer13.xml"/><Relationship Id="rId197" Type="http://schemas.openxmlformats.org/officeDocument/2006/relationships/hyperlink" Target="https://motivationalinterviewing.org/motivational-interviewing-resources" TargetMode="External"/><Relationship Id="rId201" Type="http://schemas.openxmlformats.org/officeDocument/2006/relationships/hyperlink" Target="https://motivationalinterviewing.org/sites/default/files/amigos_rating_form_v1.2.pdf" TargetMode="External"/><Relationship Id="rId222" Type="http://schemas.openxmlformats.org/officeDocument/2006/relationships/hyperlink" Target="https://store.samhsa.gov/product/TIP-39-Substance-Abuse-Treatment-and-Family-Therapy/SMA15-4219" TargetMode="External"/><Relationship Id="rId17" Type="http://schemas.openxmlformats.org/officeDocument/2006/relationships/hyperlink" Target="https://addiction.surgeongeneral.gov/sites/default/files/surgeon-generals-report.pdf" TargetMode="External"/><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http://www.motivationalinterviewing.org/sites/default/files/valuescardsort_0.pdf" TargetMode="External"/><Relationship Id="rId124" Type="http://schemas.openxmlformats.org/officeDocument/2006/relationships/hyperlink" Target="http://www.researchgate.net/publication/324562138_Therapist_Empathy_and_Client_Outcome_An_Updated_Meta-Analysis" TargetMode="External"/><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hyperlink" Target="http://www.samhsa.gov/find-help/disorders" TargetMode="External"/><Relationship Id="rId166" Type="http://schemas.openxmlformats.org/officeDocument/2006/relationships/image" Target="media/image89.jpeg"/><Relationship Id="rId187" Type="http://schemas.openxmlformats.org/officeDocument/2006/relationships/hyperlink" Target="https://habitslab.umbc.edu/files/2014/07/Drug-Abstinence-Self-efficacy-scale.pdf" TargetMode="External"/><Relationship Id="rId1" Type="http://schemas.openxmlformats.org/officeDocument/2006/relationships/numbering" Target="numbering.xml"/><Relationship Id="rId212" Type="http://schemas.openxmlformats.org/officeDocument/2006/relationships/hyperlink" Target="https://store.samhsa.gov/product/TIP-60-Using-Technology-Based-Therapeutic-Tools-in-Behavioral-Health-Services/SMA15-4924" TargetMode="External"/><Relationship Id="rId28" Type="http://schemas.openxmlformats.org/officeDocument/2006/relationships/image" Target="media/image14.png"/><Relationship Id="rId49" Type="http://schemas.openxmlformats.org/officeDocument/2006/relationships/image" Target="media/image33.png"/><Relationship Id="rId114" Type="http://schemas.openxmlformats.org/officeDocument/2006/relationships/footer" Target="footer8.xml"/><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hyperlink" Target="https://pubs.niaaa.nih.gov/publications/projectmatch/match04.pdf" TargetMode="External"/><Relationship Id="rId156" Type="http://schemas.openxmlformats.org/officeDocument/2006/relationships/hyperlink" Target="https://store.samhsa.gov/product/TIP-52-Clinical-Supervision-and-Professional-Development-of-the-Substance-Abuse-Counselor/SMA14-4435.html" TargetMode="External"/><Relationship Id="rId177" Type="http://schemas.openxmlformats.org/officeDocument/2006/relationships/hyperlink" Target="https://casaa.unm.edu/inst/socratesv8.pdf" TargetMode="External"/><Relationship Id="rId198" Type="http://schemas.openxmlformats.org/officeDocument/2006/relationships/hyperlink" Target="https://casaa.unm.edu/download/misc.pdf" TargetMode="External"/><Relationship Id="rId202" Type="http://schemas.openxmlformats.org/officeDocument/2006/relationships/header" Target="header14.xml"/><Relationship Id="rId223" Type="http://schemas.openxmlformats.org/officeDocument/2006/relationships/image" Target="media/image94.jpeg"/><Relationship Id="rId18" Type="http://schemas.openxmlformats.org/officeDocument/2006/relationships/hyperlink" Target="https://addiction.surgeongeneral.gov/sites/default/files/surgeon-generals-report.pdf" TargetMode="External"/><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header" Target="header4.xml"/><Relationship Id="rId125" Type="http://schemas.openxmlformats.org/officeDocument/2006/relationships/hyperlink" Target="http://www.researchgate.net/publication/324562138_Therapist_Empathy_and_Client_Outcome_An_Updated_Meta-Analysis" TargetMode="External"/><Relationship Id="rId146" Type="http://schemas.openxmlformats.org/officeDocument/2006/relationships/hyperlink" Target="http://www.samhsa.gov/data/" TargetMode="External"/><Relationship Id="rId167" Type="http://schemas.openxmlformats.org/officeDocument/2006/relationships/image" Target="media/image90.png"/><Relationship Id="rId188" Type="http://schemas.openxmlformats.org/officeDocument/2006/relationships/hyperlink" Target="https://casaa.unm.edu/download/ELICIT/MI%20Knowledge%20Test.pdf" TargetMode="Externa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hyperlink" Target="https://store.samhsa.gov/product/TIP-59-Improving-Cultural-Competence/SMA15-4849" TargetMode="External"/><Relationship Id="rId2" Type="http://schemas.openxmlformats.org/officeDocument/2006/relationships/styles" Target="styles.xml"/><Relationship Id="rId29" Type="http://schemas.openxmlformats.org/officeDocument/2006/relationships/image" Target="media/image15.png"/><Relationship Id="rId40" Type="http://schemas.openxmlformats.org/officeDocument/2006/relationships/image" Target="media/image24.png"/><Relationship Id="rId115" Type="http://schemas.openxmlformats.org/officeDocument/2006/relationships/image" Target="media/image88.jpeg"/><Relationship Id="rId136" Type="http://schemas.openxmlformats.org/officeDocument/2006/relationships/hyperlink" Target="http://www.ncbi.nlm.nih.gov/pubmed/29199844" TargetMode="External"/><Relationship Id="rId157" Type="http://schemas.openxmlformats.org/officeDocument/2006/relationships/hyperlink" Target="https://store.samhsa.gov/product/TIP-52-Clinical-Supervision-and-Professional-Development-of-the-Substance-Abuse-Counselor/SMA14-4435.html" TargetMode="External"/><Relationship Id="rId178" Type="http://schemas.openxmlformats.org/officeDocument/2006/relationships/hyperlink" Target="https://web.uri.edu/cprc/psychotherapy-urica" TargetMode="External"/><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hyperlink" Target="https://casaa.unm.edu/download/misc25.pdf" TargetMode="External"/><Relationship Id="rId203" Type="http://schemas.openxmlformats.org/officeDocument/2006/relationships/footer" Target="footer14.xml"/><Relationship Id="rId19" Type="http://schemas.openxmlformats.org/officeDocument/2006/relationships/image" Target="media/image5.png"/><Relationship Id="rId224" Type="http://schemas.openxmlformats.org/officeDocument/2006/relationships/header" Target="header15.xml"/><Relationship Id="rId30" Type="http://schemas.openxmlformats.org/officeDocument/2006/relationships/image" Target="media/image16.png"/><Relationship Id="rId105" Type="http://schemas.openxmlformats.org/officeDocument/2006/relationships/footer" Target="footer4.xml"/><Relationship Id="rId126" Type="http://schemas.openxmlformats.org/officeDocument/2006/relationships/hyperlink" Target="http://www.ncbi.nlm.nih.gov/pubmed/28222078" TargetMode="External"/><Relationship Id="rId147" Type="http://schemas.openxmlformats.org/officeDocument/2006/relationships/hyperlink" Target="http://www.samhsa.gov/sites/default/files/programs_campaigns/ccbhc-criteria.pdf" TargetMode="External"/><Relationship Id="rId168" Type="http://schemas.openxmlformats.org/officeDocument/2006/relationships/hyperlink" Target="http://adai.washington.edu/instruments/pdf/Drug_Abuse_Screening_Test_105.pdf" TargetMode="Externa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hyperlink" Target="http://www.motivationalinterview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209</Pages>
  <Words>87206</Words>
  <Characters>497079</Characters>
  <Application>Microsoft Office Word</Application>
  <DocSecurity>8</DocSecurity>
  <Lines>4142</Lines>
  <Paragraphs>1166</Paragraphs>
  <ScaleCrop>false</ScaleCrop>
  <Company/>
  <LinksUpToDate>false</LinksUpToDate>
  <CharactersWithSpaces>583119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35 Update 2019</dc:title>
  <dc:creator>SAMHSA KAP</dc:creator>
  <cp:lastModifiedBy>Matt Hiltibran</cp:lastModifiedBy>
  <cp:revision>2</cp:revision>
  <dcterms:created xsi:type="dcterms:W3CDTF">2022-04-26T21:19:00Z</dcterms:created>
  <dcterms:modified xsi:type="dcterms:W3CDTF">2022-04-26T21:20:00Z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2019-11-04T00:00:00Z</vt:filetime>
  </property>
  <property fmtid="{D5CDD505-2E9C-101B-9397-08002B2CF9AE}" pid="3" name="Creator">
    <vt:lpwstr>Acrobat PDFMaker 11 for Word</vt:lpwstr>
  </property>
  <property fmtid="{D5CDD505-2E9C-101B-9397-08002B2CF9AE}" pid="4" name="LastSaved">
    <vt:filetime>2022-04-26T00:00:00Z</vt:filetime>
  </property>
</Properties>
</file>